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92B4C" w14:textId="5FE25A50" w:rsidR="009633A2" w:rsidRPr="002D1452" w:rsidRDefault="004D3D16" w:rsidP="00CC5CF8">
      <w:pPr>
        <w:pStyle w:val="Covertitle1108pt"/>
        <w:rPr>
          <w:color w:val="00338D" w:themeColor="background2"/>
        </w:rPr>
      </w:pPr>
      <w:r w:rsidRPr="002D1452">
        <w:rPr>
          <w:color w:val="00338D" w:themeColor="background2"/>
        </w:rPr>
        <w:t>E</w:t>
      </w:r>
      <w:bookmarkStart w:id="0" w:name="_Ref93922301"/>
      <w:bookmarkEnd w:id="0"/>
      <w:r w:rsidRPr="002D1452">
        <w:rPr>
          <w:color w:val="00338D" w:themeColor="background2"/>
        </w:rPr>
        <w:t xml:space="preserve">valuation of the National headspace </w:t>
      </w:r>
      <w:r w:rsidR="003950E3" w:rsidRPr="002D1452">
        <w:rPr>
          <w:color w:val="00338D" w:themeColor="background2"/>
        </w:rPr>
        <w:t>P</w:t>
      </w:r>
      <w:r w:rsidRPr="002D1452">
        <w:rPr>
          <w:color w:val="00338D" w:themeColor="background2"/>
        </w:rPr>
        <w:t>rogram</w:t>
      </w:r>
    </w:p>
    <w:p w14:paraId="095EE957" w14:textId="77777777" w:rsidR="009633A2" w:rsidRPr="002D1452" w:rsidRDefault="009633A2" w:rsidP="001F45EE">
      <w:pPr>
        <w:pStyle w:val="Covertitle1108pt"/>
        <w:rPr>
          <w:color w:val="00338D" w:themeColor="background2"/>
        </w:rPr>
      </w:pPr>
    </w:p>
    <w:p w14:paraId="192A6335" w14:textId="4C06CA40" w:rsidR="009633A2" w:rsidRPr="002D1452" w:rsidRDefault="003950E3" w:rsidP="005173F5">
      <w:pPr>
        <w:pStyle w:val="Covertitle216ptB"/>
        <w:ind w:left="720" w:hanging="720"/>
        <w:rPr>
          <w:color w:val="00338D" w:themeColor="background2"/>
        </w:rPr>
      </w:pPr>
      <w:r w:rsidRPr="002D1452">
        <w:rPr>
          <w:color w:val="00338D" w:themeColor="background2"/>
        </w:rPr>
        <w:t xml:space="preserve">Final </w:t>
      </w:r>
      <w:r w:rsidR="00CA36DD" w:rsidRPr="002D1452">
        <w:rPr>
          <w:color w:val="00338D" w:themeColor="background2"/>
        </w:rPr>
        <w:t>Report</w:t>
      </w:r>
    </w:p>
    <w:p w14:paraId="0A2CAF5D" w14:textId="77777777" w:rsidR="004D3D16" w:rsidRPr="002D1452" w:rsidRDefault="004D3D16" w:rsidP="009B5EE7">
      <w:pPr>
        <w:pStyle w:val="Covertitle316ptNB"/>
        <w:rPr>
          <w:color w:val="00338D" w:themeColor="background2"/>
        </w:rPr>
      </w:pPr>
    </w:p>
    <w:p w14:paraId="7042A537" w14:textId="77777777" w:rsidR="00A536D2" w:rsidRDefault="004D3D16" w:rsidP="00A536D2">
      <w:pPr>
        <w:pStyle w:val="Covertitle316ptNB"/>
        <w:rPr>
          <w:color w:val="00338D" w:themeColor="background2"/>
        </w:rPr>
      </w:pPr>
      <w:r w:rsidRPr="002D1452">
        <w:rPr>
          <w:color w:val="00338D" w:themeColor="background2"/>
        </w:rPr>
        <w:t>Department of Health</w:t>
      </w:r>
    </w:p>
    <w:p w14:paraId="0A860273" w14:textId="77777777" w:rsidR="00A536D2" w:rsidRDefault="00A536D2" w:rsidP="00A536D2">
      <w:pPr>
        <w:pStyle w:val="Covertitle316ptNB"/>
        <w:rPr>
          <w:color w:val="00338D" w:themeColor="background2"/>
        </w:rPr>
      </w:pPr>
    </w:p>
    <w:p w14:paraId="7569410D" w14:textId="47C92465" w:rsidR="009633A2" w:rsidRPr="002D1452" w:rsidRDefault="00B43D38" w:rsidP="00A536D2">
      <w:pPr>
        <w:pStyle w:val="Covertitle316ptNB"/>
        <w:rPr>
          <w:color w:val="00338D" w:themeColor="background2"/>
        </w:rPr>
      </w:pPr>
      <w:r w:rsidRPr="002D1452">
        <w:rPr>
          <w:color w:val="00338D" w:themeColor="background2"/>
        </w:rPr>
        <w:t xml:space="preserve">June </w:t>
      </w:r>
      <w:r w:rsidR="00726B12" w:rsidRPr="002D1452">
        <w:rPr>
          <w:color w:val="00338D" w:themeColor="background2"/>
        </w:rPr>
        <w:t>202</w:t>
      </w:r>
      <w:r w:rsidR="00FE2943" w:rsidRPr="002D1452">
        <w:rPr>
          <w:color w:val="00338D" w:themeColor="background2"/>
        </w:rPr>
        <w:t>2</w:t>
      </w:r>
    </w:p>
    <w:p w14:paraId="06E6F9FE" w14:textId="77777777" w:rsidR="009633A2" w:rsidRPr="001D6913" w:rsidRDefault="009633A2" w:rsidP="009633A2">
      <w:pPr>
        <w:sectPr w:rsidR="009633A2" w:rsidRPr="001D6913" w:rsidSect="001B41A0">
          <w:headerReference w:type="first" r:id="rId11"/>
          <w:pgSz w:w="11906" w:h="16838"/>
          <w:pgMar w:top="2665" w:right="1418" w:bottom="1418" w:left="1899" w:header="709" w:footer="709" w:gutter="0"/>
          <w:cols w:space="708"/>
          <w:docGrid w:linePitch="360"/>
        </w:sectPr>
      </w:pPr>
    </w:p>
    <w:p w14:paraId="0638E5C0" w14:textId="196F6F23" w:rsidR="002C1170" w:rsidRPr="002F680D" w:rsidRDefault="002C1170" w:rsidP="002C1170">
      <w:pPr>
        <w:pStyle w:val="BodyText"/>
      </w:pPr>
      <w:r w:rsidRPr="002F680D">
        <w:lastRenderedPageBreak/>
        <w:t xml:space="preserve">This evaluation was undertaken by a consortium led by KPMG, and including the Social Policy Research Centre (SPRC) at the University of New South Wales, and batyr. </w:t>
      </w:r>
    </w:p>
    <w:p w14:paraId="4FD2AC79" w14:textId="77777777" w:rsidR="002C1170" w:rsidRPr="002F680D" w:rsidRDefault="002C1170" w:rsidP="002C1170">
      <w:pPr>
        <w:pStyle w:val="BodyText"/>
      </w:pPr>
      <w:r w:rsidRPr="002F680D">
        <w:t xml:space="preserve">This report was written by members of the KPMG and SPRC consortium teams. </w:t>
      </w:r>
    </w:p>
    <w:p w14:paraId="67C03711" w14:textId="4060DEA4" w:rsidR="00A64857" w:rsidRDefault="002C1170" w:rsidP="008E3AE3">
      <w:pPr>
        <w:pStyle w:val="BodyText"/>
      </w:pPr>
      <w:r w:rsidRPr="002F680D">
        <w:t>KPMG would like to thank SPRC and batyr for all their work across the evaluation, especially engagement with young people across Australia.</w:t>
      </w:r>
    </w:p>
    <w:p w14:paraId="68A74F1E" w14:textId="2B67D049" w:rsidR="004308B5" w:rsidRPr="000141DA" w:rsidRDefault="004308B5" w:rsidP="00F17724">
      <w:pPr>
        <w:pStyle w:val="BodyText"/>
        <w:ind w:left="-1418"/>
        <w:rPr>
          <w:highlight w:val="yellow"/>
        </w:rPr>
      </w:pPr>
    </w:p>
    <w:p w14:paraId="04D9CBBD" w14:textId="62F7D056" w:rsidR="000141DA" w:rsidRDefault="000141DA" w:rsidP="000141DA">
      <w:pPr>
        <w:pStyle w:val="BodyText"/>
        <w:rPr>
          <w:highlight w:val="yellow"/>
        </w:rPr>
      </w:pPr>
    </w:p>
    <w:p w14:paraId="5F73F746" w14:textId="5FBA3BF4" w:rsidR="00A64857" w:rsidRDefault="00A64857" w:rsidP="000141DA">
      <w:pPr>
        <w:pStyle w:val="BodyText"/>
        <w:rPr>
          <w:highlight w:val="yellow"/>
        </w:rPr>
      </w:pPr>
    </w:p>
    <w:p w14:paraId="069AE579" w14:textId="052EB386" w:rsidR="00A33B1D" w:rsidRDefault="00A33B1D" w:rsidP="000141DA">
      <w:pPr>
        <w:pStyle w:val="BodyText"/>
        <w:rPr>
          <w:highlight w:val="yellow"/>
        </w:rPr>
      </w:pPr>
    </w:p>
    <w:p w14:paraId="7CF332D1" w14:textId="76DFCA0A" w:rsidR="00A64857" w:rsidRDefault="00A64857" w:rsidP="000141DA">
      <w:pPr>
        <w:pStyle w:val="BodyText"/>
        <w:rPr>
          <w:highlight w:val="yellow"/>
        </w:rPr>
      </w:pPr>
    </w:p>
    <w:p w14:paraId="0256E4D6" w14:textId="2A926F75" w:rsidR="00790AE1" w:rsidRDefault="00790AE1" w:rsidP="000141DA">
      <w:pPr>
        <w:pStyle w:val="BodyText"/>
        <w:rPr>
          <w:highlight w:val="yellow"/>
        </w:rPr>
      </w:pPr>
    </w:p>
    <w:p w14:paraId="4ECAA0AA" w14:textId="77777777" w:rsidR="002D1452" w:rsidRDefault="002D1452" w:rsidP="000141DA">
      <w:pPr>
        <w:pStyle w:val="BodyText"/>
        <w:rPr>
          <w:highlight w:val="yellow"/>
        </w:rPr>
      </w:pPr>
    </w:p>
    <w:p w14:paraId="38744766" w14:textId="5FE3DDC8" w:rsidR="00790AE1" w:rsidRDefault="00790AE1" w:rsidP="000141DA">
      <w:pPr>
        <w:pStyle w:val="BodyText"/>
        <w:rPr>
          <w:highlight w:val="yellow"/>
        </w:rPr>
      </w:pPr>
    </w:p>
    <w:p w14:paraId="43C037AB" w14:textId="4024782F" w:rsidR="00790AE1" w:rsidRDefault="00790AE1" w:rsidP="000141DA">
      <w:pPr>
        <w:pStyle w:val="BodyText"/>
        <w:rPr>
          <w:highlight w:val="yellow"/>
        </w:rPr>
      </w:pPr>
    </w:p>
    <w:p w14:paraId="52236D7A" w14:textId="77777777" w:rsidR="00790AE1" w:rsidRDefault="00790AE1" w:rsidP="000141DA">
      <w:pPr>
        <w:pStyle w:val="BodyText"/>
        <w:rPr>
          <w:highlight w:val="yellow"/>
        </w:rPr>
      </w:pPr>
    </w:p>
    <w:p w14:paraId="011D27CB" w14:textId="77777777" w:rsidR="00A64857" w:rsidRPr="000141DA" w:rsidRDefault="00A64857" w:rsidP="000141DA">
      <w:pPr>
        <w:pStyle w:val="BodyText"/>
        <w:rPr>
          <w:highlight w:val="yellow"/>
        </w:rPr>
      </w:pPr>
    </w:p>
    <w:p w14:paraId="0ED4720E" w14:textId="77777777" w:rsidR="004308B5" w:rsidRPr="000141DA" w:rsidRDefault="004308B5" w:rsidP="00BA61FF">
      <w:pPr>
        <w:pStyle w:val="BodyText"/>
        <w:rPr>
          <w:highlight w:val="yellow"/>
        </w:rPr>
      </w:pPr>
    </w:p>
    <w:p w14:paraId="170B619D" w14:textId="3DD0B9A2" w:rsidR="00BA61FF" w:rsidRPr="0063191D" w:rsidRDefault="00BA61FF" w:rsidP="00BA61FF">
      <w:pPr>
        <w:pStyle w:val="BodyText"/>
        <w:rPr>
          <w:b/>
        </w:rPr>
      </w:pPr>
      <w:r w:rsidRPr="0063191D">
        <w:rPr>
          <w:b/>
        </w:rPr>
        <w:t>Disclaimer</w:t>
      </w:r>
    </w:p>
    <w:p w14:paraId="2AAC79C3" w14:textId="54873C1E" w:rsidR="00BA61FF" w:rsidRPr="00E00D55" w:rsidRDefault="00BA61FF" w:rsidP="00E00D55">
      <w:pPr>
        <w:pStyle w:val="BodyText"/>
        <w:rPr>
          <w:b/>
          <w:bCs/>
        </w:rPr>
      </w:pPr>
      <w:bookmarkStart w:id="1" w:name="_Ref97500402"/>
      <w:r w:rsidRPr="00E00D55">
        <w:rPr>
          <w:b/>
          <w:bCs/>
        </w:rPr>
        <w:t>Inherent Limitations</w:t>
      </w:r>
      <w:bookmarkEnd w:id="1"/>
    </w:p>
    <w:p w14:paraId="35C7EA62" w14:textId="06775C29" w:rsidR="00BA61FF" w:rsidRPr="0063191D" w:rsidRDefault="008D0D1E" w:rsidP="00C11C70">
      <w:pPr>
        <w:pStyle w:val="BodyText"/>
      </w:pPr>
      <w:r>
        <w:t xml:space="preserve">Appendix A: </w:t>
      </w:r>
      <w:r w:rsidR="1A0E89B8">
        <w:t>Evaluation scope and method</w:t>
      </w:r>
      <w:r w:rsidR="04FD6C12">
        <w:t xml:space="preserve"> outlines the approach and limitations of the engagement.</w:t>
      </w:r>
      <w:r w:rsidR="00BA61FF" w:rsidRPr="0063191D">
        <w:t xml:space="preserve"> The services provided</w:t>
      </w:r>
      <w:r w:rsidR="04FD6C12">
        <w:t xml:space="preserve"> as part of this</w:t>
      </w:r>
      <w:r w:rsidR="00BA61FF" w:rsidRPr="0063191D">
        <w:t xml:space="preserve"> </w:t>
      </w:r>
      <w:r w:rsidR="04FD6C12">
        <w:t>engagement are</w:t>
      </w:r>
      <w:r w:rsidR="00BA61FF" w:rsidRPr="0063191D">
        <w:t xml:space="preserve"> </w:t>
      </w:r>
      <w:r w:rsidR="04FD6C12">
        <w:t>advisory and therefore are not</w:t>
      </w:r>
      <w:r w:rsidR="00BA61FF" w:rsidRPr="0063191D">
        <w:t xml:space="preserve"> subject to assurance or other standards issued by the Australian Auditing and Assurance Standards Board and, consequently no opinions or conclusions intended to convey assurance have been expressed. </w:t>
      </w:r>
    </w:p>
    <w:p w14:paraId="51778273" w14:textId="58B48FBB" w:rsidR="00BA61FF" w:rsidRPr="0063191D" w:rsidRDefault="00BA61FF" w:rsidP="00C11C70">
      <w:pPr>
        <w:pStyle w:val="BodyText"/>
      </w:pPr>
      <w:r w:rsidRPr="0063191D">
        <w:t>No warranty of completeness, accuracy or reliability is given in relation to the statements and representations made by, and the information and documentation provided by</w:t>
      </w:r>
      <w:r w:rsidR="0063191D" w:rsidRPr="0063191D">
        <w:t xml:space="preserve"> the Department of Health’s</w:t>
      </w:r>
      <w:r w:rsidRPr="0063191D">
        <w:t xml:space="preserve"> stakeholders consulted as part of the process.</w:t>
      </w:r>
    </w:p>
    <w:p w14:paraId="70D44F3D" w14:textId="4DF70F68" w:rsidR="00BA61FF" w:rsidRPr="0063191D" w:rsidRDefault="00BA61FF" w:rsidP="00C11C70">
      <w:pPr>
        <w:pStyle w:val="BodyText"/>
      </w:pPr>
      <w:r w:rsidRPr="0063191D">
        <w:t xml:space="preserve">KPMG </w:t>
      </w:r>
      <w:r>
        <w:t>has</w:t>
      </w:r>
      <w:r w:rsidRPr="0063191D">
        <w:t xml:space="preserve"> indicated within this report the sources of the information provided</w:t>
      </w:r>
      <w:r>
        <w:t xml:space="preserve"> however those sources </w:t>
      </w:r>
      <w:r w:rsidRPr="0063191D">
        <w:t xml:space="preserve">have not </w:t>
      </w:r>
      <w:r>
        <w:t>been</w:t>
      </w:r>
      <w:r w:rsidRPr="0063191D">
        <w:t xml:space="preserve"> independently </w:t>
      </w:r>
      <w:r>
        <w:t xml:space="preserve">verified </w:t>
      </w:r>
      <w:r w:rsidRPr="0063191D">
        <w:t>unless otherwise noted within the report.</w:t>
      </w:r>
    </w:p>
    <w:p w14:paraId="1BF0D2B8" w14:textId="3F0F19CC" w:rsidR="00BA61FF" w:rsidRPr="0063191D" w:rsidRDefault="00BA61FF" w:rsidP="00C11C70">
      <w:pPr>
        <w:pStyle w:val="BodyText"/>
      </w:pPr>
      <w:r w:rsidRPr="0063191D">
        <w:t xml:space="preserve">KPMG is under no obligation </w:t>
      </w:r>
      <w:r>
        <w:t>under</w:t>
      </w:r>
      <w:r w:rsidRPr="0063191D">
        <w:t xml:space="preserve"> any </w:t>
      </w:r>
      <w:r>
        <w:t>circumstances</w:t>
      </w:r>
      <w:r w:rsidRPr="0063191D">
        <w:t xml:space="preserve"> to update this report, in either oral or written form, for events occurring after the report has been issued in final form.</w:t>
      </w:r>
    </w:p>
    <w:p w14:paraId="00D0A48E" w14:textId="78BC523E" w:rsidR="00BA61FF" w:rsidRPr="0063191D" w:rsidRDefault="00BA61FF" w:rsidP="00C11C70">
      <w:pPr>
        <w:pStyle w:val="BodyText"/>
      </w:pPr>
      <w:r w:rsidRPr="0063191D">
        <w:t xml:space="preserve">The </w:t>
      </w:r>
      <w:r>
        <w:t xml:space="preserve">report </w:t>
      </w:r>
      <w:r w:rsidRPr="0063191D">
        <w:t>findings have been formed on the above basis.</w:t>
      </w:r>
    </w:p>
    <w:p w14:paraId="5F45888B" w14:textId="77777777" w:rsidR="00BA61FF" w:rsidRPr="00E00D55" w:rsidRDefault="00BA61FF" w:rsidP="00E00D55">
      <w:pPr>
        <w:pStyle w:val="BodyText"/>
        <w:rPr>
          <w:b/>
          <w:bCs/>
        </w:rPr>
      </w:pPr>
      <w:r w:rsidRPr="00E00D55">
        <w:rPr>
          <w:b/>
          <w:bCs/>
        </w:rPr>
        <w:t>Third Party Reliance</w:t>
      </w:r>
    </w:p>
    <w:p w14:paraId="099415BE" w14:textId="5264019D" w:rsidR="00BA61FF" w:rsidRPr="0063191D" w:rsidRDefault="00BA61FF" w:rsidP="00C11C70">
      <w:pPr>
        <w:pStyle w:val="BodyText"/>
      </w:pPr>
      <w:r w:rsidRPr="0063191D">
        <w:t xml:space="preserve">This report is solely for the purpose set out in </w:t>
      </w:r>
      <w:r w:rsidR="008D0D1E">
        <w:t>Appendix A:</w:t>
      </w:r>
      <w:r w:rsidR="008D0D1E" w:rsidRPr="0063191D">
        <w:t xml:space="preserve"> </w:t>
      </w:r>
      <w:r w:rsidR="0063191D" w:rsidRPr="0063191D">
        <w:t>Evaluation scope and method</w:t>
      </w:r>
      <w:r w:rsidRPr="0063191D">
        <w:t xml:space="preserve"> and for </w:t>
      </w:r>
      <w:r w:rsidR="0063191D" w:rsidRPr="0063191D">
        <w:t>the Department of Health’s</w:t>
      </w:r>
      <w:r w:rsidRPr="0063191D">
        <w:t xml:space="preserve"> information, and is not to be used for any other purpose or distributed to any other party without KPMG’s prior written consent.</w:t>
      </w:r>
    </w:p>
    <w:p w14:paraId="1CB2FC31" w14:textId="7874B4C8" w:rsidR="00D65A2D" w:rsidRPr="001D6913" w:rsidRDefault="00BA61FF" w:rsidP="00C11C70">
      <w:pPr>
        <w:pStyle w:val="BodyText"/>
      </w:pPr>
      <w:r w:rsidRPr="0063191D">
        <w:t xml:space="preserve">This report has been prepared at the request of </w:t>
      </w:r>
      <w:r w:rsidR="0063191D" w:rsidRPr="0063191D">
        <w:t>the Department of Health</w:t>
      </w:r>
      <w:r w:rsidRPr="0063191D">
        <w:t xml:space="preserve"> in accordance with the terms of KPMG’s contract dated </w:t>
      </w:r>
      <w:r w:rsidR="000562C6">
        <w:t>29 June 2020</w:t>
      </w:r>
      <w:r w:rsidRPr="0063191D">
        <w:t xml:space="preserve">. Other than our responsibility to </w:t>
      </w:r>
      <w:r w:rsidR="0063191D" w:rsidRPr="0063191D">
        <w:t>the Department of Health</w:t>
      </w:r>
      <w:r w:rsidRPr="0063191D">
        <w:t>, neither KPMG nor any member or employee of KPMG undertakes responsibility arising in any way from reliance placed by a third party on this report.</w:t>
      </w:r>
      <w:r w:rsidR="00730B4D">
        <w:t xml:space="preserve"> </w:t>
      </w:r>
      <w:r w:rsidRPr="0063191D">
        <w:t>Any reliance placed is that party’s sole responsibility.</w:t>
      </w:r>
    </w:p>
    <w:p w14:paraId="59B36906" w14:textId="77777777" w:rsidR="00790AE1" w:rsidRPr="00F9278D" w:rsidRDefault="00790AE1" w:rsidP="00790AE1">
      <w:pPr>
        <w:pStyle w:val="BodyText"/>
        <w:rPr>
          <w:b/>
          <w:bCs/>
        </w:rPr>
      </w:pPr>
      <w:r w:rsidRPr="00F9278D">
        <w:rPr>
          <w:b/>
          <w:bCs/>
        </w:rPr>
        <w:t>Accessibility</w:t>
      </w:r>
    </w:p>
    <w:p w14:paraId="52D0DE20" w14:textId="77777777" w:rsidR="00790AE1" w:rsidRPr="00F9278D" w:rsidRDefault="00790AE1" w:rsidP="00790AE1">
      <w:pPr>
        <w:pStyle w:val="BodyText"/>
      </w:pPr>
      <w:r w:rsidRPr="00F9278D">
        <w:t>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 of this Report.</w:t>
      </w:r>
    </w:p>
    <w:p w14:paraId="1981933C" w14:textId="1EF16463" w:rsidR="00790AE1" w:rsidRPr="001D6913" w:rsidRDefault="00790AE1" w:rsidP="00D65A2D">
      <w:pPr>
        <w:pStyle w:val="BodyText"/>
        <w:sectPr w:rsidR="00790AE1" w:rsidRPr="001D6913" w:rsidSect="00013847">
          <w:headerReference w:type="default" r:id="rId12"/>
          <w:footerReference w:type="default" r:id="rId13"/>
          <w:pgSz w:w="11906" w:h="16838"/>
          <w:pgMar w:top="1418" w:right="1418" w:bottom="1418" w:left="1418" w:header="709" w:footer="454" w:gutter="0"/>
          <w:pgNumType w:fmt="lowerRoman" w:start="1"/>
          <w:cols w:space="708"/>
          <w:docGrid w:linePitch="360"/>
        </w:sectPr>
      </w:pPr>
    </w:p>
    <w:p w14:paraId="1AFA1773" w14:textId="4D64DE6E" w:rsidR="009633A2" w:rsidRPr="001D6913" w:rsidRDefault="007634C5" w:rsidP="00A45C32">
      <w:pPr>
        <w:pStyle w:val="HeadingLevel1NoNumber"/>
      </w:pPr>
      <w:bookmarkStart w:id="2" w:name="_Toc108173963"/>
      <w:r w:rsidRPr="00C45FC8">
        <w:lastRenderedPageBreak/>
        <w:t>Contents</w:t>
      </w:r>
      <w:bookmarkEnd w:id="2"/>
    </w:p>
    <w:p w14:paraId="3BF21AD7" w14:textId="3E08EC2F" w:rsidR="004242C1" w:rsidRDefault="00DB3B6B">
      <w:pPr>
        <w:pStyle w:val="TOC1"/>
        <w:rPr>
          <w:rFonts w:asciiTheme="minorHAnsi" w:eastAsiaTheme="minorEastAsia" w:hAnsiTheme="minorHAnsi"/>
          <w:lang w:eastAsia="en-AU"/>
        </w:rPr>
      </w:pPr>
      <w:r w:rsidRPr="001D6913">
        <w:fldChar w:fldCharType="begin"/>
      </w:r>
      <w:r w:rsidRPr="001D6913">
        <w:instrText xml:space="preserve"> TOC \h \z \t "Heading 1,1,Heading 2,2,HeadingLevel1NoNumber,1,Appendix heading,1" </w:instrText>
      </w:r>
      <w:r w:rsidRPr="001D6913">
        <w:fldChar w:fldCharType="separate"/>
      </w:r>
      <w:hyperlink w:anchor="_Toc108173963" w:history="1">
        <w:r w:rsidR="004242C1" w:rsidRPr="00463FE4">
          <w:rPr>
            <w:rStyle w:val="Hyperlink"/>
          </w:rPr>
          <w:t>Contents</w:t>
        </w:r>
        <w:r w:rsidR="004242C1">
          <w:rPr>
            <w:webHidden/>
          </w:rPr>
          <w:tab/>
        </w:r>
        <w:r w:rsidR="004242C1">
          <w:rPr>
            <w:webHidden/>
          </w:rPr>
          <w:fldChar w:fldCharType="begin"/>
        </w:r>
        <w:r w:rsidR="004242C1">
          <w:rPr>
            <w:webHidden/>
          </w:rPr>
          <w:instrText xml:space="preserve"> PAGEREF _Toc108173963 \h </w:instrText>
        </w:r>
        <w:r w:rsidR="004242C1">
          <w:rPr>
            <w:webHidden/>
          </w:rPr>
        </w:r>
        <w:r w:rsidR="004242C1">
          <w:rPr>
            <w:webHidden/>
          </w:rPr>
          <w:fldChar w:fldCharType="separate"/>
        </w:r>
        <w:r w:rsidR="00CC0438">
          <w:rPr>
            <w:webHidden/>
          </w:rPr>
          <w:t>ii</w:t>
        </w:r>
        <w:r w:rsidR="004242C1">
          <w:rPr>
            <w:webHidden/>
          </w:rPr>
          <w:fldChar w:fldCharType="end"/>
        </w:r>
      </w:hyperlink>
    </w:p>
    <w:p w14:paraId="51FC6FCA" w14:textId="46E909D0" w:rsidR="004242C1" w:rsidRDefault="00F333C3">
      <w:pPr>
        <w:pStyle w:val="TOC1"/>
        <w:rPr>
          <w:rFonts w:asciiTheme="minorHAnsi" w:eastAsiaTheme="minorEastAsia" w:hAnsiTheme="minorHAnsi"/>
          <w:lang w:eastAsia="en-AU"/>
        </w:rPr>
      </w:pPr>
      <w:hyperlink w:anchor="_Toc108173964" w:history="1">
        <w:r w:rsidR="004242C1" w:rsidRPr="00463FE4">
          <w:rPr>
            <w:rStyle w:val="Hyperlink"/>
          </w:rPr>
          <w:t>Glossary</w:t>
        </w:r>
        <w:r w:rsidR="004242C1">
          <w:rPr>
            <w:webHidden/>
          </w:rPr>
          <w:tab/>
        </w:r>
        <w:r w:rsidR="004242C1">
          <w:rPr>
            <w:webHidden/>
          </w:rPr>
          <w:fldChar w:fldCharType="begin"/>
        </w:r>
        <w:r w:rsidR="004242C1">
          <w:rPr>
            <w:webHidden/>
          </w:rPr>
          <w:instrText xml:space="preserve"> PAGEREF _Toc108173964 \h </w:instrText>
        </w:r>
        <w:r w:rsidR="004242C1">
          <w:rPr>
            <w:webHidden/>
          </w:rPr>
        </w:r>
        <w:r w:rsidR="004242C1">
          <w:rPr>
            <w:webHidden/>
          </w:rPr>
          <w:fldChar w:fldCharType="separate"/>
        </w:r>
        <w:r w:rsidR="00CC0438">
          <w:rPr>
            <w:webHidden/>
          </w:rPr>
          <w:t>1</w:t>
        </w:r>
        <w:r w:rsidR="004242C1">
          <w:rPr>
            <w:webHidden/>
          </w:rPr>
          <w:fldChar w:fldCharType="end"/>
        </w:r>
      </w:hyperlink>
    </w:p>
    <w:p w14:paraId="5C596F60" w14:textId="70E59510" w:rsidR="004242C1" w:rsidRDefault="00F333C3">
      <w:pPr>
        <w:pStyle w:val="TOC1"/>
        <w:rPr>
          <w:rFonts w:asciiTheme="minorHAnsi" w:eastAsiaTheme="minorEastAsia" w:hAnsiTheme="minorHAnsi"/>
          <w:lang w:eastAsia="en-AU"/>
        </w:rPr>
      </w:pPr>
      <w:hyperlink w:anchor="_Toc108173965" w:history="1">
        <w:r w:rsidR="004242C1" w:rsidRPr="00463FE4">
          <w:rPr>
            <w:rStyle w:val="Hyperlink"/>
          </w:rPr>
          <w:t>Index of Tables</w:t>
        </w:r>
        <w:r w:rsidR="004242C1">
          <w:rPr>
            <w:webHidden/>
          </w:rPr>
          <w:tab/>
        </w:r>
        <w:r w:rsidR="004242C1">
          <w:rPr>
            <w:webHidden/>
          </w:rPr>
          <w:fldChar w:fldCharType="begin"/>
        </w:r>
        <w:r w:rsidR="004242C1">
          <w:rPr>
            <w:webHidden/>
          </w:rPr>
          <w:instrText xml:space="preserve"> PAGEREF _Toc108173965 \h </w:instrText>
        </w:r>
        <w:r w:rsidR="004242C1">
          <w:rPr>
            <w:webHidden/>
          </w:rPr>
        </w:r>
        <w:r w:rsidR="004242C1">
          <w:rPr>
            <w:webHidden/>
          </w:rPr>
          <w:fldChar w:fldCharType="separate"/>
        </w:r>
        <w:r w:rsidR="00CC0438">
          <w:rPr>
            <w:webHidden/>
          </w:rPr>
          <w:t>3</w:t>
        </w:r>
        <w:r w:rsidR="004242C1">
          <w:rPr>
            <w:webHidden/>
          </w:rPr>
          <w:fldChar w:fldCharType="end"/>
        </w:r>
      </w:hyperlink>
    </w:p>
    <w:p w14:paraId="6E128B4A" w14:textId="06997B60" w:rsidR="004242C1" w:rsidRDefault="00F333C3">
      <w:pPr>
        <w:pStyle w:val="TOC1"/>
        <w:rPr>
          <w:rFonts w:asciiTheme="minorHAnsi" w:eastAsiaTheme="minorEastAsia" w:hAnsiTheme="minorHAnsi"/>
          <w:lang w:eastAsia="en-AU"/>
        </w:rPr>
      </w:pPr>
      <w:hyperlink w:anchor="_Toc108173966" w:history="1">
        <w:r w:rsidR="004242C1" w:rsidRPr="00463FE4">
          <w:rPr>
            <w:rStyle w:val="Hyperlink"/>
          </w:rPr>
          <w:t>Index of Figures</w:t>
        </w:r>
        <w:r w:rsidR="004242C1">
          <w:rPr>
            <w:webHidden/>
          </w:rPr>
          <w:tab/>
        </w:r>
        <w:r w:rsidR="004242C1">
          <w:rPr>
            <w:webHidden/>
          </w:rPr>
          <w:fldChar w:fldCharType="begin"/>
        </w:r>
        <w:r w:rsidR="004242C1">
          <w:rPr>
            <w:webHidden/>
          </w:rPr>
          <w:instrText xml:space="preserve"> PAGEREF _Toc108173966 \h </w:instrText>
        </w:r>
        <w:r w:rsidR="004242C1">
          <w:rPr>
            <w:webHidden/>
          </w:rPr>
        </w:r>
        <w:r w:rsidR="004242C1">
          <w:rPr>
            <w:webHidden/>
          </w:rPr>
          <w:fldChar w:fldCharType="separate"/>
        </w:r>
        <w:r w:rsidR="00CC0438">
          <w:rPr>
            <w:webHidden/>
          </w:rPr>
          <w:t>6</w:t>
        </w:r>
        <w:r w:rsidR="004242C1">
          <w:rPr>
            <w:webHidden/>
          </w:rPr>
          <w:fldChar w:fldCharType="end"/>
        </w:r>
      </w:hyperlink>
    </w:p>
    <w:p w14:paraId="587698C8" w14:textId="3F34E075" w:rsidR="004242C1" w:rsidRDefault="00F333C3">
      <w:pPr>
        <w:pStyle w:val="TOC1"/>
        <w:rPr>
          <w:rFonts w:asciiTheme="minorHAnsi" w:eastAsiaTheme="minorEastAsia" w:hAnsiTheme="minorHAnsi"/>
          <w:lang w:eastAsia="en-AU"/>
        </w:rPr>
      </w:pPr>
      <w:hyperlink w:anchor="_Toc108173967" w:history="1">
        <w:r w:rsidR="004242C1" w:rsidRPr="00463FE4">
          <w:rPr>
            <w:rStyle w:val="Hyperlink"/>
          </w:rPr>
          <w:t>Acknowledgement</w:t>
        </w:r>
        <w:r w:rsidR="004242C1">
          <w:rPr>
            <w:webHidden/>
          </w:rPr>
          <w:tab/>
        </w:r>
        <w:r w:rsidR="004242C1">
          <w:rPr>
            <w:webHidden/>
          </w:rPr>
          <w:fldChar w:fldCharType="begin"/>
        </w:r>
        <w:r w:rsidR="004242C1">
          <w:rPr>
            <w:webHidden/>
          </w:rPr>
          <w:instrText xml:space="preserve"> PAGEREF _Toc108173967 \h </w:instrText>
        </w:r>
        <w:r w:rsidR="004242C1">
          <w:rPr>
            <w:webHidden/>
          </w:rPr>
        </w:r>
        <w:r w:rsidR="004242C1">
          <w:rPr>
            <w:webHidden/>
          </w:rPr>
          <w:fldChar w:fldCharType="separate"/>
        </w:r>
        <w:r w:rsidR="00CC0438">
          <w:rPr>
            <w:webHidden/>
          </w:rPr>
          <w:t>9</w:t>
        </w:r>
        <w:r w:rsidR="004242C1">
          <w:rPr>
            <w:webHidden/>
          </w:rPr>
          <w:fldChar w:fldCharType="end"/>
        </w:r>
      </w:hyperlink>
    </w:p>
    <w:p w14:paraId="58D01715" w14:textId="436246D2" w:rsidR="004242C1" w:rsidRDefault="00F333C3">
      <w:pPr>
        <w:pStyle w:val="TOC1"/>
        <w:rPr>
          <w:rFonts w:asciiTheme="minorHAnsi" w:eastAsiaTheme="minorEastAsia" w:hAnsiTheme="minorHAnsi"/>
          <w:lang w:eastAsia="en-AU"/>
        </w:rPr>
      </w:pPr>
      <w:hyperlink w:anchor="_Toc108173968" w:history="1">
        <w:r w:rsidR="004242C1" w:rsidRPr="00463FE4">
          <w:rPr>
            <w:rStyle w:val="Hyperlink"/>
          </w:rPr>
          <w:t>Executive Summary</w:t>
        </w:r>
        <w:r w:rsidR="004242C1">
          <w:rPr>
            <w:webHidden/>
          </w:rPr>
          <w:tab/>
        </w:r>
        <w:r w:rsidR="004242C1">
          <w:rPr>
            <w:webHidden/>
          </w:rPr>
          <w:fldChar w:fldCharType="begin"/>
        </w:r>
        <w:r w:rsidR="004242C1">
          <w:rPr>
            <w:webHidden/>
          </w:rPr>
          <w:instrText xml:space="preserve"> PAGEREF _Toc108173968 \h </w:instrText>
        </w:r>
        <w:r w:rsidR="004242C1">
          <w:rPr>
            <w:webHidden/>
          </w:rPr>
        </w:r>
        <w:r w:rsidR="004242C1">
          <w:rPr>
            <w:webHidden/>
          </w:rPr>
          <w:fldChar w:fldCharType="separate"/>
        </w:r>
        <w:r w:rsidR="00CC0438">
          <w:rPr>
            <w:webHidden/>
          </w:rPr>
          <w:t>10</w:t>
        </w:r>
        <w:r w:rsidR="004242C1">
          <w:rPr>
            <w:webHidden/>
          </w:rPr>
          <w:fldChar w:fldCharType="end"/>
        </w:r>
      </w:hyperlink>
    </w:p>
    <w:p w14:paraId="42126615" w14:textId="3C6B37F7" w:rsidR="004242C1" w:rsidRDefault="00F333C3">
      <w:pPr>
        <w:pStyle w:val="TOC1"/>
        <w:rPr>
          <w:rFonts w:asciiTheme="minorHAnsi" w:eastAsiaTheme="minorEastAsia" w:hAnsiTheme="minorHAnsi"/>
          <w:lang w:eastAsia="en-AU"/>
        </w:rPr>
      </w:pPr>
      <w:hyperlink w:anchor="_Toc108173969" w:history="1">
        <w:r w:rsidR="004242C1" w:rsidRPr="00463FE4">
          <w:rPr>
            <w:rStyle w:val="Hyperlink"/>
          </w:rPr>
          <w:t>1</w:t>
        </w:r>
        <w:r w:rsidR="004242C1">
          <w:rPr>
            <w:rFonts w:asciiTheme="minorHAnsi" w:eastAsiaTheme="minorEastAsia" w:hAnsiTheme="minorHAnsi"/>
            <w:lang w:eastAsia="en-AU"/>
          </w:rPr>
          <w:tab/>
        </w:r>
        <w:r w:rsidR="004242C1" w:rsidRPr="00463FE4">
          <w:rPr>
            <w:rStyle w:val="Hyperlink"/>
          </w:rPr>
          <w:t>Introduction</w:t>
        </w:r>
        <w:r w:rsidR="004242C1">
          <w:rPr>
            <w:webHidden/>
          </w:rPr>
          <w:tab/>
        </w:r>
        <w:r w:rsidR="004242C1">
          <w:rPr>
            <w:webHidden/>
          </w:rPr>
          <w:fldChar w:fldCharType="begin"/>
        </w:r>
        <w:r w:rsidR="004242C1">
          <w:rPr>
            <w:webHidden/>
          </w:rPr>
          <w:instrText xml:space="preserve"> PAGEREF _Toc108173969 \h </w:instrText>
        </w:r>
        <w:r w:rsidR="004242C1">
          <w:rPr>
            <w:webHidden/>
          </w:rPr>
        </w:r>
        <w:r w:rsidR="004242C1">
          <w:rPr>
            <w:webHidden/>
          </w:rPr>
          <w:fldChar w:fldCharType="separate"/>
        </w:r>
        <w:r w:rsidR="00CC0438">
          <w:rPr>
            <w:webHidden/>
          </w:rPr>
          <w:t>28</w:t>
        </w:r>
        <w:r w:rsidR="004242C1">
          <w:rPr>
            <w:webHidden/>
          </w:rPr>
          <w:fldChar w:fldCharType="end"/>
        </w:r>
      </w:hyperlink>
    </w:p>
    <w:p w14:paraId="56E30B38" w14:textId="02FF946A" w:rsidR="004242C1" w:rsidRDefault="00F333C3">
      <w:pPr>
        <w:pStyle w:val="TOC2"/>
        <w:rPr>
          <w:rFonts w:asciiTheme="minorHAnsi" w:eastAsiaTheme="minorEastAsia" w:hAnsiTheme="minorHAnsi"/>
          <w:sz w:val="22"/>
          <w:lang w:eastAsia="en-AU"/>
        </w:rPr>
      </w:pPr>
      <w:hyperlink w:anchor="_Toc108173970" w:history="1">
        <w:r w:rsidR="004242C1" w:rsidRPr="00463FE4">
          <w:rPr>
            <w:rStyle w:val="Hyperlink"/>
          </w:rPr>
          <w:t>1.1</w:t>
        </w:r>
        <w:r w:rsidR="004242C1">
          <w:rPr>
            <w:rFonts w:asciiTheme="minorHAnsi" w:eastAsiaTheme="minorEastAsia" w:hAnsiTheme="minorHAnsi"/>
            <w:sz w:val="22"/>
            <w:lang w:eastAsia="en-AU"/>
          </w:rPr>
          <w:tab/>
        </w:r>
        <w:r w:rsidR="004242C1" w:rsidRPr="00463FE4">
          <w:rPr>
            <w:rStyle w:val="Hyperlink"/>
          </w:rPr>
          <w:t>Evaluating the headspace model</w:t>
        </w:r>
        <w:r w:rsidR="004242C1">
          <w:rPr>
            <w:webHidden/>
          </w:rPr>
          <w:tab/>
        </w:r>
        <w:r w:rsidR="004242C1">
          <w:rPr>
            <w:webHidden/>
          </w:rPr>
          <w:fldChar w:fldCharType="begin"/>
        </w:r>
        <w:r w:rsidR="004242C1">
          <w:rPr>
            <w:webHidden/>
          </w:rPr>
          <w:instrText xml:space="preserve"> PAGEREF _Toc108173970 \h </w:instrText>
        </w:r>
        <w:r w:rsidR="004242C1">
          <w:rPr>
            <w:webHidden/>
          </w:rPr>
        </w:r>
        <w:r w:rsidR="004242C1">
          <w:rPr>
            <w:webHidden/>
          </w:rPr>
          <w:fldChar w:fldCharType="separate"/>
        </w:r>
        <w:r w:rsidR="00CC0438">
          <w:rPr>
            <w:webHidden/>
          </w:rPr>
          <w:t>28</w:t>
        </w:r>
        <w:r w:rsidR="004242C1">
          <w:rPr>
            <w:webHidden/>
          </w:rPr>
          <w:fldChar w:fldCharType="end"/>
        </w:r>
      </w:hyperlink>
    </w:p>
    <w:p w14:paraId="5F324A25" w14:textId="29E6E71E" w:rsidR="004242C1" w:rsidRDefault="00F333C3">
      <w:pPr>
        <w:pStyle w:val="TOC1"/>
        <w:rPr>
          <w:rFonts w:asciiTheme="minorHAnsi" w:eastAsiaTheme="minorEastAsia" w:hAnsiTheme="minorHAnsi"/>
          <w:lang w:eastAsia="en-AU"/>
        </w:rPr>
      </w:pPr>
      <w:hyperlink w:anchor="_Toc108173971" w:history="1">
        <w:r w:rsidR="004242C1" w:rsidRPr="00463FE4">
          <w:rPr>
            <w:rStyle w:val="Hyperlink"/>
          </w:rPr>
          <w:t>2</w:t>
        </w:r>
        <w:r w:rsidR="004242C1">
          <w:rPr>
            <w:rFonts w:asciiTheme="minorHAnsi" w:eastAsiaTheme="minorEastAsia" w:hAnsiTheme="minorHAnsi"/>
            <w:lang w:eastAsia="en-AU"/>
          </w:rPr>
          <w:tab/>
        </w:r>
        <w:r w:rsidR="004242C1" w:rsidRPr="00463FE4">
          <w:rPr>
            <w:rStyle w:val="Hyperlink"/>
          </w:rPr>
          <w:t>Understanding headspace</w:t>
        </w:r>
        <w:r w:rsidR="004242C1">
          <w:rPr>
            <w:webHidden/>
          </w:rPr>
          <w:tab/>
        </w:r>
        <w:r w:rsidR="004242C1">
          <w:rPr>
            <w:webHidden/>
          </w:rPr>
          <w:fldChar w:fldCharType="begin"/>
        </w:r>
        <w:r w:rsidR="004242C1">
          <w:rPr>
            <w:webHidden/>
          </w:rPr>
          <w:instrText xml:space="preserve"> PAGEREF _Toc108173971 \h </w:instrText>
        </w:r>
        <w:r w:rsidR="004242C1">
          <w:rPr>
            <w:webHidden/>
          </w:rPr>
        </w:r>
        <w:r w:rsidR="004242C1">
          <w:rPr>
            <w:webHidden/>
          </w:rPr>
          <w:fldChar w:fldCharType="separate"/>
        </w:r>
        <w:r w:rsidR="00CC0438">
          <w:rPr>
            <w:webHidden/>
          </w:rPr>
          <w:t>32</w:t>
        </w:r>
        <w:r w:rsidR="004242C1">
          <w:rPr>
            <w:webHidden/>
          </w:rPr>
          <w:fldChar w:fldCharType="end"/>
        </w:r>
      </w:hyperlink>
    </w:p>
    <w:p w14:paraId="27534F60" w14:textId="3B6ADAB0" w:rsidR="004242C1" w:rsidRDefault="00F333C3">
      <w:pPr>
        <w:pStyle w:val="TOC2"/>
        <w:rPr>
          <w:rFonts w:asciiTheme="minorHAnsi" w:eastAsiaTheme="minorEastAsia" w:hAnsiTheme="minorHAnsi"/>
          <w:sz w:val="22"/>
          <w:lang w:eastAsia="en-AU"/>
        </w:rPr>
      </w:pPr>
      <w:hyperlink w:anchor="_Toc108173972" w:history="1">
        <w:r w:rsidR="004242C1" w:rsidRPr="00463FE4">
          <w:rPr>
            <w:rStyle w:val="Hyperlink"/>
          </w:rPr>
          <w:t>2.1</w:t>
        </w:r>
        <w:r w:rsidR="004242C1">
          <w:rPr>
            <w:rFonts w:asciiTheme="minorHAnsi" w:eastAsiaTheme="minorEastAsia" w:hAnsiTheme="minorHAnsi"/>
            <w:sz w:val="22"/>
            <w:lang w:eastAsia="en-AU"/>
          </w:rPr>
          <w:tab/>
        </w:r>
        <w:r w:rsidR="004242C1" w:rsidRPr="00463FE4">
          <w:rPr>
            <w:rStyle w:val="Hyperlink"/>
          </w:rPr>
          <w:t>Overview of the headspace model</w:t>
        </w:r>
        <w:r w:rsidR="004242C1">
          <w:rPr>
            <w:webHidden/>
          </w:rPr>
          <w:tab/>
        </w:r>
        <w:r w:rsidR="004242C1">
          <w:rPr>
            <w:webHidden/>
          </w:rPr>
          <w:fldChar w:fldCharType="begin"/>
        </w:r>
        <w:r w:rsidR="004242C1">
          <w:rPr>
            <w:webHidden/>
          </w:rPr>
          <w:instrText xml:space="preserve"> PAGEREF _Toc108173972 \h </w:instrText>
        </w:r>
        <w:r w:rsidR="004242C1">
          <w:rPr>
            <w:webHidden/>
          </w:rPr>
        </w:r>
        <w:r w:rsidR="004242C1">
          <w:rPr>
            <w:webHidden/>
          </w:rPr>
          <w:fldChar w:fldCharType="separate"/>
        </w:r>
        <w:r w:rsidR="00CC0438">
          <w:rPr>
            <w:webHidden/>
          </w:rPr>
          <w:t>32</w:t>
        </w:r>
        <w:r w:rsidR="004242C1">
          <w:rPr>
            <w:webHidden/>
          </w:rPr>
          <w:fldChar w:fldCharType="end"/>
        </w:r>
      </w:hyperlink>
    </w:p>
    <w:p w14:paraId="4218D8DC" w14:textId="778FC74D" w:rsidR="004242C1" w:rsidRDefault="00F333C3">
      <w:pPr>
        <w:pStyle w:val="TOC2"/>
        <w:rPr>
          <w:rFonts w:asciiTheme="minorHAnsi" w:eastAsiaTheme="minorEastAsia" w:hAnsiTheme="minorHAnsi"/>
          <w:sz w:val="22"/>
          <w:lang w:eastAsia="en-AU"/>
        </w:rPr>
      </w:pPr>
      <w:hyperlink w:anchor="_Toc108173973" w:history="1">
        <w:r w:rsidR="004242C1" w:rsidRPr="00463FE4">
          <w:rPr>
            <w:rStyle w:val="Hyperlink"/>
          </w:rPr>
          <w:t>2.2</w:t>
        </w:r>
        <w:r w:rsidR="004242C1">
          <w:rPr>
            <w:rFonts w:asciiTheme="minorHAnsi" w:eastAsiaTheme="minorEastAsia" w:hAnsiTheme="minorHAnsi"/>
            <w:sz w:val="22"/>
            <w:lang w:eastAsia="en-AU"/>
          </w:rPr>
          <w:tab/>
        </w:r>
        <w:r w:rsidR="004242C1" w:rsidRPr="00463FE4">
          <w:rPr>
            <w:rStyle w:val="Hyperlink"/>
          </w:rPr>
          <w:t>What success looks like for headspace</w:t>
        </w:r>
        <w:r w:rsidR="004242C1">
          <w:rPr>
            <w:webHidden/>
          </w:rPr>
          <w:tab/>
        </w:r>
        <w:r w:rsidR="004242C1">
          <w:rPr>
            <w:webHidden/>
          </w:rPr>
          <w:fldChar w:fldCharType="begin"/>
        </w:r>
        <w:r w:rsidR="004242C1">
          <w:rPr>
            <w:webHidden/>
          </w:rPr>
          <w:instrText xml:space="preserve"> PAGEREF _Toc108173973 \h </w:instrText>
        </w:r>
        <w:r w:rsidR="004242C1">
          <w:rPr>
            <w:webHidden/>
          </w:rPr>
        </w:r>
        <w:r w:rsidR="004242C1">
          <w:rPr>
            <w:webHidden/>
          </w:rPr>
          <w:fldChar w:fldCharType="separate"/>
        </w:r>
        <w:r w:rsidR="00CC0438">
          <w:rPr>
            <w:webHidden/>
          </w:rPr>
          <w:t>35</w:t>
        </w:r>
        <w:r w:rsidR="004242C1">
          <w:rPr>
            <w:webHidden/>
          </w:rPr>
          <w:fldChar w:fldCharType="end"/>
        </w:r>
      </w:hyperlink>
    </w:p>
    <w:p w14:paraId="4E445899" w14:textId="1747C583" w:rsidR="004242C1" w:rsidRDefault="00F333C3">
      <w:pPr>
        <w:pStyle w:val="TOC2"/>
        <w:rPr>
          <w:rFonts w:asciiTheme="minorHAnsi" w:eastAsiaTheme="minorEastAsia" w:hAnsiTheme="minorHAnsi"/>
          <w:sz w:val="22"/>
          <w:lang w:eastAsia="en-AU"/>
        </w:rPr>
      </w:pPr>
      <w:hyperlink w:anchor="_Toc108173974" w:history="1">
        <w:r w:rsidR="004242C1" w:rsidRPr="00463FE4">
          <w:rPr>
            <w:rStyle w:val="Hyperlink"/>
            <w:lang w:eastAsia="en-AU"/>
          </w:rPr>
          <w:t>2.3</w:t>
        </w:r>
        <w:r w:rsidR="004242C1">
          <w:rPr>
            <w:rFonts w:asciiTheme="minorHAnsi" w:eastAsiaTheme="minorEastAsia" w:hAnsiTheme="minorHAnsi"/>
            <w:sz w:val="22"/>
            <w:lang w:eastAsia="en-AU"/>
          </w:rPr>
          <w:tab/>
        </w:r>
        <w:r w:rsidR="004242C1" w:rsidRPr="00463FE4">
          <w:rPr>
            <w:rStyle w:val="Hyperlink"/>
            <w:lang w:eastAsia="en-AU"/>
          </w:rPr>
          <w:t xml:space="preserve">Components of the </w:t>
        </w:r>
        <w:r w:rsidR="004242C1" w:rsidRPr="00463FE4">
          <w:rPr>
            <w:rStyle w:val="Hyperlink"/>
          </w:rPr>
          <w:t>headspace</w:t>
        </w:r>
        <w:r w:rsidR="004242C1" w:rsidRPr="00463FE4">
          <w:rPr>
            <w:rStyle w:val="Hyperlink"/>
            <w:lang w:eastAsia="en-AU"/>
          </w:rPr>
          <w:t xml:space="preserve"> model</w:t>
        </w:r>
        <w:r w:rsidR="004242C1">
          <w:rPr>
            <w:webHidden/>
          </w:rPr>
          <w:tab/>
        </w:r>
        <w:r w:rsidR="004242C1">
          <w:rPr>
            <w:webHidden/>
          </w:rPr>
          <w:fldChar w:fldCharType="begin"/>
        </w:r>
        <w:r w:rsidR="004242C1">
          <w:rPr>
            <w:webHidden/>
          </w:rPr>
          <w:instrText xml:space="preserve"> PAGEREF _Toc108173974 \h </w:instrText>
        </w:r>
        <w:r w:rsidR="004242C1">
          <w:rPr>
            <w:webHidden/>
          </w:rPr>
        </w:r>
        <w:r w:rsidR="004242C1">
          <w:rPr>
            <w:webHidden/>
          </w:rPr>
          <w:fldChar w:fldCharType="separate"/>
        </w:r>
        <w:r w:rsidR="00CC0438">
          <w:rPr>
            <w:webHidden/>
          </w:rPr>
          <w:t>44</w:t>
        </w:r>
        <w:r w:rsidR="004242C1">
          <w:rPr>
            <w:webHidden/>
          </w:rPr>
          <w:fldChar w:fldCharType="end"/>
        </w:r>
      </w:hyperlink>
    </w:p>
    <w:p w14:paraId="2F07B5E8" w14:textId="03AC6F87" w:rsidR="004242C1" w:rsidRDefault="00F333C3">
      <w:pPr>
        <w:pStyle w:val="TOC2"/>
        <w:rPr>
          <w:rFonts w:asciiTheme="minorHAnsi" w:eastAsiaTheme="minorEastAsia" w:hAnsiTheme="minorHAnsi"/>
          <w:sz w:val="22"/>
          <w:lang w:eastAsia="en-AU"/>
        </w:rPr>
      </w:pPr>
      <w:hyperlink w:anchor="_Toc108173975" w:history="1">
        <w:r w:rsidR="004242C1" w:rsidRPr="00463FE4">
          <w:rPr>
            <w:rStyle w:val="Hyperlink"/>
          </w:rPr>
          <w:t>2.4</w:t>
        </w:r>
        <w:r w:rsidR="004242C1">
          <w:rPr>
            <w:rFonts w:asciiTheme="minorHAnsi" w:eastAsiaTheme="minorEastAsia" w:hAnsiTheme="minorHAnsi"/>
            <w:sz w:val="22"/>
            <w:lang w:eastAsia="en-AU"/>
          </w:rPr>
          <w:tab/>
        </w:r>
        <w:r w:rsidR="004242C1" w:rsidRPr="00463FE4">
          <w:rPr>
            <w:rStyle w:val="Hyperlink"/>
          </w:rPr>
          <w:t>headspace in context</w:t>
        </w:r>
        <w:r w:rsidR="004242C1">
          <w:rPr>
            <w:webHidden/>
          </w:rPr>
          <w:tab/>
        </w:r>
        <w:r w:rsidR="004242C1">
          <w:rPr>
            <w:webHidden/>
          </w:rPr>
          <w:fldChar w:fldCharType="begin"/>
        </w:r>
        <w:r w:rsidR="004242C1">
          <w:rPr>
            <w:webHidden/>
          </w:rPr>
          <w:instrText xml:space="preserve"> PAGEREF _Toc108173975 \h </w:instrText>
        </w:r>
        <w:r w:rsidR="004242C1">
          <w:rPr>
            <w:webHidden/>
          </w:rPr>
        </w:r>
        <w:r w:rsidR="004242C1">
          <w:rPr>
            <w:webHidden/>
          </w:rPr>
          <w:fldChar w:fldCharType="separate"/>
        </w:r>
        <w:r w:rsidR="00CC0438">
          <w:rPr>
            <w:webHidden/>
          </w:rPr>
          <w:t>50</w:t>
        </w:r>
        <w:r w:rsidR="004242C1">
          <w:rPr>
            <w:webHidden/>
          </w:rPr>
          <w:fldChar w:fldCharType="end"/>
        </w:r>
      </w:hyperlink>
    </w:p>
    <w:p w14:paraId="55DA5454" w14:textId="5D6A9E56" w:rsidR="004242C1" w:rsidRDefault="00F333C3">
      <w:pPr>
        <w:pStyle w:val="TOC2"/>
        <w:rPr>
          <w:rFonts w:asciiTheme="minorHAnsi" w:eastAsiaTheme="minorEastAsia" w:hAnsiTheme="minorHAnsi"/>
          <w:sz w:val="22"/>
          <w:lang w:eastAsia="en-AU"/>
        </w:rPr>
      </w:pPr>
      <w:hyperlink w:anchor="_Toc108173976" w:history="1">
        <w:r w:rsidR="004242C1" w:rsidRPr="00463FE4">
          <w:rPr>
            <w:rStyle w:val="Hyperlink"/>
          </w:rPr>
          <w:t>2.5</w:t>
        </w:r>
        <w:r w:rsidR="004242C1">
          <w:rPr>
            <w:rFonts w:asciiTheme="minorHAnsi" w:eastAsiaTheme="minorEastAsia" w:hAnsiTheme="minorHAnsi"/>
            <w:sz w:val="22"/>
            <w:lang w:eastAsia="en-AU"/>
          </w:rPr>
          <w:tab/>
        </w:r>
        <w:r w:rsidR="004242C1" w:rsidRPr="00463FE4">
          <w:rPr>
            <w:rStyle w:val="Hyperlink"/>
          </w:rPr>
          <w:t>Services currently available at headspace</w:t>
        </w:r>
        <w:r w:rsidR="004242C1">
          <w:rPr>
            <w:webHidden/>
          </w:rPr>
          <w:tab/>
        </w:r>
        <w:r w:rsidR="004242C1">
          <w:rPr>
            <w:webHidden/>
          </w:rPr>
          <w:fldChar w:fldCharType="begin"/>
        </w:r>
        <w:r w:rsidR="004242C1">
          <w:rPr>
            <w:webHidden/>
          </w:rPr>
          <w:instrText xml:space="preserve"> PAGEREF _Toc108173976 \h </w:instrText>
        </w:r>
        <w:r w:rsidR="004242C1">
          <w:rPr>
            <w:webHidden/>
          </w:rPr>
        </w:r>
        <w:r w:rsidR="004242C1">
          <w:rPr>
            <w:webHidden/>
          </w:rPr>
          <w:fldChar w:fldCharType="separate"/>
        </w:r>
        <w:r w:rsidR="00CC0438">
          <w:rPr>
            <w:webHidden/>
          </w:rPr>
          <w:t>59</w:t>
        </w:r>
        <w:r w:rsidR="004242C1">
          <w:rPr>
            <w:webHidden/>
          </w:rPr>
          <w:fldChar w:fldCharType="end"/>
        </w:r>
      </w:hyperlink>
    </w:p>
    <w:p w14:paraId="33E20C8F" w14:textId="39DEAB41" w:rsidR="004242C1" w:rsidRDefault="00F333C3">
      <w:pPr>
        <w:pStyle w:val="TOC2"/>
        <w:rPr>
          <w:rFonts w:asciiTheme="minorHAnsi" w:eastAsiaTheme="minorEastAsia" w:hAnsiTheme="minorHAnsi"/>
          <w:sz w:val="22"/>
          <w:lang w:eastAsia="en-AU"/>
        </w:rPr>
      </w:pPr>
      <w:hyperlink w:anchor="_Toc108173977" w:history="1">
        <w:r w:rsidR="004242C1" w:rsidRPr="00463FE4">
          <w:rPr>
            <w:rStyle w:val="Hyperlink"/>
          </w:rPr>
          <w:t>2.6</w:t>
        </w:r>
        <w:r w:rsidR="004242C1">
          <w:rPr>
            <w:rFonts w:asciiTheme="minorHAnsi" w:eastAsiaTheme="minorEastAsia" w:hAnsiTheme="minorHAnsi"/>
            <w:sz w:val="22"/>
            <w:lang w:eastAsia="en-AU"/>
          </w:rPr>
          <w:tab/>
        </w:r>
        <w:r w:rsidR="004242C1" w:rsidRPr="00463FE4">
          <w:rPr>
            <w:rStyle w:val="Hyperlink"/>
          </w:rPr>
          <w:t>Changes to services available over the last five years</w:t>
        </w:r>
        <w:r w:rsidR="004242C1">
          <w:rPr>
            <w:webHidden/>
          </w:rPr>
          <w:tab/>
        </w:r>
        <w:r w:rsidR="004242C1">
          <w:rPr>
            <w:webHidden/>
          </w:rPr>
          <w:fldChar w:fldCharType="begin"/>
        </w:r>
        <w:r w:rsidR="004242C1">
          <w:rPr>
            <w:webHidden/>
          </w:rPr>
          <w:instrText xml:space="preserve"> PAGEREF _Toc108173977 \h </w:instrText>
        </w:r>
        <w:r w:rsidR="004242C1">
          <w:rPr>
            <w:webHidden/>
          </w:rPr>
        </w:r>
        <w:r w:rsidR="004242C1">
          <w:rPr>
            <w:webHidden/>
          </w:rPr>
          <w:fldChar w:fldCharType="separate"/>
        </w:r>
        <w:r w:rsidR="00CC0438">
          <w:rPr>
            <w:webHidden/>
          </w:rPr>
          <w:t>69</w:t>
        </w:r>
        <w:r w:rsidR="004242C1">
          <w:rPr>
            <w:webHidden/>
          </w:rPr>
          <w:fldChar w:fldCharType="end"/>
        </w:r>
      </w:hyperlink>
    </w:p>
    <w:p w14:paraId="02088EF6" w14:textId="351B39F6" w:rsidR="004242C1" w:rsidRDefault="00F333C3">
      <w:pPr>
        <w:pStyle w:val="TOC2"/>
        <w:rPr>
          <w:rFonts w:asciiTheme="minorHAnsi" w:eastAsiaTheme="minorEastAsia" w:hAnsiTheme="minorHAnsi"/>
          <w:sz w:val="22"/>
          <w:lang w:eastAsia="en-AU"/>
        </w:rPr>
      </w:pPr>
      <w:hyperlink w:anchor="_Toc108173978" w:history="1">
        <w:r w:rsidR="004242C1" w:rsidRPr="00463FE4">
          <w:rPr>
            <w:rStyle w:val="Hyperlink"/>
          </w:rPr>
          <w:t>2.7</w:t>
        </w:r>
        <w:r w:rsidR="004242C1">
          <w:rPr>
            <w:rFonts w:asciiTheme="minorHAnsi" w:eastAsiaTheme="minorEastAsia" w:hAnsiTheme="minorHAnsi"/>
            <w:sz w:val="22"/>
            <w:lang w:eastAsia="en-AU"/>
          </w:rPr>
          <w:tab/>
        </w:r>
        <w:r w:rsidR="004242C1" w:rsidRPr="00463FE4">
          <w:rPr>
            <w:rStyle w:val="Hyperlink"/>
          </w:rPr>
          <w:t>Understanding headspace – in conclusion</w:t>
        </w:r>
        <w:r w:rsidR="004242C1">
          <w:rPr>
            <w:webHidden/>
          </w:rPr>
          <w:tab/>
        </w:r>
        <w:r w:rsidR="004242C1">
          <w:rPr>
            <w:webHidden/>
          </w:rPr>
          <w:fldChar w:fldCharType="begin"/>
        </w:r>
        <w:r w:rsidR="004242C1">
          <w:rPr>
            <w:webHidden/>
          </w:rPr>
          <w:instrText xml:space="preserve"> PAGEREF _Toc108173978 \h </w:instrText>
        </w:r>
        <w:r w:rsidR="004242C1">
          <w:rPr>
            <w:webHidden/>
          </w:rPr>
        </w:r>
        <w:r w:rsidR="004242C1">
          <w:rPr>
            <w:webHidden/>
          </w:rPr>
          <w:fldChar w:fldCharType="separate"/>
        </w:r>
        <w:r w:rsidR="00CC0438">
          <w:rPr>
            <w:webHidden/>
          </w:rPr>
          <w:t>76</w:t>
        </w:r>
        <w:r w:rsidR="004242C1">
          <w:rPr>
            <w:webHidden/>
          </w:rPr>
          <w:fldChar w:fldCharType="end"/>
        </w:r>
      </w:hyperlink>
    </w:p>
    <w:p w14:paraId="1D613202" w14:textId="2E5BAF18" w:rsidR="004242C1" w:rsidRDefault="00F333C3">
      <w:pPr>
        <w:pStyle w:val="TOC1"/>
        <w:rPr>
          <w:rFonts w:asciiTheme="minorHAnsi" w:eastAsiaTheme="minorEastAsia" w:hAnsiTheme="minorHAnsi"/>
          <w:lang w:eastAsia="en-AU"/>
        </w:rPr>
      </w:pPr>
      <w:hyperlink w:anchor="_Toc108173979" w:history="1">
        <w:r w:rsidR="004242C1" w:rsidRPr="00463FE4">
          <w:rPr>
            <w:rStyle w:val="Hyperlink"/>
          </w:rPr>
          <w:t>3</w:t>
        </w:r>
        <w:r w:rsidR="004242C1">
          <w:rPr>
            <w:rFonts w:asciiTheme="minorHAnsi" w:eastAsiaTheme="minorEastAsia" w:hAnsiTheme="minorHAnsi"/>
            <w:lang w:eastAsia="en-AU"/>
          </w:rPr>
          <w:tab/>
        </w:r>
        <w:r w:rsidR="004242C1" w:rsidRPr="00463FE4">
          <w:rPr>
            <w:rStyle w:val="Hyperlink"/>
          </w:rPr>
          <w:t>Effectiveness of headspace in achieving program outcomes</w:t>
        </w:r>
        <w:r w:rsidR="004242C1">
          <w:rPr>
            <w:webHidden/>
          </w:rPr>
          <w:tab/>
        </w:r>
        <w:r w:rsidR="004242C1">
          <w:rPr>
            <w:webHidden/>
          </w:rPr>
          <w:fldChar w:fldCharType="begin"/>
        </w:r>
        <w:r w:rsidR="004242C1">
          <w:rPr>
            <w:webHidden/>
          </w:rPr>
          <w:instrText xml:space="preserve"> PAGEREF _Toc108173979 \h </w:instrText>
        </w:r>
        <w:r w:rsidR="004242C1">
          <w:rPr>
            <w:webHidden/>
          </w:rPr>
        </w:r>
        <w:r w:rsidR="004242C1">
          <w:rPr>
            <w:webHidden/>
          </w:rPr>
          <w:fldChar w:fldCharType="separate"/>
        </w:r>
        <w:r w:rsidR="00CC0438">
          <w:rPr>
            <w:webHidden/>
          </w:rPr>
          <w:t>77</w:t>
        </w:r>
        <w:r w:rsidR="004242C1">
          <w:rPr>
            <w:webHidden/>
          </w:rPr>
          <w:fldChar w:fldCharType="end"/>
        </w:r>
      </w:hyperlink>
    </w:p>
    <w:p w14:paraId="34C84AE0" w14:textId="04DE772A" w:rsidR="004242C1" w:rsidRDefault="00F333C3">
      <w:pPr>
        <w:pStyle w:val="TOC2"/>
        <w:rPr>
          <w:rFonts w:asciiTheme="minorHAnsi" w:eastAsiaTheme="minorEastAsia" w:hAnsiTheme="minorHAnsi"/>
          <w:sz w:val="22"/>
          <w:lang w:eastAsia="en-AU"/>
        </w:rPr>
      </w:pPr>
      <w:hyperlink w:anchor="_Toc108173980" w:history="1">
        <w:r w:rsidR="004242C1" w:rsidRPr="00463FE4">
          <w:rPr>
            <w:rStyle w:val="Hyperlink"/>
          </w:rPr>
          <w:t>3.1</w:t>
        </w:r>
        <w:r w:rsidR="004242C1">
          <w:rPr>
            <w:rFonts w:asciiTheme="minorHAnsi" w:eastAsiaTheme="minorEastAsia" w:hAnsiTheme="minorHAnsi"/>
            <w:sz w:val="22"/>
            <w:lang w:eastAsia="en-AU"/>
          </w:rPr>
          <w:tab/>
        </w:r>
        <w:r w:rsidR="004242C1" w:rsidRPr="00463FE4">
          <w:rPr>
            <w:rStyle w:val="Hyperlink"/>
          </w:rPr>
          <w:t>Measuring outcomes of the headspace model</w:t>
        </w:r>
        <w:r w:rsidR="004242C1">
          <w:rPr>
            <w:webHidden/>
          </w:rPr>
          <w:tab/>
        </w:r>
        <w:r w:rsidR="004242C1">
          <w:rPr>
            <w:webHidden/>
          </w:rPr>
          <w:fldChar w:fldCharType="begin"/>
        </w:r>
        <w:r w:rsidR="004242C1">
          <w:rPr>
            <w:webHidden/>
          </w:rPr>
          <w:instrText xml:space="preserve"> PAGEREF _Toc108173980 \h </w:instrText>
        </w:r>
        <w:r w:rsidR="004242C1">
          <w:rPr>
            <w:webHidden/>
          </w:rPr>
        </w:r>
        <w:r w:rsidR="004242C1">
          <w:rPr>
            <w:webHidden/>
          </w:rPr>
          <w:fldChar w:fldCharType="separate"/>
        </w:r>
        <w:r w:rsidR="00CC0438">
          <w:rPr>
            <w:webHidden/>
          </w:rPr>
          <w:t>78</w:t>
        </w:r>
        <w:r w:rsidR="004242C1">
          <w:rPr>
            <w:webHidden/>
          </w:rPr>
          <w:fldChar w:fldCharType="end"/>
        </w:r>
      </w:hyperlink>
    </w:p>
    <w:p w14:paraId="02ED3D2F" w14:textId="1C49B2F9" w:rsidR="004242C1" w:rsidRDefault="00F333C3">
      <w:pPr>
        <w:pStyle w:val="TOC2"/>
        <w:rPr>
          <w:rFonts w:asciiTheme="minorHAnsi" w:eastAsiaTheme="minorEastAsia" w:hAnsiTheme="minorHAnsi"/>
          <w:sz w:val="22"/>
          <w:lang w:eastAsia="en-AU"/>
        </w:rPr>
      </w:pPr>
      <w:hyperlink w:anchor="_Toc108173981" w:history="1">
        <w:r w:rsidR="004242C1" w:rsidRPr="00463FE4">
          <w:rPr>
            <w:rStyle w:val="Hyperlink"/>
          </w:rPr>
          <w:t>3.2</w:t>
        </w:r>
        <w:r w:rsidR="004242C1">
          <w:rPr>
            <w:rFonts w:asciiTheme="minorHAnsi" w:eastAsiaTheme="minorEastAsia" w:hAnsiTheme="minorHAnsi"/>
            <w:sz w:val="22"/>
            <w:lang w:eastAsia="en-AU"/>
          </w:rPr>
          <w:tab/>
        </w:r>
        <w:r w:rsidR="004242C1" w:rsidRPr="00463FE4">
          <w:rPr>
            <w:rStyle w:val="Hyperlink"/>
          </w:rPr>
          <w:t>Effectiveness of the headspace model</w:t>
        </w:r>
        <w:r w:rsidR="004242C1">
          <w:rPr>
            <w:webHidden/>
          </w:rPr>
          <w:tab/>
        </w:r>
        <w:r w:rsidR="004242C1">
          <w:rPr>
            <w:webHidden/>
          </w:rPr>
          <w:fldChar w:fldCharType="begin"/>
        </w:r>
        <w:r w:rsidR="004242C1">
          <w:rPr>
            <w:webHidden/>
          </w:rPr>
          <w:instrText xml:space="preserve"> PAGEREF _Toc108173981 \h </w:instrText>
        </w:r>
        <w:r w:rsidR="004242C1">
          <w:rPr>
            <w:webHidden/>
          </w:rPr>
        </w:r>
        <w:r w:rsidR="004242C1">
          <w:rPr>
            <w:webHidden/>
          </w:rPr>
          <w:fldChar w:fldCharType="separate"/>
        </w:r>
        <w:r w:rsidR="00CC0438">
          <w:rPr>
            <w:webHidden/>
          </w:rPr>
          <w:t>85</w:t>
        </w:r>
        <w:r w:rsidR="004242C1">
          <w:rPr>
            <w:webHidden/>
          </w:rPr>
          <w:fldChar w:fldCharType="end"/>
        </w:r>
      </w:hyperlink>
    </w:p>
    <w:p w14:paraId="6250E454" w14:textId="55033C45" w:rsidR="004242C1" w:rsidRDefault="00F333C3">
      <w:pPr>
        <w:pStyle w:val="TOC2"/>
        <w:rPr>
          <w:rFonts w:asciiTheme="minorHAnsi" w:eastAsiaTheme="minorEastAsia" w:hAnsiTheme="minorHAnsi"/>
          <w:sz w:val="22"/>
          <w:lang w:eastAsia="en-AU"/>
        </w:rPr>
      </w:pPr>
      <w:hyperlink w:anchor="_Toc108173982" w:history="1">
        <w:r w:rsidR="004242C1" w:rsidRPr="00463FE4">
          <w:rPr>
            <w:rStyle w:val="Hyperlink"/>
          </w:rPr>
          <w:t>3.3</w:t>
        </w:r>
        <w:r w:rsidR="004242C1">
          <w:rPr>
            <w:rFonts w:asciiTheme="minorHAnsi" w:eastAsiaTheme="minorEastAsia" w:hAnsiTheme="minorHAnsi"/>
            <w:sz w:val="22"/>
            <w:lang w:eastAsia="en-AU"/>
          </w:rPr>
          <w:tab/>
        </w:r>
        <w:r w:rsidR="004242C1" w:rsidRPr="00463FE4">
          <w:rPr>
            <w:rStyle w:val="Hyperlink"/>
          </w:rPr>
          <w:t>Overall effectiveness of the headspace model</w:t>
        </w:r>
        <w:r w:rsidR="004242C1">
          <w:rPr>
            <w:webHidden/>
          </w:rPr>
          <w:tab/>
        </w:r>
        <w:r w:rsidR="004242C1">
          <w:rPr>
            <w:webHidden/>
          </w:rPr>
          <w:fldChar w:fldCharType="begin"/>
        </w:r>
        <w:r w:rsidR="004242C1">
          <w:rPr>
            <w:webHidden/>
          </w:rPr>
          <w:instrText xml:space="preserve"> PAGEREF _Toc108173982 \h </w:instrText>
        </w:r>
        <w:r w:rsidR="004242C1">
          <w:rPr>
            <w:webHidden/>
          </w:rPr>
        </w:r>
        <w:r w:rsidR="004242C1">
          <w:rPr>
            <w:webHidden/>
          </w:rPr>
          <w:fldChar w:fldCharType="separate"/>
        </w:r>
        <w:r w:rsidR="00CC0438">
          <w:rPr>
            <w:webHidden/>
          </w:rPr>
          <w:t>105</w:t>
        </w:r>
        <w:r w:rsidR="004242C1">
          <w:rPr>
            <w:webHidden/>
          </w:rPr>
          <w:fldChar w:fldCharType="end"/>
        </w:r>
      </w:hyperlink>
    </w:p>
    <w:p w14:paraId="54544375" w14:textId="4E35780D" w:rsidR="004242C1" w:rsidRDefault="00F333C3">
      <w:pPr>
        <w:pStyle w:val="TOC1"/>
        <w:rPr>
          <w:rFonts w:asciiTheme="minorHAnsi" w:eastAsiaTheme="minorEastAsia" w:hAnsiTheme="minorHAnsi"/>
          <w:lang w:eastAsia="en-AU"/>
        </w:rPr>
      </w:pPr>
      <w:hyperlink w:anchor="_Toc108173983" w:history="1">
        <w:r w:rsidR="004242C1" w:rsidRPr="00463FE4">
          <w:rPr>
            <w:rStyle w:val="Hyperlink"/>
          </w:rPr>
          <w:t>4</w:t>
        </w:r>
        <w:r w:rsidR="004242C1">
          <w:rPr>
            <w:rFonts w:asciiTheme="minorHAnsi" w:eastAsiaTheme="minorEastAsia" w:hAnsiTheme="minorHAnsi"/>
            <w:lang w:eastAsia="en-AU"/>
          </w:rPr>
          <w:tab/>
        </w:r>
        <w:r w:rsidR="004242C1" w:rsidRPr="00463FE4">
          <w:rPr>
            <w:rStyle w:val="Hyperlink"/>
          </w:rPr>
          <w:t>Cost-effectiveness and value of headspace</w:t>
        </w:r>
        <w:r w:rsidR="004242C1">
          <w:rPr>
            <w:webHidden/>
          </w:rPr>
          <w:tab/>
        </w:r>
        <w:r w:rsidR="004242C1">
          <w:rPr>
            <w:webHidden/>
          </w:rPr>
          <w:fldChar w:fldCharType="begin"/>
        </w:r>
        <w:r w:rsidR="004242C1">
          <w:rPr>
            <w:webHidden/>
          </w:rPr>
          <w:instrText xml:space="preserve"> PAGEREF _Toc108173983 \h </w:instrText>
        </w:r>
        <w:r w:rsidR="004242C1">
          <w:rPr>
            <w:webHidden/>
          </w:rPr>
        </w:r>
        <w:r w:rsidR="004242C1">
          <w:rPr>
            <w:webHidden/>
          </w:rPr>
          <w:fldChar w:fldCharType="separate"/>
        </w:r>
        <w:r w:rsidR="00CC0438">
          <w:rPr>
            <w:webHidden/>
          </w:rPr>
          <w:t>108</w:t>
        </w:r>
        <w:r w:rsidR="004242C1">
          <w:rPr>
            <w:webHidden/>
          </w:rPr>
          <w:fldChar w:fldCharType="end"/>
        </w:r>
      </w:hyperlink>
    </w:p>
    <w:p w14:paraId="3FACC149" w14:textId="0C71AD93" w:rsidR="004242C1" w:rsidRDefault="00F333C3">
      <w:pPr>
        <w:pStyle w:val="TOC2"/>
        <w:rPr>
          <w:rFonts w:asciiTheme="minorHAnsi" w:eastAsiaTheme="minorEastAsia" w:hAnsiTheme="minorHAnsi"/>
          <w:sz w:val="22"/>
          <w:lang w:eastAsia="en-AU"/>
        </w:rPr>
      </w:pPr>
      <w:hyperlink w:anchor="_Toc108173984" w:history="1">
        <w:r w:rsidR="004242C1" w:rsidRPr="00463FE4">
          <w:rPr>
            <w:rStyle w:val="Hyperlink"/>
          </w:rPr>
          <w:t>4.1</w:t>
        </w:r>
        <w:r w:rsidR="004242C1">
          <w:rPr>
            <w:rFonts w:asciiTheme="minorHAnsi" w:eastAsiaTheme="minorEastAsia" w:hAnsiTheme="minorHAnsi"/>
            <w:sz w:val="22"/>
            <w:lang w:eastAsia="en-AU"/>
          </w:rPr>
          <w:tab/>
        </w:r>
        <w:r w:rsidR="004242C1" w:rsidRPr="00463FE4">
          <w:rPr>
            <w:rStyle w:val="Hyperlink"/>
          </w:rPr>
          <w:t>The full cost of delivering headspace</w:t>
        </w:r>
        <w:r w:rsidR="004242C1">
          <w:rPr>
            <w:webHidden/>
          </w:rPr>
          <w:tab/>
        </w:r>
        <w:r w:rsidR="004242C1">
          <w:rPr>
            <w:webHidden/>
          </w:rPr>
          <w:fldChar w:fldCharType="begin"/>
        </w:r>
        <w:r w:rsidR="004242C1">
          <w:rPr>
            <w:webHidden/>
          </w:rPr>
          <w:instrText xml:space="preserve"> PAGEREF _Toc108173984 \h </w:instrText>
        </w:r>
        <w:r w:rsidR="004242C1">
          <w:rPr>
            <w:webHidden/>
          </w:rPr>
        </w:r>
        <w:r w:rsidR="004242C1">
          <w:rPr>
            <w:webHidden/>
          </w:rPr>
          <w:fldChar w:fldCharType="separate"/>
        </w:r>
        <w:r w:rsidR="00CC0438">
          <w:rPr>
            <w:webHidden/>
          </w:rPr>
          <w:t>108</w:t>
        </w:r>
        <w:r w:rsidR="004242C1">
          <w:rPr>
            <w:webHidden/>
          </w:rPr>
          <w:fldChar w:fldCharType="end"/>
        </w:r>
      </w:hyperlink>
    </w:p>
    <w:p w14:paraId="617FE8EE" w14:textId="618A859E" w:rsidR="004242C1" w:rsidRDefault="00F333C3">
      <w:pPr>
        <w:pStyle w:val="TOC2"/>
        <w:rPr>
          <w:rFonts w:asciiTheme="minorHAnsi" w:eastAsiaTheme="minorEastAsia" w:hAnsiTheme="minorHAnsi"/>
          <w:sz w:val="22"/>
          <w:lang w:eastAsia="en-AU"/>
        </w:rPr>
      </w:pPr>
      <w:hyperlink w:anchor="_Toc108173985" w:history="1">
        <w:r w:rsidR="004242C1" w:rsidRPr="00463FE4">
          <w:rPr>
            <w:rStyle w:val="Hyperlink"/>
          </w:rPr>
          <w:t>4.2</w:t>
        </w:r>
        <w:r w:rsidR="004242C1">
          <w:rPr>
            <w:rFonts w:asciiTheme="minorHAnsi" w:eastAsiaTheme="minorEastAsia" w:hAnsiTheme="minorHAnsi"/>
            <w:sz w:val="22"/>
            <w:lang w:eastAsia="en-AU"/>
          </w:rPr>
          <w:tab/>
        </w:r>
        <w:r w:rsidR="004242C1" w:rsidRPr="00463FE4">
          <w:rPr>
            <w:rStyle w:val="Hyperlink"/>
          </w:rPr>
          <w:t>Economic evaluation of services provided by headspace</w:t>
        </w:r>
        <w:r w:rsidR="004242C1">
          <w:rPr>
            <w:webHidden/>
          </w:rPr>
          <w:tab/>
        </w:r>
        <w:r w:rsidR="004242C1">
          <w:rPr>
            <w:webHidden/>
          </w:rPr>
          <w:fldChar w:fldCharType="begin"/>
        </w:r>
        <w:r w:rsidR="004242C1">
          <w:rPr>
            <w:webHidden/>
          </w:rPr>
          <w:instrText xml:space="preserve"> PAGEREF _Toc108173985 \h </w:instrText>
        </w:r>
        <w:r w:rsidR="004242C1">
          <w:rPr>
            <w:webHidden/>
          </w:rPr>
        </w:r>
        <w:r w:rsidR="004242C1">
          <w:rPr>
            <w:webHidden/>
          </w:rPr>
          <w:fldChar w:fldCharType="separate"/>
        </w:r>
        <w:r w:rsidR="00CC0438">
          <w:rPr>
            <w:webHidden/>
          </w:rPr>
          <w:t>118</w:t>
        </w:r>
        <w:r w:rsidR="004242C1">
          <w:rPr>
            <w:webHidden/>
          </w:rPr>
          <w:fldChar w:fldCharType="end"/>
        </w:r>
      </w:hyperlink>
    </w:p>
    <w:p w14:paraId="0317E362" w14:textId="7BD39420" w:rsidR="004242C1" w:rsidRDefault="00F333C3">
      <w:pPr>
        <w:pStyle w:val="TOC1"/>
        <w:rPr>
          <w:rFonts w:asciiTheme="minorHAnsi" w:eastAsiaTheme="minorEastAsia" w:hAnsiTheme="minorHAnsi"/>
          <w:lang w:eastAsia="en-AU"/>
        </w:rPr>
      </w:pPr>
      <w:hyperlink w:anchor="_Toc108173986" w:history="1">
        <w:r w:rsidR="004242C1" w:rsidRPr="00463FE4">
          <w:rPr>
            <w:rStyle w:val="Hyperlink"/>
          </w:rPr>
          <w:t>5</w:t>
        </w:r>
        <w:r w:rsidR="004242C1">
          <w:rPr>
            <w:rFonts w:asciiTheme="minorHAnsi" w:eastAsiaTheme="minorEastAsia" w:hAnsiTheme="minorHAnsi"/>
            <w:lang w:eastAsia="en-AU"/>
          </w:rPr>
          <w:tab/>
        </w:r>
        <w:r w:rsidR="004242C1" w:rsidRPr="00463FE4">
          <w:rPr>
            <w:rStyle w:val="Hyperlink"/>
          </w:rPr>
          <w:t>Factors affecting the future implementation, sustainability and enhancement of headspace</w:t>
        </w:r>
        <w:r w:rsidR="004242C1">
          <w:rPr>
            <w:webHidden/>
          </w:rPr>
          <w:tab/>
        </w:r>
        <w:r w:rsidR="004242C1">
          <w:rPr>
            <w:webHidden/>
          </w:rPr>
          <w:fldChar w:fldCharType="begin"/>
        </w:r>
        <w:r w:rsidR="004242C1">
          <w:rPr>
            <w:webHidden/>
          </w:rPr>
          <w:instrText xml:space="preserve"> PAGEREF _Toc108173986 \h </w:instrText>
        </w:r>
        <w:r w:rsidR="004242C1">
          <w:rPr>
            <w:webHidden/>
          </w:rPr>
        </w:r>
        <w:r w:rsidR="004242C1">
          <w:rPr>
            <w:webHidden/>
          </w:rPr>
          <w:fldChar w:fldCharType="separate"/>
        </w:r>
        <w:r w:rsidR="00CC0438">
          <w:rPr>
            <w:webHidden/>
          </w:rPr>
          <w:t>127</w:t>
        </w:r>
        <w:r w:rsidR="004242C1">
          <w:rPr>
            <w:webHidden/>
          </w:rPr>
          <w:fldChar w:fldCharType="end"/>
        </w:r>
      </w:hyperlink>
    </w:p>
    <w:p w14:paraId="467ACFD0" w14:textId="6BA4A6BB" w:rsidR="004242C1" w:rsidRDefault="00F333C3">
      <w:pPr>
        <w:pStyle w:val="TOC2"/>
        <w:rPr>
          <w:rFonts w:asciiTheme="minorHAnsi" w:eastAsiaTheme="minorEastAsia" w:hAnsiTheme="minorHAnsi"/>
          <w:sz w:val="22"/>
          <w:lang w:eastAsia="en-AU"/>
        </w:rPr>
      </w:pPr>
      <w:hyperlink w:anchor="_Toc108173987" w:history="1">
        <w:r w:rsidR="004242C1" w:rsidRPr="00463FE4">
          <w:rPr>
            <w:rStyle w:val="Hyperlink"/>
            <w:lang w:eastAsia="en-AU"/>
          </w:rPr>
          <w:t>5.1</w:t>
        </w:r>
        <w:r w:rsidR="004242C1">
          <w:rPr>
            <w:rFonts w:asciiTheme="minorHAnsi" w:eastAsiaTheme="minorEastAsia" w:hAnsiTheme="minorHAnsi"/>
            <w:sz w:val="22"/>
            <w:lang w:eastAsia="en-AU"/>
          </w:rPr>
          <w:tab/>
        </w:r>
        <w:r w:rsidR="004242C1" w:rsidRPr="00463FE4">
          <w:rPr>
            <w:rStyle w:val="Hyperlink"/>
            <w:lang w:eastAsia="en-AU"/>
          </w:rPr>
          <w:t>Barriers and enablers to headspace meeting its objectives</w:t>
        </w:r>
        <w:r w:rsidR="004242C1">
          <w:rPr>
            <w:webHidden/>
          </w:rPr>
          <w:tab/>
        </w:r>
        <w:r w:rsidR="004242C1">
          <w:rPr>
            <w:webHidden/>
          </w:rPr>
          <w:fldChar w:fldCharType="begin"/>
        </w:r>
        <w:r w:rsidR="004242C1">
          <w:rPr>
            <w:webHidden/>
          </w:rPr>
          <w:instrText xml:space="preserve"> PAGEREF _Toc108173987 \h </w:instrText>
        </w:r>
        <w:r w:rsidR="004242C1">
          <w:rPr>
            <w:webHidden/>
          </w:rPr>
        </w:r>
        <w:r w:rsidR="004242C1">
          <w:rPr>
            <w:webHidden/>
          </w:rPr>
          <w:fldChar w:fldCharType="separate"/>
        </w:r>
        <w:r w:rsidR="00CC0438">
          <w:rPr>
            <w:webHidden/>
          </w:rPr>
          <w:t>127</w:t>
        </w:r>
        <w:r w:rsidR="004242C1">
          <w:rPr>
            <w:webHidden/>
          </w:rPr>
          <w:fldChar w:fldCharType="end"/>
        </w:r>
      </w:hyperlink>
    </w:p>
    <w:p w14:paraId="708334A8" w14:textId="784AC727" w:rsidR="004242C1" w:rsidRDefault="00F333C3">
      <w:pPr>
        <w:pStyle w:val="TOC2"/>
        <w:rPr>
          <w:rFonts w:asciiTheme="minorHAnsi" w:eastAsiaTheme="minorEastAsia" w:hAnsiTheme="minorHAnsi"/>
          <w:sz w:val="22"/>
          <w:lang w:eastAsia="en-AU"/>
        </w:rPr>
      </w:pPr>
      <w:hyperlink w:anchor="_Toc108173988" w:history="1">
        <w:r w:rsidR="004242C1" w:rsidRPr="00463FE4">
          <w:rPr>
            <w:rStyle w:val="Hyperlink"/>
            <w:lang w:eastAsia="en-AU"/>
          </w:rPr>
          <w:t>5.2</w:t>
        </w:r>
        <w:r w:rsidR="004242C1">
          <w:rPr>
            <w:rFonts w:asciiTheme="minorHAnsi" w:eastAsiaTheme="minorEastAsia" w:hAnsiTheme="minorHAnsi"/>
            <w:sz w:val="22"/>
            <w:lang w:eastAsia="en-AU"/>
          </w:rPr>
          <w:tab/>
        </w:r>
        <w:r w:rsidR="004242C1" w:rsidRPr="00463FE4">
          <w:rPr>
            <w:rStyle w:val="Hyperlink"/>
            <w:lang w:eastAsia="en-AU"/>
          </w:rPr>
          <w:t>External factors that have impacted or will impact headspace objectives being delivered</w:t>
        </w:r>
        <w:r w:rsidR="004242C1">
          <w:rPr>
            <w:webHidden/>
          </w:rPr>
          <w:tab/>
        </w:r>
        <w:r w:rsidR="004242C1">
          <w:rPr>
            <w:webHidden/>
          </w:rPr>
          <w:fldChar w:fldCharType="begin"/>
        </w:r>
        <w:r w:rsidR="004242C1">
          <w:rPr>
            <w:webHidden/>
          </w:rPr>
          <w:instrText xml:space="preserve"> PAGEREF _Toc108173988 \h </w:instrText>
        </w:r>
        <w:r w:rsidR="004242C1">
          <w:rPr>
            <w:webHidden/>
          </w:rPr>
        </w:r>
        <w:r w:rsidR="004242C1">
          <w:rPr>
            <w:webHidden/>
          </w:rPr>
          <w:fldChar w:fldCharType="separate"/>
        </w:r>
        <w:r w:rsidR="00CC0438">
          <w:rPr>
            <w:webHidden/>
          </w:rPr>
          <w:t>131</w:t>
        </w:r>
        <w:r w:rsidR="004242C1">
          <w:rPr>
            <w:webHidden/>
          </w:rPr>
          <w:fldChar w:fldCharType="end"/>
        </w:r>
      </w:hyperlink>
    </w:p>
    <w:p w14:paraId="7487F68E" w14:textId="5F3FD2D7" w:rsidR="004242C1" w:rsidRDefault="00F333C3">
      <w:pPr>
        <w:pStyle w:val="TOC2"/>
        <w:rPr>
          <w:rFonts w:asciiTheme="minorHAnsi" w:eastAsiaTheme="minorEastAsia" w:hAnsiTheme="minorHAnsi"/>
          <w:sz w:val="22"/>
          <w:lang w:eastAsia="en-AU"/>
        </w:rPr>
      </w:pPr>
      <w:hyperlink w:anchor="_Toc108173989" w:history="1">
        <w:r w:rsidR="004242C1" w:rsidRPr="00463FE4">
          <w:rPr>
            <w:rStyle w:val="Hyperlink"/>
          </w:rPr>
          <w:t>5.3</w:t>
        </w:r>
        <w:r w:rsidR="004242C1">
          <w:rPr>
            <w:rFonts w:asciiTheme="minorHAnsi" w:eastAsiaTheme="minorEastAsia" w:hAnsiTheme="minorHAnsi"/>
            <w:sz w:val="22"/>
            <w:lang w:eastAsia="en-AU"/>
          </w:rPr>
          <w:tab/>
        </w:r>
        <w:r w:rsidR="004242C1" w:rsidRPr="00463FE4">
          <w:rPr>
            <w:rStyle w:val="Hyperlink"/>
          </w:rPr>
          <w:t>Changes required to the design of headspace to enable it to meet its objectives</w:t>
        </w:r>
        <w:r w:rsidR="004242C1">
          <w:rPr>
            <w:webHidden/>
          </w:rPr>
          <w:tab/>
        </w:r>
        <w:r w:rsidR="004242C1">
          <w:rPr>
            <w:webHidden/>
          </w:rPr>
          <w:fldChar w:fldCharType="begin"/>
        </w:r>
        <w:r w:rsidR="004242C1">
          <w:rPr>
            <w:webHidden/>
          </w:rPr>
          <w:instrText xml:space="preserve"> PAGEREF _Toc108173989 \h </w:instrText>
        </w:r>
        <w:r w:rsidR="004242C1">
          <w:rPr>
            <w:webHidden/>
          </w:rPr>
        </w:r>
        <w:r w:rsidR="004242C1">
          <w:rPr>
            <w:webHidden/>
          </w:rPr>
          <w:fldChar w:fldCharType="separate"/>
        </w:r>
        <w:r w:rsidR="00CC0438">
          <w:rPr>
            <w:webHidden/>
          </w:rPr>
          <w:t>132</w:t>
        </w:r>
        <w:r w:rsidR="004242C1">
          <w:rPr>
            <w:webHidden/>
          </w:rPr>
          <w:fldChar w:fldCharType="end"/>
        </w:r>
      </w:hyperlink>
    </w:p>
    <w:p w14:paraId="1F0AAA96" w14:textId="402DC53C" w:rsidR="004242C1" w:rsidRDefault="00F333C3">
      <w:pPr>
        <w:pStyle w:val="TOC2"/>
        <w:rPr>
          <w:rFonts w:asciiTheme="minorHAnsi" w:eastAsiaTheme="minorEastAsia" w:hAnsiTheme="minorHAnsi"/>
          <w:sz w:val="22"/>
          <w:lang w:eastAsia="en-AU"/>
        </w:rPr>
      </w:pPr>
      <w:hyperlink w:anchor="_Toc108173990" w:history="1">
        <w:r w:rsidR="004242C1" w:rsidRPr="00463FE4">
          <w:rPr>
            <w:rStyle w:val="Hyperlink"/>
          </w:rPr>
          <w:t>5.4</w:t>
        </w:r>
        <w:r w:rsidR="004242C1">
          <w:rPr>
            <w:rFonts w:asciiTheme="minorHAnsi" w:eastAsiaTheme="minorEastAsia" w:hAnsiTheme="minorHAnsi"/>
            <w:sz w:val="22"/>
            <w:lang w:eastAsia="en-AU"/>
          </w:rPr>
          <w:tab/>
        </w:r>
        <w:r w:rsidR="004242C1" w:rsidRPr="00463FE4">
          <w:rPr>
            <w:rStyle w:val="Hyperlink"/>
          </w:rPr>
          <w:t>Changes required to the implementation of headspace to enable it to meet its objectives</w:t>
        </w:r>
        <w:r w:rsidR="004242C1">
          <w:rPr>
            <w:webHidden/>
          </w:rPr>
          <w:tab/>
        </w:r>
        <w:r w:rsidR="004242C1">
          <w:rPr>
            <w:webHidden/>
          </w:rPr>
          <w:fldChar w:fldCharType="begin"/>
        </w:r>
        <w:r w:rsidR="004242C1">
          <w:rPr>
            <w:webHidden/>
          </w:rPr>
          <w:instrText xml:space="preserve"> PAGEREF _Toc108173990 \h </w:instrText>
        </w:r>
        <w:r w:rsidR="004242C1">
          <w:rPr>
            <w:webHidden/>
          </w:rPr>
        </w:r>
        <w:r w:rsidR="004242C1">
          <w:rPr>
            <w:webHidden/>
          </w:rPr>
          <w:fldChar w:fldCharType="separate"/>
        </w:r>
        <w:r w:rsidR="00CC0438">
          <w:rPr>
            <w:webHidden/>
          </w:rPr>
          <w:t>133</w:t>
        </w:r>
        <w:r w:rsidR="004242C1">
          <w:rPr>
            <w:webHidden/>
          </w:rPr>
          <w:fldChar w:fldCharType="end"/>
        </w:r>
      </w:hyperlink>
    </w:p>
    <w:p w14:paraId="773EFFDA" w14:textId="56A48650" w:rsidR="004242C1" w:rsidRDefault="00F333C3">
      <w:pPr>
        <w:pStyle w:val="TOC2"/>
        <w:rPr>
          <w:rFonts w:asciiTheme="minorHAnsi" w:eastAsiaTheme="minorEastAsia" w:hAnsiTheme="minorHAnsi"/>
          <w:sz w:val="22"/>
          <w:lang w:eastAsia="en-AU"/>
        </w:rPr>
      </w:pPr>
      <w:hyperlink w:anchor="_Toc108173991" w:history="1">
        <w:r w:rsidR="004242C1" w:rsidRPr="00463FE4">
          <w:rPr>
            <w:rStyle w:val="Hyperlink"/>
          </w:rPr>
          <w:t>5.5</w:t>
        </w:r>
        <w:r w:rsidR="004242C1">
          <w:rPr>
            <w:rFonts w:asciiTheme="minorHAnsi" w:eastAsiaTheme="minorEastAsia" w:hAnsiTheme="minorHAnsi"/>
            <w:sz w:val="22"/>
            <w:lang w:eastAsia="en-AU"/>
          </w:rPr>
          <w:tab/>
        </w:r>
        <w:r w:rsidR="004242C1" w:rsidRPr="00463FE4">
          <w:rPr>
            <w:rStyle w:val="Hyperlink"/>
          </w:rPr>
          <w:t>Changes required to the funding arrangements of headspace to enable it to meet its objectives</w:t>
        </w:r>
        <w:r w:rsidR="004242C1">
          <w:rPr>
            <w:webHidden/>
          </w:rPr>
          <w:tab/>
        </w:r>
        <w:r w:rsidR="004242C1">
          <w:rPr>
            <w:webHidden/>
          </w:rPr>
          <w:fldChar w:fldCharType="begin"/>
        </w:r>
        <w:r w:rsidR="004242C1">
          <w:rPr>
            <w:webHidden/>
          </w:rPr>
          <w:instrText xml:space="preserve"> PAGEREF _Toc108173991 \h </w:instrText>
        </w:r>
        <w:r w:rsidR="004242C1">
          <w:rPr>
            <w:webHidden/>
          </w:rPr>
        </w:r>
        <w:r w:rsidR="004242C1">
          <w:rPr>
            <w:webHidden/>
          </w:rPr>
          <w:fldChar w:fldCharType="separate"/>
        </w:r>
        <w:r w:rsidR="00CC0438">
          <w:rPr>
            <w:webHidden/>
          </w:rPr>
          <w:t>142</w:t>
        </w:r>
        <w:r w:rsidR="004242C1">
          <w:rPr>
            <w:webHidden/>
          </w:rPr>
          <w:fldChar w:fldCharType="end"/>
        </w:r>
      </w:hyperlink>
    </w:p>
    <w:p w14:paraId="46EA3359" w14:textId="1B9B7D84" w:rsidR="004242C1" w:rsidRDefault="00F333C3">
      <w:pPr>
        <w:pStyle w:val="TOC2"/>
        <w:rPr>
          <w:rFonts w:asciiTheme="minorHAnsi" w:eastAsiaTheme="minorEastAsia" w:hAnsiTheme="minorHAnsi"/>
          <w:sz w:val="22"/>
          <w:lang w:eastAsia="en-AU"/>
        </w:rPr>
      </w:pPr>
      <w:hyperlink w:anchor="_Toc108173992" w:history="1">
        <w:r w:rsidR="004242C1" w:rsidRPr="00463FE4">
          <w:rPr>
            <w:rStyle w:val="Hyperlink"/>
          </w:rPr>
          <w:t>5.6</w:t>
        </w:r>
        <w:r w:rsidR="004242C1">
          <w:rPr>
            <w:rFonts w:asciiTheme="minorHAnsi" w:eastAsiaTheme="minorEastAsia" w:hAnsiTheme="minorHAnsi"/>
            <w:sz w:val="22"/>
            <w:lang w:eastAsia="en-AU"/>
          </w:rPr>
          <w:tab/>
        </w:r>
        <w:r w:rsidR="004242C1" w:rsidRPr="00463FE4">
          <w:rPr>
            <w:rStyle w:val="Hyperlink"/>
            <w:lang w:eastAsia="en-AU"/>
          </w:rPr>
          <w:t>Broader system changes that would support headspace to meet its objectives</w:t>
        </w:r>
        <w:r w:rsidR="004242C1">
          <w:rPr>
            <w:webHidden/>
          </w:rPr>
          <w:tab/>
        </w:r>
        <w:r w:rsidR="004242C1">
          <w:rPr>
            <w:webHidden/>
          </w:rPr>
          <w:fldChar w:fldCharType="begin"/>
        </w:r>
        <w:r w:rsidR="004242C1">
          <w:rPr>
            <w:webHidden/>
          </w:rPr>
          <w:instrText xml:space="preserve"> PAGEREF _Toc108173992 \h </w:instrText>
        </w:r>
        <w:r w:rsidR="004242C1">
          <w:rPr>
            <w:webHidden/>
          </w:rPr>
        </w:r>
        <w:r w:rsidR="004242C1">
          <w:rPr>
            <w:webHidden/>
          </w:rPr>
          <w:fldChar w:fldCharType="separate"/>
        </w:r>
        <w:r w:rsidR="00CC0438">
          <w:rPr>
            <w:webHidden/>
          </w:rPr>
          <w:t>143</w:t>
        </w:r>
        <w:r w:rsidR="004242C1">
          <w:rPr>
            <w:webHidden/>
          </w:rPr>
          <w:fldChar w:fldCharType="end"/>
        </w:r>
      </w:hyperlink>
    </w:p>
    <w:p w14:paraId="21C0BF91" w14:textId="03311126" w:rsidR="004242C1" w:rsidRDefault="00F333C3">
      <w:pPr>
        <w:pStyle w:val="TOC2"/>
        <w:rPr>
          <w:rFonts w:asciiTheme="minorHAnsi" w:eastAsiaTheme="minorEastAsia" w:hAnsiTheme="minorHAnsi"/>
          <w:sz w:val="22"/>
          <w:lang w:eastAsia="en-AU"/>
        </w:rPr>
      </w:pPr>
      <w:hyperlink w:anchor="_Toc108173993" w:history="1">
        <w:r w:rsidR="004242C1" w:rsidRPr="00463FE4">
          <w:rPr>
            <w:rStyle w:val="Hyperlink"/>
          </w:rPr>
          <w:t>5.7</w:t>
        </w:r>
        <w:r w:rsidR="004242C1">
          <w:rPr>
            <w:rFonts w:asciiTheme="minorHAnsi" w:eastAsiaTheme="minorEastAsia" w:hAnsiTheme="minorHAnsi"/>
            <w:sz w:val="22"/>
            <w:lang w:eastAsia="en-AU"/>
          </w:rPr>
          <w:tab/>
        </w:r>
        <w:r w:rsidR="004242C1" w:rsidRPr="00463FE4">
          <w:rPr>
            <w:rStyle w:val="Hyperlink"/>
          </w:rPr>
          <w:t>Evaluation conclusion</w:t>
        </w:r>
        <w:r w:rsidR="004242C1">
          <w:rPr>
            <w:webHidden/>
          </w:rPr>
          <w:tab/>
        </w:r>
        <w:r w:rsidR="004242C1">
          <w:rPr>
            <w:webHidden/>
          </w:rPr>
          <w:fldChar w:fldCharType="begin"/>
        </w:r>
        <w:r w:rsidR="004242C1">
          <w:rPr>
            <w:webHidden/>
          </w:rPr>
          <w:instrText xml:space="preserve"> PAGEREF _Toc108173993 \h </w:instrText>
        </w:r>
        <w:r w:rsidR="004242C1">
          <w:rPr>
            <w:webHidden/>
          </w:rPr>
        </w:r>
        <w:r w:rsidR="004242C1">
          <w:rPr>
            <w:webHidden/>
          </w:rPr>
          <w:fldChar w:fldCharType="separate"/>
        </w:r>
        <w:r w:rsidR="00CC0438">
          <w:rPr>
            <w:webHidden/>
          </w:rPr>
          <w:t>145</w:t>
        </w:r>
        <w:r w:rsidR="004242C1">
          <w:rPr>
            <w:webHidden/>
          </w:rPr>
          <w:fldChar w:fldCharType="end"/>
        </w:r>
      </w:hyperlink>
    </w:p>
    <w:p w14:paraId="7A81D62B" w14:textId="141FD99F" w:rsidR="004242C1" w:rsidRDefault="00F333C3">
      <w:pPr>
        <w:pStyle w:val="TOC1"/>
        <w:rPr>
          <w:rFonts w:asciiTheme="minorHAnsi" w:eastAsiaTheme="minorEastAsia" w:hAnsiTheme="minorHAnsi"/>
          <w:lang w:eastAsia="en-AU"/>
        </w:rPr>
      </w:pPr>
      <w:hyperlink w:anchor="_Toc108173994" w:history="1">
        <w:r w:rsidR="004242C1" w:rsidRPr="00463FE4">
          <w:rPr>
            <w:rStyle w:val="Hyperlink"/>
            <w14:scene3d>
              <w14:camera w14:prst="orthographicFront"/>
              <w14:lightRig w14:rig="threePt" w14:dir="t">
                <w14:rot w14:lat="0" w14:lon="0" w14:rev="0"/>
              </w14:lightRig>
            </w14:scene3d>
          </w:rPr>
          <w:t>Appendix A</w:t>
        </w:r>
        <w:r w:rsidR="004242C1" w:rsidRPr="00463FE4">
          <w:rPr>
            <w:rStyle w:val="Hyperlink"/>
          </w:rPr>
          <w:t xml:space="preserve"> : Evaluation Scope and Method</w:t>
        </w:r>
        <w:r w:rsidR="004242C1">
          <w:rPr>
            <w:webHidden/>
          </w:rPr>
          <w:tab/>
        </w:r>
        <w:r w:rsidR="004242C1">
          <w:rPr>
            <w:webHidden/>
          </w:rPr>
          <w:fldChar w:fldCharType="begin"/>
        </w:r>
        <w:r w:rsidR="004242C1">
          <w:rPr>
            <w:webHidden/>
          </w:rPr>
          <w:instrText xml:space="preserve"> PAGEREF _Toc108173994 \h </w:instrText>
        </w:r>
        <w:r w:rsidR="004242C1">
          <w:rPr>
            <w:webHidden/>
          </w:rPr>
        </w:r>
        <w:r w:rsidR="004242C1">
          <w:rPr>
            <w:webHidden/>
          </w:rPr>
          <w:fldChar w:fldCharType="separate"/>
        </w:r>
        <w:r w:rsidR="00CC0438">
          <w:rPr>
            <w:webHidden/>
          </w:rPr>
          <w:t>147</w:t>
        </w:r>
        <w:r w:rsidR="004242C1">
          <w:rPr>
            <w:webHidden/>
          </w:rPr>
          <w:fldChar w:fldCharType="end"/>
        </w:r>
      </w:hyperlink>
    </w:p>
    <w:p w14:paraId="62022E2C" w14:textId="1ABD844F" w:rsidR="004242C1" w:rsidRDefault="00F333C3">
      <w:pPr>
        <w:pStyle w:val="TOC1"/>
        <w:rPr>
          <w:rFonts w:asciiTheme="minorHAnsi" w:eastAsiaTheme="minorEastAsia" w:hAnsiTheme="minorHAnsi"/>
          <w:lang w:eastAsia="en-AU"/>
        </w:rPr>
      </w:pPr>
      <w:hyperlink w:anchor="_Toc108173995" w:history="1">
        <w:r w:rsidR="004242C1" w:rsidRPr="00463FE4">
          <w:rPr>
            <w:rStyle w:val="Hyperlink"/>
            <w14:scene3d>
              <w14:camera w14:prst="orthographicFront"/>
              <w14:lightRig w14:rig="threePt" w14:dir="t">
                <w14:rot w14:lat="0" w14:lon="0" w14:rev="0"/>
              </w14:lightRig>
            </w14:scene3d>
          </w:rPr>
          <w:t>Appendix B</w:t>
        </w:r>
        <w:r w:rsidR="004242C1" w:rsidRPr="00463FE4">
          <w:rPr>
            <w:rStyle w:val="Hyperlink"/>
          </w:rPr>
          <w:t xml:space="preserve"> : Consultation</w:t>
        </w:r>
        <w:r w:rsidR="004242C1">
          <w:rPr>
            <w:webHidden/>
          </w:rPr>
          <w:tab/>
        </w:r>
        <w:r w:rsidR="004242C1">
          <w:rPr>
            <w:webHidden/>
          </w:rPr>
          <w:fldChar w:fldCharType="begin"/>
        </w:r>
        <w:r w:rsidR="004242C1">
          <w:rPr>
            <w:webHidden/>
          </w:rPr>
          <w:instrText xml:space="preserve"> PAGEREF _Toc108173995 \h </w:instrText>
        </w:r>
        <w:r w:rsidR="004242C1">
          <w:rPr>
            <w:webHidden/>
          </w:rPr>
        </w:r>
        <w:r w:rsidR="004242C1">
          <w:rPr>
            <w:webHidden/>
          </w:rPr>
          <w:fldChar w:fldCharType="separate"/>
        </w:r>
        <w:r w:rsidR="00CC0438">
          <w:rPr>
            <w:webHidden/>
          </w:rPr>
          <w:t>160</w:t>
        </w:r>
        <w:r w:rsidR="004242C1">
          <w:rPr>
            <w:webHidden/>
          </w:rPr>
          <w:fldChar w:fldCharType="end"/>
        </w:r>
      </w:hyperlink>
    </w:p>
    <w:p w14:paraId="08B2463F" w14:textId="7E14B66F" w:rsidR="004242C1" w:rsidRDefault="00F333C3">
      <w:pPr>
        <w:pStyle w:val="TOC1"/>
        <w:rPr>
          <w:rFonts w:asciiTheme="minorHAnsi" w:eastAsiaTheme="minorEastAsia" w:hAnsiTheme="minorHAnsi"/>
          <w:lang w:eastAsia="en-AU"/>
        </w:rPr>
      </w:pPr>
      <w:hyperlink w:anchor="_Toc108173996" w:history="1">
        <w:r w:rsidR="004242C1" w:rsidRPr="00463FE4">
          <w:rPr>
            <w:rStyle w:val="Hyperlink"/>
            <w14:scene3d>
              <w14:camera w14:prst="orthographicFront"/>
              <w14:lightRig w14:rig="threePt" w14:dir="t">
                <w14:rot w14:lat="0" w14:lon="0" w14:rev="0"/>
              </w14:lightRig>
            </w14:scene3d>
          </w:rPr>
          <w:t>Appendix C</w:t>
        </w:r>
        <w:r w:rsidR="004242C1" w:rsidRPr="00463FE4">
          <w:rPr>
            <w:rStyle w:val="Hyperlink"/>
          </w:rPr>
          <w:t xml:space="preserve"> : headspace services as at 30 June 2020</w:t>
        </w:r>
        <w:r w:rsidR="004242C1">
          <w:rPr>
            <w:webHidden/>
          </w:rPr>
          <w:tab/>
        </w:r>
        <w:r w:rsidR="004242C1">
          <w:rPr>
            <w:webHidden/>
          </w:rPr>
          <w:fldChar w:fldCharType="begin"/>
        </w:r>
        <w:r w:rsidR="004242C1">
          <w:rPr>
            <w:webHidden/>
          </w:rPr>
          <w:instrText xml:space="preserve"> PAGEREF _Toc108173996 \h </w:instrText>
        </w:r>
        <w:r w:rsidR="004242C1">
          <w:rPr>
            <w:webHidden/>
          </w:rPr>
        </w:r>
        <w:r w:rsidR="004242C1">
          <w:rPr>
            <w:webHidden/>
          </w:rPr>
          <w:fldChar w:fldCharType="separate"/>
        </w:r>
        <w:r w:rsidR="00CC0438">
          <w:rPr>
            <w:webHidden/>
          </w:rPr>
          <w:t>203</w:t>
        </w:r>
        <w:r w:rsidR="004242C1">
          <w:rPr>
            <w:webHidden/>
          </w:rPr>
          <w:fldChar w:fldCharType="end"/>
        </w:r>
      </w:hyperlink>
    </w:p>
    <w:p w14:paraId="3A3DA6D2" w14:textId="6AF6EACB" w:rsidR="004242C1" w:rsidRDefault="00F333C3">
      <w:pPr>
        <w:pStyle w:val="TOC1"/>
        <w:rPr>
          <w:rFonts w:asciiTheme="minorHAnsi" w:eastAsiaTheme="minorEastAsia" w:hAnsiTheme="minorHAnsi"/>
          <w:lang w:eastAsia="en-AU"/>
        </w:rPr>
      </w:pPr>
      <w:hyperlink w:anchor="_Toc108173997" w:history="1">
        <w:r w:rsidR="004242C1" w:rsidRPr="00463FE4">
          <w:rPr>
            <w:rStyle w:val="Hyperlink"/>
            <w14:scene3d>
              <w14:camera w14:prst="orthographicFront"/>
              <w14:lightRig w14:rig="threePt" w14:dir="t">
                <w14:rot w14:lat="0" w14:lon="0" w14:rev="0"/>
              </w14:lightRig>
            </w14:scene3d>
          </w:rPr>
          <w:t>Appendix D</w:t>
        </w:r>
        <w:r w:rsidR="004242C1" w:rsidRPr="00463FE4">
          <w:rPr>
            <w:rStyle w:val="Hyperlink"/>
          </w:rPr>
          <w:t xml:space="preserve"> : Effectiveness in achieving intermediate outcomes</w:t>
        </w:r>
        <w:r w:rsidR="004242C1">
          <w:rPr>
            <w:webHidden/>
          </w:rPr>
          <w:tab/>
        </w:r>
        <w:r w:rsidR="004242C1">
          <w:rPr>
            <w:webHidden/>
          </w:rPr>
          <w:fldChar w:fldCharType="begin"/>
        </w:r>
        <w:r w:rsidR="004242C1">
          <w:rPr>
            <w:webHidden/>
          </w:rPr>
          <w:instrText xml:space="preserve"> PAGEREF _Toc108173997 \h </w:instrText>
        </w:r>
        <w:r w:rsidR="004242C1">
          <w:rPr>
            <w:webHidden/>
          </w:rPr>
        </w:r>
        <w:r w:rsidR="004242C1">
          <w:rPr>
            <w:webHidden/>
          </w:rPr>
          <w:fldChar w:fldCharType="separate"/>
        </w:r>
        <w:r w:rsidR="00CC0438">
          <w:rPr>
            <w:webHidden/>
          </w:rPr>
          <w:t>209</w:t>
        </w:r>
        <w:r w:rsidR="004242C1">
          <w:rPr>
            <w:webHidden/>
          </w:rPr>
          <w:fldChar w:fldCharType="end"/>
        </w:r>
      </w:hyperlink>
    </w:p>
    <w:p w14:paraId="6A358826" w14:textId="43431108" w:rsidR="004242C1" w:rsidRDefault="00F333C3">
      <w:pPr>
        <w:pStyle w:val="TOC1"/>
        <w:rPr>
          <w:rFonts w:asciiTheme="minorHAnsi" w:eastAsiaTheme="minorEastAsia" w:hAnsiTheme="minorHAnsi"/>
          <w:lang w:eastAsia="en-AU"/>
        </w:rPr>
      </w:pPr>
      <w:hyperlink w:anchor="_Toc108173998" w:history="1">
        <w:r w:rsidR="004242C1" w:rsidRPr="00463FE4">
          <w:rPr>
            <w:rStyle w:val="Hyperlink"/>
            <w14:scene3d>
              <w14:camera w14:prst="orthographicFront"/>
              <w14:lightRig w14:rig="threePt" w14:dir="t">
                <w14:rot w14:lat="0" w14:lon="0" w14:rev="0"/>
              </w14:lightRig>
            </w14:scene3d>
          </w:rPr>
          <w:t>Appendix E</w:t>
        </w:r>
        <w:r w:rsidR="004242C1" w:rsidRPr="00463FE4">
          <w:rPr>
            <w:rStyle w:val="Hyperlink"/>
          </w:rPr>
          <w:t xml:space="preserve"> : Effectiveness in improving mental health and wellbeing outcomes</w:t>
        </w:r>
        <w:r w:rsidR="004242C1">
          <w:rPr>
            <w:webHidden/>
          </w:rPr>
          <w:tab/>
        </w:r>
        <w:r w:rsidR="004242C1">
          <w:rPr>
            <w:webHidden/>
          </w:rPr>
          <w:fldChar w:fldCharType="begin"/>
        </w:r>
        <w:r w:rsidR="004242C1">
          <w:rPr>
            <w:webHidden/>
          </w:rPr>
          <w:instrText xml:space="preserve"> PAGEREF _Toc108173998 \h </w:instrText>
        </w:r>
        <w:r w:rsidR="004242C1">
          <w:rPr>
            <w:webHidden/>
          </w:rPr>
        </w:r>
        <w:r w:rsidR="004242C1">
          <w:rPr>
            <w:webHidden/>
          </w:rPr>
          <w:fldChar w:fldCharType="separate"/>
        </w:r>
        <w:r w:rsidR="00CC0438">
          <w:rPr>
            <w:webHidden/>
          </w:rPr>
          <w:t>275</w:t>
        </w:r>
        <w:r w:rsidR="004242C1">
          <w:rPr>
            <w:webHidden/>
          </w:rPr>
          <w:fldChar w:fldCharType="end"/>
        </w:r>
      </w:hyperlink>
    </w:p>
    <w:p w14:paraId="22B50D0C" w14:textId="07554528" w:rsidR="004242C1" w:rsidRDefault="00F333C3">
      <w:pPr>
        <w:pStyle w:val="TOC1"/>
        <w:rPr>
          <w:rFonts w:asciiTheme="minorHAnsi" w:eastAsiaTheme="minorEastAsia" w:hAnsiTheme="minorHAnsi"/>
          <w:lang w:eastAsia="en-AU"/>
        </w:rPr>
      </w:pPr>
      <w:hyperlink w:anchor="_Toc108173999" w:history="1">
        <w:r w:rsidR="004242C1" w:rsidRPr="00463FE4">
          <w:rPr>
            <w:rStyle w:val="Hyperlink"/>
            <w14:scene3d>
              <w14:camera w14:prst="orthographicFront"/>
              <w14:lightRig w14:rig="threePt" w14:dir="t">
                <w14:rot w14:lat="0" w14:lon="0" w14:rev="0"/>
              </w14:lightRig>
            </w14:scene3d>
          </w:rPr>
          <w:t>Appendix F</w:t>
        </w:r>
        <w:r w:rsidR="004242C1" w:rsidRPr="00463FE4">
          <w:rPr>
            <w:rStyle w:val="Hyperlink"/>
          </w:rPr>
          <w:t xml:space="preserve"> : Inclusion and exclusion criteria</w:t>
        </w:r>
        <w:r w:rsidR="004242C1">
          <w:rPr>
            <w:webHidden/>
          </w:rPr>
          <w:tab/>
        </w:r>
        <w:r w:rsidR="004242C1">
          <w:rPr>
            <w:webHidden/>
          </w:rPr>
          <w:fldChar w:fldCharType="begin"/>
        </w:r>
        <w:r w:rsidR="004242C1">
          <w:rPr>
            <w:webHidden/>
          </w:rPr>
          <w:instrText xml:space="preserve"> PAGEREF _Toc108173999 \h </w:instrText>
        </w:r>
        <w:r w:rsidR="004242C1">
          <w:rPr>
            <w:webHidden/>
          </w:rPr>
        </w:r>
        <w:r w:rsidR="004242C1">
          <w:rPr>
            <w:webHidden/>
          </w:rPr>
          <w:fldChar w:fldCharType="separate"/>
        </w:r>
        <w:r w:rsidR="00CC0438">
          <w:rPr>
            <w:webHidden/>
          </w:rPr>
          <w:t>318</w:t>
        </w:r>
        <w:r w:rsidR="004242C1">
          <w:rPr>
            <w:webHidden/>
          </w:rPr>
          <w:fldChar w:fldCharType="end"/>
        </w:r>
      </w:hyperlink>
    </w:p>
    <w:p w14:paraId="16C246C6" w14:textId="6986A59E" w:rsidR="004242C1" w:rsidRDefault="00F333C3">
      <w:pPr>
        <w:pStyle w:val="TOC1"/>
        <w:rPr>
          <w:rFonts w:asciiTheme="minorHAnsi" w:eastAsiaTheme="minorEastAsia" w:hAnsiTheme="minorHAnsi"/>
          <w:lang w:eastAsia="en-AU"/>
        </w:rPr>
      </w:pPr>
      <w:hyperlink w:anchor="_Toc108174000" w:history="1">
        <w:r w:rsidR="004242C1" w:rsidRPr="00463FE4">
          <w:rPr>
            <w:rStyle w:val="Hyperlink"/>
            <w14:scene3d>
              <w14:camera w14:prst="orthographicFront"/>
              <w14:lightRig w14:rig="threePt" w14:dir="t">
                <w14:rot w14:lat="0" w14:lon="0" w14:rev="0"/>
              </w14:lightRig>
            </w14:scene3d>
          </w:rPr>
          <w:t>Appendix G</w:t>
        </w:r>
        <w:r w:rsidR="004242C1" w:rsidRPr="00463FE4">
          <w:rPr>
            <w:rStyle w:val="Hyperlink"/>
          </w:rPr>
          <w:t xml:space="preserve"> : Definitions of K10 distress levels</w:t>
        </w:r>
        <w:r w:rsidR="004242C1">
          <w:rPr>
            <w:webHidden/>
          </w:rPr>
          <w:tab/>
        </w:r>
        <w:r w:rsidR="004242C1">
          <w:rPr>
            <w:webHidden/>
          </w:rPr>
          <w:fldChar w:fldCharType="begin"/>
        </w:r>
        <w:r w:rsidR="004242C1">
          <w:rPr>
            <w:webHidden/>
          </w:rPr>
          <w:instrText xml:space="preserve"> PAGEREF _Toc108174000 \h </w:instrText>
        </w:r>
        <w:r w:rsidR="004242C1">
          <w:rPr>
            <w:webHidden/>
          </w:rPr>
        </w:r>
        <w:r w:rsidR="004242C1">
          <w:rPr>
            <w:webHidden/>
          </w:rPr>
          <w:fldChar w:fldCharType="separate"/>
        </w:r>
        <w:r w:rsidR="00CC0438">
          <w:rPr>
            <w:webHidden/>
          </w:rPr>
          <w:t>322</w:t>
        </w:r>
        <w:r w:rsidR="004242C1">
          <w:rPr>
            <w:webHidden/>
          </w:rPr>
          <w:fldChar w:fldCharType="end"/>
        </w:r>
      </w:hyperlink>
    </w:p>
    <w:p w14:paraId="3621E35C" w14:textId="4600D360" w:rsidR="004242C1" w:rsidRDefault="00F333C3">
      <w:pPr>
        <w:pStyle w:val="TOC1"/>
        <w:rPr>
          <w:rFonts w:asciiTheme="minorHAnsi" w:eastAsiaTheme="minorEastAsia" w:hAnsiTheme="minorHAnsi"/>
          <w:lang w:eastAsia="en-AU"/>
        </w:rPr>
      </w:pPr>
      <w:hyperlink w:anchor="_Toc108174001" w:history="1">
        <w:r w:rsidR="004242C1" w:rsidRPr="00463FE4">
          <w:rPr>
            <w:rStyle w:val="Hyperlink"/>
            <w14:scene3d>
              <w14:camera w14:prst="orthographicFront"/>
              <w14:lightRig w14:rig="threePt" w14:dir="t">
                <w14:rot w14:lat="0" w14:lon="0" w14:rev="0"/>
              </w14:lightRig>
            </w14:scene3d>
          </w:rPr>
          <w:t>Appendix H</w:t>
        </w:r>
        <w:r w:rsidR="004242C1" w:rsidRPr="00463FE4">
          <w:rPr>
            <w:rStyle w:val="Hyperlink"/>
          </w:rPr>
          <w:t xml:space="preserve"> : Factors affecting the likelihood of completing the follow up survey</w:t>
        </w:r>
        <w:r w:rsidR="004242C1">
          <w:rPr>
            <w:webHidden/>
          </w:rPr>
          <w:tab/>
        </w:r>
        <w:r w:rsidR="004242C1">
          <w:rPr>
            <w:webHidden/>
          </w:rPr>
          <w:fldChar w:fldCharType="begin"/>
        </w:r>
        <w:r w:rsidR="004242C1">
          <w:rPr>
            <w:webHidden/>
          </w:rPr>
          <w:instrText xml:space="preserve"> PAGEREF _Toc108174001 \h </w:instrText>
        </w:r>
        <w:r w:rsidR="004242C1">
          <w:rPr>
            <w:webHidden/>
          </w:rPr>
        </w:r>
        <w:r w:rsidR="004242C1">
          <w:rPr>
            <w:webHidden/>
          </w:rPr>
          <w:fldChar w:fldCharType="separate"/>
        </w:r>
        <w:r w:rsidR="00CC0438">
          <w:rPr>
            <w:webHidden/>
          </w:rPr>
          <w:t>323</w:t>
        </w:r>
        <w:r w:rsidR="004242C1">
          <w:rPr>
            <w:webHidden/>
          </w:rPr>
          <w:fldChar w:fldCharType="end"/>
        </w:r>
      </w:hyperlink>
    </w:p>
    <w:p w14:paraId="4D1C1A8F" w14:textId="00E59830" w:rsidR="004242C1" w:rsidRDefault="00F333C3">
      <w:pPr>
        <w:pStyle w:val="TOC1"/>
        <w:rPr>
          <w:rFonts w:asciiTheme="minorHAnsi" w:eastAsiaTheme="minorEastAsia" w:hAnsiTheme="minorHAnsi"/>
          <w:lang w:eastAsia="en-AU"/>
        </w:rPr>
      </w:pPr>
      <w:hyperlink w:anchor="_Toc108174002" w:history="1">
        <w:r w:rsidR="004242C1" w:rsidRPr="00463FE4">
          <w:rPr>
            <w:rStyle w:val="Hyperlink"/>
            <w14:scene3d>
              <w14:camera w14:prst="orthographicFront"/>
              <w14:lightRig w14:rig="threePt" w14:dir="t">
                <w14:rot w14:lat="0" w14:lon="0" w14:rev="0"/>
              </w14:lightRig>
            </w14:scene3d>
          </w:rPr>
          <w:t>Appendix I</w:t>
        </w:r>
        <w:r w:rsidR="004242C1" w:rsidRPr="00463FE4">
          <w:rPr>
            <w:rStyle w:val="Hyperlink"/>
          </w:rPr>
          <w:t xml:space="preserve"> : Extrapolation of the follow up K10 outcome measure</w:t>
        </w:r>
        <w:r w:rsidR="004242C1">
          <w:rPr>
            <w:webHidden/>
          </w:rPr>
          <w:tab/>
        </w:r>
        <w:r w:rsidR="004242C1">
          <w:rPr>
            <w:webHidden/>
          </w:rPr>
          <w:fldChar w:fldCharType="begin"/>
        </w:r>
        <w:r w:rsidR="004242C1">
          <w:rPr>
            <w:webHidden/>
          </w:rPr>
          <w:instrText xml:space="preserve"> PAGEREF _Toc108174002 \h </w:instrText>
        </w:r>
        <w:r w:rsidR="004242C1">
          <w:rPr>
            <w:webHidden/>
          </w:rPr>
        </w:r>
        <w:r w:rsidR="004242C1">
          <w:rPr>
            <w:webHidden/>
          </w:rPr>
          <w:fldChar w:fldCharType="separate"/>
        </w:r>
        <w:r w:rsidR="00CC0438">
          <w:rPr>
            <w:webHidden/>
          </w:rPr>
          <w:t>326</w:t>
        </w:r>
        <w:r w:rsidR="004242C1">
          <w:rPr>
            <w:webHidden/>
          </w:rPr>
          <w:fldChar w:fldCharType="end"/>
        </w:r>
      </w:hyperlink>
    </w:p>
    <w:p w14:paraId="4A33CD7E" w14:textId="0250D399" w:rsidR="004242C1" w:rsidRDefault="00F333C3">
      <w:pPr>
        <w:pStyle w:val="TOC1"/>
        <w:rPr>
          <w:rFonts w:asciiTheme="minorHAnsi" w:eastAsiaTheme="minorEastAsia" w:hAnsiTheme="minorHAnsi"/>
          <w:lang w:eastAsia="en-AU"/>
        </w:rPr>
      </w:pPr>
      <w:hyperlink w:anchor="_Toc108174003" w:history="1">
        <w:r w:rsidR="004242C1" w:rsidRPr="00463FE4">
          <w:rPr>
            <w:rStyle w:val="Hyperlink"/>
            <w14:scene3d>
              <w14:camera w14:prst="orthographicFront"/>
              <w14:lightRig w14:rig="threePt" w14:dir="t">
                <w14:rot w14:lat="0" w14:lon="0" w14:rev="0"/>
              </w14:lightRig>
            </w14:scene3d>
          </w:rPr>
          <w:t>Appendix J</w:t>
        </w:r>
        <w:r w:rsidR="004242C1" w:rsidRPr="00463FE4">
          <w:rPr>
            <w:rStyle w:val="Hyperlink"/>
          </w:rPr>
          <w:t xml:space="preserve"> : Costing assumptions</w:t>
        </w:r>
        <w:r w:rsidR="004242C1">
          <w:rPr>
            <w:webHidden/>
          </w:rPr>
          <w:tab/>
        </w:r>
        <w:r w:rsidR="004242C1">
          <w:rPr>
            <w:webHidden/>
          </w:rPr>
          <w:fldChar w:fldCharType="begin"/>
        </w:r>
        <w:r w:rsidR="004242C1">
          <w:rPr>
            <w:webHidden/>
          </w:rPr>
          <w:instrText xml:space="preserve"> PAGEREF _Toc108174003 \h </w:instrText>
        </w:r>
        <w:r w:rsidR="004242C1">
          <w:rPr>
            <w:webHidden/>
          </w:rPr>
        </w:r>
        <w:r w:rsidR="004242C1">
          <w:rPr>
            <w:webHidden/>
          </w:rPr>
          <w:fldChar w:fldCharType="separate"/>
        </w:r>
        <w:r w:rsidR="00CC0438">
          <w:rPr>
            <w:webHidden/>
          </w:rPr>
          <w:t>329</w:t>
        </w:r>
        <w:r w:rsidR="004242C1">
          <w:rPr>
            <w:webHidden/>
          </w:rPr>
          <w:fldChar w:fldCharType="end"/>
        </w:r>
      </w:hyperlink>
    </w:p>
    <w:p w14:paraId="405F4A0B" w14:textId="2D43D99F" w:rsidR="004242C1" w:rsidRDefault="00F333C3">
      <w:pPr>
        <w:pStyle w:val="TOC1"/>
        <w:rPr>
          <w:rFonts w:asciiTheme="minorHAnsi" w:eastAsiaTheme="minorEastAsia" w:hAnsiTheme="minorHAnsi"/>
          <w:lang w:eastAsia="en-AU"/>
        </w:rPr>
      </w:pPr>
      <w:hyperlink w:anchor="_Toc108174004" w:history="1">
        <w:r w:rsidR="004242C1" w:rsidRPr="00463FE4">
          <w:rPr>
            <w:rStyle w:val="Hyperlink"/>
            <w14:scene3d>
              <w14:camera w14:prst="orthographicFront"/>
              <w14:lightRig w14:rig="threePt" w14:dir="t">
                <w14:rot w14:lat="0" w14:lon="0" w14:rev="0"/>
              </w14:lightRig>
            </w14:scene3d>
          </w:rPr>
          <w:t>Appendix K</w:t>
        </w:r>
        <w:r w:rsidR="004242C1" w:rsidRPr="00463FE4">
          <w:rPr>
            <w:rStyle w:val="Hyperlink"/>
          </w:rPr>
          <w:t xml:space="preserve"> : Economic evaluation parameters and inputs</w:t>
        </w:r>
        <w:r w:rsidR="004242C1">
          <w:rPr>
            <w:webHidden/>
          </w:rPr>
          <w:tab/>
        </w:r>
        <w:r w:rsidR="004242C1">
          <w:rPr>
            <w:webHidden/>
          </w:rPr>
          <w:fldChar w:fldCharType="begin"/>
        </w:r>
        <w:r w:rsidR="004242C1">
          <w:rPr>
            <w:webHidden/>
          </w:rPr>
          <w:instrText xml:space="preserve"> PAGEREF _Toc108174004 \h </w:instrText>
        </w:r>
        <w:r w:rsidR="004242C1">
          <w:rPr>
            <w:webHidden/>
          </w:rPr>
        </w:r>
        <w:r w:rsidR="004242C1">
          <w:rPr>
            <w:webHidden/>
          </w:rPr>
          <w:fldChar w:fldCharType="separate"/>
        </w:r>
        <w:r w:rsidR="00CC0438">
          <w:rPr>
            <w:webHidden/>
          </w:rPr>
          <w:t>330</w:t>
        </w:r>
        <w:r w:rsidR="004242C1">
          <w:rPr>
            <w:webHidden/>
          </w:rPr>
          <w:fldChar w:fldCharType="end"/>
        </w:r>
      </w:hyperlink>
    </w:p>
    <w:p w14:paraId="22A857B9" w14:textId="704BEEE0" w:rsidR="004242C1" w:rsidRDefault="00F333C3">
      <w:pPr>
        <w:pStyle w:val="TOC1"/>
        <w:rPr>
          <w:rFonts w:asciiTheme="minorHAnsi" w:eastAsiaTheme="minorEastAsia" w:hAnsiTheme="minorHAnsi"/>
          <w:lang w:eastAsia="en-AU"/>
        </w:rPr>
      </w:pPr>
      <w:hyperlink w:anchor="_Toc108174005" w:history="1">
        <w:r w:rsidR="004242C1" w:rsidRPr="00463FE4">
          <w:rPr>
            <w:rStyle w:val="Hyperlink"/>
            <w14:scene3d>
              <w14:camera w14:prst="orthographicFront"/>
              <w14:lightRig w14:rig="threePt" w14:dir="t">
                <w14:rot w14:lat="0" w14:lon="0" w14:rev="0"/>
              </w14:lightRig>
            </w14:scene3d>
          </w:rPr>
          <w:t>Appendix L</w:t>
        </w:r>
        <w:r w:rsidR="004242C1" w:rsidRPr="00463FE4">
          <w:rPr>
            <w:rStyle w:val="Hyperlink"/>
          </w:rPr>
          <w:t xml:space="preserve"> : Reference List</w:t>
        </w:r>
        <w:r w:rsidR="004242C1">
          <w:rPr>
            <w:webHidden/>
          </w:rPr>
          <w:tab/>
        </w:r>
        <w:r w:rsidR="004242C1">
          <w:rPr>
            <w:webHidden/>
          </w:rPr>
          <w:fldChar w:fldCharType="begin"/>
        </w:r>
        <w:r w:rsidR="004242C1">
          <w:rPr>
            <w:webHidden/>
          </w:rPr>
          <w:instrText xml:space="preserve"> PAGEREF _Toc108174005 \h </w:instrText>
        </w:r>
        <w:r w:rsidR="004242C1">
          <w:rPr>
            <w:webHidden/>
          </w:rPr>
        </w:r>
        <w:r w:rsidR="004242C1">
          <w:rPr>
            <w:webHidden/>
          </w:rPr>
          <w:fldChar w:fldCharType="separate"/>
        </w:r>
        <w:r w:rsidR="00CC0438">
          <w:rPr>
            <w:webHidden/>
          </w:rPr>
          <w:t>339</w:t>
        </w:r>
        <w:r w:rsidR="004242C1">
          <w:rPr>
            <w:webHidden/>
          </w:rPr>
          <w:fldChar w:fldCharType="end"/>
        </w:r>
      </w:hyperlink>
    </w:p>
    <w:p w14:paraId="23B5F5A1" w14:textId="2F3A11E0" w:rsidR="009633A2" w:rsidRPr="001D6913" w:rsidRDefault="00DB3B6B" w:rsidP="00DC51CB">
      <w:pPr>
        <w:sectPr w:rsidR="009633A2" w:rsidRPr="001D6913" w:rsidSect="00013847">
          <w:headerReference w:type="default" r:id="rId14"/>
          <w:pgSz w:w="11906" w:h="16838"/>
          <w:pgMar w:top="1418" w:right="1418" w:bottom="1418" w:left="1560" w:header="709" w:footer="709" w:gutter="0"/>
          <w:pgNumType w:fmt="lowerRoman"/>
          <w:cols w:space="708"/>
          <w:docGrid w:linePitch="360"/>
        </w:sectPr>
      </w:pPr>
      <w:r w:rsidRPr="001D6913">
        <w:fldChar w:fldCharType="end"/>
      </w:r>
    </w:p>
    <w:p w14:paraId="169CDE7C" w14:textId="3C55595A" w:rsidR="004D3D16" w:rsidRPr="001D6913" w:rsidRDefault="004D3D16" w:rsidP="00E542A7">
      <w:pPr>
        <w:pStyle w:val="HeadingLevel1NoNumber"/>
      </w:pPr>
      <w:bookmarkStart w:id="3" w:name="_Toc108173964"/>
      <w:r w:rsidRPr="00C11C70">
        <w:lastRenderedPageBreak/>
        <w:t>Glossary</w:t>
      </w:r>
      <w:bookmarkEnd w:id="3"/>
    </w:p>
    <w:tbl>
      <w:tblPr>
        <w:tblW w:w="5000" w:type="pct"/>
        <w:tblLook w:val="04A0" w:firstRow="1" w:lastRow="0" w:firstColumn="1" w:lastColumn="0" w:noHBand="0" w:noVBand="1"/>
        <w:tblCaption w:val="Glossary for acronyms"/>
        <w:tblDescription w:val="Table presents commonly used acronyms within the report, and the full title for each acronym."/>
      </w:tblPr>
      <w:tblGrid>
        <w:gridCol w:w="2962"/>
        <w:gridCol w:w="6064"/>
      </w:tblGrid>
      <w:tr w:rsidR="00286E4A" w:rsidRPr="006637D8" w14:paraId="4C69A5EC" w14:textId="77777777" w:rsidTr="00286E4A">
        <w:trPr>
          <w:tblHeader/>
        </w:trPr>
        <w:tc>
          <w:tcPr>
            <w:tcW w:w="1641" w:type="pct"/>
            <w:tcBorders>
              <w:top w:val="single" w:sz="4" w:space="0" w:color="00338D"/>
              <w:bottom w:val="single" w:sz="4" w:space="0" w:color="808080"/>
            </w:tcBorders>
            <w:shd w:val="clear" w:color="auto" w:fill="00338D" w:themeFill="background2"/>
            <w:vAlign w:val="center"/>
          </w:tcPr>
          <w:p w14:paraId="14D59468" w14:textId="77777777" w:rsidR="00286E4A" w:rsidRPr="001D6913" w:rsidRDefault="00286E4A" w:rsidP="004D3D16">
            <w:pPr>
              <w:pStyle w:val="Tableheading"/>
            </w:pPr>
            <w:r w:rsidRPr="001D6913">
              <w:t>Acronym</w:t>
            </w:r>
          </w:p>
        </w:tc>
        <w:tc>
          <w:tcPr>
            <w:tcW w:w="3359" w:type="pct"/>
            <w:tcBorders>
              <w:top w:val="single" w:sz="4" w:space="0" w:color="00338D"/>
              <w:bottom w:val="single" w:sz="4" w:space="0" w:color="808080"/>
            </w:tcBorders>
            <w:shd w:val="clear" w:color="auto" w:fill="00338D" w:themeFill="background2"/>
            <w:vAlign w:val="center"/>
          </w:tcPr>
          <w:p w14:paraId="1B0FE8FB" w14:textId="675F6813" w:rsidR="00286E4A" w:rsidRPr="001D6913" w:rsidRDefault="00286E4A" w:rsidP="004D3D16">
            <w:pPr>
              <w:pStyle w:val="Tableheading"/>
            </w:pPr>
            <w:r>
              <w:t>Meaning</w:t>
            </w:r>
          </w:p>
        </w:tc>
      </w:tr>
      <w:tr w:rsidR="00B04DF8" w:rsidRPr="006637D8" w14:paraId="442DA296" w14:textId="77777777" w:rsidTr="005D46EE">
        <w:tc>
          <w:tcPr>
            <w:tcW w:w="1641" w:type="pct"/>
            <w:tcBorders>
              <w:top w:val="single" w:sz="4" w:space="0" w:color="808080"/>
              <w:bottom w:val="single" w:sz="4" w:space="0" w:color="808080"/>
            </w:tcBorders>
            <w:shd w:val="clear" w:color="auto" w:fill="auto"/>
            <w:vAlign w:val="center"/>
          </w:tcPr>
          <w:p w14:paraId="3BB6B71B" w14:textId="78DB8705" w:rsidR="00B04DF8" w:rsidRPr="001D6913" w:rsidRDefault="00B04DF8" w:rsidP="004D3D16">
            <w:pPr>
              <w:pStyle w:val="Tabletext"/>
            </w:pPr>
            <w:r>
              <w:t>ABS</w:t>
            </w:r>
          </w:p>
        </w:tc>
        <w:tc>
          <w:tcPr>
            <w:tcW w:w="3359" w:type="pct"/>
            <w:tcBorders>
              <w:top w:val="single" w:sz="4" w:space="0" w:color="808080"/>
              <w:bottom w:val="single" w:sz="4" w:space="0" w:color="808080"/>
            </w:tcBorders>
            <w:shd w:val="clear" w:color="auto" w:fill="auto"/>
            <w:vAlign w:val="center"/>
          </w:tcPr>
          <w:p w14:paraId="6B9B6990" w14:textId="47C7359C" w:rsidR="00B04DF8" w:rsidRPr="001D6913" w:rsidRDefault="00B04DF8" w:rsidP="004D3D16">
            <w:pPr>
              <w:pStyle w:val="Tabletext"/>
            </w:pPr>
            <w:r>
              <w:t>Australian Bureau of Statistics</w:t>
            </w:r>
          </w:p>
        </w:tc>
      </w:tr>
      <w:tr w:rsidR="00594078" w:rsidRPr="006637D8" w14:paraId="7D671058" w14:textId="77777777" w:rsidTr="005D46EE">
        <w:tc>
          <w:tcPr>
            <w:tcW w:w="1641" w:type="pct"/>
            <w:tcBorders>
              <w:top w:val="single" w:sz="4" w:space="0" w:color="808080"/>
              <w:bottom w:val="single" w:sz="4" w:space="0" w:color="808080"/>
            </w:tcBorders>
            <w:shd w:val="clear" w:color="auto" w:fill="auto"/>
            <w:vAlign w:val="center"/>
          </w:tcPr>
          <w:p w14:paraId="1B3E2487" w14:textId="3A97A50B" w:rsidR="00594078" w:rsidRPr="00594078" w:rsidRDefault="00594078" w:rsidP="004D3D16">
            <w:pPr>
              <w:pStyle w:val="Tabletext"/>
            </w:pPr>
            <w:r w:rsidRPr="00594078">
              <w:t>ACCHS</w:t>
            </w:r>
          </w:p>
        </w:tc>
        <w:tc>
          <w:tcPr>
            <w:tcW w:w="3359" w:type="pct"/>
            <w:tcBorders>
              <w:top w:val="single" w:sz="4" w:space="0" w:color="808080"/>
              <w:bottom w:val="single" w:sz="4" w:space="0" w:color="808080"/>
            </w:tcBorders>
            <w:shd w:val="clear" w:color="auto" w:fill="auto"/>
            <w:vAlign w:val="center"/>
          </w:tcPr>
          <w:p w14:paraId="3A0C1AA5" w14:textId="21E3BBC3" w:rsidR="00594078" w:rsidRPr="00594078" w:rsidRDefault="00594078" w:rsidP="004D3D16">
            <w:pPr>
              <w:pStyle w:val="Tabletext"/>
            </w:pPr>
            <w:r w:rsidRPr="00594078">
              <w:t>Aboriginal Community Controlled Health Services</w:t>
            </w:r>
          </w:p>
        </w:tc>
      </w:tr>
      <w:tr w:rsidR="00594078" w:rsidRPr="006637D8" w14:paraId="1ADB5F32" w14:textId="77777777" w:rsidTr="005D46EE">
        <w:tc>
          <w:tcPr>
            <w:tcW w:w="1641" w:type="pct"/>
            <w:tcBorders>
              <w:top w:val="single" w:sz="4" w:space="0" w:color="808080"/>
              <w:bottom w:val="single" w:sz="4" w:space="0" w:color="808080"/>
            </w:tcBorders>
            <w:shd w:val="clear" w:color="auto" w:fill="auto"/>
            <w:vAlign w:val="center"/>
          </w:tcPr>
          <w:p w14:paraId="389CAD30" w14:textId="33149882" w:rsidR="00594078" w:rsidRPr="001D6913" w:rsidRDefault="00594078" w:rsidP="004D3D16">
            <w:pPr>
              <w:pStyle w:val="Tabletext"/>
            </w:pPr>
            <w:r w:rsidRPr="00594078">
              <w:t>AIATSIS</w:t>
            </w:r>
          </w:p>
        </w:tc>
        <w:tc>
          <w:tcPr>
            <w:tcW w:w="3359" w:type="pct"/>
            <w:tcBorders>
              <w:top w:val="single" w:sz="4" w:space="0" w:color="808080"/>
              <w:bottom w:val="single" w:sz="4" w:space="0" w:color="808080"/>
            </w:tcBorders>
            <w:shd w:val="clear" w:color="auto" w:fill="auto"/>
            <w:vAlign w:val="center"/>
          </w:tcPr>
          <w:p w14:paraId="6DACD7B0" w14:textId="353D533D" w:rsidR="00594078" w:rsidRPr="001D6913" w:rsidRDefault="00594078" w:rsidP="004D3D16">
            <w:pPr>
              <w:pStyle w:val="Tabletext"/>
            </w:pPr>
            <w:r w:rsidRPr="00594078">
              <w:t>Australian Institute of Aboriginal and Torres Strait Islander Studies</w:t>
            </w:r>
          </w:p>
        </w:tc>
      </w:tr>
      <w:tr w:rsidR="004D3D16" w:rsidRPr="006637D8" w14:paraId="5A8FB2CA" w14:textId="77777777" w:rsidTr="005D46EE">
        <w:tc>
          <w:tcPr>
            <w:tcW w:w="1641" w:type="pct"/>
            <w:tcBorders>
              <w:top w:val="single" w:sz="4" w:space="0" w:color="808080"/>
              <w:bottom w:val="single" w:sz="4" w:space="0" w:color="808080"/>
            </w:tcBorders>
            <w:shd w:val="clear" w:color="auto" w:fill="auto"/>
            <w:vAlign w:val="center"/>
          </w:tcPr>
          <w:p w14:paraId="0C0F262E" w14:textId="77777777" w:rsidR="004D3D16" w:rsidRPr="001D6913" w:rsidRDefault="004D3D16" w:rsidP="004D3D16">
            <w:pPr>
              <w:pStyle w:val="Tabletext"/>
            </w:pPr>
            <w:r w:rsidRPr="001D6913">
              <w:t>AIHW</w:t>
            </w:r>
          </w:p>
        </w:tc>
        <w:tc>
          <w:tcPr>
            <w:tcW w:w="3359" w:type="pct"/>
            <w:tcBorders>
              <w:top w:val="single" w:sz="4" w:space="0" w:color="808080"/>
              <w:bottom w:val="single" w:sz="4" w:space="0" w:color="808080"/>
            </w:tcBorders>
            <w:shd w:val="clear" w:color="auto" w:fill="auto"/>
            <w:vAlign w:val="center"/>
          </w:tcPr>
          <w:p w14:paraId="3C386537" w14:textId="77777777" w:rsidR="004D3D16" w:rsidRPr="001D6913" w:rsidRDefault="004D3D16" w:rsidP="004D3D16">
            <w:pPr>
              <w:pStyle w:val="Tabletext"/>
            </w:pPr>
            <w:r w:rsidRPr="001D6913">
              <w:t>Australian Institute of Health and Welfare</w:t>
            </w:r>
          </w:p>
        </w:tc>
      </w:tr>
      <w:tr w:rsidR="00262492" w:rsidRPr="006637D8" w14:paraId="43D772D3" w14:textId="77777777" w:rsidTr="005D46EE">
        <w:tc>
          <w:tcPr>
            <w:tcW w:w="1641" w:type="pct"/>
            <w:tcBorders>
              <w:top w:val="single" w:sz="4" w:space="0" w:color="808080"/>
              <w:bottom w:val="single" w:sz="4" w:space="0" w:color="808080"/>
            </w:tcBorders>
            <w:shd w:val="clear" w:color="auto" w:fill="auto"/>
            <w:vAlign w:val="center"/>
          </w:tcPr>
          <w:p w14:paraId="02EC7139" w14:textId="4E9E4A62" w:rsidR="00262492" w:rsidRPr="001D6913" w:rsidRDefault="00262492" w:rsidP="004D3D16">
            <w:pPr>
              <w:pStyle w:val="Tabletext"/>
            </w:pPr>
            <w:r>
              <w:t>AMHS</w:t>
            </w:r>
          </w:p>
        </w:tc>
        <w:tc>
          <w:tcPr>
            <w:tcW w:w="3359" w:type="pct"/>
            <w:tcBorders>
              <w:top w:val="single" w:sz="4" w:space="0" w:color="808080"/>
              <w:bottom w:val="single" w:sz="4" w:space="0" w:color="808080"/>
            </w:tcBorders>
            <w:shd w:val="clear" w:color="auto" w:fill="auto"/>
            <w:vAlign w:val="center"/>
          </w:tcPr>
          <w:p w14:paraId="43C0505A" w14:textId="55D4B868" w:rsidR="00262492" w:rsidRPr="001D6913" w:rsidRDefault="00262492" w:rsidP="004D3D16">
            <w:pPr>
              <w:pStyle w:val="Tabletext"/>
            </w:pPr>
            <w:r>
              <w:t>Adult Mental Health Service</w:t>
            </w:r>
          </w:p>
        </w:tc>
      </w:tr>
      <w:tr w:rsidR="00F0079A" w:rsidRPr="006637D8" w14:paraId="37B50384" w14:textId="77777777" w:rsidTr="005A0089">
        <w:tc>
          <w:tcPr>
            <w:tcW w:w="1641" w:type="pct"/>
            <w:tcBorders>
              <w:top w:val="single" w:sz="4" w:space="0" w:color="808080"/>
              <w:bottom w:val="single" w:sz="4" w:space="0" w:color="808080"/>
            </w:tcBorders>
            <w:shd w:val="clear" w:color="auto" w:fill="auto"/>
            <w:vAlign w:val="center"/>
          </w:tcPr>
          <w:p w14:paraId="1C821F0E" w14:textId="573D9A83" w:rsidR="00F0079A" w:rsidRPr="001D6913" w:rsidRDefault="00F0079A" w:rsidP="004D3D16">
            <w:pPr>
              <w:pStyle w:val="Tabletext"/>
            </w:pPr>
            <w:r w:rsidRPr="001D6913">
              <w:t>AOD</w:t>
            </w:r>
          </w:p>
        </w:tc>
        <w:tc>
          <w:tcPr>
            <w:tcW w:w="3359" w:type="pct"/>
            <w:tcBorders>
              <w:top w:val="single" w:sz="4" w:space="0" w:color="808080"/>
              <w:bottom w:val="single" w:sz="4" w:space="0" w:color="808080"/>
            </w:tcBorders>
            <w:shd w:val="clear" w:color="auto" w:fill="auto"/>
            <w:vAlign w:val="center"/>
          </w:tcPr>
          <w:p w14:paraId="46EE1C00" w14:textId="4C5083C9" w:rsidR="00F0079A" w:rsidRPr="001D6913" w:rsidRDefault="00080644" w:rsidP="004D3D16">
            <w:pPr>
              <w:pStyle w:val="Tabletext"/>
            </w:pPr>
            <w:r>
              <w:t xml:space="preserve">Alcohol </w:t>
            </w:r>
            <w:r w:rsidR="00F0079A" w:rsidRPr="001D6913">
              <w:t xml:space="preserve">and </w:t>
            </w:r>
            <w:r>
              <w:t>o</w:t>
            </w:r>
            <w:r w:rsidR="00F0079A" w:rsidRPr="001D6913">
              <w:t xml:space="preserve">ther </w:t>
            </w:r>
            <w:r>
              <w:t>d</w:t>
            </w:r>
            <w:r w:rsidR="00F0079A" w:rsidRPr="001D6913">
              <w:t>rugs</w:t>
            </w:r>
          </w:p>
        </w:tc>
      </w:tr>
      <w:tr w:rsidR="003F7A80" w:rsidRPr="006637D8" w14:paraId="11670592" w14:textId="77777777" w:rsidTr="005A0089">
        <w:tc>
          <w:tcPr>
            <w:tcW w:w="1641" w:type="pct"/>
            <w:tcBorders>
              <w:top w:val="single" w:sz="4" w:space="0" w:color="808080"/>
              <w:bottom w:val="single" w:sz="4" w:space="0" w:color="808080"/>
            </w:tcBorders>
            <w:shd w:val="clear" w:color="auto" w:fill="auto"/>
            <w:vAlign w:val="center"/>
          </w:tcPr>
          <w:p w14:paraId="7395DB82" w14:textId="5F39B930" w:rsidR="003F7A80" w:rsidRDefault="003F7A80" w:rsidP="004D3D16">
            <w:pPr>
              <w:pStyle w:val="Tabletext"/>
            </w:pPr>
            <w:r>
              <w:t>ASGC</w:t>
            </w:r>
          </w:p>
        </w:tc>
        <w:tc>
          <w:tcPr>
            <w:tcW w:w="3359" w:type="pct"/>
            <w:tcBorders>
              <w:top w:val="single" w:sz="4" w:space="0" w:color="808080"/>
              <w:bottom w:val="single" w:sz="4" w:space="0" w:color="808080"/>
            </w:tcBorders>
            <w:shd w:val="clear" w:color="auto" w:fill="auto"/>
            <w:vAlign w:val="center"/>
          </w:tcPr>
          <w:p w14:paraId="57131059" w14:textId="22527C43" w:rsidR="003F7A80" w:rsidRDefault="00B4483A" w:rsidP="004D3D16">
            <w:pPr>
              <w:pStyle w:val="Tabletext"/>
              <w:rPr>
                <w:lang w:eastAsia="en-AU"/>
              </w:rPr>
            </w:pPr>
            <w:r w:rsidRPr="00B4483A">
              <w:rPr>
                <w:lang w:eastAsia="en-AU"/>
              </w:rPr>
              <w:t>Australian Standard Geographical Classification</w:t>
            </w:r>
          </w:p>
        </w:tc>
      </w:tr>
      <w:tr w:rsidR="00262492" w:rsidRPr="006637D8" w14:paraId="75B328FD" w14:textId="77777777" w:rsidTr="005A0089">
        <w:tc>
          <w:tcPr>
            <w:tcW w:w="1641" w:type="pct"/>
            <w:tcBorders>
              <w:top w:val="single" w:sz="4" w:space="0" w:color="808080"/>
              <w:bottom w:val="single" w:sz="4" w:space="0" w:color="808080"/>
            </w:tcBorders>
            <w:shd w:val="clear" w:color="auto" w:fill="auto"/>
            <w:vAlign w:val="center"/>
          </w:tcPr>
          <w:p w14:paraId="742FD1FB" w14:textId="7FF44BD6" w:rsidR="00262492" w:rsidRPr="001D6913" w:rsidRDefault="00262492" w:rsidP="004D3D16">
            <w:pPr>
              <w:pStyle w:val="Tabletext"/>
            </w:pPr>
            <w:r>
              <w:t>CAMHS</w:t>
            </w:r>
          </w:p>
        </w:tc>
        <w:tc>
          <w:tcPr>
            <w:tcW w:w="3359" w:type="pct"/>
            <w:tcBorders>
              <w:top w:val="single" w:sz="4" w:space="0" w:color="808080"/>
              <w:bottom w:val="single" w:sz="4" w:space="0" w:color="808080"/>
            </w:tcBorders>
            <w:shd w:val="clear" w:color="auto" w:fill="auto"/>
            <w:vAlign w:val="center"/>
          </w:tcPr>
          <w:p w14:paraId="69978AC2" w14:textId="7D467B00" w:rsidR="00262492" w:rsidRPr="001D6913" w:rsidRDefault="00262492" w:rsidP="004D3D16">
            <w:pPr>
              <w:pStyle w:val="Tabletext"/>
              <w:rPr>
                <w:lang w:eastAsia="en-AU"/>
              </w:rPr>
            </w:pPr>
            <w:r>
              <w:rPr>
                <w:lang w:eastAsia="en-AU"/>
              </w:rPr>
              <w:t>Child and Adolescent Mental Health Service</w:t>
            </w:r>
          </w:p>
        </w:tc>
      </w:tr>
      <w:tr w:rsidR="00262492" w:rsidRPr="006637D8" w14:paraId="41C5C6FB" w14:textId="77777777" w:rsidTr="005A0089">
        <w:tc>
          <w:tcPr>
            <w:tcW w:w="1641" w:type="pct"/>
            <w:tcBorders>
              <w:top w:val="single" w:sz="4" w:space="0" w:color="808080"/>
              <w:bottom w:val="single" w:sz="4" w:space="0" w:color="808080"/>
            </w:tcBorders>
            <w:shd w:val="clear" w:color="auto" w:fill="auto"/>
            <w:vAlign w:val="center"/>
          </w:tcPr>
          <w:p w14:paraId="34C4132F" w14:textId="6D2106EE" w:rsidR="00262492" w:rsidRPr="001D6913" w:rsidRDefault="00262492" w:rsidP="004D3D16">
            <w:pPr>
              <w:pStyle w:val="Tabletext"/>
            </w:pPr>
            <w:r>
              <w:t>CYMHS</w:t>
            </w:r>
          </w:p>
        </w:tc>
        <w:tc>
          <w:tcPr>
            <w:tcW w:w="3359" w:type="pct"/>
            <w:tcBorders>
              <w:top w:val="single" w:sz="4" w:space="0" w:color="808080"/>
              <w:bottom w:val="single" w:sz="4" w:space="0" w:color="808080"/>
            </w:tcBorders>
            <w:shd w:val="clear" w:color="auto" w:fill="auto"/>
            <w:vAlign w:val="center"/>
          </w:tcPr>
          <w:p w14:paraId="6120C8D7" w14:textId="0B57EAD0" w:rsidR="00262492" w:rsidRPr="001D6913" w:rsidRDefault="00262492" w:rsidP="004D3D16">
            <w:pPr>
              <w:pStyle w:val="Tabletext"/>
              <w:rPr>
                <w:lang w:eastAsia="en-AU"/>
              </w:rPr>
            </w:pPr>
            <w:r>
              <w:rPr>
                <w:lang w:eastAsia="en-AU"/>
              </w:rPr>
              <w:t>Child and Youth Mental Health Service</w:t>
            </w:r>
          </w:p>
        </w:tc>
      </w:tr>
      <w:tr w:rsidR="00262492" w:rsidRPr="006637D8" w14:paraId="2DE336DB" w14:textId="77777777" w:rsidTr="005A0089">
        <w:tc>
          <w:tcPr>
            <w:tcW w:w="1641" w:type="pct"/>
            <w:tcBorders>
              <w:top w:val="single" w:sz="4" w:space="0" w:color="808080"/>
              <w:bottom w:val="single" w:sz="4" w:space="0" w:color="808080"/>
            </w:tcBorders>
            <w:shd w:val="clear" w:color="auto" w:fill="auto"/>
            <w:vAlign w:val="center"/>
          </w:tcPr>
          <w:p w14:paraId="113BD537" w14:textId="603A5A39" w:rsidR="00262492" w:rsidRPr="001D6913" w:rsidRDefault="00262492" w:rsidP="004D3D16">
            <w:pPr>
              <w:pStyle w:val="Tabletext"/>
            </w:pPr>
            <w:r>
              <w:t>DFV</w:t>
            </w:r>
          </w:p>
        </w:tc>
        <w:tc>
          <w:tcPr>
            <w:tcW w:w="3359" w:type="pct"/>
            <w:tcBorders>
              <w:top w:val="single" w:sz="4" w:space="0" w:color="808080"/>
              <w:bottom w:val="single" w:sz="4" w:space="0" w:color="808080"/>
            </w:tcBorders>
            <w:shd w:val="clear" w:color="auto" w:fill="auto"/>
            <w:vAlign w:val="center"/>
          </w:tcPr>
          <w:p w14:paraId="3F6F5A2D" w14:textId="490B15AA" w:rsidR="00262492" w:rsidRPr="001D6913" w:rsidRDefault="00262492" w:rsidP="004D3D16">
            <w:pPr>
              <w:pStyle w:val="Tabletext"/>
              <w:rPr>
                <w:lang w:eastAsia="en-AU"/>
              </w:rPr>
            </w:pPr>
            <w:r>
              <w:rPr>
                <w:lang w:eastAsia="en-AU"/>
              </w:rPr>
              <w:t>Domestic and Family Violence</w:t>
            </w:r>
          </w:p>
        </w:tc>
      </w:tr>
      <w:tr w:rsidR="00594078" w:rsidRPr="006637D8" w14:paraId="06DE79A5" w14:textId="77777777" w:rsidTr="005A0089">
        <w:tc>
          <w:tcPr>
            <w:tcW w:w="1641" w:type="pct"/>
            <w:tcBorders>
              <w:top w:val="single" w:sz="4" w:space="0" w:color="808080"/>
              <w:bottom w:val="single" w:sz="4" w:space="0" w:color="808080"/>
            </w:tcBorders>
            <w:shd w:val="clear" w:color="auto" w:fill="auto"/>
            <w:vAlign w:val="center"/>
          </w:tcPr>
          <w:p w14:paraId="6D7AF960" w14:textId="41D1C07D" w:rsidR="00594078" w:rsidRDefault="00594078" w:rsidP="004D3D16">
            <w:pPr>
              <w:pStyle w:val="Tabletext"/>
            </w:pPr>
            <w:r>
              <w:t>DID</w:t>
            </w:r>
          </w:p>
        </w:tc>
        <w:tc>
          <w:tcPr>
            <w:tcW w:w="3359" w:type="pct"/>
            <w:tcBorders>
              <w:top w:val="single" w:sz="4" w:space="0" w:color="808080"/>
              <w:bottom w:val="single" w:sz="4" w:space="0" w:color="808080"/>
            </w:tcBorders>
            <w:shd w:val="clear" w:color="auto" w:fill="auto"/>
            <w:vAlign w:val="center"/>
          </w:tcPr>
          <w:p w14:paraId="21BDBBE8" w14:textId="46EDD0C9" w:rsidR="00594078" w:rsidRPr="00594078" w:rsidRDefault="005F13DC" w:rsidP="005F13DC">
            <w:pPr>
              <w:pStyle w:val="Tabletext"/>
            </w:pPr>
            <w:r>
              <w:t>D</w:t>
            </w:r>
            <w:r w:rsidR="00594078">
              <w:t>ifference-in-</w:t>
            </w:r>
            <w:r>
              <w:t>D</w:t>
            </w:r>
            <w:r w:rsidR="00594078">
              <w:t xml:space="preserve">ifferences </w:t>
            </w:r>
          </w:p>
        </w:tc>
      </w:tr>
      <w:tr w:rsidR="00E13761" w:rsidRPr="006637D8" w14:paraId="41A50652" w14:textId="77777777" w:rsidTr="005A0089">
        <w:tc>
          <w:tcPr>
            <w:tcW w:w="1641" w:type="pct"/>
            <w:tcBorders>
              <w:top w:val="single" w:sz="4" w:space="0" w:color="808080"/>
              <w:bottom w:val="single" w:sz="4" w:space="0" w:color="808080"/>
            </w:tcBorders>
            <w:shd w:val="clear" w:color="auto" w:fill="auto"/>
            <w:vAlign w:val="center"/>
          </w:tcPr>
          <w:p w14:paraId="39D8BED3" w14:textId="34095899" w:rsidR="00E13761" w:rsidRDefault="00E13761" w:rsidP="004D3D16">
            <w:pPr>
              <w:pStyle w:val="Tabletext"/>
            </w:pPr>
            <w:r>
              <w:t>DSS</w:t>
            </w:r>
          </w:p>
        </w:tc>
        <w:tc>
          <w:tcPr>
            <w:tcW w:w="3359" w:type="pct"/>
            <w:tcBorders>
              <w:top w:val="single" w:sz="4" w:space="0" w:color="808080"/>
              <w:bottom w:val="single" w:sz="4" w:space="0" w:color="808080"/>
            </w:tcBorders>
            <w:shd w:val="clear" w:color="auto" w:fill="auto"/>
            <w:vAlign w:val="center"/>
          </w:tcPr>
          <w:p w14:paraId="4B1D647E" w14:textId="77465AD1" w:rsidR="00E13761" w:rsidRDefault="00482E8E" w:rsidP="004D3D16">
            <w:pPr>
              <w:pStyle w:val="Tabletext"/>
              <w:rPr>
                <w:lang w:eastAsia="en-AU"/>
              </w:rPr>
            </w:pPr>
            <w:r w:rsidRPr="00482E8E">
              <w:rPr>
                <w:lang w:eastAsia="en-AU"/>
              </w:rPr>
              <w:t>Department of Social Services</w:t>
            </w:r>
          </w:p>
        </w:tc>
      </w:tr>
      <w:tr w:rsidR="00211A60" w:rsidRPr="006637D8" w14:paraId="4D435CEE" w14:textId="77777777" w:rsidTr="005D46EE">
        <w:tc>
          <w:tcPr>
            <w:tcW w:w="1641" w:type="pct"/>
            <w:tcBorders>
              <w:top w:val="single" w:sz="4" w:space="0" w:color="808080"/>
              <w:bottom w:val="single" w:sz="4" w:space="0" w:color="808080"/>
            </w:tcBorders>
            <w:shd w:val="clear" w:color="auto" w:fill="auto"/>
            <w:vAlign w:val="center"/>
          </w:tcPr>
          <w:p w14:paraId="06B58141" w14:textId="7F2E697D" w:rsidR="00211A60" w:rsidRPr="001D6913" w:rsidRDefault="0043495D" w:rsidP="004D3D16">
            <w:pPr>
              <w:pStyle w:val="Tabletext"/>
            </w:pPr>
            <w:r>
              <w:t>E</w:t>
            </w:r>
            <w:r w:rsidR="00080644">
              <w:t>O</w:t>
            </w:r>
            <w:r>
              <w:t>C</w:t>
            </w:r>
          </w:p>
        </w:tc>
        <w:tc>
          <w:tcPr>
            <w:tcW w:w="3359" w:type="pct"/>
            <w:tcBorders>
              <w:top w:val="single" w:sz="4" w:space="0" w:color="808080"/>
              <w:bottom w:val="single" w:sz="4" w:space="0" w:color="808080"/>
            </w:tcBorders>
            <w:shd w:val="clear" w:color="auto" w:fill="auto"/>
            <w:vAlign w:val="center"/>
          </w:tcPr>
          <w:p w14:paraId="7C2C5EF2" w14:textId="097A5E99" w:rsidR="00211A60" w:rsidRPr="001D6913" w:rsidRDefault="0043495D" w:rsidP="004D3D16">
            <w:pPr>
              <w:pStyle w:val="Tabletext"/>
            </w:pPr>
            <w:r>
              <w:t>Episode of Care</w:t>
            </w:r>
          </w:p>
        </w:tc>
      </w:tr>
      <w:tr w:rsidR="004D3D16" w:rsidRPr="006637D8" w14:paraId="03521C18" w14:textId="77777777" w:rsidTr="005D46EE">
        <w:tc>
          <w:tcPr>
            <w:tcW w:w="1641" w:type="pct"/>
            <w:tcBorders>
              <w:top w:val="single" w:sz="4" w:space="0" w:color="808080"/>
              <w:bottom w:val="single" w:sz="4" w:space="0" w:color="808080"/>
            </w:tcBorders>
            <w:shd w:val="clear" w:color="auto" w:fill="auto"/>
            <w:vAlign w:val="center"/>
          </w:tcPr>
          <w:p w14:paraId="55CAD7FB" w14:textId="77777777" w:rsidR="004D3D16" w:rsidRPr="001D6913" w:rsidRDefault="004D3D16" w:rsidP="004D3D16">
            <w:pPr>
              <w:pStyle w:val="Tabletext"/>
            </w:pPr>
            <w:r w:rsidRPr="001D6913">
              <w:t>ED</w:t>
            </w:r>
          </w:p>
        </w:tc>
        <w:tc>
          <w:tcPr>
            <w:tcW w:w="3359" w:type="pct"/>
            <w:tcBorders>
              <w:top w:val="single" w:sz="4" w:space="0" w:color="808080"/>
              <w:bottom w:val="single" w:sz="4" w:space="0" w:color="808080"/>
            </w:tcBorders>
            <w:shd w:val="clear" w:color="auto" w:fill="auto"/>
            <w:vAlign w:val="center"/>
          </w:tcPr>
          <w:p w14:paraId="61CCA7E6" w14:textId="77777777" w:rsidR="004D3D16" w:rsidRPr="001D6913" w:rsidRDefault="004D3D16" w:rsidP="004D3D16">
            <w:pPr>
              <w:pStyle w:val="Tabletext"/>
            </w:pPr>
            <w:r w:rsidRPr="001D6913">
              <w:t>Emergency Department</w:t>
            </w:r>
          </w:p>
        </w:tc>
      </w:tr>
      <w:tr w:rsidR="009E7161" w:rsidRPr="006637D8" w14:paraId="576685D2" w14:textId="77777777" w:rsidTr="005D46EE">
        <w:tc>
          <w:tcPr>
            <w:tcW w:w="1641" w:type="pct"/>
            <w:tcBorders>
              <w:top w:val="single" w:sz="4" w:space="0" w:color="808080"/>
              <w:bottom w:val="single" w:sz="4" w:space="0" w:color="808080"/>
            </w:tcBorders>
            <w:shd w:val="clear" w:color="auto" w:fill="auto"/>
            <w:vAlign w:val="center"/>
          </w:tcPr>
          <w:p w14:paraId="6982887D" w14:textId="744F0A6E" w:rsidR="009E7161" w:rsidRDefault="009E7161" w:rsidP="004D3D16">
            <w:pPr>
              <w:pStyle w:val="Tabletext"/>
            </w:pPr>
            <w:r>
              <w:t>EMHSS</w:t>
            </w:r>
          </w:p>
        </w:tc>
        <w:tc>
          <w:tcPr>
            <w:tcW w:w="3359" w:type="pct"/>
            <w:tcBorders>
              <w:top w:val="single" w:sz="4" w:space="0" w:color="808080"/>
              <w:bottom w:val="single" w:sz="4" w:space="0" w:color="808080"/>
            </w:tcBorders>
            <w:shd w:val="clear" w:color="auto" w:fill="auto"/>
            <w:vAlign w:val="center"/>
          </w:tcPr>
          <w:p w14:paraId="4FBB16CD" w14:textId="4E0E9E21" w:rsidR="009E7161" w:rsidRDefault="009E7161" w:rsidP="004D3D16">
            <w:pPr>
              <w:pStyle w:val="Tabletext"/>
            </w:pPr>
            <w:r w:rsidRPr="009E7161">
              <w:t>Enhancing Mental Health Support in Schools (Victorian Government)</w:t>
            </w:r>
          </w:p>
        </w:tc>
      </w:tr>
      <w:tr w:rsidR="00853903" w:rsidRPr="006637D8" w14:paraId="312C7511" w14:textId="77777777" w:rsidTr="005D46EE">
        <w:tc>
          <w:tcPr>
            <w:tcW w:w="1641" w:type="pct"/>
            <w:tcBorders>
              <w:top w:val="single" w:sz="4" w:space="0" w:color="808080"/>
              <w:bottom w:val="single" w:sz="4" w:space="0" w:color="808080"/>
            </w:tcBorders>
            <w:shd w:val="clear" w:color="auto" w:fill="auto"/>
            <w:vAlign w:val="center"/>
          </w:tcPr>
          <w:p w14:paraId="7130B557" w14:textId="7D17B97A" w:rsidR="00853903" w:rsidRPr="001D6913" w:rsidRDefault="00853903" w:rsidP="004D3D16">
            <w:pPr>
              <w:pStyle w:val="Tabletext"/>
            </w:pPr>
            <w:r>
              <w:t>EPYS</w:t>
            </w:r>
          </w:p>
        </w:tc>
        <w:tc>
          <w:tcPr>
            <w:tcW w:w="3359" w:type="pct"/>
            <w:tcBorders>
              <w:top w:val="single" w:sz="4" w:space="0" w:color="808080"/>
              <w:bottom w:val="single" w:sz="4" w:space="0" w:color="808080"/>
            </w:tcBorders>
            <w:shd w:val="clear" w:color="auto" w:fill="auto"/>
            <w:vAlign w:val="center"/>
          </w:tcPr>
          <w:p w14:paraId="74A9CD0E" w14:textId="07EC7113" w:rsidR="00853903" w:rsidRPr="001D6913" w:rsidRDefault="00853903" w:rsidP="004D3D16">
            <w:pPr>
              <w:pStyle w:val="Tabletext"/>
            </w:pPr>
            <w:r>
              <w:t>Early Psychosis Youth Services</w:t>
            </w:r>
          </w:p>
        </w:tc>
      </w:tr>
      <w:tr w:rsidR="00EA2A4A" w:rsidRPr="006637D8" w14:paraId="196563CD" w14:textId="77777777" w:rsidTr="005D46EE">
        <w:tc>
          <w:tcPr>
            <w:tcW w:w="1641" w:type="pct"/>
            <w:tcBorders>
              <w:top w:val="single" w:sz="4" w:space="0" w:color="808080"/>
              <w:bottom w:val="single" w:sz="4" w:space="0" w:color="808080"/>
            </w:tcBorders>
            <w:shd w:val="clear" w:color="auto" w:fill="auto"/>
            <w:vAlign w:val="center"/>
          </w:tcPr>
          <w:p w14:paraId="22F14179" w14:textId="538FF85E" w:rsidR="00EA2A4A" w:rsidRDefault="00EA2A4A" w:rsidP="004D3D16">
            <w:pPr>
              <w:pStyle w:val="Tabletext"/>
            </w:pPr>
            <w:r>
              <w:t>FTE</w:t>
            </w:r>
          </w:p>
        </w:tc>
        <w:tc>
          <w:tcPr>
            <w:tcW w:w="3359" w:type="pct"/>
            <w:tcBorders>
              <w:top w:val="single" w:sz="4" w:space="0" w:color="808080"/>
              <w:bottom w:val="single" w:sz="4" w:space="0" w:color="808080"/>
            </w:tcBorders>
            <w:shd w:val="clear" w:color="auto" w:fill="auto"/>
            <w:vAlign w:val="center"/>
          </w:tcPr>
          <w:p w14:paraId="1C699427" w14:textId="73809DB9" w:rsidR="00EA2A4A" w:rsidRDefault="00A8416B" w:rsidP="004D3D16">
            <w:pPr>
              <w:pStyle w:val="Tabletext"/>
            </w:pPr>
            <w:r>
              <w:t>F</w:t>
            </w:r>
            <w:r w:rsidR="009B4C82" w:rsidRPr="009B4C82">
              <w:t xml:space="preserve">ull </w:t>
            </w:r>
            <w:r>
              <w:t>T</w:t>
            </w:r>
            <w:r w:rsidR="009B4C82" w:rsidRPr="009B4C82">
              <w:t xml:space="preserve">ime </w:t>
            </w:r>
            <w:r>
              <w:t>E</w:t>
            </w:r>
            <w:r w:rsidR="009B4C82" w:rsidRPr="009B4C82">
              <w:t>quivalent</w:t>
            </w:r>
          </w:p>
        </w:tc>
      </w:tr>
      <w:tr w:rsidR="00262492" w:rsidRPr="006637D8" w14:paraId="61C1395B" w14:textId="77777777" w:rsidTr="005D46EE">
        <w:tc>
          <w:tcPr>
            <w:tcW w:w="1641" w:type="pct"/>
            <w:tcBorders>
              <w:top w:val="single" w:sz="4" w:space="0" w:color="808080"/>
              <w:bottom w:val="single" w:sz="4" w:space="0" w:color="808080"/>
            </w:tcBorders>
            <w:shd w:val="clear" w:color="auto" w:fill="auto"/>
            <w:vAlign w:val="center"/>
          </w:tcPr>
          <w:p w14:paraId="3F313DB5" w14:textId="704D615D" w:rsidR="00262492" w:rsidRDefault="00262492" w:rsidP="004D3D16">
            <w:pPr>
              <w:pStyle w:val="Tabletext"/>
            </w:pPr>
            <w:r>
              <w:t>GPs</w:t>
            </w:r>
          </w:p>
        </w:tc>
        <w:tc>
          <w:tcPr>
            <w:tcW w:w="3359" w:type="pct"/>
            <w:tcBorders>
              <w:top w:val="single" w:sz="4" w:space="0" w:color="808080"/>
              <w:bottom w:val="single" w:sz="4" w:space="0" w:color="808080"/>
            </w:tcBorders>
            <w:shd w:val="clear" w:color="auto" w:fill="auto"/>
            <w:vAlign w:val="center"/>
          </w:tcPr>
          <w:p w14:paraId="5F191ED8" w14:textId="5C2FE9C9" w:rsidR="00262492" w:rsidRDefault="00262492" w:rsidP="004D3D16">
            <w:pPr>
              <w:pStyle w:val="Tabletext"/>
            </w:pPr>
            <w:r>
              <w:t>General Practitioners</w:t>
            </w:r>
          </w:p>
        </w:tc>
      </w:tr>
      <w:tr w:rsidR="00211A60" w:rsidRPr="006637D8" w14:paraId="656A129D" w14:textId="77777777" w:rsidTr="005D46EE">
        <w:tc>
          <w:tcPr>
            <w:tcW w:w="1641" w:type="pct"/>
            <w:tcBorders>
              <w:top w:val="single" w:sz="4" w:space="0" w:color="808080"/>
              <w:bottom w:val="single" w:sz="4" w:space="0" w:color="808080"/>
            </w:tcBorders>
            <w:shd w:val="clear" w:color="auto" w:fill="auto"/>
            <w:vAlign w:val="center"/>
          </w:tcPr>
          <w:p w14:paraId="0BEF0465" w14:textId="40ED505E" w:rsidR="00211A60" w:rsidRPr="001D6913" w:rsidRDefault="0043495D" w:rsidP="004D3D16">
            <w:pPr>
              <w:pStyle w:val="Tabletext"/>
            </w:pPr>
            <w:r>
              <w:t>hMDS</w:t>
            </w:r>
          </w:p>
        </w:tc>
        <w:tc>
          <w:tcPr>
            <w:tcW w:w="3359" w:type="pct"/>
            <w:tcBorders>
              <w:top w:val="single" w:sz="4" w:space="0" w:color="808080"/>
              <w:bottom w:val="single" w:sz="4" w:space="0" w:color="808080"/>
            </w:tcBorders>
            <w:shd w:val="clear" w:color="auto" w:fill="auto"/>
            <w:vAlign w:val="center"/>
          </w:tcPr>
          <w:p w14:paraId="6B884272" w14:textId="7FD847CA" w:rsidR="00211A60" w:rsidRPr="001D6913" w:rsidRDefault="0043495D" w:rsidP="004D3D16">
            <w:pPr>
              <w:pStyle w:val="Tabletext"/>
              <w:rPr>
                <w:rFonts w:cs="Times New Roman"/>
              </w:rPr>
            </w:pPr>
            <w:r>
              <w:rPr>
                <w:rFonts w:cs="Times New Roman"/>
              </w:rPr>
              <w:t>headspace Minimum Dataset</w:t>
            </w:r>
          </w:p>
        </w:tc>
      </w:tr>
      <w:tr w:rsidR="004D3D16" w:rsidRPr="006637D8" w14:paraId="2A4DAE58" w14:textId="77777777" w:rsidTr="005D46EE">
        <w:tc>
          <w:tcPr>
            <w:tcW w:w="1641" w:type="pct"/>
            <w:tcBorders>
              <w:top w:val="single" w:sz="4" w:space="0" w:color="808080"/>
              <w:bottom w:val="single" w:sz="4" w:space="0" w:color="808080"/>
            </w:tcBorders>
            <w:shd w:val="clear" w:color="auto" w:fill="auto"/>
            <w:vAlign w:val="center"/>
          </w:tcPr>
          <w:p w14:paraId="000C69AA" w14:textId="77777777" w:rsidR="004D3D16" w:rsidRPr="001D6913" w:rsidRDefault="004D3D16" w:rsidP="004D3D16">
            <w:pPr>
              <w:pStyle w:val="Tabletext"/>
            </w:pPr>
            <w:r w:rsidRPr="001D6913">
              <w:t>hMIF</w:t>
            </w:r>
          </w:p>
        </w:tc>
        <w:tc>
          <w:tcPr>
            <w:tcW w:w="3359" w:type="pct"/>
            <w:tcBorders>
              <w:top w:val="single" w:sz="4" w:space="0" w:color="808080"/>
              <w:bottom w:val="single" w:sz="4" w:space="0" w:color="808080"/>
            </w:tcBorders>
            <w:shd w:val="clear" w:color="auto" w:fill="auto"/>
            <w:vAlign w:val="center"/>
          </w:tcPr>
          <w:p w14:paraId="773E40ED" w14:textId="77777777" w:rsidR="004D3D16" w:rsidRPr="001D6913" w:rsidRDefault="004D3D16" w:rsidP="004D3D16">
            <w:pPr>
              <w:pStyle w:val="Tabletext"/>
              <w:rPr>
                <w:rFonts w:cs="Times New Roman"/>
              </w:rPr>
            </w:pPr>
            <w:r w:rsidRPr="001D6913">
              <w:rPr>
                <w:rFonts w:cs="Times New Roman"/>
              </w:rPr>
              <w:t>headspace Model Integrity Framework</w:t>
            </w:r>
          </w:p>
        </w:tc>
      </w:tr>
      <w:tr w:rsidR="00AE7BE7" w:rsidRPr="006637D8" w14:paraId="6329A037" w14:textId="77777777" w:rsidTr="005A0089">
        <w:tc>
          <w:tcPr>
            <w:tcW w:w="1641" w:type="pct"/>
            <w:tcBorders>
              <w:top w:val="single" w:sz="4" w:space="0" w:color="808080"/>
              <w:bottom w:val="single" w:sz="4" w:space="0" w:color="808080"/>
            </w:tcBorders>
            <w:shd w:val="clear" w:color="auto" w:fill="auto"/>
            <w:vAlign w:val="center"/>
          </w:tcPr>
          <w:p w14:paraId="51D03C67" w14:textId="35BAC408" w:rsidR="00AE7BE7" w:rsidRPr="001D6913" w:rsidRDefault="00AE7BE7" w:rsidP="004D3D16">
            <w:pPr>
              <w:pStyle w:val="Tabletext"/>
            </w:pPr>
            <w:r w:rsidRPr="001D6913">
              <w:t>hAPI</w:t>
            </w:r>
          </w:p>
        </w:tc>
        <w:tc>
          <w:tcPr>
            <w:tcW w:w="3359" w:type="pct"/>
            <w:tcBorders>
              <w:top w:val="single" w:sz="4" w:space="0" w:color="808080"/>
              <w:bottom w:val="single" w:sz="4" w:space="0" w:color="808080"/>
            </w:tcBorders>
            <w:shd w:val="clear" w:color="auto" w:fill="auto"/>
            <w:vAlign w:val="center"/>
          </w:tcPr>
          <w:p w14:paraId="3CAA0FB6" w14:textId="240475A8" w:rsidR="00AE7BE7" w:rsidRPr="001D6913" w:rsidRDefault="00AE7BE7" w:rsidP="004D3D16">
            <w:pPr>
              <w:pStyle w:val="Tabletext"/>
              <w:rPr>
                <w:rFonts w:cs="Times New Roman"/>
              </w:rPr>
            </w:pPr>
            <w:r w:rsidRPr="001D6913">
              <w:rPr>
                <w:rFonts w:cs="Times New Roman"/>
              </w:rPr>
              <w:t>headspace Applications Platform Interface</w:t>
            </w:r>
          </w:p>
        </w:tc>
      </w:tr>
      <w:tr w:rsidR="004D3D16" w:rsidRPr="006637D8" w14:paraId="25302A63" w14:textId="77777777" w:rsidTr="005D46EE">
        <w:tc>
          <w:tcPr>
            <w:tcW w:w="1641" w:type="pct"/>
            <w:tcBorders>
              <w:top w:val="single" w:sz="4" w:space="0" w:color="808080"/>
              <w:bottom w:val="single" w:sz="4" w:space="0" w:color="808080"/>
            </w:tcBorders>
            <w:shd w:val="clear" w:color="auto" w:fill="auto"/>
            <w:vAlign w:val="center"/>
          </w:tcPr>
          <w:p w14:paraId="01261E3E" w14:textId="77777777" w:rsidR="004D3D16" w:rsidRPr="001D6913" w:rsidRDefault="004D3D16" w:rsidP="004D3D16">
            <w:pPr>
              <w:pStyle w:val="Tabletext"/>
            </w:pPr>
            <w:r w:rsidRPr="001D6913">
              <w:t>ICER</w:t>
            </w:r>
          </w:p>
        </w:tc>
        <w:tc>
          <w:tcPr>
            <w:tcW w:w="3359" w:type="pct"/>
            <w:tcBorders>
              <w:top w:val="single" w:sz="4" w:space="0" w:color="808080"/>
              <w:bottom w:val="single" w:sz="4" w:space="0" w:color="808080"/>
            </w:tcBorders>
            <w:shd w:val="clear" w:color="auto" w:fill="auto"/>
            <w:vAlign w:val="center"/>
          </w:tcPr>
          <w:p w14:paraId="2E62F3CF" w14:textId="77777777" w:rsidR="004D3D16" w:rsidRPr="001D6913" w:rsidRDefault="004D3D16" w:rsidP="004D3D16">
            <w:pPr>
              <w:pStyle w:val="Tabletext"/>
              <w:rPr>
                <w:rFonts w:cs="Times New Roman"/>
              </w:rPr>
            </w:pPr>
            <w:r w:rsidRPr="001D6913">
              <w:rPr>
                <w:rFonts w:cs="Times New Roman"/>
              </w:rPr>
              <w:t>Incremental cost-effectiveness ratio</w:t>
            </w:r>
          </w:p>
        </w:tc>
      </w:tr>
      <w:tr w:rsidR="00482E8E" w:rsidRPr="006637D8" w14:paraId="11DD2CBC" w14:textId="77777777" w:rsidTr="005A0089">
        <w:tc>
          <w:tcPr>
            <w:tcW w:w="1641" w:type="pct"/>
            <w:tcBorders>
              <w:top w:val="single" w:sz="4" w:space="0" w:color="808080"/>
              <w:bottom w:val="single" w:sz="4" w:space="0" w:color="808080"/>
            </w:tcBorders>
            <w:shd w:val="clear" w:color="auto" w:fill="auto"/>
            <w:vAlign w:val="center"/>
          </w:tcPr>
          <w:p w14:paraId="56BC2FFA" w14:textId="3F2B93E0" w:rsidR="00482E8E" w:rsidRPr="001D6913" w:rsidRDefault="00482E8E" w:rsidP="004D3D16">
            <w:pPr>
              <w:pStyle w:val="Tabletext"/>
            </w:pPr>
            <w:r>
              <w:t>IPS</w:t>
            </w:r>
          </w:p>
        </w:tc>
        <w:tc>
          <w:tcPr>
            <w:tcW w:w="3359" w:type="pct"/>
            <w:tcBorders>
              <w:top w:val="single" w:sz="4" w:space="0" w:color="808080"/>
              <w:bottom w:val="single" w:sz="4" w:space="0" w:color="808080"/>
            </w:tcBorders>
            <w:shd w:val="clear" w:color="auto" w:fill="auto"/>
            <w:vAlign w:val="center"/>
          </w:tcPr>
          <w:p w14:paraId="0C897F16" w14:textId="23F4A2CA" w:rsidR="00482E8E" w:rsidRDefault="003F7A80" w:rsidP="004D3D16">
            <w:pPr>
              <w:pStyle w:val="Tabletext"/>
              <w:rPr>
                <w:rFonts w:cs="Times New Roman"/>
              </w:rPr>
            </w:pPr>
            <w:r w:rsidRPr="003F7A80">
              <w:rPr>
                <w:rFonts w:cs="Times New Roman"/>
              </w:rPr>
              <w:t>Individual Placement Support</w:t>
            </w:r>
          </w:p>
        </w:tc>
      </w:tr>
      <w:tr w:rsidR="00F0079A" w:rsidRPr="006637D8" w14:paraId="14BAE54C" w14:textId="77777777" w:rsidTr="005A0089">
        <w:tc>
          <w:tcPr>
            <w:tcW w:w="1641" w:type="pct"/>
            <w:tcBorders>
              <w:top w:val="single" w:sz="4" w:space="0" w:color="808080"/>
              <w:bottom w:val="single" w:sz="4" w:space="0" w:color="808080"/>
            </w:tcBorders>
            <w:shd w:val="clear" w:color="auto" w:fill="auto"/>
            <w:vAlign w:val="center"/>
          </w:tcPr>
          <w:p w14:paraId="3787077A" w14:textId="388469F9" w:rsidR="00F0079A" w:rsidRPr="001D6913" w:rsidRDefault="00F0079A" w:rsidP="004D3D16">
            <w:pPr>
              <w:pStyle w:val="Tabletext"/>
            </w:pPr>
            <w:r w:rsidRPr="001D6913">
              <w:t>LGBTQIA+</w:t>
            </w:r>
          </w:p>
        </w:tc>
        <w:tc>
          <w:tcPr>
            <w:tcW w:w="3359" w:type="pct"/>
            <w:tcBorders>
              <w:top w:val="single" w:sz="4" w:space="0" w:color="808080"/>
              <w:bottom w:val="single" w:sz="4" w:space="0" w:color="808080"/>
            </w:tcBorders>
            <w:shd w:val="clear" w:color="auto" w:fill="auto"/>
            <w:vAlign w:val="center"/>
          </w:tcPr>
          <w:p w14:paraId="5236A092" w14:textId="3EB9D818" w:rsidR="00F0079A" w:rsidRPr="001D6913" w:rsidRDefault="00C37D9F" w:rsidP="004D3D16">
            <w:pPr>
              <w:pStyle w:val="Tabletext"/>
              <w:rPr>
                <w:rFonts w:cs="Times New Roman"/>
              </w:rPr>
            </w:pPr>
            <w:r>
              <w:rPr>
                <w:rFonts w:cs="Times New Roman"/>
              </w:rPr>
              <w:t>Lesbian, Gay, Bisexual, Transgender, Queer, Intersex, Asexual</w:t>
            </w:r>
          </w:p>
        </w:tc>
      </w:tr>
      <w:tr w:rsidR="004D3D16" w:rsidRPr="006637D8" w14:paraId="5E9673CF" w14:textId="77777777" w:rsidTr="005D46EE">
        <w:tc>
          <w:tcPr>
            <w:tcW w:w="1641" w:type="pct"/>
            <w:tcBorders>
              <w:top w:val="single" w:sz="4" w:space="0" w:color="808080"/>
              <w:bottom w:val="single" w:sz="4" w:space="0" w:color="808080"/>
            </w:tcBorders>
            <w:shd w:val="clear" w:color="auto" w:fill="auto"/>
            <w:vAlign w:val="center"/>
          </w:tcPr>
          <w:p w14:paraId="43D6E34E" w14:textId="77777777" w:rsidR="004D3D16" w:rsidRPr="001D6913" w:rsidRDefault="004D3D16" w:rsidP="004D3D16">
            <w:pPr>
              <w:pStyle w:val="Tabletext"/>
            </w:pPr>
            <w:r w:rsidRPr="001D6913">
              <w:t>K10</w:t>
            </w:r>
          </w:p>
        </w:tc>
        <w:tc>
          <w:tcPr>
            <w:tcW w:w="3359" w:type="pct"/>
            <w:tcBorders>
              <w:top w:val="single" w:sz="4" w:space="0" w:color="808080"/>
              <w:bottom w:val="single" w:sz="4" w:space="0" w:color="808080"/>
            </w:tcBorders>
            <w:shd w:val="clear" w:color="auto" w:fill="auto"/>
            <w:vAlign w:val="center"/>
          </w:tcPr>
          <w:p w14:paraId="25DB0689" w14:textId="77777777" w:rsidR="004D3D16" w:rsidRPr="001D6913" w:rsidRDefault="004D3D16" w:rsidP="004D3D16">
            <w:pPr>
              <w:pStyle w:val="Tabletext"/>
              <w:rPr>
                <w:rFonts w:cs="Times New Roman"/>
              </w:rPr>
            </w:pPr>
            <w:r w:rsidRPr="001D6913">
              <w:rPr>
                <w:rFonts w:cs="Times New Roman"/>
              </w:rPr>
              <w:t xml:space="preserve">Kessler Psychological Distress Scale </w:t>
            </w:r>
          </w:p>
        </w:tc>
      </w:tr>
      <w:tr w:rsidR="005D2DD2" w:rsidRPr="006637D8" w14:paraId="540ECDD0" w14:textId="77777777" w:rsidTr="005D46EE">
        <w:tc>
          <w:tcPr>
            <w:tcW w:w="1641" w:type="pct"/>
            <w:tcBorders>
              <w:top w:val="single" w:sz="4" w:space="0" w:color="808080"/>
              <w:bottom w:val="single" w:sz="4" w:space="0" w:color="808080"/>
            </w:tcBorders>
            <w:shd w:val="clear" w:color="auto" w:fill="auto"/>
            <w:vAlign w:val="center"/>
          </w:tcPr>
          <w:p w14:paraId="30A96A5F" w14:textId="1B04B886" w:rsidR="005D2DD2" w:rsidRPr="001D6913" w:rsidRDefault="005D2DD2" w:rsidP="004D3D16">
            <w:pPr>
              <w:pStyle w:val="Tabletext"/>
            </w:pPr>
            <w:r>
              <w:t>KPI</w:t>
            </w:r>
          </w:p>
        </w:tc>
        <w:tc>
          <w:tcPr>
            <w:tcW w:w="3359" w:type="pct"/>
            <w:tcBorders>
              <w:top w:val="single" w:sz="4" w:space="0" w:color="808080"/>
              <w:bottom w:val="single" w:sz="4" w:space="0" w:color="808080"/>
            </w:tcBorders>
            <w:shd w:val="clear" w:color="auto" w:fill="auto"/>
            <w:vAlign w:val="center"/>
          </w:tcPr>
          <w:p w14:paraId="6E62817F" w14:textId="29900C52" w:rsidR="005D2DD2" w:rsidRPr="001D6913" w:rsidRDefault="005D2DD2" w:rsidP="004D3D16">
            <w:pPr>
              <w:pStyle w:val="Tabletext"/>
              <w:rPr>
                <w:rFonts w:cs="Times New Roman"/>
              </w:rPr>
            </w:pPr>
            <w:r>
              <w:rPr>
                <w:rFonts w:cs="Times New Roman"/>
              </w:rPr>
              <w:t>Key performance indicator</w:t>
            </w:r>
          </w:p>
        </w:tc>
      </w:tr>
      <w:tr w:rsidR="001D0D28" w:rsidRPr="006637D8" w14:paraId="0E9047F9" w14:textId="77777777" w:rsidTr="005D46EE">
        <w:tc>
          <w:tcPr>
            <w:tcW w:w="1641" w:type="pct"/>
            <w:tcBorders>
              <w:top w:val="single" w:sz="4" w:space="0" w:color="808080"/>
              <w:bottom w:val="single" w:sz="4" w:space="0" w:color="808080"/>
            </w:tcBorders>
            <w:shd w:val="clear" w:color="auto" w:fill="auto"/>
            <w:vAlign w:val="center"/>
          </w:tcPr>
          <w:p w14:paraId="5C328966" w14:textId="06F242C6" w:rsidR="001D0D28" w:rsidRPr="001D6913" w:rsidRDefault="001D0D28" w:rsidP="004D3D16">
            <w:pPr>
              <w:pStyle w:val="Tabletext"/>
            </w:pPr>
            <w:r>
              <w:t>MAT</w:t>
            </w:r>
          </w:p>
        </w:tc>
        <w:tc>
          <w:tcPr>
            <w:tcW w:w="3359" w:type="pct"/>
            <w:tcBorders>
              <w:top w:val="single" w:sz="4" w:space="0" w:color="808080"/>
              <w:bottom w:val="single" w:sz="4" w:space="0" w:color="808080"/>
            </w:tcBorders>
            <w:shd w:val="clear" w:color="auto" w:fill="auto"/>
            <w:vAlign w:val="center"/>
          </w:tcPr>
          <w:p w14:paraId="19CDFDDA" w14:textId="16F86399" w:rsidR="001D0D28" w:rsidRPr="001D6913" w:rsidRDefault="001D0D28" w:rsidP="004D3D16">
            <w:pPr>
              <w:pStyle w:val="Tabletext"/>
              <w:rPr>
                <w:rFonts w:cs="Times New Roman"/>
              </w:rPr>
            </w:pPr>
            <w:r>
              <w:t>Minimum Adequate Treatment</w:t>
            </w:r>
          </w:p>
        </w:tc>
      </w:tr>
      <w:tr w:rsidR="004D3D16" w:rsidRPr="006637D8" w14:paraId="354BAE6C" w14:textId="77777777" w:rsidTr="005D46EE">
        <w:tc>
          <w:tcPr>
            <w:tcW w:w="1641" w:type="pct"/>
            <w:tcBorders>
              <w:top w:val="single" w:sz="4" w:space="0" w:color="808080"/>
              <w:bottom w:val="single" w:sz="4" w:space="0" w:color="808080"/>
            </w:tcBorders>
            <w:shd w:val="clear" w:color="auto" w:fill="auto"/>
            <w:vAlign w:val="center"/>
          </w:tcPr>
          <w:p w14:paraId="4CE5B553" w14:textId="77777777" w:rsidR="004D3D16" w:rsidRPr="001D6913" w:rsidRDefault="004D3D16" w:rsidP="004D3D16">
            <w:pPr>
              <w:pStyle w:val="Tabletext"/>
            </w:pPr>
            <w:r w:rsidRPr="001D6913">
              <w:t>MBS</w:t>
            </w:r>
          </w:p>
        </w:tc>
        <w:tc>
          <w:tcPr>
            <w:tcW w:w="3359" w:type="pct"/>
            <w:tcBorders>
              <w:top w:val="single" w:sz="4" w:space="0" w:color="808080"/>
              <w:bottom w:val="single" w:sz="4" w:space="0" w:color="808080"/>
            </w:tcBorders>
            <w:shd w:val="clear" w:color="auto" w:fill="auto"/>
            <w:vAlign w:val="center"/>
          </w:tcPr>
          <w:p w14:paraId="236A04ED" w14:textId="77777777" w:rsidR="004D3D16" w:rsidRPr="001D6913" w:rsidRDefault="004D3D16" w:rsidP="004D3D16">
            <w:pPr>
              <w:pStyle w:val="Tabletext"/>
              <w:rPr>
                <w:rFonts w:cs="Times New Roman"/>
              </w:rPr>
            </w:pPr>
            <w:r w:rsidRPr="001D6913">
              <w:rPr>
                <w:rFonts w:cs="Times New Roman"/>
              </w:rPr>
              <w:t>Medicare Benefits Schedule</w:t>
            </w:r>
          </w:p>
        </w:tc>
      </w:tr>
      <w:tr w:rsidR="004D3D16" w:rsidRPr="006637D8" w14:paraId="4A2F552D" w14:textId="77777777" w:rsidTr="005D46EE">
        <w:tc>
          <w:tcPr>
            <w:tcW w:w="1641" w:type="pct"/>
            <w:tcBorders>
              <w:top w:val="single" w:sz="4" w:space="0" w:color="808080"/>
              <w:bottom w:val="single" w:sz="4" w:space="0" w:color="808080"/>
            </w:tcBorders>
            <w:shd w:val="clear" w:color="auto" w:fill="auto"/>
            <w:vAlign w:val="center"/>
          </w:tcPr>
          <w:p w14:paraId="336F3329" w14:textId="77777777" w:rsidR="004D3D16" w:rsidRPr="001D6913" w:rsidRDefault="004D3D16" w:rsidP="004D3D16">
            <w:pPr>
              <w:pStyle w:val="Tabletext"/>
            </w:pPr>
            <w:r w:rsidRPr="001D6913">
              <w:t>MLT</w:t>
            </w:r>
          </w:p>
        </w:tc>
        <w:tc>
          <w:tcPr>
            <w:tcW w:w="3359" w:type="pct"/>
            <w:tcBorders>
              <w:top w:val="single" w:sz="4" w:space="0" w:color="808080"/>
              <w:bottom w:val="single" w:sz="4" w:space="0" w:color="808080"/>
            </w:tcBorders>
            <w:shd w:val="clear" w:color="auto" w:fill="auto"/>
            <w:vAlign w:val="center"/>
          </w:tcPr>
          <w:p w14:paraId="4C0A8223" w14:textId="77777777" w:rsidR="004D3D16" w:rsidRPr="001D6913" w:rsidRDefault="004D3D16" w:rsidP="004D3D16">
            <w:pPr>
              <w:pStyle w:val="Tabletext"/>
              <w:rPr>
                <w:rFonts w:cs="Times New Roman"/>
              </w:rPr>
            </w:pPr>
            <w:r w:rsidRPr="001D6913">
              <w:rPr>
                <w:rFonts w:cs="Times New Roman"/>
              </w:rPr>
              <w:t>MyLifeTracker</w:t>
            </w:r>
          </w:p>
        </w:tc>
      </w:tr>
      <w:tr w:rsidR="00C628A3" w:rsidRPr="006637D8" w14:paraId="73BF5EAD" w14:textId="77777777" w:rsidTr="005D46EE">
        <w:tc>
          <w:tcPr>
            <w:tcW w:w="1641" w:type="pct"/>
            <w:tcBorders>
              <w:top w:val="single" w:sz="4" w:space="0" w:color="808080"/>
              <w:bottom w:val="single" w:sz="4" w:space="0" w:color="808080"/>
            </w:tcBorders>
            <w:shd w:val="clear" w:color="auto" w:fill="auto"/>
            <w:vAlign w:val="center"/>
          </w:tcPr>
          <w:p w14:paraId="5319890D" w14:textId="619ED46D" w:rsidR="00C628A3" w:rsidRPr="001D6913" w:rsidRDefault="0043495D" w:rsidP="004D3D16">
            <w:pPr>
              <w:pStyle w:val="Tabletext"/>
            </w:pPr>
            <w:r>
              <w:t>O</w:t>
            </w:r>
            <w:r w:rsidR="00264FEE">
              <w:t>O</w:t>
            </w:r>
            <w:r>
              <w:t>S</w:t>
            </w:r>
          </w:p>
        </w:tc>
        <w:tc>
          <w:tcPr>
            <w:tcW w:w="3359" w:type="pct"/>
            <w:tcBorders>
              <w:top w:val="single" w:sz="4" w:space="0" w:color="808080"/>
              <w:bottom w:val="single" w:sz="4" w:space="0" w:color="808080"/>
            </w:tcBorders>
            <w:shd w:val="clear" w:color="auto" w:fill="auto"/>
            <w:vAlign w:val="center"/>
          </w:tcPr>
          <w:p w14:paraId="15AB9D54" w14:textId="45AC7945" w:rsidR="00C628A3" w:rsidRPr="001D6913" w:rsidRDefault="0043495D" w:rsidP="004D3D16">
            <w:pPr>
              <w:pStyle w:val="Tabletext"/>
              <w:rPr>
                <w:rFonts w:cs="Times New Roman"/>
              </w:rPr>
            </w:pPr>
            <w:r>
              <w:rPr>
                <w:rFonts w:cs="Times New Roman"/>
              </w:rPr>
              <w:t>Occasion of Service</w:t>
            </w:r>
          </w:p>
        </w:tc>
      </w:tr>
      <w:tr w:rsidR="009B4C82" w:rsidRPr="006637D8" w14:paraId="716A4749" w14:textId="77777777" w:rsidTr="005D46EE">
        <w:tc>
          <w:tcPr>
            <w:tcW w:w="1641" w:type="pct"/>
            <w:tcBorders>
              <w:top w:val="single" w:sz="4" w:space="0" w:color="808080"/>
              <w:bottom w:val="single" w:sz="4" w:space="0" w:color="808080"/>
            </w:tcBorders>
            <w:shd w:val="clear" w:color="auto" w:fill="auto"/>
            <w:vAlign w:val="center"/>
          </w:tcPr>
          <w:p w14:paraId="292A0A66" w14:textId="4DBB0BD2" w:rsidR="009B4C82" w:rsidRPr="001D6913" w:rsidRDefault="009B4C82" w:rsidP="004D3D16">
            <w:pPr>
              <w:pStyle w:val="Tabletext"/>
            </w:pPr>
            <w:r>
              <w:t>NDIS</w:t>
            </w:r>
          </w:p>
        </w:tc>
        <w:tc>
          <w:tcPr>
            <w:tcW w:w="3359" w:type="pct"/>
            <w:tcBorders>
              <w:top w:val="single" w:sz="4" w:space="0" w:color="808080"/>
              <w:bottom w:val="single" w:sz="4" w:space="0" w:color="808080"/>
            </w:tcBorders>
            <w:shd w:val="clear" w:color="auto" w:fill="auto"/>
            <w:vAlign w:val="center"/>
          </w:tcPr>
          <w:p w14:paraId="4CDDBB61" w14:textId="0CBDD0D3" w:rsidR="009B4C82" w:rsidRPr="001D6913" w:rsidRDefault="00F71C26" w:rsidP="004D3D16">
            <w:pPr>
              <w:pStyle w:val="Tabletext"/>
              <w:rPr>
                <w:rFonts w:cs="Times New Roman"/>
              </w:rPr>
            </w:pPr>
            <w:r w:rsidRPr="00F71C26">
              <w:rPr>
                <w:rFonts w:cs="Times New Roman"/>
              </w:rPr>
              <w:t>National Disability Insurance Scheme</w:t>
            </w:r>
          </w:p>
        </w:tc>
      </w:tr>
      <w:tr w:rsidR="004D3D16" w:rsidRPr="006637D8" w14:paraId="6811BF78" w14:textId="77777777" w:rsidTr="005D46EE">
        <w:tc>
          <w:tcPr>
            <w:tcW w:w="1641" w:type="pct"/>
            <w:tcBorders>
              <w:top w:val="single" w:sz="4" w:space="0" w:color="808080"/>
              <w:bottom w:val="single" w:sz="4" w:space="0" w:color="808080"/>
            </w:tcBorders>
            <w:shd w:val="clear" w:color="auto" w:fill="auto"/>
            <w:vAlign w:val="center"/>
          </w:tcPr>
          <w:p w14:paraId="14E37EBC" w14:textId="77777777" w:rsidR="004D3D16" w:rsidRPr="001D6913" w:rsidRDefault="004D3D16" w:rsidP="004D3D16">
            <w:pPr>
              <w:pStyle w:val="Tabletext"/>
            </w:pPr>
            <w:r w:rsidRPr="001D6913">
              <w:t>PBS</w:t>
            </w:r>
          </w:p>
        </w:tc>
        <w:tc>
          <w:tcPr>
            <w:tcW w:w="3359" w:type="pct"/>
            <w:tcBorders>
              <w:top w:val="single" w:sz="4" w:space="0" w:color="808080"/>
              <w:bottom w:val="single" w:sz="4" w:space="0" w:color="808080"/>
            </w:tcBorders>
            <w:shd w:val="clear" w:color="auto" w:fill="auto"/>
            <w:vAlign w:val="center"/>
          </w:tcPr>
          <w:p w14:paraId="7681AE89" w14:textId="77777777" w:rsidR="004D3D16" w:rsidRPr="001D6913" w:rsidRDefault="004D3D16" w:rsidP="004D3D16">
            <w:pPr>
              <w:pStyle w:val="Tabletext"/>
              <w:rPr>
                <w:rFonts w:cs="Times New Roman"/>
              </w:rPr>
            </w:pPr>
            <w:r w:rsidRPr="001D6913">
              <w:rPr>
                <w:rFonts w:cs="Times New Roman"/>
              </w:rPr>
              <w:t>Pharmaceutical Benefits Scheme</w:t>
            </w:r>
          </w:p>
        </w:tc>
      </w:tr>
      <w:tr w:rsidR="00594078" w:rsidRPr="006637D8" w14:paraId="2A21D95B" w14:textId="77777777" w:rsidTr="005D46EE">
        <w:tc>
          <w:tcPr>
            <w:tcW w:w="1641" w:type="pct"/>
            <w:tcBorders>
              <w:top w:val="single" w:sz="4" w:space="0" w:color="808080"/>
              <w:bottom w:val="single" w:sz="4" w:space="0" w:color="808080"/>
            </w:tcBorders>
            <w:shd w:val="clear" w:color="auto" w:fill="auto"/>
            <w:vAlign w:val="center"/>
          </w:tcPr>
          <w:p w14:paraId="019726A3" w14:textId="77CA7228" w:rsidR="00594078" w:rsidRDefault="00594078" w:rsidP="004D3D16">
            <w:pPr>
              <w:pStyle w:val="Tabletext"/>
            </w:pPr>
            <w:r>
              <w:t>PCYC</w:t>
            </w:r>
          </w:p>
        </w:tc>
        <w:tc>
          <w:tcPr>
            <w:tcW w:w="3359" w:type="pct"/>
            <w:tcBorders>
              <w:top w:val="single" w:sz="4" w:space="0" w:color="808080"/>
              <w:bottom w:val="single" w:sz="4" w:space="0" w:color="808080"/>
            </w:tcBorders>
            <w:shd w:val="clear" w:color="auto" w:fill="auto"/>
            <w:vAlign w:val="center"/>
          </w:tcPr>
          <w:p w14:paraId="1EB1E819" w14:textId="56453602" w:rsidR="00594078" w:rsidRPr="00132F04" w:rsidRDefault="00594078" w:rsidP="004D3D16">
            <w:pPr>
              <w:pStyle w:val="Tabletext"/>
            </w:pPr>
            <w:r w:rsidRPr="00594078">
              <w:t>Police Community Youth Centre</w:t>
            </w:r>
          </w:p>
        </w:tc>
      </w:tr>
      <w:tr w:rsidR="009E7161" w:rsidRPr="006637D8" w14:paraId="7C9D5294" w14:textId="77777777" w:rsidTr="005D46EE">
        <w:tc>
          <w:tcPr>
            <w:tcW w:w="1641" w:type="pct"/>
            <w:tcBorders>
              <w:top w:val="single" w:sz="4" w:space="0" w:color="808080"/>
              <w:bottom w:val="single" w:sz="4" w:space="0" w:color="808080"/>
            </w:tcBorders>
            <w:shd w:val="clear" w:color="auto" w:fill="auto"/>
            <w:vAlign w:val="center"/>
          </w:tcPr>
          <w:p w14:paraId="7FE0930B" w14:textId="62008836" w:rsidR="009E7161" w:rsidRPr="001D6913" w:rsidRDefault="009E7161" w:rsidP="004D3D16">
            <w:pPr>
              <w:pStyle w:val="Tabletext"/>
            </w:pPr>
            <w:r>
              <w:t>PHCRIS</w:t>
            </w:r>
          </w:p>
        </w:tc>
        <w:tc>
          <w:tcPr>
            <w:tcW w:w="3359" w:type="pct"/>
            <w:tcBorders>
              <w:top w:val="single" w:sz="4" w:space="0" w:color="808080"/>
              <w:bottom w:val="single" w:sz="4" w:space="0" w:color="808080"/>
            </w:tcBorders>
            <w:shd w:val="clear" w:color="auto" w:fill="auto"/>
            <w:vAlign w:val="center"/>
          </w:tcPr>
          <w:p w14:paraId="65760B53" w14:textId="36949607" w:rsidR="009E7161" w:rsidRPr="001D6913" w:rsidRDefault="00132F04" w:rsidP="004D3D16">
            <w:pPr>
              <w:pStyle w:val="Tabletext"/>
            </w:pPr>
            <w:r w:rsidRPr="00132F04">
              <w:t>Primary Health Care Research and Information Service</w:t>
            </w:r>
          </w:p>
        </w:tc>
      </w:tr>
      <w:tr w:rsidR="004D3D16" w:rsidRPr="006637D8" w14:paraId="2B682769" w14:textId="77777777" w:rsidTr="005D46EE">
        <w:tc>
          <w:tcPr>
            <w:tcW w:w="1641" w:type="pct"/>
            <w:tcBorders>
              <w:top w:val="single" w:sz="4" w:space="0" w:color="808080"/>
              <w:bottom w:val="single" w:sz="4" w:space="0" w:color="808080"/>
            </w:tcBorders>
            <w:shd w:val="clear" w:color="auto" w:fill="auto"/>
            <w:vAlign w:val="center"/>
          </w:tcPr>
          <w:p w14:paraId="0BEB489F" w14:textId="77777777" w:rsidR="004D3D16" w:rsidRPr="001D6913" w:rsidRDefault="004D3D16" w:rsidP="004D3D16">
            <w:pPr>
              <w:pStyle w:val="Tabletext"/>
            </w:pPr>
            <w:r w:rsidRPr="001D6913">
              <w:t>PHNs</w:t>
            </w:r>
          </w:p>
        </w:tc>
        <w:tc>
          <w:tcPr>
            <w:tcW w:w="3359" w:type="pct"/>
            <w:tcBorders>
              <w:top w:val="single" w:sz="4" w:space="0" w:color="808080"/>
              <w:bottom w:val="single" w:sz="4" w:space="0" w:color="808080"/>
            </w:tcBorders>
            <w:shd w:val="clear" w:color="auto" w:fill="auto"/>
            <w:vAlign w:val="center"/>
          </w:tcPr>
          <w:p w14:paraId="5C4DB00F" w14:textId="77777777" w:rsidR="004D3D16" w:rsidRPr="001D6913" w:rsidRDefault="004D3D16" w:rsidP="004D3D16">
            <w:pPr>
              <w:pStyle w:val="Tabletext"/>
            </w:pPr>
            <w:r w:rsidRPr="001D6913">
              <w:t>Primary Health Networks</w:t>
            </w:r>
          </w:p>
        </w:tc>
      </w:tr>
      <w:tr w:rsidR="004D3D16" w:rsidRPr="006637D8" w14:paraId="444B2B8F" w14:textId="77777777" w:rsidTr="005D46EE">
        <w:tc>
          <w:tcPr>
            <w:tcW w:w="1641" w:type="pct"/>
            <w:tcBorders>
              <w:top w:val="single" w:sz="4" w:space="0" w:color="808080"/>
              <w:bottom w:val="single" w:sz="4" w:space="0" w:color="808080"/>
            </w:tcBorders>
            <w:shd w:val="clear" w:color="auto" w:fill="auto"/>
            <w:vAlign w:val="center"/>
          </w:tcPr>
          <w:p w14:paraId="55BCB991" w14:textId="5A9E3F29" w:rsidR="004D3D16" w:rsidRPr="001D6913" w:rsidRDefault="004D3D16" w:rsidP="004D3D16">
            <w:pPr>
              <w:pStyle w:val="Tabletext"/>
            </w:pPr>
            <w:r w:rsidRPr="001D6913">
              <w:t>PMH</w:t>
            </w:r>
            <w:r w:rsidR="00262492">
              <w:t>C-</w:t>
            </w:r>
            <w:r w:rsidRPr="001D6913">
              <w:t>MD</w:t>
            </w:r>
            <w:r w:rsidR="00262492">
              <w:t>S</w:t>
            </w:r>
          </w:p>
        </w:tc>
        <w:tc>
          <w:tcPr>
            <w:tcW w:w="3359" w:type="pct"/>
            <w:tcBorders>
              <w:top w:val="single" w:sz="4" w:space="0" w:color="808080"/>
              <w:bottom w:val="single" w:sz="4" w:space="0" w:color="808080"/>
            </w:tcBorders>
            <w:shd w:val="clear" w:color="auto" w:fill="auto"/>
            <w:vAlign w:val="center"/>
          </w:tcPr>
          <w:p w14:paraId="4427C206" w14:textId="3BDA035B" w:rsidR="004D3D16" w:rsidRPr="001D6913" w:rsidRDefault="004D3D16" w:rsidP="004D3D16">
            <w:pPr>
              <w:pStyle w:val="Tabletext"/>
              <w:rPr>
                <w:rFonts w:cs="Times New Roman"/>
              </w:rPr>
            </w:pPr>
            <w:r w:rsidRPr="001D6913">
              <w:rPr>
                <w:rFonts w:cs="Times New Roman"/>
              </w:rPr>
              <w:t>Primary Mental Health</w:t>
            </w:r>
            <w:r w:rsidR="006C07C9">
              <w:rPr>
                <w:rFonts w:cs="Times New Roman"/>
              </w:rPr>
              <w:t xml:space="preserve"> Care</w:t>
            </w:r>
            <w:r w:rsidRPr="001D6913">
              <w:rPr>
                <w:rFonts w:cs="Times New Roman"/>
              </w:rPr>
              <w:t xml:space="preserve"> Minimum Data</w:t>
            </w:r>
            <w:r w:rsidR="00F565ED">
              <w:rPr>
                <w:rFonts w:cs="Times New Roman"/>
              </w:rPr>
              <w:t xml:space="preserve"> S</w:t>
            </w:r>
            <w:r w:rsidRPr="001D6913">
              <w:rPr>
                <w:rFonts w:cs="Times New Roman"/>
              </w:rPr>
              <w:t>et</w:t>
            </w:r>
          </w:p>
        </w:tc>
      </w:tr>
      <w:tr w:rsidR="00132F04" w:rsidRPr="006637D8" w14:paraId="3F35641C" w14:textId="77777777" w:rsidTr="005D46EE">
        <w:tc>
          <w:tcPr>
            <w:tcW w:w="1641" w:type="pct"/>
            <w:tcBorders>
              <w:top w:val="single" w:sz="4" w:space="0" w:color="808080"/>
              <w:bottom w:val="single" w:sz="4" w:space="0" w:color="808080"/>
            </w:tcBorders>
            <w:shd w:val="clear" w:color="auto" w:fill="auto"/>
            <w:vAlign w:val="center"/>
          </w:tcPr>
          <w:p w14:paraId="118F4475" w14:textId="3DF99D85" w:rsidR="00132F04" w:rsidRDefault="00132F04" w:rsidP="004D3D16">
            <w:pPr>
              <w:pStyle w:val="Tabletext"/>
            </w:pPr>
            <w:r>
              <w:lastRenderedPageBreak/>
              <w:t>QALY</w:t>
            </w:r>
          </w:p>
        </w:tc>
        <w:tc>
          <w:tcPr>
            <w:tcW w:w="3359" w:type="pct"/>
            <w:tcBorders>
              <w:top w:val="single" w:sz="4" w:space="0" w:color="808080"/>
              <w:bottom w:val="single" w:sz="4" w:space="0" w:color="808080"/>
            </w:tcBorders>
            <w:shd w:val="clear" w:color="auto" w:fill="auto"/>
            <w:vAlign w:val="center"/>
          </w:tcPr>
          <w:p w14:paraId="40420137" w14:textId="245E1380" w:rsidR="00132F04" w:rsidRPr="001D6913" w:rsidRDefault="00132F04" w:rsidP="004D3D16">
            <w:pPr>
              <w:pStyle w:val="Tabletext"/>
              <w:rPr>
                <w:rFonts w:cs="Times New Roman"/>
              </w:rPr>
            </w:pPr>
            <w:r w:rsidRPr="00132F04">
              <w:rPr>
                <w:rFonts w:cs="Times New Roman"/>
              </w:rPr>
              <w:t>Quality Adjusted Life Year</w:t>
            </w:r>
          </w:p>
        </w:tc>
      </w:tr>
      <w:tr w:rsidR="00132F04" w:rsidRPr="006637D8" w14:paraId="5C26C4A2" w14:textId="77777777" w:rsidTr="005D46EE">
        <w:tc>
          <w:tcPr>
            <w:tcW w:w="1641" w:type="pct"/>
            <w:tcBorders>
              <w:top w:val="single" w:sz="4" w:space="0" w:color="808080"/>
              <w:bottom w:val="single" w:sz="4" w:space="0" w:color="808080"/>
            </w:tcBorders>
            <w:shd w:val="clear" w:color="auto" w:fill="auto"/>
            <w:vAlign w:val="center"/>
          </w:tcPr>
          <w:p w14:paraId="375969FF" w14:textId="5273B03D" w:rsidR="00132F04" w:rsidRPr="001D6913" w:rsidRDefault="00132F04" w:rsidP="004D3D16">
            <w:pPr>
              <w:pStyle w:val="Tabletext"/>
            </w:pPr>
            <w:r>
              <w:t>RTM</w:t>
            </w:r>
          </w:p>
        </w:tc>
        <w:tc>
          <w:tcPr>
            <w:tcW w:w="3359" w:type="pct"/>
            <w:tcBorders>
              <w:top w:val="single" w:sz="4" w:space="0" w:color="808080"/>
              <w:bottom w:val="single" w:sz="4" w:space="0" w:color="808080"/>
            </w:tcBorders>
            <w:shd w:val="clear" w:color="auto" w:fill="auto"/>
            <w:vAlign w:val="center"/>
          </w:tcPr>
          <w:p w14:paraId="7C441D58" w14:textId="20FDB436" w:rsidR="00132F04" w:rsidRPr="001D6913" w:rsidRDefault="00A735AE" w:rsidP="004D3D16">
            <w:pPr>
              <w:pStyle w:val="Tabletext"/>
              <w:rPr>
                <w:rFonts w:cs="Times New Roman"/>
              </w:rPr>
            </w:pPr>
            <w:r>
              <w:rPr>
                <w:rFonts w:cs="Times New Roman"/>
              </w:rPr>
              <w:t>Regression to the mean</w:t>
            </w:r>
          </w:p>
        </w:tc>
      </w:tr>
      <w:tr w:rsidR="004D3D16" w:rsidRPr="006637D8" w14:paraId="028FCE91" w14:textId="77777777" w:rsidTr="005D46EE">
        <w:tc>
          <w:tcPr>
            <w:tcW w:w="1641" w:type="pct"/>
            <w:tcBorders>
              <w:top w:val="single" w:sz="4" w:space="0" w:color="808080"/>
              <w:bottom w:val="single" w:sz="4" w:space="0" w:color="808080"/>
            </w:tcBorders>
            <w:shd w:val="clear" w:color="auto" w:fill="auto"/>
            <w:vAlign w:val="center"/>
          </w:tcPr>
          <w:p w14:paraId="12D2DC74" w14:textId="77777777" w:rsidR="004D3D16" w:rsidRPr="001D6913" w:rsidRDefault="004D3D16" w:rsidP="004D3D16">
            <w:pPr>
              <w:pStyle w:val="Tabletext"/>
            </w:pPr>
            <w:r w:rsidRPr="001D6913">
              <w:t>SOFAS</w:t>
            </w:r>
          </w:p>
        </w:tc>
        <w:tc>
          <w:tcPr>
            <w:tcW w:w="3359" w:type="pct"/>
            <w:tcBorders>
              <w:top w:val="single" w:sz="4" w:space="0" w:color="808080"/>
              <w:bottom w:val="single" w:sz="4" w:space="0" w:color="808080"/>
            </w:tcBorders>
            <w:shd w:val="clear" w:color="auto" w:fill="auto"/>
            <w:vAlign w:val="center"/>
          </w:tcPr>
          <w:p w14:paraId="3E5FF6E7" w14:textId="77777777" w:rsidR="004D3D16" w:rsidRPr="001D6913" w:rsidRDefault="004D3D16" w:rsidP="004D3D16">
            <w:pPr>
              <w:pStyle w:val="Tabletext"/>
            </w:pPr>
            <w:r w:rsidRPr="001D6913">
              <w:rPr>
                <w:rFonts w:cs="Times New Roman"/>
              </w:rPr>
              <w:t xml:space="preserve">Social and Occupational Functioning Assessment Scale </w:t>
            </w:r>
          </w:p>
        </w:tc>
      </w:tr>
      <w:tr w:rsidR="004D3D16" w:rsidRPr="006637D8" w14:paraId="4C43FBED" w14:textId="77777777" w:rsidTr="005D46EE">
        <w:tc>
          <w:tcPr>
            <w:tcW w:w="1641" w:type="pct"/>
            <w:tcBorders>
              <w:top w:val="single" w:sz="4" w:space="0" w:color="00338D"/>
              <w:bottom w:val="single" w:sz="4" w:space="0" w:color="808080"/>
            </w:tcBorders>
            <w:shd w:val="clear" w:color="auto" w:fill="auto"/>
            <w:vAlign w:val="center"/>
          </w:tcPr>
          <w:p w14:paraId="61F45190" w14:textId="77777777" w:rsidR="004D3D16" w:rsidRPr="001D6913" w:rsidRDefault="004D3D16" w:rsidP="004D3D16">
            <w:pPr>
              <w:pStyle w:val="Tabletext"/>
            </w:pPr>
            <w:r w:rsidRPr="001D6913">
              <w:t>SPRC</w:t>
            </w:r>
          </w:p>
        </w:tc>
        <w:tc>
          <w:tcPr>
            <w:tcW w:w="3359" w:type="pct"/>
            <w:tcBorders>
              <w:top w:val="single" w:sz="4" w:space="0" w:color="00338D"/>
              <w:bottom w:val="single" w:sz="4" w:space="0" w:color="808080"/>
            </w:tcBorders>
            <w:shd w:val="clear" w:color="auto" w:fill="auto"/>
            <w:vAlign w:val="center"/>
          </w:tcPr>
          <w:p w14:paraId="74E9E6B1" w14:textId="77777777" w:rsidR="004D3D16" w:rsidRPr="001D6913" w:rsidRDefault="004D3D16" w:rsidP="004D3D16">
            <w:pPr>
              <w:pStyle w:val="Tabletext"/>
            </w:pPr>
            <w:r w:rsidRPr="001D6913">
              <w:t>Social Policy Research Centre</w:t>
            </w:r>
          </w:p>
        </w:tc>
      </w:tr>
      <w:tr w:rsidR="00211A60" w:rsidRPr="006637D8" w14:paraId="3603BDE8" w14:textId="77777777" w:rsidTr="005D46EE">
        <w:tc>
          <w:tcPr>
            <w:tcW w:w="1641" w:type="pct"/>
            <w:tcBorders>
              <w:top w:val="single" w:sz="4" w:space="0" w:color="00338D"/>
              <w:bottom w:val="single" w:sz="4" w:space="0" w:color="808080"/>
            </w:tcBorders>
            <w:shd w:val="clear" w:color="auto" w:fill="auto"/>
            <w:vAlign w:val="center"/>
          </w:tcPr>
          <w:p w14:paraId="66DFEBAF" w14:textId="4BD7D963" w:rsidR="00211A60" w:rsidRPr="001D6913" w:rsidRDefault="00211A60" w:rsidP="004D3D16">
            <w:pPr>
              <w:pStyle w:val="Tabletext"/>
            </w:pPr>
            <w:r>
              <w:t>TM</w:t>
            </w:r>
            <w:r w:rsidR="00D31EAC">
              <w:t>HS</w:t>
            </w:r>
          </w:p>
        </w:tc>
        <w:tc>
          <w:tcPr>
            <w:tcW w:w="3359" w:type="pct"/>
            <w:tcBorders>
              <w:top w:val="single" w:sz="4" w:space="0" w:color="00338D"/>
              <w:bottom w:val="single" w:sz="4" w:space="0" w:color="808080"/>
            </w:tcBorders>
            <w:shd w:val="clear" w:color="auto" w:fill="auto"/>
            <w:vAlign w:val="center"/>
          </w:tcPr>
          <w:p w14:paraId="376197A7" w14:textId="21BDB3A4" w:rsidR="00211A60" w:rsidRPr="001D6913" w:rsidRDefault="00D31EAC" w:rsidP="004D3D16">
            <w:pPr>
              <w:pStyle w:val="Tabletext"/>
            </w:pPr>
            <w:r>
              <w:t>Tertiary Mental Health Service</w:t>
            </w:r>
          </w:p>
        </w:tc>
      </w:tr>
      <w:tr w:rsidR="00262492" w:rsidRPr="006637D8" w14:paraId="5E9BF599" w14:textId="77777777" w:rsidTr="005D46EE">
        <w:tc>
          <w:tcPr>
            <w:tcW w:w="1641" w:type="pct"/>
            <w:tcBorders>
              <w:top w:val="single" w:sz="4" w:space="0" w:color="00338D"/>
              <w:bottom w:val="single" w:sz="4" w:space="0" w:color="808080"/>
            </w:tcBorders>
            <w:shd w:val="clear" w:color="auto" w:fill="auto"/>
            <w:vAlign w:val="center"/>
          </w:tcPr>
          <w:p w14:paraId="4FCD4C47" w14:textId="1F2D01AD" w:rsidR="00262492" w:rsidRDefault="00262492" w:rsidP="004D3D16">
            <w:pPr>
              <w:pStyle w:val="Tabletext"/>
            </w:pPr>
            <w:r>
              <w:t>TMLD</w:t>
            </w:r>
          </w:p>
        </w:tc>
        <w:tc>
          <w:tcPr>
            <w:tcW w:w="3359" w:type="pct"/>
            <w:tcBorders>
              <w:top w:val="single" w:sz="4" w:space="0" w:color="00338D"/>
              <w:bottom w:val="single" w:sz="4" w:space="0" w:color="808080"/>
            </w:tcBorders>
            <w:shd w:val="clear" w:color="auto" w:fill="auto"/>
            <w:vAlign w:val="center"/>
          </w:tcPr>
          <w:p w14:paraId="11F4277F" w14:textId="7F42F0E7" w:rsidR="00262492" w:rsidRDefault="00262492" w:rsidP="004D3D16">
            <w:pPr>
              <w:pStyle w:val="Tabletext"/>
            </w:pPr>
            <w:r>
              <w:t>Trade</w:t>
            </w:r>
            <w:r w:rsidR="005F13DC">
              <w:t xml:space="preserve"> Mark</w:t>
            </w:r>
            <w:r>
              <w:t xml:space="preserve"> Licence Deed</w:t>
            </w:r>
          </w:p>
        </w:tc>
      </w:tr>
      <w:tr w:rsidR="004D3D16" w:rsidRPr="006637D8" w14:paraId="2A591181" w14:textId="77777777" w:rsidTr="005D46EE">
        <w:tc>
          <w:tcPr>
            <w:tcW w:w="1641" w:type="pct"/>
            <w:tcBorders>
              <w:top w:val="single" w:sz="4" w:space="0" w:color="808080"/>
              <w:bottom w:val="single" w:sz="4" w:space="0" w:color="808080"/>
            </w:tcBorders>
            <w:shd w:val="clear" w:color="auto" w:fill="auto"/>
            <w:vAlign w:val="center"/>
          </w:tcPr>
          <w:p w14:paraId="67249507" w14:textId="77777777" w:rsidR="004D3D16" w:rsidRPr="001D6913" w:rsidRDefault="004D3D16" w:rsidP="004D3D16">
            <w:pPr>
              <w:pStyle w:val="Tabletext"/>
            </w:pPr>
            <w:r w:rsidRPr="001D6913">
              <w:t>UNSW</w:t>
            </w:r>
          </w:p>
        </w:tc>
        <w:tc>
          <w:tcPr>
            <w:tcW w:w="3359" w:type="pct"/>
            <w:tcBorders>
              <w:top w:val="single" w:sz="4" w:space="0" w:color="808080"/>
              <w:bottom w:val="single" w:sz="4" w:space="0" w:color="808080"/>
            </w:tcBorders>
            <w:shd w:val="clear" w:color="auto" w:fill="auto"/>
            <w:vAlign w:val="center"/>
          </w:tcPr>
          <w:p w14:paraId="017616E5" w14:textId="77777777" w:rsidR="004D3D16" w:rsidRPr="001D6913" w:rsidRDefault="004D3D16" w:rsidP="004D3D16">
            <w:pPr>
              <w:pStyle w:val="Tabletext"/>
            </w:pPr>
            <w:r w:rsidRPr="001D6913">
              <w:t>University of New South Wales</w:t>
            </w:r>
          </w:p>
        </w:tc>
      </w:tr>
    </w:tbl>
    <w:p w14:paraId="73335D32" w14:textId="77777777" w:rsidR="004D3D16" w:rsidRDefault="004D3D16" w:rsidP="00730B4D">
      <w:pPr>
        <w:pStyle w:val="BodyText"/>
      </w:pPr>
    </w:p>
    <w:tbl>
      <w:tblPr>
        <w:tblW w:w="5000" w:type="pct"/>
        <w:tblLook w:val="04A0" w:firstRow="1" w:lastRow="0" w:firstColumn="1" w:lastColumn="0" w:noHBand="0" w:noVBand="1"/>
        <w:tblCaption w:val="Preferred headspace terminology "/>
        <w:tblDescription w:val="Table presents key headspace terms used in the report, and their definition"/>
      </w:tblPr>
      <w:tblGrid>
        <w:gridCol w:w="2962"/>
        <w:gridCol w:w="6064"/>
      </w:tblGrid>
      <w:tr w:rsidR="00286E4A" w:rsidRPr="006637D8" w14:paraId="3BED8D89" w14:textId="77777777" w:rsidTr="63C20481">
        <w:trPr>
          <w:tblHeader/>
        </w:trPr>
        <w:tc>
          <w:tcPr>
            <w:tcW w:w="1641" w:type="pct"/>
            <w:tcBorders>
              <w:top w:val="single" w:sz="4" w:space="0" w:color="808080" w:themeColor="background1" w:themeShade="80"/>
              <w:bottom w:val="single" w:sz="4" w:space="0" w:color="808080" w:themeColor="background1" w:themeShade="80"/>
            </w:tcBorders>
            <w:shd w:val="clear" w:color="auto" w:fill="00338D" w:themeFill="background2"/>
            <w:vAlign w:val="center"/>
          </w:tcPr>
          <w:p w14:paraId="33228340" w14:textId="77777777" w:rsidR="00286E4A" w:rsidRPr="001D6913" w:rsidRDefault="00286E4A" w:rsidP="004D3D16">
            <w:pPr>
              <w:pStyle w:val="Tableheading"/>
            </w:pPr>
            <w:r>
              <w:t>Term</w:t>
            </w:r>
          </w:p>
        </w:tc>
        <w:tc>
          <w:tcPr>
            <w:tcW w:w="3359" w:type="pct"/>
            <w:tcBorders>
              <w:top w:val="single" w:sz="4" w:space="0" w:color="808080" w:themeColor="background1" w:themeShade="80"/>
              <w:bottom w:val="single" w:sz="4" w:space="0" w:color="808080" w:themeColor="background1" w:themeShade="80"/>
            </w:tcBorders>
            <w:shd w:val="clear" w:color="auto" w:fill="00338D" w:themeFill="background2"/>
            <w:vAlign w:val="center"/>
          </w:tcPr>
          <w:p w14:paraId="148B37EF" w14:textId="5E8EB69D" w:rsidR="00286E4A" w:rsidRPr="001D6913" w:rsidRDefault="00286E4A" w:rsidP="004D3D16">
            <w:pPr>
              <w:pStyle w:val="Tableheading"/>
            </w:pPr>
            <w:r>
              <w:t>Definition</w:t>
            </w:r>
          </w:p>
        </w:tc>
      </w:tr>
      <w:tr w:rsidR="004D3D16" w:rsidRPr="006637D8" w14:paraId="085F66A2" w14:textId="77777777" w:rsidTr="63C20481">
        <w:tc>
          <w:tcPr>
            <w:tcW w:w="1641" w:type="pct"/>
            <w:tcBorders>
              <w:top w:val="single" w:sz="4" w:space="0" w:color="808080" w:themeColor="background1" w:themeShade="80"/>
              <w:bottom w:val="single" w:sz="4" w:space="0" w:color="808080" w:themeColor="background1" w:themeShade="80"/>
            </w:tcBorders>
            <w:shd w:val="clear" w:color="auto" w:fill="auto"/>
            <w:vAlign w:val="center"/>
          </w:tcPr>
          <w:p w14:paraId="235BA613" w14:textId="77777777" w:rsidR="004D3D16" w:rsidRPr="003C6F89" w:rsidRDefault="004D3D16" w:rsidP="003C6F89">
            <w:pPr>
              <w:pStyle w:val="Tabletext"/>
            </w:pPr>
            <w:r w:rsidRPr="003C6F89">
              <w:t>headspace</w:t>
            </w:r>
          </w:p>
        </w:tc>
        <w:tc>
          <w:tcPr>
            <w:tcW w:w="3359" w:type="pct"/>
            <w:tcBorders>
              <w:top w:val="single" w:sz="4" w:space="0" w:color="808080" w:themeColor="background1" w:themeShade="80"/>
              <w:bottom w:val="single" w:sz="4" w:space="0" w:color="808080" w:themeColor="background1" w:themeShade="80"/>
            </w:tcBorders>
            <w:shd w:val="clear" w:color="auto" w:fill="auto"/>
            <w:vAlign w:val="center"/>
          </w:tcPr>
          <w:p w14:paraId="0DFEF08F" w14:textId="0C135B5E" w:rsidR="004D3D16" w:rsidRPr="003C6F89" w:rsidRDefault="004D3D16" w:rsidP="003C6F89">
            <w:pPr>
              <w:pStyle w:val="Tabletext"/>
            </w:pPr>
            <w:r w:rsidRPr="003C6F89">
              <w:t>Refers to the headspace program</w:t>
            </w:r>
          </w:p>
        </w:tc>
      </w:tr>
      <w:tr w:rsidR="004D3D16" w:rsidRPr="006637D8" w14:paraId="55DAA41C" w14:textId="77777777" w:rsidTr="63C20481">
        <w:tc>
          <w:tcPr>
            <w:tcW w:w="1641" w:type="pct"/>
            <w:tcBorders>
              <w:top w:val="single" w:sz="4" w:space="0" w:color="808080" w:themeColor="background1" w:themeShade="80"/>
              <w:bottom w:val="single" w:sz="4" w:space="0" w:color="808080" w:themeColor="background1" w:themeShade="80"/>
            </w:tcBorders>
            <w:shd w:val="clear" w:color="auto" w:fill="auto"/>
            <w:vAlign w:val="center"/>
          </w:tcPr>
          <w:p w14:paraId="4EF10FAB" w14:textId="77777777" w:rsidR="004D3D16" w:rsidRPr="003C6F89" w:rsidRDefault="004D3D16" w:rsidP="003C6F89">
            <w:pPr>
              <w:pStyle w:val="Tabletext"/>
            </w:pPr>
            <w:r w:rsidRPr="003C6F89">
              <w:t>headspace National</w:t>
            </w:r>
          </w:p>
        </w:tc>
        <w:tc>
          <w:tcPr>
            <w:tcW w:w="3359" w:type="pct"/>
            <w:tcBorders>
              <w:top w:val="single" w:sz="4" w:space="0" w:color="808080" w:themeColor="background1" w:themeShade="80"/>
              <w:bottom w:val="single" w:sz="4" w:space="0" w:color="808080" w:themeColor="background1" w:themeShade="80"/>
            </w:tcBorders>
            <w:shd w:val="clear" w:color="auto" w:fill="auto"/>
            <w:vAlign w:val="center"/>
          </w:tcPr>
          <w:p w14:paraId="10F30384" w14:textId="38F10E52" w:rsidR="004D3D16" w:rsidRPr="003C6F89" w:rsidRDefault="004D3D16" w:rsidP="003C6F89">
            <w:pPr>
              <w:pStyle w:val="Tabletext"/>
            </w:pPr>
            <w:r w:rsidRPr="003C6F89">
              <w:t>headspace National</w:t>
            </w:r>
            <w:r w:rsidR="00AD1E1B">
              <w:t xml:space="preserve"> Youth Mental Health Foundation</w:t>
            </w:r>
          </w:p>
        </w:tc>
      </w:tr>
      <w:tr w:rsidR="002F2F3F" w:rsidRPr="006637D8" w14:paraId="1893C120" w14:textId="77777777" w:rsidTr="63C20481">
        <w:tc>
          <w:tcPr>
            <w:tcW w:w="1641" w:type="pct"/>
            <w:tcBorders>
              <w:top w:val="single" w:sz="4" w:space="0" w:color="808080" w:themeColor="background1" w:themeShade="80"/>
              <w:bottom w:val="single" w:sz="4" w:space="0" w:color="808080" w:themeColor="background1" w:themeShade="80"/>
            </w:tcBorders>
            <w:shd w:val="clear" w:color="auto" w:fill="auto"/>
            <w:vAlign w:val="center"/>
          </w:tcPr>
          <w:p w14:paraId="061A451B" w14:textId="17F7112B" w:rsidR="002F2F3F" w:rsidRPr="003C6F89" w:rsidRDefault="002F2F3F" w:rsidP="003C6F89">
            <w:pPr>
              <w:pStyle w:val="Tabletext"/>
            </w:pPr>
            <w:r>
              <w:t>headspace centres</w:t>
            </w:r>
          </w:p>
        </w:tc>
        <w:tc>
          <w:tcPr>
            <w:tcW w:w="3359" w:type="pct"/>
            <w:tcBorders>
              <w:top w:val="single" w:sz="4" w:space="0" w:color="808080" w:themeColor="background1" w:themeShade="80"/>
              <w:bottom w:val="single" w:sz="4" w:space="0" w:color="808080" w:themeColor="background1" w:themeShade="80"/>
            </w:tcBorders>
            <w:shd w:val="clear" w:color="auto" w:fill="auto"/>
            <w:vAlign w:val="center"/>
          </w:tcPr>
          <w:p w14:paraId="38D9DA2D" w14:textId="282FAC3B" w:rsidR="002F2F3F" w:rsidRPr="003C6F89" w:rsidRDefault="00A77278" w:rsidP="00A77278">
            <w:pPr>
              <w:pStyle w:val="Tabletext"/>
              <w:rPr>
                <w:lang w:eastAsia="en-AU"/>
              </w:rPr>
            </w:pPr>
            <w:r>
              <w:rPr>
                <w:lang w:eastAsia="en-AU"/>
              </w:rPr>
              <w:t>headspace services operating in accorda</w:t>
            </w:r>
            <w:r w:rsidR="00395D31" w:rsidRPr="000B1AFB">
              <w:rPr>
                <w:lang w:eastAsia="en-AU"/>
              </w:rPr>
              <w:t xml:space="preserve">nce with the headspace Centre </w:t>
            </w:r>
            <w:r w:rsidR="001F2443">
              <w:rPr>
                <w:lang w:eastAsia="en-AU"/>
              </w:rPr>
              <w:t>Model</w:t>
            </w:r>
          </w:p>
        </w:tc>
      </w:tr>
      <w:tr w:rsidR="002F2F3F" w:rsidRPr="006637D8" w14:paraId="0AF3C3C4" w14:textId="77777777" w:rsidTr="63C20481">
        <w:tc>
          <w:tcPr>
            <w:tcW w:w="1641" w:type="pct"/>
            <w:tcBorders>
              <w:top w:val="single" w:sz="4" w:space="0" w:color="808080" w:themeColor="background1" w:themeShade="80"/>
              <w:bottom w:val="single" w:sz="4" w:space="0" w:color="808080" w:themeColor="background1" w:themeShade="80"/>
            </w:tcBorders>
            <w:shd w:val="clear" w:color="auto" w:fill="auto"/>
            <w:vAlign w:val="center"/>
          </w:tcPr>
          <w:p w14:paraId="1D83C601" w14:textId="12BF264D" w:rsidR="002F2F3F" w:rsidRPr="003C6F89" w:rsidRDefault="002F2F3F" w:rsidP="003C6F89">
            <w:pPr>
              <w:pStyle w:val="Tabletext"/>
            </w:pPr>
            <w:r>
              <w:t xml:space="preserve">headspace satellites or satellite </w:t>
            </w:r>
            <w:r w:rsidR="003E6FCB">
              <w:t>services</w:t>
            </w:r>
          </w:p>
        </w:tc>
        <w:tc>
          <w:tcPr>
            <w:tcW w:w="3359" w:type="pct"/>
            <w:tcBorders>
              <w:top w:val="single" w:sz="4" w:space="0" w:color="808080" w:themeColor="background1" w:themeShade="80"/>
              <w:bottom w:val="single" w:sz="4" w:space="0" w:color="808080" w:themeColor="background1" w:themeShade="80"/>
            </w:tcBorders>
            <w:shd w:val="clear" w:color="auto" w:fill="auto"/>
            <w:vAlign w:val="center"/>
          </w:tcPr>
          <w:p w14:paraId="634FE43C" w14:textId="242AA7F3" w:rsidR="002F2F3F" w:rsidRPr="003C6F89" w:rsidRDefault="00A77278" w:rsidP="003C6F89">
            <w:pPr>
              <w:pStyle w:val="Tabletext"/>
              <w:rPr>
                <w:lang w:eastAsia="en-AU"/>
              </w:rPr>
            </w:pPr>
            <w:r>
              <w:rPr>
                <w:lang w:eastAsia="en-AU"/>
              </w:rPr>
              <w:t xml:space="preserve">Alternative headspace </w:t>
            </w:r>
            <w:r w:rsidR="001F2443">
              <w:rPr>
                <w:lang w:eastAsia="en-AU"/>
              </w:rPr>
              <w:t>model</w:t>
            </w:r>
            <w:r>
              <w:rPr>
                <w:lang w:eastAsia="en-AU"/>
              </w:rPr>
              <w:t xml:space="preserve"> providing a reduc</w:t>
            </w:r>
            <w:r w:rsidR="00D801EA">
              <w:rPr>
                <w:lang w:eastAsia="en-AU"/>
              </w:rPr>
              <w:t xml:space="preserve">ed </w:t>
            </w:r>
            <w:r>
              <w:rPr>
                <w:lang w:eastAsia="en-AU"/>
              </w:rPr>
              <w:t>range of services</w:t>
            </w:r>
          </w:p>
        </w:tc>
      </w:tr>
      <w:tr w:rsidR="004D3D16" w:rsidRPr="006637D8" w14:paraId="28DBF79A" w14:textId="77777777" w:rsidTr="63C20481">
        <w:tc>
          <w:tcPr>
            <w:tcW w:w="1641" w:type="pct"/>
            <w:tcBorders>
              <w:top w:val="single" w:sz="4" w:space="0" w:color="808080" w:themeColor="background1" w:themeShade="80"/>
              <w:bottom w:val="single" w:sz="4" w:space="0" w:color="808080" w:themeColor="background1" w:themeShade="80"/>
            </w:tcBorders>
            <w:shd w:val="clear" w:color="auto" w:fill="auto"/>
            <w:vAlign w:val="center"/>
          </w:tcPr>
          <w:p w14:paraId="3FD6B91D" w14:textId="1F55B4D4" w:rsidR="004D3D16" w:rsidRPr="003C6F89" w:rsidRDefault="004D3D16" w:rsidP="003C6F89">
            <w:pPr>
              <w:pStyle w:val="Tabletext"/>
            </w:pPr>
            <w:r w:rsidRPr="003C6F89">
              <w:t xml:space="preserve">headspace network, or headspace </w:t>
            </w:r>
            <w:r w:rsidR="00B03711">
              <w:t>services</w:t>
            </w:r>
          </w:p>
        </w:tc>
        <w:tc>
          <w:tcPr>
            <w:tcW w:w="3359" w:type="pct"/>
            <w:tcBorders>
              <w:top w:val="single" w:sz="4" w:space="0" w:color="808080" w:themeColor="background1" w:themeShade="80"/>
              <w:bottom w:val="single" w:sz="4" w:space="0" w:color="808080" w:themeColor="background1" w:themeShade="80"/>
            </w:tcBorders>
            <w:shd w:val="clear" w:color="auto" w:fill="auto"/>
            <w:vAlign w:val="center"/>
          </w:tcPr>
          <w:p w14:paraId="2B885970" w14:textId="2F4CDD97" w:rsidR="004D3D16" w:rsidRPr="003C6F89" w:rsidRDefault="004D3D16" w:rsidP="003C6F89">
            <w:pPr>
              <w:pStyle w:val="Tabletext"/>
            </w:pPr>
            <w:r w:rsidRPr="003C6F89">
              <w:t xml:space="preserve">Refers to the national collection of headspace </w:t>
            </w:r>
            <w:r w:rsidR="009870A5">
              <w:t>services, including headspace centre</w:t>
            </w:r>
            <w:r w:rsidR="00D03B70">
              <w:t>s and headspace satellites</w:t>
            </w:r>
          </w:p>
        </w:tc>
      </w:tr>
      <w:tr w:rsidR="00E95AB1" w:rsidRPr="006637D8" w14:paraId="6C368997" w14:textId="77777777" w:rsidTr="63C20481">
        <w:tc>
          <w:tcPr>
            <w:tcW w:w="1641" w:type="pct"/>
            <w:tcBorders>
              <w:top w:val="single" w:sz="4" w:space="0" w:color="808080" w:themeColor="background1" w:themeShade="80"/>
              <w:bottom w:val="single" w:sz="4" w:space="0" w:color="808080" w:themeColor="background1" w:themeShade="80"/>
            </w:tcBorders>
            <w:shd w:val="clear" w:color="auto" w:fill="auto"/>
            <w:vAlign w:val="center"/>
          </w:tcPr>
          <w:p w14:paraId="4D6B98B0" w14:textId="72D16C5F" w:rsidR="00E95AB1" w:rsidRPr="003C6F89" w:rsidRDefault="00E95AB1" w:rsidP="003C6F89">
            <w:pPr>
              <w:pStyle w:val="Tabletext"/>
            </w:pPr>
            <w:r w:rsidRPr="003C6F89">
              <w:t>headspace</w:t>
            </w:r>
            <w:r w:rsidR="009C3D0D" w:rsidRPr="003C6F89">
              <w:t xml:space="preserve"> model</w:t>
            </w:r>
            <w:r w:rsidR="00A5007B" w:rsidRPr="003C6F89">
              <w:t>, the model</w:t>
            </w:r>
          </w:p>
        </w:tc>
        <w:tc>
          <w:tcPr>
            <w:tcW w:w="3359" w:type="pct"/>
            <w:tcBorders>
              <w:top w:val="single" w:sz="4" w:space="0" w:color="808080" w:themeColor="background1" w:themeShade="80"/>
              <w:bottom w:val="single" w:sz="4" w:space="0" w:color="808080" w:themeColor="background1" w:themeShade="80"/>
            </w:tcBorders>
            <w:shd w:val="clear" w:color="auto" w:fill="auto"/>
            <w:vAlign w:val="center"/>
          </w:tcPr>
          <w:p w14:paraId="33CD760C" w14:textId="43453835" w:rsidR="00E95AB1" w:rsidRPr="003C6F89" w:rsidRDefault="009C3D0D" w:rsidP="003C6F89">
            <w:pPr>
              <w:pStyle w:val="Tabletext"/>
            </w:pPr>
            <w:r w:rsidRPr="003C6F89">
              <w:t xml:space="preserve">The headspace Centre </w:t>
            </w:r>
            <w:r w:rsidR="001F2443">
              <w:t>Model</w:t>
            </w:r>
            <w:r w:rsidRPr="003C6F89">
              <w:t xml:space="preserve"> as </w:t>
            </w:r>
            <w:r w:rsidR="00E9195E" w:rsidRPr="003C6F89">
              <w:t>described in the hMIF</w:t>
            </w:r>
          </w:p>
        </w:tc>
      </w:tr>
    </w:tbl>
    <w:p w14:paraId="34607863" w14:textId="77777777" w:rsidR="00CC13E1" w:rsidRDefault="00CC13E1" w:rsidP="00CC13E1">
      <w:pPr>
        <w:pStyle w:val="BodyText"/>
      </w:pPr>
    </w:p>
    <w:p w14:paraId="07EF83E5" w14:textId="56C73C48" w:rsidR="004D3D16" w:rsidRPr="001D6913" w:rsidRDefault="004D3D16">
      <w:pPr>
        <w:spacing w:before="0" w:after="160" w:line="259" w:lineRule="auto"/>
      </w:pPr>
      <w:r w:rsidRPr="001D6913">
        <w:br w:type="page"/>
      </w:r>
    </w:p>
    <w:p w14:paraId="0AA3A496" w14:textId="77777777" w:rsidR="004D3D16" w:rsidRPr="001D6913" w:rsidRDefault="004D3D16" w:rsidP="00A45C32">
      <w:pPr>
        <w:pStyle w:val="HeadingLevel1NoNumber"/>
      </w:pPr>
      <w:bookmarkStart w:id="4" w:name="_Toc108173965"/>
      <w:r w:rsidRPr="001D6913">
        <w:lastRenderedPageBreak/>
        <w:t xml:space="preserve">Index of </w:t>
      </w:r>
      <w:r w:rsidRPr="00C11C70">
        <w:t>Tables</w:t>
      </w:r>
      <w:bookmarkEnd w:id="4"/>
    </w:p>
    <w:p w14:paraId="681AC624" w14:textId="76AD2E1C" w:rsidR="00A33A0D" w:rsidRDefault="00541293">
      <w:pPr>
        <w:pStyle w:val="TableofFigures"/>
        <w:tabs>
          <w:tab w:val="right" w:leader="dot" w:pos="9016"/>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08108951" w:history="1">
        <w:r w:rsidR="00A33A0D" w:rsidRPr="00FD2FC2">
          <w:rPr>
            <w:rStyle w:val="Hyperlink"/>
            <w:noProof/>
          </w:rPr>
          <w:t>Table 1: Recommended changes to the implementation of the headspace model</w:t>
        </w:r>
        <w:r w:rsidR="00A33A0D">
          <w:rPr>
            <w:noProof/>
            <w:webHidden/>
          </w:rPr>
          <w:tab/>
        </w:r>
        <w:r w:rsidR="00A33A0D">
          <w:rPr>
            <w:noProof/>
            <w:webHidden/>
          </w:rPr>
          <w:fldChar w:fldCharType="begin"/>
        </w:r>
        <w:r w:rsidR="00A33A0D">
          <w:rPr>
            <w:noProof/>
            <w:webHidden/>
          </w:rPr>
          <w:instrText xml:space="preserve"> PAGEREF _Toc108108951 \h </w:instrText>
        </w:r>
        <w:r w:rsidR="00A33A0D">
          <w:rPr>
            <w:noProof/>
            <w:webHidden/>
          </w:rPr>
        </w:r>
        <w:r w:rsidR="00A33A0D">
          <w:rPr>
            <w:noProof/>
            <w:webHidden/>
          </w:rPr>
          <w:fldChar w:fldCharType="separate"/>
        </w:r>
        <w:r w:rsidR="00CC0438">
          <w:rPr>
            <w:noProof/>
            <w:webHidden/>
          </w:rPr>
          <w:t>22</w:t>
        </w:r>
        <w:r w:rsidR="00A33A0D">
          <w:rPr>
            <w:noProof/>
            <w:webHidden/>
          </w:rPr>
          <w:fldChar w:fldCharType="end"/>
        </w:r>
      </w:hyperlink>
    </w:p>
    <w:p w14:paraId="663053E1" w14:textId="58EEFA09"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52" w:history="1">
        <w:r w:rsidR="00A33A0D" w:rsidRPr="00FD2FC2">
          <w:rPr>
            <w:rStyle w:val="Hyperlink"/>
            <w:noProof/>
          </w:rPr>
          <w:t>Table 2: Recommended changes to funding for the headspace model</w:t>
        </w:r>
        <w:r w:rsidR="00A33A0D">
          <w:rPr>
            <w:noProof/>
            <w:webHidden/>
          </w:rPr>
          <w:tab/>
        </w:r>
        <w:r w:rsidR="00A33A0D">
          <w:rPr>
            <w:noProof/>
            <w:webHidden/>
          </w:rPr>
          <w:fldChar w:fldCharType="begin"/>
        </w:r>
        <w:r w:rsidR="00A33A0D">
          <w:rPr>
            <w:noProof/>
            <w:webHidden/>
          </w:rPr>
          <w:instrText xml:space="preserve"> PAGEREF _Toc108108952 \h </w:instrText>
        </w:r>
        <w:r w:rsidR="00A33A0D">
          <w:rPr>
            <w:noProof/>
            <w:webHidden/>
          </w:rPr>
        </w:r>
        <w:r w:rsidR="00A33A0D">
          <w:rPr>
            <w:noProof/>
            <w:webHidden/>
          </w:rPr>
          <w:fldChar w:fldCharType="separate"/>
        </w:r>
        <w:r w:rsidR="00CC0438">
          <w:rPr>
            <w:noProof/>
            <w:webHidden/>
          </w:rPr>
          <w:t>25</w:t>
        </w:r>
        <w:r w:rsidR="00A33A0D">
          <w:rPr>
            <w:noProof/>
            <w:webHidden/>
          </w:rPr>
          <w:fldChar w:fldCharType="end"/>
        </w:r>
      </w:hyperlink>
    </w:p>
    <w:p w14:paraId="670EC1CB" w14:textId="5322534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53" w:history="1">
        <w:r w:rsidR="00A33A0D" w:rsidRPr="00FD2FC2">
          <w:rPr>
            <w:rStyle w:val="Hyperlink"/>
            <w:noProof/>
          </w:rPr>
          <w:t>Table 3: headspace objectives and impacts</w:t>
        </w:r>
        <w:r w:rsidR="00A33A0D">
          <w:rPr>
            <w:noProof/>
            <w:webHidden/>
          </w:rPr>
          <w:tab/>
        </w:r>
        <w:r w:rsidR="00A33A0D">
          <w:rPr>
            <w:noProof/>
            <w:webHidden/>
          </w:rPr>
          <w:fldChar w:fldCharType="begin"/>
        </w:r>
        <w:r w:rsidR="00A33A0D">
          <w:rPr>
            <w:noProof/>
            <w:webHidden/>
          </w:rPr>
          <w:instrText xml:space="preserve"> PAGEREF _Toc108108953 \h </w:instrText>
        </w:r>
        <w:r w:rsidR="00A33A0D">
          <w:rPr>
            <w:noProof/>
            <w:webHidden/>
          </w:rPr>
        </w:r>
        <w:r w:rsidR="00A33A0D">
          <w:rPr>
            <w:noProof/>
            <w:webHidden/>
          </w:rPr>
          <w:fldChar w:fldCharType="separate"/>
        </w:r>
        <w:r w:rsidR="00CC0438">
          <w:rPr>
            <w:noProof/>
            <w:webHidden/>
          </w:rPr>
          <w:t>39</w:t>
        </w:r>
        <w:r w:rsidR="00A33A0D">
          <w:rPr>
            <w:noProof/>
            <w:webHidden/>
          </w:rPr>
          <w:fldChar w:fldCharType="end"/>
        </w:r>
      </w:hyperlink>
    </w:p>
    <w:p w14:paraId="3C2D6788" w14:textId="0EB9F795"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54" w:history="1">
        <w:r w:rsidR="00A33A0D" w:rsidRPr="00FD2FC2">
          <w:rPr>
            <w:rStyle w:val="Hyperlink"/>
            <w:noProof/>
          </w:rPr>
          <w:t>Table 4: Overview of K10 psychological distress levels</w:t>
        </w:r>
        <w:r w:rsidR="00A33A0D">
          <w:rPr>
            <w:noProof/>
            <w:webHidden/>
          </w:rPr>
          <w:tab/>
        </w:r>
        <w:r w:rsidR="00A33A0D">
          <w:rPr>
            <w:noProof/>
            <w:webHidden/>
          </w:rPr>
          <w:fldChar w:fldCharType="begin"/>
        </w:r>
        <w:r w:rsidR="00A33A0D">
          <w:rPr>
            <w:noProof/>
            <w:webHidden/>
          </w:rPr>
          <w:instrText xml:space="preserve"> PAGEREF _Toc108108954 \h </w:instrText>
        </w:r>
        <w:r w:rsidR="00A33A0D">
          <w:rPr>
            <w:noProof/>
            <w:webHidden/>
          </w:rPr>
        </w:r>
        <w:r w:rsidR="00A33A0D">
          <w:rPr>
            <w:noProof/>
            <w:webHidden/>
          </w:rPr>
          <w:fldChar w:fldCharType="separate"/>
        </w:r>
        <w:r w:rsidR="00CC0438">
          <w:rPr>
            <w:noProof/>
            <w:webHidden/>
          </w:rPr>
          <w:t>43</w:t>
        </w:r>
        <w:r w:rsidR="00A33A0D">
          <w:rPr>
            <w:noProof/>
            <w:webHidden/>
          </w:rPr>
          <w:fldChar w:fldCharType="end"/>
        </w:r>
      </w:hyperlink>
    </w:p>
    <w:p w14:paraId="34E99DA1" w14:textId="515362CE"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55" w:history="1">
        <w:r w:rsidR="00A33A0D" w:rsidRPr="00FD2FC2">
          <w:rPr>
            <w:rStyle w:val="Hyperlink"/>
            <w:noProof/>
          </w:rPr>
          <w:t>Table 5: Overview of headspace services and population by jurisdiction as at 30 June 2020</w:t>
        </w:r>
        <w:r w:rsidR="00A33A0D">
          <w:rPr>
            <w:noProof/>
            <w:webHidden/>
          </w:rPr>
          <w:tab/>
        </w:r>
        <w:r w:rsidR="00A33A0D">
          <w:rPr>
            <w:noProof/>
            <w:webHidden/>
          </w:rPr>
          <w:fldChar w:fldCharType="begin"/>
        </w:r>
        <w:r w:rsidR="00A33A0D">
          <w:rPr>
            <w:noProof/>
            <w:webHidden/>
          </w:rPr>
          <w:instrText xml:space="preserve"> PAGEREF _Toc108108955 \h </w:instrText>
        </w:r>
        <w:r w:rsidR="00A33A0D">
          <w:rPr>
            <w:noProof/>
            <w:webHidden/>
          </w:rPr>
        </w:r>
        <w:r w:rsidR="00A33A0D">
          <w:rPr>
            <w:noProof/>
            <w:webHidden/>
          </w:rPr>
          <w:fldChar w:fldCharType="separate"/>
        </w:r>
        <w:r w:rsidR="00CC0438">
          <w:rPr>
            <w:noProof/>
            <w:webHidden/>
          </w:rPr>
          <w:t>59</w:t>
        </w:r>
        <w:r w:rsidR="00A33A0D">
          <w:rPr>
            <w:noProof/>
            <w:webHidden/>
          </w:rPr>
          <w:fldChar w:fldCharType="end"/>
        </w:r>
      </w:hyperlink>
    </w:p>
    <w:p w14:paraId="0150FF6F" w14:textId="7DD757C7"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56" w:history="1">
        <w:r w:rsidR="00A33A0D" w:rsidRPr="00FD2FC2">
          <w:rPr>
            <w:rStyle w:val="Hyperlink"/>
            <w:noProof/>
          </w:rPr>
          <w:t>Table 6: Overview of headspace services by remoteness as at 30 June 2020</w:t>
        </w:r>
        <w:r w:rsidR="00A33A0D">
          <w:rPr>
            <w:noProof/>
            <w:webHidden/>
          </w:rPr>
          <w:tab/>
        </w:r>
        <w:r w:rsidR="00A33A0D">
          <w:rPr>
            <w:noProof/>
            <w:webHidden/>
          </w:rPr>
          <w:fldChar w:fldCharType="begin"/>
        </w:r>
        <w:r w:rsidR="00A33A0D">
          <w:rPr>
            <w:noProof/>
            <w:webHidden/>
          </w:rPr>
          <w:instrText xml:space="preserve"> PAGEREF _Toc108108956 \h </w:instrText>
        </w:r>
        <w:r w:rsidR="00A33A0D">
          <w:rPr>
            <w:noProof/>
            <w:webHidden/>
          </w:rPr>
        </w:r>
        <w:r w:rsidR="00A33A0D">
          <w:rPr>
            <w:noProof/>
            <w:webHidden/>
          </w:rPr>
          <w:fldChar w:fldCharType="separate"/>
        </w:r>
        <w:r w:rsidR="00CC0438">
          <w:rPr>
            <w:noProof/>
            <w:webHidden/>
          </w:rPr>
          <w:t>60</w:t>
        </w:r>
        <w:r w:rsidR="00A33A0D">
          <w:rPr>
            <w:noProof/>
            <w:webHidden/>
          </w:rPr>
          <w:fldChar w:fldCharType="end"/>
        </w:r>
      </w:hyperlink>
    </w:p>
    <w:p w14:paraId="1B6405EA" w14:textId="053A0922"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57" w:history="1">
        <w:r w:rsidR="00A33A0D" w:rsidRPr="00FD2FC2">
          <w:rPr>
            <w:rStyle w:val="Hyperlink"/>
            <w:noProof/>
          </w:rPr>
          <w:t>Table 7: Overview of headspace services by service type as at 30 June 2020</w:t>
        </w:r>
        <w:r w:rsidR="00A33A0D">
          <w:rPr>
            <w:noProof/>
            <w:webHidden/>
          </w:rPr>
          <w:tab/>
        </w:r>
        <w:r w:rsidR="00A33A0D">
          <w:rPr>
            <w:noProof/>
            <w:webHidden/>
          </w:rPr>
          <w:fldChar w:fldCharType="begin"/>
        </w:r>
        <w:r w:rsidR="00A33A0D">
          <w:rPr>
            <w:noProof/>
            <w:webHidden/>
          </w:rPr>
          <w:instrText xml:space="preserve"> PAGEREF _Toc108108957 \h </w:instrText>
        </w:r>
        <w:r w:rsidR="00A33A0D">
          <w:rPr>
            <w:noProof/>
            <w:webHidden/>
          </w:rPr>
        </w:r>
        <w:r w:rsidR="00A33A0D">
          <w:rPr>
            <w:noProof/>
            <w:webHidden/>
          </w:rPr>
          <w:fldChar w:fldCharType="separate"/>
        </w:r>
        <w:r w:rsidR="00CC0438">
          <w:rPr>
            <w:noProof/>
            <w:webHidden/>
          </w:rPr>
          <w:t>60</w:t>
        </w:r>
        <w:r w:rsidR="00A33A0D">
          <w:rPr>
            <w:noProof/>
            <w:webHidden/>
          </w:rPr>
          <w:fldChar w:fldCharType="end"/>
        </w:r>
      </w:hyperlink>
    </w:p>
    <w:p w14:paraId="6743AB83" w14:textId="3CF31E19"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58" w:history="1">
        <w:r w:rsidR="00A33A0D" w:rsidRPr="00FD2FC2">
          <w:rPr>
            <w:rStyle w:val="Hyperlink"/>
            <w:noProof/>
          </w:rPr>
          <w:t>Table 8: Overview of headspace services by PHN as at 30 June 2020</w:t>
        </w:r>
        <w:r w:rsidR="00A33A0D">
          <w:rPr>
            <w:noProof/>
            <w:webHidden/>
          </w:rPr>
          <w:tab/>
        </w:r>
        <w:r w:rsidR="00A33A0D">
          <w:rPr>
            <w:noProof/>
            <w:webHidden/>
          </w:rPr>
          <w:fldChar w:fldCharType="begin"/>
        </w:r>
        <w:r w:rsidR="00A33A0D">
          <w:rPr>
            <w:noProof/>
            <w:webHidden/>
          </w:rPr>
          <w:instrText xml:space="preserve"> PAGEREF _Toc108108958 \h </w:instrText>
        </w:r>
        <w:r w:rsidR="00A33A0D">
          <w:rPr>
            <w:noProof/>
            <w:webHidden/>
          </w:rPr>
        </w:r>
        <w:r w:rsidR="00A33A0D">
          <w:rPr>
            <w:noProof/>
            <w:webHidden/>
          </w:rPr>
          <w:fldChar w:fldCharType="separate"/>
        </w:r>
        <w:r w:rsidR="00CC0438">
          <w:rPr>
            <w:noProof/>
            <w:webHidden/>
          </w:rPr>
          <w:t>61</w:t>
        </w:r>
        <w:r w:rsidR="00A33A0D">
          <w:rPr>
            <w:noProof/>
            <w:webHidden/>
          </w:rPr>
          <w:fldChar w:fldCharType="end"/>
        </w:r>
      </w:hyperlink>
    </w:p>
    <w:p w14:paraId="2A17AD33" w14:textId="1D8B7B0B"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59" w:history="1">
        <w:r w:rsidR="00A33A0D" w:rsidRPr="00FD2FC2">
          <w:rPr>
            <w:rStyle w:val="Hyperlink"/>
            <w:noProof/>
          </w:rPr>
          <w:t>Table 9: Overview of professions of headspace service staff during 2019-20</w:t>
        </w:r>
        <w:r w:rsidR="00A33A0D">
          <w:rPr>
            <w:noProof/>
            <w:webHidden/>
          </w:rPr>
          <w:tab/>
        </w:r>
        <w:r w:rsidR="00A33A0D">
          <w:rPr>
            <w:noProof/>
            <w:webHidden/>
          </w:rPr>
          <w:fldChar w:fldCharType="begin"/>
        </w:r>
        <w:r w:rsidR="00A33A0D">
          <w:rPr>
            <w:noProof/>
            <w:webHidden/>
          </w:rPr>
          <w:instrText xml:space="preserve"> PAGEREF _Toc108108959 \h </w:instrText>
        </w:r>
        <w:r w:rsidR="00A33A0D">
          <w:rPr>
            <w:noProof/>
            <w:webHidden/>
          </w:rPr>
        </w:r>
        <w:r w:rsidR="00A33A0D">
          <w:rPr>
            <w:noProof/>
            <w:webHidden/>
          </w:rPr>
          <w:fldChar w:fldCharType="separate"/>
        </w:r>
        <w:r w:rsidR="00CC0438">
          <w:rPr>
            <w:noProof/>
            <w:webHidden/>
          </w:rPr>
          <w:t>62</w:t>
        </w:r>
        <w:r w:rsidR="00A33A0D">
          <w:rPr>
            <w:noProof/>
            <w:webHidden/>
          </w:rPr>
          <w:fldChar w:fldCharType="end"/>
        </w:r>
      </w:hyperlink>
    </w:p>
    <w:p w14:paraId="695C4F32" w14:textId="034AEB35"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0" w:history="1">
        <w:r w:rsidR="00A33A0D" w:rsidRPr="00FD2FC2">
          <w:rPr>
            <w:rStyle w:val="Hyperlink"/>
            <w:noProof/>
          </w:rPr>
          <w:t>Table 10: Wait times by service rurality</w:t>
        </w:r>
        <w:r w:rsidR="00A33A0D">
          <w:rPr>
            <w:noProof/>
            <w:webHidden/>
          </w:rPr>
          <w:tab/>
        </w:r>
        <w:r w:rsidR="00A33A0D">
          <w:rPr>
            <w:noProof/>
            <w:webHidden/>
          </w:rPr>
          <w:fldChar w:fldCharType="begin"/>
        </w:r>
        <w:r w:rsidR="00A33A0D">
          <w:rPr>
            <w:noProof/>
            <w:webHidden/>
          </w:rPr>
          <w:instrText xml:space="preserve"> PAGEREF _Toc108108960 \h </w:instrText>
        </w:r>
        <w:r w:rsidR="00A33A0D">
          <w:rPr>
            <w:noProof/>
            <w:webHidden/>
          </w:rPr>
        </w:r>
        <w:r w:rsidR="00A33A0D">
          <w:rPr>
            <w:noProof/>
            <w:webHidden/>
          </w:rPr>
          <w:fldChar w:fldCharType="separate"/>
        </w:r>
        <w:r w:rsidR="00CC0438">
          <w:rPr>
            <w:noProof/>
            <w:webHidden/>
          </w:rPr>
          <w:t>67</w:t>
        </w:r>
        <w:r w:rsidR="00A33A0D">
          <w:rPr>
            <w:noProof/>
            <w:webHidden/>
          </w:rPr>
          <w:fldChar w:fldCharType="end"/>
        </w:r>
      </w:hyperlink>
    </w:p>
    <w:p w14:paraId="155730EB" w14:textId="3E4EB7B8"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1" w:history="1">
        <w:r w:rsidR="00A33A0D" w:rsidRPr="00FD2FC2">
          <w:rPr>
            <w:rStyle w:val="Hyperlink"/>
            <w:noProof/>
          </w:rPr>
          <w:t>Table 11: Growth in the number of headspace services between 2015-16 to 2019-20, by PHN</w:t>
        </w:r>
        <w:r w:rsidR="00A33A0D">
          <w:rPr>
            <w:noProof/>
            <w:webHidden/>
          </w:rPr>
          <w:tab/>
        </w:r>
        <w:r w:rsidR="00A33A0D">
          <w:rPr>
            <w:noProof/>
            <w:webHidden/>
          </w:rPr>
          <w:fldChar w:fldCharType="begin"/>
        </w:r>
        <w:r w:rsidR="00A33A0D">
          <w:rPr>
            <w:noProof/>
            <w:webHidden/>
          </w:rPr>
          <w:instrText xml:space="preserve"> PAGEREF _Toc108108961 \h </w:instrText>
        </w:r>
        <w:r w:rsidR="00A33A0D">
          <w:rPr>
            <w:noProof/>
            <w:webHidden/>
          </w:rPr>
        </w:r>
        <w:r w:rsidR="00A33A0D">
          <w:rPr>
            <w:noProof/>
            <w:webHidden/>
          </w:rPr>
          <w:fldChar w:fldCharType="separate"/>
        </w:r>
        <w:r w:rsidR="00CC0438">
          <w:rPr>
            <w:noProof/>
            <w:webHidden/>
          </w:rPr>
          <w:t>71</w:t>
        </w:r>
        <w:r w:rsidR="00A33A0D">
          <w:rPr>
            <w:noProof/>
            <w:webHidden/>
          </w:rPr>
          <w:fldChar w:fldCharType="end"/>
        </w:r>
      </w:hyperlink>
    </w:p>
    <w:p w14:paraId="4CFC7599" w14:textId="08545271"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2" w:history="1">
        <w:r w:rsidR="00A33A0D" w:rsidRPr="00FD2FC2">
          <w:rPr>
            <w:rStyle w:val="Hyperlink"/>
            <w:noProof/>
          </w:rPr>
          <w:t>Table 12: Surveys on hAPI</w:t>
        </w:r>
        <w:r w:rsidR="00A33A0D">
          <w:rPr>
            <w:noProof/>
            <w:webHidden/>
          </w:rPr>
          <w:tab/>
        </w:r>
        <w:r w:rsidR="00A33A0D">
          <w:rPr>
            <w:noProof/>
            <w:webHidden/>
          </w:rPr>
          <w:fldChar w:fldCharType="begin"/>
        </w:r>
        <w:r w:rsidR="00A33A0D">
          <w:rPr>
            <w:noProof/>
            <w:webHidden/>
          </w:rPr>
          <w:instrText xml:space="preserve"> PAGEREF _Toc108108962 \h </w:instrText>
        </w:r>
        <w:r w:rsidR="00A33A0D">
          <w:rPr>
            <w:noProof/>
            <w:webHidden/>
          </w:rPr>
        </w:r>
        <w:r w:rsidR="00A33A0D">
          <w:rPr>
            <w:noProof/>
            <w:webHidden/>
          </w:rPr>
          <w:fldChar w:fldCharType="separate"/>
        </w:r>
        <w:r w:rsidR="00CC0438">
          <w:rPr>
            <w:noProof/>
            <w:webHidden/>
          </w:rPr>
          <w:t>78</w:t>
        </w:r>
        <w:r w:rsidR="00A33A0D">
          <w:rPr>
            <w:noProof/>
            <w:webHidden/>
          </w:rPr>
          <w:fldChar w:fldCharType="end"/>
        </w:r>
      </w:hyperlink>
    </w:p>
    <w:p w14:paraId="0C383A57" w14:textId="56052DD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3" w:history="1">
        <w:r w:rsidR="00A33A0D" w:rsidRPr="00FD2FC2">
          <w:rPr>
            <w:rStyle w:val="Hyperlink"/>
            <w:noProof/>
          </w:rPr>
          <w:t>Table 13: Reports available on the headspace dashboard tool</w:t>
        </w:r>
        <w:r w:rsidR="00A33A0D">
          <w:rPr>
            <w:noProof/>
            <w:webHidden/>
          </w:rPr>
          <w:tab/>
        </w:r>
        <w:r w:rsidR="00A33A0D">
          <w:rPr>
            <w:noProof/>
            <w:webHidden/>
          </w:rPr>
          <w:fldChar w:fldCharType="begin"/>
        </w:r>
        <w:r w:rsidR="00A33A0D">
          <w:rPr>
            <w:noProof/>
            <w:webHidden/>
          </w:rPr>
          <w:instrText xml:space="preserve"> PAGEREF _Toc108108963 \h </w:instrText>
        </w:r>
        <w:r w:rsidR="00A33A0D">
          <w:rPr>
            <w:noProof/>
            <w:webHidden/>
          </w:rPr>
        </w:r>
        <w:r w:rsidR="00A33A0D">
          <w:rPr>
            <w:noProof/>
            <w:webHidden/>
          </w:rPr>
          <w:fldChar w:fldCharType="separate"/>
        </w:r>
        <w:r w:rsidR="00CC0438">
          <w:rPr>
            <w:noProof/>
            <w:webHidden/>
          </w:rPr>
          <w:t>80</w:t>
        </w:r>
        <w:r w:rsidR="00A33A0D">
          <w:rPr>
            <w:noProof/>
            <w:webHidden/>
          </w:rPr>
          <w:fldChar w:fldCharType="end"/>
        </w:r>
      </w:hyperlink>
    </w:p>
    <w:p w14:paraId="6422C138" w14:textId="75D5FC69"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4" w:history="1">
        <w:r w:rsidR="00A33A0D" w:rsidRPr="00FD2FC2">
          <w:rPr>
            <w:rStyle w:val="Hyperlink"/>
            <w:noProof/>
          </w:rPr>
          <w:t>Table 14: Effectiveness findings in summary</w:t>
        </w:r>
        <w:r w:rsidR="00A33A0D">
          <w:rPr>
            <w:noProof/>
            <w:webHidden/>
          </w:rPr>
          <w:tab/>
        </w:r>
        <w:r w:rsidR="00A33A0D">
          <w:rPr>
            <w:noProof/>
            <w:webHidden/>
          </w:rPr>
          <w:fldChar w:fldCharType="begin"/>
        </w:r>
        <w:r w:rsidR="00A33A0D">
          <w:rPr>
            <w:noProof/>
            <w:webHidden/>
          </w:rPr>
          <w:instrText xml:space="preserve"> PAGEREF _Toc108108964 \h </w:instrText>
        </w:r>
        <w:r w:rsidR="00A33A0D">
          <w:rPr>
            <w:noProof/>
            <w:webHidden/>
          </w:rPr>
        </w:r>
        <w:r w:rsidR="00A33A0D">
          <w:rPr>
            <w:noProof/>
            <w:webHidden/>
          </w:rPr>
          <w:fldChar w:fldCharType="separate"/>
        </w:r>
        <w:r w:rsidR="00CC0438">
          <w:rPr>
            <w:noProof/>
            <w:webHidden/>
          </w:rPr>
          <w:t>105</w:t>
        </w:r>
        <w:r w:rsidR="00A33A0D">
          <w:rPr>
            <w:noProof/>
            <w:webHidden/>
          </w:rPr>
          <w:fldChar w:fldCharType="end"/>
        </w:r>
      </w:hyperlink>
    </w:p>
    <w:p w14:paraId="245B623A" w14:textId="39DAEE9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5" w:history="1">
        <w:r w:rsidR="00A33A0D" w:rsidRPr="00FD2FC2">
          <w:rPr>
            <w:rStyle w:val="Hyperlink"/>
            <w:noProof/>
          </w:rPr>
          <w:t>Table 15: Summary of responses to questions on indirect service contributions</w:t>
        </w:r>
        <w:r w:rsidR="00A33A0D">
          <w:rPr>
            <w:noProof/>
            <w:webHidden/>
          </w:rPr>
          <w:tab/>
        </w:r>
        <w:r w:rsidR="00A33A0D">
          <w:rPr>
            <w:noProof/>
            <w:webHidden/>
          </w:rPr>
          <w:fldChar w:fldCharType="begin"/>
        </w:r>
        <w:r w:rsidR="00A33A0D">
          <w:rPr>
            <w:noProof/>
            <w:webHidden/>
          </w:rPr>
          <w:instrText xml:space="preserve"> PAGEREF _Toc108108965 \h </w:instrText>
        </w:r>
        <w:r w:rsidR="00A33A0D">
          <w:rPr>
            <w:noProof/>
            <w:webHidden/>
          </w:rPr>
        </w:r>
        <w:r w:rsidR="00A33A0D">
          <w:rPr>
            <w:noProof/>
            <w:webHidden/>
          </w:rPr>
          <w:fldChar w:fldCharType="separate"/>
        </w:r>
        <w:r w:rsidR="00CC0438">
          <w:rPr>
            <w:noProof/>
            <w:webHidden/>
          </w:rPr>
          <w:t>110</w:t>
        </w:r>
        <w:r w:rsidR="00A33A0D">
          <w:rPr>
            <w:noProof/>
            <w:webHidden/>
          </w:rPr>
          <w:fldChar w:fldCharType="end"/>
        </w:r>
      </w:hyperlink>
    </w:p>
    <w:p w14:paraId="60D41F96" w14:textId="6A40A76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6" w:history="1">
        <w:r w:rsidR="00A33A0D" w:rsidRPr="00FD2FC2">
          <w:rPr>
            <w:rStyle w:val="Hyperlink"/>
            <w:noProof/>
          </w:rPr>
          <w:t>Table 16: Range of out-of-pocket costs by service provided during 2019-20</w:t>
        </w:r>
        <w:r w:rsidR="00A33A0D">
          <w:rPr>
            <w:noProof/>
            <w:webHidden/>
          </w:rPr>
          <w:tab/>
        </w:r>
        <w:r w:rsidR="00A33A0D">
          <w:rPr>
            <w:noProof/>
            <w:webHidden/>
          </w:rPr>
          <w:fldChar w:fldCharType="begin"/>
        </w:r>
        <w:r w:rsidR="00A33A0D">
          <w:rPr>
            <w:noProof/>
            <w:webHidden/>
          </w:rPr>
          <w:instrText xml:space="preserve"> PAGEREF _Toc108108966 \h </w:instrText>
        </w:r>
        <w:r w:rsidR="00A33A0D">
          <w:rPr>
            <w:noProof/>
            <w:webHidden/>
          </w:rPr>
        </w:r>
        <w:r w:rsidR="00A33A0D">
          <w:rPr>
            <w:noProof/>
            <w:webHidden/>
          </w:rPr>
          <w:fldChar w:fldCharType="separate"/>
        </w:r>
        <w:r w:rsidR="00CC0438">
          <w:rPr>
            <w:noProof/>
            <w:webHidden/>
          </w:rPr>
          <w:t>115</w:t>
        </w:r>
        <w:r w:rsidR="00A33A0D">
          <w:rPr>
            <w:noProof/>
            <w:webHidden/>
          </w:rPr>
          <w:fldChar w:fldCharType="end"/>
        </w:r>
      </w:hyperlink>
    </w:p>
    <w:p w14:paraId="44CCB980" w14:textId="41C674D9"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7" w:history="1">
        <w:r w:rsidR="00A33A0D" w:rsidRPr="00FD2FC2">
          <w:rPr>
            <w:rStyle w:val="Hyperlink"/>
            <w:noProof/>
          </w:rPr>
          <w:t>Table 17: Total costs of delivering headspace</w:t>
        </w:r>
        <w:r w:rsidR="00A33A0D">
          <w:rPr>
            <w:noProof/>
            <w:webHidden/>
          </w:rPr>
          <w:tab/>
        </w:r>
        <w:r w:rsidR="00A33A0D">
          <w:rPr>
            <w:noProof/>
            <w:webHidden/>
          </w:rPr>
          <w:fldChar w:fldCharType="begin"/>
        </w:r>
        <w:r w:rsidR="00A33A0D">
          <w:rPr>
            <w:noProof/>
            <w:webHidden/>
          </w:rPr>
          <w:instrText xml:space="preserve"> PAGEREF _Toc108108967 \h </w:instrText>
        </w:r>
        <w:r w:rsidR="00A33A0D">
          <w:rPr>
            <w:noProof/>
            <w:webHidden/>
          </w:rPr>
        </w:r>
        <w:r w:rsidR="00A33A0D">
          <w:rPr>
            <w:noProof/>
            <w:webHidden/>
          </w:rPr>
          <w:fldChar w:fldCharType="separate"/>
        </w:r>
        <w:r w:rsidR="00CC0438">
          <w:rPr>
            <w:noProof/>
            <w:webHidden/>
          </w:rPr>
          <w:t>116</w:t>
        </w:r>
        <w:r w:rsidR="00A33A0D">
          <w:rPr>
            <w:noProof/>
            <w:webHidden/>
          </w:rPr>
          <w:fldChar w:fldCharType="end"/>
        </w:r>
      </w:hyperlink>
    </w:p>
    <w:p w14:paraId="7CF52E93" w14:textId="6BBFEA02"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8" w:history="1">
        <w:r w:rsidR="00A33A0D" w:rsidRPr="00FD2FC2">
          <w:rPr>
            <w:rStyle w:val="Hyperlink"/>
            <w:noProof/>
          </w:rPr>
          <w:t>Table 18: Overview of economic evaluation</w:t>
        </w:r>
        <w:r w:rsidR="00A33A0D">
          <w:rPr>
            <w:noProof/>
            <w:webHidden/>
          </w:rPr>
          <w:tab/>
        </w:r>
        <w:r w:rsidR="00A33A0D">
          <w:rPr>
            <w:noProof/>
            <w:webHidden/>
          </w:rPr>
          <w:fldChar w:fldCharType="begin"/>
        </w:r>
        <w:r w:rsidR="00A33A0D">
          <w:rPr>
            <w:noProof/>
            <w:webHidden/>
          </w:rPr>
          <w:instrText xml:space="preserve"> PAGEREF _Toc108108968 \h </w:instrText>
        </w:r>
        <w:r w:rsidR="00A33A0D">
          <w:rPr>
            <w:noProof/>
            <w:webHidden/>
          </w:rPr>
        </w:r>
        <w:r w:rsidR="00A33A0D">
          <w:rPr>
            <w:noProof/>
            <w:webHidden/>
          </w:rPr>
          <w:fldChar w:fldCharType="separate"/>
        </w:r>
        <w:r w:rsidR="00CC0438">
          <w:rPr>
            <w:noProof/>
            <w:webHidden/>
          </w:rPr>
          <w:t>118</w:t>
        </w:r>
        <w:r w:rsidR="00A33A0D">
          <w:rPr>
            <w:noProof/>
            <w:webHidden/>
          </w:rPr>
          <w:fldChar w:fldCharType="end"/>
        </w:r>
      </w:hyperlink>
    </w:p>
    <w:p w14:paraId="6508BDC1" w14:textId="4345C5AE"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69" w:history="1">
        <w:r w:rsidR="00A33A0D" w:rsidRPr="00FD2FC2">
          <w:rPr>
            <w:rStyle w:val="Hyperlink"/>
            <w:noProof/>
          </w:rPr>
          <w:t>Table 19: Results of incremental cost-effectiveness analysis</w:t>
        </w:r>
        <w:r w:rsidR="00A33A0D">
          <w:rPr>
            <w:noProof/>
            <w:webHidden/>
          </w:rPr>
          <w:tab/>
        </w:r>
        <w:r w:rsidR="00A33A0D">
          <w:rPr>
            <w:noProof/>
            <w:webHidden/>
          </w:rPr>
          <w:fldChar w:fldCharType="begin"/>
        </w:r>
        <w:r w:rsidR="00A33A0D">
          <w:rPr>
            <w:noProof/>
            <w:webHidden/>
          </w:rPr>
          <w:instrText xml:space="preserve"> PAGEREF _Toc108108969 \h </w:instrText>
        </w:r>
        <w:r w:rsidR="00A33A0D">
          <w:rPr>
            <w:noProof/>
            <w:webHidden/>
          </w:rPr>
        </w:r>
        <w:r w:rsidR="00A33A0D">
          <w:rPr>
            <w:noProof/>
            <w:webHidden/>
          </w:rPr>
          <w:fldChar w:fldCharType="separate"/>
        </w:r>
        <w:r w:rsidR="00CC0438">
          <w:rPr>
            <w:noProof/>
            <w:webHidden/>
          </w:rPr>
          <w:t>122</w:t>
        </w:r>
        <w:r w:rsidR="00A33A0D">
          <w:rPr>
            <w:noProof/>
            <w:webHidden/>
          </w:rPr>
          <w:fldChar w:fldCharType="end"/>
        </w:r>
      </w:hyperlink>
    </w:p>
    <w:p w14:paraId="1B6474CD" w14:textId="0E296F71"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0" w:history="1">
        <w:r w:rsidR="00A33A0D" w:rsidRPr="00FD2FC2">
          <w:rPr>
            <w:rStyle w:val="Hyperlink"/>
            <w:noProof/>
          </w:rPr>
          <w:t>Table 20: One-way sensitivity analysis of selected evaluation parameters</w:t>
        </w:r>
        <w:r w:rsidR="00A33A0D">
          <w:rPr>
            <w:noProof/>
            <w:webHidden/>
          </w:rPr>
          <w:tab/>
        </w:r>
        <w:r w:rsidR="00A33A0D">
          <w:rPr>
            <w:noProof/>
            <w:webHidden/>
          </w:rPr>
          <w:fldChar w:fldCharType="begin"/>
        </w:r>
        <w:r w:rsidR="00A33A0D">
          <w:rPr>
            <w:noProof/>
            <w:webHidden/>
          </w:rPr>
          <w:instrText xml:space="preserve"> PAGEREF _Toc108108970 \h </w:instrText>
        </w:r>
        <w:r w:rsidR="00A33A0D">
          <w:rPr>
            <w:noProof/>
            <w:webHidden/>
          </w:rPr>
        </w:r>
        <w:r w:rsidR="00A33A0D">
          <w:rPr>
            <w:noProof/>
            <w:webHidden/>
          </w:rPr>
          <w:fldChar w:fldCharType="separate"/>
        </w:r>
        <w:r w:rsidR="00CC0438">
          <w:rPr>
            <w:noProof/>
            <w:webHidden/>
          </w:rPr>
          <w:t>123</w:t>
        </w:r>
        <w:r w:rsidR="00A33A0D">
          <w:rPr>
            <w:noProof/>
            <w:webHidden/>
          </w:rPr>
          <w:fldChar w:fldCharType="end"/>
        </w:r>
      </w:hyperlink>
    </w:p>
    <w:p w14:paraId="77E18E39" w14:textId="6271A1F2"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1" w:history="1">
        <w:r w:rsidR="00A33A0D" w:rsidRPr="00FD2FC2">
          <w:rPr>
            <w:rStyle w:val="Hyperlink"/>
            <w:noProof/>
          </w:rPr>
          <w:t>Table 21: Sub-group analysis of headspace service ICERs</w:t>
        </w:r>
        <w:r w:rsidR="00A33A0D">
          <w:rPr>
            <w:noProof/>
            <w:webHidden/>
          </w:rPr>
          <w:tab/>
        </w:r>
        <w:r w:rsidR="00A33A0D">
          <w:rPr>
            <w:noProof/>
            <w:webHidden/>
          </w:rPr>
          <w:fldChar w:fldCharType="begin"/>
        </w:r>
        <w:r w:rsidR="00A33A0D">
          <w:rPr>
            <w:noProof/>
            <w:webHidden/>
          </w:rPr>
          <w:instrText xml:space="preserve"> PAGEREF _Toc108108971 \h </w:instrText>
        </w:r>
        <w:r w:rsidR="00A33A0D">
          <w:rPr>
            <w:noProof/>
            <w:webHidden/>
          </w:rPr>
        </w:r>
        <w:r w:rsidR="00A33A0D">
          <w:rPr>
            <w:noProof/>
            <w:webHidden/>
          </w:rPr>
          <w:fldChar w:fldCharType="separate"/>
        </w:r>
        <w:r w:rsidR="00CC0438">
          <w:rPr>
            <w:noProof/>
            <w:webHidden/>
          </w:rPr>
          <w:t>125</w:t>
        </w:r>
        <w:r w:rsidR="00A33A0D">
          <w:rPr>
            <w:noProof/>
            <w:webHidden/>
          </w:rPr>
          <w:fldChar w:fldCharType="end"/>
        </w:r>
      </w:hyperlink>
    </w:p>
    <w:p w14:paraId="231A11ED" w14:textId="159D01B1"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2" w:history="1">
        <w:r w:rsidR="00A33A0D" w:rsidRPr="00FD2FC2">
          <w:rPr>
            <w:rStyle w:val="Hyperlink"/>
            <w:noProof/>
          </w:rPr>
          <w:t>Table 22: ‘Hard to reach’ groups recommendations</w:t>
        </w:r>
        <w:r w:rsidR="00A33A0D">
          <w:rPr>
            <w:noProof/>
            <w:webHidden/>
          </w:rPr>
          <w:tab/>
        </w:r>
        <w:r w:rsidR="00A33A0D">
          <w:rPr>
            <w:noProof/>
            <w:webHidden/>
          </w:rPr>
          <w:fldChar w:fldCharType="begin"/>
        </w:r>
        <w:r w:rsidR="00A33A0D">
          <w:rPr>
            <w:noProof/>
            <w:webHidden/>
          </w:rPr>
          <w:instrText xml:space="preserve"> PAGEREF _Toc108108972 \h </w:instrText>
        </w:r>
        <w:r w:rsidR="00A33A0D">
          <w:rPr>
            <w:noProof/>
            <w:webHidden/>
          </w:rPr>
        </w:r>
        <w:r w:rsidR="00A33A0D">
          <w:rPr>
            <w:noProof/>
            <w:webHidden/>
          </w:rPr>
          <w:fldChar w:fldCharType="separate"/>
        </w:r>
        <w:r w:rsidR="00CC0438">
          <w:rPr>
            <w:noProof/>
            <w:webHidden/>
          </w:rPr>
          <w:t>135</w:t>
        </w:r>
        <w:r w:rsidR="00A33A0D">
          <w:rPr>
            <w:noProof/>
            <w:webHidden/>
          </w:rPr>
          <w:fldChar w:fldCharType="end"/>
        </w:r>
      </w:hyperlink>
    </w:p>
    <w:p w14:paraId="3A2E7642" w14:textId="6D7E2F78"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3" w:history="1">
        <w:r w:rsidR="00A33A0D" w:rsidRPr="00FD2FC2">
          <w:rPr>
            <w:rStyle w:val="Hyperlink"/>
            <w:noProof/>
          </w:rPr>
          <w:t>Table 23: Service integration recommendations</w:t>
        </w:r>
        <w:r w:rsidR="00A33A0D">
          <w:rPr>
            <w:noProof/>
            <w:webHidden/>
          </w:rPr>
          <w:tab/>
        </w:r>
        <w:r w:rsidR="00A33A0D">
          <w:rPr>
            <w:noProof/>
            <w:webHidden/>
          </w:rPr>
          <w:fldChar w:fldCharType="begin"/>
        </w:r>
        <w:r w:rsidR="00A33A0D">
          <w:rPr>
            <w:noProof/>
            <w:webHidden/>
          </w:rPr>
          <w:instrText xml:space="preserve"> PAGEREF _Toc108108973 \h </w:instrText>
        </w:r>
        <w:r w:rsidR="00A33A0D">
          <w:rPr>
            <w:noProof/>
            <w:webHidden/>
          </w:rPr>
        </w:r>
        <w:r w:rsidR="00A33A0D">
          <w:rPr>
            <w:noProof/>
            <w:webHidden/>
          </w:rPr>
          <w:fldChar w:fldCharType="separate"/>
        </w:r>
        <w:r w:rsidR="00CC0438">
          <w:rPr>
            <w:noProof/>
            <w:webHidden/>
          </w:rPr>
          <w:t>137</w:t>
        </w:r>
        <w:r w:rsidR="00A33A0D">
          <w:rPr>
            <w:noProof/>
            <w:webHidden/>
          </w:rPr>
          <w:fldChar w:fldCharType="end"/>
        </w:r>
      </w:hyperlink>
    </w:p>
    <w:p w14:paraId="237B8E8E" w14:textId="3E4F727C"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4" w:history="1">
        <w:r w:rsidR="00A33A0D" w:rsidRPr="00FD2FC2">
          <w:rPr>
            <w:rStyle w:val="Hyperlink"/>
            <w:noProof/>
          </w:rPr>
          <w:t>Table 24: Governance and commissioning recommendations</w:t>
        </w:r>
        <w:r w:rsidR="00A33A0D">
          <w:rPr>
            <w:noProof/>
            <w:webHidden/>
          </w:rPr>
          <w:tab/>
        </w:r>
        <w:r w:rsidR="00A33A0D">
          <w:rPr>
            <w:noProof/>
            <w:webHidden/>
          </w:rPr>
          <w:fldChar w:fldCharType="begin"/>
        </w:r>
        <w:r w:rsidR="00A33A0D">
          <w:rPr>
            <w:noProof/>
            <w:webHidden/>
          </w:rPr>
          <w:instrText xml:space="preserve"> PAGEREF _Toc108108974 \h </w:instrText>
        </w:r>
        <w:r w:rsidR="00A33A0D">
          <w:rPr>
            <w:noProof/>
            <w:webHidden/>
          </w:rPr>
        </w:r>
        <w:r w:rsidR="00A33A0D">
          <w:rPr>
            <w:noProof/>
            <w:webHidden/>
          </w:rPr>
          <w:fldChar w:fldCharType="separate"/>
        </w:r>
        <w:r w:rsidR="00CC0438">
          <w:rPr>
            <w:noProof/>
            <w:webHidden/>
          </w:rPr>
          <w:t>139</w:t>
        </w:r>
        <w:r w:rsidR="00A33A0D">
          <w:rPr>
            <w:noProof/>
            <w:webHidden/>
          </w:rPr>
          <w:fldChar w:fldCharType="end"/>
        </w:r>
      </w:hyperlink>
    </w:p>
    <w:p w14:paraId="5618A97D" w14:textId="3EA10EDB"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5" w:history="1">
        <w:r w:rsidR="00A33A0D" w:rsidRPr="00FD2FC2">
          <w:rPr>
            <w:rStyle w:val="Hyperlink"/>
            <w:noProof/>
          </w:rPr>
          <w:t>Table 25: Monitoring and reporting recommendations</w:t>
        </w:r>
        <w:r w:rsidR="00A33A0D">
          <w:rPr>
            <w:noProof/>
            <w:webHidden/>
          </w:rPr>
          <w:tab/>
        </w:r>
        <w:r w:rsidR="00A33A0D">
          <w:rPr>
            <w:noProof/>
            <w:webHidden/>
          </w:rPr>
          <w:fldChar w:fldCharType="begin"/>
        </w:r>
        <w:r w:rsidR="00A33A0D">
          <w:rPr>
            <w:noProof/>
            <w:webHidden/>
          </w:rPr>
          <w:instrText xml:space="preserve"> PAGEREF _Toc108108975 \h </w:instrText>
        </w:r>
        <w:r w:rsidR="00A33A0D">
          <w:rPr>
            <w:noProof/>
            <w:webHidden/>
          </w:rPr>
        </w:r>
        <w:r w:rsidR="00A33A0D">
          <w:rPr>
            <w:noProof/>
            <w:webHidden/>
          </w:rPr>
          <w:fldChar w:fldCharType="separate"/>
        </w:r>
        <w:r w:rsidR="00CC0438">
          <w:rPr>
            <w:noProof/>
            <w:webHidden/>
          </w:rPr>
          <w:t>140</w:t>
        </w:r>
        <w:r w:rsidR="00A33A0D">
          <w:rPr>
            <w:noProof/>
            <w:webHidden/>
          </w:rPr>
          <w:fldChar w:fldCharType="end"/>
        </w:r>
      </w:hyperlink>
    </w:p>
    <w:p w14:paraId="0B2AFA54" w14:textId="48D38CBC"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6" w:history="1">
        <w:r w:rsidR="00A33A0D" w:rsidRPr="00FD2FC2">
          <w:rPr>
            <w:rStyle w:val="Hyperlink"/>
            <w:noProof/>
          </w:rPr>
          <w:t>Table 26: Funding arrangements recommendations</w:t>
        </w:r>
        <w:r w:rsidR="00A33A0D">
          <w:rPr>
            <w:noProof/>
            <w:webHidden/>
          </w:rPr>
          <w:tab/>
        </w:r>
        <w:r w:rsidR="00A33A0D">
          <w:rPr>
            <w:noProof/>
            <w:webHidden/>
          </w:rPr>
          <w:fldChar w:fldCharType="begin"/>
        </w:r>
        <w:r w:rsidR="00A33A0D">
          <w:rPr>
            <w:noProof/>
            <w:webHidden/>
          </w:rPr>
          <w:instrText xml:space="preserve"> PAGEREF _Toc108108976 \h </w:instrText>
        </w:r>
        <w:r w:rsidR="00A33A0D">
          <w:rPr>
            <w:noProof/>
            <w:webHidden/>
          </w:rPr>
        </w:r>
        <w:r w:rsidR="00A33A0D">
          <w:rPr>
            <w:noProof/>
            <w:webHidden/>
          </w:rPr>
          <w:fldChar w:fldCharType="separate"/>
        </w:r>
        <w:r w:rsidR="00CC0438">
          <w:rPr>
            <w:noProof/>
            <w:webHidden/>
          </w:rPr>
          <w:t>142</w:t>
        </w:r>
        <w:r w:rsidR="00A33A0D">
          <w:rPr>
            <w:noProof/>
            <w:webHidden/>
          </w:rPr>
          <w:fldChar w:fldCharType="end"/>
        </w:r>
      </w:hyperlink>
    </w:p>
    <w:p w14:paraId="0AD21ACC" w14:textId="5F8053D3"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7" w:history="1">
        <w:r w:rsidR="00A33A0D" w:rsidRPr="00FD2FC2">
          <w:rPr>
            <w:rStyle w:val="Hyperlink"/>
            <w:noProof/>
          </w:rPr>
          <w:t>Table 27: Evaluation Questions</w:t>
        </w:r>
        <w:r w:rsidR="00A33A0D">
          <w:rPr>
            <w:noProof/>
            <w:webHidden/>
          </w:rPr>
          <w:tab/>
        </w:r>
        <w:r w:rsidR="00A33A0D">
          <w:rPr>
            <w:noProof/>
            <w:webHidden/>
          </w:rPr>
          <w:fldChar w:fldCharType="begin"/>
        </w:r>
        <w:r w:rsidR="00A33A0D">
          <w:rPr>
            <w:noProof/>
            <w:webHidden/>
          </w:rPr>
          <w:instrText xml:space="preserve"> PAGEREF _Toc108108977 \h </w:instrText>
        </w:r>
        <w:r w:rsidR="00A33A0D">
          <w:rPr>
            <w:noProof/>
            <w:webHidden/>
          </w:rPr>
        </w:r>
        <w:r w:rsidR="00A33A0D">
          <w:rPr>
            <w:noProof/>
            <w:webHidden/>
          </w:rPr>
          <w:fldChar w:fldCharType="separate"/>
        </w:r>
        <w:r w:rsidR="00CC0438">
          <w:rPr>
            <w:noProof/>
            <w:webHidden/>
          </w:rPr>
          <w:t>148</w:t>
        </w:r>
        <w:r w:rsidR="00A33A0D">
          <w:rPr>
            <w:noProof/>
            <w:webHidden/>
          </w:rPr>
          <w:fldChar w:fldCharType="end"/>
        </w:r>
      </w:hyperlink>
    </w:p>
    <w:p w14:paraId="395AB304" w14:textId="3EE7FF5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8" w:history="1">
        <w:r w:rsidR="00A33A0D" w:rsidRPr="00FD2FC2">
          <w:rPr>
            <w:rStyle w:val="Hyperlink"/>
            <w:noProof/>
          </w:rPr>
          <w:t>Table 28: Geographic regions of focus for the evaluation</w:t>
        </w:r>
        <w:r w:rsidR="00A33A0D">
          <w:rPr>
            <w:noProof/>
            <w:webHidden/>
          </w:rPr>
          <w:tab/>
        </w:r>
        <w:r w:rsidR="00A33A0D">
          <w:rPr>
            <w:noProof/>
            <w:webHidden/>
          </w:rPr>
          <w:fldChar w:fldCharType="begin"/>
        </w:r>
        <w:r w:rsidR="00A33A0D">
          <w:rPr>
            <w:noProof/>
            <w:webHidden/>
          </w:rPr>
          <w:instrText xml:space="preserve"> PAGEREF _Toc108108978 \h </w:instrText>
        </w:r>
        <w:r w:rsidR="00A33A0D">
          <w:rPr>
            <w:noProof/>
            <w:webHidden/>
          </w:rPr>
        </w:r>
        <w:r w:rsidR="00A33A0D">
          <w:rPr>
            <w:noProof/>
            <w:webHidden/>
          </w:rPr>
          <w:fldChar w:fldCharType="separate"/>
        </w:r>
        <w:r w:rsidR="00CC0438">
          <w:rPr>
            <w:noProof/>
            <w:webHidden/>
          </w:rPr>
          <w:t>154</w:t>
        </w:r>
        <w:r w:rsidR="00A33A0D">
          <w:rPr>
            <w:noProof/>
            <w:webHidden/>
          </w:rPr>
          <w:fldChar w:fldCharType="end"/>
        </w:r>
      </w:hyperlink>
    </w:p>
    <w:p w14:paraId="67926F0D" w14:textId="4A2E3F7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79" w:history="1">
        <w:r w:rsidR="00A33A0D" w:rsidRPr="00FD2FC2">
          <w:rPr>
            <w:rStyle w:val="Hyperlink"/>
            <w:noProof/>
          </w:rPr>
          <w:t>Table 29: Stakeholders consulted from headspace services</w:t>
        </w:r>
        <w:r w:rsidR="00A33A0D">
          <w:rPr>
            <w:noProof/>
            <w:webHidden/>
          </w:rPr>
          <w:tab/>
        </w:r>
        <w:r w:rsidR="00A33A0D">
          <w:rPr>
            <w:noProof/>
            <w:webHidden/>
          </w:rPr>
          <w:fldChar w:fldCharType="begin"/>
        </w:r>
        <w:r w:rsidR="00A33A0D">
          <w:rPr>
            <w:noProof/>
            <w:webHidden/>
          </w:rPr>
          <w:instrText xml:space="preserve"> PAGEREF _Toc108108979 \h </w:instrText>
        </w:r>
        <w:r w:rsidR="00A33A0D">
          <w:rPr>
            <w:noProof/>
            <w:webHidden/>
          </w:rPr>
        </w:r>
        <w:r w:rsidR="00A33A0D">
          <w:rPr>
            <w:noProof/>
            <w:webHidden/>
          </w:rPr>
          <w:fldChar w:fldCharType="separate"/>
        </w:r>
        <w:r w:rsidR="00CC0438">
          <w:rPr>
            <w:noProof/>
            <w:webHidden/>
          </w:rPr>
          <w:t>160</w:t>
        </w:r>
        <w:r w:rsidR="00A33A0D">
          <w:rPr>
            <w:noProof/>
            <w:webHidden/>
          </w:rPr>
          <w:fldChar w:fldCharType="end"/>
        </w:r>
      </w:hyperlink>
    </w:p>
    <w:p w14:paraId="77BB3450" w14:textId="41CB7ACC"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0" w:history="1">
        <w:r w:rsidR="00A33A0D" w:rsidRPr="00FD2FC2">
          <w:rPr>
            <w:rStyle w:val="Hyperlink"/>
            <w:noProof/>
          </w:rPr>
          <w:t>Table 30: Stakeholders consulted from Primary Health Networks</w:t>
        </w:r>
        <w:r w:rsidR="00A33A0D">
          <w:rPr>
            <w:noProof/>
            <w:webHidden/>
          </w:rPr>
          <w:tab/>
        </w:r>
        <w:r w:rsidR="00A33A0D">
          <w:rPr>
            <w:noProof/>
            <w:webHidden/>
          </w:rPr>
          <w:fldChar w:fldCharType="begin"/>
        </w:r>
        <w:r w:rsidR="00A33A0D">
          <w:rPr>
            <w:noProof/>
            <w:webHidden/>
          </w:rPr>
          <w:instrText xml:space="preserve"> PAGEREF _Toc108108980 \h </w:instrText>
        </w:r>
        <w:r w:rsidR="00A33A0D">
          <w:rPr>
            <w:noProof/>
            <w:webHidden/>
          </w:rPr>
        </w:r>
        <w:r w:rsidR="00A33A0D">
          <w:rPr>
            <w:noProof/>
            <w:webHidden/>
          </w:rPr>
          <w:fldChar w:fldCharType="separate"/>
        </w:r>
        <w:r w:rsidR="00CC0438">
          <w:rPr>
            <w:noProof/>
            <w:webHidden/>
          </w:rPr>
          <w:t>162</w:t>
        </w:r>
        <w:r w:rsidR="00A33A0D">
          <w:rPr>
            <w:noProof/>
            <w:webHidden/>
          </w:rPr>
          <w:fldChar w:fldCharType="end"/>
        </w:r>
      </w:hyperlink>
    </w:p>
    <w:p w14:paraId="63D2E529" w14:textId="5396E5FC"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1" w:history="1">
        <w:r w:rsidR="00A33A0D" w:rsidRPr="00FD2FC2">
          <w:rPr>
            <w:rStyle w:val="Hyperlink"/>
            <w:noProof/>
          </w:rPr>
          <w:t>Table 31: Stakeholders consulted from Indigenous organisations</w:t>
        </w:r>
        <w:r w:rsidR="00A33A0D">
          <w:rPr>
            <w:noProof/>
            <w:webHidden/>
          </w:rPr>
          <w:tab/>
        </w:r>
        <w:r w:rsidR="00A33A0D">
          <w:rPr>
            <w:noProof/>
            <w:webHidden/>
          </w:rPr>
          <w:fldChar w:fldCharType="begin"/>
        </w:r>
        <w:r w:rsidR="00A33A0D">
          <w:rPr>
            <w:noProof/>
            <w:webHidden/>
          </w:rPr>
          <w:instrText xml:space="preserve"> PAGEREF _Toc108108981 \h </w:instrText>
        </w:r>
        <w:r w:rsidR="00A33A0D">
          <w:rPr>
            <w:noProof/>
            <w:webHidden/>
          </w:rPr>
        </w:r>
        <w:r w:rsidR="00A33A0D">
          <w:rPr>
            <w:noProof/>
            <w:webHidden/>
          </w:rPr>
          <w:fldChar w:fldCharType="separate"/>
        </w:r>
        <w:r w:rsidR="00CC0438">
          <w:rPr>
            <w:noProof/>
            <w:webHidden/>
          </w:rPr>
          <w:t>163</w:t>
        </w:r>
        <w:r w:rsidR="00A33A0D">
          <w:rPr>
            <w:noProof/>
            <w:webHidden/>
          </w:rPr>
          <w:fldChar w:fldCharType="end"/>
        </w:r>
      </w:hyperlink>
    </w:p>
    <w:p w14:paraId="2CAE38BA" w14:textId="627747B9"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2" w:history="1">
        <w:r w:rsidR="00A33A0D" w:rsidRPr="00FD2FC2">
          <w:rPr>
            <w:rStyle w:val="Hyperlink"/>
            <w:noProof/>
          </w:rPr>
          <w:t>Table 32: Stakeholders consulted from tertiary mental health services</w:t>
        </w:r>
        <w:r w:rsidR="00A33A0D">
          <w:rPr>
            <w:noProof/>
            <w:webHidden/>
          </w:rPr>
          <w:tab/>
        </w:r>
        <w:r w:rsidR="00A33A0D">
          <w:rPr>
            <w:noProof/>
            <w:webHidden/>
          </w:rPr>
          <w:fldChar w:fldCharType="begin"/>
        </w:r>
        <w:r w:rsidR="00A33A0D">
          <w:rPr>
            <w:noProof/>
            <w:webHidden/>
          </w:rPr>
          <w:instrText xml:space="preserve"> PAGEREF _Toc108108982 \h </w:instrText>
        </w:r>
        <w:r w:rsidR="00A33A0D">
          <w:rPr>
            <w:noProof/>
            <w:webHidden/>
          </w:rPr>
        </w:r>
        <w:r w:rsidR="00A33A0D">
          <w:rPr>
            <w:noProof/>
            <w:webHidden/>
          </w:rPr>
          <w:fldChar w:fldCharType="separate"/>
        </w:r>
        <w:r w:rsidR="00CC0438">
          <w:rPr>
            <w:noProof/>
            <w:webHidden/>
          </w:rPr>
          <w:t>163</w:t>
        </w:r>
        <w:r w:rsidR="00A33A0D">
          <w:rPr>
            <w:noProof/>
            <w:webHidden/>
          </w:rPr>
          <w:fldChar w:fldCharType="end"/>
        </w:r>
      </w:hyperlink>
    </w:p>
    <w:p w14:paraId="32C30173" w14:textId="58CC2BB7"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3" w:history="1">
        <w:r w:rsidR="00A33A0D" w:rsidRPr="00FD2FC2">
          <w:rPr>
            <w:rStyle w:val="Hyperlink"/>
            <w:noProof/>
          </w:rPr>
          <w:t>Table 33: General Practitioners consulted</w:t>
        </w:r>
        <w:r w:rsidR="00A33A0D">
          <w:rPr>
            <w:noProof/>
            <w:webHidden/>
          </w:rPr>
          <w:tab/>
        </w:r>
        <w:r w:rsidR="00A33A0D">
          <w:rPr>
            <w:noProof/>
            <w:webHidden/>
          </w:rPr>
          <w:fldChar w:fldCharType="begin"/>
        </w:r>
        <w:r w:rsidR="00A33A0D">
          <w:rPr>
            <w:noProof/>
            <w:webHidden/>
          </w:rPr>
          <w:instrText xml:space="preserve"> PAGEREF _Toc108108983 \h </w:instrText>
        </w:r>
        <w:r w:rsidR="00A33A0D">
          <w:rPr>
            <w:noProof/>
            <w:webHidden/>
          </w:rPr>
        </w:r>
        <w:r w:rsidR="00A33A0D">
          <w:rPr>
            <w:noProof/>
            <w:webHidden/>
          </w:rPr>
          <w:fldChar w:fldCharType="separate"/>
        </w:r>
        <w:r w:rsidR="00CC0438">
          <w:rPr>
            <w:noProof/>
            <w:webHidden/>
          </w:rPr>
          <w:t>164</w:t>
        </w:r>
        <w:r w:rsidR="00A33A0D">
          <w:rPr>
            <w:noProof/>
            <w:webHidden/>
          </w:rPr>
          <w:fldChar w:fldCharType="end"/>
        </w:r>
      </w:hyperlink>
    </w:p>
    <w:p w14:paraId="7E1B765C" w14:textId="00BA57F5"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4" w:history="1">
        <w:r w:rsidR="00A33A0D" w:rsidRPr="00FD2FC2">
          <w:rPr>
            <w:rStyle w:val="Hyperlink"/>
            <w:noProof/>
          </w:rPr>
          <w:t>Table 34: Stakeholders consulted from headspace National</w:t>
        </w:r>
        <w:r w:rsidR="00A33A0D">
          <w:rPr>
            <w:noProof/>
            <w:webHidden/>
          </w:rPr>
          <w:tab/>
        </w:r>
        <w:r w:rsidR="00A33A0D">
          <w:rPr>
            <w:noProof/>
            <w:webHidden/>
          </w:rPr>
          <w:fldChar w:fldCharType="begin"/>
        </w:r>
        <w:r w:rsidR="00A33A0D">
          <w:rPr>
            <w:noProof/>
            <w:webHidden/>
          </w:rPr>
          <w:instrText xml:space="preserve"> PAGEREF _Toc108108984 \h </w:instrText>
        </w:r>
        <w:r w:rsidR="00A33A0D">
          <w:rPr>
            <w:noProof/>
            <w:webHidden/>
          </w:rPr>
        </w:r>
        <w:r w:rsidR="00A33A0D">
          <w:rPr>
            <w:noProof/>
            <w:webHidden/>
          </w:rPr>
          <w:fldChar w:fldCharType="separate"/>
        </w:r>
        <w:r w:rsidR="00CC0438">
          <w:rPr>
            <w:noProof/>
            <w:webHidden/>
          </w:rPr>
          <w:t>164</w:t>
        </w:r>
        <w:r w:rsidR="00A33A0D">
          <w:rPr>
            <w:noProof/>
            <w:webHidden/>
          </w:rPr>
          <w:fldChar w:fldCharType="end"/>
        </w:r>
      </w:hyperlink>
    </w:p>
    <w:p w14:paraId="7E98A29A" w14:textId="617FF886"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5" w:history="1">
        <w:r w:rsidR="00A33A0D" w:rsidRPr="00FD2FC2">
          <w:rPr>
            <w:rStyle w:val="Hyperlink"/>
            <w:noProof/>
          </w:rPr>
          <w:t>Table 35: Stakeholders consulted from Commonwealth Government</w:t>
        </w:r>
        <w:r w:rsidR="00A33A0D">
          <w:rPr>
            <w:noProof/>
            <w:webHidden/>
          </w:rPr>
          <w:tab/>
        </w:r>
        <w:r w:rsidR="00A33A0D">
          <w:rPr>
            <w:noProof/>
            <w:webHidden/>
          </w:rPr>
          <w:fldChar w:fldCharType="begin"/>
        </w:r>
        <w:r w:rsidR="00A33A0D">
          <w:rPr>
            <w:noProof/>
            <w:webHidden/>
          </w:rPr>
          <w:instrText xml:space="preserve"> PAGEREF _Toc108108985 \h </w:instrText>
        </w:r>
        <w:r w:rsidR="00A33A0D">
          <w:rPr>
            <w:noProof/>
            <w:webHidden/>
          </w:rPr>
        </w:r>
        <w:r w:rsidR="00A33A0D">
          <w:rPr>
            <w:noProof/>
            <w:webHidden/>
          </w:rPr>
          <w:fldChar w:fldCharType="separate"/>
        </w:r>
        <w:r w:rsidR="00CC0438">
          <w:rPr>
            <w:noProof/>
            <w:webHidden/>
          </w:rPr>
          <w:t>165</w:t>
        </w:r>
        <w:r w:rsidR="00A33A0D">
          <w:rPr>
            <w:noProof/>
            <w:webHidden/>
          </w:rPr>
          <w:fldChar w:fldCharType="end"/>
        </w:r>
      </w:hyperlink>
    </w:p>
    <w:p w14:paraId="40A2DF76" w14:textId="6CCCD21E"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6" w:history="1">
        <w:r w:rsidR="00A33A0D" w:rsidRPr="00FD2FC2">
          <w:rPr>
            <w:rStyle w:val="Hyperlink"/>
            <w:noProof/>
          </w:rPr>
          <w:t>Table 36: Stakeholders consulted from State and Territory Governments</w:t>
        </w:r>
        <w:r w:rsidR="00A33A0D">
          <w:rPr>
            <w:noProof/>
            <w:webHidden/>
          </w:rPr>
          <w:tab/>
        </w:r>
        <w:r w:rsidR="00A33A0D">
          <w:rPr>
            <w:noProof/>
            <w:webHidden/>
          </w:rPr>
          <w:fldChar w:fldCharType="begin"/>
        </w:r>
        <w:r w:rsidR="00A33A0D">
          <w:rPr>
            <w:noProof/>
            <w:webHidden/>
          </w:rPr>
          <w:instrText xml:space="preserve"> PAGEREF _Toc108108986 \h </w:instrText>
        </w:r>
        <w:r w:rsidR="00A33A0D">
          <w:rPr>
            <w:noProof/>
            <w:webHidden/>
          </w:rPr>
        </w:r>
        <w:r w:rsidR="00A33A0D">
          <w:rPr>
            <w:noProof/>
            <w:webHidden/>
          </w:rPr>
          <w:fldChar w:fldCharType="separate"/>
        </w:r>
        <w:r w:rsidR="00CC0438">
          <w:rPr>
            <w:noProof/>
            <w:webHidden/>
          </w:rPr>
          <w:t>165</w:t>
        </w:r>
        <w:r w:rsidR="00A33A0D">
          <w:rPr>
            <w:noProof/>
            <w:webHidden/>
          </w:rPr>
          <w:fldChar w:fldCharType="end"/>
        </w:r>
      </w:hyperlink>
    </w:p>
    <w:p w14:paraId="436392E6" w14:textId="58E1D60E"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7" w:history="1">
        <w:r w:rsidR="00A33A0D" w:rsidRPr="00FD2FC2">
          <w:rPr>
            <w:rStyle w:val="Hyperlink"/>
            <w:noProof/>
          </w:rPr>
          <w:t>Table 37: Stakeholders consulted from peak bodies</w:t>
        </w:r>
        <w:r w:rsidR="00A33A0D">
          <w:rPr>
            <w:noProof/>
            <w:webHidden/>
          </w:rPr>
          <w:tab/>
        </w:r>
        <w:r w:rsidR="00A33A0D">
          <w:rPr>
            <w:noProof/>
            <w:webHidden/>
          </w:rPr>
          <w:fldChar w:fldCharType="begin"/>
        </w:r>
        <w:r w:rsidR="00A33A0D">
          <w:rPr>
            <w:noProof/>
            <w:webHidden/>
          </w:rPr>
          <w:instrText xml:space="preserve"> PAGEREF _Toc108108987 \h </w:instrText>
        </w:r>
        <w:r w:rsidR="00A33A0D">
          <w:rPr>
            <w:noProof/>
            <w:webHidden/>
          </w:rPr>
        </w:r>
        <w:r w:rsidR="00A33A0D">
          <w:rPr>
            <w:noProof/>
            <w:webHidden/>
          </w:rPr>
          <w:fldChar w:fldCharType="separate"/>
        </w:r>
        <w:r w:rsidR="00CC0438">
          <w:rPr>
            <w:noProof/>
            <w:webHidden/>
          </w:rPr>
          <w:t>166</w:t>
        </w:r>
        <w:r w:rsidR="00A33A0D">
          <w:rPr>
            <w:noProof/>
            <w:webHidden/>
          </w:rPr>
          <w:fldChar w:fldCharType="end"/>
        </w:r>
      </w:hyperlink>
    </w:p>
    <w:p w14:paraId="5E076402" w14:textId="599C3A72"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8" w:history="1">
        <w:r w:rsidR="00A33A0D" w:rsidRPr="00FD2FC2">
          <w:rPr>
            <w:rStyle w:val="Hyperlink"/>
            <w:noProof/>
          </w:rPr>
          <w:t>Table 38 Stakeholder engagement themes from young people who use headspace</w:t>
        </w:r>
        <w:r w:rsidR="00A33A0D">
          <w:rPr>
            <w:noProof/>
            <w:webHidden/>
          </w:rPr>
          <w:tab/>
        </w:r>
        <w:r w:rsidR="00A33A0D">
          <w:rPr>
            <w:noProof/>
            <w:webHidden/>
          </w:rPr>
          <w:fldChar w:fldCharType="begin"/>
        </w:r>
        <w:r w:rsidR="00A33A0D">
          <w:rPr>
            <w:noProof/>
            <w:webHidden/>
          </w:rPr>
          <w:instrText xml:space="preserve"> PAGEREF _Toc108108988 \h </w:instrText>
        </w:r>
        <w:r w:rsidR="00A33A0D">
          <w:rPr>
            <w:noProof/>
            <w:webHidden/>
          </w:rPr>
        </w:r>
        <w:r w:rsidR="00A33A0D">
          <w:rPr>
            <w:noProof/>
            <w:webHidden/>
          </w:rPr>
          <w:fldChar w:fldCharType="separate"/>
        </w:r>
        <w:r w:rsidR="00CC0438">
          <w:rPr>
            <w:noProof/>
            <w:webHidden/>
          </w:rPr>
          <w:t>167</w:t>
        </w:r>
        <w:r w:rsidR="00A33A0D">
          <w:rPr>
            <w:noProof/>
            <w:webHidden/>
          </w:rPr>
          <w:fldChar w:fldCharType="end"/>
        </w:r>
      </w:hyperlink>
    </w:p>
    <w:p w14:paraId="5C94947D" w14:textId="5EF1AC06"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89" w:history="1">
        <w:r w:rsidR="00A33A0D" w:rsidRPr="00FD2FC2">
          <w:rPr>
            <w:rStyle w:val="Hyperlink"/>
            <w:noProof/>
          </w:rPr>
          <w:t>Table 39 Stakeholder engagement themes from young people who do not use headspace</w:t>
        </w:r>
        <w:r w:rsidR="00A33A0D">
          <w:rPr>
            <w:noProof/>
            <w:webHidden/>
          </w:rPr>
          <w:tab/>
        </w:r>
        <w:r w:rsidR="00A33A0D">
          <w:rPr>
            <w:noProof/>
            <w:webHidden/>
          </w:rPr>
          <w:fldChar w:fldCharType="begin"/>
        </w:r>
        <w:r w:rsidR="00A33A0D">
          <w:rPr>
            <w:noProof/>
            <w:webHidden/>
          </w:rPr>
          <w:instrText xml:space="preserve"> PAGEREF _Toc108108989 \h </w:instrText>
        </w:r>
        <w:r w:rsidR="00A33A0D">
          <w:rPr>
            <w:noProof/>
            <w:webHidden/>
          </w:rPr>
        </w:r>
        <w:r w:rsidR="00A33A0D">
          <w:rPr>
            <w:noProof/>
            <w:webHidden/>
          </w:rPr>
          <w:fldChar w:fldCharType="separate"/>
        </w:r>
        <w:r w:rsidR="00CC0438">
          <w:rPr>
            <w:noProof/>
            <w:webHidden/>
          </w:rPr>
          <w:t>175</w:t>
        </w:r>
        <w:r w:rsidR="00A33A0D">
          <w:rPr>
            <w:noProof/>
            <w:webHidden/>
          </w:rPr>
          <w:fldChar w:fldCharType="end"/>
        </w:r>
      </w:hyperlink>
    </w:p>
    <w:p w14:paraId="4B11719A" w14:textId="49BAAA46"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0" w:history="1">
        <w:r w:rsidR="00A33A0D" w:rsidRPr="00FD2FC2">
          <w:rPr>
            <w:rStyle w:val="Hyperlink"/>
            <w:noProof/>
          </w:rPr>
          <w:t>Table 40 Stakeholder engagement themes from headspace service providers</w:t>
        </w:r>
        <w:r w:rsidR="00A33A0D">
          <w:rPr>
            <w:noProof/>
            <w:webHidden/>
          </w:rPr>
          <w:tab/>
        </w:r>
        <w:r w:rsidR="00A33A0D">
          <w:rPr>
            <w:noProof/>
            <w:webHidden/>
          </w:rPr>
          <w:fldChar w:fldCharType="begin"/>
        </w:r>
        <w:r w:rsidR="00A33A0D">
          <w:rPr>
            <w:noProof/>
            <w:webHidden/>
          </w:rPr>
          <w:instrText xml:space="preserve"> PAGEREF _Toc108108990 \h </w:instrText>
        </w:r>
        <w:r w:rsidR="00A33A0D">
          <w:rPr>
            <w:noProof/>
            <w:webHidden/>
          </w:rPr>
        </w:r>
        <w:r w:rsidR="00A33A0D">
          <w:rPr>
            <w:noProof/>
            <w:webHidden/>
          </w:rPr>
          <w:fldChar w:fldCharType="separate"/>
        </w:r>
        <w:r w:rsidR="00CC0438">
          <w:rPr>
            <w:noProof/>
            <w:webHidden/>
          </w:rPr>
          <w:t>179</w:t>
        </w:r>
        <w:r w:rsidR="00A33A0D">
          <w:rPr>
            <w:noProof/>
            <w:webHidden/>
          </w:rPr>
          <w:fldChar w:fldCharType="end"/>
        </w:r>
      </w:hyperlink>
    </w:p>
    <w:p w14:paraId="773FF3E3" w14:textId="75281FBB"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1" w:history="1">
        <w:r w:rsidR="00A33A0D" w:rsidRPr="00FD2FC2">
          <w:rPr>
            <w:rStyle w:val="Hyperlink"/>
            <w:noProof/>
          </w:rPr>
          <w:t>Table 41 Stakeholder engagement themes from Primary Health Networks</w:t>
        </w:r>
        <w:r w:rsidR="00A33A0D">
          <w:rPr>
            <w:noProof/>
            <w:webHidden/>
          </w:rPr>
          <w:tab/>
        </w:r>
        <w:r w:rsidR="00A33A0D">
          <w:rPr>
            <w:noProof/>
            <w:webHidden/>
          </w:rPr>
          <w:fldChar w:fldCharType="begin"/>
        </w:r>
        <w:r w:rsidR="00A33A0D">
          <w:rPr>
            <w:noProof/>
            <w:webHidden/>
          </w:rPr>
          <w:instrText xml:space="preserve"> PAGEREF _Toc108108991 \h </w:instrText>
        </w:r>
        <w:r w:rsidR="00A33A0D">
          <w:rPr>
            <w:noProof/>
            <w:webHidden/>
          </w:rPr>
        </w:r>
        <w:r w:rsidR="00A33A0D">
          <w:rPr>
            <w:noProof/>
            <w:webHidden/>
          </w:rPr>
          <w:fldChar w:fldCharType="separate"/>
        </w:r>
        <w:r w:rsidR="00CC0438">
          <w:rPr>
            <w:noProof/>
            <w:webHidden/>
          </w:rPr>
          <w:t>190</w:t>
        </w:r>
        <w:r w:rsidR="00A33A0D">
          <w:rPr>
            <w:noProof/>
            <w:webHidden/>
          </w:rPr>
          <w:fldChar w:fldCharType="end"/>
        </w:r>
      </w:hyperlink>
    </w:p>
    <w:p w14:paraId="6B7C4E96" w14:textId="4CA2511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2" w:history="1">
        <w:r w:rsidR="00A33A0D" w:rsidRPr="00FD2FC2">
          <w:rPr>
            <w:rStyle w:val="Hyperlink"/>
            <w:noProof/>
          </w:rPr>
          <w:t>Table 42 Stakeholder engagement themes from other service providers</w:t>
        </w:r>
        <w:r w:rsidR="00A33A0D">
          <w:rPr>
            <w:noProof/>
            <w:webHidden/>
          </w:rPr>
          <w:tab/>
        </w:r>
        <w:r w:rsidR="00A33A0D">
          <w:rPr>
            <w:noProof/>
            <w:webHidden/>
          </w:rPr>
          <w:fldChar w:fldCharType="begin"/>
        </w:r>
        <w:r w:rsidR="00A33A0D">
          <w:rPr>
            <w:noProof/>
            <w:webHidden/>
          </w:rPr>
          <w:instrText xml:space="preserve"> PAGEREF _Toc108108992 \h </w:instrText>
        </w:r>
        <w:r w:rsidR="00A33A0D">
          <w:rPr>
            <w:noProof/>
            <w:webHidden/>
          </w:rPr>
        </w:r>
        <w:r w:rsidR="00A33A0D">
          <w:rPr>
            <w:noProof/>
            <w:webHidden/>
          </w:rPr>
          <w:fldChar w:fldCharType="separate"/>
        </w:r>
        <w:r w:rsidR="00CC0438">
          <w:rPr>
            <w:noProof/>
            <w:webHidden/>
          </w:rPr>
          <w:t>194</w:t>
        </w:r>
        <w:r w:rsidR="00A33A0D">
          <w:rPr>
            <w:noProof/>
            <w:webHidden/>
          </w:rPr>
          <w:fldChar w:fldCharType="end"/>
        </w:r>
      </w:hyperlink>
    </w:p>
    <w:p w14:paraId="1ADFCBE7" w14:textId="26421212"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3" w:history="1">
        <w:r w:rsidR="00A33A0D" w:rsidRPr="00FD2FC2">
          <w:rPr>
            <w:rStyle w:val="Hyperlink"/>
            <w:noProof/>
          </w:rPr>
          <w:t>Table 43 Stakeholder engagement themes from Commonwealth Government, state and territory governments and peak bodies</w:t>
        </w:r>
        <w:r w:rsidR="00A33A0D">
          <w:rPr>
            <w:noProof/>
            <w:webHidden/>
          </w:rPr>
          <w:tab/>
        </w:r>
        <w:r w:rsidR="00A33A0D">
          <w:rPr>
            <w:noProof/>
            <w:webHidden/>
          </w:rPr>
          <w:fldChar w:fldCharType="begin"/>
        </w:r>
        <w:r w:rsidR="00A33A0D">
          <w:rPr>
            <w:noProof/>
            <w:webHidden/>
          </w:rPr>
          <w:instrText xml:space="preserve"> PAGEREF _Toc108108993 \h </w:instrText>
        </w:r>
        <w:r w:rsidR="00A33A0D">
          <w:rPr>
            <w:noProof/>
            <w:webHidden/>
          </w:rPr>
        </w:r>
        <w:r w:rsidR="00A33A0D">
          <w:rPr>
            <w:noProof/>
            <w:webHidden/>
          </w:rPr>
          <w:fldChar w:fldCharType="separate"/>
        </w:r>
        <w:r w:rsidR="00CC0438">
          <w:rPr>
            <w:noProof/>
            <w:webHidden/>
          </w:rPr>
          <w:t>199</w:t>
        </w:r>
        <w:r w:rsidR="00A33A0D">
          <w:rPr>
            <w:noProof/>
            <w:webHidden/>
          </w:rPr>
          <w:fldChar w:fldCharType="end"/>
        </w:r>
      </w:hyperlink>
    </w:p>
    <w:p w14:paraId="169E16B1" w14:textId="7AF31897"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4" w:history="1">
        <w:r w:rsidR="00A33A0D" w:rsidRPr="00FD2FC2">
          <w:rPr>
            <w:rStyle w:val="Hyperlink"/>
            <w:noProof/>
          </w:rPr>
          <w:t>Table 44: headspace services open at 30 June 2020</w:t>
        </w:r>
        <w:r w:rsidR="00A33A0D">
          <w:rPr>
            <w:noProof/>
            <w:webHidden/>
          </w:rPr>
          <w:tab/>
        </w:r>
        <w:r w:rsidR="00A33A0D">
          <w:rPr>
            <w:noProof/>
            <w:webHidden/>
          </w:rPr>
          <w:fldChar w:fldCharType="begin"/>
        </w:r>
        <w:r w:rsidR="00A33A0D">
          <w:rPr>
            <w:noProof/>
            <w:webHidden/>
          </w:rPr>
          <w:instrText xml:space="preserve"> PAGEREF _Toc108108994 \h </w:instrText>
        </w:r>
        <w:r w:rsidR="00A33A0D">
          <w:rPr>
            <w:noProof/>
            <w:webHidden/>
          </w:rPr>
        </w:r>
        <w:r w:rsidR="00A33A0D">
          <w:rPr>
            <w:noProof/>
            <w:webHidden/>
          </w:rPr>
          <w:fldChar w:fldCharType="separate"/>
        </w:r>
        <w:r w:rsidR="00CC0438">
          <w:rPr>
            <w:noProof/>
            <w:webHidden/>
          </w:rPr>
          <w:t>203</w:t>
        </w:r>
        <w:r w:rsidR="00A33A0D">
          <w:rPr>
            <w:noProof/>
            <w:webHidden/>
          </w:rPr>
          <w:fldChar w:fldCharType="end"/>
        </w:r>
      </w:hyperlink>
    </w:p>
    <w:p w14:paraId="49D93980" w14:textId="2C3FB1D2"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5" w:history="1">
        <w:r w:rsidR="00A33A0D" w:rsidRPr="00FD2FC2">
          <w:rPr>
            <w:rStyle w:val="Hyperlink"/>
            <w:noProof/>
          </w:rPr>
          <w:t>Table 45 Overview of mental health literacy objectives of headspace</w:t>
        </w:r>
        <w:r w:rsidR="00A33A0D">
          <w:rPr>
            <w:noProof/>
            <w:webHidden/>
          </w:rPr>
          <w:tab/>
        </w:r>
        <w:r w:rsidR="00A33A0D">
          <w:rPr>
            <w:noProof/>
            <w:webHidden/>
          </w:rPr>
          <w:fldChar w:fldCharType="begin"/>
        </w:r>
        <w:r w:rsidR="00A33A0D">
          <w:rPr>
            <w:noProof/>
            <w:webHidden/>
          </w:rPr>
          <w:instrText xml:space="preserve"> PAGEREF _Toc108108995 \h </w:instrText>
        </w:r>
        <w:r w:rsidR="00A33A0D">
          <w:rPr>
            <w:noProof/>
            <w:webHidden/>
          </w:rPr>
        </w:r>
        <w:r w:rsidR="00A33A0D">
          <w:rPr>
            <w:noProof/>
            <w:webHidden/>
          </w:rPr>
          <w:fldChar w:fldCharType="separate"/>
        </w:r>
        <w:r w:rsidR="00CC0438">
          <w:rPr>
            <w:noProof/>
            <w:webHidden/>
          </w:rPr>
          <w:t>209</w:t>
        </w:r>
        <w:r w:rsidR="00A33A0D">
          <w:rPr>
            <w:noProof/>
            <w:webHidden/>
          </w:rPr>
          <w:fldChar w:fldCharType="end"/>
        </w:r>
      </w:hyperlink>
    </w:p>
    <w:p w14:paraId="2D7FBBFE" w14:textId="5BFBE0B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6" w:history="1">
        <w:r w:rsidR="00A33A0D" w:rsidRPr="00FD2FC2">
          <w:rPr>
            <w:rStyle w:val="Hyperlink"/>
            <w:noProof/>
          </w:rPr>
          <w:t>Table 46 Overview of early help seeking objectives of headspace</w:t>
        </w:r>
        <w:r w:rsidR="00A33A0D">
          <w:rPr>
            <w:noProof/>
            <w:webHidden/>
          </w:rPr>
          <w:tab/>
        </w:r>
        <w:r w:rsidR="00A33A0D">
          <w:rPr>
            <w:noProof/>
            <w:webHidden/>
          </w:rPr>
          <w:fldChar w:fldCharType="begin"/>
        </w:r>
        <w:r w:rsidR="00A33A0D">
          <w:rPr>
            <w:noProof/>
            <w:webHidden/>
          </w:rPr>
          <w:instrText xml:space="preserve"> PAGEREF _Toc108108996 \h </w:instrText>
        </w:r>
        <w:r w:rsidR="00A33A0D">
          <w:rPr>
            <w:noProof/>
            <w:webHidden/>
          </w:rPr>
        </w:r>
        <w:r w:rsidR="00A33A0D">
          <w:rPr>
            <w:noProof/>
            <w:webHidden/>
          </w:rPr>
          <w:fldChar w:fldCharType="separate"/>
        </w:r>
        <w:r w:rsidR="00CC0438">
          <w:rPr>
            <w:noProof/>
            <w:webHidden/>
          </w:rPr>
          <w:t>214</w:t>
        </w:r>
        <w:r w:rsidR="00A33A0D">
          <w:rPr>
            <w:noProof/>
            <w:webHidden/>
          </w:rPr>
          <w:fldChar w:fldCharType="end"/>
        </w:r>
      </w:hyperlink>
    </w:p>
    <w:p w14:paraId="185BC69C" w14:textId="52C57434"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7" w:history="1">
        <w:r w:rsidR="00A33A0D" w:rsidRPr="00FD2FC2">
          <w:rPr>
            <w:rStyle w:val="Hyperlink"/>
            <w:noProof/>
          </w:rPr>
          <w:t>Table 47 Overview of access to service objectives of headspace</w:t>
        </w:r>
        <w:r w:rsidR="00A33A0D">
          <w:rPr>
            <w:noProof/>
            <w:webHidden/>
          </w:rPr>
          <w:tab/>
        </w:r>
        <w:r w:rsidR="00A33A0D">
          <w:rPr>
            <w:noProof/>
            <w:webHidden/>
          </w:rPr>
          <w:fldChar w:fldCharType="begin"/>
        </w:r>
        <w:r w:rsidR="00A33A0D">
          <w:rPr>
            <w:noProof/>
            <w:webHidden/>
          </w:rPr>
          <w:instrText xml:space="preserve"> PAGEREF _Toc108108997 \h </w:instrText>
        </w:r>
        <w:r w:rsidR="00A33A0D">
          <w:rPr>
            <w:noProof/>
            <w:webHidden/>
          </w:rPr>
        </w:r>
        <w:r w:rsidR="00A33A0D">
          <w:rPr>
            <w:noProof/>
            <w:webHidden/>
          </w:rPr>
          <w:fldChar w:fldCharType="separate"/>
        </w:r>
        <w:r w:rsidR="00CC0438">
          <w:rPr>
            <w:noProof/>
            <w:webHidden/>
          </w:rPr>
          <w:t>220</w:t>
        </w:r>
        <w:r w:rsidR="00A33A0D">
          <w:rPr>
            <w:noProof/>
            <w:webHidden/>
          </w:rPr>
          <w:fldChar w:fldCharType="end"/>
        </w:r>
      </w:hyperlink>
    </w:p>
    <w:p w14:paraId="13DEFF27" w14:textId="50CF299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8" w:history="1">
        <w:r w:rsidR="00A33A0D" w:rsidRPr="00FD2FC2">
          <w:rPr>
            <w:rStyle w:val="Hyperlink"/>
            <w:noProof/>
          </w:rPr>
          <w:t>Table 48: Average number of young people accessing headspace per year</w:t>
        </w:r>
        <w:r w:rsidR="00A33A0D">
          <w:rPr>
            <w:noProof/>
            <w:webHidden/>
          </w:rPr>
          <w:tab/>
        </w:r>
        <w:r w:rsidR="00A33A0D">
          <w:rPr>
            <w:noProof/>
            <w:webHidden/>
          </w:rPr>
          <w:fldChar w:fldCharType="begin"/>
        </w:r>
        <w:r w:rsidR="00A33A0D">
          <w:rPr>
            <w:noProof/>
            <w:webHidden/>
          </w:rPr>
          <w:instrText xml:space="preserve"> PAGEREF _Toc108108998 \h </w:instrText>
        </w:r>
        <w:r w:rsidR="00A33A0D">
          <w:rPr>
            <w:noProof/>
            <w:webHidden/>
          </w:rPr>
        </w:r>
        <w:r w:rsidR="00A33A0D">
          <w:rPr>
            <w:noProof/>
            <w:webHidden/>
          </w:rPr>
          <w:fldChar w:fldCharType="separate"/>
        </w:r>
        <w:r w:rsidR="00CC0438">
          <w:rPr>
            <w:noProof/>
            <w:webHidden/>
          </w:rPr>
          <w:t>221</w:t>
        </w:r>
        <w:r w:rsidR="00A33A0D">
          <w:rPr>
            <w:noProof/>
            <w:webHidden/>
          </w:rPr>
          <w:fldChar w:fldCharType="end"/>
        </w:r>
      </w:hyperlink>
    </w:p>
    <w:p w14:paraId="6CEF42A6" w14:textId="0F55FF83" w:rsidR="00A33A0D" w:rsidRDefault="00F333C3">
      <w:pPr>
        <w:pStyle w:val="TableofFigures"/>
        <w:tabs>
          <w:tab w:val="right" w:leader="dot" w:pos="9016"/>
        </w:tabs>
        <w:rPr>
          <w:rFonts w:asciiTheme="minorHAnsi" w:eastAsiaTheme="minorEastAsia" w:hAnsiTheme="minorHAnsi"/>
          <w:noProof/>
          <w:sz w:val="22"/>
          <w:lang w:eastAsia="en-AU"/>
        </w:rPr>
      </w:pPr>
      <w:hyperlink w:anchor="_Toc108108999" w:history="1">
        <w:r w:rsidR="00A33A0D" w:rsidRPr="00FD2FC2">
          <w:rPr>
            <w:rStyle w:val="Hyperlink"/>
            <w:noProof/>
          </w:rPr>
          <w:t>Table 49 Overview of objectives of headspace for ‘hard to reach’ groups</w:t>
        </w:r>
        <w:r w:rsidR="00A33A0D">
          <w:rPr>
            <w:noProof/>
            <w:webHidden/>
          </w:rPr>
          <w:tab/>
        </w:r>
        <w:r w:rsidR="00A33A0D">
          <w:rPr>
            <w:noProof/>
            <w:webHidden/>
          </w:rPr>
          <w:fldChar w:fldCharType="begin"/>
        </w:r>
        <w:r w:rsidR="00A33A0D">
          <w:rPr>
            <w:noProof/>
            <w:webHidden/>
          </w:rPr>
          <w:instrText xml:space="preserve"> PAGEREF _Toc108108999 \h </w:instrText>
        </w:r>
        <w:r w:rsidR="00A33A0D">
          <w:rPr>
            <w:noProof/>
            <w:webHidden/>
          </w:rPr>
        </w:r>
        <w:r w:rsidR="00A33A0D">
          <w:rPr>
            <w:noProof/>
            <w:webHidden/>
          </w:rPr>
          <w:fldChar w:fldCharType="separate"/>
        </w:r>
        <w:r w:rsidR="00CC0438">
          <w:rPr>
            <w:noProof/>
            <w:webHidden/>
          </w:rPr>
          <w:t>224</w:t>
        </w:r>
        <w:r w:rsidR="00A33A0D">
          <w:rPr>
            <w:noProof/>
            <w:webHidden/>
          </w:rPr>
          <w:fldChar w:fldCharType="end"/>
        </w:r>
      </w:hyperlink>
    </w:p>
    <w:p w14:paraId="31DCBF16" w14:textId="0E9E4E89"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0" w:history="1">
        <w:r w:rsidR="00A33A0D" w:rsidRPr="00FD2FC2">
          <w:rPr>
            <w:rStyle w:val="Hyperlink"/>
            <w:noProof/>
          </w:rPr>
          <w:t>Table 50: Share of young people accessing headspace who are Aboriginal and Torres Strait Islander</w:t>
        </w:r>
        <w:r w:rsidR="00A33A0D">
          <w:rPr>
            <w:noProof/>
            <w:webHidden/>
          </w:rPr>
          <w:tab/>
        </w:r>
        <w:r w:rsidR="00A33A0D">
          <w:rPr>
            <w:noProof/>
            <w:webHidden/>
          </w:rPr>
          <w:fldChar w:fldCharType="begin"/>
        </w:r>
        <w:r w:rsidR="00A33A0D">
          <w:rPr>
            <w:noProof/>
            <w:webHidden/>
          </w:rPr>
          <w:instrText xml:space="preserve"> PAGEREF _Toc108109000 \h </w:instrText>
        </w:r>
        <w:r w:rsidR="00A33A0D">
          <w:rPr>
            <w:noProof/>
            <w:webHidden/>
          </w:rPr>
        </w:r>
        <w:r w:rsidR="00A33A0D">
          <w:rPr>
            <w:noProof/>
            <w:webHidden/>
          </w:rPr>
          <w:fldChar w:fldCharType="separate"/>
        </w:r>
        <w:r w:rsidR="00CC0438">
          <w:rPr>
            <w:noProof/>
            <w:webHidden/>
          </w:rPr>
          <w:t>240</w:t>
        </w:r>
        <w:r w:rsidR="00A33A0D">
          <w:rPr>
            <w:noProof/>
            <w:webHidden/>
          </w:rPr>
          <w:fldChar w:fldCharType="end"/>
        </w:r>
      </w:hyperlink>
    </w:p>
    <w:p w14:paraId="7C9B6E4E" w14:textId="72BA595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1" w:history="1">
        <w:r w:rsidR="00A33A0D" w:rsidRPr="00FD2FC2">
          <w:rPr>
            <w:rStyle w:val="Hyperlink"/>
            <w:noProof/>
          </w:rPr>
          <w:t>Table 51: Share of young people accessing headspace with culturally and linguistically diverse backgrounds</w:t>
        </w:r>
        <w:r w:rsidR="00A33A0D">
          <w:rPr>
            <w:noProof/>
            <w:webHidden/>
          </w:rPr>
          <w:tab/>
        </w:r>
        <w:r w:rsidR="00A33A0D">
          <w:rPr>
            <w:noProof/>
            <w:webHidden/>
          </w:rPr>
          <w:fldChar w:fldCharType="begin"/>
        </w:r>
        <w:r w:rsidR="00A33A0D">
          <w:rPr>
            <w:noProof/>
            <w:webHidden/>
          </w:rPr>
          <w:instrText xml:space="preserve"> PAGEREF _Toc108109001 \h </w:instrText>
        </w:r>
        <w:r w:rsidR="00A33A0D">
          <w:rPr>
            <w:noProof/>
            <w:webHidden/>
          </w:rPr>
        </w:r>
        <w:r w:rsidR="00A33A0D">
          <w:rPr>
            <w:noProof/>
            <w:webHidden/>
          </w:rPr>
          <w:fldChar w:fldCharType="separate"/>
        </w:r>
        <w:r w:rsidR="00CC0438">
          <w:rPr>
            <w:noProof/>
            <w:webHidden/>
          </w:rPr>
          <w:t>241</w:t>
        </w:r>
        <w:r w:rsidR="00A33A0D">
          <w:rPr>
            <w:noProof/>
            <w:webHidden/>
          </w:rPr>
          <w:fldChar w:fldCharType="end"/>
        </w:r>
      </w:hyperlink>
    </w:p>
    <w:p w14:paraId="71E392D4" w14:textId="34EF2CC8"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2" w:history="1">
        <w:r w:rsidR="00A33A0D" w:rsidRPr="00FD2FC2">
          <w:rPr>
            <w:rStyle w:val="Hyperlink"/>
            <w:noProof/>
          </w:rPr>
          <w:t>Table 52 :Share of young people who identify as LGBTQIA+</w:t>
        </w:r>
        <w:r w:rsidR="00A33A0D">
          <w:rPr>
            <w:noProof/>
            <w:webHidden/>
          </w:rPr>
          <w:tab/>
        </w:r>
        <w:r w:rsidR="00A33A0D">
          <w:rPr>
            <w:noProof/>
            <w:webHidden/>
          </w:rPr>
          <w:fldChar w:fldCharType="begin"/>
        </w:r>
        <w:r w:rsidR="00A33A0D">
          <w:rPr>
            <w:noProof/>
            <w:webHidden/>
          </w:rPr>
          <w:instrText xml:space="preserve"> PAGEREF _Toc108109002 \h </w:instrText>
        </w:r>
        <w:r w:rsidR="00A33A0D">
          <w:rPr>
            <w:noProof/>
            <w:webHidden/>
          </w:rPr>
        </w:r>
        <w:r w:rsidR="00A33A0D">
          <w:rPr>
            <w:noProof/>
            <w:webHidden/>
          </w:rPr>
          <w:fldChar w:fldCharType="separate"/>
        </w:r>
        <w:r w:rsidR="00CC0438">
          <w:rPr>
            <w:noProof/>
            <w:webHidden/>
          </w:rPr>
          <w:t>241</w:t>
        </w:r>
        <w:r w:rsidR="00A33A0D">
          <w:rPr>
            <w:noProof/>
            <w:webHidden/>
          </w:rPr>
          <w:fldChar w:fldCharType="end"/>
        </w:r>
      </w:hyperlink>
    </w:p>
    <w:p w14:paraId="4284CFD1" w14:textId="4C47EDFF"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3" w:history="1">
        <w:r w:rsidR="00A33A0D" w:rsidRPr="00FD2FC2">
          <w:rPr>
            <w:rStyle w:val="Hyperlink"/>
            <w:noProof/>
          </w:rPr>
          <w:t>Table 53 Overview of objectives of headspace for stigma reduction</w:t>
        </w:r>
        <w:r w:rsidR="00A33A0D">
          <w:rPr>
            <w:noProof/>
            <w:webHidden/>
          </w:rPr>
          <w:tab/>
        </w:r>
        <w:r w:rsidR="00A33A0D">
          <w:rPr>
            <w:noProof/>
            <w:webHidden/>
          </w:rPr>
          <w:fldChar w:fldCharType="begin"/>
        </w:r>
        <w:r w:rsidR="00A33A0D">
          <w:rPr>
            <w:noProof/>
            <w:webHidden/>
          </w:rPr>
          <w:instrText xml:space="preserve"> PAGEREF _Toc108109003 \h </w:instrText>
        </w:r>
        <w:r w:rsidR="00A33A0D">
          <w:rPr>
            <w:noProof/>
            <w:webHidden/>
          </w:rPr>
        </w:r>
        <w:r w:rsidR="00A33A0D">
          <w:rPr>
            <w:noProof/>
            <w:webHidden/>
          </w:rPr>
          <w:fldChar w:fldCharType="separate"/>
        </w:r>
        <w:r w:rsidR="00CC0438">
          <w:rPr>
            <w:noProof/>
            <w:webHidden/>
          </w:rPr>
          <w:t>243</w:t>
        </w:r>
        <w:r w:rsidR="00A33A0D">
          <w:rPr>
            <w:noProof/>
            <w:webHidden/>
          </w:rPr>
          <w:fldChar w:fldCharType="end"/>
        </w:r>
      </w:hyperlink>
    </w:p>
    <w:p w14:paraId="7C25680D" w14:textId="6546DEEB"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4" w:history="1">
        <w:r w:rsidR="00A33A0D" w:rsidRPr="00FD2FC2">
          <w:rPr>
            <w:rStyle w:val="Hyperlink"/>
            <w:noProof/>
          </w:rPr>
          <w:t>Table 54 Overview of objectives of headspace for service integration and coordination</w:t>
        </w:r>
        <w:r w:rsidR="00A33A0D">
          <w:rPr>
            <w:noProof/>
            <w:webHidden/>
          </w:rPr>
          <w:tab/>
        </w:r>
        <w:r w:rsidR="00A33A0D">
          <w:rPr>
            <w:noProof/>
            <w:webHidden/>
          </w:rPr>
          <w:fldChar w:fldCharType="begin"/>
        </w:r>
        <w:r w:rsidR="00A33A0D">
          <w:rPr>
            <w:noProof/>
            <w:webHidden/>
          </w:rPr>
          <w:instrText xml:space="preserve"> PAGEREF _Toc108109004 \h </w:instrText>
        </w:r>
        <w:r w:rsidR="00A33A0D">
          <w:rPr>
            <w:noProof/>
            <w:webHidden/>
          </w:rPr>
        </w:r>
        <w:r w:rsidR="00A33A0D">
          <w:rPr>
            <w:noProof/>
            <w:webHidden/>
          </w:rPr>
          <w:fldChar w:fldCharType="separate"/>
        </w:r>
        <w:r w:rsidR="00CC0438">
          <w:rPr>
            <w:noProof/>
            <w:webHidden/>
          </w:rPr>
          <w:t>245</w:t>
        </w:r>
        <w:r w:rsidR="00A33A0D">
          <w:rPr>
            <w:noProof/>
            <w:webHidden/>
          </w:rPr>
          <w:fldChar w:fldCharType="end"/>
        </w:r>
      </w:hyperlink>
    </w:p>
    <w:p w14:paraId="4215C6D7" w14:textId="18A0CD03"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5" w:history="1">
        <w:r w:rsidR="00A33A0D" w:rsidRPr="00FD2FC2">
          <w:rPr>
            <w:rStyle w:val="Hyperlink"/>
            <w:noProof/>
          </w:rPr>
          <w:t>Table 55 Overview of objectives of headspace for culturally appropriate and inclusive services</w:t>
        </w:r>
        <w:r w:rsidR="00A33A0D">
          <w:rPr>
            <w:noProof/>
            <w:webHidden/>
          </w:rPr>
          <w:tab/>
        </w:r>
        <w:r w:rsidR="00A33A0D">
          <w:rPr>
            <w:noProof/>
            <w:webHidden/>
          </w:rPr>
          <w:fldChar w:fldCharType="begin"/>
        </w:r>
        <w:r w:rsidR="00A33A0D">
          <w:rPr>
            <w:noProof/>
            <w:webHidden/>
          </w:rPr>
          <w:instrText xml:space="preserve"> PAGEREF _Toc108109005 \h </w:instrText>
        </w:r>
        <w:r w:rsidR="00A33A0D">
          <w:rPr>
            <w:noProof/>
            <w:webHidden/>
          </w:rPr>
        </w:r>
        <w:r w:rsidR="00A33A0D">
          <w:rPr>
            <w:noProof/>
            <w:webHidden/>
          </w:rPr>
          <w:fldChar w:fldCharType="separate"/>
        </w:r>
        <w:r w:rsidR="00CC0438">
          <w:rPr>
            <w:noProof/>
            <w:webHidden/>
          </w:rPr>
          <w:t>262</w:t>
        </w:r>
        <w:r w:rsidR="00A33A0D">
          <w:rPr>
            <w:noProof/>
            <w:webHidden/>
          </w:rPr>
          <w:fldChar w:fldCharType="end"/>
        </w:r>
      </w:hyperlink>
    </w:p>
    <w:p w14:paraId="5879F35B" w14:textId="66ED23E4"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6" w:history="1">
        <w:r w:rsidR="00A33A0D" w:rsidRPr="00FD2FC2">
          <w:rPr>
            <w:rStyle w:val="Hyperlink"/>
            <w:noProof/>
          </w:rPr>
          <w:t>Table 56: Probability young person respond ‘agree’ or ‘strongly agree’ to satisfaction domains across episodes created from 2015-16 to 2019-20</w:t>
        </w:r>
        <w:r w:rsidR="00A33A0D">
          <w:rPr>
            <w:noProof/>
            <w:webHidden/>
          </w:rPr>
          <w:tab/>
        </w:r>
        <w:r w:rsidR="00A33A0D">
          <w:rPr>
            <w:noProof/>
            <w:webHidden/>
          </w:rPr>
          <w:fldChar w:fldCharType="begin"/>
        </w:r>
        <w:r w:rsidR="00A33A0D">
          <w:rPr>
            <w:noProof/>
            <w:webHidden/>
          </w:rPr>
          <w:instrText xml:space="preserve"> PAGEREF _Toc108109006 \h </w:instrText>
        </w:r>
        <w:r w:rsidR="00A33A0D">
          <w:rPr>
            <w:noProof/>
            <w:webHidden/>
          </w:rPr>
        </w:r>
        <w:r w:rsidR="00A33A0D">
          <w:rPr>
            <w:noProof/>
            <w:webHidden/>
          </w:rPr>
          <w:fldChar w:fldCharType="separate"/>
        </w:r>
        <w:r w:rsidR="00CC0438">
          <w:rPr>
            <w:noProof/>
            <w:webHidden/>
          </w:rPr>
          <w:t>263</w:t>
        </w:r>
        <w:r w:rsidR="00A33A0D">
          <w:rPr>
            <w:noProof/>
            <w:webHidden/>
          </w:rPr>
          <w:fldChar w:fldCharType="end"/>
        </w:r>
      </w:hyperlink>
    </w:p>
    <w:p w14:paraId="5979CE50" w14:textId="7B04A54D"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7" w:history="1">
        <w:r w:rsidR="00A33A0D" w:rsidRPr="00FD2FC2">
          <w:rPr>
            <w:rStyle w:val="Hyperlink"/>
            <w:noProof/>
          </w:rPr>
          <w:t>Table 57 Overview of objectives of headspace for appropriate, accessible and youth friendly support</w:t>
        </w:r>
        <w:r w:rsidR="00A33A0D">
          <w:rPr>
            <w:noProof/>
            <w:webHidden/>
          </w:rPr>
          <w:tab/>
        </w:r>
        <w:r w:rsidR="00A33A0D">
          <w:rPr>
            <w:noProof/>
            <w:webHidden/>
          </w:rPr>
          <w:fldChar w:fldCharType="begin"/>
        </w:r>
        <w:r w:rsidR="00A33A0D">
          <w:rPr>
            <w:noProof/>
            <w:webHidden/>
          </w:rPr>
          <w:instrText xml:space="preserve"> PAGEREF _Toc108109007 \h </w:instrText>
        </w:r>
        <w:r w:rsidR="00A33A0D">
          <w:rPr>
            <w:noProof/>
            <w:webHidden/>
          </w:rPr>
        </w:r>
        <w:r w:rsidR="00A33A0D">
          <w:rPr>
            <w:noProof/>
            <w:webHidden/>
          </w:rPr>
          <w:fldChar w:fldCharType="separate"/>
        </w:r>
        <w:r w:rsidR="00CC0438">
          <w:rPr>
            <w:noProof/>
            <w:webHidden/>
          </w:rPr>
          <w:t>267</w:t>
        </w:r>
        <w:r w:rsidR="00A33A0D">
          <w:rPr>
            <w:noProof/>
            <w:webHidden/>
          </w:rPr>
          <w:fldChar w:fldCharType="end"/>
        </w:r>
      </w:hyperlink>
    </w:p>
    <w:p w14:paraId="30ECAE40" w14:textId="347D9B4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8" w:history="1">
        <w:r w:rsidR="00A33A0D" w:rsidRPr="00FD2FC2">
          <w:rPr>
            <w:rStyle w:val="Hyperlink"/>
            <w:noProof/>
          </w:rPr>
          <w:t>Table 58 Overview of objectives of headspace for young people’s participation in the design and delivery of services</w:t>
        </w:r>
        <w:r w:rsidR="00A33A0D">
          <w:rPr>
            <w:noProof/>
            <w:webHidden/>
          </w:rPr>
          <w:tab/>
        </w:r>
        <w:r w:rsidR="00A33A0D">
          <w:rPr>
            <w:noProof/>
            <w:webHidden/>
          </w:rPr>
          <w:fldChar w:fldCharType="begin"/>
        </w:r>
        <w:r w:rsidR="00A33A0D">
          <w:rPr>
            <w:noProof/>
            <w:webHidden/>
          </w:rPr>
          <w:instrText xml:space="preserve"> PAGEREF _Toc108109008 \h </w:instrText>
        </w:r>
        <w:r w:rsidR="00A33A0D">
          <w:rPr>
            <w:noProof/>
            <w:webHidden/>
          </w:rPr>
        </w:r>
        <w:r w:rsidR="00A33A0D">
          <w:rPr>
            <w:noProof/>
            <w:webHidden/>
          </w:rPr>
          <w:fldChar w:fldCharType="separate"/>
        </w:r>
        <w:r w:rsidR="00CC0438">
          <w:rPr>
            <w:noProof/>
            <w:webHidden/>
          </w:rPr>
          <w:t>272</w:t>
        </w:r>
        <w:r w:rsidR="00A33A0D">
          <w:rPr>
            <w:noProof/>
            <w:webHidden/>
          </w:rPr>
          <w:fldChar w:fldCharType="end"/>
        </w:r>
      </w:hyperlink>
    </w:p>
    <w:p w14:paraId="02E5A944" w14:textId="152CC90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09" w:history="1">
        <w:r w:rsidR="00A33A0D" w:rsidRPr="00FD2FC2">
          <w:rPr>
            <w:rStyle w:val="Hyperlink"/>
            <w:noProof/>
          </w:rPr>
          <w:t>Table 59 Overview of mental health and wellbeing objectives of headspace</w:t>
        </w:r>
        <w:r w:rsidR="00A33A0D">
          <w:rPr>
            <w:noProof/>
            <w:webHidden/>
          </w:rPr>
          <w:tab/>
        </w:r>
        <w:r w:rsidR="00A33A0D">
          <w:rPr>
            <w:noProof/>
            <w:webHidden/>
          </w:rPr>
          <w:fldChar w:fldCharType="begin"/>
        </w:r>
        <w:r w:rsidR="00A33A0D">
          <w:rPr>
            <w:noProof/>
            <w:webHidden/>
          </w:rPr>
          <w:instrText xml:space="preserve"> PAGEREF _Toc108109009 \h </w:instrText>
        </w:r>
        <w:r w:rsidR="00A33A0D">
          <w:rPr>
            <w:noProof/>
            <w:webHidden/>
          </w:rPr>
        </w:r>
        <w:r w:rsidR="00A33A0D">
          <w:rPr>
            <w:noProof/>
            <w:webHidden/>
          </w:rPr>
          <w:fldChar w:fldCharType="separate"/>
        </w:r>
        <w:r w:rsidR="00CC0438">
          <w:rPr>
            <w:noProof/>
            <w:webHidden/>
          </w:rPr>
          <w:t>277</w:t>
        </w:r>
        <w:r w:rsidR="00A33A0D">
          <w:rPr>
            <w:noProof/>
            <w:webHidden/>
          </w:rPr>
          <w:fldChar w:fldCharType="end"/>
        </w:r>
      </w:hyperlink>
    </w:p>
    <w:p w14:paraId="3F9B4B47" w14:textId="357F37A2"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0" w:history="1">
        <w:r w:rsidR="00A33A0D" w:rsidRPr="00FD2FC2">
          <w:rPr>
            <w:rStyle w:val="Hyperlink"/>
            <w:noProof/>
          </w:rPr>
          <w:t>Table 60: Regression to the mean effect by outcome measure</w:t>
        </w:r>
        <w:r w:rsidR="00A33A0D">
          <w:rPr>
            <w:noProof/>
            <w:webHidden/>
          </w:rPr>
          <w:tab/>
        </w:r>
        <w:r w:rsidR="00A33A0D">
          <w:rPr>
            <w:noProof/>
            <w:webHidden/>
          </w:rPr>
          <w:fldChar w:fldCharType="begin"/>
        </w:r>
        <w:r w:rsidR="00A33A0D">
          <w:rPr>
            <w:noProof/>
            <w:webHidden/>
          </w:rPr>
          <w:instrText xml:space="preserve"> PAGEREF _Toc108109010 \h </w:instrText>
        </w:r>
        <w:r w:rsidR="00A33A0D">
          <w:rPr>
            <w:noProof/>
            <w:webHidden/>
          </w:rPr>
        </w:r>
        <w:r w:rsidR="00A33A0D">
          <w:rPr>
            <w:noProof/>
            <w:webHidden/>
          </w:rPr>
          <w:fldChar w:fldCharType="separate"/>
        </w:r>
        <w:r w:rsidR="00CC0438">
          <w:rPr>
            <w:noProof/>
            <w:webHidden/>
          </w:rPr>
          <w:t>280</w:t>
        </w:r>
        <w:r w:rsidR="00A33A0D">
          <w:rPr>
            <w:noProof/>
            <w:webHidden/>
          </w:rPr>
          <w:fldChar w:fldCharType="end"/>
        </w:r>
      </w:hyperlink>
    </w:p>
    <w:p w14:paraId="43A3B7C4" w14:textId="6F62ACA9"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1" w:history="1">
        <w:r w:rsidR="00A33A0D" w:rsidRPr="00FD2FC2">
          <w:rPr>
            <w:rStyle w:val="Hyperlink"/>
            <w:noProof/>
          </w:rPr>
          <w:t>Table 61: Average intake, final and change in K10 measurements in young people accessing headspace</w:t>
        </w:r>
        <w:r w:rsidR="00A33A0D">
          <w:rPr>
            <w:noProof/>
            <w:webHidden/>
          </w:rPr>
          <w:tab/>
        </w:r>
        <w:r w:rsidR="00A33A0D">
          <w:rPr>
            <w:noProof/>
            <w:webHidden/>
          </w:rPr>
          <w:fldChar w:fldCharType="begin"/>
        </w:r>
        <w:r w:rsidR="00A33A0D">
          <w:rPr>
            <w:noProof/>
            <w:webHidden/>
          </w:rPr>
          <w:instrText xml:space="preserve"> PAGEREF _Toc108109011 \h </w:instrText>
        </w:r>
        <w:r w:rsidR="00A33A0D">
          <w:rPr>
            <w:noProof/>
            <w:webHidden/>
          </w:rPr>
        </w:r>
        <w:r w:rsidR="00A33A0D">
          <w:rPr>
            <w:noProof/>
            <w:webHidden/>
          </w:rPr>
          <w:fldChar w:fldCharType="separate"/>
        </w:r>
        <w:r w:rsidR="00CC0438">
          <w:rPr>
            <w:noProof/>
            <w:webHidden/>
          </w:rPr>
          <w:t>281</w:t>
        </w:r>
        <w:r w:rsidR="00A33A0D">
          <w:rPr>
            <w:noProof/>
            <w:webHidden/>
          </w:rPr>
          <w:fldChar w:fldCharType="end"/>
        </w:r>
      </w:hyperlink>
    </w:p>
    <w:p w14:paraId="7ACDA3EE" w14:textId="483904F4"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2" w:history="1">
        <w:r w:rsidR="00A33A0D" w:rsidRPr="00FD2FC2">
          <w:rPr>
            <w:rStyle w:val="Hyperlink"/>
            <w:noProof/>
          </w:rPr>
          <w:t>Table 62: Average intake, final and change in SOFAS measurements in young people accessing headspace</w:t>
        </w:r>
        <w:r w:rsidR="00A33A0D">
          <w:rPr>
            <w:noProof/>
            <w:webHidden/>
          </w:rPr>
          <w:tab/>
        </w:r>
        <w:r w:rsidR="00A33A0D">
          <w:rPr>
            <w:noProof/>
            <w:webHidden/>
          </w:rPr>
          <w:fldChar w:fldCharType="begin"/>
        </w:r>
        <w:r w:rsidR="00A33A0D">
          <w:rPr>
            <w:noProof/>
            <w:webHidden/>
          </w:rPr>
          <w:instrText xml:space="preserve"> PAGEREF _Toc108109012 \h </w:instrText>
        </w:r>
        <w:r w:rsidR="00A33A0D">
          <w:rPr>
            <w:noProof/>
            <w:webHidden/>
          </w:rPr>
        </w:r>
        <w:r w:rsidR="00A33A0D">
          <w:rPr>
            <w:noProof/>
            <w:webHidden/>
          </w:rPr>
          <w:fldChar w:fldCharType="separate"/>
        </w:r>
        <w:r w:rsidR="00CC0438">
          <w:rPr>
            <w:noProof/>
            <w:webHidden/>
          </w:rPr>
          <w:t>282</w:t>
        </w:r>
        <w:r w:rsidR="00A33A0D">
          <w:rPr>
            <w:noProof/>
            <w:webHidden/>
          </w:rPr>
          <w:fldChar w:fldCharType="end"/>
        </w:r>
      </w:hyperlink>
    </w:p>
    <w:p w14:paraId="3E16D779" w14:textId="18731E49"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3" w:history="1">
        <w:r w:rsidR="00A33A0D" w:rsidRPr="00FD2FC2">
          <w:rPr>
            <w:rStyle w:val="Hyperlink"/>
            <w:noProof/>
          </w:rPr>
          <w:t>Table 63: Average intake, final and change in MLT measurements in young people accessing headspace</w:t>
        </w:r>
        <w:r w:rsidR="00A33A0D">
          <w:rPr>
            <w:noProof/>
            <w:webHidden/>
          </w:rPr>
          <w:tab/>
        </w:r>
        <w:r w:rsidR="00A33A0D">
          <w:rPr>
            <w:noProof/>
            <w:webHidden/>
          </w:rPr>
          <w:fldChar w:fldCharType="begin"/>
        </w:r>
        <w:r w:rsidR="00A33A0D">
          <w:rPr>
            <w:noProof/>
            <w:webHidden/>
          </w:rPr>
          <w:instrText xml:space="preserve"> PAGEREF _Toc108109013 \h </w:instrText>
        </w:r>
        <w:r w:rsidR="00A33A0D">
          <w:rPr>
            <w:noProof/>
            <w:webHidden/>
          </w:rPr>
        </w:r>
        <w:r w:rsidR="00A33A0D">
          <w:rPr>
            <w:noProof/>
            <w:webHidden/>
          </w:rPr>
          <w:fldChar w:fldCharType="separate"/>
        </w:r>
        <w:r w:rsidR="00CC0438">
          <w:rPr>
            <w:noProof/>
            <w:webHidden/>
          </w:rPr>
          <w:t>282</w:t>
        </w:r>
        <w:r w:rsidR="00A33A0D">
          <w:rPr>
            <w:noProof/>
            <w:webHidden/>
          </w:rPr>
          <w:fldChar w:fldCharType="end"/>
        </w:r>
      </w:hyperlink>
    </w:p>
    <w:p w14:paraId="0D551A19" w14:textId="05B7B67F"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4" w:history="1">
        <w:r w:rsidR="00A33A0D" w:rsidRPr="00FD2FC2">
          <w:rPr>
            <w:rStyle w:val="Hyperlink"/>
            <w:noProof/>
          </w:rPr>
          <w:t>Table 64: Reliable significant change index by outcome measure</w:t>
        </w:r>
        <w:r w:rsidR="00A33A0D">
          <w:rPr>
            <w:noProof/>
            <w:webHidden/>
          </w:rPr>
          <w:tab/>
        </w:r>
        <w:r w:rsidR="00A33A0D">
          <w:rPr>
            <w:noProof/>
            <w:webHidden/>
          </w:rPr>
          <w:fldChar w:fldCharType="begin"/>
        </w:r>
        <w:r w:rsidR="00A33A0D">
          <w:rPr>
            <w:noProof/>
            <w:webHidden/>
          </w:rPr>
          <w:instrText xml:space="preserve"> PAGEREF _Toc108109014 \h </w:instrText>
        </w:r>
        <w:r w:rsidR="00A33A0D">
          <w:rPr>
            <w:noProof/>
            <w:webHidden/>
          </w:rPr>
        </w:r>
        <w:r w:rsidR="00A33A0D">
          <w:rPr>
            <w:noProof/>
            <w:webHidden/>
          </w:rPr>
          <w:fldChar w:fldCharType="separate"/>
        </w:r>
        <w:r w:rsidR="00CC0438">
          <w:rPr>
            <w:noProof/>
            <w:webHidden/>
          </w:rPr>
          <w:t>283</w:t>
        </w:r>
        <w:r w:rsidR="00A33A0D">
          <w:rPr>
            <w:noProof/>
            <w:webHidden/>
          </w:rPr>
          <w:fldChar w:fldCharType="end"/>
        </w:r>
      </w:hyperlink>
    </w:p>
    <w:p w14:paraId="14D6DC18" w14:textId="11D2E73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5" w:history="1">
        <w:r w:rsidR="00A33A0D" w:rsidRPr="00FD2FC2">
          <w:rPr>
            <w:rStyle w:val="Hyperlink"/>
            <w:noProof/>
          </w:rPr>
          <w:t>Table 65: Clinically significant change index by gender and age</w:t>
        </w:r>
        <w:r w:rsidR="00A33A0D">
          <w:rPr>
            <w:noProof/>
            <w:webHidden/>
          </w:rPr>
          <w:tab/>
        </w:r>
        <w:r w:rsidR="00A33A0D">
          <w:rPr>
            <w:noProof/>
            <w:webHidden/>
          </w:rPr>
          <w:fldChar w:fldCharType="begin"/>
        </w:r>
        <w:r w:rsidR="00A33A0D">
          <w:rPr>
            <w:noProof/>
            <w:webHidden/>
          </w:rPr>
          <w:instrText xml:space="preserve"> PAGEREF _Toc108109015 \h </w:instrText>
        </w:r>
        <w:r w:rsidR="00A33A0D">
          <w:rPr>
            <w:noProof/>
            <w:webHidden/>
          </w:rPr>
        </w:r>
        <w:r w:rsidR="00A33A0D">
          <w:rPr>
            <w:noProof/>
            <w:webHidden/>
          </w:rPr>
          <w:fldChar w:fldCharType="separate"/>
        </w:r>
        <w:r w:rsidR="00CC0438">
          <w:rPr>
            <w:noProof/>
            <w:webHidden/>
          </w:rPr>
          <w:t>283</w:t>
        </w:r>
        <w:r w:rsidR="00A33A0D">
          <w:rPr>
            <w:noProof/>
            <w:webHidden/>
          </w:rPr>
          <w:fldChar w:fldCharType="end"/>
        </w:r>
      </w:hyperlink>
    </w:p>
    <w:p w14:paraId="11C6423D" w14:textId="72444B97"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6" w:history="1">
        <w:r w:rsidR="00A33A0D" w:rsidRPr="00FD2FC2">
          <w:rPr>
            <w:rStyle w:val="Hyperlink"/>
            <w:noProof/>
          </w:rPr>
          <w:t>Table 66: Improvement in average outcome measures in young people accessing headspace (per completed episode)</w:t>
        </w:r>
        <w:r w:rsidR="00A33A0D">
          <w:rPr>
            <w:noProof/>
            <w:webHidden/>
          </w:rPr>
          <w:tab/>
        </w:r>
        <w:r w:rsidR="00A33A0D">
          <w:rPr>
            <w:noProof/>
            <w:webHidden/>
          </w:rPr>
          <w:fldChar w:fldCharType="begin"/>
        </w:r>
        <w:r w:rsidR="00A33A0D">
          <w:rPr>
            <w:noProof/>
            <w:webHidden/>
          </w:rPr>
          <w:instrText xml:space="preserve"> PAGEREF _Toc108109016 \h </w:instrText>
        </w:r>
        <w:r w:rsidR="00A33A0D">
          <w:rPr>
            <w:noProof/>
            <w:webHidden/>
          </w:rPr>
        </w:r>
        <w:r w:rsidR="00A33A0D">
          <w:rPr>
            <w:noProof/>
            <w:webHidden/>
          </w:rPr>
          <w:fldChar w:fldCharType="separate"/>
        </w:r>
        <w:r w:rsidR="00CC0438">
          <w:rPr>
            <w:noProof/>
            <w:webHidden/>
          </w:rPr>
          <w:t>284</w:t>
        </w:r>
        <w:r w:rsidR="00A33A0D">
          <w:rPr>
            <w:noProof/>
            <w:webHidden/>
          </w:rPr>
          <w:fldChar w:fldCharType="end"/>
        </w:r>
      </w:hyperlink>
    </w:p>
    <w:p w14:paraId="7DE7D681" w14:textId="56A58B0F"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7" w:history="1">
        <w:r w:rsidR="00A33A0D" w:rsidRPr="00FD2FC2">
          <w:rPr>
            <w:rStyle w:val="Hyperlink"/>
            <w:noProof/>
          </w:rPr>
          <w:t>Table 67: Average Improvement in raw outcome measures in young people accessing headspace (per completed episode)</w:t>
        </w:r>
        <w:r w:rsidR="00A33A0D">
          <w:rPr>
            <w:noProof/>
            <w:webHidden/>
          </w:rPr>
          <w:tab/>
        </w:r>
        <w:r w:rsidR="00A33A0D">
          <w:rPr>
            <w:noProof/>
            <w:webHidden/>
          </w:rPr>
          <w:fldChar w:fldCharType="begin"/>
        </w:r>
        <w:r w:rsidR="00A33A0D">
          <w:rPr>
            <w:noProof/>
            <w:webHidden/>
          </w:rPr>
          <w:instrText xml:space="preserve"> PAGEREF _Toc108109017 \h </w:instrText>
        </w:r>
        <w:r w:rsidR="00A33A0D">
          <w:rPr>
            <w:noProof/>
            <w:webHidden/>
          </w:rPr>
        </w:r>
        <w:r w:rsidR="00A33A0D">
          <w:rPr>
            <w:noProof/>
            <w:webHidden/>
          </w:rPr>
          <w:fldChar w:fldCharType="separate"/>
        </w:r>
        <w:r w:rsidR="00CC0438">
          <w:rPr>
            <w:noProof/>
            <w:webHidden/>
          </w:rPr>
          <w:t>284</w:t>
        </w:r>
        <w:r w:rsidR="00A33A0D">
          <w:rPr>
            <w:noProof/>
            <w:webHidden/>
          </w:rPr>
          <w:fldChar w:fldCharType="end"/>
        </w:r>
      </w:hyperlink>
    </w:p>
    <w:p w14:paraId="421D037B" w14:textId="25A6153B"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8" w:history="1">
        <w:r w:rsidR="00A33A0D" w:rsidRPr="00FD2FC2">
          <w:rPr>
            <w:rStyle w:val="Hyperlink"/>
            <w:noProof/>
          </w:rPr>
          <w:t>Table 68: Logit regression of receiving two or more OOS</w:t>
        </w:r>
        <w:r w:rsidR="00A33A0D">
          <w:rPr>
            <w:noProof/>
            <w:webHidden/>
          </w:rPr>
          <w:tab/>
        </w:r>
        <w:r w:rsidR="00A33A0D">
          <w:rPr>
            <w:noProof/>
            <w:webHidden/>
          </w:rPr>
          <w:fldChar w:fldCharType="begin"/>
        </w:r>
        <w:r w:rsidR="00A33A0D">
          <w:rPr>
            <w:noProof/>
            <w:webHidden/>
          </w:rPr>
          <w:instrText xml:space="preserve"> PAGEREF _Toc108109018 \h </w:instrText>
        </w:r>
        <w:r w:rsidR="00A33A0D">
          <w:rPr>
            <w:noProof/>
            <w:webHidden/>
          </w:rPr>
        </w:r>
        <w:r w:rsidR="00A33A0D">
          <w:rPr>
            <w:noProof/>
            <w:webHidden/>
          </w:rPr>
          <w:fldChar w:fldCharType="separate"/>
        </w:r>
        <w:r w:rsidR="00CC0438">
          <w:rPr>
            <w:noProof/>
            <w:webHidden/>
          </w:rPr>
          <w:t>286</w:t>
        </w:r>
        <w:r w:rsidR="00A33A0D">
          <w:rPr>
            <w:noProof/>
            <w:webHidden/>
          </w:rPr>
          <w:fldChar w:fldCharType="end"/>
        </w:r>
      </w:hyperlink>
    </w:p>
    <w:p w14:paraId="6E1B5FD2" w14:textId="0228F8F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19" w:history="1">
        <w:r w:rsidR="00A33A0D" w:rsidRPr="00FD2FC2">
          <w:rPr>
            <w:rStyle w:val="Hyperlink"/>
            <w:noProof/>
          </w:rPr>
          <w:t>Table 69: Linear regression of mental health improvements</w:t>
        </w:r>
        <w:r w:rsidR="00A33A0D">
          <w:rPr>
            <w:noProof/>
            <w:webHidden/>
          </w:rPr>
          <w:tab/>
        </w:r>
        <w:r w:rsidR="00A33A0D">
          <w:rPr>
            <w:noProof/>
            <w:webHidden/>
          </w:rPr>
          <w:fldChar w:fldCharType="begin"/>
        </w:r>
        <w:r w:rsidR="00A33A0D">
          <w:rPr>
            <w:noProof/>
            <w:webHidden/>
          </w:rPr>
          <w:instrText xml:space="preserve"> PAGEREF _Toc108109019 \h </w:instrText>
        </w:r>
        <w:r w:rsidR="00A33A0D">
          <w:rPr>
            <w:noProof/>
            <w:webHidden/>
          </w:rPr>
        </w:r>
        <w:r w:rsidR="00A33A0D">
          <w:rPr>
            <w:noProof/>
            <w:webHidden/>
          </w:rPr>
          <w:fldChar w:fldCharType="separate"/>
        </w:r>
        <w:r w:rsidR="00CC0438">
          <w:rPr>
            <w:noProof/>
            <w:webHidden/>
          </w:rPr>
          <w:t>291</w:t>
        </w:r>
        <w:r w:rsidR="00A33A0D">
          <w:rPr>
            <w:noProof/>
            <w:webHidden/>
          </w:rPr>
          <w:fldChar w:fldCharType="end"/>
        </w:r>
      </w:hyperlink>
    </w:p>
    <w:p w14:paraId="2B37E8D6" w14:textId="6723B70B"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0" w:history="1">
        <w:r w:rsidR="00A33A0D" w:rsidRPr="00FD2FC2">
          <w:rPr>
            <w:rStyle w:val="Hyperlink"/>
            <w:noProof/>
          </w:rPr>
          <w:t>Table 70: Shaply decomposition by patient, service, regional components</w:t>
        </w:r>
        <w:r w:rsidR="00A33A0D">
          <w:rPr>
            <w:noProof/>
            <w:webHidden/>
          </w:rPr>
          <w:tab/>
        </w:r>
        <w:r w:rsidR="00A33A0D">
          <w:rPr>
            <w:noProof/>
            <w:webHidden/>
          </w:rPr>
          <w:fldChar w:fldCharType="begin"/>
        </w:r>
        <w:r w:rsidR="00A33A0D">
          <w:rPr>
            <w:noProof/>
            <w:webHidden/>
          </w:rPr>
          <w:instrText xml:space="preserve"> PAGEREF _Toc108109020 \h </w:instrText>
        </w:r>
        <w:r w:rsidR="00A33A0D">
          <w:rPr>
            <w:noProof/>
            <w:webHidden/>
          </w:rPr>
        </w:r>
        <w:r w:rsidR="00A33A0D">
          <w:rPr>
            <w:noProof/>
            <w:webHidden/>
          </w:rPr>
          <w:fldChar w:fldCharType="separate"/>
        </w:r>
        <w:r w:rsidR="00CC0438">
          <w:rPr>
            <w:noProof/>
            <w:webHidden/>
          </w:rPr>
          <w:t>295</w:t>
        </w:r>
        <w:r w:rsidR="00A33A0D">
          <w:rPr>
            <w:noProof/>
            <w:webHidden/>
          </w:rPr>
          <w:fldChar w:fldCharType="end"/>
        </w:r>
      </w:hyperlink>
    </w:p>
    <w:p w14:paraId="1AEC22CD" w14:textId="78A47315"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1" w:history="1">
        <w:r w:rsidR="00A33A0D" w:rsidRPr="00FD2FC2">
          <w:rPr>
            <w:rStyle w:val="Hyperlink"/>
            <w:noProof/>
          </w:rPr>
          <w:t>Table 71: Correlation matrix between services fixed effects</w:t>
        </w:r>
        <w:r w:rsidR="00A33A0D">
          <w:rPr>
            <w:noProof/>
            <w:webHidden/>
          </w:rPr>
          <w:tab/>
        </w:r>
        <w:r w:rsidR="00A33A0D">
          <w:rPr>
            <w:noProof/>
            <w:webHidden/>
          </w:rPr>
          <w:fldChar w:fldCharType="begin"/>
        </w:r>
        <w:r w:rsidR="00A33A0D">
          <w:rPr>
            <w:noProof/>
            <w:webHidden/>
          </w:rPr>
          <w:instrText xml:space="preserve"> PAGEREF _Toc108109021 \h </w:instrText>
        </w:r>
        <w:r w:rsidR="00A33A0D">
          <w:rPr>
            <w:noProof/>
            <w:webHidden/>
          </w:rPr>
        </w:r>
        <w:r w:rsidR="00A33A0D">
          <w:rPr>
            <w:noProof/>
            <w:webHidden/>
          </w:rPr>
          <w:fldChar w:fldCharType="separate"/>
        </w:r>
        <w:r w:rsidR="00CC0438">
          <w:rPr>
            <w:noProof/>
            <w:webHidden/>
          </w:rPr>
          <w:t>301</w:t>
        </w:r>
        <w:r w:rsidR="00A33A0D">
          <w:rPr>
            <w:noProof/>
            <w:webHidden/>
          </w:rPr>
          <w:fldChar w:fldCharType="end"/>
        </w:r>
      </w:hyperlink>
    </w:p>
    <w:p w14:paraId="6FFFC9C4" w14:textId="44DDF581"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2" w:history="1">
        <w:r w:rsidR="00A33A0D" w:rsidRPr="00FD2FC2">
          <w:rPr>
            <w:rStyle w:val="Hyperlink"/>
            <w:noProof/>
          </w:rPr>
          <w:t>Table 72: Linear regression of service-specific components on service fixed effects.</w:t>
        </w:r>
        <w:r w:rsidR="00A33A0D">
          <w:rPr>
            <w:noProof/>
            <w:webHidden/>
          </w:rPr>
          <w:tab/>
        </w:r>
        <w:r w:rsidR="00A33A0D">
          <w:rPr>
            <w:noProof/>
            <w:webHidden/>
          </w:rPr>
          <w:fldChar w:fldCharType="begin"/>
        </w:r>
        <w:r w:rsidR="00A33A0D">
          <w:rPr>
            <w:noProof/>
            <w:webHidden/>
          </w:rPr>
          <w:instrText xml:space="preserve"> PAGEREF _Toc108109022 \h </w:instrText>
        </w:r>
        <w:r w:rsidR="00A33A0D">
          <w:rPr>
            <w:noProof/>
            <w:webHidden/>
          </w:rPr>
        </w:r>
        <w:r w:rsidR="00A33A0D">
          <w:rPr>
            <w:noProof/>
            <w:webHidden/>
          </w:rPr>
          <w:fldChar w:fldCharType="separate"/>
        </w:r>
        <w:r w:rsidR="00CC0438">
          <w:rPr>
            <w:noProof/>
            <w:webHidden/>
          </w:rPr>
          <w:t>302</w:t>
        </w:r>
        <w:r w:rsidR="00A33A0D">
          <w:rPr>
            <w:noProof/>
            <w:webHidden/>
          </w:rPr>
          <w:fldChar w:fldCharType="end"/>
        </w:r>
      </w:hyperlink>
    </w:p>
    <w:p w14:paraId="42EC665B" w14:textId="78C17353"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3" w:history="1">
        <w:r w:rsidR="00A33A0D" w:rsidRPr="00FD2FC2">
          <w:rPr>
            <w:rStyle w:val="Hyperlink"/>
            <w:noProof/>
          </w:rPr>
          <w:t>Table 73: Shaply decomposition by service and regional components</w:t>
        </w:r>
        <w:r w:rsidR="00A33A0D">
          <w:rPr>
            <w:noProof/>
            <w:webHidden/>
          </w:rPr>
          <w:tab/>
        </w:r>
        <w:r w:rsidR="00A33A0D">
          <w:rPr>
            <w:noProof/>
            <w:webHidden/>
          </w:rPr>
          <w:fldChar w:fldCharType="begin"/>
        </w:r>
        <w:r w:rsidR="00A33A0D">
          <w:rPr>
            <w:noProof/>
            <w:webHidden/>
          </w:rPr>
          <w:instrText xml:space="preserve"> PAGEREF _Toc108109023 \h </w:instrText>
        </w:r>
        <w:r w:rsidR="00A33A0D">
          <w:rPr>
            <w:noProof/>
            <w:webHidden/>
          </w:rPr>
        </w:r>
        <w:r w:rsidR="00A33A0D">
          <w:rPr>
            <w:noProof/>
            <w:webHidden/>
          </w:rPr>
          <w:fldChar w:fldCharType="separate"/>
        </w:r>
        <w:r w:rsidR="00CC0438">
          <w:rPr>
            <w:noProof/>
            <w:webHidden/>
          </w:rPr>
          <w:t>308</w:t>
        </w:r>
        <w:r w:rsidR="00A33A0D">
          <w:rPr>
            <w:noProof/>
            <w:webHidden/>
          </w:rPr>
          <w:fldChar w:fldCharType="end"/>
        </w:r>
      </w:hyperlink>
    </w:p>
    <w:p w14:paraId="021F782B" w14:textId="292CCAF2"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4" w:history="1">
        <w:r w:rsidR="00A33A0D" w:rsidRPr="00FD2FC2">
          <w:rPr>
            <w:rStyle w:val="Hyperlink"/>
            <w:noProof/>
          </w:rPr>
          <w:t>Table 74: Average improvement in K10 outcome measures in young people completing the follow up survey</w:t>
        </w:r>
        <w:r w:rsidR="00A33A0D">
          <w:rPr>
            <w:noProof/>
            <w:webHidden/>
          </w:rPr>
          <w:tab/>
        </w:r>
        <w:r w:rsidR="00A33A0D">
          <w:rPr>
            <w:noProof/>
            <w:webHidden/>
          </w:rPr>
          <w:fldChar w:fldCharType="begin"/>
        </w:r>
        <w:r w:rsidR="00A33A0D">
          <w:rPr>
            <w:noProof/>
            <w:webHidden/>
          </w:rPr>
          <w:instrText xml:space="preserve"> PAGEREF _Toc108109024 \h </w:instrText>
        </w:r>
        <w:r w:rsidR="00A33A0D">
          <w:rPr>
            <w:noProof/>
            <w:webHidden/>
          </w:rPr>
        </w:r>
        <w:r w:rsidR="00A33A0D">
          <w:rPr>
            <w:noProof/>
            <w:webHidden/>
          </w:rPr>
          <w:fldChar w:fldCharType="separate"/>
        </w:r>
        <w:r w:rsidR="00CC0438">
          <w:rPr>
            <w:noProof/>
            <w:webHidden/>
          </w:rPr>
          <w:t>309</w:t>
        </w:r>
        <w:r w:rsidR="00A33A0D">
          <w:rPr>
            <w:noProof/>
            <w:webHidden/>
          </w:rPr>
          <w:fldChar w:fldCharType="end"/>
        </w:r>
      </w:hyperlink>
    </w:p>
    <w:p w14:paraId="0C51CB90" w14:textId="61AFFFE1"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5" w:history="1">
        <w:r w:rsidR="00A33A0D" w:rsidRPr="00FD2FC2">
          <w:rPr>
            <w:rStyle w:val="Hyperlink"/>
            <w:noProof/>
          </w:rPr>
          <w:t>Table 75: Number of follow up survey responses</w:t>
        </w:r>
        <w:r w:rsidR="00A33A0D">
          <w:rPr>
            <w:noProof/>
            <w:webHidden/>
          </w:rPr>
          <w:tab/>
        </w:r>
        <w:r w:rsidR="00A33A0D">
          <w:rPr>
            <w:noProof/>
            <w:webHidden/>
          </w:rPr>
          <w:fldChar w:fldCharType="begin"/>
        </w:r>
        <w:r w:rsidR="00A33A0D">
          <w:rPr>
            <w:noProof/>
            <w:webHidden/>
          </w:rPr>
          <w:instrText xml:space="preserve"> PAGEREF _Toc108109025 \h </w:instrText>
        </w:r>
        <w:r w:rsidR="00A33A0D">
          <w:rPr>
            <w:noProof/>
            <w:webHidden/>
          </w:rPr>
        </w:r>
        <w:r w:rsidR="00A33A0D">
          <w:rPr>
            <w:noProof/>
            <w:webHidden/>
          </w:rPr>
          <w:fldChar w:fldCharType="separate"/>
        </w:r>
        <w:r w:rsidR="00CC0438">
          <w:rPr>
            <w:noProof/>
            <w:webHidden/>
          </w:rPr>
          <w:t>310</w:t>
        </w:r>
        <w:r w:rsidR="00A33A0D">
          <w:rPr>
            <w:noProof/>
            <w:webHidden/>
          </w:rPr>
          <w:fldChar w:fldCharType="end"/>
        </w:r>
      </w:hyperlink>
    </w:p>
    <w:p w14:paraId="38FB00CC" w14:textId="4961B3C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6" w:history="1">
        <w:r w:rsidR="00A33A0D" w:rsidRPr="00FD2FC2">
          <w:rPr>
            <w:rStyle w:val="Hyperlink"/>
            <w:noProof/>
          </w:rPr>
          <w:t>Table 76: Outcome measures</w:t>
        </w:r>
        <w:r w:rsidR="00A33A0D">
          <w:rPr>
            <w:noProof/>
            <w:webHidden/>
          </w:rPr>
          <w:tab/>
        </w:r>
        <w:r w:rsidR="00A33A0D">
          <w:rPr>
            <w:noProof/>
            <w:webHidden/>
          </w:rPr>
          <w:fldChar w:fldCharType="begin"/>
        </w:r>
        <w:r w:rsidR="00A33A0D">
          <w:rPr>
            <w:noProof/>
            <w:webHidden/>
          </w:rPr>
          <w:instrText xml:space="preserve"> PAGEREF _Toc108109026 \h </w:instrText>
        </w:r>
        <w:r w:rsidR="00A33A0D">
          <w:rPr>
            <w:noProof/>
            <w:webHidden/>
          </w:rPr>
        </w:r>
        <w:r w:rsidR="00A33A0D">
          <w:rPr>
            <w:noProof/>
            <w:webHidden/>
          </w:rPr>
          <w:fldChar w:fldCharType="separate"/>
        </w:r>
        <w:r w:rsidR="00CC0438">
          <w:rPr>
            <w:noProof/>
            <w:webHidden/>
          </w:rPr>
          <w:t>312</w:t>
        </w:r>
        <w:r w:rsidR="00A33A0D">
          <w:rPr>
            <w:noProof/>
            <w:webHidden/>
          </w:rPr>
          <w:fldChar w:fldCharType="end"/>
        </w:r>
      </w:hyperlink>
    </w:p>
    <w:p w14:paraId="105A6666" w14:textId="2C27CB07"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7" w:history="1">
        <w:r w:rsidR="00A33A0D" w:rsidRPr="00FD2FC2">
          <w:rPr>
            <w:rStyle w:val="Hyperlink"/>
            <w:noProof/>
          </w:rPr>
          <w:t>Table 77: Difference-in-Difference analysis of the impact of number of headspace services on area-level measures of mental health</w:t>
        </w:r>
        <w:r w:rsidR="00A33A0D">
          <w:rPr>
            <w:noProof/>
            <w:webHidden/>
          </w:rPr>
          <w:tab/>
        </w:r>
        <w:r w:rsidR="00A33A0D">
          <w:rPr>
            <w:noProof/>
            <w:webHidden/>
          </w:rPr>
          <w:fldChar w:fldCharType="begin"/>
        </w:r>
        <w:r w:rsidR="00A33A0D">
          <w:rPr>
            <w:noProof/>
            <w:webHidden/>
          </w:rPr>
          <w:instrText xml:space="preserve"> PAGEREF _Toc108109027 \h </w:instrText>
        </w:r>
        <w:r w:rsidR="00A33A0D">
          <w:rPr>
            <w:noProof/>
            <w:webHidden/>
          </w:rPr>
        </w:r>
        <w:r w:rsidR="00A33A0D">
          <w:rPr>
            <w:noProof/>
            <w:webHidden/>
          </w:rPr>
          <w:fldChar w:fldCharType="separate"/>
        </w:r>
        <w:r w:rsidR="00CC0438">
          <w:rPr>
            <w:noProof/>
            <w:webHidden/>
          </w:rPr>
          <w:t>314</w:t>
        </w:r>
        <w:r w:rsidR="00A33A0D">
          <w:rPr>
            <w:noProof/>
            <w:webHidden/>
          </w:rPr>
          <w:fldChar w:fldCharType="end"/>
        </w:r>
      </w:hyperlink>
    </w:p>
    <w:p w14:paraId="77170881" w14:textId="7DAEF1B2"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8" w:history="1">
        <w:r w:rsidR="00A33A0D" w:rsidRPr="00FD2FC2">
          <w:rPr>
            <w:rStyle w:val="Hyperlink"/>
            <w:noProof/>
          </w:rPr>
          <w:t>Table 78: Difference-in-Difference analysis of the number of headspace clients per 1,000 young people on area-level measures of mental health</w:t>
        </w:r>
        <w:r w:rsidR="00A33A0D">
          <w:rPr>
            <w:noProof/>
            <w:webHidden/>
          </w:rPr>
          <w:tab/>
        </w:r>
        <w:r w:rsidR="00A33A0D">
          <w:rPr>
            <w:noProof/>
            <w:webHidden/>
          </w:rPr>
          <w:fldChar w:fldCharType="begin"/>
        </w:r>
        <w:r w:rsidR="00A33A0D">
          <w:rPr>
            <w:noProof/>
            <w:webHidden/>
          </w:rPr>
          <w:instrText xml:space="preserve"> PAGEREF _Toc108109028 \h </w:instrText>
        </w:r>
        <w:r w:rsidR="00A33A0D">
          <w:rPr>
            <w:noProof/>
            <w:webHidden/>
          </w:rPr>
        </w:r>
        <w:r w:rsidR="00A33A0D">
          <w:rPr>
            <w:noProof/>
            <w:webHidden/>
          </w:rPr>
          <w:fldChar w:fldCharType="separate"/>
        </w:r>
        <w:r w:rsidR="00CC0438">
          <w:rPr>
            <w:noProof/>
            <w:webHidden/>
          </w:rPr>
          <w:t>315</w:t>
        </w:r>
        <w:r w:rsidR="00A33A0D">
          <w:rPr>
            <w:noProof/>
            <w:webHidden/>
          </w:rPr>
          <w:fldChar w:fldCharType="end"/>
        </w:r>
      </w:hyperlink>
    </w:p>
    <w:p w14:paraId="49AE3892" w14:textId="01EEE565"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29" w:history="1">
        <w:r w:rsidR="00A33A0D" w:rsidRPr="00FD2FC2">
          <w:rPr>
            <w:rStyle w:val="Hyperlink"/>
            <w:noProof/>
          </w:rPr>
          <w:t>Table 79: Difference-in-Difference analysis of headspace intensity on area-level measures of mental health</w:t>
        </w:r>
        <w:r w:rsidR="00A33A0D">
          <w:rPr>
            <w:noProof/>
            <w:webHidden/>
          </w:rPr>
          <w:tab/>
        </w:r>
        <w:r w:rsidR="00A33A0D">
          <w:rPr>
            <w:noProof/>
            <w:webHidden/>
          </w:rPr>
          <w:fldChar w:fldCharType="begin"/>
        </w:r>
        <w:r w:rsidR="00A33A0D">
          <w:rPr>
            <w:noProof/>
            <w:webHidden/>
          </w:rPr>
          <w:instrText xml:space="preserve"> PAGEREF _Toc108109029 \h </w:instrText>
        </w:r>
        <w:r w:rsidR="00A33A0D">
          <w:rPr>
            <w:noProof/>
            <w:webHidden/>
          </w:rPr>
        </w:r>
        <w:r w:rsidR="00A33A0D">
          <w:rPr>
            <w:noProof/>
            <w:webHidden/>
          </w:rPr>
          <w:fldChar w:fldCharType="separate"/>
        </w:r>
        <w:r w:rsidR="00CC0438">
          <w:rPr>
            <w:noProof/>
            <w:webHidden/>
          </w:rPr>
          <w:t>316</w:t>
        </w:r>
        <w:r w:rsidR="00A33A0D">
          <w:rPr>
            <w:noProof/>
            <w:webHidden/>
          </w:rPr>
          <w:fldChar w:fldCharType="end"/>
        </w:r>
      </w:hyperlink>
    </w:p>
    <w:p w14:paraId="3BBD0EAF" w14:textId="56545A4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0" w:history="1">
        <w:r w:rsidR="00A33A0D" w:rsidRPr="00FD2FC2">
          <w:rPr>
            <w:rStyle w:val="Hyperlink"/>
            <w:noProof/>
          </w:rPr>
          <w:t>Table 80: Follow up survey responses from 2015-16 to 2019-20.</w:t>
        </w:r>
        <w:r w:rsidR="00A33A0D">
          <w:rPr>
            <w:noProof/>
            <w:webHidden/>
          </w:rPr>
          <w:tab/>
        </w:r>
        <w:r w:rsidR="00A33A0D">
          <w:rPr>
            <w:noProof/>
            <w:webHidden/>
          </w:rPr>
          <w:fldChar w:fldCharType="begin"/>
        </w:r>
        <w:r w:rsidR="00A33A0D">
          <w:rPr>
            <w:noProof/>
            <w:webHidden/>
          </w:rPr>
          <w:instrText xml:space="preserve"> PAGEREF _Toc108109030 \h </w:instrText>
        </w:r>
        <w:r w:rsidR="00A33A0D">
          <w:rPr>
            <w:noProof/>
            <w:webHidden/>
          </w:rPr>
        </w:r>
        <w:r w:rsidR="00A33A0D">
          <w:rPr>
            <w:noProof/>
            <w:webHidden/>
          </w:rPr>
          <w:fldChar w:fldCharType="separate"/>
        </w:r>
        <w:r w:rsidR="00CC0438">
          <w:rPr>
            <w:noProof/>
            <w:webHidden/>
          </w:rPr>
          <w:t>320</w:t>
        </w:r>
        <w:r w:rsidR="00A33A0D">
          <w:rPr>
            <w:noProof/>
            <w:webHidden/>
          </w:rPr>
          <w:fldChar w:fldCharType="end"/>
        </w:r>
      </w:hyperlink>
    </w:p>
    <w:p w14:paraId="5EE91AA7" w14:textId="7B4DFF2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1" w:history="1">
        <w:r w:rsidR="00A33A0D" w:rsidRPr="00FD2FC2">
          <w:rPr>
            <w:rStyle w:val="Hyperlink"/>
            <w:noProof/>
          </w:rPr>
          <w:t>Table 81: Definitions of K10 distress level</w:t>
        </w:r>
        <w:r w:rsidR="00A33A0D">
          <w:rPr>
            <w:noProof/>
            <w:webHidden/>
          </w:rPr>
          <w:tab/>
        </w:r>
        <w:r w:rsidR="00A33A0D">
          <w:rPr>
            <w:noProof/>
            <w:webHidden/>
          </w:rPr>
          <w:fldChar w:fldCharType="begin"/>
        </w:r>
        <w:r w:rsidR="00A33A0D">
          <w:rPr>
            <w:noProof/>
            <w:webHidden/>
          </w:rPr>
          <w:instrText xml:space="preserve"> PAGEREF _Toc108109031 \h </w:instrText>
        </w:r>
        <w:r w:rsidR="00A33A0D">
          <w:rPr>
            <w:noProof/>
            <w:webHidden/>
          </w:rPr>
        </w:r>
        <w:r w:rsidR="00A33A0D">
          <w:rPr>
            <w:noProof/>
            <w:webHidden/>
          </w:rPr>
          <w:fldChar w:fldCharType="separate"/>
        </w:r>
        <w:r w:rsidR="00CC0438">
          <w:rPr>
            <w:noProof/>
            <w:webHidden/>
          </w:rPr>
          <w:t>322</w:t>
        </w:r>
        <w:r w:rsidR="00A33A0D">
          <w:rPr>
            <w:noProof/>
            <w:webHidden/>
          </w:rPr>
          <w:fldChar w:fldCharType="end"/>
        </w:r>
      </w:hyperlink>
    </w:p>
    <w:p w14:paraId="2FB052A8" w14:textId="717B9C6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2" w:history="1">
        <w:r w:rsidR="00A33A0D" w:rsidRPr="00FD2FC2">
          <w:rPr>
            <w:rStyle w:val="Hyperlink"/>
            <w:noProof/>
          </w:rPr>
          <w:t>Table 82: Logit regression of completing the follow up survey</w:t>
        </w:r>
        <w:r w:rsidR="00A33A0D">
          <w:rPr>
            <w:noProof/>
            <w:webHidden/>
          </w:rPr>
          <w:tab/>
        </w:r>
        <w:r w:rsidR="00A33A0D">
          <w:rPr>
            <w:noProof/>
            <w:webHidden/>
          </w:rPr>
          <w:fldChar w:fldCharType="begin"/>
        </w:r>
        <w:r w:rsidR="00A33A0D">
          <w:rPr>
            <w:noProof/>
            <w:webHidden/>
          </w:rPr>
          <w:instrText xml:space="preserve"> PAGEREF _Toc108109032 \h </w:instrText>
        </w:r>
        <w:r w:rsidR="00A33A0D">
          <w:rPr>
            <w:noProof/>
            <w:webHidden/>
          </w:rPr>
        </w:r>
        <w:r w:rsidR="00A33A0D">
          <w:rPr>
            <w:noProof/>
            <w:webHidden/>
          </w:rPr>
          <w:fldChar w:fldCharType="separate"/>
        </w:r>
        <w:r w:rsidR="00CC0438">
          <w:rPr>
            <w:noProof/>
            <w:webHidden/>
          </w:rPr>
          <w:t>324</w:t>
        </w:r>
        <w:r w:rsidR="00A33A0D">
          <w:rPr>
            <w:noProof/>
            <w:webHidden/>
          </w:rPr>
          <w:fldChar w:fldCharType="end"/>
        </w:r>
      </w:hyperlink>
    </w:p>
    <w:p w14:paraId="1A5FD6A4" w14:textId="4247E289"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3" w:history="1">
        <w:r w:rsidR="00A33A0D" w:rsidRPr="00FD2FC2">
          <w:rPr>
            <w:rStyle w:val="Hyperlink"/>
            <w:noProof/>
          </w:rPr>
          <w:t>Table 83: Extrapolation of the K10 score at the follow up</w:t>
        </w:r>
        <w:r w:rsidR="00A33A0D">
          <w:rPr>
            <w:noProof/>
            <w:webHidden/>
          </w:rPr>
          <w:tab/>
        </w:r>
        <w:r w:rsidR="00A33A0D">
          <w:rPr>
            <w:noProof/>
            <w:webHidden/>
          </w:rPr>
          <w:fldChar w:fldCharType="begin"/>
        </w:r>
        <w:r w:rsidR="00A33A0D">
          <w:rPr>
            <w:noProof/>
            <w:webHidden/>
          </w:rPr>
          <w:instrText xml:space="preserve"> PAGEREF _Toc108109033 \h </w:instrText>
        </w:r>
        <w:r w:rsidR="00A33A0D">
          <w:rPr>
            <w:noProof/>
            <w:webHidden/>
          </w:rPr>
        </w:r>
        <w:r w:rsidR="00A33A0D">
          <w:rPr>
            <w:noProof/>
            <w:webHidden/>
          </w:rPr>
          <w:fldChar w:fldCharType="separate"/>
        </w:r>
        <w:r w:rsidR="00CC0438">
          <w:rPr>
            <w:noProof/>
            <w:webHidden/>
          </w:rPr>
          <w:t>326</w:t>
        </w:r>
        <w:r w:rsidR="00A33A0D">
          <w:rPr>
            <w:noProof/>
            <w:webHidden/>
          </w:rPr>
          <w:fldChar w:fldCharType="end"/>
        </w:r>
      </w:hyperlink>
    </w:p>
    <w:p w14:paraId="69BA22B9" w14:textId="2234A108"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4" w:history="1">
        <w:r w:rsidR="00A33A0D" w:rsidRPr="00FD2FC2">
          <w:rPr>
            <w:rStyle w:val="Hyperlink"/>
            <w:noProof/>
          </w:rPr>
          <w:t>Table 84: Volume-weight average of equivalent MBS benefit fees</w:t>
        </w:r>
        <w:r w:rsidR="00A33A0D">
          <w:rPr>
            <w:noProof/>
            <w:webHidden/>
          </w:rPr>
          <w:tab/>
        </w:r>
        <w:r w:rsidR="00A33A0D">
          <w:rPr>
            <w:noProof/>
            <w:webHidden/>
          </w:rPr>
          <w:fldChar w:fldCharType="begin"/>
        </w:r>
        <w:r w:rsidR="00A33A0D">
          <w:rPr>
            <w:noProof/>
            <w:webHidden/>
          </w:rPr>
          <w:instrText xml:space="preserve"> PAGEREF _Toc108109034 \h </w:instrText>
        </w:r>
        <w:r w:rsidR="00A33A0D">
          <w:rPr>
            <w:noProof/>
            <w:webHidden/>
          </w:rPr>
        </w:r>
        <w:r w:rsidR="00A33A0D">
          <w:rPr>
            <w:noProof/>
            <w:webHidden/>
          </w:rPr>
          <w:fldChar w:fldCharType="separate"/>
        </w:r>
        <w:r w:rsidR="00CC0438">
          <w:rPr>
            <w:noProof/>
            <w:webHidden/>
          </w:rPr>
          <w:t>329</w:t>
        </w:r>
        <w:r w:rsidR="00A33A0D">
          <w:rPr>
            <w:noProof/>
            <w:webHidden/>
          </w:rPr>
          <w:fldChar w:fldCharType="end"/>
        </w:r>
      </w:hyperlink>
    </w:p>
    <w:p w14:paraId="24D3088C" w14:textId="563EC3F8"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5" w:history="1">
        <w:r w:rsidR="00A33A0D" w:rsidRPr="00FD2FC2">
          <w:rPr>
            <w:rStyle w:val="Hyperlink"/>
            <w:noProof/>
          </w:rPr>
          <w:t>Table 85: headspace OOS cost determination</w:t>
        </w:r>
        <w:r w:rsidR="00A33A0D">
          <w:rPr>
            <w:noProof/>
            <w:webHidden/>
          </w:rPr>
          <w:tab/>
        </w:r>
        <w:r w:rsidR="00A33A0D">
          <w:rPr>
            <w:noProof/>
            <w:webHidden/>
          </w:rPr>
          <w:fldChar w:fldCharType="begin"/>
        </w:r>
        <w:r w:rsidR="00A33A0D">
          <w:rPr>
            <w:noProof/>
            <w:webHidden/>
          </w:rPr>
          <w:instrText xml:space="preserve"> PAGEREF _Toc108109035 \h </w:instrText>
        </w:r>
        <w:r w:rsidR="00A33A0D">
          <w:rPr>
            <w:noProof/>
            <w:webHidden/>
          </w:rPr>
        </w:r>
        <w:r w:rsidR="00A33A0D">
          <w:rPr>
            <w:noProof/>
            <w:webHidden/>
          </w:rPr>
          <w:fldChar w:fldCharType="separate"/>
        </w:r>
        <w:r w:rsidR="00CC0438">
          <w:rPr>
            <w:noProof/>
            <w:webHidden/>
          </w:rPr>
          <w:t>330</w:t>
        </w:r>
        <w:r w:rsidR="00A33A0D">
          <w:rPr>
            <w:noProof/>
            <w:webHidden/>
          </w:rPr>
          <w:fldChar w:fldCharType="end"/>
        </w:r>
      </w:hyperlink>
    </w:p>
    <w:p w14:paraId="4EFBA791" w14:textId="73C0EC58"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6" w:history="1">
        <w:r w:rsidR="00A33A0D" w:rsidRPr="00FD2FC2">
          <w:rPr>
            <w:rStyle w:val="Hyperlink"/>
            <w:noProof/>
          </w:rPr>
          <w:t>Table 86: Determination of mental health and substance abuse hospitalisation costs</w:t>
        </w:r>
        <w:r w:rsidR="00A33A0D">
          <w:rPr>
            <w:noProof/>
            <w:webHidden/>
          </w:rPr>
          <w:tab/>
        </w:r>
        <w:r w:rsidR="00A33A0D">
          <w:rPr>
            <w:noProof/>
            <w:webHidden/>
          </w:rPr>
          <w:fldChar w:fldCharType="begin"/>
        </w:r>
        <w:r w:rsidR="00A33A0D">
          <w:rPr>
            <w:noProof/>
            <w:webHidden/>
          </w:rPr>
          <w:instrText xml:space="preserve"> PAGEREF _Toc108109036 \h </w:instrText>
        </w:r>
        <w:r w:rsidR="00A33A0D">
          <w:rPr>
            <w:noProof/>
            <w:webHidden/>
          </w:rPr>
        </w:r>
        <w:r w:rsidR="00A33A0D">
          <w:rPr>
            <w:noProof/>
            <w:webHidden/>
          </w:rPr>
          <w:fldChar w:fldCharType="separate"/>
        </w:r>
        <w:r w:rsidR="00CC0438">
          <w:rPr>
            <w:noProof/>
            <w:webHidden/>
          </w:rPr>
          <w:t>331</w:t>
        </w:r>
        <w:r w:rsidR="00A33A0D">
          <w:rPr>
            <w:noProof/>
            <w:webHidden/>
          </w:rPr>
          <w:fldChar w:fldCharType="end"/>
        </w:r>
      </w:hyperlink>
    </w:p>
    <w:p w14:paraId="2758552C" w14:textId="3CB0F70B"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7" w:history="1">
        <w:r w:rsidR="00A33A0D" w:rsidRPr="00FD2FC2">
          <w:rPr>
            <w:rStyle w:val="Hyperlink"/>
            <w:noProof/>
          </w:rPr>
          <w:t xml:space="preserve">Table 87: </w:t>
        </w:r>
        <w:r w:rsidR="00A33A0D" w:rsidRPr="00FD2FC2">
          <w:rPr>
            <w:rStyle w:val="Hyperlink"/>
            <w:rFonts w:eastAsia="Univers 45 Light" w:cs="Univers 45 Light"/>
            <w:noProof/>
          </w:rPr>
          <w:t>Average QALY gain for closed episodes in 2019-20</w:t>
        </w:r>
        <w:r w:rsidR="00A33A0D">
          <w:rPr>
            <w:noProof/>
            <w:webHidden/>
          </w:rPr>
          <w:tab/>
        </w:r>
        <w:r w:rsidR="00A33A0D">
          <w:rPr>
            <w:noProof/>
            <w:webHidden/>
          </w:rPr>
          <w:fldChar w:fldCharType="begin"/>
        </w:r>
        <w:r w:rsidR="00A33A0D">
          <w:rPr>
            <w:noProof/>
            <w:webHidden/>
          </w:rPr>
          <w:instrText xml:space="preserve"> PAGEREF _Toc108109037 \h </w:instrText>
        </w:r>
        <w:r w:rsidR="00A33A0D">
          <w:rPr>
            <w:noProof/>
            <w:webHidden/>
          </w:rPr>
        </w:r>
        <w:r w:rsidR="00A33A0D">
          <w:rPr>
            <w:noProof/>
            <w:webHidden/>
          </w:rPr>
          <w:fldChar w:fldCharType="separate"/>
        </w:r>
        <w:r w:rsidR="00CC0438">
          <w:rPr>
            <w:noProof/>
            <w:webHidden/>
          </w:rPr>
          <w:t>334</w:t>
        </w:r>
        <w:r w:rsidR="00A33A0D">
          <w:rPr>
            <w:noProof/>
            <w:webHidden/>
          </w:rPr>
          <w:fldChar w:fldCharType="end"/>
        </w:r>
      </w:hyperlink>
    </w:p>
    <w:p w14:paraId="02C83741" w14:textId="2BBA9F60"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8" w:history="1">
        <w:r w:rsidR="00A33A0D" w:rsidRPr="00FD2FC2">
          <w:rPr>
            <w:rStyle w:val="Hyperlink"/>
            <w:noProof/>
          </w:rPr>
          <w:t xml:space="preserve">Table 88: </w:t>
        </w:r>
        <w:r w:rsidR="00A33A0D" w:rsidRPr="00FD2FC2">
          <w:rPr>
            <w:rStyle w:val="Hyperlink"/>
            <w:rFonts w:eastAsia="Univers 45 Light" w:cs="Univers 45 Light"/>
            <w:noProof/>
          </w:rPr>
          <w:t>Average costs and QALYs gained per episode in the world without headspace</w:t>
        </w:r>
        <w:r w:rsidR="00A33A0D">
          <w:rPr>
            <w:noProof/>
            <w:webHidden/>
          </w:rPr>
          <w:tab/>
        </w:r>
        <w:r w:rsidR="00A33A0D">
          <w:rPr>
            <w:noProof/>
            <w:webHidden/>
          </w:rPr>
          <w:fldChar w:fldCharType="begin"/>
        </w:r>
        <w:r w:rsidR="00A33A0D">
          <w:rPr>
            <w:noProof/>
            <w:webHidden/>
          </w:rPr>
          <w:instrText xml:space="preserve"> PAGEREF _Toc108109038 \h </w:instrText>
        </w:r>
        <w:r w:rsidR="00A33A0D">
          <w:rPr>
            <w:noProof/>
            <w:webHidden/>
          </w:rPr>
        </w:r>
        <w:r w:rsidR="00A33A0D">
          <w:rPr>
            <w:noProof/>
            <w:webHidden/>
          </w:rPr>
          <w:fldChar w:fldCharType="separate"/>
        </w:r>
        <w:r w:rsidR="00CC0438">
          <w:rPr>
            <w:noProof/>
            <w:webHidden/>
          </w:rPr>
          <w:t>335</w:t>
        </w:r>
        <w:r w:rsidR="00A33A0D">
          <w:rPr>
            <w:noProof/>
            <w:webHidden/>
          </w:rPr>
          <w:fldChar w:fldCharType="end"/>
        </w:r>
      </w:hyperlink>
    </w:p>
    <w:p w14:paraId="55FC69EA" w14:textId="38A0520A" w:rsidR="00A33A0D" w:rsidRDefault="00F333C3">
      <w:pPr>
        <w:pStyle w:val="TableofFigures"/>
        <w:tabs>
          <w:tab w:val="right" w:leader="dot" w:pos="9016"/>
        </w:tabs>
        <w:rPr>
          <w:rFonts w:asciiTheme="minorHAnsi" w:eastAsiaTheme="minorEastAsia" w:hAnsiTheme="minorHAnsi"/>
          <w:noProof/>
          <w:sz w:val="22"/>
          <w:lang w:eastAsia="en-AU"/>
        </w:rPr>
      </w:pPr>
      <w:hyperlink w:anchor="_Toc108109039" w:history="1">
        <w:r w:rsidR="00A33A0D" w:rsidRPr="00FD2FC2">
          <w:rPr>
            <w:rStyle w:val="Hyperlink"/>
            <w:noProof/>
          </w:rPr>
          <w:t>Table 89: Input values used in the economic evaluation</w:t>
        </w:r>
        <w:r w:rsidR="00A33A0D">
          <w:rPr>
            <w:noProof/>
            <w:webHidden/>
          </w:rPr>
          <w:tab/>
        </w:r>
        <w:r w:rsidR="00A33A0D">
          <w:rPr>
            <w:noProof/>
            <w:webHidden/>
          </w:rPr>
          <w:fldChar w:fldCharType="begin"/>
        </w:r>
        <w:r w:rsidR="00A33A0D">
          <w:rPr>
            <w:noProof/>
            <w:webHidden/>
          </w:rPr>
          <w:instrText xml:space="preserve"> PAGEREF _Toc108109039 \h </w:instrText>
        </w:r>
        <w:r w:rsidR="00A33A0D">
          <w:rPr>
            <w:noProof/>
            <w:webHidden/>
          </w:rPr>
        </w:r>
        <w:r w:rsidR="00A33A0D">
          <w:rPr>
            <w:noProof/>
            <w:webHidden/>
          </w:rPr>
          <w:fldChar w:fldCharType="separate"/>
        </w:r>
        <w:r w:rsidR="00CC0438">
          <w:rPr>
            <w:noProof/>
            <w:webHidden/>
          </w:rPr>
          <w:t>336</w:t>
        </w:r>
        <w:r w:rsidR="00A33A0D">
          <w:rPr>
            <w:noProof/>
            <w:webHidden/>
          </w:rPr>
          <w:fldChar w:fldCharType="end"/>
        </w:r>
      </w:hyperlink>
    </w:p>
    <w:p w14:paraId="37672612" w14:textId="4F7823C8" w:rsidR="00D4791D" w:rsidRDefault="00541293" w:rsidP="00F70AEA">
      <w:pPr>
        <w:pStyle w:val="TableofFigures"/>
        <w:tabs>
          <w:tab w:val="right" w:leader="dot" w:pos="9060"/>
        </w:tabs>
      </w:pPr>
      <w:r>
        <w:fldChar w:fldCharType="end"/>
      </w:r>
    </w:p>
    <w:p w14:paraId="0B2C4F38" w14:textId="77777777" w:rsidR="004D3D16" w:rsidRPr="001D6913" w:rsidRDefault="004D3D16" w:rsidP="00A45C32">
      <w:pPr>
        <w:pStyle w:val="HeadingLevel1NoNumber"/>
      </w:pPr>
      <w:bookmarkStart w:id="5" w:name="_Toc108173966"/>
      <w:r w:rsidRPr="001D6913">
        <w:t xml:space="preserve">Index of </w:t>
      </w:r>
      <w:r w:rsidRPr="00C11C70">
        <w:t>Figures</w:t>
      </w:r>
      <w:bookmarkStart w:id="6" w:name="IndexFigures"/>
      <w:bookmarkEnd w:id="5"/>
      <w:bookmarkEnd w:id="6"/>
    </w:p>
    <w:p w14:paraId="272485C8" w14:textId="0E9FC588" w:rsidR="003C00EA" w:rsidRDefault="00541293">
      <w:pPr>
        <w:pStyle w:val="TableofFigures"/>
        <w:tabs>
          <w:tab w:val="right" w:leader="dot" w:pos="9016"/>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08109186" w:history="1">
        <w:r w:rsidR="003C00EA" w:rsidRPr="0012554A">
          <w:rPr>
            <w:rStyle w:val="Hyperlink"/>
            <w:noProof/>
          </w:rPr>
          <w:t>Figure 1: Summary of the headspace program logic</w:t>
        </w:r>
        <w:r w:rsidR="003C00EA">
          <w:rPr>
            <w:noProof/>
            <w:webHidden/>
          </w:rPr>
          <w:tab/>
        </w:r>
        <w:r w:rsidR="003C00EA">
          <w:rPr>
            <w:noProof/>
            <w:webHidden/>
          </w:rPr>
          <w:fldChar w:fldCharType="begin"/>
        </w:r>
        <w:r w:rsidR="003C00EA">
          <w:rPr>
            <w:noProof/>
            <w:webHidden/>
          </w:rPr>
          <w:instrText xml:space="preserve"> PAGEREF _Toc108109186 \h </w:instrText>
        </w:r>
        <w:r w:rsidR="003C00EA">
          <w:rPr>
            <w:noProof/>
            <w:webHidden/>
          </w:rPr>
        </w:r>
        <w:r w:rsidR="003C00EA">
          <w:rPr>
            <w:noProof/>
            <w:webHidden/>
          </w:rPr>
          <w:fldChar w:fldCharType="separate"/>
        </w:r>
        <w:r w:rsidR="00CC0438">
          <w:rPr>
            <w:noProof/>
            <w:webHidden/>
          </w:rPr>
          <w:t>11</w:t>
        </w:r>
        <w:r w:rsidR="003C00EA">
          <w:rPr>
            <w:noProof/>
            <w:webHidden/>
          </w:rPr>
          <w:fldChar w:fldCharType="end"/>
        </w:r>
      </w:hyperlink>
    </w:p>
    <w:p w14:paraId="3F2D1842" w14:textId="4BFC0A87"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87" w:history="1">
        <w:r w:rsidR="003C00EA" w:rsidRPr="0012554A">
          <w:rPr>
            <w:rStyle w:val="Hyperlink"/>
            <w:noProof/>
          </w:rPr>
          <w:t>Figure 2: Overview of the evaluation design</w:t>
        </w:r>
        <w:r w:rsidR="003C00EA">
          <w:rPr>
            <w:noProof/>
            <w:webHidden/>
          </w:rPr>
          <w:tab/>
        </w:r>
        <w:r w:rsidR="003C00EA">
          <w:rPr>
            <w:noProof/>
            <w:webHidden/>
          </w:rPr>
          <w:fldChar w:fldCharType="begin"/>
        </w:r>
        <w:r w:rsidR="003C00EA">
          <w:rPr>
            <w:noProof/>
            <w:webHidden/>
          </w:rPr>
          <w:instrText xml:space="preserve"> PAGEREF _Toc108109187 \h </w:instrText>
        </w:r>
        <w:r w:rsidR="003C00EA">
          <w:rPr>
            <w:noProof/>
            <w:webHidden/>
          </w:rPr>
        </w:r>
        <w:r w:rsidR="003C00EA">
          <w:rPr>
            <w:noProof/>
            <w:webHidden/>
          </w:rPr>
          <w:fldChar w:fldCharType="separate"/>
        </w:r>
        <w:r w:rsidR="00CC0438">
          <w:rPr>
            <w:noProof/>
            <w:webHidden/>
          </w:rPr>
          <w:t>12</w:t>
        </w:r>
        <w:r w:rsidR="003C00EA">
          <w:rPr>
            <w:noProof/>
            <w:webHidden/>
          </w:rPr>
          <w:fldChar w:fldCharType="end"/>
        </w:r>
      </w:hyperlink>
    </w:p>
    <w:p w14:paraId="40086435" w14:textId="1461EBE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88" w:history="1">
        <w:r w:rsidR="003C00EA" w:rsidRPr="0012554A">
          <w:rPr>
            <w:rStyle w:val="Hyperlink"/>
            <w:noProof/>
          </w:rPr>
          <w:t>Figure 3: Findings at a glance</w:t>
        </w:r>
        <w:r w:rsidR="003C00EA">
          <w:rPr>
            <w:noProof/>
            <w:webHidden/>
          </w:rPr>
          <w:tab/>
        </w:r>
        <w:r w:rsidR="003C00EA">
          <w:rPr>
            <w:noProof/>
            <w:webHidden/>
          </w:rPr>
          <w:fldChar w:fldCharType="begin"/>
        </w:r>
        <w:r w:rsidR="003C00EA">
          <w:rPr>
            <w:noProof/>
            <w:webHidden/>
          </w:rPr>
          <w:instrText xml:space="preserve"> PAGEREF _Toc108109188 \h </w:instrText>
        </w:r>
        <w:r w:rsidR="003C00EA">
          <w:rPr>
            <w:noProof/>
            <w:webHidden/>
          </w:rPr>
        </w:r>
        <w:r w:rsidR="003C00EA">
          <w:rPr>
            <w:noProof/>
            <w:webHidden/>
          </w:rPr>
          <w:fldChar w:fldCharType="separate"/>
        </w:r>
        <w:r w:rsidR="00CC0438">
          <w:rPr>
            <w:noProof/>
            <w:webHidden/>
          </w:rPr>
          <w:t>16</w:t>
        </w:r>
        <w:r w:rsidR="003C00EA">
          <w:rPr>
            <w:noProof/>
            <w:webHidden/>
          </w:rPr>
          <w:fldChar w:fldCharType="end"/>
        </w:r>
      </w:hyperlink>
    </w:p>
    <w:p w14:paraId="1CF922FE" w14:textId="154D7324"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89" w:history="1">
        <w:r w:rsidR="003C00EA" w:rsidRPr="0012554A">
          <w:rPr>
            <w:rStyle w:val="Hyperlink"/>
            <w:noProof/>
          </w:rPr>
          <w:t>Figure 4: Outcome areas in scope for this evaluation</w:t>
        </w:r>
        <w:r w:rsidR="003C00EA">
          <w:rPr>
            <w:noProof/>
            <w:webHidden/>
          </w:rPr>
          <w:tab/>
        </w:r>
        <w:r w:rsidR="003C00EA">
          <w:rPr>
            <w:noProof/>
            <w:webHidden/>
          </w:rPr>
          <w:fldChar w:fldCharType="begin"/>
        </w:r>
        <w:r w:rsidR="003C00EA">
          <w:rPr>
            <w:noProof/>
            <w:webHidden/>
          </w:rPr>
          <w:instrText xml:space="preserve"> PAGEREF _Toc108109189 \h </w:instrText>
        </w:r>
        <w:r w:rsidR="003C00EA">
          <w:rPr>
            <w:noProof/>
            <w:webHidden/>
          </w:rPr>
        </w:r>
        <w:r w:rsidR="003C00EA">
          <w:rPr>
            <w:noProof/>
            <w:webHidden/>
          </w:rPr>
          <w:fldChar w:fldCharType="separate"/>
        </w:r>
        <w:r w:rsidR="00CC0438">
          <w:rPr>
            <w:noProof/>
            <w:webHidden/>
          </w:rPr>
          <w:t>18</w:t>
        </w:r>
        <w:r w:rsidR="003C00EA">
          <w:rPr>
            <w:noProof/>
            <w:webHidden/>
          </w:rPr>
          <w:fldChar w:fldCharType="end"/>
        </w:r>
      </w:hyperlink>
    </w:p>
    <w:p w14:paraId="1CC026AB" w14:textId="5853B5B8"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0" w:history="1">
        <w:r w:rsidR="003C00EA" w:rsidRPr="0012554A">
          <w:rPr>
            <w:rStyle w:val="Hyperlink"/>
            <w:noProof/>
          </w:rPr>
          <w:t>Figure 5: Overview of the evaluation design</w:t>
        </w:r>
        <w:r w:rsidR="003C00EA">
          <w:rPr>
            <w:noProof/>
            <w:webHidden/>
          </w:rPr>
          <w:tab/>
        </w:r>
        <w:r w:rsidR="003C00EA">
          <w:rPr>
            <w:noProof/>
            <w:webHidden/>
          </w:rPr>
          <w:fldChar w:fldCharType="begin"/>
        </w:r>
        <w:r w:rsidR="003C00EA">
          <w:rPr>
            <w:noProof/>
            <w:webHidden/>
          </w:rPr>
          <w:instrText xml:space="preserve"> PAGEREF _Toc108109190 \h </w:instrText>
        </w:r>
        <w:r w:rsidR="003C00EA">
          <w:rPr>
            <w:noProof/>
            <w:webHidden/>
          </w:rPr>
        </w:r>
        <w:r w:rsidR="003C00EA">
          <w:rPr>
            <w:noProof/>
            <w:webHidden/>
          </w:rPr>
          <w:fldChar w:fldCharType="separate"/>
        </w:r>
        <w:r w:rsidR="00CC0438">
          <w:rPr>
            <w:noProof/>
            <w:webHidden/>
          </w:rPr>
          <w:t>29</w:t>
        </w:r>
        <w:r w:rsidR="003C00EA">
          <w:rPr>
            <w:noProof/>
            <w:webHidden/>
          </w:rPr>
          <w:fldChar w:fldCharType="end"/>
        </w:r>
      </w:hyperlink>
    </w:p>
    <w:p w14:paraId="12983109" w14:textId="2A15E5CD"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1" w:history="1">
        <w:r w:rsidR="003C00EA" w:rsidRPr="0012554A">
          <w:rPr>
            <w:rStyle w:val="Hyperlink"/>
            <w:noProof/>
          </w:rPr>
          <w:t>Figure 6: Summary of the headspace program logic</w:t>
        </w:r>
        <w:r w:rsidR="003C00EA">
          <w:rPr>
            <w:noProof/>
            <w:webHidden/>
          </w:rPr>
          <w:tab/>
        </w:r>
        <w:r w:rsidR="003C00EA">
          <w:rPr>
            <w:noProof/>
            <w:webHidden/>
          </w:rPr>
          <w:fldChar w:fldCharType="begin"/>
        </w:r>
        <w:r w:rsidR="003C00EA">
          <w:rPr>
            <w:noProof/>
            <w:webHidden/>
          </w:rPr>
          <w:instrText xml:space="preserve"> PAGEREF _Toc108109191 \h </w:instrText>
        </w:r>
        <w:r w:rsidR="003C00EA">
          <w:rPr>
            <w:noProof/>
            <w:webHidden/>
          </w:rPr>
        </w:r>
        <w:r w:rsidR="003C00EA">
          <w:rPr>
            <w:noProof/>
            <w:webHidden/>
          </w:rPr>
          <w:fldChar w:fldCharType="separate"/>
        </w:r>
        <w:r w:rsidR="00CC0438">
          <w:rPr>
            <w:noProof/>
            <w:webHidden/>
          </w:rPr>
          <w:t>34</w:t>
        </w:r>
        <w:r w:rsidR="003C00EA">
          <w:rPr>
            <w:noProof/>
            <w:webHidden/>
          </w:rPr>
          <w:fldChar w:fldCharType="end"/>
        </w:r>
      </w:hyperlink>
    </w:p>
    <w:p w14:paraId="739DE19C" w14:textId="7DB3159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2" w:history="1">
        <w:r w:rsidR="003C00EA" w:rsidRPr="0012554A">
          <w:rPr>
            <w:rStyle w:val="Hyperlink"/>
            <w:noProof/>
          </w:rPr>
          <w:t>Figure 7: headspace governance structure and partners, as at January 2022</w:t>
        </w:r>
        <w:r w:rsidR="003C00EA">
          <w:rPr>
            <w:noProof/>
            <w:webHidden/>
          </w:rPr>
          <w:tab/>
        </w:r>
        <w:r w:rsidR="003C00EA">
          <w:rPr>
            <w:noProof/>
            <w:webHidden/>
          </w:rPr>
          <w:fldChar w:fldCharType="begin"/>
        </w:r>
        <w:r w:rsidR="003C00EA">
          <w:rPr>
            <w:noProof/>
            <w:webHidden/>
          </w:rPr>
          <w:instrText xml:space="preserve"> PAGEREF _Toc108109192 \h </w:instrText>
        </w:r>
        <w:r w:rsidR="003C00EA">
          <w:rPr>
            <w:noProof/>
            <w:webHidden/>
          </w:rPr>
        </w:r>
        <w:r w:rsidR="003C00EA">
          <w:rPr>
            <w:noProof/>
            <w:webHidden/>
          </w:rPr>
          <w:fldChar w:fldCharType="separate"/>
        </w:r>
        <w:r w:rsidR="00CC0438">
          <w:rPr>
            <w:noProof/>
            <w:webHidden/>
          </w:rPr>
          <w:t>52</w:t>
        </w:r>
        <w:r w:rsidR="003C00EA">
          <w:rPr>
            <w:noProof/>
            <w:webHidden/>
          </w:rPr>
          <w:fldChar w:fldCharType="end"/>
        </w:r>
      </w:hyperlink>
    </w:p>
    <w:p w14:paraId="0AE5187C" w14:textId="46FCA137"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3" w:history="1">
        <w:r w:rsidR="003C00EA" w:rsidRPr="0012554A">
          <w:rPr>
            <w:rStyle w:val="Hyperlink"/>
            <w:noProof/>
          </w:rPr>
          <w:t>Figure 8: High level summary of mental health supports available for young people</w:t>
        </w:r>
        <w:r w:rsidR="003C00EA">
          <w:rPr>
            <w:noProof/>
            <w:webHidden/>
          </w:rPr>
          <w:tab/>
        </w:r>
        <w:r w:rsidR="003C00EA">
          <w:rPr>
            <w:noProof/>
            <w:webHidden/>
          </w:rPr>
          <w:fldChar w:fldCharType="begin"/>
        </w:r>
        <w:r w:rsidR="003C00EA">
          <w:rPr>
            <w:noProof/>
            <w:webHidden/>
          </w:rPr>
          <w:instrText xml:space="preserve"> PAGEREF _Toc108109193 \h </w:instrText>
        </w:r>
        <w:r w:rsidR="003C00EA">
          <w:rPr>
            <w:noProof/>
            <w:webHidden/>
          </w:rPr>
        </w:r>
        <w:r w:rsidR="003C00EA">
          <w:rPr>
            <w:noProof/>
            <w:webHidden/>
          </w:rPr>
          <w:fldChar w:fldCharType="separate"/>
        </w:r>
        <w:r w:rsidR="00CC0438">
          <w:rPr>
            <w:noProof/>
            <w:webHidden/>
          </w:rPr>
          <w:t>56</w:t>
        </w:r>
        <w:r w:rsidR="003C00EA">
          <w:rPr>
            <w:noProof/>
            <w:webHidden/>
          </w:rPr>
          <w:fldChar w:fldCharType="end"/>
        </w:r>
      </w:hyperlink>
    </w:p>
    <w:p w14:paraId="11E8F570" w14:textId="70323C92"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4" w:history="1">
        <w:r w:rsidR="003C00EA" w:rsidRPr="0012554A">
          <w:rPr>
            <w:rStyle w:val="Hyperlink"/>
            <w:noProof/>
          </w:rPr>
          <w:t>Figure 9: Proportion of headspace service and lead agency respondents indicating the profession was difficult to access for their local service</w:t>
        </w:r>
        <w:r w:rsidR="003C00EA">
          <w:rPr>
            <w:noProof/>
            <w:webHidden/>
          </w:rPr>
          <w:tab/>
        </w:r>
        <w:r w:rsidR="003C00EA">
          <w:rPr>
            <w:noProof/>
            <w:webHidden/>
          </w:rPr>
          <w:fldChar w:fldCharType="begin"/>
        </w:r>
        <w:r w:rsidR="003C00EA">
          <w:rPr>
            <w:noProof/>
            <w:webHidden/>
          </w:rPr>
          <w:instrText xml:space="preserve"> PAGEREF _Toc108109194 \h </w:instrText>
        </w:r>
        <w:r w:rsidR="003C00EA">
          <w:rPr>
            <w:noProof/>
            <w:webHidden/>
          </w:rPr>
        </w:r>
        <w:r w:rsidR="003C00EA">
          <w:rPr>
            <w:noProof/>
            <w:webHidden/>
          </w:rPr>
          <w:fldChar w:fldCharType="separate"/>
        </w:r>
        <w:r w:rsidR="00CC0438">
          <w:rPr>
            <w:noProof/>
            <w:webHidden/>
          </w:rPr>
          <w:t>63</w:t>
        </w:r>
        <w:r w:rsidR="003C00EA">
          <w:rPr>
            <w:noProof/>
            <w:webHidden/>
          </w:rPr>
          <w:fldChar w:fldCharType="end"/>
        </w:r>
      </w:hyperlink>
    </w:p>
    <w:p w14:paraId="311C797E" w14:textId="169FCCCB"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5" w:history="1">
        <w:r w:rsidR="003C00EA" w:rsidRPr="0012554A">
          <w:rPr>
            <w:rStyle w:val="Hyperlink"/>
            <w:noProof/>
          </w:rPr>
          <w:t>Figure 10: Services provided across every headspace OOS during 2019-20</w:t>
        </w:r>
        <w:r w:rsidR="003C00EA">
          <w:rPr>
            <w:noProof/>
            <w:webHidden/>
          </w:rPr>
          <w:tab/>
        </w:r>
        <w:r w:rsidR="003C00EA">
          <w:rPr>
            <w:noProof/>
            <w:webHidden/>
          </w:rPr>
          <w:fldChar w:fldCharType="begin"/>
        </w:r>
        <w:r w:rsidR="003C00EA">
          <w:rPr>
            <w:noProof/>
            <w:webHidden/>
          </w:rPr>
          <w:instrText xml:space="preserve"> PAGEREF _Toc108109195 \h </w:instrText>
        </w:r>
        <w:r w:rsidR="003C00EA">
          <w:rPr>
            <w:noProof/>
            <w:webHidden/>
          </w:rPr>
        </w:r>
        <w:r w:rsidR="003C00EA">
          <w:rPr>
            <w:noProof/>
            <w:webHidden/>
          </w:rPr>
          <w:fldChar w:fldCharType="separate"/>
        </w:r>
        <w:r w:rsidR="00CC0438">
          <w:rPr>
            <w:noProof/>
            <w:webHidden/>
          </w:rPr>
          <w:t>64</w:t>
        </w:r>
        <w:r w:rsidR="003C00EA">
          <w:rPr>
            <w:noProof/>
            <w:webHidden/>
          </w:rPr>
          <w:fldChar w:fldCharType="end"/>
        </w:r>
      </w:hyperlink>
    </w:p>
    <w:p w14:paraId="2C6DAC45" w14:textId="51756AFD"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6" w:history="1">
        <w:r w:rsidR="003C00EA" w:rsidRPr="0012554A">
          <w:rPr>
            <w:rStyle w:val="Hyperlink"/>
            <w:noProof/>
          </w:rPr>
          <w:t>Figure 11: Services provided across headspace services in 2019-20, by service type</w:t>
        </w:r>
        <w:r w:rsidR="003C00EA">
          <w:rPr>
            <w:noProof/>
            <w:webHidden/>
          </w:rPr>
          <w:tab/>
        </w:r>
        <w:r w:rsidR="003C00EA">
          <w:rPr>
            <w:noProof/>
            <w:webHidden/>
          </w:rPr>
          <w:fldChar w:fldCharType="begin"/>
        </w:r>
        <w:r w:rsidR="003C00EA">
          <w:rPr>
            <w:noProof/>
            <w:webHidden/>
          </w:rPr>
          <w:instrText xml:space="preserve"> PAGEREF _Toc108109196 \h </w:instrText>
        </w:r>
        <w:r w:rsidR="003C00EA">
          <w:rPr>
            <w:noProof/>
            <w:webHidden/>
          </w:rPr>
        </w:r>
        <w:r w:rsidR="003C00EA">
          <w:rPr>
            <w:noProof/>
            <w:webHidden/>
          </w:rPr>
          <w:fldChar w:fldCharType="separate"/>
        </w:r>
        <w:r w:rsidR="00CC0438">
          <w:rPr>
            <w:noProof/>
            <w:webHidden/>
          </w:rPr>
          <w:t>65</w:t>
        </w:r>
        <w:r w:rsidR="003C00EA">
          <w:rPr>
            <w:noProof/>
            <w:webHidden/>
          </w:rPr>
          <w:fldChar w:fldCharType="end"/>
        </w:r>
      </w:hyperlink>
    </w:p>
    <w:p w14:paraId="06769036" w14:textId="43D2DC52"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7" w:history="1">
        <w:r w:rsidR="003C00EA" w:rsidRPr="0012554A">
          <w:rPr>
            <w:rStyle w:val="Hyperlink"/>
            <w:noProof/>
          </w:rPr>
          <w:t>Figure 12: Services provided across headspace services in 2019-20, by remoteness of services</w:t>
        </w:r>
        <w:r w:rsidR="003C00EA">
          <w:rPr>
            <w:noProof/>
            <w:webHidden/>
          </w:rPr>
          <w:tab/>
        </w:r>
        <w:r w:rsidR="003C00EA">
          <w:rPr>
            <w:noProof/>
            <w:webHidden/>
          </w:rPr>
          <w:fldChar w:fldCharType="begin"/>
        </w:r>
        <w:r w:rsidR="003C00EA">
          <w:rPr>
            <w:noProof/>
            <w:webHidden/>
          </w:rPr>
          <w:instrText xml:space="preserve"> PAGEREF _Toc108109197 \h </w:instrText>
        </w:r>
        <w:r w:rsidR="003C00EA">
          <w:rPr>
            <w:noProof/>
            <w:webHidden/>
          </w:rPr>
        </w:r>
        <w:r w:rsidR="003C00EA">
          <w:rPr>
            <w:noProof/>
            <w:webHidden/>
          </w:rPr>
          <w:fldChar w:fldCharType="separate"/>
        </w:r>
        <w:r w:rsidR="00CC0438">
          <w:rPr>
            <w:noProof/>
            <w:webHidden/>
          </w:rPr>
          <w:t>66</w:t>
        </w:r>
        <w:r w:rsidR="003C00EA">
          <w:rPr>
            <w:noProof/>
            <w:webHidden/>
          </w:rPr>
          <w:fldChar w:fldCharType="end"/>
        </w:r>
      </w:hyperlink>
    </w:p>
    <w:p w14:paraId="0D87237D" w14:textId="41816D7E"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8" w:history="1">
        <w:r w:rsidR="003C00EA" w:rsidRPr="0012554A">
          <w:rPr>
            <w:rStyle w:val="Hyperlink"/>
            <w:noProof/>
          </w:rPr>
          <w:t>Figure 13: Percentage of episodes of care where young people say 'yes' to having waited too long to be seen at headspace</w:t>
        </w:r>
        <w:r w:rsidR="003C00EA">
          <w:rPr>
            <w:noProof/>
            <w:webHidden/>
          </w:rPr>
          <w:tab/>
        </w:r>
        <w:r w:rsidR="003C00EA">
          <w:rPr>
            <w:noProof/>
            <w:webHidden/>
          </w:rPr>
          <w:fldChar w:fldCharType="begin"/>
        </w:r>
        <w:r w:rsidR="003C00EA">
          <w:rPr>
            <w:noProof/>
            <w:webHidden/>
          </w:rPr>
          <w:instrText xml:space="preserve"> PAGEREF _Toc108109198 \h </w:instrText>
        </w:r>
        <w:r w:rsidR="003C00EA">
          <w:rPr>
            <w:noProof/>
            <w:webHidden/>
          </w:rPr>
        </w:r>
        <w:r w:rsidR="003C00EA">
          <w:rPr>
            <w:noProof/>
            <w:webHidden/>
          </w:rPr>
          <w:fldChar w:fldCharType="separate"/>
        </w:r>
        <w:r w:rsidR="00CC0438">
          <w:rPr>
            <w:noProof/>
            <w:webHidden/>
          </w:rPr>
          <w:t>68</w:t>
        </w:r>
        <w:r w:rsidR="003C00EA">
          <w:rPr>
            <w:noProof/>
            <w:webHidden/>
          </w:rPr>
          <w:fldChar w:fldCharType="end"/>
        </w:r>
      </w:hyperlink>
    </w:p>
    <w:p w14:paraId="14692AE9" w14:textId="7C6AA6D9"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199" w:history="1">
        <w:r w:rsidR="003C00EA" w:rsidRPr="0012554A">
          <w:rPr>
            <w:rStyle w:val="Hyperlink"/>
            <w:noProof/>
          </w:rPr>
          <w:t>Figure 14: Growth in the number of headspace services between 2015-16 to 2019</w:t>
        </w:r>
        <w:r w:rsidR="003C00EA" w:rsidRPr="0012554A">
          <w:rPr>
            <w:rStyle w:val="Hyperlink"/>
            <w:noProof/>
          </w:rPr>
          <w:noBreakHyphen/>
          <w:t>20, by jurisdiction</w:t>
        </w:r>
        <w:r w:rsidR="003C00EA">
          <w:rPr>
            <w:noProof/>
            <w:webHidden/>
          </w:rPr>
          <w:tab/>
        </w:r>
        <w:r w:rsidR="003C00EA">
          <w:rPr>
            <w:noProof/>
            <w:webHidden/>
          </w:rPr>
          <w:fldChar w:fldCharType="begin"/>
        </w:r>
        <w:r w:rsidR="003C00EA">
          <w:rPr>
            <w:noProof/>
            <w:webHidden/>
          </w:rPr>
          <w:instrText xml:space="preserve"> PAGEREF _Toc108109199 \h </w:instrText>
        </w:r>
        <w:r w:rsidR="003C00EA">
          <w:rPr>
            <w:noProof/>
            <w:webHidden/>
          </w:rPr>
        </w:r>
        <w:r w:rsidR="003C00EA">
          <w:rPr>
            <w:noProof/>
            <w:webHidden/>
          </w:rPr>
          <w:fldChar w:fldCharType="separate"/>
        </w:r>
        <w:r w:rsidR="00CC0438">
          <w:rPr>
            <w:noProof/>
            <w:webHidden/>
          </w:rPr>
          <w:t>69</w:t>
        </w:r>
        <w:r w:rsidR="003C00EA">
          <w:rPr>
            <w:noProof/>
            <w:webHidden/>
          </w:rPr>
          <w:fldChar w:fldCharType="end"/>
        </w:r>
      </w:hyperlink>
    </w:p>
    <w:p w14:paraId="219FDE79" w14:textId="01AB7D17"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0" w:history="1">
        <w:r w:rsidR="003C00EA" w:rsidRPr="0012554A">
          <w:rPr>
            <w:rStyle w:val="Hyperlink"/>
            <w:noProof/>
          </w:rPr>
          <w:t>Figure 15: Growth in the number of headspace services between 2015-16 to 2019-20, by remoteness</w:t>
        </w:r>
        <w:r w:rsidR="003C00EA">
          <w:rPr>
            <w:noProof/>
            <w:webHidden/>
          </w:rPr>
          <w:tab/>
        </w:r>
        <w:r w:rsidR="003C00EA">
          <w:rPr>
            <w:noProof/>
            <w:webHidden/>
          </w:rPr>
          <w:fldChar w:fldCharType="begin"/>
        </w:r>
        <w:r w:rsidR="003C00EA">
          <w:rPr>
            <w:noProof/>
            <w:webHidden/>
          </w:rPr>
          <w:instrText xml:space="preserve"> PAGEREF _Toc108109200 \h </w:instrText>
        </w:r>
        <w:r w:rsidR="003C00EA">
          <w:rPr>
            <w:noProof/>
            <w:webHidden/>
          </w:rPr>
        </w:r>
        <w:r w:rsidR="003C00EA">
          <w:rPr>
            <w:noProof/>
            <w:webHidden/>
          </w:rPr>
          <w:fldChar w:fldCharType="separate"/>
        </w:r>
        <w:r w:rsidR="00CC0438">
          <w:rPr>
            <w:noProof/>
            <w:webHidden/>
          </w:rPr>
          <w:t>70</w:t>
        </w:r>
        <w:r w:rsidR="003C00EA">
          <w:rPr>
            <w:noProof/>
            <w:webHidden/>
          </w:rPr>
          <w:fldChar w:fldCharType="end"/>
        </w:r>
      </w:hyperlink>
    </w:p>
    <w:p w14:paraId="0D2699C8" w14:textId="007C9554"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1" w:history="1">
        <w:r w:rsidR="003C00EA" w:rsidRPr="0012554A">
          <w:rPr>
            <w:rStyle w:val="Hyperlink"/>
            <w:noProof/>
          </w:rPr>
          <w:t>Figure 16: Changes in the mix of services provided during each headspace OOS between 2015</w:t>
        </w:r>
        <w:r w:rsidR="003C00EA" w:rsidRPr="0012554A">
          <w:rPr>
            <w:rStyle w:val="Hyperlink"/>
            <w:noProof/>
          </w:rPr>
          <w:noBreakHyphen/>
          <w:t>16 and 2019</w:t>
        </w:r>
        <w:r w:rsidR="003C00EA" w:rsidRPr="0012554A">
          <w:rPr>
            <w:rStyle w:val="Hyperlink"/>
            <w:noProof/>
          </w:rPr>
          <w:noBreakHyphen/>
          <w:t>20</w:t>
        </w:r>
        <w:r w:rsidR="003C00EA">
          <w:rPr>
            <w:noProof/>
            <w:webHidden/>
          </w:rPr>
          <w:tab/>
        </w:r>
        <w:r w:rsidR="003C00EA">
          <w:rPr>
            <w:noProof/>
            <w:webHidden/>
          </w:rPr>
          <w:fldChar w:fldCharType="begin"/>
        </w:r>
        <w:r w:rsidR="003C00EA">
          <w:rPr>
            <w:noProof/>
            <w:webHidden/>
          </w:rPr>
          <w:instrText xml:space="preserve"> PAGEREF _Toc108109201 \h </w:instrText>
        </w:r>
        <w:r w:rsidR="003C00EA">
          <w:rPr>
            <w:noProof/>
            <w:webHidden/>
          </w:rPr>
        </w:r>
        <w:r w:rsidR="003C00EA">
          <w:rPr>
            <w:noProof/>
            <w:webHidden/>
          </w:rPr>
          <w:fldChar w:fldCharType="separate"/>
        </w:r>
        <w:r w:rsidR="00CC0438">
          <w:rPr>
            <w:noProof/>
            <w:webHidden/>
          </w:rPr>
          <w:t>72</w:t>
        </w:r>
        <w:r w:rsidR="003C00EA">
          <w:rPr>
            <w:noProof/>
            <w:webHidden/>
          </w:rPr>
          <w:fldChar w:fldCharType="end"/>
        </w:r>
      </w:hyperlink>
    </w:p>
    <w:p w14:paraId="1CE64E9F" w14:textId="3B5AE053"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2" w:history="1">
        <w:r w:rsidR="003C00EA" w:rsidRPr="0012554A">
          <w:rPr>
            <w:rStyle w:val="Hyperlink"/>
            <w:noProof/>
          </w:rPr>
          <w:t>Figure 17: Changes in the mix of services provided by headspace services between 2015</w:t>
        </w:r>
        <w:r w:rsidR="003C00EA" w:rsidRPr="0012554A">
          <w:rPr>
            <w:rStyle w:val="Hyperlink"/>
            <w:noProof/>
          </w:rPr>
          <w:noBreakHyphen/>
          <w:t>16 and 2019</w:t>
        </w:r>
        <w:r w:rsidR="003C00EA" w:rsidRPr="0012554A">
          <w:rPr>
            <w:rStyle w:val="Hyperlink"/>
            <w:noProof/>
          </w:rPr>
          <w:noBreakHyphen/>
          <w:t>20, by headspace service type</w:t>
        </w:r>
        <w:r w:rsidR="003C00EA">
          <w:rPr>
            <w:noProof/>
            <w:webHidden/>
          </w:rPr>
          <w:tab/>
        </w:r>
        <w:r w:rsidR="003C00EA">
          <w:rPr>
            <w:noProof/>
            <w:webHidden/>
          </w:rPr>
          <w:fldChar w:fldCharType="begin"/>
        </w:r>
        <w:r w:rsidR="003C00EA">
          <w:rPr>
            <w:noProof/>
            <w:webHidden/>
          </w:rPr>
          <w:instrText xml:space="preserve"> PAGEREF _Toc108109202 \h </w:instrText>
        </w:r>
        <w:r w:rsidR="003C00EA">
          <w:rPr>
            <w:noProof/>
            <w:webHidden/>
          </w:rPr>
        </w:r>
        <w:r w:rsidR="003C00EA">
          <w:rPr>
            <w:noProof/>
            <w:webHidden/>
          </w:rPr>
          <w:fldChar w:fldCharType="separate"/>
        </w:r>
        <w:r w:rsidR="00CC0438">
          <w:rPr>
            <w:noProof/>
            <w:webHidden/>
          </w:rPr>
          <w:t>73</w:t>
        </w:r>
        <w:r w:rsidR="003C00EA">
          <w:rPr>
            <w:noProof/>
            <w:webHidden/>
          </w:rPr>
          <w:fldChar w:fldCharType="end"/>
        </w:r>
      </w:hyperlink>
    </w:p>
    <w:p w14:paraId="4A62EFBF" w14:textId="078D547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3" w:history="1">
        <w:r w:rsidR="003C00EA" w:rsidRPr="0012554A">
          <w:rPr>
            <w:rStyle w:val="Hyperlink"/>
            <w:noProof/>
          </w:rPr>
          <w:t>Figure 18: Changes in the mix of services provided by headspace services between 2015</w:t>
        </w:r>
        <w:r w:rsidR="003C00EA" w:rsidRPr="0012554A">
          <w:rPr>
            <w:rStyle w:val="Hyperlink"/>
            <w:noProof/>
          </w:rPr>
          <w:noBreakHyphen/>
          <w:t>16 and 2019</w:t>
        </w:r>
        <w:r w:rsidR="003C00EA" w:rsidRPr="0012554A">
          <w:rPr>
            <w:rStyle w:val="Hyperlink"/>
            <w:noProof/>
          </w:rPr>
          <w:noBreakHyphen/>
          <w:t>20, by service remoteness</w:t>
        </w:r>
        <w:r w:rsidR="003C00EA">
          <w:rPr>
            <w:noProof/>
            <w:webHidden/>
          </w:rPr>
          <w:tab/>
        </w:r>
        <w:r w:rsidR="003C00EA">
          <w:rPr>
            <w:noProof/>
            <w:webHidden/>
          </w:rPr>
          <w:fldChar w:fldCharType="begin"/>
        </w:r>
        <w:r w:rsidR="003C00EA">
          <w:rPr>
            <w:noProof/>
            <w:webHidden/>
          </w:rPr>
          <w:instrText xml:space="preserve"> PAGEREF _Toc108109203 \h </w:instrText>
        </w:r>
        <w:r w:rsidR="003C00EA">
          <w:rPr>
            <w:noProof/>
            <w:webHidden/>
          </w:rPr>
        </w:r>
        <w:r w:rsidR="003C00EA">
          <w:rPr>
            <w:noProof/>
            <w:webHidden/>
          </w:rPr>
          <w:fldChar w:fldCharType="separate"/>
        </w:r>
        <w:r w:rsidR="00CC0438">
          <w:rPr>
            <w:noProof/>
            <w:webHidden/>
          </w:rPr>
          <w:t>74</w:t>
        </w:r>
        <w:r w:rsidR="003C00EA">
          <w:rPr>
            <w:noProof/>
            <w:webHidden/>
          </w:rPr>
          <w:fldChar w:fldCharType="end"/>
        </w:r>
      </w:hyperlink>
    </w:p>
    <w:p w14:paraId="50943EE3" w14:textId="60C5CA8E"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4" w:history="1">
        <w:r w:rsidR="003C00EA" w:rsidRPr="0012554A">
          <w:rPr>
            <w:rStyle w:val="Hyperlink"/>
            <w:noProof/>
          </w:rPr>
          <w:t>Figure 19: Service delivery modality by month from January 2020 to June 2020</w:t>
        </w:r>
        <w:r w:rsidR="003C00EA">
          <w:rPr>
            <w:noProof/>
            <w:webHidden/>
          </w:rPr>
          <w:tab/>
        </w:r>
        <w:r w:rsidR="003C00EA">
          <w:rPr>
            <w:noProof/>
            <w:webHidden/>
          </w:rPr>
          <w:fldChar w:fldCharType="begin"/>
        </w:r>
        <w:r w:rsidR="003C00EA">
          <w:rPr>
            <w:noProof/>
            <w:webHidden/>
          </w:rPr>
          <w:instrText xml:space="preserve"> PAGEREF _Toc108109204 \h </w:instrText>
        </w:r>
        <w:r w:rsidR="003C00EA">
          <w:rPr>
            <w:noProof/>
            <w:webHidden/>
          </w:rPr>
        </w:r>
        <w:r w:rsidR="003C00EA">
          <w:rPr>
            <w:noProof/>
            <w:webHidden/>
          </w:rPr>
          <w:fldChar w:fldCharType="separate"/>
        </w:r>
        <w:r w:rsidR="00CC0438">
          <w:rPr>
            <w:noProof/>
            <w:webHidden/>
          </w:rPr>
          <w:t>75</w:t>
        </w:r>
        <w:r w:rsidR="003C00EA">
          <w:rPr>
            <w:noProof/>
            <w:webHidden/>
          </w:rPr>
          <w:fldChar w:fldCharType="end"/>
        </w:r>
      </w:hyperlink>
    </w:p>
    <w:p w14:paraId="623D75C3" w14:textId="41BF3CC6"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5" w:history="1">
        <w:r w:rsidR="003C00EA" w:rsidRPr="0012554A">
          <w:rPr>
            <w:rStyle w:val="Hyperlink"/>
            <w:noProof/>
          </w:rPr>
          <w:t>Figure 20: National headspace grant funding by service by volume during 2019-20</w:t>
        </w:r>
        <w:r w:rsidR="003C00EA">
          <w:rPr>
            <w:noProof/>
            <w:webHidden/>
          </w:rPr>
          <w:tab/>
        </w:r>
        <w:r w:rsidR="003C00EA">
          <w:rPr>
            <w:noProof/>
            <w:webHidden/>
          </w:rPr>
          <w:fldChar w:fldCharType="begin"/>
        </w:r>
        <w:r w:rsidR="003C00EA">
          <w:rPr>
            <w:noProof/>
            <w:webHidden/>
          </w:rPr>
          <w:instrText xml:space="preserve"> PAGEREF _Toc108109205 \h </w:instrText>
        </w:r>
        <w:r w:rsidR="003C00EA">
          <w:rPr>
            <w:noProof/>
            <w:webHidden/>
          </w:rPr>
        </w:r>
        <w:r w:rsidR="003C00EA">
          <w:rPr>
            <w:noProof/>
            <w:webHidden/>
          </w:rPr>
          <w:fldChar w:fldCharType="separate"/>
        </w:r>
        <w:r w:rsidR="00CC0438">
          <w:rPr>
            <w:noProof/>
            <w:webHidden/>
          </w:rPr>
          <w:t>109</w:t>
        </w:r>
        <w:r w:rsidR="003C00EA">
          <w:rPr>
            <w:noProof/>
            <w:webHidden/>
          </w:rPr>
          <w:fldChar w:fldCharType="end"/>
        </w:r>
      </w:hyperlink>
    </w:p>
    <w:p w14:paraId="6ADB97DF" w14:textId="5CC1193E"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6" w:history="1">
        <w:r w:rsidR="003C00EA" w:rsidRPr="0012554A">
          <w:rPr>
            <w:rStyle w:val="Hyperlink"/>
            <w:noProof/>
          </w:rPr>
          <w:t>Figure 21: Distribution of OOS funding source during 2019-20</w:t>
        </w:r>
        <w:r w:rsidR="003C00EA">
          <w:rPr>
            <w:noProof/>
            <w:webHidden/>
          </w:rPr>
          <w:tab/>
        </w:r>
        <w:r w:rsidR="003C00EA">
          <w:rPr>
            <w:noProof/>
            <w:webHidden/>
          </w:rPr>
          <w:fldChar w:fldCharType="begin"/>
        </w:r>
        <w:r w:rsidR="003C00EA">
          <w:rPr>
            <w:noProof/>
            <w:webHidden/>
          </w:rPr>
          <w:instrText xml:space="preserve"> PAGEREF _Toc108109206 \h </w:instrText>
        </w:r>
        <w:r w:rsidR="003C00EA">
          <w:rPr>
            <w:noProof/>
            <w:webHidden/>
          </w:rPr>
        </w:r>
        <w:r w:rsidR="003C00EA">
          <w:rPr>
            <w:noProof/>
            <w:webHidden/>
          </w:rPr>
          <w:fldChar w:fldCharType="separate"/>
        </w:r>
        <w:r w:rsidR="00CC0438">
          <w:rPr>
            <w:noProof/>
            <w:webHidden/>
          </w:rPr>
          <w:t>110</w:t>
        </w:r>
        <w:r w:rsidR="003C00EA">
          <w:rPr>
            <w:noProof/>
            <w:webHidden/>
          </w:rPr>
          <w:fldChar w:fldCharType="end"/>
        </w:r>
      </w:hyperlink>
    </w:p>
    <w:p w14:paraId="055E44A5" w14:textId="4A7D5DAF"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7" w:history="1">
        <w:r w:rsidR="003C00EA" w:rsidRPr="0012554A">
          <w:rPr>
            <w:rStyle w:val="Hyperlink"/>
            <w:noProof/>
          </w:rPr>
          <w:t>Figure 22: MBS funded OOS by provider type</w:t>
        </w:r>
        <w:r w:rsidR="003C00EA">
          <w:rPr>
            <w:noProof/>
            <w:webHidden/>
          </w:rPr>
          <w:tab/>
        </w:r>
        <w:r w:rsidR="003C00EA">
          <w:rPr>
            <w:noProof/>
            <w:webHidden/>
          </w:rPr>
          <w:fldChar w:fldCharType="begin"/>
        </w:r>
        <w:r w:rsidR="003C00EA">
          <w:rPr>
            <w:noProof/>
            <w:webHidden/>
          </w:rPr>
          <w:instrText xml:space="preserve"> PAGEREF _Toc108109207 \h </w:instrText>
        </w:r>
        <w:r w:rsidR="003C00EA">
          <w:rPr>
            <w:noProof/>
            <w:webHidden/>
          </w:rPr>
        </w:r>
        <w:r w:rsidR="003C00EA">
          <w:rPr>
            <w:noProof/>
            <w:webHidden/>
          </w:rPr>
          <w:fldChar w:fldCharType="separate"/>
        </w:r>
        <w:r w:rsidR="00CC0438">
          <w:rPr>
            <w:noProof/>
            <w:webHidden/>
          </w:rPr>
          <w:t>111</w:t>
        </w:r>
        <w:r w:rsidR="003C00EA">
          <w:rPr>
            <w:noProof/>
            <w:webHidden/>
          </w:rPr>
          <w:fldChar w:fldCharType="end"/>
        </w:r>
      </w:hyperlink>
    </w:p>
    <w:p w14:paraId="0C7C2085" w14:textId="31406B4E"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8" w:history="1">
        <w:r w:rsidR="003C00EA" w:rsidRPr="0012554A">
          <w:rPr>
            <w:rStyle w:val="Hyperlink"/>
            <w:noProof/>
          </w:rPr>
          <w:t>Figure 23: Proportion of OOS funded by the MBS by headspace service</w:t>
        </w:r>
        <w:r w:rsidR="003C00EA">
          <w:rPr>
            <w:noProof/>
            <w:webHidden/>
          </w:rPr>
          <w:tab/>
        </w:r>
        <w:r w:rsidR="003C00EA">
          <w:rPr>
            <w:noProof/>
            <w:webHidden/>
          </w:rPr>
          <w:fldChar w:fldCharType="begin"/>
        </w:r>
        <w:r w:rsidR="003C00EA">
          <w:rPr>
            <w:noProof/>
            <w:webHidden/>
          </w:rPr>
          <w:instrText xml:space="preserve"> PAGEREF _Toc108109208 \h </w:instrText>
        </w:r>
        <w:r w:rsidR="003C00EA">
          <w:rPr>
            <w:noProof/>
            <w:webHidden/>
          </w:rPr>
        </w:r>
        <w:r w:rsidR="003C00EA">
          <w:rPr>
            <w:noProof/>
            <w:webHidden/>
          </w:rPr>
          <w:fldChar w:fldCharType="separate"/>
        </w:r>
        <w:r w:rsidR="00CC0438">
          <w:rPr>
            <w:noProof/>
            <w:webHidden/>
          </w:rPr>
          <w:t>112</w:t>
        </w:r>
        <w:r w:rsidR="003C00EA">
          <w:rPr>
            <w:noProof/>
            <w:webHidden/>
          </w:rPr>
          <w:fldChar w:fldCharType="end"/>
        </w:r>
      </w:hyperlink>
    </w:p>
    <w:p w14:paraId="10F85919" w14:textId="229A683C"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09" w:history="1">
        <w:r w:rsidR="003C00EA" w:rsidRPr="0012554A">
          <w:rPr>
            <w:rStyle w:val="Hyperlink"/>
            <w:noProof/>
          </w:rPr>
          <w:t>Figure 24: MBS funded OOS vs total OOS</w:t>
        </w:r>
        <w:r w:rsidR="003C00EA">
          <w:rPr>
            <w:noProof/>
            <w:webHidden/>
          </w:rPr>
          <w:tab/>
        </w:r>
        <w:r w:rsidR="003C00EA">
          <w:rPr>
            <w:noProof/>
            <w:webHidden/>
          </w:rPr>
          <w:fldChar w:fldCharType="begin"/>
        </w:r>
        <w:r w:rsidR="003C00EA">
          <w:rPr>
            <w:noProof/>
            <w:webHidden/>
          </w:rPr>
          <w:instrText xml:space="preserve"> PAGEREF _Toc108109209 \h </w:instrText>
        </w:r>
        <w:r w:rsidR="003C00EA">
          <w:rPr>
            <w:noProof/>
            <w:webHidden/>
          </w:rPr>
        </w:r>
        <w:r w:rsidR="003C00EA">
          <w:rPr>
            <w:noProof/>
            <w:webHidden/>
          </w:rPr>
          <w:fldChar w:fldCharType="separate"/>
        </w:r>
        <w:r w:rsidR="00CC0438">
          <w:rPr>
            <w:noProof/>
            <w:webHidden/>
          </w:rPr>
          <w:t>112</w:t>
        </w:r>
        <w:r w:rsidR="003C00EA">
          <w:rPr>
            <w:noProof/>
            <w:webHidden/>
          </w:rPr>
          <w:fldChar w:fldCharType="end"/>
        </w:r>
      </w:hyperlink>
    </w:p>
    <w:p w14:paraId="227ED233" w14:textId="6F4A612E"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0" w:history="1">
        <w:r w:rsidR="003C00EA" w:rsidRPr="0012554A">
          <w:rPr>
            <w:rStyle w:val="Hyperlink"/>
            <w:noProof/>
          </w:rPr>
          <w:t>Figure 25: Histogram of in-kind contribution</w:t>
        </w:r>
        <w:r w:rsidR="003C00EA">
          <w:rPr>
            <w:noProof/>
            <w:webHidden/>
          </w:rPr>
          <w:tab/>
        </w:r>
        <w:r w:rsidR="003C00EA">
          <w:rPr>
            <w:noProof/>
            <w:webHidden/>
          </w:rPr>
          <w:fldChar w:fldCharType="begin"/>
        </w:r>
        <w:r w:rsidR="003C00EA">
          <w:rPr>
            <w:noProof/>
            <w:webHidden/>
          </w:rPr>
          <w:instrText xml:space="preserve"> PAGEREF _Toc108109210 \h </w:instrText>
        </w:r>
        <w:r w:rsidR="003C00EA">
          <w:rPr>
            <w:noProof/>
            <w:webHidden/>
          </w:rPr>
        </w:r>
        <w:r w:rsidR="003C00EA">
          <w:rPr>
            <w:noProof/>
            <w:webHidden/>
          </w:rPr>
          <w:fldChar w:fldCharType="separate"/>
        </w:r>
        <w:r w:rsidR="00CC0438">
          <w:rPr>
            <w:noProof/>
            <w:webHidden/>
          </w:rPr>
          <w:t>113</w:t>
        </w:r>
        <w:r w:rsidR="003C00EA">
          <w:rPr>
            <w:noProof/>
            <w:webHidden/>
          </w:rPr>
          <w:fldChar w:fldCharType="end"/>
        </w:r>
      </w:hyperlink>
    </w:p>
    <w:p w14:paraId="7652B841" w14:textId="0F2DE0CB"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1" w:history="1">
        <w:r w:rsidR="003C00EA" w:rsidRPr="0012554A">
          <w:rPr>
            <w:rStyle w:val="Hyperlink"/>
            <w:noProof/>
          </w:rPr>
          <w:t>Figure 26: Histogram of PHN funding contribution</w:t>
        </w:r>
        <w:r w:rsidR="003C00EA">
          <w:rPr>
            <w:noProof/>
            <w:webHidden/>
          </w:rPr>
          <w:tab/>
        </w:r>
        <w:r w:rsidR="003C00EA">
          <w:rPr>
            <w:noProof/>
            <w:webHidden/>
          </w:rPr>
          <w:fldChar w:fldCharType="begin"/>
        </w:r>
        <w:r w:rsidR="003C00EA">
          <w:rPr>
            <w:noProof/>
            <w:webHidden/>
          </w:rPr>
          <w:instrText xml:space="preserve"> PAGEREF _Toc108109211 \h </w:instrText>
        </w:r>
        <w:r w:rsidR="003C00EA">
          <w:rPr>
            <w:noProof/>
            <w:webHidden/>
          </w:rPr>
        </w:r>
        <w:r w:rsidR="003C00EA">
          <w:rPr>
            <w:noProof/>
            <w:webHidden/>
          </w:rPr>
          <w:fldChar w:fldCharType="separate"/>
        </w:r>
        <w:r w:rsidR="00CC0438">
          <w:rPr>
            <w:noProof/>
            <w:webHidden/>
          </w:rPr>
          <w:t>114</w:t>
        </w:r>
        <w:r w:rsidR="003C00EA">
          <w:rPr>
            <w:noProof/>
            <w:webHidden/>
          </w:rPr>
          <w:fldChar w:fldCharType="end"/>
        </w:r>
      </w:hyperlink>
    </w:p>
    <w:p w14:paraId="5E738BA0" w14:textId="49E99D70"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2" w:history="1">
        <w:r w:rsidR="003C00EA" w:rsidRPr="0012554A">
          <w:rPr>
            <w:rStyle w:val="Hyperlink"/>
            <w:noProof/>
          </w:rPr>
          <w:t>Figure 27: Histogram of out-of-pocket share by service</w:t>
        </w:r>
        <w:r w:rsidR="003C00EA">
          <w:rPr>
            <w:noProof/>
            <w:webHidden/>
          </w:rPr>
          <w:tab/>
        </w:r>
        <w:r w:rsidR="003C00EA">
          <w:rPr>
            <w:noProof/>
            <w:webHidden/>
          </w:rPr>
          <w:fldChar w:fldCharType="begin"/>
        </w:r>
        <w:r w:rsidR="003C00EA">
          <w:rPr>
            <w:noProof/>
            <w:webHidden/>
          </w:rPr>
          <w:instrText xml:space="preserve"> PAGEREF _Toc108109212 \h </w:instrText>
        </w:r>
        <w:r w:rsidR="003C00EA">
          <w:rPr>
            <w:noProof/>
            <w:webHidden/>
          </w:rPr>
        </w:r>
        <w:r w:rsidR="003C00EA">
          <w:rPr>
            <w:noProof/>
            <w:webHidden/>
          </w:rPr>
          <w:fldChar w:fldCharType="separate"/>
        </w:r>
        <w:r w:rsidR="00CC0438">
          <w:rPr>
            <w:noProof/>
            <w:webHidden/>
          </w:rPr>
          <w:t>115</w:t>
        </w:r>
        <w:r w:rsidR="003C00EA">
          <w:rPr>
            <w:noProof/>
            <w:webHidden/>
          </w:rPr>
          <w:fldChar w:fldCharType="end"/>
        </w:r>
      </w:hyperlink>
    </w:p>
    <w:p w14:paraId="11C05644" w14:textId="0173D2A1"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3" w:history="1">
        <w:r w:rsidR="003C00EA" w:rsidRPr="0012554A">
          <w:rPr>
            <w:rStyle w:val="Hyperlink"/>
            <w:noProof/>
          </w:rPr>
          <w:t>Figure 28: Distribution of the total cost per OOS by headspace service during 2019-20</w:t>
        </w:r>
        <w:r w:rsidR="003C00EA">
          <w:rPr>
            <w:noProof/>
            <w:webHidden/>
          </w:rPr>
          <w:tab/>
        </w:r>
        <w:r w:rsidR="003C00EA">
          <w:rPr>
            <w:noProof/>
            <w:webHidden/>
          </w:rPr>
          <w:fldChar w:fldCharType="begin"/>
        </w:r>
        <w:r w:rsidR="003C00EA">
          <w:rPr>
            <w:noProof/>
            <w:webHidden/>
          </w:rPr>
          <w:instrText xml:space="preserve"> PAGEREF _Toc108109213 \h </w:instrText>
        </w:r>
        <w:r w:rsidR="003C00EA">
          <w:rPr>
            <w:noProof/>
            <w:webHidden/>
          </w:rPr>
        </w:r>
        <w:r w:rsidR="003C00EA">
          <w:rPr>
            <w:noProof/>
            <w:webHidden/>
          </w:rPr>
          <w:fldChar w:fldCharType="separate"/>
        </w:r>
        <w:r w:rsidR="00CC0438">
          <w:rPr>
            <w:noProof/>
            <w:webHidden/>
          </w:rPr>
          <w:t>117</w:t>
        </w:r>
        <w:r w:rsidR="003C00EA">
          <w:rPr>
            <w:noProof/>
            <w:webHidden/>
          </w:rPr>
          <w:fldChar w:fldCharType="end"/>
        </w:r>
      </w:hyperlink>
    </w:p>
    <w:p w14:paraId="1ABA19B7" w14:textId="43B8D493"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4" w:history="1">
        <w:r w:rsidR="003C00EA" w:rsidRPr="0012554A">
          <w:rPr>
            <w:rStyle w:val="Hyperlink"/>
            <w:noProof/>
          </w:rPr>
          <w:t>Figure 29: Mental health service use by target population with or without the headspace program</w:t>
        </w:r>
        <w:r w:rsidR="003C00EA">
          <w:rPr>
            <w:noProof/>
            <w:webHidden/>
          </w:rPr>
          <w:tab/>
        </w:r>
        <w:r w:rsidR="003C00EA">
          <w:rPr>
            <w:noProof/>
            <w:webHidden/>
          </w:rPr>
          <w:fldChar w:fldCharType="begin"/>
        </w:r>
        <w:r w:rsidR="003C00EA">
          <w:rPr>
            <w:noProof/>
            <w:webHidden/>
          </w:rPr>
          <w:instrText xml:space="preserve"> PAGEREF _Toc108109214 \h </w:instrText>
        </w:r>
        <w:r w:rsidR="003C00EA">
          <w:rPr>
            <w:noProof/>
            <w:webHidden/>
          </w:rPr>
        </w:r>
        <w:r w:rsidR="003C00EA">
          <w:rPr>
            <w:noProof/>
            <w:webHidden/>
          </w:rPr>
          <w:fldChar w:fldCharType="separate"/>
        </w:r>
        <w:r w:rsidR="00CC0438">
          <w:rPr>
            <w:noProof/>
            <w:webHidden/>
          </w:rPr>
          <w:t>120</w:t>
        </w:r>
        <w:r w:rsidR="003C00EA">
          <w:rPr>
            <w:noProof/>
            <w:webHidden/>
          </w:rPr>
          <w:fldChar w:fldCharType="end"/>
        </w:r>
      </w:hyperlink>
    </w:p>
    <w:p w14:paraId="70793EFE" w14:textId="717F650C"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5" w:history="1">
        <w:r w:rsidR="003C00EA" w:rsidRPr="0012554A">
          <w:rPr>
            <w:rStyle w:val="Hyperlink"/>
            <w:noProof/>
          </w:rPr>
          <w:t>Figure 30: The model structure for comparing the world with or without headspace</w:t>
        </w:r>
        <w:r w:rsidR="003C00EA">
          <w:rPr>
            <w:noProof/>
            <w:webHidden/>
          </w:rPr>
          <w:tab/>
        </w:r>
        <w:r w:rsidR="003C00EA">
          <w:rPr>
            <w:noProof/>
            <w:webHidden/>
          </w:rPr>
          <w:fldChar w:fldCharType="begin"/>
        </w:r>
        <w:r w:rsidR="003C00EA">
          <w:rPr>
            <w:noProof/>
            <w:webHidden/>
          </w:rPr>
          <w:instrText xml:space="preserve"> PAGEREF _Toc108109215 \h </w:instrText>
        </w:r>
        <w:r w:rsidR="003C00EA">
          <w:rPr>
            <w:noProof/>
            <w:webHidden/>
          </w:rPr>
        </w:r>
        <w:r w:rsidR="003C00EA">
          <w:rPr>
            <w:noProof/>
            <w:webHidden/>
          </w:rPr>
          <w:fldChar w:fldCharType="separate"/>
        </w:r>
        <w:r w:rsidR="00CC0438">
          <w:rPr>
            <w:noProof/>
            <w:webHidden/>
          </w:rPr>
          <w:t>121</w:t>
        </w:r>
        <w:r w:rsidR="003C00EA">
          <w:rPr>
            <w:noProof/>
            <w:webHidden/>
          </w:rPr>
          <w:fldChar w:fldCharType="end"/>
        </w:r>
      </w:hyperlink>
    </w:p>
    <w:p w14:paraId="76729B58" w14:textId="22E6E296"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6" w:history="1">
        <w:r w:rsidR="003C00EA" w:rsidRPr="0012554A">
          <w:rPr>
            <w:rStyle w:val="Hyperlink"/>
            <w:noProof/>
          </w:rPr>
          <w:t>Figure 31: headspace service-specific incremental costs and effects</w:t>
        </w:r>
        <w:r w:rsidR="003C00EA">
          <w:rPr>
            <w:noProof/>
            <w:webHidden/>
          </w:rPr>
          <w:tab/>
        </w:r>
        <w:r w:rsidR="003C00EA">
          <w:rPr>
            <w:noProof/>
            <w:webHidden/>
          </w:rPr>
          <w:fldChar w:fldCharType="begin"/>
        </w:r>
        <w:r w:rsidR="003C00EA">
          <w:rPr>
            <w:noProof/>
            <w:webHidden/>
          </w:rPr>
          <w:instrText xml:space="preserve"> PAGEREF _Toc108109216 \h </w:instrText>
        </w:r>
        <w:r w:rsidR="003C00EA">
          <w:rPr>
            <w:noProof/>
            <w:webHidden/>
          </w:rPr>
        </w:r>
        <w:r w:rsidR="003C00EA">
          <w:rPr>
            <w:noProof/>
            <w:webHidden/>
          </w:rPr>
          <w:fldChar w:fldCharType="separate"/>
        </w:r>
        <w:r w:rsidR="00CC0438">
          <w:rPr>
            <w:noProof/>
            <w:webHidden/>
          </w:rPr>
          <w:t>124</w:t>
        </w:r>
        <w:r w:rsidR="003C00EA">
          <w:rPr>
            <w:noProof/>
            <w:webHidden/>
          </w:rPr>
          <w:fldChar w:fldCharType="end"/>
        </w:r>
      </w:hyperlink>
    </w:p>
    <w:p w14:paraId="25BE6F97" w14:textId="2EAB2E83"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7" w:history="1">
        <w:r w:rsidR="003C00EA" w:rsidRPr="0012554A">
          <w:rPr>
            <w:rStyle w:val="Hyperlink"/>
            <w:noProof/>
          </w:rPr>
          <w:t>Figure 32: Distribution of responses to “I feel that I know more about mental health problems in general because of attending headspace” from 2015-16 to 2019-20</w:t>
        </w:r>
        <w:r w:rsidR="003C00EA">
          <w:rPr>
            <w:noProof/>
            <w:webHidden/>
          </w:rPr>
          <w:tab/>
        </w:r>
        <w:r w:rsidR="003C00EA">
          <w:rPr>
            <w:noProof/>
            <w:webHidden/>
          </w:rPr>
          <w:fldChar w:fldCharType="begin"/>
        </w:r>
        <w:r w:rsidR="003C00EA">
          <w:rPr>
            <w:noProof/>
            <w:webHidden/>
          </w:rPr>
          <w:instrText xml:space="preserve"> PAGEREF _Toc108109217 \h </w:instrText>
        </w:r>
        <w:r w:rsidR="003C00EA">
          <w:rPr>
            <w:noProof/>
            <w:webHidden/>
          </w:rPr>
        </w:r>
        <w:r w:rsidR="003C00EA">
          <w:rPr>
            <w:noProof/>
            <w:webHidden/>
          </w:rPr>
          <w:fldChar w:fldCharType="separate"/>
        </w:r>
        <w:r w:rsidR="00CC0438">
          <w:rPr>
            <w:noProof/>
            <w:webHidden/>
          </w:rPr>
          <w:t>210</w:t>
        </w:r>
        <w:r w:rsidR="003C00EA">
          <w:rPr>
            <w:noProof/>
            <w:webHidden/>
          </w:rPr>
          <w:fldChar w:fldCharType="end"/>
        </w:r>
      </w:hyperlink>
    </w:p>
    <w:p w14:paraId="15CBA7A2" w14:textId="1B47ABA6"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8" w:history="1">
        <w:r w:rsidR="003C00EA" w:rsidRPr="0012554A">
          <w:rPr>
            <w:rStyle w:val="Hyperlink"/>
            <w:noProof/>
          </w:rPr>
          <w:t>Figure 33: Proportion of episodes of care for young people who agreed their mental health literacy had improved after using headspace services, based on the number of OOS accessed during their episode of care</w:t>
        </w:r>
        <w:r w:rsidR="003C00EA">
          <w:rPr>
            <w:noProof/>
            <w:webHidden/>
          </w:rPr>
          <w:tab/>
        </w:r>
        <w:r w:rsidR="003C00EA">
          <w:rPr>
            <w:noProof/>
            <w:webHidden/>
          </w:rPr>
          <w:fldChar w:fldCharType="begin"/>
        </w:r>
        <w:r w:rsidR="003C00EA">
          <w:rPr>
            <w:noProof/>
            <w:webHidden/>
          </w:rPr>
          <w:instrText xml:space="preserve"> PAGEREF _Toc108109218 \h </w:instrText>
        </w:r>
        <w:r w:rsidR="003C00EA">
          <w:rPr>
            <w:noProof/>
            <w:webHidden/>
          </w:rPr>
        </w:r>
        <w:r w:rsidR="003C00EA">
          <w:rPr>
            <w:noProof/>
            <w:webHidden/>
          </w:rPr>
          <w:fldChar w:fldCharType="separate"/>
        </w:r>
        <w:r w:rsidR="00CC0438">
          <w:rPr>
            <w:noProof/>
            <w:webHidden/>
          </w:rPr>
          <w:t>211</w:t>
        </w:r>
        <w:r w:rsidR="003C00EA">
          <w:rPr>
            <w:noProof/>
            <w:webHidden/>
          </w:rPr>
          <w:fldChar w:fldCharType="end"/>
        </w:r>
      </w:hyperlink>
    </w:p>
    <w:p w14:paraId="40EAB909" w14:textId="793245C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19" w:history="1">
        <w:r w:rsidR="003C00EA" w:rsidRPr="0012554A">
          <w:rPr>
            <w:rStyle w:val="Hyperlink"/>
            <w:noProof/>
          </w:rPr>
          <w:t>Figure 34: Responses from lead agency and headspace survey representatives on how effective headspace services are in increasing mental health literacy</w:t>
        </w:r>
        <w:r w:rsidR="003C00EA">
          <w:rPr>
            <w:noProof/>
            <w:webHidden/>
          </w:rPr>
          <w:tab/>
        </w:r>
        <w:r w:rsidR="003C00EA">
          <w:rPr>
            <w:noProof/>
            <w:webHidden/>
          </w:rPr>
          <w:fldChar w:fldCharType="begin"/>
        </w:r>
        <w:r w:rsidR="003C00EA">
          <w:rPr>
            <w:noProof/>
            <w:webHidden/>
          </w:rPr>
          <w:instrText xml:space="preserve"> PAGEREF _Toc108109219 \h </w:instrText>
        </w:r>
        <w:r w:rsidR="003C00EA">
          <w:rPr>
            <w:noProof/>
            <w:webHidden/>
          </w:rPr>
        </w:r>
        <w:r w:rsidR="003C00EA">
          <w:rPr>
            <w:noProof/>
            <w:webHidden/>
          </w:rPr>
          <w:fldChar w:fldCharType="separate"/>
        </w:r>
        <w:r w:rsidR="00CC0438">
          <w:rPr>
            <w:noProof/>
            <w:webHidden/>
          </w:rPr>
          <w:t>212</w:t>
        </w:r>
        <w:r w:rsidR="003C00EA">
          <w:rPr>
            <w:noProof/>
            <w:webHidden/>
          </w:rPr>
          <w:fldChar w:fldCharType="end"/>
        </w:r>
      </w:hyperlink>
    </w:p>
    <w:p w14:paraId="07C9572E" w14:textId="05D5C29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0" w:history="1">
        <w:r w:rsidR="003C00EA" w:rsidRPr="0012554A">
          <w:rPr>
            <w:rStyle w:val="Hyperlink"/>
            <w:noProof/>
          </w:rPr>
          <w:t>Figure 35: Distribution of age by young person from 2015-16 to 2019-20</w:t>
        </w:r>
        <w:r w:rsidR="003C00EA">
          <w:rPr>
            <w:noProof/>
            <w:webHidden/>
          </w:rPr>
          <w:tab/>
        </w:r>
        <w:r w:rsidR="003C00EA">
          <w:rPr>
            <w:noProof/>
            <w:webHidden/>
          </w:rPr>
          <w:fldChar w:fldCharType="begin"/>
        </w:r>
        <w:r w:rsidR="003C00EA">
          <w:rPr>
            <w:noProof/>
            <w:webHidden/>
          </w:rPr>
          <w:instrText xml:space="preserve"> PAGEREF _Toc108109220 \h </w:instrText>
        </w:r>
        <w:r w:rsidR="003C00EA">
          <w:rPr>
            <w:noProof/>
            <w:webHidden/>
          </w:rPr>
        </w:r>
        <w:r w:rsidR="003C00EA">
          <w:rPr>
            <w:noProof/>
            <w:webHidden/>
          </w:rPr>
          <w:fldChar w:fldCharType="separate"/>
        </w:r>
        <w:r w:rsidR="00CC0438">
          <w:rPr>
            <w:noProof/>
            <w:webHidden/>
          </w:rPr>
          <w:t>215</w:t>
        </w:r>
        <w:r w:rsidR="003C00EA">
          <w:rPr>
            <w:noProof/>
            <w:webHidden/>
          </w:rPr>
          <w:fldChar w:fldCharType="end"/>
        </w:r>
      </w:hyperlink>
    </w:p>
    <w:p w14:paraId="52222912" w14:textId="4BA0D85F"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1" w:history="1">
        <w:r w:rsidR="003C00EA" w:rsidRPr="0012554A">
          <w:rPr>
            <w:rStyle w:val="Hyperlink"/>
            <w:noProof/>
          </w:rPr>
          <w:t>Figure 36: Mental risk status on initial OOS for all episodes of care during 2019</w:t>
        </w:r>
        <w:r w:rsidR="003C00EA" w:rsidRPr="0012554A">
          <w:rPr>
            <w:rStyle w:val="Hyperlink"/>
            <w:noProof/>
          </w:rPr>
          <w:noBreakHyphen/>
          <w:t>20</w:t>
        </w:r>
        <w:r w:rsidR="003C00EA">
          <w:rPr>
            <w:noProof/>
            <w:webHidden/>
          </w:rPr>
          <w:tab/>
        </w:r>
        <w:r w:rsidR="003C00EA">
          <w:rPr>
            <w:noProof/>
            <w:webHidden/>
          </w:rPr>
          <w:fldChar w:fldCharType="begin"/>
        </w:r>
        <w:r w:rsidR="003C00EA">
          <w:rPr>
            <w:noProof/>
            <w:webHidden/>
          </w:rPr>
          <w:instrText xml:space="preserve"> PAGEREF _Toc108109221 \h </w:instrText>
        </w:r>
        <w:r w:rsidR="003C00EA">
          <w:rPr>
            <w:noProof/>
            <w:webHidden/>
          </w:rPr>
        </w:r>
        <w:r w:rsidR="003C00EA">
          <w:rPr>
            <w:noProof/>
            <w:webHidden/>
          </w:rPr>
          <w:fldChar w:fldCharType="separate"/>
        </w:r>
        <w:r w:rsidR="00CC0438">
          <w:rPr>
            <w:noProof/>
            <w:webHidden/>
          </w:rPr>
          <w:t>216</w:t>
        </w:r>
        <w:r w:rsidR="003C00EA">
          <w:rPr>
            <w:noProof/>
            <w:webHidden/>
          </w:rPr>
          <w:fldChar w:fldCharType="end"/>
        </w:r>
      </w:hyperlink>
    </w:p>
    <w:p w14:paraId="038E7B93" w14:textId="40A9735F"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2" w:history="1">
        <w:r w:rsidR="003C00EA" w:rsidRPr="0012554A">
          <w:rPr>
            <w:rStyle w:val="Hyperlink"/>
            <w:noProof/>
          </w:rPr>
          <w:t>Figure 37: Stage of illness during initial OOS for all episodes of care between 2015</w:t>
        </w:r>
        <w:r w:rsidR="003C00EA" w:rsidRPr="0012554A">
          <w:rPr>
            <w:rStyle w:val="Hyperlink"/>
            <w:noProof/>
          </w:rPr>
          <w:noBreakHyphen/>
          <w:t>16 and 2019-20</w:t>
        </w:r>
        <w:r w:rsidR="003C00EA">
          <w:rPr>
            <w:noProof/>
            <w:webHidden/>
          </w:rPr>
          <w:tab/>
        </w:r>
        <w:r w:rsidR="003C00EA">
          <w:rPr>
            <w:noProof/>
            <w:webHidden/>
          </w:rPr>
          <w:fldChar w:fldCharType="begin"/>
        </w:r>
        <w:r w:rsidR="003C00EA">
          <w:rPr>
            <w:noProof/>
            <w:webHidden/>
          </w:rPr>
          <w:instrText xml:space="preserve"> PAGEREF _Toc108109222 \h </w:instrText>
        </w:r>
        <w:r w:rsidR="003C00EA">
          <w:rPr>
            <w:noProof/>
            <w:webHidden/>
          </w:rPr>
        </w:r>
        <w:r w:rsidR="003C00EA">
          <w:rPr>
            <w:noProof/>
            <w:webHidden/>
          </w:rPr>
          <w:fldChar w:fldCharType="separate"/>
        </w:r>
        <w:r w:rsidR="00CC0438">
          <w:rPr>
            <w:noProof/>
            <w:webHidden/>
          </w:rPr>
          <w:t>217</w:t>
        </w:r>
        <w:r w:rsidR="003C00EA">
          <w:rPr>
            <w:noProof/>
            <w:webHidden/>
          </w:rPr>
          <w:fldChar w:fldCharType="end"/>
        </w:r>
      </w:hyperlink>
    </w:p>
    <w:p w14:paraId="0C275653" w14:textId="2202BB9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3" w:history="1">
        <w:r w:rsidR="003C00EA" w:rsidRPr="0012554A">
          <w:rPr>
            <w:rStyle w:val="Hyperlink"/>
            <w:noProof/>
          </w:rPr>
          <w:t>Figure 38: Responses from lead agency and headspace survey representatives on how effective headspace services are in increasing early help seeking</w:t>
        </w:r>
        <w:r w:rsidR="003C00EA">
          <w:rPr>
            <w:noProof/>
            <w:webHidden/>
          </w:rPr>
          <w:tab/>
        </w:r>
        <w:r w:rsidR="003C00EA">
          <w:rPr>
            <w:noProof/>
            <w:webHidden/>
          </w:rPr>
          <w:fldChar w:fldCharType="begin"/>
        </w:r>
        <w:r w:rsidR="003C00EA">
          <w:rPr>
            <w:noProof/>
            <w:webHidden/>
          </w:rPr>
          <w:instrText xml:space="preserve"> PAGEREF _Toc108109223 \h </w:instrText>
        </w:r>
        <w:r w:rsidR="003C00EA">
          <w:rPr>
            <w:noProof/>
            <w:webHidden/>
          </w:rPr>
        </w:r>
        <w:r w:rsidR="003C00EA">
          <w:rPr>
            <w:noProof/>
            <w:webHidden/>
          </w:rPr>
          <w:fldChar w:fldCharType="separate"/>
        </w:r>
        <w:r w:rsidR="00CC0438">
          <w:rPr>
            <w:noProof/>
            <w:webHidden/>
          </w:rPr>
          <w:t>218</w:t>
        </w:r>
        <w:r w:rsidR="003C00EA">
          <w:rPr>
            <w:noProof/>
            <w:webHidden/>
          </w:rPr>
          <w:fldChar w:fldCharType="end"/>
        </w:r>
      </w:hyperlink>
    </w:p>
    <w:p w14:paraId="5C27702A" w14:textId="677D259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4" w:history="1">
        <w:r w:rsidR="003C00EA" w:rsidRPr="0012554A">
          <w:rPr>
            <w:rStyle w:val="Hyperlink"/>
            <w:noProof/>
          </w:rPr>
          <w:t>Figure 39: Barriers to access for young people</w:t>
        </w:r>
        <w:r w:rsidR="003C00EA">
          <w:rPr>
            <w:noProof/>
            <w:webHidden/>
          </w:rPr>
          <w:tab/>
        </w:r>
        <w:r w:rsidR="003C00EA">
          <w:rPr>
            <w:noProof/>
            <w:webHidden/>
          </w:rPr>
          <w:fldChar w:fldCharType="begin"/>
        </w:r>
        <w:r w:rsidR="003C00EA">
          <w:rPr>
            <w:noProof/>
            <w:webHidden/>
          </w:rPr>
          <w:instrText xml:space="preserve"> PAGEREF _Toc108109224 \h </w:instrText>
        </w:r>
        <w:r w:rsidR="003C00EA">
          <w:rPr>
            <w:noProof/>
            <w:webHidden/>
          </w:rPr>
        </w:r>
        <w:r w:rsidR="003C00EA">
          <w:rPr>
            <w:noProof/>
            <w:webHidden/>
          </w:rPr>
          <w:fldChar w:fldCharType="separate"/>
        </w:r>
        <w:r w:rsidR="00CC0438">
          <w:rPr>
            <w:noProof/>
            <w:webHidden/>
          </w:rPr>
          <w:t>223</w:t>
        </w:r>
        <w:r w:rsidR="003C00EA">
          <w:rPr>
            <w:noProof/>
            <w:webHidden/>
          </w:rPr>
          <w:fldChar w:fldCharType="end"/>
        </w:r>
      </w:hyperlink>
    </w:p>
    <w:p w14:paraId="7006D611" w14:textId="7228CB8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5" w:history="1">
        <w:r w:rsidR="003C00EA" w:rsidRPr="0012554A">
          <w:rPr>
            <w:rStyle w:val="Hyperlink"/>
            <w:noProof/>
          </w:rPr>
          <w:t>Figure 40: Survey responses about whether the headspace model is less effective for particular cohorts compared with the general population of young people</w:t>
        </w:r>
        <w:r w:rsidR="003C00EA">
          <w:rPr>
            <w:noProof/>
            <w:webHidden/>
          </w:rPr>
          <w:tab/>
        </w:r>
        <w:r w:rsidR="003C00EA">
          <w:rPr>
            <w:noProof/>
            <w:webHidden/>
          </w:rPr>
          <w:fldChar w:fldCharType="begin"/>
        </w:r>
        <w:r w:rsidR="003C00EA">
          <w:rPr>
            <w:noProof/>
            <w:webHidden/>
          </w:rPr>
          <w:instrText xml:space="preserve"> PAGEREF _Toc108109225 \h </w:instrText>
        </w:r>
        <w:r w:rsidR="003C00EA">
          <w:rPr>
            <w:noProof/>
            <w:webHidden/>
          </w:rPr>
        </w:r>
        <w:r w:rsidR="003C00EA">
          <w:rPr>
            <w:noProof/>
            <w:webHidden/>
          </w:rPr>
          <w:fldChar w:fldCharType="separate"/>
        </w:r>
        <w:r w:rsidR="00CC0438">
          <w:rPr>
            <w:noProof/>
            <w:webHidden/>
          </w:rPr>
          <w:t>226</w:t>
        </w:r>
        <w:r w:rsidR="003C00EA">
          <w:rPr>
            <w:noProof/>
            <w:webHidden/>
          </w:rPr>
          <w:fldChar w:fldCharType="end"/>
        </w:r>
      </w:hyperlink>
    </w:p>
    <w:p w14:paraId="514F5012" w14:textId="0B82F966"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6" w:history="1">
        <w:r w:rsidR="003C00EA" w:rsidRPr="0012554A">
          <w:rPr>
            <w:rStyle w:val="Hyperlink"/>
            <w:noProof/>
          </w:rPr>
          <w:t>Figure 41: Responses from service and lead agency survey: how well does your centre provide services that support mental health literacy for young people from priority cohorts?</w:t>
        </w:r>
        <w:r w:rsidR="003C00EA">
          <w:rPr>
            <w:noProof/>
            <w:webHidden/>
          </w:rPr>
          <w:tab/>
        </w:r>
        <w:r w:rsidR="003C00EA">
          <w:rPr>
            <w:noProof/>
            <w:webHidden/>
          </w:rPr>
          <w:fldChar w:fldCharType="begin"/>
        </w:r>
        <w:r w:rsidR="003C00EA">
          <w:rPr>
            <w:noProof/>
            <w:webHidden/>
          </w:rPr>
          <w:instrText xml:space="preserve"> PAGEREF _Toc108109226 \h </w:instrText>
        </w:r>
        <w:r w:rsidR="003C00EA">
          <w:rPr>
            <w:noProof/>
            <w:webHidden/>
          </w:rPr>
        </w:r>
        <w:r w:rsidR="003C00EA">
          <w:rPr>
            <w:noProof/>
            <w:webHidden/>
          </w:rPr>
          <w:fldChar w:fldCharType="separate"/>
        </w:r>
        <w:r w:rsidR="00CC0438">
          <w:rPr>
            <w:noProof/>
            <w:webHidden/>
          </w:rPr>
          <w:t>227</w:t>
        </w:r>
        <w:r w:rsidR="003C00EA">
          <w:rPr>
            <w:noProof/>
            <w:webHidden/>
          </w:rPr>
          <w:fldChar w:fldCharType="end"/>
        </w:r>
      </w:hyperlink>
    </w:p>
    <w:p w14:paraId="6ABFB327" w14:textId="1E839E66"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7" w:history="1">
        <w:r w:rsidR="003C00EA" w:rsidRPr="0012554A">
          <w:rPr>
            <w:rStyle w:val="Hyperlink"/>
            <w:noProof/>
          </w:rPr>
          <w:t>Figure 42: Distribution of age by young person during 2019-20</w:t>
        </w:r>
        <w:r w:rsidR="003C00EA">
          <w:rPr>
            <w:noProof/>
            <w:webHidden/>
          </w:rPr>
          <w:tab/>
        </w:r>
        <w:r w:rsidR="003C00EA">
          <w:rPr>
            <w:noProof/>
            <w:webHidden/>
          </w:rPr>
          <w:fldChar w:fldCharType="begin"/>
        </w:r>
        <w:r w:rsidR="003C00EA">
          <w:rPr>
            <w:noProof/>
            <w:webHidden/>
          </w:rPr>
          <w:instrText xml:space="preserve"> PAGEREF _Toc108109227 \h </w:instrText>
        </w:r>
        <w:r w:rsidR="003C00EA">
          <w:rPr>
            <w:noProof/>
            <w:webHidden/>
          </w:rPr>
        </w:r>
        <w:r w:rsidR="003C00EA">
          <w:rPr>
            <w:noProof/>
            <w:webHidden/>
          </w:rPr>
          <w:fldChar w:fldCharType="separate"/>
        </w:r>
        <w:r w:rsidR="00CC0438">
          <w:rPr>
            <w:noProof/>
            <w:webHidden/>
          </w:rPr>
          <w:t>230</w:t>
        </w:r>
        <w:r w:rsidR="003C00EA">
          <w:rPr>
            <w:noProof/>
            <w:webHidden/>
          </w:rPr>
          <w:fldChar w:fldCharType="end"/>
        </w:r>
      </w:hyperlink>
    </w:p>
    <w:p w14:paraId="5748DF98" w14:textId="2217C5E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8" w:history="1">
        <w:r w:rsidR="003C00EA" w:rsidRPr="0012554A">
          <w:rPr>
            <w:rStyle w:val="Hyperlink"/>
            <w:noProof/>
          </w:rPr>
          <w:t>Figure 43: Mental health risk status on initial OOS for all episodes of care during 2019</w:t>
        </w:r>
        <w:r w:rsidR="003C00EA" w:rsidRPr="0012554A">
          <w:rPr>
            <w:rStyle w:val="Hyperlink"/>
            <w:noProof/>
          </w:rPr>
          <w:noBreakHyphen/>
          <w:t>20</w:t>
        </w:r>
        <w:r w:rsidR="003C00EA">
          <w:rPr>
            <w:noProof/>
            <w:webHidden/>
          </w:rPr>
          <w:tab/>
        </w:r>
        <w:r w:rsidR="003C00EA">
          <w:rPr>
            <w:noProof/>
            <w:webHidden/>
          </w:rPr>
          <w:fldChar w:fldCharType="begin"/>
        </w:r>
        <w:r w:rsidR="003C00EA">
          <w:rPr>
            <w:noProof/>
            <w:webHidden/>
          </w:rPr>
          <w:instrText xml:space="preserve"> PAGEREF _Toc108109228 \h </w:instrText>
        </w:r>
        <w:r w:rsidR="003C00EA">
          <w:rPr>
            <w:noProof/>
            <w:webHidden/>
          </w:rPr>
        </w:r>
        <w:r w:rsidR="003C00EA">
          <w:rPr>
            <w:noProof/>
            <w:webHidden/>
          </w:rPr>
          <w:fldChar w:fldCharType="separate"/>
        </w:r>
        <w:r w:rsidR="00CC0438">
          <w:rPr>
            <w:noProof/>
            <w:webHidden/>
          </w:rPr>
          <w:t>232</w:t>
        </w:r>
        <w:r w:rsidR="003C00EA">
          <w:rPr>
            <w:noProof/>
            <w:webHidden/>
          </w:rPr>
          <w:fldChar w:fldCharType="end"/>
        </w:r>
      </w:hyperlink>
    </w:p>
    <w:p w14:paraId="21B6B0CC" w14:textId="447455B2"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29" w:history="1">
        <w:r w:rsidR="003C00EA" w:rsidRPr="0012554A">
          <w:rPr>
            <w:rStyle w:val="Hyperlink"/>
            <w:noProof/>
          </w:rPr>
          <w:t>Figure 44: Stage of illness during initial OOS for all episodes of care during 2019-20</w:t>
        </w:r>
        <w:r w:rsidR="003C00EA">
          <w:rPr>
            <w:noProof/>
            <w:webHidden/>
          </w:rPr>
          <w:tab/>
        </w:r>
        <w:r w:rsidR="003C00EA">
          <w:rPr>
            <w:noProof/>
            <w:webHidden/>
          </w:rPr>
          <w:fldChar w:fldCharType="begin"/>
        </w:r>
        <w:r w:rsidR="003C00EA">
          <w:rPr>
            <w:noProof/>
            <w:webHidden/>
          </w:rPr>
          <w:instrText xml:space="preserve"> PAGEREF _Toc108109229 \h </w:instrText>
        </w:r>
        <w:r w:rsidR="003C00EA">
          <w:rPr>
            <w:noProof/>
            <w:webHidden/>
          </w:rPr>
        </w:r>
        <w:r w:rsidR="003C00EA">
          <w:rPr>
            <w:noProof/>
            <w:webHidden/>
          </w:rPr>
          <w:fldChar w:fldCharType="separate"/>
        </w:r>
        <w:r w:rsidR="00CC0438">
          <w:rPr>
            <w:noProof/>
            <w:webHidden/>
          </w:rPr>
          <w:t>234</w:t>
        </w:r>
        <w:r w:rsidR="003C00EA">
          <w:rPr>
            <w:noProof/>
            <w:webHidden/>
          </w:rPr>
          <w:fldChar w:fldCharType="end"/>
        </w:r>
      </w:hyperlink>
    </w:p>
    <w:p w14:paraId="78A94F22" w14:textId="626C3D90"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0" w:history="1">
        <w:r w:rsidR="003C00EA" w:rsidRPr="0012554A">
          <w:rPr>
            <w:rStyle w:val="Hyperlink"/>
            <w:noProof/>
          </w:rPr>
          <w:t>Figure 45: Responses from lead agency and headspace services survey to ‘how well does your centre provide services that support early help seeking for young people from priority cohorts?’</w:t>
        </w:r>
        <w:r w:rsidR="003C00EA">
          <w:rPr>
            <w:noProof/>
            <w:webHidden/>
          </w:rPr>
          <w:tab/>
        </w:r>
        <w:r w:rsidR="003C00EA">
          <w:rPr>
            <w:noProof/>
            <w:webHidden/>
          </w:rPr>
          <w:fldChar w:fldCharType="begin"/>
        </w:r>
        <w:r w:rsidR="003C00EA">
          <w:rPr>
            <w:noProof/>
            <w:webHidden/>
          </w:rPr>
          <w:instrText xml:space="preserve"> PAGEREF _Toc108109230 \h </w:instrText>
        </w:r>
        <w:r w:rsidR="003C00EA">
          <w:rPr>
            <w:noProof/>
            <w:webHidden/>
          </w:rPr>
        </w:r>
        <w:r w:rsidR="003C00EA">
          <w:rPr>
            <w:noProof/>
            <w:webHidden/>
          </w:rPr>
          <w:fldChar w:fldCharType="separate"/>
        </w:r>
        <w:r w:rsidR="00CC0438">
          <w:rPr>
            <w:noProof/>
            <w:webHidden/>
          </w:rPr>
          <w:t>236</w:t>
        </w:r>
        <w:r w:rsidR="003C00EA">
          <w:rPr>
            <w:noProof/>
            <w:webHidden/>
          </w:rPr>
          <w:fldChar w:fldCharType="end"/>
        </w:r>
      </w:hyperlink>
    </w:p>
    <w:p w14:paraId="124DC111" w14:textId="45CDE643"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1" w:history="1">
        <w:r w:rsidR="003C00EA" w:rsidRPr="0012554A">
          <w:rPr>
            <w:rStyle w:val="Hyperlink"/>
            <w:noProof/>
          </w:rPr>
          <w:t>Figure 46: Responses from the lead agency and headspace service survey to ‘how well does your centre provide services that support access for young people from priority cohorts?’</w:t>
        </w:r>
        <w:r w:rsidR="003C00EA">
          <w:rPr>
            <w:noProof/>
            <w:webHidden/>
          </w:rPr>
          <w:tab/>
        </w:r>
        <w:r w:rsidR="003C00EA">
          <w:rPr>
            <w:noProof/>
            <w:webHidden/>
          </w:rPr>
          <w:fldChar w:fldCharType="begin"/>
        </w:r>
        <w:r w:rsidR="003C00EA">
          <w:rPr>
            <w:noProof/>
            <w:webHidden/>
          </w:rPr>
          <w:instrText xml:space="preserve"> PAGEREF _Toc108109231 \h </w:instrText>
        </w:r>
        <w:r w:rsidR="003C00EA">
          <w:rPr>
            <w:noProof/>
            <w:webHidden/>
          </w:rPr>
        </w:r>
        <w:r w:rsidR="003C00EA">
          <w:rPr>
            <w:noProof/>
            <w:webHidden/>
          </w:rPr>
          <w:fldChar w:fldCharType="separate"/>
        </w:r>
        <w:r w:rsidR="00CC0438">
          <w:rPr>
            <w:noProof/>
            <w:webHidden/>
          </w:rPr>
          <w:t>239</w:t>
        </w:r>
        <w:r w:rsidR="003C00EA">
          <w:rPr>
            <w:noProof/>
            <w:webHidden/>
          </w:rPr>
          <w:fldChar w:fldCharType="end"/>
        </w:r>
      </w:hyperlink>
    </w:p>
    <w:p w14:paraId="4BF46A70" w14:textId="44B11501"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2" w:history="1">
        <w:r w:rsidR="003C00EA" w:rsidRPr="0012554A">
          <w:rPr>
            <w:rStyle w:val="Hyperlink"/>
            <w:noProof/>
          </w:rPr>
          <w:t>Figure 47: Young people responses to other services their GP referred them to (young peoples’ survey)</w:t>
        </w:r>
        <w:r w:rsidR="003C00EA">
          <w:rPr>
            <w:noProof/>
            <w:webHidden/>
          </w:rPr>
          <w:tab/>
        </w:r>
        <w:r w:rsidR="003C00EA">
          <w:rPr>
            <w:noProof/>
            <w:webHidden/>
          </w:rPr>
          <w:fldChar w:fldCharType="begin"/>
        </w:r>
        <w:r w:rsidR="003C00EA">
          <w:rPr>
            <w:noProof/>
            <w:webHidden/>
          </w:rPr>
          <w:instrText xml:space="preserve"> PAGEREF _Toc108109232 \h </w:instrText>
        </w:r>
        <w:r w:rsidR="003C00EA">
          <w:rPr>
            <w:noProof/>
            <w:webHidden/>
          </w:rPr>
        </w:r>
        <w:r w:rsidR="003C00EA">
          <w:rPr>
            <w:noProof/>
            <w:webHidden/>
          </w:rPr>
          <w:fldChar w:fldCharType="separate"/>
        </w:r>
        <w:r w:rsidR="00CC0438">
          <w:rPr>
            <w:noProof/>
            <w:webHidden/>
          </w:rPr>
          <w:t>248</w:t>
        </w:r>
        <w:r w:rsidR="003C00EA">
          <w:rPr>
            <w:noProof/>
            <w:webHidden/>
          </w:rPr>
          <w:fldChar w:fldCharType="end"/>
        </w:r>
      </w:hyperlink>
    </w:p>
    <w:p w14:paraId="7AA42C8A" w14:textId="30ABF858"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3" w:history="1">
        <w:r w:rsidR="003C00EA" w:rsidRPr="0012554A">
          <w:rPr>
            <w:rStyle w:val="Hyperlink"/>
            <w:noProof/>
          </w:rPr>
          <w:t>Figure 48: Barriers to supporting pathways to care identified by service and lead agency representatives</w:t>
        </w:r>
        <w:r w:rsidR="003C00EA">
          <w:rPr>
            <w:noProof/>
            <w:webHidden/>
          </w:rPr>
          <w:tab/>
        </w:r>
        <w:r w:rsidR="003C00EA">
          <w:rPr>
            <w:noProof/>
            <w:webHidden/>
          </w:rPr>
          <w:fldChar w:fldCharType="begin"/>
        </w:r>
        <w:r w:rsidR="003C00EA">
          <w:rPr>
            <w:noProof/>
            <w:webHidden/>
          </w:rPr>
          <w:instrText xml:space="preserve"> PAGEREF _Toc108109233 \h </w:instrText>
        </w:r>
        <w:r w:rsidR="003C00EA">
          <w:rPr>
            <w:noProof/>
            <w:webHidden/>
          </w:rPr>
        </w:r>
        <w:r w:rsidR="003C00EA">
          <w:rPr>
            <w:noProof/>
            <w:webHidden/>
          </w:rPr>
          <w:fldChar w:fldCharType="separate"/>
        </w:r>
        <w:r w:rsidR="00CC0438">
          <w:rPr>
            <w:noProof/>
            <w:webHidden/>
          </w:rPr>
          <w:t>250</w:t>
        </w:r>
        <w:r w:rsidR="003C00EA">
          <w:rPr>
            <w:noProof/>
            <w:webHidden/>
          </w:rPr>
          <w:fldChar w:fldCharType="end"/>
        </w:r>
      </w:hyperlink>
    </w:p>
    <w:p w14:paraId="074DB2E1" w14:textId="0385715D"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4" w:history="1">
        <w:r w:rsidR="003C00EA" w:rsidRPr="0012554A">
          <w:rPr>
            <w:rStyle w:val="Hyperlink"/>
            <w:noProof/>
          </w:rPr>
          <w:t>Figure 49: Young people responses to other services their GP referred them to (young peoples’ survey)</w:t>
        </w:r>
        <w:r w:rsidR="003C00EA">
          <w:rPr>
            <w:noProof/>
            <w:webHidden/>
          </w:rPr>
          <w:tab/>
        </w:r>
        <w:r w:rsidR="003C00EA">
          <w:rPr>
            <w:noProof/>
            <w:webHidden/>
          </w:rPr>
          <w:fldChar w:fldCharType="begin"/>
        </w:r>
        <w:r w:rsidR="003C00EA">
          <w:rPr>
            <w:noProof/>
            <w:webHidden/>
          </w:rPr>
          <w:instrText xml:space="preserve"> PAGEREF _Toc108109234 \h </w:instrText>
        </w:r>
        <w:r w:rsidR="003C00EA">
          <w:rPr>
            <w:noProof/>
            <w:webHidden/>
          </w:rPr>
        </w:r>
        <w:r w:rsidR="003C00EA">
          <w:rPr>
            <w:noProof/>
            <w:webHidden/>
          </w:rPr>
          <w:fldChar w:fldCharType="separate"/>
        </w:r>
        <w:r w:rsidR="00CC0438">
          <w:rPr>
            <w:noProof/>
            <w:webHidden/>
          </w:rPr>
          <w:t>259</w:t>
        </w:r>
        <w:r w:rsidR="003C00EA">
          <w:rPr>
            <w:noProof/>
            <w:webHidden/>
          </w:rPr>
          <w:fldChar w:fldCharType="end"/>
        </w:r>
      </w:hyperlink>
    </w:p>
    <w:p w14:paraId="4AD4283F" w14:textId="7C2C2E69"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5" w:history="1">
        <w:r w:rsidR="003C00EA" w:rsidRPr="0012554A">
          <w:rPr>
            <w:rStyle w:val="Hyperlink"/>
            <w:noProof/>
          </w:rPr>
          <w:t>Figure 50: Summary statistics on young people’s ratings of service at headspace</w:t>
        </w:r>
        <w:r w:rsidR="003C00EA">
          <w:rPr>
            <w:noProof/>
            <w:webHidden/>
          </w:rPr>
          <w:tab/>
        </w:r>
        <w:r w:rsidR="003C00EA">
          <w:rPr>
            <w:noProof/>
            <w:webHidden/>
          </w:rPr>
          <w:fldChar w:fldCharType="begin"/>
        </w:r>
        <w:r w:rsidR="003C00EA">
          <w:rPr>
            <w:noProof/>
            <w:webHidden/>
          </w:rPr>
          <w:instrText xml:space="preserve"> PAGEREF _Toc108109235 \h </w:instrText>
        </w:r>
        <w:r w:rsidR="003C00EA">
          <w:rPr>
            <w:noProof/>
            <w:webHidden/>
          </w:rPr>
        </w:r>
        <w:r w:rsidR="003C00EA">
          <w:rPr>
            <w:noProof/>
            <w:webHidden/>
          </w:rPr>
          <w:fldChar w:fldCharType="separate"/>
        </w:r>
        <w:r w:rsidR="00CC0438">
          <w:rPr>
            <w:noProof/>
            <w:webHidden/>
          </w:rPr>
          <w:t>265</w:t>
        </w:r>
        <w:r w:rsidR="003C00EA">
          <w:rPr>
            <w:noProof/>
            <w:webHidden/>
          </w:rPr>
          <w:fldChar w:fldCharType="end"/>
        </w:r>
      </w:hyperlink>
    </w:p>
    <w:p w14:paraId="4818CFCE" w14:textId="2494AF0D"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6" w:history="1">
        <w:r w:rsidR="003C00EA" w:rsidRPr="0012554A">
          <w:rPr>
            <w:rStyle w:val="Hyperlink"/>
            <w:noProof/>
          </w:rPr>
          <w:t>Figure 51: Responses from service and lead agency survey: how well does your centre provide services that are youth friendly, appropriate and accessible</w:t>
        </w:r>
        <w:r w:rsidR="003C00EA">
          <w:rPr>
            <w:noProof/>
            <w:webHidden/>
          </w:rPr>
          <w:tab/>
        </w:r>
        <w:r w:rsidR="003C00EA">
          <w:rPr>
            <w:noProof/>
            <w:webHidden/>
          </w:rPr>
          <w:fldChar w:fldCharType="begin"/>
        </w:r>
        <w:r w:rsidR="003C00EA">
          <w:rPr>
            <w:noProof/>
            <w:webHidden/>
          </w:rPr>
          <w:instrText xml:space="preserve"> PAGEREF _Toc108109236 \h </w:instrText>
        </w:r>
        <w:r w:rsidR="003C00EA">
          <w:rPr>
            <w:noProof/>
            <w:webHidden/>
          </w:rPr>
        </w:r>
        <w:r w:rsidR="003C00EA">
          <w:rPr>
            <w:noProof/>
            <w:webHidden/>
          </w:rPr>
          <w:fldChar w:fldCharType="separate"/>
        </w:r>
        <w:r w:rsidR="00CC0438">
          <w:rPr>
            <w:noProof/>
            <w:webHidden/>
          </w:rPr>
          <w:t>270</w:t>
        </w:r>
        <w:r w:rsidR="003C00EA">
          <w:rPr>
            <w:noProof/>
            <w:webHidden/>
          </w:rPr>
          <w:fldChar w:fldCharType="end"/>
        </w:r>
      </w:hyperlink>
    </w:p>
    <w:p w14:paraId="7AE8E048" w14:textId="2C513BD0"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7" w:history="1">
        <w:r w:rsidR="003C00EA" w:rsidRPr="0012554A">
          <w:rPr>
            <w:rStyle w:val="Hyperlink"/>
            <w:noProof/>
          </w:rPr>
          <w:t>Figure 52: Responses from service and lead agency survey: how well does your centre provide services that are youth friendly, appropriate and accessible</w:t>
        </w:r>
        <w:r w:rsidR="003C00EA">
          <w:rPr>
            <w:noProof/>
            <w:webHidden/>
          </w:rPr>
          <w:tab/>
        </w:r>
        <w:r w:rsidR="003C00EA">
          <w:rPr>
            <w:noProof/>
            <w:webHidden/>
          </w:rPr>
          <w:fldChar w:fldCharType="begin"/>
        </w:r>
        <w:r w:rsidR="003C00EA">
          <w:rPr>
            <w:noProof/>
            <w:webHidden/>
          </w:rPr>
          <w:instrText xml:space="preserve"> PAGEREF _Toc108109237 \h </w:instrText>
        </w:r>
        <w:r w:rsidR="003C00EA">
          <w:rPr>
            <w:noProof/>
            <w:webHidden/>
          </w:rPr>
        </w:r>
        <w:r w:rsidR="003C00EA">
          <w:rPr>
            <w:noProof/>
            <w:webHidden/>
          </w:rPr>
          <w:fldChar w:fldCharType="separate"/>
        </w:r>
        <w:r w:rsidR="00CC0438">
          <w:rPr>
            <w:noProof/>
            <w:webHidden/>
          </w:rPr>
          <w:t>271</w:t>
        </w:r>
        <w:r w:rsidR="003C00EA">
          <w:rPr>
            <w:noProof/>
            <w:webHidden/>
          </w:rPr>
          <w:fldChar w:fldCharType="end"/>
        </w:r>
      </w:hyperlink>
    </w:p>
    <w:p w14:paraId="52F1312D" w14:textId="479F5999"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8" w:history="1">
        <w:r w:rsidR="003C00EA" w:rsidRPr="0012554A">
          <w:rPr>
            <w:rStyle w:val="Hyperlink"/>
            <w:noProof/>
          </w:rPr>
          <w:t>Figure 53: Young people’s experience of being at headspace, interaction with the staff and the service received</w:t>
        </w:r>
        <w:r w:rsidR="003C00EA">
          <w:rPr>
            <w:noProof/>
            <w:webHidden/>
          </w:rPr>
          <w:tab/>
        </w:r>
        <w:r w:rsidR="003C00EA">
          <w:rPr>
            <w:noProof/>
            <w:webHidden/>
          </w:rPr>
          <w:fldChar w:fldCharType="begin"/>
        </w:r>
        <w:r w:rsidR="003C00EA">
          <w:rPr>
            <w:noProof/>
            <w:webHidden/>
          </w:rPr>
          <w:instrText xml:space="preserve"> PAGEREF _Toc108109238 \h </w:instrText>
        </w:r>
        <w:r w:rsidR="003C00EA">
          <w:rPr>
            <w:noProof/>
            <w:webHidden/>
          </w:rPr>
        </w:r>
        <w:r w:rsidR="003C00EA">
          <w:rPr>
            <w:noProof/>
            <w:webHidden/>
          </w:rPr>
          <w:fldChar w:fldCharType="separate"/>
        </w:r>
        <w:r w:rsidR="00CC0438">
          <w:rPr>
            <w:noProof/>
            <w:webHidden/>
          </w:rPr>
          <w:t>273</w:t>
        </w:r>
        <w:r w:rsidR="003C00EA">
          <w:rPr>
            <w:noProof/>
            <w:webHidden/>
          </w:rPr>
          <w:fldChar w:fldCharType="end"/>
        </w:r>
      </w:hyperlink>
    </w:p>
    <w:p w14:paraId="09F8717B" w14:textId="0C2DC74B"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39" w:history="1">
        <w:r w:rsidR="003C00EA" w:rsidRPr="0012554A">
          <w:rPr>
            <w:rStyle w:val="Hyperlink"/>
            <w:noProof/>
          </w:rPr>
          <w:t>Figure 54: Primary issue during initial presentation per episode during 2019-20</w:t>
        </w:r>
        <w:r w:rsidR="003C00EA">
          <w:rPr>
            <w:noProof/>
            <w:webHidden/>
          </w:rPr>
          <w:tab/>
        </w:r>
        <w:r w:rsidR="003C00EA">
          <w:rPr>
            <w:noProof/>
            <w:webHidden/>
          </w:rPr>
          <w:fldChar w:fldCharType="begin"/>
        </w:r>
        <w:r w:rsidR="003C00EA">
          <w:rPr>
            <w:noProof/>
            <w:webHidden/>
          </w:rPr>
          <w:instrText xml:space="preserve"> PAGEREF _Toc108109239 \h </w:instrText>
        </w:r>
        <w:r w:rsidR="003C00EA">
          <w:rPr>
            <w:noProof/>
            <w:webHidden/>
          </w:rPr>
        </w:r>
        <w:r w:rsidR="003C00EA">
          <w:rPr>
            <w:noProof/>
            <w:webHidden/>
          </w:rPr>
          <w:fldChar w:fldCharType="separate"/>
        </w:r>
        <w:r w:rsidR="00CC0438">
          <w:rPr>
            <w:noProof/>
            <w:webHidden/>
          </w:rPr>
          <w:t>278</w:t>
        </w:r>
        <w:r w:rsidR="003C00EA">
          <w:rPr>
            <w:noProof/>
            <w:webHidden/>
          </w:rPr>
          <w:fldChar w:fldCharType="end"/>
        </w:r>
      </w:hyperlink>
    </w:p>
    <w:p w14:paraId="1B261EE7" w14:textId="54C74058"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0" w:history="1">
        <w:r w:rsidR="003C00EA" w:rsidRPr="0012554A">
          <w:rPr>
            <w:rStyle w:val="Hyperlink"/>
            <w:noProof/>
          </w:rPr>
          <w:t>Figure 55: Distribution of OOS per episode during 2019-20</w:t>
        </w:r>
        <w:r w:rsidR="003C00EA">
          <w:rPr>
            <w:noProof/>
            <w:webHidden/>
          </w:rPr>
          <w:tab/>
        </w:r>
        <w:r w:rsidR="003C00EA">
          <w:rPr>
            <w:noProof/>
            <w:webHidden/>
          </w:rPr>
          <w:fldChar w:fldCharType="begin"/>
        </w:r>
        <w:r w:rsidR="003C00EA">
          <w:rPr>
            <w:noProof/>
            <w:webHidden/>
          </w:rPr>
          <w:instrText xml:space="preserve"> PAGEREF _Toc108109240 \h </w:instrText>
        </w:r>
        <w:r w:rsidR="003C00EA">
          <w:rPr>
            <w:noProof/>
            <w:webHidden/>
          </w:rPr>
        </w:r>
        <w:r w:rsidR="003C00EA">
          <w:rPr>
            <w:noProof/>
            <w:webHidden/>
          </w:rPr>
          <w:fldChar w:fldCharType="separate"/>
        </w:r>
        <w:r w:rsidR="00CC0438">
          <w:rPr>
            <w:noProof/>
            <w:webHidden/>
          </w:rPr>
          <w:t>279</w:t>
        </w:r>
        <w:r w:rsidR="003C00EA">
          <w:rPr>
            <w:noProof/>
            <w:webHidden/>
          </w:rPr>
          <w:fldChar w:fldCharType="end"/>
        </w:r>
      </w:hyperlink>
    </w:p>
    <w:p w14:paraId="207C45A2" w14:textId="3DB94413"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1" w:history="1">
        <w:r w:rsidR="003C00EA" w:rsidRPr="0012554A">
          <w:rPr>
            <w:rStyle w:val="Hyperlink"/>
            <w:noProof/>
          </w:rPr>
          <w:t>Figure 56: Distribution of K10 improvements by headspace service</w:t>
        </w:r>
        <w:r w:rsidR="003C00EA">
          <w:rPr>
            <w:noProof/>
            <w:webHidden/>
          </w:rPr>
          <w:tab/>
        </w:r>
        <w:r w:rsidR="003C00EA">
          <w:rPr>
            <w:noProof/>
            <w:webHidden/>
          </w:rPr>
          <w:fldChar w:fldCharType="begin"/>
        </w:r>
        <w:r w:rsidR="003C00EA">
          <w:rPr>
            <w:noProof/>
            <w:webHidden/>
          </w:rPr>
          <w:instrText xml:space="preserve"> PAGEREF _Toc108109241 \h </w:instrText>
        </w:r>
        <w:r w:rsidR="003C00EA">
          <w:rPr>
            <w:noProof/>
            <w:webHidden/>
          </w:rPr>
        </w:r>
        <w:r w:rsidR="003C00EA">
          <w:rPr>
            <w:noProof/>
            <w:webHidden/>
          </w:rPr>
          <w:fldChar w:fldCharType="separate"/>
        </w:r>
        <w:r w:rsidR="00CC0438">
          <w:rPr>
            <w:noProof/>
            <w:webHidden/>
          </w:rPr>
          <w:t>288</w:t>
        </w:r>
        <w:r w:rsidR="003C00EA">
          <w:rPr>
            <w:noProof/>
            <w:webHidden/>
          </w:rPr>
          <w:fldChar w:fldCharType="end"/>
        </w:r>
      </w:hyperlink>
    </w:p>
    <w:p w14:paraId="5A8816CA" w14:textId="3F40C9B2"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2" w:history="1">
        <w:r w:rsidR="003C00EA" w:rsidRPr="0012554A">
          <w:rPr>
            <w:rStyle w:val="Hyperlink"/>
            <w:noProof/>
          </w:rPr>
          <w:t>Figure 57: Distribution of SOFAS improvements by headspace service</w:t>
        </w:r>
        <w:r w:rsidR="003C00EA">
          <w:rPr>
            <w:noProof/>
            <w:webHidden/>
          </w:rPr>
          <w:tab/>
        </w:r>
        <w:r w:rsidR="003C00EA">
          <w:rPr>
            <w:noProof/>
            <w:webHidden/>
          </w:rPr>
          <w:fldChar w:fldCharType="begin"/>
        </w:r>
        <w:r w:rsidR="003C00EA">
          <w:rPr>
            <w:noProof/>
            <w:webHidden/>
          </w:rPr>
          <w:instrText xml:space="preserve"> PAGEREF _Toc108109242 \h </w:instrText>
        </w:r>
        <w:r w:rsidR="003C00EA">
          <w:rPr>
            <w:noProof/>
            <w:webHidden/>
          </w:rPr>
        </w:r>
        <w:r w:rsidR="003C00EA">
          <w:rPr>
            <w:noProof/>
            <w:webHidden/>
          </w:rPr>
          <w:fldChar w:fldCharType="separate"/>
        </w:r>
        <w:r w:rsidR="00CC0438">
          <w:rPr>
            <w:noProof/>
            <w:webHidden/>
          </w:rPr>
          <w:t>288</w:t>
        </w:r>
        <w:r w:rsidR="003C00EA">
          <w:rPr>
            <w:noProof/>
            <w:webHidden/>
          </w:rPr>
          <w:fldChar w:fldCharType="end"/>
        </w:r>
      </w:hyperlink>
    </w:p>
    <w:p w14:paraId="31DF3367" w14:textId="48EB04D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3" w:history="1">
        <w:r w:rsidR="003C00EA" w:rsidRPr="0012554A">
          <w:rPr>
            <w:rStyle w:val="Hyperlink"/>
            <w:noProof/>
          </w:rPr>
          <w:t>Figure 58: Distribution of MLT improvements by headspace service</w:t>
        </w:r>
        <w:r w:rsidR="003C00EA">
          <w:rPr>
            <w:noProof/>
            <w:webHidden/>
          </w:rPr>
          <w:tab/>
        </w:r>
        <w:r w:rsidR="003C00EA">
          <w:rPr>
            <w:noProof/>
            <w:webHidden/>
          </w:rPr>
          <w:fldChar w:fldCharType="begin"/>
        </w:r>
        <w:r w:rsidR="003C00EA">
          <w:rPr>
            <w:noProof/>
            <w:webHidden/>
          </w:rPr>
          <w:instrText xml:space="preserve"> PAGEREF _Toc108109243 \h </w:instrText>
        </w:r>
        <w:r w:rsidR="003C00EA">
          <w:rPr>
            <w:noProof/>
            <w:webHidden/>
          </w:rPr>
        </w:r>
        <w:r w:rsidR="003C00EA">
          <w:rPr>
            <w:noProof/>
            <w:webHidden/>
          </w:rPr>
          <w:fldChar w:fldCharType="separate"/>
        </w:r>
        <w:r w:rsidR="00CC0438">
          <w:rPr>
            <w:noProof/>
            <w:webHidden/>
          </w:rPr>
          <w:t>289</w:t>
        </w:r>
        <w:r w:rsidR="003C00EA">
          <w:rPr>
            <w:noProof/>
            <w:webHidden/>
          </w:rPr>
          <w:fldChar w:fldCharType="end"/>
        </w:r>
      </w:hyperlink>
    </w:p>
    <w:p w14:paraId="5AC3BF19" w14:textId="5DF9EC0C"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4" w:history="1">
        <w:r w:rsidR="003C00EA" w:rsidRPr="0012554A">
          <w:rPr>
            <w:rStyle w:val="Hyperlink"/>
            <w:noProof/>
          </w:rPr>
          <w:t>Figure 59: Responses from service and lead agency survey: how well does your centre provide services that improve the mental health and wellbeing of young people?</w:t>
        </w:r>
        <w:r w:rsidR="003C00EA">
          <w:rPr>
            <w:noProof/>
            <w:webHidden/>
          </w:rPr>
          <w:tab/>
        </w:r>
        <w:r w:rsidR="003C00EA">
          <w:rPr>
            <w:noProof/>
            <w:webHidden/>
          </w:rPr>
          <w:fldChar w:fldCharType="begin"/>
        </w:r>
        <w:r w:rsidR="003C00EA">
          <w:rPr>
            <w:noProof/>
            <w:webHidden/>
          </w:rPr>
          <w:instrText xml:space="preserve"> PAGEREF _Toc108109244 \h </w:instrText>
        </w:r>
        <w:r w:rsidR="003C00EA">
          <w:rPr>
            <w:noProof/>
            <w:webHidden/>
          </w:rPr>
        </w:r>
        <w:r w:rsidR="003C00EA">
          <w:rPr>
            <w:noProof/>
            <w:webHidden/>
          </w:rPr>
          <w:fldChar w:fldCharType="separate"/>
        </w:r>
        <w:r w:rsidR="00CC0438">
          <w:rPr>
            <w:noProof/>
            <w:webHidden/>
          </w:rPr>
          <w:t>293</w:t>
        </w:r>
        <w:r w:rsidR="003C00EA">
          <w:rPr>
            <w:noProof/>
            <w:webHidden/>
          </w:rPr>
          <w:fldChar w:fldCharType="end"/>
        </w:r>
      </w:hyperlink>
    </w:p>
    <w:p w14:paraId="22870344" w14:textId="016657D1"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5" w:history="1">
        <w:r w:rsidR="003C00EA" w:rsidRPr="0012554A">
          <w:rPr>
            <w:rStyle w:val="Hyperlink"/>
            <w:noProof/>
          </w:rPr>
          <w:t>Figure 60: Average improvement in the K10 by young person, OOS and service-level factors</w:t>
        </w:r>
        <w:r w:rsidR="003C00EA">
          <w:rPr>
            <w:noProof/>
            <w:webHidden/>
          </w:rPr>
          <w:tab/>
        </w:r>
        <w:r w:rsidR="003C00EA">
          <w:rPr>
            <w:noProof/>
            <w:webHidden/>
          </w:rPr>
          <w:fldChar w:fldCharType="begin"/>
        </w:r>
        <w:r w:rsidR="003C00EA">
          <w:rPr>
            <w:noProof/>
            <w:webHidden/>
          </w:rPr>
          <w:instrText xml:space="preserve"> PAGEREF _Toc108109245 \h </w:instrText>
        </w:r>
        <w:r w:rsidR="003C00EA">
          <w:rPr>
            <w:noProof/>
            <w:webHidden/>
          </w:rPr>
        </w:r>
        <w:r w:rsidR="003C00EA">
          <w:rPr>
            <w:noProof/>
            <w:webHidden/>
          </w:rPr>
          <w:fldChar w:fldCharType="separate"/>
        </w:r>
        <w:r w:rsidR="00CC0438">
          <w:rPr>
            <w:noProof/>
            <w:webHidden/>
          </w:rPr>
          <w:t>296</w:t>
        </w:r>
        <w:r w:rsidR="003C00EA">
          <w:rPr>
            <w:noProof/>
            <w:webHidden/>
          </w:rPr>
          <w:fldChar w:fldCharType="end"/>
        </w:r>
      </w:hyperlink>
    </w:p>
    <w:p w14:paraId="309511BC" w14:textId="144D9702"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6" w:history="1">
        <w:r w:rsidR="003C00EA" w:rsidRPr="0012554A">
          <w:rPr>
            <w:rStyle w:val="Hyperlink"/>
            <w:noProof/>
          </w:rPr>
          <w:t>Figure 61: Average improvement in the SOFAS by young person, OOS and service-level factors</w:t>
        </w:r>
        <w:r w:rsidR="003C00EA">
          <w:rPr>
            <w:noProof/>
            <w:webHidden/>
          </w:rPr>
          <w:tab/>
        </w:r>
        <w:r w:rsidR="003C00EA">
          <w:rPr>
            <w:noProof/>
            <w:webHidden/>
          </w:rPr>
          <w:fldChar w:fldCharType="begin"/>
        </w:r>
        <w:r w:rsidR="003C00EA">
          <w:rPr>
            <w:noProof/>
            <w:webHidden/>
          </w:rPr>
          <w:instrText xml:space="preserve"> PAGEREF _Toc108109246 \h </w:instrText>
        </w:r>
        <w:r w:rsidR="003C00EA">
          <w:rPr>
            <w:noProof/>
            <w:webHidden/>
          </w:rPr>
        </w:r>
        <w:r w:rsidR="003C00EA">
          <w:rPr>
            <w:noProof/>
            <w:webHidden/>
          </w:rPr>
          <w:fldChar w:fldCharType="separate"/>
        </w:r>
        <w:r w:rsidR="00CC0438">
          <w:rPr>
            <w:noProof/>
            <w:webHidden/>
          </w:rPr>
          <w:t>297</w:t>
        </w:r>
        <w:r w:rsidR="003C00EA">
          <w:rPr>
            <w:noProof/>
            <w:webHidden/>
          </w:rPr>
          <w:fldChar w:fldCharType="end"/>
        </w:r>
      </w:hyperlink>
    </w:p>
    <w:p w14:paraId="61D61E74" w14:textId="3EAD11A4"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7" w:history="1">
        <w:r w:rsidR="003C00EA" w:rsidRPr="0012554A">
          <w:rPr>
            <w:rStyle w:val="Hyperlink"/>
            <w:noProof/>
          </w:rPr>
          <w:t>Figure 62: Average improvement in the MLT by young person, OOS and service-level factors</w:t>
        </w:r>
        <w:r w:rsidR="003C00EA">
          <w:rPr>
            <w:noProof/>
            <w:webHidden/>
          </w:rPr>
          <w:tab/>
        </w:r>
        <w:r w:rsidR="003C00EA">
          <w:rPr>
            <w:noProof/>
            <w:webHidden/>
          </w:rPr>
          <w:fldChar w:fldCharType="begin"/>
        </w:r>
        <w:r w:rsidR="003C00EA">
          <w:rPr>
            <w:noProof/>
            <w:webHidden/>
          </w:rPr>
          <w:instrText xml:space="preserve"> PAGEREF _Toc108109247 \h </w:instrText>
        </w:r>
        <w:r w:rsidR="003C00EA">
          <w:rPr>
            <w:noProof/>
            <w:webHidden/>
          </w:rPr>
        </w:r>
        <w:r w:rsidR="003C00EA">
          <w:rPr>
            <w:noProof/>
            <w:webHidden/>
          </w:rPr>
          <w:fldChar w:fldCharType="separate"/>
        </w:r>
        <w:r w:rsidR="00CC0438">
          <w:rPr>
            <w:noProof/>
            <w:webHidden/>
          </w:rPr>
          <w:t>298</w:t>
        </w:r>
        <w:r w:rsidR="003C00EA">
          <w:rPr>
            <w:noProof/>
            <w:webHidden/>
          </w:rPr>
          <w:fldChar w:fldCharType="end"/>
        </w:r>
      </w:hyperlink>
    </w:p>
    <w:p w14:paraId="6E5B3B14" w14:textId="308C49F5"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8" w:history="1">
        <w:r w:rsidR="003C00EA" w:rsidRPr="0012554A">
          <w:rPr>
            <w:rStyle w:val="Hyperlink"/>
            <w:noProof/>
          </w:rPr>
          <w:t>Figure 63: Distribution of the K10 fixed effects</w:t>
        </w:r>
        <w:r w:rsidR="003C00EA">
          <w:rPr>
            <w:noProof/>
            <w:webHidden/>
          </w:rPr>
          <w:tab/>
        </w:r>
        <w:r w:rsidR="003C00EA">
          <w:rPr>
            <w:noProof/>
            <w:webHidden/>
          </w:rPr>
          <w:fldChar w:fldCharType="begin"/>
        </w:r>
        <w:r w:rsidR="003C00EA">
          <w:rPr>
            <w:noProof/>
            <w:webHidden/>
          </w:rPr>
          <w:instrText xml:space="preserve"> PAGEREF _Toc108109248 \h </w:instrText>
        </w:r>
        <w:r w:rsidR="003C00EA">
          <w:rPr>
            <w:noProof/>
            <w:webHidden/>
          </w:rPr>
        </w:r>
        <w:r w:rsidR="003C00EA">
          <w:rPr>
            <w:noProof/>
            <w:webHidden/>
          </w:rPr>
          <w:fldChar w:fldCharType="separate"/>
        </w:r>
        <w:r w:rsidR="00CC0438">
          <w:rPr>
            <w:noProof/>
            <w:webHidden/>
          </w:rPr>
          <w:t>299</w:t>
        </w:r>
        <w:r w:rsidR="003C00EA">
          <w:rPr>
            <w:noProof/>
            <w:webHidden/>
          </w:rPr>
          <w:fldChar w:fldCharType="end"/>
        </w:r>
      </w:hyperlink>
    </w:p>
    <w:p w14:paraId="3CF66088" w14:textId="7DAD1BBE"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49" w:history="1">
        <w:r w:rsidR="003C00EA" w:rsidRPr="0012554A">
          <w:rPr>
            <w:rStyle w:val="Hyperlink"/>
            <w:noProof/>
          </w:rPr>
          <w:t>Figure 64: Distribution of the SOFAS fixed effects</w:t>
        </w:r>
        <w:r w:rsidR="003C00EA">
          <w:rPr>
            <w:noProof/>
            <w:webHidden/>
          </w:rPr>
          <w:tab/>
        </w:r>
        <w:r w:rsidR="003C00EA">
          <w:rPr>
            <w:noProof/>
            <w:webHidden/>
          </w:rPr>
          <w:fldChar w:fldCharType="begin"/>
        </w:r>
        <w:r w:rsidR="003C00EA">
          <w:rPr>
            <w:noProof/>
            <w:webHidden/>
          </w:rPr>
          <w:instrText xml:space="preserve"> PAGEREF _Toc108109249 \h </w:instrText>
        </w:r>
        <w:r w:rsidR="003C00EA">
          <w:rPr>
            <w:noProof/>
            <w:webHidden/>
          </w:rPr>
        </w:r>
        <w:r w:rsidR="003C00EA">
          <w:rPr>
            <w:noProof/>
            <w:webHidden/>
          </w:rPr>
          <w:fldChar w:fldCharType="separate"/>
        </w:r>
        <w:r w:rsidR="00CC0438">
          <w:rPr>
            <w:noProof/>
            <w:webHidden/>
          </w:rPr>
          <w:t>300</w:t>
        </w:r>
        <w:r w:rsidR="003C00EA">
          <w:rPr>
            <w:noProof/>
            <w:webHidden/>
          </w:rPr>
          <w:fldChar w:fldCharType="end"/>
        </w:r>
      </w:hyperlink>
    </w:p>
    <w:p w14:paraId="52E21B65" w14:textId="3ECAB844"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0" w:history="1">
        <w:r w:rsidR="003C00EA" w:rsidRPr="0012554A">
          <w:rPr>
            <w:rStyle w:val="Hyperlink"/>
            <w:noProof/>
          </w:rPr>
          <w:t>Figure 65: Distribution of the MLT fixed effects</w:t>
        </w:r>
        <w:r w:rsidR="003C00EA">
          <w:rPr>
            <w:noProof/>
            <w:webHidden/>
          </w:rPr>
          <w:tab/>
        </w:r>
        <w:r w:rsidR="003C00EA">
          <w:rPr>
            <w:noProof/>
            <w:webHidden/>
          </w:rPr>
          <w:fldChar w:fldCharType="begin"/>
        </w:r>
        <w:r w:rsidR="003C00EA">
          <w:rPr>
            <w:noProof/>
            <w:webHidden/>
          </w:rPr>
          <w:instrText xml:space="preserve"> PAGEREF _Toc108109250 \h </w:instrText>
        </w:r>
        <w:r w:rsidR="003C00EA">
          <w:rPr>
            <w:noProof/>
            <w:webHidden/>
          </w:rPr>
        </w:r>
        <w:r w:rsidR="003C00EA">
          <w:rPr>
            <w:noProof/>
            <w:webHidden/>
          </w:rPr>
          <w:fldChar w:fldCharType="separate"/>
        </w:r>
        <w:r w:rsidR="00CC0438">
          <w:rPr>
            <w:noProof/>
            <w:webHidden/>
          </w:rPr>
          <w:t>300</w:t>
        </w:r>
        <w:r w:rsidR="003C00EA">
          <w:rPr>
            <w:noProof/>
            <w:webHidden/>
          </w:rPr>
          <w:fldChar w:fldCharType="end"/>
        </w:r>
      </w:hyperlink>
    </w:p>
    <w:p w14:paraId="4741D14D" w14:textId="1EF8A969"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1" w:history="1">
        <w:r w:rsidR="003C00EA" w:rsidRPr="0012554A">
          <w:rPr>
            <w:rStyle w:val="Hyperlink"/>
            <w:noProof/>
          </w:rPr>
          <w:t>Figure 66: Average K10 improvement by service-level factors</w:t>
        </w:r>
        <w:r w:rsidR="003C00EA">
          <w:rPr>
            <w:noProof/>
            <w:webHidden/>
          </w:rPr>
          <w:tab/>
        </w:r>
        <w:r w:rsidR="003C00EA">
          <w:rPr>
            <w:noProof/>
            <w:webHidden/>
          </w:rPr>
          <w:fldChar w:fldCharType="begin"/>
        </w:r>
        <w:r w:rsidR="003C00EA">
          <w:rPr>
            <w:noProof/>
            <w:webHidden/>
          </w:rPr>
          <w:instrText xml:space="preserve"> PAGEREF _Toc108109251 \h </w:instrText>
        </w:r>
        <w:r w:rsidR="003C00EA">
          <w:rPr>
            <w:noProof/>
            <w:webHidden/>
          </w:rPr>
        </w:r>
        <w:r w:rsidR="003C00EA">
          <w:rPr>
            <w:noProof/>
            <w:webHidden/>
          </w:rPr>
          <w:fldChar w:fldCharType="separate"/>
        </w:r>
        <w:r w:rsidR="00CC0438">
          <w:rPr>
            <w:noProof/>
            <w:webHidden/>
          </w:rPr>
          <w:t>305</w:t>
        </w:r>
        <w:r w:rsidR="003C00EA">
          <w:rPr>
            <w:noProof/>
            <w:webHidden/>
          </w:rPr>
          <w:fldChar w:fldCharType="end"/>
        </w:r>
      </w:hyperlink>
    </w:p>
    <w:p w14:paraId="4307481F" w14:textId="2A6D7B02"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2" w:history="1">
        <w:r w:rsidR="003C00EA" w:rsidRPr="0012554A">
          <w:rPr>
            <w:rStyle w:val="Hyperlink"/>
            <w:noProof/>
          </w:rPr>
          <w:t>Figure 67: Average SOFAS improvement by service-level factors</w:t>
        </w:r>
        <w:r w:rsidR="003C00EA">
          <w:rPr>
            <w:noProof/>
            <w:webHidden/>
          </w:rPr>
          <w:tab/>
        </w:r>
        <w:r w:rsidR="003C00EA">
          <w:rPr>
            <w:noProof/>
            <w:webHidden/>
          </w:rPr>
          <w:fldChar w:fldCharType="begin"/>
        </w:r>
        <w:r w:rsidR="003C00EA">
          <w:rPr>
            <w:noProof/>
            <w:webHidden/>
          </w:rPr>
          <w:instrText xml:space="preserve"> PAGEREF _Toc108109252 \h </w:instrText>
        </w:r>
        <w:r w:rsidR="003C00EA">
          <w:rPr>
            <w:noProof/>
            <w:webHidden/>
          </w:rPr>
        </w:r>
        <w:r w:rsidR="003C00EA">
          <w:rPr>
            <w:noProof/>
            <w:webHidden/>
          </w:rPr>
          <w:fldChar w:fldCharType="separate"/>
        </w:r>
        <w:r w:rsidR="00CC0438">
          <w:rPr>
            <w:noProof/>
            <w:webHidden/>
          </w:rPr>
          <w:t>306</w:t>
        </w:r>
        <w:r w:rsidR="003C00EA">
          <w:rPr>
            <w:noProof/>
            <w:webHidden/>
          </w:rPr>
          <w:fldChar w:fldCharType="end"/>
        </w:r>
      </w:hyperlink>
    </w:p>
    <w:p w14:paraId="09669C3D" w14:textId="46F3BFA8"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3" w:history="1">
        <w:r w:rsidR="003C00EA" w:rsidRPr="0012554A">
          <w:rPr>
            <w:rStyle w:val="Hyperlink"/>
            <w:noProof/>
          </w:rPr>
          <w:t>Figure 68: Average MLT improvement by service-level factors</w:t>
        </w:r>
        <w:r w:rsidR="003C00EA">
          <w:rPr>
            <w:noProof/>
            <w:webHidden/>
          </w:rPr>
          <w:tab/>
        </w:r>
        <w:r w:rsidR="003C00EA">
          <w:rPr>
            <w:noProof/>
            <w:webHidden/>
          </w:rPr>
          <w:fldChar w:fldCharType="begin"/>
        </w:r>
        <w:r w:rsidR="003C00EA">
          <w:rPr>
            <w:noProof/>
            <w:webHidden/>
          </w:rPr>
          <w:instrText xml:space="preserve"> PAGEREF _Toc108109253 \h </w:instrText>
        </w:r>
        <w:r w:rsidR="003C00EA">
          <w:rPr>
            <w:noProof/>
            <w:webHidden/>
          </w:rPr>
        </w:r>
        <w:r w:rsidR="003C00EA">
          <w:rPr>
            <w:noProof/>
            <w:webHidden/>
          </w:rPr>
          <w:fldChar w:fldCharType="separate"/>
        </w:r>
        <w:r w:rsidR="00CC0438">
          <w:rPr>
            <w:noProof/>
            <w:webHidden/>
          </w:rPr>
          <w:t>307</w:t>
        </w:r>
        <w:r w:rsidR="003C00EA">
          <w:rPr>
            <w:noProof/>
            <w:webHidden/>
          </w:rPr>
          <w:fldChar w:fldCharType="end"/>
        </w:r>
      </w:hyperlink>
    </w:p>
    <w:p w14:paraId="408494DF" w14:textId="45FBD08E"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4" w:history="1">
        <w:r w:rsidR="003C00EA" w:rsidRPr="0012554A">
          <w:rPr>
            <w:rStyle w:val="Hyperlink"/>
            <w:noProof/>
          </w:rPr>
          <w:t>Figure 69: Distribution of follow up survey completion time</w:t>
        </w:r>
        <w:r w:rsidR="003C00EA">
          <w:rPr>
            <w:noProof/>
            <w:webHidden/>
          </w:rPr>
          <w:tab/>
        </w:r>
        <w:r w:rsidR="003C00EA">
          <w:rPr>
            <w:noProof/>
            <w:webHidden/>
          </w:rPr>
          <w:fldChar w:fldCharType="begin"/>
        </w:r>
        <w:r w:rsidR="003C00EA">
          <w:rPr>
            <w:noProof/>
            <w:webHidden/>
          </w:rPr>
          <w:instrText xml:space="preserve"> PAGEREF _Toc108109254 \h </w:instrText>
        </w:r>
        <w:r w:rsidR="003C00EA">
          <w:rPr>
            <w:noProof/>
            <w:webHidden/>
          </w:rPr>
        </w:r>
        <w:r w:rsidR="003C00EA">
          <w:rPr>
            <w:noProof/>
            <w:webHidden/>
          </w:rPr>
          <w:fldChar w:fldCharType="separate"/>
        </w:r>
        <w:r w:rsidR="00CC0438">
          <w:rPr>
            <w:noProof/>
            <w:webHidden/>
          </w:rPr>
          <w:t>309</w:t>
        </w:r>
        <w:r w:rsidR="003C00EA">
          <w:rPr>
            <w:noProof/>
            <w:webHidden/>
          </w:rPr>
          <w:fldChar w:fldCharType="end"/>
        </w:r>
      </w:hyperlink>
    </w:p>
    <w:p w14:paraId="394FF824" w14:textId="14A67DA4"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5" w:history="1">
        <w:r w:rsidR="003C00EA" w:rsidRPr="0012554A">
          <w:rPr>
            <w:rStyle w:val="Hyperlink"/>
            <w:noProof/>
          </w:rPr>
          <w:t>Figure 70: Exclusion pathways</w:t>
        </w:r>
        <w:r w:rsidR="003C00EA">
          <w:rPr>
            <w:noProof/>
            <w:webHidden/>
          </w:rPr>
          <w:tab/>
        </w:r>
        <w:r w:rsidR="003C00EA">
          <w:rPr>
            <w:noProof/>
            <w:webHidden/>
          </w:rPr>
          <w:fldChar w:fldCharType="begin"/>
        </w:r>
        <w:r w:rsidR="003C00EA">
          <w:rPr>
            <w:noProof/>
            <w:webHidden/>
          </w:rPr>
          <w:instrText xml:space="preserve"> PAGEREF _Toc108109255 \h </w:instrText>
        </w:r>
        <w:r w:rsidR="003C00EA">
          <w:rPr>
            <w:noProof/>
            <w:webHidden/>
          </w:rPr>
        </w:r>
        <w:r w:rsidR="003C00EA">
          <w:rPr>
            <w:noProof/>
            <w:webHidden/>
          </w:rPr>
          <w:fldChar w:fldCharType="separate"/>
        </w:r>
        <w:r w:rsidR="00CC0438">
          <w:rPr>
            <w:noProof/>
            <w:webHidden/>
          </w:rPr>
          <w:t>319</w:t>
        </w:r>
        <w:r w:rsidR="003C00EA">
          <w:rPr>
            <w:noProof/>
            <w:webHidden/>
          </w:rPr>
          <w:fldChar w:fldCharType="end"/>
        </w:r>
      </w:hyperlink>
    </w:p>
    <w:p w14:paraId="4BEF61B5" w14:textId="653BAE36"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6" w:history="1">
        <w:r w:rsidR="003C00EA" w:rsidRPr="0012554A">
          <w:rPr>
            <w:rStyle w:val="Hyperlink"/>
            <w:noProof/>
          </w:rPr>
          <w:t>Figure 71: Exclusion criteria for sustained outcome analysis</w:t>
        </w:r>
        <w:r w:rsidR="003C00EA">
          <w:rPr>
            <w:noProof/>
            <w:webHidden/>
          </w:rPr>
          <w:tab/>
        </w:r>
        <w:r w:rsidR="003C00EA">
          <w:rPr>
            <w:noProof/>
            <w:webHidden/>
          </w:rPr>
          <w:fldChar w:fldCharType="begin"/>
        </w:r>
        <w:r w:rsidR="003C00EA">
          <w:rPr>
            <w:noProof/>
            <w:webHidden/>
          </w:rPr>
          <w:instrText xml:space="preserve"> PAGEREF _Toc108109256 \h </w:instrText>
        </w:r>
        <w:r w:rsidR="003C00EA">
          <w:rPr>
            <w:noProof/>
            <w:webHidden/>
          </w:rPr>
        </w:r>
        <w:r w:rsidR="003C00EA">
          <w:rPr>
            <w:noProof/>
            <w:webHidden/>
          </w:rPr>
          <w:fldChar w:fldCharType="separate"/>
        </w:r>
        <w:r w:rsidR="00CC0438">
          <w:rPr>
            <w:noProof/>
            <w:webHidden/>
          </w:rPr>
          <w:t>320</w:t>
        </w:r>
        <w:r w:rsidR="003C00EA">
          <w:rPr>
            <w:noProof/>
            <w:webHidden/>
          </w:rPr>
          <w:fldChar w:fldCharType="end"/>
        </w:r>
      </w:hyperlink>
    </w:p>
    <w:p w14:paraId="3984346C" w14:textId="6E15FF8A"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7" w:history="1">
        <w:r w:rsidR="003C00EA" w:rsidRPr="0012554A">
          <w:rPr>
            <w:rStyle w:val="Hyperlink"/>
            <w:noProof/>
          </w:rPr>
          <w:t>Figure 72: Additional exclusion criteria for cost-effectiveness analysis</w:t>
        </w:r>
        <w:r w:rsidR="003C00EA">
          <w:rPr>
            <w:noProof/>
            <w:webHidden/>
          </w:rPr>
          <w:tab/>
        </w:r>
        <w:r w:rsidR="003C00EA">
          <w:rPr>
            <w:noProof/>
            <w:webHidden/>
          </w:rPr>
          <w:fldChar w:fldCharType="begin"/>
        </w:r>
        <w:r w:rsidR="003C00EA">
          <w:rPr>
            <w:noProof/>
            <w:webHidden/>
          </w:rPr>
          <w:instrText xml:space="preserve"> PAGEREF _Toc108109257 \h </w:instrText>
        </w:r>
        <w:r w:rsidR="003C00EA">
          <w:rPr>
            <w:noProof/>
            <w:webHidden/>
          </w:rPr>
        </w:r>
        <w:r w:rsidR="003C00EA">
          <w:rPr>
            <w:noProof/>
            <w:webHidden/>
          </w:rPr>
          <w:fldChar w:fldCharType="separate"/>
        </w:r>
        <w:r w:rsidR="00CC0438">
          <w:rPr>
            <w:noProof/>
            <w:webHidden/>
          </w:rPr>
          <w:t>321</w:t>
        </w:r>
        <w:r w:rsidR="003C00EA">
          <w:rPr>
            <w:noProof/>
            <w:webHidden/>
          </w:rPr>
          <w:fldChar w:fldCharType="end"/>
        </w:r>
      </w:hyperlink>
    </w:p>
    <w:p w14:paraId="1FDBDAA5" w14:textId="622293E3"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8" w:history="1">
        <w:r w:rsidR="003C00EA" w:rsidRPr="0012554A">
          <w:rPr>
            <w:rStyle w:val="Hyperlink"/>
            <w:noProof/>
          </w:rPr>
          <w:t>Figure 73: The average K10 outcome measure for episodes with at least three OOS</w:t>
        </w:r>
        <w:r w:rsidR="003C00EA">
          <w:rPr>
            <w:noProof/>
            <w:webHidden/>
          </w:rPr>
          <w:tab/>
        </w:r>
        <w:r w:rsidR="003C00EA">
          <w:rPr>
            <w:noProof/>
            <w:webHidden/>
          </w:rPr>
          <w:fldChar w:fldCharType="begin"/>
        </w:r>
        <w:r w:rsidR="003C00EA">
          <w:rPr>
            <w:noProof/>
            <w:webHidden/>
          </w:rPr>
          <w:instrText xml:space="preserve"> PAGEREF _Toc108109258 \h </w:instrText>
        </w:r>
        <w:r w:rsidR="003C00EA">
          <w:rPr>
            <w:noProof/>
            <w:webHidden/>
          </w:rPr>
        </w:r>
        <w:r w:rsidR="003C00EA">
          <w:rPr>
            <w:noProof/>
            <w:webHidden/>
          </w:rPr>
          <w:fldChar w:fldCharType="separate"/>
        </w:r>
        <w:r w:rsidR="00CC0438">
          <w:rPr>
            <w:noProof/>
            <w:webHidden/>
          </w:rPr>
          <w:t>332</w:t>
        </w:r>
        <w:r w:rsidR="003C00EA">
          <w:rPr>
            <w:noProof/>
            <w:webHidden/>
          </w:rPr>
          <w:fldChar w:fldCharType="end"/>
        </w:r>
      </w:hyperlink>
    </w:p>
    <w:p w14:paraId="505FA363" w14:textId="36097619" w:rsidR="003C00EA" w:rsidRDefault="00F333C3">
      <w:pPr>
        <w:pStyle w:val="TableofFigures"/>
        <w:tabs>
          <w:tab w:val="right" w:leader="dot" w:pos="9016"/>
        </w:tabs>
        <w:rPr>
          <w:rFonts w:asciiTheme="minorHAnsi" w:eastAsiaTheme="minorEastAsia" w:hAnsiTheme="minorHAnsi"/>
          <w:noProof/>
          <w:sz w:val="22"/>
          <w:lang w:eastAsia="en-AU"/>
        </w:rPr>
      </w:pPr>
      <w:hyperlink w:anchor="_Toc108109259" w:history="1">
        <w:r w:rsidR="003C00EA" w:rsidRPr="0012554A">
          <w:rPr>
            <w:rStyle w:val="Hyperlink"/>
            <w:noProof/>
          </w:rPr>
          <w:t>Figure 74: Mean QALY change for episodes with at least three OOS</w:t>
        </w:r>
        <w:r w:rsidR="003C00EA">
          <w:rPr>
            <w:noProof/>
            <w:webHidden/>
          </w:rPr>
          <w:tab/>
        </w:r>
        <w:r w:rsidR="003C00EA">
          <w:rPr>
            <w:noProof/>
            <w:webHidden/>
          </w:rPr>
          <w:fldChar w:fldCharType="begin"/>
        </w:r>
        <w:r w:rsidR="003C00EA">
          <w:rPr>
            <w:noProof/>
            <w:webHidden/>
          </w:rPr>
          <w:instrText xml:space="preserve"> PAGEREF _Toc108109259 \h </w:instrText>
        </w:r>
        <w:r w:rsidR="003C00EA">
          <w:rPr>
            <w:noProof/>
            <w:webHidden/>
          </w:rPr>
        </w:r>
        <w:r w:rsidR="003C00EA">
          <w:rPr>
            <w:noProof/>
            <w:webHidden/>
          </w:rPr>
          <w:fldChar w:fldCharType="separate"/>
        </w:r>
        <w:r w:rsidR="00CC0438">
          <w:rPr>
            <w:noProof/>
            <w:webHidden/>
          </w:rPr>
          <w:t>334</w:t>
        </w:r>
        <w:r w:rsidR="003C00EA">
          <w:rPr>
            <w:noProof/>
            <w:webHidden/>
          </w:rPr>
          <w:fldChar w:fldCharType="end"/>
        </w:r>
      </w:hyperlink>
    </w:p>
    <w:p w14:paraId="3DE7C02E" w14:textId="000BF6B1" w:rsidR="004D3D16" w:rsidRPr="001D6913" w:rsidRDefault="00541293" w:rsidP="004D3D16">
      <w:pPr>
        <w:pStyle w:val="BodyText"/>
      </w:pPr>
      <w:r>
        <w:fldChar w:fldCharType="end"/>
      </w:r>
    </w:p>
    <w:p w14:paraId="32A46E58" w14:textId="77777777" w:rsidR="00597F18" w:rsidRDefault="00597F18" w:rsidP="00E542A7">
      <w:pPr>
        <w:pStyle w:val="HeadingLevel1NoNumber"/>
        <w:sectPr w:rsidR="00597F18" w:rsidSect="00C8473B">
          <w:headerReference w:type="default" r:id="rId15"/>
          <w:footerReference w:type="default" r:id="rId16"/>
          <w:pgSz w:w="11906" w:h="16838"/>
          <w:pgMar w:top="1440" w:right="1440" w:bottom="1440" w:left="1440" w:header="709" w:footer="453" w:gutter="0"/>
          <w:pgNumType w:start="1"/>
          <w:cols w:space="708"/>
          <w:docGrid w:linePitch="360"/>
        </w:sectPr>
      </w:pPr>
    </w:p>
    <w:p w14:paraId="43F14EC8" w14:textId="1882AFF4" w:rsidR="00597F18" w:rsidRDefault="00EB455C" w:rsidP="00E542A7">
      <w:pPr>
        <w:pStyle w:val="HeadingLevel1NoNumber"/>
      </w:pPr>
      <w:bookmarkStart w:id="7" w:name="_Toc108173967"/>
      <w:r>
        <w:t>Acknowledgement</w:t>
      </w:r>
      <w:bookmarkEnd w:id="7"/>
    </w:p>
    <w:p w14:paraId="4670044B" w14:textId="67C0C2DA" w:rsidR="009E5C95" w:rsidRPr="009E5C95" w:rsidRDefault="00EB455C" w:rsidP="009E5C95">
      <w:pPr>
        <w:pStyle w:val="IntenseQuote"/>
      </w:pPr>
      <w:r>
        <w:t>The Evaluation Team would like to acknowledge</w:t>
      </w:r>
      <w:r w:rsidR="007B65CB">
        <w:t xml:space="preserve"> those </w:t>
      </w:r>
      <w:r w:rsidR="002451B9">
        <w:t xml:space="preserve">individuals </w:t>
      </w:r>
      <w:r w:rsidR="007B65CB">
        <w:t xml:space="preserve">who gave up their time to be consulted as part of this </w:t>
      </w:r>
      <w:r w:rsidR="00587036">
        <w:t>e</w:t>
      </w:r>
      <w:r w:rsidR="007B65CB">
        <w:t>valuation, including those young people with lived experience of mental ill-health</w:t>
      </w:r>
      <w:r w:rsidR="009E5C95">
        <w:t>.</w:t>
      </w:r>
      <w:r w:rsidR="003078F3">
        <w:t xml:space="preserve"> </w:t>
      </w:r>
      <w:r w:rsidR="009E5C95">
        <w:t xml:space="preserve">It would not </w:t>
      </w:r>
      <w:r w:rsidR="003034DF">
        <w:t>have</w:t>
      </w:r>
      <w:r w:rsidR="009E5C95">
        <w:t xml:space="preserve"> be</w:t>
      </w:r>
      <w:r w:rsidR="003034DF">
        <w:t>en</w:t>
      </w:r>
      <w:r w:rsidR="009E5C95">
        <w:t xml:space="preserve"> possible to </w:t>
      </w:r>
      <w:r w:rsidR="006809F8">
        <w:t>complete</w:t>
      </w:r>
      <w:r w:rsidR="009E5C95">
        <w:t xml:space="preserve"> the evaluation without their considered input</w:t>
      </w:r>
      <w:r w:rsidR="00367FD1">
        <w:t>.</w:t>
      </w:r>
    </w:p>
    <w:p w14:paraId="09AB9386" w14:textId="69001669" w:rsidR="003078F3" w:rsidRPr="003078F3" w:rsidRDefault="000227A1" w:rsidP="00F47771">
      <w:pPr>
        <w:pStyle w:val="IntenseQuote"/>
      </w:pPr>
      <w:r>
        <w:t xml:space="preserve">It is </w:t>
      </w:r>
      <w:r w:rsidR="003078F3" w:rsidRPr="003078F3">
        <w:t>acknowledge</w:t>
      </w:r>
      <w:r>
        <w:t>d</w:t>
      </w:r>
      <w:r w:rsidR="002451B9">
        <w:t xml:space="preserve"> that</w:t>
      </w:r>
      <w:r w:rsidR="003078F3" w:rsidRPr="003078F3">
        <w:t xml:space="preserve"> there is no single set of terminology that suits all situations and people. No</w:t>
      </w:r>
      <w:r w:rsidR="003078F3">
        <w:t xml:space="preserve"> </w:t>
      </w:r>
      <w:r w:rsidR="003078F3" w:rsidRPr="003078F3">
        <w:t xml:space="preserve">exclusion or harm of people is intended </w:t>
      </w:r>
      <w:r w:rsidR="0076321D">
        <w:t>by</w:t>
      </w:r>
      <w:r w:rsidR="003078F3" w:rsidRPr="003078F3">
        <w:t xml:space="preserve"> the terms used in this report. The report endeavours to use inclusive language, while acknowledging the evidence base and the experiences of young p</w:t>
      </w:r>
      <w:r w:rsidR="00F47771">
        <w:t>eople.</w:t>
      </w:r>
    </w:p>
    <w:p w14:paraId="012C4FCB" w14:textId="77777777" w:rsidR="00EB455C" w:rsidRDefault="00EB455C" w:rsidP="00EB455C">
      <w:pPr>
        <w:pStyle w:val="BodyText"/>
      </w:pPr>
    </w:p>
    <w:p w14:paraId="3FA12B4F" w14:textId="77777777" w:rsidR="00597F18" w:rsidRPr="007511DA" w:rsidRDefault="00597F18" w:rsidP="007511DA">
      <w:pPr>
        <w:pStyle w:val="BodyText"/>
        <w:sectPr w:rsidR="00597F18" w:rsidRPr="007511DA" w:rsidSect="00E02C03">
          <w:headerReference w:type="default" r:id="rId17"/>
          <w:footerReference w:type="default" r:id="rId18"/>
          <w:pgSz w:w="11906" w:h="16838"/>
          <w:pgMar w:top="1418" w:right="1418" w:bottom="1418" w:left="1418" w:header="709" w:footer="453" w:gutter="0"/>
          <w:cols w:space="708"/>
          <w:docGrid w:linePitch="360"/>
        </w:sectPr>
      </w:pPr>
    </w:p>
    <w:p w14:paraId="3336CB9E" w14:textId="71F0BE11" w:rsidR="003C2E5B" w:rsidRDefault="00571F2E" w:rsidP="003C2E5B">
      <w:pPr>
        <w:pStyle w:val="HeadingLevel1NoNumber"/>
      </w:pPr>
      <w:bookmarkStart w:id="8" w:name="_Toc108173968"/>
      <w:r w:rsidRPr="0045730D">
        <w:t>Executive Summary</w:t>
      </w:r>
      <w:bookmarkEnd w:id="8"/>
    </w:p>
    <w:p w14:paraId="793AC3EC" w14:textId="76759B2D" w:rsidR="0045730D" w:rsidRDefault="0045730D" w:rsidP="000244E4">
      <w:pPr>
        <w:pStyle w:val="BodyText"/>
      </w:pPr>
      <w:r>
        <w:t xml:space="preserve">The headspace </w:t>
      </w:r>
      <w:r w:rsidR="00293C9C">
        <w:t>program</w:t>
      </w:r>
      <w:r>
        <w:t xml:space="preserve"> has been evaluated twice before, in 2009 and 2015. The current evaluation, the subject of this report, build</w:t>
      </w:r>
      <w:r w:rsidR="00AF77B5">
        <w:t>s</w:t>
      </w:r>
      <w:r>
        <w:t xml:space="preserve"> on these prior analyses to explore how the </w:t>
      </w:r>
      <w:r w:rsidR="006B37DC">
        <w:t>model</w:t>
      </w:r>
      <w:r>
        <w:t xml:space="preserve"> operates today, and the impact of ongoing changes in its </w:t>
      </w:r>
      <w:r w:rsidR="006B37DC">
        <w:t>design</w:t>
      </w:r>
      <w:r>
        <w:t>, reach and priorities on the availability of high</w:t>
      </w:r>
      <w:r>
        <w:noBreakHyphen/>
        <w:t xml:space="preserve">quality, effective mental health care for young Australians. </w:t>
      </w:r>
    </w:p>
    <w:p w14:paraId="02800D3B" w14:textId="00D0ADBB" w:rsidR="00DB52A2" w:rsidRDefault="0045730D" w:rsidP="000244E4">
      <w:pPr>
        <w:pStyle w:val="BodyText"/>
      </w:pPr>
      <w:r>
        <w:t xml:space="preserve">This evaluation </w:t>
      </w:r>
      <w:r w:rsidR="00984747">
        <w:t xml:space="preserve">is </w:t>
      </w:r>
      <w:r>
        <w:t xml:space="preserve">focused on headspace service provision, as provided </w:t>
      </w:r>
      <w:r w:rsidR="007A04CE">
        <w:t>by</w:t>
      </w:r>
      <w:r>
        <w:t xml:space="preserve"> individual services around Australia from </w:t>
      </w:r>
      <w:r w:rsidR="003C00EA">
        <w:t xml:space="preserve">1 </w:t>
      </w:r>
      <w:r>
        <w:t xml:space="preserve">July 2015 to </w:t>
      </w:r>
      <w:r w:rsidR="003C00EA">
        <w:t>30</w:t>
      </w:r>
      <w:r>
        <w:t xml:space="preserve"> June 2020.</w:t>
      </w:r>
      <w:r w:rsidRPr="0045730D">
        <w:t xml:space="preserve"> </w:t>
      </w:r>
      <w:r w:rsidR="00984747">
        <w:t xml:space="preserve">Various </w:t>
      </w:r>
      <w:r>
        <w:t xml:space="preserve">developments in Australia’s mental health landscape </w:t>
      </w:r>
      <w:r w:rsidR="00984747">
        <w:t>within the period are taken</w:t>
      </w:r>
      <w:r>
        <w:t xml:space="preserve"> into account for this evaluation</w:t>
      </w:r>
      <w:r w:rsidR="00E96701">
        <w:t>, which is intended to</w:t>
      </w:r>
      <w:r>
        <w:t xml:space="preserve"> help inform policy and investment decisions about the future direction of the headspace model. </w:t>
      </w:r>
    </w:p>
    <w:p w14:paraId="4904171D" w14:textId="4E27B872" w:rsidR="000E385F" w:rsidRDefault="000E385F" w:rsidP="00DB52A2">
      <w:pPr>
        <w:pStyle w:val="HeadingLevel2NoNumber"/>
      </w:pPr>
      <w:r>
        <w:t>The headspace model</w:t>
      </w:r>
    </w:p>
    <w:p w14:paraId="30578D71" w14:textId="2B80535C" w:rsidR="007F7CBF" w:rsidRDefault="000E385F" w:rsidP="000244E4">
      <w:pPr>
        <w:pStyle w:val="BodyText"/>
      </w:pPr>
      <w:r>
        <w:t>headspace is often referred to as the Australian Government’s flagship mental health program for people aged 12 to 25. Since 2006, it has played an important role in efforts to tackle mental ill-health, self-harm</w:t>
      </w:r>
      <w:r w:rsidR="003943A0">
        <w:t>,</w:t>
      </w:r>
      <w:r>
        <w:t xml:space="preserve"> and suicide among young Australians. Delivered as a network of community-led and governed centres across Australia, headspace services support young people and their families to access clinical and community mental health supports and interventions. </w:t>
      </w:r>
    </w:p>
    <w:p w14:paraId="29D9F933" w14:textId="77777777" w:rsidR="007F7CBF" w:rsidRDefault="007F7CBF" w:rsidP="000244E4">
      <w:pPr>
        <w:pStyle w:val="BodyText"/>
      </w:pPr>
      <w:r>
        <w:t xml:space="preserve">headspace provides services across four core streams to provide holistic support for young people. The four core streams are: </w:t>
      </w:r>
    </w:p>
    <w:p w14:paraId="2A39E881" w14:textId="6453123B" w:rsidR="007F7CBF" w:rsidRDefault="007F7CBF" w:rsidP="007F7CBF">
      <w:pPr>
        <w:pStyle w:val="Bullet1stlevel"/>
      </w:pPr>
      <w:r>
        <w:t>mental health and wellbeing</w:t>
      </w:r>
      <w:r w:rsidR="005C3FEB">
        <w:t>;</w:t>
      </w:r>
    </w:p>
    <w:p w14:paraId="0A996193" w14:textId="61EF56D8" w:rsidR="007F7CBF" w:rsidRDefault="007F7CBF" w:rsidP="007F7CBF">
      <w:pPr>
        <w:pStyle w:val="Bullet1stlevel"/>
      </w:pPr>
      <w:r>
        <w:t>physical and sexual health</w:t>
      </w:r>
      <w:r w:rsidR="005C3FEB">
        <w:t>;</w:t>
      </w:r>
    </w:p>
    <w:p w14:paraId="39410D88" w14:textId="3430654A" w:rsidR="007F7CBF" w:rsidRDefault="007F7CBF" w:rsidP="007F7CBF">
      <w:pPr>
        <w:pStyle w:val="Bullet1stlevel"/>
      </w:pPr>
      <w:r>
        <w:t>work and study support</w:t>
      </w:r>
      <w:r w:rsidR="005C3FEB">
        <w:t>; and</w:t>
      </w:r>
    </w:p>
    <w:p w14:paraId="0FB0FF0A" w14:textId="77777777" w:rsidR="007F7CBF" w:rsidRDefault="007F7CBF" w:rsidP="007F7CBF">
      <w:pPr>
        <w:pStyle w:val="Bullet1stlevel"/>
      </w:pPr>
      <w:r>
        <w:t>alcohol and other drug (AOD) services.</w:t>
      </w:r>
    </w:p>
    <w:p w14:paraId="1434D3F0" w14:textId="3241A120" w:rsidR="007F7CBF" w:rsidRDefault="007F7CBF" w:rsidP="000244E4">
      <w:pPr>
        <w:pStyle w:val="BodyText"/>
      </w:pPr>
      <w:r>
        <w:t>These services can be delivered in-person at headspace services and through telehealth</w:t>
      </w:r>
      <w:r w:rsidR="00C904A8">
        <w:t>,</w:t>
      </w:r>
      <w:r w:rsidR="005143EF">
        <w:t xml:space="preserve"> </w:t>
      </w:r>
      <w:r>
        <w:t>to help ensure young people are able to access mental health supports when they are needed, particularly for those young people who live in regional and remote areas.</w:t>
      </w:r>
    </w:p>
    <w:p w14:paraId="49B36598" w14:textId="48D0C212" w:rsidR="007F7CBF" w:rsidRPr="00393591" w:rsidRDefault="007F7CBF" w:rsidP="000244E4">
      <w:pPr>
        <w:pStyle w:val="BodyText"/>
      </w:pPr>
      <w:r>
        <w:t>The</w:t>
      </w:r>
      <w:r w:rsidR="00A9436B">
        <w:t xml:space="preserve"> headspace</w:t>
      </w:r>
      <w:r>
        <w:t xml:space="preserve"> program’s service cohort is young people aged 12 to 25 with mild to moderate mental health conditions and those experiencing episodic or situational need. The headspace model is designed to meet the mental health needs of young people who are deemed at risk of, or who are experiencing, the early stages of a mental health disorder or who are facing common co-occurring situational stressors or difficulties. </w:t>
      </w:r>
      <w:r w:rsidR="00A62E16">
        <w:t>It is intended that y</w:t>
      </w:r>
      <w:r>
        <w:t xml:space="preserve">oung people with more intensive needs who present to headspace are supported to access other services through partnerships and service system linkage. </w:t>
      </w:r>
    </w:p>
    <w:p w14:paraId="74AE6AA6" w14:textId="5A50144C" w:rsidR="005559CD" w:rsidRDefault="00ED26C0" w:rsidP="000244E4">
      <w:pPr>
        <w:pStyle w:val="BodyText"/>
        <w:rPr>
          <w:rFonts w:cs="Calibri"/>
          <w:szCs w:val="20"/>
        </w:rPr>
      </w:pPr>
      <w:r>
        <w:fldChar w:fldCharType="begin" w:fldLock="1"/>
      </w:r>
      <w:r>
        <w:instrText xml:space="preserve"> REF _Ref98474380 \h </w:instrText>
      </w:r>
      <w:r w:rsidR="00E91E8F">
        <w:instrText xml:space="preserve"> \* MERGEFORMAT </w:instrText>
      </w:r>
      <w:r>
        <w:fldChar w:fldCharType="separate"/>
      </w:r>
      <w:r>
        <w:t xml:space="preserve">Figure </w:t>
      </w:r>
      <w:r>
        <w:rPr>
          <w:noProof/>
        </w:rPr>
        <w:t>1</w:t>
      </w:r>
      <w:r>
        <w:fldChar w:fldCharType="end"/>
      </w:r>
      <w:r>
        <w:t xml:space="preserve">, below, provides an overview of the headspace program logic, outlining the relationship between elements of the headspace model. </w:t>
      </w:r>
      <w:r w:rsidR="00635572">
        <w:rPr>
          <w:rFonts w:cs="Calibri"/>
          <w:szCs w:val="20"/>
        </w:rPr>
        <w:t>The model is designed to achieve a range of short</w:t>
      </w:r>
      <w:r w:rsidR="005143EF">
        <w:rPr>
          <w:rFonts w:cs="Calibri"/>
          <w:szCs w:val="20"/>
        </w:rPr>
        <w:t>-</w:t>
      </w:r>
      <w:r w:rsidR="00635572">
        <w:rPr>
          <w:rFonts w:cs="Calibri"/>
          <w:szCs w:val="20"/>
        </w:rPr>
        <w:t>term impacts, including improved mental health literacy, increased early help seeking behaviours, the promotion of a positive experience of service for young people, and improved psychosocial outcomes. These then lead to medium</w:t>
      </w:r>
      <w:r w:rsidR="007E76A0">
        <w:rPr>
          <w:rFonts w:cs="Calibri"/>
          <w:szCs w:val="20"/>
        </w:rPr>
        <w:t>-</w:t>
      </w:r>
      <w:r w:rsidR="00635572">
        <w:rPr>
          <w:rFonts w:cs="Calibri"/>
          <w:szCs w:val="20"/>
        </w:rPr>
        <w:t>term impacts for the functioning, wellbeing and quality of life of young people and their families and friends, as well as improvements to the identification and treatment of mental health problems for young people and improved pathways to care through service integration and accessibility. In the long</w:t>
      </w:r>
      <w:r w:rsidR="007E76A0">
        <w:rPr>
          <w:rFonts w:cs="Calibri"/>
          <w:szCs w:val="20"/>
        </w:rPr>
        <w:t>-</w:t>
      </w:r>
      <w:r w:rsidR="00635572">
        <w:rPr>
          <w:rFonts w:cs="Calibri"/>
          <w:szCs w:val="20"/>
        </w:rPr>
        <w:t>term, the model is intended to drive enhanced service provision and access, to improve health outcomes and to increase social and economic outcomes for young people over their life course.</w:t>
      </w:r>
    </w:p>
    <w:p w14:paraId="191BCC9C" w14:textId="19FA7F27" w:rsidR="00AB1840" w:rsidRDefault="00AB1840" w:rsidP="005F604D">
      <w:pPr>
        <w:pStyle w:val="Caption"/>
      </w:pPr>
      <w:bookmarkStart w:id="9" w:name="_Ref98474380"/>
      <w:bookmarkStart w:id="10" w:name="_Toc108109186"/>
      <w:r>
        <w:t xml:space="preserve">Figure </w:t>
      </w:r>
      <w:r>
        <w:fldChar w:fldCharType="begin"/>
      </w:r>
      <w:r>
        <w:instrText>SEQ Figure \* ARABIC</w:instrText>
      </w:r>
      <w:r>
        <w:fldChar w:fldCharType="separate"/>
      </w:r>
      <w:r w:rsidR="00CC0438">
        <w:rPr>
          <w:noProof/>
        </w:rPr>
        <w:t>1</w:t>
      </w:r>
      <w:r>
        <w:fldChar w:fldCharType="end"/>
      </w:r>
      <w:bookmarkEnd w:id="9"/>
      <w:r>
        <w:t>: Summary of the headspace program logic</w:t>
      </w:r>
      <w:bookmarkEnd w:id="10"/>
    </w:p>
    <w:p w14:paraId="5A853863" w14:textId="2273EF99" w:rsidR="00AB1840" w:rsidRDefault="003D35A0" w:rsidP="003006A8">
      <w:pPr>
        <w:pStyle w:val="BodyText"/>
      </w:pPr>
      <w:r>
        <w:rPr>
          <w:noProof/>
        </w:rPr>
        <w:drawing>
          <wp:inline distT="0" distB="0" distL="0" distR="0" wp14:anchorId="253BDADA" wp14:editId="77B6EF2C">
            <wp:extent cx="5700405" cy="8144933"/>
            <wp:effectExtent l="0" t="0" r="0" b="8890"/>
            <wp:docPr id="221" name="Picture 221" descr="Figure 1 is a diagram summarising components of the headspace program logic. &#10;Inputs are summarised at the top of the diagram and include the Commonwealth headspace grant, Additional Commonwealth funding from PHNs, State/territory government funding, MBS funding, In-kind contributions and Private donations and Out-of-pocket payments (minor inputs).&#10;The next box in the diagram summarises headspace activities, including Activities provided to young people and their families as clients, Activities provided within communities, and Activities provided within service systems, including headspace service and lead agency operations, headspace model fidelity, and partnerships and coordination.&#10;The next box summarises outputs from headspace services. Young people receive support with Mental health and wellbeing, Physical and sexual health, Work and study support, and Alcohol and other drug services.&#10;The next box summarises short term impacts from headspace services, including Intermediate outcomes (e.g., mental health literacy, early help seeking), Service system outcomes, User experience outcomes and Psychosocial outcomes&#10;The 2nd last box summarises medium term impacts from headspace services, including Improved functioning, and quality of life and wellbeing for young people; Improved quality of life and wellbeing, and capacity to support people for families and friends accessing headspace; Improved identification and treatment of mental health problems for young people through earlier identification and early help seeking; and Improved pathways to care, integrated and coordinated mental health support, and youth-friendly and accessible local service systems.&#10;The final box summarises long term impacts from headspace services, including Enhanced service provision and access for young people over their life course; Improved health outcomes for young people over their life course; and Increased social and economic outcomes for young people over their life cour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Figure 1 is a diagram summarising components of the headspace program logic. &#10;Inputs are summarised at the top of the diagram and include the Commonwealth headspace grant, Additional Commonwealth funding from PHNs, State/territory government funding, MBS funding, In-kind contributions and Private donations and Out-of-pocket payments (minor inputs).&#10;The next box in the diagram summarises headspace activities, including Activities provided to young people and their families as clients, Activities provided within communities, and Activities provided within service systems, including headspace service and lead agency operations, headspace model fidelity, and partnerships and coordination.&#10;The next box summarises outputs from headspace services. Young people receive support with Mental health and wellbeing, Physical and sexual health, Work and study support, and Alcohol and other drug services.&#10;The next box summarises short term impacts from headspace services, including Intermediate outcomes (e.g., mental health literacy, early help seeking), Service system outcomes, User experience outcomes and Psychosocial outcomes&#10;The 2nd last box summarises medium term impacts from headspace services, including Improved functioning, and quality of life and wellbeing for young people; Improved quality of life and wellbeing, and capacity to support people for families and friends accessing headspace; Improved identification and treatment of mental health problems for young people through earlier identification and early help seeking; and Improved pathways to care, integrated and coordinated mental health support, and youth-friendly and accessible local service systems.&#10;The final box summarises long term impacts from headspace services, including Enhanced service provision and access for young people over their life course; Improved health outcomes for young people over their life course; and Increased social and economic outcomes for young people over their life cours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325" cy="8146248"/>
                    </a:xfrm>
                    <a:prstGeom prst="rect">
                      <a:avLst/>
                    </a:prstGeom>
                    <a:noFill/>
                  </pic:spPr>
                </pic:pic>
              </a:graphicData>
            </a:graphic>
          </wp:inline>
        </w:drawing>
      </w:r>
    </w:p>
    <w:p w14:paraId="43D12540" w14:textId="77777777" w:rsidR="00AB1840" w:rsidRDefault="00AB1840" w:rsidP="00AB1840">
      <w:pPr>
        <w:pStyle w:val="Source"/>
        <w:rPr>
          <w:bCs/>
        </w:rPr>
      </w:pPr>
      <w:r>
        <w:t>Source: KPMG 2022, adapted from headspace National</w:t>
      </w:r>
    </w:p>
    <w:p w14:paraId="3B9EEEB1" w14:textId="77777777" w:rsidR="0045730D" w:rsidRDefault="0045730D" w:rsidP="001B5CE9">
      <w:pPr>
        <w:pStyle w:val="HeadingLevel2NoNumber"/>
      </w:pPr>
      <w:r>
        <w:t>Evaluation domains of inquiry</w:t>
      </w:r>
    </w:p>
    <w:p w14:paraId="5B37C19C" w14:textId="2BA4A8E2" w:rsidR="0045730D" w:rsidRDefault="0045730D" w:rsidP="000244E4">
      <w:pPr>
        <w:pStyle w:val="BodyText"/>
      </w:pPr>
      <w:r>
        <w:t xml:space="preserve">This evaluation </w:t>
      </w:r>
      <w:r w:rsidR="00B209C0">
        <w:t>targeted</w:t>
      </w:r>
      <w:r>
        <w:t xml:space="preserve"> four domains of inquiry. For each domain, a range of evaluation questions were specified and have been answered through this evaluation. These questions fall broadly into three categories of evaluation, being process evaluation, economic evaluation</w:t>
      </w:r>
      <w:r w:rsidR="00965978">
        <w:t>,</w:t>
      </w:r>
      <w:r>
        <w:t xml:space="preserve"> and outcome evaluation</w:t>
      </w:r>
      <w:r w:rsidR="00EB218A">
        <w:t>. Sta</w:t>
      </w:r>
      <w:r>
        <w:t>tistical methods</w:t>
      </w:r>
      <w:r w:rsidR="00F85B87">
        <w:t>,</w:t>
      </w:r>
      <w:r>
        <w:t xml:space="preserve"> rather than an experimental design</w:t>
      </w:r>
      <w:r w:rsidR="00E35B7E">
        <w:t>,</w:t>
      </w:r>
      <w:r w:rsidR="0008065E">
        <w:t xml:space="preserve"> have been used</w:t>
      </w:r>
      <w:r w:rsidR="00F85B87">
        <w:t xml:space="preserve"> for</w:t>
      </w:r>
      <w:r>
        <w:t xml:space="preserve"> the </w:t>
      </w:r>
      <w:r w:rsidR="00F85B87">
        <w:t>evaluation</w:t>
      </w:r>
      <w:r>
        <w:t>,</w:t>
      </w:r>
      <w:r w:rsidR="0008065E">
        <w:t xml:space="preserve"> due to</w:t>
      </w:r>
      <w:r>
        <w:t xml:space="preserve"> project timeframes </w:t>
      </w:r>
      <w:r w:rsidR="0008065E">
        <w:t>and</w:t>
      </w:r>
      <w:r>
        <w:t xml:space="preserve"> the absence of pre-existing data linkage arrangements. </w:t>
      </w:r>
    </w:p>
    <w:p w14:paraId="3EF1D54E" w14:textId="1B5C4D65" w:rsidR="0045730D" w:rsidRDefault="0045730D" w:rsidP="0045730D">
      <w:pPr>
        <w:pStyle w:val="Caption"/>
        <w:jc w:val="both"/>
      </w:pPr>
      <w:bookmarkStart w:id="11" w:name="_Ref101779854"/>
      <w:bookmarkStart w:id="12" w:name="_Toc108109187"/>
      <w:r>
        <w:t xml:space="preserve">Figure </w:t>
      </w:r>
      <w:r>
        <w:fldChar w:fldCharType="begin"/>
      </w:r>
      <w:r>
        <w:instrText>SEQ Figure \* ARABIC</w:instrText>
      </w:r>
      <w:r>
        <w:fldChar w:fldCharType="separate"/>
      </w:r>
      <w:r w:rsidR="00CC0438">
        <w:rPr>
          <w:noProof/>
        </w:rPr>
        <w:t>2</w:t>
      </w:r>
      <w:r>
        <w:fldChar w:fldCharType="end"/>
      </w:r>
      <w:bookmarkEnd w:id="11"/>
      <w:r>
        <w:t>: Overview of the evaluation design</w:t>
      </w:r>
      <w:bookmarkEnd w:id="12"/>
      <w:r>
        <w:t xml:space="preserve"> </w:t>
      </w:r>
    </w:p>
    <w:p w14:paraId="6E98A5E2" w14:textId="5E5C1FDD" w:rsidR="00CC6F57" w:rsidRDefault="008362F6" w:rsidP="008362F6">
      <w:pPr>
        <w:pStyle w:val="Source"/>
        <w:ind w:left="-284"/>
        <w:rPr>
          <w:noProof/>
        </w:rPr>
      </w:pPr>
      <w:r>
        <w:rPr>
          <w:noProof/>
        </w:rPr>
        <w:drawing>
          <wp:inline distT="0" distB="0" distL="0" distR="0" wp14:anchorId="6ABFA214" wp14:editId="2D2ECCAF">
            <wp:extent cx="6062133" cy="1501490"/>
            <wp:effectExtent l="0" t="0" r="0" b="0"/>
            <wp:docPr id="110" name="Picture 110" descr="Figure 2 summarises the elements of the headspace evaluation design. The first box summarises elements of process evaluation, including understanding headspace through model design and how this aligns to need, and reach and take-up of the model. &#10;The second box summarises elements of the outcomes evaluation, including the effectiveness of headspace in achieving intermediate program outcomes, and clinical outcomes. &#10;The third box summarises elements of the economic evaluation, including a cost utility and cost effectiveness analysis. &#10;The final box summarises the approach to future enhancement, including opportunities for refinement of headspace to improve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Figure 2 summarises the elements of the headspace evaluation design. The first box summarises elements of process evaluation, including understanding headspace through model design and how this aligns to need, and reach and take-up of the model. &#10;The second box summarises elements of the outcomes evaluation, including the effectiveness of headspace in achieving intermediate program outcomes, and clinical outcomes. &#10;The third box summarises elements of the economic evaluation, including a cost utility and cost effectiveness analysis. &#10;The final box summarises the approach to future enhancement, including opportunities for refinement of headspace to improve sustainabi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5874" cy="1507370"/>
                    </a:xfrm>
                    <a:prstGeom prst="rect">
                      <a:avLst/>
                    </a:prstGeom>
                    <a:noFill/>
                  </pic:spPr>
                </pic:pic>
              </a:graphicData>
            </a:graphic>
          </wp:inline>
        </w:drawing>
      </w:r>
    </w:p>
    <w:p w14:paraId="1F42ED1A" w14:textId="77C33D1E" w:rsidR="0045730D" w:rsidRDefault="0045730D" w:rsidP="0045730D">
      <w:pPr>
        <w:pStyle w:val="Source"/>
        <w:rPr>
          <w:bCs/>
        </w:rPr>
      </w:pPr>
      <w:r>
        <w:t>Source: KPMG 2022</w:t>
      </w:r>
    </w:p>
    <w:p w14:paraId="5648DED1" w14:textId="77777777" w:rsidR="0096354F" w:rsidRDefault="0096354F" w:rsidP="0096354F">
      <w:pPr>
        <w:pStyle w:val="HeadingLevel3NoNumber"/>
      </w:pPr>
      <w:r>
        <w:t>Domain 1: Understanding headspace</w:t>
      </w:r>
    </w:p>
    <w:p w14:paraId="1E08DD36" w14:textId="77777777" w:rsidR="00945AFC" w:rsidRDefault="00945AFC" w:rsidP="000244E4">
      <w:pPr>
        <w:pStyle w:val="BodyText"/>
      </w:pPr>
      <w:r>
        <w:t xml:space="preserve">This domain of inquiry utilises </w:t>
      </w:r>
      <w:r>
        <w:rPr>
          <w:b/>
          <w:bCs/>
        </w:rPr>
        <w:t>process evaluation</w:t>
      </w:r>
      <w:r>
        <w:t xml:space="preserve"> methods, focusing on program design documentation and administrative data and literature review to test </w:t>
      </w:r>
      <w:r>
        <w:rPr>
          <w:i/>
          <w:iCs/>
        </w:rPr>
        <w:t>alignment to need</w:t>
      </w:r>
      <w:r>
        <w:t xml:space="preserve"> and </w:t>
      </w:r>
      <w:r>
        <w:rPr>
          <w:i/>
          <w:iCs/>
        </w:rPr>
        <w:t>model fidelity</w:t>
      </w:r>
      <w:r>
        <w:t xml:space="preserve">. </w:t>
      </w:r>
    </w:p>
    <w:p w14:paraId="4498DC7B" w14:textId="4D655C3E" w:rsidR="0096354F" w:rsidRDefault="0096354F" w:rsidP="000244E4">
      <w:pPr>
        <w:pStyle w:val="BodyText"/>
      </w:pPr>
      <w:r>
        <w:t>The following evaluation approach was applied</w:t>
      </w:r>
      <w:r w:rsidR="00945AFC">
        <w:t>:</w:t>
      </w:r>
    </w:p>
    <w:p w14:paraId="374F2B62" w14:textId="718ED0BD" w:rsidR="0096354F" w:rsidRDefault="0096354F" w:rsidP="0096354F">
      <w:pPr>
        <w:pStyle w:val="Bullet1stlevel"/>
      </w:pPr>
      <w:r>
        <w:t>Exploring the design of the headspace model, and evaluating the model against the mental health and wellbeing needs of young people in Australia</w:t>
      </w:r>
      <w:r w:rsidR="005A15F1">
        <w:t>.</w:t>
      </w:r>
    </w:p>
    <w:p w14:paraId="73401A20" w14:textId="44BC0BFF" w:rsidR="0096354F" w:rsidRDefault="0096354F" w:rsidP="0096354F">
      <w:pPr>
        <w:pStyle w:val="Bullet1stlevel"/>
      </w:pPr>
      <w:r>
        <w:t>Detailing the program</w:t>
      </w:r>
      <w:r w:rsidR="00BB6FC3">
        <w:t>’s</w:t>
      </w:r>
      <w:r>
        <w:t xml:space="preserve"> reach and take-up over the five year period</w:t>
      </w:r>
      <w:r w:rsidR="00AE0963">
        <w:t>,</w:t>
      </w:r>
      <w:r>
        <w:t xml:space="preserve"> </w:t>
      </w:r>
      <w:r w:rsidR="00AE0963">
        <w:t xml:space="preserve">including </w:t>
      </w:r>
      <w:r>
        <w:t>analysis of who accessed support through the headspace model, what support they received and who provided th</w:t>
      </w:r>
      <w:r w:rsidR="00124AED">
        <w:t>e</w:t>
      </w:r>
      <w:r>
        <w:t xml:space="preserve"> support</w:t>
      </w:r>
      <w:r w:rsidR="005A15F1">
        <w:t>.</w:t>
      </w:r>
      <w:r>
        <w:t xml:space="preserve"> </w:t>
      </w:r>
    </w:p>
    <w:p w14:paraId="7D37416C" w14:textId="643696B8" w:rsidR="0096354F" w:rsidRDefault="0096354F" w:rsidP="0096354F">
      <w:pPr>
        <w:pStyle w:val="Bullet1stlevel"/>
      </w:pPr>
      <w:r>
        <w:t>Examining variation in geographical spread and the characteristics of young people accessing the service.</w:t>
      </w:r>
    </w:p>
    <w:p w14:paraId="613C5706" w14:textId="48C6B47E" w:rsidR="0096354F" w:rsidRDefault="0096354F" w:rsidP="0096354F">
      <w:pPr>
        <w:pStyle w:val="HeadingLevel3NoNumber"/>
      </w:pPr>
      <w:r>
        <w:t xml:space="preserve">Domain 2: </w:t>
      </w:r>
      <w:r w:rsidR="00EB4C84">
        <w:t>E</w:t>
      </w:r>
      <w:r>
        <w:t>ffectiveness of headspace in achieving program outcomes</w:t>
      </w:r>
    </w:p>
    <w:p w14:paraId="4F456A88" w14:textId="77777777" w:rsidR="00945AFC" w:rsidRDefault="00945AFC" w:rsidP="000244E4">
      <w:pPr>
        <w:pStyle w:val="BodyText"/>
      </w:pPr>
      <w:r>
        <w:t xml:space="preserve">This domain of inquiry utilises </w:t>
      </w:r>
      <w:r>
        <w:rPr>
          <w:b/>
          <w:bCs/>
        </w:rPr>
        <w:t>outcome evaluation</w:t>
      </w:r>
      <w:r>
        <w:t xml:space="preserve"> methods, with a ‘pre-post’ design to explore the difference the model makes for young people in each outcome area, looking at a comparison of each outcome before and after they engage with headspace. This domain focuses on the self-reported improvements of young people against each outcome area, service providers’ observations of the model’s success in improving these outcomes, and clinical data reported by service providers and young people as part of accessing the headspace service. </w:t>
      </w:r>
    </w:p>
    <w:p w14:paraId="3514C809" w14:textId="77777777" w:rsidR="00945AFC" w:rsidRDefault="00945AFC" w:rsidP="000244E4">
      <w:pPr>
        <w:pStyle w:val="BodyText"/>
      </w:pPr>
      <w:r>
        <w:t xml:space="preserve">The focus of this domain is to test the </w:t>
      </w:r>
      <w:r>
        <w:rPr>
          <w:i/>
          <w:iCs/>
        </w:rPr>
        <w:t xml:space="preserve">effectiveness </w:t>
      </w:r>
      <w:r>
        <w:t xml:space="preserve">of the headspace model. </w:t>
      </w:r>
    </w:p>
    <w:p w14:paraId="62E3643C" w14:textId="4F239265" w:rsidR="0096354F" w:rsidRDefault="0096354F" w:rsidP="000244E4">
      <w:pPr>
        <w:pStyle w:val="BodyText"/>
      </w:pPr>
      <w:r>
        <w:t>The following evaluation approach was applied</w:t>
      </w:r>
      <w:r w:rsidR="00945AFC">
        <w:t>:</w:t>
      </w:r>
    </w:p>
    <w:p w14:paraId="48893095" w14:textId="3A71018B" w:rsidR="0096354F" w:rsidRDefault="006121CF" w:rsidP="0096354F">
      <w:pPr>
        <w:pStyle w:val="Bullet1stlevel"/>
      </w:pPr>
      <w:r>
        <w:t>E</w:t>
      </w:r>
      <w:r w:rsidR="0096354F">
        <w:t>xploring the evidence that the model achieves intermediate outcomes, such as increased mental health literacy and early help seeking, and increased access to mental health support</w:t>
      </w:r>
      <w:r>
        <w:t>.</w:t>
      </w:r>
    </w:p>
    <w:p w14:paraId="5219955A" w14:textId="11456615" w:rsidR="0096354F" w:rsidRDefault="006121CF" w:rsidP="0096354F">
      <w:pPr>
        <w:pStyle w:val="Bullet1stlevel"/>
      </w:pPr>
      <w:r>
        <w:t>E</w:t>
      </w:r>
      <w:r w:rsidR="0096354F">
        <w:t>valuating the extent to which the model achieves its intended outcomes in being appropriate, youth friendly and accessible</w:t>
      </w:r>
      <w:r>
        <w:t>.</w:t>
      </w:r>
    </w:p>
    <w:p w14:paraId="4706B862" w14:textId="18D348E5" w:rsidR="00F0741F" w:rsidRDefault="000816AA" w:rsidP="00140B8F">
      <w:pPr>
        <w:pStyle w:val="Bullet1stlevel"/>
      </w:pPr>
      <w:r>
        <w:t>A</w:t>
      </w:r>
      <w:r w:rsidR="0096354F">
        <w:t>ssessing the extent to which these outcomes apply equally to ‘hard to reach’ groups, comprising young people with demographic characteristics associated with reduced help seeking</w:t>
      </w:r>
      <w:r w:rsidR="006E2C9D">
        <w:t>, often due to experie</w:t>
      </w:r>
      <w:r w:rsidR="006E2C9D" w:rsidRPr="00B94902">
        <w:t>nces of stigma</w:t>
      </w:r>
      <w:r w:rsidR="00885760">
        <w:t>,</w:t>
      </w:r>
      <w:r w:rsidR="006E2C9D" w:rsidRPr="00B94902">
        <w:t xml:space="preserve"> discrimination</w:t>
      </w:r>
      <w:r w:rsidR="00885760">
        <w:t xml:space="preserve"> and </w:t>
      </w:r>
      <w:r w:rsidR="00A05311">
        <w:t>systemic racism</w:t>
      </w:r>
      <w:r w:rsidR="006E2C9D">
        <w:t>.</w:t>
      </w:r>
      <w:r w:rsidR="0096354F">
        <w:t xml:space="preserve"> </w:t>
      </w:r>
      <w:r w:rsidR="00C8013D">
        <w:t>F</w:t>
      </w:r>
      <w:r w:rsidR="00F0741F" w:rsidRPr="002524D6">
        <w:t>or this evaluation, ‘hard to reach</w:t>
      </w:r>
      <w:r w:rsidR="00ED42D6">
        <w:t>’</w:t>
      </w:r>
      <w:r w:rsidR="00F0741F" w:rsidRPr="002524D6">
        <w:t xml:space="preserve"> groups include</w:t>
      </w:r>
      <w:r w:rsidR="00F0741F">
        <w:t>:</w:t>
      </w:r>
    </w:p>
    <w:p w14:paraId="67DC74EB" w14:textId="1BDE3CA8" w:rsidR="00F0741F" w:rsidRPr="002420A4" w:rsidRDefault="00F0741F" w:rsidP="00A55082">
      <w:pPr>
        <w:pStyle w:val="Bullet2ndlevel"/>
      </w:pPr>
      <w:r w:rsidRPr="002420A4">
        <w:t>Aboriginal and Torres Strait Islander you</w:t>
      </w:r>
      <w:r>
        <w:t>ng</w:t>
      </w:r>
      <w:r w:rsidRPr="002420A4">
        <w:t xml:space="preserve"> people</w:t>
      </w:r>
      <w:r w:rsidR="00A757C6">
        <w:t>;</w:t>
      </w:r>
    </w:p>
    <w:p w14:paraId="0F7E5C1A" w14:textId="37C9A95C" w:rsidR="00F0741F" w:rsidRDefault="00F0741F" w:rsidP="00A55082">
      <w:pPr>
        <w:pStyle w:val="Bullet2ndlevel"/>
      </w:pPr>
      <w:r>
        <w:t>young people from culturally and linguistically diverse backgrounds</w:t>
      </w:r>
      <w:r w:rsidR="00A757C6">
        <w:t>;</w:t>
      </w:r>
    </w:p>
    <w:p w14:paraId="7DA0072A" w14:textId="7F552748" w:rsidR="00F0741F" w:rsidRDefault="00F0741F" w:rsidP="00DF3904">
      <w:pPr>
        <w:pStyle w:val="Bullet2ndlevel"/>
        <w:keepNext/>
        <w:ind w:left="754"/>
      </w:pPr>
      <w:r>
        <w:t>young people who identify as LGBTQIA+</w:t>
      </w:r>
      <w:r w:rsidR="00A757C6">
        <w:t>; and</w:t>
      </w:r>
    </w:p>
    <w:p w14:paraId="7F3FDF86" w14:textId="75ED206B" w:rsidR="00F0741F" w:rsidRDefault="00F0741F" w:rsidP="00A55082">
      <w:pPr>
        <w:pStyle w:val="Bullet2ndlevel"/>
      </w:pPr>
      <w:r>
        <w:t>young people with disability</w:t>
      </w:r>
      <w:r w:rsidR="00CC0438">
        <w:rPr>
          <w:rFonts w:ascii="ZWAdobeF" w:hAnsi="ZWAdobeF" w:cs="ZWAdobeF"/>
          <w:sz w:val="2"/>
          <w:szCs w:val="2"/>
        </w:rPr>
        <w:t>0F</w:t>
      </w:r>
      <w:r>
        <w:rPr>
          <w:rStyle w:val="FootnoteReference"/>
        </w:rPr>
        <w:footnoteReference w:id="2"/>
      </w:r>
      <w:r w:rsidDel="00A757C6">
        <w:t>.</w:t>
      </w:r>
    </w:p>
    <w:p w14:paraId="5FF81B2A" w14:textId="0F8E001D" w:rsidR="0096354F" w:rsidRDefault="0096354F" w:rsidP="0096354F">
      <w:pPr>
        <w:pStyle w:val="Bullet1stlevel"/>
      </w:pPr>
      <w:r>
        <w:t>Evaluating the extent to which the model is effective in improving pathways to care for young people</w:t>
      </w:r>
      <w:r w:rsidR="006121CF">
        <w:t>.</w:t>
      </w:r>
    </w:p>
    <w:p w14:paraId="4C370A20" w14:textId="55A7129B" w:rsidR="0096354F" w:rsidRDefault="0096354F" w:rsidP="0096354F">
      <w:pPr>
        <w:pStyle w:val="Bullet1stlevel"/>
      </w:pPr>
      <w:r>
        <w:t xml:space="preserve">Evaluating the clinical evidence that the model is effective in improving mental health and wellbeing outcomes for young people. </w:t>
      </w:r>
    </w:p>
    <w:p w14:paraId="6832A3C6" w14:textId="60A7651F" w:rsidR="0096354F" w:rsidRDefault="0096354F" w:rsidP="0096354F">
      <w:pPr>
        <w:pStyle w:val="HeadingLevel3NoNumber"/>
      </w:pPr>
      <w:r>
        <w:t xml:space="preserve">Domain 3: </w:t>
      </w:r>
      <w:r w:rsidR="00EB4C84">
        <w:t>C</w:t>
      </w:r>
      <w:r>
        <w:t>ost-</w:t>
      </w:r>
      <w:r w:rsidRPr="280CE24C">
        <w:t>effectiveness</w:t>
      </w:r>
      <w:r>
        <w:t xml:space="preserve"> </w:t>
      </w:r>
      <w:r w:rsidR="00513B74">
        <w:t xml:space="preserve">&amp; </w:t>
      </w:r>
      <w:r>
        <w:t xml:space="preserve">value </w:t>
      </w:r>
    </w:p>
    <w:p w14:paraId="67EA48C8" w14:textId="77777777" w:rsidR="00945AFC" w:rsidRDefault="00945AFC" w:rsidP="000244E4">
      <w:pPr>
        <w:pStyle w:val="BodyText"/>
      </w:pPr>
      <w:r>
        <w:t xml:space="preserve">This domain of inquiry utilises </w:t>
      </w:r>
      <w:r>
        <w:rPr>
          <w:b/>
          <w:bCs/>
        </w:rPr>
        <w:t>economic evaluation</w:t>
      </w:r>
      <w:r>
        <w:t xml:space="preserve"> methods and draws on the clinical outcomes analysis conducted in Domain 2, along with cost data estimates obtained through interviews, surveys and analysis of administrative records. </w:t>
      </w:r>
    </w:p>
    <w:p w14:paraId="21F6FBFF" w14:textId="77777777" w:rsidR="00945AFC" w:rsidRDefault="00945AFC" w:rsidP="000244E4">
      <w:pPr>
        <w:pStyle w:val="BodyText"/>
      </w:pPr>
      <w:r>
        <w:t xml:space="preserve">The focus of this domain is to test the </w:t>
      </w:r>
      <w:r>
        <w:rPr>
          <w:i/>
          <w:iCs/>
        </w:rPr>
        <w:t xml:space="preserve">value </w:t>
      </w:r>
      <w:r>
        <w:t xml:space="preserve">of the headspace model. </w:t>
      </w:r>
    </w:p>
    <w:p w14:paraId="79C1DC89" w14:textId="5F532F73" w:rsidR="00146332" w:rsidRPr="00146332" w:rsidRDefault="0096354F" w:rsidP="000244E4">
      <w:pPr>
        <w:pStyle w:val="BodyText"/>
      </w:pPr>
      <w:r>
        <w:t xml:space="preserve">The following </w:t>
      </w:r>
      <w:r w:rsidR="00B947F5">
        <w:t xml:space="preserve">economic </w:t>
      </w:r>
      <w:r>
        <w:t>evaluation approach was applied</w:t>
      </w:r>
      <w:r w:rsidR="00945AFC">
        <w:t>:</w:t>
      </w:r>
    </w:p>
    <w:p w14:paraId="4F7E6B73" w14:textId="701EFE73" w:rsidR="002E6C51" w:rsidRDefault="002E6C51" w:rsidP="009E4212">
      <w:pPr>
        <w:pStyle w:val="Bullet1stlevel"/>
      </w:pPr>
      <w:r>
        <w:t xml:space="preserve">Defining </w:t>
      </w:r>
      <w:r w:rsidR="00FA771B">
        <w:t>the</w:t>
      </w:r>
      <w:r w:rsidR="009E421F">
        <w:t xml:space="preserve"> program’s</w:t>
      </w:r>
      <w:r w:rsidR="00FA771B" w:rsidRPr="00FA771B">
        <w:t xml:space="preserve"> target population </w:t>
      </w:r>
      <w:r w:rsidR="00FA771B">
        <w:t xml:space="preserve">to </w:t>
      </w:r>
      <w:r w:rsidR="00FA771B" w:rsidRPr="00FA771B">
        <w:t xml:space="preserve">young people with predominantly mild to moderate mental health needs that fall within the scope of services provided by </w:t>
      </w:r>
      <w:r w:rsidR="00FA771B">
        <w:t>headspace</w:t>
      </w:r>
      <w:r w:rsidR="00FA771B" w:rsidRPr="00FA771B">
        <w:t>.</w:t>
      </w:r>
    </w:p>
    <w:p w14:paraId="3693A926" w14:textId="0E55EFF1" w:rsidR="007F7A3B" w:rsidRDefault="00496C7F" w:rsidP="009E4212">
      <w:pPr>
        <w:pStyle w:val="Bullet1stlevel"/>
      </w:pPr>
      <w:r>
        <w:t xml:space="preserve">Defining </w:t>
      </w:r>
      <w:r w:rsidR="005E67E7">
        <w:t xml:space="preserve">the </w:t>
      </w:r>
      <w:r w:rsidR="007F7A3B">
        <w:t xml:space="preserve">comparator </w:t>
      </w:r>
      <w:r>
        <w:t xml:space="preserve">as </w:t>
      </w:r>
      <w:r w:rsidR="00F035B9">
        <w:t>‘</w:t>
      </w:r>
      <w:r w:rsidR="00F035B9" w:rsidRPr="00F035B9">
        <w:t xml:space="preserve">the </w:t>
      </w:r>
      <w:r w:rsidR="00F035B9">
        <w:t xml:space="preserve">world in the </w:t>
      </w:r>
      <w:r w:rsidR="00F035B9" w:rsidRPr="00F035B9">
        <w:t>absence of the headspace program</w:t>
      </w:r>
      <w:r w:rsidR="00F035B9">
        <w:t>’ in which some</w:t>
      </w:r>
      <w:r w:rsidR="00887F1A">
        <w:t>,</w:t>
      </w:r>
      <w:r w:rsidR="00F035B9">
        <w:t xml:space="preserve"> but not all</w:t>
      </w:r>
      <w:r w:rsidR="00887F1A">
        <w:t>,</w:t>
      </w:r>
      <w:r w:rsidR="00F035B9" w:rsidRPr="00F035B9">
        <w:t xml:space="preserve"> </w:t>
      </w:r>
      <w:r w:rsidR="007F7A3B">
        <w:t xml:space="preserve">young </w:t>
      </w:r>
      <w:r w:rsidR="003433C8">
        <w:t xml:space="preserve">people </w:t>
      </w:r>
      <w:r w:rsidR="007F7A3B">
        <w:t xml:space="preserve">would access mental health treatment. </w:t>
      </w:r>
    </w:p>
    <w:p w14:paraId="166D9F81" w14:textId="6CBD8EC3" w:rsidR="000D60A6" w:rsidRDefault="000D60A6" w:rsidP="00822A39">
      <w:pPr>
        <w:pStyle w:val="Bullet1stlevel"/>
      </w:pPr>
      <w:r>
        <w:t>Designing an evaluation framework that</w:t>
      </w:r>
      <w:r w:rsidR="00C5343C">
        <w:t xml:space="preserve"> has the capacity to capture two </w:t>
      </w:r>
      <w:r w:rsidR="003558C7">
        <w:t xml:space="preserve">key effects of headspace presence: the </w:t>
      </w:r>
      <w:r w:rsidR="00F65D4A">
        <w:t xml:space="preserve">benefits </w:t>
      </w:r>
      <w:r w:rsidR="005F3D16">
        <w:t>of</w:t>
      </w:r>
      <w:r w:rsidR="00F65D4A">
        <w:t xml:space="preserve"> mental health treatment it provides, and </w:t>
      </w:r>
      <w:r w:rsidR="005F3D16">
        <w:t>the improved accessibility of treatment relative to the comparator.</w:t>
      </w:r>
    </w:p>
    <w:p w14:paraId="1D366C68" w14:textId="411600B2" w:rsidR="0096354F" w:rsidRDefault="0096354F" w:rsidP="0096354F">
      <w:pPr>
        <w:pStyle w:val="Bullet1stlevel"/>
      </w:pPr>
      <w:r>
        <w:t>Estimating the cost of delivering headspace services, including direct and indirect costs funded through the core grant, Medicare Benefits Schedule (MBS) funding, through Primary Health Networks (PHNs) and other sources</w:t>
      </w:r>
      <w:r w:rsidR="00472083">
        <w:t xml:space="preserve">, with the goal of </w:t>
      </w:r>
      <w:r w:rsidR="00F74D33">
        <w:t>establishing</w:t>
      </w:r>
      <w:r w:rsidR="00472083">
        <w:t xml:space="preserve"> the cost per </w:t>
      </w:r>
      <w:r w:rsidR="00AA0AE5">
        <w:t>occasion of service (</w:t>
      </w:r>
      <w:r w:rsidR="00974F19">
        <w:t>OOS</w:t>
      </w:r>
      <w:r w:rsidR="00AA0AE5">
        <w:t>)</w:t>
      </w:r>
      <w:r w:rsidR="00472083">
        <w:t xml:space="preserve"> of </w:t>
      </w:r>
      <w:r w:rsidR="00DC0C72">
        <w:t>headspace</w:t>
      </w:r>
      <w:r w:rsidR="00472083">
        <w:t xml:space="preserve"> mental health treatment</w:t>
      </w:r>
      <w:r w:rsidR="00B947F5">
        <w:t>.</w:t>
      </w:r>
      <w:r w:rsidR="00DE3154">
        <w:t xml:space="preserve"> </w:t>
      </w:r>
    </w:p>
    <w:p w14:paraId="0887FAFF" w14:textId="77777777" w:rsidR="006105B4" w:rsidRDefault="00A13439" w:rsidP="0096354F">
      <w:pPr>
        <w:pStyle w:val="Bullet1stlevel"/>
      </w:pPr>
      <w:r>
        <w:t>Convert</w:t>
      </w:r>
      <w:r w:rsidR="00C06221">
        <w:t>ing the</w:t>
      </w:r>
      <w:r>
        <w:t xml:space="preserve"> mental health outcomes as observed in the</w:t>
      </w:r>
      <w:r w:rsidR="00F256F0">
        <w:t xml:space="preserve"> h</w:t>
      </w:r>
      <w:r w:rsidR="004C0274">
        <w:t xml:space="preserve">eadspace </w:t>
      </w:r>
      <w:r w:rsidR="00F256F0">
        <w:t>M</w:t>
      </w:r>
      <w:r w:rsidR="004C0274">
        <w:t xml:space="preserve">inimum </w:t>
      </w:r>
      <w:r w:rsidR="00F256F0">
        <w:t>D</w:t>
      </w:r>
      <w:r w:rsidR="004C0274">
        <w:t>ataset (hMDS)</w:t>
      </w:r>
      <w:r w:rsidR="00F256F0">
        <w:t xml:space="preserve"> </w:t>
      </w:r>
      <w:r w:rsidR="007129CA">
        <w:t xml:space="preserve">to </w:t>
      </w:r>
      <w:r w:rsidR="00A16092" w:rsidRPr="00A16092">
        <w:t>quality-adjusted life years (QALYs) for the calculation of an incremental cost</w:t>
      </w:r>
      <w:r w:rsidR="00AA0AE5">
        <w:noBreakHyphen/>
      </w:r>
      <w:r w:rsidR="00A16092" w:rsidRPr="00A16092">
        <w:t>effectiveness ratio (ICER) which is the standard outcome for expressing value for money of health policies and interventions.</w:t>
      </w:r>
      <w:r w:rsidR="000B1319">
        <w:t xml:space="preserve"> </w:t>
      </w:r>
    </w:p>
    <w:p w14:paraId="61A6CDFF" w14:textId="6A48DE60" w:rsidR="00A13439" w:rsidRDefault="002213F7" w:rsidP="0096354F">
      <w:pPr>
        <w:pStyle w:val="Bullet1stlevel"/>
      </w:pPr>
      <w:r>
        <w:t xml:space="preserve">Extrapolating </w:t>
      </w:r>
      <w:r w:rsidR="000B1319">
        <w:t>QALYs gained</w:t>
      </w:r>
      <w:r w:rsidR="00C01229">
        <w:t xml:space="preserve"> from treatment </w:t>
      </w:r>
      <w:r w:rsidR="00C544B1">
        <w:t>over 12 months</w:t>
      </w:r>
      <w:r w:rsidR="007A54C4">
        <w:t xml:space="preserve"> after the last observed </w:t>
      </w:r>
      <w:r w:rsidR="00936DFC">
        <w:t>health outcome data point.</w:t>
      </w:r>
    </w:p>
    <w:p w14:paraId="58DEF727" w14:textId="48DF01B5" w:rsidR="00B947F5" w:rsidRDefault="00C041C4" w:rsidP="0096354F">
      <w:pPr>
        <w:pStyle w:val="Bullet1stlevel"/>
      </w:pPr>
      <w:r>
        <w:t>Defining</w:t>
      </w:r>
      <w:r w:rsidR="00114A63">
        <w:t xml:space="preserve"> the consequences </w:t>
      </w:r>
      <w:r w:rsidR="00605216">
        <w:t xml:space="preserve">of not accessing </w:t>
      </w:r>
      <w:r w:rsidR="007F1D53">
        <w:t xml:space="preserve">mental health treatment </w:t>
      </w:r>
      <w:r w:rsidR="007D0D94">
        <w:t xml:space="preserve">(or achieving </w:t>
      </w:r>
      <w:r w:rsidR="001D0D28">
        <w:t>Minimum Adequate Treatment</w:t>
      </w:r>
      <w:r w:rsidR="007D0D94">
        <w:t xml:space="preserve"> </w:t>
      </w:r>
      <w:r w:rsidR="001D0D28">
        <w:t>(</w:t>
      </w:r>
      <w:r w:rsidR="007D0D94">
        <w:t>MAT</w:t>
      </w:r>
      <w:r w:rsidR="001D0D28">
        <w:t>)</w:t>
      </w:r>
      <w:r w:rsidR="007D0D94">
        <w:t xml:space="preserve"> levels of treatment)</w:t>
      </w:r>
      <w:r w:rsidR="00052933">
        <w:t xml:space="preserve"> </w:t>
      </w:r>
      <w:r w:rsidR="00051214">
        <w:t>and estimating the associated costs.</w:t>
      </w:r>
    </w:p>
    <w:p w14:paraId="4BE99657" w14:textId="0A88A7D0" w:rsidR="0096354F" w:rsidRDefault="0096354F" w:rsidP="0096354F">
      <w:pPr>
        <w:pStyle w:val="Bullet1stlevel"/>
      </w:pPr>
      <w:r>
        <w:t xml:space="preserve">Assessing the </w:t>
      </w:r>
      <w:r w:rsidR="00E91E8F">
        <w:t>cost-effectiveness</w:t>
      </w:r>
      <w:r w:rsidR="00B947F5">
        <w:t xml:space="preserve"> </w:t>
      </w:r>
      <w:r>
        <w:t xml:space="preserve">of the headspace model, estimating the value of the </w:t>
      </w:r>
      <w:r w:rsidR="00C90BC8">
        <w:t>treatment</w:t>
      </w:r>
      <w:r>
        <w:t xml:space="preserve"> services provided by headspace services</w:t>
      </w:r>
      <w:r w:rsidR="00E0392A">
        <w:t xml:space="preserve"> and</w:t>
      </w:r>
      <w:r>
        <w:t xml:space="preserve"> using clinical outcomes to estimate improvements in quality of life associated with seeking support through the headspace model. </w:t>
      </w:r>
    </w:p>
    <w:p w14:paraId="1F35D41F" w14:textId="31674159" w:rsidR="0096354F" w:rsidRDefault="0096354F" w:rsidP="0096354F">
      <w:pPr>
        <w:pStyle w:val="HeadingLevel3NoNumber"/>
      </w:pPr>
      <w:r>
        <w:t xml:space="preserve">Domain 4: </w:t>
      </w:r>
      <w:r w:rsidR="00513B74">
        <w:t>F</w:t>
      </w:r>
      <w:r>
        <w:t xml:space="preserve">uture enhancement </w:t>
      </w:r>
    </w:p>
    <w:p w14:paraId="243FBB4A" w14:textId="77777777" w:rsidR="00945AFC" w:rsidRDefault="00945AFC" w:rsidP="000244E4">
      <w:pPr>
        <w:pStyle w:val="BodyText"/>
      </w:pPr>
      <w:r>
        <w:t xml:space="preserve">This domain of inquiry brings together findings across the evaluation activities, and considers them in the context of broader recent analysis of the mental health services sector. Drawing on literature review and program design documentation, and considering qualitative and quantitative findings across the first three domains of inquiry, this domain is focused on testing the </w:t>
      </w:r>
      <w:r>
        <w:rPr>
          <w:i/>
          <w:iCs/>
        </w:rPr>
        <w:t xml:space="preserve">sustainability </w:t>
      </w:r>
      <w:r>
        <w:t xml:space="preserve">of the model. </w:t>
      </w:r>
    </w:p>
    <w:p w14:paraId="6F1777B6" w14:textId="51F1F149" w:rsidR="0096354F" w:rsidRDefault="0096354F" w:rsidP="000244E4">
      <w:pPr>
        <w:pStyle w:val="BodyText"/>
      </w:pPr>
      <w:r>
        <w:t xml:space="preserve">The following evaluation approach was </w:t>
      </w:r>
      <w:r w:rsidR="00945AFC">
        <w:t>applied:</w:t>
      </w:r>
    </w:p>
    <w:p w14:paraId="725861C6" w14:textId="36576348" w:rsidR="0096354F" w:rsidRDefault="0096354F" w:rsidP="0096354F">
      <w:pPr>
        <w:pStyle w:val="Bullet1stlevel"/>
      </w:pPr>
      <w:r>
        <w:t>Reviewing the components of the model against the findings of the effectiveness and value analyses to identify barriers and enablers associated with the headspace model</w:t>
      </w:r>
      <w:r w:rsidR="00D06383">
        <w:t>.</w:t>
      </w:r>
    </w:p>
    <w:p w14:paraId="43ABCF0F" w14:textId="6FE2686C" w:rsidR="0096354F" w:rsidRDefault="0096354F" w:rsidP="0096354F">
      <w:pPr>
        <w:pStyle w:val="Bullet1stlevel"/>
      </w:pPr>
      <w:r>
        <w:t>Exploring external factors that have impacted the headspace model and its overall performance in achieving its intended outcomes</w:t>
      </w:r>
      <w:r w:rsidR="007A0956">
        <w:t>.</w:t>
      </w:r>
    </w:p>
    <w:p w14:paraId="31333C1B" w14:textId="5BCCED2C" w:rsidR="0096354F" w:rsidRDefault="0096354F" w:rsidP="0096354F">
      <w:pPr>
        <w:pStyle w:val="Bullet1stlevel"/>
      </w:pPr>
      <w:r>
        <w:t>Assessing whether introducing changes to either the design or implementation of the headspace model could improve its associated outcomes and value</w:t>
      </w:r>
      <w:r w:rsidR="007A0956">
        <w:t>.</w:t>
      </w:r>
    </w:p>
    <w:p w14:paraId="1595A07E" w14:textId="77777777" w:rsidR="0096354F" w:rsidRDefault="0096354F" w:rsidP="0096354F">
      <w:pPr>
        <w:pStyle w:val="Bullet1stlevel"/>
      </w:pPr>
      <w:r>
        <w:t>Considering broader system changes that would support the headspace model to better meet its objectives.</w:t>
      </w:r>
    </w:p>
    <w:p w14:paraId="0D54C37D" w14:textId="71E2AD01" w:rsidR="005D4AF8" w:rsidRDefault="009E288D" w:rsidP="007C0317">
      <w:pPr>
        <w:pStyle w:val="HeadingLevel2NoNumber"/>
      </w:pPr>
      <w:r>
        <w:t>Data and methodology considerations</w:t>
      </w:r>
    </w:p>
    <w:p w14:paraId="7A936F04" w14:textId="6D905F3B" w:rsidR="000D414A" w:rsidRPr="000D414A" w:rsidRDefault="00732C8C" w:rsidP="28CDFB3F">
      <w:pPr>
        <w:pStyle w:val="HeadingLevel3NoNumber"/>
      </w:pPr>
      <w:r>
        <w:t>Evaluation methodology</w:t>
      </w:r>
    </w:p>
    <w:p w14:paraId="28C78713" w14:textId="1112099E" w:rsidR="00732C8C" w:rsidRDefault="00281001" w:rsidP="000244E4">
      <w:pPr>
        <w:pStyle w:val="BodyText"/>
      </w:pPr>
      <w:r>
        <w:t>As described above, this evaluation focused on headspace services for the period from 1 July 2015 to 30</w:t>
      </w:r>
      <w:r w:rsidR="00F92502">
        <w:t> </w:t>
      </w:r>
      <w:r>
        <w:t xml:space="preserve">June 2020. </w:t>
      </w:r>
      <w:r w:rsidR="00400EC1">
        <w:t xml:space="preserve">A mixed methods approach was used to collect data across the evaluation period </w:t>
      </w:r>
      <w:r w:rsidR="003D219B">
        <w:t xml:space="preserve">with </w:t>
      </w:r>
      <w:r w:rsidR="00211007">
        <w:t xml:space="preserve">the following </w:t>
      </w:r>
      <w:r w:rsidR="003D219B">
        <w:t>data collection activities</w:t>
      </w:r>
      <w:r w:rsidR="00191E26">
        <w:t xml:space="preserve"> und</w:t>
      </w:r>
      <w:r w:rsidR="00D76794">
        <w:t>ertaken</w:t>
      </w:r>
      <w:r w:rsidR="003D219B">
        <w:t>:</w:t>
      </w:r>
    </w:p>
    <w:p w14:paraId="519B0236" w14:textId="7C07AFB0" w:rsidR="003D219B" w:rsidRDefault="000E18BC" w:rsidP="003D219B">
      <w:pPr>
        <w:pStyle w:val="Bullet1stlevel"/>
      </w:pPr>
      <w:r>
        <w:t>r</w:t>
      </w:r>
      <w:r w:rsidR="002B5D25">
        <w:t>eview of program documentation</w:t>
      </w:r>
      <w:r w:rsidR="00580C32">
        <w:t>;</w:t>
      </w:r>
    </w:p>
    <w:p w14:paraId="52103511" w14:textId="4DEBE31B" w:rsidR="002B5D25" w:rsidRDefault="000E18BC" w:rsidP="003D219B">
      <w:pPr>
        <w:pStyle w:val="Bullet1stlevel"/>
      </w:pPr>
      <w:r>
        <w:t>c</w:t>
      </w:r>
      <w:r w:rsidR="002B5D25">
        <w:t>onsultation with policy owners and the mental health sector</w:t>
      </w:r>
      <w:r w:rsidR="00580C32">
        <w:t>;</w:t>
      </w:r>
    </w:p>
    <w:p w14:paraId="69FE2853" w14:textId="6D745980" w:rsidR="002B5D25" w:rsidRDefault="000E18BC" w:rsidP="003D219B">
      <w:pPr>
        <w:pStyle w:val="Bullet1stlevel"/>
      </w:pPr>
      <w:r>
        <w:t>d</w:t>
      </w:r>
      <w:r w:rsidR="0025758B">
        <w:t>eep dive consultations with six headspace services and their local stakeholders</w:t>
      </w:r>
      <w:r w:rsidR="00580C32">
        <w:t>;</w:t>
      </w:r>
    </w:p>
    <w:p w14:paraId="198281F8" w14:textId="239A6369" w:rsidR="0025758B" w:rsidRDefault="000E18BC" w:rsidP="003D219B">
      <w:pPr>
        <w:pStyle w:val="Bullet1stlevel"/>
      </w:pPr>
      <w:r>
        <w:t>a</w:t>
      </w:r>
      <w:r w:rsidR="0025758B">
        <w:t xml:space="preserve"> survey of young people who have and have not used headspace</w:t>
      </w:r>
      <w:r w:rsidR="00E03082">
        <w:t>;</w:t>
      </w:r>
    </w:p>
    <w:p w14:paraId="17BD5E29" w14:textId="74E479CD" w:rsidR="0025758B" w:rsidRDefault="00211007" w:rsidP="003D219B">
      <w:pPr>
        <w:pStyle w:val="Bullet1stlevel"/>
      </w:pPr>
      <w:r>
        <w:t>a</w:t>
      </w:r>
      <w:r w:rsidR="0025758B">
        <w:t xml:space="preserve"> survey of headspace services and their lead agencies</w:t>
      </w:r>
      <w:r w:rsidR="002A3DDF">
        <w:t>;</w:t>
      </w:r>
    </w:p>
    <w:p w14:paraId="4790E025" w14:textId="7C219253" w:rsidR="0025758B" w:rsidRDefault="00211007" w:rsidP="003D219B">
      <w:pPr>
        <w:pStyle w:val="Bullet1stlevel"/>
      </w:pPr>
      <w:r>
        <w:t>f</w:t>
      </w:r>
      <w:r w:rsidR="0025758B">
        <w:t>ocus groups and interviews with young people who have and have not used headspace services, school and university counsellors</w:t>
      </w:r>
      <w:r w:rsidR="00AA672C">
        <w:t>, and G</w:t>
      </w:r>
      <w:r w:rsidR="00FF5128">
        <w:t xml:space="preserve">eneral </w:t>
      </w:r>
      <w:r w:rsidR="00AA672C">
        <w:t>P</w:t>
      </w:r>
      <w:r w:rsidR="00FF5128">
        <w:t xml:space="preserve">ractitioners </w:t>
      </w:r>
      <w:r w:rsidR="008B1088">
        <w:t>(GP</w:t>
      </w:r>
      <w:r w:rsidR="00AA672C">
        <w:t>s</w:t>
      </w:r>
      <w:r w:rsidR="008B1088">
        <w:t>)</w:t>
      </w:r>
      <w:r w:rsidR="00FF5128">
        <w:t>;</w:t>
      </w:r>
    </w:p>
    <w:p w14:paraId="7373CE78" w14:textId="4A5FAC8C" w:rsidR="0025758B" w:rsidRDefault="00211007" w:rsidP="003D219B">
      <w:pPr>
        <w:pStyle w:val="Bullet1stlevel"/>
      </w:pPr>
      <w:r>
        <w:t>a</w:t>
      </w:r>
      <w:r w:rsidR="0025758B">
        <w:t xml:space="preserve">nalysis </w:t>
      </w:r>
      <w:r w:rsidR="00E2205E">
        <w:t xml:space="preserve">of the </w:t>
      </w:r>
      <w:r w:rsidR="003E2C1A">
        <w:t>hMDS</w:t>
      </w:r>
      <w:r w:rsidR="008B1088">
        <w:t>;</w:t>
      </w:r>
    </w:p>
    <w:p w14:paraId="63F6D205" w14:textId="536B6454" w:rsidR="00E2205E" w:rsidRDefault="00211007" w:rsidP="003D219B">
      <w:pPr>
        <w:pStyle w:val="Bullet1stlevel"/>
      </w:pPr>
      <w:r>
        <w:t>a</w:t>
      </w:r>
      <w:r w:rsidR="00E2205E">
        <w:t>n area-level effectiveness analysis</w:t>
      </w:r>
      <w:r w:rsidR="00D92A57">
        <w:t>;</w:t>
      </w:r>
      <w:r w:rsidR="00BA3681">
        <w:t xml:space="preserve"> and</w:t>
      </w:r>
    </w:p>
    <w:p w14:paraId="51ADC28D" w14:textId="40DC1A37" w:rsidR="00E2205E" w:rsidRDefault="00211007" w:rsidP="003D219B">
      <w:pPr>
        <w:pStyle w:val="Bullet1stlevel"/>
      </w:pPr>
      <w:r>
        <w:t>a</w:t>
      </w:r>
      <w:r w:rsidR="00894839">
        <w:t xml:space="preserve">n economic evaluation </w:t>
      </w:r>
      <w:r w:rsidR="00DE4111">
        <w:t xml:space="preserve">of headspace </w:t>
      </w:r>
      <w:r w:rsidR="00E91E8F">
        <w:t>cost-effectiveness</w:t>
      </w:r>
      <w:r w:rsidR="00DE4111">
        <w:t>.</w:t>
      </w:r>
    </w:p>
    <w:p w14:paraId="7FBC52F6" w14:textId="28C172A5" w:rsidR="00C3700E" w:rsidRPr="00732C8C" w:rsidRDefault="00C3700E" w:rsidP="000244E4">
      <w:pPr>
        <w:pStyle w:val="BodyText"/>
      </w:pPr>
      <w:r>
        <w:t xml:space="preserve">Each of these data collection activities are detailed in </w:t>
      </w:r>
      <w:r w:rsidR="00FC667A">
        <w:fldChar w:fldCharType="begin" w:fldLock="1"/>
      </w:r>
      <w:r w:rsidR="00FC667A">
        <w:instrText xml:space="preserve"> REF _Ref97900293 \r \h </w:instrText>
      </w:r>
      <w:r w:rsidR="00FC667A">
        <w:fldChar w:fldCharType="separate"/>
      </w:r>
      <w:r w:rsidR="00AE4D34">
        <w:t>Appendix A</w:t>
      </w:r>
      <w:r w:rsidR="00FC667A">
        <w:fldChar w:fldCharType="end"/>
      </w:r>
      <w:r w:rsidR="009E3EE5">
        <w:t>.</w:t>
      </w:r>
    </w:p>
    <w:p w14:paraId="38076EDC" w14:textId="337CB697" w:rsidR="009F0679" w:rsidRPr="009F0679" w:rsidRDefault="009F0679" w:rsidP="00A33A8D">
      <w:pPr>
        <w:pStyle w:val="HeadingLevel3NoNumber"/>
      </w:pPr>
      <w:r>
        <w:t>Data considerations and limitations</w:t>
      </w:r>
    </w:p>
    <w:p w14:paraId="412C121D" w14:textId="7F6AA5AD" w:rsidR="009E3EE5" w:rsidRDefault="009E3EE5" w:rsidP="000244E4">
      <w:pPr>
        <w:pStyle w:val="BodyText"/>
      </w:pPr>
      <w:r>
        <w:t xml:space="preserve">There are </w:t>
      </w:r>
      <w:r w:rsidR="000121C9">
        <w:t>several</w:t>
      </w:r>
      <w:r>
        <w:t xml:space="preserve"> important </w:t>
      </w:r>
      <w:r w:rsidR="00AF2C25">
        <w:t>data</w:t>
      </w:r>
      <w:r>
        <w:t xml:space="preserve"> considerations and limitations t</w:t>
      </w:r>
      <w:r w:rsidR="00AF2C25">
        <w:t>hat should be considered in conjunction with find</w:t>
      </w:r>
      <w:r w:rsidR="00E9252B">
        <w:t>ings</w:t>
      </w:r>
      <w:r w:rsidR="00B07C93">
        <w:t xml:space="preserve"> documented in this report. </w:t>
      </w:r>
    </w:p>
    <w:p w14:paraId="51CC30D8" w14:textId="6B0EE491" w:rsidR="00B07C93" w:rsidRDefault="00B07C93" w:rsidP="00DC6AED">
      <w:pPr>
        <w:pStyle w:val="HeadingLevel4NoNumber"/>
      </w:pPr>
      <w:r>
        <w:t>Time period for the evaluation</w:t>
      </w:r>
    </w:p>
    <w:p w14:paraId="3C5EFFE2" w14:textId="2C16B1A6" w:rsidR="00E97CB6" w:rsidRDefault="00B07C93" w:rsidP="000244E4">
      <w:pPr>
        <w:pStyle w:val="BodyText"/>
      </w:pPr>
      <w:r>
        <w:t xml:space="preserve">This evaluation </w:t>
      </w:r>
      <w:r w:rsidR="00121EFA">
        <w:t xml:space="preserve">specifically </w:t>
      </w:r>
      <w:r w:rsidR="0022507A">
        <w:t xml:space="preserve">considered </w:t>
      </w:r>
      <w:r>
        <w:t>the period from</w:t>
      </w:r>
      <w:r w:rsidR="0046747C">
        <w:t xml:space="preserve"> 1</w:t>
      </w:r>
      <w:r>
        <w:t xml:space="preserve"> July 2015 to</w:t>
      </w:r>
      <w:r w:rsidR="0046747C">
        <w:t xml:space="preserve"> 30</w:t>
      </w:r>
      <w:r>
        <w:t xml:space="preserve"> June 2020 for headspace services. </w:t>
      </w:r>
      <w:r w:rsidR="000B0C2A">
        <w:t xml:space="preserve">The evaluation period </w:t>
      </w:r>
      <w:r w:rsidR="00554FB4">
        <w:t xml:space="preserve">concluded </w:t>
      </w:r>
      <w:r w:rsidR="00471AA8">
        <w:t>on 30</w:t>
      </w:r>
      <w:r w:rsidR="00554FB4">
        <w:t xml:space="preserve"> June 2020 to allow for </w:t>
      </w:r>
      <w:r w:rsidR="00332FF9">
        <w:t xml:space="preserve">collection of data relating to full financial years, when </w:t>
      </w:r>
      <w:r w:rsidR="00E35386">
        <w:t>data collection</w:t>
      </w:r>
      <w:r w:rsidR="00561908">
        <w:t xml:space="preserve"> and extraction</w:t>
      </w:r>
      <w:r w:rsidR="00E35386">
        <w:t xml:space="preserve"> activities commenced in the first half of 2021. </w:t>
      </w:r>
      <w:r>
        <w:t xml:space="preserve">There has been significant </w:t>
      </w:r>
      <w:r w:rsidR="000D0FD0">
        <w:t xml:space="preserve">change both </w:t>
      </w:r>
      <w:r w:rsidR="000121C9">
        <w:t>during and</w:t>
      </w:r>
      <w:r w:rsidR="000D0FD0">
        <w:t xml:space="preserve"> following the evaluation period with ongoing mental health reform, </w:t>
      </w:r>
      <w:r w:rsidR="001667CD">
        <w:t>increasing numbers of headspace services</w:t>
      </w:r>
      <w:r w:rsidR="00CE0284">
        <w:t xml:space="preserve"> being established</w:t>
      </w:r>
      <w:r w:rsidR="001667CD">
        <w:t xml:space="preserve">, </w:t>
      </w:r>
      <w:r w:rsidR="00873FF2">
        <w:t xml:space="preserve">and the start of the COVID-19 pandemic. These changes </w:t>
      </w:r>
      <w:r w:rsidR="00CE0284">
        <w:t xml:space="preserve">are important contextual </w:t>
      </w:r>
      <w:r w:rsidR="000121C9">
        <w:t>considerations and</w:t>
      </w:r>
      <w:r w:rsidR="00873FF2">
        <w:t xml:space="preserve"> have been referenced where re</w:t>
      </w:r>
      <w:r w:rsidR="00FE3C64">
        <w:t>levant within th</w:t>
      </w:r>
      <w:r w:rsidR="00715381">
        <w:t>is</w:t>
      </w:r>
      <w:r w:rsidR="00FE3C64">
        <w:t xml:space="preserve"> report. </w:t>
      </w:r>
      <w:r w:rsidR="0040293B">
        <w:t>While the evaluat</w:t>
      </w:r>
      <w:r w:rsidR="006E7ABA">
        <w:t>i</w:t>
      </w:r>
      <w:r w:rsidR="0040293B">
        <w:t xml:space="preserve">on focused on the period between </w:t>
      </w:r>
      <w:r w:rsidR="001548BA">
        <w:t>1</w:t>
      </w:r>
      <w:r w:rsidR="00E91E8F">
        <w:t xml:space="preserve"> </w:t>
      </w:r>
      <w:r w:rsidR="0040293B">
        <w:t>July 2015 and</w:t>
      </w:r>
      <w:r w:rsidR="001548BA">
        <w:t xml:space="preserve"> 30</w:t>
      </w:r>
      <w:r w:rsidR="00E91E8F">
        <w:t xml:space="preserve"> </w:t>
      </w:r>
      <w:r w:rsidR="0040293B">
        <w:t>June 2020, the period in which the eval</w:t>
      </w:r>
      <w:r w:rsidR="009C179F">
        <w:t>uation was undertaken extended from July 2020 to May 2022</w:t>
      </w:r>
      <w:r w:rsidR="00082EB8">
        <w:t>, and d</w:t>
      </w:r>
      <w:r w:rsidR="00AF4579">
        <w:t>ifferent evaluation activities took place within different timelines</w:t>
      </w:r>
      <w:r w:rsidR="00082EB8">
        <w:t xml:space="preserve">. For example, </w:t>
      </w:r>
      <w:r w:rsidR="000A05F7">
        <w:t>consultation with headspace service stakeholders</w:t>
      </w:r>
      <w:r w:rsidR="002E7C24">
        <w:t xml:space="preserve"> </w:t>
      </w:r>
      <w:r w:rsidR="00E97CB6">
        <w:t xml:space="preserve">took place in the first half of 2021, </w:t>
      </w:r>
      <w:r w:rsidR="00F60DA3">
        <w:t>and was supplemented with an additional survey of headspace services and lead agencies</w:t>
      </w:r>
      <w:r w:rsidR="00937D8D">
        <w:t xml:space="preserve"> in late 2021</w:t>
      </w:r>
      <w:r w:rsidR="006E0759">
        <w:t>, while c</w:t>
      </w:r>
      <w:r w:rsidR="00E97CB6">
        <w:t xml:space="preserve">onsultation with young people </w:t>
      </w:r>
      <w:r w:rsidR="00F555C9">
        <w:t xml:space="preserve">took place in the </w:t>
      </w:r>
      <w:r w:rsidR="00F60DA3">
        <w:t xml:space="preserve">second half of 2021. </w:t>
      </w:r>
      <w:r w:rsidR="009570AE">
        <w:t>It should also be noted that stakeholders consulted did not always have involvement</w:t>
      </w:r>
      <w:r w:rsidR="002A3629">
        <w:t xml:space="preserve"> with</w:t>
      </w:r>
      <w:r w:rsidR="00BD26E7">
        <w:t>,</w:t>
      </w:r>
      <w:r w:rsidR="009570AE">
        <w:t xml:space="preserve"> </w:t>
      </w:r>
      <w:r w:rsidR="002A3629">
        <w:t>or knowledge of</w:t>
      </w:r>
      <w:r w:rsidR="00BD26E7">
        <w:t>,</w:t>
      </w:r>
      <w:r w:rsidR="002A3629">
        <w:t xml:space="preserve"> headspace services for the full period of the evaluation </w:t>
      </w:r>
      <w:r w:rsidR="00640DF8">
        <w:t xml:space="preserve">from </w:t>
      </w:r>
      <w:r w:rsidR="00FB180B">
        <w:t xml:space="preserve">1 </w:t>
      </w:r>
      <w:r w:rsidR="00640DF8">
        <w:t>July 2015 to</w:t>
      </w:r>
      <w:r w:rsidR="00FB180B">
        <w:t xml:space="preserve"> 30</w:t>
      </w:r>
      <w:r w:rsidR="00E91E8F">
        <w:t xml:space="preserve"> </w:t>
      </w:r>
      <w:r w:rsidR="00640DF8">
        <w:t xml:space="preserve">June 2020, </w:t>
      </w:r>
      <w:r w:rsidR="003338D8">
        <w:t>which may have impacted reflections from some stakeholders</w:t>
      </w:r>
      <w:r w:rsidR="00703B44">
        <w:t xml:space="preserve"> consulted</w:t>
      </w:r>
      <w:r w:rsidR="003338D8">
        <w:t>.</w:t>
      </w:r>
    </w:p>
    <w:p w14:paraId="5B9B998A" w14:textId="44C685EC" w:rsidR="00342E34" w:rsidRPr="00342E34" w:rsidRDefault="009F0679" w:rsidP="005F52ED">
      <w:pPr>
        <w:pStyle w:val="HeadingLevel4NoNumber"/>
      </w:pPr>
      <w:r>
        <w:t xml:space="preserve">Approach to analysis of </w:t>
      </w:r>
      <w:r w:rsidR="00693335">
        <w:t>hMDS data</w:t>
      </w:r>
    </w:p>
    <w:p w14:paraId="7C319084" w14:textId="70CCA4FA" w:rsidR="00B70F06" w:rsidRPr="00B70F06" w:rsidRDefault="00DD0202" w:rsidP="000244E4">
      <w:pPr>
        <w:pStyle w:val="BodyText"/>
        <w:rPr>
          <w:lang w:eastAsia="en-AU"/>
        </w:rPr>
      </w:pPr>
      <w:r>
        <w:rPr>
          <w:lang w:eastAsia="en-AU"/>
        </w:rPr>
        <w:t>Analysis of the hMDS specifically conside</w:t>
      </w:r>
      <w:r w:rsidR="00D764F6">
        <w:rPr>
          <w:lang w:eastAsia="en-AU"/>
        </w:rPr>
        <w:t>red all episodes of care which commenced between 1</w:t>
      </w:r>
      <w:r w:rsidR="00BD26E7">
        <w:rPr>
          <w:lang w:eastAsia="en-AU"/>
        </w:rPr>
        <w:t> </w:t>
      </w:r>
      <w:r w:rsidR="00D764F6">
        <w:rPr>
          <w:lang w:eastAsia="en-AU"/>
        </w:rPr>
        <w:t xml:space="preserve">July 2015 and 30 June 2020, and which had been completed by </w:t>
      </w:r>
      <w:r w:rsidR="001F04D4">
        <w:rPr>
          <w:lang w:eastAsia="en-AU"/>
        </w:rPr>
        <w:t>9</w:t>
      </w:r>
      <w:r w:rsidR="00D764F6">
        <w:rPr>
          <w:lang w:eastAsia="en-AU"/>
        </w:rPr>
        <w:t xml:space="preserve"> December 20</w:t>
      </w:r>
      <w:r w:rsidR="00173E15">
        <w:rPr>
          <w:lang w:eastAsia="en-AU"/>
        </w:rPr>
        <w:t>20. This was the base dataset used for the evaluation, with different inclusion and exclusion criteria applied for different analyses</w:t>
      </w:r>
      <w:r w:rsidR="00BD26E7">
        <w:rPr>
          <w:lang w:eastAsia="en-AU"/>
        </w:rPr>
        <w:t>,</w:t>
      </w:r>
      <w:r w:rsidR="008F60CF">
        <w:rPr>
          <w:lang w:eastAsia="en-AU"/>
        </w:rPr>
        <w:t xml:space="preserve"> where required. For example, analysis of clinical outcomes for young people using headspace services </w:t>
      </w:r>
      <w:r w:rsidR="005D19AF">
        <w:rPr>
          <w:lang w:eastAsia="en-AU"/>
        </w:rPr>
        <w:t>considered a subset of this full dataset, where young people had received</w:t>
      </w:r>
      <w:r w:rsidR="00347970">
        <w:rPr>
          <w:lang w:eastAsia="en-AU"/>
        </w:rPr>
        <w:t xml:space="preserve"> at least t</w:t>
      </w:r>
      <w:r w:rsidR="00085A7D">
        <w:rPr>
          <w:lang w:eastAsia="en-AU"/>
        </w:rPr>
        <w:t>wo</w:t>
      </w:r>
      <w:r w:rsidR="00347970">
        <w:rPr>
          <w:lang w:eastAsia="en-AU"/>
        </w:rPr>
        <w:t xml:space="preserve"> occasions of services within their episode of care, to ensure that both pre-treatment and post</w:t>
      </w:r>
      <w:r w:rsidR="00BD26E7">
        <w:rPr>
          <w:lang w:eastAsia="en-AU"/>
        </w:rPr>
        <w:noBreakHyphen/>
      </w:r>
      <w:r w:rsidR="00347970">
        <w:rPr>
          <w:lang w:eastAsia="en-AU"/>
        </w:rPr>
        <w:t xml:space="preserve">treatment clinical scores were available. </w:t>
      </w:r>
      <w:r w:rsidR="003459B9">
        <w:rPr>
          <w:lang w:eastAsia="en-AU"/>
        </w:rPr>
        <w:t>Where a subset of the base dataset was used for specific analysis, this is</w:t>
      </w:r>
      <w:r w:rsidR="00DA35CC">
        <w:rPr>
          <w:lang w:eastAsia="en-AU"/>
        </w:rPr>
        <w:t xml:space="preserve"> highlighted within the report </w:t>
      </w:r>
      <w:r w:rsidR="009B51DD">
        <w:rPr>
          <w:lang w:eastAsia="en-AU"/>
        </w:rPr>
        <w:t>(</w:t>
      </w:r>
      <w:r w:rsidR="00DC6AED">
        <w:rPr>
          <w:lang w:eastAsia="en-AU"/>
        </w:rPr>
        <w:fldChar w:fldCharType="begin" w:fldLock="1"/>
      </w:r>
      <w:r w:rsidR="00DC6AED">
        <w:rPr>
          <w:lang w:eastAsia="en-AU"/>
        </w:rPr>
        <w:instrText xml:space="preserve"> REF _Ref98402466 \r \h </w:instrText>
      </w:r>
      <w:r w:rsidR="00DC6AED">
        <w:rPr>
          <w:lang w:eastAsia="en-AU"/>
        </w:rPr>
      </w:r>
      <w:r w:rsidR="00DC6AED">
        <w:rPr>
          <w:lang w:eastAsia="en-AU"/>
        </w:rPr>
        <w:fldChar w:fldCharType="separate"/>
      </w:r>
      <w:r w:rsidR="00AE4D34">
        <w:rPr>
          <w:lang w:eastAsia="en-AU"/>
        </w:rPr>
        <w:t>Appendix F</w:t>
      </w:r>
      <w:r w:rsidR="00DC6AED">
        <w:rPr>
          <w:lang w:eastAsia="en-AU"/>
        </w:rPr>
        <w:fldChar w:fldCharType="end"/>
      </w:r>
      <w:r w:rsidR="009B51DD">
        <w:rPr>
          <w:lang w:eastAsia="en-AU"/>
        </w:rPr>
        <w:t xml:space="preserve"> provides further detail)</w:t>
      </w:r>
      <w:r w:rsidR="00DC6AED">
        <w:rPr>
          <w:lang w:eastAsia="en-AU"/>
        </w:rPr>
        <w:t xml:space="preserve">. </w:t>
      </w:r>
    </w:p>
    <w:p w14:paraId="342EF05A" w14:textId="761CE9E1" w:rsidR="00693335" w:rsidRPr="00693335" w:rsidRDefault="00693335" w:rsidP="00DC6AED">
      <w:pPr>
        <w:pStyle w:val="HeadingLevel4NoNumber"/>
      </w:pPr>
      <w:r>
        <w:t xml:space="preserve">Key data limitations </w:t>
      </w:r>
    </w:p>
    <w:p w14:paraId="75E86D68" w14:textId="75E1F48B" w:rsidR="00F50457" w:rsidRDefault="00DC6AED" w:rsidP="000244E4">
      <w:pPr>
        <w:pStyle w:val="BodyText"/>
      </w:pPr>
      <w:r>
        <w:t xml:space="preserve">There are </w:t>
      </w:r>
      <w:r w:rsidR="000121C9">
        <w:t>several</w:t>
      </w:r>
      <w:r>
        <w:t xml:space="preserve"> key data limitations documented within th</w:t>
      </w:r>
      <w:r w:rsidR="009A68F2">
        <w:t>is</w:t>
      </w:r>
      <w:r>
        <w:t xml:space="preserve"> report </w:t>
      </w:r>
      <w:r w:rsidR="00AC1A23">
        <w:t xml:space="preserve">and detailed in </w:t>
      </w:r>
      <w:r w:rsidR="00AC1A23">
        <w:fldChar w:fldCharType="begin" w:fldLock="1"/>
      </w:r>
      <w:r w:rsidR="00AC1A23">
        <w:instrText xml:space="preserve"> REF _Ref97900293 \r \h </w:instrText>
      </w:r>
      <w:r w:rsidR="00AC1A23">
        <w:fldChar w:fldCharType="separate"/>
      </w:r>
      <w:r w:rsidR="00AE4D34">
        <w:t>Appendix A</w:t>
      </w:r>
      <w:r w:rsidR="00AC1A23">
        <w:fldChar w:fldCharType="end"/>
      </w:r>
      <w:r w:rsidR="00AC1A23">
        <w:t>.</w:t>
      </w:r>
      <w:r w:rsidR="00B93312">
        <w:t xml:space="preserve"> Key data limitations include:</w:t>
      </w:r>
    </w:p>
    <w:p w14:paraId="7F738052" w14:textId="2BBB3267" w:rsidR="005E4067" w:rsidRDefault="00A70C2E" w:rsidP="00677015">
      <w:pPr>
        <w:pStyle w:val="Bullet1stlevel"/>
      </w:pPr>
      <w:r>
        <w:t>Data</w:t>
      </w:r>
      <w:r w:rsidR="00CA1EF5">
        <w:t xml:space="preserve"> linkage </w:t>
      </w:r>
      <w:r>
        <w:t>w</w:t>
      </w:r>
      <w:r w:rsidR="00CA1EF5">
        <w:t xml:space="preserve">as a preferred evaluation method, to compare outcomes </w:t>
      </w:r>
      <w:r w:rsidR="001364C3">
        <w:t xml:space="preserve">of </w:t>
      </w:r>
      <w:r w:rsidR="00CA1EF5">
        <w:t>young people using headspace services to th</w:t>
      </w:r>
      <w:r w:rsidR="009B51DD">
        <w:t>ose</w:t>
      </w:r>
      <w:r w:rsidR="00CA1EF5">
        <w:t xml:space="preserve"> of young people </w:t>
      </w:r>
      <w:r w:rsidR="00B62350">
        <w:t>who have not</w:t>
      </w:r>
      <w:r w:rsidR="009A68F2">
        <w:t xml:space="preserve"> used headspace </w:t>
      </w:r>
      <w:r w:rsidR="001364C3">
        <w:t>services</w:t>
      </w:r>
      <w:r>
        <w:t>.</w:t>
      </w:r>
      <w:r w:rsidR="00B62350">
        <w:t xml:space="preserve"> However, </w:t>
      </w:r>
      <w:r w:rsidR="00406731">
        <w:t xml:space="preserve">whether personal data collected from young people </w:t>
      </w:r>
      <w:r w:rsidR="00947919">
        <w:t>can</w:t>
      </w:r>
      <w:r w:rsidR="00406731">
        <w:t xml:space="preserve"> be used to support data linkage </w:t>
      </w:r>
      <w:r w:rsidR="00947919">
        <w:t>within current consent processes has not been investigated. In addition, t</w:t>
      </w:r>
      <w:r w:rsidR="000C4078" w:rsidRPr="00947919">
        <w:rPr>
          <w:color w:val="000000" w:themeColor="text1"/>
        </w:rPr>
        <w:t xml:space="preserve">o undertake data linkage for this evaluation, data would have had to be collected from individual headspace services for linkage. </w:t>
      </w:r>
      <w:r w:rsidR="00644BDC">
        <w:rPr>
          <w:color w:val="000000" w:themeColor="text1"/>
        </w:rPr>
        <w:t>I</w:t>
      </w:r>
      <w:r w:rsidR="000C4078" w:rsidRPr="00644BDC">
        <w:rPr>
          <w:color w:val="000000" w:themeColor="text1"/>
        </w:rPr>
        <w:t xml:space="preserve">t was estimated by the data linkage authority that this type of data linkage would take approximately 18 months to complete, which was not feasible for </w:t>
      </w:r>
      <w:r w:rsidR="00EF6376">
        <w:rPr>
          <w:color w:val="000000" w:themeColor="text1"/>
        </w:rPr>
        <w:t>evaluation completion</w:t>
      </w:r>
      <w:r w:rsidR="000C4078" w:rsidRPr="005513AE">
        <w:rPr>
          <w:color w:val="000000" w:themeColor="text1"/>
        </w:rPr>
        <w:t>.</w:t>
      </w:r>
      <w:r w:rsidR="009E659F" w:rsidRPr="00947919">
        <w:rPr>
          <w:color w:val="000000" w:themeColor="text1"/>
        </w:rPr>
        <w:t xml:space="preserve"> </w:t>
      </w:r>
      <w:r w:rsidR="000E4B88" w:rsidRPr="00947919">
        <w:rPr>
          <w:color w:val="000000" w:themeColor="text1"/>
        </w:rPr>
        <w:t>The area</w:t>
      </w:r>
      <w:r w:rsidR="005D4DC9">
        <w:rPr>
          <w:color w:val="000000" w:themeColor="text1"/>
        </w:rPr>
        <w:noBreakHyphen/>
      </w:r>
      <w:r w:rsidR="000E4B88" w:rsidRPr="00947919">
        <w:rPr>
          <w:color w:val="000000" w:themeColor="text1"/>
        </w:rPr>
        <w:t>level effectiveness analysis was undertaken in place of direct data linkage with other key datasets.</w:t>
      </w:r>
    </w:p>
    <w:p w14:paraId="3C8C8745" w14:textId="6649DC9D" w:rsidR="00B93312" w:rsidRDefault="00B93312" w:rsidP="00B93312">
      <w:pPr>
        <w:pStyle w:val="Bullet1stlevel"/>
      </w:pPr>
      <w:r>
        <w:t xml:space="preserve">There is variable compliance with </w:t>
      </w:r>
      <w:r w:rsidR="000E6D9F">
        <w:t>data collection for the hMDS. This variation occurs between different headspace services, data items, and young peop</w:t>
      </w:r>
      <w:r w:rsidR="00710A55">
        <w:t xml:space="preserve">le. </w:t>
      </w:r>
      <w:r w:rsidR="004F0428">
        <w:t xml:space="preserve">COVID-19 </w:t>
      </w:r>
      <w:r w:rsidR="007A2AEC">
        <w:t xml:space="preserve">also </w:t>
      </w:r>
      <w:r w:rsidR="00A70C2E">
        <w:t>reduced</w:t>
      </w:r>
      <w:r w:rsidR="007A2AEC">
        <w:t xml:space="preserve"> completion rates for surveys provided to young people for the last period of the evaluation.</w:t>
      </w:r>
    </w:p>
    <w:p w14:paraId="678E7699" w14:textId="498A91B9" w:rsidR="004F0428" w:rsidRDefault="00F27139" w:rsidP="00B93312">
      <w:pPr>
        <w:pStyle w:val="Bullet1stlevel"/>
      </w:pPr>
      <w:r>
        <w:t xml:space="preserve">The hMDS has been updated </w:t>
      </w:r>
      <w:r w:rsidR="00325530">
        <w:t>over time, with new data items collected</w:t>
      </w:r>
      <w:r w:rsidR="000D79F7">
        <w:t xml:space="preserve"> and the definition of data items changing</w:t>
      </w:r>
      <w:r w:rsidR="00E91E8F">
        <w:t xml:space="preserve"> </w:t>
      </w:r>
      <w:r w:rsidR="000D79F7">
        <w:t>during</w:t>
      </w:r>
      <w:r w:rsidR="00760504">
        <w:t xml:space="preserve"> the evaluation. </w:t>
      </w:r>
      <w:r w:rsidR="00FA5C2C">
        <w:t>S</w:t>
      </w:r>
      <w:r w:rsidR="00760504">
        <w:t>ome data is not comparable across the full evaluation period or is only available for the last financial year within the</w:t>
      </w:r>
      <w:r w:rsidR="00FA5C2C">
        <w:t xml:space="preserve"> </w:t>
      </w:r>
      <w:r w:rsidR="008A5F57">
        <w:t xml:space="preserve">evaluation </w:t>
      </w:r>
      <w:r w:rsidR="00FA5C2C">
        <w:t>period</w:t>
      </w:r>
      <w:r w:rsidR="00760504">
        <w:t xml:space="preserve">. </w:t>
      </w:r>
    </w:p>
    <w:p w14:paraId="43C61A0B" w14:textId="64054B0F" w:rsidR="0097635A" w:rsidRPr="0097635A" w:rsidRDefault="00DB07BD" w:rsidP="0097635A">
      <w:pPr>
        <w:pStyle w:val="Bullet1stlevel"/>
      </w:pPr>
      <w:r>
        <w:t xml:space="preserve">Completion rates </w:t>
      </w:r>
      <w:r w:rsidR="00FA5C2C">
        <w:t xml:space="preserve">are very low </w:t>
      </w:r>
      <w:r w:rsidR="00980401">
        <w:t>for</w:t>
      </w:r>
      <w:r>
        <w:t xml:space="preserve"> the follow</w:t>
      </w:r>
      <w:r w:rsidR="00D30CA0">
        <w:t xml:space="preserve"> </w:t>
      </w:r>
      <w:r>
        <w:t xml:space="preserve">up survey provided to young people </w:t>
      </w:r>
      <w:r w:rsidR="006C688C">
        <w:t>three months after an episode of care is completed,</w:t>
      </w:r>
      <w:r w:rsidR="00FA5C2C">
        <w:t xml:space="preserve"> at </w:t>
      </w:r>
      <w:r w:rsidR="006C688C">
        <w:t>appro</w:t>
      </w:r>
      <w:r w:rsidR="004547FC">
        <w:t xml:space="preserve">ximately four per cent, and young people who have experienced </w:t>
      </w:r>
      <w:r w:rsidR="00080971">
        <w:t>better outcomes from headspace services completing the survey</w:t>
      </w:r>
      <w:r w:rsidR="00FA5C2C">
        <w:t xml:space="preserve"> at higher rates.</w:t>
      </w:r>
    </w:p>
    <w:p w14:paraId="41EC250C" w14:textId="461222C4" w:rsidR="00792A00" w:rsidRPr="00C3455A" w:rsidRDefault="009D0477" w:rsidP="00B65A9B">
      <w:pPr>
        <w:pStyle w:val="Bullet1stlevel"/>
      </w:pPr>
      <w:r>
        <w:t>There is no consistent collection of data across headspace services related to the cost of delivering headspace supports. For example,</w:t>
      </w:r>
      <w:r w:rsidR="00B74091">
        <w:t xml:space="preserve"> the cost of</w:t>
      </w:r>
      <w:r>
        <w:t xml:space="preserve"> MBS items </w:t>
      </w:r>
      <w:r w:rsidR="009E659F">
        <w:t>is</w:t>
      </w:r>
      <w:r>
        <w:t xml:space="preserve"> not </w:t>
      </w:r>
      <w:r w:rsidR="00D773E9">
        <w:t>identified</w:t>
      </w:r>
      <w:r>
        <w:t xml:space="preserve">, </w:t>
      </w:r>
      <w:r w:rsidR="002A35BA">
        <w:t>and t</w:t>
      </w:r>
      <w:r>
        <w:t xml:space="preserve">here is no data collection </w:t>
      </w:r>
      <w:r w:rsidR="001B0813">
        <w:t xml:space="preserve">for </w:t>
      </w:r>
      <w:r w:rsidR="00034B4E">
        <w:t xml:space="preserve">other </w:t>
      </w:r>
      <w:r w:rsidR="001B0813">
        <w:t>indirect and in</w:t>
      </w:r>
      <w:r w:rsidR="00034B4E">
        <w:t>-</w:t>
      </w:r>
      <w:r w:rsidR="001B0813">
        <w:t>kin</w:t>
      </w:r>
      <w:r w:rsidR="00034B4E">
        <w:t>d costs incurred</w:t>
      </w:r>
      <w:r w:rsidR="002A35BA">
        <w:t>.</w:t>
      </w:r>
      <w:r w:rsidR="00034B4E">
        <w:t xml:space="preserve"> While the evaluation sought this information directly from headsp</w:t>
      </w:r>
      <w:r w:rsidR="005F4471">
        <w:t>a</w:t>
      </w:r>
      <w:r w:rsidR="00034B4E">
        <w:t xml:space="preserve">ce services through deep dive consultations and the lead agency and service survey, very few </w:t>
      </w:r>
      <w:r w:rsidR="001015E8">
        <w:t>service</w:t>
      </w:r>
      <w:r w:rsidR="00034B4E">
        <w:t>s were able to provide cost breakdowns.</w:t>
      </w:r>
    </w:p>
    <w:p w14:paraId="4CAE27DB" w14:textId="0994123C" w:rsidR="0062412E" w:rsidRPr="0099589C" w:rsidRDefault="0062412E" w:rsidP="001B5CE9">
      <w:pPr>
        <w:pStyle w:val="HeadingLevel2NoNumber"/>
      </w:pPr>
      <w:r w:rsidRPr="0099589C">
        <w:t>Evaluation findings</w:t>
      </w:r>
    </w:p>
    <w:p w14:paraId="60BAB8D4" w14:textId="5265B2C0" w:rsidR="00E91E8F" w:rsidRDefault="004F0419" w:rsidP="00E91E8F">
      <w:pPr>
        <w:pStyle w:val="Caption"/>
        <w:rPr>
          <w:noProof/>
        </w:rPr>
      </w:pPr>
      <w:bookmarkStart w:id="13" w:name="_Ref98474397"/>
      <w:bookmarkStart w:id="14" w:name="_Toc108109188"/>
      <w:r>
        <w:t xml:space="preserve">Figure </w:t>
      </w:r>
      <w:fldSimple w:instr=" SEQ Figure \* ARABIC ">
        <w:r w:rsidR="00CC0438">
          <w:rPr>
            <w:noProof/>
          </w:rPr>
          <w:t>3</w:t>
        </w:r>
      </w:fldSimple>
      <w:bookmarkEnd w:id="13"/>
      <w:r>
        <w:t xml:space="preserve">: </w:t>
      </w:r>
      <w:r w:rsidR="009B0303">
        <w:t>Findings at a glance</w:t>
      </w:r>
      <w:bookmarkEnd w:id="14"/>
    </w:p>
    <w:p w14:paraId="733CDB6C" w14:textId="0F479451" w:rsidR="00487341" w:rsidRPr="00487341" w:rsidRDefault="00F4618B" w:rsidP="004371B8">
      <w:pPr>
        <w:pStyle w:val="BodyText"/>
      </w:pPr>
      <w:r>
        <w:rPr>
          <w:noProof/>
        </w:rPr>
        <w:drawing>
          <wp:inline distT="0" distB="0" distL="0" distR="0" wp14:anchorId="6554ADF8" wp14:editId="466F7659">
            <wp:extent cx="6152797" cy="7772400"/>
            <wp:effectExtent l="0" t="0" r="635" b="0"/>
            <wp:docPr id="116" name="Picture 116" descr="Figure 3 summarises key findings across the evaluation, which are described after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3 summarises key findings across the evaluation, which are described after the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7031" cy="7815645"/>
                    </a:xfrm>
                    <a:prstGeom prst="rect">
                      <a:avLst/>
                    </a:prstGeom>
                    <a:noFill/>
                  </pic:spPr>
                </pic:pic>
              </a:graphicData>
            </a:graphic>
          </wp:inline>
        </w:drawing>
      </w:r>
    </w:p>
    <w:p w14:paraId="3A4D07D6" w14:textId="19495BA9" w:rsidR="00174F9F" w:rsidRDefault="009B0303" w:rsidP="006F3E6C">
      <w:pPr>
        <w:pStyle w:val="Source"/>
      </w:pPr>
      <w:r>
        <w:t>Source: KPMG 2022</w:t>
      </w:r>
      <w:r w:rsidR="00174F9F">
        <w:br w:type="page"/>
      </w:r>
    </w:p>
    <w:p w14:paraId="44DDEA66" w14:textId="28435628" w:rsidR="009253B1" w:rsidRDefault="00740EE1" w:rsidP="000244E4">
      <w:pPr>
        <w:pStyle w:val="BodyText"/>
      </w:pPr>
      <w:r>
        <w:fldChar w:fldCharType="begin" w:fldLock="1"/>
      </w:r>
      <w:r>
        <w:instrText xml:space="preserve"> REF _Ref98474397 \h </w:instrText>
      </w:r>
      <w:r>
        <w:fldChar w:fldCharType="separate"/>
      </w:r>
      <w:r w:rsidR="00AE4D34">
        <w:t xml:space="preserve">Figure </w:t>
      </w:r>
      <w:r w:rsidR="00AE4D34">
        <w:rPr>
          <w:noProof/>
        </w:rPr>
        <w:t>3</w:t>
      </w:r>
      <w:r>
        <w:fldChar w:fldCharType="end"/>
      </w:r>
      <w:r w:rsidR="009253B1">
        <w:t xml:space="preserve">, above, presents the key findings across the four domains of inquiry. </w:t>
      </w:r>
      <w:r w:rsidR="00AB1575">
        <w:t>Further commentary on each follows.</w:t>
      </w:r>
    </w:p>
    <w:p w14:paraId="59B591F0" w14:textId="7EC41EC8" w:rsidR="007F7CBF" w:rsidRDefault="007F7CBF" w:rsidP="00BC3747">
      <w:pPr>
        <w:pStyle w:val="HeadingLevel3NoNumber"/>
      </w:pPr>
      <w:r>
        <w:t>Domain 1: Understanding headspace</w:t>
      </w:r>
    </w:p>
    <w:p w14:paraId="5920699F" w14:textId="77777777" w:rsidR="001A2901" w:rsidRDefault="001A2901" w:rsidP="000244E4">
      <w:pPr>
        <w:pStyle w:val="BodyText"/>
      </w:pPr>
      <w:r>
        <w:t xml:space="preserve">The design of the headspace model has been well articulated and is in line with international standards for the provision of youth-friendly care. There is evidence of high levels of demand for mental health services for young people, and different levels of need from young people across different demographic groups. The broader literature supports the headspace model’s identification of a number of priority groups for active engagement, and the design of the model aligns to the mental health and wellbeing needs of young people in Australia. Stakeholder perceptions of the value and intent of the headspace model are well aligned to the intended outcomes and objectives of the model, which are clearly defined in the program logic underpinning the </w:t>
      </w:r>
      <w:r w:rsidRPr="00BA7679">
        <w:t>headspace Model Integrity Framework</w:t>
      </w:r>
      <w:r>
        <w:t xml:space="preserve"> (hMIF). </w:t>
      </w:r>
    </w:p>
    <w:p w14:paraId="0059D7C9" w14:textId="1BEFA9FB" w:rsidR="001A2901" w:rsidRDefault="001A2901" w:rsidP="000244E4">
      <w:pPr>
        <w:pStyle w:val="BodyText"/>
      </w:pPr>
      <w:r w:rsidRPr="003E48C7">
        <w:t>The most significant change</w:t>
      </w:r>
      <w:r w:rsidR="00654B00">
        <w:t>s</w:t>
      </w:r>
      <w:r w:rsidRPr="003E48C7">
        <w:t xml:space="preserve"> to how headspace services are implemented </w:t>
      </w:r>
      <w:r w:rsidR="00D203E8">
        <w:t>were</w:t>
      </w:r>
      <w:r w:rsidR="00D203E8" w:rsidRPr="003E48C7">
        <w:t xml:space="preserve"> </w:t>
      </w:r>
      <w:r w:rsidRPr="003E48C7">
        <w:t xml:space="preserve">the introduction of local PHN </w:t>
      </w:r>
      <w:r w:rsidR="0070552D">
        <w:t>c</w:t>
      </w:r>
      <w:r w:rsidRPr="003E48C7">
        <w:t>ommissioning in 201</w:t>
      </w:r>
      <w:r w:rsidR="00654B00">
        <w:t>6</w:t>
      </w:r>
      <w:r>
        <w:t>, along with a complex distributed governance model</w:t>
      </w:r>
      <w:r w:rsidR="00D203E8">
        <w:t>, and the introduction of new delivery models for headspace services, including</w:t>
      </w:r>
      <w:r w:rsidR="00AA4E9C">
        <w:t xml:space="preserve"> satellite services and outreach models</w:t>
      </w:r>
      <w:r>
        <w:t xml:space="preserve">. </w:t>
      </w:r>
    </w:p>
    <w:p w14:paraId="11B7E927" w14:textId="2501930C" w:rsidR="001A2901" w:rsidRDefault="001A2901" w:rsidP="000244E4">
      <w:pPr>
        <w:pStyle w:val="BodyText"/>
      </w:pPr>
      <w:r>
        <w:t xml:space="preserve">Over time, the reach and take-up of the model have improved. With increased investment from government, there has been significant growth in headspace services, from 98 in June 2016 to 118 in June 2020 and </w:t>
      </w:r>
      <w:r w:rsidR="00EB249C">
        <w:t>15</w:t>
      </w:r>
      <w:r w:rsidR="002B2329">
        <w:t>4</w:t>
      </w:r>
      <w:r w:rsidR="00EB249C">
        <w:t xml:space="preserve"> </w:t>
      </w:r>
      <w:r>
        <w:t xml:space="preserve">services in operation by </w:t>
      </w:r>
      <w:r w:rsidR="00EB249C">
        <w:t>1 May 2022</w:t>
      </w:r>
      <w:r w:rsidR="00CC0438">
        <w:rPr>
          <w:rFonts w:ascii="ZWAdobeF" w:hAnsi="ZWAdobeF" w:cs="ZWAdobeF"/>
          <w:sz w:val="2"/>
          <w:szCs w:val="2"/>
        </w:rPr>
        <w:t>1F</w:t>
      </w:r>
      <w:r w:rsidR="007D5A98">
        <w:rPr>
          <w:rStyle w:val="FootnoteReference"/>
        </w:rPr>
        <w:footnoteReference w:id="3"/>
      </w:r>
      <w:r>
        <w:t xml:space="preserve">. The number of headspace service locations per jurisdiction also broadly aligns to the population size for young people. </w:t>
      </w:r>
    </w:p>
    <w:p w14:paraId="642935D6" w14:textId="5AAA8988" w:rsidR="0045730D" w:rsidDel="00854A60" w:rsidRDefault="0045730D" w:rsidP="000244E4">
      <w:pPr>
        <w:pStyle w:val="BodyText"/>
      </w:pPr>
      <w:r w:rsidDel="00854A60">
        <w:t xml:space="preserve">At a national level, mental health services (57.5 per cent) provided through the headspace model </w:t>
      </w:r>
      <w:r w:rsidR="00530F5C">
        <w:t>between</w:t>
      </w:r>
      <w:r w:rsidR="00C362A3">
        <w:t xml:space="preserve"> 1</w:t>
      </w:r>
      <w:r w:rsidR="00530F5C">
        <w:t xml:space="preserve"> July </w:t>
      </w:r>
      <w:r w:rsidR="00C362A3">
        <w:t xml:space="preserve">2015 and </w:t>
      </w:r>
      <w:r w:rsidR="00E91E8F">
        <w:t>3</w:t>
      </w:r>
      <w:r w:rsidR="00C362A3">
        <w:t xml:space="preserve">0 June 2020 </w:t>
      </w:r>
      <w:r w:rsidDel="00854A60">
        <w:t xml:space="preserve">greatly outweigh </w:t>
      </w:r>
      <w:r w:rsidR="007F1CF7" w:rsidDel="00854A60">
        <w:t>a</w:t>
      </w:r>
      <w:r w:rsidR="007F1CF7" w:rsidRPr="007F1CF7" w:rsidDel="00854A60">
        <w:t xml:space="preserve">lcohol and </w:t>
      </w:r>
      <w:r w:rsidR="007F1CF7" w:rsidDel="00854A60">
        <w:t>o</w:t>
      </w:r>
      <w:r w:rsidR="007F1CF7" w:rsidRPr="007F1CF7" w:rsidDel="00854A60">
        <w:t xml:space="preserve">ther </w:t>
      </w:r>
      <w:r w:rsidR="007F1CF7" w:rsidDel="00854A60">
        <w:t>d</w:t>
      </w:r>
      <w:r w:rsidR="007F1CF7" w:rsidRPr="007F1CF7" w:rsidDel="00854A60">
        <w:t>rugs</w:t>
      </w:r>
      <w:r w:rsidR="007F1CF7" w:rsidDel="00854A60">
        <w:t xml:space="preserve"> (</w:t>
      </w:r>
      <w:r w:rsidDel="00854A60">
        <w:t>AOD</w:t>
      </w:r>
      <w:r w:rsidR="007F1CF7" w:rsidDel="00854A60">
        <w:t>)</w:t>
      </w:r>
      <w:r w:rsidDel="00854A60">
        <w:t xml:space="preserve"> services (0.4</w:t>
      </w:r>
      <w:r w:rsidR="007A7801">
        <w:t> </w:t>
      </w:r>
      <w:r w:rsidDel="00854A60">
        <w:t>per cent), vocational support (2.2 per cent) and sexual and physical health (1.8 per cent). This mix of services provided through the headspace model has remained largely consistent over time, with the exception of outer regional and remote services</w:t>
      </w:r>
      <w:r w:rsidR="002C2FCF">
        <w:t xml:space="preserve"> where a </w:t>
      </w:r>
      <w:r w:rsidDel="00854A60">
        <w:t>greater proportion o</w:t>
      </w:r>
      <w:r w:rsidR="0017236A">
        <w:t>f</w:t>
      </w:r>
      <w:r w:rsidR="002C2FCF">
        <w:t xml:space="preserve"> vocational</w:t>
      </w:r>
      <w:r w:rsidR="000F53D8">
        <w:t xml:space="preserve"> (</w:t>
      </w:r>
      <w:r w:rsidR="00E3509A">
        <w:t xml:space="preserve">8 </w:t>
      </w:r>
      <w:r w:rsidR="000F53D8">
        <w:t>per cent)</w:t>
      </w:r>
      <w:r w:rsidR="002C2FCF">
        <w:t xml:space="preserve"> and sexual and physical health</w:t>
      </w:r>
      <w:r w:rsidR="000F53D8">
        <w:t xml:space="preserve"> (13 per cent)</w:t>
      </w:r>
      <w:r w:rsidR="002C2FCF">
        <w:t xml:space="preserve"> </w:t>
      </w:r>
      <w:r w:rsidDel="00854A60">
        <w:t>support services</w:t>
      </w:r>
      <w:r w:rsidR="002C2FCF">
        <w:t xml:space="preserve"> </w:t>
      </w:r>
      <w:r w:rsidR="00CC3DAE">
        <w:t>have been</w:t>
      </w:r>
      <w:r w:rsidR="002C2FCF">
        <w:t xml:space="preserve"> provided</w:t>
      </w:r>
      <w:r w:rsidR="00B77312">
        <w:t xml:space="preserve"> compared to other region</w:t>
      </w:r>
      <w:r w:rsidR="00347D1A">
        <w:t>s</w:t>
      </w:r>
      <w:r w:rsidR="00E67B8B">
        <w:t>, and fewer mental health services (38 per cent)</w:t>
      </w:r>
      <w:r w:rsidR="002C2FCF">
        <w:t>. In all case</w:t>
      </w:r>
      <w:r w:rsidR="00CC3DAE">
        <w:t>s</w:t>
      </w:r>
      <w:r w:rsidR="002C2FCF">
        <w:t>, however, me</w:t>
      </w:r>
      <w:r w:rsidDel="00854A60">
        <w:t>ntal health services</w:t>
      </w:r>
      <w:r w:rsidR="002C2FCF">
        <w:t xml:space="preserve"> </w:t>
      </w:r>
      <w:r w:rsidR="00D377E6">
        <w:t xml:space="preserve">comprise a </w:t>
      </w:r>
      <w:r w:rsidR="002C2FCF">
        <w:t>greater proportion</w:t>
      </w:r>
      <w:r w:rsidR="00D377E6">
        <w:t xml:space="preserve"> of services</w:t>
      </w:r>
      <w:r w:rsidR="002C2FCF">
        <w:t xml:space="preserve"> provided</w:t>
      </w:r>
      <w:r w:rsidR="00AE677F">
        <w:t xml:space="preserve">. </w:t>
      </w:r>
      <w:r w:rsidR="009953CE">
        <w:t>A significant pro</w:t>
      </w:r>
      <w:r w:rsidR="00B6079F">
        <w:t>portion of O</w:t>
      </w:r>
      <w:r w:rsidR="00366E5B">
        <w:t>O</w:t>
      </w:r>
      <w:r w:rsidR="00B6079F">
        <w:t>S are also made up of intake and assessment (</w:t>
      </w:r>
      <w:r w:rsidR="002A6DD6">
        <w:t>23.7 per cent)</w:t>
      </w:r>
      <w:r w:rsidR="0048539C">
        <w:t>.</w:t>
      </w:r>
      <w:r w:rsidDel="00854A60">
        <w:t xml:space="preserve"> </w:t>
      </w:r>
    </w:p>
    <w:p w14:paraId="1C0344B6" w14:textId="73F067C4" w:rsidR="0045730D" w:rsidRDefault="0045730D" w:rsidP="000244E4">
      <w:pPr>
        <w:pStyle w:val="BodyText"/>
      </w:pPr>
      <w:r>
        <w:t xml:space="preserve">Most services </w:t>
      </w:r>
      <w:r w:rsidR="002B7F7F">
        <w:t xml:space="preserve">provided </w:t>
      </w:r>
      <w:r>
        <w:t xml:space="preserve">through the headspace model are provided to an individual young person, rather than </w:t>
      </w:r>
      <w:r w:rsidR="00F0571A">
        <w:t xml:space="preserve">to </w:t>
      </w:r>
      <w:r>
        <w:t>famil</w:t>
      </w:r>
      <w:r w:rsidR="00F0571A">
        <w:t>ies</w:t>
      </w:r>
      <w:r>
        <w:t xml:space="preserve"> or groups (74 per cent of </w:t>
      </w:r>
      <w:r w:rsidR="00264FEE">
        <w:t>O</w:t>
      </w:r>
      <w:r w:rsidR="00366E5B">
        <w:t>O</w:t>
      </w:r>
      <w:r w:rsidR="00264FEE">
        <w:t>S</w:t>
      </w:r>
      <w:r>
        <w:t xml:space="preserve"> in 2019-20)</w:t>
      </w:r>
      <w:r w:rsidR="00F0571A">
        <w:t>,</w:t>
      </w:r>
      <w:r>
        <w:t xml:space="preserve"> and most services are provided face</w:t>
      </w:r>
      <w:r w:rsidR="007C62A0">
        <w:t>-</w:t>
      </w:r>
      <w:r>
        <w:t>to</w:t>
      </w:r>
      <w:r w:rsidR="007C62A0">
        <w:t>-</w:t>
      </w:r>
      <w:r>
        <w:t xml:space="preserve">face (60 per cent of </w:t>
      </w:r>
      <w:r w:rsidR="00264FEE">
        <w:t>O</w:t>
      </w:r>
      <w:r w:rsidR="002277A4">
        <w:t>O</w:t>
      </w:r>
      <w:r w:rsidR="00264FEE">
        <w:t>S</w:t>
      </w:r>
      <w:r>
        <w:t xml:space="preserve"> in 2019-20).</w:t>
      </w:r>
      <w:r w:rsidR="0048539C">
        <w:t xml:space="preserve"> Th</w:t>
      </w:r>
      <w:r w:rsidR="00A63D3D">
        <w:t>e</w:t>
      </w:r>
      <w:r w:rsidR="0048539C">
        <w:t xml:space="preserve"> proportion of services delivered face to face was </w:t>
      </w:r>
      <w:r w:rsidR="00AF4E87">
        <w:t xml:space="preserve">considerably </w:t>
      </w:r>
      <w:r w:rsidR="0048539C">
        <w:t>lower in 2019-20, due to the impacts of COVID-19 and</w:t>
      </w:r>
      <w:r w:rsidR="009D594E">
        <w:t xml:space="preserve"> the resultant</w:t>
      </w:r>
      <w:r w:rsidR="0048539C">
        <w:t xml:space="preserve"> </w:t>
      </w:r>
      <w:r w:rsidR="00223760">
        <w:t xml:space="preserve">shift to online and telehealth service delivery. </w:t>
      </w:r>
      <w:r w:rsidR="00986E48">
        <w:t>In the months from July 2019 to February 2020</w:t>
      </w:r>
      <w:r w:rsidR="00A6744E">
        <w:t>,</w:t>
      </w:r>
      <w:r w:rsidR="008D68AE">
        <w:t xml:space="preserve"> </w:t>
      </w:r>
      <w:r w:rsidR="00C25B0E">
        <w:t xml:space="preserve">face-to-face </w:t>
      </w:r>
      <w:r w:rsidR="00C25B0E" w:rsidRPr="001462E0">
        <w:t xml:space="preserve">sessions made up </w:t>
      </w:r>
      <w:r w:rsidR="001462E0" w:rsidRPr="001462E0">
        <w:t>79</w:t>
      </w:r>
      <w:r w:rsidR="00C25B0E" w:rsidRPr="001462E0">
        <w:t xml:space="preserve"> per cent of </w:t>
      </w:r>
      <w:r w:rsidR="00264FEE">
        <w:t>O</w:t>
      </w:r>
      <w:r w:rsidR="002277A4">
        <w:t>O</w:t>
      </w:r>
      <w:r w:rsidR="00264FEE">
        <w:t>S</w:t>
      </w:r>
      <w:r w:rsidR="00C25B0E" w:rsidRPr="001462E0">
        <w:t xml:space="preserve"> delivered</w:t>
      </w:r>
      <w:r w:rsidR="001462E0" w:rsidRPr="007005D9">
        <w:t xml:space="preserve"> (noting that 16 per cent of </w:t>
      </w:r>
      <w:r w:rsidR="001462E0" w:rsidRPr="00495DA0">
        <w:t>O</w:t>
      </w:r>
      <w:r w:rsidR="00366E5B">
        <w:t>O</w:t>
      </w:r>
      <w:r w:rsidR="001462E0" w:rsidRPr="00495DA0">
        <w:t>S had mi</w:t>
      </w:r>
      <w:r w:rsidR="001462E0">
        <w:t>ssing service mode information)</w:t>
      </w:r>
      <w:r w:rsidR="00C25B0E">
        <w:t>.</w:t>
      </w:r>
    </w:p>
    <w:p w14:paraId="446FB828" w14:textId="39DEE7AE" w:rsidR="0045730D" w:rsidRDefault="0045730D" w:rsidP="000244E4">
      <w:pPr>
        <w:pStyle w:val="BodyText"/>
      </w:pPr>
      <w:r>
        <w:t>Overall, the headspace model is well designed, aligned to the mental health needs of young people, and has a reach and take</w:t>
      </w:r>
      <w:r w:rsidR="007F1CF7">
        <w:t>-</w:t>
      </w:r>
      <w:r>
        <w:t>up which has increased over time, in line with government investment and increased demand.</w:t>
      </w:r>
    </w:p>
    <w:p w14:paraId="0DC50F98" w14:textId="77777777" w:rsidR="007F7CBF" w:rsidRDefault="007F7CBF" w:rsidP="00BC3747">
      <w:pPr>
        <w:pStyle w:val="HeadingLevel3NoNumber"/>
      </w:pPr>
      <w:r>
        <w:t>Domain 2: The effectiveness of headspace in achieving program outcomes</w:t>
      </w:r>
    </w:p>
    <w:p w14:paraId="03AE1C0E" w14:textId="219EDD70" w:rsidR="002F6B27" w:rsidRDefault="00BB7EC4" w:rsidP="000244E4">
      <w:pPr>
        <w:pStyle w:val="BodyText"/>
      </w:pPr>
      <w:r>
        <w:t>As part of t</w:t>
      </w:r>
      <w:r w:rsidR="002F6B27">
        <w:t>h</w:t>
      </w:r>
      <w:r>
        <w:t xml:space="preserve">is </w:t>
      </w:r>
      <w:r w:rsidR="002F6B27">
        <w:t>domain</w:t>
      </w:r>
      <w:r>
        <w:t xml:space="preserve"> of inquiry, </w:t>
      </w:r>
      <w:r w:rsidR="002F6B27">
        <w:t xml:space="preserve">the effectiveness of measuring outcomes </w:t>
      </w:r>
      <w:r>
        <w:t>through t</w:t>
      </w:r>
      <w:r w:rsidR="002F6B27">
        <w:t>he heads</w:t>
      </w:r>
      <w:r w:rsidR="00BC3747">
        <w:t>p</w:t>
      </w:r>
      <w:r w:rsidR="002F6B27">
        <w:t>a</w:t>
      </w:r>
      <w:r w:rsidR="00BC3747">
        <w:t>ce model</w:t>
      </w:r>
      <w:r>
        <w:t xml:space="preserve"> was evaluated. The evaluation found:</w:t>
      </w:r>
    </w:p>
    <w:p w14:paraId="59E16368" w14:textId="219D3B90" w:rsidR="004C3AFE" w:rsidRDefault="00E86E9A" w:rsidP="00327389">
      <w:pPr>
        <w:pStyle w:val="Bullet1stlevel"/>
      </w:pPr>
      <w:r>
        <w:t>d</w:t>
      </w:r>
      <w:r w:rsidR="004C3AFE" w:rsidRPr="004C3AFE">
        <w:t>ata is collected and disseminated across a broad range of activities</w:t>
      </w:r>
      <w:r w:rsidR="00EF5825">
        <w:t>;</w:t>
      </w:r>
      <w:r w:rsidR="004C3AFE" w:rsidRPr="004C3AFE">
        <w:t xml:space="preserve"> </w:t>
      </w:r>
    </w:p>
    <w:p w14:paraId="01377C7E" w14:textId="6DA991A8" w:rsidR="004C3AFE" w:rsidRDefault="00E86E9A" w:rsidP="00327389">
      <w:pPr>
        <w:pStyle w:val="Bullet1stlevel"/>
      </w:pPr>
      <w:r>
        <w:t>g</w:t>
      </w:r>
      <w:r w:rsidR="004C3AFE" w:rsidRPr="004C3AFE">
        <w:t>aps in activity data prevent measurement of some elements of the headspace model, including community engagement and services integration</w:t>
      </w:r>
      <w:r w:rsidR="00EF5825">
        <w:t>; and</w:t>
      </w:r>
    </w:p>
    <w:p w14:paraId="683800DE" w14:textId="192BA011" w:rsidR="00BB7EC4" w:rsidRDefault="00E86E9A" w:rsidP="00327389">
      <w:pPr>
        <w:pStyle w:val="Bullet1stlevel"/>
      </w:pPr>
      <w:r>
        <w:t>l</w:t>
      </w:r>
      <w:r w:rsidR="004C3AFE" w:rsidRPr="004C3AFE">
        <w:t>onger</w:t>
      </w:r>
      <w:r w:rsidR="00ED7AA4">
        <w:t>-</w:t>
      </w:r>
      <w:r w:rsidR="004C3AFE" w:rsidRPr="004C3AFE">
        <w:t>term outcomes associated with the model are not measured</w:t>
      </w:r>
      <w:r w:rsidR="00823545">
        <w:t>.</w:t>
      </w:r>
    </w:p>
    <w:p w14:paraId="5DBDC185" w14:textId="0DAF62CE" w:rsidR="002A5ED1" w:rsidRDefault="004C3AFE" w:rsidP="000244E4">
      <w:pPr>
        <w:pStyle w:val="BodyText"/>
      </w:pPr>
      <w:r>
        <w:t xml:space="preserve">Each of the outcome areas </w:t>
      </w:r>
      <w:r w:rsidR="0018659D">
        <w:t xml:space="preserve">set out in </w:t>
      </w:r>
      <w:r w:rsidR="001D5425">
        <w:rPr>
          <w:highlight w:val="cyan"/>
        </w:rPr>
        <w:fldChar w:fldCharType="begin" w:fldLock="1"/>
      </w:r>
      <w:r w:rsidR="001D5425">
        <w:instrText xml:space="preserve"> REF _Ref98433447 \h </w:instrText>
      </w:r>
      <w:r w:rsidR="001D5425">
        <w:rPr>
          <w:highlight w:val="cyan"/>
        </w:rPr>
      </w:r>
      <w:r w:rsidR="001D5425">
        <w:rPr>
          <w:highlight w:val="cyan"/>
        </w:rPr>
        <w:fldChar w:fldCharType="separate"/>
      </w:r>
      <w:r w:rsidR="00AE4D34">
        <w:t xml:space="preserve">Figure </w:t>
      </w:r>
      <w:r w:rsidR="00AE4D34">
        <w:rPr>
          <w:noProof/>
        </w:rPr>
        <w:t>4</w:t>
      </w:r>
      <w:r w:rsidR="001D5425">
        <w:rPr>
          <w:highlight w:val="cyan"/>
        </w:rPr>
        <w:fldChar w:fldCharType="end"/>
      </w:r>
      <w:r w:rsidR="0018659D">
        <w:t xml:space="preserve"> below </w:t>
      </w:r>
      <w:r w:rsidR="00BE2DB1">
        <w:t>were</w:t>
      </w:r>
      <w:r>
        <w:t xml:space="preserve"> separately</w:t>
      </w:r>
      <w:r w:rsidR="00E0754D">
        <w:t xml:space="preserve"> evaluated</w:t>
      </w:r>
      <w:r w:rsidR="00C84F7F">
        <w:t>.</w:t>
      </w:r>
      <w:r w:rsidR="00E0754D">
        <w:t xml:space="preserve"> </w:t>
      </w:r>
      <w:r w:rsidR="002A5ED1">
        <w:t xml:space="preserve"> </w:t>
      </w:r>
    </w:p>
    <w:p w14:paraId="4955CB6F" w14:textId="452549C4" w:rsidR="005A44B3" w:rsidRDefault="005A44B3" w:rsidP="001D5425">
      <w:pPr>
        <w:pStyle w:val="Caption"/>
      </w:pPr>
      <w:bookmarkStart w:id="15" w:name="_Ref98433447"/>
      <w:bookmarkStart w:id="16" w:name="_Toc108109189"/>
      <w:r>
        <w:t xml:space="preserve">Figure </w:t>
      </w:r>
      <w:r>
        <w:fldChar w:fldCharType="begin"/>
      </w:r>
      <w:r>
        <w:instrText>SEQ Figure \* ARABIC</w:instrText>
      </w:r>
      <w:r>
        <w:fldChar w:fldCharType="separate"/>
      </w:r>
      <w:r w:rsidR="00CC0438">
        <w:rPr>
          <w:noProof/>
        </w:rPr>
        <w:t>4</w:t>
      </w:r>
      <w:r>
        <w:fldChar w:fldCharType="end"/>
      </w:r>
      <w:bookmarkEnd w:id="15"/>
      <w:r>
        <w:t>: Outcome areas in scope for this evaluation</w:t>
      </w:r>
      <w:bookmarkEnd w:id="16"/>
    </w:p>
    <w:p w14:paraId="6C812A58" w14:textId="185CE809" w:rsidR="005A44B3" w:rsidRDefault="009A145D" w:rsidP="000244E4">
      <w:pPr>
        <w:pStyle w:val="BodyText"/>
      </w:pPr>
      <w:r>
        <w:rPr>
          <w:noProof/>
        </w:rPr>
        <w:drawing>
          <wp:inline distT="0" distB="0" distL="0" distR="0" wp14:anchorId="117D8D1C" wp14:editId="1C322EA1">
            <wp:extent cx="5760617" cy="5038725"/>
            <wp:effectExtent l="0" t="0" r="0" b="0"/>
            <wp:docPr id="119" name="Picture 119" descr="Figure 4 summarises specific outcomes considered through the evaluation. Intermediate outcomes include increasing mental health literacy, increasing early help seeking, increasing access to required services and differences in these outcomes for ‘hard to reach’ groups. &#10;Service system outcomes include increasing advocacy for and promotion of youth mental health and wellbeing in their communities, reducing stigma associated with mental illness and help-seeking for young people, their families and friends, and the community, and improving pathways to care for young people, including through providing a localised service offering, other contributions to the local community, providing a ‘no wrong door’ approach, and securing support for headspace from other primary care and mental health providers.&#10;User experience outcomes include providing an appropriate service approach for young people with mild to moderate, high‑prevalence conditions, providing culturally appropriate and inclusive services, enabling young people and their families to access support where, when and how they want, and participation of young people in the design and delivery of headspace.&#10;Psycho-social outcomes include improving mental health and wellbeing outcomes, considering clinical outcomes for young people and improving psycho-social outcomes through providing alternative service delivery mod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Figure 4 summarises specific outcomes considered through the evaluation. Intermediate outcomes include increasing mental health literacy, increasing early help seeking, increasing access to required services and differences in these outcomes for ‘hard to reach’ groups. &#10;Service system outcomes include increasing advocacy for and promotion of youth mental health and wellbeing in their communities, reducing stigma associated with mental illness and help-seeking for young people, their families and friends, and the community, and improving pathways to care for young people, including through providing a localised service offering, other contributions to the local community, providing a ‘no wrong door’ approach, and securing support for headspace from other primary care and mental health providers.&#10;User experience outcomes include providing an appropriate service approach for young people with mild to moderate, high‑prevalence conditions, providing culturally appropriate and inclusive services, enabling young people and their families to access support where, when and how they want, and participation of young people in the design and delivery of headspace.&#10;Psycho-social outcomes include improving mental health and wellbeing outcomes, considering clinical outcomes for young people and improving psycho-social outcomes through providing alternative service delivery models.&#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4097" cy="5050516"/>
                    </a:xfrm>
                    <a:prstGeom prst="rect">
                      <a:avLst/>
                    </a:prstGeom>
                    <a:noFill/>
                  </pic:spPr>
                </pic:pic>
              </a:graphicData>
            </a:graphic>
          </wp:inline>
        </w:drawing>
      </w:r>
    </w:p>
    <w:p w14:paraId="2A4CB30B" w14:textId="200DF622" w:rsidR="0018659D" w:rsidRDefault="0018659D" w:rsidP="0018659D">
      <w:pPr>
        <w:pStyle w:val="Source"/>
      </w:pPr>
      <w:r>
        <w:t>Source: KPMG 2022</w:t>
      </w:r>
    </w:p>
    <w:p w14:paraId="53B5F736" w14:textId="7803C969" w:rsidR="002A5ED1" w:rsidRDefault="002A5ED1" w:rsidP="005F52ED">
      <w:pPr>
        <w:pStyle w:val="HeadingLevel4NoNumber"/>
      </w:pPr>
      <w:r w:rsidRPr="009745D8">
        <w:t>I</w:t>
      </w:r>
      <w:r w:rsidRPr="001B5CE9">
        <w:t>ntermediate outcomes</w:t>
      </w:r>
      <w:r w:rsidR="0068166C">
        <w:t xml:space="preserve"> – summary of findings</w:t>
      </w:r>
    </w:p>
    <w:p w14:paraId="2DECCC34" w14:textId="7C2B6ECA" w:rsidR="0068166C" w:rsidRPr="0031705D" w:rsidRDefault="0068166C" w:rsidP="000244E4">
      <w:pPr>
        <w:pStyle w:val="BodyText"/>
        <w:rPr>
          <w:b/>
        </w:rPr>
      </w:pPr>
      <w:r w:rsidRPr="0031705D">
        <w:t>The evaluation found</w:t>
      </w:r>
      <w:r w:rsidR="005A7605">
        <w:t xml:space="preserve"> the following</w:t>
      </w:r>
      <w:r w:rsidR="0024144A">
        <w:t xml:space="preserve"> </w:t>
      </w:r>
      <w:r w:rsidR="00E91E8F">
        <w:t>with</w:t>
      </w:r>
      <w:r w:rsidR="0024144A">
        <w:t xml:space="preserve"> respect to intermediates outcomes</w:t>
      </w:r>
      <w:r w:rsidR="00E91E8F">
        <w:t>:</w:t>
      </w:r>
    </w:p>
    <w:p w14:paraId="4D69BDA6" w14:textId="05B6A58E" w:rsidR="003E0325" w:rsidRPr="009745D8" w:rsidRDefault="003E0325" w:rsidP="00F548F1">
      <w:pPr>
        <w:pStyle w:val="Bullet1stlevel"/>
      </w:pPr>
      <w:r w:rsidRPr="002175F0">
        <w:t>The headspace model is effective in supporting intermediate outcomes for the gene</w:t>
      </w:r>
      <w:r w:rsidRPr="009745D8">
        <w:t xml:space="preserve">ral population of young people. These </w:t>
      </w:r>
      <w:r w:rsidR="005F7E14">
        <w:t xml:space="preserve">outcomes </w:t>
      </w:r>
      <w:r w:rsidRPr="009745D8">
        <w:t xml:space="preserve">include mental health literacy, early help seeking and increased access to required services, which in turn improve the likelihood that young people will seek support with their mental health and achieve improved </w:t>
      </w:r>
      <w:r w:rsidR="005513AE">
        <w:t>psychosocial</w:t>
      </w:r>
      <w:r w:rsidRPr="009745D8">
        <w:t xml:space="preserve"> outcomes in the longer term</w:t>
      </w:r>
      <w:r w:rsidR="00823545">
        <w:t>.</w:t>
      </w:r>
      <w:r w:rsidRPr="009745D8">
        <w:t xml:space="preserve"> </w:t>
      </w:r>
    </w:p>
    <w:p w14:paraId="7D02A8CD" w14:textId="0EAD5691" w:rsidR="00C84F7F" w:rsidRPr="002175F0" w:rsidRDefault="003E0325" w:rsidP="00F548F1">
      <w:pPr>
        <w:pStyle w:val="Bullet1stlevel"/>
      </w:pPr>
      <w:r w:rsidRPr="002175F0">
        <w:t xml:space="preserve">The headspace model </w:t>
      </w:r>
      <w:r w:rsidR="000D4665">
        <w:t>achieves more mixed success</w:t>
      </w:r>
      <w:r w:rsidR="00521418">
        <w:t xml:space="preserve"> </w:t>
      </w:r>
      <w:r w:rsidRPr="009745D8">
        <w:t>in supporting these intermediate outcomes for ‘hard to reach’ groups</w:t>
      </w:r>
      <w:r w:rsidR="00823545">
        <w:t>.</w:t>
      </w:r>
    </w:p>
    <w:p w14:paraId="02825770" w14:textId="54ECE83D" w:rsidR="002A5ED1" w:rsidRPr="0068166C" w:rsidRDefault="002A5ED1" w:rsidP="005F52ED">
      <w:pPr>
        <w:pStyle w:val="HeadingLevel4NoNumber"/>
      </w:pPr>
      <w:r w:rsidRPr="0068166C">
        <w:t>Service system outcomes</w:t>
      </w:r>
      <w:r w:rsidR="0068166C">
        <w:t xml:space="preserve"> – summary of findings</w:t>
      </w:r>
    </w:p>
    <w:p w14:paraId="6229E472" w14:textId="06E7358D" w:rsidR="003E0325" w:rsidRPr="0031705D" w:rsidRDefault="003E0325" w:rsidP="000244E4">
      <w:pPr>
        <w:pStyle w:val="BodyText"/>
        <w:rPr>
          <w:b/>
        </w:rPr>
      </w:pPr>
      <w:r w:rsidRPr="0031705D">
        <w:t>The evaluation found</w:t>
      </w:r>
      <w:r w:rsidR="005A7605">
        <w:t xml:space="preserve"> the following</w:t>
      </w:r>
      <w:r w:rsidR="0024144A">
        <w:t xml:space="preserve"> regarding service system outcomes</w:t>
      </w:r>
      <w:r w:rsidR="00E91E8F">
        <w:t>:</w:t>
      </w:r>
    </w:p>
    <w:p w14:paraId="64D6E1CF" w14:textId="77777777" w:rsidR="000176E5" w:rsidRPr="000176E5" w:rsidRDefault="000176E5" w:rsidP="00F548F1">
      <w:pPr>
        <w:pStyle w:val="Bullet1stlevel"/>
      </w:pPr>
      <w:r w:rsidRPr="000176E5">
        <w:t xml:space="preserve">The headspace model is effective in supporting youth mental health through advocacy and promotion activities, and stigma reduction activities undertaken as part of the headspace model are also effective. The model is also recognised as providing a range of additional contributions to local communities that are highly valued by those communities. </w:t>
      </w:r>
    </w:p>
    <w:p w14:paraId="2F13E47A" w14:textId="3610FAEA" w:rsidR="000176E5" w:rsidRPr="000176E5" w:rsidRDefault="000176E5" w:rsidP="004371B8">
      <w:pPr>
        <w:pStyle w:val="Bullet1stlevel"/>
      </w:pPr>
      <w:r w:rsidRPr="000176E5">
        <w:t xml:space="preserve">The headspace model </w:t>
      </w:r>
      <w:r w:rsidR="00766B63">
        <w:t>has mixed effectiveness</w:t>
      </w:r>
      <w:r w:rsidRPr="000176E5">
        <w:t xml:space="preserve"> in areas related to the broader service system in which it operates.</w:t>
      </w:r>
      <w:r w:rsidR="00A0594B">
        <w:t xml:space="preserve"> The implementation of the model is often impacted by the broader service system in which it operates, </w:t>
      </w:r>
      <w:r w:rsidR="0059124B">
        <w:t>particularly in regard to</w:t>
      </w:r>
      <w:r w:rsidR="006645B9">
        <w:t>:</w:t>
      </w:r>
    </w:p>
    <w:p w14:paraId="342A9833" w14:textId="55CD3015" w:rsidR="000176E5" w:rsidRPr="000176E5" w:rsidRDefault="000176E5" w:rsidP="00F548F1">
      <w:pPr>
        <w:pStyle w:val="Bullet2ndlevel"/>
      </w:pPr>
      <w:r w:rsidRPr="000176E5">
        <w:t>improving pathways to care</w:t>
      </w:r>
      <w:r w:rsidR="0069377C">
        <w:t>;</w:t>
      </w:r>
      <w:r w:rsidRPr="000176E5">
        <w:t xml:space="preserve"> </w:t>
      </w:r>
    </w:p>
    <w:p w14:paraId="52B73EBA" w14:textId="4FC91ED2" w:rsidR="000176E5" w:rsidRPr="000176E5" w:rsidRDefault="000176E5" w:rsidP="00C13398">
      <w:pPr>
        <w:pStyle w:val="Bullet2ndlevel"/>
      </w:pPr>
      <w:r w:rsidRPr="000176E5">
        <w:t>providing a localised service offering</w:t>
      </w:r>
      <w:r w:rsidR="0069377C">
        <w:t>; and</w:t>
      </w:r>
    </w:p>
    <w:p w14:paraId="5AEE3FB5" w14:textId="4476BE6C" w:rsidR="000176E5" w:rsidRPr="000176E5" w:rsidRDefault="009807AD" w:rsidP="001A551D">
      <w:pPr>
        <w:pStyle w:val="Bullet2ndlevel"/>
      </w:pPr>
      <w:r>
        <w:t>supporting</w:t>
      </w:r>
      <w:r w:rsidRPr="000176E5">
        <w:t xml:space="preserve"> </w:t>
      </w:r>
      <w:r w:rsidR="000176E5" w:rsidRPr="000176E5">
        <w:t>a ‘no wrong door’ approach</w:t>
      </w:r>
      <w:r w:rsidR="00881947">
        <w:t xml:space="preserve"> that </w:t>
      </w:r>
      <w:r w:rsidR="00A84230">
        <w:t>assists</w:t>
      </w:r>
      <w:r w:rsidR="00FE44F0">
        <w:t xml:space="preserve"> young people to access</w:t>
      </w:r>
      <w:r w:rsidR="00A84230">
        <w:t xml:space="preserve"> the most appropriate support</w:t>
      </w:r>
      <w:r w:rsidR="000176E5" w:rsidRPr="000176E5">
        <w:t>.</w:t>
      </w:r>
    </w:p>
    <w:p w14:paraId="352582E1" w14:textId="70E0842B" w:rsidR="000176E5" w:rsidRPr="000176E5" w:rsidRDefault="000176E5" w:rsidP="00F548F1">
      <w:pPr>
        <w:pStyle w:val="Bullet1stlevel"/>
      </w:pPr>
      <w:r w:rsidRPr="000176E5">
        <w:t>These outcomes are constrained by the capacity of other services, workforce shortages</w:t>
      </w:r>
      <w:r w:rsidR="0035323F">
        <w:t>,</w:t>
      </w:r>
      <w:r w:rsidRPr="000176E5">
        <w:t xml:space="preserve"> and difficulty in attracting MBS billing staff</w:t>
      </w:r>
      <w:r w:rsidR="0035323F">
        <w:t>, which is exacerbated in regional and remote areas</w:t>
      </w:r>
      <w:r w:rsidRPr="000176E5">
        <w:t>.</w:t>
      </w:r>
    </w:p>
    <w:p w14:paraId="483D4048" w14:textId="4C7CBB66" w:rsidR="003E0325" w:rsidRPr="003E0325" w:rsidRDefault="000176E5" w:rsidP="00F548F1">
      <w:pPr>
        <w:pStyle w:val="Bullet1stlevel"/>
        <w:rPr>
          <w:b/>
          <w:bCs/>
        </w:rPr>
      </w:pPr>
      <w:r w:rsidRPr="000176E5">
        <w:t>These challenges lead to increased wait times for services and reduce the generally high levels of support the model receives from other primary care and mental health providers.</w:t>
      </w:r>
    </w:p>
    <w:p w14:paraId="711EC55E" w14:textId="59C445CB" w:rsidR="002A5ED1" w:rsidRPr="0073183B" w:rsidRDefault="002A5ED1" w:rsidP="005F52ED">
      <w:pPr>
        <w:pStyle w:val="HeadingLevel4NoNumber"/>
      </w:pPr>
      <w:r w:rsidRPr="0073183B">
        <w:t>User experience outcomes</w:t>
      </w:r>
      <w:r w:rsidR="0068166C">
        <w:t xml:space="preserve"> – summary of findings</w:t>
      </w:r>
    </w:p>
    <w:p w14:paraId="18EE4616" w14:textId="0955A2AD" w:rsidR="0068166C" w:rsidRPr="00FD2F68" w:rsidRDefault="0068166C" w:rsidP="000244E4">
      <w:pPr>
        <w:pStyle w:val="BodyText"/>
      </w:pPr>
      <w:r>
        <w:t xml:space="preserve">The </w:t>
      </w:r>
      <w:r w:rsidRPr="00FD2F68">
        <w:t>evaluation found</w:t>
      </w:r>
      <w:r w:rsidR="002628E7">
        <w:t xml:space="preserve"> the following</w:t>
      </w:r>
      <w:r w:rsidR="0024144A">
        <w:t xml:space="preserve"> regarding user experience outcomes</w:t>
      </w:r>
      <w:r w:rsidR="00E91E8F">
        <w:t>:</w:t>
      </w:r>
    </w:p>
    <w:p w14:paraId="20D8D8F7" w14:textId="5F213B56" w:rsidR="0068166C" w:rsidRPr="005D6A44" w:rsidRDefault="0068166C" w:rsidP="00F548F1">
      <w:pPr>
        <w:pStyle w:val="Bullet1stlevel"/>
      </w:pPr>
      <w:r w:rsidRPr="00FD2F68">
        <w:t>The headspace model provides a highly appropriate me</w:t>
      </w:r>
      <w:r w:rsidRPr="005D6A44">
        <w:t>ntal health service approach for young people with mild to moderate, high</w:t>
      </w:r>
      <w:r w:rsidRPr="005D6A44">
        <w:rPr>
          <w:rFonts w:ascii="Times New Roman" w:hAnsi="Times New Roman" w:cs="Times New Roman"/>
        </w:rPr>
        <w:t>‑</w:t>
      </w:r>
      <w:r w:rsidRPr="005D6A44">
        <w:t xml:space="preserve">prevalence conditions. </w:t>
      </w:r>
    </w:p>
    <w:p w14:paraId="694F5BAC" w14:textId="77777777" w:rsidR="0068166C" w:rsidRPr="005D6A44" w:rsidRDefault="0068166C" w:rsidP="00F548F1">
      <w:pPr>
        <w:pStyle w:val="Bullet1stlevel"/>
      </w:pPr>
      <w:r w:rsidRPr="00FD2F68">
        <w:t>The model successfully supports the participation of young people i</w:t>
      </w:r>
      <w:r w:rsidRPr="005D6A44">
        <w:t>n the design and delivery of headspace services, which is associated with strong, positive views as to user experience.</w:t>
      </w:r>
    </w:p>
    <w:p w14:paraId="5F6A28CC" w14:textId="703B515E" w:rsidR="0068166C" w:rsidRPr="005D6A44" w:rsidRDefault="0068166C" w:rsidP="00F548F1">
      <w:pPr>
        <w:pStyle w:val="Bullet1stlevel"/>
      </w:pPr>
      <w:r w:rsidRPr="00FD2F68">
        <w:t xml:space="preserve">The model has </w:t>
      </w:r>
      <w:r w:rsidR="000C65FC">
        <w:t>mixed</w:t>
      </w:r>
      <w:r w:rsidRPr="00FD2F68">
        <w:t xml:space="preserve"> success in providing cult</w:t>
      </w:r>
      <w:r w:rsidRPr="005D6A44">
        <w:t xml:space="preserve">urally appropriate and inclusive supports for young people from culturally and linguistically diverse backgrounds, and Aboriginal and Torres Strait Islander young people. </w:t>
      </w:r>
    </w:p>
    <w:p w14:paraId="4243B107" w14:textId="1774F53D" w:rsidR="0068166C" w:rsidRPr="005D6A44" w:rsidRDefault="0068166C" w:rsidP="00F548F1">
      <w:pPr>
        <w:pStyle w:val="Bullet1stlevel"/>
      </w:pPr>
      <w:r w:rsidRPr="00FD2F68">
        <w:t xml:space="preserve">The model is reasonably effective in enabling young people to access support where, </w:t>
      </w:r>
      <w:r w:rsidRPr="005D6A44">
        <w:t>when</w:t>
      </w:r>
      <w:r w:rsidR="00D06745" w:rsidRPr="005D6A44">
        <w:t>,</w:t>
      </w:r>
      <w:r w:rsidRPr="005D6A44">
        <w:t xml:space="preserve"> and how they want it, however opening hours and waiting times detract from this.</w:t>
      </w:r>
    </w:p>
    <w:p w14:paraId="55C15FB4" w14:textId="2EAD64C8" w:rsidR="002A5ED1" w:rsidRPr="0073183B" w:rsidRDefault="005513AE" w:rsidP="005F52ED">
      <w:pPr>
        <w:pStyle w:val="HeadingLevel4NoNumber"/>
      </w:pPr>
      <w:r>
        <w:t>Psychosocial</w:t>
      </w:r>
      <w:r w:rsidR="002A5ED1" w:rsidRPr="0073183B">
        <w:t xml:space="preserve"> outcomes</w:t>
      </w:r>
      <w:r w:rsidR="00823545">
        <w:t xml:space="preserve"> – summary of findings</w:t>
      </w:r>
    </w:p>
    <w:p w14:paraId="66498336" w14:textId="3946CA8B" w:rsidR="00823545" w:rsidRDefault="00823545" w:rsidP="000244E4">
      <w:pPr>
        <w:pStyle w:val="BodyText"/>
      </w:pPr>
      <w:r>
        <w:t>The evaluation found th</w:t>
      </w:r>
      <w:r w:rsidR="00760098">
        <w:t>e following</w:t>
      </w:r>
      <w:r w:rsidR="0024144A">
        <w:t xml:space="preserve"> </w:t>
      </w:r>
      <w:r w:rsidR="00E91E8F">
        <w:t>with</w:t>
      </w:r>
      <w:r w:rsidR="00A41BDD">
        <w:t xml:space="preserve"> respect to </w:t>
      </w:r>
      <w:r w:rsidR="00CA4AF9">
        <w:t>psychosocial outcomes</w:t>
      </w:r>
      <w:r w:rsidR="00E91E8F">
        <w:t>:</w:t>
      </w:r>
    </w:p>
    <w:p w14:paraId="08F03EFB" w14:textId="0475E25E" w:rsidR="002A01D2" w:rsidRDefault="00823545" w:rsidP="00F548F1">
      <w:pPr>
        <w:pStyle w:val="Bullet1stlevel"/>
      </w:pPr>
      <w:r>
        <w:t>Young people benefit from more engagement and treatment through the headspace model, which is associated with greater improvements in mental health and wellbeing</w:t>
      </w:r>
      <w:r w:rsidR="005018BB">
        <w:t>.</w:t>
      </w:r>
    </w:p>
    <w:p w14:paraId="2B5CB6C9" w14:textId="6BD4F642" w:rsidR="00823545" w:rsidRDefault="002A01D2" w:rsidP="00F548F1">
      <w:pPr>
        <w:pStyle w:val="Bullet1stlevel"/>
      </w:pPr>
      <w:r w:rsidRPr="00093CF4">
        <w:t xml:space="preserve">For young people who access </w:t>
      </w:r>
      <w:r>
        <w:t>six</w:t>
      </w:r>
      <w:r w:rsidRPr="00093CF4">
        <w:t xml:space="preserve"> </w:t>
      </w:r>
      <w:r w:rsidR="00264FEE">
        <w:t>OOS</w:t>
      </w:r>
      <w:r w:rsidRPr="00093CF4">
        <w:t xml:space="preserve"> or more, headspace is associated with similar improvements in mental health and wellbeing as comparable psychotherapy treatments.</w:t>
      </w:r>
    </w:p>
    <w:p w14:paraId="43E76B3C" w14:textId="02814E49" w:rsidR="00A51F32" w:rsidRDefault="00A51F32" w:rsidP="00F548F1">
      <w:pPr>
        <w:pStyle w:val="Bullet1stlevel"/>
      </w:pPr>
      <w:r>
        <w:t xml:space="preserve">The </w:t>
      </w:r>
      <w:r w:rsidR="00050EB7">
        <w:t>largest proportion o</w:t>
      </w:r>
      <w:r>
        <w:t xml:space="preserve">f young people accessing the headspace model </w:t>
      </w:r>
      <w:r w:rsidR="00050EB7">
        <w:t xml:space="preserve">only attend once (36 per cent of episodes of care within the data period were a single </w:t>
      </w:r>
      <w:r w:rsidR="00264FEE">
        <w:t>OOS</w:t>
      </w:r>
      <w:r w:rsidR="00050EB7">
        <w:t>)</w:t>
      </w:r>
      <w:r w:rsidR="005018BB">
        <w:t xml:space="preserve">, and only </w:t>
      </w:r>
      <w:r w:rsidR="00B33B02">
        <w:t>19</w:t>
      </w:r>
      <w:r w:rsidR="00E91E8F">
        <w:t xml:space="preserve"> </w:t>
      </w:r>
      <w:r w:rsidR="005018BB">
        <w:t xml:space="preserve">per cent of episodes of care are for six or more </w:t>
      </w:r>
      <w:r w:rsidR="00264FEE">
        <w:t>OOS</w:t>
      </w:r>
      <w:r w:rsidR="005018BB">
        <w:t xml:space="preserve">. </w:t>
      </w:r>
    </w:p>
    <w:p w14:paraId="6851DE6C" w14:textId="0B530AE9" w:rsidR="00E856F7" w:rsidRDefault="00AA3D24" w:rsidP="00F548F1">
      <w:pPr>
        <w:pStyle w:val="Bullet1stlevel"/>
      </w:pPr>
      <w:r>
        <w:t>T</w:t>
      </w:r>
      <w:r w:rsidRPr="00AA3D24">
        <w:t>he model is associated with positive psychosocial outcomes for young people</w:t>
      </w:r>
      <w:r w:rsidR="008B3339">
        <w:t>, however,</w:t>
      </w:r>
      <w:r w:rsidRPr="00AA3D24">
        <w:t xml:space="preserve"> for those young people accessing the service who met clinical thresholds (moderate or above), the majority do not see a clinically significant change to their outcomes.</w:t>
      </w:r>
    </w:p>
    <w:p w14:paraId="22F3A566" w14:textId="12A1F9A3" w:rsidR="005A2849" w:rsidRPr="005A2849" w:rsidRDefault="00823545" w:rsidP="005A2849">
      <w:pPr>
        <w:pStyle w:val="Bullet1stlevel"/>
      </w:pPr>
      <w:r>
        <w:t xml:space="preserve">Young people who present with high levels of mental distress and who go on to access multiple sessions </w:t>
      </w:r>
      <w:r w:rsidR="00C11988">
        <w:t>(at leas</w:t>
      </w:r>
      <w:r w:rsidR="00795BE0">
        <w:t xml:space="preserve">t </w:t>
      </w:r>
      <w:r w:rsidR="007647BD">
        <w:t xml:space="preserve">six </w:t>
      </w:r>
      <w:r w:rsidR="00795BE0">
        <w:t xml:space="preserve">to </w:t>
      </w:r>
      <w:r w:rsidR="007647BD">
        <w:t>eight</w:t>
      </w:r>
      <w:r w:rsidR="00795BE0">
        <w:t xml:space="preserve"> sessions) </w:t>
      </w:r>
      <w:r>
        <w:t xml:space="preserve">achieve the greatest improvement in outcomes. </w:t>
      </w:r>
    </w:p>
    <w:p w14:paraId="19364272" w14:textId="64F05E05" w:rsidR="00795BE0" w:rsidRDefault="00795BE0" w:rsidP="00795BE0">
      <w:pPr>
        <w:pStyle w:val="Bullet1stlevel"/>
      </w:pPr>
      <w:r>
        <w:t xml:space="preserve">Clinical outcomes, although positive, are not as strong for LGBTQIA+ </w:t>
      </w:r>
      <w:r w:rsidR="000157A9">
        <w:t xml:space="preserve">young people </w:t>
      </w:r>
      <w:r>
        <w:t xml:space="preserve">as they are for the general population of young people accessing the headspace model. </w:t>
      </w:r>
    </w:p>
    <w:p w14:paraId="7E88224D" w14:textId="77FFC4F2" w:rsidR="00795BE0" w:rsidRDefault="00795BE0" w:rsidP="00795BE0">
      <w:pPr>
        <w:pStyle w:val="Bullet1stlevel"/>
      </w:pPr>
      <w:r>
        <w:t>Clinical outcomes for Aboriginal and Torres Strait Islander young people are not so obvious. When using the K10 outcome measure, this cohort achieved statistically similar outcomes as the general population of young people accessing the headspace model. However, outcomes are not as strong for Aboriginal and Torres Strait Islander young people when using the S</w:t>
      </w:r>
      <w:r w:rsidR="00824314">
        <w:t>o</w:t>
      </w:r>
      <w:r w:rsidR="00D622AB">
        <w:t xml:space="preserve">cial and </w:t>
      </w:r>
      <w:r w:rsidR="004D1498">
        <w:t>Occupational</w:t>
      </w:r>
      <w:r w:rsidR="00D622AB">
        <w:t xml:space="preserve"> Functioning Assessment Scale (SO</w:t>
      </w:r>
      <w:r>
        <w:t>FAS</w:t>
      </w:r>
      <w:r w:rsidR="00D622AB">
        <w:t>)</w:t>
      </w:r>
      <w:r>
        <w:t xml:space="preserve"> and</w:t>
      </w:r>
      <w:r w:rsidR="00D36120">
        <w:t xml:space="preserve"> the MyLifeTracker</w:t>
      </w:r>
      <w:r>
        <w:t xml:space="preserve"> </w:t>
      </w:r>
      <w:r w:rsidR="00D36120">
        <w:t>(</w:t>
      </w:r>
      <w:r>
        <w:t>MLT</w:t>
      </w:r>
      <w:r w:rsidR="00D36120">
        <w:t>)</w:t>
      </w:r>
      <w:r>
        <w:t xml:space="preserve"> outcome measure.</w:t>
      </w:r>
    </w:p>
    <w:p w14:paraId="357C5E64" w14:textId="3A68A420" w:rsidR="006E78A9" w:rsidRDefault="006E78A9" w:rsidP="00C97789">
      <w:pPr>
        <w:pStyle w:val="Bullet1stlevel"/>
      </w:pPr>
      <w:r w:rsidRPr="00B6403E">
        <w:t xml:space="preserve">There is some evidence that headspace has a positive effect on some </w:t>
      </w:r>
      <w:r w:rsidR="009C7D5D">
        <w:t xml:space="preserve">area-level </w:t>
      </w:r>
      <w:r w:rsidRPr="00B6403E">
        <w:t>outcomes</w:t>
      </w:r>
      <w:r w:rsidR="007647BD">
        <w:t>,</w:t>
      </w:r>
      <w:r w:rsidRPr="00B6403E">
        <w:t xml:space="preserve"> such as reducing substance abuse hospitalisations and the number of self-harm hospitalisations</w:t>
      </w:r>
      <w:r w:rsidR="00915385">
        <w:t>. However,</w:t>
      </w:r>
      <w:r w:rsidR="004D1498">
        <w:t xml:space="preserve"> </w:t>
      </w:r>
      <w:r w:rsidR="00495DA0">
        <w:t>these impacts are not consistent when looking at alternat</w:t>
      </w:r>
      <w:r w:rsidR="006F60A8">
        <w:t>iv</w:t>
      </w:r>
      <w:r w:rsidR="00495DA0">
        <w:t>e measures of the headspace treatment effects</w:t>
      </w:r>
      <w:r w:rsidR="007647BD">
        <w:t>,</w:t>
      </w:r>
      <w:r w:rsidR="00495DA0">
        <w:t xml:space="preserve"> such as the number of headspace clients per 1,000 </w:t>
      </w:r>
      <w:r w:rsidR="00807681">
        <w:t>12</w:t>
      </w:r>
      <w:r w:rsidR="004D1498">
        <w:t xml:space="preserve"> to </w:t>
      </w:r>
      <w:r w:rsidR="00807681">
        <w:t>25 year olds and the ratio of MBS-funded mental health services provided by headspace to MBS-funded mental health services provided outside headspace.</w:t>
      </w:r>
      <w:r w:rsidR="00296B6F">
        <w:t xml:space="preserve"> Th</w:t>
      </w:r>
      <w:r w:rsidR="00E118E0">
        <w:t>ese results</w:t>
      </w:r>
      <w:r w:rsidR="00C13CFC">
        <w:t xml:space="preserve"> should not be considered conclusive regarding the impacts of accessing headspace </w:t>
      </w:r>
      <w:r w:rsidR="00D20533">
        <w:t xml:space="preserve">services. </w:t>
      </w:r>
      <w:r w:rsidR="00B663EC">
        <w:t xml:space="preserve"> </w:t>
      </w:r>
      <w:r w:rsidR="00915385">
        <w:t xml:space="preserve"> </w:t>
      </w:r>
    </w:p>
    <w:p w14:paraId="4E36F280" w14:textId="30C13917" w:rsidR="00B11939" w:rsidRDefault="00B11939" w:rsidP="009D4D87">
      <w:pPr>
        <w:pStyle w:val="Heading4"/>
      </w:pPr>
      <w:r>
        <w:t>Overall effectiveness in achieving outcomes</w:t>
      </w:r>
    </w:p>
    <w:p w14:paraId="02128A7C" w14:textId="0CB16A20" w:rsidR="002A5ED1" w:rsidRPr="004371B8" w:rsidRDefault="002A5ED1" w:rsidP="004371B8">
      <w:pPr>
        <w:pStyle w:val="BodyText"/>
      </w:pPr>
      <w:r w:rsidRPr="004371B8">
        <w:t xml:space="preserve">As a set of objectives, these </w:t>
      </w:r>
      <w:r w:rsidR="00FA626B" w:rsidRPr="004371B8">
        <w:t xml:space="preserve">outcomes </w:t>
      </w:r>
      <w:r w:rsidRPr="004371B8">
        <w:t xml:space="preserve">represent key outcomes across the headspace program logic which drive engagement, service experience and clinical improvements in mental health. </w:t>
      </w:r>
    </w:p>
    <w:p w14:paraId="48F755C7" w14:textId="329A7F29" w:rsidR="004371B8" w:rsidRDefault="004371B8" w:rsidP="004371B8">
      <w:pPr>
        <w:pStyle w:val="BodyText"/>
      </w:pPr>
      <w:r w:rsidRPr="004371B8">
        <w:t>Overall, analysis of extensive qualitative and quantitative evidence demonstrates that the headspace model is effective in achieving many of these intended outcomes. There is some inconsistency, however, in outcomes for different groups, and across some aspects of the model program logic.</w:t>
      </w:r>
    </w:p>
    <w:p w14:paraId="152D9056" w14:textId="01AC459D" w:rsidR="00257BDC" w:rsidRPr="004371B8" w:rsidRDefault="0045730D" w:rsidP="004371B8">
      <w:pPr>
        <w:pStyle w:val="BodyText"/>
      </w:pPr>
      <w:r w:rsidRPr="004371B8">
        <w:t>Intermediate</w:t>
      </w:r>
      <w:r w:rsidR="00D5055A" w:rsidRPr="004371B8">
        <w:t xml:space="preserve"> and</w:t>
      </w:r>
      <w:r w:rsidRPr="004371B8">
        <w:t xml:space="preserve"> user experience outcomes are well supported for young people in the general population</w:t>
      </w:r>
      <w:r w:rsidR="00D06745" w:rsidRPr="004371B8">
        <w:t>;</w:t>
      </w:r>
      <w:r w:rsidRPr="004371B8">
        <w:t xml:space="preserve"> however</w:t>
      </w:r>
      <w:r w:rsidR="00D06745" w:rsidRPr="004371B8">
        <w:t>,</w:t>
      </w:r>
      <w:r w:rsidRPr="004371B8">
        <w:t xml:space="preserve"> this is not the case for young people from ‘hard to reach’ groups. </w:t>
      </w:r>
      <w:r w:rsidR="005513AE" w:rsidRPr="004371B8">
        <w:t>Psychosocial</w:t>
      </w:r>
      <w:r w:rsidR="00D5055A" w:rsidRPr="004371B8">
        <w:t xml:space="preserve"> outcomes improve for young people from the gen</w:t>
      </w:r>
      <w:r w:rsidR="00B11939" w:rsidRPr="004371B8">
        <w:t>eral population accessing the headspace model, however</w:t>
      </w:r>
      <w:r w:rsidR="00FA626B" w:rsidRPr="004371B8">
        <w:t>, in most cases,</w:t>
      </w:r>
      <w:r w:rsidR="00B11939" w:rsidRPr="004371B8">
        <w:t xml:space="preserve"> these are not clin</w:t>
      </w:r>
      <w:r w:rsidR="0036127C" w:rsidRPr="004371B8">
        <w:t>i</w:t>
      </w:r>
      <w:r w:rsidR="00B11939" w:rsidRPr="004371B8">
        <w:t xml:space="preserve">cally significant. The short episodes of care most young people experience may be a factor in these </w:t>
      </w:r>
      <w:r w:rsidR="009D4D87" w:rsidRPr="004371B8">
        <w:t xml:space="preserve">modest </w:t>
      </w:r>
      <w:r w:rsidR="00B11939" w:rsidRPr="004371B8">
        <w:t xml:space="preserve">clinical </w:t>
      </w:r>
      <w:r w:rsidR="009D4D87" w:rsidRPr="004371B8">
        <w:t>improvements</w:t>
      </w:r>
      <w:r w:rsidR="00B11939" w:rsidRPr="004371B8">
        <w:t xml:space="preserve">, given that more engagement and treatment through the headspace model is associated with stronger outcomes. </w:t>
      </w:r>
    </w:p>
    <w:p w14:paraId="4E75F179" w14:textId="780C3178" w:rsidR="00BE040D" w:rsidRPr="004371B8" w:rsidRDefault="00FD56F6" w:rsidP="004371B8">
      <w:pPr>
        <w:pStyle w:val="BodyText"/>
      </w:pPr>
      <w:r w:rsidRPr="004371B8">
        <w:t>The quality of u</w:t>
      </w:r>
      <w:r w:rsidR="005676DB" w:rsidRPr="004371B8">
        <w:t xml:space="preserve">ser experience </w:t>
      </w:r>
      <w:r w:rsidRPr="004371B8">
        <w:t>for</w:t>
      </w:r>
      <w:r w:rsidR="005676DB" w:rsidRPr="004371B8">
        <w:t xml:space="preserve"> </w:t>
      </w:r>
      <w:r w:rsidR="003A1A28" w:rsidRPr="004371B8">
        <w:t>young people accessing headspace services</w:t>
      </w:r>
      <w:r w:rsidR="005D2599" w:rsidRPr="004371B8">
        <w:t xml:space="preserve"> is reduced </w:t>
      </w:r>
      <w:r w:rsidR="003A1A28" w:rsidRPr="004371B8">
        <w:t>where there is high de</w:t>
      </w:r>
      <w:r w:rsidR="0045730D" w:rsidRPr="004371B8">
        <w:t>mand for services and challenges in attracting a multi-disc</w:t>
      </w:r>
      <w:r w:rsidR="00105987" w:rsidRPr="004371B8">
        <w:t>i</w:t>
      </w:r>
      <w:r w:rsidR="0045730D" w:rsidRPr="004371B8">
        <w:t>p</w:t>
      </w:r>
      <w:r w:rsidR="00105987" w:rsidRPr="004371B8">
        <w:t>l</w:t>
      </w:r>
      <w:r w:rsidR="0045730D" w:rsidRPr="004371B8">
        <w:t xml:space="preserve">inary workforce, which increase wait times. Similarly, service system outcomes are </w:t>
      </w:r>
      <w:r w:rsidR="004737DC" w:rsidRPr="004371B8">
        <w:t xml:space="preserve">not as </w:t>
      </w:r>
      <w:r w:rsidR="0045730D" w:rsidRPr="004371B8">
        <w:t>well supported by the model, however</w:t>
      </w:r>
      <w:r w:rsidR="004737DC" w:rsidRPr="004371B8">
        <w:t>,</w:t>
      </w:r>
      <w:r w:rsidR="0045730D" w:rsidRPr="004371B8">
        <w:t xml:space="preserve"> this is in large part due to pressures felt across the </w:t>
      </w:r>
      <w:r w:rsidR="00F5273B" w:rsidRPr="004371B8">
        <w:t xml:space="preserve">broader </w:t>
      </w:r>
      <w:r w:rsidR="0045730D" w:rsidRPr="004371B8">
        <w:t xml:space="preserve">mental health services sector. </w:t>
      </w:r>
    </w:p>
    <w:p w14:paraId="3E5FF4E9" w14:textId="0A9E1856" w:rsidR="007F7CBF" w:rsidRDefault="007F7CBF" w:rsidP="00BC3747">
      <w:pPr>
        <w:pStyle w:val="HeadingLevel3NoNumber"/>
      </w:pPr>
      <w:r>
        <w:t xml:space="preserve">Domain 3: </w:t>
      </w:r>
      <w:r w:rsidR="00FA626B">
        <w:t>C</w:t>
      </w:r>
      <w:r>
        <w:t xml:space="preserve">ost-effectiveness </w:t>
      </w:r>
      <w:r w:rsidR="00FA626B">
        <w:t xml:space="preserve">&amp; </w:t>
      </w:r>
      <w:r>
        <w:t xml:space="preserve">value </w:t>
      </w:r>
    </w:p>
    <w:p w14:paraId="13C1E5A4" w14:textId="77777777" w:rsidR="0045730D" w:rsidRDefault="0045730D" w:rsidP="005F52ED">
      <w:pPr>
        <w:pStyle w:val="HeadingLevel4NoNumber"/>
      </w:pPr>
      <w:r>
        <w:t>Estimating the cost of delivering headspace</w:t>
      </w:r>
    </w:p>
    <w:p w14:paraId="1093847F" w14:textId="25E393FF" w:rsidR="0045730D" w:rsidRDefault="0045730D" w:rsidP="000244E4">
      <w:pPr>
        <w:pStyle w:val="BodyText"/>
      </w:pPr>
      <w:r>
        <w:t>The full cost of delivering headspace includes the national headspace grant; any additional funding that a PHN, state or federal government may provide to deliver core services</w:t>
      </w:r>
      <w:r w:rsidR="00866CD5">
        <w:t xml:space="preserve">, </w:t>
      </w:r>
      <w:r>
        <w:t>activity-based funding of services through the MBS</w:t>
      </w:r>
      <w:r w:rsidR="00866CD5">
        <w:t xml:space="preserve">, </w:t>
      </w:r>
      <w:r>
        <w:t>in-kind contributions; private donations</w:t>
      </w:r>
      <w:r w:rsidR="00866CD5">
        <w:t xml:space="preserve">, </w:t>
      </w:r>
      <w:r>
        <w:t xml:space="preserve">and any out-of-pocket payments made by young people or their carers. </w:t>
      </w:r>
    </w:p>
    <w:p w14:paraId="064EAD4B" w14:textId="0D39AB57" w:rsidR="0045730D" w:rsidRDefault="0045730D" w:rsidP="000244E4">
      <w:pPr>
        <w:pStyle w:val="BodyText"/>
      </w:pPr>
      <w:r>
        <w:t xml:space="preserve">No single source captures these ranges of costs of delivering headspace. The Department </w:t>
      </w:r>
      <w:r w:rsidR="00E03DD5">
        <w:t xml:space="preserve">of Health (the </w:t>
      </w:r>
      <w:r w:rsidR="002D424A">
        <w:t>d</w:t>
      </w:r>
      <w:r w:rsidR="00E03DD5">
        <w:t>epartment)</w:t>
      </w:r>
      <w:r>
        <w:t xml:space="preserve"> records the national headspace grant costs but does not </w:t>
      </w:r>
      <w:r w:rsidR="00431902">
        <w:t xml:space="preserve">have oversight of </w:t>
      </w:r>
      <w:r w:rsidR="00D15BE1">
        <w:t xml:space="preserve">the </w:t>
      </w:r>
      <w:r w:rsidR="00E073DA">
        <w:t>division of</w:t>
      </w:r>
      <w:r>
        <w:t xml:space="preserve"> the grant between service provision and indirect costs</w:t>
      </w:r>
      <w:r w:rsidR="00866CD5">
        <w:t>,</w:t>
      </w:r>
      <w:r w:rsidR="00177DB4">
        <w:t xml:space="preserve"> such as rent</w:t>
      </w:r>
      <w:r w:rsidR="00D96D2E">
        <w:t xml:space="preserve"> and utilities</w:t>
      </w:r>
      <w:r w:rsidR="00177DB4">
        <w:t>, office expenses</w:t>
      </w:r>
      <w:r w:rsidR="00D96D2E">
        <w:t xml:space="preserve"> and community awareness expenses</w:t>
      </w:r>
      <w:r w:rsidR="00EB28D7">
        <w:t>, as this is held at the service level</w:t>
      </w:r>
      <w:r>
        <w:t xml:space="preserve">. The </w:t>
      </w:r>
      <w:r w:rsidR="003E2C1A">
        <w:t>hMDS</w:t>
      </w:r>
      <w:r>
        <w:t xml:space="preserve"> identifies the funding source for each </w:t>
      </w:r>
      <w:r w:rsidR="00264FEE">
        <w:t>OOS</w:t>
      </w:r>
      <w:r>
        <w:t xml:space="preserve"> provided by headspace but does not capture the value of funding for that </w:t>
      </w:r>
      <w:r w:rsidR="00264FEE">
        <w:t>OOS</w:t>
      </w:r>
      <w:r>
        <w:t>. Any in-kind contributions</w:t>
      </w:r>
      <w:r w:rsidR="007902A5">
        <w:t xml:space="preserve"> to headspace services, for example free use of </w:t>
      </w:r>
      <w:r>
        <w:t>physical space, can only be provided by the service itself and may be prone to a range of data quality issues (e.g</w:t>
      </w:r>
      <w:r w:rsidR="00D06745">
        <w:t>.,</w:t>
      </w:r>
      <w:r>
        <w:t xml:space="preserve"> definition and quantification of in-kind support may vary). </w:t>
      </w:r>
    </w:p>
    <w:p w14:paraId="0020643A" w14:textId="7D4797CE" w:rsidR="00D8422D" w:rsidRDefault="001B5AC9" w:rsidP="000244E4">
      <w:pPr>
        <w:pStyle w:val="BodyText"/>
      </w:pPr>
      <w:r w:rsidRPr="00D834BA">
        <w:t xml:space="preserve">In 2019-20, 112 headspace services included in the cost analysis delivered 401,325 </w:t>
      </w:r>
      <w:r w:rsidR="00F61CDB">
        <w:t>O</w:t>
      </w:r>
      <w:r w:rsidR="00866CD5">
        <w:t>O</w:t>
      </w:r>
      <w:r w:rsidR="00F61CDB">
        <w:t>S</w:t>
      </w:r>
      <w:r w:rsidRPr="00D834BA">
        <w:t xml:space="preserve">. The average cost per </w:t>
      </w:r>
      <w:r w:rsidR="00F61CDB">
        <w:t>O</w:t>
      </w:r>
      <w:r w:rsidR="00866CD5">
        <w:t>O</w:t>
      </w:r>
      <w:r w:rsidR="00F61CDB">
        <w:t>S</w:t>
      </w:r>
      <w:r w:rsidR="00F61CDB" w:rsidRPr="00D834BA">
        <w:t xml:space="preserve"> </w:t>
      </w:r>
      <w:r w:rsidRPr="00D834BA">
        <w:t xml:space="preserve">was approximately $307. The average direct cost per </w:t>
      </w:r>
      <w:r w:rsidR="00F61CDB">
        <w:t>O</w:t>
      </w:r>
      <w:r w:rsidR="00866CD5">
        <w:t>O</w:t>
      </w:r>
      <w:r w:rsidR="00F61CDB">
        <w:t>S</w:t>
      </w:r>
      <w:r w:rsidR="00F61CDB" w:rsidRPr="00D834BA">
        <w:t xml:space="preserve"> </w:t>
      </w:r>
      <w:r w:rsidRPr="00D834BA">
        <w:t>was $230 under the assumption that the direct service costs account for 75</w:t>
      </w:r>
      <w:r w:rsidR="00E91E8F">
        <w:t xml:space="preserve"> </w:t>
      </w:r>
      <w:r w:rsidRPr="00D834BA">
        <w:t>per cent of the total cost.</w:t>
      </w:r>
      <w:r w:rsidR="00E91E8F">
        <w:t xml:space="preserve"> </w:t>
      </w:r>
      <w:r w:rsidR="00E76E2F">
        <w:t xml:space="preserve">This is twice as much as the </w:t>
      </w:r>
      <w:r w:rsidR="009877E9">
        <w:t xml:space="preserve">MBS </w:t>
      </w:r>
      <w:r w:rsidR="00E76E2F">
        <w:t>fee</w:t>
      </w:r>
      <w:r w:rsidR="009877E9">
        <w:t xml:space="preserve"> (and any out-of-pocket costs)</w:t>
      </w:r>
      <w:r w:rsidR="00E76E2F">
        <w:t xml:space="preserve"> for a typical mental health session</w:t>
      </w:r>
      <w:r w:rsidR="00CC0438">
        <w:rPr>
          <w:rFonts w:ascii="ZWAdobeF" w:hAnsi="ZWAdobeF" w:cs="ZWAdobeF"/>
          <w:sz w:val="2"/>
          <w:szCs w:val="2"/>
        </w:rPr>
        <w:t>2F</w:t>
      </w:r>
      <w:r w:rsidR="00E47C54">
        <w:rPr>
          <w:rStyle w:val="FootnoteReference"/>
        </w:rPr>
        <w:footnoteReference w:id="4"/>
      </w:r>
      <w:r w:rsidR="00552228">
        <w:t>.</w:t>
      </w:r>
      <w:r w:rsidR="00E47C54">
        <w:t xml:space="preserve"> However, the average direct cost per </w:t>
      </w:r>
      <w:r w:rsidR="006E7DB0">
        <w:t>O</w:t>
      </w:r>
      <w:r w:rsidR="00866CD5">
        <w:t>O</w:t>
      </w:r>
      <w:r w:rsidR="006E7DB0">
        <w:t xml:space="preserve">S </w:t>
      </w:r>
      <w:r w:rsidR="00E47C54">
        <w:t xml:space="preserve">is slightly lower than the </w:t>
      </w:r>
      <w:r w:rsidR="00474C52" w:rsidRPr="008E6121">
        <w:t>Australian Psychological Society</w:t>
      </w:r>
      <w:r w:rsidR="00866CD5">
        <w:t>’s</w:t>
      </w:r>
      <w:r w:rsidR="00474C52" w:rsidRPr="008E6121">
        <w:t xml:space="preserve"> </w:t>
      </w:r>
      <w:r w:rsidR="00474C52">
        <w:t>recommended fee for a 46 to 60 minute session of $260</w:t>
      </w:r>
      <w:r w:rsidR="00CC0438">
        <w:rPr>
          <w:rFonts w:ascii="ZWAdobeF" w:hAnsi="ZWAdobeF" w:cs="ZWAdobeF"/>
          <w:sz w:val="2"/>
          <w:szCs w:val="2"/>
        </w:rPr>
        <w:t>3F</w:t>
      </w:r>
      <w:r w:rsidR="00474C52">
        <w:rPr>
          <w:rStyle w:val="FootnoteReference"/>
        </w:rPr>
        <w:footnoteReference w:id="5"/>
      </w:r>
      <w:r w:rsidR="00552228">
        <w:t>.</w:t>
      </w:r>
    </w:p>
    <w:p w14:paraId="6188ADD1" w14:textId="77777777" w:rsidR="00246C31" w:rsidRDefault="00246C31" w:rsidP="005F52ED">
      <w:pPr>
        <w:pStyle w:val="HeadingLevel4NoNumber"/>
      </w:pPr>
      <w:r>
        <w:t>How cost-effective is headspace?</w:t>
      </w:r>
    </w:p>
    <w:p w14:paraId="57D5EAF8" w14:textId="5C2AF600" w:rsidR="00A2595A" w:rsidRDefault="00217128" w:rsidP="000244E4">
      <w:pPr>
        <w:pStyle w:val="BodyText"/>
      </w:pPr>
      <w:r>
        <w:t>R</w:t>
      </w:r>
      <w:r w:rsidR="00246C31">
        <w:t xml:space="preserve">esults of </w:t>
      </w:r>
      <w:r>
        <w:t xml:space="preserve">the </w:t>
      </w:r>
      <w:r w:rsidR="00E91E8F">
        <w:t>cost-effectiveness</w:t>
      </w:r>
      <w:r w:rsidR="00246C31">
        <w:t xml:space="preserve"> analysis show that</w:t>
      </w:r>
      <w:r w:rsidR="00E03DD5">
        <w:t>,</w:t>
      </w:r>
      <w:r w:rsidR="004B20AD">
        <w:t xml:space="preserve"> </w:t>
      </w:r>
      <w:r w:rsidR="000D37B8">
        <w:t>over</w:t>
      </w:r>
      <w:r w:rsidR="007D24A5">
        <w:t xml:space="preserve"> a</w:t>
      </w:r>
      <w:r w:rsidR="00CD7B86">
        <w:t xml:space="preserve">n 18-month </w:t>
      </w:r>
      <w:r w:rsidR="005D2822">
        <w:t>time horizon</w:t>
      </w:r>
      <w:r w:rsidR="00657F74" w:rsidRPr="00657F74">
        <w:t xml:space="preserve"> </w:t>
      </w:r>
      <w:r w:rsidR="00657F74">
        <w:t>and after adjusting for regression to the mean (RTM)</w:t>
      </w:r>
      <w:r w:rsidR="005D2822">
        <w:t xml:space="preserve">, </w:t>
      </w:r>
      <w:r w:rsidR="00246C31">
        <w:t>the ICER was $</w:t>
      </w:r>
      <w:r w:rsidR="00E57174">
        <w:t>44,722</w:t>
      </w:r>
      <w:r w:rsidR="00246C31">
        <w:t xml:space="preserve"> per </w:t>
      </w:r>
      <w:r w:rsidR="00F87D59">
        <w:t>q</w:t>
      </w:r>
      <w:r w:rsidR="00F87D59" w:rsidRPr="00F87D59">
        <w:t xml:space="preserve">uality </w:t>
      </w:r>
      <w:r w:rsidR="00F87D59">
        <w:t>a</w:t>
      </w:r>
      <w:r w:rsidR="00F87D59" w:rsidRPr="00F87D59">
        <w:t xml:space="preserve">djusted </w:t>
      </w:r>
      <w:r w:rsidR="00F87D59">
        <w:t>l</w:t>
      </w:r>
      <w:r w:rsidR="00F87D59" w:rsidRPr="00F87D59">
        <w:t xml:space="preserve">ife </w:t>
      </w:r>
      <w:r w:rsidR="00F87D59">
        <w:t>y</w:t>
      </w:r>
      <w:r w:rsidR="00F87D59" w:rsidRPr="00F87D59">
        <w:t xml:space="preserve">ear </w:t>
      </w:r>
      <w:r w:rsidR="00F87D59">
        <w:t>(</w:t>
      </w:r>
      <w:r w:rsidR="00246C31">
        <w:t>QALY</w:t>
      </w:r>
      <w:r w:rsidR="00F87D59">
        <w:t>)</w:t>
      </w:r>
      <w:r w:rsidR="00657F74">
        <w:t xml:space="preserve"> gained.</w:t>
      </w:r>
      <w:r w:rsidR="00246C31">
        <w:t xml:space="preserve"> </w:t>
      </w:r>
      <w:r w:rsidR="00611108">
        <w:t xml:space="preserve">While Australia does not have an explicit cost-effectiveness threshold for public healthcare funding decisions, </w:t>
      </w:r>
      <w:r w:rsidR="003471A0">
        <w:t xml:space="preserve">experience shows that this </w:t>
      </w:r>
      <w:r w:rsidR="00BA5381">
        <w:t>result</w:t>
      </w:r>
      <w:r w:rsidR="00031C08">
        <w:t xml:space="preserve"> </w:t>
      </w:r>
      <w:r w:rsidR="0019041A">
        <w:t>is cost</w:t>
      </w:r>
      <w:r w:rsidR="008A40DC">
        <w:t>-</w:t>
      </w:r>
      <w:r w:rsidR="0019041A">
        <w:t xml:space="preserve">effective when compared </w:t>
      </w:r>
      <w:r w:rsidR="00EE1844">
        <w:t xml:space="preserve">to thresholds considered </w:t>
      </w:r>
      <w:r w:rsidR="00C14C0E">
        <w:t>for other similar healthcare services</w:t>
      </w:r>
      <w:r w:rsidR="00CC0438">
        <w:rPr>
          <w:rFonts w:ascii="ZWAdobeF" w:hAnsi="ZWAdobeF" w:cs="ZWAdobeF"/>
          <w:sz w:val="2"/>
          <w:szCs w:val="2"/>
        </w:rPr>
        <w:t>4F</w:t>
      </w:r>
      <w:r w:rsidR="00246C31">
        <w:rPr>
          <w:rStyle w:val="FootnoteReference"/>
        </w:rPr>
        <w:footnoteReference w:id="6"/>
      </w:r>
      <w:r w:rsidR="00C07758" w:rsidRPr="001925C1">
        <w:rPr>
          <w:vertAlign w:val="superscript"/>
        </w:rPr>
        <w:t>,</w:t>
      </w:r>
      <w:r w:rsidR="00CC0438">
        <w:rPr>
          <w:rFonts w:ascii="ZWAdobeF" w:hAnsi="ZWAdobeF" w:cs="ZWAdobeF"/>
          <w:sz w:val="2"/>
          <w:szCs w:val="2"/>
        </w:rPr>
        <w:t>5F</w:t>
      </w:r>
      <w:r w:rsidR="00C07758">
        <w:rPr>
          <w:rStyle w:val="FootnoteReference"/>
        </w:rPr>
        <w:footnoteReference w:id="7"/>
      </w:r>
      <w:r w:rsidR="00246C31" w:rsidDel="00C07758">
        <w:t>.</w:t>
      </w:r>
      <w:r w:rsidR="00246C31">
        <w:t xml:space="preserve"> </w:t>
      </w:r>
    </w:p>
    <w:p w14:paraId="6836D38B" w14:textId="72BDF18B" w:rsidR="00E91E8F" w:rsidRDefault="00C5046B" w:rsidP="000244E4">
      <w:pPr>
        <w:pStyle w:val="BodyText"/>
      </w:pPr>
      <w:r>
        <w:t>Given</w:t>
      </w:r>
      <w:r w:rsidR="00A2595A">
        <w:t xml:space="preserve"> the parameters required for performing the </w:t>
      </w:r>
      <w:r w:rsidR="00E51A71">
        <w:t xml:space="preserve">headspace </w:t>
      </w:r>
      <w:r w:rsidR="00A2595A">
        <w:t>economic evaluation, many of which are unknown or uncertain, t</w:t>
      </w:r>
      <w:r w:rsidR="00097E18">
        <w:t xml:space="preserve">he base case ICER </w:t>
      </w:r>
      <w:r w:rsidR="00C407F4">
        <w:t>is based on conservative assumptions</w:t>
      </w:r>
      <w:r w:rsidR="007D7BD8">
        <w:t xml:space="preserve">. </w:t>
      </w:r>
      <w:r w:rsidR="00176D80">
        <w:t>On the one hand, the</w:t>
      </w:r>
      <w:r w:rsidR="00943FBD">
        <w:t xml:space="preserve">re are a number of </w:t>
      </w:r>
      <w:r w:rsidR="00505DEA">
        <w:t>consideration</w:t>
      </w:r>
      <w:r w:rsidR="00B835FB">
        <w:t>s</w:t>
      </w:r>
      <w:r w:rsidR="00943FBD">
        <w:t xml:space="preserve"> that indicate </w:t>
      </w:r>
      <w:r w:rsidR="00CC7FEF">
        <w:t>headspace may be more cost</w:t>
      </w:r>
      <w:r w:rsidR="00B72456">
        <w:t>-</w:t>
      </w:r>
      <w:r w:rsidR="00CC7FEF">
        <w:t xml:space="preserve">effective than </w:t>
      </w:r>
      <w:r w:rsidR="007679B9">
        <w:t xml:space="preserve">what </w:t>
      </w:r>
      <w:r w:rsidR="00CC7FEF">
        <w:t>the base case suggests. Th</w:t>
      </w:r>
      <w:r w:rsidR="000A0B1F">
        <w:t>e</w:t>
      </w:r>
      <w:r w:rsidR="00CC7FEF">
        <w:t xml:space="preserve">se </w:t>
      </w:r>
      <w:r w:rsidR="007679B9">
        <w:t>consideration</w:t>
      </w:r>
      <w:r w:rsidR="005C4C6D">
        <w:t>s</w:t>
      </w:r>
      <w:r w:rsidR="00CC7FEF">
        <w:t xml:space="preserve"> </w:t>
      </w:r>
      <w:r w:rsidR="004C7E4F">
        <w:t xml:space="preserve">are </w:t>
      </w:r>
      <w:r w:rsidR="00CC7FEF">
        <w:t xml:space="preserve">generally </w:t>
      </w:r>
      <w:r w:rsidR="004C7E4F">
        <w:t xml:space="preserve">associated with </w:t>
      </w:r>
      <w:r w:rsidR="0002259C">
        <w:t>greater benefit</w:t>
      </w:r>
      <w:r w:rsidR="00E91E8F">
        <w:t>s</w:t>
      </w:r>
      <w:r w:rsidR="0002259C">
        <w:t xml:space="preserve"> of mental health treatment</w:t>
      </w:r>
      <w:r w:rsidR="005F57A3">
        <w:t xml:space="preserve"> than in the base case modelled</w:t>
      </w:r>
      <w:r w:rsidR="0002259C">
        <w:t>. For example</w:t>
      </w:r>
      <w:r w:rsidR="00E91E8F">
        <w:t>:</w:t>
      </w:r>
    </w:p>
    <w:p w14:paraId="0762184A" w14:textId="77777777" w:rsidR="00E91E8F" w:rsidRDefault="00E91E8F" w:rsidP="00E91E8F">
      <w:pPr>
        <w:pStyle w:val="Bullet1stlevel"/>
      </w:pPr>
      <w:r>
        <w:t>A</w:t>
      </w:r>
      <w:r w:rsidR="00574B61">
        <w:t>llowing for the treatment benefit to last</w:t>
      </w:r>
      <w:r w:rsidR="008F7BDD">
        <w:t xml:space="preserve"> longer,</w:t>
      </w:r>
      <w:r w:rsidR="00574B61">
        <w:t xml:space="preserve"> </w:t>
      </w:r>
      <w:r w:rsidR="007C1A56">
        <w:t xml:space="preserve">for </w:t>
      </w:r>
      <w:r w:rsidR="00574B61">
        <w:t>up to five years</w:t>
      </w:r>
      <w:r w:rsidR="008F7BDD">
        <w:t>,</w:t>
      </w:r>
      <w:r w:rsidR="00574B61">
        <w:t xml:space="preserve"> </w:t>
      </w:r>
      <w:r w:rsidR="00430885">
        <w:t>results in an ICER of $20,205 per QALY gained.</w:t>
      </w:r>
      <w:r w:rsidR="00246C31">
        <w:t xml:space="preserve"> </w:t>
      </w:r>
    </w:p>
    <w:p w14:paraId="0A6CFFAD" w14:textId="16B24F1C" w:rsidR="00E91E8F" w:rsidRDefault="0039207D" w:rsidP="00E91E8F">
      <w:pPr>
        <w:pStyle w:val="Bullet1stlevel"/>
      </w:pPr>
      <w:r>
        <w:t>Removing</w:t>
      </w:r>
      <w:r w:rsidR="00F14D54">
        <w:t xml:space="preserve"> </w:t>
      </w:r>
      <w:r>
        <w:t xml:space="preserve">the </w:t>
      </w:r>
      <w:r w:rsidR="00246C31">
        <w:t>RTM</w:t>
      </w:r>
      <w:r w:rsidR="000E0991">
        <w:t xml:space="preserve"> </w:t>
      </w:r>
      <w:r>
        <w:t>adjustment (i.e</w:t>
      </w:r>
      <w:r w:rsidR="004D1498">
        <w:t>.,</w:t>
      </w:r>
      <w:r w:rsidR="00E91E8F">
        <w:t xml:space="preserve"> </w:t>
      </w:r>
      <w:r>
        <w:t xml:space="preserve">assigning all observed benefit to headspace treatment) </w:t>
      </w:r>
      <w:r w:rsidR="000E0991">
        <w:t>results in</w:t>
      </w:r>
      <w:r w:rsidR="00246C31">
        <w:t xml:space="preserve"> the ICER </w:t>
      </w:r>
      <w:r w:rsidR="00401783">
        <w:t>dropp</w:t>
      </w:r>
      <w:r>
        <w:t>ing</w:t>
      </w:r>
      <w:r w:rsidR="00401783">
        <w:t xml:space="preserve"> to</w:t>
      </w:r>
      <w:r w:rsidR="000739B1">
        <w:t xml:space="preserve"> $32,567</w:t>
      </w:r>
      <w:r w:rsidR="00246C31">
        <w:t xml:space="preserve"> per QALY</w:t>
      </w:r>
      <w:r>
        <w:t xml:space="preserve"> gained</w:t>
      </w:r>
    </w:p>
    <w:p w14:paraId="34103FCB" w14:textId="77777777" w:rsidR="00E91E8F" w:rsidRDefault="00E91E8F" w:rsidP="00E91E8F">
      <w:pPr>
        <w:pStyle w:val="Bullet1stlevel"/>
      </w:pPr>
      <w:r>
        <w:t>Al</w:t>
      </w:r>
      <w:r w:rsidR="00A60270">
        <w:t>lowing</w:t>
      </w:r>
      <w:r w:rsidR="0092230E">
        <w:t xml:space="preserve"> for </w:t>
      </w:r>
      <w:r w:rsidR="00C901F8">
        <w:t xml:space="preserve">a </w:t>
      </w:r>
      <w:r w:rsidR="0092230E">
        <w:t xml:space="preserve">partial benefit </w:t>
      </w:r>
      <w:r>
        <w:t>from</w:t>
      </w:r>
      <w:r w:rsidR="0092230E">
        <w:t xml:space="preserve"> </w:t>
      </w:r>
      <w:r w:rsidR="0028298B">
        <w:t xml:space="preserve">an incomplete treatment consisting </w:t>
      </w:r>
      <w:r w:rsidR="007927FA">
        <w:t xml:space="preserve">of </w:t>
      </w:r>
      <w:r w:rsidR="00C861D7">
        <w:t>two OOS</w:t>
      </w:r>
      <w:r w:rsidR="00572859">
        <w:t xml:space="preserve"> produces an ICER of</w:t>
      </w:r>
      <w:r w:rsidR="00C861D7">
        <w:t xml:space="preserve"> </w:t>
      </w:r>
      <w:r w:rsidR="00572859">
        <w:t>$</w:t>
      </w:r>
      <w:r w:rsidR="00572859" w:rsidRPr="00572859">
        <w:t>35,713</w:t>
      </w:r>
      <w:r w:rsidR="007F5B0F">
        <w:t xml:space="preserve"> </w:t>
      </w:r>
      <w:r w:rsidR="00572859">
        <w:t>per QALY gained.</w:t>
      </w:r>
      <w:r w:rsidR="005B2110">
        <w:t xml:space="preserve"> On the other hand, </w:t>
      </w:r>
      <w:r w:rsidR="0075671C">
        <w:t xml:space="preserve">the base case evaluation </w:t>
      </w:r>
      <w:r w:rsidR="00A9723E">
        <w:t>uses the available data to support a</w:t>
      </w:r>
      <w:r w:rsidR="00831E48">
        <w:t>n</w:t>
      </w:r>
      <w:r w:rsidR="00A9723E">
        <w:t xml:space="preserve"> </w:t>
      </w:r>
      <w:r w:rsidR="0000415C">
        <w:t xml:space="preserve">assumption that </w:t>
      </w:r>
      <w:r w:rsidR="0033561A">
        <w:t xml:space="preserve">only three OOS are sufficient for a course of treatment to meet the MAT requirement. </w:t>
      </w:r>
      <w:r w:rsidR="00831E48">
        <w:t xml:space="preserve">This assumption favours headspace </w:t>
      </w:r>
      <w:r w:rsidR="00F11576">
        <w:t xml:space="preserve">in light of the literature that suggests </w:t>
      </w:r>
      <w:r w:rsidR="008A75DB">
        <w:t xml:space="preserve">that </w:t>
      </w:r>
      <w:r w:rsidR="00F11576">
        <w:t xml:space="preserve">at least four OOS are required. </w:t>
      </w:r>
      <w:r w:rsidR="00032315">
        <w:t xml:space="preserve">Changing the assumption to match the literature results in the </w:t>
      </w:r>
      <w:r w:rsidR="00D222AA">
        <w:t xml:space="preserve">ICER of </w:t>
      </w:r>
      <w:r w:rsidR="00AA1588">
        <w:t>$</w:t>
      </w:r>
      <w:r w:rsidR="00AA1588" w:rsidRPr="00AA1588">
        <w:t>56,894</w:t>
      </w:r>
      <w:r w:rsidR="00AA1588">
        <w:t xml:space="preserve"> per QALY gained. </w:t>
      </w:r>
    </w:p>
    <w:p w14:paraId="3ABD2C69" w14:textId="43224F22" w:rsidR="00BE0D80" w:rsidRDefault="000B354C" w:rsidP="000244E4">
      <w:pPr>
        <w:pStyle w:val="BodyText"/>
      </w:pPr>
      <w:r>
        <w:t xml:space="preserve">Furthermore, </w:t>
      </w:r>
      <w:r w:rsidR="00DC686C">
        <w:t xml:space="preserve">the </w:t>
      </w:r>
      <w:r w:rsidR="007A4E80">
        <w:t xml:space="preserve">full </w:t>
      </w:r>
      <w:r w:rsidR="00DC686C">
        <w:t xml:space="preserve">cost of providing </w:t>
      </w:r>
      <w:r w:rsidR="00607F43">
        <w:t xml:space="preserve">an </w:t>
      </w:r>
      <w:r w:rsidR="00DC686C">
        <w:t>OOS</w:t>
      </w:r>
      <w:r w:rsidR="00607F43">
        <w:t xml:space="preserve"> by headspace</w:t>
      </w:r>
      <w:r w:rsidR="000136BD">
        <w:t xml:space="preserve"> </w:t>
      </w:r>
      <w:r w:rsidR="007A4E80">
        <w:t>could not be determined within the evaluation, as the</w:t>
      </w:r>
      <w:r w:rsidR="00412CD2">
        <w:t>re is no data on the</w:t>
      </w:r>
      <w:r w:rsidR="007A4E80">
        <w:t xml:space="preserve"> actual cost of MBS-billed services, in-kind and indirect funding</w:t>
      </w:r>
      <w:r w:rsidR="000136BD">
        <w:t xml:space="preserve">. If </w:t>
      </w:r>
      <w:r w:rsidR="002B27FA">
        <w:t>additional costs were</w:t>
      </w:r>
      <w:r w:rsidR="00147EF9">
        <w:t xml:space="preserve"> incurred by headspace services, this would result in </w:t>
      </w:r>
      <w:r w:rsidR="00412CD2">
        <w:t>the ICER increasing. Sensitiv</w:t>
      </w:r>
      <w:r w:rsidR="008A0B3D">
        <w:t>i</w:t>
      </w:r>
      <w:r w:rsidR="00412CD2">
        <w:t xml:space="preserve">ty analysis </w:t>
      </w:r>
      <w:r w:rsidR="006C1730">
        <w:t>conducted indicates this may increase to</w:t>
      </w:r>
      <w:r w:rsidR="000136BD">
        <w:t xml:space="preserve"> </w:t>
      </w:r>
      <w:r w:rsidR="00C2793B">
        <w:t>$</w:t>
      </w:r>
      <w:r w:rsidR="00C2793B" w:rsidRPr="00C2793B">
        <w:t>54,693</w:t>
      </w:r>
      <w:r w:rsidR="00C2793B">
        <w:t xml:space="preserve"> per QALY gained</w:t>
      </w:r>
      <w:r w:rsidR="006C1730">
        <w:t>, when additional costs are accounte</w:t>
      </w:r>
      <w:r w:rsidR="00C86B7E">
        <w:t>d</w:t>
      </w:r>
      <w:r w:rsidR="006C1730">
        <w:t xml:space="preserve"> for</w:t>
      </w:r>
      <w:r w:rsidR="00A532E9">
        <w:t>.</w:t>
      </w:r>
    </w:p>
    <w:p w14:paraId="36EA6432" w14:textId="39ED50AE" w:rsidR="001D237A" w:rsidRDefault="00AA345C" w:rsidP="000244E4">
      <w:pPr>
        <w:pStyle w:val="BodyText"/>
      </w:pPr>
      <w:r>
        <w:t>S</w:t>
      </w:r>
      <w:r w:rsidR="001D237A">
        <w:t xml:space="preserve">ensitivity analyses have </w:t>
      </w:r>
      <w:r>
        <w:t xml:space="preserve">notably </w:t>
      </w:r>
      <w:r w:rsidR="009D4D79">
        <w:t>shown</w:t>
      </w:r>
      <w:r w:rsidR="001D237A">
        <w:t xml:space="preserve"> that the key unknowns of the economic evaluation </w:t>
      </w:r>
      <w:r w:rsidR="0069539D">
        <w:t>(</w:t>
      </w:r>
      <w:r w:rsidR="00EC25FC">
        <w:t xml:space="preserve">the proportion of </w:t>
      </w:r>
      <w:r w:rsidR="00E80483">
        <w:t>young people</w:t>
      </w:r>
      <w:r w:rsidR="00EC25FC">
        <w:t xml:space="preserve"> not receiving care in the ‘no headspace</w:t>
      </w:r>
      <w:r w:rsidR="006C5B61">
        <w:t>’</w:t>
      </w:r>
      <w:r w:rsidR="00EC25FC">
        <w:t xml:space="preserve"> scenario</w:t>
      </w:r>
      <w:r w:rsidR="00A07314">
        <w:t>,</w:t>
      </w:r>
      <w:r w:rsidR="00EC25FC">
        <w:t xml:space="preserve"> the relative effectiveness of treatment</w:t>
      </w:r>
      <w:r w:rsidR="00393832">
        <w:t>s provided outside of headspace</w:t>
      </w:r>
      <w:r w:rsidR="0069539D">
        <w:t>,</w:t>
      </w:r>
      <w:r w:rsidR="00333184">
        <w:t xml:space="preserve"> and their cost</w:t>
      </w:r>
      <w:r w:rsidR="0069539D">
        <w:t>)</w:t>
      </w:r>
      <w:r w:rsidR="00393832">
        <w:t xml:space="preserve"> are not key drivers of the model</w:t>
      </w:r>
      <w:r w:rsidR="00A13845">
        <w:t xml:space="preserve"> outcomes</w:t>
      </w:r>
      <w:r w:rsidR="00D75D24">
        <w:t>.</w:t>
      </w:r>
      <w:r w:rsidR="00393832">
        <w:t xml:space="preserve"> </w:t>
      </w:r>
      <w:r w:rsidR="00D75D24">
        <w:t>When explored within the</w:t>
      </w:r>
      <w:r w:rsidR="00A13845">
        <w:t>ir</w:t>
      </w:r>
      <w:r w:rsidR="00D75D24">
        <w:t xml:space="preserve"> </w:t>
      </w:r>
      <w:r w:rsidR="00A13845">
        <w:t xml:space="preserve">plausible value </w:t>
      </w:r>
      <w:r w:rsidR="00D75D24">
        <w:t xml:space="preserve">ranges, these </w:t>
      </w:r>
      <w:r w:rsidR="006C5B61">
        <w:t>parameters</w:t>
      </w:r>
      <w:r w:rsidR="00D75D24">
        <w:t xml:space="preserve"> had only minor impacts on the ICER.</w:t>
      </w:r>
    </w:p>
    <w:p w14:paraId="0C6B61A1" w14:textId="14AF10B2" w:rsidR="00F107FB" w:rsidRDefault="00246C31" w:rsidP="000244E4">
      <w:pPr>
        <w:pStyle w:val="BodyText"/>
      </w:pPr>
      <w:r w:rsidDel="00DF50EA">
        <w:t xml:space="preserve">There is </w:t>
      </w:r>
      <w:r w:rsidR="0048311B" w:rsidDel="00DF50EA">
        <w:t xml:space="preserve">a </w:t>
      </w:r>
      <w:r w:rsidDel="00DF50EA">
        <w:t>large variation in cost</w:t>
      </w:r>
      <w:r w:rsidR="00E91E8F">
        <w:t>-</w:t>
      </w:r>
      <w:r w:rsidDel="00DF50EA">
        <w:t xml:space="preserve">effectiveness across services. This stems </w:t>
      </w:r>
      <w:r w:rsidR="00F107FB">
        <w:t xml:space="preserve">both from the variation in cost per episode of care and the variation in outcomes. </w:t>
      </w:r>
      <w:r w:rsidR="00D003B5">
        <w:t xml:space="preserve">As discussed in the cost analysis section, under the current funding model, all services receive relatively similar </w:t>
      </w:r>
      <w:r w:rsidR="00D003B5" w:rsidRPr="00246C31">
        <w:t>annual funding amounts</w:t>
      </w:r>
      <w:r w:rsidR="006C5B61">
        <w:t>,</w:t>
      </w:r>
      <w:r w:rsidR="00D003B5" w:rsidRPr="00246C31">
        <w:t xml:space="preserve"> regardless of the volume of services they deliver.</w:t>
      </w:r>
      <w:r w:rsidR="00D003B5">
        <w:t xml:space="preserve"> Even assuming outcomes are similar across services, this alone </w:t>
      </w:r>
      <w:r w:rsidR="00311CE9">
        <w:t xml:space="preserve">can lead to a large variation in average cost per </w:t>
      </w:r>
      <w:r w:rsidR="00264FEE">
        <w:t>OOS</w:t>
      </w:r>
      <w:r w:rsidR="00311CE9">
        <w:t xml:space="preserve"> (larger services would be more cost efficient than smaller </w:t>
      </w:r>
      <w:r w:rsidR="006C5B61">
        <w:t>services</w:t>
      </w:r>
      <w:r w:rsidR="00311CE9">
        <w:t xml:space="preserve">). The effectiveness and the cost-effectiveness analysis further show there is also considerable variation in outcomes and QALYs </w:t>
      </w:r>
      <w:r w:rsidR="00C62D5C">
        <w:t xml:space="preserve">gained </w:t>
      </w:r>
      <w:r w:rsidR="00311CE9">
        <w:t>across services. This may be due to the extrapolation of benefits beyond the last observed outcome at the follow</w:t>
      </w:r>
      <w:r w:rsidR="00D30CA0">
        <w:t xml:space="preserve"> </w:t>
      </w:r>
      <w:r w:rsidR="00311CE9">
        <w:t>up time</w:t>
      </w:r>
      <w:r w:rsidR="00476E53">
        <w:t>, which</w:t>
      </w:r>
      <w:r w:rsidR="00311CE9">
        <w:t xml:space="preserve"> </w:t>
      </w:r>
      <w:r w:rsidR="001B7D11">
        <w:t>amplified QALY gains in</w:t>
      </w:r>
      <w:r w:rsidR="00311CE9">
        <w:t xml:space="preserve"> services with better treatment outcomes</w:t>
      </w:r>
      <w:r w:rsidR="00476E53">
        <w:t xml:space="preserve"> and </w:t>
      </w:r>
      <w:r w:rsidR="00311CE9">
        <w:t>exacerbate</w:t>
      </w:r>
      <w:r w:rsidR="006C5B61">
        <w:t>d</w:t>
      </w:r>
      <w:r w:rsidR="00311CE9">
        <w:t xml:space="preserve"> the variation in cost</w:t>
      </w:r>
      <w:r w:rsidR="00E91E8F">
        <w:t>-</w:t>
      </w:r>
      <w:r w:rsidR="00311CE9">
        <w:t>effectiveness across services.</w:t>
      </w:r>
    </w:p>
    <w:p w14:paraId="64135BD8" w14:textId="6294C412" w:rsidR="007F7CBF" w:rsidRDefault="007F7CBF" w:rsidP="00BC3747">
      <w:pPr>
        <w:pStyle w:val="HeadingLevel3NoNumber"/>
      </w:pPr>
      <w:r>
        <w:t xml:space="preserve">Domain 4: </w:t>
      </w:r>
      <w:r w:rsidR="00175E62">
        <w:t>F</w:t>
      </w:r>
      <w:r>
        <w:t xml:space="preserve">uture enhancement </w:t>
      </w:r>
    </w:p>
    <w:p w14:paraId="30DFA717" w14:textId="5D023286" w:rsidR="00625FC5" w:rsidRDefault="00153D63" w:rsidP="000244E4">
      <w:pPr>
        <w:pStyle w:val="BodyText"/>
      </w:pPr>
      <w:r>
        <w:t>In r</w:t>
      </w:r>
      <w:r w:rsidRPr="00153D63">
        <w:t>eviewing the components of the</w:t>
      </w:r>
      <w:r w:rsidR="0037544C">
        <w:t xml:space="preserve"> headspace</w:t>
      </w:r>
      <w:r w:rsidRPr="00153D63">
        <w:t xml:space="preserve"> model against the findings of the effectiveness and value analyses</w:t>
      </w:r>
      <w:r w:rsidR="0037544C">
        <w:t xml:space="preserve">, consistent </w:t>
      </w:r>
      <w:r w:rsidRPr="00153D63">
        <w:t xml:space="preserve">barriers and enablers </w:t>
      </w:r>
      <w:r w:rsidR="0037544C">
        <w:t xml:space="preserve">to the success of the model </w:t>
      </w:r>
      <w:r w:rsidR="00625FC5">
        <w:t>have been identified</w:t>
      </w:r>
      <w:r w:rsidR="00363D7B">
        <w:t xml:space="preserve"> in relation </w:t>
      </w:r>
      <w:r w:rsidR="0099589C" w:rsidRPr="002B5997">
        <w:t>to</w:t>
      </w:r>
      <w:r w:rsidR="00625FC5">
        <w:t>:</w:t>
      </w:r>
    </w:p>
    <w:p w14:paraId="6173AAA9" w14:textId="282E9CF8" w:rsidR="00625FC5" w:rsidRDefault="0099589C" w:rsidP="00625FC5">
      <w:pPr>
        <w:pStyle w:val="Bullet1stlevel"/>
      </w:pPr>
      <w:r w:rsidRPr="002B5997">
        <w:t>community awareness and engagement</w:t>
      </w:r>
      <w:r w:rsidR="00107C34">
        <w:t>;</w:t>
      </w:r>
    </w:p>
    <w:p w14:paraId="6A2302FF" w14:textId="1F489C27" w:rsidR="00625FC5" w:rsidRDefault="0099589C" w:rsidP="00625FC5">
      <w:pPr>
        <w:pStyle w:val="Bullet1stlevel"/>
      </w:pPr>
      <w:r w:rsidRPr="002B5997">
        <w:t>providing four core streams of services</w:t>
      </w:r>
      <w:r w:rsidR="00107C34">
        <w:t>;</w:t>
      </w:r>
    </w:p>
    <w:p w14:paraId="5C393C00" w14:textId="3F9B57A3" w:rsidR="00625FC5" w:rsidRDefault="0099589C" w:rsidP="00625FC5">
      <w:pPr>
        <w:pStyle w:val="Bullet1stlevel"/>
      </w:pPr>
      <w:r w:rsidRPr="002B5997">
        <w:t>service integration</w:t>
      </w:r>
      <w:r w:rsidR="00107C34">
        <w:t>;</w:t>
      </w:r>
    </w:p>
    <w:p w14:paraId="640A60A6" w14:textId="38591586" w:rsidR="00625FC5" w:rsidRDefault="0099589C" w:rsidP="00625FC5">
      <w:pPr>
        <w:pStyle w:val="Bullet1stlevel"/>
      </w:pPr>
      <w:r w:rsidRPr="002B5997">
        <w:t>the national network</w:t>
      </w:r>
      <w:r w:rsidR="00C11116">
        <w:t xml:space="preserve"> </w:t>
      </w:r>
      <w:r w:rsidR="00EF3048">
        <w:t>mo</w:t>
      </w:r>
      <w:r w:rsidR="00A5005F">
        <w:t>del</w:t>
      </w:r>
      <w:r w:rsidR="00107C34">
        <w:t>;</w:t>
      </w:r>
    </w:p>
    <w:p w14:paraId="3CCF4AB6" w14:textId="41A3B868" w:rsidR="00625FC5" w:rsidRDefault="0099589C" w:rsidP="00625FC5">
      <w:pPr>
        <w:pStyle w:val="Bullet1stlevel"/>
      </w:pPr>
      <w:r w:rsidRPr="002B5997">
        <w:t>attracting and retaining a multi-disciplinary workforce</w:t>
      </w:r>
      <w:r w:rsidR="00CB0EAC">
        <w:t>;</w:t>
      </w:r>
    </w:p>
    <w:p w14:paraId="6C296105" w14:textId="77777777" w:rsidR="00625FC5" w:rsidRDefault="0099589C" w:rsidP="00625FC5">
      <w:pPr>
        <w:pStyle w:val="Bullet1stlevel"/>
      </w:pPr>
      <w:r w:rsidRPr="002B5997">
        <w:t xml:space="preserve">the blended funding model; and </w:t>
      </w:r>
    </w:p>
    <w:p w14:paraId="4C9EB480" w14:textId="77777777" w:rsidR="00625FC5" w:rsidRDefault="0099589C" w:rsidP="00625FC5">
      <w:pPr>
        <w:pStyle w:val="Bullet1stlevel"/>
      </w:pPr>
      <w:r w:rsidRPr="002B5997">
        <w:t xml:space="preserve">monitoring and evaluation. </w:t>
      </w:r>
    </w:p>
    <w:p w14:paraId="14A482C7" w14:textId="3F3E6EE3" w:rsidR="0099589C" w:rsidRPr="002B5997" w:rsidRDefault="00282339" w:rsidP="000244E4">
      <w:pPr>
        <w:pStyle w:val="BodyText"/>
      </w:pPr>
      <w:r>
        <w:t>C</w:t>
      </w:r>
      <w:r w:rsidR="0099589C" w:rsidRPr="002B5997">
        <w:t>halleng</w:t>
      </w:r>
      <w:r>
        <w:t xml:space="preserve">es associated with these areas of </w:t>
      </w:r>
      <w:r w:rsidR="00CC3B89">
        <w:t>the headspace model</w:t>
      </w:r>
      <w:r w:rsidR="00B12EF0">
        <w:t xml:space="preserve"> </w:t>
      </w:r>
      <w:r w:rsidR="0099589C" w:rsidRPr="002B5997">
        <w:t>interact to increase wait times</w:t>
      </w:r>
      <w:r>
        <w:t xml:space="preserve"> for services </w:t>
      </w:r>
      <w:r w:rsidR="0099589C" w:rsidRPr="002B5997">
        <w:t xml:space="preserve">and </w:t>
      </w:r>
      <w:r>
        <w:t xml:space="preserve">to </w:t>
      </w:r>
      <w:r w:rsidR="0099589C" w:rsidRPr="002B5997">
        <w:t xml:space="preserve">reduce </w:t>
      </w:r>
      <w:r>
        <w:t>outcomes for</w:t>
      </w:r>
      <w:r w:rsidR="0099589C" w:rsidRPr="002B5997">
        <w:t xml:space="preserve"> </w:t>
      </w:r>
      <w:r w:rsidR="00404136">
        <w:t>‘</w:t>
      </w:r>
      <w:r w:rsidR="0099589C" w:rsidRPr="002B5997">
        <w:t>hard to reach</w:t>
      </w:r>
      <w:r w:rsidR="00404136">
        <w:t>’</w:t>
      </w:r>
      <w:r w:rsidR="0099589C" w:rsidRPr="002B5997">
        <w:t xml:space="preserve"> groups.</w:t>
      </w:r>
      <w:r>
        <w:t xml:space="preserve"> </w:t>
      </w:r>
    </w:p>
    <w:p w14:paraId="0A023443" w14:textId="629AB69C" w:rsidR="0099589C" w:rsidRPr="002B5997" w:rsidRDefault="00723F31" w:rsidP="000244E4">
      <w:pPr>
        <w:pStyle w:val="BodyText"/>
      </w:pPr>
      <w:r>
        <w:t>At the same time, a</w:t>
      </w:r>
      <w:r w:rsidR="0099589C" w:rsidRPr="002B5997">
        <w:t xml:space="preserve"> range of external factors </w:t>
      </w:r>
      <w:r w:rsidR="00537267">
        <w:t xml:space="preserve">put pressure on </w:t>
      </w:r>
      <w:r w:rsidR="00077B84">
        <w:t xml:space="preserve">how </w:t>
      </w:r>
      <w:r w:rsidR="00537267">
        <w:t>the</w:t>
      </w:r>
      <w:r w:rsidR="0099589C" w:rsidRPr="002B5997">
        <w:t xml:space="preserve"> headspace model</w:t>
      </w:r>
      <w:r w:rsidR="00077B84">
        <w:t xml:space="preserve"> works in practice</w:t>
      </w:r>
      <w:r w:rsidR="009A6759">
        <w:t>.</w:t>
      </w:r>
      <w:r w:rsidR="0099589C" w:rsidRPr="002B5997">
        <w:t xml:space="preserve"> </w:t>
      </w:r>
      <w:r w:rsidR="009A6759">
        <w:t>Li</w:t>
      </w:r>
      <w:r w:rsidR="0099589C" w:rsidRPr="002B5997">
        <w:t xml:space="preserve">mited referral pathways available in many areas, </w:t>
      </w:r>
      <w:r w:rsidR="009A6759">
        <w:t xml:space="preserve">broader mental health </w:t>
      </w:r>
      <w:r w:rsidR="0099589C" w:rsidRPr="002B5997">
        <w:t>workforce shortages</w:t>
      </w:r>
      <w:r w:rsidR="00537267">
        <w:t>,</w:t>
      </w:r>
      <w:r w:rsidR="0099589C" w:rsidRPr="002B5997">
        <w:t xml:space="preserve"> high demand for services and complexity of presenting need</w:t>
      </w:r>
      <w:r w:rsidR="009A6759">
        <w:t xml:space="preserve"> all drive increased wait times and reduce access to service. </w:t>
      </w:r>
      <w:r w:rsidR="00E87CA8">
        <w:t>Stigma</w:t>
      </w:r>
      <w:r w:rsidR="009A6759" w:rsidRPr="002B5997">
        <w:t xml:space="preserve"> and discrimination </w:t>
      </w:r>
      <w:r w:rsidR="009A6759">
        <w:t xml:space="preserve">in the community </w:t>
      </w:r>
      <w:r w:rsidR="009A6759" w:rsidRPr="002B5997">
        <w:t>against those with mental illness</w:t>
      </w:r>
      <w:r w:rsidR="009A6759">
        <w:t xml:space="preserve"> continue to </w:t>
      </w:r>
      <w:r w:rsidR="008C2C2A">
        <w:t>impact early help seeking, particularly affecting young people from culturally and linguistically diverse backgrounds and Aboriginal and Torres Strait Islander young people</w:t>
      </w:r>
      <w:r w:rsidR="000D414A">
        <w:t>,</w:t>
      </w:r>
      <w:r w:rsidR="008C2C2A">
        <w:t xml:space="preserve"> reducing their early help seeking behaviour</w:t>
      </w:r>
      <w:r w:rsidR="0099589C" w:rsidRPr="002B5997">
        <w:t xml:space="preserve">. </w:t>
      </w:r>
      <w:r w:rsidR="00EC6D4F">
        <w:t>W</w:t>
      </w:r>
      <w:r w:rsidR="00146598">
        <w:t xml:space="preserve">ithin the </w:t>
      </w:r>
      <w:r w:rsidR="0099589C" w:rsidRPr="002B5997">
        <w:t xml:space="preserve">headspace </w:t>
      </w:r>
      <w:r w:rsidR="00EC6D4F">
        <w:t xml:space="preserve">model, the role of </w:t>
      </w:r>
      <w:r w:rsidR="0099589C" w:rsidRPr="002B5997">
        <w:t xml:space="preserve">service providers </w:t>
      </w:r>
      <w:r w:rsidR="00EC6D4F">
        <w:t xml:space="preserve">requires diligent effort </w:t>
      </w:r>
      <w:r w:rsidR="0099589C" w:rsidRPr="002B5997">
        <w:t>to compensate and adjust for these external factors and</w:t>
      </w:r>
      <w:r w:rsidR="000D414A">
        <w:t xml:space="preserve"> to</w:t>
      </w:r>
      <w:r w:rsidR="0099589C" w:rsidRPr="002B5997">
        <w:t xml:space="preserve"> ensure the objectives of headspace are met.</w:t>
      </w:r>
    </w:p>
    <w:p w14:paraId="4005525B" w14:textId="0E5056EE" w:rsidR="00D02163" w:rsidRDefault="00D87857" w:rsidP="000244E4">
      <w:pPr>
        <w:pStyle w:val="BodyText"/>
      </w:pPr>
      <w:r w:rsidRPr="002B5997">
        <w:t xml:space="preserve">On balance, </w:t>
      </w:r>
      <w:r w:rsidR="00723F31">
        <w:t xml:space="preserve">however, </w:t>
      </w:r>
      <w:r w:rsidRPr="002B5997">
        <w:t>this evaluation has not found any evidence to suggest that changes are required to the design of the headspace model in order to enable it to meet its objectives. Despite challenges in meeting the needs of some cohorts, and constraints and limitations brought about by broader mental health system issues, headspace is achieving its intended outcomes with its current design.</w:t>
      </w:r>
      <w:r w:rsidR="00D02163">
        <w:t xml:space="preserve"> However, g</w:t>
      </w:r>
      <w:r w:rsidR="00D60FFD" w:rsidRPr="002B5997">
        <w:t xml:space="preserve">iven the challenges, enablers and barriers faced by the headspace model, </w:t>
      </w:r>
      <w:r w:rsidR="004F139E">
        <w:t>and the low cost-</w:t>
      </w:r>
      <w:r w:rsidR="56A96310">
        <w:t>effectiveness</w:t>
      </w:r>
      <w:r w:rsidR="004F139E">
        <w:t xml:space="preserve"> of the model overall, </w:t>
      </w:r>
      <w:r w:rsidR="00D60FFD" w:rsidRPr="002B5997">
        <w:t xml:space="preserve">there are </w:t>
      </w:r>
      <w:r w:rsidR="00DF3B04" w:rsidRPr="002B5997">
        <w:t>several</w:t>
      </w:r>
      <w:r w:rsidR="00D60FFD" w:rsidRPr="002B5997">
        <w:t xml:space="preserve"> areas where implementation of headspace services could be enhanced to enable it to meet its objectives more eff</w:t>
      </w:r>
      <w:r w:rsidR="004F139E">
        <w:t>iciently</w:t>
      </w:r>
      <w:r w:rsidR="00D60FFD" w:rsidRPr="002B5997">
        <w:t xml:space="preserve">. </w:t>
      </w:r>
    </w:p>
    <w:p w14:paraId="248FC017" w14:textId="66532D55" w:rsidR="00536441" w:rsidRDefault="00E63C3D" w:rsidP="005F52ED">
      <w:pPr>
        <w:pStyle w:val="HeadingLevel4NoNumber"/>
      </w:pPr>
      <w:r>
        <w:t>Recommended c</w:t>
      </w:r>
      <w:r w:rsidR="00536441">
        <w:t xml:space="preserve">hanges to the implementation of the headspace model </w:t>
      </w:r>
    </w:p>
    <w:p w14:paraId="454AFC9F" w14:textId="27E2EB59" w:rsidR="00E63C3D" w:rsidRDefault="00E63C3D" w:rsidP="000244E4">
      <w:pPr>
        <w:pStyle w:val="BodyText"/>
      </w:pPr>
      <w:r>
        <w:t xml:space="preserve">The evaluation findings point to </w:t>
      </w:r>
      <w:r w:rsidR="00DF3B04">
        <w:t>several</w:t>
      </w:r>
      <w:r>
        <w:t xml:space="preserve"> key areas </w:t>
      </w:r>
      <w:r w:rsidR="00545D71">
        <w:t xml:space="preserve">in the implementation of the headspace model </w:t>
      </w:r>
      <w:r>
        <w:t xml:space="preserve">which require further development to optimise </w:t>
      </w:r>
      <w:r w:rsidR="008376C0">
        <w:t>the model</w:t>
      </w:r>
      <w:r>
        <w:t>’s ability to meet it</w:t>
      </w:r>
      <w:r w:rsidR="00363D7B">
        <w:t>s</w:t>
      </w:r>
      <w:r>
        <w:t xml:space="preserve"> desired objectives. </w:t>
      </w:r>
    </w:p>
    <w:p w14:paraId="7817AF66" w14:textId="7F80DFA5" w:rsidR="00D60FFD" w:rsidRDefault="00D60FFD" w:rsidP="000244E4">
      <w:pPr>
        <w:pStyle w:val="BodyText"/>
      </w:pPr>
      <w:r w:rsidRPr="002B5997">
        <w:t>As discussed above, while</w:t>
      </w:r>
      <w:r w:rsidR="00BF727F">
        <w:t xml:space="preserve"> the headspace model </w:t>
      </w:r>
      <w:r w:rsidRPr="002B5997">
        <w:t xml:space="preserve">is effective overall, the needs of ‘hard to reach’ cohorts of young people are not as effectively met by the headspace model as those of young people in the general population attending headspace. Wait times are </w:t>
      </w:r>
      <w:r w:rsidR="008376C0">
        <w:t xml:space="preserve">also </w:t>
      </w:r>
      <w:r w:rsidRPr="002B5997">
        <w:t xml:space="preserve">an area of criticism for the model and the complex </w:t>
      </w:r>
      <w:r w:rsidRPr="00E91E8F">
        <w:t>governance</w:t>
      </w:r>
      <w:r w:rsidRPr="002B5997">
        <w:t xml:space="preserve"> arrangements are burdensome.</w:t>
      </w:r>
      <w:r w:rsidR="001A5FC8">
        <w:t xml:space="preserve"> </w:t>
      </w:r>
      <w:r w:rsidR="00A51F32">
        <w:t xml:space="preserve">Given </w:t>
      </w:r>
      <w:r w:rsidR="00363D7B">
        <w:t>that</w:t>
      </w:r>
      <w:r w:rsidR="00A51F32">
        <w:t xml:space="preserve"> </w:t>
      </w:r>
      <w:r w:rsidR="005513AE">
        <w:t>psychosocial</w:t>
      </w:r>
      <w:r w:rsidR="00A51F32">
        <w:t xml:space="preserve"> outcomes </w:t>
      </w:r>
      <w:r w:rsidR="009D4D87">
        <w:t>are strongly associated with engagement and treatment through the headspace model, there are oppo</w:t>
      </w:r>
      <w:r w:rsidR="00AE59AF">
        <w:t>r</w:t>
      </w:r>
      <w:r w:rsidR="009D4D87">
        <w:t>tunities to improve user experience and clinical governance arrangements to support longer episodes of care for young people where appropriate.</w:t>
      </w:r>
    </w:p>
    <w:p w14:paraId="34FC01D8" w14:textId="0F454683" w:rsidR="006554A9" w:rsidRDefault="006554A9" w:rsidP="006554A9">
      <w:pPr>
        <w:pStyle w:val="Caption"/>
      </w:pPr>
      <w:bookmarkStart w:id="17" w:name="_Ref105503917"/>
      <w:bookmarkStart w:id="18" w:name="_Toc108108951"/>
      <w:r>
        <w:t xml:space="preserve">Table </w:t>
      </w:r>
      <w:r>
        <w:fldChar w:fldCharType="begin"/>
      </w:r>
      <w:r>
        <w:instrText>SEQ Table \* ARABIC</w:instrText>
      </w:r>
      <w:r>
        <w:fldChar w:fldCharType="separate"/>
      </w:r>
      <w:r w:rsidR="00CC0438">
        <w:rPr>
          <w:noProof/>
        </w:rPr>
        <w:t>1</w:t>
      </w:r>
      <w:r>
        <w:fldChar w:fldCharType="end"/>
      </w:r>
      <w:bookmarkEnd w:id="17"/>
      <w:r w:rsidRPr="006554A9">
        <w:t xml:space="preserve">: </w:t>
      </w:r>
      <w:r w:rsidR="00A00894">
        <w:t>Recommended</w:t>
      </w:r>
      <w:r w:rsidRPr="006554A9">
        <w:t xml:space="preserve"> changes to the implementation of the headspace model</w:t>
      </w:r>
      <w:bookmarkEnd w:id="18"/>
    </w:p>
    <w:tbl>
      <w:tblPr>
        <w:tblStyle w:val="TableGrid"/>
        <w:tblW w:w="9072" w:type="dxa"/>
        <w:tblLook w:val="04A0" w:firstRow="1" w:lastRow="0" w:firstColumn="1" w:lastColumn="0" w:noHBand="0" w:noVBand="1"/>
        <w:tblCaption w:val="Recommended changes to the implementation of the headspace model"/>
        <w:tblDescription w:val="Table 1 has 1 column. It summarises recommendations against key areas of implementation related to the headspace model."/>
      </w:tblPr>
      <w:tblGrid>
        <w:gridCol w:w="9072"/>
      </w:tblGrid>
      <w:tr w:rsidR="007B4C2C" w:rsidRPr="00A828AC" w:rsidDel="00342E34" w14:paraId="7B97F723" w14:textId="77777777" w:rsidTr="008A4350">
        <w:tc>
          <w:tcPr>
            <w:tcW w:w="9072" w:type="dxa"/>
            <w:tcBorders>
              <w:top w:val="nil"/>
              <w:left w:val="nil"/>
              <w:bottom w:val="nil"/>
              <w:right w:val="nil"/>
            </w:tcBorders>
            <w:shd w:val="clear" w:color="auto" w:fill="000099"/>
          </w:tcPr>
          <w:p w14:paraId="60C4DE7B" w14:textId="7E412A4B" w:rsidR="007B4C2C" w:rsidRPr="00A828AC" w:rsidDel="00342E34" w:rsidRDefault="007B4C2C" w:rsidP="00E91E8F">
            <w:pPr>
              <w:pStyle w:val="Tableheading"/>
            </w:pPr>
            <w:r>
              <w:t>Recommendation - ‘</w:t>
            </w:r>
            <w:r w:rsidRPr="00A828AC" w:rsidDel="00342E34">
              <w:t>Hard to Reach</w:t>
            </w:r>
            <w:r>
              <w:t>’</w:t>
            </w:r>
            <w:r w:rsidRPr="00A828AC" w:rsidDel="00342E34">
              <w:t xml:space="preserve"> Groups</w:t>
            </w:r>
          </w:p>
        </w:tc>
      </w:tr>
      <w:tr w:rsidR="007B4C2C" w:rsidRPr="00A828AC" w:rsidDel="00342E34" w14:paraId="349D1D6C" w14:textId="77777777" w:rsidTr="008A4350">
        <w:tc>
          <w:tcPr>
            <w:tcW w:w="9072" w:type="dxa"/>
            <w:tcBorders>
              <w:top w:val="nil"/>
              <w:left w:val="nil"/>
              <w:bottom w:val="nil"/>
              <w:right w:val="nil"/>
            </w:tcBorders>
            <w:shd w:val="clear" w:color="auto" w:fill="AFD7FF"/>
          </w:tcPr>
          <w:p w14:paraId="0FF0ED7B" w14:textId="77777777" w:rsidR="0015423E" w:rsidRPr="0015423E" w:rsidRDefault="007B4C2C" w:rsidP="00A72CC4">
            <w:pPr>
              <w:pStyle w:val="Tabletext"/>
              <w:numPr>
                <w:ilvl w:val="0"/>
                <w:numId w:val="24"/>
              </w:numPr>
            </w:pPr>
            <w:r>
              <w:t xml:space="preserve">The headspace model has </w:t>
            </w:r>
            <w:r w:rsidR="009B0474">
              <w:t xml:space="preserve">had </w:t>
            </w:r>
            <w:r>
              <w:t>mixed success in reaching and supporting young people from ‘hard to reach’ groups. Enhancing representation of these groups within the workforce may support engagement and ongoing support for young people who identify as part of ‘hard to reach’ cohorts.</w:t>
            </w:r>
          </w:p>
          <w:p w14:paraId="5B355C05" w14:textId="77777777" w:rsidR="005F30AF" w:rsidRDefault="005F30AF" w:rsidP="00E91E8F">
            <w:pPr>
              <w:pStyle w:val="Tabletext"/>
              <w:ind w:left="360"/>
            </w:pPr>
          </w:p>
          <w:p w14:paraId="4E3A7B68" w14:textId="32466523" w:rsidR="005B315E" w:rsidRPr="00E91E8F" w:rsidDel="00342E34" w:rsidRDefault="005F30AF" w:rsidP="005F30AF">
            <w:pPr>
              <w:pStyle w:val="Tabletext"/>
              <w:ind w:left="360"/>
            </w:pPr>
            <w:r>
              <w:t>L</w:t>
            </w:r>
            <w:r w:rsidR="007B4C2C">
              <w:t>ead agencies and headspace services should draw on PHN needs analyses to prioritise their workforce needs, and implement strategies to diversify the headspace workforce to be representative of the local community and to lead engagement with relevant ‘hard to reach’ groups.</w:t>
            </w:r>
          </w:p>
        </w:tc>
      </w:tr>
    </w:tbl>
    <w:p w14:paraId="28AD7B2B" w14:textId="77777777" w:rsidR="00B10CED" w:rsidRDefault="00B10CED">
      <w:r>
        <w:rPr>
          <w:b/>
          <w:bCs/>
        </w:rPr>
        <w:br w:type="page"/>
      </w:r>
    </w:p>
    <w:tbl>
      <w:tblPr>
        <w:tblStyle w:val="TableGrid"/>
        <w:tblW w:w="9072" w:type="dxa"/>
        <w:tblLook w:val="04A0" w:firstRow="1" w:lastRow="0" w:firstColumn="1" w:lastColumn="0" w:noHBand="0" w:noVBand="1"/>
        <w:tblCaption w:val="Recommended changes to the implementation of the headspace model"/>
        <w:tblDescription w:val="Table 1 has 1 column. It summarises recommendations against key areas of implementation related to the headspace model."/>
      </w:tblPr>
      <w:tblGrid>
        <w:gridCol w:w="9072"/>
      </w:tblGrid>
      <w:tr w:rsidR="00107610" w:rsidRPr="00A828AC" w14:paraId="31660B2F" w14:textId="77777777" w:rsidTr="002730F0">
        <w:tc>
          <w:tcPr>
            <w:tcW w:w="9072" w:type="dxa"/>
            <w:tcBorders>
              <w:top w:val="nil"/>
              <w:left w:val="nil"/>
              <w:bottom w:val="nil"/>
              <w:right w:val="nil"/>
            </w:tcBorders>
            <w:shd w:val="clear" w:color="auto" w:fill="000099"/>
          </w:tcPr>
          <w:p w14:paraId="2E8B4F18" w14:textId="49AA633A" w:rsidR="00107610" w:rsidRPr="00A828AC" w:rsidRDefault="00E63C3D" w:rsidP="00E91E8F">
            <w:pPr>
              <w:pStyle w:val="Tableheading"/>
            </w:pPr>
            <w:r>
              <w:t>Recommendation</w:t>
            </w:r>
            <w:r w:rsidR="00E55C4A">
              <w:t xml:space="preserve"> </w:t>
            </w:r>
            <w:r w:rsidR="00D27CCE">
              <w:t>–</w:t>
            </w:r>
            <w:r w:rsidR="007B4C2C">
              <w:t xml:space="preserve"> </w:t>
            </w:r>
            <w:r w:rsidR="00D27CCE">
              <w:t>Service Integration</w:t>
            </w:r>
            <w:r w:rsidR="00107610" w:rsidRPr="00A828AC">
              <w:t xml:space="preserve"> </w:t>
            </w:r>
          </w:p>
        </w:tc>
      </w:tr>
      <w:tr w:rsidR="00E91E8F" w:rsidRPr="00A828AC" w14:paraId="3A726805" w14:textId="77777777" w:rsidTr="002730F0">
        <w:trPr>
          <w:trHeight w:val="2288"/>
        </w:trPr>
        <w:tc>
          <w:tcPr>
            <w:tcW w:w="9072" w:type="dxa"/>
            <w:tcBorders>
              <w:top w:val="nil"/>
              <w:left w:val="nil"/>
              <w:bottom w:val="nil"/>
              <w:right w:val="nil"/>
            </w:tcBorders>
            <w:shd w:val="clear" w:color="auto" w:fill="AFD7FF"/>
          </w:tcPr>
          <w:p w14:paraId="11CD1E80" w14:textId="4A08AC23" w:rsidR="00E0258E" w:rsidRPr="00E0258E" w:rsidRDefault="00E0258E" w:rsidP="00A72CC4">
            <w:pPr>
              <w:pStyle w:val="Tabletext"/>
              <w:keepNext/>
              <w:numPr>
                <w:ilvl w:val="0"/>
                <w:numId w:val="24"/>
              </w:numPr>
              <w:rPr>
                <w:color w:val="000000"/>
              </w:rPr>
            </w:pPr>
            <w:r w:rsidRPr="00E0258E">
              <w:rPr>
                <w:color w:val="000000"/>
              </w:rPr>
              <w:t>There is a need to further enhance integration with headspace services and local mental health and other service providers. This should build on the current service integration piloting and evaluation activity underway through the IAR and the PHN regional commissioning role.</w:t>
            </w:r>
            <w:r w:rsidR="00CC41C9">
              <w:rPr>
                <w:color w:val="000000"/>
              </w:rPr>
              <w:t xml:space="preserve"> </w:t>
            </w:r>
            <w:r w:rsidR="00CC41C9">
              <w:t>It should also consider the National Agreement, and bilateral agreements developed with each state and territory in relation to specific strategies to support service integration.</w:t>
            </w:r>
          </w:p>
          <w:p w14:paraId="0517C2F6" w14:textId="77777777" w:rsidR="00E0258E" w:rsidRPr="00E0258E" w:rsidRDefault="00E0258E" w:rsidP="00E0258E">
            <w:pPr>
              <w:pStyle w:val="Tabletext"/>
              <w:keepNext/>
              <w:ind w:left="360"/>
              <w:rPr>
                <w:color w:val="000000"/>
              </w:rPr>
            </w:pPr>
          </w:p>
          <w:p w14:paraId="38A203A3" w14:textId="49C084E5" w:rsidR="00E91E8F" w:rsidRPr="00E91E8F" w:rsidRDefault="00E0258E" w:rsidP="005F30AF">
            <w:pPr>
              <w:pStyle w:val="Tabletext"/>
              <w:keepNext/>
              <w:ind w:left="360"/>
              <w:rPr>
                <w:color w:val="000000"/>
              </w:rPr>
            </w:pPr>
            <w:r w:rsidRPr="00E0258E">
              <w:rPr>
                <w:color w:val="000000"/>
              </w:rPr>
              <w:t xml:space="preserve">This would support access to more appropriate initial connections to services for young people and provide greater clarity for referrers locally. It would also support regional service connections and providers’ understanding of services and supports available during and following a young person’s </w:t>
            </w:r>
            <w:r w:rsidR="00710AE8">
              <w:rPr>
                <w:color w:val="000000"/>
              </w:rPr>
              <w:t>episode of care (</w:t>
            </w:r>
            <w:r w:rsidRPr="00E0258E">
              <w:rPr>
                <w:color w:val="000000"/>
              </w:rPr>
              <w:t>EoC</w:t>
            </w:r>
            <w:r w:rsidR="00710AE8">
              <w:rPr>
                <w:color w:val="000000"/>
              </w:rPr>
              <w:t>)</w:t>
            </w:r>
            <w:r w:rsidRPr="00E0258E">
              <w:rPr>
                <w:color w:val="000000"/>
              </w:rPr>
              <w:t xml:space="preserve"> with headspace.</w:t>
            </w:r>
          </w:p>
        </w:tc>
      </w:tr>
    </w:tbl>
    <w:tbl>
      <w:tblPr>
        <w:tblStyle w:val="TableGrid1"/>
        <w:tblW w:w="9072" w:type="dxa"/>
        <w:tblLook w:val="04A0" w:firstRow="1" w:lastRow="0" w:firstColumn="1" w:lastColumn="0" w:noHBand="0" w:noVBand="1"/>
        <w:tblCaption w:val="Recommended changes to the implementation of the headspace model"/>
        <w:tblDescription w:val="Table 1 has 1 column. It summarises recommendations against key areas of implementation related to the headspace model."/>
      </w:tblPr>
      <w:tblGrid>
        <w:gridCol w:w="9072"/>
      </w:tblGrid>
      <w:tr w:rsidR="002730F0" w:rsidRPr="00A828AC" w14:paraId="264F9DF8" w14:textId="77777777" w:rsidTr="003C0B82">
        <w:trPr>
          <w:trHeight w:val="334"/>
        </w:trPr>
        <w:tc>
          <w:tcPr>
            <w:tcW w:w="9072" w:type="dxa"/>
            <w:tcBorders>
              <w:top w:val="nil"/>
              <w:left w:val="nil"/>
              <w:bottom w:val="nil"/>
              <w:right w:val="nil"/>
            </w:tcBorders>
            <w:shd w:val="clear" w:color="auto" w:fill="000099"/>
          </w:tcPr>
          <w:p w14:paraId="369FAA28" w14:textId="77777777" w:rsidR="002730F0" w:rsidRPr="00A828AC" w:rsidRDefault="002730F0" w:rsidP="005212DB">
            <w:pPr>
              <w:pStyle w:val="Tableheading"/>
            </w:pPr>
            <w:r>
              <w:t xml:space="preserve">Recommendation - </w:t>
            </w:r>
            <w:r w:rsidRPr="00A828AC">
              <w:t xml:space="preserve">Governance and Commissioning </w:t>
            </w:r>
          </w:p>
        </w:tc>
      </w:tr>
      <w:tr w:rsidR="002730F0" w:rsidRPr="00E91E8F" w14:paraId="6461BF37" w14:textId="77777777" w:rsidTr="003C0B82">
        <w:trPr>
          <w:trHeight w:val="1792"/>
        </w:trPr>
        <w:tc>
          <w:tcPr>
            <w:tcW w:w="9072" w:type="dxa"/>
            <w:tcBorders>
              <w:top w:val="nil"/>
              <w:left w:val="nil"/>
              <w:bottom w:val="single" w:sz="4" w:space="0" w:color="00338D" w:themeColor="background2"/>
              <w:right w:val="nil"/>
            </w:tcBorders>
            <w:shd w:val="clear" w:color="auto" w:fill="AFD7FF"/>
          </w:tcPr>
          <w:p w14:paraId="576BF9FA" w14:textId="6242DFFC" w:rsidR="003C0B82" w:rsidRPr="003C0B82" w:rsidRDefault="002730F0" w:rsidP="003C0B82">
            <w:pPr>
              <w:pStyle w:val="Tabletext"/>
              <w:numPr>
                <w:ilvl w:val="0"/>
                <w:numId w:val="24"/>
              </w:numPr>
              <w:rPr>
                <w:rFonts w:cs="Calibri"/>
                <w:szCs w:val="20"/>
              </w:rPr>
            </w:pPr>
            <w:r w:rsidRPr="000804B9">
              <w:rPr>
                <w:color w:val="000000"/>
              </w:rPr>
              <w:t xml:space="preserve">This evaluation has identified tension between different stakeholders regarding the agility of the model to address local needs, and constraints on the capacity to tailor headspace services locally. </w:t>
            </w:r>
            <w:r w:rsidRPr="000804B9">
              <w:rPr>
                <w:color w:val="000000"/>
              </w:rPr>
              <w:br/>
            </w:r>
            <w:r w:rsidRPr="000804B9">
              <w:rPr>
                <w:color w:val="000000"/>
              </w:rPr>
              <w:br/>
              <w:t xml:space="preserve">Government should work with PHNs and headspace National to undertake a refresh of roles and responsibilities across the network. This should focus on clarifying the scope of roles in planning, </w:t>
            </w:r>
            <w:r>
              <w:rPr>
                <w:color w:val="000000"/>
              </w:rPr>
              <w:t xml:space="preserve">commissioning, </w:t>
            </w:r>
            <w:r w:rsidRPr="000804B9">
              <w:rPr>
                <w:color w:val="000000"/>
              </w:rPr>
              <w:t>delivering and tailoring headspace services.</w:t>
            </w:r>
          </w:p>
        </w:tc>
      </w:tr>
    </w:tbl>
    <w:tbl>
      <w:tblPr>
        <w:tblStyle w:val="TableGrid"/>
        <w:tblW w:w="9072" w:type="dxa"/>
        <w:tblLook w:val="04A0" w:firstRow="1" w:lastRow="0" w:firstColumn="1" w:lastColumn="0" w:noHBand="0" w:noVBand="1"/>
        <w:tblCaption w:val="Recommended changes to the implementation of the headspace model"/>
        <w:tblDescription w:val="Table 1 has 1 column. It summarises recommendations against key areas of implementation related to the headspace model."/>
      </w:tblPr>
      <w:tblGrid>
        <w:gridCol w:w="9072"/>
      </w:tblGrid>
      <w:tr w:rsidR="003C0B82" w:rsidRPr="00A828AC" w14:paraId="7930A454" w14:textId="77777777" w:rsidTr="005212DB">
        <w:tc>
          <w:tcPr>
            <w:tcW w:w="9072" w:type="dxa"/>
            <w:tcBorders>
              <w:top w:val="single" w:sz="4" w:space="0" w:color="00338D" w:themeColor="background2"/>
              <w:left w:val="nil"/>
              <w:bottom w:val="single" w:sz="4" w:space="0" w:color="00338D" w:themeColor="background2"/>
              <w:right w:val="nil"/>
            </w:tcBorders>
            <w:shd w:val="clear" w:color="auto" w:fill="AFD7FF"/>
          </w:tcPr>
          <w:p w14:paraId="33F4F69D" w14:textId="77777777" w:rsidR="003C0B82" w:rsidRPr="00E91E8F" w:rsidRDefault="003C0B82" w:rsidP="003C0B82">
            <w:pPr>
              <w:pStyle w:val="Tabletext"/>
              <w:numPr>
                <w:ilvl w:val="0"/>
                <w:numId w:val="24"/>
              </w:numPr>
              <w:rPr>
                <w:color w:val="000000"/>
              </w:rPr>
            </w:pPr>
            <w:r w:rsidRPr="00E91E8F">
              <w:rPr>
                <w:color w:val="000000"/>
              </w:rPr>
              <w:t xml:space="preserve">There is a high degree of consistency of service mix across headspace services, with AOD, physical and sexual health and vocational support representing a very low proportion of services provided. Stakeholder feedback has suggested this may not always reflect local or regional need, and that headspace service planning inconsistently draws on PHN needs analyses to inform and update the local headspace service mix of the four core streams. It would be expected, for example, that a region with significant substance misuse issues for young people </w:t>
            </w:r>
            <w:r>
              <w:rPr>
                <w:color w:val="000000"/>
              </w:rPr>
              <w:t>may need</w:t>
            </w:r>
            <w:r w:rsidRPr="00E91E8F">
              <w:rPr>
                <w:color w:val="000000"/>
              </w:rPr>
              <w:t xml:space="preserve"> a greater mix of AOD support services at the local headspace service, or similarly where there are areas with higher rates of chronic health issues in younger populations, physical and sexual health services should be appropriately prioritised.</w:t>
            </w:r>
          </w:p>
          <w:p w14:paraId="57A5C4A4" w14:textId="77777777" w:rsidR="003C0B82" w:rsidRPr="008F08AE" w:rsidRDefault="003C0B82" w:rsidP="003C0B82">
            <w:pPr>
              <w:pStyle w:val="Tabletext"/>
              <w:tabs>
                <w:tab w:val="left" w:pos="357"/>
              </w:tabs>
              <w:ind w:left="360"/>
              <w:rPr>
                <w:color w:val="000000"/>
              </w:rPr>
            </w:pPr>
          </w:p>
          <w:p w14:paraId="0D75BF18" w14:textId="77777777" w:rsidR="003C0B82" w:rsidRPr="000804B9" w:rsidRDefault="003C0B82" w:rsidP="003C0B82">
            <w:pPr>
              <w:pStyle w:val="Tabletext"/>
              <w:tabs>
                <w:tab w:val="left" w:pos="357"/>
              </w:tabs>
              <w:ind w:left="360"/>
              <w:rPr>
                <w:color w:val="000000"/>
              </w:rPr>
            </w:pPr>
            <w:r w:rsidRPr="008F08AE">
              <w:rPr>
                <w:color w:val="000000"/>
              </w:rPr>
              <w:t>Government should consider investing in an implementation refinement project to explore how the PHN local lens could be better used to commission a model consistent with the hMIF that responds to identified regional need. This could allow greater capacity to reflect the PHNs’ local needs analysis and the local service landscape, including areas of high need. The project should consider the potential risks of reducing the consistency of costs and outcomes across headspace services and ensure mechanisms are in place to maintain a level of fidelity to core elements of the headspace model.</w:t>
            </w:r>
          </w:p>
        </w:tc>
      </w:tr>
      <w:tr w:rsidR="003C0B82" w:rsidRPr="00A828AC" w14:paraId="1CFF2A0C" w14:textId="77777777" w:rsidTr="005212DB">
        <w:tc>
          <w:tcPr>
            <w:tcW w:w="9072" w:type="dxa"/>
            <w:tcBorders>
              <w:top w:val="single" w:sz="4" w:space="0" w:color="00338D" w:themeColor="background2"/>
              <w:left w:val="nil"/>
              <w:bottom w:val="nil"/>
              <w:right w:val="nil"/>
            </w:tcBorders>
            <w:shd w:val="clear" w:color="auto" w:fill="AFD7FF"/>
          </w:tcPr>
          <w:p w14:paraId="5A1D1596" w14:textId="77777777" w:rsidR="003C0B82" w:rsidRDefault="003C0B82" w:rsidP="003C0B82">
            <w:pPr>
              <w:pStyle w:val="Tabletext"/>
              <w:numPr>
                <w:ilvl w:val="0"/>
                <w:numId w:val="24"/>
              </w:numPr>
            </w:pPr>
            <w:r>
              <w:t xml:space="preserve">Whilst there was overall improvement in mental health outcomes for young people accessing headspace services, reliable improvement and clinically significant change results were lower than expected. This suggests that clinical governance and the quality control of the delivery of evidence-based interventions could be enhanced. </w:t>
            </w:r>
          </w:p>
          <w:p w14:paraId="28D20B10" w14:textId="77777777" w:rsidR="003C0B82" w:rsidRDefault="003C0B82" w:rsidP="003C0B82">
            <w:pPr>
              <w:pStyle w:val="Tabletext"/>
              <w:tabs>
                <w:tab w:val="left" w:pos="357"/>
              </w:tabs>
              <w:ind w:left="360"/>
            </w:pPr>
            <w:r>
              <w:br/>
              <w:t>PHNs should take an active role in ensuring that headspace lead agencies prioritise clinical governance which ensures quality service provision and adherence to evidence-based approaches. With support and monitoring from PHNs, lead agencies should formalise processes to regularly monitor efficacy, performance against outcomes benchmarks and evidence-based approaches, where these are not already in place. This could be achieved through mechanisms such as: ensuring interventions meet recommended practice guidelines; setting and achieving clear benchmarks for outcomes; regularly monitoring service outcomes data; and supporting staff to access focused training and supervision.</w:t>
            </w:r>
          </w:p>
        </w:tc>
      </w:tr>
      <w:tr w:rsidR="003C0B82" w:rsidRPr="00A828AC" w14:paraId="17734911" w14:textId="77777777" w:rsidTr="005212DB">
        <w:tc>
          <w:tcPr>
            <w:tcW w:w="9072" w:type="dxa"/>
            <w:tcBorders>
              <w:top w:val="nil"/>
              <w:left w:val="nil"/>
              <w:bottom w:val="nil"/>
              <w:right w:val="nil"/>
            </w:tcBorders>
            <w:shd w:val="clear" w:color="auto" w:fill="000099"/>
          </w:tcPr>
          <w:p w14:paraId="03FCE1E9" w14:textId="77777777" w:rsidR="003C0B82" w:rsidRPr="00A828AC" w:rsidRDefault="003C0B82" w:rsidP="003C0B82">
            <w:pPr>
              <w:pStyle w:val="Tableheading"/>
              <w:numPr>
                <w:ilvl w:val="0"/>
                <w:numId w:val="6"/>
              </w:numPr>
              <w:tabs>
                <w:tab w:val="left" w:pos="357"/>
              </w:tabs>
            </w:pPr>
            <w:r>
              <w:t xml:space="preserve">Recommendation - </w:t>
            </w:r>
            <w:r w:rsidRPr="00A828AC">
              <w:t>Monitoring and Evaluation</w:t>
            </w:r>
          </w:p>
        </w:tc>
      </w:tr>
      <w:tr w:rsidR="003C0B82" w:rsidRPr="00A828AC" w14:paraId="56834D13" w14:textId="77777777" w:rsidTr="005212DB">
        <w:tc>
          <w:tcPr>
            <w:tcW w:w="9072" w:type="dxa"/>
            <w:tcBorders>
              <w:top w:val="nil"/>
              <w:left w:val="nil"/>
              <w:bottom w:val="single" w:sz="4" w:space="0" w:color="00338D" w:themeColor="background2"/>
              <w:right w:val="nil"/>
            </w:tcBorders>
            <w:shd w:val="clear" w:color="auto" w:fill="AFD7FF"/>
          </w:tcPr>
          <w:p w14:paraId="3CC6C51A" w14:textId="77777777" w:rsidR="003C0B82" w:rsidRDefault="003C0B82" w:rsidP="003C0B82">
            <w:pPr>
              <w:pStyle w:val="Tabletext"/>
              <w:numPr>
                <w:ilvl w:val="0"/>
                <w:numId w:val="24"/>
              </w:numPr>
            </w:pPr>
            <w:r>
              <w:rPr>
                <w:color w:val="000000"/>
              </w:rPr>
              <w:t xml:space="preserve">Despite extensive reporting undertaken across activities within the headspace model, a number of gaps in data collection were identified through the evaluation. Filling these gaps could support better monitoring and evaluation of outcomes associated with the headspace model. </w:t>
            </w:r>
            <w:r>
              <w:rPr>
                <w:color w:val="000000"/>
              </w:rPr>
              <w:br/>
            </w:r>
            <w:r>
              <w:rPr>
                <w:color w:val="000000"/>
              </w:rPr>
              <w:br/>
              <w:t>The following data should be collected by headspace National to inform future evaluation and continuous improvement processes:</w:t>
            </w:r>
          </w:p>
          <w:p w14:paraId="30844B91" w14:textId="77777777" w:rsidR="003C0B82" w:rsidRDefault="003C0B82" w:rsidP="005212DB">
            <w:pPr>
              <w:pStyle w:val="TableBullet1"/>
              <w:tabs>
                <w:tab w:val="clear" w:pos="357"/>
                <w:tab w:val="left" w:pos="883"/>
              </w:tabs>
              <w:ind w:left="741"/>
            </w:pPr>
            <w:r>
              <w:t>outreach and engagement activity data – including activity type, duration, and number of young people participating;</w:t>
            </w:r>
          </w:p>
          <w:p w14:paraId="5E53BA56" w14:textId="77777777" w:rsidR="003C0B82" w:rsidRDefault="003C0B82" w:rsidP="005212DB">
            <w:pPr>
              <w:pStyle w:val="TableBullet1"/>
              <w:tabs>
                <w:tab w:val="clear" w:pos="357"/>
                <w:tab w:val="left" w:pos="883"/>
              </w:tabs>
              <w:ind w:left="741"/>
            </w:pPr>
            <w:r>
              <w:t>outcomes data beyond 90 days post EOC – with a particular focus on episodes involving a single OOS;</w:t>
            </w:r>
          </w:p>
          <w:p w14:paraId="4D206C14" w14:textId="77777777" w:rsidR="003C0B82" w:rsidRDefault="003C0B82" w:rsidP="005212DB">
            <w:pPr>
              <w:pStyle w:val="TableBullet1"/>
              <w:tabs>
                <w:tab w:val="clear" w:pos="357"/>
                <w:tab w:val="left" w:pos="883"/>
              </w:tabs>
              <w:ind w:left="741"/>
            </w:pPr>
            <w:r>
              <w:t>reason for closure data – to differentiate between unplanned exits and planned exits;</w:t>
            </w:r>
          </w:p>
          <w:p w14:paraId="6FDF1840" w14:textId="77777777" w:rsidR="003C0B82" w:rsidRDefault="003C0B82" w:rsidP="005212DB">
            <w:pPr>
              <w:pStyle w:val="TableBullet1"/>
              <w:tabs>
                <w:tab w:val="clear" w:pos="357"/>
                <w:tab w:val="left" w:pos="883"/>
              </w:tabs>
              <w:ind w:left="741"/>
            </w:pPr>
            <w:r>
              <w:t>referral data – service type referred from and to, stage in care at point of referral (e.g., intake, mid-treatment, exit), whether referral onwards was taken up;</w:t>
            </w:r>
          </w:p>
          <w:p w14:paraId="5CB2390C" w14:textId="77777777" w:rsidR="003C0B82" w:rsidRDefault="003C0B82" w:rsidP="005212DB">
            <w:pPr>
              <w:pStyle w:val="TableBullet1"/>
              <w:tabs>
                <w:tab w:val="clear" w:pos="357"/>
                <w:tab w:val="left" w:pos="883"/>
              </w:tabs>
              <w:ind w:left="741"/>
            </w:pPr>
            <w:r>
              <w:t>demographic data – enabling service users to identify as having disability, and to identify as neurodiverse;</w:t>
            </w:r>
          </w:p>
          <w:p w14:paraId="3C436D7B" w14:textId="77777777" w:rsidR="003C0B82" w:rsidRDefault="003C0B82" w:rsidP="005212DB">
            <w:pPr>
              <w:pStyle w:val="TableBullet1"/>
              <w:tabs>
                <w:tab w:val="clear" w:pos="357"/>
                <w:tab w:val="left" w:pos="883"/>
              </w:tabs>
              <w:ind w:left="741" w:hanging="357"/>
            </w:pPr>
            <w:r>
              <w:t xml:space="preserve">funding data – capturing ongoing, in-kind support and specific MBS items claimed through headspace services in hAPI; and </w:t>
            </w:r>
          </w:p>
          <w:p w14:paraId="01CBE5A6" w14:textId="77777777" w:rsidR="003C0B82" w:rsidRDefault="003C0B82" w:rsidP="005212DB">
            <w:pPr>
              <w:pStyle w:val="TableBullet1"/>
              <w:tabs>
                <w:tab w:val="clear" w:pos="357"/>
                <w:tab w:val="left" w:pos="883"/>
              </w:tabs>
              <w:ind w:left="741" w:hanging="357"/>
            </w:pPr>
            <w:r>
              <w:t xml:space="preserve">workforce data – capturing more detailed workforce information including full-time equivalent workforce available and their characteristics. </w:t>
            </w:r>
          </w:p>
          <w:p w14:paraId="0635BC3E" w14:textId="77777777" w:rsidR="003C0B82" w:rsidRPr="00E91E8F" w:rsidRDefault="003C0B82" w:rsidP="003C0B82">
            <w:pPr>
              <w:pStyle w:val="Tabletext"/>
              <w:tabs>
                <w:tab w:val="left" w:pos="357"/>
              </w:tabs>
              <w:ind w:left="384"/>
              <w:rPr>
                <w:color w:val="000000"/>
              </w:rPr>
            </w:pPr>
            <w:r w:rsidRPr="00AE3EF8">
              <w:rPr>
                <w:color w:val="000000"/>
              </w:rPr>
              <w:t xml:space="preserve">The extent to which the needs of young people are being met at an </w:t>
            </w:r>
            <w:r>
              <w:rPr>
                <w:color w:val="000000"/>
              </w:rPr>
              <w:t>area-level</w:t>
            </w:r>
            <w:r w:rsidRPr="00AE3EF8">
              <w:rPr>
                <w:color w:val="000000"/>
              </w:rPr>
              <w:t>, as estimated through PHN local needs analysis, should be considered a priority monitoring activity by PHNs</w:t>
            </w:r>
            <w:r>
              <w:rPr>
                <w:color w:val="000000"/>
              </w:rPr>
              <w:t>.</w:t>
            </w:r>
          </w:p>
        </w:tc>
      </w:tr>
      <w:tr w:rsidR="003C0B82" w:rsidRPr="00A828AC" w14:paraId="34C58C2C" w14:textId="77777777" w:rsidTr="005212DB">
        <w:tc>
          <w:tcPr>
            <w:tcW w:w="9072" w:type="dxa"/>
            <w:tcBorders>
              <w:top w:val="single" w:sz="4" w:space="0" w:color="00338D" w:themeColor="background2"/>
              <w:left w:val="nil"/>
              <w:bottom w:val="single" w:sz="4" w:space="0" w:color="00338D" w:themeColor="background2"/>
              <w:right w:val="nil"/>
            </w:tcBorders>
            <w:shd w:val="clear" w:color="auto" w:fill="AFD7FF"/>
          </w:tcPr>
          <w:p w14:paraId="0630A55E" w14:textId="77777777" w:rsidR="003C0B82" w:rsidRPr="0054278C" w:rsidRDefault="003C0B82" w:rsidP="003C0B82">
            <w:pPr>
              <w:pStyle w:val="Tabletext"/>
              <w:numPr>
                <w:ilvl w:val="0"/>
                <w:numId w:val="24"/>
              </w:numPr>
            </w:pPr>
            <w:r w:rsidRPr="0054278C">
              <w:t xml:space="preserve">While data is collected extensively across activities within the headspace model, the longer term impacts of headspace are not measured. </w:t>
            </w:r>
          </w:p>
          <w:p w14:paraId="1344B8AE" w14:textId="77777777" w:rsidR="003C0B82" w:rsidRDefault="003C0B82" w:rsidP="003C0B82">
            <w:pPr>
              <w:pStyle w:val="Tabletext"/>
              <w:tabs>
                <w:tab w:val="left" w:pos="357"/>
              </w:tabs>
              <w:ind w:left="360"/>
            </w:pPr>
            <w:r>
              <w:rPr>
                <w:color w:val="000000"/>
              </w:rPr>
              <w:br/>
              <w:t xml:space="preserve">Data from headspace should be collected in a way that allows it to be linked to other datasets, so that outcomes over time of young people who access headspace can be better understood when compared to those who do not access headspace. Ethical considerations should also be prioritised, for example to ensure that individuals cannot be identified in the data. </w:t>
            </w:r>
            <w:r w:rsidRPr="00D2134B">
              <w:rPr>
                <w:color w:val="000000"/>
              </w:rPr>
              <w:t>The administrative burden of additional data collection activities for providers and young people accessing headspace should be balanced against the benefits provided through enhanced reporting.</w:t>
            </w:r>
            <w:r>
              <w:rPr>
                <w:color w:val="000000"/>
              </w:rPr>
              <w:t xml:space="preserve"> Linked data sets might include:</w:t>
            </w:r>
          </w:p>
          <w:p w14:paraId="4E6DA129" w14:textId="77777777" w:rsidR="003C0B82" w:rsidRDefault="003C0B82" w:rsidP="005212DB">
            <w:pPr>
              <w:pStyle w:val="TableBullet1"/>
              <w:rPr>
                <w:i/>
                <w:iCs/>
              </w:rPr>
            </w:pPr>
            <w:r>
              <w:t>self-harm hospitalisations;</w:t>
            </w:r>
          </w:p>
          <w:p w14:paraId="5ECC7357" w14:textId="77777777" w:rsidR="003C0B82" w:rsidRDefault="003C0B82" w:rsidP="005212DB">
            <w:pPr>
              <w:pStyle w:val="TableBullet1"/>
            </w:pPr>
            <w:r>
              <w:t>substance abuse hospitalisations;</w:t>
            </w:r>
          </w:p>
          <w:p w14:paraId="6471BB74" w14:textId="77777777" w:rsidR="003C0B82" w:rsidRDefault="003C0B82" w:rsidP="005212DB">
            <w:pPr>
              <w:pStyle w:val="TableBullet1"/>
              <w:rPr>
                <w:i/>
                <w:iCs/>
              </w:rPr>
            </w:pPr>
            <w:r>
              <w:t>suicide deaths;</w:t>
            </w:r>
          </w:p>
          <w:p w14:paraId="7A312BBA" w14:textId="77777777" w:rsidR="003C0B82" w:rsidRDefault="003C0B82" w:rsidP="005212DB">
            <w:pPr>
              <w:pStyle w:val="TableBullet1"/>
            </w:pPr>
            <w:r>
              <w:t>MBS mental health services accessed;</w:t>
            </w:r>
          </w:p>
          <w:p w14:paraId="4B676F90" w14:textId="77777777" w:rsidR="003C0B82" w:rsidRDefault="003C0B82" w:rsidP="005212DB">
            <w:pPr>
              <w:pStyle w:val="TableBullet1"/>
              <w:rPr>
                <w:i/>
                <w:iCs/>
              </w:rPr>
            </w:pPr>
            <w:r>
              <w:t>PBS usage;</w:t>
            </w:r>
          </w:p>
          <w:p w14:paraId="5A2FBDDA" w14:textId="77777777" w:rsidR="003C0B82" w:rsidRDefault="003C0B82" w:rsidP="005212DB">
            <w:pPr>
              <w:pStyle w:val="TableBullet1"/>
            </w:pPr>
            <w:r>
              <w:t>mental health related emergency department presentations;</w:t>
            </w:r>
          </w:p>
          <w:p w14:paraId="74934C87" w14:textId="77777777" w:rsidR="003C0B82" w:rsidRDefault="003C0B82" w:rsidP="005212DB">
            <w:pPr>
              <w:pStyle w:val="TableBullet1"/>
            </w:pPr>
            <w:r>
              <w:t>education and employment outcomes; and</w:t>
            </w:r>
          </w:p>
          <w:p w14:paraId="51EBCC4E" w14:textId="77777777" w:rsidR="003C0B82" w:rsidRDefault="003C0B82" w:rsidP="005212DB">
            <w:pPr>
              <w:pStyle w:val="TableBullet1"/>
            </w:pPr>
            <w:r>
              <w:t>income support use.</w:t>
            </w:r>
          </w:p>
          <w:p w14:paraId="5E09B083" w14:textId="77777777" w:rsidR="003C0B82" w:rsidRPr="007030C3" w:rsidRDefault="003C0B82" w:rsidP="003C0B82">
            <w:pPr>
              <w:pStyle w:val="Tabletext"/>
              <w:tabs>
                <w:tab w:val="left" w:pos="357"/>
              </w:tabs>
              <w:ind w:left="384"/>
              <w:rPr>
                <w:rFonts w:cs="Calibri"/>
                <w:szCs w:val="20"/>
              </w:rPr>
            </w:pPr>
            <w:r w:rsidRPr="00FB2AF5">
              <w:rPr>
                <w:color w:val="000000"/>
              </w:rPr>
              <w:t>Data linkage should be supported by government, and should be complementary to data linkage being conducted under the National Agreement.</w:t>
            </w:r>
          </w:p>
        </w:tc>
      </w:tr>
      <w:tr w:rsidR="003C0B82" w:rsidRPr="00A828AC" w14:paraId="7CFD93C3" w14:textId="77777777" w:rsidTr="005212DB">
        <w:tc>
          <w:tcPr>
            <w:tcW w:w="9072" w:type="dxa"/>
            <w:tcBorders>
              <w:top w:val="single" w:sz="4" w:space="0" w:color="00338D" w:themeColor="background2"/>
              <w:left w:val="nil"/>
              <w:bottom w:val="nil"/>
              <w:right w:val="nil"/>
            </w:tcBorders>
            <w:shd w:val="clear" w:color="auto" w:fill="AFD7FF"/>
          </w:tcPr>
          <w:p w14:paraId="199F541F" w14:textId="77777777" w:rsidR="003C0B82" w:rsidRDefault="003C0B82" w:rsidP="003C0B82">
            <w:pPr>
              <w:pStyle w:val="Tabletext"/>
              <w:numPr>
                <w:ilvl w:val="0"/>
                <w:numId w:val="24"/>
              </w:numPr>
            </w:pPr>
            <w:r>
              <w:rPr>
                <w:color w:val="000000"/>
              </w:rPr>
              <w:t>A number of areas across the headspace program logic could benefit from further evidence to understand the best implementation approach to support improved outcomes for young people.</w:t>
            </w:r>
          </w:p>
          <w:p w14:paraId="106ADE77" w14:textId="77777777" w:rsidR="003C0B82" w:rsidRDefault="003C0B82" w:rsidP="003C0B82">
            <w:pPr>
              <w:pStyle w:val="Tabletext"/>
              <w:tabs>
                <w:tab w:val="left" w:pos="357"/>
              </w:tabs>
            </w:pPr>
          </w:p>
          <w:p w14:paraId="6EE52D5B" w14:textId="77777777" w:rsidR="003C0B82" w:rsidRDefault="003C0B82" w:rsidP="003C0B82">
            <w:pPr>
              <w:pStyle w:val="Tabletext"/>
              <w:tabs>
                <w:tab w:val="left" w:pos="357"/>
              </w:tabs>
              <w:ind w:left="357"/>
            </w:pPr>
            <w:r w:rsidRPr="004F7B8A">
              <w:rPr>
                <w:color w:val="000000"/>
              </w:rPr>
              <w:t>Data linkage should be supplemented by studies using experimental or quasi-experimental designs so that outcomes can be rigorously measured and attributed to headspace. Where this is not achievable through control or comparison group analysis using linked data, government should allocate funding for one-off experimental studies. Priority examples include:</w:t>
            </w:r>
            <w:r>
              <w:rPr>
                <w:color w:val="000000"/>
              </w:rPr>
              <w:t xml:space="preserve"> </w:t>
            </w:r>
          </w:p>
          <w:p w14:paraId="6909E9C0" w14:textId="77777777" w:rsidR="003C0B82" w:rsidRDefault="003C0B82" w:rsidP="005212DB">
            <w:pPr>
              <w:pStyle w:val="TableBullet1"/>
              <w:tabs>
                <w:tab w:val="clear" w:pos="357"/>
              </w:tabs>
              <w:ind w:left="741"/>
            </w:pPr>
            <w:r>
              <w:t>exploring differences between centre and satellite headspace services;</w:t>
            </w:r>
          </w:p>
          <w:p w14:paraId="3C5967F5" w14:textId="77777777" w:rsidR="003C0B82" w:rsidRDefault="003C0B82" w:rsidP="005212DB">
            <w:pPr>
              <w:pStyle w:val="TableBullet1"/>
              <w:tabs>
                <w:tab w:val="clear" w:pos="357"/>
              </w:tabs>
              <w:ind w:left="741"/>
            </w:pPr>
            <w:r>
              <w:t>research into single session interventions, given that approximately 36 per cent of episodes of care have a single OOS, and wait times lead to disengagement of young people before treatment;</w:t>
            </w:r>
          </w:p>
          <w:p w14:paraId="4CF5E97C" w14:textId="77777777" w:rsidR="003C0B82" w:rsidRDefault="003C0B82" w:rsidP="005212DB">
            <w:pPr>
              <w:pStyle w:val="TableBullet1"/>
              <w:tabs>
                <w:tab w:val="clear" w:pos="357"/>
              </w:tabs>
              <w:ind w:left="741"/>
            </w:pPr>
            <w:r>
              <w:t>examining how AOD, physical and sexual health and/or vocational assistance support mental health and wellbeing, both in the short and medium-to-long-term;</w:t>
            </w:r>
          </w:p>
          <w:p w14:paraId="110B1ED4" w14:textId="77777777" w:rsidR="003C0B82" w:rsidRDefault="003C0B82" w:rsidP="005212DB">
            <w:pPr>
              <w:pStyle w:val="TableBullet1"/>
              <w:tabs>
                <w:tab w:val="clear" w:pos="357"/>
              </w:tabs>
              <w:ind w:left="741"/>
            </w:pPr>
            <w:r>
              <w:t>exploring the most appropriate intake and assessment approaches when engaging with Aboriginal and Torres Strait Islander young people;</w:t>
            </w:r>
          </w:p>
          <w:p w14:paraId="72AA6A41" w14:textId="77777777" w:rsidR="003C0B82" w:rsidRDefault="003C0B82" w:rsidP="005212DB">
            <w:pPr>
              <w:pStyle w:val="TableBullet1"/>
              <w:tabs>
                <w:tab w:val="clear" w:pos="357"/>
              </w:tabs>
              <w:ind w:left="741"/>
            </w:pPr>
            <w:r>
              <w:t xml:space="preserve">exploring the most reliable measures of mental health and wellbeing in Aboriginal and Torres Strait Islander young people, for use within headspace; </w:t>
            </w:r>
          </w:p>
          <w:p w14:paraId="0EBB2525" w14:textId="77777777" w:rsidR="003C0B82" w:rsidRDefault="003C0B82" w:rsidP="005212DB">
            <w:pPr>
              <w:pStyle w:val="TableBullet1"/>
              <w:tabs>
                <w:tab w:val="clear" w:pos="357"/>
              </w:tabs>
              <w:ind w:left="741"/>
            </w:pPr>
            <w:r>
              <w:t xml:space="preserve">examining the extent to which young people and families experience more streamlined and less fragmented pathways of care in the medium-term. </w:t>
            </w:r>
          </w:p>
          <w:p w14:paraId="3C8CB4B7" w14:textId="77777777" w:rsidR="003C0B82" w:rsidRPr="00A828AC" w:rsidRDefault="003C0B82" w:rsidP="003C0B82">
            <w:pPr>
              <w:pStyle w:val="Tabletext"/>
              <w:numPr>
                <w:ilvl w:val="0"/>
                <w:numId w:val="6"/>
              </w:numPr>
              <w:tabs>
                <w:tab w:val="left" w:pos="357"/>
              </w:tabs>
            </w:pPr>
            <w:r w:rsidRPr="003D74E7">
              <w:t>Detailed logic documents should be developed to support the collection of appropriate data.</w:t>
            </w:r>
          </w:p>
        </w:tc>
      </w:tr>
    </w:tbl>
    <w:p w14:paraId="29C13CC0" w14:textId="77777777" w:rsidR="00F365E7" w:rsidRDefault="00F365E7" w:rsidP="001268EC">
      <w:pPr>
        <w:pStyle w:val="Source"/>
      </w:pPr>
    </w:p>
    <w:p w14:paraId="43056380" w14:textId="175818EF" w:rsidR="00107610" w:rsidDel="00804E3A" w:rsidRDefault="00107610" w:rsidP="001268EC">
      <w:pPr>
        <w:pStyle w:val="Source"/>
        <w:rPr>
          <w:bCs/>
        </w:rPr>
      </w:pPr>
      <w:r w:rsidDel="00804E3A">
        <w:t>Source: KPMG 2022</w:t>
      </w:r>
    </w:p>
    <w:p w14:paraId="5E290E22" w14:textId="13F083D3" w:rsidR="00BE38C5" w:rsidRPr="002B5997" w:rsidRDefault="005F52ED" w:rsidP="005F52ED">
      <w:pPr>
        <w:pStyle w:val="HeadingLevel4NoNumber"/>
      </w:pPr>
      <w:r>
        <w:t>Recommended c</w:t>
      </w:r>
      <w:r w:rsidR="00BE38C5" w:rsidRPr="002B5997">
        <w:t xml:space="preserve">hanges to current funding arrangements </w:t>
      </w:r>
    </w:p>
    <w:p w14:paraId="7A805A35" w14:textId="161E15CF" w:rsidR="00D60FFD" w:rsidRPr="002B5997" w:rsidRDefault="00AA38A4" w:rsidP="000244E4">
      <w:pPr>
        <w:pStyle w:val="BodyText"/>
        <w:rPr>
          <w:lang w:eastAsia="en-AU"/>
        </w:rPr>
      </w:pPr>
      <w:r>
        <w:rPr>
          <w:lang w:eastAsia="en-AU"/>
        </w:rPr>
        <w:t>S</w:t>
      </w:r>
      <w:r w:rsidR="00D60FFD" w:rsidRPr="002B5997">
        <w:rPr>
          <w:lang w:eastAsia="en-AU"/>
        </w:rPr>
        <w:t xml:space="preserve">ervices are currently funded through a blended funding model, including core grants received from the </w:t>
      </w:r>
      <w:r w:rsidR="00E26016">
        <w:rPr>
          <w:lang w:eastAsia="en-AU"/>
        </w:rPr>
        <w:t>d</w:t>
      </w:r>
      <w:r w:rsidR="00D60FFD" w:rsidRPr="002B5997">
        <w:rPr>
          <w:lang w:eastAsia="en-AU"/>
        </w:rPr>
        <w:t>epartment, through PHNs as the commissioning body, use of MBS billing by practitioners providing supports through headspace services</w:t>
      </w:r>
      <w:r w:rsidR="00E47EB9">
        <w:rPr>
          <w:lang w:eastAsia="en-AU"/>
        </w:rPr>
        <w:t xml:space="preserve"> and other funding sources</w:t>
      </w:r>
      <w:r w:rsidR="00363D7B">
        <w:rPr>
          <w:lang w:eastAsia="en-AU"/>
        </w:rPr>
        <w:t>,</w:t>
      </w:r>
      <w:r w:rsidR="00CD657A">
        <w:rPr>
          <w:lang w:eastAsia="en-AU"/>
        </w:rPr>
        <w:t xml:space="preserve"> including</w:t>
      </w:r>
      <w:r w:rsidR="00FF3C38">
        <w:rPr>
          <w:lang w:eastAsia="en-AU"/>
        </w:rPr>
        <w:t xml:space="preserve"> additional grant or project funding from PHNs</w:t>
      </w:r>
      <w:r w:rsidR="00D60FFD" w:rsidRPr="002B5997">
        <w:rPr>
          <w:lang w:eastAsia="en-AU"/>
        </w:rPr>
        <w:t xml:space="preserve">. </w:t>
      </w:r>
    </w:p>
    <w:p w14:paraId="29118A0F" w14:textId="5E021F83" w:rsidR="00D60FFD" w:rsidRPr="002B5997" w:rsidRDefault="00D60FFD" w:rsidP="000244E4">
      <w:pPr>
        <w:pStyle w:val="BodyText"/>
        <w:rPr>
          <w:lang w:eastAsia="en-AU"/>
        </w:rPr>
      </w:pPr>
      <w:r w:rsidRPr="002B5997">
        <w:rPr>
          <w:lang w:eastAsia="en-AU"/>
        </w:rPr>
        <w:t xml:space="preserve">Currently, there is no specific funding model used to determine the grant contributions made by the </w:t>
      </w:r>
      <w:r w:rsidR="00AA38A4">
        <w:rPr>
          <w:lang w:eastAsia="en-AU"/>
        </w:rPr>
        <w:t xml:space="preserve">Commonwealth </w:t>
      </w:r>
      <w:r w:rsidRPr="002B5997">
        <w:rPr>
          <w:lang w:eastAsia="en-AU"/>
        </w:rPr>
        <w:t>to headspace services. A model was previously used</w:t>
      </w:r>
      <w:r w:rsidR="00110E09" w:rsidRPr="002B5997">
        <w:rPr>
          <w:lang w:eastAsia="en-AU"/>
        </w:rPr>
        <w:t>;</w:t>
      </w:r>
      <w:r w:rsidRPr="002B5997">
        <w:rPr>
          <w:lang w:eastAsia="en-AU"/>
        </w:rPr>
        <w:t xml:space="preserve"> however</w:t>
      </w:r>
      <w:r w:rsidR="00110E09" w:rsidRPr="002B5997">
        <w:rPr>
          <w:lang w:eastAsia="en-AU"/>
        </w:rPr>
        <w:t>,</w:t>
      </w:r>
      <w:r w:rsidRPr="002B5997">
        <w:rPr>
          <w:lang w:eastAsia="en-AU"/>
        </w:rPr>
        <w:t xml:space="preserve"> this has been moved away from in recent years, and all headspace services now receive similar volumes of grant funding</w:t>
      </w:r>
      <w:r w:rsidR="00CA782E">
        <w:rPr>
          <w:lang w:eastAsia="en-AU"/>
        </w:rPr>
        <w:t>, according to the type of headspace service,</w:t>
      </w:r>
      <w:r w:rsidRPr="002B5997">
        <w:rPr>
          <w:lang w:eastAsia="en-AU"/>
        </w:rPr>
        <w:t xml:space="preserve"> with little variation. One-size-fits-all approaches to providing funding to headspace services are not cost-effective, and this is demonstrated by the significant variability in cost</w:t>
      </w:r>
      <w:r w:rsidR="00E91E8F">
        <w:rPr>
          <w:lang w:eastAsia="en-AU"/>
        </w:rPr>
        <w:t>-</w:t>
      </w:r>
      <w:r w:rsidRPr="002B5997">
        <w:rPr>
          <w:lang w:eastAsia="en-AU"/>
        </w:rPr>
        <w:t>effectiveness between individual headspace services</w:t>
      </w:r>
      <w:r w:rsidR="00092A2A">
        <w:rPr>
          <w:lang w:eastAsia="en-AU"/>
        </w:rPr>
        <w:t>.</w:t>
      </w:r>
    </w:p>
    <w:p w14:paraId="20EA1D05" w14:textId="435FF15E" w:rsidR="00D60FFD" w:rsidRPr="002B5997" w:rsidRDefault="00D60FFD" w:rsidP="000244E4">
      <w:pPr>
        <w:pStyle w:val="BodyText"/>
        <w:rPr>
          <w:lang w:eastAsia="en-AU"/>
        </w:rPr>
      </w:pPr>
      <w:r w:rsidRPr="002B5997">
        <w:rPr>
          <w:lang w:eastAsia="en-AU"/>
        </w:rPr>
        <w:t xml:space="preserve">In addition, headspace services have varied success </w:t>
      </w:r>
      <w:r w:rsidR="00363D7B">
        <w:rPr>
          <w:lang w:eastAsia="en-AU"/>
        </w:rPr>
        <w:t xml:space="preserve">in </w:t>
      </w:r>
      <w:r w:rsidRPr="002B5997">
        <w:rPr>
          <w:lang w:eastAsia="en-AU"/>
        </w:rPr>
        <w:t xml:space="preserve">making use of the blended funding model. Some services provide </w:t>
      </w:r>
      <w:r w:rsidR="00AB07FF">
        <w:rPr>
          <w:lang w:eastAsia="en-AU"/>
        </w:rPr>
        <w:t>considerably</w:t>
      </w:r>
      <w:r w:rsidRPr="002B5997">
        <w:rPr>
          <w:lang w:eastAsia="en-AU"/>
        </w:rPr>
        <w:t xml:space="preserve"> more </w:t>
      </w:r>
      <w:r w:rsidR="00264FEE">
        <w:rPr>
          <w:lang w:eastAsia="en-AU"/>
        </w:rPr>
        <w:t>OOS</w:t>
      </w:r>
      <w:r w:rsidRPr="002B5997">
        <w:rPr>
          <w:lang w:eastAsia="en-AU"/>
        </w:rPr>
        <w:t xml:space="preserve"> than </w:t>
      </w:r>
      <w:r w:rsidR="00DF5576">
        <w:rPr>
          <w:lang w:eastAsia="en-AU"/>
        </w:rPr>
        <w:t xml:space="preserve">other </w:t>
      </w:r>
      <w:r w:rsidR="008D4BCA">
        <w:rPr>
          <w:lang w:eastAsia="en-AU"/>
        </w:rPr>
        <w:t>services while receiving similar</w:t>
      </w:r>
      <w:r w:rsidRPr="002B5997">
        <w:rPr>
          <w:lang w:eastAsia="en-AU"/>
        </w:rPr>
        <w:t xml:space="preserve"> grant funding, as a result of MBS-billed services from private practitioners. In other services, a model that relies heavily on MBS</w:t>
      </w:r>
      <w:r w:rsidR="00080644">
        <w:rPr>
          <w:lang w:eastAsia="en-AU"/>
        </w:rPr>
        <w:t xml:space="preserve"> </w:t>
      </w:r>
      <w:r w:rsidRPr="002B5997">
        <w:rPr>
          <w:lang w:eastAsia="en-AU"/>
        </w:rPr>
        <w:t xml:space="preserve">billing is not viable or sustainable as there are local workforce shortages, which impact the ability for these headspace services to deliver MBS-based clinical services. </w:t>
      </w:r>
    </w:p>
    <w:p w14:paraId="4299A026" w14:textId="7F004610" w:rsidR="00D60FFD" w:rsidRDefault="00092A2A" w:rsidP="000244E4">
      <w:pPr>
        <w:pStyle w:val="BodyText"/>
        <w:rPr>
          <w:lang w:eastAsia="en-AU"/>
        </w:rPr>
      </w:pPr>
      <w:r>
        <w:rPr>
          <w:lang w:eastAsia="en-AU"/>
        </w:rPr>
        <w:t>To address these issues,</w:t>
      </w:r>
      <w:r w:rsidR="00D60FFD" w:rsidRPr="002B5997">
        <w:rPr>
          <w:lang w:eastAsia="en-AU"/>
        </w:rPr>
        <w:t xml:space="preserve"> a new funding model should be developed to guide funding for all headspace services moving forward. The funding model should be flexible and </w:t>
      </w:r>
      <w:r w:rsidR="00ED3B32" w:rsidRPr="002B5997">
        <w:rPr>
          <w:lang w:eastAsia="en-AU"/>
        </w:rPr>
        <w:t>consider</w:t>
      </w:r>
      <w:r w:rsidR="00D60FFD" w:rsidRPr="002B5997">
        <w:rPr>
          <w:lang w:eastAsia="en-AU"/>
        </w:rPr>
        <w:t xml:space="preserve"> the individual characteristics of each headspace service.</w:t>
      </w:r>
    </w:p>
    <w:p w14:paraId="6EEF4A07" w14:textId="0E857915" w:rsidR="00092A2A" w:rsidRDefault="00092A2A" w:rsidP="00092A2A">
      <w:pPr>
        <w:pStyle w:val="Caption"/>
      </w:pPr>
      <w:bookmarkStart w:id="19" w:name="_Toc108108952"/>
      <w:r>
        <w:t xml:space="preserve">Table </w:t>
      </w:r>
      <w:r w:rsidR="00CC13E1">
        <w:fldChar w:fldCharType="begin"/>
      </w:r>
      <w:r w:rsidR="00CC13E1">
        <w:instrText>SEQ Table \* ARABIC</w:instrText>
      </w:r>
      <w:r w:rsidR="00CC13E1">
        <w:fldChar w:fldCharType="separate"/>
      </w:r>
      <w:r w:rsidR="00CC0438">
        <w:rPr>
          <w:noProof/>
        </w:rPr>
        <w:t>2</w:t>
      </w:r>
      <w:r w:rsidR="00CC13E1">
        <w:fldChar w:fldCharType="end"/>
      </w:r>
      <w:r>
        <w:t xml:space="preserve">: </w:t>
      </w:r>
      <w:r w:rsidR="00280D06">
        <w:t>R</w:t>
      </w:r>
      <w:r>
        <w:t xml:space="preserve">ecommended changes to </w:t>
      </w:r>
      <w:r w:rsidR="009C017D">
        <w:t>funding for</w:t>
      </w:r>
      <w:r>
        <w:t xml:space="preserve"> the headspace model</w:t>
      </w:r>
      <w:bookmarkEnd w:id="19"/>
    </w:p>
    <w:tbl>
      <w:tblPr>
        <w:tblStyle w:val="TableGrid"/>
        <w:tblW w:w="9071" w:type="dxa"/>
        <w:tblLook w:val="04A0" w:firstRow="1" w:lastRow="0" w:firstColumn="1" w:lastColumn="0" w:noHBand="0" w:noVBand="1"/>
        <w:tblCaption w:val="Recommended changes to the implementation of the headspace model"/>
        <w:tblDescription w:val="Table 2 has 1 column. It summarises the recommendation related to funding of headspace services."/>
      </w:tblPr>
      <w:tblGrid>
        <w:gridCol w:w="9071"/>
      </w:tblGrid>
      <w:tr w:rsidR="008376C0" w:rsidRPr="00A828AC" w14:paraId="1A973768" w14:textId="77777777" w:rsidTr="009D10AC">
        <w:tc>
          <w:tcPr>
            <w:tcW w:w="9071" w:type="dxa"/>
            <w:tcBorders>
              <w:top w:val="nil"/>
              <w:left w:val="nil"/>
              <w:bottom w:val="nil"/>
              <w:right w:val="nil"/>
            </w:tcBorders>
            <w:shd w:val="clear" w:color="auto" w:fill="000099"/>
          </w:tcPr>
          <w:p w14:paraId="26F831B2" w14:textId="4B602AD6" w:rsidR="008376C0" w:rsidRPr="00A828AC" w:rsidRDefault="008376C0" w:rsidP="002730F0">
            <w:pPr>
              <w:pStyle w:val="Tableheading"/>
            </w:pPr>
            <w:r>
              <w:t>Recommendation</w:t>
            </w:r>
            <w:r w:rsidR="00F45E96">
              <w:t xml:space="preserve"> </w:t>
            </w:r>
            <w:r w:rsidR="00280D06">
              <w:t>– Funding Arrangements</w:t>
            </w:r>
          </w:p>
        </w:tc>
      </w:tr>
      <w:tr w:rsidR="00E91E8F" w:rsidRPr="00A828AC" w14:paraId="1EE82916" w14:textId="77777777" w:rsidTr="009D10AC">
        <w:tc>
          <w:tcPr>
            <w:tcW w:w="9071" w:type="dxa"/>
            <w:tcBorders>
              <w:top w:val="nil"/>
              <w:left w:val="nil"/>
              <w:bottom w:val="single" w:sz="4" w:space="0" w:color="00338D" w:themeColor="background2"/>
              <w:right w:val="nil"/>
            </w:tcBorders>
            <w:shd w:val="clear" w:color="auto" w:fill="AFD7FF"/>
          </w:tcPr>
          <w:p w14:paraId="38653D29" w14:textId="28C04257" w:rsidR="00E91E8F" w:rsidRPr="00A828AC" w:rsidRDefault="00E91E8F" w:rsidP="00A72CC4">
            <w:pPr>
              <w:pStyle w:val="Tabletext"/>
              <w:numPr>
                <w:ilvl w:val="0"/>
                <w:numId w:val="24"/>
              </w:numPr>
            </w:pPr>
            <w:r w:rsidRPr="00FE6329">
              <w:rPr>
                <w:color w:val="000000"/>
              </w:rPr>
              <w:t>headspace services do not currently collect or report the full costs of operation, with in-kind contributions and indirect costs not captured under funding agreement requirements. Without accurate data regarding the full costs of operating a headspace service, the cost-effectiveness of the headspace model can only be estimated, as has been done through this evaluation.</w:t>
            </w:r>
            <w:r w:rsidRPr="00FE6329">
              <w:rPr>
                <w:color w:val="000000"/>
              </w:rPr>
              <w:br/>
            </w:r>
            <w:r w:rsidRPr="00FE6329">
              <w:rPr>
                <w:color w:val="000000"/>
              </w:rPr>
              <w:br/>
            </w:r>
            <w:r w:rsidR="00A95262">
              <w:rPr>
                <w:color w:val="000000"/>
              </w:rPr>
              <w:t>Government</w:t>
            </w:r>
            <w:r w:rsidRPr="00FE6329">
              <w:rPr>
                <w:color w:val="000000"/>
              </w:rPr>
              <w:t xml:space="preserve"> should prioritise the collection of full and accurate data to inform a more detailed review of current cost information across all headspace services. This could be done through individual engagement with headspace services, or compulsory survey of all headspace services. This would confirm current costs of delivering the headspace model, including in-kind contributions provided to services and other indirect costs. This would also support the identification of differences in costs for different headspace services based on location, and other service-specific factors. The official count of headspace services should also be revisited to improve clarity of funding arrangements, e.g., the count of headspace services could be updated to reflect the number with a Trade Mark Licence Deed.</w:t>
            </w:r>
          </w:p>
        </w:tc>
      </w:tr>
      <w:tr w:rsidR="00E91E8F" w:rsidRPr="00A828AC" w14:paraId="24EAFBE5" w14:textId="77777777" w:rsidTr="009D10AC">
        <w:tc>
          <w:tcPr>
            <w:tcW w:w="9071" w:type="dxa"/>
            <w:tcBorders>
              <w:top w:val="single" w:sz="4" w:space="0" w:color="00338D" w:themeColor="background2"/>
              <w:left w:val="nil"/>
              <w:bottom w:val="nil"/>
              <w:right w:val="nil"/>
            </w:tcBorders>
            <w:shd w:val="clear" w:color="auto" w:fill="AFD7FF"/>
          </w:tcPr>
          <w:p w14:paraId="19108679" w14:textId="18FB94BA" w:rsidR="00E91E8F" w:rsidRDefault="00E91E8F" w:rsidP="00A72CC4">
            <w:pPr>
              <w:pStyle w:val="Tabletext"/>
              <w:numPr>
                <w:ilvl w:val="0"/>
                <w:numId w:val="24"/>
              </w:numPr>
            </w:pPr>
            <w:r>
              <w:rPr>
                <w:color w:val="000000"/>
              </w:rPr>
              <w:t>While the headspace model is broadly effective in achieving its intended outcomes, a number of areas related to funding are challenging for services providing headspace. Difficulty in attracting and retaining a multi-disciplinary workforce varies across regions, as does the need to undertake extensive community engagement activities with ‘hard to reach’ groups. At the same time, across the headspace services included in this evaluation, the number of O</w:t>
            </w:r>
            <w:r w:rsidR="0065238D">
              <w:rPr>
                <w:color w:val="000000"/>
              </w:rPr>
              <w:t>O</w:t>
            </w:r>
            <w:r>
              <w:rPr>
                <w:color w:val="000000"/>
              </w:rPr>
              <w:t xml:space="preserve">S funded each year varies widely, while funding levels within the core headspace grant are relatively consistent across services. This variation in demand and service provision leads to considerable differences in the estimated economic efficiency across headspace services. </w:t>
            </w:r>
          </w:p>
          <w:p w14:paraId="2A0392F2" w14:textId="77777777" w:rsidR="00E91E8F" w:rsidRDefault="00E91E8F" w:rsidP="00E91E8F">
            <w:pPr>
              <w:pStyle w:val="Tabletext"/>
            </w:pPr>
          </w:p>
          <w:p w14:paraId="66291039" w14:textId="2E033FEA" w:rsidR="00E91E8F" w:rsidRDefault="00646540" w:rsidP="009D10AC">
            <w:pPr>
              <w:pStyle w:val="Tabletext"/>
              <w:ind w:left="360"/>
            </w:pPr>
            <w:r>
              <w:rPr>
                <w:color w:val="000000"/>
              </w:rPr>
              <w:t>Government</w:t>
            </w:r>
            <w:r w:rsidR="00E91E8F">
              <w:rPr>
                <w:color w:val="000000"/>
              </w:rPr>
              <w:t xml:space="preserve"> should develop a variable funding model based on demand and regional need which accounts for differences in location, population and service delivery modes and volumes. This should consider core funding components, such as administrative costs and management costs, as well as more variable cost components which may include:</w:t>
            </w:r>
          </w:p>
          <w:p w14:paraId="1A1F5EBE" w14:textId="77777777" w:rsidR="00E91E8F" w:rsidRDefault="00E91E8F" w:rsidP="009D10AC">
            <w:pPr>
              <w:pStyle w:val="TableBullet1"/>
              <w:tabs>
                <w:tab w:val="clear" w:pos="357"/>
              </w:tabs>
              <w:ind w:left="741"/>
            </w:pPr>
            <w:r>
              <w:t>location of the headspace service, including regionality and areas of workforce shortages, with increased allowance for salaried staff where access to MBS-based staff is challenging;</w:t>
            </w:r>
          </w:p>
          <w:p w14:paraId="40826AB4" w14:textId="77777777" w:rsidR="00E91E8F" w:rsidRDefault="00E91E8F" w:rsidP="009D10AC">
            <w:pPr>
              <w:pStyle w:val="TableBullet1"/>
              <w:tabs>
                <w:tab w:val="clear" w:pos="357"/>
              </w:tabs>
              <w:ind w:left="741"/>
            </w:pPr>
            <w:r>
              <w:t>the size of the population to be supported by the headspace service, including the number of young people within the headspace service catchment and geographically proximate communities to be supported by the service, and associated required service FTE; and</w:t>
            </w:r>
          </w:p>
          <w:p w14:paraId="66444066" w14:textId="77777777" w:rsidR="00E91E8F" w:rsidRDefault="00E91E8F" w:rsidP="009D10AC">
            <w:pPr>
              <w:pStyle w:val="TableBullet1"/>
              <w:tabs>
                <w:tab w:val="clear" w:pos="357"/>
              </w:tabs>
              <w:ind w:left="741"/>
            </w:pPr>
            <w:r>
              <w:t>the headspace service type to be implemented, including whether the service is a headspace centre, satellite service or outreach service.</w:t>
            </w:r>
          </w:p>
          <w:p w14:paraId="11F60999" w14:textId="70A9357D" w:rsidR="00E91E8F" w:rsidRDefault="00E91E8F" w:rsidP="00D715A8">
            <w:pPr>
              <w:pStyle w:val="Tabletext"/>
              <w:ind w:left="384"/>
            </w:pPr>
            <w:r>
              <w:rPr>
                <w:color w:val="000000"/>
              </w:rPr>
              <w:t xml:space="preserve">A separate funding model, or specific element, should be considered for </w:t>
            </w:r>
            <w:r w:rsidR="000A3FEB">
              <w:rPr>
                <w:color w:val="000000"/>
              </w:rPr>
              <w:t>establishment</w:t>
            </w:r>
            <w:r>
              <w:rPr>
                <w:color w:val="000000"/>
              </w:rPr>
              <w:t xml:space="preserve"> costs required </w:t>
            </w:r>
            <w:r w:rsidR="00BA4269">
              <w:rPr>
                <w:color w:val="000000"/>
              </w:rPr>
              <w:t>for</w:t>
            </w:r>
            <w:r>
              <w:rPr>
                <w:color w:val="000000"/>
              </w:rPr>
              <w:t xml:space="preserve"> a new headspace service. </w:t>
            </w:r>
          </w:p>
          <w:p w14:paraId="51CF9DF1" w14:textId="5DC7DDF4" w:rsidR="00E91E8F" w:rsidRPr="00D715A8" w:rsidRDefault="00034DBB" w:rsidP="00D715A8">
            <w:pPr>
              <w:pStyle w:val="Tabletext"/>
              <w:ind w:left="384"/>
            </w:pPr>
            <w:r>
              <w:rPr>
                <w:color w:val="000000"/>
              </w:rPr>
              <w:t>Government</w:t>
            </w:r>
            <w:r w:rsidR="00E91E8F">
              <w:rPr>
                <w:color w:val="000000"/>
              </w:rPr>
              <w:t xml:space="preserve"> should consider how a revised funding model may apply to established services, in addition to new services established going forward. </w:t>
            </w:r>
          </w:p>
        </w:tc>
      </w:tr>
    </w:tbl>
    <w:p w14:paraId="29FAD881" w14:textId="77777777" w:rsidR="008376C0" w:rsidDel="00804E3A" w:rsidRDefault="008376C0" w:rsidP="001268EC">
      <w:pPr>
        <w:pStyle w:val="Source"/>
        <w:rPr>
          <w:bCs/>
        </w:rPr>
      </w:pPr>
      <w:r w:rsidRPr="00092A2A" w:rsidDel="00804E3A">
        <w:t>Source: KPMG 2022</w:t>
      </w:r>
    </w:p>
    <w:p w14:paraId="45F04D0E" w14:textId="77777777" w:rsidR="002B5997" w:rsidRPr="005F52ED" w:rsidRDefault="002B5997" w:rsidP="005F52ED">
      <w:pPr>
        <w:pStyle w:val="HeadingLevel4NoNumber"/>
      </w:pPr>
      <w:r w:rsidRPr="005F52ED">
        <w:t>Broader system changes required</w:t>
      </w:r>
    </w:p>
    <w:p w14:paraId="2EC8FB23" w14:textId="5C387CEB" w:rsidR="002B5997" w:rsidRDefault="002B5997" w:rsidP="000244E4">
      <w:pPr>
        <w:pStyle w:val="BodyText"/>
      </w:pPr>
      <w:r w:rsidRPr="002B5997">
        <w:t xml:space="preserve">There are also a range of broader system-level changes that </w:t>
      </w:r>
      <w:r w:rsidR="00474F31">
        <w:t>are currently</w:t>
      </w:r>
      <w:r w:rsidR="00DB4145">
        <w:t xml:space="preserve"> underway across sectors</w:t>
      </w:r>
      <w:r w:rsidRPr="002B5997">
        <w:t xml:space="preserve"> that would support headspace to meet its objectives going forward. These factors are not within the remit of individual headspace services, or the headspace program overall</w:t>
      </w:r>
      <w:r w:rsidR="00363D7B">
        <w:t>,</w:t>
      </w:r>
      <w:r w:rsidRPr="002B5997">
        <w:t xml:space="preserve"> to control but would benefit headspace as part of the broader mental health service system.</w:t>
      </w:r>
      <w:r w:rsidR="005F52ED">
        <w:t xml:space="preserve"> These changes in</w:t>
      </w:r>
      <w:r w:rsidR="00AE59AF">
        <w:t>clude</w:t>
      </w:r>
      <w:r w:rsidR="005F52ED">
        <w:t>:</w:t>
      </w:r>
    </w:p>
    <w:p w14:paraId="6F573A84" w14:textId="643CEB10" w:rsidR="002B5997" w:rsidRPr="002B5997" w:rsidRDefault="000C035D" w:rsidP="00DD0A39">
      <w:pPr>
        <w:pStyle w:val="Bullet1stlevel"/>
      </w:pPr>
      <w:r>
        <w:t>i</w:t>
      </w:r>
      <w:r w:rsidR="00BB4DD6">
        <w:t>ncreased</w:t>
      </w:r>
      <w:r w:rsidR="002B5997" w:rsidRPr="002B5997">
        <w:t xml:space="preserve"> prevention </w:t>
      </w:r>
      <w:r w:rsidR="00BB4DD6">
        <w:t xml:space="preserve">and early intervention </w:t>
      </w:r>
      <w:r w:rsidR="002B5997" w:rsidRPr="002B5997">
        <w:t>services</w:t>
      </w:r>
      <w:r>
        <w:t>;</w:t>
      </w:r>
    </w:p>
    <w:p w14:paraId="66459863" w14:textId="1012A5B3" w:rsidR="002B5997" w:rsidRPr="002B5997" w:rsidRDefault="000C035D" w:rsidP="00DD0A39">
      <w:pPr>
        <w:pStyle w:val="Bullet1stlevel"/>
      </w:pPr>
      <w:r>
        <w:t>i</w:t>
      </w:r>
      <w:r w:rsidR="00BB4DD6">
        <w:t>mpro</w:t>
      </w:r>
      <w:r w:rsidR="00086A45">
        <w:t>ved service integration and pathways</w:t>
      </w:r>
      <w:r>
        <w:t>; and</w:t>
      </w:r>
    </w:p>
    <w:p w14:paraId="0A3D1383" w14:textId="366B722F" w:rsidR="002B5997" w:rsidRPr="002B5997" w:rsidRDefault="000C035D" w:rsidP="00DD0A39">
      <w:pPr>
        <w:pStyle w:val="Bullet1stlevel"/>
      </w:pPr>
      <w:r>
        <w:t>d</w:t>
      </w:r>
      <w:r w:rsidR="002B5997" w:rsidRPr="002B5997">
        <w:t>evelopment of national mental health workforce</w:t>
      </w:r>
      <w:r w:rsidR="00740EE1">
        <w:t>.</w:t>
      </w:r>
      <w:r w:rsidR="002B5997" w:rsidRPr="002B5997">
        <w:t xml:space="preserve"> </w:t>
      </w:r>
    </w:p>
    <w:p w14:paraId="7F5F1ACE" w14:textId="051C5FC4" w:rsidR="006E0B86" w:rsidRDefault="00DA2992" w:rsidP="00DA2992">
      <w:pPr>
        <w:pStyle w:val="HeadingLevel2NoNumber"/>
      </w:pPr>
      <w:r w:rsidRPr="00DA2992">
        <w:t>In conclusion</w:t>
      </w:r>
    </w:p>
    <w:p w14:paraId="6144E9AF" w14:textId="77777777" w:rsidR="00D37C14" w:rsidRPr="00D37C14" w:rsidRDefault="00D37C14" w:rsidP="00D37C14">
      <w:pPr>
        <w:pStyle w:val="BodyText"/>
      </w:pPr>
      <w:r w:rsidRPr="00D37C14">
        <w:t>This evaluation has examined the headspace model across several criteria. A range of data and evidence has been analysed to assess the model's alignment to need and the fidelity of the model in practice, including in terms of take-up and reach of service provision. The effectiveness of the headspace model has been assessed against intermediate outcomes, service system outcomes, user experience outcomes and psychosocial outcomes achieved. The economic value of the headspace model has also been assessed, alongside the model’s ongoing sustainability.</w:t>
      </w:r>
    </w:p>
    <w:p w14:paraId="2BC5B75E" w14:textId="77777777" w:rsidR="00D37C14" w:rsidRPr="00D37C14" w:rsidRDefault="00D37C14" w:rsidP="00D37C14">
      <w:pPr>
        <w:pStyle w:val="BodyText"/>
      </w:pPr>
      <w:r w:rsidRPr="00D37C14">
        <w:t>Through the range of methods and analyses applied, this evaluation concluded that the headspace model provides a comprehensive and complete set of components to address the mental health needs of young people. The model incorporates components which are designed to prevent mental illness, through mental health literacy, early help seeking and stigma reduction, and to treat mental illness whatever the presenting need. While the model is intended to support young people with mild to moderate high-prevalence mental health conditions, through the 'no wrong door' approach and as a result of capacity pressures across the mental health service sector which constrain referral pathways, every young person presenting at a headspace service, including those with more severe mental health conditions, receives support of some kind.</w:t>
      </w:r>
    </w:p>
    <w:p w14:paraId="5B184DFD" w14:textId="77777777" w:rsidR="00D37C14" w:rsidRPr="00D37C14" w:rsidRDefault="00D37C14" w:rsidP="00D37C14">
      <w:pPr>
        <w:pStyle w:val="BodyText"/>
      </w:pPr>
      <w:r w:rsidRPr="00D37C14">
        <w:t>When outcomes are examined, young people from 'hard to reach' groups continue to be less well served through the model, across outcome areas. The model achieves its intended outcomes for the general population of young people across domains, and the cost-effectiveness of direct services provided through the headspace model is on par with established benchmarks on cost-effectiveness ratios. When longer-term benefits are included in analysis, the headspace model may be cost-effective, but more data is required to substantiate this.</w:t>
      </w:r>
    </w:p>
    <w:p w14:paraId="4E74CFA1" w14:textId="77777777" w:rsidR="00D37C14" w:rsidRPr="00D37C14" w:rsidRDefault="00D37C14" w:rsidP="00D37C14">
      <w:pPr>
        <w:pStyle w:val="BodyText"/>
      </w:pPr>
      <w:r w:rsidRPr="00D37C14">
        <w:t xml:space="preserve">While the model is associated with positive psychosocial outcomes for young people, the majority do not see a clinically significant change to their outcomes. In general, associated psychosocial outcomes only become comparable to other psychotherapies once six or more sessions have been accessed. </w:t>
      </w:r>
    </w:p>
    <w:p w14:paraId="0CEB5B5C" w14:textId="4378B879" w:rsidR="00D37C14" w:rsidRPr="00D37C14" w:rsidRDefault="00D37C14" w:rsidP="00D37C14">
      <w:pPr>
        <w:pStyle w:val="BodyText"/>
      </w:pPr>
      <w:r w:rsidRPr="00D37C14">
        <w:t>There are opportunities to improve the efficiency and effectiveness of the model, through targeting the key areas of 'hard to reach’ groups, service integration, governance and commissioning and monitoring and evaluation. Pressures and reforms in the broader mental health services sector currently, and will continue to, affect the headspace model. In its role as a national program to support the mental health and wellbeing of young people, there is an opportunity to greater leverage the headspace platform for broader reform in the sector.</w:t>
      </w:r>
    </w:p>
    <w:p w14:paraId="277A8207" w14:textId="262DFF43" w:rsidR="00571F2E" w:rsidRDefault="00571F2E" w:rsidP="00A72CC4">
      <w:pPr>
        <w:pStyle w:val="Heading1"/>
        <w:numPr>
          <w:ilvl w:val="0"/>
          <w:numId w:val="12"/>
        </w:numPr>
        <w:tabs>
          <w:tab w:val="clear" w:pos="833"/>
          <w:tab w:val="num" w:pos="0"/>
        </w:tabs>
        <w:ind w:left="0" w:firstLine="0"/>
      </w:pPr>
      <w:bookmarkStart w:id="20" w:name="_Ref93477239"/>
      <w:bookmarkStart w:id="21" w:name="_Toc108173969"/>
      <w:r>
        <w:t>Introduction</w:t>
      </w:r>
      <w:bookmarkEnd w:id="20"/>
      <w:bookmarkEnd w:id="21"/>
    </w:p>
    <w:p w14:paraId="4D457C09" w14:textId="6C051476" w:rsidR="00726B12" w:rsidRDefault="000948C5" w:rsidP="00E542A7">
      <w:pPr>
        <w:pStyle w:val="Heading2"/>
      </w:pPr>
      <w:bookmarkStart w:id="22" w:name="_Ref98252001"/>
      <w:bookmarkStart w:id="23" w:name="_Toc108173970"/>
      <w:r>
        <w:t>Evaluating the headspace model</w:t>
      </w:r>
      <w:bookmarkEnd w:id="22"/>
      <w:bookmarkEnd w:id="23"/>
    </w:p>
    <w:p w14:paraId="09469051" w14:textId="77777777" w:rsidR="003B051D" w:rsidRPr="00C57903" w:rsidRDefault="003B051D" w:rsidP="00323219">
      <w:pPr>
        <w:pStyle w:val="Heading3"/>
      </w:pPr>
      <w:r w:rsidRPr="00C57903">
        <w:t>Overview</w:t>
      </w:r>
    </w:p>
    <w:p w14:paraId="595CF82B" w14:textId="0A018792" w:rsidR="002B5EDF" w:rsidRDefault="002B5EDF" w:rsidP="002B5EDF">
      <w:pPr>
        <w:pStyle w:val="BodyText"/>
      </w:pPr>
      <w:r>
        <w:t xml:space="preserve">KPMG and its research partners, the Social Policy Research Centre at the University of New South Wales, and batyr, were commissioned by the Commonwealth Department of Health (the </w:t>
      </w:r>
      <w:r w:rsidR="00AD07B5">
        <w:t>d</w:t>
      </w:r>
      <w:r>
        <w:t xml:space="preserve">epartment) to evaluate the national headspace program, as delivered through headspace services. </w:t>
      </w:r>
    </w:p>
    <w:p w14:paraId="2B2CDF2D" w14:textId="581A95E8" w:rsidR="004F3D93" w:rsidRPr="003E030C" w:rsidRDefault="004F3D93" w:rsidP="00682DA9">
      <w:pPr>
        <w:pStyle w:val="BodyText"/>
      </w:pPr>
      <w:r w:rsidRPr="001D6913">
        <w:t xml:space="preserve">The </w:t>
      </w:r>
      <w:r w:rsidR="00B33AFD">
        <w:t xml:space="preserve">headspace </w:t>
      </w:r>
      <w:r w:rsidR="00E30293">
        <w:t>program</w:t>
      </w:r>
      <w:r w:rsidR="00EE71EC">
        <w:t xml:space="preserve"> </w:t>
      </w:r>
      <w:r w:rsidRPr="001D6913">
        <w:t>has been evaluated twice before, in 2009 and 2015. The current evaluation</w:t>
      </w:r>
      <w:r w:rsidR="00AD07B5">
        <w:t> –</w:t>
      </w:r>
      <w:r>
        <w:t xml:space="preserve"> the subject of this report</w:t>
      </w:r>
      <w:r w:rsidR="006412A5">
        <w:t xml:space="preserve"> </w:t>
      </w:r>
      <w:r w:rsidR="00AD07B5">
        <w:t>–</w:t>
      </w:r>
      <w:r w:rsidRPr="001D6913">
        <w:t xml:space="preserve"> seeks to build on these prior analyses to explore how the </w:t>
      </w:r>
      <w:r w:rsidR="006B37DC">
        <w:t>model</w:t>
      </w:r>
      <w:r w:rsidRPr="001D6913">
        <w:t xml:space="preserve"> operates </w:t>
      </w:r>
      <w:r w:rsidR="00AD07B5">
        <w:t>currently</w:t>
      </w:r>
      <w:r w:rsidRPr="001D6913">
        <w:t xml:space="preserve">, and the impact of ongoing changes in its </w:t>
      </w:r>
      <w:r w:rsidR="006B37DC">
        <w:t>design</w:t>
      </w:r>
      <w:r w:rsidRPr="001D6913">
        <w:t>, reach and priorities on the availability of high</w:t>
      </w:r>
      <w:r w:rsidR="007E7F8C">
        <w:noBreakHyphen/>
      </w:r>
      <w:r w:rsidRPr="001D6913">
        <w:t xml:space="preserve">quality, effective mental health care for young Australians. </w:t>
      </w:r>
    </w:p>
    <w:p w14:paraId="750EEDCF" w14:textId="5CB7F9F3" w:rsidR="003B051D" w:rsidRPr="003877A9" w:rsidRDefault="003460C1" w:rsidP="003B051D">
      <w:pPr>
        <w:pStyle w:val="BodyText"/>
      </w:pPr>
      <w:r>
        <w:t xml:space="preserve">Funding for </w:t>
      </w:r>
      <w:r w:rsidRPr="001D6913">
        <w:t xml:space="preserve">headspace </w:t>
      </w:r>
      <w:r>
        <w:t xml:space="preserve">services and supports has </w:t>
      </w:r>
      <w:r w:rsidRPr="001D6913">
        <w:t>grow</w:t>
      </w:r>
      <w:r>
        <w:t xml:space="preserve">n as mental health investment has been prioritised in recent years by the Australian Government. </w:t>
      </w:r>
      <w:r w:rsidR="0049571C">
        <w:t xml:space="preserve">In this context, </w:t>
      </w:r>
      <w:r w:rsidR="003B051D" w:rsidRPr="003877A9">
        <w:t>evaluatin</w:t>
      </w:r>
      <w:r w:rsidR="006B1723">
        <w:t>g the model</w:t>
      </w:r>
      <w:r w:rsidR="003B051D" w:rsidRPr="003877A9">
        <w:t xml:space="preserve"> represent</w:t>
      </w:r>
      <w:r w:rsidR="006B1723">
        <w:t>s</w:t>
      </w:r>
      <w:r w:rsidR="003B051D" w:rsidRPr="003877A9">
        <w:t xml:space="preserve"> an important opportunity to take stock of what is being delivered at individual </w:t>
      </w:r>
      <w:r w:rsidR="003B051D">
        <w:t>services</w:t>
      </w:r>
      <w:r w:rsidR="003B051D" w:rsidRPr="003877A9">
        <w:t xml:space="preserve"> and across the headspace network, and how this aligns with the core intent and expectations of the headspace program.</w:t>
      </w:r>
    </w:p>
    <w:p w14:paraId="58C619E8" w14:textId="128E24D2" w:rsidR="003B051D" w:rsidRDefault="74AD333B" w:rsidP="003B051D">
      <w:pPr>
        <w:pStyle w:val="BodyText"/>
      </w:pPr>
      <w:r>
        <w:t>This</w:t>
      </w:r>
      <w:r w:rsidR="003B051D" w:rsidRPr="00C37696">
        <w:t xml:space="preserve"> evaluation focused on </w:t>
      </w:r>
      <w:r w:rsidR="003B051D" w:rsidRPr="00A01B01">
        <w:t>headspace</w:t>
      </w:r>
      <w:r w:rsidR="003B051D" w:rsidRPr="00C37696">
        <w:t xml:space="preserve"> service</w:t>
      </w:r>
      <w:r w:rsidR="00F5257E">
        <w:t xml:space="preserve"> provision</w:t>
      </w:r>
      <w:r w:rsidR="003B051D" w:rsidRPr="00C37696">
        <w:t xml:space="preserve">, as provided in </w:t>
      </w:r>
      <w:r w:rsidR="003B051D">
        <w:t>individual services</w:t>
      </w:r>
      <w:r w:rsidR="003B051D" w:rsidRPr="00C37696">
        <w:t xml:space="preserve"> around Australia</w:t>
      </w:r>
      <w:r w:rsidR="003B051D">
        <w:t xml:space="preserve">, </w:t>
      </w:r>
      <w:r>
        <w:t>during</w:t>
      </w:r>
      <w:r w:rsidR="003B051D">
        <w:t xml:space="preserve"> the period from July 2015 to end of June 2020.</w:t>
      </w:r>
      <w:r w:rsidR="003B051D" w:rsidRPr="00C37696">
        <w:t xml:space="preserve"> </w:t>
      </w:r>
      <w:r w:rsidR="003B051D">
        <w:t xml:space="preserve">Several aspects of the broader program were explicitly out of scope, including the operations and performance of headspace National and </w:t>
      </w:r>
      <w:r w:rsidR="003B051D" w:rsidRPr="00A01B01">
        <w:t>eheadspace</w:t>
      </w:r>
      <w:r w:rsidR="003B051D">
        <w:t>. Other programs were also excluded from this evaluation, including the Individual Placement Support</w:t>
      </w:r>
      <w:r w:rsidR="00080644">
        <w:t xml:space="preserve"> (IPS)</w:t>
      </w:r>
      <w:r w:rsidR="003B051D">
        <w:t xml:space="preserve"> trial funded by the Department of Social Services</w:t>
      </w:r>
      <w:r w:rsidR="009C632E">
        <w:t xml:space="preserve"> (DSS)</w:t>
      </w:r>
      <w:r w:rsidR="003B051D">
        <w:t xml:space="preserve">, and the Early Psychosis Youth Services (EPYS) Program provided at selected </w:t>
      </w:r>
      <w:r w:rsidR="003B051D" w:rsidRPr="00A01B01">
        <w:t>headspace</w:t>
      </w:r>
      <w:r w:rsidR="003B051D">
        <w:t xml:space="preserve"> services. These initiatives have been the subject of separate evaluations.</w:t>
      </w:r>
    </w:p>
    <w:p w14:paraId="42DCAEED" w14:textId="3FF0C67C" w:rsidR="003B051D" w:rsidRDefault="003B051D" w:rsidP="003B051D">
      <w:pPr>
        <w:pStyle w:val="BodyText"/>
      </w:pPr>
      <w:r>
        <w:t>It should also be noted that</w:t>
      </w:r>
      <w:r w:rsidR="009476EE">
        <w:t>,</w:t>
      </w:r>
      <w:r>
        <w:t xml:space="preserve"> while the evaluation primarily considered the period from </w:t>
      </w:r>
      <w:r w:rsidR="00080644">
        <w:t xml:space="preserve">1 </w:t>
      </w:r>
      <w:r>
        <w:t xml:space="preserve">July 2015 to </w:t>
      </w:r>
      <w:r w:rsidR="00080644">
        <w:t xml:space="preserve">30 </w:t>
      </w:r>
      <w:r>
        <w:t xml:space="preserve">June 2020, there were challenges associated with ensuring all stakeholders relate their views only to this period. Stakeholders, who are </w:t>
      </w:r>
      <w:r w:rsidR="74AD333B">
        <w:t>described</w:t>
      </w:r>
      <w:r>
        <w:t xml:space="preserve"> in more detail in </w:t>
      </w:r>
      <w:r w:rsidR="004B3931">
        <w:fldChar w:fldCharType="begin" w:fldLock="1"/>
      </w:r>
      <w:r w:rsidR="004B3931">
        <w:instrText xml:space="preserve"> REF _Ref97900293 \w \h </w:instrText>
      </w:r>
      <w:r w:rsidR="004B3931">
        <w:fldChar w:fldCharType="separate"/>
      </w:r>
      <w:r w:rsidR="00AE4D34">
        <w:t>Appendix A</w:t>
      </w:r>
      <w:r w:rsidR="004B3931">
        <w:fldChar w:fldCharType="end"/>
      </w:r>
      <w:r>
        <w:t xml:space="preserve">, were engaged following ethics approval for the evaluation being granted in May 2021 through to December 2021. There may be differences between these views and the data captured through headspace services between </w:t>
      </w:r>
      <w:r w:rsidR="00080644">
        <w:t xml:space="preserve">1 </w:t>
      </w:r>
      <w:r>
        <w:t>July</w:t>
      </w:r>
      <w:r w:rsidR="00A35238">
        <w:t xml:space="preserve"> </w:t>
      </w:r>
      <w:r>
        <w:t xml:space="preserve">2015 and </w:t>
      </w:r>
      <w:r w:rsidR="00080644">
        <w:t xml:space="preserve">30 </w:t>
      </w:r>
      <w:r>
        <w:t>Jun</w:t>
      </w:r>
      <w:r w:rsidR="0032059A">
        <w:t>e</w:t>
      </w:r>
      <w:r>
        <w:t xml:space="preserve"> 2020.</w:t>
      </w:r>
    </w:p>
    <w:p w14:paraId="272F852D" w14:textId="77777777" w:rsidR="003B051D" w:rsidRPr="00086157" w:rsidRDefault="003B051D" w:rsidP="00323219">
      <w:pPr>
        <w:pStyle w:val="Heading3"/>
      </w:pPr>
      <w:r>
        <w:t>Current environment impacting the evaluation</w:t>
      </w:r>
    </w:p>
    <w:p w14:paraId="6514E956" w14:textId="2EC99EE4" w:rsidR="003B051D" w:rsidRDefault="003B051D" w:rsidP="003B051D">
      <w:pPr>
        <w:pStyle w:val="BodyText"/>
      </w:pPr>
      <w:r>
        <w:t xml:space="preserve">It is also important to consider the context in which this evaluation was completed. The period between </w:t>
      </w:r>
      <w:r w:rsidRPr="001D6913">
        <w:t>2020</w:t>
      </w:r>
      <w:r>
        <w:t xml:space="preserve"> and </w:t>
      </w:r>
      <w:r w:rsidRPr="001D6913">
        <w:t>2022</w:t>
      </w:r>
      <w:r>
        <w:t xml:space="preserve"> was impacted by a range of factors</w:t>
      </w:r>
      <w:r w:rsidR="00B371D6">
        <w:t>,</w:t>
      </w:r>
      <w:r w:rsidR="00FB2CEA">
        <w:t xml:space="preserve"> including</w:t>
      </w:r>
      <w:r w:rsidR="00B371D6">
        <w:t xml:space="preserve"> </w:t>
      </w:r>
      <w:r w:rsidR="00FB2CEA">
        <w:t>t</w:t>
      </w:r>
      <w:r w:rsidR="0044217E">
        <w:t>he</w:t>
      </w:r>
      <w:r>
        <w:t xml:space="preserve"> black summer bushfires</w:t>
      </w:r>
      <w:r w:rsidR="00CB0A68">
        <w:t xml:space="preserve"> in 2019-20</w:t>
      </w:r>
      <w:r w:rsidR="00FB2CEA">
        <w:t>, which</w:t>
      </w:r>
      <w:r>
        <w:t xml:space="preserve"> created increased demand for mental health services. </w:t>
      </w:r>
      <w:r w:rsidR="00FB2CEA">
        <w:t>This was also exacerbated by</w:t>
      </w:r>
      <w:r>
        <w:t xml:space="preserve"> the COVID-19 pandemic</w:t>
      </w:r>
      <w:r w:rsidR="00053BE4">
        <w:t>, which</w:t>
      </w:r>
      <w:r>
        <w:t xml:space="preserve"> has had significant impacts on service delivery, and increased focus on mental health. The evaluation scope was also directly impacted by COVID-19, with the last </w:t>
      </w:r>
      <w:r w:rsidR="00E20A42">
        <w:t>four</w:t>
      </w:r>
      <w:r>
        <w:t xml:space="preserve"> months of the evaluation period from March 2020 to June 2020 </w:t>
      </w:r>
      <w:r w:rsidR="005A6CEC">
        <w:t xml:space="preserve">being </w:t>
      </w:r>
      <w:r>
        <w:t>part of Australia’s first pandemic wave, with lockdowns and restrictions in place. During this period, services including headspace services, were required to shift service modalities to provide telehealth and virtual services. In addition, the number of occasions of service delivered by headspace may also have been impacted, with fewer young people able to access services.</w:t>
      </w:r>
    </w:p>
    <w:p w14:paraId="6E4867D9" w14:textId="514BC483" w:rsidR="003B051D" w:rsidRDefault="003B051D" w:rsidP="003006A8">
      <w:pPr>
        <w:pStyle w:val="BodyText"/>
      </w:pPr>
      <w:r w:rsidRPr="001D6913">
        <w:t xml:space="preserve">Since the opening of the first headspace </w:t>
      </w:r>
      <w:r w:rsidR="006C479E">
        <w:t>service</w:t>
      </w:r>
      <w:r w:rsidRPr="001D6913">
        <w:t xml:space="preserve"> in 2007, there has </w:t>
      </w:r>
      <w:r>
        <w:t xml:space="preserve">also </w:t>
      </w:r>
      <w:r w:rsidRPr="001D6913">
        <w:t>been broader sector reform. Some of the significant recent changes</w:t>
      </w:r>
      <w:r w:rsidR="00DF5614">
        <w:t xml:space="preserve"> and developments</w:t>
      </w:r>
      <w:r w:rsidRPr="001D6913">
        <w:t xml:space="preserve"> include</w:t>
      </w:r>
      <w:r>
        <w:t>:</w:t>
      </w:r>
    </w:p>
    <w:p w14:paraId="6AC4E757" w14:textId="78C44B06" w:rsidR="003B051D" w:rsidRPr="008904CE" w:rsidRDefault="003B051D" w:rsidP="003B051D">
      <w:pPr>
        <w:pStyle w:val="Bullet1stlevel"/>
      </w:pPr>
      <w:r w:rsidRPr="001D6913">
        <w:rPr>
          <w:lang w:eastAsia="en-AU"/>
        </w:rPr>
        <w:t xml:space="preserve">the </w:t>
      </w:r>
      <w:r w:rsidRPr="008904CE">
        <w:t>establishment of the National Mental Health Commission (2012) and its review of mental health services in 2015</w:t>
      </w:r>
      <w:r w:rsidR="00260ED9">
        <w:t>;</w:t>
      </w:r>
    </w:p>
    <w:p w14:paraId="5B7D8D91" w14:textId="772C5056" w:rsidR="003B051D" w:rsidRPr="008904CE" w:rsidRDefault="003B051D" w:rsidP="003B051D">
      <w:pPr>
        <w:pStyle w:val="Bullet1stlevel"/>
      </w:pPr>
      <w:r w:rsidRPr="008904CE">
        <w:t>the endorsement of the Fifth National Mental Health Plan in 2017, committing all Australian Governments to eight priority areas</w:t>
      </w:r>
      <w:r w:rsidR="00CC0438">
        <w:rPr>
          <w:rFonts w:ascii="ZWAdobeF" w:hAnsi="ZWAdobeF" w:cs="ZWAdobeF"/>
          <w:sz w:val="2"/>
          <w:szCs w:val="2"/>
        </w:rPr>
        <w:t>6F</w:t>
      </w:r>
      <w:r w:rsidRPr="00636277">
        <w:rPr>
          <w:rStyle w:val="FootnoteReference"/>
        </w:rPr>
        <w:footnoteReference w:id="8"/>
      </w:r>
      <w:r w:rsidR="00260ED9">
        <w:t>;</w:t>
      </w:r>
      <w:r w:rsidRPr="008904CE">
        <w:t xml:space="preserve"> </w:t>
      </w:r>
    </w:p>
    <w:p w14:paraId="4DF0618B" w14:textId="64E4C306" w:rsidR="00A778D9" w:rsidRPr="008904CE" w:rsidRDefault="00A778D9" w:rsidP="00A778D9">
      <w:pPr>
        <w:pStyle w:val="Bullet1stlevel"/>
      </w:pPr>
      <w:r w:rsidRPr="008904CE">
        <w:t>the Productivity Commission’s review into Mental Health (with the final report publicly released in November 2020)</w:t>
      </w:r>
      <w:r w:rsidR="00260ED9">
        <w:t>;</w:t>
      </w:r>
    </w:p>
    <w:p w14:paraId="7AACE603" w14:textId="27C32C90" w:rsidR="003B051D" w:rsidRPr="008904CE" w:rsidRDefault="003B051D" w:rsidP="003B051D">
      <w:pPr>
        <w:pStyle w:val="Bullet1stlevel"/>
      </w:pPr>
      <w:r w:rsidRPr="008904CE">
        <w:t>the Victorian Royal Commission into Victoria’s Mental Health System (final report delivered in February 2021)</w:t>
      </w:r>
      <w:r w:rsidR="00260ED9">
        <w:t>;</w:t>
      </w:r>
    </w:p>
    <w:p w14:paraId="32ABBF73" w14:textId="27F3779E" w:rsidR="00A778D9" w:rsidRPr="008904CE" w:rsidRDefault="003B051D" w:rsidP="00A778D9">
      <w:pPr>
        <w:pStyle w:val="Bullet1stlevel"/>
      </w:pPr>
      <w:r w:rsidRPr="008904CE">
        <w:t>the National Mental</w:t>
      </w:r>
      <w:r>
        <w:rPr>
          <w:lang w:eastAsia="en-AU"/>
        </w:rPr>
        <w:t xml:space="preserve"> Health and Suicide Prevention Plan (released in May 2021)</w:t>
      </w:r>
      <w:r w:rsidRPr="001D6913">
        <w:rPr>
          <w:lang w:eastAsia="en-AU"/>
        </w:rPr>
        <w:t xml:space="preserve"> </w:t>
      </w:r>
      <w:r w:rsidR="00A778D9">
        <w:rPr>
          <w:lang w:eastAsia="en-AU"/>
        </w:rPr>
        <w:t xml:space="preserve">and </w:t>
      </w:r>
      <w:r w:rsidR="00A778D9" w:rsidRPr="008904CE">
        <w:t>the work of Australia’s National Suicide Prevention Adviser</w:t>
      </w:r>
      <w:r w:rsidR="00260ED9">
        <w:t>;</w:t>
      </w:r>
    </w:p>
    <w:p w14:paraId="6AE11313" w14:textId="57DCA13B" w:rsidR="00373015" w:rsidRDefault="00373015" w:rsidP="003B051D">
      <w:pPr>
        <w:pStyle w:val="Bullet1stlevel"/>
      </w:pPr>
      <w:r>
        <w:rPr>
          <w:lang w:eastAsia="en-AU"/>
        </w:rPr>
        <w:t>the Select Committee on Mental Health and Suicide Prevention</w:t>
      </w:r>
      <w:r w:rsidR="00EB3118">
        <w:rPr>
          <w:lang w:eastAsia="en-AU"/>
        </w:rPr>
        <w:t xml:space="preserve">’s Inquiry into Mental Health and Suicide Prevention (Final Report released </w:t>
      </w:r>
      <w:r w:rsidR="002D55FC">
        <w:rPr>
          <w:lang w:eastAsia="en-AU"/>
        </w:rPr>
        <w:t xml:space="preserve">in </w:t>
      </w:r>
      <w:r w:rsidR="00EB3118">
        <w:rPr>
          <w:lang w:eastAsia="en-AU"/>
        </w:rPr>
        <w:t>November 2021)</w:t>
      </w:r>
      <w:r w:rsidR="00260ED9">
        <w:rPr>
          <w:lang w:eastAsia="en-AU"/>
        </w:rPr>
        <w:t>; and</w:t>
      </w:r>
    </w:p>
    <w:p w14:paraId="0665B15B" w14:textId="7A12FA7C" w:rsidR="003B051D" w:rsidRDefault="003B051D" w:rsidP="003B051D">
      <w:pPr>
        <w:pStyle w:val="Bullet1stlevel"/>
      </w:pPr>
      <w:r>
        <w:rPr>
          <w:lang w:eastAsia="en-AU"/>
        </w:rPr>
        <w:t>the National Mental Health and Suicide Prevention</w:t>
      </w:r>
      <w:r w:rsidR="002A40FE">
        <w:rPr>
          <w:lang w:eastAsia="en-AU"/>
        </w:rPr>
        <w:t xml:space="preserve"> Agreement</w:t>
      </w:r>
      <w:r w:rsidR="00CC0438">
        <w:rPr>
          <w:rFonts w:ascii="ZWAdobeF" w:hAnsi="ZWAdobeF" w:cs="ZWAdobeF"/>
          <w:sz w:val="2"/>
          <w:szCs w:val="2"/>
          <w:lang w:eastAsia="en-AU"/>
        </w:rPr>
        <w:t>7F</w:t>
      </w:r>
      <w:r w:rsidR="002A40FE">
        <w:rPr>
          <w:rStyle w:val="FootnoteReference"/>
          <w:lang w:eastAsia="en-AU"/>
        </w:rPr>
        <w:footnoteReference w:id="9"/>
      </w:r>
      <w:r>
        <w:rPr>
          <w:lang w:eastAsia="en-AU"/>
        </w:rPr>
        <w:t>.</w:t>
      </w:r>
    </w:p>
    <w:p w14:paraId="0651B705" w14:textId="3C0F0AA2" w:rsidR="003B051D" w:rsidRDefault="003B051D" w:rsidP="003B051D">
      <w:pPr>
        <w:pStyle w:val="BodyText"/>
      </w:pPr>
      <w:r w:rsidRPr="001D6913">
        <w:t xml:space="preserve">These developments in Australia’s mental health landscape are important factors to take into account for this evaluation of </w:t>
      </w:r>
      <w:r w:rsidR="00713F5D">
        <w:t xml:space="preserve">the </w:t>
      </w:r>
      <w:r w:rsidRPr="001D6913">
        <w:t>headspace</w:t>
      </w:r>
      <w:r w:rsidR="00713F5D">
        <w:t xml:space="preserve"> model</w:t>
      </w:r>
      <w:r w:rsidRPr="001D6913">
        <w:t>. At the same time, th</w:t>
      </w:r>
      <w:r>
        <w:t>is</w:t>
      </w:r>
      <w:r w:rsidRPr="001D6913">
        <w:t xml:space="preserve"> evaluation will help inform policy and investment decisions about the future direction of </w:t>
      </w:r>
      <w:r w:rsidR="00713F5D">
        <w:t xml:space="preserve">the </w:t>
      </w:r>
      <w:r w:rsidRPr="001D6913">
        <w:t>headspace</w:t>
      </w:r>
      <w:r w:rsidR="00713F5D">
        <w:t xml:space="preserve"> model</w:t>
      </w:r>
      <w:r w:rsidRPr="001D6913">
        <w:t>. Th</w:t>
      </w:r>
      <w:r>
        <w:t>e evaluation outputs will also</w:t>
      </w:r>
      <w:r w:rsidRPr="001D6913">
        <w:t xml:space="preserve"> feed into the reform agenda shaping mental health service delivery in Australia for the next decade and beyond. </w:t>
      </w:r>
    </w:p>
    <w:p w14:paraId="07E6FA51" w14:textId="6388A064" w:rsidR="003B051D" w:rsidRPr="00CA7FE7" w:rsidRDefault="003B051D" w:rsidP="00323219">
      <w:pPr>
        <w:pStyle w:val="Heading3"/>
      </w:pPr>
      <w:bookmarkStart w:id="24" w:name="_Ref106354921"/>
      <w:r>
        <w:t xml:space="preserve">Evaluation </w:t>
      </w:r>
      <w:r w:rsidR="0068415E">
        <w:t>domains of inquiry</w:t>
      </w:r>
      <w:bookmarkEnd w:id="24"/>
    </w:p>
    <w:p w14:paraId="2424343E" w14:textId="6FBF33AF" w:rsidR="00ED37E5" w:rsidRDefault="003B051D" w:rsidP="00ED37E5">
      <w:pPr>
        <w:pStyle w:val="BodyText"/>
      </w:pPr>
      <w:r>
        <w:t>This evaluation is targeting four domains of inquiry</w:t>
      </w:r>
      <w:r w:rsidR="00B42AF3">
        <w:t>.</w:t>
      </w:r>
      <w:r w:rsidR="00086BC3" w:rsidRPr="00086BC3">
        <w:t xml:space="preserve"> </w:t>
      </w:r>
      <w:r w:rsidR="00086BC3">
        <w:t>For each domain</w:t>
      </w:r>
      <w:r w:rsidR="000A01B7">
        <w:t>,</w:t>
      </w:r>
      <w:r w:rsidR="00B42AF3">
        <w:t xml:space="preserve"> </w:t>
      </w:r>
      <w:r w:rsidR="00086BC3">
        <w:t xml:space="preserve">a range of evaluation questions were specified and have been answered through this evaluation. </w:t>
      </w:r>
      <w:r w:rsidR="00086BC3" w:rsidRPr="003877A9">
        <w:t xml:space="preserve">These questions fall broadly into three categories of </w:t>
      </w:r>
      <w:r w:rsidR="00086BC3">
        <w:t xml:space="preserve">evaluation, </w:t>
      </w:r>
      <w:r w:rsidR="000A01B7">
        <w:t>being</w:t>
      </w:r>
      <w:r w:rsidR="00086BC3">
        <w:t xml:space="preserve"> process evaluation, economic evaluation</w:t>
      </w:r>
      <w:r w:rsidR="003D1E5C">
        <w:t>,</w:t>
      </w:r>
      <w:r w:rsidR="00086BC3">
        <w:t xml:space="preserve"> and outcome evaluation</w:t>
      </w:r>
      <w:r w:rsidR="000A01B7">
        <w:t>,</w:t>
      </w:r>
      <w:r w:rsidR="00086BC3">
        <w:t xml:space="preserve"> using statistical methods </w:t>
      </w:r>
      <w:r w:rsidR="0077092B">
        <w:t>rather than</w:t>
      </w:r>
      <w:r w:rsidR="00086BC3">
        <w:t xml:space="preserve"> an experimental design, which is unfeasible within </w:t>
      </w:r>
      <w:r w:rsidR="0077092B">
        <w:t xml:space="preserve">the </w:t>
      </w:r>
      <w:r w:rsidR="00086BC3">
        <w:t>project timeframes in the absence of pre-existing data linkage arrangements</w:t>
      </w:r>
      <w:r w:rsidR="00086BC3" w:rsidRPr="000E1498">
        <w:t>.</w:t>
      </w:r>
      <w:r w:rsidR="00B42AF3">
        <w:t xml:space="preserve"> </w:t>
      </w:r>
    </w:p>
    <w:p w14:paraId="76389EB0" w14:textId="1B53DDAD" w:rsidR="00A803AD" w:rsidRDefault="00A803AD" w:rsidP="00A803AD">
      <w:pPr>
        <w:pStyle w:val="Caption"/>
        <w:jc w:val="both"/>
      </w:pPr>
      <w:bookmarkStart w:id="25" w:name="_Toc108109190"/>
      <w:r>
        <w:t xml:space="preserve">Figure </w:t>
      </w:r>
      <w:r>
        <w:fldChar w:fldCharType="begin"/>
      </w:r>
      <w:r>
        <w:instrText>SEQ Figure \* ARABIC</w:instrText>
      </w:r>
      <w:r>
        <w:fldChar w:fldCharType="separate"/>
      </w:r>
      <w:r w:rsidR="00CC0438">
        <w:rPr>
          <w:noProof/>
        </w:rPr>
        <w:t>5</w:t>
      </w:r>
      <w:r>
        <w:fldChar w:fldCharType="end"/>
      </w:r>
      <w:r>
        <w:t>: Overview of the evaluation design</w:t>
      </w:r>
      <w:bookmarkEnd w:id="25"/>
      <w:r>
        <w:t xml:space="preserve"> </w:t>
      </w:r>
    </w:p>
    <w:p w14:paraId="1ADD0375" w14:textId="26C2CF06" w:rsidR="00CB547E" w:rsidRPr="00CB547E" w:rsidRDefault="00CB547E" w:rsidP="00CB547E">
      <w:pPr>
        <w:ind w:left="-284"/>
      </w:pPr>
      <w:r>
        <w:rPr>
          <w:noProof/>
        </w:rPr>
        <w:drawing>
          <wp:inline distT="0" distB="0" distL="0" distR="0" wp14:anchorId="42B21AD5" wp14:editId="0AC0EA93">
            <wp:extent cx="6153021" cy="1524000"/>
            <wp:effectExtent l="0" t="0" r="635" b="0"/>
            <wp:docPr id="229" name="Picture 229" descr="Figure 5 summarises the elements of the headspace evaluation design. The first box summarises elements of process evaluation, including understanding headspace through model design and how this aligns to need, and reach and take-up of the model. &#10;The second box summarises elements of the outcomes evaluation, including the effectiveness of headspace in achieving intermediate program outcomes, and clinical outcomes. &#10;The third box summarises elements of the economic evaluation, including a cost utility and cost effectiveness analysis. &#10;The final box summarises the approach to future enhancement, including opportunities for refinement of headspace to improve sustain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Figure 5 summarises the elements of the headspace evaluation design. The first box summarises elements of process evaluation, including understanding headspace through model design and how this aligns to need, and reach and take-up of the model. &#10;The second box summarises elements of the outcomes evaluation, including the effectiveness of headspace in achieving intermediate program outcomes, and clinical outcomes. &#10;The third box summarises elements of the economic evaluation, including a cost utility and cost effectiveness analysis. &#10;The final box summarises the approach to future enhancement, including opportunities for refinement of headspace to improve sustainability.&#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8293" cy="1527783"/>
                    </a:xfrm>
                    <a:prstGeom prst="rect">
                      <a:avLst/>
                    </a:prstGeom>
                    <a:noFill/>
                  </pic:spPr>
                </pic:pic>
              </a:graphicData>
            </a:graphic>
          </wp:inline>
        </w:drawing>
      </w:r>
    </w:p>
    <w:p w14:paraId="17900F34" w14:textId="1E9CDF7C" w:rsidR="00A803AD" w:rsidRPr="003877A9" w:rsidRDefault="00A803AD" w:rsidP="00A803AD">
      <w:pPr>
        <w:pStyle w:val="Source"/>
        <w:rPr>
          <w:bCs/>
        </w:rPr>
      </w:pPr>
      <w:r w:rsidRPr="00341150">
        <w:t>Source: KPMG</w:t>
      </w:r>
      <w:r>
        <w:t xml:space="preserve"> 2022</w:t>
      </w:r>
    </w:p>
    <w:p w14:paraId="7518C13B" w14:textId="0CA3F112" w:rsidR="00ED37E5" w:rsidRDefault="00F24DD5" w:rsidP="00323219">
      <w:pPr>
        <w:pStyle w:val="Heading4"/>
      </w:pPr>
      <w:r>
        <w:t xml:space="preserve">Domain 1: </w:t>
      </w:r>
      <w:r w:rsidR="003B051D" w:rsidRPr="00F92477">
        <w:t>Understanding headspace</w:t>
      </w:r>
    </w:p>
    <w:p w14:paraId="04561097" w14:textId="77777777" w:rsidR="0037797A" w:rsidRDefault="0037797A" w:rsidP="0037797A">
      <w:pPr>
        <w:pStyle w:val="BodyText"/>
      </w:pPr>
      <w:r>
        <w:t xml:space="preserve">This domain of inquiry utilises </w:t>
      </w:r>
      <w:r w:rsidRPr="00AC554C">
        <w:rPr>
          <w:b/>
          <w:bCs/>
        </w:rPr>
        <w:t>process evaluation</w:t>
      </w:r>
      <w:r>
        <w:t xml:space="preserve"> methods, focusing on program design documentation and administrative data and literature review to test </w:t>
      </w:r>
      <w:r w:rsidRPr="00F80BB7">
        <w:rPr>
          <w:i/>
          <w:iCs/>
        </w:rPr>
        <w:t>alignment to need</w:t>
      </w:r>
      <w:r>
        <w:t xml:space="preserve"> and </w:t>
      </w:r>
      <w:r w:rsidRPr="00F80BB7">
        <w:rPr>
          <w:i/>
          <w:iCs/>
        </w:rPr>
        <w:t>model fidelity</w:t>
      </w:r>
      <w:r>
        <w:t xml:space="preserve">. </w:t>
      </w:r>
    </w:p>
    <w:p w14:paraId="5143D869" w14:textId="079ABCAC" w:rsidR="00781653" w:rsidRDefault="002F0A05" w:rsidP="003006A8">
      <w:pPr>
        <w:pStyle w:val="BodyText"/>
      </w:pPr>
      <w:r>
        <w:t>T</w:t>
      </w:r>
      <w:r w:rsidR="00781653">
        <w:t>he following evaluation approach</w:t>
      </w:r>
      <w:r>
        <w:t xml:space="preserve"> was applied</w:t>
      </w:r>
      <w:r w:rsidR="0037797A">
        <w:t>:</w:t>
      </w:r>
    </w:p>
    <w:p w14:paraId="3C5006C9" w14:textId="628FA6BC" w:rsidR="00ED37E5" w:rsidRDefault="00E3193B" w:rsidP="00F8540A">
      <w:pPr>
        <w:pStyle w:val="Bullet1stlevel"/>
      </w:pPr>
      <w:r>
        <w:t>E</w:t>
      </w:r>
      <w:r w:rsidR="002A70D0">
        <w:t>xplor</w:t>
      </w:r>
      <w:r w:rsidR="00FA6CF6">
        <w:t>ing</w:t>
      </w:r>
      <w:r w:rsidR="002A70D0">
        <w:t xml:space="preserve"> the design of the headspace model, a</w:t>
      </w:r>
      <w:r w:rsidR="00815FF5">
        <w:t>nd evaluat</w:t>
      </w:r>
      <w:r w:rsidR="00FA6CF6">
        <w:t>ing</w:t>
      </w:r>
      <w:r w:rsidR="00815FF5">
        <w:t xml:space="preserve"> </w:t>
      </w:r>
      <w:r w:rsidR="00FA6CF6">
        <w:t>t</w:t>
      </w:r>
      <w:r w:rsidR="00815FF5">
        <w:t>he model against the mental health and wellbeing needs of young people in Australia</w:t>
      </w:r>
      <w:r w:rsidR="000816AA">
        <w:t>.</w:t>
      </w:r>
    </w:p>
    <w:p w14:paraId="5020F93F" w14:textId="711932A8" w:rsidR="00ED37E5" w:rsidRDefault="007C09AF" w:rsidP="00F8540A">
      <w:pPr>
        <w:pStyle w:val="Bullet1stlevel"/>
      </w:pPr>
      <w:r>
        <w:t>Detailing the program</w:t>
      </w:r>
      <w:r w:rsidR="00D52CAA">
        <w:t>’s</w:t>
      </w:r>
      <w:r>
        <w:t xml:space="preserve"> reach and take-up over the </w:t>
      </w:r>
      <w:r w:rsidR="00B77783">
        <w:t>five</w:t>
      </w:r>
      <w:r w:rsidR="003D1E5C">
        <w:t>-</w:t>
      </w:r>
      <w:r w:rsidR="00B77783">
        <w:t>year period</w:t>
      </w:r>
      <w:r w:rsidR="00E8140C">
        <w:t>,</w:t>
      </w:r>
      <w:r w:rsidR="00B77783">
        <w:t xml:space="preserve"> </w:t>
      </w:r>
      <w:r w:rsidR="00E8140C">
        <w:t xml:space="preserve">including </w:t>
      </w:r>
      <w:r w:rsidR="00B77783">
        <w:t xml:space="preserve">analysis </w:t>
      </w:r>
      <w:r w:rsidR="002F0A05">
        <w:t xml:space="preserve">of </w:t>
      </w:r>
      <w:r w:rsidR="00B77783">
        <w:t>who accessed support through the headspace model,</w:t>
      </w:r>
      <w:r w:rsidR="00F859A7">
        <w:t xml:space="preserve"> </w:t>
      </w:r>
      <w:r w:rsidR="00B77783">
        <w:t>what support they</w:t>
      </w:r>
      <w:r w:rsidR="002F0A05">
        <w:t xml:space="preserve"> </w:t>
      </w:r>
      <w:r w:rsidR="00B77783">
        <w:t>received and who provided th</w:t>
      </w:r>
      <w:r w:rsidR="00897EE6">
        <w:t>e</w:t>
      </w:r>
      <w:r w:rsidR="00B77783">
        <w:t xml:space="preserve"> support</w:t>
      </w:r>
      <w:r w:rsidR="005D41A5">
        <w:t>.</w:t>
      </w:r>
      <w:r w:rsidR="00F859A7">
        <w:t xml:space="preserve"> </w:t>
      </w:r>
    </w:p>
    <w:p w14:paraId="4770B724" w14:textId="5E4E8526" w:rsidR="00ED37E5" w:rsidRDefault="00CA32FD" w:rsidP="00F8540A">
      <w:pPr>
        <w:pStyle w:val="Bullet1stlevel"/>
      </w:pPr>
      <w:r>
        <w:t>Examining v</w:t>
      </w:r>
      <w:r w:rsidR="00F859A7">
        <w:t xml:space="preserve">ariation in geographical spread and the characteristics of young </w:t>
      </w:r>
      <w:r>
        <w:t>people accessing the service.</w:t>
      </w:r>
    </w:p>
    <w:p w14:paraId="6531769D" w14:textId="77777777" w:rsidR="00ED37E5" w:rsidRDefault="00772207" w:rsidP="00323219">
      <w:pPr>
        <w:pStyle w:val="Heading4"/>
      </w:pPr>
      <w:r>
        <w:t>Domain 2</w:t>
      </w:r>
      <w:r w:rsidRPr="00772207">
        <w:t xml:space="preserve">: </w:t>
      </w:r>
      <w:r w:rsidR="003B051D" w:rsidRPr="00772207">
        <w:t>The effectiveness of headspace in achieving program outcomes</w:t>
      </w:r>
    </w:p>
    <w:p w14:paraId="60A58ED5" w14:textId="77777777" w:rsidR="0037797A" w:rsidRDefault="0037797A" w:rsidP="0037797A">
      <w:pPr>
        <w:pStyle w:val="BodyText"/>
      </w:pPr>
      <w:r>
        <w:t xml:space="preserve">This domain of inquiry utilises </w:t>
      </w:r>
      <w:r w:rsidRPr="00AC554C">
        <w:rPr>
          <w:b/>
          <w:bCs/>
        </w:rPr>
        <w:t>outcome evaluation</w:t>
      </w:r>
      <w:r>
        <w:t xml:space="preserve"> methods, with a ‘pre-post’ design to explore the difference the model makes for young people in each outcome area, looking at a comparison of each outcome before and after they engage with headspace. This domain focuses on the self-reported improvements of young people against each outcome area, service providers’ observations of the model’s success in improving these outcomes, and clinical data reported by service providers and young people as part of accessing the headspace service. </w:t>
      </w:r>
    </w:p>
    <w:p w14:paraId="4A6559CB" w14:textId="77777777" w:rsidR="0037797A" w:rsidRDefault="0037797A" w:rsidP="0037797A">
      <w:pPr>
        <w:pStyle w:val="BodyText"/>
      </w:pPr>
      <w:r>
        <w:t xml:space="preserve">The focus of this domain is to test </w:t>
      </w:r>
      <w:r>
        <w:rPr>
          <w:i/>
          <w:iCs/>
        </w:rPr>
        <w:t xml:space="preserve">effectiveness </w:t>
      </w:r>
      <w:r>
        <w:t xml:space="preserve">of the headspace model. </w:t>
      </w:r>
    </w:p>
    <w:p w14:paraId="03A99DE9" w14:textId="6DC670AD" w:rsidR="00CA32FD" w:rsidRDefault="00627C03" w:rsidP="00EF2E44">
      <w:pPr>
        <w:pStyle w:val="BodyText"/>
        <w:keepNext/>
      </w:pPr>
      <w:r>
        <w:t>T</w:t>
      </w:r>
      <w:r w:rsidR="00CA32FD">
        <w:t>he following evaluation approach</w:t>
      </w:r>
      <w:r>
        <w:t xml:space="preserve"> was applied</w:t>
      </w:r>
      <w:r w:rsidR="0037797A">
        <w:t>:</w:t>
      </w:r>
    </w:p>
    <w:p w14:paraId="3BE4524A" w14:textId="0BE8A276" w:rsidR="00A77E20" w:rsidRDefault="00772207" w:rsidP="003718F1">
      <w:pPr>
        <w:pStyle w:val="Bullet1stlevel"/>
      </w:pPr>
      <w:r>
        <w:t xml:space="preserve">Exploring the evidence that the model achieves </w:t>
      </w:r>
      <w:r w:rsidR="00D3520E">
        <w:t>intermediate outcomes, such as increased mental health litera</w:t>
      </w:r>
      <w:r w:rsidR="005C1D85">
        <w:t xml:space="preserve">cy and early help seeking, </w:t>
      </w:r>
      <w:r w:rsidR="00A77E20">
        <w:t>and increased access to mental health support</w:t>
      </w:r>
      <w:r w:rsidR="00295CB5">
        <w:t>.</w:t>
      </w:r>
    </w:p>
    <w:p w14:paraId="4C8DC1C9" w14:textId="215CADA6" w:rsidR="00772207" w:rsidRDefault="00A77E20" w:rsidP="003718F1">
      <w:pPr>
        <w:pStyle w:val="Bullet1stlevel"/>
      </w:pPr>
      <w:r>
        <w:t>Evaluati</w:t>
      </w:r>
      <w:r w:rsidR="009B664B">
        <w:t xml:space="preserve">ng the extent to which </w:t>
      </w:r>
      <w:r w:rsidR="00ED37E5">
        <w:t>the model achieves its intended outcomes in being</w:t>
      </w:r>
      <w:r w:rsidR="00EF2E44">
        <w:t xml:space="preserve"> appropriate, youth friendly and</w:t>
      </w:r>
      <w:r w:rsidR="00ED37E5">
        <w:t xml:space="preserve"> accessible</w:t>
      </w:r>
      <w:r w:rsidR="00295CB5">
        <w:t>.</w:t>
      </w:r>
    </w:p>
    <w:p w14:paraId="5DEED04A" w14:textId="21A1BB8D" w:rsidR="00435519" w:rsidRDefault="00BD16C8" w:rsidP="00435519">
      <w:pPr>
        <w:pStyle w:val="Bullet1stlevel"/>
      </w:pPr>
      <w:r>
        <w:t xml:space="preserve">Assessing the extent to which </w:t>
      </w:r>
      <w:r w:rsidR="009B664B">
        <w:t>these outcomes apply equally to ‘hard to reach’ groups, comprising young people with demographic characteristics associated with reduced help seeking</w:t>
      </w:r>
      <w:r w:rsidR="005A3414">
        <w:t>,</w:t>
      </w:r>
      <w:r w:rsidR="005C20B0">
        <w:t xml:space="preserve"> </w:t>
      </w:r>
      <w:r w:rsidR="00AD1674">
        <w:t>often due to</w:t>
      </w:r>
      <w:r w:rsidR="00B94902" w:rsidRPr="00B94902">
        <w:t xml:space="preserve"> experiences of stigma</w:t>
      </w:r>
      <w:r w:rsidR="00614FD1">
        <w:t>,</w:t>
      </w:r>
      <w:r w:rsidR="00B94902" w:rsidRPr="00B94902">
        <w:t xml:space="preserve"> discrimination</w:t>
      </w:r>
      <w:r w:rsidR="00CC0438">
        <w:rPr>
          <w:rFonts w:ascii="ZWAdobeF" w:hAnsi="ZWAdobeF" w:cs="ZWAdobeF"/>
          <w:sz w:val="2"/>
          <w:szCs w:val="2"/>
        </w:rPr>
        <w:t>8F</w:t>
      </w:r>
      <w:r w:rsidR="00F941E3">
        <w:rPr>
          <w:rStyle w:val="FootnoteReference"/>
        </w:rPr>
        <w:footnoteReference w:id="10"/>
      </w:r>
      <w:r w:rsidR="004F0034" w:rsidRPr="005F497E">
        <w:rPr>
          <w:vertAlign w:val="superscript"/>
        </w:rPr>
        <w:t>,</w:t>
      </w:r>
      <w:r w:rsidR="00CC0438">
        <w:rPr>
          <w:rFonts w:ascii="ZWAdobeF" w:hAnsi="ZWAdobeF" w:cs="ZWAdobeF"/>
          <w:sz w:val="2"/>
          <w:szCs w:val="2"/>
        </w:rPr>
        <w:t>9F</w:t>
      </w:r>
      <w:r w:rsidR="00F941E3">
        <w:rPr>
          <w:rStyle w:val="FootnoteReference"/>
        </w:rPr>
        <w:footnoteReference w:id="11"/>
      </w:r>
      <w:r w:rsidR="00351141" w:rsidRPr="005F497E">
        <w:rPr>
          <w:vertAlign w:val="superscript"/>
        </w:rPr>
        <w:t>,</w:t>
      </w:r>
      <w:r w:rsidR="00CC0438">
        <w:rPr>
          <w:rFonts w:ascii="ZWAdobeF" w:hAnsi="ZWAdobeF" w:cs="ZWAdobeF"/>
          <w:sz w:val="2"/>
          <w:szCs w:val="2"/>
        </w:rPr>
        <w:t>10F</w:t>
      </w:r>
      <w:r w:rsidR="00351141">
        <w:rPr>
          <w:rStyle w:val="FootnoteReference"/>
        </w:rPr>
        <w:footnoteReference w:id="12"/>
      </w:r>
      <w:r w:rsidR="00614FD1">
        <w:t xml:space="preserve"> and systemic racism</w:t>
      </w:r>
      <w:r w:rsidR="00CC0438">
        <w:rPr>
          <w:rFonts w:ascii="ZWAdobeF" w:hAnsi="ZWAdobeF" w:cs="ZWAdobeF"/>
          <w:sz w:val="2"/>
          <w:szCs w:val="2"/>
        </w:rPr>
        <w:t>11F</w:t>
      </w:r>
      <w:r w:rsidR="00613C6A">
        <w:rPr>
          <w:rStyle w:val="FootnoteReference"/>
        </w:rPr>
        <w:footnoteReference w:id="13"/>
      </w:r>
      <w:r w:rsidR="005C20B0">
        <w:t>.</w:t>
      </w:r>
      <w:r w:rsidR="004429EB">
        <w:t xml:space="preserve"> </w:t>
      </w:r>
      <w:r w:rsidR="00435519">
        <w:t>For this evaluation, ‘hard to reach</w:t>
      </w:r>
      <w:r w:rsidR="0007250B">
        <w:t>’</w:t>
      </w:r>
      <w:r w:rsidR="00435519">
        <w:t xml:space="preserve"> groups include:</w:t>
      </w:r>
    </w:p>
    <w:p w14:paraId="2DB97F3A" w14:textId="0E410F1E" w:rsidR="00435519" w:rsidRDefault="00435519" w:rsidP="00A3674C">
      <w:pPr>
        <w:pStyle w:val="Bullet2ndlevel"/>
      </w:pPr>
      <w:r>
        <w:t>Aboriginal and Torres Strait Islander young people</w:t>
      </w:r>
      <w:r w:rsidR="00295CB5">
        <w:t>;</w:t>
      </w:r>
    </w:p>
    <w:p w14:paraId="40528D77" w14:textId="1DDE64F7" w:rsidR="00435519" w:rsidRDefault="00435519" w:rsidP="00A3674C">
      <w:pPr>
        <w:pStyle w:val="Bullet2ndlevel"/>
      </w:pPr>
      <w:r>
        <w:t>young people from culturally and linguistically diverse backgrounds</w:t>
      </w:r>
      <w:r w:rsidR="00295CB5">
        <w:t>;</w:t>
      </w:r>
    </w:p>
    <w:p w14:paraId="3A09ED51" w14:textId="1A514C55" w:rsidR="00435519" w:rsidRPr="00252DD3" w:rsidRDefault="00435519" w:rsidP="00A3674C">
      <w:pPr>
        <w:pStyle w:val="Bullet2ndlevel"/>
      </w:pPr>
      <w:r w:rsidRPr="00252DD3">
        <w:t>young people who identify as LGBTQIA+</w:t>
      </w:r>
      <w:r w:rsidR="00295CB5">
        <w:t>; and</w:t>
      </w:r>
    </w:p>
    <w:p w14:paraId="29E20329" w14:textId="5114F784" w:rsidR="00435519" w:rsidRPr="005773B2" w:rsidRDefault="00435519" w:rsidP="00A3674C">
      <w:pPr>
        <w:pStyle w:val="Bullet2ndlevel"/>
      </w:pPr>
      <w:r w:rsidRPr="006F1F6D">
        <w:t>young people with disability</w:t>
      </w:r>
      <w:r w:rsidRPr="005773B2">
        <w:t>.</w:t>
      </w:r>
    </w:p>
    <w:p w14:paraId="0EE4C58F" w14:textId="2C4FFF7E" w:rsidR="00B2446A" w:rsidRPr="00B2446A" w:rsidRDefault="00C8423D" w:rsidP="00B2446A">
      <w:pPr>
        <w:pStyle w:val="Bullet1stlevel"/>
      </w:pPr>
      <w:r>
        <w:t xml:space="preserve">Evaluating the extent to which the model is effective in improving pathways to care </w:t>
      </w:r>
      <w:r w:rsidR="005453D1">
        <w:t>for young people</w:t>
      </w:r>
      <w:r w:rsidR="00381917">
        <w:t>.</w:t>
      </w:r>
    </w:p>
    <w:p w14:paraId="6891F8B7" w14:textId="5B1104F8" w:rsidR="005453D1" w:rsidRDefault="0016422B" w:rsidP="003718F1">
      <w:pPr>
        <w:pStyle w:val="Bullet1stlevel"/>
      </w:pPr>
      <w:r>
        <w:t xml:space="preserve">Evaluating the </w:t>
      </w:r>
      <w:r w:rsidR="006F78CD">
        <w:t xml:space="preserve">clinical </w:t>
      </w:r>
      <w:r>
        <w:t xml:space="preserve">evidence that the model is effective in improving mental health and wellbeing </w:t>
      </w:r>
      <w:r w:rsidR="006F78CD">
        <w:t>o</w:t>
      </w:r>
      <w:r>
        <w:t xml:space="preserve">utcomes </w:t>
      </w:r>
      <w:r w:rsidR="006F78CD">
        <w:t xml:space="preserve">for young people. </w:t>
      </w:r>
    </w:p>
    <w:p w14:paraId="1CFD8481" w14:textId="7866EE68" w:rsidR="008474E8" w:rsidRDefault="008474E8" w:rsidP="00853840">
      <w:pPr>
        <w:pStyle w:val="Heading4"/>
      </w:pPr>
      <w:r w:rsidRPr="008474E8">
        <w:t xml:space="preserve">Domain 3: </w:t>
      </w:r>
      <w:r w:rsidR="002112BD">
        <w:t>C</w:t>
      </w:r>
      <w:r w:rsidRPr="008474E8">
        <w:t xml:space="preserve">ost-effectiveness </w:t>
      </w:r>
      <w:r w:rsidR="002112BD">
        <w:t>&amp;</w:t>
      </w:r>
      <w:r w:rsidR="002112BD" w:rsidRPr="008474E8">
        <w:t xml:space="preserve"> </w:t>
      </w:r>
      <w:r w:rsidRPr="008474E8">
        <w:t xml:space="preserve">value </w:t>
      </w:r>
    </w:p>
    <w:p w14:paraId="2CC843BD" w14:textId="77777777" w:rsidR="0037797A" w:rsidRDefault="0037797A" w:rsidP="003006A8">
      <w:pPr>
        <w:pStyle w:val="BodyText"/>
      </w:pPr>
      <w:r>
        <w:t xml:space="preserve">This domain of inquiry utilises </w:t>
      </w:r>
      <w:r w:rsidRPr="00614542">
        <w:rPr>
          <w:b/>
          <w:bCs/>
        </w:rPr>
        <w:t>economic evaluation</w:t>
      </w:r>
      <w:r>
        <w:t xml:space="preserve"> methods and draws on the clinical outcomes analysis conducted in Domain 2, along with cost data estimates obtained through interviews, surveys and analysis of administrative records. </w:t>
      </w:r>
    </w:p>
    <w:p w14:paraId="19DB67C7" w14:textId="77777777" w:rsidR="0037797A" w:rsidRPr="00542A8D" w:rsidRDefault="0037797A" w:rsidP="0037797A">
      <w:pPr>
        <w:pStyle w:val="BodyText"/>
      </w:pPr>
      <w:r>
        <w:t xml:space="preserve">The focus of this domain is to test </w:t>
      </w:r>
      <w:r>
        <w:rPr>
          <w:i/>
          <w:iCs/>
        </w:rPr>
        <w:t xml:space="preserve">value </w:t>
      </w:r>
      <w:r>
        <w:t xml:space="preserve">of the headspace model. </w:t>
      </w:r>
    </w:p>
    <w:p w14:paraId="1DCB03AD" w14:textId="47797F7D" w:rsidR="008474E8" w:rsidRPr="008474E8" w:rsidRDefault="00627C03" w:rsidP="003006A8">
      <w:pPr>
        <w:pStyle w:val="BodyText"/>
      </w:pPr>
      <w:r>
        <w:t>T</w:t>
      </w:r>
      <w:r w:rsidR="008474E8">
        <w:t>he following evaluation approach</w:t>
      </w:r>
      <w:r>
        <w:t xml:space="preserve"> was applied</w:t>
      </w:r>
      <w:r w:rsidR="0037797A">
        <w:t>:</w:t>
      </w:r>
    </w:p>
    <w:p w14:paraId="1D2D3483" w14:textId="3D328814" w:rsidR="000005D3" w:rsidRDefault="000005D3" w:rsidP="000005D3">
      <w:pPr>
        <w:pStyle w:val="Bullet1stlevel"/>
      </w:pPr>
      <w:r>
        <w:t>Defining the</w:t>
      </w:r>
      <w:r w:rsidRPr="00FA771B">
        <w:t xml:space="preserve"> </w:t>
      </w:r>
      <w:r w:rsidR="00857122">
        <w:t xml:space="preserve">program’s </w:t>
      </w:r>
      <w:r w:rsidRPr="00FA771B">
        <w:t xml:space="preserve">target population </w:t>
      </w:r>
      <w:r>
        <w:t xml:space="preserve">to be </w:t>
      </w:r>
      <w:r w:rsidRPr="00FA771B">
        <w:t xml:space="preserve">young people with predominantly mild to moderate mental health needs that fall within the scope of services provided by </w:t>
      </w:r>
      <w:r>
        <w:t>headspace</w:t>
      </w:r>
      <w:r w:rsidRPr="00FA771B">
        <w:t>.</w:t>
      </w:r>
    </w:p>
    <w:p w14:paraId="6A44498C" w14:textId="5E9E01B5" w:rsidR="000005D3" w:rsidRDefault="000005D3" w:rsidP="000005D3">
      <w:pPr>
        <w:pStyle w:val="Bullet1stlevel"/>
      </w:pPr>
      <w:r>
        <w:t>De</w:t>
      </w:r>
      <w:r w:rsidR="00CF135F">
        <w:t>fin</w:t>
      </w:r>
      <w:r>
        <w:t xml:space="preserve">ing </w:t>
      </w:r>
      <w:r w:rsidR="00CF135F">
        <w:t>the</w:t>
      </w:r>
      <w:r>
        <w:t xml:space="preserve"> comparator </w:t>
      </w:r>
      <w:r w:rsidR="00C752FD">
        <w:t xml:space="preserve">as ‘the world in the absence of </w:t>
      </w:r>
      <w:r w:rsidR="00B7794A">
        <w:t>the headspace program’ in which some, but not all, young people would</w:t>
      </w:r>
      <w:r>
        <w:t xml:space="preserve"> access mental health treatment. </w:t>
      </w:r>
    </w:p>
    <w:p w14:paraId="48CC1D9B" w14:textId="77777777" w:rsidR="00A7297C" w:rsidRDefault="00B41BFC" w:rsidP="000005D3">
      <w:pPr>
        <w:pStyle w:val="Bullet1stlevel"/>
      </w:pPr>
      <w:r>
        <w:t xml:space="preserve">Designing an evaluation framework that has the capacity to capture two key effects of headspace presence: the benefits of mental health treatments it provides, and the improved accessibility </w:t>
      </w:r>
      <w:r w:rsidR="00A7297C">
        <w:t>of treatment relative to the comparator.</w:t>
      </w:r>
    </w:p>
    <w:p w14:paraId="58C67665" w14:textId="1643082F" w:rsidR="000005D3" w:rsidRDefault="000005D3" w:rsidP="000005D3">
      <w:pPr>
        <w:pStyle w:val="Bullet1stlevel"/>
      </w:pPr>
      <w:r>
        <w:t>Estimating the cost of delivering headspace services, including direct and indirect costs funded through the core grant, MBS funding, through PHNs and other sources</w:t>
      </w:r>
      <w:r w:rsidR="00B8693B">
        <w:t xml:space="preserve">, with the goal of establishing the cost per OOS of headspace mental health treatment. </w:t>
      </w:r>
      <w:r>
        <w:t xml:space="preserve"> </w:t>
      </w:r>
    </w:p>
    <w:p w14:paraId="385D6D65" w14:textId="77777777" w:rsidR="004B4B89" w:rsidRDefault="000005D3" w:rsidP="000005D3">
      <w:pPr>
        <w:pStyle w:val="Bullet1stlevel"/>
      </w:pPr>
      <w:r>
        <w:t>Convert</w:t>
      </w:r>
      <w:r w:rsidR="009C13A1">
        <w:t>ing</w:t>
      </w:r>
      <w:r>
        <w:t xml:space="preserve"> </w:t>
      </w:r>
      <w:r w:rsidR="00950E3F">
        <w:t>the</w:t>
      </w:r>
      <w:r>
        <w:t xml:space="preserve"> mental health outcomes as observed in the hMDS to </w:t>
      </w:r>
      <w:r w:rsidRPr="00A16092">
        <w:t>QALYs for the calculation of an ICER</w:t>
      </w:r>
      <w:r w:rsidR="00AA7073">
        <w:t>,</w:t>
      </w:r>
      <w:r w:rsidRPr="00A16092">
        <w:t xml:space="preserve"> which is the standard outcome for expressing value for money of health policies and interventions.</w:t>
      </w:r>
      <w:r>
        <w:t xml:space="preserve"> </w:t>
      </w:r>
    </w:p>
    <w:p w14:paraId="50B8E82B" w14:textId="5B5DCBB9" w:rsidR="000005D3" w:rsidRDefault="008C2020" w:rsidP="000005D3">
      <w:pPr>
        <w:pStyle w:val="Bullet1stlevel"/>
      </w:pPr>
      <w:r>
        <w:t xml:space="preserve">Extrapolating QALYs gained </w:t>
      </w:r>
      <w:r w:rsidR="000005D3">
        <w:t>from treatment over 12 months after the last observed health outcome data point.</w:t>
      </w:r>
    </w:p>
    <w:p w14:paraId="60AF8D8A" w14:textId="3791FB63" w:rsidR="000005D3" w:rsidRDefault="000005D3" w:rsidP="000005D3">
      <w:pPr>
        <w:pStyle w:val="Bullet1stlevel"/>
      </w:pPr>
      <w:r>
        <w:t>Defining the consequences of not accessing mental health treatment (or MAT levels of treatment) and estimating the associated costs.</w:t>
      </w:r>
    </w:p>
    <w:p w14:paraId="49D5D1C1" w14:textId="6C410157" w:rsidR="000005D3" w:rsidRDefault="000005D3" w:rsidP="000005D3">
      <w:pPr>
        <w:pStyle w:val="Bullet1stlevel"/>
      </w:pPr>
      <w:r>
        <w:t xml:space="preserve">Assessing the </w:t>
      </w:r>
      <w:r w:rsidR="00E91E8F">
        <w:t>cost-effectiveness</w:t>
      </w:r>
      <w:r>
        <w:t xml:space="preserve"> of the headspace model, estimating the value of the </w:t>
      </w:r>
      <w:r w:rsidR="000D3E82">
        <w:t>treatment</w:t>
      </w:r>
      <w:r>
        <w:t xml:space="preserve"> services provided by headspace services</w:t>
      </w:r>
      <w:r w:rsidR="00481974">
        <w:t xml:space="preserve"> and</w:t>
      </w:r>
      <w:r>
        <w:t xml:space="preserve"> using clinical outcomes to estimate improvements in quality of life associated with seeking support through the headspace model. </w:t>
      </w:r>
    </w:p>
    <w:p w14:paraId="3EEAF7C1" w14:textId="7743785B" w:rsidR="003B051D" w:rsidRDefault="00542A8D" w:rsidP="00853840">
      <w:pPr>
        <w:pStyle w:val="Heading4"/>
      </w:pPr>
      <w:r>
        <w:t xml:space="preserve">Domain 4: </w:t>
      </w:r>
      <w:r w:rsidR="009C13A1">
        <w:t>F</w:t>
      </w:r>
      <w:r w:rsidR="003B051D" w:rsidRPr="00542A8D">
        <w:t xml:space="preserve">uture enhancement </w:t>
      </w:r>
    </w:p>
    <w:p w14:paraId="3BB86F4B" w14:textId="77777777" w:rsidR="0037797A" w:rsidRPr="00A803AD" w:rsidRDefault="0037797A" w:rsidP="0037797A">
      <w:pPr>
        <w:pStyle w:val="BodyText"/>
      </w:pPr>
      <w:r>
        <w:t xml:space="preserve">This domain of inquiry brings together findings across the evaluation activities and considers them in the context of broader recent analysis of the mental health services sector. Drawing on literature review and program design documentation and considering qualitative and quantitative findings across the first three domains of inquiry, this domain is focused on testing the </w:t>
      </w:r>
      <w:r>
        <w:rPr>
          <w:i/>
          <w:iCs/>
        </w:rPr>
        <w:t xml:space="preserve">sustainability </w:t>
      </w:r>
      <w:r w:rsidRPr="00A803AD">
        <w:t>of the mode</w:t>
      </w:r>
      <w:r>
        <w:t>l</w:t>
      </w:r>
      <w:r w:rsidRPr="00A803AD">
        <w:t xml:space="preserve">. </w:t>
      </w:r>
    </w:p>
    <w:p w14:paraId="150BC5BF" w14:textId="5FEC94AC" w:rsidR="00542A8D" w:rsidRDefault="00627C03" w:rsidP="00323219">
      <w:pPr>
        <w:pStyle w:val="BodyText"/>
        <w:keepNext/>
      </w:pPr>
      <w:r>
        <w:t>T</w:t>
      </w:r>
      <w:r w:rsidR="00542A8D">
        <w:t>he following evaluation approach</w:t>
      </w:r>
      <w:r>
        <w:t xml:space="preserve"> was </w:t>
      </w:r>
      <w:r w:rsidR="003D1E5C">
        <w:t>applied</w:t>
      </w:r>
      <w:r w:rsidR="0037797A">
        <w:t>:</w:t>
      </w:r>
    </w:p>
    <w:p w14:paraId="1A2E8FCE" w14:textId="587DF5A1" w:rsidR="00542A8D" w:rsidRDefault="006B633C" w:rsidP="00846B79">
      <w:pPr>
        <w:pStyle w:val="Bullet1stlevel"/>
      </w:pPr>
      <w:r>
        <w:t xml:space="preserve">Reviewing </w:t>
      </w:r>
      <w:r w:rsidR="000C1AAB">
        <w:t>the components of the model against the findings of the effectiveness and value analyses to identify</w:t>
      </w:r>
      <w:r w:rsidR="000F1556">
        <w:t xml:space="preserve"> barriers and enablers associated with the headspace model</w:t>
      </w:r>
      <w:r w:rsidR="00C54085">
        <w:t>.</w:t>
      </w:r>
    </w:p>
    <w:p w14:paraId="3EC3106C" w14:textId="6336E6C9" w:rsidR="000F1556" w:rsidRDefault="000F1556" w:rsidP="00846B79">
      <w:pPr>
        <w:pStyle w:val="Bullet1stlevel"/>
      </w:pPr>
      <w:r>
        <w:t>Exploring external factors that have impact</w:t>
      </w:r>
      <w:r w:rsidR="004E4741">
        <w:t>ed</w:t>
      </w:r>
      <w:r>
        <w:t xml:space="preserve"> the headspace model and its overall </w:t>
      </w:r>
      <w:r w:rsidR="004E4741">
        <w:t xml:space="preserve">performance in achieving </w:t>
      </w:r>
      <w:r>
        <w:t>its intended outcomes</w:t>
      </w:r>
      <w:r w:rsidR="00C54085">
        <w:t>.</w:t>
      </w:r>
    </w:p>
    <w:p w14:paraId="387FD937" w14:textId="6A0413B2" w:rsidR="000F1556" w:rsidRDefault="00DA76EB" w:rsidP="00846B79">
      <w:pPr>
        <w:pStyle w:val="Bullet1stlevel"/>
      </w:pPr>
      <w:r>
        <w:t>Assessing whether</w:t>
      </w:r>
      <w:r w:rsidR="00050E79">
        <w:t xml:space="preserve"> introducing</w:t>
      </w:r>
      <w:r>
        <w:t xml:space="preserve"> changes to either the design or implementation of the headspace model could</w:t>
      </w:r>
      <w:r w:rsidR="00050E79">
        <w:t xml:space="preserve"> improve its associated outcomes and value</w:t>
      </w:r>
      <w:r w:rsidR="00C54085">
        <w:t>.</w:t>
      </w:r>
    </w:p>
    <w:p w14:paraId="2812D53C" w14:textId="07988F68" w:rsidR="004E4741" w:rsidRPr="00542A8D" w:rsidRDefault="004E4741" w:rsidP="00846B79">
      <w:pPr>
        <w:pStyle w:val="Bullet1stlevel"/>
      </w:pPr>
      <w:r>
        <w:t xml:space="preserve">Considering </w:t>
      </w:r>
      <w:r w:rsidR="00105E6C">
        <w:t>broader system changes that would support the headspace model to better meet its objectives.</w:t>
      </w:r>
    </w:p>
    <w:p w14:paraId="2AE821E6" w14:textId="77777777" w:rsidR="003C7DAA" w:rsidRPr="003C7DAA" w:rsidRDefault="00713F5D" w:rsidP="003C7DAA">
      <w:pPr>
        <w:pStyle w:val="Heading4"/>
      </w:pPr>
      <w:r w:rsidRPr="003C7DAA">
        <w:rPr>
          <w:rStyle w:val="Heading4Char"/>
          <w:b/>
          <w:iCs/>
        </w:rPr>
        <w:t>Further detail</w:t>
      </w:r>
      <w:r w:rsidRPr="003C7DAA">
        <w:t xml:space="preserve"> </w:t>
      </w:r>
    </w:p>
    <w:p w14:paraId="0A437A16" w14:textId="6835B2B9" w:rsidR="00713F5D" w:rsidRDefault="003C7DAA" w:rsidP="003B051D">
      <w:pPr>
        <w:pStyle w:val="BodyText"/>
      </w:pPr>
      <w:r>
        <w:t xml:space="preserve">Further detail </w:t>
      </w:r>
      <w:r w:rsidR="00713F5D">
        <w:t>regarding the evaluation scope and method, including the project governance, data collection activities and data sources</w:t>
      </w:r>
      <w:r w:rsidR="00F01FF0">
        <w:t>,</w:t>
      </w:r>
      <w:r w:rsidR="00713F5D">
        <w:t xml:space="preserve"> are provided at </w:t>
      </w:r>
      <w:r w:rsidR="00963A8D">
        <w:fldChar w:fldCharType="begin" w:fldLock="1"/>
      </w:r>
      <w:r w:rsidR="00963A8D">
        <w:instrText xml:space="preserve"> REF _Ref97900293 \w \h </w:instrText>
      </w:r>
      <w:r w:rsidR="00963A8D">
        <w:fldChar w:fldCharType="separate"/>
      </w:r>
      <w:r w:rsidR="00AE4D34">
        <w:t>Appendix A</w:t>
      </w:r>
      <w:r w:rsidR="00963A8D">
        <w:fldChar w:fldCharType="end"/>
      </w:r>
      <w:r w:rsidR="00713F5D">
        <w:t>.</w:t>
      </w:r>
    </w:p>
    <w:p w14:paraId="6D8ED39C" w14:textId="29A670F8" w:rsidR="004612EB" w:rsidRPr="000E1498" w:rsidRDefault="00713F5D" w:rsidP="003B051D">
      <w:pPr>
        <w:pStyle w:val="BodyText"/>
      </w:pPr>
      <w:r>
        <w:t xml:space="preserve">This report provides a synthesis of key findings against each of the four domains of inquiry, </w:t>
      </w:r>
      <w:r w:rsidR="007B46B1">
        <w:t xml:space="preserve">with detailed data analysis and reporting provided in </w:t>
      </w:r>
      <w:r w:rsidR="00F01FF0">
        <w:t xml:space="preserve">the </w:t>
      </w:r>
      <w:r w:rsidR="007B46B1">
        <w:t>appendices.</w:t>
      </w:r>
    </w:p>
    <w:p w14:paraId="4A8C4447" w14:textId="7791BC3B" w:rsidR="00726B12" w:rsidRPr="001D6913" w:rsidRDefault="00726B12" w:rsidP="00E542A7">
      <w:pPr>
        <w:pStyle w:val="Heading1"/>
      </w:pPr>
      <w:bookmarkStart w:id="26" w:name="start"/>
      <w:bookmarkStart w:id="27" w:name="_Ref98434079"/>
      <w:bookmarkStart w:id="28" w:name="_Toc108173971"/>
      <w:bookmarkEnd w:id="26"/>
      <w:r w:rsidRPr="00C11C70">
        <w:t>Understanding</w:t>
      </w:r>
      <w:r w:rsidRPr="001D6913">
        <w:t xml:space="preserve"> headspace</w:t>
      </w:r>
      <w:bookmarkEnd w:id="27"/>
      <w:bookmarkEnd w:id="28"/>
    </w:p>
    <w:p w14:paraId="745B441A" w14:textId="616625CF" w:rsidR="003508B5" w:rsidRDefault="00461A68" w:rsidP="000244E4">
      <w:pPr>
        <w:pStyle w:val="BodyText"/>
      </w:pPr>
      <w:r>
        <w:t xml:space="preserve">In order to understand the headspace model, </w:t>
      </w:r>
      <w:r w:rsidR="00E83D3C">
        <w:t xml:space="preserve">a range of factors need to be considered alongside the design of the model itself. </w:t>
      </w:r>
      <w:r w:rsidR="00845983">
        <w:t xml:space="preserve">As a starting point, </w:t>
      </w:r>
      <w:r w:rsidR="009D7AB0">
        <w:t>this</w:t>
      </w:r>
      <w:r w:rsidR="00845983">
        <w:t xml:space="preserve"> chapter sets out</w:t>
      </w:r>
      <w:r w:rsidR="00EC244A">
        <w:t xml:space="preserve"> an overview of the model and </w:t>
      </w:r>
      <w:r w:rsidR="0070151A">
        <w:t>its primary</w:t>
      </w:r>
      <w:r w:rsidR="009D7AB0">
        <w:t>,</w:t>
      </w:r>
      <w:r w:rsidR="0070151A">
        <w:t xml:space="preserve"> intended outcomes. The</w:t>
      </w:r>
      <w:r w:rsidR="003508B5">
        <w:t xml:space="preserve"> target user group of the model is discussed, along with a high</w:t>
      </w:r>
      <w:r w:rsidR="00747F28">
        <w:t>-</w:t>
      </w:r>
      <w:r w:rsidR="003508B5">
        <w:t>level overview of the needs of young people attending headspace, the intended outcomes</w:t>
      </w:r>
      <w:r w:rsidR="003D1E5C">
        <w:t>,</w:t>
      </w:r>
      <w:r w:rsidR="003508B5">
        <w:t xml:space="preserve"> and objectives of the model for young people, and how these align to the program logic of the headspace model.</w:t>
      </w:r>
    </w:p>
    <w:p w14:paraId="573F5BBA" w14:textId="3EFCA7DE" w:rsidR="006076A1" w:rsidRDefault="000617E0" w:rsidP="000244E4">
      <w:pPr>
        <w:pStyle w:val="BodyText"/>
      </w:pPr>
      <w:r>
        <w:t>Th</w:t>
      </w:r>
      <w:r w:rsidR="003508B5">
        <w:t xml:space="preserve">e </w:t>
      </w:r>
      <w:r w:rsidR="00845983">
        <w:t>key features</w:t>
      </w:r>
      <w:r>
        <w:t xml:space="preserve"> of the model</w:t>
      </w:r>
      <w:r w:rsidR="00EC244A">
        <w:t>,</w:t>
      </w:r>
      <w:r w:rsidR="00845983">
        <w:t xml:space="preserve"> including its core and enabling components, the support services </w:t>
      </w:r>
      <w:r w:rsidR="00EC244A">
        <w:t xml:space="preserve">that are </w:t>
      </w:r>
      <w:r w:rsidR="00845983">
        <w:t>provided through the model, and the types of headspace services operating around Australia</w:t>
      </w:r>
      <w:r w:rsidR="009D7AB0">
        <w:t>,</w:t>
      </w:r>
      <w:r>
        <w:t xml:space="preserve"> are presented at a high level</w:t>
      </w:r>
      <w:r w:rsidR="0019792E">
        <w:t xml:space="preserve">, before </w:t>
      </w:r>
      <w:r w:rsidR="009D7AB0">
        <w:t xml:space="preserve">the presentation of </w:t>
      </w:r>
      <w:r w:rsidR="0019792E">
        <w:t>a</w:t>
      </w:r>
      <w:r w:rsidR="00CE534E">
        <w:t xml:space="preserve">n overview </w:t>
      </w:r>
      <w:r w:rsidR="00DF047D">
        <w:t xml:space="preserve">of </w:t>
      </w:r>
      <w:r w:rsidR="00CE534E">
        <w:t>how the</w:t>
      </w:r>
      <w:r w:rsidR="00DD68F8">
        <w:t xml:space="preserve"> model has</w:t>
      </w:r>
      <w:r w:rsidR="00CE534E">
        <w:t xml:space="preserve"> changed</w:t>
      </w:r>
      <w:r w:rsidR="006439CA">
        <w:t xml:space="preserve"> over time with government investment</w:t>
      </w:r>
      <w:r w:rsidR="006076A1">
        <w:t xml:space="preserve">. </w:t>
      </w:r>
    </w:p>
    <w:p w14:paraId="2C161C20" w14:textId="53243097" w:rsidR="00461A68" w:rsidRDefault="006076A1" w:rsidP="000244E4">
      <w:pPr>
        <w:pStyle w:val="BodyText"/>
      </w:pPr>
      <w:r>
        <w:t>T</w:t>
      </w:r>
      <w:r w:rsidR="006439CA">
        <w:t xml:space="preserve">he </w:t>
      </w:r>
      <w:r w:rsidR="00287D7D">
        <w:t xml:space="preserve">full range of </w:t>
      </w:r>
      <w:r w:rsidR="006439CA">
        <w:t xml:space="preserve">stakeholder relationships </w:t>
      </w:r>
      <w:r w:rsidR="00BE0737">
        <w:t xml:space="preserve">of relevance to </w:t>
      </w:r>
      <w:r w:rsidR="0057421E">
        <w:t xml:space="preserve">the </w:t>
      </w:r>
      <w:r w:rsidR="00BE0737">
        <w:t xml:space="preserve">headspace model </w:t>
      </w:r>
      <w:r w:rsidR="004D5024">
        <w:t>is also described</w:t>
      </w:r>
      <w:r>
        <w:t>, as a key aspect of understanding the headspace model in context</w:t>
      </w:r>
      <w:r w:rsidR="005D78FB">
        <w:t xml:space="preserve">. This </w:t>
      </w:r>
      <w:r w:rsidR="004D5024">
        <w:t>provide</w:t>
      </w:r>
      <w:r w:rsidR="005D78FB">
        <w:t>s</w:t>
      </w:r>
      <w:r w:rsidR="004D5024">
        <w:t xml:space="preserve"> a sense </w:t>
      </w:r>
      <w:r w:rsidR="00A21E27">
        <w:t xml:space="preserve">of the complexity </w:t>
      </w:r>
      <w:r w:rsidR="00D93457">
        <w:t xml:space="preserve">and challenge </w:t>
      </w:r>
      <w:r w:rsidR="00A21E27">
        <w:t>involved in the</w:t>
      </w:r>
      <w:r w:rsidR="00FD6769">
        <w:t xml:space="preserve"> day</w:t>
      </w:r>
      <w:r w:rsidR="00747F28">
        <w:t>-</w:t>
      </w:r>
      <w:r w:rsidR="00FD6769">
        <w:t>to</w:t>
      </w:r>
      <w:r w:rsidR="00747F28">
        <w:t>-</w:t>
      </w:r>
      <w:r w:rsidR="00FD6769">
        <w:t>day</w:t>
      </w:r>
      <w:r w:rsidR="00A21E27">
        <w:t xml:space="preserve"> operations of the model </w:t>
      </w:r>
      <w:r w:rsidR="00927270">
        <w:t>within the mental health service sector</w:t>
      </w:r>
      <w:r w:rsidR="00B07D71">
        <w:t xml:space="preserve">. The </w:t>
      </w:r>
      <w:r w:rsidR="00EF7052">
        <w:t xml:space="preserve">extent of the stakeholder </w:t>
      </w:r>
      <w:r w:rsidR="000D7041">
        <w:t xml:space="preserve">landscape </w:t>
      </w:r>
      <w:r w:rsidR="003D1D28">
        <w:t xml:space="preserve">also demonstrates </w:t>
      </w:r>
      <w:r w:rsidR="00A21E27">
        <w:t xml:space="preserve">the </w:t>
      </w:r>
      <w:r w:rsidR="00FD30FD">
        <w:t>breadth of</w:t>
      </w:r>
      <w:r w:rsidR="00B54CD3">
        <w:t xml:space="preserve"> </w:t>
      </w:r>
      <w:r w:rsidR="006256D4">
        <w:t xml:space="preserve">perspectives to consider in evaluating the effectiveness of the model in achieving its outcomes. </w:t>
      </w:r>
    </w:p>
    <w:p w14:paraId="5C3C6E0D" w14:textId="7B71B97D" w:rsidR="006076A1" w:rsidRDefault="006076A1" w:rsidP="000244E4">
      <w:pPr>
        <w:pStyle w:val="BodyText"/>
      </w:pPr>
      <w:r>
        <w:t>This chapter then provides a detailed breakdown of the support services currently available at headspace services, and how these have change</w:t>
      </w:r>
      <w:r w:rsidR="00F36B3E">
        <w:t xml:space="preserve">d over the last five years, </w:t>
      </w:r>
      <w:r>
        <w:t>since the model was last evaluated</w:t>
      </w:r>
      <w:r w:rsidR="00F36B3E">
        <w:t xml:space="preserve">. </w:t>
      </w:r>
    </w:p>
    <w:p w14:paraId="2FF19561" w14:textId="09FBD777" w:rsidR="00012610" w:rsidRPr="00E542A7" w:rsidRDefault="00012610" w:rsidP="000B06B8">
      <w:pPr>
        <w:pStyle w:val="Heading2"/>
      </w:pPr>
      <w:bookmarkStart w:id="29" w:name="_Ref98501743"/>
      <w:bookmarkStart w:id="30" w:name="_Ref98501747"/>
      <w:bookmarkStart w:id="31" w:name="_Toc108173972"/>
      <w:r w:rsidRPr="00E542A7">
        <w:t xml:space="preserve">Overview of </w:t>
      </w:r>
      <w:r w:rsidR="0037302F">
        <w:t xml:space="preserve">the </w:t>
      </w:r>
      <w:r w:rsidRPr="00E542A7">
        <w:t>headspace</w:t>
      </w:r>
      <w:r w:rsidR="0037302F">
        <w:t xml:space="preserve"> model</w:t>
      </w:r>
      <w:bookmarkEnd w:id="29"/>
      <w:bookmarkEnd w:id="30"/>
      <w:bookmarkEnd w:id="31"/>
    </w:p>
    <w:p w14:paraId="61FC6BF3" w14:textId="561CA61B" w:rsidR="00012610" w:rsidRDefault="00012610" w:rsidP="00012610">
      <w:pPr>
        <w:pStyle w:val="BodyText"/>
      </w:pPr>
      <w:r w:rsidRPr="00C11C70">
        <w:t>headspace is</w:t>
      </w:r>
      <w:r>
        <w:t xml:space="preserve"> often referred to as</w:t>
      </w:r>
      <w:r w:rsidRPr="00C11C70">
        <w:t xml:space="preserve"> the Australian Government’s flagship mental health program for people aged 12 to 25. Since 2006, it has played a</w:t>
      </w:r>
      <w:r>
        <w:t>n important</w:t>
      </w:r>
      <w:r w:rsidRPr="00C11C70">
        <w:t xml:space="preserve"> role in efforts to tackle mental ill-health, self-harm</w:t>
      </w:r>
      <w:r w:rsidR="003D1E5C" w:rsidRPr="00C11C70">
        <w:t>,</w:t>
      </w:r>
      <w:r w:rsidRPr="00C11C70">
        <w:t xml:space="preserve"> and suicide among young Australians. Delivered as a network of community-led and governed centres across Australia, headspace</w:t>
      </w:r>
      <w:r w:rsidR="006E7535">
        <w:t xml:space="preserve"> services</w:t>
      </w:r>
      <w:r w:rsidRPr="00C11C70">
        <w:t xml:space="preserve"> support young people</w:t>
      </w:r>
      <w:r>
        <w:t xml:space="preserve"> and their families</w:t>
      </w:r>
      <w:r w:rsidRPr="00C11C70">
        <w:t xml:space="preserve"> to access clinical and community mental health </w:t>
      </w:r>
      <w:r w:rsidR="003D00E6">
        <w:t>support</w:t>
      </w:r>
      <w:r w:rsidRPr="00C11C70">
        <w:t>s</w:t>
      </w:r>
      <w:r w:rsidR="003D00E6">
        <w:t xml:space="preserve"> and interventions</w:t>
      </w:r>
      <w:r w:rsidRPr="00C11C70">
        <w:t xml:space="preserve">. </w:t>
      </w:r>
    </w:p>
    <w:p w14:paraId="2BC62E95" w14:textId="77777777" w:rsidR="00012610" w:rsidRDefault="00012610" w:rsidP="003006A8">
      <w:pPr>
        <w:pStyle w:val="BodyText"/>
      </w:pPr>
      <w:r>
        <w:t>h</w:t>
      </w:r>
      <w:r w:rsidRPr="00E833DC">
        <w:t>eadspace provides services across four core</w:t>
      </w:r>
      <w:r>
        <w:t xml:space="preserve"> streams to provide holistic support for young people. The four core streams are: </w:t>
      </w:r>
    </w:p>
    <w:p w14:paraId="6CF5D3C8" w14:textId="37716802" w:rsidR="00012610" w:rsidRDefault="00012610" w:rsidP="00012610">
      <w:pPr>
        <w:pStyle w:val="Bullet1stlevel"/>
      </w:pPr>
      <w:r>
        <w:t>m</w:t>
      </w:r>
      <w:r w:rsidRPr="000206C0">
        <w:t>ental health and wellbeing</w:t>
      </w:r>
      <w:r w:rsidR="00FC6539">
        <w:t>;</w:t>
      </w:r>
    </w:p>
    <w:p w14:paraId="2DCA8EB4" w14:textId="47E2AF33" w:rsidR="00012610" w:rsidRPr="000206C0" w:rsidRDefault="00012610" w:rsidP="00012610">
      <w:pPr>
        <w:pStyle w:val="Bullet1stlevel"/>
      </w:pPr>
      <w:r>
        <w:t>p</w:t>
      </w:r>
      <w:r w:rsidRPr="000206C0">
        <w:t>hysical and sexual health</w:t>
      </w:r>
      <w:r w:rsidR="00FC6539">
        <w:t>;</w:t>
      </w:r>
    </w:p>
    <w:p w14:paraId="4ED14A5C" w14:textId="58F8B7C7" w:rsidR="00012610" w:rsidRPr="000206C0" w:rsidRDefault="00012610" w:rsidP="00012610">
      <w:pPr>
        <w:pStyle w:val="Bullet1stlevel"/>
      </w:pPr>
      <w:r>
        <w:t>w</w:t>
      </w:r>
      <w:r w:rsidRPr="000206C0">
        <w:t>ork and study support</w:t>
      </w:r>
      <w:r w:rsidR="00FC6539">
        <w:t>; and</w:t>
      </w:r>
    </w:p>
    <w:p w14:paraId="4E1E8363" w14:textId="77777777" w:rsidR="00012610" w:rsidRDefault="00012610" w:rsidP="00012610">
      <w:pPr>
        <w:pStyle w:val="Bullet1stlevel"/>
      </w:pPr>
      <w:r>
        <w:t>a</w:t>
      </w:r>
      <w:r w:rsidRPr="000206C0">
        <w:t>lcohol and other drug services.</w:t>
      </w:r>
    </w:p>
    <w:p w14:paraId="03A35040" w14:textId="7485D38D" w:rsidR="00012610" w:rsidRDefault="00012610" w:rsidP="00012610">
      <w:pPr>
        <w:pStyle w:val="BodyText"/>
      </w:pPr>
      <w:r w:rsidRPr="00D801CF">
        <w:t xml:space="preserve">These </w:t>
      </w:r>
      <w:r>
        <w:t xml:space="preserve">services </w:t>
      </w:r>
      <w:r w:rsidRPr="00D801CF">
        <w:t xml:space="preserve">can be delivered in-person </w:t>
      </w:r>
      <w:r w:rsidR="00F609CA">
        <w:t>at</w:t>
      </w:r>
      <w:r w:rsidRPr="00D801CF">
        <w:t xml:space="preserve"> headspace </w:t>
      </w:r>
      <w:r>
        <w:t>services</w:t>
      </w:r>
      <w:r w:rsidRPr="00D801CF">
        <w:t xml:space="preserve"> and through </w:t>
      </w:r>
      <w:r>
        <w:t>telehealth</w:t>
      </w:r>
      <w:r w:rsidR="006059E2">
        <w:t xml:space="preserve"> (including online and telephone </w:t>
      </w:r>
      <w:r w:rsidR="000C5CB0">
        <w:t>services)</w:t>
      </w:r>
      <w:r w:rsidRPr="00D801CF">
        <w:t xml:space="preserve">. </w:t>
      </w:r>
      <w:r>
        <w:t>The provision of th</w:t>
      </w:r>
      <w:r w:rsidRPr="00D801CF">
        <w:t>ese services in multiple formats</w:t>
      </w:r>
      <w:r>
        <w:t xml:space="preserve"> is intended to</w:t>
      </w:r>
      <w:r w:rsidRPr="00D801CF">
        <w:t xml:space="preserve"> help ensure young people are able to access mental health supports when they are needed, particularly </w:t>
      </w:r>
      <w:r>
        <w:t xml:space="preserve">for </w:t>
      </w:r>
      <w:r w:rsidRPr="00D801CF">
        <w:t xml:space="preserve">those </w:t>
      </w:r>
      <w:r w:rsidR="00AA3826">
        <w:t xml:space="preserve">young people </w:t>
      </w:r>
      <w:r w:rsidRPr="00D801CF">
        <w:t>who live in regional and remote areas</w:t>
      </w:r>
      <w:r>
        <w:t>.</w:t>
      </w:r>
      <w:r w:rsidR="004A760B">
        <w:t xml:space="preserve"> In addition to these services</w:t>
      </w:r>
      <w:r w:rsidR="009472F6">
        <w:t xml:space="preserve">, </w:t>
      </w:r>
      <w:r w:rsidR="00BB662C">
        <w:t xml:space="preserve">separate support is also provided through eheadspace, </w:t>
      </w:r>
      <w:r w:rsidR="00CA55E4">
        <w:t>a national online and telephone support service</w:t>
      </w:r>
      <w:r w:rsidR="00664113">
        <w:t xml:space="preserve"> delivered by headspace National. However, as eheadspace is not delivered through headspace services, it</w:t>
      </w:r>
      <w:r w:rsidR="00F31C9A">
        <w:t xml:space="preserve"> did not form part of this evaluation.</w:t>
      </w:r>
    </w:p>
    <w:p w14:paraId="2B4A4E37" w14:textId="25719650" w:rsidR="00012610" w:rsidRDefault="00012610" w:rsidP="00012610">
      <w:pPr>
        <w:pStyle w:val="BodyText"/>
      </w:pPr>
      <w:r w:rsidRPr="001D6913">
        <w:t xml:space="preserve">The </w:t>
      </w:r>
      <w:r w:rsidR="00A778D9">
        <w:t>program supports</w:t>
      </w:r>
      <w:r w:rsidRPr="001D6913">
        <w:t xml:space="preserve"> young people </w:t>
      </w:r>
      <w:r>
        <w:t>aged 12</w:t>
      </w:r>
      <w:r w:rsidR="00BE7E67">
        <w:t xml:space="preserve"> to </w:t>
      </w:r>
      <w:r>
        <w:t xml:space="preserve">25 </w:t>
      </w:r>
      <w:r w:rsidRPr="001D6913">
        <w:t xml:space="preserve">with mild to moderate mental health conditions and those experiencing episodic or situational </w:t>
      </w:r>
      <w:r>
        <w:t>need</w:t>
      </w:r>
      <w:r w:rsidRPr="001D6913">
        <w:t xml:space="preserve">. Young people with more intensive needs who present to headspace are supported to access other services through partnerships and service system linkage. </w:t>
      </w:r>
    </w:p>
    <w:p w14:paraId="05628A22" w14:textId="34BA7E9F" w:rsidR="00481974" w:rsidRDefault="00AA3826" w:rsidP="00481974">
      <w:pPr>
        <w:pStyle w:val="BodyText"/>
        <w:rPr>
          <w:rFonts w:cs="Calibri"/>
          <w:szCs w:val="20"/>
        </w:rPr>
      </w:pPr>
      <w:r>
        <w:fldChar w:fldCharType="begin" w:fldLock="1"/>
      </w:r>
      <w:r>
        <w:instrText xml:space="preserve"> REF _Ref98313160 \h </w:instrText>
      </w:r>
      <w:r>
        <w:fldChar w:fldCharType="separate"/>
      </w:r>
      <w:r w:rsidR="00AE4D34">
        <w:t xml:space="preserve">Figure </w:t>
      </w:r>
      <w:r w:rsidR="00AE4D34">
        <w:rPr>
          <w:noProof/>
        </w:rPr>
        <w:t>6</w:t>
      </w:r>
      <w:r>
        <w:fldChar w:fldCharType="end"/>
      </w:r>
      <w:r w:rsidR="00012610">
        <w:t xml:space="preserve"> below provides an overview of the headspace program logic, outlining the relationship between elements of the program. </w:t>
      </w:r>
      <w:r w:rsidR="00481974">
        <w:rPr>
          <w:rFonts w:cs="Calibri"/>
          <w:szCs w:val="20"/>
        </w:rPr>
        <w:t>The model is designed to achieve a range of short</w:t>
      </w:r>
      <w:r w:rsidR="007E76A0">
        <w:rPr>
          <w:rFonts w:cs="Calibri"/>
          <w:szCs w:val="20"/>
        </w:rPr>
        <w:t>-</w:t>
      </w:r>
      <w:r w:rsidR="00481974">
        <w:rPr>
          <w:rFonts w:cs="Calibri"/>
          <w:szCs w:val="20"/>
        </w:rPr>
        <w:t xml:space="preserve">term impacts, including improved mental health literacy, increased early help seeking behaviours, the promotion of a positive experience of service for young people, and improved psychosocial outcomes. These </w:t>
      </w:r>
      <w:r w:rsidR="00080644">
        <w:rPr>
          <w:rFonts w:cs="Calibri"/>
          <w:szCs w:val="20"/>
        </w:rPr>
        <w:t>are then intended to</w:t>
      </w:r>
      <w:r w:rsidR="00481974">
        <w:rPr>
          <w:rFonts w:cs="Calibri"/>
          <w:szCs w:val="20"/>
        </w:rPr>
        <w:t xml:space="preserve"> lead to medium</w:t>
      </w:r>
      <w:r w:rsidR="007E76A0">
        <w:rPr>
          <w:rFonts w:cs="Calibri"/>
          <w:szCs w:val="20"/>
        </w:rPr>
        <w:t>-</w:t>
      </w:r>
      <w:r w:rsidR="00481974">
        <w:rPr>
          <w:rFonts w:cs="Calibri"/>
          <w:szCs w:val="20"/>
        </w:rPr>
        <w:t>term impacts for the functioning, wellbeing and quality of life of young people and their families and friends, as well as improvements to the identification and treatment of mental health problems for young people and improved pathways to care through service integration and accessibility. In the long</w:t>
      </w:r>
      <w:r w:rsidR="007E76A0">
        <w:rPr>
          <w:rFonts w:cs="Calibri"/>
          <w:szCs w:val="20"/>
        </w:rPr>
        <w:t>-</w:t>
      </w:r>
      <w:r w:rsidR="00481974">
        <w:rPr>
          <w:rFonts w:cs="Calibri"/>
          <w:szCs w:val="20"/>
        </w:rPr>
        <w:t>term, the model is intended to drive enhanced service provision and access, to improve health outcomes and to increase social and economic outcomes for young people over their life course.</w:t>
      </w:r>
    </w:p>
    <w:p w14:paraId="1B08072D" w14:textId="3059DB3F" w:rsidR="00012610" w:rsidRPr="00C11C70" w:rsidRDefault="00012610" w:rsidP="00012610">
      <w:pPr>
        <w:pStyle w:val="BodyText"/>
      </w:pPr>
    </w:p>
    <w:p w14:paraId="1E07FF60" w14:textId="41A4FB59" w:rsidR="00012610" w:rsidRDefault="00012610" w:rsidP="00012610">
      <w:pPr>
        <w:pStyle w:val="Caption"/>
        <w:jc w:val="both"/>
      </w:pPr>
      <w:bookmarkStart w:id="32" w:name="_Ref98313160"/>
      <w:bookmarkStart w:id="33" w:name="_Toc108109191"/>
      <w:r>
        <w:t xml:space="preserve">Figure </w:t>
      </w:r>
      <w:r>
        <w:fldChar w:fldCharType="begin"/>
      </w:r>
      <w:r>
        <w:instrText>SEQ Figure \* ARABIC</w:instrText>
      </w:r>
      <w:r>
        <w:fldChar w:fldCharType="separate"/>
      </w:r>
      <w:r w:rsidR="00CC0438">
        <w:rPr>
          <w:noProof/>
        </w:rPr>
        <w:t>6</w:t>
      </w:r>
      <w:r>
        <w:fldChar w:fldCharType="end"/>
      </w:r>
      <w:bookmarkEnd w:id="32"/>
      <w:r>
        <w:t>: Summary of the headspace program logic</w:t>
      </w:r>
      <w:bookmarkEnd w:id="33"/>
    </w:p>
    <w:p w14:paraId="33DCB7EE" w14:textId="0FACA5D1" w:rsidR="00012610" w:rsidRDefault="009E2FF1" w:rsidP="00012610">
      <w:pPr>
        <w:pStyle w:val="BodyText"/>
        <w:jc w:val="center"/>
      </w:pPr>
      <w:r>
        <w:rPr>
          <w:noProof/>
        </w:rPr>
        <w:drawing>
          <wp:inline distT="0" distB="0" distL="0" distR="0" wp14:anchorId="08229E3F" wp14:editId="4BE81ACF">
            <wp:extent cx="5439680" cy="7772400"/>
            <wp:effectExtent l="0" t="0" r="8890" b="0"/>
            <wp:docPr id="239" name="Picture 239" descr="Figure 6 is a diagram summarising components of the headspace program logic. &#10;Inputs are summarised at the top of the diagram and include the Commonwealth headspace grant, Additional Commonwealth funding from PHNs, State/territory government funding, MBS funding, In-kind contributions and Private donations and Out-of-pocket payments (minor inputs).&#10;The next box in the diagram summarises headspace activities, including Activities provided to young people and their families as clients, Activities provided within communities, and Activities provided within service systems, including headspace service and lead agency operations, headspace model fidelity, and partnerships and coordination.&#10;The next box summarises outputs from headspace services. Young people receive support with Mental health and wellbeing, Physical and sexual health, Work and study support, and Alcohol and other drug services.&#10;The next box summarises short term impacts from headspace services, including Intermediate outcomes (e.g., mental health literacy, early help seeking), Service system outcomes, User experience outcomes and Psychosocial outcomes&#10;The 2nd last box summarises medium term impacts from headspace services, including Improved functioning, and quality of life and wellbeing for young people; Improved quality of life and wellbeing, and capacity to support people for families and friends accessing headspace; Improved identification and treatment of mental health problems for young people through earlier identification and early help seeking; and Improved pathways to care, integrated and coordinated mental health support, and youth-friendly and accessible local service systems.&#10;The final box summarises long term impacts from headspace services, including Enhanced service provision and access for young people over their life course; Improved health outcomes for young people over their life course; and Increased social and economic outcomes for young people over their life cour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Figure 6 is a diagram summarising components of the headspace program logic. &#10;Inputs are summarised at the top of the diagram and include the Commonwealth headspace grant, Additional Commonwealth funding from PHNs, State/territory government funding, MBS funding, In-kind contributions and Private donations and Out-of-pocket payments (minor inputs).&#10;The next box in the diagram summarises headspace activities, including Activities provided to young people and their families as clients, Activities provided within communities, and Activities provided within service systems, including headspace service and lead agency operations, headspace model fidelity, and partnerships and coordination.&#10;The next box summarises outputs from headspace services. Young people receive support with Mental health and wellbeing, Physical and sexual health, Work and study support, and Alcohol and other drug services.&#10;The next box summarises short term impacts from headspace services, including Intermediate outcomes (e.g., mental health literacy, early help seeking), Service system outcomes, User experience outcomes and Psychosocial outcomes&#10;The 2nd last box summarises medium term impacts from headspace services, including Improved functioning, and quality of life and wellbeing for young people; Improved quality of life and wellbeing, and capacity to support people for families and friends accessing headspace; Improved identification and treatment of mental health problems for young people through earlier identification and early help seeking; and Improved pathways to care, integrated and coordinated mental health support, and youth-friendly and accessible local service systems.&#10;The final box summarises long term impacts from headspace services, including Enhanced service provision and access for young people over their life course; Improved health outcomes for young people over their life course; and Increased social and economic outcomes for young people over their life course.&#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1849" cy="7775499"/>
                    </a:xfrm>
                    <a:prstGeom prst="rect">
                      <a:avLst/>
                    </a:prstGeom>
                    <a:noFill/>
                  </pic:spPr>
                </pic:pic>
              </a:graphicData>
            </a:graphic>
          </wp:inline>
        </w:drawing>
      </w:r>
    </w:p>
    <w:p w14:paraId="3588E5D3" w14:textId="77777777" w:rsidR="00012610" w:rsidRPr="003877A9" w:rsidRDefault="00012610" w:rsidP="00012610">
      <w:pPr>
        <w:pStyle w:val="Source"/>
        <w:rPr>
          <w:bCs/>
        </w:rPr>
      </w:pPr>
      <w:r w:rsidRPr="00341150">
        <w:t>Source: KPMG</w:t>
      </w:r>
      <w:r>
        <w:t xml:space="preserve"> 2022</w:t>
      </w:r>
    </w:p>
    <w:p w14:paraId="639F94C7" w14:textId="77777777" w:rsidR="00F50CD8" w:rsidRPr="001D6913" w:rsidRDefault="00F50CD8" w:rsidP="00F50CD8">
      <w:pPr>
        <w:pStyle w:val="Heading2"/>
      </w:pPr>
      <w:bookmarkStart w:id="34" w:name="_Ref98251983"/>
      <w:bookmarkStart w:id="35" w:name="_Toc108173973"/>
      <w:r w:rsidRPr="001D6913">
        <w:t xml:space="preserve">What </w:t>
      </w:r>
      <w:r w:rsidRPr="00EE750B">
        <w:t>success</w:t>
      </w:r>
      <w:r w:rsidRPr="001D6913">
        <w:t xml:space="preserve"> looks like for headspace</w:t>
      </w:r>
      <w:bookmarkEnd w:id="34"/>
      <w:bookmarkEnd w:id="35"/>
    </w:p>
    <w:p w14:paraId="7C1B840F" w14:textId="77777777" w:rsidR="00F50CD8" w:rsidRPr="00F71B7D" w:rsidRDefault="00F50CD8" w:rsidP="00F50CD8">
      <w:pPr>
        <w:pStyle w:val="Heading3"/>
        <w:rPr>
          <w:lang w:eastAsia="en-AU"/>
        </w:rPr>
      </w:pPr>
      <w:r>
        <w:rPr>
          <w:lang w:eastAsia="en-AU"/>
        </w:rPr>
        <w:t>headspace service users</w:t>
      </w:r>
    </w:p>
    <w:p w14:paraId="46A6379F" w14:textId="54A4C652" w:rsidR="00F50CD8" w:rsidRDefault="00F50CD8" w:rsidP="000244E4">
      <w:pPr>
        <w:pStyle w:val="BodyText"/>
      </w:pPr>
      <w:r>
        <w:t>The headspace model is designed to meet the mental health needs of young people who are deemed at risk of</w:t>
      </w:r>
      <w:r w:rsidR="003F7699">
        <w:t>,</w:t>
      </w:r>
      <w:r>
        <w:t xml:space="preserve"> or who are experiencing</w:t>
      </w:r>
      <w:r w:rsidR="003F7699">
        <w:t>,</w:t>
      </w:r>
      <w:r>
        <w:t xml:space="preserve"> the early stages of a mental health disorder or who are facing common co-occurring situational stressors or difficulties</w:t>
      </w:r>
      <w:r w:rsidR="00CC0438">
        <w:rPr>
          <w:rFonts w:ascii="ZWAdobeF" w:hAnsi="ZWAdobeF" w:cs="ZWAdobeF"/>
          <w:sz w:val="2"/>
          <w:szCs w:val="2"/>
        </w:rPr>
        <w:t>12F</w:t>
      </w:r>
      <w:r>
        <w:rPr>
          <w:rStyle w:val="FootnoteReference"/>
        </w:rPr>
        <w:footnoteReference w:id="14"/>
      </w:r>
      <w:r>
        <w:t>.</w:t>
      </w:r>
    </w:p>
    <w:p w14:paraId="71B0B87C" w14:textId="77777777" w:rsidR="00F50CD8" w:rsidRPr="001D6913" w:rsidRDefault="00F50CD8" w:rsidP="00F50CD8">
      <w:pPr>
        <w:pStyle w:val="Heading4"/>
      </w:pPr>
      <w:r>
        <w:t xml:space="preserve">Young people </w:t>
      </w:r>
    </w:p>
    <w:p w14:paraId="23A25234" w14:textId="77777777" w:rsidR="00F50CD8" w:rsidRPr="00565651" w:rsidRDefault="00F50CD8" w:rsidP="00F50CD8">
      <w:pPr>
        <w:pStyle w:val="Heading5"/>
      </w:pPr>
      <w:r>
        <w:t>Target age group</w:t>
      </w:r>
    </w:p>
    <w:p w14:paraId="253850C3" w14:textId="5059172C" w:rsidR="00F50CD8" w:rsidRPr="001D6913" w:rsidRDefault="00F50CD8" w:rsidP="00F50CD8">
      <w:pPr>
        <w:pStyle w:val="BodyText"/>
      </w:pPr>
      <w:r w:rsidRPr="001D6913">
        <w:t>Young people accessing headspace services are between the ages of 12 and 25 years. While this age range contains very different life stages and required treatment models, the headspace model is designed to support young people throughout this period, avoiding transitioning them out of the service and into adult mental health services in a disruptive way</w:t>
      </w:r>
      <w:r w:rsidR="00CC0438">
        <w:rPr>
          <w:rFonts w:ascii="ZWAdobeF" w:hAnsi="ZWAdobeF" w:cs="ZWAdobeF"/>
          <w:sz w:val="2"/>
          <w:szCs w:val="2"/>
        </w:rPr>
        <w:t>13F</w:t>
      </w:r>
      <w:r w:rsidRPr="001D6913">
        <w:rPr>
          <w:rStyle w:val="FootnoteReference"/>
        </w:rPr>
        <w:footnoteReference w:id="15"/>
      </w:r>
      <w:r>
        <w:t>.</w:t>
      </w:r>
    </w:p>
    <w:p w14:paraId="7C7F0155" w14:textId="77777777" w:rsidR="00F50CD8" w:rsidRPr="001D6913" w:rsidRDefault="00F50CD8" w:rsidP="00F50CD8">
      <w:pPr>
        <w:pStyle w:val="Heading5"/>
      </w:pPr>
      <w:r w:rsidRPr="001D6913">
        <w:t>Presenting need</w:t>
      </w:r>
    </w:p>
    <w:p w14:paraId="2F63186F" w14:textId="77777777" w:rsidR="00F50CD8" w:rsidRDefault="00F50CD8" w:rsidP="00F50CD8">
      <w:pPr>
        <w:pStyle w:val="Heading6"/>
      </w:pPr>
      <w:r>
        <w:t>Prevalence rates for mental illness and psychological distress</w:t>
      </w:r>
    </w:p>
    <w:p w14:paraId="07AD2C39" w14:textId="5A40DD31" w:rsidR="00F50CD8" w:rsidRDefault="00F50CD8" w:rsidP="00F50CD8">
      <w:pPr>
        <w:pStyle w:val="BodyText"/>
      </w:pPr>
      <w:r>
        <w:t>Mental illness remains prevalent across all life stages for Australians, however it</w:t>
      </w:r>
      <w:r w:rsidDel="00D5085F">
        <w:t xml:space="preserve"> is</w:t>
      </w:r>
      <w:r>
        <w:t xml:space="preserve"> most prevalent for 15 to 24 year olds, with rates falling</w:t>
      </w:r>
      <w:r w:rsidDel="00080470">
        <w:t xml:space="preserve"> </w:t>
      </w:r>
      <w:r>
        <w:t>as people age</w:t>
      </w:r>
      <w:r w:rsidR="00CC0438">
        <w:rPr>
          <w:rFonts w:ascii="ZWAdobeF" w:hAnsi="ZWAdobeF" w:cs="ZWAdobeF"/>
          <w:sz w:val="2"/>
          <w:szCs w:val="2"/>
        </w:rPr>
        <w:t>14F</w:t>
      </w:r>
      <w:r>
        <w:rPr>
          <w:rStyle w:val="FootnoteReference"/>
        </w:rPr>
        <w:footnoteReference w:id="16"/>
      </w:r>
      <w:r>
        <w:t>. The prevalence rate of mental illness for 15 to 19</w:t>
      </w:r>
      <w:r w:rsidR="00FE5BC4">
        <w:t xml:space="preserve"> </w:t>
      </w:r>
      <w:r>
        <w:t>year olds was 24.4 per cent in 2017, and 23.9 per cent for 20 to 24 year olds, with this rate decreasing into adulthood. Almost three-quarters of adults with mental illness first experience mental ill-health before the age of 25</w:t>
      </w:r>
      <w:r w:rsidR="00CC0438">
        <w:rPr>
          <w:rFonts w:ascii="ZWAdobeF" w:hAnsi="ZWAdobeF" w:cs="ZWAdobeF"/>
          <w:sz w:val="2"/>
          <w:szCs w:val="2"/>
        </w:rPr>
        <w:t>15F</w:t>
      </w:r>
      <w:r>
        <w:rPr>
          <w:rStyle w:val="FootnoteReference"/>
        </w:rPr>
        <w:footnoteReference w:id="17"/>
      </w:r>
      <w:r>
        <w:t>.</w:t>
      </w:r>
    </w:p>
    <w:p w14:paraId="19864EA4" w14:textId="1641BB73" w:rsidR="00F50CD8" w:rsidRDefault="00F50CD8" w:rsidP="00F50CD8">
      <w:pPr>
        <w:pStyle w:val="BodyText"/>
      </w:pPr>
      <w:r>
        <w:t>In the Mission Australia Youth Survey 2016, for the first time</w:t>
      </w:r>
      <w:r w:rsidR="00CB533A">
        <w:t>,</w:t>
      </w:r>
      <w:r>
        <w:t xml:space="preserve"> mental health was listed as one of the top three issues affecting young Australians</w:t>
      </w:r>
      <w:r w:rsidR="00CC0438">
        <w:rPr>
          <w:rFonts w:ascii="ZWAdobeF" w:hAnsi="ZWAdobeF" w:cs="ZWAdobeF"/>
          <w:sz w:val="2"/>
          <w:szCs w:val="2"/>
        </w:rPr>
        <w:t>16F</w:t>
      </w:r>
      <w:r>
        <w:rPr>
          <w:rStyle w:val="FootnoteReference"/>
        </w:rPr>
        <w:footnoteReference w:id="18"/>
      </w:r>
      <w:r>
        <w:t xml:space="preserve">. Since </w:t>
      </w:r>
      <w:r w:rsidR="00CB533A">
        <w:t>that time</w:t>
      </w:r>
      <w:r>
        <w:t>, it has remained an ever-present concern for young people (aged 16</w:t>
      </w:r>
      <w:r w:rsidR="00604F43">
        <w:t xml:space="preserve"> to </w:t>
      </w:r>
      <w:r>
        <w:t xml:space="preserve">25 years). </w:t>
      </w:r>
      <w:r w:rsidRPr="006879DA">
        <w:t xml:space="preserve">The </w:t>
      </w:r>
      <w:r>
        <w:t xml:space="preserve">Mission Australia Youth Survey 2021 reported </w:t>
      </w:r>
      <w:r w:rsidR="00CB533A">
        <w:t xml:space="preserve">that </w:t>
      </w:r>
      <w:r>
        <w:t>41.9</w:t>
      </w:r>
      <w:r w:rsidR="00F43A1F">
        <w:t xml:space="preserve"> </w:t>
      </w:r>
      <w:r>
        <w:t>per cent of young people were extremely or very concerned about mental health</w:t>
      </w:r>
      <w:r w:rsidR="00CC0438">
        <w:rPr>
          <w:rFonts w:ascii="ZWAdobeF" w:hAnsi="ZWAdobeF" w:cs="ZWAdobeF"/>
          <w:sz w:val="2"/>
          <w:szCs w:val="2"/>
        </w:rPr>
        <w:t>17F</w:t>
      </w:r>
      <w:r>
        <w:rPr>
          <w:rStyle w:val="FootnoteReference"/>
        </w:rPr>
        <w:footnoteReference w:id="19"/>
      </w:r>
      <w:r>
        <w:t>.</w:t>
      </w:r>
    </w:p>
    <w:p w14:paraId="5083AB70" w14:textId="72C0DA21" w:rsidR="00F50CD8" w:rsidRDefault="00F50CD8" w:rsidP="00F50CD8">
      <w:pPr>
        <w:pStyle w:val="BodyText"/>
      </w:pPr>
      <w:r>
        <w:t>There are some groups of Australians who are more likely to experience mental ill-health. These include young people, unemployed</w:t>
      </w:r>
      <w:r w:rsidR="006864DF">
        <w:t xml:space="preserve"> people</w:t>
      </w:r>
      <w:r>
        <w:t xml:space="preserve">, Aboriginal and Torres Strait Islander people and single parent families. However, mental ill-health can affect anyone, at any stage of life and can be a single episode, episodic or persistent throughout the person’s life. There are several factors that can also adversely affect mental health, including biological, environmental, and social factors. </w:t>
      </w:r>
      <w:r w:rsidR="007674B9">
        <w:t>Examples include t</w:t>
      </w:r>
      <w:r>
        <w:t xml:space="preserve">rauma and stress, social conditions </w:t>
      </w:r>
      <w:r w:rsidR="006F7A83">
        <w:t>a</w:t>
      </w:r>
      <w:r w:rsidR="00133666">
        <w:t>ss</w:t>
      </w:r>
      <w:r w:rsidR="00774CB5">
        <w:t>ociated</w:t>
      </w:r>
      <w:r w:rsidR="00133666">
        <w:t xml:space="preserve"> with</w:t>
      </w:r>
      <w:r>
        <w:t xml:space="preserve"> the COVID-19 pandemic, and</w:t>
      </w:r>
      <w:r w:rsidR="00844D17">
        <w:t>/</w:t>
      </w:r>
      <w:r w:rsidR="00133666">
        <w:t>or recent</w:t>
      </w:r>
      <w:r>
        <w:t xml:space="preserve"> natural disasters</w:t>
      </w:r>
      <w:r w:rsidR="00CC0438">
        <w:rPr>
          <w:rFonts w:ascii="ZWAdobeF" w:hAnsi="ZWAdobeF" w:cs="ZWAdobeF"/>
          <w:sz w:val="2"/>
          <w:szCs w:val="2"/>
        </w:rPr>
        <w:t>18F</w:t>
      </w:r>
      <w:r>
        <w:rPr>
          <w:rStyle w:val="FootnoteReference"/>
        </w:rPr>
        <w:footnoteReference w:id="20"/>
      </w:r>
      <w:r>
        <w:t>.</w:t>
      </w:r>
    </w:p>
    <w:p w14:paraId="6654DAED" w14:textId="39B74B00" w:rsidR="00F50CD8" w:rsidRPr="00722A14" w:rsidRDefault="00502F33" w:rsidP="00F50CD8">
      <w:pPr>
        <w:pStyle w:val="BodyText"/>
      </w:pPr>
      <w:r>
        <w:t>The p</w:t>
      </w:r>
      <w:r w:rsidR="00F50CD8">
        <w:t>revalence of moderate or greater psychological distress has increased over time for young people, similar to the general population. This has risen from 38 per cent in 2011-12 to 44 per cent in 2017</w:t>
      </w:r>
      <w:r w:rsidR="00F50CD8">
        <w:noBreakHyphen/>
        <w:t>18</w:t>
      </w:r>
      <w:r w:rsidR="00CC0438">
        <w:rPr>
          <w:rFonts w:ascii="ZWAdobeF" w:hAnsi="ZWAdobeF" w:cs="ZWAdobeF"/>
          <w:sz w:val="2"/>
          <w:szCs w:val="2"/>
        </w:rPr>
        <w:t>19F</w:t>
      </w:r>
      <w:r w:rsidR="00F50CD8">
        <w:rPr>
          <w:rStyle w:val="FootnoteReference"/>
        </w:rPr>
        <w:footnoteReference w:id="21"/>
      </w:r>
      <w:r w:rsidR="00F50CD8">
        <w:t xml:space="preserve">. Early reporting from the </w:t>
      </w:r>
      <w:r w:rsidR="00F50CD8" w:rsidRPr="00112E85">
        <w:rPr>
          <w:rFonts w:cs="Times New Roman"/>
        </w:rPr>
        <w:t>Intergenerational Health and Mental Health Survey</w:t>
      </w:r>
      <w:r w:rsidR="00F50CD8">
        <w:t xml:space="preserve"> also indicates that younger Australians (aged 16 to 34 years) were more likely to experience high or very high levels of psychological distress in 2020-21, with 20</w:t>
      </w:r>
      <w:r w:rsidR="00F33D04">
        <w:t xml:space="preserve"> </w:t>
      </w:r>
      <w:r w:rsidR="00F50CD8">
        <w:t xml:space="preserve">per cent prevalence, compared to 15 per cent for 35 to 64 year olds and 9 per cent </w:t>
      </w:r>
      <w:r w:rsidR="00A37527">
        <w:t xml:space="preserve">for </w:t>
      </w:r>
      <w:r w:rsidR="00F50CD8">
        <w:t>65 to 85 year olds</w:t>
      </w:r>
      <w:r w:rsidR="00CC0438">
        <w:rPr>
          <w:rFonts w:ascii="ZWAdobeF" w:hAnsi="ZWAdobeF" w:cs="ZWAdobeF"/>
          <w:sz w:val="2"/>
          <w:szCs w:val="2"/>
        </w:rPr>
        <w:t>20F</w:t>
      </w:r>
      <w:r w:rsidR="00F50CD8">
        <w:rPr>
          <w:rStyle w:val="FootnoteReference"/>
        </w:rPr>
        <w:footnoteReference w:id="22"/>
      </w:r>
      <w:r w:rsidR="00F50CD8">
        <w:t>.</w:t>
      </w:r>
    </w:p>
    <w:p w14:paraId="605F9DDF" w14:textId="77777777" w:rsidR="00F50CD8" w:rsidRDefault="00F50CD8" w:rsidP="00F50CD8">
      <w:pPr>
        <w:pStyle w:val="Heading6"/>
      </w:pPr>
      <w:r>
        <w:t>Implications of mental ill-health for young people</w:t>
      </w:r>
    </w:p>
    <w:p w14:paraId="4F3863CE" w14:textId="31E9CD6C" w:rsidR="00F50CD8" w:rsidRPr="00FA42A9" w:rsidRDefault="00F50CD8" w:rsidP="00F50CD8">
      <w:pPr>
        <w:pStyle w:val="BodyText"/>
      </w:pPr>
      <w:r>
        <w:t>The impact of mental ill</w:t>
      </w:r>
      <w:r w:rsidR="00716CBE">
        <w:t>-</w:t>
      </w:r>
      <w:r>
        <w:t>health for young people is profound. The period from 16 to 24 years is an important transition point for young people, with participation and outcomes significantly affecting economic and social participation later in life. Mental ill health is the leading cause of disability in people aged 10 to 24 years</w:t>
      </w:r>
      <w:r w:rsidR="00CC0438">
        <w:rPr>
          <w:rFonts w:ascii="ZWAdobeF" w:hAnsi="ZWAdobeF" w:cs="ZWAdobeF"/>
          <w:sz w:val="2"/>
          <w:szCs w:val="2"/>
        </w:rPr>
        <w:t>21F</w:t>
      </w:r>
      <w:r w:rsidR="00DC7059">
        <w:rPr>
          <w:rStyle w:val="FootnoteReference"/>
        </w:rPr>
        <w:footnoteReference w:id="23"/>
      </w:r>
      <w:r>
        <w:t>, and accounts for almost 50 per cent of the burden of disease in people aged 16 to 24 years</w:t>
      </w:r>
      <w:r w:rsidR="00CC0438">
        <w:rPr>
          <w:rFonts w:ascii="ZWAdobeF" w:hAnsi="ZWAdobeF" w:cs="ZWAdobeF"/>
          <w:sz w:val="2"/>
          <w:szCs w:val="2"/>
        </w:rPr>
        <w:t>22F</w:t>
      </w:r>
      <w:r w:rsidR="00DC7059">
        <w:rPr>
          <w:rStyle w:val="FootnoteReference"/>
        </w:rPr>
        <w:footnoteReference w:id="24"/>
      </w:r>
      <w:r>
        <w:t>. Suicide is the leading cause of death in people aged 15 to 24 years</w:t>
      </w:r>
      <w:r w:rsidR="00CC0438">
        <w:rPr>
          <w:rFonts w:ascii="ZWAdobeF" w:hAnsi="ZWAdobeF" w:cs="ZWAdobeF"/>
          <w:sz w:val="2"/>
          <w:szCs w:val="2"/>
        </w:rPr>
        <w:t>23F</w:t>
      </w:r>
      <w:r>
        <w:rPr>
          <w:rStyle w:val="FootnoteReference"/>
        </w:rPr>
        <w:footnoteReference w:id="25"/>
      </w:r>
      <w:r>
        <w:t>.</w:t>
      </w:r>
    </w:p>
    <w:p w14:paraId="4159AFFA" w14:textId="00844B1E" w:rsidR="00F50CD8" w:rsidRDefault="00F50CD8" w:rsidP="00F50CD8">
      <w:pPr>
        <w:pStyle w:val="BodyText"/>
      </w:pPr>
      <w:r>
        <w:t xml:space="preserve">Young people experiencing mental ill-health are also at higher risk of disengaging from education or employment. For example, </w:t>
      </w:r>
      <w:r w:rsidR="00DE4CC2">
        <w:t>the</w:t>
      </w:r>
      <w:r>
        <w:t xml:space="preserve"> 2015 evaluation of </w:t>
      </w:r>
      <w:r w:rsidRPr="001D6913">
        <w:t xml:space="preserve">headspace </w:t>
      </w:r>
      <w:r>
        <w:t xml:space="preserve">found that 20 per cent of </w:t>
      </w:r>
      <w:r w:rsidR="00C118C5">
        <w:t>headspace</w:t>
      </w:r>
      <w:r w:rsidR="00A1667C">
        <w:t xml:space="preserve"> </w:t>
      </w:r>
      <w:r>
        <w:t>clients were disengaged from employment, education</w:t>
      </w:r>
      <w:r w:rsidR="00113F4B">
        <w:t>,</w:t>
      </w:r>
      <w:r>
        <w:t xml:space="preserve"> and training, compared with 11 per cent of the comparable general youth population</w:t>
      </w:r>
      <w:r w:rsidR="00CC0438">
        <w:rPr>
          <w:rFonts w:ascii="ZWAdobeF" w:hAnsi="ZWAdobeF" w:cs="ZWAdobeF"/>
          <w:sz w:val="2"/>
          <w:szCs w:val="2"/>
        </w:rPr>
        <w:t>24F</w:t>
      </w:r>
      <w:r>
        <w:rPr>
          <w:rStyle w:val="FootnoteReference"/>
        </w:rPr>
        <w:footnoteReference w:id="26"/>
      </w:r>
      <w:r>
        <w:t>.</w:t>
      </w:r>
      <w:r w:rsidRPr="005824E3">
        <w:t xml:space="preserve"> </w:t>
      </w:r>
      <w:r w:rsidR="00B73C87">
        <w:t>This trend</w:t>
      </w:r>
      <w:r w:rsidR="00FD0E6F">
        <w:t xml:space="preserve"> has continued, with </w:t>
      </w:r>
      <w:r w:rsidR="008039AA" w:rsidRPr="0000539B">
        <w:t>approximately 17</w:t>
      </w:r>
      <w:r w:rsidR="00FD0E6F" w:rsidRPr="0000539B">
        <w:t xml:space="preserve"> per cent</w:t>
      </w:r>
      <w:r w:rsidR="00FD0E6F">
        <w:t xml:space="preserve"> of headspace clients </w:t>
      </w:r>
      <w:r w:rsidR="0000539B" w:rsidRPr="00AC3BE5">
        <w:t xml:space="preserve">in </w:t>
      </w:r>
      <w:r w:rsidR="0000539B" w:rsidRPr="008D3F21">
        <w:t xml:space="preserve">2018-19 </w:t>
      </w:r>
      <w:r w:rsidR="00FD0E6F" w:rsidRPr="00772A1A">
        <w:t xml:space="preserve">disengaged from </w:t>
      </w:r>
      <w:r w:rsidR="00FD0E6F" w:rsidRPr="0005321B">
        <w:t>employment, education and training</w:t>
      </w:r>
      <w:r w:rsidR="0000539B" w:rsidRPr="005773B2">
        <w:t xml:space="preserve"> at the time</w:t>
      </w:r>
      <w:r w:rsidR="0000539B">
        <w:t xml:space="preserve"> of their first </w:t>
      </w:r>
      <w:r w:rsidR="006E7DB0">
        <w:t>O</w:t>
      </w:r>
      <w:r w:rsidR="00DE4CC2">
        <w:t>O</w:t>
      </w:r>
      <w:r w:rsidR="006E7DB0">
        <w:t>S</w:t>
      </w:r>
      <w:r w:rsidR="0000539B">
        <w:t xml:space="preserve"> with headspace</w:t>
      </w:r>
      <w:r w:rsidR="00FD0E6F">
        <w:t xml:space="preserve">, compared to 8.4 per cent of </w:t>
      </w:r>
      <w:r w:rsidR="00080644">
        <w:t xml:space="preserve">all </w:t>
      </w:r>
      <w:r w:rsidR="00306D83">
        <w:t>young people aged 15</w:t>
      </w:r>
      <w:r w:rsidR="00E34997">
        <w:t> </w:t>
      </w:r>
      <w:r w:rsidR="00306D83">
        <w:t>to 24 years</w:t>
      </w:r>
      <w:r w:rsidR="00E9640C">
        <w:t xml:space="preserve"> as at May 2019</w:t>
      </w:r>
      <w:r w:rsidR="00CC0438">
        <w:rPr>
          <w:rFonts w:ascii="ZWAdobeF" w:hAnsi="ZWAdobeF" w:cs="ZWAdobeF"/>
          <w:sz w:val="2"/>
          <w:szCs w:val="2"/>
        </w:rPr>
        <w:t>25F</w:t>
      </w:r>
      <w:r w:rsidR="00E9640C">
        <w:rPr>
          <w:rStyle w:val="FootnoteReference"/>
        </w:rPr>
        <w:footnoteReference w:id="27"/>
      </w:r>
      <w:r w:rsidR="00764426">
        <w:t>.</w:t>
      </w:r>
    </w:p>
    <w:p w14:paraId="28C0D101" w14:textId="0604418D" w:rsidR="00F50CD8" w:rsidRPr="001D6913" w:rsidRDefault="00F50CD8" w:rsidP="00F50CD8">
      <w:pPr>
        <w:pStyle w:val="BodyText"/>
      </w:pPr>
      <w:r w:rsidRPr="001D6913">
        <w:t>headspace</w:t>
      </w:r>
      <w:r>
        <w:t>, as</w:t>
      </w:r>
      <w:r w:rsidRPr="001D6913">
        <w:t xml:space="preserve"> an early intervention and prevention model, </w:t>
      </w:r>
      <w:r>
        <w:t>is</w:t>
      </w:r>
      <w:r w:rsidRPr="001D6913">
        <w:t xml:space="preserve"> designed to assist young people in managing mild to moderate, high</w:t>
      </w:r>
      <w:r w:rsidR="00DC50F7">
        <w:t>-</w:t>
      </w:r>
      <w:r w:rsidRPr="001D6913">
        <w:t xml:space="preserve">prevalence </w:t>
      </w:r>
      <w:r w:rsidR="00F60B40">
        <w:t xml:space="preserve">mental health </w:t>
      </w:r>
      <w:r w:rsidRPr="001D6913">
        <w:t>conditions</w:t>
      </w:r>
      <w:r w:rsidR="00CC0438">
        <w:rPr>
          <w:rFonts w:ascii="ZWAdobeF" w:hAnsi="ZWAdobeF" w:cs="ZWAdobeF"/>
          <w:sz w:val="2"/>
          <w:szCs w:val="2"/>
        </w:rPr>
        <w:t>26F</w:t>
      </w:r>
      <w:r w:rsidRPr="001D6913">
        <w:rPr>
          <w:rStyle w:val="FootnoteReference"/>
        </w:rPr>
        <w:footnoteReference w:id="28"/>
      </w:r>
      <w:r>
        <w:t>.</w:t>
      </w:r>
      <w:r w:rsidRPr="001D6913">
        <w:t xml:space="preserve"> Depression and anxiety are the most frequently reported mental health conditions for the headspace </w:t>
      </w:r>
      <w:r>
        <w:t>target cohort</w:t>
      </w:r>
      <w:r w:rsidRPr="001D6913">
        <w:t>, while situational or contextual stress</w:t>
      </w:r>
      <w:r>
        <w:t>,</w:t>
      </w:r>
      <w:r w:rsidRPr="001D6913">
        <w:t xml:space="preserve"> such as that associated with family breakdown, with school and work, and related to peer group dynamics</w:t>
      </w:r>
      <w:r>
        <w:t>,</w:t>
      </w:r>
      <w:r w:rsidRPr="001D6913">
        <w:t xml:space="preserve"> are also frequently reported for this grou</w:t>
      </w:r>
      <w:r>
        <w:t>p.</w:t>
      </w:r>
      <w:r w:rsidRPr="001D6913">
        <w:t xml:space="preserve"> By encouraging early help seeking and mental health literacy, the model aims to support young people to be able to better manage their emerging mental health needs and, where possible, prevent their mental health from deteriorating into more acute conditions.</w:t>
      </w:r>
      <w:r>
        <w:t xml:space="preserve"> With the headspace model’s ‘no wrong door’ approach</w:t>
      </w:r>
      <w:r w:rsidR="00CC0438">
        <w:rPr>
          <w:rFonts w:ascii="ZWAdobeF" w:hAnsi="ZWAdobeF" w:cs="ZWAdobeF"/>
          <w:sz w:val="2"/>
          <w:szCs w:val="2"/>
        </w:rPr>
        <w:t>27F</w:t>
      </w:r>
      <w:r w:rsidRPr="001D6913">
        <w:rPr>
          <w:rStyle w:val="FootnoteReference"/>
        </w:rPr>
        <w:footnoteReference w:id="29"/>
      </w:r>
      <w:r>
        <w:t xml:space="preserve">, headspace services </w:t>
      </w:r>
      <w:r w:rsidRPr="001D6913">
        <w:t xml:space="preserve">work with young people </w:t>
      </w:r>
      <w:r w:rsidR="00A30D46">
        <w:t>who have</w:t>
      </w:r>
      <w:r w:rsidR="00A30D46" w:rsidRPr="001D6913">
        <w:t xml:space="preserve"> </w:t>
      </w:r>
      <w:r w:rsidRPr="001D6913">
        <w:t>a range of presenting needs to assist them to access appropriate care.</w:t>
      </w:r>
    </w:p>
    <w:p w14:paraId="081EDC46" w14:textId="77777777" w:rsidR="00F50CD8" w:rsidRPr="001E0DE1" w:rsidRDefault="00F50CD8" w:rsidP="00F50CD8">
      <w:pPr>
        <w:pStyle w:val="Heading5"/>
        <w:rPr>
          <w:rStyle w:val="Heading5Char"/>
        </w:rPr>
      </w:pPr>
      <w:r w:rsidRPr="001D6913">
        <w:rPr>
          <w:lang w:eastAsia="en-AU"/>
        </w:rPr>
        <w:t>Demographic characteristics</w:t>
      </w:r>
    </w:p>
    <w:p w14:paraId="22F512CB" w14:textId="4DB5414C" w:rsidR="00F50CD8" w:rsidRDefault="00F50CD8" w:rsidP="00F50CD8">
      <w:pPr>
        <w:pStyle w:val="BodyText"/>
      </w:pPr>
      <w:r>
        <w:t>There is clear data indicating that mental health outcomes and mental illness prevalence vary with different demographic characteristics. These can vary greatly as a function of the young per</w:t>
      </w:r>
      <w:r w:rsidR="00BE7E67">
        <w:t>s</w:t>
      </w:r>
      <w:r>
        <w:t>on's gender, geographic location, and cultural background.</w:t>
      </w:r>
    </w:p>
    <w:p w14:paraId="2EDEB36A" w14:textId="59E71E8F" w:rsidR="00F50CD8" w:rsidRPr="008B4FEC" w:rsidRDefault="00F50CD8" w:rsidP="00F50CD8">
      <w:pPr>
        <w:pStyle w:val="BodyText"/>
      </w:pPr>
      <w:r>
        <w:t xml:space="preserve">Submissions to the Productivity Commission Mental Health Inquiry highlighted that LGBTQIA+ </w:t>
      </w:r>
      <w:r w:rsidR="009119C7">
        <w:t xml:space="preserve">young </w:t>
      </w:r>
      <w:r>
        <w:t>people are especially at risk of mental ill-health. Same-sex attracted young people are six times as likely to have attempted suicide compared with their heterosexual peers</w:t>
      </w:r>
      <w:r w:rsidR="00CC0438">
        <w:rPr>
          <w:rFonts w:ascii="ZWAdobeF" w:hAnsi="ZWAdobeF" w:cs="ZWAdobeF"/>
          <w:sz w:val="2"/>
          <w:szCs w:val="2"/>
        </w:rPr>
        <w:t>28F</w:t>
      </w:r>
      <w:r w:rsidRPr="00A14848">
        <w:rPr>
          <w:rStyle w:val="FootnoteReference"/>
        </w:rPr>
        <w:footnoteReference w:id="30"/>
      </w:r>
      <w:r>
        <w:t>. Similarly, almost half of young trans</w:t>
      </w:r>
      <w:r w:rsidR="00003D01">
        <w:t xml:space="preserve"> </w:t>
      </w:r>
      <w:r>
        <w:t>people had attempted suicide and 80 per cent had self-harmed</w:t>
      </w:r>
      <w:r w:rsidR="00CC0438">
        <w:rPr>
          <w:rFonts w:ascii="ZWAdobeF" w:hAnsi="ZWAdobeF" w:cs="ZWAdobeF"/>
          <w:sz w:val="2"/>
          <w:szCs w:val="2"/>
        </w:rPr>
        <w:t>29F</w:t>
      </w:r>
      <w:r>
        <w:rPr>
          <w:rStyle w:val="FootnoteReference"/>
        </w:rPr>
        <w:footnoteReference w:id="31"/>
      </w:r>
      <w:r>
        <w:t>. Homophobic abuse experienced by young people has been linked to substance-use, self-harm, and suicide attempts.</w:t>
      </w:r>
    </w:p>
    <w:p w14:paraId="3095AFCB" w14:textId="128C3163" w:rsidR="00F50CD8" w:rsidRDefault="00F50CD8" w:rsidP="00F50CD8">
      <w:pPr>
        <w:pStyle w:val="BodyText"/>
      </w:pPr>
      <w:r>
        <w:t xml:space="preserve">Young females are twice as likely to engage in self-harming behaviours than young males, and eating disorders are the second most common cause of mental </w:t>
      </w:r>
      <w:r w:rsidR="00830486">
        <w:t xml:space="preserve">ill-health </w:t>
      </w:r>
      <w:r>
        <w:t>for young fem</w:t>
      </w:r>
      <w:r w:rsidR="00BE7E67">
        <w:t>a</w:t>
      </w:r>
      <w:r>
        <w:t xml:space="preserve">les. </w:t>
      </w:r>
      <w:r w:rsidR="00054B9E" w:rsidRPr="00054B9E">
        <w:t xml:space="preserve">Young females are more likely </w:t>
      </w:r>
      <w:r w:rsidR="00A621FA">
        <w:t xml:space="preserve">to </w:t>
      </w:r>
      <w:r w:rsidR="00054B9E" w:rsidRPr="00054B9E">
        <w:t>consider taking their own lives, however young males are more than twice as likely to die by suicide</w:t>
      </w:r>
      <w:r w:rsidR="00CC0438">
        <w:rPr>
          <w:rFonts w:ascii="ZWAdobeF" w:hAnsi="ZWAdobeF" w:cs="ZWAdobeF"/>
          <w:sz w:val="2"/>
          <w:szCs w:val="2"/>
        </w:rPr>
        <w:t>30F</w:t>
      </w:r>
      <w:r>
        <w:rPr>
          <w:rStyle w:val="FootnoteReference"/>
        </w:rPr>
        <w:footnoteReference w:id="32"/>
      </w:r>
      <w:r>
        <w:t>.</w:t>
      </w:r>
    </w:p>
    <w:p w14:paraId="7985C0C1" w14:textId="2C9C7D3B" w:rsidR="00F50CD8" w:rsidRDefault="00F50CD8" w:rsidP="00F50CD8">
      <w:pPr>
        <w:pStyle w:val="BodyText"/>
      </w:pPr>
      <w:r>
        <w:t>There are also particular challenges for young people living in regional and remote areas accessing mental health services. Submissions to the Productivity Commission highlighted that there are limited services in these areas, if any, and this results in long waiting times for support, unsuitable services to match the needs of people, and the need to travel significant distances to access services</w:t>
      </w:r>
      <w:r w:rsidR="00CC0438">
        <w:rPr>
          <w:rFonts w:ascii="ZWAdobeF" w:hAnsi="ZWAdobeF" w:cs="ZWAdobeF"/>
          <w:sz w:val="2"/>
          <w:szCs w:val="2"/>
        </w:rPr>
        <w:t>31F</w:t>
      </w:r>
      <w:r>
        <w:rPr>
          <w:rStyle w:val="FootnoteReference"/>
        </w:rPr>
        <w:footnoteReference w:id="33"/>
      </w:r>
      <w:r>
        <w:t xml:space="preserve">. As a result, use of mental health services is also lower in regional and remote areas. People located in major cities and inner regional areas use mental health-related MBS services through </w:t>
      </w:r>
      <w:r w:rsidR="00830486">
        <w:t>General Practitioners (</w:t>
      </w:r>
      <w:r>
        <w:t>GPs</w:t>
      </w:r>
      <w:r w:rsidR="00830486">
        <w:t>)</w:t>
      </w:r>
      <w:r>
        <w:t xml:space="preserve"> at a rate of 152.2 and 151.5</w:t>
      </w:r>
      <w:r w:rsidR="00D603C7">
        <w:t xml:space="preserve"> </w:t>
      </w:r>
      <w:r>
        <w:t>per 1,000 people respectively. This compares to 118.9</w:t>
      </w:r>
      <w:r w:rsidR="007240BF">
        <w:t> </w:t>
      </w:r>
      <w:r>
        <w:t>per 1,000 people for outer regional areas, 71 per 1,000 people for remote areas and 33.3 per 1,000 people for very remote areas</w:t>
      </w:r>
      <w:r w:rsidR="00CC0438">
        <w:rPr>
          <w:rFonts w:ascii="ZWAdobeF" w:hAnsi="ZWAdobeF" w:cs="ZWAdobeF"/>
          <w:sz w:val="2"/>
          <w:szCs w:val="2"/>
        </w:rPr>
        <w:t>32F</w:t>
      </w:r>
      <w:r>
        <w:rPr>
          <w:rStyle w:val="FootnoteReference"/>
        </w:rPr>
        <w:footnoteReference w:id="34"/>
      </w:r>
      <w:r>
        <w:t>.</w:t>
      </w:r>
    </w:p>
    <w:p w14:paraId="1B40AD4B" w14:textId="779A5852" w:rsidR="00F50CD8" w:rsidRDefault="00F50CD8" w:rsidP="00F50CD8">
      <w:pPr>
        <w:pStyle w:val="BodyText"/>
      </w:pPr>
      <w:r>
        <w:t>At the same time, in some culturally and linguistically diverse communities, there is significant stigma and taboo associated with mental illness. This can mean that people from culturally and linguistically diverse communities are not prepared to share their experiences of mental illness or seek support due to feelings of shame experienced from family and others around them</w:t>
      </w:r>
      <w:r w:rsidR="00CC0438">
        <w:rPr>
          <w:rFonts w:ascii="ZWAdobeF" w:hAnsi="ZWAdobeF" w:cs="ZWAdobeF"/>
          <w:sz w:val="2"/>
          <w:szCs w:val="2"/>
        </w:rPr>
        <w:t>33F</w:t>
      </w:r>
      <w:r>
        <w:rPr>
          <w:rStyle w:val="FootnoteReference"/>
        </w:rPr>
        <w:footnoteReference w:id="35"/>
      </w:r>
      <w:r>
        <w:t>. It has been suggested that young culturally and linguistically diverse people are</w:t>
      </w:r>
      <w:r w:rsidR="00904F0A">
        <w:t xml:space="preserve"> </w:t>
      </w:r>
      <w:r w:rsidR="00AD1CA8">
        <w:t>particularly</w:t>
      </w:r>
      <w:r w:rsidR="00904F0A">
        <w:t xml:space="preserve"> exposed </w:t>
      </w:r>
      <w:r>
        <w:t xml:space="preserve">to environmental </w:t>
      </w:r>
      <w:r w:rsidR="00B273C8">
        <w:t xml:space="preserve">and social </w:t>
      </w:r>
      <w:r>
        <w:t>risk factors which can negatively affect their mental health</w:t>
      </w:r>
      <w:r w:rsidR="00CC0438">
        <w:rPr>
          <w:rFonts w:ascii="ZWAdobeF" w:hAnsi="ZWAdobeF" w:cs="ZWAdobeF"/>
          <w:sz w:val="2"/>
          <w:szCs w:val="2"/>
        </w:rPr>
        <w:t>34F</w:t>
      </w:r>
      <w:r>
        <w:rPr>
          <w:rStyle w:val="FootnoteReference"/>
        </w:rPr>
        <w:footnoteReference w:id="36"/>
      </w:r>
      <w:r>
        <w:t>.</w:t>
      </w:r>
    </w:p>
    <w:p w14:paraId="1B44CF6B" w14:textId="77777777" w:rsidR="00F50CD8" w:rsidRPr="001D6913" w:rsidRDefault="00F50CD8" w:rsidP="003006A8">
      <w:pPr>
        <w:pStyle w:val="BodyText"/>
      </w:pPr>
      <w:r w:rsidRPr="001D6913">
        <w:t xml:space="preserve">Nationally, headspace </w:t>
      </w:r>
      <w:r>
        <w:t xml:space="preserve">National </w:t>
      </w:r>
      <w:r w:rsidRPr="001D6913">
        <w:t xml:space="preserve">has identified a number of priority groups with which </w:t>
      </w:r>
      <w:r>
        <w:t xml:space="preserve">headspace </w:t>
      </w:r>
      <w:r w:rsidRPr="001D6913">
        <w:t>services are required to demonstrate active engagement. The headspace priority groups are:</w:t>
      </w:r>
    </w:p>
    <w:p w14:paraId="39D6060D" w14:textId="720B24D5" w:rsidR="00F50CD8" w:rsidRPr="001D6913" w:rsidRDefault="00F50CD8" w:rsidP="00F50CD8">
      <w:pPr>
        <w:pStyle w:val="Bullet1stlevel"/>
        <w:rPr>
          <w:lang w:eastAsia="en-AU"/>
        </w:rPr>
      </w:pPr>
      <w:r>
        <w:rPr>
          <w:lang w:eastAsia="en-AU"/>
        </w:rPr>
        <w:t>y</w:t>
      </w:r>
      <w:r w:rsidRPr="001D6913">
        <w:rPr>
          <w:lang w:eastAsia="en-AU"/>
        </w:rPr>
        <w:t>oung men</w:t>
      </w:r>
      <w:r w:rsidR="00EE62D2">
        <w:rPr>
          <w:lang w:eastAsia="en-AU"/>
        </w:rPr>
        <w:t>;</w:t>
      </w:r>
    </w:p>
    <w:p w14:paraId="62B2F3D1" w14:textId="70B6EF36" w:rsidR="00F50CD8" w:rsidRPr="001D6913" w:rsidRDefault="00F50CD8" w:rsidP="00F50CD8">
      <w:pPr>
        <w:pStyle w:val="Bullet1stlevel"/>
        <w:rPr>
          <w:lang w:eastAsia="en-AU"/>
        </w:rPr>
      </w:pPr>
      <w:r>
        <w:rPr>
          <w:lang w:eastAsia="en-AU"/>
        </w:rPr>
        <w:t>s</w:t>
      </w:r>
      <w:r w:rsidRPr="001D6913">
        <w:rPr>
          <w:lang w:eastAsia="en-AU"/>
        </w:rPr>
        <w:t>exuality and gender diverse young people</w:t>
      </w:r>
      <w:r w:rsidR="00EE62D2">
        <w:rPr>
          <w:lang w:eastAsia="en-AU"/>
        </w:rPr>
        <w:t>;</w:t>
      </w:r>
      <w:r w:rsidRPr="001D6913">
        <w:rPr>
          <w:lang w:eastAsia="en-AU"/>
        </w:rPr>
        <w:t xml:space="preserve"> </w:t>
      </w:r>
    </w:p>
    <w:p w14:paraId="064083A1" w14:textId="7FA90721" w:rsidR="00F50CD8" w:rsidRPr="001D6913" w:rsidRDefault="00F50CD8" w:rsidP="00F50CD8">
      <w:pPr>
        <w:pStyle w:val="Bullet1stlevel"/>
        <w:rPr>
          <w:lang w:eastAsia="en-AU"/>
        </w:rPr>
      </w:pPr>
      <w:r w:rsidRPr="001D6913">
        <w:rPr>
          <w:lang w:eastAsia="en-AU"/>
        </w:rPr>
        <w:t>Aboriginal and Torres Strait Islander young people</w:t>
      </w:r>
      <w:r w:rsidR="00EE62D2">
        <w:rPr>
          <w:lang w:eastAsia="en-AU"/>
        </w:rPr>
        <w:t>;</w:t>
      </w:r>
    </w:p>
    <w:p w14:paraId="74065DC6" w14:textId="6F34FC3C" w:rsidR="00F50CD8" w:rsidRPr="001D6913" w:rsidRDefault="00F50CD8" w:rsidP="00F50CD8">
      <w:pPr>
        <w:pStyle w:val="Bullet1stlevel"/>
        <w:rPr>
          <w:lang w:eastAsia="en-AU"/>
        </w:rPr>
      </w:pPr>
      <w:r>
        <w:rPr>
          <w:lang w:eastAsia="en-AU"/>
        </w:rPr>
        <w:t>y</w:t>
      </w:r>
      <w:r w:rsidRPr="001D6913">
        <w:rPr>
          <w:lang w:eastAsia="en-AU"/>
        </w:rPr>
        <w:t xml:space="preserve">oung people from </w:t>
      </w:r>
      <w:r>
        <w:rPr>
          <w:lang w:eastAsia="en-AU"/>
        </w:rPr>
        <w:t>culturally and linguistically diverse backgrounds</w:t>
      </w:r>
      <w:r w:rsidR="00EE62D2">
        <w:rPr>
          <w:lang w:eastAsia="en-AU"/>
        </w:rPr>
        <w:t>;</w:t>
      </w:r>
    </w:p>
    <w:p w14:paraId="33486E2A" w14:textId="539ABD88" w:rsidR="00F50CD8" w:rsidRPr="001D6913" w:rsidRDefault="00F50CD8" w:rsidP="00F50CD8">
      <w:pPr>
        <w:pStyle w:val="Bullet1stlevel"/>
        <w:rPr>
          <w:lang w:eastAsia="en-AU"/>
        </w:rPr>
      </w:pPr>
      <w:r>
        <w:rPr>
          <w:lang w:eastAsia="en-AU"/>
        </w:rPr>
        <w:t>y</w:t>
      </w:r>
      <w:r w:rsidRPr="001D6913">
        <w:rPr>
          <w:lang w:eastAsia="en-AU"/>
        </w:rPr>
        <w:t>oung people with alcohol or other drug issues</w:t>
      </w:r>
      <w:r w:rsidR="00EE62D2">
        <w:rPr>
          <w:lang w:eastAsia="en-AU"/>
        </w:rPr>
        <w:t>;</w:t>
      </w:r>
    </w:p>
    <w:p w14:paraId="7CB71732" w14:textId="744E5683" w:rsidR="00F50CD8" w:rsidRPr="001D6913" w:rsidRDefault="00F50CD8" w:rsidP="00F50CD8">
      <w:pPr>
        <w:pStyle w:val="Bullet1stlevel"/>
        <w:rPr>
          <w:lang w:eastAsia="en-AU"/>
        </w:rPr>
      </w:pPr>
      <w:r>
        <w:rPr>
          <w:lang w:eastAsia="en-AU"/>
        </w:rPr>
        <w:t>y</w:t>
      </w:r>
      <w:r w:rsidRPr="001D6913">
        <w:rPr>
          <w:lang w:eastAsia="en-AU"/>
        </w:rPr>
        <w:t>oung people experiencing homelessness</w:t>
      </w:r>
      <w:r w:rsidR="00EE62D2">
        <w:rPr>
          <w:lang w:eastAsia="en-AU"/>
        </w:rPr>
        <w:t>;</w:t>
      </w:r>
    </w:p>
    <w:p w14:paraId="1701E67B" w14:textId="485A8362" w:rsidR="00F50CD8" w:rsidRPr="001D6913" w:rsidRDefault="00F50CD8" w:rsidP="00F50CD8">
      <w:pPr>
        <w:pStyle w:val="Bullet1stlevel"/>
        <w:rPr>
          <w:lang w:eastAsia="en-AU"/>
        </w:rPr>
      </w:pPr>
      <w:r>
        <w:rPr>
          <w:lang w:eastAsia="en-AU"/>
        </w:rPr>
        <w:t>y</w:t>
      </w:r>
      <w:r w:rsidRPr="001D6913">
        <w:rPr>
          <w:lang w:eastAsia="en-AU"/>
        </w:rPr>
        <w:t>oung people from rural and/or remote communities</w:t>
      </w:r>
      <w:r w:rsidR="00EE62D2">
        <w:rPr>
          <w:lang w:eastAsia="en-AU"/>
        </w:rPr>
        <w:t>; and</w:t>
      </w:r>
    </w:p>
    <w:p w14:paraId="3EF3C657" w14:textId="773B3C85" w:rsidR="00F50CD8" w:rsidRDefault="00F50CD8" w:rsidP="00F50CD8">
      <w:pPr>
        <w:pStyle w:val="Bullet1stlevel"/>
        <w:rPr>
          <w:lang w:eastAsia="en-AU"/>
        </w:rPr>
      </w:pPr>
      <w:r>
        <w:rPr>
          <w:lang w:eastAsia="en-AU"/>
        </w:rPr>
        <w:t>o</w:t>
      </w:r>
      <w:r w:rsidRPr="001D6913">
        <w:rPr>
          <w:lang w:eastAsia="en-AU"/>
        </w:rPr>
        <w:t>ther local populations that are under-represented within the headspace service</w:t>
      </w:r>
      <w:r w:rsidR="00CC0438">
        <w:rPr>
          <w:rFonts w:ascii="ZWAdobeF" w:hAnsi="ZWAdobeF" w:cs="ZWAdobeF"/>
          <w:sz w:val="2"/>
          <w:szCs w:val="2"/>
          <w:lang w:eastAsia="en-AU"/>
        </w:rPr>
        <w:t>35F</w:t>
      </w:r>
      <w:r w:rsidRPr="001D6913">
        <w:rPr>
          <w:rStyle w:val="FootnoteReference"/>
          <w:lang w:eastAsia="en-AU"/>
        </w:rPr>
        <w:footnoteReference w:id="37"/>
      </w:r>
      <w:r>
        <w:rPr>
          <w:lang w:eastAsia="en-AU"/>
        </w:rPr>
        <w:t>.</w:t>
      </w:r>
    </w:p>
    <w:p w14:paraId="290CC04A" w14:textId="368DA889" w:rsidR="00F50CD8" w:rsidRDefault="00F50CD8" w:rsidP="00F50CD8">
      <w:pPr>
        <w:pStyle w:val="BodyText"/>
      </w:pPr>
      <w:r w:rsidRPr="001D6913">
        <w:rPr>
          <w:lang w:eastAsia="en-AU"/>
        </w:rPr>
        <w:t>These groups have been identified as less likely to seek support for their mental health needs and more likely to have barriers to access, such as lacking access to transport or being subject to parental attitudes discouraging mental health help seeking</w:t>
      </w:r>
      <w:r w:rsidR="00CC0438">
        <w:rPr>
          <w:rFonts w:ascii="ZWAdobeF" w:hAnsi="ZWAdobeF" w:cs="ZWAdobeF"/>
          <w:sz w:val="2"/>
          <w:szCs w:val="2"/>
          <w:lang w:eastAsia="en-AU"/>
        </w:rPr>
        <w:t>36F</w:t>
      </w:r>
      <w:r w:rsidRPr="001D6913">
        <w:rPr>
          <w:rStyle w:val="FootnoteReference"/>
          <w:lang w:eastAsia="en-AU"/>
        </w:rPr>
        <w:footnoteReference w:id="38"/>
      </w:r>
      <w:r>
        <w:t xml:space="preserve">. </w:t>
      </w:r>
    </w:p>
    <w:p w14:paraId="693991B3" w14:textId="1359B9B5" w:rsidR="00F50CD8" w:rsidRDefault="00F50CD8" w:rsidP="00F50CD8">
      <w:pPr>
        <w:pStyle w:val="BodyText"/>
      </w:pPr>
      <w:r>
        <w:t>Key components of the model are intended to assist in achieving positive outcomes for these groups. For example</w:t>
      </w:r>
      <w:r w:rsidR="00113F4B">
        <w:t>,</w:t>
      </w:r>
      <w:r>
        <w:t xml:space="preserve"> activities associated with c</w:t>
      </w:r>
      <w:r w:rsidRPr="007B797C">
        <w:t>ommunity awareness and engagement</w:t>
      </w:r>
      <w:r>
        <w:t xml:space="preserve">, to </w:t>
      </w:r>
      <w:r w:rsidRPr="007B797C">
        <w:t>work with the local community to increase mental health literacy</w:t>
      </w:r>
      <w:r>
        <w:t xml:space="preserve"> and</w:t>
      </w:r>
      <w:r w:rsidRPr="007B797C">
        <w:t xml:space="preserve"> reduce stigma, </w:t>
      </w:r>
      <w:r>
        <w:t xml:space="preserve">and the focus on providing appropriate care, which includes the identification and consideration of sociocultural factors, are both designed to improve outcomes for ‘hard to reach’ groups. </w:t>
      </w:r>
    </w:p>
    <w:p w14:paraId="6097706B" w14:textId="77777777" w:rsidR="00F50CD8" w:rsidRPr="001D6913" w:rsidRDefault="00F50CD8" w:rsidP="00F50CD8">
      <w:pPr>
        <w:pStyle w:val="Heading3"/>
      </w:pPr>
      <w:r w:rsidRPr="001D6913">
        <w:t>Positive outcomes for young people utilising headspace services</w:t>
      </w:r>
    </w:p>
    <w:p w14:paraId="2CC0A465" w14:textId="77777777" w:rsidR="00F50CD8" w:rsidRPr="001D6913" w:rsidRDefault="00F50CD8" w:rsidP="00F50CD8">
      <w:pPr>
        <w:pStyle w:val="Heading4"/>
      </w:pPr>
      <w:r>
        <w:t>Intended outcomes of the headspace model</w:t>
      </w:r>
    </w:p>
    <w:p w14:paraId="408A8596" w14:textId="02403FE4" w:rsidR="003C249B" w:rsidRDefault="007F646A" w:rsidP="003006A8">
      <w:pPr>
        <w:pStyle w:val="BodyText"/>
      </w:pPr>
      <w:r>
        <w:t>The concept underpinning the headspace model was initially developed through research collaboration led by Orygen,</w:t>
      </w:r>
      <w:r w:rsidRPr="00DC637A">
        <w:t xml:space="preserve"> the National Centre of Excellence in Youth Mental Health</w:t>
      </w:r>
      <w:r>
        <w:t xml:space="preserve">, in </w:t>
      </w:r>
      <w:r w:rsidRPr="001D6913">
        <w:t>2006</w:t>
      </w:r>
      <w:r w:rsidR="00CC0438">
        <w:rPr>
          <w:rFonts w:ascii="ZWAdobeF" w:hAnsi="ZWAdobeF" w:cs="ZWAdobeF"/>
          <w:sz w:val="2"/>
          <w:szCs w:val="2"/>
        </w:rPr>
        <w:t>37F</w:t>
      </w:r>
      <w:r w:rsidRPr="001D6913">
        <w:rPr>
          <w:rStyle w:val="FootnoteReference"/>
        </w:rPr>
        <w:footnoteReference w:id="39"/>
      </w:r>
      <w:r>
        <w:t>.</w:t>
      </w:r>
      <w:r w:rsidRPr="001D6913">
        <w:t xml:space="preserve"> The headspace model has been described in detail in the academic literature, and various evaluations have been published in peer reviewed articles </w:t>
      </w:r>
      <w:r w:rsidR="00830486">
        <w:t>that</w:t>
      </w:r>
      <w:r w:rsidRPr="001D6913">
        <w:t xml:space="preserve"> focused on different aspects of the model</w:t>
      </w:r>
      <w:r w:rsidR="00CC0438">
        <w:rPr>
          <w:rFonts w:ascii="ZWAdobeF" w:hAnsi="ZWAdobeF" w:cs="ZWAdobeF"/>
          <w:sz w:val="2"/>
          <w:szCs w:val="2"/>
        </w:rPr>
        <w:t>38F</w:t>
      </w:r>
      <w:r w:rsidRPr="001D6913">
        <w:rPr>
          <w:rStyle w:val="FootnoteReference"/>
        </w:rPr>
        <w:footnoteReference w:id="40"/>
      </w:r>
      <w:r>
        <w:t>.</w:t>
      </w:r>
      <w:r w:rsidRPr="001D6913">
        <w:t>The model aligns with the World Health Organi</w:t>
      </w:r>
      <w:r w:rsidR="00830486">
        <w:t>z</w:t>
      </w:r>
      <w:r w:rsidRPr="001D6913">
        <w:t>ation’s youth-friendly health services framework and protocol for establishing quality standards for adolescent-friendly health services, which emphasise the need for services to be equitable, accessible</w:t>
      </w:r>
      <w:r w:rsidR="00830486">
        <w:t xml:space="preserve"> and</w:t>
      </w:r>
      <w:r w:rsidRPr="001D6913">
        <w:t xml:space="preserve"> acceptable to young people, appropriate to their needs, and effective, supplying cross-sectoral, evidence</w:t>
      </w:r>
      <w:r w:rsidR="00830486">
        <w:t>-</w:t>
      </w:r>
      <w:r w:rsidRPr="001D6913">
        <w:t>based services</w:t>
      </w:r>
      <w:r w:rsidR="00CC0438">
        <w:rPr>
          <w:rFonts w:ascii="ZWAdobeF" w:hAnsi="ZWAdobeF" w:cs="ZWAdobeF"/>
          <w:sz w:val="2"/>
          <w:szCs w:val="2"/>
        </w:rPr>
        <w:t>39F</w:t>
      </w:r>
      <w:r w:rsidRPr="00BA12C8">
        <w:rPr>
          <w:rStyle w:val="FootnoteReference"/>
        </w:rPr>
        <w:footnoteReference w:id="41"/>
      </w:r>
      <w:r w:rsidR="00BA12C8" w:rsidRPr="00BA12C8">
        <w:rPr>
          <w:vertAlign w:val="superscript"/>
        </w:rPr>
        <w:t>,</w:t>
      </w:r>
      <w:r w:rsidR="00CC0438">
        <w:rPr>
          <w:rFonts w:ascii="ZWAdobeF" w:hAnsi="ZWAdobeF" w:cs="ZWAdobeF"/>
          <w:sz w:val="2"/>
          <w:szCs w:val="2"/>
        </w:rPr>
        <w:t>40F</w:t>
      </w:r>
      <w:r w:rsidRPr="00BA12C8">
        <w:rPr>
          <w:rStyle w:val="FootnoteReference"/>
        </w:rPr>
        <w:footnoteReference w:id="42"/>
      </w:r>
      <w:r w:rsidR="00D44BC3" w:rsidRPr="00BA12C8">
        <w:rPr>
          <w:vertAlign w:val="superscript"/>
        </w:rPr>
        <w:t>,</w:t>
      </w:r>
      <w:r w:rsidR="00CC0438">
        <w:rPr>
          <w:rFonts w:ascii="ZWAdobeF" w:hAnsi="ZWAdobeF" w:cs="ZWAdobeF"/>
          <w:sz w:val="2"/>
          <w:szCs w:val="2"/>
        </w:rPr>
        <w:t>41F</w:t>
      </w:r>
      <w:r w:rsidRPr="00BA12C8">
        <w:rPr>
          <w:rStyle w:val="FootnoteReference"/>
        </w:rPr>
        <w:footnoteReference w:id="43"/>
      </w:r>
      <w:r>
        <w:t>.</w:t>
      </w:r>
    </w:p>
    <w:p w14:paraId="56C4A43D" w14:textId="75DFCD37" w:rsidR="008813E6" w:rsidRDefault="00F50CD8" w:rsidP="003006A8">
      <w:pPr>
        <w:pStyle w:val="BodyText"/>
      </w:pPr>
      <w:r>
        <w:t xml:space="preserve">The headspace model </w:t>
      </w:r>
      <w:r w:rsidR="00521FFF">
        <w:t xml:space="preserve">is set out in the headspace </w:t>
      </w:r>
      <w:r w:rsidR="004128B9">
        <w:t xml:space="preserve">Model Integrity </w:t>
      </w:r>
      <w:r w:rsidR="00877ED0">
        <w:t>Framework</w:t>
      </w:r>
      <w:r w:rsidR="002F4A92">
        <w:t xml:space="preserve"> (hMIF)</w:t>
      </w:r>
      <w:r w:rsidR="00CC0438">
        <w:rPr>
          <w:rFonts w:ascii="ZWAdobeF" w:hAnsi="ZWAdobeF" w:cs="ZWAdobeF"/>
          <w:sz w:val="2"/>
          <w:szCs w:val="2"/>
        </w:rPr>
        <w:t>42F</w:t>
      </w:r>
      <w:r w:rsidR="00877ED0">
        <w:rPr>
          <w:rStyle w:val="FootnoteReference"/>
        </w:rPr>
        <w:footnoteReference w:id="44"/>
      </w:r>
      <w:r w:rsidR="00D67D9F">
        <w:t>. A</w:t>
      </w:r>
      <w:r>
        <w:t xml:space="preserve"> detailed program logic sets out t</w:t>
      </w:r>
      <w:r w:rsidRPr="001D6913">
        <w:t>he aims and objectives o</w:t>
      </w:r>
      <w:r>
        <w:t>f the model and</w:t>
      </w:r>
      <w:r w:rsidRPr="001D6913">
        <w:t xml:space="preserve"> a number of short and medium</w:t>
      </w:r>
      <w:r w:rsidR="00830486">
        <w:t>-</w:t>
      </w:r>
      <w:r w:rsidRPr="001D6913">
        <w:t>term impacts</w:t>
      </w:r>
      <w:r>
        <w:t>.</w:t>
      </w:r>
      <w:r w:rsidR="00631CFD">
        <w:t xml:space="preserve"> </w:t>
      </w:r>
    </w:p>
    <w:p w14:paraId="756F8344" w14:textId="22A6096F" w:rsidR="00F50CD8" w:rsidRDefault="00631CFD" w:rsidP="003006A8">
      <w:pPr>
        <w:pStyle w:val="BodyText"/>
      </w:pPr>
      <w:r>
        <w:t xml:space="preserve">This presents outcomes </w:t>
      </w:r>
      <w:r w:rsidR="00BC0EF2">
        <w:t>across a number of areas, with the following areas explored in detail in this evaluation</w:t>
      </w:r>
      <w:r w:rsidR="00F50CD8">
        <w:t xml:space="preserve">: </w:t>
      </w:r>
    </w:p>
    <w:p w14:paraId="7F05ECA0" w14:textId="77777777" w:rsidR="00631CFD" w:rsidRPr="00363204" w:rsidRDefault="00631CFD" w:rsidP="00F558AA">
      <w:pPr>
        <w:pStyle w:val="Heading5"/>
      </w:pPr>
      <w:r>
        <w:t>Intermediate outcomes</w:t>
      </w:r>
    </w:p>
    <w:p w14:paraId="2153AA57" w14:textId="26A193F2" w:rsidR="00631CFD" w:rsidRDefault="00631CFD" w:rsidP="00631CFD">
      <w:pPr>
        <w:pStyle w:val="Bullet1stlevel"/>
      </w:pPr>
      <w:r>
        <w:t>increasing mental health literacy</w:t>
      </w:r>
      <w:r w:rsidR="007D3807">
        <w:t>;</w:t>
      </w:r>
    </w:p>
    <w:p w14:paraId="26EA3916" w14:textId="12FB25AC" w:rsidR="00631CFD" w:rsidRDefault="00631CFD" w:rsidP="00631CFD">
      <w:pPr>
        <w:pStyle w:val="Bullet1stlevel"/>
      </w:pPr>
      <w:r>
        <w:t>increasing early help seeking</w:t>
      </w:r>
      <w:r w:rsidR="007D3807">
        <w:t>; and</w:t>
      </w:r>
    </w:p>
    <w:p w14:paraId="0ED76A32" w14:textId="5D413F1C" w:rsidR="00631CFD" w:rsidRDefault="00631CFD" w:rsidP="00631CFD">
      <w:pPr>
        <w:pStyle w:val="Bullet1stlevel"/>
      </w:pPr>
      <w:r>
        <w:t>increasing access to required services</w:t>
      </w:r>
      <w:r w:rsidR="007D3807">
        <w:t>.</w:t>
      </w:r>
    </w:p>
    <w:p w14:paraId="374DAA71" w14:textId="77777777" w:rsidR="00631CFD" w:rsidRDefault="00631CFD" w:rsidP="00F558AA">
      <w:pPr>
        <w:pStyle w:val="Heading5"/>
      </w:pPr>
      <w:r>
        <w:t>Service system outcomes</w:t>
      </w:r>
    </w:p>
    <w:p w14:paraId="3990771C" w14:textId="6DD56A1E" w:rsidR="00631CFD" w:rsidRDefault="007D3807" w:rsidP="00631CFD">
      <w:pPr>
        <w:pStyle w:val="Bullet1stlevel"/>
      </w:pPr>
      <w:r>
        <w:t>i</w:t>
      </w:r>
      <w:r w:rsidR="00631CFD">
        <w:t xml:space="preserve">ncreasing </w:t>
      </w:r>
      <w:r w:rsidR="00631CFD" w:rsidRPr="00C435B6">
        <w:t>advoca</w:t>
      </w:r>
      <w:r w:rsidR="00631CFD">
        <w:t>cy</w:t>
      </w:r>
      <w:r w:rsidR="00631CFD" w:rsidRPr="00C435B6">
        <w:t xml:space="preserve"> for</w:t>
      </w:r>
      <w:r w:rsidR="009627BE">
        <w:t>,</w:t>
      </w:r>
      <w:r w:rsidR="00631CFD" w:rsidRPr="00C435B6">
        <w:t xml:space="preserve"> and promot</w:t>
      </w:r>
      <w:r w:rsidR="00631CFD">
        <w:t>ion of</w:t>
      </w:r>
      <w:r w:rsidR="009627BE">
        <w:t>,</w:t>
      </w:r>
      <w:r w:rsidR="00631CFD" w:rsidRPr="00C435B6">
        <w:t xml:space="preserve"> youth mental health and wellbeing in their communities</w:t>
      </w:r>
      <w:r>
        <w:t>;</w:t>
      </w:r>
    </w:p>
    <w:p w14:paraId="763640A4" w14:textId="719D5FA8" w:rsidR="00631CFD" w:rsidRPr="00AA7949" w:rsidRDefault="007D3807" w:rsidP="00631CFD">
      <w:pPr>
        <w:pStyle w:val="Bullet1stlevel"/>
      </w:pPr>
      <w:r>
        <w:t>r</w:t>
      </w:r>
      <w:r w:rsidR="00631CFD" w:rsidRPr="00AA7949">
        <w:t>educ</w:t>
      </w:r>
      <w:r w:rsidR="00631CFD">
        <w:t>ing</w:t>
      </w:r>
      <w:r w:rsidR="00631CFD" w:rsidRPr="00AA7949">
        <w:t xml:space="preserve"> stigma associated with mental illness and help</w:t>
      </w:r>
      <w:r w:rsidR="00BD29DF">
        <w:t xml:space="preserve"> </w:t>
      </w:r>
      <w:r w:rsidR="00631CFD" w:rsidRPr="00AA7949">
        <w:t>seeking for young people, their families and friends, and the community</w:t>
      </w:r>
      <w:r w:rsidR="00CE7230">
        <w:t xml:space="preserve">; </w:t>
      </w:r>
    </w:p>
    <w:p w14:paraId="1A5ABAC2" w14:textId="6A04209B" w:rsidR="00631CFD" w:rsidRDefault="008813E6" w:rsidP="00631CFD">
      <w:pPr>
        <w:pStyle w:val="Bullet1stlevel"/>
      </w:pPr>
      <w:r>
        <w:t>i</w:t>
      </w:r>
      <w:r w:rsidR="00631CFD">
        <w:t>mproving pathways to care for young people</w:t>
      </w:r>
      <w:r w:rsidR="00F12288">
        <w:t>, including through</w:t>
      </w:r>
      <w:r w:rsidR="00CE7230">
        <w:t>:</w:t>
      </w:r>
      <w:r w:rsidR="00631CFD">
        <w:t xml:space="preserve"> </w:t>
      </w:r>
    </w:p>
    <w:p w14:paraId="25BB5C9A" w14:textId="3B63C6A8" w:rsidR="00631CFD" w:rsidRDefault="008813E6" w:rsidP="00830486">
      <w:pPr>
        <w:pStyle w:val="Bullet2ndlevel"/>
      </w:pPr>
      <w:r>
        <w:t>p</w:t>
      </w:r>
      <w:r w:rsidR="00631CFD">
        <w:t>roviding a localised service offering</w:t>
      </w:r>
      <w:r w:rsidR="00CE7230">
        <w:t>;</w:t>
      </w:r>
    </w:p>
    <w:p w14:paraId="1FDC354C" w14:textId="06D953C2" w:rsidR="00631CFD" w:rsidRDefault="00631CFD" w:rsidP="005874D4">
      <w:pPr>
        <w:pStyle w:val="Bullet2ndlevel"/>
      </w:pPr>
      <w:r>
        <w:t>other contributions to the local community</w:t>
      </w:r>
      <w:r w:rsidR="00CE7230">
        <w:t>;</w:t>
      </w:r>
    </w:p>
    <w:p w14:paraId="5DF564AC" w14:textId="71A1BEE4" w:rsidR="00631CFD" w:rsidRDefault="00631CFD" w:rsidP="00370CE4">
      <w:pPr>
        <w:pStyle w:val="Bullet2ndlevel"/>
      </w:pPr>
      <w:r>
        <w:t>providing a ‘no wrong door’ approach</w:t>
      </w:r>
      <w:r w:rsidR="00CE7230">
        <w:t>; and</w:t>
      </w:r>
    </w:p>
    <w:p w14:paraId="2A23FFF0" w14:textId="00A294EA" w:rsidR="00631CFD" w:rsidRDefault="00631CFD" w:rsidP="002744E5">
      <w:pPr>
        <w:pStyle w:val="Bullet2ndlevel"/>
      </w:pPr>
      <w:r>
        <w:t>securing support for headspace from other primary care and mental health providers</w:t>
      </w:r>
      <w:r w:rsidR="00CE7230">
        <w:t>.</w:t>
      </w:r>
    </w:p>
    <w:p w14:paraId="421E71C7" w14:textId="77777777" w:rsidR="00631CFD" w:rsidRDefault="00631CFD" w:rsidP="00F558AA">
      <w:pPr>
        <w:pStyle w:val="Heading5"/>
      </w:pPr>
      <w:r>
        <w:t>User experience outcomes</w:t>
      </w:r>
    </w:p>
    <w:p w14:paraId="5DFF54A4" w14:textId="7DC8E788" w:rsidR="00E15910" w:rsidRDefault="00F124C1" w:rsidP="00BC7580">
      <w:pPr>
        <w:pStyle w:val="Bullet1stlevel"/>
      </w:pPr>
      <w:r>
        <w:t>e</w:t>
      </w:r>
      <w:r w:rsidR="00E15910" w:rsidRPr="00E15910">
        <w:t>nsuring young people can access the help they need in an appropriate, accessible and youth friendly way - providing an accessible, welcome, inclusive and non</w:t>
      </w:r>
      <w:r w:rsidR="009627BE">
        <w:t>-</w:t>
      </w:r>
      <w:r w:rsidR="00E15910" w:rsidRPr="00E15910">
        <w:t>stigmatising service</w:t>
      </w:r>
      <w:r w:rsidR="00E15910">
        <w:t>, including through:</w:t>
      </w:r>
    </w:p>
    <w:p w14:paraId="24FFC619" w14:textId="614581DF" w:rsidR="00631CFD" w:rsidRDefault="00631CFD" w:rsidP="009627BE">
      <w:pPr>
        <w:pStyle w:val="Bullet2ndlevel"/>
      </w:pPr>
      <w:r>
        <w:t>providing an appropriate service approach for young people with mild to moderate, high</w:t>
      </w:r>
      <w:r w:rsidR="009627BE">
        <w:noBreakHyphen/>
      </w:r>
      <w:r>
        <w:t xml:space="preserve">prevalence </w:t>
      </w:r>
      <w:r w:rsidR="00FE5D20">
        <w:t xml:space="preserve">mental health </w:t>
      </w:r>
      <w:r>
        <w:t>conditions</w:t>
      </w:r>
      <w:r w:rsidR="00F124C1">
        <w:t>;</w:t>
      </w:r>
    </w:p>
    <w:p w14:paraId="035F68A7" w14:textId="0FCE1AF1" w:rsidR="00631CFD" w:rsidRDefault="00631CFD" w:rsidP="005874D4">
      <w:pPr>
        <w:pStyle w:val="Bullet2ndlevel"/>
      </w:pPr>
      <w:r>
        <w:t>providing culturally appropriate and inclusive services</w:t>
      </w:r>
      <w:r w:rsidR="00F124C1">
        <w:t>;</w:t>
      </w:r>
    </w:p>
    <w:p w14:paraId="7E3E91A7" w14:textId="0221760F" w:rsidR="00631CFD" w:rsidRDefault="00631CFD" w:rsidP="00370CE4">
      <w:pPr>
        <w:pStyle w:val="Bullet2ndlevel"/>
      </w:pPr>
      <w:r>
        <w:t>enabling young people and their families to access support where, when and how they want</w:t>
      </w:r>
      <w:r w:rsidR="00F124C1">
        <w:t>; and</w:t>
      </w:r>
    </w:p>
    <w:p w14:paraId="41669C58" w14:textId="12C9B997" w:rsidR="00631CFD" w:rsidRDefault="00631CFD" w:rsidP="002744E5">
      <w:pPr>
        <w:pStyle w:val="Bullet2ndlevel"/>
      </w:pPr>
      <w:r>
        <w:t>participation of young people in the design and delivery of headspace</w:t>
      </w:r>
      <w:r w:rsidR="00F124C1">
        <w:t>.</w:t>
      </w:r>
    </w:p>
    <w:p w14:paraId="1888AC5F" w14:textId="2C249128" w:rsidR="00631CFD" w:rsidRDefault="005513AE" w:rsidP="00F558AA">
      <w:pPr>
        <w:pStyle w:val="Heading5"/>
      </w:pPr>
      <w:r>
        <w:t>Psychosocial</w:t>
      </w:r>
      <w:r w:rsidR="00631CFD">
        <w:t xml:space="preserve"> outcomes</w:t>
      </w:r>
    </w:p>
    <w:p w14:paraId="4E49682A" w14:textId="1F6737B5" w:rsidR="00631CFD" w:rsidRDefault="00696541" w:rsidP="00631CFD">
      <w:pPr>
        <w:pStyle w:val="Bullet1stlevel"/>
      </w:pPr>
      <w:r>
        <w:t>i</w:t>
      </w:r>
      <w:r w:rsidR="00631CFD">
        <w:t>mproving mental health and wellbeing outcomes, considering clinical outcomes for young people</w:t>
      </w:r>
      <w:r>
        <w:t>; and</w:t>
      </w:r>
    </w:p>
    <w:p w14:paraId="712E012D" w14:textId="55D0D26D" w:rsidR="00631CFD" w:rsidRDefault="00696541" w:rsidP="00631CFD">
      <w:pPr>
        <w:pStyle w:val="Bullet1stlevel"/>
      </w:pPr>
      <w:r>
        <w:t>i</w:t>
      </w:r>
      <w:r w:rsidR="00631CFD">
        <w:t xml:space="preserve">mproving </w:t>
      </w:r>
      <w:r w:rsidR="005513AE">
        <w:t>psychosocial</w:t>
      </w:r>
      <w:r w:rsidR="00631CFD">
        <w:t xml:space="preserve"> outcomes through providing alternative service delivery models</w:t>
      </w:r>
      <w:r>
        <w:t>.</w:t>
      </w:r>
    </w:p>
    <w:p w14:paraId="03BA4455" w14:textId="6A6ABD46" w:rsidR="00F50CD8" w:rsidRPr="00F24D76" w:rsidRDefault="00F50CD8" w:rsidP="00F50CD8">
      <w:pPr>
        <w:pStyle w:val="BodyText"/>
      </w:pPr>
      <w:r>
        <w:t xml:space="preserve">Each of these objectives is associated with a range of intended impacts, as detailed in </w:t>
      </w:r>
      <w:r w:rsidR="00CA7904">
        <w:fldChar w:fldCharType="begin" w:fldLock="1"/>
      </w:r>
      <w:r w:rsidR="00CA7904">
        <w:instrText xml:space="preserve"> REF _Ref98511531 \h </w:instrText>
      </w:r>
      <w:r w:rsidR="00CA7904">
        <w:fldChar w:fldCharType="separate"/>
      </w:r>
      <w:r w:rsidR="00AE4D34" w:rsidRPr="001D6913">
        <w:t xml:space="preserve">Table </w:t>
      </w:r>
      <w:r w:rsidR="00AE4D34">
        <w:rPr>
          <w:noProof/>
        </w:rPr>
        <w:t>3</w:t>
      </w:r>
      <w:r w:rsidR="00CA7904">
        <w:fldChar w:fldCharType="end"/>
      </w:r>
      <w:r>
        <w:t xml:space="preserve">. </w:t>
      </w:r>
      <w:r w:rsidR="00D9340F">
        <w:t>I</w:t>
      </w:r>
      <w:r>
        <w:t>n assessing the effectiveness of the headspace model</w:t>
      </w:r>
      <w:r w:rsidR="00D9340F">
        <w:t xml:space="preserve"> later in this report</w:t>
      </w:r>
      <w:r>
        <w:t>, the evidence for the short and medium</w:t>
      </w:r>
      <w:r w:rsidR="00C83492">
        <w:t>-</w:t>
      </w:r>
      <w:r>
        <w:t xml:space="preserve">term impacts is explored. </w:t>
      </w:r>
    </w:p>
    <w:p w14:paraId="1BDC221C" w14:textId="45EDD57B" w:rsidR="00F50CD8" w:rsidRPr="00577F28" w:rsidRDefault="00F50CD8" w:rsidP="00F50CD8">
      <w:pPr>
        <w:pStyle w:val="Caption"/>
      </w:pPr>
      <w:bookmarkStart w:id="36" w:name="_Ref98511531"/>
      <w:bookmarkStart w:id="37" w:name="_Toc108108953"/>
      <w:r w:rsidRPr="001D6913">
        <w:t xml:space="preserve">Table </w:t>
      </w:r>
      <w:r>
        <w:fldChar w:fldCharType="begin"/>
      </w:r>
      <w:r>
        <w:instrText>SEQ Table \* ARABIC</w:instrText>
      </w:r>
      <w:r>
        <w:fldChar w:fldCharType="separate"/>
      </w:r>
      <w:r w:rsidR="00CC0438">
        <w:rPr>
          <w:noProof/>
        </w:rPr>
        <w:t>3</w:t>
      </w:r>
      <w:r>
        <w:fldChar w:fldCharType="end"/>
      </w:r>
      <w:bookmarkEnd w:id="36"/>
      <w:r>
        <w:t>:</w:t>
      </w:r>
      <w:r w:rsidRPr="001D6913">
        <w:t xml:space="preserve"> headspace </w:t>
      </w:r>
      <w:r w:rsidR="00A16E05">
        <w:t>o</w:t>
      </w:r>
      <w:r w:rsidRPr="001D6913">
        <w:t xml:space="preserve">bjectives and </w:t>
      </w:r>
      <w:r w:rsidR="00A16E05">
        <w:t>i</w:t>
      </w:r>
      <w:r w:rsidRPr="001D6913">
        <w:t>mpacts</w:t>
      </w:r>
      <w:bookmarkEnd w:id="37"/>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eadspace Objectives and Impacts"/>
        <w:tblDescription w:val="Table has 3 columns outlining headspace’s objectives and intended impacts. Column 1 describes the specific objectives for the headspace program. Column 2 describes the short-term impacts expected for each objective. Column 3 describes the medium-term impacts expected for each objective. &#10;"/>
      </w:tblPr>
      <w:tblGrid>
        <w:gridCol w:w="2836"/>
        <w:gridCol w:w="2836"/>
        <w:gridCol w:w="3541"/>
      </w:tblGrid>
      <w:tr w:rsidR="00F50CD8" w:rsidRPr="001D6913" w14:paraId="6BB55CEB" w14:textId="77777777" w:rsidTr="001B367D">
        <w:trPr>
          <w:tblHeader/>
        </w:trPr>
        <w:tc>
          <w:tcPr>
            <w:tcW w:w="1539" w:type="pct"/>
            <w:tcBorders>
              <w:bottom w:val="single" w:sz="4" w:space="0" w:color="00338D" w:themeColor="background2"/>
            </w:tcBorders>
            <w:shd w:val="clear" w:color="auto" w:fill="00338D" w:themeFill="background2"/>
          </w:tcPr>
          <w:p w14:paraId="67154C9C" w14:textId="16B70125" w:rsidR="00F50CD8" w:rsidRPr="001D6913" w:rsidRDefault="00F50CD8" w:rsidP="00F95AAC">
            <w:pPr>
              <w:pStyle w:val="Tableheading"/>
            </w:pPr>
            <w:r w:rsidRPr="001D6913">
              <w:t>Objective</w:t>
            </w:r>
          </w:p>
        </w:tc>
        <w:tc>
          <w:tcPr>
            <w:tcW w:w="1539" w:type="pct"/>
            <w:tcBorders>
              <w:bottom w:val="single" w:sz="4" w:space="0" w:color="00338D" w:themeColor="background2"/>
            </w:tcBorders>
            <w:shd w:val="clear" w:color="auto" w:fill="00338D" w:themeFill="background2"/>
          </w:tcPr>
          <w:p w14:paraId="3728DE9B" w14:textId="4604ED10" w:rsidR="00F50CD8" w:rsidRPr="001D6913" w:rsidRDefault="00F50CD8" w:rsidP="00F95AAC">
            <w:pPr>
              <w:pStyle w:val="Tableheading"/>
            </w:pPr>
            <w:r w:rsidRPr="001D6913">
              <w:t>Short</w:t>
            </w:r>
            <w:r w:rsidR="00F055A9">
              <w:t>-</w:t>
            </w:r>
            <w:r w:rsidRPr="001D6913">
              <w:t>term impacts</w:t>
            </w:r>
          </w:p>
        </w:tc>
        <w:tc>
          <w:tcPr>
            <w:tcW w:w="1922" w:type="pct"/>
            <w:tcBorders>
              <w:bottom w:val="single" w:sz="4" w:space="0" w:color="00338D" w:themeColor="background2"/>
            </w:tcBorders>
            <w:shd w:val="clear" w:color="auto" w:fill="00338D" w:themeFill="background2"/>
          </w:tcPr>
          <w:p w14:paraId="35F0A34C" w14:textId="4607519C" w:rsidR="00F50CD8" w:rsidRPr="001D6913" w:rsidRDefault="00F50CD8" w:rsidP="00F95AAC">
            <w:pPr>
              <w:pStyle w:val="Tableheading"/>
            </w:pPr>
            <w:r w:rsidRPr="001D6913">
              <w:t>Medium</w:t>
            </w:r>
            <w:r w:rsidR="00F055A9">
              <w:t>-</w:t>
            </w:r>
            <w:r w:rsidRPr="001D6913">
              <w:t>term impacts</w:t>
            </w:r>
          </w:p>
        </w:tc>
      </w:tr>
      <w:tr w:rsidR="001B367D" w:rsidRPr="001D6913" w14:paraId="374DCBE3" w14:textId="77777777" w:rsidTr="0011116C">
        <w:tc>
          <w:tcPr>
            <w:tcW w:w="5000" w:type="pct"/>
            <w:gridSpan w:val="3"/>
            <w:tcBorders>
              <w:top w:val="single" w:sz="4" w:space="0" w:color="00338D" w:themeColor="background2"/>
              <w:bottom w:val="single" w:sz="2" w:space="0" w:color="808080" w:themeColor="background1" w:themeShade="80"/>
            </w:tcBorders>
            <w:shd w:val="clear" w:color="auto" w:fill="C4EBFF" w:themeFill="accent2" w:themeFillTint="33"/>
          </w:tcPr>
          <w:p w14:paraId="226FD512" w14:textId="0ACFE82D" w:rsidR="001B367D" w:rsidRPr="001B367D" w:rsidRDefault="001B367D" w:rsidP="008368CF">
            <w:pPr>
              <w:pStyle w:val="Tabletextbold"/>
            </w:pPr>
            <w:r w:rsidRPr="001B367D">
              <w:t>Intermediate outcomes</w:t>
            </w:r>
          </w:p>
        </w:tc>
      </w:tr>
      <w:tr w:rsidR="00F50CD8" w:rsidRPr="001D6913" w14:paraId="7FEA7BB7" w14:textId="77777777" w:rsidTr="00605715">
        <w:tc>
          <w:tcPr>
            <w:tcW w:w="1539" w:type="pct"/>
            <w:tcBorders>
              <w:top w:val="single" w:sz="4" w:space="0" w:color="00338D" w:themeColor="background2"/>
              <w:bottom w:val="single" w:sz="2" w:space="0" w:color="808080" w:themeColor="background1" w:themeShade="80"/>
            </w:tcBorders>
          </w:tcPr>
          <w:p w14:paraId="27BA9A0F" w14:textId="77777777" w:rsidR="00F50CD8" w:rsidRPr="001D6913" w:rsidRDefault="00F50CD8" w:rsidP="00F95AAC">
            <w:pPr>
              <w:pStyle w:val="Tabletext"/>
            </w:pPr>
            <w:r w:rsidRPr="00723E3F">
              <w:rPr>
                <w:b/>
                <w:bCs/>
              </w:rPr>
              <w:t>Increasing mental health literacy</w:t>
            </w:r>
            <w:r>
              <w:t xml:space="preserve"> - </w:t>
            </w:r>
            <w:r w:rsidRPr="00224AD0">
              <w:t>knowledge about mental health, how to seek help and how to manage mental health</w:t>
            </w:r>
          </w:p>
        </w:tc>
        <w:tc>
          <w:tcPr>
            <w:tcW w:w="1539" w:type="pct"/>
            <w:tcBorders>
              <w:top w:val="single" w:sz="4" w:space="0" w:color="00338D" w:themeColor="background2"/>
              <w:bottom w:val="single" w:sz="2" w:space="0" w:color="808080" w:themeColor="background1" w:themeShade="80"/>
            </w:tcBorders>
          </w:tcPr>
          <w:p w14:paraId="3CB50080" w14:textId="77777777" w:rsidR="00F50CD8" w:rsidRPr="001D6913" w:rsidRDefault="00F50CD8" w:rsidP="008368CF">
            <w:pPr>
              <w:pStyle w:val="TableBullet1"/>
            </w:pPr>
            <w:r w:rsidRPr="001C018E">
              <w:t>Young people accessing headspace services improve their mental health literacy (knowledge about mental health, how to seek help, and how to manage mental health)</w:t>
            </w:r>
          </w:p>
        </w:tc>
        <w:tc>
          <w:tcPr>
            <w:tcW w:w="1922" w:type="pct"/>
            <w:tcBorders>
              <w:top w:val="single" w:sz="4" w:space="0" w:color="00338D" w:themeColor="background2"/>
              <w:bottom w:val="single" w:sz="2" w:space="0" w:color="808080" w:themeColor="background1" w:themeShade="80"/>
            </w:tcBorders>
          </w:tcPr>
          <w:p w14:paraId="06E0FA2E" w14:textId="77777777" w:rsidR="00F50CD8" w:rsidRPr="001D6913" w:rsidRDefault="00F50CD8" w:rsidP="008368CF">
            <w:pPr>
              <w:pStyle w:val="TableBullet1"/>
            </w:pPr>
            <w:r w:rsidRPr="001C018E">
              <w:t>Young people are better able to manage their mental health in the medium</w:t>
            </w:r>
            <w:r>
              <w:t xml:space="preserve">- to </w:t>
            </w:r>
            <w:r w:rsidRPr="001C018E">
              <w:t>long</w:t>
            </w:r>
            <w:r>
              <w:t>-</w:t>
            </w:r>
            <w:r w:rsidRPr="001C018E">
              <w:t>term, including identifying when they need to seek help and support</w:t>
            </w:r>
          </w:p>
        </w:tc>
      </w:tr>
      <w:tr w:rsidR="00F50CD8" w:rsidRPr="001D6913" w14:paraId="0BE60B14" w14:textId="77777777" w:rsidTr="00605715">
        <w:tc>
          <w:tcPr>
            <w:tcW w:w="1539" w:type="pct"/>
            <w:tcBorders>
              <w:top w:val="single" w:sz="2" w:space="0" w:color="808080" w:themeColor="background1" w:themeShade="80"/>
              <w:bottom w:val="single" w:sz="2" w:space="0" w:color="808080" w:themeColor="background1" w:themeShade="80"/>
            </w:tcBorders>
          </w:tcPr>
          <w:p w14:paraId="619926D8" w14:textId="408DD6A3" w:rsidR="00F50CD8" w:rsidRPr="001E6699" w:rsidRDefault="00F50CD8" w:rsidP="00F95AAC">
            <w:pPr>
              <w:pStyle w:val="Tabletext"/>
            </w:pPr>
            <w:r w:rsidRPr="00723E3F">
              <w:rPr>
                <w:b/>
                <w:bCs/>
              </w:rPr>
              <w:t>Increasing early help seeking</w:t>
            </w:r>
            <w:r w:rsidRPr="001D6913">
              <w:t xml:space="preserve"> </w:t>
            </w:r>
            <w:r>
              <w:t>- at an earlier age (e.g</w:t>
            </w:r>
            <w:r w:rsidR="00B24A04">
              <w:t>.,</w:t>
            </w:r>
            <w:r>
              <w:t xml:space="preserve"> </w:t>
            </w:r>
            <w:r w:rsidRPr="009015E7">
              <w:rPr>
                <w:rFonts w:cs="Calibri"/>
                <w:szCs w:val="20"/>
              </w:rPr>
              <w:t>under 21 years</w:t>
            </w:r>
            <w:r>
              <w:rPr>
                <w:rFonts w:cs="Calibri"/>
                <w:szCs w:val="20"/>
              </w:rPr>
              <w:t xml:space="preserve">); </w:t>
            </w:r>
            <w:r w:rsidRPr="009015E7">
              <w:rPr>
                <w:rFonts w:cs="Calibri"/>
                <w:szCs w:val="20"/>
              </w:rPr>
              <w:t>at relatively low mental health risk status</w:t>
            </w:r>
            <w:r>
              <w:rPr>
                <w:rFonts w:cs="Calibri"/>
                <w:szCs w:val="20"/>
              </w:rPr>
              <w:t xml:space="preserve">; or when </w:t>
            </w:r>
            <w:r w:rsidRPr="009015E7">
              <w:rPr>
                <w:rFonts w:cs="Calibri"/>
                <w:szCs w:val="20"/>
              </w:rPr>
              <w:t xml:space="preserve">assessed as at less than </w:t>
            </w:r>
            <w:r>
              <w:rPr>
                <w:rFonts w:cs="Calibri"/>
                <w:szCs w:val="20"/>
              </w:rPr>
              <w:t xml:space="preserve">the </w:t>
            </w:r>
            <w:r w:rsidRPr="009015E7">
              <w:rPr>
                <w:rFonts w:cs="Calibri"/>
                <w:szCs w:val="20"/>
              </w:rPr>
              <w:t>threshold stage of illness</w:t>
            </w:r>
          </w:p>
        </w:tc>
        <w:tc>
          <w:tcPr>
            <w:tcW w:w="1539" w:type="pct"/>
            <w:tcBorders>
              <w:top w:val="single" w:sz="2" w:space="0" w:color="808080" w:themeColor="background1" w:themeShade="80"/>
              <w:bottom w:val="single" w:sz="2" w:space="0" w:color="808080" w:themeColor="background1" w:themeShade="80"/>
            </w:tcBorders>
          </w:tcPr>
          <w:p w14:paraId="4B7426FA" w14:textId="77777777" w:rsidR="00F50CD8" w:rsidRPr="001D6913" w:rsidRDefault="00F50CD8" w:rsidP="008368CF">
            <w:pPr>
              <w:pStyle w:val="TableBullet1"/>
            </w:pPr>
            <w:r w:rsidRPr="001D6913">
              <w:t>Young people and families accessing headspace services have increased knowledge about, and willingness to, seek help</w:t>
            </w:r>
          </w:p>
        </w:tc>
        <w:tc>
          <w:tcPr>
            <w:tcW w:w="1922" w:type="pct"/>
            <w:vMerge w:val="restart"/>
            <w:tcBorders>
              <w:top w:val="single" w:sz="2" w:space="0" w:color="808080" w:themeColor="background1" w:themeShade="80"/>
              <w:bottom w:val="single" w:sz="4" w:space="0" w:color="808080" w:themeColor="background1" w:themeShade="80"/>
            </w:tcBorders>
          </w:tcPr>
          <w:p w14:paraId="42081DFC" w14:textId="6765FEC4" w:rsidR="00F50CD8" w:rsidRPr="001D6913" w:rsidRDefault="00F50CD8" w:rsidP="008368CF">
            <w:pPr>
              <w:pStyle w:val="TableBullet1"/>
            </w:pPr>
            <w:r w:rsidRPr="001D6913">
              <w:t>Young people, their families and communities are better able to identify when someone needs help, and support appropriate, early help</w:t>
            </w:r>
            <w:r w:rsidR="00BD29DF">
              <w:t xml:space="preserve"> </w:t>
            </w:r>
            <w:r w:rsidRPr="001D6913">
              <w:t>seeking</w:t>
            </w:r>
          </w:p>
          <w:p w14:paraId="4C732C3B" w14:textId="77777777" w:rsidR="00F50CD8" w:rsidRDefault="00F50CD8" w:rsidP="008368CF">
            <w:pPr>
              <w:pStyle w:val="TableBullet1"/>
            </w:pPr>
            <w:r w:rsidRPr="001D6913">
              <w:t xml:space="preserve">Earlier identification and treatment of emerging mental health problems for young people </w:t>
            </w:r>
          </w:p>
          <w:p w14:paraId="7974AB8C" w14:textId="3E7AD7E1" w:rsidR="00F50CD8" w:rsidRPr="001D6913" w:rsidRDefault="00F50CD8" w:rsidP="008368CF">
            <w:pPr>
              <w:pStyle w:val="TableBullet1"/>
            </w:pPr>
            <w:r w:rsidRPr="001D6913">
              <w:t>Young people increase help</w:t>
            </w:r>
            <w:r w:rsidR="00BD29DF">
              <w:t xml:space="preserve"> </w:t>
            </w:r>
            <w:r w:rsidRPr="001D6913">
              <w:t>seeking behaviour for mental health and wellbeing issues</w:t>
            </w:r>
          </w:p>
        </w:tc>
      </w:tr>
      <w:tr w:rsidR="00F50CD8" w:rsidRPr="001D6913" w14:paraId="0B50142B" w14:textId="77777777" w:rsidTr="00605715">
        <w:tc>
          <w:tcPr>
            <w:tcW w:w="1539" w:type="pct"/>
            <w:tcBorders>
              <w:top w:val="single" w:sz="2" w:space="0" w:color="808080" w:themeColor="background1" w:themeShade="80"/>
              <w:bottom w:val="single" w:sz="2" w:space="0" w:color="808080" w:themeColor="background1" w:themeShade="80"/>
            </w:tcBorders>
          </w:tcPr>
          <w:p w14:paraId="1343C36D" w14:textId="2133FBCE" w:rsidR="00F50CD8" w:rsidRPr="001D6913" w:rsidRDefault="00F50CD8" w:rsidP="002C39EE">
            <w:pPr>
              <w:pStyle w:val="Tabletext"/>
            </w:pPr>
            <w:r w:rsidRPr="00723E3F">
              <w:rPr>
                <w:b/>
                <w:bCs/>
              </w:rPr>
              <w:t>Reducing stigma associated with mental health and mental illness</w:t>
            </w:r>
            <w:r>
              <w:t xml:space="preserve"> - the fear or embarrassment of seeking help for mental health and wellbeing, and the negative judgment of</w:t>
            </w:r>
            <w:r w:rsidR="009706AA">
              <w:t>,</w:t>
            </w:r>
            <w:r>
              <w:t xml:space="preserve"> and lack of empathy for</w:t>
            </w:r>
            <w:r w:rsidR="009706AA">
              <w:t>,</w:t>
            </w:r>
            <w:r>
              <w:t xml:space="preserve"> those </w:t>
            </w:r>
            <w:r w:rsidR="009706AA">
              <w:t xml:space="preserve">who </w:t>
            </w:r>
            <w:r>
              <w:t>do</w:t>
            </w:r>
          </w:p>
        </w:tc>
        <w:tc>
          <w:tcPr>
            <w:tcW w:w="1539" w:type="pct"/>
            <w:tcBorders>
              <w:top w:val="single" w:sz="2" w:space="0" w:color="808080" w:themeColor="background1" w:themeShade="80"/>
              <w:bottom w:val="single" w:sz="2" w:space="0" w:color="808080" w:themeColor="background1" w:themeShade="80"/>
            </w:tcBorders>
          </w:tcPr>
          <w:p w14:paraId="29ACF92D" w14:textId="77777777" w:rsidR="00F50CD8" w:rsidRPr="001D6913" w:rsidRDefault="00F50CD8" w:rsidP="008368CF">
            <w:pPr>
              <w:pStyle w:val="TableBullet1"/>
            </w:pPr>
            <w:r w:rsidRPr="001D6913">
              <w:t>Young people, their families and communities (living near headspace centres and satellites) have improved attitudes towards mental health and mental illness (stigma reduction)</w:t>
            </w:r>
          </w:p>
        </w:tc>
        <w:tc>
          <w:tcPr>
            <w:tcW w:w="1922" w:type="pct"/>
            <w:vMerge/>
            <w:tcBorders>
              <w:top w:val="single" w:sz="4" w:space="0" w:color="auto"/>
              <w:bottom w:val="single" w:sz="4" w:space="0" w:color="808080" w:themeColor="background1" w:themeShade="80"/>
            </w:tcBorders>
          </w:tcPr>
          <w:p w14:paraId="6BDFFF3F" w14:textId="77777777" w:rsidR="00F50CD8" w:rsidRPr="001D6913" w:rsidRDefault="00F50CD8" w:rsidP="007674B9">
            <w:pPr>
              <w:pStyle w:val="Bullet1stlevel"/>
            </w:pPr>
          </w:p>
        </w:tc>
      </w:tr>
      <w:tr w:rsidR="00F50CD8" w:rsidRPr="001D6913" w14:paraId="6C47B534" w14:textId="77777777" w:rsidTr="00605715">
        <w:trPr>
          <w:cantSplit/>
        </w:trPr>
        <w:tc>
          <w:tcPr>
            <w:tcW w:w="1539" w:type="pct"/>
            <w:tcBorders>
              <w:top w:val="single" w:sz="2" w:space="0" w:color="808080" w:themeColor="background1" w:themeShade="80"/>
              <w:bottom w:val="single" w:sz="2" w:space="0" w:color="808080" w:themeColor="background1" w:themeShade="80"/>
            </w:tcBorders>
          </w:tcPr>
          <w:p w14:paraId="1A2267E7" w14:textId="77777777" w:rsidR="00F50CD8" w:rsidRPr="001D6913" w:rsidRDefault="00F50CD8" w:rsidP="00F95AAC">
            <w:pPr>
              <w:pStyle w:val="Tabletext"/>
            </w:pPr>
            <w:r w:rsidRPr="00163EC2">
              <w:rPr>
                <w:b/>
                <w:bCs/>
              </w:rPr>
              <w:t>Increasing access to required services</w:t>
            </w:r>
            <w:r>
              <w:t xml:space="preserve"> - the number of young people accessing headspace</w:t>
            </w:r>
          </w:p>
        </w:tc>
        <w:tc>
          <w:tcPr>
            <w:tcW w:w="1539" w:type="pct"/>
            <w:tcBorders>
              <w:top w:val="single" w:sz="2" w:space="0" w:color="808080" w:themeColor="background1" w:themeShade="80"/>
              <w:bottom w:val="single" w:sz="2" w:space="0" w:color="808080" w:themeColor="background1" w:themeShade="80"/>
            </w:tcBorders>
          </w:tcPr>
          <w:p w14:paraId="34F8B7D3" w14:textId="77777777" w:rsidR="00F50CD8" w:rsidRPr="001D6913" w:rsidRDefault="00F50CD8" w:rsidP="008368CF">
            <w:pPr>
              <w:pStyle w:val="TableBullet1"/>
            </w:pPr>
            <w:r w:rsidRPr="001D6913">
              <w:t>Young people from a diverse range of backgrounds access and engage with headspace services</w:t>
            </w:r>
          </w:p>
          <w:p w14:paraId="44B0E841" w14:textId="77777777" w:rsidR="00F50CD8" w:rsidRPr="001D6913" w:rsidRDefault="00F50CD8" w:rsidP="008368CF">
            <w:pPr>
              <w:pStyle w:val="TableBullet1"/>
            </w:pPr>
            <w:r w:rsidRPr="001D6913">
              <w:t>Young people and families can access headspace services in a timely manner, and at low or no cost</w:t>
            </w:r>
          </w:p>
        </w:tc>
        <w:tc>
          <w:tcPr>
            <w:tcW w:w="1922" w:type="pct"/>
            <w:tcBorders>
              <w:top w:val="single" w:sz="4" w:space="0" w:color="808080" w:themeColor="background1" w:themeShade="80"/>
              <w:bottom w:val="single" w:sz="2" w:space="0" w:color="808080" w:themeColor="background1" w:themeShade="80"/>
            </w:tcBorders>
          </w:tcPr>
          <w:p w14:paraId="51CACDD8" w14:textId="77777777" w:rsidR="00F50CD8" w:rsidRPr="001D6913" w:rsidRDefault="00F50CD8" w:rsidP="008368CF">
            <w:pPr>
              <w:pStyle w:val="TableBullet1"/>
            </w:pPr>
            <w:r w:rsidRPr="001D6913">
              <w:t>Young people receive appropriate, evidence-based treatment early</w:t>
            </w:r>
          </w:p>
        </w:tc>
      </w:tr>
      <w:tr w:rsidR="001B367D" w:rsidRPr="001D6913" w14:paraId="083D6E72" w14:textId="77777777" w:rsidTr="0011116C">
        <w:tc>
          <w:tcPr>
            <w:tcW w:w="5000" w:type="pct"/>
            <w:gridSpan w:val="3"/>
            <w:tcBorders>
              <w:top w:val="single" w:sz="2" w:space="0" w:color="808080" w:themeColor="background1" w:themeShade="80"/>
              <w:bottom w:val="single" w:sz="2" w:space="0" w:color="808080" w:themeColor="background1" w:themeShade="80"/>
            </w:tcBorders>
            <w:shd w:val="clear" w:color="auto" w:fill="C4EBFF" w:themeFill="accent2" w:themeFillTint="33"/>
          </w:tcPr>
          <w:p w14:paraId="246D17F9" w14:textId="52BD5040" w:rsidR="001B367D" w:rsidRPr="001D6913" w:rsidRDefault="001B367D" w:rsidP="008368CF">
            <w:pPr>
              <w:pStyle w:val="Tabletextbold"/>
            </w:pPr>
            <w:r>
              <w:t>Service system outcomes</w:t>
            </w:r>
          </w:p>
        </w:tc>
      </w:tr>
      <w:tr w:rsidR="00F50CD8" w:rsidRPr="001D6913" w14:paraId="21D9B807" w14:textId="77777777" w:rsidTr="001B367D">
        <w:trPr>
          <w:cantSplit/>
        </w:trPr>
        <w:tc>
          <w:tcPr>
            <w:tcW w:w="1539" w:type="pct"/>
            <w:tcBorders>
              <w:top w:val="single" w:sz="2" w:space="0" w:color="808080" w:themeColor="background1" w:themeShade="80"/>
              <w:bottom w:val="single" w:sz="2" w:space="0" w:color="808080" w:themeColor="background1" w:themeShade="80"/>
            </w:tcBorders>
          </w:tcPr>
          <w:p w14:paraId="15FF6EA6" w14:textId="77777777" w:rsidR="00F50CD8" w:rsidRPr="001D6913" w:rsidRDefault="00F50CD8" w:rsidP="00F95AAC">
            <w:pPr>
              <w:pStyle w:val="Tabletext"/>
            </w:pPr>
            <w:r w:rsidRPr="00664E58">
              <w:rPr>
                <w:b/>
                <w:bCs/>
              </w:rPr>
              <w:t>Improving the pathway to care through service integration and coordination</w:t>
            </w:r>
            <w:r>
              <w:rPr>
                <w:b/>
                <w:bCs/>
              </w:rPr>
              <w:t xml:space="preserve"> </w:t>
            </w:r>
            <w:r w:rsidRPr="007277C3">
              <w:t>-</w:t>
            </w:r>
            <w:r>
              <w:rPr>
                <w:b/>
                <w:bCs/>
              </w:rPr>
              <w:t xml:space="preserve"> </w:t>
            </w:r>
            <w:r>
              <w:rPr>
                <w:rFonts w:cs="Calibri"/>
                <w:szCs w:val="20"/>
              </w:rPr>
              <w:t>bringing services together to function as one, providing a seamless service experience for a young person</w:t>
            </w:r>
          </w:p>
        </w:tc>
        <w:tc>
          <w:tcPr>
            <w:tcW w:w="1539" w:type="pct"/>
            <w:tcBorders>
              <w:top w:val="single" w:sz="2" w:space="0" w:color="808080" w:themeColor="background1" w:themeShade="80"/>
              <w:bottom w:val="single" w:sz="2" w:space="0" w:color="808080" w:themeColor="background1" w:themeShade="80"/>
            </w:tcBorders>
          </w:tcPr>
          <w:p w14:paraId="0344995F" w14:textId="77777777" w:rsidR="00F50CD8" w:rsidRDefault="00F50CD8" w:rsidP="008368CF">
            <w:pPr>
              <w:pStyle w:val="TableBullet1"/>
            </w:pPr>
            <w:r w:rsidRPr="001D6913">
              <w:t>headspace services deliver services across and beyond four core streams (mental health, physical health, alcohol and drug use, vocational programs)</w:t>
            </w:r>
          </w:p>
          <w:p w14:paraId="79BC746D" w14:textId="77777777" w:rsidR="00F50CD8" w:rsidRPr="001D6913" w:rsidRDefault="00F50CD8" w:rsidP="008368CF">
            <w:pPr>
              <w:pStyle w:val="TableBullet1"/>
            </w:pPr>
            <w:r w:rsidRPr="001D6913">
              <w:t>headspace services deliver integrated/</w:t>
            </w:r>
            <w:r>
              <w:t xml:space="preserve"> </w:t>
            </w:r>
            <w:r w:rsidRPr="001D6913">
              <w:t>coordinated care</w:t>
            </w:r>
          </w:p>
        </w:tc>
        <w:tc>
          <w:tcPr>
            <w:tcW w:w="1922" w:type="pct"/>
            <w:tcBorders>
              <w:top w:val="single" w:sz="2" w:space="0" w:color="808080" w:themeColor="background1" w:themeShade="80"/>
              <w:bottom w:val="single" w:sz="2" w:space="0" w:color="808080" w:themeColor="background1" w:themeShade="80"/>
            </w:tcBorders>
          </w:tcPr>
          <w:p w14:paraId="4DCB6C2A" w14:textId="77777777" w:rsidR="00F50CD8" w:rsidRPr="001D6913" w:rsidRDefault="00F50CD8" w:rsidP="008368CF">
            <w:pPr>
              <w:pStyle w:val="TableBullet1"/>
            </w:pPr>
            <w:r w:rsidRPr="001D6913">
              <w:t>Young people and families experience more streamlined and less fragmented pathways of care</w:t>
            </w:r>
          </w:p>
          <w:p w14:paraId="10016DB0" w14:textId="77777777" w:rsidR="00F50CD8" w:rsidRPr="001D6913" w:rsidRDefault="00F50CD8" w:rsidP="008368CF">
            <w:pPr>
              <w:pStyle w:val="TableBullet1"/>
            </w:pPr>
            <w:r w:rsidRPr="001D6913">
              <w:t>The local service system for youth mental health is better integrated and coordinated</w:t>
            </w:r>
          </w:p>
        </w:tc>
      </w:tr>
      <w:tr w:rsidR="00F50CD8" w:rsidRPr="001D6913" w14:paraId="6882C5C0" w14:textId="77777777" w:rsidTr="001B367D">
        <w:tc>
          <w:tcPr>
            <w:tcW w:w="1539" w:type="pct"/>
            <w:tcBorders>
              <w:top w:val="single" w:sz="2" w:space="0" w:color="808080" w:themeColor="background1" w:themeShade="80"/>
              <w:bottom w:val="single" w:sz="2" w:space="0" w:color="808080" w:themeColor="background1" w:themeShade="80"/>
            </w:tcBorders>
          </w:tcPr>
          <w:p w14:paraId="3875BC23" w14:textId="77777777" w:rsidR="00F50CD8" w:rsidRPr="001D6913" w:rsidRDefault="00F50CD8" w:rsidP="00F95AAC">
            <w:pPr>
              <w:pStyle w:val="Tabletext"/>
            </w:pPr>
            <w:r w:rsidRPr="001F3507">
              <w:rPr>
                <w:b/>
                <w:bCs/>
              </w:rPr>
              <w:t>Ensuring young people can access the help they need in an appropriate, accessible and youth friendly way</w:t>
            </w:r>
            <w:r>
              <w:t xml:space="preserve"> - providing an accessible, welcome, inclusive and non</w:t>
            </w:r>
            <w:r>
              <w:noBreakHyphen/>
              <w:t>stigmatising service</w:t>
            </w:r>
          </w:p>
        </w:tc>
        <w:tc>
          <w:tcPr>
            <w:tcW w:w="1539" w:type="pct"/>
            <w:tcBorders>
              <w:top w:val="single" w:sz="2" w:space="0" w:color="808080" w:themeColor="background1" w:themeShade="80"/>
              <w:bottom w:val="single" w:sz="2" w:space="0" w:color="808080" w:themeColor="background1" w:themeShade="80"/>
            </w:tcBorders>
          </w:tcPr>
          <w:p w14:paraId="17BF4B28" w14:textId="77777777" w:rsidR="00F50CD8" w:rsidRPr="001D6913" w:rsidRDefault="00F50CD8" w:rsidP="008368CF">
            <w:pPr>
              <w:pStyle w:val="TableBullet1"/>
            </w:pPr>
            <w:r w:rsidRPr="001D6913">
              <w:t>Young people feel listened to and involved in decision-making</w:t>
            </w:r>
          </w:p>
          <w:p w14:paraId="20B2F91A" w14:textId="77777777" w:rsidR="00F50CD8" w:rsidRPr="001D6913" w:rsidRDefault="00F50CD8" w:rsidP="008368CF">
            <w:pPr>
              <w:pStyle w:val="TableBullet1"/>
            </w:pPr>
            <w:r w:rsidRPr="001D6913">
              <w:t>Young people and families feel their needs and interests are understood and reflected in their local headspace service (participation outcomes)</w:t>
            </w:r>
          </w:p>
          <w:p w14:paraId="0D0B1D6F" w14:textId="4929D8FA" w:rsidR="00F50CD8" w:rsidRDefault="00F50CD8" w:rsidP="008368CF">
            <w:pPr>
              <w:pStyle w:val="TableBullet1"/>
            </w:pPr>
            <w:r w:rsidRPr="001D6913">
              <w:t xml:space="preserve">headspace services meet the expectations of friends and family and </w:t>
            </w:r>
            <w:r w:rsidR="001F058F">
              <w:t>Y</w:t>
            </w:r>
            <w:r w:rsidRPr="001D6913">
              <w:t xml:space="preserve">outh </w:t>
            </w:r>
            <w:r w:rsidR="001F058F">
              <w:t>R</w:t>
            </w:r>
            <w:r w:rsidRPr="001D6913">
              <w:t xml:space="preserve">eference </w:t>
            </w:r>
            <w:r w:rsidR="001F058F">
              <w:t>G</w:t>
            </w:r>
            <w:r w:rsidRPr="001D6913">
              <w:t>roup</w:t>
            </w:r>
          </w:p>
          <w:p w14:paraId="7C2F2CDE" w14:textId="77777777" w:rsidR="00F50CD8" w:rsidRDefault="00F50CD8" w:rsidP="008368CF">
            <w:pPr>
              <w:pStyle w:val="TableBullet1"/>
            </w:pPr>
            <w:r w:rsidRPr="001D6913">
              <w:t>Young people from a diverse range of backgrounds access and engage with headspace services</w:t>
            </w:r>
          </w:p>
          <w:p w14:paraId="6197F408" w14:textId="77777777" w:rsidR="00A7312C" w:rsidRDefault="00A7312C" w:rsidP="00A7312C">
            <w:pPr>
              <w:pStyle w:val="TableBullet1"/>
              <w:numPr>
                <w:ilvl w:val="0"/>
                <w:numId w:val="0"/>
              </w:numPr>
              <w:ind w:left="720" w:hanging="360"/>
            </w:pPr>
          </w:p>
          <w:p w14:paraId="649D5198" w14:textId="77777777" w:rsidR="00A7312C" w:rsidRDefault="00A7312C" w:rsidP="00A7312C">
            <w:pPr>
              <w:pStyle w:val="TableBullet1"/>
              <w:numPr>
                <w:ilvl w:val="0"/>
                <w:numId w:val="0"/>
              </w:numPr>
              <w:ind w:left="720" w:hanging="360"/>
            </w:pPr>
          </w:p>
          <w:p w14:paraId="7E74EDA2" w14:textId="1D79CC3F" w:rsidR="00A7312C" w:rsidRPr="001D6913" w:rsidRDefault="00A7312C" w:rsidP="00A7312C">
            <w:pPr>
              <w:pStyle w:val="TableBullet1"/>
              <w:numPr>
                <w:ilvl w:val="0"/>
                <w:numId w:val="0"/>
              </w:numPr>
              <w:ind w:left="720" w:hanging="360"/>
            </w:pPr>
          </w:p>
        </w:tc>
        <w:tc>
          <w:tcPr>
            <w:tcW w:w="1922" w:type="pct"/>
            <w:tcBorders>
              <w:top w:val="single" w:sz="2" w:space="0" w:color="808080" w:themeColor="background1" w:themeShade="80"/>
              <w:bottom w:val="single" w:sz="2" w:space="0" w:color="808080" w:themeColor="background1" w:themeShade="80"/>
            </w:tcBorders>
          </w:tcPr>
          <w:p w14:paraId="66CD5689" w14:textId="77777777" w:rsidR="00F50CD8" w:rsidRPr="001D6913" w:rsidRDefault="00F50CD8" w:rsidP="008368CF">
            <w:pPr>
              <w:pStyle w:val="TableBullet1"/>
            </w:pPr>
            <w:r w:rsidRPr="001D6913">
              <w:t>headspace services operate flexibly as appropriate to the community needs and profile</w:t>
            </w:r>
          </w:p>
          <w:p w14:paraId="6E7DBB2E" w14:textId="77777777" w:rsidR="00F50CD8" w:rsidRPr="001D6913" w:rsidRDefault="00F50CD8" w:rsidP="008368CF">
            <w:pPr>
              <w:pStyle w:val="TableBullet1"/>
            </w:pPr>
            <w:r w:rsidRPr="001D6913">
              <w:t>Local service system provides more youth-friendly, accessible and inclusive services as a result of learning through partnerships, shared professional development</w:t>
            </w:r>
            <w:r>
              <w:t>,</w:t>
            </w:r>
            <w:r w:rsidRPr="001D6913">
              <w:t xml:space="preserve"> etc</w:t>
            </w:r>
          </w:p>
        </w:tc>
      </w:tr>
      <w:tr w:rsidR="00981DB1" w:rsidRPr="001D6913" w14:paraId="4BD613C0" w14:textId="77777777" w:rsidTr="0011116C">
        <w:tc>
          <w:tcPr>
            <w:tcW w:w="5000" w:type="pct"/>
            <w:gridSpan w:val="3"/>
            <w:tcBorders>
              <w:top w:val="single" w:sz="2" w:space="0" w:color="808080" w:themeColor="background1" w:themeShade="80"/>
              <w:bottom w:val="single" w:sz="2" w:space="0" w:color="808080" w:themeColor="background1" w:themeShade="80"/>
            </w:tcBorders>
            <w:shd w:val="clear" w:color="auto" w:fill="C4EBFF" w:themeFill="accent2" w:themeFillTint="33"/>
          </w:tcPr>
          <w:p w14:paraId="2C838019" w14:textId="0FB2EE22" w:rsidR="00981DB1" w:rsidRPr="001D6913" w:rsidRDefault="005513AE" w:rsidP="008368CF">
            <w:pPr>
              <w:pStyle w:val="Tabletextbold"/>
            </w:pPr>
            <w:r>
              <w:t>Psychosocial</w:t>
            </w:r>
            <w:r w:rsidR="00981DB1">
              <w:t xml:space="preserve"> outcomes</w:t>
            </w:r>
          </w:p>
        </w:tc>
      </w:tr>
      <w:tr w:rsidR="00F50CD8" w:rsidRPr="001D6913" w14:paraId="7A416B15" w14:textId="77777777" w:rsidTr="001B367D">
        <w:tc>
          <w:tcPr>
            <w:tcW w:w="1539" w:type="pct"/>
            <w:tcBorders>
              <w:top w:val="single" w:sz="2" w:space="0" w:color="808080" w:themeColor="background1" w:themeShade="80"/>
              <w:bottom w:val="single" w:sz="2" w:space="0" w:color="808080" w:themeColor="background1" w:themeShade="80"/>
            </w:tcBorders>
          </w:tcPr>
          <w:p w14:paraId="7BE94245" w14:textId="1FEB8B57" w:rsidR="00F50CD8" w:rsidRPr="001D6913" w:rsidRDefault="00F50CD8" w:rsidP="00F95AAC">
            <w:pPr>
              <w:pStyle w:val="Tabletext"/>
            </w:pPr>
            <w:r w:rsidRPr="009F58F3">
              <w:rPr>
                <w:b/>
                <w:bCs/>
              </w:rPr>
              <w:t>Improving mental health and wellbeing outcomes for young people aged 12</w:t>
            </w:r>
            <w:r w:rsidR="007E76A0">
              <w:rPr>
                <w:b/>
                <w:bCs/>
              </w:rPr>
              <w:t xml:space="preserve"> to </w:t>
            </w:r>
            <w:r w:rsidRPr="009F58F3">
              <w:rPr>
                <w:b/>
                <w:bCs/>
              </w:rPr>
              <w:t>25 years</w:t>
            </w:r>
            <w:r>
              <w:rPr>
                <w:b/>
                <w:bCs/>
              </w:rPr>
              <w:t xml:space="preserve"> </w:t>
            </w:r>
            <w:r w:rsidRPr="00C629AE">
              <w:t>-</w:t>
            </w:r>
            <w:r>
              <w:t xml:space="preserve"> improvements in K10 SOFAS and </w:t>
            </w:r>
            <w:r w:rsidR="00080644">
              <w:t xml:space="preserve">MLT </w:t>
            </w:r>
            <w:r>
              <w:t>outcome measures</w:t>
            </w:r>
          </w:p>
        </w:tc>
        <w:tc>
          <w:tcPr>
            <w:tcW w:w="1539" w:type="pct"/>
            <w:tcBorders>
              <w:top w:val="single" w:sz="2" w:space="0" w:color="808080" w:themeColor="background1" w:themeShade="80"/>
              <w:bottom w:val="single" w:sz="2" w:space="0" w:color="808080" w:themeColor="background1" w:themeShade="80"/>
            </w:tcBorders>
          </w:tcPr>
          <w:p w14:paraId="3EA04402" w14:textId="77777777" w:rsidR="00F50CD8" w:rsidRPr="001D6913" w:rsidRDefault="00F50CD8" w:rsidP="008368CF">
            <w:pPr>
              <w:pStyle w:val="TableBullet1"/>
            </w:pPr>
            <w:r w:rsidRPr="001D6913">
              <w:t>Young people accessing headspace services feel more hopeful for the future</w:t>
            </w:r>
          </w:p>
          <w:p w14:paraId="255DCCC8" w14:textId="77777777" w:rsidR="00F50CD8" w:rsidRPr="001D6913" w:rsidRDefault="00F50CD8" w:rsidP="008368CF">
            <w:pPr>
              <w:pStyle w:val="TableBullet1"/>
            </w:pPr>
            <w:r w:rsidRPr="001D6913">
              <w:t>Young people accessing headspace services feel better able to cope</w:t>
            </w:r>
          </w:p>
          <w:p w14:paraId="1A85D625" w14:textId="77777777" w:rsidR="00F50CD8" w:rsidRPr="001D6913" w:rsidRDefault="00F50CD8" w:rsidP="008368CF">
            <w:pPr>
              <w:pStyle w:val="TableBullet1"/>
            </w:pPr>
            <w:r w:rsidRPr="001D6913">
              <w:t>Young people accessing headspace services gain skills to better manage their mental health and wellbeing issues</w:t>
            </w:r>
          </w:p>
          <w:p w14:paraId="1B7519D8" w14:textId="690D49F3" w:rsidR="00F50CD8" w:rsidRPr="001D6913" w:rsidRDefault="00F50CD8" w:rsidP="008368CF">
            <w:pPr>
              <w:pStyle w:val="TableBullet1"/>
            </w:pPr>
            <w:r w:rsidRPr="001D6913">
              <w:t xml:space="preserve">Young people accessing headspace services experience </w:t>
            </w:r>
            <w:r w:rsidR="00D8477D">
              <w:t xml:space="preserve">a </w:t>
            </w:r>
            <w:r w:rsidRPr="001D6913">
              <w:t>reduction in symptoms and levels of psychological distress and increased wellbeing</w:t>
            </w:r>
          </w:p>
          <w:p w14:paraId="766D231F" w14:textId="2CD2CD5F" w:rsidR="00F50CD8" w:rsidRPr="001D6913" w:rsidRDefault="00F50CD8" w:rsidP="008368CF">
            <w:pPr>
              <w:pStyle w:val="TableBullet1"/>
            </w:pPr>
            <w:r w:rsidRPr="001D6913">
              <w:t>Young people accessing headspace services start to experience improvement to their day-to-day lives</w:t>
            </w:r>
          </w:p>
          <w:p w14:paraId="53E94A2E" w14:textId="77777777" w:rsidR="00F50CD8" w:rsidRPr="001D6913" w:rsidRDefault="00F50CD8" w:rsidP="008368CF">
            <w:pPr>
              <w:pStyle w:val="TableBullet1"/>
            </w:pPr>
            <w:r w:rsidRPr="001D6913">
              <w:t>Young people accessing headspace services receive appropriate support for physical health, alcohol and substance use and work and study needs</w:t>
            </w:r>
          </w:p>
          <w:p w14:paraId="37CFB289" w14:textId="77777777" w:rsidR="00F50CD8" w:rsidRPr="001D6913" w:rsidRDefault="00F50CD8" w:rsidP="008368CF">
            <w:pPr>
              <w:pStyle w:val="TableBullet1"/>
            </w:pPr>
            <w:r w:rsidRPr="001D6913">
              <w:t>Young people who receive work/study, alcohol or other drug and/or physical health assistance, gain skills to better manage these aspects of their lives</w:t>
            </w:r>
          </w:p>
        </w:tc>
        <w:tc>
          <w:tcPr>
            <w:tcW w:w="1922" w:type="pct"/>
            <w:tcBorders>
              <w:top w:val="single" w:sz="2" w:space="0" w:color="808080" w:themeColor="background1" w:themeShade="80"/>
              <w:bottom w:val="single" w:sz="2" w:space="0" w:color="808080" w:themeColor="background1" w:themeShade="80"/>
            </w:tcBorders>
          </w:tcPr>
          <w:p w14:paraId="3600F3DB" w14:textId="77777777" w:rsidR="00F50CD8" w:rsidRPr="001D6913" w:rsidRDefault="00F50CD8" w:rsidP="008368CF">
            <w:pPr>
              <w:pStyle w:val="TableBullet1"/>
            </w:pPr>
            <w:r w:rsidRPr="001D6913">
              <w:t>Young people accessing headspace services experience improvements (or stability) in social and occupational functioning</w:t>
            </w:r>
          </w:p>
          <w:p w14:paraId="5D97FA57" w14:textId="77777777" w:rsidR="00F50CD8" w:rsidRPr="001D6913" w:rsidRDefault="00F50CD8" w:rsidP="008368CF">
            <w:pPr>
              <w:pStyle w:val="TableBullet1"/>
            </w:pPr>
            <w:r w:rsidRPr="001D6913">
              <w:t>Young people accessing headspace services experience improvements in their quality of life and wellbeing</w:t>
            </w:r>
          </w:p>
          <w:p w14:paraId="2A6BB705" w14:textId="77777777" w:rsidR="00F50CD8" w:rsidRPr="001D6913" w:rsidRDefault="00F50CD8" w:rsidP="008368CF">
            <w:pPr>
              <w:pStyle w:val="TableBullet1"/>
            </w:pPr>
            <w:r w:rsidRPr="001D6913">
              <w:t>Family and friends accessing headspace services have increased capacity to support their young person</w:t>
            </w:r>
          </w:p>
          <w:p w14:paraId="01590560" w14:textId="77777777" w:rsidR="00F50CD8" w:rsidRPr="001D6913" w:rsidRDefault="00F50CD8" w:rsidP="008368CF">
            <w:pPr>
              <w:pStyle w:val="TableBullet1"/>
            </w:pPr>
            <w:r w:rsidRPr="001D6913">
              <w:t>Young people report sustained improvements in mental health</w:t>
            </w:r>
          </w:p>
          <w:p w14:paraId="4F2FDD16" w14:textId="77777777" w:rsidR="00F50CD8" w:rsidRPr="001D6913" w:rsidRDefault="00F50CD8" w:rsidP="008368CF">
            <w:pPr>
              <w:pStyle w:val="TableBullet1"/>
            </w:pPr>
            <w:r w:rsidRPr="001D6913">
              <w:t>Young people who receive work/study, alcohol or other drug, and/or physical health assistance are better able to manage these aspects of their life in the medium</w:t>
            </w:r>
            <w:r>
              <w:t xml:space="preserve">- to </w:t>
            </w:r>
            <w:r w:rsidRPr="001D6913">
              <w:t>long</w:t>
            </w:r>
            <w:r>
              <w:t>-</w:t>
            </w:r>
            <w:r w:rsidRPr="001D6913">
              <w:t>term</w:t>
            </w:r>
          </w:p>
        </w:tc>
      </w:tr>
    </w:tbl>
    <w:p w14:paraId="3AB604FB" w14:textId="25D0AA73" w:rsidR="00F50CD8" w:rsidRDefault="00F50CD8" w:rsidP="00F50CD8">
      <w:pPr>
        <w:pStyle w:val="Source"/>
      </w:pPr>
      <w:r w:rsidRPr="001D6913">
        <w:t>Source</w:t>
      </w:r>
      <w:r>
        <w:t>: KPMG adapted from headspace Program Logic</w:t>
      </w:r>
      <w:r w:rsidR="00CC0438">
        <w:rPr>
          <w:rFonts w:ascii="ZWAdobeF" w:hAnsi="ZWAdobeF" w:cs="ZWAdobeF"/>
          <w:sz w:val="2"/>
          <w:szCs w:val="2"/>
        </w:rPr>
        <w:t>43F</w:t>
      </w:r>
      <w:r>
        <w:rPr>
          <w:rStyle w:val="FootnoteReference"/>
        </w:rPr>
        <w:footnoteReference w:id="45"/>
      </w:r>
    </w:p>
    <w:p w14:paraId="73E9F0DD" w14:textId="125F23B9" w:rsidR="00F50CD8" w:rsidRDefault="00F50CD8" w:rsidP="00F50CD8">
      <w:pPr>
        <w:pStyle w:val="BodyText"/>
      </w:pPr>
      <w:r>
        <w:t xml:space="preserve">Stakeholder consultation through this evaluation was used to explore views on what might be considered ‘positive outcomes’ for young people attending headspace. Interviews from across the stakeholder groups consulted (listed in </w:t>
      </w:r>
      <w:r>
        <w:fldChar w:fldCharType="begin" w:fldLock="1"/>
      </w:r>
      <w:r>
        <w:instrText xml:space="preserve"> REF _Ref97900498 \w \h </w:instrText>
      </w:r>
      <w:r>
        <w:fldChar w:fldCharType="separate"/>
      </w:r>
      <w:r w:rsidR="00AE4D34">
        <w:t>Appendix B</w:t>
      </w:r>
      <w:r>
        <w:fldChar w:fldCharType="end"/>
      </w:r>
      <w:r>
        <w:fldChar w:fldCharType="begin" w:fldLock="1"/>
      </w:r>
      <w:r>
        <w:instrText xml:space="preserve"> REF _Ref97900498 \h </w:instrText>
      </w:r>
      <w:r>
        <w:fldChar w:fldCharType="separate"/>
      </w:r>
      <w:r w:rsidR="00AE4D34">
        <w:t xml:space="preserve">: </w:t>
      </w:r>
      <w:r w:rsidR="00AE4D34" w:rsidRPr="001E6699">
        <w:t>Consultation</w:t>
      </w:r>
      <w:r>
        <w:fldChar w:fldCharType="end"/>
      </w:r>
      <w:r>
        <w:t xml:space="preserve">) elicited broad support for the objectives and outcomes set out in the headspace model program logic. Stakeholders from all groups recognised the importance of providing easily accessible, free services for young people to support their mental health, and spoke of the important role of services in community engagement and stigma reduction as key enablers to this ultimate goal. headspace service providers also spoke of other indicators of success, such as when young people refer their friends to the service and contribute as </w:t>
      </w:r>
      <w:r w:rsidR="001F058F">
        <w:t>Y</w:t>
      </w:r>
      <w:r>
        <w:t xml:space="preserve">outh </w:t>
      </w:r>
      <w:r w:rsidR="001F058F">
        <w:t>R</w:t>
      </w:r>
      <w:r>
        <w:t xml:space="preserve">eference </w:t>
      </w:r>
      <w:r w:rsidR="001F058F">
        <w:t>G</w:t>
      </w:r>
      <w:r>
        <w:t xml:space="preserve">roup members, as </w:t>
      </w:r>
      <w:r w:rsidR="00BC6E1C">
        <w:t xml:space="preserve">being </w:t>
      </w:r>
      <w:r>
        <w:t xml:space="preserve">strong indicators that a young person’s experience at headspace had been positive. </w:t>
      </w:r>
    </w:p>
    <w:p w14:paraId="6430F1B4" w14:textId="2F4B5C21" w:rsidR="008740DE" w:rsidRPr="00154A9D" w:rsidRDefault="008740DE" w:rsidP="00F50CD8">
      <w:pPr>
        <w:pStyle w:val="BodyText"/>
      </w:pPr>
      <w:r>
        <w:t xml:space="preserve">This stakeholder consultation </w:t>
      </w:r>
      <w:r w:rsidR="00BA1B11">
        <w:t xml:space="preserve">provides </w:t>
      </w:r>
      <w:r>
        <w:t>validat</w:t>
      </w:r>
      <w:r w:rsidR="00BA1B11">
        <w:t>ion of</w:t>
      </w:r>
      <w:r>
        <w:t xml:space="preserve"> the conceptual design of the headspace model</w:t>
      </w:r>
      <w:r w:rsidR="00BA1B11">
        <w:t xml:space="preserve"> and the extent to which it</w:t>
      </w:r>
      <w:r w:rsidR="00674899">
        <w:t xml:space="preserve">s objectives are </w:t>
      </w:r>
      <w:r w:rsidR="00BA1B11">
        <w:t xml:space="preserve">valued by </w:t>
      </w:r>
      <w:r w:rsidR="00782336">
        <w:t>the mental health services sector, policy makers and the community.</w:t>
      </w:r>
    </w:p>
    <w:p w14:paraId="70CA4CC3" w14:textId="004335CC" w:rsidR="00F50CD8" w:rsidRDefault="00601E04" w:rsidP="00F50CD8">
      <w:pPr>
        <w:pStyle w:val="Heading3"/>
      </w:pPr>
      <w:bookmarkStart w:id="38" w:name="_Ref98445151"/>
      <w:r>
        <w:t>C</w:t>
      </w:r>
      <w:r w:rsidR="00F50CD8">
        <w:t>linical outcomes</w:t>
      </w:r>
      <w:bookmarkEnd w:id="38"/>
    </w:p>
    <w:p w14:paraId="1BEFC60F" w14:textId="13DE54DB" w:rsidR="00F50CD8" w:rsidRDefault="00F50CD8" w:rsidP="00F50CD8">
      <w:pPr>
        <w:pStyle w:val="BodyText"/>
      </w:pPr>
      <w:r>
        <w:t xml:space="preserve">Improvements in the mental health and wellbeing of young people attending headspace are measured in an ongoing way. headspace services collect a number of clinical measures of mental health and </w:t>
      </w:r>
      <w:r w:rsidR="005513AE">
        <w:t>psychosocial</w:t>
      </w:r>
      <w:r>
        <w:t xml:space="preserve"> functioning throughout each client’s engagement with headspace. These are collected using consistent tools, and form part of the headspace minimum dataset (hMDS) held by headspace National.</w:t>
      </w:r>
    </w:p>
    <w:p w14:paraId="588DF29B" w14:textId="77777777" w:rsidR="00F50CD8" w:rsidRPr="00215F26" w:rsidRDefault="00F50CD8" w:rsidP="00F50CD8">
      <w:pPr>
        <w:pStyle w:val="Heading4"/>
      </w:pPr>
      <w:r w:rsidRPr="00215F26">
        <w:t>The Kessler Psychological Distress Scale</w:t>
      </w:r>
    </w:p>
    <w:p w14:paraId="58A1173F" w14:textId="5127C4BC" w:rsidR="00F50CD8" w:rsidRDefault="00F50CD8" w:rsidP="00F50CD8">
      <w:pPr>
        <w:pStyle w:val="BodyText"/>
      </w:pPr>
      <w:r>
        <w:t>The Kessler Psychological Distress Scale (K10) is a 10-item questionnaire intended to yield a global measure of distress based on questions about anxiety and depressive symptoms that a person has experienced in the most recent four-week period</w:t>
      </w:r>
      <w:r w:rsidR="00CC0438">
        <w:rPr>
          <w:rFonts w:ascii="ZWAdobeF" w:hAnsi="ZWAdobeF" w:cs="ZWAdobeF"/>
          <w:sz w:val="2"/>
          <w:szCs w:val="2"/>
        </w:rPr>
        <w:t>44F</w:t>
      </w:r>
      <w:r>
        <w:rPr>
          <w:rStyle w:val="FootnoteReference"/>
        </w:rPr>
        <w:footnoteReference w:id="46"/>
      </w:r>
      <w:r>
        <w:t>. The questionnaire asks people to use a 5</w:t>
      </w:r>
      <w:r w:rsidR="00F475D3">
        <w:t xml:space="preserve"> </w:t>
      </w:r>
      <w:r>
        <w:t>point response scale, ranging from “none of the time” to “all of the time” in response to the following:</w:t>
      </w:r>
    </w:p>
    <w:p w14:paraId="3705BE27" w14:textId="77777777" w:rsidR="00F50CD8" w:rsidRDefault="00F50CD8" w:rsidP="00F50CD8">
      <w:pPr>
        <w:pStyle w:val="BodyText"/>
        <w:ind w:left="720"/>
      </w:pPr>
      <w:r>
        <w:t>“</w:t>
      </w:r>
      <w:r w:rsidRPr="00763244">
        <w:t>In the last 4 weeks (or since your last visit to headspace), how often did you feel...</w:t>
      </w:r>
    </w:p>
    <w:p w14:paraId="725CB814" w14:textId="77777777" w:rsidR="00F50CD8" w:rsidRDefault="00F50CD8" w:rsidP="00F50CD8">
      <w:pPr>
        <w:pStyle w:val="BodyText"/>
        <w:ind w:left="720"/>
      </w:pPr>
      <w:r w:rsidRPr="00763244">
        <w:t>1. tired out for no good reason</w:t>
      </w:r>
    </w:p>
    <w:p w14:paraId="6A0ED644" w14:textId="77777777" w:rsidR="00F50CD8" w:rsidRDefault="00F50CD8" w:rsidP="00F50CD8">
      <w:pPr>
        <w:pStyle w:val="BodyText"/>
        <w:ind w:left="720"/>
      </w:pPr>
      <w:r w:rsidRPr="00763244">
        <w:t>2. nervous</w:t>
      </w:r>
    </w:p>
    <w:p w14:paraId="563EEA69" w14:textId="77777777" w:rsidR="00F50CD8" w:rsidRDefault="00F50CD8" w:rsidP="00F50CD8">
      <w:pPr>
        <w:pStyle w:val="BodyText"/>
        <w:ind w:left="720"/>
      </w:pPr>
      <w:r w:rsidRPr="00763244">
        <w:t>3. so nervous that nothing could calm you down</w:t>
      </w:r>
    </w:p>
    <w:p w14:paraId="46B393B6" w14:textId="77777777" w:rsidR="00F50CD8" w:rsidRDefault="00F50CD8" w:rsidP="00F50CD8">
      <w:pPr>
        <w:pStyle w:val="BodyText"/>
        <w:ind w:left="720"/>
      </w:pPr>
      <w:r w:rsidRPr="00763244">
        <w:t>4. hopeless</w:t>
      </w:r>
    </w:p>
    <w:p w14:paraId="72369796" w14:textId="77777777" w:rsidR="00F50CD8" w:rsidRDefault="00F50CD8" w:rsidP="00F50CD8">
      <w:pPr>
        <w:pStyle w:val="BodyText"/>
        <w:ind w:left="720"/>
      </w:pPr>
      <w:r w:rsidRPr="00763244">
        <w:t>5. restless and fidgety</w:t>
      </w:r>
    </w:p>
    <w:p w14:paraId="336259F7" w14:textId="77777777" w:rsidR="00F50CD8" w:rsidRDefault="00F50CD8" w:rsidP="00F50CD8">
      <w:pPr>
        <w:pStyle w:val="BodyText"/>
        <w:ind w:left="720"/>
      </w:pPr>
      <w:r w:rsidRPr="00763244">
        <w:t>6. so restless that you could not sit still</w:t>
      </w:r>
    </w:p>
    <w:p w14:paraId="5F2237F6" w14:textId="77777777" w:rsidR="00F50CD8" w:rsidRDefault="00F50CD8" w:rsidP="00F50CD8">
      <w:pPr>
        <w:pStyle w:val="BodyText"/>
        <w:ind w:left="720"/>
      </w:pPr>
      <w:r w:rsidRPr="00763244">
        <w:t>7. depressed</w:t>
      </w:r>
    </w:p>
    <w:p w14:paraId="3EC9D366" w14:textId="77777777" w:rsidR="00F50CD8" w:rsidRDefault="00F50CD8" w:rsidP="00F50CD8">
      <w:pPr>
        <w:pStyle w:val="BodyText"/>
        <w:ind w:left="720"/>
      </w:pPr>
      <w:r w:rsidRPr="00763244">
        <w:t>8. that everything was an effort</w:t>
      </w:r>
    </w:p>
    <w:p w14:paraId="5FBFD3A2" w14:textId="77777777" w:rsidR="00F50CD8" w:rsidRDefault="00F50CD8" w:rsidP="00F50CD8">
      <w:pPr>
        <w:pStyle w:val="BodyText"/>
        <w:ind w:left="720"/>
      </w:pPr>
      <w:r w:rsidRPr="00763244">
        <w:t>9. so sad that nothing could cheer you up</w:t>
      </w:r>
    </w:p>
    <w:p w14:paraId="5D26D70D" w14:textId="75326D1D" w:rsidR="00F50CD8" w:rsidRDefault="00F50CD8" w:rsidP="00F50CD8">
      <w:pPr>
        <w:pStyle w:val="BodyText"/>
        <w:ind w:left="720"/>
      </w:pPr>
      <w:r w:rsidRPr="00763244">
        <w:t>10. worthless</w:t>
      </w:r>
      <w:r>
        <w:t>.</w:t>
      </w:r>
      <w:r w:rsidR="00806520">
        <w:t>”</w:t>
      </w:r>
    </w:p>
    <w:p w14:paraId="3614E876" w14:textId="7DB33AA8" w:rsidR="00F50CD8" w:rsidRDefault="00F50CD8" w:rsidP="00F50CD8">
      <w:pPr>
        <w:pStyle w:val="BodyText"/>
      </w:pPr>
      <w:r>
        <w:t>The K10 measure is a sum of all responses to the 10</w:t>
      </w:r>
      <w:r w:rsidR="00F475D3">
        <w:t xml:space="preserve"> </w:t>
      </w:r>
      <w:r>
        <w:t>items, producing a value ranging from 10 to 50, with higher values indicating higher levels of distress. K10 measures are grouped into four levels of psychological distress</w:t>
      </w:r>
      <w:r w:rsidR="00CC0438">
        <w:rPr>
          <w:rFonts w:ascii="ZWAdobeF" w:hAnsi="ZWAdobeF" w:cs="ZWAdobeF"/>
          <w:sz w:val="2"/>
          <w:szCs w:val="2"/>
        </w:rPr>
        <w:t>45F</w:t>
      </w:r>
      <w:r>
        <w:rPr>
          <w:rStyle w:val="FootnoteReference"/>
        </w:rPr>
        <w:footnoteReference w:id="47"/>
      </w:r>
      <w:r>
        <w:t>:</w:t>
      </w:r>
    </w:p>
    <w:p w14:paraId="5B26CF6E" w14:textId="7D684B11" w:rsidR="00F50CD8" w:rsidRDefault="00F50CD8" w:rsidP="00F50CD8">
      <w:pPr>
        <w:pStyle w:val="Caption"/>
        <w:keepLines/>
      </w:pPr>
      <w:bookmarkStart w:id="39" w:name="_Toc108108954"/>
      <w:r>
        <w:t xml:space="preserve">Table </w:t>
      </w:r>
      <w:r>
        <w:fldChar w:fldCharType="begin"/>
      </w:r>
      <w:r>
        <w:instrText>SEQ Table \* ARABIC</w:instrText>
      </w:r>
      <w:r>
        <w:fldChar w:fldCharType="separate"/>
      </w:r>
      <w:r w:rsidR="00CC0438">
        <w:rPr>
          <w:noProof/>
        </w:rPr>
        <w:t>4</w:t>
      </w:r>
      <w:r>
        <w:fldChar w:fldCharType="end"/>
      </w:r>
      <w:r>
        <w:t>: Overview of K10 psychological distress levels</w:t>
      </w:r>
      <w:bookmarkEnd w:id="39"/>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K10 psychological distress levels"/>
        <w:tblDescription w:val="Table 4 has 2 columns summarising the distress levels as measured by the K10 psychological distress measure. Column 1 describes the range of K10 scores. Column 2 lists the corresponding distress category related to each score range."/>
      </w:tblPr>
      <w:tblGrid>
        <w:gridCol w:w="4535"/>
        <w:gridCol w:w="4535"/>
      </w:tblGrid>
      <w:tr w:rsidR="00F50CD8" w:rsidRPr="001D6913" w14:paraId="3A1A63B0" w14:textId="77777777" w:rsidTr="00F95AAC">
        <w:trPr>
          <w:jc w:val="center"/>
        </w:trPr>
        <w:tc>
          <w:tcPr>
            <w:tcW w:w="2500" w:type="pct"/>
            <w:tcBorders>
              <w:bottom w:val="single" w:sz="4" w:space="0" w:color="00338D"/>
            </w:tcBorders>
            <w:shd w:val="clear" w:color="auto" w:fill="00338D"/>
          </w:tcPr>
          <w:p w14:paraId="7AF0A39F" w14:textId="77777777" w:rsidR="00F50CD8" w:rsidRPr="001D6913" w:rsidRDefault="00F50CD8" w:rsidP="00F95AAC">
            <w:pPr>
              <w:pStyle w:val="Tableheading"/>
              <w:keepNext/>
              <w:keepLines/>
              <w:ind w:left="34"/>
            </w:pPr>
            <w:r>
              <w:t xml:space="preserve">Total </w:t>
            </w:r>
            <w:r w:rsidRPr="00CD184C">
              <w:t xml:space="preserve">K10 </w:t>
            </w:r>
            <w:r>
              <w:t>levels</w:t>
            </w:r>
          </w:p>
        </w:tc>
        <w:tc>
          <w:tcPr>
            <w:tcW w:w="2500" w:type="pct"/>
            <w:tcBorders>
              <w:bottom w:val="single" w:sz="4" w:space="0" w:color="00338D"/>
            </w:tcBorders>
            <w:shd w:val="clear" w:color="auto" w:fill="00338D"/>
          </w:tcPr>
          <w:p w14:paraId="7CC203D8" w14:textId="77777777" w:rsidR="00F50CD8" w:rsidRPr="001D6913" w:rsidRDefault="00F50CD8" w:rsidP="00F95AAC">
            <w:pPr>
              <w:pStyle w:val="Tableheading"/>
              <w:keepNext/>
              <w:keepLines/>
            </w:pPr>
            <w:r>
              <w:t>Outcome category</w:t>
            </w:r>
          </w:p>
        </w:tc>
      </w:tr>
      <w:tr w:rsidR="00F50CD8" w:rsidRPr="001D6913" w14:paraId="081F2131" w14:textId="77777777" w:rsidTr="00F95AAC">
        <w:trPr>
          <w:jc w:val="center"/>
        </w:trPr>
        <w:tc>
          <w:tcPr>
            <w:tcW w:w="2500" w:type="pct"/>
            <w:tcBorders>
              <w:top w:val="single" w:sz="4" w:space="0" w:color="00338D"/>
              <w:bottom w:val="single" w:sz="4" w:space="0" w:color="00338D"/>
            </w:tcBorders>
          </w:tcPr>
          <w:p w14:paraId="216F3846" w14:textId="77777777" w:rsidR="00F50CD8" w:rsidRPr="003F1FCB" w:rsidRDefault="00F50CD8" w:rsidP="00F95AAC">
            <w:pPr>
              <w:pStyle w:val="Tabletext"/>
              <w:keepNext/>
              <w:keepLines/>
            </w:pPr>
            <w:r w:rsidRPr="003F1FCB">
              <w:t>10-15</w:t>
            </w:r>
          </w:p>
        </w:tc>
        <w:tc>
          <w:tcPr>
            <w:tcW w:w="2500" w:type="pct"/>
            <w:tcBorders>
              <w:top w:val="single" w:sz="4" w:space="0" w:color="00338D"/>
              <w:bottom w:val="single" w:sz="4" w:space="0" w:color="00338D"/>
            </w:tcBorders>
          </w:tcPr>
          <w:p w14:paraId="42CE8708" w14:textId="77777777" w:rsidR="00F50CD8" w:rsidRPr="003F1FCB" w:rsidRDefault="00F50CD8" w:rsidP="00F95AAC">
            <w:pPr>
              <w:pStyle w:val="Tabletext"/>
              <w:keepNext/>
              <w:keepLines/>
            </w:pPr>
            <w:r w:rsidRPr="003F1FCB">
              <w:t>Low</w:t>
            </w:r>
          </w:p>
        </w:tc>
      </w:tr>
      <w:tr w:rsidR="00F50CD8" w:rsidRPr="001D6913" w14:paraId="6F5263E0" w14:textId="77777777" w:rsidTr="00F95AAC">
        <w:trPr>
          <w:jc w:val="center"/>
        </w:trPr>
        <w:tc>
          <w:tcPr>
            <w:tcW w:w="2500" w:type="pct"/>
            <w:tcBorders>
              <w:top w:val="single" w:sz="4" w:space="0" w:color="00338D"/>
              <w:bottom w:val="single" w:sz="4" w:space="0" w:color="00338D"/>
            </w:tcBorders>
          </w:tcPr>
          <w:p w14:paraId="2D48FBC4" w14:textId="77777777" w:rsidR="00F50CD8" w:rsidRPr="003F1FCB" w:rsidRDefault="00F50CD8" w:rsidP="00F95AAC">
            <w:pPr>
              <w:pStyle w:val="Tabletext"/>
              <w:keepNext/>
              <w:keepLines/>
            </w:pPr>
            <w:r w:rsidRPr="003F1FCB">
              <w:t>16-21</w:t>
            </w:r>
          </w:p>
        </w:tc>
        <w:tc>
          <w:tcPr>
            <w:tcW w:w="2500" w:type="pct"/>
            <w:tcBorders>
              <w:top w:val="single" w:sz="4" w:space="0" w:color="00338D"/>
              <w:bottom w:val="single" w:sz="4" w:space="0" w:color="00338D"/>
            </w:tcBorders>
          </w:tcPr>
          <w:p w14:paraId="63EF530F" w14:textId="77777777" w:rsidR="00F50CD8" w:rsidRPr="003F1FCB" w:rsidRDefault="00F50CD8" w:rsidP="00F95AAC">
            <w:pPr>
              <w:pStyle w:val="Tabletext"/>
              <w:keepNext/>
              <w:keepLines/>
            </w:pPr>
            <w:r w:rsidRPr="003F1FCB">
              <w:t>Moderate</w:t>
            </w:r>
          </w:p>
        </w:tc>
      </w:tr>
      <w:tr w:rsidR="00F50CD8" w:rsidRPr="001D6913" w14:paraId="589BFD3B" w14:textId="77777777" w:rsidTr="00F95AAC">
        <w:trPr>
          <w:jc w:val="center"/>
        </w:trPr>
        <w:tc>
          <w:tcPr>
            <w:tcW w:w="2500" w:type="pct"/>
            <w:tcBorders>
              <w:top w:val="single" w:sz="4" w:space="0" w:color="00338D"/>
              <w:bottom w:val="single" w:sz="4" w:space="0" w:color="00338D"/>
            </w:tcBorders>
          </w:tcPr>
          <w:p w14:paraId="46CE8B20" w14:textId="77777777" w:rsidR="00F50CD8" w:rsidRPr="003F1FCB" w:rsidRDefault="00F50CD8" w:rsidP="00F95AAC">
            <w:pPr>
              <w:pStyle w:val="Tabletext"/>
              <w:keepNext/>
              <w:keepLines/>
            </w:pPr>
            <w:r w:rsidRPr="003F1FCB">
              <w:t>22-29</w:t>
            </w:r>
          </w:p>
        </w:tc>
        <w:tc>
          <w:tcPr>
            <w:tcW w:w="2500" w:type="pct"/>
            <w:tcBorders>
              <w:top w:val="single" w:sz="4" w:space="0" w:color="00338D"/>
              <w:bottom w:val="single" w:sz="4" w:space="0" w:color="00338D"/>
            </w:tcBorders>
          </w:tcPr>
          <w:p w14:paraId="7CBC231D" w14:textId="77777777" w:rsidR="00F50CD8" w:rsidRPr="003F1FCB" w:rsidRDefault="00F50CD8" w:rsidP="00F95AAC">
            <w:pPr>
              <w:pStyle w:val="Tabletext"/>
              <w:keepNext/>
              <w:keepLines/>
            </w:pPr>
            <w:r w:rsidRPr="003F1FCB">
              <w:t>High</w:t>
            </w:r>
          </w:p>
        </w:tc>
      </w:tr>
      <w:tr w:rsidR="00F50CD8" w:rsidRPr="001D6913" w14:paraId="23AAD05C" w14:textId="77777777" w:rsidTr="00F95AAC">
        <w:trPr>
          <w:jc w:val="center"/>
        </w:trPr>
        <w:tc>
          <w:tcPr>
            <w:tcW w:w="2500" w:type="pct"/>
            <w:tcBorders>
              <w:top w:val="single" w:sz="4" w:space="0" w:color="00338D"/>
              <w:bottom w:val="single" w:sz="2" w:space="0" w:color="808080" w:themeColor="background1" w:themeShade="80"/>
            </w:tcBorders>
          </w:tcPr>
          <w:p w14:paraId="734E9746" w14:textId="77777777" w:rsidR="00F50CD8" w:rsidRPr="003F1FCB" w:rsidRDefault="00F50CD8" w:rsidP="00F95AAC">
            <w:pPr>
              <w:pStyle w:val="Tabletext"/>
              <w:keepNext/>
              <w:keepLines/>
            </w:pPr>
            <w:r w:rsidRPr="003F1FCB">
              <w:t>30-50</w:t>
            </w:r>
          </w:p>
        </w:tc>
        <w:tc>
          <w:tcPr>
            <w:tcW w:w="2500" w:type="pct"/>
            <w:tcBorders>
              <w:top w:val="single" w:sz="4" w:space="0" w:color="00338D"/>
              <w:bottom w:val="single" w:sz="2" w:space="0" w:color="808080" w:themeColor="background1" w:themeShade="80"/>
            </w:tcBorders>
          </w:tcPr>
          <w:p w14:paraId="290E4647" w14:textId="77777777" w:rsidR="00F50CD8" w:rsidRPr="003F1FCB" w:rsidRDefault="00F50CD8" w:rsidP="00F95AAC">
            <w:pPr>
              <w:pStyle w:val="Tabletext"/>
              <w:keepNext/>
              <w:keepLines/>
            </w:pPr>
            <w:r w:rsidRPr="003F1FCB">
              <w:t>Very high</w:t>
            </w:r>
          </w:p>
        </w:tc>
      </w:tr>
    </w:tbl>
    <w:p w14:paraId="6B082699" w14:textId="77777777" w:rsidR="00F50CD8" w:rsidRDefault="00F50CD8" w:rsidP="005E6F0F">
      <w:pPr>
        <w:pStyle w:val="Source"/>
      </w:pPr>
      <w:r>
        <w:t xml:space="preserve">Source: </w:t>
      </w:r>
      <w:r w:rsidRPr="00083612">
        <w:t>4817.0.55.001 - Information Paper: Use of the Kessler Psychological Distress Scale in ABS Health Surveys</w:t>
      </w:r>
    </w:p>
    <w:p w14:paraId="32BD98DE" w14:textId="6521FA91" w:rsidR="00F50CD8" w:rsidRDefault="00F50CD8" w:rsidP="00F50CD8">
      <w:pPr>
        <w:pStyle w:val="Heading4"/>
      </w:pPr>
      <w:r>
        <w:t>Social and Occupational Functioning Assessment Scale (SOFAS)</w:t>
      </w:r>
    </w:p>
    <w:p w14:paraId="2E9E5C09" w14:textId="5FDE417B" w:rsidR="00F50CD8" w:rsidRDefault="00F50CD8" w:rsidP="003006A8">
      <w:pPr>
        <w:pStyle w:val="BodyText"/>
      </w:pPr>
      <w:r>
        <w:t>The SOFAS is a global rating of current social and occupational functioning from zero to 100, with lower values representing lower functioning. It is a single-item assessment of current functioning, independent of the severity of the young person’s psychological symptoms</w:t>
      </w:r>
      <w:r w:rsidR="00CC0438">
        <w:rPr>
          <w:rFonts w:ascii="ZWAdobeF" w:hAnsi="ZWAdobeF" w:cs="ZWAdobeF"/>
          <w:sz w:val="2"/>
          <w:szCs w:val="2"/>
        </w:rPr>
        <w:t>46F</w:t>
      </w:r>
      <w:r>
        <w:rPr>
          <w:rStyle w:val="FootnoteReference"/>
        </w:rPr>
        <w:footnoteReference w:id="48"/>
      </w:r>
      <w:r>
        <w:t xml:space="preserve">, conducted by the service provider each time a young person attends an </w:t>
      </w:r>
      <w:r w:rsidR="00403C57">
        <w:t>OOS</w:t>
      </w:r>
      <w:r>
        <w:t>. The response scale used for SOFAS is as follows:</w:t>
      </w:r>
    </w:p>
    <w:p w14:paraId="0C3D8184" w14:textId="43EA8E35" w:rsidR="00F50CD8" w:rsidRDefault="00F50CD8" w:rsidP="00740EE1">
      <w:pPr>
        <w:pStyle w:val="Bullet1stlevel"/>
      </w:pPr>
      <w:r w:rsidRPr="00FE64EE">
        <w:t xml:space="preserve">91-100: </w:t>
      </w:r>
      <w:r w:rsidR="00297678">
        <w:t>s</w:t>
      </w:r>
      <w:r w:rsidRPr="00FE64EE">
        <w:t>uperior functioning in a wide range of activities</w:t>
      </w:r>
      <w:r w:rsidR="00297678">
        <w:t>;</w:t>
      </w:r>
    </w:p>
    <w:p w14:paraId="2E9E59EE" w14:textId="185E6C56" w:rsidR="00F50CD8" w:rsidRDefault="00F50CD8" w:rsidP="00740EE1">
      <w:pPr>
        <w:pStyle w:val="Bullet1stlevel"/>
      </w:pPr>
      <w:r w:rsidRPr="00FE64EE">
        <w:t xml:space="preserve">81-90: </w:t>
      </w:r>
      <w:r w:rsidR="00297678">
        <w:t>g</w:t>
      </w:r>
      <w:r w:rsidRPr="00FE64EE">
        <w:t>ood functioning in all areas, occupational and socially effective</w:t>
      </w:r>
      <w:r w:rsidR="00297678">
        <w:t>;</w:t>
      </w:r>
    </w:p>
    <w:p w14:paraId="0BECC30D" w14:textId="796ED3FD" w:rsidR="00F50CD8" w:rsidRDefault="00F50CD8" w:rsidP="00740EE1">
      <w:pPr>
        <w:pStyle w:val="Bullet1stlevel"/>
      </w:pPr>
      <w:r w:rsidRPr="00FE64EE">
        <w:t xml:space="preserve">71-80: </w:t>
      </w:r>
      <w:r w:rsidR="00297678">
        <w:t>n</w:t>
      </w:r>
      <w:r w:rsidRPr="00FE64EE">
        <w:t>o more than a slight impairment in social, occupational, or school functioning</w:t>
      </w:r>
      <w:r w:rsidR="00297678">
        <w:t>;</w:t>
      </w:r>
    </w:p>
    <w:p w14:paraId="1503770F" w14:textId="2BC78C52" w:rsidR="00F50CD8" w:rsidRDefault="00F50CD8" w:rsidP="00740EE1">
      <w:pPr>
        <w:pStyle w:val="Bullet1stlevel"/>
      </w:pPr>
      <w:r w:rsidRPr="00FE64EE">
        <w:t>61-70:</w:t>
      </w:r>
      <w:r w:rsidR="005E6F0F">
        <w:t xml:space="preserve"> </w:t>
      </w:r>
      <w:r w:rsidR="00297678">
        <w:t>s</w:t>
      </w:r>
      <w:r w:rsidRPr="00FE64EE">
        <w:t>ome difficulty in social, occupational or school functioning</w:t>
      </w:r>
      <w:r w:rsidR="00297678">
        <w:t>;</w:t>
      </w:r>
    </w:p>
    <w:p w14:paraId="40FB29CE" w14:textId="215EDF90" w:rsidR="00F50CD8" w:rsidRDefault="00F50CD8" w:rsidP="00740EE1">
      <w:pPr>
        <w:pStyle w:val="Bullet1stlevel"/>
      </w:pPr>
      <w:r w:rsidRPr="00FE64EE">
        <w:t>51-60:</w:t>
      </w:r>
      <w:r w:rsidR="005E6F0F">
        <w:t xml:space="preserve"> </w:t>
      </w:r>
      <w:r w:rsidR="00297678">
        <w:t>m</w:t>
      </w:r>
      <w:r w:rsidRPr="00FE64EE">
        <w:t>oderate difficulty in social, occupational or school functioning</w:t>
      </w:r>
      <w:r w:rsidR="00297678">
        <w:t>;</w:t>
      </w:r>
    </w:p>
    <w:p w14:paraId="7E7F95E1" w14:textId="4FB34C83" w:rsidR="00F50CD8" w:rsidRDefault="00F50CD8" w:rsidP="00740EE1">
      <w:pPr>
        <w:pStyle w:val="Bullet1stlevel"/>
      </w:pPr>
      <w:r w:rsidRPr="00FE64EE">
        <w:t>41-50:</w:t>
      </w:r>
      <w:r w:rsidR="005E6F0F">
        <w:t xml:space="preserve"> </w:t>
      </w:r>
      <w:r w:rsidR="00297678">
        <w:t>s</w:t>
      </w:r>
      <w:r w:rsidRPr="00FE64EE">
        <w:t>erious impairment in social, occupational, or school functioning</w:t>
      </w:r>
      <w:r w:rsidR="00297678">
        <w:t>;</w:t>
      </w:r>
    </w:p>
    <w:p w14:paraId="7FA5D4F7" w14:textId="2C8B1615" w:rsidR="00F50CD8" w:rsidRDefault="00F50CD8" w:rsidP="00740EE1">
      <w:pPr>
        <w:pStyle w:val="Bullet1stlevel"/>
      </w:pPr>
      <w:r w:rsidRPr="00FE64EE">
        <w:t>31-40:</w:t>
      </w:r>
      <w:r w:rsidR="005E6F0F">
        <w:t xml:space="preserve"> </w:t>
      </w:r>
      <w:r w:rsidR="00297678">
        <w:t>m</w:t>
      </w:r>
      <w:r w:rsidRPr="00FE64EE">
        <w:t>ajor impairment in several areas</w:t>
      </w:r>
      <w:r w:rsidR="005E6F0F">
        <w:t>,</w:t>
      </w:r>
      <w:r w:rsidRPr="00FE64EE">
        <w:t xml:space="preserve"> such as work or school, family relations</w:t>
      </w:r>
      <w:r w:rsidR="00297678">
        <w:t>;</w:t>
      </w:r>
    </w:p>
    <w:p w14:paraId="17E80E3B" w14:textId="6EDAEAF5" w:rsidR="00F50CD8" w:rsidRDefault="00F50CD8" w:rsidP="00740EE1">
      <w:pPr>
        <w:pStyle w:val="Bullet1stlevel"/>
      </w:pPr>
      <w:r w:rsidRPr="00FE64EE">
        <w:t>21-30:</w:t>
      </w:r>
      <w:r w:rsidR="005E6F0F">
        <w:t xml:space="preserve"> </w:t>
      </w:r>
      <w:r w:rsidR="00297678">
        <w:t>i</w:t>
      </w:r>
      <w:r w:rsidRPr="00FE64EE">
        <w:t>nability to function in almost all areas</w:t>
      </w:r>
      <w:r w:rsidR="00297678">
        <w:t>;</w:t>
      </w:r>
    </w:p>
    <w:p w14:paraId="3C76A2B5" w14:textId="5F74B635" w:rsidR="00F50CD8" w:rsidRDefault="00F50CD8" w:rsidP="00740EE1">
      <w:pPr>
        <w:pStyle w:val="Bullet1stlevel"/>
      </w:pPr>
      <w:r w:rsidRPr="00FE64EE">
        <w:t>11-20:</w:t>
      </w:r>
      <w:r w:rsidR="00297678">
        <w:t>o</w:t>
      </w:r>
      <w:r w:rsidRPr="00FE64EE">
        <w:t>ccasionally fails to maintain minimal personal hygiene</w:t>
      </w:r>
      <w:r w:rsidR="00297678">
        <w:t>;</w:t>
      </w:r>
    </w:p>
    <w:p w14:paraId="2E4CD937" w14:textId="1B7EFD2D" w:rsidR="00F50CD8" w:rsidRDefault="00F50CD8" w:rsidP="00740EE1">
      <w:pPr>
        <w:pStyle w:val="Bullet1stlevel"/>
      </w:pPr>
      <w:r w:rsidRPr="00FE64EE">
        <w:t>1-10:</w:t>
      </w:r>
      <w:r w:rsidR="005E6F0F">
        <w:t xml:space="preserve"> </w:t>
      </w:r>
      <w:r w:rsidR="00297678">
        <w:t>p</w:t>
      </w:r>
      <w:r w:rsidRPr="00FE64EE">
        <w:t>ersistent inability to maintain minimal personal hygiene</w:t>
      </w:r>
      <w:r w:rsidR="00297678">
        <w:t>; or</w:t>
      </w:r>
    </w:p>
    <w:p w14:paraId="5535D631" w14:textId="71C36CBB" w:rsidR="00F50CD8" w:rsidRDefault="00F50CD8" w:rsidP="00740EE1">
      <w:pPr>
        <w:pStyle w:val="Bullet1stlevel"/>
      </w:pPr>
      <w:r w:rsidRPr="00FE64EE">
        <w:t>0:</w:t>
      </w:r>
      <w:r w:rsidR="005E6F0F">
        <w:t xml:space="preserve"> </w:t>
      </w:r>
      <w:r w:rsidR="008F72A9">
        <w:t>i</w:t>
      </w:r>
      <w:r w:rsidRPr="00FE64EE">
        <w:t>nadequate information</w:t>
      </w:r>
      <w:r w:rsidR="00740EE1">
        <w:t>.</w:t>
      </w:r>
    </w:p>
    <w:p w14:paraId="0D66ED05" w14:textId="77777777" w:rsidR="00F50CD8" w:rsidRPr="00215F26" w:rsidRDefault="00F50CD8" w:rsidP="00F50CD8">
      <w:pPr>
        <w:pStyle w:val="Heading4"/>
      </w:pPr>
      <w:r>
        <w:t>MyLifeTracker</w:t>
      </w:r>
    </w:p>
    <w:p w14:paraId="409F9CC7" w14:textId="6C82EEA9" w:rsidR="00F50CD8" w:rsidRPr="001D6913" w:rsidRDefault="00F50CD8" w:rsidP="00F50CD8">
      <w:pPr>
        <w:pStyle w:val="BodyText"/>
      </w:pPr>
      <w:r>
        <w:t>headspace National</w:t>
      </w:r>
      <w:r w:rsidRPr="001D6913">
        <w:t xml:space="preserve"> ha</w:t>
      </w:r>
      <w:r>
        <w:t>s</w:t>
      </w:r>
      <w:r w:rsidRPr="001D6913">
        <w:t xml:space="preserve"> also developed a measure called MyLifeTracker (MLT) </w:t>
      </w:r>
      <w:r w:rsidR="005E6F0F">
        <w:t>which</w:t>
      </w:r>
      <w:r w:rsidR="005E6F0F" w:rsidRPr="001D6913">
        <w:t xml:space="preserve"> </w:t>
      </w:r>
      <w:r w:rsidRPr="001D6913">
        <w:t>supplement</w:t>
      </w:r>
      <w:r w:rsidR="005E6F0F">
        <w:t>s</w:t>
      </w:r>
      <w:r w:rsidRPr="001D6913">
        <w:t xml:space="preserve"> the other measures being used in their data collection system. This was developed </w:t>
      </w:r>
      <w:r>
        <w:t xml:space="preserve">and validated </w:t>
      </w:r>
      <w:r w:rsidRPr="001D6913">
        <w:t>by headspace</w:t>
      </w:r>
      <w:r w:rsidR="00080644">
        <w:t xml:space="preserve"> National</w:t>
      </w:r>
      <w:r w:rsidRPr="001D6913">
        <w:t xml:space="preserve"> as there were no routine outcome measurement tools available that targeted those </w:t>
      </w:r>
      <w:r>
        <w:t xml:space="preserve">individuals </w:t>
      </w:r>
      <w:r w:rsidRPr="001D6913">
        <w:t>aged 12</w:t>
      </w:r>
      <w:r>
        <w:t xml:space="preserve"> to </w:t>
      </w:r>
      <w:r w:rsidRPr="001D6913">
        <w:t>25 years or that were appropriate across a diverse range of mental health presentations. MLT measures current</w:t>
      </w:r>
      <w:r w:rsidR="00834CEA">
        <w:t>,</w:t>
      </w:r>
      <w:r w:rsidRPr="001D6913">
        <w:t xml:space="preserve"> self-reported quality of life in five different areas of importance to young people: general well-being, day-to-day activities, relationships with friends, relationships with family, and general coping. The measure enables clinicians working with young people to gain a quick</w:t>
      </w:r>
      <w:r>
        <w:t>,</w:t>
      </w:r>
      <w:r w:rsidRPr="001D6913">
        <w:t xml:space="preserve"> regular snapshot of overall client progress and provides a valid measure</w:t>
      </w:r>
      <w:r>
        <w:t xml:space="preserve"> </w:t>
      </w:r>
      <w:r w:rsidRPr="001D6913">
        <w:t>to assess service effectiveness</w:t>
      </w:r>
      <w:r w:rsidR="00CC0438">
        <w:rPr>
          <w:rFonts w:ascii="ZWAdobeF" w:hAnsi="ZWAdobeF" w:cs="ZWAdobeF"/>
          <w:sz w:val="2"/>
          <w:szCs w:val="2"/>
        </w:rPr>
        <w:t>47F</w:t>
      </w:r>
      <w:r w:rsidRPr="001D6913">
        <w:rPr>
          <w:rStyle w:val="FootnoteReference"/>
        </w:rPr>
        <w:footnoteReference w:id="49"/>
      </w:r>
      <w:r>
        <w:t>.</w:t>
      </w:r>
    </w:p>
    <w:p w14:paraId="464E4E77" w14:textId="77777777" w:rsidR="00F50CD8" w:rsidRDefault="00F50CD8" w:rsidP="00F50CD8">
      <w:pPr>
        <w:pStyle w:val="BodyText"/>
      </w:pPr>
      <w:r>
        <w:t>MLT was developed specifically for use in headspace with the purpose of providing a quality of life measure that better reflects the important areas of life for young people. The MLT is a five-item measure, where each item is rated on a zero to 100 scale, with 100 representing the highest level of wellbeing in that domain. The MLT takes the average value of the five responses.</w:t>
      </w:r>
    </w:p>
    <w:p w14:paraId="452512B5" w14:textId="77777777" w:rsidR="00F50CD8" w:rsidRDefault="00F50CD8" w:rsidP="00F50CD8">
      <w:pPr>
        <w:pStyle w:val="Heading4"/>
      </w:pPr>
      <w:r>
        <w:t xml:space="preserve">Additional clinical outcomes </w:t>
      </w:r>
    </w:p>
    <w:p w14:paraId="3A4B7DAD" w14:textId="386E7F7C" w:rsidR="00F50CD8" w:rsidRDefault="00F50CD8" w:rsidP="00F50CD8">
      <w:pPr>
        <w:pStyle w:val="BodyText"/>
      </w:pPr>
      <w:r>
        <w:t>Clinical outcome scores are collected using these three key measures</w:t>
      </w:r>
      <w:r w:rsidR="00481EFE">
        <w:t xml:space="preserve"> –</w:t>
      </w:r>
      <w:r>
        <w:t xml:space="preserve"> the K10, SOFAS and MLT</w:t>
      </w:r>
      <w:r w:rsidR="00A23137">
        <w:t xml:space="preserve"> </w:t>
      </w:r>
      <w:r w:rsidR="00481EFE">
        <w:t>–</w:t>
      </w:r>
      <w:r>
        <w:t xml:space="preserve"> along with a range of others</w:t>
      </w:r>
      <w:r w:rsidR="00481EFE">
        <w:t>,</w:t>
      </w:r>
      <w:r>
        <w:t xml:space="preserve"> including a measure of the young person’s mental health risk, as rated by the service provider, their stage of mental illness, and the young person’s own assessment of the number of days in the previous month in which </w:t>
      </w:r>
      <w:r w:rsidR="00481EFE">
        <w:t xml:space="preserve">they were </w:t>
      </w:r>
      <w:r>
        <w:t>totally or partially unable to participate in work, study or day</w:t>
      </w:r>
      <w:r w:rsidR="00481EFE">
        <w:t>-</w:t>
      </w:r>
      <w:r>
        <w:t>to</w:t>
      </w:r>
      <w:r w:rsidR="00481EFE">
        <w:t>-</w:t>
      </w:r>
      <w:r>
        <w:t>day activities due to their feelings of distress.</w:t>
      </w:r>
      <w:r w:rsidR="003C75DF">
        <w:t xml:space="preserve"> These measures are undertaken at first presentation, throughout the young person’s clinical engagement and</w:t>
      </w:r>
      <w:r w:rsidR="00C619C7">
        <w:t>, where possible,</w:t>
      </w:r>
      <w:r w:rsidR="003C75DF">
        <w:t xml:space="preserve"> </w:t>
      </w:r>
      <w:r w:rsidR="00972DB6">
        <w:t>at a further follow</w:t>
      </w:r>
      <w:r w:rsidR="00D30CA0">
        <w:t xml:space="preserve"> </w:t>
      </w:r>
      <w:r w:rsidR="00972DB6">
        <w:t xml:space="preserve">up point after the young person has completed their episode of care. By collecting clinical outcomes data at various points in time, the model </w:t>
      </w:r>
      <w:r w:rsidR="00C10094">
        <w:t>provide</w:t>
      </w:r>
      <w:r w:rsidR="00972DB6">
        <w:t xml:space="preserve">s </w:t>
      </w:r>
      <w:r w:rsidR="004755EE">
        <w:t>clinicians and evaluators</w:t>
      </w:r>
      <w:r w:rsidR="00C10094">
        <w:t xml:space="preserve"> with measure</w:t>
      </w:r>
      <w:r w:rsidR="00C619C7">
        <w:t>s</w:t>
      </w:r>
      <w:r w:rsidR="00C10094">
        <w:t xml:space="preserve"> of</w:t>
      </w:r>
      <w:r w:rsidR="004755EE">
        <w:t xml:space="preserve"> its impact on </w:t>
      </w:r>
      <w:r w:rsidR="005513AE">
        <w:t>psychosocial</w:t>
      </w:r>
      <w:r w:rsidR="004755EE">
        <w:t xml:space="preserve"> outcomes. </w:t>
      </w:r>
    </w:p>
    <w:p w14:paraId="6B6CECDC" w14:textId="04F76465" w:rsidR="001D0734" w:rsidRDefault="001D0734" w:rsidP="001D0734">
      <w:pPr>
        <w:pStyle w:val="Heading3"/>
      </w:pPr>
      <w:r>
        <w:t xml:space="preserve">Success for headspace – in summary </w:t>
      </w:r>
    </w:p>
    <w:p w14:paraId="1BD07895" w14:textId="7D5F2F13" w:rsidR="00443118" w:rsidRDefault="00BA33C6" w:rsidP="0081728C">
      <w:pPr>
        <w:pStyle w:val="BodyText"/>
      </w:pPr>
      <w:r>
        <w:t xml:space="preserve">The headspace model </w:t>
      </w:r>
      <w:r w:rsidR="00F8534C">
        <w:t xml:space="preserve">is designed to facilitate improvements in </w:t>
      </w:r>
      <w:r w:rsidR="005513AE">
        <w:t>psychosocial</w:t>
      </w:r>
      <w:r w:rsidR="00F8534C">
        <w:t xml:space="preserve"> outcomes, as measured through clinical tools, a</w:t>
      </w:r>
      <w:r w:rsidR="00D5768E">
        <w:t>nd is also intended to improve</w:t>
      </w:r>
      <w:r w:rsidR="0081728C">
        <w:t xml:space="preserve"> intermediate outcomes</w:t>
      </w:r>
      <w:r w:rsidR="00813980">
        <w:t>,</w:t>
      </w:r>
      <w:r w:rsidR="0081728C">
        <w:t xml:space="preserve"> such as increased </w:t>
      </w:r>
      <w:r w:rsidR="00443118">
        <w:t xml:space="preserve">mental health literacy </w:t>
      </w:r>
      <w:r w:rsidR="0081728C">
        <w:t xml:space="preserve">and early help seeking, reduced </w:t>
      </w:r>
      <w:r w:rsidR="00443118">
        <w:t>stigma associated with mental health and mental illness</w:t>
      </w:r>
      <w:r w:rsidR="0081728C">
        <w:t xml:space="preserve"> and increased </w:t>
      </w:r>
      <w:r w:rsidR="00443118">
        <w:t>access to required services</w:t>
      </w:r>
      <w:r w:rsidR="0081728C">
        <w:t xml:space="preserve">. These outcomes, along with improved </w:t>
      </w:r>
      <w:r w:rsidR="00443118">
        <w:t>pathways to care through service integration and coordination</w:t>
      </w:r>
      <w:r w:rsidR="00813980">
        <w:t>,</w:t>
      </w:r>
      <w:r w:rsidR="0081728C">
        <w:t xml:space="preserve"> are intended to ensure </w:t>
      </w:r>
      <w:r w:rsidR="00443118">
        <w:t>young people can access the help they need in an appropriate, accessible and youth friendly way</w:t>
      </w:r>
      <w:r w:rsidR="0081728C">
        <w:t>, which in turn</w:t>
      </w:r>
      <w:r w:rsidR="00BE514A">
        <w:t xml:space="preserve"> aims to</w:t>
      </w:r>
      <w:r w:rsidR="0081728C">
        <w:t xml:space="preserve"> contribute to improved </w:t>
      </w:r>
      <w:r w:rsidR="00443118">
        <w:t>mental health and wellbeing outcomes for young people aged 12</w:t>
      </w:r>
      <w:r w:rsidR="003743F7">
        <w:t xml:space="preserve"> </w:t>
      </w:r>
      <w:r w:rsidR="00BE514A">
        <w:t>to</w:t>
      </w:r>
      <w:r w:rsidR="003743F7">
        <w:t xml:space="preserve"> </w:t>
      </w:r>
      <w:r w:rsidR="00443118">
        <w:t>25</w:t>
      </w:r>
      <w:r w:rsidR="004D1BAD">
        <w:t xml:space="preserve"> </w:t>
      </w:r>
      <w:r w:rsidR="00443118">
        <w:t>years.</w:t>
      </w:r>
    </w:p>
    <w:p w14:paraId="2A9E7BE5" w14:textId="0379462C" w:rsidR="00573B92" w:rsidRDefault="00C40A12" w:rsidP="0081728C">
      <w:pPr>
        <w:pStyle w:val="BodyText"/>
      </w:pPr>
      <w:r>
        <w:t xml:space="preserve">A review of recent literature illustrates that young people in Australia </w:t>
      </w:r>
      <w:r w:rsidR="00C90F29">
        <w:t xml:space="preserve">are experiencing high prevalence rates of mental illness and psychological distress, </w:t>
      </w:r>
      <w:r w:rsidR="00626436">
        <w:t>exacerbated in recent years by natural disasters and events</w:t>
      </w:r>
      <w:r w:rsidR="009E523F">
        <w:t>,</w:t>
      </w:r>
      <w:r w:rsidR="00626436">
        <w:t xml:space="preserve"> such as widespread bushfires and the COVID-19 pandemic. </w:t>
      </w:r>
      <w:r w:rsidR="00BE44D1">
        <w:t xml:space="preserve">Evidence further supports the identification of priority groups for the headspace model, as a </w:t>
      </w:r>
      <w:r w:rsidR="00E931D9">
        <w:t>number</w:t>
      </w:r>
      <w:r w:rsidR="00BE44D1">
        <w:t xml:space="preserve"> of demographic characteristics are associated with reduced help seeking </w:t>
      </w:r>
      <w:r w:rsidR="00D559F1">
        <w:t xml:space="preserve">and </w:t>
      </w:r>
      <w:r w:rsidR="00BE44D1">
        <w:t xml:space="preserve">for mental illness and psychological distress. </w:t>
      </w:r>
    </w:p>
    <w:p w14:paraId="1EBA6200" w14:textId="60DC63BF" w:rsidR="00443118" w:rsidRDefault="00B506D9" w:rsidP="00F50CD8">
      <w:pPr>
        <w:pStyle w:val="BodyText"/>
      </w:pPr>
      <w:r>
        <w:t xml:space="preserve">When tested with a range of relevant stakeholder groups, the key aims and objectives of the headspace model, </w:t>
      </w:r>
      <w:r w:rsidR="008E00C7">
        <w:t>summarised into the six focus areas for this evaluation, were strongly validated and considered relevant and important to</w:t>
      </w:r>
      <w:r w:rsidR="00591EAB">
        <w:t xml:space="preserve"> the provision of mental health services for young people in Australia. </w:t>
      </w:r>
    </w:p>
    <w:p w14:paraId="01EB7147" w14:textId="2AAEBADC" w:rsidR="00284BBA" w:rsidRDefault="004E3F58" w:rsidP="00F50CD8">
      <w:pPr>
        <w:pStyle w:val="BodyText"/>
      </w:pPr>
      <w:r>
        <w:t xml:space="preserve">The conceptual design of the headspace model </w:t>
      </w:r>
      <w:r w:rsidR="003C249B">
        <w:t xml:space="preserve">is </w:t>
      </w:r>
      <w:r w:rsidR="007F0FD6">
        <w:t>aligned with best practice</w:t>
      </w:r>
      <w:r w:rsidR="00A96EF6">
        <w:t>,</w:t>
      </w:r>
      <w:r w:rsidR="008F5B7D">
        <w:t xml:space="preserve"> and its intended outcomes are clear and considered valid by relevant stakeholders. </w:t>
      </w:r>
      <w:r w:rsidR="00453442">
        <w:t xml:space="preserve">With this in mind, </w:t>
      </w:r>
      <w:r w:rsidR="00063518">
        <w:t xml:space="preserve">in order to effectively evaluate the model, </w:t>
      </w:r>
      <w:r w:rsidR="002F7B15">
        <w:t>the activities associated with i</w:t>
      </w:r>
      <w:r w:rsidR="00063518">
        <w:t>t</w:t>
      </w:r>
      <w:r w:rsidR="002F7B15">
        <w:t xml:space="preserve">s key components need to also be understood. The following </w:t>
      </w:r>
      <w:r w:rsidR="00A42391">
        <w:t xml:space="preserve">section presents each element of the model and </w:t>
      </w:r>
      <w:r w:rsidR="00A96EF6">
        <w:t xml:space="preserve">the </w:t>
      </w:r>
      <w:r w:rsidR="00A42391">
        <w:t>associated activities.</w:t>
      </w:r>
    </w:p>
    <w:p w14:paraId="7F427AB6" w14:textId="7D20AE89" w:rsidR="00845983" w:rsidRPr="001D6913" w:rsidRDefault="001A66C5" w:rsidP="00845983">
      <w:pPr>
        <w:pStyle w:val="Heading2"/>
        <w:rPr>
          <w:lang w:eastAsia="en-AU"/>
        </w:rPr>
      </w:pPr>
      <w:bookmarkStart w:id="40" w:name="_Ref98324264"/>
      <w:bookmarkStart w:id="41" w:name="_Toc108173974"/>
      <w:r>
        <w:rPr>
          <w:lang w:eastAsia="en-AU"/>
        </w:rPr>
        <w:t>Components of t</w:t>
      </w:r>
      <w:r w:rsidR="00845983" w:rsidRPr="001D6913">
        <w:rPr>
          <w:lang w:eastAsia="en-AU"/>
        </w:rPr>
        <w:t xml:space="preserve">he </w:t>
      </w:r>
      <w:r w:rsidR="00845983" w:rsidRPr="00C11C70">
        <w:t>headspace</w:t>
      </w:r>
      <w:r w:rsidR="00845983" w:rsidRPr="001D6913">
        <w:rPr>
          <w:lang w:eastAsia="en-AU"/>
        </w:rPr>
        <w:t xml:space="preserve"> </w:t>
      </w:r>
      <w:r w:rsidR="001F2443">
        <w:rPr>
          <w:lang w:eastAsia="en-AU"/>
        </w:rPr>
        <w:t>model</w:t>
      </w:r>
      <w:bookmarkEnd w:id="40"/>
      <w:bookmarkEnd w:id="41"/>
    </w:p>
    <w:p w14:paraId="346A8870" w14:textId="77777777" w:rsidR="00845983" w:rsidRPr="001D6913" w:rsidRDefault="00845983" w:rsidP="00845983">
      <w:pPr>
        <w:pStyle w:val="Heading3"/>
        <w:rPr>
          <w:lang w:eastAsia="en-AU"/>
        </w:rPr>
      </w:pPr>
      <w:bookmarkStart w:id="42" w:name="_Ref97900658"/>
      <w:r w:rsidRPr="001D6913">
        <w:rPr>
          <w:lang w:eastAsia="en-AU"/>
        </w:rPr>
        <w:t>Service design</w:t>
      </w:r>
      <w:bookmarkEnd w:id="42"/>
    </w:p>
    <w:p w14:paraId="2F12E7C2" w14:textId="760AC792" w:rsidR="00EC244A" w:rsidRDefault="00EC244A" w:rsidP="00EC244A">
      <w:pPr>
        <w:pStyle w:val="BodyText"/>
        <w:rPr>
          <w:lang w:eastAsia="en-AU"/>
        </w:rPr>
      </w:pPr>
      <w:r w:rsidRPr="001D6913">
        <w:rPr>
          <w:lang w:eastAsia="en-AU"/>
        </w:rPr>
        <w:t xml:space="preserve">Each component of the </w:t>
      </w:r>
      <w:r w:rsidR="00D16C85">
        <w:rPr>
          <w:lang w:eastAsia="en-AU"/>
        </w:rPr>
        <w:t xml:space="preserve">headspace </w:t>
      </w:r>
      <w:r w:rsidRPr="001D6913">
        <w:rPr>
          <w:lang w:eastAsia="en-AU"/>
        </w:rPr>
        <w:t xml:space="preserve">model is </w:t>
      </w:r>
      <w:r w:rsidR="003F70D5">
        <w:rPr>
          <w:lang w:eastAsia="en-AU"/>
        </w:rPr>
        <w:t>intended</w:t>
      </w:r>
      <w:r w:rsidRPr="001D6913">
        <w:rPr>
          <w:lang w:eastAsia="en-AU"/>
        </w:rPr>
        <w:t xml:space="preserve"> to contribute an essential feature to </w:t>
      </w:r>
      <w:r w:rsidR="00ED55AB">
        <w:rPr>
          <w:lang w:eastAsia="en-AU"/>
        </w:rPr>
        <w:t>aid in ensuring</w:t>
      </w:r>
      <w:r w:rsidRPr="001D6913">
        <w:rPr>
          <w:lang w:eastAsia="en-AU"/>
        </w:rPr>
        <w:t xml:space="preserve"> that young people are able to receive accessible, appropriate, effective and sustainable services at a time in their lives when they are most vulnerable to the emergence of mental health problems</w:t>
      </w:r>
      <w:r w:rsidR="00CC0438">
        <w:rPr>
          <w:rFonts w:ascii="ZWAdobeF" w:hAnsi="ZWAdobeF" w:cs="ZWAdobeF"/>
          <w:sz w:val="2"/>
          <w:szCs w:val="2"/>
          <w:lang w:eastAsia="en-AU"/>
        </w:rPr>
        <w:t>48F</w:t>
      </w:r>
      <w:r w:rsidRPr="001D6913">
        <w:rPr>
          <w:rStyle w:val="FootnoteReference"/>
          <w:lang w:eastAsia="en-AU"/>
        </w:rPr>
        <w:footnoteReference w:id="50"/>
      </w:r>
      <w:r>
        <w:rPr>
          <w:lang w:eastAsia="en-AU"/>
        </w:rPr>
        <w:t>.</w:t>
      </w:r>
    </w:p>
    <w:p w14:paraId="7600EEF3" w14:textId="169727C0" w:rsidR="00845983" w:rsidRDefault="00845983" w:rsidP="00845983">
      <w:pPr>
        <w:pStyle w:val="BodyText"/>
      </w:pPr>
      <w:r w:rsidRPr="001D6913">
        <w:rPr>
          <w:lang w:eastAsia="en-AU"/>
        </w:rPr>
        <w:t>The headspace</w:t>
      </w:r>
      <w:r>
        <w:rPr>
          <w:lang w:eastAsia="en-AU"/>
        </w:rPr>
        <w:t xml:space="preserve"> </w:t>
      </w:r>
      <w:r w:rsidRPr="001D6913">
        <w:rPr>
          <w:lang w:eastAsia="en-AU"/>
        </w:rPr>
        <w:t xml:space="preserve">model is comprised of 16 components, to which </w:t>
      </w:r>
      <w:r>
        <w:rPr>
          <w:lang w:eastAsia="en-AU"/>
        </w:rPr>
        <w:t xml:space="preserve">headspace services </w:t>
      </w:r>
      <w:r w:rsidRPr="001D6913">
        <w:rPr>
          <w:lang w:eastAsia="en-AU"/>
        </w:rPr>
        <w:t xml:space="preserve">must demonstrate ongoing commitment and alignment in order to hold a </w:t>
      </w:r>
      <w:r w:rsidR="00E7327D">
        <w:rPr>
          <w:lang w:eastAsia="en-AU"/>
        </w:rPr>
        <w:t>T</w:t>
      </w:r>
      <w:r w:rsidR="003F70D5">
        <w:rPr>
          <w:lang w:eastAsia="en-AU"/>
        </w:rPr>
        <w:t xml:space="preserve">rademark </w:t>
      </w:r>
      <w:r w:rsidR="00E7327D">
        <w:rPr>
          <w:lang w:eastAsia="en-AU"/>
        </w:rPr>
        <w:t>L</w:t>
      </w:r>
      <w:r w:rsidR="003F70D5">
        <w:rPr>
          <w:lang w:eastAsia="en-AU"/>
        </w:rPr>
        <w:t>ice</w:t>
      </w:r>
      <w:r w:rsidR="00080644">
        <w:rPr>
          <w:lang w:eastAsia="en-AU"/>
        </w:rPr>
        <w:t>nce</w:t>
      </w:r>
      <w:r w:rsidR="003F70D5">
        <w:rPr>
          <w:lang w:eastAsia="en-AU"/>
        </w:rPr>
        <w:t xml:space="preserve"> </w:t>
      </w:r>
      <w:r w:rsidR="00E7327D">
        <w:rPr>
          <w:lang w:eastAsia="en-AU"/>
        </w:rPr>
        <w:t>D</w:t>
      </w:r>
      <w:r w:rsidR="003F70D5">
        <w:rPr>
          <w:lang w:eastAsia="en-AU"/>
        </w:rPr>
        <w:t>eed (</w:t>
      </w:r>
      <w:r>
        <w:rPr>
          <w:lang w:eastAsia="en-AU"/>
        </w:rPr>
        <w:t>TMLD</w:t>
      </w:r>
      <w:r w:rsidR="003F70D5">
        <w:rPr>
          <w:lang w:eastAsia="en-AU"/>
        </w:rPr>
        <w:t>)</w:t>
      </w:r>
      <w:r>
        <w:rPr>
          <w:lang w:eastAsia="en-AU"/>
        </w:rPr>
        <w:t xml:space="preserve"> </w:t>
      </w:r>
      <w:r w:rsidRPr="001D6913">
        <w:rPr>
          <w:lang w:eastAsia="en-AU"/>
        </w:rPr>
        <w:t>and to operate under the headspace name</w:t>
      </w:r>
      <w:r w:rsidR="00CC0438">
        <w:rPr>
          <w:rFonts w:ascii="ZWAdobeF" w:hAnsi="ZWAdobeF" w:cs="ZWAdobeF"/>
          <w:sz w:val="2"/>
          <w:szCs w:val="2"/>
          <w:lang w:eastAsia="en-AU"/>
        </w:rPr>
        <w:t>49F</w:t>
      </w:r>
      <w:r w:rsidRPr="001D6913">
        <w:rPr>
          <w:rStyle w:val="FootnoteReference"/>
          <w:lang w:eastAsia="en-AU"/>
        </w:rPr>
        <w:footnoteReference w:id="51"/>
      </w:r>
      <w:r>
        <w:rPr>
          <w:lang w:eastAsia="en-AU"/>
        </w:rPr>
        <w:t>.</w:t>
      </w:r>
      <w:r w:rsidRPr="001D6913">
        <w:rPr>
          <w:lang w:eastAsia="en-AU"/>
        </w:rPr>
        <w:t xml:space="preserve"> </w:t>
      </w:r>
      <w:r>
        <w:t xml:space="preserve">The details of the model are set out in the hMIF, including standards and guidelines for each component of the model. </w:t>
      </w:r>
    </w:p>
    <w:p w14:paraId="1CDBDE4F" w14:textId="77777777" w:rsidR="00845983" w:rsidRDefault="00845983" w:rsidP="00845983">
      <w:pPr>
        <w:pStyle w:val="Heading4"/>
      </w:pPr>
      <w:r>
        <w:t>Service components</w:t>
      </w:r>
    </w:p>
    <w:p w14:paraId="39EC4442" w14:textId="2F8D542C" w:rsidR="00845983" w:rsidRPr="001D6913" w:rsidRDefault="00845983" w:rsidP="003006A8">
      <w:pPr>
        <w:pStyle w:val="BodyText"/>
      </w:pPr>
      <w:r w:rsidRPr="001D6913">
        <w:t xml:space="preserve">The </w:t>
      </w:r>
      <w:r w:rsidR="005A0CA8">
        <w:t>10</w:t>
      </w:r>
      <w:r>
        <w:t xml:space="preserve"> </w:t>
      </w:r>
      <w:r w:rsidRPr="001D6913">
        <w:t>service components required to provide the four core areas of focus are defined in the hMIF as</w:t>
      </w:r>
      <w:r w:rsidR="006E1EE6">
        <w:t xml:space="preserve"> follows.</w:t>
      </w:r>
    </w:p>
    <w:p w14:paraId="38035D5C" w14:textId="77777777" w:rsidR="00845983" w:rsidRPr="001D6913" w:rsidRDefault="00845983" w:rsidP="00845983">
      <w:pPr>
        <w:pStyle w:val="Bullet1stlevel"/>
        <w:rPr>
          <w:lang w:eastAsia="en-AU"/>
        </w:rPr>
      </w:pPr>
      <w:r w:rsidRPr="001D6913">
        <w:rPr>
          <w:b/>
          <w:lang w:eastAsia="en-AU"/>
        </w:rPr>
        <w:t>Youth participation</w:t>
      </w:r>
      <w:r w:rsidRPr="001D6913">
        <w:rPr>
          <w:lang w:eastAsia="en-AU"/>
        </w:rPr>
        <w:t xml:space="preserve"> – the central and continuous involvement of young people in their own care, and in the governance, design, development, delivery, evaluation and continuous improvement of headspace services</w:t>
      </w:r>
      <w:r>
        <w:rPr>
          <w:lang w:eastAsia="en-AU"/>
        </w:rPr>
        <w:t>.</w:t>
      </w:r>
    </w:p>
    <w:p w14:paraId="742173E7" w14:textId="77777777" w:rsidR="00845983" w:rsidRPr="001D6913" w:rsidRDefault="00845983" w:rsidP="00845983">
      <w:pPr>
        <w:pStyle w:val="Bullet1stlevel"/>
        <w:rPr>
          <w:lang w:eastAsia="en-AU"/>
        </w:rPr>
      </w:pPr>
      <w:r w:rsidRPr="001D6913">
        <w:rPr>
          <w:b/>
          <w:lang w:eastAsia="en-AU"/>
        </w:rPr>
        <w:t>Family and friends participation</w:t>
      </w:r>
      <w:r w:rsidRPr="001D6913">
        <w:rPr>
          <w:lang w:eastAsia="en-AU"/>
        </w:rPr>
        <w:t xml:space="preserve"> – the central and continuous involvement of family and friends in the care of a young person, and in the governance, design, development, delivery, evaluation and continuous improvement of headspace services</w:t>
      </w:r>
      <w:r>
        <w:rPr>
          <w:lang w:eastAsia="en-AU"/>
        </w:rPr>
        <w:t>.</w:t>
      </w:r>
    </w:p>
    <w:p w14:paraId="42684AD2" w14:textId="77777777" w:rsidR="00845983" w:rsidRPr="000C6E05" w:rsidRDefault="00845983" w:rsidP="00845983">
      <w:pPr>
        <w:pStyle w:val="Bullet1stlevel"/>
        <w:rPr>
          <w:bCs/>
          <w:lang w:eastAsia="en-AU"/>
        </w:rPr>
      </w:pPr>
      <w:r w:rsidRPr="001D6913">
        <w:rPr>
          <w:b/>
          <w:lang w:eastAsia="en-AU"/>
        </w:rPr>
        <w:t xml:space="preserve">Community awareness and engagement </w:t>
      </w:r>
      <w:r w:rsidRPr="001D6913">
        <w:rPr>
          <w:lang w:eastAsia="en-AU"/>
        </w:rPr>
        <w:t>– the ability of the service to work with the local community to increase mental health literacy, reduce stigma, encourage early help seeking and promote access to headspace services, while building strong relationships with young people, their family and friends, other local services and the broader community</w:t>
      </w:r>
      <w:r>
        <w:rPr>
          <w:lang w:eastAsia="en-AU"/>
        </w:rPr>
        <w:t>.</w:t>
      </w:r>
    </w:p>
    <w:p w14:paraId="360B3554" w14:textId="0D48955D" w:rsidR="00845983" w:rsidRPr="004A131E" w:rsidRDefault="00845983" w:rsidP="004A131E">
      <w:pPr>
        <w:pStyle w:val="Bullet1stlevel"/>
        <w:rPr>
          <w:bCs/>
          <w:lang w:eastAsia="en-AU"/>
        </w:rPr>
      </w:pPr>
      <w:r w:rsidRPr="001D6913">
        <w:rPr>
          <w:b/>
          <w:lang w:eastAsia="en-AU"/>
        </w:rPr>
        <w:t>Enhance</w:t>
      </w:r>
      <w:r w:rsidR="00724703">
        <w:rPr>
          <w:b/>
          <w:lang w:eastAsia="en-AU"/>
        </w:rPr>
        <w:t>d</w:t>
      </w:r>
      <w:r w:rsidRPr="001D6913">
        <w:rPr>
          <w:b/>
          <w:lang w:eastAsia="en-AU"/>
        </w:rPr>
        <w:t xml:space="preserve"> access </w:t>
      </w:r>
      <w:r w:rsidRPr="001D6913">
        <w:rPr>
          <w:lang w:eastAsia="en-AU"/>
        </w:rPr>
        <w:t xml:space="preserve">– meaning that headspace services are engaging, youth-friendly and set up to minimise the barriers young people typically encounter when seeking professional help. </w:t>
      </w:r>
      <w:r w:rsidR="004A131E">
        <w:rPr>
          <w:lang w:eastAsia="en-AU"/>
        </w:rPr>
        <w:t xml:space="preserve">This component includes the </w:t>
      </w:r>
      <w:r w:rsidR="004A131E">
        <w:rPr>
          <w:bCs/>
          <w:lang w:eastAsia="en-AU"/>
        </w:rPr>
        <w:t>‘no</w:t>
      </w:r>
      <w:r w:rsidR="00EF73E7">
        <w:rPr>
          <w:bCs/>
          <w:lang w:eastAsia="en-AU"/>
        </w:rPr>
        <w:t xml:space="preserve"> wrong door’ </w:t>
      </w:r>
      <w:r w:rsidR="00337F74">
        <w:rPr>
          <w:bCs/>
          <w:lang w:eastAsia="en-AU"/>
        </w:rPr>
        <w:t xml:space="preserve">approach, </w:t>
      </w:r>
      <w:r w:rsidR="00A23338">
        <w:rPr>
          <w:bCs/>
          <w:lang w:eastAsia="en-AU"/>
        </w:rPr>
        <w:t>where no young person is turned away without connection to appropriate internal or external services</w:t>
      </w:r>
      <w:r w:rsidR="00A23338" w:rsidRPr="00A23338">
        <w:rPr>
          <w:lang w:eastAsia="en-AU"/>
        </w:rPr>
        <w:t>.</w:t>
      </w:r>
      <w:r w:rsidR="00A23338">
        <w:rPr>
          <w:lang w:eastAsia="en-AU"/>
        </w:rPr>
        <w:t xml:space="preserve"> </w:t>
      </w:r>
      <w:r w:rsidRPr="001D6913">
        <w:rPr>
          <w:lang w:eastAsia="en-AU"/>
        </w:rPr>
        <w:t>This enables early and easy access to services and supports effective help</w:t>
      </w:r>
      <w:r w:rsidR="00BD29DF">
        <w:rPr>
          <w:lang w:eastAsia="en-AU"/>
        </w:rPr>
        <w:t xml:space="preserve"> </w:t>
      </w:r>
      <w:r w:rsidRPr="001D6913">
        <w:rPr>
          <w:lang w:eastAsia="en-AU"/>
        </w:rPr>
        <w:t>seeking behaviour</w:t>
      </w:r>
      <w:r>
        <w:rPr>
          <w:lang w:eastAsia="en-AU"/>
        </w:rPr>
        <w:t>.</w:t>
      </w:r>
    </w:p>
    <w:p w14:paraId="6709A597" w14:textId="77777777" w:rsidR="00845983" w:rsidRPr="000C6E05" w:rsidRDefault="00845983" w:rsidP="00845983">
      <w:pPr>
        <w:pStyle w:val="Bullet1stlevel"/>
        <w:rPr>
          <w:bCs/>
          <w:lang w:eastAsia="en-AU"/>
        </w:rPr>
      </w:pPr>
      <w:r w:rsidRPr="001D6913">
        <w:rPr>
          <w:b/>
          <w:lang w:eastAsia="en-AU"/>
        </w:rPr>
        <w:t xml:space="preserve">Early intervention </w:t>
      </w:r>
      <w:r w:rsidRPr="001D6913">
        <w:rPr>
          <w:lang w:eastAsia="en-AU"/>
        </w:rPr>
        <w:t>– the identification and provision of intervention and support services as early as possible in the development of mental health difficulties to prevent or delay the onset of mental ill-health or reduce the impact associated with mental ill-health and improve outcomes</w:t>
      </w:r>
      <w:r>
        <w:rPr>
          <w:lang w:eastAsia="en-AU"/>
        </w:rPr>
        <w:t>.</w:t>
      </w:r>
    </w:p>
    <w:p w14:paraId="78227608" w14:textId="542EBEB3" w:rsidR="00845983" w:rsidRPr="000C6E05" w:rsidRDefault="00845983" w:rsidP="00845983">
      <w:pPr>
        <w:pStyle w:val="Bullet1stlevel"/>
        <w:rPr>
          <w:bCs/>
          <w:lang w:eastAsia="en-AU"/>
        </w:rPr>
      </w:pPr>
      <w:r w:rsidRPr="001D6913">
        <w:rPr>
          <w:b/>
          <w:lang w:eastAsia="en-AU"/>
        </w:rPr>
        <w:t>Appropriate care</w:t>
      </w:r>
      <w:r w:rsidRPr="001D6913">
        <w:rPr>
          <w:lang w:eastAsia="en-AU"/>
        </w:rPr>
        <w:t xml:space="preserve"> – the provision of evidence-based interventions for each individual young person by matching the type, intensity, frequency, duration, location and mode of treatment to their presenting need. This includes identification and consideration of factors</w:t>
      </w:r>
      <w:r w:rsidR="00C87EC6">
        <w:rPr>
          <w:lang w:eastAsia="en-AU"/>
        </w:rPr>
        <w:t>,</w:t>
      </w:r>
      <w:r w:rsidRPr="001D6913">
        <w:rPr>
          <w:lang w:eastAsia="en-AU"/>
        </w:rPr>
        <w:t xml:space="preserve"> such as risk and protective, stage of illness, </w:t>
      </w:r>
      <w:r w:rsidR="005513AE">
        <w:rPr>
          <w:lang w:eastAsia="en-AU"/>
        </w:rPr>
        <w:t>psychosocial</w:t>
      </w:r>
      <w:r w:rsidRPr="001D6913">
        <w:rPr>
          <w:lang w:eastAsia="en-AU"/>
        </w:rPr>
        <w:t xml:space="preserve"> complexity, and developmental and socio</w:t>
      </w:r>
      <w:r w:rsidR="00C87EC6">
        <w:rPr>
          <w:lang w:eastAsia="en-AU"/>
        </w:rPr>
        <w:noBreakHyphen/>
      </w:r>
      <w:r w:rsidRPr="001D6913">
        <w:rPr>
          <w:lang w:eastAsia="en-AU"/>
        </w:rPr>
        <w:t>cultural</w:t>
      </w:r>
      <w:r>
        <w:rPr>
          <w:lang w:eastAsia="en-AU"/>
        </w:rPr>
        <w:t>.</w:t>
      </w:r>
    </w:p>
    <w:p w14:paraId="5D170B7D" w14:textId="77777777" w:rsidR="00845983" w:rsidRPr="000C6E05" w:rsidRDefault="00845983" w:rsidP="00845983">
      <w:pPr>
        <w:pStyle w:val="Bullet1stlevel"/>
        <w:rPr>
          <w:lang w:eastAsia="en-AU"/>
        </w:rPr>
      </w:pPr>
      <w:r w:rsidRPr="001D6913">
        <w:rPr>
          <w:b/>
          <w:lang w:eastAsia="en-AU"/>
        </w:rPr>
        <w:t>Evidence-informed practice</w:t>
      </w:r>
      <w:r w:rsidRPr="001D6913">
        <w:rPr>
          <w:lang w:eastAsia="en-AU"/>
        </w:rPr>
        <w:t xml:space="preserve"> – the use of the best available evidence to guide service development, delivery, evaluation and continuous improvement. Sources of evidence include clinical guidelines, peer-reviewed literature, expert opinion, centre-based research and service evaluation; and the unique knowledge, skills and expertise of service providers, young people and their families and friends</w:t>
      </w:r>
      <w:r w:rsidRPr="000C6E05">
        <w:rPr>
          <w:lang w:eastAsia="en-AU"/>
        </w:rPr>
        <w:t>.</w:t>
      </w:r>
    </w:p>
    <w:p w14:paraId="58209A8B" w14:textId="77777777" w:rsidR="00845983" w:rsidRPr="009F0E87" w:rsidRDefault="00845983" w:rsidP="00845983">
      <w:pPr>
        <w:pStyle w:val="Bullet1stlevel"/>
        <w:rPr>
          <w:bCs/>
          <w:lang w:eastAsia="en-AU"/>
        </w:rPr>
      </w:pPr>
      <w:r w:rsidRPr="001D6913">
        <w:rPr>
          <w:b/>
          <w:lang w:eastAsia="en-AU"/>
        </w:rPr>
        <w:t xml:space="preserve">Four core streams </w:t>
      </w:r>
      <w:r w:rsidRPr="001D6913">
        <w:rPr>
          <w:lang w:eastAsia="en-AU"/>
        </w:rPr>
        <w:t>– the provision of an enhanced primary care platform with four core service streams – mental health, physical and sexual health, alcohol and other drugs, and vocational and educational support – to holistically address the main mental health and wellbeing needs of young people within the local community</w:t>
      </w:r>
      <w:r>
        <w:rPr>
          <w:lang w:eastAsia="en-AU"/>
        </w:rPr>
        <w:t>.</w:t>
      </w:r>
    </w:p>
    <w:p w14:paraId="75D5A20E" w14:textId="77777777" w:rsidR="00845983" w:rsidRPr="009F0E87" w:rsidRDefault="00845983" w:rsidP="00845983">
      <w:pPr>
        <w:pStyle w:val="Bullet1stlevel"/>
        <w:rPr>
          <w:bCs/>
          <w:lang w:eastAsia="en-AU"/>
        </w:rPr>
      </w:pPr>
      <w:r w:rsidRPr="001D6913">
        <w:rPr>
          <w:b/>
          <w:lang w:eastAsia="en-AU"/>
        </w:rPr>
        <w:t xml:space="preserve">Service integration </w:t>
      </w:r>
      <w:r w:rsidRPr="001D6913">
        <w:rPr>
          <w:lang w:eastAsia="en-AU"/>
        </w:rPr>
        <w:t>– bringing services together to function as one, providing a seamless service experience for a young person, particularly if they require care involving multiple service providers and supports</w:t>
      </w:r>
      <w:r>
        <w:rPr>
          <w:lang w:eastAsia="en-AU"/>
        </w:rPr>
        <w:t>.</w:t>
      </w:r>
    </w:p>
    <w:p w14:paraId="1FB6F1F1" w14:textId="77777777" w:rsidR="00845983" w:rsidRPr="009F0E87" w:rsidRDefault="00845983" w:rsidP="00845983">
      <w:pPr>
        <w:pStyle w:val="Bullet1stlevel"/>
        <w:rPr>
          <w:bCs/>
          <w:lang w:eastAsia="en-AU"/>
        </w:rPr>
      </w:pPr>
      <w:r w:rsidRPr="001D6913">
        <w:rPr>
          <w:b/>
          <w:lang w:eastAsia="en-AU"/>
        </w:rPr>
        <w:t xml:space="preserve">Supported transitions </w:t>
      </w:r>
      <w:r w:rsidRPr="001D6913">
        <w:rPr>
          <w:lang w:eastAsia="en-AU"/>
        </w:rPr>
        <w:t>– the process of formal handover that proactively and personally transfers a young person’s care to any other service provider in a way that supports the ongoing engagement of the young person and continuity of care between service providers. This includes both transition between service providers within headspace and exit from the headspace service. Transition can occur for a number of reasons, including a young person’s preferences, age, need for more specialised service or geographic location.</w:t>
      </w:r>
    </w:p>
    <w:p w14:paraId="486C71F5" w14:textId="77777777" w:rsidR="00845983" w:rsidRPr="001D6913" w:rsidRDefault="00845983" w:rsidP="00845983">
      <w:pPr>
        <w:pStyle w:val="Heading4"/>
      </w:pPr>
      <w:r>
        <w:t>Enabling components</w:t>
      </w:r>
    </w:p>
    <w:p w14:paraId="035CA1D1" w14:textId="14AC8F7A" w:rsidR="00845983" w:rsidRPr="001D6913" w:rsidRDefault="00845983" w:rsidP="003006A8">
      <w:pPr>
        <w:pStyle w:val="BodyText"/>
      </w:pPr>
      <w:r w:rsidRPr="001D6913">
        <w:t>Six enabling components sit around these core components in the model:</w:t>
      </w:r>
    </w:p>
    <w:p w14:paraId="13B8924A" w14:textId="3762451C" w:rsidR="00845983" w:rsidRPr="009F0E87" w:rsidRDefault="00845983" w:rsidP="00845983">
      <w:pPr>
        <w:pStyle w:val="Bullet1stlevel"/>
        <w:rPr>
          <w:bCs/>
          <w:lang w:eastAsia="en-AU"/>
        </w:rPr>
      </w:pPr>
      <w:r w:rsidRPr="001D6913">
        <w:rPr>
          <w:b/>
          <w:lang w:eastAsia="en-AU"/>
        </w:rPr>
        <w:t>National network</w:t>
      </w:r>
      <w:r w:rsidRPr="001D6913">
        <w:rPr>
          <w:lang w:eastAsia="en-AU"/>
        </w:rPr>
        <w:t xml:space="preserve"> – the network of headspace services across Australia that collaborates to share learning, innovation and best practice and</w:t>
      </w:r>
      <w:r>
        <w:rPr>
          <w:lang w:eastAsia="en-AU"/>
        </w:rPr>
        <w:t>,</w:t>
      </w:r>
      <w:r w:rsidRPr="001D6913">
        <w:rPr>
          <w:lang w:eastAsia="en-AU"/>
        </w:rPr>
        <w:t xml:space="preserve"> in turn</w:t>
      </w:r>
      <w:r>
        <w:rPr>
          <w:lang w:eastAsia="en-AU"/>
        </w:rPr>
        <w:t>,</w:t>
      </w:r>
      <w:r w:rsidRPr="001D6913">
        <w:rPr>
          <w:lang w:eastAsia="en-AU"/>
        </w:rPr>
        <w:t xml:space="preserve"> facilitates continuous improvement of services to enhance youth mental health and wellbeing outcomes. It is composed of all headspace centres, satellites and other services, headspace National, </w:t>
      </w:r>
      <w:r>
        <w:rPr>
          <w:lang w:eastAsia="en-AU"/>
        </w:rPr>
        <w:t>PHN</w:t>
      </w:r>
      <w:r w:rsidRPr="001D6913">
        <w:rPr>
          <w:lang w:eastAsia="en-AU"/>
        </w:rPr>
        <w:t xml:space="preserve">s, </w:t>
      </w:r>
      <w:r>
        <w:rPr>
          <w:lang w:eastAsia="en-AU"/>
        </w:rPr>
        <w:t>lead agencies</w:t>
      </w:r>
      <w:r w:rsidRPr="001D6913">
        <w:rPr>
          <w:lang w:eastAsia="en-AU"/>
        </w:rPr>
        <w:t xml:space="preserve">, </w:t>
      </w:r>
      <w:r w:rsidR="008B1297">
        <w:rPr>
          <w:lang w:eastAsia="en-AU"/>
        </w:rPr>
        <w:t>c</w:t>
      </w:r>
      <w:r w:rsidRPr="001D6913">
        <w:rPr>
          <w:lang w:eastAsia="en-AU"/>
        </w:rPr>
        <w:t xml:space="preserve">onsortia, </w:t>
      </w:r>
      <w:r w:rsidR="006E1AEC">
        <w:rPr>
          <w:lang w:eastAsia="en-AU"/>
        </w:rPr>
        <w:t xml:space="preserve">and </w:t>
      </w:r>
      <w:r w:rsidRPr="001D6913">
        <w:rPr>
          <w:lang w:eastAsia="en-AU"/>
        </w:rPr>
        <w:t>Youth and Family and Friends Reference Groups</w:t>
      </w:r>
      <w:r>
        <w:rPr>
          <w:lang w:eastAsia="en-AU"/>
        </w:rPr>
        <w:t>.</w:t>
      </w:r>
    </w:p>
    <w:p w14:paraId="2AD0DFAD" w14:textId="77777777" w:rsidR="00845983" w:rsidRPr="009F0E87" w:rsidRDefault="00845983" w:rsidP="00845983">
      <w:pPr>
        <w:pStyle w:val="Bullet1stlevel"/>
        <w:rPr>
          <w:bCs/>
          <w:lang w:eastAsia="en-AU"/>
        </w:rPr>
      </w:pPr>
      <w:r w:rsidRPr="001D6913">
        <w:rPr>
          <w:b/>
          <w:lang w:eastAsia="en-AU"/>
        </w:rPr>
        <w:t xml:space="preserve">Lead agency governance </w:t>
      </w:r>
      <w:r w:rsidRPr="001D6913">
        <w:rPr>
          <w:lang w:eastAsia="en-AU"/>
        </w:rPr>
        <w:t>– the people, systems, processes, policies and procedures through which responsibility and accountability for corporate, clinical and cultural governance is assigned and exercised in order to ensure the delivery of safe, high-quality and inclusive headspace services for young people and their families and friends.</w:t>
      </w:r>
    </w:p>
    <w:p w14:paraId="2A21AB91" w14:textId="3B08F4B7" w:rsidR="00845983" w:rsidRPr="009F0E87" w:rsidRDefault="00845983" w:rsidP="00845983">
      <w:pPr>
        <w:pStyle w:val="Bullet1stlevel"/>
        <w:rPr>
          <w:bCs/>
          <w:lang w:eastAsia="en-AU"/>
        </w:rPr>
      </w:pPr>
      <w:r w:rsidRPr="001D6913">
        <w:rPr>
          <w:b/>
          <w:lang w:eastAsia="en-AU"/>
        </w:rPr>
        <w:t xml:space="preserve">Consortium </w:t>
      </w:r>
      <w:r w:rsidRPr="001D6913">
        <w:rPr>
          <w:lang w:eastAsia="en-AU"/>
        </w:rPr>
        <w:t xml:space="preserve">– a collaborative advisory group </w:t>
      </w:r>
      <w:r w:rsidR="009A3981">
        <w:rPr>
          <w:lang w:eastAsia="en-AU"/>
        </w:rPr>
        <w:t>comprising</w:t>
      </w:r>
      <w:r w:rsidRPr="001D6913">
        <w:rPr>
          <w:lang w:eastAsia="en-AU"/>
        </w:rPr>
        <w:t xml:space="preserve"> local service providers and organisations that partner with a </w:t>
      </w:r>
      <w:r>
        <w:rPr>
          <w:lang w:eastAsia="en-AU"/>
        </w:rPr>
        <w:t>lead agen</w:t>
      </w:r>
      <w:r w:rsidRPr="001D6913">
        <w:rPr>
          <w:lang w:eastAsia="en-AU"/>
        </w:rPr>
        <w:t xml:space="preserve">cy to provide partnership opportunities, strategic direction and resources to enhance the headspace service’s capacity to meet local community needs. headspace services also form partnerships in the community beyond the </w:t>
      </w:r>
      <w:r w:rsidR="00ED7C69">
        <w:rPr>
          <w:lang w:eastAsia="en-AU"/>
        </w:rPr>
        <w:t>c</w:t>
      </w:r>
      <w:r w:rsidRPr="001D6913">
        <w:rPr>
          <w:lang w:eastAsia="en-AU"/>
        </w:rPr>
        <w:t>onsortium to further enhance the wellbeing of young people in their communities</w:t>
      </w:r>
      <w:r>
        <w:rPr>
          <w:lang w:eastAsia="en-AU"/>
        </w:rPr>
        <w:t>.</w:t>
      </w:r>
    </w:p>
    <w:p w14:paraId="68BFAA99" w14:textId="77777777" w:rsidR="00845983" w:rsidRPr="009F0E87" w:rsidRDefault="00845983" w:rsidP="00845983">
      <w:pPr>
        <w:pStyle w:val="Bullet1stlevel"/>
        <w:rPr>
          <w:bCs/>
          <w:lang w:eastAsia="en-AU"/>
        </w:rPr>
      </w:pPr>
      <w:r w:rsidRPr="001D6913">
        <w:rPr>
          <w:b/>
          <w:lang w:eastAsia="en-AU"/>
        </w:rPr>
        <w:t xml:space="preserve">Multi-disciplinary workforce </w:t>
      </w:r>
      <w:r w:rsidRPr="001D6913">
        <w:rPr>
          <w:lang w:eastAsia="en-AU"/>
        </w:rPr>
        <w:t>– the clinical and non-clinical workers required from a range of disciplines and backgrounds – with the right knowledge, skills and expertise – who work together to holistically meet the mental health and wellbeing needs of young people, and their families and friends, within the local community</w:t>
      </w:r>
      <w:r>
        <w:rPr>
          <w:lang w:eastAsia="en-AU"/>
        </w:rPr>
        <w:t>.</w:t>
      </w:r>
    </w:p>
    <w:p w14:paraId="1C009004" w14:textId="252B87C1" w:rsidR="00845983" w:rsidRPr="009F0E87" w:rsidRDefault="00845983" w:rsidP="00845983">
      <w:pPr>
        <w:pStyle w:val="Bullet1stlevel"/>
        <w:rPr>
          <w:bCs/>
          <w:lang w:eastAsia="en-AU"/>
        </w:rPr>
      </w:pPr>
      <w:r w:rsidRPr="001D6913">
        <w:rPr>
          <w:b/>
          <w:lang w:eastAsia="en-AU"/>
        </w:rPr>
        <w:t xml:space="preserve">Blended funding </w:t>
      </w:r>
      <w:r w:rsidRPr="001D6913">
        <w:rPr>
          <w:lang w:eastAsia="en-AU"/>
        </w:rPr>
        <w:t>– the use of multiple funding streams and in-kind contributions to increase income diversity, flexibility and the sustainability of the service in accordance with the needs of the headspace service, young people and their community to ensure access to no or low</w:t>
      </w:r>
      <w:r w:rsidR="00C92763">
        <w:rPr>
          <w:lang w:eastAsia="en-AU"/>
        </w:rPr>
        <w:noBreakHyphen/>
      </w:r>
      <w:r w:rsidRPr="001D6913">
        <w:rPr>
          <w:lang w:eastAsia="en-AU"/>
        </w:rPr>
        <w:t>cost services</w:t>
      </w:r>
      <w:r>
        <w:rPr>
          <w:lang w:eastAsia="en-AU"/>
        </w:rPr>
        <w:t>.</w:t>
      </w:r>
    </w:p>
    <w:p w14:paraId="5CA1BA86" w14:textId="77777777" w:rsidR="00845983" w:rsidRPr="009F0E87" w:rsidRDefault="00845983" w:rsidP="00845983">
      <w:pPr>
        <w:pStyle w:val="Bullet1stlevel"/>
        <w:rPr>
          <w:bCs/>
          <w:lang w:eastAsia="en-AU"/>
        </w:rPr>
      </w:pPr>
      <w:r w:rsidRPr="001D6913">
        <w:rPr>
          <w:b/>
          <w:lang w:eastAsia="en-AU"/>
        </w:rPr>
        <w:t xml:space="preserve">Monitoring and evaluation </w:t>
      </w:r>
      <w:r w:rsidRPr="001D6913">
        <w:rPr>
          <w:lang w:eastAsia="en-AU"/>
        </w:rPr>
        <w:t xml:space="preserve">– the continual collection and review of comprehensive information to facilitate service planning, delivery, evaluation and continuous improvement for headspace services, </w:t>
      </w:r>
      <w:r>
        <w:rPr>
          <w:lang w:eastAsia="en-AU"/>
        </w:rPr>
        <w:t>PHN</w:t>
      </w:r>
      <w:r w:rsidRPr="001D6913">
        <w:rPr>
          <w:lang w:eastAsia="en-AU"/>
        </w:rPr>
        <w:t>s and the national network.</w:t>
      </w:r>
    </w:p>
    <w:p w14:paraId="437D950D" w14:textId="77777777" w:rsidR="00845983" w:rsidRDefault="00845983" w:rsidP="00845983">
      <w:pPr>
        <w:pStyle w:val="BodyText"/>
        <w:rPr>
          <w:lang w:eastAsia="en-AU"/>
        </w:rPr>
      </w:pPr>
      <w:r>
        <w:rPr>
          <w:lang w:eastAsia="en-AU"/>
        </w:rPr>
        <w:t>A further element of the headspace model is that headspace services are required to be consistent in their branding and street presence. The internal décor of each service should m</w:t>
      </w:r>
      <w:r>
        <w:t xml:space="preserve">eet headspace branding requirements, customised by local Youth Reference Groups to provide connection/relevance to the local community, </w:t>
      </w:r>
      <w:r>
        <w:rPr>
          <w:lang w:eastAsia="en-AU"/>
        </w:rPr>
        <w:t xml:space="preserve">with white walls and lime green accents. Services are also to be located in centrally accessible street frontage. </w:t>
      </w:r>
    </w:p>
    <w:p w14:paraId="43CBDC8E" w14:textId="7EF36218" w:rsidR="00845983" w:rsidRPr="001D6913" w:rsidRDefault="00845983" w:rsidP="00845983">
      <w:pPr>
        <w:pStyle w:val="Heading3"/>
      </w:pPr>
      <w:r>
        <w:t>Support s</w:t>
      </w:r>
      <w:r w:rsidRPr="001D6913">
        <w:t xml:space="preserve">ervices </w:t>
      </w:r>
      <w:r>
        <w:t>provided</w:t>
      </w:r>
      <w:r w:rsidR="004C5A6A">
        <w:t xml:space="preserve"> under the model </w:t>
      </w:r>
    </w:p>
    <w:p w14:paraId="7ED8FC56" w14:textId="113E75C7" w:rsidR="00845983" w:rsidRPr="001D6913" w:rsidRDefault="00845983" w:rsidP="00845983">
      <w:pPr>
        <w:pStyle w:val="BodyText"/>
        <w:rPr>
          <w:lang w:eastAsia="en-AU"/>
        </w:rPr>
      </w:pPr>
      <w:r w:rsidRPr="001D6913">
        <w:t>As described in the hMIF, headspace centres provide services across four core components</w:t>
      </w:r>
      <w:r>
        <w:t>:</w:t>
      </w:r>
      <w:r w:rsidRPr="001D6913">
        <w:t xml:space="preserve"> </w:t>
      </w:r>
      <w:r w:rsidRPr="001D6913">
        <w:rPr>
          <w:lang w:eastAsia="en-AU"/>
        </w:rPr>
        <w:t xml:space="preserve">mental health, physical and sexual health, alcohol and other drugs, and vocational and educational support. The early intervention model is designed to tailor services and interventions to match the needs of the young person, and the centre-based model is designed for the provision of multiple services and supports from a single location. Through the consortium of local providers, young people can gain access to services beyond the four core streams as well, and most centres provide a range of </w:t>
      </w:r>
      <w:r w:rsidR="005513AE">
        <w:rPr>
          <w:lang w:eastAsia="en-AU"/>
        </w:rPr>
        <w:t>psychosocial</w:t>
      </w:r>
      <w:r w:rsidRPr="001D6913">
        <w:rPr>
          <w:lang w:eastAsia="en-AU"/>
        </w:rPr>
        <w:t xml:space="preserve"> supports to supplement the core streams. </w:t>
      </w:r>
    </w:p>
    <w:p w14:paraId="65557DC1" w14:textId="7AB81BAB" w:rsidR="00845983" w:rsidRDefault="00845983" w:rsidP="00845983">
      <w:pPr>
        <w:pStyle w:val="BodyText"/>
        <w:rPr>
          <w:lang w:eastAsia="en-AU"/>
        </w:rPr>
      </w:pPr>
      <w:r>
        <w:rPr>
          <w:lang w:eastAsia="en-AU"/>
        </w:rPr>
        <w:t xml:space="preserve">The four core components of support are divided into eight broad categories of service provided directly to young people, while centres also provide activities and engagement programs outside of these four core components. The services provided by centres are described using hMDS data in Section </w:t>
      </w:r>
      <w:r w:rsidR="001D4FDF">
        <w:rPr>
          <w:lang w:eastAsia="en-AU"/>
        </w:rPr>
        <w:fldChar w:fldCharType="begin" w:fldLock="1"/>
      </w:r>
      <w:r w:rsidR="001D4FDF">
        <w:rPr>
          <w:lang w:eastAsia="en-AU"/>
        </w:rPr>
        <w:instrText xml:space="preserve"> REF _Ref95039707 \w \h </w:instrText>
      </w:r>
      <w:r w:rsidR="001D4FDF">
        <w:rPr>
          <w:lang w:eastAsia="en-AU"/>
        </w:rPr>
      </w:r>
      <w:r w:rsidR="001D4FDF">
        <w:rPr>
          <w:lang w:eastAsia="en-AU"/>
        </w:rPr>
        <w:fldChar w:fldCharType="separate"/>
      </w:r>
      <w:r w:rsidR="00AE4D34">
        <w:rPr>
          <w:lang w:eastAsia="en-AU"/>
        </w:rPr>
        <w:t>2.6.2</w:t>
      </w:r>
      <w:r w:rsidR="001D4FDF">
        <w:rPr>
          <w:lang w:eastAsia="en-AU"/>
        </w:rPr>
        <w:fldChar w:fldCharType="end"/>
      </w:r>
      <w:r>
        <w:rPr>
          <w:lang w:eastAsia="en-AU"/>
        </w:rPr>
        <w:t xml:space="preserve"> below, to illustrate the way the model operates in practice.</w:t>
      </w:r>
    </w:p>
    <w:p w14:paraId="1BC64189" w14:textId="77777777" w:rsidR="00845983" w:rsidRDefault="00845983" w:rsidP="00845983">
      <w:pPr>
        <w:pStyle w:val="Heading4"/>
      </w:pPr>
      <w:r>
        <w:t>Intake and assessment</w:t>
      </w:r>
    </w:p>
    <w:p w14:paraId="1FCCF83E" w14:textId="34572E11" w:rsidR="00845983" w:rsidRDefault="00845983" w:rsidP="00845983">
      <w:pPr>
        <w:pStyle w:val="BodyText"/>
        <w:rPr>
          <w:lang w:eastAsia="en-AU"/>
        </w:rPr>
      </w:pPr>
      <w:r>
        <w:rPr>
          <w:lang w:eastAsia="en-AU"/>
        </w:rPr>
        <w:t xml:space="preserve">This involves initial </w:t>
      </w:r>
      <w:r w:rsidR="00E10667">
        <w:rPr>
          <w:lang w:eastAsia="en-AU"/>
        </w:rPr>
        <w:t xml:space="preserve">engagement and </w:t>
      </w:r>
      <w:r>
        <w:rPr>
          <w:lang w:eastAsia="en-AU"/>
        </w:rPr>
        <w:t xml:space="preserve">screening as part of a young person’s first contact with the </w:t>
      </w:r>
      <w:r w:rsidR="001015E8">
        <w:rPr>
          <w:lang w:eastAsia="en-AU"/>
        </w:rPr>
        <w:t>servic</w:t>
      </w:r>
      <w:r>
        <w:rPr>
          <w:lang w:eastAsia="en-AU"/>
        </w:rPr>
        <w:t>e, focused on assessing alignment between the needs of the young person and the s</w:t>
      </w:r>
      <w:r w:rsidR="001015E8">
        <w:rPr>
          <w:lang w:eastAsia="en-AU"/>
        </w:rPr>
        <w:t>upport</w:t>
      </w:r>
      <w:r>
        <w:rPr>
          <w:lang w:eastAsia="en-AU"/>
        </w:rPr>
        <w:t xml:space="preserve">s on offer at the </w:t>
      </w:r>
      <w:r w:rsidR="001015E8">
        <w:rPr>
          <w:lang w:eastAsia="en-AU"/>
        </w:rPr>
        <w:t>servic</w:t>
      </w:r>
      <w:r>
        <w:rPr>
          <w:lang w:eastAsia="en-AU"/>
        </w:rPr>
        <w:t xml:space="preserve">e. Time spent with a young person to build rapport and level of comfort with the headspace service is also part of this category of services provided. </w:t>
      </w:r>
    </w:p>
    <w:p w14:paraId="155C2357" w14:textId="13962E48" w:rsidR="00845983" w:rsidRDefault="00845983" w:rsidP="00845983">
      <w:pPr>
        <w:pStyle w:val="BodyText"/>
        <w:rPr>
          <w:lang w:eastAsia="en-AU"/>
        </w:rPr>
      </w:pPr>
      <w:r>
        <w:rPr>
          <w:lang w:eastAsia="en-AU"/>
        </w:rPr>
        <w:t xml:space="preserve">Conducting a </w:t>
      </w:r>
      <w:r w:rsidR="002E1328">
        <w:rPr>
          <w:lang w:eastAsia="en-AU"/>
        </w:rPr>
        <w:t>psychosocial</w:t>
      </w:r>
      <w:r w:rsidR="002E1328" w:rsidDel="002E1328">
        <w:rPr>
          <w:lang w:eastAsia="en-AU"/>
        </w:rPr>
        <w:t xml:space="preserve"> </w:t>
      </w:r>
      <w:r>
        <w:rPr>
          <w:lang w:eastAsia="en-AU"/>
        </w:rPr>
        <w:t xml:space="preserve">assessment of the young person using the HEADSS (headspace) assessment tool is part of this category of service. This is designed for any service provider within a headspace </w:t>
      </w:r>
      <w:r w:rsidR="00157BA4">
        <w:rPr>
          <w:lang w:eastAsia="en-AU"/>
        </w:rPr>
        <w:t>service</w:t>
      </w:r>
      <w:r>
        <w:rPr>
          <w:lang w:eastAsia="en-AU"/>
        </w:rPr>
        <w:t xml:space="preserve"> to be able to use, asking screening and assessment questions across 10 domains. The domains are:</w:t>
      </w:r>
    </w:p>
    <w:p w14:paraId="0AC478A8" w14:textId="76135468" w:rsidR="00845983" w:rsidRPr="0054238E" w:rsidRDefault="007C248E" w:rsidP="00845983">
      <w:pPr>
        <w:pStyle w:val="Bullet1stlevel"/>
      </w:pPr>
      <w:r>
        <w:t>h</w:t>
      </w:r>
      <w:r w:rsidR="00845983" w:rsidRPr="0054238E">
        <w:t xml:space="preserve">ome and </w:t>
      </w:r>
      <w:r>
        <w:t>e</w:t>
      </w:r>
      <w:r w:rsidR="00845983" w:rsidRPr="0054238E">
        <w:t>nvironment</w:t>
      </w:r>
      <w:r>
        <w:t>;</w:t>
      </w:r>
    </w:p>
    <w:p w14:paraId="2E55736A" w14:textId="55D5CD78" w:rsidR="00845983" w:rsidRPr="0054238E" w:rsidRDefault="007C248E" w:rsidP="00845983">
      <w:pPr>
        <w:pStyle w:val="Bullet1stlevel"/>
      </w:pPr>
      <w:r>
        <w:t>e</w:t>
      </w:r>
      <w:r w:rsidR="00845983" w:rsidRPr="0054238E">
        <w:t xml:space="preserve">ducation and </w:t>
      </w:r>
      <w:r>
        <w:t>e</w:t>
      </w:r>
      <w:r w:rsidR="00845983" w:rsidRPr="0054238E">
        <w:t>mployment</w:t>
      </w:r>
      <w:r>
        <w:t>;</w:t>
      </w:r>
    </w:p>
    <w:p w14:paraId="1F396DB2" w14:textId="7F7A192B" w:rsidR="00845983" w:rsidRPr="0054238E" w:rsidRDefault="007C248E" w:rsidP="00845983">
      <w:pPr>
        <w:pStyle w:val="Bullet1stlevel"/>
      </w:pPr>
      <w:r>
        <w:t>a</w:t>
      </w:r>
      <w:r w:rsidR="00845983" w:rsidRPr="0054238E">
        <w:t>ctivities</w:t>
      </w:r>
      <w:r>
        <w:t>;</w:t>
      </w:r>
      <w:r w:rsidR="00845983" w:rsidRPr="0054238E">
        <w:t xml:space="preserve"> </w:t>
      </w:r>
    </w:p>
    <w:p w14:paraId="79320460" w14:textId="64F1D14E" w:rsidR="00845983" w:rsidRPr="0054238E" w:rsidRDefault="007C248E" w:rsidP="00845983">
      <w:pPr>
        <w:pStyle w:val="Bullet1stlevel"/>
      </w:pPr>
      <w:r>
        <w:t>a</w:t>
      </w:r>
      <w:r w:rsidR="00845983" w:rsidRPr="0054238E">
        <w:t xml:space="preserve">lcohol and </w:t>
      </w:r>
      <w:r>
        <w:t>o</w:t>
      </w:r>
      <w:r w:rsidR="00845983" w:rsidRPr="0054238E">
        <w:t xml:space="preserve">ther </w:t>
      </w:r>
      <w:r>
        <w:t>d</w:t>
      </w:r>
      <w:r w:rsidR="00845983" w:rsidRPr="0054238E">
        <w:t>rugs</w:t>
      </w:r>
      <w:r>
        <w:t>;</w:t>
      </w:r>
    </w:p>
    <w:p w14:paraId="0EDED85B" w14:textId="4FA98AC3" w:rsidR="00845983" w:rsidRPr="0054238E" w:rsidRDefault="007C248E" w:rsidP="00845983">
      <w:pPr>
        <w:pStyle w:val="Bullet1stlevel"/>
      </w:pPr>
      <w:r>
        <w:t>r</w:t>
      </w:r>
      <w:r w:rsidR="00845983" w:rsidRPr="0054238E">
        <w:t xml:space="preserve">elationships and </w:t>
      </w:r>
      <w:r>
        <w:t>s</w:t>
      </w:r>
      <w:r w:rsidR="00845983" w:rsidRPr="0054238E">
        <w:t>exuality</w:t>
      </w:r>
      <w:r>
        <w:t>;</w:t>
      </w:r>
    </w:p>
    <w:p w14:paraId="161EC9BE" w14:textId="63CD57E2" w:rsidR="00845983" w:rsidRPr="0054238E" w:rsidRDefault="007C248E" w:rsidP="00845983">
      <w:pPr>
        <w:pStyle w:val="Bullet1stlevel"/>
      </w:pPr>
      <w:r>
        <w:t>c</w:t>
      </w:r>
      <w:r w:rsidR="00845983" w:rsidRPr="0054238E">
        <w:t xml:space="preserve">onduct difficulties and </w:t>
      </w:r>
      <w:r>
        <w:t>r</w:t>
      </w:r>
      <w:r w:rsidR="00845983" w:rsidRPr="0054238E">
        <w:t>isk-taking</w:t>
      </w:r>
      <w:r>
        <w:t>;</w:t>
      </w:r>
    </w:p>
    <w:p w14:paraId="362E37B8" w14:textId="57B1642C" w:rsidR="00845983" w:rsidRPr="0054238E" w:rsidRDefault="007C248E" w:rsidP="00845983">
      <w:pPr>
        <w:pStyle w:val="Bullet1stlevel"/>
      </w:pPr>
      <w:r>
        <w:t>a</w:t>
      </w:r>
      <w:r w:rsidR="00845983" w:rsidRPr="0054238E">
        <w:t>nxiety</w:t>
      </w:r>
      <w:r>
        <w:t>;</w:t>
      </w:r>
      <w:r w:rsidR="00845983" w:rsidRPr="0054238E">
        <w:t xml:space="preserve"> </w:t>
      </w:r>
    </w:p>
    <w:p w14:paraId="261C6271" w14:textId="4B5CDB7A" w:rsidR="00845983" w:rsidRPr="0054238E" w:rsidRDefault="007C248E" w:rsidP="00845983">
      <w:pPr>
        <w:pStyle w:val="Bullet1stlevel"/>
      </w:pPr>
      <w:r>
        <w:t>e</w:t>
      </w:r>
      <w:r w:rsidR="00845983" w:rsidRPr="0054238E">
        <w:t>ating</w:t>
      </w:r>
      <w:r>
        <w:t>;</w:t>
      </w:r>
      <w:r w:rsidR="00845983" w:rsidRPr="0054238E">
        <w:t xml:space="preserve"> </w:t>
      </w:r>
    </w:p>
    <w:p w14:paraId="29F93F4D" w14:textId="34A330F2" w:rsidR="00845983" w:rsidRPr="0054238E" w:rsidRDefault="007C248E" w:rsidP="00845983">
      <w:pPr>
        <w:pStyle w:val="Bullet1stlevelkeepwithnext"/>
      </w:pPr>
      <w:r>
        <w:t>d</w:t>
      </w:r>
      <w:r w:rsidR="00845983" w:rsidRPr="0054238E">
        <w:t xml:space="preserve">epression and </w:t>
      </w:r>
      <w:r>
        <w:t>s</w:t>
      </w:r>
      <w:r w:rsidR="00845983" w:rsidRPr="0054238E">
        <w:t>uicide</w:t>
      </w:r>
      <w:r>
        <w:t>; and</w:t>
      </w:r>
    </w:p>
    <w:p w14:paraId="59FE33EE" w14:textId="3FDCA008" w:rsidR="00845983" w:rsidRDefault="007C248E" w:rsidP="00845983">
      <w:pPr>
        <w:pStyle w:val="Bullet1stlevel"/>
      </w:pPr>
      <w:r>
        <w:t>p</w:t>
      </w:r>
      <w:r w:rsidR="00845983" w:rsidRPr="0054238E">
        <w:t xml:space="preserve">sychosis and </w:t>
      </w:r>
      <w:r w:rsidR="00060EC9">
        <w:t>m</w:t>
      </w:r>
      <w:r w:rsidR="00845983" w:rsidRPr="0054238E">
        <w:t>ania</w:t>
      </w:r>
      <w:r w:rsidR="00CC0438">
        <w:rPr>
          <w:rFonts w:ascii="ZWAdobeF" w:hAnsi="ZWAdobeF" w:cs="ZWAdobeF"/>
          <w:sz w:val="2"/>
          <w:szCs w:val="2"/>
        </w:rPr>
        <w:t>50F</w:t>
      </w:r>
      <w:r w:rsidR="00845983">
        <w:rPr>
          <w:rStyle w:val="FootnoteReference"/>
        </w:rPr>
        <w:footnoteReference w:id="52"/>
      </w:r>
      <w:r w:rsidR="00845983">
        <w:rPr>
          <w:lang w:eastAsia="en-AU"/>
        </w:rPr>
        <w:t>.</w:t>
      </w:r>
    </w:p>
    <w:p w14:paraId="081B0BD4" w14:textId="0DF41DFD" w:rsidR="00845983" w:rsidRDefault="00845983" w:rsidP="00845983">
      <w:pPr>
        <w:pStyle w:val="BodyText"/>
      </w:pPr>
      <w:r>
        <w:rPr>
          <w:lang w:eastAsia="en-AU"/>
        </w:rPr>
        <w:t>Other services provided in this category include review or outcome-based assessments, or assessments using other tools at intake</w:t>
      </w:r>
      <w:r w:rsidR="00CC0438">
        <w:rPr>
          <w:rFonts w:ascii="ZWAdobeF" w:hAnsi="ZWAdobeF" w:cs="ZWAdobeF"/>
          <w:sz w:val="2"/>
          <w:szCs w:val="2"/>
          <w:lang w:eastAsia="en-AU"/>
        </w:rPr>
        <w:t>51F</w:t>
      </w:r>
      <w:r>
        <w:rPr>
          <w:rStyle w:val="FootnoteReference"/>
          <w:lang w:eastAsia="en-AU"/>
        </w:rPr>
        <w:footnoteReference w:id="53"/>
      </w:r>
      <w:r>
        <w:rPr>
          <w:lang w:eastAsia="en-AU"/>
        </w:rPr>
        <w:t>.</w:t>
      </w:r>
    </w:p>
    <w:p w14:paraId="10A179BE" w14:textId="77777777" w:rsidR="00845983" w:rsidRDefault="00845983" w:rsidP="00845983">
      <w:pPr>
        <w:pStyle w:val="Heading4"/>
      </w:pPr>
      <w:r>
        <w:t>Mental health – medical intervention</w:t>
      </w:r>
    </w:p>
    <w:p w14:paraId="1DC82A91" w14:textId="692F2689" w:rsidR="00845983" w:rsidRDefault="00845983" w:rsidP="00845983">
      <w:pPr>
        <w:pStyle w:val="BodyText"/>
        <w:rPr>
          <w:lang w:eastAsia="en-AU"/>
        </w:rPr>
      </w:pPr>
      <w:r>
        <w:rPr>
          <w:lang w:eastAsia="en-AU"/>
        </w:rPr>
        <w:t>This includes support provided by GPs, psychiatrists and mental health nurses, and includes activities such as the development of a mental health treatment plan, medication related screening, monitoring or advice, and metabolic screening or monitoring. It includes specific care provided by psychiatrists, and referrals to specialists</w:t>
      </w:r>
      <w:r w:rsidR="00CC0438">
        <w:rPr>
          <w:rFonts w:ascii="ZWAdobeF" w:hAnsi="ZWAdobeF" w:cs="ZWAdobeF"/>
          <w:sz w:val="2"/>
          <w:szCs w:val="2"/>
          <w:lang w:eastAsia="en-AU"/>
        </w:rPr>
        <w:t>52F</w:t>
      </w:r>
      <w:r>
        <w:rPr>
          <w:rStyle w:val="FootnoteReference"/>
          <w:lang w:eastAsia="en-AU"/>
        </w:rPr>
        <w:footnoteReference w:id="54"/>
      </w:r>
      <w:r>
        <w:rPr>
          <w:lang w:eastAsia="en-AU"/>
        </w:rPr>
        <w:t>.</w:t>
      </w:r>
    </w:p>
    <w:p w14:paraId="2315CD87" w14:textId="77777777" w:rsidR="00845983" w:rsidRPr="000B5F10" w:rsidRDefault="00845983" w:rsidP="00845983">
      <w:pPr>
        <w:pStyle w:val="Heading4"/>
      </w:pPr>
      <w:r>
        <w:t>Mental Health – psychological intervention</w:t>
      </w:r>
    </w:p>
    <w:p w14:paraId="167A6726" w14:textId="77777777" w:rsidR="00845983" w:rsidRDefault="00845983" w:rsidP="003006A8">
      <w:pPr>
        <w:pStyle w:val="BodyText"/>
      </w:pPr>
      <w:r>
        <w:t>There are a wide range of services and supports provided in this category, including:</w:t>
      </w:r>
    </w:p>
    <w:p w14:paraId="70D3CBA2" w14:textId="566A042C" w:rsidR="00845983" w:rsidRDefault="00845983" w:rsidP="00845983">
      <w:pPr>
        <w:pStyle w:val="Bullet1stlevel"/>
        <w:rPr>
          <w:lang w:eastAsia="en-AU"/>
        </w:rPr>
      </w:pPr>
      <w:r>
        <w:rPr>
          <w:lang w:eastAsia="en-AU"/>
        </w:rPr>
        <w:t>Cognitive Behavioural Therapy</w:t>
      </w:r>
      <w:r w:rsidR="007D35F1">
        <w:rPr>
          <w:lang w:eastAsia="en-AU"/>
        </w:rPr>
        <w:t>;</w:t>
      </w:r>
    </w:p>
    <w:p w14:paraId="0837F3DA" w14:textId="10D260C0" w:rsidR="00845983" w:rsidRDefault="00845983" w:rsidP="00845983">
      <w:pPr>
        <w:pStyle w:val="Bullet1stlevel"/>
        <w:rPr>
          <w:lang w:eastAsia="en-AU"/>
        </w:rPr>
      </w:pPr>
      <w:r>
        <w:rPr>
          <w:lang w:eastAsia="en-AU"/>
        </w:rPr>
        <w:t>Cognitive interventions (e.g</w:t>
      </w:r>
      <w:r w:rsidR="00B24A04">
        <w:rPr>
          <w:lang w:eastAsia="en-AU"/>
        </w:rPr>
        <w:t>.,</w:t>
      </w:r>
      <w:r>
        <w:rPr>
          <w:lang w:eastAsia="en-AU"/>
        </w:rPr>
        <w:t xml:space="preserve"> Cognitive Analytic Therapy)</w:t>
      </w:r>
      <w:r w:rsidR="007D35F1">
        <w:rPr>
          <w:lang w:eastAsia="en-AU"/>
        </w:rPr>
        <w:t>;</w:t>
      </w:r>
    </w:p>
    <w:p w14:paraId="6592982F" w14:textId="6E813DD4" w:rsidR="00845983" w:rsidRDefault="00845983" w:rsidP="00845983">
      <w:pPr>
        <w:pStyle w:val="Bullet1stlevel"/>
        <w:rPr>
          <w:lang w:eastAsia="en-AU"/>
        </w:rPr>
      </w:pPr>
      <w:r>
        <w:rPr>
          <w:lang w:eastAsia="en-AU"/>
        </w:rPr>
        <w:t>Interpersonal Therapy</w:t>
      </w:r>
      <w:r w:rsidR="007D35F1">
        <w:rPr>
          <w:lang w:eastAsia="en-AU"/>
        </w:rPr>
        <w:t>;</w:t>
      </w:r>
    </w:p>
    <w:p w14:paraId="43E5206F" w14:textId="6F2DF196" w:rsidR="00845983" w:rsidRDefault="00845983" w:rsidP="00845983">
      <w:pPr>
        <w:pStyle w:val="Bullet1stlevel"/>
        <w:rPr>
          <w:lang w:eastAsia="en-AU"/>
        </w:rPr>
      </w:pPr>
      <w:r>
        <w:rPr>
          <w:lang w:eastAsia="en-AU"/>
        </w:rPr>
        <w:t>Acceptance and Commitment Therapy</w:t>
      </w:r>
      <w:r w:rsidR="007D35F1">
        <w:rPr>
          <w:lang w:eastAsia="en-AU"/>
        </w:rPr>
        <w:t>;</w:t>
      </w:r>
    </w:p>
    <w:p w14:paraId="481A289A" w14:textId="509A0632" w:rsidR="00845983" w:rsidRDefault="00845983" w:rsidP="00845983">
      <w:pPr>
        <w:pStyle w:val="Bullet1stlevel"/>
        <w:rPr>
          <w:lang w:eastAsia="en-AU"/>
        </w:rPr>
      </w:pPr>
      <w:r>
        <w:rPr>
          <w:lang w:eastAsia="en-AU"/>
        </w:rPr>
        <w:t>Dialectical Behaviour</w:t>
      </w:r>
      <w:r w:rsidDel="0089263A">
        <w:rPr>
          <w:lang w:eastAsia="en-AU"/>
        </w:rPr>
        <w:t xml:space="preserve"> </w:t>
      </w:r>
      <w:r>
        <w:rPr>
          <w:lang w:eastAsia="en-AU"/>
        </w:rPr>
        <w:t>Informed Therapy</w:t>
      </w:r>
      <w:r w:rsidR="007D35F1">
        <w:rPr>
          <w:lang w:eastAsia="en-AU"/>
        </w:rPr>
        <w:t>;</w:t>
      </w:r>
    </w:p>
    <w:p w14:paraId="2E947377" w14:textId="7015053E" w:rsidR="00845983" w:rsidRDefault="00086362" w:rsidP="00845983">
      <w:pPr>
        <w:pStyle w:val="Bullet1stlevel"/>
        <w:rPr>
          <w:lang w:eastAsia="en-AU"/>
        </w:rPr>
      </w:pPr>
      <w:r>
        <w:rPr>
          <w:lang w:eastAsia="en-AU"/>
        </w:rPr>
        <w:t>p</w:t>
      </w:r>
      <w:r w:rsidR="00845983">
        <w:rPr>
          <w:lang w:eastAsia="en-AU"/>
        </w:rPr>
        <w:t>sycho-education</w:t>
      </w:r>
      <w:r w:rsidR="007D35F1">
        <w:rPr>
          <w:lang w:eastAsia="en-AU"/>
        </w:rPr>
        <w:t>;</w:t>
      </w:r>
    </w:p>
    <w:p w14:paraId="101E55B4" w14:textId="546E45D2" w:rsidR="00845983" w:rsidRDefault="00086362" w:rsidP="00845983">
      <w:pPr>
        <w:pStyle w:val="Bullet1stlevel"/>
        <w:rPr>
          <w:lang w:eastAsia="en-AU"/>
        </w:rPr>
      </w:pPr>
      <w:r>
        <w:rPr>
          <w:lang w:eastAsia="en-AU"/>
        </w:rPr>
        <w:t>l</w:t>
      </w:r>
      <w:r w:rsidR="00845983">
        <w:rPr>
          <w:lang w:eastAsia="en-AU"/>
        </w:rPr>
        <w:t>ifestyle factors (e.g</w:t>
      </w:r>
      <w:r w:rsidR="00B24A04">
        <w:rPr>
          <w:lang w:eastAsia="en-AU"/>
        </w:rPr>
        <w:t>.,</w:t>
      </w:r>
      <w:r w:rsidR="00845983">
        <w:rPr>
          <w:lang w:eastAsia="en-AU"/>
        </w:rPr>
        <w:t xml:space="preserve"> Sleep, dietary or exercise advice)</w:t>
      </w:r>
      <w:r w:rsidR="0092177E">
        <w:rPr>
          <w:lang w:eastAsia="en-AU"/>
        </w:rPr>
        <w:t>;</w:t>
      </w:r>
    </w:p>
    <w:p w14:paraId="76CA9A14" w14:textId="47D80B07" w:rsidR="00845983" w:rsidRDefault="00290321" w:rsidP="00845983">
      <w:pPr>
        <w:pStyle w:val="Bullet1stlevel"/>
        <w:rPr>
          <w:lang w:eastAsia="en-AU"/>
        </w:rPr>
      </w:pPr>
      <w:r>
        <w:rPr>
          <w:lang w:eastAsia="en-AU"/>
        </w:rPr>
        <w:t>s</w:t>
      </w:r>
      <w:r w:rsidR="00845983">
        <w:rPr>
          <w:lang w:eastAsia="en-AU"/>
        </w:rPr>
        <w:t>kills training (social and communication skills, anger management)</w:t>
      </w:r>
    </w:p>
    <w:p w14:paraId="5585DA3D" w14:textId="462BF32B" w:rsidR="00845983" w:rsidRDefault="00290321" w:rsidP="00F2379B">
      <w:pPr>
        <w:pStyle w:val="Bullet1stlevel"/>
        <w:rPr>
          <w:lang w:eastAsia="en-AU"/>
        </w:rPr>
      </w:pPr>
      <w:r>
        <w:rPr>
          <w:lang w:eastAsia="en-AU"/>
        </w:rPr>
        <w:t>b</w:t>
      </w:r>
      <w:r w:rsidR="00845983">
        <w:rPr>
          <w:lang w:eastAsia="en-AU"/>
        </w:rPr>
        <w:t>ehavioural interventions (including general counselling, crisis intervention and mindfulness and relaxation strategies, among others)</w:t>
      </w:r>
      <w:r w:rsidR="00822437">
        <w:rPr>
          <w:lang w:eastAsia="en-AU"/>
        </w:rPr>
        <w:t>;</w:t>
      </w:r>
      <w:r w:rsidR="002D722A">
        <w:rPr>
          <w:lang w:eastAsia="en-AU"/>
        </w:rPr>
        <w:t xml:space="preserve"> and</w:t>
      </w:r>
    </w:p>
    <w:p w14:paraId="0B12426F" w14:textId="50E63561" w:rsidR="00845983" w:rsidRDefault="00845983" w:rsidP="00845983">
      <w:pPr>
        <w:pStyle w:val="Bullet1stlevel"/>
        <w:rPr>
          <w:lang w:eastAsia="en-AU"/>
        </w:rPr>
      </w:pPr>
      <w:r w:rsidRPr="004E52A2">
        <w:rPr>
          <w:lang w:eastAsia="en-AU"/>
        </w:rPr>
        <w:t>Psychodynamic Therapy</w:t>
      </w:r>
      <w:r w:rsidR="00CC0438">
        <w:rPr>
          <w:rFonts w:ascii="ZWAdobeF" w:hAnsi="ZWAdobeF" w:cs="ZWAdobeF"/>
          <w:sz w:val="2"/>
          <w:szCs w:val="2"/>
          <w:lang w:eastAsia="en-AU"/>
        </w:rPr>
        <w:t>53F</w:t>
      </w:r>
      <w:r>
        <w:rPr>
          <w:rStyle w:val="FootnoteReference"/>
          <w:lang w:eastAsia="en-AU"/>
        </w:rPr>
        <w:footnoteReference w:id="55"/>
      </w:r>
      <w:r>
        <w:rPr>
          <w:lang w:eastAsia="en-AU"/>
        </w:rPr>
        <w:t>.</w:t>
      </w:r>
    </w:p>
    <w:p w14:paraId="568B61DB" w14:textId="77777777" w:rsidR="00845983" w:rsidRDefault="00845983" w:rsidP="00845983">
      <w:pPr>
        <w:pStyle w:val="Heading4"/>
      </w:pPr>
      <w:r>
        <w:t>Physical health</w:t>
      </w:r>
    </w:p>
    <w:p w14:paraId="3C35FDFA" w14:textId="77777777" w:rsidR="00845983" w:rsidRDefault="00845983" w:rsidP="003006A8">
      <w:pPr>
        <w:pStyle w:val="BodyText"/>
      </w:pPr>
      <w:r>
        <w:t>GPs, psychiatrists and nurses provide the following service categories through headspace services, along with other physical health services as required:</w:t>
      </w:r>
    </w:p>
    <w:p w14:paraId="7E5D3D7A" w14:textId="3907E1DC" w:rsidR="00845983" w:rsidRDefault="006E1AEC" w:rsidP="00845983">
      <w:pPr>
        <w:pStyle w:val="Bullet1stlevel"/>
        <w:rPr>
          <w:lang w:eastAsia="en-AU"/>
        </w:rPr>
      </w:pPr>
      <w:r>
        <w:rPr>
          <w:lang w:eastAsia="en-AU"/>
        </w:rPr>
        <w:t>v</w:t>
      </w:r>
      <w:r w:rsidR="00845983">
        <w:rPr>
          <w:lang w:eastAsia="en-AU"/>
        </w:rPr>
        <w:t>accination</w:t>
      </w:r>
      <w:r w:rsidR="002D722A">
        <w:rPr>
          <w:lang w:eastAsia="en-AU"/>
        </w:rPr>
        <w:t>;</w:t>
      </w:r>
    </w:p>
    <w:p w14:paraId="5A0C7378" w14:textId="5A4D3E10" w:rsidR="00845983" w:rsidRDefault="00845983" w:rsidP="00845983">
      <w:pPr>
        <w:pStyle w:val="Bullet1stlevel"/>
        <w:rPr>
          <w:lang w:eastAsia="en-AU"/>
        </w:rPr>
      </w:pPr>
      <w:r>
        <w:rPr>
          <w:lang w:eastAsia="en-AU"/>
        </w:rPr>
        <w:t>acute physical illness</w:t>
      </w:r>
      <w:r w:rsidR="002D722A">
        <w:rPr>
          <w:lang w:eastAsia="en-AU"/>
        </w:rPr>
        <w:t>;</w:t>
      </w:r>
    </w:p>
    <w:p w14:paraId="2AB6B011" w14:textId="3BF5423B" w:rsidR="00845983" w:rsidRDefault="00845983" w:rsidP="00845983">
      <w:pPr>
        <w:pStyle w:val="Bullet1stlevel"/>
        <w:rPr>
          <w:lang w:eastAsia="en-AU"/>
        </w:rPr>
      </w:pPr>
      <w:r>
        <w:rPr>
          <w:lang w:eastAsia="en-AU"/>
        </w:rPr>
        <w:t>chronic physical illness</w:t>
      </w:r>
      <w:r w:rsidR="002D722A">
        <w:rPr>
          <w:lang w:eastAsia="en-AU"/>
        </w:rPr>
        <w:t>; and</w:t>
      </w:r>
    </w:p>
    <w:p w14:paraId="3D8D3E1D" w14:textId="2A9A9B63" w:rsidR="00845983" w:rsidRDefault="00845983" w:rsidP="00845983">
      <w:pPr>
        <w:pStyle w:val="Bullet1stlevel"/>
        <w:rPr>
          <w:lang w:eastAsia="en-AU"/>
        </w:rPr>
      </w:pPr>
      <w:r>
        <w:rPr>
          <w:lang w:eastAsia="en-AU"/>
        </w:rPr>
        <w:t>injury</w:t>
      </w:r>
      <w:r w:rsidR="00CC0438">
        <w:rPr>
          <w:rFonts w:ascii="ZWAdobeF" w:hAnsi="ZWAdobeF" w:cs="ZWAdobeF"/>
          <w:sz w:val="2"/>
          <w:szCs w:val="2"/>
          <w:lang w:eastAsia="en-AU"/>
        </w:rPr>
        <w:t>54F</w:t>
      </w:r>
      <w:r>
        <w:rPr>
          <w:rStyle w:val="FootnoteReference"/>
          <w:lang w:eastAsia="en-AU"/>
        </w:rPr>
        <w:footnoteReference w:id="56"/>
      </w:r>
      <w:r>
        <w:rPr>
          <w:lang w:eastAsia="en-AU"/>
        </w:rPr>
        <w:t>.</w:t>
      </w:r>
    </w:p>
    <w:p w14:paraId="6E94B261" w14:textId="77777777" w:rsidR="00845983" w:rsidRDefault="00845983" w:rsidP="00845983">
      <w:pPr>
        <w:pStyle w:val="Heading4"/>
      </w:pPr>
      <w:r>
        <w:t>Sexual health</w:t>
      </w:r>
    </w:p>
    <w:p w14:paraId="598C16E4" w14:textId="77777777" w:rsidR="00845983" w:rsidRDefault="00845983" w:rsidP="003006A8">
      <w:pPr>
        <w:pStyle w:val="BodyText"/>
      </w:pPr>
      <w:r>
        <w:t>Within this category of services, GPs and nurses assist with:</w:t>
      </w:r>
    </w:p>
    <w:p w14:paraId="6E571925" w14:textId="3A518413" w:rsidR="00845983" w:rsidRDefault="00845983" w:rsidP="00845983">
      <w:pPr>
        <w:pStyle w:val="Bullet1stlevel"/>
        <w:rPr>
          <w:lang w:eastAsia="en-AU"/>
        </w:rPr>
      </w:pPr>
      <w:r>
        <w:rPr>
          <w:lang w:eastAsia="en-AU"/>
        </w:rPr>
        <w:t>sexual health testing</w:t>
      </w:r>
      <w:r w:rsidR="00120302">
        <w:rPr>
          <w:lang w:eastAsia="en-AU"/>
        </w:rPr>
        <w:t>;</w:t>
      </w:r>
    </w:p>
    <w:p w14:paraId="1E6C84FF" w14:textId="68040E71" w:rsidR="00845983" w:rsidRDefault="00845983" w:rsidP="00845983">
      <w:pPr>
        <w:pStyle w:val="Bullet1stlevel"/>
        <w:rPr>
          <w:lang w:eastAsia="en-AU"/>
        </w:rPr>
      </w:pPr>
      <w:r>
        <w:rPr>
          <w:lang w:eastAsia="en-AU"/>
        </w:rPr>
        <w:t>contraception</w:t>
      </w:r>
      <w:r w:rsidR="00120302">
        <w:rPr>
          <w:lang w:eastAsia="en-AU"/>
        </w:rPr>
        <w:t>;</w:t>
      </w:r>
    </w:p>
    <w:p w14:paraId="4436FB7C" w14:textId="4E0A2BD7" w:rsidR="00845983" w:rsidRDefault="00845983" w:rsidP="00845983">
      <w:pPr>
        <w:pStyle w:val="Bullet1stlevel"/>
        <w:rPr>
          <w:lang w:eastAsia="en-AU"/>
        </w:rPr>
      </w:pPr>
      <w:r>
        <w:rPr>
          <w:lang w:eastAsia="en-AU"/>
        </w:rPr>
        <w:t>counselling and advice</w:t>
      </w:r>
      <w:r w:rsidR="00120302">
        <w:rPr>
          <w:lang w:eastAsia="en-AU"/>
        </w:rPr>
        <w:t>;</w:t>
      </w:r>
    </w:p>
    <w:p w14:paraId="0C5A9D84" w14:textId="31D320C1" w:rsidR="00845983" w:rsidRDefault="00845983" w:rsidP="00845983">
      <w:pPr>
        <w:pStyle w:val="Bullet1stlevel"/>
        <w:rPr>
          <w:lang w:eastAsia="en-AU"/>
        </w:rPr>
      </w:pPr>
      <w:r>
        <w:rPr>
          <w:lang w:eastAsia="en-AU"/>
        </w:rPr>
        <w:t>pregnancy management</w:t>
      </w:r>
      <w:r w:rsidR="00120302">
        <w:rPr>
          <w:lang w:eastAsia="en-AU"/>
        </w:rPr>
        <w:t>;</w:t>
      </w:r>
    </w:p>
    <w:p w14:paraId="0B597FC9" w14:textId="4C375C64" w:rsidR="00845983" w:rsidRDefault="00845983" w:rsidP="00845983">
      <w:pPr>
        <w:pStyle w:val="Bullet1stlevel"/>
        <w:rPr>
          <w:lang w:eastAsia="en-AU"/>
        </w:rPr>
      </w:pPr>
      <w:r>
        <w:rPr>
          <w:lang w:eastAsia="en-AU"/>
        </w:rPr>
        <w:t>gynaecological symptoms</w:t>
      </w:r>
      <w:r w:rsidR="00120302">
        <w:rPr>
          <w:lang w:eastAsia="en-AU"/>
        </w:rPr>
        <w:t>;</w:t>
      </w:r>
    </w:p>
    <w:p w14:paraId="038809A8" w14:textId="1450FEED" w:rsidR="00845983" w:rsidRDefault="00845983" w:rsidP="00F2379B">
      <w:pPr>
        <w:pStyle w:val="Bullet1stlevel"/>
        <w:rPr>
          <w:lang w:eastAsia="en-AU"/>
        </w:rPr>
      </w:pPr>
      <w:r>
        <w:rPr>
          <w:lang w:eastAsia="en-AU"/>
        </w:rPr>
        <w:t>pap smear</w:t>
      </w:r>
      <w:r w:rsidR="00120302">
        <w:rPr>
          <w:lang w:eastAsia="en-AU"/>
        </w:rPr>
        <w:t>; and</w:t>
      </w:r>
    </w:p>
    <w:p w14:paraId="14E71806" w14:textId="0847F3F1" w:rsidR="00845983" w:rsidRDefault="00845983" w:rsidP="00845983">
      <w:pPr>
        <w:pStyle w:val="Bullet1stlevel"/>
        <w:rPr>
          <w:lang w:eastAsia="en-AU"/>
        </w:rPr>
      </w:pPr>
      <w:r>
        <w:rPr>
          <w:lang w:eastAsia="en-AU"/>
        </w:rPr>
        <w:t>other sexual health services</w:t>
      </w:r>
      <w:r w:rsidR="00CC0438">
        <w:rPr>
          <w:rFonts w:ascii="ZWAdobeF" w:hAnsi="ZWAdobeF" w:cs="ZWAdobeF"/>
          <w:sz w:val="2"/>
          <w:szCs w:val="2"/>
          <w:lang w:eastAsia="en-AU"/>
        </w:rPr>
        <w:t>55F</w:t>
      </w:r>
      <w:r>
        <w:rPr>
          <w:rStyle w:val="FootnoteReference"/>
          <w:lang w:eastAsia="en-AU"/>
        </w:rPr>
        <w:footnoteReference w:id="57"/>
      </w:r>
      <w:r w:rsidR="00422B17">
        <w:rPr>
          <w:lang w:eastAsia="en-AU"/>
        </w:rPr>
        <w:t>.</w:t>
      </w:r>
    </w:p>
    <w:p w14:paraId="0091552E" w14:textId="77777777" w:rsidR="00845983" w:rsidRDefault="00845983" w:rsidP="00845983">
      <w:pPr>
        <w:pStyle w:val="Heading4"/>
      </w:pPr>
      <w:r>
        <w:t>Vocational</w:t>
      </w:r>
    </w:p>
    <w:p w14:paraId="627D859F" w14:textId="6548F3E2" w:rsidR="00845983" w:rsidRDefault="00845983" w:rsidP="00845983">
      <w:pPr>
        <w:pStyle w:val="BodyText"/>
        <w:rPr>
          <w:lang w:eastAsia="en-AU"/>
        </w:rPr>
      </w:pPr>
      <w:r>
        <w:rPr>
          <w:lang w:eastAsia="en-AU"/>
        </w:rPr>
        <w:t>Vocational services are provided within headspace services by specialised workers, who work with the young person to provide assistance with work and study</w:t>
      </w:r>
      <w:r w:rsidR="00E0591E">
        <w:rPr>
          <w:lang w:eastAsia="en-AU"/>
        </w:rPr>
        <w:t xml:space="preserve"> in an effort</w:t>
      </w:r>
      <w:r w:rsidR="00875D82">
        <w:rPr>
          <w:lang w:eastAsia="en-AU"/>
        </w:rPr>
        <w:t xml:space="preserve"> to keep </w:t>
      </w:r>
      <w:r w:rsidR="00C9430D">
        <w:rPr>
          <w:lang w:eastAsia="en-AU"/>
        </w:rPr>
        <w:t xml:space="preserve">them </w:t>
      </w:r>
      <w:r w:rsidR="00875D82">
        <w:rPr>
          <w:lang w:eastAsia="en-AU"/>
        </w:rPr>
        <w:t>actively en</w:t>
      </w:r>
      <w:r w:rsidR="006824E8">
        <w:rPr>
          <w:lang w:eastAsia="en-AU"/>
        </w:rPr>
        <w:t>gaged in meaningful activity</w:t>
      </w:r>
      <w:r>
        <w:rPr>
          <w:lang w:eastAsia="en-AU"/>
        </w:rPr>
        <w:t xml:space="preserve">. Other providers within the </w:t>
      </w:r>
      <w:r w:rsidR="003F45C6">
        <w:rPr>
          <w:lang w:eastAsia="en-AU"/>
        </w:rPr>
        <w:t>headspace service</w:t>
      </w:r>
      <w:r>
        <w:rPr>
          <w:lang w:eastAsia="en-AU"/>
        </w:rPr>
        <w:t xml:space="preserve"> may also provide services or supports within this category as part of their engagement with the young person.</w:t>
      </w:r>
    </w:p>
    <w:p w14:paraId="047C22A5" w14:textId="77777777" w:rsidR="00845983" w:rsidRDefault="00845983" w:rsidP="00845983">
      <w:pPr>
        <w:pStyle w:val="Heading4"/>
      </w:pPr>
      <w:r>
        <w:t>Alcohol and/or drug specific intervention</w:t>
      </w:r>
    </w:p>
    <w:p w14:paraId="2949D8E1" w14:textId="3D9B8C21" w:rsidR="00845983" w:rsidRDefault="00845983" w:rsidP="003006A8">
      <w:pPr>
        <w:pStyle w:val="BodyText"/>
      </w:pPr>
      <w:r>
        <w:t xml:space="preserve">Services in this category can be provided by specialist Alcohol or other </w:t>
      </w:r>
      <w:r w:rsidR="00080644">
        <w:t>d</w:t>
      </w:r>
      <w:r>
        <w:t xml:space="preserve">rug (AOD) workers, or by other providers within the </w:t>
      </w:r>
      <w:r w:rsidR="001015E8">
        <w:t>service</w:t>
      </w:r>
      <w:r>
        <w:t>. The services include:</w:t>
      </w:r>
    </w:p>
    <w:p w14:paraId="1111E76A" w14:textId="04E9EACE" w:rsidR="00845983" w:rsidRPr="001E5A01" w:rsidRDefault="008C5373" w:rsidP="00845983">
      <w:pPr>
        <w:pStyle w:val="Bullet1stlevel"/>
      </w:pPr>
      <w:r>
        <w:t>m</w:t>
      </w:r>
      <w:r w:rsidR="00845983" w:rsidRPr="001E5A01">
        <w:t xml:space="preserve">otivational </w:t>
      </w:r>
      <w:r>
        <w:t>i</w:t>
      </w:r>
      <w:r w:rsidR="00845983" w:rsidRPr="001E5A01">
        <w:t>nterviewing</w:t>
      </w:r>
      <w:r>
        <w:t xml:space="preserve"> or e</w:t>
      </w:r>
      <w:r w:rsidR="00845983" w:rsidRPr="001E5A01">
        <w:t>nhancement</w:t>
      </w:r>
      <w:r>
        <w:t>;</w:t>
      </w:r>
    </w:p>
    <w:p w14:paraId="76E77F68" w14:textId="1CE19B95" w:rsidR="00845983" w:rsidRPr="001E5A01" w:rsidRDefault="008C5373" w:rsidP="00845983">
      <w:pPr>
        <w:pStyle w:val="Bullet1stlevel"/>
      </w:pPr>
      <w:r>
        <w:t>p</w:t>
      </w:r>
      <w:r w:rsidR="00845983" w:rsidRPr="001E5A01">
        <w:t>sycho-education (including harm minimisation)</w:t>
      </w:r>
      <w:r>
        <w:t>; and</w:t>
      </w:r>
    </w:p>
    <w:p w14:paraId="2A0FB7F0" w14:textId="604E04D4" w:rsidR="00845983" w:rsidRPr="001E5A01" w:rsidRDefault="00845983" w:rsidP="00845983">
      <w:pPr>
        <w:pStyle w:val="Bullet1stlevel"/>
      </w:pPr>
      <w:r w:rsidRPr="001E5A01">
        <w:t>Cognitive Behavioural Therapy</w:t>
      </w:r>
      <w:r>
        <w:t>.</w:t>
      </w:r>
    </w:p>
    <w:p w14:paraId="38102F1B" w14:textId="77777777" w:rsidR="00845983" w:rsidRDefault="00845983" w:rsidP="00845983">
      <w:pPr>
        <w:pStyle w:val="Heading4"/>
      </w:pPr>
      <w:r>
        <w:t>General assistance</w:t>
      </w:r>
    </w:p>
    <w:p w14:paraId="5FEBEC22" w14:textId="2C1C2ECE" w:rsidR="00845983" w:rsidRDefault="00845983" w:rsidP="00845983">
      <w:pPr>
        <w:pStyle w:val="BodyText"/>
        <w:rPr>
          <w:lang w:eastAsia="en-AU"/>
        </w:rPr>
      </w:pPr>
      <w:r>
        <w:rPr>
          <w:lang w:eastAsia="en-AU"/>
        </w:rPr>
        <w:t xml:space="preserve">The final component of services provided directly to young people at headspace covers the work </w:t>
      </w:r>
      <w:r w:rsidR="00422B17">
        <w:rPr>
          <w:lang w:eastAsia="en-AU"/>
        </w:rPr>
        <w:t xml:space="preserve">undertaken </w:t>
      </w:r>
      <w:r>
        <w:rPr>
          <w:lang w:eastAsia="en-AU"/>
        </w:rPr>
        <w:t xml:space="preserve">to support the young person through case management or care coordination. This is an important stream of work to ensure seamless transition between services and that the holistic needs of the young person are met, both within and beyond the headspace </w:t>
      </w:r>
      <w:r w:rsidR="003F45C6">
        <w:rPr>
          <w:lang w:eastAsia="en-AU"/>
        </w:rPr>
        <w:t>service</w:t>
      </w:r>
      <w:r>
        <w:rPr>
          <w:lang w:eastAsia="en-AU"/>
        </w:rPr>
        <w:t>.</w:t>
      </w:r>
    </w:p>
    <w:p w14:paraId="78CEBF92" w14:textId="77777777" w:rsidR="00845983" w:rsidRDefault="00845983" w:rsidP="00845983">
      <w:pPr>
        <w:pStyle w:val="Heading4"/>
      </w:pPr>
      <w:r>
        <w:t>Service modality</w:t>
      </w:r>
    </w:p>
    <w:p w14:paraId="2E984178" w14:textId="64124014" w:rsidR="00845983" w:rsidRDefault="00845983" w:rsidP="00845983">
      <w:pPr>
        <w:pStyle w:val="BodyText"/>
        <w:rPr>
          <w:lang w:eastAsia="en-AU"/>
        </w:rPr>
      </w:pPr>
      <w:r>
        <w:rPr>
          <w:lang w:eastAsia="en-AU"/>
        </w:rPr>
        <w:t>The various supports offered at headspace services can be provided in one</w:t>
      </w:r>
      <w:r w:rsidR="00422B17">
        <w:rPr>
          <w:lang w:eastAsia="en-AU"/>
        </w:rPr>
        <w:noBreakHyphen/>
      </w:r>
      <w:r>
        <w:rPr>
          <w:lang w:eastAsia="en-AU"/>
        </w:rPr>
        <w:t>on-one individual settings, in groups, with family or carers of the young person or in small group sessions with young people with similar needs or interests in skills development. Some services can also be conducted over the telephone or in online video settings, particularly for screening and check-in contact.</w:t>
      </w:r>
      <w:r w:rsidR="00E154F3">
        <w:rPr>
          <w:lang w:eastAsia="en-AU"/>
        </w:rPr>
        <w:t xml:space="preserve"> The majority of services are delivered face-to-face</w:t>
      </w:r>
      <w:r w:rsidR="00C21D9C">
        <w:rPr>
          <w:lang w:eastAsia="en-AU"/>
        </w:rPr>
        <w:t xml:space="preserve"> </w:t>
      </w:r>
      <w:r w:rsidR="0055680D">
        <w:rPr>
          <w:lang w:eastAsia="en-AU"/>
        </w:rPr>
        <w:t xml:space="preserve">through headspace services, with the exception of the period following the COVID-19 outbreak, which saw a significant shift to </w:t>
      </w:r>
      <w:r w:rsidR="009709A3">
        <w:rPr>
          <w:lang w:eastAsia="en-AU"/>
        </w:rPr>
        <w:t>online and telephone-based</w:t>
      </w:r>
      <w:r w:rsidR="0055680D">
        <w:rPr>
          <w:lang w:eastAsia="en-AU"/>
        </w:rPr>
        <w:t xml:space="preserve"> services</w:t>
      </w:r>
      <w:r w:rsidR="00A643E1">
        <w:rPr>
          <w:lang w:eastAsia="en-AU"/>
        </w:rPr>
        <w:t>. This is discussed f</w:t>
      </w:r>
      <w:r w:rsidR="00F63478">
        <w:rPr>
          <w:lang w:eastAsia="en-AU"/>
        </w:rPr>
        <w:t xml:space="preserve">urther in Section </w:t>
      </w:r>
      <w:r w:rsidR="00F63478">
        <w:rPr>
          <w:lang w:eastAsia="en-AU"/>
        </w:rPr>
        <w:fldChar w:fldCharType="begin" w:fldLock="1"/>
      </w:r>
      <w:r w:rsidR="00F63478">
        <w:rPr>
          <w:lang w:eastAsia="en-AU"/>
        </w:rPr>
        <w:instrText xml:space="preserve"> REF _Ref102306041 \r \h </w:instrText>
      </w:r>
      <w:r w:rsidR="00F63478">
        <w:rPr>
          <w:lang w:eastAsia="en-AU"/>
        </w:rPr>
      </w:r>
      <w:r w:rsidR="00F63478">
        <w:rPr>
          <w:lang w:eastAsia="en-AU"/>
        </w:rPr>
        <w:fldChar w:fldCharType="separate"/>
      </w:r>
      <w:r w:rsidR="00F63478">
        <w:rPr>
          <w:lang w:eastAsia="en-AU"/>
        </w:rPr>
        <w:t>2.6.3</w:t>
      </w:r>
      <w:r w:rsidR="00F63478">
        <w:rPr>
          <w:lang w:eastAsia="en-AU"/>
        </w:rPr>
        <w:fldChar w:fldCharType="end"/>
      </w:r>
      <w:r w:rsidR="006818F9">
        <w:rPr>
          <w:lang w:eastAsia="en-AU"/>
        </w:rPr>
        <w:t>.</w:t>
      </w:r>
      <w:r w:rsidR="0055680D">
        <w:rPr>
          <w:lang w:eastAsia="en-AU"/>
        </w:rPr>
        <w:t xml:space="preserve"> </w:t>
      </w:r>
    </w:p>
    <w:p w14:paraId="22147522" w14:textId="2D70AEB2" w:rsidR="00845983" w:rsidRDefault="00845983" w:rsidP="00845983">
      <w:pPr>
        <w:pStyle w:val="Heading3"/>
        <w:rPr>
          <w:lang w:eastAsia="en-AU"/>
        </w:rPr>
      </w:pPr>
      <w:r>
        <w:rPr>
          <w:lang w:eastAsia="en-AU"/>
        </w:rPr>
        <w:t>Other activities unde</w:t>
      </w:r>
      <w:r w:rsidR="003E3D63">
        <w:rPr>
          <w:lang w:eastAsia="en-AU"/>
        </w:rPr>
        <w:t>r</w:t>
      </w:r>
      <w:r>
        <w:rPr>
          <w:lang w:eastAsia="en-AU"/>
        </w:rPr>
        <w:t>taken by headspace services</w:t>
      </w:r>
    </w:p>
    <w:p w14:paraId="05DE5958" w14:textId="77777777" w:rsidR="00845983" w:rsidRDefault="00845983" w:rsidP="00845983">
      <w:pPr>
        <w:pStyle w:val="Heading4"/>
      </w:pPr>
      <w:r>
        <w:t>Broader community engagement</w:t>
      </w:r>
    </w:p>
    <w:p w14:paraId="3E163D17" w14:textId="1C2B9722" w:rsidR="00845983" w:rsidRDefault="00845983" w:rsidP="00845983">
      <w:pPr>
        <w:pStyle w:val="BodyText"/>
        <w:rPr>
          <w:lang w:eastAsia="en-AU"/>
        </w:rPr>
      </w:pPr>
      <w:r>
        <w:rPr>
          <w:lang w:eastAsia="en-AU"/>
        </w:rPr>
        <w:t>Along with the supports provided directly to young people within headspace services, staff at headspace also undertake a range of community building and awareness raising activities. These differ across services and are intended to focus on the needs and issues of the local community</w:t>
      </w:r>
      <w:r w:rsidR="003234AE">
        <w:rPr>
          <w:lang w:eastAsia="en-AU"/>
        </w:rPr>
        <w:t>, for example in coordinating suicide postvention protocols and support</w:t>
      </w:r>
      <w:r>
        <w:rPr>
          <w:lang w:eastAsia="en-AU"/>
        </w:rPr>
        <w:t>. Engagement activities can include running local competitions and award programs, running workshops at schools, holding a headspace stall at community events, and holding information sessions at meetings of cultural, religious or community groups to raise awareness about headspace and youth mental health and wellbeing.</w:t>
      </w:r>
      <w:r w:rsidR="0092352B">
        <w:rPr>
          <w:lang w:eastAsia="en-AU"/>
        </w:rPr>
        <w:t xml:space="preserve"> Similar to the</w:t>
      </w:r>
      <w:r w:rsidR="0058523D">
        <w:rPr>
          <w:lang w:eastAsia="en-AU"/>
        </w:rPr>
        <w:t xml:space="preserve"> impact on service modality </w:t>
      </w:r>
      <w:r w:rsidR="00F6119E">
        <w:rPr>
          <w:lang w:eastAsia="en-AU"/>
        </w:rPr>
        <w:t>discussed</w:t>
      </w:r>
      <w:r w:rsidR="0058523D">
        <w:rPr>
          <w:lang w:eastAsia="en-AU"/>
        </w:rPr>
        <w:t xml:space="preserve"> </w:t>
      </w:r>
      <w:r w:rsidR="008E61B9">
        <w:rPr>
          <w:lang w:eastAsia="en-AU"/>
        </w:rPr>
        <w:t xml:space="preserve">above, </w:t>
      </w:r>
      <w:r w:rsidR="00113C85">
        <w:rPr>
          <w:lang w:eastAsia="en-AU"/>
        </w:rPr>
        <w:t xml:space="preserve">COVID-19 also had impacts on </w:t>
      </w:r>
      <w:r w:rsidR="00EE1A65">
        <w:rPr>
          <w:lang w:eastAsia="en-AU"/>
        </w:rPr>
        <w:t xml:space="preserve">these engagement activities, limiting information sessions, community events, </w:t>
      </w:r>
      <w:r w:rsidR="00CA60E0">
        <w:rPr>
          <w:lang w:eastAsia="en-AU"/>
        </w:rPr>
        <w:t xml:space="preserve">and other </w:t>
      </w:r>
      <w:r w:rsidR="004A1CAF">
        <w:rPr>
          <w:lang w:eastAsia="en-AU"/>
        </w:rPr>
        <w:t xml:space="preserve">activities through lockdowns and event restrictions. </w:t>
      </w:r>
    </w:p>
    <w:p w14:paraId="76327711" w14:textId="77777777" w:rsidR="00845983" w:rsidRDefault="00845983" w:rsidP="00845983">
      <w:pPr>
        <w:pStyle w:val="Heading4"/>
      </w:pPr>
      <w:r>
        <w:t>Family and youth programs</w:t>
      </w:r>
    </w:p>
    <w:p w14:paraId="090EAD9B" w14:textId="0A46E166" w:rsidR="00845983" w:rsidRPr="00975609" w:rsidRDefault="00845983" w:rsidP="00845983">
      <w:pPr>
        <w:pStyle w:val="BodyText"/>
        <w:rPr>
          <w:lang w:eastAsia="en-AU"/>
        </w:rPr>
      </w:pPr>
      <w:r>
        <w:rPr>
          <w:lang w:eastAsia="en-AU"/>
        </w:rPr>
        <w:t xml:space="preserve">Each service also offers a range of programs for young people outside of the core streams of support offered. There is a wide array of activities on offer across services, including arts and crafts based activities, movie screenings, dance classes, song writing, fitness groups, trivia nights, youth groups for particular cohorts such as LGBTQIA+ young people, and education and training programs to meet local interest. The aim of these programs is to build connection between young people or family and carers of young people in a safe setting, and in so doing </w:t>
      </w:r>
      <w:r w:rsidR="00385973">
        <w:rPr>
          <w:lang w:eastAsia="en-AU"/>
        </w:rPr>
        <w:t xml:space="preserve">to </w:t>
      </w:r>
      <w:r>
        <w:rPr>
          <w:lang w:eastAsia="en-AU"/>
        </w:rPr>
        <w:t>build awareness of youth mental health and wellbeing issues and reduce stigma and other barriers to help seeking behaviours.</w:t>
      </w:r>
    </w:p>
    <w:p w14:paraId="1326D27A" w14:textId="75A1422D" w:rsidR="00845983" w:rsidRPr="00C53E34" w:rsidRDefault="00845983" w:rsidP="00845983">
      <w:pPr>
        <w:pStyle w:val="BodyText"/>
        <w:rPr>
          <w:lang w:eastAsia="en-AU"/>
        </w:rPr>
      </w:pPr>
      <w:r>
        <w:rPr>
          <w:lang w:eastAsia="en-AU"/>
        </w:rPr>
        <w:t xml:space="preserve">The specifics of the supports provided by services are described in </w:t>
      </w:r>
      <w:r w:rsidR="00D07E63">
        <w:rPr>
          <w:lang w:eastAsia="en-AU"/>
        </w:rPr>
        <w:t>C</w:t>
      </w:r>
      <w:r>
        <w:rPr>
          <w:lang w:eastAsia="en-AU"/>
        </w:rPr>
        <w:t xml:space="preserve">hapter </w:t>
      </w:r>
      <w:r w:rsidR="00385973">
        <w:rPr>
          <w:highlight w:val="yellow"/>
          <w:lang w:eastAsia="en-AU"/>
        </w:rPr>
        <w:fldChar w:fldCharType="begin" w:fldLock="1"/>
      </w:r>
      <w:r w:rsidR="00385973">
        <w:rPr>
          <w:lang w:eastAsia="en-AU"/>
        </w:rPr>
        <w:instrText xml:space="preserve"> REF _Ref98317699 \w \h </w:instrText>
      </w:r>
      <w:r w:rsidR="00385973">
        <w:rPr>
          <w:highlight w:val="yellow"/>
          <w:lang w:eastAsia="en-AU"/>
        </w:rPr>
      </w:r>
      <w:r w:rsidR="00385973">
        <w:rPr>
          <w:highlight w:val="yellow"/>
          <w:lang w:eastAsia="en-AU"/>
        </w:rPr>
        <w:fldChar w:fldCharType="separate"/>
      </w:r>
      <w:r w:rsidR="00AE4D34">
        <w:rPr>
          <w:lang w:eastAsia="en-AU"/>
        </w:rPr>
        <w:t>3</w:t>
      </w:r>
      <w:r w:rsidR="00385973">
        <w:rPr>
          <w:highlight w:val="yellow"/>
          <w:lang w:eastAsia="en-AU"/>
        </w:rPr>
        <w:fldChar w:fldCharType="end"/>
      </w:r>
      <w:r>
        <w:rPr>
          <w:lang w:eastAsia="en-AU"/>
        </w:rPr>
        <w:t xml:space="preserve"> below.</w:t>
      </w:r>
    </w:p>
    <w:p w14:paraId="53654A84" w14:textId="672E2D3B" w:rsidR="00845983" w:rsidRPr="001D6913" w:rsidRDefault="00845983" w:rsidP="00845983">
      <w:pPr>
        <w:pStyle w:val="Heading3"/>
        <w:rPr>
          <w:lang w:eastAsia="en-AU"/>
        </w:rPr>
      </w:pPr>
      <w:bookmarkStart w:id="43" w:name="_Ref98322131"/>
      <w:r w:rsidRPr="001D6913">
        <w:rPr>
          <w:lang w:eastAsia="en-AU"/>
        </w:rPr>
        <w:t xml:space="preserve">Types of </w:t>
      </w:r>
      <w:r>
        <w:rPr>
          <w:lang w:eastAsia="en-AU"/>
        </w:rPr>
        <w:t>headspace services</w:t>
      </w:r>
      <w:r w:rsidR="004C5A6A">
        <w:rPr>
          <w:lang w:eastAsia="en-AU"/>
        </w:rPr>
        <w:t xml:space="preserve"> operating under the model</w:t>
      </w:r>
      <w:bookmarkEnd w:id="43"/>
      <w:r w:rsidR="004C5A6A">
        <w:rPr>
          <w:lang w:eastAsia="en-AU"/>
        </w:rPr>
        <w:t xml:space="preserve"> </w:t>
      </w:r>
    </w:p>
    <w:p w14:paraId="49A291E2" w14:textId="503C5CFE" w:rsidR="0086457B" w:rsidRPr="001D6913" w:rsidRDefault="00845983" w:rsidP="0086457B">
      <w:pPr>
        <w:pStyle w:val="BodyText"/>
        <w:rPr>
          <w:lang w:eastAsia="en-AU"/>
        </w:rPr>
      </w:pPr>
      <w:r>
        <w:rPr>
          <w:lang w:eastAsia="en-AU"/>
        </w:rPr>
        <w:t xml:space="preserve">The headspace model is delivered within </w:t>
      </w:r>
      <w:r w:rsidR="0086457B">
        <w:rPr>
          <w:lang w:eastAsia="en-AU"/>
        </w:rPr>
        <w:t>five</w:t>
      </w:r>
      <w:r>
        <w:rPr>
          <w:lang w:eastAsia="en-AU"/>
        </w:rPr>
        <w:t xml:space="preserve"> broad types of services, which differ by size, physical setting and service offerings. </w:t>
      </w:r>
      <w:r w:rsidR="0086457B">
        <w:rPr>
          <w:lang w:eastAsia="en-AU"/>
        </w:rPr>
        <w:t>These variations in operating model are intended to adapt the model to suit local need, with funding for each service aligned to the type of operating model in place.</w:t>
      </w:r>
      <w:r w:rsidR="00F405DB">
        <w:rPr>
          <w:lang w:eastAsia="en-AU"/>
        </w:rPr>
        <w:t xml:space="preserve"> Some of these service types have been introduced </w:t>
      </w:r>
      <w:r w:rsidR="005F6A3D">
        <w:rPr>
          <w:lang w:eastAsia="en-AU"/>
        </w:rPr>
        <w:t xml:space="preserve">in recent years </w:t>
      </w:r>
      <w:r w:rsidR="000713AC">
        <w:rPr>
          <w:lang w:eastAsia="en-AU"/>
        </w:rPr>
        <w:t xml:space="preserve">as a result of </w:t>
      </w:r>
      <w:r w:rsidR="00DE621B">
        <w:rPr>
          <w:lang w:eastAsia="en-AU"/>
        </w:rPr>
        <w:t xml:space="preserve">Commonwealth </w:t>
      </w:r>
      <w:r w:rsidR="000713AC">
        <w:rPr>
          <w:lang w:eastAsia="en-AU"/>
        </w:rPr>
        <w:t xml:space="preserve">Government funding </w:t>
      </w:r>
      <w:r w:rsidR="00DE23EE">
        <w:rPr>
          <w:lang w:eastAsia="en-AU"/>
        </w:rPr>
        <w:t>announcements</w:t>
      </w:r>
      <w:r w:rsidR="005F6A3D">
        <w:rPr>
          <w:lang w:eastAsia="en-AU"/>
        </w:rPr>
        <w:t>.</w:t>
      </w:r>
      <w:r w:rsidR="00DE23EE">
        <w:rPr>
          <w:lang w:eastAsia="en-AU"/>
        </w:rPr>
        <w:t xml:space="preserve"> </w:t>
      </w:r>
    </w:p>
    <w:p w14:paraId="6FE88CA2" w14:textId="4B662942" w:rsidR="00845983" w:rsidRDefault="00845983" w:rsidP="00845983">
      <w:pPr>
        <w:pStyle w:val="BodyText"/>
        <w:rPr>
          <w:lang w:eastAsia="en-AU"/>
        </w:rPr>
      </w:pPr>
      <w:r>
        <w:rPr>
          <w:lang w:eastAsia="en-AU"/>
        </w:rPr>
        <w:t>The</w:t>
      </w:r>
      <w:r w:rsidR="0086457B">
        <w:rPr>
          <w:lang w:eastAsia="en-AU"/>
        </w:rPr>
        <w:t xml:space="preserve"> types of service</w:t>
      </w:r>
      <w:r>
        <w:rPr>
          <w:lang w:eastAsia="en-AU"/>
        </w:rPr>
        <w:t xml:space="preserve"> are described below, based on headspace National documentation</w:t>
      </w:r>
      <w:r w:rsidR="00CC0438">
        <w:rPr>
          <w:rFonts w:ascii="ZWAdobeF" w:hAnsi="ZWAdobeF" w:cs="ZWAdobeF"/>
          <w:sz w:val="2"/>
          <w:szCs w:val="2"/>
          <w:lang w:eastAsia="en-AU"/>
        </w:rPr>
        <w:t>56F</w:t>
      </w:r>
      <w:r w:rsidRPr="001D6913">
        <w:rPr>
          <w:rStyle w:val="FootnoteReference"/>
          <w:lang w:eastAsia="en-AU"/>
        </w:rPr>
        <w:footnoteReference w:id="58"/>
      </w:r>
      <w:r>
        <w:rPr>
          <w:lang w:eastAsia="en-AU"/>
        </w:rPr>
        <w:t>:</w:t>
      </w:r>
    </w:p>
    <w:p w14:paraId="47680528" w14:textId="4A30126F" w:rsidR="00845983" w:rsidRDefault="00845983" w:rsidP="00845983">
      <w:pPr>
        <w:pStyle w:val="Heading4"/>
      </w:pPr>
      <w:r>
        <w:t>headspace centre</w:t>
      </w:r>
    </w:p>
    <w:p w14:paraId="7C9AB55B" w14:textId="411132AD" w:rsidR="00845983" w:rsidRDefault="00845983" w:rsidP="00845983">
      <w:pPr>
        <w:pStyle w:val="Bullet1stlevel"/>
        <w:rPr>
          <w:lang w:eastAsia="en-AU"/>
        </w:rPr>
      </w:pPr>
      <w:r>
        <w:rPr>
          <w:lang w:eastAsia="en-AU"/>
        </w:rPr>
        <w:t>F</w:t>
      </w:r>
      <w:r w:rsidRPr="000B1AFB">
        <w:rPr>
          <w:lang w:eastAsia="en-AU"/>
        </w:rPr>
        <w:t xml:space="preserve">ull-service facility operating in accordance with the headspace Centre </w:t>
      </w:r>
      <w:r w:rsidR="001F2443">
        <w:rPr>
          <w:lang w:eastAsia="en-AU"/>
        </w:rPr>
        <w:t>Model</w:t>
      </w:r>
      <w:r w:rsidR="008D56C3">
        <w:rPr>
          <w:lang w:eastAsia="en-AU"/>
        </w:rPr>
        <w:t>.</w:t>
      </w:r>
    </w:p>
    <w:p w14:paraId="562C5E7E" w14:textId="4FFA38DC" w:rsidR="00845983" w:rsidRDefault="00845983" w:rsidP="00845983">
      <w:pPr>
        <w:pStyle w:val="Bullet1stlevel"/>
        <w:rPr>
          <w:lang w:eastAsia="en-AU"/>
        </w:rPr>
      </w:pPr>
      <w:r w:rsidRPr="00B73E58">
        <w:rPr>
          <w:lang w:eastAsia="en-AU"/>
        </w:rPr>
        <w:t xml:space="preserve">All four core streams are delivered </w:t>
      </w:r>
      <w:r w:rsidR="00DC5BDD">
        <w:rPr>
          <w:lang w:eastAsia="en-AU"/>
        </w:rPr>
        <w:t>(</w:t>
      </w:r>
      <w:r w:rsidRPr="00B73E58">
        <w:rPr>
          <w:lang w:eastAsia="en-AU"/>
        </w:rPr>
        <w:t>preferably on site</w:t>
      </w:r>
      <w:r w:rsidR="00DC5BDD">
        <w:rPr>
          <w:lang w:eastAsia="en-AU"/>
        </w:rPr>
        <w:t>).</w:t>
      </w:r>
    </w:p>
    <w:p w14:paraId="7F31DA1E" w14:textId="4FE85BFE" w:rsidR="00845983" w:rsidRDefault="00845983" w:rsidP="00845983">
      <w:pPr>
        <w:pStyle w:val="Bullet1stlevel"/>
        <w:rPr>
          <w:lang w:eastAsia="en-AU"/>
        </w:rPr>
      </w:pPr>
      <w:r w:rsidRPr="005761A9">
        <w:rPr>
          <w:lang w:eastAsia="en-AU"/>
        </w:rPr>
        <w:t>A dedicated facility to accommodate all services</w:t>
      </w:r>
      <w:r w:rsidR="003B0281">
        <w:rPr>
          <w:lang w:eastAsia="en-AU"/>
        </w:rPr>
        <w:t>.</w:t>
      </w:r>
    </w:p>
    <w:p w14:paraId="3689A2A4" w14:textId="77777777" w:rsidR="00845983" w:rsidRDefault="00845983" w:rsidP="00845983">
      <w:pPr>
        <w:pStyle w:val="Heading4"/>
      </w:pPr>
      <w:r>
        <w:t>headspace satellite</w:t>
      </w:r>
    </w:p>
    <w:p w14:paraId="59313D3A" w14:textId="7B8E6653" w:rsidR="00845983" w:rsidRDefault="00845983" w:rsidP="00845983">
      <w:pPr>
        <w:pStyle w:val="Bullet1stlevel"/>
        <w:rPr>
          <w:lang w:eastAsia="en-AU"/>
        </w:rPr>
      </w:pPr>
      <w:r>
        <w:rPr>
          <w:lang w:eastAsia="en-AU"/>
        </w:rPr>
        <w:t>Provides a reduced range of services and is linked to a parent headspace centre, operating in accordance with the headspace model</w:t>
      </w:r>
      <w:r w:rsidR="008D56C3">
        <w:rPr>
          <w:lang w:eastAsia="en-AU"/>
        </w:rPr>
        <w:t>.</w:t>
      </w:r>
    </w:p>
    <w:p w14:paraId="5106B721" w14:textId="5ACC4DFA" w:rsidR="00845983" w:rsidRDefault="00845983" w:rsidP="00845983">
      <w:pPr>
        <w:pStyle w:val="Bullet1stlevel"/>
        <w:rPr>
          <w:lang w:eastAsia="en-AU"/>
        </w:rPr>
      </w:pPr>
      <w:r>
        <w:rPr>
          <w:lang w:eastAsia="en-AU"/>
        </w:rPr>
        <w:t>A satellite is located in an area of need surrounding a headspace centre</w:t>
      </w:r>
      <w:r w:rsidR="00243242">
        <w:rPr>
          <w:lang w:eastAsia="en-AU"/>
        </w:rPr>
        <w:t>.</w:t>
      </w:r>
    </w:p>
    <w:p w14:paraId="09AC5DC2" w14:textId="77777777" w:rsidR="00845983" w:rsidRDefault="00845983" w:rsidP="00845983">
      <w:pPr>
        <w:pStyle w:val="Bullet1stlevel"/>
        <w:rPr>
          <w:lang w:eastAsia="en-AU"/>
        </w:rPr>
      </w:pPr>
      <w:r>
        <w:rPr>
          <w:lang w:eastAsia="en-AU"/>
        </w:rPr>
        <w:t>Minimum of three of the four core streams delivered as follows:</w:t>
      </w:r>
    </w:p>
    <w:p w14:paraId="34959D1D" w14:textId="05D5135D" w:rsidR="00845983" w:rsidRDefault="00845983" w:rsidP="00385973">
      <w:pPr>
        <w:pStyle w:val="Bullet2ndlevel"/>
        <w:rPr>
          <w:rFonts w:asciiTheme="minorHAnsi" w:eastAsiaTheme="minorEastAsia" w:hAnsiTheme="minorHAnsi"/>
          <w:szCs w:val="20"/>
          <w:lang w:eastAsia="en-AU"/>
        </w:rPr>
      </w:pPr>
      <w:r>
        <w:rPr>
          <w:lang w:eastAsia="en-AU"/>
        </w:rPr>
        <w:t>Mental Health (mandatory component, onsite delivery)</w:t>
      </w:r>
      <w:r w:rsidR="00E15557">
        <w:rPr>
          <w:lang w:eastAsia="en-AU"/>
        </w:rPr>
        <w:t>;</w:t>
      </w:r>
    </w:p>
    <w:p w14:paraId="6AB93FDE" w14:textId="309D87BA" w:rsidR="00845983" w:rsidRDefault="00845983" w:rsidP="00385973">
      <w:pPr>
        <w:pStyle w:val="Bullet2ndlevel"/>
        <w:rPr>
          <w:rFonts w:asciiTheme="minorHAnsi" w:eastAsiaTheme="minorEastAsia" w:hAnsiTheme="minorHAnsi"/>
          <w:szCs w:val="20"/>
          <w:lang w:eastAsia="en-AU"/>
        </w:rPr>
      </w:pPr>
      <w:r>
        <w:rPr>
          <w:lang w:eastAsia="en-AU"/>
        </w:rPr>
        <w:t>Physical Health (onsite delivery or access via local provider)</w:t>
      </w:r>
      <w:r w:rsidR="00E15557">
        <w:rPr>
          <w:lang w:eastAsia="en-AU"/>
        </w:rPr>
        <w:t>;</w:t>
      </w:r>
    </w:p>
    <w:p w14:paraId="2CBB1EED" w14:textId="6105DC03" w:rsidR="00845983" w:rsidRDefault="00845983" w:rsidP="005874D4">
      <w:pPr>
        <w:pStyle w:val="Bullet2ndlevel"/>
        <w:rPr>
          <w:rFonts w:asciiTheme="minorHAnsi" w:eastAsiaTheme="minorEastAsia" w:hAnsiTheme="minorHAnsi"/>
          <w:lang w:eastAsia="en-AU"/>
        </w:rPr>
      </w:pPr>
      <w:r>
        <w:rPr>
          <w:lang w:eastAsia="en-AU"/>
        </w:rPr>
        <w:t>Alcohol and other drugs (onsite delivery or access via local provider/online service)</w:t>
      </w:r>
      <w:r w:rsidR="00E15557">
        <w:rPr>
          <w:lang w:eastAsia="en-AU"/>
        </w:rPr>
        <w:t>; or</w:t>
      </w:r>
    </w:p>
    <w:p w14:paraId="673ADCB0" w14:textId="7C0C68C5" w:rsidR="00845983" w:rsidRDefault="00845983" w:rsidP="00370CE4">
      <w:pPr>
        <w:pStyle w:val="Bullet2ndlevel"/>
        <w:rPr>
          <w:szCs w:val="20"/>
          <w:lang w:eastAsia="en-AU"/>
        </w:rPr>
      </w:pPr>
      <w:r>
        <w:rPr>
          <w:lang w:eastAsia="en-AU"/>
        </w:rPr>
        <w:t>Vocational (onsite delivery or access via local provider/online service)</w:t>
      </w:r>
      <w:r w:rsidR="00E15557">
        <w:rPr>
          <w:lang w:eastAsia="en-AU"/>
        </w:rPr>
        <w:t>.</w:t>
      </w:r>
    </w:p>
    <w:p w14:paraId="583130A4" w14:textId="462A297C" w:rsidR="00845983" w:rsidRDefault="00845983" w:rsidP="6DA81B3F">
      <w:pPr>
        <w:pStyle w:val="Bullet1stlevel"/>
        <w:rPr>
          <w:lang w:eastAsia="en-AU"/>
        </w:rPr>
      </w:pPr>
      <w:r w:rsidRPr="003D5487">
        <w:rPr>
          <w:lang w:eastAsia="en-AU"/>
        </w:rPr>
        <w:t>A dedicated facility to accommodate a reduced range of services</w:t>
      </w:r>
      <w:r w:rsidR="00D83E03">
        <w:rPr>
          <w:lang w:eastAsia="en-AU"/>
        </w:rPr>
        <w:t>.</w:t>
      </w:r>
    </w:p>
    <w:p w14:paraId="7223E236" w14:textId="77777777" w:rsidR="00845983" w:rsidRDefault="00845983" w:rsidP="00845983">
      <w:pPr>
        <w:pStyle w:val="Heading4"/>
      </w:pPr>
      <w:r>
        <w:t>headspace outpost</w:t>
      </w:r>
    </w:p>
    <w:p w14:paraId="65AA1B44" w14:textId="48B2A1BE" w:rsidR="00845983" w:rsidRDefault="00845983" w:rsidP="00845983">
      <w:pPr>
        <w:pStyle w:val="Bullet1stlevel"/>
        <w:rPr>
          <w:lang w:eastAsia="en-AU"/>
        </w:rPr>
      </w:pPr>
      <w:r>
        <w:rPr>
          <w:lang w:eastAsia="en-AU"/>
        </w:rPr>
        <w:t>Provides a reduced mental health service that must be linked to a parent headspace centre, which is operating in accordance with the headspace model</w:t>
      </w:r>
      <w:r w:rsidR="00D83E03">
        <w:rPr>
          <w:lang w:eastAsia="en-AU"/>
        </w:rPr>
        <w:t>.</w:t>
      </w:r>
    </w:p>
    <w:p w14:paraId="49E4DE0A" w14:textId="7918D73D" w:rsidR="00845983" w:rsidRDefault="00845983" w:rsidP="00845983">
      <w:pPr>
        <w:pStyle w:val="Bullet1stlevel"/>
        <w:rPr>
          <w:lang w:eastAsia="en-AU"/>
        </w:rPr>
      </w:pPr>
      <w:r>
        <w:rPr>
          <w:lang w:eastAsia="en-AU"/>
        </w:rPr>
        <w:t>Outposts are established by exception and as determined by government</w:t>
      </w:r>
      <w:r w:rsidR="00D83E03">
        <w:rPr>
          <w:lang w:eastAsia="en-AU"/>
        </w:rPr>
        <w:t>.</w:t>
      </w:r>
    </w:p>
    <w:p w14:paraId="6C26F368" w14:textId="60799B0C" w:rsidR="00845983" w:rsidRDefault="00845983" w:rsidP="00845983">
      <w:pPr>
        <w:pStyle w:val="Bullet1stlevel"/>
        <w:rPr>
          <w:lang w:eastAsia="en-AU"/>
        </w:rPr>
      </w:pPr>
      <w:r w:rsidRPr="00170F89">
        <w:rPr>
          <w:lang w:eastAsia="en-AU"/>
        </w:rPr>
        <w:t>The core stream of mental health must be delivered onsite</w:t>
      </w:r>
      <w:r w:rsidR="00D83E03">
        <w:rPr>
          <w:lang w:eastAsia="en-AU"/>
        </w:rPr>
        <w:t>.</w:t>
      </w:r>
    </w:p>
    <w:p w14:paraId="2D54CB74" w14:textId="3926548F" w:rsidR="00845983" w:rsidRDefault="00845983" w:rsidP="00845983">
      <w:pPr>
        <w:pStyle w:val="Bullet1stlevel"/>
        <w:rPr>
          <w:lang w:eastAsia="en-AU"/>
        </w:rPr>
      </w:pPr>
      <w:r>
        <w:rPr>
          <w:lang w:eastAsia="en-AU"/>
        </w:rPr>
        <w:t>Usually co-located with an existing service provider but may be in a stand-alone setting</w:t>
      </w:r>
      <w:r w:rsidR="00D83E03">
        <w:rPr>
          <w:lang w:eastAsia="en-AU"/>
        </w:rPr>
        <w:t>.</w:t>
      </w:r>
    </w:p>
    <w:p w14:paraId="290DDF8F" w14:textId="77777777" w:rsidR="00845983" w:rsidRPr="00042A90" w:rsidRDefault="00845983" w:rsidP="00845983">
      <w:pPr>
        <w:pStyle w:val="Heading4"/>
      </w:pPr>
      <w:r w:rsidRPr="00042A90">
        <w:t>headsp</w:t>
      </w:r>
      <w:r w:rsidRPr="00042A90">
        <w:rPr>
          <w:rStyle w:val="Heading4Char"/>
          <w:b/>
          <w:iCs/>
        </w:rPr>
        <w:t>ace outreac</w:t>
      </w:r>
      <w:r w:rsidRPr="00042A90">
        <w:t>h</w:t>
      </w:r>
    </w:p>
    <w:p w14:paraId="14463031" w14:textId="226A59CD" w:rsidR="00845983" w:rsidRDefault="00845983" w:rsidP="00845983">
      <w:pPr>
        <w:pStyle w:val="Bullet1stlevel"/>
        <w:rPr>
          <w:lang w:eastAsia="en-AU"/>
        </w:rPr>
      </w:pPr>
      <w:r>
        <w:rPr>
          <w:lang w:eastAsia="en-AU"/>
        </w:rPr>
        <w:t xml:space="preserve">Refers to </w:t>
      </w:r>
      <w:r w:rsidRPr="0036106C">
        <w:rPr>
          <w:lang w:eastAsia="en-AU"/>
        </w:rPr>
        <w:t xml:space="preserve">the range of services delivered outside the parent headspace </w:t>
      </w:r>
      <w:r w:rsidR="00157BA4">
        <w:rPr>
          <w:lang w:eastAsia="en-AU"/>
        </w:rPr>
        <w:t>service</w:t>
      </w:r>
      <w:r w:rsidRPr="0036106C">
        <w:rPr>
          <w:lang w:eastAsia="en-AU"/>
        </w:rPr>
        <w:t xml:space="preserve"> in youth friendly settings</w:t>
      </w:r>
      <w:r w:rsidR="008E0914">
        <w:rPr>
          <w:lang w:eastAsia="en-AU"/>
        </w:rPr>
        <w:t>.</w:t>
      </w:r>
      <w:r w:rsidRPr="0036106C">
        <w:rPr>
          <w:lang w:eastAsia="en-AU"/>
        </w:rPr>
        <w:t xml:space="preserve"> </w:t>
      </w:r>
    </w:p>
    <w:p w14:paraId="63B386F7" w14:textId="13A1F23A" w:rsidR="00845983" w:rsidRDefault="00845983" w:rsidP="00A23461">
      <w:pPr>
        <w:pStyle w:val="Bullet1stlevel"/>
        <w:rPr>
          <w:lang w:eastAsia="en-AU"/>
        </w:rPr>
      </w:pPr>
      <w:r w:rsidRPr="002B04BF">
        <w:rPr>
          <w:lang w:eastAsia="en-AU"/>
        </w:rPr>
        <w:t xml:space="preserve">Outreach activities can be any of the range of services offered by the parent </w:t>
      </w:r>
      <w:r>
        <w:rPr>
          <w:lang w:eastAsia="en-AU"/>
        </w:rPr>
        <w:t>c</w:t>
      </w:r>
      <w:r w:rsidRPr="002B04BF">
        <w:rPr>
          <w:lang w:eastAsia="en-AU"/>
        </w:rPr>
        <w:t>entre</w:t>
      </w:r>
      <w:r>
        <w:rPr>
          <w:lang w:eastAsia="en-AU"/>
        </w:rPr>
        <w:t>, which</w:t>
      </w:r>
      <w:r w:rsidRPr="0036106C">
        <w:rPr>
          <w:lang w:eastAsia="en-AU"/>
        </w:rPr>
        <w:t xml:space="preserve"> may include clinical sessions, psycho-education and community awareness activities</w:t>
      </w:r>
      <w:r w:rsidR="008E0914">
        <w:rPr>
          <w:lang w:eastAsia="en-AU"/>
        </w:rPr>
        <w:t>.</w:t>
      </w:r>
    </w:p>
    <w:p w14:paraId="794D9049" w14:textId="77777777" w:rsidR="00845983" w:rsidRDefault="00845983" w:rsidP="00845983">
      <w:pPr>
        <w:pStyle w:val="Bullet1stlevel"/>
        <w:rPr>
          <w:lang w:eastAsia="en-AU"/>
        </w:rPr>
      </w:pPr>
      <w:r w:rsidRPr="00C77D83">
        <w:rPr>
          <w:lang w:eastAsia="en-AU"/>
        </w:rPr>
        <w:t>Usually visiting, mobile or co-located with existing services</w:t>
      </w:r>
      <w:r>
        <w:rPr>
          <w:lang w:eastAsia="en-AU"/>
        </w:rPr>
        <w:t>.</w:t>
      </w:r>
    </w:p>
    <w:p w14:paraId="2FA54991" w14:textId="77777777" w:rsidR="00845983" w:rsidRDefault="00845983" w:rsidP="00845983">
      <w:pPr>
        <w:pStyle w:val="Heading4"/>
      </w:pPr>
      <w:r>
        <w:t>Hub and spoke model</w:t>
      </w:r>
    </w:p>
    <w:p w14:paraId="7303FBB1" w14:textId="28E9DBE9" w:rsidR="00845983" w:rsidRDefault="00845983" w:rsidP="00845983">
      <w:pPr>
        <w:pStyle w:val="BodyText"/>
        <w:rPr>
          <w:lang w:eastAsia="en-AU"/>
        </w:rPr>
      </w:pPr>
      <w:r>
        <w:rPr>
          <w:lang w:eastAsia="en-AU"/>
        </w:rPr>
        <w:t xml:space="preserve">The hub and spoke model is an informal term used to describe some </w:t>
      </w:r>
      <w:r w:rsidR="00157BA4">
        <w:rPr>
          <w:lang w:eastAsia="en-AU"/>
        </w:rPr>
        <w:t>headspace service</w:t>
      </w:r>
      <w:r>
        <w:rPr>
          <w:lang w:eastAsia="en-AU"/>
        </w:rPr>
        <w:t xml:space="preserve"> types which, while similar to satellites, provide a </w:t>
      </w:r>
      <w:r w:rsidR="00D41BAF">
        <w:rPr>
          <w:lang w:eastAsia="en-AU"/>
        </w:rPr>
        <w:t xml:space="preserve">considerably </w:t>
      </w:r>
      <w:r>
        <w:rPr>
          <w:lang w:eastAsia="en-AU"/>
        </w:rPr>
        <w:t>reduced suite of services in rural and remot</w:t>
      </w:r>
      <w:r w:rsidRPr="001D6913">
        <w:rPr>
          <w:lang w:eastAsia="en-AU"/>
        </w:rPr>
        <w:t xml:space="preserve">e locations, under the auspices of a </w:t>
      </w:r>
      <w:r>
        <w:rPr>
          <w:lang w:eastAsia="en-AU"/>
        </w:rPr>
        <w:t>headspace</w:t>
      </w:r>
      <w:r w:rsidRPr="001D6913">
        <w:rPr>
          <w:lang w:eastAsia="en-AU"/>
        </w:rPr>
        <w:t xml:space="preserve"> </w:t>
      </w:r>
      <w:r w:rsidR="00157BA4">
        <w:rPr>
          <w:lang w:eastAsia="en-AU"/>
        </w:rPr>
        <w:t>service</w:t>
      </w:r>
      <w:r w:rsidRPr="001D6913">
        <w:rPr>
          <w:lang w:eastAsia="en-AU"/>
        </w:rPr>
        <w:t xml:space="preserve"> in the nearest regional town. </w:t>
      </w:r>
      <w:r>
        <w:rPr>
          <w:lang w:eastAsia="en-AU"/>
        </w:rPr>
        <w:t xml:space="preserve">Different to a headspace outpost, there are typically multiple ‘spokes’ attached to a parent </w:t>
      </w:r>
      <w:r w:rsidR="00413A5B">
        <w:rPr>
          <w:lang w:eastAsia="en-AU"/>
        </w:rPr>
        <w:t>hub</w:t>
      </w:r>
      <w:r>
        <w:rPr>
          <w:lang w:eastAsia="en-AU"/>
        </w:rPr>
        <w:t>.</w:t>
      </w:r>
    </w:p>
    <w:p w14:paraId="60FCCCAE" w14:textId="113FE04F" w:rsidR="00451FAD" w:rsidRPr="001D6913" w:rsidRDefault="00AC6FBC" w:rsidP="00337C04">
      <w:pPr>
        <w:pStyle w:val="Heading2"/>
      </w:pPr>
      <w:bookmarkStart w:id="44" w:name="_Toc108173975"/>
      <w:r w:rsidRPr="001D6913">
        <w:t>headspace</w:t>
      </w:r>
      <w:r w:rsidR="00A115DA" w:rsidRPr="001D6913">
        <w:t xml:space="preserve"> in context</w:t>
      </w:r>
      <w:bookmarkEnd w:id="44"/>
    </w:p>
    <w:p w14:paraId="6CEAF5DD" w14:textId="1FC83D64" w:rsidR="009E1C69" w:rsidRDefault="009E1C69" w:rsidP="00385973">
      <w:pPr>
        <w:pStyle w:val="BodyText"/>
      </w:pPr>
      <w:r>
        <w:t xml:space="preserve">Supporting </w:t>
      </w:r>
      <w:r w:rsidR="00385973">
        <w:t xml:space="preserve">people </w:t>
      </w:r>
      <w:r>
        <w:t xml:space="preserve">with mental </w:t>
      </w:r>
      <w:r w:rsidR="00080644">
        <w:t>ill-health</w:t>
      </w:r>
      <w:r>
        <w:t xml:space="preserve"> is a key public health priority in Australia. The term </w:t>
      </w:r>
      <w:r w:rsidR="00385973">
        <w:t>‘</w:t>
      </w:r>
      <w:r>
        <w:t>mental illness</w:t>
      </w:r>
      <w:r w:rsidR="00385973">
        <w:t>’</w:t>
      </w:r>
      <w:r>
        <w:t xml:space="preserve"> </w:t>
      </w:r>
      <w:r w:rsidDel="00ED5337">
        <w:t>c</w:t>
      </w:r>
      <w:r>
        <w:t xml:space="preserve">overs a range of conditions, including anxiety disorders, depressive disorders, personality disorders, bipolar disorder, and schizophrenia. The severity, impact of and treatment for these conditions varies significantly. Mental ill-health affects all Australians at some point in their lifetime, either directly or through relationships with family, friends, colleagues, and others who are living with mental illness. </w:t>
      </w:r>
    </w:p>
    <w:p w14:paraId="5C57EDD2" w14:textId="1A44D306" w:rsidR="00F93706" w:rsidRDefault="00D76B21" w:rsidP="00385973">
      <w:pPr>
        <w:pStyle w:val="BodyText"/>
        <w:rPr>
          <w:lang w:eastAsia="en-AU"/>
        </w:rPr>
      </w:pPr>
      <w:r>
        <w:rPr>
          <w:lang w:eastAsia="en-AU"/>
        </w:rPr>
        <w:t xml:space="preserve">headspace operates as a </w:t>
      </w:r>
      <w:r w:rsidR="008558AA">
        <w:rPr>
          <w:lang w:eastAsia="en-AU"/>
        </w:rPr>
        <w:t>high</w:t>
      </w:r>
      <w:r w:rsidR="00385973">
        <w:rPr>
          <w:lang w:eastAsia="en-AU"/>
        </w:rPr>
        <w:t>-</w:t>
      </w:r>
      <w:r w:rsidR="008558AA">
        <w:rPr>
          <w:lang w:eastAsia="en-AU"/>
        </w:rPr>
        <w:t xml:space="preserve">profile element of </w:t>
      </w:r>
      <w:r w:rsidR="000A0672">
        <w:rPr>
          <w:lang w:eastAsia="en-AU"/>
        </w:rPr>
        <w:t>the Australian mental</w:t>
      </w:r>
      <w:r w:rsidR="00984491">
        <w:rPr>
          <w:lang w:eastAsia="en-AU"/>
        </w:rPr>
        <w:t xml:space="preserve"> health service system</w:t>
      </w:r>
      <w:r w:rsidR="00E41147">
        <w:rPr>
          <w:lang w:eastAsia="en-AU"/>
        </w:rPr>
        <w:t xml:space="preserve">, which </w:t>
      </w:r>
      <w:r w:rsidR="00984491">
        <w:rPr>
          <w:lang w:eastAsia="en-AU"/>
        </w:rPr>
        <w:t xml:space="preserve">is a complex mix of public and private services, delivered by a range of organisations, and funded by the </w:t>
      </w:r>
      <w:r w:rsidR="00F6119E">
        <w:rPr>
          <w:lang w:eastAsia="en-AU"/>
        </w:rPr>
        <w:t>Commonwealth</w:t>
      </w:r>
      <w:r w:rsidR="00984491">
        <w:rPr>
          <w:lang w:eastAsia="en-AU"/>
        </w:rPr>
        <w:t xml:space="preserve">, </w:t>
      </w:r>
      <w:r w:rsidR="00F6119E">
        <w:rPr>
          <w:lang w:eastAsia="en-AU"/>
        </w:rPr>
        <w:t>S</w:t>
      </w:r>
      <w:r w:rsidR="00984491">
        <w:rPr>
          <w:lang w:eastAsia="en-AU"/>
        </w:rPr>
        <w:t xml:space="preserve">tate and </w:t>
      </w:r>
      <w:r w:rsidR="00F6119E">
        <w:rPr>
          <w:lang w:eastAsia="en-AU"/>
        </w:rPr>
        <w:t>T</w:t>
      </w:r>
      <w:r w:rsidR="00984491">
        <w:rPr>
          <w:lang w:eastAsia="en-AU"/>
        </w:rPr>
        <w:t xml:space="preserve">erritory </w:t>
      </w:r>
      <w:r w:rsidR="00F6119E">
        <w:rPr>
          <w:lang w:eastAsia="en-AU"/>
        </w:rPr>
        <w:t>G</w:t>
      </w:r>
      <w:r w:rsidR="00984491">
        <w:rPr>
          <w:lang w:eastAsia="en-AU"/>
        </w:rPr>
        <w:t xml:space="preserve">overnments, individual service users, and private insurers. </w:t>
      </w:r>
      <w:r w:rsidR="00604CF1">
        <w:rPr>
          <w:lang w:eastAsia="en-AU"/>
        </w:rPr>
        <w:t xml:space="preserve">The </w:t>
      </w:r>
      <w:r w:rsidR="00F6119E">
        <w:rPr>
          <w:lang w:eastAsia="en-AU"/>
        </w:rPr>
        <w:t xml:space="preserve">Commonwealth </w:t>
      </w:r>
      <w:r w:rsidR="00604CF1">
        <w:rPr>
          <w:lang w:eastAsia="en-AU"/>
        </w:rPr>
        <w:t xml:space="preserve">Government and all states and territories share responsibility for mental health policy, and provision of supports. A range of different mental health supports and services are provided at each level of government and by private organisations. </w:t>
      </w:r>
    </w:p>
    <w:p w14:paraId="11264DDE" w14:textId="77777777" w:rsidR="00C437DC" w:rsidRPr="00086157" w:rsidRDefault="00C437DC" w:rsidP="00C437DC">
      <w:pPr>
        <w:pStyle w:val="Heading3"/>
      </w:pPr>
      <w:bookmarkStart w:id="45" w:name="_Ref98251940"/>
      <w:r w:rsidRPr="00086157">
        <w:t xml:space="preserve">Growth </w:t>
      </w:r>
      <w:r>
        <w:t xml:space="preserve">and evolution </w:t>
      </w:r>
      <w:r w:rsidRPr="00086157">
        <w:t xml:space="preserve">of the </w:t>
      </w:r>
      <w:r>
        <w:t>headspace program</w:t>
      </w:r>
      <w:bookmarkEnd w:id="45"/>
    </w:p>
    <w:p w14:paraId="0585EE81" w14:textId="0C36B83A" w:rsidR="00C437DC" w:rsidRDefault="00C437DC" w:rsidP="00C437DC">
      <w:pPr>
        <w:pStyle w:val="BodyText"/>
      </w:pPr>
      <w:r w:rsidRPr="001D6913">
        <w:t xml:space="preserve">The </w:t>
      </w:r>
      <w:r w:rsidR="00F6119E">
        <w:t>Commonwealth</w:t>
      </w:r>
      <w:r w:rsidRPr="001D6913">
        <w:t xml:space="preserve"> Government has significantly expanded </w:t>
      </w:r>
      <w:r>
        <w:t xml:space="preserve">its funding of the </w:t>
      </w:r>
      <w:r w:rsidRPr="001D6913">
        <w:t>headspace program in recent years</w:t>
      </w:r>
      <w:r w:rsidR="00CC0438">
        <w:rPr>
          <w:rFonts w:ascii="ZWAdobeF" w:hAnsi="ZWAdobeF" w:cs="ZWAdobeF"/>
          <w:sz w:val="2"/>
          <w:szCs w:val="2"/>
        </w:rPr>
        <w:t>57F</w:t>
      </w:r>
      <w:r>
        <w:rPr>
          <w:rStyle w:val="FootnoteReference"/>
        </w:rPr>
        <w:footnoteReference w:id="59"/>
      </w:r>
      <w:r w:rsidRPr="001D6913">
        <w:t xml:space="preserve">, with the network growing </w:t>
      </w:r>
      <w:r>
        <w:t>from 98 centres in 2015-16</w:t>
      </w:r>
      <w:r w:rsidRPr="001D6913">
        <w:t xml:space="preserve"> to 1</w:t>
      </w:r>
      <w:r>
        <w:t>18 centres by 30</w:t>
      </w:r>
      <w:r w:rsidR="00F6119E">
        <w:t> </w:t>
      </w:r>
      <w:r>
        <w:t>June 2020</w:t>
      </w:r>
      <w:r w:rsidR="00CC0438">
        <w:rPr>
          <w:rFonts w:ascii="ZWAdobeF" w:hAnsi="ZWAdobeF" w:cs="ZWAdobeF"/>
          <w:sz w:val="2"/>
          <w:szCs w:val="2"/>
        </w:rPr>
        <w:t>58F</w:t>
      </w:r>
      <w:r w:rsidR="004A6B50">
        <w:rPr>
          <w:rStyle w:val="FootnoteReference"/>
        </w:rPr>
        <w:footnoteReference w:id="60"/>
      </w:r>
      <w:r>
        <w:t xml:space="preserve">. This growth has occurred over time in line with </w:t>
      </w:r>
      <w:r w:rsidR="00A65FFA">
        <w:t>g</w:t>
      </w:r>
      <w:r>
        <w:t xml:space="preserve">overnment announcements, often through annual budget measures. This expansion has made </w:t>
      </w:r>
      <w:r w:rsidRPr="001D6913">
        <w:t>dedicated you</w:t>
      </w:r>
      <w:r>
        <w:t>th</w:t>
      </w:r>
      <w:r w:rsidRPr="001D6913">
        <w:t xml:space="preserve"> mental health services and supports available in more communities across Australia</w:t>
      </w:r>
      <w:r>
        <w:t>,</w:t>
      </w:r>
      <w:r w:rsidRPr="001D6913">
        <w:t xml:space="preserve"> often for the first time. </w:t>
      </w:r>
    </w:p>
    <w:p w14:paraId="09FFBAB0" w14:textId="2A463A60" w:rsidR="004606B1" w:rsidRDefault="00C437DC" w:rsidP="00A65FFA">
      <w:pPr>
        <w:pStyle w:val="BodyText"/>
      </w:pPr>
      <w:r w:rsidRPr="001D6913">
        <w:t xml:space="preserve">Since the first </w:t>
      </w:r>
      <w:r>
        <w:t>10</w:t>
      </w:r>
      <w:r w:rsidRPr="001D6913">
        <w:t xml:space="preserve"> centres were opened in 2007 and 2008, there have been successive funding rounds by </w:t>
      </w:r>
      <w:r w:rsidR="00A65FFA">
        <w:t>g</w:t>
      </w:r>
      <w:r w:rsidRPr="001D6913">
        <w:t xml:space="preserve">overnment </w:t>
      </w:r>
      <w:r>
        <w:t>leading to</w:t>
      </w:r>
      <w:r w:rsidRPr="001D6913">
        <w:t xml:space="preserve"> the rapid expansion of the </w:t>
      </w:r>
      <w:r w:rsidR="00330796">
        <w:t>network</w:t>
      </w:r>
      <w:r w:rsidRPr="001D6913">
        <w:t xml:space="preserve">. </w:t>
      </w:r>
      <w:r w:rsidR="00330796">
        <w:t>For example, i</w:t>
      </w:r>
      <w:r>
        <w:t xml:space="preserve">n the 2019-20 </w:t>
      </w:r>
      <w:r w:rsidR="00324102">
        <w:t>Federal</w:t>
      </w:r>
      <w:r>
        <w:t xml:space="preserve"> </w:t>
      </w:r>
      <w:r w:rsidR="00A65FFA">
        <w:t>B</w:t>
      </w:r>
      <w:r>
        <w:t xml:space="preserve">udget, funding was announced to support the </w:t>
      </w:r>
      <w:r w:rsidR="00D64720">
        <w:t>establishment of</w:t>
      </w:r>
      <w:r>
        <w:t xml:space="preserve"> 10 new centres and 20 satellite services</w:t>
      </w:r>
      <w:r w:rsidR="00C75F9C">
        <w:t xml:space="preserve">, which </w:t>
      </w:r>
      <w:r>
        <w:t xml:space="preserve">was </w:t>
      </w:r>
      <w:r w:rsidR="00C75F9C">
        <w:t>then further expan</w:t>
      </w:r>
      <w:r w:rsidR="00F6119E">
        <w:t>d</w:t>
      </w:r>
      <w:r w:rsidR="00C75F9C">
        <w:t>ed through 2019 Federal Election commitments to establish a further eight services</w:t>
      </w:r>
      <w:r w:rsidR="007E6404">
        <w:t>.</w:t>
      </w:r>
      <w:r>
        <w:t xml:space="preserve"> </w:t>
      </w:r>
      <w:r w:rsidRPr="001D6913">
        <w:t xml:space="preserve">As </w:t>
      </w:r>
      <w:r>
        <w:t xml:space="preserve">at </w:t>
      </w:r>
      <w:r w:rsidR="007E6404">
        <w:t>1 May 2022</w:t>
      </w:r>
      <w:r w:rsidRPr="001D6913">
        <w:t xml:space="preserve">, </w:t>
      </w:r>
      <w:r>
        <w:t>there were 1</w:t>
      </w:r>
      <w:r w:rsidR="007E6404">
        <w:t>5</w:t>
      </w:r>
      <w:r w:rsidR="002B2329">
        <w:t>4</w:t>
      </w:r>
      <w:r w:rsidR="00CC0438">
        <w:rPr>
          <w:rFonts w:ascii="ZWAdobeF" w:hAnsi="ZWAdobeF" w:cs="ZWAdobeF"/>
          <w:sz w:val="2"/>
          <w:szCs w:val="2"/>
        </w:rPr>
        <w:t>59F</w:t>
      </w:r>
      <w:r>
        <w:rPr>
          <w:rStyle w:val="FootnoteReference"/>
        </w:rPr>
        <w:footnoteReference w:id="61"/>
      </w:r>
      <w:r w:rsidRPr="001D6913">
        <w:t xml:space="preserve"> </w:t>
      </w:r>
      <w:r>
        <w:t xml:space="preserve">headspace services </w:t>
      </w:r>
      <w:r w:rsidRPr="001D6913">
        <w:t>operating across Australia</w:t>
      </w:r>
      <w:r>
        <w:t>.</w:t>
      </w:r>
      <w:r w:rsidRPr="001D6913">
        <w:t xml:space="preserve"> </w:t>
      </w:r>
    </w:p>
    <w:p w14:paraId="32A9A4BD" w14:textId="7767F818" w:rsidR="004606B1" w:rsidRDefault="004606B1" w:rsidP="004606B1">
      <w:pPr>
        <w:pStyle w:val="BodyText"/>
      </w:pPr>
      <w:r>
        <w:t>These commitments have also introduced significant changes to delivery models across the network, with satellites and outreach models becoming more widespread to enable the network to reach young people living in smaller communities.</w:t>
      </w:r>
    </w:p>
    <w:p w14:paraId="7E1B8ED2" w14:textId="3CC5C412" w:rsidR="00C437DC" w:rsidRDefault="00C437DC" w:rsidP="003006A8">
      <w:pPr>
        <w:pStyle w:val="BodyText"/>
      </w:pPr>
      <w:r>
        <w:t>F</w:t>
      </w:r>
      <w:r w:rsidRPr="001D6913">
        <w:t xml:space="preserve">urther funding </w:t>
      </w:r>
      <w:r>
        <w:t xml:space="preserve">was </w:t>
      </w:r>
      <w:r w:rsidRPr="001D6913">
        <w:t>announced in the 2021</w:t>
      </w:r>
      <w:r>
        <w:noBreakHyphen/>
      </w:r>
      <w:r w:rsidRPr="001D6913">
        <w:t>22 Federal Budget</w:t>
      </w:r>
      <w:r>
        <w:t xml:space="preserve"> of $278.6 million over four years, which is targeted at:</w:t>
      </w:r>
    </w:p>
    <w:p w14:paraId="024304D4" w14:textId="633A3C48" w:rsidR="00C437DC" w:rsidRPr="001D6913" w:rsidRDefault="00C437DC" w:rsidP="00C437DC">
      <w:pPr>
        <w:pStyle w:val="Bullet1stlevel"/>
      </w:pPr>
      <w:r w:rsidRPr="00EF6110">
        <w:rPr>
          <w:lang w:eastAsia="en-AU"/>
        </w:rPr>
        <w:t>expand</w:t>
      </w:r>
      <w:r>
        <w:rPr>
          <w:lang w:eastAsia="en-AU"/>
        </w:rPr>
        <w:t xml:space="preserve">ing </w:t>
      </w:r>
      <w:r w:rsidRPr="00EF6110">
        <w:rPr>
          <w:lang w:eastAsia="en-AU"/>
        </w:rPr>
        <w:t xml:space="preserve">the national headspace network by establishing </w:t>
      </w:r>
      <w:r>
        <w:rPr>
          <w:lang w:eastAsia="en-AU"/>
        </w:rPr>
        <w:t>10</w:t>
      </w:r>
      <w:r w:rsidRPr="00EF6110">
        <w:rPr>
          <w:lang w:eastAsia="en-AU"/>
        </w:rPr>
        <w:t xml:space="preserve"> new </w:t>
      </w:r>
      <w:r>
        <w:rPr>
          <w:lang w:eastAsia="en-AU"/>
        </w:rPr>
        <w:t>headspace services</w:t>
      </w:r>
      <w:r w:rsidRPr="00EF6110">
        <w:rPr>
          <w:lang w:eastAsia="en-AU"/>
        </w:rPr>
        <w:t xml:space="preserve"> and upgrading five satellite services</w:t>
      </w:r>
      <w:r>
        <w:rPr>
          <w:lang w:eastAsia="en-AU"/>
        </w:rPr>
        <w:t xml:space="preserve"> to </w:t>
      </w:r>
      <w:r w:rsidR="004606B1">
        <w:rPr>
          <w:lang w:eastAsia="en-AU"/>
        </w:rPr>
        <w:t>headspace</w:t>
      </w:r>
      <w:r>
        <w:rPr>
          <w:lang w:eastAsia="en-AU"/>
        </w:rPr>
        <w:t xml:space="preserve"> centres</w:t>
      </w:r>
      <w:r w:rsidRPr="00EF6110">
        <w:rPr>
          <w:lang w:eastAsia="en-AU"/>
        </w:rPr>
        <w:t xml:space="preserve">, </w:t>
      </w:r>
      <w:r w:rsidR="001F287B">
        <w:rPr>
          <w:lang w:eastAsia="en-AU"/>
        </w:rPr>
        <w:t xml:space="preserve">and introducing one new satellite service, </w:t>
      </w:r>
      <w:r w:rsidRPr="00EF6110">
        <w:rPr>
          <w:lang w:eastAsia="en-AU"/>
        </w:rPr>
        <w:t xml:space="preserve">bringing the total number of </w:t>
      </w:r>
      <w:r>
        <w:rPr>
          <w:lang w:eastAsia="en-AU"/>
        </w:rPr>
        <w:t xml:space="preserve">open and planned </w:t>
      </w:r>
      <w:r w:rsidRPr="00EF6110">
        <w:rPr>
          <w:lang w:eastAsia="en-AU"/>
        </w:rPr>
        <w:t>headspace services across Australia to 164</w:t>
      </w:r>
      <w:r w:rsidR="00CC0438">
        <w:rPr>
          <w:rFonts w:ascii="ZWAdobeF" w:hAnsi="ZWAdobeF" w:cs="ZWAdobeF"/>
          <w:sz w:val="2"/>
          <w:szCs w:val="2"/>
          <w:lang w:eastAsia="en-AU"/>
        </w:rPr>
        <w:t>60F</w:t>
      </w:r>
      <w:r w:rsidRPr="00473F5A">
        <w:rPr>
          <w:rStyle w:val="FootnoteReference"/>
        </w:rPr>
        <w:footnoteReference w:id="62"/>
      </w:r>
      <w:r w:rsidR="000870F0">
        <w:rPr>
          <w:lang w:eastAsia="en-AU"/>
        </w:rPr>
        <w:t>,</w:t>
      </w:r>
    </w:p>
    <w:p w14:paraId="601CFA47" w14:textId="79FFB33E" w:rsidR="00C437DC" w:rsidRDefault="00C437DC" w:rsidP="00C437DC">
      <w:pPr>
        <w:pStyle w:val="Bullet1stlevel"/>
      </w:pPr>
      <w:r>
        <w:t>boosting clinical capacity at existing headspace services</w:t>
      </w:r>
      <w:r w:rsidR="001E1F80">
        <w:t>; and</w:t>
      </w:r>
    </w:p>
    <w:p w14:paraId="52BA57A7" w14:textId="772D49C8" w:rsidR="00C437DC" w:rsidRDefault="00C437DC" w:rsidP="00C437DC">
      <w:pPr>
        <w:pStyle w:val="Bullet1stlevel"/>
      </w:pPr>
      <w:r>
        <w:t>funding improve</w:t>
      </w:r>
      <w:r w:rsidR="00E92CCC">
        <w:t>d</w:t>
      </w:r>
      <w:r>
        <w:t xml:space="preserve"> coordination, system navigation and referral pathways, and improving access to culturally safe and accessible services. </w:t>
      </w:r>
    </w:p>
    <w:p w14:paraId="51C174B0" w14:textId="2098B475" w:rsidR="00C437DC" w:rsidRPr="001D6913" w:rsidRDefault="00C437DC" w:rsidP="00C437DC">
      <w:pPr>
        <w:pStyle w:val="BodyText"/>
      </w:pPr>
      <w:r w:rsidRPr="001D6913">
        <w:t xml:space="preserve">The </w:t>
      </w:r>
      <w:r w:rsidR="00F6119E">
        <w:t>Commonwealth</w:t>
      </w:r>
      <w:r w:rsidR="00F6119E" w:rsidRPr="001D6913">
        <w:t xml:space="preserve"> </w:t>
      </w:r>
      <w:r w:rsidRPr="001D6913">
        <w:t>Government contribute</w:t>
      </w:r>
      <w:r>
        <w:t>d</w:t>
      </w:r>
      <w:r w:rsidRPr="001D6913">
        <w:t xml:space="preserve"> approximately $</w:t>
      </w:r>
      <w:r>
        <w:t xml:space="preserve">101 million in </w:t>
      </w:r>
      <w:r w:rsidRPr="001D6913">
        <w:t>headspace</w:t>
      </w:r>
      <w:r>
        <w:t xml:space="preserve"> grant funding</w:t>
      </w:r>
      <w:r w:rsidR="00CC0438">
        <w:rPr>
          <w:rFonts w:ascii="ZWAdobeF" w:hAnsi="ZWAdobeF" w:cs="ZWAdobeF"/>
          <w:sz w:val="2"/>
          <w:szCs w:val="2"/>
        </w:rPr>
        <w:t>61F</w:t>
      </w:r>
      <w:r w:rsidR="00DD5CD0">
        <w:rPr>
          <w:rStyle w:val="FootnoteReference"/>
        </w:rPr>
        <w:footnoteReference w:id="63"/>
      </w:r>
      <w:r>
        <w:t xml:space="preserve"> to headspace services established by 30 June 2020 in 2019-20, with an additional</w:t>
      </w:r>
      <w:r w:rsidRPr="001D6913">
        <w:t xml:space="preserve"> $</w:t>
      </w:r>
      <w:r>
        <w:t>16.6</w:t>
      </w:r>
      <w:r w:rsidR="00F6119E">
        <w:t> </w:t>
      </w:r>
      <w:r w:rsidRPr="001D6913">
        <w:t xml:space="preserve">million </w:t>
      </w:r>
      <w:r>
        <w:t>provided to headspace National to support the headspace Network</w:t>
      </w:r>
      <w:r w:rsidR="00CC0438">
        <w:rPr>
          <w:rFonts w:ascii="ZWAdobeF" w:hAnsi="ZWAdobeF" w:cs="ZWAdobeF"/>
          <w:sz w:val="2"/>
          <w:szCs w:val="2"/>
        </w:rPr>
        <w:t>62F</w:t>
      </w:r>
      <w:r w:rsidRPr="001D6913">
        <w:rPr>
          <w:rStyle w:val="FootnoteReference"/>
        </w:rPr>
        <w:footnoteReference w:id="64"/>
      </w:r>
      <w:r>
        <w:t>.</w:t>
      </w:r>
      <w:r w:rsidRPr="001D6913">
        <w:t xml:space="preserve"> </w:t>
      </w:r>
      <w:r>
        <w:t>In addition to this funding,</w:t>
      </w:r>
      <w:r w:rsidRPr="001D6913">
        <w:t xml:space="preserve"> </w:t>
      </w:r>
      <w:r>
        <w:t>PHNs</w:t>
      </w:r>
      <w:r w:rsidRPr="001D6913">
        <w:t xml:space="preserve"> and other </w:t>
      </w:r>
      <w:r w:rsidR="007E31C9">
        <w:t>organisations, including state and territory governments</w:t>
      </w:r>
      <w:r w:rsidR="00F6119E">
        <w:t>,</w:t>
      </w:r>
      <w:r w:rsidR="007E31C9" w:rsidRPr="001D6913">
        <w:t xml:space="preserve"> </w:t>
      </w:r>
      <w:r w:rsidRPr="001D6913">
        <w:t>mak</w:t>
      </w:r>
      <w:r>
        <w:t>e</w:t>
      </w:r>
      <w:r w:rsidRPr="001D6913">
        <w:t xml:space="preserve"> further financial and in</w:t>
      </w:r>
      <w:r>
        <w:noBreakHyphen/>
      </w:r>
      <w:r w:rsidRPr="001D6913">
        <w:t>kind contributions</w:t>
      </w:r>
      <w:r>
        <w:t xml:space="preserve"> to delivering headspace services</w:t>
      </w:r>
      <w:r w:rsidRPr="001D6913">
        <w:t xml:space="preserve">. The provision of </w:t>
      </w:r>
      <w:r w:rsidR="007E1E47">
        <w:t xml:space="preserve">MBS </w:t>
      </w:r>
      <w:r w:rsidRPr="001D6913">
        <w:t xml:space="preserve">funded services by independent medical </w:t>
      </w:r>
      <w:r>
        <w:t>and allied health</w:t>
      </w:r>
      <w:r w:rsidRPr="001D6913">
        <w:t xml:space="preserve"> practitioners operating from </w:t>
      </w:r>
      <w:r>
        <w:t>headspace services</w:t>
      </w:r>
      <w:r w:rsidRPr="001D6913">
        <w:t xml:space="preserve"> is also a significant funding </w:t>
      </w:r>
      <w:r>
        <w:t>source</w:t>
      </w:r>
      <w:r w:rsidRPr="001D6913">
        <w:t>.</w:t>
      </w:r>
      <w:r w:rsidR="00020FE2">
        <w:t xml:space="preserve"> </w:t>
      </w:r>
      <w:r w:rsidRPr="001D6913">
        <w:t>Collectively, these income streams make headspace the largest and most comprehensive youth mental health program in Australia.</w:t>
      </w:r>
      <w:r>
        <w:t xml:space="preserve"> A more detailed analysis of the costs of providing headspace services is contained in Section </w:t>
      </w:r>
      <w:r>
        <w:fldChar w:fldCharType="begin" w:fldLock="1"/>
      </w:r>
      <w:r>
        <w:instrText xml:space="preserve"> REF _Ref80734575 \r \h </w:instrText>
      </w:r>
      <w:r>
        <w:fldChar w:fldCharType="separate"/>
      </w:r>
      <w:r w:rsidR="00AE4D34">
        <w:t>4.1</w:t>
      </w:r>
      <w:r>
        <w:fldChar w:fldCharType="end"/>
      </w:r>
      <w:r>
        <w:t>.</w:t>
      </w:r>
    </w:p>
    <w:p w14:paraId="49F3E481" w14:textId="07675847" w:rsidR="00563A96" w:rsidRPr="001D6913" w:rsidRDefault="00563A96" w:rsidP="00563A96">
      <w:pPr>
        <w:pStyle w:val="Heading3"/>
        <w:rPr>
          <w:lang w:eastAsia="en-AU"/>
        </w:rPr>
      </w:pPr>
      <w:bookmarkStart w:id="46" w:name="_Ref98365279"/>
      <w:r>
        <w:rPr>
          <w:lang w:eastAsia="en-AU"/>
        </w:rPr>
        <w:t xml:space="preserve">headspace </w:t>
      </w:r>
      <w:r w:rsidR="00DD7AA5">
        <w:rPr>
          <w:lang w:eastAsia="en-AU"/>
        </w:rPr>
        <w:t xml:space="preserve">governance </w:t>
      </w:r>
      <w:r>
        <w:rPr>
          <w:lang w:eastAsia="en-AU"/>
        </w:rPr>
        <w:t>stakeholder groups</w:t>
      </w:r>
      <w:bookmarkEnd w:id="46"/>
    </w:p>
    <w:p w14:paraId="670CCC2D" w14:textId="76FA0302" w:rsidR="002A6EBD" w:rsidRDefault="002A6EBD" w:rsidP="00E61CDA">
      <w:pPr>
        <w:pStyle w:val="BodyText"/>
      </w:pPr>
      <w:r>
        <w:rPr>
          <w:bCs/>
        </w:rPr>
        <w:t xml:space="preserve">headspace is delivered through a distributed governance model which involves participants at the national, regional and community levels. </w:t>
      </w:r>
      <w:r w:rsidR="00344A92">
        <w:fldChar w:fldCharType="begin" w:fldLock="1"/>
      </w:r>
      <w:r w:rsidR="00344A92">
        <w:rPr>
          <w:bCs/>
        </w:rPr>
        <w:instrText xml:space="preserve"> REF _Ref97750025 \h </w:instrText>
      </w:r>
      <w:r w:rsidR="00344A92">
        <w:fldChar w:fldCharType="separate"/>
      </w:r>
      <w:r w:rsidR="00AE4D34">
        <w:t xml:space="preserve">Figure </w:t>
      </w:r>
      <w:r w:rsidR="00AE4D34">
        <w:rPr>
          <w:noProof/>
        </w:rPr>
        <w:t>7</w:t>
      </w:r>
      <w:r w:rsidR="00344A92">
        <w:fldChar w:fldCharType="end"/>
      </w:r>
      <w:r w:rsidR="00592F46">
        <w:t xml:space="preserve"> provides a high-level illustration of how key partners work together to deliver headspace. The role of each</w:t>
      </w:r>
      <w:r w:rsidR="00373FE0">
        <w:t xml:space="preserve"> key partner</w:t>
      </w:r>
      <w:r w:rsidR="00592F46">
        <w:t xml:space="preserve"> is described in greater detail in the following sections.</w:t>
      </w:r>
    </w:p>
    <w:p w14:paraId="7101CF9C" w14:textId="2572255A" w:rsidR="002A6EBD" w:rsidRDefault="002A6EBD" w:rsidP="002A6EBD">
      <w:pPr>
        <w:pStyle w:val="Caption"/>
        <w:jc w:val="both"/>
      </w:pPr>
      <w:bookmarkStart w:id="47" w:name="_Ref97750025"/>
      <w:bookmarkStart w:id="48" w:name="_Toc108109192"/>
      <w:r>
        <w:t xml:space="preserve">Figure </w:t>
      </w:r>
      <w:r>
        <w:fldChar w:fldCharType="begin"/>
      </w:r>
      <w:r>
        <w:instrText>SEQ Figure \* ARABIC</w:instrText>
      </w:r>
      <w:r>
        <w:fldChar w:fldCharType="separate"/>
      </w:r>
      <w:r w:rsidR="00CC0438">
        <w:rPr>
          <w:noProof/>
        </w:rPr>
        <w:t>7</w:t>
      </w:r>
      <w:r>
        <w:fldChar w:fldCharType="end"/>
      </w:r>
      <w:bookmarkEnd w:id="47"/>
      <w:r>
        <w:t>: headspace governance structure and partners, as at January 2022</w:t>
      </w:r>
      <w:bookmarkEnd w:id="48"/>
    </w:p>
    <w:p w14:paraId="6D8677C6" w14:textId="6F9C6758" w:rsidR="002A6EBD" w:rsidRDefault="00706516" w:rsidP="003006A8">
      <w:pPr>
        <w:pStyle w:val="BodyText"/>
      </w:pPr>
      <w:r>
        <w:rPr>
          <w:noProof/>
        </w:rPr>
        <w:drawing>
          <wp:inline distT="0" distB="0" distL="0" distR="0" wp14:anchorId="41254682" wp14:editId="62B9BDA1">
            <wp:extent cx="5811944" cy="4221000"/>
            <wp:effectExtent l="0" t="0" r="0" b="8255"/>
            <wp:docPr id="1024" name="Picture 1024" descr="Figure 7 is a diagram demonstrating the relationship between organisations and agencies involved in the governance of the headspace model.&#10;The Commonwealth Department of Health is at the top of the diagram. The Department’s main relationship it with headspace National and Primary Health Networks. The Commonwealth provides funding for individual headspace services to PHNs, and funding to support the headspace network to headspace National. &#10;headspace National are advised by the headspace Youth National Reference Group, and headspace Family and Friends Reference Group, and headspace Aboriginal and Torres Strait Islander Advisory Group.&#10;headspace National works with Primary Health Networks as the commissioning bodies for local headspace services, to provide support for commission and establishment of new services.&#10;Primary Health Networks contract lead agencies for each headspace service, and each headspace service has an executive team responsible for service delivery. Each headspace service is also guided by a Local Youth Reference Group, which provides input on service delivery in line with local needs, and the local headspace community consortium, where partner organisations enhance the capacity of the headspace centre to meet local community needs.&#10;In addition to these roles, Delivery agencies also work with state government and other delivery partners who may contribute funding and other in-kind sup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descr="Figure 7 is a diagram demonstrating the relationship between organisations and agencies involved in the governance of the headspace model.&#10;The Commonwealth Department of Health is at the top of the diagram. The Department’s main relationship it with headspace National and Primary Health Networks. The Commonwealth provides funding for individual headspace services to PHNs, and funding to support the headspace network to headspace National. &#10;headspace National are advised by the headspace Youth National Reference Group, and headspace Family and Friends Reference Group, and headspace Aboriginal and Torres Strait Islander Advisory Group.&#10;headspace National works with Primary Health Networks as the commissioning bodies for local headspace services, to provide support for commission and establishment of new services.&#10;Primary Health Networks contract lead agencies for each headspace service, and each headspace service has an executive team responsible for service delivery. Each headspace service is also guided by a Local Youth Reference Group, which provides input on service delivery in line with local needs, and the local headspace community consortium, where partner organisations enhance the capacity of the headspace centre to meet local community needs.&#10;In addition to these roles, Delivery agencies also work with state government and other delivery partners who may contribute funding and other in-kind supports.&#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7144" cy="4232039"/>
                    </a:xfrm>
                    <a:prstGeom prst="rect">
                      <a:avLst/>
                    </a:prstGeom>
                    <a:noFill/>
                  </pic:spPr>
                </pic:pic>
              </a:graphicData>
            </a:graphic>
          </wp:inline>
        </w:drawing>
      </w:r>
    </w:p>
    <w:p w14:paraId="5AADDA8B" w14:textId="77777777" w:rsidR="002A6EBD" w:rsidRPr="003877A9" w:rsidRDefault="002A6EBD" w:rsidP="002A6EBD">
      <w:pPr>
        <w:pStyle w:val="Source"/>
        <w:rPr>
          <w:bCs/>
        </w:rPr>
      </w:pPr>
      <w:r w:rsidRPr="00341150">
        <w:t>Source: KPMG</w:t>
      </w:r>
      <w:r>
        <w:t xml:space="preserve"> 2022</w:t>
      </w:r>
    </w:p>
    <w:p w14:paraId="5C36B631" w14:textId="5A81186F" w:rsidR="00E01DCC" w:rsidRPr="001D6913" w:rsidRDefault="00E01DCC" w:rsidP="00682DA9">
      <w:pPr>
        <w:pStyle w:val="Heading4"/>
        <w:numPr>
          <w:ilvl w:val="0"/>
          <w:numId w:val="0"/>
        </w:numPr>
      </w:pPr>
      <w:r w:rsidRPr="001D6913">
        <w:t>Commonwealth Government</w:t>
      </w:r>
    </w:p>
    <w:p w14:paraId="02D481ED" w14:textId="08E3B34A" w:rsidR="00D00EC0" w:rsidRDefault="00D00EC0" w:rsidP="00BF45BE">
      <w:pPr>
        <w:pStyle w:val="BodyText"/>
        <w:rPr>
          <w:lang w:eastAsia="en-AU"/>
        </w:rPr>
      </w:pPr>
      <w:r>
        <w:rPr>
          <w:lang w:eastAsia="en-AU"/>
        </w:rPr>
        <w:t xml:space="preserve">The Commonwealth Government funds a range of services related to mental health through the </w:t>
      </w:r>
      <w:r w:rsidR="00195FF0">
        <w:rPr>
          <w:lang w:eastAsia="en-AU"/>
        </w:rPr>
        <w:t>MBS</w:t>
      </w:r>
      <w:r>
        <w:rPr>
          <w:lang w:eastAsia="en-AU"/>
        </w:rPr>
        <w:t xml:space="preserve"> and Pharmaceutical Benefits Scheme (PBS), as well as mental health services through PHNs</w:t>
      </w:r>
      <w:r w:rsidR="00AF6554">
        <w:rPr>
          <w:lang w:eastAsia="en-AU"/>
        </w:rPr>
        <w:t xml:space="preserve"> (such as headspace)</w:t>
      </w:r>
      <w:r>
        <w:rPr>
          <w:lang w:eastAsia="en-AU"/>
        </w:rPr>
        <w:t xml:space="preserve">. These include providing </w:t>
      </w:r>
      <w:r w:rsidR="00F46878">
        <w:rPr>
          <w:lang w:eastAsia="en-AU"/>
        </w:rPr>
        <w:t>MBS funding</w:t>
      </w:r>
      <w:r w:rsidR="00077E23">
        <w:rPr>
          <w:lang w:eastAsia="en-AU"/>
        </w:rPr>
        <w:t xml:space="preserve"> for mental health support</w:t>
      </w:r>
      <w:r w:rsidR="00F46878">
        <w:rPr>
          <w:lang w:eastAsia="en-AU"/>
        </w:rPr>
        <w:t xml:space="preserve"> </w:t>
      </w:r>
      <w:r>
        <w:rPr>
          <w:lang w:eastAsia="en-AU"/>
        </w:rPr>
        <w:t xml:space="preserve">with specialist medical practitioners, </w:t>
      </w:r>
      <w:r w:rsidRPr="5607F745">
        <w:rPr>
          <w:lang w:eastAsia="en-AU"/>
        </w:rPr>
        <w:t>psychiatrists</w:t>
      </w:r>
      <w:r w:rsidR="00F46878">
        <w:rPr>
          <w:lang w:eastAsia="en-AU"/>
        </w:rPr>
        <w:t>,</w:t>
      </w:r>
      <w:r w:rsidRPr="5607F745">
        <w:rPr>
          <w:lang w:eastAsia="en-AU"/>
        </w:rPr>
        <w:t xml:space="preserve"> </w:t>
      </w:r>
      <w:r w:rsidR="004D6320">
        <w:rPr>
          <w:lang w:eastAsia="en-AU"/>
        </w:rPr>
        <w:t>GPs</w:t>
      </w:r>
      <w:r>
        <w:rPr>
          <w:lang w:eastAsia="en-AU"/>
        </w:rPr>
        <w:t xml:space="preserve">, psychologists and other allied health professions. The Commonwealth Government also funds other related services </w:t>
      </w:r>
      <w:r w:rsidR="4FCF9907" w:rsidRPr="10A471A4">
        <w:rPr>
          <w:lang w:eastAsia="en-AU"/>
        </w:rPr>
        <w:t>that can be critical for people living</w:t>
      </w:r>
      <w:r>
        <w:rPr>
          <w:lang w:eastAsia="en-AU"/>
        </w:rPr>
        <w:t xml:space="preserve"> with mental </w:t>
      </w:r>
      <w:r w:rsidR="004D6320">
        <w:rPr>
          <w:lang w:eastAsia="en-AU"/>
        </w:rPr>
        <w:t>ill-health</w:t>
      </w:r>
      <w:r>
        <w:rPr>
          <w:lang w:eastAsia="en-AU"/>
        </w:rPr>
        <w:t>, including income support, social and community support, the National Disability Insurance Scheme (NDIS), workforce participation programs and housing support.</w:t>
      </w:r>
    </w:p>
    <w:p w14:paraId="190101E6" w14:textId="557263B0" w:rsidR="003D6B8D" w:rsidRPr="001D6913" w:rsidRDefault="000C6415" w:rsidP="00BF45BE">
      <w:pPr>
        <w:pStyle w:val="BodyText"/>
        <w:rPr>
          <w:lang w:eastAsia="en-AU"/>
        </w:rPr>
      </w:pPr>
      <w:r w:rsidRPr="001D6913">
        <w:rPr>
          <w:lang w:eastAsia="en-AU"/>
        </w:rPr>
        <w:t xml:space="preserve">The Commonwealth Government provides the principal source of funding for headspace through </w:t>
      </w:r>
      <w:r w:rsidR="00897311" w:rsidRPr="001D6913">
        <w:rPr>
          <w:lang w:eastAsia="en-AU"/>
        </w:rPr>
        <w:t xml:space="preserve">the Health portfolio, </w:t>
      </w:r>
      <w:r w:rsidR="00694CA3" w:rsidRPr="001D6913">
        <w:rPr>
          <w:lang w:eastAsia="en-AU"/>
        </w:rPr>
        <w:t>and provides core funding for the operation</w:t>
      </w:r>
      <w:r w:rsidR="00FA566A" w:rsidRPr="001D6913">
        <w:rPr>
          <w:lang w:eastAsia="en-AU"/>
        </w:rPr>
        <w:t xml:space="preserve"> of each headspace </w:t>
      </w:r>
      <w:r w:rsidR="0047155C">
        <w:rPr>
          <w:lang w:eastAsia="en-AU"/>
        </w:rPr>
        <w:t>service</w:t>
      </w:r>
      <w:r w:rsidR="00FA566A" w:rsidRPr="001D6913">
        <w:rPr>
          <w:lang w:eastAsia="en-AU"/>
        </w:rPr>
        <w:t xml:space="preserve"> in the network, as well as to headspace National</w:t>
      </w:r>
      <w:r w:rsidR="003F2690" w:rsidRPr="001D6913">
        <w:rPr>
          <w:lang w:eastAsia="en-AU"/>
        </w:rPr>
        <w:t>.</w:t>
      </w:r>
      <w:r w:rsidR="001C1DE0" w:rsidRPr="001D6913">
        <w:rPr>
          <w:lang w:eastAsia="en-AU"/>
        </w:rPr>
        <w:t xml:space="preserve"> In its role as principal funder, the Commonwealth Government works with </w:t>
      </w:r>
      <w:r w:rsidR="002418CE" w:rsidRPr="001D6913">
        <w:rPr>
          <w:lang w:eastAsia="en-AU"/>
        </w:rPr>
        <w:t xml:space="preserve">headspace National and </w:t>
      </w:r>
      <w:r w:rsidR="009A1F0C">
        <w:rPr>
          <w:lang w:eastAsia="en-AU"/>
        </w:rPr>
        <w:t>PHN</w:t>
      </w:r>
      <w:r w:rsidR="002418CE" w:rsidRPr="001D6913">
        <w:rPr>
          <w:lang w:eastAsia="en-AU"/>
        </w:rPr>
        <w:t>s to</w:t>
      </w:r>
      <w:r w:rsidR="003D6B8D" w:rsidRPr="001D6913">
        <w:rPr>
          <w:lang w:eastAsia="en-AU"/>
        </w:rPr>
        <w:t>:</w:t>
      </w:r>
    </w:p>
    <w:p w14:paraId="6C94554E" w14:textId="2DAB0082" w:rsidR="00DF7FC9" w:rsidRDefault="002F63F7" w:rsidP="00DF7FC9">
      <w:pPr>
        <w:pStyle w:val="Bullet1stlevel"/>
      </w:pPr>
      <w:r>
        <w:t>p</w:t>
      </w:r>
      <w:r w:rsidR="00DF7FC9">
        <w:t xml:space="preserve">rovide policy and program oversight to youth mental health initiatives, including the National headspace </w:t>
      </w:r>
      <w:r w:rsidR="006E6C4E">
        <w:t>P</w:t>
      </w:r>
      <w:r w:rsidR="00DF7FC9">
        <w:t>rogram</w:t>
      </w:r>
      <w:r w:rsidR="003B112A">
        <w:t>;</w:t>
      </w:r>
    </w:p>
    <w:p w14:paraId="11998A46" w14:textId="6136B48A" w:rsidR="00DF7FC9" w:rsidRDefault="002F63F7" w:rsidP="00DF7FC9">
      <w:pPr>
        <w:pStyle w:val="Bullet1stlevel"/>
      </w:pPr>
      <w:r>
        <w:t>i</w:t>
      </w:r>
      <w:r w:rsidR="00DF7FC9">
        <w:t>mprove access to mental health services for young people through the development and implementation of new policy measures</w:t>
      </w:r>
      <w:r w:rsidR="003B112A">
        <w:t>;</w:t>
      </w:r>
    </w:p>
    <w:p w14:paraId="11BFCCC3" w14:textId="610A0B3F" w:rsidR="00DF7FC9" w:rsidRDefault="002F63F7" w:rsidP="00DF7FC9">
      <w:pPr>
        <w:pStyle w:val="Bullet1stlevel"/>
      </w:pPr>
      <w:r>
        <w:t>d</w:t>
      </w:r>
      <w:r w:rsidR="00DF7FC9">
        <w:t>etermine funding levels for headspace services</w:t>
      </w:r>
      <w:r w:rsidR="003B112A">
        <w:t>;</w:t>
      </w:r>
    </w:p>
    <w:p w14:paraId="09447CEC" w14:textId="722CAC69" w:rsidR="009D2F9D" w:rsidRPr="001D6913" w:rsidRDefault="0F6CD936" w:rsidP="00DB27BE">
      <w:pPr>
        <w:pStyle w:val="Bullet1stlevel"/>
      </w:pPr>
      <w:r>
        <w:t>m</w:t>
      </w:r>
      <w:r w:rsidR="5F288DAB">
        <w:t>anage the grants arrangements in place to support the headspace program, including those with each PHN and headspace National</w:t>
      </w:r>
      <w:r w:rsidR="003B112A">
        <w:t>; and</w:t>
      </w:r>
    </w:p>
    <w:p w14:paraId="521AC13E" w14:textId="7C16EB12" w:rsidR="009D2F9D" w:rsidRDefault="002F63F7" w:rsidP="00F11EF8">
      <w:pPr>
        <w:pStyle w:val="Bullet1stlevel"/>
      </w:pPr>
      <w:r>
        <w:t>c</w:t>
      </w:r>
      <w:r w:rsidR="00DF7FC9">
        <w:t xml:space="preserve">ontribute to </w:t>
      </w:r>
      <w:r w:rsidR="0D4483E5">
        <w:t>broader</w:t>
      </w:r>
      <w:r w:rsidR="00DF7FC9">
        <w:t xml:space="preserve"> mental health sector reform activities.</w:t>
      </w:r>
    </w:p>
    <w:p w14:paraId="0D941A13" w14:textId="283C0117" w:rsidR="00CE533F" w:rsidRPr="001D6913" w:rsidRDefault="00CE533F" w:rsidP="00CE533F">
      <w:pPr>
        <w:pStyle w:val="BodyText"/>
      </w:pPr>
      <w:r w:rsidRPr="00CE533F">
        <w:t>Commonwealth and state and territory levels of government also provide support to population mental health support services, such as Lifeline, Beyond Blue, and Kids Helpline.</w:t>
      </w:r>
    </w:p>
    <w:p w14:paraId="639A9293" w14:textId="3DF39F47" w:rsidR="00564A62" w:rsidRPr="001D6913" w:rsidRDefault="00564A62" w:rsidP="00ED3129">
      <w:pPr>
        <w:pStyle w:val="Heading4"/>
      </w:pPr>
      <w:r w:rsidRPr="001D6913">
        <w:t xml:space="preserve">Primary Health Networks </w:t>
      </w:r>
    </w:p>
    <w:p w14:paraId="585BB859" w14:textId="2261DF86" w:rsidR="00FB6055" w:rsidRDefault="00FB6055" w:rsidP="00DB27BE">
      <w:pPr>
        <w:pStyle w:val="BodyText"/>
      </w:pPr>
      <w:r>
        <w:t>Since 2016, Commonwealth Government funding for headspace services has been delivered through PHNs through grant agreements, in a local commissioning model. PHNs</w:t>
      </w:r>
      <w:r w:rsidR="00FB179A">
        <w:t xml:space="preserve"> are responsible for commissioning headspace services in li</w:t>
      </w:r>
      <w:r w:rsidR="00BF3D01">
        <w:t>ne with the hMIF,</w:t>
      </w:r>
      <w:r>
        <w:t xml:space="preserve"> have a contractual relationship with the lead agency running the service, and work with services to ensure the focus of each is aligned to local need. </w:t>
      </w:r>
      <w:r w:rsidR="00BF3D01">
        <w:t xml:space="preserve">PHNs also work </w:t>
      </w:r>
      <w:r w:rsidR="003019DB">
        <w:t>with headspace National to commission new headspace services.</w:t>
      </w:r>
    </w:p>
    <w:p w14:paraId="51BC1462" w14:textId="4665400C" w:rsidR="00FB6055" w:rsidRDefault="00FB6055" w:rsidP="00DB27BE">
      <w:pPr>
        <w:pStyle w:val="BodyText"/>
      </w:pPr>
      <w:r>
        <w:t>PHNs are</w:t>
      </w:r>
      <w:r w:rsidR="00560F4A">
        <w:t xml:space="preserve"> more generally</w:t>
      </w:r>
      <w:r>
        <w:t xml:space="preserve"> responsible for conducting local needs analyses, assessing the health care needs of their community and to commission health services to align with those needs</w:t>
      </w:r>
      <w:hyperlink r:id="rId25" w:anchor="_ftn2" w:history="1">
        <w:r>
          <w:rPr>
            <w:rStyle w:val="Hyperlink"/>
            <w:rFonts w:cs="Calibri"/>
            <w:szCs w:val="20"/>
            <w:vertAlign w:val="superscript"/>
          </w:rPr>
          <w:t>[2]</w:t>
        </w:r>
      </w:hyperlink>
      <w:r w:rsidR="007F113E">
        <w:t>.</w:t>
      </w:r>
      <w:r>
        <w:t xml:space="preserve"> PHNs also have a key role in assisting services to connect with each other, and to support shared care and seamless service transition for clients who need to access more than one provider for their health care needs.</w:t>
      </w:r>
    </w:p>
    <w:p w14:paraId="3766DC94" w14:textId="50DF4339" w:rsidR="00FB6055" w:rsidRDefault="00FB6055" w:rsidP="00DB27BE">
      <w:pPr>
        <w:pStyle w:val="BodyText"/>
      </w:pPr>
      <w:r>
        <w:t xml:space="preserve">Through this commissioning relationship, PHNs and headspace services work to provide localised offerings and staffing that respond to the presenting needs of the local community, and connections, partnerships and referral pathways across the local service landscape. </w:t>
      </w:r>
      <w:r w:rsidR="00514163">
        <w:t xml:space="preserve">More discussion of </w:t>
      </w:r>
      <w:r w:rsidR="00482A9D">
        <w:t xml:space="preserve">the impact of the introduction of PHN commissioning is contained in Section </w:t>
      </w:r>
      <w:r w:rsidR="00482A9D">
        <w:fldChar w:fldCharType="begin" w:fldLock="1"/>
      </w:r>
      <w:r w:rsidR="00482A9D">
        <w:instrText xml:space="preserve"> REF _Ref98328386 \r \h </w:instrText>
      </w:r>
      <w:r w:rsidR="00482A9D">
        <w:fldChar w:fldCharType="separate"/>
      </w:r>
      <w:r w:rsidR="00482A9D">
        <w:t>5.4.3</w:t>
      </w:r>
      <w:r w:rsidR="00482A9D">
        <w:fldChar w:fldCharType="end"/>
      </w:r>
      <w:r w:rsidR="00482A9D">
        <w:t xml:space="preserve"> and Appendix </w:t>
      </w:r>
      <w:r w:rsidR="00482A9D">
        <w:fldChar w:fldCharType="begin" w:fldLock="1"/>
      </w:r>
      <w:r w:rsidR="00482A9D">
        <w:instrText xml:space="preserve"> REF _Ref98326363 \r \h </w:instrText>
      </w:r>
      <w:r w:rsidR="00482A9D">
        <w:fldChar w:fldCharType="separate"/>
      </w:r>
      <w:r w:rsidR="00482A9D">
        <w:t>D.8</w:t>
      </w:r>
      <w:r w:rsidR="00482A9D">
        <w:fldChar w:fldCharType="end"/>
      </w:r>
      <w:r w:rsidR="00482A9D">
        <w:t>.</w:t>
      </w:r>
    </w:p>
    <w:p w14:paraId="578A53A6" w14:textId="77777777" w:rsidR="00BE3FE0" w:rsidRPr="001D6913" w:rsidRDefault="00BE3FE0" w:rsidP="00BE3FE0">
      <w:pPr>
        <w:pStyle w:val="Heading4"/>
      </w:pPr>
      <w:r w:rsidRPr="001D6913">
        <w:t>headspace National</w:t>
      </w:r>
    </w:p>
    <w:p w14:paraId="6B63EABC" w14:textId="146B3E55" w:rsidR="007A359F" w:rsidRDefault="008676C4" w:rsidP="00BE3FE0">
      <w:pPr>
        <w:pStyle w:val="BodyText"/>
        <w:rPr>
          <w:lang w:eastAsia="en-AU"/>
        </w:rPr>
      </w:pPr>
      <w:r>
        <w:rPr>
          <w:lang w:eastAsia="en-AU"/>
        </w:rPr>
        <w:t xml:space="preserve">The </w:t>
      </w:r>
      <w:r w:rsidRPr="0066190D">
        <w:rPr>
          <w:lang w:eastAsia="en-AU"/>
        </w:rPr>
        <w:t>headspace National Youth Mental Health Foundation</w:t>
      </w:r>
      <w:r>
        <w:rPr>
          <w:lang w:eastAsia="en-AU"/>
        </w:rPr>
        <w:t xml:space="preserve"> (headspace National)</w:t>
      </w:r>
      <w:r w:rsidRPr="0066190D">
        <w:rPr>
          <w:lang w:eastAsia="en-AU"/>
        </w:rPr>
        <w:t xml:space="preserve"> was designed and developed in 2005 as a national program of reform, aimed at enhancing access, coordination and quality of services in youth mental health. The founding consorti</w:t>
      </w:r>
      <w:r>
        <w:rPr>
          <w:lang w:eastAsia="en-AU"/>
        </w:rPr>
        <w:t>um</w:t>
      </w:r>
      <w:r w:rsidRPr="0066190D">
        <w:rPr>
          <w:lang w:eastAsia="en-AU"/>
        </w:rPr>
        <w:t xml:space="preserve"> of what is now headspace </w:t>
      </w:r>
      <w:r>
        <w:rPr>
          <w:lang w:eastAsia="en-AU"/>
        </w:rPr>
        <w:t xml:space="preserve">National </w:t>
      </w:r>
      <w:r w:rsidRPr="0066190D">
        <w:rPr>
          <w:lang w:eastAsia="en-AU"/>
        </w:rPr>
        <w:t>was led by Orygen Research Centre in partnership with the University of Melbourne, The Brain and Mind Research Institute (BMRI) a</w:t>
      </w:r>
      <w:r>
        <w:rPr>
          <w:lang w:eastAsia="en-AU"/>
        </w:rPr>
        <w:t>t</w:t>
      </w:r>
      <w:r w:rsidRPr="0066190D">
        <w:rPr>
          <w:lang w:eastAsia="en-AU"/>
        </w:rPr>
        <w:t xml:space="preserve"> the University of Sydney, the Australian General Practice Network and the </w:t>
      </w:r>
      <w:r>
        <w:rPr>
          <w:lang w:eastAsia="en-AU"/>
        </w:rPr>
        <w:t>Australian Psychological Society</w:t>
      </w:r>
      <w:r w:rsidR="00CC0438">
        <w:rPr>
          <w:rFonts w:ascii="ZWAdobeF" w:hAnsi="ZWAdobeF" w:cs="ZWAdobeF"/>
          <w:sz w:val="2"/>
          <w:szCs w:val="2"/>
          <w:lang w:eastAsia="en-AU"/>
        </w:rPr>
        <w:t>63F</w:t>
      </w:r>
      <w:r w:rsidRPr="001D6913">
        <w:rPr>
          <w:rStyle w:val="FootnoteReference"/>
          <w:lang w:eastAsia="en-AU"/>
        </w:rPr>
        <w:footnoteReference w:id="65"/>
      </w:r>
      <w:r>
        <w:rPr>
          <w:lang w:eastAsia="en-AU"/>
        </w:rPr>
        <w:t>.</w:t>
      </w:r>
      <w:r w:rsidRPr="001D6913">
        <w:rPr>
          <w:lang w:eastAsia="en-AU"/>
        </w:rPr>
        <w:t xml:space="preserve"> </w:t>
      </w:r>
      <w:r w:rsidR="00BE3FE0">
        <w:t>headspace National</w:t>
      </w:r>
      <w:r w:rsidR="00BE3FE0" w:rsidRPr="001D6913">
        <w:t xml:space="preserve"> is a company limited by guarantee, classified as a health promotion charity</w:t>
      </w:r>
      <w:r w:rsidR="00CC0438">
        <w:rPr>
          <w:rFonts w:ascii="ZWAdobeF" w:hAnsi="ZWAdobeF" w:cs="ZWAdobeF"/>
          <w:sz w:val="2"/>
          <w:szCs w:val="2"/>
        </w:rPr>
        <w:t>64F</w:t>
      </w:r>
      <w:r w:rsidR="00BE3FE0" w:rsidRPr="001D6913">
        <w:rPr>
          <w:rStyle w:val="FootnoteReference"/>
          <w:lang w:eastAsia="en-AU"/>
        </w:rPr>
        <w:footnoteReference w:id="66"/>
      </w:r>
      <w:r w:rsidR="00BE3FE0">
        <w:t>.</w:t>
      </w:r>
      <w:r w:rsidR="00BE3FE0" w:rsidRPr="001D6913">
        <w:t xml:space="preserve"> </w:t>
      </w:r>
      <w:r w:rsidR="00BE3FE0">
        <w:rPr>
          <w:lang w:eastAsia="en-AU"/>
        </w:rPr>
        <w:t>With</w:t>
      </w:r>
      <w:r w:rsidR="00BE3FE0" w:rsidRPr="001D6913">
        <w:rPr>
          <w:lang w:eastAsia="en-AU"/>
        </w:rPr>
        <w:t xml:space="preserve"> the shift to a local commissioning approach</w:t>
      </w:r>
      <w:r w:rsidR="00BE3FE0">
        <w:rPr>
          <w:lang w:eastAsia="en-AU"/>
        </w:rPr>
        <w:t xml:space="preserve"> through PHNs</w:t>
      </w:r>
      <w:r w:rsidR="00BE3FE0" w:rsidRPr="001D6913">
        <w:rPr>
          <w:lang w:eastAsia="en-AU"/>
        </w:rPr>
        <w:t xml:space="preserve">, headspace National’s role changed substantially from commissioner to one focused </w:t>
      </w:r>
      <w:r w:rsidR="3E73D6A2" w:rsidRPr="001D6913">
        <w:rPr>
          <w:lang w:eastAsia="en-AU"/>
        </w:rPr>
        <w:t xml:space="preserve">more specifically </w:t>
      </w:r>
      <w:r w:rsidR="00BE3FE0" w:rsidRPr="001D6913">
        <w:rPr>
          <w:lang w:eastAsia="en-AU"/>
        </w:rPr>
        <w:t xml:space="preserve">on the headspace model itself. </w:t>
      </w:r>
      <w:r w:rsidR="00892EBB">
        <w:rPr>
          <w:lang w:eastAsia="en-AU"/>
        </w:rPr>
        <w:t>headspace National continues to support PHN</w:t>
      </w:r>
      <w:r w:rsidR="00A64354">
        <w:rPr>
          <w:lang w:eastAsia="en-AU"/>
        </w:rPr>
        <w:t>s to commission headspace services, in accordance with the model</w:t>
      </w:r>
      <w:r w:rsidR="009052B6">
        <w:rPr>
          <w:lang w:eastAsia="en-AU"/>
        </w:rPr>
        <w:t>, to support model fidelity.</w:t>
      </w:r>
    </w:p>
    <w:p w14:paraId="3DC62D2F" w14:textId="1BEE1A3E" w:rsidR="00DF0C5A" w:rsidRDefault="00BE3FE0" w:rsidP="00BE3FE0">
      <w:pPr>
        <w:pStyle w:val="BodyText"/>
      </w:pPr>
      <w:r w:rsidRPr="001D6913">
        <w:rPr>
          <w:lang w:eastAsia="en-AU"/>
        </w:rPr>
        <w:t xml:space="preserve">headspace National holds the </w:t>
      </w:r>
      <w:r>
        <w:rPr>
          <w:lang w:eastAsia="en-AU"/>
        </w:rPr>
        <w:t xml:space="preserve">TMLD </w:t>
      </w:r>
      <w:r w:rsidRPr="001D6913">
        <w:rPr>
          <w:lang w:eastAsia="en-AU"/>
        </w:rPr>
        <w:t>for the</w:t>
      </w:r>
      <w:r w:rsidR="004C0FC6">
        <w:rPr>
          <w:lang w:eastAsia="en-AU"/>
        </w:rPr>
        <w:t xml:space="preserve"> headspace </w:t>
      </w:r>
      <w:r w:rsidR="001F2443">
        <w:rPr>
          <w:lang w:eastAsia="en-AU"/>
        </w:rPr>
        <w:t>model</w:t>
      </w:r>
      <w:r w:rsidR="00674884">
        <w:rPr>
          <w:lang w:eastAsia="en-AU"/>
        </w:rPr>
        <w:t>, as set out in the hMIF</w:t>
      </w:r>
      <w:r w:rsidRPr="001D6913">
        <w:rPr>
          <w:lang w:eastAsia="en-AU"/>
        </w:rPr>
        <w:t>.</w:t>
      </w:r>
      <w:r w:rsidR="00DF0C5A">
        <w:rPr>
          <w:lang w:eastAsia="en-AU"/>
        </w:rPr>
        <w:t xml:space="preserve"> </w:t>
      </w:r>
      <w:r w:rsidR="00DF0C5A">
        <w:t>A</w:t>
      </w:r>
      <w:r w:rsidR="00DF0C5A" w:rsidRPr="001D6913">
        <w:t xml:space="preserve">ll </w:t>
      </w:r>
      <w:r w:rsidR="00DF0C5A">
        <w:t>headspace services</w:t>
      </w:r>
      <w:r w:rsidR="00DF0C5A" w:rsidRPr="001D6913">
        <w:t xml:space="preserve"> must undertake accreditation every three years with </w:t>
      </w:r>
      <w:r w:rsidR="00DF0C5A">
        <w:t>headspace National.</w:t>
      </w:r>
      <w:r w:rsidR="00DF0C5A" w:rsidRPr="001D6913">
        <w:t xml:space="preserve"> </w:t>
      </w:r>
      <w:r w:rsidR="00DF0C5A">
        <w:t xml:space="preserve">The accreditation process is similar to a detailed performance audit, where documentary evidence is submitted to headspace National demonstrating that the </w:t>
      </w:r>
      <w:r w:rsidR="00D35516">
        <w:t>headspace service</w:t>
      </w:r>
      <w:r w:rsidR="00DF0C5A">
        <w:t xml:space="preserve"> is operating in line with each component of the </w:t>
      </w:r>
      <w:r w:rsidR="00DF1C0F">
        <w:t>hMIF</w:t>
      </w:r>
      <w:r w:rsidR="00DF0C5A">
        <w:t>.</w:t>
      </w:r>
    </w:p>
    <w:p w14:paraId="70B7FE83" w14:textId="25797F3A" w:rsidR="00BE3FE0" w:rsidRPr="001D6913" w:rsidRDefault="004E5CB9" w:rsidP="00BE3FE0">
      <w:pPr>
        <w:pStyle w:val="BodyText"/>
        <w:rPr>
          <w:lang w:eastAsia="en-AU"/>
        </w:rPr>
      </w:pPr>
      <w:r>
        <w:rPr>
          <w:lang w:eastAsia="en-AU"/>
        </w:rPr>
        <w:t>headspace National</w:t>
      </w:r>
      <w:r w:rsidR="00BE3FE0" w:rsidRPr="001D6913">
        <w:rPr>
          <w:lang w:eastAsia="en-AU"/>
        </w:rPr>
        <w:t xml:space="preserve"> is</w:t>
      </w:r>
      <w:r w:rsidR="0009043B">
        <w:rPr>
          <w:lang w:eastAsia="en-AU"/>
        </w:rPr>
        <w:t xml:space="preserve"> </w:t>
      </w:r>
      <w:r w:rsidR="00BE3FE0" w:rsidRPr="001D6913">
        <w:rPr>
          <w:lang w:eastAsia="en-AU"/>
        </w:rPr>
        <w:t xml:space="preserve">funded to provide national coordination and support for the headspace network of services, including in fidelity assessment and </w:t>
      </w:r>
      <w:r w:rsidR="00490234">
        <w:rPr>
          <w:lang w:eastAsia="en-AU"/>
        </w:rPr>
        <w:t>accreditation</w:t>
      </w:r>
      <w:r w:rsidR="00BE3FE0" w:rsidRPr="001D6913">
        <w:rPr>
          <w:lang w:eastAsia="en-AU"/>
        </w:rPr>
        <w:t xml:space="preserve"> of headspace </w:t>
      </w:r>
      <w:r w:rsidR="00BE3FE0">
        <w:rPr>
          <w:lang w:eastAsia="en-AU"/>
        </w:rPr>
        <w:t>services</w:t>
      </w:r>
      <w:r w:rsidR="00BE3FE0" w:rsidRPr="001D6913">
        <w:rPr>
          <w:lang w:eastAsia="en-AU"/>
        </w:rPr>
        <w:t xml:space="preserve"> under the model, in workforce training, education and development, in data collection and evaluation, and in monitoring and reporting to the </w:t>
      </w:r>
      <w:r w:rsidR="00E26016">
        <w:rPr>
          <w:lang w:eastAsia="en-AU"/>
        </w:rPr>
        <w:t>d</w:t>
      </w:r>
      <w:r w:rsidR="00981807">
        <w:rPr>
          <w:lang w:eastAsia="en-AU"/>
        </w:rPr>
        <w:t>epartment</w:t>
      </w:r>
      <w:r w:rsidR="00BE3FE0" w:rsidRPr="001D6913">
        <w:rPr>
          <w:lang w:eastAsia="en-AU"/>
        </w:rPr>
        <w:t xml:space="preserve"> and other funders. Alongside these activities, headspace National provides a range of services directly, such as eheadspace</w:t>
      </w:r>
      <w:r w:rsidR="00BE3FE0">
        <w:rPr>
          <w:lang w:eastAsia="en-AU"/>
        </w:rPr>
        <w:t xml:space="preserve"> and digital work and study services</w:t>
      </w:r>
      <w:r w:rsidR="00BE3FE0" w:rsidRPr="001D6913">
        <w:rPr>
          <w:lang w:eastAsia="en-AU"/>
        </w:rPr>
        <w:t>, and delivers national community awareness campaigns and other enabling activities.</w:t>
      </w:r>
    </w:p>
    <w:p w14:paraId="31427A3B" w14:textId="77777777" w:rsidR="0058028A" w:rsidRPr="001D6913" w:rsidRDefault="0058028A" w:rsidP="0058028A">
      <w:pPr>
        <w:pStyle w:val="Heading4"/>
      </w:pPr>
      <w:r w:rsidRPr="001D6913">
        <w:t>Orygen</w:t>
      </w:r>
    </w:p>
    <w:p w14:paraId="5E57F5A2" w14:textId="7142ED6F" w:rsidR="0058028A" w:rsidRPr="001D6913" w:rsidRDefault="0058028A" w:rsidP="0058028A">
      <w:pPr>
        <w:pStyle w:val="BodyText"/>
        <w:rPr>
          <w:lang w:eastAsia="en-AU"/>
        </w:rPr>
      </w:pPr>
      <w:r w:rsidRPr="001D6913">
        <w:rPr>
          <w:lang w:eastAsia="en-AU"/>
        </w:rPr>
        <w:t>Orygen is a not-for-profit company limited by guarantee</w:t>
      </w:r>
      <w:r w:rsidR="00F81567">
        <w:rPr>
          <w:lang w:eastAsia="en-AU"/>
        </w:rPr>
        <w:t xml:space="preserve"> </w:t>
      </w:r>
      <w:r w:rsidR="17AE7736" w:rsidRPr="001D6913">
        <w:rPr>
          <w:lang w:eastAsia="en-AU"/>
        </w:rPr>
        <w:t>and</w:t>
      </w:r>
      <w:r w:rsidRPr="001D6913">
        <w:rPr>
          <w:lang w:eastAsia="en-AU"/>
        </w:rPr>
        <w:t xml:space="preserve"> an approved research institute. The company has three members: the Colonial Foundation, The University of Melbourne and Melbourne Health</w:t>
      </w:r>
      <w:r w:rsidR="00CC0438">
        <w:rPr>
          <w:rFonts w:ascii="ZWAdobeF" w:hAnsi="ZWAdobeF" w:cs="ZWAdobeF"/>
          <w:sz w:val="2"/>
          <w:szCs w:val="2"/>
          <w:lang w:eastAsia="en-AU"/>
        </w:rPr>
        <w:t>65F</w:t>
      </w:r>
      <w:r w:rsidRPr="001D6913">
        <w:rPr>
          <w:rStyle w:val="FootnoteReference"/>
          <w:lang w:eastAsia="en-AU"/>
        </w:rPr>
        <w:footnoteReference w:id="67"/>
      </w:r>
      <w:r>
        <w:rPr>
          <w:lang w:eastAsia="en-AU"/>
        </w:rPr>
        <w:t>.</w:t>
      </w:r>
    </w:p>
    <w:p w14:paraId="6F773DA3" w14:textId="6718EA03" w:rsidR="0058028A" w:rsidRDefault="0058028A" w:rsidP="0058028A">
      <w:pPr>
        <w:pStyle w:val="BodyText"/>
      </w:pPr>
      <w:r w:rsidRPr="001D6913">
        <w:rPr>
          <w:lang w:eastAsia="en-AU"/>
        </w:rPr>
        <w:t xml:space="preserve">Orygen continues to be closely affiliated with headspace through its role as a lead agency in the delivery of a number of headspace </w:t>
      </w:r>
      <w:r>
        <w:rPr>
          <w:lang w:eastAsia="en-AU"/>
        </w:rPr>
        <w:t>service</w:t>
      </w:r>
      <w:r w:rsidRPr="001D6913">
        <w:rPr>
          <w:lang w:eastAsia="en-AU"/>
        </w:rPr>
        <w:t xml:space="preserve">s, as well as in its ongoing relationship with headspace National, with whom it works closely to design, measure and promote resources and interventions aimed at improving youth mental health and wellbeing. Orygen is also contracted directly by the Commonwealth </w:t>
      </w:r>
      <w:r>
        <w:rPr>
          <w:lang w:eastAsia="en-AU"/>
        </w:rPr>
        <w:t xml:space="preserve">Government </w:t>
      </w:r>
      <w:r w:rsidRPr="001D6913">
        <w:rPr>
          <w:lang w:eastAsia="en-AU"/>
        </w:rPr>
        <w:t xml:space="preserve">to provide guidance and support to PHNs in their commissioning of youth mental health services, </w:t>
      </w:r>
      <w:r>
        <w:t>particularly for the Early Psychosis Youth Services Program, which operates on the headspace platform</w:t>
      </w:r>
      <w:r w:rsidR="00134015">
        <w:t>, however it does not have this role for core headspace services</w:t>
      </w:r>
      <w:r>
        <w:t>.</w:t>
      </w:r>
      <w:r w:rsidRPr="001D6913">
        <w:t xml:space="preserve"> </w:t>
      </w:r>
    </w:p>
    <w:p w14:paraId="45922ED3" w14:textId="1F339D71" w:rsidR="00D00EC0" w:rsidRDefault="00D00EC0" w:rsidP="00ED3129">
      <w:pPr>
        <w:pStyle w:val="Heading4"/>
      </w:pPr>
      <w:r>
        <w:t>S</w:t>
      </w:r>
      <w:r w:rsidR="00623836">
        <w:t>tate government</w:t>
      </w:r>
      <w:r w:rsidR="0091068A">
        <w:t xml:space="preserve"> partner</w:t>
      </w:r>
      <w:r>
        <w:t>s</w:t>
      </w:r>
    </w:p>
    <w:p w14:paraId="27F9B8EA" w14:textId="06678E72" w:rsidR="0096754F" w:rsidRDefault="00D00EC0" w:rsidP="0096754F">
      <w:pPr>
        <w:pStyle w:val="BodyText"/>
        <w:rPr>
          <w:lang w:eastAsia="en-AU"/>
        </w:rPr>
      </w:pPr>
      <w:r>
        <w:rPr>
          <w:lang w:eastAsia="en-AU"/>
        </w:rPr>
        <w:t>State and territory governments are typically responsible for funding and delivering public sector mental health services that provide specialist care for people experiencing mental illness.</w:t>
      </w:r>
      <w:r w:rsidR="0096754F" w:rsidRPr="0096754F">
        <w:rPr>
          <w:lang w:eastAsia="en-AU"/>
        </w:rPr>
        <w:t xml:space="preserve"> </w:t>
      </w:r>
      <w:r w:rsidR="00881159">
        <w:rPr>
          <w:lang w:eastAsia="en-AU"/>
        </w:rPr>
        <w:t>Some s</w:t>
      </w:r>
      <w:r w:rsidR="0096754F">
        <w:rPr>
          <w:lang w:eastAsia="en-AU"/>
        </w:rPr>
        <w:t>tate and territory governments contribute funding to headspace services, largely through ad-hoc, targeted grants. They also provide core funding to other local providers in the service system, working alongside headspace services.</w:t>
      </w:r>
    </w:p>
    <w:p w14:paraId="5A95A4E9" w14:textId="1E765CCC" w:rsidR="006E2384" w:rsidRDefault="00E10335" w:rsidP="006E2384">
      <w:pPr>
        <w:pStyle w:val="BodyText"/>
        <w:rPr>
          <w:lang w:eastAsia="en-AU"/>
        </w:rPr>
      </w:pPr>
      <w:r>
        <w:rPr>
          <w:lang w:eastAsia="en-AU"/>
        </w:rPr>
        <w:t xml:space="preserve">Commonwealth and state and territory </w:t>
      </w:r>
      <w:r w:rsidR="006E2384">
        <w:rPr>
          <w:lang w:eastAsia="en-AU"/>
        </w:rPr>
        <w:t>levels of government also provide support to population mental health support services, such as Lifeline, Beyond Blue, and Kids Helpline.</w:t>
      </w:r>
    </w:p>
    <w:p w14:paraId="1A515FF8" w14:textId="77777777" w:rsidR="00F86E53" w:rsidRPr="001D6913" w:rsidRDefault="00F86E53" w:rsidP="00F86E53">
      <w:pPr>
        <w:pStyle w:val="Heading4"/>
      </w:pPr>
      <w:r w:rsidRPr="001D6913">
        <w:t>Lead agencies</w:t>
      </w:r>
    </w:p>
    <w:p w14:paraId="3EDB75D9" w14:textId="2CB5CCBC" w:rsidR="00F86E53" w:rsidRPr="001D6913" w:rsidRDefault="00F86E53" w:rsidP="00F86E53">
      <w:pPr>
        <w:pStyle w:val="BodyText"/>
        <w:rPr>
          <w:lang w:eastAsia="en-AU"/>
        </w:rPr>
      </w:pPr>
      <w:r w:rsidRPr="001D6913">
        <w:rPr>
          <w:lang w:eastAsia="en-AU"/>
        </w:rPr>
        <w:t xml:space="preserve">Each </w:t>
      </w:r>
      <w:r>
        <w:rPr>
          <w:lang w:eastAsia="en-AU"/>
        </w:rPr>
        <w:t>headspace service</w:t>
      </w:r>
      <w:r w:rsidRPr="001D6913">
        <w:rPr>
          <w:lang w:eastAsia="en-AU"/>
        </w:rPr>
        <w:t xml:space="preserve"> is run by a lead agency, commissioned by </w:t>
      </w:r>
      <w:r w:rsidR="00316DDB">
        <w:rPr>
          <w:lang w:eastAsia="en-AU"/>
        </w:rPr>
        <w:t>a</w:t>
      </w:r>
      <w:r w:rsidR="00056800">
        <w:rPr>
          <w:lang w:eastAsia="en-AU"/>
        </w:rPr>
        <w:t xml:space="preserve"> </w:t>
      </w:r>
      <w:r w:rsidRPr="001D6913">
        <w:rPr>
          <w:lang w:eastAsia="en-AU"/>
        </w:rPr>
        <w:t>PHN to deliver the headspace service</w:t>
      </w:r>
      <w:r w:rsidR="00723C48">
        <w:rPr>
          <w:lang w:eastAsia="en-AU"/>
        </w:rPr>
        <w:t xml:space="preserve"> within a specific geography</w:t>
      </w:r>
      <w:r w:rsidRPr="001D6913">
        <w:rPr>
          <w:lang w:eastAsia="en-AU"/>
        </w:rPr>
        <w:t xml:space="preserve">. As part of the local commissioning model, lead agencies are health or social services providers </w:t>
      </w:r>
      <w:r w:rsidR="00432249">
        <w:rPr>
          <w:lang w:eastAsia="en-AU"/>
        </w:rPr>
        <w:t>that</w:t>
      </w:r>
      <w:r w:rsidR="00432249" w:rsidRPr="001D6913">
        <w:rPr>
          <w:lang w:eastAsia="en-AU"/>
        </w:rPr>
        <w:t xml:space="preserve"> </w:t>
      </w:r>
      <w:r w:rsidRPr="001D6913">
        <w:rPr>
          <w:lang w:eastAsia="en-AU"/>
        </w:rPr>
        <w:t xml:space="preserve">are legally, operationally and clinically responsible and accountable for the </w:t>
      </w:r>
      <w:r>
        <w:rPr>
          <w:lang w:eastAsia="en-AU"/>
        </w:rPr>
        <w:t>service</w:t>
      </w:r>
      <w:r w:rsidRPr="001D6913">
        <w:rPr>
          <w:lang w:eastAsia="en-AU"/>
        </w:rPr>
        <w:t xml:space="preserve">. </w:t>
      </w:r>
      <w:r>
        <w:rPr>
          <w:lang w:eastAsia="en-AU"/>
        </w:rPr>
        <w:t>Lead agencies</w:t>
      </w:r>
      <w:r w:rsidRPr="001D6913">
        <w:rPr>
          <w:lang w:eastAsia="en-AU"/>
        </w:rPr>
        <w:t xml:space="preserve"> also contribute staff time to enhancing the capacity of the headspace service, and are selected by PHNs through a competitive tendering process.</w:t>
      </w:r>
      <w:r>
        <w:rPr>
          <w:lang w:eastAsia="en-AU"/>
        </w:rPr>
        <w:t xml:space="preserve"> headspace National </w:t>
      </w:r>
      <w:r w:rsidR="336E2745" w:rsidRPr="10767FF6">
        <w:rPr>
          <w:lang w:eastAsia="en-AU"/>
        </w:rPr>
        <w:t>is</w:t>
      </w:r>
      <w:r>
        <w:rPr>
          <w:lang w:eastAsia="en-AU"/>
        </w:rPr>
        <w:t xml:space="preserve"> consulted through this tender</w:t>
      </w:r>
      <w:r w:rsidR="009B5BF5">
        <w:rPr>
          <w:lang w:eastAsia="en-AU"/>
        </w:rPr>
        <w:t>ing</w:t>
      </w:r>
      <w:r>
        <w:rPr>
          <w:lang w:eastAsia="en-AU"/>
        </w:rPr>
        <w:t xml:space="preserve"> process</w:t>
      </w:r>
      <w:r w:rsidR="0094300E">
        <w:rPr>
          <w:lang w:eastAsia="en-AU"/>
        </w:rPr>
        <w:t xml:space="preserve"> to ensure the lead agency delivers headspace in accordance with the model</w:t>
      </w:r>
      <w:r>
        <w:rPr>
          <w:lang w:eastAsia="en-AU"/>
        </w:rPr>
        <w:t xml:space="preserve">, but </w:t>
      </w:r>
      <w:r w:rsidR="336E2745" w:rsidRPr="10767FF6">
        <w:rPr>
          <w:lang w:eastAsia="en-AU"/>
        </w:rPr>
        <w:t>is</w:t>
      </w:r>
      <w:r>
        <w:rPr>
          <w:lang w:eastAsia="en-AU"/>
        </w:rPr>
        <w:t xml:space="preserve"> not responsible for selecting the preferred tenderer.</w:t>
      </w:r>
    </w:p>
    <w:p w14:paraId="0444EDFC" w14:textId="59064C16" w:rsidR="00F86E53" w:rsidRPr="001D6913" w:rsidRDefault="00F86E53" w:rsidP="00F86E53">
      <w:pPr>
        <w:pStyle w:val="Heading4"/>
      </w:pPr>
      <w:r>
        <w:t>headspace service</w:t>
      </w:r>
      <w:r w:rsidRPr="001D6913">
        <w:t>s</w:t>
      </w:r>
    </w:p>
    <w:p w14:paraId="636AA274" w14:textId="348ED727" w:rsidR="00F86E53" w:rsidRPr="001D6913" w:rsidRDefault="00F86E53" w:rsidP="00F86E53">
      <w:pPr>
        <w:pStyle w:val="BodyText"/>
        <w:rPr>
          <w:lang w:eastAsia="en-AU"/>
        </w:rPr>
      </w:pPr>
      <w:r w:rsidRPr="001D6913">
        <w:rPr>
          <w:lang w:eastAsia="en-AU"/>
        </w:rPr>
        <w:t xml:space="preserve">Each </w:t>
      </w:r>
      <w:r>
        <w:rPr>
          <w:lang w:eastAsia="en-AU"/>
        </w:rPr>
        <w:t>service</w:t>
      </w:r>
      <w:r w:rsidRPr="001D6913">
        <w:rPr>
          <w:lang w:eastAsia="en-AU"/>
        </w:rPr>
        <w:t xml:space="preserve"> is run by a centre manager</w:t>
      </w:r>
      <w:r w:rsidR="009B5BF5">
        <w:rPr>
          <w:lang w:eastAsia="en-AU"/>
        </w:rPr>
        <w:t xml:space="preserve"> who</w:t>
      </w:r>
      <w:r w:rsidRPr="001D6913">
        <w:rPr>
          <w:lang w:eastAsia="en-AU"/>
        </w:rPr>
        <w:t xml:space="preserve"> report</w:t>
      </w:r>
      <w:r w:rsidR="009B5BF5">
        <w:rPr>
          <w:lang w:eastAsia="en-AU"/>
        </w:rPr>
        <w:t>s</w:t>
      </w:r>
      <w:r w:rsidRPr="001D6913">
        <w:rPr>
          <w:lang w:eastAsia="en-AU"/>
        </w:rPr>
        <w:t xml:space="preserve"> to the lead agency. </w:t>
      </w:r>
      <w:r>
        <w:rPr>
          <w:lang w:eastAsia="en-AU"/>
        </w:rPr>
        <w:t>Service</w:t>
      </w:r>
      <w:r w:rsidRPr="001D6913">
        <w:rPr>
          <w:lang w:eastAsia="en-AU"/>
        </w:rPr>
        <w:t xml:space="preserve">s are </w:t>
      </w:r>
      <w:r>
        <w:rPr>
          <w:lang w:eastAsia="en-AU"/>
        </w:rPr>
        <w:t>centre</w:t>
      </w:r>
      <w:r w:rsidR="009B5BF5">
        <w:rPr>
          <w:lang w:eastAsia="en-AU"/>
        </w:rPr>
        <w:noBreakHyphen/>
      </w:r>
      <w:r>
        <w:rPr>
          <w:lang w:eastAsia="en-AU"/>
        </w:rPr>
        <w:t>based,</w:t>
      </w:r>
      <w:r w:rsidRPr="001D6913">
        <w:rPr>
          <w:lang w:eastAsia="en-AU"/>
        </w:rPr>
        <w:t xml:space="preserve"> comprised of a multi</w:t>
      </w:r>
      <w:r>
        <w:rPr>
          <w:lang w:eastAsia="en-AU"/>
        </w:rPr>
        <w:t>-</w:t>
      </w:r>
      <w:r w:rsidRPr="001D6913">
        <w:rPr>
          <w:lang w:eastAsia="en-AU"/>
        </w:rPr>
        <w:t xml:space="preserve">disciplinary workforce with staffing profiles which vary across </w:t>
      </w:r>
      <w:r w:rsidR="00B9651B">
        <w:rPr>
          <w:lang w:eastAsia="en-AU"/>
        </w:rPr>
        <w:t>services</w:t>
      </w:r>
      <w:r w:rsidRPr="001D6913">
        <w:rPr>
          <w:lang w:eastAsia="en-AU"/>
        </w:rPr>
        <w:t xml:space="preserve"> depending on available funding. Each </w:t>
      </w:r>
      <w:r>
        <w:rPr>
          <w:lang w:eastAsia="en-AU"/>
        </w:rPr>
        <w:t>service</w:t>
      </w:r>
      <w:r w:rsidRPr="001D6913">
        <w:rPr>
          <w:lang w:eastAsia="en-AU"/>
        </w:rPr>
        <w:t xml:space="preserve"> has a team of core staff, with roles including clinical lead, intake and case coordination, community and youth engagement and admin</w:t>
      </w:r>
      <w:r>
        <w:rPr>
          <w:lang w:eastAsia="en-AU"/>
        </w:rPr>
        <w:t>istration</w:t>
      </w:r>
      <w:r w:rsidRPr="001D6913">
        <w:rPr>
          <w:lang w:eastAsia="en-AU"/>
        </w:rPr>
        <w:t xml:space="preserve"> and practice management. headspace </w:t>
      </w:r>
      <w:r>
        <w:rPr>
          <w:lang w:eastAsia="en-AU"/>
        </w:rPr>
        <w:t>services</w:t>
      </w:r>
      <w:r w:rsidRPr="001D6913">
        <w:rPr>
          <w:lang w:eastAsia="en-AU"/>
        </w:rPr>
        <w:t xml:space="preserve"> also provide onsite availability of services from other providers, such as GPs, private </w:t>
      </w:r>
      <w:r>
        <w:rPr>
          <w:lang w:eastAsia="en-AU"/>
        </w:rPr>
        <w:t>allied health workers</w:t>
      </w:r>
      <w:r w:rsidRPr="001D6913">
        <w:rPr>
          <w:lang w:eastAsia="en-AU"/>
        </w:rPr>
        <w:t xml:space="preserve"> and other specialist services in areas such as crisis accommodation, domestic and family violence or eating disorder treatment. These services collaborate within the </w:t>
      </w:r>
      <w:r>
        <w:rPr>
          <w:lang w:eastAsia="en-AU"/>
        </w:rPr>
        <w:t>headspace service</w:t>
      </w:r>
      <w:r w:rsidRPr="001D6913">
        <w:rPr>
          <w:lang w:eastAsia="en-AU"/>
        </w:rPr>
        <w:t xml:space="preserve"> to provide integrated care for young people and their families.</w:t>
      </w:r>
    </w:p>
    <w:p w14:paraId="0CE7280A" w14:textId="6007FA4E" w:rsidR="00F86E53" w:rsidRPr="001D6913" w:rsidRDefault="00DB4F40" w:rsidP="00F86E53">
      <w:pPr>
        <w:pStyle w:val="Heading4"/>
      </w:pPr>
      <w:r>
        <w:t xml:space="preserve">Local </w:t>
      </w:r>
      <w:r w:rsidR="00F86E53" w:rsidRPr="001D6913">
        <w:t>headspace</w:t>
      </w:r>
      <w:r w:rsidR="0087109C">
        <w:t xml:space="preserve"> community</w:t>
      </w:r>
      <w:r w:rsidR="00F86E53" w:rsidRPr="001D6913">
        <w:t xml:space="preserve"> consortium </w:t>
      </w:r>
    </w:p>
    <w:p w14:paraId="16979760" w14:textId="19D77124" w:rsidR="003618DB" w:rsidRDefault="00F86E53" w:rsidP="00F86E53">
      <w:pPr>
        <w:pStyle w:val="BodyText"/>
        <w:rPr>
          <w:lang w:eastAsia="en-AU"/>
        </w:rPr>
      </w:pPr>
      <w:r w:rsidRPr="001D6913">
        <w:rPr>
          <w:lang w:eastAsia="en-AU"/>
        </w:rPr>
        <w:t xml:space="preserve">Each lead agency </w:t>
      </w:r>
      <w:r>
        <w:rPr>
          <w:lang w:eastAsia="en-AU"/>
        </w:rPr>
        <w:t>establishes</w:t>
      </w:r>
      <w:r w:rsidRPr="001D6913">
        <w:rPr>
          <w:lang w:eastAsia="en-AU"/>
        </w:rPr>
        <w:t xml:space="preserve"> </w:t>
      </w:r>
      <w:r>
        <w:rPr>
          <w:lang w:eastAsia="en-AU"/>
        </w:rPr>
        <w:t xml:space="preserve">and maintains </w:t>
      </w:r>
      <w:r w:rsidRPr="001D6913">
        <w:rPr>
          <w:lang w:eastAsia="en-AU"/>
        </w:rPr>
        <w:t xml:space="preserve">a collaborative advisory group of local service providers. This group meets in a regular forum to drive the strategic focus and partnership opportunities within the region in relation to youth mental health. </w:t>
      </w:r>
      <w:r>
        <w:rPr>
          <w:lang w:eastAsia="en-AU"/>
        </w:rPr>
        <w:t xml:space="preserve">Consortium members enter into formal memoranda of understanding with the headspace centre, detailing time, </w:t>
      </w:r>
      <w:r w:rsidR="0087109C">
        <w:rPr>
          <w:lang w:eastAsia="en-AU"/>
        </w:rPr>
        <w:t>full time equivalent (</w:t>
      </w:r>
      <w:r>
        <w:rPr>
          <w:lang w:eastAsia="en-AU"/>
        </w:rPr>
        <w:t>FTE</w:t>
      </w:r>
      <w:r w:rsidR="0087109C">
        <w:rPr>
          <w:lang w:eastAsia="en-AU"/>
        </w:rPr>
        <w:t>) staff</w:t>
      </w:r>
      <w:r>
        <w:rPr>
          <w:lang w:eastAsia="en-AU"/>
        </w:rPr>
        <w:t xml:space="preserve"> and other resources contributed by each party. </w:t>
      </w:r>
    </w:p>
    <w:p w14:paraId="1AF7D0B1" w14:textId="2F9BC21F" w:rsidR="00F86E53" w:rsidRDefault="00F86E53" w:rsidP="00F86E53">
      <w:pPr>
        <w:pStyle w:val="BodyText"/>
        <w:rPr>
          <w:lang w:eastAsia="en-AU"/>
        </w:rPr>
      </w:pPr>
      <w:r w:rsidRPr="001D6913">
        <w:rPr>
          <w:lang w:eastAsia="en-AU"/>
        </w:rPr>
        <w:t xml:space="preserve">The consortium approach aims to </w:t>
      </w:r>
      <w:r w:rsidR="003618DB">
        <w:rPr>
          <w:lang w:eastAsia="en-AU"/>
        </w:rPr>
        <w:t xml:space="preserve">promote service integration and to strengthen local relationships </w:t>
      </w:r>
      <w:r w:rsidR="00D40C92">
        <w:rPr>
          <w:lang w:eastAsia="en-AU"/>
        </w:rPr>
        <w:t xml:space="preserve">between service providers. It </w:t>
      </w:r>
      <w:r w:rsidR="005B4BCE">
        <w:rPr>
          <w:lang w:eastAsia="en-AU"/>
        </w:rPr>
        <w:t>is also designed to help en</w:t>
      </w:r>
      <w:r w:rsidRPr="001D6913">
        <w:rPr>
          <w:lang w:eastAsia="en-AU"/>
        </w:rPr>
        <w:t xml:space="preserve">sure the activities of the headspace </w:t>
      </w:r>
      <w:r w:rsidR="00141717">
        <w:rPr>
          <w:lang w:eastAsia="en-AU"/>
        </w:rPr>
        <w:t>service</w:t>
      </w:r>
      <w:r w:rsidRPr="001D6913">
        <w:rPr>
          <w:lang w:eastAsia="en-AU"/>
        </w:rPr>
        <w:t xml:space="preserve"> are aligned with </w:t>
      </w:r>
      <w:r w:rsidR="0031365B">
        <w:rPr>
          <w:lang w:eastAsia="en-AU"/>
        </w:rPr>
        <w:t>localised</w:t>
      </w:r>
      <w:r w:rsidR="000540F3">
        <w:rPr>
          <w:lang w:eastAsia="en-AU"/>
        </w:rPr>
        <w:t xml:space="preserve"> need</w:t>
      </w:r>
      <w:r w:rsidRPr="001D6913">
        <w:rPr>
          <w:lang w:eastAsia="en-AU"/>
        </w:rPr>
        <w:t xml:space="preserve"> and </w:t>
      </w:r>
      <w:r w:rsidR="00C24DAA">
        <w:rPr>
          <w:lang w:eastAsia="en-AU"/>
        </w:rPr>
        <w:t>that the services</w:t>
      </w:r>
      <w:r w:rsidR="000540F3">
        <w:rPr>
          <w:lang w:eastAsia="en-AU"/>
        </w:rPr>
        <w:t xml:space="preserve"> </w:t>
      </w:r>
      <w:r w:rsidR="00C24DAA">
        <w:rPr>
          <w:lang w:eastAsia="en-AU"/>
        </w:rPr>
        <w:t xml:space="preserve">provided </w:t>
      </w:r>
      <w:r w:rsidR="002960EA">
        <w:rPr>
          <w:lang w:eastAsia="en-AU"/>
        </w:rPr>
        <w:t>are responsive</w:t>
      </w:r>
      <w:r w:rsidRPr="001D6913">
        <w:rPr>
          <w:lang w:eastAsia="en-AU"/>
        </w:rPr>
        <w:t xml:space="preserve"> to the health needs of young people and the social determinants driving </w:t>
      </w:r>
      <w:r w:rsidR="00C24DAA">
        <w:rPr>
          <w:lang w:eastAsia="en-AU"/>
        </w:rPr>
        <w:t>presentation</w:t>
      </w:r>
      <w:r w:rsidRPr="001D6913">
        <w:rPr>
          <w:lang w:eastAsia="en-AU"/>
        </w:rPr>
        <w:t xml:space="preserve"> in that location</w:t>
      </w:r>
      <w:r w:rsidR="00CC0438">
        <w:rPr>
          <w:rFonts w:ascii="ZWAdobeF" w:hAnsi="ZWAdobeF" w:cs="ZWAdobeF"/>
          <w:sz w:val="2"/>
          <w:szCs w:val="2"/>
          <w:lang w:eastAsia="en-AU"/>
        </w:rPr>
        <w:t>66F</w:t>
      </w:r>
      <w:r w:rsidRPr="001D6913">
        <w:rPr>
          <w:rStyle w:val="FootnoteReference"/>
          <w:lang w:eastAsia="en-AU"/>
        </w:rPr>
        <w:footnoteReference w:id="68"/>
      </w:r>
      <w:r>
        <w:rPr>
          <w:lang w:eastAsia="en-AU"/>
        </w:rPr>
        <w:t>.</w:t>
      </w:r>
      <w:r w:rsidR="005C1980">
        <w:rPr>
          <w:lang w:eastAsia="en-AU"/>
        </w:rPr>
        <w:t xml:space="preserve"> Consortium members </w:t>
      </w:r>
      <w:r w:rsidR="28D6F390" w:rsidRPr="7E329ED6">
        <w:rPr>
          <w:lang w:eastAsia="en-AU"/>
        </w:rPr>
        <w:t>may</w:t>
      </w:r>
      <w:r w:rsidR="005C1980">
        <w:rPr>
          <w:lang w:eastAsia="en-AU"/>
        </w:rPr>
        <w:t xml:space="preserve"> include local GPs, primary </w:t>
      </w:r>
      <w:r w:rsidR="3B9C4347" w:rsidRPr="7E329ED6">
        <w:rPr>
          <w:lang w:eastAsia="en-AU"/>
        </w:rPr>
        <w:t>and tertiary mental health</w:t>
      </w:r>
      <w:r w:rsidR="00AF0E6C">
        <w:rPr>
          <w:lang w:eastAsia="en-AU"/>
        </w:rPr>
        <w:t xml:space="preserve"> services as well as </w:t>
      </w:r>
      <w:r w:rsidR="00564346">
        <w:rPr>
          <w:lang w:eastAsia="en-AU"/>
        </w:rPr>
        <w:t>community service providers such as housing and homelessness</w:t>
      </w:r>
      <w:r w:rsidR="006D0190">
        <w:rPr>
          <w:lang w:eastAsia="en-AU"/>
        </w:rPr>
        <w:t xml:space="preserve"> and </w:t>
      </w:r>
      <w:r w:rsidR="00564346">
        <w:rPr>
          <w:lang w:eastAsia="en-AU"/>
        </w:rPr>
        <w:t xml:space="preserve">domestic violence </w:t>
      </w:r>
      <w:r w:rsidR="00F34593">
        <w:rPr>
          <w:lang w:eastAsia="en-AU"/>
        </w:rPr>
        <w:t>support services</w:t>
      </w:r>
      <w:r w:rsidR="006D0190">
        <w:rPr>
          <w:lang w:eastAsia="en-AU"/>
        </w:rPr>
        <w:t xml:space="preserve">. </w:t>
      </w:r>
    </w:p>
    <w:p w14:paraId="731BB2D2" w14:textId="41AA5436" w:rsidR="00513CF9" w:rsidRDefault="00A1128F" w:rsidP="00513CF9">
      <w:pPr>
        <w:pStyle w:val="Heading4"/>
      </w:pPr>
      <w:r>
        <w:t>Y</w:t>
      </w:r>
      <w:r w:rsidR="00BE0905">
        <w:t xml:space="preserve">outh </w:t>
      </w:r>
      <w:r w:rsidR="001F058F">
        <w:t>R</w:t>
      </w:r>
      <w:r w:rsidR="00BE0905">
        <w:t xml:space="preserve">eference </w:t>
      </w:r>
      <w:r w:rsidR="001F058F">
        <w:t>G</w:t>
      </w:r>
      <w:r w:rsidR="00BE0905">
        <w:t>roups</w:t>
      </w:r>
    </w:p>
    <w:p w14:paraId="6880E85E" w14:textId="1D839FA7" w:rsidR="000E12CA" w:rsidRDefault="00744FE3" w:rsidP="00DB27BE">
      <w:pPr>
        <w:pStyle w:val="BodyText"/>
        <w:rPr>
          <w:lang w:eastAsia="en-AU"/>
        </w:rPr>
      </w:pPr>
      <w:r>
        <w:rPr>
          <w:lang w:eastAsia="en-AU"/>
        </w:rPr>
        <w:t xml:space="preserve">Under the headspace </w:t>
      </w:r>
      <w:r w:rsidR="001F2443">
        <w:rPr>
          <w:lang w:eastAsia="en-AU"/>
        </w:rPr>
        <w:t>model</w:t>
      </w:r>
      <w:r>
        <w:rPr>
          <w:lang w:eastAsia="en-AU"/>
        </w:rPr>
        <w:t xml:space="preserve">, </w:t>
      </w:r>
      <w:r w:rsidR="00906E08">
        <w:rPr>
          <w:lang w:eastAsia="en-AU"/>
        </w:rPr>
        <w:t xml:space="preserve">the local </w:t>
      </w:r>
      <w:r w:rsidR="001F058F">
        <w:rPr>
          <w:lang w:eastAsia="en-AU"/>
        </w:rPr>
        <w:t>Y</w:t>
      </w:r>
      <w:r w:rsidR="00906E08">
        <w:rPr>
          <w:lang w:eastAsia="en-AU"/>
        </w:rPr>
        <w:t xml:space="preserve">outh </w:t>
      </w:r>
      <w:r w:rsidR="001F058F">
        <w:rPr>
          <w:lang w:eastAsia="en-AU"/>
        </w:rPr>
        <w:t>R</w:t>
      </w:r>
      <w:r w:rsidR="00906E08">
        <w:rPr>
          <w:lang w:eastAsia="en-AU"/>
        </w:rPr>
        <w:t xml:space="preserve">eference </w:t>
      </w:r>
      <w:r w:rsidR="001F058F">
        <w:rPr>
          <w:lang w:eastAsia="en-AU"/>
        </w:rPr>
        <w:t>G</w:t>
      </w:r>
      <w:r w:rsidR="00906E08">
        <w:rPr>
          <w:lang w:eastAsia="en-AU"/>
        </w:rPr>
        <w:t xml:space="preserve">roup </w:t>
      </w:r>
      <w:r w:rsidR="00F36C9E">
        <w:rPr>
          <w:lang w:eastAsia="en-AU"/>
        </w:rPr>
        <w:t xml:space="preserve">is a </w:t>
      </w:r>
      <w:r w:rsidR="00906E08">
        <w:rPr>
          <w:lang w:eastAsia="en-AU"/>
        </w:rPr>
        <w:t xml:space="preserve">forum </w:t>
      </w:r>
      <w:r w:rsidR="00F36C9E">
        <w:rPr>
          <w:lang w:eastAsia="en-AU"/>
        </w:rPr>
        <w:t xml:space="preserve">intended to </w:t>
      </w:r>
      <w:r w:rsidR="00906E08">
        <w:rPr>
          <w:lang w:eastAsia="en-AU"/>
        </w:rPr>
        <w:t>enable young people to contribute to strategic planning and oversight of the service, as well as</w:t>
      </w:r>
      <w:r w:rsidR="003B0934">
        <w:rPr>
          <w:lang w:eastAsia="en-AU"/>
        </w:rPr>
        <w:t xml:space="preserve"> to participate</w:t>
      </w:r>
      <w:r w:rsidR="00906E08">
        <w:rPr>
          <w:lang w:eastAsia="en-AU"/>
        </w:rPr>
        <w:t xml:space="preserve"> in the development, delivery and evaluation of s</w:t>
      </w:r>
      <w:r w:rsidR="00F36C9E">
        <w:rPr>
          <w:lang w:eastAsia="en-AU"/>
        </w:rPr>
        <w:t xml:space="preserve">upports on offer to clients. </w:t>
      </w:r>
      <w:r w:rsidR="003B0934">
        <w:rPr>
          <w:lang w:eastAsia="en-AU"/>
        </w:rPr>
        <w:t xml:space="preserve">Local </w:t>
      </w:r>
      <w:r w:rsidR="001F058F">
        <w:rPr>
          <w:lang w:eastAsia="en-AU"/>
        </w:rPr>
        <w:t>Y</w:t>
      </w:r>
      <w:r w:rsidR="004A4B4D">
        <w:rPr>
          <w:lang w:eastAsia="en-AU"/>
        </w:rPr>
        <w:t xml:space="preserve">outh </w:t>
      </w:r>
      <w:r w:rsidR="001F058F">
        <w:rPr>
          <w:lang w:eastAsia="en-AU"/>
        </w:rPr>
        <w:t>R</w:t>
      </w:r>
      <w:r w:rsidR="003B0934">
        <w:rPr>
          <w:lang w:eastAsia="en-AU"/>
        </w:rPr>
        <w:t xml:space="preserve">eference </w:t>
      </w:r>
      <w:r w:rsidR="001F058F">
        <w:rPr>
          <w:lang w:eastAsia="en-AU"/>
        </w:rPr>
        <w:t>G</w:t>
      </w:r>
      <w:r w:rsidR="003B0934">
        <w:rPr>
          <w:lang w:eastAsia="en-AU"/>
        </w:rPr>
        <w:t xml:space="preserve">roups must meet at least </w:t>
      </w:r>
      <w:r w:rsidR="00CA633E">
        <w:rPr>
          <w:lang w:eastAsia="en-AU"/>
        </w:rPr>
        <w:t>six</w:t>
      </w:r>
      <w:r w:rsidR="003B0934">
        <w:rPr>
          <w:lang w:eastAsia="en-AU"/>
        </w:rPr>
        <w:t xml:space="preserve"> times a year, and </w:t>
      </w:r>
      <w:r w:rsidR="00CA633E">
        <w:rPr>
          <w:lang w:eastAsia="en-AU"/>
        </w:rPr>
        <w:t>involve at least three members.</w:t>
      </w:r>
    </w:p>
    <w:p w14:paraId="2717765C" w14:textId="3B490457" w:rsidR="00370E10" w:rsidRPr="000E12CA" w:rsidRDefault="00C620F7" w:rsidP="00DB27BE">
      <w:pPr>
        <w:pStyle w:val="BodyText"/>
        <w:rPr>
          <w:lang w:eastAsia="en-AU"/>
        </w:rPr>
      </w:pPr>
      <w:r>
        <w:rPr>
          <w:lang w:eastAsia="en-AU"/>
        </w:rPr>
        <w:t xml:space="preserve">The </w:t>
      </w:r>
      <w:r w:rsidR="006E538E">
        <w:rPr>
          <w:lang w:eastAsia="en-AU"/>
        </w:rPr>
        <w:t xml:space="preserve">headspace Youth National Reference </w:t>
      </w:r>
      <w:r w:rsidR="00575681">
        <w:rPr>
          <w:lang w:eastAsia="en-AU"/>
        </w:rPr>
        <w:t>G</w:t>
      </w:r>
      <w:r w:rsidR="006E538E">
        <w:rPr>
          <w:lang w:eastAsia="en-AU"/>
        </w:rPr>
        <w:t>roup</w:t>
      </w:r>
      <w:r w:rsidR="003B7973">
        <w:rPr>
          <w:lang w:eastAsia="en-AU"/>
        </w:rPr>
        <w:t xml:space="preserve">, </w:t>
      </w:r>
      <w:r w:rsidR="004175DE">
        <w:rPr>
          <w:lang w:eastAsia="en-AU"/>
        </w:rPr>
        <w:t xml:space="preserve">a </w:t>
      </w:r>
      <w:r>
        <w:rPr>
          <w:lang w:eastAsia="en-AU"/>
        </w:rPr>
        <w:t>separate forum</w:t>
      </w:r>
      <w:r w:rsidR="004175DE">
        <w:rPr>
          <w:lang w:eastAsia="en-AU"/>
        </w:rPr>
        <w:t xml:space="preserve"> </w:t>
      </w:r>
      <w:r w:rsidR="00575681">
        <w:rPr>
          <w:lang w:eastAsia="en-AU"/>
        </w:rPr>
        <w:t>comprising 20 young people with lived experience of mental ill health</w:t>
      </w:r>
      <w:r w:rsidR="00782A58">
        <w:rPr>
          <w:lang w:eastAsia="en-AU"/>
        </w:rPr>
        <w:t xml:space="preserve"> from across Australia</w:t>
      </w:r>
      <w:r w:rsidR="00575681">
        <w:rPr>
          <w:lang w:eastAsia="en-AU"/>
        </w:rPr>
        <w:t>, also meet on a regular basis to provide advice and their perspective to headspace National.</w:t>
      </w:r>
      <w:r w:rsidR="003B7973">
        <w:rPr>
          <w:lang w:eastAsia="en-AU"/>
        </w:rPr>
        <w:t xml:space="preserve"> </w:t>
      </w:r>
    </w:p>
    <w:p w14:paraId="74C70607" w14:textId="7F019626" w:rsidR="00074FEA" w:rsidRDefault="0062682D" w:rsidP="00074FEA">
      <w:pPr>
        <w:pStyle w:val="Heading4"/>
      </w:pPr>
      <w:r>
        <w:t xml:space="preserve">headspace </w:t>
      </w:r>
      <w:r w:rsidR="00BE674B">
        <w:t>F</w:t>
      </w:r>
      <w:r w:rsidR="000E12CA">
        <w:t xml:space="preserve">amily and </w:t>
      </w:r>
      <w:r w:rsidR="00BE674B">
        <w:t>F</w:t>
      </w:r>
      <w:r w:rsidR="000E12CA">
        <w:t>riend</w:t>
      </w:r>
      <w:r w:rsidR="00774EA5">
        <w:t>s</w:t>
      </w:r>
      <w:r>
        <w:t xml:space="preserve"> </w:t>
      </w:r>
      <w:r w:rsidR="00BE674B">
        <w:t>R</w:t>
      </w:r>
      <w:r>
        <w:t xml:space="preserve">eference </w:t>
      </w:r>
      <w:r w:rsidR="00BE674B">
        <w:t>G</w:t>
      </w:r>
      <w:r>
        <w:t>roup</w:t>
      </w:r>
    </w:p>
    <w:p w14:paraId="08A81156" w14:textId="5193BA96" w:rsidR="00513CF9" w:rsidRDefault="00513CF9" w:rsidP="00513CF9">
      <w:pPr>
        <w:pStyle w:val="BodyText"/>
      </w:pPr>
      <w:r>
        <w:t>The headspace model requires routine involvement of family and friends in the care of a young person, a</w:t>
      </w:r>
      <w:r w:rsidR="00BC0397">
        <w:t xml:space="preserve">s well as </w:t>
      </w:r>
      <w:r w:rsidR="00E457A9">
        <w:t xml:space="preserve">engaging this cohort </w:t>
      </w:r>
      <w:r>
        <w:t>in the broader development, delivery and evaluation of headspace services. headspace services have family and friends contribute to:</w:t>
      </w:r>
    </w:p>
    <w:p w14:paraId="32ADCB36" w14:textId="45517907" w:rsidR="00513CF9" w:rsidRDefault="00513CF9" w:rsidP="00513CF9">
      <w:pPr>
        <w:pStyle w:val="Bullet1stlevel"/>
      </w:pPr>
      <w:r>
        <w:t>strategic planning and oversight through local consortium meetings</w:t>
      </w:r>
      <w:r w:rsidR="00AE6DC0">
        <w:t>;</w:t>
      </w:r>
    </w:p>
    <w:p w14:paraId="5059AE95" w14:textId="60B1ABF7" w:rsidR="00513CF9" w:rsidRDefault="00513CF9" w:rsidP="00513CF9">
      <w:pPr>
        <w:pStyle w:val="Bullet1stlevel"/>
      </w:pPr>
      <w:r>
        <w:t>service development, delivery and evaluation through a range of local and national consultation mechanisms</w:t>
      </w:r>
      <w:r w:rsidR="00AE6DC0">
        <w:t>; and</w:t>
      </w:r>
    </w:p>
    <w:p w14:paraId="1B8B6D69" w14:textId="77777777" w:rsidR="006C103C" w:rsidRPr="006C103C" w:rsidRDefault="00513CF9" w:rsidP="006C103C">
      <w:pPr>
        <w:pStyle w:val="Bullet1stlevel"/>
      </w:pPr>
      <w:r>
        <w:t>the care of an individual young person through Family Inclusive Practice.</w:t>
      </w:r>
    </w:p>
    <w:p w14:paraId="67764439" w14:textId="0554ADA6" w:rsidR="000D721C" w:rsidRPr="00CD2E3D" w:rsidRDefault="000D721C" w:rsidP="000D721C">
      <w:pPr>
        <w:pStyle w:val="BodyText"/>
        <w:rPr>
          <w:lang w:eastAsia="en-AU"/>
        </w:rPr>
      </w:pPr>
      <w:r>
        <w:rPr>
          <w:lang w:eastAsia="en-AU"/>
        </w:rPr>
        <w:t xml:space="preserve">Alongside this local engagement, the headspace Family and Friends Reference </w:t>
      </w:r>
      <w:r w:rsidR="004A4B4D">
        <w:rPr>
          <w:lang w:eastAsia="en-AU"/>
        </w:rPr>
        <w:t>G</w:t>
      </w:r>
      <w:r>
        <w:rPr>
          <w:lang w:eastAsia="en-AU"/>
        </w:rPr>
        <w:t xml:space="preserve">roup brings together </w:t>
      </w:r>
      <w:r w:rsidR="004A4B4D">
        <w:rPr>
          <w:lang w:eastAsia="en-AU"/>
        </w:rPr>
        <w:t xml:space="preserve">10 </w:t>
      </w:r>
      <w:r>
        <w:rPr>
          <w:lang w:eastAsia="en-AU"/>
        </w:rPr>
        <w:t>people with lived experience as carers to young people experiencing mental ill-health, to provide advice and insight to headspace National.</w:t>
      </w:r>
    </w:p>
    <w:p w14:paraId="528B4BC2" w14:textId="2F748718" w:rsidR="005A3C41" w:rsidRDefault="005A3C41" w:rsidP="005A3C41">
      <w:pPr>
        <w:pStyle w:val="Heading4"/>
      </w:pPr>
      <w:r>
        <w:t>Other local providers</w:t>
      </w:r>
    </w:p>
    <w:p w14:paraId="44E628D8" w14:textId="46F4AC8A" w:rsidR="005A3C41" w:rsidRDefault="005A3C41" w:rsidP="005A3C41">
      <w:pPr>
        <w:pStyle w:val="BodyText"/>
        <w:rPr>
          <w:lang w:eastAsia="en-AU"/>
        </w:rPr>
      </w:pPr>
      <w:r>
        <w:rPr>
          <w:lang w:eastAsia="en-AU"/>
        </w:rPr>
        <w:t xml:space="preserve">The headspace model operates within a local service system, with partner services and providers which vary by region and can vary over time. </w:t>
      </w:r>
      <w:r w:rsidR="009A7361">
        <w:rPr>
          <w:lang w:eastAsia="en-AU"/>
        </w:rPr>
        <w:t xml:space="preserve">These partner services include other early intervention and prevention supports, social services </w:t>
      </w:r>
      <w:r w:rsidR="005F62F4">
        <w:rPr>
          <w:lang w:eastAsia="en-AU"/>
        </w:rPr>
        <w:t>providing housing</w:t>
      </w:r>
      <w:r w:rsidR="00B02B68">
        <w:rPr>
          <w:lang w:eastAsia="en-AU"/>
        </w:rPr>
        <w:t xml:space="preserve">, </w:t>
      </w:r>
      <w:r w:rsidR="005F62F4">
        <w:rPr>
          <w:lang w:eastAsia="en-AU"/>
        </w:rPr>
        <w:t>employment services</w:t>
      </w:r>
      <w:r w:rsidR="00B02B68">
        <w:rPr>
          <w:lang w:eastAsia="en-AU"/>
        </w:rPr>
        <w:t xml:space="preserve"> and other services</w:t>
      </w:r>
      <w:r w:rsidR="005F62F4">
        <w:rPr>
          <w:lang w:eastAsia="en-AU"/>
        </w:rPr>
        <w:t xml:space="preserve">, and mental health providers across the </w:t>
      </w:r>
      <w:r w:rsidR="00B02B68">
        <w:rPr>
          <w:lang w:eastAsia="en-AU"/>
        </w:rPr>
        <w:t xml:space="preserve">service spectrum. </w:t>
      </w:r>
    </w:p>
    <w:p w14:paraId="535AED8A" w14:textId="338C1761" w:rsidR="00BD163A" w:rsidRDefault="00BD163A" w:rsidP="00BD163A">
      <w:pPr>
        <w:pStyle w:val="BodyText"/>
        <w:rPr>
          <w:lang w:eastAsia="en-AU"/>
        </w:rPr>
      </w:pPr>
      <w:r>
        <w:rPr>
          <w:lang w:eastAsia="en-AU"/>
        </w:rPr>
        <w:t xml:space="preserve">Funding and governance arrangements vary across the service system. The private sector provides admitted patient care in private psychiatric hospitals, and private services provided by psychiatrists, psychologists and other allied health professionals. Private health insurers also fund treatment costs in private hospitals, public hospitals, and out of hospital services provided by health professionals. </w:t>
      </w:r>
    </w:p>
    <w:p w14:paraId="62579A00" w14:textId="77777777" w:rsidR="00BD163A" w:rsidRDefault="00BD163A" w:rsidP="00BD163A">
      <w:pPr>
        <w:pStyle w:val="BodyText"/>
        <w:rPr>
          <w:lang w:eastAsia="en-AU"/>
        </w:rPr>
      </w:pPr>
      <w:r>
        <w:rPr>
          <w:lang w:eastAsia="en-AU"/>
        </w:rPr>
        <w:t>The non-government sector delivers supports through both government and private funding. These</w:t>
      </w:r>
      <w:r w:rsidRPr="691C3E3D">
        <w:rPr>
          <w:lang w:eastAsia="en-AU"/>
        </w:rPr>
        <w:t xml:space="preserve"> services</w:t>
      </w:r>
      <w:r>
        <w:rPr>
          <w:lang w:eastAsia="en-AU"/>
        </w:rPr>
        <w:t xml:space="preserve"> often focus on wellbeing programs, providing support and assistance to people who live with mental illness, rather than assessment, diagnostic and treatment supports provided by clinically-focused services. </w:t>
      </w:r>
    </w:p>
    <w:p w14:paraId="55BBEE28" w14:textId="3C461946" w:rsidR="00BD163A" w:rsidRDefault="00BD163A" w:rsidP="00BD163A">
      <w:pPr>
        <w:pStyle w:val="BodyText"/>
        <w:rPr>
          <w:lang w:eastAsia="en-AU"/>
        </w:rPr>
      </w:pPr>
      <w:r>
        <w:rPr>
          <w:lang w:eastAsia="en-AU"/>
        </w:rPr>
        <w:t xml:space="preserve">Many services from the private and non-government sectors form part of </w:t>
      </w:r>
      <w:r w:rsidR="00080644">
        <w:rPr>
          <w:lang w:eastAsia="en-AU"/>
        </w:rPr>
        <w:t xml:space="preserve">each </w:t>
      </w:r>
      <w:r>
        <w:rPr>
          <w:lang w:eastAsia="en-AU"/>
        </w:rPr>
        <w:t>headspace service</w:t>
      </w:r>
      <w:r w:rsidR="00080644">
        <w:rPr>
          <w:lang w:eastAsia="en-AU"/>
        </w:rPr>
        <w:t>’</w:t>
      </w:r>
      <w:r>
        <w:rPr>
          <w:lang w:eastAsia="en-AU"/>
        </w:rPr>
        <w:t xml:space="preserve">s local referral pathway. This includes tertiary mental health services provided in public acute and psychiatric </w:t>
      </w:r>
      <w:r w:rsidRPr="691C3E3D">
        <w:rPr>
          <w:lang w:eastAsia="en-AU"/>
        </w:rPr>
        <w:t xml:space="preserve">hospital or bed based </w:t>
      </w:r>
      <w:r>
        <w:rPr>
          <w:lang w:eastAsia="en-AU"/>
        </w:rPr>
        <w:t xml:space="preserve">settings, specialised community mental health services, and residential mental health services. </w:t>
      </w:r>
    </w:p>
    <w:p w14:paraId="3E4AD031" w14:textId="25AC4D8C" w:rsidR="00DB6B44" w:rsidRDefault="00BD163A" w:rsidP="00BD163A">
      <w:pPr>
        <w:pStyle w:val="BodyText"/>
        <w:rPr>
          <w:lang w:eastAsia="en-AU"/>
        </w:rPr>
      </w:pPr>
      <w:r>
        <w:rPr>
          <w:lang w:eastAsia="en-AU"/>
        </w:rPr>
        <w:t>There are also non-specialised supports provided, such as emergency department and non-specialised admitted units, mental health-specific community</w:t>
      </w:r>
      <w:r w:rsidRPr="502C1645">
        <w:rPr>
          <w:lang w:eastAsia="en-AU"/>
        </w:rPr>
        <w:t>-</w:t>
      </w:r>
      <w:r>
        <w:rPr>
          <w:lang w:eastAsia="en-AU"/>
        </w:rPr>
        <w:t>based services such as supported accommodation and social housing programs. headspace services must operate alongside, and integrate with, services across this spectrum to achieve client outcomes</w:t>
      </w:r>
      <w:r w:rsidRPr="7D35B2EC">
        <w:rPr>
          <w:lang w:eastAsia="en-AU"/>
        </w:rPr>
        <w:t>.</w:t>
      </w:r>
    </w:p>
    <w:p w14:paraId="227A023D" w14:textId="61C911A4" w:rsidR="00530DFC" w:rsidRDefault="00AD69DC" w:rsidP="00530DFC">
      <w:pPr>
        <w:pStyle w:val="Heading3"/>
      </w:pPr>
      <w:bookmarkStart w:id="49" w:name="_Ref98506538"/>
      <w:r>
        <w:t>Key stakeholders in headspace service pathways</w:t>
      </w:r>
      <w:bookmarkEnd w:id="49"/>
    </w:p>
    <w:p w14:paraId="2CF9D558" w14:textId="38B78824" w:rsidR="00530DFC" w:rsidRPr="0006615B" w:rsidRDefault="00530DFC" w:rsidP="000244E4">
      <w:pPr>
        <w:pStyle w:val="BodyText"/>
      </w:pPr>
      <w:r w:rsidRPr="00530DFC">
        <w:t xml:space="preserve">The headspace model requires </w:t>
      </w:r>
      <w:r w:rsidR="0026497E">
        <w:t xml:space="preserve">headspace </w:t>
      </w:r>
      <w:r w:rsidRPr="00530DFC">
        <w:t>s</w:t>
      </w:r>
      <w:r>
        <w:t>ervices</w:t>
      </w:r>
      <w:r w:rsidRPr="00530DFC">
        <w:t xml:space="preserve"> to be integrated according to the needs of young people, </w:t>
      </w:r>
      <w:r w:rsidR="0026497E">
        <w:t xml:space="preserve">and </w:t>
      </w:r>
      <w:r w:rsidRPr="00530DFC">
        <w:t xml:space="preserve">to </w:t>
      </w:r>
      <w:r w:rsidR="00F96083">
        <w:t>work with</w:t>
      </w:r>
      <w:r w:rsidR="0026497E">
        <w:t xml:space="preserve"> other</w:t>
      </w:r>
      <w:r w:rsidR="00F96083">
        <w:t xml:space="preserve"> </w:t>
      </w:r>
      <w:r w:rsidR="0026497E">
        <w:t xml:space="preserve">local </w:t>
      </w:r>
      <w:r w:rsidR="00F96083">
        <w:t>services</w:t>
      </w:r>
      <w:r w:rsidR="0026497E">
        <w:t xml:space="preserve"> to</w:t>
      </w:r>
      <w:r w:rsidR="00F96083">
        <w:t xml:space="preserve"> </w:t>
      </w:r>
      <w:r w:rsidRPr="00530DFC">
        <w:t xml:space="preserve">holistically identify and address </w:t>
      </w:r>
      <w:r w:rsidR="0082434C">
        <w:t>their clients’</w:t>
      </w:r>
      <w:r w:rsidRPr="00530DFC">
        <w:t xml:space="preserve"> risk and protective factors.</w:t>
      </w:r>
      <w:r>
        <w:t xml:space="preserve"> </w:t>
      </w:r>
      <w:r w:rsidR="003E4606">
        <w:t xml:space="preserve">The model requires that </w:t>
      </w:r>
      <w:r w:rsidR="0062087D">
        <w:t xml:space="preserve">headspace </w:t>
      </w:r>
      <w:r w:rsidR="003E4606">
        <w:t>se</w:t>
      </w:r>
      <w:r w:rsidR="00692686">
        <w:t xml:space="preserve">rvices ensure the coordination and integration of services to provide seamless care for </w:t>
      </w:r>
      <w:r w:rsidR="00CE493F">
        <w:t xml:space="preserve">young people and their </w:t>
      </w:r>
      <w:r w:rsidR="00323782">
        <w:t xml:space="preserve">families and friends. </w:t>
      </w:r>
      <w:r>
        <w:t>Th</w:t>
      </w:r>
      <w:r w:rsidR="004E0E7A">
        <w:t xml:space="preserve">e service system is </w:t>
      </w:r>
      <w:r w:rsidR="005D17A4">
        <w:t>complex with high variation across localities and regions</w:t>
      </w:r>
      <w:r w:rsidR="00323782">
        <w:t>,</w:t>
      </w:r>
      <w:r>
        <w:t xml:space="preserve"> requir</w:t>
      </w:r>
      <w:r w:rsidR="0082434C">
        <w:t>ing headspace services to actively engage in networking and service mapping on an ongoing</w:t>
      </w:r>
      <w:r w:rsidR="003E368D">
        <w:t xml:space="preserve"> basis.</w:t>
      </w:r>
    </w:p>
    <w:p w14:paraId="205BFB8B" w14:textId="373CA7B0" w:rsidR="008818B8" w:rsidRPr="001D6913" w:rsidRDefault="001867E8" w:rsidP="00AD69DC">
      <w:pPr>
        <w:pStyle w:val="Heading4"/>
      </w:pPr>
      <w:r>
        <w:t>Tertiary mental health services</w:t>
      </w:r>
    </w:p>
    <w:p w14:paraId="3EF59379" w14:textId="0A0B701B" w:rsidR="003739D6" w:rsidRDefault="001800D6" w:rsidP="00BF45BE">
      <w:pPr>
        <w:pStyle w:val="BodyText"/>
        <w:rPr>
          <w:lang w:eastAsia="en-AU"/>
        </w:rPr>
      </w:pPr>
      <w:r>
        <w:rPr>
          <w:lang w:eastAsia="en-AU"/>
        </w:rPr>
        <w:t>I</w:t>
      </w:r>
      <w:r w:rsidR="00E04D79">
        <w:rPr>
          <w:lang w:eastAsia="en-AU"/>
        </w:rPr>
        <w:t>ntegration</w:t>
      </w:r>
      <w:r w:rsidR="001D08B3" w:rsidRPr="001D6913">
        <w:rPr>
          <w:lang w:eastAsia="en-AU"/>
        </w:rPr>
        <w:t xml:space="preserve"> with the local</w:t>
      </w:r>
      <w:r w:rsidR="005A3C41">
        <w:rPr>
          <w:lang w:eastAsia="en-AU"/>
        </w:rPr>
        <w:t xml:space="preserve"> tertiary mental health services</w:t>
      </w:r>
      <w:r w:rsidR="001867E8">
        <w:rPr>
          <w:lang w:eastAsia="en-AU"/>
        </w:rPr>
        <w:t xml:space="preserve"> (TMHS</w:t>
      </w:r>
      <w:r w:rsidR="002E7D3B">
        <w:rPr>
          <w:lang w:eastAsia="en-AU"/>
        </w:rPr>
        <w:t>s</w:t>
      </w:r>
      <w:r w:rsidR="001867E8">
        <w:rPr>
          <w:lang w:eastAsia="en-AU"/>
        </w:rPr>
        <w:t>)</w:t>
      </w:r>
      <w:r w:rsidR="004E0E7A">
        <w:rPr>
          <w:rStyle w:val="CommentReference"/>
        </w:rPr>
        <w:t xml:space="preserve"> </w:t>
      </w:r>
      <w:r w:rsidR="001D08B3" w:rsidRPr="001D6913">
        <w:rPr>
          <w:lang w:eastAsia="en-AU"/>
        </w:rPr>
        <w:t>includ</w:t>
      </w:r>
      <w:r w:rsidR="004E0E7A">
        <w:rPr>
          <w:lang w:eastAsia="en-AU"/>
        </w:rPr>
        <w:t>es</w:t>
      </w:r>
      <w:r w:rsidR="00572187">
        <w:rPr>
          <w:lang w:eastAsia="en-AU"/>
        </w:rPr>
        <w:t xml:space="preserve"> actively</w:t>
      </w:r>
      <w:r w:rsidR="00323782">
        <w:rPr>
          <w:lang w:eastAsia="en-AU"/>
        </w:rPr>
        <w:t xml:space="preserve"> engaging with</w:t>
      </w:r>
      <w:r w:rsidR="001D08B3" w:rsidRPr="001D6913">
        <w:rPr>
          <w:lang w:eastAsia="en-AU"/>
        </w:rPr>
        <w:t xml:space="preserve"> C</w:t>
      </w:r>
      <w:r w:rsidR="005A3C41">
        <w:rPr>
          <w:lang w:eastAsia="en-AU"/>
        </w:rPr>
        <w:t>hild</w:t>
      </w:r>
      <w:r w:rsidR="005A30B6">
        <w:rPr>
          <w:lang w:eastAsia="en-AU"/>
        </w:rPr>
        <w:t xml:space="preserve"> and </w:t>
      </w:r>
      <w:r w:rsidR="001D08B3" w:rsidRPr="001D6913">
        <w:rPr>
          <w:lang w:eastAsia="en-AU"/>
        </w:rPr>
        <w:t>A</w:t>
      </w:r>
      <w:r w:rsidR="005A30B6">
        <w:rPr>
          <w:lang w:eastAsia="en-AU"/>
        </w:rPr>
        <w:t xml:space="preserve">dolescent </w:t>
      </w:r>
      <w:r w:rsidR="001D08B3" w:rsidRPr="001D6913">
        <w:rPr>
          <w:lang w:eastAsia="en-AU"/>
        </w:rPr>
        <w:t>M</w:t>
      </w:r>
      <w:r w:rsidR="005A30B6">
        <w:rPr>
          <w:lang w:eastAsia="en-AU"/>
        </w:rPr>
        <w:t xml:space="preserve">ental </w:t>
      </w:r>
      <w:r w:rsidR="001D08B3" w:rsidRPr="001D6913">
        <w:rPr>
          <w:lang w:eastAsia="en-AU"/>
        </w:rPr>
        <w:t>H</w:t>
      </w:r>
      <w:r w:rsidR="005A30B6">
        <w:rPr>
          <w:lang w:eastAsia="en-AU"/>
        </w:rPr>
        <w:t>ealth Services (CAMHS</w:t>
      </w:r>
      <w:r w:rsidR="002E7D3B">
        <w:rPr>
          <w:lang w:eastAsia="en-AU"/>
        </w:rPr>
        <w:t>s</w:t>
      </w:r>
      <w:r w:rsidR="005A30B6">
        <w:rPr>
          <w:lang w:eastAsia="en-AU"/>
        </w:rPr>
        <w:t>)</w:t>
      </w:r>
      <w:r w:rsidR="00EC074E">
        <w:rPr>
          <w:lang w:eastAsia="en-AU"/>
        </w:rPr>
        <w:t xml:space="preserve"> </w:t>
      </w:r>
      <w:r w:rsidR="00531E60">
        <w:rPr>
          <w:lang w:eastAsia="en-AU"/>
        </w:rPr>
        <w:t xml:space="preserve">and </w:t>
      </w:r>
      <w:r w:rsidR="005A30B6">
        <w:rPr>
          <w:lang w:eastAsia="en-AU"/>
        </w:rPr>
        <w:t xml:space="preserve">Child and </w:t>
      </w:r>
      <w:r w:rsidR="00957517">
        <w:rPr>
          <w:lang w:eastAsia="en-AU"/>
        </w:rPr>
        <w:t>Youth Mental Health Services (</w:t>
      </w:r>
      <w:r w:rsidR="00EC074E">
        <w:rPr>
          <w:lang w:eastAsia="en-AU"/>
        </w:rPr>
        <w:t>CYMHS</w:t>
      </w:r>
      <w:r w:rsidR="002E7D3B">
        <w:rPr>
          <w:lang w:eastAsia="en-AU"/>
        </w:rPr>
        <w:t>s</w:t>
      </w:r>
      <w:r w:rsidR="00957517">
        <w:rPr>
          <w:lang w:eastAsia="en-AU"/>
        </w:rPr>
        <w:t>)</w:t>
      </w:r>
      <w:r w:rsidR="000C1F6C">
        <w:rPr>
          <w:lang w:eastAsia="en-AU"/>
        </w:rPr>
        <w:t>, as appropriate.</w:t>
      </w:r>
    </w:p>
    <w:p w14:paraId="3A1E2717" w14:textId="4112AA2A" w:rsidR="00A91550" w:rsidRDefault="001D08B3" w:rsidP="00BF45BE">
      <w:pPr>
        <w:pStyle w:val="BodyText"/>
        <w:rPr>
          <w:lang w:eastAsia="en-AU"/>
        </w:rPr>
      </w:pPr>
      <w:r w:rsidRPr="001D6913">
        <w:rPr>
          <w:lang w:eastAsia="en-AU"/>
        </w:rPr>
        <w:t xml:space="preserve">These services are part of a national network of providers, funded through state and territory health departments, to meet the needs of </w:t>
      </w:r>
      <w:r w:rsidR="00751283">
        <w:rPr>
          <w:lang w:eastAsia="en-AU"/>
        </w:rPr>
        <w:t>individuals</w:t>
      </w:r>
      <w:r w:rsidR="00751283" w:rsidRPr="001D6913">
        <w:rPr>
          <w:lang w:eastAsia="en-AU"/>
        </w:rPr>
        <w:t xml:space="preserve"> </w:t>
      </w:r>
      <w:r w:rsidR="009C2007" w:rsidRPr="001D6913">
        <w:rPr>
          <w:lang w:eastAsia="en-AU"/>
        </w:rPr>
        <w:t xml:space="preserve">experiencing </w:t>
      </w:r>
      <w:r w:rsidR="00DA39AF">
        <w:rPr>
          <w:lang w:eastAsia="en-AU"/>
        </w:rPr>
        <w:t>severe</w:t>
      </w:r>
      <w:r w:rsidR="009C2007" w:rsidRPr="001D6913">
        <w:rPr>
          <w:lang w:eastAsia="en-AU"/>
        </w:rPr>
        <w:t xml:space="preserve"> mental health </w:t>
      </w:r>
      <w:r w:rsidR="00523BC8">
        <w:rPr>
          <w:lang w:eastAsia="en-AU"/>
        </w:rPr>
        <w:t>problem</w:t>
      </w:r>
      <w:r w:rsidR="00523BC8" w:rsidRPr="001D6913">
        <w:rPr>
          <w:lang w:eastAsia="en-AU"/>
        </w:rPr>
        <w:t>s</w:t>
      </w:r>
      <w:r w:rsidR="009C2007" w:rsidRPr="001D6913">
        <w:rPr>
          <w:lang w:eastAsia="en-AU"/>
        </w:rPr>
        <w:t xml:space="preserve">. </w:t>
      </w:r>
      <w:r w:rsidR="00B6307E">
        <w:rPr>
          <w:lang w:eastAsia="en-AU"/>
        </w:rPr>
        <w:t>headspace services</w:t>
      </w:r>
      <w:r w:rsidR="009C2007" w:rsidRPr="001D6913">
        <w:rPr>
          <w:lang w:eastAsia="en-AU"/>
        </w:rPr>
        <w:t xml:space="preserve"> take referrals from </w:t>
      </w:r>
      <w:r w:rsidR="00915E77" w:rsidRPr="001D6913">
        <w:rPr>
          <w:lang w:eastAsia="en-AU"/>
        </w:rPr>
        <w:t xml:space="preserve">TMHSs </w:t>
      </w:r>
      <w:r w:rsidR="006A2DC8" w:rsidRPr="001D6913">
        <w:rPr>
          <w:lang w:eastAsia="en-AU"/>
        </w:rPr>
        <w:t xml:space="preserve">where a young person is able to ‘step down’ into </w:t>
      </w:r>
      <w:r w:rsidR="008500D5" w:rsidRPr="001D6913">
        <w:rPr>
          <w:lang w:eastAsia="en-AU"/>
        </w:rPr>
        <w:t xml:space="preserve">the </w:t>
      </w:r>
      <w:r w:rsidR="005513AE">
        <w:rPr>
          <w:lang w:eastAsia="en-AU"/>
        </w:rPr>
        <w:t>psychosocial</w:t>
      </w:r>
      <w:r w:rsidR="008500D5" w:rsidRPr="001D6913">
        <w:rPr>
          <w:lang w:eastAsia="en-AU"/>
        </w:rPr>
        <w:t xml:space="preserve"> or mild to moderate clinical support </w:t>
      </w:r>
      <w:r w:rsidR="0020296B">
        <w:rPr>
          <w:lang w:eastAsia="en-AU"/>
        </w:rPr>
        <w:t xml:space="preserve">that </w:t>
      </w:r>
      <w:r w:rsidR="008500D5" w:rsidRPr="001D6913">
        <w:rPr>
          <w:lang w:eastAsia="en-AU"/>
        </w:rPr>
        <w:t xml:space="preserve">headspace provides. </w:t>
      </w:r>
    </w:p>
    <w:p w14:paraId="0A85726C" w14:textId="6425D998" w:rsidR="00AC74F8" w:rsidRDefault="00AC74F8" w:rsidP="00AC74F8">
      <w:pPr>
        <w:pStyle w:val="Caption"/>
        <w:rPr>
          <w:lang w:eastAsia="en-AU"/>
        </w:rPr>
      </w:pPr>
      <w:bookmarkStart w:id="50" w:name="_Toc108109193"/>
      <w:r>
        <w:t xml:space="preserve">Figure </w:t>
      </w:r>
      <w:r>
        <w:fldChar w:fldCharType="begin"/>
      </w:r>
      <w:r>
        <w:instrText>SEQ Figure \* ARABIC</w:instrText>
      </w:r>
      <w:r>
        <w:fldChar w:fldCharType="separate"/>
      </w:r>
      <w:r w:rsidR="00CC0438">
        <w:rPr>
          <w:noProof/>
        </w:rPr>
        <w:t>8</w:t>
      </w:r>
      <w:r>
        <w:fldChar w:fldCharType="end"/>
      </w:r>
      <w:r w:rsidR="66582583">
        <w:t>: High level summary of mental health supports available for young people</w:t>
      </w:r>
      <w:bookmarkEnd w:id="50"/>
    </w:p>
    <w:p w14:paraId="57A3A5E8" w14:textId="70732895" w:rsidR="00335C27" w:rsidRDefault="00AE17DD" w:rsidP="00335C27">
      <w:pPr>
        <w:pStyle w:val="BodyText"/>
        <w:jc w:val="center"/>
        <w:rPr>
          <w:sz w:val="16"/>
          <w:szCs w:val="16"/>
        </w:rPr>
      </w:pPr>
      <w:r>
        <w:rPr>
          <w:noProof/>
          <w:sz w:val="16"/>
          <w:szCs w:val="16"/>
        </w:rPr>
        <w:drawing>
          <wp:inline distT="0" distB="0" distL="0" distR="0" wp14:anchorId="55BD1A30" wp14:editId="5496AB03">
            <wp:extent cx="3544920" cy="4529719"/>
            <wp:effectExtent l="0" t="0" r="0" b="0"/>
            <wp:docPr id="1045" name="Picture 1045" descr="Figure 8 summarises the continuum of mental health supports for young people in Australia, including primary, secondary and tertiary care services. Primary care services include support from family and friends, helplines and online forums, school and tertiary institutions, GPs and psychologists, headspace services, and early intervention and prevention services. Secondary services include non-specialised supports such as Emergency Departments or admitted units, and specialised community mental health services.&#10;Tertiary services include residential mental health services, mental health-specific social housing, and CYMHS and CAMHS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Figure 8 summarises the continuum of mental health supports for young people in Australia, including primary, secondary and tertiary care services. Primary care services include support from family and friends, helplines and online forums, school and tertiary institutions, GPs and psychologists, headspace services, and early intervention and prevention services. Secondary services include non-specialised supports such as Emergency Departments or admitted units, and specialised community mental health services.&#10;Tertiary services include residential mental health services, mental health-specific social housing, and CYMHS and CAMHS services.&#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8660" cy="4534498"/>
                    </a:xfrm>
                    <a:prstGeom prst="rect">
                      <a:avLst/>
                    </a:prstGeom>
                    <a:noFill/>
                  </pic:spPr>
                </pic:pic>
              </a:graphicData>
            </a:graphic>
          </wp:inline>
        </w:drawing>
      </w:r>
    </w:p>
    <w:p w14:paraId="660BCC1C" w14:textId="0D92E68F" w:rsidR="008429DE" w:rsidRDefault="008429DE" w:rsidP="00335C27">
      <w:pPr>
        <w:pStyle w:val="BodyText"/>
        <w:rPr>
          <w:rFonts w:cs="Calibri"/>
          <w:sz w:val="16"/>
          <w:szCs w:val="16"/>
        </w:rPr>
      </w:pPr>
      <w:r w:rsidRPr="00EA04A7">
        <w:rPr>
          <w:sz w:val="16"/>
          <w:szCs w:val="16"/>
        </w:rPr>
        <w:t xml:space="preserve">Source: </w:t>
      </w:r>
      <w:r w:rsidRPr="00EA04A7">
        <w:rPr>
          <w:rFonts w:cs="Calibri"/>
          <w:sz w:val="16"/>
          <w:szCs w:val="16"/>
        </w:rPr>
        <w:t>KPMG 2022</w:t>
      </w:r>
    </w:p>
    <w:p w14:paraId="47289537" w14:textId="3CFD84BA" w:rsidR="00B53146" w:rsidRDefault="00A161CD" w:rsidP="00BF45BE">
      <w:pPr>
        <w:pStyle w:val="BodyText"/>
        <w:rPr>
          <w:lang w:eastAsia="en-AU"/>
        </w:rPr>
      </w:pPr>
      <w:r>
        <w:rPr>
          <w:lang w:eastAsia="en-AU"/>
        </w:rPr>
        <w:t>headspace services</w:t>
      </w:r>
      <w:r w:rsidR="00F27478" w:rsidRPr="001D6913">
        <w:rPr>
          <w:lang w:eastAsia="en-AU"/>
        </w:rPr>
        <w:t xml:space="preserve"> also refer young people to TMHS</w:t>
      </w:r>
      <w:r w:rsidR="002E7D3B">
        <w:rPr>
          <w:lang w:eastAsia="en-AU"/>
        </w:rPr>
        <w:t>s</w:t>
      </w:r>
      <w:r w:rsidR="00F27478" w:rsidRPr="001D6913">
        <w:rPr>
          <w:lang w:eastAsia="en-AU"/>
        </w:rPr>
        <w:t xml:space="preserve"> to ‘step up’ into more intensive</w:t>
      </w:r>
      <w:r w:rsidR="008F3BF0" w:rsidRPr="001D6913">
        <w:rPr>
          <w:lang w:eastAsia="en-AU"/>
        </w:rPr>
        <w:t xml:space="preserve"> or</w:t>
      </w:r>
      <w:r w:rsidR="00F27478" w:rsidRPr="001D6913">
        <w:rPr>
          <w:lang w:eastAsia="en-AU"/>
        </w:rPr>
        <w:t xml:space="preserve"> specialised </w:t>
      </w:r>
      <w:r w:rsidR="008F3BF0" w:rsidRPr="001D6913">
        <w:rPr>
          <w:lang w:eastAsia="en-AU"/>
        </w:rPr>
        <w:t xml:space="preserve">care, or where </w:t>
      </w:r>
      <w:r w:rsidR="0020296B">
        <w:rPr>
          <w:lang w:eastAsia="en-AU"/>
        </w:rPr>
        <w:t>their</w:t>
      </w:r>
      <w:r w:rsidR="0020296B" w:rsidRPr="001D6913">
        <w:rPr>
          <w:lang w:eastAsia="en-AU"/>
        </w:rPr>
        <w:t xml:space="preserve"> </w:t>
      </w:r>
      <w:r w:rsidR="008F3BF0" w:rsidRPr="001D6913">
        <w:rPr>
          <w:lang w:eastAsia="en-AU"/>
        </w:rPr>
        <w:t>mental health needs require them to be admitted</w:t>
      </w:r>
      <w:r w:rsidR="00CD27E1" w:rsidRPr="001D6913">
        <w:rPr>
          <w:lang w:eastAsia="en-AU"/>
        </w:rPr>
        <w:t xml:space="preserve"> </w:t>
      </w:r>
      <w:r w:rsidR="007E7821" w:rsidRPr="001D6913">
        <w:rPr>
          <w:lang w:eastAsia="en-AU"/>
        </w:rPr>
        <w:t>into a hospital setting.</w:t>
      </w:r>
      <w:r w:rsidR="006233EB">
        <w:rPr>
          <w:lang w:eastAsia="en-AU"/>
        </w:rPr>
        <w:t xml:space="preserve"> TMHS</w:t>
      </w:r>
      <w:r w:rsidR="00BA6471">
        <w:rPr>
          <w:lang w:eastAsia="en-AU"/>
        </w:rPr>
        <w:t>s and state government policy agencies are not</w:t>
      </w:r>
      <w:r w:rsidR="00EB4D0C">
        <w:rPr>
          <w:lang w:eastAsia="en-AU"/>
        </w:rPr>
        <w:t xml:space="preserve"> typically</w:t>
      </w:r>
      <w:r w:rsidR="00BA6471">
        <w:rPr>
          <w:lang w:eastAsia="en-AU"/>
        </w:rPr>
        <w:t xml:space="preserve"> part of the headspace governance model</w:t>
      </w:r>
      <w:r w:rsidR="00EB4D0C">
        <w:rPr>
          <w:lang w:eastAsia="en-AU"/>
        </w:rPr>
        <w:t xml:space="preserve">, however </w:t>
      </w:r>
      <w:r w:rsidR="00B13B84">
        <w:rPr>
          <w:lang w:eastAsia="en-AU"/>
        </w:rPr>
        <w:t>a small number of</w:t>
      </w:r>
      <w:r w:rsidR="00EB4D0C">
        <w:rPr>
          <w:lang w:eastAsia="en-AU"/>
        </w:rPr>
        <w:t xml:space="preserve"> lead agencies </w:t>
      </w:r>
      <w:r w:rsidR="00B13B84">
        <w:rPr>
          <w:lang w:eastAsia="en-AU"/>
        </w:rPr>
        <w:t>running</w:t>
      </w:r>
      <w:r w:rsidR="00EB4D0C">
        <w:rPr>
          <w:lang w:eastAsia="en-AU"/>
        </w:rPr>
        <w:t xml:space="preserve"> headspace services </w:t>
      </w:r>
      <w:r w:rsidR="00B13B84">
        <w:rPr>
          <w:lang w:eastAsia="en-AU"/>
        </w:rPr>
        <w:t>are state</w:t>
      </w:r>
      <w:r w:rsidR="00471D95">
        <w:rPr>
          <w:lang w:eastAsia="en-AU"/>
        </w:rPr>
        <w:noBreakHyphen/>
      </w:r>
      <w:r w:rsidR="00B13B84">
        <w:rPr>
          <w:lang w:eastAsia="en-AU"/>
        </w:rPr>
        <w:t xml:space="preserve">funded area health services, or </w:t>
      </w:r>
      <w:r w:rsidR="00976117">
        <w:rPr>
          <w:lang w:eastAsia="en-AU"/>
        </w:rPr>
        <w:t>CYMHS</w:t>
      </w:r>
      <w:r w:rsidR="00ED3383">
        <w:rPr>
          <w:lang w:eastAsia="en-AU"/>
        </w:rPr>
        <w:t>s</w:t>
      </w:r>
      <w:r w:rsidR="00EB04B0">
        <w:rPr>
          <w:lang w:eastAsia="en-AU"/>
        </w:rPr>
        <w:t xml:space="preserve">. </w:t>
      </w:r>
      <w:r w:rsidR="00536DE6">
        <w:rPr>
          <w:lang w:eastAsia="en-AU"/>
        </w:rPr>
        <w:t>In general, t</w:t>
      </w:r>
      <w:r w:rsidR="00EB04B0">
        <w:rPr>
          <w:lang w:eastAsia="en-AU"/>
        </w:rPr>
        <w:t>h</w:t>
      </w:r>
      <w:r w:rsidR="00BA6471">
        <w:rPr>
          <w:lang w:eastAsia="en-AU"/>
        </w:rPr>
        <w:t xml:space="preserve">e integration of </w:t>
      </w:r>
      <w:r w:rsidR="00536DE6">
        <w:rPr>
          <w:lang w:eastAsia="en-AU"/>
        </w:rPr>
        <w:t>TMHS</w:t>
      </w:r>
      <w:r w:rsidR="002E7D3B">
        <w:rPr>
          <w:lang w:eastAsia="en-AU"/>
        </w:rPr>
        <w:t>s</w:t>
      </w:r>
      <w:r w:rsidR="00BA6471">
        <w:rPr>
          <w:lang w:eastAsia="en-AU"/>
        </w:rPr>
        <w:t xml:space="preserve"> with headspace </w:t>
      </w:r>
      <w:r w:rsidR="00863E24">
        <w:rPr>
          <w:lang w:eastAsia="en-AU"/>
        </w:rPr>
        <w:t>is dependent on relationships at the service level</w:t>
      </w:r>
      <w:r w:rsidR="00CA0FBA">
        <w:rPr>
          <w:lang w:eastAsia="en-AU"/>
        </w:rPr>
        <w:t xml:space="preserve">, along with work done at the </w:t>
      </w:r>
      <w:r w:rsidR="00CA0FBA" w:rsidRPr="00BF45BE">
        <w:rPr>
          <w:lang w:eastAsia="en-AU"/>
        </w:rPr>
        <w:t>PHN</w:t>
      </w:r>
      <w:r w:rsidR="00CA0FBA">
        <w:rPr>
          <w:lang w:eastAsia="en-AU"/>
        </w:rPr>
        <w:t xml:space="preserve"> level</w:t>
      </w:r>
      <w:r w:rsidR="00273A6D">
        <w:rPr>
          <w:lang w:eastAsia="en-AU"/>
        </w:rPr>
        <w:t>,</w:t>
      </w:r>
      <w:r w:rsidR="00CA0FBA">
        <w:rPr>
          <w:lang w:eastAsia="en-AU"/>
        </w:rPr>
        <w:t xml:space="preserve"> to facilitate integration with local hospital and primary care providers.</w:t>
      </w:r>
    </w:p>
    <w:p w14:paraId="3E57D93C" w14:textId="3412475B" w:rsidR="005A6625" w:rsidRDefault="00590563" w:rsidP="005A6625">
      <w:pPr>
        <w:pStyle w:val="Heading4"/>
      </w:pPr>
      <w:r>
        <w:t>Other e</w:t>
      </w:r>
      <w:r w:rsidR="005A6625">
        <w:t>arly intervention and prevention services</w:t>
      </w:r>
    </w:p>
    <w:p w14:paraId="4413D4CB" w14:textId="77777777" w:rsidR="00972C9C" w:rsidRPr="00972C9C" w:rsidRDefault="006D333D" w:rsidP="003006A8">
      <w:pPr>
        <w:pStyle w:val="BodyText"/>
      </w:pPr>
      <w:r>
        <w:t>Alongside headspace, t</w:t>
      </w:r>
      <w:r w:rsidR="005A6625">
        <w:t xml:space="preserve">here are a range of prevention and early intervention services available to support young people to improve their mental well being and improve resilience. </w:t>
      </w:r>
    </w:p>
    <w:p w14:paraId="45D3FC65" w14:textId="4E1C9BC5" w:rsidR="00C616C3" w:rsidRPr="00EA04A7" w:rsidRDefault="00BC236E" w:rsidP="003006A8">
      <w:pPr>
        <w:pStyle w:val="BodyText"/>
      </w:pPr>
      <w:r>
        <w:t>Such services include online, self</w:t>
      </w:r>
      <w:r w:rsidR="00C10270">
        <w:t>-</w:t>
      </w:r>
      <w:r>
        <w:t xml:space="preserve">guided wellbeing and relisience programs for young people and interactive online programs targeting prevention and </w:t>
      </w:r>
      <w:r w:rsidR="00937D47">
        <w:t xml:space="preserve">early </w:t>
      </w:r>
      <w:r w:rsidRPr="00FA002E">
        <w:rPr>
          <w:szCs w:val="20"/>
        </w:rPr>
        <w:t>intervention</w:t>
      </w:r>
      <w:r w:rsidR="00A61CC3" w:rsidRPr="00FA002E">
        <w:rPr>
          <w:szCs w:val="20"/>
        </w:rPr>
        <w:t xml:space="preserve"> for young people and their parents, including information and skills building. These services are provided by a range of organisat</w:t>
      </w:r>
      <w:r w:rsidR="00B9651B">
        <w:rPr>
          <w:szCs w:val="20"/>
        </w:rPr>
        <w:t>i</w:t>
      </w:r>
      <w:r w:rsidR="00A61CC3" w:rsidRPr="00FA002E">
        <w:rPr>
          <w:szCs w:val="20"/>
        </w:rPr>
        <w:t>ons</w:t>
      </w:r>
      <w:r w:rsidR="00BB6A86">
        <w:rPr>
          <w:szCs w:val="20"/>
        </w:rPr>
        <w:t xml:space="preserve">, including headspace National, </w:t>
      </w:r>
      <w:r w:rsidR="00DD4604" w:rsidRPr="00FA002E">
        <w:rPr>
          <w:szCs w:val="20"/>
        </w:rPr>
        <w:t xml:space="preserve">Black Dog Institute, beyondblue, BRAVE, </w:t>
      </w:r>
      <w:r w:rsidR="00BB6A86">
        <w:rPr>
          <w:szCs w:val="20"/>
        </w:rPr>
        <w:t xml:space="preserve">and </w:t>
      </w:r>
      <w:r w:rsidR="00DD4604" w:rsidRPr="00FA002E">
        <w:rPr>
          <w:szCs w:val="20"/>
        </w:rPr>
        <w:t>Reachout</w:t>
      </w:r>
      <w:r w:rsidR="00BB6A86">
        <w:rPr>
          <w:szCs w:val="20"/>
        </w:rPr>
        <w:t xml:space="preserve">, </w:t>
      </w:r>
      <w:r w:rsidR="00F4398F">
        <w:rPr>
          <w:szCs w:val="20"/>
        </w:rPr>
        <w:t>along with a range of relat</w:t>
      </w:r>
      <w:r w:rsidR="00B514EE">
        <w:rPr>
          <w:szCs w:val="20"/>
        </w:rPr>
        <w:t>ed initiatives</w:t>
      </w:r>
      <w:r w:rsidR="00DD4604" w:rsidRPr="00FA002E">
        <w:rPr>
          <w:szCs w:val="20"/>
        </w:rPr>
        <w:t xml:space="preserve">. </w:t>
      </w:r>
    </w:p>
    <w:p w14:paraId="00BF6220" w14:textId="77777777" w:rsidR="005A6625" w:rsidRPr="00CA62E3" w:rsidRDefault="005A6625" w:rsidP="005A6625">
      <w:pPr>
        <w:pStyle w:val="Heading4"/>
      </w:pPr>
      <w:r>
        <w:t>Supports through schools and tertiary education institutions</w:t>
      </w:r>
    </w:p>
    <w:p w14:paraId="492407DE" w14:textId="79C5B1B1" w:rsidR="005A6625" w:rsidRDefault="005A6625" w:rsidP="005A6625">
      <w:pPr>
        <w:pStyle w:val="BodyText"/>
      </w:pPr>
      <w:r>
        <w:t>Mental health support is also provided to young people through schools and tertiary education institutions. For young people at school, support is provided at an individual school or institution level, through school counsellors, guidance workers and psychologists employed to work with students, and through broader system-wide programs often delivered by external organisations.</w:t>
      </w:r>
    </w:p>
    <w:p w14:paraId="064EA9DE" w14:textId="3A90A3D7" w:rsidR="005A6625" w:rsidRDefault="005A6625" w:rsidP="005A6625">
      <w:pPr>
        <w:pStyle w:val="BodyText"/>
      </w:pPr>
      <w:r>
        <w:t xml:space="preserve">For young people accessing education through tertiary institutions, there are fewer formal relationships with external organisations, with the majority of support provided directly through the institution itself. However, the Productivity Commission identified that the </w:t>
      </w:r>
      <w:r w:rsidRPr="00B752FC">
        <w:t>level and types of mental health</w:t>
      </w:r>
      <w:r w:rsidR="006A26A9">
        <w:t>-</w:t>
      </w:r>
      <w:r w:rsidRPr="00B752FC">
        <w:t>related supports provided by tertiary institutions to students varies between education providers.</w:t>
      </w:r>
    </w:p>
    <w:p w14:paraId="12D75CE7" w14:textId="257DBB1F" w:rsidR="005A6625" w:rsidRDefault="00150289" w:rsidP="002B2B8B">
      <w:pPr>
        <w:pStyle w:val="BodyText"/>
      </w:pPr>
      <w:r>
        <w:t>Key s</w:t>
      </w:r>
      <w:r w:rsidR="005A6625">
        <w:t>upports and services provided by external organisations through schools include</w:t>
      </w:r>
      <w:r w:rsidR="00237848">
        <w:t xml:space="preserve"> support educators from ea</w:t>
      </w:r>
      <w:r w:rsidR="004F4CF1">
        <w:t>r</w:t>
      </w:r>
      <w:r w:rsidR="00237848">
        <w:t>ly learning services which develop positive, inclu</w:t>
      </w:r>
      <w:r w:rsidR="00500BA2">
        <w:t>siv</w:t>
      </w:r>
      <w:r w:rsidR="00237848">
        <w:t>e and resilient learning communitie</w:t>
      </w:r>
      <w:r w:rsidR="00CB4CD2">
        <w:t>s</w:t>
      </w:r>
      <w:r w:rsidR="00237848">
        <w:t xml:space="preserve">, as well as a range of programs within schools and universities </w:t>
      </w:r>
      <w:r w:rsidR="008E3437">
        <w:t xml:space="preserve">using lived </w:t>
      </w:r>
      <w:r w:rsidR="006B113A">
        <w:t xml:space="preserve">experience </w:t>
      </w:r>
      <w:r w:rsidR="008E3437">
        <w:t>facilitators to reduce stigma associated with mental ill-he</w:t>
      </w:r>
      <w:r w:rsidR="006209A3">
        <w:t>al</w:t>
      </w:r>
      <w:r w:rsidR="008E3437">
        <w:t xml:space="preserve">th and enhance help seeking. Some </w:t>
      </w:r>
      <w:r w:rsidR="003C35C3">
        <w:t xml:space="preserve">examples </w:t>
      </w:r>
      <w:r w:rsidR="008E3437">
        <w:t xml:space="preserve">of these programs include </w:t>
      </w:r>
      <w:r w:rsidR="003C35C3">
        <w:t>Be You</w:t>
      </w:r>
      <w:r w:rsidR="008B3B0A">
        <w:t>, delivered by</w:t>
      </w:r>
      <w:r w:rsidR="00B17C57">
        <w:t xml:space="preserve"> Beyond blue, Early Childhood</w:t>
      </w:r>
      <w:r w:rsidR="004D5652">
        <w:t xml:space="preserve"> Australia</w:t>
      </w:r>
      <w:r w:rsidR="00B17C57">
        <w:t xml:space="preserve"> and headspace</w:t>
      </w:r>
      <w:r w:rsidR="00CC0438">
        <w:rPr>
          <w:rFonts w:ascii="ZWAdobeF" w:hAnsi="ZWAdobeF" w:cs="ZWAdobeF"/>
          <w:sz w:val="2"/>
          <w:szCs w:val="2"/>
        </w:rPr>
        <w:t>67F</w:t>
      </w:r>
      <w:r w:rsidR="003C35C3">
        <w:rPr>
          <w:rStyle w:val="FootnoteReference"/>
        </w:rPr>
        <w:footnoteReference w:id="69"/>
      </w:r>
      <w:r w:rsidR="003C35C3">
        <w:t xml:space="preserve"> </w:t>
      </w:r>
      <w:r w:rsidR="008E3437">
        <w:t xml:space="preserve">and </w:t>
      </w:r>
      <w:r w:rsidR="00CC01AF">
        <w:t>BeingHerd and batyr@school delivered by b</w:t>
      </w:r>
      <w:r w:rsidR="003C35C3" w:rsidRPr="00F05F77">
        <w:t>atyr</w:t>
      </w:r>
      <w:r w:rsidR="00CC0438">
        <w:rPr>
          <w:rFonts w:ascii="ZWAdobeF" w:hAnsi="ZWAdobeF" w:cs="ZWAdobeF"/>
          <w:sz w:val="2"/>
          <w:szCs w:val="2"/>
        </w:rPr>
        <w:t>68F</w:t>
      </w:r>
      <w:r w:rsidR="003C35C3">
        <w:rPr>
          <w:rStyle w:val="FootnoteReference"/>
        </w:rPr>
        <w:footnoteReference w:id="70"/>
      </w:r>
      <w:r w:rsidR="003C35C3">
        <w:t xml:space="preserve">.  </w:t>
      </w:r>
    </w:p>
    <w:p w14:paraId="02AFDA4B" w14:textId="518BFF03" w:rsidR="0076361D" w:rsidRPr="00E66E1A" w:rsidRDefault="00523E09" w:rsidP="002B2B8B">
      <w:pPr>
        <w:pStyle w:val="BodyText"/>
      </w:pPr>
      <w:r>
        <w:t xml:space="preserve">Engaging with schools and tertiary education institutions is a key role for headspace services, to build brand visibility and reduce stigma around mental health </w:t>
      </w:r>
      <w:r w:rsidR="00B24A04">
        <w:t>help seeking</w:t>
      </w:r>
      <w:r>
        <w:t>.</w:t>
      </w:r>
    </w:p>
    <w:p w14:paraId="2C9E1CC5" w14:textId="77777777" w:rsidR="005A6625" w:rsidRDefault="005A6625" w:rsidP="005A6625">
      <w:pPr>
        <w:pStyle w:val="Heading4"/>
      </w:pPr>
      <w:r>
        <w:t>Helplines and online forums</w:t>
      </w:r>
    </w:p>
    <w:p w14:paraId="48C26F88" w14:textId="77777777" w:rsidR="005A6625" w:rsidRPr="00F96871" w:rsidRDefault="005A6625" w:rsidP="003006A8">
      <w:pPr>
        <w:pStyle w:val="BodyText"/>
      </w:pPr>
      <w:r>
        <w:t>There are also a range of online and telephone-based services for young people, which provide prevention-based resources for young people, through to counselling and crisis support. These services include:</w:t>
      </w:r>
    </w:p>
    <w:p w14:paraId="663D968F" w14:textId="638058F8" w:rsidR="005A6625" w:rsidRPr="00F05F77" w:rsidRDefault="005A6625" w:rsidP="00F05F77">
      <w:pPr>
        <w:pStyle w:val="Bullet1stlevel"/>
      </w:pPr>
      <w:r>
        <w:t>Kids Helpline</w:t>
      </w:r>
      <w:r w:rsidR="00CC0438">
        <w:rPr>
          <w:rFonts w:ascii="ZWAdobeF" w:hAnsi="ZWAdobeF" w:cs="ZWAdobeF"/>
          <w:sz w:val="2"/>
          <w:szCs w:val="2"/>
        </w:rPr>
        <w:t>69F</w:t>
      </w:r>
      <w:r w:rsidR="00154085">
        <w:rPr>
          <w:rStyle w:val="FootnoteReference"/>
        </w:rPr>
        <w:footnoteReference w:id="71"/>
      </w:r>
      <w:r>
        <w:t xml:space="preserve"> – a free, 24/7 online and telephone counselling service for young people aged </w:t>
      </w:r>
      <w:r w:rsidR="004D4A15">
        <w:t>five</w:t>
      </w:r>
      <w:r>
        <w:t xml:space="preserve"> to 25 years. </w:t>
      </w:r>
      <w:r w:rsidRPr="00F05F77">
        <w:t>Support is also provided for parents and carers of young people, and schools and teachers educating young people.</w:t>
      </w:r>
    </w:p>
    <w:p w14:paraId="63C5EA34" w14:textId="77777777" w:rsidR="005A6625" w:rsidRDefault="005A6625" w:rsidP="00F05F77">
      <w:pPr>
        <w:pStyle w:val="Bullet1stlevel"/>
      </w:pPr>
      <w:r w:rsidRPr="00F05F77">
        <w:t>Beyond Blue – provides a range of information, advice and support services for all Australians, with specific services for young people. The Beyond Blue website provides access to information and resources to support people to manage their mental health and wellbeing, and there are 24/7 telephone</w:t>
      </w:r>
      <w:r>
        <w:t xml:space="preserve"> support services and online forums for those who need immediate support. Email and chat services are also provided.</w:t>
      </w:r>
    </w:p>
    <w:p w14:paraId="3AB6A934" w14:textId="4DE21196" w:rsidR="005A6625" w:rsidRPr="00F05F77" w:rsidRDefault="005A6625" w:rsidP="00F05F77">
      <w:pPr>
        <w:pStyle w:val="Bullet1stlevel"/>
      </w:pPr>
      <w:r>
        <w:t>Lifeline</w:t>
      </w:r>
      <w:r w:rsidR="00CC0438">
        <w:rPr>
          <w:rFonts w:ascii="ZWAdobeF" w:hAnsi="ZWAdobeF" w:cs="ZWAdobeF"/>
          <w:sz w:val="2"/>
          <w:szCs w:val="2"/>
        </w:rPr>
        <w:t>70F</w:t>
      </w:r>
      <w:r w:rsidR="0076584A">
        <w:rPr>
          <w:rStyle w:val="FootnoteReference"/>
        </w:rPr>
        <w:footnoteReference w:id="72"/>
      </w:r>
      <w:r>
        <w:t xml:space="preserve"> – provides free, 24-hour </w:t>
      </w:r>
      <w:r w:rsidRPr="00F05F77">
        <w:t xml:space="preserve">crisis support and suicide prevention services for all Australians, including young people, through online chat, text and telephone. </w:t>
      </w:r>
    </w:p>
    <w:p w14:paraId="0C860157" w14:textId="74C98C1E" w:rsidR="005A6625" w:rsidRPr="00F05F77" w:rsidRDefault="005A6625" w:rsidP="00F05F77">
      <w:pPr>
        <w:pStyle w:val="Bullet1stlevel"/>
      </w:pPr>
      <w:r w:rsidRPr="00F05F77">
        <w:t>Reach Out</w:t>
      </w:r>
      <w:r w:rsidR="00CC0438">
        <w:rPr>
          <w:rFonts w:ascii="ZWAdobeF" w:hAnsi="ZWAdobeF" w:cs="ZWAdobeF"/>
          <w:sz w:val="2"/>
          <w:szCs w:val="2"/>
        </w:rPr>
        <w:t>71F</w:t>
      </w:r>
      <w:r w:rsidR="00CF092F">
        <w:rPr>
          <w:rStyle w:val="FootnoteReference"/>
        </w:rPr>
        <w:footnoteReference w:id="73"/>
      </w:r>
      <w:r w:rsidRPr="00F05F77">
        <w:t xml:space="preserve"> – provides online self-help information, peer support and referral tools to young people aged 12 to 25 years, with services tailored to the young person’s level of need at the time.</w:t>
      </w:r>
    </w:p>
    <w:p w14:paraId="4F943ED1" w14:textId="4107EA93" w:rsidR="004A2677" w:rsidRDefault="007761F0" w:rsidP="005F3B55">
      <w:pPr>
        <w:pStyle w:val="Bullet1stlevel"/>
      </w:pPr>
      <w:r w:rsidRPr="00F05F77">
        <w:t>e</w:t>
      </w:r>
      <w:r w:rsidR="004A2677" w:rsidRPr="00F05F77">
        <w:t xml:space="preserve">headspace </w:t>
      </w:r>
      <w:r w:rsidR="00565FB0">
        <w:t>–</w:t>
      </w:r>
      <w:r w:rsidR="004A2677" w:rsidRPr="00F05F77">
        <w:t xml:space="preserve"> </w:t>
      </w:r>
      <w:r w:rsidR="005A6625" w:rsidRPr="00F05F77">
        <w:t>headspace National</w:t>
      </w:r>
      <w:r w:rsidR="005A6625">
        <w:t xml:space="preserve"> also provide</w:t>
      </w:r>
      <w:r w:rsidR="001D2F02">
        <w:t>s</w:t>
      </w:r>
      <w:r w:rsidR="005A6625">
        <w:t xml:space="preserve"> additional services in this category through eheadspace. eheadspace is designed as a ‘digital ecosystem’, not only providing young people with web chat, email and telephone support, but also access to other services</w:t>
      </w:r>
      <w:r w:rsidR="00F10CC8">
        <w:t>,</w:t>
      </w:r>
      <w:r w:rsidR="005A6625">
        <w:t xml:space="preserve"> including group forums and online resources they can access from home to support their mental health and wellbeing.</w:t>
      </w:r>
      <w:r w:rsidR="00616D26">
        <w:t xml:space="preserve"> </w:t>
      </w:r>
    </w:p>
    <w:p w14:paraId="0BEE2B18" w14:textId="242F6892" w:rsidR="005A6625" w:rsidRDefault="00616D26" w:rsidP="002505C5">
      <w:pPr>
        <w:pStyle w:val="BodyText"/>
      </w:pPr>
      <w:r>
        <w:t>headspace services</w:t>
      </w:r>
      <w:r w:rsidR="00CA39DD">
        <w:t xml:space="preserve"> operate in this </w:t>
      </w:r>
      <w:r w:rsidR="36367E4C">
        <w:t>context of</w:t>
      </w:r>
      <w:r w:rsidR="007B0375">
        <w:t xml:space="preserve"> early intervention and prevention focused</w:t>
      </w:r>
      <w:r w:rsidR="00CA39DD">
        <w:t xml:space="preserve"> services and supports, and </w:t>
      </w:r>
      <w:r w:rsidR="001D2F02">
        <w:t xml:space="preserve">encourage young people to </w:t>
      </w:r>
      <w:r w:rsidR="009823E0">
        <w:t>access these services</w:t>
      </w:r>
      <w:r w:rsidR="004A2677">
        <w:t xml:space="preserve"> as </w:t>
      </w:r>
      <w:r w:rsidR="003A05F9">
        <w:t>relevant to their situation and needs.</w:t>
      </w:r>
    </w:p>
    <w:p w14:paraId="1ABA4B5C" w14:textId="0C3EDCA5" w:rsidR="00CB0EC5" w:rsidRDefault="00CB0EC5" w:rsidP="00682DA9">
      <w:pPr>
        <w:pStyle w:val="Heading4"/>
      </w:pPr>
      <w:r>
        <w:t>Current challenges in the mental health service system</w:t>
      </w:r>
    </w:p>
    <w:p w14:paraId="77E9CE8D" w14:textId="731158ED" w:rsidR="00CB0EC5" w:rsidRDefault="00636E7A" w:rsidP="002505C5">
      <w:pPr>
        <w:pStyle w:val="BodyText"/>
      </w:pPr>
      <w:r>
        <w:t>headspace services face a range of challenges in providing mental health support to young people</w:t>
      </w:r>
      <w:r w:rsidR="00C3355A">
        <w:t xml:space="preserve"> as part of the mental health service system in Australia. These challenges are well document</w:t>
      </w:r>
      <w:r w:rsidR="00624137">
        <w:t>ed</w:t>
      </w:r>
      <w:r w:rsidR="00C3355A">
        <w:t>, particularly in the recent Productivity Commission</w:t>
      </w:r>
      <w:r w:rsidR="00CB0EC5">
        <w:t xml:space="preserve"> Inquiry Report</w:t>
      </w:r>
      <w:r w:rsidR="00367586">
        <w:t xml:space="preserve"> on mental health</w:t>
      </w:r>
      <w:r w:rsidR="00C3355A">
        <w:t xml:space="preserve">. </w:t>
      </w:r>
      <w:r w:rsidR="00367586">
        <w:t xml:space="preserve">The </w:t>
      </w:r>
      <w:r w:rsidR="00F10CC8">
        <w:t>r</w:t>
      </w:r>
      <w:r w:rsidR="00367586">
        <w:t>eport</w:t>
      </w:r>
      <w:r w:rsidR="00CB0EC5">
        <w:t xml:space="preserve"> summarise</w:t>
      </w:r>
      <w:r w:rsidR="00367586">
        <w:t>s</w:t>
      </w:r>
      <w:r w:rsidR="00CB0EC5">
        <w:t xml:space="preserve"> the current barriers</w:t>
      </w:r>
      <w:r w:rsidR="00DC6AF7">
        <w:t>,</w:t>
      </w:r>
      <w:r w:rsidR="00CB0EC5">
        <w:t xml:space="preserve"> gaps </w:t>
      </w:r>
      <w:r w:rsidR="00D851F0">
        <w:t xml:space="preserve">and challenges facing </w:t>
      </w:r>
      <w:r w:rsidR="00CB0EC5">
        <w:t xml:space="preserve">Australia’s mental health service system. These challenges often extend past mental healthcare, to the interaction of mental healthcare with physical health care and other sectors and services beyond health that support recovery. </w:t>
      </w:r>
      <w:r w:rsidR="00D851F0">
        <w:t xml:space="preserve">The </w:t>
      </w:r>
      <w:r w:rsidR="00CB0EC5">
        <w:t>barriers and gaps include</w:t>
      </w:r>
      <w:r w:rsidR="00CC0438">
        <w:rPr>
          <w:rFonts w:ascii="ZWAdobeF" w:hAnsi="ZWAdobeF" w:cs="ZWAdobeF"/>
          <w:sz w:val="2"/>
          <w:szCs w:val="2"/>
        </w:rPr>
        <w:t>72F</w:t>
      </w:r>
      <w:r w:rsidR="00E86CED">
        <w:rPr>
          <w:rStyle w:val="FootnoteReference"/>
        </w:rPr>
        <w:footnoteReference w:id="74"/>
      </w:r>
      <w:r w:rsidR="00CB0EC5">
        <w:t>:</w:t>
      </w:r>
    </w:p>
    <w:p w14:paraId="5FA5F806" w14:textId="1349C5CD" w:rsidR="00CB0EC5" w:rsidRPr="004E16A4" w:rsidRDefault="00CB0EC5" w:rsidP="004E16A4">
      <w:pPr>
        <w:pStyle w:val="Bullet1stlevel"/>
      </w:pPr>
      <w:r w:rsidRPr="00456233">
        <w:rPr>
          <w:b/>
        </w:rPr>
        <w:t>A narrow view of people seeking treatment and support</w:t>
      </w:r>
      <w:r w:rsidR="00700C69">
        <w:t>:</w:t>
      </w:r>
      <w:r>
        <w:t xml:space="preserve"> There is often incomplete information of the types of support people are seeking, with a focus on a person’s symptoms, rather than </w:t>
      </w:r>
      <w:r w:rsidR="001A3499">
        <w:t xml:space="preserve">the </w:t>
      </w:r>
      <w:r>
        <w:t xml:space="preserve">broader </w:t>
      </w:r>
      <w:r w:rsidRPr="004E16A4">
        <w:t>support an individual may need to recover and remain well, and how this can effectively be delivered.</w:t>
      </w:r>
    </w:p>
    <w:p w14:paraId="7D28E14E" w14:textId="011654E3" w:rsidR="00CB0EC5" w:rsidRPr="004E16A4" w:rsidRDefault="00CB0EC5" w:rsidP="004E16A4">
      <w:pPr>
        <w:pStyle w:val="Bullet1stlevel"/>
      </w:pPr>
      <w:r w:rsidRPr="00456233">
        <w:rPr>
          <w:b/>
        </w:rPr>
        <w:t>Under-investment in prevention and early intervention</w:t>
      </w:r>
      <w:r w:rsidR="00700C69">
        <w:t>:</w:t>
      </w:r>
      <w:r w:rsidRPr="004E16A4">
        <w:t xml:space="preserve"> Compared to treatment and crisis services. This means many people become more ill with time, which may have been prevented, or addressed earlier, shortening the period they may experience mental ill</w:t>
      </w:r>
      <w:r w:rsidR="00456233">
        <w:t>-</w:t>
      </w:r>
      <w:r w:rsidRPr="004E16A4">
        <w:t xml:space="preserve">health. </w:t>
      </w:r>
    </w:p>
    <w:p w14:paraId="24587974" w14:textId="50C3319A" w:rsidR="00CB0EC5" w:rsidRPr="004E16A4" w:rsidRDefault="00CB0EC5" w:rsidP="004E16A4">
      <w:pPr>
        <w:pStyle w:val="Bullet1stlevel"/>
      </w:pPr>
      <w:r w:rsidRPr="00456233">
        <w:rPr>
          <w:b/>
        </w:rPr>
        <w:t>Disproportionate focus on clinical services</w:t>
      </w:r>
      <w:r w:rsidR="00700C69" w:rsidRPr="00456233">
        <w:rPr>
          <w:b/>
        </w:rPr>
        <w:t>:</w:t>
      </w:r>
      <w:r w:rsidRPr="004E16A4">
        <w:t xml:space="preserve"> There is a heavy focus in the Australian service system on clinical services, with more limited consideration of other determinants of</w:t>
      </w:r>
      <w:r w:rsidR="001878ED">
        <w:t>,</w:t>
      </w:r>
      <w:r w:rsidRPr="004E16A4">
        <w:t xml:space="preserve"> and contributors to</w:t>
      </w:r>
      <w:r w:rsidR="001878ED">
        <w:t>,</w:t>
      </w:r>
      <w:r w:rsidRPr="004E16A4">
        <w:t xml:space="preserve"> mental health. Contributions from family, kinship groups and carers, and broader social support services all play an important role in recovery and mental wellbeing.</w:t>
      </w:r>
    </w:p>
    <w:p w14:paraId="71382464" w14:textId="6B52B012" w:rsidR="00CB0EC5" w:rsidRPr="004E16A4" w:rsidRDefault="00CB0EC5" w:rsidP="004E16A4">
      <w:pPr>
        <w:pStyle w:val="Bullet1stlevel"/>
      </w:pPr>
      <w:r w:rsidRPr="00456233">
        <w:rPr>
          <w:b/>
        </w:rPr>
        <w:t>Difficulties in finding and accessing suitable support</w:t>
      </w:r>
      <w:r w:rsidR="00700C69" w:rsidRPr="00456233">
        <w:rPr>
          <w:b/>
        </w:rPr>
        <w:t>:</w:t>
      </w:r>
      <w:r w:rsidRPr="004E16A4">
        <w:t xml:space="preserve"> At times, there are limited services available within particular regions that are appropriate, relevant or culturally </w:t>
      </w:r>
      <w:r w:rsidR="00AD745F">
        <w:t>appropriate</w:t>
      </w:r>
      <w:r w:rsidR="00AD745F" w:rsidRPr="004E16A4">
        <w:t xml:space="preserve"> </w:t>
      </w:r>
      <w:r w:rsidRPr="004E16A4">
        <w:t xml:space="preserve">for people who need support. There are long wait lists, limited access to information on availability and outcomes, and challenges with services needed being appropriately linked to support coordinated care for people, especially as their needs change. </w:t>
      </w:r>
    </w:p>
    <w:p w14:paraId="11D8F496" w14:textId="5E3980A6" w:rsidR="00CB0EC5" w:rsidRPr="004E16A4" w:rsidRDefault="00CB0EC5" w:rsidP="004E16A4">
      <w:pPr>
        <w:pStyle w:val="Bullet1stlevel"/>
      </w:pPr>
      <w:r w:rsidRPr="00456233">
        <w:rPr>
          <w:b/>
        </w:rPr>
        <w:t>Supports that are below best practice</w:t>
      </w:r>
      <w:r w:rsidR="00700C69" w:rsidRPr="00456233">
        <w:rPr>
          <w:b/>
        </w:rPr>
        <w:t>:</w:t>
      </w:r>
      <w:r w:rsidRPr="004E16A4">
        <w:t xml:space="preserve"> A lack of measurement and evaluation of whether a service works, and a "culture of superiority” means clinical interventions are prioritised over other services, consumers, families and their carers.</w:t>
      </w:r>
    </w:p>
    <w:p w14:paraId="4B2BD377" w14:textId="5F093F89" w:rsidR="00CB0EC5" w:rsidRPr="004E16A4" w:rsidRDefault="00CB0EC5" w:rsidP="004E16A4">
      <w:pPr>
        <w:pStyle w:val="Bullet1stlevel"/>
      </w:pPr>
      <w:r w:rsidRPr="00456233">
        <w:rPr>
          <w:b/>
        </w:rPr>
        <w:t>Stigma and discrimination</w:t>
      </w:r>
      <w:r w:rsidR="00700C69" w:rsidRPr="00456233">
        <w:rPr>
          <w:b/>
        </w:rPr>
        <w:t>:</w:t>
      </w:r>
      <w:r w:rsidRPr="004E16A4">
        <w:t xml:space="preserve"> There remain challenges with how people with mental </w:t>
      </w:r>
      <w:r w:rsidR="00AF178E">
        <w:t>ill</w:t>
      </w:r>
      <w:r w:rsidR="00AF178E">
        <w:noBreakHyphen/>
        <w:t>health</w:t>
      </w:r>
      <w:r w:rsidR="00AF178E" w:rsidRPr="004E16A4">
        <w:t xml:space="preserve"> </w:t>
      </w:r>
      <w:r w:rsidRPr="004E16A4">
        <w:t>see themselves, and how others view those who have a mental health problem, and those who care for them.</w:t>
      </w:r>
    </w:p>
    <w:p w14:paraId="6B5C662D" w14:textId="00D765CE" w:rsidR="00CB0EC5" w:rsidRPr="004E16A4" w:rsidRDefault="00CB0EC5" w:rsidP="004E16A4">
      <w:pPr>
        <w:pStyle w:val="Bullet1stlevel"/>
      </w:pPr>
      <w:r w:rsidRPr="00456233">
        <w:rPr>
          <w:b/>
        </w:rPr>
        <w:t>Dysfunctional approaches to the funding of services and supports</w:t>
      </w:r>
      <w:r w:rsidR="00700C69" w:rsidRPr="00456233">
        <w:rPr>
          <w:b/>
        </w:rPr>
        <w:t>:</w:t>
      </w:r>
      <w:r w:rsidRPr="004E16A4">
        <w:t xml:space="preserve"> Creating poor incentives for service providers to deliver quality outcomes, and increased and inefficient costs to people with mental ill-health and the broader public. </w:t>
      </w:r>
    </w:p>
    <w:p w14:paraId="0FF9FB6C" w14:textId="62694D0D" w:rsidR="00CB0EC5" w:rsidRDefault="00CB0EC5" w:rsidP="00682DA9">
      <w:pPr>
        <w:pStyle w:val="Bullet1stlevel"/>
      </w:pPr>
      <w:r w:rsidRPr="00456233">
        <w:rPr>
          <w:b/>
        </w:rPr>
        <w:t>A lack of clarity across the tiers of government about roles, responsibilities and funding</w:t>
      </w:r>
      <w:r w:rsidR="00700C69" w:rsidRPr="00456233">
        <w:rPr>
          <w:b/>
        </w:rPr>
        <w:t>:</w:t>
      </w:r>
      <w:r w:rsidRPr="004E16A4">
        <w:t xml:space="preserve"> This leads to overlaps in services provided, gaps between services that exist, and limited accountability for services at all</w:t>
      </w:r>
      <w:r>
        <w:t xml:space="preserve"> levels.</w:t>
      </w:r>
    </w:p>
    <w:p w14:paraId="4860B14E" w14:textId="7B8D6A04" w:rsidR="00F978E2" w:rsidRDefault="000F372B" w:rsidP="00F978E2">
      <w:pPr>
        <w:pStyle w:val="Bullet1stlevel"/>
        <w:numPr>
          <w:ilvl w:val="0"/>
          <w:numId w:val="0"/>
        </w:numPr>
      </w:pPr>
      <w:r>
        <w:t>T</w:t>
      </w:r>
      <w:r w:rsidR="00F978E2">
        <w:t>he</w:t>
      </w:r>
      <w:r w:rsidR="007878C0">
        <w:t xml:space="preserve"> components of t</w:t>
      </w:r>
      <w:r w:rsidR="00F978E2">
        <w:t>he headspace service model</w:t>
      </w:r>
      <w:r w:rsidR="007878C0">
        <w:t xml:space="preserve">, as discussed in Section </w:t>
      </w:r>
      <w:r w:rsidR="003A6B58">
        <w:fldChar w:fldCharType="begin" w:fldLock="1"/>
      </w:r>
      <w:r w:rsidR="003A6B58">
        <w:instrText xml:space="preserve"> REF _Ref98324264 \w \h </w:instrText>
      </w:r>
      <w:r w:rsidR="003A6B58">
        <w:fldChar w:fldCharType="separate"/>
      </w:r>
      <w:r w:rsidR="003A6B58">
        <w:t>2.3</w:t>
      </w:r>
      <w:r w:rsidR="003A6B58">
        <w:fldChar w:fldCharType="end"/>
      </w:r>
      <w:r w:rsidR="00AE17DD">
        <w:t xml:space="preserve"> </w:t>
      </w:r>
      <w:r w:rsidR="007878C0">
        <w:t xml:space="preserve">above, </w:t>
      </w:r>
      <w:r w:rsidR="0003433B">
        <w:t xml:space="preserve">form a set of design features intended to </w:t>
      </w:r>
      <w:r w:rsidR="00672094">
        <w:t>break down these barriers to service access and</w:t>
      </w:r>
      <w:r w:rsidR="00D236BF">
        <w:t xml:space="preserve"> t</w:t>
      </w:r>
      <w:r w:rsidR="003B5E88">
        <w:t xml:space="preserve">o </w:t>
      </w:r>
      <w:r w:rsidR="009F24C5">
        <w:t xml:space="preserve">provide early intervention and </w:t>
      </w:r>
      <w:r w:rsidR="00592361">
        <w:t>p</w:t>
      </w:r>
      <w:r w:rsidR="009F24C5">
        <w:t>revention</w:t>
      </w:r>
      <w:r w:rsidR="00CC0438">
        <w:rPr>
          <w:rFonts w:ascii="ZWAdobeF" w:hAnsi="ZWAdobeF" w:cs="ZWAdobeF"/>
          <w:sz w:val="2"/>
          <w:szCs w:val="2"/>
        </w:rPr>
        <w:t>73F</w:t>
      </w:r>
      <w:r w:rsidR="00596564">
        <w:rPr>
          <w:rStyle w:val="FootnoteReference"/>
        </w:rPr>
        <w:footnoteReference w:id="75"/>
      </w:r>
      <w:r w:rsidR="003A6B58">
        <w:t>.</w:t>
      </w:r>
    </w:p>
    <w:p w14:paraId="17DA6BE5" w14:textId="77777777" w:rsidR="007240BC" w:rsidRPr="001D6913" w:rsidRDefault="007240BC" w:rsidP="007240BC">
      <w:pPr>
        <w:pStyle w:val="Heading2"/>
      </w:pPr>
      <w:bookmarkStart w:id="51" w:name="_Toc108173976"/>
      <w:r w:rsidRPr="001D6913">
        <w:t>Services currently available at headspace</w:t>
      </w:r>
      <w:bookmarkEnd w:id="51"/>
    </w:p>
    <w:p w14:paraId="3169E6BE" w14:textId="77777777" w:rsidR="007240BC" w:rsidRPr="001D6913" w:rsidRDefault="007240BC" w:rsidP="003941C8">
      <w:pPr>
        <w:pStyle w:val="Heading3"/>
      </w:pPr>
      <w:r w:rsidRPr="001D6913">
        <w:t>Summary of the headspace network</w:t>
      </w:r>
    </w:p>
    <w:p w14:paraId="46C5C37E" w14:textId="7B290746" w:rsidR="007240BC" w:rsidRPr="001D6913" w:rsidRDefault="007240BC" w:rsidP="007240BC">
      <w:pPr>
        <w:pStyle w:val="BodyText"/>
      </w:pPr>
      <w:r>
        <w:t xml:space="preserve">As described in Section </w:t>
      </w:r>
      <w:r w:rsidR="00BC35BF">
        <w:fldChar w:fldCharType="begin" w:fldLock="1"/>
      </w:r>
      <w:r w:rsidR="00BC35BF">
        <w:instrText xml:space="preserve"> REF _Ref98251940 \w \h </w:instrText>
      </w:r>
      <w:r w:rsidR="00BC35BF">
        <w:fldChar w:fldCharType="separate"/>
      </w:r>
      <w:r w:rsidR="00AE4D34">
        <w:t>2.4.1</w:t>
      </w:r>
      <w:r w:rsidR="00BC35BF">
        <w:fldChar w:fldCharType="end"/>
      </w:r>
      <w:r>
        <w:t>, t</w:t>
      </w:r>
      <w:r w:rsidRPr="001D6913">
        <w:t xml:space="preserve">he headspace program has grown and adapted since its inception, with </w:t>
      </w:r>
      <w:r w:rsidR="00F23C49">
        <w:t>15</w:t>
      </w:r>
      <w:r w:rsidR="002B2329">
        <w:t>4</w:t>
      </w:r>
      <w:r w:rsidR="00CC0438">
        <w:rPr>
          <w:rFonts w:ascii="ZWAdobeF" w:hAnsi="ZWAdobeF" w:cs="ZWAdobeF"/>
          <w:sz w:val="2"/>
          <w:szCs w:val="2"/>
        </w:rPr>
        <w:t>74F</w:t>
      </w:r>
      <w:r w:rsidRPr="001D6913">
        <w:rPr>
          <w:rStyle w:val="FootnoteReference"/>
        </w:rPr>
        <w:footnoteReference w:id="76"/>
      </w:r>
      <w:r w:rsidRPr="001D6913">
        <w:t xml:space="preserve"> </w:t>
      </w:r>
      <w:r>
        <w:t>headspace services</w:t>
      </w:r>
      <w:r w:rsidRPr="001D6913">
        <w:t xml:space="preserve"> open </w:t>
      </w:r>
      <w:r>
        <w:t xml:space="preserve">as at </w:t>
      </w:r>
      <w:r w:rsidR="00F23C49">
        <w:t>1 May 2022</w:t>
      </w:r>
      <w:r w:rsidRPr="001D6913">
        <w:t xml:space="preserve">. At that time, there were also an additional </w:t>
      </w:r>
      <w:r>
        <w:t>15</w:t>
      </w:r>
      <w:r w:rsidR="0055395F">
        <w:t xml:space="preserve"> </w:t>
      </w:r>
      <w:r>
        <w:t>headspace services</w:t>
      </w:r>
      <w:r w:rsidRPr="001D6913">
        <w:t xml:space="preserve"> for which funding had been announced and where commissioning was underway. </w:t>
      </w:r>
      <w:r w:rsidR="00861CA4">
        <w:t xml:space="preserve">This includes </w:t>
      </w:r>
      <w:r w:rsidR="00D876B4">
        <w:t>f</w:t>
      </w:r>
      <w:r w:rsidRPr="001D6913">
        <w:t>unding announced</w:t>
      </w:r>
      <w:r w:rsidR="0023685C">
        <w:t xml:space="preserve"> </w:t>
      </w:r>
      <w:r w:rsidR="00215EDE">
        <w:t>within the 2021-22 Federal Budget</w:t>
      </w:r>
      <w:r w:rsidRPr="001D6913">
        <w:t xml:space="preserve"> </w:t>
      </w:r>
      <w:r w:rsidR="0023685C">
        <w:t xml:space="preserve">on </w:t>
      </w:r>
      <w:r w:rsidR="001874C6">
        <w:t xml:space="preserve">11 </w:t>
      </w:r>
      <w:r w:rsidR="00C01382">
        <w:t>May 2021</w:t>
      </w:r>
      <w:r w:rsidRPr="001D6913">
        <w:t xml:space="preserve"> for an additional </w:t>
      </w:r>
      <w:r>
        <w:t>10</w:t>
      </w:r>
      <w:r w:rsidRPr="001D6913">
        <w:t xml:space="preserve"> </w:t>
      </w:r>
      <w:r>
        <w:t xml:space="preserve">headspace </w:t>
      </w:r>
      <w:r w:rsidR="0023685C">
        <w:t>centres and one satellite service</w:t>
      </w:r>
      <w:r w:rsidRPr="001D6913">
        <w:t xml:space="preserve">, the locations of which are being determined. </w:t>
      </w:r>
      <w:r>
        <w:t xml:space="preserve">Analysis of headspace services </w:t>
      </w:r>
      <w:r w:rsidR="001874C6">
        <w:t xml:space="preserve">set out </w:t>
      </w:r>
      <w:r>
        <w:t xml:space="preserve">in this </w:t>
      </w:r>
      <w:r w:rsidR="002B6F18">
        <w:t>s</w:t>
      </w:r>
      <w:r>
        <w:t>ection has been completed on headspace services open by 30 June 2020, in order to present comparable data for full years. For changes over time, analysis is presented over the last five financial years</w:t>
      </w:r>
      <w:r w:rsidR="00B7271C">
        <w:t xml:space="preserve"> (from 2015-16 to 2019-20</w:t>
      </w:r>
      <w:r w:rsidR="005A1BCE">
        <w:t>)</w:t>
      </w:r>
      <w:r>
        <w:t>, since the last evaluation of headspace.</w:t>
      </w:r>
    </w:p>
    <w:p w14:paraId="2BE982A7" w14:textId="77777777" w:rsidR="007240BC" w:rsidRPr="001D6913" w:rsidRDefault="007240BC" w:rsidP="00ED3129">
      <w:pPr>
        <w:pStyle w:val="Heading4"/>
      </w:pPr>
      <w:r>
        <w:t>Service</w:t>
      </w:r>
      <w:r w:rsidRPr="001D6913">
        <w:t>s by jurisdiction</w:t>
      </w:r>
    </w:p>
    <w:p w14:paraId="38461E41" w14:textId="7008F0F4" w:rsidR="007240BC" w:rsidRPr="001D6913" w:rsidRDefault="007240BC" w:rsidP="007240BC">
      <w:pPr>
        <w:pStyle w:val="BodyText"/>
      </w:pPr>
      <w:r w:rsidRPr="001D6913">
        <w:t xml:space="preserve">There were 118 </w:t>
      </w:r>
      <w:r>
        <w:t>service</w:t>
      </w:r>
      <w:r w:rsidRPr="001D6913">
        <w:t>s opened by 30 June 2020</w:t>
      </w:r>
      <w:r w:rsidR="00CC0438">
        <w:rPr>
          <w:rFonts w:ascii="ZWAdobeF" w:hAnsi="ZWAdobeF" w:cs="ZWAdobeF"/>
          <w:sz w:val="2"/>
          <w:szCs w:val="2"/>
        </w:rPr>
        <w:t>75F</w:t>
      </w:r>
      <w:r w:rsidRPr="001D6913">
        <w:rPr>
          <w:rStyle w:val="FootnoteReference"/>
        </w:rPr>
        <w:footnoteReference w:id="77"/>
      </w:r>
      <w:r w:rsidRPr="001D6913">
        <w:t xml:space="preserve">. Each state and territory across Australia had at least one established headspace service by this date, with New South Wales </w:t>
      </w:r>
      <w:r w:rsidR="00484008">
        <w:t>(NSW)</w:t>
      </w:r>
      <w:r w:rsidRPr="001D6913">
        <w:t xml:space="preserve"> and Victoria making up more than half </w:t>
      </w:r>
      <w:r>
        <w:t xml:space="preserve">of </w:t>
      </w:r>
      <w:r w:rsidRPr="001D6913">
        <w:t xml:space="preserve">the overall headspace network. A full list of </w:t>
      </w:r>
      <w:r>
        <w:t>headspace services</w:t>
      </w:r>
      <w:r w:rsidRPr="001D6913">
        <w:t xml:space="preserve"> included in this analysis is contained in</w:t>
      </w:r>
      <w:r>
        <w:t xml:space="preserve"> </w:t>
      </w:r>
      <w:r w:rsidR="00AC74F8">
        <w:rPr>
          <w:highlight w:val="yellow"/>
        </w:rPr>
        <w:fldChar w:fldCharType="begin" w:fldLock="1"/>
      </w:r>
      <w:r w:rsidR="00AC74F8">
        <w:instrText xml:space="preserve"> REF _Ref98365249 \w \h </w:instrText>
      </w:r>
      <w:r w:rsidR="00AC74F8">
        <w:rPr>
          <w:highlight w:val="yellow"/>
        </w:rPr>
      </w:r>
      <w:r w:rsidR="00AC74F8">
        <w:rPr>
          <w:highlight w:val="yellow"/>
        </w:rPr>
        <w:fldChar w:fldCharType="separate"/>
      </w:r>
      <w:r w:rsidR="00AE4D34">
        <w:t>Appendix C</w:t>
      </w:r>
      <w:r w:rsidR="00AC74F8">
        <w:rPr>
          <w:highlight w:val="yellow"/>
        </w:rPr>
        <w:fldChar w:fldCharType="end"/>
      </w:r>
      <w:r>
        <w:t xml:space="preserve">. </w:t>
      </w:r>
      <w:r w:rsidR="00CB55B3">
        <w:fldChar w:fldCharType="begin" w:fldLock="1"/>
      </w:r>
      <w:r w:rsidR="00CB55B3">
        <w:instrText xml:space="preserve"> REF _Ref95045067 \h </w:instrText>
      </w:r>
      <w:r w:rsidR="00CB55B3">
        <w:fldChar w:fldCharType="separate"/>
      </w:r>
      <w:r w:rsidR="00AE4D34" w:rsidRPr="001D6913">
        <w:t xml:space="preserve">Table </w:t>
      </w:r>
      <w:r w:rsidR="00AE4D34">
        <w:rPr>
          <w:noProof/>
        </w:rPr>
        <w:t>5</w:t>
      </w:r>
      <w:r w:rsidR="00CB55B3">
        <w:fldChar w:fldCharType="end"/>
      </w:r>
      <w:r>
        <w:t xml:space="preserve"> below compares the total number of centres per jurisdiction, with their share of the Australian population aged 12 to 25 years.</w:t>
      </w:r>
      <w:r w:rsidR="0010115E">
        <w:t xml:space="preserve"> In most jurisdictions, the number of headspace services broadly represents its share of the </w:t>
      </w:r>
      <w:r w:rsidR="00F44BC5">
        <w:t>population</w:t>
      </w:r>
      <w:r w:rsidR="0010115E">
        <w:t xml:space="preserve"> of young people aged 12</w:t>
      </w:r>
      <w:r w:rsidR="00D94A51">
        <w:t> </w:t>
      </w:r>
      <w:r w:rsidR="00BE514A">
        <w:t xml:space="preserve">to </w:t>
      </w:r>
      <w:r w:rsidR="0010115E">
        <w:t xml:space="preserve">25 </w:t>
      </w:r>
      <w:r w:rsidR="00F44BC5">
        <w:t>years. The</w:t>
      </w:r>
      <w:r w:rsidR="00A96CBB">
        <w:t xml:space="preserve"> biggest difference is </w:t>
      </w:r>
      <w:r w:rsidR="002B6F18">
        <w:t>five</w:t>
      </w:r>
      <w:r w:rsidR="00A96CBB">
        <w:t xml:space="preserve"> percentage points, with the proportion of headspace services in Western Australia </w:t>
      </w:r>
      <w:r w:rsidR="00484008">
        <w:t>(WA)</w:t>
      </w:r>
      <w:r w:rsidR="00A96CBB">
        <w:t xml:space="preserve"> above its share of population. However, as the largest Australia</w:t>
      </w:r>
      <w:r w:rsidR="00145B6A">
        <w:t>n</w:t>
      </w:r>
      <w:r w:rsidR="00A96CBB">
        <w:t xml:space="preserve"> state </w:t>
      </w:r>
      <w:r w:rsidR="004C4522">
        <w:t xml:space="preserve">by size </w:t>
      </w:r>
      <w:r w:rsidR="00A96CBB">
        <w:t xml:space="preserve">and one with a </w:t>
      </w:r>
      <w:r w:rsidR="006C61ED">
        <w:t>g</w:t>
      </w:r>
      <w:r w:rsidR="00A96CBB">
        <w:t xml:space="preserve">eographically </w:t>
      </w:r>
      <w:r w:rsidR="00F44BC5">
        <w:t>disparate</w:t>
      </w:r>
      <w:r w:rsidR="006C61ED">
        <w:t xml:space="preserve"> population</w:t>
      </w:r>
      <w:r w:rsidR="00A96CBB">
        <w:t xml:space="preserve">, this </w:t>
      </w:r>
      <w:r w:rsidR="00B546C7">
        <w:t>over</w:t>
      </w:r>
      <w:r w:rsidR="00C4759B">
        <w:t xml:space="preserve"> r</w:t>
      </w:r>
      <w:r w:rsidR="00B546C7">
        <w:t>epresentation</w:t>
      </w:r>
      <w:r w:rsidR="00A96CBB">
        <w:t xml:space="preserve"> is not unexpected.</w:t>
      </w:r>
    </w:p>
    <w:p w14:paraId="7503786E" w14:textId="03C56189" w:rsidR="007240BC" w:rsidRPr="001D6913" w:rsidRDefault="007240BC" w:rsidP="007240BC">
      <w:pPr>
        <w:pStyle w:val="Caption"/>
      </w:pPr>
      <w:bookmarkStart w:id="52" w:name="_Ref95045067"/>
      <w:bookmarkStart w:id="53" w:name="_Toc108108955"/>
      <w:r w:rsidRPr="001D6913">
        <w:t xml:space="preserve">Table </w:t>
      </w:r>
      <w:r>
        <w:fldChar w:fldCharType="begin"/>
      </w:r>
      <w:r>
        <w:instrText>SEQ Table \* ARABIC</w:instrText>
      </w:r>
      <w:r>
        <w:fldChar w:fldCharType="separate"/>
      </w:r>
      <w:r w:rsidR="00CC0438">
        <w:rPr>
          <w:noProof/>
        </w:rPr>
        <w:t>5</w:t>
      </w:r>
      <w:r>
        <w:fldChar w:fldCharType="end"/>
      </w:r>
      <w:bookmarkEnd w:id="52"/>
      <w:r>
        <w:t>:</w:t>
      </w:r>
      <w:r w:rsidRPr="001D6913">
        <w:t xml:space="preserve"> Overview of </w:t>
      </w:r>
      <w:r>
        <w:t>headspace services</w:t>
      </w:r>
      <w:r w:rsidRPr="001D6913">
        <w:t xml:space="preserve"> </w:t>
      </w:r>
      <w:r w:rsidR="0010115E">
        <w:t>and population</w:t>
      </w:r>
      <w:r w:rsidRPr="001D6913">
        <w:t xml:space="preserve"> by jurisdiction as at 30 June 2020</w:t>
      </w:r>
      <w:bookmarkEnd w:id="53"/>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headspace services by jurisdiction as at 30 June 2020"/>
        <w:tblDescription w:val="Table 5 has 5 columns outlining the number of headspace services by Australian jurisdiction. Column 1 lists each state and territory; column 2 provides the number of headspace services for each; column 3 provides the proportion of total headspace services with each jurisdiction. Column 4 provides the total population of young people aged between 12 and 25 within each jurisdiction, as at 30 June 2020. Column 5 provides the proportion of young people aged between 12 and 25 years within each jurisdiction. "/>
      </w:tblPr>
      <w:tblGrid>
        <w:gridCol w:w="1373"/>
        <w:gridCol w:w="1923"/>
        <w:gridCol w:w="1926"/>
        <w:gridCol w:w="1925"/>
        <w:gridCol w:w="1923"/>
      </w:tblGrid>
      <w:tr w:rsidR="007240BC" w:rsidRPr="00D65A2D" w14:paraId="5C8F1598" w14:textId="77777777" w:rsidTr="00810754">
        <w:trPr>
          <w:tblHeader/>
          <w:jc w:val="center"/>
        </w:trPr>
        <w:tc>
          <w:tcPr>
            <w:tcW w:w="757" w:type="pct"/>
            <w:tcBorders>
              <w:bottom w:val="single" w:sz="4" w:space="0" w:color="00338D"/>
            </w:tcBorders>
            <w:shd w:val="clear" w:color="auto" w:fill="00338D"/>
          </w:tcPr>
          <w:p w14:paraId="2130057B" w14:textId="77777777" w:rsidR="007240BC" w:rsidRPr="001D6913" w:rsidRDefault="007240BC" w:rsidP="00396577">
            <w:pPr>
              <w:pStyle w:val="Tableheading"/>
              <w:ind w:left="34"/>
              <w:jc w:val="center"/>
            </w:pPr>
            <w:r w:rsidRPr="001D6913">
              <w:t>Jurisdiction</w:t>
            </w:r>
          </w:p>
        </w:tc>
        <w:tc>
          <w:tcPr>
            <w:tcW w:w="1060" w:type="pct"/>
            <w:tcBorders>
              <w:bottom w:val="single" w:sz="4" w:space="0" w:color="00338D"/>
            </w:tcBorders>
            <w:shd w:val="clear" w:color="auto" w:fill="00338D"/>
          </w:tcPr>
          <w:p w14:paraId="4A4EFA5A" w14:textId="77777777" w:rsidR="007240BC" w:rsidRPr="001D6913" w:rsidRDefault="007240BC" w:rsidP="00396577">
            <w:pPr>
              <w:pStyle w:val="Tableheading"/>
              <w:jc w:val="center"/>
            </w:pPr>
            <w:r w:rsidRPr="001D6913">
              <w:t xml:space="preserve">Number of headspace </w:t>
            </w:r>
            <w:r>
              <w:t>service</w:t>
            </w:r>
            <w:r w:rsidRPr="001D6913">
              <w:t>s</w:t>
            </w:r>
          </w:p>
        </w:tc>
        <w:tc>
          <w:tcPr>
            <w:tcW w:w="1062" w:type="pct"/>
            <w:tcBorders>
              <w:bottom w:val="single" w:sz="4" w:space="0" w:color="00338D"/>
            </w:tcBorders>
            <w:shd w:val="clear" w:color="auto" w:fill="00338D"/>
          </w:tcPr>
          <w:p w14:paraId="52E73126" w14:textId="77777777" w:rsidR="007240BC" w:rsidRPr="001D6913" w:rsidRDefault="007240BC" w:rsidP="00396577">
            <w:pPr>
              <w:pStyle w:val="Tableheading"/>
              <w:jc w:val="center"/>
            </w:pPr>
            <w:r>
              <w:t>Proportion of headspace services</w:t>
            </w:r>
          </w:p>
        </w:tc>
        <w:tc>
          <w:tcPr>
            <w:tcW w:w="1061" w:type="pct"/>
            <w:tcBorders>
              <w:bottom w:val="single" w:sz="4" w:space="0" w:color="00338D"/>
            </w:tcBorders>
            <w:shd w:val="clear" w:color="auto" w:fill="00338D"/>
          </w:tcPr>
          <w:p w14:paraId="0A557293" w14:textId="2210A978" w:rsidR="007240BC" w:rsidRPr="001D6913" w:rsidRDefault="007240BC" w:rsidP="00396577">
            <w:pPr>
              <w:pStyle w:val="Tableheading"/>
              <w:jc w:val="center"/>
            </w:pPr>
            <w:r>
              <w:t>Total population aged 12</w:t>
            </w:r>
            <w:r w:rsidR="007E76A0">
              <w:t xml:space="preserve"> to </w:t>
            </w:r>
            <w:r>
              <w:t xml:space="preserve">25 </w:t>
            </w:r>
            <w:r w:rsidRPr="00090418">
              <w:t>as at 30 June 2020</w:t>
            </w:r>
            <w:r w:rsidR="00CC0438">
              <w:rPr>
                <w:rFonts w:ascii="ZWAdobeF" w:hAnsi="ZWAdobeF" w:cs="ZWAdobeF"/>
                <w:b w:val="0"/>
                <w:color w:val="auto"/>
                <w:sz w:val="2"/>
                <w:szCs w:val="2"/>
              </w:rPr>
              <w:t>76F</w:t>
            </w:r>
            <w:r w:rsidR="00494BB5" w:rsidRPr="00090418">
              <w:rPr>
                <w:rStyle w:val="FootnoteReference"/>
              </w:rPr>
              <w:footnoteReference w:id="78"/>
            </w:r>
          </w:p>
        </w:tc>
        <w:tc>
          <w:tcPr>
            <w:tcW w:w="1061" w:type="pct"/>
            <w:tcBorders>
              <w:bottom w:val="single" w:sz="4" w:space="0" w:color="00338D"/>
            </w:tcBorders>
            <w:shd w:val="clear" w:color="auto" w:fill="00338D"/>
          </w:tcPr>
          <w:p w14:paraId="0B1916DF" w14:textId="1A987D8D" w:rsidR="007240BC" w:rsidRPr="001D6913" w:rsidRDefault="007240BC" w:rsidP="00396577">
            <w:pPr>
              <w:pStyle w:val="Tableheading"/>
              <w:jc w:val="center"/>
            </w:pPr>
            <w:r>
              <w:t xml:space="preserve">Proportion of </w:t>
            </w:r>
            <w:r w:rsidR="0010115E">
              <w:t>those aged 12</w:t>
            </w:r>
            <w:r w:rsidR="007E76A0">
              <w:t xml:space="preserve"> to </w:t>
            </w:r>
            <w:r w:rsidR="0010115E">
              <w:t xml:space="preserve">25 in total </w:t>
            </w:r>
            <w:r>
              <w:t xml:space="preserve">national population </w:t>
            </w:r>
            <w:r w:rsidRPr="00090418">
              <w:t>as at 30 June 2020</w:t>
            </w:r>
          </w:p>
        </w:tc>
      </w:tr>
      <w:tr w:rsidR="007240BC" w14:paraId="2DBAA272" w14:textId="77777777" w:rsidTr="00396577">
        <w:trPr>
          <w:jc w:val="center"/>
        </w:trPr>
        <w:tc>
          <w:tcPr>
            <w:tcW w:w="757" w:type="pct"/>
            <w:tcBorders>
              <w:top w:val="single" w:sz="4" w:space="0" w:color="00338D"/>
              <w:bottom w:val="single" w:sz="2" w:space="0" w:color="808080" w:themeColor="background1" w:themeShade="80"/>
            </w:tcBorders>
          </w:tcPr>
          <w:p w14:paraId="783C44FA" w14:textId="77777777" w:rsidR="007240BC" w:rsidRPr="001D6913" w:rsidRDefault="007240BC" w:rsidP="00090418">
            <w:pPr>
              <w:pStyle w:val="Tabletext"/>
            </w:pPr>
            <w:r w:rsidRPr="001D6913">
              <w:t>NSW</w:t>
            </w:r>
          </w:p>
        </w:tc>
        <w:tc>
          <w:tcPr>
            <w:tcW w:w="1060" w:type="pct"/>
            <w:tcBorders>
              <w:top w:val="single" w:sz="4" w:space="0" w:color="00338D"/>
              <w:bottom w:val="single" w:sz="2" w:space="0" w:color="808080" w:themeColor="background1" w:themeShade="80"/>
            </w:tcBorders>
          </w:tcPr>
          <w:p w14:paraId="3B2F2614" w14:textId="77777777" w:rsidR="007240BC" w:rsidRPr="001D6913" w:rsidRDefault="007240BC" w:rsidP="00396577">
            <w:pPr>
              <w:pStyle w:val="Tabletext"/>
              <w:jc w:val="center"/>
            </w:pPr>
            <w:r w:rsidRPr="001D6913">
              <w:t>36</w:t>
            </w:r>
          </w:p>
        </w:tc>
        <w:tc>
          <w:tcPr>
            <w:tcW w:w="1062" w:type="pct"/>
            <w:tcBorders>
              <w:top w:val="single" w:sz="4" w:space="0" w:color="00338D"/>
              <w:bottom w:val="single" w:sz="2" w:space="0" w:color="808080" w:themeColor="background1" w:themeShade="80"/>
            </w:tcBorders>
          </w:tcPr>
          <w:p w14:paraId="1AD49F77" w14:textId="77777777" w:rsidR="007240BC" w:rsidRPr="001D6913" w:rsidRDefault="007240BC" w:rsidP="00396577">
            <w:pPr>
              <w:pStyle w:val="Tabletext"/>
              <w:jc w:val="center"/>
            </w:pPr>
            <w:r>
              <w:t>31%</w:t>
            </w:r>
          </w:p>
        </w:tc>
        <w:tc>
          <w:tcPr>
            <w:tcW w:w="1061" w:type="pct"/>
            <w:tcBorders>
              <w:top w:val="single" w:sz="4" w:space="0" w:color="00338D"/>
              <w:bottom w:val="single" w:sz="2" w:space="0" w:color="808080" w:themeColor="background1" w:themeShade="80"/>
            </w:tcBorders>
          </w:tcPr>
          <w:p w14:paraId="69F655AB" w14:textId="77777777" w:rsidR="007240BC" w:rsidRPr="001D6913" w:rsidRDefault="007240BC" w:rsidP="00396577">
            <w:pPr>
              <w:pStyle w:val="Tabletext"/>
              <w:jc w:val="center"/>
            </w:pPr>
            <w:r>
              <w:t>1.3m</w:t>
            </w:r>
          </w:p>
        </w:tc>
        <w:tc>
          <w:tcPr>
            <w:tcW w:w="1061" w:type="pct"/>
            <w:tcBorders>
              <w:top w:val="single" w:sz="4" w:space="0" w:color="00338D"/>
              <w:bottom w:val="single" w:sz="2" w:space="0" w:color="808080" w:themeColor="background1" w:themeShade="80"/>
            </w:tcBorders>
          </w:tcPr>
          <w:p w14:paraId="2A417F3A" w14:textId="77777777" w:rsidR="007240BC" w:rsidRPr="001D6913" w:rsidRDefault="007240BC" w:rsidP="00396577">
            <w:pPr>
              <w:pStyle w:val="Tabletext"/>
              <w:jc w:val="center"/>
            </w:pPr>
            <w:r>
              <w:t>29%</w:t>
            </w:r>
          </w:p>
        </w:tc>
      </w:tr>
      <w:tr w:rsidR="007240BC" w14:paraId="3547E642" w14:textId="77777777" w:rsidTr="00396577">
        <w:trPr>
          <w:jc w:val="center"/>
        </w:trPr>
        <w:tc>
          <w:tcPr>
            <w:tcW w:w="757" w:type="pct"/>
            <w:tcBorders>
              <w:top w:val="single" w:sz="2" w:space="0" w:color="808080" w:themeColor="background1" w:themeShade="80"/>
              <w:bottom w:val="single" w:sz="2" w:space="0" w:color="808080" w:themeColor="background1" w:themeShade="80"/>
            </w:tcBorders>
          </w:tcPr>
          <w:p w14:paraId="6BF6C91A" w14:textId="77777777" w:rsidR="007240BC" w:rsidRPr="001D6913" w:rsidRDefault="007240BC" w:rsidP="00090418">
            <w:pPr>
              <w:pStyle w:val="Tabletext"/>
            </w:pPr>
            <w:r w:rsidRPr="001D6913">
              <w:t>VIC</w:t>
            </w:r>
          </w:p>
        </w:tc>
        <w:tc>
          <w:tcPr>
            <w:tcW w:w="1060" w:type="pct"/>
            <w:tcBorders>
              <w:top w:val="single" w:sz="2" w:space="0" w:color="808080" w:themeColor="background1" w:themeShade="80"/>
              <w:bottom w:val="single" w:sz="2" w:space="0" w:color="808080" w:themeColor="background1" w:themeShade="80"/>
            </w:tcBorders>
          </w:tcPr>
          <w:p w14:paraId="758DD48A" w14:textId="77777777" w:rsidR="007240BC" w:rsidRPr="001D6913" w:rsidRDefault="007240BC" w:rsidP="00396577">
            <w:pPr>
              <w:pStyle w:val="Tabletext"/>
              <w:jc w:val="center"/>
            </w:pPr>
            <w:r w:rsidRPr="001D6913">
              <w:t>29</w:t>
            </w:r>
          </w:p>
        </w:tc>
        <w:tc>
          <w:tcPr>
            <w:tcW w:w="1062" w:type="pct"/>
            <w:tcBorders>
              <w:top w:val="single" w:sz="2" w:space="0" w:color="808080" w:themeColor="background1" w:themeShade="80"/>
              <w:bottom w:val="single" w:sz="2" w:space="0" w:color="808080" w:themeColor="background1" w:themeShade="80"/>
            </w:tcBorders>
          </w:tcPr>
          <w:p w14:paraId="5D1FBA20" w14:textId="77777777" w:rsidR="007240BC" w:rsidRPr="001D6913" w:rsidRDefault="007240BC" w:rsidP="00396577">
            <w:pPr>
              <w:pStyle w:val="Tabletext"/>
              <w:jc w:val="center"/>
            </w:pPr>
            <w:r>
              <w:t>25%</w:t>
            </w:r>
          </w:p>
        </w:tc>
        <w:tc>
          <w:tcPr>
            <w:tcW w:w="1061" w:type="pct"/>
            <w:tcBorders>
              <w:top w:val="single" w:sz="2" w:space="0" w:color="808080" w:themeColor="background1" w:themeShade="80"/>
              <w:bottom w:val="single" w:sz="2" w:space="0" w:color="808080" w:themeColor="background1" w:themeShade="80"/>
            </w:tcBorders>
          </w:tcPr>
          <w:p w14:paraId="2534518B" w14:textId="77777777" w:rsidR="007240BC" w:rsidRPr="001D6913" w:rsidRDefault="007240BC" w:rsidP="00396577">
            <w:pPr>
              <w:pStyle w:val="Tabletext"/>
              <w:jc w:val="center"/>
            </w:pPr>
            <w:r>
              <w:t>1.1m</w:t>
            </w:r>
          </w:p>
        </w:tc>
        <w:tc>
          <w:tcPr>
            <w:tcW w:w="1061" w:type="pct"/>
            <w:tcBorders>
              <w:top w:val="single" w:sz="2" w:space="0" w:color="808080" w:themeColor="background1" w:themeShade="80"/>
              <w:bottom w:val="single" w:sz="2" w:space="0" w:color="808080" w:themeColor="background1" w:themeShade="80"/>
            </w:tcBorders>
          </w:tcPr>
          <w:p w14:paraId="6328F4E5" w14:textId="77777777" w:rsidR="007240BC" w:rsidRPr="001D6913" w:rsidRDefault="007240BC" w:rsidP="00396577">
            <w:pPr>
              <w:pStyle w:val="Tabletext"/>
              <w:jc w:val="center"/>
            </w:pPr>
            <w:r>
              <w:t>25%</w:t>
            </w:r>
          </w:p>
        </w:tc>
      </w:tr>
      <w:tr w:rsidR="007240BC" w14:paraId="32584FC8" w14:textId="77777777" w:rsidTr="00396577">
        <w:trPr>
          <w:jc w:val="center"/>
        </w:trPr>
        <w:tc>
          <w:tcPr>
            <w:tcW w:w="757" w:type="pct"/>
            <w:tcBorders>
              <w:top w:val="single" w:sz="2" w:space="0" w:color="808080" w:themeColor="background1" w:themeShade="80"/>
              <w:bottom w:val="single" w:sz="2" w:space="0" w:color="808080" w:themeColor="background1" w:themeShade="80"/>
            </w:tcBorders>
          </w:tcPr>
          <w:p w14:paraId="22594F7D" w14:textId="77777777" w:rsidR="007240BC" w:rsidRPr="001D6913" w:rsidRDefault="007240BC" w:rsidP="00090418">
            <w:pPr>
              <w:pStyle w:val="Tabletext"/>
            </w:pPr>
            <w:r w:rsidRPr="001D6913">
              <w:t>QLD</w:t>
            </w:r>
          </w:p>
        </w:tc>
        <w:tc>
          <w:tcPr>
            <w:tcW w:w="1060" w:type="pct"/>
            <w:tcBorders>
              <w:top w:val="single" w:sz="2" w:space="0" w:color="808080" w:themeColor="background1" w:themeShade="80"/>
              <w:bottom w:val="single" w:sz="2" w:space="0" w:color="808080" w:themeColor="background1" w:themeShade="80"/>
            </w:tcBorders>
          </w:tcPr>
          <w:p w14:paraId="574B3C42" w14:textId="77777777" w:rsidR="007240BC" w:rsidRPr="001D6913" w:rsidRDefault="007240BC" w:rsidP="00396577">
            <w:pPr>
              <w:pStyle w:val="Tabletext"/>
              <w:jc w:val="center"/>
            </w:pPr>
            <w:r w:rsidRPr="001D6913">
              <w:t>22</w:t>
            </w:r>
          </w:p>
        </w:tc>
        <w:tc>
          <w:tcPr>
            <w:tcW w:w="1062" w:type="pct"/>
            <w:tcBorders>
              <w:top w:val="single" w:sz="2" w:space="0" w:color="808080" w:themeColor="background1" w:themeShade="80"/>
              <w:bottom w:val="single" w:sz="2" w:space="0" w:color="808080" w:themeColor="background1" w:themeShade="80"/>
            </w:tcBorders>
          </w:tcPr>
          <w:p w14:paraId="7C53A59C" w14:textId="77777777" w:rsidR="007240BC" w:rsidRPr="001D6913" w:rsidRDefault="007240BC" w:rsidP="00396577">
            <w:pPr>
              <w:pStyle w:val="Tabletext"/>
              <w:jc w:val="center"/>
            </w:pPr>
            <w:r>
              <w:t>17%</w:t>
            </w:r>
          </w:p>
        </w:tc>
        <w:tc>
          <w:tcPr>
            <w:tcW w:w="1061" w:type="pct"/>
            <w:tcBorders>
              <w:top w:val="single" w:sz="2" w:space="0" w:color="808080" w:themeColor="background1" w:themeShade="80"/>
              <w:bottom w:val="single" w:sz="2" w:space="0" w:color="808080" w:themeColor="background1" w:themeShade="80"/>
            </w:tcBorders>
          </w:tcPr>
          <w:p w14:paraId="3005589E" w14:textId="77777777" w:rsidR="007240BC" w:rsidRPr="001D6913" w:rsidRDefault="007240BC" w:rsidP="00396577">
            <w:pPr>
              <w:pStyle w:val="Tabletext"/>
              <w:jc w:val="center"/>
            </w:pPr>
            <w:r>
              <w:t>0.9</w:t>
            </w:r>
          </w:p>
        </w:tc>
        <w:tc>
          <w:tcPr>
            <w:tcW w:w="1061" w:type="pct"/>
            <w:tcBorders>
              <w:top w:val="single" w:sz="2" w:space="0" w:color="808080" w:themeColor="background1" w:themeShade="80"/>
              <w:bottom w:val="single" w:sz="2" w:space="0" w:color="808080" w:themeColor="background1" w:themeShade="80"/>
            </w:tcBorders>
          </w:tcPr>
          <w:p w14:paraId="5825847B" w14:textId="77777777" w:rsidR="007240BC" w:rsidRPr="001D6913" w:rsidRDefault="007240BC" w:rsidP="00396577">
            <w:pPr>
              <w:pStyle w:val="Tabletext"/>
              <w:jc w:val="center"/>
            </w:pPr>
            <w:r>
              <w:t>19%</w:t>
            </w:r>
          </w:p>
        </w:tc>
      </w:tr>
      <w:tr w:rsidR="007240BC" w14:paraId="55B2D614" w14:textId="77777777" w:rsidTr="00396577">
        <w:trPr>
          <w:jc w:val="center"/>
        </w:trPr>
        <w:tc>
          <w:tcPr>
            <w:tcW w:w="757" w:type="pct"/>
            <w:tcBorders>
              <w:top w:val="single" w:sz="2" w:space="0" w:color="808080" w:themeColor="background1" w:themeShade="80"/>
              <w:bottom w:val="single" w:sz="2" w:space="0" w:color="808080" w:themeColor="background1" w:themeShade="80"/>
            </w:tcBorders>
          </w:tcPr>
          <w:p w14:paraId="00F9711E" w14:textId="77777777" w:rsidR="007240BC" w:rsidRPr="001D6913" w:rsidRDefault="007240BC" w:rsidP="00090418">
            <w:pPr>
              <w:pStyle w:val="Tabletext"/>
            </w:pPr>
            <w:r w:rsidRPr="001D6913">
              <w:t>WA</w:t>
            </w:r>
          </w:p>
        </w:tc>
        <w:tc>
          <w:tcPr>
            <w:tcW w:w="1060" w:type="pct"/>
            <w:tcBorders>
              <w:top w:val="single" w:sz="2" w:space="0" w:color="808080" w:themeColor="background1" w:themeShade="80"/>
              <w:bottom w:val="single" w:sz="2" w:space="0" w:color="808080" w:themeColor="background1" w:themeShade="80"/>
            </w:tcBorders>
          </w:tcPr>
          <w:p w14:paraId="7C754DFB" w14:textId="77777777" w:rsidR="007240BC" w:rsidRPr="001D6913" w:rsidRDefault="007240BC" w:rsidP="00396577">
            <w:pPr>
              <w:pStyle w:val="Tabletext"/>
              <w:jc w:val="center"/>
            </w:pPr>
            <w:r w:rsidRPr="001D6913">
              <w:t>13</w:t>
            </w:r>
          </w:p>
        </w:tc>
        <w:tc>
          <w:tcPr>
            <w:tcW w:w="1062" w:type="pct"/>
            <w:tcBorders>
              <w:top w:val="single" w:sz="2" w:space="0" w:color="808080" w:themeColor="background1" w:themeShade="80"/>
              <w:bottom w:val="single" w:sz="2" w:space="0" w:color="808080" w:themeColor="background1" w:themeShade="80"/>
            </w:tcBorders>
          </w:tcPr>
          <w:p w14:paraId="3B3D9E55" w14:textId="77777777" w:rsidR="007240BC" w:rsidRPr="001D6913" w:rsidRDefault="007240BC" w:rsidP="00396577">
            <w:pPr>
              <w:pStyle w:val="Tabletext"/>
              <w:jc w:val="center"/>
            </w:pPr>
            <w:r>
              <w:t>11%</w:t>
            </w:r>
          </w:p>
        </w:tc>
        <w:tc>
          <w:tcPr>
            <w:tcW w:w="1061" w:type="pct"/>
            <w:tcBorders>
              <w:top w:val="single" w:sz="2" w:space="0" w:color="808080" w:themeColor="background1" w:themeShade="80"/>
              <w:bottom w:val="single" w:sz="2" w:space="0" w:color="808080" w:themeColor="background1" w:themeShade="80"/>
            </w:tcBorders>
          </w:tcPr>
          <w:p w14:paraId="45EFE38B" w14:textId="77777777" w:rsidR="007240BC" w:rsidRPr="001D6913" w:rsidRDefault="007240BC" w:rsidP="00396577">
            <w:pPr>
              <w:pStyle w:val="Tabletext"/>
              <w:jc w:val="center"/>
            </w:pPr>
            <w:r>
              <w:t>0.4m</w:t>
            </w:r>
          </w:p>
        </w:tc>
        <w:tc>
          <w:tcPr>
            <w:tcW w:w="1061" w:type="pct"/>
            <w:tcBorders>
              <w:top w:val="single" w:sz="2" w:space="0" w:color="808080" w:themeColor="background1" w:themeShade="80"/>
              <w:bottom w:val="single" w:sz="2" w:space="0" w:color="808080" w:themeColor="background1" w:themeShade="80"/>
            </w:tcBorders>
          </w:tcPr>
          <w:p w14:paraId="1EF91BF9" w14:textId="77777777" w:rsidR="007240BC" w:rsidRPr="001D6913" w:rsidRDefault="007240BC" w:rsidP="00396577">
            <w:pPr>
              <w:pStyle w:val="Tabletext"/>
              <w:jc w:val="center"/>
            </w:pPr>
            <w:r>
              <w:t>6%</w:t>
            </w:r>
          </w:p>
        </w:tc>
      </w:tr>
      <w:tr w:rsidR="007240BC" w14:paraId="113E5813" w14:textId="77777777" w:rsidTr="00396577">
        <w:trPr>
          <w:jc w:val="center"/>
        </w:trPr>
        <w:tc>
          <w:tcPr>
            <w:tcW w:w="757" w:type="pct"/>
            <w:tcBorders>
              <w:top w:val="single" w:sz="2" w:space="0" w:color="808080" w:themeColor="background1" w:themeShade="80"/>
              <w:bottom w:val="single" w:sz="2" w:space="0" w:color="808080" w:themeColor="background1" w:themeShade="80"/>
            </w:tcBorders>
          </w:tcPr>
          <w:p w14:paraId="48CBA710" w14:textId="77777777" w:rsidR="007240BC" w:rsidRPr="001D6913" w:rsidRDefault="007240BC" w:rsidP="00090418">
            <w:pPr>
              <w:pStyle w:val="Tabletext"/>
            </w:pPr>
            <w:r w:rsidRPr="001D6913">
              <w:t>SA</w:t>
            </w:r>
          </w:p>
        </w:tc>
        <w:tc>
          <w:tcPr>
            <w:tcW w:w="1060" w:type="pct"/>
            <w:tcBorders>
              <w:top w:val="single" w:sz="2" w:space="0" w:color="808080" w:themeColor="background1" w:themeShade="80"/>
              <w:bottom w:val="single" w:sz="2" w:space="0" w:color="808080" w:themeColor="background1" w:themeShade="80"/>
            </w:tcBorders>
          </w:tcPr>
          <w:p w14:paraId="47D4FCEF" w14:textId="77777777" w:rsidR="007240BC" w:rsidRPr="001D6913" w:rsidRDefault="007240BC" w:rsidP="00396577">
            <w:pPr>
              <w:pStyle w:val="Tabletext"/>
              <w:jc w:val="center"/>
            </w:pPr>
            <w:r w:rsidRPr="001D6913">
              <w:t>11</w:t>
            </w:r>
          </w:p>
        </w:tc>
        <w:tc>
          <w:tcPr>
            <w:tcW w:w="1062" w:type="pct"/>
            <w:tcBorders>
              <w:top w:val="single" w:sz="2" w:space="0" w:color="808080" w:themeColor="background1" w:themeShade="80"/>
              <w:bottom w:val="single" w:sz="2" w:space="0" w:color="808080" w:themeColor="background1" w:themeShade="80"/>
            </w:tcBorders>
          </w:tcPr>
          <w:p w14:paraId="50F83AC9" w14:textId="77777777" w:rsidR="007240BC" w:rsidRPr="001D6913" w:rsidRDefault="007240BC" w:rsidP="00396577">
            <w:pPr>
              <w:pStyle w:val="Tabletext"/>
              <w:jc w:val="center"/>
            </w:pPr>
            <w:r>
              <w:t>9%</w:t>
            </w:r>
          </w:p>
        </w:tc>
        <w:tc>
          <w:tcPr>
            <w:tcW w:w="1061" w:type="pct"/>
            <w:tcBorders>
              <w:top w:val="single" w:sz="2" w:space="0" w:color="808080" w:themeColor="background1" w:themeShade="80"/>
              <w:bottom w:val="single" w:sz="2" w:space="0" w:color="808080" w:themeColor="background1" w:themeShade="80"/>
            </w:tcBorders>
          </w:tcPr>
          <w:p w14:paraId="5DF40251" w14:textId="77777777" w:rsidR="007240BC" w:rsidRPr="001D6913" w:rsidRDefault="007240BC" w:rsidP="00396577">
            <w:pPr>
              <w:pStyle w:val="Tabletext"/>
              <w:jc w:val="center"/>
            </w:pPr>
            <w:r>
              <w:t>0.3m</w:t>
            </w:r>
          </w:p>
        </w:tc>
        <w:tc>
          <w:tcPr>
            <w:tcW w:w="1061" w:type="pct"/>
            <w:tcBorders>
              <w:top w:val="single" w:sz="2" w:space="0" w:color="808080" w:themeColor="background1" w:themeShade="80"/>
              <w:bottom w:val="single" w:sz="2" w:space="0" w:color="808080" w:themeColor="background1" w:themeShade="80"/>
            </w:tcBorders>
          </w:tcPr>
          <w:p w14:paraId="7509BA55" w14:textId="77777777" w:rsidR="007240BC" w:rsidRPr="001D6913" w:rsidRDefault="007240BC" w:rsidP="00396577">
            <w:pPr>
              <w:pStyle w:val="Tabletext"/>
              <w:jc w:val="center"/>
            </w:pPr>
            <w:r>
              <w:t>9%</w:t>
            </w:r>
          </w:p>
        </w:tc>
      </w:tr>
      <w:tr w:rsidR="007240BC" w14:paraId="357C7080" w14:textId="77777777" w:rsidTr="00396577">
        <w:trPr>
          <w:jc w:val="center"/>
        </w:trPr>
        <w:tc>
          <w:tcPr>
            <w:tcW w:w="757" w:type="pct"/>
            <w:tcBorders>
              <w:top w:val="single" w:sz="2" w:space="0" w:color="808080" w:themeColor="background1" w:themeShade="80"/>
              <w:bottom w:val="single" w:sz="2" w:space="0" w:color="808080" w:themeColor="background1" w:themeShade="80"/>
            </w:tcBorders>
          </w:tcPr>
          <w:p w14:paraId="1FC59ADC" w14:textId="77777777" w:rsidR="007240BC" w:rsidRPr="001D6913" w:rsidRDefault="007240BC" w:rsidP="00090418">
            <w:pPr>
              <w:pStyle w:val="Tabletext"/>
            </w:pPr>
            <w:r w:rsidRPr="001D6913">
              <w:t>NT</w:t>
            </w:r>
          </w:p>
        </w:tc>
        <w:tc>
          <w:tcPr>
            <w:tcW w:w="1060" w:type="pct"/>
            <w:tcBorders>
              <w:top w:val="single" w:sz="2" w:space="0" w:color="808080" w:themeColor="background1" w:themeShade="80"/>
              <w:bottom w:val="single" w:sz="2" w:space="0" w:color="808080" w:themeColor="background1" w:themeShade="80"/>
            </w:tcBorders>
          </w:tcPr>
          <w:p w14:paraId="7AD2A81C" w14:textId="77777777" w:rsidR="007240BC" w:rsidRPr="001D6913" w:rsidRDefault="007240BC" w:rsidP="00396577">
            <w:pPr>
              <w:pStyle w:val="Tabletext"/>
              <w:jc w:val="center"/>
            </w:pPr>
            <w:r w:rsidRPr="001D6913">
              <w:t>3</w:t>
            </w:r>
          </w:p>
        </w:tc>
        <w:tc>
          <w:tcPr>
            <w:tcW w:w="1062" w:type="pct"/>
            <w:tcBorders>
              <w:top w:val="single" w:sz="2" w:space="0" w:color="808080" w:themeColor="background1" w:themeShade="80"/>
              <w:bottom w:val="single" w:sz="2" w:space="0" w:color="808080" w:themeColor="background1" w:themeShade="80"/>
            </w:tcBorders>
          </w:tcPr>
          <w:p w14:paraId="7E88313B" w14:textId="77777777" w:rsidR="007240BC" w:rsidRPr="001D6913" w:rsidRDefault="007240BC" w:rsidP="00396577">
            <w:pPr>
              <w:pStyle w:val="Tabletext"/>
              <w:jc w:val="center"/>
            </w:pPr>
            <w:r>
              <w:t>3%</w:t>
            </w:r>
          </w:p>
        </w:tc>
        <w:tc>
          <w:tcPr>
            <w:tcW w:w="1061" w:type="pct"/>
            <w:tcBorders>
              <w:top w:val="single" w:sz="2" w:space="0" w:color="808080" w:themeColor="background1" w:themeShade="80"/>
              <w:bottom w:val="single" w:sz="2" w:space="0" w:color="808080" w:themeColor="background1" w:themeShade="80"/>
            </w:tcBorders>
          </w:tcPr>
          <w:p w14:paraId="49D59666" w14:textId="77777777" w:rsidR="007240BC" w:rsidRPr="001D6913" w:rsidRDefault="007240BC" w:rsidP="00396577">
            <w:pPr>
              <w:pStyle w:val="Tabletext"/>
              <w:jc w:val="center"/>
            </w:pPr>
            <w:r>
              <w:t>0.04m</w:t>
            </w:r>
          </w:p>
        </w:tc>
        <w:tc>
          <w:tcPr>
            <w:tcW w:w="1061" w:type="pct"/>
            <w:tcBorders>
              <w:top w:val="single" w:sz="2" w:space="0" w:color="808080" w:themeColor="background1" w:themeShade="80"/>
              <w:bottom w:val="single" w:sz="2" w:space="0" w:color="808080" w:themeColor="background1" w:themeShade="80"/>
            </w:tcBorders>
          </w:tcPr>
          <w:p w14:paraId="21F7AB89" w14:textId="77777777" w:rsidR="007240BC" w:rsidRPr="001D6913" w:rsidRDefault="007240BC" w:rsidP="00396577">
            <w:pPr>
              <w:pStyle w:val="Tabletext"/>
              <w:jc w:val="center"/>
            </w:pPr>
            <w:r>
              <w:t>2%</w:t>
            </w:r>
          </w:p>
        </w:tc>
      </w:tr>
      <w:tr w:rsidR="007240BC" w14:paraId="0E89F2B5" w14:textId="77777777" w:rsidTr="00396577">
        <w:trPr>
          <w:jc w:val="center"/>
        </w:trPr>
        <w:tc>
          <w:tcPr>
            <w:tcW w:w="757" w:type="pct"/>
            <w:tcBorders>
              <w:top w:val="single" w:sz="2" w:space="0" w:color="808080" w:themeColor="background1" w:themeShade="80"/>
              <w:bottom w:val="single" w:sz="2" w:space="0" w:color="808080" w:themeColor="background1" w:themeShade="80"/>
            </w:tcBorders>
          </w:tcPr>
          <w:p w14:paraId="01F4AE27" w14:textId="77777777" w:rsidR="007240BC" w:rsidRPr="001D6913" w:rsidRDefault="007240BC" w:rsidP="00090418">
            <w:pPr>
              <w:pStyle w:val="Tabletext"/>
            </w:pPr>
            <w:r w:rsidRPr="001D6913">
              <w:t>TAS</w:t>
            </w:r>
          </w:p>
        </w:tc>
        <w:tc>
          <w:tcPr>
            <w:tcW w:w="1060" w:type="pct"/>
            <w:tcBorders>
              <w:top w:val="single" w:sz="2" w:space="0" w:color="808080" w:themeColor="background1" w:themeShade="80"/>
              <w:bottom w:val="single" w:sz="2" w:space="0" w:color="808080" w:themeColor="background1" w:themeShade="80"/>
            </w:tcBorders>
          </w:tcPr>
          <w:p w14:paraId="22C9C4DE" w14:textId="77777777" w:rsidR="007240BC" w:rsidRPr="001D6913" w:rsidRDefault="007240BC" w:rsidP="00396577">
            <w:pPr>
              <w:pStyle w:val="Tabletext"/>
              <w:jc w:val="center"/>
            </w:pPr>
            <w:r w:rsidRPr="001D6913">
              <w:t>3</w:t>
            </w:r>
          </w:p>
        </w:tc>
        <w:tc>
          <w:tcPr>
            <w:tcW w:w="1062" w:type="pct"/>
            <w:tcBorders>
              <w:top w:val="single" w:sz="2" w:space="0" w:color="808080" w:themeColor="background1" w:themeShade="80"/>
              <w:bottom w:val="single" w:sz="2" w:space="0" w:color="808080" w:themeColor="background1" w:themeShade="80"/>
            </w:tcBorders>
          </w:tcPr>
          <w:p w14:paraId="3192430E" w14:textId="77777777" w:rsidR="007240BC" w:rsidRPr="001D6913" w:rsidRDefault="007240BC" w:rsidP="00396577">
            <w:pPr>
              <w:pStyle w:val="Tabletext"/>
              <w:jc w:val="center"/>
            </w:pPr>
            <w:r>
              <w:t>3%</w:t>
            </w:r>
          </w:p>
        </w:tc>
        <w:tc>
          <w:tcPr>
            <w:tcW w:w="1061" w:type="pct"/>
            <w:tcBorders>
              <w:top w:val="single" w:sz="2" w:space="0" w:color="808080" w:themeColor="background1" w:themeShade="80"/>
              <w:bottom w:val="single" w:sz="2" w:space="0" w:color="808080" w:themeColor="background1" w:themeShade="80"/>
            </w:tcBorders>
          </w:tcPr>
          <w:p w14:paraId="532348BA" w14:textId="77777777" w:rsidR="007240BC" w:rsidRPr="001D6913" w:rsidRDefault="007240BC" w:rsidP="00396577">
            <w:pPr>
              <w:pStyle w:val="Tabletext"/>
              <w:jc w:val="center"/>
            </w:pPr>
            <w:r>
              <w:t>0.1m</w:t>
            </w:r>
          </w:p>
        </w:tc>
        <w:tc>
          <w:tcPr>
            <w:tcW w:w="1061" w:type="pct"/>
            <w:tcBorders>
              <w:top w:val="single" w:sz="2" w:space="0" w:color="808080" w:themeColor="background1" w:themeShade="80"/>
              <w:bottom w:val="single" w:sz="2" w:space="0" w:color="808080" w:themeColor="background1" w:themeShade="80"/>
            </w:tcBorders>
          </w:tcPr>
          <w:p w14:paraId="0BA9DCD8" w14:textId="77777777" w:rsidR="007240BC" w:rsidRPr="001D6913" w:rsidRDefault="007240BC" w:rsidP="00396577">
            <w:pPr>
              <w:pStyle w:val="Tabletext"/>
              <w:jc w:val="center"/>
            </w:pPr>
            <w:r>
              <w:t>1%</w:t>
            </w:r>
          </w:p>
        </w:tc>
      </w:tr>
      <w:tr w:rsidR="007240BC" w14:paraId="5E32DDB5" w14:textId="77777777" w:rsidTr="00396577">
        <w:trPr>
          <w:jc w:val="center"/>
        </w:trPr>
        <w:tc>
          <w:tcPr>
            <w:tcW w:w="757" w:type="pct"/>
            <w:tcBorders>
              <w:top w:val="single" w:sz="2" w:space="0" w:color="808080" w:themeColor="background1" w:themeShade="80"/>
              <w:bottom w:val="single" w:sz="2" w:space="0" w:color="808080" w:themeColor="background1" w:themeShade="80"/>
            </w:tcBorders>
          </w:tcPr>
          <w:p w14:paraId="5D30D1FC" w14:textId="77777777" w:rsidR="007240BC" w:rsidRPr="001D6913" w:rsidRDefault="007240BC" w:rsidP="00090418">
            <w:pPr>
              <w:pStyle w:val="Tabletext"/>
            </w:pPr>
            <w:r w:rsidRPr="001D6913">
              <w:t>ACT</w:t>
            </w:r>
          </w:p>
        </w:tc>
        <w:tc>
          <w:tcPr>
            <w:tcW w:w="1060" w:type="pct"/>
            <w:tcBorders>
              <w:top w:val="single" w:sz="2" w:space="0" w:color="808080" w:themeColor="background1" w:themeShade="80"/>
              <w:bottom w:val="single" w:sz="2" w:space="0" w:color="808080" w:themeColor="background1" w:themeShade="80"/>
            </w:tcBorders>
          </w:tcPr>
          <w:p w14:paraId="34F48E48" w14:textId="77777777" w:rsidR="007240BC" w:rsidRPr="001D6913" w:rsidRDefault="007240BC" w:rsidP="00396577">
            <w:pPr>
              <w:pStyle w:val="Tabletext"/>
              <w:keepNext/>
              <w:jc w:val="center"/>
            </w:pPr>
            <w:r w:rsidRPr="001D6913">
              <w:t>1</w:t>
            </w:r>
          </w:p>
        </w:tc>
        <w:tc>
          <w:tcPr>
            <w:tcW w:w="1062" w:type="pct"/>
            <w:tcBorders>
              <w:top w:val="single" w:sz="2" w:space="0" w:color="808080" w:themeColor="background1" w:themeShade="80"/>
              <w:bottom w:val="single" w:sz="2" w:space="0" w:color="808080" w:themeColor="background1" w:themeShade="80"/>
            </w:tcBorders>
          </w:tcPr>
          <w:p w14:paraId="250342EA" w14:textId="77777777" w:rsidR="007240BC" w:rsidRPr="001D6913" w:rsidRDefault="007240BC" w:rsidP="00396577">
            <w:pPr>
              <w:pStyle w:val="Tabletext"/>
              <w:keepNext/>
              <w:jc w:val="center"/>
            </w:pPr>
            <w:r>
              <w:t>1%</w:t>
            </w:r>
          </w:p>
        </w:tc>
        <w:tc>
          <w:tcPr>
            <w:tcW w:w="1061" w:type="pct"/>
            <w:tcBorders>
              <w:top w:val="single" w:sz="2" w:space="0" w:color="808080" w:themeColor="background1" w:themeShade="80"/>
              <w:bottom w:val="single" w:sz="2" w:space="0" w:color="808080" w:themeColor="background1" w:themeShade="80"/>
            </w:tcBorders>
          </w:tcPr>
          <w:p w14:paraId="092ACDEC" w14:textId="77777777" w:rsidR="007240BC" w:rsidRPr="001D6913" w:rsidRDefault="007240BC" w:rsidP="00396577">
            <w:pPr>
              <w:pStyle w:val="Tabletext"/>
              <w:keepNext/>
              <w:jc w:val="center"/>
            </w:pPr>
            <w:r>
              <w:t>0.1m</w:t>
            </w:r>
          </w:p>
        </w:tc>
        <w:tc>
          <w:tcPr>
            <w:tcW w:w="1061" w:type="pct"/>
            <w:tcBorders>
              <w:top w:val="single" w:sz="2" w:space="0" w:color="808080" w:themeColor="background1" w:themeShade="80"/>
              <w:bottom w:val="single" w:sz="2" w:space="0" w:color="808080" w:themeColor="background1" w:themeShade="80"/>
            </w:tcBorders>
          </w:tcPr>
          <w:p w14:paraId="4A2A9214" w14:textId="77777777" w:rsidR="007240BC" w:rsidRPr="001D6913" w:rsidRDefault="007240BC" w:rsidP="00396577">
            <w:pPr>
              <w:pStyle w:val="Tabletext"/>
              <w:keepNext/>
              <w:jc w:val="center"/>
            </w:pPr>
            <w:r>
              <w:t>2%</w:t>
            </w:r>
          </w:p>
        </w:tc>
      </w:tr>
      <w:tr w:rsidR="007240BC" w14:paraId="1A84FAA2" w14:textId="77777777" w:rsidTr="00396577">
        <w:trPr>
          <w:jc w:val="center"/>
        </w:trPr>
        <w:tc>
          <w:tcPr>
            <w:tcW w:w="757" w:type="pct"/>
            <w:tcBorders>
              <w:top w:val="single" w:sz="2" w:space="0" w:color="808080" w:themeColor="background1" w:themeShade="80"/>
              <w:bottom w:val="single" w:sz="4" w:space="0" w:color="auto"/>
            </w:tcBorders>
            <w:vAlign w:val="bottom"/>
          </w:tcPr>
          <w:p w14:paraId="60705DCA" w14:textId="77777777" w:rsidR="007240BC" w:rsidRPr="001D6913" w:rsidRDefault="007240BC" w:rsidP="00090418">
            <w:pPr>
              <w:pStyle w:val="Tabletext"/>
            </w:pPr>
            <w:r w:rsidRPr="00665C3C">
              <w:rPr>
                <w:b/>
                <w:bCs/>
              </w:rPr>
              <w:t>Total</w:t>
            </w:r>
          </w:p>
        </w:tc>
        <w:tc>
          <w:tcPr>
            <w:tcW w:w="1060" w:type="pct"/>
            <w:tcBorders>
              <w:top w:val="single" w:sz="2" w:space="0" w:color="808080" w:themeColor="background1" w:themeShade="80"/>
              <w:bottom w:val="single" w:sz="4" w:space="0" w:color="auto"/>
            </w:tcBorders>
            <w:vAlign w:val="bottom"/>
          </w:tcPr>
          <w:p w14:paraId="51CB03F2" w14:textId="77777777" w:rsidR="007240BC" w:rsidRPr="001D6913" w:rsidRDefault="007240BC" w:rsidP="00396577">
            <w:pPr>
              <w:pStyle w:val="Tabletext"/>
              <w:keepNext/>
              <w:jc w:val="center"/>
            </w:pPr>
            <w:r w:rsidRPr="00665C3C">
              <w:rPr>
                <w:b/>
                <w:bCs/>
              </w:rPr>
              <w:t>118</w:t>
            </w:r>
          </w:p>
        </w:tc>
        <w:tc>
          <w:tcPr>
            <w:tcW w:w="1062" w:type="pct"/>
            <w:tcBorders>
              <w:top w:val="single" w:sz="2" w:space="0" w:color="808080" w:themeColor="background1" w:themeShade="80"/>
              <w:bottom w:val="single" w:sz="4" w:space="0" w:color="auto"/>
            </w:tcBorders>
          </w:tcPr>
          <w:p w14:paraId="74633487" w14:textId="77777777" w:rsidR="007240BC" w:rsidRPr="00665C3C" w:rsidRDefault="007240BC" w:rsidP="00396577">
            <w:pPr>
              <w:pStyle w:val="Tabletext"/>
              <w:keepNext/>
              <w:jc w:val="center"/>
              <w:rPr>
                <w:b/>
                <w:bCs/>
              </w:rPr>
            </w:pPr>
            <w:r>
              <w:rPr>
                <w:b/>
                <w:bCs/>
              </w:rPr>
              <w:t>100%</w:t>
            </w:r>
          </w:p>
        </w:tc>
        <w:tc>
          <w:tcPr>
            <w:tcW w:w="1061" w:type="pct"/>
            <w:tcBorders>
              <w:top w:val="single" w:sz="2" w:space="0" w:color="808080" w:themeColor="background1" w:themeShade="80"/>
              <w:bottom w:val="single" w:sz="4" w:space="0" w:color="auto"/>
            </w:tcBorders>
          </w:tcPr>
          <w:p w14:paraId="1CE3022D" w14:textId="44C76565" w:rsidR="007240BC" w:rsidRPr="00665C3C" w:rsidRDefault="007240BC" w:rsidP="00396577">
            <w:pPr>
              <w:pStyle w:val="Tabletext"/>
              <w:keepNext/>
              <w:jc w:val="center"/>
              <w:rPr>
                <w:b/>
                <w:bCs/>
              </w:rPr>
            </w:pPr>
            <w:r>
              <w:rPr>
                <w:b/>
                <w:bCs/>
              </w:rPr>
              <w:t>4.5m</w:t>
            </w:r>
          </w:p>
        </w:tc>
        <w:tc>
          <w:tcPr>
            <w:tcW w:w="1061" w:type="pct"/>
            <w:tcBorders>
              <w:top w:val="single" w:sz="2" w:space="0" w:color="808080" w:themeColor="background1" w:themeShade="80"/>
              <w:bottom w:val="single" w:sz="4" w:space="0" w:color="auto"/>
            </w:tcBorders>
          </w:tcPr>
          <w:p w14:paraId="4BD737D0" w14:textId="77777777" w:rsidR="007240BC" w:rsidRPr="00665C3C" w:rsidRDefault="007240BC" w:rsidP="00396577">
            <w:pPr>
              <w:pStyle w:val="Tabletext"/>
              <w:keepNext/>
              <w:jc w:val="center"/>
              <w:rPr>
                <w:b/>
                <w:bCs/>
              </w:rPr>
            </w:pPr>
            <w:r>
              <w:rPr>
                <w:b/>
                <w:bCs/>
              </w:rPr>
              <w:t>100%</w:t>
            </w:r>
          </w:p>
        </w:tc>
      </w:tr>
    </w:tbl>
    <w:p w14:paraId="7A8FEB0B" w14:textId="4614A66D" w:rsidR="007240BC" w:rsidRDefault="007240BC" w:rsidP="007240BC">
      <w:pPr>
        <w:pStyle w:val="Source"/>
      </w:pPr>
      <w:r w:rsidRPr="001D6913">
        <w:t>Source</w:t>
      </w:r>
      <w:r>
        <w:t>:</w:t>
      </w:r>
      <w:r w:rsidRPr="001D6913">
        <w:t xml:space="preserve"> </w:t>
      </w:r>
      <w:r>
        <w:t xml:space="preserve">KPMG analysis of the </w:t>
      </w:r>
      <w:r w:rsidR="00DD3F6A">
        <w:t xml:space="preserve">hMDS </w:t>
      </w:r>
      <w:r>
        <w:t>and headspace funding data</w:t>
      </w:r>
    </w:p>
    <w:p w14:paraId="7E390F29" w14:textId="4378A457" w:rsidR="007240BC" w:rsidRPr="0088040E" w:rsidRDefault="007240BC" w:rsidP="007240BC">
      <w:pPr>
        <w:pStyle w:val="Source"/>
      </w:pPr>
      <w:r>
        <w:t>Notes: Percentages have been rounded to the nearest whole number and may not sum to 100</w:t>
      </w:r>
      <w:r w:rsidR="00667B26">
        <w:t xml:space="preserve"> per cent</w:t>
      </w:r>
      <w:r w:rsidR="007F52B4">
        <w:t>.</w:t>
      </w:r>
    </w:p>
    <w:p w14:paraId="6E0795FF" w14:textId="74421890" w:rsidR="007240BC" w:rsidRPr="001D6913" w:rsidRDefault="007240BC" w:rsidP="00ED3129">
      <w:pPr>
        <w:pStyle w:val="Heading4"/>
      </w:pPr>
      <w:r>
        <w:t>Service</w:t>
      </w:r>
      <w:r w:rsidRPr="001D6913">
        <w:t>s by remoteness</w:t>
      </w:r>
      <w:r w:rsidR="00CC0438">
        <w:rPr>
          <w:rFonts w:ascii="ZWAdobeF" w:hAnsi="ZWAdobeF" w:cs="ZWAdobeF"/>
          <w:b w:val="0"/>
          <w:color w:val="auto"/>
          <w:sz w:val="2"/>
          <w:szCs w:val="2"/>
        </w:rPr>
        <w:t>77F</w:t>
      </w:r>
      <w:r>
        <w:rPr>
          <w:rStyle w:val="FootnoteReference"/>
        </w:rPr>
        <w:footnoteReference w:id="79"/>
      </w:r>
    </w:p>
    <w:p w14:paraId="34124C73" w14:textId="3262A44C" w:rsidR="007240BC" w:rsidRPr="001D6913" w:rsidRDefault="007240BC" w:rsidP="007240BC">
      <w:pPr>
        <w:pStyle w:val="BodyText"/>
      </w:pPr>
      <w:r w:rsidRPr="001D6913">
        <w:t xml:space="preserve">More than 50 per cent of </w:t>
      </w:r>
      <w:r>
        <w:t>headspace services</w:t>
      </w:r>
      <w:r w:rsidRPr="001D6913">
        <w:t xml:space="preserve"> established by 30 June 2020 were located in major cities, with one </w:t>
      </w:r>
      <w:r>
        <w:t>service</w:t>
      </w:r>
      <w:r w:rsidRPr="001D6913">
        <w:t xml:space="preserve">, Pilbara, located within </w:t>
      </w:r>
      <w:r w:rsidR="00797C3A">
        <w:t xml:space="preserve">a </w:t>
      </w:r>
      <w:r w:rsidRPr="001D6913">
        <w:t xml:space="preserve">very remote region of Australia. </w:t>
      </w:r>
    </w:p>
    <w:p w14:paraId="3D0BB883" w14:textId="60AB8020" w:rsidR="007240BC" w:rsidRPr="001D6913" w:rsidRDefault="007240BC" w:rsidP="007240BC">
      <w:pPr>
        <w:pStyle w:val="Caption"/>
      </w:pPr>
      <w:bookmarkStart w:id="54" w:name="_Toc108108956"/>
      <w:r w:rsidRPr="001D6913">
        <w:t xml:space="preserve">Table </w:t>
      </w:r>
      <w:r>
        <w:fldChar w:fldCharType="begin"/>
      </w:r>
      <w:r>
        <w:instrText>SEQ Table \* ARABIC</w:instrText>
      </w:r>
      <w:r>
        <w:fldChar w:fldCharType="separate"/>
      </w:r>
      <w:r w:rsidR="00CC0438">
        <w:rPr>
          <w:noProof/>
        </w:rPr>
        <w:t>6</w:t>
      </w:r>
      <w:r>
        <w:fldChar w:fldCharType="end"/>
      </w:r>
      <w:r>
        <w:t>:</w:t>
      </w:r>
      <w:r w:rsidRPr="001D6913">
        <w:t xml:space="preserve"> Overview of </w:t>
      </w:r>
      <w:r>
        <w:t>headspace services</w:t>
      </w:r>
      <w:r w:rsidRPr="001D6913">
        <w:t xml:space="preserve"> by remoteness as at 30 June 2020</w:t>
      </w:r>
      <w:bookmarkEnd w:id="54"/>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headspace services by remoteness as at 30 June 2020"/>
        <w:tblDescription w:val="Table has 2 columns outlining the number of headspace services by their level of geographic remoteness. Column 1 lists each category of remoteness, and column 2 provides the number of headspace services for each.&#10;"/>
      </w:tblPr>
      <w:tblGrid>
        <w:gridCol w:w="3149"/>
        <w:gridCol w:w="5921"/>
      </w:tblGrid>
      <w:tr w:rsidR="007240BC" w:rsidRPr="00D65A2D" w14:paraId="26D1F658" w14:textId="77777777" w:rsidTr="00396577">
        <w:trPr>
          <w:jc w:val="center"/>
        </w:trPr>
        <w:tc>
          <w:tcPr>
            <w:tcW w:w="1736" w:type="pct"/>
            <w:tcBorders>
              <w:bottom w:val="single" w:sz="4" w:space="0" w:color="00338D"/>
            </w:tcBorders>
            <w:shd w:val="clear" w:color="auto" w:fill="00338D"/>
          </w:tcPr>
          <w:p w14:paraId="05B2402D" w14:textId="77777777" w:rsidR="007240BC" w:rsidRPr="001D6913" w:rsidRDefault="007240BC" w:rsidP="00396577">
            <w:pPr>
              <w:pStyle w:val="Tableheading"/>
              <w:ind w:left="34"/>
              <w:jc w:val="center"/>
            </w:pPr>
            <w:r w:rsidRPr="001D6913">
              <w:t>Remoteness</w:t>
            </w:r>
          </w:p>
        </w:tc>
        <w:tc>
          <w:tcPr>
            <w:tcW w:w="3264" w:type="pct"/>
            <w:tcBorders>
              <w:bottom w:val="single" w:sz="4" w:space="0" w:color="00338D"/>
            </w:tcBorders>
            <w:shd w:val="clear" w:color="auto" w:fill="00338D"/>
          </w:tcPr>
          <w:p w14:paraId="2254B5DF" w14:textId="77777777" w:rsidR="007240BC" w:rsidRPr="001D6913" w:rsidRDefault="007240BC" w:rsidP="00396577">
            <w:pPr>
              <w:pStyle w:val="Tableheading"/>
              <w:jc w:val="center"/>
            </w:pPr>
            <w:r w:rsidRPr="001D6913">
              <w:t xml:space="preserve">Number of </w:t>
            </w:r>
            <w:r>
              <w:t>service</w:t>
            </w:r>
            <w:r w:rsidRPr="001D6913">
              <w:t>s</w:t>
            </w:r>
          </w:p>
        </w:tc>
      </w:tr>
      <w:tr w:rsidR="007240BC" w:rsidRPr="00B34FE0" w14:paraId="0CD2CEE4" w14:textId="77777777" w:rsidTr="00396577">
        <w:trPr>
          <w:jc w:val="center"/>
        </w:trPr>
        <w:tc>
          <w:tcPr>
            <w:tcW w:w="1736" w:type="pct"/>
            <w:tcBorders>
              <w:top w:val="single" w:sz="4" w:space="0" w:color="00338D"/>
              <w:bottom w:val="single" w:sz="2" w:space="0" w:color="808080" w:themeColor="background1" w:themeShade="80"/>
            </w:tcBorders>
          </w:tcPr>
          <w:p w14:paraId="5FE448A3" w14:textId="77777777" w:rsidR="007240BC" w:rsidRPr="001D6913" w:rsidRDefault="007240BC" w:rsidP="00396577">
            <w:pPr>
              <w:pStyle w:val="Tabletext"/>
              <w:jc w:val="center"/>
            </w:pPr>
            <w:r w:rsidRPr="001D6913">
              <w:t>Major cities</w:t>
            </w:r>
          </w:p>
        </w:tc>
        <w:tc>
          <w:tcPr>
            <w:tcW w:w="3264" w:type="pct"/>
            <w:tcBorders>
              <w:top w:val="single" w:sz="4" w:space="0" w:color="00338D"/>
              <w:bottom w:val="single" w:sz="2" w:space="0" w:color="808080" w:themeColor="background1" w:themeShade="80"/>
            </w:tcBorders>
          </w:tcPr>
          <w:p w14:paraId="53C377AB" w14:textId="77777777" w:rsidR="007240BC" w:rsidRPr="001D6913" w:rsidRDefault="007240BC" w:rsidP="00396577">
            <w:pPr>
              <w:pStyle w:val="Tabletext"/>
              <w:jc w:val="center"/>
            </w:pPr>
            <w:r w:rsidRPr="001D6913">
              <w:t>61</w:t>
            </w:r>
          </w:p>
        </w:tc>
      </w:tr>
      <w:tr w:rsidR="007240BC" w:rsidRPr="00B34FE0" w14:paraId="57915A90" w14:textId="77777777" w:rsidTr="00396577">
        <w:trPr>
          <w:jc w:val="center"/>
        </w:trPr>
        <w:tc>
          <w:tcPr>
            <w:tcW w:w="1736" w:type="pct"/>
            <w:tcBorders>
              <w:top w:val="single" w:sz="2" w:space="0" w:color="808080" w:themeColor="background1" w:themeShade="80"/>
              <w:bottom w:val="single" w:sz="2" w:space="0" w:color="808080" w:themeColor="background1" w:themeShade="80"/>
            </w:tcBorders>
          </w:tcPr>
          <w:p w14:paraId="0E57A64C" w14:textId="77777777" w:rsidR="007240BC" w:rsidRPr="001D6913" w:rsidRDefault="007240BC" w:rsidP="00396577">
            <w:pPr>
              <w:pStyle w:val="Tabletext"/>
              <w:jc w:val="center"/>
            </w:pPr>
            <w:r w:rsidRPr="001D6913">
              <w:t xml:space="preserve">Inner regional </w:t>
            </w:r>
          </w:p>
        </w:tc>
        <w:tc>
          <w:tcPr>
            <w:tcW w:w="3264" w:type="pct"/>
            <w:tcBorders>
              <w:top w:val="single" w:sz="2" w:space="0" w:color="808080" w:themeColor="background1" w:themeShade="80"/>
              <w:bottom w:val="single" w:sz="2" w:space="0" w:color="808080" w:themeColor="background1" w:themeShade="80"/>
            </w:tcBorders>
          </w:tcPr>
          <w:p w14:paraId="53935E31" w14:textId="77777777" w:rsidR="007240BC" w:rsidRPr="001D6913" w:rsidRDefault="007240BC" w:rsidP="00396577">
            <w:pPr>
              <w:pStyle w:val="Tabletext"/>
              <w:jc w:val="center"/>
            </w:pPr>
            <w:r w:rsidRPr="001D6913">
              <w:t>35</w:t>
            </w:r>
          </w:p>
        </w:tc>
      </w:tr>
      <w:tr w:rsidR="007240BC" w:rsidRPr="00B34FE0" w14:paraId="054849B7" w14:textId="77777777" w:rsidTr="00396577">
        <w:trPr>
          <w:jc w:val="center"/>
        </w:trPr>
        <w:tc>
          <w:tcPr>
            <w:tcW w:w="1736" w:type="pct"/>
            <w:tcBorders>
              <w:top w:val="single" w:sz="2" w:space="0" w:color="808080" w:themeColor="background1" w:themeShade="80"/>
              <w:bottom w:val="single" w:sz="2" w:space="0" w:color="808080" w:themeColor="background1" w:themeShade="80"/>
            </w:tcBorders>
          </w:tcPr>
          <w:p w14:paraId="7E4C1B34" w14:textId="77777777" w:rsidR="007240BC" w:rsidRPr="001D6913" w:rsidRDefault="007240BC" w:rsidP="00396577">
            <w:pPr>
              <w:pStyle w:val="Tabletext"/>
              <w:jc w:val="center"/>
            </w:pPr>
            <w:r w:rsidRPr="001D6913">
              <w:t>Outer regional</w:t>
            </w:r>
          </w:p>
        </w:tc>
        <w:tc>
          <w:tcPr>
            <w:tcW w:w="3264" w:type="pct"/>
            <w:tcBorders>
              <w:top w:val="single" w:sz="2" w:space="0" w:color="808080" w:themeColor="background1" w:themeShade="80"/>
              <w:bottom w:val="single" w:sz="2" w:space="0" w:color="808080" w:themeColor="background1" w:themeShade="80"/>
            </w:tcBorders>
          </w:tcPr>
          <w:p w14:paraId="48BC9260" w14:textId="77777777" w:rsidR="007240BC" w:rsidRPr="001D6913" w:rsidRDefault="007240BC" w:rsidP="00396577">
            <w:pPr>
              <w:pStyle w:val="Tabletext"/>
              <w:jc w:val="center"/>
            </w:pPr>
            <w:r w:rsidRPr="001D6913">
              <w:t>17</w:t>
            </w:r>
          </w:p>
        </w:tc>
      </w:tr>
      <w:tr w:rsidR="007240BC" w:rsidRPr="00B34FE0" w14:paraId="48971D49" w14:textId="77777777" w:rsidTr="00396577">
        <w:trPr>
          <w:jc w:val="center"/>
        </w:trPr>
        <w:tc>
          <w:tcPr>
            <w:tcW w:w="1736" w:type="pct"/>
            <w:tcBorders>
              <w:top w:val="single" w:sz="2" w:space="0" w:color="808080" w:themeColor="background1" w:themeShade="80"/>
              <w:bottom w:val="single" w:sz="2" w:space="0" w:color="808080" w:themeColor="background1" w:themeShade="80"/>
            </w:tcBorders>
          </w:tcPr>
          <w:p w14:paraId="4140A6FB" w14:textId="77777777" w:rsidR="007240BC" w:rsidRPr="001D6913" w:rsidRDefault="007240BC" w:rsidP="00396577">
            <w:pPr>
              <w:pStyle w:val="Tabletext"/>
              <w:jc w:val="center"/>
            </w:pPr>
            <w:r w:rsidRPr="001D6913">
              <w:t>Remote</w:t>
            </w:r>
          </w:p>
        </w:tc>
        <w:tc>
          <w:tcPr>
            <w:tcW w:w="3264" w:type="pct"/>
            <w:tcBorders>
              <w:top w:val="single" w:sz="2" w:space="0" w:color="808080" w:themeColor="background1" w:themeShade="80"/>
              <w:bottom w:val="single" w:sz="2" w:space="0" w:color="808080" w:themeColor="background1" w:themeShade="80"/>
            </w:tcBorders>
          </w:tcPr>
          <w:p w14:paraId="6852B92F" w14:textId="77777777" w:rsidR="007240BC" w:rsidRPr="001D6913" w:rsidRDefault="007240BC" w:rsidP="00396577">
            <w:pPr>
              <w:pStyle w:val="Tabletext"/>
              <w:jc w:val="center"/>
            </w:pPr>
            <w:r w:rsidRPr="001D6913">
              <w:t>4</w:t>
            </w:r>
          </w:p>
        </w:tc>
      </w:tr>
      <w:tr w:rsidR="007240BC" w:rsidRPr="00B34FE0" w14:paraId="35A7A64C" w14:textId="77777777" w:rsidTr="00396577">
        <w:trPr>
          <w:jc w:val="center"/>
        </w:trPr>
        <w:tc>
          <w:tcPr>
            <w:tcW w:w="1736" w:type="pct"/>
            <w:tcBorders>
              <w:top w:val="single" w:sz="2" w:space="0" w:color="808080" w:themeColor="background1" w:themeShade="80"/>
              <w:bottom w:val="single" w:sz="2" w:space="0" w:color="808080" w:themeColor="background1" w:themeShade="80"/>
            </w:tcBorders>
          </w:tcPr>
          <w:p w14:paraId="684B51DC" w14:textId="77777777" w:rsidR="007240BC" w:rsidRPr="001D6913" w:rsidRDefault="007240BC" w:rsidP="00396577">
            <w:pPr>
              <w:pStyle w:val="Tabletext"/>
              <w:jc w:val="center"/>
            </w:pPr>
            <w:r w:rsidRPr="001D6913">
              <w:t>Very remote</w:t>
            </w:r>
          </w:p>
        </w:tc>
        <w:tc>
          <w:tcPr>
            <w:tcW w:w="3264" w:type="pct"/>
            <w:tcBorders>
              <w:top w:val="single" w:sz="2" w:space="0" w:color="808080" w:themeColor="background1" w:themeShade="80"/>
              <w:bottom w:val="single" w:sz="2" w:space="0" w:color="808080" w:themeColor="background1" w:themeShade="80"/>
            </w:tcBorders>
          </w:tcPr>
          <w:p w14:paraId="2C9044AF" w14:textId="77777777" w:rsidR="007240BC" w:rsidRPr="001D6913" w:rsidRDefault="007240BC" w:rsidP="00396577">
            <w:pPr>
              <w:pStyle w:val="Tabletext"/>
              <w:keepNext/>
              <w:jc w:val="center"/>
            </w:pPr>
            <w:r w:rsidRPr="001D6913">
              <w:t>1</w:t>
            </w:r>
          </w:p>
        </w:tc>
      </w:tr>
      <w:tr w:rsidR="007240BC" w:rsidRPr="00B34FE0" w14:paraId="18DA7720" w14:textId="77777777" w:rsidTr="00396577">
        <w:trPr>
          <w:jc w:val="center"/>
        </w:trPr>
        <w:tc>
          <w:tcPr>
            <w:tcW w:w="1736" w:type="pct"/>
            <w:tcBorders>
              <w:top w:val="single" w:sz="2" w:space="0" w:color="808080" w:themeColor="background1" w:themeShade="80"/>
              <w:bottom w:val="single" w:sz="2" w:space="0" w:color="808080" w:themeColor="background1" w:themeShade="80"/>
            </w:tcBorders>
            <w:vAlign w:val="bottom"/>
          </w:tcPr>
          <w:p w14:paraId="7BA37857" w14:textId="77777777" w:rsidR="007240BC" w:rsidRPr="001D6913" w:rsidRDefault="007240BC" w:rsidP="00396577">
            <w:pPr>
              <w:pStyle w:val="Tabletext"/>
              <w:jc w:val="center"/>
            </w:pPr>
            <w:r w:rsidRPr="00665C3C">
              <w:rPr>
                <w:b/>
                <w:bCs/>
              </w:rPr>
              <w:t>Total</w:t>
            </w:r>
          </w:p>
        </w:tc>
        <w:tc>
          <w:tcPr>
            <w:tcW w:w="3264" w:type="pct"/>
            <w:tcBorders>
              <w:top w:val="single" w:sz="2" w:space="0" w:color="808080" w:themeColor="background1" w:themeShade="80"/>
              <w:bottom w:val="single" w:sz="2" w:space="0" w:color="808080" w:themeColor="background1" w:themeShade="80"/>
            </w:tcBorders>
            <w:vAlign w:val="bottom"/>
          </w:tcPr>
          <w:p w14:paraId="494C8D6D" w14:textId="77777777" w:rsidR="007240BC" w:rsidRPr="001D6913" w:rsidRDefault="007240BC" w:rsidP="00396577">
            <w:pPr>
              <w:pStyle w:val="Tabletext"/>
              <w:keepNext/>
              <w:jc w:val="center"/>
            </w:pPr>
            <w:r w:rsidRPr="00665C3C">
              <w:rPr>
                <w:b/>
                <w:bCs/>
              </w:rPr>
              <w:t>118</w:t>
            </w:r>
          </w:p>
        </w:tc>
      </w:tr>
    </w:tbl>
    <w:p w14:paraId="1018C904" w14:textId="6708F3C8" w:rsidR="007240BC" w:rsidRPr="001D6913" w:rsidRDefault="007240BC" w:rsidP="007240BC">
      <w:pPr>
        <w:pStyle w:val="Source"/>
      </w:pPr>
      <w:r w:rsidRPr="001D6913">
        <w:t>Source</w:t>
      </w:r>
      <w:r>
        <w:t>:</w:t>
      </w:r>
      <w:r w:rsidRPr="001D6913">
        <w:t xml:space="preserve"> </w:t>
      </w:r>
      <w:r>
        <w:t xml:space="preserve">KPMG analysis of the </w:t>
      </w:r>
      <w:r w:rsidR="00DD3F6A">
        <w:t xml:space="preserve">hMDS </w:t>
      </w:r>
      <w:r>
        <w:t>and headspace funding data</w:t>
      </w:r>
    </w:p>
    <w:p w14:paraId="21E44F62" w14:textId="77777777" w:rsidR="007240BC" w:rsidRDefault="007240BC" w:rsidP="00ED3129">
      <w:pPr>
        <w:pStyle w:val="Heading4"/>
      </w:pPr>
      <w:r>
        <w:t>Service</w:t>
      </w:r>
      <w:r w:rsidRPr="0047373D">
        <w:t xml:space="preserve">s by </w:t>
      </w:r>
      <w:r>
        <w:t>service</w:t>
      </w:r>
      <w:r w:rsidRPr="0047373D">
        <w:t xml:space="preserve"> type</w:t>
      </w:r>
    </w:p>
    <w:p w14:paraId="4EC62D87" w14:textId="3629EDEE" w:rsidR="007240BC" w:rsidRDefault="007240BC" w:rsidP="00810754">
      <w:pPr>
        <w:pStyle w:val="BodyText"/>
      </w:pPr>
      <w:r>
        <w:t xml:space="preserve">The types of services making up the headspace network have been outlined in Section </w:t>
      </w:r>
      <w:r w:rsidR="001D3AFC">
        <w:fldChar w:fldCharType="begin" w:fldLock="1"/>
      </w:r>
      <w:r w:rsidR="001D3AFC">
        <w:instrText xml:space="preserve"> REF _Ref98322131 \w \h </w:instrText>
      </w:r>
      <w:r w:rsidR="001D3AFC">
        <w:fldChar w:fldCharType="separate"/>
      </w:r>
      <w:r w:rsidR="00AE4D34">
        <w:t>2.3.4</w:t>
      </w:r>
      <w:r w:rsidR="001D3AFC">
        <w:fldChar w:fldCharType="end"/>
      </w:r>
      <w:r>
        <w:t xml:space="preserve">. The introduction of alternative </w:t>
      </w:r>
      <w:r w:rsidR="001F2443">
        <w:t>model</w:t>
      </w:r>
      <w:r>
        <w:t xml:space="preserve">s has been a recent development, and by 30 June 2020, there were only nine services established that were not classified as headspace centres. In addition, all except one of the </w:t>
      </w:r>
      <w:r w:rsidR="001D3AFC">
        <w:t>s</w:t>
      </w:r>
      <w:r>
        <w:t xml:space="preserve">atellite and </w:t>
      </w:r>
      <w:r w:rsidR="001D3AFC">
        <w:t>o</w:t>
      </w:r>
      <w:r>
        <w:t xml:space="preserve">utpost services were established after May 2018. This means the majority of services making up the headspace network are headspace centres, with very few headspace satellites or other </w:t>
      </w:r>
      <w:r w:rsidR="001F2443">
        <w:t>model</w:t>
      </w:r>
      <w:r>
        <w:t xml:space="preserve">s. However, </w:t>
      </w:r>
      <w:r w:rsidR="000D1EE1">
        <w:t xml:space="preserve">emphasis </w:t>
      </w:r>
      <w:r w:rsidR="00C30B62">
        <w:t>continues</w:t>
      </w:r>
      <w:r>
        <w:t xml:space="preserve"> on diversifying the headspace model by the Commonwealth Government, with </w:t>
      </w:r>
      <w:r w:rsidR="003D0F6C">
        <w:t xml:space="preserve">the </w:t>
      </w:r>
      <w:r w:rsidR="001D3AFC">
        <w:t>g</w:t>
      </w:r>
      <w:r>
        <w:t xml:space="preserve">overnment </w:t>
      </w:r>
      <w:r w:rsidR="00C30B62">
        <w:t xml:space="preserve">announcing </w:t>
      </w:r>
      <w:r>
        <w:t xml:space="preserve">funding </w:t>
      </w:r>
      <w:r w:rsidR="00C30B62">
        <w:t xml:space="preserve">for </w:t>
      </w:r>
      <w:r>
        <w:t>additional satellite services</w:t>
      </w:r>
      <w:r w:rsidR="00C30B62">
        <w:t xml:space="preserve"> prior to the commencement of this evaluation,</w:t>
      </w:r>
      <w:r>
        <w:t xml:space="preserve"> to ensure young people in smaller communities are also able to access face-to-face services.</w:t>
      </w:r>
      <w:r w:rsidR="00CF5F09">
        <w:t xml:space="preserve"> It should be noted that headspace services which fall into the ‘other’ category have been </w:t>
      </w:r>
      <w:r w:rsidR="00080644">
        <w:t>omitted from some charts</w:t>
      </w:r>
      <w:r w:rsidR="00CF5F09">
        <w:t>. This is to ensure that these services are not identifiable given their small number</w:t>
      </w:r>
      <w:r w:rsidR="00DD4728">
        <w:t>.</w:t>
      </w:r>
      <w:r w:rsidR="00921085">
        <w:t xml:space="preserve"> </w:t>
      </w:r>
    </w:p>
    <w:p w14:paraId="23CD8676" w14:textId="24FB2B07" w:rsidR="007240BC" w:rsidRDefault="007240BC" w:rsidP="007240BC">
      <w:pPr>
        <w:pStyle w:val="Caption"/>
      </w:pPr>
      <w:bookmarkStart w:id="55" w:name="_Toc108108957"/>
      <w:r>
        <w:t xml:space="preserve">Table </w:t>
      </w:r>
      <w:r>
        <w:fldChar w:fldCharType="begin"/>
      </w:r>
      <w:r>
        <w:instrText>SEQ Table \* ARABIC</w:instrText>
      </w:r>
      <w:r>
        <w:fldChar w:fldCharType="separate"/>
      </w:r>
      <w:r w:rsidR="00CC0438">
        <w:rPr>
          <w:noProof/>
        </w:rPr>
        <w:t>7</w:t>
      </w:r>
      <w:r>
        <w:fldChar w:fldCharType="end"/>
      </w:r>
      <w:r>
        <w:t>: Overview of headspace services by service type as at 30 June 2020</w:t>
      </w:r>
      <w:bookmarkEnd w:id="55"/>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headspace services by centre type as at 30 June 2020"/>
        <w:tblDescription w:val="Table has 2 columns outlining the number of headspace services by type of service. Column 1 lists the types of headspace services, and column 2 provides the number of headspace services for each type.&#10;"/>
      </w:tblPr>
      <w:tblGrid>
        <w:gridCol w:w="3149"/>
        <w:gridCol w:w="5921"/>
      </w:tblGrid>
      <w:tr w:rsidR="007240BC" w:rsidRPr="001D6913" w14:paraId="6A15B385" w14:textId="77777777" w:rsidTr="00396577">
        <w:trPr>
          <w:jc w:val="center"/>
        </w:trPr>
        <w:tc>
          <w:tcPr>
            <w:tcW w:w="1736" w:type="pct"/>
            <w:tcBorders>
              <w:bottom w:val="single" w:sz="4" w:space="0" w:color="00338D"/>
            </w:tcBorders>
            <w:shd w:val="clear" w:color="auto" w:fill="00338D"/>
          </w:tcPr>
          <w:p w14:paraId="1EAC1E5B" w14:textId="77777777" w:rsidR="007240BC" w:rsidRPr="001D6913" w:rsidRDefault="007240BC" w:rsidP="00396577">
            <w:pPr>
              <w:pStyle w:val="Tableheading"/>
              <w:ind w:left="34"/>
              <w:jc w:val="center"/>
            </w:pPr>
            <w:r>
              <w:t>Service type</w:t>
            </w:r>
          </w:p>
        </w:tc>
        <w:tc>
          <w:tcPr>
            <w:tcW w:w="3264" w:type="pct"/>
            <w:tcBorders>
              <w:bottom w:val="single" w:sz="4" w:space="0" w:color="00338D"/>
            </w:tcBorders>
            <w:shd w:val="clear" w:color="auto" w:fill="00338D"/>
          </w:tcPr>
          <w:p w14:paraId="4C155975" w14:textId="77777777" w:rsidR="007240BC" w:rsidRPr="001D6913" w:rsidRDefault="007240BC" w:rsidP="00396577">
            <w:pPr>
              <w:pStyle w:val="Tableheading"/>
              <w:jc w:val="center"/>
            </w:pPr>
            <w:r w:rsidRPr="001D6913">
              <w:t xml:space="preserve">Number of </w:t>
            </w:r>
            <w:r>
              <w:t>service</w:t>
            </w:r>
            <w:r w:rsidRPr="001D6913">
              <w:t>s</w:t>
            </w:r>
          </w:p>
        </w:tc>
      </w:tr>
      <w:tr w:rsidR="007240BC" w:rsidRPr="001D6913" w14:paraId="752A95FA" w14:textId="77777777" w:rsidTr="00396577">
        <w:trPr>
          <w:jc w:val="center"/>
        </w:trPr>
        <w:tc>
          <w:tcPr>
            <w:tcW w:w="1736" w:type="pct"/>
            <w:tcBorders>
              <w:top w:val="single" w:sz="4" w:space="0" w:color="00338D"/>
              <w:bottom w:val="single" w:sz="2" w:space="0" w:color="808080" w:themeColor="background1" w:themeShade="80"/>
            </w:tcBorders>
          </w:tcPr>
          <w:p w14:paraId="5D94E33C" w14:textId="77777777" w:rsidR="007240BC" w:rsidRPr="001D6913" w:rsidRDefault="007240BC" w:rsidP="00396577">
            <w:pPr>
              <w:pStyle w:val="Tabletext"/>
              <w:jc w:val="center"/>
            </w:pPr>
            <w:r>
              <w:t>Centre</w:t>
            </w:r>
          </w:p>
        </w:tc>
        <w:tc>
          <w:tcPr>
            <w:tcW w:w="3264" w:type="pct"/>
            <w:tcBorders>
              <w:top w:val="single" w:sz="4" w:space="0" w:color="00338D"/>
              <w:bottom w:val="single" w:sz="2" w:space="0" w:color="808080" w:themeColor="background1" w:themeShade="80"/>
            </w:tcBorders>
          </w:tcPr>
          <w:p w14:paraId="33DE608B" w14:textId="77777777" w:rsidR="007240BC" w:rsidRPr="001D6913" w:rsidRDefault="007240BC" w:rsidP="00396577">
            <w:pPr>
              <w:pStyle w:val="Tabletext"/>
              <w:jc w:val="center"/>
            </w:pPr>
            <w:r>
              <w:t>109</w:t>
            </w:r>
          </w:p>
        </w:tc>
      </w:tr>
      <w:tr w:rsidR="007240BC" w:rsidRPr="001D6913" w14:paraId="087F280A" w14:textId="77777777" w:rsidTr="00396577">
        <w:trPr>
          <w:jc w:val="center"/>
        </w:trPr>
        <w:tc>
          <w:tcPr>
            <w:tcW w:w="1736" w:type="pct"/>
            <w:tcBorders>
              <w:top w:val="single" w:sz="2" w:space="0" w:color="808080" w:themeColor="background1" w:themeShade="80"/>
              <w:bottom w:val="single" w:sz="2" w:space="0" w:color="808080" w:themeColor="background1" w:themeShade="80"/>
            </w:tcBorders>
          </w:tcPr>
          <w:p w14:paraId="7DC87DB8" w14:textId="77777777" w:rsidR="007240BC" w:rsidRPr="001D6913" w:rsidRDefault="007240BC" w:rsidP="00396577">
            <w:pPr>
              <w:pStyle w:val="Tabletext"/>
              <w:jc w:val="center"/>
            </w:pPr>
            <w:r>
              <w:t>Satellite</w:t>
            </w:r>
          </w:p>
        </w:tc>
        <w:tc>
          <w:tcPr>
            <w:tcW w:w="3264" w:type="pct"/>
            <w:tcBorders>
              <w:top w:val="single" w:sz="2" w:space="0" w:color="808080" w:themeColor="background1" w:themeShade="80"/>
              <w:bottom w:val="single" w:sz="2" w:space="0" w:color="808080" w:themeColor="background1" w:themeShade="80"/>
            </w:tcBorders>
          </w:tcPr>
          <w:p w14:paraId="0F8BFD40" w14:textId="77777777" w:rsidR="007240BC" w:rsidRPr="001D6913" w:rsidRDefault="007240BC" w:rsidP="00396577">
            <w:pPr>
              <w:pStyle w:val="Tabletext"/>
              <w:jc w:val="center"/>
            </w:pPr>
            <w:r>
              <w:t>7</w:t>
            </w:r>
          </w:p>
        </w:tc>
      </w:tr>
      <w:tr w:rsidR="007240BC" w:rsidRPr="001D6913" w14:paraId="38DFAE9A" w14:textId="77777777" w:rsidTr="00396577">
        <w:trPr>
          <w:jc w:val="center"/>
        </w:trPr>
        <w:tc>
          <w:tcPr>
            <w:tcW w:w="1736" w:type="pct"/>
            <w:tcBorders>
              <w:top w:val="single" w:sz="2" w:space="0" w:color="808080" w:themeColor="background1" w:themeShade="80"/>
              <w:bottom w:val="single" w:sz="2" w:space="0" w:color="808080" w:themeColor="background1" w:themeShade="80"/>
            </w:tcBorders>
          </w:tcPr>
          <w:p w14:paraId="112FCC6C" w14:textId="77777777" w:rsidR="007240BC" w:rsidRPr="001D6913" w:rsidRDefault="007240BC" w:rsidP="00396577">
            <w:pPr>
              <w:pStyle w:val="Tabletext"/>
              <w:jc w:val="center"/>
            </w:pPr>
            <w:r>
              <w:t>Other, including outpost</w:t>
            </w:r>
          </w:p>
        </w:tc>
        <w:tc>
          <w:tcPr>
            <w:tcW w:w="3264" w:type="pct"/>
            <w:tcBorders>
              <w:top w:val="single" w:sz="2" w:space="0" w:color="808080" w:themeColor="background1" w:themeShade="80"/>
              <w:bottom w:val="single" w:sz="2" w:space="0" w:color="808080" w:themeColor="background1" w:themeShade="80"/>
            </w:tcBorders>
          </w:tcPr>
          <w:p w14:paraId="71C1F4F7" w14:textId="77777777" w:rsidR="007240BC" w:rsidRPr="001D6913" w:rsidRDefault="007240BC" w:rsidP="00396577">
            <w:pPr>
              <w:pStyle w:val="Tabletext"/>
              <w:keepNext/>
              <w:jc w:val="center"/>
            </w:pPr>
            <w:r>
              <w:t>2</w:t>
            </w:r>
          </w:p>
        </w:tc>
      </w:tr>
      <w:tr w:rsidR="007240BC" w:rsidRPr="001D6913" w14:paraId="71431D76" w14:textId="77777777" w:rsidTr="00396577">
        <w:trPr>
          <w:jc w:val="center"/>
        </w:trPr>
        <w:tc>
          <w:tcPr>
            <w:tcW w:w="1736" w:type="pct"/>
            <w:tcBorders>
              <w:top w:val="single" w:sz="2" w:space="0" w:color="808080" w:themeColor="background1" w:themeShade="80"/>
              <w:bottom w:val="single" w:sz="2" w:space="0" w:color="808080" w:themeColor="background1" w:themeShade="80"/>
            </w:tcBorders>
            <w:vAlign w:val="bottom"/>
          </w:tcPr>
          <w:p w14:paraId="783A21FC" w14:textId="77777777" w:rsidR="007240BC" w:rsidRPr="00665C3C" w:rsidRDefault="007240BC" w:rsidP="00396577">
            <w:pPr>
              <w:pStyle w:val="Tabletext"/>
              <w:jc w:val="center"/>
            </w:pPr>
            <w:r w:rsidRPr="00665C3C">
              <w:rPr>
                <w:b/>
                <w:bCs/>
              </w:rPr>
              <w:t>Total</w:t>
            </w:r>
          </w:p>
        </w:tc>
        <w:tc>
          <w:tcPr>
            <w:tcW w:w="3264" w:type="pct"/>
            <w:tcBorders>
              <w:top w:val="single" w:sz="2" w:space="0" w:color="808080" w:themeColor="background1" w:themeShade="80"/>
              <w:bottom w:val="single" w:sz="2" w:space="0" w:color="808080" w:themeColor="background1" w:themeShade="80"/>
            </w:tcBorders>
            <w:vAlign w:val="bottom"/>
          </w:tcPr>
          <w:p w14:paraId="6936AACB" w14:textId="77777777" w:rsidR="007240BC" w:rsidRDefault="007240BC" w:rsidP="00396577">
            <w:pPr>
              <w:pStyle w:val="Tabletext"/>
              <w:keepNext/>
              <w:jc w:val="center"/>
            </w:pPr>
            <w:r w:rsidRPr="00665C3C">
              <w:rPr>
                <w:b/>
                <w:bCs/>
              </w:rPr>
              <w:t>118</w:t>
            </w:r>
          </w:p>
        </w:tc>
      </w:tr>
    </w:tbl>
    <w:p w14:paraId="56AAF75C" w14:textId="5C91E65F" w:rsidR="000E44EF" w:rsidRPr="00CA7619" w:rsidRDefault="007240BC" w:rsidP="00CA7619">
      <w:pPr>
        <w:pStyle w:val="Source"/>
      </w:pPr>
      <w:r>
        <w:t xml:space="preserve">Source: KPMG analysis of </w:t>
      </w:r>
      <w:r w:rsidR="00DD3F6A">
        <w:t xml:space="preserve">hMDS </w:t>
      </w:r>
      <w:r>
        <w:t>and headspace funding data</w:t>
      </w:r>
    </w:p>
    <w:p w14:paraId="449F39EE" w14:textId="77777777" w:rsidR="00C75778" w:rsidRDefault="00C75778">
      <w:pPr>
        <w:spacing w:before="0" w:after="160" w:line="259" w:lineRule="auto"/>
        <w:rPr>
          <w:rFonts w:eastAsiaTheme="majorEastAsia" w:cstheme="majorBidi"/>
          <w:b/>
          <w:iCs/>
          <w:color w:val="00338D" w:themeColor="background2"/>
          <w:sz w:val="24"/>
          <w:lang w:eastAsia="en-AU"/>
        </w:rPr>
      </w:pPr>
      <w:r>
        <w:br w:type="page"/>
      </w:r>
    </w:p>
    <w:p w14:paraId="1F4A07E0" w14:textId="512647D9" w:rsidR="007240BC" w:rsidRDefault="007240BC" w:rsidP="00ED3129">
      <w:pPr>
        <w:pStyle w:val="Heading4"/>
      </w:pPr>
      <w:r>
        <w:t>Service</w:t>
      </w:r>
      <w:r w:rsidRPr="001D6913">
        <w:t xml:space="preserve">s by Primary Health Network </w:t>
      </w:r>
    </w:p>
    <w:p w14:paraId="14AB7465" w14:textId="7B2B0660" w:rsidR="00810754" w:rsidRDefault="007240BC" w:rsidP="00490DF5">
      <w:pPr>
        <w:pStyle w:val="BodyText"/>
      </w:pPr>
      <w:r w:rsidRPr="001D6913">
        <w:t xml:space="preserve">As outlined in Section </w:t>
      </w:r>
      <w:r w:rsidR="005F3640">
        <w:fldChar w:fldCharType="begin" w:fldLock="1"/>
      </w:r>
      <w:r w:rsidR="005F3640">
        <w:instrText xml:space="preserve"> REF _Ref97900658 \w \h </w:instrText>
      </w:r>
      <w:r w:rsidR="005F3640">
        <w:fldChar w:fldCharType="separate"/>
      </w:r>
      <w:r w:rsidR="00AE4D34">
        <w:t>2.3.1</w:t>
      </w:r>
      <w:r w:rsidR="005F3640">
        <w:fldChar w:fldCharType="end"/>
      </w:r>
      <w:r w:rsidRPr="001D6913">
        <w:t>, the introduction of PHNs saw</w:t>
      </w:r>
      <w:r>
        <w:t xml:space="preserve"> responsibility for</w:t>
      </w:r>
      <w:r w:rsidRPr="001D6913">
        <w:t xml:space="preserve"> commissioning for headspace services shift to PHNs across Australia. Each PHN commissions at least one headspace service, with some PHNs commissioning up to seven </w:t>
      </w:r>
      <w:r>
        <w:t>headspace services</w:t>
      </w:r>
      <w:r w:rsidRPr="001D6913">
        <w:t xml:space="preserve">. </w:t>
      </w:r>
    </w:p>
    <w:p w14:paraId="4B2D1408" w14:textId="2A05A469" w:rsidR="007240BC" w:rsidRDefault="007240BC" w:rsidP="007240BC">
      <w:pPr>
        <w:pStyle w:val="Caption"/>
      </w:pPr>
      <w:bookmarkStart w:id="56" w:name="_Toc108108958"/>
      <w:r>
        <w:t xml:space="preserve">Table </w:t>
      </w:r>
      <w:r>
        <w:fldChar w:fldCharType="begin"/>
      </w:r>
      <w:r>
        <w:instrText>SEQ Table \* ARABIC</w:instrText>
      </w:r>
      <w:r>
        <w:fldChar w:fldCharType="separate"/>
      </w:r>
      <w:r w:rsidR="00CC0438">
        <w:rPr>
          <w:noProof/>
        </w:rPr>
        <w:t>8</w:t>
      </w:r>
      <w:r>
        <w:fldChar w:fldCharType="end"/>
      </w:r>
      <w:r>
        <w:t>: Overview of headspace services by PHN as at 30 June 2020</w:t>
      </w:r>
      <w:bookmarkEnd w:id="56"/>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headspace services by PHN as at 30 June 2020"/>
        <w:tblDescription w:val="Table has 2 columns outlining the number of headspace services commissioned by PHN. Column 1 lists each PHN within Australia, and column 2 provides the number of headspace services commissioned by the PHN.&#10;"/>
      </w:tblPr>
      <w:tblGrid>
        <w:gridCol w:w="4678"/>
        <w:gridCol w:w="4392"/>
      </w:tblGrid>
      <w:tr w:rsidR="007240BC" w:rsidRPr="00D65A2D" w14:paraId="482B073D" w14:textId="77777777" w:rsidTr="00396577">
        <w:trPr>
          <w:tblHeader/>
          <w:jc w:val="center"/>
        </w:trPr>
        <w:tc>
          <w:tcPr>
            <w:tcW w:w="2579" w:type="pct"/>
            <w:tcBorders>
              <w:bottom w:val="single" w:sz="4" w:space="0" w:color="00338D"/>
            </w:tcBorders>
            <w:shd w:val="clear" w:color="auto" w:fill="00338D"/>
          </w:tcPr>
          <w:p w14:paraId="1B66619B" w14:textId="77777777" w:rsidR="007240BC" w:rsidRPr="001D6913" w:rsidRDefault="007240BC" w:rsidP="00396577">
            <w:pPr>
              <w:pStyle w:val="Tableheading"/>
            </w:pPr>
            <w:r w:rsidRPr="001D6913">
              <w:t>Primary Health Network</w:t>
            </w:r>
          </w:p>
        </w:tc>
        <w:tc>
          <w:tcPr>
            <w:tcW w:w="2421" w:type="pct"/>
            <w:tcBorders>
              <w:bottom w:val="single" w:sz="4" w:space="0" w:color="00338D"/>
            </w:tcBorders>
            <w:shd w:val="clear" w:color="auto" w:fill="00338D"/>
          </w:tcPr>
          <w:p w14:paraId="41BB43F6" w14:textId="77777777" w:rsidR="007240BC" w:rsidRPr="001D6913" w:rsidRDefault="007240BC" w:rsidP="00396577">
            <w:pPr>
              <w:pStyle w:val="Tableheading"/>
              <w:jc w:val="center"/>
            </w:pPr>
            <w:r w:rsidRPr="001D6913">
              <w:t xml:space="preserve">Number of </w:t>
            </w:r>
            <w:r>
              <w:t>service</w:t>
            </w:r>
            <w:r w:rsidRPr="001D6913">
              <w:t>s</w:t>
            </w:r>
          </w:p>
        </w:tc>
      </w:tr>
      <w:tr w:rsidR="007240BC" w:rsidRPr="00B34FE0" w14:paraId="6113C7C7" w14:textId="77777777" w:rsidTr="00396577">
        <w:trPr>
          <w:jc w:val="center"/>
        </w:trPr>
        <w:tc>
          <w:tcPr>
            <w:tcW w:w="2579" w:type="pct"/>
            <w:tcBorders>
              <w:top w:val="single" w:sz="4" w:space="0" w:color="00338D"/>
              <w:bottom w:val="single" w:sz="2" w:space="0" w:color="808080" w:themeColor="background1" w:themeShade="80"/>
            </w:tcBorders>
            <w:vAlign w:val="bottom"/>
          </w:tcPr>
          <w:p w14:paraId="35C184F4" w14:textId="28A49B9F" w:rsidR="007240BC" w:rsidRPr="001D6913" w:rsidRDefault="007240BC" w:rsidP="00396577">
            <w:pPr>
              <w:pStyle w:val="Tabletext"/>
            </w:pPr>
            <w:r w:rsidRPr="001D6913">
              <w:t>ACT</w:t>
            </w:r>
          </w:p>
        </w:tc>
        <w:tc>
          <w:tcPr>
            <w:tcW w:w="2421" w:type="pct"/>
            <w:tcBorders>
              <w:top w:val="single" w:sz="4" w:space="0" w:color="00338D"/>
              <w:bottom w:val="single" w:sz="2" w:space="0" w:color="808080" w:themeColor="background1" w:themeShade="80"/>
            </w:tcBorders>
            <w:vAlign w:val="bottom"/>
          </w:tcPr>
          <w:p w14:paraId="5C165DA7" w14:textId="77777777" w:rsidR="007240BC" w:rsidRPr="001D6913" w:rsidRDefault="007240BC" w:rsidP="00396577">
            <w:pPr>
              <w:pStyle w:val="Tabletext"/>
              <w:jc w:val="center"/>
            </w:pPr>
            <w:r w:rsidRPr="001D6913">
              <w:t>1</w:t>
            </w:r>
          </w:p>
        </w:tc>
      </w:tr>
      <w:tr w:rsidR="007240BC" w:rsidRPr="00B34FE0" w14:paraId="1A91AD0F"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4EE3FDA6" w14:textId="77777777" w:rsidR="007240BC" w:rsidRPr="001D6913" w:rsidRDefault="007240BC" w:rsidP="00396577">
            <w:pPr>
              <w:pStyle w:val="Tabletext"/>
            </w:pPr>
            <w:r w:rsidRPr="001D6913">
              <w:t>Adelaide</w:t>
            </w:r>
          </w:p>
        </w:tc>
        <w:tc>
          <w:tcPr>
            <w:tcW w:w="2421" w:type="pct"/>
            <w:tcBorders>
              <w:top w:val="single" w:sz="2" w:space="0" w:color="808080" w:themeColor="background1" w:themeShade="80"/>
              <w:bottom w:val="single" w:sz="2" w:space="0" w:color="808080" w:themeColor="background1" w:themeShade="80"/>
            </w:tcBorders>
            <w:vAlign w:val="bottom"/>
          </w:tcPr>
          <w:p w14:paraId="1B86B9C6" w14:textId="77777777" w:rsidR="007240BC" w:rsidRPr="001D6913" w:rsidRDefault="007240BC" w:rsidP="00396577">
            <w:pPr>
              <w:pStyle w:val="Tabletext"/>
              <w:jc w:val="center"/>
            </w:pPr>
            <w:r w:rsidRPr="001D6913">
              <w:t>4</w:t>
            </w:r>
          </w:p>
        </w:tc>
      </w:tr>
      <w:tr w:rsidR="007240BC" w:rsidRPr="00B34FE0" w14:paraId="05C17458"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61A8E0E7" w14:textId="77777777" w:rsidR="007240BC" w:rsidRPr="001D6913" w:rsidRDefault="007240BC" w:rsidP="00396577">
            <w:pPr>
              <w:pStyle w:val="Tabletext"/>
            </w:pPr>
            <w:r w:rsidRPr="001D6913">
              <w:t>Brisbane North</w:t>
            </w:r>
          </w:p>
        </w:tc>
        <w:tc>
          <w:tcPr>
            <w:tcW w:w="2421" w:type="pct"/>
            <w:tcBorders>
              <w:top w:val="single" w:sz="2" w:space="0" w:color="808080" w:themeColor="background1" w:themeShade="80"/>
              <w:bottom w:val="single" w:sz="2" w:space="0" w:color="808080" w:themeColor="background1" w:themeShade="80"/>
            </w:tcBorders>
            <w:vAlign w:val="bottom"/>
          </w:tcPr>
          <w:p w14:paraId="26C8F08F" w14:textId="77777777" w:rsidR="007240BC" w:rsidRPr="001D6913" w:rsidRDefault="007240BC" w:rsidP="00396577">
            <w:pPr>
              <w:pStyle w:val="Tabletext"/>
              <w:jc w:val="center"/>
            </w:pPr>
            <w:r w:rsidRPr="001D6913">
              <w:t>4</w:t>
            </w:r>
          </w:p>
        </w:tc>
      </w:tr>
      <w:tr w:rsidR="007240BC" w:rsidRPr="00B34FE0" w14:paraId="3451F938"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69991800" w14:textId="77777777" w:rsidR="007240BC" w:rsidRPr="001D6913" w:rsidRDefault="007240BC" w:rsidP="00396577">
            <w:pPr>
              <w:pStyle w:val="Tabletext"/>
            </w:pPr>
            <w:r w:rsidRPr="001D6913">
              <w:t>Brisbane South</w:t>
            </w:r>
          </w:p>
        </w:tc>
        <w:tc>
          <w:tcPr>
            <w:tcW w:w="2421" w:type="pct"/>
            <w:tcBorders>
              <w:top w:val="single" w:sz="2" w:space="0" w:color="808080" w:themeColor="background1" w:themeShade="80"/>
              <w:bottom w:val="single" w:sz="2" w:space="0" w:color="808080" w:themeColor="background1" w:themeShade="80"/>
            </w:tcBorders>
            <w:vAlign w:val="bottom"/>
          </w:tcPr>
          <w:p w14:paraId="313AB582" w14:textId="77777777" w:rsidR="007240BC" w:rsidRPr="001D6913" w:rsidRDefault="007240BC" w:rsidP="00396577">
            <w:pPr>
              <w:pStyle w:val="Tabletext"/>
              <w:jc w:val="center"/>
            </w:pPr>
            <w:r w:rsidRPr="001D6913">
              <w:t>4</w:t>
            </w:r>
          </w:p>
        </w:tc>
      </w:tr>
      <w:tr w:rsidR="007240BC" w:rsidRPr="00B34FE0" w14:paraId="034353DF"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47D2ADA3" w14:textId="77777777" w:rsidR="007240BC" w:rsidRPr="001D6913" w:rsidRDefault="007240BC" w:rsidP="00396577">
            <w:pPr>
              <w:pStyle w:val="Tabletext"/>
            </w:pPr>
            <w:r w:rsidRPr="001D6913">
              <w:t>Central &amp; Eastern Sydney</w:t>
            </w:r>
          </w:p>
        </w:tc>
        <w:tc>
          <w:tcPr>
            <w:tcW w:w="2421" w:type="pct"/>
            <w:tcBorders>
              <w:top w:val="single" w:sz="2" w:space="0" w:color="808080" w:themeColor="background1" w:themeShade="80"/>
              <w:bottom w:val="single" w:sz="2" w:space="0" w:color="808080" w:themeColor="background1" w:themeShade="80"/>
            </w:tcBorders>
            <w:vAlign w:val="bottom"/>
          </w:tcPr>
          <w:p w14:paraId="785C2D50" w14:textId="77777777" w:rsidR="007240BC" w:rsidRPr="001D6913" w:rsidRDefault="007240BC" w:rsidP="00396577">
            <w:pPr>
              <w:pStyle w:val="Tabletext"/>
              <w:jc w:val="center"/>
            </w:pPr>
            <w:r w:rsidRPr="001D6913">
              <w:t>5</w:t>
            </w:r>
          </w:p>
        </w:tc>
      </w:tr>
      <w:tr w:rsidR="007240BC" w:rsidRPr="00B34FE0" w14:paraId="50AB8555"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48F54497" w14:textId="77777777" w:rsidR="007240BC" w:rsidRPr="001D6913" w:rsidRDefault="007240BC" w:rsidP="00396577">
            <w:pPr>
              <w:pStyle w:val="Tabletext"/>
            </w:pPr>
            <w:r w:rsidRPr="001D6913">
              <w:t>Central QLD, Wide Bay &amp; Sunshine Coast</w:t>
            </w:r>
          </w:p>
        </w:tc>
        <w:tc>
          <w:tcPr>
            <w:tcW w:w="2421" w:type="pct"/>
            <w:tcBorders>
              <w:top w:val="single" w:sz="2" w:space="0" w:color="808080" w:themeColor="background1" w:themeShade="80"/>
              <w:bottom w:val="single" w:sz="2" w:space="0" w:color="808080" w:themeColor="background1" w:themeShade="80"/>
            </w:tcBorders>
            <w:vAlign w:val="bottom"/>
          </w:tcPr>
          <w:p w14:paraId="04551FA4" w14:textId="77777777" w:rsidR="007240BC" w:rsidRPr="001D6913" w:rsidRDefault="007240BC" w:rsidP="00396577">
            <w:pPr>
              <w:pStyle w:val="Tabletext"/>
              <w:jc w:val="center"/>
            </w:pPr>
            <w:r w:rsidRPr="001D6913">
              <w:t>6</w:t>
            </w:r>
          </w:p>
        </w:tc>
      </w:tr>
      <w:tr w:rsidR="007240BC" w:rsidRPr="00B34FE0" w14:paraId="0F24211A"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5F26F4E7" w14:textId="77777777" w:rsidR="007240BC" w:rsidRPr="001D6913" w:rsidRDefault="007240BC" w:rsidP="00396577">
            <w:pPr>
              <w:pStyle w:val="Tabletext"/>
            </w:pPr>
            <w:r w:rsidRPr="001D6913">
              <w:t>Country SA</w:t>
            </w:r>
          </w:p>
        </w:tc>
        <w:tc>
          <w:tcPr>
            <w:tcW w:w="2421" w:type="pct"/>
            <w:tcBorders>
              <w:top w:val="single" w:sz="2" w:space="0" w:color="808080" w:themeColor="background1" w:themeShade="80"/>
              <w:bottom w:val="single" w:sz="2" w:space="0" w:color="808080" w:themeColor="background1" w:themeShade="80"/>
            </w:tcBorders>
            <w:vAlign w:val="bottom"/>
          </w:tcPr>
          <w:p w14:paraId="748E38C0" w14:textId="77777777" w:rsidR="007240BC" w:rsidRPr="001D6913" w:rsidRDefault="007240BC" w:rsidP="00396577">
            <w:pPr>
              <w:pStyle w:val="Tabletext"/>
              <w:jc w:val="center"/>
            </w:pPr>
            <w:r w:rsidRPr="001D6913">
              <w:t>7</w:t>
            </w:r>
          </w:p>
        </w:tc>
      </w:tr>
      <w:tr w:rsidR="007240BC" w:rsidRPr="00B34FE0" w14:paraId="723003C5"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7816A5F4" w14:textId="77777777" w:rsidR="007240BC" w:rsidRPr="001D6913" w:rsidRDefault="007240BC" w:rsidP="00396577">
            <w:pPr>
              <w:pStyle w:val="Tabletext"/>
            </w:pPr>
            <w:r w:rsidRPr="001D6913">
              <w:t>Country WA</w:t>
            </w:r>
          </w:p>
        </w:tc>
        <w:tc>
          <w:tcPr>
            <w:tcW w:w="2421" w:type="pct"/>
            <w:tcBorders>
              <w:top w:val="single" w:sz="2" w:space="0" w:color="808080" w:themeColor="background1" w:themeShade="80"/>
              <w:bottom w:val="single" w:sz="2" w:space="0" w:color="808080" w:themeColor="background1" w:themeShade="80"/>
            </w:tcBorders>
            <w:vAlign w:val="bottom"/>
          </w:tcPr>
          <w:p w14:paraId="17E974BC" w14:textId="77777777" w:rsidR="007240BC" w:rsidRPr="001D6913" w:rsidRDefault="007240BC" w:rsidP="00396577">
            <w:pPr>
              <w:pStyle w:val="Tabletext"/>
              <w:jc w:val="center"/>
            </w:pPr>
            <w:r w:rsidRPr="001D6913">
              <w:t>6</w:t>
            </w:r>
          </w:p>
        </w:tc>
      </w:tr>
      <w:tr w:rsidR="007240BC" w:rsidRPr="00B34FE0" w14:paraId="7847BE35"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370D949A" w14:textId="77777777" w:rsidR="007240BC" w:rsidRPr="001D6913" w:rsidRDefault="007240BC" w:rsidP="00396577">
            <w:pPr>
              <w:pStyle w:val="Tabletext"/>
            </w:pPr>
            <w:r w:rsidRPr="001D6913">
              <w:t>Darling Downs &amp; West Moreton</w:t>
            </w:r>
          </w:p>
        </w:tc>
        <w:tc>
          <w:tcPr>
            <w:tcW w:w="2421" w:type="pct"/>
            <w:tcBorders>
              <w:top w:val="single" w:sz="2" w:space="0" w:color="808080" w:themeColor="background1" w:themeShade="80"/>
              <w:bottom w:val="single" w:sz="2" w:space="0" w:color="808080" w:themeColor="background1" w:themeShade="80"/>
            </w:tcBorders>
            <w:vAlign w:val="bottom"/>
          </w:tcPr>
          <w:p w14:paraId="1F0AB17D" w14:textId="77777777" w:rsidR="007240BC" w:rsidRPr="001D6913" w:rsidRDefault="007240BC" w:rsidP="00396577">
            <w:pPr>
              <w:pStyle w:val="Tabletext"/>
              <w:jc w:val="center"/>
            </w:pPr>
            <w:r w:rsidRPr="001D6913">
              <w:t>3</w:t>
            </w:r>
          </w:p>
        </w:tc>
      </w:tr>
      <w:tr w:rsidR="007240BC" w:rsidRPr="00B34FE0" w14:paraId="20B6D544"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7358E120" w14:textId="77777777" w:rsidR="007240BC" w:rsidRPr="001D6913" w:rsidRDefault="007240BC" w:rsidP="00396577">
            <w:pPr>
              <w:pStyle w:val="Tabletext"/>
            </w:pPr>
            <w:r w:rsidRPr="001D6913">
              <w:t>Eastern Melbourne</w:t>
            </w:r>
          </w:p>
        </w:tc>
        <w:tc>
          <w:tcPr>
            <w:tcW w:w="2421" w:type="pct"/>
            <w:tcBorders>
              <w:top w:val="single" w:sz="2" w:space="0" w:color="808080" w:themeColor="background1" w:themeShade="80"/>
              <w:bottom w:val="single" w:sz="2" w:space="0" w:color="808080" w:themeColor="background1" w:themeShade="80"/>
            </w:tcBorders>
            <w:vAlign w:val="bottom"/>
          </w:tcPr>
          <w:p w14:paraId="33C17BCA" w14:textId="77777777" w:rsidR="007240BC" w:rsidRPr="001D6913" w:rsidRDefault="007240BC" w:rsidP="00396577">
            <w:pPr>
              <w:pStyle w:val="Tabletext"/>
              <w:jc w:val="center"/>
            </w:pPr>
            <w:r w:rsidRPr="001D6913">
              <w:t>3</w:t>
            </w:r>
          </w:p>
        </w:tc>
      </w:tr>
      <w:tr w:rsidR="007240BC" w:rsidRPr="00B34FE0" w14:paraId="25DC3DC7"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21206639" w14:textId="77777777" w:rsidR="007240BC" w:rsidRPr="001D6913" w:rsidRDefault="007240BC" w:rsidP="00396577">
            <w:pPr>
              <w:pStyle w:val="Tabletext"/>
            </w:pPr>
            <w:r w:rsidRPr="001D6913">
              <w:t>Gippsland</w:t>
            </w:r>
          </w:p>
        </w:tc>
        <w:tc>
          <w:tcPr>
            <w:tcW w:w="2421" w:type="pct"/>
            <w:tcBorders>
              <w:top w:val="single" w:sz="2" w:space="0" w:color="808080" w:themeColor="background1" w:themeShade="80"/>
              <w:bottom w:val="single" w:sz="2" w:space="0" w:color="808080" w:themeColor="background1" w:themeShade="80"/>
            </w:tcBorders>
            <w:vAlign w:val="bottom"/>
          </w:tcPr>
          <w:p w14:paraId="72FE6E59" w14:textId="77777777" w:rsidR="007240BC" w:rsidRPr="001D6913" w:rsidRDefault="007240BC" w:rsidP="00396577">
            <w:pPr>
              <w:pStyle w:val="Tabletext"/>
              <w:jc w:val="center"/>
            </w:pPr>
            <w:r w:rsidRPr="001D6913">
              <w:t>3</w:t>
            </w:r>
          </w:p>
        </w:tc>
      </w:tr>
      <w:tr w:rsidR="007240BC" w:rsidRPr="00B34FE0" w14:paraId="0303DE1E"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0D3AAF12" w14:textId="77777777" w:rsidR="007240BC" w:rsidRPr="001D6913" w:rsidRDefault="007240BC" w:rsidP="00396577">
            <w:pPr>
              <w:pStyle w:val="Tabletext"/>
            </w:pPr>
            <w:r w:rsidRPr="001D6913">
              <w:t>Gold Coast</w:t>
            </w:r>
          </w:p>
        </w:tc>
        <w:tc>
          <w:tcPr>
            <w:tcW w:w="2421" w:type="pct"/>
            <w:tcBorders>
              <w:top w:val="single" w:sz="2" w:space="0" w:color="808080" w:themeColor="background1" w:themeShade="80"/>
              <w:bottom w:val="single" w:sz="2" w:space="0" w:color="808080" w:themeColor="background1" w:themeShade="80"/>
            </w:tcBorders>
            <w:vAlign w:val="bottom"/>
          </w:tcPr>
          <w:p w14:paraId="1F5B0CB9" w14:textId="77777777" w:rsidR="007240BC" w:rsidRPr="001D6913" w:rsidRDefault="007240BC" w:rsidP="00396577">
            <w:pPr>
              <w:pStyle w:val="Tabletext"/>
              <w:jc w:val="center"/>
            </w:pPr>
            <w:r w:rsidRPr="001D6913">
              <w:t>1</w:t>
            </w:r>
          </w:p>
        </w:tc>
      </w:tr>
      <w:tr w:rsidR="007240BC" w:rsidRPr="00B34FE0" w14:paraId="25879004"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466CCE42" w14:textId="77777777" w:rsidR="007240BC" w:rsidRPr="001D6913" w:rsidRDefault="007240BC" w:rsidP="00396577">
            <w:pPr>
              <w:pStyle w:val="Tabletext"/>
            </w:pPr>
            <w:r w:rsidRPr="001D6913">
              <w:t>Hunter New England &amp; Central Coast</w:t>
            </w:r>
          </w:p>
        </w:tc>
        <w:tc>
          <w:tcPr>
            <w:tcW w:w="2421" w:type="pct"/>
            <w:tcBorders>
              <w:top w:val="single" w:sz="2" w:space="0" w:color="808080" w:themeColor="background1" w:themeShade="80"/>
              <w:bottom w:val="single" w:sz="2" w:space="0" w:color="808080" w:themeColor="background1" w:themeShade="80"/>
            </w:tcBorders>
            <w:vAlign w:val="bottom"/>
          </w:tcPr>
          <w:p w14:paraId="57319E02" w14:textId="77777777" w:rsidR="007240BC" w:rsidRPr="001D6913" w:rsidRDefault="007240BC" w:rsidP="00396577">
            <w:pPr>
              <w:pStyle w:val="Tabletext"/>
              <w:jc w:val="center"/>
            </w:pPr>
            <w:r w:rsidRPr="001D6913">
              <w:t>5</w:t>
            </w:r>
          </w:p>
        </w:tc>
      </w:tr>
      <w:tr w:rsidR="007240BC" w:rsidRPr="00B34FE0" w14:paraId="36DDABC3"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5CACA266" w14:textId="77777777" w:rsidR="007240BC" w:rsidRPr="001D6913" w:rsidRDefault="007240BC" w:rsidP="00396577">
            <w:pPr>
              <w:pStyle w:val="Tabletext"/>
            </w:pPr>
            <w:r w:rsidRPr="001D6913">
              <w:t>Murray</w:t>
            </w:r>
          </w:p>
        </w:tc>
        <w:tc>
          <w:tcPr>
            <w:tcW w:w="2421" w:type="pct"/>
            <w:tcBorders>
              <w:top w:val="single" w:sz="2" w:space="0" w:color="808080" w:themeColor="background1" w:themeShade="80"/>
              <w:bottom w:val="single" w:sz="2" w:space="0" w:color="808080" w:themeColor="background1" w:themeShade="80"/>
            </w:tcBorders>
            <w:vAlign w:val="bottom"/>
          </w:tcPr>
          <w:p w14:paraId="65DEFEB1" w14:textId="77777777" w:rsidR="007240BC" w:rsidRPr="001D6913" w:rsidRDefault="007240BC" w:rsidP="00396577">
            <w:pPr>
              <w:pStyle w:val="Tabletext"/>
              <w:jc w:val="center"/>
            </w:pPr>
            <w:r w:rsidRPr="001D6913">
              <w:t>5</w:t>
            </w:r>
          </w:p>
        </w:tc>
      </w:tr>
      <w:tr w:rsidR="007240BC" w:rsidRPr="00B34FE0" w14:paraId="29551983"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71131B0C" w14:textId="77777777" w:rsidR="007240BC" w:rsidRPr="001D6913" w:rsidRDefault="007240BC" w:rsidP="00396577">
            <w:pPr>
              <w:pStyle w:val="Tabletext"/>
            </w:pPr>
            <w:r w:rsidRPr="001D6913">
              <w:t>Murrumbidgee</w:t>
            </w:r>
          </w:p>
        </w:tc>
        <w:tc>
          <w:tcPr>
            <w:tcW w:w="2421" w:type="pct"/>
            <w:tcBorders>
              <w:top w:val="single" w:sz="2" w:space="0" w:color="808080" w:themeColor="background1" w:themeShade="80"/>
              <w:bottom w:val="single" w:sz="2" w:space="0" w:color="808080" w:themeColor="background1" w:themeShade="80"/>
            </w:tcBorders>
            <w:vAlign w:val="bottom"/>
          </w:tcPr>
          <w:p w14:paraId="050198F1" w14:textId="77777777" w:rsidR="007240BC" w:rsidRPr="001D6913" w:rsidRDefault="007240BC" w:rsidP="00396577">
            <w:pPr>
              <w:pStyle w:val="Tabletext"/>
              <w:jc w:val="center"/>
            </w:pPr>
            <w:r w:rsidRPr="001D6913">
              <w:t>2</w:t>
            </w:r>
          </w:p>
        </w:tc>
      </w:tr>
      <w:tr w:rsidR="007240BC" w:rsidRPr="00B34FE0" w14:paraId="2E3DCD59"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40C086C3" w14:textId="77777777" w:rsidR="007240BC" w:rsidRPr="001D6913" w:rsidRDefault="007240BC" w:rsidP="00396577">
            <w:pPr>
              <w:pStyle w:val="Tabletext"/>
            </w:pPr>
            <w:r w:rsidRPr="001D6913">
              <w:t>Nepean Blue Mountains</w:t>
            </w:r>
          </w:p>
        </w:tc>
        <w:tc>
          <w:tcPr>
            <w:tcW w:w="2421" w:type="pct"/>
            <w:tcBorders>
              <w:top w:val="single" w:sz="2" w:space="0" w:color="808080" w:themeColor="background1" w:themeShade="80"/>
              <w:bottom w:val="single" w:sz="2" w:space="0" w:color="808080" w:themeColor="background1" w:themeShade="80"/>
            </w:tcBorders>
            <w:vAlign w:val="bottom"/>
          </w:tcPr>
          <w:p w14:paraId="34FECE51" w14:textId="77777777" w:rsidR="007240BC" w:rsidRPr="001D6913" w:rsidRDefault="007240BC" w:rsidP="00396577">
            <w:pPr>
              <w:pStyle w:val="Tabletext"/>
              <w:jc w:val="center"/>
            </w:pPr>
            <w:r w:rsidRPr="001D6913">
              <w:t>2</w:t>
            </w:r>
          </w:p>
        </w:tc>
      </w:tr>
      <w:tr w:rsidR="007240BC" w:rsidRPr="00B34FE0" w14:paraId="56EEBBE9"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13FB9398" w14:textId="77777777" w:rsidR="007240BC" w:rsidRPr="001D6913" w:rsidRDefault="007240BC" w:rsidP="00396577">
            <w:pPr>
              <w:pStyle w:val="Tabletext"/>
            </w:pPr>
            <w:r w:rsidRPr="001D6913">
              <w:t>North Coast</w:t>
            </w:r>
          </w:p>
        </w:tc>
        <w:tc>
          <w:tcPr>
            <w:tcW w:w="2421" w:type="pct"/>
            <w:tcBorders>
              <w:top w:val="single" w:sz="2" w:space="0" w:color="808080" w:themeColor="background1" w:themeShade="80"/>
              <w:bottom w:val="single" w:sz="2" w:space="0" w:color="808080" w:themeColor="background1" w:themeShade="80"/>
            </w:tcBorders>
            <w:vAlign w:val="bottom"/>
          </w:tcPr>
          <w:p w14:paraId="3559F3E7" w14:textId="77777777" w:rsidR="007240BC" w:rsidRPr="001D6913" w:rsidRDefault="007240BC" w:rsidP="00396577">
            <w:pPr>
              <w:pStyle w:val="Tabletext"/>
              <w:jc w:val="center"/>
            </w:pPr>
            <w:r w:rsidRPr="001D6913">
              <w:t>5</w:t>
            </w:r>
          </w:p>
        </w:tc>
      </w:tr>
      <w:tr w:rsidR="007240BC" w:rsidRPr="00B34FE0" w14:paraId="62709DAF"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1FABAF11" w14:textId="77777777" w:rsidR="007240BC" w:rsidRPr="001D6913" w:rsidRDefault="007240BC" w:rsidP="00396577">
            <w:pPr>
              <w:pStyle w:val="Tabletext"/>
            </w:pPr>
            <w:r w:rsidRPr="001D6913">
              <w:t>North Western Melbourne</w:t>
            </w:r>
          </w:p>
        </w:tc>
        <w:tc>
          <w:tcPr>
            <w:tcW w:w="2421" w:type="pct"/>
            <w:tcBorders>
              <w:top w:val="single" w:sz="2" w:space="0" w:color="808080" w:themeColor="background1" w:themeShade="80"/>
              <w:bottom w:val="single" w:sz="2" w:space="0" w:color="808080" w:themeColor="background1" w:themeShade="80"/>
            </w:tcBorders>
            <w:vAlign w:val="bottom"/>
          </w:tcPr>
          <w:p w14:paraId="1867D55A" w14:textId="77777777" w:rsidR="007240BC" w:rsidRPr="001D6913" w:rsidRDefault="007240BC" w:rsidP="00396577">
            <w:pPr>
              <w:pStyle w:val="Tabletext"/>
              <w:jc w:val="center"/>
            </w:pPr>
            <w:r w:rsidRPr="001D6913">
              <w:t>6</w:t>
            </w:r>
          </w:p>
        </w:tc>
      </w:tr>
      <w:tr w:rsidR="007240BC" w:rsidRPr="00B34FE0" w14:paraId="11D6C353"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155E2110" w14:textId="77777777" w:rsidR="007240BC" w:rsidRPr="001D6913" w:rsidRDefault="007240BC" w:rsidP="00396577">
            <w:pPr>
              <w:pStyle w:val="Tabletext"/>
            </w:pPr>
            <w:r w:rsidRPr="001D6913">
              <w:t>Northern QLD</w:t>
            </w:r>
          </w:p>
        </w:tc>
        <w:tc>
          <w:tcPr>
            <w:tcW w:w="2421" w:type="pct"/>
            <w:tcBorders>
              <w:top w:val="single" w:sz="2" w:space="0" w:color="808080" w:themeColor="background1" w:themeShade="80"/>
              <w:bottom w:val="single" w:sz="2" w:space="0" w:color="808080" w:themeColor="background1" w:themeShade="80"/>
            </w:tcBorders>
            <w:vAlign w:val="bottom"/>
          </w:tcPr>
          <w:p w14:paraId="57271829" w14:textId="77777777" w:rsidR="007240BC" w:rsidRPr="001D6913" w:rsidRDefault="007240BC" w:rsidP="00396577">
            <w:pPr>
              <w:pStyle w:val="Tabletext"/>
              <w:jc w:val="center"/>
            </w:pPr>
            <w:r w:rsidRPr="001D6913">
              <w:t>3</w:t>
            </w:r>
          </w:p>
        </w:tc>
      </w:tr>
      <w:tr w:rsidR="007240BC" w:rsidRPr="00B34FE0" w14:paraId="052A4F6A"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7710063D" w14:textId="77777777" w:rsidR="007240BC" w:rsidRPr="001D6913" w:rsidRDefault="007240BC" w:rsidP="00396577">
            <w:pPr>
              <w:pStyle w:val="Tabletext"/>
            </w:pPr>
            <w:r w:rsidRPr="001D6913">
              <w:t>Northern Sydney</w:t>
            </w:r>
          </w:p>
        </w:tc>
        <w:tc>
          <w:tcPr>
            <w:tcW w:w="2421" w:type="pct"/>
            <w:tcBorders>
              <w:top w:val="single" w:sz="2" w:space="0" w:color="808080" w:themeColor="background1" w:themeShade="80"/>
              <w:bottom w:val="single" w:sz="2" w:space="0" w:color="808080" w:themeColor="background1" w:themeShade="80"/>
            </w:tcBorders>
            <w:vAlign w:val="bottom"/>
          </w:tcPr>
          <w:p w14:paraId="3CCC501D" w14:textId="77777777" w:rsidR="007240BC" w:rsidRPr="001D6913" w:rsidRDefault="007240BC" w:rsidP="00396577">
            <w:pPr>
              <w:pStyle w:val="Tabletext"/>
              <w:jc w:val="center"/>
            </w:pPr>
            <w:r w:rsidRPr="001D6913">
              <w:t>2</w:t>
            </w:r>
          </w:p>
        </w:tc>
      </w:tr>
      <w:tr w:rsidR="007240BC" w:rsidRPr="00B34FE0" w14:paraId="66DA0AC1"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4335580B" w14:textId="77777777" w:rsidR="007240BC" w:rsidRPr="001D6913" w:rsidRDefault="007240BC" w:rsidP="00396577">
            <w:pPr>
              <w:pStyle w:val="Tabletext"/>
            </w:pPr>
            <w:r w:rsidRPr="001D6913">
              <w:t>Northern Territory</w:t>
            </w:r>
          </w:p>
        </w:tc>
        <w:tc>
          <w:tcPr>
            <w:tcW w:w="2421" w:type="pct"/>
            <w:tcBorders>
              <w:top w:val="single" w:sz="2" w:space="0" w:color="808080" w:themeColor="background1" w:themeShade="80"/>
              <w:bottom w:val="single" w:sz="2" w:space="0" w:color="808080" w:themeColor="background1" w:themeShade="80"/>
            </w:tcBorders>
            <w:vAlign w:val="bottom"/>
          </w:tcPr>
          <w:p w14:paraId="707F8339" w14:textId="77777777" w:rsidR="007240BC" w:rsidRPr="001D6913" w:rsidRDefault="007240BC" w:rsidP="00396577">
            <w:pPr>
              <w:pStyle w:val="Tabletext"/>
              <w:jc w:val="center"/>
            </w:pPr>
            <w:r w:rsidRPr="001D6913">
              <w:t>3</w:t>
            </w:r>
          </w:p>
        </w:tc>
      </w:tr>
      <w:tr w:rsidR="007240BC" w:rsidRPr="00B34FE0" w14:paraId="0368F248"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55DB816D" w14:textId="77777777" w:rsidR="007240BC" w:rsidRPr="001D6913" w:rsidRDefault="007240BC" w:rsidP="00396577">
            <w:pPr>
              <w:pStyle w:val="Tabletext"/>
            </w:pPr>
            <w:r w:rsidRPr="001D6913">
              <w:t>Perth North</w:t>
            </w:r>
          </w:p>
        </w:tc>
        <w:tc>
          <w:tcPr>
            <w:tcW w:w="2421" w:type="pct"/>
            <w:tcBorders>
              <w:top w:val="single" w:sz="2" w:space="0" w:color="808080" w:themeColor="background1" w:themeShade="80"/>
              <w:bottom w:val="single" w:sz="2" w:space="0" w:color="808080" w:themeColor="background1" w:themeShade="80"/>
            </w:tcBorders>
            <w:vAlign w:val="bottom"/>
          </w:tcPr>
          <w:p w14:paraId="61012157" w14:textId="77777777" w:rsidR="007240BC" w:rsidRPr="001D6913" w:rsidRDefault="007240BC" w:rsidP="00396577">
            <w:pPr>
              <w:pStyle w:val="Tabletext"/>
              <w:jc w:val="center"/>
            </w:pPr>
            <w:r w:rsidRPr="001D6913">
              <w:t>3</w:t>
            </w:r>
          </w:p>
        </w:tc>
      </w:tr>
      <w:tr w:rsidR="007240BC" w:rsidRPr="00B34FE0" w14:paraId="3D7B3E29"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6C23684E" w14:textId="77777777" w:rsidR="007240BC" w:rsidRPr="001D6913" w:rsidRDefault="007240BC" w:rsidP="00396577">
            <w:pPr>
              <w:pStyle w:val="Tabletext"/>
            </w:pPr>
            <w:r w:rsidRPr="001D6913">
              <w:t>Perth South</w:t>
            </w:r>
          </w:p>
        </w:tc>
        <w:tc>
          <w:tcPr>
            <w:tcW w:w="2421" w:type="pct"/>
            <w:tcBorders>
              <w:top w:val="single" w:sz="2" w:space="0" w:color="808080" w:themeColor="background1" w:themeShade="80"/>
              <w:bottom w:val="single" w:sz="2" w:space="0" w:color="808080" w:themeColor="background1" w:themeShade="80"/>
            </w:tcBorders>
            <w:vAlign w:val="bottom"/>
          </w:tcPr>
          <w:p w14:paraId="2565625D" w14:textId="77777777" w:rsidR="007240BC" w:rsidRPr="001D6913" w:rsidRDefault="007240BC" w:rsidP="00396577">
            <w:pPr>
              <w:pStyle w:val="Tabletext"/>
              <w:jc w:val="center"/>
            </w:pPr>
            <w:r w:rsidRPr="001D6913">
              <w:t>4</w:t>
            </w:r>
          </w:p>
        </w:tc>
      </w:tr>
      <w:tr w:rsidR="007240BC" w:rsidRPr="00B34FE0" w14:paraId="1B3E8858"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3C0C8376" w14:textId="77777777" w:rsidR="007240BC" w:rsidRPr="001D6913" w:rsidRDefault="007240BC" w:rsidP="00396577">
            <w:pPr>
              <w:pStyle w:val="Tabletext"/>
            </w:pPr>
            <w:r w:rsidRPr="001D6913">
              <w:t>South Eastern Melbourne</w:t>
            </w:r>
          </w:p>
        </w:tc>
        <w:tc>
          <w:tcPr>
            <w:tcW w:w="2421" w:type="pct"/>
            <w:tcBorders>
              <w:top w:val="single" w:sz="2" w:space="0" w:color="808080" w:themeColor="background1" w:themeShade="80"/>
              <w:bottom w:val="single" w:sz="2" w:space="0" w:color="808080" w:themeColor="background1" w:themeShade="80"/>
            </w:tcBorders>
            <w:vAlign w:val="bottom"/>
          </w:tcPr>
          <w:p w14:paraId="471C142B" w14:textId="77777777" w:rsidR="007240BC" w:rsidRPr="001D6913" w:rsidRDefault="007240BC" w:rsidP="00396577">
            <w:pPr>
              <w:pStyle w:val="Tabletext"/>
              <w:jc w:val="center"/>
            </w:pPr>
            <w:r w:rsidRPr="001D6913">
              <w:t>7</w:t>
            </w:r>
          </w:p>
        </w:tc>
      </w:tr>
      <w:tr w:rsidR="007240BC" w:rsidRPr="00B34FE0" w14:paraId="4B6A75A4"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49015FD3" w14:textId="77777777" w:rsidR="007240BC" w:rsidRPr="001D6913" w:rsidRDefault="007240BC" w:rsidP="00396577">
            <w:pPr>
              <w:pStyle w:val="Tabletext"/>
            </w:pPr>
            <w:r w:rsidRPr="001D6913">
              <w:t>South Eastern NSW</w:t>
            </w:r>
          </w:p>
        </w:tc>
        <w:tc>
          <w:tcPr>
            <w:tcW w:w="2421" w:type="pct"/>
            <w:tcBorders>
              <w:top w:val="single" w:sz="2" w:space="0" w:color="808080" w:themeColor="background1" w:themeShade="80"/>
              <w:bottom w:val="single" w:sz="2" w:space="0" w:color="808080" w:themeColor="background1" w:themeShade="80"/>
            </w:tcBorders>
            <w:vAlign w:val="bottom"/>
          </w:tcPr>
          <w:p w14:paraId="54C602E9" w14:textId="77777777" w:rsidR="007240BC" w:rsidRPr="001D6913" w:rsidRDefault="007240BC" w:rsidP="00396577">
            <w:pPr>
              <w:pStyle w:val="Tabletext"/>
              <w:jc w:val="center"/>
            </w:pPr>
            <w:r w:rsidRPr="001D6913">
              <w:t>5</w:t>
            </w:r>
          </w:p>
        </w:tc>
      </w:tr>
      <w:tr w:rsidR="007240BC" w:rsidRPr="00B34FE0" w14:paraId="0D199C19"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4E2FFBFB" w14:textId="77777777" w:rsidR="007240BC" w:rsidRPr="001D6913" w:rsidRDefault="007240BC" w:rsidP="00396577">
            <w:pPr>
              <w:pStyle w:val="Tabletext"/>
            </w:pPr>
            <w:r w:rsidRPr="001D6913">
              <w:t>South Western Sydney</w:t>
            </w:r>
          </w:p>
        </w:tc>
        <w:tc>
          <w:tcPr>
            <w:tcW w:w="2421" w:type="pct"/>
            <w:tcBorders>
              <w:top w:val="single" w:sz="2" w:space="0" w:color="808080" w:themeColor="background1" w:themeShade="80"/>
              <w:bottom w:val="single" w:sz="2" w:space="0" w:color="808080" w:themeColor="background1" w:themeShade="80"/>
            </w:tcBorders>
            <w:vAlign w:val="bottom"/>
          </w:tcPr>
          <w:p w14:paraId="21E29923" w14:textId="77777777" w:rsidR="007240BC" w:rsidRPr="001D6913" w:rsidRDefault="007240BC" w:rsidP="00396577">
            <w:pPr>
              <w:pStyle w:val="Tabletext"/>
              <w:jc w:val="center"/>
            </w:pPr>
            <w:r w:rsidRPr="001D6913">
              <w:t>3</w:t>
            </w:r>
          </w:p>
        </w:tc>
      </w:tr>
      <w:tr w:rsidR="007240BC" w:rsidRPr="00B34FE0" w14:paraId="5AD99021"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2A863064" w14:textId="77777777" w:rsidR="007240BC" w:rsidRPr="001D6913" w:rsidRDefault="007240BC" w:rsidP="00396577">
            <w:pPr>
              <w:pStyle w:val="Tabletext"/>
            </w:pPr>
            <w:r w:rsidRPr="001D6913">
              <w:t>Tasmania</w:t>
            </w:r>
          </w:p>
        </w:tc>
        <w:tc>
          <w:tcPr>
            <w:tcW w:w="2421" w:type="pct"/>
            <w:tcBorders>
              <w:top w:val="single" w:sz="2" w:space="0" w:color="808080" w:themeColor="background1" w:themeShade="80"/>
              <w:bottom w:val="single" w:sz="2" w:space="0" w:color="808080" w:themeColor="background1" w:themeShade="80"/>
            </w:tcBorders>
            <w:vAlign w:val="bottom"/>
          </w:tcPr>
          <w:p w14:paraId="78FB46D7" w14:textId="77777777" w:rsidR="007240BC" w:rsidRPr="001D6913" w:rsidRDefault="007240BC" w:rsidP="00396577">
            <w:pPr>
              <w:pStyle w:val="Tabletext"/>
              <w:jc w:val="center"/>
            </w:pPr>
            <w:r w:rsidRPr="001D6913">
              <w:t>3</w:t>
            </w:r>
          </w:p>
        </w:tc>
      </w:tr>
      <w:tr w:rsidR="007240BC" w:rsidRPr="00B34FE0" w14:paraId="0B81E105"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677B1CB9" w14:textId="77777777" w:rsidR="007240BC" w:rsidRPr="001D6913" w:rsidRDefault="007240BC" w:rsidP="00396577">
            <w:pPr>
              <w:pStyle w:val="Tabletext"/>
            </w:pPr>
            <w:r w:rsidRPr="001D6913">
              <w:t>Western NSW</w:t>
            </w:r>
          </w:p>
        </w:tc>
        <w:tc>
          <w:tcPr>
            <w:tcW w:w="2421" w:type="pct"/>
            <w:tcBorders>
              <w:top w:val="single" w:sz="2" w:space="0" w:color="808080" w:themeColor="background1" w:themeShade="80"/>
              <w:bottom w:val="single" w:sz="2" w:space="0" w:color="808080" w:themeColor="background1" w:themeShade="80"/>
            </w:tcBorders>
            <w:vAlign w:val="bottom"/>
          </w:tcPr>
          <w:p w14:paraId="7909E422" w14:textId="77777777" w:rsidR="007240BC" w:rsidRPr="001D6913" w:rsidRDefault="007240BC" w:rsidP="00396577">
            <w:pPr>
              <w:pStyle w:val="Tabletext"/>
              <w:jc w:val="center"/>
            </w:pPr>
            <w:r w:rsidRPr="001D6913">
              <w:t>4</w:t>
            </w:r>
          </w:p>
        </w:tc>
      </w:tr>
      <w:tr w:rsidR="007240BC" w:rsidRPr="00B34FE0" w14:paraId="23EDF50A"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10A22941" w14:textId="77777777" w:rsidR="007240BC" w:rsidRPr="001D6913" w:rsidRDefault="007240BC" w:rsidP="00396577">
            <w:pPr>
              <w:pStyle w:val="Tabletext"/>
            </w:pPr>
            <w:r w:rsidRPr="001D6913">
              <w:t>Western QLD</w:t>
            </w:r>
          </w:p>
        </w:tc>
        <w:tc>
          <w:tcPr>
            <w:tcW w:w="2421" w:type="pct"/>
            <w:tcBorders>
              <w:top w:val="single" w:sz="2" w:space="0" w:color="808080" w:themeColor="background1" w:themeShade="80"/>
              <w:bottom w:val="single" w:sz="2" w:space="0" w:color="808080" w:themeColor="background1" w:themeShade="80"/>
            </w:tcBorders>
            <w:vAlign w:val="bottom"/>
          </w:tcPr>
          <w:p w14:paraId="38154B13" w14:textId="77777777" w:rsidR="007240BC" w:rsidRPr="001D6913" w:rsidRDefault="007240BC" w:rsidP="00396577">
            <w:pPr>
              <w:pStyle w:val="Tabletext"/>
              <w:jc w:val="center"/>
            </w:pPr>
            <w:r w:rsidRPr="001D6913">
              <w:t>1</w:t>
            </w:r>
          </w:p>
        </w:tc>
      </w:tr>
      <w:tr w:rsidR="007240BC" w:rsidRPr="00B34FE0" w14:paraId="27672D4F"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7ADE5200" w14:textId="77777777" w:rsidR="007240BC" w:rsidRPr="001D6913" w:rsidRDefault="007240BC" w:rsidP="00396577">
            <w:pPr>
              <w:pStyle w:val="Tabletext"/>
            </w:pPr>
            <w:r w:rsidRPr="001D6913">
              <w:t>Western Sydney</w:t>
            </w:r>
          </w:p>
        </w:tc>
        <w:tc>
          <w:tcPr>
            <w:tcW w:w="2421" w:type="pct"/>
            <w:tcBorders>
              <w:top w:val="single" w:sz="2" w:space="0" w:color="808080" w:themeColor="background1" w:themeShade="80"/>
              <w:bottom w:val="single" w:sz="2" w:space="0" w:color="808080" w:themeColor="background1" w:themeShade="80"/>
            </w:tcBorders>
            <w:vAlign w:val="bottom"/>
          </w:tcPr>
          <w:p w14:paraId="3DFCD43E" w14:textId="77777777" w:rsidR="007240BC" w:rsidRPr="001D6913" w:rsidRDefault="007240BC" w:rsidP="00396577">
            <w:pPr>
              <w:pStyle w:val="Tabletext"/>
              <w:jc w:val="center"/>
            </w:pPr>
            <w:r w:rsidRPr="001D6913">
              <w:t>3</w:t>
            </w:r>
          </w:p>
        </w:tc>
      </w:tr>
      <w:tr w:rsidR="007240BC" w:rsidRPr="00B34FE0" w14:paraId="2D0D5ACD"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3C4200EC" w14:textId="77777777" w:rsidR="007240BC" w:rsidRPr="001D6913" w:rsidRDefault="007240BC" w:rsidP="00396577">
            <w:pPr>
              <w:pStyle w:val="Tabletext"/>
            </w:pPr>
            <w:r w:rsidRPr="001D6913">
              <w:t>Western Victoria</w:t>
            </w:r>
          </w:p>
        </w:tc>
        <w:tc>
          <w:tcPr>
            <w:tcW w:w="2421" w:type="pct"/>
            <w:tcBorders>
              <w:top w:val="single" w:sz="2" w:space="0" w:color="808080" w:themeColor="background1" w:themeShade="80"/>
              <w:bottom w:val="single" w:sz="2" w:space="0" w:color="808080" w:themeColor="background1" w:themeShade="80"/>
            </w:tcBorders>
            <w:vAlign w:val="bottom"/>
          </w:tcPr>
          <w:p w14:paraId="4B2A33AD" w14:textId="77777777" w:rsidR="007240BC" w:rsidRPr="001D6913" w:rsidRDefault="007240BC" w:rsidP="00396577">
            <w:pPr>
              <w:pStyle w:val="Tabletext"/>
              <w:keepNext/>
              <w:jc w:val="center"/>
            </w:pPr>
            <w:r w:rsidRPr="001D6913">
              <w:t>5</w:t>
            </w:r>
          </w:p>
        </w:tc>
      </w:tr>
      <w:tr w:rsidR="007240BC" w:rsidRPr="00B34FE0" w14:paraId="255C1386" w14:textId="77777777" w:rsidTr="00396577">
        <w:trPr>
          <w:jc w:val="center"/>
        </w:trPr>
        <w:tc>
          <w:tcPr>
            <w:tcW w:w="2579" w:type="pct"/>
            <w:tcBorders>
              <w:top w:val="single" w:sz="2" w:space="0" w:color="808080" w:themeColor="background1" w:themeShade="80"/>
              <w:bottom w:val="single" w:sz="2" w:space="0" w:color="808080" w:themeColor="background1" w:themeShade="80"/>
            </w:tcBorders>
            <w:vAlign w:val="bottom"/>
          </w:tcPr>
          <w:p w14:paraId="746133F9" w14:textId="77777777" w:rsidR="007240BC" w:rsidRPr="00665C3C" w:rsidRDefault="007240BC" w:rsidP="00396577">
            <w:pPr>
              <w:pStyle w:val="Tabletext"/>
              <w:rPr>
                <w:b/>
                <w:bCs/>
              </w:rPr>
            </w:pPr>
            <w:r w:rsidRPr="00665C3C">
              <w:rPr>
                <w:b/>
                <w:bCs/>
              </w:rPr>
              <w:t>Total</w:t>
            </w:r>
          </w:p>
        </w:tc>
        <w:tc>
          <w:tcPr>
            <w:tcW w:w="2421" w:type="pct"/>
            <w:tcBorders>
              <w:top w:val="single" w:sz="2" w:space="0" w:color="808080" w:themeColor="background1" w:themeShade="80"/>
              <w:bottom w:val="single" w:sz="2" w:space="0" w:color="808080" w:themeColor="background1" w:themeShade="80"/>
            </w:tcBorders>
            <w:vAlign w:val="bottom"/>
          </w:tcPr>
          <w:p w14:paraId="5013DEED" w14:textId="77777777" w:rsidR="007240BC" w:rsidRPr="00665C3C" w:rsidRDefault="007240BC" w:rsidP="00396577">
            <w:pPr>
              <w:pStyle w:val="Tabletext"/>
              <w:keepNext/>
              <w:jc w:val="center"/>
              <w:rPr>
                <w:b/>
                <w:bCs/>
              </w:rPr>
            </w:pPr>
            <w:r w:rsidRPr="00665C3C">
              <w:rPr>
                <w:b/>
                <w:bCs/>
              </w:rPr>
              <w:t>118</w:t>
            </w:r>
          </w:p>
        </w:tc>
      </w:tr>
    </w:tbl>
    <w:p w14:paraId="5865C4F5" w14:textId="06802494" w:rsidR="007240BC" w:rsidRPr="001D6913" w:rsidRDefault="007240BC" w:rsidP="007240BC">
      <w:pPr>
        <w:pStyle w:val="Source"/>
      </w:pPr>
      <w:r>
        <w:t xml:space="preserve">Source: KPMG analysis of </w:t>
      </w:r>
      <w:r w:rsidR="00DD3F6A">
        <w:t xml:space="preserve">hMDS </w:t>
      </w:r>
      <w:r>
        <w:t>and headspace funding data</w:t>
      </w:r>
    </w:p>
    <w:p w14:paraId="5341DD92" w14:textId="61143CFD" w:rsidR="007240BC" w:rsidRDefault="007240BC" w:rsidP="00ED3129">
      <w:pPr>
        <w:pStyle w:val="Heading4"/>
      </w:pPr>
      <w:r>
        <w:t>Service</w:t>
      </w:r>
      <w:r w:rsidRPr="001D6913">
        <w:t xml:space="preserve"> staffing mix</w:t>
      </w:r>
    </w:p>
    <w:p w14:paraId="20DDF977" w14:textId="443190B6" w:rsidR="007240BC" w:rsidRDefault="007240BC" w:rsidP="003006A8">
      <w:pPr>
        <w:pStyle w:val="BodyText"/>
      </w:pPr>
      <w:r>
        <w:t xml:space="preserve">Services provided within each headspace service are delivered by a range of staff who differ based on their specified team role, age, gender and other characteristics. In 2020, 74 per cent of staff providing services recorded in the </w:t>
      </w:r>
      <w:r w:rsidR="00DD3F6A">
        <w:t xml:space="preserve">hMDS </w:t>
      </w:r>
      <w:r>
        <w:t xml:space="preserve">were female, with 25 per cent male, and </w:t>
      </w:r>
      <w:r w:rsidR="00797C3A">
        <w:t>one</w:t>
      </w:r>
      <w:r w:rsidR="00933562">
        <w:t xml:space="preserve"> </w:t>
      </w:r>
      <w:r>
        <w:t>per cent identifying as non-binary. The average age of staff providing services was 48 years, while the median age was 35</w:t>
      </w:r>
      <w:r w:rsidR="000E29B0">
        <w:t> </w:t>
      </w:r>
      <w:r>
        <w:t>years. In the same year, 2.4 per cent of staff delivering services identified as Aboriginal and Torres Strait Islander</w:t>
      </w:r>
      <w:r w:rsidR="00CB3516">
        <w:t>.</w:t>
      </w:r>
    </w:p>
    <w:p w14:paraId="7EB81262" w14:textId="4FD4A213" w:rsidR="007240BC" w:rsidRDefault="007240BC" w:rsidP="007240BC">
      <w:pPr>
        <w:pStyle w:val="BodyText"/>
      </w:pPr>
      <w:r>
        <w:t xml:space="preserve">Services are provided by a range of professions across the headspace network. </w:t>
      </w:r>
      <w:r w:rsidR="00CB55B3">
        <w:fldChar w:fldCharType="begin" w:fldLock="1"/>
      </w:r>
      <w:r w:rsidR="00CB55B3">
        <w:instrText xml:space="preserve"> REF _Ref95045099 \h </w:instrText>
      </w:r>
      <w:r w:rsidR="00CB55B3">
        <w:fldChar w:fldCharType="separate"/>
      </w:r>
      <w:r w:rsidR="00AE4D34">
        <w:t xml:space="preserve">Table </w:t>
      </w:r>
      <w:r w:rsidR="00AE4D34">
        <w:rPr>
          <w:noProof/>
        </w:rPr>
        <w:t>9</w:t>
      </w:r>
      <w:r w:rsidR="00CB55B3">
        <w:fldChar w:fldCharType="end"/>
      </w:r>
      <w:r>
        <w:t xml:space="preserve"> below summarises the breakdown of service providers who delivered at least one </w:t>
      </w:r>
      <w:r w:rsidR="006E7DB0">
        <w:t>O</w:t>
      </w:r>
      <w:r w:rsidR="0076526D">
        <w:t>O</w:t>
      </w:r>
      <w:r w:rsidR="006E7DB0">
        <w:t>S</w:t>
      </w:r>
      <w:r w:rsidR="00B55FB6">
        <w:t xml:space="preserve"> </w:t>
      </w:r>
      <w:r>
        <w:t>through headspace services in 2019-20.</w:t>
      </w:r>
    </w:p>
    <w:p w14:paraId="76A636BB" w14:textId="48283735" w:rsidR="007240BC" w:rsidRDefault="007240BC" w:rsidP="007240BC">
      <w:pPr>
        <w:pStyle w:val="Caption"/>
      </w:pPr>
      <w:bookmarkStart w:id="57" w:name="_Ref95045099"/>
      <w:bookmarkStart w:id="58" w:name="_Toc108108959"/>
      <w:r>
        <w:t xml:space="preserve">Table </w:t>
      </w:r>
      <w:r>
        <w:fldChar w:fldCharType="begin"/>
      </w:r>
      <w:r>
        <w:instrText>SEQ Table \* ARABIC</w:instrText>
      </w:r>
      <w:r>
        <w:fldChar w:fldCharType="separate"/>
      </w:r>
      <w:r w:rsidR="00CC0438">
        <w:rPr>
          <w:noProof/>
        </w:rPr>
        <w:t>9</w:t>
      </w:r>
      <w:r>
        <w:fldChar w:fldCharType="end"/>
      </w:r>
      <w:bookmarkEnd w:id="57"/>
      <w:r>
        <w:t>: Overview of professions of headspace service staff during 2019-20</w:t>
      </w:r>
      <w:bookmarkEnd w:id="58"/>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professions of headspace service staff during FY2019-20"/>
        <w:tblDescription w:val="Table has 2 columns and outlines the professions of headspace service staff. Column 1 includes the types of service providers who delivered at least one occasion of service in the year, and column 2 indicates the proportion of total service providers who belong to that profession. &#10;"/>
      </w:tblPr>
      <w:tblGrid>
        <w:gridCol w:w="5388"/>
        <w:gridCol w:w="3682"/>
      </w:tblGrid>
      <w:tr w:rsidR="007240BC" w:rsidRPr="001D6913" w14:paraId="26B627F7" w14:textId="77777777" w:rsidTr="00396577">
        <w:trPr>
          <w:tblHeader/>
          <w:jc w:val="center"/>
        </w:trPr>
        <w:tc>
          <w:tcPr>
            <w:tcW w:w="2970" w:type="pct"/>
            <w:tcBorders>
              <w:bottom w:val="single" w:sz="4" w:space="0" w:color="00338D"/>
            </w:tcBorders>
            <w:shd w:val="clear" w:color="auto" w:fill="00338D"/>
          </w:tcPr>
          <w:p w14:paraId="618E8AF5" w14:textId="6811BB12" w:rsidR="007240BC" w:rsidRPr="001D6913" w:rsidRDefault="007240BC" w:rsidP="00396577">
            <w:pPr>
              <w:pStyle w:val="Tableheading"/>
            </w:pPr>
            <w:r>
              <w:t>Service providers who delivered at least one occasion</w:t>
            </w:r>
            <w:r w:rsidR="003924F3">
              <w:t> </w:t>
            </w:r>
            <w:r>
              <w:t>of service</w:t>
            </w:r>
          </w:p>
        </w:tc>
        <w:tc>
          <w:tcPr>
            <w:tcW w:w="2030" w:type="pct"/>
            <w:tcBorders>
              <w:bottom w:val="single" w:sz="4" w:space="0" w:color="00338D"/>
            </w:tcBorders>
            <w:shd w:val="clear" w:color="auto" w:fill="00338D"/>
          </w:tcPr>
          <w:p w14:paraId="3475CFEB" w14:textId="77777777" w:rsidR="007240BC" w:rsidRPr="001D6913" w:rsidRDefault="007240BC" w:rsidP="00396577">
            <w:pPr>
              <w:pStyle w:val="Tableheading"/>
              <w:jc w:val="center"/>
            </w:pPr>
            <w:r>
              <w:t>Proportion of total service providers</w:t>
            </w:r>
          </w:p>
        </w:tc>
      </w:tr>
      <w:tr w:rsidR="007240BC" w:rsidRPr="001D6913" w14:paraId="6226A436" w14:textId="77777777" w:rsidTr="00396577">
        <w:trPr>
          <w:jc w:val="center"/>
        </w:trPr>
        <w:tc>
          <w:tcPr>
            <w:tcW w:w="2970" w:type="pct"/>
            <w:tcBorders>
              <w:top w:val="single" w:sz="4" w:space="0" w:color="00338D"/>
              <w:bottom w:val="single" w:sz="2" w:space="0" w:color="808080" w:themeColor="background1" w:themeShade="80"/>
            </w:tcBorders>
            <w:vAlign w:val="bottom"/>
          </w:tcPr>
          <w:p w14:paraId="3527EE0C" w14:textId="77777777" w:rsidR="007240BC" w:rsidRPr="001D6913" w:rsidRDefault="007240BC" w:rsidP="00396577">
            <w:pPr>
              <w:pStyle w:val="Tabletext"/>
            </w:pPr>
            <w:r>
              <w:t>Psychologist</w:t>
            </w:r>
          </w:p>
        </w:tc>
        <w:tc>
          <w:tcPr>
            <w:tcW w:w="2030" w:type="pct"/>
            <w:tcBorders>
              <w:top w:val="single" w:sz="4" w:space="0" w:color="00338D"/>
              <w:bottom w:val="single" w:sz="2" w:space="0" w:color="808080" w:themeColor="background1" w:themeShade="80"/>
            </w:tcBorders>
            <w:vAlign w:val="bottom"/>
          </w:tcPr>
          <w:p w14:paraId="57E4087E" w14:textId="77777777" w:rsidR="007240BC" w:rsidRPr="001D6913" w:rsidRDefault="007240BC" w:rsidP="00396577">
            <w:pPr>
              <w:pStyle w:val="Tabletext"/>
              <w:jc w:val="center"/>
            </w:pPr>
            <w:r>
              <w:t>50%</w:t>
            </w:r>
          </w:p>
        </w:tc>
      </w:tr>
      <w:tr w:rsidR="007240BC" w:rsidRPr="001D6913" w14:paraId="418A975D" w14:textId="77777777" w:rsidTr="00396577">
        <w:trPr>
          <w:jc w:val="center"/>
        </w:trPr>
        <w:tc>
          <w:tcPr>
            <w:tcW w:w="2970" w:type="pct"/>
            <w:tcBorders>
              <w:top w:val="single" w:sz="2" w:space="0" w:color="808080" w:themeColor="background1" w:themeShade="80"/>
              <w:bottom w:val="single" w:sz="2" w:space="0" w:color="808080" w:themeColor="background1" w:themeShade="80"/>
            </w:tcBorders>
            <w:vAlign w:val="bottom"/>
          </w:tcPr>
          <w:p w14:paraId="7F768EAB" w14:textId="77777777" w:rsidR="007240BC" w:rsidRPr="001D6913" w:rsidRDefault="007240BC" w:rsidP="00396577">
            <w:pPr>
              <w:pStyle w:val="Tabletext"/>
            </w:pPr>
            <w:r>
              <w:t>Social worker</w:t>
            </w:r>
          </w:p>
        </w:tc>
        <w:tc>
          <w:tcPr>
            <w:tcW w:w="2030" w:type="pct"/>
            <w:tcBorders>
              <w:top w:val="single" w:sz="2" w:space="0" w:color="808080" w:themeColor="background1" w:themeShade="80"/>
              <w:bottom w:val="single" w:sz="2" w:space="0" w:color="808080" w:themeColor="background1" w:themeShade="80"/>
            </w:tcBorders>
            <w:vAlign w:val="bottom"/>
          </w:tcPr>
          <w:p w14:paraId="024C3B46" w14:textId="77777777" w:rsidR="007240BC" w:rsidRPr="001D6913" w:rsidRDefault="007240BC" w:rsidP="00396577">
            <w:pPr>
              <w:pStyle w:val="Tabletext"/>
              <w:jc w:val="center"/>
            </w:pPr>
            <w:r>
              <w:t>20%</w:t>
            </w:r>
          </w:p>
        </w:tc>
      </w:tr>
      <w:tr w:rsidR="007240BC" w:rsidRPr="001D6913" w14:paraId="227E5C77" w14:textId="77777777" w:rsidTr="00396577">
        <w:trPr>
          <w:jc w:val="center"/>
        </w:trPr>
        <w:tc>
          <w:tcPr>
            <w:tcW w:w="2970" w:type="pct"/>
            <w:tcBorders>
              <w:top w:val="single" w:sz="2" w:space="0" w:color="808080" w:themeColor="background1" w:themeShade="80"/>
              <w:bottom w:val="single" w:sz="2" w:space="0" w:color="808080" w:themeColor="background1" w:themeShade="80"/>
            </w:tcBorders>
            <w:vAlign w:val="bottom"/>
          </w:tcPr>
          <w:p w14:paraId="7CDDA7B2" w14:textId="77777777" w:rsidR="007240BC" w:rsidRPr="001D6913" w:rsidRDefault="007240BC" w:rsidP="00396577">
            <w:pPr>
              <w:pStyle w:val="Tabletext"/>
            </w:pPr>
            <w:r>
              <w:t>Medical Practitioner</w:t>
            </w:r>
          </w:p>
        </w:tc>
        <w:tc>
          <w:tcPr>
            <w:tcW w:w="2030" w:type="pct"/>
            <w:tcBorders>
              <w:top w:val="single" w:sz="2" w:space="0" w:color="808080" w:themeColor="background1" w:themeShade="80"/>
              <w:bottom w:val="single" w:sz="2" w:space="0" w:color="808080" w:themeColor="background1" w:themeShade="80"/>
            </w:tcBorders>
            <w:vAlign w:val="bottom"/>
          </w:tcPr>
          <w:p w14:paraId="5E77517F" w14:textId="77777777" w:rsidR="007240BC" w:rsidRPr="001D6913" w:rsidRDefault="007240BC" w:rsidP="00396577">
            <w:pPr>
              <w:pStyle w:val="Tabletext"/>
              <w:jc w:val="center"/>
            </w:pPr>
            <w:r>
              <w:t>8%</w:t>
            </w:r>
          </w:p>
        </w:tc>
      </w:tr>
      <w:tr w:rsidR="007240BC" w:rsidRPr="001D6913" w14:paraId="520E7AFB" w14:textId="77777777" w:rsidTr="00396577">
        <w:trPr>
          <w:jc w:val="center"/>
        </w:trPr>
        <w:tc>
          <w:tcPr>
            <w:tcW w:w="2970" w:type="pct"/>
            <w:tcBorders>
              <w:top w:val="single" w:sz="2" w:space="0" w:color="808080" w:themeColor="background1" w:themeShade="80"/>
              <w:bottom w:val="single" w:sz="2" w:space="0" w:color="808080" w:themeColor="background1" w:themeShade="80"/>
            </w:tcBorders>
            <w:vAlign w:val="bottom"/>
          </w:tcPr>
          <w:p w14:paraId="64AE0736" w14:textId="77777777" w:rsidR="007240BC" w:rsidRPr="001D6913" w:rsidRDefault="007240BC" w:rsidP="00396577">
            <w:pPr>
              <w:pStyle w:val="Tabletext"/>
            </w:pPr>
            <w:r>
              <w:t>Counsellor</w:t>
            </w:r>
          </w:p>
        </w:tc>
        <w:tc>
          <w:tcPr>
            <w:tcW w:w="2030" w:type="pct"/>
            <w:tcBorders>
              <w:top w:val="single" w:sz="2" w:space="0" w:color="808080" w:themeColor="background1" w:themeShade="80"/>
              <w:bottom w:val="single" w:sz="2" w:space="0" w:color="808080" w:themeColor="background1" w:themeShade="80"/>
            </w:tcBorders>
            <w:vAlign w:val="bottom"/>
          </w:tcPr>
          <w:p w14:paraId="0357957C" w14:textId="77777777" w:rsidR="007240BC" w:rsidRPr="001D6913" w:rsidRDefault="007240BC" w:rsidP="00396577">
            <w:pPr>
              <w:pStyle w:val="Tabletext"/>
              <w:jc w:val="center"/>
            </w:pPr>
            <w:r>
              <w:t>7%</w:t>
            </w:r>
          </w:p>
        </w:tc>
      </w:tr>
      <w:tr w:rsidR="007240BC" w:rsidRPr="001D6913" w14:paraId="74CCFA76" w14:textId="77777777" w:rsidTr="00396577">
        <w:trPr>
          <w:jc w:val="center"/>
        </w:trPr>
        <w:tc>
          <w:tcPr>
            <w:tcW w:w="2970" w:type="pct"/>
            <w:tcBorders>
              <w:top w:val="single" w:sz="2" w:space="0" w:color="808080" w:themeColor="background1" w:themeShade="80"/>
              <w:bottom w:val="single" w:sz="2" w:space="0" w:color="808080" w:themeColor="background1" w:themeShade="80"/>
            </w:tcBorders>
            <w:vAlign w:val="bottom"/>
          </w:tcPr>
          <w:p w14:paraId="1090CD39" w14:textId="77777777" w:rsidR="007240BC" w:rsidRPr="001D6913" w:rsidRDefault="007240BC" w:rsidP="00396577">
            <w:pPr>
              <w:pStyle w:val="Tabletext"/>
            </w:pPr>
            <w:r>
              <w:t>Occupational therapist</w:t>
            </w:r>
          </w:p>
        </w:tc>
        <w:tc>
          <w:tcPr>
            <w:tcW w:w="2030" w:type="pct"/>
            <w:tcBorders>
              <w:top w:val="single" w:sz="2" w:space="0" w:color="808080" w:themeColor="background1" w:themeShade="80"/>
              <w:bottom w:val="single" w:sz="2" w:space="0" w:color="808080" w:themeColor="background1" w:themeShade="80"/>
            </w:tcBorders>
            <w:vAlign w:val="bottom"/>
          </w:tcPr>
          <w:p w14:paraId="1E1DB59D" w14:textId="77777777" w:rsidR="007240BC" w:rsidRPr="001D6913" w:rsidRDefault="007240BC" w:rsidP="00396577">
            <w:pPr>
              <w:pStyle w:val="Tabletext"/>
              <w:jc w:val="center"/>
            </w:pPr>
            <w:r>
              <w:t>6%</w:t>
            </w:r>
          </w:p>
        </w:tc>
      </w:tr>
      <w:tr w:rsidR="007240BC" w:rsidRPr="001D6913" w14:paraId="05791A66" w14:textId="77777777" w:rsidTr="00396577">
        <w:trPr>
          <w:jc w:val="center"/>
        </w:trPr>
        <w:tc>
          <w:tcPr>
            <w:tcW w:w="2970" w:type="pct"/>
            <w:tcBorders>
              <w:top w:val="single" w:sz="2" w:space="0" w:color="808080" w:themeColor="background1" w:themeShade="80"/>
              <w:bottom w:val="single" w:sz="2" w:space="0" w:color="808080" w:themeColor="background1" w:themeShade="80"/>
            </w:tcBorders>
            <w:vAlign w:val="bottom"/>
          </w:tcPr>
          <w:p w14:paraId="76B16412" w14:textId="77777777" w:rsidR="007240BC" w:rsidRPr="001D6913" w:rsidRDefault="007240BC" w:rsidP="00396577">
            <w:pPr>
              <w:pStyle w:val="Tabletext"/>
            </w:pPr>
            <w:r>
              <w:t>Dietitian</w:t>
            </w:r>
          </w:p>
        </w:tc>
        <w:tc>
          <w:tcPr>
            <w:tcW w:w="2030" w:type="pct"/>
            <w:tcBorders>
              <w:top w:val="single" w:sz="2" w:space="0" w:color="808080" w:themeColor="background1" w:themeShade="80"/>
              <w:bottom w:val="single" w:sz="2" w:space="0" w:color="808080" w:themeColor="background1" w:themeShade="80"/>
            </w:tcBorders>
            <w:vAlign w:val="bottom"/>
          </w:tcPr>
          <w:p w14:paraId="0E58F343" w14:textId="77777777" w:rsidR="007240BC" w:rsidRPr="001D6913" w:rsidRDefault="007240BC" w:rsidP="00396577">
            <w:pPr>
              <w:pStyle w:val="Tabletext"/>
              <w:jc w:val="center"/>
            </w:pPr>
            <w:r>
              <w:t>&lt;1%</w:t>
            </w:r>
          </w:p>
        </w:tc>
      </w:tr>
      <w:tr w:rsidR="007240BC" w:rsidRPr="001D6913" w14:paraId="776AD613" w14:textId="77777777" w:rsidTr="00396577">
        <w:trPr>
          <w:jc w:val="center"/>
        </w:trPr>
        <w:tc>
          <w:tcPr>
            <w:tcW w:w="2970" w:type="pct"/>
            <w:tcBorders>
              <w:top w:val="single" w:sz="2" w:space="0" w:color="808080" w:themeColor="background1" w:themeShade="80"/>
              <w:bottom w:val="single" w:sz="2" w:space="0" w:color="808080" w:themeColor="background1" w:themeShade="80"/>
            </w:tcBorders>
            <w:vAlign w:val="bottom"/>
          </w:tcPr>
          <w:p w14:paraId="11F6725B" w14:textId="77777777" w:rsidR="007240BC" w:rsidRPr="001D6913" w:rsidRDefault="007240BC" w:rsidP="00396577">
            <w:pPr>
              <w:pStyle w:val="Tabletext"/>
            </w:pPr>
            <w:r>
              <w:t>Peer Worker</w:t>
            </w:r>
          </w:p>
        </w:tc>
        <w:tc>
          <w:tcPr>
            <w:tcW w:w="2030" w:type="pct"/>
            <w:tcBorders>
              <w:top w:val="single" w:sz="2" w:space="0" w:color="808080" w:themeColor="background1" w:themeShade="80"/>
              <w:bottom w:val="single" w:sz="2" w:space="0" w:color="808080" w:themeColor="background1" w:themeShade="80"/>
            </w:tcBorders>
            <w:vAlign w:val="bottom"/>
          </w:tcPr>
          <w:p w14:paraId="368DC27C" w14:textId="77777777" w:rsidR="007240BC" w:rsidRPr="001D6913" w:rsidRDefault="007240BC" w:rsidP="00396577">
            <w:pPr>
              <w:pStyle w:val="Tabletext"/>
              <w:jc w:val="center"/>
            </w:pPr>
            <w:r>
              <w:t>&lt;1%</w:t>
            </w:r>
          </w:p>
        </w:tc>
      </w:tr>
      <w:tr w:rsidR="007240BC" w:rsidRPr="001D6913" w14:paraId="0C7E5D03" w14:textId="77777777" w:rsidTr="00396577">
        <w:trPr>
          <w:jc w:val="center"/>
        </w:trPr>
        <w:tc>
          <w:tcPr>
            <w:tcW w:w="2970" w:type="pct"/>
            <w:tcBorders>
              <w:top w:val="single" w:sz="2" w:space="0" w:color="808080" w:themeColor="background1" w:themeShade="80"/>
              <w:bottom w:val="single" w:sz="2" w:space="0" w:color="808080" w:themeColor="background1" w:themeShade="80"/>
            </w:tcBorders>
            <w:vAlign w:val="bottom"/>
          </w:tcPr>
          <w:p w14:paraId="58A39E99" w14:textId="77777777" w:rsidR="007240BC" w:rsidRPr="001D6913" w:rsidRDefault="007240BC" w:rsidP="00396577">
            <w:pPr>
              <w:pStyle w:val="Tabletext"/>
            </w:pPr>
            <w:r>
              <w:t>Aboriginal or Torres Strait Islander health/wellbeing worker</w:t>
            </w:r>
          </w:p>
        </w:tc>
        <w:tc>
          <w:tcPr>
            <w:tcW w:w="2030" w:type="pct"/>
            <w:tcBorders>
              <w:top w:val="single" w:sz="2" w:space="0" w:color="808080" w:themeColor="background1" w:themeShade="80"/>
              <w:bottom w:val="single" w:sz="2" w:space="0" w:color="808080" w:themeColor="background1" w:themeShade="80"/>
            </w:tcBorders>
            <w:vAlign w:val="bottom"/>
          </w:tcPr>
          <w:p w14:paraId="18082BA0" w14:textId="77777777" w:rsidR="007240BC" w:rsidRPr="001D6913" w:rsidRDefault="007240BC" w:rsidP="00396577">
            <w:pPr>
              <w:pStyle w:val="Tabletext"/>
              <w:jc w:val="center"/>
            </w:pPr>
            <w:r>
              <w:t>&lt;1%</w:t>
            </w:r>
          </w:p>
        </w:tc>
      </w:tr>
      <w:tr w:rsidR="007240BC" w:rsidRPr="001D6913" w14:paraId="6DB3A703" w14:textId="77777777" w:rsidTr="00396577">
        <w:trPr>
          <w:jc w:val="center"/>
        </w:trPr>
        <w:tc>
          <w:tcPr>
            <w:tcW w:w="2970" w:type="pct"/>
            <w:tcBorders>
              <w:top w:val="single" w:sz="2" w:space="0" w:color="808080" w:themeColor="background1" w:themeShade="80"/>
              <w:bottom w:val="single" w:sz="2" w:space="0" w:color="808080" w:themeColor="background1" w:themeShade="80"/>
            </w:tcBorders>
            <w:vAlign w:val="bottom"/>
          </w:tcPr>
          <w:p w14:paraId="66C3054B" w14:textId="77777777" w:rsidR="007240BC" w:rsidRDefault="007240BC" w:rsidP="00396577">
            <w:pPr>
              <w:pStyle w:val="Tabletext"/>
            </w:pPr>
            <w:r>
              <w:t>Management</w:t>
            </w:r>
          </w:p>
        </w:tc>
        <w:tc>
          <w:tcPr>
            <w:tcW w:w="2030" w:type="pct"/>
            <w:tcBorders>
              <w:top w:val="single" w:sz="2" w:space="0" w:color="808080" w:themeColor="background1" w:themeShade="80"/>
              <w:bottom w:val="single" w:sz="2" w:space="0" w:color="808080" w:themeColor="background1" w:themeShade="80"/>
            </w:tcBorders>
            <w:vAlign w:val="bottom"/>
          </w:tcPr>
          <w:p w14:paraId="62AEF9D7" w14:textId="77777777" w:rsidR="007240BC" w:rsidRDefault="007240BC" w:rsidP="00396577">
            <w:pPr>
              <w:pStyle w:val="Tabletext"/>
              <w:jc w:val="center"/>
            </w:pPr>
            <w:r>
              <w:t>&lt;1%</w:t>
            </w:r>
          </w:p>
        </w:tc>
      </w:tr>
      <w:tr w:rsidR="007240BC" w:rsidRPr="001D6913" w14:paraId="512DC4DA" w14:textId="77777777" w:rsidTr="00396577">
        <w:trPr>
          <w:jc w:val="center"/>
        </w:trPr>
        <w:tc>
          <w:tcPr>
            <w:tcW w:w="2970" w:type="pct"/>
            <w:tcBorders>
              <w:top w:val="single" w:sz="2" w:space="0" w:color="808080" w:themeColor="background1" w:themeShade="80"/>
              <w:bottom w:val="single" w:sz="2" w:space="0" w:color="808080" w:themeColor="background1" w:themeShade="80"/>
            </w:tcBorders>
            <w:vAlign w:val="bottom"/>
          </w:tcPr>
          <w:p w14:paraId="201B0C3D" w14:textId="77777777" w:rsidR="007240BC" w:rsidRDefault="007240BC" w:rsidP="00396577">
            <w:pPr>
              <w:pStyle w:val="Tabletext"/>
            </w:pPr>
            <w:r>
              <w:t>Other qualifications</w:t>
            </w:r>
          </w:p>
        </w:tc>
        <w:tc>
          <w:tcPr>
            <w:tcW w:w="2030" w:type="pct"/>
            <w:tcBorders>
              <w:top w:val="single" w:sz="2" w:space="0" w:color="808080" w:themeColor="background1" w:themeShade="80"/>
              <w:bottom w:val="single" w:sz="2" w:space="0" w:color="808080" w:themeColor="background1" w:themeShade="80"/>
            </w:tcBorders>
            <w:vAlign w:val="bottom"/>
          </w:tcPr>
          <w:p w14:paraId="48B1343C" w14:textId="77777777" w:rsidR="007240BC" w:rsidRDefault="007240BC" w:rsidP="00396577">
            <w:pPr>
              <w:pStyle w:val="Tabletext"/>
              <w:keepNext/>
              <w:jc w:val="center"/>
            </w:pPr>
            <w:r>
              <w:t>8%</w:t>
            </w:r>
          </w:p>
        </w:tc>
      </w:tr>
    </w:tbl>
    <w:p w14:paraId="63E5BDFA" w14:textId="19B8E1F1" w:rsidR="007240BC" w:rsidRDefault="007240BC" w:rsidP="007240BC">
      <w:pPr>
        <w:pStyle w:val="Source"/>
      </w:pPr>
      <w:r>
        <w:t xml:space="preserve">Source: KPMG analysis of </w:t>
      </w:r>
      <w:r w:rsidR="00DD3F6A">
        <w:t>hMDS</w:t>
      </w:r>
    </w:p>
    <w:p w14:paraId="08B5113D" w14:textId="0518B120" w:rsidR="00027207" w:rsidRDefault="005A3D04" w:rsidP="00810754">
      <w:pPr>
        <w:pStyle w:val="BodyText"/>
      </w:pPr>
      <w:r>
        <w:t>Lead agenc</w:t>
      </w:r>
      <w:r w:rsidR="0049648F">
        <w:t>ies</w:t>
      </w:r>
      <w:r>
        <w:t xml:space="preserve"> and headspace service representatives</w:t>
      </w:r>
      <w:r w:rsidR="0049648F">
        <w:t xml:space="preserve"> were also asked to complete a survey as part of the evaluation. More information on this survey, including the </w:t>
      </w:r>
      <w:r w:rsidR="00791E47">
        <w:t>sampling approach and respondents</w:t>
      </w:r>
      <w:r w:rsidR="0076526D">
        <w:t>,</w:t>
      </w:r>
      <w:r w:rsidR="00791E47">
        <w:t xml:space="preserve"> can be found </w:t>
      </w:r>
      <w:r w:rsidR="003E68FA">
        <w:t>at</w:t>
      </w:r>
      <w:r w:rsidR="00791E47">
        <w:t xml:space="preserve"> </w:t>
      </w:r>
      <w:r w:rsidR="0076526D">
        <w:t xml:space="preserve">Appendix </w:t>
      </w:r>
      <w:r w:rsidR="00D62DF3">
        <w:fldChar w:fldCharType="begin" w:fldLock="1"/>
      </w:r>
      <w:r w:rsidR="00D62DF3">
        <w:instrText xml:space="preserve"> REF _Ref102403866 \r \h </w:instrText>
      </w:r>
      <w:r w:rsidR="00D62DF3">
        <w:fldChar w:fldCharType="separate"/>
      </w:r>
      <w:r w:rsidR="00D62DF3">
        <w:t>A.3</w:t>
      </w:r>
      <w:r w:rsidR="00D62DF3">
        <w:fldChar w:fldCharType="end"/>
      </w:r>
      <w:r w:rsidR="00D2533F">
        <w:t>. Lead agency and headspace service representatives</w:t>
      </w:r>
      <w:r>
        <w:t xml:space="preserve"> who completed the survey </w:t>
      </w:r>
      <w:r w:rsidR="001C62C6">
        <w:t xml:space="preserve">provided additional context </w:t>
      </w:r>
      <w:r w:rsidR="000F6910">
        <w:t>to their current staffing mix.</w:t>
      </w:r>
      <w:r w:rsidR="00CA6DB5">
        <w:t xml:space="preserve"> </w:t>
      </w:r>
      <w:r w:rsidR="0081576D">
        <w:t>Aside from management and administrati</w:t>
      </w:r>
      <w:r w:rsidR="006F291A">
        <w:t>ve</w:t>
      </w:r>
      <w:r w:rsidR="0081576D">
        <w:t xml:space="preserve"> staff, t</w:t>
      </w:r>
      <w:r w:rsidR="00106675">
        <w:t>hese respondents most commonly reported</w:t>
      </w:r>
      <w:r w:rsidR="0081576D">
        <w:t xml:space="preserve"> </w:t>
      </w:r>
      <w:r w:rsidR="00675D72">
        <w:t>psychologists</w:t>
      </w:r>
      <w:r w:rsidR="00F65DC3">
        <w:t xml:space="preserve">, </w:t>
      </w:r>
      <w:r w:rsidR="00597E17">
        <w:t xml:space="preserve">counsellors, </w:t>
      </w:r>
      <w:r w:rsidR="00F65DC3">
        <w:t xml:space="preserve">GPs, and nurses as part of their workforce. </w:t>
      </w:r>
      <w:r w:rsidR="00597E17">
        <w:t>Other staff report</w:t>
      </w:r>
      <w:r w:rsidR="0013304B">
        <w:t>e</w:t>
      </w:r>
      <w:r w:rsidR="00597E17">
        <w:t xml:space="preserve">d included </w:t>
      </w:r>
      <w:r w:rsidR="00D7206A">
        <w:t xml:space="preserve">social workers, </w:t>
      </w:r>
      <w:r w:rsidR="00597E17">
        <w:t>dietitians, occupational therapists, community engagement workers,</w:t>
      </w:r>
      <w:r w:rsidR="006A68EE">
        <w:t xml:space="preserve"> </w:t>
      </w:r>
      <w:r w:rsidR="00F32C54">
        <w:t xml:space="preserve">youth workers, </w:t>
      </w:r>
      <w:r w:rsidR="006A68EE">
        <w:t>peer workers,</w:t>
      </w:r>
      <w:r w:rsidR="002E7CEB">
        <w:t xml:space="preserve"> AOD and vocational spe</w:t>
      </w:r>
      <w:r w:rsidR="005740CD">
        <w:t>cialists, youth access workers, exercise physiologists,</w:t>
      </w:r>
      <w:r w:rsidR="006B4151">
        <w:t xml:space="preserve"> paediatricians,</w:t>
      </w:r>
      <w:r w:rsidR="00820AAA">
        <w:t xml:space="preserve"> new access coaches, support coordinator</w:t>
      </w:r>
      <w:r w:rsidR="00597E17">
        <w:t xml:space="preserve"> and specific cultural </w:t>
      </w:r>
      <w:r w:rsidR="00D7206A">
        <w:t>wellbeing workers.</w:t>
      </w:r>
      <w:r w:rsidR="0013304B">
        <w:t xml:space="preserve"> </w:t>
      </w:r>
      <w:r w:rsidR="00E33F07">
        <w:t xml:space="preserve">There </w:t>
      </w:r>
      <w:r w:rsidR="000B7147">
        <w:t xml:space="preserve">were some differences between professions reported between headspace services in different locations. </w:t>
      </w:r>
      <w:r w:rsidR="00910AF7">
        <w:t>Eighty</w:t>
      </w:r>
      <w:r w:rsidR="00E5004C">
        <w:noBreakHyphen/>
      </w:r>
      <w:r w:rsidR="00910AF7">
        <w:t xml:space="preserve">six per cent of metropolitan services reported having a </w:t>
      </w:r>
      <w:r w:rsidR="003924F3">
        <w:t>p</w:t>
      </w:r>
      <w:r w:rsidR="00910AF7">
        <w:t>sychologist, compared to 94 per cent of regional services and 54 per cent of rural and remote services.</w:t>
      </w:r>
      <w:r w:rsidR="00201816">
        <w:t xml:space="preserve"> All </w:t>
      </w:r>
      <w:r w:rsidR="0005141C">
        <w:t>four</w:t>
      </w:r>
      <w:r w:rsidR="00201816">
        <w:t xml:space="preserve"> satellite </w:t>
      </w:r>
      <w:r w:rsidR="0005141C">
        <w:t xml:space="preserve">service </w:t>
      </w:r>
      <w:r w:rsidR="00201816">
        <w:t>respondents indicated their centre either had a psychologist or psychiatrist</w:t>
      </w:r>
      <w:r w:rsidR="008E6DA1">
        <w:t xml:space="preserve"> on staff.</w:t>
      </w:r>
      <w:r w:rsidR="00910AF7">
        <w:t xml:space="preserve"> </w:t>
      </w:r>
    </w:p>
    <w:p w14:paraId="1AC6D7B7" w14:textId="65915819" w:rsidR="002368BD" w:rsidRDefault="00CF7F20" w:rsidP="00810754">
      <w:pPr>
        <w:pStyle w:val="BodyText"/>
      </w:pPr>
      <w:r>
        <w:t xml:space="preserve">The survey also asked representatives to indicate </w:t>
      </w:r>
      <w:r w:rsidR="00DE5DF2">
        <w:t>the specific</w:t>
      </w:r>
      <w:r>
        <w:t xml:space="preserve"> professions </w:t>
      </w:r>
      <w:r w:rsidR="00DE5DF2">
        <w:t xml:space="preserve">where there is a shortage of workers, and </w:t>
      </w:r>
      <w:r w:rsidR="003924F3">
        <w:t xml:space="preserve">where </w:t>
      </w:r>
      <w:r w:rsidR="00DE5DF2">
        <w:t xml:space="preserve">they cannot access </w:t>
      </w:r>
      <w:r w:rsidR="00280502">
        <w:t xml:space="preserve">sufficient </w:t>
      </w:r>
      <w:r w:rsidR="00DE5DF2">
        <w:t xml:space="preserve">staff. </w:t>
      </w:r>
      <w:r w:rsidR="00D4791D">
        <w:fldChar w:fldCharType="begin" w:fldLock="1"/>
      </w:r>
      <w:r w:rsidR="00D4791D">
        <w:instrText xml:space="preserve"> REF _Ref95046340 \h </w:instrText>
      </w:r>
      <w:r w:rsidR="00D4791D">
        <w:fldChar w:fldCharType="separate"/>
      </w:r>
      <w:r w:rsidR="00AE4D34">
        <w:t xml:space="preserve">Figure </w:t>
      </w:r>
      <w:r w:rsidR="00AE4D34">
        <w:rPr>
          <w:noProof/>
        </w:rPr>
        <w:t>9</w:t>
      </w:r>
      <w:r w:rsidR="00D4791D">
        <w:fldChar w:fldCharType="end"/>
      </w:r>
      <w:r w:rsidR="00D4791D">
        <w:t xml:space="preserve"> below</w:t>
      </w:r>
      <w:r w:rsidR="0008538E">
        <w:t xml:space="preserve"> </w:t>
      </w:r>
      <w:r w:rsidR="00500A5D">
        <w:t xml:space="preserve">demonstrates responses to </w:t>
      </w:r>
      <w:r w:rsidR="007F1A1F">
        <w:t>this question</w:t>
      </w:r>
      <w:r w:rsidR="00500A5D">
        <w:t xml:space="preserve">. The </w:t>
      </w:r>
      <w:r w:rsidR="009F42A3">
        <w:t>professions where responde</w:t>
      </w:r>
      <w:r w:rsidR="003242E1">
        <w:t>nt</w:t>
      </w:r>
      <w:r w:rsidR="009F42A3">
        <w:t>s</w:t>
      </w:r>
      <w:r w:rsidR="00F12618">
        <w:t xml:space="preserve"> most consistently</w:t>
      </w:r>
      <w:r w:rsidR="009F42A3">
        <w:t xml:space="preserve"> indicated they have </w:t>
      </w:r>
      <w:r w:rsidR="003242E1">
        <w:t xml:space="preserve">challenges accessing staff are </w:t>
      </w:r>
      <w:r w:rsidR="00675D72">
        <w:t>psychologists</w:t>
      </w:r>
      <w:r w:rsidR="00F12618">
        <w:t xml:space="preserve"> and GPs, followed by </w:t>
      </w:r>
      <w:r w:rsidR="003924F3">
        <w:t>p</w:t>
      </w:r>
      <w:r w:rsidR="00F12618">
        <w:t>sychiatrists.</w:t>
      </w:r>
      <w:r w:rsidR="00614515">
        <w:t xml:space="preserve"> </w:t>
      </w:r>
      <w:r w:rsidR="00E635B5">
        <w:t xml:space="preserve">Around </w:t>
      </w:r>
      <w:r w:rsidR="00263FC7">
        <w:t xml:space="preserve">78 per cent </w:t>
      </w:r>
      <w:r w:rsidR="00630FBC">
        <w:t xml:space="preserve">of respondents from </w:t>
      </w:r>
      <w:r w:rsidR="00263FC7">
        <w:t>metro</w:t>
      </w:r>
      <w:r w:rsidR="005926D0">
        <w:t>politan services</w:t>
      </w:r>
      <w:r w:rsidR="00263FC7">
        <w:t xml:space="preserve">, </w:t>
      </w:r>
      <w:r w:rsidR="00AF3C91">
        <w:t xml:space="preserve">77 per cent </w:t>
      </w:r>
      <w:r w:rsidR="005926D0">
        <w:t>of res</w:t>
      </w:r>
      <w:r w:rsidR="00E635B5">
        <w:t>p</w:t>
      </w:r>
      <w:r w:rsidR="005926D0">
        <w:t xml:space="preserve">ondents from regional services, and </w:t>
      </w:r>
      <w:r w:rsidR="00630FBC">
        <w:t>61</w:t>
      </w:r>
      <w:r w:rsidR="009C2C8C">
        <w:t xml:space="preserve"> </w:t>
      </w:r>
      <w:r w:rsidR="00630FBC">
        <w:t xml:space="preserve">per cent </w:t>
      </w:r>
      <w:r w:rsidR="005926D0">
        <w:t xml:space="preserve">of respondents from </w:t>
      </w:r>
      <w:r w:rsidR="00630FBC">
        <w:t>rural and remote</w:t>
      </w:r>
      <w:r w:rsidR="005926D0">
        <w:t xml:space="preserve"> services reported challenges accessing psychologists</w:t>
      </w:r>
      <w:r w:rsidR="00630FBC">
        <w:t xml:space="preserve">. </w:t>
      </w:r>
      <w:r w:rsidR="006E5701">
        <w:t xml:space="preserve">This differed to responses regarding GPs, where </w:t>
      </w:r>
      <w:r w:rsidR="00875A91">
        <w:t xml:space="preserve">respondents indicated greater </w:t>
      </w:r>
      <w:r w:rsidR="006E5701">
        <w:t>challenges in rural and remote services (</w:t>
      </w:r>
      <w:r w:rsidR="00E623A5">
        <w:t>85 per cent), compared to regional services (</w:t>
      </w:r>
      <w:r w:rsidR="005651E3">
        <w:t>71 per cent) and metropolitan services (</w:t>
      </w:r>
      <w:r w:rsidR="007A6BA9">
        <w:t>57 per cent).</w:t>
      </w:r>
    </w:p>
    <w:p w14:paraId="4EA3FB96" w14:textId="3856677D" w:rsidR="00EA00F8" w:rsidRPr="00EA00F8" w:rsidRDefault="00982EA2" w:rsidP="00EA00F8">
      <w:pPr>
        <w:pStyle w:val="Caption"/>
      </w:pPr>
      <w:bookmarkStart w:id="59" w:name="_Ref95046340"/>
      <w:bookmarkStart w:id="60" w:name="_Ref94966422"/>
      <w:bookmarkStart w:id="61" w:name="_Toc108109194"/>
      <w:r>
        <w:t xml:space="preserve">Figure </w:t>
      </w:r>
      <w:r>
        <w:fldChar w:fldCharType="begin"/>
      </w:r>
      <w:r>
        <w:instrText>SEQ Figure \* ARABIC</w:instrText>
      </w:r>
      <w:r>
        <w:fldChar w:fldCharType="separate"/>
      </w:r>
      <w:r w:rsidR="00CC0438">
        <w:rPr>
          <w:noProof/>
        </w:rPr>
        <w:t>9</w:t>
      </w:r>
      <w:r>
        <w:fldChar w:fldCharType="end"/>
      </w:r>
      <w:bookmarkEnd w:id="59"/>
      <w:r w:rsidR="00D4791D">
        <w:rPr>
          <w:noProof/>
        </w:rPr>
        <w:t>:</w:t>
      </w:r>
      <w:r>
        <w:t xml:space="preserve"> Proportion of headspace service and lead agency respondents indicating </w:t>
      </w:r>
      <w:r w:rsidR="003924F3">
        <w:t xml:space="preserve">the </w:t>
      </w:r>
      <w:r>
        <w:t xml:space="preserve">profession was difficult to </w:t>
      </w:r>
      <w:r w:rsidR="004568CB">
        <w:t>access</w:t>
      </w:r>
      <w:r>
        <w:t xml:space="preserve"> for their local </w:t>
      </w:r>
      <w:bookmarkEnd w:id="60"/>
      <w:r w:rsidR="007C3BB7">
        <w:t>service</w:t>
      </w:r>
      <w:bookmarkEnd w:id="61"/>
    </w:p>
    <w:p w14:paraId="6EC13AE3" w14:textId="294F2C51" w:rsidR="007C0604" w:rsidRPr="007C0604" w:rsidRDefault="007C0604" w:rsidP="00CB5F9A">
      <w:r>
        <w:rPr>
          <w:noProof/>
        </w:rPr>
        <w:drawing>
          <wp:inline distT="0" distB="0" distL="0" distR="0" wp14:anchorId="186B0C6F" wp14:editId="619B8520">
            <wp:extent cx="5037455" cy="3234055"/>
            <wp:effectExtent l="0" t="0" r="0" b="4445"/>
            <wp:docPr id="32" name="Picture 32" descr="Figure 9 is a bar chart, summarising professions that are potentially hard to recruit for. &#10;75% of respondents indicated recruiting psychologists was difficult.&#10;70% of service respondents indicated recruiting GPs&#10;51% of respondents indicated recruiting psychiatrists was difficult&#10;39% of respondents indicated recruiting occupational therapists was difficult&#10;38% of respondents indicated recruiting social workers was difficult&#10;27% of respondents indicated recruiting nurses was difficult&#10;21% of respondents indicated recruiting dietitians was difficult&#10;14% of respondents indicated recruiting counsellors was difficult&#10;4% of respondents indicated that recruiting administrators was difficu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9 is a bar chart, summarising professions that are potentially hard to recruit for. &#10;75% of respondents indicated recruiting psychologists was difficult.&#10;70% of service respondents indicated recruiting GPs&#10;51% of respondents indicated recruiting psychiatrists was difficult&#10;39% of respondents indicated recruiting occupational therapists was difficult&#10;38% of respondents indicated recruiting social workers was difficult&#10;27% of respondents indicated recruiting nurses was difficult&#10;21% of respondents indicated recruiting dietitians was difficult&#10;14% of respondents indicated recruiting counsellors was difficult&#10;4% of respondents indicated that recruiting administrators was difficult.&#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04F805EB" w14:textId="585A4F7A" w:rsidR="00CF7F20" w:rsidRPr="00027207" w:rsidRDefault="00BF6C6F" w:rsidP="00BF6C6F">
      <w:pPr>
        <w:pStyle w:val="Source"/>
      </w:pPr>
      <w:r>
        <w:t>Source: KPMG analysis of the survey of headspace services and lead agencies</w:t>
      </w:r>
    </w:p>
    <w:p w14:paraId="7FB61767" w14:textId="77777777" w:rsidR="007240BC" w:rsidRPr="009308DC" w:rsidRDefault="007240BC" w:rsidP="003941C8">
      <w:pPr>
        <w:pStyle w:val="Heading3"/>
      </w:pPr>
      <w:bookmarkStart w:id="62" w:name="_Ref95039690"/>
      <w:r w:rsidRPr="009308DC">
        <w:t>Services provided by headspace services</w:t>
      </w:r>
      <w:bookmarkEnd w:id="62"/>
    </w:p>
    <w:p w14:paraId="07ACC6BA" w14:textId="77777777" w:rsidR="007240BC" w:rsidRPr="009308DC" w:rsidRDefault="007240BC" w:rsidP="00ED3129">
      <w:pPr>
        <w:pStyle w:val="Heading4"/>
      </w:pPr>
      <w:r w:rsidRPr="009308DC">
        <w:t>Services provided by headspace overall</w:t>
      </w:r>
    </w:p>
    <w:p w14:paraId="5485F867" w14:textId="26B54074" w:rsidR="00B16814" w:rsidRDefault="007240BC" w:rsidP="00A25CE7">
      <w:pPr>
        <w:pStyle w:val="BodyText"/>
      </w:pPr>
      <w:r w:rsidRPr="009308DC">
        <w:t>In 2019-20, headspace services provided support to 90,110 young people, over 103,082</w:t>
      </w:r>
      <w:r w:rsidR="00D15437">
        <w:t xml:space="preserve"> </w:t>
      </w:r>
      <w:r w:rsidRPr="009308DC">
        <w:t xml:space="preserve">episodes of care consisting </w:t>
      </w:r>
      <w:r w:rsidR="006F291A">
        <w:t xml:space="preserve">of </w:t>
      </w:r>
      <w:r w:rsidRPr="009308DC">
        <w:t xml:space="preserve">403,497 </w:t>
      </w:r>
      <w:r w:rsidR="002B3ABE">
        <w:t>OOS</w:t>
      </w:r>
      <w:r w:rsidR="00CC0438">
        <w:rPr>
          <w:rFonts w:ascii="ZWAdobeF" w:hAnsi="ZWAdobeF" w:cs="ZWAdobeF"/>
          <w:sz w:val="2"/>
          <w:szCs w:val="2"/>
        </w:rPr>
        <w:t>78F</w:t>
      </w:r>
      <w:r w:rsidRPr="009308DC">
        <w:rPr>
          <w:rStyle w:val="FootnoteReference"/>
        </w:rPr>
        <w:footnoteReference w:id="80"/>
      </w:r>
      <w:r w:rsidRPr="009308DC">
        <w:t xml:space="preserve">. Each episode of care consists of a set of consecutive </w:t>
      </w:r>
      <w:r w:rsidR="002B3ABE">
        <w:t>OOS</w:t>
      </w:r>
      <w:r w:rsidRPr="009308DC">
        <w:t xml:space="preserve">. As demonstrated in </w:t>
      </w:r>
      <w:r w:rsidR="006F291A">
        <w:fldChar w:fldCharType="begin" w:fldLock="1"/>
      </w:r>
      <w:r w:rsidR="006F291A">
        <w:instrText xml:space="preserve"> REF _Ref95046356 \h </w:instrText>
      </w:r>
      <w:r w:rsidR="006F291A">
        <w:fldChar w:fldCharType="separate"/>
      </w:r>
      <w:r w:rsidR="00AE4D34" w:rsidRPr="00E15B52">
        <w:t xml:space="preserve">Figure </w:t>
      </w:r>
      <w:r w:rsidR="00AE4D34">
        <w:rPr>
          <w:noProof/>
        </w:rPr>
        <w:t>10</w:t>
      </w:r>
      <w:r w:rsidR="006F291A">
        <w:fldChar w:fldCharType="end"/>
      </w:r>
      <w:r w:rsidR="006F291A">
        <w:t xml:space="preserve"> </w:t>
      </w:r>
      <w:r w:rsidRPr="009308DC">
        <w:t xml:space="preserve">below, mental health services make up the majority of supports provided by headspace services, followed by intake and assessment services. Intake and assessment </w:t>
      </w:r>
      <w:r w:rsidR="00983524">
        <w:t>services</w:t>
      </w:r>
      <w:r w:rsidRPr="009308DC">
        <w:t xml:space="preserve"> typically include the initial visit a young person will make to a headspace service, where service staff and service providers will undertake an initial assessment of their support needs. The majority of these intake services relate to young people seeking mental health supports, however a small proportion will also relate to young people seeking physical and sexual health, alcohol and other drug, or vocational supports. </w:t>
      </w:r>
      <w:r w:rsidR="005E4802">
        <w:t xml:space="preserve">Vocational supports </w:t>
      </w:r>
      <w:r w:rsidR="006972A8">
        <w:t xml:space="preserve">provided within headspace services and recorded in the hMDS include those </w:t>
      </w:r>
      <w:r w:rsidR="00B80F60">
        <w:t xml:space="preserve">provided through </w:t>
      </w:r>
      <w:r w:rsidR="009A0B1C">
        <w:t xml:space="preserve">the </w:t>
      </w:r>
      <w:r w:rsidR="00080644">
        <w:t>IPS</w:t>
      </w:r>
      <w:r w:rsidR="00B80F60">
        <w:t xml:space="preserve"> Program, </w:t>
      </w:r>
      <w:r w:rsidR="00C25FF2">
        <w:t xml:space="preserve">and </w:t>
      </w:r>
      <w:r w:rsidR="00B80F60">
        <w:t>delivered through headspace services</w:t>
      </w:r>
      <w:r w:rsidR="00C25FF2">
        <w:t xml:space="preserve"> as there is no separate flag for IPS services</w:t>
      </w:r>
      <w:r w:rsidR="004818E3">
        <w:t>.</w:t>
      </w:r>
    </w:p>
    <w:p w14:paraId="12773F1E" w14:textId="43B41938" w:rsidR="00B10B64" w:rsidRDefault="001851A7" w:rsidP="00A25CE7">
      <w:pPr>
        <w:pStyle w:val="BodyText"/>
      </w:pPr>
      <w:r>
        <w:t xml:space="preserve">For some headspace services, </w:t>
      </w:r>
      <w:r w:rsidR="00641D89">
        <w:t>s</w:t>
      </w:r>
      <w:r>
        <w:t xml:space="preserve">ingle </w:t>
      </w:r>
      <w:r w:rsidR="00641D89">
        <w:t>s</w:t>
      </w:r>
      <w:r>
        <w:t xml:space="preserve">ession </w:t>
      </w:r>
      <w:r w:rsidR="00641D89">
        <w:t>t</w:t>
      </w:r>
      <w:r>
        <w:t xml:space="preserve">herapy is being increasingly used as a dedicated </w:t>
      </w:r>
      <w:r w:rsidR="006470A5">
        <w:t xml:space="preserve">strategy to manage wait times </w:t>
      </w:r>
      <w:r w:rsidR="00055D3C">
        <w:t xml:space="preserve">for young people. </w:t>
      </w:r>
      <w:r w:rsidR="00315BD1">
        <w:t xml:space="preserve">Under this strategy used by some headspace services, young people receive </w:t>
      </w:r>
      <w:r w:rsidR="001F4649">
        <w:t>one session of clinical support</w:t>
      </w:r>
      <w:r w:rsidR="00C221E5">
        <w:t xml:space="preserve">. This approach to single sessions of therapy was implemented during the last year of this evaluation (2019-20), and </w:t>
      </w:r>
      <w:r w:rsidR="00C818C4">
        <w:t>sessions are not captured in a dedicated way in the hMDS</w:t>
      </w:r>
      <w:r w:rsidR="00B10B64">
        <w:t xml:space="preserve">, </w:t>
      </w:r>
      <w:r w:rsidR="00571E63">
        <w:t xml:space="preserve">therefore </w:t>
      </w:r>
      <w:r w:rsidR="00B10B64">
        <w:t xml:space="preserve">it is not possible to determine which </w:t>
      </w:r>
      <w:r w:rsidR="002B3ABE">
        <w:t>OOS</w:t>
      </w:r>
      <w:r w:rsidR="00B10B64">
        <w:t xml:space="preserve"> relate</w:t>
      </w:r>
      <w:r w:rsidR="00571E63">
        <w:t>s</w:t>
      </w:r>
      <w:r w:rsidR="00B10B64">
        <w:t xml:space="preserve"> to single session therapy. </w:t>
      </w:r>
    </w:p>
    <w:p w14:paraId="0A508E3D" w14:textId="5E54E9D3" w:rsidR="00A25CE7" w:rsidRPr="00A25CE7" w:rsidRDefault="00B10B64" w:rsidP="00A25CE7">
      <w:pPr>
        <w:pStyle w:val="BodyText"/>
      </w:pPr>
      <w:r>
        <w:t xml:space="preserve">For episodes of care </w:t>
      </w:r>
      <w:r w:rsidR="00B52C46">
        <w:t xml:space="preserve">created between July 2019 and June 2020 that had only one </w:t>
      </w:r>
      <w:r w:rsidR="000C7FBC">
        <w:t>OOS</w:t>
      </w:r>
      <w:r w:rsidR="00B52C46">
        <w:t xml:space="preserve"> recorded, </w:t>
      </w:r>
      <w:r w:rsidR="008C0D00">
        <w:t>65</w:t>
      </w:r>
      <w:r w:rsidR="00571E63">
        <w:t> </w:t>
      </w:r>
      <w:r w:rsidR="008C0D00">
        <w:t>per cent recorded an intake and assessment service type, rather than a clinical intervention.</w:t>
      </w:r>
      <w:r w:rsidR="0075623F">
        <w:t xml:space="preserve"> Almost 14 per cent of these single </w:t>
      </w:r>
      <w:r w:rsidR="000C7FBC">
        <w:t>OOS</w:t>
      </w:r>
      <w:r w:rsidR="0075623F">
        <w:t xml:space="preserve"> were recorded as mental health services.</w:t>
      </w:r>
      <w:r w:rsidR="00055D3C">
        <w:t xml:space="preserve"> </w:t>
      </w:r>
    </w:p>
    <w:p w14:paraId="3EC8C576" w14:textId="77777777" w:rsidR="00815DEF" w:rsidRDefault="00815DEF" w:rsidP="007240BC">
      <w:pPr>
        <w:pStyle w:val="BodyText"/>
      </w:pPr>
    </w:p>
    <w:p w14:paraId="4F6D6445" w14:textId="68AD509F" w:rsidR="007240BC" w:rsidRDefault="007240BC" w:rsidP="007240BC">
      <w:pPr>
        <w:pStyle w:val="Caption"/>
      </w:pPr>
      <w:bookmarkStart w:id="63" w:name="_Ref95046356"/>
      <w:bookmarkStart w:id="64" w:name="_Ref94972008"/>
      <w:bookmarkStart w:id="65" w:name="_Toc108109195"/>
      <w:r w:rsidRPr="00E15B52">
        <w:t xml:space="preserve">Figure </w:t>
      </w:r>
      <w:r>
        <w:fldChar w:fldCharType="begin"/>
      </w:r>
      <w:r>
        <w:instrText>SEQ Figure \* ARABIC</w:instrText>
      </w:r>
      <w:r>
        <w:fldChar w:fldCharType="separate"/>
      </w:r>
      <w:r w:rsidR="00CC0438">
        <w:rPr>
          <w:noProof/>
        </w:rPr>
        <w:t>10</w:t>
      </w:r>
      <w:r>
        <w:fldChar w:fldCharType="end"/>
      </w:r>
      <w:bookmarkEnd w:id="63"/>
      <w:r w:rsidRPr="006B3C29">
        <w:t>:</w:t>
      </w:r>
      <w:r w:rsidRPr="00E15B52">
        <w:t xml:space="preserve"> Services provided across </w:t>
      </w:r>
      <w:r>
        <w:t xml:space="preserve">every </w:t>
      </w:r>
      <w:r w:rsidRPr="00E15B52">
        <w:t xml:space="preserve">headspace </w:t>
      </w:r>
      <w:r>
        <w:t>O</w:t>
      </w:r>
      <w:r w:rsidR="00224AD8">
        <w:t>O</w:t>
      </w:r>
      <w:r>
        <w:t>S during</w:t>
      </w:r>
      <w:r w:rsidRPr="00E15B52">
        <w:t xml:space="preserve"> 2019-20</w:t>
      </w:r>
      <w:bookmarkEnd w:id="64"/>
      <w:bookmarkEnd w:id="65"/>
    </w:p>
    <w:p w14:paraId="394292FD" w14:textId="0E188457" w:rsidR="004F6970" w:rsidRPr="004F6970" w:rsidRDefault="004F6970" w:rsidP="00B728A9">
      <w:pPr>
        <w:rPr>
          <w:highlight w:val="yellow"/>
        </w:rPr>
      </w:pPr>
      <w:r>
        <w:rPr>
          <w:noProof/>
        </w:rPr>
        <w:drawing>
          <wp:inline distT="0" distB="0" distL="0" distR="0" wp14:anchorId="5DE15BE3" wp14:editId="209AF95D">
            <wp:extent cx="5037455" cy="5037455"/>
            <wp:effectExtent l="0" t="0" r="0" b="0"/>
            <wp:docPr id="100" name="Picture 100" descr="Figure 10 is a bar chart, summarising the percentage of all supports that were provided by headspace services in 2019-20 in different categories. &#10;Mental health services were 57.5%&#10;Intake/Assessment services were 23.7%&#10;Missing data items account for 7.5%&#10;Group work was 3.4%&#10;General Assistance was 2.9%&#10;Vocational services were 2.2%&#10;Physical and sexual health was 1.8%&#10;Family inclusive practice was 0.5% &#10;Alcohol and/or other drug specific intervention was 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Figure 10 is a bar chart, summarising the percentage of all supports that were provided by headspace services in 2019-20 in different categories. &#10;Mental health services were 57.5%&#10;Intake/Assessment services were 23.7%&#10;Missing data items account for 7.5%&#10;Group work was 3.4%&#10;General Assistance was 2.9%&#10;Vocational services were 2.2%&#10;Physical and sexual health was 1.8%&#10;Family inclusive practice was 0.5% &#10;Alcohol and/or other drug specific intervention was 0.4%&#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7455" cy="5037455"/>
                    </a:xfrm>
                    <a:prstGeom prst="rect">
                      <a:avLst/>
                    </a:prstGeom>
                    <a:noFill/>
                    <a:ln>
                      <a:noFill/>
                    </a:ln>
                  </pic:spPr>
                </pic:pic>
              </a:graphicData>
            </a:graphic>
          </wp:inline>
        </w:drawing>
      </w:r>
    </w:p>
    <w:p w14:paraId="1FEC4486" w14:textId="13063FB5" w:rsidR="007240BC" w:rsidRPr="00A23E65" w:rsidRDefault="007240BC" w:rsidP="00B728A9">
      <w:pPr>
        <w:pStyle w:val="Source"/>
      </w:pPr>
      <w:r w:rsidRPr="00A23E65">
        <w:t>Source: KPMG master dataset</w:t>
      </w:r>
    </w:p>
    <w:p w14:paraId="460D8E70" w14:textId="7ACB1944" w:rsidR="007240BC" w:rsidRPr="00A23E65" w:rsidRDefault="007240BC" w:rsidP="007240BC">
      <w:pPr>
        <w:pStyle w:val="Source"/>
      </w:pPr>
      <w:r w:rsidRPr="00A23E65">
        <w:t xml:space="preserve">Notes: See </w:t>
      </w:r>
      <w:r w:rsidR="00C2401C">
        <w:fldChar w:fldCharType="begin" w:fldLock="1"/>
      </w:r>
      <w:r w:rsidR="00C2401C">
        <w:instrText xml:space="preserve"> REF _Ref98402466 \r \h </w:instrText>
      </w:r>
      <w:r w:rsidR="00C2401C">
        <w:fldChar w:fldCharType="separate"/>
      </w:r>
      <w:r w:rsidR="00AE4D34">
        <w:t>Appendix F</w:t>
      </w:r>
      <w:r w:rsidR="00C2401C">
        <w:fldChar w:fldCharType="end"/>
      </w:r>
      <w:r w:rsidRPr="00A23E65">
        <w:t xml:space="preserve"> for a description o</w:t>
      </w:r>
      <w:r w:rsidR="007C442F">
        <w:t>f</w:t>
      </w:r>
      <w:r w:rsidRPr="00A23E65">
        <w:t xml:space="preserve"> how the master dataset is derived. </w:t>
      </w:r>
      <w:r w:rsidR="004A4759">
        <w:t>The s</w:t>
      </w:r>
      <w:r w:rsidRPr="00A23E65">
        <w:t>ample includes 403,497 occasions of service, 103,082 episodes and 90,110 young people.</w:t>
      </w:r>
      <w:r w:rsidR="004818E3">
        <w:t xml:space="preserve"> Vocational services include those provided through the </w:t>
      </w:r>
      <w:r w:rsidR="001D28E9">
        <w:t xml:space="preserve">IPS </w:t>
      </w:r>
      <w:r w:rsidR="00182A6F">
        <w:t>P</w:t>
      </w:r>
      <w:r w:rsidR="001D28E9">
        <w:t>rogram.</w:t>
      </w:r>
    </w:p>
    <w:p w14:paraId="111E3CA7" w14:textId="14E8A742" w:rsidR="007240BC" w:rsidRDefault="007240BC" w:rsidP="007240BC">
      <w:pPr>
        <w:pStyle w:val="BodyText"/>
      </w:pPr>
      <w:r>
        <w:t xml:space="preserve">In 2019-20, new data collection was also introduced to record </w:t>
      </w:r>
      <w:r w:rsidR="004A4759">
        <w:t xml:space="preserve">to </w:t>
      </w:r>
      <w:r>
        <w:t>who</w:t>
      </w:r>
      <w:r w:rsidR="004A4759">
        <w:t>m</w:t>
      </w:r>
      <w:r>
        <w:t xml:space="preserve"> services were being provided, including young people, families and friends, or young people in group scenarios</w:t>
      </w:r>
      <w:r w:rsidR="004A4759">
        <w:t>,</w:t>
      </w:r>
      <w:r>
        <w:t xml:space="preserve"> and </w:t>
      </w:r>
      <w:r w:rsidR="00EE1C64">
        <w:t xml:space="preserve">in </w:t>
      </w:r>
      <w:r>
        <w:t xml:space="preserve">what mode services were provided. In 2019-20, 74 per cent of services were provided to an individual young person. This was in comparison to </w:t>
      </w:r>
      <w:r w:rsidR="008C04AD">
        <w:t>seven</w:t>
      </w:r>
      <w:r>
        <w:t xml:space="preserve"> per cent of services provided to young people with a family member or friend present, less than </w:t>
      </w:r>
      <w:r w:rsidR="008C04AD">
        <w:t>one</w:t>
      </w:r>
      <w:r>
        <w:t xml:space="preserve"> per cent of services to family or friends alone, and 3.3</w:t>
      </w:r>
      <w:r w:rsidR="003F3A4F">
        <w:t xml:space="preserve"> </w:t>
      </w:r>
      <w:r>
        <w:t xml:space="preserve">per cent of services to young people in group settings. </w:t>
      </w:r>
      <w:r w:rsidR="008C04AD">
        <w:t>Fifteen</w:t>
      </w:r>
      <w:r>
        <w:t xml:space="preserve"> per cent of services did not have data recorded for who</w:t>
      </w:r>
      <w:r w:rsidR="008C04AD">
        <w:t>m</w:t>
      </w:r>
      <w:r>
        <w:t xml:space="preserve"> the</w:t>
      </w:r>
      <w:r w:rsidR="00C93E61">
        <w:t xml:space="preserve"> services</w:t>
      </w:r>
      <w:r>
        <w:t xml:space="preserve"> were provided.</w:t>
      </w:r>
      <w:r w:rsidR="00264552">
        <w:t xml:space="preserve"> </w:t>
      </w:r>
    </w:p>
    <w:p w14:paraId="50097D9A" w14:textId="5D5BFF6C" w:rsidR="007240BC" w:rsidRPr="009308DC" w:rsidRDefault="007240BC" w:rsidP="007240BC">
      <w:pPr>
        <w:pStyle w:val="BodyText"/>
      </w:pPr>
      <w:r>
        <w:t xml:space="preserve">The majority of services provided in 2019-20 were provided face-to-face in headspace services (60 per cent), with an additional </w:t>
      </w:r>
      <w:r w:rsidR="008C04AD">
        <w:t>two</w:t>
      </w:r>
      <w:r>
        <w:t xml:space="preserve"> per cent provided at headspace satellite or outpost centres. </w:t>
      </w:r>
      <w:r w:rsidR="003A3E1C">
        <w:t>Seventeen</w:t>
      </w:r>
      <w:r>
        <w:t xml:space="preserve"> per cent of services were recorded as being provided over the </w:t>
      </w:r>
      <w:r w:rsidR="00EE1C64">
        <w:t>tele</w:t>
      </w:r>
      <w:r>
        <w:t xml:space="preserve">phone, with an additional </w:t>
      </w:r>
      <w:r w:rsidR="00EE1C64">
        <w:t>six</w:t>
      </w:r>
      <w:r>
        <w:t xml:space="preserve"> per cent of services provided online or through video. The remaining </w:t>
      </w:r>
      <w:r w:rsidR="008C04AD">
        <w:t>three</w:t>
      </w:r>
      <w:r>
        <w:t xml:space="preserve"> per cent of services were provided face-to-face</w:t>
      </w:r>
      <w:r w:rsidRPr="004E7D16">
        <w:t xml:space="preserve"> at </w:t>
      </w:r>
      <w:r>
        <w:t>an</w:t>
      </w:r>
      <w:r w:rsidRPr="004E7D16">
        <w:t>other site</w:t>
      </w:r>
      <w:r>
        <w:t xml:space="preserve">, for example through </w:t>
      </w:r>
      <w:r w:rsidR="004B5BD1">
        <w:t>o</w:t>
      </w:r>
      <w:r w:rsidRPr="004E7D16">
        <w:t>utreach</w:t>
      </w:r>
      <w:r>
        <w:t xml:space="preserve">, </w:t>
      </w:r>
      <w:r w:rsidRPr="004E7D16">
        <w:t>home visit</w:t>
      </w:r>
      <w:r>
        <w:t xml:space="preserve">s, or other </w:t>
      </w:r>
      <w:r w:rsidRPr="004E7D16">
        <w:t>external service</w:t>
      </w:r>
      <w:r>
        <w:t xml:space="preserve">s, noting </w:t>
      </w:r>
      <w:r w:rsidR="00EE1C64">
        <w:t xml:space="preserve">that </w:t>
      </w:r>
      <w:r>
        <w:t xml:space="preserve">13 per cent of services provided did not have data recorded. </w:t>
      </w:r>
      <w:r w:rsidR="00076E54">
        <w:t xml:space="preserve">However, the impact of COVID-19 should be considered </w:t>
      </w:r>
      <w:r w:rsidR="00C81E72">
        <w:t xml:space="preserve">for </w:t>
      </w:r>
      <w:r w:rsidR="00076E54">
        <w:t xml:space="preserve">this year, with a significant shift to telephone-based and online services provided from March 2020. </w:t>
      </w:r>
      <w:r w:rsidR="00AD10AD">
        <w:t>In the months from July 2019 to February 2020, face</w:t>
      </w:r>
      <w:r w:rsidR="00C81E72">
        <w:noBreakHyphen/>
      </w:r>
      <w:r w:rsidR="00AD10AD">
        <w:t xml:space="preserve">to-face sessions </w:t>
      </w:r>
      <w:r w:rsidR="00AD10AD" w:rsidRPr="001462E0">
        <w:t xml:space="preserve">made up </w:t>
      </w:r>
      <w:r w:rsidR="00791A03" w:rsidRPr="001462E0">
        <w:t>79</w:t>
      </w:r>
      <w:r w:rsidR="00AD10AD" w:rsidRPr="001462E0">
        <w:t xml:space="preserve"> per cent of occasions</w:t>
      </w:r>
      <w:r w:rsidR="00AD10AD">
        <w:t xml:space="preserve"> of service delivered</w:t>
      </w:r>
      <w:r w:rsidR="00791A03">
        <w:t xml:space="preserve"> (noting that 16 per cent of </w:t>
      </w:r>
      <w:r w:rsidR="006E7DB0">
        <w:t>O</w:t>
      </w:r>
      <w:r w:rsidR="003C1E68">
        <w:t>O</w:t>
      </w:r>
      <w:r w:rsidR="006E7DB0">
        <w:t>S</w:t>
      </w:r>
      <w:r w:rsidR="001F66B8">
        <w:t xml:space="preserve"> </w:t>
      </w:r>
      <w:r w:rsidR="00791A03">
        <w:t xml:space="preserve">had missing service </w:t>
      </w:r>
      <w:r w:rsidR="001462E0">
        <w:t>mode information)</w:t>
      </w:r>
      <w:r w:rsidR="00AD10AD">
        <w:t>.</w:t>
      </w:r>
    </w:p>
    <w:p w14:paraId="172459DC" w14:textId="77777777" w:rsidR="007240BC" w:rsidRPr="00384F25" w:rsidRDefault="007240BC" w:rsidP="00ED3129">
      <w:pPr>
        <w:pStyle w:val="Heading4"/>
      </w:pPr>
      <w:r w:rsidRPr="00384F25">
        <w:t>Supports provided by service types</w:t>
      </w:r>
    </w:p>
    <w:p w14:paraId="68980963" w14:textId="63E43BDB" w:rsidR="007240BC" w:rsidRPr="006B3C29" w:rsidRDefault="007240BC" w:rsidP="00C075E1">
      <w:pPr>
        <w:pStyle w:val="BodyText"/>
        <w:keepLines/>
      </w:pPr>
      <w:r w:rsidRPr="00384F25">
        <w:t xml:space="preserve">The types of supports provided differ across each of the service types described above. In 2019-20, </w:t>
      </w:r>
      <w:r w:rsidR="008C539A">
        <w:t>headspace</w:t>
      </w:r>
      <w:r w:rsidRPr="00384F25">
        <w:t xml:space="preserve"> centres provided </w:t>
      </w:r>
      <w:r w:rsidRPr="00360CA4">
        <w:t>396</w:t>
      </w:r>
      <w:r>
        <w:t>,</w:t>
      </w:r>
      <w:r w:rsidRPr="00360CA4">
        <w:t>825</w:t>
      </w:r>
      <w:r>
        <w:t xml:space="preserve"> </w:t>
      </w:r>
      <w:r w:rsidR="00C81E72">
        <w:t>OOS</w:t>
      </w:r>
      <w:r w:rsidRPr="00C741EE">
        <w:t>, compared to 6</w:t>
      </w:r>
      <w:r>
        <w:t>,665</w:t>
      </w:r>
      <w:r w:rsidRPr="00F70441">
        <w:t xml:space="preserve"> </w:t>
      </w:r>
      <w:r w:rsidR="00C81E72">
        <w:t>OOS</w:t>
      </w:r>
      <w:r w:rsidRPr="00F70441">
        <w:t xml:space="preserve"> within satellite services</w:t>
      </w:r>
      <w:r w:rsidR="00CC0438">
        <w:rPr>
          <w:rFonts w:ascii="ZWAdobeF" w:hAnsi="ZWAdobeF" w:cs="ZWAdobeF"/>
          <w:sz w:val="2"/>
          <w:szCs w:val="2"/>
        </w:rPr>
        <w:t>79F</w:t>
      </w:r>
      <w:r w:rsidRPr="00F70441">
        <w:rPr>
          <w:rStyle w:val="FootnoteReference"/>
        </w:rPr>
        <w:footnoteReference w:id="81"/>
      </w:r>
      <w:r w:rsidR="00EE1C64">
        <w:t>.</w:t>
      </w:r>
      <w:r w:rsidRPr="00F70441">
        <w:t xml:space="preserve"> headspace centres and satellite services provide a similar proportion</w:t>
      </w:r>
      <w:r w:rsidRPr="00F70441" w:rsidDel="00FE1D16">
        <w:t xml:space="preserve"> </w:t>
      </w:r>
      <w:r w:rsidRPr="00F70441">
        <w:t>of mental health services (57 per cent and 58 per cent respectively)</w:t>
      </w:r>
      <w:r>
        <w:t xml:space="preserve">, general assistance, vocational services and alcohol and other drug services, </w:t>
      </w:r>
      <w:r w:rsidRPr="00F70441">
        <w:t xml:space="preserve">however satellite services tended to provide a lower proportion of some </w:t>
      </w:r>
      <w:r w:rsidRPr="006B3C29">
        <w:t xml:space="preserve">additional services than </w:t>
      </w:r>
      <w:r w:rsidR="000A0ABE">
        <w:t>headspace</w:t>
      </w:r>
      <w:r w:rsidRPr="006B3C29">
        <w:t xml:space="preserve"> centres, including physical and sexual health services and group work. Satellite services also provided a higher proportion of intake and assessment and vocational services. These service profiles are in line with the hMIF requirements that mental health services </w:t>
      </w:r>
      <w:r w:rsidR="000A0ABE">
        <w:t>are</w:t>
      </w:r>
      <w:r w:rsidRPr="006B3C29">
        <w:t xml:space="preserve"> the primary focus of satellite services</w:t>
      </w:r>
      <w:r w:rsidR="00CC0438">
        <w:rPr>
          <w:rFonts w:ascii="ZWAdobeF" w:hAnsi="ZWAdobeF" w:cs="ZWAdobeF"/>
          <w:sz w:val="2"/>
          <w:szCs w:val="2"/>
        </w:rPr>
        <w:t>80F</w:t>
      </w:r>
      <w:r w:rsidRPr="006B3C29">
        <w:rPr>
          <w:rStyle w:val="FootnoteReference"/>
        </w:rPr>
        <w:footnoteReference w:id="82"/>
      </w:r>
      <w:r w:rsidR="00EE1C64">
        <w:t>.</w:t>
      </w:r>
      <w:r w:rsidRPr="006B3C29">
        <w:t xml:space="preserve"> The breakdown of services provided across centres and satellites is provided in </w:t>
      </w:r>
      <w:r w:rsidR="00D4791D">
        <w:fldChar w:fldCharType="begin" w:fldLock="1"/>
      </w:r>
      <w:r w:rsidR="00D4791D">
        <w:instrText xml:space="preserve"> REF _Ref95046369 \h </w:instrText>
      </w:r>
      <w:r w:rsidR="00D4791D">
        <w:fldChar w:fldCharType="separate"/>
      </w:r>
      <w:r w:rsidR="00AE4D34" w:rsidRPr="006B3C29">
        <w:t xml:space="preserve">Figure </w:t>
      </w:r>
      <w:r w:rsidR="00AE4D34">
        <w:rPr>
          <w:noProof/>
        </w:rPr>
        <w:t>11</w:t>
      </w:r>
      <w:r w:rsidR="00D4791D">
        <w:fldChar w:fldCharType="end"/>
      </w:r>
      <w:r w:rsidRPr="006B3C29">
        <w:t xml:space="preserve"> below. </w:t>
      </w:r>
    </w:p>
    <w:p w14:paraId="2BAD0B36" w14:textId="0F0A3160" w:rsidR="007240BC" w:rsidRPr="00293AF2" w:rsidRDefault="007240BC" w:rsidP="007240BC">
      <w:pPr>
        <w:pStyle w:val="Caption"/>
      </w:pPr>
      <w:bookmarkStart w:id="66" w:name="_Ref95046369"/>
      <w:bookmarkStart w:id="67" w:name="_Toc108109196"/>
      <w:r w:rsidRPr="006B3C29">
        <w:t xml:space="preserve">Figure </w:t>
      </w:r>
      <w:r>
        <w:fldChar w:fldCharType="begin"/>
      </w:r>
      <w:r>
        <w:instrText>SEQ Figure \* ARABIC</w:instrText>
      </w:r>
      <w:r>
        <w:fldChar w:fldCharType="separate"/>
      </w:r>
      <w:r w:rsidR="00CC0438">
        <w:rPr>
          <w:noProof/>
        </w:rPr>
        <w:t>11</w:t>
      </w:r>
      <w:r>
        <w:fldChar w:fldCharType="end"/>
      </w:r>
      <w:bookmarkEnd w:id="66"/>
      <w:r w:rsidRPr="006B3C29">
        <w:t xml:space="preserve">: Services provided across headspace services </w:t>
      </w:r>
      <w:r w:rsidR="00794818">
        <w:t>in</w:t>
      </w:r>
      <w:r w:rsidRPr="006B3C29">
        <w:t xml:space="preserve"> 2019-20, by service type</w:t>
      </w:r>
      <w:bookmarkEnd w:id="67"/>
    </w:p>
    <w:p w14:paraId="72C84923" w14:textId="5EDFCF80" w:rsidR="001B0332" w:rsidRPr="001B0332" w:rsidRDefault="00DB7D93" w:rsidP="00B728A9">
      <w:r>
        <w:rPr>
          <w:noProof/>
        </w:rPr>
        <w:drawing>
          <wp:inline distT="0" distB="0" distL="0" distR="0" wp14:anchorId="29ECEB86" wp14:editId="053DDF6C">
            <wp:extent cx="5037455" cy="5037455"/>
            <wp:effectExtent l="0" t="0" r="0" b="0"/>
            <wp:docPr id="118" name="Picture 118" descr="Figure11 is a stacked bar chart summarising the percentage of all supports that were provided by headspace services in 2019-20 in different categories, by service type. &#10;For headspace centres, the percentage of supports in each category were as follows:&#10;Mental health services were 57%&#10;Intake/Assessment services were 24%&#10;Physical health and sexual health was 2%&#10;Group work was 3%&#10;General Assistance was 3%&#10;Alcohol and/or other drug specific intervention was less than 1%&#10;Vocational services were 2%&#10;Family inclusive practice was less than 1%&#10;There were missing data for 8% of occasions of service.&#10;For satellite services, the percentage of supports in each category were as follows:&#10;Mental health services were 58%&#10;Intake/Assessment services were 33%&#10;Physical health and sexual health was less than 1%&#10;Group work was 2%&#10;General Assistance was 2%&#10;Alcohol and/or other drug specific intervention was less than 1%&#10;Vocational services were 3%&#10;Family inclusive practice wa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Figure11 is a stacked bar chart summarising the percentage of all supports that were provided by headspace services in 2019-20 in different categories, by service type. &#10;For headspace centres, the percentage of supports in each category were as follows:&#10;Mental health services were 57%&#10;Intake/Assessment services were 24%&#10;Physical health and sexual health was 2%&#10;Group work was 3%&#10;General Assistance was 3%&#10;Alcohol and/or other drug specific intervention was less than 1%&#10;Vocational services were 2%&#10;Family inclusive practice was less than 1%&#10;There were missing data for 8% of occasions of service.&#10;For satellite services, the percentage of supports in each category were as follows:&#10;Mental health services were 58%&#10;Intake/Assessment services were 33%&#10;Physical health and sexual health was less than 1%&#10;Group work was 2%&#10;General Assistance was 2%&#10;Alcohol and/or other drug specific intervention was less than 1%&#10;Vocational services were 3%&#10;Family inclusive practice was 1%&#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7455" cy="5037455"/>
                    </a:xfrm>
                    <a:prstGeom prst="rect">
                      <a:avLst/>
                    </a:prstGeom>
                    <a:noFill/>
                    <a:ln>
                      <a:noFill/>
                    </a:ln>
                  </pic:spPr>
                </pic:pic>
              </a:graphicData>
            </a:graphic>
          </wp:inline>
        </w:drawing>
      </w:r>
    </w:p>
    <w:p w14:paraId="494C85ED" w14:textId="77777777" w:rsidR="007240BC" w:rsidRPr="0081626E" w:rsidRDefault="007240BC" w:rsidP="007240BC">
      <w:pPr>
        <w:pStyle w:val="Source"/>
      </w:pPr>
      <w:r w:rsidRPr="0081626E">
        <w:t>Source: KPMG master dataset</w:t>
      </w:r>
    </w:p>
    <w:p w14:paraId="17BAA041" w14:textId="0E7B3CDB" w:rsidR="007240BC" w:rsidRPr="0081626E" w:rsidRDefault="007240BC" w:rsidP="007240BC">
      <w:pPr>
        <w:pStyle w:val="Source"/>
      </w:pPr>
      <w:r w:rsidRPr="0081626E">
        <w:t xml:space="preserve">Notes: See </w:t>
      </w:r>
      <w:r w:rsidR="00C2401C">
        <w:fldChar w:fldCharType="begin" w:fldLock="1"/>
      </w:r>
      <w:r w:rsidR="00C2401C">
        <w:instrText xml:space="preserve"> REF _Ref98402466 \r \h </w:instrText>
      </w:r>
      <w:r w:rsidR="00C2401C">
        <w:fldChar w:fldCharType="separate"/>
      </w:r>
      <w:r w:rsidR="00AE4D34">
        <w:t>Appendix F</w:t>
      </w:r>
      <w:r w:rsidR="00C2401C">
        <w:fldChar w:fldCharType="end"/>
      </w:r>
      <w:r w:rsidRPr="0081626E">
        <w:t xml:space="preserve"> for a description o</w:t>
      </w:r>
      <w:r w:rsidR="009C7592">
        <w:t>f</w:t>
      </w:r>
      <w:r w:rsidRPr="0081626E">
        <w:t xml:space="preserve"> how the master dataset is derived. </w:t>
      </w:r>
      <w:r w:rsidR="00794818">
        <w:t>The s</w:t>
      </w:r>
      <w:r w:rsidRPr="0081626E">
        <w:t xml:space="preserve">ample includes 403,497 </w:t>
      </w:r>
      <w:r w:rsidR="007B2863">
        <w:t>OOS</w:t>
      </w:r>
      <w:r w:rsidRPr="0081626E">
        <w:t>, 103,082 episodes and 90,110 young people.</w:t>
      </w:r>
      <w:r w:rsidR="009B088B">
        <w:t xml:space="preserve"> </w:t>
      </w:r>
      <w:r w:rsidR="00B16814">
        <w:t xml:space="preserve">A total of </w:t>
      </w:r>
      <w:r w:rsidR="00270C08">
        <w:t>1</w:t>
      </w:r>
      <w:r w:rsidR="001C59A6">
        <w:t>09</w:t>
      </w:r>
      <w:r w:rsidR="00270C08">
        <w:t xml:space="preserve"> services are included as headspace centres, and </w:t>
      </w:r>
      <w:r w:rsidR="007B2863">
        <w:t>seven</w:t>
      </w:r>
      <w:r w:rsidR="00270C08">
        <w:t xml:space="preserve"> services are included as satellite services.</w:t>
      </w:r>
      <w:r w:rsidR="0073651B">
        <w:t xml:space="preserve"> </w:t>
      </w:r>
      <w:r w:rsidR="00794818">
        <w:t>For clar</w:t>
      </w:r>
      <w:r w:rsidR="000A0ABE">
        <w:t>i</w:t>
      </w:r>
      <w:r w:rsidR="00794818">
        <w:t>ty purposes, d</w:t>
      </w:r>
      <w:r w:rsidR="0073651B">
        <w:t xml:space="preserve">ata labels are not included for categories with less than </w:t>
      </w:r>
      <w:r w:rsidR="00F401E0">
        <w:t>0.5</w:t>
      </w:r>
      <w:r w:rsidR="00BA208A">
        <w:t xml:space="preserve"> </w:t>
      </w:r>
      <w:r w:rsidR="00794818">
        <w:t>per cent</w:t>
      </w:r>
      <w:r w:rsidR="0073651B">
        <w:t>.</w:t>
      </w:r>
      <w:r w:rsidR="001D28E9">
        <w:t xml:space="preserve"> Vocational services include those provided through the IPS </w:t>
      </w:r>
      <w:r w:rsidR="007B2863">
        <w:t>P</w:t>
      </w:r>
      <w:r w:rsidR="001D28E9">
        <w:t>rogram.</w:t>
      </w:r>
    </w:p>
    <w:p w14:paraId="6DA29834" w14:textId="1DDBD869" w:rsidR="007240BC" w:rsidRPr="002F315B" w:rsidRDefault="007240BC" w:rsidP="00ED3129">
      <w:pPr>
        <w:pStyle w:val="Heading4"/>
      </w:pPr>
      <w:r w:rsidRPr="002F315B">
        <w:t>Services provided by service location</w:t>
      </w:r>
    </w:p>
    <w:p w14:paraId="11B604BF" w14:textId="1C125ED3" w:rsidR="007240BC" w:rsidRPr="006B3C29" w:rsidRDefault="007240BC" w:rsidP="007240BC">
      <w:pPr>
        <w:pStyle w:val="BodyText"/>
      </w:pPr>
      <w:r w:rsidRPr="00AC667B">
        <w:t>Services provided also differ depending on the remoteness of the individual headspace services. Services in major cities across Australia provide the most mental health services. As headspace services become more remote, other service types become more prevalent. In remote areas of Australia, physical and sexual health, and vocational supports are more commonly used by headspace clients. This is</w:t>
      </w:r>
      <w:r w:rsidR="00EE1C64">
        <w:t>,</w:t>
      </w:r>
      <w:r w:rsidRPr="00AC667B">
        <w:t xml:space="preserve"> in part</w:t>
      </w:r>
      <w:r w:rsidR="00EE1C64">
        <w:t>,</w:t>
      </w:r>
      <w:r w:rsidRPr="00AC667B">
        <w:t xml:space="preserve"> driven by two specific remote services, which offer specific GP clinics </w:t>
      </w:r>
      <w:r w:rsidRPr="006B3C29">
        <w:t xml:space="preserve">as part of the overall headspace </w:t>
      </w:r>
      <w:r w:rsidR="001F2443">
        <w:t>model</w:t>
      </w:r>
      <w:r w:rsidR="00D5561B">
        <w:t xml:space="preserve">, and the Pilbara service, </w:t>
      </w:r>
      <w:r w:rsidR="009218BB">
        <w:t xml:space="preserve">which </w:t>
      </w:r>
      <w:r w:rsidR="005F5DA5">
        <w:t xml:space="preserve">trialled a dedicated outreach model, with </w:t>
      </w:r>
      <w:r w:rsidR="008401BD">
        <w:t>its supports largely focused on mental health, intake and assessment, and group work</w:t>
      </w:r>
      <w:r w:rsidR="005F5DA5">
        <w:t>.</w:t>
      </w:r>
      <w:r w:rsidRPr="006B3C29">
        <w:t xml:space="preserve"> Group work supports are also more common in headspace services outside of major cities. </w:t>
      </w:r>
    </w:p>
    <w:p w14:paraId="0EE0BEA0" w14:textId="685B6147" w:rsidR="007240BC" w:rsidRPr="00A60D55" w:rsidRDefault="007240BC" w:rsidP="007240BC">
      <w:pPr>
        <w:pStyle w:val="Caption"/>
      </w:pPr>
      <w:bookmarkStart w:id="68" w:name="_Toc108109197"/>
      <w:r w:rsidRPr="006B3C29">
        <w:t xml:space="preserve">Figure </w:t>
      </w:r>
      <w:r>
        <w:fldChar w:fldCharType="begin"/>
      </w:r>
      <w:r>
        <w:instrText>SEQ Figure \* ARABIC</w:instrText>
      </w:r>
      <w:r>
        <w:fldChar w:fldCharType="separate"/>
      </w:r>
      <w:r w:rsidR="00CC0438">
        <w:rPr>
          <w:noProof/>
        </w:rPr>
        <w:t>12</w:t>
      </w:r>
      <w:r>
        <w:fldChar w:fldCharType="end"/>
      </w:r>
      <w:r w:rsidRPr="006B3C29">
        <w:t>: Services provided across headspace services in 2019-20, by remoteness of services</w:t>
      </w:r>
      <w:bookmarkEnd w:id="68"/>
    </w:p>
    <w:p w14:paraId="23981D53" w14:textId="7B43FA6D" w:rsidR="00F120C4" w:rsidRPr="00F120C4" w:rsidRDefault="00F120C4" w:rsidP="00B728A9">
      <w:r>
        <w:rPr>
          <w:noProof/>
        </w:rPr>
        <w:drawing>
          <wp:inline distT="0" distB="0" distL="0" distR="0" wp14:anchorId="305F90EC" wp14:editId="25A9B9F8">
            <wp:extent cx="5037455" cy="5037455"/>
            <wp:effectExtent l="0" t="0" r="0" b="0"/>
            <wp:docPr id="123" name="Picture 123" descr="Figure 12 is a stacked bar chart summarising the percentage of all supports that were provided by headspace services in 2019-20 within support types, based on the geographic remoteness of the service. &#10;For headspace services in major cities, the percentage of supports delivered in each category was:&#10;Mental health services were 58%&#10;Intake/Assessment services were 25%&#10;Physical health and sexual health was 1%&#10;Group work was 2%&#10;General Assistance was 2%&#10;Alcohol and/or other drug specific intervention was less than 1%&#10;Vocational services were 1%&#10;Family inclusive practice was less than 1%&#10;There were missing data for 9% of occasions of service.&#10;For inner regional headspace services, the percentage of supports delivered in each category was:&#10;Mental health services were 58%&#10;Intake/Assessment services were 22%&#10;Physical health and sexual health was 3%&#10;Group work was 4%&#10;General Assistance was 4%&#10;Alcohol and/or other drug specific intervention was less than 1%&#10;Vocational services were 2.1%&#10;Family inclusive practice was less than 1%&#10;Other services were less than 1%&#10;There were missing data for 6% of occasions of service.&#10;For outer regional headspace services, the percentage of supports delivered in each category was:&#10;Mental health services were 55%&#10;Intake/Assessment services were 20%&#10;Physical health and sexual health was less than 1%&#10;Group work was 10%&#10;General Assistance was 4%&#10;Alcohol and/or other drug specific intervention was less than 1%&#10;Vocational services were 5%&#10;Family inclusive practice was less than 1%&#10;Other services were less than 1%&#10;There were missing data for 6% of occasions of service.&#10;For remote headspace services, the percentage of supports delivered in each category was:&#10;Mental health services were 38%&#10;Intake/Assessment services were 19%&#10;Physical health and sexual health was 13%&#10;Group work was 7%&#10;General Assistance was 6%&#10;Alcohol and/or other drug specific intervention was less than 1%&#10;Vocational services were 8%&#10;Family inclusive practice was less than 1%&#10;Other services were less than 1%&#10;There were missing data for 8% of occasions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Figure 12 is a stacked bar chart summarising the percentage of all supports that were provided by headspace services in 2019-20 within support types, based on the geographic remoteness of the service. &#10;For headspace services in major cities, the percentage of supports delivered in each category was:&#10;Mental health services were 58%&#10;Intake/Assessment services were 25%&#10;Physical health and sexual health was 1%&#10;Group work was 2%&#10;General Assistance was 2%&#10;Alcohol and/or other drug specific intervention was less than 1%&#10;Vocational services were 1%&#10;Family inclusive practice was less than 1%&#10;There were missing data for 9% of occasions of service.&#10;For inner regional headspace services, the percentage of supports delivered in each category was:&#10;Mental health services were 58%&#10;Intake/Assessment services were 22%&#10;Physical health and sexual health was 3%&#10;Group work was 4%&#10;General Assistance was 4%&#10;Alcohol and/or other drug specific intervention was less than 1%&#10;Vocational services were 2.1%&#10;Family inclusive practice was less than 1%&#10;Other services were less than 1%&#10;There were missing data for 6% of occasions of service.&#10;For outer regional headspace services, the percentage of supports delivered in each category was:&#10;Mental health services were 55%&#10;Intake/Assessment services were 20%&#10;Physical health and sexual health was less than 1%&#10;Group work was 10%&#10;General Assistance was 4%&#10;Alcohol and/or other drug specific intervention was less than 1%&#10;Vocational services were 5%&#10;Family inclusive practice was less than 1%&#10;Other services were less than 1%&#10;There were missing data for 6% of occasions of service.&#10;For remote headspace services, the percentage of supports delivered in each category was:&#10;Mental health services were 38%&#10;Intake/Assessment services were 19%&#10;Physical health and sexual health was 13%&#10;Group work was 7%&#10;General Assistance was 6%&#10;Alcohol and/or other drug specific intervention was less than 1%&#10;Vocational services were 8%&#10;Family inclusive practice was less than 1%&#10;Other services were less than 1%&#10;There were missing data for 8% of occasions of servi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7455" cy="5037455"/>
                    </a:xfrm>
                    <a:prstGeom prst="rect">
                      <a:avLst/>
                    </a:prstGeom>
                    <a:noFill/>
                    <a:ln>
                      <a:noFill/>
                    </a:ln>
                  </pic:spPr>
                </pic:pic>
              </a:graphicData>
            </a:graphic>
          </wp:inline>
        </w:drawing>
      </w:r>
    </w:p>
    <w:p w14:paraId="44C3596C" w14:textId="77777777" w:rsidR="007240BC" w:rsidRPr="00A60D55" w:rsidRDefault="007240BC" w:rsidP="007240BC">
      <w:pPr>
        <w:pStyle w:val="Source"/>
      </w:pPr>
      <w:r w:rsidRPr="00A60D55">
        <w:t>Source: KPMG master dataset</w:t>
      </w:r>
    </w:p>
    <w:p w14:paraId="154A4F9D" w14:textId="1121CBBB" w:rsidR="007240BC" w:rsidRDefault="007240BC" w:rsidP="007240BC">
      <w:pPr>
        <w:pStyle w:val="Source"/>
      </w:pPr>
      <w:r w:rsidRPr="00A60D55">
        <w:t xml:space="preserve">Notes: See </w:t>
      </w:r>
      <w:r w:rsidR="008C30BE">
        <w:fldChar w:fldCharType="begin" w:fldLock="1"/>
      </w:r>
      <w:r w:rsidR="008C30BE">
        <w:instrText xml:space="preserve"> REF _Ref98402466 \r \h </w:instrText>
      </w:r>
      <w:r w:rsidR="008C30BE">
        <w:fldChar w:fldCharType="separate"/>
      </w:r>
      <w:r w:rsidR="00AE4D34">
        <w:t>Appendix F</w:t>
      </w:r>
      <w:r w:rsidR="008C30BE">
        <w:fldChar w:fldCharType="end"/>
      </w:r>
      <w:r w:rsidRPr="00A60D55">
        <w:t xml:space="preserve"> for a description o</w:t>
      </w:r>
      <w:r w:rsidR="009C7592">
        <w:t>f</w:t>
      </w:r>
      <w:r w:rsidRPr="00A60D55">
        <w:t xml:space="preserve"> how the master dataset is derived. </w:t>
      </w:r>
      <w:r w:rsidR="002B777A">
        <w:t>The s</w:t>
      </w:r>
      <w:r w:rsidRPr="00A60D55">
        <w:t xml:space="preserve">ample includes 403,497 </w:t>
      </w:r>
      <w:r w:rsidR="007B2863">
        <w:t>OOS</w:t>
      </w:r>
      <w:r w:rsidRPr="00A60D55">
        <w:t>, 103,082</w:t>
      </w:r>
      <w:r w:rsidR="009C13AE">
        <w:t xml:space="preserve"> </w:t>
      </w:r>
      <w:r w:rsidRPr="00A60D55">
        <w:t>episodes and 90,110 young people.</w:t>
      </w:r>
      <w:r w:rsidR="002822FA">
        <w:t xml:space="preserve"> </w:t>
      </w:r>
      <w:r w:rsidR="00B16814">
        <w:t xml:space="preserve">A total of </w:t>
      </w:r>
      <w:r w:rsidR="00166671">
        <w:t xml:space="preserve">61 services are located in major cities, </w:t>
      </w:r>
      <w:r w:rsidR="00817E52">
        <w:t>35 services in inner regional areas, 17</w:t>
      </w:r>
      <w:r w:rsidR="009C13AE">
        <w:t xml:space="preserve"> </w:t>
      </w:r>
      <w:r w:rsidR="00817E52">
        <w:t xml:space="preserve">services in outer regional areas, and 5 services in </w:t>
      </w:r>
      <w:r w:rsidR="00573D79">
        <w:t xml:space="preserve">remote and very remote areas. </w:t>
      </w:r>
      <w:r w:rsidR="002B777A">
        <w:t>For clarity purposes, d</w:t>
      </w:r>
      <w:r w:rsidR="002822FA">
        <w:t xml:space="preserve">ata labels are not included for categories with less than </w:t>
      </w:r>
      <w:r w:rsidR="001B6DEA">
        <w:t>0.5</w:t>
      </w:r>
      <w:r w:rsidR="002B777A">
        <w:t xml:space="preserve"> per cent</w:t>
      </w:r>
      <w:r w:rsidR="002822FA">
        <w:t>.</w:t>
      </w:r>
      <w:r w:rsidR="001D28E9">
        <w:t xml:space="preserve"> Vocational services include those provided through the IPS </w:t>
      </w:r>
      <w:r w:rsidR="007B2863">
        <w:t>P</w:t>
      </w:r>
      <w:r w:rsidR="001D28E9">
        <w:t>rogram.</w:t>
      </w:r>
    </w:p>
    <w:p w14:paraId="0B832CD0" w14:textId="1F82F0CE" w:rsidR="005C26B0" w:rsidRDefault="005C26B0" w:rsidP="005C26B0">
      <w:pPr>
        <w:pStyle w:val="Heading4"/>
      </w:pPr>
      <w:r>
        <w:t>Wait times at headspace services</w:t>
      </w:r>
    </w:p>
    <w:p w14:paraId="140E3432" w14:textId="02224A4C" w:rsidR="005C26B0" w:rsidRDefault="00AB623B" w:rsidP="00123324">
      <w:pPr>
        <w:pStyle w:val="BodyText"/>
        <w:rPr>
          <w:lang w:eastAsia="en-AU"/>
        </w:rPr>
      </w:pPr>
      <w:r>
        <w:rPr>
          <w:lang w:eastAsia="en-AU"/>
        </w:rPr>
        <w:t xml:space="preserve">Time taken for a young person to </w:t>
      </w:r>
      <w:r w:rsidR="00AA5018">
        <w:rPr>
          <w:lang w:eastAsia="en-AU"/>
        </w:rPr>
        <w:t xml:space="preserve">be able to </w:t>
      </w:r>
      <w:r>
        <w:rPr>
          <w:lang w:eastAsia="en-AU"/>
        </w:rPr>
        <w:t>access the service they require is an important measure of the availability of headspace services. Wait times are measured at two points in</w:t>
      </w:r>
      <w:r w:rsidR="00B63095">
        <w:rPr>
          <w:lang w:eastAsia="en-AU"/>
        </w:rPr>
        <w:t xml:space="preserve"> the user journey of a young person accessing headspace, at their first </w:t>
      </w:r>
      <w:r w:rsidR="00D8610F">
        <w:rPr>
          <w:lang w:eastAsia="en-AU"/>
        </w:rPr>
        <w:t>OOS</w:t>
      </w:r>
      <w:r w:rsidR="000632A5">
        <w:rPr>
          <w:lang w:eastAsia="en-AU"/>
        </w:rPr>
        <w:t xml:space="preserve">, </w:t>
      </w:r>
      <w:r w:rsidR="00457D9E">
        <w:rPr>
          <w:lang w:eastAsia="en-AU"/>
        </w:rPr>
        <w:t xml:space="preserve">indicating </w:t>
      </w:r>
      <w:r w:rsidR="0055433D">
        <w:rPr>
          <w:lang w:eastAsia="en-AU"/>
        </w:rPr>
        <w:t xml:space="preserve">how long they </w:t>
      </w:r>
      <w:r w:rsidR="00457D9E">
        <w:rPr>
          <w:lang w:eastAsia="en-AU"/>
        </w:rPr>
        <w:t xml:space="preserve">have </w:t>
      </w:r>
      <w:r w:rsidR="0055433D">
        <w:rPr>
          <w:lang w:eastAsia="en-AU"/>
        </w:rPr>
        <w:t>wait</w:t>
      </w:r>
      <w:r w:rsidR="00457D9E">
        <w:rPr>
          <w:lang w:eastAsia="en-AU"/>
        </w:rPr>
        <w:t>ed from</w:t>
      </w:r>
      <w:r w:rsidR="0055433D">
        <w:rPr>
          <w:lang w:eastAsia="en-AU"/>
        </w:rPr>
        <w:t xml:space="preserve"> when they first ma</w:t>
      </w:r>
      <w:r w:rsidR="00457D9E">
        <w:rPr>
          <w:lang w:eastAsia="en-AU"/>
        </w:rPr>
        <w:t>d</w:t>
      </w:r>
      <w:r w:rsidR="0055433D">
        <w:rPr>
          <w:lang w:eastAsia="en-AU"/>
        </w:rPr>
        <w:t xml:space="preserve">e contact with a headspace service </w:t>
      </w:r>
      <w:r w:rsidR="00436320">
        <w:rPr>
          <w:lang w:eastAsia="en-AU"/>
        </w:rPr>
        <w:t>to</w:t>
      </w:r>
      <w:r w:rsidR="0055433D">
        <w:rPr>
          <w:lang w:eastAsia="en-AU"/>
        </w:rPr>
        <w:t xml:space="preserve"> when they </w:t>
      </w:r>
      <w:r w:rsidR="00457D9E">
        <w:rPr>
          <w:lang w:eastAsia="en-AU"/>
        </w:rPr>
        <w:t>we</w:t>
      </w:r>
      <w:r w:rsidR="0055433D">
        <w:rPr>
          <w:lang w:eastAsia="en-AU"/>
        </w:rPr>
        <w:t xml:space="preserve">re seen for </w:t>
      </w:r>
      <w:r w:rsidR="00C60D7F">
        <w:rPr>
          <w:lang w:eastAsia="en-AU"/>
        </w:rPr>
        <w:t>screening and assessment</w:t>
      </w:r>
      <w:r w:rsidR="00950739">
        <w:rPr>
          <w:lang w:eastAsia="en-AU"/>
        </w:rPr>
        <w:t xml:space="preserve"> (</w:t>
      </w:r>
      <w:r w:rsidR="009A1390">
        <w:rPr>
          <w:lang w:eastAsia="en-AU"/>
        </w:rPr>
        <w:t>wait time one (</w:t>
      </w:r>
      <w:r w:rsidR="00950739">
        <w:rPr>
          <w:lang w:eastAsia="en-AU"/>
        </w:rPr>
        <w:t>WT1</w:t>
      </w:r>
      <w:r w:rsidR="009A1390">
        <w:rPr>
          <w:lang w:eastAsia="en-AU"/>
        </w:rPr>
        <w:t>)</w:t>
      </w:r>
      <w:r w:rsidR="00950739">
        <w:rPr>
          <w:lang w:eastAsia="en-AU"/>
        </w:rPr>
        <w:t>)</w:t>
      </w:r>
      <w:r w:rsidR="00C60D7F">
        <w:rPr>
          <w:lang w:eastAsia="en-AU"/>
        </w:rPr>
        <w:t xml:space="preserve">. The subsequent wait to see the </w:t>
      </w:r>
      <w:r w:rsidR="00234526">
        <w:rPr>
          <w:lang w:eastAsia="en-AU"/>
        </w:rPr>
        <w:t xml:space="preserve">recommended </w:t>
      </w:r>
      <w:r w:rsidR="00C60D7F">
        <w:rPr>
          <w:lang w:eastAsia="en-AU"/>
        </w:rPr>
        <w:t>service provider to meet their needs is also measured</w:t>
      </w:r>
      <w:r w:rsidR="0045014E">
        <w:rPr>
          <w:lang w:eastAsia="en-AU"/>
        </w:rPr>
        <w:t xml:space="preserve"> (</w:t>
      </w:r>
      <w:r w:rsidR="009A1390">
        <w:rPr>
          <w:lang w:eastAsia="en-AU"/>
        </w:rPr>
        <w:t>wait time two (</w:t>
      </w:r>
      <w:r w:rsidR="0045014E">
        <w:rPr>
          <w:lang w:eastAsia="en-AU"/>
        </w:rPr>
        <w:t>WT2)</w:t>
      </w:r>
      <w:r w:rsidR="009A1390">
        <w:rPr>
          <w:lang w:eastAsia="en-AU"/>
        </w:rPr>
        <w:t>)</w:t>
      </w:r>
      <w:r w:rsidR="00744D78">
        <w:rPr>
          <w:lang w:eastAsia="en-AU"/>
        </w:rPr>
        <w:t xml:space="preserve">, however during this time, young people generally receive access to </w:t>
      </w:r>
      <w:r w:rsidR="00FB324F">
        <w:rPr>
          <w:lang w:eastAsia="en-AU"/>
        </w:rPr>
        <w:t xml:space="preserve">a range of supports, including through </w:t>
      </w:r>
      <w:r w:rsidR="00FA6AC4">
        <w:rPr>
          <w:lang w:eastAsia="en-AU"/>
        </w:rPr>
        <w:t>family and youth programs offering education and support groups</w:t>
      </w:r>
      <w:r w:rsidR="00C60D7F">
        <w:rPr>
          <w:lang w:eastAsia="en-AU"/>
        </w:rPr>
        <w:t xml:space="preserve">. </w:t>
      </w:r>
    </w:p>
    <w:p w14:paraId="17ABE2EE" w14:textId="27FA3EBE" w:rsidR="00BD262E" w:rsidRDefault="00AA4910" w:rsidP="00123324">
      <w:pPr>
        <w:pStyle w:val="BodyText"/>
        <w:rPr>
          <w:lang w:eastAsia="en-AU"/>
        </w:rPr>
      </w:pPr>
      <w:r>
        <w:rPr>
          <w:lang w:eastAsia="en-AU"/>
        </w:rPr>
        <w:t xml:space="preserve">Wait time data from the period April to October 2021 indicates that the average </w:t>
      </w:r>
      <w:r w:rsidR="009E179C">
        <w:rPr>
          <w:lang w:eastAsia="en-AU"/>
        </w:rPr>
        <w:t xml:space="preserve">WT1 </w:t>
      </w:r>
      <w:r>
        <w:rPr>
          <w:lang w:eastAsia="en-AU"/>
        </w:rPr>
        <w:t>was 16.3</w:t>
      </w:r>
      <w:r w:rsidR="0084362C">
        <w:rPr>
          <w:lang w:eastAsia="en-AU"/>
        </w:rPr>
        <w:t xml:space="preserve"> </w:t>
      </w:r>
      <w:r>
        <w:rPr>
          <w:lang w:eastAsia="en-AU"/>
        </w:rPr>
        <w:t>calendar days (</w:t>
      </w:r>
      <w:r w:rsidR="00E454A7">
        <w:rPr>
          <w:lang w:eastAsia="en-AU"/>
        </w:rPr>
        <w:t>across 35,771</w:t>
      </w:r>
      <w:r w:rsidR="00DF0A37">
        <w:rPr>
          <w:lang w:eastAsia="en-AU"/>
        </w:rPr>
        <w:t xml:space="preserve"> </w:t>
      </w:r>
      <w:r w:rsidR="00402D2B">
        <w:rPr>
          <w:lang w:eastAsia="en-AU"/>
        </w:rPr>
        <w:t>episodes of care</w:t>
      </w:r>
      <w:r w:rsidR="00E454A7">
        <w:rPr>
          <w:lang w:eastAsia="en-AU"/>
        </w:rPr>
        <w:t xml:space="preserve">). Within the same period, </w:t>
      </w:r>
      <w:r w:rsidR="00DC5183">
        <w:rPr>
          <w:lang w:eastAsia="en-AU"/>
        </w:rPr>
        <w:t xml:space="preserve">the average </w:t>
      </w:r>
      <w:r w:rsidR="0086208C">
        <w:rPr>
          <w:lang w:eastAsia="en-AU"/>
        </w:rPr>
        <w:t>WT2</w:t>
      </w:r>
      <w:r w:rsidR="00D673BD">
        <w:rPr>
          <w:lang w:eastAsia="en-AU"/>
        </w:rPr>
        <w:t xml:space="preserve"> </w:t>
      </w:r>
      <w:r w:rsidR="00DC5183">
        <w:rPr>
          <w:lang w:eastAsia="en-AU"/>
        </w:rPr>
        <w:t>was 41.2</w:t>
      </w:r>
      <w:r w:rsidR="0084362C">
        <w:rPr>
          <w:lang w:eastAsia="en-AU"/>
        </w:rPr>
        <w:t xml:space="preserve"> </w:t>
      </w:r>
      <w:r w:rsidR="00DC5183">
        <w:rPr>
          <w:lang w:eastAsia="en-AU"/>
        </w:rPr>
        <w:t>calendar days (across 11</w:t>
      </w:r>
      <w:r w:rsidR="00DF0A37">
        <w:rPr>
          <w:lang w:eastAsia="en-AU"/>
        </w:rPr>
        <w:t>,</w:t>
      </w:r>
      <w:r w:rsidR="00DC5183">
        <w:rPr>
          <w:lang w:eastAsia="en-AU"/>
        </w:rPr>
        <w:t>317</w:t>
      </w:r>
      <w:r w:rsidR="00DF0A37">
        <w:rPr>
          <w:lang w:eastAsia="en-AU"/>
        </w:rPr>
        <w:t xml:space="preserve"> </w:t>
      </w:r>
      <w:r w:rsidR="00402D2B">
        <w:rPr>
          <w:lang w:eastAsia="en-AU"/>
        </w:rPr>
        <w:t>episodes of care</w:t>
      </w:r>
      <w:r w:rsidR="00DC5183">
        <w:rPr>
          <w:lang w:eastAsia="en-AU"/>
        </w:rPr>
        <w:t>).</w:t>
      </w:r>
      <w:r w:rsidR="00F56C6E">
        <w:rPr>
          <w:lang w:eastAsia="en-AU"/>
        </w:rPr>
        <w:t xml:space="preserve">Wait times within the period </w:t>
      </w:r>
      <w:r w:rsidR="006814CE">
        <w:rPr>
          <w:lang w:eastAsia="en-AU"/>
        </w:rPr>
        <w:t xml:space="preserve">were reviewed for variation by </w:t>
      </w:r>
      <w:r w:rsidR="0045299A">
        <w:rPr>
          <w:lang w:eastAsia="en-AU"/>
        </w:rPr>
        <w:t>service</w:t>
      </w:r>
      <w:r w:rsidR="00BD262E">
        <w:rPr>
          <w:lang w:eastAsia="en-AU"/>
        </w:rPr>
        <w:t xml:space="preserve"> rurality, for </w:t>
      </w:r>
      <w:r w:rsidR="00183704">
        <w:rPr>
          <w:lang w:eastAsia="en-AU"/>
        </w:rPr>
        <w:t>WT</w:t>
      </w:r>
      <w:r w:rsidR="00D673BD">
        <w:rPr>
          <w:lang w:eastAsia="en-AU"/>
        </w:rPr>
        <w:t>1</w:t>
      </w:r>
      <w:r w:rsidR="00183704">
        <w:rPr>
          <w:lang w:eastAsia="en-AU"/>
        </w:rPr>
        <w:t xml:space="preserve"> </w:t>
      </w:r>
      <w:r w:rsidR="00BD262E">
        <w:rPr>
          <w:lang w:eastAsia="en-AU"/>
        </w:rPr>
        <w:t xml:space="preserve">and </w:t>
      </w:r>
      <w:r w:rsidR="00D673BD">
        <w:rPr>
          <w:lang w:eastAsia="en-AU"/>
        </w:rPr>
        <w:t>WT2</w:t>
      </w:r>
      <w:r w:rsidR="00BD262E">
        <w:rPr>
          <w:lang w:eastAsia="en-AU"/>
        </w:rPr>
        <w:t>, as seen in the table below.</w:t>
      </w:r>
      <w:r w:rsidR="000B46C1">
        <w:rPr>
          <w:lang w:eastAsia="en-AU"/>
        </w:rPr>
        <w:t xml:space="preserve"> </w:t>
      </w:r>
      <w:r w:rsidR="00D73BDF">
        <w:rPr>
          <w:lang w:eastAsia="en-AU"/>
        </w:rPr>
        <w:t>Within the period</w:t>
      </w:r>
      <w:r w:rsidR="00C95EF0">
        <w:rPr>
          <w:lang w:eastAsia="en-AU"/>
        </w:rPr>
        <w:t xml:space="preserve">, </w:t>
      </w:r>
      <w:r w:rsidR="009D4FDC">
        <w:rPr>
          <w:lang w:eastAsia="en-AU"/>
        </w:rPr>
        <w:t xml:space="preserve">headspace services located in </w:t>
      </w:r>
      <w:r w:rsidR="00E6467C">
        <w:rPr>
          <w:lang w:eastAsia="en-AU"/>
        </w:rPr>
        <w:t>outer regional and remote areas have longe</w:t>
      </w:r>
      <w:r w:rsidR="009D4FDC">
        <w:rPr>
          <w:lang w:eastAsia="en-AU"/>
        </w:rPr>
        <w:t>r wait times compared with their inner regional and major c</w:t>
      </w:r>
      <w:r w:rsidR="00153483">
        <w:rPr>
          <w:lang w:eastAsia="en-AU"/>
        </w:rPr>
        <w:t xml:space="preserve">ity counterparts for time between first contact and intake or assessment. Wait time between </w:t>
      </w:r>
      <w:r w:rsidR="00CC7A1E">
        <w:rPr>
          <w:lang w:eastAsia="en-AU"/>
        </w:rPr>
        <w:t xml:space="preserve">assessment and accessing recommended support is similar </w:t>
      </w:r>
      <w:r w:rsidR="002334AF">
        <w:rPr>
          <w:lang w:eastAsia="en-AU"/>
        </w:rPr>
        <w:t>in serv</w:t>
      </w:r>
      <w:r w:rsidR="00E539A7">
        <w:rPr>
          <w:lang w:eastAsia="en-AU"/>
        </w:rPr>
        <w:t>i</w:t>
      </w:r>
      <w:r w:rsidR="002334AF">
        <w:rPr>
          <w:lang w:eastAsia="en-AU"/>
        </w:rPr>
        <w:t xml:space="preserve">ces across </w:t>
      </w:r>
      <w:r w:rsidR="00CC7A1E">
        <w:rPr>
          <w:lang w:eastAsia="en-AU"/>
        </w:rPr>
        <w:t xml:space="preserve">all ruralities, except </w:t>
      </w:r>
      <w:r w:rsidR="002334AF">
        <w:rPr>
          <w:lang w:eastAsia="en-AU"/>
        </w:rPr>
        <w:t xml:space="preserve">those in </w:t>
      </w:r>
      <w:r w:rsidR="00CC7A1E">
        <w:rPr>
          <w:lang w:eastAsia="en-AU"/>
        </w:rPr>
        <w:t xml:space="preserve">remote Australia, </w:t>
      </w:r>
      <w:r w:rsidR="00E539A7">
        <w:rPr>
          <w:lang w:eastAsia="en-AU"/>
        </w:rPr>
        <w:t>which were consistently shorter</w:t>
      </w:r>
      <w:r w:rsidR="00F72768">
        <w:rPr>
          <w:lang w:eastAsia="en-AU"/>
        </w:rPr>
        <w:t>.</w:t>
      </w:r>
    </w:p>
    <w:p w14:paraId="11B355A9" w14:textId="042442E0" w:rsidR="00BD262E" w:rsidRDefault="005D6E24" w:rsidP="001A2155">
      <w:pPr>
        <w:pStyle w:val="Caption"/>
      </w:pPr>
      <w:r>
        <w:rPr>
          <w:lang w:eastAsia="en-AU"/>
        </w:rPr>
        <w:t xml:space="preserve"> </w:t>
      </w:r>
      <w:bookmarkStart w:id="69" w:name="_Toc108108960"/>
      <w:r w:rsidR="001A2155">
        <w:t xml:space="preserve">Table </w:t>
      </w:r>
      <w:r>
        <w:fldChar w:fldCharType="begin"/>
      </w:r>
      <w:r>
        <w:instrText>SEQ Table \* ARABIC</w:instrText>
      </w:r>
      <w:r>
        <w:fldChar w:fldCharType="separate"/>
      </w:r>
      <w:r w:rsidR="00CC0438">
        <w:rPr>
          <w:noProof/>
        </w:rPr>
        <w:t>10</w:t>
      </w:r>
      <w:r>
        <w:fldChar w:fldCharType="end"/>
      </w:r>
      <w:r w:rsidR="001A2155">
        <w:t xml:space="preserve">: Wait times by </w:t>
      </w:r>
      <w:r w:rsidR="0045299A">
        <w:t>service</w:t>
      </w:r>
      <w:r w:rsidR="001A2155">
        <w:t xml:space="preserve"> rurality</w:t>
      </w:r>
      <w:bookmarkEnd w:id="69"/>
    </w:p>
    <w:tbl>
      <w:tblPr>
        <w:tblStyle w:val="TableGrid"/>
        <w:tblW w:w="494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ait times by service rurality"/>
        <w:tblDescription w:val="Table 10 has 3 columns and summarises average data for different wait time categories by regionality of headspace services. Column 1 lists the remoteness levels. Column 2 lists the average wait time to intake or assessment for services, and Column 3 lists the average wait time to recommended treatment for services"/>
      </w:tblPr>
      <w:tblGrid>
        <w:gridCol w:w="3745"/>
        <w:gridCol w:w="2608"/>
        <w:gridCol w:w="2608"/>
      </w:tblGrid>
      <w:tr w:rsidR="00325DFF" w:rsidRPr="001D6913" w14:paraId="6E00C73F" w14:textId="569D9170" w:rsidTr="00D8610F">
        <w:trPr>
          <w:tblHeader/>
          <w:jc w:val="center"/>
        </w:trPr>
        <w:tc>
          <w:tcPr>
            <w:tcW w:w="2090" w:type="pct"/>
            <w:tcBorders>
              <w:bottom w:val="single" w:sz="4" w:space="0" w:color="00338D"/>
            </w:tcBorders>
            <w:shd w:val="clear" w:color="auto" w:fill="00338D"/>
          </w:tcPr>
          <w:p w14:paraId="27E9EF37" w14:textId="31E58D2D" w:rsidR="00325DFF" w:rsidRPr="001D6913" w:rsidRDefault="00325DFF" w:rsidP="002358BF">
            <w:pPr>
              <w:pStyle w:val="Tableheading"/>
            </w:pPr>
            <w:r>
              <w:t>Centre rurality</w:t>
            </w:r>
          </w:p>
        </w:tc>
        <w:tc>
          <w:tcPr>
            <w:tcW w:w="1455" w:type="pct"/>
            <w:tcBorders>
              <w:bottom w:val="single" w:sz="4" w:space="0" w:color="00338D"/>
            </w:tcBorders>
            <w:shd w:val="clear" w:color="auto" w:fill="00338D"/>
          </w:tcPr>
          <w:p w14:paraId="548ADB02" w14:textId="12A843BD" w:rsidR="00325DFF" w:rsidRPr="001D6913" w:rsidRDefault="00325DFF" w:rsidP="002358BF">
            <w:pPr>
              <w:pStyle w:val="Tableheading"/>
              <w:jc w:val="center"/>
            </w:pPr>
            <w:r>
              <w:t xml:space="preserve">Average wait </w:t>
            </w:r>
            <w:r>
              <w:br/>
              <w:t xml:space="preserve">to </w:t>
            </w:r>
            <w:r w:rsidR="00235DD5">
              <w:t>WT</w:t>
            </w:r>
            <w:r>
              <w:t>1 (days)</w:t>
            </w:r>
          </w:p>
        </w:tc>
        <w:tc>
          <w:tcPr>
            <w:tcW w:w="1455" w:type="pct"/>
            <w:tcBorders>
              <w:bottom w:val="single" w:sz="4" w:space="0" w:color="00338D"/>
            </w:tcBorders>
            <w:shd w:val="clear" w:color="auto" w:fill="00338D"/>
          </w:tcPr>
          <w:p w14:paraId="6331EDEB" w14:textId="5C3B7051" w:rsidR="00325DFF" w:rsidRDefault="00325DFF" w:rsidP="002358BF">
            <w:pPr>
              <w:pStyle w:val="Tableheading"/>
              <w:jc w:val="center"/>
            </w:pPr>
            <w:r>
              <w:t xml:space="preserve">Average wait </w:t>
            </w:r>
            <w:r>
              <w:br/>
              <w:t>to</w:t>
            </w:r>
            <w:r w:rsidR="00235DD5">
              <w:t xml:space="preserve"> WT</w:t>
            </w:r>
            <w:r>
              <w:t>2 (days)</w:t>
            </w:r>
          </w:p>
        </w:tc>
      </w:tr>
      <w:tr w:rsidR="00325DFF" w:rsidRPr="001D6913" w14:paraId="06ECBF08" w14:textId="4D61ED83" w:rsidTr="00D8610F">
        <w:trPr>
          <w:jc w:val="center"/>
        </w:trPr>
        <w:tc>
          <w:tcPr>
            <w:tcW w:w="2090" w:type="pct"/>
            <w:tcBorders>
              <w:top w:val="single" w:sz="4" w:space="0" w:color="00338D"/>
              <w:bottom w:val="single" w:sz="2" w:space="0" w:color="808080" w:themeColor="background1" w:themeShade="80"/>
            </w:tcBorders>
            <w:vAlign w:val="bottom"/>
          </w:tcPr>
          <w:p w14:paraId="2EE8AED4" w14:textId="6A9316C9" w:rsidR="00325DFF" w:rsidRPr="001D6913" w:rsidRDefault="00325DFF" w:rsidP="007E39C1">
            <w:pPr>
              <w:pStyle w:val="Tabletext"/>
            </w:pPr>
            <w:r>
              <w:t>Inner regional Australia</w:t>
            </w:r>
          </w:p>
        </w:tc>
        <w:tc>
          <w:tcPr>
            <w:tcW w:w="1455" w:type="pct"/>
            <w:tcBorders>
              <w:top w:val="single" w:sz="4" w:space="0" w:color="00338D"/>
              <w:bottom w:val="single" w:sz="2" w:space="0" w:color="808080" w:themeColor="background1" w:themeShade="80"/>
            </w:tcBorders>
            <w:vAlign w:val="bottom"/>
          </w:tcPr>
          <w:p w14:paraId="2F87C712" w14:textId="7CDA7434" w:rsidR="00325DFF" w:rsidRPr="001D6913" w:rsidRDefault="00325DFF" w:rsidP="007E39C1">
            <w:pPr>
              <w:pStyle w:val="Tabletext"/>
              <w:jc w:val="center"/>
            </w:pPr>
            <w:r w:rsidRPr="00641EEE">
              <w:t>16.2</w:t>
            </w:r>
          </w:p>
        </w:tc>
        <w:tc>
          <w:tcPr>
            <w:tcW w:w="1455" w:type="pct"/>
            <w:tcBorders>
              <w:top w:val="single" w:sz="4" w:space="0" w:color="00338D"/>
              <w:bottom w:val="single" w:sz="2" w:space="0" w:color="808080" w:themeColor="background1" w:themeShade="80"/>
            </w:tcBorders>
            <w:vAlign w:val="bottom"/>
          </w:tcPr>
          <w:p w14:paraId="07BD28DA" w14:textId="1022B925" w:rsidR="00325DFF" w:rsidRDefault="00325DFF" w:rsidP="007E39C1">
            <w:pPr>
              <w:pStyle w:val="Tabletext"/>
              <w:jc w:val="center"/>
            </w:pPr>
            <w:r w:rsidRPr="00641EEE">
              <w:t>37.8</w:t>
            </w:r>
          </w:p>
        </w:tc>
      </w:tr>
      <w:tr w:rsidR="00325DFF" w:rsidRPr="001D6913" w14:paraId="62226698" w14:textId="5A6209AC" w:rsidTr="00D8610F">
        <w:trPr>
          <w:jc w:val="center"/>
        </w:trPr>
        <w:tc>
          <w:tcPr>
            <w:tcW w:w="2090" w:type="pct"/>
            <w:tcBorders>
              <w:top w:val="single" w:sz="2" w:space="0" w:color="808080" w:themeColor="background1" w:themeShade="80"/>
              <w:bottom w:val="single" w:sz="2" w:space="0" w:color="808080" w:themeColor="background1" w:themeShade="80"/>
            </w:tcBorders>
            <w:vAlign w:val="bottom"/>
          </w:tcPr>
          <w:p w14:paraId="43693FF1" w14:textId="428687A5" w:rsidR="00325DFF" w:rsidRPr="001D6913" w:rsidRDefault="00325DFF" w:rsidP="007E39C1">
            <w:pPr>
              <w:pStyle w:val="Tabletext"/>
            </w:pPr>
            <w:r>
              <w:t>Major cities of Australia</w:t>
            </w:r>
          </w:p>
        </w:tc>
        <w:tc>
          <w:tcPr>
            <w:tcW w:w="1455" w:type="pct"/>
            <w:tcBorders>
              <w:top w:val="single" w:sz="2" w:space="0" w:color="808080" w:themeColor="background1" w:themeShade="80"/>
              <w:bottom w:val="single" w:sz="2" w:space="0" w:color="808080" w:themeColor="background1" w:themeShade="80"/>
            </w:tcBorders>
            <w:vAlign w:val="bottom"/>
          </w:tcPr>
          <w:p w14:paraId="37C6D692" w14:textId="61932CC7" w:rsidR="00325DFF" w:rsidRPr="001D6913" w:rsidRDefault="00325DFF" w:rsidP="007E39C1">
            <w:pPr>
              <w:pStyle w:val="Tabletext"/>
              <w:jc w:val="center"/>
            </w:pPr>
            <w:r w:rsidRPr="00641EEE">
              <w:t>15.7</w:t>
            </w:r>
          </w:p>
        </w:tc>
        <w:tc>
          <w:tcPr>
            <w:tcW w:w="1455" w:type="pct"/>
            <w:tcBorders>
              <w:top w:val="single" w:sz="2" w:space="0" w:color="808080" w:themeColor="background1" w:themeShade="80"/>
              <w:bottom w:val="single" w:sz="2" w:space="0" w:color="808080" w:themeColor="background1" w:themeShade="80"/>
            </w:tcBorders>
            <w:vAlign w:val="bottom"/>
          </w:tcPr>
          <w:p w14:paraId="3C743AB6" w14:textId="1F257498" w:rsidR="00325DFF" w:rsidRDefault="00325DFF" w:rsidP="007E39C1">
            <w:pPr>
              <w:pStyle w:val="Tabletext"/>
              <w:jc w:val="center"/>
            </w:pPr>
            <w:r w:rsidRPr="00641EEE">
              <w:t>43.2</w:t>
            </w:r>
          </w:p>
        </w:tc>
      </w:tr>
      <w:tr w:rsidR="00325DFF" w:rsidRPr="001D6913" w14:paraId="37FFEE85" w14:textId="3779015B" w:rsidTr="00D8610F">
        <w:trPr>
          <w:jc w:val="center"/>
        </w:trPr>
        <w:tc>
          <w:tcPr>
            <w:tcW w:w="2090" w:type="pct"/>
            <w:tcBorders>
              <w:top w:val="single" w:sz="2" w:space="0" w:color="808080" w:themeColor="background1" w:themeShade="80"/>
              <w:bottom w:val="single" w:sz="2" w:space="0" w:color="808080" w:themeColor="background1" w:themeShade="80"/>
            </w:tcBorders>
            <w:vAlign w:val="bottom"/>
          </w:tcPr>
          <w:p w14:paraId="5CC6C0F7" w14:textId="75903183" w:rsidR="00325DFF" w:rsidRPr="001D6913" w:rsidRDefault="00325DFF" w:rsidP="007E39C1">
            <w:pPr>
              <w:pStyle w:val="Tabletext"/>
            </w:pPr>
            <w:r>
              <w:t>Outer regional Australia</w:t>
            </w:r>
          </w:p>
        </w:tc>
        <w:tc>
          <w:tcPr>
            <w:tcW w:w="1455" w:type="pct"/>
            <w:tcBorders>
              <w:top w:val="single" w:sz="2" w:space="0" w:color="808080" w:themeColor="background1" w:themeShade="80"/>
              <w:bottom w:val="single" w:sz="2" w:space="0" w:color="808080" w:themeColor="background1" w:themeShade="80"/>
            </w:tcBorders>
            <w:vAlign w:val="bottom"/>
          </w:tcPr>
          <w:p w14:paraId="4FE5A536" w14:textId="6B935EF0" w:rsidR="00325DFF" w:rsidRPr="001D6913" w:rsidRDefault="00325DFF" w:rsidP="007E39C1">
            <w:pPr>
              <w:pStyle w:val="Tabletext"/>
              <w:jc w:val="center"/>
            </w:pPr>
            <w:r w:rsidRPr="00641EEE">
              <w:t>19.5</w:t>
            </w:r>
          </w:p>
        </w:tc>
        <w:tc>
          <w:tcPr>
            <w:tcW w:w="1455" w:type="pct"/>
            <w:tcBorders>
              <w:top w:val="single" w:sz="2" w:space="0" w:color="808080" w:themeColor="background1" w:themeShade="80"/>
              <w:bottom w:val="single" w:sz="2" w:space="0" w:color="808080" w:themeColor="background1" w:themeShade="80"/>
            </w:tcBorders>
            <w:vAlign w:val="bottom"/>
          </w:tcPr>
          <w:p w14:paraId="4C72AC06" w14:textId="7AF6AEE0" w:rsidR="00325DFF" w:rsidRDefault="00325DFF" w:rsidP="007E39C1">
            <w:pPr>
              <w:pStyle w:val="Tabletext"/>
              <w:jc w:val="center"/>
            </w:pPr>
            <w:r w:rsidRPr="00641EEE">
              <w:t>44.4</w:t>
            </w:r>
          </w:p>
        </w:tc>
      </w:tr>
      <w:tr w:rsidR="00325DFF" w:rsidRPr="001D6913" w14:paraId="0C8580AF" w14:textId="5B6F8CAF" w:rsidTr="00D8610F">
        <w:trPr>
          <w:jc w:val="center"/>
        </w:trPr>
        <w:tc>
          <w:tcPr>
            <w:tcW w:w="2090" w:type="pct"/>
            <w:tcBorders>
              <w:top w:val="single" w:sz="2" w:space="0" w:color="808080" w:themeColor="background1" w:themeShade="80"/>
              <w:bottom w:val="single" w:sz="2" w:space="0" w:color="808080" w:themeColor="background1" w:themeShade="80"/>
            </w:tcBorders>
            <w:vAlign w:val="bottom"/>
          </w:tcPr>
          <w:p w14:paraId="706E3F5A" w14:textId="363BA4CC" w:rsidR="00325DFF" w:rsidRPr="001D6913" w:rsidRDefault="00325DFF" w:rsidP="007E39C1">
            <w:pPr>
              <w:pStyle w:val="Tabletext"/>
            </w:pPr>
            <w:r>
              <w:t>Remote Australia</w:t>
            </w:r>
          </w:p>
        </w:tc>
        <w:tc>
          <w:tcPr>
            <w:tcW w:w="1455" w:type="pct"/>
            <w:tcBorders>
              <w:top w:val="single" w:sz="2" w:space="0" w:color="808080" w:themeColor="background1" w:themeShade="80"/>
              <w:bottom w:val="single" w:sz="2" w:space="0" w:color="808080" w:themeColor="background1" w:themeShade="80"/>
            </w:tcBorders>
            <w:vAlign w:val="bottom"/>
          </w:tcPr>
          <w:p w14:paraId="50815422" w14:textId="231DD45C" w:rsidR="00325DFF" w:rsidRPr="001D6913" w:rsidRDefault="00325DFF" w:rsidP="007E39C1">
            <w:pPr>
              <w:pStyle w:val="Tabletext"/>
              <w:jc w:val="center"/>
            </w:pPr>
            <w:r w:rsidRPr="00641EEE">
              <w:t>19.1</w:t>
            </w:r>
          </w:p>
        </w:tc>
        <w:tc>
          <w:tcPr>
            <w:tcW w:w="1455" w:type="pct"/>
            <w:tcBorders>
              <w:top w:val="single" w:sz="2" w:space="0" w:color="808080" w:themeColor="background1" w:themeShade="80"/>
              <w:bottom w:val="single" w:sz="2" w:space="0" w:color="808080" w:themeColor="background1" w:themeShade="80"/>
            </w:tcBorders>
            <w:vAlign w:val="bottom"/>
          </w:tcPr>
          <w:p w14:paraId="3CFCA17C" w14:textId="649FC866" w:rsidR="00325DFF" w:rsidRDefault="00325DFF" w:rsidP="007E39C1">
            <w:pPr>
              <w:pStyle w:val="Tabletext"/>
              <w:jc w:val="center"/>
            </w:pPr>
            <w:r w:rsidRPr="00641EEE">
              <w:t>28.3</w:t>
            </w:r>
          </w:p>
        </w:tc>
      </w:tr>
      <w:tr w:rsidR="00325DFF" w:rsidRPr="001D6913" w14:paraId="5D3DAF05" w14:textId="4E124DD5" w:rsidTr="00D8610F">
        <w:trPr>
          <w:jc w:val="center"/>
        </w:trPr>
        <w:tc>
          <w:tcPr>
            <w:tcW w:w="2090" w:type="pct"/>
            <w:tcBorders>
              <w:top w:val="single" w:sz="2" w:space="0" w:color="808080" w:themeColor="background1" w:themeShade="80"/>
              <w:bottom w:val="single" w:sz="2" w:space="0" w:color="808080" w:themeColor="background1" w:themeShade="80"/>
            </w:tcBorders>
            <w:vAlign w:val="bottom"/>
          </w:tcPr>
          <w:p w14:paraId="78A6755D" w14:textId="5C916620" w:rsidR="00325DFF" w:rsidRPr="001D6913" w:rsidRDefault="00325DFF" w:rsidP="007E39C1">
            <w:pPr>
              <w:pStyle w:val="Tabletext"/>
            </w:pPr>
            <w:r>
              <w:t>Total average</w:t>
            </w:r>
          </w:p>
        </w:tc>
        <w:tc>
          <w:tcPr>
            <w:tcW w:w="1455" w:type="pct"/>
            <w:tcBorders>
              <w:top w:val="single" w:sz="2" w:space="0" w:color="808080" w:themeColor="background1" w:themeShade="80"/>
              <w:bottom w:val="single" w:sz="2" w:space="0" w:color="808080" w:themeColor="background1" w:themeShade="80"/>
            </w:tcBorders>
            <w:vAlign w:val="bottom"/>
          </w:tcPr>
          <w:p w14:paraId="24F16F0B" w14:textId="284AD087" w:rsidR="00325DFF" w:rsidRPr="001D6913" w:rsidRDefault="00325DFF" w:rsidP="007E39C1">
            <w:pPr>
              <w:pStyle w:val="Tabletext"/>
              <w:jc w:val="center"/>
            </w:pPr>
            <w:r w:rsidRPr="00641EEE">
              <w:t>16.3</w:t>
            </w:r>
          </w:p>
        </w:tc>
        <w:tc>
          <w:tcPr>
            <w:tcW w:w="1455" w:type="pct"/>
            <w:tcBorders>
              <w:top w:val="single" w:sz="2" w:space="0" w:color="808080" w:themeColor="background1" w:themeShade="80"/>
              <w:bottom w:val="single" w:sz="2" w:space="0" w:color="808080" w:themeColor="background1" w:themeShade="80"/>
            </w:tcBorders>
            <w:vAlign w:val="bottom"/>
          </w:tcPr>
          <w:p w14:paraId="10F0FF47" w14:textId="60D7E92A" w:rsidR="00325DFF" w:rsidRDefault="00325DFF" w:rsidP="007E39C1">
            <w:pPr>
              <w:pStyle w:val="Tabletext"/>
              <w:jc w:val="center"/>
            </w:pPr>
            <w:r w:rsidRPr="00641EEE">
              <w:t>41.2</w:t>
            </w:r>
          </w:p>
        </w:tc>
      </w:tr>
    </w:tbl>
    <w:p w14:paraId="5DFF341B" w14:textId="6DFEAB9A" w:rsidR="003B4C97" w:rsidRDefault="00BD262E" w:rsidP="00FC071C">
      <w:pPr>
        <w:pStyle w:val="Source"/>
      </w:pPr>
      <w:r>
        <w:t xml:space="preserve">Source: </w:t>
      </w:r>
      <w:r w:rsidR="001A2155">
        <w:t>headspace National analysi</w:t>
      </w:r>
      <w:r w:rsidR="003B4C97">
        <w:t xml:space="preserve">s of administrative data for the period April to October 2021, </w:t>
      </w:r>
      <w:r w:rsidR="003D2011">
        <w:t xml:space="preserve">across 35,771 episodes of care for </w:t>
      </w:r>
      <w:r w:rsidR="00B01696">
        <w:t>WT</w:t>
      </w:r>
      <w:r w:rsidR="003D2011">
        <w:t xml:space="preserve">1, and </w:t>
      </w:r>
      <w:r w:rsidR="00DC4807">
        <w:t xml:space="preserve">11,317 episodes of care for </w:t>
      </w:r>
      <w:r w:rsidR="00B01696">
        <w:t>WT</w:t>
      </w:r>
      <w:r w:rsidR="00DC4807">
        <w:t>2.</w:t>
      </w:r>
    </w:p>
    <w:p w14:paraId="5517D25E" w14:textId="4B206EC3" w:rsidR="001A1940" w:rsidRDefault="001A1940" w:rsidP="00123324">
      <w:pPr>
        <w:pStyle w:val="BodyText"/>
      </w:pPr>
      <w:r>
        <w:rPr>
          <w:lang w:eastAsia="en-AU"/>
        </w:rPr>
        <w:t xml:space="preserve">Young people attending headspace are asked to provide feedback during every episode of care about whether they feel they have waited too long to be seen by headspace. Across all episodes of care commenced in the period 1 July 2015 and 30 June 2020, and concluded by 31 December 2020, </w:t>
      </w:r>
      <w:r w:rsidR="00080644">
        <w:rPr>
          <w:lang w:eastAsia="en-AU"/>
        </w:rPr>
        <w:t xml:space="preserve">the majority of </w:t>
      </w:r>
      <w:r w:rsidRPr="00D45C57">
        <w:t xml:space="preserve">young people generally indicated that they felt they had not waited too long for headspace services, in the period to 2019-20. </w:t>
      </w:r>
    </w:p>
    <w:p w14:paraId="3A74FD5D" w14:textId="77777777" w:rsidR="009C5B0A" w:rsidRPr="00DC5183" w:rsidRDefault="009C5B0A" w:rsidP="00123324">
      <w:pPr>
        <w:pStyle w:val="BodyText"/>
        <w:rPr>
          <w:lang w:eastAsia="en-AU"/>
        </w:rPr>
      </w:pPr>
      <w:r w:rsidRPr="00D45C57">
        <w:rPr>
          <w:lang w:eastAsia="en-AU"/>
        </w:rPr>
        <w:t>While this indicates that wait times are not a primary concern for many young people, anecdotal feedback indicates this has continued to worsen over time, since the conclusion of the data collection period for the evaluation.</w:t>
      </w:r>
      <w:r>
        <w:rPr>
          <w:lang w:eastAsia="en-AU"/>
        </w:rPr>
        <w:t xml:space="preserve"> It is also important to note that this feedback is only received from young people accessing headspace services. There is no feedback mechanism or data captured for young people who do not go on to receive support through headspace, and the extent to which wait times were a barrier to their service access is unknown.  </w:t>
      </w:r>
    </w:p>
    <w:p w14:paraId="35289A16" w14:textId="77777777" w:rsidR="009C5B0A" w:rsidRPr="00DC5183" w:rsidRDefault="009C5B0A" w:rsidP="00123324">
      <w:pPr>
        <w:pStyle w:val="BodyText"/>
        <w:rPr>
          <w:lang w:eastAsia="en-AU"/>
        </w:rPr>
      </w:pPr>
      <w:r>
        <w:rPr>
          <w:lang w:eastAsia="en-AU"/>
        </w:rPr>
        <w:t xml:space="preserve">A range of activities are currently underway to address wait times across headspace services as part of the </w:t>
      </w:r>
      <w:r>
        <w:t>headspace Demand Management and Enhancement Program (hDMEP).</w:t>
      </w:r>
    </w:p>
    <w:p w14:paraId="58D89B7F" w14:textId="0438542D" w:rsidR="00EC198F" w:rsidRPr="00EC198F" w:rsidRDefault="00881BE0" w:rsidP="00EC198F">
      <w:pPr>
        <w:pStyle w:val="Caption"/>
      </w:pPr>
      <w:bookmarkStart w:id="70" w:name="_Toc108109198"/>
      <w:r>
        <w:t xml:space="preserve">Figure </w:t>
      </w:r>
      <w:r>
        <w:fldChar w:fldCharType="begin"/>
      </w:r>
      <w:r>
        <w:instrText>SEQ Figure \* ARABIC</w:instrText>
      </w:r>
      <w:r>
        <w:fldChar w:fldCharType="separate"/>
      </w:r>
      <w:r w:rsidR="00CC0438">
        <w:rPr>
          <w:noProof/>
        </w:rPr>
        <w:t>13</w:t>
      </w:r>
      <w:r>
        <w:fldChar w:fldCharType="end"/>
      </w:r>
      <w:r>
        <w:t xml:space="preserve">: Percentage of </w:t>
      </w:r>
      <w:r w:rsidR="00AB3AE5">
        <w:t>episodes of care</w:t>
      </w:r>
      <w:r w:rsidR="007E560F">
        <w:t xml:space="preserve"> where </w:t>
      </w:r>
      <w:r>
        <w:t>young people say 'yes' to having waited too long to be seen at headspace</w:t>
      </w:r>
      <w:bookmarkEnd w:id="70"/>
    </w:p>
    <w:p w14:paraId="7BEA1D96" w14:textId="2DC29013" w:rsidR="005F7E31" w:rsidRPr="00DF0A37" w:rsidRDefault="005F7E31" w:rsidP="00DF0A37">
      <w:r>
        <w:rPr>
          <w:noProof/>
        </w:rPr>
        <w:drawing>
          <wp:inline distT="0" distB="0" distL="0" distR="0" wp14:anchorId="0F874B0C" wp14:editId="0A8BCBF5">
            <wp:extent cx="5036820" cy="3238500"/>
            <wp:effectExtent l="0" t="0" r="0" b="0"/>
            <wp:docPr id="153" name="Picture 153" descr="Figure 13 is a line chart, showing the average percentage of young people who say yes to having waited too long to be seen at headspace across each financial year. Responses from young people using headspace centres have remained consistent between 10% and 15% across years. Responses from young people with approximately 10% of young people answering yes at their first and second occasions of service. Between 2018-19 and 2019-20, yes responses to first occasion of service in satellite services has increased slightly, and responses to second occasion of service have de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Figure 13 is a line chart, showing the average percentage of young people who say yes to having waited too long to be seen at headspace across each financial year. Responses from young people using headspace centres have remained consistent between 10% and 15% across years. Responses from young people with approximately 10% of young people answering yes at their first and second occasions of service. Between 2018-19 and 2019-20, yes responses to first occasion of service in satellite services has increased slightly, and responses to second occasion of service have decreased slight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6820" cy="3238500"/>
                    </a:xfrm>
                    <a:prstGeom prst="rect">
                      <a:avLst/>
                    </a:prstGeom>
                    <a:noFill/>
                    <a:ln>
                      <a:noFill/>
                    </a:ln>
                  </pic:spPr>
                </pic:pic>
              </a:graphicData>
            </a:graphic>
          </wp:inline>
        </w:drawing>
      </w:r>
    </w:p>
    <w:p w14:paraId="16BC45E4" w14:textId="622999EF" w:rsidR="00881BE0" w:rsidRDefault="00881BE0" w:rsidP="00881BE0">
      <w:pPr>
        <w:pStyle w:val="Source"/>
      </w:pPr>
      <w:r>
        <w:t xml:space="preserve">Source: </w:t>
      </w:r>
      <w:r w:rsidR="00FC071C">
        <w:t>KPMG</w:t>
      </w:r>
      <w:r>
        <w:t xml:space="preserve"> analysis of </w:t>
      </w:r>
      <w:r w:rsidR="00FC071C">
        <w:t xml:space="preserve">hMDS data. </w:t>
      </w:r>
    </w:p>
    <w:p w14:paraId="71034E46" w14:textId="0CC8C022" w:rsidR="008A2B33" w:rsidRPr="008A2B33" w:rsidRDefault="008A2B33" w:rsidP="008A2B33">
      <w:pPr>
        <w:pStyle w:val="Source"/>
      </w:pPr>
      <w:r w:rsidRPr="008A2B33">
        <w:t xml:space="preserve">Notes: The sample includes </w:t>
      </w:r>
      <w:r w:rsidR="000A7578">
        <w:t>381,195 episodes with at least one</w:t>
      </w:r>
      <w:r w:rsidRPr="008A2B33">
        <w:t xml:space="preserve"> </w:t>
      </w:r>
      <w:r w:rsidR="00CF481B">
        <w:t>OOS</w:t>
      </w:r>
      <w:r w:rsidR="000A7578">
        <w:t xml:space="preserve"> in the hMDS</w:t>
      </w:r>
      <w:r w:rsidRPr="008A2B33">
        <w:t xml:space="preserve">, </w:t>
      </w:r>
      <w:r w:rsidR="00B24A04">
        <w:t>the</w:t>
      </w:r>
      <w:r w:rsidR="00AD72D8">
        <w:t xml:space="preserve"> proportion of episodes with missing responses during their first </w:t>
      </w:r>
      <w:r w:rsidR="003302FD">
        <w:t>OOS</w:t>
      </w:r>
      <w:r w:rsidR="00AD72D8">
        <w:t xml:space="preserve"> range from 15</w:t>
      </w:r>
      <w:r w:rsidR="009C0D65">
        <w:t xml:space="preserve"> per cent</w:t>
      </w:r>
      <w:r w:rsidR="00AD72D8">
        <w:t xml:space="preserve"> to 31</w:t>
      </w:r>
      <w:r w:rsidR="009C0D65">
        <w:t xml:space="preserve"> per cent</w:t>
      </w:r>
      <w:r w:rsidR="00AD72D8">
        <w:t>.</w:t>
      </w:r>
    </w:p>
    <w:p w14:paraId="04CC1BD1" w14:textId="696C5A73" w:rsidR="00EC14E9" w:rsidRDefault="008B2FB0" w:rsidP="008B2FB0">
      <w:pPr>
        <w:pStyle w:val="Heading3"/>
      </w:pPr>
      <w:r>
        <w:t>Services currently available at headspace – in conclusion</w:t>
      </w:r>
    </w:p>
    <w:p w14:paraId="1E2E80B4" w14:textId="0EEAF8A7" w:rsidR="008B2FB0" w:rsidRDefault="008B2FB0" w:rsidP="000244E4">
      <w:pPr>
        <w:pStyle w:val="BodyText"/>
      </w:pPr>
      <w:r>
        <w:t>The headspace network has services across all states and territories, with these locations largely mapping to the populations across the states and territories in Australia</w:t>
      </w:r>
      <w:r w:rsidR="00FE701C">
        <w:t>. T</w:t>
      </w:r>
      <w:r>
        <w:t xml:space="preserve">he majority of </w:t>
      </w:r>
      <w:r w:rsidR="00FE701C">
        <w:t xml:space="preserve">headspace </w:t>
      </w:r>
      <w:r>
        <w:t>services</w:t>
      </w:r>
      <w:r w:rsidR="00FE701C">
        <w:t xml:space="preserve"> operate</w:t>
      </w:r>
      <w:r>
        <w:t xml:space="preserve"> in metropolitan and inner regional areas and more than half of services </w:t>
      </w:r>
      <w:r w:rsidR="00FE701C">
        <w:t xml:space="preserve">are </w:t>
      </w:r>
      <w:r>
        <w:t xml:space="preserve">located within Victoria and </w:t>
      </w:r>
      <w:r w:rsidR="00B26E51">
        <w:t>NSW</w:t>
      </w:r>
      <w:r>
        <w:t xml:space="preserve">. The number of service locations per jurisdiction broadly maps </w:t>
      </w:r>
      <w:r w:rsidR="005353DE">
        <w:t xml:space="preserve">proportionately </w:t>
      </w:r>
      <w:r>
        <w:t xml:space="preserve">to population </w:t>
      </w:r>
      <w:r w:rsidR="002746A5">
        <w:t xml:space="preserve">distribution of </w:t>
      </w:r>
      <w:r>
        <w:t>young people.</w:t>
      </w:r>
    </w:p>
    <w:p w14:paraId="790C3867" w14:textId="0823C74A" w:rsidR="008B2FB0" w:rsidRDefault="008B2FB0" w:rsidP="000244E4">
      <w:pPr>
        <w:pStyle w:val="BodyText"/>
      </w:pPr>
      <w:r>
        <w:t xml:space="preserve">While variations of the </w:t>
      </w:r>
      <w:r w:rsidR="006817F2">
        <w:t>headspace</w:t>
      </w:r>
      <w:r>
        <w:t xml:space="preserve"> centre model have been introduced as a result of government policy decisions in recent years, over 92 per cent of services are operated as </w:t>
      </w:r>
      <w:r w:rsidR="006817F2">
        <w:t>headspace</w:t>
      </w:r>
      <w:r>
        <w:t xml:space="preserve"> centres. This proportion will change following 2019-20 as the number of satellite services increases.</w:t>
      </w:r>
    </w:p>
    <w:p w14:paraId="64DCBE67" w14:textId="5479736E" w:rsidR="008B2FB0" w:rsidRDefault="00BB2777" w:rsidP="000244E4">
      <w:pPr>
        <w:pStyle w:val="BodyText"/>
      </w:pPr>
      <w:r>
        <w:t xml:space="preserve">The role of </w:t>
      </w:r>
      <w:r w:rsidR="008B2FB0">
        <w:t xml:space="preserve">PHNs </w:t>
      </w:r>
      <w:r>
        <w:t xml:space="preserve">is to </w:t>
      </w:r>
      <w:r w:rsidR="008B2FB0">
        <w:t xml:space="preserve">oversee the commissioning of headspace services in their local regions. For the evaluation period to 30 June 2020, 28 of the total 31 PHNs commissioned more than one headspace service. </w:t>
      </w:r>
    </w:p>
    <w:p w14:paraId="451660A2" w14:textId="7A8352BB" w:rsidR="007240BC" w:rsidRDefault="008B2FB0" w:rsidP="000244E4">
      <w:pPr>
        <w:pStyle w:val="BodyText"/>
      </w:pPr>
      <w:r>
        <w:t>Services are delivered by a multi-disciplinary staffing team, with psychologists, social workers and counsellors making up more than three-quarters of the staffing profile, reflecting the strong emphasis on mental health and wellbeing in the model. The services provided directly reflect this staffing profile, with mental health services greatly outweighing other services on offer, also consistent with the model.</w:t>
      </w:r>
      <w:r w:rsidR="008A4EEE">
        <w:t xml:space="preserve"> At the same time, there are identified gaps</w:t>
      </w:r>
      <w:r w:rsidR="007E2BDD">
        <w:t xml:space="preserve"> in accessing key professions</w:t>
      </w:r>
      <w:r w:rsidR="008A4EEE">
        <w:t>, particularly with regards to psychologists</w:t>
      </w:r>
      <w:r w:rsidR="00417AA8">
        <w:t>, GPs</w:t>
      </w:r>
      <w:r w:rsidR="008A4EEE">
        <w:t xml:space="preserve"> and psychiatrists</w:t>
      </w:r>
      <w:r w:rsidR="007E2BDD">
        <w:t>.</w:t>
      </w:r>
    </w:p>
    <w:p w14:paraId="4FB1C93E" w14:textId="0491B7C9" w:rsidR="003E5443" w:rsidRPr="005C5087" w:rsidRDefault="003E5443" w:rsidP="000244E4">
      <w:pPr>
        <w:pStyle w:val="BodyText"/>
      </w:pPr>
      <w:r>
        <w:t xml:space="preserve">Services </w:t>
      </w:r>
      <w:r w:rsidR="009417E7">
        <w:t>are generally provided directly to young people one</w:t>
      </w:r>
      <w:r w:rsidR="007731CF">
        <w:t>-</w:t>
      </w:r>
      <w:r w:rsidR="009417E7">
        <w:t>on</w:t>
      </w:r>
      <w:r w:rsidR="007731CF">
        <w:t>-</w:t>
      </w:r>
      <w:r w:rsidR="009417E7">
        <w:t>one, however some group and family sessions are also conducted with the young person</w:t>
      </w:r>
      <w:r w:rsidR="00CC43D0">
        <w:t xml:space="preserve"> present</w:t>
      </w:r>
      <w:r w:rsidR="009417E7">
        <w:t xml:space="preserve">. Occasions of service </w:t>
      </w:r>
      <w:r w:rsidR="00C8354D">
        <w:t>involving family and friends of the young person, without the young person present, are rarely seen in the headspace data.</w:t>
      </w:r>
    </w:p>
    <w:p w14:paraId="0685FDB3" w14:textId="77777777" w:rsidR="007240BC" w:rsidRPr="001D6913" w:rsidRDefault="007240BC" w:rsidP="007240BC">
      <w:pPr>
        <w:pStyle w:val="Heading2"/>
      </w:pPr>
      <w:bookmarkStart w:id="71" w:name="_Toc108173977"/>
      <w:r w:rsidRPr="001D6913">
        <w:t>Changes to services available over the last five years</w:t>
      </w:r>
      <w:bookmarkEnd w:id="71"/>
    </w:p>
    <w:p w14:paraId="5D625D25" w14:textId="77777777" w:rsidR="007240BC" w:rsidRPr="001D6913" w:rsidRDefault="007240BC" w:rsidP="003941C8">
      <w:pPr>
        <w:pStyle w:val="Heading3"/>
      </w:pPr>
      <w:r w:rsidRPr="001D6913">
        <w:t>Summary of the headspace network</w:t>
      </w:r>
    </w:p>
    <w:p w14:paraId="219C3939" w14:textId="77777777" w:rsidR="007240BC" w:rsidRPr="001D6913" w:rsidRDefault="007240BC" w:rsidP="00ED3129">
      <w:pPr>
        <w:pStyle w:val="Heading4"/>
      </w:pPr>
      <w:r>
        <w:t>Service</w:t>
      </w:r>
      <w:r w:rsidRPr="001D6913">
        <w:t>s by jurisdiction</w:t>
      </w:r>
    </w:p>
    <w:p w14:paraId="5B806F71" w14:textId="7ADF7A59" w:rsidR="00FF0ED5" w:rsidRPr="00FF0ED5" w:rsidRDefault="007240BC" w:rsidP="00FF0ED5">
      <w:pPr>
        <w:pStyle w:val="Caption"/>
        <w:rPr>
          <w:noProof/>
        </w:rPr>
      </w:pPr>
      <w:bookmarkStart w:id="72" w:name="_Toc108109199"/>
      <w:r>
        <w:t xml:space="preserve">Figure </w:t>
      </w:r>
      <w:r>
        <w:fldChar w:fldCharType="begin"/>
      </w:r>
      <w:r>
        <w:instrText>SEQ Figure \* ARABIC</w:instrText>
      </w:r>
      <w:r>
        <w:fldChar w:fldCharType="separate"/>
      </w:r>
      <w:r w:rsidR="00CC0438">
        <w:rPr>
          <w:noProof/>
        </w:rPr>
        <w:t>14</w:t>
      </w:r>
      <w:r>
        <w:fldChar w:fldCharType="end"/>
      </w:r>
      <w:r>
        <w:t>: Growth in the number of headspace services between 2015-16</w:t>
      </w:r>
      <w:r w:rsidR="00B73009">
        <w:t xml:space="preserve"> to </w:t>
      </w:r>
      <w:r>
        <w:t>2019</w:t>
      </w:r>
      <w:r w:rsidR="00B73009">
        <w:noBreakHyphen/>
      </w:r>
      <w:r>
        <w:t>20</w:t>
      </w:r>
      <w:r>
        <w:rPr>
          <w:noProof/>
        </w:rPr>
        <w:t>, by jurisdiction</w:t>
      </w:r>
      <w:bookmarkEnd w:id="72"/>
    </w:p>
    <w:p w14:paraId="4E41D6E2" w14:textId="5FE64891" w:rsidR="00750E3D" w:rsidRPr="00750E3D" w:rsidRDefault="00404F16" w:rsidP="00A33A8D">
      <w:r>
        <w:rPr>
          <w:noProof/>
        </w:rPr>
        <w:drawing>
          <wp:inline distT="0" distB="0" distL="0" distR="0" wp14:anchorId="34415B27" wp14:editId="45690988">
            <wp:extent cx="5036820" cy="5394960"/>
            <wp:effectExtent l="0" t="0" r="0" b="0"/>
            <wp:docPr id="83" name="Picture 83" descr="Figure 14 is a clustered bar chart showing the change in the number of headspace services operational, by jurisdiction from 2015-16 to 2019-20. &#10;The ACT had 1 operational service in each year&#10;Tasmania had 3 operational services in each year&#10;The Northern Territory had 2 operational services from 2015-16 to 2018-19, with an additional service opened in 2019-20.&#10;In South Australia, there were 8 services in 2015-16 and 2016-17, 9 services in 2017-18 and 2018-19, and 11 services in 2019-20.&#10;In Western Australia there were 11 services in 2015-16 and 2016-17, 12 services in 2017-18, and 13 services in 2018-19 and 2019-20.&#10;In QLD, there were 20 services in 2015-16, 21 services in 2016-17 and 2017-28, and 22 services in 2018-19 and 2019-20.&#10;In Victoria there were 22 services in 2015-16, 24 services in 2016-17 and 2017-28, 27 services in 2018-19, and 28 services in 2019-20.&#10;In NSW there were 31 services in 2015-16, 32 services in 2016-17, 34 services in 2017-28, 36 services in 2018-19, and 37 services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Figure 14 is a clustered bar chart showing the change in the number of headspace services operational, by jurisdiction from 2015-16 to 2019-20. &#10;The ACT had 1 operational service in each year&#10;Tasmania had 3 operational services in each year&#10;The Northern Territory had 2 operational services from 2015-16 to 2018-19, with an additional service opened in 2019-20.&#10;In South Australia, there were 8 services in 2015-16 and 2016-17, 9 services in 2017-18 and 2018-19, and 11 services in 2019-20.&#10;In Western Australia there were 11 services in 2015-16 and 2016-17, 12 services in 2017-18, and 13 services in 2018-19 and 2019-20.&#10;In QLD, there were 20 services in 2015-16, 21 services in 2016-17 and 2017-28, and 22 services in 2018-19 and 2019-20.&#10;In Victoria there were 22 services in 2015-16, 24 services in 2016-17 and 2017-28, 27 services in 2018-19, and 28 services in 2019-20.&#10;In NSW there were 31 services in 2015-16, 32 services in 2016-17, 34 services in 2017-28, 36 services in 2018-19, and 37 services in 2019-2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6820" cy="5394960"/>
                    </a:xfrm>
                    <a:prstGeom prst="rect">
                      <a:avLst/>
                    </a:prstGeom>
                    <a:noFill/>
                    <a:ln>
                      <a:noFill/>
                    </a:ln>
                  </pic:spPr>
                </pic:pic>
              </a:graphicData>
            </a:graphic>
          </wp:inline>
        </w:drawing>
      </w:r>
    </w:p>
    <w:p w14:paraId="5C2FEED1" w14:textId="2E5217BF" w:rsidR="007240BC" w:rsidRDefault="007240BC" w:rsidP="007240BC">
      <w:pPr>
        <w:pStyle w:val="Source"/>
      </w:pPr>
      <w:r>
        <w:t xml:space="preserve">Source: </w:t>
      </w:r>
      <w:r w:rsidRPr="00D453B6">
        <w:t xml:space="preserve">KPMG analysis of the </w:t>
      </w:r>
      <w:r w:rsidR="008862E5">
        <w:t>hMDS</w:t>
      </w:r>
    </w:p>
    <w:p w14:paraId="38A92F55" w14:textId="65445B48" w:rsidR="00230313" w:rsidRPr="00230313" w:rsidRDefault="00230313" w:rsidP="00230313">
      <w:pPr>
        <w:pStyle w:val="Source"/>
      </w:pPr>
      <w:r>
        <w:t xml:space="preserve">Note: Only headspace services </w:t>
      </w:r>
      <w:r w:rsidR="00396FB9">
        <w:t>that had commenced operations by 30 June 2020 are reflected in thi</w:t>
      </w:r>
      <w:r w:rsidR="00473AA5">
        <w:t>s</w:t>
      </w:r>
      <w:r w:rsidR="00396FB9">
        <w:t xml:space="preserve"> figure.</w:t>
      </w:r>
      <w:r w:rsidR="00D30340">
        <w:t xml:space="preserve"> Services opened after 30 June 2020 are not included.</w:t>
      </w:r>
    </w:p>
    <w:p w14:paraId="687703EC" w14:textId="05CFE7A1" w:rsidR="008B2FB0" w:rsidRDefault="008B2FB0" w:rsidP="008B2FB0">
      <w:pPr>
        <w:pStyle w:val="BodyText"/>
      </w:pPr>
      <w:r>
        <w:t>The headspace network grew over 20 per cent in size between 30 June 2016 and 30 June 2020, with 20 additional services added across Australia, taking the total number of services from 98 to 118. Most jurisdictions, with the exception of Tasmania and the A</w:t>
      </w:r>
      <w:r w:rsidR="0061059B">
        <w:t xml:space="preserve">ustralian </w:t>
      </w:r>
      <w:r>
        <w:t>C</w:t>
      </w:r>
      <w:r w:rsidR="0061059B">
        <w:t xml:space="preserve">apital </w:t>
      </w:r>
      <w:r>
        <w:t>T</w:t>
      </w:r>
      <w:r w:rsidR="0061059B">
        <w:t>erritory (</w:t>
      </w:r>
      <w:r>
        <w:t>ACT</w:t>
      </w:r>
      <w:r w:rsidR="0061059B">
        <w:t>)</w:t>
      </w:r>
      <w:r>
        <w:t xml:space="preserve">, saw new services established in this period, with the majority of these services established in </w:t>
      </w:r>
      <w:r w:rsidR="00C96331">
        <w:t>NSW</w:t>
      </w:r>
      <w:r w:rsidR="002B777A">
        <w:t xml:space="preserve"> </w:t>
      </w:r>
      <w:r>
        <w:t>and Victoria.</w:t>
      </w:r>
    </w:p>
    <w:p w14:paraId="5F00ED19" w14:textId="77777777" w:rsidR="007240BC" w:rsidRPr="001D6913" w:rsidRDefault="007240BC" w:rsidP="00ED3129">
      <w:pPr>
        <w:pStyle w:val="Heading4"/>
      </w:pPr>
      <w:r>
        <w:t>Service</w:t>
      </w:r>
      <w:r w:rsidRPr="001D6913">
        <w:t>s by remoteness</w:t>
      </w:r>
    </w:p>
    <w:p w14:paraId="4194BF1C" w14:textId="1DD2E9C9" w:rsidR="007240BC" w:rsidRPr="00AC45EA" w:rsidRDefault="007240BC" w:rsidP="007240BC">
      <w:pPr>
        <w:pStyle w:val="BodyText"/>
      </w:pPr>
      <w:r>
        <w:t>The location of headspace services has shifted over the last five years, with the addition of more services outside of major cities to support the reach of the network into regional and rural communities. Fourteen services were established in inner regional and outer regional areas, with only four added in major cities. This period also saw the first very remote service established</w:t>
      </w:r>
      <w:r w:rsidR="00B31425">
        <w:t xml:space="preserve"> –</w:t>
      </w:r>
      <w:r>
        <w:t xml:space="preserve"> the Pilbara Regional Trial.</w:t>
      </w:r>
    </w:p>
    <w:p w14:paraId="027465A6" w14:textId="6B6E0A78" w:rsidR="007240BC" w:rsidRDefault="007240BC" w:rsidP="007240BC">
      <w:pPr>
        <w:pStyle w:val="Caption"/>
      </w:pPr>
      <w:bookmarkStart w:id="73" w:name="_Toc108109200"/>
      <w:r>
        <w:t xml:space="preserve">Figure </w:t>
      </w:r>
      <w:r>
        <w:fldChar w:fldCharType="begin"/>
      </w:r>
      <w:r>
        <w:instrText>SEQ Figure \* ARABIC</w:instrText>
      </w:r>
      <w:r>
        <w:fldChar w:fldCharType="separate"/>
      </w:r>
      <w:r w:rsidR="00CC0438">
        <w:rPr>
          <w:noProof/>
        </w:rPr>
        <w:t>15</w:t>
      </w:r>
      <w:r>
        <w:fldChar w:fldCharType="end"/>
      </w:r>
      <w:r>
        <w:t xml:space="preserve">: </w:t>
      </w:r>
      <w:r w:rsidRPr="001724E3">
        <w:t>Growth in the number of headspace services between 20</w:t>
      </w:r>
      <w:r>
        <w:t>15-</w:t>
      </w:r>
      <w:r w:rsidRPr="001724E3">
        <w:t>16</w:t>
      </w:r>
      <w:r w:rsidR="00B73009">
        <w:t xml:space="preserve"> to </w:t>
      </w:r>
      <w:r w:rsidRPr="001724E3">
        <w:t>20</w:t>
      </w:r>
      <w:r>
        <w:t>19-</w:t>
      </w:r>
      <w:r w:rsidRPr="001724E3">
        <w:t xml:space="preserve">20, by </w:t>
      </w:r>
      <w:r>
        <w:t>remoteness</w:t>
      </w:r>
      <w:bookmarkEnd w:id="73"/>
    </w:p>
    <w:p w14:paraId="5BDCBDC9" w14:textId="484216CA" w:rsidR="00FB5709" w:rsidRPr="00FB5709" w:rsidRDefault="00FB5709" w:rsidP="003B3CD9">
      <w:r>
        <w:rPr>
          <w:noProof/>
        </w:rPr>
        <w:drawing>
          <wp:inline distT="0" distB="0" distL="0" distR="0" wp14:anchorId="21CEC0F0" wp14:editId="4586201D">
            <wp:extent cx="5037455" cy="5401945"/>
            <wp:effectExtent l="0" t="0" r="0" b="8255"/>
            <wp:docPr id="194" name="Picture 194" descr="Figure 15 is a clustered bar chart showing the change in the number of headspace services operational, by jurisdiction from 2015-16 to 2019-20. &#10;Very remote Australia had no services in 2015-16, and increased to 1 service in 2016-17. There was still 1 service in 2019-20&#10;Remote Australia had 3 operational services between 2015-16 and 2018-19, with 4 services in 2019-20.&#10;In Outer Regional Australia there were 11 services in 2015-16, 13 services in 2016-17, 15 services in 2017-28, and 17 services in 2018-19 and 2019-20.&#10;In Inner Regional Australia there were 27 services in 2015-16, 29 services in 2016-17, 30 services in 2017-28, 33 services in 2018-19, and 35 services in 2019-20.&#10;In Major cities of Australia, there were 57 operational services between 2015-16 and 2017-18, 59 services in 2018-19, and 61 services in 2019-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Figure 15 is a clustered bar chart showing the change in the number of headspace services operational, by jurisdiction from 2015-16 to 2019-20. &#10;Very remote Australia had no services in 2015-16, and increased to 1 service in 2016-17. There was still 1 service in 2019-20&#10;Remote Australia had 3 operational services between 2015-16 and 2018-19, with 4 services in 2019-20.&#10;In Outer Regional Australia there were 11 services in 2015-16, 13 services in 2016-17, 15 services in 2017-28, and 17 services in 2018-19 and 2019-20.&#10;In Inner Regional Australia there were 27 services in 2015-16, 29 services in 2016-17, 30 services in 2017-28, 33 services in 2018-19, and 35 services in 2019-20.&#10;In Major cities of Australia, there were 57 operational services between 2015-16 and 2017-18, 59 services in 2018-19, and 61 services in 2019-20.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7455" cy="5401945"/>
                    </a:xfrm>
                    <a:prstGeom prst="rect">
                      <a:avLst/>
                    </a:prstGeom>
                    <a:noFill/>
                    <a:ln>
                      <a:noFill/>
                    </a:ln>
                  </pic:spPr>
                </pic:pic>
              </a:graphicData>
            </a:graphic>
          </wp:inline>
        </w:drawing>
      </w:r>
    </w:p>
    <w:p w14:paraId="431038E6" w14:textId="74C9B4D4" w:rsidR="007240BC" w:rsidRDefault="007240BC" w:rsidP="007240BC">
      <w:pPr>
        <w:pStyle w:val="Source"/>
      </w:pPr>
      <w:r>
        <w:t xml:space="preserve">Source: </w:t>
      </w:r>
      <w:r w:rsidRPr="00DE1C22">
        <w:t xml:space="preserve">KPMG analysis of the </w:t>
      </w:r>
      <w:r w:rsidR="008862E5">
        <w:t>hMDS</w:t>
      </w:r>
      <w:r w:rsidR="00536F43">
        <w:t>.</w:t>
      </w:r>
    </w:p>
    <w:p w14:paraId="21C2E252" w14:textId="13F5C795" w:rsidR="00536F43" w:rsidRPr="00230313" w:rsidRDefault="00536F43" w:rsidP="00536F43">
      <w:pPr>
        <w:pStyle w:val="Source"/>
      </w:pPr>
      <w:r>
        <w:t>Note: Only headspace services that had commenced operations by 30 June 2020 are reflected in this figure. Services opened after 30 June 2020 are not included.</w:t>
      </w:r>
    </w:p>
    <w:p w14:paraId="6063AC50" w14:textId="77777777" w:rsidR="007240BC" w:rsidRPr="001D6913" w:rsidRDefault="007240BC" w:rsidP="00ED3129">
      <w:pPr>
        <w:pStyle w:val="Heading4"/>
      </w:pPr>
      <w:r>
        <w:t>Service</w:t>
      </w:r>
      <w:r w:rsidRPr="001D6913">
        <w:t xml:space="preserve">s by Primary Health Network </w:t>
      </w:r>
    </w:p>
    <w:p w14:paraId="6AD67451" w14:textId="56F66C87" w:rsidR="007240BC" w:rsidRPr="001D6913" w:rsidRDefault="007240BC" w:rsidP="007240BC">
      <w:pPr>
        <w:pStyle w:val="BodyText"/>
      </w:pPr>
      <w:r>
        <w:t>The additional 20 services that were added to the headspace network between 30 June 2016 and 30</w:t>
      </w:r>
      <w:r w:rsidR="009E0FE7">
        <w:t> </w:t>
      </w:r>
      <w:r>
        <w:t xml:space="preserve">June 2020 have been concentrated in a few specific areas </w:t>
      </w:r>
      <w:r w:rsidR="00D04359">
        <w:t xml:space="preserve">of </w:t>
      </w:r>
      <w:r>
        <w:t xml:space="preserve">Australia, with 13 of 31 PHNs responsible for commissioning the new services. </w:t>
      </w:r>
    </w:p>
    <w:p w14:paraId="40393FE9" w14:textId="48B1AB7A" w:rsidR="007240BC" w:rsidRPr="001D6913" w:rsidRDefault="007240BC" w:rsidP="007240BC">
      <w:pPr>
        <w:pStyle w:val="BodyText"/>
      </w:pPr>
      <w:r>
        <w:t xml:space="preserve">The largest increase was seen for Country </w:t>
      </w:r>
      <w:r w:rsidR="000E07A1">
        <w:t>South Austral</w:t>
      </w:r>
      <w:r w:rsidR="006B344F">
        <w:t>ia</w:t>
      </w:r>
      <w:r w:rsidR="000E07A1">
        <w:t xml:space="preserve"> </w:t>
      </w:r>
      <w:r>
        <w:t>PHN, with three additional services commissioned by this PHN.</w:t>
      </w:r>
    </w:p>
    <w:p w14:paraId="6F55AA7A" w14:textId="3C80D2D5" w:rsidR="007240BC" w:rsidRDefault="007240BC" w:rsidP="007240BC">
      <w:pPr>
        <w:pStyle w:val="Caption"/>
      </w:pPr>
      <w:bookmarkStart w:id="74" w:name="_Toc108108961"/>
      <w:r>
        <w:t xml:space="preserve">Table </w:t>
      </w:r>
      <w:r>
        <w:fldChar w:fldCharType="begin"/>
      </w:r>
      <w:r>
        <w:instrText>SEQ Table \* ARABIC</w:instrText>
      </w:r>
      <w:r>
        <w:fldChar w:fldCharType="separate"/>
      </w:r>
      <w:r w:rsidR="00CC0438">
        <w:rPr>
          <w:noProof/>
        </w:rPr>
        <w:t>11</w:t>
      </w:r>
      <w:r>
        <w:fldChar w:fldCharType="end"/>
      </w:r>
      <w:r>
        <w:t xml:space="preserve">: </w:t>
      </w:r>
      <w:r w:rsidRPr="00906EB7">
        <w:t>Growth in the number of headspace services between 20</w:t>
      </w:r>
      <w:r>
        <w:t>15-</w:t>
      </w:r>
      <w:r w:rsidRPr="00906EB7">
        <w:t>16</w:t>
      </w:r>
      <w:r w:rsidR="006256B3">
        <w:t xml:space="preserve"> to </w:t>
      </w:r>
      <w:r w:rsidRPr="00906EB7">
        <w:t>20</w:t>
      </w:r>
      <w:r>
        <w:t>19-</w:t>
      </w:r>
      <w:r w:rsidRPr="00906EB7">
        <w:t xml:space="preserve">20, by </w:t>
      </w:r>
      <w:r>
        <w:t>PHN</w:t>
      </w:r>
      <w:bookmarkEnd w:id="74"/>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owth in the number of headspace services between 2015-15 and 2019-20, by PHN"/>
        <w:tblDescription w:val="Table has 4 columns and outlines the growth in the number of headspace services between 2015-16 and 2019-20, by PHN. Column 1 shows the PHNs with new services during this period. Column 2 shows the number of services the PHN had in 2015-16. Column 3 shows the number of services the PHN had in 2019-20. Column 4 shows the increase in the number of services per PHN between the two time periods. &#10;"/>
      </w:tblPr>
      <w:tblGrid>
        <w:gridCol w:w="2267"/>
        <w:gridCol w:w="2267"/>
        <w:gridCol w:w="2268"/>
        <w:gridCol w:w="2268"/>
      </w:tblGrid>
      <w:tr w:rsidR="007240BC" w:rsidRPr="001D6913" w14:paraId="7F822776" w14:textId="77777777" w:rsidTr="00396577">
        <w:trPr>
          <w:tblHeader/>
          <w:jc w:val="center"/>
        </w:trPr>
        <w:tc>
          <w:tcPr>
            <w:tcW w:w="1250" w:type="pct"/>
            <w:tcBorders>
              <w:bottom w:val="single" w:sz="4" w:space="0" w:color="00338D"/>
            </w:tcBorders>
            <w:shd w:val="clear" w:color="auto" w:fill="00338D"/>
          </w:tcPr>
          <w:p w14:paraId="447A0C8C" w14:textId="77777777" w:rsidR="007240BC" w:rsidRPr="001D6913" w:rsidRDefault="007240BC" w:rsidP="00396577">
            <w:pPr>
              <w:pStyle w:val="Tableheading"/>
              <w:ind w:left="34"/>
              <w:jc w:val="center"/>
            </w:pPr>
            <w:r>
              <w:t>Primary Health Network</w:t>
            </w:r>
          </w:p>
        </w:tc>
        <w:tc>
          <w:tcPr>
            <w:tcW w:w="1250" w:type="pct"/>
            <w:tcBorders>
              <w:bottom w:val="single" w:sz="4" w:space="0" w:color="00338D"/>
            </w:tcBorders>
            <w:shd w:val="clear" w:color="auto" w:fill="00338D"/>
          </w:tcPr>
          <w:p w14:paraId="19402503" w14:textId="77777777" w:rsidR="007240BC" w:rsidRPr="001D6913" w:rsidRDefault="007240BC" w:rsidP="00396577">
            <w:pPr>
              <w:pStyle w:val="Tableheading"/>
              <w:jc w:val="center"/>
            </w:pPr>
            <w:r>
              <w:t>Number of services 2015-16</w:t>
            </w:r>
          </w:p>
        </w:tc>
        <w:tc>
          <w:tcPr>
            <w:tcW w:w="1250" w:type="pct"/>
            <w:tcBorders>
              <w:bottom w:val="single" w:sz="4" w:space="0" w:color="00338D"/>
            </w:tcBorders>
            <w:shd w:val="clear" w:color="auto" w:fill="00338D"/>
          </w:tcPr>
          <w:p w14:paraId="4CD8A8E0" w14:textId="77777777" w:rsidR="007240BC" w:rsidRPr="001D6913" w:rsidRDefault="007240BC" w:rsidP="00396577">
            <w:pPr>
              <w:pStyle w:val="Tableheading"/>
              <w:jc w:val="center"/>
            </w:pPr>
            <w:r>
              <w:t>Number of services 2019-20</w:t>
            </w:r>
          </w:p>
        </w:tc>
        <w:tc>
          <w:tcPr>
            <w:tcW w:w="1250" w:type="pct"/>
            <w:tcBorders>
              <w:bottom w:val="single" w:sz="4" w:space="0" w:color="00338D"/>
            </w:tcBorders>
            <w:shd w:val="clear" w:color="auto" w:fill="00338D"/>
          </w:tcPr>
          <w:p w14:paraId="2ED3697A" w14:textId="77777777" w:rsidR="007240BC" w:rsidRPr="001D6913" w:rsidRDefault="007240BC" w:rsidP="00396577">
            <w:pPr>
              <w:pStyle w:val="Tableheading"/>
              <w:jc w:val="center"/>
            </w:pPr>
            <w:r>
              <w:t>Increase in</w:t>
            </w:r>
            <w:r w:rsidRPr="001D6913">
              <w:t xml:space="preserve"> </w:t>
            </w:r>
            <w:r>
              <w:t>service</w:t>
            </w:r>
            <w:r w:rsidRPr="001D6913">
              <w:t>s</w:t>
            </w:r>
          </w:p>
        </w:tc>
      </w:tr>
      <w:tr w:rsidR="007240BC" w:rsidRPr="001D6913" w14:paraId="3E6BB4BE" w14:textId="77777777" w:rsidTr="00396577">
        <w:trPr>
          <w:jc w:val="center"/>
        </w:trPr>
        <w:tc>
          <w:tcPr>
            <w:tcW w:w="1250" w:type="pct"/>
            <w:tcBorders>
              <w:top w:val="single" w:sz="4" w:space="0" w:color="00338D"/>
              <w:bottom w:val="single" w:sz="2" w:space="0" w:color="808080" w:themeColor="background1" w:themeShade="80"/>
            </w:tcBorders>
          </w:tcPr>
          <w:p w14:paraId="3F30D846" w14:textId="65A010EC" w:rsidR="007240BC" w:rsidRPr="001D6913" w:rsidRDefault="007240BC" w:rsidP="00396577">
            <w:pPr>
              <w:pStyle w:val="Tabletext"/>
            </w:pPr>
            <w:r w:rsidRPr="00003AB0">
              <w:t xml:space="preserve">Central </w:t>
            </w:r>
            <w:r w:rsidR="00B53EB7">
              <w:t>Queensland</w:t>
            </w:r>
            <w:r w:rsidRPr="00003AB0">
              <w:t xml:space="preserve">, Wide Bay </w:t>
            </w:r>
            <w:r w:rsidR="00B53EB7">
              <w:t>and</w:t>
            </w:r>
            <w:r w:rsidRPr="00003AB0">
              <w:t xml:space="preserve"> Sunshine Coast</w:t>
            </w:r>
          </w:p>
        </w:tc>
        <w:tc>
          <w:tcPr>
            <w:tcW w:w="1250" w:type="pct"/>
            <w:tcBorders>
              <w:top w:val="single" w:sz="4" w:space="0" w:color="00338D"/>
              <w:bottom w:val="single" w:sz="2" w:space="0" w:color="808080" w:themeColor="background1" w:themeShade="80"/>
            </w:tcBorders>
          </w:tcPr>
          <w:p w14:paraId="4FE5B964" w14:textId="77777777" w:rsidR="007240BC" w:rsidRDefault="007240BC" w:rsidP="00396577">
            <w:pPr>
              <w:pStyle w:val="Tabletext"/>
              <w:jc w:val="center"/>
            </w:pPr>
            <w:r w:rsidRPr="0095030E">
              <w:t>4</w:t>
            </w:r>
          </w:p>
        </w:tc>
        <w:tc>
          <w:tcPr>
            <w:tcW w:w="1250" w:type="pct"/>
            <w:tcBorders>
              <w:top w:val="single" w:sz="4" w:space="0" w:color="00338D"/>
              <w:bottom w:val="single" w:sz="2" w:space="0" w:color="808080" w:themeColor="background1" w:themeShade="80"/>
            </w:tcBorders>
          </w:tcPr>
          <w:p w14:paraId="3B060181" w14:textId="77777777" w:rsidR="007240BC" w:rsidRDefault="007240BC" w:rsidP="00396577">
            <w:pPr>
              <w:pStyle w:val="Tabletext"/>
              <w:jc w:val="center"/>
            </w:pPr>
            <w:r w:rsidRPr="0095030E">
              <w:t>6</w:t>
            </w:r>
          </w:p>
        </w:tc>
        <w:tc>
          <w:tcPr>
            <w:tcW w:w="1250" w:type="pct"/>
            <w:tcBorders>
              <w:top w:val="single" w:sz="4" w:space="0" w:color="00338D"/>
              <w:bottom w:val="single" w:sz="2" w:space="0" w:color="808080" w:themeColor="background1" w:themeShade="80"/>
            </w:tcBorders>
          </w:tcPr>
          <w:p w14:paraId="707472F9" w14:textId="77777777" w:rsidR="007240BC" w:rsidRPr="0095030E" w:rsidRDefault="007240BC" w:rsidP="00396577">
            <w:pPr>
              <w:pStyle w:val="Tabletext"/>
              <w:jc w:val="center"/>
              <w:rPr>
                <w:b/>
              </w:rPr>
            </w:pPr>
            <w:r w:rsidRPr="0095030E">
              <w:rPr>
                <w:b/>
                <w:bCs/>
              </w:rPr>
              <w:t>2</w:t>
            </w:r>
          </w:p>
        </w:tc>
      </w:tr>
      <w:tr w:rsidR="007240BC" w:rsidRPr="001D6913" w14:paraId="347B39DB"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4501A148" w14:textId="77777777" w:rsidR="007240BC" w:rsidRPr="001D6913" w:rsidRDefault="007240BC" w:rsidP="00396577">
            <w:pPr>
              <w:pStyle w:val="Tabletext"/>
            </w:pPr>
            <w:r w:rsidRPr="00003AB0">
              <w:t>Country SA</w:t>
            </w:r>
          </w:p>
        </w:tc>
        <w:tc>
          <w:tcPr>
            <w:tcW w:w="1250" w:type="pct"/>
            <w:tcBorders>
              <w:top w:val="single" w:sz="2" w:space="0" w:color="808080" w:themeColor="background1" w:themeShade="80"/>
              <w:bottom w:val="single" w:sz="2" w:space="0" w:color="808080" w:themeColor="background1" w:themeShade="80"/>
            </w:tcBorders>
          </w:tcPr>
          <w:p w14:paraId="6A953333" w14:textId="77777777" w:rsidR="007240BC" w:rsidRDefault="007240BC" w:rsidP="00396577">
            <w:pPr>
              <w:pStyle w:val="Tabletext"/>
              <w:jc w:val="center"/>
            </w:pPr>
            <w:r w:rsidRPr="0095030E">
              <w:t>4</w:t>
            </w:r>
          </w:p>
        </w:tc>
        <w:tc>
          <w:tcPr>
            <w:tcW w:w="1250" w:type="pct"/>
            <w:tcBorders>
              <w:top w:val="single" w:sz="2" w:space="0" w:color="808080" w:themeColor="background1" w:themeShade="80"/>
              <w:bottom w:val="single" w:sz="2" w:space="0" w:color="808080" w:themeColor="background1" w:themeShade="80"/>
            </w:tcBorders>
          </w:tcPr>
          <w:p w14:paraId="78DA28E1" w14:textId="77777777" w:rsidR="007240BC" w:rsidRDefault="007240BC" w:rsidP="00396577">
            <w:pPr>
              <w:pStyle w:val="Tabletext"/>
              <w:jc w:val="center"/>
            </w:pPr>
            <w:r w:rsidRPr="0095030E">
              <w:t>7</w:t>
            </w:r>
          </w:p>
        </w:tc>
        <w:tc>
          <w:tcPr>
            <w:tcW w:w="1250" w:type="pct"/>
            <w:tcBorders>
              <w:top w:val="single" w:sz="2" w:space="0" w:color="808080" w:themeColor="background1" w:themeShade="80"/>
              <w:bottom w:val="single" w:sz="2" w:space="0" w:color="808080" w:themeColor="background1" w:themeShade="80"/>
            </w:tcBorders>
          </w:tcPr>
          <w:p w14:paraId="645F3B85" w14:textId="77777777" w:rsidR="007240BC" w:rsidRPr="0095030E" w:rsidRDefault="007240BC" w:rsidP="00396577">
            <w:pPr>
              <w:pStyle w:val="Tabletext"/>
              <w:jc w:val="center"/>
              <w:rPr>
                <w:b/>
              </w:rPr>
            </w:pPr>
            <w:r w:rsidRPr="0095030E">
              <w:rPr>
                <w:b/>
                <w:bCs/>
              </w:rPr>
              <w:t>3</w:t>
            </w:r>
          </w:p>
        </w:tc>
      </w:tr>
      <w:tr w:rsidR="007240BC" w:rsidRPr="001D6913" w14:paraId="31CA1781"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7667468B" w14:textId="77777777" w:rsidR="007240BC" w:rsidRPr="001D6913" w:rsidRDefault="007240BC" w:rsidP="00396577">
            <w:pPr>
              <w:pStyle w:val="Tabletext"/>
            </w:pPr>
            <w:r w:rsidRPr="00003AB0">
              <w:t>Country WA</w:t>
            </w:r>
          </w:p>
        </w:tc>
        <w:tc>
          <w:tcPr>
            <w:tcW w:w="1250" w:type="pct"/>
            <w:tcBorders>
              <w:top w:val="single" w:sz="2" w:space="0" w:color="808080" w:themeColor="background1" w:themeShade="80"/>
              <w:bottom w:val="single" w:sz="2" w:space="0" w:color="808080" w:themeColor="background1" w:themeShade="80"/>
            </w:tcBorders>
          </w:tcPr>
          <w:p w14:paraId="730A4757" w14:textId="77777777" w:rsidR="007240BC" w:rsidRDefault="007240BC" w:rsidP="00396577">
            <w:pPr>
              <w:pStyle w:val="Tabletext"/>
              <w:jc w:val="center"/>
            </w:pPr>
            <w:r w:rsidRPr="0095030E">
              <w:t>5</w:t>
            </w:r>
          </w:p>
        </w:tc>
        <w:tc>
          <w:tcPr>
            <w:tcW w:w="1250" w:type="pct"/>
            <w:tcBorders>
              <w:top w:val="single" w:sz="2" w:space="0" w:color="808080" w:themeColor="background1" w:themeShade="80"/>
              <w:bottom w:val="single" w:sz="2" w:space="0" w:color="808080" w:themeColor="background1" w:themeShade="80"/>
            </w:tcBorders>
          </w:tcPr>
          <w:p w14:paraId="6C5FD6C1" w14:textId="77777777" w:rsidR="007240BC" w:rsidRDefault="007240BC" w:rsidP="00396577">
            <w:pPr>
              <w:pStyle w:val="Tabletext"/>
              <w:jc w:val="center"/>
            </w:pPr>
            <w:r w:rsidRPr="0095030E">
              <w:t>6</w:t>
            </w:r>
          </w:p>
        </w:tc>
        <w:tc>
          <w:tcPr>
            <w:tcW w:w="1250" w:type="pct"/>
            <w:tcBorders>
              <w:top w:val="single" w:sz="2" w:space="0" w:color="808080" w:themeColor="background1" w:themeShade="80"/>
              <w:bottom w:val="single" w:sz="2" w:space="0" w:color="808080" w:themeColor="background1" w:themeShade="80"/>
            </w:tcBorders>
          </w:tcPr>
          <w:p w14:paraId="33BE9796" w14:textId="77777777" w:rsidR="007240BC" w:rsidRPr="0095030E" w:rsidRDefault="007240BC" w:rsidP="00396577">
            <w:pPr>
              <w:pStyle w:val="Tabletext"/>
              <w:jc w:val="center"/>
              <w:rPr>
                <w:b/>
              </w:rPr>
            </w:pPr>
            <w:r w:rsidRPr="0095030E">
              <w:rPr>
                <w:b/>
                <w:bCs/>
              </w:rPr>
              <w:t>1</w:t>
            </w:r>
          </w:p>
        </w:tc>
      </w:tr>
      <w:tr w:rsidR="007240BC" w:rsidRPr="001D6913" w14:paraId="420B1673"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30F48AAD" w14:textId="77777777" w:rsidR="007240BC" w:rsidRDefault="007240BC" w:rsidP="00396577">
            <w:pPr>
              <w:pStyle w:val="Tabletext"/>
            </w:pPr>
            <w:r w:rsidRPr="00003AB0">
              <w:t>Gippsland</w:t>
            </w:r>
          </w:p>
        </w:tc>
        <w:tc>
          <w:tcPr>
            <w:tcW w:w="1250" w:type="pct"/>
            <w:tcBorders>
              <w:top w:val="single" w:sz="2" w:space="0" w:color="808080" w:themeColor="background1" w:themeShade="80"/>
              <w:bottom w:val="single" w:sz="2" w:space="0" w:color="808080" w:themeColor="background1" w:themeShade="80"/>
            </w:tcBorders>
          </w:tcPr>
          <w:p w14:paraId="3078EE62" w14:textId="77777777" w:rsidR="007240BC" w:rsidRDefault="007240BC" w:rsidP="00396577">
            <w:pPr>
              <w:pStyle w:val="Tabletext"/>
              <w:jc w:val="center"/>
            </w:pPr>
            <w:r w:rsidRPr="0095030E">
              <w:t>1</w:t>
            </w:r>
          </w:p>
        </w:tc>
        <w:tc>
          <w:tcPr>
            <w:tcW w:w="1250" w:type="pct"/>
            <w:tcBorders>
              <w:top w:val="single" w:sz="2" w:space="0" w:color="808080" w:themeColor="background1" w:themeShade="80"/>
              <w:bottom w:val="single" w:sz="2" w:space="0" w:color="808080" w:themeColor="background1" w:themeShade="80"/>
            </w:tcBorders>
          </w:tcPr>
          <w:p w14:paraId="2A5DEFC8" w14:textId="77777777" w:rsidR="007240BC" w:rsidRDefault="007240BC" w:rsidP="00396577">
            <w:pPr>
              <w:pStyle w:val="Tabletext"/>
              <w:jc w:val="center"/>
            </w:pPr>
            <w:r w:rsidRPr="0095030E">
              <w:t>3</w:t>
            </w:r>
          </w:p>
        </w:tc>
        <w:tc>
          <w:tcPr>
            <w:tcW w:w="1250" w:type="pct"/>
            <w:tcBorders>
              <w:top w:val="single" w:sz="2" w:space="0" w:color="808080" w:themeColor="background1" w:themeShade="80"/>
              <w:bottom w:val="single" w:sz="2" w:space="0" w:color="808080" w:themeColor="background1" w:themeShade="80"/>
            </w:tcBorders>
          </w:tcPr>
          <w:p w14:paraId="70C49EC0" w14:textId="77777777" w:rsidR="007240BC" w:rsidRPr="0095030E" w:rsidRDefault="007240BC" w:rsidP="00396577">
            <w:pPr>
              <w:pStyle w:val="Tabletext"/>
              <w:jc w:val="center"/>
              <w:rPr>
                <w:b/>
              </w:rPr>
            </w:pPr>
            <w:r w:rsidRPr="0095030E">
              <w:rPr>
                <w:b/>
                <w:bCs/>
              </w:rPr>
              <w:t>2</w:t>
            </w:r>
          </w:p>
        </w:tc>
      </w:tr>
      <w:tr w:rsidR="007240BC" w:rsidRPr="001D6913" w14:paraId="5F2DD3BF"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3E69066E" w14:textId="77777777" w:rsidR="007240BC" w:rsidRDefault="007240BC" w:rsidP="00396577">
            <w:pPr>
              <w:pStyle w:val="Tabletext"/>
            </w:pPr>
            <w:r w:rsidRPr="00003AB0">
              <w:t>Nepean Blue Mountains</w:t>
            </w:r>
          </w:p>
        </w:tc>
        <w:tc>
          <w:tcPr>
            <w:tcW w:w="1250" w:type="pct"/>
            <w:tcBorders>
              <w:top w:val="single" w:sz="2" w:space="0" w:color="808080" w:themeColor="background1" w:themeShade="80"/>
              <w:bottom w:val="single" w:sz="2" w:space="0" w:color="808080" w:themeColor="background1" w:themeShade="80"/>
            </w:tcBorders>
          </w:tcPr>
          <w:p w14:paraId="5E287CD5" w14:textId="77777777" w:rsidR="007240BC" w:rsidRDefault="007240BC" w:rsidP="00396577">
            <w:pPr>
              <w:pStyle w:val="Tabletext"/>
              <w:jc w:val="center"/>
            </w:pPr>
            <w:r w:rsidRPr="0095030E">
              <w:t>1</w:t>
            </w:r>
          </w:p>
        </w:tc>
        <w:tc>
          <w:tcPr>
            <w:tcW w:w="1250" w:type="pct"/>
            <w:tcBorders>
              <w:top w:val="single" w:sz="2" w:space="0" w:color="808080" w:themeColor="background1" w:themeShade="80"/>
              <w:bottom w:val="single" w:sz="2" w:space="0" w:color="808080" w:themeColor="background1" w:themeShade="80"/>
            </w:tcBorders>
          </w:tcPr>
          <w:p w14:paraId="5249CD2C" w14:textId="77777777" w:rsidR="007240BC" w:rsidRDefault="007240BC" w:rsidP="00396577">
            <w:pPr>
              <w:pStyle w:val="Tabletext"/>
              <w:jc w:val="center"/>
            </w:pPr>
            <w:r w:rsidRPr="0095030E">
              <w:t>2</w:t>
            </w:r>
          </w:p>
        </w:tc>
        <w:tc>
          <w:tcPr>
            <w:tcW w:w="1250" w:type="pct"/>
            <w:tcBorders>
              <w:top w:val="single" w:sz="2" w:space="0" w:color="808080" w:themeColor="background1" w:themeShade="80"/>
              <w:bottom w:val="single" w:sz="2" w:space="0" w:color="808080" w:themeColor="background1" w:themeShade="80"/>
            </w:tcBorders>
          </w:tcPr>
          <w:p w14:paraId="7450E9FF" w14:textId="77777777" w:rsidR="007240BC" w:rsidRPr="0095030E" w:rsidRDefault="007240BC" w:rsidP="00396577">
            <w:pPr>
              <w:pStyle w:val="Tabletext"/>
              <w:jc w:val="center"/>
              <w:rPr>
                <w:b/>
              </w:rPr>
            </w:pPr>
            <w:r w:rsidRPr="0095030E">
              <w:rPr>
                <w:b/>
                <w:bCs/>
              </w:rPr>
              <w:t>1</w:t>
            </w:r>
          </w:p>
        </w:tc>
      </w:tr>
      <w:tr w:rsidR="007240BC" w:rsidRPr="001D6913" w14:paraId="036DD04E"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7C2126D1" w14:textId="77777777" w:rsidR="007240BC" w:rsidRDefault="007240BC" w:rsidP="00396577">
            <w:pPr>
              <w:pStyle w:val="Tabletext"/>
            </w:pPr>
            <w:r w:rsidRPr="00003AB0">
              <w:t>North Coast</w:t>
            </w:r>
          </w:p>
        </w:tc>
        <w:tc>
          <w:tcPr>
            <w:tcW w:w="1250" w:type="pct"/>
            <w:tcBorders>
              <w:top w:val="single" w:sz="2" w:space="0" w:color="808080" w:themeColor="background1" w:themeShade="80"/>
              <w:bottom w:val="single" w:sz="2" w:space="0" w:color="808080" w:themeColor="background1" w:themeShade="80"/>
            </w:tcBorders>
          </w:tcPr>
          <w:p w14:paraId="1EDB175D" w14:textId="77777777" w:rsidR="007240BC" w:rsidRDefault="007240BC" w:rsidP="00396577">
            <w:pPr>
              <w:pStyle w:val="Tabletext"/>
              <w:jc w:val="center"/>
            </w:pPr>
            <w:r w:rsidRPr="0095030E">
              <w:t>4</w:t>
            </w:r>
          </w:p>
        </w:tc>
        <w:tc>
          <w:tcPr>
            <w:tcW w:w="1250" w:type="pct"/>
            <w:tcBorders>
              <w:top w:val="single" w:sz="2" w:space="0" w:color="808080" w:themeColor="background1" w:themeShade="80"/>
              <w:bottom w:val="single" w:sz="2" w:space="0" w:color="808080" w:themeColor="background1" w:themeShade="80"/>
            </w:tcBorders>
          </w:tcPr>
          <w:p w14:paraId="561C12F1" w14:textId="77777777" w:rsidR="007240BC" w:rsidRDefault="007240BC" w:rsidP="00396577">
            <w:pPr>
              <w:pStyle w:val="Tabletext"/>
              <w:jc w:val="center"/>
            </w:pPr>
            <w:r w:rsidRPr="0095030E">
              <w:t>5</w:t>
            </w:r>
          </w:p>
        </w:tc>
        <w:tc>
          <w:tcPr>
            <w:tcW w:w="1250" w:type="pct"/>
            <w:tcBorders>
              <w:top w:val="single" w:sz="2" w:space="0" w:color="808080" w:themeColor="background1" w:themeShade="80"/>
              <w:bottom w:val="single" w:sz="2" w:space="0" w:color="808080" w:themeColor="background1" w:themeShade="80"/>
            </w:tcBorders>
          </w:tcPr>
          <w:p w14:paraId="0E0F7E52" w14:textId="77777777" w:rsidR="007240BC" w:rsidRPr="0095030E" w:rsidRDefault="007240BC" w:rsidP="00396577">
            <w:pPr>
              <w:pStyle w:val="Tabletext"/>
              <w:jc w:val="center"/>
              <w:rPr>
                <w:b/>
              </w:rPr>
            </w:pPr>
            <w:r w:rsidRPr="0095030E">
              <w:rPr>
                <w:b/>
                <w:bCs/>
              </w:rPr>
              <w:t>1</w:t>
            </w:r>
          </w:p>
        </w:tc>
      </w:tr>
      <w:tr w:rsidR="007240BC" w:rsidRPr="001D6913" w14:paraId="571924AD"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26DD02E0" w14:textId="77777777" w:rsidR="007240BC" w:rsidRDefault="007240BC" w:rsidP="00396577">
            <w:pPr>
              <w:pStyle w:val="Tabletext"/>
            </w:pPr>
            <w:r w:rsidRPr="00003AB0">
              <w:t>North Western Melbourne</w:t>
            </w:r>
          </w:p>
        </w:tc>
        <w:tc>
          <w:tcPr>
            <w:tcW w:w="1250" w:type="pct"/>
            <w:tcBorders>
              <w:top w:val="single" w:sz="2" w:space="0" w:color="808080" w:themeColor="background1" w:themeShade="80"/>
              <w:bottom w:val="single" w:sz="2" w:space="0" w:color="808080" w:themeColor="background1" w:themeShade="80"/>
            </w:tcBorders>
          </w:tcPr>
          <w:p w14:paraId="07C40A3E" w14:textId="77777777" w:rsidR="007240BC" w:rsidRDefault="007240BC" w:rsidP="00396577">
            <w:pPr>
              <w:pStyle w:val="Tabletext"/>
              <w:jc w:val="center"/>
            </w:pPr>
            <w:r w:rsidRPr="0095030E">
              <w:t>5</w:t>
            </w:r>
          </w:p>
        </w:tc>
        <w:tc>
          <w:tcPr>
            <w:tcW w:w="1250" w:type="pct"/>
            <w:tcBorders>
              <w:top w:val="single" w:sz="2" w:space="0" w:color="808080" w:themeColor="background1" w:themeShade="80"/>
              <w:bottom w:val="single" w:sz="2" w:space="0" w:color="808080" w:themeColor="background1" w:themeShade="80"/>
            </w:tcBorders>
          </w:tcPr>
          <w:p w14:paraId="06C9AF37" w14:textId="77777777" w:rsidR="007240BC" w:rsidRDefault="007240BC" w:rsidP="00396577">
            <w:pPr>
              <w:pStyle w:val="Tabletext"/>
              <w:jc w:val="center"/>
            </w:pPr>
            <w:r w:rsidRPr="0095030E">
              <w:t>6</w:t>
            </w:r>
          </w:p>
        </w:tc>
        <w:tc>
          <w:tcPr>
            <w:tcW w:w="1250" w:type="pct"/>
            <w:tcBorders>
              <w:top w:val="single" w:sz="2" w:space="0" w:color="808080" w:themeColor="background1" w:themeShade="80"/>
              <w:bottom w:val="single" w:sz="2" w:space="0" w:color="808080" w:themeColor="background1" w:themeShade="80"/>
            </w:tcBorders>
          </w:tcPr>
          <w:p w14:paraId="0253776C" w14:textId="77777777" w:rsidR="007240BC" w:rsidRPr="0095030E" w:rsidRDefault="007240BC" w:rsidP="00396577">
            <w:pPr>
              <w:pStyle w:val="Tabletext"/>
              <w:jc w:val="center"/>
              <w:rPr>
                <w:b/>
              </w:rPr>
            </w:pPr>
            <w:r w:rsidRPr="0095030E">
              <w:rPr>
                <w:b/>
                <w:bCs/>
              </w:rPr>
              <w:t>1</w:t>
            </w:r>
          </w:p>
        </w:tc>
      </w:tr>
      <w:tr w:rsidR="007240BC" w:rsidRPr="001D6913" w14:paraId="091304F0"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7AA0F4C3" w14:textId="77777777" w:rsidR="007240BC" w:rsidRDefault="007240BC" w:rsidP="00396577">
            <w:pPr>
              <w:pStyle w:val="Tabletext"/>
            </w:pPr>
            <w:r w:rsidRPr="00003AB0">
              <w:t>Northern Territory</w:t>
            </w:r>
          </w:p>
        </w:tc>
        <w:tc>
          <w:tcPr>
            <w:tcW w:w="1250" w:type="pct"/>
            <w:tcBorders>
              <w:top w:val="single" w:sz="2" w:space="0" w:color="808080" w:themeColor="background1" w:themeShade="80"/>
              <w:bottom w:val="single" w:sz="2" w:space="0" w:color="808080" w:themeColor="background1" w:themeShade="80"/>
            </w:tcBorders>
          </w:tcPr>
          <w:p w14:paraId="0BDACD9C" w14:textId="77777777" w:rsidR="007240BC" w:rsidRDefault="007240BC" w:rsidP="00396577">
            <w:pPr>
              <w:pStyle w:val="Tabletext"/>
              <w:jc w:val="center"/>
            </w:pPr>
            <w:r w:rsidRPr="0095030E">
              <w:t>2</w:t>
            </w:r>
          </w:p>
        </w:tc>
        <w:tc>
          <w:tcPr>
            <w:tcW w:w="1250" w:type="pct"/>
            <w:tcBorders>
              <w:top w:val="single" w:sz="2" w:space="0" w:color="808080" w:themeColor="background1" w:themeShade="80"/>
              <w:bottom w:val="single" w:sz="2" w:space="0" w:color="808080" w:themeColor="background1" w:themeShade="80"/>
            </w:tcBorders>
          </w:tcPr>
          <w:p w14:paraId="640E9B62" w14:textId="77777777" w:rsidR="007240BC" w:rsidRDefault="007240BC" w:rsidP="00396577">
            <w:pPr>
              <w:pStyle w:val="Tabletext"/>
              <w:jc w:val="center"/>
            </w:pPr>
            <w:r w:rsidRPr="0095030E">
              <w:t>3</w:t>
            </w:r>
          </w:p>
        </w:tc>
        <w:tc>
          <w:tcPr>
            <w:tcW w:w="1250" w:type="pct"/>
            <w:tcBorders>
              <w:top w:val="single" w:sz="2" w:space="0" w:color="808080" w:themeColor="background1" w:themeShade="80"/>
              <w:bottom w:val="single" w:sz="2" w:space="0" w:color="808080" w:themeColor="background1" w:themeShade="80"/>
            </w:tcBorders>
          </w:tcPr>
          <w:p w14:paraId="1F6BE3E8" w14:textId="77777777" w:rsidR="007240BC" w:rsidRPr="0095030E" w:rsidRDefault="007240BC" w:rsidP="00396577">
            <w:pPr>
              <w:pStyle w:val="Tabletext"/>
              <w:jc w:val="center"/>
              <w:rPr>
                <w:b/>
              </w:rPr>
            </w:pPr>
            <w:r w:rsidRPr="0095030E">
              <w:rPr>
                <w:b/>
                <w:bCs/>
              </w:rPr>
              <w:t>1</w:t>
            </w:r>
          </w:p>
        </w:tc>
      </w:tr>
      <w:tr w:rsidR="007240BC" w:rsidRPr="001D6913" w14:paraId="6B52D2E9"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39B133DE" w14:textId="77777777" w:rsidR="007240BC" w:rsidRDefault="007240BC" w:rsidP="00396577">
            <w:pPr>
              <w:pStyle w:val="Tabletext"/>
            </w:pPr>
            <w:r w:rsidRPr="00003AB0">
              <w:t>Perth South</w:t>
            </w:r>
          </w:p>
        </w:tc>
        <w:tc>
          <w:tcPr>
            <w:tcW w:w="1250" w:type="pct"/>
            <w:tcBorders>
              <w:top w:val="single" w:sz="2" w:space="0" w:color="808080" w:themeColor="background1" w:themeShade="80"/>
              <w:bottom w:val="single" w:sz="2" w:space="0" w:color="808080" w:themeColor="background1" w:themeShade="80"/>
            </w:tcBorders>
          </w:tcPr>
          <w:p w14:paraId="5E1FACD4" w14:textId="77777777" w:rsidR="007240BC" w:rsidRDefault="007240BC" w:rsidP="00396577">
            <w:pPr>
              <w:pStyle w:val="Tabletext"/>
              <w:jc w:val="center"/>
            </w:pPr>
            <w:r w:rsidRPr="0095030E">
              <w:t>3</w:t>
            </w:r>
          </w:p>
        </w:tc>
        <w:tc>
          <w:tcPr>
            <w:tcW w:w="1250" w:type="pct"/>
            <w:tcBorders>
              <w:top w:val="single" w:sz="2" w:space="0" w:color="808080" w:themeColor="background1" w:themeShade="80"/>
              <w:bottom w:val="single" w:sz="2" w:space="0" w:color="808080" w:themeColor="background1" w:themeShade="80"/>
            </w:tcBorders>
          </w:tcPr>
          <w:p w14:paraId="0036316A" w14:textId="77777777" w:rsidR="007240BC" w:rsidRDefault="007240BC" w:rsidP="00396577">
            <w:pPr>
              <w:pStyle w:val="Tabletext"/>
              <w:jc w:val="center"/>
            </w:pPr>
            <w:r w:rsidRPr="0095030E">
              <w:t>4</w:t>
            </w:r>
          </w:p>
        </w:tc>
        <w:tc>
          <w:tcPr>
            <w:tcW w:w="1250" w:type="pct"/>
            <w:tcBorders>
              <w:top w:val="single" w:sz="2" w:space="0" w:color="808080" w:themeColor="background1" w:themeShade="80"/>
              <w:bottom w:val="single" w:sz="2" w:space="0" w:color="808080" w:themeColor="background1" w:themeShade="80"/>
            </w:tcBorders>
          </w:tcPr>
          <w:p w14:paraId="3A124E4E" w14:textId="77777777" w:rsidR="007240BC" w:rsidRPr="0095030E" w:rsidRDefault="007240BC" w:rsidP="00396577">
            <w:pPr>
              <w:pStyle w:val="Tabletext"/>
              <w:jc w:val="center"/>
              <w:rPr>
                <w:b/>
              </w:rPr>
            </w:pPr>
            <w:r w:rsidRPr="0095030E">
              <w:rPr>
                <w:b/>
                <w:bCs/>
              </w:rPr>
              <w:t>1</w:t>
            </w:r>
          </w:p>
        </w:tc>
      </w:tr>
      <w:tr w:rsidR="007240BC" w:rsidRPr="001D6913" w14:paraId="4E861F59"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6372354B" w14:textId="77777777" w:rsidR="007240BC" w:rsidRDefault="007240BC" w:rsidP="00396577">
            <w:pPr>
              <w:pStyle w:val="Tabletext"/>
            </w:pPr>
            <w:r w:rsidRPr="00003AB0">
              <w:t>South Eastern Melbourne</w:t>
            </w:r>
          </w:p>
        </w:tc>
        <w:tc>
          <w:tcPr>
            <w:tcW w:w="1250" w:type="pct"/>
            <w:tcBorders>
              <w:top w:val="single" w:sz="2" w:space="0" w:color="808080" w:themeColor="background1" w:themeShade="80"/>
              <w:bottom w:val="single" w:sz="2" w:space="0" w:color="808080" w:themeColor="background1" w:themeShade="80"/>
            </w:tcBorders>
          </w:tcPr>
          <w:p w14:paraId="2F7379CE" w14:textId="77777777" w:rsidR="007240BC" w:rsidRDefault="007240BC" w:rsidP="00396577">
            <w:pPr>
              <w:pStyle w:val="Tabletext"/>
              <w:jc w:val="center"/>
            </w:pPr>
            <w:r w:rsidRPr="0095030E">
              <w:t>5</w:t>
            </w:r>
          </w:p>
        </w:tc>
        <w:tc>
          <w:tcPr>
            <w:tcW w:w="1250" w:type="pct"/>
            <w:tcBorders>
              <w:top w:val="single" w:sz="2" w:space="0" w:color="808080" w:themeColor="background1" w:themeShade="80"/>
              <w:bottom w:val="single" w:sz="2" w:space="0" w:color="808080" w:themeColor="background1" w:themeShade="80"/>
            </w:tcBorders>
          </w:tcPr>
          <w:p w14:paraId="7C149B77" w14:textId="77777777" w:rsidR="007240BC" w:rsidRDefault="007240BC" w:rsidP="00396577">
            <w:pPr>
              <w:pStyle w:val="Tabletext"/>
              <w:jc w:val="center"/>
            </w:pPr>
            <w:r w:rsidRPr="0095030E">
              <w:t>7</w:t>
            </w:r>
          </w:p>
        </w:tc>
        <w:tc>
          <w:tcPr>
            <w:tcW w:w="1250" w:type="pct"/>
            <w:tcBorders>
              <w:top w:val="single" w:sz="2" w:space="0" w:color="808080" w:themeColor="background1" w:themeShade="80"/>
              <w:bottom w:val="single" w:sz="2" w:space="0" w:color="808080" w:themeColor="background1" w:themeShade="80"/>
            </w:tcBorders>
          </w:tcPr>
          <w:p w14:paraId="3D9D16F2" w14:textId="77777777" w:rsidR="007240BC" w:rsidRPr="0095030E" w:rsidRDefault="007240BC" w:rsidP="00396577">
            <w:pPr>
              <w:pStyle w:val="Tabletext"/>
              <w:jc w:val="center"/>
              <w:rPr>
                <w:b/>
              </w:rPr>
            </w:pPr>
            <w:r w:rsidRPr="0095030E">
              <w:rPr>
                <w:b/>
                <w:bCs/>
              </w:rPr>
              <w:t>2</w:t>
            </w:r>
          </w:p>
        </w:tc>
      </w:tr>
      <w:tr w:rsidR="007240BC" w:rsidRPr="001D6913" w14:paraId="7D3FEE30"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0A6D8695" w14:textId="77777777" w:rsidR="007240BC" w:rsidRDefault="007240BC" w:rsidP="00396577">
            <w:pPr>
              <w:pStyle w:val="Tabletext"/>
            </w:pPr>
            <w:r w:rsidRPr="00003AB0">
              <w:t>South Eastern NSW</w:t>
            </w:r>
          </w:p>
        </w:tc>
        <w:tc>
          <w:tcPr>
            <w:tcW w:w="1250" w:type="pct"/>
            <w:tcBorders>
              <w:top w:val="single" w:sz="2" w:space="0" w:color="808080" w:themeColor="background1" w:themeShade="80"/>
              <w:bottom w:val="single" w:sz="2" w:space="0" w:color="808080" w:themeColor="background1" w:themeShade="80"/>
            </w:tcBorders>
          </w:tcPr>
          <w:p w14:paraId="26D0AF2A" w14:textId="77777777" w:rsidR="007240BC" w:rsidRDefault="007240BC" w:rsidP="00396577">
            <w:pPr>
              <w:pStyle w:val="Tabletext"/>
              <w:jc w:val="center"/>
            </w:pPr>
            <w:r w:rsidRPr="0095030E">
              <w:t>3</w:t>
            </w:r>
          </w:p>
        </w:tc>
        <w:tc>
          <w:tcPr>
            <w:tcW w:w="1250" w:type="pct"/>
            <w:tcBorders>
              <w:top w:val="single" w:sz="2" w:space="0" w:color="808080" w:themeColor="background1" w:themeShade="80"/>
              <w:bottom w:val="single" w:sz="2" w:space="0" w:color="808080" w:themeColor="background1" w:themeShade="80"/>
            </w:tcBorders>
          </w:tcPr>
          <w:p w14:paraId="2EDC981B" w14:textId="77777777" w:rsidR="007240BC" w:rsidRDefault="007240BC" w:rsidP="00396577">
            <w:pPr>
              <w:pStyle w:val="Tabletext"/>
              <w:jc w:val="center"/>
            </w:pPr>
            <w:r w:rsidRPr="0095030E">
              <w:t>5</w:t>
            </w:r>
          </w:p>
        </w:tc>
        <w:tc>
          <w:tcPr>
            <w:tcW w:w="1250" w:type="pct"/>
            <w:tcBorders>
              <w:top w:val="single" w:sz="2" w:space="0" w:color="808080" w:themeColor="background1" w:themeShade="80"/>
              <w:bottom w:val="single" w:sz="2" w:space="0" w:color="808080" w:themeColor="background1" w:themeShade="80"/>
            </w:tcBorders>
          </w:tcPr>
          <w:p w14:paraId="5FC3FFF9" w14:textId="77777777" w:rsidR="007240BC" w:rsidRPr="0095030E" w:rsidRDefault="007240BC" w:rsidP="00396577">
            <w:pPr>
              <w:pStyle w:val="Tabletext"/>
              <w:jc w:val="center"/>
              <w:rPr>
                <w:b/>
              </w:rPr>
            </w:pPr>
            <w:r w:rsidRPr="0095030E">
              <w:rPr>
                <w:b/>
                <w:bCs/>
              </w:rPr>
              <w:t>2</w:t>
            </w:r>
          </w:p>
        </w:tc>
      </w:tr>
      <w:tr w:rsidR="007240BC" w:rsidRPr="001D6913" w14:paraId="2C81E07F"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18A19583" w14:textId="77777777" w:rsidR="007240BC" w:rsidRDefault="007240BC" w:rsidP="00396577">
            <w:pPr>
              <w:pStyle w:val="Tabletext"/>
            </w:pPr>
            <w:r w:rsidRPr="00003AB0">
              <w:t>Western NSW</w:t>
            </w:r>
          </w:p>
        </w:tc>
        <w:tc>
          <w:tcPr>
            <w:tcW w:w="1250" w:type="pct"/>
            <w:tcBorders>
              <w:top w:val="single" w:sz="2" w:space="0" w:color="808080" w:themeColor="background1" w:themeShade="80"/>
              <w:bottom w:val="single" w:sz="2" w:space="0" w:color="808080" w:themeColor="background1" w:themeShade="80"/>
            </w:tcBorders>
          </w:tcPr>
          <w:p w14:paraId="09F16FA0" w14:textId="77777777" w:rsidR="007240BC" w:rsidRDefault="007240BC" w:rsidP="00396577">
            <w:pPr>
              <w:pStyle w:val="Tabletext"/>
              <w:jc w:val="center"/>
            </w:pPr>
            <w:r w:rsidRPr="0095030E">
              <w:t>3</w:t>
            </w:r>
          </w:p>
        </w:tc>
        <w:tc>
          <w:tcPr>
            <w:tcW w:w="1250" w:type="pct"/>
            <w:tcBorders>
              <w:top w:val="single" w:sz="2" w:space="0" w:color="808080" w:themeColor="background1" w:themeShade="80"/>
              <w:bottom w:val="single" w:sz="2" w:space="0" w:color="808080" w:themeColor="background1" w:themeShade="80"/>
            </w:tcBorders>
          </w:tcPr>
          <w:p w14:paraId="0E5406F9" w14:textId="77777777" w:rsidR="007240BC" w:rsidRDefault="007240BC" w:rsidP="00396577">
            <w:pPr>
              <w:pStyle w:val="Tabletext"/>
              <w:jc w:val="center"/>
            </w:pPr>
            <w:r w:rsidRPr="0095030E">
              <w:t>4</w:t>
            </w:r>
          </w:p>
        </w:tc>
        <w:tc>
          <w:tcPr>
            <w:tcW w:w="1250" w:type="pct"/>
            <w:tcBorders>
              <w:top w:val="single" w:sz="2" w:space="0" w:color="808080" w:themeColor="background1" w:themeShade="80"/>
              <w:bottom w:val="single" w:sz="2" w:space="0" w:color="808080" w:themeColor="background1" w:themeShade="80"/>
            </w:tcBorders>
          </w:tcPr>
          <w:p w14:paraId="489C3AA0" w14:textId="77777777" w:rsidR="007240BC" w:rsidRPr="0095030E" w:rsidRDefault="007240BC" w:rsidP="00396577">
            <w:pPr>
              <w:pStyle w:val="Tabletext"/>
              <w:jc w:val="center"/>
              <w:rPr>
                <w:b/>
              </w:rPr>
            </w:pPr>
            <w:r w:rsidRPr="0095030E">
              <w:rPr>
                <w:b/>
                <w:bCs/>
              </w:rPr>
              <w:t>1</w:t>
            </w:r>
          </w:p>
        </w:tc>
      </w:tr>
      <w:tr w:rsidR="007240BC" w:rsidRPr="001D6913" w14:paraId="56382A80" w14:textId="77777777" w:rsidTr="00396577">
        <w:trPr>
          <w:jc w:val="center"/>
        </w:trPr>
        <w:tc>
          <w:tcPr>
            <w:tcW w:w="1250" w:type="pct"/>
            <w:tcBorders>
              <w:top w:val="single" w:sz="2" w:space="0" w:color="808080" w:themeColor="background1" w:themeShade="80"/>
              <w:bottom w:val="single" w:sz="2" w:space="0" w:color="808080" w:themeColor="background1" w:themeShade="80"/>
            </w:tcBorders>
          </w:tcPr>
          <w:p w14:paraId="0D8E2FD9" w14:textId="77777777" w:rsidR="007240BC" w:rsidRDefault="007240BC" w:rsidP="00396577">
            <w:pPr>
              <w:pStyle w:val="Tabletext"/>
            </w:pPr>
            <w:r w:rsidRPr="00003AB0">
              <w:t>Western Victoria</w:t>
            </w:r>
          </w:p>
        </w:tc>
        <w:tc>
          <w:tcPr>
            <w:tcW w:w="1250" w:type="pct"/>
            <w:tcBorders>
              <w:top w:val="single" w:sz="2" w:space="0" w:color="808080" w:themeColor="background1" w:themeShade="80"/>
              <w:bottom w:val="single" w:sz="2" w:space="0" w:color="808080" w:themeColor="background1" w:themeShade="80"/>
            </w:tcBorders>
          </w:tcPr>
          <w:p w14:paraId="22CE44CB" w14:textId="77777777" w:rsidR="007240BC" w:rsidRDefault="007240BC" w:rsidP="00396577">
            <w:pPr>
              <w:pStyle w:val="Tabletext"/>
              <w:jc w:val="center"/>
            </w:pPr>
            <w:r w:rsidRPr="0095030E">
              <w:t>3</w:t>
            </w:r>
          </w:p>
        </w:tc>
        <w:tc>
          <w:tcPr>
            <w:tcW w:w="1250" w:type="pct"/>
            <w:tcBorders>
              <w:top w:val="single" w:sz="2" w:space="0" w:color="808080" w:themeColor="background1" w:themeShade="80"/>
              <w:bottom w:val="single" w:sz="2" w:space="0" w:color="808080" w:themeColor="background1" w:themeShade="80"/>
            </w:tcBorders>
          </w:tcPr>
          <w:p w14:paraId="5E31D29F" w14:textId="77777777" w:rsidR="007240BC" w:rsidRDefault="007240BC" w:rsidP="00396577">
            <w:pPr>
              <w:pStyle w:val="Tabletext"/>
              <w:jc w:val="center"/>
            </w:pPr>
            <w:r w:rsidRPr="0095030E">
              <w:t>5</w:t>
            </w:r>
          </w:p>
        </w:tc>
        <w:tc>
          <w:tcPr>
            <w:tcW w:w="1250" w:type="pct"/>
            <w:tcBorders>
              <w:top w:val="single" w:sz="2" w:space="0" w:color="808080" w:themeColor="background1" w:themeShade="80"/>
              <w:bottom w:val="single" w:sz="2" w:space="0" w:color="808080" w:themeColor="background1" w:themeShade="80"/>
            </w:tcBorders>
          </w:tcPr>
          <w:p w14:paraId="386A046A" w14:textId="77777777" w:rsidR="007240BC" w:rsidRPr="0095030E" w:rsidRDefault="007240BC" w:rsidP="00396577">
            <w:pPr>
              <w:pStyle w:val="Tabletext"/>
              <w:keepNext/>
              <w:jc w:val="center"/>
              <w:rPr>
                <w:b/>
              </w:rPr>
            </w:pPr>
            <w:r w:rsidRPr="0095030E">
              <w:rPr>
                <w:b/>
                <w:bCs/>
              </w:rPr>
              <w:t>2</w:t>
            </w:r>
          </w:p>
        </w:tc>
      </w:tr>
    </w:tbl>
    <w:p w14:paraId="43C36217" w14:textId="79289788" w:rsidR="007240BC" w:rsidRPr="001D6913" w:rsidRDefault="007240BC" w:rsidP="007240BC">
      <w:pPr>
        <w:pStyle w:val="Source"/>
      </w:pPr>
      <w:r>
        <w:t xml:space="preserve">Source: KPMG analysis of </w:t>
      </w:r>
      <w:r w:rsidR="008862E5">
        <w:t xml:space="preserve">hMDS </w:t>
      </w:r>
      <w:r>
        <w:t>and headspace funding data</w:t>
      </w:r>
    </w:p>
    <w:p w14:paraId="3996F448" w14:textId="77777777" w:rsidR="007240BC" w:rsidRPr="002C0B4E" w:rsidRDefault="007240BC" w:rsidP="003941C8">
      <w:pPr>
        <w:pStyle w:val="Heading3"/>
      </w:pPr>
      <w:bookmarkStart w:id="75" w:name="_Ref95039707"/>
      <w:r w:rsidRPr="002C0B4E">
        <w:t>Services provided by headspace services</w:t>
      </w:r>
      <w:bookmarkEnd w:id="75"/>
    </w:p>
    <w:p w14:paraId="6F264585" w14:textId="77777777" w:rsidR="007240BC" w:rsidRPr="002C0B4E" w:rsidRDefault="007240BC" w:rsidP="00ED3129">
      <w:pPr>
        <w:pStyle w:val="Heading4"/>
      </w:pPr>
      <w:r w:rsidRPr="002C0B4E">
        <w:t>Services provided by headspace overall</w:t>
      </w:r>
    </w:p>
    <w:p w14:paraId="2A45F794" w14:textId="45D93D50" w:rsidR="007240BC" w:rsidRPr="00B81AC8" w:rsidRDefault="007240BC" w:rsidP="007240BC">
      <w:pPr>
        <w:pStyle w:val="BodyText"/>
      </w:pPr>
      <w:r w:rsidRPr="00A31E93">
        <w:t xml:space="preserve">Across all headspace services, there have been some small changes to the proportion of types of supports provided to young people. Mental health services provided to young people as a proportion of all services have decreased by </w:t>
      </w:r>
      <w:r w:rsidR="00B31425">
        <w:t>five</w:t>
      </w:r>
      <w:r w:rsidRPr="00A31E93">
        <w:t xml:space="preserve"> percentage points between 2015-16 and 2019-20. </w:t>
      </w:r>
      <w:r>
        <w:t>A range of other services have had small increases in proportion over time, including group work, general assistance, and vocational services. For vocational services, this is possibly attributable to services delivered through the I</w:t>
      </w:r>
      <w:r w:rsidR="00EF2ADE">
        <w:t xml:space="preserve">ndividual </w:t>
      </w:r>
      <w:r>
        <w:t>P</w:t>
      </w:r>
      <w:r w:rsidR="00EF2ADE">
        <w:t xml:space="preserve">lacement </w:t>
      </w:r>
      <w:r>
        <w:t>S</w:t>
      </w:r>
      <w:r w:rsidR="00D65631">
        <w:t>upport</w:t>
      </w:r>
      <w:r>
        <w:t xml:space="preserve"> </w:t>
      </w:r>
      <w:r w:rsidR="00173BF5">
        <w:t>(IPS)</w:t>
      </w:r>
      <w:r w:rsidR="009976B4">
        <w:t xml:space="preserve"> </w:t>
      </w:r>
      <w:r>
        <w:t xml:space="preserve">Trial, funded separately by DSS and delivered through </w:t>
      </w:r>
      <w:r w:rsidR="00D151B2">
        <w:t>26</w:t>
      </w:r>
      <w:r>
        <w:t xml:space="preserve"> headspace services</w:t>
      </w:r>
      <w:r w:rsidR="00D151B2">
        <w:t xml:space="preserve"> in 2019-20</w:t>
      </w:r>
      <w:r w:rsidR="00CC0438">
        <w:rPr>
          <w:rFonts w:ascii="ZWAdobeF" w:hAnsi="ZWAdobeF" w:cs="ZWAdobeF"/>
          <w:sz w:val="2"/>
          <w:szCs w:val="2"/>
        </w:rPr>
        <w:t>81F</w:t>
      </w:r>
      <w:r w:rsidR="005A2849">
        <w:rPr>
          <w:rStyle w:val="FootnoteReference"/>
        </w:rPr>
        <w:footnoteReference w:id="83"/>
      </w:r>
      <w:r w:rsidRPr="00B81AC8">
        <w:t xml:space="preserve">. Intake and assessment services have remained mostly consistent over time, with a small increase in 2019-20. </w:t>
      </w:r>
      <w:r w:rsidR="008D51B7">
        <w:t>AOD</w:t>
      </w:r>
      <w:r w:rsidRPr="00B81AC8">
        <w:t xml:space="preserve"> services have consistently made up less than </w:t>
      </w:r>
      <w:r w:rsidR="00291123">
        <w:t>one</w:t>
      </w:r>
      <w:r w:rsidRPr="00B81AC8">
        <w:t xml:space="preserve"> per cent of headspace services delivered. Group work services as a proportion of total services have increased over time.</w:t>
      </w:r>
    </w:p>
    <w:p w14:paraId="5937B0C5" w14:textId="1620CA35" w:rsidR="007240BC" w:rsidRPr="005064B3" w:rsidRDefault="007240BC" w:rsidP="007240BC">
      <w:pPr>
        <w:pStyle w:val="Caption"/>
      </w:pPr>
      <w:bookmarkStart w:id="76" w:name="_Ref98323146"/>
      <w:bookmarkStart w:id="77" w:name="_Toc108109201"/>
      <w:r w:rsidRPr="00E003B2">
        <w:t xml:space="preserve">Figure </w:t>
      </w:r>
      <w:r>
        <w:fldChar w:fldCharType="begin"/>
      </w:r>
      <w:r>
        <w:instrText>SEQ Figure \* ARABIC</w:instrText>
      </w:r>
      <w:r>
        <w:fldChar w:fldCharType="separate"/>
      </w:r>
      <w:r w:rsidR="00CC0438">
        <w:rPr>
          <w:noProof/>
        </w:rPr>
        <w:t>16</w:t>
      </w:r>
      <w:r>
        <w:fldChar w:fldCharType="end"/>
      </w:r>
      <w:bookmarkEnd w:id="76"/>
      <w:r w:rsidRPr="00E003B2">
        <w:t>: Changes in the</w:t>
      </w:r>
      <w:r w:rsidRPr="005064B3">
        <w:t xml:space="preserve"> mix of services provided </w:t>
      </w:r>
      <w:r>
        <w:t>during each</w:t>
      </w:r>
      <w:r w:rsidRPr="005064B3">
        <w:t xml:space="preserve"> headspace </w:t>
      </w:r>
      <w:r w:rsidR="006E7DB0">
        <w:t>O</w:t>
      </w:r>
      <w:r w:rsidR="009C7592">
        <w:t>O</w:t>
      </w:r>
      <w:r w:rsidR="006E7DB0">
        <w:t>S</w:t>
      </w:r>
      <w:r w:rsidR="001F66B8" w:rsidRPr="005064B3">
        <w:t xml:space="preserve"> </w:t>
      </w:r>
      <w:r w:rsidRPr="005064B3">
        <w:t>between 2015</w:t>
      </w:r>
      <w:r w:rsidR="00B73009">
        <w:noBreakHyphen/>
      </w:r>
      <w:r w:rsidRPr="005064B3">
        <w:t>16 and 2019</w:t>
      </w:r>
      <w:r w:rsidR="007D58E2">
        <w:noBreakHyphen/>
      </w:r>
      <w:r w:rsidRPr="005064B3">
        <w:t>20</w:t>
      </w:r>
      <w:bookmarkEnd w:id="77"/>
    </w:p>
    <w:p w14:paraId="488564C3" w14:textId="221F72ED" w:rsidR="007240BC" w:rsidRPr="00777F89" w:rsidRDefault="007240BC" w:rsidP="003006A8">
      <w:pPr>
        <w:pStyle w:val="BodyText"/>
        <w:rPr>
          <w:highlight w:val="yellow"/>
        </w:rPr>
      </w:pPr>
      <w:r w:rsidRPr="003C5FF1">
        <w:t xml:space="preserve"> </w:t>
      </w:r>
      <w:r w:rsidR="00163B3F">
        <w:rPr>
          <w:noProof/>
        </w:rPr>
        <w:drawing>
          <wp:inline distT="0" distB="0" distL="0" distR="0" wp14:anchorId="44E961FC" wp14:editId="3FCFCB9C">
            <wp:extent cx="5036820" cy="5036820"/>
            <wp:effectExtent l="0" t="0" r="0" b="0"/>
            <wp:docPr id="86" name="Picture 86" descr="Figure 16 is a stacked bar chart showing the change in the mix of services provided by headspace services between 2015-16 and 2019-20.&#10;In 2015-16, the mix of services provided was as follows:&#10;Mental health services were 62%&#10;Intake/Assessment services were 22%&#10;Physical health and Sexual health was 3%&#10;Group work was 2%&#10;General Assistance was 1%&#10;Alcohol and/or other drug specific intervention was less than 1%&#10;Vocational services were 1%&#10;Family inclusive practice was less than 1%&#10;Other services were less than 1%&#10;There were missing data for 7% of occasions of service&#10;&#10;In 2016-17, the mix of services provided was as follows:&#10;Mental health services were 62%&#10;Intake/Assessment services were 21%&#10;Physical health and Sexual health was 3%&#10;Group work was 3%&#10;General Assistance was 1%&#10;Alcohol and/or other drug specific intervention was less than 1%&#10;Vocational services were 1%&#10;Family inclusive practice was less than 1%&#10;Other services were less than 1% &#10;There were missing data for 7% of occasions of service&#10;&#10;In 2017-18, the mix of services provided was as follows:&#10;Mental health services were 61%&#10;Intake/Assessment services were 22%&#10;Physical health and Sexual health was 3%&#10;Group work was 3%&#10;General Assistance was 1%&#10;Alcohol and/or other drug specific intervention was less than 1%&#10;Vocational services were 2%&#10;Family inclusive practice was 1% &#10;Other services were less than 1%&#10;There were missing data for 6% of occasions of service&#10;&#10;In 2018-19, the mix of services provided was as follows:&#10;Mental health services were 60%&#10;Intake/Assessment services were 22%&#10;Physical health and Sexual health was 3%&#10;Group work was 4%&#10;General Assistance was 2%&#10;Alcohol and/or other drug specific intervention was less than 1%&#10;Vocational services were 2%&#10;Family inclusive practice was 1% &#10;Other services were less than 1%&#10;There were missing data for 5% of occasions of service&#10;&#10;In 2019-20, the mix of services provided was as follows:&#10;Mental health services were 57%&#10;Intake/Assessment services were 24%&#10;Physical health and Sexual health was 2%&#10;Group work was 3%&#10;General Assistance was 3%&#10;Alcohol and/or other drug specific intervention was less than 1%&#10;Vocational services were 2%&#10;Family inclusive practice was less than 1%&#10;Other services were less than 1% &#10;There were missing data for 7% of occasions of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Figure 16 is a stacked bar chart showing the change in the mix of services provided by headspace services between 2015-16 and 2019-20.&#10;In 2015-16, the mix of services provided was as follows:&#10;Mental health services were 62%&#10;Intake/Assessment services were 22%&#10;Physical health and Sexual health was 3%&#10;Group work was 2%&#10;General Assistance was 1%&#10;Alcohol and/or other drug specific intervention was less than 1%&#10;Vocational services were 1%&#10;Family inclusive practice was less than 1%&#10;Other services were less than 1%&#10;There were missing data for 7% of occasions of service&#10;&#10;In 2016-17, the mix of services provided was as follows:&#10;Mental health services were 62%&#10;Intake/Assessment services were 21%&#10;Physical health and Sexual health was 3%&#10;Group work was 3%&#10;General Assistance was 1%&#10;Alcohol and/or other drug specific intervention was less than 1%&#10;Vocational services were 1%&#10;Family inclusive practice was less than 1%&#10;Other services were less than 1% &#10;There were missing data for 7% of occasions of service&#10;&#10;In 2017-18, the mix of services provided was as follows:&#10;Mental health services were 61%&#10;Intake/Assessment services were 22%&#10;Physical health and Sexual health was 3%&#10;Group work was 3%&#10;General Assistance was 1%&#10;Alcohol and/or other drug specific intervention was less than 1%&#10;Vocational services were 2%&#10;Family inclusive practice was 1% &#10;Other services were less than 1%&#10;There were missing data for 6% of occasions of service&#10;&#10;In 2018-19, the mix of services provided was as follows:&#10;Mental health services were 60%&#10;Intake/Assessment services were 22%&#10;Physical health and Sexual health was 3%&#10;Group work was 4%&#10;General Assistance was 2%&#10;Alcohol and/or other drug specific intervention was less than 1%&#10;Vocational services were 2%&#10;Family inclusive practice was 1% &#10;Other services were less than 1%&#10;There were missing data for 5% of occasions of service&#10;&#10;In 2019-20, the mix of services provided was as follows:&#10;Mental health services were 57%&#10;Intake/Assessment services were 24%&#10;Physical health and Sexual health was 2%&#10;Group work was 3%&#10;General Assistance was 3%&#10;Alcohol and/or other drug specific intervention was less than 1%&#10;Vocational services were 2%&#10;Family inclusive practice was less than 1%&#10;Other services were less than 1% &#10;There were missing data for 7% of occasions of service&#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6820" cy="5036820"/>
                    </a:xfrm>
                    <a:prstGeom prst="rect">
                      <a:avLst/>
                    </a:prstGeom>
                    <a:noFill/>
                    <a:ln>
                      <a:noFill/>
                    </a:ln>
                  </pic:spPr>
                </pic:pic>
              </a:graphicData>
            </a:graphic>
          </wp:inline>
        </w:drawing>
      </w:r>
    </w:p>
    <w:p w14:paraId="40775598" w14:textId="77777777" w:rsidR="007240BC" w:rsidRPr="00B00601" w:rsidRDefault="007240BC" w:rsidP="007240BC">
      <w:pPr>
        <w:pStyle w:val="Source"/>
      </w:pPr>
      <w:r w:rsidRPr="00B00601">
        <w:t>Source: KPMG master dataset</w:t>
      </w:r>
    </w:p>
    <w:p w14:paraId="3D1B905F" w14:textId="0077D046" w:rsidR="007240BC" w:rsidRPr="00B00601" w:rsidRDefault="007240BC" w:rsidP="007240BC">
      <w:pPr>
        <w:pStyle w:val="Source"/>
      </w:pPr>
      <w:r w:rsidRPr="00B00601">
        <w:t xml:space="preserve">Notes: See </w:t>
      </w:r>
      <w:r w:rsidR="008C30BE">
        <w:fldChar w:fldCharType="begin" w:fldLock="1"/>
      </w:r>
      <w:r w:rsidR="008C30BE">
        <w:instrText xml:space="preserve"> REF _Ref98402466 \r \h </w:instrText>
      </w:r>
      <w:r w:rsidR="008C30BE">
        <w:fldChar w:fldCharType="separate"/>
      </w:r>
      <w:r w:rsidR="00AE4D34">
        <w:t>Appendix F</w:t>
      </w:r>
      <w:r w:rsidR="008C30BE">
        <w:fldChar w:fldCharType="end"/>
      </w:r>
      <w:r w:rsidRPr="00B00601">
        <w:t xml:space="preserve"> for a description o</w:t>
      </w:r>
      <w:r w:rsidR="009C7592">
        <w:t>f</w:t>
      </w:r>
      <w:r w:rsidRPr="00B00601">
        <w:t xml:space="preserve"> how the master dataset is derived. </w:t>
      </w:r>
      <w:r w:rsidR="0017701B">
        <w:t>The s</w:t>
      </w:r>
      <w:r w:rsidRPr="00B00601">
        <w:t xml:space="preserve">ample includes </w:t>
      </w:r>
      <w:r w:rsidRPr="00334A17">
        <w:t>1,830,876</w:t>
      </w:r>
      <w:r>
        <w:t xml:space="preserve"> </w:t>
      </w:r>
      <w:r w:rsidR="007B2863">
        <w:t>OOS</w:t>
      </w:r>
      <w:r w:rsidRPr="00B00601">
        <w:t>, 474,977</w:t>
      </w:r>
      <w:r w:rsidR="004C7BDD">
        <w:t> </w:t>
      </w:r>
      <w:r w:rsidRPr="00B00601">
        <w:t>episodes and 426,152 young people covering 2015-16 to 2019-20.</w:t>
      </w:r>
      <w:r w:rsidR="002822FA">
        <w:t xml:space="preserve"> </w:t>
      </w:r>
      <w:r w:rsidR="0017701B">
        <w:t>For clarity purposes,</w:t>
      </w:r>
      <w:r w:rsidR="0017701B" w:rsidDel="0017701B">
        <w:t xml:space="preserve"> </w:t>
      </w:r>
      <w:r w:rsidR="0017701B">
        <w:t>d</w:t>
      </w:r>
      <w:r w:rsidR="002822FA">
        <w:t xml:space="preserve">ata labels are not included for categories with less than </w:t>
      </w:r>
      <w:r w:rsidR="002D2C35">
        <w:t>0.5</w:t>
      </w:r>
      <w:r w:rsidR="0017701B">
        <w:t xml:space="preserve"> per cent</w:t>
      </w:r>
      <w:r w:rsidR="002822FA">
        <w:t>.</w:t>
      </w:r>
      <w:r w:rsidR="001D28E9">
        <w:t xml:space="preserve"> Vocational services include those provided through the IPS </w:t>
      </w:r>
      <w:r w:rsidR="007B2863">
        <w:t>P</w:t>
      </w:r>
      <w:r w:rsidR="001D28E9">
        <w:t>rogram.</w:t>
      </w:r>
    </w:p>
    <w:p w14:paraId="657E526B" w14:textId="77777777" w:rsidR="007240BC" w:rsidRPr="00531BD5" w:rsidRDefault="007240BC" w:rsidP="00ED3129">
      <w:pPr>
        <w:pStyle w:val="Heading4"/>
      </w:pPr>
      <w:r w:rsidRPr="00531BD5">
        <w:t>Services provided by service types</w:t>
      </w:r>
    </w:p>
    <w:p w14:paraId="35A58B5C" w14:textId="7A6C9536" w:rsidR="009E4129" w:rsidRPr="00E003B2" w:rsidRDefault="00D4791D" w:rsidP="00CF593B">
      <w:pPr>
        <w:pStyle w:val="BodyText"/>
      </w:pPr>
      <w:r>
        <w:fldChar w:fldCharType="begin" w:fldLock="1"/>
      </w:r>
      <w:r>
        <w:instrText xml:space="preserve"> REF _Ref95046390 \h </w:instrText>
      </w:r>
      <w:r>
        <w:fldChar w:fldCharType="separate"/>
      </w:r>
      <w:r w:rsidR="000C245D" w:rsidRPr="00E003B2">
        <w:t xml:space="preserve">Figure </w:t>
      </w:r>
      <w:r w:rsidR="000C245D">
        <w:t>17</w:t>
      </w:r>
      <w:r>
        <w:fldChar w:fldCharType="end"/>
      </w:r>
      <w:r>
        <w:t xml:space="preserve"> </w:t>
      </w:r>
      <w:r w:rsidR="007240BC" w:rsidRPr="00E003B2">
        <w:t xml:space="preserve">below demonstrates the changes in services provided by headspace services over time, based on whether they are a headspace centre or a satellite </w:t>
      </w:r>
      <w:r w:rsidR="006817F2">
        <w:t>service</w:t>
      </w:r>
      <w:r w:rsidR="007240BC" w:rsidRPr="00E003B2">
        <w:t xml:space="preserve">. </w:t>
      </w:r>
      <w:r w:rsidR="00816021">
        <w:t xml:space="preserve">It should be noted that </w:t>
      </w:r>
      <w:r w:rsidR="009E4129">
        <w:t>h</w:t>
      </w:r>
      <w:r w:rsidR="00816021">
        <w:t xml:space="preserve">eadspace services which fall into service categories other than centres and satellites have been </w:t>
      </w:r>
      <w:r w:rsidR="00080644">
        <w:t>excluded from this chart, due to the small number of OOS and to avoid identifying the services.</w:t>
      </w:r>
    </w:p>
    <w:p w14:paraId="619F549F" w14:textId="591D7294" w:rsidR="007240BC" w:rsidRPr="00531BD5" w:rsidRDefault="007240BC" w:rsidP="007240BC">
      <w:pPr>
        <w:pStyle w:val="Caption"/>
      </w:pPr>
      <w:bookmarkStart w:id="78" w:name="_Ref95046390"/>
      <w:bookmarkStart w:id="79" w:name="_Toc108109202"/>
      <w:r w:rsidRPr="00E003B2">
        <w:t xml:space="preserve">Figure </w:t>
      </w:r>
      <w:r>
        <w:fldChar w:fldCharType="begin"/>
      </w:r>
      <w:r>
        <w:instrText>SEQ Figure \* ARABIC</w:instrText>
      </w:r>
      <w:r>
        <w:fldChar w:fldCharType="separate"/>
      </w:r>
      <w:r w:rsidR="00CC0438">
        <w:rPr>
          <w:noProof/>
        </w:rPr>
        <w:t>17</w:t>
      </w:r>
      <w:r>
        <w:fldChar w:fldCharType="end"/>
      </w:r>
      <w:bookmarkEnd w:id="78"/>
      <w:r w:rsidRPr="00E003B2">
        <w:t>: Changes in the mix of services provided by headspace services between 2015</w:t>
      </w:r>
      <w:r w:rsidR="009618DD">
        <w:noBreakHyphen/>
      </w:r>
      <w:r w:rsidRPr="00E003B2">
        <w:t>16 and 2019</w:t>
      </w:r>
      <w:r w:rsidR="00D4791D">
        <w:noBreakHyphen/>
      </w:r>
      <w:r w:rsidRPr="00E003B2">
        <w:t>20, by headspace service typ</w:t>
      </w:r>
      <w:r w:rsidRPr="00531BD5">
        <w:t>e</w:t>
      </w:r>
      <w:bookmarkEnd w:id="79"/>
    </w:p>
    <w:p w14:paraId="387E356C" w14:textId="35C78A22" w:rsidR="007240BC" w:rsidRPr="006E7E69" w:rsidRDefault="005F43EA" w:rsidP="003006A8">
      <w:pPr>
        <w:pStyle w:val="BodyText"/>
        <w:rPr>
          <w:highlight w:val="yellow"/>
        </w:rPr>
      </w:pPr>
      <w:r>
        <w:rPr>
          <w:noProof/>
        </w:rPr>
        <w:drawing>
          <wp:inline distT="0" distB="0" distL="0" distR="0" wp14:anchorId="305599A6" wp14:editId="6EF5A9D9">
            <wp:extent cx="5036820" cy="5036820"/>
            <wp:effectExtent l="0" t="0" r="0" b="0"/>
            <wp:docPr id="89" name="Picture 89" descr="Figure 17 is a stacked bar chart showing the change in the mix of services provided by headspace services between 2015-16 and 2019-20, by headspace service type.&#10;For full headspace centres in 2015-16, the percentage of supports in each category were:&#10;Mental health services were 62%&#10;Intake/Assessment services were 22%&#10;Physical health and sexual health was 3%&#10;Group work was 2%&#10;General Assistance was 1%&#10;Alcohol and/or other drug specific intervention was less than 1%&#10;Vocational services were 2%&#10;Family inclusive practice was less than 1%&#10;Other services were less than 1% &#10;There were missing data for 7% of occasions of service&#10;&#10;For full headspace centres in 2019-20, the percentage of supports in each category were:&#10;Mental health services were 57%&#10;Intake/Assessment services were 24%&#10;Physical health and sexual health was 2%&#10;Group work was 3%&#10;General Assistance was 3%&#10;Alcohol and/or other drug specific intervention was less than 1%&#10;Vocational services were 2%&#10;Family inclusive practice was less than 1%&#10;Other services were less than 1% &#10;There were missing data for 8% of occasions of service&#10;&#10;For satellite services in 2018-19 (the first year satellite centres had available date), the percentage of supports in each category were:&#10;Mental health services were 53%&#10;Intake/Assessment services were 29%&#10;Physical health and sexual health was less than 1%&#10;Group work was 2%&#10;General Assistance was less than 1%&#10;Alcohol and/or other drug specific intervention was less than 1%&#10;Vocational services were 4%&#10;Family inclusive practice was less than 1%&#10;Other services were less than 1%&#10;There were missing data for 10% of occasions of service&#10;&#10;For satellite services in 2019-20, the percentage of supports in each category were:&#10;Mental health services were 58%&#10;Intake/Assessment services were 33%&#10;Physical health and sexual health was less than 1%&#10;Group work was 2%&#10;General Assistance was 2%&#10;Alcohol and/or other drug specific intervention was less than 1%&#10;Vocational services were 3%&#10;Family inclusive practice was 1%&#10;Other services were less than 1%&#10;There were missing data for less than 1% of occasions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igure 17 is a stacked bar chart showing the change in the mix of services provided by headspace services between 2015-16 and 2019-20, by headspace service type.&#10;For full headspace centres in 2015-16, the percentage of supports in each category were:&#10;Mental health services were 62%&#10;Intake/Assessment services were 22%&#10;Physical health and sexual health was 3%&#10;Group work was 2%&#10;General Assistance was 1%&#10;Alcohol and/or other drug specific intervention was less than 1%&#10;Vocational services were 2%&#10;Family inclusive practice was less than 1%&#10;Other services were less than 1% &#10;There were missing data for 7% of occasions of service&#10;&#10;For full headspace centres in 2019-20, the percentage of supports in each category were:&#10;Mental health services were 57%&#10;Intake/Assessment services were 24%&#10;Physical health and sexual health was 2%&#10;Group work was 3%&#10;General Assistance was 3%&#10;Alcohol and/or other drug specific intervention was less than 1%&#10;Vocational services were 2%&#10;Family inclusive practice was less than 1%&#10;Other services were less than 1% &#10;There were missing data for 8% of occasions of service&#10;&#10;For satellite services in 2018-19 (the first year satellite centres had available date), the percentage of supports in each category were:&#10;Mental health services were 53%&#10;Intake/Assessment services were 29%&#10;Physical health and sexual health was less than 1%&#10;Group work was 2%&#10;General Assistance was less than 1%&#10;Alcohol and/or other drug specific intervention was less than 1%&#10;Vocational services were 4%&#10;Family inclusive practice was less than 1%&#10;Other services were less than 1%&#10;There were missing data for 10% of occasions of service&#10;&#10;For satellite services in 2019-20, the percentage of supports in each category were:&#10;Mental health services were 58%&#10;Intake/Assessment services were 33%&#10;Physical health and sexual health was less than 1%&#10;Group work was 2%&#10;General Assistance was 2%&#10;Alcohol and/or other drug specific intervention was less than 1%&#10;Vocational services were 3%&#10;Family inclusive practice was 1%&#10;Other services were less than 1%&#10;There were missing data for less than 1% of occasions of servi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6820" cy="5036820"/>
                    </a:xfrm>
                    <a:prstGeom prst="rect">
                      <a:avLst/>
                    </a:prstGeom>
                    <a:noFill/>
                    <a:ln>
                      <a:noFill/>
                    </a:ln>
                  </pic:spPr>
                </pic:pic>
              </a:graphicData>
            </a:graphic>
          </wp:inline>
        </w:drawing>
      </w:r>
    </w:p>
    <w:p w14:paraId="5CD44C05" w14:textId="77777777" w:rsidR="007240BC" w:rsidRPr="006000E3" w:rsidRDefault="007240BC" w:rsidP="007240BC">
      <w:pPr>
        <w:pStyle w:val="Source"/>
      </w:pPr>
      <w:r w:rsidRPr="006000E3">
        <w:t>Source: KPMG master dataset</w:t>
      </w:r>
    </w:p>
    <w:p w14:paraId="57754936" w14:textId="0DF84990" w:rsidR="007240BC" w:rsidRDefault="007240BC" w:rsidP="007240BC">
      <w:pPr>
        <w:pStyle w:val="Source"/>
      </w:pPr>
      <w:r w:rsidRPr="006000E3">
        <w:t xml:space="preserve">Notes: See </w:t>
      </w:r>
      <w:r w:rsidR="0004467B">
        <w:t xml:space="preserve">Appendix </w:t>
      </w:r>
      <w:r w:rsidR="006C6C34">
        <w:fldChar w:fldCharType="begin" w:fldLock="1"/>
      </w:r>
      <w:r w:rsidR="006C6C34">
        <w:instrText xml:space="preserve"> REF _Ref98226030 \r \h </w:instrText>
      </w:r>
      <w:r w:rsidR="006C6C34">
        <w:fldChar w:fldCharType="separate"/>
      </w:r>
      <w:r w:rsidR="00AE4D34">
        <w:t>E.9</w:t>
      </w:r>
      <w:r w:rsidR="006C6C34">
        <w:fldChar w:fldCharType="end"/>
      </w:r>
      <w:r w:rsidRPr="006000E3">
        <w:t xml:space="preserve"> for a description o</w:t>
      </w:r>
      <w:r w:rsidR="009C7592">
        <w:t>f</w:t>
      </w:r>
      <w:r w:rsidRPr="006000E3">
        <w:t xml:space="preserve"> how the master dataset </w:t>
      </w:r>
      <w:r w:rsidR="0058216F">
        <w:t>was</w:t>
      </w:r>
      <w:r w:rsidRPr="006000E3">
        <w:t xml:space="preserve"> derived. The 2019-20 sample includes </w:t>
      </w:r>
      <w:r>
        <w:t xml:space="preserve">403,497 </w:t>
      </w:r>
      <w:r w:rsidR="007B2863">
        <w:t>OOS</w:t>
      </w:r>
      <w:r w:rsidRPr="006000E3">
        <w:t xml:space="preserve">, 103,082 episodes and 90,110 young people. The 2015-16 sample includes 290,834 </w:t>
      </w:r>
      <w:r w:rsidR="007B2863">
        <w:t>OOS</w:t>
      </w:r>
      <w:r w:rsidRPr="006000E3">
        <w:t>, 77,833 episodes and 70,940 young people.</w:t>
      </w:r>
      <w:r w:rsidR="006D7940">
        <w:t xml:space="preserve"> </w:t>
      </w:r>
      <w:r w:rsidR="00ED644E">
        <w:t xml:space="preserve">A total of </w:t>
      </w:r>
      <w:r w:rsidR="0075429E">
        <w:t>95 services are included as headspace centres</w:t>
      </w:r>
      <w:r w:rsidR="00C0779F">
        <w:t xml:space="preserve"> in 2015-16</w:t>
      </w:r>
      <w:r w:rsidR="0075429E">
        <w:t xml:space="preserve">, and </w:t>
      </w:r>
      <w:r w:rsidR="0004467B">
        <w:t>three</w:t>
      </w:r>
      <w:r w:rsidR="0075429E">
        <w:t xml:space="preserve"> </w:t>
      </w:r>
      <w:r w:rsidR="00250BEB">
        <w:t>services are</w:t>
      </w:r>
      <w:r w:rsidR="0075429E">
        <w:t xml:space="preserve"> included as a satellite </w:t>
      </w:r>
      <w:r w:rsidR="00080644">
        <w:t>service</w:t>
      </w:r>
      <w:r w:rsidR="0075429E">
        <w:t xml:space="preserve"> in 201</w:t>
      </w:r>
      <w:r w:rsidR="00250BEB">
        <w:t>8-19</w:t>
      </w:r>
      <w:r w:rsidR="0075429E">
        <w:t xml:space="preserve">. </w:t>
      </w:r>
      <w:r w:rsidR="00ED644E">
        <w:t xml:space="preserve">A total of </w:t>
      </w:r>
      <w:r w:rsidR="004C4E9D">
        <w:t xml:space="preserve">111 services are included as headspace centres, and </w:t>
      </w:r>
      <w:r w:rsidR="0004467B">
        <w:t>seven</w:t>
      </w:r>
      <w:r w:rsidR="004C4E9D">
        <w:t xml:space="preserve"> services are included as satellite services</w:t>
      </w:r>
      <w:r w:rsidR="00E3597A">
        <w:t xml:space="preserve"> in 2019-20</w:t>
      </w:r>
      <w:r w:rsidR="004C4E9D">
        <w:t xml:space="preserve">. </w:t>
      </w:r>
      <w:r w:rsidR="00065FE8">
        <w:t>For clarity purposes</w:t>
      </w:r>
      <w:r w:rsidR="00412374">
        <w:t>,</w:t>
      </w:r>
      <w:r w:rsidR="00065FE8">
        <w:t xml:space="preserve"> d</w:t>
      </w:r>
      <w:r w:rsidR="006D7940">
        <w:t xml:space="preserve">ata labels are not included for categories with less than </w:t>
      </w:r>
      <w:r w:rsidR="00FA67D0">
        <w:t>0.5</w:t>
      </w:r>
      <w:r w:rsidR="00412374">
        <w:t xml:space="preserve"> per cent</w:t>
      </w:r>
      <w:r w:rsidR="006D7940">
        <w:t>.</w:t>
      </w:r>
      <w:r w:rsidR="00B1331E">
        <w:t xml:space="preserve"> </w:t>
      </w:r>
      <w:r w:rsidR="001D28E9">
        <w:t xml:space="preserve">Vocational services include those provided through the IPS </w:t>
      </w:r>
      <w:r w:rsidR="007B2863">
        <w:t>P</w:t>
      </w:r>
      <w:r w:rsidR="001D28E9">
        <w:t>rogram.</w:t>
      </w:r>
    </w:p>
    <w:p w14:paraId="49867DF3" w14:textId="77777777" w:rsidR="007240BC" w:rsidRPr="006000E3" w:rsidRDefault="007240BC" w:rsidP="00ED3129">
      <w:pPr>
        <w:pStyle w:val="Heading4"/>
      </w:pPr>
      <w:r w:rsidRPr="006000E3">
        <w:t>Services provided by service location</w:t>
      </w:r>
    </w:p>
    <w:p w14:paraId="479AAB3E" w14:textId="444BD76B" w:rsidR="007240BC" w:rsidRPr="00E003B2" w:rsidRDefault="00D4791D" w:rsidP="007240BC">
      <w:pPr>
        <w:pStyle w:val="BodyText"/>
      </w:pPr>
      <w:r>
        <w:fldChar w:fldCharType="begin" w:fldLock="1"/>
      </w:r>
      <w:r>
        <w:instrText xml:space="preserve"> REF _Ref95046405 \h </w:instrText>
      </w:r>
      <w:r>
        <w:fldChar w:fldCharType="separate"/>
      </w:r>
      <w:r w:rsidR="000C245D" w:rsidRPr="00E003B2">
        <w:t xml:space="preserve">Figure </w:t>
      </w:r>
      <w:r w:rsidR="000C245D">
        <w:rPr>
          <w:noProof/>
        </w:rPr>
        <w:t>18</w:t>
      </w:r>
      <w:r>
        <w:fldChar w:fldCharType="end"/>
      </w:r>
      <w:r w:rsidR="007240BC" w:rsidRPr="00E003B2">
        <w:t xml:space="preserve"> below demonstrates the changes in services provided by headspace services across different locations between 2015-16 and 2019-20. There are typically distinct trends visible, depending on the location of services. headspace services in all locations have seen a decrease in the proportion of mental health services provided between 2015-16 and 2019-20. The proportion of group work services provided has increased in all locations except major cities, with the </w:t>
      </w:r>
      <w:r w:rsidR="00503889">
        <w:t>largest</w:t>
      </w:r>
      <w:r w:rsidR="007240BC" w:rsidRPr="00E003B2">
        <w:t xml:space="preserve"> increases in outer regional and remote locations. The proportion of physical health services has decreased in all locations, </w:t>
      </w:r>
      <w:r w:rsidR="00071B54">
        <w:t>with</w:t>
      </w:r>
      <w:r w:rsidR="007240BC" w:rsidRPr="00E003B2">
        <w:t xml:space="preserve"> the most significant decrease being in remote locations, down 14</w:t>
      </w:r>
      <w:r w:rsidR="00076C9D">
        <w:t xml:space="preserve"> </w:t>
      </w:r>
      <w:r w:rsidR="007240BC" w:rsidRPr="00E003B2">
        <w:t>percentage points.</w:t>
      </w:r>
      <w:r w:rsidR="00D61A4C">
        <w:t xml:space="preserve"> This decrease is</w:t>
      </w:r>
      <w:r w:rsidR="00071B54">
        <w:t>,</w:t>
      </w:r>
      <w:r w:rsidR="00D61A4C">
        <w:t xml:space="preserve"> in part</w:t>
      </w:r>
      <w:r w:rsidR="00071B54">
        <w:t>,</w:t>
      </w:r>
      <w:r w:rsidR="00D61A4C">
        <w:t xml:space="preserve"> attri</w:t>
      </w:r>
      <w:r w:rsidR="009D1A2C">
        <w:t xml:space="preserve">butable to the introduction of the Pilbara outreach trial, with its unique service model, and the </w:t>
      </w:r>
      <w:r w:rsidR="00071B54">
        <w:t xml:space="preserve">majority </w:t>
      </w:r>
      <w:r w:rsidR="009D1A2C">
        <w:t>of supports provided split between mental health, intake and assessment, and group work for young people.</w:t>
      </w:r>
      <w:r w:rsidR="007240BC" w:rsidRPr="00E003B2">
        <w:t xml:space="preserve"> Remote services have also seen significant increases in vocational and </w:t>
      </w:r>
      <w:r w:rsidR="00905C7F">
        <w:t>group work</w:t>
      </w:r>
      <w:r w:rsidR="007240BC" w:rsidRPr="00E003B2">
        <w:t xml:space="preserve"> services provided to young people.</w:t>
      </w:r>
    </w:p>
    <w:p w14:paraId="13A84CCE" w14:textId="3D877497" w:rsidR="007240BC" w:rsidRPr="007E035A" w:rsidRDefault="007240BC" w:rsidP="007240BC">
      <w:pPr>
        <w:pStyle w:val="Caption"/>
      </w:pPr>
      <w:bookmarkStart w:id="80" w:name="_Ref95046405"/>
      <w:bookmarkStart w:id="81" w:name="_Toc108109203"/>
      <w:r w:rsidRPr="00E003B2">
        <w:t xml:space="preserve">Figure </w:t>
      </w:r>
      <w:r>
        <w:fldChar w:fldCharType="begin"/>
      </w:r>
      <w:r>
        <w:instrText>SEQ Figure \* ARABIC</w:instrText>
      </w:r>
      <w:r>
        <w:fldChar w:fldCharType="separate"/>
      </w:r>
      <w:r w:rsidR="00CC0438">
        <w:rPr>
          <w:noProof/>
        </w:rPr>
        <w:t>18</w:t>
      </w:r>
      <w:r>
        <w:fldChar w:fldCharType="end"/>
      </w:r>
      <w:bookmarkEnd w:id="80"/>
      <w:r w:rsidR="00D4791D">
        <w:rPr>
          <w:noProof/>
        </w:rPr>
        <w:t>:</w:t>
      </w:r>
      <w:r w:rsidRPr="00E003B2">
        <w:t xml:space="preserve"> Changes in the mi</w:t>
      </w:r>
      <w:r w:rsidRPr="007E035A">
        <w:t>x of services provided by headspace services between 2015</w:t>
      </w:r>
      <w:r w:rsidR="009618DD">
        <w:noBreakHyphen/>
      </w:r>
      <w:r w:rsidRPr="007E035A">
        <w:t>16 and 2019</w:t>
      </w:r>
      <w:r w:rsidR="009618DD">
        <w:noBreakHyphen/>
      </w:r>
      <w:r w:rsidRPr="007E035A">
        <w:t>20, by service remoteness</w:t>
      </w:r>
      <w:bookmarkEnd w:id="81"/>
    </w:p>
    <w:p w14:paraId="3A97482A" w14:textId="13AF7F13" w:rsidR="007240BC" w:rsidRPr="00E20D66" w:rsidRDefault="007240BC" w:rsidP="003006A8">
      <w:pPr>
        <w:pStyle w:val="BodyText"/>
        <w:rPr>
          <w:highlight w:val="yellow"/>
        </w:rPr>
      </w:pPr>
      <w:r w:rsidRPr="009D3898">
        <w:t xml:space="preserve"> </w:t>
      </w:r>
      <w:r w:rsidR="00430AD5">
        <w:rPr>
          <w:noProof/>
        </w:rPr>
        <w:drawing>
          <wp:inline distT="0" distB="0" distL="0" distR="0" wp14:anchorId="6C2A449E" wp14:editId="7227C918">
            <wp:extent cx="5036820" cy="5036820"/>
            <wp:effectExtent l="0" t="0" r="0" b="0"/>
            <wp:docPr id="88" name="Picture 88" descr="Figure 18 shows the change in the mix of services provided by headspace services between 2015-16 and 2019-20, by remoteness of the headspace service.&#10;For headspace services in major cities in 2015-16, the percentage of supports delivered in each category was:&#10;Mental health services were 61%&#10;Intake/Assessment services were 22%&#10;Physical health and sexual health was 2%&#10;Group work was 2%&#10;General Assistance was 1%&#10;Alcohol and/or other drug specific intervention was less than 1%&#10;Vocational services were was less than 1%&#10;Family inclusive practice was less than 1%&#10;Other services were less than 1%&#10;There were missing data for 9% of occasions of service&#10;&#10;For headspace services in major cities in 2019-20, the percentage of supports delivered in each category was:&#10;Mental health services were 58%&#10;Intake/Assessment services were 25%&#10;Physical health and sexual health was 1%&#10;Group work was 2%&#10;General Assistance was 2%&#10;Alcohol and/or other drug specific intervention was less than 1%&#10;Vocational services were 1%&#10;Family inclusive practice was less than 1%&#10;Other services were less than 1%&#10;There were missing data for 9% of occasions of service&#10;&#10;For inner regional headspace services in 2015-16, the percentage of supports delivered in each category was:&#10;Mental health services were 64%&#10;Intake/Assessment services were 21%&#10;Physical health and sexual health was 5%&#10;Group work was 2%&#10;General Assistance was 2%&#10;Alcohol and/or other drug specific intervention was less than 1%&#10;Vocational services were 1%&#10;Family inclusive practice was less than 1%&#10;Other services were less than 1%&#10;There were missing data for 4% of occasions of service&#10;&#10;For inner regional headspace services in 2019-20, the percentage of supports delivered in each category was:&#10;Mental health services were 58%&#10;Intake/Assessment services were 22%&#10;Physical health and sexual health was 3%&#10;Group work was 4%&#10;General Assistance was 4%&#10;Alcohol and/or other drug specific intervention was less than 1%&#10;Vocational services were 3%&#10;Family inclusive practice was less than 1%&#10;Other services were less than 1%&#10;There were missing data for 6% of occasions of service&#10;&#10;For outer regional headspace services in 2015-16, the percentage of supports delivered in each category was:&#10;Mental health services were 68%&#10;Intake/Assessment services were 24%&#10;Physical health and sexual health was 2%&#10;Group work was 1%&#10;General Assistance was 1%&#10;Alcohol and/or other drug specific intervention was less than 1%&#10;Vocational services were less than 1%&#10;Family inclusive practice was less than 1%&#10;Other services were less than 1%&#10;There were missing data for 2% of occasions of service&#10;&#10;For outer regional headspace services in 2019-20, the percentage of supports delivered in each category was:&#10;Mental health services were 55%&#10;Intake/Assessment services were 20%&#10;Physical health and sexual health was less than 1%&#10;Group work was 10%&#10;General Assistance was 4%&#10;Alcohol and/or other drug specific intervention was less than 1%&#10;Vocational services were 5%&#10;Family inclusive practice was less than 1%&#10;Other services were less than 1%&#10;There were missing data for 2% of occasions of service&#10;&#10;For remote and very remote headspace services in 2015-16, the percentage of supports delivered in each category was:&#10;Mental health services were 55%&#10;Intake/Assessment services were 13%&#10;Physical health and sexual health was 27%&#10;Group work was less than 1%&#10;General Assistance was 1%&#10;Alcohol and/or other drug specific intervention was less than 1%&#10;Vocational services were less than 1%&#10;Family inclusive practice was 1%&#10;Other services were less than 1%&#10;There were missing data for less than 1% of occasions of service&#10;&#10;For remote and very remote headspace services in 2019-20, the percentage of supports delivered in each category was:&#10;Mental health services were 38%&#10;Intake/Assessment services were 19%&#10;Physical health and sexual health was 13%&#10;Group work was 7%&#10;General Assistance was 6%&#10;Alcohol and/or other drug specific intervention was less than 1%&#10;Vocational services were 8%&#10;Family inclusive practice was less than 1%&#10;Other services were less than 1%&#10;There were missing data for 8% of occasions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igure 18 shows the change in the mix of services provided by headspace services between 2015-16 and 2019-20, by remoteness of the headspace service.&#10;For headspace services in major cities in 2015-16, the percentage of supports delivered in each category was:&#10;Mental health services were 61%&#10;Intake/Assessment services were 22%&#10;Physical health and sexual health was 2%&#10;Group work was 2%&#10;General Assistance was 1%&#10;Alcohol and/or other drug specific intervention was less than 1%&#10;Vocational services were was less than 1%&#10;Family inclusive practice was less than 1%&#10;Other services were less than 1%&#10;There were missing data for 9% of occasions of service&#10;&#10;For headspace services in major cities in 2019-20, the percentage of supports delivered in each category was:&#10;Mental health services were 58%&#10;Intake/Assessment services were 25%&#10;Physical health and sexual health was 1%&#10;Group work was 2%&#10;General Assistance was 2%&#10;Alcohol and/or other drug specific intervention was less than 1%&#10;Vocational services were 1%&#10;Family inclusive practice was less than 1%&#10;Other services were less than 1%&#10;There were missing data for 9% of occasions of service&#10;&#10;For inner regional headspace services in 2015-16, the percentage of supports delivered in each category was:&#10;Mental health services were 64%&#10;Intake/Assessment services were 21%&#10;Physical health and sexual health was 5%&#10;Group work was 2%&#10;General Assistance was 2%&#10;Alcohol and/or other drug specific intervention was less than 1%&#10;Vocational services were 1%&#10;Family inclusive practice was less than 1%&#10;Other services were less than 1%&#10;There were missing data for 4% of occasions of service&#10;&#10;For inner regional headspace services in 2019-20, the percentage of supports delivered in each category was:&#10;Mental health services were 58%&#10;Intake/Assessment services were 22%&#10;Physical health and sexual health was 3%&#10;Group work was 4%&#10;General Assistance was 4%&#10;Alcohol and/or other drug specific intervention was less than 1%&#10;Vocational services were 3%&#10;Family inclusive practice was less than 1%&#10;Other services were less than 1%&#10;There were missing data for 6% of occasions of service&#10;&#10;For outer regional headspace services in 2015-16, the percentage of supports delivered in each category was:&#10;Mental health services were 68%&#10;Intake/Assessment services were 24%&#10;Physical health and sexual health was 2%&#10;Group work was 1%&#10;General Assistance was 1%&#10;Alcohol and/or other drug specific intervention was less than 1%&#10;Vocational services were less than 1%&#10;Family inclusive practice was less than 1%&#10;Other services were less than 1%&#10;There were missing data for 2% of occasions of service&#10;&#10;For outer regional headspace services in 2019-20, the percentage of supports delivered in each category was:&#10;Mental health services were 55%&#10;Intake/Assessment services were 20%&#10;Physical health and sexual health was less than 1%&#10;Group work was 10%&#10;General Assistance was 4%&#10;Alcohol and/or other drug specific intervention was less than 1%&#10;Vocational services were 5%&#10;Family inclusive practice was less than 1%&#10;Other services were less than 1%&#10;There were missing data for 2% of occasions of service&#10;&#10;For remote and very remote headspace services in 2015-16, the percentage of supports delivered in each category was:&#10;Mental health services were 55%&#10;Intake/Assessment services were 13%&#10;Physical health and sexual health was 27%&#10;Group work was less than 1%&#10;General Assistance was 1%&#10;Alcohol and/or other drug specific intervention was less than 1%&#10;Vocational services were less than 1%&#10;Family inclusive practice was 1%&#10;Other services were less than 1%&#10;There were missing data for less than 1% of occasions of service&#10;&#10;For remote and very remote headspace services in 2019-20, the percentage of supports delivered in each category was:&#10;Mental health services were 38%&#10;Intake/Assessment services were 19%&#10;Physical health and sexual health was 13%&#10;Group work was 7%&#10;General Assistance was 6%&#10;Alcohol and/or other drug specific intervention was less than 1%&#10;Vocational services were 8%&#10;Family inclusive practice was less than 1%&#10;Other services were less than 1%&#10;There were missing data for 8% of occasions of servi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6820" cy="5036820"/>
                    </a:xfrm>
                    <a:prstGeom prst="rect">
                      <a:avLst/>
                    </a:prstGeom>
                    <a:noFill/>
                    <a:ln>
                      <a:noFill/>
                    </a:ln>
                  </pic:spPr>
                </pic:pic>
              </a:graphicData>
            </a:graphic>
          </wp:inline>
        </w:drawing>
      </w:r>
    </w:p>
    <w:p w14:paraId="58B8381E" w14:textId="77777777" w:rsidR="007240BC" w:rsidRPr="007E035A" w:rsidRDefault="007240BC" w:rsidP="007240BC">
      <w:pPr>
        <w:pStyle w:val="Source"/>
      </w:pPr>
      <w:r w:rsidRPr="007E035A">
        <w:t>Source: KPMG master dataset</w:t>
      </w:r>
    </w:p>
    <w:p w14:paraId="2E4DADF7" w14:textId="4E0B49CC" w:rsidR="007240BC" w:rsidRPr="007E035A" w:rsidRDefault="007240BC" w:rsidP="007240BC">
      <w:pPr>
        <w:pStyle w:val="Source"/>
      </w:pPr>
      <w:r w:rsidRPr="007E035A">
        <w:t xml:space="preserve">Notes: See </w:t>
      </w:r>
      <w:r w:rsidR="00B37DFF">
        <w:t xml:space="preserve">Appendix </w:t>
      </w:r>
      <w:r w:rsidR="006C6C34">
        <w:fldChar w:fldCharType="begin" w:fldLock="1"/>
      </w:r>
      <w:r w:rsidR="006C6C34">
        <w:instrText xml:space="preserve"> REF _Ref98226030 \r \h </w:instrText>
      </w:r>
      <w:r w:rsidR="006C6C34">
        <w:fldChar w:fldCharType="separate"/>
      </w:r>
      <w:r w:rsidR="00AE4D34">
        <w:t>E.9</w:t>
      </w:r>
      <w:r w:rsidR="006C6C34">
        <w:fldChar w:fldCharType="end"/>
      </w:r>
      <w:r w:rsidRPr="007E035A">
        <w:t xml:space="preserve"> for a description o</w:t>
      </w:r>
      <w:r w:rsidR="009C7592">
        <w:t>f</w:t>
      </w:r>
      <w:r w:rsidRPr="007E035A">
        <w:t xml:space="preserve"> how the master dataset is derived. The 2019-20 sample includes </w:t>
      </w:r>
      <w:r>
        <w:t xml:space="preserve">403,497 </w:t>
      </w:r>
      <w:r w:rsidR="007B2863">
        <w:t>OOS</w:t>
      </w:r>
      <w:r w:rsidRPr="007E035A">
        <w:t xml:space="preserve">, 103,082 episodes and 90,110 young people. The 2015-16 sample includes 290,834 </w:t>
      </w:r>
      <w:r w:rsidR="007B2863">
        <w:t>OOS</w:t>
      </w:r>
      <w:r w:rsidRPr="007E035A">
        <w:t>, 77,833 episodes and 70,940 young people.</w:t>
      </w:r>
      <w:r w:rsidR="006D7940">
        <w:t xml:space="preserve"> </w:t>
      </w:r>
      <w:r w:rsidR="00585FE6">
        <w:t>A total o</w:t>
      </w:r>
      <w:r w:rsidR="005A23BC">
        <w:t xml:space="preserve">f 57 services were located in major cities, 27 services in inner regional areas, 11 services in outer regional areas, and </w:t>
      </w:r>
      <w:r w:rsidR="00B37DFF">
        <w:t>three</w:t>
      </w:r>
      <w:r w:rsidR="005A23BC">
        <w:t xml:space="preserve"> services in remote and very remote areas in 2015-16.</w:t>
      </w:r>
      <w:r w:rsidR="00585FE6">
        <w:t xml:space="preserve"> </w:t>
      </w:r>
      <w:r w:rsidR="004A1C1B">
        <w:t xml:space="preserve">A total of </w:t>
      </w:r>
      <w:r w:rsidR="00E40860">
        <w:t>61</w:t>
      </w:r>
      <w:r w:rsidR="00B37DFF">
        <w:t> </w:t>
      </w:r>
      <w:r w:rsidR="00E40860">
        <w:t xml:space="preserve">services </w:t>
      </w:r>
      <w:r w:rsidR="00DD56A5">
        <w:t>we</w:t>
      </w:r>
      <w:r w:rsidR="00E40860">
        <w:t>re located in major cities, 35</w:t>
      </w:r>
      <w:r w:rsidR="004C7BDD">
        <w:t> </w:t>
      </w:r>
      <w:r w:rsidR="00E40860">
        <w:t xml:space="preserve">services in inner regional areas, 17 services in outer regional areas, and </w:t>
      </w:r>
      <w:r w:rsidR="00B37DFF">
        <w:t>five</w:t>
      </w:r>
      <w:r w:rsidR="00E40860">
        <w:t xml:space="preserve"> services in remote and very remote areas</w:t>
      </w:r>
      <w:r w:rsidR="00DD56A5">
        <w:t xml:space="preserve"> in 2019</w:t>
      </w:r>
      <w:r w:rsidR="004C7BDD">
        <w:noBreakHyphen/>
      </w:r>
      <w:r w:rsidR="00DD56A5">
        <w:t>20</w:t>
      </w:r>
      <w:r w:rsidR="00E40860">
        <w:t xml:space="preserve">. </w:t>
      </w:r>
      <w:r w:rsidR="00101DED">
        <w:t>For clarity purposes, d</w:t>
      </w:r>
      <w:r w:rsidR="006D7940">
        <w:t xml:space="preserve">ata labels are not included for categories with less than </w:t>
      </w:r>
      <w:r w:rsidR="009B2192">
        <w:t>0.5</w:t>
      </w:r>
      <w:r w:rsidR="00101DED">
        <w:t xml:space="preserve"> per cent</w:t>
      </w:r>
      <w:r w:rsidR="006D7940">
        <w:t>.</w:t>
      </w:r>
      <w:r w:rsidR="001D28E9">
        <w:t xml:space="preserve"> Vocational services include those provided through the IPS </w:t>
      </w:r>
      <w:r w:rsidR="007B2863">
        <w:t>P</w:t>
      </w:r>
      <w:r w:rsidR="001D28E9">
        <w:t>rogram.</w:t>
      </w:r>
    </w:p>
    <w:p w14:paraId="5D9FF314" w14:textId="37F1C0D4" w:rsidR="00C227F0" w:rsidRDefault="00C227F0" w:rsidP="00857DD5">
      <w:pPr>
        <w:pStyle w:val="Heading3"/>
      </w:pPr>
      <w:bookmarkStart w:id="82" w:name="_Ref102306041"/>
      <w:r>
        <w:t>Impacts of COVID-19</w:t>
      </w:r>
      <w:bookmarkEnd w:id="82"/>
    </w:p>
    <w:p w14:paraId="05CE725B" w14:textId="73B4FB50" w:rsidR="00C227F0" w:rsidRDefault="00C227F0" w:rsidP="00123324">
      <w:pPr>
        <w:pStyle w:val="BodyText"/>
      </w:pPr>
      <w:r>
        <w:t>In early 2020</w:t>
      </w:r>
      <w:r w:rsidR="00B37DFF">
        <w:t>,</w:t>
      </w:r>
      <w:r>
        <w:t xml:space="preserve"> the effects of the COVID-19 pandemic</w:t>
      </w:r>
      <w:r w:rsidR="003B429F">
        <w:t xml:space="preserve"> began </w:t>
      </w:r>
      <w:r w:rsidR="00930D15">
        <w:t>to impact Australia</w:t>
      </w:r>
      <w:r>
        <w:t xml:space="preserve">. </w:t>
      </w:r>
      <w:r w:rsidR="00AE71BE">
        <w:t>The pandemic</w:t>
      </w:r>
      <w:r>
        <w:t xml:space="preserve"> </w:t>
      </w:r>
      <w:r w:rsidR="00B24A04" w:rsidRPr="00BF72DC">
        <w:t>necessitated</w:t>
      </w:r>
      <w:r w:rsidR="00B24A04">
        <w:t xml:space="preserve"> a</w:t>
      </w:r>
      <w:r>
        <w:t xml:space="preserve"> rapid pivot of service delivery across the health and community sector to ensure significant infection control measures, and </w:t>
      </w:r>
      <w:r w:rsidR="00032BE0">
        <w:t xml:space="preserve">that </w:t>
      </w:r>
      <w:r>
        <w:t xml:space="preserve">the health of service users and staff </w:t>
      </w:r>
      <w:r w:rsidR="00B10C54">
        <w:t>were prioritised</w:t>
      </w:r>
      <w:r>
        <w:t xml:space="preserve">. Many services were required to swiftly mobilise telehealth service provision, something which was new to many providers and service users. </w:t>
      </w:r>
    </w:p>
    <w:p w14:paraId="5C05BE0F" w14:textId="3A121076" w:rsidR="00C227F0" w:rsidRDefault="00C227F0" w:rsidP="00123324">
      <w:pPr>
        <w:pStyle w:val="BodyText"/>
      </w:pPr>
      <w:r>
        <w:t xml:space="preserve">Preliminary analysis of </w:t>
      </w:r>
      <w:r w:rsidR="00A53092">
        <w:t xml:space="preserve">the </w:t>
      </w:r>
      <w:r>
        <w:t>respo</w:t>
      </w:r>
      <w:r w:rsidR="00A53092">
        <w:t>nse of</w:t>
      </w:r>
      <w:r>
        <w:t xml:space="preserve"> </w:t>
      </w:r>
      <w:r w:rsidR="005F2417">
        <w:t xml:space="preserve">headspace services </w:t>
      </w:r>
      <w:r>
        <w:t>to the COVID-19 pandemic show</w:t>
      </w:r>
      <w:r w:rsidR="0014300E">
        <w:t>s</w:t>
      </w:r>
      <w:r>
        <w:t xml:space="preserve"> that </w:t>
      </w:r>
      <w:r w:rsidR="00337E47">
        <w:t xml:space="preserve">total </w:t>
      </w:r>
      <w:r w:rsidR="003E236F">
        <w:t>OOS</w:t>
      </w:r>
      <w:r>
        <w:t xml:space="preserve"> remained relatively stable during the Jan</w:t>
      </w:r>
      <w:r w:rsidR="00285A31">
        <w:t xml:space="preserve">uary to </w:t>
      </w:r>
      <w:r>
        <w:t>Jun</w:t>
      </w:r>
      <w:r w:rsidR="00285A31">
        <w:t>e</w:t>
      </w:r>
      <w:r>
        <w:t xml:space="preserve"> 2020 period</w:t>
      </w:r>
      <w:r w:rsidR="00CC0438">
        <w:rPr>
          <w:rFonts w:ascii="ZWAdobeF" w:hAnsi="ZWAdobeF" w:cs="ZWAdobeF"/>
          <w:sz w:val="2"/>
          <w:szCs w:val="2"/>
        </w:rPr>
        <w:t>82F</w:t>
      </w:r>
      <w:r w:rsidR="00337E47">
        <w:rPr>
          <w:rStyle w:val="FootnoteReference"/>
        </w:rPr>
        <w:footnoteReference w:id="84"/>
      </w:r>
      <w:r>
        <w:t>. As demonstrated</w:t>
      </w:r>
      <w:r w:rsidR="001E5C64">
        <w:t>,</w:t>
      </w:r>
      <w:r>
        <w:t xml:space="preserve"> </w:t>
      </w:r>
      <w:r w:rsidR="00105811">
        <w:t>in</w:t>
      </w:r>
      <w:r w:rsidR="009E22BF">
        <w:t xml:space="preserve"> </w:t>
      </w:r>
      <w:r w:rsidR="009E22BF">
        <w:fldChar w:fldCharType="begin" w:fldLock="1"/>
      </w:r>
      <w:r w:rsidR="009E22BF">
        <w:instrText xml:space="preserve"> REF _Ref98504154 \h </w:instrText>
      </w:r>
      <w:r w:rsidR="009E22BF">
        <w:fldChar w:fldCharType="separate"/>
      </w:r>
      <w:r w:rsidR="000C245D">
        <w:t xml:space="preserve">Figure </w:t>
      </w:r>
      <w:r w:rsidR="000C245D">
        <w:rPr>
          <w:noProof/>
        </w:rPr>
        <w:t>19</w:t>
      </w:r>
      <w:r w:rsidR="009E22BF">
        <w:fldChar w:fldCharType="end"/>
      </w:r>
      <w:r w:rsidR="009E22BF">
        <w:t xml:space="preserve">, </w:t>
      </w:r>
      <w:r>
        <w:t>April saw a significant substitution of face</w:t>
      </w:r>
      <w:r w:rsidR="003E236F">
        <w:t>-</w:t>
      </w:r>
      <w:r>
        <w:t>to</w:t>
      </w:r>
      <w:r w:rsidR="003E236F">
        <w:t>-</w:t>
      </w:r>
      <w:r>
        <w:t>face services with the use of telehealth services in the form of online</w:t>
      </w:r>
      <w:r w:rsidR="00DB22BA">
        <w:t xml:space="preserve">, </w:t>
      </w:r>
      <w:r>
        <w:t>video and telephone modes of delivery, making up 82</w:t>
      </w:r>
      <w:r w:rsidR="003766D3">
        <w:t xml:space="preserve"> per cent</w:t>
      </w:r>
      <w:r>
        <w:t xml:space="preserve"> of all </w:t>
      </w:r>
      <w:r w:rsidR="007B2863">
        <w:t>OOS</w:t>
      </w:r>
      <w:r>
        <w:t>. By June 2020</w:t>
      </w:r>
      <w:r w:rsidR="00337E47">
        <w:t>,</w:t>
      </w:r>
      <w:r>
        <w:t xml:space="preserve"> face-to-face services</w:t>
      </w:r>
      <w:r w:rsidR="00337E47">
        <w:t xml:space="preserve"> had</w:t>
      </w:r>
      <w:r>
        <w:t xml:space="preserve"> increased but telehealth still remained the major</w:t>
      </w:r>
      <w:r w:rsidR="002B2A0C">
        <w:t xml:space="preserve"> </w:t>
      </w:r>
      <w:r w:rsidR="00DC5DBD">
        <w:t>mode of delivery</w:t>
      </w:r>
      <w:r>
        <w:t xml:space="preserve">. </w:t>
      </w:r>
    </w:p>
    <w:p w14:paraId="48154A65" w14:textId="19F2738C" w:rsidR="000C66FA" w:rsidRDefault="00C227F0" w:rsidP="00123324">
      <w:pPr>
        <w:pStyle w:val="BodyText"/>
      </w:pPr>
      <w:r>
        <w:t>Data for new episodes post June 2020 were not included in the evaluation</w:t>
      </w:r>
      <w:r w:rsidR="00DC5DBD">
        <w:t>,</w:t>
      </w:r>
      <w:r>
        <w:t xml:space="preserve"> </w:t>
      </w:r>
      <w:r w:rsidR="00DC5DBD">
        <w:t>therefore</w:t>
      </w:r>
      <w:r>
        <w:t xml:space="preserve"> further analysis to examine the ongoing effects of COVID</w:t>
      </w:r>
      <w:r w:rsidR="00DC5DBD">
        <w:noBreakHyphen/>
        <w:t>19</w:t>
      </w:r>
      <w:r>
        <w:t xml:space="preserve"> on treatment modality or effect</w:t>
      </w:r>
      <w:r w:rsidR="00E57B28">
        <w:t xml:space="preserve"> was not possible</w:t>
      </w:r>
      <w:r>
        <w:t xml:space="preserve">. </w:t>
      </w:r>
      <w:r w:rsidR="00262950">
        <w:t>However, c</w:t>
      </w:r>
      <w:r w:rsidR="00F5582F">
        <w:t>o</w:t>
      </w:r>
      <w:r w:rsidR="00D67CFB">
        <w:t>nsultation</w:t>
      </w:r>
      <w:r w:rsidR="00F5582F">
        <w:t>s with service providers</w:t>
      </w:r>
      <w:r w:rsidR="00262950">
        <w:t xml:space="preserve">, conducted after the data period, </w:t>
      </w:r>
      <w:r w:rsidR="00F5582F">
        <w:t xml:space="preserve">frequently raised the pandemic </w:t>
      </w:r>
      <w:r w:rsidR="008B14B6">
        <w:t>and bushfires as two recent social conditions</w:t>
      </w:r>
      <w:r w:rsidR="005F373A">
        <w:t xml:space="preserve"> with </w:t>
      </w:r>
      <w:r w:rsidR="00F46AFF">
        <w:t>widely felt negative</w:t>
      </w:r>
      <w:r w:rsidR="008B14B6">
        <w:t xml:space="preserve"> </w:t>
      </w:r>
      <w:r w:rsidR="00262950">
        <w:t>impact</w:t>
      </w:r>
      <w:r w:rsidR="00F46AFF">
        <w:t>s on</w:t>
      </w:r>
      <w:r w:rsidR="00262950">
        <w:t xml:space="preserve"> </w:t>
      </w:r>
      <w:r w:rsidR="008B14B6">
        <w:t>communities</w:t>
      </w:r>
      <w:r w:rsidR="00262950">
        <w:t>.</w:t>
      </w:r>
      <w:r w:rsidR="008B14B6">
        <w:t xml:space="preserve"> </w:t>
      </w:r>
      <w:r w:rsidR="00262950">
        <w:t xml:space="preserve">Providers described these </w:t>
      </w:r>
      <w:r w:rsidR="00F5582F">
        <w:t>as important</w:t>
      </w:r>
      <w:r w:rsidR="008B14B6">
        <w:t xml:space="preserve"> </w:t>
      </w:r>
      <w:r w:rsidR="00F5582F">
        <w:t xml:space="preserve">for them in </w:t>
      </w:r>
      <w:r w:rsidR="002A5228">
        <w:t>service planning</w:t>
      </w:r>
      <w:r w:rsidR="0088160D">
        <w:t>, with the need to have therapeutic and treatment approaches that sup</w:t>
      </w:r>
      <w:r w:rsidR="00001034">
        <w:t xml:space="preserve">port young people presenting with the trauma and stress from these events </w:t>
      </w:r>
      <w:r w:rsidR="00262950">
        <w:t>over the short to medium</w:t>
      </w:r>
      <w:r w:rsidR="007E76A0">
        <w:t>-</w:t>
      </w:r>
      <w:r w:rsidR="00262950">
        <w:t xml:space="preserve">term. </w:t>
      </w:r>
    </w:p>
    <w:p w14:paraId="63593DB5" w14:textId="23506184" w:rsidR="00C227F0" w:rsidRDefault="0008690D" w:rsidP="00123324">
      <w:pPr>
        <w:pStyle w:val="BodyText"/>
      </w:pPr>
      <w:r>
        <w:t xml:space="preserve">With regards to service modality, </w:t>
      </w:r>
      <w:r w:rsidR="001E6659">
        <w:t>some providers commented that young people prefer face</w:t>
      </w:r>
      <w:r w:rsidR="00AC376F">
        <w:t>-</w:t>
      </w:r>
      <w:r w:rsidR="001E6659">
        <w:t>to</w:t>
      </w:r>
      <w:r w:rsidR="00AC376F">
        <w:t>-</w:t>
      </w:r>
      <w:r w:rsidR="001E6659">
        <w:t xml:space="preserve">face support, and </w:t>
      </w:r>
      <w:r w:rsidR="00562E20">
        <w:t xml:space="preserve">that this </w:t>
      </w:r>
      <w:r w:rsidR="001E6659">
        <w:t xml:space="preserve">should always be </w:t>
      </w:r>
      <w:r w:rsidR="00C354DC">
        <w:t xml:space="preserve">prioritised. </w:t>
      </w:r>
      <w:r w:rsidR="00C227F0">
        <w:t xml:space="preserve">Further analysis </w:t>
      </w:r>
      <w:r w:rsidR="0062155C">
        <w:t>would be</w:t>
      </w:r>
      <w:r w:rsidR="00C227F0">
        <w:t xml:space="preserve"> needed to investigate if there will be a more significant and permanent presence of telehealth delivery, due to established infrastructure and processes. Further analysis should also be considered to determine any variance in young people</w:t>
      </w:r>
      <w:r w:rsidR="007268D6">
        <w:t>’</w:t>
      </w:r>
      <w:r w:rsidR="00C227F0">
        <w:t xml:space="preserve">s presenting needs as well as any potential impact of COVID-19 on outcomes for young people accessing headspace.  </w:t>
      </w:r>
    </w:p>
    <w:p w14:paraId="0DFB2057" w14:textId="0CA5E076" w:rsidR="008729A4" w:rsidRDefault="008729A4" w:rsidP="008729A4">
      <w:pPr>
        <w:pStyle w:val="Caption"/>
      </w:pPr>
      <w:bookmarkStart w:id="83" w:name="_Ref98504154"/>
      <w:bookmarkStart w:id="84" w:name="_Toc108109204"/>
      <w:r>
        <w:t xml:space="preserve">Figure </w:t>
      </w:r>
      <w:r>
        <w:fldChar w:fldCharType="begin"/>
      </w:r>
      <w:r>
        <w:instrText>SEQ Figure \* ARABIC</w:instrText>
      </w:r>
      <w:r>
        <w:fldChar w:fldCharType="separate"/>
      </w:r>
      <w:r w:rsidR="00CC0438">
        <w:rPr>
          <w:noProof/>
        </w:rPr>
        <w:t>19</w:t>
      </w:r>
      <w:r>
        <w:fldChar w:fldCharType="end"/>
      </w:r>
      <w:bookmarkEnd w:id="83"/>
      <w:r w:rsidR="00105811">
        <w:t>: Service delivery modality by month f</w:t>
      </w:r>
      <w:r w:rsidR="009E22BF">
        <w:t>rom</w:t>
      </w:r>
      <w:r w:rsidR="00105811">
        <w:t xml:space="preserve"> Jan</w:t>
      </w:r>
      <w:r w:rsidR="00DC5DBD">
        <w:t>uary</w:t>
      </w:r>
      <w:r w:rsidR="00105811">
        <w:t xml:space="preserve"> 2020 to June 2020</w:t>
      </w:r>
      <w:bookmarkEnd w:id="84"/>
    </w:p>
    <w:p w14:paraId="157D4C2A" w14:textId="76B0197B" w:rsidR="006B2C03" w:rsidRPr="006B2C03" w:rsidRDefault="006B2C03" w:rsidP="00862F5B">
      <w:r>
        <w:rPr>
          <w:noProof/>
        </w:rPr>
        <w:drawing>
          <wp:inline distT="0" distB="0" distL="0" distR="0" wp14:anchorId="62462E9D" wp14:editId="0013D7E6">
            <wp:extent cx="5037455" cy="3234055"/>
            <wp:effectExtent l="0" t="0" r="0" b="4445"/>
            <wp:docPr id="195" name="Picture 195" descr="Figure 19 is a stacked area chart showing the number of occasions of services delivered by different service modalities. &#10;In January 2020, approximately 25,000 occasions of service were delivered face to face, less than 500 occasions of service were delivered online or through video, approximately 1,500 occasions of service were delivered by telephone and approximately 1,500 occasions of service had missing data.&#10;In February 2020, approximately 30,000 occasions of service were delivered face to face, less than 500 occasions of service were delivered online or through video, approximately 2,500 occasions of service were delivered by telephone and approximately 2,500 occasions of service had missing data.&#10;In March 2020, approximately 25,000 occasions of service were delivered face to face, approximately 1,000 occasions of service were delivered online or through video, approximately 6,000 occasions of service were delivered by telephone and approximately 1,500 occasions of service had missing data.&#10;In April 2020, approximately 4,000 occasions of service were delivered face to face, approximately 7,000 occasions of service were delivered online or through video, approximately 18,000 occasions of service were delivered by telephone and approximately 1,500 occasions of service had missing data.&#10;In May 2020, approximately 5,000 occasions of service were delivered face to face, approximately 7,000 occasions of service were delivered online or through video, approximately 18,000 occasions of service were delivered by telephone and approximately 1,500 occasions of service had missing data.&#10;In June 2020, approximately 10,000 occasions of service were delivered face to face, approximately 7,000 occasions of service were delivered online or through video, approximately 17,000 occasions of service were delivered by telephone and approximately 1,500 occasions of service had missing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Figure 19 is a stacked area chart showing the number of occasions of services delivered by different service modalities. &#10;In January 2020, approximately 25,000 occasions of service were delivered face to face, less than 500 occasions of service were delivered online or through video, approximately 1,500 occasions of service were delivered by telephone and approximately 1,500 occasions of service had missing data.&#10;In February 2020, approximately 30,000 occasions of service were delivered face to face, less than 500 occasions of service were delivered online or through video, approximately 2,500 occasions of service were delivered by telephone and approximately 2,500 occasions of service had missing data.&#10;In March 2020, approximately 25,000 occasions of service were delivered face to face, approximately 1,000 occasions of service were delivered online or through video, approximately 6,000 occasions of service were delivered by telephone and approximately 1,500 occasions of service had missing data.&#10;In April 2020, approximately 4,000 occasions of service were delivered face to face, approximately 7,000 occasions of service were delivered online or through video, approximately 18,000 occasions of service were delivered by telephone and approximately 1,500 occasions of service had missing data.&#10;In May 2020, approximately 5,000 occasions of service were delivered face to face, approximately 7,000 occasions of service were delivered online or through video, approximately 18,000 occasions of service were delivered by telephone and approximately 1,500 occasions of service had missing data.&#10;In June 2020, approximately 10,000 occasions of service were delivered face to face, approximately 7,000 occasions of service were delivered online or through video, approximately 17,000 occasions of service were delivered by telephone and approximately 1,500 occasions of service had missing data.&#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17C2F42D" w14:textId="4E485493" w:rsidR="008729A4" w:rsidRPr="007E035A" w:rsidRDefault="008729A4" w:rsidP="001E5C93">
      <w:pPr>
        <w:pStyle w:val="Source"/>
      </w:pPr>
      <w:r w:rsidRPr="007E035A">
        <w:t xml:space="preserve">Source: KPMG </w:t>
      </w:r>
      <w:r w:rsidR="00105811">
        <w:t xml:space="preserve">analysis of the hMDS. </w:t>
      </w:r>
    </w:p>
    <w:p w14:paraId="5C00211D" w14:textId="1A8BD803" w:rsidR="008729A4" w:rsidRDefault="008729A4" w:rsidP="008729A4">
      <w:pPr>
        <w:pStyle w:val="Source"/>
      </w:pPr>
      <w:r w:rsidRPr="007E035A">
        <w:t xml:space="preserve">Notes: </w:t>
      </w:r>
      <w:r w:rsidR="00105811">
        <w:t xml:space="preserve">The sample </w:t>
      </w:r>
      <w:r w:rsidR="00594C97">
        <w:t xml:space="preserve">of analysis included </w:t>
      </w:r>
      <w:r w:rsidR="00594C97" w:rsidRPr="00594C97">
        <w:t>194</w:t>
      </w:r>
      <w:r w:rsidR="00594C97">
        <w:t>,</w:t>
      </w:r>
      <w:r w:rsidR="00594C97" w:rsidRPr="00594C97">
        <w:t>983</w:t>
      </w:r>
      <w:r w:rsidR="00594C97">
        <w:t xml:space="preserve"> </w:t>
      </w:r>
      <w:r w:rsidR="007B2863">
        <w:t>OOS</w:t>
      </w:r>
      <w:r w:rsidR="00594C97">
        <w:t xml:space="preserve"> from 58,958 completed/ongoing episodes </w:t>
      </w:r>
      <w:r w:rsidR="00EE52EF">
        <w:t>and 54,680 young persons</w:t>
      </w:r>
      <w:r w:rsidR="00594C97">
        <w:t xml:space="preserve"> observed between the 1 Jan</w:t>
      </w:r>
      <w:r w:rsidR="00DC5DBD">
        <w:t>uary</w:t>
      </w:r>
      <w:r w:rsidR="00594C97">
        <w:t xml:space="preserve"> 2020 to the 30 June 2020.</w:t>
      </w:r>
    </w:p>
    <w:p w14:paraId="7517B91D" w14:textId="61ABE3E9" w:rsidR="007240BC" w:rsidRDefault="00857DD5" w:rsidP="00857DD5">
      <w:pPr>
        <w:pStyle w:val="Heading3"/>
      </w:pPr>
      <w:r w:rsidRPr="00857DD5">
        <w:t>Changes to services available over the last five years – in conclusion</w:t>
      </w:r>
    </w:p>
    <w:p w14:paraId="0659D503" w14:textId="77777777" w:rsidR="00123324" w:rsidRDefault="00123324" w:rsidP="00123324">
      <w:pPr>
        <w:pStyle w:val="BodyText"/>
      </w:pPr>
      <w:r>
        <w:t xml:space="preserve">The headspace network has grown substantially during the evaluation observation period, largely outside of major metropolitan areas. </w:t>
      </w:r>
    </w:p>
    <w:p w14:paraId="1A533CE9" w14:textId="3F4D84B8" w:rsidR="00123324" w:rsidRPr="00123324" w:rsidRDefault="00123324" w:rsidP="00123324">
      <w:pPr>
        <w:pStyle w:val="BodyText"/>
      </w:pPr>
      <w:r>
        <w:t>The proportion of mental health services has also varied in this time, based on the location of services, with outer regional and remote services providing proportionately more non-mental health related services.</w:t>
      </w:r>
    </w:p>
    <w:p w14:paraId="4636DE45" w14:textId="77777777" w:rsidR="00C65F84" w:rsidRDefault="00C65F84" w:rsidP="00C65F84">
      <w:pPr>
        <w:pStyle w:val="Heading2"/>
      </w:pPr>
      <w:bookmarkStart w:id="85" w:name="_Toc108173978"/>
      <w:r>
        <w:t>Understanding headspace – in conclusion</w:t>
      </w:r>
      <w:bookmarkEnd w:id="85"/>
    </w:p>
    <w:p w14:paraId="4EC82422" w14:textId="59EA38B5" w:rsidR="00E00B34" w:rsidRDefault="00AA3EAF" w:rsidP="0027523B">
      <w:pPr>
        <w:pStyle w:val="BodyText"/>
      </w:pPr>
      <w:r>
        <w:t xml:space="preserve">This domain of inquiry has </w:t>
      </w:r>
      <w:r w:rsidR="00F437FC">
        <w:t xml:space="preserve">focused on exploring the design and implementation of the headspace model, to evaluate its </w:t>
      </w:r>
      <w:r w:rsidR="00316230">
        <w:t xml:space="preserve">alignment to the needs of the Australian community as well as the level of fidelity seen in the </w:t>
      </w:r>
      <w:r w:rsidR="00BD653F">
        <w:t>services provided through the model</w:t>
      </w:r>
      <w:r w:rsidR="00F10EE1">
        <w:t xml:space="preserve">, examining whether the reach and take-up of the service </w:t>
      </w:r>
      <w:r w:rsidR="002B29BF">
        <w:t>aligns with its intended design.</w:t>
      </w:r>
    </w:p>
    <w:p w14:paraId="07132F61" w14:textId="5DD6851E" w:rsidR="00D759E9" w:rsidRDefault="00D759E9" w:rsidP="000244E4">
      <w:pPr>
        <w:pStyle w:val="BodyText"/>
      </w:pPr>
      <w:r>
        <w:t xml:space="preserve">The design of the headspace model has been well articulated and is in line with international standards for the provision of youth-friendly care. </w:t>
      </w:r>
      <w:r w:rsidR="008C5B43">
        <w:t>There is evidence of high levels of demand for mental health services for young people, and different levels of need from young people across different demographic groups. The broader literature supports the headspace model’s identification of a number of priority groups for active engagement, and the design of the model aligns to the mental health and wellbeing needs of young people in Australia</w:t>
      </w:r>
      <w:r>
        <w:t>.</w:t>
      </w:r>
      <w:r w:rsidRPr="00D759E9">
        <w:t xml:space="preserve"> </w:t>
      </w:r>
      <w:r>
        <w:t xml:space="preserve">Stakeholder perceptions of the value and intent of the headspace model are well aligned to the intended outcomes and objectives of the model, which are clearly defined in the program logic underpinning the hMIF. </w:t>
      </w:r>
    </w:p>
    <w:p w14:paraId="2D6E3C67" w14:textId="620E5602" w:rsidR="003E48C7" w:rsidRDefault="003E48C7" w:rsidP="000244E4">
      <w:pPr>
        <w:pStyle w:val="BodyText"/>
      </w:pPr>
      <w:r w:rsidRPr="003E48C7">
        <w:t xml:space="preserve">The most significant change to how headspace services are implemented was the introduction of local PHN </w:t>
      </w:r>
      <w:r w:rsidR="00E85330">
        <w:t>c</w:t>
      </w:r>
      <w:r w:rsidRPr="003E48C7">
        <w:t xml:space="preserve">ommissioning in </w:t>
      </w:r>
      <w:r w:rsidR="00F11646" w:rsidRPr="003E48C7">
        <w:t>201</w:t>
      </w:r>
      <w:r w:rsidR="00F11646">
        <w:t>6</w:t>
      </w:r>
      <w:r>
        <w:t xml:space="preserve">, </w:t>
      </w:r>
      <w:r w:rsidR="00D0674B">
        <w:t>along with</w:t>
      </w:r>
      <w:r>
        <w:t xml:space="preserve"> a complex distributed governance model. </w:t>
      </w:r>
      <w:r w:rsidR="0029465C">
        <w:t xml:space="preserve">Also in 2016, the Individual Placement Support </w:t>
      </w:r>
      <w:r w:rsidR="00E85330">
        <w:t>P</w:t>
      </w:r>
      <w:r w:rsidR="0029465C">
        <w:t>rogram was introduced into some headspace services, t</w:t>
      </w:r>
      <w:r w:rsidR="00C562EA">
        <w:t>o</w:t>
      </w:r>
      <w:r w:rsidR="0029465C">
        <w:t xml:space="preserve"> increase </w:t>
      </w:r>
      <w:r w:rsidR="00C562EA">
        <w:t xml:space="preserve">the emphasis on vocational support </w:t>
      </w:r>
      <w:r w:rsidR="007E1E0D">
        <w:t xml:space="preserve">and trial an </w:t>
      </w:r>
      <w:r w:rsidR="00D957DC">
        <w:t xml:space="preserve">evidence-based </w:t>
      </w:r>
      <w:r w:rsidR="00EA62FD">
        <w:t>model linking vocational assistance with traditional clinical mental health support</w:t>
      </w:r>
      <w:r w:rsidR="00CC0438">
        <w:rPr>
          <w:rFonts w:ascii="ZWAdobeF" w:hAnsi="ZWAdobeF" w:cs="ZWAdobeF"/>
          <w:sz w:val="2"/>
          <w:szCs w:val="2"/>
        </w:rPr>
        <w:t>83F</w:t>
      </w:r>
      <w:r w:rsidR="00AE7BE3">
        <w:rPr>
          <w:rStyle w:val="FootnoteReference"/>
        </w:rPr>
        <w:footnoteReference w:id="85"/>
      </w:r>
      <w:r w:rsidR="00E85330">
        <w:t>.</w:t>
      </w:r>
    </w:p>
    <w:p w14:paraId="089CD393" w14:textId="011A17BD" w:rsidR="00D759E9" w:rsidRDefault="000669A1" w:rsidP="000244E4">
      <w:pPr>
        <w:pStyle w:val="BodyText"/>
      </w:pPr>
      <w:r>
        <w:t>Over time, the reach and take-up of the model have improved. With increased</w:t>
      </w:r>
      <w:r w:rsidR="00A44A37">
        <w:t xml:space="preserve"> government</w:t>
      </w:r>
      <w:r>
        <w:t xml:space="preserve"> investment, there has been significant growth in headspace services</w:t>
      </w:r>
      <w:r w:rsidR="00D30E04">
        <w:t xml:space="preserve">, from 98 in June 2016 to 118 in June 2020 and </w:t>
      </w:r>
      <w:r w:rsidR="000274D5">
        <w:t>15</w:t>
      </w:r>
      <w:r w:rsidR="002B2329">
        <w:t>4</w:t>
      </w:r>
      <w:r w:rsidR="000274D5">
        <w:t xml:space="preserve"> </w:t>
      </w:r>
      <w:r w:rsidR="00906778">
        <w:t xml:space="preserve">services in operation </w:t>
      </w:r>
      <w:r w:rsidR="00D30E04">
        <w:t xml:space="preserve">by </w:t>
      </w:r>
      <w:r w:rsidR="000274D5">
        <w:t>1 May 2022</w:t>
      </w:r>
      <w:r w:rsidR="00D30E04">
        <w:t>. T</w:t>
      </w:r>
      <w:r w:rsidR="0062236C">
        <w:t xml:space="preserve">he number of headspace service locations per jurisdiction </w:t>
      </w:r>
      <w:r w:rsidR="00D642E3">
        <w:t xml:space="preserve">also </w:t>
      </w:r>
      <w:r w:rsidR="0062236C">
        <w:t xml:space="preserve">broadly aligns to </w:t>
      </w:r>
      <w:r w:rsidR="00660A36">
        <w:t xml:space="preserve">the </w:t>
      </w:r>
      <w:r w:rsidR="0062236C">
        <w:t xml:space="preserve">population size for young people. </w:t>
      </w:r>
    </w:p>
    <w:p w14:paraId="38CD8D2A" w14:textId="5B066E15" w:rsidR="002358FD" w:rsidRDefault="003A7612" w:rsidP="00B92866">
      <w:pPr>
        <w:pStyle w:val="BodyText"/>
      </w:pPr>
      <w:r>
        <w:t>At a national level, m</w:t>
      </w:r>
      <w:r w:rsidRPr="003A7612">
        <w:t>ental health services (57.5</w:t>
      </w:r>
      <w:r>
        <w:t xml:space="preserve"> per cent</w:t>
      </w:r>
      <w:r w:rsidRPr="003A7612">
        <w:t xml:space="preserve">) </w:t>
      </w:r>
      <w:r>
        <w:t xml:space="preserve">provided through the headspace model </w:t>
      </w:r>
      <w:r w:rsidRPr="003A7612">
        <w:t xml:space="preserve">greatly outweigh AOD </w:t>
      </w:r>
      <w:r>
        <w:t xml:space="preserve">services </w:t>
      </w:r>
      <w:r w:rsidRPr="003A7612">
        <w:t>(0.4</w:t>
      </w:r>
      <w:r>
        <w:t xml:space="preserve"> per cent</w:t>
      </w:r>
      <w:r w:rsidRPr="003A7612">
        <w:t xml:space="preserve">), vocational </w:t>
      </w:r>
      <w:r>
        <w:t xml:space="preserve">support </w:t>
      </w:r>
      <w:r w:rsidRPr="003A7612">
        <w:t>(2.2</w:t>
      </w:r>
      <w:r>
        <w:t xml:space="preserve"> per cent</w:t>
      </w:r>
      <w:r w:rsidRPr="003A7612">
        <w:t>) and sexual and physical health (1.8</w:t>
      </w:r>
      <w:r>
        <w:t xml:space="preserve"> per cent</w:t>
      </w:r>
      <w:r w:rsidRPr="003A7612">
        <w:t>)</w:t>
      </w:r>
      <w:r w:rsidR="00CC0438">
        <w:rPr>
          <w:rFonts w:ascii="ZWAdobeF" w:hAnsi="ZWAdobeF" w:cs="ZWAdobeF"/>
          <w:sz w:val="2"/>
          <w:szCs w:val="2"/>
        </w:rPr>
        <w:t>84F</w:t>
      </w:r>
      <w:r>
        <w:rPr>
          <w:rStyle w:val="FootnoteReference"/>
        </w:rPr>
        <w:footnoteReference w:id="86"/>
      </w:r>
      <w:r>
        <w:t xml:space="preserve">. </w:t>
      </w:r>
      <w:r w:rsidR="002358FD">
        <w:t>Th</w:t>
      </w:r>
      <w:r w:rsidR="00F227F8">
        <w:t>is</w:t>
      </w:r>
      <w:r w:rsidR="002358FD">
        <w:t xml:space="preserve"> mix of services provided through the </w:t>
      </w:r>
      <w:r w:rsidR="002358FD" w:rsidRPr="002358FD">
        <w:t xml:space="preserve">headspace </w:t>
      </w:r>
      <w:r w:rsidR="002358FD">
        <w:t xml:space="preserve">model </w:t>
      </w:r>
      <w:r w:rsidR="002358FD" w:rsidRPr="002358FD">
        <w:t xml:space="preserve">has remained largely consistent over time, with the exception of outer regional and remote services providing </w:t>
      </w:r>
      <w:r w:rsidR="00B676B7">
        <w:t xml:space="preserve">a </w:t>
      </w:r>
      <w:r w:rsidR="002358FD" w:rsidRPr="002358FD">
        <w:t xml:space="preserve">greater </w:t>
      </w:r>
      <w:r w:rsidR="00B676B7">
        <w:t xml:space="preserve">proportion </w:t>
      </w:r>
      <w:r w:rsidR="002358FD" w:rsidRPr="002358FD">
        <w:t>of</w:t>
      </w:r>
      <w:r w:rsidR="00B676B7">
        <w:t xml:space="preserve"> support</w:t>
      </w:r>
      <w:r w:rsidR="002358FD" w:rsidRPr="002358FD">
        <w:t xml:space="preserve"> services </w:t>
      </w:r>
      <w:r w:rsidR="00B676B7">
        <w:t>other than</w:t>
      </w:r>
      <w:r w:rsidR="002358FD" w:rsidRPr="002358FD">
        <w:t xml:space="preserve"> mental health</w:t>
      </w:r>
      <w:r w:rsidR="00C8289F">
        <w:t xml:space="preserve"> services</w:t>
      </w:r>
      <w:bookmarkStart w:id="86" w:name="_Ref94985191"/>
      <w:r w:rsidR="002358FD">
        <w:t>.</w:t>
      </w:r>
      <w:r w:rsidR="002358FD" w:rsidRPr="002358FD">
        <w:t xml:space="preserve"> </w:t>
      </w:r>
    </w:p>
    <w:p w14:paraId="652B7139" w14:textId="79489114" w:rsidR="00717F3F" w:rsidRPr="00717F3F" w:rsidRDefault="00E6249C" w:rsidP="00B92866">
      <w:pPr>
        <w:pStyle w:val="BodyText"/>
      </w:pPr>
      <w:r w:rsidRPr="00E6249C">
        <w:t xml:space="preserve">Most services </w:t>
      </w:r>
      <w:r w:rsidR="00502F79">
        <w:t xml:space="preserve">through the headspace model </w:t>
      </w:r>
      <w:r w:rsidRPr="00E6249C">
        <w:t xml:space="preserve">are provided to an individual young person, rather than </w:t>
      </w:r>
      <w:r w:rsidR="00B92866">
        <w:t xml:space="preserve">to </w:t>
      </w:r>
      <w:r w:rsidRPr="00E6249C">
        <w:t>famil</w:t>
      </w:r>
      <w:r w:rsidR="00B92866">
        <w:t>ies</w:t>
      </w:r>
      <w:r w:rsidRPr="00E6249C">
        <w:t xml:space="preserve"> or gro</w:t>
      </w:r>
      <w:r>
        <w:t>ups (</w:t>
      </w:r>
      <w:r w:rsidRPr="00E6249C">
        <w:t>74</w:t>
      </w:r>
      <w:r>
        <w:t xml:space="preserve"> per cent of </w:t>
      </w:r>
      <w:r w:rsidR="007B2863">
        <w:t>OOS</w:t>
      </w:r>
      <w:r>
        <w:t xml:space="preserve"> </w:t>
      </w:r>
      <w:r w:rsidRPr="00E6249C">
        <w:t>in 2019-20</w:t>
      </w:r>
      <w:r>
        <w:t xml:space="preserve">) and </w:t>
      </w:r>
      <w:r w:rsidR="00717F3F">
        <w:t>m</w:t>
      </w:r>
      <w:r w:rsidR="00717F3F" w:rsidRPr="00717F3F">
        <w:t>ost services are provided face</w:t>
      </w:r>
      <w:r w:rsidR="00715F63">
        <w:t>-</w:t>
      </w:r>
      <w:r w:rsidR="00717F3F" w:rsidRPr="00717F3F">
        <w:t>to</w:t>
      </w:r>
      <w:r w:rsidR="00715F63">
        <w:t>-</w:t>
      </w:r>
      <w:r w:rsidR="00717F3F" w:rsidRPr="00717F3F">
        <w:t xml:space="preserve">face </w:t>
      </w:r>
      <w:r w:rsidR="00717F3F">
        <w:t>(</w:t>
      </w:r>
      <w:r w:rsidR="00717F3F" w:rsidRPr="00717F3F">
        <w:t>60</w:t>
      </w:r>
      <w:r w:rsidR="00B92866">
        <w:t> </w:t>
      </w:r>
      <w:r w:rsidR="00717F3F" w:rsidRPr="00717F3F">
        <w:t xml:space="preserve">per cent </w:t>
      </w:r>
      <w:r w:rsidR="002F26E5">
        <w:t xml:space="preserve">of </w:t>
      </w:r>
      <w:r w:rsidR="007B2863">
        <w:t>OOS</w:t>
      </w:r>
      <w:r w:rsidR="002F26E5" w:rsidRPr="00717F3F">
        <w:t xml:space="preserve"> </w:t>
      </w:r>
      <w:r w:rsidR="00717F3F" w:rsidRPr="00717F3F">
        <w:t>in 2019-20</w:t>
      </w:r>
      <w:r w:rsidR="00717F3F">
        <w:t>)</w:t>
      </w:r>
      <w:r w:rsidR="00715F63">
        <w:t xml:space="preserve">, noting </w:t>
      </w:r>
      <w:r w:rsidR="00B92866">
        <w:t xml:space="preserve">that </w:t>
      </w:r>
      <w:r w:rsidR="00715F63">
        <w:t>COVID-19 had a substantial impact on face-to-face services in 2019-20</w:t>
      </w:r>
      <w:r w:rsidR="002F26E5">
        <w:t>.</w:t>
      </w:r>
    </w:p>
    <w:p w14:paraId="1C0B042B" w14:textId="4F832DEC" w:rsidR="00C65F84" w:rsidRPr="00C57F73" w:rsidRDefault="00502F79" w:rsidP="00B92866">
      <w:pPr>
        <w:pStyle w:val="BodyText"/>
      </w:pPr>
      <w:r>
        <w:t xml:space="preserve">Overall, the headspace model </w:t>
      </w:r>
      <w:r w:rsidR="00740EDB">
        <w:t xml:space="preserve">is well designed, aligned to </w:t>
      </w:r>
      <w:r w:rsidR="003C5570">
        <w:t>the mental health needs of young people, and has a reach and take up which has increased over time, in line with government investment and increased demand.</w:t>
      </w:r>
    </w:p>
    <w:p w14:paraId="06D7CC1F" w14:textId="1895686D" w:rsidR="00726B12" w:rsidRPr="001D6913" w:rsidRDefault="00726B12" w:rsidP="00E542A7">
      <w:pPr>
        <w:pStyle w:val="Heading1"/>
      </w:pPr>
      <w:bookmarkStart w:id="87" w:name="_Ref98317699"/>
      <w:bookmarkStart w:id="88" w:name="_Toc108173979"/>
      <w:r w:rsidRPr="001D6913">
        <w:t xml:space="preserve">Effectiveness of </w:t>
      </w:r>
      <w:r w:rsidRPr="0022004B">
        <w:t>headspace</w:t>
      </w:r>
      <w:r w:rsidRPr="001D6913">
        <w:t xml:space="preserve"> in achieving program outcomes</w:t>
      </w:r>
      <w:bookmarkEnd w:id="86"/>
      <w:bookmarkEnd w:id="87"/>
      <w:bookmarkEnd w:id="88"/>
    </w:p>
    <w:p w14:paraId="3B828D0C" w14:textId="1E31BEEB" w:rsidR="00282841" w:rsidRPr="009B538B" w:rsidRDefault="00DC505C" w:rsidP="000244E4">
      <w:pPr>
        <w:pStyle w:val="BodyText"/>
      </w:pPr>
      <w:r w:rsidRPr="009B538B">
        <w:t xml:space="preserve">The following chapter examines </w:t>
      </w:r>
      <w:r w:rsidR="0009099C" w:rsidRPr="009B538B">
        <w:t xml:space="preserve">the effectiveness of the headspace model in achieving intended outcomes. It firstly reviews </w:t>
      </w:r>
      <w:r w:rsidR="007C46CA" w:rsidRPr="009B538B">
        <w:t xml:space="preserve">the evidence collected throughout the operation of the headspace model to </w:t>
      </w:r>
      <w:r w:rsidR="0009099C" w:rsidRPr="009B538B">
        <w:t xml:space="preserve">assess the extent to which this supports the model’s operational </w:t>
      </w:r>
      <w:r w:rsidR="000D7D34" w:rsidRPr="009B538B">
        <w:t xml:space="preserve">effectiveness and contributes to improved outcomes. </w:t>
      </w:r>
    </w:p>
    <w:p w14:paraId="4BA1E2EE" w14:textId="5DAFC95B" w:rsidR="009B538B" w:rsidRDefault="007868C5" w:rsidP="000244E4">
      <w:pPr>
        <w:pStyle w:val="BodyText"/>
      </w:pPr>
      <w:r w:rsidRPr="009B538B">
        <w:t>E</w:t>
      </w:r>
      <w:r w:rsidR="00430ACF" w:rsidRPr="009B538B">
        <w:t>vidence</w:t>
      </w:r>
      <w:r w:rsidRPr="009B538B">
        <w:t xml:space="preserve"> is then examined to assess the extent to which the model </w:t>
      </w:r>
      <w:r w:rsidR="00741079">
        <w:t>is effective</w:t>
      </w:r>
      <w:r w:rsidRPr="009B538B">
        <w:t xml:space="preserve"> in achieving its intended outcomes. Evidence </w:t>
      </w:r>
      <w:r w:rsidR="00430ACF" w:rsidRPr="009B538B">
        <w:t xml:space="preserve">collected through the </w:t>
      </w:r>
      <w:r w:rsidR="00057DD7" w:rsidRPr="009B538B">
        <w:t xml:space="preserve">operation of the </w:t>
      </w:r>
      <w:r w:rsidR="00430ACF" w:rsidRPr="009B538B">
        <w:t>model</w:t>
      </w:r>
      <w:r w:rsidR="00057DD7" w:rsidRPr="009B538B">
        <w:t>,</w:t>
      </w:r>
      <w:r w:rsidR="00430ACF" w:rsidRPr="009B538B">
        <w:t xml:space="preserve"> alongside evidence from </w:t>
      </w:r>
      <w:r w:rsidR="004A1E44" w:rsidRPr="009B538B">
        <w:t>key stakeholders collected through</w:t>
      </w:r>
      <w:r w:rsidR="00FE72B4" w:rsidRPr="009B538B">
        <w:t>out</w:t>
      </w:r>
      <w:r w:rsidR="004A1E44" w:rsidRPr="009B538B">
        <w:t xml:space="preserve"> evaluation fieldwork</w:t>
      </w:r>
      <w:r w:rsidR="00057DD7" w:rsidRPr="009B538B">
        <w:t>,</w:t>
      </w:r>
      <w:r w:rsidR="00E6676A" w:rsidRPr="009B538B">
        <w:t xml:space="preserve"> provide</w:t>
      </w:r>
      <w:r w:rsidR="003D5835" w:rsidRPr="009B538B">
        <w:t>s</w:t>
      </w:r>
      <w:r w:rsidR="00E6676A" w:rsidRPr="009B538B">
        <w:t xml:space="preserve"> a strong indication as to the degree of success of the model against each of the </w:t>
      </w:r>
      <w:r w:rsidR="00317C2E">
        <w:t>following outcome areas:</w:t>
      </w:r>
    </w:p>
    <w:p w14:paraId="1C8B9CA7" w14:textId="77777777" w:rsidR="009B538B" w:rsidRPr="00B37CB0" w:rsidRDefault="009B538B" w:rsidP="00B37CB0">
      <w:pPr>
        <w:pStyle w:val="BodyText"/>
        <w:rPr>
          <w:b/>
          <w:bCs/>
        </w:rPr>
      </w:pPr>
      <w:r w:rsidRPr="00B37CB0">
        <w:rPr>
          <w:b/>
          <w:bCs/>
        </w:rPr>
        <w:t>Intermediate outcomes</w:t>
      </w:r>
    </w:p>
    <w:p w14:paraId="3305847E" w14:textId="61D4D36F" w:rsidR="009B538B" w:rsidRDefault="009B538B" w:rsidP="009B538B">
      <w:pPr>
        <w:pStyle w:val="Bullet1stlevel"/>
      </w:pPr>
      <w:r>
        <w:t>increasing mental health literacy</w:t>
      </w:r>
      <w:r w:rsidR="0068020C">
        <w:t>;</w:t>
      </w:r>
    </w:p>
    <w:p w14:paraId="75B896BC" w14:textId="34BF37D1" w:rsidR="009B538B" w:rsidRDefault="009B538B" w:rsidP="009B538B">
      <w:pPr>
        <w:pStyle w:val="Bullet1stlevel"/>
      </w:pPr>
      <w:r>
        <w:t>increasing early help seeking</w:t>
      </w:r>
      <w:r w:rsidR="007A720D">
        <w:t>;</w:t>
      </w:r>
    </w:p>
    <w:p w14:paraId="457B96A5" w14:textId="6ED5E3F7" w:rsidR="009B538B" w:rsidRDefault="009B538B" w:rsidP="009B538B">
      <w:pPr>
        <w:pStyle w:val="Bullet1stlevel"/>
      </w:pPr>
      <w:r>
        <w:t>increasing access to required services</w:t>
      </w:r>
      <w:r w:rsidR="007A720D">
        <w:t>; and</w:t>
      </w:r>
    </w:p>
    <w:p w14:paraId="314F0498" w14:textId="1CC72B5B" w:rsidR="009B538B" w:rsidRDefault="009B538B" w:rsidP="009B538B">
      <w:pPr>
        <w:pStyle w:val="Bullet1stlevel"/>
      </w:pPr>
      <w:r>
        <w:t>differences in these outcomes for ‘hard to reach’ groups</w:t>
      </w:r>
      <w:r w:rsidR="007A720D">
        <w:t>.</w:t>
      </w:r>
    </w:p>
    <w:p w14:paraId="3F700E17" w14:textId="77777777" w:rsidR="009B538B" w:rsidRPr="00B37CB0" w:rsidRDefault="009B538B" w:rsidP="00B37CB0">
      <w:pPr>
        <w:pStyle w:val="BodyText"/>
        <w:rPr>
          <w:b/>
          <w:bCs/>
        </w:rPr>
      </w:pPr>
      <w:r w:rsidRPr="00B37CB0">
        <w:rPr>
          <w:b/>
          <w:bCs/>
        </w:rPr>
        <w:t>Service system outcomes</w:t>
      </w:r>
    </w:p>
    <w:p w14:paraId="48D95E26" w14:textId="55CFB348" w:rsidR="009B538B" w:rsidRDefault="009B538B" w:rsidP="009B538B">
      <w:pPr>
        <w:pStyle w:val="Bullet1stlevel"/>
      </w:pPr>
      <w:r>
        <w:t xml:space="preserve">increasing </w:t>
      </w:r>
      <w:r w:rsidRPr="00C435B6">
        <w:t>advoca</w:t>
      </w:r>
      <w:r>
        <w:t>cy</w:t>
      </w:r>
      <w:r w:rsidRPr="00C435B6">
        <w:t xml:space="preserve"> for and promot</w:t>
      </w:r>
      <w:r>
        <w:t>ion of</w:t>
      </w:r>
      <w:r w:rsidRPr="00C435B6">
        <w:t xml:space="preserve"> youth mental health and wellbeing in their communities</w:t>
      </w:r>
      <w:r w:rsidR="007A720D">
        <w:t>;</w:t>
      </w:r>
    </w:p>
    <w:p w14:paraId="55FDB0D2" w14:textId="169AF406" w:rsidR="009B538B" w:rsidRPr="00AA7949" w:rsidRDefault="009B538B" w:rsidP="009B538B">
      <w:pPr>
        <w:pStyle w:val="Bullet1stlevel"/>
      </w:pPr>
      <w:r w:rsidRPr="00AA7949">
        <w:t>reduc</w:t>
      </w:r>
      <w:r>
        <w:t>ing</w:t>
      </w:r>
      <w:r w:rsidRPr="00AA7949">
        <w:t xml:space="preserve"> stigma associated with mental illness and help</w:t>
      </w:r>
      <w:r w:rsidR="00BD29DF">
        <w:t xml:space="preserve"> </w:t>
      </w:r>
      <w:r w:rsidRPr="00AA7949">
        <w:t>seeking for young people, their families and friends, and the community</w:t>
      </w:r>
      <w:r w:rsidR="007A720D">
        <w:t>;</w:t>
      </w:r>
    </w:p>
    <w:p w14:paraId="00753A0A" w14:textId="40D176D0" w:rsidR="009B538B" w:rsidRDefault="009B538B" w:rsidP="009B538B">
      <w:pPr>
        <w:pStyle w:val="Bullet1stlevel"/>
      </w:pPr>
      <w:r>
        <w:t>improving pathways to care for young people</w:t>
      </w:r>
      <w:r w:rsidR="00317C2E">
        <w:t xml:space="preserve">, including through: </w:t>
      </w:r>
      <w:r>
        <w:t xml:space="preserve"> </w:t>
      </w:r>
    </w:p>
    <w:p w14:paraId="2C404BA1" w14:textId="672DB376" w:rsidR="009B538B" w:rsidRDefault="009B538B" w:rsidP="00722AD9">
      <w:pPr>
        <w:pStyle w:val="Bullet2ndlevel"/>
      </w:pPr>
      <w:r>
        <w:t>providing a localised service offering</w:t>
      </w:r>
      <w:r w:rsidR="007A720D">
        <w:t>;</w:t>
      </w:r>
    </w:p>
    <w:p w14:paraId="39A22998" w14:textId="0877B436" w:rsidR="009B538B" w:rsidRDefault="009B538B" w:rsidP="005874D4">
      <w:pPr>
        <w:pStyle w:val="Bullet2ndlevel"/>
      </w:pPr>
      <w:r>
        <w:t>other contributions to the local community</w:t>
      </w:r>
      <w:r w:rsidR="007A720D">
        <w:t>;</w:t>
      </w:r>
    </w:p>
    <w:p w14:paraId="1D2283DA" w14:textId="16E321F9" w:rsidR="009B538B" w:rsidRDefault="009B538B" w:rsidP="00370CE4">
      <w:pPr>
        <w:pStyle w:val="Bullet2ndlevel"/>
      </w:pPr>
      <w:r>
        <w:t>providing a ‘no wrong door’ approach</w:t>
      </w:r>
      <w:r w:rsidR="007A720D">
        <w:t>; and</w:t>
      </w:r>
    </w:p>
    <w:p w14:paraId="5028F2E6" w14:textId="3CDDD5A0" w:rsidR="009B538B" w:rsidRDefault="009B538B" w:rsidP="002744E5">
      <w:pPr>
        <w:pStyle w:val="Bullet2ndlevel"/>
      </w:pPr>
      <w:r>
        <w:t>securing support for headspace from other primary care and mental health providers</w:t>
      </w:r>
      <w:r w:rsidR="007A720D">
        <w:t>.</w:t>
      </w:r>
    </w:p>
    <w:p w14:paraId="4DFB3DF1" w14:textId="77777777" w:rsidR="009B538B" w:rsidRPr="00B37CB0" w:rsidRDefault="009B538B" w:rsidP="00B37CB0">
      <w:pPr>
        <w:pStyle w:val="BodyText"/>
        <w:rPr>
          <w:b/>
          <w:bCs/>
        </w:rPr>
      </w:pPr>
      <w:r w:rsidRPr="00B37CB0">
        <w:rPr>
          <w:b/>
          <w:bCs/>
        </w:rPr>
        <w:t>User experience outcomes</w:t>
      </w:r>
    </w:p>
    <w:p w14:paraId="3A841EF8" w14:textId="6BFACA29" w:rsidR="009B538B" w:rsidRDefault="009B538B" w:rsidP="009B538B">
      <w:pPr>
        <w:pStyle w:val="Bullet1stlevel"/>
      </w:pPr>
      <w:r>
        <w:t>providing an appropriate service approach for young people with mild to moderate, high</w:t>
      </w:r>
      <w:r>
        <w:noBreakHyphen/>
        <w:t xml:space="preserve">prevalence </w:t>
      </w:r>
      <w:r w:rsidR="00FE5D20">
        <w:t xml:space="preserve">mental health </w:t>
      </w:r>
      <w:r>
        <w:t>conditions</w:t>
      </w:r>
      <w:r w:rsidR="007A720D">
        <w:t>;</w:t>
      </w:r>
    </w:p>
    <w:p w14:paraId="79A4D074" w14:textId="59BE9B48" w:rsidR="009B538B" w:rsidRDefault="009B538B" w:rsidP="009B538B">
      <w:pPr>
        <w:pStyle w:val="Bullet1stlevel"/>
      </w:pPr>
      <w:r>
        <w:t>providing culturally appropriate and inclusive services</w:t>
      </w:r>
      <w:r w:rsidR="007A720D">
        <w:t>;</w:t>
      </w:r>
    </w:p>
    <w:p w14:paraId="42DDF378" w14:textId="185D03D0" w:rsidR="009B538B" w:rsidRDefault="009B538B" w:rsidP="009B538B">
      <w:pPr>
        <w:pStyle w:val="Bullet1stlevel"/>
      </w:pPr>
      <w:r>
        <w:t>enabling young people and their families to access support where, when and how they want</w:t>
      </w:r>
      <w:r w:rsidR="007A720D">
        <w:t>; and</w:t>
      </w:r>
    </w:p>
    <w:p w14:paraId="57D209D9" w14:textId="1018F440" w:rsidR="009B538B" w:rsidRDefault="009B538B" w:rsidP="009B538B">
      <w:pPr>
        <w:pStyle w:val="Bullet1stlevel"/>
      </w:pPr>
      <w:r>
        <w:t>participation of young people in the design and delivery of headspace</w:t>
      </w:r>
      <w:r w:rsidR="007A720D">
        <w:t>.</w:t>
      </w:r>
    </w:p>
    <w:p w14:paraId="2FD0C012" w14:textId="198B4C49" w:rsidR="009B538B" w:rsidRPr="00B37CB0" w:rsidRDefault="005513AE" w:rsidP="00B37CB0">
      <w:pPr>
        <w:pStyle w:val="BodyText"/>
        <w:rPr>
          <w:b/>
          <w:bCs/>
        </w:rPr>
      </w:pPr>
      <w:r w:rsidRPr="00B37CB0">
        <w:rPr>
          <w:b/>
          <w:bCs/>
        </w:rPr>
        <w:t>Psychosocial</w:t>
      </w:r>
      <w:r w:rsidR="009B538B" w:rsidRPr="00B37CB0">
        <w:rPr>
          <w:b/>
          <w:bCs/>
        </w:rPr>
        <w:t xml:space="preserve"> outcomes</w:t>
      </w:r>
    </w:p>
    <w:p w14:paraId="76653E24" w14:textId="750E9B7F" w:rsidR="009B538B" w:rsidRDefault="009B538B" w:rsidP="009B538B">
      <w:pPr>
        <w:pStyle w:val="Bullet1stlevel"/>
      </w:pPr>
      <w:r>
        <w:t>improving mental health and wellbeing outcomes, considering clinical outcomes for young people</w:t>
      </w:r>
      <w:r w:rsidR="007A720D">
        <w:t>; and</w:t>
      </w:r>
    </w:p>
    <w:p w14:paraId="250DCF7C" w14:textId="7CF8003B" w:rsidR="009B538B" w:rsidRDefault="009B538B" w:rsidP="009B538B">
      <w:pPr>
        <w:pStyle w:val="Bullet1stlevel"/>
      </w:pPr>
      <w:r>
        <w:t xml:space="preserve">improving </w:t>
      </w:r>
      <w:r w:rsidR="005513AE">
        <w:t>psychosocial</w:t>
      </w:r>
      <w:r>
        <w:t xml:space="preserve"> outcomes through providing alternative service delivery models.</w:t>
      </w:r>
    </w:p>
    <w:p w14:paraId="1DDD8ACF" w14:textId="69673E45" w:rsidR="009B538B" w:rsidRDefault="00460D44" w:rsidP="009B538B">
      <w:pPr>
        <w:pStyle w:val="BodyText"/>
      </w:pPr>
      <w:r>
        <w:t xml:space="preserve">These </w:t>
      </w:r>
      <w:r w:rsidR="004D3732">
        <w:t>comprise</w:t>
      </w:r>
      <w:r w:rsidR="009B538B">
        <w:t xml:space="preserve"> key outcomes across the headspace program logic which drive engagement, service experience and clinical improvements in mental health. </w:t>
      </w:r>
    </w:p>
    <w:p w14:paraId="4CF2FCD4" w14:textId="6BE7F818" w:rsidR="002050A5" w:rsidRDefault="002050A5" w:rsidP="000244E4">
      <w:pPr>
        <w:pStyle w:val="BodyText"/>
      </w:pPr>
      <w:r w:rsidRPr="009B538B">
        <w:t>Each of these areas is presented in summary in the chapter below, with detailed analysis provided in</w:t>
      </w:r>
      <w:r w:rsidR="007A720D">
        <w:t xml:space="preserve"> </w:t>
      </w:r>
      <w:r w:rsidR="005C0448">
        <w:fldChar w:fldCharType="begin" w:fldLock="1"/>
      </w:r>
      <w:r w:rsidR="005C0448">
        <w:instrText xml:space="preserve"> REF _Ref105492953 \w \h </w:instrText>
      </w:r>
      <w:r w:rsidR="005C0448">
        <w:fldChar w:fldCharType="separate"/>
      </w:r>
      <w:r w:rsidR="005C0448">
        <w:t>Appendix D</w:t>
      </w:r>
      <w:r w:rsidR="005C0448">
        <w:fldChar w:fldCharType="end"/>
      </w:r>
      <w:r w:rsidR="00826479">
        <w:fldChar w:fldCharType="begin" w:fldLock="1"/>
      </w:r>
      <w:r w:rsidR="00826479">
        <w:instrText xml:space="preserve"> REF _Ref105492953 \h </w:instrText>
      </w:r>
      <w:r w:rsidR="00826479">
        <w:fldChar w:fldCharType="separate"/>
      </w:r>
      <w:r w:rsidR="00826479">
        <w:t>: Effectiveness in achieving intermediate outcomes</w:t>
      </w:r>
      <w:r w:rsidR="00826479">
        <w:fldChar w:fldCharType="end"/>
      </w:r>
      <w:r w:rsidRPr="009B538B">
        <w:t xml:space="preserve">, and </w:t>
      </w:r>
      <w:r w:rsidR="00722AD9">
        <w:fldChar w:fldCharType="begin" w:fldLock="1"/>
      </w:r>
      <w:r w:rsidR="00722AD9">
        <w:instrText xml:space="preserve"> REF _Ref98402852 \w \h </w:instrText>
      </w:r>
      <w:r w:rsidR="00722AD9">
        <w:fldChar w:fldCharType="separate"/>
      </w:r>
      <w:r w:rsidR="00AE4D34">
        <w:t>Appendix E</w:t>
      </w:r>
      <w:r w:rsidR="00722AD9">
        <w:fldChar w:fldCharType="end"/>
      </w:r>
      <w:r w:rsidR="00722AD9">
        <w:fldChar w:fldCharType="begin" w:fldLock="1"/>
      </w:r>
      <w:r w:rsidR="00722AD9">
        <w:instrText xml:space="preserve"> REF _Ref98402859 \h </w:instrText>
      </w:r>
      <w:r w:rsidR="00722AD9">
        <w:fldChar w:fldCharType="separate"/>
      </w:r>
      <w:r w:rsidR="00AE4D34">
        <w:t>: Effectiveness in improving mental health and wellbeing outcomes</w:t>
      </w:r>
      <w:r w:rsidR="00722AD9">
        <w:fldChar w:fldCharType="end"/>
      </w:r>
      <w:r w:rsidR="006E1084" w:rsidRPr="009B538B">
        <w:t>.</w:t>
      </w:r>
    </w:p>
    <w:p w14:paraId="6CA2DF4E" w14:textId="7CFE69F7" w:rsidR="00105A8D" w:rsidRDefault="00105A8D" w:rsidP="00105A8D">
      <w:pPr>
        <w:pStyle w:val="Heading2"/>
      </w:pPr>
      <w:bookmarkStart w:id="89" w:name="_Ref98327112"/>
      <w:bookmarkStart w:id="90" w:name="_Ref98329904"/>
      <w:bookmarkStart w:id="91" w:name="_Toc108173980"/>
      <w:r>
        <w:t>Measuring outcomes</w:t>
      </w:r>
      <w:bookmarkEnd w:id="89"/>
      <w:bookmarkEnd w:id="90"/>
      <w:r w:rsidR="00C567CD">
        <w:t xml:space="preserve"> of the headspace model</w:t>
      </w:r>
      <w:bookmarkEnd w:id="91"/>
    </w:p>
    <w:p w14:paraId="3F5DB410" w14:textId="32845326" w:rsidR="00105A8D" w:rsidRDefault="00105A8D" w:rsidP="00105A8D">
      <w:pPr>
        <w:pStyle w:val="BodyText"/>
      </w:pPr>
      <w:r>
        <w:t>The headspace model, with its clearly articulated outcome areas</w:t>
      </w:r>
      <w:r w:rsidR="00E96A38">
        <w:t>,</w:t>
      </w:r>
      <w:r>
        <w:t xml:space="preserve"> provides a strong opportunity for robust evaluation, subject to the quality and appropriateness of data and of measurement activities undertaken across the model. </w:t>
      </w:r>
      <w:r w:rsidRPr="001D6913">
        <w:t xml:space="preserve">In order to understand the impact of headspace, and the extent to which it is contributing to positive outcomes for young people, </w:t>
      </w:r>
      <w:r>
        <w:t>the</w:t>
      </w:r>
      <w:r w:rsidRPr="001D6913">
        <w:t xml:space="preserve"> impact areas</w:t>
      </w:r>
      <w:r>
        <w:t xml:space="preserve"> identified in the headspace program logic all</w:t>
      </w:r>
      <w:r w:rsidRPr="001D6913">
        <w:t xml:space="preserve"> require examination. The extent to which </w:t>
      </w:r>
      <w:r>
        <w:t>each</w:t>
      </w:r>
      <w:r w:rsidRPr="001D6913">
        <w:t xml:space="preserve"> impact area </w:t>
      </w:r>
      <w:r>
        <w:t>can be linked</w:t>
      </w:r>
      <w:r w:rsidRPr="001D6913">
        <w:t xml:space="preserve"> with engagement, treatment or activities at a headspace </w:t>
      </w:r>
      <w:r w:rsidR="00047E98">
        <w:t>service</w:t>
      </w:r>
      <w:r w:rsidRPr="001D6913">
        <w:t xml:space="preserve"> also need to be measured. </w:t>
      </w:r>
    </w:p>
    <w:p w14:paraId="08D1A60E" w14:textId="77777777" w:rsidR="00105A8D" w:rsidRPr="001D6913" w:rsidRDefault="00105A8D" w:rsidP="00105A8D">
      <w:pPr>
        <w:pStyle w:val="Heading3"/>
        <w:rPr>
          <w:lang w:eastAsia="en-AU"/>
        </w:rPr>
      </w:pPr>
      <w:bookmarkStart w:id="92" w:name="_Ref97751437"/>
      <w:r w:rsidRPr="001D6913">
        <w:rPr>
          <w:lang w:eastAsia="en-AU"/>
        </w:rPr>
        <w:t xml:space="preserve">Overview of current measurement and reporting of </w:t>
      </w:r>
      <w:r>
        <w:rPr>
          <w:lang w:eastAsia="en-AU"/>
        </w:rPr>
        <w:t xml:space="preserve">headspace </w:t>
      </w:r>
      <w:r w:rsidRPr="001D6913">
        <w:t>performance</w:t>
      </w:r>
      <w:bookmarkEnd w:id="92"/>
      <w:r w:rsidRPr="001D6913">
        <w:rPr>
          <w:lang w:eastAsia="en-AU"/>
        </w:rPr>
        <w:t xml:space="preserve"> </w:t>
      </w:r>
    </w:p>
    <w:p w14:paraId="6DDC0B33" w14:textId="183617D7" w:rsidR="00105A8D" w:rsidRPr="001D6913" w:rsidRDefault="00105A8D" w:rsidP="009618DD">
      <w:pPr>
        <w:pStyle w:val="BodyText"/>
        <w:keepLines/>
      </w:pPr>
      <w:r>
        <w:t>headspace services</w:t>
      </w:r>
      <w:r w:rsidRPr="001D6913">
        <w:t xml:space="preserve"> are required to undertake data collection, reporting and evaluation activities as part of the </w:t>
      </w:r>
      <w:r w:rsidR="00164FDA">
        <w:t xml:space="preserve">monitoring and evaluation component of the </w:t>
      </w:r>
      <w:r w:rsidRPr="001D6913">
        <w:t>headspace model</w:t>
      </w:r>
      <w:r w:rsidR="00CC0438">
        <w:rPr>
          <w:rFonts w:ascii="ZWAdobeF" w:hAnsi="ZWAdobeF" w:cs="ZWAdobeF"/>
          <w:sz w:val="2"/>
          <w:szCs w:val="2"/>
        </w:rPr>
        <w:t>85F</w:t>
      </w:r>
      <w:r w:rsidR="00E73BC9">
        <w:rPr>
          <w:rStyle w:val="FootnoteReference"/>
        </w:rPr>
        <w:footnoteReference w:id="87"/>
      </w:r>
      <w:r w:rsidRPr="001D6913">
        <w:t>. headspace National use</w:t>
      </w:r>
      <w:r>
        <w:t>s</w:t>
      </w:r>
      <w:r w:rsidRPr="001D6913">
        <w:t xml:space="preserve"> the data collected </w:t>
      </w:r>
      <w:r w:rsidR="004A0F71">
        <w:t>by service</w:t>
      </w:r>
      <w:r w:rsidRPr="001D6913">
        <w:t xml:space="preserve"> to “build an evidence base to support continuous quality improvement, guide service innovation and inform future directions in youth mental health through advocacy and policy reform”</w:t>
      </w:r>
      <w:r w:rsidR="00CC0438">
        <w:rPr>
          <w:rFonts w:ascii="ZWAdobeF" w:hAnsi="ZWAdobeF" w:cs="ZWAdobeF"/>
          <w:sz w:val="2"/>
          <w:szCs w:val="2"/>
        </w:rPr>
        <w:t>86F</w:t>
      </w:r>
      <w:r w:rsidRPr="001D6913">
        <w:rPr>
          <w:rStyle w:val="FootnoteReference"/>
        </w:rPr>
        <w:footnoteReference w:id="88"/>
      </w:r>
      <w:r>
        <w:t>.</w:t>
      </w:r>
      <w:r w:rsidRPr="001D6913">
        <w:t xml:space="preserve"> </w:t>
      </w:r>
    </w:p>
    <w:p w14:paraId="2DA6927F" w14:textId="653A3735" w:rsidR="00105A8D" w:rsidRPr="001D6913" w:rsidRDefault="005D25E9" w:rsidP="00105A8D">
      <w:pPr>
        <w:pStyle w:val="BodyText"/>
      </w:pPr>
      <w:r>
        <w:t xml:space="preserve">Each of the multiple stakeholders with which </w:t>
      </w:r>
      <w:r w:rsidR="00105A8D" w:rsidRPr="001D6913">
        <w:t xml:space="preserve">headspace </w:t>
      </w:r>
      <w:r w:rsidR="00105A8D">
        <w:t>services</w:t>
      </w:r>
      <w:r w:rsidR="00105A8D" w:rsidRPr="001D6913">
        <w:t xml:space="preserve"> interact has different </w:t>
      </w:r>
      <w:r w:rsidR="00105A8D">
        <w:t xml:space="preserve">reporting </w:t>
      </w:r>
      <w:r w:rsidR="00105A8D" w:rsidRPr="001D6913">
        <w:t xml:space="preserve">requirements and activities. An overview of the current measurement, evaluation and reporting activities for each of these stakeholder groups is </w:t>
      </w:r>
      <w:r w:rsidR="00105A8D">
        <w:t xml:space="preserve">set out </w:t>
      </w:r>
      <w:r w:rsidR="00105A8D" w:rsidRPr="001D6913">
        <w:t>below.</w:t>
      </w:r>
    </w:p>
    <w:p w14:paraId="6A4EEC6C" w14:textId="77777777" w:rsidR="00105A8D" w:rsidRPr="001D6913" w:rsidRDefault="00105A8D" w:rsidP="00105A8D">
      <w:pPr>
        <w:pStyle w:val="Heading4"/>
      </w:pPr>
      <w:r w:rsidRPr="001D6913">
        <w:t>headspace National</w:t>
      </w:r>
      <w:r>
        <w:t xml:space="preserve"> measurement and reporting activities</w:t>
      </w:r>
    </w:p>
    <w:p w14:paraId="70D0E6B7" w14:textId="77777777" w:rsidR="00105A8D" w:rsidRPr="001D6913" w:rsidRDefault="00105A8D" w:rsidP="00105A8D">
      <w:pPr>
        <w:pStyle w:val="Heading5"/>
      </w:pPr>
      <w:r w:rsidRPr="001D6913">
        <w:t>Data collected</w:t>
      </w:r>
    </w:p>
    <w:p w14:paraId="192FE182" w14:textId="112BEFCD" w:rsidR="00105A8D" w:rsidRPr="001D6913" w:rsidRDefault="00105A8D" w:rsidP="00105A8D">
      <w:pPr>
        <w:pStyle w:val="BodyText"/>
      </w:pPr>
      <w:r w:rsidRPr="001D6913">
        <w:t xml:space="preserve">Each headspace </w:t>
      </w:r>
      <w:r w:rsidR="00047E98">
        <w:t>service</w:t>
      </w:r>
      <w:r w:rsidR="00DA5982">
        <w:t xml:space="preserve"> </w:t>
      </w:r>
      <w:r w:rsidRPr="001D6913">
        <w:t xml:space="preserve">collects data from </w:t>
      </w:r>
      <w:r>
        <w:t>young people</w:t>
      </w:r>
      <w:r w:rsidRPr="001D6913">
        <w:t xml:space="preserve"> and service providers through question sets in an electronic data collection tool called the headspace Applications Platform Interface (hAPI)</w:t>
      </w:r>
      <w:r>
        <w:t>. hAPI</w:t>
      </w:r>
      <w:r w:rsidRPr="001D6913">
        <w:t xml:space="preserve"> was introduced across the headspace centre network in January 2013, with a second version deployed in July 2019. This tool is maintained by h</w:t>
      </w:r>
      <w:r>
        <w:t>eadspace National</w:t>
      </w:r>
      <w:r w:rsidRPr="001D6913">
        <w:t xml:space="preserve"> and was developed after extensive stakeholder consultation with headspace providers, headspace clients and their family and friends. It aims to capture information about outcome data and client and family satisfaction data.</w:t>
      </w:r>
    </w:p>
    <w:p w14:paraId="26C4B64C" w14:textId="6E3D442E" w:rsidR="004C7BDD" w:rsidRPr="00984A2B" w:rsidRDefault="00105A8D" w:rsidP="00984A2B">
      <w:pPr>
        <w:pStyle w:val="BodyText"/>
      </w:pPr>
      <w:r w:rsidRPr="001D6913">
        <w:t xml:space="preserve">hAPI is used to collect information about </w:t>
      </w:r>
      <w:r w:rsidR="00257960">
        <w:t>OOS</w:t>
      </w:r>
      <w:r w:rsidRPr="001D6913">
        <w:t>. It asks clients questions about themselves, why they have chosen to use a headspace service and their level of satisfaction with the service provided. Staff members who see the young person also complete questions about the service they provide. A follow</w:t>
      </w:r>
      <w:r w:rsidR="00156585">
        <w:t xml:space="preserve"> </w:t>
      </w:r>
      <w:r w:rsidRPr="001D6913">
        <w:t xml:space="preserve">up survey is sent to clients 90 days after their last </w:t>
      </w:r>
      <w:r w:rsidR="0093545C">
        <w:t>OOS</w:t>
      </w:r>
      <w:r w:rsidRPr="001D6913">
        <w:t xml:space="preserve"> to gather information from the client about </w:t>
      </w:r>
      <w:r>
        <w:t>their mental health and wellbeing</w:t>
      </w:r>
      <w:r>
        <w:rPr>
          <w:rStyle w:val="CommentReference"/>
        </w:rPr>
        <w:t xml:space="preserve"> </w:t>
      </w:r>
      <w:r w:rsidRPr="001D6913">
        <w:t xml:space="preserve">after attending headspace. There is also a survey for service providers to complete to capture information about group therapy as well as to capture information from family and friends of the young person. A full list of surveys </w:t>
      </w:r>
      <w:r w:rsidR="00373810">
        <w:t xml:space="preserve">hosted </w:t>
      </w:r>
      <w:r w:rsidRPr="001D6913">
        <w:t>on hAPI</w:t>
      </w:r>
      <w:r w:rsidR="00CC0438">
        <w:rPr>
          <w:rFonts w:ascii="ZWAdobeF" w:hAnsi="ZWAdobeF" w:cs="ZWAdobeF"/>
          <w:sz w:val="2"/>
          <w:szCs w:val="2"/>
        </w:rPr>
        <w:t>87F</w:t>
      </w:r>
      <w:r w:rsidRPr="001D6913">
        <w:rPr>
          <w:rStyle w:val="FootnoteReference"/>
        </w:rPr>
        <w:footnoteReference w:id="89"/>
      </w:r>
      <w:r w:rsidRPr="001D6913">
        <w:t xml:space="preserve"> is presented in </w:t>
      </w:r>
      <w:r w:rsidRPr="001D6913">
        <w:fldChar w:fldCharType="begin" w:fldLock="1"/>
      </w:r>
      <w:r w:rsidRPr="001D6913">
        <w:instrText xml:space="preserve"> REF _Ref80170745 \h </w:instrText>
      </w:r>
      <w:r>
        <w:instrText xml:space="preserve"> \* MERGEFORMAT</w:instrText>
      </w:r>
      <w:r w:rsidRPr="001D6913">
        <w:instrText xml:space="preserve"> </w:instrText>
      </w:r>
      <w:r w:rsidRPr="001D6913">
        <w:fldChar w:fldCharType="separate"/>
      </w:r>
      <w:r w:rsidR="000C245D" w:rsidRPr="001D6913">
        <w:t xml:space="preserve">Table </w:t>
      </w:r>
      <w:r w:rsidR="000C245D">
        <w:t>12</w:t>
      </w:r>
      <w:r w:rsidRPr="001D6913">
        <w:fldChar w:fldCharType="end"/>
      </w:r>
      <w:r w:rsidRPr="001D6913">
        <w:t xml:space="preserve"> below:</w:t>
      </w:r>
    </w:p>
    <w:p w14:paraId="3FBC77E2" w14:textId="18F1A1DE" w:rsidR="00105A8D" w:rsidRPr="001D6913" w:rsidRDefault="00105A8D" w:rsidP="00105A8D">
      <w:pPr>
        <w:pStyle w:val="Caption"/>
      </w:pPr>
      <w:bookmarkStart w:id="93" w:name="_Ref80170745"/>
      <w:bookmarkStart w:id="94" w:name="_Toc108108962"/>
      <w:r w:rsidRPr="001D6913">
        <w:t xml:space="preserve">Table </w:t>
      </w:r>
      <w:r>
        <w:fldChar w:fldCharType="begin"/>
      </w:r>
      <w:r>
        <w:instrText>SEQ Table \* ARABIC</w:instrText>
      </w:r>
      <w:r>
        <w:fldChar w:fldCharType="separate"/>
      </w:r>
      <w:r w:rsidR="00CC0438">
        <w:rPr>
          <w:noProof/>
        </w:rPr>
        <w:t>12</w:t>
      </w:r>
      <w:r>
        <w:fldChar w:fldCharType="end"/>
      </w:r>
      <w:bookmarkEnd w:id="93"/>
      <w:r>
        <w:t>:</w:t>
      </w:r>
      <w:r w:rsidRPr="001D6913">
        <w:t xml:space="preserve"> Surveys on hAPI</w:t>
      </w:r>
      <w:bookmarkEnd w:id="94"/>
      <w:r w:rsidRPr="001D6913">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rveys on hAPI"/>
        <w:tblDescription w:val="Table 4 has 2 columns summarising the surveys used to collect data for the headspace minimum data set. Column 1 lists the surveys completed by young people using the service. Column 2 lists the surveys completed by the treating clinician/worker.&#10;"/>
      </w:tblPr>
      <w:tblGrid>
        <w:gridCol w:w="4535"/>
        <w:gridCol w:w="4535"/>
      </w:tblGrid>
      <w:tr w:rsidR="00105A8D" w:rsidRPr="00D65A2D" w14:paraId="3D3A93D2" w14:textId="77777777" w:rsidTr="00740EE1">
        <w:trPr>
          <w:tblHeader/>
          <w:jc w:val="center"/>
        </w:trPr>
        <w:tc>
          <w:tcPr>
            <w:tcW w:w="2500" w:type="pct"/>
            <w:tcBorders>
              <w:bottom w:val="single" w:sz="4" w:space="0" w:color="00338D"/>
            </w:tcBorders>
            <w:shd w:val="clear" w:color="auto" w:fill="00338D"/>
          </w:tcPr>
          <w:p w14:paraId="3C4FFEC8" w14:textId="77777777" w:rsidR="00105A8D" w:rsidRPr="001D6913" w:rsidRDefault="00105A8D" w:rsidP="00F95AAC">
            <w:pPr>
              <w:pStyle w:val="Tableheading"/>
              <w:ind w:left="34"/>
            </w:pPr>
            <w:bookmarkStart w:id="95" w:name="_Hlk92205169"/>
            <w:r w:rsidRPr="001D6913">
              <w:rPr>
                <w:color w:val="auto"/>
              </w:rPr>
              <w:t>Young Person Surveys</w:t>
            </w:r>
          </w:p>
        </w:tc>
        <w:tc>
          <w:tcPr>
            <w:tcW w:w="2500" w:type="pct"/>
            <w:tcBorders>
              <w:bottom w:val="single" w:sz="4" w:space="0" w:color="00338D"/>
            </w:tcBorders>
            <w:shd w:val="clear" w:color="auto" w:fill="00338D"/>
          </w:tcPr>
          <w:p w14:paraId="63EE04CA" w14:textId="77777777" w:rsidR="00105A8D" w:rsidRPr="001D6913" w:rsidRDefault="00105A8D" w:rsidP="00F95AAC">
            <w:pPr>
              <w:pStyle w:val="Tableheading"/>
            </w:pPr>
            <w:r w:rsidRPr="001D6913">
              <w:rPr>
                <w:color w:val="auto"/>
              </w:rPr>
              <w:t>Service Provider Surveys</w:t>
            </w:r>
          </w:p>
        </w:tc>
      </w:tr>
      <w:tr w:rsidR="00105A8D" w:rsidRPr="00F73D97" w14:paraId="43373C0A" w14:textId="77777777" w:rsidTr="00F95AAC">
        <w:trPr>
          <w:jc w:val="center"/>
        </w:trPr>
        <w:tc>
          <w:tcPr>
            <w:tcW w:w="2500" w:type="pct"/>
            <w:tcBorders>
              <w:top w:val="single" w:sz="4" w:space="0" w:color="00338D"/>
              <w:bottom w:val="single" w:sz="2" w:space="0" w:color="808080" w:themeColor="background1" w:themeShade="80"/>
            </w:tcBorders>
          </w:tcPr>
          <w:p w14:paraId="0B45C259" w14:textId="77777777" w:rsidR="00105A8D" w:rsidRPr="00F73D97" w:rsidRDefault="00105A8D" w:rsidP="00E724A2">
            <w:pPr>
              <w:pStyle w:val="TableBullet1"/>
            </w:pPr>
            <w:r w:rsidRPr="00DA614A">
              <w:t xml:space="preserve">Young Person </w:t>
            </w:r>
            <w:r w:rsidRPr="00F73D97">
              <w:t>Profile</w:t>
            </w:r>
          </w:p>
          <w:p w14:paraId="0E3D88C2" w14:textId="77777777" w:rsidR="00105A8D" w:rsidRPr="00F73D97" w:rsidRDefault="00105A8D" w:rsidP="00E724A2">
            <w:pPr>
              <w:pStyle w:val="TableBullet1"/>
            </w:pPr>
            <w:r w:rsidRPr="00DA614A">
              <w:t xml:space="preserve">Young Person First </w:t>
            </w:r>
            <w:r w:rsidRPr="00F73D97">
              <w:t>Visit</w:t>
            </w:r>
          </w:p>
          <w:p w14:paraId="69B42555" w14:textId="77777777" w:rsidR="00105A8D" w:rsidRPr="00F73D97" w:rsidRDefault="00105A8D" w:rsidP="00E724A2">
            <w:pPr>
              <w:pStyle w:val="TableBullet1"/>
            </w:pPr>
            <w:r w:rsidRPr="00DA614A">
              <w:t xml:space="preserve">Young Person Wait times </w:t>
            </w:r>
          </w:p>
          <w:p w14:paraId="3F092A2F" w14:textId="77777777" w:rsidR="00105A8D" w:rsidRPr="00F73D97" w:rsidRDefault="00105A8D" w:rsidP="00E724A2">
            <w:pPr>
              <w:pStyle w:val="TableBullet1"/>
            </w:pPr>
            <w:r w:rsidRPr="00DA614A">
              <w:t xml:space="preserve">Young Person Every Time </w:t>
            </w:r>
          </w:p>
          <w:p w14:paraId="5DA43406" w14:textId="77777777" w:rsidR="00105A8D" w:rsidRPr="00F73D97" w:rsidRDefault="00105A8D" w:rsidP="00E724A2">
            <w:pPr>
              <w:pStyle w:val="TableBullet1"/>
            </w:pPr>
            <w:r w:rsidRPr="00DA614A">
              <w:t xml:space="preserve">Young Person Outcomes </w:t>
            </w:r>
          </w:p>
          <w:p w14:paraId="7F6CBA0B" w14:textId="77777777" w:rsidR="00105A8D" w:rsidRPr="00F73D97" w:rsidRDefault="00105A8D" w:rsidP="00E724A2">
            <w:pPr>
              <w:pStyle w:val="TableBullet1"/>
            </w:pPr>
            <w:r w:rsidRPr="00DA614A">
              <w:t xml:space="preserve">Client Satisfaction (optional) </w:t>
            </w:r>
          </w:p>
          <w:p w14:paraId="092A3F78" w14:textId="77777777" w:rsidR="00105A8D" w:rsidRPr="001D6913" w:rsidRDefault="00105A8D" w:rsidP="00E724A2">
            <w:pPr>
              <w:pStyle w:val="TableBullet1"/>
            </w:pPr>
            <w:r w:rsidRPr="00F73D97">
              <w:t xml:space="preserve">Young Person Follow Up Survey (90 days) </w:t>
            </w:r>
            <w:r w:rsidRPr="00157AB8">
              <w:t>(this survey requires young people to opt in at the commencement of the episode of care, and when receiving the survey)</w:t>
            </w:r>
          </w:p>
        </w:tc>
        <w:tc>
          <w:tcPr>
            <w:tcW w:w="2500" w:type="pct"/>
            <w:tcBorders>
              <w:top w:val="single" w:sz="4" w:space="0" w:color="00338D"/>
              <w:bottom w:val="single" w:sz="2" w:space="0" w:color="808080" w:themeColor="background1" w:themeShade="80"/>
            </w:tcBorders>
          </w:tcPr>
          <w:p w14:paraId="34D1A1A8" w14:textId="77777777" w:rsidR="00105A8D" w:rsidRPr="00F73D97" w:rsidRDefault="00105A8D" w:rsidP="00E724A2">
            <w:pPr>
              <w:pStyle w:val="TableBullet1"/>
            </w:pPr>
            <w:r w:rsidRPr="00DA614A">
              <w:t xml:space="preserve">Service Provider Acknowledgement </w:t>
            </w:r>
          </w:p>
          <w:p w14:paraId="6933734F" w14:textId="77777777" w:rsidR="00105A8D" w:rsidRPr="00F73D97" w:rsidRDefault="00105A8D" w:rsidP="00E724A2">
            <w:pPr>
              <w:pStyle w:val="TableBullet1"/>
            </w:pPr>
            <w:r w:rsidRPr="00DA614A">
              <w:t>Service Provider Profile</w:t>
            </w:r>
          </w:p>
          <w:p w14:paraId="75DB9043" w14:textId="77777777" w:rsidR="00105A8D" w:rsidRPr="00F73D97" w:rsidRDefault="00105A8D" w:rsidP="00E724A2">
            <w:pPr>
              <w:pStyle w:val="TableBullet1"/>
            </w:pPr>
            <w:r w:rsidRPr="00DA614A">
              <w:t xml:space="preserve">Registration Record (Create New Young Person) </w:t>
            </w:r>
          </w:p>
          <w:p w14:paraId="033A5022" w14:textId="77777777" w:rsidR="00105A8D" w:rsidRPr="00F73D97" w:rsidRDefault="00105A8D" w:rsidP="00E724A2">
            <w:pPr>
              <w:pStyle w:val="TableBullet1"/>
            </w:pPr>
            <w:r w:rsidRPr="00DA614A">
              <w:t>Episode Question S</w:t>
            </w:r>
            <w:r w:rsidRPr="00F73D97">
              <w:t xml:space="preserve">et </w:t>
            </w:r>
          </w:p>
          <w:p w14:paraId="6F20CA24" w14:textId="77777777" w:rsidR="00105A8D" w:rsidRPr="00F73D97" w:rsidRDefault="00105A8D" w:rsidP="00E724A2">
            <w:pPr>
              <w:pStyle w:val="TableBullet1"/>
            </w:pPr>
            <w:r w:rsidRPr="00DA614A">
              <w:t xml:space="preserve">Service Provider Phone Intake </w:t>
            </w:r>
          </w:p>
          <w:p w14:paraId="57F7C436" w14:textId="77777777" w:rsidR="00105A8D" w:rsidRPr="00F73D97" w:rsidRDefault="00105A8D" w:rsidP="00E724A2">
            <w:pPr>
              <w:pStyle w:val="TableBullet1"/>
            </w:pPr>
            <w:r w:rsidRPr="00DA614A">
              <w:t>Service Provider Clinical Status Survey</w:t>
            </w:r>
          </w:p>
          <w:p w14:paraId="572F2335" w14:textId="77777777" w:rsidR="00105A8D" w:rsidRPr="00F73D97" w:rsidRDefault="00105A8D" w:rsidP="00E724A2">
            <w:pPr>
              <w:pStyle w:val="TableBullet1"/>
            </w:pPr>
            <w:r w:rsidRPr="00DA614A">
              <w:t>Service Provide</w:t>
            </w:r>
            <w:r w:rsidRPr="00F73D97">
              <w:t xml:space="preserve">r Every Time (Standard Occasion of Service survey) </w:t>
            </w:r>
          </w:p>
          <w:p w14:paraId="46668F0E" w14:textId="77777777" w:rsidR="00105A8D" w:rsidRPr="00F73D97" w:rsidRDefault="00105A8D" w:rsidP="00E724A2">
            <w:pPr>
              <w:pStyle w:val="TableBullet1"/>
            </w:pPr>
            <w:r w:rsidRPr="00DA614A">
              <w:t>Family and Friends</w:t>
            </w:r>
          </w:p>
          <w:p w14:paraId="678AEE04" w14:textId="77777777" w:rsidR="00105A8D" w:rsidRPr="00F73D97" w:rsidRDefault="00105A8D" w:rsidP="00E724A2">
            <w:pPr>
              <w:pStyle w:val="TableBullet1"/>
            </w:pPr>
            <w:r w:rsidRPr="00DA614A">
              <w:t xml:space="preserve">Service Provider [Therapeutic] Group Survey </w:t>
            </w:r>
          </w:p>
          <w:p w14:paraId="57D9F8CD" w14:textId="77777777" w:rsidR="00105A8D" w:rsidRPr="00F73D97" w:rsidRDefault="00105A8D" w:rsidP="00E724A2">
            <w:pPr>
              <w:pStyle w:val="TableBullet1"/>
            </w:pPr>
            <w:r w:rsidRPr="00DA614A">
              <w:t xml:space="preserve">Telehealth Occasion of Service Survey </w:t>
            </w:r>
          </w:p>
          <w:p w14:paraId="602AB925" w14:textId="77777777" w:rsidR="00105A8D" w:rsidRPr="00F73D97" w:rsidRDefault="00105A8D" w:rsidP="00E724A2">
            <w:pPr>
              <w:pStyle w:val="TableBullet1"/>
            </w:pPr>
            <w:r w:rsidRPr="00DA614A">
              <w:t>Service Pro</w:t>
            </w:r>
            <w:r w:rsidRPr="00F73D97">
              <w:t xml:space="preserve">vider Extra K10+ Survey (optional) </w:t>
            </w:r>
          </w:p>
          <w:p w14:paraId="620DB720" w14:textId="77777777" w:rsidR="00105A8D" w:rsidRPr="001D6913" w:rsidRDefault="00105A8D" w:rsidP="00E724A2">
            <w:pPr>
              <w:pStyle w:val="TableBullet1"/>
            </w:pPr>
            <w:r w:rsidRPr="00F73D97">
              <w:t xml:space="preserve">Service Provider Closure Survey </w:t>
            </w:r>
          </w:p>
        </w:tc>
      </w:tr>
    </w:tbl>
    <w:bookmarkEnd w:id="95"/>
    <w:p w14:paraId="39071750" w14:textId="77777777" w:rsidR="00105A8D" w:rsidRPr="001D6913" w:rsidRDefault="00105A8D" w:rsidP="00105A8D">
      <w:pPr>
        <w:pStyle w:val="Source"/>
        <w:rPr>
          <w:i/>
        </w:rPr>
      </w:pPr>
      <w:r w:rsidRPr="001D6913">
        <w:t>Source</w:t>
      </w:r>
      <w:r>
        <w:t>:</w:t>
      </w:r>
      <w:r w:rsidRPr="001D6913">
        <w:t xml:space="preserve"> headspace Primary Program Minimum Data Set Dictionary</w:t>
      </w:r>
    </w:p>
    <w:p w14:paraId="60161D12" w14:textId="77777777" w:rsidR="00105A8D" w:rsidRPr="001D6913" w:rsidRDefault="00105A8D" w:rsidP="003006A8">
      <w:pPr>
        <w:pStyle w:val="BodyText"/>
      </w:pPr>
      <w:r w:rsidRPr="001D6913">
        <w:t>Data captured through hAPI feeds into the hMDS. The data is used in three main ways:</w:t>
      </w:r>
    </w:p>
    <w:p w14:paraId="4B66208B" w14:textId="252E10F7" w:rsidR="00105A8D" w:rsidRPr="001D6913" w:rsidRDefault="00105A8D" w:rsidP="00105A8D">
      <w:pPr>
        <w:pStyle w:val="Bullet1stlevel"/>
      </w:pPr>
      <w:r>
        <w:t>f</w:t>
      </w:r>
      <w:r w:rsidRPr="001D6913">
        <w:t xml:space="preserve">or </w:t>
      </w:r>
      <w:r>
        <w:t>capturing service provision across the headspace network</w:t>
      </w:r>
      <w:r w:rsidR="005E3FEC">
        <w:t>;</w:t>
      </w:r>
    </w:p>
    <w:p w14:paraId="27FB48A4" w14:textId="186743DC" w:rsidR="00105A8D" w:rsidRPr="001D6913" w:rsidRDefault="00105A8D" w:rsidP="00105A8D">
      <w:pPr>
        <w:pStyle w:val="Bullet1stlevel"/>
      </w:pPr>
      <w:r>
        <w:t>f</w:t>
      </w:r>
      <w:r w:rsidRPr="001D6913">
        <w:t>or evaluating and reporting on the headspace service</w:t>
      </w:r>
      <w:r w:rsidR="005E3FEC">
        <w:t>; and</w:t>
      </w:r>
    </w:p>
    <w:p w14:paraId="6E1E94BE" w14:textId="3F6D97F1" w:rsidR="00105A8D" w:rsidRPr="001D6913" w:rsidRDefault="00105A8D" w:rsidP="00105A8D">
      <w:pPr>
        <w:pStyle w:val="Bullet1stlevel"/>
      </w:pPr>
      <w:r>
        <w:t>f</w:t>
      </w:r>
      <w:r w:rsidRPr="001D6913">
        <w:t>or other agencies (such as PHNs</w:t>
      </w:r>
      <w:r w:rsidR="00F73D97">
        <w:t xml:space="preserve"> and</w:t>
      </w:r>
      <w:r w:rsidRPr="001D6913">
        <w:t xml:space="preserve"> the </w:t>
      </w:r>
      <w:r w:rsidR="009C632E">
        <w:t>d</w:t>
      </w:r>
      <w:r w:rsidRPr="001D6913">
        <w:t>epartment) to monitor and evaluate headspace services</w:t>
      </w:r>
      <w:r w:rsidR="00CC0438">
        <w:rPr>
          <w:rFonts w:ascii="ZWAdobeF" w:hAnsi="ZWAdobeF" w:cs="ZWAdobeF"/>
          <w:sz w:val="2"/>
          <w:szCs w:val="2"/>
        </w:rPr>
        <w:t>88F</w:t>
      </w:r>
      <w:r w:rsidRPr="001D6913">
        <w:rPr>
          <w:rStyle w:val="FootnoteReference"/>
        </w:rPr>
        <w:footnoteReference w:id="90"/>
      </w:r>
      <w:r w:rsidR="00F0360E">
        <w:t>.</w:t>
      </w:r>
    </w:p>
    <w:p w14:paraId="263D1CB5" w14:textId="77777777" w:rsidR="00105A8D" w:rsidRPr="001D6913" w:rsidRDefault="00105A8D" w:rsidP="003006A8">
      <w:pPr>
        <w:pStyle w:val="BodyText"/>
      </w:pPr>
      <w:r w:rsidRPr="001D6913">
        <w:t xml:space="preserve">Information captured through hAPI is collected and reviewed by </w:t>
      </w:r>
      <w:r>
        <w:t>headspace National</w:t>
      </w:r>
      <w:r w:rsidRPr="001D6913">
        <w:t xml:space="preserve"> to:</w:t>
      </w:r>
    </w:p>
    <w:p w14:paraId="118323F3" w14:textId="1BAD3CE2" w:rsidR="00105A8D" w:rsidRPr="001D6913" w:rsidRDefault="00105A8D" w:rsidP="00105A8D">
      <w:pPr>
        <w:pStyle w:val="Bullet1stlevel"/>
      </w:pPr>
      <w:r>
        <w:t>p</w:t>
      </w:r>
      <w:r w:rsidRPr="001D6913">
        <w:t>rovide a local and national perspective of service usage, trends and comparisons</w:t>
      </w:r>
      <w:r w:rsidR="00134479">
        <w:t>;</w:t>
      </w:r>
    </w:p>
    <w:p w14:paraId="6F06CCBC" w14:textId="3013A861" w:rsidR="00105A8D" w:rsidRPr="001D6913" w:rsidRDefault="00105A8D" w:rsidP="00105A8D">
      <w:pPr>
        <w:pStyle w:val="Bullet1stlevel"/>
      </w:pPr>
      <w:r>
        <w:t>i</w:t>
      </w:r>
      <w:r w:rsidRPr="001D6913">
        <w:t>nform local and national service planning, coordination and continuous improvement</w:t>
      </w:r>
      <w:r w:rsidR="00134479">
        <w:t>; and</w:t>
      </w:r>
    </w:p>
    <w:p w14:paraId="72E92F9F" w14:textId="6A6ABC82" w:rsidR="00105A8D" w:rsidRPr="001D6913" w:rsidRDefault="00105A8D" w:rsidP="00105A8D">
      <w:pPr>
        <w:pStyle w:val="Bullet1stlevel"/>
      </w:pPr>
      <w:r>
        <w:t>e</w:t>
      </w:r>
      <w:r w:rsidRPr="001D6913">
        <w:t>nable local and national evaluation and research relating to headspace services</w:t>
      </w:r>
      <w:r w:rsidR="00CC0438">
        <w:rPr>
          <w:rFonts w:ascii="ZWAdobeF" w:hAnsi="ZWAdobeF" w:cs="ZWAdobeF"/>
          <w:sz w:val="2"/>
          <w:szCs w:val="2"/>
        </w:rPr>
        <w:t>89F</w:t>
      </w:r>
      <w:r w:rsidRPr="001D6913">
        <w:rPr>
          <w:rStyle w:val="FootnoteReference"/>
        </w:rPr>
        <w:footnoteReference w:id="91"/>
      </w:r>
      <w:r w:rsidR="009971B5">
        <w:t>.</w:t>
      </w:r>
    </w:p>
    <w:p w14:paraId="76D4D32E" w14:textId="1BCEBDC4" w:rsidR="00105A8D" w:rsidRPr="001D6913" w:rsidRDefault="00105A8D" w:rsidP="00105A8D">
      <w:pPr>
        <w:pStyle w:val="BodyText"/>
      </w:pPr>
      <w:r w:rsidRPr="001D6913">
        <w:t xml:space="preserve">In addition to hAPI, a separate online survey is available on the headspace website for family and friends of the </w:t>
      </w:r>
      <w:r w:rsidR="009971B5">
        <w:t>young person</w:t>
      </w:r>
      <w:r w:rsidR="009971B5" w:rsidRPr="001D6913">
        <w:t xml:space="preserve"> </w:t>
      </w:r>
      <w:r w:rsidRPr="001D6913">
        <w:t>to complete (the headspace Family and Friends Satisfaction Survey</w:t>
      </w:r>
      <w:r w:rsidR="00CC0438">
        <w:rPr>
          <w:rFonts w:ascii="ZWAdobeF" w:hAnsi="ZWAdobeF" w:cs="ZWAdobeF"/>
          <w:sz w:val="2"/>
          <w:szCs w:val="2"/>
        </w:rPr>
        <w:t>90F</w:t>
      </w:r>
      <w:r w:rsidRPr="001D6913">
        <w:rPr>
          <w:rStyle w:val="FootnoteReference"/>
        </w:rPr>
        <w:footnoteReference w:id="92"/>
      </w:r>
      <w:r w:rsidRPr="001D6913">
        <w:t>) to gather information on how to improve headspace services for family and friends supporting young people attending headspace.</w:t>
      </w:r>
    </w:p>
    <w:p w14:paraId="5DB6859E" w14:textId="77777777" w:rsidR="00105A8D" w:rsidRPr="001D6913" w:rsidRDefault="00105A8D" w:rsidP="00105A8D">
      <w:pPr>
        <w:pStyle w:val="Heading5"/>
      </w:pPr>
      <w:r>
        <w:t>headspace National data dissemination</w:t>
      </w:r>
    </w:p>
    <w:p w14:paraId="3E30EC9E" w14:textId="6552C950" w:rsidR="00105A8D" w:rsidRDefault="00105A8D" w:rsidP="00105A8D">
      <w:pPr>
        <w:pStyle w:val="BodyText"/>
      </w:pPr>
      <w:r>
        <w:t>headspace National</w:t>
      </w:r>
      <w:r w:rsidRPr="001D6913">
        <w:t xml:space="preserve"> analyse</w:t>
      </w:r>
      <w:r>
        <w:t>s</w:t>
      </w:r>
      <w:r w:rsidRPr="001D6913">
        <w:t xml:space="preserve"> all data collected through hAPI and report</w:t>
      </w:r>
      <w:r>
        <w:t>s</w:t>
      </w:r>
      <w:r w:rsidRPr="001D6913">
        <w:t xml:space="preserve"> it back to </w:t>
      </w:r>
      <w:r>
        <w:t>headspace services</w:t>
      </w:r>
      <w:r w:rsidRPr="001D6913">
        <w:t xml:space="preserve">, PHNs and </w:t>
      </w:r>
      <w:r>
        <w:t>lead agencies</w:t>
      </w:r>
      <w:r w:rsidRPr="001D6913">
        <w:t xml:space="preserve"> through an online</w:t>
      </w:r>
      <w:r w:rsidR="00796D2C">
        <w:t>,</w:t>
      </w:r>
      <w:r w:rsidRPr="001D6913">
        <w:t xml:space="preserve"> real-time dashboard tool using Tableau. The reports available on the dashboard are outlined in </w:t>
      </w:r>
      <w:r w:rsidRPr="001D6913">
        <w:fldChar w:fldCharType="begin" w:fldLock="1"/>
      </w:r>
      <w:r w:rsidRPr="001D6913">
        <w:instrText xml:space="preserve"> REF _Ref80173457 \h </w:instrText>
      </w:r>
      <w:r>
        <w:instrText xml:space="preserve"> \* MERGEFORMAT</w:instrText>
      </w:r>
      <w:r w:rsidRPr="001D6913">
        <w:instrText xml:space="preserve"> </w:instrText>
      </w:r>
      <w:r w:rsidRPr="001D6913">
        <w:fldChar w:fldCharType="separate"/>
      </w:r>
      <w:r w:rsidR="000C245D" w:rsidRPr="001D6913">
        <w:t xml:space="preserve">Table </w:t>
      </w:r>
      <w:r w:rsidR="000C245D">
        <w:t>13</w:t>
      </w:r>
      <w:r w:rsidRPr="001D6913">
        <w:fldChar w:fldCharType="end"/>
      </w:r>
      <w:r w:rsidRPr="001D6913">
        <w:t xml:space="preserve"> below</w:t>
      </w:r>
      <w:r w:rsidR="00CC0438">
        <w:rPr>
          <w:rFonts w:ascii="ZWAdobeF" w:hAnsi="ZWAdobeF" w:cs="ZWAdobeF"/>
          <w:sz w:val="2"/>
          <w:szCs w:val="2"/>
        </w:rPr>
        <w:t>91F</w:t>
      </w:r>
      <w:r w:rsidR="00CF4D85" w:rsidRPr="001D6913">
        <w:rPr>
          <w:rStyle w:val="FootnoteReference"/>
        </w:rPr>
        <w:footnoteReference w:id="93"/>
      </w:r>
      <w:r>
        <w:t>.</w:t>
      </w:r>
    </w:p>
    <w:p w14:paraId="75F24AA7" w14:textId="5C785B2E" w:rsidR="00105A8D" w:rsidRPr="001D6913" w:rsidRDefault="00105A8D" w:rsidP="00105A8D">
      <w:pPr>
        <w:pStyle w:val="BodyText"/>
      </w:pPr>
      <w:r>
        <w:t>headspace services</w:t>
      </w:r>
      <w:r w:rsidRPr="001D6913">
        <w:t xml:space="preserve"> can see benchmarking reports comparing their performance to other </w:t>
      </w:r>
      <w:r w:rsidR="00373810">
        <w:t>services</w:t>
      </w:r>
      <w:r w:rsidRPr="001D6913">
        <w:t xml:space="preserve"> in their peer group, which vary depending on a national baseline, rurality, operational maturity, remoteness</w:t>
      </w:r>
      <w:r>
        <w:t xml:space="preserve">, </w:t>
      </w:r>
      <w:r w:rsidRPr="001D6913">
        <w:t xml:space="preserve">and </w:t>
      </w:r>
      <w:r w:rsidR="00796D2C">
        <w:t>p</w:t>
      </w:r>
      <w:r w:rsidRPr="001D6913">
        <w:t xml:space="preserve">riority </w:t>
      </w:r>
      <w:r w:rsidR="00796D2C">
        <w:t>p</w:t>
      </w:r>
      <w:r w:rsidRPr="001D6913">
        <w:t>opulations (Aboriginal and Torres Strait Islander</w:t>
      </w:r>
      <w:r w:rsidR="007827FE">
        <w:t xml:space="preserve"> young people</w:t>
      </w:r>
      <w:r w:rsidRPr="001D6913">
        <w:t xml:space="preserve">, </w:t>
      </w:r>
      <w:r>
        <w:t>young people from culturally and linguistically diverse backgrounds</w:t>
      </w:r>
      <w:r w:rsidRPr="001D6913">
        <w:t xml:space="preserve"> and LGBT</w:t>
      </w:r>
      <w:r>
        <w:t>QIA</w:t>
      </w:r>
      <w:r w:rsidRPr="001D6913">
        <w:t>+</w:t>
      </w:r>
      <w:r>
        <w:t xml:space="preserve"> young people</w:t>
      </w:r>
      <w:r w:rsidRPr="001D6913">
        <w:t xml:space="preserve">). These reports were created by </w:t>
      </w:r>
      <w:r>
        <w:t>headspace National</w:t>
      </w:r>
      <w:r w:rsidRPr="001D6913">
        <w:t xml:space="preserve"> to </w:t>
      </w:r>
      <w:r>
        <w:t>be part of routine clinical care and support</w:t>
      </w:r>
      <w:r w:rsidRPr="001D6913">
        <w:t xml:space="preserve"> the continuous quality improvement of service delivery, and to allow </w:t>
      </w:r>
      <w:r w:rsidR="00047E98">
        <w:t>services</w:t>
      </w:r>
      <w:r w:rsidRPr="001D6913">
        <w:t xml:space="preserve"> to have a more meaningful comparison to like </w:t>
      </w:r>
      <w:r w:rsidR="00373810">
        <w:t xml:space="preserve">services </w:t>
      </w:r>
      <w:r w:rsidRPr="001D6913">
        <w:t xml:space="preserve">outside of the national average. </w:t>
      </w:r>
    </w:p>
    <w:p w14:paraId="6B26E007" w14:textId="061266A4" w:rsidR="00105A8D" w:rsidRPr="001D6913" w:rsidRDefault="00105A8D" w:rsidP="00105A8D">
      <w:pPr>
        <w:pStyle w:val="BodyText"/>
      </w:pPr>
      <w:r w:rsidRPr="001D6913">
        <w:t xml:space="preserve">Detailed quarterly reports are developed by </w:t>
      </w:r>
      <w:r>
        <w:t>headspace National</w:t>
      </w:r>
      <w:r w:rsidRPr="001D6913">
        <w:t xml:space="preserve"> using the</w:t>
      </w:r>
      <w:r>
        <w:t xml:space="preserve"> hMDS</w:t>
      </w:r>
      <w:r w:rsidRPr="001D6913">
        <w:t xml:space="preserve"> and provided to each headspace </w:t>
      </w:r>
      <w:r w:rsidR="00373810">
        <w:t>service</w:t>
      </w:r>
      <w:r w:rsidRPr="001D6913">
        <w:t xml:space="preserve">. These reports contain a snapshot of the </w:t>
      </w:r>
      <w:r w:rsidR="00047E98">
        <w:t>servic</w:t>
      </w:r>
      <w:r w:rsidRPr="001D6913">
        <w:t xml:space="preserve">e’s performance over the period as compared to national performance. The information is related to </w:t>
      </w:r>
      <w:r w:rsidR="00373810">
        <w:t>service</w:t>
      </w:r>
      <w:r w:rsidRPr="001D6913">
        <w:t xml:space="preserve"> access (service activity, nature of service, wait times, client demographics), effectiveness (reasons for attendance at headspace, presenting issues, stage of illness, outcomes of K10, outcomes of SOFAS, client satisfaction, clinical diagnoses), awareness (what influenced </w:t>
      </w:r>
      <w:r w:rsidR="004E3DB6">
        <w:t xml:space="preserve">the </w:t>
      </w:r>
      <w:r w:rsidRPr="001D6913">
        <w:t>client to come to headspace), sustainability (services provided by funding stream) and integration (referrals ‘in’ and referrals ‘out’).</w:t>
      </w:r>
    </w:p>
    <w:p w14:paraId="4D6D5405" w14:textId="4B3AA697" w:rsidR="00105A8D" w:rsidRPr="001D6913" w:rsidRDefault="00105A8D" w:rsidP="00105A8D">
      <w:pPr>
        <w:pStyle w:val="BodyText"/>
      </w:pPr>
      <w:r w:rsidRPr="001D6913">
        <w:t>The</w:t>
      </w:r>
      <w:r>
        <w:t xml:space="preserve"> hMDS</w:t>
      </w:r>
      <w:r w:rsidRPr="001D6913">
        <w:t xml:space="preserve"> is uploaded by </w:t>
      </w:r>
      <w:r>
        <w:t>headspace National</w:t>
      </w:r>
      <w:r w:rsidRPr="001D6913">
        <w:t xml:space="preserve"> to the Primary Mental Health Care Minimum Data Set (PMHC-MDS). This dataset provides the basis for PHNs and the </w:t>
      </w:r>
      <w:r w:rsidR="009C632E">
        <w:t>d</w:t>
      </w:r>
      <w:r w:rsidRPr="001D6913">
        <w:t xml:space="preserve">epartment to monitor and report on the quantity and quality of service delivery, and to inform future improvements in the planning and funding of primary mental health care services funded by the </w:t>
      </w:r>
      <w:r w:rsidR="00AD6B05">
        <w:t>Commonwealth</w:t>
      </w:r>
      <w:r w:rsidR="00F538D8">
        <w:t xml:space="preserve"> Government</w:t>
      </w:r>
      <w:r w:rsidR="00CC0438">
        <w:rPr>
          <w:rFonts w:ascii="ZWAdobeF" w:hAnsi="ZWAdobeF" w:cs="ZWAdobeF"/>
          <w:sz w:val="2"/>
          <w:szCs w:val="2"/>
        </w:rPr>
        <w:t>92F</w:t>
      </w:r>
      <w:r w:rsidRPr="001D6913">
        <w:rPr>
          <w:rStyle w:val="FootnoteReference"/>
        </w:rPr>
        <w:footnoteReference w:id="94"/>
      </w:r>
      <w:r w:rsidR="00CD0A03" w:rsidRPr="00CD0A03">
        <w:rPr>
          <w:vertAlign w:val="superscript"/>
        </w:rPr>
        <w:t>,</w:t>
      </w:r>
      <w:r w:rsidR="00CC0438">
        <w:rPr>
          <w:rFonts w:ascii="ZWAdobeF" w:hAnsi="ZWAdobeF" w:cs="ZWAdobeF"/>
          <w:sz w:val="2"/>
          <w:szCs w:val="2"/>
        </w:rPr>
        <w:t>93F</w:t>
      </w:r>
      <w:r w:rsidRPr="001D6913">
        <w:rPr>
          <w:rStyle w:val="FootnoteReference"/>
        </w:rPr>
        <w:footnoteReference w:id="95"/>
      </w:r>
      <w:r w:rsidR="00F12EB8">
        <w:t>.</w:t>
      </w:r>
    </w:p>
    <w:p w14:paraId="763D17CF" w14:textId="095C3F0F" w:rsidR="00105A8D" w:rsidRPr="001D6913" w:rsidRDefault="00105A8D" w:rsidP="00105A8D">
      <w:pPr>
        <w:pStyle w:val="Caption"/>
      </w:pPr>
      <w:bookmarkStart w:id="96" w:name="_Ref80173457"/>
      <w:bookmarkStart w:id="97" w:name="_Toc108108963"/>
      <w:r w:rsidRPr="001D6913">
        <w:t xml:space="preserve">Table </w:t>
      </w:r>
      <w:r>
        <w:fldChar w:fldCharType="begin"/>
      </w:r>
      <w:r>
        <w:instrText>SEQ Table \* ARABIC</w:instrText>
      </w:r>
      <w:r>
        <w:fldChar w:fldCharType="separate"/>
      </w:r>
      <w:r w:rsidR="00CC0438">
        <w:rPr>
          <w:noProof/>
        </w:rPr>
        <w:t>13</w:t>
      </w:r>
      <w:r>
        <w:fldChar w:fldCharType="end"/>
      </w:r>
      <w:bookmarkEnd w:id="96"/>
      <w:r w:rsidRPr="001D6913">
        <w:t xml:space="preserve">: Reports available on </w:t>
      </w:r>
      <w:r w:rsidR="006C2703">
        <w:t xml:space="preserve">the </w:t>
      </w:r>
      <w:r w:rsidRPr="001D6913">
        <w:t>headspace dashboard tool</w:t>
      </w:r>
      <w:bookmarkEnd w:id="97"/>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ports available on headspace dashboard tool"/>
        <w:tblDescription w:val="Table has 2 columns outlining the reports available on the dashboard provided by headspace National. Column 1 describes the overall report group heading, and column 2 described the specific types of reports contained in each report group. &#10;"/>
      </w:tblPr>
      <w:tblGrid>
        <w:gridCol w:w="2835"/>
        <w:gridCol w:w="6235"/>
      </w:tblGrid>
      <w:tr w:rsidR="00105A8D" w:rsidRPr="00D65A2D" w14:paraId="34C1A011" w14:textId="77777777" w:rsidTr="00E96A38">
        <w:trPr>
          <w:tblHeader/>
          <w:jc w:val="center"/>
        </w:trPr>
        <w:tc>
          <w:tcPr>
            <w:tcW w:w="1563" w:type="pct"/>
            <w:tcBorders>
              <w:bottom w:val="single" w:sz="4" w:space="0" w:color="00338D" w:themeColor="background2"/>
            </w:tcBorders>
            <w:shd w:val="clear" w:color="auto" w:fill="00338D" w:themeFill="background2"/>
          </w:tcPr>
          <w:p w14:paraId="20C751CB" w14:textId="77777777" w:rsidR="00105A8D" w:rsidRPr="001D6913" w:rsidRDefault="00105A8D" w:rsidP="00F95AAC">
            <w:pPr>
              <w:pStyle w:val="Tableheading"/>
              <w:ind w:left="34"/>
            </w:pPr>
            <w:r w:rsidRPr="001D6913">
              <w:t>Report Group Heading</w:t>
            </w:r>
          </w:p>
        </w:tc>
        <w:tc>
          <w:tcPr>
            <w:tcW w:w="3437" w:type="pct"/>
            <w:tcBorders>
              <w:bottom w:val="single" w:sz="4" w:space="0" w:color="00338D" w:themeColor="background2"/>
            </w:tcBorders>
            <w:shd w:val="clear" w:color="auto" w:fill="00338D" w:themeFill="background2"/>
          </w:tcPr>
          <w:p w14:paraId="19999A50" w14:textId="77777777" w:rsidR="00105A8D" w:rsidRPr="001D6913" w:rsidRDefault="00105A8D" w:rsidP="00F95AAC">
            <w:pPr>
              <w:pStyle w:val="Tableheading"/>
            </w:pPr>
            <w:r w:rsidRPr="001D6913">
              <w:t>Types of Reports</w:t>
            </w:r>
          </w:p>
        </w:tc>
      </w:tr>
      <w:tr w:rsidR="00105A8D" w:rsidRPr="00F34AFA" w14:paraId="1A0C9F26" w14:textId="77777777" w:rsidTr="00B43279">
        <w:trPr>
          <w:cantSplit/>
          <w:jc w:val="center"/>
        </w:trPr>
        <w:tc>
          <w:tcPr>
            <w:tcW w:w="1563" w:type="pct"/>
            <w:tcBorders>
              <w:top w:val="single" w:sz="4" w:space="0" w:color="00338D" w:themeColor="background2"/>
              <w:bottom w:val="single" w:sz="4" w:space="0" w:color="00338D" w:themeColor="background2"/>
            </w:tcBorders>
          </w:tcPr>
          <w:p w14:paraId="03267E14" w14:textId="1665042E" w:rsidR="00105A8D" w:rsidRPr="001D6913" w:rsidRDefault="00105A8D" w:rsidP="00F95AAC">
            <w:pPr>
              <w:pStyle w:val="Tabletext"/>
            </w:pPr>
            <w:r w:rsidRPr="001D6913">
              <w:t xml:space="preserve">Main reports (main reports used for headspace </w:t>
            </w:r>
            <w:r w:rsidR="00B24A04">
              <w:t>service</w:t>
            </w:r>
            <w:r w:rsidR="00B24A04" w:rsidRPr="001D6913">
              <w:t xml:space="preserve"> reporting</w:t>
            </w:r>
            <w:r w:rsidRPr="001D6913">
              <w:t>)</w:t>
            </w:r>
          </w:p>
        </w:tc>
        <w:tc>
          <w:tcPr>
            <w:tcW w:w="3437" w:type="pct"/>
            <w:tcBorders>
              <w:top w:val="single" w:sz="4" w:space="0" w:color="00338D" w:themeColor="background2"/>
              <w:bottom w:val="single" w:sz="4" w:space="0" w:color="00338D" w:themeColor="background2"/>
            </w:tcBorders>
          </w:tcPr>
          <w:p w14:paraId="76BF66D5" w14:textId="3A5B0FE1" w:rsidR="00105A8D" w:rsidRPr="001D6913" w:rsidRDefault="00105A8D" w:rsidP="00301A4D">
            <w:pPr>
              <w:pStyle w:val="TableBullet1"/>
            </w:pPr>
            <w:r w:rsidRPr="001D6913">
              <w:t xml:space="preserve">Centre Snapshot </w:t>
            </w:r>
          </w:p>
          <w:p w14:paraId="27D8E19C" w14:textId="05A6A589" w:rsidR="00105A8D" w:rsidRPr="001D6913" w:rsidRDefault="00105A8D" w:rsidP="00301A4D">
            <w:pPr>
              <w:pStyle w:val="TableBullet1"/>
            </w:pPr>
            <w:r w:rsidRPr="001D6913">
              <w:t xml:space="preserve">Reporting Suite – Summary (high level summary of Key Metrics &amp; Demographics) </w:t>
            </w:r>
          </w:p>
          <w:p w14:paraId="4653DB30" w14:textId="77777777" w:rsidR="00105A8D" w:rsidRPr="001D6913" w:rsidRDefault="00105A8D" w:rsidP="00301A4D">
            <w:pPr>
              <w:pStyle w:val="TableBullet1"/>
            </w:pPr>
            <w:r w:rsidRPr="001D6913">
              <w:t>Reporting Suite – Detail (data at the individual</w:t>
            </w:r>
            <w:r>
              <w:t xml:space="preserve"> hMDS</w:t>
            </w:r>
            <w:r w:rsidRPr="001D6913">
              <w:t xml:space="preserve"> item level)</w:t>
            </w:r>
          </w:p>
        </w:tc>
      </w:tr>
      <w:tr w:rsidR="00105A8D" w:rsidRPr="00F34AFA" w14:paraId="39ED4264" w14:textId="77777777" w:rsidTr="6B2B892A">
        <w:trPr>
          <w:jc w:val="center"/>
        </w:trPr>
        <w:tc>
          <w:tcPr>
            <w:tcW w:w="1563" w:type="pct"/>
            <w:tcBorders>
              <w:top w:val="single" w:sz="4" w:space="0" w:color="00338D" w:themeColor="background2"/>
              <w:bottom w:val="single" w:sz="4" w:space="0" w:color="00338D" w:themeColor="background2"/>
            </w:tcBorders>
          </w:tcPr>
          <w:p w14:paraId="71423F0E" w14:textId="77777777" w:rsidR="00105A8D" w:rsidRPr="001D6913" w:rsidRDefault="00105A8D" w:rsidP="00F95AAC">
            <w:pPr>
              <w:pStyle w:val="Tabletext"/>
            </w:pPr>
            <w:r w:rsidRPr="001D6913">
              <w:t>Operational reports (provide operational insights based on data)</w:t>
            </w:r>
          </w:p>
        </w:tc>
        <w:tc>
          <w:tcPr>
            <w:tcW w:w="3437" w:type="pct"/>
            <w:tcBorders>
              <w:top w:val="single" w:sz="4" w:space="0" w:color="00338D" w:themeColor="background2"/>
              <w:bottom w:val="single" w:sz="4" w:space="0" w:color="00338D" w:themeColor="background2"/>
            </w:tcBorders>
          </w:tcPr>
          <w:p w14:paraId="1579FC84" w14:textId="77777777" w:rsidR="00105A8D" w:rsidRPr="001D6913" w:rsidRDefault="00105A8D" w:rsidP="00301A4D">
            <w:pPr>
              <w:pStyle w:val="TableBullet1"/>
            </w:pPr>
            <w:r w:rsidRPr="001D6913">
              <w:t xml:space="preserve">Wait Times </w:t>
            </w:r>
          </w:p>
          <w:p w14:paraId="03D91452" w14:textId="790BCD9D" w:rsidR="00105A8D" w:rsidRPr="001D6913" w:rsidRDefault="00105A8D" w:rsidP="00301A4D">
            <w:pPr>
              <w:pStyle w:val="TableBullet1"/>
            </w:pPr>
            <w:r w:rsidRPr="001D6913">
              <w:t xml:space="preserve">Operation Report (Survey Completion rates and hAPI </w:t>
            </w:r>
            <w:r w:rsidR="00B43279">
              <w:t>d</w:t>
            </w:r>
            <w:r w:rsidRPr="001D6913">
              <w:t>ata entry issues)</w:t>
            </w:r>
          </w:p>
        </w:tc>
      </w:tr>
      <w:tr w:rsidR="00105A8D" w:rsidRPr="00F34AFA" w14:paraId="6E3591D2" w14:textId="77777777" w:rsidTr="6B2B892A">
        <w:trPr>
          <w:jc w:val="center"/>
        </w:trPr>
        <w:tc>
          <w:tcPr>
            <w:tcW w:w="1563" w:type="pct"/>
            <w:tcBorders>
              <w:top w:val="single" w:sz="4" w:space="0" w:color="00338D" w:themeColor="background2"/>
              <w:bottom w:val="single" w:sz="4" w:space="0" w:color="00338D" w:themeColor="background2"/>
            </w:tcBorders>
          </w:tcPr>
          <w:p w14:paraId="5E18BD6F" w14:textId="77777777" w:rsidR="00105A8D" w:rsidRPr="001D6913" w:rsidRDefault="00105A8D" w:rsidP="00F95AAC">
            <w:pPr>
              <w:pStyle w:val="Tabletext"/>
            </w:pPr>
            <w:r w:rsidRPr="001D6913">
              <w:t>Outcomes (insights on clinical outcomes, wait times and client satisfaction)</w:t>
            </w:r>
          </w:p>
        </w:tc>
        <w:tc>
          <w:tcPr>
            <w:tcW w:w="3437" w:type="pct"/>
            <w:tcBorders>
              <w:top w:val="single" w:sz="4" w:space="0" w:color="00338D" w:themeColor="background2"/>
              <w:bottom w:val="single" w:sz="4" w:space="0" w:color="00338D" w:themeColor="background2"/>
            </w:tcBorders>
          </w:tcPr>
          <w:p w14:paraId="7628339F" w14:textId="18A75D8D" w:rsidR="00105A8D" w:rsidRPr="001D6913" w:rsidRDefault="00105A8D" w:rsidP="00301A4D">
            <w:pPr>
              <w:pStyle w:val="TableBullet1"/>
            </w:pPr>
            <w:r>
              <w:t>headspace services</w:t>
            </w:r>
            <w:r w:rsidRPr="001D6913">
              <w:t xml:space="preserve"> – Outcomes (reporting on outcomes </w:t>
            </w:r>
            <w:r w:rsidR="00B43279">
              <w:t>such as</w:t>
            </w:r>
            <w:r w:rsidR="00B43279" w:rsidRPr="001D6913">
              <w:t xml:space="preserve"> </w:t>
            </w:r>
            <w:r w:rsidRPr="001D6913">
              <w:t>K10</w:t>
            </w:r>
            <w:r w:rsidR="00CB2BFB">
              <w:t>,</w:t>
            </w:r>
            <w:r w:rsidRPr="001D6913">
              <w:t xml:space="preserve"> SOFAS</w:t>
            </w:r>
            <w:r w:rsidR="00CB2BFB">
              <w:t xml:space="preserve"> and MLT</w:t>
            </w:r>
            <w:r w:rsidRPr="001D6913">
              <w:t xml:space="preserve">) </w:t>
            </w:r>
          </w:p>
          <w:p w14:paraId="7F5154F7" w14:textId="77777777" w:rsidR="00105A8D" w:rsidRPr="001D6913" w:rsidRDefault="00105A8D" w:rsidP="00301A4D">
            <w:pPr>
              <w:pStyle w:val="TableBullet1"/>
            </w:pPr>
            <w:r w:rsidRPr="001D6913">
              <w:t xml:space="preserve">Client Satisfaction </w:t>
            </w:r>
          </w:p>
        </w:tc>
      </w:tr>
      <w:tr w:rsidR="00105A8D" w:rsidRPr="00F34AFA" w14:paraId="26D7F87D" w14:textId="77777777" w:rsidTr="6B2B892A">
        <w:trPr>
          <w:jc w:val="center"/>
        </w:trPr>
        <w:tc>
          <w:tcPr>
            <w:tcW w:w="1563" w:type="pct"/>
            <w:tcBorders>
              <w:top w:val="single" w:sz="4" w:space="0" w:color="00338D" w:themeColor="background2"/>
              <w:bottom w:val="single" w:sz="4" w:space="0" w:color="00338D" w:themeColor="background2"/>
            </w:tcBorders>
          </w:tcPr>
          <w:p w14:paraId="18281C81" w14:textId="77777777" w:rsidR="00105A8D" w:rsidRPr="001D6913" w:rsidRDefault="00105A8D" w:rsidP="00F95AAC">
            <w:pPr>
              <w:pStyle w:val="Tabletext"/>
            </w:pPr>
            <w:r w:rsidRPr="001D6913">
              <w:t>Specialised reports</w:t>
            </w:r>
          </w:p>
        </w:tc>
        <w:tc>
          <w:tcPr>
            <w:tcW w:w="3437" w:type="pct"/>
            <w:tcBorders>
              <w:top w:val="single" w:sz="4" w:space="0" w:color="00338D" w:themeColor="background2"/>
              <w:bottom w:val="single" w:sz="4" w:space="0" w:color="00338D" w:themeColor="background2"/>
            </w:tcBorders>
          </w:tcPr>
          <w:p w14:paraId="55DA340A" w14:textId="0F2E1E35" w:rsidR="00105A8D" w:rsidRPr="001D6913" w:rsidRDefault="00105A8D" w:rsidP="00301A4D">
            <w:pPr>
              <w:pStyle w:val="TableBullet1"/>
            </w:pPr>
            <w:r>
              <w:t>headspace services</w:t>
            </w:r>
            <w:r w:rsidRPr="001D6913">
              <w:t xml:space="preserve"> – hMIF (hAPI data for hMIF assessments</w:t>
            </w:r>
            <w:r>
              <w:t>)</w:t>
            </w:r>
            <w:r w:rsidRPr="001D6913">
              <w:t xml:space="preserve"> </w:t>
            </w:r>
          </w:p>
          <w:p w14:paraId="2F0B3FCC" w14:textId="4A455F19" w:rsidR="00105A8D" w:rsidRPr="001D6913" w:rsidRDefault="00105A8D" w:rsidP="00301A4D">
            <w:pPr>
              <w:pStyle w:val="TableBullet1"/>
            </w:pPr>
            <w:r w:rsidRPr="001D6913">
              <w:t xml:space="preserve">Peer Groups and Benchmarking (compare </w:t>
            </w:r>
            <w:r w:rsidR="00047E98">
              <w:t>service</w:t>
            </w:r>
            <w:r w:rsidRPr="001D6913">
              <w:t xml:space="preserve"> against other </w:t>
            </w:r>
            <w:r w:rsidR="00B81994">
              <w:t>service</w:t>
            </w:r>
            <w:r w:rsidRPr="001D6913">
              <w:t>s in peer group)</w:t>
            </w:r>
          </w:p>
          <w:p w14:paraId="5D9B389E" w14:textId="124E72F3" w:rsidR="00105A8D" w:rsidRPr="001D6913" w:rsidRDefault="00105A8D" w:rsidP="00301A4D">
            <w:pPr>
              <w:pStyle w:val="TableBullet1"/>
            </w:pPr>
            <w:r w:rsidRPr="001D6913">
              <w:t>PMHC-MDS Summary (high level summary of data that is uploaded to PMHC-MDS)</w:t>
            </w:r>
          </w:p>
        </w:tc>
      </w:tr>
      <w:tr w:rsidR="00105A8D" w:rsidRPr="00F34AFA" w14:paraId="794B5940" w14:textId="77777777" w:rsidTr="6B2B892A">
        <w:trPr>
          <w:jc w:val="center"/>
        </w:trPr>
        <w:tc>
          <w:tcPr>
            <w:tcW w:w="1563" w:type="pct"/>
            <w:tcBorders>
              <w:top w:val="single" w:sz="4" w:space="0" w:color="00338D" w:themeColor="background2"/>
              <w:bottom w:val="single" w:sz="2" w:space="0" w:color="808080" w:themeColor="background1" w:themeShade="80"/>
            </w:tcBorders>
          </w:tcPr>
          <w:p w14:paraId="4664AD40" w14:textId="0BE17663" w:rsidR="00105A8D" w:rsidRPr="001D6913" w:rsidRDefault="00105A8D" w:rsidP="00F95AAC">
            <w:pPr>
              <w:pStyle w:val="Tabletext"/>
            </w:pPr>
            <w:r w:rsidRPr="001D6913">
              <w:t xml:space="preserve">Topic </w:t>
            </w:r>
            <w:r w:rsidR="008B7A89">
              <w:t>r</w:t>
            </w:r>
            <w:r w:rsidRPr="001D6913">
              <w:t>eports (present data based on different themes and topics)</w:t>
            </w:r>
          </w:p>
        </w:tc>
        <w:tc>
          <w:tcPr>
            <w:tcW w:w="3437" w:type="pct"/>
            <w:tcBorders>
              <w:top w:val="single" w:sz="4" w:space="0" w:color="00338D" w:themeColor="background2"/>
              <w:bottom w:val="single" w:sz="2" w:space="0" w:color="808080" w:themeColor="background1" w:themeShade="80"/>
            </w:tcBorders>
          </w:tcPr>
          <w:p w14:paraId="1F5741ED" w14:textId="77777777" w:rsidR="00105A8D" w:rsidRPr="001D6913" w:rsidRDefault="00105A8D" w:rsidP="00F95AAC">
            <w:pPr>
              <w:pStyle w:val="Tabletext"/>
            </w:pPr>
            <w:r w:rsidRPr="001D6913">
              <w:t xml:space="preserve">Examples include: </w:t>
            </w:r>
          </w:p>
          <w:p w14:paraId="7188D41F" w14:textId="0885DB52" w:rsidR="00105A8D" w:rsidRPr="001D6913" w:rsidRDefault="00105A8D" w:rsidP="00301A4D">
            <w:pPr>
              <w:pStyle w:val="TableBullet1"/>
            </w:pPr>
            <w:r w:rsidRPr="001D6913">
              <w:t xml:space="preserve">Family and Friends 2016-2021 (report from Family and Friends Survey 2016-21) </w:t>
            </w:r>
          </w:p>
          <w:p w14:paraId="293E9DDA" w14:textId="5D55E330" w:rsidR="00105A8D" w:rsidRPr="001D6913" w:rsidRDefault="00105A8D" w:rsidP="00301A4D">
            <w:pPr>
              <w:pStyle w:val="TableBullet1"/>
            </w:pPr>
            <w:r>
              <w:t>headspace services</w:t>
            </w:r>
            <w:r w:rsidRPr="001D6913">
              <w:t xml:space="preserve"> – Funding Source (reporting based on the </w:t>
            </w:r>
            <w:r w:rsidR="00F02CF1">
              <w:t>f</w:t>
            </w:r>
            <w:r w:rsidRPr="001D6913">
              <w:t xml:space="preserve">unding </w:t>
            </w:r>
            <w:r w:rsidR="00F02CF1">
              <w:t>s</w:t>
            </w:r>
            <w:r w:rsidRPr="001D6913">
              <w:t>ource</w:t>
            </w:r>
            <w:r>
              <w:t xml:space="preserve"> hMDS</w:t>
            </w:r>
            <w:r w:rsidRPr="001D6913">
              <w:t xml:space="preserve"> item) </w:t>
            </w:r>
          </w:p>
          <w:p w14:paraId="623A7FF2" w14:textId="5095BF4E" w:rsidR="00105A8D" w:rsidRPr="001D6913" w:rsidRDefault="00105A8D" w:rsidP="00301A4D">
            <w:pPr>
              <w:pStyle w:val="TableBullet1"/>
            </w:pPr>
            <w:r>
              <w:t>headspace services</w:t>
            </w:r>
            <w:r w:rsidRPr="001D6913">
              <w:t xml:space="preserve"> – Vocational (reporting on </w:t>
            </w:r>
            <w:r w:rsidR="00F02CF1">
              <w:t>v</w:t>
            </w:r>
            <w:r w:rsidRPr="001D6913">
              <w:t xml:space="preserve">ocational services </w:t>
            </w:r>
            <w:r w:rsidR="00B81994">
              <w:t>provided</w:t>
            </w:r>
            <w:r w:rsidRPr="001D6913">
              <w:t>)</w:t>
            </w:r>
          </w:p>
        </w:tc>
      </w:tr>
    </w:tbl>
    <w:p w14:paraId="5AABF37F" w14:textId="77777777" w:rsidR="00105A8D" w:rsidRPr="001D6913" w:rsidRDefault="00105A8D" w:rsidP="00105A8D">
      <w:pPr>
        <w:pStyle w:val="Source"/>
      </w:pPr>
      <w:r w:rsidRPr="001D6913">
        <w:t>Source</w:t>
      </w:r>
      <w:r>
        <w:t>:</w:t>
      </w:r>
      <w:r w:rsidRPr="001D6913">
        <w:t xml:space="preserve"> Screenshot of dashboard tool provided by headspace National</w:t>
      </w:r>
    </w:p>
    <w:p w14:paraId="11A923BC" w14:textId="77777777" w:rsidR="00105A8D" w:rsidRDefault="00105A8D" w:rsidP="00AD6B05">
      <w:pPr>
        <w:pStyle w:val="Heading5"/>
        <w:keepLines/>
      </w:pPr>
      <w:r>
        <w:t>headspace National evaluation activities</w:t>
      </w:r>
      <w:r w:rsidRPr="001D6913">
        <w:t xml:space="preserve"> </w:t>
      </w:r>
    </w:p>
    <w:p w14:paraId="20CC998C" w14:textId="2415DAE7" w:rsidR="00105A8D" w:rsidRDefault="00105A8D" w:rsidP="00AD6B05">
      <w:pPr>
        <w:pStyle w:val="BodyText"/>
        <w:keepNext/>
        <w:keepLines/>
      </w:pPr>
      <w:r>
        <w:t xml:space="preserve">headspace National updates its detailed </w:t>
      </w:r>
      <w:r w:rsidRPr="001D6913">
        <w:t xml:space="preserve">program logic and research and evaluation strategy every three years. </w:t>
      </w:r>
      <w:r>
        <w:t xml:space="preserve">headspace National also has a partnership with Orygen, </w:t>
      </w:r>
      <w:r w:rsidRPr="00F04A56">
        <w:t xml:space="preserve">which </w:t>
      </w:r>
      <w:r w:rsidR="00AD6B05">
        <w:t xml:space="preserve">reinforces research and evaluation activities with a focus on understanding the mental health needs </w:t>
      </w:r>
      <w:r w:rsidRPr="00F04A56">
        <w:t>of young people and the most effective interventions and systems of care</w:t>
      </w:r>
      <w:r w:rsidR="00AD6B05">
        <w:t xml:space="preserve"> to meet their needs</w:t>
      </w:r>
      <w:r w:rsidR="00CC0438">
        <w:rPr>
          <w:rFonts w:ascii="ZWAdobeF" w:hAnsi="ZWAdobeF" w:cs="ZWAdobeF"/>
          <w:sz w:val="2"/>
          <w:szCs w:val="2"/>
        </w:rPr>
        <w:t>94F</w:t>
      </w:r>
      <w:r>
        <w:rPr>
          <w:rStyle w:val="FootnoteReference"/>
        </w:rPr>
        <w:footnoteReference w:id="96"/>
      </w:r>
      <w:r>
        <w:t>.</w:t>
      </w:r>
    </w:p>
    <w:p w14:paraId="642B56D1" w14:textId="23BF0E11" w:rsidR="00105A8D" w:rsidRDefault="00105A8D" w:rsidP="00105A8D">
      <w:pPr>
        <w:pStyle w:val="BodyText"/>
      </w:pPr>
      <w:r>
        <w:t>The headspace National Strategy, Impact and Policy division consults internally and draws from the organisational strategy to develop the Evidence Building Strategy. This sets the internal agenda to create new knowledge, evaluate headspace services, comprehensively monitor progress, and support the use of evidence through effective knowledge transfer</w:t>
      </w:r>
      <w:r w:rsidR="00CC0438">
        <w:rPr>
          <w:rFonts w:ascii="ZWAdobeF" w:hAnsi="ZWAdobeF" w:cs="ZWAdobeF"/>
          <w:sz w:val="2"/>
          <w:szCs w:val="2"/>
        </w:rPr>
        <w:t>95F</w:t>
      </w:r>
      <w:r w:rsidRPr="001D6913">
        <w:rPr>
          <w:rStyle w:val="FootnoteReference"/>
        </w:rPr>
        <w:footnoteReference w:id="97"/>
      </w:r>
      <w:r w:rsidR="00596F3B" w:rsidRPr="00596F3B">
        <w:rPr>
          <w:vertAlign w:val="superscript"/>
        </w:rPr>
        <w:t>,</w:t>
      </w:r>
      <w:r w:rsidR="00CC0438">
        <w:rPr>
          <w:rFonts w:ascii="ZWAdobeF" w:hAnsi="ZWAdobeF" w:cs="ZWAdobeF"/>
          <w:sz w:val="2"/>
          <w:szCs w:val="2"/>
        </w:rPr>
        <w:t>96F</w:t>
      </w:r>
      <w:r>
        <w:rPr>
          <w:rStyle w:val="FootnoteReference"/>
        </w:rPr>
        <w:footnoteReference w:id="98"/>
      </w:r>
      <w:r>
        <w:t xml:space="preserve">. </w:t>
      </w:r>
    </w:p>
    <w:p w14:paraId="6DAE6A49" w14:textId="77777777" w:rsidR="00105A8D" w:rsidRPr="001D6913" w:rsidRDefault="00105A8D" w:rsidP="00105A8D">
      <w:pPr>
        <w:pStyle w:val="BodyText"/>
      </w:pPr>
      <w:r w:rsidRPr="001D6913">
        <w:t xml:space="preserve">A program logic and monitoring and evaluation framework is developed by </w:t>
      </w:r>
      <w:r>
        <w:t>headspace National</w:t>
      </w:r>
      <w:r w:rsidRPr="001D6913">
        <w:t xml:space="preserve"> for each of the headspace programs. Each of the programs are evaluated internally by </w:t>
      </w:r>
      <w:r>
        <w:t>headspace National</w:t>
      </w:r>
      <w:r w:rsidRPr="001D6913">
        <w:t xml:space="preserve"> using these frameworks to determine whether the program</w:t>
      </w:r>
      <w:r>
        <w:t xml:space="preserve"> or </w:t>
      </w:r>
      <w:r w:rsidRPr="001D6913">
        <w:t>services are meeting their implementation and outcome objectives, with the aim to improve program</w:t>
      </w:r>
      <w:r>
        <w:t xml:space="preserve"> and </w:t>
      </w:r>
      <w:r w:rsidRPr="001D6913">
        <w:t>service delivery and outcomes.</w:t>
      </w:r>
      <w:r>
        <w:t xml:space="preserve"> </w:t>
      </w:r>
    </w:p>
    <w:p w14:paraId="573074F8" w14:textId="738B5859" w:rsidR="00105A8D" w:rsidRPr="001D6913" w:rsidRDefault="00105A8D" w:rsidP="00105A8D">
      <w:pPr>
        <w:pStyle w:val="BodyText"/>
      </w:pPr>
      <w:r w:rsidRPr="001D6913">
        <w:t>For each evaluation,</w:t>
      </w:r>
      <w:r>
        <w:t xml:space="preserve"> hMDS</w:t>
      </w:r>
      <w:r w:rsidRPr="001D6913">
        <w:t xml:space="preserve"> </w:t>
      </w:r>
      <w:r>
        <w:t xml:space="preserve">data is augmented as required using bespoke surveys to collect data from young people or </w:t>
      </w:r>
      <w:r w:rsidR="000933BA">
        <w:t xml:space="preserve">headspace </w:t>
      </w:r>
      <w:r w:rsidR="007178E2">
        <w:t xml:space="preserve">service </w:t>
      </w:r>
      <w:r w:rsidR="005F23C6">
        <w:t>staff</w:t>
      </w:r>
      <w:r w:rsidRPr="001D6913">
        <w:t xml:space="preserve">. Internal evaluations and research are shared with the headspace centre network. </w:t>
      </w:r>
      <w:r>
        <w:t>headspace National</w:t>
      </w:r>
      <w:r w:rsidRPr="001D6913">
        <w:t xml:space="preserve"> also commission</w:t>
      </w:r>
      <w:r>
        <w:t>s</w:t>
      </w:r>
      <w:r w:rsidRPr="001D6913">
        <w:t xml:space="preserve"> other entities to collect data and </w:t>
      </w:r>
      <w:r>
        <w:t>conduct</w:t>
      </w:r>
      <w:r w:rsidRPr="001D6913">
        <w:t xml:space="preserve"> research to support </w:t>
      </w:r>
      <w:r>
        <w:t xml:space="preserve">its </w:t>
      </w:r>
      <w:r w:rsidRPr="001D6913">
        <w:t>evaluation activities. Selected evaluations and research projects are published on the headspace website or in peer-reviewed journal articles</w:t>
      </w:r>
      <w:r w:rsidR="00CC0438">
        <w:rPr>
          <w:rFonts w:ascii="ZWAdobeF" w:hAnsi="ZWAdobeF" w:cs="ZWAdobeF"/>
          <w:sz w:val="2"/>
          <w:szCs w:val="2"/>
        </w:rPr>
        <w:t>97F</w:t>
      </w:r>
      <w:r>
        <w:rPr>
          <w:rStyle w:val="FootnoteReference"/>
        </w:rPr>
        <w:footnoteReference w:id="99"/>
      </w:r>
      <w:r>
        <w:t xml:space="preserve">. </w:t>
      </w:r>
      <w:r w:rsidRPr="001D6913">
        <w:t xml:space="preserve">Evaluation activity </w:t>
      </w:r>
      <w:r>
        <w:t xml:space="preserve">also </w:t>
      </w:r>
      <w:r w:rsidRPr="001D6913">
        <w:t xml:space="preserve">allows </w:t>
      </w:r>
      <w:r>
        <w:t>headspace National</w:t>
      </w:r>
      <w:r w:rsidRPr="001D6913">
        <w:t xml:space="preserve"> to demonstrate and report on program delivery and effectiveness to the </w:t>
      </w:r>
      <w:r w:rsidR="007F3889">
        <w:t>d</w:t>
      </w:r>
      <w:r w:rsidRPr="001D6913">
        <w:t xml:space="preserve">epartment and other funders. </w:t>
      </w:r>
    </w:p>
    <w:p w14:paraId="79043112" w14:textId="77777777" w:rsidR="00105A8D" w:rsidRDefault="00105A8D" w:rsidP="00105A8D">
      <w:pPr>
        <w:pStyle w:val="Heading4"/>
      </w:pPr>
      <w:r>
        <w:t xml:space="preserve">headspace services measurement and reporting activities </w:t>
      </w:r>
    </w:p>
    <w:p w14:paraId="30DB7DB8" w14:textId="2200F6C9" w:rsidR="00105A8D" w:rsidRPr="001D6913" w:rsidRDefault="00105A8D" w:rsidP="00105A8D">
      <w:pPr>
        <w:pStyle w:val="BodyText"/>
      </w:pPr>
      <w:r>
        <w:t>headspace services actively collect and apply the data in the hMIF as part of their operations. Under the hMIF,</w:t>
      </w:r>
      <w:r w:rsidRPr="001D6913">
        <w:t xml:space="preserve"> </w:t>
      </w:r>
      <w:r w:rsidR="00AD6B05">
        <w:t>services</w:t>
      </w:r>
      <w:r w:rsidRPr="001D6913" w:rsidDel="00AD6B05">
        <w:t xml:space="preserve"> </w:t>
      </w:r>
      <w:r>
        <w:t xml:space="preserve">are also required </w:t>
      </w:r>
      <w:r w:rsidRPr="001D6913">
        <w:t>to use the information provided through the dashboard tool and quarterly reports to undertake their own evaluations to improve performance and engage in a cycle of continuous quality improvement. Each</w:t>
      </w:r>
      <w:r w:rsidRPr="001D6913" w:rsidDel="00AD6B05">
        <w:t xml:space="preserve"> </w:t>
      </w:r>
      <w:r w:rsidR="00AD6B05">
        <w:t>service</w:t>
      </w:r>
      <w:r w:rsidRPr="001D6913">
        <w:t xml:space="preserve"> is assessed on </w:t>
      </w:r>
      <w:r>
        <w:t>its</w:t>
      </w:r>
      <w:r w:rsidRPr="00264C8C">
        <w:t xml:space="preserve"> ability to demonstrate </w:t>
      </w:r>
      <w:r w:rsidRPr="001D6913">
        <w:t>this as part of the hMIF accreditation process.</w:t>
      </w:r>
      <w:r>
        <w:t xml:space="preserve"> </w:t>
      </w:r>
      <w:r w:rsidR="00AD6B05">
        <w:t>Service</w:t>
      </w:r>
      <w:r w:rsidR="00AD6B05" w:rsidRPr="00F04A56">
        <w:t>s</w:t>
      </w:r>
      <w:r w:rsidRPr="00F04A56">
        <w:t xml:space="preserve"> are </w:t>
      </w:r>
      <w:r>
        <w:t xml:space="preserve">also required </w:t>
      </w:r>
      <w:r w:rsidRPr="00F04A56">
        <w:t xml:space="preserve">to </w:t>
      </w:r>
      <w:r>
        <w:t xml:space="preserve">participate </w:t>
      </w:r>
      <w:r w:rsidRPr="00F04A56">
        <w:t xml:space="preserve">in </w:t>
      </w:r>
      <w:r>
        <w:t>broader headspace National evaluations, where relevant to them.</w:t>
      </w:r>
    </w:p>
    <w:p w14:paraId="6F72D12F" w14:textId="4827DF13" w:rsidR="00105A8D" w:rsidRPr="001D6913" w:rsidRDefault="00105A8D" w:rsidP="00105A8D">
      <w:pPr>
        <w:pStyle w:val="BodyText"/>
      </w:pPr>
      <w:r>
        <w:t xml:space="preserve">The hMIF accreditation process, as described in Section </w:t>
      </w:r>
      <w:r w:rsidR="00AC74F8">
        <w:fldChar w:fldCharType="begin" w:fldLock="1"/>
      </w:r>
      <w:r w:rsidR="00AC74F8">
        <w:instrText xml:space="preserve"> REF _Ref98365279 \w \h </w:instrText>
      </w:r>
      <w:r w:rsidR="00AC74F8">
        <w:fldChar w:fldCharType="separate"/>
      </w:r>
      <w:r w:rsidR="00AE4D34">
        <w:t>2.4.2</w:t>
      </w:r>
      <w:r w:rsidR="00AC74F8">
        <w:fldChar w:fldCharType="end"/>
      </w:r>
      <w:r>
        <w:t xml:space="preserve"> above</w:t>
      </w:r>
      <w:r w:rsidR="00FC2046">
        <w:t>,</w:t>
      </w:r>
      <w:r>
        <w:t xml:space="preserve"> </w:t>
      </w:r>
      <w:r w:rsidRPr="00227831">
        <w:t>provid</w:t>
      </w:r>
      <w:r>
        <w:t>es</w:t>
      </w:r>
      <w:r w:rsidRPr="00227831">
        <w:t xml:space="preserve"> an opportunity </w:t>
      </w:r>
      <w:r>
        <w:t xml:space="preserve">for </w:t>
      </w:r>
      <w:r w:rsidR="00B81994">
        <w:t>service</w:t>
      </w:r>
      <w:r>
        <w:t xml:space="preserve">s </w:t>
      </w:r>
      <w:r w:rsidRPr="00227831">
        <w:t xml:space="preserve">to learn from best practice and service innovation and </w:t>
      </w:r>
      <w:r>
        <w:t xml:space="preserve">allows headspace National to </w:t>
      </w:r>
      <w:r w:rsidRPr="00227831">
        <w:t>disseminate knowledge across the service network.</w:t>
      </w:r>
      <w:r>
        <w:t xml:space="preserve"> At the same time, centre managers work on an ongoing basis with their clinical leads, consortium partners and PHN commissioning staff to respond to trends in the data, using these to drive staffing and scheduling decisions and to guide service offerings and program responses to changes in presenting need.</w:t>
      </w:r>
    </w:p>
    <w:p w14:paraId="22CFF402" w14:textId="77777777" w:rsidR="00105A8D" w:rsidRPr="001D6913" w:rsidRDefault="00105A8D" w:rsidP="00105A8D">
      <w:pPr>
        <w:pStyle w:val="Heading4"/>
      </w:pPr>
      <w:r w:rsidRPr="001D6913">
        <w:t>PHN</w:t>
      </w:r>
      <w:r>
        <w:t xml:space="preserve"> measurement and reporting activities</w:t>
      </w:r>
    </w:p>
    <w:p w14:paraId="1ED0B4FD" w14:textId="5961ED84" w:rsidR="00105A8D" w:rsidRPr="001D6913" w:rsidRDefault="00105A8D" w:rsidP="00105A8D">
      <w:pPr>
        <w:pStyle w:val="BodyText"/>
      </w:pPr>
      <w:r>
        <w:t xml:space="preserve">In their commissioning role, PHNs review </w:t>
      </w:r>
      <w:r w:rsidRPr="001D6913">
        <w:t>six monthly performance reports</w:t>
      </w:r>
      <w:r>
        <w:t xml:space="preserve"> from </w:t>
      </w:r>
      <w:r w:rsidR="00AD6B05">
        <w:t>services</w:t>
      </w:r>
      <w:r w:rsidR="00ED7AA4">
        <w:t xml:space="preserve">. </w:t>
      </w:r>
      <w:r>
        <w:t>They also require</w:t>
      </w:r>
      <w:r w:rsidDel="00AD6B05">
        <w:t xml:space="preserve"> </w:t>
      </w:r>
      <w:r w:rsidR="00AD6B05">
        <w:t>services</w:t>
      </w:r>
      <w:r>
        <w:t xml:space="preserve"> to provide regular financial reporting under their funding agreements. </w:t>
      </w:r>
      <w:r w:rsidRPr="001D6913">
        <w:t xml:space="preserve">Each PHN conducts its own regional level needs analysis and </w:t>
      </w:r>
      <w:r>
        <w:t xml:space="preserve">determines its key </w:t>
      </w:r>
      <w:r w:rsidRPr="001D6913">
        <w:t xml:space="preserve">priorities. </w:t>
      </w:r>
      <w:r>
        <w:t xml:space="preserve">This translates into each PHN having its own priorities and focus for its region and this, in turn, means that </w:t>
      </w:r>
      <w:r w:rsidRPr="001D6913">
        <w:t>performance report</w:t>
      </w:r>
      <w:r>
        <w:t xml:space="preserve">ing requirements on </w:t>
      </w:r>
      <w:r w:rsidR="00B81994">
        <w:t>service</w:t>
      </w:r>
      <w:r>
        <w:t xml:space="preserve">s </w:t>
      </w:r>
      <w:r w:rsidRPr="001D6913">
        <w:t>differ by PHN</w:t>
      </w:r>
      <w:r>
        <w:t xml:space="preserve">. In general, reports to PHNs are </w:t>
      </w:r>
      <w:r w:rsidRPr="001D6913">
        <w:t xml:space="preserve">qualitative in nature, with a focus on outcomes and achievements against work plans. </w:t>
      </w:r>
      <w:r w:rsidR="00385498">
        <w:t>Typically</w:t>
      </w:r>
      <w:r w:rsidR="00ED7AA4">
        <w:t>,</w:t>
      </w:r>
      <w:r w:rsidRPr="001D6913">
        <w:t xml:space="preserve"> these reports include information on consortium arrangements, service improvement activities, staffing profiles and partnerships and networks</w:t>
      </w:r>
      <w:r>
        <w:t xml:space="preserve"> across the local community sector</w:t>
      </w:r>
      <w:r w:rsidRPr="001D6913">
        <w:t xml:space="preserve">. </w:t>
      </w:r>
    </w:p>
    <w:p w14:paraId="47BC1398" w14:textId="77777777" w:rsidR="00105A8D" w:rsidRPr="001D6913" w:rsidRDefault="00105A8D" w:rsidP="00105A8D">
      <w:pPr>
        <w:pStyle w:val="BodyText"/>
      </w:pPr>
      <w:r w:rsidRPr="001D6913">
        <w:t xml:space="preserve">PHNs have access to the data collected through hAPI through the online dashboard tool </w:t>
      </w:r>
      <w:r>
        <w:t xml:space="preserve">provided </w:t>
      </w:r>
      <w:r w:rsidRPr="001D6913">
        <w:t>by headspace National</w:t>
      </w:r>
      <w:r>
        <w:t>, as well as the hMDS data uploaded to the PHMC-MDS.</w:t>
      </w:r>
      <w:r w:rsidRPr="001D6913">
        <w:t xml:space="preserve"> PHNs can review this data for all </w:t>
      </w:r>
      <w:r>
        <w:t>headspace services</w:t>
      </w:r>
      <w:r w:rsidRPr="001D6913">
        <w:t xml:space="preserve"> in their region. </w:t>
      </w:r>
    </w:p>
    <w:p w14:paraId="15488537" w14:textId="3F4B224C" w:rsidR="00105A8D" w:rsidRPr="001D6913" w:rsidRDefault="00105A8D" w:rsidP="00105A8D">
      <w:pPr>
        <w:pStyle w:val="BodyText"/>
      </w:pPr>
      <w:r>
        <w:t xml:space="preserve">Alongside these activities, </w:t>
      </w:r>
      <w:r w:rsidRPr="001D6913">
        <w:t xml:space="preserve">PHNs also report on headspace </w:t>
      </w:r>
      <w:r w:rsidR="00B81994">
        <w:t>service</w:t>
      </w:r>
      <w:r w:rsidRPr="001D6913">
        <w:t xml:space="preserve"> </w:t>
      </w:r>
      <w:r>
        <w:t>key performance indicators (</w:t>
      </w:r>
      <w:r w:rsidRPr="001D6913">
        <w:t>KPIs</w:t>
      </w:r>
      <w:r>
        <w:t>)</w:t>
      </w:r>
      <w:r w:rsidRPr="001D6913">
        <w:t xml:space="preserve"> to their PHN Boards. Some of these KPIs are set by </w:t>
      </w:r>
      <w:r w:rsidR="00EC1F7D">
        <w:t>government</w:t>
      </w:r>
      <w:r w:rsidRPr="001D6913">
        <w:t xml:space="preserve">, and some are created by PHNs </w:t>
      </w:r>
      <w:r w:rsidR="004E5CFA">
        <w:t>reflecting</w:t>
      </w:r>
      <w:r w:rsidRPr="001D6913">
        <w:t xml:space="preserve"> regional priorities.</w:t>
      </w:r>
      <w:r>
        <w:t xml:space="preserve"> </w:t>
      </w:r>
      <w:r w:rsidR="00ED7AA4">
        <w:t>T</w:t>
      </w:r>
      <w:r w:rsidR="00ED7AA4" w:rsidRPr="001D6913">
        <w:t>o share knowledge</w:t>
      </w:r>
      <w:r w:rsidR="00ED7AA4">
        <w:t>,</w:t>
      </w:r>
      <w:r w:rsidR="00ED7AA4" w:rsidRPr="001D6913">
        <w:t xml:space="preserve"> </w:t>
      </w:r>
      <w:r w:rsidRPr="001D6913">
        <w:t>PHNs also foster continuous improvement activities through holding regular joint meetings with commissioned service providers in the</w:t>
      </w:r>
      <w:r>
        <w:t>ir</w:t>
      </w:r>
      <w:r w:rsidRPr="001D6913">
        <w:t xml:space="preserve"> region</w:t>
      </w:r>
      <w:r>
        <w:t>s</w:t>
      </w:r>
      <w:r w:rsidRPr="001D6913">
        <w:t xml:space="preserve">. The </w:t>
      </w:r>
      <w:r w:rsidR="00504D14">
        <w:t>frequency of these meetings</w:t>
      </w:r>
      <w:r w:rsidRPr="001D6913">
        <w:t xml:space="preserve"> depends on the PHN. </w:t>
      </w:r>
    </w:p>
    <w:p w14:paraId="1A2B3E0A" w14:textId="71ED7B58" w:rsidR="00105A8D" w:rsidRPr="001D6913" w:rsidRDefault="00105A8D" w:rsidP="00105A8D">
      <w:pPr>
        <w:pStyle w:val="Heading4"/>
      </w:pPr>
      <w:r w:rsidRPr="001D6913">
        <w:t xml:space="preserve">Lead </w:t>
      </w:r>
      <w:r>
        <w:t>agencies</w:t>
      </w:r>
      <w:r w:rsidR="00ED7AA4">
        <w:t>’</w:t>
      </w:r>
      <w:r>
        <w:t xml:space="preserve"> measurement and reporting activities</w:t>
      </w:r>
    </w:p>
    <w:p w14:paraId="07F7BBCF" w14:textId="77777777" w:rsidR="00105A8D" w:rsidRPr="001D6913" w:rsidRDefault="00105A8D" w:rsidP="00105A8D">
      <w:pPr>
        <w:pStyle w:val="BodyText"/>
      </w:pPr>
      <w:r>
        <w:t>Each lead agency, as the entity operating a headspace service, has its own internal measurement and reporting requirements.</w:t>
      </w:r>
      <w:r w:rsidRPr="00F00FF5">
        <w:t xml:space="preserve"> </w:t>
      </w:r>
      <w:r w:rsidRPr="001D6913">
        <w:t xml:space="preserve">Lead </w:t>
      </w:r>
      <w:r>
        <w:t>a</w:t>
      </w:r>
      <w:r w:rsidRPr="001D6913">
        <w:t>gencies</w:t>
      </w:r>
      <w:r>
        <w:t xml:space="preserve"> are</w:t>
      </w:r>
      <w:r w:rsidRPr="001D6913">
        <w:t xml:space="preserve"> </w:t>
      </w:r>
      <w:r w:rsidRPr="001D6913">
        <w:rPr>
          <w:lang w:eastAsia="en-AU"/>
        </w:rPr>
        <w:t xml:space="preserve">legally, operationally and clinically responsible and accountable for the </w:t>
      </w:r>
      <w:r>
        <w:rPr>
          <w:lang w:eastAsia="en-AU"/>
        </w:rPr>
        <w:t>servic</w:t>
      </w:r>
      <w:r w:rsidRPr="001D6913">
        <w:rPr>
          <w:lang w:eastAsia="en-AU"/>
        </w:rPr>
        <w:t>e</w:t>
      </w:r>
      <w:r>
        <w:rPr>
          <w:lang w:eastAsia="en-AU"/>
        </w:rPr>
        <w:t>, and must report to their</w:t>
      </w:r>
      <w:r w:rsidRPr="001D6913">
        <w:t xml:space="preserve"> clinical governance boards or committees on matters pertaining to care and client related issues, who then report to the </w:t>
      </w:r>
      <w:r>
        <w:t>lead agen</w:t>
      </w:r>
      <w:r w:rsidRPr="001D6913">
        <w:t>cy Board.</w:t>
      </w:r>
      <w:r>
        <w:t xml:space="preserve"> In general, reporting </w:t>
      </w:r>
      <w:r w:rsidRPr="001D6913">
        <w:t>covers operations, budgeting, and clinical outcomes. T</w:t>
      </w:r>
      <w:r>
        <w:t>he content of this reporting is determined by the lead agen</w:t>
      </w:r>
      <w:r w:rsidRPr="001D6913">
        <w:t xml:space="preserve">cy </w:t>
      </w:r>
      <w:r>
        <w:t>and varies across lead agencies.</w:t>
      </w:r>
      <w:r w:rsidRPr="003910D3">
        <w:t xml:space="preserve"> </w:t>
      </w:r>
    </w:p>
    <w:p w14:paraId="45ECB430" w14:textId="1555496F" w:rsidR="00105A8D" w:rsidRPr="001D6913" w:rsidRDefault="00105A8D" w:rsidP="00105A8D">
      <w:pPr>
        <w:pStyle w:val="BodyText"/>
      </w:pPr>
      <w:r w:rsidRPr="001D6913">
        <w:t xml:space="preserve">Lead </w:t>
      </w:r>
      <w:r>
        <w:t>a</w:t>
      </w:r>
      <w:r w:rsidRPr="001D6913">
        <w:t xml:space="preserve">gencies also have access to the dashboard tool maintained by </w:t>
      </w:r>
      <w:r>
        <w:t xml:space="preserve">headspace National, giving visibility of all services that they operate. They actively engage with </w:t>
      </w:r>
      <w:r w:rsidR="008A6949">
        <w:t>headspace</w:t>
      </w:r>
      <w:r w:rsidR="00F538D8">
        <w:t xml:space="preserve"> </w:t>
      </w:r>
      <w:r w:rsidR="00B81994">
        <w:t>service</w:t>
      </w:r>
      <w:r>
        <w:t xml:space="preserve"> management to guide decision making at the </w:t>
      </w:r>
      <w:r w:rsidR="00B81994">
        <w:t>service</w:t>
      </w:r>
      <w:r>
        <w:t xml:space="preserve"> level about priority actions and focus areas emerging from themes in the service data.</w:t>
      </w:r>
    </w:p>
    <w:p w14:paraId="24C973ED" w14:textId="77777777" w:rsidR="00105A8D" w:rsidRPr="001D6913" w:rsidRDefault="00105A8D" w:rsidP="00105A8D">
      <w:pPr>
        <w:pStyle w:val="Heading4"/>
      </w:pPr>
      <w:r w:rsidRPr="001D6913">
        <w:t>Consortium</w:t>
      </w:r>
      <w:r>
        <w:t xml:space="preserve"> measurement and reporting</w:t>
      </w:r>
    </w:p>
    <w:p w14:paraId="5F710072" w14:textId="011290B2" w:rsidR="00105A8D" w:rsidRPr="001D6913" w:rsidRDefault="00105A8D" w:rsidP="00105A8D">
      <w:pPr>
        <w:pStyle w:val="BodyText"/>
      </w:pPr>
      <w:r w:rsidRPr="001D6913">
        <w:t xml:space="preserve">Some </w:t>
      </w:r>
      <w:r>
        <w:t>headspace services</w:t>
      </w:r>
      <w:r w:rsidRPr="001D6913">
        <w:t xml:space="preserve"> report to their consortium members, often on a quarterly basis. These reports will differ depending on the </w:t>
      </w:r>
      <w:r w:rsidR="008A6949">
        <w:t>headspace</w:t>
      </w:r>
      <w:r w:rsidRPr="001D6913">
        <w:t xml:space="preserve"> </w:t>
      </w:r>
      <w:r w:rsidR="00B81994">
        <w:t>service</w:t>
      </w:r>
      <w:r w:rsidR="00635044">
        <w:t>’s</w:t>
      </w:r>
      <w:r w:rsidRPr="001D6913">
        <w:t xml:space="preserve"> arrangements, but often provide information on what the </w:t>
      </w:r>
      <w:r w:rsidR="00B81994">
        <w:t>service</w:t>
      </w:r>
      <w:r w:rsidRPr="001D6913">
        <w:t xml:space="preserve"> has focused on in the quarter, clinical services data, summaries of program activities and community engagement activities.</w:t>
      </w:r>
    </w:p>
    <w:p w14:paraId="0D2AFBD8" w14:textId="77777777" w:rsidR="00105A8D" w:rsidRPr="001D6913" w:rsidRDefault="00105A8D" w:rsidP="00105A8D">
      <w:pPr>
        <w:pStyle w:val="Heading4"/>
      </w:pPr>
      <w:r>
        <w:t>Measurement and reporting for o</w:t>
      </w:r>
      <w:r w:rsidRPr="001D6913">
        <w:t>ther organisations</w:t>
      </w:r>
    </w:p>
    <w:p w14:paraId="450C4C8F" w14:textId="3344043C" w:rsidR="00105A8D" w:rsidRPr="001D6913" w:rsidRDefault="00105A8D" w:rsidP="00105A8D">
      <w:pPr>
        <w:pStyle w:val="BodyText"/>
      </w:pPr>
      <w:r>
        <w:t>One of the enabling components of the headspace model is blended funding, to help support the sustainability of the model. In practice, this means</w:t>
      </w:r>
      <w:r w:rsidRPr="001D6913">
        <w:t xml:space="preserve"> </w:t>
      </w:r>
      <w:r>
        <w:t xml:space="preserve">headspace </w:t>
      </w:r>
      <w:r w:rsidR="00D56A14">
        <w:t xml:space="preserve">lead agencies </w:t>
      </w:r>
      <w:r>
        <w:t xml:space="preserve">bid for funding from a range of sources, including through state and territory government programs, as well as philanthropic channels. </w:t>
      </w:r>
      <w:r w:rsidR="0054315F">
        <w:t>Funding secured through these sources</w:t>
      </w:r>
      <w:r w:rsidR="00ED7AA4">
        <w:t xml:space="preserve"> </w:t>
      </w:r>
      <w:r>
        <w:t>generally req</w:t>
      </w:r>
      <w:r w:rsidRPr="001D6913">
        <w:t xml:space="preserve">uires a level of reporting for acquittal purposes. </w:t>
      </w:r>
    </w:p>
    <w:p w14:paraId="03E1E18B" w14:textId="77777777" w:rsidR="00105A8D" w:rsidRPr="001E5932" w:rsidRDefault="00105A8D" w:rsidP="00105A8D">
      <w:pPr>
        <w:pStyle w:val="Heading3"/>
      </w:pPr>
      <w:bookmarkStart w:id="98" w:name="_Ref81305027"/>
      <w:r w:rsidRPr="001E5932">
        <w:t>Appropriateness of measurement and reporting activities</w:t>
      </w:r>
      <w:bookmarkEnd w:id="98"/>
      <w:r w:rsidRPr="001E5932">
        <w:t xml:space="preserve"> </w:t>
      </w:r>
    </w:p>
    <w:p w14:paraId="0B9651F0" w14:textId="77777777" w:rsidR="00105A8D" w:rsidRDefault="00105A8D" w:rsidP="00105A8D">
      <w:pPr>
        <w:pStyle w:val="Heading4"/>
      </w:pPr>
      <w:r>
        <w:t>Strengths of the current approach</w:t>
      </w:r>
    </w:p>
    <w:p w14:paraId="20D21FC2" w14:textId="53633E26" w:rsidR="00105A8D" w:rsidRDefault="00105A8D" w:rsidP="00105A8D">
      <w:pPr>
        <w:pStyle w:val="BodyText"/>
      </w:pPr>
      <w:r>
        <w:t xml:space="preserve">Monitoring and evaluation activities undertaken by headspace National are extensive and </w:t>
      </w:r>
      <w:r w:rsidRPr="00140C67">
        <w:t xml:space="preserve">contribute </w:t>
      </w:r>
      <w:r>
        <w:t xml:space="preserve">to </w:t>
      </w:r>
      <w:r w:rsidRPr="00140C67">
        <w:t xml:space="preserve">continuous improvement </w:t>
      </w:r>
      <w:r>
        <w:t xml:space="preserve">of programs and </w:t>
      </w:r>
      <w:r w:rsidR="00B81994">
        <w:t>service</w:t>
      </w:r>
      <w:r>
        <w:t xml:space="preserve">s, as well as contributing to </w:t>
      </w:r>
      <w:r w:rsidRPr="00140C67">
        <w:t>the evidence base</w:t>
      </w:r>
      <w:r>
        <w:t xml:space="preserve"> of youth mental health care more broadly. Involving young people and their family and friends in service evaluation is also a strength, ensuring views on the performance of headspace services are gathered from those with lived experience of service usage. </w:t>
      </w:r>
    </w:p>
    <w:p w14:paraId="38191877" w14:textId="2154152B" w:rsidR="00105A8D" w:rsidRDefault="00105A8D" w:rsidP="00105A8D">
      <w:pPr>
        <w:pStyle w:val="BodyText"/>
      </w:pPr>
      <w:r w:rsidRPr="005C711D">
        <w:t xml:space="preserve">Evaluations undertaken by </w:t>
      </w:r>
      <w:r>
        <w:t>headspace National</w:t>
      </w:r>
      <w:r w:rsidRPr="005C711D">
        <w:t xml:space="preserve"> </w:t>
      </w:r>
      <w:r>
        <w:t>provide</w:t>
      </w:r>
      <w:r w:rsidRPr="005C711D">
        <w:t xml:space="preserve"> important insights into the effectiveness of headspace programs, </w:t>
      </w:r>
      <w:r>
        <w:t xml:space="preserve">into how and </w:t>
      </w:r>
      <w:r w:rsidRPr="005C711D">
        <w:t xml:space="preserve">where </w:t>
      </w:r>
      <w:r>
        <w:t xml:space="preserve">programs and services </w:t>
      </w:r>
      <w:r w:rsidRPr="005C711D">
        <w:t xml:space="preserve">can be improved, and contribute to the current evidence </w:t>
      </w:r>
      <w:r>
        <w:t xml:space="preserve">base </w:t>
      </w:r>
      <w:r w:rsidR="00ED7AA4">
        <w:t>regarding</w:t>
      </w:r>
      <w:r w:rsidR="00ED7AA4" w:rsidRPr="005C711D">
        <w:t xml:space="preserve"> </w:t>
      </w:r>
      <w:r w:rsidRPr="005C711D">
        <w:t>early intervention in youth mental health.</w:t>
      </w:r>
      <w:r>
        <w:t xml:space="preserve"> The method by which headspace National prioritises its evaluation activity ensures these align with broader headspace priorities and respond to emerging areas of need as they arise. headspace National’s partnership with Orygen to undertake research projects also demonstrates commitment to sharing information and to collaborating on best practice to support positive outcomes in youth mental health. </w:t>
      </w:r>
    </w:p>
    <w:p w14:paraId="35CC4F8B" w14:textId="77777777" w:rsidR="00105A8D" w:rsidRDefault="00105A8D" w:rsidP="00105A8D">
      <w:pPr>
        <w:pStyle w:val="Heading4"/>
      </w:pPr>
      <w:r>
        <w:t>Limitations of the current approach</w:t>
      </w:r>
    </w:p>
    <w:p w14:paraId="7A1457D1" w14:textId="4045AC18" w:rsidR="00105A8D" w:rsidRDefault="00105A8D" w:rsidP="00105A8D">
      <w:pPr>
        <w:pStyle w:val="BodyText"/>
      </w:pPr>
      <w:r>
        <w:t xml:space="preserve">Data collection, measurement and monitoring activities undertaken by headspace National </w:t>
      </w:r>
      <w:r w:rsidRPr="005C711D">
        <w:t>through the</w:t>
      </w:r>
      <w:r>
        <w:t xml:space="preserve"> hMDS</w:t>
      </w:r>
      <w:r w:rsidRPr="005C711D">
        <w:t xml:space="preserve"> </w:t>
      </w:r>
      <w:r>
        <w:t xml:space="preserve">capture changes in outcomes, however there is no control group or study design to facilitate a more robust evaluation of the impact of headspace. This is not a contractual requirement of headspace National and, across the complex governance landscape for this program, the responsibility for measuring </w:t>
      </w:r>
      <w:r w:rsidR="00387F96">
        <w:t>program</w:t>
      </w:r>
      <w:r>
        <w:t xml:space="preserve"> impact is not identified. At present, data collection activities are also</w:t>
      </w:r>
      <w:r w:rsidRPr="005C711D">
        <w:t xml:space="preserve"> largely focused on </w:t>
      </w:r>
      <w:r>
        <w:t xml:space="preserve">direct service delivery and do not measure activity undertaken by </w:t>
      </w:r>
      <w:r w:rsidR="008A6949">
        <w:t>headspace</w:t>
      </w:r>
      <w:r>
        <w:t xml:space="preserve"> </w:t>
      </w:r>
      <w:r w:rsidR="00B81994">
        <w:t>service</w:t>
      </w:r>
      <w:r>
        <w:t>s in stigma reduction</w:t>
      </w:r>
      <w:r w:rsidR="00CE3370">
        <w:t xml:space="preserve"> </w:t>
      </w:r>
      <w:r>
        <w:t>and community engagement and partnership activity</w:t>
      </w:r>
      <w:r w:rsidRPr="005C711D">
        <w:t xml:space="preserve">. </w:t>
      </w:r>
    </w:p>
    <w:p w14:paraId="7772D09E" w14:textId="2311BF5D" w:rsidR="008D26D1" w:rsidRDefault="00105A8D" w:rsidP="00105A8D">
      <w:pPr>
        <w:pStyle w:val="BodyText"/>
      </w:pPr>
      <w:r>
        <w:t xml:space="preserve">During consultations, </w:t>
      </w:r>
      <w:r w:rsidR="0082142A">
        <w:t>service providers</w:t>
      </w:r>
      <w:r>
        <w:t xml:space="preserve"> raised other limitations of current data collection activities</w:t>
      </w:r>
      <w:r w:rsidR="001042AF">
        <w:t>. Some limitations raised</w:t>
      </w:r>
      <w:r>
        <w:t xml:space="preserve"> relate to challenges with capturing data through hAPI for certain groups, such as Aboriginal and Torres Strait young people, and that data collected through the hMDS does not allow important local insights to be captured. </w:t>
      </w:r>
      <w:r w:rsidR="005C33A5">
        <w:t xml:space="preserve">Additional </w:t>
      </w:r>
      <w:r w:rsidR="00BF4600">
        <w:t xml:space="preserve">targeted and </w:t>
      </w:r>
      <w:r w:rsidR="005C33A5">
        <w:t>qualitative</w:t>
      </w:r>
      <w:r w:rsidR="00BF4600">
        <w:t xml:space="preserve"> approaches would </w:t>
      </w:r>
      <w:r w:rsidR="00F90A77">
        <w:t xml:space="preserve">supplement </w:t>
      </w:r>
      <w:r w:rsidR="003831BE">
        <w:t xml:space="preserve">client level minimum data captured via </w:t>
      </w:r>
      <w:r w:rsidR="006F7EFE">
        <w:t>hAPI.</w:t>
      </w:r>
      <w:r w:rsidR="001042AF">
        <w:t xml:space="preserve"> </w:t>
      </w:r>
      <w:r w:rsidR="008D26D1">
        <w:t xml:space="preserve">The cultural appropriateness of the K10 measure of distress for Aboriginal and Torres Strait Islander </w:t>
      </w:r>
      <w:r w:rsidR="00ED7AA4">
        <w:t xml:space="preserve">young </w:t>
      </w:r>
      <w:r w:rsidR="008D26D1">
        <w:t>people</w:t>
      </w:r>
      <w:r w:rsidR="00050901">
        <w:t xml:space="preserve"> </w:t>
      </w:r>
      <w:r w:rsidR="00CC335B">
        <w:t xml:space="preserve">was also raised in consultations as an area where further research could be </w:t>
      </w:r>
      <w:r w:rsidR="00ED7AA4">
        <w:t>undertaken</w:t>
      </w:r>
      <w:r w:rsidR="00722348">
        <w:t xml:space="preserve">, to ensure outcome measurement is </w:t>
      </w:r>
      <w:r w:rsidR="0018437F">
        <w:t>reliable for Aboriginal and Torres Strait Islander young people attending headspace</w:t>
      </w:r>
      <w:r w:rsidR="008D26D1">
        <w:t xml:space="preserve">. </w:t>
      </w:r>
    </w:p>
    <w:p w14:paraId="43A76879" w14:textId="7AE7189D" w:rsidR="00105A8D" w:rsidRDefault="0082142A" w:rsidP="00105A8D">
      <w:pPr>
        <w:pStyle w:val="BodyText"/>
      </w:pPr>
      <w:r>
        <w:t>h</w:t>
      </w:r>
      <w:r w:rsidR="00105A8D">
        <w:t>eadspace providers</w:t>
      </w:r>
      <w:r w:rsidR="00105A8D" w:rsidRPr="00E6176E">
        <w:t xml:space="preserve"> </w:t>
      </w:r>
      <w:r w:rsidR="00E862BA">
        <w:t xml:space="preserve">also </w:t>
      </w:r>
      <w:r w:rsidR="00105A8D" w:rsidRPr="00E6176E">
        <w:t xml:space="preserve">report that current monitoring and reporting processes, via many reporting channels requiring different information, is administratively burdensome and onerous. </w:t>
      </w:r>
      <w:r w:rsidR="00105A8D">
        <w:t xml:space="preserve">It also results in no single organisation having a full picture of the service. </w:t>
      </w:r>
      <w:r w:rsidR="00105A8D" w:rsidRPr="00E6176E">
        <w:t xml:space="preserve">Additionally, when the evaluation team </w:t>
      </w:r>
      <w:r w:rsidR="00105A8D">
        <w:t>consulted</w:t>
      </w:r>
      <w:r w:rsidR="00105A8D" w:rsidRPr="00E6176E">
        <w:t xml:space="preserve"> peak bodies and jurisdictions</w:t>
      </w:r>
      <w:r w:rsidR="00105A8D">
        <w:t>, many noted</w:t>
      </w:r>
      <w:r w:rsidR="00105A8D" w:rsidRPr="00E6176E">
        <w:t xml:space="preserve"> it is difficult to get a clear picture of outcomes in information presented to the</w:t>
      </w:r>
      <w:r w:rsidR="00105A8D">
        <w:t>m about headspace</w:t>
      </w:r>
      <w:r w:rsidR="00BE6D42">
        <w:t xml:space="preserve">, which they would value in their roles as </w:t>
      </w:r>
      <w:r w:rsidR="0030116D">
        <w:t xml:space="preserve">advocates and </w:t>
      </w:r>
      <w:r w:rsidR="00BE6D42">
        <w:t>potential funding partners</w:t>
      </w:r>
      <w:r w:rsidR="0030116D">
        <w:t>, respectively.</w:t>
      </w:r>
    </w:p>
    <w:p w14:paraId="085FD1D0" w14:textId="4BE7EDBC" w:rsidR="00105A8D" w:rsidRDefault="00105A8D" w:rsidP="00105A8D">
      <w:pPr>
        <w:pStyle w:val="BodyText"/>
      </w:pPr>
      <w:r>
        <w:t>A further limitation noted by stakeholders is the lack of centralised economic data to identify and improve the cost</w:t>
      </w:r>
      <w:r w:rsidR="006005AD">
        <w:t>-</w:t>
      </w:r>
      <w:r>
        <w:t>effectiveness of headspace</w:t>
      </w:r>
      <w:r w:rsidR="008A7E85">
        <w:t xml:space="preserve"> and </w:t>
      </w:r>
      <w:r w:rsidR="00923E0B">
        <w:t>maintain accountability for value for money against public funds</w:t>
      </w:r>
      <w:r>
        <w:t xml:space="preserve">. There is a lack of centrally collected, reliable and complete costs data, and </w:t>
      </w:r>
      <w:r w:rsidR="004F2307">
        <w:t xml:space="preserve">shared </w:t>
      </w:r>
      <w:r>
        <w:t>responsibility across the distributed governance model for ensuring services are cost effective in providing support to their local community</w:t>
      </w:r>
      <w:r w:rsidR="00A7423B">
        <w:t xml:space="preserve">, with no one party </w:t>
      </w:r>
      <w:r w:rsidR="00A65B9D">
        <w:t>solely responsible</w:t>
      </w:r>
      <w:r w:rsidR="00C07C42">
        <w:t xml:space="preserve"> for Commonwealth funding</w:t>
      </w:r>
      <w:r>
        <w:t xml:space="preserve">. </w:t>
      </w:r>
    </w:p>
    <w:p w14:paraId="5F00C299" w14:textId="77777777" w:rsidR="00105A8D" w:rsidRPr="00C06244" w:rsidRDefault="00105A8D" w:rsidP="00105A8D">
      <w:pPr>
        <w:pStyle w:val="Heading4"/>
      </w:pPr>
      <w:r w:rsidRPr="00C06244">
        <w:t xml:space="preserve">Assessment of </w:t>
      </w:r>
      <w:r>
        <w:t xml:space="preserve">measurements of objectives and </w:t>
      </w:r>
      <w:r w:rsidRPr="00C06244">
        <w:t>impacts</w:t>
      </w:r>
    </w:p>
    <w:p w14:paraId="3B363D9A" w14:textId="2ED95475" w:rsidR="00105A8D" w:rsidRDefault="00105A8D" w:rsidP="00105A8D">
      <w:pPr>
        <w:pStyle w:val="BodyText"/>
      </w:pPr>
      <w:r>
        <w:t xml:space="preserve">The evaluation team reviewed evidence to identify if the short- and medium-term impacts presented against headspace’s objectives in </w:t>
      </w:r>
      <w:r w:rsidR="001268EC">
        <w:t>S</w:t>
      </w:r>
      <w:r>
        <w:t xml:space="preserve">ection </w:t>
      </w:r>
      <w:r w:rsidR="00B76E59">
        <w:fldChar w:fldCharType="begin" w:fldLock="1"/>
      </w:r>
      <w:r w:rsidR="00B76E59">
        <w:instrText xml:space="preserve"> REF _Ref98251983 \w \h </w:instrText>
      </w:r>
      <w:r w:rsidR="00B76E59">
        <w:fldChar w:fldCharType="separate"/>
      </w:r>
      <w:r w:rsidR="00AE4D34">
        <w:t>2.2</w:t>
      </w:r>
      <w:r w:rsidR="00B76E59">
        <w:fldChar w:fldCharType="end"/>
      </w:r>
      <w:r>
        <w:t xml:space="preserve"> are measured through existing data collection, reporting and evaluation methods. This process involved a review of hAPI surveys presented in the hMDS, the headspace National dashboard tool, evaluations and other publications published by headspace National on their website, other research commissioned by headspace National and reports from </w:t>
      </w:r>
      <w:r w:rsidR="00B81994">
        <w:t>service</w:t>
      </w:r>
      <w:r>
        <w:t xml:space="preserve">s to PHNs and lead agencies. </w:t>
      </w:r>
    </w:p>
    <w:p w14:paraId="2AE60481" w14:textId="5F8A4D50" w:rsidR="00105A8D" w:rsidRDefault="00105A8D" w:rsidP="00105A8D">
      <w:pPr>
        <w:pStyle w:val="BodyText"/>
      </w:pPr>
      <w:r>
        <w:t>Both short- and medium-term impacts were mostly well measured through client satisfaction surveys (both young people and family and friends), follow</w:t>
      </w:r>
      <w:r w:rsidR="00ED7AA4">
        <w:t>-</w:t>
      </w:r>
      <w:r>
        <w:t>up surveys and studies, client data on cohorts and wait times, K10 and SOFAS surveys, research commissioned by headspace National, and information contained in reports to PHNs on consortium arrangements, partnerships and networks. However, there were areas where it was difficult to identify specific data that measured particular impacts, including:</w:t>
      </w:r>
    </w:p>
    <w:p w14:paraId="55478E3F" w14:textId="57C4D200" w:rsidR="00105A8D" w:rsidRDefault="00105A8D" w:rsidP="00105A8D">
      <w:pPr>
        <w:pStyle w:val="Bullet1stlevel"/>
      </w:pPr>
      <w:r>
        <w:t>how AOD and/or physical and sexual health assistance impacted on young people in gaining skills to better manage these aspects of their lives in both the short</w:t>
      </w:r>
      <w:r w:rsidR="00FE6A38">
        <w:t>,</w:t>
      </w:r>
      <w:r>
        <w:t xml:space="preserve"> and medium</w:t>
      </w:r>
      <w:r w:rsidR="00ED7AA4">
        <w:t>-</w:t>
      </w:r>
      <w:r w:rsidR="00480661">
        <w:t xml:space="preserve"> to </w:t>
      </w:r>
      <w:r>
        <w:t>long</w:t>
      </w:r>
      <w:r w:rsidR="00ED7AA4">
        <w:noBreakHyphen/>
      </w:r>
      <w:r>
        <w:t>term</w:t>
      </w:r>
      <w:r w:rsidR="00FE6A38">
        <w:t>; and</w:t>
      </w:r>
    </w:p>
    <w:p w14:paraId="3528E85F" w14:textId="77777777" w:rsidR="00105A8D" w:rsidRDefault="00105A8D" w:rsidP="00105A8D">
      <w:pPr>
        <w:pStyle w:val="Bullet1stlevel"/>
      </w:pPr>
      <w:r>
        <w:t>a direct measure of how y</w:t>
      </w:r>
      <w:r w:rsidRPr="003C59CA">
        <w:t>oung people and families experience more streamlined and less fragmented pathways of care</w:t>
      </w:r>
      <w:r>
        <w:t xml:space="preserve"> in the medium-term.</w:t>
      </w:r>
    </w:p>
    <w:p w14:paraId="7D67440C" w14:textId="77777777" w:rsidR="00105A8D" w:rsidRDefault="00105A8D" w:rsidP="00105A8D">
      <w:pPr>
        <w:pStyle w:val="BodyText"/>
      </w:pPr>
      <w:r>
        <w:t>These are areas where headspace National conducts one-off, qualitative evaluations on identified priorities.</w:t>
      </w:r>
    </w:p>
    <w:p w14:paraId="7DAA81C2" w14:textId="43C934AF" w:rsidR="00105A8D" w:rsidRPr="00421506" w:rsidRDefault="00105A8D" w:rsidP="009B0247">
      <w:pPr>
        <w:pStyle w:val="BodyText"/>
      </w:pPr>
      <w:r w:rsidRPr="00421506">
        <w:t xml:space="preserve">While short- and medium-term impacts are mostly measured and reported, consistent measurement of headspace’s longer-term impacts for young people is not in evidence. </w:t>
      </w:r>
      <w:r w:rsidR="00213582">
        <w:t>Outcomes such as</w:t>
      </w:r>
      <w:r w:rsidR="009B0247" w:rsidRPr="009B0247">
        <w:t xml:space="preserve"> </w:t>
      </w:r>
      <w:r w:rsidR="009B0247">
        <w:t>e</w:t>
      </w:r>
      <w:r w:rsidR="009B0247" w:rsidRPr="009B0247">
        <w:t>nhanced service provision and access</w:t>
      </w:r>
      <w:r w:rsidR="009B0247">
        <w:t>, i</w:t>
      </w:r>
      <w:r w:rsidR="009B0247" w:rsidRPr="009B0247">
        <w:t xml:space="preserve">mproved health outcomes </w:t>
      </w:r>
      <w:r w:rsidR="009B0247">
        <w:t>and i</w:t>
      </w:r>
      <w:r w:rsidR="009B0247" w:rsidRPr="009B0247">
        <w:t>ncreased social and economic outcomes for young people over their life course</w:t>
      </w:r>
      <w:r w:rsidR="00E85F6D">
        <w:t xml:space="preserve"> are part of the headspace service model program logic, and</w:t>
      </w:r>
      <w:r w:rsidR="0016175A">
        <w:t xml:space="preserve"> strategies to measure impact in these areas could be implemented over the lo</w:t>
      </w:r>
      <w:r w:rsidR="00617B9C">
        <w:t>ng</w:t>
      </w:r>
      <w:r w:rsidR="00ED7AA4">
        <w:t>-</w:t>
      </w:r>
      <w:r w:rsidR="00617B9C">
        <w:t>term.</w:t>
      </w:r>
      <w:r w:rsidR="00213582">
        <w:t xml:space="preserve"> </w:t>
      </w:r>
      <w:r w:rsidRPr="00421506">
        <w:t>While headspace National ha</w:t>
      </w:r>
      <w:r>
        <w:t>s</w:t>
      </w:r>
      <w:r w:rsidRPr="00421506">
        <w:t xml:space="preserve"> undertaken a one-off study about longer</w:t>
      </w:r>
      <w:r w:rsidR="0045392D">
        <w:t>-</w:t>
      </w:r>
      <w:r w:rsidRPr="00421506">
        <w:t>term impacts</w:t>
      </w:r>
      <w:r w:rsidR="00CC0438">
        <w:rPr>
          <w:rFonts w:ascii="ZWAdobeF" w:hAnsi="ZWAdobeF" w:cs="ZWAdobeF"/>
          <w:sz w:val="2"/>
          <w:szCs w:val="2"/>
        </w:rPr>
        <w:t>98F</w:t>
      </w:r>
      <w:r w:rsidRPr="00421506">
        <w:rPr>
          <w:rStyle w:val="FootnoteReference"/>
        </w:rPr>
        <w:footnoteReference w:id="100"/>
      </w:r>
      <w:r w:rsidR="00596F3B">
        <w:t>,</w:t>
      </w:r>
      <w:r w:rsidRPr="00421506">
        <w:t xml:space="preserve"> there is opportunity to develop this further and sustain studies over time.</w:t>
      </w:r>
    </w:p>
    <w:p w14:paraId="1140E3FE" w14:textId="77777777" w:rsidR="00105A8D" w:rsidRPr="00A175DC" w:rsidRDefault="00105A8D" w:rsidP="00105A8D">
      <w:pPr>
        <w:pStyle w:val="Heading4"/>
      </w:pPr>
      <w:r w:rsidRPr="00A175DC">
        <w:t>Opportunities for refinement</w:t>
      </w:r>
    </w:p>
    <w:p w14:paraId="01774C23" w14:textId="18F6FC36" w:rsidR="00105A8D" w:rsidRPr="000E6B09" w:rsidRDefault="00105A8D" w:rsidP="00105A8D">
      <w:pPr>
        <w:pStyle w:val="BodyText"/>
      </w:pPr>
      <w:r w:rsidRPr="001D6913">
        <w:t xml:space="preserve">There are </w:t>
      </w:r>
      <w:r>
        <w:t xml:space="preserve">a number of potential </w:t>
      </w:r>
      <w:r w:rsidRPr="001D6913">
        <w:t xml:space="preserve">opportunities for refinement in data collection </w:t>
      </w:r>
      <w:r>
        <w:t xml:space="preserve">and measurement </w:t>
      </w:r>
      <w:r w:rsidRPr="001D6913">
        <w:t xml:space="preserve">activities that could allow headspace to better demonstrate its positive outcomes. </w:t>
      </w:r>
      <w:r>
        <w:t>T</w:t>
      </w:r>
      <w:r w:rsidRPr="00421506">
        <w:t>he methodology used to measure objectives and impacts do</w:t>
      </w:r>
      <w:r>
        <w:t>es</w:t>
      </w:r>
      <w:r w:rsidRPr="00421506">
        <w:t xml:space="preserve"> not generally include the use of experimental or quasi</w:t>
      </w:r>
      <w:r>
        <w:noBreakHyphen/>
      </w:r>
      <w:r w:rsidRPr="00421506">
        <w:t>experimental designs. The lack of a control group or counterfactual view of the outcomes in cases where headspace is not accessed prevents a rigorous test of the impact of the service.</w:t>
      </w:r>
      <w:r w:rsidR="004F31D2">
        <w:t xml:space="preserve"> </w:t>
      </w:r>
      <w:r w:rsidR="00ED17F5" w:rsidRPr="00AA0EDE">
        <w:t xml:space="preserve">A </w:t>
      </w:r>
      <w:r w:rsidR="00ED17F5">
        <w:t xml:space="preserve">funded </w:t>
      </w:r>
      <w:r w:rsidR="00ED17F5" w:rsidRPr="00AA0EDE">
        <w:t xml:space="preserve">cohort study of headspace clients </w:t>
      </w:r>
      <w:r w:rsidR="00ED17F5">
        <w:t>comparing the pre and post mental health outcomes to comparable non-headspace clients should be undertaken to highlight the causal impacts of headspace services</w:t>
      </w:r>
      <w:r w:rsidR="00CC0438">
        <w:rPr>
          <w:rFonts w:ascii="ZWAdobeF" w:hAnsi="ZWAdobeF" w:cs="ZWAdobeF"/>
          <w:sz w:val="2"/>
          <w:szCs w:val="2"/>
        </w:rPr>
        <w:t>99F</w:t>
      </w:r>
      <w:r w:rsidR="00D27A28">
        <w:rPr>
          <w:rStyle w:val="FootnoteReference"/>
        </w:rPr>
        <w:footnoteReference w:id="101"/>
      </w:r>
      <w:r w:rsidR="00A21361">
        <w:t>.</w:t>
      </w:r>
      <w:r>
        <w:t xml:space="preserve"> Additionally, data linkage should be established to allow comparisons between young people who </w:t>
      </w:r>
      <w:r w:rsidR="007A7957">
        <w:t xml:space="preserve">have </w:t>
      </w:r>
      <w:r>
        <w:t xml:space="preserve">attended a headspace service with young people </w:t>
      </w:r>
      <w:r w:rsidR="007A6439">
        <w:t xml:space="preserve">who </w:t>
      </w:r>
      <w:r w:rsidR="007A7957">
        <w:t>have</w:t>
      </w:r>
      <w:r>
        <w:t xml:space="preserve"> not.</w:t>
      </w:r>
      <w:r w:rsidR="00A64A2D">
        <w:t xml:space="preserve"> Accessing </w:t>
      </w:r>
      <w:r w:rsidR="00FB7C83">
        <w:t>and linking</w:t>
      </w:r>
      <w:r w:rsidR="00A64A2D">
        <w:t xml:space="preserve"> MBS</w:t>
      </w:r>
      <w:r w:rsidR="00FB7C83">
        <w:t>,</w:t>
      </w:r>
      <w:r w:rsidR="00A64A2D">
        <w:t xml:space="preserve"> </w:t>
      </w:r>
      <w:r w:rsidR="00FE481D">
        <w:t>PBS</w:t>
      </w:r>
      <w:r w:rsidR="00FB7C83">
        <w:t>, hospitalisations and emergency department presentations</w:t>
      </w:r>
      <w:r w:rsidR="00FE481D">
        <w:t xml:space="preserve"> </w:t>
      </w:r>
      <w:r w:rsidR="00A64A2D">
        <w:t xml:space="preserve">data for these individuals is </w:t>
      </w:r>
      <w:r w:rsidR="00B24A04">
        <w:t>possible</w:t>
      </w:r>
      <w:r w:rsidR="00FE481D">
        <w:t>,</w:t>
      </w:r>
      <w:r w:rsidR="00A64A2D">
        <w:t xml:space="preserve"> </w:t>
      </w:r>
      <w:r w:rsidR="00DB3E8C">
        <w:t>however,</w:t>
      </w:r>
      <w:r w:rsidR="00A64A2D">
        <w:t xml:space="preserve"> </w:t>
      </w:r>
      <w:r w:rsidR="00FE481D">
        <w:t xml:space="preserve">the </w:t>
      </w:r>
      <w:r w:rsidR="00084094">
        <w:t xml:space="preserve">evaluation </w:t>
      </w:r>
      <w:r w:rsidR="00FE481D">
        <w:t xml:space="preserve">recognises this may be </w:t>
      </w:r>
      <w:r w:rsidR="00A64A2D">
        <w:t xml:space="preserve">difficult in practice. </w:t>
      </w:r>
      <w:r w:rsidR="00511EFB">
        <w:t xml:space="preserve">Also, </w:t>
      </w:r>
      <w:r w:rsidR="00DB3E8C">
        <w:t xml:space="preserve">the </w:t>
      </w:r>
      <w:r w:rsidR="00084094">
        <w:t>evaluation</w:t>
      </w:r>
      <w:r w:rsidR="00511EFB">
        <w:t xml:space="preserve"> recognises that</w:t>
      </w:r>
      <w:r w:rsidR="00445D55">
        <w:t xml:space="preserve"> data from the MBS or PBS can answer some, but not all</w:t>
      </w:r>
      <w:r w:rsidR="00384DBE">
        <w:t>,</w:t>
      </w:r>
      <w:r w:rsidR="00445D55">
        <w:t xml:space="preserve"> questions. For example, the difference in frequency of mental-health MBS items before and after a headspace episode.</w:t>
      </w:r>
    </w:p>
    <w:p w14:paraId="07E16443" w14:textId="7AEF2CF1" w:rsidR="00105A8D" w:rsidRDefault="00105A8D" w:rsidP="00105A8D">
      <w:pPr>
        <w:pStyle w:val="BodyText"/>
      </w:pPr>
      <w:r>
        <w:t xml:space="preserve">Data linkage to other datasets should be prioritised, </w:t>
      </w:r>
      <w:r w:rsidRPr="0000633A">
        <w:rPr>
          <w:color w:val="000000" w:themeColor="text1"/>
        </w:rPr>
        <w:t>such as those held by the AIHW (for example, AOD, Emergency Department (ED), other mental health datasets) and administrative data held by Services Australia (employment and study)</w:t>
      </w:r>
      <w:r>
        <w:rPr>
          <w:color w:val="000000" w:themeColor="text1"/>
        </w:rPr>
        <w:t>,</w:t>
      </w:r>
      <w:r w:rsidRPr="0000633A">
        <w:rPr>
          <w:color w:val="000000" w:themeColor="text1"/>
        </w:rPr>
        <w:t xml:space="preserve"> that </w:t>
      </w:r>
      <w:r>
        <w:t xml:space="preserve">would help facilitate the development of a control group against which to compare headspace outcomes. </w:t>
      </w:r>
    </w:p>
    <w:p w14:paraId="6CD01BDB" w14:textId="20FF6757" w:rsidR="00105A8D" w:rsidRPr="00E266FB" w:rsidRDefault="00105A8D" w:rsidP="00105A8D">
      <w:pPr>
        <w:pStyle w:val="BodyText"/>
      </w:pPr>
      <w:r>
        <w:t>As</w:t>
      </w:r>
      <w:r w:rsidRPr="229EDBFA">
        <w:rPr>
          <w:color w:val="000000" w:themeColor="text1"/>
        </w:rPr>
        <w:t xml:space="preserve"> the hMDS does not collect data by individual MBS item, data linkage is currently not </w:t>
      </w:r>
      <w:r w:rsidRPr="59F0C03D">
        <w:rPr>
          <w:color w:val="000000" w:themeColor="text1"/>
        </w:rPr>
        <w:t>feasible.</w:t>
      </w:r>
      <w:r>
        <w:t xml:space="preserve"> headspace National </w:t>
      </w:r>
      <w:r w:rsidR="00FC1325">
        <w:t>commenced</w:t>
      </w:r>
      <w:r>
        <w:t xml:space="preserve"> negotiations with the NSW State Government to develop a data linkage project and, in consultations with the evaluation team, other jurisdictions have expressed their interest in undertaking a similar exercise</w:t>
      </w:r>
      <w:r w:rsidR="00ED1C1A">
        <w:t xml:space="preserve">, indicating </w:t>
      </w:r>
      <w:r w:rsidR="009745C8">
        <w:t>a view that there is</w:t>
      </w:r>
      <w:r w:rsidR="009745C8" w:rsidRPr="009745C8">
        <w:t xml:space="preserve"> </w:t>
      </w:r>
      <w:r w:rsidR="009745C8">
        <w:t>strong support for data linkage activities across the service system</w:t>
      </w:r>
      <w:r>
        <w:t xml:space="preserve">. </w:t>
      </w:r>
      <w:r w:rsidR="00A87D52">
        <w:t>To date</w:t>
      </w:r>
      <w:r w:rsidR="00384DBE">
        <w:t>,</w:t>
      </w:r>
      <w:r w:rsidR="008B659B">
        <w:t xml:space="preserve"> </w:t>
      </w:r>
      <w:r w:rsidR="00FC1325">
        <w:t xml:space="preserve">this </w:t>
      </w:r>
      <w:r w:rsidR="00A87D52">
        <w:t xml:space="preserve">linkage exercise </w:t>
      </w:r>
      <w:r w:rsidR="008B659B">
        <w:t>h</w:t>
      </w:r>
      <w:r w:rsidR="00FC1325">
        <w:t xml:space="preserve">as not </w:t>
      </w:r>
      <w:r w:rsidR="008B659B">
        <w:t xml:space="preserve">been </w:t>
      </w:r>
      <w:r w:rsidR="00FC1325">
        <w:t>pursued.</w:t>
      </w:r>
    </w:p>
    <w:p w14:paraId="06C97F46" w14:textId="012C2790" w:rsidR="00105A8D" w:rsidRDefault="00105A8D" w:rsidP="00105A8D">
      <w:pPr>
        <w:pStyle w:val="BodyText"/>
      </w:pPr>
      <w:r>
        <w:rPr>
          <w:color w:val="000000" w:themeColor="text1"/>
        </w:rPr>
        <w:t>Consideration should also be given to</w:t>
      </w:r>
      <w:r w:rsidRPr="536920A5">
        <w:rPr>
          <w:color w:val="000000" w:themeColor="text1"/>
        </w:rPr>
        <w:t xml:space="preserve"> broaden the </w:t>
      </w:r>
      <w:r w:rsidRPr="484686C7">
        <w:rPr>
          <w:color w:val="000000" w:themeColor="text1"/>
        </w:rPr>
        <w:t>coverage of what is captured</w:t>
      </w:r>
      <w:r>
        <w:rPr>
          <w:color w:val="000000" w:themeColor="text1"/>
        </w:rPr>
        <w:t xml:space="preserve"> in hAPI data</w:t>
      </w:r>
      <w:r w:rsidRPr="484686C7">
        <w:rPr>
          <w:color w:val="000000" w:themeColor="text1"/>
        </w:rPr>
        <w:t>. Current</w:t>
      </w:r>
      <w:r w:rsidRPr="536920A5">
        <w:rPr>
          <w:color w:val="000000" w:themeColor="text1"/>
        </w:rPr>
        <w:t xml:space="preserve"> data collection only captures effort made in relation to a young person from intake onwards. This </w:t>
      </w:r>
      <w:r>
        <w:rPr>
          <w:color w:val="000000" w:themeColor="text1"/>
        </w:rPr>
        <w:t>data capture</w:t>
      </w:r>
      <w:r w:rsidRPr="536920A5">
        <w:rPr>
          <w:color w:val="000000" w:themeColor="text1"/>
        </w:rPr>
        <w:t xml:space="preserve"> </w:t>
      </w:r>
      <w:r w:rsidR="00572B23">
        <w:rPr>
          <w:color w:val="000000" w:themeColor="text1"/>
        </w:rPr>
        <w:t>does not take into account</w:t>
      </w:r>
      <w:r w:rsidR="00572B23" w:rsidRPr="536920A5">
        <w:rPr>
          <w:color w:val="000000" w:themeColor="text1"/>
        </w:rPr>
        <w:t xml:space="preserve"> </w:t>
      </w:r>
      <w:r w:rsidRPr="536920A5">
        <w:rPr>
          <w:color w:val="000000" w:themeColor="text1"/>
        </w:rPr>
        <w:t>community engagement activities, ongoing general enquiries from surrounding services, stigma reduction and mental health literacy activities</w:t>
      </w:r>
      <w:r w:rsidRPr="001D6913">
        <w:t xml:space="preserve">. </w:t>
      </w:r>
      <w:r>
        <w:t>headspace National has explored</w:t>
      </w:r>
      <w:r w:rsidRPr="001D6913">
        <w:t xml:space="preserve"> this issue as part of the latest redevelopment of the</w:t>
      </w:r>
      <w:r>
        <w:t xml:space="preserve"> hMDS, </w:t>
      </w:r>
      <w:r w:rsidRPr="001D6913">
        <w:t xml:space="preserve">following feedback from </w:t>
      </w:r>
      <w:r>
        <w:t>services</w:t>
      </w:r>
      <w:r w:rsidRPr="001D6913">
        <w:t xml:space="preserve"> that there should be a method to collect information on </w:t>
      </w:r>
      <w:r>
        <w:t>other work they undertake to support young people outside of direct service provision, for example secondary consult</w:t>
      </w:r>
      <w:r w:rsidR="007E3672">
        <w:t>ation</w:t>
      </w:r>
      <w:r>
        <w:t xml:space="preserve">s with family, other health providers including referrers, and engagement with a young person in the service that has referred them to headspace. </w:t>
      </w:r>
    </w:p>
    <w:p w14:paraId="7B244451" w14:textId="38BFF8F6" w:rsidR="00105A8D" w:rsidRDefault="00105A8D" w:rsidP="00105A8D">
      <w:pPr>
        <w:pStyle w:val="BodyText"/>
      </w:pPr>
      <w:r>
        <w:t xml:space="preserve">In addition, </w:t>
      </w:r>
      <w:r w:rsidR="00B24A04">
        <w:t>headspace</w:t>
      </w:r>
      <w:r>
        <w:t xml:space="preserve"> services indicated that data capture should also extend to understanding </w:t>
      </w:r>
      <w:r w:rsidRPr="001D6913">
        <w:t xml:space="preserve">community engagement, outreach activities and other non-clinical measures. </w:t>
      </w:r>
      <w:r>
        <w:t>Concerns regarding the burden of this</w:t>
      </w:r>
      <w:r w:rsidRPr="001D6913">
        <w:t xml:space="preserve"> data capture </w:t>
      </w:r>
      <w:r>
        <w:t xml:space="preserve">have prevented </w:t>
      </w:r>
      <w:r w:rsidRPr="001D6913">
        <w:t>implement</w:t>
      </w:r>
      <w:r>
        <w:t>ation to date</w:t>
      </w:r>
      <w:r w:rsidRPr="001D6913">
        <w:t xml:space="preserve">. </w:t>
      </w:r>
      <w:r>
        <w:t xml:space="preserve">This trade-off between data collection and utility must be assessed. However, capturing this </w:t>
      </w:r>
      <w:r w:rsidRPr="001D6913">
        <w:t xml:space="preserve">information in </w:t>
      </w:r>
      <w:r>
        <w:t xml:space="preserve">a systematic way could be a valuable opportunity for </w:t>
      </w:r>
      <w:r w:rsidRPr="001D6913">
        <w:t>headspace to demonstrate</w:t>
      </w:r>
      <w:r>
        <w:t xml:space="preserve"> the work that is undertaken beyond direct service provision, and</w:t>
      </w:r>
      <w:r w:rsidRPr="001D6913">
        <w:t xml:space="preserve"> </w:t>
      </w:r>
      <w:r w:rsidR="00337856">
        <w:t xml:space="preserve">whether and </w:t>
      </w:r>
      <w:r w:rsidRPr="001D6913">
        <w:t xml:space="preserve">how </w:t>
      </w:r>
      <w:r>
        <w:t>broader engagement and outreach activities</w:t>
      </w:r>
      <w:r w:rsidRPr="001D6913">
        <w:t xml:space="preserve"> achieve positive outcomes. </w:t>
      </w:r>
    </w:p>
    <w:p w14:paraId="395DD7DB" w14:textId="5AD9C2A6" w:rsidR="00105A8D" w:rsidRDefault="001C0CE3" w:rsidP="00105A8D">
      <w:pPr>
        <w:pStyle w:val="Heading4"/>
        <w:rPr>
          <w:rStyle w:val="IntenseEmphasis"/>
          <w:i w:val="0"/>
          <w:iCs/>
          <w:color w:val="00338D" w:themeColor="background2"/>
          <w:sz w:val="24"/>
        </w:rPr>
      </w:pPr>
      <w:r>
        <w:rPr>
          <w:rStyle w:val="IntenseEmphasis"/>
          <w:i w:val="0"/>
          <w:iCs/>
          <w:color w:val="00338D" w:themeColor="background2"/>
          <w:sz w:val="24"/>
        </w:rPr>
        <w:t>Measuring outcomes of the headspace model - i</w:t>
      </w:r>
      <w:r w:rsidR="00105A8D" w:rsidRPr="00C7173A">
        <w:rPr>
          <w:rStyle w:val="IntenseEmphasis"/>
          <w:i w:val="0"/>
          <w:iCs/>
          <w:color w:val="00338D" w:themeColor="background2"/>
          <w:sz w:val="24"/>
        </w:rPr>
        <w:t xml:space="preserve">n </w:t>
      </w:r>
      <w:r>
        <w:rPr>
          <w:rStyle w:val="IntenseEmphasis"/>
          <w:i w:val="0"/>
          <w:iCs/>
          <w:color w:val="00338D" w:themeColor="background2"/>
          <w:sz w:val="24"/>
        </w:rPr>
        <w:t>conclusion</w:t>
      </w:r>
    </w:p>
    <w:p w14:paraId="711C80E9" w14:textId="77777777" w:rsidR="0007336A" w:rsidRDefault="0007336A" w:rsidP="0007336A">
      <w:pPr>
        <w:pStyle w:val="BodyText"/>
        <w:rPr>
          <w:lang w:eastAsia="en-AU"/>
        </w:rPr>
      </w:pPr>
      <w:r>
        <w:rPr>
          <w:lang w:eastAsia="en-AU"/>
        </w:rPr>
        <w:t xml:space="preserve">While a broad range of data is collected from headspace services and users and is made available to internal stakeholders, this does not extend to community engagement or service integration. Introducing approaches to collecting this data on a regular basis would improve visibility of the value of these activities, but would need to be balanced against an impost on providers. For example, a program of short, periodic data collection on a rolling schedule could be developed to address these gaps. </w:t>
      </w:r>
    </w:p>
    <w:p w14:paraId="6F0D4646" w14:textId="6D8A6560" w:rsidR="0007336A" w:rsidRPr="0007336A" w:rsidRDefault="0007336A" w:rsidP="0007336A">
      <w:pPr>
        <w:pStyle w:val="BodyText"/>
        <w:rPr>
          <w:lang w:eastAsia="en-AU"/>
        </w:rPr>
      </w:pPr>
      <w:r>
        <w:rPr>
          <w:lang w:eastAsia="en-AU"/>
        </w:rPr>
        <w:t>The effectiveness of the headspace model is evaluated in an ongoing program of one-off studies. Investment in data linkage across data sets would enable a quasi-experimental approach to evaluation of the effectiveness of headspace in impacting outcomes for young people, strengthening the evidence and introducing the potential to analyse long-term impacts for young people of engaging with headspace. This would require additional resources to undertake this or similar research activity.</w:t>
      </w:r>
    </w:p>
    <w:p w14:paraId="0EA214DD" w14:textId="624DF3EB" w:rsidR="0038115D" w:rsidRDefault="00282841" w:rsidP="00432EDA">
      <w:pPr>
        <w:pStyle w:val="Heading2"/>
      </w:pPr>
      <w:bookmarkStart w:id="99" w:name="_Toc108173981"/>
      <w:r>
        <w:t>Effectiveness of the headspace model</w:t>
      </w:r>
      <w:bookmarkEnd w:id="99"/>
    </w:p>
    <w:p w14:paraId="27587089" w14:textId="793FA5BA" w:rsidR="00282841" w:rsidRDefault="00282841" w:rsidP="00282841">
      <w:pPr>
        <w:pStyle w:val="BodyText"/>
      </w:pPr>
      <w:r w:rsidRPr="00C5536B">
        <w:t xml:space="preserve">As outlined in Section </w:t>
      </w:r>
      <w:r w:rsidR="00B76E59">
        <w:fldChar w:fldCharType="begin" w:fldLock="1"/>
      </w:r>
      <w:r w:rsidR="00B76E59">
        <w:instrText xml:space="preserve"> REF _Ref98252001 \w \h </w:instrText>
      </w:r>
      <w:r w:rsidR="00B76E59">
        <w:fldChar w:fldCharType="separate"/>
      </w:r>
      <w:r w:rsidR="00AE4D34">
        <w:t>1.1</w:t>
      </w:r>
      <w:r w:rsidR="00B76E59">
        <w:fldChar w:fldCharType="end"/>
      </w:r>
      <w:r w:rsidRPr="00C5536B">
        <w:t xml:space="preserve">, </w:t>
      </w:r>
      <w:r w:rsidR="009E1C3F">
        <w:t xml:space="preserve">a key aim of </w:t>
      </w:r>
      <w:r w:rsidRPr="00C5536B">
        <w:t xml:space="preserve">this evaluation </w:t>
      </w:r>
      <w:r w:rsidR="009E1C3F">
        <w:t xml:space="preserve">is to assess </w:t>
      </w:r>
      <w:r w:rsidRPr="00C5536B">
        <w:t xml:space="preserve">the effectiveness of the headspace model </w:t>
      </w:r>
      <w:r w:rsidR="008805C6">
        <w:t>in achieving its</w:t>
      </w:r>
      <w:r w:rsidRPr="00C5536B">
        <w:t xml:space="preserve"> key objectives.</w:t>
      </w:r>
      <w:r>
        <w:t xml:space="preserve"> This section discusses the effectiveness of headspace services in</w:t>
      </w:r>
      <w:r w:rsidR="00593252">
        <w:t xml:space="preserve"> the following outcome areas:</w:t>
      </w:r>
    </w:p>
    <w:p w14:paraId="5B18DF7F" w14:textId="3B25E818" w:rsidR="0007678B" w:rsidRDefault="0007678B" w:rsidP="0007678B">
      <w:pPr>
        <w:pStyle w:val="Bullet1stlevel"/>
      </w:pPr>
      <w:r>
        <w:t>Intermediate outcomes</w:t>
      </w:r>
      <w:r w:rsidR="00F50133">
        <w:t>;</w:t>
      </w:r>
    </w:p>
    <w:p w14:paraId="418AFB3C" w14:textId="3845BBC2" w:rsidR="0007678B" w:rsidRDefault="0007678B" w:rsidP="0007678B">
      <w:pPr>
        <w:pStyle w:val="Bullet1stlevel"/>
      </w:pPr>
      <w:r>
        <w:t>Service system outcomes</w:t>
      </w:r>
      <w:r w:rsidR="00F50133">
        <w:t>;</w:t>
      </w:r>
    </w:p>
    <w:p w14:paraId="5FF5570B" w14:textId="4D80DDE5" w:rsidR="0007678B" w:rsidRDefault="0007678B" w:rsidP="0007678B">
      <w:pPr>
        <w:pStyle w:val="Bullet1stlevel"/>
      </w:pPr>
      <w:r>
        <w:t>User experience outcomes</w:t>
      </w:r>
      <w:r w:rsidR="00F50133">
        <w:t>; and</w:t>
      </w:r>
    </w:p>
    <w:p w14:paraId="0D0724B9" w14:textId="63CD72AE" w:rsidR="0007678B" w:rsidRDefault="0007678B" w:rsidP="0007678B">
      <w:pPr>
        <w:pStyle w:val="Bullet1stlevel"/>
      </w:pPr>
      <w:r>
        <w:t>Psychosocial outcomes</w:t>
      </w:r>
      <w:r w:rsidR="00F50133">
        <w:t>.</w:t>
      </w:r>
    </w:p>
    <w:p w14:paraId="7944230B" w14:textId="5496914C" w:rsidR="00D629B4" w:rsidRDefault="00D629B4" w:rsidP="0007336A">
      <w:pPr>
        <w:pStyle w:val="BodyText"/>
      </w:pPr>
      <w:r>
        <w:t xml:space="preserve">These outcomes are described in more detail at the start of Section </w:t>
      </w:r>
      <w:r>
        <w:fldChar w:fldCharType="begin" w:fldLock="1"/>
      </w:r>
      <w:r>
        <w:instrText xml:space="preserve"> REF _Ref98317699 \r \h </w:instrText>
      </w:r>
      <w:r>
        <w:fldChar w:fldCharType="separate"/>
      </w:r>
      <w:r>
        <w:t>3</w:t>
      </w:r>
      <w:r>
        <w:fldChar w:fldCharType="end"/>
      </w:r>
      <w:r>
        <w:t xml:space="preserve"> above</w:t>
      </w:r>
      <w:r w:rsidR="006F06A0">
        <w:t>.</w:t>
      </w:r>
    </w:p>
    <w:p w14:paraId="246FCB11" w14:textId="6F91445A" w:rsidR="00282841" w:rsidRDefault="00282841" w:rsidP="00282841">
      <w:pPr>
        <w:pStyle w:val="BodyText"/>
      </w:pPr>
      <w:r>
        <w:t>As a set of objectives, these represent key outcomes across the headspace program logic which drive engagement</w:t>
      </w:r>
      <w:r w:rsidR="0066427C">
        <w:t xml:space="preserve">, </w:t>
      </w:r>
      <w:r>
        <w:t>service experience</w:t>
      </w:r>
      <w:r w:rsidR="0066427C">
        <w:t xml:space="preserve"> and </w:t>
      </w:r>
      <w:r>
        <w:t xml:space="preserve">clinical improvements in mental health. </w:t>
      </w:r>
    </w:p>
    <w:p w14:paraId="574C794B" w14:textId="31F4D369" w:rsidR="00152C24" w:rsidRPr="00152C24" w:rsidRDefault="00432EDA" w:rsidP="00152C24">
      <w:pPr>
        <w:pStyle w:val="BodyText"/>
      </w:pPr>
      <w:r>
        <w:t xml:space="preserve">The </w:t>
      </w:r>
      <w:r w:rsidR="003B21EF">
        <w:t>next</w:t>
      </w:r>
      <w:r>
        <w:t xml:space="preserve"> sub</w:t>
      </w:r>
      <w:r w:rsidR="00576C78">
        <w:t>-</w:t>
      </w:r>
      <w:r>
        <w:t xml:space="preserve">sections provide </w:t>
      </w:r>
      <w:r w:rsidR="003B21EF">
        <w:t xml:space="preserve">analysis and </w:t>
      </w:r>
      <w:r>
        <w:t xml:space="preserve">findings </w:t>
      </w:r>
      <w:r w:rsidR="002313B2">
        <w:t>from the detailed</w:t>
      </w:r>
      <w:r>
        <w:t xml:space="preserve"> evaluation </w:t>
      </w:r>
      <w:r w:rsidR="002313B2">
        <w:t>of</w:t>
      </w:r>
      <w:r>
        <w:t xml:space="preserve"> headspace </w:t>
      </w:r>
      <w:r w:rsidR="002313B2">
        <w:t>services</w:t>
      </w:r>
      <w:r>
        <w:t xml:space="preserve"> against each of </w:t>
      </w:r>
      <w:r w:rsidR="00AF658D">
        <w:t>the</w:t>
      </w:r>
      <w:r w:rsidR="003E2E97">
        <w:t>se</w:t>
      </w:r>
      <w:r>
        <w:t xml:space="preserve"> areas</w:t>
      </w:r>
      <w:r w:rsidR="0066427C">
        <w:t xml:space="preserve">, with </w:t>
      </w:r>
      <w:r w:rsidR="00C6342E">
        <w:fldChar w:fldCharType="begin" w:fldLock="1"/>
      </w:r>
      <w:r w:rsidR="00C6342E">
        <w:instrText xml:space="preserve"> REF _Ref105492953 \w \h </w:instrText>
      </w:r>
      <w:r w:rsidR="00C6342E">
        <w:fldChar w:fldCharType="separate"/>
      </w:r>
      <w:r w:rsidR="00C6342E">
        <w:t>Appendix D</w:t>
      </w:r>
      <w:r w:rsidR="00C6342E">
        <w:fldChar w:fldCharType="end"/>
      </w:r>
      <w:r w:rsidR="00242B52">
        <w:t xml:space="preserve"> and </w:t>
      </w:r>
      <w:r w:rsidR="00F04E07">
        <w:fldChar w:fldCharType="begin" w:fldLock="1"/>
      </w:r>
      <w:r w:rsidR="00F04E07">
        <w:instrText xml:space="preserve"> REF _Ref98325053 \w \h </w:instrText>
      </w:r>
      <w:r w:rsidR="00F04E07">
        <w:fldChar w:fldCharType="separate"/>
      </w:r>
      <w:r w:rsidR="00AE4D34">
        <w:t>Appendix E</w:t>
      </w:r>
      <w:r w:rsidR="00F04E07">
        <w:fldChar w:fldCharType="end"/>
      </w:r>
      <w:r w:rsidR="00242B52">
        <w:t xml:space="preserve"> presenting the full analysis of the evidence base reviewed</w:t>
      </w:r>
      <w:r w:rsidR="00071691">
        <w:t>.</w:t>
      </w:r>
      <w:r>
        <w:t xml:space="preserve"> </w:t>
      </w:r>
    </w:p>
    <w:p w14:paraId="0F86E5AA" w14:textId="77777777" w:rsidR="00A1032A" w:rsidRDefault="00AD1559" w:rsidP="00C7519A">
      <w:pPr>
        <w:pStyle w:val="Heading3"/>
      </w:pPr>
      <w:r>
        <w:t>I</w:t>
      </w:r>
      <w:r w:rsidR="00A1032A">
        <w:t>mproving intermediate outcomes</w:t>
      </w:r>
    </w:p>
    <w:p w14:paraId="4C66BE59" w14:textId="2F5CB7B5" w:rsidR="00F61719" w:rsidRDefault="00A1032A" w:rsidP="00A1032A">
      <w:pPr>
        <w:pStyle w:val="Heading4"/>
      </w:pPr>
      <w:r>
        <w:t>I</w:t>
      </w:r>
      <w:r w:rsidR="00AD1559">
        <w:t>ncreasing m</w:t>
      </w:r>
      <w:r w:rsidR="00F61719">
        <w:t>ental health literacy</w:t>
      </w:r>
    </w:p>
    <w:p w14:paraId="09C1969E" w14:textId="4D41B69D" w:rsidR="00F61719" w:rsidRDefault="00A5586C" w:rsidP="00F61719">
      <w:pPr>
        <w:pStyle w:val="BodyText"/>
      </w:pPr>
      <w:r>
        <w:t xml:space="preserve">In the headspace context, mental health literacy refers to knowledge about mental health, how to manage mental health and how to go about accessing support with mental health concerns. </w:t>
      </w:r>
      <w:r w:rsidR="00F61719" w:rsidRPr="00442E1C">
        <w:t>Through improving mental health literacy, the headspace model supports the medium</w:t>
      </w:r>
      <w:r w:rsidR="00F61719">
        <w:t>-</w:t>
      </w:r>
      <w:r w:rsidR="00F61719" w:rsidRPr="00442E1C">
        <w:t>term impact that young people are better able to manage their mental health in the medium- to long-term, including identifying when they need to seek help and support. Ultimately</w:t>
      </w:r>
      <w:r w:rsidR="004B4523">
        <w:t xml:space="preserve"> in the model,</w:t>
      </w:r>
      <w:r w:rsidR="00F61719" w:rsidRPr="00442E1C">
        <w:t xml:space="preserve"> </w:t>
      </w:r>
      <w:r w:rsidR="00F61719">
        <w:t xml:space="preserve">improved mental health literacy contributes to </w:t>
      </w:r>
      <w:r w:rsidR="00F61719" w:rsidRPr="00442E1C">
        <w:t>long-term impacts of improved health outcomes for young people and increased social and economic participation outcomes for young people over the</w:t>
      </w:r>
      <w:r w:rsidR="00F61719">
        <w:t>ir</w:t>
      </w:r>
      <w:r w:rsidR="00F61719" w:rsidRPr="00442E1C">
        <w:t xml:space="preserve"> life course.</w:t>
      </w:r>
    </w:p>
    <w:p w14:paraId="62BBE8D6" w14:textId="00168A1B" w:rsidR="00F61719" w:rsidRDefault="00F61719" w:rsidP="00F61719">
      <w:pPr>
        <w:pStyle w:val="BodyText"/>
      </w:pPr>
      <w:r>
        <w:t xml:space="preserve">As the world experiences unprecedented challenges in the face of COVID-19, good mental health literacy in young people and their key support people may lead to better outcomes for those with mental </w:t>
      </w:r>
      <w:r w:rsidR="00BA5817">
        <w:t>ill-health</w:t>
      </w:r>
      <w:r>
        <w:t xml:space="preserve">, either by </w:t>
      </w:r>
      <w:r>
        <w:rPr>
          <w:rFonts w:cs="Arial"/>
          <w:color w:val="202124"/>
          <w:shd w:val="clear" w:color="auto" w:fill="FFFFFF"/>
        </w:rPr>
        <w:t>assisting early help</w:t>
      </w:r>
      <w:r w:rsidR="00BD29DF">
        <w:rPr>
          <w:rFonts w:cs="Arial"/>
          <w:color w:val="202124"/>
          <w:shd w:val="clear" w:color="auto" w:fill="FFFFFF"/>
        </w:rPr>
        <w:t xml:space="preserve"> </w:t>
      </w:r>
      <w:r>
        <w:rPr>
          <w:rFonts w:cs="Arial"/>
          <w:color w:val="202124"/>
          <w:shd w:val="clear" w:color="auto" w:fill="FFFFFF"/>
        </w:rPr>
        <w:t>seeking by young people themselves</w:t>
      </w:r>
      <w:r>
        <w:t>, or by their support people identifying early signs of mental disorders and seeking help on their behalf</w:t>
      </w:r>
      <w:r w:rsidR="00CC0438">
        <w:rPr>
          <w:rFonts w:ascii="ZWAdobeF" w:hAnsi="ZWAdobeF" w:cs="ZWAdobeF"/>
          <w:sz w:val="2"/>
          <w:szCs w:val="2"/>
        </w:rPr>
        <w:t>100F</w:t>
      </w:r>
      <w:r>
        <w:rPr>
          <w:rStyle w:val="FootnoteReference"/>
        </w:rPr>
        <w:footnoteReference w:id="102"/>
      </w:r>
      <w:r w:rsidR="00A21361">
        <w:rPr>
          <w:vertAlign w:val="superscript"/>
        </w:rPr>
        <w:t>,</w:t>
      </w:r>
      <w:r w:rsidR="00CC0438">
        <w:rPr>
          <w:rFonts w:ascii="ZWAdobeF" w:hAnsi="ZWAdobeF" w:cs="ZWAdobeF"/>
          <w:sz w:val="2"/>
          <w:szCs w:val="2"/>
        </w:rPr>
        <w:t>101F</w:t>
      </w:r>
      <w:r>
        <w:rPr>
          <w:rStyle w:val="FootnoteReference"/>
        </w:rPr>
        <w:footnoteReference w:id="103"/>
      </w:r>
      <w:r>
        <w:t xml:space="preserve">. </w:t>
      </w:r>
    </w:p>
    <w:p w14:paraId="5DE057D8" w14:textId="7BBCEDA5" w:rsidR="00F61719" w:rsidRDefault="00F61719" w:rsidP="00F61719">
      <w:pPr>
        <w:pStyle w:val="BodyText"/>
      </w:pPr>
      <w:r>
        <w:t xml:space="preserve">Previous evaluation work undertaken by headspace National indicates that the headspace model is considered to be effective in building mental health literacy for young people. For example, Colmar Brunton conducted a </w:t>
      </w:r>
      <w:r w:rsidR="00540A93">
        <w:t xml:space="preserve">survey </w:t>
      </w:r>
      <w:r>
        <w:t>which found consistent feedback across stakeholder groups that headspace supports better understanding of mental health, ill health and seeking help</w:t>
      </w:r>
      <w:r w:rsidR="006E5179">
        <w:t>, which all contribute to increased mental health literacy</w:t>
      </w:r>
      <w:r w:rsidR="00CC0438">
        <w:rPr>
          <w:rFonts w:ascii="ZWAdobeF" w:hAnsi="ZWAdobeF" w:cs="ZWAdobeF"/>
          <w:sz w:val="2"/>
          <w:szCs w:val="2"/>
        </w:rPr>
        <w:t>102F</w:t>
      </w:r>
      <w:r>
        <w:rPr>
          <w:rStyle w:val="FootnoteReference"/>
        </w:rPr>
        <w:footnoteReference w:id="104"/>
      </w:r>
      <w:r>
        <w:t>.</w:t>
      </w:r>
    </w:p>
    <w:p w14:paraId="0296EE36" w14:textId="185F2648" w:rsidR="00F61719" w:rsidRDefault="00F61719" w:rsidP="00F61719">
      <w:pPr>
        <w:pStyle w:val="BodyText"/>
      </w:pPr>
      <w:r>
        <w:t xml:space="preserve">In order for the current evaluation to examine the extent to which the headspace model is effective in increasing mental health literacy, a range of data and evidence was reviewed from across the fieldwork activities conducted for this project. These are described </w:t>
      </w:r>
      <w:r w:rsidR="003D589F">
        <w:t xml:space="preserve">in Appendix </w:t>
      </w:r>
      <w:r w:rsidR="00C15813">
        <w:fldChar w:fldCharType="begin" w:fldLock="1"/>
      </w:r>
      <w:r w:rsidR="00C15813">
        <w:instrText xml:space="preserve"> REF _Ref98325710 \w \h </w:instrText>
      </w:r>
      <w:r w:rsidR="00C15813">
        <w:fldChar w:fldCharType="separate"/>
      </w:r>
      <w:r w:rsidR="00AE4D34">
        <w:t>D.1</w:t>
      </w:r>
      <w:r w:rsidR="00C15813">
        <w:fldChar w:fldCharType="end"/>
      </w:r>
      <w:r>
        <w:t xml:space="preserve"> and include analysis of </w:t>
      </w:r>
      <w:r w:rsidR="00423ECE">
        <w:t xml:space="preserve">young people’s views collected through </w:t>
      </w:r>
      <w:r>
        <w:t xml:space="preserve">the hMDS, interviews with </w:t>
      </w:r>
      <w:r w:rsidR="009D4F82">
        <w:t xml:space="preserve">young people who are current or former headspace </w:t>
      </w:r>
      <w:r>
        <w:t xml:space="preserve">service users, and survey responses from </w:t>
      </w:r>
      <w:r w:rsidR="00B81994">
        <w:t>service</w:t>
      </w:r>
      <w:r>
        <w:t xml:space="preserve"> and lead agency staff. </w:t>
      </w:r>
    </w:p>
    <w:p w14:paraId="1AE6008F" w14:textId="0E948566" w:rsidR="00E66D47" w:rsidRDefault="003626F4" w:rsidP="00E51551">
      <w:pPr>
        <w:pStyle w:val="BodyText"/>
      </w:pPr>
      <w:r>
        <w:t>Y</w:t>
      </w:r>
      <w:r w:rsidR="00E51551">
        <w:t>oung people using headspace and staff working within the headspace model have strong, positive views about the effect</w:t>
      </w:r>
      <w:r w:rsidR="00D3533A">
        <w:t>ive</w:t>
      </w:r>
      <w:r w:rsidR="00C15813">
        <w:t>ness</w:t>
      </w:r>
      <w:r w:rsidR="00E51551">
        <w:t xml:space="preserve"> </w:t>
      </w:r>
      <w:r w:rsidR="00460C83">
        <w:t xml:space="preserve">of </w:t>
      </w:r>
      <w:r w:rsidR="00E51551">
        <w:t xml:space="preserve">headspace </w:t>
      </w:r>
      <w:r w:rsidR="00460C83">
        <w:t>in</w:t>
      </w:r>
      <w:r w:rsidR="00E51551">
        <w:t xml:space="preserve"> increasing mental health literacy</w:t>
      </w:r>
      <w:r w:rsidR="009472E1">
        <w:t xml:space="preserve">, </w:t>
      </w:r>
      <w:r w:rsidR="00143E43">
        <w:t xml:space="preserve">and </w:t>
      </w:r>
      <w:r w:rsidR="00C15813">
        <w:t xml:space="preserve">consider that </w:t>
      </w:r>
      <w:r w:rsidR="00143E43">
        <w:t xml:space="preserve">the more </w:t>
      </w:r>
      <w:r w:rsidR="0086431C">
        <w:t xml:space="preserve">contact a young person has had with headspace, the stronger their positive </w:t>
      </w:r>
      <w:r w:rsidR="00323542">
        <w:t>views of headspace’s impact on their mental health literacy.</w:t>
      </w:r>
      <w:r w:rsidR="00E51551">
        <w:t xml:space="preserve"> Young people </w:t>
      </w:r>
      <w:r w:rsidR="002A631C">
        <w:t xml:space="preserve">interviewed </w:t>
      </w:r>
      <w:r w:rsidR="00E51551">
        <w:t xml:space="preserve">highlighted useful strategies headspace had given them in identifying and managing their mental health issues, while they also indicated that finding a staff member at headspace with whom they could build a rapport was an essential enabler of improving the mental health literacy of young people. </w:t>
      </w:r>
    </w:p>
    <w:p w14:paraId="60096B72" w14:textId="154C6868" w:rsidR="00E51551" w:rsidRDefault="006A1267" w:rsidP="00E51551">
      <w:pPr>
        <w:pStyle w:val="BodyText"/>
      </w:pPr>
      <w:r>
        <w:t xml:space="preserve">Staff from headspace services and lead agencies </w:t>
      </w:r>
      <w:r w:rsidR="005E5862">
        <w:t>consider increasing mental health literacy to be a strength of the headspace model. They describe</w:t>
      </w:r>
      <w:r w:rsidR="00E51551">
        <w:t xml:space="preserve"> clinical, community and information related activities</w:t>
      </w:r>
      <w:r w:rsidR="002A6A46">
        <w:t xml:space="preserve"> across the hMIF as integral to this success</w:t>
      </w:r>
      <w:r w:rsidR="00E51551">
        <w:t>, indicating that improving mental health literacy is embedded across the headspace model. The</w:t>
      </w:r>
      <w:r w:rsidR="00272583">
        <w:t xml:space="preserve">y also highlighted that </w:t>
      </w:r>
      <w:r w:rsidR="004F7DD5">
        <w:t>workforce pressures,</w:t>
      </w:r>
      <w:r w:rsidR="00272583">
        <w:t xml:space="preserve"> wait times at </w:t>
      </w:r>
      <w:r w:rsidR="000446D8">
        <w:t xml:space="preserve">headspace </w:t>
      </w:r>
      <w:r w:rsidR="00B81994">
        <w:t>service</w:t>
      </w:r>
      <w:r w:rsidR="00272583">
        <w:t xml:space="preserve">s </w:t>
      </w:r>
      <w:r w:rsidR="004D6781">
        <w:t xml:space="preserve">and </w:t>
      </w:r>
      <w:r w:rsidR="00E51551">
        <w:t>limited capacity across the local service system to engage during COVID-19 restrictions</w:t>
      </w:r>
      <w:r w:rsidR="004D6781">
        <w:t xml:space="preserve"> </w:t>
      </w:r>
      <w:r w:rsidR="00FD191C">
        <w:t>were</w:t>
      </w:r>
      <w:r w:rsidR="004D6781">
        <w:t xml:space="preserve"> key barriers to successfully increasing the mental health literacy of young people</w:t>
      </w:r>
      <w:r w:rsidR="00E51551">
        <w:t xml:space="preserve">. </w:t>
      </w:r>
    </w:p>
    <w:p w14:paraId="1A1BBF86" w14:textId="74A49469" w:rsidR="00E51551" w:rsidRPr="00CC4A59" w:rsidRDefault="003626F4" w:rsidP="00FC7AED">
      <w:pPr>
        <w:pStyle w:val="BodyText"/>
        <w:rPr>
          <w:b/>
          <w:bCs/>
        </w:rPr>
      </w:pPr>
      <w:r>
        <w:rPr>
          <w:b/>
          <w:bCs/>
        </w:rPr>
        <w:t>E</w:t>
      </w:r>
      <w:r w:rsidR="00E51551" w:rsidRPr="00CC4A59">
        <w:rPr>
          <w:b/>
          <w:bCs/>
        </w:rPr>
        <w:t>vidence from young people using headspace and headspace service staff indicates that the headspace model is effective in increasing the mental health literacy of young people engaging with its services.</w:t>
      </w:r>
    </w:p>
    <w:p w14:paraId="60C816B9" w14:textId="13E48772" w:rsidR="00771156" w:rsidRDefault="00771156" w:rsidP="00FC7AED">
      <w:pPr>
        <w:pStyle w:val="BodyText"/>
        <w:rPr>
          <w:i/>
          <w:iCs/>
        </w:rPr>
      </w:pPr>
      <w:r w:rsidRPr="00260E4B">
        <w:rPr>
          <w:i/>
          <w:iCs/>
        </w:rPr>
        <w:t xml:space="preserve">The key enabling elements of the headspace model which </w:t>
      </w:r>
      <w:r w:rsidR="000D596B">
        <w:rPr>
          <w:i/>
          <w:iCs/>
        </w:rPr>
        <w:t>support</w:t>
      </w:r>
      <w:r w:rsidRPr="00260E4B">
        <w:rPr>
          <w:i/>
          <w:iCs/>
        </w:rPr>
        <w:t xml:space="preserve"> </w:t>
      </w:r>
      <w:r w:rsidR="007D4CC6" w:rsidRPr="00260E4B">
        <w:rPr>
          <w:i/>
          <w:iCs/>
        </w:rPr>
        <w:t>mental health literacy are</w:t>
      </w:r>
      <w:r w:rsidR="00260E4B" w:rsidRPr="00260E4B">
        <w:rPr>
          <w:i/>
          <w:iCs/>
        </w:rPr>
        <w:t>:</w:t>
      </w:r>
    </w:p>
    <w:p w14:paraId="701F639E" w14:textId="2F4E25DD" w:rsidR="00C11A30" w:rsidRPr="00722642" w:rsidRDefault="00DB2729" w:rsidP="00C11A30">
      <w:pPr>
        <w:pStyle w:val="Bullet1stlevel"/>
        <w:rPr>
          <w:i/>
        </w:rPr>
      </w:pPr>
      <w:r>
        <w:rPr>
          <w:i/>
        </w:rPr>
        <w:t>c</w:t>
      </w:r>
      <w:r w:rsidR="00C11A30" w:rsidRPr="00F978E2">
        <w:rPr>
          <w:i/>
        </w:rPr>
        <w:t>ommunity awareness and engagement</w:t>
      </w:r>
      <w:r>
        <w:rPr>
          <w:i/>
        </w:rPr>
        <w:t>; and</w:t>
      </w:r>
    </w:p>
    <w:p w14:paraId="63240BB7" w14:textId="640F5F15" w:rsidR="00C11A30" w:rsidRPr="00845ABF" w:rsidRDefault="00DB2729" w:rsidP="00C11A30">
      <w:pPr>
        <w:pStyle w:val="Bullet1stlevel"/>
        <w:rPr>
          <w:i/>
        </w:rPr>
      </w:pPr>
      <w:r>
        <w:rPr>
          <w:i/>
        </w:rPr>
        <w:t>m</w:t>
      </w:r>
      <w:r w:rsidR="00C11A30" w:rsidRPr="007878C0">
        <w:rPr>
          <w:i/>
        </w:rPr>
        <w:t>ulti-disciplinary workforce.</w:t>
      </w:r>
    </w:p>
    <w:p w14:paraId="78DA4ED5" w14:textId="1A5E0902" w:rsidR="00A37610" w:rsidRPr="00C7519A" w:rsidRDefault="00AD1559" w:rsidP="00A1032A">
      <w:pPr>
        <w:pStyle w:val="Heading4"/>
      </w:pPr>
      <w:r>
        <w:t>Increasing e</w:t>
      </w:r>
      <w:r w:rsidR="00493E31">
        <w:t>arly help seeking behaviour</w:t>
      </w:r>
    </w:p>
    <w:p w14:paraId="2402D363" w14:textId="3CBF93A1" w:rsidR="00FE4A22" w:rsidRPr="00C512BC" w:rsidRDefault="00FE4A22" w:rsidP="00FE4A22">
      <w:pPr>
        <w:pStyle w:val="BodyText"/>
        <w:rPr>
          <w:shd w:val="clear" w:color="auto" w:fill="FFFFFF"/>
        </w:rPr>
      </w:pPr>
      <w:r w:rsidRPr="00C512BC">
        <w:rPr>
          <w:shd w:val="clear" w:color="auto" w:fill="FFFFFF"/>
        </w:rPr>
        <w:t>In the headspace program logic, increasing early help seeking is key to improving short</w:t>
      </w:r>
      <w:r>
        <w:rPr>
          <w:shd w:val="clear" w:color="auto" w:fill="FFFFFF"/>
        </w:rPr>
        <w:t>-</w:t>
      </w:r>
      <w:r w:rsidRPr="00C512BC">
        <w:rPr>
          <w:shd w:val="clear" w:color="auto" w:fill="FFFFFF"/>
        </w:rPr>
        <w:t>term impacts for young people and families in increasing their knowledge about</w:t>
      </w:r>
      <w:r>
        <w:rPr>
          <w:shd w:val="clear" w:color="auto" w:fill="FFFFFF"/>
        </w:rPr>
        <w:t>,</w:t>
      </w:r>
      <w:r w:rsidRPr="00C512BC">
        <w:rPr>
          <w:shd w:val="clear" w:color="auto" w:fill="FFFFFF"/>
        </w:rPr>
        <w:t xml:space="preserve"> and willingness to seek help with</w:t>
      </w:r>
      <w:r>
        <w:rPr>
          <w:shd w:val="clear" w:color="auto" w:fill="FFFFFF"/>
        </w:rPr>
        <w:t>,</w:t>
      </w:r>
      <w:r w:rsidRPr="00C512BC">
        <w:rPr>
          <w:shd w:val="clear" w:color="auto" w:fill="FFFFFF"/>
        </w:rPr>
        <w:t xml:space="preserve"> mental health issues. It is also associated with having improved attitudes towards mental health and mental illness. These</w:t>
      </w:r>
      <w:r>
        <w:rPr>
          <w:shd w:val="clear" w:color="auto" w:fill="FFFFFF"/>
        </w:rPr>
        <w:t>,</w:t>
      </w:r>
      <w:r w:rsidRPr="00C512BC">
        <w:rPr>
          <w:shd w:val="clear" w:color="auto" w:fill="FFFFFF"/>
        </w:rPr>
        <w:t xml:space="preserve"> in turn</w:t>
      </w:r>
      <w:r>
        <w:rPr>
          <w:shd w:val="clear" w:color="auto" w:fill="FFFFFF"/>
        </w:rPr>
        <w:t>,</w:t>
      </w:r>
      <w:r w:rsidRPr="00C512BC">
        <w:rPr>
          <w:shd w:val="clear" w:color="auto" w:fill="FFFFFF"/>
        </w:rPr>
        <w:t xml:space="preserve"> relate to a range of medium</w:t>
      </w:r>
      <w:r>
        <w:rPr>
          <w:shd w:val="clear" w:color="auto" w:fill="FFFFFF"/>
        </w:rPr>
        <w:t>-</w:t>
      </w:r>
      <w:r w:rsidRPr="00C512BC">
        <w:rPr>
          <w:shd w:val="clear" w:color="auto" w:fill="FFFFFF"/>
        </w:rPr>
        <w:t>term impacts around help seeking, early identification of emerging mental health problems and increased help</w:t>
      </w:r>
      <w:r w:rsidR="00BD29DF">
        <w:rPr>
          <w:shd w:val="clear" w:color="auto" w:fill="FFFFFF"/>
        </w:rPr>
        <w:t xml:space="preserve"> </w:t>
      </w:r>
      <w:r w:rsidRPr="00C512BC">
        <w:rPr>
          <w:shd w:val="clear" w:color="auto" w:fill="FFFFFF"/>
        </w:rPr>
        <w:t>seeking behaviour. In the headspace context, these are all identified as contributors to the long</w:t>
      </w:r>
      <w:r>
        <w:rPr>
          <w:shd w:val="clear" w:color="auto" w:fill="FFFFFF"/>
        </w:rPr>
        <w:t>-</w:t>
      </w:r>
      <w:r w:rsidRPr="00C512BC">
        <w:rPr>
          <w:shd w:val="clear" w:color="auto" w:fill="FFFFFF"/>
        </w:rPr>
        <w:t>term impacts</w:t>
      </w:r>
      <w:r w:rsidR="00B8424E">
        <w:rPr>
          <w:shd w:val="clear" w:color="auto" w:fill="FFFFFF"/>
        </w:rPr>
        <w:t xml:space="preserve"> the</w:t>
      </w:r>
      <w:r w:rsidRPr="00C512BC">
        <w:rPr>
          <w:shd w:val="clear" w:color="auto" w:fill="FFFFFF"/>
        </w:rPr>
        <w:t xml:space="preserve"> headspace </w:t>
      </w:r>
      <w:r w:rsidR="00B8424E">
        <w:rPr>
          <w:shd w:val="clear" w:color="auto" w:fill="FFFFFF"/>
        </w:rPr>
        <w:t xml:space="preserve">model </w:t>
      </w:r>
      <w:r w:rsidRPr="00C512BC">
        <w:rPr>
          <w:shd w:val="clear" w:color="auto" w:fill="FFFFFF"/>
        </w:rPr>
        <w:t>is seeking for improved outcomes over the life course.</w:t>
      </w:r>
    </w:p>
    <w:p w14:paraId="1B744E1D" w14:textId="19F5C9DB" w:rsidR="00FE4A22" w:rsidRDefault="00FE4A22" w:rsidP="00FE4A22">
      <w:pPr>
        <w:pStyle w:val="BodyText"/>
        <w:rPr>
          <w:shd w:val="clear" w:color="auto" w:fill="FFFFFF"/>
        </w:rPr>
      </w:pPr>
      <w:r>
        <w:rPr>
          <w:shd w:val="clear" w:color="auto" w:fill="FFFFFF"/>
        </w:rPr>
        <w:t>The headspace model includes ‘early intervention’ as a core service component, defined as “</w:t>
      </w:r>
      <w:r>
        <w:t>the identification and provision of intervention and support services as early as possible in the development of mental health difficulties to prevent or delay the onset of mental ill-health or reduce the impact associated with mental ill-health and improve outcomes”</w:t>
      </w:r>
      <w:r w:rsidR="00CC0438">
        <w:rPr>
          <w:rFonts w:ascii="ZWAdobeF" w:hAnsi="ZWAdobeF" w:cs="ZWAdobeF"/>
          <w:sz w:val="2"/>
          <w:szCs w:val="2"/>
        </w:rPr>
        <w:t>103F</w:t>
      </w:r>
      <w:r>
        <w:rPr>
          <w:rStyle w:val="FootnoteReference"/>
          <w:rFonts w:cs="Calibri"/>
          <w:szCs w:val="20"/>
        </w:rPr>
        <w:footnoteReference w:id="105"/>
      </w:r>
      <w:r>
        <w:t>.</w:t>
      </w:r>
      <w:r w:rsidRPr="00C52ACE">
        <w:rPr>
          <w:shd w:val="clear" w:color="auto" w:fill="FFFFFF"/>
        </w:rPr>
        <w:t xml:space="preserve"> </w:t>
      </w:r>
    </w:p>
    <w:p w14:paraId="57E57D82" w14:textId="63CD1C2B" w:rsidR="00FE4A22" w:rsidRDefault="00FE4A22" w:rsidP="00FE4A22">
      <w:pPr>
        <w:pStyle w:val="BodyText"/>
        <w:rPr>
          <w:shd w:val="clear" w:color="auto" w:fill="FFFFFF"/>
        </w:rPr>
      </w:pPr>
      <w:r w:rsidRPr="001C361B">
        <w:rPr>
          <w:rFonts w:cs="Calibri"/>
          <w:szCs w:val="20"/>
        </w:rPr>
        <w:t>Mental illness for young people usually manifests before the age of 21, indicating the importance of treatment and assistance provided early in life, early in illness and early in an incident</w:t>
      </w:r>
      <w:r w:rsidR="00CC0438">
        <w:rPr>
          <w:rFonts w:ascii="ZWAdobeF" w:hAnsi="ZWAdobeF" w:cs="ZWAdobeF"/>
          <w:sz w:val="2"/>
          <w:szCs w:val="2"/>
        </w:rPr>
        <w:t>104F</w:t>
      </w:r>
      <w:r w:rsidRPr="001C361B">
        <w:rPr>
          <w:rStyle w:val="FootnoteReference"/>
          <w:szCs w:val="20"/>
          <w:shd w:val="clear" w:color="auto" w:fill="FFFFFF"/>
        </w:rPr>
        <w:footnoteReference w:id="106"/>
      </w:r>
      <w:r w:rsidR="00A21361">
        <w:rPr>
          <w:rFonts w:cs="Calibri"/>
          <w:szCs w:val="20"/>
          <w:vertAlign w:val="superscript"/>
        </w:rPr>
        <w:t>,</w:t>
      </w:r>
      <w:r w:rsidR="00CC0438">
        <w:rPr>
          <w:rFonts w:ascii="ZWAdobeF" w:hAnsi="ZWAdobeF" w:cs="ZWAdobeF"/>
          <w:sz w:val="2"/>
          <w:szCs w:val="2"/>
        </w:rPr>
        <w:t>105F</w:t>
      </w:r>
      <w:r>
        <w:rPr>
          <w:rStyle w:val="FootnoteReference"/>
          <w:shd w:val="clear" w:color="auto" w:fill="FFFFFF"/>
        </w:rPr>
        <w:footnoteReference w:id="107"/>
      </w:r>
      <w:r>
        <w:rPr>
          <w:shd w:val="clear" w:color="auto" w:fill="FFFFFF"/>
        </w:rPr>
        <w:t>.</w:t>
      </w:r>
      <w:r w:rsidRPr="00C52ACE">
        <w:rPr>
          <w:shd w:val="clear" w:color="auto" w:fill="FFFFFF"/>
        </w:rPr>
        <w:t xml:space="preserve"> Early interventio</w:t>
      </w:r>
      <w:r>
        <w:rPr>
          <w:shd w:val="clear" w:color="auto" w:fill="FFFFFF"/>
        </w:rPr>
        <w:t xml:space="preserve">n </w:t>
      </w:r>
      <w:r w:rsidRPr="00C52ACE">
        <w:rPr>
          <w:shd w:val="clear" w:color="auto" w:fill="FFFFFF"/>
        </w:rPr>
        <w:t xml:space="preserve">programs assist a young person by identifying risk factors early or providing timely treatment for problems that can alleviate the potential harm from mental illness. </w:t>
      </w:r>
      <w:r>
        <w:rPr>
          <w:shd w:val="clear" w:color="auto" w:fill="FFFFFF"/>
        </w:rPr>
        <w:t xml:space="preserve">Treating risk factors and symptoms early is seen as not only improving the </w:t>
      </w:r>
      <w:r w:rsidRPr="00C52ACE">
        <w:rPr>
          <w:shd w:val="clear" w:color="auto" w:fill="FFFFFF"/>
        </w:rPr>
        <w:t xml:space="preserve">social and emotional wellbeing of young people, but also </w:t>
      </w:r>
      <w:r>
        <w:rPr>
          <w:shd w:val="clear" w:color="auto" w:fill="FFFFFF"/>
        </w:rPr>
        <w:t>as</w:t>
      </w:r>
      <w:r w:rsidRPr="00C52ACE">
        <w:rPr>
          <w:shd w:val="clear" w:color="auto" w:fill="FFFFFF"/>
        </w:rPr>
        <w:t xml:space="preserve"> a cost-effective approach to improving lifelong outcomes for them</w:t>
      </w:r>
      <w:r w:rsidR="00CC0438">
        <w:rPr>
          <w:rFonts w:ascii="ZWAdobeF" w:hAnsi="ZWAdobeF" w:cs="ZWAdobeF"/>
          <w:sz w:val="2"/>
          <w:szCs w:val="2"/>
          <w:shd w:val="clear" w:color="auto" w:fill="FFFFFF"/>
        </w:rPr>
        <w:t>106F</w:t>
      </w:r>
      <w:r>
        <w:rPr>
          <w:rStyle w:val="FootnoteReference"/>
          <w:shd w:val="clear" w:color="auto" w:fill="FFFFFF"/>
        </w:rPr>
        <w:footnoteReference w:id="108"/>
      </w:r>
      <w:r>
        <w:rPr>
          <w:shd w:val="clear" w:color="auto" w:fill="FFFFFF"/>
        </w:rPr>
        <w:t>.</w:t>
      </w:r>
    </w:p>
    <w:p w14:paraId="1A0CCF4D" w14:textId="77777777" w:rsidR="00FE4A22" w:rsidRDefault="00FE4A22" w:rsidP="003006A8">
      <w:pPr>
        <w:pStyle w:val="BodyText"/>
        <w:rPr>
          <w:shd w:val="clear" w:color="auto" w:fill="FFFFFF"/>
        </w:rPr>
      </w:pPr>
      <w:r>
        <w:t xml:space="preserve">A key evaluation question for this project examines the extent to which the headspace model is associated with increased levels of early help seeking from young people. </w:t>
      </w:r>
      <w:r>
        <w:rPr>
          <w:shd w:val="clear" w:color="auto" w:fill="FFFFFF"/>
        </w:rPr>
        <w:t>For the purposes of this evaluation, early help seeking is defined as a young person engaging with headspace when they are:</w:t>
      </w:r>
    </w:p>
    <w:p w14:paraId="7CBE611D" w14:textId="56B14FDA" w:rsidR="00260E4B" w:rsidRPr="00260E4B" w:rsidRDefault="00FE4A22" w:rsidP="00260E4B">
      <w:pPr>
        <w:pStyle w:val="Bullet1stlevel"/>
      </w:pPr>
      <w:r>
        <w:rPr>
          <w:shd w:val="clear" w:color="auto" w:fill="FFFFFF"/>
        </w:rPr>
        <w:t>under 21 years of age</w:t>
      </w:r>
      <w:r w:rsidR="00255639">
        <w:rPr>
          <w:shd w:val="clear" w:color="auto" w:fill="FFFFFF"/>
        </w:rPr>
        <w:t>;</w:t>
      </w:r>
    </w:p>
    <w:p w14:paraId="691A7812" w14:textId="15CDB334" w:rsidR="00FE4A22" w:rsidRDefault="00FE4A22" w:rsidP="00260E4B">
      <w:pPr>
        <w:pStyle w:val="Bullet1stlevel"/>
      </w:pPr>
      <w:r>
        <w:t>at relatively low mental health risk status</w:t>
      </w:r>
      <w:r w:rsidR="00255639">
        <w:t>; and</w:t>
      </w:r>
      <w:r w:rsidR="009419C6">
        <w:t>/or</w:t>
      </w:r>
    </w:p>
    <w:p w14:paraId="377D48A5" w14:textId="2CEB3BBD" w:rsidR="00FE4A22" w:rsidRDefault="00FE4A22" w:rsidP="00FE4A22">
      <w:pPr>
        <w:pStyle w:val="Bullet1stlevel"/>
      </w:pPr>
      <w:r>
        <w:t xml:space="preserve">assessed as at less than </w:t>
      </w:r>
      <w:r w:rsidR="00E41CF3">
        <w:t>the</w:t>
      </w:r>
      <w:r>
        <w:t xml:space="preserve"> threshold stage of illness.</w:t>
      </w:r>
    </w:p>
    <w:p w14:paraId="5C58B051" w14:textId="40094E0E" w:rsidR="00FE4A22" w:rsidRDefault="00FE4A22" w:rsidP="00FE4A22">
      <w:pPr>
        <w:pStyle w:val="BodyText"/>
      </w:pPr>
      <w:r>
        <w:t xml:space="preserve">To examine the extent to which the headspace model is succeeding in contributing to increased early help seeking behaviour, relevant data and evidence was reviewed from across the fieldwork activities conducted for this </w:t>
      </w:r>
      <w:r w:rsidR="00255639">
        <w:t>evaluation</w:t>
      </w:r>
      <w:r>
        <w:t xml:space="preserve">. These are described </w:t>
      </w:r>
      <w:r w:rsidR="00D07C92">
        <w:t xml:space="preserve">in detail in Appendix </w:t>
      </w:r>
      <w:r w:rsidR="00A917FC">
        <w:fldChar w:fldCharType="begin" w:fldLock="1"/>
      </w:r>
      <w:r w:rsidR="00A917FC">
        <w:instrText xml:space="preserve"> REF _Ref98326016 \w \h </w:instrText>
      </w:r>
      <w:r w:rsidR="00A917FC">
        <w:fldChar w:fldCharType="separate"/>
      </w:r>
      <w:r w:rsidR="00AE4D34">
        <w:t>D.2</w:t>
      </w:r>
      <w:r w:rsidR="00A917FC">
        <w:fldChar w:fldCharType="end"/>
      </w:r>
      <w:r>
        <w:t>, and include analysis of the hMDS</w:t>
      </w:r>
      <w:r w:rsidR="002F2EA3">
        <w:t>, interviews with young people</w:t>
      </w:r>
      <w:r w:rsidR="00517BF2">
        <w:t>,</w:t>
      </w:r>
      <w:r w:rsidR="002F2EA3">
        <w:t xml:space="preserve"> </w:t>
      </w:r>
      <w:r w:rsidR="00BB6EFE">
        <w:t xml:space="preserve">interviews with </w:t>
      </w:r>
      <w:r w:rsidR="00A917FC">
        <w:t>Y</w:t>
      </w:r>
      <w:r w:rsidR="00BB6EFE">
        <w:t xml:space="preserve">outh </w:t>
      </w:r>
      <w:r w:rsidR="00A917FC">
        <w:t>R</w:t>
      </w:r>
      <w:r w:rsidR="00BB6EFE">
        <w:t xml:space="preserve">eference </w:t>
      </w:r>
      <w:r w:rsidR="00A917FC">
        <w:t>G</w:t>
      </w:r>
      <w:r w:rsidR="00BB6EFE">
        <w:t xml:space="preserve">roup members, </w:t>
      </w:r>
      <w:r w:rsidR="00491F1D">
        <w:t xml:space="preserve">interviews with university and school counsellors </w:t>
      </w:r>
      <w:r>
        <w:t xml:space="preserve">and survey responses from </w:t>
      </w:r>
      <w:r w:rsidR="00B81994">
        <w:t>service</w:t>
      </w:r>
      <w:r>
        <w:t xml:space="preserve"> and lead agency staff. </w:t>
      </w:r>
    </w:p>
    <w:p w14:paraId="460F5681" w14:textId="40044661" w:rsidR="0036474A" w:rsidRDefault="00DC6EED" w:rsidP="00DC6EED">
      <w:pPr>
        <w:pStyle w:val="BodyText"/>
      </w:pPr>
      <w:r>
        <w:t xml:space="preserve">Evidence reviewed from a range of sources indicates that early help seeking is an area of continued focus for the headspace model, with generally good results despite barriers. Administrative data in the hMDS regarding the age, mental health risk status and stage of illness of young people presenting in the period for an </w:t>
      </w:r>
      <w:r w:rsidR="00FB2CA9">
        <w:t>OOS</w:t>
      </w:r>
      <w:r>
        <w:t xml:space="preserve"> indicate that around three-quarters of young people presenting were aged under 20 years. </w:t>
      </w:r>
    </w:p>
    <w:p w14:paraId="25711843" w14:textId="626E0E3E" w:rsidR="00DC6EED" w:rsidRDefault="00DC6EED" w:rsidP="00DC6EED">
      <w:pPr>
        <w:pStyle w:val="BodyText"/>
      </w:pPr>
      <w:r>
        <w:t xml:space="preserve">Just under half of those presenting (46.1 per cent) in the period had either ‘no risk factors or symptoms of mental health problems’ or ‘risk factors present’, indicating the presence of one or more situational factors making them vulnerable to developing a mental health problem. Furthermore, just under half (41-48 per cent) of young people presenting at headspace in the period had ‘no symptoms of mental health problems or disorder’ or ‘mild to moderate general symptoms of mental health problems and/or high risk </w:t>
      </w:r>
      <w:r w:rsidR="005513AE">
        <w:rPr>
          <w:lang w:eastAsia="en-AU"/>
        </w:rPr>
        <w:t>psychosocial</w:t>
      </w:r>
      <w:r w:rsidR="00A33A8D" w:rsidDel="00A33A8D">
        <w:t xml:space="preserve"> </w:t>
      </w:r>
      <w:r>
        <w:t>stressors</w:t>
      </w:r>
      <w:r w:rsidR="0038416F">
        <w:t>’</w:t>
      </w:r>
      <w:r>
        <w:t xml:space="preserve"> (e.g</w:t>
      </w:r>
      <w:r w:rsidR="00B24A04">
        <w:t>.,</w:t>
      </w:r>
      <w:r>
        <w:t xml:space="preserve"> bullying or relationship problems). These data provide a broad indicator of ‘early help seeking’, where the young person is presenting at a young age, at an early stage of illness or with low risk factors. They show that a substantial proportion of young people attending headspace meet a broad definition of ‘early help seeking’.</w:t>
      </w:r>
    </w:p>
    <w:p w14:paraId="7EBC8A45" w14:textId="7F0CC22A" w:rsidR="00DC6EED" w:rsidRDefault="00914889" w:rsidP="00DC6EED">
      <w:pPr>
        <w:pStyle w:val="BodyText"/>
      </w:pPr>
      <w:r>
        <w:t>Data also demonstrates that s</w:t>
      </w:r>
      <w:r w:rsidR="00DC6EED">
        <w:t xml:space="preserve">taff at headspace </w:t>
      </w:r>
      <w:r>
        <w:t xml:space="preserve">services </w:t>
      </w:r>
      <w:r w:rsidR="00DC6EED">
        <w:t xml:space="preserve">are confident that their service </w:t>
      </w:r>
      <w:r w:rsidR="001C105C">
        <w:t>drives</w:t>
      </w:r>
      <w:r w:rsidR="00DC6EED">
        <w:t xml:space="preserve"> increases in early help seeking behaviour, with 87 per cent of </w:t>
      </w:r>
      <w:r w:rsidR="00B81994">
        <w:t>service</w:t>
      </w:r>
      <w:r w:rsidR="00DC6EED">
        <w:t xml:space="preserve"> and lead agency </w:t>
      </w:r>
      <w:r w:rsidR="00B5401E">
        <w:t xml:space="preserve">survey </w:t>
      </w:r>
      <w:r w:rsidR="00DC6EED">
        <w:t xml:space="preserve">respondents selecting ‘Very Well’ or ‘Well’ in response to this question. Enablers of this were identified as community engagement activities and strong brand recognition, while wait times, workforce limitations and misconceptions of headspace as being for high-needs young people were </w:t>
      </w:r>
      <w:r w:rsidR="00532B08">
        <w:t xml:space="preserve">identified as barriers, </w:t>
      </w:r>
      <w:r w:rsidR="005A35C1">
        <w:t xml:space="preserve">and </w:t>
      </w:r>
      <w:r w:rsidR="00532B08">
        <w:t xml:space="preserve">also raised </w:t>
      </w:r>
      <w:r w:rsidR="00DC6EED">
        <w:t xml:space="preserve">by school and university counsellors and young people who do not use headspace. </w:t>
      </w:r>
    </w:p>
    <w:p w14:paraId="0B1D532D" w14:textId="6E42EB76" w:rsidR="002B4795" w:rsidRDefault="00DC6EED" w:rsidP="00DC6EED">
      <w:pPr>
        <w:pStyle w:val="BodyText"/>
      </w:pPr>
      <w:r>
        <w:t xml:space="preserve">This data provides a range of lenses through which to examine the question as to whether headspace is improving early help seeking in young people. </w:t>
      </w:r>
      <w:r w:rsidR="00814083">
        <w:t>T</w:t>
      </w:r>
      <w:r>
        <w:t>he model is working well, however pressure points in the system around demand and workforce issues, as well as perceptions of head</w:t>
      </w:r>
      <w:r w:rsidR="002F1879">
        <w:t>s</w:t>
      </w:r>
      <w:r>
        <w:t>pace’s intended purpose, remain barriers to the promotion of early help seeking.</w:t>
      </w:r>
      <w:r w:rsidR="00E57214" w:rsidRPr="00E57214">
        <w:t xml:space="preserve"> </w:t>
      </w:r>
      <w:r w:rsidR="00E57214">
        <w:t xml:space="preserve">With increased access by those from younger age groups, </w:t>
      </w:r>
      <w:r w:rsidR="00483D2C">
        <w:t xml:space="preserve">and relatively stable </w:t>
      </w:r>
      <w:r w:rsidR="0087078B">
        <w:t>levels of access by young people with low</w:t>
      </w:r>
      <w:r w:rsidR="00E57214">
        <w:t xml:space="preserve"> mental health risk factors and </w:t>
      </w:r>
      <w:r w:rsidR="0087078B">
        <w:t xml:space="preserve">in </w:t>
      </w:r>
      <w:r w:rsidR="003E5697">
        <w:t>the</w:t>
      </w:r>
      <w:r w:rsidR="0087078B">
        <w:t xml:space="preserve"> early </w:t>
      </w:r>
      <w:r w:rsidR="00E57214">
        <w:t>stage of illness</w:t>
      </w:r>
      <w:r w:rsidR="0087078B">
        <w:t xml:space="preserve">, </w:t>
      </w:r>
      <w:r w:rsidR="00E57214">
        <w:t xml:space="preserve">data indicates that almost half of those attending headspace are seeking help </w:t>
      </w:r>
      <w:r w:rsidR="006E7569">
        <w:t xml:space="preserve">at a young age </w:t>
      </w:r>
      <w:r w:rsidR="00A518B4">
        <w:t xml:space="preserve">or </w:t>
      </w:r>
      <w:r w:rsidR="00E57214">
        <w:t>for mild mental health conditions</w:t>
      </w:r>
      <w:r w:rsidR="00A518B4">
        <w:t>, and therefo</w:t>
      </w:r>
      <w:r w:rsidR="00E57214">
        <w:t xml:space="preserve">re </w:t>
      </w:r>
      <w:r w:rsidR="004C4758">
        <w:t xml:space="preserve">are </w:t>
      </w:r>
      <w:r w:rsidR="00E57214">
        <w:t>engaging in ‘early help seeking’.</w:t>
      </w:r>
      <w:r w:rsidR="00163333">
        <w:t xml:space="preserve"> </w:t>
      </w:r>
    </w:p>
    <w:p w14:paraId="11878363" w14:textId="02D0B645" w:rsidR="00DC6EED" w:rsidRPr="002B4795" w:rsidRDefault="009B32FB" w:rsidP="00DC6EED">
      <w:pPr>
        <w:pStyle w:val="BodyText"/>
        <w:rPr>
          <w:b/>
          <w:bCs/>
        </w:rPr>
      </w:pPr>
      <w:r>
        <w:rPr>
          <w:b/>
          <w:bCs/>
        </w:rPr>
        <w:t>T</w:t>
      </w:r>
      <w:r w:rsidR="00DC6EED" w:rsidRPr="002B4795">
        <w:rPr>
          <w:b/>
          <w:bCs/>
        </w:rPr>
        <w:t>his evidence suggests that headspace is effective in improving early help seeking behaviour in young people</w:t>
      </w:r>
      <w:r w:rsidR="00E17B8B" w:rsidRPr="002B4795">
        <w:rPr>
          <w:b/>
          <w:bCs/>
        </w:rPr>
        <w:t>.</w:t>
      </w:r>
    </w:p>
    <w:p w14:paraId="0C94160A" w14:textId="1CB4B2B1" w:rsidR="002E6156" w:rsidRPr="00374161" w:rsidRDefault="002E6156" w:rsidP="004C4758">
      <w:pPr>
        <w:pStyle w:val="BodyText"/>
        <w:keepNext/>
        <w:rPr>
          <w:i/>
        </w:rPr>
      </w:pPr>
      <w:r w:rsidRPr="00114B16">
        <w:rPr>
          <w:i/>
        </w:rPr>
        <w:t xml:space="preserve">The key enabling elements of the headspace model which </w:t>
      </w:r>
      <w:r w:rsidR="000D596B" w:rsidRPr="00176C52">
        <w:rPr>
          <w:i/>
        </w:rPr>
        <w:t xml:space="preserve">support early </w:t>
      </w:r>
      <w:r w:rsidR="00B24A04" w:rsidRPr="00D906DE">
        <w:rPr>
          <w:i/>
        </w:rPr>
        <w:t>help seeking</w:t>
      </w:r>
      <w:r w:rsidR="000D596B" w:rsidRPr="00D906DE">
        <w:rPr>
          <w:i/>
        </w:rPr>
        <w:t xml:space="preserve"> behaviour</w:t>
      </w:r>
      <w:r w:rsidRPr="00383648">
        <w:rPr>
          <w:i/>
        </w:rPr>
        <w:t xml:space="preserve"> are:</w:t>
      </w:r>
    </w:p>
    <w:p w14:paraId="281E25B9" w14:textId="2781B7AD" w:rsidR="002E6156" w:rsidRPr="00722642" w:rsidRDefault="009419C6" w:rsidP="005D4BEA">
      <w:pPr>
        <w:pStyle w:val="Bullet1stlevel"/>
        <w:rPr>
          <w:i/>
        </w:rPr>
      </w:pPr>
      <w:r>
        <w:rPr>
          <w:i/>
        </w:rPr>
        <w:t>c</w:t>
      </w:r>
      <w:r w:rsidR="002E6156" w:rsidRPr="00F978E2">
        <w:rPr>
          <w:i/>
        </w:rPr>
        <w:t>ommunity awareness and engagement</w:t>
      </w:r>
      <w:r>
        <w:rPr>
          <w:i/>
        </w:rPr>
        <w:t>; and</w:t>
      </w:r>
    </w:p>
    <w:p w14:paraId="2799E481" w14:textId="36702969" w:rsidR="002E6156" w:rsidRPr="00845ABF" w:rsidRDefault="009419C6" w:rsidP="005D4BEA">
      <w:pPr>
        <w:pStyle w:val="Bullet1stlevel"/>
        <w:rPr>
          <w:i/>
        </w:rPr>
      </w:pPr>
      <w:r>
        <w:rPr>
          <w:i/>
        </w:rPr>
        <w:t>m</w:t>
      </w:r>
      <w:r w:rsidR="002E6156" w:rsidRPr="007878C0">
        <w:rPr>
          <w:i/>
        </w:rPr>
        <w:t>ulti-disciplinary workforce.</w:t>
      </w:r>
    </w:p>
    <w:p w14:paraId="36C3908A" w14:textId="396004AF" w:rsidR="00E51551" w:rsidRDefault="00753290" w:rsidP="00A1032A">
      <w:pPr>
        <w:pStyle w:val="Heading4"/>
      </w:pPr>
      <w:r>
        <w:t>Increasing access to required services</w:t>
      </w:r>
    </w:p>
    <w:p w14:paraId="2E5F94D7" w14:textId="07F17884" w:rsidR="00753290" w:rsidRPr="00B249D7" w:rsidRDefault="00753290" w:rsidP="00753290">
      <w:pPr>
        <w:pStyle w:val="BodyText"/>
      </w:pPr>
      <w:r>
        <w:t>Young people a</w:t>
      </w:r>
      <w:r w:rsidRPr="00B249D7">
        <w:t xml:space="preserve">ccessing </w:t>
      </w:r>
      <w:r>
        <w:t>required servi</w:t>
      </w:r>
      <w:r w:rsidRPr="00B249D7">
        <w:t>ce</w:t>
      </w:r>
      <w:r>
        <w:t xml:space="preserve">s through headspace is central to the headspace program logic. Young people and families being able to access services in a timely manner at low or no cost leads to young people receiving </w:t>
      </w:r>
      <w:r w:rsidRPr="009E45F1">
        <w:t>appropriate, evidence-based treatment early and increased help</w:t>
      </w:r>
      <w:r w:rsidR="00BD29DF">
        <w:t xml:space="preserve"> </w:t>
      </w:r>
      <w:r w:rsidRPr="009E45F1">
        <w:t>seeking behaviour into the medium</w:t>
      </w:r>
      <w:r w:rsidR="00C93538">
        <w:t>-</w:t>
      </w:r>
      <w:r w:rsidRPr="009E45F1">
        <w:t>term. Again, this leads to long</w:t>
      </w:r>
      <w:r>
        <w:t>-</w:t>
      </w:r>
      <w:r w:rsidRPr="009E45F1">
        <w:t>term impacts in the headspace program logic for improved outcomes over the life course.</w:t>
      </w:r>
    </w:p>
    <w:p w14:paraId="23DDC670" w14:textId="4EBE9641" w:rsidR="00753290" w:rsidRDefault="00753290" w:rsidP="00753290">
      <w:pPr>
        <w:pStyle w:val="BodyText"/>
      </w:pPr>
      <w:r w:rsidRPr="002C759A">
        <w:t>As supported by the Royal Commission's work into Victoria's mental health system, there are a number of barriers many young people come up against when seeking care.</w:t>
      </w:r>
      <w:r>
        <w:t xml:space="preserve"> </w:t>
      </w:r>
      <w:r w:rsidRPr="002C759A">
        <w:t>Demand has overtaken capacity, community-based services are under</w:t>
      </w:r>
      <w:r>
        <w:t>-</w:t>
      </w:r>
      <w:r w:rsidRPr="002C759A">
        <w:t xml:space="preserve">supplied, unsuitable or driven by crisis, services are poorly integrated and families, carers and supporters are </w:t>
      </w:r>
      <w:r w:rsidR="008D55AF">
        <w:t xml:space="preserve">often </w:t>
      </w:r>
      <w:r w:rsidRPr="002C759A">
        <w:t>left out</w:t>
      </w:r>
      <w:r w:rsidR="00CC0438">
        <w:rPr>
          <w:rFonts w:ascii="ZWAdobeF" w:hAnsi="ZWAdobeF" w:cs="ZWAdobeF"/>
          <w:sz w:val="2"/>
          <w:szCs w:val="2"/>
        </w:rPr>
        <w:t>107F</w:t>
      </w:r>
      <w:r>
        <w:rPr>
          <w:rStyle w:val="FootnoteReference"/>
        </w:rPr>
        <w:footnoteReference w:id="109"/>
      </w:r>
      <w:r>
        <w:t>.</w:t>
      </w:r>
      <w:r w:rsidRPr="002C759A">
        <w:t xml:space="preserve"> </w:t>
      </w:r>
    </w:p>
    <w:p w14:paraId="0E12715C" w14:textId="77777777" w:rsidR="00753290" w:rsidRDefault="00753290" w:rsidP="00753290">
      <w:pPr>
        <w:pStyle w:val="BodyText"/>
      </w:pPr>
      <w:r>
        <w:t xml:space="preserve">Given the increased level of funding the headspace model has received in recent years, and the expansion in the number of services around the country, a key measure of its effectiveness is to also examine the extent to which the increased number of services and service funding is associated with an increase in the overall number of young people accessing headspace. </w:t>
      </w:r>
    </w:p>
    <w:p w14:paraId="36F10446" w14:textId="1A74164C" w:rsidR="0045701F" w:rsidRDefault="0045701F" w:rsidP="0045701F">
      <w:pPr>
        <w:pStyle w:val="BodyText"/>
      </w:pPr>
      <w:r>
        <w:t>Data from a range of sources</w:t>
      </w:r>
      <w:r w:rsidR="00AA2B69">
        <w:t xml:space="preserve">, including </w:t>
      </w:r>
      <w:r w:rsidR="00413F8A">
        <w:t>hMDS data on access rates, interview</w:t>
      </w:r>
      <w:r w:rsidR="00775132">
        <w:t>s</w:t>
      </w:r>
      <w:r w:rsidR="00413F8A">
        <w:t xml:space="preserve"> with young people and </w:t>
      </w:r>
      <w:r w:rsidR="0019689A">
        <w:t xml:space="preserve">interview and survey data from headspace service providers (as detailed in Appendix </w:t>
      </w:r>
      <w:r w:rsidR="0041539B">
        <w:fldChar w:fldCharType="begin" w:fldLock="1"/>
      </w:r>
      <w:r w:rsidR="0041539B">
        <w:instrText xml:space="preserve"> REF _Ref98326291 \w \h </w:instrText>
      </w:r>
      <w:r w:rsidR="0041539B">
        <w:fldChar w:fldCharType="separate"/>
      </w:r>
      <w:r w:rsidR="00AE4D34">
        <w:t>D.3</w:t>
      </w:r>
      <w:r w:rsidR="0041539B">
        <w:fldChar w:fldCharType="end"/>
      </w:r>
      <w:r w:rsidR="0019689A">
        <w:t>)</w:t>
      </w:r>
      <w:r w:rsidR="00775132">
        <w:t>,</w:t>
      </w:r>
      <w:r>
        <w:t xml:space="preserve"> indicates that headspace is effective in increasing access to required services, but that workforce and demand pressures continue to constrain the volume of young people able to access support.</w:t>
      </w:r>
    </w:p>
    <w:p w14:paraId="573DC1AD" w14:textId="77777777" w:rsidR="0045701F" w:rsidRDefault="0045701F" w:rsidP="0045701F">
      <w:pPr>
        <w:pStyle w:val="BodyText"/>
      </w:pPr>
      <w:r>
        <w:t>At the same time, hMDS data demonstrate that, over time, the number of young people accessing support through headspace has increased steadily with the increase in number of services. Young people and headspace staff value the ‘soft entry’ approach to accessing headspace through GPs or schools, mostly face-to-face but with flexible options during COVID-19. Flexibility in opening hours was also valued, and features of the physical site were identified as improving access, for example a central location close to public transport.</w:t>
      </w:r>
    </w:p>
    <w:p w14:paraId="773BF84A" w14:textId="5335DCDD" w:rsidR="0045701F" w:rsidRDefault="0045701F" w:rsidP="0045701F">
      <w:pPr>
        <w:pStyle w:val="BodyText"/>
      </w:pPr>
      <w:r>
        <w:t xml:space="preserve">Barriers to increased access raised by various stakeholders were long waiting times </w:t>
      </w:r>
      <w:r w:rsidR="00473439">
        <w:t xml:space="preserve">for the young person </w:t>
      </w:r>
      <w:r>
        <w:t xml:space="preserve">between </w:t>
      </w:r>
      <w:r w:rsidR="00473439">
        <w:t xml:space="preserve">the </w:t>
      </w:r>
      <w:r>
        <w:t>intake</w:t>
      </w:r>
      <w:r w:rsidR="00473439">
        <w:t xml:space="preserve"> session and when they are </w:t>
      </w:r>
      <w:r>
        <w:t>assign</w:t>
      </w:r>
      <w:r w:rsidR="00473439">
        <w:t>ed</w:t>
      </w:r>
      <w:r>
        <w:t xml:space="preserve"> to a counsellor or psychologist. Insufficient funding for salaried staff was also raised, including community engagement staff, and the costs of an accessible site</w:t>
      </w:r>
      <w:r w:rsidR="00A70CA6">
        <w:t>.</w:t>
      </w:r>
      <w:r>
        <w:t xml:space="preserve"> </w:t>
      </w:r>
    </w:p>
    <w:p w14:paraId="34785CD5" w14:textId="09B4F807" w:rsidR="00DF67C4" w:rsidRPr="002B4795" w:rsidRDefault="00A70CA6" w:rsidP="0045701F">
      <w:pPr>
        <w:pStyle w:val="BodyText"/>
        <w:rPr>
          <w:b/>
          <w:bCs/>
        </w:rPr>
      </w:pPr>
      <w:r>
        <w:rPr>
          <w:b/>
          <w:bCs/>
        </w:rPr>
        <w:t>D</w:t>
      </w:r>
      <w:r w:rsidR="002740C1" w:rsidRPr="002B4795">
        <w:rPr>
          <w:b/>
          <w:bCs/>
        </w:rPr>
        <w:t xml:space="preserve">ata indicates that </w:t>
      </w:r>
      <w:r w:rsidR="0045701F" w:rsidRPr="002B4795">
        <w:rPr>
          <w:b/>
          <w:bCs/>
        </w:rPr>
        <w:t xml:space="preserve">headspace is effective in increasing access to required services. </w:t>
      </w:r>
    </w:p>
    <w:p w14:paraId="3DD08A0B" w14:textId="569FE942" w:rsidR="00CB560B" w:rsidRPr="007878C0" w:rsidRDefault="00CB560B" w:rsidP="005D4BEA">
      <w:pPr>
        <w:pStyle w:val="BodyText"/>
        <w:rPr>
          <w:i/>
        </w:rPr>
      </w:pPr>
      <w:r w:rsidRPr="00114B16">
        <w:rPr>
          <w:i/>
        </w:rPr>
        <w:t>Th</w:t>
      </w:r>
      <w:r w:rsidRPr="00176C52">
        <w:rPr>
          <w:i/>
        </w:rPr>
        <w:t xml:space="preserve">e key enabling elements of the headspace model which </w:t>
      </w:r>
      <w:r w:rsidRPr="00D906DE">
        <w:rPr>
          <w:i/>
        </w:rPr>
        <w:t>support increased a</w:t>
      </w:r>
      <w:r w:rsidRPr="00383648">
        <w:rPr>
          <w:i/>
        </w:rPr>
        <w:t>ccess to required services</w:t>
      </w:r>
      <w:r w:rsidRPr="00F978E2">
        <w:rPr>
          <w:i/>
        </w:rPr>
        <w:t xml:space="preserve"> are:</w:t>
      </w:r>
    </w:p>
    <w:p w14:paraId="044C9EFE" w14:textId="55A90B7C" w:rsidR="00CB560B" w:rsidRPr="00845ABF" w:rsidRDefault="00C93538" w:rsidP="005D4BEA">
      <w:pPr>
        <w:pStyle w:val="Bullet1stlevel"/>
        <w:rPr>
          <w:i/>
        </w:rPr>
      </w:pPr>
      <w:r>
        <w:rPr>
          <w:i/>
        </w:rPr>
        <w:t>c</w:t>
      </w:r>
      <w:r w:rsidR="00CB560B" w:rsidRPr="00845ABF">
        <w:rPr>
          <w:i/>
        </w:rPr>
        <w:t>ommunity awareness and engagement</w:t>
      </w:r>
      <w:r>
        <w:rPr>
          <w:i/>
        </w:rPr>
        <w:t>;</w:t>
      </w:r>
    </w:p>
    <w:p w14:paraId="15EFA095" w14:textId="512A8257" w:rsidR="00397048" w:rsidRPr="00F30924" w:rsidRDefault="00C93538" w:rsidP="005D4BEA">
      <w:pPr>
        <w:pStyle w:val="Bullet1stlevel"/>
        <w:rPr>
          <w:i/>
        </w:rPr>
      </w:pPr>
      <w:r>
        <w:rPr>
          <w:i/>
        </w:rPr>
        <w:t>e</w:t>
      </w:r>
      <w:r w:rsidR="00397048" w:rsidRPr="006E06D8">
        <w:rPr>
          <w:i/>
        </w:rPr>
        <w:t>nhanced access (minimising barriers to seeking professional help)</w:t>
      </w:r>
      <w:r>
        <w:rPr>
          <w:i/>
        </w:rPr>
        <w:t>; and</w:t>
      </w:r>
    </w:p>
    <w:p w14:paraId="0A7C2555" w14:textId="66D72BD4" w:rsidR="00CB560B" w:rsidRPr="00596564" w:rsidRDefault="00C93538" w:rsidP="005D4BEA">
      <w:pPr>
        <w:pStyle w:val="Bullet1stlevel"/>
        <w:rPr>
          <w:i/>
        </w:rPr>
      </w:pPr>
      <w:r>
        <w:rPr>
          <w:i/>
        </w:rPr>
        <w:t>m</w:t>
      </w:r>
      <w:r w:rsidR="00CB560B" w:rsidRPr="009861C7">
        <w:rPr>
          <w:i/>
        </w:rPr>
        <w:t>ulti-disciplinary workforce.</w:t>
      </w:r>
    </w:p>
    <w:p w14:paraId="1441C6AF" w14:textId="7CD94635" w:rsidR="005D05EC" w:rsidRDefault="005B2691" w:rsidP="00A1032A">
      <w:pPr>
        <w:pStyle w:val="Heading4"/>
      </w:pPr>
      <w:r>
        <w:t>I</w:t>
      </w:r>
      <w:r w:rsidR="00ED1171">
        <w:t>ncreasing</w:t>
      </w:r>
      <w:r>
        <w:t xml:space="preserve"> </w:t>
      </w:r>
      <w:r w:rsidR="005D05EC">
        <w:t xml:space="preserve">mental health literacy, early help seeking and access for </w:t>
      </w:r>
      <w:r w:rsidR="001334E3">
        <w:t>‘hard to reach’ groups</w:t>
      </w:r>
    </w:p>
    <w:p w14:paraId="4015FD97" w14:textId="67B95741" w:rsidR="00BD18A3" w:rsidRDefault="005D05EC" w:rsidP="00BD18A3">
      <w:pPr>
        <w:pStyle w:val="BodyText"/>
      </w:pPr>
      <w:r>
        <w:t>M</w:t>
      </w:r>
      <w:r w:rsidRPr="005D05EC">
        <w:t>ental health literacy, early help seeking and access</w:t>
      </w:r>
      <w:r>
        <w:t xml:space="preserve"> </w:t>
      </w:r>
      <w:r w:rsidR="007D0B88">
        <w:t>are</w:t>
      </w:r>
      <w:r w:rsidR="00BD18A3">
        <w:t xml:space="preserve"> important precursors to further engagement with the supports young people need to assist with their mental health and wellbeing</w:t>
      </w:r>
      <w:r w:rsidR="00150482">
        <w:t xml:space="preserve"> and</w:t>
      </w:r>
      <w:r w:rsidR="001F2F06">
        <w:t>,</w:t>
      </w:r>
      <w:r w:rsidR="00150482">
        <w:t xml:space="preserve"> overall</w:t>
      </w:r>
      <w:r w:rsidR="001F2F06">
        <w:t>,</w:t>
      </w:r>
      <w:r w:rsidR="00150482">
        <w:t xml:space="preserve"> this evaluation has found that </w:t>
      </w:r>
      <w:r w:rsidR="00EE669A">
        <w:t xml:space="preserve">headspace services are effective in supporting these outcomes. </w:t>
      </w:r>
    </w:p>
    <w:p w14:paraId="1E1BD0EF" w14:textId="7C0831CE" w:rsidR="004012FF" w:rsidRDefault="00EE669A" w:rsidP="00BD18A3">
      <w:pPr>
        <w:pStyle w:val="BodyText"/>
      </w:pPr>
      <w:r>
        <w:t xml:space="preserve">When examined in terms of how effectively the headspace model supports these outcomes </w:t>
      </w:r>
      <w:r w:rsidRPr="002524D6">
        <w:t xml:space="preserve">for </w:t>
      </w:r>
      <w:r w:rsidR="001334E3">
        <w:t>‘hard to reach’ groups</w:t>
      </w:r>
      <w:r w:rsidR="009D3F7C" w:rsidRPr="002524D6">
        <w:t>,</w:t>
      </w:r>
      <w:r w:rsidRPr="002524D6">
        <w:t xml:space="preserve"> the </w:t>
      </w:r>
      <w:r w:rsidR="00891AD1" w:rsidRPr="002524D6">
        <w:t xml:space="preserve">findings are more mixed. </w:t>
      </w:r>
      <w:r w:rsidR="00F31DF9">
        <w:t>Based on feedback from stakeholders across the headspace landscape, as well as on broader academic and grey literature regarding stigma and service access, f</w:t>
      </w:r>
      <w:r w:rsidR="00891AD1" w:rsidRPr="002524D6">
        <w:t xml:space="preserve">or this </w:t>
      </w:r>
      <w:r w:rsidR="002B4C49" w:rsidRPr="002524D6">
        <w:t>evaluation</w:t>
      </w:r>
      <w:r w:rsidR="00891AD1" w:rsidRPr="002524D6">
        <w:t xml:space="preserve">, </w:t>
      </w:r>
      <w:r w:rsidR="001334E3">
        <w:t>‘hard to reach’ groups</w:t>
      </w:r>
      <w:r w:rsidR="00891AD1" w:rsidRPr="002524D6">
        <w:t xml:space="preserve"> include</w:t>
      </w:r>
      <w:r w:rsidR="004012FF">
        <w:t>:</w:t>
      </w:r>
    </w:p>
    <w:p w14:paraId="08D60642" w14:textId="4C5C078A" w:rsidR="008A45B5" w:rsidRPr="002420A4" w:rsidRDefault="008A45B5" w:rsidP="00203C0E">
      <w:pPr>
        <w:pStyle w:val="Bullet1stlevel"/>
      </w:pPr>
      <w:r w:rsidRPr="002420A4">
        <w:t>Aboriginal and Torres Strait Islander you</w:t>
      </w:r>
      <w:r>
        <w:t>ng</w:t>
      </w:r>
      <w:r w:rsidRPr="002420A4">
        <w:t xml:space="preserve"> people</w:t>
      </w:r>
      <w:r w:rsidR="005101B6">
        <w:t>;</w:t>
      </w:r>
    </w:p>
    <w:p w14:paraId="15BABA11" w14:textId="019A2569" w:rsidR="008A45B5" w:rsidRDefault="008A45B5" w:rsidP="008A45B5">
      <w:pPr>
        <w:pStyle w:val="Bullet1stlevel"/>
      </w:pPr>
      <w:r>
        <w:t>young people from culturally and linguistically diverse backgrounds</w:t>
      </w:r>
      <w:r w:rsidR="005101B6">
        <w:t>;</w:t>
      </w:r>
    </w:p>
    <w:p w14:paraId="3780D879" w14:textId="418CE0F1" w:rsidR="008A45B5" w:rsidRDefault="008A45B5" w:rsidP="0007336A">
      <w:pPr>
        <w:pStyle w:val="Bullet1stlevel"/>
      </w:pPr>
      <w:r>
        <w:t>young people who identify as LGBTQIA+</w:t>
      </w:r>
      <w:r w:rsidR="005101B6">
        <w:t>; and</w:t>
      </w:r>
    </w:p>
    <w:p w14:paraId="64FD5992" w14:textId="00972664" w:rsidR="008A45B5" w:rsidRDefault="008A45B5" w:rsidP="008A45B5">
      <w:pPr>
        <w:pStyle w:val="Bullet1stlevel"/>
      </w:pPr>
      <w:r>
        <w:t>young people with disability</w:t>
      </w:r>
      <w:r w:rsidR="00CC0438">
        <w:rPr>
          <w:rFonts w:ascii="ZWAdobeF" w:hAnsi="ZWAdobeF" w:cs="ZWAdobeF"/>
          <w:sz w:val="2"/>
          <w:szCs w:val="2"/>
        </w:rPr>
        <w:t>108F</w:t>
      </w:r>
      <w:r w:rsidR="00A3000B">
        <w:rPr>
          <w:rStyle w:val="FootnoteReference"/>
        </w:rPr>
        <w:footnoteReference w:id="110"/>
      </w:r>
      <w:r>
        <w:t>.</w:t>
      </w:r>
    </w:p>
    <w:p w14:paraId="07CC5867" w14:textId="7700843D" w:rsidR="00DA0075" w:rsidRPr="00DA0075" w:rsidRDefault="00C534D2" w:rsidP="00DA0075">
      <w:pPr>
        <w:pStyle w:val="BodyText"/>
      </w:pPr>
      <w:r w:rsidRPr="009816E6">
        <w:t xml:space="preserve">Engaging groups </w:t>
      </w:r>
      <w:r>
        <w:t xml:space="preserve">considered to be </w:t>
      </w:r>
      <w:r w:rsidRPr="009816E6">
        <w:t xml:space="preserve">marginalised from mainstream health </w:t>
      </w:r>
      <w:r>
        <w:t>services</w:t>
      </w:r>
      <w:r w:rsidRPr="009816E6">
        <w:t xml:space="preserve"> </w:t>
      </w:r>
      <w:r>
        <w:t>can be</w:t>
      </w:r>
      <w:r w:rsidRPr="009816E6">
        <w:t xml:space="preserve"> difficult due to ongoing perceptions and experiences of stigma and discrimination</w:t>
      </w:r>
      <w:r w:rsidR="00CC0438">
        <w:rPr>
          <w:rFonts w:ascii="ZWAdobeF" w:hAnsi="ZWAdobeF" w:cs="ZWAdobeF"/>
          <w:sz w:val="2"/>
          <w:szCs w:val="2"/>
        </w:rPr>
        <w:t>109F</w:t>
      </w:r>
      <w:r w:rsidR="00C961EE">
        <w:rPr>
          <w:rStyle w:val="FootnoteReference"/>
        </w:rPr>
        <w:footnoteReference w:id="111"/>
      </w:r>
      <w:r w:rsidRPr="009816E6">
        <w:t xml:space="preserve">. Groups already at high risk of stigma include Aboriginal and Torres Strait Islander </w:t>
      </w:r>
      <w:r w:rsidR="00156884">
        <w:t xml:space="preserve">young </w:t>
      </w:r>
      <w:r w:rsidRPr="009816E6">
        <w:t xml:space="preserve">people, </w:t>
      </w:r>
      <w:r w:rsidR="00156884">
        <w:t>young</w:t>
      </w:r>
      <w:r w:rsidRPr="009816E6">
        <w:t xml:space="preserve"> people who identify as LGBT</w:t>
      </w:r>
      <w:r>
        <w:t>QIA+</w:t>
      </w:r>
      <w:r w:rsidR="00AF276E">
        <w:t>,</w:t>
      </w:r>
      <w:r>
        <w:t xml:space="preserve"> </w:t>
      </w:r>
      <w:r w:rsidR="00EC1F7D">
        <w:t xml:space="preserve">young </w:t>
      </w:r>
      <w:r>
        <w:t>people with disability</w:t>
      </w:r>
      <w:r w:rsidRPr="009816E6">
        <w:t xml:space="preserve"> and you</w:t>
      </w:r>
      <w:r w:rsidR="00555399">
        <w:t>ng people from</w:t>
      </w:r>
      <w:r w:rsidRPr="009816E6">
        <w:t xml:space="preserve"> </w:t>
      </w:r>
      <w:r>
        <w:t>culturally and linguistically diverse</w:t>
      </w:r>
      <w:r w:rsidRPr="009816E6">
        <w:t xml:space="preserve"> communities, where there </w:t>
      </w:r>
      <w:r>
        <w:t>may be</w:t>
      </w:r>
      <w:r w:rsidRPr="009816E6">
        <w:t xml:space="preserve"> significant stigma and taboo associated with mental illness. The Mission Australia Youth Survey 2021 highlighted that</w:t>
      </w:r>
      <w:r>
        <w:t>,</w:t>
      </w:r>
      <w:r w:rsidRPr="009816E6">
        <w:t xml:space="preserve"> </w:t>
      </w:r>
      <w:r>
        <w:t>a</w:t>
      </w:r>
      <w:r w:rsidRPr="009816E6">
        <w:t>mong</w:t>
      </w:r>
      <w:r>
        <w:rPr>
          <w:lang w:eastAsia="en-AU"/>
        </w:rPr>
        <w:t xml:space="preserve"> </w:t>
      </w:r>
      <w:r w:rsidRPr="009816E6">
        <w:t>young</w:t>
      </w:r>
      <w:r>
        <w:t xml:space="preserve"> people participating in the study, </w:t>
      </w:r>
      <w:r w:rsidRPr="009816E6">
        <w:t>51.5</w:t>
      </w:r>
      <w:r>
        <w:t xml:space="preserve"> per cent</w:t>
      </w:r>
      <w:r>
        <w:rPr>
          <w:lang w:eastAsia="en-AU"/>
        </w:rPr>
        <w:t xml:space="preserve"> </w:t>
      </w:r>
      <w:r w:rsidRPr="009816E6">
        <w:t>cited</w:t>
      </w:r>
      <w:r>
        <w:rPr>
          <w:lang w:eastAsia="en-AU"/>
        </w:rPr>
        <w:t xml:space="preserve"> </w:t>
      </w:r>
      <w:r w:rsidRPr="009816E6">
        <w:t>mental healt</w:t>
      </w:r>
      <w:r>
        <w:t xml:space="preserve">h as their top </w:t>
      </w:r>
      <w:r w:rsidRPr="009816E6">
        <w:t>obstacle</w:t>
      </w:r>
      <w:r>
        <w:rPr>
          <w:lang w:eastAsia="en-AU"/>
        </w:rPr>
        <w:t xml:space="preserve"> </w:t>
      </w:r>
      <w:r w:rsidRPr="009816E6">
        <w:t>t</w:t>
      </w:r>
      <w:r>
        <w:t xml:space="preserve">o </w:t>
      </w:r>
      <w:r w:rsidRPr="009816E6">
        <w:t>success</w:t>
      </w:r>
      <w:r>
        <w:t>, c</w:t>
      </w:r>
      <w:r w:rsidRPr="009816E6">
        <w:t>ompared</w:t>
      </w:r>
      <w:r>
        <w:rPr>
          <w:lang w:eastAsia="en-AU"/>
        </w:rPr>
        <w:t xml:space="preserve"> </w:t>
      </w:r>
      <w:r w:rsidRPr="009816E6">
        <w:t>with</w:t>
      </w:r>
      <w:r>
        <w:rPr>
          <w:lang w:eastAsia="en-AU"/>
        </w:rPr>
        <w:t xml:space="preserve"> </w:t>
      </w:r>
      <w:r w:rsidRPr="009816E6">
        <w:t>83.2</w:t>
      </w:r>
      <w:r w:rsidR="00CD52E0">
        <w:t> </w:t>
      </w:r>
      <w:r>
        <w:t>per cent</w:t>
      </w:r>
      <w:r w:rsidRPr="009816E6">
        <w:t xml:space="preserve"> of</w:t>
      </w:r>
      <w:r>
        <w:rPr>
          <w:lang w:eastAsia="en-AU"/>
        </w:rPr>
        <w:t xml:space="preserve"> </w:t>
      </w:r>
      <w:r w:rsidRPr="009816E6">
        <w:t>young</w:t>
      </w:r>
      <w:r>
        <w:rPr>
          <w:lang w:eastAsia="en-AU"/>
        </w:rPr>
        <w:t xml:space="preserve"> </w:t>
      </w:r>
      <w:r w:rsidRPr="009816E6">
        <w:t>people of</w:t>
      </w:r>
      <w:r>
        <w:rPr>
          <w:lang w:eastAsia="en-AU"/>
        </w:rPr>
        <w:t xml:space="preserve"> </w:t>
      </w:r>
      <w:r w:rsidRPr="009816E6">
        <w:t xml:space="preserve">gender </w:t>
      </w:r>
      <w:r>
        <w:t>d</w:t>
      </w:r>
      <w:r w:rsidRPr="009816E6">
        <w:t>iverse</w:t>
      </w:r>
      <w:r>
        <w:rPr>
          <w:lang w:eastAsia="en-AU"/>
        </w:rPr>
        <w:t xml:space="preserve"> </w:t>
      </w:r>
      <w:r w:rsidRPr="009816E6">
        <w:t>backgrounds</w:t>
      </w:r>
      <w:r>
        <w:rPr>
          <w:lang w:eastAsia="en-AU"/>
        </w:rPr>
        <w:t xml:space="preserve"> </w:t>
      </w:r>
      <w:r w:rsidRPr="009816E6">
        <w:t>who</w:t>
      </w:r>
      <w:r>
        <w:rPr>
          <w:lang w:eastAsia="en-AU"/>
        </w:rPr>
        <w:t xml:space="preserve"> </w:t>
      </w:r>
      <w:r w:rsidRPr="009816E6">
        <w:t>reported</w:t>
      </w:r>
      <w:r>
        <w:rPr>
          <w:lang w:eastAsia="en-AU"/>
        </w:rPr>
        <w:t xml:space="preserve"> </w:t>
      </w:r>
      <w:r w:rsidRPr="009816E6">
        <w:t>poorer</w:t>
      </w:r>
      <w:r>
        <w:t xml:space="preserve"> mental </w:t>
      </w:r>
      <w:r w:rsidRPr="009816E6">
        <w:t>health</w:t>
      </w:r>
      <w:r>
        <w:t xml:space="preserve"> </w:t>
      </w:r>
      <w:r w:rsidRPr="009816E6">
        <w:t>on</w:t>
      </w:r>
      <w:r>
        <w:t xml:space="preserve"> </w:t>
      </w:r>
      <w:r w:rsidRPr="009816E6">
        <w:t>numerous</w:t>
      </w:r>
      <w:r>
        <w:t xml:space="preserve"> </w:t>
      </w:r>
      <w:r w:rsidRPr="009816E6">
        <w:t xml:space="preserve">measures. </w:t>
      </w:r>
      <w:r>
        <w:t>In this study, a</w:t>
      </w:r>
      <w:r w:rsidRPr="009816E6">
        <w:t>lthough</w:t>
      </w:r>
      <w:r>
        <w:rPr>
          <w:lang w:eastAsia="en-AU"/>
        </w:rPr>
        <w:t xml:space="preserve"> </w:t>
      </w:r>
      <w:r w:rsidRPr="009816E6">
        <w:t>the majority of Aboriginal and Torres Strait Islander young</w:t>
      </w:r>
      <w:r>
        <w:t xml:space="preserve"> </w:t>
      </w:r>
      <w:r w:rsidRPr="009816E6">
        <w:t>people</w:t>
      </w:r>
      <w:r>
        <w:t xml:space="preserve"> </w:t>
      </w:r>
      <w:r w:rsidRPr="009816E6">
        <w:t>engage</w:t>
      </w:r>
      <w:r>
        <w:rPr>
          <w:lang w:eastAsia="en-AU"/>
        </w:rPr>
        <w:t xml:space="preserve"> </w:t>
      </w:r>
      <w:r w:rsidRPr="009816E6">
        <w:t>in</w:t>
      </w:r>
      <w:r>
        <w:rPr>
          <w:lang w:eastAsia="en-AU"/>
        </w:rPr>
        <w:t xml:space="preserve"> </w:t>
      </w:r>
      <w:r w:rsidRPr="009816E6">
        <w:t>education,</w:t>
      </w:r>
      <w:r>
        <w:rPr>
          <w:lang w:eastAsia="en-AU"/>
        </w:rPr>
        <w:t xml:space="preserve"> </w:t>
      </w:r>
      <w:r w:rsidRPr="009816E6">
        <w:t>value</w:t>
      </w:r>
      <w:r>
        <w:t xml:space="preserve"> </w:t>
      </w:r>
      <w:r w:rsidRPr="009816E6">
        <w:t>their family and friends,</w:t>
      </w:r>
      <w:r>
        <w:rPr>
          <w:lang w:eastAsia="en-AU"/>
        </w:rPr>
        <w:t xml:space="preserve"> </w:t>
      </w:r>
      <w:r w:rsidRPr="009816E6">
        <w:t>and</w:t>
      </w:r>
      <w:r>
        <w:rPr>
          <w:lang w:eastAsia="en-AU"/>
        </w:rPr>
        <w:t xml:space="preserve"> </w:t>
      </w:r>
      <w:r w:rsidRPr="009816E6">
        <w:t xml:space="preserve">feel </w:t>
      </w:r>
      <w:r>
        <w:t xml:space="preserve">positive </w:t>
      </w:r>
      <w:r w:rsidRPr="009816E6">
        <w:t>about the future, they also</w:t>
      </w:r>
      <w:r>
        <w:rPr>
          <w:lang w:eastAsia="en-AU"/>
        </w:rPr>
        <w:t xml:space="preserve"> </w:t>
      </w:r>
      <w:r w:rsidRPr="009816E6">
        <w:t>report</w:t>
      </w:r>
      <w:r>
        <w:rPr>
          <w:lang w:eastAsia="en-AU"/>
        </w:rPr>
        <w:t xml:space="preserve"> </w:t>
      </w:r>
      <w:r w:rsidRPr="009816E6">
        <w:t>greater</w:t>
      </w:r>
      <w:r>
        <w:t xml:space="preserve"> </w:t>
      </w:r>
      <w:r w:rsidRPr="009816E6">
        <w:t>challenges than their</w:t>
      </w:r>
      <w:r w:rsidR="000705A2">
        <w:t xml:space="preserve"> </w:t>
      </w:r>
      <w:r w:rsidRPr="009816E6">
        <w:t>peers</w:t>
      </w:r>
      <w:r w:rsidR="000705A2">
        <w:t xml:space="preserve"> who</w:t>
      </w:r>
      <w:r w:rsidR="000705A2" w:rsidRPr="00424359">
        <w:t xml:space="preserve"> do not identify</w:t>
      </w:r>
      <w:r w:rsidR="000705A2">
        <w:t xml:space="preserve"> as Aboriginal or Torres Strait Islander</w:t>
      </w:r>
      <w:r w:rsidRPr="009816E6">
        <w:t>, including being less likely to feel happy or very happy with their</w:t>
      </w:r>
      <w:r>
        <w:t xml:space="preserve"> </w:t>
      </w:r>
      <w:r w:rsidRPr="009816E6">
        <w:t>lives</w:t>
      </w:r>
      <w:r w:rsidR="00CC0438">
        <w:rPr>
          <w:rFonts w:ascii="ZWAdobeF" w:hAnsi="ZWAdobeF" w:cs="ZWAdobeF"/>
          <w:sz w:val="2"/>
          <w:szCs w:val="2"/>
        </w:rPr>
        <w:t>110F</w:t>
      </w:r>
      <w:r w:rsidR="002175BA">
        <w:rPr>
          <w:rStyle w:val="FootnoteReference"/>
        </w:rPr>
        <w:footnoteReference w:id="112"/>
      </w:r>
      <w:r>
        <w:t>.</w:t>
      </w:r>
    </w:p>
    <w:p w14:paraId="43484FC7" w14:textId="207A5C66" w:rsidR="00483AF8" w:rsidRDefault="00483AF8" w:rsidP="00C534D2">
      <w:pPr>
        <w:pStyle w:val="BodyText"/>
      </w:pPr>
      <w:r>
        <w:t xml:space="preserve">Other </w:t>
      </w:r>
      <w:r w:rsidR="00F928AD">
        <w:t xml:space="preserve">research </w:t>
      </w:r>
      <w:r w:rsidR="009237EA">
        <w:t xml:space="preserve">highlights enduring issues with systemic barriers and unconscious bias within the health system, where young people </w:t>
      </w:r>
      <w:r w:rsidR="003A3E0E">
        <w:t xml:space="preserve">from diverse backgrounds are less likely to </w:t>
      </w:r>
      <w:r w:rsidR="003D0094">
        <w:t xml:space="preserve">have their needs met, due to factors such as </w:t>
      </w:r>
      <w:r w:rsidR="002D5FD5">
        <w:t xml:space="preserve">lack of </w:t>
      </w:r>
      <w:r w:rsidR="00387E3C">
        <w:t xml:space="preserve">cultural </w:t>
      </w:r>
      <w:r w:rsidR="002D5FD5">
        <w:t>competence</w:t>
      </w:r>
      <w:r w:rsidR="004C2F36">
        <w:t xml:space="preserve"> and </w:t>
      </w:r>
      <w:r w:rsidR="001750FF">
        <w:t>misdiagnoses</w:t>
      </w:r>
      <w:r w:rsidR="00CC0438">
        <w:rPr>
          <w:rFonts w:ascii="ZWAdobeF" w:hAnsi="ZWAdobeF" w:cs="ZWAdobeF"/>
          <w:sz w:val="2"/>
          <w:szCs w:val="2"/>
        </w:rPr>
        <w:t>111F</w:t>
      </w:r>
      <w:r w:rsidR="007E0BC7">
        <w:rPr>
          <w:rStyle w:val="FootnoteReference"/>
        </w:rPr>
        <w:footnoteReference w:id="113"/>
      </w:r>
      <w:r w:rsidR="00ED5850" w:rsidRPr="004E60B5">
        <w:rPr>
          <w:vertAlign w:val="superscript"/>
        </w:rPr>
        <w:t>,</w:t>
      </w:r>
      <w:r w:rsidR="00CC0438">
        <w:rPr>
          <w:rFonts w:ascii="ZWAdobeF" w:hAnsi="ZWAdobeF" w:cs="ZWAdobeF"/>
          <w:sz w:val="2"/>
          <w:szCs w:val="2"/>
        </w:rPr>
        <w:t>112F</w:t>
      </w:r>
      <w:r w:rsidR="00ED5850">
        <w:rPr>
          <w:rStyle w:val="FootnoteReference"/>
        </w:rPr>
        <w:footnoteReference w:id="114"/>
      </w:r>
      <w:r w:rsidR="00ED5850" w:rsidRPr="004E60B5">
        <w:rPr>
          <w:vertAlign w:val="superscript"/>
        </w:rPr>
        <w:t>,</w:t>
      </w:r>
      <w:r w:rsidR="00CC0438">
        <w:rPr>
          <w:rFonts w:ascii="ZWAdobeF" w:hAnsi="ZWAdobeF" w:cs="ZWAdobeF"/>
          <w:sz w:val="2"/>
          <w:szCs w:val="2"/>
        </w:rPr>
        <w:t>113F</w:t>
      </w:r>
      <w:r w:rsidR="00ED5850">
        <w:rPr>
          <w:rStyle w:val="FootnoteReference"/>
        </w:rPr>
        <w:footnoteReference w:id="115"/>
      </w:r>
      <w:r w:rsidR="00ED5850" w:rsidRPr="004E60B5">
        <w:rPr>
          <w:vertAlign w:val="superscript"/>
        </w:rPr>
        <w:t>,</w:t>
      </w:r>
      <w:r w:rsidR="00CC0438">
        <w:rPr>
          <w:rFonts w:ascii="ZWAdobeF" w:hAnsi="ZWAdobeF" w:cs="ZWAdobeF"/>
          <w:sz w:val="2"/>
          <w:szCs w:val="2"/>
        </w:rPr>
        <w:t>114F</w:t>
      </w:r>
      <w:r w:rsidR="00ED5850">
        <w:rPr>
          <w:rStyle w:val="FootnoteReference"/>
        </w:rPr>
        <w:footnoteReference w:id="116"/>
      </w:r>
      <w:r w:rsidR="001750FF">
        <w:t>.</w:t>
      </w:r>
      <w:r w:rsidR="002D5FD5">
        <w:t xml:space="preserve"> </w:t>
      </w:r>
    </w:p>
    <w:p w14:paraId="6A46BCA2" w14:textId="77777777" w:rsidR="00C534D2" w:rsidRPr="00017384" w:rsidRDefault="00C534D2" w:rsidP="00C534D2">
      <w:pPr>
        <w:pStyle w:val="BodyText"/>
      </w:pPr>
      <w:r>
        <w:t xml:space="preserve">It is important to note that young people within these groups are diverse and have a variety of experiences and perspectives on issues associated with mental health. At the same time, exploring the evidence for how well the headspace model supports members of these groups allows for consideration of potential systemic factors which may reduce its efficacy for young people across the spectrum of potential life experiences. </w:t>
      </w:r>
    </w:p>
    <w:p w14:paraId="36BF7250" w14:textId="1C68A6DA" w:rsidR="00C534D2" w:rsidRDefault="00C534D2" w:rsidP="00C534D2">
      <w:pPr>
        <w:pStyle w:val="BodyText"/>
      </w:pPr>
      <w:r>
        <w:t xml:space="preserve">The evidence for how well the headspace model supports young people from </w:t>
      </w:r>
      <w:r w:rsidR="00BD29DF">
        <w:t>‘</w:t>
      </w:r>
      <w:r>
        <w:t xml:space="preserve">hard to </w:t>
      </w:r>
      <w:r w:rsidR="00BD29DF">
        <w:t>reach’</w:t>
      </w:r>
      <w:r>
        <w:t xml:space="preserve"> groups across key objectives of the model is </w:t>
      </w:r>
      <w:r w:rsidR="00302A6B">
        <w:t xml:space="preserve">detailed in Appendix </w:t>
      </w:r>
      <w:r w:rsidR="0041539B">
        <w:fldChar w:fldCharType="begin" w:fldLock="1"/>
      </w:r>
      <w:r w:rsidR="0041539B">
        <w:instrText xml:space="preserve"> REF _Ref98326316 \w \h </w:instrText>
      </w:r>
      <w:r w:rsidR="0041539B">
        <w:fldChar w:fldCharType="separate"/>
      </w:r>
      <w:r w:rsidR="00AE4D34">
        <w:t>D.4</w:t>
      </w:r>
      <w:r w:rsidR="0041539B">
        <w:fldChar w:fldCharType="end"/>
      </w:r>
      <w:r>
        <w:t xml:space="preserve">. </w:t>
      </w:r>
      <w:r w:rsidR="00941A21">
        <w:t>W</w:t>
      </w:r>
      <w:r>
        <w:t xml:space="preserve">hile there is a high degree of similarity in feedback from these groups across the key objectives, there is also some evidence </w:t>
      </w:r>
      <w:r w:rsidRPr="00D46664">
        <w:t>to suggest that meeting the needs of some stakeholder groups is a greater challenge than for others. In particular</w:t>
      </w:r>
      <w:r>
        <w:t>,</w:t>
      </w:r>
      <w:r w:rsidRPr="00D46664">
        <w:t xml:space="preserve"> workforce shortages of key staff reduce the ability for services to make young people from</w:t>
      </w:r>
      <w:r>
        <w:t xml:space="preserve"> ‘hard to reach’ backgrounds feel welcome. </w:t>
      </w:r>
    </w:p>
    <w:p w14:paraId="0C847960" w14:textId="50631CE2" w:rsidR="00EC59BA" w:rsidRDefault="00EC59BA" w:rsidP="00BD18A3">
      <w:pPr>
        <w:pStyle w:val="BodyText"/>
      </w:pPr>
      <w:r>
        <w:t xml:space="preserve">As detailed in Appendix </w:t>
      </w:r>
      <w:r w:rsidR="0041539B">
        <w:fldChar w:fldCharType="begin" w:fldLock="1"/>
      </w:r>
      <w:r w:rsidR="0041539B">
        <w:instrText xml:space="preserve"> REF _Ref98326316 \w \h </w:instrText>
      </w:r>
      <w:r w:rsidR="0041539B">
        <w:fldChar w:fldCharType="separate"/>
      </w:r>
      <w:r w:rsidR="00AE4D34">
        <w:t>D.4</w:t>
      </w:r>
      <w:r w:rsidR="0041539B">
        <w:fldChar w:fldCharType="end"/>
      </w:r>
      <w:r w:rsidR="0055187F">
        <w:t>, findings</w:t>
      </w:r>
      <w:r w:rsidR="00A15A50">
        <w:t xml:space="preserve"> show that </w:t>
      </w:r>
      <w:r w:rsidR="00A95E54">
        <w:t>‘</w:t>
      </w:r>
      <w:r w:rsidR="004C75F0">
        <w:t>hard</w:t>
      </w:r>
      <w:r w:rsidR="00A95E54" w:rsidRPr="00A95E54">
        <w:t xml:space="preserve"> to reach</w:t>
      </w:r>
      <w:r w:rsidR="00A95E54">
        <w:t>’</w:t>
      </w:r>
      <w:r w:rsidR="00A95E54" w:rsidRPr="00A95E54">
        <w:t xml:space="preserve"> groups do not see comparable increases in </w:t>
      </w:r>
      <w:r w:rsidR="00A95E54">
        <w:t>mental health</w:t>
      </w:r>
      <w:r w:rsidR="00A95E54" w:rsidRPr="00A95E54">
        <w:t xml:space="preserve"> literacy, early help seeking or</w:t>
      </w:r>
      <w:r w:rsidR="009F3A80">
        <w:t xml:space="preserve"> increased access to required services </w:t>
      </w:r>
      <w:r w:rsidR="00FF46D8">
        <w:t>compared to the general population of young people</w:t>
      </w:r>
      <w:r w:rsidR="00A95E54">
        <w:t>.</w:t>
      </w:r>
    </w:p>
    <w:p w14:paraId="1E8D2F30" w14:textId="4E33D702" w:rsidR="00A95E54" w:rsidRDefault="00A95E54" w:rsidP="00A1032A">
      <w:pPr>
        <w:pStyle w:val="Heading5"/>
      </w:pPr>
      <w:r>
        <w:t>Mental health literacy</w:t>
      </w:r>
    </w:p>
    <w:p w14:paraId="699A54CF" w14:textId="0CD91C0F" w:rsidR="00E21110" w:rsidRDefault="00551730" w:rsidP="0007336A">
      <w:pPr>
        <w:pStyle w:val="BodyText"/>
      </w:pPr>
      <w:r>
        <w:t>Self</w:t>
      </w:r>
      <w:r w:rsidR="00B24A04">
        <w:t>-</w:t>
      </w:r>
      <w:r>
        <w:t>reported m</w:t>
      </w:r>
      <w:r w:rsidR="008B5753">
        <w:t>ental health literacy</w:t>
      </w:r>
      <w:r w:rsidR="00051EC2">
        <w:t xml:space="preserve"> improvements </w:t>
      </w:r>
      <w:r w:rsidR="008C2148">
        <w:t>are similar a</w:t>
      </w:r>
      <w:r w:rsidR="00051EC2">
        <w:t>cross all cohorts of young</w:t>
      </w:r>
      <w:r w:rsidR="004C5379">
        <w:t xml:space="preserve"> </w:t>
      </w:r>
      <w:r w:rsidR="007A7BA9">
        <w:t>people</w:t>
      </w:r>
      <w:r w:rsidR="009D1694">
        <w:t xml:space="preserve"> attending headspace</w:t>
      </w:r>
      <w:r w:rsidR="0015158C">
        <w:t xml:space="preserve">, however these data </w:t>
      </w:r>
      <w:r w:rsidR="00A63585">
        <w:t>do not include an indicator of ‘with disability’</w:t>
      </w:r>
      <w:r w:rsidR="009D3F7C">
        <w:t>,</w:t>
      </w:r>
      <w:r w:rsidR="00BF2B68">
        <w:t xml:space="preserve"> preventing further insight into the mental health literacy of young people who identify as having a disability. </w:t>
      </w:r>
    </w:p>
    <w:p w14:paraId="7C3539F0" w14:textId="1B72A496" w:rsidR="00C93F42" w:rsidRDefault="00BF2B68" w:rsidP="0007336A">
      <w:pPr>
        <w:pStyle w:val="BodyText"/>
      </w:pPr>
      <w:r>
        <w:t>headspace service providers</w:t>
      </w:r>
      <w:r w:rsidR="00E93B38" w:rsidRPr="00B56D56">
        <w:t xml:space="preserve"> </w:t>
      </w:r>
      <w:r w:rsidR="005A32DF">
        <w:t>indicated</w:t>
      </w:r>
      <w:r w:rsidR="00E93B38" w:rsidRPr="00B56D56">
        <w:t xml:space="preserve"> </w:t>
      </w:r>
      <w:r w:rsidR="006D5F33">
        <w:t xml:space="preserve">that </w:t>
      </w:r>
      <w:r w:rsidR="00E93B38" w:rsidRPr="00B56D56">
        <w:t xml:space="preserve">Aboriginal and Torres Strait Islander young people, </w:t>
      </w:r>
      <w:r w:rsidR="000D67CA">
        <w:t>culturally and linguistically diverse</w:t>
      </w:r>
      <w:r w:rsidR="00E93B38" w:rsidRPr="00B56D56">
        <w:t xml:space="preserve"> young people and young people with disability all fare below the </w:t>
      </w:r>
      <w:r w:rsidR="00551730">
        <w:t>general population</w:t>
      </w:r>
      <w:r w:rsidR="00125DF5">
        <w:t xml:space="preserve"> of young people supported by headspace</w:t>
      </w:r>
      <w:r w:rsidR="00E93B38" w:rsidRPr="00B56D56">
        <w:t xml:space="preserve"> in terms of the service's impact on their mental health literacy.</w:t>
      </w:r>
      <w:r w:rsidR="00E93B38">
        <w:t xml:space="preserve"> Results </w:t>
      </w:r>
      <w:r w:rsidR="005A32DF">
        <w:t xml:space="preserve">from staff </w:t>
      </w:r>
      <w:r w:rsidR="00E93B38">
        <w:t>also indicate that engagement with LGBTQIA+ young people result in better mental health literacy than for other groups of young people.</w:t>
      </w:r>
    </w:p>
    <w:p w14:paraId="0F0D101D" w14:textId="61AD2781" w:rsidR="00F90487" w:rsidRDefault="00F90487" w:rsidP="00A1032A">
      <w:pPr>
        <w:pStyle w:val="Heading5"/>
      </w:pPr>
      <w:r>
        <w:t>Early help seeking</w:t>
      </w:r>
    </w:p>
    <w:p w14:paraId="52429B88" w14:textId="0ED15095" w:rsidR="00860E88" w:rsidRDefault="00BA2910" w:rsidP="0007336A">
      <w:pPr>
        <w:pStyle w:val="BodyText"/>
      </w:pPr>
      <w:r>
        <w:t xml:space="preserve">On measures of early help seeking, </w:t>
      </w:r>
      <w:r w:rsidR="003A3FFE">
        <w:t xml:space="preserve">there are a number of variations across groups. </w:t>
      </w:r>
    </w:p>
    <w:p w14:paraId="51507D5B" w14:textId="3995251E" w:rsidR="00DD3732" w:rsidRDefault="00DD3732" w:rsidP="0007336A">
      <w:pPr>
        <w:pStyle w:val="BodyText"/>
      </w:pPr>
      <w:r>
        <w:t xml:space="preserve">Aboriginal and Torres Strait Islander young people are significantly more likely to be under </w:t>
      </w:r>
      <w:r w:rsidR="009D3F7C">
        <w:t xml:space="preserve">the age of </w:t>
      </w:r>
      <w:r>
        <w:t xml:space="preserve">21 </w:t>
      </w:r>
      <w:r w:rsidR="00C64922">
        <w:t>compared to the general population of young people attending headspace</w:t>
      </w:r>
      <w:r w:rsidR="00596025">
        <w:t>.</w:t>
      </w:r>
      <w:r w:rsidR="00C64922">
        <w:t xml:space="preserve"> </w:t>
      </w:r>
      <w:r w:rsidR="00596025">
        <w:t>They are similarly likely to be presenting with low mental health risk as young people from the general population, but</w:t>
      </w:r>
      <w:r>
        <w:t xml:space="preserve"> </w:t>
      </w:r>
      <w:r w:rsidRPr="00055D21">
        <w:t xml:space="preserve">significantly less likely to </w:t>
      </w:r>
      <w:r>
        <w:t>be</w:t>
      </w:r>
      <w:r w:rsidRPr="00055D21">
        <w:t xml:space="preserve"> present</w:t>
      </w:r>
      <w:r>
        <w:t>ing</w:t>
      </w:r>
      <w:r w:rsidRPr="00055D21">
        <w:t xml:space="preserve"> in early stages of a disorder</w:t>
      </w:r>
      <w:r>
        <w:t xml:space="preserve"> than the general population of young people attending headspace.</w:t>
      </w:r>
      <w:r w:rsidR="008335F9">
        <w:t xml:space="preserve"> </w:t>
      </w:r>
    </w:p>
    <w:p w14:paraId="15F5E688" w14:textId="2D217F16" w:rsidR="00C93F42" w:rsidRDefault="00D8134F" w:rsidP="0007336A">
      <w:pPr>
        <w:pStyle w:val="BodyText"/>
      </w:pPr>
      <w:r>
        <w:t>Culturally and</w:t>
      </w:r>
      <w:r w:rsidR="000D67CA">
        <w:t xml:space="preserve"> linguistically diverse</w:t>
      </w:r>
      <w:r w:rsidR="00CF0DA7">
        <w:t xml:space="preserve"> young people are </w:t>
      </w:r>
      <w:r w:rsidR="00C93F42">
        <w:t>significantly more likely to be older than 21</w:t>
      </w:r>
      <w:r w:rsidR="00DA4A08">
        <w:t> </w:t>
      </w:r>
      <w:r w:rsidR="009D3F7C">
        <w:t xml:space="preserve">years of age </w:t>
      </w:r>
      <w:r w:rsidR="00C93F42">
        <w:t>when attending a headspace service</w:t>
      </w:r>
      <w:r w:rsidR="00CF0DA7">
        <w:t>, but are equally</w:t>
      </w:r>
      <w:r w:rsidR="002C5D60">
        <w:t xml:space="preserve"> as</w:t>
      </w:r>
      <w:r w:rsidR="00CF0DA7">
        <w:t xml:space="preserve"> likely as young people from the general population to be presenting with low mental health risk factors or early stages of a disorder</w:t>
      </w:r>
      <w:r w:rsidR="0026506A">
        <w:t>.</w:t>
      </w:r>
    </w:p>
    <w:p w14:paraId="76DFFBD4" w14:textId="11376C35" w:rsidR="00DA7D9C" w:rsidRPr="00DB21AB" w:rsidRDefault="00952294" w:rsidP="0007336A">
      <w:pPr>
        <w:pStyle w:val="BodyText"/>
        <w:rPr>
          <w:highlight w:val="yellow"/>
        </w:rPr>
      </w:pPr>
      <w:r>
        <w:t>LGBTQIA+</w:t>
      </w:r>
      <w:r w:rsidR="00CF0DA7">
        <w:t xml:space="preserve"> young people are significantly more likely to be older than </w:t>
      </w:r>
      <w:r w:rsidR="009D3F7C">
        <w:t xml:space="preserve">the age of </w:t>
      </w:r>
      <w:r w:rsidR="00CF0DA7">
        <w:t>21 when attending a headspace service</w:t>
      </w:r>
      <w:r w:rsidR="007A61E1">
        <w:t>, in line with general patterns of help seeking for this group</w:t>
      </w:r>
      <w:r w:rsidR="00CC0438">
        <w:rPr>
          <w:rFonts w:ascii="ZWAdobeF" w:hAnsi="ZWAdobeF" w:cs="ZWAdobeF"/>
          <w:sz w:val="2"/>
          <w:szCs w:val="2"/>
        </w:rPr>
        <w:t>115F</w:t>
      </w:r>
      <w:r w:rsidR="008D3549">
        <w:rPr>
          <w:rStyle w:val="FootnoteReference"/>
        </w:rPr>
        <w:footnoteReference w:id="117"/>
      </w:r>
      <w:r w:rsidR="00CF0DA7">
        <w:t>.</w:t>
      </w:r>
      <w:r w:rsidR="007E2E79">
        <w:t xml:space="preserve"> They are also </w:t>
      </w:r>
      <w:r w:rsidR="00DA7D9C">
        <w:t>significantly less likely to present with low levels of risk factors</w:t>
      </w:r>
      <w:r w:rsidR="00D266C0">
        <w:t xml:space="preserve">, but are </w:t>
      </w:r>
      <w:r w:rsidR="0026506A">
        <w:t>equally likely as young people from the general population to be presenting in the early stages of a disorder</w:t>
      </w:r>
      <w:r w:rsidR="00B60957">
        <w:t>.</w:t>
      </w:r>
    </w:p>
    <w:p w14:paraId="4F6884BE" w14:textId="422D4C19" w:rsidR="00860E88" w:rsidRDefault="00E027B0" w:rsidP="0007336A">
      <w:pPr>
        <w:pStyle w:val="BodyText"/>
      </w:pPr>
      <w:r>
        <w:t xml:space="preserve">The hMDS does not </w:t>
      </w:r>
      <w:r w:rsidR="00993A79">
        <w:t xml:space="preserve">ask </w:t>
      </w:r>
      <w:r w:rsidR="00721343">
        <w:t xml:space="preserve">the young person whether they </w:t>
      </w:r>
      <w:r w:rsidR="00784A76">
        <w:t xml:space="preserve">identify as having </w:t>
      </w:r>
      <w:r>
        <w:t>a disability</w:t>
      </w:r>
      <w:r w:rsidR="0083680E">
        <w:t xml:space="preserve">, preventing similar analysis of early help seeking to be </w:t>
      </w:r>
      <w:r w:rsidR="009D3F7C">
        <w:t xml:space="preserve">undertaken </w:t>
      </w:r>
      <w:r w:rsidR="0083680E">
        <w:t xml:space="preserve">for this group. </w:t>
      </w:r>
    </w:p>
    <w:p w14:paraId="6B373B73" w14:textId="7BCAA0C2" w:rsidR="00306F18" w:rsidRPr="00055894" w:rsidRDefault="00163457" w:rsidP="0007336A">
      <w:pPr>
        <w:pStyle w:val="BodyText"/>
      </w:pPr>
      <w:r>
        <w:t>Overall, these indicators of early help seeking</w:t>
      </w:r>
      <w:r w:rsidR="00624C8D">
        <w:t xml:space="preserve"> show mixed results for</w:t>
      </w:r>
      <w:r>
        <w:t xml:space="preserve"> </w:t>
      </w:r>
      <w:r w:rsidR="00006139">
        <w:t xml:space="preserve">young people from these </w:t>
      </w:r>
      <w:r w:rsidR="001334E3">
        <w:t>‘hard to reach’ groups</w:t>
      </w:r>
      <w:r w:rsidR="00006139">
        <w:t xml:space="preserve"> </w:t>
      </w:r>
      <w:r w:rsidR="005A57FA">
        <w:t xml:space="preserve">undertaking early help </w:t>
      </w:r>
      <w:r w:rsidR="00006139">
        <w:t xml:space="preserve">seeking </w:t>
      </w:r>
      <w:r w:rsidR="005A57FA">
        <w:t xml:space="preserve">for their mental health and wellbeing. </w:t>
      </w:r>
      <w:r w:rsidR="006D1EF4" w:rsidRPr="00055894">
        <w:t xml:space="preserve">Stakeholders reported the importance of outreach as a key part of the headspace model to improve young people’s willingness to seek help. </w:t>
      </w:r>
    </w:p>
    <w:p w14:paraId="32A7D238" w14:textId="77777777" w:rsidR="007B7C0A" w:rsidRDefault="007B7C0A" w:rsidP="00A1032A">
      <w:pPr>
        <w:pStyle w:val="Heading5"/>
        <w:rPr>
          <w:shd w:val="clear" w:color="auto" w:fill="FFFFFF"/>
        </w:rPr>
      </w:pPr>
      <w:r>
        <w:rPr>
          <w:shd w:val="clear" w:color="auto" w:fill="FFFFFF"/>
        </w:rPr>
        <w:t>I</w:t>
      </w:r>
      <w:r w:rsidR="003B1885">
        <w:rPr>
          <w:shd w:val="clear" w:color="auto" w:fill="FFFFFF"/>
        </w:rPr>
        <w:t>n</w:t>
      </w:r>
      <w:r>
        <w:rPr>
          <w:shd w:val="clear" w:color="auto" w:fill="FFFFFF"/>
        </w:rPr>
        <w:t>creased access to required services</w:t>
      </w:r>
    </w:p>
    <w:p w14:paraId="362C5D2F" w14:textId="5FD7CB9D" w:rsidR="00306F18" w:rsidRPr="007B7C0A" w:rsidRDefault="007C3BB4" w:rsidP="0007336A">
      <w:pPr>
        <w:pStyle w:val="BodyText"/>
      </w:pPr>
      <w:r w:rsidRPr="007B7C0A">
        <w:t>On measures of access,</w:t>
      </w:r>
      <w:r w:rsidR="00306F18" w:rsidRPr="007B7C0A">
        <w:t xml:space="preserve"> </w:t>
      </w:r>
      <w:r w:rsidR="00306F18" w:rsidRPr="00E83942">
        <w:t xml:space="preserve">data from the hMDS </w:t>
      </w:r>
      <w:r w:rsidR="00306F18">
        <w:t>shows that</w:t>
      </w:r>
      <w:r w:rsidR="009D3F7C">
        <w:t>,</w:t>
      </w:r>
      <w:r w:rsidR="00306F18">
        <w:t xml:space="preserve"> </w:t>
      </w:r>
      <w:r w:rsidR="00306F18" w:rsidRPr="003308DA">
        <w:t>o</w:t>
      </w:r>
      <w:r w:rsidR="00306F18" w:rsidRPr="004171DE">
        <w:t>ver time, access rates have</w:t>
      </w:r>
      <w:r w:rsidR="00306F18">
        <w:t xml:space="preserve"> slightly</w:t>
      </w:r>
      <w:r w:rsidR="00306F18" w:rsidRPr="004171DE">
        <w:t xml:space="preserve"> improved for </w:t>
      </w:r>
      <w:r w:rsidR="001334E3">
        <w:t>‘hard to reach’ groups</w:t>
      </w:r>
      <w:r w:rsidR="00306F18" w:rsidRPr="004171DE">
        <w:t xml:space="preserve">, however those working within headspace </w:t>
      </w:r>
      <w:r w:rsidR="00347EA0">
        <w:t>indicate</w:t>
      </w:r>
      <w:r w:rsidR="00306F18" w:rsidRPr="004171DE">
        <w:t xml:space="preserve"> the service is less effective in supporting the access rates of Aboriginal and Torres Strait Islander </w:t>
      </w:r>
      <w:r w:rsidR="00356183">
        <w:t>young people</w:t>
      </w:r>
      <w:r w:rsidR="00306F18" w:rsidRPr="004171DE">
        <w:t xml:space="preserve">, </w:t>
      </w:r>
      <w:r w:rsidR="000D67CA">
        <w:t>culturally and linguistically diverse</w:t>
      </w:r>
      <w:r w:rsidR="00306F18" w:rsidRPr="004171DE">
        <w:t xml:space="preserve"> </w:t>
      </w:r>
      <w:r w:rsidR="00356183">
        <w:t>cohorts</w:t>
      </w:r>
      <w:r w:rsidR="00306F18" w:rsidRPr="004171DE">
        <w:t xml:space="preserve"> and young people with disability. </w:t>
      </w:r>
      <w:r w:rsidR="00952294">
        <w:t>LGBTQIA+</w:t>
      </w:r>
      <w:r w:rsidR="00306F18" w:rsidRPr="004171DE">
        <w:t xml:space="preserve"> </w:t>
      </w:r>
      <w:r w:rsidR="000B13A4">
        <w:t>young people</w:t>
      </w:r>
      <w:r w:rsidR="00306F18" w:rsidRPr="004171DE">
        <w:t xml:space="preserve"> were again perceived to be better supported, with higher perceived rates of access than all other groups, </w:t>
      </w:r>
      <w:r w:rsidR="00306F18">
        <w:t>which is upheld by administrative data on young people attending headspace</w:t>
      </w:r>
      <w:r w:rsidR="00306F18" w:rsidRPr="004171DE">
        <w:t>.</w:t>
      </w:r>
      <w:r w:rsidR="00730B4D">
        <w:t xml:space="preserve"> </w:t>
      </w:r>
    </w:p>
    <w:p w14:paraId="5EFF9B41" w14:textId="2A0AE201" w:rsidR="00306F18" w:rsidRDefault="00306F18" w:rsidP="0007336A">
      <w:pPr>
        <w:pStyle w:val="BodyText"/>
      </w:pPr>
      <w:r>
        <w:t xml:space="preserve">Feedback from young people highlighted the continued importance of having staff from the young person’s cultural group, and the </w:t>
      </w:r>
      <w:r w:rsidR="004A6543">
        <w:t xml:space="preserve">need for </w:t>
      </w:r>
      <w:r>
        <w:t xml:space="preserve">ongoing work to reduce stigma and build trust in order to support access </w:t>
      </w:r>
      <w:r w:rsidR="00C27A30">
        <w:t>for</w:t>
      </w:r>
      <w:r>
        <w:t xml:space="preserve"> ‘hard to reach’ groups.</w:t>
      </w:r>
    </w:p>
    <w:p w14:paraId="0E44593C" w14:textId="0F7C8F11" w:rsidR="008D4ECD" w:rsidRDefault="009D10A0" w:rsidP="00A1032A">
      <w:pPr>
        <w:pStyle w:val="Heading5"/>
      </w:pPr>
      <w:r>
        <w:t>A</w:t>
      </w:r>
      <w:r w:rsidR="00A77195">
        <w:t xml:space="preserve">chieving intermediate outcomes in </w:t>
      </w:r>
      <w:r w:rsidR="00651D60">
        <w:t>support</w:t>
      </w:r>
      <w:r w:rsidR="00A77195">
        <w:t xml:space="preserve"> of</w:t>
      </w:r>
      <w:r w:rsidR="00651D60">
        <w:t xml:space="preserve"> ‘hard to reach’ young people </w:t>
      </w:r>
    </w:p>
    <w:p w14:paraId="0DFD3484" w14:textId="60EFB58C" w:rsidR="003D7C19" w:rsidRDefault="00E63B80" w:rsidP="00FD756F">
      <w:pPr>
        <w:pStyle w:val="BodyText"/>
      </w:pPr>
      <w:r>
        <w:t>There are wide variations between groups on perceived improvements of mental health literacy, as reported by headspace service providers.</w:t>
      </w:r>
      <w:r w:rsidR="00E11A53" w:rsidRPr="00A95E54">
        <w:t xml:space="preserve"> </w:t>
      </w:r>
      <w:r w:rsidR="00FD4589">
        <w:t>Young people from ‘hard to reach</w:t>
      </w:r>
      <w:r w:rsidR="00606681">
        <w:t>’</w:t>
      </w:r>
      <w:r w:rsidR="00FD4589">
        <w:t xml:space="preserve"> groups</w:t>
      </w:r>
      <w:r w:rsidR="00606681">
        <w:t xml:space="preserve"> are also less likely to be undertaking early help seeking when attending a headspace service. </w:t>
      </w:r>
      <w:r w:rsidR="00935834">
        <w:t xml:space="preserve">While access rates have </w:t>
      </w:r>
      <w:r w:rsidR="009A45BD">
        <w:t>improve</w:t>
      </w:r>
      <w:r w:rsidR="00834809">
        <w:t>d</w:t>
      </w:r>
      <w:r w:rsidR="009A45BD">
        <w:t xml:space="preserve"> over time for these groups, </w:t>
      </w:r>
      <w:r w:rsidR="006B1949">
        <w:t xml:space="preserve">access rates of </w:t>
      </w:r>
      <w:r w:rsidR="004E5D84">
        <w:t>Aboriginal and Torres Strait Islander young people, culturally and linguistically diverse</w:t>
      </w:r>
      <w:r w:rsidR="004E5D84" w:rsidRPr="004171DE">
        <w:t xml:space="preserve"> </w:t>
      </w:r>
      <w:r w:rsidR="001E0AAF">
        <w:t>cohorts</w:t>
      </w:r>
      <w:r w:rsidR="004E5D84" w:rsidRPr="004171DE">
        <w:t xml:space="preserve"> and young people with disability</w:t>
      </w:r>
      <w:r w:rsidR="004E5D84" w:rsidRPr="00A95E54">
        <w:t xml:space="preserve"> </w:t>
      </w:r>
      <w:r w:rsidR="006B1949">
        <w:t xml:space="preserve">are not as well supported as for other young people. </w:t>
      </w:r>
    </w:p>
    <w:p w14:paraId="71516A87" w14:textId="2E3A4F33" w:rsidR="00FD756F" w:rsidRDefault="00FF3735" w:rsidP="00FD756F">
      <w:pPr>
        <w:pStyle w:val="BodyText"/>
      </w:pPr>
      <w:r w:rsidRPr="00FF3735">
        <w:rPr>
          <w:b/>
          <w:bCs/>
        </w:rPr>
        <w:t>The headspace model does not achieve the same results for ‘hard to reach’ groups compared to the general population of young people.</w:t>
      </w:r>
    </w:p>
    <w:p w14:paraId="3BAC7590" w14:textId="3F0BCC5C" w:rsidR="00AD37C4" w:rsidRPr="00260E4B" w:rsidRDefault="00AD37C4" w:rsidP="00FC7AED">
      <w:pPr>
        <w:pStyle w:val="BodyText"/>
        <w:rPr>
          <w:i/>
          <w:iCs/>
        </w:rPr>
      </w:pPr>
      <w:r w:rsidRPr="00260E4B">
        <w:rPr>
          <w:i/>
          <w:iCs/>
        </w:rPr>
        <w:t xml:space="preserve">The key enabling elements of the headspace model which </w:t>
      </w:r>
      <w:r w:rsidR="00570D90">
        <w:rPr>
          <w:i/>
          <w:iCs/>
        </w:rPr>
        <w:t>support intermediate outcomes for ‘hard to reach’ groups</w:t>
      </w:r>
      <w:r w:rsidRPr="00260E4B">
        <w:rPr>
          <w:i/>
          <w:iCs/>
        </w:rPr>
        <w:t xml:space="preserve"> are:</w:t>
      </w:r>
    </w:p>
    <w:p w14:paraId="6226E123" w14:textId="5B6333FF" w:rsidR="00AD37C4" w:rsidRPr="00260E4B" w:rsidRDefault="003A6BAD" w:rsidP="00FC7AED">
      <w:pPr>
        <w:pStyle w:val="Bullet1stlevel"/>
        <w:rPr>
          <w:i/>
          <w:iCs/>
        </w:rPr>
      </w:pPr>
      <w:r>
        <w:rPr>
          <w:i/>
          <w:iCs/>
        </w:rPr>
        <w:t>c</w:t>
      </w:r>
      <w:r w:rsidR="00EC1F7D">
        <w:rPr>
          <w:i/>
          <w:iCs/>
        </w:rPr>
        <w:t>o</w:t>
      </w:r>
      <w:r w:rsidR="00AD37C4" w:rsidRPr="00260E4B">
        <w:rPr>
          <w:i/>
          <w:iCs/>
        </w:rPr>
        <w:t>mmunity awareness and engagement</w:t>
      </w:r>
      <w:r>
        <w:rPr>
          <w:i/>
          <w:iCs/>
        </w:rPr>
        <w:t>; and</w:t>
      </w:r>
    </w:p>
    <w:p w14:paraId="0897F507" w14:textId="07CE9BC0" w:rsidR="00AD37C4" w:rsidRDefault="003A6BAD" w:rsidP="00FC7AED">
      <w:pPr>
        <w:pStyle w:val="Bullet1stlevel"/>
        <w:rPr>
          <w:i/>
          <w:iCs/>
        </w:rPr>
      </w:pPr>
      <w:r>
        <w:rPr>
          <w:i/>
          <w:iCs/>
        </w:rPr>
        <w:t>m</w:t>
      </w:r>
      <w:r w:rsidR="00AD37C4" w:rsidRPr="00260E4B">
        <w:rPr>
          <w:i/>
          <w:iCs/>
        </w:rPr>
        <w:t>ulti-disciplinary workforce.</w:t>
      </w:r>
    </w:p>
    <w:p w14:paraId="38C60E29" w14:textId="0B793875" w:rsidR="00972995" w:rsidRDefault="00972995" w:rsidP="00FE6CEF">
      <w:pPr>
        <w:pStyle w:val="Heading4"/>
      </w:pPr>
      <w:r>
        <w:t>Improving intermediate outcomes – in conclusion</w:t>
      </w:r>
    </w:p>
    <w:p w14:paraId="2A78D1C7" w14:textId="6533FBBF" w:rsidR="00813949" w:rsidRDefault="00157606" w:rsidP="00813949">
      <w:pPr>
        <w:pStyle w:val="BodyText"/>
      </w:pPr>
      <w:r>
        <w:t>The headspace model is effective</w:t>
      </w:r>
      <w:r w:rsidR="00813949">
        <w:t xml:space="preserve"> in supporting important intermediate outcomes, m</w:t>
      </w:r>
      <w:r w:rsidR="00813949" w:rsidRPr="005D05EC">
        <w:t>ental health literacy, early help seeking and</w:t>
      </w:r>
      <w:r w:rsidR="00E20DB7">
        <w:t xml:space="preserve"> increased</w:t>
      </w:r>
      <w:r w:rsidR="00813949" w:rsidRPr="005D05EC">
        <w:t xml:space="preserve"> access</w:t>
      </w:r>
      <w:r w:rsidR="00E20DB7">
        <w:t xml:space="preserve"> to required services</w:t>
      </w:r>
      <w:r w:rsidR="00813949">
        <w:t xml:space="preserve">, which </w:t>
      </w:r>
      <w:r w:rsidR="00AA4C0F">
        <w:t xml:space="preserve">in turn improve the likelihood that young people will seek support with their mental health and achieve improved </w:t>
      </w:r>
      <w:r w:rsidR="005513AE">
        <w:t>psychosocial</w:t>
      </w:r>
      <w:r w:rsidR="009552C8">
        <w:t xml:space="preserve"> outcomes in the longer term. </w:t>
      </w:r>
      <w:r w:rsidR="000A6B4C">
        <w:t>When considering the model</w:t>
      </w:r>
      <w:r w:rsidR="00142670">
        <w:t>’</w:t>
      </w:r>
      <w:r w:rsidR="000A6B4C">
        <w:t xml:space="preserve">s effectiveness in supporting ‘hard to reach’ groups with these </w:t>
      </w:r>
      <w:r w:rsidR="00503332">
        <w:t>intermediate outcomes,</w:t>
      </w:r>
      <w:r w:rsidR="00813949">
        <w:t xml:space="preserve"> overall</w:t>
      </w:r>
      <w:r w:rsidR="00142670">
        <w:t>,</w:t>
      </w:r>
      <w:r w:rsidR="00813949">
        <w:t xml:space="preserve"> this evaluation has found that headspace services </w:t>
      </w:r>
      <w:r w:rsidR="00031408">
        <w:t>achieve mixed</w:t>
      </w:r>
      <w:r w:rsidR="005F5FE8">
        <w:t xml:space="preserve"> success</w:t>
      </w:r>
      <w:r w:rsidR="00813949">
        <w:t xml:space="preserve"> in supporting these outcomes. </w:t>
      </w:r>
    </w:p>
    <w:p w14:paraId="3A9D140C" w14:textId="0B022A96" w:rsidR="00972995" w:rsidRPr="007D771F" w:rsidRDefault="007D771F" w:rsidP="00C41EC5">
      <w:pPr>
        <w:pStyle w:val="BodyText"/>
        <w:keepNext/>
        <w:rPr>
          <w:i/>
          <w:iCs/>
        </w:rPr>
      </w:pPr>
      <w:r w:rsidRPr="007D771F">
        <w:rPr>
          <w:i/>
          <w:iCs/>
        </w:rPr>
        <w:t>The key enabling elements of the headspace model which support these outcomes are:</w:t>
      </w:r>
    </w:p>
    <w:p w14:paraId="2EA65060" w14:textId="1C39CDA0" w:rsidR="007D771F" w:rsidRPr="00260E4B" w:rsidRDefault="003A6BAD" w:rsidP="00FC7AED">
      <w:pPr>
        <w:pStyle w:val="Bullet1stlevel"/>
        <w:rPr>
          <w:i/>
          <w:iCs/>
        </w:rPr>
      </w:pPr>
      <w:r>
        <w:rPr>
          <w:i/>
          <w:iCs/>
        </w:rPr>
        <w:t>c</w:t>
      </w:r>
      <w:r w:rsidR="007D771F" w:rsidRPr="00260E4B">
        <w:rPr>
          <w:i/>
          <w:iCs/>
        </w:rPr>
        <w:t>ommunity awareness and engagement</w:t>
      </w:r>
      <w:r>
        <w:rPr>
          <w:i/>
          <w:iCs/>
        </w:rPr>
        <w:t>;</w:t>
      </w:r>
    </w:p>
    <w:p w14:paraId="3D663423" w14:textId="7092216E" w:rsidR="007D771F" w:rsidRDefault="003A6BAD" w:rsidP="00FC7AED">
      <w:pPr>
        <w:pStyle w:val="Bullet1stlevel"/>
        <w:rPr>
          <w:i/>
          <w:iCs/>
        </w:rPr>
      </w:pPr>
      <w:r>
        <w:rPr>
          <w:i/>
          <w:iCs/>
        </w:rPr>
        <w:t>e</w:t>
      </w:r>
      <w:r w:rsidR="007D771F">
        <w:rPr>
          <w:i/>
          <w:iCs/>
        </w:rPr>
        <w:t>nhanced access (minimising barriers to seeking professional help)</w:t>
      </w:r>
      <w:r>
        <w:rPr>
          <w:i/>
          <w:iCs/>
        </w:rPr>
        <w:t>; and</w:t>
      </w:r>
    </w:p>
    <w:p w14:paraId="14EB0493" w14:textId="31195C8B" w:rsidR="007D771F" w:rsidRPr="00260E4B" w:rsidRDefault="003A6BAD" w:rsidP="00FC7AED">
      <w:pPr>
        <w:pStyle w:val="Bullet1stlevel"/>
        <w:rPr>
          <w:i/>
          <w:iCs/>
        </w:rPr>
      </w:pPr>
      <w:r>
        <w:rPr>
          <w:i/>
          <w:iCs/>
        </w:rPr>
        <w:t>m</w:t>
      </w:r>
      <w:r w:rsidR="007D771F" w:rsidRPr="00260E4B">
        <w:rPr>
          <w:i/>
          <w:iCs/>
        </w:rPr>
        <w:t>ulti-disciplinary workforce.</w:t>
      </w:r>
    </w:p>
    <w:p w14:paraId="4678A1F0" w14:textId="49D0968B" w:rsidR="007D771F" w:rsidRPr="00972995" w:rsidRDefault="007D771F" w:rsidP="000244E4">
      <w:pPr>
        <w:pStyle w:val="BodyText"/>
      </w:pPr>
      <w:r>
        <w:t xml:space="preserve">These elements are the focus of potential recommendations to support better outcomes for ‘hard to reach’ groups, detailed in </w:t>
      </w:r>
      <w:r w:rsidR="00E40814">
        <w:t>section</w:t>
      </w:r>
      <w:r>
        <w:t xml:space="preserve"> </w:t>
      </w:r>
      <w:r w:rsidR="00A96EF9">
        <w:fldChar w:fldCharType="begin" w:fldLock="1"/>
      </w:r>
      <w:r w:rsidR="00A96EF9">
        <w:instrText xml:space="preserve"> REF _Ref98326982 \w \h </w:instrText>
      </w:r>
      <w:r w:rsidR="00A96EF9">
        <w:fldChar w:fldCharType="separate"/>
      </w:r>
      <w:r w:rsidR="00AE4D34">
        <w:t>5.4</w:t>
      </w:r>
      <w:r w:rsidR="00A96EF9">
        <w:fldChar w:fldCharType="end"/>
      </w:r>
      <w:r w:rsidR="00F91B86">
        <w:t>.</w:t>
      </w:r>
    </w:p>
    <w:p w14:paraId="7F4AEB5B" w14:textId="77777777" w:rsidR="000E5EBD" w:rsidRDefault="00BA576C" w:rsidP="00181A34">
      <w:pPr>
        <w:pStyle w:val="Heading3"/>
      </w:pPr>
      <w:r>
        <w:t>I</w:t>
      </w:r>
      <w:r w:rsidR="000E5EBD">
        <w:t>mproving service system outcomes</w:t>
      </w:r>
    </w:p>
    <w:p w14:paraId="690E6219" w14:textId="0727D478" w:rsidR="00AA7949" w:rsidRDefault="000E5EBD" w:rsidP="000E5EBD">
      <w:pPr>
        <w:pStyle w:val="Heading4"/>
      </w:pPr>
      <w:r>
        <w:t>I</w:t>
      </w:r>
      <w:r w:rsidR="00BA576C">
        <w:t xml:space="preserve">ncreasing </w:t>
      </w:r>
      <w:r w:rsidR="008A7105">
        <w:t>a</w:t>
      </w:r>
      <w:r w:rsidR="00AA7949">
        <w:t>dvocacy for</w:t>
      </w:r>
      <w:r w:rsidR="00C41EC5">
        <w:t>,</w:t>
      </w:r>
      <w:r w:rsidR="00AA7949">
        <w:t xml:space="preserve"> and promotion of</w:t>
      </w:r>
      <w:r w:rsidR="00C41EC5">
        <w:t>,</w:t>
      </w:r>
      <w:r w:rsidR="00AA7949">
        <w:t xml:space="preserve"> youth mental health and wellbeing in their communities</w:t>
      </w:r>
    </w:p>
    <w:p w14:paraId="7F568B01" w14:textId="77777777" w:rsidR="0052013F" w:rsidRDefault="0052013F" w:rsidP="003006A8">
      <w:pPr>
        <w:pStyle w:val="BodyText"/>
      </w:pPr>
      <w:r>
        <w:t>In support of the various intended outcomes of the headspace model, a key component of activity focuses on engaging with communities. The headspace program logic lists the following activities as part of this work:</w:t>
      </w:r>
    </w:p>
    <w:p w14:paraId="361FA318" w14:textId="4A23665B" w:rsidR="0052013F" w:rsidRDefault="0052013F" w:rsidP="005D4BEA">
      <w:pPr>
        <w:pStyle w:val="Bullet1stlevel"/>
      </w:pPr>
      <w:r>
        <w:t>promoting headspace services to local community and services, and promot</w:t>
      </w:r>
      <w:r w:rsidR="00166D53">
        <w:t>ing</w:t>
      </w:r>
      <w:r>
        <w:t xml:space="preserve"> early </w:t>
      </w:r>
      <w:r w:rsidR="00B24A04">
        <w:t>help seeking</w:t>
      </w:r>
      <w:r>
        <w:t xml:space="preserve"> for young people aged 12 to 25</w:t>
      </w:r>
      <w:r w:rsidR="003A6BAD">
        <w:t>;</w:t>
      </w:r>
    </w:p>
    <w:p w14:paraId="76C0A1C3" w14:textId="4C78835C" w:rsidR="0052013F" w:rsidRDefault="0052013F" w:rsidP="005D4BEA">
      <w:pPr>
        <w:pStyle w:val="Bullet1stlevel"/>
      </w:pPr>
      <w:r>
        <w:t>facilitating engagement and participation with young people and their families to better understand community needs</w:t>
      </w:r>
      <w:r w:rsidR="003A6BAD">
        <w:t>;</w:t>
      </w:r>
    </w:p>
    <w:p w14:paraId="570AB212" w14:textId="622F50F8" w:rsidR="0052013F" w:rsidRDefault="0052013F" w:rsidP="005D4BEA">
      <w:pPr>
        <w:pStyle w:val="Bullet1stlevel"/>
      </w:pPr>
      <w:r>
        <w:t>engaging with GPs, schools and other local organisations to better understand community needs</w:t>
      </w:r>
      <w:r w:rsidR="003A6BAD">
        <w:t>; and</w:t>
      </w:r>
    </w:p>
    <w:p w14:paraId="505E3CAC" w14:textId="524AA26E" w:rsidR="0052013F" w:rsidRDefault="0052013F" w:rsidP="005D4BEA">
      <w:pPr>
        <w:pStyle w:val="Bullet1stlevel"/>
      </w:pPr>
      <w:r>
        <w:t>delivering community awareness activities</w:t>
      </w:r>
      <w:r w:rsidR="00627AD2">
        <w:t>,</w:t>
      </w:r>
      <w:r>
        <w:t xml:space="preserve"> including psycho-education, mental health literacy and stigma reduction activities.</w:t>
      </w:r>
    </w:p>
    <w:p w14:paraId="4A4A6E0C" w14:textId="3670AD91" w:rsidR="0052013F" w:rsidRDefault="0052013F" w:rsidP="0052013F">
      <w:pPr>
        <w:pStyle w:val="BodyText"/>
      </w:pPr>
      <w:r>
        <w:t>In order to assess how well headspace advocates for and promotes you</w:t>
      </w:r>
      <w:r w:rsidR="00A82A30">
        <w:t>th</w:t>
      </w:r>
      <w:r>
        <w:t xml:space="preserve"> mental health and wellbeing in their communities, feedback on these activities was sought through a range of data collection activities. These include interviews with </w:t>
      </w:r>
      <w:r w:rsidR="001F058F">
        <w:t>Y</w:t>
      </w:r>
      <w:r>
        <w:t xml:space="preserve">outh </w:t>
      </w:r>
      <w:r w:rsidR="001F058F">
        <w:t>R</w:t>
      </w:r>
      <w:r>
        <w:t xml:space="preserve">eference </w:t>
      </w:r>
      <w:r w:rsidR="001F058F">
        <w:t>G</w:t>
      </w:r>
      <w:r>
        <w:t xml:space="preserve">roups, interviews and focus groups with young people, surveys of service and lead agency staff, and discussions with staff, GPs and other stakeholders at a number of </w:t>
      </w:r>
      <w:r w:rsidR="00B81994">
        <w:t>service</w:t>
      </w:r>
      <w:r>
        <w:t>s during deep dive fieldwork</w:t>
      </w:r>
      <w:r w:rsidR="00B61438">
        <w:t xml:space="preserve"> (see Appendix </w:t>
      </w:r>
      <w:r w:rsidR="0041539B">
        <w:fldChar w:fldCharType="begin" w:fldLock="1"/>
      </w:r>
      <w:r w:rsidR="0041539B">
        <w:instrText xml:space="preserve"> REF _Ref98326337 \w \h </w:instrText>
      </w:r>
      <w:r w:rsidR="0041539B">
        <w:fldChar w:fldCharType="separate"/>
      </w:r>
      <w:r w:rsidR="00AE4D34">
        <w:t>D.5</w:t>
      </w:r>
      <w:r w:rsidR="0041539B">
        <w:fldChar w:fldCharType="end"/>
      </w:r>
      <w:r w:rsidR="00B61438">
        <w:t xml:space="preserve"> for further details).</w:t>
      </w:r>
    </w:p>
    <w:p w14:paraId="246C9ADA" w14:textId="5C8F8E7C" w:rsidR="0052013F" w:rsidRDefault="00B61438" w:rsidP="0052013F">
      <w:pPr>
        <w:pStyle w:val="BodyText"/>
      </w:pPr>
      <w:r>
        <w:t>Stakeholders report</w:t>
      </w:r>
      <w:r w:rsidR="00627AD2">
        <w:t>ed</w:t>
      </w:r>
      <w:r>
        <w:t xml:space="preserve"> that headspace services are active in advocacy and promotion, and highly visible in their local communities. Work to promote mental health literacy and help seeking with schools, universities and community organisations more broadly received positive feedback.</w:t>
      </w:r>
      <w:r w:rsidR="00821C25">
        <w:t xml:space="preserve"> As discussed in </w:t>
      </w:r>
      <w:r w:rsidR="00627AD2">
        <w:t>S</w:t>
      </w:r>
      <w:r w:rsidR="00821C25">
        <w:t xml:space="preserve">ection </w:t>
      </w:r>
      <w:r w:rsidR="00627AD2">
        <w:fldChar w:fldCharType="begin" w:fldLock="1"/>
      </w:r>
      <w:r w:rsidR="00627AD2">
        <w:instrText xml:space="preserve"> REF _Ref98327112 \w \h </w:instrText>
      </w:r>
      <w:r w:rsidR="00627AD2">
        <w:fldChar w:fldCharType="separate"/>
      </w:r>
      <w:r w:rsidR="00AE4D34">
        <w:t>3.1</w:t>
      </w:r>
      <w:r w:rsidR="00627AD2">
        <w:fldChar w:fldCharType="end"/>
      </w:r>
      <w:r w:rsidR="00821C25">
        <w:t>, however, t</w:t>
      </w:r>
      <w:r w:rsidR="0052013F">
        <w:t>he</w:t>
      </w:r>
      <w:r w:rsidR="00821C25">
        <w:t xml:space="preserve"> </w:t>
      </w:r>
      <w:r w:rsidR="0052013F">
        <w:t>extent to which the</w:t>
      </w:r>
      <w:r w:rsidR="00821C25">
        <w:t>se activities</w:t>
      </w:r>
      <w:r w:rsidR="0052013F">
        <w:t xml:space="preserve"> are occurring is not measured through the hMDS or other means</w:t>
      </w:r>
      <w:r w:rsidR="00821C25">
        <w:t xml:space="preserve">. </w:t>
      </w:r>
      <w:r w:rsidR="00244D82">
        <w:t xml:space="preserve">Feedback from services also indicates that many </w:t>
      </w:r>
      <w:r w:rsidR="000E404D">
        <w:t xml:space="preserve">stakeholders </w:t>
      </w:r>
      <w:r w:rsidR="00347EA0">
        <w:t>suggested</w:t>
      </w:r>
      <w:r w:rsidR="00244D82">
        <w:t xml:space="preserve"> </w:t>
      </w:r>
      <w:r w:rsidR="00574D8D">
        <w:t>this activity</w:t>
      </w:r>
      <w:r w:rsidR="00244D82">
        <w:t xml:space="preserve"> is under-resourced.</w:t>
      </w:r>
    </w:p>
    <w:p w14:paraId="506ADA02" w14:textId="77777777" w:rsidR="003D7C19" w:rsidRDefault="0052013F" w:rsidP="0052013F">
      <w:pPr>
        <w:pStyle w:val="BodyText"/>
      </w:pPr>
      <w:r>
        <w:t xml:space="preserve">Advocacy and promotion activities are a key component of the work of headspace services, and feedback gathered through this evaluation indicates that this is recognised as an effective aspect of their activities. </w:t>
      </w:r>
    </w:p>
    <w:p w14:paraId="35B3F050" w14:textId="500AA758" w:rsidR="0052013F" w:rsidRPr="003D7C19" w:rsidRDefault="00F90292" w:rsidP="0052013F">
      <w:pPr>
        <w:pStyle w:val="BodyText"/>
        <w:rPr>
          <w:b/>
          <w:bCs/>
        </w:rPr>
      </w:pPr>
      <w:r>
        <w:rPr>
          <w:b/>
          <w:bCs/>
        </w:rPr>
        <w:t>T</w:t>
      </w:r>
      <w:r w:rsidR="0052013F" w:rsidRPr="003D7C19">
        <w:rPr>
          <w:b/>
          <w:bCs/>
        </w:rPr>
        <w:t xml:space="preserve">he evidence </w:t>
      </w:r>
      <w:r w:rsidR="00244D82" w:rsidRPr="003D7C19">
        <w:rPr>
          <w:b/>
          <w:bCs/>
        </w:rPr>
        <w:t xml:space="preserve">indicates </w:t>
      </w:r>
      <w:r w:rsidR="0052013F" w:rsidRPr="003D7C19">
        <w:rPr>
          <w:b/>
          <w:bCs/>
        </w:rPr>
        <w:t>that headspace is effective in supporting youth mental health through advocacy and promotion activities.</w:t>
      </w:r>
    </w:p>
    <w:p w14:paraId="3D23FC59" w14:textId="730CD826" w:rsidR="00570D90" w:rsidRPr="00260E4B" w:rsidRDefault="00570D90" w:rsidP="000E404D">
      <w:pPr>
        <w:pStyle w:val="BodyText"/>
        <w:keepNext/>
        <w:rPr>
          <w:i/>
          <w:iCs/>
        </w:rPr>
      </w:pPr>
      <w:r w:rsidRPr="00260E4B">
        <w:rPr>
          <w:i/>
          <w:iCs/>
        </w:rPr>
        <w:t xml:space="preserve">The key enabling elements of the headspace model which </w:t>
      </w:r>
      <w:r>
        <w:rPr>
          <w:i/>
          <w:iCs/>
        </w:rPr>
        <w:t>support advocacy and promotion of youth mental health and wellbeing in communities</w:t>
      </w:r>
      <w:r w:rsidRPr="00260E4B">
        <w:rPr>
          <w:i/>
          <w:iCs/>
        </w:rPr>
        <w:t xml:space="preserve"> are:</w:t>
      </w:r>
    </w:p>
    <w:p w14:paraId="2894C89C" w14:textId="0A5A25DC" w:rsidR="00570D90" w:rsidRPr="00260E4B" w:rsidRDefault="00CC728B" w:rsidP="005D4BEA">
      <w:pPr>
        <w:pStyle w:val="Bullet1stlevel"/>
        <w:rPr>
          <w:i/>
          <w:iCs/>
        </w:rPr>
      </w:pPr>
      <w:r>
        <w:rPr>
          <w:i/>
          <w:iCs/>
        </w:rPr>
        <w:t>c</w:t>
      </w:r>
      <w:r w:rsidR="00570D90" w:rsidRPr="00260E4B">
        <w:rPr>
          <w:i/>
          <w:iCs/>
        </w:rPr>
        <w:t>ommunity awareness and engagement</w:t>
      </w:r>
      <w:r>
        <w:rPr>
          <w:i/>
          <w:iCs/>
        </w:rPr>
        <w:t>; and</w:t>
      </w:r>
    </w:p>
    <w:p w14:paraId="6EE0E030" w14:textId="3F6B113C" w:rsidR="00570D90" w:rsidRPr="00260E4B" w:rsidRDefault="00CC728B" w:rsidP="005D4BEA">
      <w:pPr>
        <w:pStyle w:val="Bullet1stlevel"/>
        <w:rPr>
          <w:i/>
          <w:iCs/>
        </w:rPr>
      </w:pPr>
      <w:r>
        <w:rPr>
          <w:i/>
          <w:iCs/>
        </w:rPr>
        <w:t>m</w:t>
      </w:r>
      <w:r w:rsidR="00570D90" w:rsidRPr="00260E4B">
        <w:rPr>
          <w:i/>
          <w:iCs/>
        </w:rPr>
        <w:t>ulti-disciplinary workforce.</w:t>
      </w:r>
    </w:p>
    <w:p w14:paraId="670276CB" w14:textId="14C72EA8" w:rsidR="00AA7949" w:rsidRDefault="00181A34" w:rsidP="000E5EBD">
      <w:pPr>
        <w:pStyle w:val="Heading4"/>
      </w:pPr>
      <w:r>
        <w:t>R</w:t>
      </w:r>
      <w:r w:rsidR="00AA7949">
        <w:t>educing stigma associated with mental illness and help</w:t>
      </w:r>
      <w:r w:rsidR="00BD29DF">
        <w:t xml:space="preserve"> </w:t>
      </w:r>
      <w:r w:rsidR="00AA7949">
        <w:t>seeking for young people, their families and friends, and the community</w:t>
      </w:r>
    </w:p>
    <w:p w14:paraId="645A710F" w14:textId="688F986F" w:rsidR="00A913F8" w:rsidRDefault="00A913F8" w:rsidP="00A913F8">
      <w:pPr>
        <w:pStyle w:val="BodyText"/>
      </w:pPr>
      <w:r>
        <w:t>Stigma in th</w:t>
      </w:r>
      <w:r w:rsidR="00875DD9">
        <w:t>e</w:t>
      </w:r>
      <w:r>
        <w:t xml:space="preserve"> context</w:t>
      </w:r>
      <w:r w:rsidR="00875DD9">
        <w:t xml:space="preserve"> of the headspace model</w:t>
      </w:r>
      <w:r>
        <w:t xml:space="preserve"> is the fear or embarrassment of seeking help for mental health and wellbeing, and the negative judg</w:t>
      </w:r>
      <w:r w:rsidR="00875DD9">
        <w:t>e</w:t>
      </w:r>
      <w:r>
        <w:t xml:space="preserve">ment of, and lack of empathy for, those who do. </w:t>
      </w:r>
      <w:r w:rsidR="00804CB8">
        <w:t>In the headspace program logic, s</w:t>
      </w:r>
      <w:r w:rsidR="006E3C2E">
        <w:t>tigma</w:t>
      </w:r>
      <w:r>
        <w:t xml:space="preserve"> </w:t>
      </w:r>
      <w:r w:rsidR="00804CB8">
        <w:t>is identified a</w:t>
      </w:r>
      <w:r>
        <w:t xml:space="preserve">s a blocker, preventing young people from being able to identify when they need help and </w:t>
      </w:r>
      <w:r w:rsidR="00D12D49">
        <w:t xml:space="preserve">from </w:t>
      </w:r>
      <w:r>
        <w:t>seeking that help early.</w:t>
      </w:r>
    </w:p>
    <w:p w14:paraId="7CB03EF0" w14:textId="03744C4D" w:rsidR="00A913F8" w:rsidRDefault="00A913F8" w:rsidP="00A913F8">
      <w:pPr>
        <w:pStyle w:val="BodyText"/>
      </w:pPr>
      <w:r>
        <w:t>National research into stigma indicates that most people in Australia with mental illness report experiencing stigma, however the severity, nature, and experience of stigma vary depending on factors such as mental illness type, age, gender, and cultural background</w:t>
      </w:r>
      <w:r w:rsidR="00CC0438">
        <w:rPr>
          <w:rFonts w:ascii="ZWAdobeF" w:hAnsi="ZWAdobeF" w:cs="ZWAdobeF"/>
          <w:sz w:val="2"/>
          <w:szCs w:val="2"/>
        </w:rPr>
        <w:t>116F</w:t>
      </w:r>
      <w:r w:rsidR="009323A7">
        <w:rPr>
          <w:rStyle w:val="FootnoteReference"/>
        </w:rPr>
        <w:footnoteReference w:id="118"/>
      </w:r>
      <w:r>
        <w:t xml:space="preserve">. </w:t>
      </w:r>
      <w:r w:rsidR="005E3067">
        <w:t>Approximately</w:t>
      </w:r>
      <w:r>
        <w:t xml:space="preserve"> 29</w:t>
      </w:r>
      <w:r w:rsidR="005E3067">
        <w:t> </w:t>
      </w:r>
      <w:r>
        <w:t>per cent of people with mental illness reported discrimination or unfair treatment in the past year, as opposed to about 16 per cent of those without mental illness. People with severe mental illnesses are likely to face high levels of stigma, according to the 2011 National Survey of Mental Health Literacy and Stigma, although the nature of stigma differs among illnesses. The impact of stigma may include preventing people who suffer from mental illness from being able to engage socially or feel included. This stigma can lead to discrimination, social exclusion and a reluctance to seek care</w:t>
      </w:r>
      <w:r w:rsidR="00CC0438">
        <w:rPr>
          <w:rFonts w:ascii="ZWAdobeF" w:hAnsi="ZWAdobeF" w:cs="ZWAdobeF"/>
          <w:sz w:val="2"/>
          <w:szCs w:val="2"/>
        </w:rPr>
        <w:t>117F</w:t>
      </w:r>
      <w:r w:rsidR="009323A7">
        <w:rPr>
          <w:rStyle w:val="FootnoteReference"/>
          <w:shd w:val="clear" w:color="auto" w:fill="FFFFFF"/>
        </w:rPr>
        <w:footnoteReference w:id="119"/>
      </w:r>
      <w:r>
        <w:t>.</w:t>
      </w:r>
    </w:p>
    <w:p w14:paraId="743CC501" w14:textId="5D076F2C" w:rsidR="007E1A04" w:rsidRDefault="00A913F8" w:rsidP="00A913F8">
      <w:pPr>
        <w:pStyle w:val="BodyText"/>
      </w:pPr>
      <w:r>
        <w:t>In order to examine whether headspace has been associated with a reduction in mental health related stigma, this evaluation sought the views of headspace service and lead agency staff through both survey and fieldwork methods, as well as reflections from school and university counsellors and young people who do not use headspace, to gauge their views on how effective headspace has been in this domain</w:t>
      </w:r>
      <w:r w:rsidR="007E1A04">
        <w:t xml:space="preserve"> (see Appendix </w:t>
      </w:r>
      <w:r w:rsidR="0041539B">
        <w:fldChar w:fldCharType="begin" w:fldLock="1"/>
      </w:r>
      <w:r w:rsidR="0041539B">
        <w:instrText xml:space="preserve"> REF _Ref98326345 \w \h </w:instrText>
      </w:r>
      <w:r w:rsidR="0041539B">
        <w:fldChar w:fldCharType="separate"/>
      </w:r>
      <w:r w:rsidR="00AE4D34">
        <w:t>D.6</w:t>
      </w:r>
      <w:r w:rsidR="0041539B">
        <w:fldChar w:fldCharType="end"/>
      </w:r>
      <w:r w:rsidR="007E1A04">
        <w:t xml:space="preserve"> for further details).</w:t>
      </w:r>
    </w:p>
    <w:p w14:paraId="72A6D7DE" w14:textId="06B76054" w:rsidR="00644D17" w:rsidRDefault="0020161F" w:rsidP="0020161F">
      <w:pPr>
        <w:pStyle w:val="BodyText"/>
      </w:pPr>
      <w:r>
        <w:t xml:space="preserve">Overall, the evidence collected suggests that stigma reduction activities are a continued focus of headspace services, as they are for </w:t>
      </w:r>
      <w:r w:rsidR="00211868">
        <w:t>other</w:t>
      </w:r>
      <w:r>
        <w:t xml:space="preserve"> services and organisations across the mental health sector. </w:t>
      </w:r>
      <w:r w:rsidR="00606C94" w:rsidRPr="00BC5E0E">
        <w:t>Discussions also indicated that</w:t>
      </w:r>
      <w:r w:rsidR="00606C94">
        <w:t>,</w:t>
      </w:r>
      <w:r w:rsidR="00606C94" w:rsidRPr="00BC5E0E">
        <w:t xml:space="preserve"> for some famil</w:t>
      </w:r>
      <w:r w:rsidR="00606C94">
        <w:t>ies</w:t>
      </w:r>
      <w:r w:rsidR="00606C94" w:rsidRPr="00BC5E0E">
        <w:t xml:space="preserve"> and</w:t>
      </w:r>
      <w:r w:rsidR="00606C94">
        <w:t xml:space="preserve"> segments of the</w:t>
      </w:r>
      <w:r w:rsidR="00606C94" w:rsidRPr="00BC5E0E">
        <w:t xml:space="preserve"> community, stigma around mental health help</w:t>
      </w:r>
      <w:r w:rsidR="00CF7253">
        <w:t xml:space="preserve"> </w:t>
      </w:r>
      <w:r w:rsidR="00606C94" w:rsidRPr="00BC5E0E">
        <w:t>seeking continues to be strong, and services are continuing to focus efforts, including outreach, recruitment and other engagement strategies</w:t>
      </w:r>
      <w:r w:rsidR="00606C94">
        <w:t>,</w:t>
      </w:r>
      <w:r w:rsidR="00606C94" w:rsidRPr="00BC5E0E">
        <w:t xml:space="preserve"> to reduce stigma and encourage support of mental health help seeking. A number of cultural groups were discussed in these fieldwork conversations, a</w:t>
      </w:r>
      <w:r w:rsidR="00606C94">
        <w:t xml:space="preserve">long with </w:t>
      </w:r>
      <w:r w:rsidR="00606C94" w:rsidRPr="00BC5E0E">
        <w:t>the particular challenges for young people from some culturally and linguistically diverse backgrounds where mental illness is not easily accepted or understood.</w:t>
      </w:r>
    </w:p>
    <w:p w14:paraId="4C634C3F" w14:textId="2D3C4EC4" w:rsidR="0020161F" w:rsidRDefault="0020161F" w:rsidP="0020161F">
      <w:pPr>
        <w:pStyle w:val="BodyText"/>
      </w:pPr>
      <w:r>
        <w:t>Young people discussed how schools and the media are also</w:t>
      </w:r>
      <w:r w:rsidR="00A7449A">
        <w:t xml:space="preserve"> working to</w:t>
      </w:r>
      <w:r>
        <w:t xml:space="preserve"> improv</w:t>
      </w:r>
      <w:r w:rsidR="00A7449A">
        <w:t>e</w:t>
      </w:r>
      <w:r>
        <w:t xml:space="preserve"> rates of stigma, and that the work headspace does is one of many things happening to help in its reduction. On balance, views are positive that stigma around mental health and mental illness is reducing, and those close to the model believe headspace has made a positive contribution. </w:t>
      </w:r>
    </w:p>
    <w:p w14:paraId="01C21517" w14:textId="34038541" w:rsidR="003D7C19" w:rsidRDefault="00F147D2" w:rsidP="0020161F">
      <w:pPr>
        <w:pStyle w:val="BodyText"/>
      </w:pPr>
      <w:r>
        <w:t>This q</w:t>
      </w:r>
      <w:r w:rsidR="0020161F">
        <w:t>ualitative evidence indicates that the work of headspace service providers in community engagement and mental health promotion and advocacy is considered by stakeholders to be an effective contribution to stigma reduction around mental illness and help seeking.</w:t>
      </w:r>
      <w:r w:rsidR="00867FE8">
        <w:t xml:space="preserve"> Further detail of qualitative data collected is at </w:t>
      </w:r>
      <w:r w:rsidR="000D6F04">
        <w:fldChar w:fldCharType="begin" w:fldLock="1"/>
      </w:r>
      <w:r w:rsidR="000D6F04">
        <w:instrText xml:space="preserve"> REF _Ref97900498 \w \h </w:instrText>
      </w:r>
      <w:r w:rsidR="000D6F04">
        <w:fldChar w:fldCharType="separate"/>
      </w:r>
      <w:r w:rsidR="000D6F04">
        <w:t>Appendix B</w:t>
      </w:r>
      <w:r w:rsidR="000D6F04">
        <w:fldChar w:fldCharType="end"/>
      </w:r>
      <w:r w:rsidR="00867FE8">
        <w:t>.</w:t>
      </w:r>
    </w:p>
    <w:p w14:paraId="25635F4C" w14:textId="0DAFCAF5" w:rsidR="00CD1A40" w:rsidRDefault="00CD1A40" w:rsidP="00EC1F7D">
      <w:pPr>
        <w:pStyle w:val="BodyText"/>
        <w:keepNext/>
      </w:pPr>
      <w:r w:rsidRPr="003D7C19">
        <w:rPr>
          <w:b/>
          <w:bCs/>
        </w:rPr>
        <w:t xml:space="preserve">Overall, the evidence collected suggests that stigma reduction activities </w:t>
      </w:r>
      <w:r w:rsidR="00BA149D" w:rsidRPr="003D7C19">
        <w:rPr>
          <w:b/>
          <w:bCs/>
        </w:rPr>
        <w:t>undertaken as part of the headspace model are effective</w:t>
      </w:r>
      <w:r w:rsidR="00BA149D">
        <w:t>.</w:t>
      </w:r>
    </w:p>
    <w:p w14:paraId="72DD8E6C" w14:textId="47536133" w:rsidR="002E7114" w:rsidRPr="00260E4B" w:rsidRDefault="002E7114" w:rsidP="000D6F04">
      <w:pPr>
        <w:pStyle w:val="BodyText"/>
        <w:keepNext/>
        <w:rPr>
          <w:i/>
          <w:iCs/>
        </w:rPr>
      </w:pPr>
      <w:r w:rsidRPr="00260E4B">
        <w:rPr>
          <w:i/>
          <w:iCs/>
        </w:rPr>
        <w:t xml:space="preserve">The key enabling elements of the headspace model which </w:t>
      </w:r>
      <w:r>
        <w:rPr>
          <w:i/>
          <w:iCs/>
        </w:rPr>
        <w:t xml:space="preserve">support </w:t>
      </w:r>
      <w:r w:rsidR="00CD0FF5">
        <w:rPr>
          <w:i/>
          <w:iCs/>
        </w:rPr>
        <w:t>stigma reduction</w:t>
      </w:r>
      <w:r w:rsidRPr="00260E4B">
        <w:rPr>
          <w:i/>
          <w:iCs/>
        </w:rPr>
        <w:t xml:space="preserve"> </w:t>
      </w:r>
      <w:r w:rsidR="00CD0FF5" w:rsidRPr="00CD0FF5">
        <w:rPr>
          <w:i/>
          <w:iCs/>
        </w:rPr>
        <w:t>associated with mental illness and help</w:t>
      </w:r>
      <w:r w:rsidR="00BD29DF">
        <w:rPr>
          <w:i/>
          <w:iCs/>
        </w:rPr>
        <w:t xml:space="preserve"> </w:t>
      </w:r>
      <w:r w:rsidR="00CD0FF5" w:rsidRPr="00CD0FF5">
        <w:rPr>
          <w:i/>
          <w:iCs/>
        </w:rPr>
        <w:t xml:space="preserve">seeking for young people, their families and friends, and the community </w:t>
      </w:r>
      <w:r w:rsidRPr="00260E4B">
        <w:rPr>
          <w:i/>
          <w:iCs/>
        </w:rPr>
        <w:t>are:</w:t>
      </w:r>
    </w:p>
    <w:p w14:paraId="38ADAAC3" w14:textId="061BCB62" w:rsidR="002E7114" w:rsidRPr="00260E4B" w:rsidRDefault="00211868" w:rsidP="000D6F04">
      <w:pPr>
        <w:pStyle w:val="Bullet1stlevel"/>
        <w:keepNext/>
        <w:rPr>
          <w:i/>
          <w:iCs/>
        </w:rPr>
      </w:pPr>
      <w:r>
        <w:rPr>
          <w:i/>
          <w:iCs/>
        </w:rPr>
        <w:t>c</w:t>
      </w:r>
      <w:r w:rsidR="002E7114" w:rsidRPr="00260E4B">
        <w:rPr>
          <w:i/>
          <w:iCs/>
        </w:rPr>
        <w:t>ommunity awareness and engagement</w:t>
      </w:r>
      <w:r>
        <w:rPr>
          <w:i/>
          <w:iCs/>
        </w:rPr>
        <w:t>; and</w:t>
      </w:r>
    </w:p>
    <w:p w14:paraId="797CD979" w14:textId="73562DFD" w:rsidR="002E7114" w:rsidRPr="00260E4B" w:rsidRDefault="00211868" w:rsidP="005D4BEA">
      <w:pPr>
        <w:pStyle w:val="Bullet1stlevel"/>
        <w:rPr>
          <w:i/>
          <w:iCs/>
        </w:rPr>
      </w:pPr>
      <w:r>
        <w:rPr>
          <w:i/>
          <w:iCs/>
        </w:rPr>
        <w:t>m</w:t>
      </w:r>
      <w:r w:rsidR="002E7114" w:rsidRPr="00260E4B">
        <w:rPr>
          <w:i/>
          <w:iCs/>
        </w:rPr>
        <w:t>ulti-disciplinary workforce.</w:t>
      </w:r>
    </w:p>
    <w:p w14:paraId="315BFFB0" w14:textId="77777777" w:rsidR="001F37DA" w:rsidRDefault="009B2317" w:rsidP="000E5EBD">
      <w:pPr>
        <w:pStyle w:val="Heading4"/>
      </w:pPr>
      <w:bookmarkStart w:id="100" w:name="_Ref95068020"/>
      <w:r w:rsidRPr="00E4506B">
        <w:t>Improving pathways to care for young people</w:t>
      </w:r>
      <w:bookmarkEnd w:id="100"/>
      <w:r w:rsidR="00B930E4">
        <w:t xml:space="preserve"> </w:t>
      </w:r>
    </w:p>
    <w:p w14:paraId="6BD22678" w14:textId="54A60503" w:rsidR="00F510E6" w:rsidRDefault="001B6CD5" w:rsidP="003006A8">
      <w:pPr>
        <w:pStyle w:val="BodyText"/>
      </w:pPr>
      <w:r>
        <w:t xml:space="preserve">In the </w:t>
      </w:r>
      <w:r w:rsidR="00A65B21">
        <w:t>context of the</w:t>
      </w:r>
      <w:r w:rsidR="00F510E6">
        <w:t xml:space="preserve"> headspace </w:t>
      </w:r>
      <w:r w:rsidR="00A65B21">
        <w:t xml:space="preserve">model, </w:t>
      </w:r>
      <w:r w:rsidR="00F328F8">
        <w:t xml:space="preserve">activities to promote service integration and coordination are designed to </w:t>
      </w:r>
      <w:r w:rsidR="00451833">
        <w:t>improv</w:t>
      </w:r>
      <w:r w:rsidR="00F328F8">
        <w:t xml:space="preserve">e </w:t>
      </w:r>
      <w:r w:rsidR="00451833">
        <w:t>pathways to care for young people</w:t>
      </w:r>
      <w:r w:rsidR="00F328F8">
        <w:t>.</w:t>
      </w:r>
      <w:r w:rsidR="00F510E6">
        <w:t xml:space="preserve"> </w:t>
      </w:r>
    </w:p>
    <w:p w14:paraId="781AC90B" w14:textId="536896CF" w:rsidR="00F510E6" w:rsidRDefault="00F510E6" w:rsidP="00F510E6">
      <w:pPr>
        <w:pStyle w:val="BodyText"/>
      </w:pPr>
      <w:r>
        <w:t>Integration refers to individuals and organisations in different areas and sectors working together and aligning their practices and policies to deliver high quality mental healthcare and achieve good outcomes</w:t>
      </w:r>
      <w:r w:rsidR="00CC0438">
        <w:rPr>
          <w:rFonts w:ascii="ZWAdobeF" w:hAnsi="ZWAdobeF" w:cs="ZWAdobeF"/>
          <w:sz w:val="2"/>
          <w:szCs w:val="2"/>
        </w:rPr>
        <w:t>118F</w:t>
      </w:r>
      <w:r>
        <w:rPr>
          <w:rStyle w:val="FootnoteReference"/>
        </w:rPr>
        <w:footnoteReference w:id="120"/>
      </w:r>
      <w:r>
        <w:t xml:space="preserve">. </w:t>
      </w:r>
      <w:r w:rsidRPr="00675529">
        <w:rPr>
          <w:rFonts w:cs="Calibri"/>
          <w:szCs w:val="20"/>
        </w:rPr>
        <w:t xml:space="preserve">In the headspace </w:t>
      </w:r>
      <w:r>
        <w:rPr>
          <w:rFonts w:cs="Calibri"/>
          <w:szCs w:val="20"/>
        </w:rPr>
        <w:t>model</w:t>
      </w:r>
      <w:r w:rsidRPr="00675529">
        <w:rPr>
          <w:rFonts w:cs="Calibri"/>
          <w:szCs w:val="20"/>
        </w:rPr>
        <w:t>, service integration refers to</w:t>
      </w:r>
      <w:r>
        <w:rPr>
          <w:rFonts w:cs="Calibri"/>
          <w:b/>
          <w:bCs/>
          <w:szCs w:val="20"/>
        </w:rPr>
        <w:t xml:space="preserve"> </w:t>
      </w:r>
      <w:r>
        <w:rPr>
          <w:rFonts w:cs="Calibri"/>
          <w:szCs w:val="20"/>
        </w:rPr>
        <w:t>bringing services together to function as one, providing a seamless service experience for a young person, particularly if they require care involving multiple service providers and supports</w:t>
      </w:r>
      <w:r w:rsidR="00CC0438">
        <w:rPr>
          <w:rFonts w:ascii="ZWAdobeF" w:hAnsi="ZWAdobeF" w:cs="ZWAdobeF"/>
          <w:sz w:val="2"/>
          <w:szCs w:val="2"/>
        </w:rPr>
        <w:t>119F</w:t>
      </w:r>
      <w:r>
        <w:rPr>
          <w:rStyle w:val="FootnoteReference"/>
          <w:rFonts w:cs="Calibri"/>
          <w:szCs w:val="20"/>
        </w:rPr>
        <w:footnoteReference w:id="121"/>
      </w:r>
      <w:r>
        <w:rPr>
          <w:rFonts w:cs="Calibri"/>
          <w:szCs w:val="20"/>
        </w:rPr>
        <w:t>.</w:t>
      </w:r>
    </w:p>
    <w:p w14:paraId="369FAA26" w14:textId="6E6E6953" w:rsidR="00F510E6" w:rsidRDefault="00F510E6" w:rsidP="00F510E6">
      <w:pPr>
        <w:pStyle w:val="BodyText"/>
        <w:rPr>
          <w:lang w:eastAsia="en-AU"/>
        </w:rPr>
      </w:pPr>
      <w:r>
        <w:t xml:space="preserve">In the context of mental health services, there are two ways services can typically be integrated – vertically and horizontally. Vertical integration refers to how services at different levels of healthcare, for example primary, secondary and tertiary, work together to deliver </w:t>
      </w:r>
      <w:r w:rsidR="00905A54">
        <w:t>services to an individual</w:t>
      </w:r>
      <w:r w:rsidR="00A7394D">
        <w:t xml:space="preserve"> as the </w:t>
      </w:r>
      <w:r w:rsidR="00054DF3">
        <w:t>severity of the</w:t>
      </w:r>
      <w:r w:rsidR="00A7394D">
        <w:t xml:space="preserve">ir condition </w:t>
      </w:r>
      <w:r w:rsidR="00054DF3">
        <w:t>changes over time</w:t>
      </w:r>
      <w:r>
        <w:t>. Horizontal integration refers to how services from different sectors or sub-sectors work together, such as physical and sexual health and mental health services</w:t>
      </w:r>
      <w:r w:rsidR="00054DF3">
        <w:t>, to support the various needs of an individual across multiple aspects of their health or wellbeing</w:t>
      </w:r>
      <w:r>
        <w:t>. Vertical or horizontal integration may also occur between mental health and other service systems, such as housing or employment</w:t>
      </w:r>
      <w:r w:rsidR="00CC0438">
        <w:rPr>
          <w:rFonts w:ascii="ZWAdobeF" w:hAnsi="ZWAdobeF" w:cs="ZWAdobeF"/>
          <w:sz w:val="2"/>
          <w:szCs w:val="2"/>
        </w:rPr>
        <w:t>120F</w:t>
      </w:r>
      <w:r>
        <w:rPr>
          <w:rStyle w:val="FootnoteReference"/>
        </w:rPr>
        <w:footnoteReference w:id="122"/>
      </w:r>
      <w:r>
        <w:t>.</w:t>
      </w:r>
    </w:p>
    <w:p w14:paraId="264F5716" w14:textId="51A39D99" w:rsidR="00F510E6" w:rsidRDefault="00F510E6" w:rsidP="00F510E6">
      <w:pPr>
        <w:pStyle w:val="BodyText"/>
      </w:pPr>
      <w:r>
        <w:rPr>
          <w:lang w:eastAsia="en-AU"/>
        </w:rPr>
        <w:t>Ensuring people, including young people, have access to services and supports they need where and when they need them is critical to a well-functioning mental health service system. However, the Productivity Commission has identified that</w:t>
      </w:r>
      <w:r w:rsidR="002E3DD8">
        <w:rPr>
          <w:lang w:eastAsia="en-AU"/>
        </w:rPr>
        <w:t>,</w:t>
      </w:r>
      <w:r>
        <w:rPr>
          <w:lang w:eastAsia="en-AU"/>
        </w:rPr>
        <w:t xml:space="preserve"> nationally, there are challenges with current pathways between care and service integration across the entire mental health service system.</w:t>
      </w:r>
      <w:r w:rsidRPr="00F95095">
        <w:t xml:space="preserve"> </w:t>
      </w:r>
      <w:r>
        <w:t>These challenges include:</w:t>
      </w:r>
    </w:p>
    <w:p w14:paraId="4CCCB451" w14:textId="26ACC773" w:rsidR="00F510E6" w:rsidRPr="00350B4D" w:rsidRDefault="00F510E6" w:rsidP="00F510E6">
      <w:pPr>
        <w:pStyle w:val="Bullet1stlevel"/>
      </w:pPr>
      <w:r w:rsidRPr="00350B4D">
        <w:t xml:space="preserve">the </w:t>
      </w:r>
      <w:r>
        <w:t>complex and disjointed nature of the mental health service system</w:t>
      </w:r>
      <w:r w:rsidR="00A7088B">
        <w:t>;</w:t>
      </w:r>
    </w:p>
    <w:p w14:paraId="642E72A5" w14:textId="09383AAD" w:rsidR="00F510E6" w:rsidRPr="00350B4D" w:rsidRDefault="00F510E6" w:rsidP="00F510E6">
      <w:pPr>
        <w:pStyle w:val="Bullet1stlevel"/>
      </w:pPr>
      <w:r>
        <w:t>a lack of information sharing and coordination between services, impacting on outcomes</w:t>
      </w:r>
      <w:r w:rsidR="00A7088B">
        <w:t>; and</w:t>
      </w:r>
    </w:p>
    <w:p w14:paraId="64F1215F" w14:textId="1CCB8519" w:rsidR="00F510E6" w:rsidRPr="000C1EFA" w:rsidRDefault="00CB3660" w:rsidP="00F510E6">
      <w:pPr>
        <w:pStyle w:val="Bullet1stlevel"/>
      </w:pPr>
      <w:r>
        <w:t>i</w:t>
      </w:r>
      <w:r w:rsidR="00F510E6">
        <w:t>nconsistent services providing overlap in some areas and for some cohorts of people, with no services for other groups</w:t>
      </w:r>
      <w:r w:rsidR="00CC0438">
        <w:rPr>
          <w:rFonts w:ascii="ZWAdobeF" w:hAnsi="ZWAdobeF" w:cs="ZWAdobeF"/>
          <w:sz w:val="2"/>
          <w:szCs w:val="2"/>
        </w:rPr>
        <w:t>121F</w:t>
      </w:r>
      <w:r w:rsidR="00F510E6" w:rsidRPr="001373EF">
        <w:rPr>
          <w:rStyle w:val="FootnoteReference"/>
        </w:rPr>
        <w:footnoteReference w:id="123"/>
      </w:r>
      <w:r w:rsidR="001373EF">
        <w:rPr>
          <w:sz w:val="16"/>
          <w:szCs w:val="20"/>
        </w:rPr>
        <w:t>.</w:t>
      </w:r>
    </w:p>
    <w:p w14:paraId="6756642E" w14:textId="4C2F3660" w:rsidR="00F55CF5" w:rsidRDefault="00C30DCE" w:rsidP="005E7292">
      <w:pPr>
        <w:pStyle w:val="BodyText"/>
      </w:pPr>
      <w:r>
        <w:t xml:space="preserve">PHNs have a lead role to play in building linkages across the local service system </w:t>
      </w:r>
      <w:r w:rsidR="00DF6F03">
        <w:t>and</w:t>
      </w:r>
      <w:r w:rsidR="00B07296">
        <w:t>,</w:t>
      </w:r>
      <w:r w:rsidR="00DF6F03">
        <w:t xml:space="preserve"> </w:t>
      </w:r>
      <w:r w:rsidR="00AA1E84">
        <w:t xml:space="preserve">as part of the national </w:t>
      </w:r>
      <w:r w:rsidR="00F1035A">
        <w:t xml:space="preserve">network component of the headspace model, </w:t>
      </w:r>
      <w:r w:rsidR="00DF6F03">
        <w:t xml:space="preserve">headspace services must work with PHNs in the role of local commissioner of their services to link with </w:t>
      </w:r>
      <w:r w:rsidR="00971443">
        <w:t>other services</w:t>
      </w:r>
      <w:r w:rsidR="00446EDB">
        <w:t>.</w:t>
      </w:r>
      <w:r w:rsidR="00BF6D69">
        <w:t xml:space="preserve"> The establishment and maintenance of effective community consorti</w:t>
      </w:r>
      <w:r w:rsidR="00D15951">
        <w:t xml:space="preserve">a is </w:t>
      </w:r>
      <w:r w:rsidR="00181C94">
        <w:t xml:space="preserve">another key task for services to promote </w:t>
      </w:r>
      <w:r w:rsidR="00AE3BFF">
        <w:t xml:space="preserve">improved </w:t>
      </w:r>
      <w:r w:rsidR="00181C94">
        <w:t xml:space="preserve">pathways to </w:t>
      </w:r>
      <w:r w:rsidR="00AE3BFF">
        <w:t>care for young people</w:t>
      </w:r>
      <w:r w:rsidR="00210ADB">
        <w:t>.</w:t>
      </w:r>
      <w:r w:rsidR="00446EDB">
        <w:t xml:space="preserve"> At the same time, </w:t>
      </w:r>
      <w:r w:rsidR="00CC22F4">
        <w:t xml:space="preserve">the community awareness and engagement element of the model also requires </w:t>
      </w:r>
      <w:r w:rsidR="00813DC0">
        <w:t xml:space="preserve">headspace services to </w:t>
      </w:r>
      <w:r w:rsidR="00971443">
        <w:t xml:space="preserve">work with </w:t>
      </w:r>
      <w:r w:rsidR="003E11DB">
        <w:t xml:space="preserve">their local community to build relationships and </w:t>
      </w:r>
      <w:r w:rsidR="00F55CF5">
        <w:t>referral pathways for young people in their care.</w:t>
      </w:r>
    </w:p>
    <w:p w14:paraId="14785773" w14:textId="2CDCE38D" w:rsidR="00722506" w:rsidRDefault="006B3206" w:rsidP="005E7292">
      <w:pPr>
        <w:pStyle w:val="BodyText"/>
      </w:pPr>
      <w:r w:rsidRPr="007D6CAF">
        <w:t xml:space="preserve">Evidence from young people, headspace service providers and other external stakeholders </w:t>
      </w:r>
      <w:r w:rsidR="00EC7D75">
        <w:t xml:space="preserve">was </w:t>
      </w:r>
      <w:r w:rsidR="00722506">
        <w:t xml:space="preserve">examined, as detailed in Appendix </w:t>
      </w:r>
      <w:r w:rsidR="0041539B">
        <w:fldChar w:fldCharType="begin" w:fldLock="1"/>
      </w:r>
      <w:r w:rsidR="0041539B">
        <w:instrText xml:space="preserve"> REF _Ref98326355 \w \h </w:instrText>
      </w:r>
      <w:r w:rsidR="0041539B">
        <w:fldChar w:fldCharType="separate"/>
      </w:r>
      <w:r w:rsidR="00AE4D34">
        <w:t>D.7</w:t>
      </w:r>
      <w:r w:rsidR="0041539B">
        <w:fldChar w:fldCharType="end"/>
      </w:r>
      <w:r w:rsidR="00517DF4">
        <w:t xml:space="preserve">, </w:t>
      </w:r>
      <w:r w:rsidR="009B2211">
        <w:t xml:space="preserve">and </w:t>
      </w:r>
      <w:r w:rsidR="00517DF4">
        <w:t xml:space="preserve">was used to </w:t>
      </w:r>
      <w:r w:rsidR="00517DF4">
        <w:rPr>
          <w:lang w:eastAsia="en-AU"/>
        </w:rPr>
        <w:t>evaluate headspace’s effectiveness in improving pathways to care through service integration and coordination.</w:t>
      </w:r>
    </w:p>
    <w:p w14:paraId="1CFB948A" w14:textId="4A45D744" w:rsidR="009A2E01" w:rsidRDefault="009A2E01" w:rsidP="009A2E01">
      <w:pPr>
        <w:pStyle w:val="BodyText"/>
      </w:pPr>
      <w:r>
        <w:t xml:space="preserve">Qualitative data show that young people and their families, and other external stakeholders, </w:t>
      </w:r>
      <w:r w:rsidR="005C63FB">
        <w:t xml:space="preserve">highly </w:t>
      </w:r>
      <w:r>
        <w:t xml:space="preserve">value service integration and care coordination, to ensure young people are connected to other required services when they need them. </w:t>
      </w:r>
    </w:p>
    <w:p w14:paraId="7A7E43E0" w14:textId="55A64540" w:rsidR="009A2E01" w:rsidRDefault="009A2E01" w:rsidP="009A2E01">
      <w:pPr>
        <w:pStyle w:val="BodyText"/>
      </w:pPr>
      <w:r>
        <w:t>Most young people accessing headspace indicate they received appropriate referrals to other services</w:t>
      </w:r>
      <w:r w:rsidR="00FA10B5">
        <w:t>. A</w:t>
      </w:r>
      <w:r w:rsidR="00013A7E">
        <w:t>t the same time</w:t>
      </w:r>
      <w:r w:rsidR="005C63FB">
        <w:t>,</w:t>
      </w:r>
      <w:r w:rsidR="00013A7E">
        <w:t xml:space="preserve"> a</w:t>
      </w:r>
      <w:r w:rsidR="00C5747E">
        <w:t xml:space="preserve"> </w:t>
      </w:r>
      <w:r>
        <w:t xml:space="preserve">small number of young people who used alternative service providers such as GPs to support their care pathway, or </w:t>
      </w:r>
      <w:r w:rsidR="00BC5D37">
        <w:t xml:space="preserve">who </w:t>
      </w:r>
      <w:r>
        <w:t xml:space="preserve">did not </w:t>
      </w:r>
      <w:r w:rsidR="00CC552D">
        <w:t xml:space="preserve">feel they </w:t>
      </w:r>
      <w:r>
        <w:t>receive</w:t>
      </w:r>
      <w:r w:rsidR="00CC552D">
        <w:t>d</w:t>
      </w:r>
      <w:r>
        <w:t xml:space="preserve"> the appropriate referral they needed from their headspace service</w:t>
      </w:r>
      <w:r w:rsidR="00FA10B5">
        <w:t>, reported mixed experience</w:t>
      </w:r>
      <w:r>
        <w:t xml:space="preserve">. </w:t>
      </w:r>
    </w:p>
    <w:p w14:paraId="58FEEF18" w14:textId="7481D2E4" w:rsidR="009A2E01" w:rsidRDefault="0002028C" w:rsidP="009A2E01">
      <w:pPr>
        <w:pStyle w:val="BodyText"/>
      </w:pPr>
      <w:r>
        <w:t xml:space="preserve">Under the service integration component of the headspace model, </w:t>
      </w:r>
      <w:r w:rsidR="00E8564F">
        <w:t>care providers</w:t>
      </w:r>
      <w:r w:rsidR="00A960CD">
        <w:t xml:space="preserve"> </w:t>
      </w:r>
      <w:r w:rsidR="00E677E2">
        <w:t xml:space="preserve">are brought together, often under one roof, to provide seamless care for a young person requiring </w:t>
      </w:r>
      <w:r w:rsidR="0053567F">
        <w:t xml:space="preserve">multiple services and supports. Evidence from </w:t>
      </w:r>
      <w:r w:rsidR="009A2E01">
        <w:t>headspace services and other external stakeholders indicated that headspace services undertake a range of activities to support pathways to care through integration and care coordination. These contributions were consistently recognised across stakeholder groups.</w:t>
      </w:r>
      <w:r>
        <w:t xml:space="preserve"> </w:t>
      </w:r>
    </w:p>
    <w:p w14:paraId="36E41076" w14:textId="1DF2AE02" w:rsidR="000D05ED" w:rsidRDefault="009A2E01" w:rsidP="009A2E01">
      <w:pPr>
        <w:pStyle w:val="BodyText"/>
      </w:pPr>
      <w:r>
        <w:t xml:space="preserve">However, headspace services </w:t>
      </w:r>
      <w:r w:rsidR="00FA0BBC">
        <w:t xml:space="preserve">face a range of barriers to their ability </w:t>
      </w:r>
      <w:r>
        <w:t xml:space="preserve">to improve service integration and care coordination. </w:t>
      </w:r>
      <w:r w:rsidR="00A949C8">
        <w:t xml:space="preserve">A key element of the model raised here was </w:t>
      </w:r>
      <w:r w:rsidR="000B644B">
        <w:t xml:space="preserve">difficulty in accessing a </w:t>
      </w:r>
      <w:r w:rsidR="00A949C8">
        <w:t>multi</w:t>
      </w:r>
      <w:r w:rsidR="00A833BA">
        <w:noBreakHyphen/>
      </w:r>
      <w:r w:rsidR="00A949C8">
        <w:t xml:space="preserve">disciplinary workforce, </w:t>
      </w:r>
      <w:r w:rsidR="00331D47">
        <w:t xml:space="preserve">which is </w:t>
      </w:r>
      <w:r w:rsidR="00A949C8">
        <w:t xml:space="preserve">designed to combine clinical and non-clinical staff to </w:t>
      </w:r>
      <w:r w:rsidR="00317E77">
        <w:t>work together to holistically meet the needs of young people.</w:t>
      </w:r>
    </w:p>
    <w:p w14:paraId="7084E70F" w14:textId="48F24598" w:rsidR="001A56FB" w:rsidRDefault="000C0984" w:rsidP="009A2E01">
      <w:pPr>
        <w:pStyle w:val="BodyText"/>
      </w:pPr>
      <w:r>
        <w:t>Currently, t</w:t>
      </w:r>
      <w:r w:rsidR="009A2E01">
        <w:t>here are capacity constraints within many health services, with integration difficult where a service cannot take a referral, or</w:t>
      </w:r>
      <w:r w:rsidR="007A1483">
        <w:t xml:space="preserve"> is unable to</w:t>
      </w:r>
      <w:r w:rsidR="009A2E01">
        <w:t xml:space="preserve"> work with headspace services to improve care coordination. There are also instances where alternative services </w:t>
      </w:r>
      <w:r w:rsidR="001A56FB">
        <w:t xml:space="preserve">are not </w:t>
      </w:r>
      <w:r w:rsidR="009A2E01">
        <w:t xml:space="preserve">available, particularly in regional and remote communities. </w:t>
      </w:r>
    </w:p>
    <w:p w14:paraId="47275C56" w14:textId="77256447" w:rsidR="009A2E01" w:rsidRDefault="009A2E01" w:rsidP="009A2E01">
      <w:pPr>
        <w:pStyle w:val="BodyText"/>
      </w:pPr>
      <w:r>
        <w:t>Similarly, headspace services encounter difficulties engaging in these activities at points in time based on demand for services, and the need to balance clinical workloads with these additional activities and managing referrals with existing wait times. For these reasons, there was mixed evidence from other providers in the sector as to the effectiveness of headspace in supporting pathways to care through integration and coordination.</w:t>
      </w:r>
    </w:p>
    <w:p w14:paraId="4B0325EB" w14:textId="77777777" w:rsidR="009A2E01" w:rsidRPr="00E5719D" w:rsidRDefault="009A2E01" w:rsidP="009A2E01">
      <w:pPr>
        <w:pStyle w:val="BodyText"/>
        <w:rPr>
          <w:b/>
          <w:bCs/>
        </w:rPr>
      </w:pPr>
      <w:r w:rsidRPr="00E5719D">
        <w:rPr>
          <w:b/>
          <w:bCs/>
        </w:rPr>
        <w:t>Evidence from young people, headspace service providers and other external stakeholders indicates that the headspace model is effective in improving pathways to care, however there are challenges which impact this work, many of which are outside the control of headspace and rely on effective functioning of the broader service system.</w:t>
      </w:r>
    </w:p>
    <w:p w14:paraId="77A693D5" w14:textId="116289E7" w:rsidR="002C4229" w:rsidRPr="00260E4B" w:rsidRDefault="002C4229" w:rsidP="005D4BEA">
      <w:pPr>
        <w:pStyle w:val="BodyText"/>
        <w:rPr>
          <w:i/>
          <w:iCs/>
        </w:rPr>
      </w:pPr>
      <w:r w:rsidRPr="00260E4B">
        <w:rPr>
          <w:i/>
          <w:iCs/>
        </w:rPr>
        <w:t xml:space="preserve">The key enabling elements of the headspace model which </w:t>
      </w:r>
      <w:r>
        <w:rPr>
          <w:i/>
          <w:iCs/>
        </w:rPr>
        <w:t xml:space="preserve">support </w:t>
      </w:r>
      <w:r w:rsidR="00C248C0">
        <w:rPr>
          <w:i/>
          <w:iCs/>
        </w:rPr>
        <w:t>i</w:t>
      </w:r>
      <w:r w:rsidR="00C248C0" w:rsidRPr="00C248C0">
        <w:rPr>
          <w:i/>
          <w:iCs/>
        </w:rPr>
        <w:t xml:space="preserve">mproving pathways to care for young people </w:t>
      </w:r>
      <w:r w:rsidRPr="00260E4B">
        <w:rPr>
          <w:i/>
          <w:iCs/>
        </w:rPr>
        <w:t>are:</w:t>
      </w:r>
    </w:p>
    <w:p w14:paraId="4C823DFA" w14:textId="74603619" w:rsidR="002C4229" w:rsidRDefault="00C5747E" w:rsidP="005D4BEA">
      <w:pPr>
        <w:pStyle w:val="Bullet1stlevel"/>
        <w:rPr>
          <w:i/>
          <w:iCs/>
        </w:rPr>
      </w:pPr>
      <w:r>
        <w:rPr>
          <w:i/>
          <w:iCs/>
        </w:rPr>
        <w:t>c</w:t>
      </w:r>
      <w:r w:rsidR="002C4229" w:rsidRPr="00260E4B">
        <w:rPr>
          <w:i/>
          <w:iCs/>
        </w:rPr>
        <w:t>ommunity awareness and engagement</w:t>
      </w:r>
      <w:r>
        <w:rPr>
          <w:i/>
          <w:iCs/>
        </w:rPr>
        <w:t>;</w:t>
      </w:r>
      <w:r w:rsidR="00AB686F">
        <w:rPr>
          <w:i/>
          <w:iCs/>
        </w:rPr>
        <w:t xml:space="preserve"> </w:t>
      </w:r>
    </w:p>
    <w:p w14:paraId="251B5E2F" w14:textId="2A085A97" w:rsidR="00B626AD" w:rsidRDefault="00C5747E" w:rsidP="005D4BEA">
      <w:pPr>
        <w:pStyle w:val="Bullet1stlevel"/>
        <w:rPr>
          <w:i/>
          <w:iCs/>
        </w:rPr>
      </w:pPr>
      <w:r>
        <w:rPr>
          <w:i/>
          <w:iCs/>
        </w:rPr>
        <w:t>s</w:t>
      </w:r>
      <w:r w:rsidR="00B626AD">
        <w:rPr>
          <w:i/>
          <w:iCs/>
        </w:rPr>
        <w:t>ervice integration</w:t>
      </w:r>
      <w:r>
        <w:rPr>
          <w:i/>
          <w:iCs/>
        </w:rPr>
        <w:t>;</w:t>
      </w:r>
    </w:p>
    <w:p w14:paraId="40470CA5" w14:textId="1D880FED" w:rsidR="00B626AD" w:rsidRPr="00260E4B" w:rsidRDefault="00C5747E" w:rsidP="005D4BEA">
      <w:pPr>
        <w:pStyle w:val="Bullet1stlevel"/>
        <w:rPr>
          <w:i/>
          <w:iCs/>
        </w:rPr>
      </w:pPr>
      <w:r>
        <w:rPr>
          <w:i/>
          <w:iCs/>
        </w:rPr>
        <w:t>n</w:t>
      </w:r>
      <w:r w:rsidR="00B626AD">
        <w:rPr>
          <w:i/>
          <w:iCs/>
        </w:rPr>
        <w:t>ational network</w:t>
      </w:r>
      <w:r w:rsidR="001564EC">
        <w:rPr>
          <w:i/>
          <w:iCs/>
        </w:rPr>
        <w:t xml:space="preserve"> (in particular the roles of </w:t>
      </w:r>
      <w:r w:rsidR="00973093">
        <w:rPr>
          <w:i/>
          <w:iCs/>
        </w:rPr>
        <w:t xml:space="preserve">PHNs and community </w:t>
      </w:r>
      <w:r w:rsidR="00731774">
        <w:rPr>
          <w:i/>
          <w:iCs/>
        </w:rPr>
        <w:t>consortia)</w:t>
      </w:r>
      <w:r>
        <w:rPr>
          <w:i/>
          <w:iCs/>
        </w:rPr>
        <w:t>; and</w:t>
      </w:r>
    </w:p>
    <w:p w14:paraId="3B90735E" w14:textId="07D7AC00" w:rsidR="002C4229" w:rsidRPr="00260E4B" w:rsidRDefault="00C5747E" w:rsidP="005D4BEA">
      <w:pPr>
        <w:pStyle w:val="Bullet1stlevel"/>
        <w:rPr>
          <w:i/>
          <w:iCs/>
        </w:rPr>
      </w:pPr>
      <w:r>
        <w:rPr>
          <w:i/>
          <w:iCs/>
        </w:rPr>
        <w:t>m</w:t>
      </w:r>
      <w:r w:rsidR="002C4229" w:rsidRPr="00260E4B">
        <w:rPr>
          <w:i/>
          <w:iCs/>
        </w:rPr>
        <w:t>ulti-disciplinary workforce.</w:t>
      </w:r>
    </w:p>
    <w:p w14:paraId="7FA9BD9D" w14:textId="6BCBB1D2" w:rsidR="00615123" w:rsidRPr="00615123" w:rsidRDefault="00615123" w:rsidP="000E5EBD">
      <w:pPr>
        <w:pStyle w:val="Heading4"/>
      </w:pPr>
      <w:r>
        <w:t>P</w:t>
      </w:r>
      <w:r w:rsidRPr="00615123">
        <w:t>roviding a localised service offering</w:t>
      </w:r>
    </w:p>
    <w:p w14:paraId="6232C4EF" w14:textId="52E2EC19" w:rsidR="00615123" w:rsidRPr="00F21495" w:rsidRDefault="00077555" w:rsidP="00A65D6D">
      <w:pPr>
        <w:pStyle w:val="BodyText"/>
      </w:pPr>
      <w:r>
        <w:t>In order to</w:t>
      </w:r>
      <w:r w:rsidR="00233E01">
        <w:t xml:space="preserve"> successfully</w:t>
      </w:r>
      <w:r>
        <w:t xml:space="preserve"> meet the mental health needs of young people, headspace services </w:t>
      </w:r>
      <w:r w:rsidR="00233E01">
        <w:t xml:space="preserve">need to be tailored to the local service system, </w:t>
      </w:r>
      <w:r w:rsidR="00BE0194">
        <w:t xml:space="preserve">working closely with other providers as well as </w:t>
      </w:r>
      <w:r w:rsidR="009C195C">
        <w:t xml:space="preserve">with schools and other community organisations to build relationships with young people and their families. </w:t>
      </w:r>
    </w:p>
    <w:p w14:paraId="50B9ED6C" w14:textId="522D43CC" w:rsidR="00615123" w:rsidRDefault="00615123" w:rsidP="00615123">
      <w:pPr>
        <w:pStyle w:val="BodyText"/>
      </w:pPr>
      <w:r>
        <w:t>PHNs play a central role in ensuring services are localised, responsive to the needs of the local community and well</w:t>
      </w:r>
      <w:r w:rsidR="00B24A04">
        <w:t>-</w:t>
      </w:r>
      <w:r>
        <w:t>integrated. In their commissioning role, PHNs work with local headspace service providers to set priorities and target activities to respond to local need.</w:t>
      </w:r>
    </w:p>
    <w:p w14:paraId="51316CF5" w14:textId="27E8D871" w:rsidR="00615123" w:rsidRPr="001D6913" w:rsidRDefault="00CE3A11" w:rsidP="002B5C84">
      <w:pPr>
        <w:pStyle w:val="BodyText"/>
      </w:pPr>
      <w:r>
        <w:t xml:space="preserve">Evidence from </w:t>
      </w:r>
      <w:r w:rsidR="002A49A4">
        <w:t>headspace service providers,</w:t>
      </w:r>
      <w:r w:rsidR="007A4938">
        <w:t xml:space="preserve"> consortium members,</w:t>
      </w:r>
      <w:r w:rsidR="002A49A4">
        <w:t xml:space="preserve"> </w:t>
      </w:r>
      <w:r w:rsidR="00564C9D">
        <w:t>PHNs</w:t>
      </w:r>
      <w:r w:rsidR="002D6EC0">
        <w:t xml:space="preserve"> and school and university counsellors </w:t>
      </w:r>
      <w:r w:rsidR="00C84EC3">
        <w:t>was reviewed to explore th</w:t>
      </w:r>
      <w:r w:rsidR="00FB0ABD">
        <w:t>e extent to which the headspace model is successful in providing a localised service offering (</w:t>
      </w:r>
      <w:r w:rsidR="00C84EC3">
        <w:t>details</w:t>
      </w:r>
      <w:r w:rsidR="00FB0ABD">
        <w:t xml:space="preserve"> are</w:t>
      </w:r>
      <w:r w:rsidR="00C84EC3">
        <w:t xml:space="preserve"> collated at Appendix </w:t>
      </w:r>
      <w:r w:rsidR="0041539B">
        <w:fldChar w:fldCharType="begin" w:fldLock="1"/>
      </w:r>
      <w:r w:rsidR="0041539B">
        <w:instrText xml:space="preserve"> REF _Ref98326363 \w \h </w:instrText>
      </w:r>
      <w:r w:rsidR="0041539B">
        <w:fldChar w:fldCharType="separate"/>
      </w:r>
      <w:r w:rsidR="00AE4D34">
        <w:t>D.8</w:t>
      </w:r>
      <w:r w:rsidR="0041539B">
        <w:fldChar w:fldCharType="end"/>
      </w:r>
      <w:r w:rsidR="00FB0ABD">
        <w:t>)</w:t>
      </w:r>
      <w:r w:rsidR="00C84EC3">
        <w:t xml:space="preserve">. </w:t>
      </w:r>
    </w:p>
    <w:p w14:paraId="7422D56A" w14:textId="5A2244D3" w:rsidR="001C425F" w:rsidRDefault="00085228" w:rsidP="009A2E01">
      <w:pPr>
        <w:pStyle w:val="BodyText"/>
      </w:pPr>
      <w:r>
        <w:t>E</w:t>
      </w:r>
      <w:r w:rsidR="00F81F00">
        <w:t>vidence</w:t>
      </w:r>
      <w:r w:rsidR="001A50DC">
        <w:t xml:space="preserve"> from these sources</w:t>
      </w:r>
      <w:r>
        <w:t xml:space="preserve"> </w:t>
      </w:r>
      <w:r w:rsidR="00582811">
        <w:t>indicates</w:t>
      </w:r>
      <w:r w:rsidR="00F81F00">
        <w:t xml:space="preserve"> that </w:t>
      </w:r>
      <w:r w:rsidR="001C425F" w:rsidRPr="007D6CAF">
        <w:t xml:space="preserve">headspace services work </w:t>
      </w:r>
      <w:r w:rsidR="006C493C">
        <w:t xml:space="preserve">effectively </w:t>
      </w:r>
      <w:r w:rsidR="001C425F" w:rsidRPr="007D6CAF">
        <w:t xml:space="preserve">with local communities and providers to build relationships and understand what local needs services should target. The consortium model, commissioning process and community engagement activities support </w:t>
      </w:r>
      <w:r w:rsidR="006F5100">
        <w:t xml:space="preserve">headspace </w:t>
      </w:r>
      <w:r w:rsidR="001C425F" w:rsidRPr="007D6CAF">
        <w:t xml:space="preserve">services to localise </w:t>
      </w:r>
      <w:r w:rsidR="006F5100">
        <w:t xml:space="preserve">their </w:t>
      </w:r>
      <w:r w:rsidR="001C425F" w:rsidRPr="007D6CAF">
        <w:t>offerings</w:t>
      </w:r>
      <w:r w:rsidR="0099147E">
        <w:t xml:space="preserve">, strengthening referral pathways and </w:t>
      </w:r>
      <w:r w:rsidR="002F4637">
        <w:t xml:space="preserve">relationships to assist them to </w:t>
      </w:r>
      <w:r w:rsidR="005B1787">
        <w:t xml:space="preserve">support young people </w:t>
      </w:r>
      <w:r w:rsidR="00590C84">
        <w:t>to access local services that align to their needs</w:t>
      </w:r>
      <w:r w:rsidR="00C77C2F">
        <w:t>, where available.</w:t>
      </w:r>
    </w:p>
    <w:p w14:paraId="16722495" w14:textId="0E31010D" w:rsidR="00DA1B83" w:rsidRDefault="00001B68" w:rsidP="00DA1B83">
      <w:pPr>
        <w:pStyle w:val="BodyText"/>
      </w:pPr>
      <w:r>
        <w:t xml:space="preserve">PHNs reported </w:t>
      </w:r>
      <w:r w:rsidR="004B6230">
        <w:t>that m</w:t>
      </w:r>
      <w:r w:rsidR="00DA1B83" w:rsidRPr="000A2A2B">
        <w:t xml:space="preserve">any </w:t>
      </w:r>
      <w:r w:rsidR="00B81994">
        <w:t>service</w:t>
      </w:r>
      <w:r w:rsidR="00DA1B83" w:rsidRPr="000A2A2B">
        <w:t>s are well</w:t>
      </w:r>
      <w:r w:rsidR="00B24A04">
        <w:t>-</w:t>
      </w:r>
      <w:r w:rsidR="00DA1B83" w:rsidRPr="000A2A2B">
        <w:t xml:space="preserve">integrated into their local communities, and provide services in demand </w:t>
      </w:r>
      <w:r w:rsidR="008E3D1A">
        <w:t>in their</w:t>
      </w:r>
      <w:r w:rsidR="00DA1B83">
        <w:t xml:space="preserve"> </w:t>
      </w:r>
      <w:r w:rsidR="00DA1B83" w:rsidRPr="000A2A2B">
        <w:t xml:space="preserve">local community. </w:t>
      </w:r>
      <w:r w:rsidR="00F4523F">
        <w:t>headspace service providers indicated that c</w:t>
      </w:r>
      <w:r w:rsidR="00DA1B83" w:rsidRPr="000A2A2B">
        <w:t xml:space="preserve">ommunity engagement </w:t>
      </w:r>
      <w:r w:rsidR="00DA1B83">
        <w:t xml:space="preserve">activities assist </w:t>
      </w:r>
      <w:r w:rsidR="00F4523F">
        <w:t xml:space="preserve">them </w:t>
      </w:r>
      <w:r w:rsidR="00DA1B83">
        <w:t>to identify how best to respond to l</w:t>
      </w:r>
      <w:r w:rsidR="00DA1B83" w:rsidRPr="000A2A2B">
        <w:t>ocal need</w:t>
      </w:r>
      <w:r w:rsidR="00DA1B83">
        <w:t xml:space="preserve">, and some lead agencies have a specific focus on supporting these activities by also applying for additional grant funding from alternative sources </w:t>
      </w:r>
      <w:r w:rsidR="00DB6BC3">
        <w:t xml:space="preserve">(such as </w:t>
      </w:r>
      <w:r w:rsidR="008E0913">
        <w:t>state</w:t>
      </w:r>
      <w:r w:rsidR="007240E6">
        <w:t xml:space="preserve"> government grants)</w:t>
      </w:r>
      <w:r w:rsidR="00DA1B83">
        <w:t xml:space="preserve"> to support this work. </w:t>
      </w:r>
    </w:p>
    <w:p w14:paraId="698D76D3" w14:textId="33D47991" w:rsidR="00145A7C" w:rsidRDefault="001C425F" w:rsidP="005E7292">
      <w:pPr>
        <w:pStyle w:val="BodyText"/>
      </w:pPr>
      <w:r w:rsidRPr="007D6CAF">
        <w:t xml:space="preserve">However, </w:t>
      </w:r>
      <w:r w:rsidR="005A2A88">
        <w:t>the</w:t>
      </w:r>
      <w:r w:rsidRPr="007D6CAF">
        <w:t xml:space="preserve"> </w:t>
      </w:r>
      <w:r w:rsidR="005A2A88">
        <w:t xml:space="preserve">evidence </w:t>
      </w:r>
      <w:r w:rsidRPr="007D6CAF">
        <w:t>also indicates that the extent to which services are localised varies between services. This variation is due to a range of factors</w:t>
      </w:r>
      <w:r w:rsidR="001D77A2">
        <w:t>,</w:t>
      </w:r>
      <w:r w:rsidRPr="007D6CAF">
        <w:t xml:space="preserve"> including</w:t>
      </w:r>
      <w:r w:rsidR="00145A7C">
        <w:t>:</w:t>
      </w:r>
    </w:p>
    <w:p w14:paraId="3DC8ECC1" w14:textId="191AEBCC" w:rsidR="00DD4F7C" w:rsidRDefault="00376B4C" w:rsidP="00575DC4">
      <w:pPr>
        <w:pStyle w:val="Bullet1stlevel"/>
      </w:pPr>
      <w:r>
        <w:t>C</w:t>
      </w:r>
      <w:r w:rsidR="001C425F" w:rsidRPr="00DD4F7C">
        <w:t xml:space="preserve">apacity </w:t>
      </w:r>
      <w:r w:rsidR="00AB7542">
        <w:t xml:space="preserve">within the headspace service </w:t>
      </w:r>
      <w:r w:rsidR="001C425F" w:rsidRPr="00DD4F7C">
        <w:t>for community engagement and exploration of local needs</w:t>
      </w:r>
      <w:r w:rsidR="00AB7542">
        <w:t>, which is constrained by high demand</w:t>
      </w:r>
      <w:r w:rsidR="00AA6BFF">
        <w:t>,</w:t>
      </w:r>
      <w:r w:rsidR="00AB7542">
        <w:t xml:space="preserve"> staffing </w:t>
      </w:r>
      <w:r w:rsidR="00F84B0F">
        <w:t>pressures</w:t>
      </w:r>
      <w:r w:rsidR="00AA6BFF">
        <w:t xml:space="preserve"> and funding </w:t>
      </w:r>
      <w:r w:rsidR="00504FB8">
        <w:t>limitations</w:t>
      </w:r>
      <w:r w:rsidR="003540B5">
        <w:t xml:space="preserve">. </w:t>
      </w:r>
      <w:r w:rsidR="00832491" w:rsidRPr="00832491">
        <w:t>Some headspace services do not have dedicated community engagement positions, and community engagement is often de</w:t>
      </w:r>
      <w:r w:rsidR="00FC4439">
        <w:noBreakHyphen/>
      </w:r>
      <w:r w:rsidR="00832491" w:rsidRPr="00832491">
        <w:t>prioritised due to clinical service loads within services.</w:t>
      </w:r>
    </w:p>
    <w:p w14:paraId="3FC24357" w14:textId="0390F2A4" w:rsidR="00DD4F7C" w:rsidRDefault="008C09D9" w:rsidP="00575DC4">
      <w:pPr>
        <w:pStyle w:val="Bullet1stlevel"/>
      </w:pPr>
      <w:r>
        <w:t xml:space="preserve">headspace services’ </w:t>
      </w:r>
      <w:r w:rsidR="001C425F" w:rsidRPr="00DD4F7C">
        <w:t>ability to recruit specific workers or professions to deliver on specific support needs in communities</w:t>
      </w:r>
      <w:r>
        <w:t>,</w:t>
      </w:r>
      <w:r w:rsidR="001C425F" w:rsidRPr="00DD4F7C">
        <w:t xml:space="preserve"> particularly in regional and remote areas, for example Aboriginal wellbeing workers</w:t>
      </w:r>
      <w:r w:rsidR="003540B5">
        <w:t>.</w:t>
      </w:r>
    </w:p>
    <w:p w14:paraId="409FD6D5" w14:textId="34795C53" w:rsidR="00DD4F7C" w:rsidRDefault="00376B4C" w:rsidP="00575DC4">
      <w:pPr>
        <w:pStyle w:val="Bullet1stlevel"/>
      </w:pPr>
      <w:r w:rsidRPr="00376B4C">
        <w:t>Some PHNs indicated challenges as the local commissioning agency for headspace services in tailoring services to the needs of the local community, while ensuring services still meet the requirements of the h</w:t>
      </w:r>
      <w:r w:rsidR="0096614E">
        <w:t>MIF</w:t>
      </w:r>
      <w:r w:rsidRPr="00376B4C">
        <w:t xml:space="preserve">. These PHNs also indicated that there is </w:t>
      </w:r>
      <w:r w:rsidR="00212218">
        <w:t>a lack of</w:t>
      </w:r>
      <w:r w:rsidRPr="00376B4C">
        <w:t xml:space="preserve"> flexibility to use funding provided for a headspace </w:t>
      </w:r>
      <w:r w:rsidR="00B81994">
        <w:t>service</w:t>
      </w:r>
      <w:r w:rsidRPr="00376B4C">
        <w:t xml:space="preserve"> to design localised services which directly address the specific needs of the community. While some tailoring is afforded through headspace </w:t>
      </w:r>
      <w:r w:rsidR="00B81994">
        <w:t>service</w:t>
      </w:r>
      <w:r w:rsidRPr="00376B4C">
        <w:t xml:space="preserve">s, this does not allow the PHN to commission a tailored service targeted at local need. </w:t>
      </w:r>
    </w:p>
    <w:p w14:paraId="1C117A4E" w14:textId="113AA70F" w:rsidR="00517206" w:rsidRPr="0007336A" w:rsidRDefault="008235CB" w:rsidP="0007336A">
      <w:pPr>
        <w:pStyle w:val="BodyText"/>
        <w:rPr>
          <w:b/>
          <w:bCs/>
        </w:rPr>
      </w:pPr>
      <w:r w:rsidRPr="0007336A">
        <w:rPr>
          <w:b/>
          <w:bCs/>
        </w:rPr>
        <w:t xml:space="preserve">Evidence from headspace service providers and other external stakeholders indicates that the headspace model </w:t>
      </w:r>
      <w:r w:rsidR="00F86834" w:rsidRPr="0007336A">
        <w:rPr>
          <w:b/>
          <w:bCs/>
        </w:rPr>
        <w:t>enables</w:t>
      </w:r>
      <w:r w:rsidRPr="0007336A">
        <w:rPr>
          <w:b/>
          <w:bCs/>
        </w:rPr>
        <w:t xml:space="preserve"> localised services to a good extent, however this is inconsistent across services</w:t>
      </w:r>
      <w:r w:rsidR="00F86834" w:rsidRPr="0007336A">
        <w:rPr>
          <w:b/>
          <w:bCs/>
        </w:rPr>
        <w:t xml:space="preserve"> and the local commissioning role of PHNs may be under</w:t>
      </w:r>
      <w:r w:rsidR="004A34C3" w:rsidRPr="0007336A">
        <w:rPr>
          <w:b/>
          <w:bCs/>
        </w:rPr>
        <w:t>-</w:t>
      </w:r>
      <w:r w:rsidR="00F86834" w:rsidRPr="0007336A">
        <w:rPr>
          <w:b/>
          <w:bCs/>
        </w:rPr>
        <w:t xml:space="preserve">utilised. </w:t>
      </w:r>
    </w:p>
    <w:p w14:paraId="239587F9" w14:textId="3E573FF2" w:rsidR="00FD4ABF" w:rsidRPr="00260E4B" w:rsidRDefault="00FD4ABF" w:rsidP="005D4BEA">
      <w:pPr>
        <w:pStyle w:val="BodyText"/>
        <w:rPr>
          <w:i/>
          <w:iCs/>
        </w:rPr>
      </w:pPr>
      <w:r w:rsidRPr="00260E4B">
        <w:rPr>
          <w:i/>
          <w:iCs/>
        </w:rPr>
        <w:t xml:space="preserve">The key enabling elements of the headspace model which </w:t>
      </w:r>
      <w:r>
        <w:rPr>
          <w:i/>
          <w:iCs/>
        </w:rPr>
        <w:t xml:space="preserve">support </w:t>
      </w:r>
      <w:r w:rsidR="00976BD6">
        <w:rPr>
          <w:i/>
          <w:iCs/>
        </w:rPr>
        <w:t>providing a localised service offering</w:t>
      </w:r>
      <w:r w:rsidRPr="00C248C0">
        <w:rPr>
          <w:i/>
          <w:iCs/>
        </w:rPr>
        <w:t xml:space="preserve"> </w:t>
      </w:r>
      <w:r w:rsidRPr="00260E4B">
        <w:rPr>
          <w:i/>
          <w:iCs/>
        </w:rPr>
        <w:t>are:</w:t>
      </w:r>
    </w:p>
    <w:p w14:paraId="3A8E27E2" w14:textId="2ED7B1B9" w:rsidR="00FD4ABF" w:rsidRDefault="000B01B3" w:rsidP="005D4BEA">
      <w:pPr>
        <w:pStyle w:val="Bullet1stlevel"/>
        <w:rPr>
          <w:i/>
          <w:iCs/>
        </w:rPr>
      </w:pPr>
      <w:r>
        <w:rPr>
          <w:i/>
          <w:iCs/>
        </w:rPr>
        <w:t>c</w:t>
      </w:r>
      <w:r w:rsidR="00FD4ABF" w:rsidRPr="00260E4B">
        <w:rPr>
          <w:i/>
          <w:iCs/>
        </w:rPr>
        <w:t>ommunity awareness and engagement</w:t>
      </w:r>
      <w:r>
        <w:rPr>
          <w:i/>
          <w:iCs/>
        </w:rPr>
        <w:t>;</w:t>
      </w:r>
      <w:r w:rsidR="00FD4ABF">
        <w:rPr>
          <w:i/>
          <w:iCs/>
        </w:rPr>
        <w:t xml:space="preserve"> </w:t>
      </w:r>
    </w:p>
    <w:p w14:paraId="714D771D" w14:textId="23C9CA52" w:rsidR="00FD4ABF" w:rsidRPr="00260E4B" w:rsidRDefault="000B01B3" w:rsidP="005D4BEA">
      <w:pPr>
        <w:pStyle w:val="Bullet1stlevel"/>
        <w:rPr>
          <w:i/>
          <w:iCs/>
        </w:rPr>
      </w:pPr>
      <w:r>
        <w:rPr>
          <w:i/>
          <w:iCs/>
        </w:rPr>
        <w:t>n</w:t>
      </w:r>
      <w:r w:rsidR="00FD4ABF">
        <w:rPr>
          <w:i/>
          <w:iCs/>
        </w:rPr>
        <w:t>ational network (in particular the roles of PHNs and community consortia)</w:t>
      </w:r>
      <w:r>
        <w:rPr>
          <w:i/>
          <w:iCs/>
        </w:rPr>
        <w:t>; and</w:t>
      </w:r>
    </w:p>
    <w:p w14:paraId="43DF91F0" w14:textId="0F63638A" w:rsidR="00FD4ABF" w:rsidRPr="00260E4B" w:rsidRDefault="000B01B3" w:rsidP="005D4BEA">
      <w:pPr>
        <w:pStyle w:val="Bullet1stlevel"/>
        <w:rPr>
          <w:i/>
          <w:iCs/>
        </w:rPr>
      </w:pPr>
      <w:r>
        <w:rPr>
          <w:i/>
          <w:iCs/>
        </w:rPr>
        <w:t>m</w:t>
      </w:r>
      <w:r w:rsidR="00FD4ABF" w:rsidRPr="00260E4B">
        <w:rPr>
          <w:i/>
          <w:iCs/>
        </w:rPr>
        <w:t>ulti-disciplinary workforce.</w:t>
      </w:r>
    </w:p>
    <w:p w14:paraId="03D95840" w14:textId="2F3B80B3" w:rsidR="00143108" w:rsidRDefault="00143108" w:rsidP="000E5EBD">
      <w:pPr>
        <w:pStyle w:val="Heading4"/>
      </w:pPr>
      <w:r>
        <w:t>Other contributions to the local community</w:t>
      </w:r>
    </w:p>
    <w:p w14:paraId="46AF4E4B" w14:textId="3905859B" w:rsidR="001516D8" w:rsidRDefault="00E14ADC" w:rsidP="00E4506B">
      <w:pPr>
        <w:pStyle w:val="BodyText"/>
      </w:pPr>
      <w:r>
        <w:t xml:space="preserve">In addition to direct clinical, centre-based and other services provided to young people, a range of other contributions and activities are also provided by headspace services, often outside of the </w:t>
      </w:r>
      <w:r w:rsidR="006B1340">
        <w:t xml:space="preserve">headspace </w:t>
      </w:r>
      <w:r w:rsidR="009F2AB1">
        <w:t>service</w:t>
      </w:r>
      <w:r>
        <w:t xml:space="preserve">. </w:t>
      </w:r>
    </w:p>
    <w:p w14:paraId="285F894B" w14:textId="42E53000" w:rsidR="001C425F" w:rsidRDefault="00BD7BC5" w:rsidP="00E4506B">
      <w:pPr>
        <w:pStyle w:val="BodyText"/>
      </w:pPr>
      <w:r>
        <w:t xml:space="preserve">As described further in Appendix </w:t>
      </w:r>
      <w:r w:rsidR="0041539B">
        <w:fldChar w:fldCharType="begin" w:fldLock="1"/>
      </w:r>
      <w:r w:rsidR="0041539B">
        <w:instrText xml:space="preserve"> REF _Ref98326373 \w \h </w:instrText>
      </w:r>
      <w:r w:rsidR="0041539B">
        <w:fldChar w:fldCharType="separate"/>
      </w:r>
      <w:r w:rsidR="00AE4D34">
        <w:t>D.9</w:t>
      </w:r>
      <w:r w:rsidR="0041539B">
        <w:fldChar w:fldCharType="end"/>
      </w:r>
      <w:r>
        <w:t>, e</w:t>
      </w:r>
      <w:r w:rsidR="001C425F" w:rsidRPr="007D6CAF">
        <w:t>vidence from young people, headspace service providers and other external stakeholders indicate</w:t>
      </w:r>
      <w:r w:rsidR="003347E8">
        <w:t>d</w:t>
      </w:r>
      <w:r w:rsidR="001C425F" w:rsidRPr="007D6CAF">
        <w:t xml:space="preserve"> that the headspace model</w:t>
      </w:r>
      <w:r w:rsidR="00446394">
        <w:t xml:space="preserve"> also</w:t>
      </w:r>
      <w:r w:rsidR="001C425F" w:rsidRPr="007D6CAF">
        <w:t xml:space="preserve"> provides a range of additional contributions to local communities that are highly valued by those communities. </w:t>
      </w:r>
      <w:r w:rsidR="007A67E6">
        <w:t>h</w:t>
      </w:r>
      <w:r w:rsidR="001C425F" w:rsidRPr="007D6CAF">
        <w:t>eadspace is effective in using these contributions to support other program objectives</w:t>
      </w:r>
      <w:r w:rsidR="007F2A1E">
        <w:t>;</w:t>
      </w:r>
      <w:r w:rsidR="001C425F" w:rsidRPr="007D6CAF">
        <w:t xml:space="preserve"> however these are</w:t>
      </w:r>
      <w:r w:rsidR="007F2A1E">
        <w:t>,</w:t>
      </w:r>
      <w:r w:rsidR="001C425F" w:rsidRPr="007D6CAF">
        <w:t xml:space="preserve"> at times</w:t>
      </w:r>
      <w:r w:rsidR="007F2A1E">
        <w:t>,</w:t>
      </w:r>
      <w:r w:rsidR="001C425F" w:rsidRPr="007D6CAF">
        <w:t xml:space="preserve"> impacted by capacity constraints within services.</w:t>
      </w:r>
    </w:p>
    <w:p w14:paraId="6892B838" w14:textId="77777777" w:rsidR="00E14ADC" w:rsidRDefault="00E14ADC" w:rsidP="00E14ADC">
      <w:pPr>
        <w:pStyle w:val="BodyText"/>
      </w:pPr>
      <w:r>
        <w:t xml:space="preserve">Qualitative data demonstrates strong recognition of the contributions that headspace services make to their local communities, through schools and other education institutions, community events and engagement, and availability of resources and information. </w:t>
      </w:r>
    </w:p>
    <w:p w14:paraId="5FB22923" w14:textId="77777777" w:rsidR="00E14ADC" w:rsidRDefault="00E14ADC" w:rsidP="00E14ADC">
      <w:pPr>
        <w:pStyle w:val="BodyText"/>
      </w:pPr>
      <w:r>
        <w:t xml:space="preserve">All stakeholder groups had positive views as to the impact of these contributions, and these were tied to other outcomes discussed above, such as improvements to mental health literacy, early help seeking, and access for young people. </w:t>
      </w:r>
    </w:p>
    <w:p w14:paraId="06D31492" w14:textId="28FD8BDC" w:rsidR="00406715" w:rsidRPr="005E6D69" w:rsidRDefault="00406715" w:rsidP="00406715">
      <w:pPr>
        <w:pStyle w:val="BodyText"/>
      </w:pPr>
      <w:r>
        <w:t xml:space="preserve">Furthermore, </w:t>
      </w:r>
      <w:r w:rsidR="00A023E1">
        <w:t xml:space="preserve">young people reported that </w:t>
      </w:r>
      <w:r>
        <w:t>the headspace model</w:t>
      </w:r>
      <w:r w:rsidRPr="002F19C1">
        <w:t xml:space="preserve"> provide</w:t>
      </w:r>
      <w:r>
        <w:t>s</w:t>
      </w:r>
      <w:r w:rsidRPr="002F19C1">
        <w:t xml:space="preserve"> </w:t>
      </w:r>
      <w:r w:rsidR="00A023E1">
        <w:t xml:space="preserve">them with </w:t>
      </w:r>
      <w:r w:rsidRPr="002F19C1">
        <w:t xml:space="preserve">valuable development opportunities. Being part of the </w:t>
      </w:r>
      <w:r>
        <w:t>governance and planning of services</w:t>
      </w:r>
      <w:r w:rsidRPr="002F19C1">
        <w:t xml:space="preserve"> provides young people with experience and improved capability, and has the potential to increase their confidence and self-esteem.</w:t>
      </w:r>
    </w:p>
    <w:p w14:paraId="2C1BC1A9" w14:textId="27D8994E" w:rsidR="00E14ADC" w:rsidRPr="00E5719D" w:rsidRDefault="00E14ADC" w:rsidP="00E14ADC">
      <w:pPr>
        <w:pStyle w:val="BodyText"/>
        <w:rPr>
          <w:b/>
          <w:bCs/>
        </w:rPr>
      </w:pPr>
      <w:r w:rsidRPr="00E5719D">
        <w:rPr>
          <w:b/>
          <w:bCs/>
        </w:rPr>
        <w:t xml:space="preserve">Evidence from young people, headspace service providers and other external stakeholders indicates that the headspace model provides a range of additional contributions to local communities that are highly valued by those communities. </w:t>
      </w:r>
    </w:p>
    <w:p w14:paraId="2D23CCC5" w14:textId="1D71F2FB" w:rsidR="00277D70" w:rsidRPr="00260E4B" w:rsidRDefault="00277D70" w:rsidP="001635D5">
      <w:pPr>
        <w:pStyle w:val="BodyText"/>
        <w:keepNext/>
        <w:rPr>
          <w:i/>
          <w:iCs/>
        </w:rPr>
      </w:pPr>
      <w:r w:rsidRPr="00260E4B">
        <w:rPr>
          <w:i/>
          <w:iCs/>
        </w:rPr>
        <w:t xml:space="preserve">The key enabling elements of the headspace model which </w:t>
      </w:r>
      <w:r>
        <w:rPr>
          <w:i/>
          <w:iCs/>
        </w:rPr>
        <w:t xml:space="preserve">support other contributions to the local community </w:t>
      </w:r>
      <w:r w:rsidRPr="00260E4B">
        <w:rPr>
          <w:i/>
          <w:iCs/>
        </w:rPr>
        <w:t>are:</w:t>
      </w:r>
    </w:p>
    <w:p w14:paraId="51735F15" w14:textId="72EE5E00" w:rsidR="00277D70" w:rsidRDefault="000B01B3" w:rsidP="005D4BEA">
      <w:pPr>
        <w:pStyle w:val="Bullet1stlevel"/>
        <w:rPr>
          <w:i/>
          <w:iCs/>
        </w:rPr>
      </w:pPr>
      <w:r>
        <w:rPr>
          <w:i/>
          <w:iCs/>
        </w:rPr>
        <w:t>c</w:t>
      </w:r>
      <w:r w:rsidR="00277D70" w:rsidRPr="00260E4B">
        <w:rPr>
          <w:i/>
          <w:iCs/>
        </w:rPr>
        <w:t>ommunity awareness and engagement</w:t>
      </w:r>
      <w:r>
        <w:rPr>
          <w:i/>
          <w:iCs/>
        </w:rPr>
        <w:t>; and</w:t>
      </w:r>
      <w:r w:rsidR="00277D70">
        <w:rPr>
          <w:i/>
          <w:iCs/>
        </w:rPr>
        <w:t xml:space="preserve"> </w:t>
      </w:r>
    </w:p>
    <w:p w14:paraId="42D7FB1F" w14:textId="3D992108" w:rsidR="00EF3720" w:rsidRDefault="000B01B3" w:rsidP="005D4BEA">
      <w:pPr>
        <w:pStyle w:val="Bullet1stlevel"/>
        <w:rPr>
          <w:i/>
          <w:iCs/>
        </w:rPr>
      </w:pPr>
      <w:r>
        <w:rPr>
          <w:i/>
          <w:iCs/>
        </w:rPr>
        <w:t>y</w:t>
      </w:r>
      <w:r w:rsidR="00EF3720">
        <w:rPr>
          <w:i/>
          <w:iCs/>
        </w:rPr>
        <w:t>outh participation</w:t>
      </w:r>
      <w:r>
        <w:rPr>
          <w:i/>
          <w:iCs/>
        </w:rPr>
        <w:t>.</w:t>
      </w:r>
    </w:p>
    <w:p w14:paraId="424BC634" w14:textId="7D4E426E" w:rsidR="00AE5094" w:rsidRDefault="00AE5094" w:rsidP="00AE5094">
      <w:pPr>
        <w:pStyle w:val="Heading4"/>
      </w:pPr>
      <w:r w:rsidRPr="00AE5094">
        <w:t>Providing a ‘no wrong door’ approach</w:t>
      </w:r>
    </w:p>
    <w:p w14:paraId="7B04DEAB" w14:textId="46BDD1F2" w:rsidR="00DB4663" w:rsidRDefault="001C425F" w:rsidP="00AE5094">
      <w:pPr>
        <w:pStyle w:val="BodyText"/>
      </w:pPr>
      <w:r w:rsidRPr="00AE5094">
        <w:t xml:space="preserve">The </w:t>
      </w:r>
      <w:r w:rsidR="002D1ADD" w:rsidRPr="00AE5094">
        <w:t>‘</w:t>
      </w:r>
      <w:r w:rsidR="002B4BA9" w:rsidRPr="00AE5094">
        <w:t xml:space="preserve">no wrong </w:t>
      </w:r>
      <w:r w:rsidR="002D1ADD" w:rsidRPr="00AE5094">
        <w:t>door’</w:t>
      </w:r>
      <w:r w:rsidRPr="00AE5094">
        <w:t xml:space="preserve"> approach</w:t>
      </w:r>
      <w:r w:rsidR="0047524E" w:rsidRPr="00AE5094">
        <w:t xml:space="preserve"> is</w:t>
      </w:r>
      <w:r w:rsidR="00AA3C0D" w:rsidRPr="00AE5094">
        <w:t xml:space="preserve"> embedded within the </w:t>
      </w:r>
      <w:r w:rsidR="00CA56F8" w:rsidRPr="00AE5094">
        <w:t>enhanced</w:t>
      </w:r>
      <w:r w:rsidR="00CA56F8">
        <w:t xml:space="preserve"> access component of the headspace model, </w:t>
      </w:r>
      <w:r w:rsidR="006D6021">
        <w:t xml:space="preserve">where the </w:t>
      </w:r>
      <w:r w:rsidR="004A4DE2">
        <w:t>service en</w:t>
      </w:r>
      <w:r w:rsidR="00EA2FC1">
        <w:t xml:space="preserve">sures all young people </w:t>
      </w:r>
      <w:r w:rsidR="00263E2A">
        <w:t>who contact or present are screened</w:t>
      </w:r>
      <w:r w:rsidR="00D20F0C">
        <w:t xml:space="preserve">, and then </w:t>
      </w:r>
      <w:r w:rsidR="00605ECF">
        <w:t xml:space="preserve">are </w:t>
      </w:r>
      <w:r w:rsidR="00D20F0C">
        <w:t xml:space="preserve">either supported </w:t>
      </w:r>
      <w:r w:rsidR="004374DB">
        <w:t xml:space="preserve">or re-directed to </w:t>
      </w:r>
      <w:r w:rsidR="00ED33CC">
        <w:t>more appropriate local services and supports</w:t>
      </w:r>
      <w:r w:rsidR="00CC0438">
        <w:rPr>
          <w:rFonts w:ascii="ZWAdobeF" w:hAnsi="ZWAdobeF" w:cs="ZWAdobeF"/>
          <w:sz w:val="2"/>
          <w:szCs w:val="2"/>
        </w:rPr>
        <w:t>122F</w:t>
      </w:r>
      <w:r w:rsidR="005F06BC">
        <w:rPr>
          <w:rStyle w:val="FootnoteReference"/>
        </w:rPr>
        <w:footnoteReference w:id="124"/>
      </w:r>
      <w:r w:rsidR="00ED33CC">
        <w:t xml:space="preserve">. </w:t>
      </w:r>
      <w:r w:rsidR="005F06BC">
        <w:t xml:space="preserve">This element of the model </w:t>
      </w:r>
      <w:r w:rsidR="00C5430F">
        <w:t xml:space="preserve">is designed to </w:t>
      </w:r>
      <w:r w:rsidR="00575384">
        <w:t xml:space="preserve">support </w:t>
      </w:r>
      <w:r w:rsidRPr="007D6CAF">
        <w:t xml:space="preserve">mental health literacy, early help seeking and access to services. It </w:t>
      </w:r>
      <w:r w:rsidR="00C67235">
        <w:t>is</w:t>
      </w:r>
      <w:r w:rsidRPr="007D6CAF">
        <w:t xml:space="preserve"> also </w:t>
      </w:r>
      <w:r w:rsidR="00C5430F">
        <w:t xml:space="preserve">intended to </w:t>
      </w:r>
      <w:r w:rsidRPr="007D6CAF">
        <w:t>support young people to get help when they need it, regardless of the severity of their mental health problem.</w:t>
      </w:r>
      <w:r w:rsidR="00B61B31">
        <w:t xml:space="preserve"> </w:t>
      </w:r>
    </w:p>
    <w:p w14:paraId="157F6A18" w14:textId="369513A3" w:rsidR="00973154" w:rsidRDefault="00D17F9C" w:rsidP="00DB4663">
      <w:pPr>
        <w:pStyle w:val="BodyText"/>
      </w:pPr>
      <w:r>
        <w:t>Evidence</w:t>
      </w:r>
      <w:r w:rsidR="00E673A2">
        <w:t xml:space="preserve"> from </w:t>
      </w:r>
      <w:r>
        <w:t xml:space="preserve">young people, </w:t>
      </w:r>
      <w:r w:rsidR="00B81994">
        <w:t>service</w:t>
      </w:r>
      <w:r w:rsidR="00E673A2">
        <w:t xml:space="preserve"> and lead agency staff, PHN representatives </w:t>
      </w:r>
      <w:r w:rsidR="00AF1119">
        <w:t xml:space="preserve">and </w:t>
      </w:r>
      <w:r w:rsidR="00E673A2">
        <w:t xml:space="preserve">community consortium members </w:t>
      </w:r>
      <w:r w:rsidR="00AF1119">
        <w:t>was analysed for evidence of the effect of the ‘no wrong door'</w:t>
      </w:r>
      <w:r w:rsidR="002B4BA9">
        <w:t xml:space="preserve"> </w:t>
      </w:r>
      <w:r w:rsidR="00827B2F">
        <w:t xml:space="preserve">approach on the headspace model </w:t>
      </w:r>
      <w:r w:rsidR="00973154">
        <w:t>and how well it achieves its outcomes</w:t>
      </w:r>
      <w:r w:rsidR="00C5430F">
        <w:t xml:space="preserve"> (Appendix </w:t>
      </w:r>
      <w:r w:rsidR="0041539B">
        <w:fldChar w:fldCharType="begin" w:fldLock="1"/>
      </w:r>
      <w:r w:rsidR="0041539B">
        <w:instrText xml:space="preserve"> REF _Ref98326381 \w \h </w:instrText>
      </w:r>
      <w:r w:rsidR="0041539B">
        <w:fldChar w:fldCharType="separate"/>
      </w:r>
      <w:r w:rsidR="00AE4D34">
        <w:t>D.10</w:t>
      </w:r>
      <w:r w:rsidR="0041539B">
        <w:fldChar w:fldCharType="end"/>
      </w:r>
      <w:r w:rsidR="00C5430F">
        <w:t>)</w:t>
      </w:r>
      <w:r w:rsidR="00973154">
        <w:t xml:space="preserve">. </w:t>
      </w:r>
    </w:p>
    <w:p w14:paraId="04DF47FA" w14:textId="2C087C41" w:rsidR="00DB4663" w:rsidRDefault="00973154" w:rsidP="00DB4663">
      <w:pPr>
        <w:pStyle w:val="BodyText"/>
      </w:pPr>
      <w:r>
        <w:t>Overall, t</w:t>
      </w:r>
      <w:r w:rsidR="00DB4663">
        <w:t>here was significant support for headspace’s ‘</w:t>
      </w:r>
      <w:r w:rsidR="002B4BA9">
        <w:t>no wrong door</w:t>
      </w:r>
      <w:r w:rsidR="00DB4663">
        <w:t xml:space="preserve">’ approach </w:t>
      </w:r>
      <w:r w:rsidR="00FF764C">
        <w:t xml:space="preserve">as a key </w:t>
      </w:r>
      <w:r w:rsidR="009D68DD">
        <w:t xml:space="preserve">enabler of </w:t>
      </w:r>
      <w:r w:rsidR="00DB4663">
        <w:t xml:space="preserve">supporting young people. </w:t>
      </w:r>
      <w:r w:rsidR="00E50AB7">
        <w:t>Evidence shows t</w:t>
      </w:r>
      <w:r w:rsidR="00DB4663">
        <w:t>he approach supports young people by:</w:t>
      </w:r>
    </w:p>
    <w:p w14:paraId="04D8ED0F" w14:textId="437EE175" w:rsidR="00DB4663" w:rsidRDefault="00DB4663" w:rsidP="00DB4663">
      <w:pPr>
        <w:pStyle w:val="Bullet1stlevel"/>
      </w:pPr>
      <w:r>
        <w:t>ensuring they are able to engage with mental health supports in a way they feel comfortable</w:t>
      </w:r>
      <w:r w:rsidR="004658FA">
        <w:t>;</w:t>
      </w:r>
    </w:p>
    <w:p w14:paraId="110B0483" w14:textId="759C2F99" w:rsidR="00DB4663" w:rsidRDefault="00DB4663" w:rsidP="00DB4663">
      <w:pPr>
        <w:pStyle w:val="Bullet1stlevel"/>
      </w:pPr>
      <w:r>
        <w:t>providing a free entry point into the mental health service system</w:t>
      </w:r>
      <w:r w:rsidR="004658FA">
        <w:t>;</w:t>
      </w:r>
    </w:p>
    <w:p w14:paraId="6EB8C192" w14:textId="6DB4A05F" w:rsidR="00DB4663" w:rsidRDefault="00DB4663" w:rsidP="00DB4663">
      <w:pPr>
        <w:pStyle w:val="Bullet1stlevel"/>
      </w:pPr>
      <w:r>
        <w:t xml:space="preserve">providing a soft entry </w:t>
      </w:r>
      <w:r w:rsidR="00E07EC2">
        <w:t xml:space="preserve">point </w:t>
      </w:r>
      <w:r>
        <w:t>into the mental health service system, with referrals to other services available to support service integration for young people</w:t>
      </w:r>
      <w:r w:rsidR="004658FA">
        <w:t>; and</w:t>
      </w:r>
    </w:p>
    <w:p w14:paraId="40E6EFC8" w14:textId="15DAD069" w:rsidR="00DB4663" w:rsidRDefault="00DB4663" w:rsidP="00DB4663">
      <w:pPr>
        <w:pStyle w:val="Bullet1stlevel"/>
      </w:pPr>
      <w:r>
        <w:t>providing</w:t>
      </w:r>
      <w:r w:rsidDel="00706A37">
        <w:t xml:space="preserve"> </w:t>
      </w:r>
      <w:r w:rsidR="00706A37">
        <w:t>young people</w:t>
      </w:r>
      <w:r>
        <w:t xml:space="preserve"> with access to initial services to support broader objectives</w:t>
      </w:r>
      <w:r w:rsidR="00E07EC2">
        <w:t>,</w:t>
      </w:r>
      <w:r>
        <w:t xml:space="preserve"> such as improved mental health literacy and early help seeking, even where they may be referred to a more appropriate service.</w:t>
      </w:r>
    </w:p>
    <w:p w14:paraId="76899B4D" w14:textId="7B2BFDCA" w:rsidR="00DB4663" w:rsidRDefault="0068527B" w:rsidP="00DB4663">
      <w:pPr>
        <w:pStyle w:val="BodyText"/>
      </w:pPr>
      <w:r>
        <w:t>However, i</w:t>
      </w:r>
      <w:r w:rsidR="00F91189">
        <w:t xml:space="preserve">n discussing the ‘no wrong door’ approach, </w:t>
      </w:r>
      <w:r w:rsidR="00B81994">
        <w:t>service</w:t>
      </w:r>
      <w:r w:rsidR="00DB4663">
        <w:t xml:space="preserve"> and lead agency stakeholders consistently </w:t>
      </w:r>
      <w:r w:rsidR="00B57C70">
        <w:t xml:space="preserve">raised </w:t>
      </w:r>
      <w:r w:rsidR="00F10B73">
        <w:t xml:space="preserve">that </w:t>
      </w:r>
      <w:r w:rsidR="006870C4">
        <w:t xml:space="preserve">they </w:t>
      </w:r>
      <w:r w:rsidR="00EF64FB">
        <w:t>report</w:t>
      </w:r>
      <w:r w:rsidR="006870C4">
        <w:t xml:space="preserve"> </w:t>
      </w:r>
      <w:r w:rsidR="00DB4663">
        <w:t xml:space="preserve">young people’s mental health needs are becoming increasingly severe and more complex, with many cases being outside of the headspace model’s </w:t>
      </w:r>
      <w:r w:rsidR="00DB4663" w:rsidRPr="001D6913">
        <w:rPr>
          <w:szCs w:val="20"/>
        </w:rPr>
        <w:t xml:space="preserve">mild to moderate criteria. </w:t>
      </w:r>
      <w:r w:rsidR="00DB4663">
        <w:rPr>
          <w:szCs w:val="20"/>
        </w:rPr>
        <w:t>Common p</w:t>
      </w:r>
      <w:r w:rsidR="00DB4663" w:rsidRPr="001D6913">
        <w:rPr>
          <w:szCs w:val="20"/>
        </w:rPr>
        <w:t>resenting concerns</w:t>
      </w:r>
      <w:r w:rsidR="00DB4663">
        <w:rPr>
          <w:szCs w:val="20"/>
        </w:rPr>
        <w:t xml:space="preserve"> were reportedly</w:t>
      </w:r>
      <w:r w:rsidR="00DB4663" w:rsidRPr="001D6913">
        <w:rPr>
          <w:szCs w:val="20"/>
        </w:rPr>
        <w:t xml:space="preserve"> developmental disorders, personality disorders, eating disorders, </w:t>
      </w:r>
      <w:r w:rsidR="00DB4663" w:rsidRPr="001D6913">
        <w:t xml:space="preserve">complex trauma and grief, and self-harm and suicidal </w:t>
      </w:r>
      <w:r w:rsidR="00DB4663">
        <w:t>ideation, including in ages under 12 years</w:t>
      </w:r>
      <w:r w:rsidR="00CC0438">
        <w:rPr>
          <w:rFonts w:ascii="ZWAdobeF" w:hAnsi="ZWAdobeF" w:cs="ZWAdobeF"/>
          <w:sz w:val="2"/>
          <w:szCs w:val="2"/>
        </w:rPr>
        <w:t>123F</w:t>
      </w:r>
      <w:r w:rsidR="005428F7">
        <w:rPr>
          <w:rStyle w:val="FootnoteReference"/>
        </w:rPr>
        <w:footnoteReference w:id="125"/>
      </w:r>
      <w:r w:rsidR="00DB4663" w:rsidRPr="001D6913">
        <w:t xml:space="preserve">. </w:t>
      </w:r>
    </w:p>
    <w:p w14:paraId="033707CD" w14:textId="6CD7A8C0" w:rsidR="00FB3962" w:rsidRDefault="00DB4663" w:rsidP="00FB3962">
      <w:pPr>
        <w:pStyle w:val="BodyText"/>
      </w:pPr>
      <w:r>
        <w:t>headspace service</w:t>
      </w:r>
      <w:r w:rsidRPr="001D6913">
        <w:t xml:space="preserve"> staff</w:t>
      </w:r>
      <w:r>
        <w:t xml:space="preserve"> interviewed</w:t>
      </w:r>
      <w:r w:rsidRPr="001D6913">
        <w:t xml:space="preserve"> </w:t>
      </w:r>
      <w:r>
        <w:t>commonly</w:t>
      </w:r>
      <w:r w:rsidRPr="001D6913">
        <w:t xml:space="preserve"> described a “missing middle” of clients who are too complex to be seen under </w:t>
      </w:r>
      <w:r>
        <w:t xml:space="preserve">the </w:t>
      </w:r>
      <w:r w:rsidRPr="001D6913">
        <w:t>headspace</w:t>
      </w:r>
      <w:r>
        <w:t xml:space="preserve"> model</w:t>
      </w:r>
      <w:r w:rsidRPr="001D6913">
        <w:t xml:space="preserve">’s mild to moderate remit, but </w:t>
      </w:r>
      <w:r w:rsidR="001944CF">
        <w:t xml:space="preserve">who are </w:t>
      </w:r>
      <w:r w:rsidRPr="001D6913">
        <w:t xml:space="preserve">not unwell enough to be </w:t>
      </w:r>
      <w:r>
        <w:t>transitioned to</w:t>
      </w:r>
      <w:r w:rsidRPr="001D6913">
        <w:t xml:space="preserve"> overwhelmed </w:t>
      </w:r>
      <w:r w:rsidDel="006C5387">
        <w:t>TMHS</w:t>
      </w:r>
      <w:r>
        <w:t xml:space="preserve">s. </w:t>
      </w:r>
      <w:r w:rsidR="00FB3962">
        <w:t xml:space="preserve">These </w:t>
      </w:r>
      <w:r w:rsidR="00A9600B">
        <w:t>headspace providers indicated that</w:t>
      </w:r>
      <w:r w:rsidR="00FB3962">
        <w:t xml:space="preserve"> the </w:t>
      </w:r>
      <w:r w:rsidR="00A9600B">
        <w:t>‘</w:t>
      </w:r>
      <w:r w:rsidR="00FB3962">
        <w:t>no wrong door</w:t>
      </w:r>
      <w:r w:rsidR="00A9600B">
        <w:t>’</w:t>
      </w:r>
      <w:r w:rsidR="00FB3962">
        <w:t xml:space="preserve"> approach, coupled with other challenges in the service system such as referral services with limited or no capacity for new referrals</w:t>
      </w:r>
      <w:r w:rsidR="00A9600B">
        <w:t>,</w:t>
      </w:r>
      <w:r w:rsidR="00FB3962">
        <w:t xml:space="preserve"> significantly impacts headspace’s core business of supporting young people with mild to moderate</w:t>
      </w:r>
      <w:r w:rsidR="00DC50F7">
        <w:t>,</w:t>
      </w:r>
      <w:r w:rsidR="00FB3962">
        <w:t xml:space="preserve"> high</w:t>
      </w:r>
      <w:r w:rsidR="00DC50F7">
        <w:t>-</w:t>
      </w:r>
      <w:r w:rsidR="00FB3962">
        <w:t xml:space="preserve">prevalence </w:t>
      </w:r>
      <w:r w:rsidR="00FE5D20">
        <w:t xml:space="preserve">mental health </w:t>
      </w:r>
      <w:r w:rsidR="00FB3962">
        <w:t xml:space="preserve">conditions and other contributions to communities through outreach and engagement. </w:t>
      </w:r>
    </w:p>
    <w:p w14:paraId="0913D244" w14:textId="6F48798F" w:rsidR="00F757A8" w:rsidRDefault="00F757A8" w:rsidP="008C473C">
      <w:pPr>
        <w:pStyle w:val="BodyText"/>
        <w:keepLines/>
        <w:rPr>
          <w:b/>
          <w:bCs/>
        </w:rPr>
      </w:pPr>
      <w:r w:rsidRPr="008C473C">
        <w:rPr>
          <w:b/>
          <w:bCs/>
        </w:rPr>
        <w:t xml:space="preserve">Evidence from young people, headspace service providers and other external stakeholders indicates that the </w:t>
      </w:r>
      <w:r w:rsidR="002D1ADD">
        <w:rPr>
          <w:b/>
          <w:bCs/>
        </w:rPr>
        <w:t>‘</w:t>
      </w:r>
      <w:r w:rsidR="002B4BA9" w:rsidRPr="008C473C">
        <w:rPr>
          <w:b/>
          <w:bCs/>
        </w:rPr>
        <w:t xml:space="preserve">no wrong </w:t>
      </w:r>
      <w:r w:rsidR="002D1ADD">
        <w:rPr>
          <w:b/>
          <w:bCs/>
        </w:rPr>
        <w:t>door’</w:t>
      </w:r>
      <w:r w:rsidRPr="008C473C">
        <w:rPr>
          <w:b/>
          <w:bCs/>
        </w:rPr>
        <w:t xml:space="preserve"> approach </w:t>
      </w:r>
      <w:r w:rsidR="005438F6" w:rsidRPr="008C473C">
        <w:rPr>
          <w:b/>
          <w:bCs/>
        </w:rPr>
        <w:t xml:space="preserve">is an important and valued feature of the model, </w:t>
      </w:r>
      <w:r w:rsidRPr="008C473C">
        <w:rPr>
          <w:b/>
          <w:bCs/>
        </w:rPr>
        <w:t>support</w:t>
      </w:r>
      <w:r w:rsidR="002525A7" w:rsidRPr="008C473C">
        <w:rPr>
          <w:b/>
          <w:bCs/>
        </w:rPr>
        <w:t>ing improved mental health literacy, early help seeking and access to required services</w:t>
      </w:r>
      <w:r w:rsidR="00FB7342" w:rsidRPr="008C473C">
        <w:rPr>
          <w:b/>
          <w:bCs/>
        </w:rPr>
        <w:t>. At the same time</w:t>
      </w:r>
      <w:r w:rsidR="002525A7" w:rsidRPr="008C473C">
        <w:rPr>
          <w:b/>
          <w:bCs/>
        </w:rPr>
        <w:t>, however</w:t>
      </w:r>
      <w:r w:rsidR="00FB7342" w:rsidRPr="008C473C">
        <w:rPr>
          <w:b/>
          <w:bCs/>
        </w:rPr>
        <w:t>,</w:t>
      </w:r>
      <w:r w:rsidR="002525A7" w:rsidRPr="008C473C">
        <w:rPr>
          <w:b/>
          <w:bCs/>
        </w:rPr>
        <w:t xml:space="preserve"> the level of demand </w:t>
      </w:r>
      <w:r w:rsidR="00B37C96" w:rsidRPr="008C473C">
        <w:rPr>
          <w:b/>
          <w:bCs/>
        </w:rPr>
        <w:t>for mental health support</w:t>
      </w:r>
      <w:r w:rsidR="00CD488F" w:rsidRPr="008C473C">
        <w:rPr>
          <w:b/>
          <w:bCs/>
        </w:rPr>
        <w:t xml:space="preserve">, and the volume of young people who use </w:t>
      </w:r>
      <w:r w:rsidRPr="008C473C">
        <w:rPr>
          <w:b/>
          <w:bCs/>
        </w:rPr>
        <w:t>headspace</w:t>
      </w:r>
      <w:r w:rsidR="00CD488F" w:rsidRPr="008C473C">
        <w:rPr>
          <w:b/>
          <w:bCs/>
        </w:rPr>
        <w:t xml:space="preserve"> as the entry point into support </w:t>
      </w:r>
      <w:r w:rsidR="005E6371" w:rsidRPr="008C473C">
        <w:rPr>
          <w:b/>
          <w:bCs/>
        </w:rPr>
        <w:t xml:space="preserve">leads to </w:t>
      </w:r>
      <w:r w:rsidR="000E0298" w:rsidRPr="008C473C">
        <w:rPr>
          <w:b/>
          <w:bCs/>
        </w:rPr>
        <w:t xml:space="preserve">increased wait times </w:t>
      </w:r>
      <w:r w:rsidR="000976FD">
        <w:rPr>
          <w:b/>
          <w:bCs/>
        </w:rPr>
        <w:t xml:space="preserve">for </w:t>
      </w:r>
      <w:r w:rsidR="000E0298" w:rsidRPr="008C473C">
        <w:rPr>
          <w:b/>
          <w:bCs/>
        </w:rPr>
        <w:t xml:space="preserve">young people, particularly those in the ‘mild to moderate’ group who are the headspace model’s </w:t>
      </w:r>
      <w:r w:rsidRPr="008C473C">
        <w:rPr>
          <w:b/>
          <w:bCs/>
        </w:rPr>
        <w:t>primary</w:t>
      </w:r>
      <w:r w:rsidR="000E0298" w:rsidRPr="008C473C">
        <w:rPr>
          <w:b/>
          <w:bCs/>
        </w:rPr>
        <w:t xml:space="preserve"> target</w:t>
      </w:r>
      <w:r w:rsidRPr="008C473C">
        <w:rPr>
          <w:b/>
          <w:bCs/>
        </w:rPr>
        <w:t xml:space="preserve"> cohort of young people.</w:t>
      </w:r>
    </w:p>
    <w:p w14:paraId="5DCA8E2A" w14:textId="7045DFF7" w:rsidR="008C473C" w:rsidRPr="00260E4B" w:rsidRDefault="008C473C" w:rsidP="005176FD">
      <w:pPr>
        <w:pStyle w:val="BodyText"/>
        <w:keepNext/>
        <w:rPr>
          <w:i/>
          <w:iCs/>
        </w:rPr>
      </w:pPr>
      <w:r w:rsidRPr="00260E4B">
        <w:rPr>
          <w:i/>
          <w:iCs/>
        </w:rPr>
        <w:t xml:space="preserve">The key enabling elements of the headspace model which </w:t>
      </w:r>
      <w:r>
        <w:rPr>
          <w:i/>
          <w:iCs/>
        </w:rPr>
        <w:t xml:space="preserve">support </w:t>
      </w:r>
      <w:r w:rsidR="00DD5304">
        <w:rPr>
          <w:i/>
          <w:iCs/>
        </w:rPr>
        <w:t xml:space="preserve">successful </w:t>
      </w:r>
      <w:r w:rsidR="00DC73DD">
        <w:rPr>
          <w:i/>
          <w:iCs/>
        </w:rPr>
        <w:t xml:space="preserve">provision of the ‘no wrong door’ approach </w:t>
      </w:r>
      <w:r w:rsidRPr="00260E4B">
        <w:rPr>
          <w:i/>
          <w:iCs/>
        </w:rPr>
        <w:t>are:</w:t>
      </w:r>
    </w:p>
    <w:p w14:paraId="4C195EEF" w14:textId="4C0ABE7B" w:rsidR="00A6146B" w:rsidRDefault="004658FA" w:rsidP="008B0A52">
      <w:pPr>
        <w:pStyle w:val="Bullet1stlevel"/>
        <w:rPr>
          <w:i/>
          <w:iCs/>
        </w:rPr>
      </w:pPr>
      <w:r>
        <w:rPr>
          <w:i/>
          <w:iCs/>
        </w:rPr>
        <w:t>e</w:t>
      </w:r>
      <w:r w:rsidR="00390A4C">
        <w:rPr>
          <w:i/>
          <w:iCs/>
        </w:rPr>
        <w:t>nhanced access</w:t>
      </w:r>
      <w:r>
        <w:rPr>
          <w:i/>
          <w:iCs/>
        </w:rPr>
        <w:t>;</w:t>
      </w:r>
    </w:p>
    <w:p w14:paraId="6E6A45D0" w14:textId="533A4049" w:rsidR="008C473C" w:rsidRDefault="004658FA" w:rsidP="008B0A52">
      <w:pPr>
        <w:pStyle w:val="Bullet1stlevel"/>
        <w:rPr>
          <w:i/>
          <w:iCs/>
        </w:rPr>
      </w:pPr>
      <w:r>
        <w:rPr>
          <w:i/>
          <w:iCs/>
        </w:rPr>
        <w:t>s</w:t>
      </w:r>
      <w:r w:rsidR="008C473C">
        <w:rPr>
          <w:i/>
          <w:iCs/>
        </w:rPr>
        <w:t>ervice integration</w:t>
      </w:r>
      <w:r>
        <w:rPr>
          <w:i/>
          <w:iCs/>
        </w:rPr>
        <w:t>;</w:t>
      </w:r>
    </w:p>
    <w:p w14:paraId="7E053784" w14:textId="7CC114EC" w:rsidR="008C473C" w:rsidRPr="00260E4B" w:rsidRDefault="004658FA" w:rsidP="008B0A52">
      <w:pPr>
        <w:pStyle w:val="Bullet1stlevel"/>
        <w:rPr>
          <w:i/>
          <w:iCs/>
        </w:rPr>
      </w:pPr>
      <w:r>
        <w:rPr>
          <w:i/>
          <w:iCs/>
        </w:rPr>
        <w:t>n</w:t>
      </w:r>
      <w:r w:rsidR="008C473C">
        <w:rPr>
          <w:i/>
          <w:iCs/>
        </w:rPr>
        <w:t>ational network (in particular the roles of PHNs and community consortia)</w:t>
      </w:r>
      <w:r>
        <w:rPr>
          <w:i/>
          <w:iCs/>
        </w:rPr>
        <w:t>; and</w:t>
      </w:r>
    </w:p>
    <w:p w14:paraId="292FC601" w14:textId="164C8ADD" w:rsidR="008C473C" w:rsidRPr="00260E4B" w:rsidRDefault="004658FA" w:rsidP="008B0A52">
      <w:pPr>
        <w:pStyle w:val="Bullet1stlevel"/>
        <w:rPr>
          <w:i/>
          <w:iCs/>
        </w:rPr>
      </w:pPr>
      <w:r>
        <w:rPr>
          <w:i/>
          <w:iCs/>
        </w:rPr>
        <w:t>m</w:t>
      </w:r>
      <w:r w:rsidR="008C473C" w:rsidRPr="00260E4B">
        <w:rPr>
          <w:i/>
          <w:iCs/>
        </w:rPr>
        <w:t>ulti-disciplinary workforce.</w:t>
      </w:r>
    </w:p>
    <w:p w14:paraId="5823F725" w14:textId="0DAFEF52" w:rsidR="0097231A" w:rsidRDefault="000840DA" w:rsidP="000E5EBD">
      <w:pPr>
        <w:pStyle w:val="Heading4"/>
      </w:pPr>
      <w:r>
        <w:t xml:space="preserve">Securing </w:t>
      </w:r>
      <w:r w:rsidR="0097231A" w:rsidRPr="0097231A">
        <w:t xml:space="preserve">support </w:t>
      </w:r>
      <w:r w:rsidR="0097231A">
        <w:t>for headspace of other</w:t>
      </w:r>
      <w:r w:rsidR="0097231A" w:rsidRPr="0097231A">
        <w:t xml:space="preserve"> primary care and mental health providers </w:t>
      </w:r>
    </w:p>
    <w:p w14:paraId="43F0DB53" w14:textId="77777777" w:rsidR="00BD327C" w:rsidRDefault="006F4E1D" w:rsidP="003006A8">
      <w:pPr>
        <w:pStyle w:val="BodyText"/>
      </w:pPr>
      <w:r>
        <w:t xml:space="preserve">In order to operate successfully, the headspace model requires services to work collaboratively and build positive relationships with other services throughout their local service system and referral pathways. </w:t>
      </w:r>
    </w:p>
    <w:p w14:paraId="04A5AD77" w14:textId="2927EF36" w:rsidR="00813393" w:rsidRDefault="00BD327C" w:rsidP="00B33691">
      <w:pPr>
        <w:pStyle w:val="BodyText"/>
      </w:pPr>
      <w:r>
        <w:t xml:space="preserve">The extent to which the headspace model is </w:t>
      </w:r>
      <w:r w:rsidR="004641D7">
        <w:t xml:space="preserve">supported by other primary care and mental health providers was explored through this evaluation, through interviews and </w:t>
      </w:r>
      <w:r w:rsidR="00813393">
        <w:t>focus groups with PHNs, school and university counsellors</w:t>
      </w:r>
      <w:r w:rsidR="0046754D">
        <w:t>,</w:t>
      </w:r>
      <w:r w:rsidR="00813393">
        <w:t xml:space="preserve"> community consortium members </w:t>
      </w:r>
      <w:r w:rsidR="0046754D">
        <w:t>and a small number of GPs</w:t>
      </w:r>
      <w:r w:rsidR="00813393">
        <w:t xml:space="preserve"> (Appendix </w:t>
      </w:r>
      <w:r w:rsidR="0041539B">
        <w:fldChar w:fldCharType="begin" w:fldLock="1"/>
      </w:r>
      <w:r w:rsidR="0041539B">
        <w:instrText xml:space="preserve"> REF _Ref98326390 \w \h </w:instrText>
      </w:r>
      <w:r w:rsidR="0041539B">
        <w:fldChar w:fldCharType="separate"/>
      </w:r>
      <w:r w:rsidR="00AE4D34">
        <w:t>D.11</w:t>
      </w:r>
      <w:r w:rsidR="0041539B">
        <w:fldChar w:fldCharType="end"/>
      </w:r>
      <w:r w:rsidR="00813393">
        <w:t>).</w:t>
      </w:r>
    </w:p>
    <w:p w14:paraId="66FA6D4A" w14:textId="2684EE94" w:rsidR="00B33691" w:rsidRDefault="003B3B2A" w:rsidP="00B33691">
      <w:pPr>
        <w:pStyle w:val="BodyText"/>
      </w:pPr>
      <w:r>
        <w:t>E</w:t>
      </w:r>
      <w:r w:rsidR="00B33691">
        <w:t xml:space="preserve">vidence demonstrates that there are a range of factors that </w:t>
      </w:r>
      <w:r w:rsidR="00B33691" w:rsidRPr="0097231A">
        <w:t>impact on the level of support primary care and mental health providers</w:t>
      </w:r>
      <w:r w:rsidR="00B33691">
        <w:t xml:space="preserve"> have for headspace, and in particular their likelihood to make referrals to headspace services. These factors include concern about wait times within headspace services, challenges </w:t>
      </w:r>
      <w:r w:rsidR="0011446F">
        <w:t xml:space="preserve">in </w:t>
      </w:r>
      <w:r w:rsidR="00B33691">
        <w:t>engaging in coordinated care with headspace services, and in building relationships with headspace services when there is staff turnover.</w:t>
      </w:r>
    </w:p>
    <w:p w14:paraId="716004AC" w14:textId="749A4F8D" w:rsidR="00E7606C" w:rsidRDefault="00E7606C" w:rsidP="005E7292">
      <w:pPr>
        <w:pStyle w:val="BodyText"/>
      </w:pPr>
      <w:r>
        <w:t>The overall level of support for the headspace model is high, and head</w:t>
      </w:r>
      <w:r w:rsidR="002D1ADD">
        <w:t>s</w:t>
      </w:r>
      <w:r>
        <w:t>pace is viewed as a vital community service. At the same time, d</w:t>
      </w:r>
      <w:r w:rsidR="00A86D53">
        <w:t>ay</w:t>
      </w:r>
      <w:r w:rsidR="0011446F">
        <w:t>-</w:t>
      </w:r>
      <w:r w:rsidR="00A86D53">
        <w:t>to</w:t>
      </w:r>
      <w:r w:rsidR="0011446F">
        <w:t>-</w:t>
      </w:r>
      <w:r w:rsidR="00A86D53">
        <w:t>day operational challenges associated with supporting young people to find appropriate care</w:t>
      </w:r>
      <w:r w:rsidR="004611F3">
        <w:t xml:space="preserve"> were </w:t>
      </w:r>
      <w:r>
        <w:t xml:space="preserve">frequently </w:t>
      </w:r>
      <w:r w:rsidR="004611F3">
        <w:t xml:space="preserve">raised by </w:t>
      </w:r>
      <w:r w:rsidR="000251A8">
        <w:t>stakeholders</w:t>
      </w:r>
      <w:r w:rsidR="005208CE">
        <w:t xml:space="preserve"> when asked about their level of support for the</w:t>
      </w:r>
      <w:r w:rsidR="004C112F">
        <w:t xml:space="preserve"> headspace</w:t>
      </w:r>
      <w:r w:rsidR="005208CE">
        <w:t xml:space="preserve"> model</w:t>
      </w:r>
      <w:r w:rsidR="000251A8">
        <w:t xml:space="preserve">. </w:t>
      </w:r>
      <w:r w:rsidR="004C112F">
        <w:t xml:space="preserve">Some of these </w:t>
      </w:r>
      <w:r w:rsidR="009517BE">
        <w:t xml:space="preserve">challenges </w:t>
      </w:r>
      <w:r w:rsidR="004C112F">
        <w:t xml:space="preserve">could be </w:t>
      </w:r>
      <w:r w:rsidR="006B4C68">
        <w:t>amel</w:t>
      </w:r>
      <w:r w:rsidR="00DD14EF">
        <w:t>iorated</w:t>
      </w:r>
      <w:r w:rsidR="004C112F">
        <w:t xml:space="preserve">, for example, </w:t>
      </w:r>
      <w:r w:rsidR="00B631BF">
        <w:t>there may be opportunity to address staff turnover through adjustments to the funding model, ensuring adequate reimbursement</w:t>
      </w:r>
      <w:r w:rsidR="00345B3C">
        <w:t>, to ensur</w:t>
      </w:r>
      <w:r w:rsidR="007B46C4">
        <w:t>e competitive arrangements within the context of other services.</w:t>
      </w:r>
      <w:r w:rsidR="00B631BF" w:rsidDel="00345B3C">
        <w:t xml:space="preserve"> </w:t>
      </w:r>
      <w:r w:rsidR="00B631BF">
        <w:t>Additionally,</w:t>
      </w:r>
      <w:r w:rsidR="00C17228">
        <w:t xml:space="preserve"> the </w:t>
      </w:r>
      <w:r w:rsidR="0035792E">
        <w:t>sharing of information between providers</w:t>
      </w:r>
      <w:r w:rsidR="00B631BF">
        <w:t xml:space="preserve"> could be prioritised,</w:t>
      </w:r>
      <w:r w:rsidR="0035792E">
        <w:t xml:space="preserve"> </w:t>
      </w:r>
      <w:r w:rsidR="00F601D1">
        <w:t xml:space="preserve">so that the </w:t>
      </w:r>
      <w:r w:rsidR="0035792E">
        <w:t xml:space="preserve">service pathways </w:t>
      </w:r>
      <w:r w:rsidR="00DD14EF">
        <w:t xml:space="preserve">through which </w:t>
      </w:r>
      <w:r w:rsidR="000205DE">
        <w:t>a young person transitions</w:t>
      </w:r>
      <w:r w:rsidR="00F601D1">
        <w:t xml:space="preserve"> are </w:t>
      </w:r>
      <w:r w:rsidR="008C038C">
        <w:t xml:space="preserve">documented and </w:t>
      </w:r>
      <w:r w:rsidR="00FF4370">
        <w:t xml:space="preserve">information about </w:t>
      </w:r>
      <w:r w:rsidR="008C038C">
        <w:t xml:space="preserve">outcomes </w:t>
      </w:r>
      <w:r w:rsidR="00FF4370">
        <w:t>is</w:t>
      </w:r>
      <w:r w:rsidR="000359AB">
        <w:t xml:space="preserve"> </w:t>
      </w:r>
      <w:r w:rsidR="008C038C">
        <w:t>shared</w:t>
      </w:r>
      <w:r w:rsidR="00B631BF">
        <w:t>.</w:t>
      </w:r>
      <w:r w:rsidR="00414ABC">
        <w:t xml:space="preserve"> </w:t>
      </w:r>
      <w:r w:rsidR="000205DE">
        <w:t xml:space="preserve">While this issue is not </w:t>
      </w:r>
      <w:r w:rsidR="00AE3AA2">
        <w:t xml:space="preserve">confined to the headspace model, as the </w:t>
      </w:r>
      <w:r w:rsidR="002D1ADD">
        <w:t>highest</w:t>
      </w:r>
      <w:r w:rsidR="00AE3AA2">
        <w:t xml:space="preserve"> profile and </w:t>
      </w:r>
      <w:r>
        <w:t xml:space="preserve">extensive form of support available for young people in </w:t>
      </w:r>
      <w:r w:rsidR="000E1104">
        <w:t xml:space="preserve">Australia in </w:t>
      </w:r>
      <w:r>
        <w:t>mental health service delivery, the headspace model could be a powerful tool in improving care coordination across local service sectors.</w:t>
      </w:r>
    </w:p>
    <w:p w14:paraId="08F7F330" w14:textId="41478E05" w:rsidR="009B0470" w:rsidRPr="009B0470" w:rsidRDefault="00326457" w:rsidP="005E7292">
      <w:pPr>
        <w:pStyle w:val="BodyText"/>
        <w:rPr>
          <w:b/>
          <w:bCs/>
        </w:rPr>
      </w:pPr>
      <w:r>
        <w:rPr>
          <w:b/>
          <w:bCs/>
        </w:rPr>
        <w:t>T</w:t>
      </w:r>
      <w:r w:rsidR="009B0470">
        <w:rPr>
          <w:b/>
          <w:bCs/>
        </w:rPr>
        <w:t xml:space="preserve">he </w:t>
      </w:r>
      <w:r w:rsidR="00043050" w:rsidRPr="009B0470">
        <w:rPr>
          <w:b/>
          <w:bCs/>
        </w:rPr>
        <w:t>headspace</w:t>
      </w:r>
      <w:r w:rsidR="009B0470">
        <w:rPr>
          <w:b/>
          <w:bCs/>
        </w:rPr>
        <w:t xml:space="preserve"> model</w:t>
      </w:r>
      <w:r w:rsidR="00043050" w:rsidRPr="009B0470">
        <w:rPr>
          <w:b/>
          <w:bCs/>
        </w:rPr>
        <w:t xml:space="preserve"> benefits from generally </w:t>
      </w:r>
      <w:r w:rsidR="00F73CDF" w:rsidRPr="009B0470">
        <w:rPr>
          <w:b/>
          <w:bCs/>
        </w:rPr>
        <w:t xml:space="preserve">high levels of support from other primary care and mental health providers, although operational pressures </w:t>
      </w:r>
      <w:r w:rsidR="0058171B" w:rsidRPr="009B0470">
        <w:rPr>
          <w:b/>
          <w:bCs/>
        </w:rPr>
        <w:t xml:space="preserve">affect </w:t>
      </w:r>
      <w:r w:rsidR="00AC42FF" w:rsidRPr="009B0470">
        <w:rPr>
          <w:b/>
          <w:bCs/>
        </w:rPr>
        <w:t>individuals</w:t>
      </w:r>
      <w:r w:rsidR="00101733">
        <w:rPr>
          <w:b/>
          <w:bCs/>
        </w:rPr>
        <w:t>’</w:t>
      </w:r>
      <w:r w:rsidR="00AC42FF" w:rsidRPr="009B0470">
        <w:rPr>
          <w:b/>
          <w:bCs/>
        </w:rPr>
        <w:t xml:space="preserve"> referring decisions</w:t>
      </w:r>
      <w:r w:rsidR="00557CC1">
        <w:rPr>
          <w:b/>
          <w:bCs/>
        </w:rPr>
        <w:t xml:space="preserve"> and</w:t>
      </w:r>
      <w:r w:rsidR="00101733">
        <w:rPr>
          <w:b/>
          <w:bCs/>
        </w:rPr>
        <w:t>,</w:t>
      </w:r>
      <w:r w:rsidR="00557CC1">
        <w:rPr>
          <w:b/>
          <w:bCs/>
        </w:rPr>
        <w:t xml:space="preserve"> at times</w:t>
      </w:r>
      <w:r w:rsidR="00101733">
        <w:rPr>
          <w:b/>
          <w:bCs/>
        </w:rPr>
        <w:t>,</w:t>
      </w:r>
      <w:r w:rsidR="00557CC1">
        <w:rPr>
          <w:b/>
          <w:bCs/>
        </w:rPr>
        <w:t xml:space="preserve"> create frustrations</w:t>
      </w:r>
      <w:r w:rsidR="009B0470" w:rsidRPr="009B0470">
        <w:rPr>
          <w:b/>
          <w:bCs/>
        </w:rPr>
        <w:t>.</w:t>
      </w:r>
    </w:p>
    <w:p w14:paraId="2B3921F3" w14:textId="7217F41F" w:rsidR="009B0470" w:rsidRPr="00260E4B" w:rsidRDefault="009B0470" w:rsidP="005D4BEA">
      <w:pPr>
        <w:pStyle w:val="BodyText"/>
        <w:rPr>
          <w:i/>
          <w:iCs/>
        </w:rPr>
      </w:pPr>
      <w:r w:rsidRPr="00260E4B">
        <w:rPr>
          <w:i/>
          <w:iCs/>
        </w:rPr>
        <w:t xml:space="preserve">The key enabling elements of the headspace model which </w:t>
      </w:r>
      <w:r w:rsidR="00F17F94">
        <w:rPr>
          <w:i/>
          <w:iCs/>
        </w:rPr>
        <w:t xml:space="preserve">assist </w:t>
      </w:r>
      <w:r w:rsidR="00DD3F7B">
        <w:rPr>
          <w:i/>
          <w:iCs/>
        </w:rPr>
        <w:t>in</w:t>
      </w:r>
      <w:r w:rsidR="00F17F94">
        <w:rPr>
          <w:i/>
          <w:iCs/>
        </w:rPr>
        <w:t xml:space="preserve"> secur</w:t>
      </w:r>
      <w:r w:rsidR="00DD3F7B">
        <w:rPr>
          <w:i/>
          <w:iCs/>
        </w:rPr>
        <w:t>ing</w:t>
      </w:r>
      <w:r w:rsidR="00F17F94">
        <w:rPr>
          <w:i/>
          <w:iCs/>
        </w:rPr>
        <w:t xml:space="preserve"> the </w:t>
      </w:r>
      <w:r>
        <w:rPr>
          <w:i/>
          <w:iCs/>
        </w:rPr>
        <w:t xml:space="preserve">support </w:t>
      </w:r>
      <w:r w:rsidR="00F17F94">
        <w:rPr>
          <w:i/>
          <w:iCs/>
        </w:rPr>
        <w:t>of other primary care and mental health providers a</w:t>
      </w:r>
      <w:r w:rsidRPr="00260E4B">
        <w:rPr>
          <w:i/>
          <w:iCs/>
        </w:rPr>
        <w:t>re:</w:t>
      </w:r>
    </w:p>
    <w:p w14:paraId="49D832E1" w14:textId="5EEACA3C" w:rsidR="009B0470" w:rsidRDefault="00414ABC" w:rsidP="005D4BEA">
      <w:pPr>
        <w:pStyle w:val="Bullet1stlevel"/>
        <w:rPr>
          <w:i/>
          <w:iCs/>
        </w:rPr>
      </w:pPr>
      <w:r>
        <w:rPr>
          <w:i/>
          <w:iCs/>
        </w:rPr>
        <w:t>c</w:t>
      </w:r>
      <w:r w:rsidR="009B0470" w:rsidRPr="00260E4B">
        <w:rPr>
          <w:i/>
          <w:iCs/>
        </w:rPr>
        <w:t>ommunity awareness and engagement</w:t>
      </w:r>
      <w:r>
        <w:rPr>
          <w:i/>
          <w:iCs/>
        </w:rPr>
        <w:t>;</w:t>
      </w:r>
      <w:r w:rsidR="009B0470">
        <w:rPr>
          <w:i/>
          <w:iCs/>
        </w:rPr>
        <w:t xml:space="preserve"> </w:t>
      </w:r>
    </w:p>
    <w:p w14:paraId="0624C625" w14:textId="705D3CEE" w:rsidR="009B0470" w:rsidRDefault="00414ABC" w:rsidP="005D4BEA">
      <w:pPr>
        <w:pStyle w:val="Bullet1stlevel"/>
        <w:rPr>
          <w:i/>
          <w:iCs/>
        </w:rPr>
      </w:pPr>
      <w:r>
        <w:rPr>
          <w:i/>
          <w:iCs/>
        </w:rPr>
        <w:t>s</w:t>
      </w:r>
      <w:r w:rsidR="009B0470">
        <w:rPr>
          <w:i/>
          <w:iCs/>
        </w:rPr>
        <w:t>ervice integration</w:t>
      </w:r>
      <w:r>
        <w:rPr>
          <w:i/>
          <w:iCs/>
        </w:rPr>
        <w:t>; and</w:t>
      </w:r>
    </w:p>
    <w:p w14:paraId="5B5C6AA9" w14:textId="43F76E32" w:rsidR="009B0470" w:rsidRPr="00260E4B" w:rsidRDefault="00414ABC" w:rsidP="005D4BEA">
      <w:pPr>
        <w:pStyle w:val="Bullet1stlevel"/>
        <w:rPr>
          <w:i/>
          <w:iCs/>
        </w:rPr>
      </w:pPr>
      <w:r>
        <w:rPr>
          <w:i/>
          <w:iCs/>
        </w:rPr>
        <w:t>m</w:t>
      </w:r>
      <w:r w:rsidR="009B0470" w:rsidRPr="00260E4B">
        <w:rPr>
          <w:i/>
          <w:iCs/>
        </w:rPr>
        <w:t>ulti-disciplinary workforce.</w:t>
      </w:r>
    </w:p>
    <w:p w14:paraId="1D6B490E" w14:textId="5198EC40" w:rsidR="00FB2EC9" w:rsidRDefault="007C4015" w:rsidP="007C4015">
      <w:pPr>
        <w:pStyle w:val="Heading4"/>
      </w:pPr>
      <w:r>
        <w:t>Improving service system outcomes – in conclusion</w:t>
      </w:r>
    </w:p>
    <w:p w14:paraId="32B492D0" w14:textId="73B2E7AD" w:rsidR="007246F7" w:rsidRDefault="007246F7" w:rsidP="00DC1430">
      <w:pPr>
        <w:pStyle w:val="BodyText"/>
      </w:pPr>
      <w:r>
        <w:t xml:space="preserve">The headspace model supports </w:t>
      </w:r>
      <w:r w:rsidR="00783796">
        <w:t xml:space="preserve">outcomes in improving the mental health service system, however there is mixed evidence for how well it </w:t>
      </w:r>
      <w:r w:rsidR="00693DC0">
        <w:t>achieves these outcomes in certain areas.</w:t>
      </w:r>
    </w:p>
    <w:p w14:paraId="1B7EA36A" w14:textId="15997012" w:rsidR="00DC1430" w:rsidRPr="00101733" w:rsidRDefault="00693DC0" w:rsidP="00693DC0">
      <w:pPr>
        <w:pStyle w:val="BodyText"/>
      </w:pPr>
      <w:r>
        <w:t>The headspace model is</w:t>
      </w:r>
      <w:r w:rsidRPr="00693DC0">
        <w:t xml:space="preserve"> </w:t>
      </w:r>
      <w:r w:rsidR="00DC1430" w:rsidRPr="00693DC0">
        <w:t>effective in supporting youth mental health through advocacy and promotion activities</w:t>
      </w:r>
      <w:r>
        <w:t xml:space="preserve">, </w:t>
      </w:r>
      <w:r w:rsidR="00A63FB6">
        <w:t xml:space="preserve">and stigma reduction activities </w:t>
      </w:r>
      <w:r w:rsidR="00A63FB6" w:rsidRPr="00A63FB6">
        <w:t>undertaken as part of the headspace model are effective.</w:t>
      </w:r>
      <w:r w:rsidR="0075022F">
        <w:t xml:space="preserve"> It </w:t>
      </w:r>
      <w:r w:rsidR="00331278">
        <w:t xml:space="preserve">is </w:t>
      </w:r>
      <w:r w:rsidR="0075022F">
        <w:t>also</w:t>
      </w:r>
      <w:r w:rsidR="00331278">
        <w:t xml:space="preserve"> recognised as providing</w:t>
      </w:r>
      <w:r w:rsidR="005E671E" w:rsidRPr="005E671E">
        <w:t xml:space="preserve"> a range of additional contributions to local communities that are highly valued by those communities</w:t>
      </w:r>
      <w:r w:rsidR="005E671E">
        <w:t>.</w:t>
      </w:r>
      <w:r w:rsidR="00331278">
        <w:t xml:space="preserve"> </w:t>
      </w:r>
    </w:p>
    <w:p w14:paraId="65D85215" w14:textId="77F9D26B" w:rsidR="003A5C26" w:rsidRDefault="00CB6804" w:rsidP="003A5C26">
      <w:pPr>
        <w:pStyle w:val="BodyText"/>
      </w:pPr>
      <w:r w:rsidRPr="006F062D">
        <w:t xml:space="preserve">The areas where the headspace model </w:t>
      </w:r>
      <w:r w:rsidR="009077A3" w:rsidRPr="006F062D">
        <w:t xml:space="preserve">is less effective are related to the broader service system in which it operates. The extent to which the model </w:t>
      </w:r>
      <w:r w:rsidR="003A5C26" w:rsidRPr="006F062D">
        <w:t>is effective in improving pathways to care</w:t>
      </w:r>
      <w:r w:rsidR="00C81F1F">
        <w:t xml:space="preserve">, as well </w:t>
      </w:r>
      <w:r w:rsidR="00265E5C">
        <w:t>a</w:t>
      </w:r>
      <w:r w:rsidR="00C81F1F">
        <w:t xml:space="preserve">s the extent </w:t>
      </w:r>
      <w:r w:rsidR="00237486" w:rsidRPr="006F062D">
        <w:t xml:space="preserve">to which it </w:t>
      </w:r>
      <w:r w:rsidR="00880161" w:rsidRPr="006F062D">
        <w:t xml:space="preserve">provides a </w:t>
      </w:r>
      <w:r w:rsidR="009077A3" w:rsidRPr="006F062D">
        <w:t>localised service</w:t>
      </w:r>
      <w:r w:rsidR="00880161" w:rsidRPr="006F062D">
        <w:t xml:space="preserve"> offering, </w:t>
      </w:r>
      <w:r w:rsidR="00237486" w:rsidRPr="006F062D">
        <w:t xml:space="preserve">are both constrained by </w:t>
      </w:r>
      <w:r w:rsidR="00BC7215" w:rsidRPr="006F062D">
        <w:t xml:space="preserve">the capacity of </w:t>
      </w:r>
      <w:r w:rsidR="00265E5C">
        <w:t xml:space="preserve">other </w:t>
      </w:r>
      <w:r w:rsidR="00BC7215" w:rsidRPr="006F062D">
        <w:t xml:space="preserve">services </w:t>
      </w:r>
      <w:r w:rsidR="00C36E77" w:rsidRPr="006F062D">
        <w:t>in the headspace services</w:t>
      </w:r>
      <w:r w:rsidR="00265E5C">
        <w:t>’</w:t>
      </w:r>
      <w:r w:rsidR="00C36E77" w:rsidRPr="006F062D">
        <w:t xml:space="preserve"> referral pathways. At the same time, </w:t>
      </w:r>
      <w:r w:rsidR="00464388" w:rsidRPr="006F062D">
        <w:t>pressures</w:t>
      </w:r>
      <w:r w:rsidR="00C36E77" w:rsidRPr="006F062D">
        <w:t xml:space="preserve"> associated with a ‘no wrong door’ approach are exacerbated when headspace services are unable to </w:t>
      </w:r>
      <w:r w:rsidR="006F062D" w:rsidRPr="006F062D">
        <w:t>access referral pathways to more intensive supports for high needs young people</w:t>
      </w:r>
      <w:r w:rsidR="000B096D">
        <w:t>, in turn increasing wait times at headspace services as young people with higher presenting need</w:t>
      </w:r>
      <w:r w:rsidR="00101733">
        <w:t>s</w:t>
      </w:r>
      <w:r w:rsidR="000B096D">
        <w:t xml:space="preserve"> are </w:t>
      </w:r>
      <w:r w:rsidR="00566729">
        <w:t>prioritised</w:t>
      </w:r>
      <w:r w:rsidR="006F062D" w:rsidRPr="006F062D">
        <w:t xml:space="preserve">. </w:t>
      </w:r>
      <w:r w:rsidR="000B096D">
        <w:t>S</w:t>
      </w:r>
      <w:r w:rsidR="0002446B">
        <w:t xml:space="preserve">imilarly, while overall </w:t>
      </w:r>
      <w:r w:rsidR="0002446B" w:rsidRPr="0002446B">
        <w:t xml:space="preserve">the headspace model benefits from generally high levels of support from other primary care and mental health providers, </w:t>
      </w:r>
      <w:r w:rsidR="00566729">
        <w:t>these</w:t>
      </w:r>
      <w:r w:rsidR="0002446B" w:rsidRPr="0002446B">
        <w:t xml:space="preserve"> operational pressures affect individuals</w:t>
      </w:r>
      <w:r w:rsidR="00DC50F7">
        <w:t>’</w:t>
      </w:r>
      <w:r w:rsidR="0002446B" w:rsidRPr="0002446B">
        <w:t xml:space="preserve"> referring decisions and </w:t>
      </w:r>
      <w:r w:rsidR="00566729">
        <w:t>attitudes towards the headspace model</w:t>
      </w:r>
      <w:r w:rsidR="0002446B" w:rsidRPr="0002446B">
        <w:t>.</w:t>
      </w:r>
    </w:p>
    <w:p w14:paraId="169A694C" w14:textId="59E033B0" w:rsidR="006F062D" w:rsidRPr="006F062D" w:rsidRDefault="00E5013A" w:rsidP="003A5C26">
      <w:pPr>
        <w:pStyle w:val="BodyText"/>
      </w:pPr>
      <w:r>
        <w:t>The local commissioning role of PHNs may be under</w:t>
      </w:r>
      <w:r w:rsidR="004A34C3">
        <w:t>-</w:t>
      </w:r>
      <w:r>
        <w:t xml:space="preserve">utilised, here, and roles and responsibilities across the national network are further discussed in </w:t>
      </w:r>
      <w:r w:rsidR="00E40814">
        <w:t>section</w:t>
      </w:r>
      <w:r>
        <w:t xml:space="preserve"> </w:t>
      </w:r>
      <w:r w:rsidR="00DC50F7">
        <w:fldChar w:fldCharType="begin" w:fldLock="1"/>
      </w:r>
      <w:r w:rsidR="00DC50F7">
        <w:instrText xml:space="preserve"> REF _Ref98328386 \w \h </w:instrText>
      </w:r>
      <w:r w:rsidR="00DC50F7">
        <w:fldChar w:fldCharType="separate"/>
      </w:r>
      <w:r w:rsidR="00AE4D34">
        <w:t>5.4.3</w:t>
      </w:r>
      <w:r w:rsidR="00DC50F7">
        <w:fldChar w:fldCharType="end"/>
      </w:r>
      <w:r w:rsidR="00BB2571">
        <w:t>.</w:t>
      </w:r>
    </w:p>
    <w:p w14:paraId="682FDED8" w14:textId="6D724F52" w:rsidR="00AA3A1E" w:rsidRDefault="005B706B" w:rsidP="005D4BEA">
      <w:pPr>
        <w:pStyle w:val="BodyText"/>
        <w:rPr>
          <w:i/>
          <w:iCs/>
        </w:rPr>
      </w:pPr>
      <w:r>
        <w:rPr>
          <w:i/>
          <w:iCs/>
        </w:rPr>
        <w:t xml:space="preserve">While various </w:t>
      </w:r>
      <w:r w:rsidR="00AA3A1E">
        <w:rPr>
          <w:i/>
          <w:iCs/>
        </w:rPr>
        <w:t xml:space="preserve">elements of the headspace model </w:t>
      </w:r>
      <w:r w:rsidR="00DD3F7B">
        <w:rPr>
          <w:i/>
          <w:iCs/>
        </w:rPr>
        <w:t>support improved service system outcomes</w:t>
      </w:r>
      <w:r>
        <w:rPr>
          <w:i/>
          <w:iCs/>
        </w:rPr>
        <w:t>, the most relevant of these</w:t>
      </w:r>
      <w:r w:rsidR="00DD3F7B">
        <w:rPr>
          <w:i/>
          <w:iCs/>
        </w:rPr>
        <w:t xml:space="preserve"> are:</w:t>
      </w:r>
    </w:p>
    <w:p w14:paraId="0F84ECD9" w14:textId="064B5832" w:rsidR="00AA3A1E" w:rsidRDefault="00F349D9" w:rsidP="005D4BEA">
      <w:pPr>
        <w:pStyle w:val="Bullet1stlevel"/>
        <w:rPr>
          <w:i/>
          <w:iCs/>
        </w:rPr>
      </w:pPr>
      <w:r>
        <w:rPr>
          <w:i/>
          <w:iCs/>
        </w:rPr>
        <w:t>c</w:t>
      </w:r>
      <w:r w:rsidR="00AA3A1E">
        <w:rPr>
          <w:i/>
          <w:iCs/>
        </w:rPr>
        <w:t>ommunity awareness and engagement</w:t>
      </w:r>
      <w:r>
        <w:rPr>
          <w:i/>
          <w:iCs/>
        </w:rPr>
        <w:t>;</w:t>
      </w:r>
      <w:r w:rsidR="00AA3A1E">
        <w:rPr>
          <w:i/>
          <w:iCs/>
        </w:rPr>
        <w:t xml:space="preserve"> </w:t>
      </w:r>
    </w:p>
    <w:p w14:paraId="797EF547" w14:textId="13833C73" w:rsidR="00AA3A1E" w:rsidRDefault="00F349D9" w:rsidP="005D4BEA">
      <w:pPr>
        <w:pStyle w:val="Bullet1stlevel"/>
        <w:rPr>
          <w:i/>
          <w:iCs/>
        </w:rPr>
      </w:pPr>
      <w:r>
        <w:rPr>
          <w:i/>
          <w:iCs/>
        </w:rPr>
        <w:t>s</w:t>
      </w:r>
      <w:r w:rsidR="00AA3A1E">
        <w:rPr>
          <w:i/>
          <w:iCs/>
        </w:rPr>
        <w:t>ervice integration</w:t>
      </w:r>
      <w:r>
        <w:rPr>
          <w:i/>
          <w:iCs/>
        </w:rPr>
        <w:t>;</w:t>
      </w:r>
    </w:p>
    <w:p w14:paraId="1694AAB1" w14:textId="2CB2C9CA" w:rsidR="00AA3A1E" w:rsidRDefault="00F349D9" w:rsidP="005D4BEA">
      <w:pPr>
        <w:pStyle w:val="Bullet1stlevel"/>
        <w:rPr>
          <w:i/>
          <w:iCs/>
        </w:rPr>
      </w:pPr>
      <w:r>
        <w:rPr>
          <w:i/>
          <w:iCs/>
        </w:rPr>
        <w:t>m</w:t>
      </w:r>
      <w:r w:rsidR="00AA3A1E">
        <w:rPr>
          <w:i/>
          <w:iCs/>
        </w:rPr>
        <w:t>ulti-disciplinary workforce</w:t>
      </w:r>
      <w:r>
        <w:rPr>
          <w:i/>
          <w:iCs/>
        </w:rPr>
        <w:t>; and</w:t>
      </w:r>
    </w:p>
    <w:p w14:paraId="6C9113DB" w14:textId="61F42532" w:rsidR="00DB5073" w:rsidRPr="005D4BEA" w:rsidRDefault="00F349D9" w:rsidP="005D4BEA">
      <w:pPr>
        <w:pStyle w:val="Bullet1stlevel"/>
        <w:rPr>
          <w:i/>
        </w:rPr>
      </w:pPr>
      <w:r>
        <w:rPr>
          <w:i/>
          <w:iCs/>
        </w:rPr>
        <w:t>n</w:t>
      </w:r>
      <w:r w:rsidR="00685824" w:rsidRPr="000E7E4E">
        <w:rPr>
          <w:i/>
          <w:iCs/>
        </w:rPr>
        <w:t>ational network (in particular the roles of PHNs and community consortia)</w:t>
      </w:r>
      <w:r w:rsidR="000E7E4E" w:rsidRPr="000E7E4E">
        <w:rPr>
          <w:i/>
          <w:iCs/>
        </w:rPr>
        <w:t>.</w:t>
      </w:r>
    </w:p>
    <w:p w14:paraId="0A8FCD8D" w14:textId="5BBF6B37" w:rsidR="00A15326" w:rsidRPr="00972995" w:rsidRDefault="00A15326" w:rsidP="000244E4">
      <w:pPr>
        <w:pStyle w:val="BodyText"/>
      </w:pPr>
      <w:r>
        <w:t xml:space="preserve">These elements are the focus of potential recommendations to support better service system outcomes, detailed in </w:t>
      </w:r>
      <w:r w:rsidR="00E40814">
        <w:t>section</w:t>
      </w:r>
      <w:r>
        <w:t xml:space="preserve"> </w:t>
      </w:r>
      <w:r w:rsidR="00DC50F7">
        <w:fldChar w:fldCharType="begin" w:fldLock="1"/>
      </w:r>
      <w:r w:rsidR="00DC50F7">
        <w:instrText xml:space="preserve"> REF _Ref98328402 \w \h </w:instrText>
      </w:r>
      <w:r w:rsidR="00DC50F7">
        <w:fldChar w:fldCharType="separate"/>
      </w:r>
      <w:r w:rsidR="00AE4D34">
        <w:t>5.4</w:t>
      </w:r>
      <w:r w:rsidR="00DC50F7">
        <w:fldChar w:fldCharType="end"/>
      </w:r>
      <w:r>
        <w:t>.</w:t>
      </w:r>
    </w:p>
    <w:p w14:paraId="1B194563" w14:textId="77777777" w:rsidR="00F018E3" w:rsidRDefault="00F018E3" w:rsidP="003E689A">
      <w:pPr>
        <w:pStyle w:val="Heading3"/>
      </w:pPr>
      <w:r>
        <w:t>Improving user experience outcomes</w:t>
      </w:r>
    </w:p>
    <w:p w14:paraId="3CE66981" w14:textId="6519DC0C" w:rsidR="009B3579" w:rsidRDefault="009B3579" w:rsidP="00F018E3">
      <w:pPr>
        <w:pStyle w:val="Heading4"/>
      </w:pPr>
      <w:r w:rsidRPr="009B3579">
        <w:t xml:space="preserve">Providing an appropriate service approach for young people with mild to moderate, high-prevalence </w:t>
      </w:r>
      <w:r w:rsidR="009E44D3">
        <w:t xml:space="preserve">mental health </w:t>
      </w:r>
      <w:r w:rsidRPr="009B3579">
        <w:t xml:space="preserve">conditions </w:t>
      </w:r>
    </w:p>
    <w:p w14:paraId="3D4C1CD3" w14:textId="61B41628" w:rsidR="00BD4D88" w:rsidRPr="00BD4D88" w:rsidRDefault="00BD4D88" w:rsidP="005D4BEA">
      <w:pPr>
        <w:pStyle w:val="BodyText"/>
        <w:rPr>
          <w:rFonts w:ascii="Calibri" w:hAnsi="Calibri"/>
          <w:sz w:val="22"/>
          <w:lang w:eastAsia="en-AU"/>
        </w:rPr>
      </w:pPr>
      <w:r w:rsidRPr="00BD4D88">
        <w:rPr>
          <w:lang w:eastAsia="en-AU"/>
        </w:rPr>
        <w:t xml:space="preserve">In the headspace model, appropriate care is defined as “the provision of evidence-based interventions for each individual young person by matching the type, intensity, frequency, duration, location and mode of treatment to their presenting need. This includes identification and consideration of factors such as: risk and protective factors, stage of illness, </w:t>
      </w:r>
      <w:r w:rsidR="004C50C0">
        <w:rPr>
          <w:lang w:eastAsia="en-AU"/>
        </w:rPr>
        <w:t>psychosocial</w:t>
      </w:r>
      <w:r w:rsidRPr="00BD4D88">
        <w:rPr>
          <w:lang w:eastAsia="en-AU"/>
        </w:rPr>
        <w:t xml:space="preserve"> complexity, and developmental and sociocultural factors”</w:t>
      </w:r>
      <w:r w:rsidR="00CC0438">
        <w:rPr>
          <w:rFonts w:ascii="ZWAdobeF" w:hAnsi="ZWAdobeF" w:cs="ZWAdobeF"/>
          <w:sz w:val="2"/>
          <w:szCs w:val="2"/>
          <w:lang w:eastAsia="en-AU"/>
        </w:rPr>
        <w:t>124F</w:t>
      </w:r>
      <w:r w:rsidR="00407515">
        <w:rPr>
          <w:rStyle w:val="FootnoteReference"/>
          <w:lang w:eastAsia="en-AU"/>
        </w:rPr>
        <w:footnoteReference w:id="126"/>
      </w:r>
      <w:r w:rsidR="0023142C">
        <w:rPr>
          <w:lang w:eastAsia="en-AU"/>
        </w:rPr>
        <w:t>.</w:t>
      </w:r>
    </w:p>
    <w:p w14:paraId="2BFA9E20" w14:textId="54C2EC66" w:rsidR="00BD4D88" w:rsidRPr="00BD4D88" w:rsidRDefault="00DD0F9D" w:rsidP="005D4BEA">
      <w:pPr>
        <w:pStyle w:val="BodyText"/>
      </w:pPr>
      <w:r>
        <w:t xml:space="preserve">As discussed in Appendix </w:t>
      </w:r>
      <w:r w:rsidR="0041539B">
        <w:fldChar w:fldCharType="begin" w:fldLock="1"/>
      </w:r>
      <w:r w:rsidR="0041539B">
        <w:instrText xml:space="preserve"> REF _Ref98326399 \w \h </w:instrText>
      </w:r>
      <w:r w:rsidR="0041539B">
        <w:fldChar w:fldCharType="separate"/>
      </w:r>
      <w:r w:rsidR="00AE4D34">
        <w:t>D.12</w:t>
      </w:r>
      <w:r w:rsidR="0041539B">
        <w:fldChar w:fldCharType="end"/>
      </w:r>
      <w:r>
        <w:t>, m</w:t>
      </w:r>
      <w:r w:rsidR="00BD4D88" w:rsidRPr="00BD4D88">
        <w:t xml:space="preserve">any elements of the current headspace model are closely aligned to the needs of young people with mild to moderate, high-prevalence </w:t>
      </w:r>
      <w:r w:rsidR="009E44D3">
        <w:t xml:space="preserve">mental health </w:t>
      </w:r>
      <w:r w:rsidR="00BD4D88" w:rsidRPr="00BD4D88">
        <w:t>conditions. For headspace users, mild to moderate psychological distress is defined as a value of between 20 to 29 out of 50 on the K10 questionnaire</w:t>
      </w:r>
      <w:r w:rsidR="00CC0438">
        <w:rPr>
          <w:rFonts w:ascii="ZWAdobeF" w:hAnsi="ZWAdobeF" w:cs="ZWAdobeF"/>
          <w:sz w:val="2"/>
          <w:szCs w:val="2"/>
        </w:rPr>
        <w:t>125F</w:t>
      </w:r>
      <w:r w:rsidR="004A7F13">
        <w:rPr>
          <w:rStyle w:val="FootnoteReference"/>
        </w:rPr>
        <w:footnoteReference w:id="127"/>
      </w:r>
      <w:r w:rsidR="00B6261A">
        <w:t>.</w:t>
      </w:r>
      <w:r w:rsidR="00BD4D88" w:rsidRPr="00BD4D88">
        <w:t xml:space="preserve"> </w:t>
      </w:r>
    </w:p>
    <w:p w14:paraId="685EC5A4" w14:textId="2BD19C52" w:rsidR="00F3400C" w:rsidRDefault="00914941" w:rsidP="00F3400C">
      <w:pPr>
        <w:pStyle w:val="BodyText"/>
      </w:pPr>
      <w:r>
        <w:t>High-prevalence mental health conditions</w:t>
      </w:r>
      <w:r w:rsidR="00922CFD" w:rsidRPr="00BD4D88">
        <w:t>, such as depression and anxiety, are widely considered to be able to be effectively treated and to respond well to early intervention</w:t>
      </w:r>
      <w:r w:rsidR="00CC0438">
        <w:rPr>
          <w:rFonts w:ascii="ZWAdobeF" w:hAnsi="ZWAdobeF" w:cs="ZWAdobeF"/>
          <w:sz w:val="2"/>
          <w:szCs w:val="2"/>
        </w:rPr>
        <w:t>126F</w:t>
      </w:r>
      <w:r w:rsidR="00922CFD">
        <w:rPr>
          <w:rStyle w:val="FootnoteReference"/>
        </w:rPr>
        <w:footnoteReference w:id="128"/>
      </w:r>
      <w:r w:rsidR="0023142C">
        <w:t>.</w:t>
      </w:r>
      <w:r w:rsidR="00922CFD">
        <w:t xml:space="preserve"> </w:t>
      </w:r>
      <w:r w:rsidR="00F3400C">
        <w:t xml:space="preserve">The design of the headspace model has prioritised supporting young people in this category. It includes a </w:t>
      </w:r>
      <w:r w:rsidR="002D1ADD">
        <w:t>psychosocial</w:t>
      </w:r>
      <w:r w:rsidR="00F3400C">
        <w:t xml:space="preserve"> model of supports provided by peers and </w:t>
      </w:r>
      <w:r w:rsidR="0040494A">
        <w:t>,</w:t>
      </w:r>
      <w:r w:rsidR="00F3400C">
        <w:t>in practice, many staff working in headspace are early career clinicians with whom the young person is likely able to identify and build rapport</w:t>
      </w:r>
      <w:r w:rsidR="00CC0438">
        <w:rPr>
          <w:rFonts w:ascii="ZWAdobeF" w:hAnsi="ZWAdobeF" w:cs="ZWAdobeF"/>
          <w:sz w:val="2"/>
          <w:szCs w:val="2"/>
        </w:rPr>
        <w:t>127F</w:t>
      </w:r>
      <w:r w:rsidR="00F3400C">
        <w:rPr>
          <w:rStyle w:val="FootnoteReference"/>
        </w:rPr>
        <w:footnoteReference w:id="129"/>
      </w:r>
      <w:r w:rsidR="00DC50F7">
        <w:t>.</w:t>
      </w:r>
      <w:r w:rsidR="00F3400C">
        <w:t xml:space="preserve"> headspace providers described how the staffing profile is driven by a combination of the </w:t>
      </w:r>
      <w:r w:rsidR="00DC50F7">
        <w:t xml:space="preserve">available </w:t>
      </w:r>
      <w:r w:rsidR="00F3400C">
        <w:t xml:space="preserve">funding envelope, which is </w:t>
      </w:r>
      <w:r w:rsidR="00AD76F6">
        <w:t>most</w:t>
      </w:r>
      <w:r w:rsidR="00784695">
        <w:t xml:space="preserve"> </w:t>
      </w:r>
      <w:r w:rsidR="00F3400C">
        <w:t xml:space="preserve">competitive for early career psychologists, and by the brand of the model, which appeals to younger staff with an interest in working with young people. </w:t>
      </w:r>
    </w:p>
    <w:p w14:paraId="7BB19118" w14:textId="7FF00454" w:rsidR="00BD4D88" w:rsidRPr="00BD4D88" w:rsidRDefault="00AB72D6" w:rsidP="005D4BEA">
      <w:pPr>
        <w:pStyle w:val="BodyText"/>
      </w:pPr>
      <w:r>
        <w:t>Stakeholders also argued that t</w:t>
      </w:r>
      <w:r w:rsidR="00BD4D88" w:rsidRPr="00BD4D88">
        <w:t xml:space="preserve">he </w:t>
      </w:r>
      <w:r w:rsidR="00F46695" w:rsidRPr="00BD4D88">
        <w:t xml:space="preserve">focus </w:t>
      </w:r>
      <w:r w:rsidR="00F46695">
        <w:t xml:space="preserve">in the model </w:t>
      </w:r>
      <w:r w:rsidR="00F46695" w:rsidRPr="00BD4D88">
        <w:t>on early intervention and prevention of mental ill-health for young people, including</w:t>
      </w:r>
      <w:r w:rsidR="005F2529">
        <w:t xml:space="preserve"> through supporting</w:t>
      </w:r>
      <w:r w:rsidR="00F46695" w:rsidRPr="00BD4D88">
        <w:t xml:space="preserve"> improved mental health literacy</w:t>
      </w:r>
      <w:r w:rsidR="00F46695">
        <w:t xml:space="preserve">, </w:t>
      </w:r>
      <w:r w:rsidR="00BD4D88" w:rsidRPr="00BD4D88">
        <w:t xml:space="preserve">also </w:t>
      </w:r>
      <w:r w:rsidR="005F2529">
        <w:t xml:space="preserve">aligns well to the </w:t>
      </w:r>
      <w:r w:rsidR="00BD4D88" w:rsidRPr="00BD4D88">
        <w:t>support</w:t>
      </w:r>
      <w:r w:rsidR="005F2529">
        <w:t xml:space="preserve"> of</w:t>
      </w:r>
      <w:r w:rsidR="00BD4D88" w:rsidRPr="00BD4D88">
        <w:t xml:space="preserve"> mild to moderate conditions</w:t>
      </w:r>
      <w:r w:rsidR="005F2529">
        <w:t>. I</w:t>
      </w:r>
      <w:r w:rsidR="00BD4D88" w:rsidRPr="00BD4D88">
        <w:t xml:space="preserve">ntegration </w:t>
      </w:r>
      <w:r w:rsidR="005F2529">
        <w:t>of</w:t>
      </w:r>
      <w:r w:rsidR="00BD4D88" w:rsidRPr="00BD4D88">
        <w:t xml:space="preserve"> other factors impacting on mental health</w:t>
      </w:r>
      <w:r w:rsidR="00DC50F7">
        <w:t>,</w:t>
      </w:r>
      <w:r w:rsidR="00BD4D88" w:rsidRPr="00BD4D88">
        <w:t xml:space="preserve"> such as physical health, alcohol and drug use and employment and education</w:t>
      </w:r>
      <w:r w:rsidR="00DC50F7">
        <w:t>,</w:t>
      </w:r>
      <w:r w:rsidR="003233E7">
        <w:t xml:space="preserve"> helps to attract young people</w:t>
      </w:r>
      <w:r w:rsidR="00D82EDE">
        <w:t xml:space="preserve">, giving a ‘soft entry’ into mental health services, appropriate for those with mild to moderate </w:t>
      </w:r>
      <w:r w:rsidR="00B719FB">
        <w:t xml:space="preserve">mental health </w:t>
      </w:r>
      <w:r w:rsidR="00F3500A">
        <w:t>conditions</w:t>
      </w:r>
      <w:r w:rsidR="00BD4D88" w:rsidRPr="00BD4D88">
        <w:t>.</w:t>
      </w:r>
    </w:p>
    <w:p w14:paraId="661840D3" w14:textId="2448DD83" w:rsidR="00BD4D88" w:rsidRPr="00BD4D88" w:rsidRDefault="00ED572B" w:rsidP="005D4BEA">
      <w:pPr>
        <w:pStyle w:val="BodyText"/>
      </w:pPr>
      <w:r>
        <w:t xml:space="preserve">Evidence was reviewed from </w:t>
      </w:r>
      <w:r w:rsidR="00E611D7">
        <w:t xml:space="preserve">headspace service providers, young people </w:t>
      </w:r>
      <w:r w:rsidR="00A372E3">
        <w:t>and consortium partners</w:t>
      </w:r>
      <w:r w:rsidR="005051F6">
        <w:t xml:space="preserve"> (Appendix </w:t>
      </w:r>
      <w:r w:rsidR="0041539B">
        <w:fldChar w:fldCharType="begin" w:fldLock="1"/>
      </w:r>
      <w:r w:rsidR="0041539B">
        <w:instrText xml:space="preserve"> REF _Ref98326399 \w \h </w:instrText>
      </w:r>
      <w:r w:rsidR="005076D6">
        <w:instrText xml:space="preserve"> \* MERGEFORMAT </w:instrText>
      </w:r>
      <w:r w:rsidR="0041539B">
        <w:fldChar w:fldCharType="separate"/>
      </w:r>
      <w:r w:rsidR="00AE4D34">
        <w:t>D.12</w:t>
      </w:r>
      <w:r w:rsidR="0041539B">
        <w:fldChar w:fldCharType="end"/>
      </w:r>
      <w:r w:rsidR="005051F6">
        <w:t>)</w:t>
      </w:r>
      <w:r w:rsidR="00BE50BC">
        <w:t xml:space="preserve">, which </w:t>
      </w:r>
      <w:r w:rsidR="00BD4D88" w:rsidRPr="00BD4D88">
        <w:t xml:space="preserve">confirmed </w:t>
      </w:r>
      <w:r w:rsidR="000F44CD">
        <w:t xml:space="preserve">that there is a widespread </w:t>
      </w:r>
      <w:r w:rsidR="00BD4D88" w:rsidRPr="00BD4D88">
        <w:t>view that the model is well designed for this cohort of young people, with the provision of support groups, skills training and peer workers particularly recognised as powerful in the potential to help young people to tap into protective factors and support their wellbeing. Youth representation in the design and delivery of services was also called out as key to the appropriateness of the model for this cohort.</w:t>
      </w:r>
    </w:p>
    <w:p w14:paraId="46D346CA" w14:textId="32672C13" w:rsidR="00F36BD4" w:rsidRDefault="003952D3" w:rsidP="00E54FA7">
      <w:pPr>
        <w:pStyle w:val="BodyText"/>
        <w:rPr>
          <w:b/>
          <w:bCs/>
        </w:rPr>
      </w:pPr>
      <w:r w:rsidRPr="000C309C">
        <w:rPr>
          <w:b/>
          <w:bCs/>
        </w:rPr>
        <w:t xml:space="preserve">Evidence </w:t>
      </w:r>
      <w:r w:rsidR="00853D2B" w:rsidRPr="000C309C">
        <w:rPr>
          <w:b/>
          <w:bCs/>
        </w:rPr>
        <w:t>suggests that the</w:t>
      </w:r>
      <w:r w:rsidRPr="000C309C">
        <w:rPr>
          <w:b/>
          <w:bCs/>
        </w:rPr>
        <w:t xml:space="preserve"> headspace model</w:t>
      </w:r>
      <w:r w:rsidR="00E54FA7" w:rsidRPr="000C309C">
        <w:rPr>
          <w:b/>
          <w:bCs/>
        </w:rPr>
        <w:t xml:space="preserve"> </w:t>
      </w:r>
      <w:r w:rsidR="00BD4D88" w:rsidRPr="000C309C">
        <w:rPr>
          <w:b/>
          <w:bCs/>
        </w:rPr>
        <w:t xml:space="preserve">provides a highly appropriate </w:t>
      </w:r>
      <w:r w:rsidR="00853D2B" w:rsidRPr="000C309C">
        <w:rPr>
          <w:b/>
          <w:bCs/>
        </w:rPr>
        <w:t xml:space="preserve">mental health service </w:t>
      </w:r>
      <w:r w:rsidR="00BD4D88" w:rsidRPr="000C309C">
        <w:rPr>
          <w:b/>
          <w:bCs/>
        </w:rPr>
        <w:t>approach for young people with mild to moderate, hig</w:t>
      </w:r>
      <w:r w:rsidR="00C321DC">
        <w:rPr>
          <w:b/>
          <w:bCs/>
        </w:rPr>
        <w:t>h-</w:t>
      </w:r>
      <w:r w:rsidR="00BD4D88" w:rsidRPr="000C309C">
        <w:rPr>
          <w:b/>
          <w:bCs/>
        </w:rPr>
        <w:t xml:space="preserve">prevalence </w:t>
      </w:r>
      <w:r w:rsidR="00D50777">
        <w:rPr>
          <w:b/>
          <w:bCs/>
        </w:rPr>
        <w:t xml:space="preserve">mental health </w:t>
      </w:r>
      <w:r w:rsidR="00BD4D88" w:rsidRPr="000C309C">
        <w:rPr>
          <w:b/>
          <w:bCs/>
        </w:rPr>
        <w:t>conditions.</w:t>
      </w:r>
    </w:p>
    <w:p w14:paraId="7C60A724" w14:textId="12A5E88B" w:rsidR="000C309C" w:rsidRPr="00260E4B" w:rsidRDefault="000C309C" w:rsidP="005D4BEA">
      <w:pPr>
        <w:pStyle w:val="BodyText"/>
        <w:rPr>
          <w:i/>
          <w:iCs/>
        </w:rPr>
      </w:pPr>
      <w:r w:rsidRPr="00260E4B">
        <w:rPr>
          <w:i/>
          <w:iCs/>
        </w:rPr>
        <w:t xml:space="preserve">The key enabling elements of the headspace model which </w:t>
      </w:r>
      <w:r>
        <w:rPr>
          <w:i/>
          <w:iCs/>
        </w:rPr>
        <w:t>support appropriate care for mild to moderate, high</w:t>
      </w:r>
      <w:r w:rsidR="00C321DC">
        <w:rPr>
          <w:i/>
          <w:iCs/>
        </w:rPr>
        <w:t xml:space="preserve">-prevalence </w:t>
      </w:r>
      <w:r w:rsidR="00D50777">
        <w:rPr>
          <w:i/>
          <w:iCs/>
        </w:rPr>
        <w:t xml:space="preserve">mental health </w:t>
      </w:r>
      <w:r w:rsidR="00C321DC">
        <w:rPr>
          <w:i/>
          <w:iCs/>
        </w:rPr>
        <w:t xml:space="preserve">conditions </w:t>
      </w:r>
      <w:r>
        <w:rPr>
          <w:i/>
          <w:iCs/>
        </w:rPr>
        <w:t>a</w:t>
      </w:r>
      <w:r w:rsidRPr="00260E4B">
        <w:rPr>
          <w:i/>
          <w:iCs/>
        </w:rPr>
        <w:t>re:</w:t>
      </w:r>
    </w:p>
    <w:p w14:paraId="51E8A457" w14:textId="2E198B80" w:rsidR="0057071F" w:rsidRDefault="003F25F0" w:rsidP="005D4BEA">
      <w:pPr>
        <w:pStyle w:val="Bullet1stlevel"/>
        <w:rPr>
          <w:i/>
          <w:iCs/>
        </w:rPr>
      </w:pPr>
      <w:r>
        <w:rPr>
          <w:i/>
          <w:iCs/>
        </w:rPr>
        <w:t>e</w:t>
      </w:r>
      <w:r w:rsidR="00094C9B">
        <w:rPr>
          <w:i/>
          <w:iCs/>
        </w:rPr>
        <w:t>nhanced access</w:t>
      </w:r>
      <w:r>
        <w:rPr>
          <w:i/>
          <w:iCs/>
        </w:rPr>
        <w:t>;</w:t>
      </w:r>
    </w:p>
    <w:p w14:paraId="6871D437" w14:textId="25097FC6" w:rsidR="00115C8B" w:rsidRDefault="003F25F0" w:rsidP="005D4BEA">
      <w:pPr>
        <w:pStyle w:val="Bullet1stlevel"/>
        <w:rPr>
          <w:i/>
          <w:iCs/>
        </w:rPr>
      </w:pPr>
      <w:r>
        <w:rPr>
          <w:i/>
          <w:iCs/>
        </w:rPr>
        <w:t>e</w:t>
      </w:r>
      <w:r w:rsidR="00115C8B">
        <w:rPr>
          <w:i/>
          <w:iCs/>
        </w:rPr>
        <w:t>arly intervention</w:t>
      </w:r>
      <w:r>
        <w:rPr>
          <w:i/>
          <w:iCs/>
        </w:rPr>
        <w:t>;</w:t>
      </w:r>
    </w:p>
    <w:p w14:paraId="39139527" w14:textId="78779356" w:rsidR="0057071F" w:rsidRDefault="003F25F0" w:rsidP="005D4BEA">
      <w:pPr>
        <w:pStyle w:val="Bullet1stlevel"/>
        <w:rPr>
          <w:i/>
          <w:iCs/>
        </w:rPr>
      </w:pPr>
      <w:r>
        <w:rPr>
          <w:i/>
          <w:iCs/>
        </w:rPr>
        <w:t>a</w:t>
      </w:r>
      <w:r w:rsidR="00FB3D77">
        <w:rPr>
          <w:i/>
          <w:iCs/>
        </w:rPr>
        <w:t>ppropriate care</w:t>
      </w:r>
      <w:r>
        <w:rPr>
          <w:i/>
          <w:iCs/>
        </w:rPr>
        <w:t>; and</w:t>
      </w:r>
    </w:p>
    <w:p w14:paraId="55035855" w14:textId="1E5C443A" w:rsidR="000C309C" w:rsidRPr="005D4BEA" w:rsidRDefault="003F25F0" w:rsidP="005D4BEA">
      <w:pPr>
        <w:pStyle w:val="Bullet1stlevel"/>
        <w:rPr>
          <w:i/>
        </w:rPr>
      </w:pPr>
      <w:r>
        <w:rPr>
          <w:i/>
          <w:iCs/>
        </w:rPr>
        <w:t>e</w:t>
      </w:r>
      <w:r w:rsidR="008B74EE" w:rsidRPr="008B74EE">
        <w:rPr>
          <w:i/>
          <w:iCs/>
        </w:rPr>
        <w:t>vidence-informed practice.</w:t>
      </w:r>
    </w:p>
    <w:p w14:paraId="49D9CAF2" w14:textId="7B42E7AF" w:rsidR="009B3579" w:rsidRPr="009B3579" w:rsidRDefault="00CA64F4" w:rsidP="00F018E3">
      <w:pPr>
        <w:pStyle w:val="Heading4"/>
      </w:pPr>
      <w:r>
        <w:t>Providing</w:t>
      </w:r>
      <w:r w:rsidR="009B3579" w:rsidRPr="009B3579">
        <w:t xml:space="preserve"> culturally appropriate and inclusive service</w:t>
      </w:r>
      <w:r w:rsidR="00757CD5">
        <w:t>s</w:t>
      </w:r>
      <w:r w:rsidR="009B3579" w:rsidRPr="009B3579">
        <w:t xml:space="preserve"> </w:t>
      </w:r>
    </w:p>
    <w:p w14:paraId="66C3C357" w14:textId="04420EC4" w:rsidR="00F36BD4" w:rsidRDefault="00F36BD4" w:rsidP="00F36BD4">
      <w:pPr>
        <w:pStyle w:val="BodyText"/>
      </w:pPr>
      <w:r>
        <w:t>The headspace model includes a focus on the experience of service for young people and their families from a diverse range of backgrounds through providing an accessible, welcome, inclusive and non</w:t>
      </w:r>
      <w:r>
        <w:noBreakHyphen/>
        <w:t>stigmatising service. For young people from diverse population groups, this includes providing translated information, guidance materials and posters and flags</w:t>
      </w:r>
      <w:r w:rsidRPr="00833E4E">
        <w:t xml:space="preserve"> and other cultural symbols to make the young person and their family feel welcome and included</w:t>
      </w:r>
      <w:r>
        <w:t xml:space="preserve">. Given the broad age range supported by headspace, the experience of service must also be tailored for the level of maturity of the young person, with very different needs for </w:t>
      </w:r>
      <w:r w:rsidR="00DC50F7">
        <w:t xml:space="preserve">those aged </w:t>
      </w:r>
      <w:r>
        <w:t xml:space="preserve">12 years compared with those approaching </w:t>
      </w:r>
      <w:r w:rsidR="00DC50F7">
        <w:t xml:space="preserve">the </w:t>
      </w:r>
      <w:r>
        <w:t xml:space="preserve">age </w:t>
      </w:r>
      <w:r w:rsidR="00DC50F7">
        <w:t xml:space="preserve">of </w:t>
      </w:r>
      <w:r>
        <w:t xml:space="preserve">25. </w:t>
      </w:r>
    </w:p>
    <w:p w14:paraId="7F29E141" w14:textId="705A265C" w:rsidR="00F36BD4" w:rsidRDefault="00F36BD4" w:rsidP="00F36BD4">
      <w:pPr>
        <w:pStyle w:val="BodyText"/>
      </w:pPr>
      <w:r>
        <w:t>In order to examine the extent to which headspace is successfully providing culturally appropriate and inclusive services, data is drawn from hMDS user satisfaction surveys, interviews with headspace user</w:t>
      </w:r>
      <w:r w:rsidR="00DC50F7">
        <w:t>s</w:t>
      </w:r>
      <w:r>
        <w:t xml:space="preserve"> and non-users as well as </w:t>
      </w:r>
      <w:r w:rsidR="00DC50F7">
        <w:t>Y</w:t>
      </w:r>
      <w:r>
        <w:t xml:space="preserve">outh </w:t>
      </w:r>
      <w:r w:rsidR="00DC50F7">
        <w:t>R</w:t>
      </w:r>
      <w:r>
        <w:t xml:space="preserve">eference </w:t>
      </w:r>
      <w:r w:rsidR="00DC50F7">
        <w:t>G</w:t>
      </w:r>
      <w:r>
        <w:t>roup members and school and university counsellors</w:t>
      </w:r>
      <w:r w:rsidR="00C231E6">
        <w:t xml:space="preserve"> (Appendix </w:t>
      </w:r>
      <w:r w:rsidR="0041539B">
        <w:fldChar w:fldCharType="begin" w:fldLock="1"/>
      </w:r>
      <w:r w:rsidR="0041539B">
        <w:instrText xml:space="preserve"> REF _Ref98326416 \w \h </w:instrText>
      </w:r>
      <w:r w:rsidR="0041539B">
        <w:fldChar w:fldCharType="separate"/>
      </w:r>
      <w:r w:rsidR="00AE4D34">
        <w:t>D.13</w:t>
      </w:r>
      <w:r w:rsidR="0041539B">
        <w:fldChar w:fldCharType="end"/>
      </w:r>
      <w:r w:rsidR="00C231E6">
        <w:t>)</w:t>
      </w:r>
      <w:r>
        <w:t xml:space="preserve">. </w:t>
      </w:r>
    </w:p>
    <w:p w14:paraId="659C6C57" w14:textId="54B233D2" w:rsidR="00511158" w:rsidRPr="00173F16" w:rsidRDefault="00511158" w:rsidP="00511158">
      <w:pPr>
        <w:pStyle w:val="BodyText"/>
        <w:rPr>
          <w:highlight w:val="yellow"/>
        </w:rPr>
      </w:pPr>
      <w:r>
        <w:t>Data from a range of sources indicates that headspace is broadly effective in providing culturally appropriate and inclusive services for the general population of young people, and for LGBTQIA+</w:t>
      </w:r>
      <w:r w:rsidR="000B13A4">
        <w:t xml:space="preserve"> young people</w:t>
      </w:r>
      <w:r>
        <w:t xml:space="preserve">. </w:t>
      </w:r>
      <w:r w:rsidR="000E4101">
        <w:t xml:space="preserve">User satisfaction </w:t>
      </w:r>
      <w:r w:rsidR="00AD3FB6">
        <w:t>overall is very high, h</w:t>
      </w:r>
      <w:r>
        <w:t xml:space="preserve">owever, user satisfaction is significantly lower for culturally and linguistically diverse young people and for Aboriginal and Torres Strait Islander young people. In contrast, measures of satisfaction undertaken for this evaluation, including </w:t>
      </w:r>
      <w:r w:rsidR="00DC50F7">
        <w:t xml:space="preserve">that </w:t>
      </w:r>
      <w:r>
        <w:t>of how welcome young people felt and how respectful services were of a young person’s culture, gender or faith identity</w:t>
      </w:r>
      <w:r w:rsidR="00DC50F7">
        <w:t>,</w:t>
      </w:r>
      <w:r>
        <w:t xml:space="preserve"> were all positive and in line with results for the general population of young people using headspace. </w:t>
      </w:r>
    </w:p>
    <w:p w14:paraId="0F183F90" w14:textId="77777777" w:rsidR="009C47EF" w:rsidRDefault="00511158" w:rsidP="000244E4">
      <w:pPr>
        <w:pStyle w:val="BodyText"/>
      </w:pPr>
      <w:r>
        <w:t xml:space="preserve">At the same time, discussions with young people and other stakeholders </w:t>
      </w:r>
      <w:r w:rsidR="0037469F">
        <w:t xml:space="preserve">further </w:t>
      </w:r>
      <w:r>
        <w:t>highlighted th</w:t>
      </w:r>
      <w:r w:rsidR="00B672C7">
        <w:t xml:space="preserve">at </w:t>
      </w:r>
      <w:r w:rsidR="001A5BFF">
        <w:t>employ</w:t>
      </w:r>
      <w:r w:rsidR="00B672C7">
        <w:t>ing</w:t>
      </w:r>
      <w:r>
        <w:t xml:space="preserve"> staff with particular cultural backgrounds </w:t>
      </w:r>
      <w:r w:rsidR="001A5BFF">
        <w:t>is</w:t>
      </w:r>
      <w:r>
        <w:t xml:space="preserve"> a key mechanism to providing culturally appropriate care for young people from that culture. </w:t>
      </w:r>
    </w:p>
    <w:p w14:paraId="3CF533AD" w14:textId="3C6C1E70" w:rsidR="00511158" w:rsidRDefault="00511158" w:rsidP="0007336A">
      <w:pPr>
        <w:pStyle w:val="BodyText"/>
      </w:pPr>
      <w:r>
        <w:t>There were also differences between the age when young people felt headspace was appropriate for them, with young</w:t>
      </w:r>
      <w:r w:rsidR="003B7913">
        <w:t>er</w:t>
      </w:r>
      <w:r>
        <w:t xml:space="preserve"> people more likely to see it as a service where </w:t>
      </w:r>
      <w:r w:rsidRPr="00511158">
        <w:t>they feel included</w:t>
      </w:r>
      <w:r w:rsidR="008F00C2">
        <w:t xml:space="preserve"> and non-users </w:t>
      </w:r>
      <w:r w:rsidR="008F00C2" w:rsidRPr="0007336A">
        <w:t>being unclear on which age groups the service was intended to assist.</w:t>
      </w:r>
    </w:p>
    <w:p w14:paraId="1AD8836F" w14:textId="09BA71B5" w:rsidR="0007336A" w:rsidRPr="0007336A" w:rsidRDefault="0007336A" w:rsidP="0007336A">
      <w:pPr>
        <w:pStyle w:val="BodyText"/>
        <w:rPr>
          <w:b/>
          <w:bCs/>
        </w:rPr>
      </w:pPr>
      <w:r w:rsidRPr="0007336A">
        <w:rPr>
          <w:b/>
          <w:bCs/>
        </w:rPr>
        <w:t>Overall, there are mixed results from the data and insights gathered through this evaluation about how well the headspace model effectively provides a culturally appropriate and inclusive model for young people and their families, with strong satisfaction from the general population and LGBTQIA+ young people, but significantly lower satisfaction levels on relevant measures from culturally and linguistically diverse young people and Aboriginal and Torres Strait Islander young people.</w:t>
      </w:r>
    </w:p>
    <w:p w14:paraId="4CEA6BAA" w14:textId="236F5124" w:rsidR="003B2DC6" w:rsidRPr="00260E4B" w:rsidRDefault="003B2DC6" w:rsidP="0084509E">
      <w:pPr>
        <w:pStyle w:val="BodyText"/>
        <w:keepNext/>
        <w:rPr>
          <w:i/>
          <w:iCs/>
        </w:rPr>
      </w:pPr>
      <w:r w:rsidRPr="00260E4B">
        <w:rPr>
          <w:i/>
          <w:iCs/>
        </w:rPr>
        <w:t xml:space="preserve">The key enabling elements of the headspace model which </w:t>
      </w:r>
      <w:r>
        <w:rPr>
          <w:i/>
          <w:iCs/>
        </w:rPr>
        <w:t xml:space="preserve">support </w:t>
      </w:r>
      <w:r w:rsidR="00961CC0">
        <w:rPr>
          <w:i/>
          <w:iCs/>
        </w:rPr>
        <w:t>culturally appropriate and inclusive care</w:t>
      </w:r>
      <w:r>
        <w:rPr>
          <w:i/>
          <w:iCs/>
        </w:rPr>
        <w:t xml:space="preserve"> a</w:t>
      </w:r>
      <w:r w:rsidRPr="00260E4B">
        <w:rPr>
          <w:i/>
          <w:iCs/>
        </w:rPr>
        <w:t>re:</w:t>
      </w:r>
    </w:p>
    <w:p w14:paraId="6CB38832" w14:textId="537AD575" w:rsidR="00EC2286" w:rsidRDefault="005D54FB" w:rsidP="005D4BEA">
      <w:pPr>
        <w:pStyle w:val="Bullet1stlevel"/>
        <w:rPr>
          <w:i/>
          <w:iCs/>
        </w:rPr>
      </w:pPr>
      <w:r>
        <w:rPr>
          <w:i/>
          <w:iCs/>
        </w:rPr>
        <w:t>c</w:t>
      </w:r>
      <w:r w:rsidR="00EC2286">
        <w:rPr>
          <w:i/>
          <w:iCs/>
        </w:rPr>
        <w:t>ommunity awareness and engagement</w:t>
      </w:r>
      <w:r w:rsidR="00F4395E">
        <w:rPr>
          <w:i/>
          <w:iCs/>
        </w:rPr>
        <w:t>;</w:t>
      </w:r>
      <w:r w:rsidR="00EC2286">
        <w:rPr>
          <w:i/>
          <w:iCs/>
        </w:rPr>
        <w:t xml:space="preserve"> </w:t>
      </w:r>
    </w:p>
    <w:p w14:paraId="3E7CD98E" w14:textId="2A5BBF00" w:rsidR="00EC2286" w:rsidRDefault="00F4395E" w:rsidP="005D4BEA">
      <w:pPr>
        <w:pStyle w:val="Bullet1stlevel"/>
        <w:rPr>
          <w:i/>
          <w:iCs/>
        </w:rPr>
      </w:pPr>
      <w:r>
        <w:rPr>
          <w:i/>
          <w:iCs/>
        </w:rPr>
        <w:t>s</w:t>
      </w:r>
      <w:r w:rsidR="00EC2286">
        <w:rPr>
          <w:i/>
          <w:iCs/>
        </w:rPr>
        <w:t>ervice integration</w:t>
      </w:r>
      <w:r>
        <w:rPr>
          <w:i/>
          <w:iCs/>
        </w:rPr>
        <w:t>;</w:t>
      </w:r>
    </w:p>
    <w:p w14:paraId="56B2EBEF" w14:textId="1CBB2025" w:rsidR="00EC2286" w:rsidRDefault="00F4395E" w:rsidP="005D4BEA">
      <w:pPr>
        <w:pStyle w:val="Bullet1stlevel"/>
        <w:rPr>
          <w:i/>
          <w:iCs/>
        </w:rPr>
      </w:pPr>
      <w:r>
        <w:rPr>
          <w:i/>
          <w:iCs/>
        </w:rPr>
        <w:t>m</w:t>
      </w:r>
      <w:r w:rsidR="00EC2286">
        <w:rPr>
          <w:i/>
          <w:iCs/>
        </w:rPr>
        <w:t>ulti-disciplinary workforce</w:t>
      </w:r>
      <w:r>
        <w:rPr>
          <w:i/>
          <w:iCs/>
        </w:rPr>
        <w:t>; and</w:t>
      </w:r>
    </w:p>
    <w:p w14:paraId="29121760" w14:textId="51CCE74F" w:rsidR="00EC2286" w:rsidRPr="005D4BEA" w:rsidRDefault="00F4395E" w:rsidP="005D4BEA">
      <w:pPr>
        <w:pStyle w:val="Bullet1stlevel"/>
        <w:rPr>
          <w:i/>
        </w:rPr>
      </w:pPr>
      <w:r>
        <w:rPr>
          <w:i/>
          <w:iCs/>
        </w:rPr>
        <w:t>n</w:t>
      </w:r>
      <w:r w:rsidR="00EC2286" w:rsidRPr="000E7E4E">
        <w:rPr>
          <w:i/>
          <w:iCs/>
        </w:rPr>
        <w:t>ational network (in particular the roles of PHNs and community consortia).</w:t>
      </w:r>
    </w:p>
    <w:p w14:paraId="3444EB8D" w14:textId="302EA16F" w:rsidR="009B3579" w:rsidRDefault="007E1858" w:rsidP="00F018E3">
      <w:pPr>
        <w:pStyle w:val="Heading4"/>
      </w:pPr>
      <w:r>
        <w:t xml:space="preserve">Enabling </w:t>
      </w:r>
      <w:r w:rsidR="009B3579" w:rsidRPr="009B3579">
        <w:t xml:space="preserve">young people and their families to access support where, when and how they want </w:t>
      </w:r>
    </w:p>
    <w:p w14:paraId="0124A010" w14:textId="5100A5F9" w:rsidR="00511158" w:rsidRDefault="00511158" w:rsidP="00511158">
      <w:pPr>
        <w:pStyle w:val="BodyText"/>
      </w:pPr>
      <w:r>
        <w:t>A key element of the headspace program logic is that the services provided are appropriate for young people. Through providing a positive experience of service, by ensuring young people feel that their needs and interests are reflected in the services on offer, and that the services adapt to the needs of young people</w:t>
      </w:r>
      <w:r w:rsidR="009D18F7">
        <w:t>,</w:t>
      </w:r>
      <w:r>
        <w:t xml:space="preserve"> the overall objectives of the model are supported. </w:t>
      </w:r>
      <w:r w:rsidR="00525F93">
        <w:t>Enabling young people and their families to access support where, when and how they want to is a key indicator.</w:t>
      </w:r>
    </w:p>
    <w:p w14:paraId="5A8A27C5" w14:textId="0F7D22BD" w:rsidR="00511158" w:rsidRDefault="00511158" w:rsidP="0007336A">
      <w:pPr>
        <w:pStyle w:val="BodyText"/>
      </w:pPr>
      <w:r>
        <w:t>This evaluation examine</w:t>
      </w:r>
      <w:r w:rsidR="0097658A">
        <w:t>d</w:t>
      </w:r>
      <w:r>
        <w:t xml:space="preserve"> a range of data and evidence regarding the extent to which headspace is successful in these domains. </w:t>
      </w:r>
      <w:r w:rsidRPr="009F626C">
        <w:t xml:space="preserve">Feedback from young people using headspace collected through hAPI surveys, as well as direct consultation with young people, </w:t>
      </w:r>
      <w:r w:rsidR="00DC50F7">
        <w:t>Y</w:t>
      </w:r>
      <w:r w:rsidRPr="009F626C">
        <w:t xml:space="preserve">outh </w:t>
      </w:r>
      <w:r w:rsidR="00DC50F7">
        <w:t>R</w:t>
      </w:r>
      <w:r w:rsidRPr="009F626C">
        <w:t xml:space="preserve">eference </w:t>
      </w:r>
      <w:r w:rsidR="00DC50F7">
        <w:t>G</w:t>
      </w:r>
      <w:r w:rsidRPr="009F626C">
        <w:t>roup members and staff and other stakeholders</w:t>
      </w:r>
      <w:r w:rsidR="00653B21">
        <w:t>,</w:t>
      </w:r>
      <w:r w:rsidRPr="009F626C">
        <w:t xml:space="preserve"> provide evidence of relevance to this evaluation question</w:t>
      </w:r>
      <w:r w:rsidR="0097658A">
        <w:t xml:space="preserve"> (Appendix</w:t>
      </w:r>
      <w:r w:rsidR="00DC50F7">
        <w:t> </w:t>
      </w:r>
      <w:r w:rsidR="0041539B">
        <w:fldChar w:fldCharType="begin" w:fldLock="1"/>
      </w:r>
      <w:r w:rsidR="0041539B">
        <w:instrText xml:space="preserve"> REF _Ref98326424 \w \h </w:instrText>
      </w:r>
      <w:r w:rsidR="0041539B">
        <w:fldChar w:fldCharType="separate"/>
      </w:r>
      <w:r w:rsidR="00AE4D34">
        <w:t>D.14</w:t>
      </w:r>
      <w:r w:rsidR="0041539B">
        <w:fldChar w:fldCharType="end"/>
      </w:r>
      <w:r w:rsidR="0097658A">
        <w:t>)</w:t>
      </w:r>
      <w:r w:rsidR="00A70DB6">
        <w:t>.</w:t>
      </w:r>
    </w:p>
    <w:p w14:paraId="7B002EE8" w14:textId="1819FE91" w:rsidR="00A70DB6" w:rsidRPr="000021E0" w:rsidRDefault="00B95C0F" w:rsidP="0007336A">
      <w:pPr>
        <w:pStyle w:val="BodyText"/>
      </w:pPr>
      <w:r>
        <w:t>E</w:t>
      </w:r>
      <w:r w:rsidR="00062F21">
        <w:t>vidence shows</w:t>
      </w:r>
      <w:r w:rsidR="00A70DB6" w:rsidRPr="000021E0">
        <w:t xml:space="preserve"> headspace provides appropriate, accessible and youth friendly supports, with strong positive responses from young people in surveys and interviews for these domains.</w:t>
      </w:r>
      <w:r w:rsidR="00A70DB6">
        <w:t xml:space="preserve"> </w:t>
      </w:r>
      <w:r w:rsidR="00A70DB6" w:rsidRPr="000021E0">
        <w:t xml:space="preserve">The more contact young people had with their headspace service, the more likely they were to rate the experience highly, which is a further positive reflection on the appropriateness, accessibility and youth friendliness of the headspace model. </w:t>
      </w:r>
    </w:p>
    <w:p w14:paraId="5CA8C379" w14:textId="3CD2A08F" w:rsidR="00C25850" w:rsidRDefault="00A70DB6" w:rsidP="00A70DB6">
      <w:pPr>
        <w:pStyle w:val="BodyText"/>
      </w:pPr>
      <w:r w:rsidRPr="000021E0">
        <w:t xml:space="preserve">Qualitative insights indicate that young people value the rapport built with headspace staff, and the easily accessed location of their local headspace </w:t>
      </w:r>
      <w:r w:rsidR="00B81994">
        <w:t>service</w:t>
      </w:r>
      <w:r w:rsidRPr="000021E0">
        <w:t xml:space="preserve">. </w:t>
      </w:r>
      <w:r>
        <w:t xml:space="preserve">At the same time, for those not accessing headspace, fear of being stigmatised arose in relation to the central location of headspace service sites and being seen by others </w:t>
      </w:r>
      <w:r w:rsidR="00DC50F7">
        <w:t xml:space="preserve">when </w:t>
      </w:r>
      <w:r>
        <w:t xml:space="preserve">seeking mental health support, while the need to be close to public transport was again highlighted. </w:t>
      </w:r>
    </w:p>
    <w:p w14:paraId="511462CE" w14:textId="77666623" w:rsidR="00A70DB6" w:rsidRPr="00A70DB6" w:rsidRDefault="00A70DB6" w:rsidP="00A70DB6">
      <w:pPr>
        <w:pStyle w:val="BodyText"/>
      </w:pPr>
      <w:r>
        <w:t>B</w:t>
      </w:r>
      <w:r w:rsidRPr="000021E0">
        <w:t xml:space="preserve">arriers to accessibility </w:t>
      </w:r>
      <w:r>
        <w:t>were raised by users and non-users, including</w:t>
      </w:r>
      <w:r w:rsidRPr="000021E0">
        <w:t xml:space="preserve"> waiting times and the opening hours</w:t>
      </w:r>
      <w:r w:rsidR="00DC50F7">
        <w:t xml:space="preserve"> of the </w:t>
      </w:r>
      <w:r w:rsidR="00B81994">
        <w:t>service</w:t>
      </w:r>
      <w:r w:rsidRPr="000021E0">
        <w:t xml:space="preserve">. A lack of flexibility to change counsellors within headspace if they were not the right ‘match’ with the young person was </w:t>
      </w:r>
      <w:r>
        <w:t xml:space="preserve">also </w:t>
      </w:r>
      <w:r w:rsidRPr="000021E0">
        <w:t xml:space="preserve">raised as an area where headspace could be more 'youth friendly'. Cultural and gender characteristics of the staff member were again very important for a young person to feel </w:t>
      </w:r>
      <w:r w:rsidRPr="00A70DB6">
        <w:t xml:space="preserve">comfortable. </w:t>
      </w:r>
    </w:p>
    <w:p w14:paraId="161F61AA" w14:textId="39266567" w:rsidR="00A70DB6" w:rsidRDefault="00A70DB6" w:rsidP="00A70DB6">
      <w:pPr>
        <w:pStyle w:val="BodyText"/>
      </w:pPr>
      <w:r w:rsidRPr="00A70DB6">
        <w:t>Other stakeholders had positive views of the youth friendly, appropriate and accessible nature of the services, with drop</w:t>
      </w:r>
      <w:r w:rsidR="00DC50F7">
        <w:t>-</w:t>
      </w:r>
      <w:r w:rsidRPr="00A70DB6">
        <w:t>in sessions and outreach highlighted as key enablers.</w:t>
      </w:r>
    </w:p>
    <w:p w14:paraId="110CED5F" w14:textId="1651235C" w:rsidR="0007336A" w:rsidRPr="00A70DB6" w:rsidRDefault="0007336A" w:rsidP="00A70DB6">
      <w:pPr>
        <w:pStyle w:val="BodyText"/>
      </w:pPr>
      <w:r w:rsidRPr="0007336A">
        <w:t>Evaluation results suggest that headspace is effective in enabling young people to access support where, when and how they want it, and that it is generally appropriate, youth friendly and accessible, with some issues around opening hours and waiting times proving a challenge.</w:t>
      </w:r>
    </w:p>
    <w:p w14:paraId="5C5EEBCA" w14:textId="4273466C" w:rsidR="006B4990" w:rsidRPr="00260E4B" w:rsidRDefault="006B4990" w:rsidP="000244E4">
      <w:pPr>
        <w:pStyle w:val="BodyText"/>
      </w:pPr>
      <w:r w:rsidRPr="00260E4B">
        <w:t xml:space="preserve">The key enabling elements of the headspace model which </w:t>
      </w:r>
      <w:r>
        <w:t xml:space="preserve">support </w:t>
      </w:r>
      <w:r w:rsidR="007D3335">
        <w:t>young people to access support where, when and how they want it</w:t>
      </w:r>
      <w:r>
        <w:t xml:space="preserve"> a</w:t>
      </w:r>
      <w:r w:rsidRPr="00260E4B">
        <w:t>re:</w:t>
      </w:r>
    </w:p>
    <w:p w14:paraId="408897B3" w14:textId="2E6944E7" w:rsidR="006B4990" w:rsidRDefault="00040D45" w:rsidP="005D4BEA">
      <w:pPr>
        <w:pStyle w:val="Bullet1stlevel"/>
        <w:rPr>
          <w:i/>
          <w:iCs/>
        </w:rPr>
      </w:pPr>
      <w:r>
        <w:rPr>
          <w:i/>
          <w:iCs/>
        </w:rPr>
        <w:t>e</w:t>
      </w:r>
      <w:r w:rsidR="00B36F43">
        <w:rPr>
          <w:i/>
          <w:iCs/>
        </w:rPr>
        <w:t>nhanced access</w:t>
      </w:r>
      <w:r>
        <w:rPr>
          <w:i/>
          <w:iCs/>
        </w:rPr>
        <w:t>;</w:t>
      </w:r>
    </w:p>
    <w:p w14:paraId="53307668" w14:textId="178512E2" w:rsidR="006B4990" w:rsidRDefault="00040D45" w:rsidP="005D4BEA">
      <w:pPr>
        <w:pStyle w:val="Bullet1stlevel"/>
        <w:rPr>
          <w:i/>
          <w:iCs/>
        </w:rPr>
      </w:pPr>
      <w:r>
        <w:rPr>
          <w:i/>
          <w:iCs/>
        </w:rPr>
        <w:t>y</w:t>
      </w:r>
      <w:r w:rsidR="002B7408">
        <w:rPr>
          <w:i/>
          <w:iCs/>
        </w:rPr>
        <w:t>outh participation</w:t>
      </w:r>
      <w:r>
        <w:rPr>
          <w:i/>
          <w:iCs/>
        </w:rPr>
        <w:t>;</w:t>
      </w:r>
    </w:p>
    <w:p w14:paraId="279BDEDD" w14:textId="67322E15" w:rsidR="00D702C4" w:rsidRDefault="00040D45" w:rsidP="005D4BEA">
      <w:pPr>
        <w:pStyle w:val="Bullet1stlevel"/>
        <w:rPr>
          <w:i/>
          <w:iCs/>
        </w:rPr>
      </w:pPr>
      <w:r>
        <w:rPr>
          <w:i/>
          <w:iCs/>
        </w:rPr>
        <w:t>f</w:t>
      </w:r>
      <w:r w:rsidR="00D702C4">
        <w:rPr>
          <w:i/>
          <w:iCs/>
        </w:rPr>
        <w:t>amily and friends participation</w:t>
      </w:r>
      <w:r>
        <w:rPr>
          <w:i/>
          <w:iCs/>
        </w:rPr>
        <w:t>; and</w:t>
      </w:r>
    </w:p>
    <w:p w14:paraId="192C87B5" w14:textId="0B1ECE7F" w:rsidR="006B4990" w:rsidRPr="00DC50F7" w:rsidRDefault="00040D45" w:rsidP="005D4BEA">
      <w:pPr>
        <w:pStyle w:val="Bullet1stlevel"/>
        <w:rPr>
          <w:i/>
        </w:rPr>
      </w:pPr>
      <w:r>
        <w:rPr>
          <w:i/>
          <w:iCs/>
        </w:rPr>
        <w:t>m</w:t>
      </w:r>
      <w:r w:rsidR="007F00F6" w:rsidRPr="00670933">
        <w:rPr>
          <w:i/>
          <w:iCs/>
        </w:rPr>
        <w:t xml:space="preserve">ulti-disciplinary workforce (as related to wait lists and </w:t>
      </w:r>
      <w:r w:rsidR="00670933" w:rsidRPr="00670933">
        <w:rPr>
          <w:i/>
          <w:iCs/>
        </w:rPr>
        <w:t>capacity constraints).</w:t>
      </w:r>
    </w:p>
    <w:p w14:paraId="47BD1CAB" w14:textId="52CF8DE6" w:rsidR="009B3579" w:rsidRDefault="007E1858" w:rsidP="00F018E3">
      <w:pPr>
        <w:pStyle w:val="Heading4"/>
      </w:pPr>
      <w:r>
        <w:t>Enabling</w:t>
      </w:r>
      <w:r w:rsidR="009B3579" w:rsidRPr="009B3579">
        <w:t xml:space="preserve"> young people</w:t>
      </w:r>
      <w:r>
        <w:t xml:space="preserve"> to</w:t>
      </w:r>
      <w:r w:rsidR="009B3579" w:rsidRPr="009B3579">
        <w:t xml:space="preserve"> participate in the design and delivery of headspace</w:t>
      </w:r>
    </w:p>
    <w:p w14:paraId="6B7D465C" w14:textId="0B052AAC" w:rsidR="00D71545" w:rsidRDefault="00D71545" w:rsidP="003006A8">
      <w:pPr>
        <w:pStyle w:val="BodyText"/>
      </w:pPr>
      <w:r>
        <w:t xml:space="preserve">Ensuring young people are actively engaged in the design and delivery of the services they receive is another key element of the headspace program logic. </w:t>
      </w:r>
      <w:r w:rsidR="007B508C">
        <w:t>Youth participation at a governance</w:t>
      </w:r>
      <w:r w:rsidR="00F43561">
        <w:t xml:space="preserve"> and service level is built into the headspace model, primarily through the role of Youth Reference Groups. Each </w:t>
      </w:r>
      <w:r w:rsidR="00B81994">
        <w:t>service</w:t>
      </w:r>
      <w:r w:rsidR="00F43561">
        <w:t xml:space="preserve"> is required to establish and maintain a Youth Reference Group to </w:t>
      </w:r>
      <w:r w:rsidR="00C36FC8">
        <w:t xml:space="preserve">ensure youth participation in </w:t>
      </w:r>
      <w:r w:rsidR="00496396">
        <w:t xml:space="preserve">strategic planning, </w:t>
      </w:r>
      <w:r w:rsidR="00C36FC8">
        <w:t>service development, delivery and evaluation.</w:t>
      </w:r>
      <w:r w:rsidR="00F43561">
        <w:t xml:space="preserve"> </w:t>
      </w:r>
      <w:r w:rsidR="00233E46">
        <w:t xml:space="preserve">Young people are also involved in their own care </w:t>
      </w:r>
      <w:r w:rsidR="00927BB1">
        <w:t xml:space="preserve">through </w:t>
      </w:r>
      <w:r w:rsidR="00233E46">
        <w:t xml:space="preserve">opportunities to engage in decisions </w:t>
      </w:r>
      <w:r w:rsidR="00DF4BC3">
        <w:t xml:space="preserve">throughout their </w:t>
      </w:r>
      <w:r w:rsidR="00B376EA">
        <w:t>episode</w:t>
      </w:r>
      <w:r w:rsidR="00DF4BC3">
        <w:t xml:space="preserve"> of care, including </w:t>
      </w:r>
      <w:r w:rsidR="00927BB1">
        <w:t xml:space="preserve">regarding </w:t>
      </w:r>
      <w:r w:rsidR="00DF4BC3">
        <w:t>their service planning and transitions.</w:t>
      </w:r>
      <w:r w:rsidR="007B508C">
        <w:t xml:space="preserve"> </w:t>
      </w:r>
      <w:r>
        <w:t>Through providing a positive experience of service by ensuring young people feel listened to and involved in decision making</w:t>
      </w:r>
      <w:r w:rsidR="00DC50F7">
        <w:t>,</w:t>
      </w:r>
      <w:r>
        <w:t xml:space="preserve"> the overall objectives of the model are supported. </w:t>
      </w:r>
    </w:p>
    <w:p w14:paraId="400119BA" w14:textId="5458C74D" w:rsidR="00D71545" w:rsidRDefault="00D71545" w:rsidP="00D71545">
      <w:pPr>
        <w:pStyle w:val="BodyText"/>
      </w:pPr>
      <w:r>
        <w:t xml:space="preserve">To examine the extent to which young people are participating in the design and delivery of services, and how this relates to their experience of headspace, user satisfaction data was analysed, along with interviews with headspace users and </w:t>
      </w:r>
      <w:r w:rsidR="00DC50F7">
        <w:t>Y</w:t>
      </w:r>
      <w:r>
        <w:t xml:space="preserve">outh </w:t>
      </w:r>
      <w:r w:rsidR="00DC50F7">
        <w:t>R</w:t>
      </w:r>
      <w:r>
        <w:t xml:space="preserve">eference </w:t>
      </w:r>
      <w:r w:rsidR="00DC50F7">
        <w:t>G</w:t>
      </w:r>
      <w:r>
        <w:t>roup members</w:t>
      </w:r>
      <w:r w:rsidR="00E2741C">
        <w:t xml:space="preserve"> (Appendix </w:t>
      </w:r>
      <w:r w:rsidR="0041539B">
        <w:fldChar w:fldCharType="begin" w:fldLock="1"/>
      </w:r>
      <w:r w:rsidR="0041539B">
        <w:instrText xml:space="preserve"> REF _Ref98326436 \w \h </w:instrText>
      </w:r>
      <w:r w:rsidR="0041539B">
        <w:fldChar w:fldCharType="separate"/>
      </w:r>
      <w:r w:rsidR="00AE4D34">
        <w:t>D.15</w:t>
      </w:r>
      <w:r w:rsidR="0041539B">
        <w:fldChar w:fldCharType="end"/>
      </w:r>
      <w:r w:rsidR="00E2741C">
        <w:t>)</w:t>
      </w:r>
      <w:r>
        <w:t>.</w:t>
      </w:r>
    </w:p>
    <w:p w14:paraId="3B685224" w14:textId="7B095FD9" w:rsidR="00B30C15" w:rsidRPr="00D71545" w:rsidRDefault="00B30C15" w:rsidP="000244E4">
      <w:pPr>
        <w:pStyle w:val="BodyText"/>
      </w:pPr>
      <w:r>
        <w:t>Young people recognise and value the extent to which they are invited to co</w:t>
      </w:r>
      <w:r w:rsidR="00DC50F7">
        <w:noBreakHyphen/>
      </w:r>
      <w:r>
        <w:t xml:space="preserve">design their service experience, and rated this highly in satisfaction surveys. The extent to which this translates to improved experience of </w:t>
      </w:r>
      <w:r w:rsidRPr="00D71545">
        <w:t>headspace for their families is unclear, as satisfaction of families attending family</w:t>
      </w:r>
      <w:r w:rsidR="00390410">
        <w:t>-</w:t>
      </w:r>
      <w:r w:rsidRPr="00D71545">
        <w:t>focused sessions is not measured.</w:t>
      </w:r>
    </w:p>
    <w:p w14:paraId="2F9EC0EE" w14:textId="06BB8251" w:rsidR="000A0252" w:rsidRDefault="00E2741C" w:rsidP="000244E4">
      <w:pPr>
        <w:pStyle w:val="BodyText"/>
      </w:pPr>
      <w:r>
        <w:t xml:space="preserve">Youth Reference Group members highlighted a range of </w:t>
      </w:r>
      <w:r w:rsidR="002B7C9E">
        <w:t xml:space="preserve">areas where their contribution to the governance of their local headspace </w:t>
      </w:r>
      <w:r w:rsidR="00B81994">
        <w:t>service</w:t>
      </w:r>
      <w:r w:rsidR="002B7C9E">
        <w:t xml:space="preserve"> had been valued and had </w:t>
      </w:r>
      <w:r w:rsidR="000A0252">
        <w:t>helped to improve the service experience for young people seeking mental health support.</w:t>
      </w:r>
    </w:p>
    <w:p w14:paraId="6283232F" w14:textId="1D58A2BA" w:rsidR="0007336A" w:rsidRPr="0007336A" w:rsidRDefault="0007336A" w:rsidP="000244E4">
      <w:pPr>
        <w:pStyle w:val="BodyText"/>
        <w:rPr>
          <w:b/>
          <w:bCs/>
        </w:rPr>
      </w:pPr>
      <w:r w:rsidRPr="0007336A">
        <w:rPr>
          <w:b/>
          <w:bCs/>
        </w:rPr>
        <w:t>Evaluation evidence suggests that the headspace model effectively enables young people to participate in the design and delivery of headspace, and this is associated with positive experiences of headspace for young people.</w:t>
      </w:r>
    </w:p>
    <w:p w14:paraId="19E6C38C" w14:textId="5B4F39BF" w:rsidR="00BE2EC3" w:rsidRPr="007878C0" w:rsidRDefault="00BE2EC3" w:rsidP="00B376EA">
      <w:pPr>
        <w:pStyle w:val="BodyText"/>
        <w:rPr>
          <w:i/>
        </w:rPr>
      </w:pPr>
      <w:r w:rsidRPr="00114B16">
        <w:rPr>
          <w:i/>
        </w:rPr>
        <w:t>The key elements of the headsp</w:t>
      </w:r>
      <w:r w:rsidRPr="00FE3622">
        <w:rPr>
          <w:i/>
        </w:rPr>
        <w:t>ace model which enable young peo</w:t>
      </w:r>
      <w:r w:rsidRPr="00176C52">
        <w:rPr>
          <w:i/>
        </w:rPr>
        <w:t>ple to participate in the design and delivery of headspace services are</w:t>
      </w:r>
      <w:r w:rsidRPr="00F978E2">
        <w:rPr>
          <w:i/>
        </w:rPr>
        <w:t>:</w:t>
      </w:r>
    </w:p>
    <w:p w14:paraId="0CD23950" w14:textId="1FE8B4A5" w:rsidR="00BE2EC3" w:rsidRDefault="008777C9" w:rsidP="00B376EA">
      <w:pPr>
        <w:pStyle w:val="Bullet1stlevel"/>
        <w:rPr>
          <w:i/>
          <w:iCs/>
        </w:rPr>
      </w:pPr>
      <w:r>
        <w:rPr>
          <w:i/>
          <w:iCs/>
        </w:rPr>
        <w:t>y</w:t>
      </w:r>
      <w:r w:rsidR="00BE2EC3">
        <w:rPr>
          <w:i/>
          <w:iCs/>
        </w:rPr>
        <w:t>outh participation</w:t>
      </w:r>
      <w:r>
        <w:rPr>
          <w:i/>
          <w:iCs/>
        </w:rPr>
        <w:t>;</w:t>
      </w:r>
    </w:p>
    <w:p w14:paraId="77ED5713" w14:textId="3D66D53D" w:rsidR="00BE2EC3" w:rsidRPr="002772DC" w:rsidRDefault="008777C9" w:rsidP="00B376EA">
      <w:pPr>
        <w:pStyle w:val="Bullet1stlevel"/>
        <w:rPr>
          <w:i/>
          <w:iCs/>
        </w:rPr>
      </w:pPr>
      <w:r>
        <w:rPr>
          <w:i/>
          <w:iCs/>
        </w:rPr>
        <w:t>f</w:t>
      </w:r>
      <w:r w:rsidR="00BE2EC3" w:rsidRPr="002772DC">
        <w:rPr>
          <w:i/>
          <w:iCs/>
        </w:rPr>
        <w:t>amily and friends participation</w:t>
      </w:r>
      <w:r>
        <w:rPr>
          <w:i/>
          <w:iCs/>
        </w:rPr>
        <w:t>; and</w:t>
      </w:r>
    </w:p>
    <w:p w14:paraId="7752F079" w14:textId="2D0F60F3" w:rsidR="00BE2EC3" w:rsidRPr="00B376EA" w:rsidRDefault="008777C9" w:rsidP="00B376EA">
      <w:pPr>
        <w:pStyle w:val="Bullet1stlevel"/>
        <w:rPr>
          <w:i/>
        </w:rPr>
      </w:pPr>
      <w:r>
        <w:rPr>
          <w:i/>
          <w:iCs/>
        </w:rPr>
        <w:t>n</w:t>
      </w:r>
      <w:r w:rsidR="00BE2EC3" w:rsidRPr="002772DC">
        <w:rPr>
          <w:i/>
          <w:iCs/>
        </w:rPr>
        <w:t>ational network (in particular</w:t>
      </w:r>
      <w:r w:rsidR="008D45B7" w:rsidRPr="002772DC">
        <w:rPr>
          <w:i/>
          <w:iCs/>
        </w:rPr>
        <w:t xml:space="preserve"> Y</w:t>
      </w:r>
      <w:r w:rsidR="009A7A70" w:rsidRPr="002772DC">
        <w:rPr>
          <w:i/>
          <w:iCs/>
        </w:rPr>
        <w:t>outh and Family and Friends Reference Groups)</w:t>
      </w:r>
      <w:r w:rsidR="00B1429F">
        <w:rPr>
          <w:i/>
          <w:iCs/>
        </w:rPr>
        <w:t>.</w:t>
      </w:r>
    </w:p>
    <w:p w14:paraId="5E79DD2C" w14:textId="21AB5BEA" w:rsidR="00BE2EC3" w:rsidRPr="00665A65" w:rsidRDefault="00C25558" w:rsidP="00665A65">
      <w:pPr>
        <w:pStyle w:val="Heading4"/>
        <w:rPr>
          <w:rStyle w:val="IntenseEmphasis"/>
          <w:i w:val="0"/>
          <w:iCs/>
          <w:color w:val="00338D" w:themeColor="background2"/>
          <w:sz w:val="24"/>
        </w:rPr>
      </w:pPr>
      <w:r w:rsidRPr="00665A65">
        <w:rPr>
          <w:rStyle w:val="IntenseEmphasis"/>
          <w:i w:val="0"/>
          <w:iCs/>
          <w:color w:val="00338D" w:themeColor="background2"/>
          <w:sz w:val="24"/>
        </w:rPr>
        <w:t xml:space="preserve">Improving user experience outcomes </w:t>
      </w:r>
      <w:r w:rsidR="00155105" w:rsidRPr="00665A65">
        <w:rPr>
          <w:rStyle w:val="IntenseEmphasis"/>
          <w:i w:val="0"/>
          <w:iCs/>
          <w:color w:val="00338D" w:themeColor="background2"/>
          <w:sz w:val="24"/>
        </w:rPr>
        <w:t>– in conclusion</w:t>
      </w:r>
    </w:p>
    <w:p w14:paraId="44ADE840" w14:textId="20F0B502" w:rsidR="00296A29" w:rsidRDefault="00585010" w:rsidP="00296A29">
      <w:pPr>
        <w:pStyle w:val="BodyText"/>
      </w:pPr>
      <w:r>
        <w:t xml:space="preserve">The headspace model supports user experience outcomes, </w:t>
      </w:r>
      <w:r w:rsidR="00262335">
        <w:t xml:space="preserve">with evidence to suggest </w:t>
      </w:r>
      <w:r w:rsidR="00262335" w:rsidRPr="00262335">
        <w:t>that it p</w:t>
      </w:r>
      <w:r w:rsidR="00296A29" w:rsidRPr="00262335">
        <w:t>rovides a highly appropriate mental health service approach for young people with mild to moderate, high</w:t>
      </w:r>
      <w:r w:rsidR="006C5BFC">
        <w:noBreakHyphen/>
      </w:r>
      <w:r w:rsidR="00296A29" w:rsidRPr="00262335">
        <w:t xml:space="preserve">prevalence </w:t>
      </w:r>
      <w:r w:rsidR="004B4565">
        <w:t xml:space="preserve">mental health </w:t>
      </w:r>
      <w:r w:rsidR="00296A29" w:rsidRPr="00262335">
        <w:t>conditions.</w:t>
      </w:r>
      <w:r w:rsidR="005213D8">
        <w:t xml:space="preserve"> The model also successfully supports the participation of young people in the design and delivery of headspace services, which is associated with strong positive views as to user experience. </w:t>
      </w:r>
    </w:p>
    <w:p w14:paraId="32B3597E" w14:textId="533066AB" w:rsidR="00B45809" w:rsidRDefault="00B45809" w:rsidP="00296A29">
      <w:pPr>
        <w:pStyle w:val="BodyText"/>
      </w:pPr>
      <w:r>
        <w:t xml:space="preserve">At the same time, however, </w:t>
      </w:r>
      <w:r w:rsidR="007B51F8">
        <w:t xml:space="preserve">the model has less success in providing culturally appropriate and inclusive supports </w:t>
      </w:r>
      <w:r w:rsidR="0034064F">
        <w:t xml:space="preserve">for </w:t>
      </w:r>
      <w:r w:rsidR="00256FBC">
        <w:t xml:space="preserve">young people from culturally and linguistically diverse backgrounds, and Aboriginal and Torres Strait Islander young people. </w:t>
      </w:r>
      <w:r w:rsidR="00C9777A">
        <w:t>This is an area of ongoing focus for many services nationally.</w:t>
      </w:r>
    </w:p>
    <w:p w14:paraId="0D391FE4" w14:textId="5123C9D8" w:rsidR="00ED3749" w:rsidRPr="00262335" w:rsidRDefault="007A3D35" w:rsidP="00296A29">
      <w:pPr>
        <w:pStyle w:val="BodyText"/>
      </w:pPr>
      <w:r>
        <w:t xml:space="preserve">In terms of enabling young people to </w:t>
      </w:r>
      <w:r w:rsidRPr="007A3D35">
        <w:t>access support where, when and how they want it</w:t>
      </w:r>
      <w:r>
        <w:t xml:space="preserve">, the model is </w:t>
      </w:r>
      <w:r w:rsidR="00201011">
        <w:t xml:space="preserve">reasonably effective, however </w:t>
      </w:r>
      <w:r w:rsidR="00AB64FA">
        <w:t>opening hours and waiting times detract from this.</w:t>
      </w:r>
    </w:p>
    <w:p w14:paraId="0308D26B" w14:textId="4C229999" w:rsidR="00262335" w:rsidRDefault="00136625" w:rsidP="002C28DE">
      <w:pPr>
        <w:pStyle w:val="BodyText"/>
        <w:keepNext/>
        <w:rPr>
          <w:i/>
          <w:iCs/>
        </w:rPr>
      </w:pPr>
      <w:r>
        <w:rPr>
          <w:i/>
          <w:iCs/>
        </w:rPr>
        <w:t>While various elements of the headspace model support improved user experience outcomes, the most relevant of these</w:t>
      </w:r>
      <w:r w:rsidR="00262335">
        <w:rPr>
          <w:i/>
          <w:iCs/>
        </w:rPr>
        <w:t xml:space="preserve"> are:</w:t>
      </w:r>
    </w:p>
    <w:p w14:paraId="6293FA75" w14:textId="4207114F" w:rsidR="00ED3749" w:rsidRDefault="005910E8" w:rsidP="00B376EA">
      <w:pPr>
        <w:pStyle w:val="Bullet1stlevel"/>
        <w:rPr>
          <w:i/>
          <w:iCs/>
        </w:rPr>
      </w:pPr>
      <w:r>
        <w:rPr>
          <w:i/>
          <w:iCs/>
        </w:rPr>
        <w:t>c</w:t>
      </w:r>
      <w:r w:rsidR="00ED3749">
        <w:rPr>
          <w:i/>
          <w:iCs/>
        </w:rPr>
        <w:t>ommunity awareness and engagement</w:t>
      </w:r>
      <w:r>
        <w:rPr>
          <w:i/>
          <w:iCs/>
        </w:rPr>
        <w:t>;</w:t>
      </w:r>
      <w:r w:rsidR="00ED3749">
        <w:rPr>
          <w:i/>
          <w:iCs/>
        </w:rPr>
        <w:t xml:space="preserve"> </w:t>
      </w:r>
    </w:p>
    <w:p w14:paraId="2705DC63" w14:textId="242FE508" w:rsidR="00ED3749" w:rsidRDefault="005910E8" w:rsidP="00B376EA">
      <w:pPr>
        <w:pStyle w:val="Bullet1stlevel"/>
        <w:rPr>
          <w:i/>
          <w:iCs/>
        </w:rPr>
      </w:pPr>
      <w:r>
        <w:rPr>
          <w:i/>
          <w:iCs/>
        </w:rPr>
        <w:t>m</w:t>
      </w:r>
      <w:r w:rsidR="00ED3749">
        <w:rPr>
          <w:i/>
          <w:iCs/>
        </w:rPr>
        <w:t>ulti-disciplinary workforce</w:t>
      </w:r>
      <w:r w:rsidR="006C1C18">
        <w:rPr>
          <w:i/>
          <w:iCs/>
        </w:rPr>
        <w:t xml:space="preserve"> (as related to wait lists and capacity constraints)</w:t>
      </w:r>
      <w:r>
        <w:rPr>
          <w:i/>
          <w:iCs/>
        </w:rPr>
        <w:t>; and</w:t>
      </w:r>
    </w:p>
    <w:p w14:paraId="26E49117" w14:textId="5C723BDF" w:rsidR="00ED3749" w:rsidRPr="00B376EA" w:rsidRDefault="00E96D59" w:rsidP="00B376EA">
      <w:pPr>
        <w:pStyle w:val="Bullet1stlevel"/>
        <w:rPr>
          <w:i/>
        </w:rPr>
      </w:pPr>
      <w:r>
        <w:rPr>
          <w:i/>
          <w:iCs/>
        </w:rPr>
        <w:t>n</w:t>
      </w:r>
      <w:r w:rsidR="00ED3749">
        <w:rPr>
          <w:i/>
          <w:iCs/>
        </w:rPr>
        <w:t>ational network (in particular the roles of PHNs and community consortia).</w:t>
      </w:r>
    </w:p>
    <w:p w14:paraId="57DBE89F" w14:textId="088BD577" w:rsidR="00574CF3" w:rsidRPr="00972995" w:rsidRDefault="00574CF3" w:rsidP="000244E4">
      <w:pPr>
        <w:pStyle w:val="BodyText"/>
      </w:pPr>
      <w:r>
        <w:t xml:space="preserve">These elements are the focus of potential recommendations to support better user experience outcomes, detailed in </w:t>
      </w:r>
      <w:r w:rsidR="00E40814">
        <w:t>section</w:t>
      </w:r>
      <w:r>
        <w:t xml:space="preserve"> </w:t>
      </w:r>
      <w:r w:rsidR="006C5BFC">
        <w:fldChar w:fldCharType="begin" w:fldLock="1"/>
      </w:r>
      <w:r w:rsidR="006C5BFC">
        <w:instrText xml:space="preserve"> REF _Ref98329524 \w \h </w:instrText>
      </w:r>
      <w:r w:rsidR="006C5BFC">
        <w:fldChar w:fldCharType="separate"/>
      </w:r>
      <w:r w:rsidR="00AE4D34">
        <w:t>5.4</w:t>
      </w:r>
      <w:r w:rsidR="006C5BFC">
        <w:fldChar w:fldCharType="end"/>
      </w:r>
      <w:r>
        <w:t>.</w:t>
      </w:r>
    </w:p>
    <w:p w14:paraId="12A006EC" w14:textId="5191DF05" w:rsidR="000D708E" w:rsidRDefault="00ED1171" w:rsidP="003941C8">
      <w:pPr>
        <w:pStyle w:val="Heading3"/>
      </w:pPr>
      <w:bookmarkStart w:id="101" w:name="_Ref98494673"/>
      <w:r>
        <w:t xml:space="preserve">Improving </w:t>
      </w:r>
      <w:r w:rsidR="005513AE">
        <w:t>psychosocial</w:t>
      </w:r>
      <w:r w:rsidR="000D708E">
        <w:t xml:space="preserve"> outcomes</w:t>
      </w:r>
      <w:bookmarkEnd w:id="101"/>
    </w:p>
    <w:p w14:paraId="57AA6D88" w14:textId="34AF7549" w:rsidR="00785F46" w:rsidRDefault="00785F46" w:rsidP="00785F46">
      <w:pPr>
        <w:pStyle w:val="Heading4"/>
      </w:pPr>
      <w:r>
        <w:t>Improving mental health and wellbeing outcomes, considering clinical outcomes for young people</w:t>
      </w:r>
    </w:p>
    <w:p w14:paraId="362E4F96" w14:textId="0B685766" w:rsidR="0085335A" w:rsidRPr="007472A3" w:rsidRDefault="003538B6" w:rsidP="0085335A">
      <w:pPr>
        <w:pStyle w:val="BodyText"/>
      </w:pPr>
      <w:r w:rsidRPr="007A77AB">
        <w:t>The clinical scores of young people attending headspace</w:t>
      </w:r>
      <w:r w:rsidR="00AB5CC0">
        <w:t>,</w:t>
      </w:r>
      <w:r w:rsidRPr="007A77AB">
        <w:t xml:space="preserve"> and </w:t>
      </w:r>
      <w:r w:rsidR="007A77AB" w:rsidRPr="007A77AB">
        <w:t xml:space="preserve">other items of </w:t>
      </w:r>
      <w:r w:rsidRPr="007A77AB">
        <w:t xml:space="preserve">administrative data </w:t>
      </w:r>
      <w:r w:rsidR="007A77AB" w:rsidRPr="007A77AB">
        <w:t>f</w:t>
      </w:r>
      <w:r w:rsidRPr="007A77AB">
        <w:t xml:space="preserve">rom </w:t>
      </w:r>
      <w:r w:rsidRPr="007472A3">
        <w:t>the hMDS</w:t>
      </w:r>
      <w:r w:rsidR="00AB5CC0">
        <w:t>,</w:t>
      </w:r>
      <w:r w:rsidRPr="007472A3">
        <w:t xml:space="preserve"> </w:t>
      </w:r>
      <w:r w:rsidR="007709D1" w:rsidRPr="007472A3">
        <w:t xml:space="preserve">enable </w:t>
      </w:r>
      <w:r w:rsidR="009B365A">
        <w:t xml:space="preserve">detailed statistical </w:t>
      </w:r>
      <w:r w:rsidR="007709D1" w:rsidRPr="007472A3">
        <w:t xml:space="preserve">analysis as to the effectiveness of headspace in improving </w:t>
      </w:r>
      <w:r w:rsidR="000578BD" w:rsidRPr="007472A3">
        <w:t>mental</w:t>
      </w:r>
      <w:r w:rsidR="007709D1" w:rsidRPr="007472A3">
        <w:t xml:space="preserve"> health and wellbeing outcomes.</w:t>
      </w:r>
      <w:r w:rsidR="0000000C">
        <w:t xml:space="preserve"> Detailed analysis has been conducted on this data, and </w:t>
      </w:r>
      <w:r w:rsidR="00007D11">
        <w:t xml:space="preserve">is presented in </w:t>
      </w:r>
      <w:r w:rsidR="0041539B">
        <w:fldChar w:fldCharType="begin" w:fldLock="1"/>
      </w:r>
      <w:r w:rsidR="0041539B">
        <w:instrText xml:space="preserve"> REF _Ref98326443 \w \h </w:instrText>
      </w:r>
      <w:r w:rsidR="0041539B">
        <w:fldChar w:fldCharType="separate"/>
      </w:r>
      <w:r w:rsidR="00AE4D34">
        <w:t>Appendix E</w:t>
      </w:r>
      <w:r w:rsidR="0041539B">
        <w:fldChar w:fldCharType="end"/>
      </w:r>
      <w:r w:rsidR="00007D11">
        <w:t>.</w:t>
      </w:r>
      <w:r w:rsidR="007709D1" w:rsidRPr="007472A3">
        <w:t xml:space="preserve"> </w:t>
      </w:r>
    </w:p>
    <w:p w14:paraId="755C228E" w14:textId="2366BF12" w:rsidR="00B51866" w:rsidRDefault="0085335A" w:rsidP="005E7292">
      <w:pPr>
        <w:pStyle w:val="BodyText"/>
      </w:pPr>
      <w:r w:rsidRPr="007472A3">
        <w:t>Overall, data from the hMDS shows that</w:t>
      </w:r>
      <w:r>
        <w:t xml:space="preserve"> </w:t>
      </w:r>
      <w:r w:rsidR="00FC3301">
        <w:t xml:space="preserve">young people benefit from </w:t>
      </w:r>
      <w:r>
        <w:t>more engagement and treatment through headspace</w:t>
      </w:r>
      <w:r w:rsidR="00FC3301">
        <w:t>, which</w:t>
      </w:r>
      <w:r>
        <w:t xml:space="preserve"> is associated with greater improvements in mental health and wellbeing. The improvement in young persons accessing six or more headspace sessions is </w:t>
      </w:r>
      <w:r w:rsidR="00162353">
        <w:t>on par with</w:t>
      </w:r>
      <w:r>
        <w:t xml:space="preserve"> that observed from psychotherapy </w:t>
      </w:r>
      <w:r w:rsidR="00162353">
        <w:t>treatment for depression more broadly</w:t>
      </w:r>
      <w:r w:rsidR="00CC0438">
        <w:rPr>
          <w:rFonts w:ascii="ZWAdobeF" w:hAnsi="ZWAdobeF" w:cs="ZWAdobeF"/>
          <w:sz w:val="2"/>
          <w:szCs w:val="2"/>
        </w:rPr>
        <w:t>128F</w:t>
      </w:r>
      <w:r w:rsidR="00822DF7">
        <w:rPr>
          <w:rStyle w:val="FootnoteReference"/>
        </w:rPr>
        <w:footnoteReference w:id="130"/>
      </w:r>
      <w:r>
        <w:t xml:space="preserve">. </w:t>
      </w:r>
      <w:r w:rsidR="00B51866" w:rsidRPr="00490692">
        <w:t>The follow</w:t>
      </w:r>
      <w:r w:rsidR="00156585">
        <w:t xml:space="preserve"> </w:t>
      </w:r>
      <w:r w:rsidR="00B51866" w:rsidRPr="00490692">
        <w:t>up survey suggests that outcomes achieved during a headspace episode are sustained over the following 90</w:t>
      </w:r>
      <w:r w:rsidR="00AB2A94">
        <w:t> </w:t>
      </w:r>
      <w:r w:rsidR="00B51866" w:rsidRPr="00490692">
        <w:t>days.</w:t>
      </w:r>
    </w:p>
    <w:p w14:paraId="3EB957CE" w14:textId="52554BFF" w:rsidR="009E1C38" w:rsidRPr="001D332F" w:rsidRDefault="009E1C38" w:rsidP="005E7292">
      <w:pPr>
        <w:pStyle w:val="BodyText"/>
      </w:pPr>
      <w:r>
        <w:rPr>
          <w:rFonts w:cs="Calibri"/>
          <w:szCs w:val="20"/>
        </w:rPr>
        <w:t xml:space="preserve">The largest proportion of young people accessing the headspace model only attend once (36 per cent of episodes of care within the data period were a single </w:t>
      </w:r>
      <w:r w:rsidR="00562AD7">
        <w:rPr>
          <w:rFonts w:cs="Calibri"/>
          <w:szCs w:val="20"/>
        </w:rPr>
        <w:t>OOS</w:t>
      </w:r>
      <w:r>
        <w:rPr>
          <w:rFonts w:cs="Calibri"/>
          <w:szCs w:val="20"/>
        </w:rPr>
        <w:t xml:space="preserve">), and only 19 per cent of episodes of care </w:t>
      </w:r>
      <w:r w:rsidR="00562AD7">
        <w:rPr>
          <w:rFonts w:cs="Calibri"/>
          <w:szCs w:val="20"/>
        </w:rPr>
        <w:t xml:space="preserve">were </w:t>
      </w:r>
      <w:r>
        <w:rPr>
          <w:rFonts w:cs="Calibri"/>
          <w:szCs w:val="20"/>
        </w:rPr>
        <w:t xml:space="preserve">for six or more </w:t>
      </w:r>
      <w:r w:rsidR="007B2863">
        <w:rPr>
          <w:rFonts w:cs="Calibri"/>
          <w:szCs w:val="20"/>
        </w:rPr>
        <w:t>OOS</w:t>
      </w:r>
      <w:r>
        <w:rPr>
          <w:rFonts w:cs="Calibri"/>
          <w:szCs w:val="20"/>
        </w:rPr>
        <w:t>.</w:t>
      </w:r>
    </w:p>
    <w:p w14:paraId="7B1BC1C2" w14:textId="2D51509A" w:rsidR="004E6859" w:rsidRPr="007A77AB" w:rsidRDefault="004E6859" w:rsidP="005E7292">
      <w:pPr>
        <w:pStyle w:val="BodyText"/>
      </w:pPr>
      <w:r w:rsidRPr="007A77AB">
        <w:t>Analysis of variation suggests that the majority of headspace services deliver a positive and statistically significant improvement in mental health and broader outcomes</w:t>
      </w:r>
      <w:r w:rsidR="00B0022D">
        <w:t>,</w:t>
      </w:r>
      <w:r w:rsidRPr="007A77AB">
        <w:t xml:space="preserve"> as measured by the K10,</w:t>
      </w:r>
      <w:r w:rsidR="00730B4D">
        <w:t xml:space="preserve"> </w:t>
      </w:r>
      <w:r w:rsidRPr="007A77AB">
        <w:t>SOFAS and MLT outcome measures.</w:t>
      </w:r>
      <w:r w:rsidR="00417E16">
        <w:t xml:space="preserve"> </w:t>
      </w:r>
      <w:r w:rsidR="00B0022D">
        <w:t>A</w:t>
      </w:r>
      <w:r w:rsidR="000A471C">
        <w:t xml:space="preserve"> smaller proportion of </w:t>
      </w:r>
      <w:r w:rsidR="00B56697">
        <w:t xml:space="preserve">episodes achieved reliable </w:t>
      </w:r>
      <w:r w:rsidR="00B14759">
        <w:t xml:space="preserve">change </w:t>
      </w:r>
      <w:r w:rsidR="0043128F">
        <w:t>(</w:t>
      </w:r>
      <w:r w:rsidR="00B14759">
        <w:t xml:space="preserve">meaning the </w:t>
      </w:r>
      <w:r w:rsidR="007F57FA">
        <w:t>change i</w:t>
      </w:r>
      <w:r w:rsidR="00577CF2">
        <w:t>s greater tha</w:t>
      </w:r>
      <w:r w:rsidR="00B0022D">
        <w:t>n</w:t>
      </w:r>
      <w:r w:rsidR="00577CF2">
        <w:t xml:space="preserve"> a difference that could have occurred </w:t>
      </w:r>
      <w:r w:rsidR="0043128F">
        <w:t>randomly).</w:t>
      </w:r>
      <w:r w:rsidR="00B56697">
        <w:t xml:space="preserve"> </w:t>
      </w:r>
      <w:r w:rsidR="0043128F">
        <w:t>S</w:t>
      </w:r>
      <w:r w:rsidR="00B14759">
        <w:t>imilarly</w:t>
      </w:r>
      <w:r w:rsidR="0043128F">
        <w:t>, a</w:t>
      </w:r>
      <w:r w:rsidR="00B14759">
        <w:t xml:space="preserve"> </w:t>
      </w:r>
      <w:r w:rsidR="000A471C">
        <w:t xml:space="preserve">smaller proportion of </w:t>
      </w:r>
      <w:r w:rsidR="00B0022D">
        <w:t>episodes</w:t>
      </w:r>
      <w:r w:rsidR="00F4440C">
        <w:t xml:space="preserve"> </w:t>
      </w:r>
      <w:r w:rsidR="000A471C">
        <w:t>wh</w:t>
      </w:r>
      <w:r w:rsidR="00B0022D">
        <w:t>ich</w:t>
      </w:r>
      <w:r w:rsidR="000A471C">
        <w:t xml:space="preserve"> met clinical threshold on entry</w:t>
      </w:r>
      <w:r w:rsidR="00F4440C">
        <w:t>,</w:t>
      </w:r>
      <w:r w:rsidR="000A471C">
        <w:t xml:space="preserve"> achieved clinically significant change. </w:t>
      </w:r>
      <w:r w:rsidR="00206109">
        <w:t>T</w:t>
      </w:r>
      <w:r w:rsidR="003C25DF">
        <w:t>here is merit in further consideration and potential strategies to enhance the efficacy of the interventions provided</w:t>
      </w:r>
      <w:r w:rsidR="00B8287A">
        <w:t xml:space="preserve">, further discussed in Chapter </w:t>
      </w:r>
      <w:r w:rsidR="00562AD7">
        <w:fldChar w:fldCharType="begin" w:fldLock="1"/>
      </w:r>
      <w:r w:rsidR="00562AD7">
        <w:instrText xml:space="preserve"> REF _Ref98328245 \w \h </w:instrText>
      </w:r>
      <w:r w:rsidR="00562AD7">
        <w:fldChar w:fldCharType="separate"/>
      </w:r>
      <w:r w:rsidR="00562AD7">
        <w:t>5</w:t>
      </w:r>
      <w:r w:rsidR="00562AD7">
        <w:fldChar w:fldCharType="end"/>
      </w:r>
      <w:r w:rsidR="003C25DF">
        <w:t>.</w:t>
      </w:r>
    </w:p>
    <w:p w14:paraId="75CD84D7" w14:textId="565CE5D5" w:rsidR="00E346F4" w:rsidRPr="001F4976" w:rsidRDefault="00E346F4" w:rsidP="005E7292">
      <w:pPr>
        <w:pStyle w:val="BodyText"/>
      </w:pPr>
      <w:r w:rsidRPr="00396293">
        <w:t xml:space="preserve">The number of </w:t>
      </w:r>
      <w:r w:rsidR="007B2863">
        <w:t>OOS</w:t>
      </w:r>
      <w:r w:rsidRPr="00396293">
        <w:t xml:space="preserve">, a young person’s initial level of mental distress, and the individual service itself are key drivers of variation in outcomes. Young people who present with high levels of mental distress and who go on to access </w:t>
      </w:r>
      <w:r w:rsidR="00721C1D">
        <w:t xml:space="preserve">at least six to eight </w:t>
      </w:r>
      <w:r w:rsidR="007B2863">
        <w:t>OOS</w:t>
      </w:r>
      <w:r w:rsidRPr="00396293">
        <w:t xml:space="preserve"> achieve </w:t>
      </w:r>
      <w:r w:rsidR="00040832">
        <w:t xml:space="preserve">the </w:t>
      </w:r>
      <w:r w:rsidRPr="00396293">
        <w:t>greatest improvement in outcomes.</w:t>
      </w:r>
      <w:r w:rsidR="002546D4">
        <w:t xml:space="preserve"> </w:t>
      </w:r>
      <w:r w:rsidR="00A30130">
        <w:t>In contrast,</w:t>
      </w:r>
      <w:r w:rsidR="00BD67DA">
        <w:t xml:space="preserve"> t</w:t>
      </w:r>
      <w:r w:rsidRPr="001F4976">
        <w:t xml:space="preserve">here were no clear factors associated with </w:t>
      </w:r>
      <w:r w:rsidR="00997DC9">
        <w:t>those</w:t>
      </w:r>
      <w:r w:rsidRPr="001F4976">
        <w:t xml:space="preserve"> </w:t>
      </w:r>
      <w:r w:rsidR="008D5A7F">
        <w:t xml:space="preserve">headspace </w:t>
      </w:r>
      <w:r w:rsidRPr="001F4976">
        <w:t>services</w:t>
      </w:r>
      <w:r w:rsidR="005357F7">
        <w:t xml:space="preserve"> </w:t>
      </w:r>
      <w:r w:rsidR="00997DC9">
        <w:t xml:space="preserve">that had higher than the average improvement of </w:t>
      </w:r>
      <w:r w:rsidR="00AA3210">
        <w:t xml:space="preserve">outcomes across their client group, indicating that </w:t>
      </w:r>
      <w:r w:rsidR="00D87534">
        <w:t xml:space="preserve">the stronger outcomes are not the result of </w:t>
      </w:r>
      <w:r w:rsidR="00996223">
        <w:t>specific features of the service</w:t>
      </w:r>
      <w:r w:rsidR="00346AE0">
        <w:t xml:space="preserve"> providing care.</w:t>
      </w:r>
      <w:r w:rsidR="002549AB">
        <w:t xml:space="preserve"> </w:t>
      </w:r>
      <w:r w:rsidR="001A0A93">
        <w:t>In contrast</w:t>
      </w:r>
      <w:r w:rsidR="002549AB">
        <w:t xml:space="preserve">, </w:t>
      </w:r>
      <w:r w:rsidR="00261D66">
        <w:t xml:space="preserve">average improvement </w:t>
      </w:r>
      <w:r w:rsidR="005617FB">
        <w:t>(in the K10 and MLT outcome measures)</w:t>
      </w:r>
      <w:r w:rsidR="005C36FB">
        <w:t xml:space="preserve"> </w:t>
      </w:r>
      <w:r w:rsidR="00261D66">
        <w:t xml:space="preserve">is lowest among young persons </w:t>
      </w:r>
      <w:r w:rsidR="0081650C">
        <w:t xml:space="preserve">who </w:t>
      </w:r>
      <w:r w:rsidR="00261D66">
        <w:t>ente</w:t>
      </w:r>
      <w:r w:rsidR="005617FB">
        <w:t>red headspace with low levels of initial distress (as measured by the K10).</w:t>
      </w:r>
    </w:p>
    <w:p w14:paraId="72855B83" w14:textId="349376F8" w:rsidR="00D04301" w:rsidRDefault="00D04301" w:rsidP="00D04301">
      <w:pPr>
        <w:pStyle w:val="BodyText"/>
      </w:pPr>
      <w:r>
        <w:t xml:space="preserve">Contrary to expectations of headspace service providers (as provided in </w:t>
      </w:r>
      <w:r w:rsidR="00B81994">
        <w:t>service</w:t>
      </w:r>
      <w:r>
        <w:t xml:space="preserve"> and lead agency survey responses), LGBTQIA+ young people experienced lower improvements </w:t>
      </w:r>
      <w:r w:rsidR="00EE47C8">
        <w:t>(but still positive)</w:t>
      </w:r>
      <w:r>
        <w:t xml:space="preserve"> </w:t>
      </w:r>
      <w:r w:rsidR="000705A2">
        <w:t xml:space="preserve">across all measures </w:t>
      </w:r>
      <w:r>
        <w:t xml:space="preserve">than </w:t>
      </w:r>
      <w:r w:rsidR="000705A2" w:rsidRPr="00424359">
        <w:t xml:space="preserve">young people who do not identify </w:t>
      </w:r>
      <w:r w:rsidR="000705A2">
        <w:t xml:space="preserve">as </w:t>
      </w:r>
      <w:r>
        <w:t>LGBTQIA+ . By contrast</w:t>
      </w:r>
      <w:r w:rsidR="00363735">
        <w:t>,</w:t>
      </w:r>
      <w:r>
        <w:t xml:space="preserve"> culturally and linguistically diverse cohorts achieved statistically similar improvements as </w:t>
      </w:r>
      <w:r w:rsidR="004248EB" w:rsidRPr="00424359">
        <w:t xml:space="preserve">young people who do not identify </w:t>
      </w:r>
      <w:r w:rsidR="004248EB">
        <w:t xml:space="preserve">as </w:t>
      </w:r>
      <w:r>
        <w:t xml:space="preserve">culturally and linguistically diverse. Improvements in the SOFAS and MLT outcome measures were statistically significantly lower among the Aboriginal and Torres Strait Islander </w:t>
      </w:r>
      <w:r w:rsidR="007C2874">
        <w:t>young people</w:t>
      </w:r>
      <w:r w:rsidR="00721648">
        <w:t xml:space="preserve"> than th</w:t>
      </w:r>
      <w:r w:rsidR="00626F30">
        <w:t xml:space="preserve">e </w:t>
      </w:r>
      <w:r w:rsidR="00D27B02">
        <w:t>general population of young people</w:t>
      </w:r>
      <w:r w:rsidR="00626F30">
        <w:t xml:space="preserve"> accessing headspace. However, </w:t>
      </w:r>
      <w:r w:rsidR="002872E5">
        <w:t>when using</w:t>
      </w:r>
      <w:r>
        <w:t xml:space="preserve"> the K10</w:t>
      </w:r>
      <w:r w:rsidR="002872E5">
        <w:t xml:space="preserve"> </w:t>
      </w:r>
      <w:r>
        <w:t>outcome</w:t>
      </w:r>
      <w:r w:rsidR="002872E5">
        <w:t xml:space="preserve"> measure, </w:t>
      </w:r>
      <w:r w:rsidR="0069795E">
        <w:t xml:space="preserve">outcomes among the Aboriginal and Torres Strait Islander </w:t>
      </w:r>
      <w:r w:rsidR="007C2874">
        <w:t xml:space="preserve">cohort </w:t>
      </w:r>
      <w:r w:rsidR="0069795E">
        <w:t>and the general population</w:t>
      </w:r>
      <w:r w:rsidR="00F9289F">
        <w:t xml:space="preserve"> of young people</w:t>
      </w:r>
      <w:r w:rsidR="0069795E">
        <w:t xml:space="preserve"> accessing headspace are statistically similar.</w:t>
      </w:r>
    </w:p>
    <w:p w14:paraId="7FC0C503" w14:textId="2E36D4EF" w:rsidR="005A344A" w:rsidRDefault="00F56055" w:rsidP="000244E4">
      <w:pPr>
        <w:pStyle w:val="BodyText"/>
      </w:pPr>
      <w:r>
        <w:t>Area-level</w:t>
      </w:r>
      <w:r w:rsidR="005A344A">
        <w:t xml:space="preserve"> analysis was also conducted (as described in </w:t>
      </w:r>
      <w:r w:rsidR="0041539B">
        <w:fldChar w:fldCharType="begin" w:fldLock="1"/>
      </w:r>
      <w:r w:rsidR="0041539B">
        <w:instrText xml:space="preserve"> REF _Ref97900293 \w \h </w:instrText>
      </w:r>
      <w:r w:rsidR="0041539B">
        <w:fldChar w:fldCharType="separate"/>
      </w:r>
      <w:r w:rsidR="00AE4D34">
        <w:t>Appendix A</w:t>
      </w:r>
      <w:r w:rsidR="0041539B">
        <w:fldChar w:fldCharType="end"/>
      </w:r>
      <w:r w:rsidR="002D6637">
        <w:t>), t</w:t>
      </w:r>
      <w:r w:rsidR="005A344A">
        <w:t>o support analysis of outcomes from headspace services where no control group exists</w:t>
      </w:r>
      <w:r w:rsidR="002D6637">
        <w:t>. Using</w:t>
      </w:r>
      <w:r w:rsidR="002F1EE2">
        <w:t xml:space="preserve"> the </w:t>
      </w:r>
      <w:r w:rsidR="006C0AC9">
        <w:t>D</w:t>
      </w:r>
      <w:r w:rsidR="002F1EE2">
        <w:t>ifference-in-</w:t>
      </w:r>
      <w:r w:rsidR="006C0AC9">
        <w:t>D</w:t>
      </w:r>
      <w:r w:rsidR="002F1EE2">
        <w:t>ifference</w:t>
      </w:r>
      <w:r w:rsidR="00D36C22">
        <w:t xml:space="preserve"> (DID)</w:t>
      </w:r>
      <w:r w:rsidR="002D6637">
        <w:t xml:space="preserve"> </w:t>
      </w:r>
      <w:r w:rsidR="005A344A">
        <w:t>quasi-experimental methodology</w:t>
      </w:r>
      <w:r w:rsidR="002F1EE2">
        <w:t>,</w:t>
      </w:r>
      <w:r w:rsidR="005A344A">
        <w:t xml:space="preserve"> the impact of headspace services at the </w:t>
      </w:r>
      <w:r>
        <w:t>area-level</w:t>
      </w:r>
      <w:r w:rsidR="005A344A">
        <w:t>, rather than the individual level</w:t>
      </w:r>
      <w:r w:rsidR="00D141E0">
        <w:t>,</w:t>
      </w:r>
      <w:r w:rsidR="002F1EE2">
        <w:t xml:space="preserve"> was evaluated</w:t>
      </w:r>
      <w:r w:rsidR="00CC0438">
        <w:rPr>
          <w:rFonts w:ascii="ZWAdobeF" w:hAnsi="ZWAdobeF" w:cs="ZWAdobeF"/>
          <w:sz w:val="2"/>
          <w:szCs w:val="2"/>
        </w:rPr>
        <w:t>129F</w:t>
      </w:r>
      <w:r w:rsidR="00B8582F">
        <w:rPr>
          <w:rStyle w:val="FootnoteReference"/>
        </w:rPr>
        <w:footnoteReference w:id="131"/>
      </w:r>
      <w:r w:rsidR="00B8582F" w:rsidRPr="009F6C9B">
        <w:rPr>
          <w:vertAlign w:val="superscript"/>
        </w:rPr>
        <w:t>,</w:t>
      </w:r>
      <w:r w:rsidR="00CC0438">
        <w:rPr>
          <w:rFonts w:ascii="ZWAdobeF" w:hAnsi="ZWAdobeF" w:cs="ZWAdobeF"/>
          <w:sz w:val="2"/>
          <w:szCs w:val="2"/>
        </w:rPr>
        <w:t>130F</w:t>
      </w:r>
      <w:r w:rsidR="00B8582F">
        <w:rPr>
          <w:rStyle w:val="FootnoteReference"/>
        </w:rPr>
        <w:footnoteReference w:id="132"/>
      </w:r>
      <w:r w:rsidR="00B8582F">
        <w:rPr>
          <w:vertAlign w:val="superscript"/>
        </w:rPr>
        <w:t>,</w:t>
      </w:r>
      <w:r w:rsidR="00CC0438">
        <w:rPr>
          <w:rFonts w:ascii="ZWAdobeF" w:hAnsi="ZWAdobeF" w:cs="ZWAdobeF"/>
          <w:sz w:val="2"/>
          <w:szCs w:val="2"/>
        </w:rPr>
        <w:t>131F</w:t>
      </w:r>
      <w:r w:rsidR="00B8582F">
        <w:rPr>
          <w:rStyle w:val="FootnoteReference"/>
        </w:rPr>
        <w:footnoteReference w:id="133"/>
      </w:r>
      <w:r w:rsidR="00B8582F" w:rsidRPr="00414E3E">
        <w:t>.</w:t>
      </w:r>
    </w:p>
    <w:p w14:paraId="7970672F" w14:textId="2E758758" w:rsidR="005A344A" w:rsidRDefault="005A344A" w:rsidP="003006A8">
      <w:pPr>
        <w:pStyle w:val="BodyText"/>
      </w:pPr>
      <w:r>
        <w:t>This design made use of longitudinal data to estimate the effect of headspace services by comparing the changes in outcomes over time between areas</w:t>
      </w:r>
      <w:r w:rsidR="002246B7">
        <w:t xml:space="preserve"> </w:t>
      </w:r>
      <w:r w:rsidR="00E66D6F">
        <w:t xml:space="preserve">where headspace services are introduced to different PHNs at different points </w:t>
      </w:r>
      <w:r w:rsidR="00B376EA">
        <w:t>in</w:t>
      </w:r>
      <w:r w:rsidR="00E66D6F">
        <w:t xml:space="preserve"> time. </w:t>
      </w:r>
      <w:r w:rsidR="00DE2E7C">
        <w:t xml:space="preserve">Specifically, </w:t>
      </w:r>
      <w:r w:rsidR="00DE566F">
        <w:t>at</w:t>
      </w:r>
      <w:r w:rsidR="00DE2E7C">
        <w:t xml:space="preserve"> each point </w:t>
      </w:r>
      <w:r w:rsidR="00B376EA">
        <w:t>in</w:t>
      </w:r>
      <w:r w:rsidR="00E66D6F">
        <w:t xml:space="preserve"> time</w:t>
      </w:r>
      <w:r w:rsidR="00DE2E7C">
        <w:t xml:space="preserve">, the approach compares outcomes </w:t>
      </w:r>
      <w:r w:rsidR="00506133">
        <w:t xml:space="preserve">between PHNs that had headspace services </w:t>
      </w:r>
      <w:r w:rsidR="00DE566F">
        <w:t>and</w:t>
      </w:r>
      <w:r w:rsidR="00506133">
        <w:t xml:space="preserve"> PHNs with fewer or no services (before experiencing an increase in the number of services)</w:t>
      </w:r>
      <w:r>
        <w:t xml:space="preserve"> </w:t>
      </w:r>
    </w:p>
    <w:p w14:paraId="07D38243" w14:textId="32D0D3B1" w:rsidR="00FD1DC4" w:rsidRPr="00FD1DC4" w:rsidRDefault="005A344A" w:rsidP="00FD1DC4">
      <w:pPr>
        <w:pStyle w:val="BodyText"/>
      </w:pPr>
      <w:r>
        <w:t>To examine how variations in headspace exposure influence area-level outcomes over time,</w:t>
      </w:r>
      <w:r w:rsidR="0063549D">
        <w:t xml:space="preserve"> the</w:t>
      </w:r>
      <w:r>
        <w:t xml:space="preserve"> number of mental-health related hospitalisations</w:t>
      </w:r>
      <w:r w:rsidR="001D6052">
        <w:t xml:space="preserve">, </w:t>
      </w:r>
      <w:r>
        <w:t>intentional self-harm hospitalisations</w:t>
      </w:r>
      <w:r w:rsidR="001D6052">
        <w:t xml:space="preserve">, </w:t>
      </w:r>
      <w:r>
        <w:t>illicit drug and alcohol related hospitalisations</w:t>
      </w:r>
      <w:r w:rsidR="001D6052">
        <w:t xml:space="preserve">, </w:t>
      </w:r>
      <w:r>
        <w:t>deaths from intentional self-harm</w:t>
      </w:r>
      <w:r w:rsidR="001D6052">
        <w:t xml:space="preserve">, </w:t>
      </w:r>
      <w:r>
        <w:t>and Medicare-subsidised mental health specific services among 12 to 25 year olds</w:t>
      </w:r>
      <w:r w:rsidR="0063549D">
        <w:t xml:space="preserve"> were examined</w:t>
      </w:r>
      <w:r>
        <w:t xml:space="preserve">. </w:t>
      </w:r>
      <w:r w:rsidR="000C1F11">
        <w:t>This report hypothesi</w:t>
      </w:r>
      <w:r w:rsidR="00B42717">
        <w:t>s</w:t>
      </w:r>
      <w:r w:rsidR="000C1F11">
        <w:t xml:space="preserve">es that </w:t>
      </w:r>
      <w:r w:rsidR="00762F4F">
        <w:t>i</w:t>
      </w:r>
      <w:r w:rsidR="00AB509A">
        <w:t>ncreasing exposure to headspace services include a reduction in the number of hospitalisations</w:t>
      </w:r>
      <w:r w:rsidR="000417B0">
        <w:t xml:space="preserve"> and deaths from intentional self-harm</w:t>
      </w:r>
      <w:r w:rsidR="001D6047">
        <w:t xml:space="preserve">. </w:t>
      </w:r>
      <w:r w:rsidR="00B376DB">
        <w:t>Further</w:t>
      </w:r>
      <w:r w:rsidR="00C83F76">
        <w:t>more</w:t>
      </w:r>
      <w:r w:rsidR="00B376DB">
        <w:t xml:space="preserve">, </w:t>
      </w:r>
      <w:r w:rsidR="00D12627">
        <w:t>increasing exposure to headspace should destigmati</w:t>
      </w:r>
      <w:r w:rsidR="00455E60">
        <w:t>s</w:t>
      </w:r>
      <w:r w:rsidR="00D17B8E">
        <w:t xml:space="preserve">e </w:t>
      </w:r>
      <w:r w:rsidR="00FA0E2E">
        <w:t xml:space="preserve">the use of mental health services and increase subsequent uses of </w:t>
      </w:r>
      <w:r w:rsidR="00735FCC">
        <w:t xml:space="preserve">mental health services as recorded by the </w:t>
      </w:r>
      <w:r w:rsidR="00612BB7">
        <w:t>MBS</w:t>
      </w:r>
      <w:r w:rsidR="00735FCC">
        <w:t>.</w:t>
      </w:r>
      <w:r w:rsidR="008A4EAF">
        <w:t xml:space="preserve"> </w:t>
      </w:r>
    </w:p>
    <w:p w14:paraId="5F3A522A" w14:textId="3659DD47" w:rsidR="00351CA2" w:rsidRDefault="00E346F4" w:rsidP="005E7292">
      <w:pPr>
        <w:pStyle w:val="BodyText"/>
      </w:pPr>
      <w:r w:rsidRPr="00FF32B2">
        <w:t xml:space="preserve">There is some evidence that </w:t>
      </w:r>
      <w:r w:rsidR="00351CA2">
        <w:t xml:space="preserve">the number of </w:t>
      </w:r>
      <w:r w:rsidRPr="00FF32B2">
        <w:t xml:space="preserve">headspace </w:t>
      </w:r>
      <w:r w:rsidR="00B81994">
        <w:t>service</w:t>
      </w:r>
      <w:r w:rsidR="00351CA2">
        <w:t xml:space="preserve">s </w:t>
      </w:r>
      <w:r w:rsidRPr="00FF32B2">
        <w:t>ha</w:t>
      </w:r>
      <w:r w:rsidR="00351CA2">
        <w:t>d</w:t>
      </w:r>
      <w:r w:rsidRPr="00FF32B2">
        <w:t xml:space="preserve"> a</w:t>
      </w:r>
      <w:r w:rsidR="00F46480">
        <w:t xml:space="preserve"> positive </w:t>
      </w:r>
      <w:r w:rsidRPr="00FF32B2">
        <w:t xml:space="preserve">effect on some outcomes </w:t>
      </w:r>
      <w:r w:rsidR="0017057F">
        <w:t>such as reducing substance abuse hospitalisations</w:t>
      </w:r>
      <w:r w:rsidR="00ED781D">
        <w:t xml:space="preserve"> and the number of self-harm hospitalisations</w:t>
      </w:r>
      <w:r w:rsidR="00351CA2">
        <w:t xml:space="preserve">. However, these impacts are not consistent when using </w:t>
      </w:r>
      <w:r w:rsidR="00C7239E">
        <w:t>alternative</w:t>
      </w:r>
      <w:r w:rsidR="00351CA2">
        <w:t xml:space="preserve"> variables to measure the headspace treatment effect such as the number of headspace clients per 1,000 12</w:t>
      </w:r>
      <w:r w:rsidR="007E76A0">
        <w:t xml:space="preserve"> to </w:t>
      </w:r>
      <w:r w:rsidR="00351CA2">
        <w:t>25</w:t>
      </w:r>
      <w:r w:rsidR="00A469C7">
        <w:t> </w:t>
      </w:r>
      <w:r w:rsidR="00351CA2">
        <w:t>year olds and the ratio of MBS</w:t>
      </w:r>
      <w:r w:rsidR="009C1F0E">
        <w:t xml:space="preserve"> </w:t>
      </w:r>
      <w:r w:rsidR="00351CA2">
        <w:t>funded headspace mental</w:t>
      </w:r>
      <w:r w:rsidR="009C1F0E">
        <w:t xml:space="preserve"> </w:t>
      </w:r>
      <w:r w:rsidR="00351CA2">
        <w:t>health services to MBS</w:t>
      </w:r>
      <w:r w:rsidR="009C1F0E">
        <w:t xml:space="preserve"> </w:t>
      </w:r>
      <w:r w:rsidR="00351CA2">
        <w:t>funded mental</w:t>
      </w:r>
      <w:r w:rsidR="009C1F0E">
        <w:t xml:space="preserve"> </w:t>
      </w:r>
      <w:r w:rsidR="00351CA2">
        <w:t>health services external to headspace.</w:t>
      </w:r>
    </w:p>
    <w:p w14:paraId="5CB9F102" w14:textId="16778308" w:rsidR="007B582D" w:rsidRDefault="00497BD5" w:rsidP="005E7292">
      <w:pPr>
        <w:pStyle w:val="BodyText"/>
        <w:rPr>
          <w:b/>
          <w:bCs/>
        </w:rPr>
      </w:pPr>
      <w:r>
        <w:rPr>
          <w:b/>
          <w:bCs/>
        </w:rPr>
        <w:t>Y</w:t>
      </w:r>
      <w:r w:rsidR="00F65992" w:rsidRPr="00F65992">
        <w:rPr>
          <w:b/>
          <w:bCs/>
        </w:rPr>
        <w:t xml:space="preserve">oung people benefit from more engagement and treatment through the headspace model, which is associated with greater improvements in mental health and wellbeing. </w:t>
      </w:r>
      <w:r w:rsidR="00F65992">
        <w:rPr>
          <w:b/>
          <w:bCs/>
        </w:rPr>
        <w:t>Y</w:t>
      </w:r>
      <w:r w:rsidR="00AD059F" w:rsidRPr="00B12EFD">
        <w:rPr>
          <w:b/>
          <w:bCs/>
        </w:rPr>
        <w:t xml:space="preserve">oung people who present with high levels of mental distress and who go on to access </w:t>
      </w:r>
      <w:r w:rsidR="004829ED">
        <w:rPr>
          <w:b/>
          <w:bCs/>
        </w:rPr>
        <w:t>at least six to eight</w:t>
      </w:r>
      <w:r w:rsidR="00AD059F" w:rsidRPr="00B12EFD">
        <w:rPr>
          <w:b/>
          <w:bCs/>
        </w:rPr>
        <w:t xml:space="preserve"> sessions achieve the greatest improvement in outcomes</w:t>
      </w:r>
      <w:r w:rsidR="00740C64">
        <w:rPr>
          <w:b/>
          <w:bCs/>
        </w:rPr>
        <w:t xml:space="preserve">. </w:t>
      </w:r>
      <w:r w:rsidR="006354F3">
        <w:rPr>
          <w:b/>
          <w:bCs/>
        </w:rPr>
        <w:t xml:space="preserve">Clinically significant improvement is achieved for a smaller proportion of young people. </w:t>
      </w:r>
    </w:p>
    <w:p w14:paraId="4A66A615" w14:textId="77777777" w:rsidR="007B582D" w:rsidRDefault="00740C64" w:rsidP="005E7292">
      <w:pPr>
        <w:pStyle w:val="BodyText"/>
        <w:rPr>
          <w:b/>
          <w:bCs/>
        </w:rPr>
      </w:pPr>
      <w:r>
        <w:rPr>
          <w:b/>
          <w:bCs/>
        </w:rPr>
        <w:t>W</w:t>
      </w:r>
      <w:r w:rsidR="008545AF" w:rsidRPr="00B12EFD">
        <w:rPr>
          <w:b/>
          <w:bCs/>
        </w:rPr>
        <w:t xml:space="preserve">hile the model is associated with positive outcomes for young people, </w:t>
      </w:r>
      <w:r w:rsidR="00E12576" w:rsidRPr="00B12EFD">
        <w:rPr>
          <w:b/>
          <w:bCs/>
        </w:rPr>
        <w:t xml:space="preserve">these vary for </w:t>
      </w:r>
      <w:r w:rsidR="00453803" w:rsidRPr="00B12EFD">
        <w:rPr>
          <w:b/>
          <w:bCs/>
        </w:rPr>
        <w:t xml:space="preserve">LGBTQIA+ and Aboriginal and Torres Strait Islander young people. </w:t>
      </w:r>
    </w:p>
    <w:p w14:paraId="74F3F37D" w14:textId="2140CC80" w:rsidR="008545AF" w:rsidRPr="00B12EFD" w:rsidRDefault="00B30813" w:rsidP="005E7292">
      <w:pPr>
        <w:pStyle w:val="BodyText"/>
        <w:rPr>
          <w:b/>
          <w:bCs/>
        </w:rPr>
      </w:pPr>
      <w:r w:rsidRPr="00B12EFD">
        <w:rPr>
          <w:b/>
          <w:bCs/>
        </w:rPr>
        <w:t>Analysis to explore longer</w:t>
      </w:r>
      <w:r w:rsidR="00ED7AA4">
        <w:rPr>
          <w:b/>
          <w:bCs/>
        </w:rPr>
        <w:t>-</w:t>
      </w:r>
      <w:r w:rsidRPr="00B12EFD">
        <w:rPr>
          <w:b/>
          <w:bCs/>
        </w:rPr>
        <w:t xml:space="preserve">term impacts using current data through an </w:t>
      </w:r>
      <w:r w:rsidR="00F56055">
        <w:rPr>
          <w:b/>
          <w:bCs/>
        </w:rPr>
        <w:t>area-level</w:t>
      </w:r>
      <w:r w:rsidRPr="00B12EFD">
        <w:rPr>
          <w:b/>
          <w:bCs/>
        </w:rPr>
        <w:t xml:space="preserve"> analysis </w:t>
      </w:r>
      <w:r w:rsidR="00F87E2A" w:rsidRPr="00B12EFD">
        <w:rPr>
          <w:b/>
          <w:bCs/>
        </w:rPr>
        <w:t xml:space="preserve">failed to identify any reliable effects </w:t>
      </w:r>
      <w:r w:rsidR="002321B5" w:rsidRPr="00B12EFD">
        <w:rPr>
          <w:b/>
          <w:bCs/>
        </w:rPr>
        <w:t>where access to</w:t>
      </w:r>
      <w:r w:rsidR="000B057B" w:rsidRPr="00B12EFD">
        <w:rPr>
          <w:b/>
          <w:bCs/>
        </w:rPr>
        <w:t xml:space="preserve"> services through</w:t>
      </w:r>
      <w:r w:rsidR="002321B5" w:rsidRPr="00B12EFD">
        <w:rPr>
          <w:b/>
          <w:bCs/>
        </w:rPr>
        <w:t xml:space="preserve"> </w:t>
      </w:r>
      <w:r w:rsidR="000B057B" w:rsidRPr="00B12EFD">
        <w:rPr>
          <w:b/>
          <w:bCs/>
        </w:rPr>
        <w:t xml:space="preserve">the </w:t>
      </w:r>
      <w:r w:rsidR="002321B5" w:rsidRPr="00B12EFD">
        <w:rPr>
          <w:b/>
          <w:bCs/>
        </w:rPr>
        <w:t>headspace</w:t>
      </w:r>
      <w:r w:rsidR="000B057B" w:rsidRPr="00B12EFD">
        <w:rPr>
          <w:b/>
          <w:bCs/>
        </w:rPr>
        <w:t xml:space="preserve"> model</w:t>
      </w:r>
      <w:r w:rsidR="002321B5" w:rsidRPr="00B12EFD">
        <w:rPr>
          <w:b/>
          <w:bCs/>
        </w:rPr>
        <w:t xml:space="preserve"> leads to improvements in hospitalisation </w:t>
      </w:r>
      <w:r w:rsidR="0083027F" w:rsidRPr="00B12EFD">
        <w:rPr>
          <w:b/>
          <w:bCs/>
        </w:rPr>
        <w:t>rates.</w:t>
      </w:r>
      <w:r w:rsidR="00545B71" w:rsidRPr="00B12EFD">
        <w:rPr>
          <w:b/>
          <w:bCs/>
        </w:rPr>
        <w:t xml:space="preserve"> </w:t>
      </w:r>
    </w:p>
    <w:p w14:paraId="64CF45F9" w14:textId="6D14BA2A" w:rsidR="00785F46" w:rsidRDefault="00785F46" w:rsidP="00785F46">
      <w:pPr>
        <w:pStyle w:val="Heading4"/>
      </w:pPr>
      <w:r>
        <w:t xml:space="preserve">Improving </w:t>
      </w:r>
      <w:r w:rsidR="005513AE">
        <w:t>psychosocial</w:t>
      </w:r>
      <w:r>
        <w:t xml:space="preserve"> outcomes through providing alternative service delivery models</w:t>
      </w:r>
    </w:p>
    <w:p w14:paraId="3470ECD2" w14:textId="785094FE" w:rsidR="00CB0A23" w:rsidRDefault="00CB0A23" w:rsidP="000244E4">
      <w:pPr>
        <w:pStyle w:val="BodyText"/>
      </w:pPr>
      <w:r>
        <w:t xml:space="preserve">As outlined in Section </w:t>
      </w:r>
      <w:r w:rsidR="008921B8">
        <w:fldChar w:fldCharType="begin" w:fldLock="1"/>
      </w:r>
      <w:r w:rsidR="008921B8">
        <w:instrText xml:space="preserve"> REF _Ref98322131 \w \h </w:instrText>
      </w:r>
      <w:r w:rsidR="008921B8">
        <w:fldChar w:fldCharType="separate"/>
      </w:r>
      <w:r w:rsidR="00AE4D34">
        <w:t>2.3.4</w:t>
      </w:r>
      <w:r w:rsidR="008921B8">
        <w:fldChar w:fldCharType="end"/>
      </w:r>
      <w:r>
        <w:t xml:space="preserve"> above, there are a range of different headspace service</w:t>
      </w:r>
      <w:r w:rsidR="00734E77">
        <w:t xml:space="preserve"> types </w:t>
      </w:r>
      <w:r>
        <w:t xml:space="preserve">now present within communities across Australia, and increasing emphasis is being placed on diversifying the headspace model by the Commonwealth Government. Additional satellite services have been funded to support young people in smaller communities surrounding </w:t>
      </w:r>
      <w:r w:rsidR="006817F2">
        <w:t>headspace</w:t>
      </w:r>
      <w:r>
        <w:t xml:space="preserve"> </w:t>
      </w:r>
      <w:r w:rsidR="00047E98">
        <w:t>service</w:t>
      </w:r>
      <w:r>
        <w:t>s to offer them face</w:t>
      </w:r>
      <w:r w:rsidR="008921B8">
        <w:noBreakHyphen/>
      </w:r>
      <w:r>
        <w:t xml:space="preserve">to-face services </w:t>
      </w:r>
      <w:r w:rsidR="001A16BF">
        <w:t>of</w:t>
      </w:r>
      <w:r>
        <w:t xml:space="preserve"> mental health and counselling support. </w:t>
      </w:r>
    </w:p>
    <w:p w14:paraId="6B3A09EE" w14:textId="5447D0C0" w:rsidR="00CB0A23" w:rsidRDefault="00CB0A23" w:rsidP="000244E4">
      <w:pPr>
        <w:pStyle w:val="BodyText"/>
      </w:pPr>
      <w:r>
        <w:t xml:space="preserve">As intended, the types of services delivered by these alternative models differs to those offered by headspace centres. The predominant focus of supports is on mental health and counselling, with only two of the three other core services required to be provided by a satellite </w:t>
      </w:r>
      <w:r w:rsidR="006817F2">
        <w:t>service</w:t>
      </w:r>
      <w:r>
        <w:t xml:space="preserve">, either directly by staff, or through linkages with local providers of those supports. </w:t>
      </w:r>
    </w:p>
    <w:p w14:paraId="2C9BE0E7" w14:textId="1847DE0A" w:rsidR="00CB0A23" w:rsidRDefault="00CB0A23" w:rsidP="000244E4">
      <w:pPr>
        <w:pStyle w:val="BodyText"/>
      </w:pPr>
      <w:r>
        <w:t xml:space="preserve">As explored in Appendix </w:t>
      </w:r>
      <w:r w:rsidR="0041539B">
        <w:fldChar w:fldCharType="begin" w:fldLock="1"/>
      </w:r>
      <w:r w:rsidR="0041539B">
        <w:instrText xml:space="preserve"> REF _Ref98326475 \w \h </w:instrText>
      </w:r>
      <w:r w:rsidR="0041539B">
        <w:fldChar w:fldCharType="separate"/>
      </w:r>
      <w:r w:rsidR="00AE4D34">
        <w:t>E.9</w:t>
      </w:r>
      <w:r w:rsidR="0041539B">
        <w:fldChar w:fldCharType="end"/>
      </w:r>
      <w:r>
        <w:t xml:space="preserve">, </w:t>
      </w:r>
      <w:r w:rsidR="001A16BF">
        <w:t>t</w:t>
      </w:r>
      <w:r>
        <w:t>here are mixed views from across stakeholders involved in delivering, or working with</w:t>
      </w:r>
      <w:r w:rsidR="001A16BF">
        <w:t>,</w:t>
      </w:r>
      <w:r>
        <w:t xml:space="preserve"> headspace services as to the impact of satellite </w:t>
      </w:r>
      <w:r w:rsidR="006817F2">
        <w:t>service</w:t>
      </w:r>
      <w:r>
        <w:t xml:space="preserve">s. As outlined in this report, there is significant positive regard for headspace services, and communities and stakeholders view any headspace service as a positive addition to achieving core objectives. </w:t>
      </w:r>
    </w:p>
    <w:p w14:paraId="730FD80E" w14:textId="58470CD9" w:rsidR="00CB0A23" w:rsidRDefault="00CB0A23" w:rsidP="00CB0A23">
      <w:pPr>
        <w:pStyle w:val="BodyText"/>
      </w:pPr>
      <w:r>
        <w:t xml:space="preserve">Stakeholders consulted from within satellite services or parent centres were of the view that the work they were undertaking through the headspace model made an important contribution to their communities. However, these stakeholders also indicated that the level of need in their local community warranted a </w:t>
      </w:r>
      <w:r w:rsidR="002D1ADD">
        <w:t>headspace</w:t>
      </w:r>
      <w:r>
        <w:t xml:space="preserve"> centre, and that being able to implement the full headspace model would make the most difference for young people locally.</w:t>
      </w:r>
      <w:r w:rsidRPr="00C06C4B">
        <w:t xml:space="preserve"> </w:t>
      </w:r>
      <w:r>
        <w:t xml:space="preserve">Similarly, PHNs as commissioners of services, indicated a preference for </w:t>
      </w:r>
      <w:r w:rsidR="006817F2">
        <w:t>headspace</w:t>
      </w:r>
      <w:r>
        <w:t xml:space="preserve"> centres to better meet the needs of local young people through the holistic headspace model.</w:t>
      </w:r>
    </w:p>
    <w:p w14:paraId="41E07EA2" w14:textId="6F5F5CF6" w:rsidR="00CB0A23" w:rsidRDefault="00CB0A23" w:rsidP="000244E4">
      <w:pPr>
        <w:pStyle w:val="BodyText"/>
      </w:pPr>
      <w:r>
        <w:t xml:space="preserve">In terms of barriers and enablers to achieving effective outcomes, survey responses from staff in satellite and outreach services did not differ from </w:t>
      </w:r>
      <w:r w:rsidR="006817F2">
        <w:t>headspace</w:t>
      </w:r>
      <w:r>
        <w:t xml:space="preserve"> centres</w:t>
      </w:r>
      <w:r w:rsidR="001A16BF">
        <w:t>,</w:t>
      </w:r>
      <w:r>
        <w:t xml:space="preserve"> </w:t>
      </w:r>
      <w:r w:rsidR="001A16BF">
        <w:t xml:space="preserve">nor </w:t>
      </w:r>
      <w:r>
        <w:t xml:space="preserve">did they vary in how well these services feel able to support headspace’s objectives. Respondents from across service types indicated similar challenges </w:t>
      </w:r>
      <w:r w:rsidR="001A16BF">
        <w:t>in</w:t>
      </w:r>
      <w:r>
        <w:t xml:space="preserve"> recruiting appropriate staff, managing wait times for young people, and challenges with perceived complexity of presenting need.</w:t>
      </w:r>
    </w:p>
    <w:p w14:paraId="175222BA" w14:textId="73521C4C" w:rsidR="00C6176C" w:rsidRDefault="00CB0A23" w:rsidP="000A2C74">
      <w:pPr>
        <w:pStyle w:val="BodyText"/>
      </w:pPr>
      <w:r>
        <w:t>With respect to clinical outcomes, only a small number (less than five) of alternative models were able to be analysed in line with criteria established for this analysis. Services were typically excluded from analysis if they had not been open long enough to move past their establishment phase</w:t>
      </w:r>
      <w:r w:rsidR="00F8396B">
        <w:t>, that is they had not yet been operating for at least 12 months</w:t>
      </w:r>
      <w:r>
        <w:t xml:space="preserve">. </w:t>
      </w:r>
    </w:p>
    <w:p w14:paraId="464011F4" w14:textId="6898042D" w:rsidR="00762F4F" w:rsidRDefault="000A2C74" w:rsidP="00762F4F">
      <w:pPr>
        <w:pStyle w:val="BodyText"/>
      </w:pPr>
      <w:r>
        <w:t xml:space="preserve">When comparing results for </w:t>
      </w:r>
      <w:r w:rsidR="006817F2">
        <w:t>headspace</w:t>
      </w:r>
      <w:r>
        <w:t xml:space="preserve"> centres versus </w:t>
      </w:r>
      <w:r w:rsidRPr="00F8358D">
        <w:t>satellites</w:t>
      </w:r>
      <w:r>
        <w:t xml:space="preserve">, centres have statistically significantly higher </w:t>
      </w:r>
      <w:r w:rsidR="00BC2331">
        <w:t xml:space="preserve">average </w:t>
      </w:r>
      <w:r>
        <w:t>MLT improvements than their satellite counterparts. MLT improvements were four points higher</w:t>
      </w:r>
      <w:r w:rsidR="00BC2331">
        <w:t xml:space="preserve"> </w:t>
      </w:r>
      <w:r>
        <w:t>among centres than satellites.</w:t>
      </w:r>
      <w:r w:rsidR="00B90034">
        <w:t xml:space="preserve"> However, there were </w:t>
      </w:r>
      <w:r w:rsidR="00FD3E6C">
        <w:t xml:space="preserve">limited differences between outcomes for young people based on the K10 and SOFAS outcome measures. The more detailed analysis of these outcomes is contained in Appendix </w:t>
      </w:r>
      <w:r w:rsidR="00FD3E6C">
        <w:fldChar w:fldCharType="begin" w:fldLock="1"/>
      </w:r>
      <w:r w:rsidR="00FD3E6C">
        <w:instrText xml:space="preserve"> REF _Ref98326486 \w \h </w:instrText>
      </w:r>
      <w:r w:rsidR="00FD3E6C">
        <w:fldChar w:fldCharType="separate"/>
      </w:r>
      <w:r w:rsidR="00AE4D34">
        <w:t>E.6</w:t>
      </w:r>
      <w:r w:rsidR="00FD3E6C">
        <w:fldChar w:fldCharType="end"/>
      </w:r>
      <w:r w:rsidR="00FD3E6C">
        <w:t>.</w:t>
      </w:r>
      <w:r w:rsidR="001C6AF1">
        <w:t xml:space="preserve"> </w:t>
      </w:r>
      <w:r w:rsidR="00762F4F">
        <w:t>This analysis is</w:t>
      </w:r>
      <w:r w:rsidR="00E60434">
        <w:t xml:space="preserve"> </w:t>
      </w:r>
      <w:r w:rsidR="00762F4F">
        <w:t>supplemented the</w:t>
      </w:r>
      <w:r w:rsidR="00762F4F" w:rsidRPr="0040136B">
        <w:t xml:space="preserve"> </w:t>
      </w:r>
      <w:r w:rsidR="00762F4F">
        <w:t>hMDS</w:t>
      </w:r>
      <w:r w:rsidR="00762F4F" w:rsidRPr="0040136B">
        <w:t xml:space="preserve"> data </w:t>
      </w:r>
      <w:r w:rsidR="00762F4F">
        <w:t>with longitudinal area-level data from the AIHW and Services Australia. This is done to compare outcomes over time for PHNs with few or no headspace services, to PHNs that have experienced a growth in headspace services.</w:t>
      </w:r>
      <w:r w:rsidR="00F13D0C">
        <w:t xml:space="preserve"> </w:t>
      </w:r>
      <w:r w:rsidR="00F13D0C" w:rsidRPr="00F13D0C">
        <w:t>Analysis of longer</w:t>
      </w:r>
      <w:r w:rsidR="00ED7AA4">
        <w:t>-</w:t>
      </w:r>
      <w:r w:rsidR="00F13D0C" w:rsidRPr="00F13D0C">
        <w:t>term impacts failed to identify any conclusive and consistent effects where access to services through the headspace model leads to improvements in hospitalisation rates. There is some evidence that headspace has a positive effect on some outcomes such as reducing substance abuse hospitalisations and the number of self-harm hospitalisations but the impacts are typically lagged and/or inconsistent over time and different measures of headspace exposure.</w:t>
      </w:r>
      <w:r w:rsidR="007E71C4">
        <w:t xml:space="preserve"> Further details of the area-level analysis are available under </w:t>
      </w:r>
      <w:r w:rsidR="008118A5">
        <w:t xml:space="preserve">appendix </w:t>
      </w:r>
      <w:r w:rsidR="008118A5">
        <w:fldChar w:fldCharType="begin" w:fldLock="1"/>
      </w:r>
      <w:r w:rsidR="008118A5">
        <w:instrText xml:space="preserve"> REF _Ref98255015 \r \h </w:instrText>
      </w:r>
      <w:r w:rsidR="008118A5">
        <w:fldChar w:fldCharType="separate"/>
      </w:r>
      <w:r w:rsidR="008118A5">
        <w:t>E.8</w:t>
      </w:r>
      <w:r w:rsidR="008118A5">
        <w:fldChar w:fldCharType="end"/>
      </w:r>
      <w:r w:rsidR="008118A5">
        <w:t>.</w:t>
      </w:r>
    </w:p>
    <w:p w14:paraId="702902F0" w14:textId="137FB088" w:rsidR="00CB0A23" w:rsidRDefault="00CB0A23" w:rsidP="00CB0A23">
      <w:pPr>
        <w:pStyle w:val="BodyText"/>
        <w:rPr>
          <w:iCs/>
        </w:rPr>
      </w:pPr>
      <w:r w:rsidRPr="001C241B">
        <w:rPr>
          <w:iCs/>
        </w:rPr>
        <w:t xml:space="preserve">However, it should be noted that the number </w:t>
      </w:r>
      <w:r>
        <w:rPr>
          <w:iCs/>
        </w:rPr>
        <w:t xml:space="preserve">and scale </w:t>
      </w:r>
      <w:r w:rsidRPr="001C241B">
        <w:rPr>
          <w:iCs/>
        </w:rPr>
        <w:t xml:space="preserve">of satellite services that were able to be analysed </w:t>
      </w:r>
      <w:r>
        <w:rPr>
          <w:iCs/>
        </w:rPr>
        <w:t xml:space="preserve">within the data period for </w:t>
      </w:r>
      <w:r w:rsidRPr="001C241B">
        <w:rPr>
          <w:iCs/>
        </w:rPr>
        <w:t>this evaluation</w:t>
      </w:r>
      <w:r>
        <w:rPr>
          <w:iCs/>
        </w:rPr>
        <w:t xml:space="preserve"> </w:t>
      </w:r>
      <w:r w:rsidRPr="001C241B">
        <w:rPr>
          <w:iCs/>
        </w:rPr>
        <w:t xml:space="preserve">was limited. A number of satellite services have since opened, but were unable to be evaluated at this time, due to their short time in operation. Further evaluation of any differences in outcomes for young people accessing headspace satellites and other models </w:t>
      </w:r>
      <w:r w:rsidRPr="00085BA1">
        <w:rPr>
          <w:iCs/>
        </w:rPr>
        <w:t>should be undertaken once more services have reached full establishment</w:t>
      </w:r>
      <w:r w:rsidR="00F8396B">
        <w:rPr>
          <w:iCs/>
        </w:rPr>
        <w:t>, that is at least 12 months after they have commenced operations</w:t>
      </w:r>
      <w:r w:rsidRPr="00085BA1">
        <w:rPr>
          <w:iCs/>
        </w:rPr>
        <w:t xml:space="preserve">. </w:t>
      </w:r>
    </w:p>
    <w:p w14:paraId="24A414B2" w14:textId="50A6FDA8" w:rsidR="0036725B" w:rsidRPr="0036725B" w:rsidRDefault="0036725B" w:rsidP="0036725B">
      <w:pPr>
        <w:pStyle w:val="BodyText"/>
        <w:rPr>
          <w:b/>
          <w:bCs/>
        </w:rPr>
      </w:pPr>
      <w:r w:rsidRPr="0036725B">
        <w:rPr>
          <w:b/>
          <w:bCs/>
        </w:rPr>
        <w:t>The expansion of headspace services into new communities assists headspace to meet its objectives by supporting a greater number of young people. However, there is recognition amongst stakeholders that headspace centres are preferred over satellite services. The small sample size makes it difficult to either affirm or disconfirm if clinical outcomes for young people support this position.</w:t>
      </w:r>
    </w:p>
    <w:p w14:paraId="2E0D486C" w14:textId="36488D57" w:rsidR="00AF547A" w:rsidRPr="004F74F0" w:rsidRDefault="004F74F0" w:rsidP="004F74F0">
      <w:pPr>
        <w:pStyle w:val="Heading4"/>
        <w:rPr>
          <w:rStyle w:val="IntenseEmphasis"/>
          <w:i w:val="0"/>
          <w:iCs/>
          <w:color w:val="00338D" w:themeColor="background2"/>
          <w:sz w:val="24"/>
        </w:rPr>
      </w:pPr>
      <w:r w:rsidRPr="004F74F0">
        <w:rPr>
          <w:rStyle w:val="IntenseEmphasis"/>
          <w:i w:val="0"/>
          <w:iCs/>
          <w:color w:val="00338D" w:themeColor="background2"/>
          <w:sz w:val="24"/>
        </w:rPr>
        <w:t xml:space="preserve">Improving </w:t>
      </w:r>
      <w:r w:rsidR="005513AE">
        <w:rPr>
          <w:rStyle w:val="IntenseEmphasis"/>
          <w:i w:val="0"/>
          <w:iCs/>
          <w:color w:val="00338D" w:themeColor="background2"/>
          <w:sz w:val="24"/>
        </w:rPr>
        <w:t>psychosocial</w:t>
      </w:r>
      <w:r w:rsidRPr="004F74F0">
        <w:rPr>
          <w:rStyle w:val="IntenseEmphasis"/>
          <w:i w:val="0"/>
          <w:iCs/>
          <w:color w:val="00338D" w:themeColor="background2"/>
          <w:sz w:val="24"/>
        </w:rPr>
        <w:t xml:space="preserve"> outcomes – in conclusion</w:t>
      </w:r>
    </w:p>
    <w:p w14:paraId="48D519FB" w14:textId="01C1DC68" w:rsidR="00097882" w:rsidRDefault="00857D33" w:rsidP="00B16CBA">
      <w:pPr>
        <w:pStyle w:val="BodyText"/>
      </w:pPr>
      <w:r w:rsidRPr="00093CF4">
        <w:t>Clinical outcomes associated with headspace are positive, and sustained in the short</w:t>
      </w:r>
      <w:r w:rsidR="00A71D51">
        <w:t>-</w:t>
      </w:r>
      <w:r w:rsidRPr="00093CF4">
        <w:t xml:space="preserve"> to medium</w:t>
      </w:r>
      <w:r w:rsidR="00A71D51">
        <w:t>-</w:t>
      </w:r>
      <w:r w:rsidRPr="00093CF4">
        <w:t xml:space="preserve">term. </w:t>
      </w:r>
      <w:r w:rsidR="004D1E3F">
        <w:t xml:space="preserve">Detailed statistical analysis </w:t>
      </w:r>
      <w:r w:rsidR="00683AEC">
        <w:t>conducted on the clinical measures incorporated within the headspace model provide evidence that</w:t>
      </w:r>
      <w:r w:rsidR="001B44F7">
        <w:t>,</w:t>
      </w:r>
      <w:r w:rsidR="00683AEC">
        <w:t xml:space="preserve"> o</w:t>
      </w:r>
      <w:r w:rsidR="00B16CBA" w:rsidRPr="0040136B">
        <w:t xml:space="preserve">verall, young people benefit from more engagement and treatment through the headspace model, which is associated with greater improvements in mental health and wellbeing. </w:t>
      </w:r>
      <w:r w:rsidR="00856A57" w:rsidRPr="00093CF4">
        <w:t xml:space="preserve">For young people who access </w:t>
      </w:r>
      <w:r w:rsidR="00856A57">
        <w:t>six</w:t>
      </w:r>
      <w:r w:rsidR="00856A57" w:rsidRPr="00093CF4">
        <w:t xml:space="preserve"> </w:t>
      </w:r>
      <w:r w:rsidR="007B2863">
        <w:t>OOS</w:t>
      </w:r>
      <w:r w:rsidR="00856A57" w:rsidRPr="00093CF4">
        <w:t xml:space="preserve"> or more, headspace is associated with similar improvements in mental health and wellbeing as comparable psychotherapy treatments.</w:t>
      </w:r>
    </w:p>
    <w:p w14:paraId="368522DD" w14:textId="1C7D19AB" w:rsidR="00767AA5" w:rsidRDefault="00683AEC" w:rsidP="00B16CBA">
      <w:pPr>
        <w:pStyle w:val="BodyText"/>
      </w:pPr>
      <w:r>
        <w:t>Furthermore, y</w:t>
      </w:r>
      <w:r w:rsidR="00B16CBA" w:rsidRPr="0040136B">
        <w:t xml:space="preserve">oung people who present with high levels of mental distress and who go on to access </w:t>
      </w:r>
      <w:r w:rsidR="00E75DC6">
        <w:t>at least 6 to 8</w:t>
      </w:r>
      <w:r w:rsidR="00B16CBA" w:rsidRPr="0040136B">
        <w:t xml:space="preserve"> sessions achieve the greatest improvement in outcomes. While the model is associated with positive outcomes for young people</w:t>
      </w:r>
      <w:r>
        <w:t xml:space="preserve"> in general, </w:t>
      </w:r>
      <w:r w:rsidR="00B16CBA" w:rsidRPr="0040136B">
        <w:t xml:space="preserve">these </w:t>
      </w:r>
      <w:r w:rsidR="00767AA5">
        <w:t xml:space="preserve">are not as strong </w:t>
      </w:r>
      <w:r w:rsidR="00B16CBA" w:rsidRPr="0040136B">
        <w:t xml:space="preserve">for LGBTQIA+ and Aboriginal and Torres Strait Islander young people. </w:t>
      </w:r>
    </w:p>
    <w:p w14:paraId="2CA4F86B" w14:textId="57AC115D" w:rsidR="00B16CBA" w:rsidRDefault="00856A57" w:rsidP="00B16CBA">
      <w:pPr>
        <w:pStyle w:val="BodyText"/>
      </w:pPr>
      <w:r w:rsidRPr="00093CF4">
        <w:t xml:space="preserve">There is a consistency of results across </w:t>
      </w:r>
      <w:r w:rsidR="008F12A6">
        <w:t>services</w:t>
      </w:r>
      <w:r w:rsidRPr="00093CF4">
        <w:t>, however it is difficult to see the impact of headspace on longer</w:t>
      </w:r>
      <w:r w:rsidR="00ED7AA4">
        <w:t>-</w:t>
      </w:r>
      <w:r w:rsidRPr="00093CF4">
        <w:t xml:space="preserve">term outcomes in the data, including using </w:t>
      </w:r>
      <w:r w:rsidR="00F56055">
        <w:t>area-level</w:t>
      </w:r>
      <w:r w:rsidRPr="00093CF4">
        <w:t xml:space="preserve"> methods which are designed to reliably detect changes in population level indicators.</w:t>
      </w:r>
      <w:r w:rsidR="00214F59">
        <w:t xml:space="preserve"> </w:t>
      </w:r>
      <w:r w:rsidR="00A639AE">
        <w:t xml:space="preserve">As discussed in </w:t>
      </w:r>
      <w:r w:rsidR="001B44F7">
        <w:t>S</w:t>
      </w:r>
      <w:r w:rsidR="00D67529">
        <w:t xml:space="preserve">ection </w:t>
      </w:r>
      <w:r w:rsidR="001B44F7">
        <w:fldChar w:fldCharType="begin" w:fldLock="1"/>
      </w:r>
      <w:r w:rsidR="001B44F7">
        <w:instrText xml:space="preserve"> REF _Ref98329904 \w \h </w:instrText>
      </w:r>
      <w:r w:rsidR="001B44F7">
        <w:fldChar w:fldCharType="separate"/>
      </w:r>
      <w:r w:rsidR="00AE4D34">
        <w:t>3.1</w:t>
      </w:r>
      <w:r w:rsidR="001B44F7">
        <w:fldChar w:fldCharType="end"/>
      </w:r>
      <w:r w:rsidR="00D67529">
        <w:t xml:space="preserve"> above, </w:t>
      </w:r>
      <w:r w:rsidR="001B1226">
        <w:t>longer</w:t>
      </w:r>
      <w:r w:rsidR="001B44F7">
        <w:t>-</w:t>
      </w:r>
      <w:r w:rsidR="001B1226">
        <w:t xml:space="preserve">term outcomes are not measured through the model. </w:t>
      </w:r>
      <w:r w:rsidR="00A639AE">
        <w:t>Further a</w:t>
      </w:r>
      <w:r w:rsidR="00B16CBA" w:rsidRPr="0040136B">
        <w:t>nalysis to explore longer</w:t>
      </w:r>
      <w:r w:rsidR="001B44F7">
        <w:t>-</w:t>
      </w:r>
      <w:r w:rsidR="00B16CBA" w:rsidRPr="0040136B">
        <w:t xml:space="preserve">term impacts </w:t>
      </w:r>
      <w:r w:rsidR="001B1226">
        <w:t xml:space="preserve">was conducted as part of this evaluation. This analysis </w:t>
      </w:r>
      <w:r w:rsidR="00266D9B">
        <w:t>supplemented the</w:t>
      </w:r>
      <w:r w:rsidR="00266D9B" w:rsidRPr="0040136B">
        <w:t xml:space="preserve"> </w:t>
      </w:r>
      <w:r w:rsidR="001B1226">
        <w:t>hMDS</w:t>
      </w:r>
      <w:r w:rsidR="00B16CBA" w:rsidRPr="0040136B">
        <w:t xml:space="preserve"> data </w:t>
      </w:r>
      <w:r w:rsidR="00266D9B">
        <w:t>with area-level data from the AIHW and Services Australia</w:t>
      </w:r>
      <w:r w:rsidR="001B1226">
        <w:t>, and</w:t>
      </w:r>
      <w:r w:rsidR="00B16CBA" w:rsidRPr="0040136B">
        <w:t xml:space="preserve"> failed to identify any </w:t>
      </w:r>
      <w:r w:rsidR="00512A95">
        <w:t>conclusive and consistent</w:t>
      </w:r>
      <w:r w:rsidR="00512A95" w:rsidRPr="0040136B">
        <w:t xml:space="preserve"> </w:t>
      </w:r>
      <w:r w:rsidR="00B16CBA" w:rsidRPr="0040136B">
        <w:t>effects where access to services through the headspace model leads to improvements in hospitalisation rates.</w:t>
      </w:r>
      <w:r w:rsidR="00E61CB1">
        <w:t xml:space="preserve"> </w:t>
      </w:r>
      <w:r w:rsidR="003A5CB5">
        <w:t>The lack of a consistent impact</w:t>
      </w:r>
      <w:r w:rsidR="008B2A78">
        <w:t>s</w:t>
      </w:r>
      <w:r w:rsidR="003A5CB5">
        <w:t xml:space="preserve"> of headspace on the rate of mental-health related hospital</w:t>
      </w:r>
      <w:r w:rsidR="001B5815">
        <w:t>i</w:t>
      </w:r>
      <w:r w:rsidR="003A5CB5">
        <w:t>s</w:t>
      </w:r>
      <w:r w:rsidR="001B5815">
        <w:t>a</w:t>
      </w:r>
      <w:r w:rsidR="003A5CB5">
        <w:t>tions, substance-abuse hospitalisations, self-harm hospitalisations, deaths from self-harm</w:t>
      </w:r>
      <w:r w:rsidR="00702FBB">
        <w:t>,</w:t>
      </w:r>
      <w:r w:rsidR="008B2A78">
        <w:t xml:space="preserve"> mental health emergency department presentations and </w:t>
      </w:r>
      <w:r w:rsidR="00B24A04">
        <w:t>Medicare</w:t>
      </w:r>
      <w:r w:rsidR="008B2A78">
        <w:t>-subsidised mental health services</w:t>
      </w:r>
      <w:r w:rsidR="00702FBB">
        <w:t xml:space="preserve"> </w:t>
      </w:r>
      <w:r w:rsidR="008B2A78">
        <w:t xml:space="preserve">are important </w:t>
      </w:r>
      <w:r w:rsidR="00AB0E0A">
        <w:t xml:space="preserve">given the </w:t>
      </w:r>
      <w:r w:rsidR="0072093C">
        <w:t xml:space="preserve">broad geographic </w:t>
      </w:r>
      <w:r w:rsidR="00CB1F21">
        <w:t xml:space="preserve">coverage and </w:t>
      </w:r>
      <w:r w:rsidR="00AB0E0A">
        <w:t>value of the investment in the headspace model.</w:t>
      </w:r>
      <w:r w:rsidR="00B16CBA" w:rsidRPr="0040136B">
        <w:t xml:space="preserve"> </w:t>
      </w:r>
    </w:p>
    <w:p w14:paraId="5B070258" w14:textId="4ECDBF30" w:rsidR="0036725B" w:rsidRPr="0040136B" w:rsidRDefault="0036725B" w:rsidP="00B16CBA">
      <w:pPr>
        <w:pStyle w:val="BodyText"/>
      </w:pPr>
      <w:r w:rsidRPr="0036725B">
        <w:t>The expansion of headspace services into new communities assists headspace to meet its objectives by supporting a greater number of young people. However, there is recognition amongst stakeholders that the full headspace model is preferred over satellite services. The small sample size makes it difficult to either affirm or disconfirm if clinical outcomes for young people support this position.</w:t>
      </w:r>
    </w:p>
    <w:p w14:paraId="7A0EF49F" w14:textId="0AB54FA6" w:rsidR="003566F3" w:rsidRPr="0036725B" w:rsidRDefault="00CB3E78" w:rsidP="0040136B">
      <w:pPr>
        <w:pStyle w:val="BodyText"/>
        <w:rPr>
          <w:rStyle w:val="IntenseEmphasis"/>
          <w:i w:val="0"/>
          <w:iCs w:val="0"/>
          <w:color w:val="auto"/>
        </w:rPr>
      </w:pPr>
      <w:r w:rsidRPr="0036725B">
        <w:rPr>
          <w:i/>
          <w:iCs/>
        </w:rPr>
        <w:t>The k</w:t>
      </w:r>
      <w:r w:rsidR="003566F3" w:rsidRPr="0036725B">
        <w:rPr>
          <w:i/>
          <w:iCs/>
        </w:rPr>
        <w:t xml:space="preserve">ey element of the model of relevance to measuring </w:t>
      </w:r>
      <w:r w:rsidR="005513AE" w:rsidRPr="0036725B">
        <w:rPr>
          <w:i/>
          <w:iCs/>
        </w:rPr>
        <w:t>psychosocial</w:t>
      </w:r>
      <w:r w:rsidR="003566F3" w:rsidRPr="0036725B">
        <w:rPr>
          <w:i/>
          <w:iCs/>
        </w:rPr>
        <w:t xml:space="preserve"> outcomes </w:t>
      </w:r>
      <w:r w:rsidRPr="0036725B">
        <w:rPr>
          <w:i/>
          <w:iCs/>
        </w:rPr>
        <w:t>is:</w:t>
      </w:r>
    </w:p>
    <w:p w14:paraId="4FAE3CFF" w14:textId="086A292C" w:rsidR="00CB3E78" w:rsidRPr="0036725B" w:rsidRDefault="009806CD" w:rsidP="0056153D">
      <w:pPr>
        <w:pStyle w:val="Bullet1stlevel"/>
        <w:rPr>
          <w:i/>
          <w:iCs/>
        </w:rPr>
      </w:pPr>
      <w:r w:rsidRPr="0036725B">
        <w:rPr>
          <w:i/>
          <w:iCs/>
        </w:rPr>
        <w:t>Monitoring and evaluation</w:t>
      </w:r>
      <w:r w:rsidR="009452AA" w:rsidRPr="0036725B">
        <w:rPr>
          <w:i/>
          <w:iCs/>
        </w:rPr>
        <w:t>.</w:t>
      </w:r>
    </w:p>
    <w:p w14:paraId="66094059" w14:textId="7BF38BB4" w:rsidR="009806CD" w:rsidRPr="00972995" w:rsidRDefault="009806CD" w:rsidP="000244E4">
      <w:pPr>
        <w:pStyle w:val="BodyText"/>
      </w:pPr>
      <w:r>
        <w:t xml:space="preserve">This element is the focus of potential recommendations to support better understanding of </w:t>
      </w:r>
      <w:r w:rsidR="005513AE">
        <w:t>psychosocial</w:t>
      </w:r>
      <w:r>
        <w:t xml:space="preserve"> outcomes, detailed in </w:t>
      </w:r>
      <w:r w:rsidR="00E40814">
        <w:t>section</w:t>
      </w:r>
      <w:r>
        <w:t xml:space="preserve"> </w:t>
      </w:r>
      <w:r w:rsidR="001B44F7">
        <w:fldChar w:fldCharType="begin" w:fldLock="1"/>
      </w:r>
      <w:r w:rsidR="001B44F7">
        <w:instrText xml:space="preserve"> REF _Ref98329974 \w \h </w:instrText>
      </w:r>
      <w:r w:rsidR="001B44F7">
        <w:fldChar w:fldCharType="separate"/>
      </w:r>
      <w:r w:rsidR="00AE4D34">
        <w:t>5.4</w:t>
      </w:r>
      <w:r w:rsidR="001B44F7">
        <w:fldChar w:fldCharType="end"/>
      </w:r>
      <w:r>
        <w:t>.</w:t>
      </w:r>
    </w:p>
    <w:p w14:paraId="4EF911AE" w14:textId="51FECFDA" w:rsidR="009528A9" w:rsidRDefault="00417894" w:rsidP="00E63151">
      <w:pPr>
        <w:pStyle w:val="Heading2"/>
      </w:pPr>
      <w:bookmarkStart w:id="102" w:name="_Toc108173982"/>
      <w:r>
        <w:t xml:space="preserve">Overall effectiveness of </w:t>
      </w:r>
      <w:r w:rsidR="00395E90">
        <w:t xml:space="preserve">the </w:t>
      </w:r>
      <w:r>
        <w:t xml:space="preserve">headspace </w:t>
      </w:r>
      <w:r w:rsidR="00395E90">
        <w:t>model</w:t>
      </w:r>
      <w:bookmarkEnd w:id="102"/>
    </w:p>
    <w:p w14:paraId="27BAFAB3" w14:textId="48F53423" w:rsidR="005707C0" w:rsidRPr="0036725B" w:rsidRDefault="00145A0B" w:rsidP="003006A8">
      <w:pPr>
        <w:pStyle w:val="BodyText"/>
        <w:rPr>
          <w:iCs/>
        </w:rPr>
      </w:pPr>
      <w:r w:rsidRPr="0036725B">
        <w:t xml:space="preserve">Analysis of extensive </w:t>
      </w:r>
      <w:r w:rsidR="00101357" w:rsidRPr="0036725B">
        <w:t xml:space="preserve">qualitative and quantitative evidence demonstrates that the headspace model is effective in achieving many of its intended outcomes. There is some inconsistency, however, in </w:t>
      </w:r>
      <w:r w:rsidR="00B439A3" w:rsidRPr="0036725B">
        <w:t>o</w:t>
      </w:r>
      <w:r w:rsidR="00101357" w:rsidRPr="0036725B">
        <w:t xml:space="preserve">utcomes </w:t>
      </w:r>
      <w:r w:rsidR="00B439A3" w:rsidRPr="0036725B">
        <w:t xml:space="preserve">for different groups, and </w:t>
      </w:r>
      <w:r w:rsidR="00FB6954" w:rsidRPr="0036725B">
        <w:t xml:space="preserve">across some aspects of the model program logic. </w:t>
      </w:r>
    </w:p>
    <w:p w14:paraId="47074800" w14:textId="252B9294" w:rsidR="00C746AC" w:rsidRPr="0036725B" w:rsidRDefault="00F534D4" w:rsidP="000244E4">
      <w:pPr>
        <w:pStyle w:val="BodyText"/>
      </w:pPr>
      <w:r>
        <w:fldChar w:fldCharType="begin" w:fldLock="1"/>
      </w:r>
      <w:r w:rsidRPr="0036725B">
        <w:instrText xml:space="preserve"> REF _Ref105503929 \h </w:instrText>
      </w:r>
      <w:r w:rsidR="0036725B">
        <w:instrText xml:space="preserve"> \* MERGEFORMAT </w:instrText>
      </w:r>
      <w:r>
        <w:fldChar w:fldCharType="separate"/>
      </w:r>
      <w:r>
        <w:t>Table 14</w:t>
      </w:r>
      <w:r>
        <w:fldChar w:fldCharType="end"/>
      </w:r>
      <w:r w:rsidR="00C746AC" w:rsidRPr="0036725B">
        <w:t xml:space="preserve"> provides a summary of the </w:t>
      </w:r>
      <w:r w:rsidR="0077086B" w:rsidRPr="0036725B">
        <w:t>effectiveness of key elements of the headspace model program log</w:t>
      </w:r>
      <w:r w:rsidR="001E5B90" w:rsidRPr="0036725B">
        <w:t>ic. The most relevant element of the hMIF</w:t>
      </w:r>
      <w:r w:rsidR="00C87D7A" w:rsidRPr="0036725B">
        <w:t xml:space="preserve"> is also identified</w:t>
      </w:r>
      <w:r w:rsidR="00CC18A9" w:rsidRPr="0036725B">
        <w:t xml:space="preserve">. </w:t>
      </w:r>
    </w:p>
    <w:p w14:paraId="6A47DB25" w14:textId="3471CD12" w:rsidR="009508EF" w:rsidRPr="00C746AC" w:rsidRDefault="009508EF" w:rsidP="009508EF">
      <w:pPr>
        <w:pStyle w:val="Caption"/>
        <w:rPr>
          <w:rStyle w:val="IntenseEmphasis"/>
          <w:i/>
          <w:iCs/>
          <w:color w:val="auto"/>
        </w:rPr>
      </w:pPr>
      <w:bookmarkStart w:id="103" w:name="_Ref105503929"/>
      <w:bookmarkStart w:id="104" w:name="_Toc108108964"/>
      <w:r>
        <w:t xml:space="preserve">Table </w:t>
      </w:r>
      <w:r>
        <w:fldChar w:fldCharType="begin"/>
      </w:r>
      <w:r>
        <w:instrText>SEQ Table \* ARABIC</w:instrText>
      </w:r>
      <w:r>
        <w:fldChar w:fldCharType="separate"/>
      </w:r>
      <w:r w:rsidR="00CC0438">
        <w:rPr>
          <w:noProof/>
        </w:rPr>
        <w:t>14</w:t>
      </w:r>
      <w:r>
        <w:fldChar w:fldCharType="end"/>
      </w:r>
      <w:bookmarkEnd w:id="103"/>
      <w:r>
        <w:t xml:space="preserve">: </w:t>
      </w:r>
      <w:r w:rsidR="00B33B87">
        <w:t>Effectiveness findings in summary</w:t>
      </w:r>
      <w:bookmarkEnd w:id="104"/>
    </w:p>
    <w:tbl>
      <w:tblPr>
        <w:tblStyle w:val="TableGrid"/>
        <w:tblW w:w="0" w:type="auto"/>
        <w:tblLook w:val="04A0" w:firstRow="1" w:lastRow="0" w:firstColumn="1" w:lastColumn="0" w:noHBand="0" w:noVBand="1"/>
        <w:tblCaption w:val="Effectiveness findings in summary"/>
        <w:tblDescription w:val="Table 14 has 2 columns outlining summarised findings of the effectiveness of headspace. Column 1 summarises specific elements of the headspace Program Logic. Column 2 summarises findings against each of the 4 program logic elements. "/>
      </w:tblPr>
      <w:tblGrid>
        <w:gridCol w:w="2972"/>
        <w:gridCol w:w="5954"/>
      </w:tblGrid>
      <w:tr w:rsidR="009F03D1" w14:paraId="00DCEEC0" w14:textId="77777777" w:rsidTr="00D072CD">
        <w:trPr>
          <w:tblHeader/>
        </w:trPr>
        <w:tc>
          <w:tcPr>
            <w:tcW w:w="2972" w:type="dxa"/>
            <w:shd w:val="clear" w:color="auto" w:fill="00338D" w:themeFill="background2"/>
          </w:tcPr>
          <w:p w14:paraId="1372102D" w14:textId="2E6F0E38" w:rsidR="009F03D1" w:rsidRPr="008502DC" w:rsidRDefault="009F03D1" w:rsidP="0036725B">
            <w:pPr>
              <w:pStyle w:val="Tableheading"/>
              <w:rPr>
                <w:rStyle w:val="IntenseEmphasis"/>
                <w:b w:val="0"/>
                <w:bCs w:val="0"/>
                <w:i w:val="0"/>
                <w:iCs w:val="0"/>
                <w:color w:val="auto"/>
              </w:rPr>
            </w:pPr>
            <w:r w:rsidRPr="008502DC">
              <w:rPr>
                <w:rStyle w:val="IntenseEmphasis"/>
                <w:i w:val="0"/>
                <w:iCs w:val="0"/>
                <w:color w:val="auto"/>
              </w:rPr>
              <w:t>Program logic element</w:t>
            </w:r>
          </w:p>
        </w:tc>
        <w:tc>
          <w:tcPr>
            <w:tcW w:w="5954" w:type="dxa"/>
            <w:shd w:val="clear" w:color="auto" w:fill="00338D" w:themeFill="background2"/>
          </w:tcPr>
          <w:p w14:paraId="19E345CC" w14:textId="28D19FA6" w:rsidR="009F03D1" w:rsidRPr="008502DC" w:rsidRDefault="009F03D1" w:rsidP="0036725B">
            <w:pPr>
              <w:pStyle w:val="Tableheading"/>
              <w:rPr>
                <w:rStyle w:val="IntenseEmphasis"/>
                <w:b w:val="0"/>
                <w:bCs w:val="0"/>
                <w:i w:val="0"/>
                <w:iCs w:val="0"/>
                <w:color w:val="auto"/>
              </w:rPr>
            </w:pPr>
            <w:r w:rsidRPr="008502DC">
              <w:rPr>
                <w:rStyle w:val="IntenseEmphasis"/>
                <w:i w:val="0"/>
                <w:iCs w:val="0"/>
                <w:color w:val="auto"/>
              </w:rPr>
              <w:t>Effectiveness</w:t>
            </w:r>
            <w:r>
              <w:rPr>
                <w:rStyle w:val="IntenseEmphasis"/>
                <w:i w:val="0"/>
                <w:iCs w:val="0"/>
                <w:color w:val="auto"/>
              </w:rPr>
              <w:t xml:space="preserve"> findings</w:t>
            </w:r>
            <w:r w:rsidRPr="008502DC">
              <w:rPr>
                <w:rStyle w:val="IntenseEmphasis"/>
                <w:i w:val="0"/>
                <w:iCs w:val="0"/>
                <w:color w:val="auto"/>
              </w:rPr>
              <w:t xml:space="preserve"> </w:t>
            </w:r>
            <w:r>
              <w:rPr>
                <w:rStyle w:val="IntenseEmphasis"/>
                <w:i w:val="0"/>
                <w:iCs w:val="0"/>
                <w:color w:val="auto"/>
              </w:rPr>
              <w:t xml:space="preserve">- </w:t>
            </w:r>
            <w:r w:rsidRPr="008502DC">
              <w:rPr>
                <w:rStyle w:val="IntenseEmphasis"/>
                <w:i w:val="0"/>
                <w:iCs w:val="0"/>
                <w:color w:val="auto"/>
              </w:rPr>
              <w:t>in summary</w:t>
            </w:r>
          </w:p>
        </w:tc>
      </w:tr>
      <w:tr w:rsidR="009F03D1" w14:paraId="511DCD5B" w14:textId="77777777" w:rsidTr="00D072CD">
        <w:tc>
          <w:tcPr>
            <w:tcW w:w="2972" w:type="dxa"/>
            <w:vMerge w:val="restart"/>
          </w:tcPr>
          <w:p w14:paraId="67CCDCAF" w14:textId="77777777" w:rsidR="009F03D1" w:rsidRPr="006060BF" w:rsidRDefault="009F03D1" w:rsidP="0036725B">
            <w:pPr>
              <w:pStyle w:val="Tabletext"/>
            </w:pPr>
            <w:r w:rsidRPr="006060BF">
              <w:t>Measuring outcomes of the headspace model</w:t>
            </w:r>
          </w:p>
          <w:p w14:paraId="393B20AF" w14:textId="77777777" w:rsidR="009F03D1" w:rsidRPr="00B52C48" w:rsidRDefault="009F03D1" w:rsidP="0036725B">
            <w:pPr>
              <w:pStyle w:val="Tabletext"/>
              <w:rPr>
                <w:rStyle w:val="IntenseEmphasis"/>
                <w:color w:val="auto"/>
              </w:rPr>
            </w:pPr>
            <w:r w:rsidRPr="00B52C48">
              <w:rPr>
                <w:rStyle w:val="IntenseEmphasis"/>
                <w:color w:val="auto"/>
              </w:rPr>
              <w:t>Relevant hMIF element:</w:t>
            </w:r>
          </w:p>
          <w:p w14:paraId="2C619DC3" w14:textId="686AE216" w:rsidR="009F03D1" w:rsidRPr="00722AD9" w:rsidRDefault="009F03D1" w:rsidP="0036725B">
            <w:pPr>
              <w:pStyle w:val="Tabletext"/>
              <w:rPr>
                <w:rStyle w:val="IntenseEmphasis"/>
                <w:i w:val="0"/>
                <w:color w:val="auto"/>
              </w:rPr>
            </w:pPr>
            <w:r w:rsidRPr="00722AD9">
              <w:rPr>
                <w:rStyle w:val="IntenseEmphasis"/>
                <w:color w:val="auto"/>
              </w:rPr>
              <w:t>Monitoring and evaluation</w:t>
            </w:r>
            <w:r w:rsidR="00F534D4">
              <w:rPr>
                <w:rStyle w:val="IntenseEmphasis"/>
                <w:color w:val="auto"/>
              </w:rPr>
              <w:t>.</w:t>
            </w:r>
          </w:p>
          <w:p w14:paraId="2C227A40" w14:textId="77777777" w:rsidR="009F03D1" w:rsidRDefault="009F03D1" w:rsidP="0036725B">
            <w:pPr>
              <w:pStyle w:val="Tabletext"/>
              <w:rPr>
                <w:rStyle w:val="IntenseEmphasis"/>
                <w:i w:val="0"/>
                <w:iCs w:val="0"/>
                <w:color w:val="auto"/>
              </w:rPr>
            </w:pPr>
          </w:p>
        </w:tc>
        <w:tc>
          <w:tcPr>
            <w:tcW w:w="5954" w:type="dxa"/>
          </w:tcPr>
          <w:p w14:paraId="41B8C6E9" w14:textId="4AB1D113" w:rsidR="009F03D1" w:rsidRDefault="009F03D1" w:rsidP="0036725B">
            <w:pPr>
              <w:pStyle w:val="Tabletext"/>
              <w:rPr>
                <w:rStyle w:val="IntenseEmphasis"/>
                <w:i w:val="0"/>
                <w:iCs w:val="0"/>
                <w:color w:val="auto"/>
              </w:rPr>
            </w:pPr>
            <w:r>
              <w:rPr>
                <w:rStyle w:val="IntenseEmphasis"/>
                <w:i w:val="0"/>
                <w:iCs w:val="0"/>
                <w:color w:val="auto"/>
              </w:rPr>
              <w:t>Data is collected and disseminated across a broad range of activities</w:t>
            </w:r>
            <w:r w:rsidR="00AE2ADA">
              <w:rPr>
                <w:rStyle w:val="IntenseEmphasis"/>
                <w:i w:val="0"/>
                <w:iCs w:val="0"/>
                <w:color w:val="auto"/>
              </w:rPr>
              <w:t>.</w:t>
            </w:r>
          </w:p>
        </w:tc>
      </w:tr>
      <w:tr w:rsidR="009F03D1" w14:paraId="697BCD1C" w14:textId="77777777" w:rsidTr="00D072CD">
        <w:tc>
          <w:tcPr>
            <w:tcW w:w="2972" w:type="dxa"/>
            <w:vMerge/>
          </w:tcPr>
          <w:p w14:paraId="7F5BFD63" w14:textId="77777777" w:rsidR="009F03D1" w:rsidRDefault="009F03D1" w:rsidP="0036725B">
            <w:pPr>
              <w:pStyle w:val="Tabletext"/>
              <w:rPr>
                <w:rStyle w:val="IntenseEmphasis"/>
                <w:i w:val="0"/>
                <w:iCs w:val="0"/>
                <w:color w:val="auto"/>
              </w:rPr>
            </w:pPr>
          </w:p>
        </w:tc>
        <w:tc>
          <w:tcPr>
            <w:tcW w:w="5954" w:type="dxa"/>
          </w:tcPr>
          <w:p w14:paraId="0714BD4C" w14:textId="22AE9148" w:rsidR="009F03D1" w:rsidRDefault="009F03D1" w:rsidP="0036725B">
            <w:pPr>
              <w:pStyle w:val="Tabletext"/>
              <w:rPr>
                <w:rStyle w:val="IntenseEmphasis"/>
                <w:i w:val="0"/>
                <w:iCs w:val="0"/>
                <w:color w:val="auto"/>
              </w:rPr>
            </w:pPr>
            <w:r>
              <w:rPr>
                <w:rStyle w:val="IntenseEmphasis"/>
                <w:i w:val="0"/>
                <w:iCs w:val="0"/>
                <w:color w:val="auto"/>
              </w:rPr>
              <w:t>Gaps in activity data prevent measurement of some elements of the headspace model, including community engagement and services integration</w:t>
            </w:r>
            <w:r w:rsidR="00AE2ADA">
              <w:rPr>
                <w:rStyle w:val="IntenseEmphasis"/>
                <w:i w:val="0"/>
                <w:iCs w:val="0"/>
                <w:color w:val="auto"/>
              </w:rPr>
              <w:t>.</w:t>
            </w:r>
          </w:p>
        </w:tc>
      </w:tr>
      <w:tr w:rsidR="009F03D1" w14:paraId="59496565" w14:textId="77777777" w:rsidTr="00D072CD">
        <w:tc>
          <w:tcPr>
            <w:tcW w:w="2972" w:type="dxa"/>
            <w:vMerge/>
          </w:tcPr>
          <w:p w14:paraId="4D788E27" w14:textId="77777777" w:rsidR="009F03D1" w:rsidRDefault="009F03D1" w:rsidP="0036725B">
            <w:pPr>
              <w:pStyle w:val="Tabletext"/>
              <w:rPr>
                <w:rStyle w:val="IntenseEmphasis"/>
                <w:i w:val="0"/>
                <w:iCs w:val="0"/>
                <w:color w:val="auto"/>
              </w:rPr>
            </w:pPr>
          </w:p>
        </w:tc>
        <w:tc>
          <w:tcPr>
            <w:tcW w:w="5954" w:type="dxa"/>
          </w:tcPr>
          <w:p w14:paraId="24F245FC" w14:textId="369AA602" w:rsidR="009F03D1" w:rsidRDefault="009F03D1" w:rsidP="0036725B">
            <w:pPr>
              <w:pStyle w:val="Tabletext"/>
              <w:rPr>
                <w:rStyle w:val="IntenseEmphasis"/>
                <w:i w:val="0"/>
                <w:iCs w:val="0"/>
                <w:color w:val="auto"/>
              </w:rPr>
            </w:pPr>
            <w:r>
              <w:rPr>
                <w:rStyle w:val="IntenseEmphasis"/>
                <w:i w:val="0"/>
                <w:iCs w:val="0"/>
                <w:color w:val="auto"/>
              </w:rPr>
              <w:t>Longer</w:t>
            </w:r>
            <w:r w:rsidR="00F534D4">
              <w:rPr>
                <w:rStyle w:val="IntenseEmphasis"/>
                <w:i w:val="0"/>
                <w:iCs w:val="0"/>
                <w:color w:val="auto"/>
              </w:rPr>
              <w:t>-</w:t>
            </w:r>
            <w:r>
              <w:rPr>
                <w:rStyle w:val="IntenseEmphasis"/>
                <w:i w:val="0"/>
                <w:iCs w:val="0"/>
                <w:color w:val="auto"/>
              </w:rPr>
              <w:t>term outcomes associated with the model are not measured</w:t>
            </w:r>
            <w:r w:rsidR="00AE2ADA">
              <w:rPr>
                <w:rStyle w:val="IntenseEmphasis"/>
                <w:i w:val="0"/>
                <w:iCs w:val="0"/>
                <w:color w:val="auto"/>
              </w:rPr>
              <w:t>.</w:t>
            </w:r>
          </w:p>
        </w:tc>
      </w:tr>
      <w:tr w:rsidR="009F03D1" w14:paraId="664039FA" w14:textId="77777777" w:rsidTr="00D072CD">
        <w:tc>
          <w:tcPr>
            <w:tcW w:w="2972" w:type="dxa"/>
            <w:vMerge w:val="restart"/>
          </w:tcPr>
          <w:p w14:paraId="154340B5" w14:textId="77777777" w:rsidR="009F03D1" w:rsidRPr="006060BF" w:rsidRDefault="009F03D1" w:rsidP="0036725B">
            <w:pPr>
              <w:pStyle w:val="Tabletext"/>
            </w:pPr>
            <w:r w:rsidRPr="006060BF">
              <w:t>Improving intermediate outcomes</w:t>
            </w:r>
          </w:p>
          <w:p w14:paraId="50162849" w14:textId="77777777" w:rsidR="009F03D1" w:rsidRDefault="009F03D1" w:rsidP="0036725B">
            <w:pPr>
              <w:pStyle w:val="Tabletext"/>
              <w:rPr>
                <w:i/>
                <w:iCs/>
              </w:rPr>
            </w:pPr>
            <w:r>
              <w:rPr>
                <w:i/>
                <w:iCs/>
              </w:rPr>
              <w:t>Most relevant hMIF elements:</w:t>
            </w:r>
          </w:p>
          <w:p w14:paraId="7D144BC3" w14:textId="32FBEAF1" w:rsidR="009F03D1" w:rsidRPr="00EC1F7D" w:rsidRDefault="009F03D1" w:rsidP="0036725B">
            <w:pPr>
              <w:pStyle w:val="Tabletext"/>
              <w:rPr>
                <w:rStyle w:val="IntenseEmphasis"/>
                <w:color w:val="auto"/>
              </w:rPr>
            </w:pPr>
            <w:r w:rsidRPr="00EC1F7D">
              <w:rPr>
                <w:rStyle w:val="IntenseEmphasis"/>
                <w:color w:val="auto"/>
              </w:rPr>
              <w:t>Community awareness and engagement</w:t>
            </w:r>
            <w:r w:rsidR="00F534D4" w:rsidRPr="00EC1F7D">
              <w:rPr>
                <w:rStyle w:val="IntenseEmphasis"/>
                <w:color w:val="auto"/>
              </w:rPr>
              <w:t>;</w:t>
            </w:r>
          </w:p>
          <w:p w14:paraId="0EAB707A" w14:textId="021EBBA7" w:rsidR="009F03D1" w:rsidRPr="00EC1F7D" w:rsidRDefault="009F03D1" w:rsidP="0036725B">
            <w:pPr>
              <w:pStyle w:val="Tabletext"/>
              <w:rPr>
                <w:rStyle w:val="IntenseEmphasis"/>
                <w:color w:val="auto"/>
              </w:rPr>
            </w:pPr>
            <w:r w:rsidRPr="00EC1F7D">
              <w:rPr>
                <w:rStyle w:val="IntenseEmphasis"/>
                <w:color w:val="auto"/>
              </w:rPr>
              <w:t>Enhanced access (minimising barriers to seeking professional help)</w:t>
            </w:r>
            <w:r w:rsidR="00F534D4" w:rsidRPr="00EC1F7D">
              <w:rPr>
                <w:rStyle w:val="IntenseEmphasis"/>
                <w:color w:val="auto"/>
              </w:rPr>
              <w:t>; and</w:t>
            </w:r>
          </w:p>
          <w:p w14:paraId="6206BCE1" w14:textId="7011A984" w:rsidR="009F03D1" w:rsidRPr="00EC1F7D" w:rsidRDefault="009F03D1" w:rsidP="0036725B">
            <w:pPr>
              <w:pStyle w:val="Tabletext"/>
              <w:rPr>
                <w:rStyle w:val="IntenseEmphasis"/>
                <w:color w:val="auto"/>
              </w:rPr>
            </w:pPr>
            <w:r w:rsidRPr="00EC1F7D">
              <w:rPr>
                <w:rStyle w:val="IntenseEmphasis"/>
                <w:color w:val="auto"/>
              </w:rPr>
              <w:t>Multi-disciplinary workforce</w:t>
            </w:r>
            <w:r w:rsidR="00F534D4" w:rsidRPr="00EC1F7D">
              <w:rPr>
                <w:rStyle w:val="IntenseEmphasis"/>
                <w:color w:val="auto"/>
              </w:rPr>
              <w:t>.</w:t>
            </w:r>
          </w:p>
          <w:p w14:paraId="6376A75B" w14:textId="2CB2A504" w:rsidR="009F03D1" w:rsidRPr="009508EF" w:rsidRDefault="009F03D1" w:rsidP="0036725B">
            <w:pPr>
              <w:pStyle w:val="Tabletext"/>
              <w:rPr>
                <w:rStyle w:val="IntenseEmphasis"/>
                <w:color w:val="auto"/>
              </w:rPr>
            </w:pPr>
          </w:p>
        </w:tc>
        <w:tc>
          <w:tcPr>
            <w:tcW w:w="5954" w:type="dxa"/>
          </w:tcPr>
          <w:p w14:paraId="59FF4BDD" w14:textId="65DF723E" w:rsidR="009F03D1" w:rsidRDefault="009F03D1" w:rsidP="0036725B">
            <w:pPr>
              <w:pStyle w:val="Tabletext"/>
              <w:rPr>
                <w:rStyle w:val="IntenseEmphasis"/>
                <w:i w:val="0"/>
                <w:iCs w:val="0"/>
                <w:color w:val="auto"/>
              </w:rPr>
            </w:pPr>
            <w:r w:rsidRPr="00915522">
              <w:rPr>
                <w:rStyle w:val="IntenseEmphasis"/>
                <w:i w:val="0"/>
                <w:iCs w:val="0"/>
                <w:color w:val="auto"/>
              </w:rPr>
              <w:t>The headspace model is effective in supporting important intermediate outcomes</w:t>
            </w:r>
            <w:r>
              <w:rPr>
                <w:rStyle w:val="IntenseEmphasis"/>
                <w:i w:val="0"/>
                <w:iCs w:val="0"/>
                <w:color w:val="auto"/>
              </w:rPr>
              <w:t xml:space="preserve"> for the general population of young people. These include </w:t>
            </w:r>
            <w:r w:rsidRPr="00915522">
              <w:rPr>
                <w:rStyle w:val="IntenseEmphasis"/>
                <w:i w:val="0"/>
                <w:iCs w:val="0"/>
                <w:color w:val="auto"/>
              </w:rPr>
              <w:t xml:space="preserve">mental health literacy, early help seeking and increased access to required services, which in turn improve the likelihood that young people will seek support with their mental health and achieve improved </w:t>
            </w:r>
            <w:r w:rsidR="005513AE">
              <w:rPr>
                <w:rStyle w:val="IntenseEmphasis"/>
                <w:i w:val="0"/>
                <w:iCs w:val="0"/>
                <w:color w:val="auto"/>
              </w:rPr>
              <w:t>psychosocial</w:t>
            </w:r>
            <w:r w:rsidRPr="00915522">
              <w:rPr>
                <w:rStyle w:val="IntenseEmphasis"/>
                <w:i w:val="0"/>
                <w:iCs w:val="0"/>
                <w:color w:val="auto"/>
              </w:rPr>
              <w:t xml:space="preserve"> outcomes in the longer</w:t>
            </w:r>
            <w:r w:rsidR="00F534D4">
              <w:rPr>
                <w:rStyle w:val="IntenseEmphasis"/>
                <w:i w:val="0"/>
                <w:iCs w:val="0"/>
                <w:color w:val="auto"/>
              </w:rPr>
              <w:t>-</w:t>
            </w:r>
            <w:r w:rsidRPr="00915522">
              <w:rPr>
                <w:rStyle w:val="IntenseEmphasis"/>
                <w:i w:val="0"/>
                <w:iCs w:val="0"/>
                <w:color w:val="auto"/>
              </w:rPr>
              <w:t xml:space="preserve">term. </w:t>
            </w:r>
          </w:p>
        </w:tc>
      </w:tr>
      <w:tr w:rsidR="009F03D1" w14:paraId="0F8F17D9" w14:textId="77777777" w:rsidTr="00D072CD">
        <w:tc>
          <w:tcPr>
            <w:tcW w:w="2972" w:type="dxa"/>
            <w:vMerge/>
          </w:tcPr>
          <w:p w14:paraId="48FD146C" w14:textId="77777777" w:rsidR="009F03D1" w:rsidRDefault="009F03D1" w:rsidP="0036725B">
            <w:pPr>
              <w:pStyle w:val="Tabletext"/>
              <w:rPr>
                <w:rStyle w:val="IntenseEmphasis"/>
                <w:i w:val="0"/>
                <w:iCs w:val="0"/>
                <w:color w:val="auto"/>
              </w:rPr>
            </w:pPr>
          </w:p>
        </w:tc>
        <w:tc>
          <w:tcPr>
            <w:tcW w:w="5954" w:type="dxa"/>
          </w:tcPr>
          <w:p w14:paraId="30053C97" w14:textId="482E945B" w:rsidR="009F03D1" w:rsidRDefault="009F03D1" w:rsidP="0036725B">
            <w:pPr>
              <w:pStyle w:val="Tabletext"/>
              <w:rPr>
                <w:rStyle w:val="IntenseEmphasis"/>
                <w:i w:val="0"/>
                <w:iCs w:val="0"/>
                <w:color w:val="auto"/>
              </w:rPr>
            </w:pPr>
            <w:r>
              <w:rPr>
                <w:rStyle w:val="IntenseEmphasis"/>
                <w:i w:val="0"/>
                <w:iCs w:val="0"/>
                <w:color w:val="auto"/>
              </w:rPr>
              <w:t xml:space="preserve">The </w:t>
            </w:r>
            <w:r w:rsidRPr="00915522">
              <w:rPr>
                <w:rStyle w:val="IntenseEmphasis"/>
                <w:i w:val="0"/>
                <w:iCs w:val="0"/>
                <w:color w:val="auto"/>
              </w:rPr>
              <w:t xml:space="preserve">headspace </w:t>
            </w:r>
            <w:r>
              <w:rPr>
                <w:rStyle w:val="IntenseEmphasis"/>
                <w:i w:val="0"/>
                <w:iCs w:val="0"/>
                <w:color w:val="auto"/>
              </w:rPr>
              <w:t xml:space="preserve">model </w:t>
            </w:r>
            <w:r w:rsidR="00295BD0">
              <w:rPr>
                <w:rStyle w:val="IntenseEmphasis"/>
                <w:i w:val="0"/>
                <w:iCs w:val="0"/>
                <w:color w:val="auto"/>
              </w:rPr>
              <w:t>has mixed success</w:t>
            </w:r>
            <w:r w:rsidRPr="00915522">
              <w:rPr>
                <w:rStyle w:val="IntenseEmphasis"/>
                <w:i w:val="0"/>
                <w:iCs w:val="0"/>
                <w:color w:val="auto"/>
              </w:rPr>
              <w:t xml:space="preserve"> in supporting these intermediate outcomes</w:t>
            </w:r>
            <w:r>
              <w:rPr>
                <w:rStyle w:val="IntenseEmphasis"/>
                <w:i w:val="0"/>
                <w:iCs w:val="0"/>
                <w:color w:val="auto"/>
              </w:rPr>
              <w:t xml:space="preserve"> for </w:t>
            </w:r>
            <w:r w:rsidRPr="00915522">
              <w:rPr>
                <w:rStyle w:val="IntenseEmphasis"/>
                <w:i w:val="0"/>
                <w:iCs w:val="0"/>
                <w:color w:val="auto"/>
              </w:rPr>
              <w:t>‘hard to reach’ groups</w:t>
            </w:r>
            <w:r>
              <w:rPr>
                <w:rStyle w:val="IntenseEmphasis"/>
                <w:i w:val="0"/>
                <w:iCs w:val="0"/>
                <w:color w:val="auto"/>
              </w:rPr>
              <w:t>.</w:t>
            </w:r>
          </w:p>
        </w:tc>
      </w:tr>
      <w:tr w:rsidR="009F03D1" w14:paraId="61374BC3" w14:textId="77777777" w:rsidTr="00D072CD">
        <w:tc>
          <w:tcPr>
            <w:tcW w:w="2972" w:type="dxa"/>
            <w:vMerge w:val="restart"/>
          </w:tcPr>
          <w:p w14:paraId="44F2E268" w14:textId="0AC8EDC2" w:rsidR="006060BF" w:rsidRPr="006060BF" w:rsidRDefault="006060BF" w:rsidP="0036725B">
            <w:pPr>
              <w:pStyle w:val="Tabletext"/>
              <w:rPr>
                <w:b/>
                <w:bCs/>
              </w:rPr>
            </w:pPr>
            <w:r w:rsidRPr="006060BF">
              <w:rPr>
                <w:b/>
                <w:bCs/>
              </w:rPr>
              <w:t>Improving service system outcomes</w:t>
            </w:r>
          </w:p>
          <w:p w14:paraId="456F62CC" w14:textId="57A08A9F" w:rsidR="009F03D1" w:rsidRPr="007D771F" w:rsidRDefault="009F03D1" w:rsidP="0036725B">
            <w:pPr>
              <w:pStyle w:val="Tabletext"/>
              <w:rPr>
                <w:i/>
                <w:iCs/>
              </w:rPr>
            </w:pPr>
            <w:r>
              <w:rPr>
                <w:i/>
                <w:iCs/>
              </w:rPr>
              <w:t>Most relevant hMIF elements:</w:t>
            </w:r>
          </w:p>
          <w:p w14:paraId="5D2DFFE1" w14:textId="70A12177" w:rsidR="009F03D1" w:rsidRDefault="009F03D1" w:rsidP="0036725B">
            <w:pPr>
              <w:pStyle w:val="TableBullet1"/>
            </w:pPr>
            <w:r>
              <w:t>Community awareness and engagement</w:t>
            </w:r>
            <w:r w:rsidR="00F534D4">
              <w:t>;</w:t>
            </w:r>
            <w:r>
              <w:t xml:space="preserve"> </w:t>
            </w:r>
          </w:p>
          <w:p w14:paraId="48BE376D" w14:textId="708DD461" w:rsidR="009F03D1" w:rsidRDefault="009F03D1" w:rsidP="0036725B">
            <w:pPr>
              <w:pStyle w:val="TableBullet1"/>
            </w:pPr>
            <w:r>
              <w:t>Service integration</w:t>
            </w:r>
            <w:r w:rsidR="00F534D4">
              <w:t>;</w:t>
            </w:r>
          </w:p>
          <w:p w14:paraId="44611E86" w14:textId="51F33CE8" w:rsidR="009F03D1" w:rsidRPr="00C137FE" w:rsidRDefault="009F03D1" w:rsidP="0036725B">
            <w:pPr>
              <w:pStyle w:val="TableBullet1"/>
            </w:pPr>
            <w:r>
              <w:t xml:space="preserve">Multi-disciplinary </w:t>
            </w:r>
            <w:r w:rsidRPr="00C137FE">
              <w:t>workforce</w:t>
            </w:r>
            <w:r w:rsidR="00F534D4">
              <w:t>; and</w:t>
            </w:r>
          </w:p>
          <w:p w14:paraId="55465DBB" w14:textId="5130B8E7" w:rsidR="009F03D1" w:rsidRPr="006060BF" w:rsidRDefault="009F03D1" w:rsidP="0036725B">
            <w:pPr>
              <w:pStyle w:val="TableBullet1"/>
              <w:rPr>
                <w:rStyle w:val="IntenseEmphasis"/>
                <w:i w:val="0"/>
                <w:iCs w:val="0"/>
                <w:color w:val="auto"/>
              </w:rPr>
            </w:pPr>
            <w:r w:rsidRPr="00C137FE">
              <w:t>National network (in particular the roles of PHNs and community consortia)</w:t>
            </w:r>
            <w:r w:rsidR="006060BF">
              <w:t>.</w:t>
            </w:r>
          </w:p>
        </w:tc>
        <w:tc>
          <w:tcPr>
            <w:tcW w:w="5954" w:type="dxa"/>
          </w:tcPr>
          <w:p w14:paraId="56080E74" w14:textId="20F824BC" w:rsidR="009F03D1" w:rsidRDefault="009F03D1" w:rsidP="0036725B">
            <w:pPr>
              <w:pStyle w:val="Tabletext"/>
              <w:rPr>
                <w:rStyle w:val="IntenseEmphasis"/>
                <w:rFonts w:eastAsia="Segoe UI" w:cs="KPMG Light"/>
                <w:i w:val="0"/>
                <w:color w:val="auto"/>
              </w:rPr>
            </w:pPr>
            <w:r>
              <w:t>The headspace model is</w:t>
            </w:r>
            <w:r w:rsidRPr="00693DC0">
              <w:t xml:space="preserve"> effective in supporting youth mental health through advocacy and promotion activities</w:t>
            </w:r>
            <w:r>
              <w:t xml:space="preserve">, and stigma reduction activities </w:t>
            </w:r>
            <w:r w:rsidRPr="00A63FB6">
              <w:t xml:space="preserve">undertaken as part of the headspace model are </w:t>
            </w:r>
            <w:r>
              <w:t xml:space="preserve">also </w:t>
            </w:r>
            <w:r w:rsidRPr="00A63FB6">
              <w:t>effective.</w:t>
            </w:r>
            <w:r>
              <w:t xml:space="preserve"> The model is also recognised as providing</w:t>
            </w:r>
            <w:r w:rsidRPr="005E671E">
              <w:t xml:space="preserve"> a range of additional contributions to local communities that are highly valued by those communities</w:t>
            </w:r>
            <w:r>
              <w:t xml:space="preserve">. </w:t>
            </w:r>
          </w:p>
        </w:tc>
      </w:tr>
      <w:tr w:rsidR="009F03D1" w14:paraId="6D89B238" w14:textId="77777777" w:rsidTr="00D072CD">
        <w:tc>
          <w:tcPr>
            <w:tcW w:w="2972" w:type="dxa"/>
            <w:vMerge/>
          </w:tcPr>
          <w:p w14:paraId="21625966" w14:textId="77777777" w:rsidR="009F03D1" w:rsidRDefault="009F03D1" w:rsidP="0036725B">
            <w:pPr>
              <w:pStyle w:val="Tabletext"/>
              <w:rPr>
                <w:rStyle w:val="IntenseEmphasis"/>
                <w:i w:val="0"/>
                <w:iCs w:val="0"/>
                <w:color w:val="auto"/>
              </w:rPr>
            </w:pPr>
          </w:p>
        </w:tc>
        <w:tc>
          <w:tcPr>
            <w:tcW w:w="5954" w:type="dxa"/>
          </w:tcPr>
          <w:p w14:paraId="5BF98E83" w14:textId="466D3550" w:rsidR="009F03D1" w:rsidRDefault="00CF11C0" w:rsidP="0036725B">
            <w:pPr>
              <w:pStyle w:val="Tabletext"/>
            </w:pPr>
            <w:r w:rsidRPr="000176E5">
              <w:t xml:space="preserve">The headspace model </w:t>
            </w:r>
            <w:r>
              <w:t>has mixed effectiveness</w:t>
            </w:r>
            <w:r w:rsidRPr="000176E5">
              <w:t xml:space="preserve"> in areas related to the broader service system in which it operates.</w:t>
            </w:r>
            <w:r>
              <w:t xml:space="preserve"> The implementation of the model is often impacted by the broader service system in which it operates, especially in relation to:</w:t>
            </w:r>
          </w:p>
          <w:p w14:paraId="0FDD18A0" w14:textId="2298F490" w:rsidR="009F03D1" w:rsidRDefault="009F03D1" w:rsidP="0036725B">
            <w:pPr>
              <w:pStyle w:val="TableBullet1"/>
            </w:pPr>
            <w:r w:rsidRPr="00EC1F7D">
              <w:t>improving pathways to care</w:t>
            </w:r>
            <w:r w:rsidR="0075268D" w:rsidRPr="00EC1F7D">
              <w:t>;</w:t>
            </w:r>
            <w:r w:rsidRPr="00EC1F7D">
              <w:t xml:space="preserve"> </w:t>
            </w:r>
          </w:p>
          <w:p w14:paraId="30066E38" w14:textId="4B595F60" w:rsidR="009F03D1" w:rsidRDefault="009F03D1" w:rsidP="0036725B">
            <w:pPr>
              <w:pStyle w:val="TableBullet1"/>
            </w:pPr>
            <w:r w:rsidRPr="00EC1F7D">
              <w:t>providing a localised service offering</w:t>
            </w:r>
            <w:r w:rsidR="0075268D" w:rsidRPr="00EC1F7D">
              <w:t>; and</w:t>
            </w:r>
          </w:p>
          <w:p w14:paraId="77ECA6C2" w14:textId="05C0D178" w:rsidR="009F03D1" w:rsidRPr="00CA2C09" w:rsidRDefault="009F03D1" w:rsidP="0036725B">
            <w:pPr>
              <w:pStyle w:val="TableBullet1"/>
              <w:rPr>
                <w:rStyle w:val="IntenseEmphasis"/>
                <w:i w:val="0"/>
                <w:color w:val="auto"/>
              </w:rPr>
            </w:pPr>
            <w:r w:rsidRPr="00EC1F7D">
              <w:t>providing a ‘no wrong door’ approach.</w:t>
            </w:r>
          </w:p>
        </w:tc>
      </w:tr>
      <w:tr w:rsidR="009F03D1" w14:paraId="0F189C35" w14:textId="77777777" w:rsidTr="00D072CD">
        <w:tc>
          <w:tcPr>
            <w:tcW w:w="2972" w:type="dxa"/>
            <w:vMerge/>
          </w:tcPr>
          <w:p w14:paraId="568705A1" w14:textId="77777777" w:rsidR="009F03D1" w:rsidRDefault="009F03D1" w:rsidP="009F03D1">
            <w:pPr>
              <w:pStyle w:val="BodyText1"/>
              <w:rPr>
                <w:rStyle w:val="IntenseEmphasis"/>
                <w:i w:val="0"/>
                <w:iCs w:val="0"/>
                <w:color w:val="auto"/>
              </w:rPr>
            </w:pPr>
          </w:p>
        </w:tc>
        <w:tc>
          <w:tcPr>
            <w:tcW w:w="5954" w:type="dxa"/>
          </w:tcPr>
          <w:p w14:paraId="14EFD1ED" w14:textId="0D117707" w:rsidR="009F03D1" w:rsidRPr="006F062D" w:rsidRDefault="009F03D1" w:rsidP="00EE31F3">
            <w:pPr>
              <w:pStyle w:val="Tabletext"/>
            </w:pPr>
            <w:r>
              <w:t>These outcomes are constrained by the capacity of other services, workforce shortages and, in rural and regional areas, difficulty in attracting MBS billing staff.</w:t>
            </w:r>
            <w:r w:rsidR="00A852EB">
              <w:t xml:space="preserve"> These challenges lead to increased wait times for services and reduce the generally</w:t>
            </w:r>
            <w:r w:rsidR="00A852EB" w:rsidRPr="0002446B">
              <w:t xml:space="preserve"> high levels of support</w:t>
            </w:r>
            <w:r w:rsidR="00A852EB">
              <w:t xml:space="preserve"> the model receives</w:t>
            </w:r>
            <w:r w:rsidR="00A852EB" w:rsidRPr="0002446B">
              <w:t xml:space="preserve"> from other primary care and mental health providers</w:t>
            </w:r>
            <w:r w:rsidR="00A852EB">
              <w:t>.</w:t>
            </w:r>
          </w:p>
        </w:tc>
      </w:tr>
      <w:tr w:rsidR="009F03D1" w14:paraId="1C71EB34" w14:textId="77777777" w:rsidTr="00D072CD">
        <w:tc>
          <w:tcPr>
            <w:tcW w:w="2972" w:type="dxa"/>
            <w:vMerge w:val="restart"/>
          </w:tcPr>
          <w:p w14:paraId="2D1D0F7D" w14:textId="77777777" w:rsidR="009F03D1" w:rsidRPr="006060BF" w:rsidRDefault="009F03D1" w:rsidP="006060BF">
            <w:pPr>
              <w:pStyle w:val="Tabletext"/>
            </w:pPr>
            <w:r w:rsidRPr="006060BF">
              <w:rPr>
                <w:b/>
                <w:bCs/>
              </w:rPr>
              <w:t>Improving user experience outcomes</w:t>
            </w:r>
          </w:p>
          <w:p w14:paraId="4EE7F657" w14:textId="77777777" w:rsidR="009F03D1" w:rsidRPr="007D771F" w:rsidRDefault="009F03D1" w:rsidP="0036725B">
            <w:pPr>
              <w:pStyle w:val="Tabletext"/>
              <w:rPr>
                <w:i/>
                <w:iCs/>
              </w:rPr>
            </w:pPr>
            <w:r>
              <w:rPr>
                <w:i/>
                <w:iCs/>
              </w:rPr>
              <w:t>Most relevant hMIF elements:</w:t>
            </w:r>
          </w:p>
          <w:p w14:paraId="33E24FD5" w14:textId="05F69F40" w:rsidR="009F03D1" w:rsidRPr="00C137FE" w:rsidRDefault="009F03D1" w:rsidP="0036725B">
            <w:pPr>
              <w:pStyle w:val="TableBullet1"/>
            </w:pPr>
            <w:r w:rsidRPr="00C137FE">
              <w:t>Community awareness and engagement</w:t>
            </w:r>
            <w:r w:rsidR="00640291">
              <w:t>;</w:t>
            </w:r>
            <w:r w:rsidRPr="00C137FE">
              <w:t xml:space="preserve"> </w:t>
            </w:r>
          </w:p>
          <w:p w14:paraId="0C1D6B42" w14:textId="7C8BA2D4" w:rsidR="009F03D1" w:rsidRPr="00C137FE" w:rsidRDefault="009F03D1" w:rsidP="0036725B">
            <w:pPr>
              <w:pStyle w:val="TableBullet1"/>
            </w:pPr>
            <w:r w:rsidRPr="00C137FE">
              <w:t>Multi-disciplinary workforce (as related to wait lists and capacity constraints)</w:t>
            </w:r>
            <w:r w:rsidR="00640291">
              <w:t>; and</w:t>
            </w:r>
          </w:p>
          <w:p w14:paraId="7CDD9EEF" w14:textId="53B57386" w:rsidR="009F03D1" w:rsidRPr="0036725B" w:rsidRDefault="009F03D1" w:rsidP="0036725B">
            <w:pPr>
              <w:pStyle w:val="TableBullet1"/>
              <w:rPr>
                <w:rStyle w:val="IntenseEmphasis"/>
                <w:i w:val="0"/>
                <w:iCs w:val="0"/>
                <w:color w:val="auto"/>
              </w:rPr>
            </w:pPr>
            <w:r w:rsidRPr="00C137FE">
              <w:t>National network (in particular the roles of PHNs and community consortia).</w:t>
            </w:r>
          </w:p>
        </w:tc>
        <w:tc>
          <w:tcPr>
            <w:tcW w:w="5954" w:type="dxa"/>
          </w:tcPr>
          <w:p w14:paraId="5D273933" w14:textId="4171E6CB" w:rsidR="009F03D1" w:rsidRDefault="009F03D1" w:rsidP="0036725B">
            <w:pPr>
              <w:pStyle w:val="Tabletext"/>
              <w:rPr>
                <w:rStyle w:val="IntenseEmphasis"/>
                <w:rFonts w:eastAsia="Segoe UI" w:cs="KPMG Light"/>
                <w:i w:val="0"/>
                <w:color w:val="auto"/>
              </w:rPr>
            </w:pPr>
            <w:r>
              <w:t xml:space="preserve">The headspace model </w:t>
            </w:r>
            <w:r w:rsidRPr="00262335">
              <w:t>provides a highly appropriate mental health service approach for young people with mild to moderate, high</w:t>
            </w:r>
            <w:r>
              <w:noBreakHyphen/>
            </w:r>
            <w:r w:rsidRPr="00262335">
              <w:t xml:space="preserve">prevalence </w:t>
            </w:r>
            <w:r w:rsidR="004B4565">
              <w:t xml:space="preserve">mental health </w:t>
            </w:r>
            <w:r w:rsidRPr="00262335">
              <w:t>conditions.</w:t>
            </w:r>
            <w:r>
              <w:t xml:space="preserve"> </w:t>
            </w:r>
          </w:p>
        </w:tc>
      </w:tr>
      <w:tr w:rsidR="009F03D1" w14:paraId="3D59DC69" w14:textId="77777777" w:rsidTr="00D072CD">
        <w:tc>
          <w:tcPr>
            <w:tcW w:w="2972" w:type="dxa"/>
            <w:vMerge/>
          </w:tcPr>
          <w:p w14:paraId="5958DC9E" w14:textId="77777777" w:rsidR="009F03D1" w:rsidRDefault="009F03D1" w:rsidP="0036725B">
            <w:pPr>
              <w:pStyle w:val="Tabletext"/>
              <w:rPr>
                <w:rStyle w:val="IntenseEmphasis"/>
                <w:i w:val="0"/>
                <w:iCs w:val="0"/>
                <w:color w:val="auto"/>
              </w:rPr>
            </w:pPr>
          </w:p>
        </w:tc>
        <w:tc>
          <w:tcPr>
            <w:tcW w:w="5954" w:type="dxa"/>
          </w:tcPr>
          <w:p w14:paraId="4114721D" w14:textId="4F676964" w:rsidR="009F03D1" w:rsidRDefault="009F03D1" w:rsidP="0036725B">
            <w:pPr>
              <w:pStyle w:val="Tabletext"/>
              <w:rPr>
                <w:rStyle w:val="IntenseEmphasis"/>
                <w:rFonts w:eastAsia="Segoe UI" w:cs="KPMG Light"/>
                <w:i w:val="0"/>
                <w:color w:val="auto"/>
              </w:rPr>
            </w:pPr>
            <w:r>
              <w:t>The model successfully supports the participation of young people in the design and delivery of headspace services, which is associated with strong, positive views as to user experience.</w:t>
            </w:r>
          </w:p>
        </w:tc>
      </w:tr>
      <w:tr w:rsidR="009F03D1" w14:paraId="68ED96E2" w14:textId="77777777" w:rsidTr="00D072CD">
        <w:tc>
          <w:tcPr>
            <w:tcW w:w="2972" w:type="dxa"/>
            <w:vMerge/>
          </w:tcPr>
          <w:p w14:paraId="3B6970C0" w14:textId="77777777" w:rsidR="009F03D1" w:rsidRDefault="009F03D1" w:rsidP="0036725B">
            <w:pPr>
              <w:pStyle w:val="Tabletext"/>
              <w:rPr>
                <w:rStyle w:val="IntenseEmphasis"/>
                <w:i w:val="0"/>
                <w:iCs w:val="0"/>
                <w:color w:val="auto"/>
              </w:rPr>
            </w:pPr>
          </w:p>
        </w:tc>
        <w:tc>
          <w:tcPr>
            <w:tcW w:w="5954" w:type="dxa"/>
          </w:tcPr>
          <w:p w14:paraId="57174FF6" w14:textId="245CC76A" w:rsidR="009F03D1" w:rsidRDefault="009F03D1" w:rsidP="0036725B">
            <w:pPr>
              <w:pStyle w:val="Tabletext"/>
              <w:rPr>
                <w:rStyle w:val="IntenseEmphasis"/>
                <w:i w:val="0"/>
                <w:iCs w:val="0"/>
                <w:color w:val="auto"/>
              </w:rPr>
            </w:pPr>
            <w:r>
              <w:t xml:space="preserve">The model has less success in providing culturally appropriate and inclusive supports for young people from culturally and linguistically diverse backgrounds, and Aboriginal and Torres Strait Islander young people. </w:t>
            </w:r>
          </w:p>
        </w:tc>
      </w:tr>
      <w:tr w:rsidR="009F03D1" w14:paraId="329F3EC4" w14:textId="77777777" w:rsidTr="00D072CD">
        <w:tc>
          <w:tcPr>
            <w:tcW w:w="2972" w:type="dxa"/>
            <w:vMerge/>
          </w:tcPr>
          <w:p w14:paraId="7DC2528F" w14:textId="77777777" w:rsidR="009F03D1" w:rsidRDefault="009F03D1" w:rsidP="0036725B">
            <w:pPr>
              <w:pStyle w:val="Tabletext"/>
              <w:rPr>
                <w:rStyle w:val="IntenseEmphasis"/>
                <w:i w:val="0"/>
                <w:iCs w:val="0"/>
                <w:color w:val="auto"/>
              </w:rPr>
            </w:pPr>
          </w:p>
        </w:tc>
        <w:tc>
          <w:tcPr>
            <w:tcW w:w="5954" w:type="dxa"/>
          </w:tcPr>
          <w:p w14:paraId="22E63ED2" w14:textId="3F490BD8" w:rsidR="009F03D1" w:rsidRDefault="009F03D1" w:rsidP="0036725B">
            <w:pPr>
              <w:pStyle w:val="Tabletext"/>
              <w:rPr>
                <w:rStyle w:val="IntenseEmphasis"/>
                <w:rFonts w:eastAsia="Segoe UI" w:cs="KPMG Light"/>
                <w:i w:val="0"/>
                <w:color w:val="auto"/>
              </w:rPr>
            </w:pPr>
            <w:r>
              <w:t xml:space="preserve">The model is reasonably effective in enabling young people to </w:t>
            </w:r>
            <w:r w:rsidRPr="007A3D35">
              <w:t>access support where, when and how they want it</w:t>
            </w:r>
            <w:r>
              <w:t>, however opening hours and waiting times detract from this.</w:t>
            </w:r>
          </w:p>
        </w:tc>
      </w:tr>
      <w:tr w:rsidR="00E63581" w14:paraId="0D5F7E58" w14:textId="77777777" w:rsidTr="00D072CD">
        <w:tc>
          <w:tcPr>
            <w:tcW w:w="2972" w:type="dxa"/>
            <w:vMerge w:val="restart"/>
          </w:tcPr>
          <w:p w14:paraId="4DF47768" w14:textId="66A31F8B" w:rsidR="00E63581" w:rsidRPr="006060BF" w:rsidRDefault="00E63581" w:rsidP="00171EFE">
            <w:pPr>
              <w:pStyle w:val="Tabletext"/>
              <w:rPr>
                <w:b/>
                <w:bCs/>
              </w:rPr>
            </w:pPr>
            <w:r w:rsidRPr="006060BF">
              <w:rPr>
                <w:b/>
                <w:bCs/>
              </w:rPr>
              <w:t xml:space="preserve">Improving </w:t>
            </w:r>
            <w:r w:rsidR="005513AE" w:rsidRPr="006060BF">
              <w:rPr>
                <w:b/>
                <w:bCs/>
              </w:rPr>
              <w:t>psychosocial</w:t>
            </w:r>
            <w:r w:rsidRPr="006060BF">
              <w:rPr>
                <w:b/>
                <w:bCs/>
              </w:rPr>
              <w:t xml:space="preserve"> outcomes</w:t>
            </w:r>
          </w:p>
          <w:p w14:paraId="3695C080" w14:textId="77777777" w:rsidR="00E63581" w:rsidRPr="00FE3622" w:rsidRDefault="00E63581" w:rsidP="00171EFE">
            <w:pPr>
              <w:pStyle w:val="Tabletext"/>
              <w:rPr>
                <w:i/>
              </w:rPr>
            </w:pPr>
            <w:r w:rsidRPr="00114B16">
              <w:rPr>
                <w:i/>
              </w:rPr>
              <w:t>Most relevant hMIF element:</w:t>
            </w:r>
          </w:p>
          <w:p w14:paraId="2A06C1AC" w14:textId="4FD095A4" w:rsidR="00E63581" w:rsidRPr="006060BF" w:rsidRDefault="00E63581" w:rsidP="006060BF">
            <w:pPr>
              <w:pStyle w:val="TableBullet1"/>
            </w:pPr>
            <w:r w:rsidRPr="006060BF">
              <w:t>Monitoring and evaluation</w:t>
            </w:r>
            <w:r w:rsidR="00C628BF" w:rsidRPr="006060BF">
              <w:t>.</w:t>
            </w:r>
          </w:p>
          <w:p w14:paraId="3300A235" w14:textId="77777777" w:rsidR="00E63581" w:rsidRDefault="00E63581" w:rsidP="00E63581">
            <w:pPr>
              <w:pStyle w:val="BodyText1"/>
              <w:rPr>
                <w:rStyle w:val="IntenseEmphasis"/>
                <w:i w:val="0"/>
                <w:iCs w:val="0"/>
                <w:color w:val="auto"/>
              </w:rPr>
            </w:pPr>
          </w:p>
        </w:tc>
        <w:tc>
          <w:tcPr>
            <w:tcW w:w="5954" w:type="dxa"/>
          </w:tcPr>
          <w:p w14:paraId="3A5B9E80" w14:textId="26BB5325" w:rsidR="00E63581" w:rsidRDefault="00E63581" w:rsidP="00970744">
            <w:pPr>
              <w:pStyle w:val="Tabletext"/>
              <w:rPr>
                <w:rStyle w:val="IntenseEmphasis"/>
                <w:rFonts w:eastAsia="Segoe UI" w:cs="KPMG Light"/>
                <w:i w:val="0"/>
                <w:color w:val="auto"/>
              </w:rPr>
            </w:pPr>
            <w:r w:rsidRPr="001F0EE5">
              <w:t xml:space="preserve">Young people benefit from more engagement and treatment through the headspace model, which is associated with greater improvements in mental health and wellbeing. </w:t>
            </w:r>
          </w:p>
        </w:tc>
      </w:tr>
      <w:tr w:rsidR="00E63581" w14:paraId="6B3F99FF" w14:textId="77777777" w:rsidTr="00D072CD">
        <w:tc>
          <w:tcPr>
            <w:tcW w:w="2972" w:type="dxa"/>
            <w:vMerge/>
          </w:tcPr>
          <w:p w14:paraId="237EA33A" w14:textId="77777777" w:rsidR="00E63581" w:rsidRPr="006E0B86" w:rsidRDefault="00E63581" w:rsidP="00E63581">
            <w:pPr>
              <w:pStyle w:val="BodyText1"/>
              <w:rPr>
                <w:rStyle w:val="IntenseEmphasis"/>
                <w:b/>
                <w:bCs/>
                <w:i w:val="0"/>
                <w:iCs w:val="0"/>
                <w:color w:val="auto"/>
              </w:rPr>
            </w:pPr>
          </w:p>
        </w:tc>
        <w:tc>
          <w:tcPr>
            <w:tcW w:w="5954" w:type="dxa"/>
          </w:tcPr>
          <w:p w14:paraId="4C48B6D2" w14:textId="3DFE4D1D" w:rsidR="00E63581" w:rsidRDefault="00E63581" w:rsidP="00970744">
            <w:pPr>
              <w:pStyle w:val="Tabletext"/>
            </w:pPr>
            <w:r w:rsidRPr="001F0EE5">
              <w:t xml:space="preserve">For young people who access six </w:t>
            </w:r>
            <w:r w:rsidR="007B2863">
              <w:t>OOS</w:t>
            </w:r>
            <w:r w:rsidRPr="001F0EE5">
              <w:t xml:space="preserve"> or more, headspace is associated with similar improvements in mental health and wellbeing as comparable psychotherapy treatments.</w:t>
            </w:r>
          </w:p>
        </w:tc>
      </w:tr>
      <w:tr w:rsidR="00E63581" w14:paraId="7E894824" w14:textId="77777777" w:rsidTr="00D072CD">
        <w:tc>
          <w:tcPr>
            <w:tcW w:w="2972" w:type="dxa"/>
            <w:vMerge/>
          </w:tcPr>
          <w:p w14:paraId="0203AF25" w14:textId="77777777" w:rsidR="00E63581" w:rsidRPr="006E0B86" w:rsidRDefault="00E63581" w:rsidP="00E63581">
            <w:pPr>
              <w:pStyle w:val="BodyText1"/>
              <w:rPr>
                <w:rStyle w:val="IntenseEmphasis"/>
                <w:b/>
                <w:bCs/>
                <w:i w:val="0"/>
                <w:iCs w:val="0"/>
                <w:color w:val="auto"/>
              </w:rPr>
            </w:pPr>
          </w:p>
        </w:tc>
        <w:tc>
          <w:tcPr>
            <w:tcW w:w="5954" w:type="dxa"/>
          </w:tcPr>
          <w:p w14:paraId="6262DA4F" w14:textId="612CF59E" w:rsidR="00E63581" w:rsidRDefault="00E63581" w:rsidP="00B95536">
            <w:pPr>
              <w:pStyle w:val="Tabletext"/>
            </w:pPr>
            <w:r w:rsidRPr="001F0EE5">
              <w:t>The largest proportion of young people accessing the headspace model only attend once (36 per cent of episodes of care within the data period were a single occasion of service), and only 19</w:t>
            </w:r>
            <w:r w:rsidR="00D243BB">
              <w:t> </w:t>
            </w:r>
            <w:r w:rsidRPr="001F0EE5">
              <w:t xml:space="preserve">per cent of episodes of care are for six or more </w:t>
            </w:r>
            <w:r w:rsidR="007B2863">
              <w:t>OOS</w:t>
            </w:r>
            <w:r w:rsidRPr="001F0EE5">
              <w:t>.</w:t>
            </w:r>
          </w:p>
        </w:tc>
      </w:tr>
      <w:tr w:rsidR="00E63581" w14:paraId="1F5F198A" w14:textId="77777777" w:rsidTr="00D072CD">
        <w:tc>
          <w:tcPr>
            <w:tcW w:w="2972" w:type="dxa"/>
            <w:vMerge/>
          </w:tcPr>
          <w:p w14:paraId="73A17C32" w14:textId="77777777" w:rsidR="00E63581" w:rsidRPr="00CA24D3" w:rsidRDefault="00E63581" w:rsidP="00E63581">
            <w:pPr>
              <w:pStyle w:val="BodyText1"/>
              <w:rPr>
                <w:rStyle w:val="IntenseEmphasis"/>
                <w:i w:val="0"/>
                <w:iCs w:val="0"/>
                <w:color w:val="auto"/>
              </w:rPr>
            </w:pPr>
          </w:p>
        </w:tc>
        <w:tc>
          <w:tcPr>
            <w:tcW w:w="5954" w:type="dxa"/>
          </w:tcPr>
          <w:p w14:paraId="15267264" w14:textId="1AFDFD67" w:rsidR="00E63581" w:rsidRDefault="00E63581" w:rsidP="00B95536">
            <w:pPr>
              <w:pStyle w:val="Tabletext"/>
            </w:pPr>
            <w:r w:rsidRPr="001F0EE5">
              <w:rPr>
                <w:rFonts w:cs="Calibri"/>
                <w:szCs w:val="20"/>
              </w:rPr>
              <w:t xml:space="preserve">While the model is associated with positive </w:t>
            </w:r>
            <w:r w:rsidR="005513AE">
              <w:rPr>
                <w:rFonts w:cs="Calibri"/>
                <w:szCs w:val="20"/>
              </w:rPr>
              <w:t>psychosocial</w:t>
            </w:r>
            <w:r w:rsidRPr="001F0EE5">
              <w:rPr>
                <w:rFonts w:cs="Calibri"/>
                <w:szCs w:val="20"/>
              </w:rPr>
              <w:t xml:space="preserve"> outcomes for young people, the majority do not see a clinically significant change to their outcomes.</w:t>
            </w:r>
          </w:p>
        </w:tc>
      </w:tr>
      <w:tr w:rsidR="00E63581" w14:paraId="4CE79D63" w14:textId="77777777" w:rsidTr="00D072CD">
        <w:tc>
          <w:tcPr>
            <w:tcW w:w="2972" w:type="dxa"/>
            <w:vMerge/>
          </w:tcPr>
          <w:p w14:paraId="1E638898" w14:textId="77777777" w:rsidR="00E63581" w:rsidRPr="00CA24D3" w:rsidRDefault="00E63581" w:rsidP="00E63581">
            <w:pPr>
              <w:pStyle w:val="BodyText1"/>
              <w:rPr>
                <w:rStyle w:val="IntenseEmphasis"/>
                <w:i w:val="0"/>
                <w:iCs w:val="0"/>
                <w:color w:val="auto"/>
              </w:rPr>
            </w:pPr>
          </w:p>
        </w:tc>
        <w:tc>
          <w:tcPr>
            <w:tcW w:w="5954" w:type="dxa"/>
          </w:tcPr>
          <w:p w14:paraId="6B7BF14E" w14:textId="32973ED9" w:rsidR="00E63581" w:rsidRDefault="00E63581" w:rsidP="00B95536">
            <w:pPr>
              <w:pStyle w:val="Tabletext"/>
            </w:pPr>
            <w:r w:rsidRPr="001F0EE5">
              <w:t xml:space="preserve">Young people who present with high levels of mental distress and who go on to access </w:t>
            </w:r>
            <w:r w:rsidR="004D3310">
              <w:t>at least six to eight</w:t>
            </w:r>
            <w:r w:rsidRPr="001F0EE5">
              <w:t xml:space="preserve"> sessions achieve the greatest improvement in outcomes.</w:t>
            </w:r>
          </w:p>
        </w:tc>
      </w:tr>
      <w:tr w:rsidR="00E63581" w14:paraId="75ADF172" w14:textId="77777777" w:rsidTr="00D072CD">
        <w:tc>
          <w:tcPr>
            <w:tcW w:w="2972" w:type="dxa"/>
            <w:vMerge/>
          </w:tcPr>
          <w:p w14:paraId="6DD74114" w14:textId="77777777" w:rsidR="00E63581" w:rsidRPr="00CA24D3" w:rsidRDefault="00E63581" w:rsidP="00E63581">
            <w:pPr>
              <w:pStyle w:val="BodyText1"/>
              <w:rPr>
                <w:rStyle w:val="IntenseEmphasis"/>
                <w:i w:val="0"/>
                <w:iCs w:val="0"/>
                <w:color w:val="auto"/>
              </w:rPr>
            </w:pPr>
          </w:p>
        </w:tc>
        <w:tc>
          <w:tcPr>
            <w:tcW w:w="5954" w:type="dxa"/>
          </w:tcPr>
          <w:p w14:paraId="3C6DDFCA" w14:textId="70F20AA0" w:rsidR="00B95D18" w:rsidRDefault="0025562F" w:rsidP="00821444">
            <w:pPr>
              <w:pStyle w:val="Tabletext"/>
            </w:pPr>
            <w:r w:rsidRPr="00913DAB">
              <w:t>Clinical outcomes</w:t>
            </w:r>
            <w:r>
              <w:t xml:space="preserve">, although positive, </w:t>
            </w:r>
            <w:r w:rsidRPr="00913DAB">
              <w:t xml:space="preserve">are not as strong for LGBTQIA+ </w:t>
            </w:r>
            <w:r w:rsidR="00042881">
              <w:t>young people</w:t>
            </w:r>
            <w:r w:rsidRPr="00913DAB">
              <w:t xml:space="preserve"> as they are for the general population of young people accessing the headspace model.</w:t>
            </w:r>
            <w:r>
              <w:t xml:space="preserve"> </w:t>
            </w:r>
          </w:p>
          <w:p w14:paraId="75E88E74" w14:textId="5D94E86C" w:rsidR="00E63581" w:rsidRPr="001F0EE5" w:rsidRDefault="0025562F" w:rsidP="00821444">
            <w:pPr>
              <w:pStyle w:val="Tabletext"/>
            </w:pPr>
            <w:r>
              <w:t xml:space="preserve">Clinical outcomes for </w:t>
            </w:r>
            <w:r w:rsidRPr="0025562F">
              <w:t>Aboriginal and Torres Strait Islander young peopl</w:t>
            </w:r>
            <w:r>
              <w:t xml:space="preserve">e are </w:t>
            </w:r>
            <w:r w:rsidR="005470E7">
              <w:t>mixed</w:t>
            </w:r>
            <w:r w:rsidR="00B95D18">
              <w:t xml:space="preserve">. When using the K10 outcome measure, </w:t>
            </w:r>
            <w:r w:rsidR="009E3E1F">
              <w:t>thi</w:t>
            </w:r>
            <w:r w:rsidR="00F54661">
              <w:t>s</w:t>
            </w:r>
            <w:r w:rsidR="009E3E1F">
              <w:t xml:space="preserve"> cohort achieved statistically similar outcomes as the general population of young people accessing the headspace model.</w:t>
            </w:r>
            <w:r w:rsidR="00F85424">
              <w:t xml:space="preserve"> However, outcomes are not as strong for </w:t>
            </w:r>
            <w:r w:rsidR="00F85424" w:rsidRPr="0025562F">
              <w:t>Aboriginal and Torres Strait Islander young peopl</w:t>
            </w:r>
            <w:r w:rsidR="00F85424">
              <w:t>e when using the SOFAS and MLT outcome measure</w:t>
            </w:r>
            <w:r w:rsidR="00F84063">
              <w:t>s</w:t>
            </w:r>
            <w:r w:rsidR="00F54661">
              <w:t>.</w:t>
            </w:r>
          </w:p>
        </w:tc>
      </w:tr>
      <w:tr w:rsidR="00E63581" w14:paraId="1BFC4C6E" w14:textId="77777777" w:rsidTr="00D072CD">
        <w:tc>
          <w:tcPr>
            <w:tcW w:w="2972" w:type="dxa"/>
            <w:vMerge/>
          </w:tcPr>
          <w:p w14:paraId="2D14A59D" w14:textId="77777777" w:rsidR="00E63581" w:rsidRPr="00CA24D3" w:rsidRDefault="00E63581" w:rsidP="00E63581">
            <w:pPr>
              <w:pStyle w:val="BodyText1"/>
              <w:rPr>
                <w:rStyle w:val="IntenseEmphasis"/>
                <w:i w:val="0"/>
                <w:iCs w:val="0"/>
                <w:color w:val="auto"/>
              </w:rPr>
            </w:pPr>
          </w:p>
        </w:tc>
        <w:tc>
          <w:tcPr>
            <w:tcW w:w="5954" w:type="dxa"/>
          </w:tcPr>
          <w:p w14:paraId="0C2253FA" w14:textId="4B388482" w:rsidR="00E63581" w:rsidRPr="001F0EE5" w:rsidRDefault="00E63581" w:rsidP="00AE3FA6">
            <w:pPr>
              <w:pStyle w:val="Tabletext"/>
            </w:pPr>
            <w:r w:rsidRPr="001F0EE5">
              <w:t xml:space="preserve">Analysis of longer-term impacts failed to identify any conclusive and consistent effects where access to services through the headspace model leads to improvements in hospitalisation rates. </w:t>
            </w:r>
          </w:p>
        </w:tc>
      </w:tr>
      <w:tr w:rsidR="00E63581" w14:paraId="3CE1D4E8" w14:textId="77777777" w:rsidTr="00D072CD">
        <w:tc>
          <w:tcPr>
            <w:tcW w:w="2972" w:type="dxa"/>
            <w:vMerge/>
          </w:tcPr>
          <w:p w14:paraId="390CCAB0" w14:textId="77777777" w:rsidR="00E63581" w:rsidRPr="00CA24D3" w:rsidRDefault="00E63581" w:rsidP="00E63581">
            <w:pPr>
              <w:pStyle w:val="BodyText1"/>
              <w:rPr>
                <w:rStyle w:val="IntenseEmphasis"/>
                <w:i w:val="0"/>
                <w:iCs w:val="0"/>
                <w:color w:val="auto"/>
              </w:rPr>
            </w:pPr>
          </w:p>
        </w:tc>
        <w:tc>
          <w:tcPr>
            <w:tcW w:w="5954" w:type="dxa"/>
          </w:tcPr>
          <w:p w14:paraId="3AC89AA7" w14:textId="524056DA" w:rsidR="00E63581" w:rsidRPr="001F0EE5" w:rsidRDefault="00E63581" w:rsidP="00AE3FA6">
            <w:pPr>
              <w:pStyle w:val="Tabletext"/>
            </w:pPr>
            <w:r w:rsidRPr="001F0EE5">
              <w:t>The full headspace model is preferred over satellite services, however the small sample size makes it difficult to either affirm or disconfirm if clinical outcomes for young people support this position.</w:t>
            </w:r>
            <w:r w:rsidRPr="001F0EE5">
              <w:rPr>
                <w:rStyle w:val="IntenseEmphasis"/>
                <w:color w:val="auto"/>
              </w:rPr>
              <w:t xml:space="preserve"> </w:t>
            </w:r>
          </w:p>
        </w:tc>
      </w:tr>
    </w:tbl>
    <w:p w14:paraId="0503ECA3" w14:textId="6A1A10B6" w:rsidR="00D35DB6" w:rsidRPr="006060BF" w:rsidRDefault="00700E80" w:rsidP="006060BF">
      <w:pPr>
        <w:pStyle w:val="Source"/>
        <w:rPr>
          <w:szCs w:val="16"/>
        </w:rPr>
      </w:pPr>
      <w:r w:rsidRPr="00055013">
        <w:rPr>
          <w:szCs w:val="16"/>
        </w:rPr>
        <w:t xml:space="preserve">Source: KPMG </w:t>
      </w:r>
      <w:r>
        <w:rPr>
          <w:szCs w:val="16"/>
        </w:rPr>
        <w:t>2022</w:t>
      </w:r>
      <w:r w:rsidRPr="00CF2E3E">
        <w:rPr>
          <w:szCs w:val="16"/>
        </w:rPr>
        <w:t xml:space="preserve"> </w:t>
      </w:r>
    </w:p>
    <w:p w14:paraId="3436E73A" w14:textId="16E0A0A6" w:rsidR="00726B12" w:rsidRPr="001D6913" w:rsidRDefault="00726B12" w:rsidP="003941C8">
      <w:pPr>
        <w:pStyle w:val="Heading1"/>
      </w:pPr>
      <w:bookmarkStart w:id="105" w:name="astart"/>
      <w:bookmarkStart w:id="106" w:name="_Ref80734546"/>
      <w:bookmarkStart w:id="107" w:name="_Toc108173983"/>
      <w:bookmarkEnd w:id="105"/>
      <w:r w:rsidRPr="001D6913">
        <w:t>Cost-</w:t>
      </w:r>
      <w:r w:rsidRPr="00DE5BA0">
        <w:t>effectiveness</w:t>
      </w:r>
      <w:r w:rsidRPr="001D6913">
        <w:t xml:space="preserve"> and value of headspace</w:t>
      </w:r>
      <w:bookmarkEnd w:id="106"/>
      <w:bookmarkEnd w:id="107"/>
    </w:p>
    <w:p w14:paraId="39517217" w14:textId="73F941AB" w:rsidR="00726B12" w:rsidRPr="001D6913" w:rsidRDefault="00726B12" w:rsidP="00DE5BA0">
      <w:pPr>
        <w:pStyle w:val="Heading2"/>
      </w:pPr>
      <w:bookmarkStart w:id="108" w:name="_Ref80734575"/>
      <w:bookmarkStart w:id="109" w:name="_Toc108173984"/>
      <w:r w:rsidRPr="001D6913">
        <w:t>The full cost of delivering headspace</w:t>
      </w:r>
      <w:bookmarkEnd w:id="108"/>
      <w:bookmarkEnd w:id="109"/>
    </w:p>
    <w:p w14:paraId="6C2A0766" w14:textId="77777777" w:rsidR="00623339" w:rsidRPr="003941C8" w:rsidRDefault="00623339" w:rsidP="003941C8">
      <w:pPr>
        <w:pStyle w:val="Heading3"/>
      </w:pPr>
      <w:r w:rsidRPr="003941C8">
        <w:t>Estimating the cost of delivering headspace</w:t>
      </w:r>
    </w:p>
    <w:p w14:paraId="01B06A34" w14:textId="4E15E236" w:rsidR="000566DC" w:rsidRDefault="000566DC" w:rsidP="006B7096">
      <w:pPr>
        <w:pStyle w:val="BodyText"/>
      </w:pPr>
      <w:r>
        <w:t xml:space="preserve">The </w:t>
      </w:r>
      <w:r w:rsidR="006E307B">
        <w:t>funding provided</w:t>
      </w:r>
      <w:r w:rsidR="006E0126">
        <w:t xml:space="preserve"> to operate</w:t>
      </w:r>
      <w:r>
        <w:t xml:space="preserve"> headspace includes the national headspace grant; any additional funding that a PHN, state or federal government may provide to deliver </w:t>
      </w:r>
      <w:r w:rsidR="00EA6713">
        <w:t>specific activities</w:t>
      </w:r>
      <w:r>
        <w:t>; activity-based funding of services through the MBS; in-kind contributions; private donations; and any out</w:t>
      </w:r>
      <w:r w:rsidR="00F43D82">
        <w:t>-</w:t>
      </w:r>
      <w:r>
        <w:t xml:space="preserve">of-pocket payments made by young people or their carers. </w:t>
      </w:r>
    </w:p>
    <w:p w14:paraId="711378C1" w14:textId="2A5CDB5C" w:rsidR="00835739" w:rsidRDefault="00835739" w:rsidP="006B7096">
      <w:pPr>
        <w:pStyle w:val="BodyText"/>
      </w:pPr>
      <w:r>
        <w:t xml:space="preserve">No </w:t>
      </w:r>
      <w:r w:rsidR="009D7EF3">
        <w:t>single</w:t>
      </w:r>
      <w:r>
        <w:t xml:space="preserve"> source captures these range</w:t>
      </w:r>
      <w:r w:rsidR="00E1593E">
        <w:t>s</w:t>
      </w:r>
      <w:r>
        <w:t xml:space="preserve"> of costs of delivering headspace</w:t>
      </w:r>
      <w:r w:rsidR="5E54394E">
        <w:t>.</w:t>
      </w:r>
      <w:r>
        <w:t xml:space="preserve"> The </w:t>
      </w:r>
      <w:r w:rsidR="007F3889">
        <w:t>d</w:t>
      </w:r>
      <w:r>
        <w:t xml:space="preserve">epartment records the </w:t>
      </w:r>
      <w:r w:rsidR="00DD320A">
        <w:t>national headspace grant</w:t>
      </w:r>
      <w:r>
        <w:t xml:space="preserve"> costs but does not </w:t>
      </w:r>
      <w:r w:rsidR="00C472CA" w:rsidRPr="009505A2">
        <w:t>require services to</w:t>
      </w:r>
      <w:r w:rsidR="00300F5C" w:rsidRPr="009505A2">
        <w:t xml:space="preserve"> record the division of</w:t>
      </w:r>
      <w:r>
        <w:t xml:space="preserve"> the grant between service provision and indirect costs</w:t>
      </w:r>
      <w:r w:rsidR="000C4BF0">
        <w:t>,</w:t>
      </w:r>
      <w:r w:rsidR="00300F5C" w:rsidRPr="009505A2">
        <w:t xml:space="preserve"> such as rent and utilities, office expenses and community awareness expenses</w:t>
      </w:r>
      <w:r>
        <w:t xml:space="preserve">. The </w:t>
      </w:r>
      <w:r w:rsidR="00405EE2">
        <w:t>h</w:t>
      </w:r>
      <w:r>
        <w:t xml:space="preserve">MDS identifies the funding source for each occasion of service provided by headspace but does not capture the </w:t>
      </w:r>
      <w:r w:rsidR="00187277">
        <w:t>value of funding for</w:t>
      </w:r>
      <w:r>
        <w:t xml:space="preserve"> that occasion of service. Any funding of indirect costs</w:t>
      </w:r>
      <w:r w:rsidR="00E1593E">
        <w:t>,</w:t>
      </w:r>
      <w:r>
        <w:t xml:space="preserve"> such as in-kind contributions for physical space</w:t>
      </w:r>
      <w:r w:rsidR="00E1593E">
        <w:t>,</w:t>
      </w:r>
      <w:r>
        <w:t xml:space="preserve"> can only be provided by the </w:t>
      </w:r>
      <w:r w:rsidR="00086A10">
        <w:t>service</w:t>
      </w:r>
      <w:r>
        <w:t xml:space="preserve"> itself and may be prone to a range of data quality issues (e.g</w:t>
      </w:r>
      <w:r w:rsidR="00B24A04">
        <w:t>.,</w:t>
      </w:r>
      <w:r>
        <w:t xml:space="preserve"> definition and quantification of in-kind support may vary). </w:t>
      </w:r>
    </w:p>
    <w:p w14:paraId="130C7A0E" w14:textId="2C1697E2" w:rsidR="00835739" w:rsidRDefault="00835739" w:rsidP="006B7096">
      <w:pPr>
        <w:pStyle w:val="BodyText"/>
      </w:pPr>
      <w:r>
        <w:t>For this evaluation, the sources and methodologies</w:t>
      </w:r>
      <w:r w:rsidR="000E48CE">
        <w:t xml:space="preserve"> </w:t>
      </w:r>
      <w:r>
        <w:t>to estimate the full cost of delivering headspace</w:t>
      </w:r>
      <w:r w:rsidR="005E6308">
        <w:t xml:space="preserve"> are as follows</w:t>
      </w:r>
      <w:r w:rsidR="007E7C3A">
        <w:t>.</w:t>
      </w:r>
    </w:p>
    <w:p w14:paraId="60B31AF7" w14:textId="36A06BA4" w:rsidR="00835739" w:rsidRDefault="00835739" w:rsidP="005E6308">
      <w:pPr>
        <w:pStyle w:val="Bullet1stlevel"/>
      </w:pPr>
      <w:r>
        <w:t xml:space="preserve">Direct and indirect headspace costs funded by the national </w:t>
      </w:r>
      <w:r w:rsidR="00B73BAE">
        <w:t>headspace</w:t>
      </w:r>
      <w:r>
        <w:t xml:space="preserve"> grant itself – </w:t>
      </w:r>
      <w:r w:rsidR="00517CEB">
        <w:t>available</w:t>
      </w:r>
      <w:r>
        <w:t xml:space="preserve"> from the </w:t>
      </w:r>
      <w:r w:rsidR="003A1AE9">
        <w:t>administrative funding data</w:t>
      </w:r>
      <w:r w:rsidR="00517CEB">
        <w:t>.</w:t>
      </w:r>
      <w:r w:rsidR="003A1AE9" w:rsidDel="003A1AE9">
        <w:t xml:space="preserve"> </w:t>
      </w:r>
    </w:p>
    <w:p w14:paraId="521E5231" w14:textId="6890AB48" w:rsidR="00835739" w:rsidRDefault="00835739" w:rsidP="005E6308">
      <w:pPr>
        <w:pStyle w:val="Bullet1stlevel"/>
      </w:pPr>
      <w:r>
        <w:t>Direct headspace service</w:t>
      </w:r>
      <w:r w:rsidR="004A0713">
        <w:t xml:space="preserve"> costs</w:t>
      </w:r>
      <w:r>
        <w:t xml:space="preserve"> not funded by the </w:t>
      </w:r>
      <w:r w:rsidR="0064409E">
        <w:t xml:space="preserve">national </w:t>
      </w:r>
      <w:r>
        <w:t xml:space="preserve">headspace grant </w:t>
      </w:r>
      <w:r w:rsidR="007A528E">
        <w:t>–</w:t>
      </w:r>
      <w:r>
        <w:t xml:space="preserve"> the </w:t>
      </w:r>
      <w:r w:rsidR="00B92C78">
        <w:t>h</w:t>
      </w:r>
      <w:r>
        <w:t>MDS identifies the volume</w:t>
      </w:r>
      <w:r w:rsidR="007A528E">
        <w:t>,</w:t>
      </w:r>
      <w:r>
        <w:t xml:space="preserve"> but not the value</w:t>
      </w:r>
      <w:r w:rsidR="007A528E">
        <w:t>,</w:t>
      </w:r>
      <w:r>
        <w:t xml:space="preserve"> of direct service provision that is not funded by alternative sources such as the MBS, other government funding or in-kind contributions. The value of these contributions is estimated as a volume-weighted average of the equivalent MBS benefit fees </w:t>
      </w:r>
      <w:r w:rsidR="00CA2EA6">
        <w:t xml:space="preserve">(see </w:t>
      </w:r>
      <w:r w:rsidR="00A11923">
        <w:fldChar w:fldCharType="begin" w:fldLock="1"/>
      </w:r>
      <w:r w:rsidR="00A11923">
        <w:instrText xml:space="preserve"> REF _Ref81294409 \r \h </w:instrText>
      </w:r>
      <w:r w:rsidR="00A11923">
        <w:fldChar w:fldCharType="separate"/>
      </w:r>
      <w:r w:rsidR="00AE4D34">
        <w:t>Appendix J</w:t>
      </w:r>
      <w:r w:rsidR="00A11923">
        <w:fldChar w:fldCharType="end"/>
      </w:r>
      <w:r>
        <w:t>).</w:t>
      </w:r>
    </w:p>
    <w:p w14:paraId="7BEE4AAD" w14:textId="1824298B" w:rsidR="00835739" w:rsidRDefault="00835739" w:rsidP="00DF414C">
      <w:pPr>
        <w:pStyle w:val="Bullet1stlevel"/>
      </w:pPr>
      <w:r>
        <w:t xml:space="preserve">Indirect headspace costs not funded by the headspace grant – a bespoke data collation exercise </w:t>
      </w:r>
      <w:r w:rsidR="001D020C">
        <w:t>was completed but did not deliver consistent or reliable data and</w:t>
      </w:r>
      <w:r w:rsidR="00FD3350">
        <w:t>,</w:t>
      </w:r>
      <w:r w:rsidR="001D020C">
        <w:t xml:space="preserve"> as a result</w:t>
      </w:r>
      <w:r w:rsidR="00FD3350">
        <w:t>,</w:t>
      </w:r>
      <w:r w:rsidR="001D020C">
        <w:t xml:space="preserve"> </w:t>
      </w:r>
      <w:r w:rsidR="00E32F79">
        <w:t>these costs are not considered within this analysis</w:t>
      </w:r>
      <w:r>
        <w:t>.</w:t>
      </w:r>
      <w:r w:rsidR="00730B4D">
        <w:t xml:space="preserve"> </w:t>
      </w:r>
    </w:p>
    <w:p w14:paraId="08A70D65" w14:textId="134B3CD6" w:rsidR="00726B12" w:rsidRPr="001D6913" w:rsidRDefault="00835739" w:rsidP="006B7096">
      <w:pPr>
        <w:pStyle w:val="BodyText"/>
      </w:pPr>
      <w:r>
        <w:t xml:space="preserve">The following </w:t>
      </w:r>
      <w:r w:rsidR="00D3599A">
        <w:t>sub-</w:t>
      </w:r>
      <w:r>
        <w:t xml:space="preserve">sections examine each of these areas in more detail. Note that the cost analysis here considers only </w:t>
      </w:r>
      <w:r w:rsidR="00BF45BE">
        <w:t>headspace services</w:t>
      </w:r>
      <w:r>
        <w:t xml:space="preserve"> that </w:t>
      </w:r>
      <w:r w:rsidR="004A0713">
        <w:t>opened</w:t>
      </w:r>
      <w:r w:rsidR="000A62AD">
        <w:t xml:space="preserve"> before 30 June 2019</w:t>
      </w:r>
      <w:r w:rsidR="00314BC2">
        <w:t xml:space="preserve">, to ensure each service had </w:t>
      </w:r>
      <w:r w:rsidR="00227586">
        <w:t>reached full implementation</w:t>
      </w:r>
      <w:r>
        <w:t xml:space="preserve">. </w:t>
      </w:r>
      <w:r w:rsidR="00A76BEF">
        <w:t>Given this selection criteria</w:t>
      </w:r>
      <w:r w:rsidR="00CC0438">
        <w:rPr>
          <w:rFonts w:ascii="ZWAdobeF" w:hAnsi="ZWAdobeF" w:cs="ZWAdobeF"/>
          <w:sz w:val="2"/>
          <w:szCs w:val="2"/>
        </w:rPr>
        <w:t>132F</w:t>
      </w:r>
      <w:r w:rsidR="00B1601B">
        <w:rPr>
          <w:rStyle w:val="FootnoteReference"/>
        </w:rPr>
        <w:footnoteReference w:id="134"/>
      </w:r>
      <w:r w:rsidR="00F31C2A">
        <w:t xml:space="preserve">, </w:t>
      </w:r>
      <w:r w:rsidR="0049513E">
        <w:t>there are</w:t>
      </w:r>
      <w:r w:rsidR="009E3EB9">
        <w:t xml:space="preserve"> 112 headspace services to estimate the costs of deliver</w:t>
      </w:r>
      <w:r w:rsidR="004F0455">
        <w:t xml:space="preserve">ing headspace, three of which are </w:t>
      </w:r>
      <w:r w:rsidR="0088459E">
        <w:t>satellite</w:t>
      </w:r>
      <w:r w:rsidR="0049513E">
        <w:t xml:space="preserve"> services</w:t>
      </w:r>
      <w:r w:rsidR="00CC0438">
        <w:rPr>
          <w:rFonts w:ascii="ZWAdobeF" w:hAnsi="ZWAdobeF" w:cs="ZWAdobeF"/>
          <w:sz w:val="2"/>
          <w:szCs w:val="2"/>
        </w:rPr>
        <w:t>133F</w:t>
      </w:r>
      <w:r w:rsidR="00982CFC">
        <w:rPr>
          <w:rStyle w:val="FootnoteReference"/>
        </w:rPr>
        <w:footnoteReference w:id="135"/>
      </w:r>
      <w:r w:rsidR="00C733CE" w:rsidRPr="00C733CE">
        <w:rPr>
          <w:vertAlign w:val="superscript"/>
        </w:rPr>
        <w:t>,</w:t>
      </w:r>
      <w:r w:rsidR="00CC0438">
        <w:rPr>
          <w:rFonts w:ascii="ZWAdobeF" w:hAnsi="ZWAdobeF" w:cs="ZWAdobeF"/>
          <w:sz w:val="2"/>
          <w:szCs w:val="2"/>
        </w:rPr>
        <w:t>134F</w:t>
      </w:r>
      <w:r w:rsidR="003B1925">
        <w:rPr>
          <w:rStyle w:val="FootnoteReference"/>
        </w:rPr>
        <w:footnoteReference w:id="136"/>
      </w:r>
      <w:r w:rsidR="00A469C7">
        <w:t>.</w:t>
      </w:r>
    </w:p>
    <w:p w14:paraId="415B456A" w14:textId="649B52A3" w:rsidR="00230214" w:rsidRDefault="00230214" w:rsidP="003941C8">
      <w:pPr>
        <w:pStyle w:val="Heading3"/>
      </w:pPr>
      <w:r>
        <w:t xml:space="preserve">Direct and indirect costs funded by the </w:t>
      </w:r>
      <w:r w:rsidR="00DD320A">
        <w:t>national headspace grant</w:t>
      </w:r>
    </w:p>
    <w:p w14:paraId="1039549D" w14:textId="3E5A839A" w:rsidR="00E8251D" w:rsidRDefault="00E8251D" w:rsidP="003006A8">
      <w:pPr>
        <w:pStyle w:val="BodyText"/>
      </w:pPr>
      <w:r>
        <w:t xml:space="preserve">The </w:t>
      </w:r>
      <w:r w:rsidR="00DD320A">
        <w:t>national headspace grant</w:t>
      </w:r>
      <w:r>
        <w:t xml:space="preserve"> is the major funding source for headspace. The cost of the headspace grant for </w:t>
      </w:r>
      <w:r w:rsidR="000B09B7">
        <w:t>2019-20</w:t>
      </w:r>
      <w:r>
        <w:t xml:space="preserve"> </w:t>
      </w:r>
      <w:r w:rsidR="00535D02">
        <w:t>was</w:t>
      </w:r>
      <w:r>
        <w:t xml:space="preserve"> $</w:t>
      </w:r>
      <w:r w:rsidR="00C95BBA">
        <w:t>101</w:t>
      </w:r>
      <w:r>
        <w:t xml:space="preserve"> million.</w:t>
      </w:r>
    </w:p>
    <w:p w14:paraId="026FD2E5" w14:textId="389412BA" w:rsidR="00E8251D" w:rsidRDefault="00E8251D" w:rsidP="00E8251D">
      <w:pPr>
        <w:pStyle w:val="BodyText"/>
      </w:pPr>
      <w:r>
        <w:t xml:space="preserve">Under the current funding model, all </w:t>
      </w:r>
      <w:r w:rsidR="00814873">
        <w:t xml:space="preserve">headspace </w:t>
      </w:r>
      <w:r w:rsidR="11DD6BAB">
        <w:t>services</w:t>
      </w:r>
      <w:r>
        <w:t xml:space="preserve"> receive relatively similar annual funding amounts regardless of the volume of services they deliver, with an average of $914,300 per </w:t>
      </w:r>
      <w:r w:rsidR="001F7961">
        <w:t>centre</w:t>
      </w:r>
      <w:r w:rsidR="00127DDC">
        <w:t>.</w:t>
      </w:r>
      <w:r>
        <w:t xml:space="preserve"> Satellite s</w:t>
      </w:r>
      <w:r w:rsidR="00BF45BE">
        <w:t>ervice</w:t>
      </w:r>
      <w:r>
        <w:t>s received an average of $404,100.</w:t>
      </w:r>
      <w:r w:rsidR="00730B4D">
        <w:t xml:space="preserve"> </w:t>
      </w:r>
    </w:p>
    <w:p w14:paraId="3428F051" w14:textId="659C6801" w:rsidR="0007469E" w:rsidRPr="00C86CE3" w:rsidRDefault="0007469E" w:rsidP="0007469E">
      <w:pPr>
        <w:pStyle w:val="Caption"/>
      </w:pPr>
      <w:bookmarkStart w:id="110" w:name="_Ref95137062"/>
      <w:bookmarkStart w:id="111" w:name="_Toc108109205"/>
      <w:r w:rsidRPr="00C86CE3">
        <w:t xml:space="preserve">Figure </w:t>
      </w:r>
      <w:r>
        <w:fldChar w:fldCharType="begin"/>
      </w:r>
      <w:r>
        <w:instrText>SEQ Figure \* ARABIC</w:instrText>
      </w:r>
      <w:r>
        <w:fldChar w:fldCharType="separate"/>
      </w:r>
      <w:r w:rsidR="00CC0438">
        <w:rPr>
          <w:noProof/>
        </w:rPr>
        <w:t>20</w:t>
      </w:r>
      <w:r>
        <w:fldChar w:fldCharType="end"/>
      </w:r>
      <w:bookmarkEnd w:id="110"/>
      <w:r w:rsidRPr="00C86CE3">
        <w:t>:</w:t>
      </w:r>
      <w:r w:rsidR="005B5FCC" w:rsidRPr="00C86CE3">
        <w:t xml:space="preserve"> </w:t>
      </w:r>
      <w:r w:rsidR="000947D5" w:rsidRPr="00C86CE3">
        <w:t xml:space="preserve">National </w:t>
      </w:r>
      <w:r w:rsidR="005B5FCC" w:rsidRPr="00C86CE3">
        <w:t xml:space="preserve">headspace </w:t>
      </w:r>
      <w:r w:rsidR="000947D5" w:rsidRPr="00C86CE3">
        <w:t xml:space="preserve">grant </w:t>
      </w:r>
      <w:r w:rsidR="005B5FCC" w:rsidRPr="00C86CE3">
        <w:t xml:space="preserve">funding </w:t>
      </w:r>
      <w:r w:rsidR="00E73894" w:rsidRPr="00C86CE3">
        <w:t xml:space="preserve">by </w:t>
      </w:r>
      <w:r w:rsidR="00B179EC" w:rsidRPr="00C86CE3">
        <w:t>service</w:t>
      </w:r>
      <w:r w:rsidR="00E73894" w:rsidRPr="00C86CE3">
        <w:t xml:space="preserve"> by volume</w:t>
      </w:r>
      <w:r w:rsidR="00A91805">
        <w:t xml:space="preserve"> </w:t>
      </w:r>
      <w:r w:rsidR="00755E0A">
        <w:t>during 2019-20</w:t>
      </w:r>
      <w:bookmarkEnd w:id="111"/>
    </w:p>
    <w:p w14:paraId="1619EA1D" w14:textId="44545AD1" w:rsidR="0007469E" w:rsidRPr="00C86CE3" w:rsidRDefault="009F44AF" w:rsidP="003006A8">
      <w:pPr>
        <w:pStyle w:val="BodyText"/>
      </w:pPr>
      <w:r w:rsidRPr="009F44AF">
        <w:t xml:space="preserve"> </w:t>
      </w:r>
      <w:r w:rsidR="004A07B6">
        <w:rPr>
          <w:noProof/>
        </w:rPr>
        <w:drawing>
          <wp:inline distT="0" distB="0" distL="0" distR="0" wp14:anchorId="4125E9D9" wp14:editId="7A753141">
            <wp:extent cx="5036820" cy="3238500"/>
            <wp:effectExtent l="0" t="0" r="0" b="0"/>
            <wp:docPr id="3" name="Picture 3" descr="Figure 20 is a scatter chart showing the relationship between level of funding received by each headspace services as compared to the total occasions of service provided in 2019-20. Most points on the chart for headspace centres fall between a few hundred occasions of service and 5,000 occasions of service, and $700,000 in funding and $1.2million in funding. There are 2 outlier centres, one delivers over 9,000 occasions of service, and one receives less than $300,000 in funding. &#10;The three satellite services plotted are grouped at approximately $400,000 and between a few hundred and 2,000 occasions of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0 is a scatter chart showing the relationship between level of funding received by each headspace services as compared to the total occasions of service provided in 2019-20. Most points on the chart for headspace centres fall between a few hundred occasions of service and 5,000 occasions of service, and $700,000 in funding and $1.2million in funding. There are 2 outlier centres, one delivers over 9,000 occasions of service, and one receives less than $300,000 in funding. &#10;The three satellite services plotted are grouped at approximately $400,000 and between a few hundred and 2,000 occasions of services.&#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6820" cy="3238500"/>
                    </a:xfrm>
                    <a:prstGeom prst="rect">
                      <a:avLst/>
                    </a:prstGeom>
                    <a:noFill/>
                    <a:ln>
                      <a:noFill/>
                    </a:ln>
                  </pic:spPr>
                </pic:pic>
              </a:graphicData>
            </a:graphic>
          </wp:inline>
        </w:drawing>
      </w:r>
    </w:p>
    <w:p w14:paraId="608132AC" w14:textId="599AC47C" w:rsidR="005F4223" w:rsidRPr="00CF2E3E" w:rsidRDefault="005F4223" w:rsidP="005F4223">
      <w:pPr>
        <w:pStyle w:val="Source"/>
        <w:rPr>
          <w:szCs w:val="16"/>
        </w:rPr>
      </w:pPr>
      <w:r w:rsidRPr="00055013">
        <w:rPr>
          <w:szCs w:val="16"/>
        </w:rPr>
        <w:t xml:space="preserve">Source: KPMG analysis of the </w:t>
      </w:r>
      <w:r>
        <w:rPr>
          <w:szCs w:val="16"/>
        </w:rPr>
        <w:t>total cost dataset</w:t>
      </w:r>
    </w:p>
    <w:p w14:paraId="52DC9E28" w14:textId="475E408E" w:rsidR="002C414A" w:rsidRPr="002C414A" w:rsidRDefault="005F4223" w:rsidP="00002804">
      <w:pPr>
        <w:pStyle w:val="Source"/>
      </w:pPr>
      <w:r w:rsidRPr="00CF2E3E">
        <w:rPr>
          <w:szCs w:val="16"/>
        </w:rPr>
        <w:t xml:space="preserve">Notes: See </w:t>
      </w:r>
      <w:r w:rsidR="00126243">
        <w:rPr>
          <w:szCs w:val="16"/>
        </w:rPr>
        <w:fldChar w:fldCharType="begin" w:fldLock="1"/>
      </w:r>
      <w:r w:rsidR="00126243">
        <w:rPr>
          <w:szCs w:val="16"/>
        </w:rPr>
        <w:instrText xml:space="preserve"> REF _Ref98402466 \r \h </w:instrText>
      </w:r>
      <w:r w:rsidR="00126243">
        <w:rPr>
          <w:szCs w:val="16"/>
        </w:rPr>
      </w:r>
      <w:r w:rsidR="00126243">
        <w:rPr>
          <w:szCs w:val="16"/>
        </w:rPr>
        <w:fldChar w:fldCharType="separate"/>
      </w:r>
      <w:r w:rsidR="00AE4D34">
        <w:rPr>
          <w:szCs w:val="16"/>
        </w:rPr>
        <w:t>Appendix F</w:t>
      </w:r>
      <w:r w:rsidR="00126243">
        <w:rPr>
          <w:szCs w:val="16"/>
        </w:rPr>
        <w:fldChar w:fldCharType="end"/>
      </w:r>
      <w:r w:rsidR="00126243" w:rsidRPr="00DC006F">
        <w:rPr>
          <w:szCs w:val="16"/>
        </w:rPr>
        <w:t xml:space="preserve"> for detailed exclusion criteria</w:t>
      </w:r>
      <w:r w:rsidRPr="00CF2E3E">
        <w:rPr>
          <w:szCs w:val="16"/>
        </w:rPr>
        <w:t>.</w:t>
      </w:r>
      <w:r w:rsidR="00AB1CFC">
        <w:rPr>
          <w:szCs w:val="16"/>
        </w:rPr>
        <w:t xml:space="preserve"> The sample includes 112 services</w:t>
      </w:r>
      <w:r w:rsidR="005B1C6B">
        <w:rPr>
          <w:szCs w:val="16"/>
        </w:rPr>
        <w:t xml:space="preserve"> delivering 401,325 </w:t>
      </w:r>
      <w:r w:rsidR="006E7DB0">
        <w:rPr>
          <w:szCs w:val="16"/>
        </w:rPr>
        <w:t>O</w:t>
      </w:r>
      <w:r w:rsidR="003B05EC">
        <w:rPr>
          <w:szCs w:val="16"/>
        </w:rPr>
        <w:t>O</w:t>
      </w:r>
      <w:r w:rsidR="006E7DB0">
        <w:rPr>
          <w:szCs w:val="16"/>
        </w:rPr>
        <w:t>S</w:t>
      </w:r>
      <w:r w:rsidR="001F66B8">
        <w:rPr>
          <w:szCs w:val="16"/>
        </w:rPr>
        <w:t xml:space="preserve"> </w:t>
      </w:r>
      <w:r w:rsidR="005B1C6B">
        <w:rPr>
          <w:szCs w:val="16"/>
        </w:rPr>
        <w:t>and 102,550</w:t>
      </w:r>
      <w:r w:rsidR="00A469C7">
        <w:rPr>
          <w:szCs w:val="16"/>
        </w:rPr>
        <w:t> </w:t>
      </w:r>
      <w:r w:rsidR="005B1C6B">
        <w:rPr>
          <w:szCs w:val="16"/>
        </w:rPr>
        <w:t>episodes.</w:t>
      </w:r>
      <w:r w:rsidR="00730B4D">
        <w:rPr>
          <w:szCs w:val="16"/>
        </w:rPr>
        <w:t xml:space="preserve"> </w:t>
      </w:r>
      <w:r w:rsidR="002C414A" w:rsidRPr="00C86CE3">
        <w:t>The outlier</w:t>
      </w:r>
      <w:r w:rsidR="001B3374" w:rsidRPr="00C86CE3">
        <w:t xml:space="preserve"> </w:t>
      </w:r>
      <w:r w:rsidR="009477AF">
        <w:t>service</w:t>
      </w:r>
      <w:r w:rsidR="002C414A" w:rsidRPr="00C86CE3">
        <w:t xml:space="preserve"> on the right</w:t>
      </w:r>
      <w:r w:rsidR="00C85E41" w:rsidRPr="00C86CE3">
        <w:t xml:space="preserve"> </w:t>
      </w:r>
      <w:r w:rsidR="002C414A" w:rsidRPr="00C86CE3">
        <w:t xml:space="preserve">is a </w:t>
      </w:r>
      <w:r w:rsidR="009477AF">
        <w:t>service</w:t>
      </w:r>
      <w:r w:rsidR="002C414A" w:rsidRPr="00C86CE3">
        <w:t xml:space="preserve"> </w:t>
      </w:r>
      <w:r w:rsidR="00EE144F" w:rsidRPr="00C86CE3">
        <w:t xml:space="preserve">that opened </w:t>
      </w:r>
      <w:r w:rsidR="00C85E41" w:rsidRPr="00C86CE3">
        <w:t>in</w:t>
      </w:r>
      <w:r w:rsidR="00EE144F" w:rsidRPr="00C86CE3">
        <w:t xml:space="preserve"> July 2007 and is located</w:t>
      </w:r>
      <w:r w:rsidR="00DB15C6" w:rsidRPr="00C86CE3">
        <w:t xml:space="preserve"> in a </w:t>
      </w:r>
      <w:r w:rsidR="001D1CBB" w:rsidRPr="00C86CE3">
        <w:t>metropolitan area .</w:t>
      </w:r>
      <w:r w:rsidR="00794741" w:rsidRPr="00C86CE3">
        <w:t xml:space="preserve"> The outlier </w:t>
      </w:r>
      <w:r w:rsidR="009477AF">
        <w:t>service</w:t>
      </w:r>
      <w:r w:rsidR="001B3374" w:rsidRPr="00C86CE3">
        <w:t xml:space="preserve"> </w:t>
      </w:r>
      <w:r w:rsidR="00794741" w:rsidRPr="00C86CE3">
        <w:t xml:space="preserve">on the </w:t>
      </w:r>
      <w:r w:rsidR="000947D5" w:rsidRPr="00C86CE3">
        <w:t>bottom</w:t>
      </w:r>
      <w:r w:rsidR="00794741" w:rsidRPr="00C86CE3">
        <w:t xml:space="preserve"> left</w:t>
      </w:r>
      <w:r w:rsidR="00CC6042" w:rsidRPr="00C86CE3">
        <w:t xml:space="preserve"> </w:t>
      </w:r>
      <w:r w:rsidR="005A6BD3" w:rsidRPr="00C86CE3">
        <w:t xml:space="preserve">opened </w:t>
      </w:r>
      <w:r w:rsidR="00C85E41" w:rsidRPr="00C86CE3">
        <w:t>in</w:t>
      </w:r>
      <w:r w:rsidR="005A6BD3" w:rsidRPr="00C86CE3">
        <w:t xml:space="preserve"> </w:t>
      </w:r>
      <w:r w:rsidR="00153A29" w:rsidRPr="00C86CE3">
        <w:t>201</w:t>
      </w:r>
      <w:r w:rsidR="00E7405C">
        <w:t>5</w:t>
      </w:r>
      <w:r w:rsidR="00153A29" w:rsidRPr="00C86CE3">
        <w:t xml:space="preserve"> and is located in a </w:t>
      </w:r>
      <w:r w:rsidR="00C6680D">
        <w:t>major city of Australia</w:t>
      </w:r>
      <w:r w:rsidR="004C0035" w:rsidRPr="00C86CE3">
        <w:t>.</w:t>
      </w:r>
      <w:r w:rsidR="00353464">
        <w:t xml:space="preserve"> </w:t>
      </w:r>
      <w:r w:rsidR="00474251">
        <w:t>I</w:t>
      </w:r>
      <w:r w:rsidR="00916221">
        <w:t xml:space="preserve">n practice, it operates </w:t>
      </w:r>
      <w:r w:rsidR="00474251">
        <w:t xml:space="preserve">as part of another headspace centre </w:t>
      </w:r>
      <w:r w:rsidR="00916221">
        <w:t xml:space="preserve">located </w:t>
      </w:r>
      <w:r w:rsidR="00CD21A4">
        <w:t>nearby, which accounts for th</w:t>
      </w:r>
      <w:r w:rsidR="007258D7">
        <w:t>e</w:t>
      </w:r>
      <w:r w:rsidR="00CD21A4">
        <w:t xml:space="preserve"> outlier funding </w:t>
      </w:r>
      <w:r w:rsidR="007258D7">
        <w:t>amount.</w:t>
      </w:r>
    </w:p>
    <w:p w14:paraId="42275C74" w14:textId="758E6DA1" w:rsidR="00110A8A" w:rsidRDefault="00130488" w:rsidP="003941C8">
      <w:pPr>
        <w:pStyle w:val="Heading3"/>
      </w:pPr>
      <w:r>
        <w:t>I</w:t>
      </w:r>
      <w:r w:rsidR="00110A8A">
        <w:t xml:space="preserve">ndirect headspace costs not funded via the </w:t>
      </w:r>
      <w:r w:rsidR="00DD320A">
        <w:t>national headspace grant</w:t>
      </w:r>
    </w:p>
    <w:p w14:paraId="6C7CB50A" w14:textId="74ACC88B" w:rsidR="00017BE0" w:rsidRDefault="008B7F65" w:rsidP="008B7F65">
      <w:pPr>
        <w:pStyle w:val="BodyText"/>
      </w:pPr>
      <w:r w:rsidRPr="008B7F65">
        <w:t xml:space="preserve">The contribution of other PHN and other government funding, in-kind contributions and any private donations to indirect costs of delivering headspace </w:t>
      </w:r>
      <w:r w:rsidR="006726B9">
        <w:t>were</w:t>
      </w:r>
      <w:r w:rsidRPr="008B7F65">
        <w:t xml:space="preserve"> investigated by </w:t>
      </w:r>
      <w:r w:rsidR="007C29A2">
        <w:t>the</w:t>
      </w:r>
      <w:r w:rsidRPr="008B7F65">
        <w:t xml:space="preserve"> deep dive </w:t>
      </w:r>
      <w:r w:rsidR="007C29A2">
        <w:t>case studies</w:t>
      </w:r>
      <w:r w:rsidRPr="008B7F65">
        <w:t xml:space="preserve"> and anonymous survey </w:t>
      </w:r>
      <w:r w:rsidR="007C29A2">
        <w:t>of</w:t>
      </w:r>
      <w:r>
        <w:t xml:space="preserve"> </w:t>
      </w:r>
      <w:r w:rsidRPr="008B7F65">
        <w:t xml:space="preserve">headspace services. </w:t>
      </w:r>
      <w:r w:rsidR="007C29A2">
        <w:t xml:space="preserve">Across these bespoke data collection exercises, only three services reported funding for indirect costs from sources other than the national headspace grant. </w:t>
      </w:r>
      <w:r w:rsidRPr="008B7F65">
        <w:t>The</w:t>
      </w:r>
      <w:r w:rsidR="007C29A2">
        <w:t>se</w:t>
      </w:r>
      <w:r w:rsidRPr="008B7F65">
        <w:t xml:space="preserve"> responses are summarised in </w:t>
      </w:r>
      <w:r w:rsidR="0014078F">
        <w:fldChar w:fldCharType="begin" w:fldLock="1"/>
      </w:r>
      <w:r w:rsidR="0014078F">
        <w:instrText xml:space="preserve"> REF _Ref93675894 \h </w:instrText>
      </w:r>
      <w:r w:rsidR="0014078F">
        <w:fldChar w:fldCharType="separate"/>
      </w:r>
      <w:r w:rsidR="000C245D" w:rsidRPr="008B7F65">
        <w:t xml:space="preserve">Table </w:t>
      </w:r>
      <w:r w:rsidR="000C245D">
        <w:rPr>
          <w:noProof/>
        </w:rPr>
        <w:t>15</w:t>
      </w:r>
      <w:r w:rsidR="0014078F">
        <w:fldChar w:fldCharType="end"/>
      </w:r>
      <w:r w:rsidRPr="008B7F65">
        <w:t>. Two out of three responses indicate</w:t>
      </w:r>
      <w:r w:rsidR="00343BB3">
        <w:t>d</w:t>
      </w:r>
      <w:r w:rsidRPr="008B7F65">
        <w:t xml:space="preserve"> that the </w:t>
      </w:r>
      <w:r w:rsidR="002A4BBB">
        <w:t>value of the indirect contributions</w:t>
      </w:r>
      <w:r w:rsidRPr="008B7F65">
        <w:t xml:space="preserve"> </w:t>
      </w:r>
      <w:r w:rsidR="00480047">
        <w:t>was</w:t>
      </w:r>
      <w:r w:rsidRPr="008B7F65">
        <w:t xml:space="preserve"> small, accounting for approximately one per cent of the total </w:t>
      </w:r>
      <w:r w:rsidR="00EE1FC4">
        <w:t>cost</w:t>
      </w:r>
      <w:r w:rsidRPr="008B7F65">
        <w:t xml:space="preserve">. </w:t>
      </w:r>
    </w:p>
    <w:p w14:paraId="2396609A" w14:textId="77777777" w:rsidR="00017BE0" w:rsidRDefault="00017BE0">
      <w:pPr>
        <w:spacing w:before="0" w:after="160" w:line="259" w:lineRule="auto"/>
      </w:pPr>
      <w:r>
        <w:br w:type="page"/>
      </w:r>
    </w:p>
    <w:p w14:paraId="1572F171" w14:textId="1C882143" w:rsidR="008B7F65" w:rsidRDefault="008B7F65" w:rsidP="008B7F65">
      <w:pPr>
        <w:pStyle w:val="Caption"/>
      </w:pPr>
      <w:bookmarkStart w:id="112" w:name="_Ref93675894"/>
      <w:bookmarkStart w:id="113" w:name="_Toc108108965"/>
      <w:r w:rsidRPr="008B7F65">
        <w:t xml:space="preserve">Table </w:t>
      </w:r>
      <w:r>
        <w:fldChar w:fldCharType="begin"/>
      </w:r>
      <w:r>
        <w:instrText>SEQ Table \* ARABIC</w:instrText>
      </w:r>
      <w:r>
        <w:fldChar w:fldCharType="separate"/>
      </w:r>
      <w:r w:rsidR="00CC0438">
        <w:rPr>
          <w:noProof/>
        </w:rPr>
        <w:t>15</w:t>
      </w:r>
      <w:r>
        <w:fldChar w:fldCharType="end"/>
      </w:r>
      <w:bookmarkEnd w:id="112"/>
      <w:r w:rsidRPr="008B7F65">
        <w:t>: Summary of responses to questions on indirect service contributions</w:t>
      </w:r>
      <w:bookmarkEnd w:id="113"/>
    </w:p>
    <w:tbl>
      <w:tblPr>
        <w:tblStyle w:val="TableGrid"/>
        <w:tblW w:w="47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of responses to questions on indirect service contributions"/>
        <w:tblDescription w:val="Table 15 has 4 columns. The first column indicates the data source for indirect funding contributions. The second column lists the amount of indirect funding provided as responses within the data source. The third column lists the percentage these amounts represent of total funding. The fourth column indicates the form of these funding contributions."/>
      </w:tblPr>
      <w:tblGrid>
        <w:gridCol w:w="2551"/>
        <w:gridCol w:w="1722"/>
        <w:gridCol w:w="2160"/>
        <w:gridCol w:w="2158"/>
      </w:tblGrid>
      <w:tr w:rsidR="000E7A27" w:rsidRPr="001D6913" w14:paraId="1D4D37F5" w14:textId="69C0CAD7" w:rsidTr="47ABC881">
        <w:trPr>
          <w:tblHeader/>
        </w:trPr>
        <w:tc>
          <w:tcPr>
            <w:tcW w:w="1485" w:type="pct"/>
            <w:tcBorders>
              <w:bottom w:val="single" w:sz="4" w:space="0" w:color="00338D" w:themeColor="background2"/>
            </w:tcBorders>
            <w:shd w:val="clear" w:color="auto" w:fill="00338D" w:themeFill="background2"/>
          </w:tcPr>
          <w:p w14:paraId="5A635F2F" w14:textId="39B7224C" w:rsidR="000E7A27" w:rsidRPr="001D6913" w:rsidRDefault="000E7A27" w:rsidP="00BF0693">
            <w:pPr>
              <w:pStyle w:val="Tableheading"/>
            </w:pPr>
            <w:r w:rsidRPr="008B7F65">
              <w:t>Survey source</w:t>
            </w:r>
          </w:p>
        </w:tc>
        <w:tc>
          <w:tcPr>
            <w:tcW w:w="1002" w:type="pct"/>
            <w:tcBorders>
              <w:bottom w:val="single" w:sz="4" w:space="0" w:color="00338D" w:themeColor="background2"/>
            </w:tcBorders>
            <w:shd w:val="clear" w:color="auto" w:fill="00338D" w:themeFill="background2"/>
          </w:tcPr>
          <w:p w14:paraId="31477481" w14:textId="3965CF64" w:rsidR="000E7A27" w:rsidRPr="001D6913" w:rsidRDefault="000E7A27" w:rsidP="00BF0693">
            <w:pPr>
              <w:pStyle w:val="Tableheading"/>
            </w:pPr>
            <w:r w:rsidRPr="008B7F65">
              <w:t>Amount</w:t>
            </w:r>
          </w:p>
        </w:tc>
        <w:tc>
          <w:tcPr>
            <w:tcW w:w="1257" w:type="pct"/>
            <w:tcBorders>
              <w:bottom w:val="single" w:sz="4" w:space="0" w:color="00338D" w:themeColor="background2"/>
            </w:tcBorders>
            <w:shd w:val="clear" w:color="auto" w:fill="00338D" w:themeFill="background2"/>
          </w:tcPr>
          <w:p w14:paraId="488E74D5" w14:textId="7BFB70C6" w:rsidR="000E7A27" w:rsidRPr="008B7F65" w:rsidRDefault="00294837" w:rsidP="00BF0693">
            <w:pPr>
              <w:pStyle w:val="Tableheading"/>
            </w:pPr>
            <w:r>
              <w:t xml:space="preserve">Share of total cost </w:t>
            </w:r>
          </w:p>
        </w:tc>
        <w:tc>
          <w:tcPr>
            <w:tcW w:w="1257" w:type="pct"/>
            <w:tcBorders>
              <w:bottom w:val="single" w:sz="4" w:space="0" w:color="00338D" w:themeColor="background2"/>
            </w:tcBorders>
            <w:shd w:val="clear" w:color="auto" w:fill="00338D" w:themeFill="background2"/>
          </w:tcPr>
          <w:p w14:paraId="24328003" w14:textId="766CD759" w:rsidR="000E7A27" w:rsidRDefault="000E7A27" w:rsidP="00BF0693">
            <w:pPr>
              <w:pStyle w:val="Tableheading"/>
            </w:pPr>
            <w:r w:rsidRPr="008B7F65">
              <w:t>Form of contribution</w:t>
            </w:r>
          </w:p>
        </w:tc>
      </w:tr>
      <w:tr w:rsidR="000E7A27" w:rsidRPr="001D6913" w14:paraId="523CA0BA" w14:textId="7132FFF8" w:rsidTr="47ABC881">
        <w:tc>
          <w:tcPr>
            <w:tcW w:w="1485" w:type="pct"/>
            <w:tcBorders>
              <w:top w:val="single" w:sz="4" w:space="0" w:color="00338D" w:themeColor="background2"/>
              <w:bottom w:val="single" w:sz="4" w:space="0" w:color="00338D" w:themeColor="background2"/>
            </w:tcBorders>
          </w:tcPr>
          <w:p w14:paraId="3668633C" w14:textId="02C438F2" w:rsidR="000E7A27" w:rsidRPr="001D6913" w:rsidRDefault="000E7A27" w:rsidP="006060BF">
            <w:pPr>
              <w:pStyle w:val="Tabletext"/>
            </w:pPr>
            <w:r w:rsidRPr="008B7F65">
              <w:t xml:space="preserve">Deep dive </w:t>
            </w:r>
          </w:p>
        </w:tc>
        <w:tc>
          <w:tcPr>
            <w:tcW w:w="1002" w:type="pct"/>
            <w:tcBorders>
              <w:top w:val="single" w:sz="4" w:space="0" w:color="00338D" w:themeColor="background2"/>
              <w:bottom w:val="single" w:sz="4" w:space="0" w:color="00338D" w:themeColor="background2"/>
            </w:tcBorders>
          </w:tcPr>
          <w:p w14:paraId="5DB3B53C" w14:textId="3CC9523D" w:rsidR="000E7A27" w:rsidRPr="001D6913" w:rsidRDefault="000E7A27" w:rsidP="006060BF">
            <w:pPr>
              <w:pStyle w:val="Tabletext"/>
            </w:pPr>
            <w:r w:rsidRPr="008B7F65">
              <w:t>$18,370</w:t>
            </w:r>
          </w:p>
        </w:tc>
        <w:tc>
          <w:tcPr>
            <w:tcW w:w="1257" w:type="pct"/>
            <w:tcBorders>
              <w:top w:val="single" w:sz="4" w:space="0" w:color="00338D" w:themeColor="background2"/>
              <w:bottom w:val="single" w:sz="4" w:space="0" w:color="00338D" w:themeColor="background2"/>
            </w:tcBorders>
          </w:tcPr>
          <w:p w14:paraId="20DE72FC" w14:textId="7F8718BA" w:rsidR="000E7A27" w:rsidRPr="008B7F65" w:rsidRDefault="002D6EDC" w:rsidP="006060BF">
            <w:pPr>
              <w:pStyle w:val="Tabletext"/>
            </w:pPr>
            <w:r>
              <w:t>1.2%</w:t>
            </w:r>
          </w:p>
        </w:tc>
        <w:tc>
          <w:tcPr>
            <w:tcW w:w="1257" w:type="pct"/>
            <w:tcBorders>
              <w:top w:val="single" w:sz="4" w:space="0" w:color="00338D" w:themeColor="background2"/>
              <w:bottom w:val="single" w:sz="4" w:space="0" w:color="00338D" w:themeColor="background2"/>
            </w:tcBorders>
          </w:tcPr>
          <w:p w14:paraId="4C92C7AD" w14:textId="08F7AE18" w:rsidR="000E7A27" w:rsidRPr="0014295B" w:rsidRDefault="000E7A27" w:rsidP="006060BF">
            <w:pPr>
              <w:pStyle w:val="Tabletext"/>
            </w:pPr>
            <w:r w:rsidRPr="008B7F65">
              <w:t>Donations and small grants</w:t>
            </w:r>
          </w:p>
        </w:tc>
      </w:tr>
      <w:tr w:rsidR="000E7A27" w:rsidRPr="001D6913" w14:paraId="07B1E615" w14:textId="77777777" w:rsidTr="47ABC881">
        <w:tc>
          <w:tcPr>
            <w:tcW w:w="1485" w:type="pct"/>
            <w:tcBorders>
              <w:top w:val="single" w:sz="4" w:space="0" w:color="00338D" w:themeColor="background2"/>
              <w:bottom w:val="single" w:sz="4" w:space="0" w:color="00338D" w:themeColor="background2"/>
            </w:tcBorders>
          </w:tcPr>
          <w:p w14:paraId="08D1A845" w14:textId="3D90853D" w:rsidR="000E7A27" w:rsidRDefault="000E7A27" w:rsidP="006060BF">
            <w:pPr>
              <w:pStyle w:val="Tabletext"/>
            </w:pPr>
            <w:r w:rsidRPr="008B7F65">
              <w:t>headspace service survey</w:t>
            </w:r>
          </w:p>
        </w:tc>
        <w:tc>
          <w:tcPr>
            <w:tcW w:w="1002" w:type="pct"/>
            <w:tcBorders>
              <w:top w:val="single" w:sz="4" w:space="0" w:color="00338D" w:themeColor="background2"/>
              <w:bottom w:val="single" w:sz="4" w:space="0" w:color="00338D" w:themeColor="background2"/>
            </w:tcBorders>
          </w:tcPr>
          <w:p w14:paraId="6E31250C" w14:textId="6C54488E" w:rsidR="000E7A27" w:rsidRPr="0014295B" w:rsidRDefault="000E7A27" w:rsidP="006060BF">
            <w:pPr>
              <w:pStyle w:val="Tabletext"/>
            </w:pPr>
            <w:r w:rsidRPr="008B7F65">
              <w:t>$5,000</w:t>
            </w:r>
          </w:p>
        </w:tc>
        <w:tc>
          <w:tcPr>
            <w:tcW w:w="1257" w:type="pct"/>
            <w:tcBorders>
              <w:top w:val="single" w:sz="4" w:space="0" w:color="00338D" w:themeColor="background2"/>
              <w:bottom w:val="single" w:sz="4" w:space="0" w:color="00338D" w:themeColor="background2"/>
            </w:tcBorders>
          </w:tcPr>
          <w:p w14:paraId="4A13EF9D" w14:textId="23F81008" w:rsidR="000E7A27" w:rsidRPr="008B7F65" w:rsidRDefault="008F6EBC" w:rsidP="006060BF">
            <w:pPr>
              <w:pStyle w:val="Tabletext"/>
            </w:pPr>
            <w:r>
              <w:t>Unavailable data</w:t>
            </w:r>
          </w:p>
        </w:tc>
        <w:tc>
          <w:tcPr>
            <w:tcW w:w="1257" w:type="pct"/>
            <w:tcBorders>
              <w:top w:val="single" w:sz="4" w:space="0" w:color="00338D" w:themeColor="background2"/>
              <w:bottom w:val="single" w:sz="4" w:space="0" w:color="00338D" w:themeColor="background2"/>
            </w:tcBorders>
          </w:tcPr>
          <w:p w14:paraId="6E673039" w14:textId="59EF3D6A" w:rsidR="000E7A27" w:rsidRPr="0014295B" w:rsidRDefault="000E7A27" w:rsidP="006060BF">
            <w:pPr>
              <w:pStyle w:val="Tabletext"/>
            </w:pPr>
            <w:r w:rsidRPr="008B7F65">
              <w:t>Building/property/rent</w:t>
            </w:r>
          </w:p>
        </w:tc>
      </w:tr>
      <w:tr w:rsidR="000E7A27" w:rsidRPr="001D6913" w14:paraId="258980EC" w14:textId="77777777" w:rsidTr="47ABC881">
        <w:tc>
          <w:tcPr>
            <w:tcW w:w="1485" w:type="pct"/>
            <w:tcBorders>
              <w:top w:val="single" w:sz="4" w:space="0" w:color="00338D" w:themeColor="background2"/>
              <w:bottom w:val="single" w:sz="2" w:space="0" w:color="808080" w:themeColor="background1" w:themeShade="80"/>
            </w:tcBorders>
          </w:tcPr>
          <w:p w14:paraId="7ED8558A" w14:textId="07B20148" w:rsidR="000E7A27" w:rsidRDefault="000E7A27" w:rsidP="006060BF">
            <w:pPr>
              <w:pStyle w:val="Tabletext"/>
            </w:pPr>
            <w:r w:rsidRPr="008B7F65">
              <w:t>headspace service survey</w:t>
            </w:r>
          </w:p>
        </w:tc>
        <w:tc>
          <w:tcPr>
            <w:tcW w:w="1002" w:type="pct"/>
            <w:tcBorders>
              <w:top w:val="single" w:sz="4" w:space="0" w:color="00338D" w:themeColor="background2"/>
              <w:bottom w:val="single" w:sz="2" w:space="0" w:color="808080" w:themeColor="background1" w:themeShade="80"/>
            </w:tcBorders>
          </w:tcPr>
          <w:p w14:paraId="52E7D53C" w14:textId="77777777" w:rsidR="000E7A27" w:rsidRPr="008B7F65" w:rsidRDefault="000E7A27" w:rsidP="006060BF">
            <w:pPr>
              <w:pStyle w:val="Tabletext"/>
            </w:pPr>
            <w:r w:rsidRPr="008B7F65">
              <w:t>$200,000</w:t>
            </w:r>
          </w:p>
          <w:p w14:paraId="4C568A17" w14:textId="22EC53D6" w:rsidR="000E7A27" w:rsidRPr="0014295B" w:rsidRDefault="000E7A27" w:rsidP="006060BF">
            <w:pPr>
              <w:pStyle w:val="Tabletext"/>
            </w:pPr>
            <w:r w:rsidRPr="008B7F65">
              <w:t>$52,277</w:t>
            </w:r>
          </w:p>
        </w:tc>
        <w:tc>
          <w:tcPr>
            <w:tcW w:w="1257" w:type="pct"/>
            <w:tcBorders>
              <w:top w:val="single" w:sz="4" w:space="0" w:color="00338D" w:themeColor="background2"/>
              <w:bottom w:val="single" w:sz="2" w:space="0" w:color="808080" w:themeColor="background1" w:themeShade="80"/>
            </w:tcBorders>
          </w:tcPr>
          <w:p w14:paraId="57925CA7" w14:textId="1175C30C" w:rsidR="000E7A27" w:rsidRPr="008B7F65" w:rsidRDefault="00506363" w:rsidP="006060BF">
            <w:pPr>
              <w:pStyle w:val="Tabletext"/>
            </w:pPr>
            <w:r>
              <w:t>15</w:t>
            </w:r>
            <w:r w:rsidR="00EC6E84">
              <w:t>.4%</w:t>
            </w:r>
          </w:p>
        </w:tc>
        <w:tc>
          <w:tcPr>
            <w:tcW w:w="1257" w:type="pct"/>
            <w:tcBorders>
              <w:top w:val="single" w:sz="4" w:space="0" w:color="00338D" w:themeColor="background2"/>
              <w:bottom w:val="single" w:sz="2" w:space="0" w:color="808080" w:themeColor="background1" w:themeShade="80"/>
            </w:tcBorders>
          </w:tcPr>
          <w:p w14:paraId="5F5907F1" w14:textId="4BF02A44" w:rsidR="000E7A27" w:rsidRPr="008B7F65" w:rsidRDefault="000E7A27" w:rsidP="006060BF">
            <w:pPr>
              <w:pStyle w:val="Tabletext"/>
            </w:pPr>
            <w:r w:rsidRPr="008B7F65">
              <w:t>Building/property/rent</w:t>
            </w:r>
          </w:p>
          <w:p w14:paraId="2EFC710B" w14:textId="75928229" w:rsidR="000E7A27" w:rsidRPr="0014295B" w:rsidRDefault="000E7A27" w:rsidP="006060BF">
            <w:pPr>
              <w:pStyle w:val="Tabletext"/>
            </w:pPr>
            <w:r w:rsidRPr="008B7F65">
              <w:t>Office equipment and other donated goods</w:t>
            </w:r>
          </w:p>
        </w:tc>
      </w:tr>
    </w:tbl>
    <w:p w14:paraId="1D319921" w14:textId="6DAACF31" w:rsidR="008B7F65" w:rsidRPr="008B7F65" w:rsidRDefault="008B7F65" w:rsidP="008B7F65">
      <w:pPr>
        <w:pStyle w:val="Source"/>
      </w:pPr>
      <w:r w:rsidRPr="008B7F65">
        <w:t>Source: KPMG summary of deep dive surveys and headspace service survey</w:t>
      </w:r>
    </w:p>
    <w:p w14:paraId="12CC5691" w14:textId="4F1FDC5B" w:rsidR="008B7F65" w:rsidRPr="00C10214" w:rsidRDefault="008B7F65" w:rsidP="008B7F65">
      <w:pPr>
        <w:pStyle w:val="BodyText"/>
      </w:pPr>
      <w:r w:rsidRPr="008B7F65">
        <w:t>Given the low response rate to cost</w:t>
      </w:r>
      <w:r w:rsidR="00FD3350">
        <w:t>-</w:t>
      </w:r>
      <w:r w:rsidRPr="008B7F65">
        <w:t xml:space="preserve">specific questions of the service survey and the small magnitude of the in-kind contribution amount in most responses, </w:t>
      </w:r>
      <w:r w:rsidR="00EE440F">
        <w:t>it was not possible to extrapolate these indirect contributions for all headspace services. This remains a limitation of the cost analysis.</w:t>
      </w:r>
      <w:r w:rsidR="00730B4D">
        <w:t xml:space="preserve"> </w:t>
      </w:r>
    </w:p>
    <w:p w14:paraId="2A02CB87" w14:textId="77777777" w:rsidR="009C4D98" w:rsidRDefault="009C4D98" w:rsidP="003941C8">
      <w:pPr>
        <w:pStyle w:val="Heading3"/>
      </w:pPr>
      <w:bookmarkStart w:id="114" w:name="_Ref104895330"/>
      <w:bookmarkStart w:id="115" w:name="_Hlk80609864"/>
      <w:r>
        <w:t>Direct headspace services not funded via the national headspace grant</w:t>
      </w:r>
      <w:bookmarkEnd w:id="114"/>
    </w:p>
    <w:bookmarkEnd w:id="115"/>
    <w:p w14:paraId="4846B469" w14:textId="3189413D" w:rsidR="009C4D98" w:rsidRDefault="009C4D98" w:rsidP="009C4D98">
      <w:pPr>
        <w:pStyle w:val="BodyText"/>
      </w:pPr>
      <w:r>
        <w:t xml:space="preserve">In 2019-20, 43 per cent of all </w:t>
      </w:r>
      <w:r w:rsidR="00F12D7B">
        <w:t>OOS</w:t>
      </w:r>
      <w:r>
        <w:t xml:space="preserve"> were funded via the national headspace grant, with the remaining 57 per cent funded through other sources, including the MBS, other PHN and government funding, and in-kind contributions from young people and</w:t>
      </w:r>
      <w:r w:rsidR="00FE7E3D">
        <w:t>/</w:t>
      </w:r>
      <w:r>
        <w:t>or their carers.</w:t>
      </w:r>
      <w:r w:rsidR="0014078F">
        <w:t xml:space="preserve"> </w:t>
      </w:r>
    </w:p>
    <w:p w14:paraId="5B840D17" w14:textId="759E8F32" w:rsidR="009C4D98" w:rsidRPr="00C86CE3" w:rsidRDefault="009C4D98" w:rsidP="009C4D98">
      <w:pPr>
        <w:pStyle w:val="Caption"/>
      </w:pPr>
      <w:bookmarkStart w:id="116" w:name="_Toc108109206"/>
      <w:r w:rsidRPr="00C86CE3">
        <w:t xml:space="preserve">Figure </w:t>
      </w:r>
      <w:r>
        <w:fldChar w:fldCharType="begin"/>
      </w:r>
      <w:r>
        <w:instrText>SEQ Figure \* ARABIC</w:instrText>
      </w:r>
      <w:r>
        <w:fldChar w:fldCharType="separate"/>
      </w:r>
      <w:r w:rsidR="00CC0438">
        <w:rPr>
          <w:noProof/>
        </w:rPr>
        <w:t>21</w:t>
      </w:r>
      <w:r>
        <w:fldChar w:fldCharType="end"/>
      </w:r>
      <w:r w:rsidRPr="00C86CE3">
        <w:t xml:space="preserve">: Distribution of </w:t>
      </w:r>
      <w:r w:rsidR="001F66B8">
        <w:t>OOS</w:t>
      </w:r>
      <w:r w:rsidRPr="00C86CE3">
        <w:t xml:space="preserve"> funding source</w:t>
      </w:r>
      <w:r w:rsidR="00BB56A5">
        <w:t xml:space="preserve"> during 2019-20</w:t>
      </w:r>
      <w:bookmarkEnd w:id="116"/>
    </w:p>
    <w:p w14:paraId="27150F18" w14:textId="6EF54A20" w:rsidR="003755D8" w:rsidRPr="003755D8" w:rsidRDefault="003755D8" w:rsidP="001E5C93">
      <w:r>
        <w:rPr>
          <w:noProof/>
        </w:rPr>
        <w:drawing>
          <wp:inline distT="0" distB="0" distL="0" distR="0" wp14:anchorId="1EE00835" wp14:editId="2CFC3563">
            <wp:extent cx="5037455" cy="3234055"/>
            <wp:effectExtent l="0" t="0" r="0" b="4445"/>
            <wp:docPr id="204" name="Picture 204" descr="Figure 21 shows the percentage of occasions of service across headspace service provided via different funding sources in 2019-20.&#10;42% of occasions of service were funded by the National headspace grant&#10;35% of occasions of service were funded by the MBS&#10;6% of occasions of service were funded by other PHN funding&#10;4% of occasions of service were funded by in-kind funding&#10;2% of occasions of service were funded by other state/territory funding&#10;2% of occasions of service were funded by other Commonwealth funding&#10;less than 1% of occasions of service were funded by private payments&#10;9% of occasions of service had another funding source recorded, or there was no source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Figure 21 shows the percentage of occasions of service across headspace service provided via different funding sources in 2019-20.&#10;42% of occasions of service were funded by the National headspace grant&#10;35% of occasions of service were funded by the MBS&#10;6% of occasions of service were funded by other PHN funding&#10;4% of occasions of service were funded by in-kind funding&#10;2% of occasions of service were funded by other state/territory funding&#10;2% of occasions of service were funded by other Commonwealth funding&#10;less than 1% of occasions of service were funded by private payments&#10;9% of occasions of service had another funding source recorded, or there was no source recorded&#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3D063721" w14:textId="79D7E81E" w:rsidR="00DD15EB" w:rsidRPr="00DC006F" w:rsidRDefault="00DD15EB" w:rsidP="00DD15EB">
      <w:pPr>
        <w:pStyle w:val="Source"/>
        <w:rPr>
          <w:szCs w:val="16"/>
        </w:rPr>
      </w:pPr>
      <w:r w:rsidRPr="00DC006F">
        <w:rPr>
          <w:szCs w:val="16"/>
        </w:rPr>
        <w:t>Source: KPMG analysis of the total cost dataset</w:t>
      </w:r>
    </w:p>
    <w:p w14:paraId="102E4BA9" w14:textId="6F3FB801" w:rsidR="00DD15EB" w:rsidRPr="006C50C7" w:rsidRDefault="00DD15EB" w:rsidP="00DD15EB">
      <w:pPr>
        <w:pStyle w:val="Source"/>
      </w:pPr>
      <w:r w:rsidRPr="00CF2E3E">
        <w:rPr>
          <w:szCs w:val="16"/>
        </w:rPr>
        <w:t xml:space="preserve">Notes: See </w:t>
      </w:r>
      <w:r w:rsidR="00126243">
        <w:rPr>
          <w:szCs w:val="16"/>
        </w:rPr>
        <w:fldChar w:fldCharType="begin" w:fldLock="1"/>
      </w:r>
      <w:r w:rsidR="00126243">
        <w:rPr>
          <w:szCs w:val="16"/>
        </w:rPr>
        <w:instrText xml:space="preserve"> REF _Ref98402466 \r \h </w:instrText>
      </w:r>
      <w:r w:rsidR="00126243">
        <w:rPr>
          <w:szCs w:val="16"/>
        </w:rPr>
      </w:r>
      <w:r w:rsidR="00126243">
        <w:rPr>
          <w:szCs w:val="16"/>
        </w:rPr>
        <w:fldChar w:fldCharType="separate"/>
      </w:r>
      <w:r w:rsidR="00AE4D34">
        <w:rPr>
          <w:szCs w:val="16"/>
        </w:rPr>
        <w:t>Appendix F</w:t>
      </w:r>
      <w:r w:rsidR="00126243">
        <w:rPr>
          <w:szCs w:val="16"/>
        </w:rPr>
        <w:fldChar w:fldCharType="end"/>
      </w:r>
      <w:r w:rsidR="00126243" w:rsidRPr="00DC006F">
        <w:rPr>
          <w:szCs w:val="16"/>
        </w:rPr>
        <w:t xml:space="preserve"> for detailed exclusion </w:t>
      </w:r>
      <w:r w:rsidRPr="00CF2E3E">
        <w:rPr>
          <w:szCs w:val="16"/>
        </w:rPr>
        <w:t>criteria.</w:t>
      </w:r>
      <w:r w:rsidRPr="00E83942">
        <w:rPr>
          <w:szCs w:val="16"/>
        </w:rPr>
        <w:t xml:space="preserve"> The sample includes 112 services delivering 401,325 </w:t>
      </w:r>
      <w:r w:rsidR="001F66B8">
        <w:rPr>
          <w:szCs w:val="16"/>
        </w:rPr>
        <w:t>OOS</w:t>
      </w:r>
      <w:r w:rsidRPr="00E83942">
        <w:rPr>
          <w:szCs w:val="16"/>
        </w:rPr>
        <w:t xml:space="preserve"> and 102,550</w:t>
      </w:r>
      <w:r w:rsidR="00134E37">
        <w:rPr>
          <w:szCs w:val="16"/>
        </w:rPr>
        <w:t> </w:t>
      </w:r>
      <w:r w:rsidRPr="00E83942">
        <w:rPr>
          <w:szCs w:val="16"/>
        </w:rPr>
        <w:t>episodes.</w:t>
      </w:r>
    </w:p>
    <w:p w14:paraId="685E5086" w14:textId="16A9CF5C" w:rsidR="009C4D98" w:rsidRDefault="009C4D98" w:rsidP="009C4D98">
      <w:pPr>
        <w:pStyle w:val="BodyText"/>
      </w:pPr>
      <w:r w:rsidRPr="00C86CE3">
        <w:t xml:space="preserve">During 2019-20, 35 per cent of total </w:t>
      </w:r>
      <w:r w:rsidR="007B2863">
        <w:t>OOS</w:t>
      </w:r>
      <w:r w:rsidRPr="00C86CE3">
        <w:t xml:space="preserve"> were funded via the MBS, at an estimated cost of $14</w:t>
      </w:r>
      <w:r w:rsidR="00A469C7">
        <w:t> </w:t>
      </w:r>
      <w:r w:rsidRPr="00C86CE3">
        <w:t>million</w:t>
      </w:r>
      <w:r w:rsidR="00CC0438">
        <w:rPr>
          <w:rFonts w:ascii="ZWAdobeF" w:hAnsi="ZWAdobeF" w:cs="ZWAdobeF"/>
          <w:sz w:val="2"/>
          <w:szCs w:val="2"/>
        </w:rPr>
        <w:t>135F</w:t>
      </w:r>
      <w:r w:rsidR="00096777" w:rsidRPr="0C62AD2E">
        <w:rPr>
          <w:rStyle w:val="FootnoteReference"/>
        </w:rPr>
        <w:footnoteReference w:id="137"/>
      </w:r>
      <w:r w:rsidRPr="00C86CE3">
        <w:t>. This was down from over $16 million in 2019, potentially as a result of COVID</w:t>
      </w:r>
      <w:r w:rsidR="00134E37">
        <w:noBreakHyphen/>
      </w:r>
      <w:r w:rsidRPr="00C86CE3">
        <w:t>19 restrictions which saw widespread reductions in healthcare service use</w:t>
      </w:r>
      <w:r w:rsidR="00CC0438">
        <w:rPr>
          <w:rFonts w:ascii="ZWAdobeF" w:hAnsi="ZWAdobeF" w:cs="ZWAdobeF"/>
          <w:sz w:val="2"/>
          <w:szCs w:val="2"/>
        </w:rPr>
        <w:t>136F</w:t>
      </w:r>
      <w:r w:rsidRPr="0C62AD2E">
        <w:rPr>
          <w:rStyle w:val="FootnoteReference"/>
        </w:rPr>
        <w:footnoteReference w:id="138"/>
      </w:r>
      <w:r w:rsidR="0098646E">
        <w:t xml:space="preserve">, </w:t>
      </w:r>
      <w:r w:rsidR="00F14E24">
        <w:t>and difficulties attracting and retaining private practitioners</w:t>
      </w:r>
      <w:r w:rsidR="0043093A">
        <w:t xml:space="preserve"> to provide MBS-billed services</w:t>
      </w:r>
      <w:r w:rsidR="00FE7E3D">
        <w:t>.</w:t>
      </w:r>
      <w:r>
        <w:t xml:space="preserve"> </w:t>
      </w:r>
    </w:p>
    <w:p w14:paraId="05441873" w14:textId="2CFFA17C" w:rsidR="009C4D98" w:rsidRDefault="009C4D98" w:rsidP="009C4D98">
      <w:pPr>
        <w:pStyle w:val="BodyText"/>
      </w:pPr>
      <w:r>
        <w:t xml:space="preserve">The majority (68 per cent) of </w:t>
      </w:r>
      <w:r w:rsidR="00096777">
        <w:t>OOS</w:t>
      </w:r>
      <w:r>
        <w:t xml:space="preserve"> funded via the MBS were psychologist services, followed by GP visits (14 per cent) and allied health services (four per cent). Four</w:t>
      </w:r>
      <w:r w:rsidRPr="00817E93">
        <w:t xml:space="preserve"> per</w:t>
      </w:r>
      <w:r>
        <w:t xml:space="preserve"> </w:t>
      </w:r>
      <w:r w:rsidRPr="00817E93">
        <w:t xml:space="preserve">cent of MBS funded </w:t>
      </w:r>
      <w:r w:rsidR="00096777">
        <w:t>OOS</w:t>
      </w:r>
      <w:r w:rsidRPr="00817E93">
        <w:t xml:space="preserve"> had missing information regarding the service provider type</w:t>
      </w:r>
      <w:r>
        <w:t>.</w:t>
      </w:r>
    </w:p>
    <w:p w14:paraId="206A993E" w14:textId="395D41F7" w:rsidR="009C4D98" w:rsidRPr="00A71843" w:rsidRDefault="009C4D98" w:rsidP="009C4D98">
      <w:pPr>
        <w:pStyle w:val="Caption"/>
      </w:pPr>
      <w:bookmarkStart w:id="117" w:name="_Toc108109207"/>
      <w:r w:rsidRPr="00C86CE3">
        <w:t xml:space="preserve">Figure </w:t>
      </w:r>
      <w:r>
        <w:fldChar w:fldCharType="begin"/>
      </w:r>
      <w:r>
        <w:instrText>SEQ Figure \* ARABIC</w:instrText>
      </w:r>
      <w:r>
        <w:fldChar w:fldCharType="separate"/>
      </w:r>
      <w:r w:rsidR="00CC0438">
        <w:rPr>
          <w:noProof/>
        </w:rPr>
        <w:t>22</w:t>
      </w:r>
      <w:r>
        <w:fldChar w:fldCharType="end"/>
      </w:r>
      <w:r w:rsidRPr="00C86CE3">
        <w:t xml:space="preserve">: MBS funded </w:t>
      </w:r>
      <w:r w:rsidR="007B2863">
        <w:t>OOS</w:t>
      </w:r>
      <w:r w:rsidRPr="00C86CE3">
        <w:t xml:space="preserve"> by provider type</w:t>
      </w:r>
      <w:bookmarkEnd w:id="117"/>
    </w:p>
    <w:p w14:paraId="4B0802D1" w14:textId="206AC6B3" w:rsidR="00B854C3" w:rsidRPr="00B854C3" w:rsidRDefault="00B854C3" w:rsidP="001E5C93">
      <w:r>
        <w:rPr>
          <w:noProof/>
        </w:rPr>
        <w:drawing>
          <wp:inline distT="0" distB="0" distL="0" distR="0" wp14:anchorId="7E537B8B" wp14:editId="643EA102">
            <wp:extent cx="5037455" cy="3234055"/>
            <wp:effectExtent l="0" t="0" r="0" b="4445"/>
            <wp:docPr id="214" name="Picture 214" descr="Figure 22 shows the proportion of MBS-funded occasions of service by service provider type. &#10;29% of MBS funded occasions were with clinical psychologists&#10;38% of MBS funded occasions were with other psychologists&#10;14% of MBS funded occasions were with GPs&#10;10% of MBS funded occasions were with ‘other’ providers&#10;4% of MBS funded occasions were with allied health professionals&#10;1% of MBS funded occasions were with psychiatrists&#10;4% of MBS funded occasions did not have a service provider type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Figure 22 shows the proportion of MBS-funded occasions of service by service provider type. &#10;29% of MBS funded occasions were with clinical psychologists&#10;38% of MBS funded occasions were with other psychologists&#10;14% of MBS funded occasions were with GPs&#10;10% of MBS funded occasions were with ‘other’ providers&#10;4% of MBS funded occasions were with allied health professionals&#10;1% of MBS funded occasions were with psychiatrists&#10;4% of MBS funded occasions did not have a service provider type recorded&#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16FB7395" w14:textId="2E362EAE" w:rsidR="00DD15EB" w:rsidRPr="00E55610" w:rsidRDefault="00DD15EB" w:rsidP="00DD15EB">
      <w:pPr>
        <w:pStyle w:val="Source"/>
        <w:rPr>
          <w:szCs w:val="16"/>
        </w:rPr>
      </w:pPr>
      <w:r w:rsidRPr="005141E7">
        <w:rPr>
          <w:szCs w:val="16"/>
        </w:rPr>
        <w:t>Source: KPMG analysi</w:t>
      </w:r>
      <w:r w:rsidRPr="00E55610">
        <w:rPr>
          <w:szCs w:val="16"/>
        </w:rPr>
        <w:t>s of the total cost dataset</w:t>
      </w:r>
    </w:p>
    <w:p w14:paraId="48C1B1F4" w14:textId="4C49C31A" w:rsidR="009C4D98" w:rsidRPr="00E55610" w:rsidRDefault="00DD15EB" w:rsidP="009C4D98">
      <w:pPr>
        <w:pStyle w:val="Tablenotes"/>
        <w:rPr>
          <w:sz w:val="16"/>
          <w:szCs w:val="16"/>
        </w:rPr>
      </w:pPr>
      <w:r w:rsidRPr="00C57917">
        <w:rPr>
          <w:sz w:val="16"/>
          <w:szCs w:val="16"/>
        </w:rPr>
        <w:t xml:space="preserve">Notes: </w:t>
      </w:r>
      <w:r w:rsidR="00126243" w:rsidRPr="00B9700F">
        <w:rPr>
          <w:sz w:val="16"/>
          <w:szCs w:val="16"/>
        </w:rPr>
        <w:t xml:space="preserve">See </w:t>
      </w:r>
      <w:r w:rsidR="00126243">
        <w:rPr>
          <w:sz w:val="16"/>
          <w:szCs w:val="16"/>
        </w:rPr>
        <w:fldChar w:fldCharType="begin" w:fldLock="1"/>
      </w:r>
      <w:r w:rsidR="00126243">
        <w:rPr>
          <w:sz w:val="16"/>
          <w:szCs w:val="16"/>
        </w:rPr>
        <w:instrText xml:space="preserve"> REF _Ref98402466 \r \h </w:instrText>
      </w:r>
      <w:r w:rsidR="00126243">
        <w:rPr>
          <w:sz w:val="16"/>
          <w:szCs w:val="16"/>
        </w:rPr>
      </w:r>
      <w:r w:rsidR="00126243">
        <w:rPr>
          <w:sz w:val="16"/>
          <w:szCs w:val="16"/>
        </w:rPr>
        <w:fldChar w:fldCharType="separate"/>
      </w:r>
      <w:r w:rsidR="00AE4D34">
        <w:rPr>
          <w:sz w:val="16"/>
          <w:szCs w:val="16"/>
        </w:rPr>
        <w:t>Appendix F</w:t>
      </w:r>
      <w:r w:rsidR="00126243">
        <w:rPr>
          <w:sz w:val="16"/>
          <w:szCs w:val="16"/>
        </w:rPr>
        <w:fldChar w:fldCharType="end"/>
      </w:r>
      <w:r w:rsidR="00126243" w:rsidRPr="00DC006F">
        <w:rPr>
          <w:sz w:val="16"/>
          <w:szCs w:val="16"/>
        </w:rPr>
        <w:t xml:space="preserve"> for detailed exclusion criteria</w:t>
      </w:r>
      <w:r w:rsidRPr="00C57917">
        <w:rPr>
          <w:sz w:val="16"/>
          <w:szCs w:val="16"/>
        </w:rPr>
        <w:t xml:space="preserve">. The sample includes 112 services delivering 401,325 </w:t>
      </w:r>
      <w:r w:rsidR="001F66B8">
        <w:rPr>
          <w:sz w:val="16"/>
          <w:szCs w:val="16"/>
        </w:rPr>
        <w:t>OOS</w:t>
      </w:r>
      <w:r w:rsidRPr="00C57917">
        <w:rPr>
          <w:sz w:val="16"/>
          <w:szCs w:val="16"/>
        </w:rPr>
        <w:t xml:space="preserve"> and 102,550</w:t>
      </w:r>
      <w:r w:rsidR="00C57917">
        <w:rPr>
          <w:sz w:val="16"/>
          <w:szCs w:val="16"/>
        </w:rPr>
        <w:t> </w:t>
      </w:r>
      <w:r w:rsidRPr="00C57917">
        <w:rPr>
          <w:sz w:val="16"/>
          <w:szCs w:val="16"/>
        </w:rPr>
        <w:t>episodes.</w:t>
      </w:r>
      <w:r w:rsidR="009C4D98" w:rsidRPr="00E55610">
        <w:rPr>
          <w:sz w:val="16"/>
          <w:szCs w:val="16"/>
        </w:rPr>
        <w:t xml:space="preserve"> </w:t>
      </w:r>
      <w:r w:rsidR="00FE7E3D">
        <w:rPr>
          <w:sz w:val="16"/>
          <w:szCs w:val="16"/>
        </w:rPr>
        <w:t>‘</w:t>
      </w:r>
      <w:r w:rsidR="009C4D98" w:rsidRPr="00E55610">
        <w:rPr>
          <w:sz w:val="16"/>
          <w:szCs w:val="16"/>
        </w:rPr>
        <w:t>Other psychologists</w:t>
      </w:r>
      <w:r w:rsidR="00FE7E3D">
        <w:rPr>
          <w:sz w:val="16"/>
          <w:szCs w:val="16"/>
        </w:rPr>
        <w:t>’</w:t>
      </w:r>
      <w:r w:rsidR="009C4D98" w:rsidRPr="00E55610">
        <w:rPr>
          <w:sz w:val="16"/>
          <w:szCs w:val="16"/>
        </w:rPr>
        <w:t xml:space="preserve"> refer to all other psychologists not labelled as clinical psychologists according to the service provider survey. </w:t>
      </w:r>
    </w:p>
    <w:p w14:paraId="7F67A8AC" w14:textId="5A2F6F93" w:rsidR="009C4D98" w:rsidRDefault="009C4D98" w:rsidP="009C4D98">
      <w:pPr>
        <w:pStyle w:val="BodyText"/>
      </w:pPr>
      <w:r>
        <w:t xml:space="preserve">The share of MBS funding varied considerably by service as </w:t>
      </w:r>
      <w:r w:rsidRPr="00C86CE3">
        <w:t xml:space="preserve">shown in </w:t>
      </w:r>
      <w:r w:rsidR="009D1B04">
        <w:fldChar w:fldCharType="begin" w:fldLock="1"/>
      </w:r>
      <w:r w:rsidR="009D1B04">
        <w:instrText xml:space="preserve"> REF _Ref94880439 \h </w:instrText>
      </w:r>
      <w:r w:rsidR="009D1B04">
        <w:fldChar w:fldCharType="separate"/>
      </w:r>
      <w:r w:rsidR="000C245D" w:rsidRPr="00C86CE3">
        <w:t xml:space="preserve">Figure </w:t>
      </w:r>
      <w:r w:rsidR="000C245D">
        <w:rPr>
          <w:noProof/>
        </w:rPr>
        <w:t>23</w:t>
      </w:r>
      <w:r w:rsidR="009D1B04">
        <w:fldChar w:fldCharType="end"/>
      </w:r>
      <w:r w:rsidRPr="00C86CE3">
        <w:t>.</w:t>
      </w:r>
      <w:r>
        <w:t xml:space="preserve"> </w:t>
      </w:r>
      <w:r w:rsidR="00CF4A68">
        <w:fldChar w:fldCharType="begin" w:fldLock="1"/>
      </w:r>
      <w:r w:rsidR="00CF4A68">
        <w:instrText xml:space="preserve"> REF _Ref94880439 \h </w:instrText>
      </w:r>
      <w:r w:rsidR="00CF4A68">
        <w:fldChar w:fldCharType="separate"/>
      </w:r>
      <w:r w:rsidR="000C245D" w:rsidRPr="00C86CE3">
        <w:t xml:space="preserve">Figure </w:t>
      </w:r>
      <w:r w:rsidR="000C245D">
        <w:rPr>
          <w:noProof/>
        </w:rPr>
        <w:t>23</w:t>
      </w:r>
      <w:r w:rsidR="00CF4A68">
        <w:fldChar w:fldCharType="end"/>
      </w:r>
      <w:r w:rsidR="00CF4A68">
        <w:t xml:space="preserve"> describes the </w:t>
      </w:r>
      <w:r w:rsidR="00626444">
        <w:t xml:space="preserve">distribution of the </w:t>
      </w:r>
      <w:r w:rsidR="0021768D">
        <w:t>percentage</w:t>
      </w:r>
      <w:r w:rsidR="00CF4A68">
        <w:t xml:space="preserve"> of </w:t>
      </w:r>
      <w:r w:rsidR="001F66B8">
        <w:t>OOS</w:t>
      </w:r>
      <w:r>
        <w:t xml:space="preserve"> </w:t>
      </w:r>
      <w:r w:rsidR="0021768D">
        <w:t xml:space="preserve">funded </w:t>
      </w:r>
      <w:r w:rsidR="00626444">
        <w:t>by the MBS across each headspace service.</w:t>
      </w:r>
      <w:r>
        <w:t xml:space="preserve"> </w:t>
      </w:r>
      <w:r w:rsidRPr="00C86CE3">
        <w:t>Fourteen</w:t>
      </w:r>
      <w:r>
        <w:t xml:space="preserve"> headspace services had less than one per cent of their </w:t>
      </w:r>
      <w:r w:rsidR="00C27419">
        <w:t>OOS</w:t>
      </w:r>
      <w:r>
        <w:t xml:space="preserve"> funded via the MBS. These services are all </w:t>
      </w:r>
      <w:r w:rsidR="00145075">
        <w:t>headspace</w:t>
      </w:r>
      <w:r w:rsidR="00040C00">
        <w:t xml:space="preserve"> centre</w:t>
      </w:r>
      <w:r w:rsidR="00FE7E3D">
        <w:t>s</w:t>
      </w:r>
      <w:r>
        <w:t>, with 13 located in regional or remote areas. Only one of these 14</w:t>
      </w:r>
      <w:r w:rsidR="00A469C7">
        <w:t> </w:t>
      </w:r>
      <w:r>
        <w:t xml:space="preserve">services is in a metropolitan area. </w:t>
      </w:r>
      <w:r w:rsidR="00FE7E3D">
        <w:t>Twenty-three</w:t>
      </w:r>
      <w:r w:rsidRPr="00C86CE3">
        <w:t xml:space="preserve"> </w:t>
      </w:r>
      <w:r>
        <w:t xml:space="preserve">headspace services </w:t>
      </w:r>
      <w:r w:rsidRPr="00C86CE3">
        <w:t xml:space="preserve">had </w:t>
      </w:r>
      <w:r>
        <w:t xml:space="preserve">over half of </w:t>
      </w:r>
      <w:r w:rsidR="003942B4">
        <w:t>OOS</w:t>
      </w:r>
      <w:r>
        <w:t xml:space="preserve"> funded via the MBS. Fifteen of these </w:t>
      </w:r>
      <w:r w:rsidRPr="00C86CE3">
        <w:t>2</w:t>
      </w:r>
      <w:r w:rsidR="00962C96">
        <w:t>3</w:t>
      </w:r>
      <w:r>
        <w:t xml:space="preserve"> services are in metropolitan areas with </w:t>
      </w:r>
      <w:r w:rsidR="00986071">
        <w:t>seven</w:t>
      </w:r>
      <w:r>
        <w:t xml:space="preserve"> services in inner regional areas and one in a remote area. Seven of these 2</w:t>
      </w:r>
      <w:r w:rsidR="00962C96">
        <w:t>3</w:t>
      </w:r>
      <w:r>
        <w:t xml:space="preserve"> services are in Queensland, seven in Victoria, </w:t>
      </w:r>
      <w:r w:rsidR="00BB4A1D">
        <w:t>seven</w:t>
      </w:r>
      <w:r>
        <w:t xml:space="preserve"> in </w:t>
      </w:r>
      <w:r w:rsidR="003942B4">
        <w:t>NSW</w:t>
      </w:r>
      <w:r w:rsidR="00FE7E3D">
        <w:t>,</w:t>
      </w:r>
      <w:r w:rsidR="00F04EF3">
        <w:t xml:space="preserve"> two in Tasmania and</w:t>
      </w:r>
      <w:r w:rsidR="00DC2A69">
        <w:t xml:space="preserve"> </w:t>
      </w:r>
      <w:r>
        <w:t>one each in Northern Territory</w:t>
      </w:r>
      <w:r w:rsidR="00F04EF3">
        <w:t xml:space="preserve"> </w:t>
      </w:r>
      <w:r w:rsidR="003942B4">
        <w:t>(NT)</w:t>
      </w:r>
      <w:r w:rsidR="00F04EF3">
        <w:t xml:space="preserve"> </w:t>
      </w:r>
      <w:r>
        <w:t xml:space="preserve">and </w:t>
      </w:r>
      <w:r w:rsidR="003942B4">
        <w:t>WA</w:t>
      </w:r>
      <w:r>
        <w:t xml:space="preserve">. Among the three satellites out of the 112 services, around 14 to 43 per cent of </w:t>
      </w:r>
      <w:r w:rsidR="007B2863">
        <w:t>OOS</w:t>
      </w:r>
      <w:r>
        <w:t xml:space="preserve"> were funded via the MBS.</w:t>
      </w:r>
    </w:p>
    <w:p w14:paraId="46BED0B6" w14:textId="03908576" w:rsidR="00700E80" w:rsidRPr="00700E80" w:rsidRDefault="009C4D98" w:rsidP="00700E80">
      <w:pPr>
        <w:pStyle w:val="Caption"/>
      </w:pPr>
      <w:bookmarkStart w:id="118" w:name="_Ref93569583"/>
      <w:bookmarkStart w:id="119" w:name="_Ref94880439"/>
      <w:bookmarkStart w:id="120" w:name="_Toc108109208"/>
      <w:r w:rsidRPr="00C86CE3">
        <w:t xml:space="preserve">Figure </w:t>
      </w:r>
      <w:bookmarkEnd w:id="118"/>
      <w:r w:rsidR="00A8008D">
        <w:fldChar w:fldCharType="begin"/>
      </w:r>
      <w:r w:rsidR="00A8008D">
        <w:instrText xml:space="preserve"> SEQ Figure \* ARABIC </w:instrText>
      </w:r>
      <w:r w:rsidR="00A8008D">
        <w:fldChar w:fldCharType="separate"/>
      </w:r>
      <w:r w:rsidR="00CC0438">
        <w:rPr>
          <w:noProof/>
        </w:rPr>
        <w:t>23</w:t>
      </w:r>
      <w:r w:rsidR="00A8008D">
        <w:fldChar w:fldCharType="end"/>
      </w:r>
      <w:bookmarkEnd w:id="119"/>
      <w:r w:rsidRPr="00C86CE3">
        <w:t xml:space="preserve">: </w:t>
      </w:r>
      <w:r w:rsidR="00075B86">
        <w:t>Proportion</w:t>
      </w:r>
      <w:r w:rsidRPr="00C86CE3">
        <w:t xml:space="preserve"> of</w:t>
      </w:r>
      <w:r w:rsidRPr="00FD4517">
        <w:t xml:space="preserve"> </w:t>
      </w:r>
      <w:r w:rsidR="003A748E">
        <w:t>OOS</w:t>
      </w:r>
      <w:r w:rsidR="00075B86">
        <w:t xml:space="preserve"> funded by the MBS by headspace </w:t>
      </w:r>
      <w:r w:rsidR="00512097">
        <w:t>service</w:t>
      </w:r>
      <w:bookmarkEnd w:id="120"/>
    </w:p>
    <w:p w14:paraId="652EED9D" w14:textId="31EBE942" w:rsidR="00512097" w:rsidRPr="00512097" w:rsidRDefault="00512097" w:rsidP="00D95A3F">
      <w:r>
        <w:rPr>
          <w:noProof/>
        </w:rPr>
        <w:drawing>
          <wp:inline distT="0" distB="0" distL="0" distR="0" wp14:anchorId="391F0583" wp14:editId="51649FF3">
            <wp:extent cx="5037455" cy="3234055"/>
            <wp:effectExtent l="0" t="0" r="0" b="4445"/>
            <wp:docPr id="215" name="Picture 215" descr="Figure 23 is a histogram showing the proportion of occasions of service funded through the MBS. &#10;22 headspace services had between 0% and 10% of occasions of service delivered through MBS funding&#10;19 headspace services had between 10% and 20% of occasions of service delivered through MBS funding&#10;11 headspace services had between 20% and 30% of occasions of service delivered through MBS funding&#10;26 headspace services had between 30% and 40% of occasions of service delivered through MBS funding&#10;11 headspace services had between 40% and 50% of occasions of service delivered through MBS funding&#10;19 headspace services had between 50% and 60% of occasions of service delivered through MBS funding&#10;3 headspace services had between 60% and 70% of occasions of service delivered through MBS funding&#10;1 headspace service had between 70% and 80% of occasions of service delivered through MBS fun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Figure 23 is a histogram showing the proportion of occasions of service funded through the MBS. &#10;22 headspace services had between 0% and 10% of occasions of service delivered through MBS funding&#10;19 headspace services had between 10% and 20% of occasions of service delivered through MBS funding&#10;11 headspace services had between 20% and 30% of occasions of service delivered through MBS funding&#10;26 headspace services had between 30% and 40% of occasions of service delivered through MBS funding&#10;11 headspace services had between 40% and 50% of occasions of service delivered through MBS funding&#10;19 headspace services had between 50% and 60% of occasions of service delivered through MBS funding&#10;3 headspace services had between 60% and 70% of occasions of service delivered through MBS funding&#10;1 headspace service had between 70% and 80% of occasions of service delivered through MBS funding&#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632B5F14" w14:textId="77777777" w:rsidR="006060BF" w:rsidRDefault="00A02696" w:rsidP="006060BF">
      <w:pPr>
        <w:pStyle w:val="Source"/>
        <w:rPr>
          <w:szCs w:val="16"/>
        </w:rPr>
      </w:pPr>
      <w:r w:rsidRPr="00DC006F">
        <w:rPr>
          <w:szCs w:val="16"/>
        </w:rPr>
        <w:t>Source: KPMG analysis of the total cost dataset</w:t>
      </w:r>
    </w:p>
    <w:p w14:paraId="2A8ABFD2" w14:textId="5BC65803" w:rsidR="001363FA" w:rsidRDefault="00A02696" w:rsidP="006060BF">
      <w:pPr>
        <w:pStyle w:val="Source"/>
        <w:rPr>
          <w:szCs w:val="16"/>
        </w:rPr>
      </w:pPr>
      <w:r w:rsidRPr="00B9700F">
        <w:rPr>
          <w:szCs w:val="16"/>
        </w:rPr>
        <w:t xml:space="preserve">Notes: See </w:t>
      </w:r>
      <w:r w:rsidR="0036321C">
        <w:rPr>
          <w:szCs w:val="16"/>
        </w:rPr>
        <w:fldChar w:fldCharType="begin" w:fldLock="1"/>
      </w:r>
      <w:r w:rsidR="0036321C">
        <w:rPr>
          <w:szCs w:val="16"/>
        </w:rPr>
        <w:instrText xml:space="preserve"> REF _Ref98402466 \r \h </w:instrText>
      </w:r>
      <w:r w:rsidR="0036321C">
        <w:rPr>
          <w:szCs w:val="16"/>
        </w:rPr>
      </w:r>
      <w:r w:rsidR="0036321C">
        <w:rPr>
          <w:szCs w:val="16"/>
        </w:rPr>
        <w:fldChar w:fldCharType="separate"/>
      </w:r>
      <w:r w:rsidR="00AE4D34">
        <w:rPr>
          <w:szCs w:val="16"/>
        </w:rPr>
        <w:t>Appendix F</w:t>
      </w:r>
      <w:r w:rsidR="0036321C">
        <w:rPr>
          <w:szCs w:val="16"/>
        </w:rPr>
        <w:fldChar w:fldCharType="end"/>
      </w:r>
      <w:r w:rsidRPr="00DC006F">
        <w:rPr>
          <w:szCs w:val="16"/>
        </w:rPr>
        <w:t xml:space="preserve"> for detailed exclusion criteria.</w:t>
      </w:r>
      <w:r w:rsidRPr="00E83942">
        <w:rPr>
          <w:szCs w:val="16"/>
        </w:rPr>
        <w:t xml:space="preserve"> The sample includes 112 services delivering 401,325</w:t>
      </w:r>
      <w:r w:rsidR="00060D6D">
        <w:rPr>
          <w:szCs w:val="16"/>
        </w:rPr>
        <w:t xml:space="preserve"> </w:t>
      </w:r>
      <w:r w:rsidR="001F66B8">
        <w:rPr>
          <w:szCs w:val="16"/>
        </w:rPr>
        <w:t>OOS</w:t>
      </w:r>
      <w:r w:rsidRPr="00E83942">
        <w:rPr>
          <w:szCs w:val="16"/>
        </w:rPr>
        <w:t>.</w:t>
      </w:r>
    </w:p>
    <w:p w14:paraId="0ED333C2" w14:textId="721F1AFF" w:rsidR="009C4D98" w:rsidRDefault="00EF7476" w:rsidP="009C4D98">
      <w:pPr>
        <w:pStyle w:val="BodyText"/>
      </w:pPr>
      <w:r>
        <w:fldChar w:fldCharType="begin" w:fldLock="1"/>
      </w:r>
      <w:r>
        <w:instrText xml:space="preserve"> REF _Ref94880478 \h </w:instrText>
      </w:r>
      <w:r>
        <w:fldChar w:fldCharType="separate"/>
      </w:r>
      <w:r w:rsidR="00945592" w:rsidRPr="00FD4517">
        <w:t xml:space="preserve">Figure </w:t>
      </w:r>
      <w:r w:rsidR="00945592">
        <w:rPr>
          <w:noProof/>
        </w:rPr>
        <w:t>24</w:t>
      </w:r>
      <w:r>
        <w:fldChar w:fldCharType="end"/>
      </w:r>
      <w:r w:rsidR="009C4D98" w:rsidRPr="00FD4517">
        <w:t xml:space="preserve"> shows that there is a strong correlation between the total number of </w:t>
      </w:r>
      <w:r w:rsidR="00B378FE">
        <w:t>OOS</w:t>
      </w:r>
      <w:r w:rsidR="009C4D98" w:rsidRPr="00FD4517">
        <w:t xml:space="preserve"> delivered by a headspace service and the use of MBS funding. </w:t>
      </w:r>
    </w:p>
    <w:p w14:paraId="57754B27" w14:textId="36B24D36" w:rsidR="009C4D98" w:rsidRPr="00FD4517" w:rsidRDefault="009C4D98" w:rsidP="009C4D98">
      <w:pPr>
        <w:pStyle w:val="Caption"/>
      </w:pPr>
      <w:bookmarkStart w:id="121" w:name="_Ref93569872"/>
      <w:bookmarkStart w:id="122" w:name="_Ref94880478"/>
      <w:bookmarkStart w:id="123" w:name="_Toc108109209"/>
      <w:r w:rsidRPr="00FD4517">
        <w:t xml:space="preserve">Figure </w:t>
      </w:r>
      <w:bookmarkEnd w:id="121"/>
      <w:r w:rsidR="00A8008D">
        <w:fldChar w:fldCharType="begin"/>
      </w:r>
      <w:r w:rsidR="00A8008D">
        <w:instrText xml:space="preserve"> SEQ Figure \* ARABIC </w:instrText>
      </w:r>
      <w:r w:rsidR="00A8008D">
        <w:fldChar w:fldCharType="separate"/>
      </w:r>
      <w:r w:rsidR="00CC0438">
        <w:rPr>
          <w:noProof/>
        </w:rPr>
        <w:t>24</w:t>
      </w:r>
      <w:r w:rsidR="00A8008D">
        <w:fldChar w:fldCharType="end"/>
      </w:r>
      <w:bookmarkEnd w:id="122"/>
      <w:r w:rsidRPr="00FD4517">
        <w:t xml:space="preserve">: MBS funded </w:t>
      </w:r>
      <w:r w:rsidR="007B2863">
        <w:t>OOS</w:t>
      </w:r>
      <w:r w:rsidRPr="00FD4517">
        <w:t xml:space="preserve"> vs total </w:t>
      </w:r>
      <w:r w:rsidR="007B2863">
        <w:t>OOS</w:t>
      </w:r>
      <w:bookmarkEnd w:id="123"/>
    </w:p>
    <w:p w14:paraId="49D1016A" w14:textId="18E29052" w:rsidR="009C4D98" w:rsidRPr="00FD4517" w:rsidRDefault="00B84382" w:rsidP="003006A8">
      <w:pPr>
        <w:pStyle w:val="BodyText"/>
      </w:pPr>
      <w:r>
        <w:rPr>
          <w:noProof/>
        </w:rPr>
        <w:drawing>
          <wp:inline distT="0" distB="0" distL="0" distR="0" wp14:anchorId="7637C366" wp14:editId="5553FF55">
            <wp:extent cx="5036820" cy="3238500"/>
            <wp:effectExtent l="0" t="0" r="0" b="0"/>
            <wp:docPr id="101" name="Picture 101" descr="Figure 24 is a scatter plot which compares the number of MBS funded occasions of service for a headspace service with the total number of occasions of service delivered. The graph shows a strong correlation between the number of MBS funded occasions of service, and the total number of occasions of service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igure 24 is a scatter plot which compares the number of MBS funded occasions of service for a headspace service with the total number of occasions of service delivered. The graph shows a strong correlation between the number of MBS funded occasions of service, and the total number of occasions of service deliver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6820" cy="3238500"/>
                    </a:xfrm>
                    <a:prstGeom prst="rect">
                      <a:avLst/>
                    </a:prstGeom>
                    <a:noFill/>
                    <a:ln>
                      <a:noFill/>
                    </a:ln>
                  </pic:spPr>
                </pic:pic>
              </a:graphicData>
            </a:graphic>
          </wp:inline>
        </w:drawing>
      </w:r>
    </w:p>
    <w:p w14:paraId="681F4BD2" w14:textId="5EB05F92" w:rsidR="00A02696" w:rsidRPr="00CF2E3E" w:rsidRDefault="00A02696" w:rsidP="00A02696">
      <w:pPr>
        <w:pStyle w:val="Source"/>
        <w:rPr>
          <w:szCs w:val="16"/>
        </w:rPr>
      </w:pPr>
      <w:r w:rsidRPr="00055013">
        <w:rPr>
          <w:szCs w:val="16"/>
        </w:rPr>
        <w:t xml:space="preserve">Source: KPMG analysis </w:t>
      </w:r>
      <w:bookmarkStart w:id="124" w:name="figure59"/>
      <w:bookmarkEnd w:id="124"/>
      <w:r w:rsidRPr="00055013">
        <w:rPr>
          <w:szCs w:val="16"/>
        </w:rPr>
        <w:t xml:space="preserve">of the </w:t>
      </w:r>
      <w:r>
        <w:rPr>
          <w:szCs w:val="16"/>
        </w:rPr>
        <w:t>total cost dataset</w:t>
      </w:r>
    </w:p>
    <w:p w14:paraId="3D8AD780" w14:textId="02D59F58" w:rsidR="009C4D98" w:rsidRPr="00353464" w:rsidRDefault="00A02696" w:rsidP="009C4D98">
      <w:pPr>
        <w:pStyle w:val="Source"/>
      </w:pPr>
      <w:r w:rsidRPr="00CF2E3E">
        <w:rPr>
          <w:szCs w:val="16"/>
        </w:rPr>
        <w:t xml:space="preserve">Notes: </w:t>
      </w:r>
      <w:r w:rsidR="004C71D7" w:rsidRPr="004C71D7">
        <w:rPr>
          <w:szCs w:val="16"/>
        </w:rPr>
        <w:t xml:space="preserve">See </w:t>
      </w:r>
      <w:r w:rsidR="00A04A63">
        <w:fldChar w:fldCharType="begin" w:fldLock="1"/>
      </w:r>
      <w:r w:rsidR="00A04A63">
        <w:instrText xml:space="preserve"> REF _Ref98402466 \r \h </w:instrText>
      </w:r>
      <w:r w:rsidR="00A04A63">
        <w:fldChar w:fldCharType="separate"/>
      </w:r>
      <w:r w:rsidR="00AE4D34">
        <w:t>Appendix F</w:t>
      </w:r>
      <w:r w:rsidR="00A04A63">
        <w:fldChar w:fldCharType="end"/>
      </w:r>
      <w:r w:rsidR="004C71D7" w:rsidRPr="004C71D7">
        <w:rPr>
          <w:szCs w:val="16"/>
        </w:rPr>
        <w:t xml:space="preserve"> for detailed exclusion criteria</w:t>
      </w:r>
      <w:r w:rsidRPr="00CF2E3E">
        <w:rPr>
          <w:szCs w:val="16"/>
        </w:rPr>
        <w:t>.</w:t>
      </w:r>
      <w:r>
        <w:rPr>
          <w:szCs w:val="16"/>
        </w:rPr>
        <w:t xml:space="preserve"> The sample includes 112 services delivering 401,325</w:t>
      </w:r>
      <w:r w:rsidR="00C57917">
        <w:rPr>
          <w:szCs w:val="16"/>
        </w:rPr>
        <w:t> </w:t>
      </w:r>
      <w:r w:rsidR="001F66B8">
        <w:rPr>
          <w:szCs w:val="16"/>
        </w:rPr>
        <w:t>OOS</w:t>
      </w:r>
      <w:r>
        <w:rPr>
          <w:szCs w:val="16"/>
        </w:rPr>
        <w:t>.</w:t>
      </w:r>
    </w:p>
    <w:p w14:paraId="127A1D0C" w14:textId="77777777" w:rsidR="009C4D98" w:rsidRDefault="009C4D98" w:rsidP="006060BF">
      <w:pPr>
        <w:pStyle w:val="Heading4"/>
      </w:pPr>
      <w:r>
        <w:t>In-kind contributions to the delivery of headspace</w:t>
      </w:r>
    </w:p>
    <w:p w14:paraId="71B91D23" w14:textId="584E9609" w:rsidR="009C4D98" w:rsidRDefault="009C4D98" w:rsidP="009C4D98">
      <w:pPr>
        <w:pStyle w:val="BodyText"/>
      </w:pPr>
      <w:r>
        <w:t xml:space="preserve">In 2019-20, </w:t>
      </w:r>
      <w:r w:rsidRPr="002502CE">
        <w:t>four</w:t>
      </w:r>
      <w:r>
        <w:t xml:space="preserve"> per cent of total </w:t>
      </w:r>
      <w:r w:rsidR="007B2863">
        <w:t>OOS</w:t>
      </w:r>
      <w:r>
        <w:t xml:space="preserve"> were funded via in-kind contributions at an estimated cost of $1.3 million.</w:t>
      </w:r>
    </w:p>
    <w:p w14:paraId="659FC85D" w14:textId="4005783D" w:rsidR="009C4D98" w:rsidRDefault="009C4D98" w:rsidP="009C4D98">
      <w:pPr>
        <w:pStyle w:val="BodyText"/>
      </w:pPr>
      <w:r>
        <w:t xml:space="preserve">The in-kind contribution varied considerably by service but was not strongly driven by volume, rurality or service type. For </w:t>
      </w:r>
      <w:r w:rsidRPr="002502CE">
        <w:t>60</w:t>
      </w:r>
      <w:r>
        <w:t xml:space="preserve"> per cent of headspace services, in-kind funding accounted for less than five</w:t>
      </w:r>
      <w:r w:rsidR="00060D6D">
        <w:t xml:space="preserve"> </w:t>
      </w:r>
      <w:r>
        <w:t xml:space="preserve">per cent of total </w:t>
      </w:r>
      <w:r w:rsidR="00525ED1">
        <w:t>OOS</w:t>
      </w:r>
      <w:r>
        <w:t>; in six</w:t>
      </w:r>
      <w:r w:rsidRPr="002502CE">
        <w:t xml:space="preserve"> </w:t>
      </w:r>
      <w:r>
        <w:t>headspace services</w:t>
      </w:r>
      <w:r w:rsidR="006D2E02">
        <w:t>,</w:t>
      </w:r>
      <w:r>
        <w:t xml:space="preserve"> however, it accounted for over 15</w:t>
      </w:r>
      <w:r w:rsidR="00060D6D">
        <w:t xml:space="preserve"> </w:t>
      </w:r>
      <w:r>
        <w:t>per cent.</w:t>
      </w:r>
      <w:r w:rsidR="00983C70">
        <w:t xml:space="preserve"> All</w:t>
      </w:r>
      <w:r w:rsidR="00B81994">
        <w:t xml:space="preserve"> six </w:t>
      </w:r>
      <w:r w:rsidR="009D6C62">
        <w:t>of the</w:t>
      </w:r>
      <w:r w:rsidR="00B81994">
        <w:t xml:space="preserve"> services</w:t>
      </w:r>
      <w:r w:rsidR="00983C70">
        <w:t xml:space="preserve"> are located in a regional area.</w:t>
      </w:r>
    </w:p>
    <w:p w14:paraId="3DD69358" w14:textId="090DB9AE" w:rsidR="00D1549B" w:rsidRPr="00D1549B" w:rsidRDefault="009C4D98" w:rsidP="00D1549B">
      <w:pPr>
        <w:pStyle w:val="Caption"/>
      </w:pPr>
      <w:bookmarkStart w:id="125" w:name="_Toc108109210"/>
      <w:r w:rsidRPr="00FD4517">
        <w:t xml:space="preserve">Figure </w:t>
      </w:r>
      <w:r>
        <w:fldChar w:fldCharType="begin"/>
      </w:r>
      <w:r>
        <w:instrText>SEQ Figure \* ARABIC</w:instrText>
      </w:r>
      <w:r>
        <w:fldChar w:fldCharType="separate"/>
      </w:r>
      <w:r w:rsidR="00CC0438">
        <w:rPr>
          <w:noProof/>
        </w:rPr>
        <w:t>25</w:t>
      </w:r>
      <w:r>
        <w:fldChar w:fldCharType="end"/>
      </w:r>
      <w:r w:rsidRPr="00FD4517">
        <w:t>: Histogram of in-kind contribution</w:t>
      </w:r>
      <w:bookmarkEnd w:id="125"/>
    </w:p>
    <w:p w14:paraId="35B4DBA0" w14:textId="60018CD0" w:rsidR="00393D04" w:rsidRPr="00393D04" w:rsidRDefault="00C44511" w:rsidP="00D95A3F">
      <w:r>
        <w:rPr>
          <w:noProof/>
        </w:rPr>
        <w:drawing>
          <wp:inline distT="0" distB="0" distL="0" distR="0" wp14:anchorId="100CBD22" wp14:editId="55E5B54D">
            <wp:extent cx="5036820" cy="3238500"/>
            <wp:effectExtent l="0" t="0" r="0" b="0"/>
            <wp:docPr id="16" name="Picture 16" descr="Figure 25 is a column chart and shows the number of headspace services with a certain share of occasions of service funded by in-kind arrangements&#10;99 headspace services had between 0% and 10% of occasions of service funded by in-kind arrangements&#10;12 headspace services had between 10% and 20% of occasions of service funded by in-kind arrangements&#10;1 headspace service had between 20% and 30% of occasions of service funded by in-kind arrange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25 is a column chart and shows the number of headspace services with a certain share of occasions of service funded by in-kind arrangements&#10;99 headspace services had between 0% and 10% of occasions of service funded by in-kind arrangements&#10;12 headspace services had between 10% and 20% of occasions of service funded by in-kind arrangements&#10;1 headspace service had between 20% and 30% of occasions of service funded by in-kind arrangements.&#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6820" cy="3238500"/>
                    </a:xfrm>
                    <a:prstGeom prst="rect">
                      <a:avLst/>
                    </a:prstGeom>
                    <a:noFill/>
                    <a:ln>
                      <a:noFill/>
                    </a:ln>
                  </pic:spPr>
                </pic:pic>
              </a:graphicData>
            </a:graphic>
          </wp:inline>
        </w:drawing>
      </w:r>
    </w:p>
    <w:p w14:paraId="158E81D5" w14:textId="1124CE76" w:rsidR="00A02696" w:rsidRPr="00CF2E3E" w:rsidRDefault="00A02696" w:rsidP="00A02696">
      <w:pPr>
        <w:pStyle w:val="Source"/>
        <w:rPr>
          <w:szCs w:val="16"/>
        </w:rPr>
      </w:pPr>
      <w:r w:rsidRPr="00055013">
        <w:rPr>
          <w:szCs w:val="16"/>
        </w:rPr>
        <w:t xml:space="preserve">Source: KPMG analysis of the </w:t>
      </w:r>
      <w:r>
        <w:rPr>
          <w:szCs w:val="16"/>
        </w:rPr>
        <w:t>total cost dataset</w:t>
      </w:r>
    </w:p>
    <w:p w14:paraId="07276F0C" w14:textId="74FA50F2" w:rsidR="009C4D98" w:rsidRPr="00353464" w:rsidRDefault="00A02696" w:rsidP="009C4D98">
      <w:pPr>
        <w:pStyle w:val="Source"/>
      </w:pPr>
      <w:r w:rsidRPr="00CF2E3E">
        <w:rPr>
          <w:szCs w:val="16"/>
        </w:rPr>
        <w:t xml:space="preserve">Notes: See </w:t>
      </w:r>
      <w:r w:rsidR="0087217A">
        <w:rPr>
          <w:szCs w:val="16"/>
        </w:rPr>
        <w:fldChar w:fldCharType="begin" w:fldLock="1"/>
      </w:r>
      <w:r w:rsidR="0087217A">
        <w:rPr>
          <w:szCs w:val="16"/>
        </w:rPr>
        <w:instrText xml:space="preserve"> REF _Ref98402466 \r \h </w:instrText>
      </w:r>
      <w:r w:rsidR="0087217A">
        <w:rPr>
          <w:szCs w:val="16"/>
        </w:rPr>
      </w:r>
      <w:r w:rsidR="0087217A">
        <w:rPr>
          <w:szCs w:val="16"/>
        </w:rPr>
        <w:fldChar w:fldCharType="separate"/>
      </w:r>
      <w:r w:rsidR="00AE4D34">
        <w:rPr>
          <w:szCs w:val="16"/>
        </w:rPr>
        <w:t>Appendix F</w:t>
      </w:r>
      <w:r w:rsidR="0087217A">
        <w:rPr>
          <w:szCs w:val="16"/>
        </w:rPr>
        <w:fldChar w:fldCharType="end"/>
      </w:r>
      <w:r w:rsidRPr="00CF2E3E">
        <w:rPr>
          <w:szCs w:val="16"/>
        </w:rPr>
        <w:t xml:space="preserve"> for detailed exclusion criteria.</w:t>
      </w:r>
      <w:r>
        <w:rPr>
          <w:szCs w:val="16"/>
        </w:rPr>
        <w:t xml:space="preserve"> The sample includes 112 services delivering 401,325 </w:t>
      </w:r>
      <w:r w:rsidR="001F66B8">
        <w:rPr>
          <w:szCs w:val="16"/>
        </w:rPr>
        <w:t>OOS</w:t>
      </w:r>
      <w:r>
        <w:rPr>
          <w:szCs w:val="16"/>
        </w:rPr>
        <w:t xml:space="preserve"> and 102,550</w:t>
      </w:r>
      <w:r w:rsidR="00C7504D">
        <w:rPr>
          <w:szCs w:val="16"/>
        </w:rPr>
        <w:t> </w:t>
      </w:r>
      <w:r>
        <w:rPr>
          <w:szCs w:val="16"/>
        </w:rPr>
        <w:t>episodes.</w:t>
      </w:r>
    </w:p>
    <w:p w14:paraId="0EDBE652" w14:textId="77777777" w:rsidR="009C4D98" w:rsidRDefault="009C4D98" w:rsidP="006060BF">
      <w:pPr>
        <w:pStyle w:val="Heading4"/>
      </w:pPr>
      <w:r>
        <w:t>Private contributions to the delivery of headspace</w:t>
      </w:r>
    </w:p>
    <w:p w14:paraId="251F8BCB" w14:textId="39A7A43F" w:rsidR="009C4D98" w:rsidRDefault="009C4D98" w:rsidP="009C4D98">
      <w:pPr>
        <w:pStyle w:val="BodyText"/>
      </w:pPr>
      <w:r>
        <w:t xml:space="preserve">In 2019-20, 0.2 per cent of total </w:t>
      </w:r>
      <w:r w:rsidR="007B2863">
        <w:t>OOS</w:t>
      </w:r>
      <w:r>
        <w:t xml:space="preserve"> were funded via private contributions at an estimated cost of $81,000. </w:t>
      </w:r>
      <w:r w:rsidR="004C1FFE">
        <w:t>Fifty</w:t>
      </w:r>
      <w:r>
        <w:t xml:space="preserve"> out of 112 services had at least one occasion of service funded via private contributions</w:t>
      </w:r>
      <w:r w:rsidR="00CA0B54">
        <w:t xml:space="preserve">. However, the number of </w:t>
      </w:r>
      <w:r w:rsidR="006E7DB0">
        <w:t>O</w:t>
      </w:r>
      <w:r w:rsidR="009D6C62">
        <w:t>O</w:t>
      </w:r>
      <w:r w:rsidR="006E7DB0">
        <w:t>S</w:t>
      </w:r>
      <w:r w:rsidR="00CA0B54">
        <w:t xml:space="preserve"> funded via private contributions were small, ranging between </w:t>
      </w:r>
      <w:r w:rsidR="008429C9">
        <w:t>1</w:t>
      </w:r>
      <w:r w:rsidR="00CA0B54">
        <w:t xml:space="preserve"> to 220</w:t>
      </w:r>
      <w:r w:rsidR="00E53EB2">
        <w:t xml:space="preserve">, an insignificant number compared to the total </w:t>
      </w:r>
      <w:r w:rsidR="006E7DB0">
        <w:t>O</w:t>
      </w:r>
      <w:r w:rsidR="009D6C62">
        <w:t>O</w:t>
      </w:r>
      <w:r w:rsidR="006E7DB0">
        <w:t>S</w:t>
      </w:r>
      <w:r w:rsidR="004A4D74">
        <w:t xml:space="preserve"> </w:t>
      </w:r>
      <w:r w:rsidR="00E53EB2">
        <w:t>delivered during the year.</w:t>
      </w:r>
    </w:p>
    <w:p w14:paraId="4642A078" w14:textId="77777777" w:rsidR="009C4D98" w:rsidRDefault="009C4D98" w:rsidP="006060BF">
      <w:pPr>
        <w:pStyle w:val="Heading4"/>
      </w:pPr>
      <w:r>
        <w:t>Additional PHN program funding</w:t>
      </w:r>
    </w:p>
    <w:p w14:paraId="0512FE81" w14:textId="24AF65BB" w:rsidR="009C4D98" w:rsidRDefault="009C4D98" w:rsidP="009C4D98">
      <w:pPr>
        <w:pStyle w:val="BodyText"/>
      </w:pPr>
      <w:r>
        <w:t xml:space="preserve">In 2019-20, six per cent of </w:t>
      </w:r>
      <w:r w:rsidR="009E3360">
        <w:t>OOS</w:t>
      </w:r>
      <w:r>
        <w:t xml:space="preserve"> were funded via additional PHN funding </w:t>
      </w:r>
      <w:r w:rsidR="00944F83">
        <w:t>in addition to</w:t>
      </w:r>
      <w:r>
        <w:t xml:space="preserve"> the headspace funding provided through the PHNs. In addition to the headspace grant, PHNs provided funding across programs</w:t>
      </w:r>
      <w:r w:rsidR="00944F83">
        <w:t>,</w:t>
      </w:r>
      <w:r>
        <w:t xml:space="preserve"> including the new access program, the low intensity mental health fund, psychological therapies</w:t>
      </w:r>
      <w:r w:rsidR="003C1398">
        <w:t xml:space="preserve"> and other P</w:t>
      </w:r>
      <w:r w:rsidR="00C61520">
        <w:t>H</w:t>
      </w:r>
      <w:r w:rsidR="003C1398">
        <w:t>N</w:t>
      </w:r>
      <w:r w:rsidR="007D1585">
        <w:t xml:space="preserve"> funding</w:t>
      </w:r>
      <w:r>
        <w:t xml:space="preserve">. The estimated cost of these services </w:t>
      </w:r>
      <w:r w:rsidR="00540316">
        <w:t xml:space="preserve">was </w:t>
      </w:r>
      <w:r>
        <w:t>$2.1</w:t>
      </w:r>
      <w:r w:rsidR="00540316">
        <w:t> </w:t>
      </w:r>
      <w:r>
        <w:t xml:space="preserve">million based on the weighted average of the equivalent MBS unit costs (see </w:t>
      </w:r>
      <w:r w:rsidRPr="0067039E">
        <w:fldChar w:fldCharType="begin" w:fldLock="1"/>
      </w:r>
      <w:r w:rsidRPr="0067039E">
        <w:instrText xml:space="preserve"> REF _Ref81294409 \r \h </w:instrText>
      </w:r>
      <w:r>
        <w:instrText xml:space="preserve"> \* MERGEFORMAT </w:instrText>
      </w:r>
      <w:r w:rsidRPr="0067039E">
        <w:fldChar w:fldCharType="separate"/>
      </w:r>
      <w:r w:rsidR="00AE4D34">
        <w:t>Appendix J</w:t>
      </w:r>
      <w:r w:rsidRPr="0067039E">
        <w:fldChar w:fldCharType="end"/>
      </w:r>
      <w:r w:rsidRPr="0067039E">
        <w:t>).</w:t>
      </w:r>
      <w:r>
        <w:t xml:space="preserve"> </w:t>
      </w:r>
    </w:p>
    <w:p w14:paraId="44BA4559" w14:textId="77DE6B4E" w:rsidR="009C4D98" w:rsidRDefault="009C4D98" w:rsidP="009C4D98">
      <w:pPr>
        <w:pStyle w:val="BodyText"/>
      </w:pPr>
      <w:r>
        <w:t>The contribution of PHN funding varied considerably by service. For 7</w:t>
      </w:r>
      <w:r w:rsidR="00AE73D3">
        <w:t>3</w:t>
      </w:r>
      <w:r>
        <w:t xml:space="preserve"> per cent of headspace services, PHN program funding accounted for less than </w:t>
      </w:r>
      <w:r w:rsidRPr="0067039E">
        <w:t>five</w:t>
      </w:r>
      <w:r>
        <w:t xml:space="preserve"> per cent of total </w:t>
      </w:r>
      <w:r w:rsidR="00F15D14">
        <w:t>OOS</w:t>
      </w:r>
      <w:r>
        <w:t xml:space="preserve">; in one service however, it accounted for </w:t>
      </w:r>
      <w:r w:rsidR="009928DD">
        <w:t xml:space="preserve">over </w:t>
      </w:r>
      <w:r>
        <w:t xml:space="preserve">30 per cent. There were no clear relationships between other PHN funding and rurality or service type. </w:t>
      </w:r>
    </w:p>
    <w:p w14:paraId="390340CC" w14:textId="481ADE83" w:rsidR="009C4D98" w:rsidRPr="00860C48" w:rsidRDefault="009C4D98" w:rsidP="009C4D98">
      <w:pPr>
        <w:pStyle w:val="Caption"/>
      </w:pPr>
      <w:bookmarkStart w:id="126" w:name="_Toc108109211"/>
      <w:r w:rsidRPr="00FD4517">
        <w:t xml:space="preserve">Figure </w:t>
      </w:r>
      <w:r>
        <w:fldChar w:fldCharType="begin"/>
      </w:r>
      <w:r>
        <w:instrText>SEQ Figure \* ARABIC</w:instrText>
      </w:r>
      <w:r>
        <w:fldChar w:fldCharType="separate"/>
      </w:r>
      <w:r w:rsidR="00CC0438">
        <w:rPr>
          <w:noProof/>
        </w:rPr>
        <w:t>26</w:t>
      </w:r>
      <w:r>
        <w:fldChar w:fldCharType="end"/>
      </w:r>
      <w:r w:rsidRPr="00FD4517">
        <w:t>: Histogram of PHN funding contribution</w:t>
      </w:r>
      <w:bookmarkEnd w:id="126"/>
    </w:p>
    <w:p w14:paraId="350CD9C6" w14:textId="3683EFCA" w:rsidR="004F356E" w:rsidRPr="004F356E" w:rsidRDefault="005D64AB" w:rsidP="00D95A3F">
      <w:r>
        <w:rPr>
          <w:noProof/>
        </w:rPr>
        <w:drawing>
          <wp:inline distT="0" distB="0" distL="0" distR="0" wp14:anchorId="1303636F" wp14:editId="44FBAA86">
            <wp:extent cx="5036820" cy="3238500"/>
            <wp:effectExtent l="0" t="0" r="0" b="0"/>
            <wp:docPr id="84" name="Picture 84" descr="Figure 26 is a column chart showing the number of headspace services with a certain share of occasions of service funded by PHN contributions&#10;89 headspace services had between 0% and 10% of occasions of service funded by PHN contributions&#10;17 headspace services had between 10% and 20% of occasions of service funded by PHN contributions&#10;5 headspace services  had between 20% and 3-% of occasions of service funded by PHN contributions&#10;1 headspace service had between 30% and 40% of occasions of service funded by PHN contribu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Figure 26 is a column chart showing the number of headspace services with a certain share of occasions of service funded by PHN contributions&#10;89 headspace services had between 0% and 10% of occasions of service funded by PHN contributions&#10;17 headspace services had between 10% and 20% of occasions of service funded by PHN contributions&#10;5 headspace services  had between 20% and 3-% of occasions of service funded by PHN contributions&#10;1 headspace service had between 30% and 40% of occasions of service funded by PHN contributions&#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6820" cy="3238500"/>
                    </a:xfrm>
                    <a:prstGeom prst="rect">
                      <a:avLst/>
                    </a:prstGeom>
                    <a:noFill/>
                    <a:ln>
                      <a:noFill/>
                    </a:ln>
                  </pic:spPr>
                </pic:pic>
              </a:graphicData>
            </a:graphic>
          </wp:inline>
        </w:drawing>
      </w:r>
    </w:p>
    <w:p w14:paraId="4BBAA3B9" w14:textId="4C63515D" w:rsidR="00A02696" w:rsidRPr="00CF2E3E" w:rsidRDefault="00A02696" w:rsidP="00A02696">
      <w:pPr>
        <w:pStyle w:val="Source"/>
        <w:rPr>
          <w:szCs w:val="16"/>
        </w:rPr>
      </w:pPr>
      <w:r w:rsidRPr="00055013">
        <w:rPr>
          <w:szCs w:val="16"/>
        </w:rPr>
        <w:t xml:space="preserve">Source: KPMG analysis of the </w:t>
      </w:r>
      <w:r>
        <w:rPr>
          <w:szCs w:val="16"/>
        </w:rPr>
        <w:t>total cost dataset</w:t>
      </w:r>
    </w:p>
    <w:p w14:paraId="2ED028D4" w14:textId="2AC78E44" w:rsidR="001A7183" w:rsidRPr="00353464" w:rsidRDefault="00A02696" w:rsidP="001A7183">
      <w:pPr>
        <w:pStyle w:val="Source"/>
      </w:pPr>
      <w:r w:rsidRPr="00CF2E3E">
        <w:rPr>
          <w:szCs w:val="16"/>
        </w:rPr>
        <w:t xml:space="preserve">Notes: See </w:t>
      </w:r>
      <w:r w:rsidR="00126243">
        <w:rPr>
          <w:szCs w:val="16"/>
        </w:rPr>
        <w:fldChar w:fldCharType="begin" w:fldLock="1"/>
      </w:r>
      <w:r w:rsidR="00126243">
        <w:rPr>
          <w:szCs w:val="16"/>
        </w:rPr>
        <w:instrText xml:space="preserve"> REF _Ref98402466 \r \h </w:instrText>
      </w:r>
      <w:r w:rsidR="00126243">
        <w:rPr>
          <w:szCs w:val="16"/>
        </w:rPr>
      </w:r>
      <w:r w:rsidR="00126243">
        <w:rPr>
          <w:szCs w:val="16"/>
        </w:rPr>
        <w:fldChar w:fldCharType="separate"/>
      </w:r>
      <w:r w:rsidR="00AE4D34">
        <w:rPr>
          <w:szCs w:val="16"/>
        </w:rPr>
        <w:t>Appendix F</w:t>
      </w:r>
      <w:r w:rsidR="00126243">
        <w:rPr>
          <w:szCs w:val="16"/>
        </w:rPr>
        <w:fldChar w:fldCharType="end"/>
      </w:r>
      <w:r w:rsidR="00126243" w:rsidRPr="00DC006F">
        <w:rPr>
          <w:szCs w:val="16"/>
        </w:rPr>
        <w:t xml:space="preserve"> for detailed exclusion </w:t>
      </w:r>
      <w:r w:rsidRPr="00CF2E3E">
        <w:rPr>
          <w:szCs w:val="16"/>
        </w:rPr>
        <w:t>criteria.</w:t>
      </w:r>
      <w:r>
        <w:rPr>
          <w:szCs w:val="16"/>
        </w:rPr>
        <w:t xml:space="preserve"> The sample includes 112 services delivering 401,325 </w:t>
      </w:r>
      <w:r w:rsidR="001F66B8">
        <w:rPr>
          <w:szCs w:val="16"/>
        </w:rPr>
        <w:t>OOS</w:t>
      </w:r>
      <w:r>
        <w:rPr>
          <w:szCs w:val="16"/>
        </w:rPr>
        <w:t xml:space="preserve"> and 102,550</w:t>
      </w:r>
      <w:r w:rsidR="00C7504D">
        <w:rPr>
          <w:szCs w:val="16"/>
        </w:rPr>
        <w:t> </w:t>
      </w:r>
      <w:r>
        <w:rPr>
          <w:szCs w:val="16"/>
        </w:rPr>
        <w:t>episodes.</w:t>
      </w:r>
    </w:p>
    <w:p w14:paraId="34EE5072" w14:textId="77777777" w:rsidR="009C4D98" w:rsidRDefault="009C4D98" w:rsidP="006060BF">
      <w:pPr>
        <w:pStyle w:val="Heading4"/>
      </w:pPr>
      <w:r>
        <w:t>Other federal and state government funding</w:t>
      </w:r>
    </w:p>
    <w:p w14:paraId="359102C7" w14:textId="0B84C93A" w:rsidR="009C4D98" w:rsidRDefault="009C4D98" w:rsidP="009C4D98">
      <w:pPr>
        <w:pStyle w:val="BodyText"/>
      </w:pPr>
      <w:r>
        <w:t xml:space="preserve">In 2019-20, 1.8 per cent of </w:t>
      </w:r>
      <w:r w:rsidR="007B2863">
        <w:t>OOS</w:t>
      </w:r>
      <w:r>
        <w:t xml:space="preserve"> were delivered through other </w:t>
      </w:r>
      <w:r w:rsidR="007647BD">
        <w:t xml:space="preserve">Commonwealth </w:t>
      </w:r>
      <w:r>
        <w:t>Government funding, at an estimated cost of $619,500</w:t>
      </w:r>
      <w:r w:rsidR="00CC0438">
        <w:rPr>
          <w:rFonts w:ascii="ZWAdobeF" w:hAnsi="ZWAdobeF" w:cs="ZWAdobeF"/>
          <w:sz w:val="2"/>
          <w:szCs w:val="2"/>
        </w:rPr>
        <w:t>137F</w:t>
      </w:r>
      <w:r w:rsidR="003D55A0">
        <w:rPr>
          <w:rStyle w:val="FootnoteReference"/>
        </w:rPr>
        <w:footnoteReference w:id="139"/>
      </w:r>
      <w:r>
        <w:t xml:space="preserve">. The hMDS also captured </w:t>
      </w:r>
      <w:r w:rsidR="007B2863">
        <w:t>OOS</w:t>
      </w:r>
      <w:r>
        <w:t xml:space="preserve"> funded via the Victorian Government’s Enhancing Mental Health Support in Schools (EMHSS) initiative. </w:t>
      </w:r>
      <w:r w:rsidRPr="00AC17CE">
        <w:t xml:space="preserve">In </w:t>
      </w:r>
      <w:r>
        <w:t>2019</w:t>
      </w:r>
      <w:r w:rsidR="00C7504D">
        <w:noBreakHyphen/>
      </w:r>
      <w:r>
        <w:t xml:space="preserve">20, 7.6 per cent of Victorian </w:t>
      </w:r>
      <w:r w:rsidR="007B2863">
        <w:t>OOS</w:t>
      </w:r>
      <w:r>
        <w:t xml:space="preserve"> (and </w:t>
      </w:r>
      <w:r w:rsidR="00505E59">
        <w:t xml:space="preserve">two </w:t>
      </w:r>
      <w:r>
        <w:t xml:space="preserve">per cent of total </w:t>
      </w:r>
      <w:r w:rsidR="007B2863">
        <w:t>OOS</w:t>
      </w:r>
      <w:r>
        <w:t>) were funded through this program. The support provided via the EMHSS included both student counselling and psychological support. The unit cost of the EMHSS services were therefore estimated as a weighted average of the equivalent MBS costs (</w:t>
      </w:r>
      <w:r>
        <w:fldChar w:fldCharType="begin" w:fldLock="1"/>
      </w:r>
      <w:r>
        <w:instrText xml:space="preserve"> REF _Ref81294409 \r \h </w:instrText>
      </w:r>
      <w:r>
        <w:fldChar w:fldCharType="separate"/>
      </w:r>
      <w:r w:rsidR="00AE4D34">
        <w:t>Appendix J</w:t>
      </w:r>
      <w:r>
        <w:fldChar w:fldCharType="end"/>
      </w:r>
      <w:r>
        <w:t>). In total, the EMHSS costs of delivering headspace were estimated at $768,000</w:t>
      </w:r>
      <w:r w:rsidRPr="00AC17CE">
        <w:t>.</w:t>
      </w:r>
      <w:r>
        <w:t xml:space="preserve"> This may under</w:t>
      </w:r>
      <w:r w:rsidR="009E12FC">
        <w:t>-</w:t>
      </w:r>
      <w:r>
        <w:t xml:space="preserve">estimate the true costs of the EMHSS services. However, no detailed costing of this initiative was available at the time of writing. </w:t>
      </w:r>
    </w:p>
    <w:p w14:paraId="17244C36" w14:textId="77777777" w:rsidR="009C4D98" w:rsidRDefault="009C4D98" w:rsidP="009C4D98">
      <w:pPr>
        <w:spacing w:before="0" w:after="160" w:line="259" w:lineRule="auto"/>
        <w:rPr>
          <w:rFonts w:eastAsiaTheme="majorEastAsia" w:cstheme="majorBidi"/>
          <w:b/>
          <w:iCs/>
          <w:color w:val="00338D" w:themeColor="background2"/>
          <w:sz w:val="24"/>
        </w:rPr>
      </w:pPr>
      <w:r>
        <w:br w:type="page"/>
      </w:r>
    </w:p>
    <w:p w14:paraId="668C64C5" w14:textId="77777777" w:rsidR="009C4D98" w:rsidRDefault="009C4D98" w:rsidP="006060BF">
      <w:pPr>
        <w:pStyle w:val="Heading4"/>
      </w:pPr>
      <w:r>
        <w:t>Out-of-pocket costs for young people</w:t>
      </w:r>
    </w:p>
    <w:p w14:paraId="3302B967" w14:textId="4AB98E58" w:rsidR="009C4D98" w:rsidRDefault="009C4D98" w:rsidP="009C4D98">
      <w:pPr>
        <w:pStyle w:val="BodyText"/>
      </w:pPr>
      <w:r>
        <w:t xml:space="preserve">In 2019-20, out-of-pocket costs were charged on 2.1 per cent of </w:t>
      </w:r>
      <w:r w:rsidR="003577B8">
        <w:t>OOS</w:t>
      </w:r>
      <w:r>
        <w:t xml:space="preserve">. Based on an out-of-pocket cost of $29 per service, derived from a weighted average of out-of-pocket costs for different providers from national MBS data, the costs to young people or their carers summed to $250,300 for 2019-20. </w:t>
      </w:r>
      <w:r>
        <w:fldChar w:fldCharType="begin" w:fldLock="1"/>
      </w:r>
      <w:r>
        <w:instrText xml:space="preserve"> REF _Ref84237023 \h </w:instrText>
      </w:r>
      <w:r>
        <w:fldChar w:fldCharType="separate"/>
      </w:r>
      <w:r w:rsidR="000C245D">
        <w:t xml:space="preserve">Table </w:t>
      </w:r>
      <w:r w:rsidR="000C245D">
        <w:rPr>
          <w:noProof/>
        </w:rPr>
        <w:t>16</w:t>
      </w:r>
      <w:r>
        <w:fldChar w:fldCharType="end"/>
      </w:r>
      <w:r>
        <w:t xml:space="preserve"> summarises the range of out-of-pocket costs for young people by service provided</w:t>
      </w:r>
      <w:r w:rsidR="009E12FC">
        <w:t>.</w:t>
      </w:r>
    </w:p>
    <w:p w14:paraId="0A8F641C" w14:textId="53E86221" w:rsidR="009C4D98" w:rsidRDefault="009C4D98" w:rsidP="009C4D98">
      <w:pPr>
        <w:pStyle w:val="Caption"/>
      </w:pPr>
      <w:bookmarkStart w:id="127" w:name="_Ref84237023"/>
      <w:bookmarkStart w:id="128" w:name="_Toc108108966"/>
      <w:r>
        <w:t xml:space="preserve">Table </w:t>
      </w:r>
      <w:r>
        <w:fldChar w:fldCharType="begin"/>
      </w:r>
      <w:r>
        <w:instrText>SEQ Table \* ARABIC</w:instrText>
      </w:r>
      <w:r>
        <w:fldChar w:fldCharType="separate"/>
      </w:r>
      <w:r w:rsidR="00CC0438">
        <w:rPr>
          <w:noProof/>
        </w:rPr>
        <w:t>16</w:t>
      </w:r>
      <w:r>
        <w:fldChar w:fldCharType="end"/>
      </w:r>
      <w:bookmarkEnd w:id="127"/>
      <w:r>
        <w:t>: Range of out-of-pocket costs by service provided during 2019-20</w:t>
      </w:r>
      <w:bookmarkEnd w:id="12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ange of out-of-pocket costs by service provided during 2019-20"/>
        <w:tblDescription w:val="Table has 2 columns and summarises the estimated average out of pocket costs incurred by young people using different service providers. Column 1 indicates the type of service provided. Column 2 includes the average out of pocket costs for each service.&#10;"/>
      </w:tblPr>
      <w:tblGrid>
        <w:gridCol w:w="5529"/>
        <w:gridCol w:w="3541"/>
      </w:tblGrid>
      <w:tr w:rsidR="009C4D98" w:rsidRPr="00D65A2D" w14:paraId="4EFAEC20" w14:textId="77777777" w:rsidTr="00AD4B4C">
        <w:trPr>
          <w:tblHeader/>
        </w:trPr>
        <w:tc>
          <w:tcPr>
            <w:tcW w:w="3048" w:type="pct"/>
            <w:tcBorders>
              <w:bottom w:val="single" w:sz="4" w:space="0" w:color="00338D" w:themeColor="background2"/>
            </w:tcBorders>
            <w:shd w:val="clear" w:color="auto" w:fill="00338D" w:themeFill="background2"/>
          </w:tcPr>
          <w:p w14:paraId="3A0048C9" w14:textId="77777777" w:rsidR="009C4D98" w:rsidRPr="001D6913" w:rsidRDefault="009C4D98" w:rsidP="00AD4B4C">
            <w:pPr>
              <w:pStyle w:val="Tableheading"/>
            </w:pPr>
            <w:r>
              <w:t>Service provided</w:t>
            </w:r>
          </w:p>
        </w:tc>
        <w:tc>
          <w:tcPr>
            <w:tcW w:w="1952" w:type="pct"/>
            <w:tcBorders>
              <w:bottom w:val="single" w:sz="4" w:space="0" w:color="00338D" w:themeColor="background2"/>
            </w:tcBorders>
            <w:shd w:val="clear" w:color="auto" w:fill="00338D" w:themeFill="background2"/>
          </w:tcPr>
          <w:p w14:paraId="37F50CDB" w14:textId="77777777" w:rsidR="009C4D98" w:rsidRPr="001D6913" w:rsidRDefault="009C4D98" w:rsidP="00AD4B4C">
            <w:pPr>
              <w:pStyle w:val="Tableheading"/>
            </w:pPr>
            <w:r>
              <w:t>Out-of-pocket costs</w:t>
            </w:r>
          </w:p>
        </w:tc>
      </w:tr>
      <w:tr w:rsidR="009C4D98" w14:paraId="2F6C06C9" w14:textId="77777777" w:rsidTr="00AD4B4C">
        <w:tc>
          <w:tcPr>
            <w:tcW w:w="3048" w:type="pct"/>
            <w:tcBorders>
              <w:top w:val="single" w:sz="4" w:space="0" w:color="00338D" w:themeColor="background2"/>
              <w:bottom w:val="single" w:sz="2" w:space="0" w:color="808080" w:themeColor="background1" w:themeShade="80"/>
            </w:tcBorders>
          </w:tcPr>
          <w:p w14:paraId="0B4154CE" w14:textId="77777777" w:rsidR="009C4D98" w:rsidRPr="001D6913" w:rsidRDefault="009C4D98" w:rsidP="00AD4B4C">
            <w:pPr>
              <w:pStyle w:val="Tabletext"/>
            </w:pPr>
            <w:r>
              <w:t>General practitioner</w:t>
            </w:r>
          </w:p>
        </w:tc>
        <w:tc>
          <w:tcPr>
            <w:tcW w:w="1952" w:type="pct"/>
            <w:tcBorders>
              <w:top w:val="single" w:sz="4" w:space="0" w:color="00338D" w:themeColor="background2"/>
              <w:bottom w:val="single" w:sz="2" w:space="0" w:color="808080" w:themeColor="background1" w:themeShade="80"/>
            </w:tcBorders>
          </w:tcPr>
          <w:p w14:paraId="645F19C2" w14:textId="77777777" w:rsidR="009C4D98" w:rsidRPr="001D6913" w:rsidRDefault="009C4D98" w:rsidP="009E12FC">
            <w:pPr>
              <w:pStyle w:val="Tabletext"/>
              <w:tabs>
                <w:tab w:val="decimal" w:pos="910"/>
              </w:tabs>
            </w:pPr>
            <w:r w:rsidRPr="0014295B">
              <w:t>$3</w:t>
            </w:r>
          </w:p>
        </w:tc>
      </w:tr>
      <w:tr w:rsidR="009C4D98" w14:paraId="76D668FB" w14:textId="77777777" w:rsidTr="00AD4B4C">
        <w:tc>
          <w:tcPr>
            <w:tcW w:w="3048" w:type="pct"/>
            <w:tcBorders>
              <w:top w:val="single" w:sz="4" w:space="0" w:color="00338D" w:themeColor="background2"/>
              <w:bottom w:val="single" w:sz="2" w:space="0" w:color="808080" w:themeColor="background1" w:themeShade="80"/>
            </w:tcBorders>
          </w:tcPr>
          <w:p w14:paraId="5E4D28A8" w14:textId="77777777" w:rsidR="009C4D98" w:rsidRPr="001D6913" w:rsidRDefault="009C4D98" w:rsidP="00AD4B4C">
            <w:pPr>
              <w:pStyle w:val="Tabletext"/>
            </w:pPr>
            <w:r>
              <w:t>Psychiatrist</w:t>
            </w:r>
          </w:p>
        </w:tc>
        <w:tc>
          <w:tcPr>
            <w:tcW w:w="1952" w:type="pct"/>
            <w:tcBorders>
              <w:top w:val="single" w:sz="4" w:space="0" w:color="00338D" w:themeColor="background2"/>
              <w:bottom w:val="single" w:sz="2" w:space="0" w:color="808080" w:themeColor="background1" w:themeShade="80"/>
            </w:tcBorders>
          </w:tcPr>
          <w:p w14:paraId="511D947D" w14:textId="77777777" w:rsidR="009C4D98" w:rsidRPr="001D6913" w:rsidRDefault="009C4D98" w:rsidP="009E12FC">
            <w:pPr>
              <w:pStyle w:val="Tabletext"/>
              <w:tabs>
                <w:tab w:val="decimal" w:pos="910"/>
              </w:tabs>
            </w:pPr>
            <w:r w:rsidRPr="0014295B">
              <w:t>$68</w:t>
            </w:r>
          </w:p>
        </w:tc>
      </w:tr>
      <w:tr w:rsidR="009C4D98" w14:paraId="6270C46E" w14:textId="77777777" w:rsidTr="00AD4B4C">
        <w:tc>
          <w:tcPr>
            <w:tcW w:w="3048" w:type="pct"/>
            <w:tcBorders>
              <w:top w:val="single" w:sz="4" w:space="0" w:color="00338D" w:themeColor="background2"/>
              <w:bottom w:val="single" w:sz="2" w:space="0" w:color="808080" w:themeColor="background1" w:themeShade="80"/>
            </w:tcBorders>
          </w:tcPr>
          <w:p w14:paraId="1A8662C4" w14:textId="77777777" w:rsidR="009C4D98" w:rsidRPr="001D6913" w:rsidRDefault="009C4D98" w:rsidP="00AD4B4C">
            <w:pPr>
              <w:pStyle w:val="Tabletext"/>
            </w:pPr>
            <w:r>
              <w:t>Clinical psychologist</w:t>
            </w:r>
          </w:p>
        </w:tc>
        <w:tc>
          <w:tcPr>
            <w:tcW w:w="1952" w:type="pct"/>
            <w:tcBorders>
              <w:top w:val="single" w:sz="4" w:space="0" w:color="00338D" w:themeColor="background2"/>
              <w:bottom w:val="single" w:sz="2" w:space="0" w:color="808080" w:themeColor="background1" w:themeShade="80"/>
            </w:tcBorders>
          </w:tcPr>
          <w:p w14:paraId="3087BD2A" w14:textId="77777777" w:rsidR="009C4D98" w:rsidRPr="001D6913" w:rsidRDefault="009C4D98" w:rsidP="009E12FC">
            <w:pPr>
              <w:pStyle w:val="Tabletext"/>
              <w:tabs>
                <w:tab w:val="decimal" w:pos="910"/>
              </w:tabs>
            </w:pPr>
            <w:r w:rsidRPr="0014295B">
              <w:t>$40</w:t>
            </w:r>
          </w:p>
        </w:tc>
      </w:tr>
      <w:tr w:rsidR="009C4D98" w14:paraId="448B5FEE" w14:textId="77777777" w:rsidTr="00AD4B4C">
        <w:tc>
          <w:tcPr>
            <w:tcW w:w="3048" w:type="pct"/>
            <w:tcBorders>
              <w:top w:val="single" w:sz="4" w:space="0" w:color="00338D" w:themeColor="background2"/>
              <w:bottom w:val="single" w:sz="2" w:space="0" w:color="808080" w:themeColor="background1" w:themeShade="80"/>
            </w:tcBorders>
          </w:tcPr>
          <w:p w14:paraId="1B2C9771" w14:textId="77777777" w:rsidR="009C4D98" w:rsidRPr="001D6913" w:rsidRDefault="009C4D98" w:rsidP="00AD4B4C">
            <w:pPr>
              <w:pStyle w:val="Tabletext"/>
            </w:pPr>
            <w:r>
              <w:t>Other psychologist</w:t>
            </w:r>
          </w:p>
        </w:tc>
        <w:tc>
          <w:tcPr>
            <w:tcW w:w="1952" w:type="pct"/>
            <w:tcBorders>
              <w:top w:val="single" w:sz="4" w:space="0" w:color="00338D" w:themeColor="background2"/>
              <w:bottom w:val="single" w:sz="2" w:space="0" w:color="808080" w:themeColor="background1" w:themeShade="80"/>
            </w:tcBorders>
          </w:tcPr>
          <w:p w14:paraId="18BA779C" w14:textId="77777777" w:rsidR="009C4D98" w:rsidRPr="001D6913" w:rsidRDefault="009C4D98" w:rsidP="009E12FC">
            <w:pPr>
              <w:pStyle w:val="Tabletext"/>
              <w:tabs>
                <w:tab w:val="decimal" w:pos="910"/>
              </w:tabs>
            </w:pPr>
            <w:r w:rsidRPr="0014295B">
              <w:t>$36</w:t>
            </w:r>
          </w:p>
        </w:tc>
      </w:tr>
      <w:tr w:rsidR="009C4D98" w14:paraId="69D3A4C3" w14:textId="77777777" w:rsidTr="00AD4B4C">
        <w:tc>
          <w:tcPr>
            <w:tcW w:w="3048" w:type="pct"/>
            <w:tcBorders>
              <w:top w:val="single" w:sz="4" w:space="0" w:color="00338D" w:themeColor="background2"/>
              <w:bottom w:val="single" w:sz="2" w:space="0" w:color="808080" w:themeColor="background1" w:themeShade="80"/>
            </w:tcBorders>
          </w:tcPr>
          <w:p w14:paraId="31EC1982" w14:textId="77777777" w:rsidR="009C4D98" w:rsidRPr="001D6913" w:rsidRDefault="009C4D98" w:rsidP="00AD4B4C">
            <w:pPr>
              <w:pStyle w:val="Tabletext"/>
            </w:pPr>
            <w:r>
              <w:t>Allied health</w:t>
            </w:r>
          </w:p>
        </w:tc>
        <w:tc>
          <w:tcPr>
            <w:tcW w:w="1952" w:type="pct"/>
            <w:tcBorders>
              <w:top w:val="single" w:sz="4" w:space="0" w:color="00338D" w:themeColor="background2"/>
              <w:bottom w:val="single" w:sz="2" w:space="0" w:color="808080" w:themeColor="background1" w:themeShade="80"/>
            </w:tcBorders>
          </w:tcPr>
          <w:p w14:paraId="499B6738" w14:textId="77777777" w:rsidR="009C4D98" w:rsidRPr="001D6913" w:rsidRDefault="009C4D98" w:rsidP="009E12FC">
            <w:pPr>
              <w:pStyle w:val="Tabletext"/>
              <w:tabs>
                <w:tab w:val="decimal" w:pos="910"/>
              </w:tabs>
            </w:pPr>
            <w:r w:rsidRPr="0014295B">
              <w:t>$37</w:t>
            </w:r>
          </w:p>
        </w:tc>
      </w:tr>
      <w:tr w:rsidR="009C4D98" w14:paraId="26A2C5B5" w14:textId="77777777" w:rsidTr="00AD4B4C">
        <w:tc>
          <w:tcPr>
            <w:tcW w:w="3048" w:type="pct"/>
            <w:tcBorders>
              <w:top w:val="single" w:sz="4" w:space="0" w:color="00338D" w:themeColor="background2"/>
              <w:bottom w:val="single" w:sz="2" w:space="0" w:color="808080" w:themeColor="background1" w:themeShade="80"/>
            </w:tcBorders>
          </w:tcPr>
          <w:p w14:paraId="7764A960" w14:textId="77777777" w:rsidR="009C4D98" w:rsidRPr="001D6913" w:rsidRDefault="009C4D98" w:rsidP="00AD4B4C">
            <w:pPr>
              <w:pStyle w:val="Tabletext"/>
            </w:pPr>
            <w:r>
              <w:t>Other</w:t>
            </w:r>
          </w:p>
        </w:tc>
        <w:tc>
          <w:tcPr>
            <w:tcW w:w="1952" w:type="pct"/>
            <w:tcBorders>
              <w:top w:val="single" w:sz="4" w:space="0" w:color="00338D" w:themeColor="background2"/>
              <w:bottom w:val="single" w:sz="2" w:space="0" w:color="808080" w:themeColor="background1" w:themeShade="80"/>
            </w:tcBorders>
          </w:tcPr>
          <w:p w14:paraId="6BC2AE3A" w14:textId="77777777" w:rsidR="009C4D98" w:rsidRPr="001D6913" w:rsidRDefault="009C4D98" w:rsidP="009E12FC">
            <w:pPr>
              <w:pStyle w:val="Tabletext"/>
              <w:tabs>
                <w:tab w:val="decimal" w:pos="910"/>
              </w:tabs>
            </w:pPr>
            <w:r w:rsidRPr="0014295B">
              <w:t>$18</w:t>
            </w:r>
          </w:p>
        </w:tc>
      </w:tr>
      <w:tr w:rsidR="009C4D98" w14:paraId="6B767F04" w14:textId="77777777" w:rsidTr="00AD4B4C">
        <w:tc>
          <w:tcPr>
            <w:tcW w:w="3048" w:type="pct"/>
            <w:tcBorders>
              <w:top w:val="single" w:sz="4" w:space="0" w:color="00338D" w:themeColor="background2"/>
              <w:bottom w:val="single" w:sz="2" w:space="0" w:color="808080" w:themeColor="background1" w:themeShade="80"/>
            </w:tcBorders>
          </w:tcPr>
          <w:p w14:paraId="4D87741D" w14:textId="77777777" w:rsidR="009C4D98" w:rsidRPr="00C85E41" w:rsidRDefault="009C4D98" w:rsidP="00AD4B4C">
            <w:pPr>
              <w:pStyle w:val="Tabletext"/>
              <w:rPr>
                <w:b/>
                <w:bCs/>
              </w:rPr>
            </w:pPr>
            <w:r w:rsidRPr="00C85E41">
              <w:rPr>
                <w:b/>
                <w:bCs/>
              </w:rPr>
              <w:t>Weighted average</w:t>
            </w:r>
          </w:p>
        </w:tc>
        <w:tc>
          <w:tcPr>
            <w:tcW w:w="1952" w:type="pct"/>
            <w:tcBorders>
              <w:top w:val="single" w:sz="4" w:space="0" w:color="00338D" w:themeColor="background2"/>
              <w:bottom w:val="single" w:sz="2" w:space="0" w:color="808080" w:themeColor="background1" w:themeShade="80"/>
            </w:tcBorders>
          </w:tcPr>
          <w:p w14:paraId="607E61B0" w14:textId="77777777" w:rsidR="009C4D98" w:rsidRPr="001D6913" w:rsidRDefault="009C4D98" w:rsidP="009E12FC">
            <w:pPr>
              <w:pStyle w:val="Tabletext"/>
              <w:tabs>
                <w:tab w:val="decimal" w:pos="910"/>
              </w:tabs>
            </w:pPr>
            <w:r w:rsidRPr="007D09F0">
              <w:t>$</w:t>
            </w:r>
            <w:r>
              <w:t>29</w:t>
            </w:r>
          </w:p>
        </w:tc>
      </w:tr>
    </w:tbl>
    <w:p w14:paraId="626F7996" w14:textId="2C3BB277" w:rsidR="008571DF" w:rsidRDefault="008571DF" w:rsidP="001268EC">
      <w:pPr>
        <w:pStyle w:val="Source"/>
      </w:pPr>
      <w:r w:rsidRPr="00055013">
        <w:t>Source: KPMG</w:t>
      </w:r>
      <w:r>
        <w:t xml:space="preserve"> 2022</w:t>
      </w:r>
    </w:p>
    <w:p w14:paraId="3BF3B3BD" w14:textId="23ED5678" w:rsidR="009C4D98" w:rsidRDefault="009C4D98" w:rsidP="001268EC">
      <w:pPr>
        <w:pStyle w:val="Source"/>
      </w:pPr>
      <w:r>
        <w:t>Notes: Out-of-pocket costs are calculated as averages from the national MBS data across the entire population. National MBS expenditure data for young people specifically is not publicly available, and the hMDS does not capture the specific out</w:t>
      </w:r>
      <w:r w:rsidR="00EA2538">
        <w:noBreakHyphen/>
      </w:r>
      <w:r>
        <w:t>of</w:t>
      </w:r>
      <w:r w:rsidR="00EA2538">
        <w:noBreakHyphen/>
      </w:r>
      <w:r>
        <w:t>pocket costs for young people from headspace services</w:t>
      </w:r>
      <w:r w:rsidDel="00BA0045">
        <w:t>.</w:t>
      </w:r>
    </w:p>
    <w:p w14:paraId="0F433A19" w14:textId="1CECB03A" w:rsidR="009C4D98" w:rsidRDefault="009C4D98" w:rsidP="009C4D98">
      <w:pPr>
        <w:pStyle w:val="BodyText"/>
      </w:pPr>
      <w:r>
        <w:t xml:space="preserve">Most services charged out-of-pocket fees on less than </w:t>
      </w:r>
      <w:r w:rsidR="006425F4">
        <w:t>two</w:t>
      </w:r>
      <w:r>
        <w:t xml:space="preserve"> per cent of occasions (</w:t>
      </w:r>
      <w:r w:rsidR="006425F4">
        <w:t>7</w:t>
      </w:r>
      <w:r w:rsidR="00F83ABE">
        <w:t>2</w:t>
      </w:r>
      <w:r>
        <w:t xml:space="preserve"> per cent); six</w:t>
      </w:r>
      <w:r w:rsidR="00C70F6B">
        <w:t xml:space="preserve"> </w:t>
      </w:r>
      <w:r>
        <w:t>services charged out-of-pocket fees on more than 1</w:t>
      </w:r>
      <w:r w:rsidR="004C33CC">
        <w:t>0</w:t>
      </w:r>
      <w:r>
        <w:t xml:space="preserve"> per cent of </w:t>
      </w:r>
      <w:r w:rsidR="001F66B8">
        <w:t>OOS</w:t>
      </w:r>
      <w:r>
        <w:t xml:space="preserve">. </w:t>
      </w:r>
    </w:p>
    <w:p w14:paraId="21187BCB" w14:textId="033319FB" w:rsidR="002D6F6E" w:rsidRPr="002D6F6E" w:rsidRDefault="009C4D98" w:rsidP="002D6F6E">
      <w:pPr>
        <w:pStyle w:val="Caption"/>
      </w:pPr>
      <w:bookmarkStart w:id="129" w:name="_Toc108109212"/>
      <w:r w:rsidRPr="00093C48">
        <w:t xml:space="preserve">Figure </w:t>
      </w:r>
      <w:r>
        <w:fldChar w:fldCharType="begin"/>
      </w:r>
      <w:r>
        <w:instrText>SEQ Figure \* ARABIC</w:instrText>
      </w:r>
      <w:r>
        <w:fldChar w:fldCharType="separate"/>
      </w:r>
      <w:r w:rsidR="00CC0438">
        <w:rPr>
          <w:noProof/>
        </w:rPr>
        <w:t>27</w:t>
      </w:r>
      <w:r>
        <w:fldChar w:fldCharType="end"/>
      </w:r>
      <w:r w:rsidRPr="00093C48">
        <w:t>: Histo</w:t>
      </w:r>
      <w:r w:rsidRPr="00353464">
        <w:t>gram of out-of-pocket share by</w:t>
      </w:r>
      <w:r>
        <w:t xml:space="preserve"> service</w:t>
      </w:r>
      <w:bookmarkEnd w:id="129"/>
    </w:p>
    <w:p w14:paraId="3487F361" w14:textId="2DB3D060" w:rsidR="00B03DBB" w:rsidRPr="00B03DBB" w:rsidRDefault="00B03DBB" w:rsidP="004414F1">
      <w:r>
        <w:rPr>
          <w:noProof/>
        </w:rPr>
        <w:drawing>
          <wp:inline distT="0" distB="0" distL="0" distR="0" wp14:anchorId="017F3A38" wp14:editId="215578E2">
            <wp:extent cx="5037455" cy="3234055"/>
            <wp:effectExtent l="0" t="0" r="0" b="4445"/>
            <wp:docPr id="218" name="Picture 218" descr="Figure 27 is a column chart showing the number of headspace services with a certain share of occasions of service funded by out-of-pocket costs&#10;107 headspace services had between 0% and 10% of occasions of service funded by out-of-pocket costs&#10;5 headspace services had between 10% and 20% of occasions of service funded by out-of-pocket co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Figure 27 is a column chart showing the number of headspace services with a certain share of occasions of service funded by out-of-pocket costs&#10;107 headspace services had between 0% and 10% of occasions of service funded by out-of-pocket costs&#10;5 headspace services had between 10% and 20% of occasions of service funded by out-of-pocket costs&#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065440AD" w14:textId="34971636" w:rsidR="009E05C8" w:rsidRPr="00CF2E3E" w:rsidRDefault="009E05C8" w:rsidP="00855A69">
      <w:pPr>
        <w:pStyle w:val="Source"/>
        <w:rPr>
          <w:szCs w:val="16"/>
        </w:rPr>
      </w:pPr>
      <w:r w:rsidRPr="00055013">
        <w:rPr>
          <w:szCs w:val="16"/>
        </w:rPr>
        <w:t xml:space="preserve">Source: KPMG analysis of the </w:t>
      </w:r>
      <w:r>
        <w:rPr>
          <w:szCs w:val="16"/>
        </w:rPr>
        <w:t>total cost dataset</w:t>
      </w:r>
    </w:p>
    <w:p w14:paraId="3C8BA246" w14:textId="673C5610" w:rsidR="009C4D98" w:rsidRDefault="009E05C8" w:rsidP="009C4D98">
      <w:pPr>
        <w:pStyle w:val="Source"/>
      </w:pPr>
      <w:r w:rsidRPr="00CF2E3E">
        <w:rPr>
          <w:szCs w:val="16"/>
        </w:rPr>
        <w:t xml:space="preserve">Notes: See </w:t>
      </w:r>
      <w:r w:rsidR="004D5CB3">
        <w:rPr>
          <w:szCs w:val="16"/>
        </w:rPr>
        <w:fldChar w:fldCharType="begin" w:fldLock="1"/>
      </w:r>
      <w:r w:rsidR="004D5CB3">
        <w:rPr>
          <w:szCs w:val="16"/>
        </w:rPr>
        <w:instrText xml:space="preserve"> REF _Ref98402466 \r \h </w:instrText>
      </w:r>
      <w:r w:rsidR="004D5CB3">
        <w:rPr>
          <w:szCs w:val="16"/>
        </w:rPr>
      </w:r>
      <w:r w:rsidR="004D5CB3">
        <w:rPr>
          <w:szCs w:val="16"/>
        </w:rPr>
        <w:fldChar w:fldCharType="separate"/>
      </w:r>
      <w:r w:rsidR="00AE4D34">
        <w:rPr>
          <w:szCs w:val="16"/>
        </w:rPr>
        <w:t>Appendix F</w:t>
      </w:r>
      <w:r w:rsidR="004D5CB3">
        <w:rPr>
          <w:szCs w:val="16"/>
        </w:rPr>
        <w:fldChar w:fldCharType="end"/>
      </w:r>
      <w:r w:rsidR="004D5CB3">
        <w:rPr>
          <w:szCs w:val="16"/>
        </w:rPr>
        <w:t xml:space="preserve"> </w:t>
      </w:r>
      <w:r w:rsidRPr="00CF2E3E">
        <w:rPr>
          <w:szCs w:val="16"/>
        </w:rPr>
        <w:t>for detailed exclusion criteria.</w:t>
      </w:r>
      <w:r>
        <w:rPr>
          <w:szCs w:val="16"/>
        </w:rPr>
        <w:t xml:space="preserve"> The sample includes 112 services delivering 401,325 O</w:t>
      </w:r>
      <w:r w:rsidR="00AB2447">
        <w:rPr>
          <w:szCs w:val="16"/>
        </w:rPr>
        <w:t>O</w:t>
      </w:r>
      <w:r>
        <w:rPr>
          <w:szCs w:val="16"/>
        </w:rPr>
        <w:t>S.</w:t>
      </w:r>
    </w:p>
    <w:p w14:paraId="0F973B05" w14:textId="77777777" w:rsidR="00110A8A" w:rsidRDefault="00110A8A" w:rsidP="003941C8">
      <w:pPr>
        <w:pStyle w:val="Heading3"/>
      </w:pPr>
      <w:bookmarkStart w:id="130" w:name="_Ref94523709"/>
      <w:r>
        <w:t>Total cost of delivering headspace</w:t>
      </w:r>
      <w:bookmarkEnd w:id="130"/>
    </w:p>
    <w:p w14:paraId="37BFEDFB" w14:textId="10BE94BC" w:rsidR="00EB7EEA" w:rsidRDefault="00664674" w:rsidP="003006A8">
      <w:pPr>
        <w:pStyle w:val="BodyText"/>
      </w:pPr>
      <w:r>
        <w:t>T</w:t>
      </w:r>
      <w:r w:rsidR="002D0F7A">
        <w:t xml:space="preserve">he total cost of </w:t>
      </w:r>
      <w:r w:rsidR="5D97340A">
        <w:t>operating and providing treatment at</w:t>
      </w:r>
      <w:r w:rsidR="002D0F7A">
        <w:t xml:space="preserve"> headspace in </w:t>
      </w:r>
      <w:r w:rsidR="000B09B7">
        <w:t>2019-20</w:t>
      </w:r>
      <w:r w:rsidR="007723D2">
        <w:t xml:space="preserve"> was</w:t>
      </w:r>
      <w:r w:rsidR="002D0F7A">
        <w:t xml:space="preserve"> estimated to be </w:t>
      </w:r>
      <w:r w:rsidR="002D0F7A" w:rsidRPr="00D6561A">
        <w:t>$</w:t>
      </w:r>
      <w:r w:rsidR="002A74B1">
        <w:t>123</w:t>
      </w:r>
      <w:r w:rsidR="00F10873">
        <w:t>.3</w:t>
      </w:r>
      <w:r w:rsidR="002D0F7A">
        <w:t xml:space="preserve"> million</w:t>
      </w:r>
      <w:r>
        <w:t xml:space="preserve"> (</w:t>
      </w:r>
      <w:r>
        <w:fldChar w:fldCharType="begin" w:fldLock="1"/>
      </w:r>
      <w:r>
        <w:instrText xml:space="preserve"> REF _Ref80610386 \h </w:instrText>
      </w:r>
      <w:r>
        <w:fldChar w:fldCharType="separate"/>
      </w:r>
      <w:r w:rsidR="000C245D" w:rsidRPr="001D6913">
        <w:t xml:space="preserve">Table </w:t>
      </w:r>
      <w:r w:rsidR="000C245D">
        <w:t>17</w:t>
      </w:r>
      <w:r>
        <w:fldChar w:fldCharType="end"/>
      </w:r>
      <w:r>
        <w:t>)</w:t>
      </w:r>
      <w:r w:rsidR="002D0F7A">
        <w:t xml:space="preserve">, noting that </w:t>
      </w:r>
      <w:r w:rsidR="00844B4C">
        <w:t>some</w:t>
      </w:r>
      <w:r w:rsidR="009E05C8">
        <w:t xml:space="preserve"> </w:t>
      </w:r>
      <w:r w:rsidR="002D0F7A">
        <w:t xml:space="preserve">indirect costs </w:t>
      </w:r>
      <w:r w:rsidR="00844B4C">
        <w:t>were undetermined</w:t>
      </w:r>
      <w:r w:rsidR="7EFB02B3">
        <w:t>.</w:t>
      </w:r>
      <w:r w:rsidR="002D0F7A">
        <w:t xml:space="preserve"> </w:t>
      </w:r>
      <w:r w:rsidR="00B42A5E">
        <w:t xml:space="preserve">In addition, the cost to </w:t>
      </w:r>
      <w:r w:rsidR="007647BD">
        <w:t>g</w:t>
      </w:r>
      <w:r w:rsidR="00B42A5E">
        <w:t>overnment by administering funding through PHNs is slightly higher. The total cost estimated in table 16 below is the amount allocated to headspace services</w:t>
      </w:r>
      <w:r w:rsidR="00032FC1">
        <w:t xml:space="preserve"> but exclusive of PHN operational costs. </w:t>
      </w:r>
      <w:r w:rsidR="002D0F7A">
        <w:t xml:space="preserve">On average, the </w:t>
      </w:r>
      <w:r w:rsidR="00271107">
        <w:t>total</w:t>
      </w:r>
      <w:r w:rsidR="002D0F7A">
        <w:t xml:space="preserve"> cost </w:t>
      </w:r>
      <w:r w:rsidR="00950179">
        <w:t xml:space="preserve">per centre </w:t>
      </w:r>
      <w:r w:rsidR="00F102F8">
        <w:t>was $1.</w:t>
      </w:r>
      <w:r w:rsidR="00AF200C">
        <w:t>1</w:t>
      </w:r>
      <w:r w:rsidR="00F102F8">
        <w:t xml:space="preserve"> million, and $</w:t>
      </w:r>
      <w:r w:rsidR="3B0C4E82">
        <w:t>49</w:t>
      </w:r>
      <w:r w:rsidR="00F14AF4">
        <w:t>4</w:t>
      </w:r>
      <w:r w:rsidR="00F10873">
        <w:t>,000</w:t>
      </w:r>
      <w:r w:rsidR="006153F1">
        <w:t xml:space="preserve"> </w:t>
      </w:r>
      <w:r w:rsidR="00F102F8">
        <w:t xml:space="preserve">per satellite </w:t>
      </w:r>
      <w:r w:rsidR="009C641D">
        <w:t>service</w:t>
      </w:r>
      <w:r w:rsidR="00F102F8">
        <w:t>.</w:t>
      </w:r>
    </w:p>
    <w:p w14:paraId="591994BE" w14:textId="4A00A80F" w:rsidR="00381335" w:rsidRPr="001D6913" w:rsidRDefault="00381335" w:rsidP="00381335">
      <w:pPr>
        <w:pStyle w:val="Caption"/>
      </w:pPr>
      <w:bookmarkStart w:id="131" w:name="_Ref80610386"/>
      <w:bookmarkStart w:id="132" w:name="_Ref95127147"/>
      <w:bookmarkStart w:id="133" w:name="_Toc108108967"/>
      <w:r w:rsidRPr="001D6913">
        <w:t xml:space="preserve">Table </w:t>
      </w:r>
      <w:r>
        <w:fldChar w:fldCharType="begin"/>
      </w:r>
      <w:r>
        <w:instrText>SEQ Table \* ARABIC</w:instrText>
      </w:r>
      <w:r>
        <w:fldChar w:fldCharType="separate"/>
      </w:r>
      <w:r w:rsidR="00CC0438">
        <w:rPr>
          <w:noProof/>
        </w:rPr>
        <w:t>17</w:t>
      </w:r>
      <w:r>
        <w:fldChar w:fldCharType="end"/>
      </w:r>
      <w:bookmarkEnd w:id="131"/>
      <w:r w:rsidRPr="001D6913">
        <w:t xml:space="preserve">: </w:t>
      </w:r>
      <w:r w:rsidR="00EB3BC0">
        <w:t>Total costs of delivering headspace</w:t>
      </w:r>
      <w:bookmarkEnd w:id="132"/>
      <w:bookmarkEnd w:id="13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otal costs of delivering headspace"/>
        <w:tblDescription w:val="Table has 4 columns and summarises the total costs of delivering headspace services. Column 1 includes the category of funding received. Column 2 summarises direct costs per category. Column 3 summarises indirect costs per category. Column 4 summarises the total costs per category.&#10;"/>
      </w:tblPr>
      <w:tblGrid>
        <w:gridCol w:w="2267"/>
        <w:gridCol w:w="2267"/>
        <w:gridCol w:w="2268"/>
        <w:gridCol w:w="2268"/>
      </w:tblGrid>
      <w:tr w:rsidR="003D1CFD" w:rsidRPr="00D65A2D" w14:paraId="5B0929AA" w14:textId="77777777" w:rsidTr="3B214C30">
        <w:trPr>
          <w:tblHeader/>
        </w:trPr>
        <w:tc>
          <w:tcPr>
            <w:tcW w:w="1250" w:type="pct"/>
            <w:tcBorders>
              <w:bottom w:val="single" w:sz="4" w:space="0" w:color="00338D" w:themeColor="background2"/>
            </w:tcBorders>
            <w:shd w:val="clear" w:color="auto" w:fill="00338D" w:themeFill="background2"/>
          </w:tcPr>
          <w:p w14:paraId="456C1FB4" w14:textId="77777777" w:rsidR="003D1CFD" w:rsidRPr="001D6913" w:rsidRDefault="003D1CFD" w:rsidP="003D1CFD">
            <w:pPr>
              <w:pStyle w:val="Tableheading"/>
            </w:pPr>
          </w:p>
        </w:tc>
        <w:tc>
          <w:tcPr>
            <w:tcW w:w="1250" w:type="pct"/>
            <w:tcBorders>
              <w:bottom w:val="single" w:sz="4" w:space="0" w:color="00338D" w:themeColor="background2"/>
            </w:tcBorders>
            <w:shd w:val="clear" w:color="auto" w:fill="00338D" w:themeFill="background2"/>
          </w:tcPr>
          <w:p w14:paraId="60091EB2" w14:textId="77777777" w:rsidR="003D1CFD" w:rsidRPr="001D6913" w:rsidRDefault="003D1CFD" w:rsidP="009A5FCA">
            <w:pPr>
              <w:pStyle w:val="Tableheading"/>
              <w:jc w:val="right"/>
            </w:pPr>
            <w:r w:rsidRPr="007C0C04">
              <w:t>Direct</w:t>
            </w:r>
          </w:p>
        </w:tc>
        <w:tc>
          <w:tcPr>
            <w:tcW w:w="1250" w:type="pct"/>
            <w:tcBorders>
              <w:bottom w:val="single" w:sz="4" w:space="0" w:color="00338D" w:themeColor="background2"/>
            </w:tcBorders>
            <w:shd w:val="clear" w:color="auto" w:fill="00338D" w:themeFill="background2"/>
          </w:tcPr>
          <w:p w14:paraId="58EB787E" w14:textId="77777777" w:rsidR="003D1CFD" w:rsidRPr="001D6913" w:rsidRDefault="003D1CFD" w:rsidP="009A5FCA">
            <w:pPr>
              <w:pStyle w:val="Tableheading"/>
              <w:jc w:val="right"/>
            </w:pPr>
            <w:r w:rsidRPr="007C0C04">
              <w:t>Indirect</w:t>
            </w:r>
          </w:p>
        </w:tc>
        <w:tc>
          <w:tcPr>
            <w:tcW w:w="1250" w:type="pct"/>
            <w:tcBorders>
              <w:bottom w:val="single" w:sz="4" w:space="0" w:color="00338D" w:themeColor="background2"/>
            </w:tcBorders>
            <w:shd w:val="clear" w:color="auto" w:fill="00338D" w:themeFill="background2"/>
          </w:tcPr>
          <w:p w14:paraId="5C7A4DD7" w14:textId="77777777" w:rsidR="003D1CFD" w:rsidRPr="001D6913" w:rsidRDefault="003D1CFD" w:rsidP="009A5FCA">
            <w:pPr>
              <w:pStyle w:val="Tableheading"/>
              <w:jc w:val="right"/>
            </w:pPr>
            <w:r w:rsidRPr="007C0C04">
              <w:t>Total</w:t>
            </w:r>
          </w:p>
        </w:tc>
      </w:tr>
      <w:tr w:rsidR="00CC1195" w14:paraId="1F0DB66E" w14:textId="77777777" w:rsidTr="3B214C30">
        <w:tc>
          <w:tcPr>
            <w:tcW w:w="1250" w:type="pct"/>
            <w:tcBorders>
              <w:top w:val="single" w:sz="4" w:space="0" w:color="00338D" w:themeColor="background2"/>
              <w:bottom w:val="single" w:sz="2" w:space="0" w:color="808080" w:themeColor="background1" w:themeShade="80"/>
            </w:tcBorders>
          </w:tcPr>
          <w:p w14:paraId="09904291" w14:textId="77777777" w:rsidR="00CC1195" w:rsidRPr="001D6913" w:rsidRDefault="00CC1195" w:rsidP="00CC1195">
            <w:pPr>
              <w:pStyle w:val="Tabletext"/>
            </w:pPr>
            <w:r w:rsidRPr="00935780">
              <w:t>headspace grant</w:t>
            </w:r>
          </w:p>
        </w:tc>
        <w:tc>
          <w:tcPr>
            <w:tcW w:w="1250" w:type="pct"/>
            <w:tcBorders>
              <w:top w:val="single" w:sz="4" w:space="0" w:color="00338D" w:themeColor="background2"/>
              <w:bottom w:val="single" w:sz="2" w:space="0" w:color="808080" w:themeColor="background1" w:themeShade="80"/>
            </w:tcBorders>
          </w:tcPr>
          <w:p w14:paraId="7E56660D" w14:textId="77777777" w:rsidR="00CC1195" w:rsidRPr="001D6913" w:rsidRDefault="00CC1195" w:rsidP="00CC1195">
            <w:pPr>
              <w:pStyle w:val="Tabletext"/>
              <w:jc w:val="right"/>
            </w:pPr>
          </w:p>
        </w:tc>
        <w:tc>
          <w:tcPr>
            <w:tcW w:w="1250" w:type="pct"/>
            <w:tcBorders>
              <w:top w:val="single" w:sz="4" w:space="0" w:color="00338D" w:themeColor="background2"/>
              <w:bottom w:val="single" w:sz="2" w:space="0" w:color="808080" w:themeColor="background1" w:themeShade="80"/>
            </w:tcBorders>
          </w:tcPr>
          <w:p w14:paraId="5395F576" w14:textId="77777777" w:rsidR="00CC1195" w:rsidRPr="001D6913" w:rsidRDefault="00CC1195" w:rsidP="00CC1195">
            <w:pPr>
              <w:pStyle w:val="Tabletext"/>
              <w:jc w:val="right"/>
            </w:pPr>
          </w:p>
        </w:tc>
        <w:tc>
          <w:tcPr>
            <w:tcW w:w="1250" w:type="pct"/>
            <w:tcBorders>
              <w:top w:val="single" w:sz="4" w:space="0" w:color="00338D" w:themeColor="background2"/>
              <w:bottom w:val="single" w:sz="2" w:space="0" w:color="808080" w:themeColor="background1" w:themeShade="80"/>
            </w:tcBorders>
          </w:tcPr>
          <w:p w14:paraId="3AF689B5" w14:textId="77777777" w:rsidR="00CC1195" w:rsidRPr="001D6913" w:rsidRDefault="00CC1195" w:rsidP="00CC1195">
            <w:pPr>
              <w:pStyle w:val="Tabletext"/>
              <w:jc w:val="right"/>
            </w:pPr>
            <w:r w:rsidRPr="00957D22">
              <w:t>$100,867,056</w:t>
            </w:r>
          </w:p>
        </w:tc>
      </w:tr>
      <w:tr w:rsidR="00CC1195" w14:paraId="04D28B13" w14:textId="77777777" w:rsidTr="3B214C30">
        <w:tc>
          <w:tcPr>
            <w:tcW w:w="1250" w:type="pct"/>
            <w:tcBorders>
              <w:top w:val="single" w:sz="4" w:space="0" w:color="00338D" w:themeColor="background2"/>
              <w:bottom w:val="single" w:sz="2" w:space="0" w:color="808080" w:themeColor="background1" w:themeShade="80"/>
            </w:tcBorders>
          </w:tcPr>
          <w:p w14:paraId="6C1C4CFC" w14:textId="77777777" w:rsidR="00CC1195" w:rsidRPr="001D6913" w:rsidRDefault="00CC1195" w:rsidP="00CC1195">
            <w:pPr>
              <w:pStyle w:val="Tabletext"/>
            </w:pPr>
            <w:r w:rsidRPr="00935780">
              <w:t>MBS</w:t>
            </w:r>
          </w:p>
        </w:tc>
        <w:tc>
          <w:tcPr>
            <w:tcW w:w="1250" w:type="pct"/>
            <w:tcBorders>
              <w:top w:val="single" w:sz="4" w:space="0" w:color="00338D" w:themeColor="background2"/>
              <w:bottom w:val="single" w:sz="2" w:space="0" w:color="808080" w:themeColor="background1" w:themeShade="80"/>
            </w:tcBorders>
          </w:tcPr>
          <w:p w14:paraId="14C25423" w14:textId="4F340D95" w:rsidR="00CC1195" w:rsidRPr="001D6913" w:rsidRDefault="00DD1024" w:rsidP="00CC1195">
            <w:pPr>
              <w:pStyle w:val="Tabletext"/>
              <w:jc w:val="right"/>
            </w:pPr>
            <w:r w:rsidRPr="00DD4E51">
              <w:t xml:space="preserve"> $13,974,946 </w:t>
            </w:r>
          </w:p>
        </w:tc>
        <w:tc>
          <w:tcPr>
            <w:tcW w:w="1250" w:type="pct"/>
            <w:tcBorders>
              <w:top w:val="single" w:sz="4" w:space="0" w:color="00338D" w:themeColor="background2"/>
              <w:bottom w:val="single" w:sz="2" w:space="0" w:color="808080" w:themeColor="background1" w:themeShade="80"/>
            </w:tcBorders>
          </w:tcPr>
          <w:p w14:paraId="7E228E77" w14:textId="77777777" w:rsidR="00CC1195" w:rsidRPr="001D6913" w:rsidRDefault="00CC1195" w:rsidP="00CC1195">
            <w:pPr>
              <w:pStyle w:val="Tabletext"/>
              <w:jc w:val="right"/>
            </w:pPr>
            <w:r>
              <w:t>$</w:t>
            </w:r>
            <w:r w:rsidRPr="00957D22">
              <w:t>0</w:t>
            </w:r>
          </w:p>
        </w:tc>
        <w:tc>
          <w:tcPr>
            <w:tcW w:w="1250" w:type="pct"/>
            <w:tcBorders>
              <w:top w:val="single" w:sz="4" w:space="0" w:color="00338D" w:themeColor="background2"/>
              <w:bottom w:val="single" w:sz="2" w:space="0" w:color="808080" w:themeColor="background1" w:themeShade="80"/>
            </w:tcBorders>
          </w:tcPr>
          <w:p w14:paraId="0EC05D93" w14:textId="350E9D05" w:rsidR="00CC1195" w:rsidRPr="001D6913" w:rsidRDefault="00DD1024" w:rsidP="00CC1195">
            <w:pPr>
              <w:pStyle w:val="Tabletext"/>
              <w:jc w:val="right"/>
            </w:pPr>
            <w:r w:rsidRPr="00672D25">
              <w:t xml:space="preserve"> $13,974,946 </w:t>
            </w:r>
          </w:p>
        </w:tc>
      </w:tr>
      <w:tr w:rsidR="00CC1195" w14:paraId="57605F53" w14:textId="77777777" w:rsidTr="3B214C30">
        <w:tc>
          <w:tcPr>
            <w:tcW w:w="1250" w:type="pct"/>
            <w:tcBorders>
              <w:top w:val="single" w:sz="4" w:space="0" w:color="00338D" w:themeColor="background2"/>
              <w:bottom w:val="single" w:sz="2" w:space="0" w:color="808080" w:themeColor="background1" w:themeShade="80"/>
            </w:tcBorders>
          </w:tcPr>
          <w:p w14:paraId="1C2E13FF" w14:textId="77777777" w:rsidR="00CC1195" w:rsidRPr="001D6913" w:rsidRDefault="00CC1195" w:rsidP="00CC1195">
            <w:pPr>
              <w:pStyle w:val="Tabletext"/>
            </w:pPr>
            <w:r w:rsidRPr="00935780">
              <w:t>Other PHN</w:t>
            </w:r>
          </w:p>
        </w:tc>
        <w:tc>
          <w:tcPr>
            <w:tcW w:w="1250" w:type="pct"/>
            <w:tcBorders>
              <w:top w:val="single" w:sz="4" w:space="0" w:color="00338D" w:themeColor="background2"/>
              <w:bottom w:val="single" w:sz="2" w:space="0" w:color="808080" w:themeColor="background1" w:themeShade="80"/>
            </w:tcBorders>
          </w:tcPr>
          <w:p w14:paraId="2EC1EB0A" w14:textId="5147241C" w:rsidR="00CC1195" w:rsidRPr="001D6913" w:rsidRDefault="00DD1024" w:rsidP="00CC1195">
            <w:pPr>
              <w:pStyle w:val="Tabletext"/>
              <w:jc w:val="right"/>
            </w:pPr>
            <w:r w:rsidRPr="00DD4E51">
              <w:t xml:space="preserve"> $2,145,654 </w:t>
            </w:r>
          </w:p>
        </w:tc>
        <w:tc>
          <w:tcPr>
            <w:tcW w:w="1250" w:type="pct"/>
            <w:tcBorders>
              <w:top w:val="single" w:sz="4" w:space="0" w:color="00338D" w:themeColor="background2"/>
              <w:bottom w:val="single" w:sz="2" w:space="0" w:color="808080" w:themeColor="background1" w:themeShade="80"/>
            </w:tcBorders>
          </w:tcPr>
          <w:p w14:paraId="6062AA75" w14:textId="73CE60B4" w:rsidR="00CC1195" w:rsidRPr="001D6913" w:rsidRDefault="2BB88B34" w:rsidP="00CC1195">
            <w:pPr>
              <w:pStyle w:val="Tabletext"/>
              <w:jc w:val="right"/>
            </w:pPr>
            <w:r>
              <w:t>Undetermined</w:t>
            </w:r>
          </w:p>
        </w:tc>
        <w:tc>
          <w:tcPr>
            <w:tcW w:w="1250" w:type="pct"/>
            <w:tcBorders>
              <w:top w:val="single" w:sz="4" w:space="0" w:color="00338D" w:themeColor="background2"/>
              <w:bottom w:val="single" w:sz="2" w:space="0" w:color="808080" w:themeColor="background1" w:themeShade="80"/>
            </w:tcBorders>
          </w:tcPr>
          <w:p w14:paraId="443243D0" w14:textId="6D43495B" w:rsidR="00CC1195" w:rsidRPr="001D6913" w:rsidRDefault="00DD1024" w:rsidP="00CC1195">
            <w:pPr>
              <w:pStyle w:val="Tabletext"/>
              <w:jc w:val="right"/>
            </w:pPr>
            <w:r w:rsidRPr="00672D25">
              <w:t xml:space="preserve"> $2,145,654 </w:t>
            </w:r>
          </w:p>
        </w:tc>
      </w:tr>
      <w:tr w:rsidR="00CC1195" w14:paraId="020355B7" w14:textId="77777777" w:rsidTr="3B214C30">
        <w:tc>
          <w:tcPr>
            <w:tcW w:w="1250" w:type="pct"/>
            <w:tcBorders>
              <w:top w:val="single" w:sz="4" w:space="0" w:color="00338D" w:themeColor="background2"/>
              <w:bottom w:val="single" w:sz="2" w:space="0" w:color="808080" w:themeColor="background1" w:themeShade="80"/>
            </w:tcBorders>
          </w:tcPr>
          <w:p w14:paraId="2735C80C" w14:textId="5885A663" w:rsidR="00CC1195" w:rsidRPr="001D6913" w:rsidRDefault="00CC1195" w:rsidP="00CC1195">
            <w:pPr>
              <w:pStyle w:val="Tabletext"/>
            </w:pPr>
            <w:r w:rsidRPr="00935780">
              <w:t xml:space="preserve">Other </w:t>
            </w:r>
            <w:r w:rsidR="00B81994">
              <w:t>Commonwealth</w:t>
            </w:r>
            <w:r w:rsidR="00E73E8D">
              <w:t xml:space="preserve"> programs</w:t>
            </w:r>
          </w:p>
        </w:tc>
        <w:tc>
          <w:tcPr>
            <w:tcW w:w="1250" w:type="pct"/>
            <w:tcBorders>
              <w:top w:val="single" w:sz="4" w:space="0" w:color="00338D" w:themeColor="background2"/>
              <w:bottom w:val="single" w:sz="2" w:space="0" w:color="808080" w:themeColor="background1" w:themeShade="80"/>
            </w:tcBorders>
          </w:tcPr>
          <w:p w14:paraId="5548467B" w14:textId="4C77E134" w:rsidR="00CC1195" w:rsidRPr="001D6913" w:rsidRDefault="00074764" w:rsidP="00CC1195">
            <w:pPr>
              <w:pStyle w:val="Tabletext"/>
              <w:jc w:val="right"/>
            </w:pPr>
            <w:r w:rsidRPr="00DD4E51">
              <w:t xml:space="preserve"> $619,475 </w:t>
            </w:r>
          </w:p>
        </w:tc>
        <w:tc>
          <w:tcPr>
            <w:tcW w:w="1250" w:type="pct"/>
            <w:tcBorders>
              <w:top w:val="single" w:sz="4" w:space="0" w:color="00338D" w:themeColor="background2"/>
              <w:bottom w:val="single" w:sz="2" w:space="0" w:color="808080" w:themeColor="background1" w:themeShade="80"/>
            </w:tcBorders>
          </w:tcPr>
          <w:p w14:paraId="50C4B985" w14:textId="62C5A16D" w:rsidR="00CC1195" w:rsidRPr="001D6913" w:rsidRDefault="676B50BA" w:rsidP="00CC1195">
            <w:pPr>
              <w:pStyle w:val="Tabletext"/>
              <w:jc w:val="right"/>
            </w:pPr>
            <w:r>
              <w:t>Undetermined</w:t>
            </w:r>
          </w:p>
        </w:tc>
        <w:tc>
          <w:tcPr>
            <w:tcW w:w="1250" w:type="pct"/>
            <w:tcBorders>
              <w:top w:val="single" w:sz="4" w:space="0" w:color="00338D" w:themeColor="background2"/>
              <w:bottom w:val="single" w:sz="2" w:space="0" w:color="808080" w:themeColor="background1" w:themeShade="80"/>
            </w:tcBorders>
          </w:tcPr>
          <w:p w14:paraId="260DFF2E" w14:textId="27BF6458" w:rsidR="00CC1195" w:rsidRPr="001D6913" w:rsidRDefault="00074764" w:rsidP="00CC1195">
            <w:pPr>
              <w:pStyle w:val="Tabletext"/>
              <w:jc w:val="right"/>
            </w:pPr>
            <w:r w:rsidRPr="00672D25">
              <w:t xml:space="preserve"> $619,475 </w:t>
            </w:r>
          </w:p>
        </w:tc>
      </w:tr>
      <w:tr w:rsidR="00CC1195" w14:paraId="604A81C1" w14:textId="77777777" w:rsidTr="3B214C30">
        <w:tc>
          <w:tcPr>
            <w:tcW w:w="1250" w:type="pct"/>
            <w:tcBorders>
              <w:top w:val="single" w:sz="4" w:space="0" w:color="00338D" w:themeColor="background2"/>
              <w:bottom w:val="single" w:sz="2" w:space="0" w:color="808080" w:themeColor="background1" w:themeShade="80"/>
            </w:tcBorders>
          </w:tcPr>
          <w:p w14:paraId="54FC0454" w14:textId="77777777" w:rsidR="00CC1195" w:rsidRPr="001D6913" w:rsidRDefault="00CC1195" w:rsidP="00CC1195">
            <w:pPr>
              <w:pStyle w:val="Tabletext"/>
            </w:pPr>
            <w:r w:rsidRPr="00935780">
              <w:t xml:space="preserve">Other </w:t>
            </w:r>
            <w:r w:rsidR="00F50008">
              <w:t>state government</w:t>
            </w:r>
            <w:r w:rsidR="00801751" w:rsidRPr="00935780">
              <w:t xml:space="preserve"> </w:t>
            </w:r>
            <w:r w:rsidRPr="00935780">
              <w:t>programs</w:t>
            </w:r>
          </w:p>
        </w:tc>
        <w:tc>
          <w:tcPr>
            <w:tcW w:w="1250" w:type="pct"/>
            <w:tcBorders>
              <w:top w:val="single" w:sz="4" w:space="0" w:color="00338D" w:themeColor="background2"/>
              <w:bottom w:val="single" w:sz="2" w:space="0" w:color="808080" w:themeColor="background1" w:themeShade="80"/>
            </w:tcBorders>
          </w:tcPr>
          <w:p w14:paraId="633EE2DB" w14:textId="4B98C467" w:rsidR="00CC1195" w:rsidRPr="001D6913" w:rsidRDefault="00074764" w:rsidP="00CC1195">
            <w:pPr>
              <w:pStyle w:val="Tabletext"/>
              <w:jc w:val="right"/>
            </w:pPr>
            <w:r w:rsidRPr="00DD4E51">
              <w:t xml:space="preserve"> $768,011 </w:t>
            </w:r>
          </w:p>
        </w:tc>
        <w:tc>
          <w:tcPr>
            <w:tcW w:w="1250" w:type="pct"/>
            <w:tcBorders>
              <w:top w:val="single" w:sz="4" w:space="0" w:color="00338D" w:themeColor="background2"/>
              <w:bottom w:val="single" w:sz="2" w:space="0" w:color="808080" w:themeColor="background1" w:themeShade="80"/>
            </w:tcBorders>
          </w:tcPr>
          <w:p w14:paraId="7E91E251" w14:textId="771085F8" w:rsidR="00CC1195" w:rsidRPr="001D6913" w:rsidRDefault="01CD18D1" w:rsidP="00CC1195">
            <w:pPr>
              <w:pStyle w:val="Tabletext"/>
              <w:jc w:val="right"/>
            </w:pPr>
            <w:r>
              <w:t>Undetermined</w:t>
            </w:r>
          </w:p>
        </w:tc>
        <w:tc>
          <w:tcPr>
            <w:tcW w:w="1250" w:type="pct"/>
            <w:tcBorders>
              <w:top w:val="single" w:sz="4" w:space="0" w:color="00338D" w:themeColor="background2"/>
              <w:bottom w:val="single" w:sz="2" w:space="0" w:color="808080" w:themeColor="background1" w:themeShade="80"/>
            </w:tcBorders>
          </w:tcPr>
          <w:p w14:paraId="3DA439CF" w14:textId="5538A733" w:rsidR="00CC1195" w:rsidRPr="001D6913" w:rsidRDefault="00074764" w:rsidP="00CC1195">
            <w:pPr>
              <w:pStyle w:val="Tabletext"/>
              <w:jc w:val="right"/>
            </w:pPr>
            <w:r w:rsidRPr="00672D25">
              <w:t xml:space="preserve"> $768,011 </w:t>
            </w:r>
          </w:p>
        </w:tc>
      </w:tr>
      <w:tr w:rsidR="00CC1195" w14:paraId="6E729517" w14:textId="77777777" w:rsidTr="3B214C30">
        <w:tc>
          <w:tcPr>
            <w:tcW w:w="1250" w:type="pct"/>
            <w:tcBorders>
              <w:top w:val="single" w:sz="4" w:space="0" w:color="00338D" w:themeColor="background2"/>
              <w:bottom w:val="single" w:sz="2" w:space="0" w:color="808080" w:themeColor="background1" w:themeShade="80"/>
            </w:tcBorders>
          </w:tcPr>
          <w:p w14:paraId="2560B4DD" w14:textId="77777777" w:rsidR="00CC1195" w:rsidRPr="001D6913" w:rsidRDefault="00CC1195" w:rsidP="00CC1195">
            <w:pPr>
              <w:pStyle w:val="Tabletext"/>
            </w:pPr>
            <w:r w:rsidRPr="00935780">
              <w:t>In kind</w:t>
            </w:r>
          </w:p>
        </w:tc>
        <w:tc>
          <w:tcPr>
            <w:tcW w:w="1250" w:type="pct"/>
            <w:tcBorders>
              <w:top w:val="single" w:sz="4" w:space="0" w:color="00338D" w:themeColor="background2"/>
              <w:bottom w:val="single" w:sz="2" w:space="0" w:color="808080" w:themeColor="background1" w:themeShade="80"/>
            </w:tcBorders>
          </w:tcPr>
          <w:p w14:paraId="0A073D68" w14:textId="6C6C7710" w:rsidR="00CC1195" w:rsidRPr="001D6913" w:rsidRDefault="00074764" w:rsidP="00CC1195">
            <w:pPr>
              <w:pStyle w:val="Tabletext"/>
              <w:jc w:val="right"/>
            </w:pPr>
            <w:r w:rsidRPr="00DD4E51">
              <w:t xml:space="preserve"> $1,328,042 </w:t>
            </w:r>
          </w:p>
        </w:tc>
        <w:tc>
          <w:tcPr>
            <w:tcW w:w="1250" w:type="pct"/>
            <w:tcBorders>
              <w:top w:val="single" w:sz="4" w:space="0" w:color="00338D" w:themeColor="background2"/>
              <w:bottom w:val="single" w:sz="2" w:space="0" w:color="808080" w:themeColor="background1" w:themeShade="80"/>
            </w:tcBorders>
          </w:tcPr>
          <w:p w14:paraId="52CB7E52" w14:textId="5032B300" w:rsidR="00CC1195" w:rsidRPr="001D6913" w:rsidRDefault="7FF44297" w:rsidP="00CC1195">
            <w:pPr>
              <w:pStyle w:val="Tabletext"/>
              <w:jc w:val="right"/>
            </w:pPr>
            <w:r>
              <w:t>Undetermined</w:t>
            </w:r>
          </w:p>
        </w:tc>
        <w:tc>
          <w:tcPr>
            <w:tcW w:w="1250" w:type="pct"/>
            <w:tcBorders>
              <w:top w:val="single" w:sz="4" w:space="0" w:color="00338D" w:themeColor="background2"/>
              <w:bottom w:val="single" w:sz="2" w:space="0" w:color="808080" w:themeColor="background1" w:themeShade="80"/>
            </w:tcBorders>
          </w:tcPr>
          <w:p w14:paraId="63B9EAD3" w14:textId="42E7B8CC" w:rsidR="00CC1195" w:rsidRPr="001D6913" w:rsidRDefault="00074764" w:rsidP="00CC1195">
            <w:pPr>
              <w:pStyle w:val="Tabletext"/>
              <w:jc w:val="right"/>
            </w:pPr>
            <w:r w:rsidRPr="00672D25">
              <w:t xml:space="preserve"> $1,328,042 </w:t>
            </w:r>
          </w:p>
        </w:tc>
      </w:tr>
      <w:tr w:rsidR="00CC1195" w14:paraId="580AFBA4" w14:textId="77777777" w:rsidTr="3B214C30">
        <w:tc>
          <w:tcPr>
            <w:tcW w:w="1250" w:type="pct"/>
            <w:tcBorders>
              <w:top w:val="single" w:sz="4" w:space="0" w:color="00338D" w:themeColor="background2"/>
              <w:bottom w:val="single" w:sz="2" w:space="0" w:color="808080" w:themeColor="background1" w:themeShade="80"/>
            </w:tcBorders>
          </w:tcPr>
          <w:p w14:paraId="3CCE7789" w14:textId="77777777" w:rsidR="00CC1195" w:rsidRPr="001D6913" w:rsidRDefault="00CC1195" w:rsidP="00CC1195">
            <w:pPr>
              <w:pStyle w:val="Tabletext"/>
            </w:pPr>
            <w:r w:rsidRPr="00935780">
              <w:t>Private</w:t>
            </w:r>
          </w:p>
        </w:tc>
        <w:tc>
          <w:tcPr>
            <w:tcW w:w="1250" w:type="pct"/>
            <w:tcBorders>
              <w:top w:val="single" w:sz="4" w:space="0" w:color="00338D" w:themeColor="background2"/>
              <w:bottom w:val="single" w:sz="2" w:space="0" w:color="808080" w:themeColor="background1" w:themeShade="80"/>
            </w:tcBorders>
          </w:tcPr>
          <w:p w14:paraId="57CC9710" w14:textId="6B14E562" w:rsidR="00CC1195" w:rsidRPr="001D6913" w:rsidRDefault="00074764" w:rsidP="00CC1195">
            <w:pPr>
              <w:pStyle w:val="Tabletext"/>
              <w:jc w:val="right"/>
            </w:pPr>
            <w:r w:rsidRPr="00DD4E51">
              <w:t xml:space="preserve"> $80,998 </w:t>
            </w:r>
          </w:p>
        </w:tc>
        <w:tc>
          <w:tcPr>
            <w:tcW w:w="1250" w:type="pct"/>
            <w:tcBorders>
              <w:top w:val="single" w:sz="4" w:space="0" w:color="00338D" w:themeColor="background2"/>
              <w:bottom w:val="single" w:sz="2" w:space="0" w:color="808080" w:themeColor="background1" w:themeShade="80"/>
            </w:tcBorders>
          </w:tcPr>
          <w:p w14:paraId="5ECC27EA" w14:textId="3012EE87" w:rsidR="00CC1195" w:rsidRPr="001D6913" w:rsidRDefault="2E99E7AE" w:rsidP="00CC1195">
            <w:pPr>
              <w:pStyle w:val="Tabletext"/>
              <w:jc w:val="right"/>
            </w:pPr>
            <w:r>
              <w:t>Undetermined</w:t>
            </w:r>
          </w:p>
        </w:tc>
        <w:tc>
          <w:tcPr>
            <w:tcW w:w="1250" w:type="pct"/>
            <w:tcBorders>
              <w:top w:val="single" w:sz="4" w:space="0" w:color="00338D" w:themeColor="background2"/>
              <w:bottom w:val="single" w:sz="2" w:space="0" w:color="808080" w:themeColor="background1" w:themeShade="80"/>
            </w:tcBorders>
          </w:tcPr>
          <w:p w14:paraId="59241373" w14:textId="77AC7BD5" w:rsidR="00CC1195" w:rsidRPr="001D6913" w:rsidRDefault="00074764" w:rsidP="00CC1195">
            <w:pPr>
              <w:pStyle w:val="Tabletext"/>
              <w:jc w:val="right"/>
            </w:pPr>
            <w:r w:rsidRPr="00672D25">
              <w:t xml:space="preserve"> $80,998 </w:t>
            </w:r>
          </w:p>
        </w:tc>
      </w:tr>
      <w:tr w:rsidR="00CC1195" w14:paraId="153E757F" w14:textId="77777777" w:rsidTr="3B214C30">
        <w:tc>
          <w:tcPr>
            <w:tcW w:w="1250" w:type="pct"/>
            <w:tcBorders>
              <w:top w:val="single" w:sz="4" w:space="0" w:color="00338D" w:themeColor="background2"/>
              <w:bottom w:val="single" w:sz="2" w:space="0" w:color="808080" w:themeColor="background1" w:themeShade="80"/>
            </w:tcBorders>
          </w:tcPr>
          <w:p w14:paraId="3864ACC1" w14:textId="557421D2" w:rsidR="00CC1195" w:rsidRPr="001D6913" w:rsidRDefault="0033404C" w:rsidP="00CC1195">
            <w:pPr>
              <w:pStyle w:val="Tabletext"/>
            </w:pPr>
            <w:r>
              <w:t>Other funding sources</w:t>
            </w:r>
            <w:r w:rsidR="00A8787D">
              <w:t xml:space="preserve"> </w:t>
            </w:r>
          </w:p>
        </w:tc>
        <w:tc>
          <w:tcPr>
            <w:tcW w:w="1250" w:type="pct"/>
            <w:tcBorders>
              <w:top w:val="single" w:sz="4" w:space="0" w:color="00338D" w:themeColor="background2"/>
              <w:bottom w:val="single" w:sz="2" w:space="0" w:color="808080" w:themeColor="background1" w:themeShade="80"/>
            </w:tcBorders>
          </w:tcPr>
          <w:p w14:paraId="09442A5B" w14:textId="55EE5ED5" w:rsidR="00CC1195" w:rsidRPr="001D6913" w:rsidRDefault="00DD1024" w:rsidP="00CC1195">
            <w:pPr>
              <w:pStyle w:val="Tabletext"/>
              <w:jc w:val="right"/>
            </w:pPr>
            <w:r w:rsidRPr="00DD4E51">
              <w:t xml:space="preserve"> $3,270,170 </w:t>
            </w:r>
          </w:p>
        </w:tc>
        <w:tc>
          <w:tcPr>
            <w:tcW w:w="1250" w:type="pct"/>
            <w:tcBorders>
              <w:top w:val="single" w:sz="4" w:space="0" w:color="00338D" w:themeColor="background2"/>
              <w:bottom w:val="single" w:sz="2" w:space="0" w:color="808080" w:themeColor="background1" w:themeShade="80"/>
            </w:tcBorders>
          </w:tcPr>
          <w:p w14:paraId="1719880E" w14:textId="3828D426" w:rsidR="00CC1195" w:rsidRPr="001D6913" w:rsidRDefault="004F7DCB" w:rsidP="00CC1195">
            <w:pPr>
              <w:pStyle w:val="Tabletext"/>
              <w:jc w:val="right"/>
            </w:pPr>
            <w:r>
              <w:t>Undetermined</w:t>
            </w:r>
          </w:p>
        </w:tc>
        <w:tc>
          <w:tcPr>
            <w:tcW w:w="1250" w:type="pct"/>
            <w:tcBorders>
              <w:top w:val="single" w:sz="4" w:space="0" w:color="00338D" w:themeColor="background2"/>
              <w:bottom w:val="single" w:sz="2" w:space="0" w:color="808080" w:themeColor="background1" w:themeShade="80"/>
            </w:tcBorders>
          </w:tcPr>
          <w:p w14:paraId="49852DE5" w14:textId="7B7AE68C" w:rsidR="00CC1195" w:rsidRPr="001D6913" w:rsidRDefault="00DD1024" w:rsidP="00CC1195">
            <w:pPr>
              <w:pStyle w:val="Tabletext"/>
              <w:jc w:val="right"/>
            </w:pPr>
            <w:r w:rsidRPr="00672D25">
              <w:t xml:space="preserve"> $3,270,170 </w:t>
            </w:r>
          </w:p>
        </w:tc>
      </w:tr>
      <w:tr w:rsidR="00CC1195" w14:paraId="59235C8F" w14:textId="77777777" w:rsidTr="3B214C30">
        <w:tc>
          <w:tcPr>
            <w:tcW w:w="1250" w:type="pct"/>
            <w:tcBorders>
              <w:top w:val="single" w:sz="4" w:space="0" w:color="00338D" w:themeColor="background2"/>
              <w:bottom w:val="single" w:sz="2" w:space="0" w:color="808080" w:themeColor="background1" w:themeShade="80"/>
            </w:tcBorders>
          </w:tcPr>
          <w:p w14:paraId="182E51AC" w14:textId="634253B2" w:rsidR="00CC1195" w:rsidRPr="001D6913" w:rsidRDefault="0033404C" w:rsidP="00CC1195">
            <w:pPr>
              <w:pStyle w:val="Tabletext"/>
            </w:pPr>
            <w:r>
              <w:t>Out-of-pocket</w:t>
            </w:r>
          </w:p>
        </w:tc>
        <w:tc>
          <w:tcPr>
            <w:tcW w:w="1250" w:type="pct"/>
            <w:tcBorders>
              <w:top w:val="single" w:sz="4" w:space="0" w:color="00338D" w:themeColor="background2"/>
              <w:bottom w:val="single" w:sz="2" w:space="0" w:color="808080" w:themeColor="background1" w:themeShade="80"/>
            </w:tcBorders>
          </w:tcPr>
          <w:p w14:paraId="43FFE05E" w14:textId="0C1DFC5F" w:rsidR="00CC1195" w:rsidRPr="001D6913" w:rsidRDefault="00DD1024" w:rsidP="00CC1195">
            <w:pPr>
              <w:pStyle w:val="Tabletext"/>
              <w:jc w:val="right"/>
            </w:pPr>
            <w:r w:rsidRPr="00DD4E51">
              <w:t xml:space="preserve"> $250,292 </w:t>
            </w:r>
          </w:p>
        </w:tc>
        <w:tc>
          <w:tcPr>
            <w:tcW w:w="1250" w:type="pct"/>
            <w:tcBorders>
              <w:top w:val="single" w:sz="4" w:space="0" w:color="00338D" w:themeColor="background2"/>
              <w:bottom w:val="single" w:sz="2" w:space="0" w:color="808080" w:themeColor="background1" w:themeShade="80"/>
            </w:tcBorders>
          </w:tcPr>
          <w:p w14:paraId="4A4F486B" w14:textId="5DEBA537" w:rsidR="00CC1195" w:rsidRPr="001D6913" w:rsidRDefault="01094923" w:rsidP="00CC1195">
            <w:pPr>
              <w:pStyle w:val="Tabletext"/>
              <w:jc w:val="right"/>
            </w:pPr>
            <w:r>
              <w:t>Undetermined</w:t>
            </w:r>
          </w:p>
        </w:tc>
        <w:tc>
          <w:tcPr>
            <w:tcW w:w="1250" w:type="pct"/>
            <w:tcBorders>
              <w:top w:val="single" w:sz="4" w:space="0" w:color="00338D" w:themeColor="background2"/>
              <w:bottom w:val="single" w:sz="2" w:space="0" w:color="808080" w:themeColor="background1" w:themeShade="80"/>
            </w:tcBorders>
          </w:tcPr>
          <w:p w14:paraId="5E9A1BA4" w14:textId="73642897" w:rsidR="00CC1195" w:rsidRPr="001D6913" w:rsidRDefault="00DD1024" w:rsidP="00CC1195">
            <w:pPr>
              <w:pStyle w:val="Tabletext"/>
              <w:jc w:val="right"/>
            </w:pPr>
            <w:r w:rsidRPr="00672D25">
              <w:t xml:space="preserve"> $250,292 </w:t>
            </w:r>
          </w:p>
        </w:tc>
      </w:tr>
      <w:tr w:rsidR="00CC1195" w14:paraId="527196ED" w14:textId="77777777" w:rsidTr="3B214C30">
        <w:tc>
          <w:tcPr>
            <w:tcW w:w="1250" w:type="pct"/>
            <w:tcBorders>
              <w:top w:val="single" w:sz="4" w:space="0" w:color="00338D" w:themeColor="background2"/>
              <w:bottom w:val="single" w:sz="2" w:space="0" w:color="808080" w:themeColor="background1" w:themeShade="80"/>
            </w:tcBorders>
          </w:tcPr>
          <w:p w14:paraId="3CA2CF10" w14:textId="77777777" w:rsidR="00CC1195" w:rsidRPr="001D6913" w:rsidRDefault="00CC1195" w:rsidP="00CC1195">
            <w:pPr>
              <w:pStyle w:val="Tabletext"/>
            </w:pPr>
            <w:r>
              <w:t>Total</w:t>
            </w:r>
          </w:p>
        </w:tc>
        <w:tc>
          <w:tcPr>
            <w:tcW w:w="1250" w:type="pct"/>
            <w:tcBorders>
              <w:top w:val="single" w:sz="4" w:space="0" w:color="00338D" w:themeColor="background2"/>
              <w:bottom w:val="single" w:sz="2" w:space="0" w:color="808080" w:themeColor="background1" w:themeShade="80"/>
            </w:tcBorders>
          </w:tcPr>
          <w:p w14:paraId="4CEE6EFB" w14:textId="77777777" w:rsidR="00CC1195" w:rsidRPr="001D6913" w:rsidRDefault="00CC1195" w:rsidP="00CC1195">
            <w:pPr>
              <w:pStyle w:val="Tabletext"/>
              <w:jc w:val="right"/>
            </w:pPr>
          </w:p>
        </w:tc>
        <w:tc>
          <w:tcPr>
            <w:tcW w:w="1250" w:type="pct"/>
            <w:tcBorders>
              <w:top w:val="single" w:sz="4" w:space="0" w:color="00338D" w:themeColor="background2"/>
              <w:bottom w:val="single" w:sz="2" w:space="0" w:color="808080" w:themeColor="background1" w:themeShade="80"/>
            </w:tcBorders>
          </w:tcPr>
          <w:p w14:paraId="722468AD" w14:textId="77777777" w:rsidR="00CC1195" w:rsidRPr="001D6913" w:rsidRDefault="00CC1195" w:rsidP="00CC1195">
            <w:pPr>
              <w:pStyle w:val="Tabletext"/>
              <w:jc w:val="right"/>
            </w:pPr>
          </w:p>
        </w:tc>
        <w:tc>
          <w:tcPr>
            <w:tcW w:w="1250" w:type="pct"/>
            <w:tcBorders>
              <w:top w:val="single" w:sz="4" w:space="0" w:color="00338D" w:themeColor="background2"/>
              <w:bottom w:val="single" w:sz="2" w:space="0" w:color="808080" w:themeColor="background1" w:themeShade="80"/>
            </w:tcBorders>
          </w:tcPr>
          <w:p w14:paraId="79D09859" w14:textId="406ABB75" w:rsidR="00CC1195" w:rsidRPr="001D6913" w:rsidRDefault="00DD1024" w:rsidP="00CC1195">
            <w:pPr>
              <w:pStyle w:val="Tabletext"/>
              <w:jc w:val="right"/>
            </w:pPr>
            <w:r w:rsidRPr="00672D25">
              <w:t xml:space="preserve"> $123,304,645 </w:t>
            </w:r>
          </w:p>
        </w:tc>
      </w:tr>
    </w:tbl>
    <w:p w14:paraId="0F4351CD" w14:textId="2C0E787D" w:rsidR="009E05C8" w:rsidRPr="00B9700F" w:rsidRDefault="009E05C8" w:rsidP="009E05C8">
      <w:pPr>
        <w:pStyle w:val="Source"/>
        <w:rPr>
          <w:szCs w:val="16"/>
        </w:rPr>
      </w:pPr>
      <w:r w:rsidRPr="00B9700F">
        <w:rPr>
          <w:szCs w:val="16"/>
        </w:rPr>
        <w:t>Source: KPMG analysis of the total cost dataset</w:t>
      </w:r>
    </w:p>
    <w:p w14:paraId="726C0A0D" w14:textId="3A22C53F" w:rsidR="00813C64" w:rsidRDefault="009E05C8" w:rsidP="009E05C8">
      <w:pPr>
        <w:pStyle w:val="Source"/>
      </w:pPr>
      <w:r w:rsidRPr="00CF2E3E">
        <w:rPr>
          <w:szCs w:val="16"/>
        </w:rPr>
        <w:t xml:space="preserve">Notes: See </w:t>
      </w:r>
      <w:r w:rsidR="00126243">
        <w:rPr>
          <w:szCs w:val="16"/>
        </w:rPr>
        <w:fldChar w:fldCharType="begin" w:fldLock="1"/>
      </w:r>
      <w:r w:rsidR="00126243">
        <w:rPr>
          <w:szCs w:val="16"/>
        </w:rPr>
        <w:instrText xml:space="preserve"> REF _Ref98402466 \r \h </w:instrText>
      </w:r>
      <w:r w:rsidR="00126243">
        <w:rPr>
          <w:szCs w:val="16"/>
        </w:rPr>
      </w:r>
      <w:r w:rsidR="00126243">
        <w:rPr>
          <w:szCs w:val="16"/>
        </w:rPr>
        <w:fldChar w:fldCharType="separate"/>
      </w:r>
      <w:r w:rsidR="00AE4D34">
        <w:rPr>
          <w:szCs w:val="16"/>
        </w:rPr>
        <w:t>Appendix F</w:t>
      </w:r>
      <w:r w:rsidR="00126243">
        <w:rPr>
          <w:szCs w:val="16"/>
        </w:rPr>
        <w:fldChar w:fldCharType="end"/>
      </w:r>
      <w:r w:rsidR="00126243" w:rsidRPr="00DC006F">
        <w:rPr>
          <w:szCs w:val="16"/>
        </w:rPr>
        <w:t xml:space="preserve"> for detailed exclusion </w:t>
      </w:r>
      <w:r w:rsidRPr="00CF2E3E">
        <w:rPr>
          <w:szCs w:val="16"/>
        </w:rPr>
        <w:t>criteria.</w:t>
      </w:r>
      <w:r w:rsidRPr="00B9700F">
        <w:rPr>
          <w:szCs w:val="16"/>
        </w:rPr>
        <w:t xml:space="preserve"> The sample includes 112 services delivering 401,325 </w:t>
      </w:r>
      <w:r w:rsidR="001F66B8">
        <w:rPr>
          <w:szCs w:val="16"/>
        </w:rPr>
        <w:t>OOS</w:t>
      </w:r>
      <w:r w:rsidRPr="00B9700F">
        <w:rPr>
          <w:szCs w:val="16"/>
        </w:rPr>
        <w:t xml:space="preserve"> and 102,550 episodes.</w:t>
      </w:r>
    </w:p>
    <w:p w14:paraId="7D0A2CCE" w14:textId="56843FA1" w:rsidR="00483EE6" w:rsidRDefault="005B6812" w:rsidP="006B7096">
      <w:pPr>
        <w:pStyle w:val="BodyText"/>
      </w:pPr>
      <w:r>
        <w:t xml:space="preserve">In </w:t>
      </w:r>
      <w:r w:rsidR="008419C5">
        <w:t xml:space="preserve">2019-20, </w:t>
      </w:r>
      <w:r w:rsidR="00E63B4A">
        <w:t xml:space="preserve">112 </w:t>
      </w:r>
      <w:r w:rsidR="008419C5">
        <w:t>headspace</w:t>
      </w:r>
      <w:r w:rsidR="00E63B4A">
        <w:t xml:space="preserve"> services included in the cost analysis</w:t>
      </w:r>
      <w:r w:rsidR="008419C5">
        <w:t xml:space="preserve"> delivered 401,325</w:t>
      </w:r>
      <w:r w:rsidR="00E63B4A">
        <w:t xml:space="preserve"> </w:t>
      </w:r>
      <w:r w:rsidR="001F66B8">
        <w:t>OOS</w:t>
      </w:r>
      <w:r w:rsidR="00E63B4A">
        <w:t xml:space="preserve">. The average cost per </w:t>
      </w:r>
      <w:r w:rsidR="006E7DB0">
        <w:t>O</w:t>
      </w:r>
      <w:r w:rsidR="003C1E68">
        <w:t>O</w:t>
      </w:r>
      <w:r w:rsidR="006E7DB0">
        <w:t>S</w:t>
      </w:r>
      <w:r w:rsidR="001F66B8">
        <w:t xml:space="preserve"> </w:t>
      </w:r>
      <w:r w:rsidR="006C3ED3">
        <w:t>wa</w:t>
      </w:r>
      <w:r w:rsidR="00E63B4A">
        <w:t xml:space="preserve">s approximately $307. </w:t>
      </w:r>
      <w:r w:rsidR="00CA74D9">
        <w:t xml:space="preserve">The average direct cost per </w:t>
      </w:r>
      <w:r w:rsidR="001F66B8">
        <w:t>OOS</w:t>
      </w:r>
      <w:r w:rsidR="00CA74D9">
        <w:t xml:space="preserve"> was $230 under the assumption that the direct service costs account for 75</w:t>
      </w:r>
      <w:r w:rsidR="009E12FC">
        <w:t xml:space="preserve"> per cent </w:t>
      </w:r>
      <w:r w:rsidR="00CA74D9">
        <w:t>of the total cost</w:t>
      </w:r>
      <w:r w:rsidR="00CC0438">
        <w:rPr>
          <w:rFonts w:ascii="ZWAdobeF" w:hAnsi="ZWAdobeF" w:cs="ZWAdobeF"/>
          <w:sz w:val="2"/>
          <w:szCs w:val="2"/>
        </w:rPr>
        <w:t>138F</w:t>
      </w:r>
      <w:r w:rsidR="00CA74D9">
        <w:rPr>
          <w:rStyle w:val="FootnoteReference"/>
        </w:rPr>
        <w:footnoteReference w:id="140"/>
      </w:r>
      <w:r w:rsidR="004C5FD4">
        <w:t>.</w:t>
      </w:r>
      <w:r w:rsidR="00CA74D9">
        <w:t xml:space="preserve"> </w:t>
      </w:r>
      <w:r w:rsidR="006A33D6" w:rsidRPr="008E6121">
        <w:t>This amount is higher than the average cost</w:t>
      </w:r>
      <w:r w:rsidR="00CC0438">
        <w:rPr>
          <w:rFonts w:ascii="ZWAdobeF" w:hAnsi="ZWAdobeF" w:cs="ZWAdobeF"/>
          <w:sz w:val="2"/>
          <w:szCs w:val="2"/>
        </w:rPr>
        <w:t>139F</w:t>
      </w:r>
      <w:r w:rsidR="006A33D6">
        <w:rPr>
          <w:rStyle w:val="FootnoteReference"/>
        </w:rPr>
        <w:footnoteReference w:id="141"/>
      </w:r>
      <w:r w:rsidR="006A33D6" w:rsidRPr="008E6121">
        <w:t xml:space="preserve"> of a mental health session with clinical psychologists ($154) and GPs ($100). Given a typical length of an </w:t>
      </w:r>
      <w:r w:rsidR="001F66B8">
        <w:t>OOS</w:t>
      </w:r>
      <w:r w:rsidR="006A33D6" w:rsidRPr="008E6121">
        <w:t xml:space="preserve"> at headspace was 40 – 89 minutes in 2019-20, the average direct cost per </w:t>
      </w:r>
      <w:r w:rsidR="001F66B8">
        <w:t>OOS</w:t>
      </w:r>
      <w:r w:rsidR="006A33D6" w:rsidRPr="008E6121">
        <w:t xml:space="preserve"> is lower than the </w:t>
      </w:r>
      <w:r w:rsidR="00133DFF">
        <w:t>A</w:t>
      </w:r>
      <w:r w:rsidR="00D07F8A">
        <w:t>ustralian Psychological Society’s</w:t>
      </w:r>
      <w:r w:rsidR="006A33D6" w:rsidRPr="008E6121">
        <w:t xml:space="preserve"> recommended fee for a session with </w:t>
      </w:r>
      <w:r w:rsidR="006A33D6">
        <w:t xml:space="preserve">a </w:t>
      </w:r>
      <w:r w:rsidR="006A33D6" w:rsidRPr="008E6121">
        <w:t xml:space="preserve">similar duration </w:t>
      </w:r>
      <w:r w:rsidR="006A33D6">
        <w:t>of</w:t>
      </w:r>
      <w:r w:rsidR="006A33D6" w:rsidRPr="008E6121">
        <w:t xml:space="preserve"> $320</w:t>
      </w:r>
      <w:r w:rsidR="00CC0438">
        <w:rPr>
          <w:rFonts w:ascii="ZWAdobeF" w:hAnsi="ZWAdobeF" w:cs="ZWAdobeF"/>
          <w:sz w:val="2"/>
          <w:szCs w:val="2"/>
        </w:rPr>
        <w:t>140F</w:t>
      </w:r>
      <w:r w:rsidR="006A33D6">
        <w:rPr>
          <w:rStyle w:val="FootnoteReference"/>
        </w:rPr>
        <w:footnoteReference w:id="142"/>
      </w:r>
      <w:r w:rsidR="006A33D6" w:rsidRPr="008E6121">
        <w:t>.</w:t>
      </w:r>
    </w:p>
    <w:p w14:paraId="45ECBE30" w14:textId="4F91E249" w:rsidR="00C82D4B" w:rsidRPr="00C82D4B" w:rsidRDefault="00692BD4" w:rsidP="006B7096">
      <w:pPr>
        <w:pStyle w:val="BodyText"/>
      </w:pPr>
      <w:r>
        <w:fldChar w:fldCharType="begin" w:fldLock="1"/>
      </w:r>
      <w:r>
        <w:instrText xml:space="preserve"> REF _Ref94779372 \h </w:instrText>
      </w:r>
      <w:r>
        <w:fldChar w:fldCharType="separate"/>
      </w:r>
      <w:r w:rsidR="000C245D">
        <w:t xml:space="preserve">Figure </w:t>
      </w:r>
      <w:r w:rsidR="000C245D">
        <w:rPr>
          <w:noProof/>
        </w:rPr>
        <w:t>28</w:t>
      </w:r>
      <w:r>
        <w:fldChar w:fldCharType="end"/>
      </w:r>
      <w:r w:rsidR="00BF63F5">
        <w:t xml:space="preserve"> </w:t>
      </w:r>
      <w:r w:rsidR="00C82D4B">
        <w:t xml:space="preserve">shows </w:t>
      </w:r>
      <w:r w:rsidR="00483EE6">
        <w:t>the distribution of t</w:t>
      </w:r>
      <w:r w:rsidR="00E14572">
        <w:t xml:space="preserve">he total cost per </w:t>
      </w:r>
      <w:r w:rsidR="001F66B8">
        <w:t>OOS</w:t>
      </w:r>
      <w:r w:rsidR="00F2376F">
        <w:t xml:space="preserve"> </w:t>
      </w:r>
      <w:r w:rsidR="00E14572">
        <w:t xml:space="preserve">across </w:t>
      </w:r>
      <w:r w:rsidR="009C5F0B">
        <w:t>services</w:t>
      </w:r>
      <w:r w:rsidR="00C82CC4">
        <w:t>.</w:t>
      </w:r>
      <w:r w:rsidR="008C3EAA">
        <w:t xml:space="preserve"> </w:t>
      </w:r>
      <w:r w:rsidR="00497AFA">
        <w:t>There</w:t>
      </w:r>
      <w:r w:rsidR="009C5F0B">
        <w:t xml:space="preserve"> are </w:t>
      </w:r>
      <w:r w:rsidR="0016024A">
        <w:t>a number of</w:t>
      </w:r>
      <w:r w:rsidR="009C5F0B">
        <w:t xml:space="preserve"> </w:t>
      </w:r>
      <w:r w:rsidR="00DC2AB9">
        <w:t>services</w:t>
      </w:r>
      <w:r w:rsidR="00633402">
        <w:t xml:space="preserve"> with </w:t>
      </w:r>
      <w:r w:rsidR="00A3798E">
        <w:t>considerably higher</w:t>
      </w:r>
      <w:r w:rsidR="00633402">
        <w:t xml:space="preserve"> cost per </w:t>
      </w:r>
      <w:r w:rsidR="001F66B8">
        <w:t>OOS</w:t>
      </w:r>
      <w:r w:rsidR="00A3798E">
        <w:t>.</w:t>
      </w:r>
      <w:r w:rsidR="009C5F0B">
        <w:t xml:space="preserve"> </w:t>
      </w:r>
      <w:r w:rsidR="003167CE">
        <w:t xml:space="preserve">Ten </w:t>
      </w:r>
      <w:r w:rsidR="00DC2AB9">
        <w:t>services</w:t>
      </w:r>
      <w:r w:rsidR="00633402">
        <w:t xml:space="preserve"> </w:t>
      </w:r>
      <w:r w:rsidR="00815018">
        <w:t xml:space="preserve">had the </w:t>
      </w:r>
      <w:r w:rsidR="00633402">
        <w:t xml:space="preserve">total cost per </w:t>
      </w:r>
      <w:r w:rsidR="001F66B8">
        <w:t>OOS</w:t>
      </w:r>
      <w:r w:rsidR="00633402">
        <w:t xml:space="preserve"> </w:t>
      </w:r>
      <w:r w:rsidR="00791681">
        <w:t>over</w:t>
      </w:r>
      <w:r w:rsidR="00633402">
        <w:t xml:space="preserve"> twice </w:t>
      </w:r>
      <w:r w:rsidR="00DC2AB9">
        <w:t>the average</w:t>
      </w:r>
      <w:r w:rsidR="009530FE">
        <w:t xml:space="preserve"> (over $</w:t>
      </w:r>
      <w:r w:rsidR="00214F28">
        <w:t>62</w:t>
      </w:r>
      <w:r w:rsidR="009530FE">
        <w:t>0)</w:t>
      </w:r>
      <w:r w:rsidR="00DC2AB9">
        <w:t xml:space="preserve">, among which </w:t>
      </w:r>
      <w:r w:rsidR="00214F28">
        <w:t xml:space="preserve">three </w:t>
      </w:r>
      <w:r w:rsidR="0090139E">
        <w:t xml:space="preserve">services </w:t>
      </w:r>
      <w:r w:rsidR="00815018">
        <w:t xml:space="preserve">had </w:t>
      </w:r>
      <w:r w:rsidR="0090139E">
        <w:t xml:space="preserve">the total cost per episode </w:t>
      </w:r>
      <w:r w:rsidR="00791681">
        <w:t>more than</w:t>
      </w:r>
      <w:r w:rsidR="0090139E">
        <w:t xml:space="preserve"> three times </w:t>
      </w:r>
      <w:r w:rsidR="005C50DA">
        <w:t>the average</w:t>
      </w:r>
      <w:r w:rsidR="00977325">
        <w:t xml:space="preserve"> (over $</w:t>
      </w:r>
      <w:r w:rsidR="00214F28">
        <w:t>1,000</w:t>
      </w:r>
      <w:r w:rsidR="00977325">
        <w:t>).</w:t>
      </w:r>
    </w:p>
    <w:p w14:paraId="49B1867A" w14:textId="3F66462E" w:rsidR="00E301DA" w:rsidRPr="00E301DA" w:rsidRDefault="00684F20" w:rsidP="00E301DA">
      <w:pPr>
        <w:pStyle w:val="Caption"/>
      </w:pPr>
      <w:bookmarkStart w:id="134" w:name="_Ref94194370"/>
      <w:bookmarkStart w:id="135" w:name="_Ref94779372"/>
      <w:bookmarkStart w:id="136" w:name="_Ref94779367"/>
      <w:bookmarkStart w:id="137" w:name="_Toc108109213"/>
      <w:r>
        <w:t xml:space="preserve">Figure </w:t>
      </w:r>
      <w:bookmarkEnd w:id="134"/>
      <w:r w:rsidR="00A8008D">
        <w:fldChar w:fldCharType="begin"/>
      </w:r>
      <w:r w:rsidR="00A8008D">
        <w:instrText xml:space="preserve"> SEQ Figure \* ARABIC </w:instrText>
      </w:r>
      <w:r w:rsidR="00A8008D">
        <w:fldChar w:fldCharType="separate"/>
      </w:r>
      <w:r w:rsidR="00CC0438">
        <w:rPr>
          <w:noProof/>
        </w:rPr>
        <w:t>28</w:t>
      </w:r>
      <w:r w:rsidR="00A8008D">
        <w:fldChar w:fldCharType="end"/>
      </w:r>
      <w:bookmarkEnd w:id="135"/>
      <w:r>
        <w:t xml:space="preserve">: Distribution of the </w:t>
      </w:r>
      <w:r w:rsidR="0018091A">
        <w:t>total</w:t>
      </w:r>
      <w:r>
        <w:t xml:space="preserve"> cost per </w:t>
      </w:r>
      <w:bookmarkEnd w:id="136"/>
      <w:r w:rsidR="001F66B8">
        <w:t>OOS</w:t>
      </w:r>
      <w:r w:rsidR="00DB7900">
        <w:t xml:space="preserve"> </w:t>
      </w:r>
      <w:r w:rsidR="00224E24">
        <w:t xml:space="preserve">by headspace service </w:t>
      </w:r>
      <w:r w:rsidR="00DB7900">
        <w:t>during 2019-20</w:t>
      </w:r>
      <w:bookmarkEnd w:id="137"/>
    </w:p>
    <w:p w14:paraId="3F4A5537" w14:textId="5BB91F45" w:rsidR="00FE6497" w:rsidRPr="00FE6497" w:rsidRDefault="003F598A" w:rsidP="00855A69">
      <w:r>
        <w:rPr>
          <w:noProof/>
        </w:rPr>
        <w:drawing>
          <wp:inline distT="0" distB="0" distL="0" distR="0" wp14:anchorId="0F59EF97" wp14:editId="18613E38">
            <wp:extent cx="5036820" cy="3238500"/>
            <wp:effectExtent l="0" t="0" r="0" b="0"/>
            <wp:docPr id="97" name="Picture 97" descr="Figure 28 is a column chart that summarises the average cost per occasion of service delivered by each headspace service. &#10;5 headspace services had a cost of between $100 and $200 per occasion of service&#10;48 headspace services had a cost of between $200 and $300 per occasion of service &#10;28 headspace services had a cost of between $300 and $400 per occasion of service&#10;14 headspace services had a cost of between $400 and $500 per occasion of service &#10;7 headspace services had a cost of between $500 and $600 per occasion of service&#10;3 headspace services had a cost of between $600 and $700 per occasion of service&#10;1 headspace service had a cost of between $700 and $800 per occasion of service&#10;2 headspace services had a cost of between $800 and $900 per occasion of service&#10;1 headspace service had a cost of between $900 and $1,000 per occasion of service&#10;1 headspace service had a cost of between $1,000 and $1,100 per occasion of service&#10;1 headspace service had a cost of between $1,200 and $1,300 per occasion of service&#10;1 headspace service had a cost of between $1,500 and $1,600 per occasion of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Figure 28 is a column chart that summarises the average cost per occasion of service delivered by each headspace service. &#10;5 headspace services had a cost of between $100 and $200 per occasion of service&#10;48 headspace services had a cost of between $200 and $300 per occasion of service &#10;28 headspace services had a cost of between $300 and $400 per occasion of service&#10;14 headspace services had a cost of between $400 and $500 per occasion of service &#10;7 headspace services had a cost of between $500 and $600 per occasion of service&#10;3 headspace services had a cost of between $600 and $700 per occasion of service&#10;1 headspace service had a cost of between $700 and $800 per occasion of service&#10;2 headspace services had a cost of between $800 and $900 per occasion of service&#10;1 headspace service had a cost of between $900 and $1,000 per occasion of service&#10;1 headspace service had a cost of between $1,000 and $1,100 per occasion of service&#10;1 headspace service had a cost of between $1,200 and $1,300 per occasion of service&#10;1 headspace service had a cost of between $1,500 and $1,600 per occasion of service&#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6820" cy="3238500"/>
                    </a:xfrm>
                    <a:prstGeom prst="rect">
                      <a:avLst/>
                    </a:prstGeom>
                    <a:noFill/>
                    <a:ln>
                      <a:noFill/>
                    </a:ln>
                  </pic:spPr>
                </pic:pic>
              </a:graphicData>
            </a:graphic>
          </wp:inline>
        </w:drawing>
      </w:r>
    </w:p>
    <w:p w14:paraId="02E48528" w14:textId="6FA82FB3" w:rsidR="00813C64" w:rsidRPr="00CF2E3E" w:rsidRDefault="00813C64" w:rsidP="00813C64">
      <w:pPr>
        <w:pStyle w:val="Source"/>
        <w:rPr>
          <w:szCs w:val="16"/>
        </w:rPr>
      </w:pPr>
      <w:r w:rsidRPr="00055013">
        <w:rPr>
          <w:szCs w:val="16"/>
        </w:rPr>
        <w:t xml:space="preserve">Source: KPMG analysis of the </w:t>
      </w:r>
      <w:r>
        <w:rPr>
          <w:szCs w:val="16"/>
        </w:rPr>
        <w:t>total cost dataset</w:t>
      </w:r>
    </w:p>
    <w:p w14:paraId="4B99C8EF" w14:textId="46A968E3" w:rsidR="003133F7" w:rsidRDefault="00813C64" w:rsidP="003133F7">
      <w:pPr>
        <w:pStyle w:val="Source"/>
      </w:pPr>
      <w:r w:rsidRPr="00CF2E3E">
        <w:rPr>
          <w:szCs w:val="16"/>
        </w:rPr>
        <w:t xml:space="preserve">Notes: See </w:t>
      </w:r>
      <w:r w:rsidR="001D1D34">
        <w:rPr>
          <w:szCs w:val="16"/>
        </w:rPr>
        <w:fldChar w:fldCharType="begin" w:fldLock="1"/>
      </w:r>
      <w:r w:rsidR="001D1D34">
        <w:rPr>
          <w:szCs w:val="16"/>
        </w:rPr>
        <w:instrText xml:space="preserve"> REF _Ref98402466 \r \h </w:instrText>
      </w:r>
      <w:r w:rsidR="001D1D34">
        <w:rPr>
          <w:szCs w:val="16"/>
        </w:rPr>
      </w:r>
      <w:r w:rsidR="001D1D34">
        <w:rPr>
          <w:szCs w:val="16"/>
        </w:rPr>
        <w:fldChar w:fldCharType="separate"/>
      </w:r>
      <w:r w:rsidR="00AE4D34">
        <w:rPr>
          <w:szCs w:val="16"/>
        </w:rPr>
        <w:t>Appendix F</w:t>
      </w:r>
      <w:r w:rsidR="001D1D34">
        <w:rPr>
          <w:szCs w:val="16"/>
        </w:rPr>
        <w:fldChar w:fldCharType="end"/>
      </w:r>
      <w:r w:rsidRPr="00CF2E3E">
        <w:rPr>
          <w:szCs w:val="16"/>
        </w:rPr>
        <w:t xml:space="preserve"> for detailed exclusion criteria.</w:t>
      </w:r>
      <w:r>
        <w:rPr>
          <w:szCs w:val="16"/>
        </w:rPr>
        <w:t xml:space="preserve"> The sample includes 112 services delivering 401,325 </w:t>
      </w:r>
      <w:r w:rsidR="001F66B8">
        <w:rPr>
          <w:szCs w:val="16"/>
        </w:rPr>
        <w:t>OOS</w:t>
      </w:r>
      <w:r>
        <w:rPr>
          <w:szCs w:val="16"/>
        </w:rPr>
        <w:t>.</w:t>
      </w:r>
    </w:p>
    <w:p w14:paraId="60260F99" w14:textId="6C299FDC" w:rsidR="00CD21F1" w:rsidRDefault="00241C32" w:rsidP="00ED3129">
      <w:pPr>
        <w:pStyle w:val="Heading4"/>
      </w:pPr>
      <w:r>
        <w:t xml:space="preserve">The cost of </w:t>
      </w:r>
      <w:r w:rsidR="00F736DD">
        <w:t xml:space="preserve">operating and providing treatment at </w:t>
      </w:r>
      <w:r>
        <w:t>headspace</w:t>
      </w:r>
    </w:p>
    <w:p w14:paraId="5E06AEBE" w14:textId="77777777" w:rsidR="00241C32" w:rsidRDefault="00241C32" w:rsidP="00683AD4">
      <w:pPr>
        <w:pStyle w:val="BodyText"/>
      </w:pPr>
      <w:r>
        <w:t>Commonwealth funding through the national headspace grant continues to make the largest contribution to delivering headspace. Under the current funding model, all services receive relatively similar annual funding amounts regardless of the volume of services they deliver.</w:t>
      </w:r>
    </w:p>
    <w:p w14:paraId="416A8737" w14:textId="77777777" w:rsidR="00241C32" w:rsidRDefault="00241C32" w:rsidP="00683AD4">
      <w:pPr>
        <w:pStyle w:val="BodyText"/>
      </w:pPr>
      <w:r>
        <w:t xml:space="preserve">MBS payments make the next most sizeable contribution, however this varies widely by service with higher volume services more likely to use private providers billed through the MBS. This aligns to the challenges reported by rural and regional services in attracting private practitioners and GPs into the headspace model. </w:t>
      </w:r>
    </w:p>
    <w:p w14:paraId="4D5B11CC" w14:textId="36F61CA5" w:rsidR="00945713" w:rsidRPr="00945713" w:rsidRDefault="00241C32" w:rsidP="00CB0B98">
      <w:pPr>
        <w:pStyle w:val="BodyText"/>
      </w:pPr>
      <w:r>
        <w:t xml:space="preserve">A range of alternative funding is also obtained from PHNs, state and </w:t>
      </w:r>
      <w:r w:rsidR="00B81994">
        <w:t>Commonwealth</w:t>
      </w:r>
      <w:r>
        <w:t xml:space="preserve"> government</w:t>
      </w:r>
      <w:r w:rsidR="00D9111F">
        <w:t>s</w:t>
      </w:r>
      <w:r>
        <w:t xml:space="preserve">, in-kind and private donations, however these represent only a small fraction of the costs of delivering headspace. Out-of-pocket costs were only paid in 2.1 per cent of </w:t>
      </w:r>
      <w:r w:rsidR="001D7C4E">
        <w:t>OOS</w:t>
      </w:r>
      <w:r>
        <w:t>, in line with the intention that the model provides accessible, low or no cost service to young people.</w:t>
      </w:r>
    </w:p>
    <w:p w14:paraId="2C03679F" w14:textId="05DFF27C" w:rsidR="0008458C" w:rsidRDefault="0008458C" w:rsidP="0008458C">
      <w:pPr>
        <w:pStyle w:val="BodyText"/>
      </w:pPr>
      <w:r>
        <w:t xml:space="preserve">Overall, 112 headspace services included in the 2019-20 cost analysis delivered 401,325 </w:t>
      </w:r>
      <w:r w:rsidR="001F66B8">
        <w:t>OOS</w:t>
      </w:r>
      <w:r>
        <w:t xml:space="preserve"> at a cost of $123.3 million. The average cost per </w:t>
      </w:r>
      <w:r w:rsidR="001F66B8">
        <w:t>OOS</w:t>
      </w:r>
      <w:r>
        <w:t xml:space="preserve"> was approximately $307. The average direct cost per </w:t>
      </w:r>
      <w:r w:rsidR="001F66B8">
        <w:t>OOS</w:t>
      </w:r>
      <w:r>
        <w:t xml:space="preserve"> was $230</w:t>
      </w:r>
      <w:r w:rsidR="00371347">
        <w:t xml:space="preserve">, which is </w:t>
      </w:r>
      <w:r w:rsidR="00915F83">
        <w:t>twice as much as the MBS fee (and any out-of-pocket costs) for a typical mental health session</w:t>
      </w:r>
      <w:r w:rsidR="00CC0438">
        <w:rPr>
          <w:rFonts w:ascii="ZWAdobeF" w:hAnsi="ZWAdobeF" w:cs="ZWAdobeF"/>
          <w:sz w:val="2"/>
          <w:szCs w:val="2"/>
        </w:rPr>
        <w:t>141F</w:t>
      </w:r>
      <w:r w:rsidR="00915F83">
        <w:rPr>
          <w:rStyle w:val="FootnoteReference"/>
        </w:rPr>
        <w:footnoteReference w:id="143"/>
      </w:r>
      <w:r w:rsidR="00371347">
        <w:t>.</w:t>
      </w:r>
      <w:r w:rsidR="00BD4B86">
        <w:t xml:space="preserve"> </w:t>
      </w:r>
      <w:r w:rsidR="00915F83">
        <w:t xml:space="preserve">However, the average direct cost per </w:t>
      </w:r>
      <w:r w:rsidR="006E7DB0">
        <w:t>O</w:t>
      </w:r>
      <w:r w:rsidR="003C1E68">
        <w:t>O</w:t>
      </w:r>
      <w:r w:rsidR="006E7DB0">
        <w:t>S</w:t>
      </w:r>
      <w:r w:rsidR="00915F83">
        <w:t xml:space="preserve"> is slightly lower than the </w:t>
      </w:r>
      <w:r w:rsidR="006E6517">
        <w:t>A</w:t>
      </w:r>
      <w:r w:rsidR="00FF7E0A">
        <w:t>ustralian Psychological Society’s</w:t>
      </w:r>
      <w:r w:rsidR="00915F83" w:rsidRPr="008E6121">
        <w:t xml:space="preserve"> </w:t>
      </w:r>
      <w:r w:rsidR="00915F83">
        <w:t>recommended fee for a 46 to 60 minute session of $260</w:t>
      </w:r>
      <w:r w:rsidR="00CC0438">
        <w:rPr>
          <w:rFonts w:ascii="ZWAdobeF" w:hAnsi="ZWAdobeF" w:cs="ZWAdobeF"/>
          <w:sz w:val="2"/>
          <w:szCs w:val="2"/>
        </w:rPr>
        <w:t>142F</w:t>
      </w:r>
      <w:r w:rsidR="00915F83">
        <w:rPr>
          <w:rStyle w:val="FootnoteReference"/>
        </w:rPr>
        <w:footnoteReference w:id="144"/>
      </w:r>
      <w:r w:rsidR="003C556F">
        <w:t>.</w:t>
      </w:r>
    </w:p>
    <w:p w14:paraId="133E3D7F" w14:textId="6CDFD163" w:rsidR="00CD21F1" w:rsidRDefault="00241C32" w:rsidP="006B7096">
      <w:pPr>
        <w:pStyle w:val="BodyText"/>
      </w:pPr>
      <w:r>
        <w:t>In the devolved governance model, the full costs of delivering headspace are not measured or collected centrally. It proved particularly difficult to obtain reliable and comprehensive data on in-kind contributions and other funding of indirect costs</w:t>
      </w:r>
      <w:r w:rsidR="00CD21F1">
        <w:t>.</w:t>
      </w:r>
      <w:r w:rsidR="00CD21F1" w:rsidDel="001A5014">
        <w:t xml:space="preserve"> </w:t>
      </w:r>
    </w:p>
    <w:p w14:paraId="6170A305" w14:textId="6D53CA20" w:rsidR="00E44999" w:rsidRPr="00E44999" w:rsidRDefault="00E44999" w:rsidP="00E44999">
      <w:pPr>
        <w:pStyle w:val="BodyText"/>
        <w:rPr>
          <w:b/>
          <w:bCs/>
        </w:rPr>
      </w:pPr>
      <w:r w:rsidRPr="00E44999">
        <w:rPr>
          <w:b/>
          <w:bCs/>
        </w:rPr>
        <w:t>The national headspace grant makes the largest contribution to delivering headspace, followed by MBS payments. Overall, the total cost for the 112 services included in the cost analysis was $123.3 million, resulting in an average direct cost per OOS of $230.</w:t>
      </w:r>
    </w:p>
    <w:p w14:paraId="2E94DE73" w14:textId="087FB64F" w:rsidR="00CD423D" w:rsidRDefault="00D455CB" w:rsidP="00CD423D">
      <w:pPr>
        <w:pStyle w:val="Heading2"/>
      </w:pPr>
      <w:bookmarkStart w:id="138" w:name="_Ref98316825"/>
      <w:bookmarkStart w:id="139" w:name="_Toc108173985"/>
      <w:r>
        <w:t>Economic evaluation</w:t>
      </w:r>
      <w:r w:rsidR="00CD423D">
        <w:t xml:space="preserve"> of service</w:t>
      </w:r>
      <w:r w:rsidR="0046127B">
        <w:t>s provided by headspace</w:t>
      </w:r>
      <w:bookmarkEnd w:id="138"/>
      <w:bookmarkEnd w:id="139"/>
      <w:r w:rsidR="00CD423D">
        <w:t xml:space="preserve"> </w:t>
      </w:r>
    </w:p>
    <w:p w14:paraId="43DFD578" w14:textId="77777777" w:rsidR="00CD423D" w:rsidRPr="000C7BBD" w:rsidRDefault="00DA186E" w:rsidP="003941C8">
      <w:pPr>
        <w:pStyle w:val="Heading3"/>
      </w:pPr>
      <w:bookmarkStart w:id="140" w:name="_Ref94195867"/>
      <w:r>
        <w:t>How cost</w:t>
      </w:r>
      <w:r w:rsidR="00987370">
        <w:t>-</w:t>
      </w:r>
      <w:r>
        <w:t>effective is headspace?</w:t>
      </w:r>
      <w:bookmarkEnd w:id="140"/>
    </w:p>
    <w:p w14:paraId="7505DD37" w14:textId="77777777" w:rsidR="00B7261C" w:rsidRPr="003E78E8" w:rsidRDefault="00B7261C" w:rsidP="00B7261C">
      <w:pPr>
        <w:pStyle w:val="Heading4"/>
      </w:pPr>
      <w:r>
        <w:t>Economic evaluation aims</w:t>
      </w:r>
    </w:p>
    <w:p w14:paraId="7D048E13" w14:textId="1DF4815C" w:rsidR="00B7261C" w:rsidRDefault="00B7261C" w:rsidP="00B7261C">
      <w:pPr>
        <w:pStyle w:val="BodyText"/>
      </w:pPr>
      <w:bookmarkStart w:id="141" w:name="_Ref93922521"/>
      <w:r w:rsidRPr="003F31A4">
        <w:t xml:space="preserve">This economic evaluation aims to present a transparent, acceptable and robust assessment of costs and outcomes of headspace activity compared to a plausibly defined situation in which </w:t>
      </w:r>
      <w:r w:rsidR="00825A23">
        <w:t>headspace</w:t>
      </w:r>
      <w:r w:rsidRPr="003F31A4">
        <w:t xml:space="preserve"> is absent from the sector. The evaluation aims to reflect all pivotal considerations concerning </w:t>
      </w:r>
      <w:r w:rsidR="00825A23">
        <w:t>headspace</w:t>
      </w:r>
      <w:r w:rsidRPr="003F31A4">
        <w:t xml:space="preserve"> activity, even </w:t>
      </w:r>
      <w:r w:rsidR="00B24A04" w:rsidRPr="003F31A4">
        <w:t>if</w:t>
      </w:r>
      <w:r w:rsidRPr="003F31A4">
        <w:t xml:space="preserve"> these considerations are necessarily implemented in a simplified way. Such simplifications are inherent to any modelling exercise and dictated by limitations of data and evidence available to evaluators. However, it is essential that main aspects and implications of </w:t>
      </w:r>
      <w:r w:rsidR="00825A23">
        <w:t>headspace</w:t>
      </w:r>
      <w:r w:rsidRPr="003F31A4">
        <w:t xml:space="preserve"> activity are accounted for. This includes modelling the services provided, their effects, proportions of clients accessing different types of services, and the consequences of not accessing such services. The evaluation also aims to present outcomes in a format that will be most suitable to inform decision making. </w:t>
      </w:r>
    </w:p>
    <w:p w14:paraId="7D91D70A" w14:textId="6D7E3FF1" w:rsidR="00B7261C" w:rsidRDefault="00B7261C" w:rsidP="00B7261C">
      <w:pPr>
        <w:pStyle w:val="BodyText"/>
      </w:pPr>
      <w:r>
        <w:t xml:space="preserve">A summary of the approach to economic evaluation is presented in </w:t>
      </w:r>
      <w:r>
        <w:fldChar w:fldCharType="begin" w:fldLock="1"/>
      </w:r>
      <w:r>
        <w:instrText xml:space="preserve"> REF _Ref104893661 \h </w:instrText>
      </w:r>
      <w:r>
        <w:fldChar w:fldCharType="separate"/>
      </w:r>
      <w:r w:rsidR="006C1065">
        <w:t xml:space="preserve">Table </w:t>
      </w:r>
      <w:r w:rsidR="006C1065">
        <w:rPr>
          <w:noProof/>
        </w:rPr>
        <w:t>18</w:t>
      </w:r>
      <w:r>
        <w:fldChar w:fldCharType="end"/>
      </w:r>
      <w:r>
        <w:t xml:space="preserve"> below, with further details of the methodology provided in </w:t>
      </w:r>
      <w:r>
        <w:fldChar w:fldCharType="begin" w:fldLock="1"/>
      </w:r>
      <w:r>
        <w:instrText xml:space="preserve"> REF _Ref93922171 \n \h </w:instrText>
      </w:r>
      <w:r>
        <w:fldChar w:fldCharType="separate"/>
      </w:r>
      <w:r w:rsidR="006C1065">
        <w:t>Appendix K</w:t>
      </w:r>
      <w:r>
        <w:fldChar w:fldCharType="end"/>
      </w:r>
      <w:r>
        <w:t xml:space="preserve">. </w:t>
      </w:r>
      <w:r w:rsidR="001E5ADF">
        <w:t>Key limitations</w:t>
      </w:r>
      <w:r w:rsidR="00D36474">
        <w:t xml:space="preserve"> of the economic evaluation have been identified and summarised in </w:t>
      </w:r>
      <w:r w:rsidR="00D36474">
        <w:fldChar w:fldCharType="begin" w:fldLock="1"/>
      </w:r>
      <w:r w:rsidR="00D36474">
        <w:instrText xml:space="preserve"> REF _Ref104971146 \r \h </w:instrText>
      </w:r>
      <w:r w:rsidR="00D36474">
        <w:fldChar w:fldCharType="separate"/>
      </w:r>
      <w:r w:rsidR="006C1065">
        <w:t>Appendix K</w:t>
      </w:r>
      <w:r w:rsidR="00D36474">
        <w:fldChar w:fldCharType="end"/>
      </w:r>
      <w:r w:rsidR="00D36474">
        <w:t>.</w:t>
      </w:r>
      <w:r>
        <w:t xml:space="preserve"> Key points to note include:</w:t>
      </w:r>
    </w:p>
    <w:p w14:paraId="5EF3A327" w14:textId="5F9F935E" w:rsidR="00B7261C" w:rsidRDefault="00B7261C" w:rsidP="00B7261C">
      <w:pPr>
        <w:pStyle w:val="Caption"/>
      </w:pPr>
      <w:bookmarkStart w:id="142" w:name="_Ref104893661"/>
      <w:bookmarkStart w:id="143" w:name="_Toc108108968"/>
      <w:r>
        <w:t xml:space="preserve">Table </w:t>
      </w:r>
      <w:r>
        <w:fldChar w:fldCharType="begin"/>
      </w:r>
      <w:r>
        <w:instrText>SEQ Table \* ARABIC</w:instrText>
      </w:r>
      <w:r>
        <w:fldChar w:fldCharType="separate"/>
      </w:r>
      <w:r w:rsidR="00CC0438">
        <w:rPr>
          <w:noProof/>
        </w:rPr>
        <w:t>18</w:t>
      </w:r>
      <w:r>
        <w:fldChar w:fldCharType="end"/>
      </w:r>
      <w:bookmarkEnd w:id="141"/>
      <w:bookmarkEnd w:id="142"/>
      <w:r>
        <w:t xml:space="preserve">: </w:t>
      </w:r>
      <w:r w:rsidR="00D051EC">
        <w:t>Overview of e</w:t>
      </w:r>
      <w:r w:rsidR="00D051EC" w:rsidRPr="007258BD">
        <w:t xml:space="preserve">conomic </w:t>
      </w:r>
      <w:r w:rsidRPr="007258BD">
        <w:t>evaluation</w:t>
      </w:r>
      <w:bookmarkEnd w:id="143"/>
      <w:r w:rsidRPr="007258BD">
        <w:t xml:space="preserve"> </w:t>
      </w:r>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Overview of economic evaluation"/>
        <w:tblDescription w:val="Table 18 has 2 columns describing the parameters used within the economic evaluation. Column 1 lists the specific evaluation parameters, and Column 2 summarises the value used for each evaluation parameter."/>
      </w:tblPr>
      <w:tblGrid>
        <w:gridCol w:w="2410"/>
        <w:gridCol w:w="6662"/>
      </w:tblGrid>
      <w:tr w:rsidR="00B7261C" w14:paraId="49019452" w14:textId="77777777" w:rsidTr="00051AD7">
        <w:trPr>
          <w:tblHeader/>
        </w:trPr>
        <w:tc>
          <w:tcPr>
            <w:tcW w:w="2410" w:type="dxa"/>
            <w:shd w:val="clear" w:color="auto" w:fill="00338D"/>
          </w:tcPr>
          <w:p w14:paraId="3C2AB51C" w14:textId="77777777" w:rsidR="00B7261C" w:rsidRPr="002A036F" w:rsidRDefault="00B7261C" w:rsidP="00940BB2">
            <w:pPr>
              <w:pStyle w:val="Tableheading"/>
            </w:pPr>
            <w:r w:rsidRPr="002A036F">
              <w:t>Evaluation parameter</w:t>
            </w:r>
          </w:p>
        </w:tc>
        <w:tc>
          <w:tcPr>
            <w:tcW w:w="6662" w:type="dxa"/>
            <w:shd w:val="clear" w:color="auto" w:fill="00338D"/>
          </w:tcPr>
          <w:p w14:paraId="4D72D27B" w14:textId="77777777" w:rsidR="00B7261C" w:rsidRPr="002A036F" w:rsidRDefault="00B7261C" w:rsidP="00940BB2">
            <w:pPr>
              <w:pStyle w:val="Tableheading"/>
            </w:pPr>
            <w:r w:rsidRPr="002A036F">
              <w:t>Value</w:t>
            </w:r>
          </w:p>
        </w:tc>
      </w:tr>
      <w:tr w:rsidR="00B7261C" w14:paraId="59474D15" w14:textId="77777777" w:rsidTr="00051AD7">
        <w:tc>
          <w:tcPr>
            <w:tcW w:w="2410" w:type="dxa"/>
          </w:tcPr>
          <w:p w14:paraId="5CA3ED3F" w14:textId="77777777" w:rsidR="00B7261C" w:rsidRDefault="00B7261C" w:rsidP="00940BB2">
            <w:pPr>
              <w:pStyle w:val="Tabletext"/>
            </w:pPr>
            <w:r>
              <w:t>Type</w:t>
            </w:r>
          </w:p>
        </w:tc>
        <w:tc>
          <w:tcPr>
            <w:tcW w:w="6662" w:type="dxa"/>
          </w:tcPr>
          <w:p w14:paraId="17D17377" w14:textId="67EEC884" w:rsidR="00B7261C" w:rsidRDefault="00B7261C" w:rsidP="00940BB2">
            <w:pPr>
              <w:pStyle w:val="Tabletext"/>
            </w:pPr>
            <w:r w:rsidRPr="00C36B67">
              <w:t>Cost-effectiveness analysis</w:t>
            </w:r>
            <w:r w:rsidR="005829ED">
              <w:t>.</w:t>
            </w:r>
          </w:p>
        </w:tc>
      </w:tr>
      <w:tr w:rsidR="00B7261C" w14:paraId="05973B0B" w14:textId="77777777" w:rsidTr="00051AD7">
        <w:tc>
          <w:tcPr>
            <w:tcW w:w="2410" w:type="dxa"/>
          </w:tcPr>
          <w:p w14:paraId="1F6508F4" w14:textId="77777777" w:rsidR="00B7261C" w:rsidRDefault="00B7261C" w:rsidP="00940BB2">
            <w:pPr>
              <w:pStyle w:val="Tabletext"/>
            </w:pPr>
            <w:r>
              <w:t>Model population</w:t>
            </w:r>
          </w:p>
        </w:tc>
        <w:tc>
          <w:tcPr>
            <w:tcW w:w="6662" w:type="dxa"/>
          </w:tcPr>
          <w:p w14:paraId="021548D1" w14:textId="6411A6AB" w:rsidR="00B7261C" w:rsidRDefault="00B7261C" w:rsidP="00940BB2">
            <w:pPr>
              <w:pStyle w:val="Tabletext"/>
            </w:pPr>
            <w:r>
              <w:t xml:space="preserve">Young persons with mild to moderate mental health needs that fall within the scope of services correspondingly provided by </w:t>
            </w:r>
            <w:r w:rsidR="00825A23">
              <w:t>headspace</w:t>
            </w:r>
            <w:r w:rsidR="00C74D32">
              <w:t xml:space="preserve"> (consistent with the target population for headspace services)</w:t>
            </w:r>
            <w:r>
              <w:t>.</w:t>
            </w:r>
          </w:p>
        </w:tc>
      </w:tr>
      <w:tr w:rsidR="00B7261C" w14:paraId="2931B7D7" w14:textId="77777777" w:rsidTr="00051AD7">
        <w:tc>
          <w:tcPr>
            <w:tcW w:w="2410" w:type="dxa"/>
          </w:tcPr>
          <w:p w14:paraId="15C0C28F" w14:textId="77777777" w:rsidR="00B7261C" w:rsidRDefault="00B7261C" w:rsidP="00940BB2">
            <w:pPr>
              <w:pStyle w:val="Tabletext"/>
            </w:pPr>
            <w:r>
              <w:t>Intervention</w:t>
            </w:r>
          </w:p>
        </w:tc>
        <w:tc>
          <w:tcPr>
            <w:tcW w:w="6662" w:type="dxa"/>
          </w:tcPr>
          <w:p w14:paraId="1EF49CD7" w14:textId="4D84DD01" w:rsidR="00B7261C" w:rsidRDefault="00B7261C" w:rsidP="00940BB2">
            <w:pPr>
              <w:pStyle w:val="Tabletext"/>
            </w:pPr>
            <w:r>
              <w:t>headspace program</w:t>
            </w:r>
            <w:r w:rsidR="005829ED">
              <w:t>.</w:t>
            </w:r>
          </w:p>
        </w:tc>
      </w:tr>
      <w:tr w:rsidR="00B7261C" w14:paraId="1A3578D7" w14:textId="77777777" w:rsidTr="00051AD7">
        <w:tc>
          <w:tcPr>
            <w:tcW w:w="2410" w:type="dxa"/>
          </w:tcPr>
          <w:p w14:paraId="73667920" w14:textId="77777777" w:rsidR="00B7261C" w:rsidRDefault="00B7261C" w:rsidP="00940BB2">
            <w:pPr>
              <w:pStyle w:val="Tabletext"/>
            </w:pPr>
            <w:r>
              <w:t>Comparator</w:t>
            </w:r>
          </w:p>
        </w:tc>
        <w:tc>
          <w:tcPr>
            <w:tcW w:w="6662" w:type="dxa"/>
          </w:tcPr>
          <w:p w14:paraId="3D41A3CB" w14:textId="7D1F5197" w:rsidR="00B7261C" w:rsidRDefault="00B7261C" w:rsidP="00940BB2">
            <w:pPr>
              <w:pStyle w:val="Tabletext"/>
            </w:pPr>
            <w:r>
              <w:t xml:space="preserve">The world without </w:t>
            </w:r>
            <w:r w:rsidR="000C5A2C">
              <w:t>the headspace program</w:t>
            </w:r>
            <w:r w:rsidR="005829ED">
              <w:t>.</w:t>
            </w:r>
          </w:p>
        </w:tc>
      </w:tr>
      <w:tr w:rsidR="00B7261C" w14:paraId="35483064" w14:textId="77777777" w:rsidTr="00051AD7">
        <w:tc>
          <w:tcPr>
            <w:tcW w:w="2410" w:type="dxa"/>
          </w:tcPr>
          <w:p w14:paraId="10699EA2" w14:textId="77777777" w:rsidR="00B7261C" w:rsidRDefault="00B7261C" w:rsidP="00940BB2">
            <w:pPr>
              <w:pStyle w:val="Tabletext"/>
            </w:pPr>
            <w:r>
              <w:t>Outcomes</w:t>
            </w:r>
          </w:p>
        </w:tc>
        <w:tc>
          <w:tcPr>
            <w:tcW w:w="6662" w:type="dxa"/>
          </w:tcPr>
          <w:p w14:paraId="3EF76E1D" w14:textId="14AD579D" w:rsidR="00B7261C" w:rsidRDefault="00D06E0C" w:rsidP="00940BB2">
            <w:pPr>
              <w:pStyle w:val="Tabletext"/>
            </w:pPr>
            <w:r>
              <w:t>QALYs</w:t>
            </w:r>
            <w:r w:rsidR="00B7261C">
              <w:t>; Costs; Consequences of not receiving a mental health treatment.</w:t>
            </w:r>
          </w:p>
        </w:tc>
      </w:tr>
      <w:tr w:rsidR="00B7261C" w14:paraId="6C394A25" w14:textId="77777777" w:rsidTr="00051AD7">
        <w:tc>
          <w:tcPr>
            <w:tcW w:w="2410" w:type="dxa"/>
          </w:tcPr>
          <w:p w14:paraId="2D754EB6" w14:textId="77777777" w:rsidR="00B7261C" w:rsidRDefault="00B7261C" w:rsidP="00940BB2">
            <w:pPr>
              <w:pStyle w:val="Tabletext"/>
            </w:pPr>
            <w:r>
              <w:t>Methods</w:t>
            </w:r>
          </w:p>
        </w:tc>
        <w:tc>
          <w:tcPr>
            <w:tcW w:w="6662" w:type="dxa"/>
          </w:tcPr>
          <w:p w14:paraId="0859628E" w14:textId="77777777" w:rsidR="00B7261C" w:rsidRDefault="00B7261C" w:rsidP="00940BB2">
            <w:pPr>
              <w:pStyle w:val="Tabletext"/>
            </w:pPr>
            <w:r>
              <w:t>Decision tree;</w:t>
            </w:r>
          </w:p>
          <w:p w14:paraId="68268B2B" w14:textId="77777777" w:rsidR="00B7261C" w:rsidRDefault="00B7261C" w:rsidP="00940BB2">
            <w:pPr>
              <w:pStyle w:val="Tabletext"/>
            </w:pPr>
            <w:r>
              <w:t>K10 score to QALY conversion;</w:t>
            </w:r>
          </w:p>
          <w:p w14:paraId="29B5E98F" w14:textId="7B9CD38A" w:rsidR="00B7261C" w:rsidRDefault="00B7261C" w:rsidP="00940BB2">
            <w:pPr>
              <w:pStyle w:val="Tabletext"/>
            </w:pPr>
            <w:r>
              <w:t>Expected values approach to costs and health outcomes;</w:t>
            </w:r>
            <w:r w:rsidR="0099211A">
              <w:t xml:space="preserve"> and</w:t>
            </w:r>
          </w:p>
          <w:p w14:paraId="42CDCCDE" w14:textId="4A6C5DCD" w:rsidR="00B7261C" w:rsidRDefault="00B7261C" w:rsidP="00940BB2">
            <w:pPr>
              <w:pStyle w:val="Tabletext"/>
            </w:pPr>
            <w:r>
              <w:t>Extrapolation of gains in mental health outcomes</w:t>
            </w:r>
            <w:r w:rsidR="0099211A">
              <w:t>.</w:t>
            </w:r>
          </w:p>
        </w:tc>
      </w:tr>
      <w:tr w:rsidR="00B7261C" w14:paraId="6B54625D" w14:textId="77777777" w:rsidTr="00051AD7">
        <w:tc>
          <w:tcPr>
            <w:tcW w:w="2410" w:type="dxa"/>
          </w:tcPr>
          <w:p w14:paraId="6CDE640D" w14:textId="77777777" w:rsidR="00B7261C" w:rsidRDefault="00B7261C" w:rsidP="00940BB2">
            <w:pPr>
              <w:pStyle w:val="Tabletext"/>
            </w:pPr>
            <w:r>
              <w:t>Evaluation period</w:t>
            </w:r>
          </w:p>
        </w:tc>
        <w:tc>
          <w:tcPr>
            <w:tcW w:w="6662" w:type="dxa"/>
          </w:tcPr>
          <w:p w14:paraId="2AB1353E" w14:textId="2D56C1BF" w:rsidR="00B7261C" w:rsidRDefault="00B7261C" w:rsidP="00940BB2">
            <w:pPr>
              <w:pStyle w:val="Tabletext"/>
            </w:pPr>
            <w:r>
              <w:t>2019-20</w:t>
            </w:r>
            <w:r w:rsidR="001E044B">
              <w:t>.</w:t>
            </w:r>
          </w:p>
        </w:tc>
      </w:tr>
      <w:tr w:rsidR="00B7261C" w14:paraId="41C4160C" w14:textId="77777777" w:rsidTr="00051AD7">
        <w:tc>
          <w:tcPr>
            <w:tcW w:w="2410" w:type="dxa"/>
          </w:tcPr>
          <w:p w14:paraId="1F4E77A2" w14:textId="77777777" w:rsidR="00B7261C" w:rsidRDefault="00B7261C" w:rsidP="00940BB2">
            <w:pPr>
              <w:pStyle w:val="Tabletext"/>
            </w:pPr>
            <w:r>
              <w:t>Time horizon</w:t>
            </w:r>
          </w:p>
        </w:tc>
        <w:tc>
          <w:tcPr>
            <w:tcW w:w="6662" w:type="dxa"/>
          </w:tcPr>
          <w:p w14:paraId="2050406B" w14:textId="7739E3A3" w:rsidR="00B7261C" w:rsidRDefault="00B7261C" w:rsidP="00940BB2">
            <w:pPr>
              <w:pStyle w:val="Tabletext"/>
            </w:pPr>
            <w:r>
              <w:t>18 months</w:t>
            </w:r>
            <w:r w:rsidR="001E044B">
              <w:t>.</w:t>
            </w:r>
          </w:p>
        </w:tc>
      </w:tr>
      <w:tr w:rsidR="00B7261C" w14:paraId="50C126E3" w14:textId="77777777" w:rsidTr="00051AD7">
        <w:tc>
          <w:tcPr>
            <w:tcW w:w="2410" w:type="dxa"/>
          </w:tcPr>
          <w:p w14:paraId="1A8EA7A6" w14:textId="77777777" w:rsidR="00B7261C" w:rsidRDefault="00B7261C" w:rsidP="00940BB2">
            <w:pPr>
              <w:pStyle w:val="Tabletext"/>
            </w:pPr>
            <w:r>
              <w:t>Perspective</w:t>
            </w:r>
          </w:p>
        </w:tc>
        <w:tc>
          <w:tcPr>
            <w:tcW w:w="6662" w:type="dxa"/>
          </w:tcPr>
          <w:p w14:paraId="6DC2443F" w14:textId="18606E2B" w:rsidR="00B7261C" w:rsidRDefault="00B7261C" w:rsidP="00940BB2">
            <w:pPr>
              <w:pStyle w:val="Tabletext"/>
            </w:pPr>
            <w:r w:rsidRPr="00544A51">
              <w:t xml:space="preserve">Extended payer perspective (funder </w:t>
            </w:r>
            <w:r>
              <w:t xml:space="preserve">and </w:t>
            </w:r>
            <w:r w:rsidRPr="00544A51">
              <w:t>patient out-of-pocket</w:t>
            </w:r>
            <w:r>
              <w:t xml:space="preserve"> costs</w:t>
            </w:r>
            <w:r w:rsidRPr="00544A51">
              <w:t>)</w:t>
            </w:r>
            <w:r w:rsidR="001E044B">
              <w:t>.</w:t>
            </w:r>
          </w:p>
        </w:tc>
      </w:tr>
      <w:tr w:rsidR="00B7261C" w14:paraId="47A82A1D" w14:textId="77777777" w:rsidTr="00051AD7">
        <w:tc>
          <w:tcPr>
            <w:tcW w:w="2410" w:type="dxa"/>
            <w:tcBorders>
              <w:top w:val="single" w:sz="4" w:space="0" w:color="auto"/>
              <w:bottom w:val="single" w:sz="4" w:space="0" w:color="auto"/>
            </w:tcBorders>
          </w:tcPr>
          <w:p w14:paraId="5347479A" w14:textId="57989DCC" w:rsidR="00B7261C" w:rsidRDefault="006E2CF6" w:rsidP="00940BB2">
            <w:pPr>
              <w:pStyle w:val="Tabletext"/>
            </w:pPr>
            <w:r w:rsidRPr="00C117C9">
              <w:t>Discounting</w:t>
            </w:r>
          </w:p>
        </w:tc>
        <w:tc>
          <w:tcPr>
            <w:tcW w:w="6662" w:type="dxa"/>
            <w:tcBorders>
              <w:top w:val="single" w:sz="4" w:space="0" w:color="auto"/>
              <w:bottom w:val="single" w:sz="4" w:space="0" w:color="auto"/>
            </w:tcBorders>
          </w:tcPr>
          <w:p w14:paraId="7092B7F5" w14:textId="7B6634EB" w:rsidR="00B7261C" w:rsidRDefault="006E2CF6" w:rsidP="00940BB2">
            <w:pPr>
              <w:pStyle w:val="Tabletext"/>
            </w:pPr>
            <w:r w:rsidRPr="00C117C9">
              <w:t>5%</w:t>
            </w:r>
            <w:r w:rsidR="00CC0438">
              <w:rPr>
                <w:rFonts w:ascii="ZWAdobeF" w:hAnsi="ZWAdobeF" w:cs="ZWAdobeF"/>
                <w:sz w:val="2"/>
                <w:szCs w:val="2"/>
              </w:rPr>
              <w:t>143F</w:t>
            </w:r>
            <w:r w:rsidR="007C0097">
              <w:rPr>
                <w:rStyle w:val="FootnoteReference"/>
              </w:rPr>
              <w:footnoteReference w:id="145"/>
            </w:r>
          </w:p>
        </w:tc>
      </w:tr>
    </w:tbl>
    <w:p w14:paraId="3ECE4D2B" w14:textId="74538421" w:rsidR="00B7261C" w:rsidRDefault="00B7261C" w:rsidP="009555C8">
      <w:pPr>
        <w:pStyle w:val="Source"/>
        <w:rPr>
          <w:lang w:eastAsia="en-AU"/>
        </w:rPr>
      </w:pPr>
      <w:r>
        <w:rPr>
          <w:lang w:eastAsia="en-AU"/>
        </w:rPr>
        <w:t>Source: KPMG model framework design</w:t>
      </w:r>
      <w:r w:rsidR="00365B93">
        <w:rPr>
          <w:lang w:eastAsia="en-AU"/>
        </w:rPr>
        <w:br/>
      </w:r>
      <w:r w:rsidR="008B43CD" w:rsidRPr="008B43CD">
        <w:rPr>
          <w:lang w:eastAsia="en-AU"/>
        </w:rPr>
        <w:t>Note</w:t>
      </w:r>
      <w:r w:rsidR="008B43CD">
        <w:rPr>
          <w:lang w:eastAsia="en-AU"/>
        </w:rPr>
        <w:t>s</w:t>
      </w:r>
      <w:r w:rsidR="008B43CD" w:rsidRPr="008B43CD">
        <w:rPr>
          <w:lang w:eastAsia="en-AU"/>
        </w:rPr>
        <w:t>: K10 Kessler Psychological Distress Scale; QALY quality-adjusted life year</w:t>
      </w:r>
    </w:p>
    <w:p w14:paraId="70C81AC5" w14:textId="77777777" w:rsidR="000A48F2" w:rsidRDefault="000A48F2" w:rsidP="00FC597F">
      <w:pPr>
        <w:pStyle w:val="Heading4"/>
      </w:pPr>
      <w:r>
        <w:t>Scope of headspace activity for economic evaluation</w:t>
      </w:r>
    </w:p>
    <w:p w14:paraId="47B7F585" w14:textId="0D0ABE9C" w:rsidR="000A48F2" w:rsidRDefault="006E7710" w:rsidP="000A48F2">
      <w:pPr>
        <w:pStyle w:val="BodyText"/>
      </w:pPr>
      <w:r>
        <w:t xml:space="preserve">The </w:t>
      </w:r>
      <w:r w:rsidR="000A48F2">
        <w:t>headspace</w:t>
      </w:r>
      <w:r>
        <w:t xml:space="preserve"> program</w:t>
      </w:r>
      <w:r w:rsidR="000A48F2">
        <w:t xml:space="preserve"> </w:t>
      </w:r>
      <w:r w:rsidR="00A91E02">
        <w:t xml:space="preserve">delivers a range of supports that include not only </w:t>
      </w:r>
      <w:r w:rsidR="000A48F2">
        <w:t xml:space="preserve">mental health services, but also other individual and social benefits associated with its presence. These include the existence of safe spaces, promoting mental health awareness and increasing </w:t>
      </w:r>
      <w:r w:rsidR="001C206D" w:rsidRPr="00594AC5">
        <w:rPr>
          <w:rFonts w:cstheme="minorHAnsi"/>
        </w:rPr>
        <w:t>mental health literacy, stigma reduction and early</w:t>
      </w:r>
      <w:r w:rsidR="003442DC">
        <w:rPr>
          <w:rFonts w:cstheme="minorHAnsi"/>
        </w:rPr>
        <w:t xml:space="preserve"> </w:t>
      </w:r>
      <w:r w:rsidR="001C206D" w:rsidRPr="00594AC5">
        <w:rPr>
          <w:rFonts w:cstheme="minorHAnsi"/>
        </w:rPr>
        <w:t>help seeking</w:t>
      </w:r>
      <w:r w:rsidR="001C206D" w:rsidRPr="006F01E7">
        <w:rPr>
          <w:rFonts w:cstheme="minorHAnsi"/>
          <w:i/>
          <w:iCs/>
        </w:rPr>
        <w:t xml:space="preserve"> </w:t>
      </w:r>
      <w:r w:rsidR="000A48F2">
        <w:t>. As these outputs may be difficult to define and measure, it is important to outline the scope of benefits that the economic evaluation has the aim and capacity to account for. The benefits of headspace activity reflected in this economic evaluation are:</w:t>
      </w:r>
    </w:p>
    <w:p w14:paraId="7752D631" w14:textId="77777777" w:rsidR="000A48F2" w:rsidRPr="004F12B3" w:rsidRDefault="000A48F2" w:rsidP="000A48F2">
      <w:pPr>
        <w:pStyle w:val="ListNumber"/>
      </w:pPr>
      <w:r w:rsidRPr="004F12B3">
        <w:t xml:space="preserve">the services provided by </w:t>
      </w:r>
      <w:r>
        <w:t>headspace</w:t>
      </w:r>
      <w:r w:rsidRPr="004F12B3">
        <w:t xml:space="preserve"> to its target client population; and</w:t>
      </w:r>
    </w:p>
    <w:p w14:paraId="3FEFFEB3" w14:textId="1C5BD545" w:rsidR="000A48F2" w:rsidRPr="004F12B3" w:rsidRDefault="000A48F2" w:rsidP="000A48F2">
      <w:pPr>
        <w:pStyle w:val="ListNumber"/>
      </w:pPr>
      <w:r w:rsidRPr="004F12B3">
        <w:t>the increased uptake of such services by the target population due to increasing accessibility of mental health care. The latter can take different forms, including increased affordability (e.g</w:t>
      </w:r>
      <w:r w:rsidR="00B24A04" w:rsidRPr="004F12B3">
        <w:t>.,</w:t>
      </w:r>
      <w:r w:rsidRPr="004F12B3">
        <w:t xml:space="preserve"> due to the lack of out-of-pocket costs for the clients), increased availability (e.g</w:t>
      </w:r>
      <w:r w:rsidR="00B24A04" w:rsidRPr="004F12B3">
        <w:t>.,</w:t>
      </w:r>
      <w:r w:rsidRPr="004F12B3">
        <w:t xml:space="preserve"> physical presence in otherwise underserved areas) and increased acceptability (e.g</w:t>
      </w:r>
      <w:r w:rsidR="00B24A04" w:rsidRPr="004F12B3">
        <w:t>.,</w:t>
      </w:r>
      <w:r w:rsidRPr="004F12B3">
        <w:t xml:space="preserve"> greater awareness and lower barriers to asking for support).</w:t>
      </w:r>
    </w:p>
    <w:p w14:paraId="750AFE41" w14:textId="77777777" w:rsidR="000A48F2" w:rsidRDefault="000A48F2" w:rsidP="00FC597F">
      <w:pPr>
        <w:pStyle w:val="Heading4"/>
      </w:pPr>
      <w:r>
        <w:t>Model population</w:t>
      </w:r>
    </w:p>
    <w:p w14:paraId="41C8ECAA" w14:textId="0AF2B079" w:rsidR="000A48F2" w:rsidRDefault="000A48F2" w:rsidP="000A48F2">
      <w:pPr>
        <w:pStyle w:val="BodyText"/>
      </w:pPr>
      <w:r>
        <w:t xml:space="preserve">Defining the </w:t>
      </w:r>
      <w:r w:rsidR="00FF5E91">
        <w:t>specific population</w:t>
      </w:r>
      <w:r>
        <w:t xml:space="preserve"> for the economic evaluation is important because the model population may not fully align with </w:t>
      </w:r>
      <w:r w:rsidR="00F05A8C">
        <w:t>the population being support</w:t>
      </w:r>
      <w:r w:rsidR="00C24037">
        <w:t>ed</w:t>
      </w:r>
      <w:r w:rsidR="00F05A8C">
        <w:t xml:space="preserve"> in practice by headspace services.</w:t>
      </w:r>
      <w:r w:rsidR="00DC60F3">
        <w:t xml:space="preserve"> </w:t>
      </w:r>
      <w:r w:rsidR="00F05A8C">
        <w:t xml:space="preserve">For example, </w:t>
      </w:r>
      <w:r w:rsidR="00DC60F3">
        <w:t xml:space="preserve">headspace services are reporting </w:t>
      </w:r>
      <w:r w:rsidR="00402721">
        <w:t xml:space="preserve">many young people accessing headspace services currently have more severe levels of distress or </w:t>
      </w:r>
      <w:r w:rsidR="00FB2B87">
        <w:t>complexity of presentation</w:t>
      </w:r>
      <w:r w:rsidR="00402721">
        <w:t xml:space="preserve"> than headspace’s target population of young people with </w:t>
      </w:r>
      <w:r w:rsidR="00305A26">
        <w:t>mild to moderate, high</w:t>
      </w:r>
      <w:r w:rsidR="002E11A8">
        <w:t>-</w:t>
      </w:r>
      <w:r w:rsidR="00305A26">
        <w:t>prevalence mental health conditions.</w:t>
      </w:r>
      <w:r>
        <w:t xml:space="preserve"> </w:t>
      </w:r>
    </w:p>
    <w:p w14:paraId="542C02B5" w14:textId="77777777" w:rsidR="000A48F2" w:rsidRDefault="000A48F2" w:rsidP="000A48F2">
      <w:pPr>
        <w:pStyle w:val="BodyText"/>
      </w:pPr>
      <w:r>
        <w:t>The target population for the purposes of economic evaluation comprises cohorts of young people with predominantly mild to moderate mental health needs that fall within the scope of services provided by headspace.</w:t>
      </w:r>
    </w:p>
    <w:p w14:paraId="3770C880" w14:textId="77777777" w:rsidR="000A48F2" w:rsidRDefault="000A48F2" w:rsidP="00FC597F">
      <w:pPr>
        <w:pStyle w:val="Heading4"/>
      </w:pPr>
      <w:r>
        <w:t>Comparator</w:t>
      </w:r>
    </w:p>
    <w:p w14:paraId="7CC89BCE" w14:textId="77777777" w:rsidR="000A48F2" w:rsidRDefault="000A48F2" w:rsidP="000A48F2">
      <w:pPr>
        <w:pStyle w:val="BodyText"/>
      </w:pPr>
      <w:r>
        <w:t>The comparator is broadly defined as the state of the world in which headspace is absent. Admittedly, this definition allows for many different interpretations of what such a world could look like. Consequently, the following steps were taken to operationalise this concept:</w:t>
      </w:r>
    </w:p>
    <w:p w14:paraId="370E2EB7" w14:textId="77777777" w:rsidR="000A48F2" w:rsidRDefault="000A48F2" w:rsidP="00A72CC4">
      <w:pPr>
        <w:pStyle w:val="ListNumber"/>
        <w:numPr>
          <w:ilvl w:val="0"/>
          <w:numId w:val="20"/>
        </w:numPr>
      </w:pPr>
      <w:r>
        <w:t xml:space="preserve">It was proposed that the comparator would not presume the existence of </w:t>
      </w:r>
      <w:r w:rsidRPr="0017376F">
        <w:t xml:space="preserve">any major </w:t>
      </w:r>
      <w:r>
        <w:t xml:space="preserve">alternative </w:t>
      </w:r>
      <w:r w:rsidRPr="0017376F">
        <w:t xml:space="preserve">policies, programs or mechanisms substituting for </w:t>
      </w:r>
      <w:r>
        <w:t>headspace. While there are many possibilities of what could be put in place instead of headspace, focusing on any particular solution would be highly speculative as there are no specific plans for such a substitution that would be relevant to this evaluation. Instead, the comparator should broadly reflect the state of the current system in places where headspace was not implemented.</w:t>
      </w:r>
    </w:p>
    <w:p w14:paraId="3622E624" w14:textId="77777777" w:rsidR="000A48F2" w:rsidRDefault="000A48F2" w:rsidP="000A48F2">
      <w:pPr>
        <w:pStyle w:val="ListNumber"/>
      </w:pPr>
      <w:r>
        <w:t>The analysis simplified the definition of the comparator to three key parameters:</w:t>
      </w:r>
    </w:p>
    <w:p w14:paraId="73E3CDBD" w14:textId="77777777" w:rsidR="000A48F2" w:rsidRDefault="000A48F2" w:rsidP="00A72CC4">
      <w:pPr>
        <w:pStyle w:val="ListNumber2"/>
        <w:numPr>
          <w:ilvl w:val="0"/>
          <w:numId w:val="21"/>
        </w:numPr>
      </w:pPr>
      <w:r>
        <w:t xml:space="preserve">the number of young people that would and would not receive mental health treatment; </w:t>
      </w:r>
    </w:p>
    <w:p w14:paraId="0558C3A0" w14:textId="77777777" w:rsidR="000A48F2" w:rsidRDefault="000A48F2" w:rsidP="00A72CC4">
      <w:pPr>
        <w:pStyle w:val="ListNumber2"/>
        <w:numPr>
          <w:ilvl w:val="0"/>
          <w:numId w:val="21"/>
        </w:numPr>
      </w:pPr>
      <w:r>
        <w:t>the number of young people that would end up accessing MAT; and</w:t>
      </w:r>
    </w:p>
    <w:p w14:paraId="39557D42" w14:textId="77777777" w:rsidR="000A48F2" w:rsidRDefault="000A48F2" w:rsidP="00A72CC4">
      <w:pPr>
        <w:pStyle w:val="ListNumber2"/>
        <w:numPr>
          <w:ilvl w:val="0"/>
          <w:numId w:val="21"/>
        </w:numPr>
      </w:pPr>
      <w:r>
        <w:t>the effectiveness of corresponding services if provided outside of headspace. Data from the hMDS are used to make informed assumptions regarding (b) and (c).</w:t>
      </w:r>
    </w:p>
    <w:p w14:paraId="1FB3264B" w14:textId="1B7C73AB" w:rsidR="000A48F2" w:rsidRDefault="000A48F2" w:rsidP="000A48F2">
      <w:pPr>
        <w:pStyle w:val="ListNumber"/>
      </w:pPr>
      <w:r>
        <w:t xml:space="preserve">Regarding (2a), the proposed definition was presented to the headspace </w:t>
      </w:r>
      <w:r w:rsidR="009315A2">
        <w:t xml:space="preserve">Evaluation Reference Group </w:t>
      </w:r>
      <w:r>
        <w:t xml:space="preserve">and a consensus approach was taken to define what the parameter value should be. </w:t>
      </w:r>
      <w:r w:rsidR="003F001C">
        <w:t>As a starting point for the discussion, the</w:t>
      </w:r>
      <w:r>
        <w:t xml:space="preserve"> evaluators put forward the range of </w:t>
      </w:r>
      <w:r w:rsidR="00D54D5A">
        <w:t>zero</w:t>
      </w:r>
      <w:r>
        <w:t xml:space="preserve"> to 35</w:t>
      </w:r>
      <w:r w:rsidR="00D54D5A">
        <w:t xml:space="preserve"> per cent</w:t>
      </w:r>
      <w:r>
        <w:t xml:space="preserve"> of young people</w:t>
      </w:r>
      <w:r w:rsidR="003F001C">
        <w:t>, which was</w:t>
      </w:r>
      <w:r>
        <w:t xml:space="preserve"> informed by the proportion of headspace delivered services that were MBS-funded services. It is </w:t>
      </w:r>
      <w:r w:rsidR="0096352E">
        <w:t xml:space="preserve">presumed </w:t>
      </w:r>
      <w:r>
        <w:t>that</w:t>
      </w:r>
      <w:r w:rsidR="00CD1FE0">
        <w:t>, in the absence of headspace,</w:t>
      </w:r>
      <w:r>
        <w:t xml:space="preserve"> these services could plausibly </w:t>
      </w:r>
      <w:r w:rsidR="00CD1FE0">
        <w:t xml:space="preserve">still </w:t>
      </w:r>
      <w:r>
        <w:t xml:space="preserve">be provided through other practices </w:t>
      </w:r>
      <w:r w:rsidR="00FB64E3">
        <w:t>if sufficient capacity was available</w:t>
      </w:r>
      <w:r>
        <w:t xml:space="preserve">. The </w:t>
      </w:r>
      <w:r w:rsidR="0082718E" w:rsidRPr="0082718E">
        <w:t>Evaluation Reference Group</w:t>
      </w:r>
      <w:r>
        <w:t xml:space="preserve"> suggested that the </w:t>
      </w:r>
      <w:r w:rsidR="00B24A04">
        <w:t>comparator</w:t>
      </w:r>
      <w:r>
        <w:t xml:space="preserve"> value would fall on the lower end of the spectrum </w:t>
      </w:r>
      <w:r w:rsidR="00AB33E2">
        <w:t xml:space="preserve">and </w:t>
      </w:r>
      <w:r>
        <w:t>the range of</w:t>
      </w:r>
      <w:r w:rsidR="00D54D5A">
        <w:t xml:space="preserve"> zero</w:t>
      </w:r>
      <w:r>
        <w:t xml:space="preserve"> to 20</w:t>
      </w:r>
      <w:r w:rsidR="003C1E68">
        <w:t> </w:t>
      </w:r>
      <w:r w:rsidR="00D54D5A">
        <w:t>per cent</w:t>
      </w:r>
      <w:r>
        <w:t xml:space="preserve"> was agreed to inform the evaluation</w:t>
      </w:r>
      <w:r w:rsidR="00EB3DEA">
        <w:t xml:space="preserve"> as the proportion of headspace clients that would access treatment in the absence of headspace</w:t>
      </w:r>
      <w:r>
        <w:t>.</w:t>
      </w:r>
      <w:r w:rsidR="0052431E">
        <w:t xml:space="preserve"> This lower range was due to </w:t>
      </w:r>
      <w:r w:rsidR="00B5025B">
        <w:t xml:space="preserve">a number of challenges young people have accessing alternative services, including </w:t>
      </w:r>
      <w:r w:rsidR="00453797">
        <w:t>limited or no other local services, and the costs of accessing private practitioners.</w:t>
      </w:r>
      <w:r w:rsidR="006F169C">
        <w:t xml:space="preserve"> There was no literatu</w:t>
      </w:r>
      <w:r w:rsidR="00E85C81">
        <w:t>r</w:t>
      </w:r>
      <w:r w:rsidR="006F169C">
        <w:t>e available to support determination of this assumption for the comparator group.</w:t>
      </w:r>
    </w:p>
    <w:p w14:paraId="36D0D281" w14:textId="4239FFEA" w:rsidR="000A48F2" w:rsidRDefault="000A48F2" w:rsidP="000A48F2">
      <w:pPr>
        <w:pStyle w:val="Heading4"/>
      </w:pPr>
      <w:r>
        <w:t xml:space="preserve">Model </w:t>
      </w:r>
      <w:r w:rsidR="002941CB">
        <w:t>framework</w:t>
      </w:r>
    </w:p>
    <w:p w14:paraId="566E7485" w14:textId="308C5B81" w:rsidR="00B7261C" w:rsidRDefault="00B7261C" w:rsidP="00B7261C">
      <w:pPr>
        <w:pStyle w:val="BodyText"/>
      </w:pPr>
      <w:r>
        <w:t xml:space="preserve">A visual representation of two states of the world, with or without headspace, is provided in </w:t>
      </w:r>
      <w:r>
        <w:fldChar w:fldCharType="begin" w:fldLock="1"/>
      </w:r>
      <w:r>
        <w:instrText xml:space="preserve"> REF _Ref104302634 \h </w:instrText>
      </w:r>
      <w:r>
        <w:fldChar w:fldCharType="separate"/>
      </w:r>
      <w:r w:rsidR="00995193">
        <w:t xml:space="preserve">Figure </w:t>
      </w:r>
      <w:r w:rsidR="00995193">
        <w:rPr>
          <w:noProof/>
        </w:rPr>
        <w:t>29</w:t>
      </w:r>
      <w:r>
        <w:fldChar w:fldCharType="end"/>
      </w:r>
      <w:r>
        <w:t>. This provides the basis for an incremental analysis. An incremental analysis is only concerned with those elements that are subject to change. For this analysis, this report identified three areas, while important elements of mental health service provision, are not likely to change with or without headspace.</w:t>
      </w:r>
    </w:p>
    <w:p w14:paraId="6678FD3D" w14:textId="39034E95" w:rsidR="00B7261C" w:rsidRDefault="00B7261C" w:rsidP="00A72CC4">
      <w:pPr>
        <w:pStyle w:val="ListNumber"/>
        <w:numPr>
          <w:ilvl w:val="0"/>
          <w:numId w:val="25"/>
        </w:numPr>
      </w:pPr>
      <w:r>
        <w:t>Data available to the analysis (see section</w:t>
      </w:r>
      <w:r w:rsidR="00995193">
        <w:t xml:space="preserve"> </w:t>
      </w:r>
      <w:r w:rsidR="007700E8">
        <w:fldChar w:fldCharType="begin" w:fldLock="1"/>
      </w:r>
      <w:r w:rsidR="007700E8">
        <w:instrText xml:space="preserve"> REF _Ref104895330 \r \h </w:instrText>
      </w:r>
      <w:r w:rsidR="007700E8">
        <w:fldChar w:fldCharType="separate"/>
      </w:r>
      <w:r w:rsidR="007700E8">
        <w:t>4.1.4</w:t>
      </w:r>
      <w:r w:rsidR="007700E8">
        <w:fldChar w:fldCharType="end"/>
      </w:r>
      <w:r>
        <w:t>) suggest that the number and type of MBS</w:t>
      </w:r>
      <w:r w:rsidR="00A469C7">
        <w:noBreakHyphen/>
      </w:r>
      <w:r>
        <w:t xml:space="preserve">funded mental health service provision </w:t>
      </w:r>
      <w:r w:rsidRPr="00375D1A">
        <w:t xml:space="preserve">outside of </w:t>
      </w:r>
      <w:r>
        <w:t>headspace</w:t>
      </w:r>
      <w:r w:rsidRPr="00375D1A">
        <w:t xml:space="preserve"> </w:t>
      </w:r>
      <w:r>
        <w:t>is not affected by the presence of headspace.</w:t>
      </w:r>
    </w:p>
    <w:p w14:paraId="4A97EEB7" w14:textId="77777777" w:rsidR="00B7261C" w:rsidRDefault="00B7261C" w:rsidP="00C207B8">
      <w:pPr>
        <w:pStyle w:val="ListNumber"/>
      </w:pPr>
      <w:r>
        <w:t>It is assumed that there would be no change in the number and type of services, if any, funded and provided entirely in the private system, that is funded out-of-pocket or by private health insurance. It seems reasonable to think that young people who access such services may not be headspace clients and, conversely, few of the current headspace clients would end up using privately funded mental health services considering their socio-economic profiles and the cost of such services.</w:t>
      </w:r>
    </w:p>
    <w:p w14:paraId="41ADCF5A" w14:textId="77777777" w:rsidR="00B7261C" w:rsidRDefault="00B7261C" w:rsidP="00C207B8">
      <w:pPr>
        <w:pStyle w:val="ListNumber"/>
      </w:pPr>
      <w:r>
        <w:t>There is a core group of young people who do not access mental health services in either scenario despite having mental health needs. This group is by definition the same in both states of the world.</w:t>
      </w:r>
    </w:p>
    <w:p w14:paraId="43F8869D" w14:textId="2128D9CF" w:rsidR="00B7261C" w:rsidRDefault="00B7261C" w:rsidP="00B7261C">
      <w:pPr>
        <w:pStyle w:val="Caption"/>
      </w:pPr>
      <w:bookmarkStart w:id="144" w:name="_Ref104302634"/>
      <w:bookmarkStart w:id="145" w:name="_Toc108109214"/>
      <w:r>
        <w:t xml:space="preserve">Figure </w:t>
      </w:r>
      <w:r>
        <w:fldChar w:fldCharType="begin"/>
      </w:r>
      <w:r>
        <w:instrText>SEQ Figure \* ARABIC</w:instrText>
      </w:r>
      <w:r>
        <w:fldChar w:fldCharType="separate"/>
      </w:r>
      <w:r w:rsidR="00CC0438">
        <w:rPr>
          <w:noProof/>
        </w:rPr>
        <w:t>29</w:t>
      </w:r>
      <w:r>
        <w:fldChar w:fldCharType="end"/>
      </w:r>
      <w:bookmarkEnd w:id="144"/>
      <w:r>
        <w:t>: Mental health service use by target population with or without the headspace program</w:t>
      </w:r>
      <w:bookmarkEnd w:id="145"/>
    </w:p>
    <w:p w14:paraId="3051037D" w14:textId="58EDE10D" w:rsidR="00B7261C" w:rsidRDefault="00595A82" w:rsidP="00B6273E">
      <w:pPr>
        <w:pStyle w:val="NUmber1stlevel"/>
        <w:numPr>
          <w:ilvl w:val="0"/>
          <w:numId w:val="0"/>
        </w:numPr>
        <w:tabs>
          <w:tab w:val="left" w:pos="567"/>
        </w:tabs>
        <w:ind w:left="714" w:hanging="714"/>
      </w:pPr>
      <w:r>
        <w:rPr>
          <w:noProof/>
        </w:rPr>
        <w:drawing>
          <wp:inline distT="0" distB="0" distL="0" distR="0" wp14:anchorId="61B6854C" wp14:editId="7C20D8D8">
            <wp:extent cx="5913147" cy="1593272"/>
            <wp:effectExtent l="0" t="0" r="0" b="6985"/>
            <wp:docPr id="137" name="Picture 137" descr="Figure 29 highlights the two elements that are subject to change in the world with headspace or the world without headspace comparison. headspace clients who are currently accessing mental health services (subsidised by MBS or otherwise) and those that access acute services due to, or as a consequence of, having mental health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Figure 29 highlights the two elements that are subject to change in the world with headspace or the world without headspace comparison. headspace clients who are currently accessing mental health services (subsidised by MBS or otherwise) and those that access acute services due to, or as a consequence of, having mental health nee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1202" cy="1600831"/>
                    </a:xfrm>
                    <a:prstGeom prst="rect">
                      <a:avLst/>
                    </a:prstGeom>
                    <a:noFill/>
                  </pic:spPr>
                </pic:pic>
              </a:graphicData>
            </a:graphic>
          </wp:inline>
        </w:drawing>
      </w:r>
    </w:p>
    <w:p w14:paraId="2EFF8CB5" w14:textId="77777777" w:rsidR="00B7261C" w:rsidRDefault="00B7261C" w:rsidP="00C207B8">
      <w:pPr>
        <w:pStyle w:val="Source"/>
        <w:rPr>
          <w:lang w:eastAsia="en-AU"/>
        </w:rPr>
      </w:pPr>
      <w:r>
        <w:rPr>
          <w:lang w:eastAsia="en-AU"/>
        </w:rPr>
        <w:t>Source: KPMG economic evaluation framework.</w:t>
      </w:r>
    </w:p>
    <w:p w14:paraId="1CC5BB5F" w14:textId="4C5AF59A" w:rsidR="00A56639" w:rsidRDefault="00F72996" w:rsidP="00C207B8">
      <w:pPr>
        <w:pStyle w:val="Source"/>
      </w:pPr>
      <w:r>
        <w:t xml:space="preserve">Notes: </w:t>
      </w:r>
      <w:r w:rsidR="00567DB0">
        <w:t>MH mental health; MBS Medicare Benefits Schedule</w:t>
      </w:r>
    </w:p>
    <w:p w14:paraId="23DD2D7F" w14:textId="332572E5" w:rsidR="00B7261C" w:rsidRDefault="00B7261C" w:rsidP="00C207B8">
      <w:pPr>
        <w:pStyle w:val="BodyText"/>
      </w:pPr>
      <w:r>
        <w:fldChar w:fldCharType="begin" w:fldLock="1"/>
      </w:r>
      <w:r>
        <w:instrText xml:space="preserve"> REF _Ref104302634 \h </w:instrText>
      </w:r>
      <w:r>
        <w:fldChar w:fldCharType="separate"/>
      </w:r>
      <w:r>
        <w:t xml:space="preserve">Figure </w:t>
      </w:r>
      <w:r>
        <w:rPr>
          <w:noProof/>
        </w:rPr>
        <w:t>29</w:t>
      </w:r>
      <w:r>
        <w:fldChar w:fldCharType="end"/>
      </w:r>
      <w:r>
        <w:t xml:space="preserve"> highlights the two elements that are subject to change in the world</w:t>
      </w:r>
      <w:r w:rsidR="001261E1">
        <w:t xml:space="preserve"> with</w:t>
      </w:r>
      <w:r>
        <w:t xml:space="preserve"> headspace or the world without headspace comparison. headspace clients who are currently accessing mental health services (subsidised by MBS or otherwise) and those that access acute services due to, or as a consequence of, having mental health needs. Th</w:t>
      </w:r>
      <w:r w:rsidR="00B8260F">
        <w:t>e latter</w:t>
      </w:r>
      <w:r>
        <w:t xml:space="preserve"> includes hospital admissions and ED presentations.</w:t>
      </w:r>
    </w:p>
    <w:p w14:paraId="77271AC1" w14:textId="75337AA8" w:rsidR="00B7261C" w:rsidRDefault="00B7261C" w:rsidP="00C207B8">
      <w:pPr>
        <w:pStyle w:val="BodyText"/>
      </w:pPr>
      <w:r>
        <w:t xml:space="preserve">This evaluation assumes that in the world without headspace fewer people would end up accessing mental health services. It is critical for the evaluation to capture the consequences of mental health needs remaining unaddressed. These consequences can be found in both (poorer) mental health outcomes and in </w:t>
      </w:r>
      <w:r w:rsidR="00FF7E0A">
        <w:t>(</w:t>
      </w:r>
      <w:r>
        <w:t>higher</w:t>
      </w:r>
      <w:r w:rsidR="00FF7E0A">
        <w:t>)</w:t>
      </w:r>
      <w:r>
        <w:t xml:space="preserve"> downstream demand for acute health services resulting from the unaddressed need. </w:t>
      </w:r>
    </w:p>
    <w:p w14:paraId="04286EBE" w14:textId="0FC6EA17" w:rsidR="000A48F2" w:rsidRDefault="000A48F2" w:rsidP="00C207B8">
      <w:pPr>
        <w:pStyle w:val="BodyText"/>
      </w:pPr>
      <w:r>
        <w:t>The model structure for the comparison of the world with headspace against a world without headspace is presented in</w:t>
      </w:r>
      <w:r w:rsidR="007F5683">
        <w:t xml:space="preserve"> </w:t>
      </w:r>
      <w:r w:rsidR="007F5683">
        <w:fldChar w:fldCharType="begin" w:fldLock="1"/>
      </w:r>
      <w:r w:rsidR="007F5683">
        <w:instrText xml:space="preserve"> REF _Ref104981551 \h </w:instrText>
      </w:r>
      <w:r w:rsidR="00C207B8">
        <w:instrText xml:space="preserve"> \* MERGEFORMAT </w:instrText>
      </w:r>
      <w:r w:rsidR="007F5683">
        <w:fldChar w:fldCharType="separate"/>
      </w:r>
      <w:r w:rsidR="007F5683">
        <w:t xml:space="preserve">Figure </w:t>
      </w:r>
      <w:r w:rsidR="007F5683">
        <w:rPr>
          <w:noProof/>
        </w:rPr>
        <w:t>30</w:t>
      </w:r>
      <w:r w:rsidR="007F5683">
        <w:fldChar w:fldCharType="end"/>
      </w:r>
      <w:r>
        <w:t xml:space="preserve">. In the ‘world with headspace’ scenario, all headspace clients access either one, two or three or more </w:t>
      </w:r>
      <w:r w:rsidR="00525ED1">
        <w:t>OOS</w:t>
      </w:r>
      <w:r>
        <w:t xml:space="preserve">. </w:t>
      </w:r>
    </w:p>
    <w:p w14:paraId="1E2D1444" w14:textId="5D0F346B" w:rsidR="000A48F2" w:rsidRDefault="000A48F2" w:rsidP="00C207B8">
      <w:pPr>
        <w:pStyle w:val="BodyText"/>
      </w:pPr>
      <w:r>
        <w:t xml:space="preserve">According to the results of the effectiveness analysis (see Appendix </w:t>
      </w:r>
      <w:r>
        <w:fldChar w:fldCharType="begin" w:fldLock="1"/>
      </w:r>
      <w:r>
        <w:instrText xml:space="preserve"> REF _Ref97883390 \r \h </w:instrText>
      </w:r>
      <w:r w:rsidR="00C207B8">
        <w:instrText xml:space="preserve"> \* MERGEFORMAT </w:instrText>
      </w:r>
      <w:r>
        <w:fldChar w:fldCharType="separate"/>
      </w:r>
      <w:r w:rsidR="00A56639">
        <w:t>E.5</w:t>
      </w:r>
      <w:r>
        <w:fldChar w:fldCharType="end"/>
      </w:r>
      <w:r>
        <w:t xml:space="preserve"> Appendix), </w:t>
      </w:r>
      <w:r w:rsidR="00D069E7">
        <w:t xml:space="preserve">a single </w:t>
      </w:r>
      <w:r w:rsidR="00525ED1">
        <w:t>OOS</w:t>
      </w:r>
      <w:r>
        <w:t xml:space="preserve"> do</w:t>
      </w:r>
      <w:r w:rsidR="00D069E7">
        <w:t>es</w:t>
      </w:r>
      <w:r>
        <w:t xml:space="preserve"> not deliver any significant improvements in mental health outcomes. Episodes with only two </w:t>
      </w:r>
      <w:r w:rsidR="00525ED1">
        <w:t>OOS</w:t>
      </w:r>
      <w:r>
        <w:t xml:space="preserve"> do not meet the criteria of MAT (defined </w:t>
      </w:r>
      <w:r w:rsidR="00881349">
        <w:t xml:space="preserve">in this economic evaluation </w:t>
      </w:r>
      <w:r>
        <w:t xml:space="preserve">as three or more </w:t>
      </w:r>
      <w:r w:rsidR="00525ED1">
        <w:t>OOS</w:t>
      </w:r>
      <w:r>
        <w:t xml:space="preserve">) and the observed improvement in mental health outcomes is relatively small. Therefore, in the base case, this analysis assumed that episodes with only two </w:t>
      </w:r>
      <w:r w:rsidR="00525ED1">
        <w:t>OOS</w:t>
      </w:r>
      <w:r>
        <w:t xml:space="preserve"> </w:t>
      </w:r>
      <w:r w:rsidR="003B339A">
        <w:t xml:space="preserve">do not </w:t>
      </w:r>
      <w:r w:rsidR="00E65B12">
        <w:t xml:space="preserve">produce </w:t>
      </w:r>
      <w:r w:rsidR="003B339A">
        <w:t>an</w:t>
      </w:r>
      <w:r w:rsidR="00E65B12">
        <w:t xml:space="preserve"> </w:t>
      </w:r>
      <w:r>
        <w:t>improvement in mental health outcomes.</w:t>
      </w:r>
    </w:p>
    <w:p w14:paraId="426F32BE" w14:textId="1B090C37" w:rsidR="000A48F2" w:rsidRDefault="000A48F2" w:rsidP="00C207B8">
      <w:pPr>
        <w:pStyle w:val="BodyText"/>
      </w:pPr>
      <w:r>
        <w:t xml:space="preserve">Finally, the analysis assumed that episodes with three or more OOS meet the MAT requirement and produce a significant improvement in the young person’s mental health outcome. While the literature suggests that at least </w:t>
      </w:r>
      <w:r w:rsidR="00D8119D">
        <w:t>four</w:t>
      </w:r>
      <w:r>
        <w:t xml:space="preserve"> </w:t>
      </w:r>
      <w:r w:rsidR="006E7DB0">
        <w:t>O</w:t>
      </w:r>
      <w:r w:rsidR="003C1E68">
        <w:t>O</w:t>
      </w:r>
      <w:r w:rsidR="006E7DB0">
        <w:t>S</w:t>
      </w:r>
      <w:r>
        <w:t xml:space="preserve"> are required for an effect to be reliably obtained, analysed data from the hMDS indicate that this effect is also present for closed episodes with at least three </w:t>
      </w:r>
      <w:r w:rsidR="00525ED1">
        <w:t>OOS</w:t>
      </w:r>
      <w:r>
        <w:t xml:space="preserve"> (see </w:t>
      </w:r>
      <w:r>
        <w:fldChar w:fldCharType="begin" w:fldLock="1"/>
      </w:r>
      <w:r>
        <w:instrText xml:space="preserve"> REF _Ref97750416 \h </w:instrText>
      </w:r>
      <w:r>
        <w:fldChar w:fldCharType="separate"/>
      </w:r>
      <w:r w:rsidR="000C245D">
        <w:t xml:space="preserve">Figure </w:t>
      </w:r>
      <w:r w:rsidR="000C245D">
        <w:rPr>
          <w:noProof/>
        </w:rPr>
        <w:t>60</w:t>
      </w:r>
      <w:r>
        <w:fldChar w:fldCharType="end"/>
      </w:r>
      <w:r>
        <w:t xml:space="preserve"> in Appendix </w:t>
      </w:r>
      <w:r>
        <w:fldChar w:fldCharType="begin" w:fldLock="1"/>
      </w:r>
      <w:r>
        <w:instrText xml:space="preserve"> REF _Ref97883390 \r \h </w:instrText>
      </w:r>
      <w:r>
        <w:fldChar w:fldCharType="separate"/>
      </w:r>
      <w:r w:rsidR="00A56639">
        <w:t>E.5</w:t>
      </w:r>
      <w:r>
        <w:fldChar w:fldCharType="end"/>
      </w:r>
      <w:r>
        <w:t>)</w:t>
      </w:r>
      <w:r w:rsidR="00CC0438">
        <w:rPr>
          <w:rFonts w:ascii="ZWAdobeF" w:hAnsi="ZWAdobeF" w:cs="ZWAdobeF"/>
          <w:sz w:val="2"/>
          <w:szCs w:val="2"/>
        </w:rPr>
        <w:t>144F</w:t>
      </w:r>
      <w:r w:rsidR="00CF4147" w:rsidRPr="005A0144">
        <w:rPr>
          <w:rStyle w:val="FootnoteReference"/>
        </w:rPr>
        <w:footnoteReference w:id="146"/>
      </w:r>
      <w:r w:rsidR="00487A22">
        <w:t>.</w:t>
      </w:r>
    </w:p>
    <w:p w14:paraId="2CDF6193" w14:textId="0659AD01" w:rsidR="000A48F2" w:rsidRDefault="000A48F2" w:rsidP="00C207B8">
      <w:pPr>
        <w:pStyle w:val="BodyText"/>
      </w:pPr>
      <w:r>
        <w:t>Given the discrepancy between the literature and the data, this analysis gives preference to the data that are specific to headspace</w:t>
      </w:r>
      <w:r w:rsidR="000D09F0">
        <w:t>. This interpretation</w:t>
      </w:r>
      <w:r>
        <w:t xml:space="preserve"> favours the headspace program.</w:t>
      </w:r>
    </w:p>
    <w:p w14:paraId="10AF2118" w14:textId="08224B26" w:rsidR="000A48F2" w:rsidRDefault="000A48F2" w:rsidP="000A48F2">
      <w:pPr>
        <w:pStyle w:val="Caption"/>
      </w:pPr>
      <w:bookmarkStart w:id="146" w:name="_Ref104981551"/>
      <w:bookmarkStart w:id="147" w:name="_Toc108109215"/>
      <w:r>
        <w:t xml:space="preserve">Figure </w:t>
      </w:r>
      <w:r>
        <w:fldChar w:fldCharType="begin"/>
      </w:r>
      <w:r>
        <w:instrText>SEQ Figure \* ARABIC</w:instrText>
      </w:r>
      <w:r>
        <w:fldChar w:fldCharType="separate"/>
      </w:r>
      <w:r w:rsidR="00CC0438">
        <w:rPr>
          <w:noProof/>
        </w:rPr>
        <w:t>30</w:t>
      </w:r>
      <w:r>
        <w:fldChar w:fldCharType="end"/>
      </w:r>
      <w:bookmarkEnd w:id="146"/>
      <w:r>
        <w:t>: The model structure for comparing the world with or without headspace</w:t>
      </w:r>
      <w:bookmarkEnd w:id="147"/>
    </w:p>
    <w:p w14:paraId="29953D48" w14:textId="0D895E81" w:rsidR="000A48F2" w:rsidRDefault="00130E6D" w:rsidP="000A48F2">
      <w:pPr>
        <w:keepNext/>
        <w:keepLines/>
      </w:pPr>
      <w:r>
        <w:rPr>
          <w:noProof/>
        </w:rPr>
        <w:drawing>
          <wp:inline distT="0" distB="0" distL="0" distR="0" wp14:anchorId="0EB7C202" wp14:editId="7154DBCD">
            <wp:extent cx="5763952" cy="3059871"/>
            <wp:effectExtent l="0" t="0" r="8255" b="7620"/>
            <wp:docPr id="170" name="Picture 170" descr="Figure 30 is a diagram outlining the model structure for the comparison of the world with headspace, against a world without hea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Figure 30 is a diagram outlining the model structure for the comparison of the world with headspace, against a world without headspa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74666" cy="3065559"/>
                    </a:xfrm>
                    <a:prstGeom prst="rect">
                      <a:avLst/>
                    </a:prstGeom>
                    <a:noFill/>
                  </pic:spPr>
                </pic:pic>
              </a:graphicData>
            </a:graphic>
          </wp:inline>
        </w:drawing>
      </w:r>
    </w:p>
    <w:p w14:paraId="5D5CC966" w14:textId="77777777" w:rsidR="000A48F2" w:rsidRDefault="000A48F2" w:rsidP="000A48F2">
      <w:pPr>
        <w:pStyle w:val="Source"/>
      </w:pPr>
      <w:r>
        <w:t>Source: KPMG developed model structure.</w:t>
      </w:r>
    </w:p>
    <w:p w14:paraId="1C43D17B" w14:textId="139F2428" w:rsidR="000A48F2" w:rsidRPr="000A48F2" w:rsidRDefault="000A48F2" w:rsidP="00A36564">
      <w:pPr>
        <w:pStyle w:val="Source"/>
      </w:pPr>
      <w:r>
        <w:t xml:space="preserve">Note: QALY </w:t>
      </w:r>
      <w:r w:rsidR="00FF7E0A">
        <w:t xml:space="preserve">- </w:t>
      </w:r>
      <w:r>
        <w:t>quality adjusted-life year</w:t>
      </w:r>
      <w:r w:rsidR="00362ACD">
        <w:t>; OOS</w:t>
      </w:r>
      <w:r w:rsidR="00FF7E0A">
        <w:t xml:space="preserve"> – occasion of service</w:t>
      </w:r>
    </w:p>
    <w:p w14:paraId="2A5E19F2" w14:textId="52285496" w:rsidR="00652D0F" w:rsidRDefault="0059731B" w:rsidP="00666710">
      <w:pPr>
        <w:pStyle w:val="Heading4"/>
      </w:pPr>
      <w:r>
        <w:t>Base case results</w:t>
      </w:r>
      <w:r w:rsidR="00310BCC">
        <w:t xml:space="preserve"> </w:t>
      </w:r>
    </w:p>
    <w:p w14:paraId="394E139B" w14:textId="124C4659" w:rsidR="00C07A34" w:rsidRDefault="004430BE" w:rsidP="000244E4">
      <w:pPr>
        <w:pStyle w:val="BodyText"/>
      </w:pPr>
      <w:r>
        <w:fldChar w:fldCharType="begin" w:fldLock="1"/>
      </w:r>
      <w:r>
        <w:instrText xml:space="preserve"> REF _Ref104897643 \h </w:instrText>
      </w:r>
      <w:r w:rsidR="00011769">
        <w:instrText xml:space="preserve"> \* MERGEFORMAT </w:instrText>
      </w:r>
      <w:r>
        <w:fldChar w:fldCharType="separate"/>
      </w:r>
      <w:r w:rsidR="000C245D" w:rsidRPr="001672F4">
        <w:t xml:space="preserve">Table </w:t>
      </w:r>
      <w:r w:rsidR="000C245D">
        <w:rPr>
          <w:noProof/>
        </w:rPr>
        <w:t>19</w:t>
      </w:r>
      <w:r>
        <w:fldChar w:fldCharType="end"/>
      </w:r>
      <w:r>
        <w:t xml:space="preserve"> below </w:t>
      </w:r>
      <w:r w:rsidR="58263E7A">
        <w:t>summarises</w:t>
      </w:r>
      <w:r>
        <w:t xml:space="preserve"> </w:t>
      </w:r>
      <w:r w:rsidR="006F5C55">
        <w:t>the difference in costs and QALYs between the world with headspace and without headspace for a base</w:t>
      </w:r>
      <w:r w:rsidR="00182F23">
        <w:t xml:space="preserve"> </w:t>
      </w:r>
      <w:r w:rsidR="006F5C55">
        <w:t xml:space="preserve">case analysis. </w:t>
      </w:r>
    </w:p>
    <w:p w14:paraId="22E9A1ED" w14:textId="2D5F4A74" w:rsidR="00C07A34" w:rsidRPr="00E345E1" w:rsidRDefault="00C07A34" w:rsidP="000244E4">
      <w:pPr>
        <w:pStyle w:val="BodyText"/>
      </w:pPr>
      <w:r>
        <w:t>Th</w:t>
      </w:r>
      <w:r w:rsidRPr="00F168FC">
        <w:t>e base case is de</w:t>
      </w:r>
      <w:r w:rsidRPr="00E345E1">
        <w:t>veloped under the following key assumptions:</w:t>
      </w:r>
    </w:p>
    <w:p w14:paraId="3BB81CA2" w14:textId="72257996" w:rsidR="00C07A34" w:rsidRPr="00306019" w:rsidRDefault="008A6E98" w:rsidP="000244E4">
      <w:pPr>
        <w:pStyle w:val="BodyText"/>
      </w:pPr>
      <w:r w:rsidRPr="00014D01">
        <w:t>Fo</w:t>
      </w:r>
      <w:r w:rsidRPr="00F10938">
        <w:t>r headspace</w:t>
      </w:r>
      <w:r w:rsidR="000571F1" w:rsidRPr="00A6283C">
        <w:t>:</w:t>
      </w:r>
    </w:p>
    <w:p w14:paraId="5ABA0ECA" w14:textId="5B3AC029" w:rsidR="00B10210" w:rsidRPr="00940BB2" w:rsidRDefault="00ED349B" w:rsidP="00011769">
      <w:pPr>
        <w:pStyle w:val="Bullet1stlevel"/>
      </w:pPr>
      <w:r w:rsidRPr="00940BB2">
        <w:t xml:space="preserve">Proportion of </w:t>
      </w:r>
      <w:r w:rsidR="00FF7E0A">
        <w:t xml:space="preserve">funding provided to </w:t>
      </w:r>
      <w:r w:rsidRPr="00940BB2">
        <w:t xml:space="preserve">headspace services </w:t>
      </w:r>
      <w:r w:rsidR="273D941B" w:rsidRPr="5B2D3571">
        <w:t>attributable</w:t>
      </w:r>
      <w:r w:rsidRPr="00940BB2">
        <w:t xml:space="preserve"> to service provision is 75</w:t>
      </w:r>
      <w:r w:rsidR="003C1E68">
        <w:t> per cent</w:t>
      </w:r>
      <w:r w:rsidRPr="00940BB2">
        <w:t xml:space="preserve">. Calculation of cost per episodes is presented in </w:t>
      </w:r>
      <w:r w:rsidR="00464DFA" w:rsidRPr="00940BB2">
        <w:t>Appendix K.</w:t>
      </w:r>
      <w:r w:rsidR="00BB2B7E" w:rsidRPr="00940BB2">
        <w:t xml:space="preserve"> </w:t>
      </w:r>
    </w:p>
    <w:p w14:paraId="22B65CD1" w14:textId="452662BC" w:rsidR="000571F1" w:rsidRPr="00940BB2" w:rsidRDefault="000571F1" w:rsidP="00011769">
      <w:pPr>
        <w:pStyle w:val="Bullet1stlevel"/>
      </w:pPr>
      <w:r w:rsidRPr="00940BB2">
        <w:t>Outcome is QALY</w:t>
      </w:r>
      <w:r w:rsidR="00833BC0" w:rsidRPr="00940BB2">
        <w:t>s</w:t>
      </w:r>
      <w:r w:rsidRPr="00940BB2">
        <w:t xml:space="preserve"> gained per episode</w:t>
      </w:r>
      <w:r w:rsidR="002342B4" w:rsidRPr="00940BB2">
        <w:t>, which is calculated based on the transformation of K10 measure</w:t>
      </w:r>
      <w:r w:rsidR="00E86D8B" w:rsidRPr="00940BB2">
        <w:t>s</w:t>
      </w:r>
      <w:r w:rsidR="002342B4" w:rsidRPr="00940BB2">
        <w:t xml:space="preserve"> into AQoL-8D</w:t>
      </w:r>
      <w:r w:rsidR="00CC0438">
        <w:rPr>
          <w:rFonts w:ascii="ZWAdobeF" w:hAnsi="ZWAdobeF" w:cs="ZWAdobeF"/>
          <w:sz w:val="2"/>
          <w:szCs w:val="2"/>
        </w:rPr>
        <w:t>145F</w:t>
      </w:r>
      <w:r w:rsidR="00ED01E5" w:rsidRPr="00940BB2">
        <w:rPr>
          <w:rStyle w:val="FootnoteReference"/>
          <w:szCs w:val="20"/>
        </w:rPr>
        <w:footnoteReference w:id="147"/>
      </w:r>
      <w:r w:rsidR="00464DFA" w:rsidRPr="00940BB2">
        <w:t>. The benefit includes QALY</w:t>
      </w:r>
      <w:r w:rsidR="00833BC0" w:rsidRPr="00940BB2">
        <w:t>s</w:t>
      </w:r>
      <w:r w:rsidR="00464DFA" w:rsidRPr="00940BB2">
        <w:t xml:space="preserve"> gained </w:t>
      </w:r>
      <w:r w:rsidR="00833BC0" w:rsidRPr="00940BB2">
        <w:t xml:space="preserve">during the episode of treatment, </w:t>
      </w:r>
      <w:r w:rsidR="00E86D8B" w:rsidRPr="00940BB2">
        <w:t>sustained effects reported up to three months post treatment from the follow</w:t>
      </w:r>
      <w:r w:rsidR="00156585">
        <w:t xml:space="preserve"> </w:t>
      </w:r>
      <w:r w:rsidR="00E86D8B" w:rsidRPr="00940BB2">
        <w:t xml:space="preserve">up survey and an extrapolation of sustained effects up to 12 months after the last </w:t>
      </w:r>
      <w:r w:rsidR="00E84A36" w:rsidRPr="00940BB2">
        <w:t>observed data point. Details for calculation of outcomes is presented in Appendix K.</w:t>
      </w:r>
    </w:p>
    <w:p w14:paraId="22FB0764" w14:textId="37DDF948" w:rsidR="00FE2D7B" w:rsidRPr="00940BB2" w:rsidRDefault="00FE2D7B" w:rsidP="00011769">
      <w:pPr>
        <w:pStyle w:val="Bullet1stlevel"/>
      </w:pPr>
      <w:r w:rsidRPr="00940BB2">
        <w:t>Outcomes are adjusted for RTM effects.</w:t>
      </w:r>
    </w:p>
    <w:p w14:paraId="59B0FDF2" w14:textId="07BB1134" w:rsidR="00FE2D7B" w:rsidRPr="00940BB2" w:rsidRDefault="007B7A11" w:rsidP="00011769">
      <w:pPr>
        <w:pStyle w:val="Bullet1stlevel"/>
      </w:pPr>
      <w:r w:rsidRPr="00940BB2">
        <w:t xml:space="preserve">Treatment effects from episodes with </w:t>
      </w:r>
      <w:r w:rsidR="00777341">
        <w:t>one</w:t>
      </w:r>
      <w:r w:rsidRPr="00940BB2">
        <w:t xml:space="preserve"> </w:t>
      </w:r>
      <w:r w:rsidR="00525ED1">
        <w:t>OOS</w:t>
      </w:r>
      <w:r w:rsidRPr="00940BB2">
        <w:t xml:space="preserve"> or </w:t>
      </w:r>
      <w:r w:rsidR="00777341">
        <w:t>two</w:t>
      </w:r>
      <w:r w:rsidRPr="00940BB2">
        <w:t xml:space="preserve"> </w:t>
      </w:r>
      <w:r w:rsidR="00525ED1">
        <w:t>OOS</w:t>
      </w:r>
      <w:r w:rsidRPr="00940BB2">
        <w:t xml:space="preserve"> are assumed to be </w:t>
      </w:r>
      <w:r w:rsidR="00350691" w:rsidRPr="00940BB2">
        <w:t>zero as these episodes do not meet the MAT criteria</w:t>
      </w:r>
      <w:r w:rsidR="00F56101" w:rsidRPr="00940BB2">
        <w:t>.</w:t>
      </w:r>
    </w:p>
    <w:p w14:paraId="59201AAC" w14:textId="490C3822" w:rsidR="0072646B" w:rsidRPr="00F168FC" w:rsidRDefault="0072646B" w:rsidP="0072646B">
      <w:pPr>
        <w:rPr>
          <w:szCs w:val="20"/>
        </w:rPr>
      </w:pPr>
      <w:r>
        <w:t>For comparator</w:t>
      </w:r>
      <w:r w:rsidR="00545DC6">
        <w:t>:</w:t>
      </w:r>
    </w:p>
    <w:p w14:paraId="0CE19010" w14:textId="31092E37" w:rsidR="00832193" w:rsidRPr="00940BB2" w:rsidRDefault="003C1E68" w:rsidP="00C207B8">
      <w:pPr>
        <w:pStyle w:val="Bullet1stlevel"/>
      </w:pPr>
      <w:r>
        <w:t>Ten per cent</w:t>
      </w:r>
      <w:r w:rsidR="00832193" w:rsidRPr="00014D01">
        <w:t xml:space="preserve"> of head</w:t>
      </w:r>
      <w:r w:rsidR="00832193" w:rsidRPr="00F10938">
        <w:t>space</w:t>
      </w:r>
      <w:r w:rsidR="00FE48DB" w:rsidRPr="00A6283C">
        <w:t xml:space="preserve"> closed episodes </w:t>
      </w:r>
      <w:r w:rsidR="00092964" w:rsidRPr="00306019">
        <w:t xml:space="preserve">are assumed to get </w:t>
      </w:r>
      <w:r w:rsidR="00092964" w:rsidRPr="00684ABC">
        <w:t>alternative treatments in the world without headspace</w:t>
      </w:r>
      <w:r w:rsidR="00792F5A" w:rsidRPr="00C94590">
        <w:t>. T</w:t>
      </w:r>
      <w:r w:rsidR="00792F5A" w:rsidRPr="00587036">
        <w:t>he rest of 90</w:t>
      </w:r>
      <w:r>
        <w:t> per cent</w:t>
      </w:r>
      <w:r w:rsidR="00792F5A" w:rsidRPr="00587036">
        <w:t xml:space="preserve"> closed episodes are assumed to receive no treatment, hence, </w:t>
      </w:r>
      <w:r w:rsidR="00122790" w:rsidRPr="006835AD">
        <w:t>the</w:t>
      </w:r>
      <w:r w:rsidR="00122790" w:rsidRPr="00661DF3">
        <w:t xml:space="preserve"> treatment effects </w:t>
      </w:r>
      <w:r w:rsidR="007A0FAF">
        <w:t>after</w:t>
      </w:r>
      <w:r w:rsidR="007A0FAF" w:rsidRPr="00661DF3">
        <w:t xml:space="preserve"> </w:t>
      </w:r>
      <w:r w:rsidR="00122790" w:rsidRPr="00661DF3">
        <w:t xml:space="preserve">RTM adjustment are zero. In addition, </w:t>
      </w:r>
      <w:r w:rsidR="00AD57FB" w:rsidRPr="006F2DDD">
        <w:t>these episodes would have h</w:t>
      </w:r>
      <w:r w:rsidR="00AD57FB" w:rsidRPr="001C2522">
        <w:t xml:space="preserve">igher probability of </w:t>
      </w:r>
      <w:r w:rsidR="00AD57FB" w:rsidRPr="00972C05">
        <w:t xml:space="preserve">hospitalisation as a consequence. </w:t>
      </w:r>
      <w:r w:rsidR="000339EB" w:rsidRPr="00367049">
        <w:t>Details on consequences are discussed in Appendix K.</w:t>
      </w:r>
    </w:p>
    <w:p w14:paraId="3AE88390" w14:textId="6CA6AE72" w:rsidR="00D2520F" w:rsidRPr="00E345E1" w:rsidRDefault="00D2520F" w:rsidP="00C207B8">
      <w:pPr>
        <w:pStyle w:val="Bullet1stlevel"/>
      </w:pPr>
      <w:r w:rsidRPr="00940BB2">
        <w:t>Two elements are used to define the comparator costs: 1) the scheduled fees for the observed mix of initial appointments; and 2) the A</w:t>
      </w:r>
      <w:r w:rsidR="00FF7E0A">
        <w:t>ustralian Psychological Society</w:t>
      </w:r>
      <w:r w:rsidRPr="00940BB2">
        <w:t xml:space="preserve"> national schedule of recommended fees and item numbers for psychological services for the treatment</w:t>
      </w:r>
      <w:r w:rsidR="00CC0438">
        <w:rPr>
          <w:rFonts w:ascii="ZWAdobeF" w:hAnsi="ZWAdobeF" w:cs="ZWAdobeF"/>
          <w:sz w:val="2"/>
          <w:szCs w:val="2"/>
        </w:rPr>
        <w:t>146F</w:t>
      </w:r>
      <w:r>
        <w:rPr>
          <w:rStyle w:val="FootnoteReference"/>
        </w:rPr>
        <w:footnoteReference w:id="148"/>
      </w:r>
      <w:r w:rsidR="0032344A">
        <w:t>.</w:t>
      </w:r>
      <w:r w:rsidR="005507C1">
        <w:t xml:space="preserve"> More details are presented in </w:t>
      </w:r>
      <w:r w:rsidR="005507C1" w:rsidRPr="00F168FC">
        <w:t>Appendi</w:t>
      </w:r>
      <w:r w:rsidR="005507C1" w:rsidRPr="00E345E1">
        <w:t>x K.</w:t>
      </w:r>
    </w:p>
    <w:p w14:paraId="74D254E7" w14:textId="6CFAAC25" w:rsidR="00545DC6" w:rsidRPr="00014D01" w:rsidRDefault="0030740B" w:rsidP="00C207B8">
      <w:pPr>
        <w:pStyle w:val="Bullet1stlevel"/>
      </w:pPr>
      <w:r w:rsidRPr="00940BB2">
        <w:t xml:space="preserve">Outcomes of treatment from </w:t>
      </w:r>
      <w:r w:rsidR="004B215C">
        <w:t>providers</w:t>
      </w:r>
      <w:r w:rsidR="004B215C" w:rsidRPr="00940BB2">
        <w:t xml:space="preserve"> </w:t>
      </w:r>
      <w:r w:rsidR="00832193" w:rsidRPr="00940BB2">
        <w:t xml:space="preserve">in the world without headspace </w:t>
      </w:r>
      <w:r w:rsidR="007D2374" w:rsidRPr="00940BB2">
        <w:t>are</w:t>
      </w:r>
      <w:r w:rsidR="00832193" w:rsidRPr="00940BB2">
        <w:t xml:space="preserve"> assumed to be the same as treatments from headspace</w:t>
      </w:r>
      <w:r w:rsidR="58E48BCB" w:rsidRPr="7D53CD41">
        <w:t>.</w:t>
      </w:r>
    </w:p>
    <w:p w14:paraId="771632AD" w14:textId="25A63EAB" w:rsidR="00652D0F" w:rsidRDefault="00652D0F" w:rsidP="00C207B8">
      <w:pPr>
        <w:pStyle w:val="BodyText"/>
      </w:pPr>
      <w:r>
        <w:t>Compared to the ‘</w:t>
      </w:r>
      <w:r w:rsidR="00B77AFE">
        <w:t>world without</w:t>
      </w:r>
      <w:r>
        <w:t xml:space="preserve"> </w:t>
      </w:r>
      <w:r w:rsidR="00B77AFE">
        <w:t>headspace</w:t>
      </w:r>
      <w:r>
        <w:t xml:space="preserve">’ scenario, </w:t>
      </w:r>
      <w:r w:rsidR="00B77AFE">
        <w:t>the headspace program</w:t>
      </w:r>
      <w:r>
        <w:t xml:space="preserve"> results in an average incremental cost of </w:t>
      </w:r>
      <w:r w:rsidRPr="000F36D6">
        <w:t>$75</w:t>
      </w:r>
      <w:r w:rsidR="00B77AFE">
        <w:t xml:space="preserve">5 </w:t>
      </w:r>
      <w:r>
        <w:t xml:space="preserve">and an incremental QALY gain of </w:t>
      </w:r>
      <w:r w:rsidRPr="00D30E85">
        <w:t>0.0</w:t>
      </w:r>
      <w:r w:rsidR="00B77AFE">
        <w:t>2. Combined, this generates an</w:t>
      </w:r>
      <w:r>
        <w:t xml:space="preserve"> </w:t>
      </w:r>
      <w:r w:rsidR="00D74E2D">
        <w:t>ICER</w:t>
      </w:r>
      <w:r>
        <w:t xml:space="preserve"> of </w:t>
      </w:r>
      <w:r w:rsidRPr="00D7105F">
        <w:t>$44,722</w:t>
      </w:r>
      <w:r w:rsidR="006F0F91">
        <w:t xml:space="preserve">, </w:t>
      </w:r>
      <w:r w:rsidR="006F0F91">
        <w:rPr>
          <w:rStyle w:val="IntenseEmphasis"/>
          <w:i w:val="0"/>
          <w:iCs w:val="0"/>
          <w:color w:val="auto"/>
        </w:rPr>
        <w:t>on par with established benchmarks on cost-effectiveness ratios</w:t>
      </w:r>
      <w:r w:rsidR="00B24A04">
        <w:rPr>
          <w:rStyle w:val="IntenseEmphasis"/>
          <w:i w:val="0"/>
          <w:iCs w:val="0"/>
          <w:color w:val="auto"/>
        </w:rPr>
        <w:t>.</w:t>
      </w:r>
      <w:r w:rsidR="002817D9">
        <w:t xml:space="preserve"> </w:t>
      </w:r>
    </w:p>
    <w:p w14:paraId="484CE57E" w14:textId="750587DF" w:rsidR="001672F4" w:rsidRPr="001672F4" w:rsidRDefault="001672F4" w:rsidP="00A30057">
      <w:pPr>
        <w:pStyle w:val="Caption"/>
        <w:keepLines/>
      </w:pPr>
      <w:bookmarkStart w:id="148" w:name="_Ref104897643"/>
      <w:bookmarkStart w:id="149" w:name="_Ref104897640"/>
      <w:bookmarkStart w:id="150" w:name="_Toc108108969"/>
      <w:r w:rsidRPr="001672F4">
        <w:t xml:space="preserve">Table </w:t>
      </w:r>
      <w:r>
        <w:fldChar w:fldCharType="begin"/>
      </w:r>
      <w:r>
        <w:instrText>SEQ Table \* ARABIC</w:instrText>
      </w:r>
      <w:r>
        <w:fldChar w:fldCharType="separate"/>
      </w:r>
      <w:r w:rsidR="00CC0438">
        <w:rPr>
          <w:noProof/>
        </w:rPr>
        <w:t>19</w:t>
      </w:r>
      <w:r>
        <w:fldChar w:fldCharType="end"/>
      </w:r>
      <w:bookmarkEnd w:id="148"/>
      <w:r w:rsidRPr="001672F4">
        <w:t>: Results of incremental cost-effectiveness analysis</w:t>
      </w:r>
      <w:bookmarkEnd w:id="149"/>
      <w:bookmarkEnd w:id="150"/>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Caption w:val="Results of incremental cost-effectiveness analysis"/>
        <w:tblDescription w:val="Table 19 has 4 columns summarising the outcomes from the incremental cost effectiveness analysis undertaken. Column 1 describes the particular scenario analysed. Column 2 summarises the costs result. Column 3 summarises the quality adjusted life year result. Column 4 summarises the incremental cost effectiveness ratio of achieving the quality adjusted life years."/>
      </w:tblPr>
      <w:tblGrid>
        <w:gridCol w:w="3686"/>
        <w:gridCol w:w="1321"/>
        <w:gridCol w:w="1321"/>
        <w:gridCol w:w="2036"/>
      </w:tblGrid>
      <w:tr w:rsidR="00A110C2" w:rsidRPr="00137B46" w14:paraId="0C0BE450" w14:textId="5CA10543" w:rsidTr="00D02223">
        <w:trPr>
          <w:trHeight w:val="288"/>
        </w:trPr>
        <w:tc>
          <w:tcPr>
            <w:tcW w:w="3686" w:type="dxa"/>
            <w:shd w:val="clear" w:color="auto" w:fill="00338D"/>
          </w:tcPr>
          <w:p w14:paraId="6CBB74A2" w14:textId="66CD2FD4" w:rsidR="00A110C2" w:rsidRPr="00C95536" w:rsidRDefault="00A110C2" w:rsidP="00C207B8">
            <w:pPr>
              <w:pStyle w:val="Tableheading"/>
            </w:pPr>
            <w:r>
              <w:t>Scenario</w:t>
            </w:r>
          </w:p>
        </w:tc>
        <w:tc>
          <w:tcPr>
            <w:tcW w:w="1321" w:type="dxa"/>
            <w:shd w:val="clear" w:color="auto" w:fill="00338D"/>
          </w:tcPr>
          <w:p w14:paraId="13C12C28" w14:textId="079F694A" w:rsidR="00A110C2" w:rsidRDefault="00A110C2" w:rsidP="00C207B8">
            <w:pPr>
              <w:pStyle w:val="Tableheading"/>
            </w:pPr>
            <w:r>
              <w:t>Costs</w:t>
            </w:r>
          </w:p>
        </w:tc>
        <w:tc>
          <w:tcPr>
            <w:tcW w:w="1321" w:type="dxa"/>
            <w:shd w:val="clear" w:color="auto" w:fill="00338D"/>
          </w:tcPr>
          <w:p w14:paraId="16A5E546" w14:textId="124691B5" w:rsidR="00A110C2" w:rsidRDefault="00A110C2" w:rsidP="00C207B8">
            <w:pPr>
              <w:pStyle w:val="Tableheading"/>
            </w:pPr>
            <w:r>
              <w:t>QALY</w:t>
            </w:r>
            <w:r w:rsidR="00FA45B2">
              <w:t>s</w:t>
            </w:r>
          </w:p>
        </w:tc>
        <w:tc>
          <w:tcPr>
            <w:tcW w:w="2036" w:type="dxa"/>
            <w:shd w:val="clear" w:color="auto" w:fill="00338D"/>
          </w:tcPr>
          <w:p w14:paraId="219D9332" w14:textId="55FF3E66" w:rsidR="00A110C2" w:rsidRDefault="00A110C2" w:rsidP="00C207B8">
            <w:pPr>
              <w:pStyle w:val="Tableheading"/>
            </w:pPr>
            <w:r>
              <w:t>ICER</w:t>
            </w:r>
          </w:p>
        </w:tc>
      </w:tr>
      <w:tr w:rsidR="00307BA6" w:rsidRPr="00137B46" w14:paraId="3D83083C" w14:textId="3CD7E894" w:rsidTr="00D02223">
        <w:trPr>
          <w:trHeight w:val="288"/>
        </w:trPr>
        <w:tc>
          <w:tcPr>
            <w:tcW w:w="3686" w:type="dxa"/>
          </w:tcPr>
          <w:p w14:paraId="5E8EB6A9" w14:textId="36462DA0" w:rsidR="00307BA6" w:rsidRPr="00C02808" w:rsidRDefault="00307BA6" w:rsidP="00C207B8">
            <w:pPr>
              <w:pStyle w:val="Tabletext"/>
              <w:rPr>
                <w:lang w:eastAsia="en-AU"/>
              </w:rPr>
            </w:pPr>
            <w:r w:rsidRPr="00C02808">
              <w:rPr>
                <w:lang w:eastAsia="en-AU"/>
              </w:rPr>
              <w:t>World with headspace</w:t>
            </w:r>
          </w:p>
        </w:tc>
        <w:tc>
          <w:tcPr>
            <w:tcW w:w="1321" w:type="dxa"/>
            <w:vAlign w:val="center"/>
          </w:tcPr>
          <w:p w14:paraId="6512DDEA" w14:textId="67AB0458" w:rsidR="00307BA6" w:rsidRPr="00C02808" w:rsidRDefault="00307BA6" w:rsidP="00C207B8">
            <w:pPr>
              <w:pStyle w:val="Tabletext"/>
              <w:rPr>
                <w:lang w:eastAsia="en-AU"/>
              </w:rPr>
            </w:pPr>
            <w:r w:rsidRPr="007C4F08">
              <w:t>$</w:t>
            </w:r>
            <w:r w:rsidR="0005065D">
              <w:t>842</w:t>
            </w:r>
          </w:p>
        </w:tc>
        <w:tc>
          <w:tcPr>
            <w:tcW w:w="1321" w:type="dxa"/>
            <w:vAlign w:val="center"/>
          </w:tcPr>
          <w:p w14:paraId="5BD06900" w14:textId="31D03B73" w:rsidR="00307BA6" w:rsidRPr="00C02808" w:rsidRDefault="00307BA6" w:rsidP="00C207B8">
            <w:pPr>
              <w:pStyle w:val="Tabletext"/>
              <w:rPr>
                <w:lang w:eastAsia="en-AU"/>
              </w:rPr>
            </w:pPr>
            <w:r w:rsidRPr="007C4F08">
              <w:t>0.019</w:t>
            </w:r>
          </w:p>
        </w:tc>
        <w:tc>
          <w:tcPr>
            <w:tcW w:w="2036" w:type="dxa"/>
            <w:vAlign w:val="center"/>
          </w:tcPr>
          <w:p w14:paraId="0B5AA7D7" w14:textId="18B0C587" w:rsidR="00307BA6" w:rsidRPr="00C02808" w:rsidRDefault="00307BA6" w:rsidP="00C207B8">
            <w:pPr>
              <w:pStyle w:val="Tabletext"/>
              <w:rPr>
                <w:lang w:eastAsia="en-AU"/>
              </w:rPr>
            </w:pPr>
          </w:p>
        </w:tc>
      </w:tr>
      <w:tr w:rsidR="00A9534C" w:rsidRPr="00137B46" w14:paraId="5CF15E58" w14:textId="2C4F1807" w:rsidTr="00D02223">
        <w:trPr>
          <w:trHeight w:val="288"/>
        </w:trPr>
        <w:tc>
          <w:tcPr>
            <w:tcW w:w="3686" w:type="dxa"/>
            <w:tcBorders>
              <w:bottom w:val="single" w:sz="4" w:space="0" w:color="auto"/>
            </w:tcBorders>
          </w:tcPr>
          <w:p w14:paraId="31CD83A0" w14:textId="755BE5EF" w:rsidR="00A9534C" w:rsidRPr="00C02808" w:rsidRDefault="00A9534C" w:rsidP="00C207B8">
            <w:pPr>
              <w:pStyle w:val="Tabletext"/>
            </w:pPr>
            <w:r w:rsidRPr="00C02808">
              <w:rPr>
                <w:lang w:eastAsia="en-AU"/>
              </w:rPr>
              <w:t>World with</w:t>
            </w:r>
            <w:r w:rsidR="005960E5">
              <w:rPr>
                <w:lang w:eastAsia="en-AU"/>
              </w:rPr>
              <w:t>out</w:t>
            </w:r>
            <w:r w:rsidRPr="00C02808">
              <w:rPr>
                <w:lang w:eastAsia="en-AU"/>
              </w:rPr>
              <w:t xml:space="preserve"> headspace</w:t>
            </w:r>
          </w:p>
        </w:tc>
        <w:tc>
          <w:tcPr>
            <w:tcW w:w="1321" w:type="dxa"/>
            <w:tcBorders>
              <w:bottom w:val="single" w:sz="4" w:space="0" w:color="auto"/>
            </w:tcBorders>
            <w:vAlign w:val="center"/>
          </w:tcPr>
          <w:p w14:paraId="51885F2B" w14:textId="1C856C1E" w:rsidR="00A9534C" w:rsidRPr="00C02808" w:rsidRDefault="00A9534C" w:rsidP="00C207B8">
            <w:pPr>
              <w:pStyle w:val="Tabletext"/>
              <w:rPr>
                <w:lang w:eastAsia="en-AU"/>
              </w:rPr>
            </w:pPr>
            <w:r w:rsidRPr="007C4F08">
              <w:t>$</w:t>
            </w:r>
            <w:r w:rsidR="0005065D">
              <w:t>87</w:t>
            </w:r>
          </w:p>
        </w:tc>
        <w:tc>
          <w:tcPr>
            <w:tcW w:w="1321" w:type="dxa"/>
            <w:tcBorders>
              <w:bottom w:val="single" w:sz="4" w:space="0" w:color="auto"/>
            </w:tcBorders>
            <w:vAlign w:val="center"/>
          </w:tcPr>
          <w:p w14:paraId="40DB496A" w14:textId="7B6B15A9" w:rsidR="00A9534C" w:rsidRPr="00C02808" w:rsidRDefault="00A9534C" w:rsidP="00C207B8">
            <w:pPr>
              <w:pStyle w:val="Tabletext"/>
              <w:rPr>
                <w:lang w:eastAsia="en-AU"/>
              </w:rPr>
            </w:pPr>
            <w:r w:rsidRPr="007C4F08">
              <w:t>0.002</w:t>
            </w:r>
          </w:p>
        </w:tc>
        <w:tc>
          <w:tcPr>
            <w:tcW w:w="2036" w:type="dxa"/>
            <w:tcBorders>
              <w:bottom w:val="single" w:sz="4" w:space="0" w:color="auto"/>
            </w:tcBorders>
          </w:tcPr>
          <w:p w14:paraId="38300C67" w14:textId="77777777" w:rsidR="00A9534C" w:rsidRPr="00C02808" w:rsidRDefault="00A9534C" w:rsidP="00C207B8">
            <w:pPr>
              <w:pStyle w:val="Tabletext"/>
              <w:rPr>
                <w:lang w:eastAsia="en-AU"/>
              </w:rPr>
            </w:pPr>
          </w:p>
        </w:tc>
      </w:tr>
      <w:tr w:rsidR="00A9534C" w:rsidRPr="00137B46" w14:paraId="0C2E633B" w14:textId="6BAF4F7E" w:rsidTr="00D02223">
        <w:trPr>
          <w:trHeight w:val="288"/>
        </w:trPr>
        <w:tc>
          <w:tcPr>
            <w:tcW w:w="3686" w:type="dxa"/>
            <w:tcBorders>
              <w:top w:val="single" w:sz="4" w:space="0" w:color="auto"/>
              <w:bottom w:val="single" w:sz="4" w:space="0" w:color="auto"/>
            </w:tcBorders>
          </w:tcPr>
          <w:p w14:paraId="47A9ABEC" w14:textId="37973E45" w:rsidR="00A9534C" w:rsidRPr="00C02808" w:rsidRDefault="00A9534C" w:rsidP="00C207B8">
            <w:pPr>
              <w:pStyle w:val="Tabletext"/>
              <w:rPr>
                <w:b/>
                <w:bCs/>
                <w:lang w:eastAsia="en-AU"/>
              </w:rPr>
            </w:pPr>
            <w:r w:rsidRPr="00C02808">
              <w:rPr>
                <w:b/>
                <w:bCs/>
                <w:lang w:eastAsia="en-AU"/>
              </w:rPr>
              <w:t xml:space="preserve">Difference between the </w:t>
            </w:r>
            <w:r w:rsidR="00B24A04" w:rsidRPr="00C02808">
              <w:rPr>
                <w:b/>
                <w:bCs/>
                <w:lang w:eastAsia="en-AU"/>
              </w:rPr>
              <w:t>scenarios</w:t>
            </w:r>
          </w:p>
        </w:tc>
        <w:tc>
          <w:tcPr>
            <w:tcW w:w="1321" w:type="dxa"/>
            <w:tcBorders>
              <w:top w:val="single" w:sz="4" w:space="0" w:color="auto"/>
              <w:bottom w:val="single" w:sz="4" w:space="0" w:color="auto"/>
            </w:tcBorders>
          </w:tcPr>
          <w:p w14:paraId="0B8B33B9" w14:textId="45917D5C" w:rsidR="00A9534C" w:rsidRPr="001B6E24" w:rsidRDefault="00A9534C" w:rsidP="00C207B8">
            <w:pPr>
              <w:pStyle w:val="Tabletext"/>
              <w:rPr>
                <w:b/>
                <w:bCs/>
                <w:lang w:eastAsia="en-AU"/>
              </w:rPr>
            </w:pPr>
            <w:r w:rsidRPr="001B6E24">
              <w:rPr>
                <w:b/>
                <w:bCs/>
              </w:rPr>
              <w:t>$</w:t>
            </w:r>
            <w:r w:rsidR="0005065D">
              <w:rPr>
                <w:b/>
                <w:bCs/>
              </w:rPr>
              <w:t>755</w:t>
            </w:r>
          </w:p>
        </w:tc>
        <w:tc>
          <w:tcPr>
            <w:tcW w:w="1321" w:type="dxa"/>
            <w:tcBorders>
              <w:top w:val="single" w:sz="4" w:space="0" w:color="auto"/>
              <w:bottom w:val="single" w:sz="4" w:space="0" w:color="auto"/>
            </w:tcBorders>
          </w:tcPr>
          <w:p w14:paraId="2F620583" w14:textId="19232CBF" w:rsidR="00A9534C" w:rsidRPr="001B6E24" w:rsidRDefault="00EC7A3B" w:rsidP="00C207B8">
            <w:pPr>
              <w:pStyle w:val="Tabletext"/>
              <w:rPr>
                <w:b/>
                <w:bCs/>
                <w:lang w:eastAsia="en-AU"/>
              </w:rPr>
            </w:pPr>
            <w:r w:rsidRPr="001B6E24">
              <w:rPr>
                <w:b/>
                <w:bCs/>
              </w:rPr>
              <w:t>0.017</w:t>
            </w:r>
          </w:p>
        </w:tc>
        <w:tc>
          <w:tcPr>
            <w:tcW w:w="2036" w:type="dxa"/>
            <w:tcBorders>
              <w:top w:val="single" w:sz="4" w:space="0" w:color="auto"/>
              <w:bottom w:val="single" w:sz="4" w:space="0" w:color="auto"/>
            </w:tcBorders>
          </w:tcPr>
          <w:p w14:paraId="0E4A7DB5" w14:textId="3401B904" w:rsidR="00A9534C" w:rsidRPr="001B6E24" w:rsidRDefault="001B6E24" w:rsidP="00C207B8">
            <w:pPr>
              <w:pStyle w:val="Tabletext"/>
              <w:rPr>
                <w:b/>
                <w:bCs/>
                <w:lang w:eastAsia="en-AU"/>
              </w:rPr>
            </w:pPr>
            <w:r w:rsidRPr="001B6E24">
              <w:rPr>
                <w:b/>
                <w:bCs/>
              </w:rPr>
              <w:t>$44,722</w:t>
            </w:r>
          </w:p>
        </w:tc>
      </w:tr>
    </w:tbl>
    <w:p w14:paraId="2F50BFBF" w14:textId="5D0B3FEC" w:rsidR="001672F4" w:rsidRDefault="001672F4" w:rsidP="00C207B8">
      <w:pPr>
        <w:pStyle w:val="Source"/>
      </w:pPr>
      <w:r>
        <w:t xml:space="preserve">Source: KPMG analysis of </w:t>
      </w:r>
      <w:r w:rsidR="008862E5">
        <w:t>hMDS.</w:t>
      </w:r>
    </w:p>
    <w:p w14:paraId="521AA823" w14:textId="06164C72" w:rsidR="00086F2B" w:rsidRDefault="00652D0F" w:rsidP="00C207B8">
      <w:pPr>
        <w:pStyle w:val="Source"/>
      </w:pPr>
      <w:r w:rsidRPr="007C4F08">
        <w:t>Note:</w:t>
      </w:r>
      <w:r w:rsidR="00C207B8">
        <w:t xml:space="preserve"> </w:t>
      </w:r>
      <w:r w:rsidRPr="007C4F08">
        <w:t xml:space="preserve">QALYs </w:t>
      </w:r>
      <w:r w:rsidR="00FF7E0A">
        <w:t xml:space="preserve">- </w:t>
      </w:r>
      <w:r w:rsidRPr="007C4F08">
        <w:t xml:space="preserve">quality-adjusted life year; ICER </w:t>
      </w:r>
      <w:r w:rsidR="00FF7E0A">
        <w:t xml:space="preserve">- </w:t>
      </w:r>
      <w:r w:rsidRPr="007C4F08">
        <w:t>incremental cost-effectiveness ratio</w:t>
      </w:r>
    </w:p>
    <w:p w14:paraId="7429C4A0" w14:textId="77777777" w:rsidR="0059731B" w:rsidRPr="00F10938" w:rsidRDefault="0059731B" w:rsidP="00940BB2">
      <w:pPr>
        <w:pStyle w:val="Heading4"/>
      </w:pPr>
      <w:r w:rsidRPr="00E345E1">
        <w:t>S</w:t>
      </w:r>
      <w:r w:rsidRPr="00014D01">
        <w:t>ensitivity analyses</w:t>
      </w:r>
    </w:p>
    <w:p w14:paraId="508716A0" w14:textId="158BB72F" w:rsidR="000F35ED" w:rsidRDefault="00086F2B" w:rsidP="00C207B8">
      <w:pPr>
        <w:pStyle w:val="BodyText"/>
      </w:pPr>
      <w:r>
        <w:fldChar w:fldCharType="begin" w:fldLock="1"/>
      </w:r>
      <w:r>
        <w:instrText xml:space="preserve"> REF _Ref104897643 \h </w:instrText>
      </w:r>
      <w:r>
        <w:fldChar w:fldCharType="separate"/>
      </w:r>
      <w:r w:rsidR="00C50970" w:rsidRPr="001672F4">
        <w:t xml:space="preserve">Table </w:t>
      </w:r>
      <w:r w:rsidR="00C50970">
        <w:rPr>
          <w:noProof/>
        </w:rPr>
        <w:t>19</w:t>
      </w:r>
      <w:r>
        <w:fldChar w:fldCharType="end"/>
      </w:r>
      <w:r>
        <w:t xml:space="preserve"> </w:t>
      </w:r>
      <w:r w:rsidR="002817D9">
        <w:t xml:space="preserve">presented results </w:t>
      </w:r>
      <w:r w:rsidR="004C732B">
        <w:t xml:space="preserve">of </w:t>
      </w:r>
      <w:r w:rsidR="002817D9">
        <w:t>a base case scenario</w:t>
      </w:r>
      <w:r w:rsidR="004C732B">
        <w:t>. Th</w:t>
      </w:r>
      <w:r w:rsidR="00B0655E">
        <w:t>e scenario’s results were estimated with</w:t>
      </w:r>
      <w:r w:rsidR="00C56C46">
        <w:t xml:space="preserve"> </w:t>
      </w:r>
      <w:r w:rsidR="00847339">
        <w:t>a model where its input parameters were estimated with</w:t>
      </w:r>
      <w:r w:rsidR="00BA0F24">
        <w:t xml:space="preserve"> the most plausible assumptions.</w:t>
      </w:r>
      <w:r w:rsidR="00C56C46" w:rsidDel="00BA0F24">
        <w:t xml:space="preserve"> </w:t>
      </w:r>
      <w:r w:rsidR="00037022">
        <w:t>However, these estimate</w:t>
      </w:r>
      <w:r w:rsidR="00C45369">
        <w:t>s</w:t>
      </w:r>
      <w:r w:rsidR="00037022">
        <w:t xml:space="preserve"> are </w:t>
      </w:r>
      <w:r>
        <w:t>subject to uncertainty</w:t>
      </w:r>
      <w:r w:rsidR="00316D0D">
        <w:t xml:space="preserve">. </w:t>
      </w:r>
      <w:r>
        <w:t>The implications of this uncertainty are explored in</w:t>
      </w:r>
      <w:r w:rsidR="000F35ED">
        <w:t xml:space="preserve"> several sensitivity analyses</w:t>
      </w:r>
      <w:r w:rsidR="0007683E">
        <w:t xml:space="preserve"> presented in </w:t>
      </w:r>
      <w:r w:rsidR="0007683E">
        <w:fldChar w:fldCharType="begin" w:fldLock="1"/>
      </w:r>
      <w:r w:rsidR="0007683E">
        <w:instrText xml:space="preserve"> REF _Ref104899176 \h </w:instrText>
      </w:r>
      <w:r w:rsidR="00C207B8">
        <w:instrText xml:space="preserve"> \* MERGEFORMAT </w:instrText>
      </w:r>
      <w:r w:rsidR="0007683E">
        <w:fldChar w:fldCharType="separate"/>
      </w:r>
      <w:r w:rsidR="000C245D">
        <w:t xml:space="preserve">Table </w:t>
      </w:r>
      <w:r w:rsidR="000C245D">
        <w:rPr>
          <w:noProof/>
        </w:rPr>
        <w:t>20</w:t>
      </w:r>
      <w:r w:rsidR="0007683E">
        <w:fldChar w:fldCharType="end"/>
      </w:r>
      <w:r w:rsidR="0007683E">
        <w:t xml:space="preserve">. These analyses examine how the point estimates are affected based on changes in </w:t>
      </w:r>
      <w:r w:rsidR="00DC6808">
        <w:t xml:space="preserve">parameters as described above in </w:t>
      </w:r>
      <w:r w:rsidR="00DC6808">
        <w:fldChar w:fldCharType="begin" w:fldLock="1"/>
      </w:r>
      <w:r w:rsidR="00DC6808">
        <w:instrText xml:space="preserve"> REF _Ref104895603 \h </w:instrText>
      </w:r>
      <w:r w:rsidR="00C207B8">
        <w:instrText xml:space="preserve"> \* MERGEFORMAT </w:instrText>
      </w:r>
      <w:r w:rsidR="00DC6808">
        <w:fldChar w:fldCharType="separate"/>
      </w:r>
      <w:r w:rsidR="002920A7">
        <w:t xml:space="preserve">Table </w:t>
      </w:r>
      <w:r w:rsidR="002920A7">
        <w:rPr>
          <w:noProof/>
        </w:rPr>
        <w:t>89</w:t>
      </w:r>
      <w:r w:rsidR="00DC6808">
        <w:fldChar w:fldCharType="end"/>
      </w:r>
      <w:r w:rsidR="00DC6808">
        <w:t>.</w:t>
      </w:r>
      <w:r w:rsidR="00B140E3">
        <w:t xml:space="preserve"> </w:t>
      </w:r>
      <w:r w:rsidR="00F30D02">
        <w:t xml:space="preserve">Each sensitivity analysis is described in detail in </w:t>
      </w:r>
      <w:r w:rsidR="00F30D02">
        <w:fldChar w:fldCharType="begin" w:fldLock="1"/>
      </w:r>
      <w:r w:rsidR="00F30D02">
        <w:instrText xml:space="preserve"> REF _Ref104981758 \r \h </w:instrText>
      </w:r>
      <w:r w:rsidR="00C207B8">
        <w:instrText xml:space="preserve"> \* MERGEFORMAT </w:instrText>
      </w:r>
      <w:r w:rsidR="00F30D02">
        <w:fldChar w:fldCharType="separate"/>
      </w:r>
      <w:r w:rsidR="00F30D02">
        <w:t>Appendix K</w:t>
      </w:r>
      <w:r w:rsidR="00F30D02">
        <w:fldChar w:fldCharType="end"/>
      </w:r>
      <w:r w:rsidR="00F30D02">
        <w:t>.</w:t>
      </w:r>
    </w:p>
    <w:p w14:paraId="48A3C807" w14:textId="30A26908" w:rsidR="004641A4" w:rsidRDefault="00652D0F" w:rsidP="00C207B8">
      <w:pPr>
        <w:pStyle w:val="BodyText"/>
      </w:pPr>
      <w:r>
        <w:t>The sensitivity analysis suggests that, despite it being a central unknown parameter in the economic evaluation, varying the proportion of people receiving</w:t>
      </w:r>
      <w:r w:rsidR="0059460E">
        <w:t xml:space="preserve"> mental health</w:t>
      </w:r>
      <w:r>
        <w:t xml:space="preserve"> treatment in the ‘</w:t>
      </w:r>
      <w:r w:rsidR="00FF32BE">
        <w:t>world without headspace’</w:t>
      </w:r>
      <w:r>
        <w:t xml:space="preserve"> scenario within the assumed range has little effect on the ICER.</w:t>
      </w:r>
    </w:p>
    <w:p w14:paraId="0EE7FD2C" w14:textId="6A52B5D7" w:rsidR="00652D0F" w:rsidRDefault="00652D0F" w:rsidP="00C207B8">
      <w:pPr>
        <w:pStyle w:val="BodyText"/>
      </w:pPr>
      <w:r>
        <w:t xml:space="preserve">More impactful is the value of the cost per </w:t>
      </w:r>
      <w:r w:rsidR="004641A4">
        <w:t>OOS</w:t>
      </w:r>
      <w:r>
        <w:t xml:space="preserve">, which is </w:t>
      </w:r>
      <w:r w:rsidR="00320B3A">
        <w:t>determined</w:t>
      </w:r>
      <w:r>
        <w:t xml:space="preserve"> </w:t>
      </w:r>
      <w:r w:rsidR="00320B3A">
        <w:t>by an</w:t>
      </w:r>
      <w:r>
        <w:t xml:space="preserve"> assumption of the proportion of </w:t>
      </w:r>
      <w:r w:rsidR="00FF7E0A">
        <w:t>funding provided to headspace services</w:t>
      </w:r>
      <w:r>
        <w:t xml:space="preserve"> attributable to</w:t>
      </w:r>
      <w:r w:rsidR="00320B3A">
        <w:t xml:space="preserve"> direct mental health</w:t>
      </w:r>
      <w:r>
        <w:t xml:space="preserve"> treatment provision. Varying this proportion between 60 and 90</w:t>
      </w:r>
      <w:r w:rsidR="00850CBB">
        <w:t xml:space="preserve"> per cent</w:t>
      </w:r>
      <w:r w:rsidR="00320B3A">
        <w:t xml:space="preserve"> of the total services’ budget</w:t>
      </w:r>
      <w:r>
        <w:t xml:space="preserve"> results in a considerable ICER spread between $34,751 and $54,693, respectively.</w:t>
      </w:r>
    </w:p>
    <w:p w14:paraId="74E84744" w14:textId="0672EAA2" w:rsidR="00652D0F" w:rsidRDefault="00652D0F" w:rsidP="00C207B8">
      <w:pPr>
        <w:pStyle w:val="BodyText"/>
      </w:pPr>
      <w:r>
        <w:t xml:space="preserve">The analysis also identifies that the assumption of </w:t>
      </w:r>
      <w:r w:rsidR="00917E1B">
        <w:t>three</w:t>
      </w:r>
      <w:r>
        <w:t xml:space="preserve"> or more </w:t>
      </w:r>
      <w:r w:rsidR="00525ED1">
        <w:t>OOS</w:t>
      </w:r>
      <w:r>
        <w:t xml:space="preserve"> representing MAT is an impactful </w:t>
      </w:r>
      <w:r w:rsidR="005359B7">
        <w:t>assumption</w:t>
      </w:r>
      <w:r>
        <w:t xml:space="preserve">. The base case assumption is based on similar outcomes observed in patients receiving </w:t>
      </w:r>
      <w:r w:rsidR="00122FE4">
        <w:t xml:space="preserve">three or more </w:t>
      </w:r>
      <w:r w:rsidR="00525ED1">
        <w:t>OOS</w:t>
      </w:r>
      <w:r>
        <w:t xml:space="preserve"> and </w:t>
      </w:r>
      <w:r w:rsidR="00001427">
        <w:t>four</w:t>
      </w:r>
      <w:r>
        <w:t xml:space="preserve"> or more </w:t>
      </w:r>
      <w:r w:rsidR="00525ED1">
        <w:t>OOS</w:t>
      </w:r>
      <w:r>
        <w:t xml:space="preserve">. This, however, favours </w:t>
      </w:r>
      <w:r w:rsidR="003958D3">
        <w:t>headspace</w:t>
      </w:r>
      <w:r>
        <w:t xml:space="preserve">, in light of the literature which suggests only treatment comprising </w:t>
      </w:r>
      <w:r w:rsidR="003958D3">
        <w:t xml:space="preserve">four </w:t>
      </w:r>
      <w:r>
        <w:t xml:space="preserve">or more sessions is effective and considered adequate. </w:t>
      </w:r>
      <w:r w:rsidR="00E45A7D">
        <w:t>By</w:t>
      </w:r>
      <w:r w:rsidR="00E45A7D" w:rsidDel="0002553E">
        <w:t xml:space="preserve"> </w:t>
      </w:r>
      <w:r w:rsidR="0002553E">
        <w:t>assuming</w:t>
      </w:r>
      <w:r w:rsidR="00E45A7D">
        <w:t xml:space="preserve"> that MAT is achieved with four or more </w:t>
      </w:r>
      <w:r w:rsidR="00525ED1">
        <w:t>OOS</w:t>
      </w:r>
      <w:r w:rsidR="00E45A7D">
        <w:t>, the analysis</w:t>
      </w:r>
      <w:r>
        <w:t xml:space="preserve"> results in an ICER of </w:t>
      </w:r>
      <w:r w:rsidRPr="009D73B7">
        <w:t>$56,894</w:t>
      </w:r>
      <w:r>
        <w:t xml:space="preserve">, considerably above </w:t>
      </w:r>
      <w:r w:rsidR="001A615D">
        <w:t xml:space="preserve">its </w:t>
      </w:r>
      <w:r>
        <w:t xml:space="preserve">base case </w:t>
      </w:r>
      <w:r w:rsidR="001A615D">
        <w:t>value</w:t>
      </w:r>
      <w:r>
        <w:t>.</w:t>
      </w:r>
    </w:p>
    <w:p w14:paraId="39616572" w14:textId="019FFB5B" w:rsidR="008C630B" w:rsidRDefault="00652D0F" w:rsidP="00C207B8">
      <w:pPr>
        <w:pStyle w:val="BodyText"/>
      </w:pPr>
      <w:r>
        <w:t xml:space="preserve">Extrapolating the benefit for up to </w:t>
      </w:r>
      <w:r w:rsidR="005359B7">
        <w:t>five</w:t>
      </w:r>
      <w:r>
        <w:t xml:space="preserve"> years</w:t>
      </w:r>
      <w:r w:rsidR="00E4324F">
        <w:t>, instead of 12 months within the base case analysis</w:t>
      </w:r>
      <w:r w:rsidR="005359B7">
        <w:t>,</w:t>
      </w:r>
      <w:r>
        <w:t xml:space="preserve"> has the largest impact on the incremental gains, producing an ICER of </w:t>
      </w:r>
      <w:r w:rsidRPr="004A6B64">
        <w:t>$20,205</w:t>
      </w:r>
      <w:r>
        <w:t xml:space="preserve">. </w:t>
      </w:r>
    </w:p>
    <w:p w14:paraId="49129E23" w14:textId="77777777" w:rsidR="00FD4BA8" w:rsidRDefault="00C617D2" w:rsidP="00C207B8">
      <w:pPr>
        <w:pStyle w:val="BodyText"/>
      </w:pPr>
      <w:r>
        <w:t>The base case analysis adjusted mental health outcomes to account for regression to the mean. If the raw outcome measures are used instead, the</w:t>
      </w:r>
      <w:r w:rsidR="00FD4BA8">
        <w:t xml:space="preserve"> ICER changes to a lower value of </w:t>
      </w:r>
      <w:r w:rsidR="00652D0F" w:rsidRPr="008A1E2D">
        <w:t>$32,567</w:t>
      </w:r>
      <w:r w:rsidR="00FD4BA8">
        <w:t>.</w:t>
      </w:r>
    </w:p>
    <w:p w14:paraId="0E02E415" w14:textId="19CAC225" w:rsidR="00652D0F" w:rsidRDefault="000F755C" w:rsidP="00C207B8">
      <w:pPr>
        <w:pStyle w:val="BodyText"/>
      </w:pPr>
      <w:r>
        <w:t xml:space="preserve">The base case analysis assumes that closed episodes with only two </w:t>
      </w:r>
      <w:r w:rsidR="00525ED1">
        <w:t>OOS</w:t>
      </w:r>
      <w:r>
        <w:t xml:space="preserve"> would </w:t>
      </w:r>
      <w:r w:rsidR="003E3471">
        <w:t>n</w:t>
      </w:r>
      <w:r w:rsidR="005359B7">
        <w:t>o</w:t>
      </w:r>
      <w:r w:rsidR="003E3471">
        <w:t xml:space="preserve">t produce any changes in the young person’s mental health outcomes. By allowing the young person to receive a partial treatment benefit, the ICER becomes </w:t>
      </w:r>
      <w:r w:rsidR="00652D0F" w:rsidRPr="00C1597B">
        <w:t>$35,713</w:t>
      </w:r>
      <w:r w:rsidR="00652D0F">
        <w:t>.</w:t>
      </w:r>
    </w:p>
    <w:p w14:paraId="6089631A" w14:textId="708A1250" w:rsidR="00287D78" w:rsidRDefault="00287D78" w:rsidP="00C207B8">
      <w:pPr>
        <w:pStyle w:val="BodyText"/>
      </w:pPr>
      <w:r>
        <w:t xml:space="preserve">The analysis </w:t>
      </w:r>
      <w:r w:rsidR="004F068B">
        <w:t xml:space="preserve">varied the </w:t>
      </w:r>
      <w:r w:rsidR="00334DE5">
        <w:t xml:space="preserve">average fees charged per </w:t>
      </w:r>
      <w:r w:rsidR="00525ED1">
        <w:t>OOS</w:t>
      </w:r>
      <w:r w:rsidR="00334DE5">
        <w:t xml:space="preserve"> </w:t>
      </w:r>
      <w:r w:rsidR="00D72E52">
        <w:t xml:space="preserve">delivered outside of the headspace program and found that it had </w:t>
      </w:r>
      <w:r w:rsidR="00B24A04">
        <w:t>negligible</w:t>
      </w:r>
      <w:r w:rsidR="00D72E52">
        <w:t xml:space="preserve"> impacts on the ICER.</w:t>
      </w:r>
    </w:p>
    <w:p w14:paraId="35020F24" w14:textId="2DD66F5F" w:rsidR="007B2D8A" w:rsidRDefault="001E2FA9" w:rsidP="00C207B8">
      <w:pPr>
        <w:pStyle w:val="BodyText"/>
      </w:pPr>
      <w:r>
        <w:t>The analysis</w:t>
      </w:r>
      <w:r w:rsidR="007B2D8A">
        <w:t xml:space="preserve"> also found </w:t>
      </w:r>
      <w:r w:rsidR="00B24A04">
        <w:t>negligible</w:t>
      </w:r>
      <w:r w:rsidR="007B2D8A">
        <w:t xml:space="preserve"> changes to the ICER if it excluded the out-of-pocket costs from the cost calculations</w:t>
      </w:r>
      <w:r w:rsidR="002A782E">
        <w:t>.</w:t>
      </w:r>
    </w:p>
    <w:p w14:paraId="22172AF5" w14:textId="2BDF78E8" w:rsidR="005E4122" w:rsidRPr="005E4122" w:rsidRDefault="00117845" w:rsidP="00C207B8">
      <w:pPr>
        <w:pStyle w:val="BodyText"/>
        <w:rPr>
          <w:lang w:eastAsia="en-AU"/>
        </w:rPr>
      </w:pPr>
      <w:r>
        <w:t xml:space="preserve">The sensitivity analysis also varied the relative effectiveness of similar services provided outside of the headspace program. These services </w:t>
      </w:r>
      <w:r w:rsidR="00E71B69">
        <w:t>can be 20</w:t>
      </w:r>
      <w:r w:rsidR="00850CBB">
        <w:t xml:space="preserve"> per cent</w:t>
      </w:r>
      <w:r w:rsidR="00E71B69">
        <w:t xml:space="preserve"> less effective or 20</w:t>
      </w:r>
      <w:r w:rsidR="00850CBB">
        <w:t xml:space="preserve"> per cent</w:t>
      </w:r>
      <w:r w:rsidR="00E71B69">
        <w:t xml:space="preserve"> more effective than the headspace services. Both of these options had negligible impacts on the ICER</w:t>
      </w:r>
      <w:r w:rsidR="00937F6E">
        <w:t>.</w:t>
      </w:r>
    </w:p>
    <w:p w14:paraId="6FA261F3" w14:textId="35DF51FA" w:rsidR="00587024" w:rsidRDefault="00400861" w:rsidP="00C207B8">
      <w:pPr>
        <w:pStyle w:val="BodyText"/>
      </w:pPr>
      <w:r>
        <w:t>T</w:t>
      </w:r>
      <w:r w:rsidR="00323943">
        <w:t xml:space="preserve">he base case assumed that </w:t>
      </w:r>
      <w:r>
        <w:t xml:space="preserve">not receiving treatment </w:t>
      </w:r>
      <w:r w:rsidR="00D41D59">
        <w:t>increase</w:t>
      </w:r>
      <w:r w:rsidR="00CC18C3">
        <w:t>s</w:t>
      </w:r>
      <w:r w:rsidR="00D41D59">
        <w:t xml:space="preserve"> a person’s probability of seeking care in the acute system. </w:t>
      </w:r>
      <w:r w:rsidR="00323943">
        <w:t xml:space="preserve">In </w:t>
      </w:r>
      <w:r w:rsidR="00FE2DA0">
        <w:t>the</w:t>
      </w:r>
      <w:r w:rsidR="00D41D59">
        <w:t xml:space="preserve"> </w:t>
      </w:r>
      <w:r w:rsidR="00323943">
        <w:t>scenario</w:t>
      </w:r>
      <w:r w:rsidR="00D41D59">
        <w:t xml:space="preserve"> analysis</w:t>
      </w:r>
      <w:r w:rsidR="005359B7">
        <w:t>,</w:t>
      </w:r>
      <w:r w:rsidR="00D41D59">
        <w:t xml:space="preserve"> it was assumed that </w:t>
      </w:r>
      <w:r w:rsidR="00006852">
        <w:t>receiving</w:t>
      </w:r>
      <w:r w:rsidR="001429CE">
        <w:t xml:space="preserve"> treatment that does not meet the MAT requirement would </w:t>
      </w:r>
      <w:r w:rsidR="00006852">
        <w:t xml:space="preserve">also </w:t>
      </w:r>
      <w:r w:rsidR="001429CE">
        <w:t>lead to an increased probability of hospitalisation.</w:t>
      </w:r>
      <w:r w:rsidR="00382FC1">
        <w:t xml:space="preserve"> This had negligible impacts on the ICER.</w:t>
      </w:r>
    </w:p>
    <w:p w14:paraId="334EC9BF" w14:textId="3AF671F7" w:rsidR="00A26AC6" w:rsidRDefault="00A26AC6" w:rsidP="00A30057">
      <w:pPr>
        <w:pStyle w:val="Caption"/>
        <w:keepLines/>
      </w:pPr>
      <w:bookmarkStart w:id="151" w:name="_Ref104899176"/>
      <w:bookmarkStart w:id="152" w:name="_Toc108108970"/>
      <w:r>
        <w:t xml:space="preserve">Table </w:t>
      </w:r>
      <w:r>
        <w:fldChar w:fldCharType="begin"/>
      </w:r>
      <w:r>
        <w:instrText>SEQ Table \* ARABIC</w:instrText>
      </w:r>
      <w:r>
        <w:fldChar w:fldCharType="separate"/>
      </w:r>
      <w:r w:rsidR="00CC0438">
        <w:rPr>
          <w:noProof/>
        </w:rPr>
        <w:t>20</w:t>
      </w:r>
      <w:r>
        <w:fldChar w:fldCharType="end"/>
      </w:r>
      <w:bookmarkEnd w:id="151"/>
      <w:r>
        <w:t>: One-way sensitivity analysis of selected evaluation parameters</w:t>
      </w:r>
      <w:bookmarkEnd w:id="152"/>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Caption w:val="One-way sensitivity analysis of selected evaluation parameters"/>
        <w:tblDescription w:val="Table 20 has 4 columns summarising different sensitivity analyses undertaken compared to the base case described earlier. Column 1 lists the different scenarios tested in the sensitivity analysis. Column 2 indicates the change in cost from each scenario. Column 3 indicates the change in quality adjusted life years from each scenario. Column 4 indicates the incremental cost effectiveness ratio for each scenario."/>
      </w:tblPr>
      <w:tblGrid>
        <w:gridCol w:w="6232"/>
        <w:gridCol w:w="1093"/>
        <w:gridCol w:w="1093"/>
        <w:gridCol w:w="1094"/>
      </w:tblGrid>
      <w:tr w:rsidR="00652D0F" w:rsidRPr="00534322" w14:paraId="4587620B" w14:textId="77777777" w:rsidTr="003C1E68">
        <w:trPr>
          <w:trHeight w:val="288"/>
          <w:tblHeader/>
        </w:trPr>
        <w:tc>
          <w:tcPr>
            <w:tcW w:w="6232" w:type="dxa"/>
            <w:shd w:val="clear" w:color="auto" w:fill="00338D"/>
            <w:noWrap/>
            <w:hideMark/>
          </w:tcPr>
          <w:p w14:paraId="46BC308B" w14:textId="77777777" w:rsidR="00652D0F" w:rsidRPr="00C26586" w:rsidRDefault="00652D0F" w:rsidP="00C207B8">
            <w:pPr>
              <w:pStyle w:val="Tableheading"/>
              <w:rPr>
                <w:lang w:eastAsia="en-AU"/>
              </w:rPr>
            </w:pPr>
            <w:r w:rsidRPr="00C26586">
              <w:rPr>
                <w:lang w:eastAsia="en-AU"/>
              </w:rPr>
              <w:t>Scenario</w:t>
            </w:r>
          </w:p>
        </w:tc>
        <w:tc>
          <w:tcPr>
            <w:tcW w:w="1093" w:type="dxa"/>
            <w:shd w:val="clear" w:color="auto" w:fill="00338D"/>
            <w:noWrap/>
            <w:hideMark/>
          </w:tcPr>
          <w:p w14:paraId="3C9F17F7" w14:textId="5C4EF68A" w:rsidR="00652D0F" w:rsidRPr="00CF5F23" w:rsidRDefault="00CF5F23" w:rsidP="00C207B8">
            <w:pPr>
              <w:pStyle w:val="Tableheading"/>
              <w:rPr>
                <w:lang w:eastAsia="en-AU"/>
              </w:rPr>
            </w:pPr>
            <w:r w:rsidRPr="00CF5F23">
              <w:rPr>
                <w:lang w:eastAsia="en-AU"/>
              </w:rPr>
              <w:t>Change in cost</w:t>
            </w:r>
          </w:p>
        </w:tc>
        <w:tc>
          <w:tcPr>
            <w:tcW w:w="1093" w:type="dxa"/>
            <w:shd w:val="clear" w:color="auto" w:fill="00338D"/>
            <w:noWrap/>
            <w:hideMark/>
          </w:tcPr>
          <w:p w14:paraId="3E6745E8" w14:textId="75A67228" w:rsidR="00652D0F" w:rsidRPr="00CF5F23" w:rsidRDefault="00CF5F23" w:rsidP="00C207B8">
            <w:pPr>
              <w:pStyle w:val="Tableheading"/>
              <w:rPr>
                <w:lang w:eastAsia="en-AU"/>
              </w:rPr>
            </w:pPr>
            <w:r w:rsidRPr="00CF5F23">
              <w:rPr>
                <w:rFonts w:cs="Cambria"/>
                <w:lang w:eastAsia="en-AU"/>
              </w:rPr>
              <w:t xml:space="preserve">Change in </w:t>
            </w:r>
            <w:r w:rsidR="00652D0F" w:rsidRPr="00CF5F23">
              <w:rPr>
                <w:lang w:eastAsia="en-AU"/>
              </w:rPr>
              <w:t>QALY</w:t>
            </w:r>
          </w:p>
        </w:tc>
        <w:tc>
          <w:tcPr>
            <w:tcW w:w="1094" w:type="dxa"/>
            <w:shd w:val="clear" w:color="auto" w:fill="00338D"/>
            <w:noWrap/>
            <w:hideMark/>
          </w:tcPr>
          <w:p w14:paraId="1AF1B3B2" w14:textId="77777777" w:rsidR="00652D0F" w:rsidRPr="00C26586" w:rsidRDefault="00652D0F" w:rsidP="00C207B8">
            <w:pPr>
              <w:pStyle w:val="Tableheading"/>
              <w:rPr>
                <w:lang w:eastAsia="en-AU"/>
              </w:rPr>
            </w:pPr>
            <w:r w:rsidRPr="00C26586">
              <w:rPr>
                <w:lang w:eastAsia="en-AU"/>
              </w:rPr>
              <w:t>ICER</w:t>
            </w:r>
          </w:p>
        </w:tc>
      </w:tr>
      <w:tr w:rsidR="00652D0F" w:rsidRPr="00534322" w14:paraId="1D098597" w14:textId="77777777" w:rsidTr="0028743A">
        <w:trPr>
          <w:trHeight w:val="288"/>
        </w:trPr>
        <w:tc>
          <w:tcPr>
            <w:tcW w:w="6232" w:type="dxa"/>
            <w:tcBorders>
              <w:bottom w:val="single" w:sz="4" w:space="0" w:color="auto"/>
            </w:tcBorders>
            <w:noWrap/>
            <w:hideMark/>
          </w:tcPr>
          <w:p w14:paraId="75C92A8B" w14:textId="7EFE664B" w:rsidR="00652D0F" w:rsidRPr="00C26586" w:rsidRDefault="00652D0F" w:rsidP="00BE7696">
            <w:pPr>
              <w:pStyle w:val="Tabletext"/>
              <w:rPr>
                <w:lang w:eastAsia="en-AU"/>
              </w:rPr>
            </w:pPr>
            <w:r w:rsidRPr="00C26586">
              <w:rPr>
                <w:lang w:eastAsia="en-AU"/>
              </w:rPr>
              <w:t>Base case</w:t>
            </w:r>
            <w:r w:rsidR="0028743A">
              <w:rPr>
                <w:lang w:eastAsia="en-AU"/>
              </w:rPr>
              <w:t xml:space="preserve"> (BC)</w:t>
            </w:r>
          </w:p>
        </w:tc>
        <w:tc>
          <w:tcPr>
            <w:tcW w:w="1093" w:type="dxa"/>
            <w:tcBorders>
              <w:bottom w:val="single" w:sz="4" w:space="0" w:color="auto"/>
            </w:tcBorders>
            <w:noWrap/>
            <w:hideMark/>
          </w:tcPr>
          <w:p w14:paraId="4171FB93"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$754.94</w:t>
            </w:r>
          </w:p>
        </w:tc>
        <w:tc>
          <w:tcPr>
            <w:tcW w:w="1093" w:type="dxa"/>
            <w:tcBorders>
              <w:bottom w:val="single" w:sz="4" w:space="0" w:color="auto"/>
            </w:tcBorders>
            <w:noWrap/>
            <w:hideMark/>
          </w:tcPr>
          <w:p w14:paraId="4CCD1197"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0.017</w:t>
            </w:r>
          </w:p>
        </w:tc>
        <w:tc>
          <w:tcPr>
            <w:tcW w:w="1094" w:type="dxa"/>
            <w:tcBorders>
              <w:bottom w:val="single" w:sz="4" w:space="0" w:color="auto"/>
            </w:tcBorders>
            <w:noWrap/>
            <w:hideMark/>
          </w:tcPr>
          <w:p w14:paraId="7228A9DD"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$44,722</w:t>
            </w:r>
          </w:p>
        </w:tc>
      </w:tr>
      <w:tr w:rsidR="00555D06" w:rsidRPr="00534322" w14:paraId="4980A47A" w14:textId="77777777" w:rsidTr="00555D06">
        <w:trPr>
          <w:trHeight w:val="288"/>
        </w:trPr>
        <w:tc>
          <w:tcPr>
            <w:tcW w:w="9512" w:type="dxa"/>
            <w:gridSpan w:val="4"/>
            <w:tcBorders>
              <w:top w:val="single" w:sz="4" w:space="0" w:color="auto"/>
            </w:tcBorders>
            <w:noWrap/>
            <w:hideMark/>
          </w:tcPr>
          <w:p w14:paraId="4C03D148" w14:textId="47823E55" w:rsidR="00555D06" w:rsidRPr="00BE7696" w:rsidRDefault="00555D06" w:rsidP="00BE7696">
            <w:pPr>
              <w:pStyle w:val="Tabletext"/>
              <w:rPr>
                <w:rFonts w:eastAsia="Times New Roman" w:cs="Calibri"/>
                <w:color w:val="000000"/>
                <w:szCs w:val="20"/>
                <w:lang w:eastAsia="en-AU"/>
              </w:rPr>
            </w:pPr>
            <w:r w:rsidRPr="00BE7696">
              <w:rPr>
                <w:rFonts w:eastAsia="Times New Roman" w:cs="Calibri"/>
                <w:i/>
                <w:color w:val="000000"/>
                <w:szCs w:val="20"/>
                <w:lang w:eastAsia="en-AU"/>
              </w:rPr>
              <w:t>Proportion receiving treatment in the 'no headspace' scenario (BC: 10%)</w:t>
            </w:r>
          </w:p>
        </w:tc>
      </w:tr>
      <w:tr w:rsidR="00652D0F" w:rsidRPr="00534322" w14:paraId="280B68C1" w14:textId="77777777" w:rsidTr="00555D06">
        <w:trPr>
          <w:trHeight w:val="288"/>
        </w:trPr>
        <w:tc>
          <w:tcPr>
            <w:tcW w:w="6232" w:type="dxa"/>
            <w:noWrap/>
            <w:hideMark/>
          </w:tcPr>
          <w:p w14:paraId="6732B6AF"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w:t>
            </w:r>
          </w:p>
        </w:tc>
        <w:tc>
          <w:tcPr>
            <w:tcW w:w="1093" w:type="dxa"/>
            <w:noWrap/>
            <w:hideMark/>
          </w:tcPr>
          <w:p w14:paraId="1F9733AA"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$837.05</w:t>
            </w:r>
          </w:p>
        </w:tc>
        <w:tc>
          <w:tcPr>
            <w:tcW w:w="1093" w:type="dxa"/>
            <w:noWrap/>
            <w:hideMark/>
          </w:tcPr>
          <w:p w14:paraId="06A5BD4E"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0.019</w:t>
            </w:r>
          </w:p>
        </w:tc>
        <w:tc>
          <w:tcPr>
            <w:tcW w:w="1094" w:type="dxa"/>
            <w:noWrap/>
            <w:hideMark/>
          </w:tcPr>
          <w:p w14:paraId="1F5C03D3"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$44,628</w:t>
            </w:r>
          </w:p>
        </w:tc>
      </w:tr>
      <w:tr w:rsidR="00652D0F" w:rsidRPr="00534322" w14:paraId="3C8F3606" w14:textId="77777777" w:rsidTr="00555D06">
        <w:trPr>
          <w:trHeight w:val="288"/>
        </w:trPr>
        <w:tc>
          <w:tcPr>
            <w:tcW w:w="6232" w:type="dxa"/>
            <w:tcBorders>
              <w:bottom w:val="single" w:sz="4" w:space="0" w:color="auto"/>
            </w:tcBorders>
            <w:noWrap/>
            <w:hideMark/>
          </w:tcPr>
          <w:p w14:paraId="58BE894E"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20%</w:t>
            </w:r>
          </w:p>
        </w:tc>
        <w:tc>
          <w:tcPr>
            <w:tcW w:w="1093" w:type="dxa"/>
            <w:tcBorders>
              <w:bottom w:val="single" w:sz="4" w:space="0" w:color="auto"/>
            </w:tcBorders>
            <w:noWrap/>
            <w:hideMark/>
          </w:tcPr>
          <w:p w14:paraId="20A66355"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$672.82</w:t>
            </w:r>
          </w:p>
        </w:tc>
        <w:tc>
          <w:tcPr>
            <w:tcW w:w="1093" w:type="dxa"/>
            <w:tcBorders>
              <w:bottom w:val="single" w:sz="4" w:space="0" w:color="auto"/>
            </w:tcBorders>
            <w:noWrap/>
            <w:hideMark/>
          </w:tcPr>
          <w:p w14:paraId="2A3D803C"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0.015</w:t>
            </w:r>
          </w:p>
        </w:tc>
        <w:tc>
          <w:tcPr>
            <w:tcW w:w="1094" w:type="dxa"/>
            <w:tcBorders>
              <w:bottom w:val="single" w:sz="4" w:space="0" w:color="auto"/>
            </w:tcBorders>
            <w:noWrap/>
            <w:hideMark/>
          </w:tcPr>
          <w:p w14:paraId="146D34CC"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$44,840</w:t>
            </w:r>
          </w:p>
        </w:tc>
      </w:tr>
      <w:tr w:rsidR="00555D06" w:rsidRPr="00534322" w14:paraId="5CB2FF57" w14:textId="77777777" w:rsidTr="00555D06">
        <w:trPr>
          <w:trHeight w:val="288"/>
        </w:trPr>
        <w:tc>
          <w:tcPr>
            <w:tcW w:w="9512" w:type="dxa"/>
            <w:gridSpan w:val="4"/>
            <w:tcBorders>
              <w:top w:val="single" w:sz="4" w:space="0" w:color="auto"/>
            </w:tcBorders>
            <w:noWrap/>
            <w:hideMark/>
          </w:tcPr>
          <w:p w14:paraId="04FC436A" w14:textId="61AC62B0" w:rsidR="00555D06" w:rsidRPr="00BE7696" w:rsidRDefault="00555D06" w:rsidP="00BE7696">
            <w:pPr>
              <w:pStyle w:val="Tabletext"/>
              <w:rPr>
                <w:rFonts w:eastAsia="Times New Roman" w:cs="Calibri"/>
                <w:color w:val="000000"/>
                <w:szCs w:val="20"/>
                <w:lang w:eastAsia="en-AU"/>
              </w:rPr>
            </w:pPr>
            <w:r w:rsidRPr="00BE7696">
              <w:rPr>
                <w:rFonts w:eastAsia="Times New Roman" w:cs="Calibri"/>
                <w:i/>
                <w:color w:val="000000"/>
                <w:szCs w:val="20"/>
                <w:lang w:eastAsia="en-AU"/>
              </w:rPr>
              <w:t>Proportion of headspace services’ budgets attributable to service provision (BC: 75%)</w:t>
            </w:r>
          </w:p>
        </w:tc>
      </w:tr>
      <w:tr w:rsidR="00652D0F" w:rsidRPr="00534322" w14:paraId="6E33523F" w14:textId="77777777" w:rsidTr="00555D06">
        <w:trPr>
          <w:trHeight w:val="288"/>
        </w:trPr>
        <w:tc>
          <w:tcPr>
            <w:tcW w:w="6232" w:type="dxa"/>
            <w:noWrap/>
            <w:hideMark/>
          </w:tcPr>
          <w:p w14:paraId="59FA9188"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60%</w:t>
            </w:r>
          </w:p>
        </w:tc>
        <w:tc>
          <w:tcPr>
            <w:tcW w:w="1093" w:type="dxa"/>
            <w:noWrap/>
            <w:hideMark/>
          </w:tcPr>
          <w:p w14:paraId="7CAE01F1"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$586.62</w:t>
            </w:r>
          </w:p>
        </w:tc>
        <w:tc>
          <w:tcPr>
            <w:tcW w:w="1093" w:type="dxa"/>
            <w:noWrap/>
            <w:hideMark/>
          </w:tcPr>
          <w:p w14:paraId="3A8D7E33"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0.017</w:t>
            </w:r>
          </w:p>
        </w:tc>
        <w:tc>
          <w:tcPr>
            <w:tcW w:w="1094" w:type="dxa"/>
            <w:noWrap/>
            <w:hideMark/>
          </w:tcPr>
          <w:p w14:paraId="612F49E9"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$34,751</w:t>
            </w:r>
          </w:p>
        </w:tc>
      </w:tr>
      <w:tr w:rsidR="00652D0F" w:rsidRPr="00534322" w14:paraId="151EF123" w14:textId="77777777" w:rsidTr="00555D06">
        <w:trPr>
          <w:trHeight w:val="288"/>
        </w:trPr>
        <w:tc>
          <w:tcPr>
            <w:tcW w:w="6232" w:type="dxa"/>
            <w:tcBorders>
              <w:bottom w:val="single" w:sz="4" w:space="0" w:color="auto"/>
            </w:tcBorders>
            <w:noWrap/>
            <w:hideMark/>
          </w:tcPr>
          <w:p w14:paraId="41E73C96"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90%</w:t>
            </w:r>
          </w:p>
        </w:tc>
        <w:tc>
          <w:tcPr>
            <w:tcW w:w="1093" w:type="dxa"/>
            <w:tcBorders>
              <w:bottom w:val="single" w:sz="4" w:space="0" w:color="auto"/>
            </w:tcBorders>
            <w:noWrap/>
            <w:hideMark/>
          </w:tcPr>
          <w:p w14:paraId="5F0C3084"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$923.25</w:t>
            </w:r>
          </w:p>
        </w:tc>
        <w:tc>
          <w:tcPr>
            <w:tcW w:w="1093" w:type="dxa"/>
            <w:tcBorders>
              <w:bottom w:val="single" w:sz="4" w:space="0" w:color="auto"/>
            </w:tcBorders>
            <w:noWrap/>
            <w:hideMark/>
          </w:tcPr>
          <w:p w14:paraId="71AE129D"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0.017</w:t>
            </w:r>
          </w:p>
        </w:tc>
        <w:tc>
          <w:tcPr>
            <w:tcW w:w="1094" w:type="dxa"/>
            <w:tcBorders>
              <w:bottom w:val="single" w:sz="4" w:space="0" w:color="auto"/>
            </w:tcBorders>
            <w:noWrap/>
            <w:hideMark/>
          </w:tcPr>
          <w:p w14:paraId="3E0D08FF"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$54,693</w:t>
            </w:r>
          </w:p>
        </w:tc>
      </w:tr>
      <w:tr w:rsidR="004D1CD2" w:rsidRPr="00534322" w14:paraId="4F47F91E" w14:textId="77777777" w:rsidTr="004D1CD2">
        <w:trPr>
          <w:trHeight w:val="288"/>
        </w:trPr>
        <w:tc>
          <w:tcPr>
            <w:tcW w:w="9512" w:type="dxa"/>
            <w:gridSpan w:val="4"/>
            <w:tcBorders>
              <w:top w:val="single" w:sz="4" w:space="0" w:color="auto"/>
            </w:tcBorders>
            <w:noWrap/>
            <w:hideMark/>
          </w:tcPr>
          <w:p w14:paraId="0743CE24" w14:textId="61AA6F0C" w:rsidR="004D1CD2" w:rsidRPr="00BE7696" w:rsidRDefault="004D1CD2" w:rsidP="00BE7696">
            <w:pPr>
              <w:pStyle w:val="Tabletext"/>
              <w:rPr>
                <w:rFonts w:eastAsia="Times New Roman" w:cs="Calibri"/>
                <w:color w:val="000000"/>
                <w:szCs w:val="20"/>
                <w:lang w:eastAsia="en-AU"/>
              </w:rPr>
            </w:pPr>
            <w:r w:rsidRPr="00BE7696">
              <w:rPr>
                <w:rFonts w:eastAsia="Times New Roman" w:cs="Calibri"/>
                <w:i/>
                <w:color w:val="000000"/>
                <w:szCs w:val="20"/>
                <w:lang w:eastAsia="en-AU"/>
              </w:rPr>
              <w:t xml:space="preserve">Relative effectiveness of similar services provided outside of </w:t>
            </w:r>
            <w:r w:rsidR="00D015F9" w:rsidRPr="00BE7696">
              <w:rPr>
                <w:rFonts w:eastAsia="Times New Roman" w:cs="Calibri"/>
                <w:i/>
                <w:color w:val="000000"/>
                <w:szCs w:val="20"/>
                <w:lang w:eastAsia="en-AU"/>
              </w:rPr>
              <w:t>headspace</w:t>
            </w:r>
            <w:r w:rsidRPr="00BE7696">
              <w:rPr>
                <w:rFonts w:eastAsia="Times New Roman" w:cs="Calibri"/>
                <w:i/>
                <w:color w:val="000000"/>
                <w:szCs w:val="20"/>
                <w:lang w:eastAsia="en-AU"/>
              </w:rPr>
              <w:t xml:space="preserve"> (BC: 100%)</w:t>
            </w:r>
          </w:p>
        </w:tc>
      </w:tr>
      <w:tr w:rsidR="00652D0F" w:rsidRPr="00534322" w14:paraId="28FAF047" w14:textId="77777777" w:rsidTr="00EA5AB2">
        <w:trPr>
          <w:trHeight w:val="288"/>
        </w:trPr>
        <w:tc>
          <w:tcPr>
            <w:tcW w:w="6232" w:type="dxa"/>
            <w:noWrap/>
            <w:hideMark/>
          </w:tcPr>
          <w:p w14:paraId="172CDD07"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80%</w:t>
            </w:r>
          </w:p>
        </w:tc>
        <w:tc>
          <w:tcPr>
            <w:tcW w:w="1093" w:type="dxa"/>
            <w:noWrap/>
            <w:hideMark/>
          </w:tcPr>
          <w:p w14:paraId="2F2802F3"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$754.94</w:t>
            </w:r>
          </w:p>
        </w:tc>
        <w:tc>
          <w:tcPr>
            <w:tcW w:w="1093" w:type="dxa"/>
            <w:noWrap/>
            <w:hideMark/>
          </w:tcPr>
          <w:p w14:paraId="2D0600F7"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0.017</w:t>
            </w:r>
          </w:p>
        </w:tc>
        <w:tc>
          <w:tcPr>
            <w:tcW w:w="1094" w:type="dxa"/>
            <w:noWrap/>
            <w:hideMark/>
          </w:tcPr>
          <w:p w14:paraId="5A5FD1A8"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$43,909</w:t>
            </w:r>
          </w:p>
        </w:tc>
      </w:tr>
      <w:tr w:rsidR="00652D0F" w:rsidRPr="00534322" w14:paraId="662CF2F1" w14:textId="77777777" w:rsidTr="00EA5AB2">
        <w:trPr>
          <w:trHeight w:val="288"/>
        </w:trPr>
        <w:tc>
          <w:tcPr>
            <w:tcW w:w="6232" w:type="dxa"/>
            <w:tcBorders>
              <w:bottom w:val="single" w:sz="4" w:space="0" w:color="auto"/>
            </w:tcBorders>
            <w:noWrap/>
            <w:hideMark/>
          </w:tcPr>
          <w:p w14:paraId="3DE089E4"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120%</w:t>
            </w:r>
          </w:p>
        </w:tc>
        <w:tc>
          <w:tcPr>
            <w:tcW w:w="1093" w:type="dxa"/>
            <w:tcBorders>
              <w:bottom w:val="single" w:sz="4" w:space="0" w:color="auto"/>
            </w:tcBorders>
            <w:noWrap/>
            <w:hideMark/>
          </w:tcPr>
          <w:p w14:paraId="6A16CF36"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$754.94</w:t>
            </w:r>
          </w:p>
        </w:tc>
        <w:tc>
          <w:tcPr>
            <w:tcW w:w="1093" w:type="dxa"/>
            <w:tcBorders>
              <w:bottom w:val="single" w:sz="4" w:space="0" w:color="auto"/>
            </w:tcBorders>
            <w:noWrap/>
            <w:hideMark/>
          </w:tcPr>
          <w:p w14:paraId="08182D3A"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0.017</w:t>
            </w:r>
          </w:p>
        </w:tc>
        <w:tc>
          <w:tcPr>
            <w:tcW w:w="1094" w:type="dxa"/>
            <w:tcBorders>
              <w:bottom w:val="single" w:sz="4" w:space="0" w:color="auto"/>
            </w:tcBorders>
            <w:noWrap/>
            <w:hideMark/>
          </w:tcPr>
          <w:p w14:paraId="228BBF0C"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$45,739</w:t>
            </w:r>
          </w:p>
        </w:tc>
      </w:tr>
      <w:tr w:rsidR="00652D0F" w:rsidRPr="00534322" w14:paraId="3CD54E02" w14:textId="77777777" w:rsidTr="00EA5AB2">
        <w:trPr>
          <w:trHeight w:val="288"/>
        </w:trPr>
        <w:tc>
          <w:tcPr>
            <w:tcW w:w="6232" w:type="dxa"/>
            <w:tcBorders>
              <w:top w:val="single" w:sz="4" w:space="0" w:color="auto"/>
            </w:tcBorders>
            <w:noWrap/>
            <w:hideMark/>
          </w:tcPr>
          <w:p w14:paraId="6571019B" w14:textId="64408430" w:rsidR="00652D0F" w:rsidRPr="00BE7696" w:rsidRDefault="00652D0F" w:rsidP="00BE7696">
            <w:pPr>
              <w:pStyle w:val="Tabletext"/>
              <w:rPr>
                <w:rFonts w:eastAsia="Times New Roman" w:cs="Calibri"/>
                <w:i/>
                <w:color w:val="000000"/>
                <w:szCs w:val="20"/>
                <w:lang w:eastAsia="en-AU"/>
              </w:rPr>
            </w:pPr>
            <w:r w:rsidRPr="00BE7696">
              <w:rPr>
                <w:rFonts w:eastAsia="Times New Roman" w:cs="Calibri"/>
                <w:i/>
                <w:color w:val="000000"/>
                <w:szCs w:val="20"/>
                <w:lang w:eastAsia="en-AU"/>
              </w:rPr>
              <w:t xml:space="preserve">Fees charged outside of </w:t>
            </w:r>
            <w:r w:rsidR="00D015F9" w:rsidRPr="00BE7696">
              <w:rPr>
                <w:rFonts w:eastAsia="Times New Roman" w:cs="Calibri"/>
                <w:i/>
                <w:color w:val="000000"/>
                <w:szCs w:val="20"/>
                <w:lang w:eastAsia="en-AU"/>
              </w:rPr>
              <w:t>headspace</w:t>
            </w:r>
            <w:r w:rsidRPr="00BE7696">
              <w:rPr>
                <w:rFonts w:eastAsia="Times New Roman" w:cs="Calibri"/>
                <w:i/>
                <w:color w:val="000000"/>
                <w:szCs w:val="20"/>
                <w:lang w:eastAsia="en-AU"/>
              </w:rPr>
              <w:t xml:space="preserve"> (BC: $260 per </w:t>
            </w:r>
            <w:r w:rsidR="00525ED1">
              <w:rPr>
                <w:rFonts w:eastAsia="Times New Roman" w:cs="Calibri"/>
                <w:i/>
                <w:color w:val="000000"/>
                <w:szCs w:val="20"/>
                <w:lang w:eastAsia="en-AU"/>
              </w:rPr>
              <w:t>OOS</w:t>
            </w:r>
            <w:r w:rsidRPr="00BE7696">
              <w:rPr>
                <w:rFonts w:eastAsia="Times New Roman" w:cs="Calibri"/>
                <w:i/>
                <w:color w:val="000000"/>
                <w:szCs w:val="20"/>
                <w:lang w:eastAsia="en-AU"/>
              </w:rPr>
              <w:t>)</w:t>
            </w:r>
          </w:p>
        </w:tc>
        <w:tc>
          <w:tcPr>
            <w:tcW w:w="1093" w:type="dxa"/>
            <w:tcBorders>
              <w:top w:val="single" w:sz="4" w:space="0" w:color="auto"/>
            </w:tcBorders>
            <w:noWrap/>
            <w:hideMark/>
          </w:tcPr>
          <w:p w14:paraId="3B579364" w14:textId="77777777" w:rsidR="00652D0F" w:rsidRPr="00C26586" w:rsidRDefault="00652D0F" w:rsidP="00BE7696">
            <w:pPr>
              <w:pStyle w:val="Tabletext"/>
              <w:rPr>
                <w:rFonts w:eastAsia="Times New Roman" w:cs="Calibri"/>
                <w:color w:val="000000"/>
                <w:szCs w:val="20"/>
                <w:lang w:eastAsia="en-AU"/>
              </w:rPr>
            </w:pPr>
          </w:p>
        </w:tc>
        <w:tc>
          <w:tcPr>
            <w:tcW w:w="1093" w:type="dxa"/>
            <w:tcBorders>
              <w:top w:val="single" w:sz="4" w:space="0" w:color="auto"/>
            </w:tcBorders>
            <w:noWrap/>
            <w:hideMark/>
          </w:tcPr>
          <w:p w14:paraId="29BE3560" w14:textId="77777777" w:rsidR="00652D0F" w:rsidRPr="00C26586" w:rsidRDefault="00652D0F" w:rsidP="00BE7696">
            <w:pPr>
              <w:pStyle w:val="Tabletext"/>
              <w:rPr>
                <w:rFonts w:eastAsia="Times New Roman" w:cs="Calibri"/>
                <w:color w:val="000000"/>
                <w:szCs w:val="20"/>
                <w:lang w:eastAsia="en-AU"/>
              </w:rPr>
            </w:pPr>
          </w:p>
        </w:tc>
        <w:tc>
          <w:tcPr>
            <w:tcW w:w="1094" w:type="dxa"/>
            <w:tcBorders>
              <w:top w:val="single" w:sz="4" w:space="0" w:color="auto"/>
            </w:tcBorders>
            <w:noWrap/>
            <w:hideMark/>
          </w:tcPr>
          <w:p w14:paraId="011279BF" w14:textId="77777777" w:rsidR="00652D0F" w:rsidRPr="00C26586" w:rsidRDefault="00652D0F" w:rsidP="00BE7696">
            <w:pPr>
              <w:pStyle w:val="Tabletext"/>
              <w:rPr>
                <w:rFonts w:eastAsia="Times New Roman" w:cs="Calibri"/>
                <w:color w:val="000000"/>
                <w:szCs w:val="20"/>
                <w:lang w:eastAsia="en-AU"/>
              </w:rPr>
            </w:pPr>
          </w:p>
        </w:tc>
      </w:tr>
      <w:tr w:rsidR="00652D0F" w:rsidRPr="00534322" w14:paraId="6E2925F4" w14:textId="77777777" w:rsidTr="00EA5AB2">
        <w:trPr>
          <w:trHeight w:val="288"/>
        </w:trPr>
        <w:tc>
          <w:tcPr>
            <w:tcW w:w="6232" w:type="dxa"/>
            <w:noWrap/>
            <w:hideMark/>
          </w:tcPr>
          <w:p w14:paraId="5E1E705A"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$198</w:t>
            </w:r>
          </w:p>
        </w:tc>
        <w:tc>
          <w:tcPr>
            <w:tcW w:w="1093" w:type="dxa"/>
            <w:noWrap/>
            <w:hideMark/>
          </w:tcPr>
          <w:p w14:paraId="50C918E4"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$773.19</w:t>
            </w:r>
          </w:p>
        </w:tc>
        <w:tc>
          <w:tcPr>
            <w:tcW w:w="1093" w:type="dxa"/>
            <w:noWrap/>
            <w:hideMark/>
          </w:tcPr>
          <w:p w14:paraId="4DCCC7C2"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0.017</w:t>
            </w:r>
          </w:p>
        </w:tc>
        <w:tc>
          <w:tcPr>
            <w:tcW w:w="1094" w:type="dxa"/>
            <w:noWrap/>
            <w:hideMark/>
          </w:tcPr>
          <w:p w14:paraId="44182AA7"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$45,803</w:t>
            </w:r>
          </w:p>
        </w:tc>
      </w:tr>
      <w:tr w:rsidR="00652D0F" w:rsidRPr="00534322" w14:paraId="0784650E" w14:textId="77777777" w:rsidTr="00EA5AB2">
        <w:trPr>
          <w:trHeight w:val="288"/>
        </w:trPr>
        <w:tc>
          <w:tcPr>
            <w:tcW w:w="6232" w:type="dxa"/>
            <w:tcBorders>
              <w:bottom w:val="single" w:sz="4" w:space="0" w:color="auto"/>
            </w:tcBorders>
            <w:noWrap/>
            <w:hideMark/>
          </w:tcPr>
          <w:p w14:paraId="3BA1E0F3"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$320</w:t>
            </w:r>
          </w:p>
        </w:tc>
        <w:tc>
          <w:tcPr>
            <w:tcW w:w="1093" w:type="dxa"/>
            <w:tcBorders>
              <w:bottom w:val="single" w:sz="4" w:space="0" w:color="auto"/>
            </w:tcBorders>
            <w:noWrap/>
            <w:hideMark/>
          </w:tcPr>
          <w:p w14:paraId="4C3FA5EA"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$737.27</w:t>
            </w:r>
          </w:p>
        </w:tc>
        <w:tc>
          <w:tcPr>
            <w:tcW w:w="1093" w:type="dxa"/>
            <w:tcBorders>
              <w:bottom w:val="single" w:sz="4" w:space="0" w:color="auto"/>
            </w:tcBorders>
            <w:noWrap/>
            <w:hideMark/>
          </w:tcPr>
          <w:p w14:paraId="40CCE177"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0.017</w:t>
            </w:r>
          </w:p>
        </w:tc>
        <w:tc>
          <w:tcPr>
            <w:tcW w:w="1094" w:type="dxa"/>
            <w:tcBorders>
              <w:bottom w:val="single" w:sz="4" w:space="0" w:color="auto"/>
            </w:tcBorders>
            <w:noWrap/>
            <w:hideMark/>
          </w:tcPr>
          <w:p w14:paraId="0EF27BCF"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$43,676</w:t>
            </w:r>
          </w:p>
        </w:tc>
      </w:tr>
      <w:tr w:rsidR="00652D0F" w:rsidRPr="00534322" w14:paraId="6A3AAA38" w14:textId="77777777" w:rsidTr="00EA5AB2">
        <w:trPr>
          <w:trHeight w:val="288"/>
        </w:trPr>
        <w:tc>
          <w:tcPr>
            <w:tcW w:w="6232" w:type="dxa"/>
            <w:tcBorders>
              <w:top w:val="single" w:sz="4" w:space="0" w:color="auto"/>
              <w:bottom w:val="single" w:sz="4" w:space="0" w:color="auto"/>
            </w:tcBorders>
            <w:noWrap/>
            <w:hideMark/>
          </w:tcPr>
          <w:p w14:paraId="7D258E0B" w14:textId="77777777" w:rsidR="00652D0F" w:rsidRPr="00BE7696" w:rsidRDefault="00652D0F" w:rsidP="00BE7696">
            <w:pPr>
              <w:pStyle w:val="Tabletext"/>
              <w:rPr>
                <w:rFonts w:eastAsia="Times New Roman" w:cs="Calibri"/>
                <w:i/>
                <w:iCs/>
                <w:color w:val="000000"/>
                <w:szCs w:val="20"/>
                <w:lang w:eastAsia="en-AU"/>
              </w:rPr>
            </w:pPr>
            <w:r w:rsidRPr="00BE7696">
              <w:rPr>
                <w:rFonts w:eastAsia="Times New Roman" w:cs="Calibri"/>
                <w:i/>
                <w:iCs/>
                <w:color w:val="000000"/>
                <w:szCs w:val="20"/>
                <w:lang w:eastAsia="en-AU"/>
              </w:rPr>
              <w:t>Extrapolation of benefit to 5 years (BC: 12 months)</w:t>
            </w:r>
          </w:p>
        </w:tc>
        <w:tc>
          <w:tcPr>
            <w:tcW w:w="1093" w:type="dxa"/>
            <w:tcBorders>
              <w:top w:val="single" w:sz="4" w:space="0" w:color="auto"/>
              <w:bottom w:val="single" w:sz="4" w:space="0" w:color="auto"/>
            </w:tcBorders>
            <w:noWrap/>
            <w:hideMark/>
          </w:tcPr>
          <w:p w14:paraId="24C73289"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$754.94</w:t>
            </w:r>
          </w:p>
        </w:tc>
        <w:tc>
          <w:tcPr>
            <w:tcW w:w="1093" w:type="dxa"/>
            <w:tcBorders>
              <w:top w:val="single" w:sz="4" w:space="0" w:color="auto"/>
              <w:bottom w:val="single" w:sz="4" w:space="0" w:color="auto"/>
            </w:tcBorders>
            <w:noWrap/>
            <w:hideMark/>
          </w:tcPr>
          <w:p w14:paraId="08EA7309"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0.037</w:t>
            </w:r>
          </w:p>
        </w:tc>
        <w:tc>
          <w:tcPr>
            <w:tcW w:w="1094" w:type="dxa"/>
            <w:tcBorders>
              <w:top w:val="single" w:sz="4" w:space="0" w:color="auto"/>
              <w:bottom w:val="single" w:sz="4" w:space="0" w:color="auto"/>
            </w:tcBorders>
            <w:noWrap/>
            <w:hideMark/>
          </w:tcPr>
          <w:p w14:paraId="254BDBC4"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$20,205</w:t>
            </w:r>
          </w:p>
        </w:tc>
      </w:tr>
      <w:tr w:rsidR="00652D0F" w:rsidRPr="00534322" w14:paraId="142D366E" w14:textId="77777777" w:rsidTr="00EA5AB2">
        <w:trPr>
          <w:trHeight w:val="288"/>
        </w:trPr>
        <w:tc>
          <w:tcPr>
            <w:tcW w:w="6232" w:type="dxa"/>
            <w:tcBorders>
              <w:top w:val="single" w:sz="4" w:space="0" w:color="auto"/>
              <w:bottom w:val="single" w:sz="4" w:space="0" w:color="auto"/>
            </w:tcBorders>
            <w:noWrap/>
            <w:hideMark/>
          </w:tcPr>
          <w:p w14:paraId="67A11323" w14:textId="1BB671AB" w:rsidR="00652D0F" w:rsidRPr="00BE7696" w:rsidRDefault="00652D0F" w:rsidP="00BE7696">
            <w:pPr>
              <w:pStyle w:val="Tabletext"/>
              <w:rPr>
                <w:rFonts w:eastAsia="Times New Roman" w:cs="Calibri"/>
                <w:i/>
                <w:iCs/>
                <w:color w:val="000000"/>
                <w:szCs w:val="20"/>
                <w:lang w:eastAsia="en-AU"/>
              </w:rPr>
            </w:pPr>
            <w:r w:rsidRPr="00BE7696">
              <w:rPr>
                <w:rFonts w:eastAsia="Times New Roman" w:cs="Calibri"/>
                <w:i/>
                <w:iCs/>
                <w:color w:val="000000"/>
                <w:szCs w:val="20"/>
                <w:lang w:eastAsia="en-AU"/>
              </w:rPr>
              <w:t xml:space="preserve">MAT achieved in 4+ </w:t>
            </w:r>
            <w:r w:rsidR="006E7DB0" w:rsidRPr="00BE7696">
              <w:rPr>
                <w:rFonts w:eastAsia="Times New Roman" w:cs="Calibri"/>
                <w:i/>
                <w:iCs/>
                <w:color w:val="000000"/>
                <w:szCs w:val="20"/>
                <w:lang w:eastAsia="en-AU"/>
              </w:rPr>
              <w:t>O</w:t>
            </w:r>
            <w:r w:rsidR="005359B7">
              <w:rPr>
                <w:rFonts w:eastAsia="Times New Roman" w:cs="Calibri"/>
                <w:i/>
                <w:iCs/>
                <w:color w:val="000000"/>
                <w:szCs w:val="20"/>
                <w:lang w:eastAsia="en-AU"/>
              </w:rPr>
              <w:t>O</w:t>
            </w:r>
            <w:r w:rsidR="006E7DB0" w:rsidRPr="00BE7696">
              <w:rPr>
                <w:rFonts w:eastAsia="Times New Roman" w:cs="Calibri"/>
                <w:i/>
                <w:iCs/>
                <w:color w:val="000000"/>
                <w:szCs w:val="20"/>
                <w:lang w:eastAsia="en-AU"/>
              </w:rPr>
              <w:t>S</w:t>
            </w:r>
            <w:r w:rsidRPr="00BE7696">
              <w:rPr>
                <w:rFonts w:eastAsia="Times New Roman" w:cs="Calibri"/>
                <w:i/>
                <w:iCs/>
                <w:color w:val="000000"/>
                <w:szCs w:val="20"/>
                <w:lang w:eastAsia="en-AU"/>
              </w:rPr>
              <w:t xml:space="preserve"> (BC: 3+ </w:t>
            </w:r>
            <w:r w:rsidR="006E7DB0" w:rsidRPr="00BE7696">
              <w:rPr>
                <w:rFonts w:eastAsia="Times New Roman" w:cs="Calibri"/>
                <w:i/>
                <w:iCs/>
                <w:color w:val="000000"/>
                <w:szCs w:val="20"/>
                <w:lang w:eastAsia="en-AU"/>
              </w:rPr>
              <w:t>O</w:t>
            </w:r>
            <w:r w:rsidR="005359B7">
              <w:rPr>
                <w:rFonts w:eastAsia="Times New Roman" w:cs="Calibri"/>
                <w:i/>
                <w:iCs/>
                <w:color w:val="000000"/>
                <w:szCs w:val="20"/>
                <w:lang w:eastAsia="en-AU"/>
              </w:rPr>
              <w:t>O</w:t>
            </w:r>
            <w:r w:rsidR="006E7DB0" w:rsidRPr="00BE7696">
              <w:rPr>
                <w:rFonts w:eastAsia="Times New Roman" w:cs="Calibri"/>
                <w:i/>
                <w:iCs/>
                <w:color w:val="000000"/>
                <w:szCs w:val="20"/>
                <w:lang w:eastAsia="en-AU"/>
              </w:rPr>
              <w:t>S</w:t>
            </w:r>
            <w:r w:rsidRPr="00BE7696">
              <w:rPr>
                <w:rFonts w:eastAsia="Times New Roman" w:cs="Calibri"/>
                <w:i/>
                <w:iCs/>
                <w:color w:val="000000"/>
                <w:szCs w:val="20"/>
                <w:lang w:eastAsia="en-AU"/>
              </w:rPr>
              <w:t>)</w:t>
            </w:r>
          </w:p>
        </w:tc>
        <w:tc>
          <w:tcPr>
            <w:tcW w:w="1093" w:type="dxa"/>
            <w:tcBorders>
              <w:top w:val="single" w:sz="4" w:space="0" w:color="auto"/>
              <w:bottom w:val="single" w:sz="4" w:space="0" w:color="auto"/>
            </w:tcBorders>
            <w:noWrap/>
            <w:hideMark/>
          </w:tcPr>
          <w:p w14:paraId="29681C07"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$754.94</w:t>
            </w:r>
          </w:p>
        </w:tc>
        <w:tc>
          <w:tcPr>
            <w:tcW w:w="1093" w:type="dxa"/>
            <w:tcBorders>
              <w:top w:val="single" w:sz="4" w:space="0" w:color="auto"/>
              <w:bottom w:val="single" w:sz="4" w:space="0" w:color="auto"/>
            </w:tcBorders>
            <w:noWrap/>
            <w:hideMark/>
          </w:tcPr>
          <w:p w14:paraId="1A080B1E"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0.013</w:t>
            </w:r>
          </w:p>
        </w:tc>
        <w:tc>
          <w:tcPr>
            <w:tcW w:w="1094" w:type="dxa"/>
            <w:tcBorders>
              <w:top w:val="single" w:sz="4" w:space="0" w:color="auto"/>
              <w:bottom w:val="single" w:sz="4" w:space="0" w:color="auto"/>
            </w:tcBorders>
            <w:noWrap/>
            <w:hideMark/>
          </w:tcPr>
          <w:p w14:paraId="419F37D1"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$56,894</w:t>
            </w:r>
          </w:p>
        </w:tc>
      </w:tr>
      <w:tr w:rsidR="00652D0F" w:rsidRPr="00534322" w14:paraId="6C5567E7" w14:textId="77777777" w:rsidTr="00EA5AB2">
        <w:trPr>
          <w:trHeight w:val="288"/>
        </w:trPr>
        <w:tc>
          <w:tcPr>
            <w:tcW w:w="6232" w:type="dxa"/>
            <w:tcBorders>
              <w:top w:val="single" w:sz="4" w:space="0" w:color="auto"/>
              <w:bottom w:val="single" w:sz="4" w:space="0" w:color="auto"/>
            </w:tcBorders>
            <w:noWrap/>
            <w:hideMark/>
          </w:tcPr>
          <w:p w14:paraId="258DC3D9" w14:textId="77777777" w:rsidR="00652D0F" w:rsidRPr="00BE7696" w:rsidRDefault="00652D0F" w:rsidP="00BE7696">
            <w:pPr>
              <w:pStyle w:val="Tabletext"/>
              <w:rPr>
                <w:rFonts w:eastAsia="Times New Roman" w:cs="Calibri"/>
                <w:i/>
                <w:iCs/>
                <w:color w:val="000000"/>
                <w:szCs w:val="20"/>
                <w:lang w:eastAsia="en-AU"/>
              </w:rPr>
            </w:pPr>
            <w:r w:rsidRPr="00BE7696">
              <w:rPr>
                <w:rFonts w:eastAsia="Times New Roman" w:cs="Calibri"/>
                <w:i/>
                <w:iCs/>
                <w:color w:val="000000"/>
                <w:szCs w:val="20"/>
                <w:lang w:eastAsia="en-AU"/>
              </w:rPr>
              <w:t>No RTM for health outcomes (BC: apply RTM)</w:t>
            </w:r>
          </w:p>
        </w:tc>
        <w:tc>
          <w:tcPr>
            <w:tcW w:w="1093" w:type="dxa"/>
            <w:tcBorders>
              <w:top w:val="single" w:sz="4" w:space="0" w:color="auto"/>
              <w:bottom w:val="single" w:sz="4" w:space="0" w:color="auto"/>
            </w:tcBorders>
            <w:noWrap/>
            <w:hideMark/>
          </w:tcPr>
          <w:p w14:paraId="4A9F23EA"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$754.94</w:t>
            </w:r>
          </w:p>
        </w:tc>
        <w:tc>
          <w:tcPr>
            <w:tcW w:w="1093" w:type="dxa"/>
            <w:tcBorders>
              <w:top w:val="single" w:sz="4" w:space="0" w:color="auto"/>
              <w:bottom w:val="single" w:sz="4" w:space="0" w:color="auto"/>
            </w:tcBorders>
            <w:noWrap/>
            <w:hideMark/>
          </w:tcPr>
          <w:p w14:paraId="563197CE"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0.023</w:t>
            </w:r>
          </w:p>
        </w:tc>
        <w:tc>
          <w:tcPr>
            <w:tcW w:w="1094" w:type="dxa"/>
            <w:tcBorders>
              <w:top w:val="single" w:sz="4" w:space="0" w:color="auto"/>
              <w:bottom w:val="single" w:sz="4" w:space="0" w:color="auto"/>
            </w:tcBorders>
            <w:noWrap/>
            <w:hideMark/>
          </w:tcPr>
          <w:p w14:paraId="4799A4D5"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$32,567</w:t>
            </w:r>
          </w:p>
        </w:tc>
      </w:tr>
      <w:tr w:rsidR="00652D0F" w:rsidRPr="00534322" w14:paraId="26DE47A9" w14:textId="77777777" w:rsidTr="000F755C">
        <w:trPr>
          <w:trHeight w:val="288"/>
        </w:trPr>
        <w:tc>
          <w:tcPr>
            <w:tcW w:w="6232" w:type="dxa"/>
            <w:tcBorders>
              <w:top w:val="single" w:sz="4" w:space="0" w:color="auto"/>
              <w:bottom w:val="single" w:sz="4" w:space="0" w:color="auto"/>
            </w:tcBorders>
            <w:noWrap/>
            <w:hideMark/>
          </w:tcPr>
          <w:p w14:paraId="237FF1AB" w14:textId="7A838589" w:rsidR="00652D0F" w:rsidRPr="00926B15" w:rsidRDefault="00652D0F" w:rsidP="00BE7696">
            <w:pPr>
              <w:pStyle w:val="Tabletext"/>
              <w:rPr>
                <w:rFonts w:eastAsia="Times New Roman" w:cs="Calibri"/>
                <w:i/>
                <w:iCs/>
                <w:color w:val="000000"/>
                <w:szCs w:val="20"/>
                <w:lang w:eastAsia="en-AU"/>
              </w:rPr>
            </w:pPr>
            <w:r w:rsidRPr="00BE7696">
              <w:rPr>
                <w:rFonts w:eastAsia="Times New Roman" w:cs="Calibri"/>
                <w:i/>
                <w:iCs/>
                <w:color w:val="000000"/>
                <w:szCs w:val="20"/>
                <w:lang w:eastAsia="en-AU"/>
              </w:rPr>
              <w:t xml:space="preserve">2 </w:t>
            </w:r>
            <w:r w:rsidR="006E7DB0" w:rsidRPr="00BE7696">
              <w:rPr>
                <w:rFonts w:eastAsia="Times New Roman" w:cs="Calibri"/>
                <w:i/>
                <w:iCs/>
                <w:color w:val="000000"/>
                <w:szCs w:val="20"/>
                <w:lang w:eastAsia="en-AU"/>
              </w:rPr>
              <w:t>O</w:t>
            </w:r>
            <w:r w:rsidR="005359B7">
              <w:rPr>
                <w:rFonts w:eastAsia="Times New Roman" w:cs="Calibri"/>
                <w:i/>
                <w:iCs/>
                <w:color w:val="000000"/>
                <w:szCs w:val="20"/>
                <w:lang w:eastAsia="en-AU"/>
              </w:rPr>
              <w:t>O</w:t>
            </w:r>
            <w:r w:rsidR="006E7DB0" w:rsidRPr="00BE7696">
              <w:rPr>
                <w:rFonts w:eastAsia="Times New Roman" w:cs="Calibri"/>
                <w:i/>
                <w:iCs/>
                <w:color w:val="000000"/>
                <w:szCs w:val="20"/>
                <w:lang w:eastAsia="en-AU"/>
              </w:rPr>
              <w:t>S</w:t>
            </w:r>
            <w:r w:rsidRPr="00BE7696">
              <w:rPr>
                <w:rFonts w:eastAsia="Times New Roman" w:cs="Calibri"/>
                <w:i/>
                <w:iCs/>
                <w:color w:val="000000"/>
                <w:szCs w:val="20"/>
                <w:lang w:eastAsia="en-AU"/>
              </w:rPr>
              <w:t xml:space="preserve"> give partial benefit (BC: no gain from 2 </w:t>
            </w:r>
            <w:r w:rsidR="006E7DB0" w:rsidRPr="00BE7696">
              <w:rPr>
                <w:rFonts w:eastAsia="Times New Roman" w:cs="Calibri"/>
                <w:i/>
                <w:iCs/>
                <w:color w:val="000000"/>
                <w:szCs w:val="20"/>
                <w:lang w:eastAsia="en-AU"/>
              </w:rPr>
              <w:t>O</w:t>
            </w:r>
            <w:r w:rsidR="005359B7">
              <w:rPr>
                <w:rFonts w:eastAsia="Times New Roman" w:cs="Calibri"/>
                <w:i/>
                <w:iCs/>
                <w:color w:val="000000"/>
                <w:szCs w:val="20"/>
                <w:lang w:eastAsia="en-AU"/>
              </w:rPr>
              <w:t>O</w:t>
            </w:r>
            <w:r w:rsidR="006E7DB0" w:rsidRPr="00926B15">
              <w:rPr>
                <w:rFonts w:eastAsia="Times New Roman" w:cs="Calibri"/>
                <w:i/>
                <w:iCs/>
                <w:color w:val="000000"/>
                <w:szCs w:val="20"/>
                <w:lang w:eastAsia="en-AU"/>
              </w:rPr>
              <w:t>S</w:t>
            </w:r>
            <w:r w:rsidRPr="00926B15">
              <w:rPr>
                <w:rFonts w:eastAsia="Times New Roman" w:cs="Calibri"/>
                <w:i/>
                <w:iCs/>
                <w:color w:val="000000"/>
                <w:szCs w:val="20"/>
                <w:lang w:eastAsia="en-AU"/>
              </w:rPr>
              <w:t>)</w:t>
            </w:r>
          </w:p>
        </w:tc>
        <w:tc>
          <w:tcPr>
            <w:tcW w:w="1093" w:type="dxa"/>
            <w:tcBorders>
              <w:top w:val="single" w:sz="4" w:space="0" w:color="auto"/>
              <w:bottom w:val="single" w:sz="4" w:space="0" w:color="auto"/>
            </w:tcBorders>
            <w:noWrap/>
            <w:hideMark/>
          </w:tcPr>
          <w:p w14:paraId="7E67048F"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$754.94</w:t>
            </w:r>
          </w:p>
        </w:tc>
        <w:tc>
          <w:tcPr>
            <w:tcW w:w="1093" w:type="dxa"/>
            <w:tcBorders>
              <w:top w:val="single" w:sz="4" w:space="0" w:color="auto"/>
              <w:bottom w:val="single" w:sz="4" w:space="0" w:color="auto"/>
            </w:tcBorders>
            <w:noWrap/>
            <w:hideMark/>
          </w:tcPr>
          <w:p w14:paraId="5126E12D"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0.021</w:t>
            </w:r>
          </w:p>
        </w:tc>
        <w:tc>
          <w:tcPr>
            <w:tcW w:w="1094" w:type="dxa"/>
            <w:tcBorders>
              <w:top w:val="single" w:sz="4" w:space="0" w:color="auto"/>
              <w:bottom w:val="single" w:sz="4" w:space="0" w:color="auto"/>
            </w:tcBorders>
            <w:noWrap/>
            <w:hideMark/>
          </w:tcPr>
          <w:p w14:paraId="5B9965AB"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$35,713</w:t>
            </w:r>
          </w:p>
        </w:tc>
      </w:tr>
      <w:tr w:rsidR="00652D0F" w:rsidRPr="00534322" w14:paraId="7AC87BE9" w14:textId="77777777" w:rsidTr="000F755C">
        <w:trPr>
          <w:trHeight w:val="288"/>
        </w:trPr>
        <w:tc>
          <w:tcPr>
            <w:tcW w:w="6232" w:type="dxa"/>
            <w:tcBorders>
              <w:top w:val="single" w:sz="4" w:space="0" w:color="auto"/>
              <w:bottom w:val="single" w:sz="4" w:space="0" w:color="auto"/>
            </w:tcBorders>
            <w:noWrap/>
            <w:hideMark/>
          </w:tcPr>
          <w:p w14:paraId="386FDF82" w14:textId="77777777" w:rsidR="00652D0F" w:rsidRPr="00926B15" w:rsidRDefault="00652D0F" w:rsidP="00BE7696">
            <w:pPr>
              <w:pStyle w:val="Tabletext"/>
              <w:rPr>
                <w:rFonts w:eastAsia="Times New Roman" w:cs="Calibri"/>
                <w:i/>
                <w:iCs/>
                <w:color w:val="000000"/>
                <w:szCs w:val="20"/>
                <w:lang w:eastAsia="en-AU"/>
              </w:rPr>
            </w:pPr>
            <w:r w:rsidRPr="00926B15">
              <w:rPr>
                <w:rFonts w:eastAsia="Times New Roman" w:cs="Calibri"/>
                <w:i/>
                <w:iCs/>
                <w:color w:val="000000"/>
                <w:szCs w:val="20"/>
                <w:lang w:eastAsia="en-AU"/>
              </w:rPr>
              <w:t>Exclude out-of-pocket costs (BC: include out-of-pocket)</w:t>
            </w:r>
          </w:p>
        </w:tc>
        <w:tc>
          <w:tcPr>
            <w:tcW w:w="1093" w:type="dxa"/>
            <w:tcBorders>
              <w:top w:val="single" w:sz="4" w:space="0" w:color="auto"/>
              <w:bottom w:val="single" w:sz="4" w:space="0" w:color="auto"/>
            </w:tcBorders>
            <w:noWrap/>
            <w:hideMark/>
          </w:tcPr>
          <w:p w14:paraId="36DE5226"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$802.87</w:t>
            </w:r>
          </w:p>
        </w:tc>
        <w:tc>
          <w:tcPr>
            <w:tcW w:w="1093" w:type="dxa"/>
            <w:tcBorders>
              <w:top w:val="single" w:sz="4" w:space="0" w:color="auto"/>
              <w:bottom w:val="single" w:sz="4" w:space="0" w:color="auto"/>
            </w:tcBorders>
            <w:noWrap/>
            <w:hideMark/>
          </w:tcPr>
          <w:p w14:paraId="0A024011"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0.017</w:t>
            </w:r>
          </w:p>
        </w:tc>
        <w:tc>
          <w:tcPr>
            <w:tcW w:w="1094" w:type="dxa"/>
            <w:tcBorders>
              <w:top w:val="single" w:sz="4" w:space="0" w:color="auto"/>
              <w:bottom w:val="single" w:sz="4" w:space="0" w:color="auto"/>
            </w:tcBorders>
            <w:noWrap/>
            <w:hideMark/>
          </w:tcPr>
          <w:p w14:paraId="136091DD"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$47,561</w:t>
            </w:r>
          </w:p>
        </w:tc>
      </w:tr>
      <w:tr w:rsidR="00652D0F" w:rsidRPr="00534322" w14:paraId="20B2FEFB" w14:textId="77777777" w:rsidTr="000F755C">
        <w:trPr>
          <w:trHeight w:val="288"/>
        </w:trPr>
        <w:tc>
          <w:tcPr>
            <w:tcW w:w="6232" w:type="dxa"/>
            <w:tcBorders>
              <w:top w:val="single" w:sz="4" w:space="0" w:color="auto"/>
              <w:bottom w:val="single" w:sz="4" w:space="0" w:color="auto"/>
            </w:tcBorders>
            <w:noWrap/>
            <w:hideMark/>
          </w:tcPr>
          <w:p w14:paraId="7846956C" w14:textId="77777777" w:rsidR="00652D0F" w:rsidRPr="00926B15" w:rsidRDefault="00652D0F" w:rsidP="00BE7696">
            <w:pPr>
              <w:pStyle w:val="Tabletext"/>
              <w:rPr>
                <w:rFonts w:eastAsia="Times New Roman" w:cs="Calibri"/>
                <w:i/>
                <w:iCs/>
                <w:color w:val="000000"/>
                <w:szCs w:val="20"/>
                <w:lang w:eastAsia="en-AU"/>
              </w:rPr>
            </w:pPr>
            <w:r w:rsidRPr="00926B15">
              <w:rPr>
                <w:rFonts w:eastAsia="Times New Roman" w:cs="Calibri"/>
                <w:i/>
                <w:iCs/>
                <w:color w:val="000000"/>
                <w:szCs w:val="20"/>
                <w:lang w:eastAsia="en-AU"/>
              </w:rPr>
              <w:t>Any treatment that is not MAT increases probability of hospital admission (BC: no treatment only)</w:t>
            </w:r>
          </w:p>
        </w:tc>
        <w:tc>
          <w:tcPr>
            <w:tcW w:w="1093" w:type="dxa"/>
            <w:tcBorders>
              <w:top w:val="single" w:sz="4" w:space="0" w:color="auto"/>
              <w:bottom w:val="single" w:sz="4" w:space="0" w:color="auto"/>
            </w:tcBorders>
            <w:noWrap/>
            <w:hideMark/>
          </w:tcPr>
          <w:p w14:paraId="46DF5322"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$753.15</w:t>
            </w:r>
          </w:p>
        </w:tc>
        <w:tc>
          <w:tcPr>
            <w:tcW w:w="1093" w:type="dxa"/>
            <w:tcBorders>
              <w:top w:val="single" w:sz="4" w:space="0" w:color="auto"/>
              <w:bottom w:val="single" w:sz="4" w:space="0" w:color="auto"/>
            </w:tcBorders>
            <w:noWrap/>
            <w:hideMark/>
          </w:tcPr>
          <w:p w14:paraId="008525C8"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0.017</w:t>
            </w:r>
          </w:p>
        </w:tc>
        <w:tc>
          <w:tcPr>
            <w:tcW w:w="1094" w:type="dxa"/>
            <w:tcBorders>
              <w:top w:val="single" w:sz="4" w:space="0" w:color="auto"/>
              <w:bottom w:val="single" w:sz="4" w:space="0" w:color="auto"/>
            </w:tcBorders>
            <w:noWrap/>
            <w:hideMark/>
          </w:tcPr>
          <w:p w14:paraId="0F0728C0" w14:textId="77777777" w:rsidR="00652D0F" w:rsidRPr="00C26586" w:rsidRDefault="00652D0F" w:rsidP="00BE7696">
            <w:pPr>
              <w:pStyle w:val="Tabletext"/>
              <w:rPr>
                <w:rFonts w:eastAsia="Times New Roman" w:cs="Calibri"/>
                <w:color w:val="000000"/>
                <w:szCs w:val="20"/>
                <w:lang w:eastAsia="en-AU"/>
              </w:rPr>
            </w:pPr>
            <w:r w:rsidRPr="00C26586">
              <w:rPr>
                <w:rFonts w:eastAsia="Times New Roman" w:cs="Calibri"/>
                <w:color w:val="000000"/>
                <w:szCs w:val="20"/>
                <w:lang w:eastAsia="en-AU"/>
              </w:rPr>
              <w:t>$44,616</w:t>
            </w:r>
          </w:p>
        </w:tc>
      </w:tr>
    </w:tbl>
    <w:p w14:paraId="0DECAF20" w14:textId="0B4330BF" w:rsidR="00652D0F" w:rsidRDefault="00652D0F" w:rsidP="00587024">
      <w:pPr>
        <w:pStyle w:val="Source"/>
      </w:pPr>
      <w:r w:rsidRPr="007C4F08">
        <w:t>Note: QALYs</w:t>
      </w:r>
      <w:r w:rsidR="00C207B8">
        <w:t xml:space="preserve"> -</w:t>
      </w:r>
      <w:r w:rsidRPr="007C4F08">
        <w:t xml:space="preserve"> quality-adjusted life year; ICER</w:t>
      </w:r>
      <w:r w:rsidR="00C207B8">
        <w:t xml:space="preserve"> -</w:t>
      </w:r>
      <w:r w:rsidRPr="007C4F08">
        <w:t xml:space="preserve"> incremental cost-effectiveness ratio</w:t>
      </w:r>
      <w:r>
        <w:t>; BC</w:t>
      </w:r>
      <w:r w:rsidR="00C207B8">
        <w:t xml:space="preserve"> -</w:t>
      </w:r>
      <w:r>
        <w:t xml:space="preserve"> base case; </w:t>
      </w:r>
      <w:r w:rsidR="006E7DB0">
        <w:t>O</w:t>
      </w:r>
      <w:r w:rsidR="005359B7">
        <w:t>O</w:t>
      </w:r>
      <w:r w:rsidR="006E7DB0">
        <w:t>S</w:t>
      </w:r>
      <w:r>
        <w:t xml:space="preserve"> </w:t>
      </w:r>
      <w:r w:rsidR="00C207B8">
        <w:t xml:space="preserve">- </w:t>
      </w:r>
      <w:r>
        <w:t>occasion of service; MAT</w:t>
      </w:r>
      <w:r w:rsidR="00C207B8">
        <w:t xml:space="preserve"> -</w:t>
      </w:r>
      <w:r>
        <w:t xml:space="preserve"> minimum adequate treatment; RTM</w:t>
      </w:r>
      <w:r w:rsidR="00C207B8">
        <w:t xml:space="preserve"> -</w:t>
      </w:r>
      <w:r>
        <w:t xml:space="preserve"> regression to the mean</w:t>
      </w:r>
    </w:p>
    <w:p w14:paraId="1075ABF8" w14:textId="52E00AC5" w:rsidR="004F1EE4" w:rsidRDefault="0039554C" w:rsidP="00754906">
      <w:pPr>
        <w:pStyle w:val="Heading3"/>
      </w:pPr>
      <w:r>
        <w:t xml:space="preserve">How </w:t>
      </w:r>
      <w:r w:rsidR="007C2295">
        <w:t>does the cost-effectiveness of headspace vary</w:t>
      </w:r>
      <w:r w:rsidR="004F1EE4">
        <w:t xml:space="preserve"> across </w:t>
      </w:r>
      <w:r w:rsidR="005C6EA1">
        <w:t>services</w:t>
      </w:r>
    </w:p>
    <w:p w14:paraId="125B429B" w14:textId="1888208C" w:rsidR="00AD6288" w:rsidRDefault="004F1EE4" w:rsidP="00754906">
      <w:pPr>
        <w:pStyle w:val="BodyText"/>
        <w:keepNext/>
        <w:keepLines/>
      </w:pPr>
      <w:r>
        <w:t>The variation in cost</w:t>
      </w:r>
      <w:r w:rsidR="00786A92">
        <w:t>s and effects</w:t>
      </w:r>
      <w:r>
        <w:t xml:space="preserve"> across services </w:t>
      </w:r>
      <w:r w:rsidR="00926B15">
        <w:t>are</w:t>
      </w:r>
      <w:r>
        <w:t xml:space="preserve"> shown </w:t>
      </w:r>
      <w:r w:rsidR="009F0760">
        <w:t>on a cost-effectiveness plane</w:t>
      </w:r>
      <w:r>
        <w:t xml:space="preserve"> in</w:t>
      </w:r>
      <w:r w:rsidR="003349FB">
        <w:t xml:space="preserve"> </w:t>
      </w:r>
      <w:r w:rsidR="003349FB">
        <w:fldChar w:fldCharType="begin" w:fldLock="1"/>
      </w:r>
      <w:r w:rsidR="003349FB">
        <w:instrText xml:space="preserve"> REF _Ref104903793 \h </w:instrText>
      </w:r>
      <w:r w:rsidR="003349FB">
        <w:fldChar w:fldCharType="separate"/>
      </w:r>
      <w:r w:rsidR="000C245D">
        <w:t xml:space="preserve">Figure </w:t>
      </w:r>
      <w:r w:rsidR="000C245D">
        <w:rPr>
          <w:noProof/>
        </w:rPr>
        <w:t>31</w:t>
      </w:r>
      <w:r w:rsidR="003349FB">
        <w:fldChar w:fldCharType="end"/>
      </w:r>
      <w:r w:rsidR="003349FB">
        <w:t xml:space="preserve"> below</w:t>
      </w:r>
      <w:r>
        <w:t xml:space="preserve">. </w:t>
      </w:r>
      <w:r w:rsidR="00E075DC">
        <w:t xml:space="preserve">While </w:t>
      </w:r>
      <w:r w:rsidR="00825A23">
        <w:t>headspace</w:t>
      </w:r>
      <w:r w:rsidR="00C570AF">
        <w:t xml:space="preserve"> can be considered cost-effective</w:t>
      </w:r>
      <w:r w:rsidR="005359B7">
        <w:t>,</w:t>
      </w:r>
      <w:r w:rsidR="00B34295" w:rsidRPr="00B34295">
        <w:t xml:space="preserve"> </w:t>
      </w:r>
      <w:r w:rsidR="00B34295">
        <w:t>on average</w:t>
      </w:r>
      <w:r w:rsidR="00C570AF">
        <w:t>, the cost</w:t>
      </w:r>
      <w:r w:rsidR="000C6D2C">
        <w:t>-</w:t>
      </w:r>
      <w:r w:rsidR="00C570AF">
        <w:t xml:space="preserve">effectiveness varies largely across </w:t>
      </w:r>
      <w:r w:rsidR="00825A23">
        <w:t>headspace</w:t>
      </w:r>
      <w:r w:rsidR="00C570AF">
        <w:t xml:space="preserve"> services. Applying the $50,000/QALY threshold, 62 out of 112 (55.4</w:t>
      </w:r>
      <w:r w:rsidR="00850CBB">
        <w:t xml:space="preserve"> per cent</w:t>
      </w:r>
      <w:r w:rsidR="00C570AF">
        <w:t>) services</w:t>
      </w:r>
      <w:r w:rsidR="005359B7">
        <w:t>,</w:t>
      </w:r>
      <w:r w:rsidR="00C570AF">
        <w:t xml:space="preserve"> would be considered cost-effective considering their individual ICERs</w:t>
      </w:r>
      <w:r w:rsidR="00CC0438">
        <w:rPr>
          <w:rFonts w:ascii="ZWAdobeF" w:hAnsi="ZWAdobeF" w:cs="ZWAdobeF"/>
          <w:sz w:val="2"/>
          <w:szCs w:val="2"/>
        </w:rPr>
        <w:t>147F</w:t>
      </w:r>
      <w:r w:rsidR="00825A23">
        <w:rPr>
          <w:rStyle w:val="FootnoteReference"/>
        </w:rPr>
        <w:footnoteReference w:id="149"/>
      </w:r>
      <w:r w:rsidR="007B0322">
        <w:rPr>
          <w:vertAlign w:val="superscript"/>
        </w:rPr>
        <w:t>,</w:t>
      </w:r>
      <w:r w:rsidR="00CC0438">
        <w:rPr>
          <w:rFonts w:ascii="ZWAdobeF" w:hAnsi="ZWAdobeF" w:cs="ZWAdobeF"/>
          <w:sz w:val="2"/>
          <w:szCs w:val="2"/>
        </w:rPr>
        <w:t>148F</w:t>
      </w:r>
      <w:r w:rsidR="00445D1C">
        <w:rPr>
          <w:rStyle w:val="FootnoteReference"/>
        </w:rPr>
        <w:footnoteReference w:id="150"/>
      </w:r>
      <w:r w:rsidR="0032344A" w:rsidRPr="0032344A">
        <w:t>.</w:t>
      </w:r>
    </w:p>
    <w:p w14:paraId="71B10B12" w14:textId="19893953" w:rsidR="00A8008D" w:rsidRDefault="00A8008D" w:rsidP="00A8008D">
      <w:pPr>
        <w:pStyle w:val="Caption"/>
      </w:pPr>
      <w:bookmarkStart w:id="153" w:name="_Ref104903793"/>
      <w:bookmarkStart w:id="154" w:name="_Toc108109216"/>
      <w:r>
        <w:t xml:space="preserve">Figure </w:t>
      </w:r>
      <w:r>
        <w:fldChar w:fldCharType="begin"/>
      </w:r>
      <w:r>
        <w:instrText>SEQ Figure \* ARABIC</w:instrText>
      </w:r>
      <w:r>
        <w:fldChar w:fldCharType="separate"/>
      </w:r>
      <w:r w:rsidR="00CC0438">
        <w:rPr>
          <w:noProof/>
        </w:rPr>
        <w:t>31</w:t>
      </w:r>
      <w:r>
        <w:fldChar w:fldCharType="end"/>
      </w:r>
      <w:bookmarkEnd w:id="153"/>
      <w:r>
        <w:t>: headspace service-specific incremental costs and effects</w:t>
      </w:r>
      <w:bookmarkEnd w:id="154"/>
    </w:p>
    <w:p w14:paraId="64321E48" w14:textId="7E9AD7E9" w:rsidR="00CF2EB2" w:rsidRPr="00F56BC2" w:rsidRDefault="004E7343" w:rsidP="00CF2EB2">
      <w:pPr>
        <w:keepNext/>
        <w:keepLines/>
      </w:pPr>
      <w:r>
        <w:rPr>
          <w:noProof/>
        </w:rPr>
        <w:drawing>
          <wp:inline distT="0" distB="0" distL="0" distR="0" wp14:anchorId="64282297" wp14:editId="7857E71C">
            <wp:extent cx="5039995" cy="3232785"/>
            <wp:effectExtent l="0" t="0" r="8255" b="5715"/>
            <wp:docPr id="57" name="Picture 57" descr="Figure 31 is a scatter plot chart which shows the relationship between quality adjusted life year improvements achieved by each individual headspace service, compared to the change in cost. There is a reference line across the graph that represents a cost of $50,000 per quality adjusted life year achieved. 62 of the 112 headspace services are above the reference line, indicating they are cost effective against the $50,000 threshold. The remaining 50 services are below the referenc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Figure 31 is a scatter plot chart which shows the relationship between quality adjusted life year improvements achieved by each individual headspace service, compared to the change in cost. There is a reference line across the graph that represents a cost of $50,000 per quality adjusted life year achieved. 62 of the 112 headspace services are above the reference line, indicating they are cost effective against the $50,000 threshold. The remaining 50 services are below the reference lin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995" cy="3232785"/>
                    </a:xfrm>
                    <a:prstGeom prst="rect">
                      <a:avLst/>
                    </a:prstGeom>
                    <a:noFill/>
                    <a:ln>
                      <a:noFill/>
                    </a:ln>
                  </pic:spPr>
                </pic:pic>
              </a:graphicData>
            </a:graphic>
          </wp:inline>
        </w:drawing>
      </w:r>
    </w:p>
    <w:p w14:paraId="6FB1ECD9" w14:textId="20E962A9" w:rsidR="00A8008D" w:rsidRDefault="00CF2EB2" w:rsidP="009555C8">
      <w:pPr>
        <w:pStyle w:val="Source"/>
      </w:pPr>
      <w:r w:rsidRPr="009D225C">
        <w:t xml:space="preserve">Source: KPMG analysis of the </w:t>
      </w:r>
      <w:r w:rsidR="00E91E8F">
        <w:t>cost-effectiveness</w:t>
      </w:r>
      <w:r w:rsidRPr="009D225C">
        <w:t xml:space="preserve"> dataset</w:t>
      </w:r>
      <w:r w:rsidR="00A958AD">
        <w:t>.</w:t>
      </w:r>
    </w:p>
    <w:p w14:paraId="51F553AA" w14:textId="535E0C87" w:rsidR="00A958AD" w:rsidRPr="00A958AD" w:rsidRDefault="00A958AD" w:rsidP="00C207B8">
      <w:pPr>
        <w:pStyle w:val="Source"/>
      </w:pPr>
      <w:r>
        <w:t xml:space="preserve">Notes: QALY </w:t>
      </w:r>
      <w:r w:rsidRPr="00A958AD">
        <w:t>Quality-adjusted life year</w:t>
      </w:r>
      <w:r>
        <w:t>.</w:t>
      </w:r>
    </w:p>
    <w:p w14:paraId="05F8C518" w14:textId="4300CFF9" w:rsidR="00CF2EB2" w:rsidRDefault="007F5B8C" w:rsidP="00C207B8">
      <w:pPr>
        <w:pStyle w:val="BodyText"/>
      </w:pPr>
      <w:r>
        <w:fldChar w:fldCharType="begin" w:fldLock="1"/>
      </w:r>
      <w:r>
        <w:instrText xml:space="preserve"> REF _Ref104903880 \h </w:instrText>
      </w:r>
      <w:r>
        <w:fldChar w:fldCharType="separate"/>
      </w:r>
      <w:r w:rsidR="000C245D">
        <w:t xml:space="preserve">Table </w:t>
      </w:r>
      <w:r w:rsidR="000C245D">
        <w:rPr>
          <w:noProof/>
        </w:rPr>
        <w:t>21</w:t>
      </w:r>
      <w:r>
        <w:fldChar w:fldCharType="end"/>
      </w:r>
      <w:r w:rsidR="00CF2EB2">
        <w:t xml:space="preserve"> presents a one-way exploration of </w:t>
      </w:r>
      <w:r w:rsidR="00FE2100">
        <w:t>headspace</w:t>
      </w:r>
      <w:r w:rsidR="00CF2EB2">
        <w:t xml:space="preserve"> service types surrounding the base case</w:t>
      </w:r>
      <w:r w:rsidR="006345D1">
        <w:t>.</w:t>
      </w:r>
      <w:r w:rsidR="00CF2EB2">
        <w:t xml:space="preserve"> The sub-group analysis suggests that there is considerable variation in the ICER by the services’ state or territory, regionality, maturity and size in terms of episodes treated during 2019-20. The spread in the ICER is most noticeable when splitting </w:t>
      </w:r>
      <w:r w:rsidR="00D324EF">
        <w:t>headspace</w:t>
      </w:r>
      <w:r w:rsidR="00CF2EB2">
        <w:t xml:space="preserve"> services by their regionality, maturity and size.</w:t>
      </w:r>
    </w:p>
    <w:p w14:paraId="33ADCD29" w14:textId="697B7800" w:rsidR="00CF2EB2" w:rsidRDefault="00CF2EB2" w:rsidP="00C207B8">
      <w:pPr>
        <w:pStyle w:val="BodyText"/>
      </w:pPr>
      <w:r>
        <w:t xml:space="preserve">The ICER is the lowest among services located within major cities of Australia ($40,881) and is the highest among services within remote or very remote areas of Australia ($460,052). This implies the cost per QALY gained in remote or very remote areas is 11 times the respective cost in major cities. This is likely driven by the fact that most of the </w:t>
      </w:r>
      <w:r w:rsidR="00D324EF">
        <w:t>headspace</w:t>
      </w:r>
      <w:r>
        <w:t xml:space="preserve"> services (59) and episodes (30,737) are located and treated, respectively, within major cities. By contrast, only four services are located in remote or very remote areas and they collectively treated 497 episodes</w:t>
      </w:r>
      <w:r w:rsidR="008509A0">
        <w:t>, or 5,858 OOS</w:t>
      </w:r>
      <w:r>
        <w:t>.</w:t>
      </w:r>
    </w:p>
    <w:p w14:paraId="2DA47483" w14:textId="667870CF" w:rsidR="00CF2EB2" w:rsidRDefault="004E5002" w:rsidP="00C207B8">
      <w:pPr>
        <w:pStyle w:val="BodyText"/>
      </w:pPr>
      <w:r>
        <w:fldChar w:fldCharType="begin" w:fldLock="1"/>
      </w:r>
      <w:r>
        <w:instrText xml:space="preserve"> REF _Ref104903880 \h </w:instrText>
      </w:r>
      <w:r w:rsidR="00C207B8">
        <w:instrText xml:space="preserve"> \* MERGEFORMAT </w:instrText>
      </w:r>
      <w:r>
        <w:fldChar w:fldCharType="separate"/>
      </w:r>
      <w:r w:rsidR="000C245D">
        <w:t xml:space="preserve">Table </w:t>
      </w:r>
      <w:r w:rsidR="000C245D">
        <w:rPr>
          <w:noProof/>
        </w:rPr>
        <w:t>21</w:t>
      </w:r>
      <w:r>
        <w:fldChar w:fldCharType="end"/>
      </w:r>
      <w:r w:rsidR="006C49EA">
        <w:t xml:space="preserve"> </w:t>
      </w:r>
      <w:r w:rsidR="00CF2EB2">
        <w:t>also shows there is a positive correlation between the services</w:t>
      </w:r>
      <w:r w:rsidR="005359B7">
        <w:t>’</w:t>
      </w:r>
      <w:r w:rsidR="00CF2EB2">
        <w:t xml:space="preserve"> maturity and their respective ICERs. Services opened less than four years have an average ICER of $74,143. This cost per QALY gained is approximately 1.7 times that of services which opened more than four years ago. This </w:t>
      </w:r>
      <w:r w:rsidR="00A6171F">
        <w:t>indicates</w:t>
      </w:r>
      <w:r w:rsidR="00CF2EB2">
        <w:t xml:space="preserve"> that maturity allows a service to become more established </w:t>
      </w:r>
      <w:r w:rsidR="009B6F1B">
        <w:t>in the local community</w:t>
      </w:r>
      <w:r w:rsidR="00CF2EB2">
        <w:t>, ensuring appropriate staffing meets local needs and using experience to deliver services efficiently.</w:t>
      </w:r>
    </w:p>
    <w:p w14:paraId="14984C54" w14:textId="4CA11E04" w:rsidR="00EE7DBF" w:rsidRDefault="00CF2EB2" w:rsidP="00C207B8">
      <w:pPr>
        <w:pStyle w:val="BodyText"/>
      </w:pPr>
      <w:r>
        <w:t xml:space="preserve">Lastly, </w:t>
      </w:r>
      <w:r w:rsidR="002314F8">
        <w:fldChar w:fldCharType="begin" w:fldLock="1"/>
      </w:r>
      <w:r w:rsidR="002314F8">
        <w:instrText xml:space="preserve"> REF _Ref104903880 \h </w:instrText>
      </w:r>
      <w:r w:rsidR="00C207B8">
        <w:instrText xml:space="preserve"> \* MERGEFORMAT </w:instrText>
      </w:r>
      <w:r w:rsidR="002314F8">
        <w:fldChar w:fldCharType="separate"/>
      </w:r>
      <w:r w:rsidR="000C245D">
        <w:t xml:space="preserve">Table </w:t>
      </w:r>
      <w:r w:rsidR="000C245D">
        <w:rPr>
          <w:noProof/>
        </w:rPr>
        <w:t>21</w:t>
      </w:r>
      <w:r w:rsidR="002314F8">
        <w:fldChar w:fldCharType="end"/>
      </w:r>
      <w:r w:rsidR="002314F8">
        <w:t xml:space="preserve"> </w:t>
      </w:r>
      <w:r>
        <w:t xml:space="preserve">highlights that larger services (in terms of </w:t>
      </w:r>
      <w:r w:rsidR="009D2BED">
        <w:t xml:space="preserve">numbers of </w:t>
      </w:r>
      <w:r>
        <w:t xml:space="preserve">episodes closed) are generally more cost-effective than smaller services. Services that treated at least 600 episodes, the largest category, have the lowest ICER of $34,267, whereas the smallest service category has an ICER at around $138,586. Among the four categories explored an inverse relationship </w:t>
      </w:r>
      <w:r w:rsidR="000227A1">
        <w:t xml:space="preserve">is observed </w:t>
      </w:r>
      <w:r>
        <w:t>between the service size and ICER.</w:t>
      </w:r>
    </w:p>
    <w:p w14:paraId="1AB16AE5" w14:textId="3295FA7A" w:rsidR="007F5B8C" w:rsidRDefault="007F5B8C" w:rsidP="007F5B8C">
      <w:pPr>
        <w:pStyle w:val="Caption"/>
      </w:pPr>
      <w:bookmarkStart w:id="155" w:name="_Ref104903880"/>
      <w:bookmarkStart w:id="156" w:name="_Toc108108971"/>
      <w:r>
        <w:t xml:space="preserve">Table </w:t>
      </w:r>
      <w:r>
        <w:fldChar w:fldCharType="begin"/>
      </w:r>
      <w:r>
        <w:instrText>SEQ Table \* ARABIC</w:instrText>
      </w:r>
      <w:r>
        <w:fldChar w:fldCharType="separate"/>
      </w:r>
      <w:r w:rsidR="00CC0438">
        <w:rPr>
          <w:noProof/>
        </w:rPr>
        <w:t>21</w:t>
      </w:r>
      <w:r>
        <w:fldChar w:fldCharType="end"/>
      </w:r>
      <w:bookmarkEnd w:id="155"/>
      <w:r>
        <w:t xml:space="preserve">: Sub-group analysis of </w:t>
      </w:r>
      <w:r w:rsidR="00FE2100">
        <w:t>headspace</w:t>
      </w:r>
      <w:r>
        <w:t xml:space="preserve"> service ICERs</w:t>
      </w:r>
      <w:bookmarkEnd w:id="156"/>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Caption w:val="Sub-group analysis of headspace service ICERs"/>
        <w:tblDescription w:val="Table 21 has 4 columns summarising outcomes from different sub-group analysis of the incremental cost effectiveness ratios. Column 1 describes the specific scenario analysed. Column 2 summarises the change in total costs in the scenario. Column 3 summarises the change in total quality adjusted life years from the scenario. Column 4 summarises the incremental cost effectiveness ratio from the scenario."/>
      </w:tblPr>
      <w:tblGrid>
        <w:gridCol w:w="4106"/>
        <w:gridCol w:w="1608"/>
        <w:gridCol w:w="1608"/>
        <w:gridCol w:w="1609"/>
      </w:tblGrid>
      <w:tr w:rsidR="00CF2EB2" w:rsidRPr="00F137F3" w14:paraId="37BEF823" w14:textId="77777777" w:rsidTr="00FF7E0A">
        <w:trPr>
          <w:trHeight w:val="288"/>
          <w:tblHeader/>
        </w:trPr>
        <w:tc>
          <w:tcPr>
            <w:tcW w:w="4106" w:type="dxa"/>
            <w:shd w:val="clear" w:color="auto" w:fill="00338D" w:themeFill="background2"/>
            <w:noWrap/>
            <w:hideMark/>
          </w:tcPr>
          <w:p w14:paraId="2A10F98E" w14:textId="77777777" w:rsidR="00CF2EB2" w:rsidRPr="00F137F3" w:rsidRDefault="00CF2EB2" w:rsidP="00687711">
            <w:pPr>
              <w:pStyle w:val="Tableheading"/>
              <w:rPr>
                <w:lang w:eastAsia="en-AU"/>
              </w:rPr>
            </w:pPr>
            <w:r w:rsidRPr="00F137F3">
              <w:rPr>
                <w:lang w:eastAsia="en-AU"/>
              </w:rPr>
              <w:t>Scenario</w:t>
            </w:r>
          </w:p>
        </w:tc>
        <w:tc>
          <w:tcPr>
            <w:tcW w:w="1608" w:type="dxa"/>
            <w:shd w:val="clear" w:color="auto" w:fill="00338D" w:themeFill="background2"/>
            <w:noWrap/>
            <w:vAlign w:val="center"/>
            <w:hideMark/>
          </w:tcPr>
          <w:p w14:paraId="68428650" w14:textId="487D56A2" w:rsidR="00CF2EB2" w:rsidRPr="00F137F3" w:rsidRDefault="00F137F3" w:rsidP="00FF7E0A">
            <w:pPr>
              <w:pStyle w:val="Tableheading"/>
              <w:jc w:val="right"/>
              <w:rPr>
                <w:lang w:eastAsia="en-AU"/>
              </w:rPr>
            </w:pPr>
            <w:r w:rsidRPr="00F137F3">
              <w:rPr>
                <w:rFonts w:cs="Cambria"/>
                <w:lang w:eastAsia="en-AU"/>
              </w:rPr>
              <w:t>Change in total costs</w:t>
            </w:r>
          </w:p>
        </w:tc>
        <w:tc>
          <w:tcPr>
            <w:tcW w:w="1608" w:type="dxa"/>
            <w:shd w:val="clear" w:color="auto" w:fill="00338D" w:themeFill="background2"/>
            <w:noWrap/>
            <w:vAlign w:val="center"/>
            <w:hideMark/>
          </w:tcPr>
          <w:p w14:paraId="5B27A113" w14:textId="669A7D10" w:rsidR="00CF2EB2" w:rsidRPr="00F137F3" w:rsidRDefault="00F137F3" w:rsidP="00FF7E0A">
            <w:pPr>
              <w:pStyle w:val="Tableheading"/>
              <w:jc w:val="right"/>
              <w:rPr>
                <w:lang w:eastAsia="en-AU"/>
              </w:rPr>
            </w:pPr>
            <w:r w:rsidRPr="00F137F3">
              <w:rPr>
                <w:rFonts w:cs="Cambria"/>
                <w:lang w:eastAsia="en-AU"/>
              </w:rPr>
              <w:t>Change in total QALYs</w:t>
            </w:r>
          </w:p>
        </w:tc>
        <w:tc>
          <w:tcPr>
            <w:tcW w:w="1609" w:type="dxa"/>
            <w:shd w:val="clear" w:color="auto" w:fill="00338D" w:themeFill="background2"/>
            <w:noWrap/>
            <w:vAlign w:val="center"/>
            <w:hideMark/>
          </w:tcPr>
          <w:p w14:paraId="1A5B32F7" w14:textId="77777777" w:rsidR="00CF2EB2" w:rsidRPr="00F137F3" w:rsidRDefault="00CF2EB2" w:rsidP="00FF7E0A">
            <w:pPr>
              <w:pStyle w:val="Tableheading"/>
              <w:jc w:val="right"/>
              <w:rPr>
                <w:lang w:eastAsia="en-AU"/>
              </w:rPr>
            </w:pPr>
            <w:r w:rsidRPr="00F137F3">
              <w:rPr>
                <w:lang w:eastAsia="en-AU"/>
              </w:rPr>
              <w:t>ICER</w:t>
            </w:r>
          </w:p>
        </w:tc>
      </w:tr>
      <w:tr w:rsidR="00687711" w:rsidRPr="00F137F3" w14:paraId="37B75871" w14:textId="77777777" w:rsidTr="00FF7E0A">
        <w:trPr>
          <w:trHeight w:val="288"/>
        </w:trPr>
        <w:tc>
          <w:tcPr>
            <w:tcW w:w="8931" w:type="dxa"/>
            <w:gridSpan w:val="4"/>
            <w:shd w:val="clear" w:color="auto" w:fill="C4EBFF" w:themeFill="accent2" w:themeFillTint="33"/>
            <w:noWrap/>
            <w:vAlign w:val="center"/>
          </w:tcPr>
          <w:p w14:paraId="1527ECE2" w14:textId="39894216" w:rsidR="00687711" w:rsidRPr="00FE656D" w:rsidRDefault="00687711" w:rsidP="00FE656D">
            <w:pPr>
              <w:pStyle w:val="Tabletext"/>
              <w:rPr>
                <w:b/>
                <w:bCs/>
                <w:lang w:eastAsia="en-AU"/>
              </w:rPr>
            </w:pPr>
            <w:r w:rsidRPr="00FE656D">
              <w:rPr>
                <w:b/>
                <w:bCs/>
                <w:lang w:eastAsia="en-AU"/>
              </w:rPr>
              <w:t>State or territory</w:t>
            </w:r>
          </w:p>
        </w:tc>
      </w:tr>
      <w:tr w:rsidR="00CF2EB2" w:rsidRPr="00F137F3" w14:paraId="5F8B5C74" w14:textId="77777777" w:rsidTr="00FF7E0A">
        <w:trPr>
          <w:trHeight w:val="288"/>
        </w:trPr>
        <w:tc>
          <w:tcPr>
            <w:tcW w:w="4106" w:type="dxa"/>
            <w:noWrap/>
          </w:tcPr>
          <w:p w14:paraId="0FC8C5B0" w14:textId="77777777" w:rsidR="00CF2EB2" w:rsidRPr="00F137F3" w:rsidRDefault="00CF2EB2" w:rsidP="00687711">
            <w:pPr>
              <w:pStyle w:val="Tabletext"/>
              <w:rPr>
                <w:lang w:eastAsia="en-AU"/>
              </w:rPr>
            </w:pPr>
            <w:r w:rsidRPr="00F137F3">
              <w:t>ACT</w:t>
            </w:r>
          </w:p>
        </w:tc>
        <w:tc>
          <w:tcPr>
            <w:tcW w:w="1608" w:type="dxa"/>
            <w:noWrap/>
            <w:vAlign w:val="center"/>
          </w:tcPr>
          <w:p w14:paraId="2454B43A" w14:textId="77777777" w:rsidR="00CF2EB2" w:rsidRPr="00F137F3" w:rsidRDefault="00CF2EB2" w:rsidP="00FF7E0A">
            <w:pPr>
              <w:pStyle w:val="Tabletext"/>
              <w:jc w:val="right"/>
              <w:rPr>
                <w:lang w:eastAsia="en-AU"/>
              </w:rPr>
            </w:pPr>
            <w:r w:rsidRPr="00F137F3">
              <w:t>$350,373.81</w:t>
            </w:r>
          </w:p>
        </w:tc>
        <w:tc>
          <w:tcPr>
            <w:tcW w:w="1608" w:type="dxa"/>
            <w:noWrap/>
            <w:vAlign w:val="center"/>
          </w:tcPr>
          <w:p w14:paraId="6092CCE4" w14:textId="77777777" w:rsidR="00CF2EB2" w:rsidRPr="00F137F3" w:rsidRDefault="00CF2EB2" w:rsidP="00FF7E0A">
            <w:pPr>
              <w:pStyle w:val="Tabletext"/>
              <w:jc w:val="right"/>
              <w:rPr>
                <w:lang w:eastAsia="en-AU"/>
              </w:rPr>
            </w:pPr>
            <w:r w:rsidRPr="00F137F3">
              <w:t>5.842</w:t>
            </w:r>
          </w:p>
        </w:tc>
        <w:tc>
          <w:tcPr>
            <w:tcW w:w="1609" w:type="dxa"/>
            <w:noWrap/>
            <w:vAlign w:val="center"/>
          </w:tcPr>
          <w:p w14:paraId="7ACB2D07" w14:textId="77777777" w:rsidR="00CF2EB2" w:rsidRPr="00F137F3" w:rsidRDefault="00CF2EB2" w:rsidP="00FF7E0A">
            <w:pPr>
              <w:pStyle w:val="Tabletext"/>
              <w:jc w:val="right"/>
              <w:rPr>
                <w:lang w:eastAsia="en-AU"/>
              </w:rPr>
            </w:pPr>
            <w:r w:rsidRPr="00F137F3">
              <w:t xml:space="preserve">$59,979 </w:t>
            </w:r>
          </w:p>
        </w:tc>
      </w:tr>
      <w:tr w:rsidR="00CF2EB2" w:rsidRPr="00F137F3" w14:paraId="4E36A0D7" w14:textId="77777777" w:rsidTr="00FF7E0A">
        <w:trPr>
          <w:trHeight w:val="288"/>
        </w:trPr>
        <w:tc>
          <w:tcPr>
            <w:tcW w:w="4106" w:type="dxa"/>
            <w:noWrap/>
          </w:tcPr>
          <w:p w14:paraId="0066B22D" w14:textId="77777777" w:rsidR="00CF2EB2" w:rsidRPr="00F137F3" w:rsidRDefault="00CF2EB2" w:rsidP="00687711">
            <w:pPr>
              <w:pStyle w:val="Tabletext"/>
              <w:rPr>
                <w:lang w:eastAsia="en-AU"/>
              </w:rPr>
            </w:pPr>
            <w:r w:rsidRPr="00F137F3">
              <w:t>Victoria</w:t>
            </w:r>
          </w:p>
        </w:tc>
        <w:tc>
          <w:tcPr>
            <w:tcW w:w="1608" w:type="dxa"/>
            <w:noWrap/>
            <w:vAlign w:val="center"/>
          </w:tcPr>
          <w:p w14:paraId="7ECE0843" w14:textId="77777777" w:rsidR="00CF2EB2" w:rsidRPr="00F137F3" w:rsidRDefault="00CF2EB2" w:rsidP="00FF7E0A">
            <w:pPr>
              <w:pStyle w:val="Tabletext"/>
              <w:jc w:val="right"/>
              <w:rPr>
                <w:lang w:eastAsia="en-AU"/>
              </w:rPr>
            </w:pPr>
            <w:r w:rsidRPr="00F137F3">
              <w:t>$8,888,910.18</w:t>
            </w:r>
          </w:p>
        </w:tc>
        <w:tc>
          <w:tcPr>
            <w:tcW w:w="1608" w:type="dxa"/>
            <w:noWrap/>
            <w:vAlign w:val="center"/>
          </w:tcPr>
          <w:p w14:paraId="41200114" w14:textId="77777777" w:rsidR="00CF2EB2" w:rsidRPr="00F137F3" w:rsidRDefault="00CF2EB2" w:rsidP="00FF7E0A">
            <w:pPr>
              <w:pStyle w:val="Tabletext"/>
              <w:jc w:val="right"/>
              <w:rPr>
                <w:lang w:eastAsia="en-AU"/>
              </w:rPr>
            </w:pPr>
            <w:r w:rsidRPr="00F137F3">
              <w:t>155.679</w:t>
            </w:r>
          </w:p>
        </w:tc>
        <w:tc>
          <w:tcPr>
            <w:tcW w:w="1609" w:type="dxa"/>
            <w:noWrap/>
            <w:vAlign w:val="center"/>
          </w:tcPr>
          <w:p w14:paraId="03D6458B" w14:textId="77777777" w:rsidR="00CF2EB2" w:rsidRPr="00F137F3" w:rsidRDefault="00CF2EB2" w:rsidP="00FF7E0A">
            <w:pPr>
              <w:pStyle w:val="Tabletext"/>
              <w:jc w:val="right"/>
              <w:rPr>
                <w:lang w:eastAsia="en-AU"/>
              </w:rPr>
            </w:pPr>
            <w:r w:rsidRPr="00F137F3">
              <w:t xml:space="preserve">$57,098 </w:t>
            </w:r>
          </w:p>
        </w:tc>
      </w:tr>
      <w:tr w:rsidR="00CF2EB2" w:rsidRPr="00F137F3" w14:paraId="426DE0B3" w14:textId="77777777" w:rsidTr="00FF7E0A">
        <w:trPr>
          <w:trHeight w:val="288"/>
        </w:trPr>
        <w:tc>
          <w:tcPr>
            <w:tcW w:w="4106" w:type="dxa"/>
            <w:noWrap/>
          </w:tcPr>
          <w:p w14:paraId="20C52C8D" w14:textId="77777777" w:rsidR="00CF2EB2" w:rsidRPr="00F137F3" w:rsidRDefault="00CF2EB2" w:rsidP="00687711">
            <w:pPr>
              <w:pStyle w:val="Tabletext"/>
              <w:rPr>
                <w:lang w:eastAsia="en-AU"/>
              </w:rPr>
            </w:pPr>
            <w:r w:rsidRPr="00F137F3">
              <w:t>Northern Territory</w:t>
            </w:r>
          </w:p>
        </w:tc>
        <w:tc>
          <w:tcPr>
            <w:tcW w:w="1608" w:type="dxa"/>
            <w:noWrap/>
            <w:vAlign w:val="center"/>
          </w:tcPr>
          <w:p w14:paraId="474AEBE6" w14:textId="77777777" w:rsidR="00CF2EB2" w:rsidRPr="00F137F3" w:rsidRDefault="00CF2EB2" w:rsidP="00FF7E0A">
            <w:pPr>
              <w:pStyle w:val="Tabletext"/>
              <w:jc w:val="right"/>
              <w:rPr>
                <w:lang w:eastAsia="en-AU"/>
              </w:rPr>
            </w:pPr>
            <w:r w:rsidRPr="00F137F3">
              <w:t>$592,309.99</w:t>
            </w:r>
          </w:p>
        </w:tc>
        <w:tc>
          <w:tcPr>
            <w:tcW w:w="1608" w:type="dxa"/>
            <w:noWrap/>
            <w:vAlign w:val="center"/>
          </w:tcPr>
          <w:p w14:paraId="2048A5C2" w14:textId="77777777" w:rsidR="00CF2EB2" w:rsidRPr="00F137F3" w:rsidRDefault="00CF2EB2" w:rsidP="00FF7E0A">
            <w:pPr>
              <w:pStyle w:val="Tabletext"/>
              <w:jc w:val="right"/>
              <w:rPr>
                <w:lang w:eastAsia="en-AU"/>
              </w:rPr>
            </w:pPr>
            <w:r w:rsidRPr="00F137F3">
              <w:t>10.481</w:t>
            </w:r>
          </w:p>
        </w:tc>
        <w:tc>
          <w:tcPr>
            <w:tcW w:w="1609" w:type="dxa"/>
            <w:noWrap/>
            <w:vAlign w:val="center"/>
          </w:tcPr>
          <w:p w14:paraId="1E0BB6BB" w14:textId="77777777" w:rsidR="00CF2EB2" w:rsidRPr="00F137F3" w:rsidRDefault="00CF2EB2" w:rsidP="00FF7E0A">
            <w:pPr>
              <w:pStyle w:val="Tabletext"/>
              <w:jc w:val="right"/>
              <w:rPr>
                <w:lang w:eastAsia="en-AU"/>
              </w:rPr>
            </w:pPr>
            <w:r w:rsidRPr="00F137F3">
              <w:t xml:space="preserve">$56,512 </w:t>
            </w:r>
          </w:p>
        </w:tc>
      </w:tr>
      <w:tr w:rsidR="00CF2EB2" w:rsidRPr="00F137F3" w14:paraId="2B23E59D" w14:textId="77777777" w:rsidTr="00FF7E0A">
        <w:trPr>
          <w:trHeight w:val="288"/>
        </w:trPr>
        <w:tc>
          <w:tcPr>
            <w:tcW w:w="4106" w:type="dxa"/>
            <w:noWrap/>
          </w:tcPr>
          <w:p w14:paraId="0C5218C9" w14:textId="77777777" w:rsidR="00CF2EB2" w:rsidRPr="00F137F3" w:rsidRDefault="00CF2EB2" w:rsidP="00687711">
            <w:pPr>
              <w:pStyle w:val="Tabletext"/>
              <w:rPr>
                <w:lang w:eastAsia="en-AU"/>
              </w:rPr>
            </w:pPr>
            <w:r w:rsidRPr="00F137F3">
              <w:t>Tasmania</w:t>
            </w:r>
          </w:p>
        </w:tc>
        <w:tc>
          <w:tcPr>
            <w:tcW w:w="1608" w:type="dxa"/>
            <w:noWrap/>
            <w:vAlign w:val="center"/>
          </w:tcPr>
          <w:p w14:paraId="448D7DC2" w14:textId="77777777" w:rsidR="00CF2EB2" w:rsidRPr="00F137F3" w:rsidRDefault="00CF2EB2" w:rsidP="00FF7E0A">
            <w:pPr>
              <w:pStyle w:val="Tabletext"/>
              <w:jc w:val="right"/>
              <w:rPr>
                <w:lang w:eastAsia="en-AU"/>
              </w:rPr>
            </w:pPr>
            <w:r w:rsidRPr="00F137F3">
              <w:t>$750,280.77</w:t>
            </w:r>
          </w:p>
        </w:tc>
        <w:tc>
          <w:tcPr>
            <w:tcW w:w="1608" w:type="dxa"/>
            <w:noWrap/>
            <w:vAlign w:val="center"/>
          </w:tcPr>
          <w:p w14:paraId="031E51CC" w14:textId="77777777" w:rsidR="00CF2EB2" w:rsidRPr="00F137F3" w:rsidRDefault="00CF2EB2" w:rsidP="00FF7E0A">
            <w:pPr>
              <w:pStyle w:val="Tabletext"/>
              <w:jc w:val="right"/>
              <w:rPr>
                <w:lang w:eastAsia="en-AU"/>
              </w:rPr>
            </w:pPr>
            <w:r w:rsidRPr="00F137F3">
              <w:t>13.755</w:t>
            </w:r>
          </w:p>
        </w:tc>
        <w:tc>
          <w:tcPr>
            <w:tcW w:w="1609" w:type="dxa"/>
            <w:noWrap/>
            <w:vAlign w:val="center"/>
          </w:tcPr>
          <w:p w14:paraId="3D34BC2D" w14:textId="77777777" w:rsidR="00CF2EB2" w:rsidRPr="00F137F3" w:rsidRDefault="00CF2EB2" w:rsidP="00FF7E0A">
            <w:pPr>
              <w:pStyle w:val="Tabletext"/>
              <w:jc w:val="right"/>
              <w:rPr>
                <w:lang w:eastAsia="en-AU"/>
              </w:rPr>
            </w:pPr>
            <w:r w:rsidRPr="00F137F3">
              <w:t xml:space="preserve">$54,546 </w:t>
            </w:r>
          </w:p>
        </w:tc>
      </w:tr>
      <w:tr w:rsidR="00CF2EB2" w:rsidRPr="00F137F3" w14:paraId="4442B2F2" w14:textId="77777777" w:rsidTr="00FF7E0A">
        <w:trPr>
          <w:trHeight w:val="288"/>
        </w:trPr>
        <w:tc>
          <w:tcPr>
            <w:tcW w:w="4106" w:type="dxa"/>
            <w:noWrap/>
          </w:tcPr>
          <w:p w14:paraId="1B2C8BA8" w14:textId="77777777" w:rsidR="00CF2EB2" w:rsidRPr="00F137F3" w:rsidRDefault="00CF2EB2" w:rsidP="00687711">
            <w:pPr>
              <w:pStyle w:val="Tabletext"/>
              <w:rPr>
                <w:lang w:eastAsia="en-AU"/>
              </w:rPr>
            </w:pPr>
            <w:r w:rsidRPr="00F137F3">
              <w:t>Western Australia</w:t>
            </w:r>
          </w:p>
        </w:tc>
        <w:tc>
          <w:tcPr>
            <w:tcW w:w="1608" w:type="dxa"/>
            <w:noWrap/>
            <w:vAlign w:val="center"/>
          </w:tcPr>
          <w:p w14:paraId="16F67AC9" w14:textId="77777777" w:rsidR="00CF2EB2" w:rsidRPr="00F137F3" w:rsidRDefault="00CF2EB2" w:rsidP="00FF7E0A">
            <w:pPr>
              <w:pStyle w:val="Tabletext"/>
              <w:jc w:val="right"/>
              <w:rPr>
                <w:lang w:eastAsia="en-AU"/>
              </w:rPr>
            </w:pPr>
            <w:r w:rsidRPr="00F137F3">
              <w:t>$4,745,608.39</w:t>
            </w:r>
          </w:p>
        </w:tc>
        <w:tc>
          <w:tcPr>
            <w:tcW w:w="1608" w:type="dxa"/>
            <w:noWrap/>
            <w:vAlign w:val="center"/>
          </w:tcPr>
          <w:p w14:paraId="08D120D4" w14:textId="77777777" w:rsidR="00CF2EB2" w:rsidRPr="00F137F3" w:rsidRDefault="00CF2EB2" w:rsidP="00FF7E0A">
            <w:pPr>
              <w:pStyle w:val="Tabletext"/>
              <w:jc w:val="right"/>
              <w:rPr>
                <w:lang w:eastAsia="en-AU"/>
              </w:rPr>
            </w:pPr>
            <w:r w:rsidRPr="00F137F3">
              <w:t>91.580</w:t>
            </w:r>
          </w:p>
        </w:tc>
        <w:tc>
          <w:tcPr>
            <w:tcW w:w="1609" w:type="dxa"/>
            <w:noWrap/>
            <w:vAlign w:val="center"/>
          </w:tcPr>
          <w:p w14:paraId="59E51425" w14:textId="77777777" w:rsidR="00CF2EB2" w:rsidRPr="00F137F3" w:rsidRDefault="00CF2EB2" w:rsidP="00FF7E0A">
            <w:pPr>
              <w:pStyle w:val="Tabletext"/>
              <w:jc w:val="right"/>
              <w:rPr>
                <w:lang w:eastAsia="en-AU"/>
              </w:rPr>
            </w:pPr>
            <w:r w:rsidRPr="00F137F3">
              <w:t xml:space="preserve">$51,819 </w:t>
            </w:r>
          </w:p>
        </w:tc>
      </w:tr>
      <w:tr w:rsidR="00CF2EB2" w:rsidRPr="00F137F3" w14:paraId="55DE2376" w14:textId="77777777" w:rsidTr="00FF7E0A">
        <w:trPr>
          <w:trHeight w:val="288"/>
        </w:trPr>
        <w:tc>
          <w:tcPr>
            <w:tcW w:w="4106" w:type="dxa"/>
            <w:noWrap/>
          </w:tcPr>
          <w:p w14:paraId="4DD7D025" w14:textId="77777777" w:rsidR="00CF2EB2" w:rsidRPr="00F137F3" w:rsidRDefault="00CF2EB2" w:rsidP="00687711">
            <w:pPr>
              <w:pStyle w:val="Tabletext"/>
              <w:rPr>
                <w:lang w:eastAsia="en-AU"/>
              </w:rPr>
            </w:pPr>
            <w:r w:rsidRPr="00F137F3">
              <w:t>New South Wales</w:t>
            </w:r>
          </w:p>
        </w:tc>
        <w:tc>
          <w:tcPr>
            <w:tcW w:w="1608" w:type="dxa"/>
            <w:noWrap/>
            <w:vAlign w:val="center"/>
          </w:tcPr>
          <w:p w14:paraId="6B58FA4C" w14:textId="77777777" w:rsidR="00CF2EB2" w:rsidRPr="00F137F3" w:rsidRDefault="00CF2EB2" w:rsidP="00FF7E0A">
            <w:pPr>
              <w:pStyle w:val="Tabletext"/>
              <w:jc w:val="right"/>
              <w:rPr>
                <w:lang w:eastAsia="en-AU"/>
              </w:rPr>
            </w:pPr>
            <w:r w:rsidRPr="00F137F3">
              <w:t>$11,216,121.63</w:t>
            </w:r>
          </w:p>
        </w:tc>
        <w:tc>
          <w:tcPr>
            <w:tcW w:w="1608" w:type="dxa"/>
            <w:noWrap/>
            <w:vAlign w:val="center"/>
          </w:tcPr>
          <w:p w14:paraId="4F87342A" w14:textId="77777777" w:rsidR="00CF2EB2" w:rsidRPr="00F137F3" w:rsidRDefault="00CF2EB2" w:rsidP="00FF7E0A">
            <w:pPr>
              <w:pStyle w:val="Tabletext"/>
              <w:jc w:val="right"/>
              <w:rPr>
                <w:lang w:eastAsia="en-AU"/>
              </w:rPr>
            </w:pPr>
            <w:r w:rsidRPr="00F137F3">
              <w:t>258.017</w:t>
            </w:r>
          </w:p>
        </w:tc>
        <w:tc>
          <w:tcPr>
            <w:tcW w:w="1609" w:type="dxa"/>
            <w:noWrap/>
            <w:vAlign w:val="center"/>
          </w:tcPr>
          <w:p w14:paraId="10E90128" w14:textId="77777777" w:rsidR="00CF2EB2" w:rsidRPr="00F137F3" w:rsidRDefault="00CF2EB2" w:rsidP="00FF7E0A">
            <w:pPr>
              <w:pStyle w:val="Tabletext"/>
              <w:jc w:val="right"/>
              <w:rPr>
                <w:lang w:eastAsia="en-AU"/>
              </w:rPr>
            </w:pPr>
            <w:r w:rsidRPr="00F137F3">
              <w:t xml:space="preserve">$43,471 </w:t>
            </w:r>
          </w:p>
        </w:tc>
      </w:tr>
      <w:tr w:rsidR="00CF2EB2" w:rsidRPr="00F137F3" w14:paraId="595EAB50" w14:textId="77777777" w:rsidTr="00FF7E0A">
        <w:trPr>
          <w:trHeight w:val="288"/>
        </w:trPr>
        <w:tc>
          <w:tcPr>
            <w:tcW w:w="4106" w:type="dxa"/>
            <w:noWrap/>
          </w:tcPr>
          <w:p w14:paraId="46034E18" w14:textId="77777777" w:rsidR="00CF2EB2" w:rsidRPr="00F137F3" w:rsidRDefault="00CF2EB2" w:rsidP="00687711">
            <w:pPr>
              <w:pStyle w:val="Tabletext"/>
              <w:rPr>
                <w:lang w:eastAsia="en-AU"/>
              </w:rPr>
            </w:pPr>
            <w:r w:rsidRPr="00F137F3">
              <w:t>South Australia</w:t>
            </w:r>
          </w:p>
        </w:tc>
        <w:tc>
          <w:tcPr>
            <w:tcW w:w="1608" w:type="dxa"/>
            <w:noWrap/>
            <w:vAlign w:val="center"/>
          </w:tcPr>
          <w:p w14:paraId="07D7BB99" w14:textId="77777777" w:rsidR="00CF2EB2" w:rsidRPr="00F137F3" w:rsidRDefault="00CF2EB2" w:rsidP="00FF7E0A">
            <w:pPr>
              <w:pStyle w:val="Tabletext"/>
              <w:jc w:val="right"/>
              <w:rPr>
                <w:lang w:eastAsia="en-AU"/>
              </w:rPr>
            </w:pPr>
            <w:r w:rsidRPr="00F137F3">
              <w:t>$2,801,958.57</w:t>
            </w:r>
          </w:p>
        </w:tc>
        <w:tc>
          <w:tcPr>
            <w:tcW w:w="1608" w:type="dxa"/>
            <w:noWrap/>
            <w:vAlign w:val="center"/>
          </w:tcPr>
          <w:p w14:paraId="7A449DFE" w14:textId="77777777" w:rsidR="00CF2EB2" w:rsidRPr="00F137F3" w:rsidRDefault="00CF2EB2" w:rsidP="00FF7E0A">
            <w:pPr>
              <w:pStyle w:val="Tabletext"/>
              <w:jc w:val="right"/>
              <w:rPr>
                <w:lang w:eastAsia="en-AU"/>
              </w:rPr>
            </w:pPr>
            <w:r w:rsidRPr="00F137F3">
              <w:t>64.483</w:t>
            </w:r>
          </w:p>
        </w:tc>
        <w:tc>
          <w:tcPr>
            <w:tcW w:w="1609" w:type="dxa"/>
            <w:noWrap/>
            <w:vAlign w:val="center"/>
          </w:tcPr>
          <w:p w14:paraId="356E0911" w14:textId="77777777" w:rsidR="00CF2EB2" w:rsidRPr="00F137F3" w:rsidRDefault="00CF2EB2" w:rsidP="00FF7E0A">
            <w:pPr>
              <w:pStyle w:val="Tabletext"/>
              <w:jc w:val="right"/>
              <w:rPr>
                <w:lang w:eastAsia="en-AU"/>
              </w:rPr>
            </w:pPr>
            <w:r w:rsidRPr="00F137F3">
              <w:t xml:space="preserve">$43,452 </w:t>
            </w:r>
          </w:p>
        </w:tc>
      </w:tr>
      <w:tr w:rsidR="00CF2EB2" w:rsidRPr="00F137F3" w14:paraId="01E84356" w14:textId="77777777" w:rsidTr="00FF7E0A">
        <w:trPr>
          <w:trHeight w:val="288"/>
        </w:trPr>
        <w:tc>
          <w:tcPr>
            <w:tcW w:w="4106" w:type="dxa"/>
            <w:tcBorders>
              <w:bottom w:val="single" w:sz="4" w:space="0" w:color="auto"/>
            </w:tcBorders>
            <w:noWrap/>
          </w:tcPr>
          <w:p w14:paraId="1FDF099C" w14:textId="77777777" w:rsidR="00CF2EB2" w:rsidRPr="00F137F3" w:rsidRDefault="00CF2EB2" w:rsidP="00687711">
            <w:pPr>
              <w:pStyle w:val="Tabletext"/>
              <w:rPr>
                <w:lang w:eastAsia="en-AU"/>
              </w:rPr>
            </w:pPr>
            <w:r w:rsidRPr="00F137F3">
              <w:t>Queensland</w:t>
            </w:r>
          </w:p>
        </w:tc>
        <w:tc>
          <w:tcPr>
            <w:tcW w:w="1608" w:type="dxa"/>
            <w:tcBorders>
              <w:bottom w:val="single" w:sz="4" w:space="0" w:color="auto"/>
            </w:tcBorders>
            <w:noWrap/>
            <w:vAlign w:val="center"/>
          </w:tcPr>
          <w:p w14:paraId="4A806E94" w14:textId="77777777" w:rsidR="00CF2EB2" w:rsidRPr="00F137F3" w:rsidRDefault="00CF2EB2" w:rsidP="00FF7E0A">
            <w:pPr>
              <w:pStyle w:val="Tabletext"/>
              <w:jc w:val="right"/>
              <w:rPr>
                <w:lang w:eastAsia="en-AU"/>
              </w:rPr>
            </w:pPr>
            <w:r w:rsidRPr="00F137F3">
              <w:t>$8,496,737.86</w:t>
            </w:r>
          </w:p>
        </w:tc>
        <w:tc>
          <w:tcPr>
            <w:tcW w:w="1608" w:type="dxa"/>
            <w:tcBorders>
              <w:bottom w:val="single" w:sz="4" w:space="0" w:color="auto"/>
            </w:tcBorders>
            <w:noWrap/>
            <w:vAlign w:val="center"/>
          </w:tcPr>
          <w:p w14:paraId="3C1EF37D" w14:textId="77777777" w:rsidR="00CF2EB2" w:rsidRPr="00F137F3" w:rsidRDefault="00CF2EB2" w:rsidP="00FF7E0A">
            <w:pPr>
              <w:pStyle w:val="Tabletext"/>
              <w:jc w:val="right"/>
              <w:rPr>
                <w:lang w:eastAsia="en-AU"/>
              </w:rPr>
            </w:pPr>
            <w:r w:rsidRPr="00F137F3">
              <w:t>238.015</w:t>
            </w:r>
          </w:p>
        </w:tc>
        <w:tc>
          <w:tcPr>
            <w:tcW w:w="1609" w:type="dxa"/>
            <w:tcBorders>
              <w:bottom w:val="single" w:sz="4" w:space="0" w:color="auto"/>
            </w:tcBorders>
            <w:noWrap/>
            <w:vAlign w:val="center"/>
          </w:tcPr>
          <w:p w14:paraId="0A6FE671" w14:textId="77777777" w:rsidR="00CF2EB2" w:rsidRPr="00F137F3" w:rsidRDefault="00CF2EB2" w:rsidP="00FF7E0A">
            <w:pPr>
              <w:pStyle w:val="Tabletext"/>
              <w:jc w:val="right"/>
              <w:rPr>
                <w:lang w:eastAsia="en-AU"/>
              </w:rPr>
            </w:pPr>
            <w:r w:rsidRPr="00F137F3">
              <w:t xml:space="preserve">$35,698 </w:t>
            </w:r>
          </w:p>
        </w:tc>
      </w:tr>
      <w:tr w:rsidR="00687711" w:rsidRPr="00F137F3" w14:paraId="226A9BF0" w14:textId="77777777" w:rsidTr="00FF7E0A">
        <w:trPr>
          <w:trHeight w:val="288"/>
        </w:trPr>
        <w:tc>
          <w:tcPr>
            <w:tcW w:w="8931" w:type="dxa"/>
            <w:gridSpan w:val="4"/>
            <w:tcBorders>
              <w:top w:val="single" w:sz="4" w:space="0" w:color="auto"/>
            </w:tcBorders>
            <w:shd w:val="clear" w:color="auto" w:fill="C4EBFF" w:themeFill="accent2" w:themeFillTint="33"/>
            <w:noWrap/>
            <w:vAlign w:val="center"/>
          </w:tcPr>
          <w:p w14:paraId="19EFDFD5" w14:textId="03F44E11" w:rsidR="00687711" w:rsidRPr="00FE656D" w:rsidRDefault="00687711" w:rsidP="00FE656D">
            <w:pPr>
              <w:pStyle w:val="Tabletext"/>
              <w:rPr>
                <w:b/>
                <w:bCs/>
                <w:lang w:eastAsia="en-AU"/>
              </w:rPr>
            </w:pPr>
            <w:r w:rsidRPr="00FE656D">
              <w:rPr>
                <w:b/>
                <w:bCs/>
                <w:lang w:eastAsia="en-AU"/>
              </w:rPr>
              <w:t>Regionality</w:t>
            </w:r>
          </w:p>
        </w:tc>
      </w:tr>
      <w:tr w:rsidR="00CF2EB2" w:rsidRPr="00F137F3" w14:paraId="2BC8CF13" w14:textId="77777777" w:rsidTr="00FF7E0A">
        <w:trPr>
          <w:trHeight w:val="288"/>
        </w:trPr>
        <w:tc>
          <w:tcPr>
            <w:tcW w:w="4106" w:type="dxa"/>
            <w:noWrap/>
          </w:tcPr>
          <w:p w14:paraId="6EED0A72" w14:textId="77777777" w:rsidR="00CF2EB2" w:rsidRPr="00F137F3" w:rsidRDefault="00CF2EB2" w:rsidP="00687711">
            <w:pPr>
              <w:pStyle w:val="Tabletext"/>
              <w:rPr>
                <w:lang w:eastAsia="en-AU"/>
              </w:rPr>
            </w:pPr>
            <w:r w:rsidRPr="00F137F3">
              <w:rPr>
                <w:lang w:eastAsia="en-AU"/>
              </w:rPr>
              <w:t>Remote or very remote Australia</w:t>
            </w:r>
          </w:p>
        </w:tc>
        <w:tc>
          <w:tcPr>
            <w:tcW w:w="1608" w:type="dxa"/>
            <w:noWrap/>
            <w:vAlign w:val="center"/>
          </w:tcPr>
          <w:p w14:paraId="16B6A377" w14:textId="77777777" w:rsidR="00CF2EB2" w:rsidRPr="005359B7" w:rsidRDefault="00CF2EB2" w:rsidP="00FF7E0A">
            <w:pPr>
              <w:pStyle w:val="Tabletext"/>
              <w:jc w:val="right"/>
            </w:pPr>
            <w:r w:rsidRPr="00F137F3">
              <w:t>$1,265,065.43</w:t>
            </w:r>
          </w:p>
        </w:tc>
        <w:tc>
          <w:tcPr>
            <w:tcW w:w="1608" w:type="dxa"/>
            <w:noWrap/>
            <w:vAlign w:val="center"/>
          </w:tcPr>
          <w:p w14:paraId="77A9BD01" w14:textId="77777777" w:rsidR="00CF2EB2" w:rsidRPr="005359B7" w:rsidRDefault="00CF2EB2" w:rsidP="00FF7E0A">
            <w:pPr>
              <w:pStyle w:val="Tabletext"/>
              <w:jc w:val="right"/>
            </w:pPr>
            <w:r w:rsidRPr="00F137F3">
              <w:t>2.750</w:t>
            </w:r>
          </w:p>
        </w:tc>
        <w:tc>
          <w:tcPr>
            <w:tcW w:w="1609" w:type="dxa"/>
            <w:noWrap/>
            <w:vAlign w:val="center"/>
          </w:tcPr>
          <w:p w14:paraId="45C4D915" w14:textId="77777777" w:rsidR="00CF2EB2" w:rsidRPr="005359B7" w:rsidRDefault="00CF2EB2" w:rsidP="00FF7E0A">
            <w:pPr>
              <w:pStyle w:val="Tabletext"/>
              <w:jc w:val="right"/>
            </w:pPr>
            <w:r w:rsidRPr="00F137F3">
              <w:t>$460,052</w:t>
            </w:r>
          </w:p>
        </w:tc>
      </w:tr>
      <w:tr w:rsidR="00CF2EB2" w:rsidRPr="00F137F3" w14:paraId="671DF6D5" w14:textId="77777777" w:rsidTr="00FF7E0A">
        <w:trPr>
          <w:trHeight w:val="288"/>
        </w:trPr>
        <w:tc>
          <w:tcPr>
            <w:tcW w:w="4106" w:type="dxa"/>
            <w:noWrap/>
          </w:tcPr>
          <w:p w14:paraId="51BCDA94" w14:textId="77777777" w:rsidR="00CF2EB2" w:rsidRPr="00F137F3" w:rsidRDefault="00CF2EB2" w:rsidP="00687711">
            <w:pPr>
              <w:pStyle w:val="Tabletext"/>
              <w:rPr>
                <w:lang w:eastAsia="en-AU"/>
              </w:rPr>
            </w:pPr>
            <w:r w:rsidRPr="00F137F3">
              <w:rPr>
                <w:lang w:eastAsia="en-AU"/>
              </w:rPr>
              <w:t>Outer regional Australia</w:t>
            </w:r>
          </w:p>
        </w:tc>
        <w:tc>
          <w:tcPr>
            <w:tcW w:w="1608" w:type="dxa"/>
            <w:noWrap/>
            <w:vAlign w:val="center"/>
          </w:tcPr>
          <w:p w14:paraId="551A2EF7" w14:textId="77777777" w:rsidR="00CF2EB2" w:rsidRPr="005359B7" w:rsidRDefault="00CF2EB2" w:rsidP="00FF7E0A">
            <w:pPr>
              <w:pStyle w:val="Tabletext"/>
              <w:jc w:val="right"/>
            </w:pPr>
            <w:r w:rsidRPr="00F137F3">
              <w:t>$4,866,644.43</w:t>
            </w:r>
          </w:p>
        </w:tc>
        <w:tc>
          <w:tcPr>
            <w:tcW w:w="1608" w:type="dxa"/>
            <w:noWrap/>
            <w:vAlign w:val="center"/>
          </w:tcPr>
          <w:p w14:paraId="68889358" w14:textId="77777777" w:rsidR="00CF2EB2" w:rsidRPr="005359B7" w:rsidRDefault="00CF2EB2" w:rsidP="00FF7E0A">
            <w:pPr>
              <w:pStyle w:val="Tabletext"/>
              <w:jc w:val="right"/>
            </w:pPr>
            <w:r w:rsidRPr="00F137F3">
              <w:t>88.325</w:t>
            </w:r>
          </w:p>
        </w:tc>
        <w:tc>
          <w:tcPr>
            <w:tcW w:w="1609" w:type="dxa"/>
            <w:noWrap/>
            <w:vAlign w:val="center"/>
          </w:tcPr>
          <w:p w14:paraId="5A897A19" w14:textId="77777777" w:rsidR="00CF2EB2" w:rsidRPr="005359B7" w:rsidRDefault="00CF2EB2" w:rsidP="00FF7E0A">
            <w:pPr>
              <w:pStyle w:val="Tabletext"/>
              <w:jc w:val="right"/>
            </w:pPr>
            <w:r w:rsidRPr="00F137F3">
              <w:t>$55,099</w:t>
            </w:r>
          </w:p>
        </w:tc>
      </w:tr>
      <w:tr w:rsidR="00CF2EB2" w:rsidRPr="00F137F3" w14:paraId="5C7F4FC3" w14:textId="77777777" w:rsidTr="00FF7E0A">
        <w:trPr>
          <w:trHeight w:val="288"/>
        </w:trPr>
        <w:tc>
          <w:tcPr>
            <w:tcW w:w="4106" w:type="dxa"/>
            <w:noWrap/>
          </w:tcPr>
          <w:p w14:paraId="03933CD9" w14:textId="77777777" w:rsidR="00CF2EB2" w:rsidRPr="00F137F3" w:rsidRDefault="00CF2EB2" w:rsidP="00687711">
            <w:pPr>
              <w:pStyle w:val="Tabletext"/>
              <w:rPr>
                <w:lang w:eastAsia="en-AU"/>
              </w:rPr>
            </w:pPr>
            <w:r w:rsidRPr="00F137F3">
              <w:rPr>
                <w:lang w:eastAsia="en-AU"/>
              </w:rPr>
              <w:t>Inner regional Australia</w:t>
            </w:r>
          </w:p>
        </w:tc>
        <w:tc>
          <w:tcPr>
            <w:tcW w:w="1608" w:type="dxa"/>
            <w:noWrap/>
            <w:vAlign w:val="center"/>
          </w:tcPr>
          <w:p w14:paraId="429200C9" w14:textId="77777777" w:rsidR="00CF2EB2" w:rsidRPr="005359B7" w:rsidRDefault="00CF2EB2" w:rsidP="00FF7E0A">
            <w:pPr>
              <w:pStyle w:val="Tabletext"/>
              <w:jc w:val="right"/>
            </w:pPr>
            <w:r w:rsidRPr="005359B7">
              <w:t>$9,990,150.37</w:t>
            </w:r>
          </w:p>
        </w:tc>
        <w:tc>
          <w:tcPr>
            <w:tcW w:w="1608" w:type="dxa"/>
            <w:noWrap/>
            <w:vAlign w:val="center"/>
          </w:tcPr>
          <w:p w14:paraId="76350272" w14:textId="77777777" w:rsidR="00CF2EB2" w:rsidRPr="005359B7" w:rsidRDefault="00CF2EB2" w:rsidP="00FF7E0A">
            <w:pPr>
              <w:pStyle w:val="Tabletext"/>
              <w:jc w:val="right"/>
            </w:pPr>
            <w:r w:rsidRPr="005359B7">
              <w:t>215.466</w:t>
            </w:r>
          </w:p>
        </w:tc>
        <w:tc>
          <w:tcPr>
            <w:tcW w:w="1609" w:type="dxa"/>
            <w:noWrap/>
            <w:vAlign w:val="center"/>
          </w:tcPr>
          <w:p w14:paraId="6AABD10A" w14:textId="77777777" w:rsidR="00CF2EB2" w:rsidRPr="005359B7" w:rsidRDefault="00CF2EB2" w:rsidP="00FF7E0A">
            <w:pPr>
              <w:pStyle w:val="Tabletext"/>
              <w:jc w:val="right"/>
            </w:pPr>
            <w:r w:rsidRPr="005359B7">
              <w:t>$46,365</w:t>
            </w:r>
          </w:p>
        </w:tc>
      </w:tr>
      <w:tr w:rsidR="00CF2EB2" w:rsidRPr="00F137F3" w14:paraId="27B77780" w14:textId="77777777" w:rsidTr="00FF7E0A">
        <w:trPr>
          <w:trHeight w:val="288"/>
        </w:trPr>
        <w:tc>
          <w:tcPr>
            <w:tcW w:w="4106" w:type="dxa"/>
            <w:tcBorders>
              <w:bottom w:val="single" w:sz="4" w:space="0" w:color="auto"/>
            </w:tcBorders>
            <w:noWrap/>
          </w:tcPr>
          <w:p w14:paraId="1B23D198" w14:textId="77777777" w:rsidR="00CF2EB2" w:rsidRPr="00F137F3" w:rsidRDefault="00CF2EB2" w:rsidP="00687711">
            <w:pPr>
              <w:pStyle w:val="Tabletext"/>
              <w:rPr>
                <w:lang w:eastAsia="en-AU"/>
              </w:rPr>
            </w:pPr>
            <w:r w:rsidRPr="00F137F3">
              <w:rPr>
                <w:lang w:eastAsia="en-AU"/>
              </w:rPr>
              <w:t>Major cities of Australia</w:t>
            </w:r>
          </w:p>
        </w:tc>
        <w:tc>
          <w:tcPr>
            <w:tcW w:w="1608" w:type="dxa"/>
            <w:tcBorders>
              <w:bottom w:val="single" w:sz="4" w:space="0" w:color="auto"/>
            </w:tcBorders>
            <w:noWrap/>
            <w:vAlign w:val="center"/>
          </w:tcPr>
          <w:p w14:paraId="482C8152" w14:textId="77777777" w:rsidR="00CF2EB2" w:rsidRPr="005359B7" w:rsidRDefault="00CF2EB2" w:rsidP="00FF7E0A">
            <w:pPr>
              <w:pStyle w:val="Tabletext"/>
              <w:jc w:val="right"/>
            </w:pPr>
            <w:r w:rsidRPr="005359B7">
              <w:t>$21,720,440.96</w:t>
            </w:r>
          </w:p>
        </w:tc>
        <w:tc>
          <w:tcPr>
            <w:tcW w:w="1608" w:type="dxa"/>
            <w:tcBorders>
              <w:bottom w:val="single" w:sz="4" w:space="0" w:color="auto"/>
            </w:tcBorders>
            <w:noWrap/>
            <w:vAlign w:val="center"/>
          </w:tcPr>
          <w:p w14:paraId="6E69FD1B" w14:textId="77777777" w:rsidR="00CF2EB2" w:rsidRPr="005359B7" w:rsidRDefault="00CF2EB2" w:rsidP="00FF7E0A">
            <w:pPr>
              <w:pStyle w:val="Tabletext"/>
              <w:jc w:val="right"/>
            </w:pPr>
            <w:r w:rsidRPr="005359B7">
              <w:t>531.310</w:t>
            </w:r>
          </w:p>
        </w:tc>
        <w:tc>
          <w:tcPr>
            <w:tcW w:w="1609" w:type="dxa"/>
            <w:tcBorders>
              <w:bottom w:val="single" w:sz="4" w:space="0" w:color="auto"/>
            </w:tcBorders>
            <w:noWrap/>
            <w:vAlign w:val="center"/>
          </w:tcPr>
          <w:p w14:paraId="731FD83C" w14:textId="77777777" w:rsidR="00CF2EB2" w:rsidRPr="005359B7" w:rsidRDefault="00CF2EB2" w:rsidP="00FF7E0A">
            <w:pPr>
              <w:pStyle w:val="Tabletext"/>
              <w:jc w:val="right"/>
            </w:pPr>
            <w:r w:rsidRPr="005359B7">
              <w:t>$40,881</w:t>
            </w:r>
          </w:p>
        </w:tc>
      </w:tr>
      <w:tr w:rsidR="00687711" w:rsidRPr="00F137F3" w14:paraId="3F7A4481" w14:textId="77777777" w:rsidTr="00FF7E0A">
        <w:trPr>
          <w:trHeight w:val="288"/>
        </w:trPr>
        <w:tc>
          <w:tcPr>
            <w:tcW w:w="8931" w:type="dxa"/>
            <w:gridSpan w:val="4"/>
            <w:tcBorders>
              <w:top w:val="single" w:sz="4" w:space="0" w:color="auto"/>
            </w:tcBorders>
            <w:shd w:val="clear" w:color="auto" w:fill="C4EBFF" w:themeFill="accent2" w:themeFillTint="33"/>
            <w:noWrap/>
            <w:vAlign w:val="center"/>
          </w:tcPr>
          <w:p w14:paraId="2572C848" w14:textId="7D70C3E8" w:rsidR="00687711" w:rsidRPr="00FE656D" w:rsidRDefault="00687711" w:rsidP="00FE656D">
            <w:pPr>
              <w:pStyle w:val="Tabletext"/>
              <w:rPr>
                <w:b/>
                <w:bCs/>
                <w:lang w:eastAsia="en-AU"/>
              </w:rPr>
            </w:pPr>
            <w:r w:rsidRPr="00FE656D">
              <w:rPr>
                <w:b/>
                <w:bCs/>
                <w:lang w:eastAsia="en-AU"/>
              </w:rPr>
              <w:t>Service maturity</w:t>
            </w:r>
          </w:p>
        </w:tc>
      </w:tr>
      <w:tr w:rsidR="00CF2EB2" w:rsidRPr="00F137F3" w14:paraId="0FC37183" w14:textId="77777777" w:rsidTr="00FF7E0A">
        <w:trPr>
          <w:trHeight w:val="288"/>
        </w:trPr>
        <w:tc>
          <w:tcPr>
            <w:tcW w:w="4106" w:type="dxa"/>
            <w:noWrap/>
          </w:tcPr>
          <w:p w14:paraId="50A2D43E" w14:textId="77777777" w:rsidR="00CF2EB2" w:rsidRPr="00F137F3" w:rsidRDefault="00CF2EB2" w:rsidP="009E1C6C">
            <w:pPr>
              <w:pStyle w:val="Tabletext"/>
              <w:rPr>
                <w:lang w:eastAsia="en-AU"/>
              </w:rPr>
            </w:pPr>
            <w:r w:rsidRPr="00F137F3">
              <w:rPr>
                <w:lang w:eastAsia="en-AU"/>
              </w:rPr>
              <w:t>Opened less than four years ago</w:t>
            </w:r>
          </w:p>
        </w:tc>
        <w:tc>
          <w:tcPr>
            <w:tcW w:w="1608" w:type="dxa"/>
            <w:noWrap/>
            <w:vAlign w:val="center"/>
          </w:tcPr>
          <w:p w14:paraId="11B51E07" w14:textId="77777777" w:rsidR="00CF2EB2" w:rsidRPr="005359B7" w:rsidRDefault="00CF2EB2" w:rsidP="00FF7E0A">
            <w:pPr>
              <w:pStyle w:val="Tabletext"/>
              <w:jc w:val="right"/>
            </w:pPr>
            <w:r w:rsidRPr="00F137F3">
              <w:t>$4,989,204.79</w:t>
            </w:r>
          </w:p>
        </w:tc>
        <w:tc>
          <w:tcPr>
            <w:tcW w:w="1608" w:type="dxa"/>
            <w:noWrap/>
            <w:vAlign w:val="center"/>
          </w:tcPr>
          <w:p w14:paraId="6C4D9B4D" w14:textId="77777777" w:rsidR="00CF2EB2" w:rsidRPr="005359B7" w:rsidRDefault="00CF2EB2" w:rsidP="00FF7E0A">
            <w:pPr>
              <w:pStyle w:val="Tabletext"/>
              <w:jc w:val="right"/>
            </w:pPr>
            <w:r w:rsidRPr="00F137F3">
              <w:t>67.292</w:t>
            </w:r>
          </w:p>
        </w:tc>
        <w:tc>
          <w:tcPr>
            <w:tcW w:w="1609" w:type="dxa"/>
            <w:noWrap/>
            <w:vAlign w:val="center"/>
          </w:tcPr>
          <w:p w14:paraId="784BD1FB" w14:textId="77777777" w:rsidR="00CF2EB2" w:rsidRPr="005359B7" w:rsidRDefault="00CF2EB2" w:rsidP="00FF7E0A">
            <w:pPr>
              <w:pStyle w:val="Tabletext"/>
              <w:jc w:val="right"/>
            </w:pPr>
            <w:r w:rsidRPr="00F137F3">
              <w:t>$74,143</w:t>
            </w:r>
          </w:p>
        </w:tc>
      </w:tr>
      <w:tr w:rsidR="00CF2EB2" w:rsidRPr="00F137F3" w14:paraId="634FD916" w14:textId="77777777" w:rsidTr="00FF7E0A">
        <w:trPr>
          <w:trHeight w:val="288"/>
        </w:trPr>
        <w:tc>
          <w:tcPr>
            <w:tcW w:w="4106" w:type="dxa"/>
            <w:noWrap/>
          </w:tcPr>
          <w:p w14:paraId="57E674A6" w14:textId="77777777" w:rsidR="00CF2EB2" w:rsidRPr="00F137F3" w:rsidRDefault="00CF2EB2" w:rsidP="00687711">
            <w:pPr>
              <w:pStyle w:val="Tabletext"/>
              <w:rPr>
                <w:lang w:eastAsia="en-AU"/>
              </w:rPr>
            </w:pPr>
            <w:r w:rsidRPr="00F137F3">
              <w:rPr>
                <w:lang w:eastAsia="en-AU"/>
              </w:rPr>
              <w:t>Opened between four and six years ago</w:t>
            </w:r>
          </w:p>
        </w:tc>
        <w:tc>
          <w:tcPr>
            <w:tcW w:w="1608" w:type="dxa"/>
            <w:noWrap/>
            <w:vAlign w:val="center"/>
          </w:tcPr>
          <w:p w14:paraId="3F15D7C6" w14:textId="77777777" w:rsidR="00CF2EB2" w:rsidRPr="005359B7" w:rsidRDefault="00CF2EB2" w:rsidP="00FF7E0A">
            <w:pPr>
              <w:pStyle w:val="Tabletext"/>
              <w:jc w:val="right"/>
            </w:pPr>
            <w:r w:rsidRPr="00F137F3">
              <w:t>$10,549,958.46</w:t>
            </w:r>
          </w:p>
        </w:tc>
        <w:tc>
          <w:tcPr>
            <w:tcW w:w="1608" w:type="dxa"/>
            <w:noWrap/>
            <w:vAlign w:val="center"/>
          </w:tcPr>
          <w:p w14:paraId="4403AE1B" w14:textId="77777777" w:rsidR="00CF2EB2" w:rsidRPr="005359B7" w:rsidRDefault="00CF2EB2" w:rsidP="00FF7E0A">
            <w:pPr>
              <w:pStyle w:val="Tabletext"/>
              <w:jc w:val="right"/>
            </w:pPr>
            <w:r w:rsidRPr="00F137F3">
              <w:t>239.906</w:t>
            </w:r>
          </w:p>
        </w:tc>
        <w:tc>
          <w:tcPr>
            <w:tcW w:w="1609" w:type="dxa"/>
            <w:noWrap/>
            <w:vAlign w:val="center"/>
          </w:tcPr>
          <w:p w14:paraId="5C3B2038" w14:textId="77777777" w:rsidR="00CF2EB2" w:rsidRPr="005359B7" w:rsidRDefault="00CF2EB2" w:rsidP="00FF7E0A">
            <w:pPr>
              <w:pStyle w:val="Tabletext"/>
              <w:jc w:val="right"/>
            </w:pPr>
            <w:r w:rsidRPr="00F137F3">
              <w:t>$43,975</w:t>
            </w:r>
          </w:p>
        </w:tc>
      </w:tr>
      <w:tr w:rsidR="00CF2EB2" w:rsidRPr="00F137F3" w14:paraId="2D3F64E1" w14:textId="77777777" w:rsidTr="00FF7E0A">
        <w:trPr>
          <w:trHeight w:val="288"/>
        </w:trPr>
        <w:tc>
          <w:tcPr>
            <w:tcW w:w="4106" w:type="dxa"/>
            <w:noWrap/>
          </w:tcPr>
          <w:p w14:paraId="09480B8B" w14:textId="77777777" w:rsidR="00CF2EB2" w:rsidRPr="00F137F3" w:rsidRDefault="00CF2EB2" w:rsidP="00687711">
            <w:pPr>
              <w:pStyle w:val="Tabletext"/>
              <w:rPr>
                <w:lang w:eastAsia="en-AU"/>
              </w:rPr>
            </w:pPr>
            <w:r w:rsidRPr="00F137F3">
              <w:rPr>
                <w:lang w:eastAsia="en-AU"/>
              </w:rPr>
              <w:t>Opened between six and eight years ago</w:t>
            </w:r>
          </w:p>
        </w:tc>
        <w:tc>
          <w:tcPr>
            <w:tcW w:w="1608" w:type="dxa"/>
            <w:noWrap/>
            <w:vAlign w:val="center"/>
          </w:tcPr>
          <w:p w14:paraId="2BEF9236" w14:textId="77777777" w:rsidR="00CF2EB2" w:rsidRPr="005359B7" w:rsidRDefault="00CF2EB2" w:rsidP="00FF7E0A">
            <w:pPr>
              <w:pStyle w:val="Tabletext"/>
              <w:jc w:val="right"/>
            </w:pPr>
            <w:r w:rsidRPr="00F137F3">
              <w:t>$9,254,878.52</w:t>
            </w:r>
          </w:p>
        </w:tc>
        <w:tc>
          <w:tcPr>
            <w:tcW w:w="1608" w:type="dxa"/>
            <w:noWrap/>
            <w:vAlign w:val="center"/>
          </w:tcPr>
          <w:p w14:paraId="20C8FCBB" w14:textId="77777777" w:rsidR="00CF2EB2" w:rsidRPr="005359B7" w:rsidRDefault="00CF2EB2" w:rsidP="00FF7E0A">
            <w:pPr>
              <w:pStyle w:val="Tabletext"/>
              <w:jc w:val="right"/>
            </w:pPr>
            <w:r w:rsidRPr="00F137F3">
              <w:t>220.543</w:t>
            </w:r>
          </w:p>
        </w:tc>
        <w:tc>
          <w:tcPr>
            <w:tcW w:w="1609" w:type="dxa"/>
            <w:noWrap/>
            <w:vAlign w:val="center"/>
          </w:tcPr>
          <w:p w14:paraId="599466FA" w14:textId="77777777" w:rsidR="00CF2EB2" w:rsidRPr="005359B7" w:rsidRDefault="00CF2EB2" w:rsidP="00FF7E0A">
            <w:pPr>
              <w:pStyle w:val="Tabletext"/>
              <w:jc w:val="right"/>
            </w:pPr>
            <w:r w:rsidRPr="00F137F3">
              <w:t>$41,964</w:t>
            </w:r>
          </w:p>
        </w:tc>
      </w:tr>
      <w:tr w:rsidR="00CF2EB2" w:rsidRPr="00F137F3" w14:paraId="039064B3" w14:textId="77777777" w:rsidTr="00FF7E0A">
        <w:trPr>
          <w:trHeight w:val="288"/>
        </w:trPr>
        <w:tc>
          <w:tcPr>
            <w:tcW w:w="4106" w:type="dxa"/>
            <w:tcBorders>
              <w:bottom w:val="single" w:sz="4" w:space="0" w:color="auto"/>
            </w:tcBorders>
            <w:noWrap/>
          </w:tcPr>
          <w:p w14:paraId="740DE054" w14:textId="77777777" w:rsidR="00CF2EB2" w:rsidRPr="00F137F3" w:rsidRDefault="00CF2EB2" w:rsidP="00687711">
            <w:pPr>
              <w:pStyle w:val="Tabletext"/>
              <w:rPr>
                <w:lang w:eastAsia="en-AU"/>
              </w:rPr>
            </w:pPr>
            <w:r w:rsidRPr="00F137F3">
              <w:rPr>
                <w:lang w:eastAsia="en-AU"/>
              </w:rPr>
              <w:t>Opened more than eight years ago</w:t>
            </w:r>
          </w:p>
        </w:tc>
        <w:tc>
          <w:tcPr>
            <w:tcW w:w="1608" w:type="dxa"/>
            <w:tcBorders>
              <w:bottom w:val="single" w:sz="4" w:space="0" w:color="auto"/>
            </w:tcBorders>
            <w:noWrap/>
            <w:vAlign w:val="center"/>
          </w:tcPr>
          <w:p w14:paraId="5363F97D" w14:textId="77777777" w:rsidR="00CF2EB2" w:rsidRPr="005359B7" w:rsidRDefault="00CF2EB2" w:rsidP="00FF7E0A">
            <w:pPr>
              <w:pStyle w:val="Tabletext"/>
              <w:jc w:val="right"/>
            </w:pPr>
            <w:r w:rsidRPr="00F137F3">
              <w:t>$13,048,259.43</w:t>
            </w:r>
          </w:p>
        </w:tc>
        <w:tc>
          <w:tcPr>
            <w:tcW w:w="1608" w:type="dxa"/>
            <w:tcBorders>
              <w:bottom w:val="single" w:sz="4" w:space="0" w:color="auto"/>
            </w:tcBorders>
            <w:noWrap/>
            <w:vAlign w:val="center"/>
          </w:tcPr>
          <w:p w14:paraId="3D671DBB" w14:textId="77777777" w:rsidR="00CF2EB2" w:rsidRPr="005359B7" w:rsidRDefault="00CF2EB2" w:rsidP="00FF7E0A">
            <w:pPr>
              <w:pStyle w:val="Tabletext"/>
              <w:jc w:val="right"/>
            </w:pPr>
            <w:r w:rsidRPr="00F137F3">
              <w:t>310.110</w:t>
            </w:r>
          </w:p>
        </w:tc>
        <w:tc>
          <w:tcPr>
            <w:tcW w:w="1609" w:type="dxa"/>
            <w:tcBorders>
              <w:bottom w:val="single" w:sz="4" w:space="0" w:color="auto"/>
            </w:tcBorders>
            <w:noWrap/>
            <w:vAlign w:val="center"/>
          </w:tcPr>
          <w:p w14:paraId="37EC694C" w14:textId="77777777" w:rsidR="00CF2EB2" w:rsidRPr="005359B7" w:rsidRDefault="00CF2EB2" w:rsidP="00FF7E0A">
            <w:pPr>
              <w:pStyle w:val="Tabletext"/>
              <w:jc w:val="right"/>
            </w:pPr>
            <w:r w:rsidRPr="00F137F3">
              <w:t>$42,076</w:t>
            </w:r>
          </w:p>
        </w:tc>
      </w:tr>
      <w:tr w:rsidR="00DF2142" w:rsidRPr="00F137F3" w14:paraId="4B7964AA" w14:textId="77777777" w:rsidTr="00FF7E0A">
        <w:trPr>
          <w:trHeight w:val="288"/>
        </w:trPr>
        <w:tc>
          <w:tcPr>
            <w:tcW w:w="8931" w:type="dxa"/>
            <w:gridSpan w:val="4"/>
            <w:tcBorders>
              <w:top w:val="single" w:sz="4" w:space="0" w:color="auto"/>
            </w:tcBorders>
            <w:shd w:val="clear" w:color="auto" w:fill="C4EBFF" w:themeFill="accent2" w:themeFillTint="33"/>
            <w:noWrap/>
            <w:vAlign w:val="center"/>
          </w:tcPr>
          <w:p w14:paraId="378A30A8" w14:textId="7C90BCC4" w:rsidR="00DF2142" w:rsidRPr="00FE656D" w:rsidRDefault="00DF2142" w:rsidP="00FE656D">
            <w:pPr>
              <w:pStyle w:val="Tabletext"/>
              <w:rPr>
                <w:b/>
                <w:bCs/>
                <w:lang w:eastAsia="en-AU"/>
              </w:rPr>
            </w:pPr>
            <w:r w:rsidRPr="00FE656D">
              <w:rPr>
                <w:b/>
                <w:bCs/>
                <w:lang w:eastAsia="en-AU"/>
              </w:rPr>
              <w:t>Service size (in terms of number of episodes)</w:t>
            </w:r>
          </w:p>
        </w:tc>
      </w:tr>
      <w:tr w:rsidR="00CF2EB2" w:rsidRPr="00F137F3" w14:paraId="219B4331" w14:textId="77777777" w:rsidTr="00FF7E0A">
        <w:trPr>
          <w:trHeight w:val="288"/>
        </w:trPr>
        <w:tc>
          <w:tcPr>
            <w:tcW w:w="4106" w:type="dxa"/>
            <w:noWrap/>
          </w:tcPr>
          <w:p w14:paraId="0B179A1D" w14:textId="77777777" w:rsidR="00CF2EB2" w:rsidRPr="00F137F3" w:rsidRDefault="00CF2EB2" w:rsidP="00687711">
            <w:pPr>
              <w:pStyle w:val="Tabletext"/>
              <w:rPr>
                <w:lang w:eastAsia="en-AU"/>
              </w:rPr>
            </w:pPr>
            <w:r w:rsidRPr="00F137F3">
              <w:rPr>
                <w:lang w:eastAsia="en-AU"/>
              </w:rPr>
              <w:t>Delivered less than 200 episodes</w:t>
            </w:r>
          </w:p>
        </w:tc>
        <w:tc>
          <w:tcPr>
            <w:tcW w:w="1608" w:type="dxa"/>
            <w:noWrap/>
            <w:vAlign w:val="center"/>
          </w:tcPr>
          <w:p w14:paraId="23800189" w14:textId="77777777" w:rsidR="00CF2EB2" w:rsidRPr="005359B7" w:rsidRDefault="00CF2EB2" w:rsidP="00FF7E0A">
            <w:pPr>
              <w:pStyle w:val="Tabletext"/>
              <w:jc w:val="right"/>
            </w:pPr>
            <w:r w:rsidRPr="00F137F3">
              <w:t>$3,125,863.47</w:t>
            </w:r>
          </w:p>
        </w:tc>
        <w:tc>
          <w:tcPr>
            <w:tcW w:w="1608" w:type="dxa"/>
            <w:noWrap/>
            <w:vAlign w:val="center"/>
          </w:tcPr>
          <w:p w14:paraId="00C7A4B0" w14:textId="77777777" w:rsidR="00CF2EB2" w:rsidRPr="005359B7" w:rsidRDefault="00CF2EB2" w:rsidP="00FF7E0A">
            <w:pPr>
              <w:pStyle w:val="Tabletext"/>
              <w:jc w:val="right"/>
            </w:pPr>
            <w:r w:rsidRPr="00F137F3">
              <w:t>22.555</w:t>
            </w:r>
          </w:p>
        </w:tc>
        <w:tc>
          <w:tcPr>
            <w:tcW w:w="1609" w:type="dxa"/>
            <w:noWrap/>
            <w:vAlign w:val="center"/>
          </w:tcPr>
          <w:p w14:paraId="0605A518" w14:textId="77777777" w:rsidR="00CF2EB2" w:rsidRPr="005359B7" w:rsidRDefault="00CF2EB2" w:rsidP="00FF7E0A">
            <w:pPr>
              <w:pStyle w:val="Tabletext"/>
              <w:jc w:val="right"/>
            </w:pPr>
            <w:r w:rsidRPr="00F137F3">
              <w:t>$138,586</w:t>
            </w:r>
          </w:p>
        </w:tc>
      </w:tr>
      <w:tr w:rsidR="00CF2EB2" w:rsidRPr="00F137F3" w14:paraId="2C813866" w14:textId="77777777" w:rsidTr="00FF7E0A">
        <w:trPr>
          <w:trHeight w:val="288"/>
        </w:trPr>
        <w:tc>
          <w:tcPr>
            <w:tcW w:w="4106" w:type="dxa"/>
            <w:noWrap/>
          </w:tcPr>
          <w:p w14:paraId="5C6D79FC" w14:textId="77777777" w:rsidR="00CF2EB2" w:rsidRPr="00F137F3" w:rsidRDefault="00CF2EB2" w:rsidP="00687711">
            <w:pPr>
              <w:pStyle w:val="Tabletext"/>
              <w:rPr>
                <w:lang w:eastAsia="en-AU"/>
              </w:rPr>
            </w:pPr>
            <w:r w:rsidRPr="00F137F3">
              <w:rPr>
                <w:lang w:eastAsia="en-AU"/>
              </w:rPr>
              <w:t>Delivered between 200 and 400 episodes</w:t>
            </w:r>
          </w:p>
        </w:tc>
        <w:tc>
          <w:tcPr>
            <w:tcW w:w="1608" w:type="dxa"/>
            <w:noWrap/>
            <w:vAlign w:val="center"/>
          </w:tcPr>
          <w:p w14:paraId="6EEDA886" w14:textId="77777777" w:rsidR="00CF2EB2" w:rsidRPr="005359B7" w:rsidRDefault="00CF2EB2" w:rsidP="00FF7E0A">
            <w:pPr>
              <w:pStyle w:val="Tabletext"/>
              <w:jc w:val="right"/>
            </w:pPr>
            <w:r w:rsidRPr="00F137F3">
              <w:t>$12,296,890.37</w:t>
            </w:r>
          </w:p>
        </w:tc>
        <w:tc>
          <w:tcPr>
            <w:tcW w:w="1608" w:type="dxa"/>
            <w:noWrap/>
            <w:vAlign w:val="center"/>
          </w:tcPr>
          <w:p w14:paraId="2E671B76" w14:textId="77777777" w:rsidR="00CF2EB2" w:rsidRPr="005359B7" w:rsidRDefault="00CF2EB2" w:rsidP="00FF7E0A">
            <w:pPr>
              <w:pStyle w:val="Tabletext"/>
              <w:jc w:val="right"/>
            </w:pPr>
            <w:r w:rsidRPr="00F137F3">
              <w:t>240.265</w:t>
            </w:r>
          </w:p>
        </w:tc>
        <w:tc>
          <w:tcPr>
            <w:tcW w:w="1609" w:type="dxa"/>
            <w:noWrap/>
            <w:vAlign w:val="center"/>
          </w:tcPr>
          <w:p w14:paraId="44953E3B" w14:textId="77777777" w:rsidR="00CF2EB2" w:rsidRPr="005359B7" w:rsidRDefault="00CF2EB2" w:rsidP="00FF7E0A">
            <w:pPr>
              <w:pStyle w:val="Tabletext"/>
              <w:jc w:val="right"/>
            </w:pPr>
            <w:r w:rsidRPr="00F137F3">
              <w:t>$51,181</w:t>
            </w:r>
          </w:p>
        </w:tc>
      </w:tr>
      <w:tr w:rsidR="00CF2EB2" w:rsidRPr="00F137F3" w14:paraId="0B257469" w14:textId="77777777" w:rsidTr="00FF7E0A">
        <w:trPr>
          <w:trHeight w:val="288"/>
        </w:trPr>
        <w:tc>
          <w:tcPr>
            <w:tcW w:w="4106" w:type="dxa"/>
            <w:noWrap/>
          </w:tcPr>
          <w:p w14:paraId="745D6829" w14:textId="77777777" w:rsidR="00CF2EB2" w:rsidRPr="00F137F3" w:rsidRDefault="00CF2EB2" w:rsidP="00687711">
            <w:pPr>
              <w:pStyle w:val="Tabletext"/>
              <w:rPr>
                <w:lang w:eastAsia="en-AU"/>
              </w:rPr>
            </w:pPr>
            <w:r w:rsidRPr="00F137F3">
              <w:rPr>
                <w:lang w:eastAsia="en-AU"/>
              </w:rPr>
              <w:t>Delivered between 400 and 600 episodes</w:t>
            </w:r>
          </w:p>
        </w:tc>
        <w:tc>
          <w:tcPr>
            <w:tcW w:w="1608" w:type="dxa"/>
            <w:noWrap/>
            <w:vAlign w:val="center"/>
          </w:tcPr>
          <w:p w14:paraId="3E71D532" w14:textId="77777777" w:rsidR="00CF2EB2" w:rsidRPr="005359B7" w:rsidRDefault="00CF2EB2" w:rsidP="00FF7E0A">
            <w:pPr>
              <w:pStyle w:val="Tabletext"/>
              <w:jc w:val="right"/>
            </w:pPr>
            <w:r w:rsidRPr="00F137F3">
              <w:t>$13,060,634.18</w:t>
            </w:r>
          </w:p>
        </w:tc>
        <w:tc>
          <w:tcPr>
            <w:tcW w:w="1608" w:type="dxa"/>
            <w:noWrap/>
            <w:vAlign w:val="center"/>
          </w:tcPr>
          <w:p w14:paraId="300CB303" w14:textId="77777777" w:rsidR="00CF2EB2" w:rsidRPr="005359B7" w:rsidRDefault="00CF2EB2" w:rsidP="00FF7E0A">
            <w:pPr>
              <w:pStyle w:val="Tabletext"/>
              <w:jc w:val="right"/>
            </w:pPr>
            <w:r w:rsidRPr="00F137F3">
              <w:t>301.916</w:t>
            </w:r>
          </w:p>
        </w:tc>
        <w:tc>
          <w:tcPr>
            <w:tcW w:w="1609" w:type="dxa"/>
            <w:noWrap/>
            <w:vAlign w:val="center"/>
          </w:tcPr>
          <w:p w14:paraId="723C3761" w14:textId="77777777" w:rsidR="00CF2EB2" w:rsidRPr="005359B7" w:rsidRDefault="00CF2EB2" w:rsidP="00FF7E0A">
            <w:pPr>
              <w:pStyle w:val="Tabletext"/>
              <w:jc w:val="right"/>
            </w:pPr>
            <w:r w:rsidRPr="00F137F3">
              <w:t>$43,259</w:t>
            </w:r>
          </w:p>
        </w:tc>
      </w:tr>
      <w:tr w:rsidR="00CF2EB2" w:rsidRPr="00F137F3" w14:paraId="734D7728" w14:textId="77777777" w:rsidTr="00FF7E0A">
        <w:trPr>
          <w:trHeight w:val="288"/>
        </w:trPr>
        <w:tc>
          <w:tcPr>
            <w:tcW w:w="4106" w:type="dxa"/>
            <w:tcBorders>
              <w:bottom w:val="single" w:sz="4" w:space="0" w:color="auto"/>
            </w:tcBorders>
            <w:noWrap/>
          </w:tcPr>
          <w:p w14:paraId="36EF9079" w14:textId="77777777" w:rsidR="00CF2EB2" w:rsidRPr="00F137F3" w:rsidRDefault="00CF2EB2" w:rsidP="00687711">
            <w:pPr>
              <w:pStyle w:val="Tabletext"/>
              <w:rPr>
                <w:lang w:eastAsia="en-AU"/>
              </w:rPr>
            </w:pPr>
            <w:r w:rsidRPr="00F137F3">
              <w:rPr>
                <w:lang w:eastAsia="en-AU"/>
              </w:rPr>
              <w:t>Delivered more than 600 episodes</w:t>
            </w:r>
          </w:p>
        </w:tc>
        <w:tc>
          <w:tcPr>
            <w:tcW w:w="1608" w:type="dxa"/>
            <w:tcBorders>
              <w:bottom w:val="single" w:sz="4" w:space="0" w:color="auto"/>
            </w:tcBorders>
            <w:noWrap/>
            <w:vAlign w:val="center"/>
          </w:tcPr>
          <w:p w14:paraId="1F8651DE" w14:textId="77777777" w:rsidR="00CF2EB2" w:rsidRPr="005359B7" w:rsidRDefault="00CF2EB2" w:rsidP="00FF7E0A">
            <w:pPr>
              <w:pStyle w:val="Tabletext"/>
              <w:jc w:val="right"/>
            </w:pPr>
            <w:r w:rsidRPr="00F137F3">
              <w:t>$9,358,913.18</w:t>
            </w:r>
          </w:p>
        </w:tc>
        <w:tc>
          <w:tcPr>
            <w:tcW w:w="1608" w:type="dxa"/>
            <w:tcBorders>
              <w:bottom w:val="single" w:sz="4" w:space="0" w:color="auto"/>
            </w:tcBorders>
            <w:noWrap/>
            <w:vAlign w:val="center"/>
          </w:tcPr>
          <w:p w14:paraId="7EFF784D" w14:textId="77777777" w:rsidR="00CF2EB2" w:rsidRPr="005359B7" w:rsidRDefault="00CF2EB2" w:rsidP="00FF7E0A">
            <w:pPr>
              <w:pStyle w:val="Tabletext"/>
              <w:jc w:val="right"/>
            </w:pPr>
            <w:r w:rsidRPr="00F137F3">
              <w:t>273.116</w:t>
            </w:r>
          </w:p>
        </w:tc>
        <w:tc>
          <w:tcPr>
            <w:tcW w:w="1609" w:type="dxa"/>
            <w:tcBorders>
              <w:bottom w:val="single" w:sz="4" w:space="0" w:color="auto"/>
            </w:tcBorders>
            <w:noWrap/>
            <w:vAlign w:val="center"/>
          </w:tcPr>
          <w:p w14:paraId="29B72D31" w14:textId="77777777" w:rsidR="00CF2EB2" w:rsidRPr="005359B7" w:rsidRDefault="00CF2EB2" w:rsidP="00FF7E0A">
            <w:pPr>
              <w:pStyle w:val="Tabletext"/>
              <w:jc w:val="right"/>
            </w:pPr>
            <w:r w:rsidRPr="00F137F3">
              <w:t>$34,267</w:t>
            </w:r>
          </w:p>
        </w:tc>
      </w:tr>
    </w:tbl>
    <w:p w14:paraId="7DE128DF" w14:textId="5224F57A" w:rsidR="00CF2EB2" w:rsidRDefault="00CF2EB2" w:rsidP="00587024">
      <w:pPr>
        <w:pStyle w:val="Source"/>
      </w:pPr>
      <w:r w:rsidRPr="007C4F08">
        <w:t xml:space="preserve">Note: QALYs </w:t>
      </w:r>
      <w:r w:rsidR="00FE656D">
        <w:t xml:space="preserve">- </w:t>
      </w:r>
      <w:r w:rsidRPr="007C4F08">
        <w:t>quality-adjusted life year; ICER</w:t>
      </w:r>
      <w:r w:rsidR="00FE656D">
        <w:t xml:space="preserve"> -</w:t>
      </w:r>
      <w:r w:rsidRPr="007C4F08">
        <w:t xml:space="preserve"> incremental cost-effectiveness ratio</w:t>
      </w:r>
      <w:r>
        <w:t>; BC</w:t>
      </w:r>
      <w:r w:rsidR="00FE656D">
        <w:t xml:space="preserve"> -</w:t>
      </w:r>
      <w:r>
        <w:t xml:space="preserve"> base case; OOS</w:t>
      </w:r>
      <w:r w:rsidR="00FE656D">
        <w:t xml:space="preserve"> -</w:t>
      </w:r>
      <w:r>
        <w:t xml:space="preserve"> occasion of service; MAT</w:t>
      </w:r>
      <w:r w:rsidR="00FE656D">
        <w:t xml:space="preserve"> -</w:t>
      </w:r>
      <w:r>
        <w:t xml:space="preserve"> minimum adequate treatment; RTM </w:t>
      </w:r>
      <w:r w:rsidR="00FE656D">
        <w:t xml:space="preserve">- </w:t>
      </w:r>
      <w:r>
        <w:t>regression to the mean</w:t>
      </w:r>
    </w:p>
    <w:p w14:paraId="4CB21287" w14:textId="6E4E9713" w:rsidR="009E1C6C" w:rsidRDefault="009E1C6C" w:rsidP="009E1C6C">
      <w:pPr>
        <w:pStyle w:val="Heading3"/>
      </w:pPr>
      <w:r>
        <w:t>Cost-effectiveness of headspace – in conclusion</w:t>
      </w:r>
    </w:p>
    <w:p w14:paraId="5806ACD6" w14:textId="62B5DAEC" w:rsidR="009E1C6C" w:rsidRDefault="009E1C6C" w:rsidP="000244E4">
      <w:pPr>
        <w:pStyle w:val="BodyText"/>
      </w:pPr>
      <w:r>
        <w:t>The results of the cost-effectiveness analysis</w:t>
      </w:r>
      <w:r w:rsidR="00292F2A">
        <w:t xml:space="preserve"> indicate that headspace is broadly cost-effective, based on the assumptions used within the base case cost-effectiveness analysis. The ICER determined for headspace services was $44,722 having assumed that benefits associated with access headspace services last fo</w:t>
      </w:r>
      <w:r w:rsidR="00E100B0">
        <w:t>r</w:t>
      </w:r>
      <w:r w:rsidR="00292F2A">
        <w:t xml:space="preserve"> 18 months, and having adjusted for RTM within outcomes. This is lower than the threshold use</w:t>
      </w:r>
      <w:r w:rsidR="009D08F2">
        <w:t>d</w:t>
      </w:r>
      <w:r w:rsidR="00292F2A">
        <w:t xml:space="preserve"> to assess similar healthcare services, of $50,000 per QALY.</w:t>
      </w:r>
    </w:p>
    <w:p w14:paraId="38682E17" w14:textId="10F6454F" w:rsidR="00292F2A" w:rsidRDefault="00292F2A" w:rsidP="000244E4">
      <w:pPr>
        <w:pStyle w:val="BodyText"/>
      </w:pPr>
      <w:r>
        <w:t>There is a large variation in cost-effectiveness across services. This stems both from the variation in cost per episode of care and the variation in outcomes achieved. As discussed in the cost analysis section, under the current funding model, all services receive relatively similar annual funding amounts, regardless of the volume of services they deliver. Even assuming outcomes are similar across services, this alone can lead to a large variation in average cost per OOS (larger services would be more cost efficient than smaller services). The effectiveness and the cost-effectiveness analysis further show there is also considerable variation in outcomes and QALYs gained across services. This may be due to the extrapolation of benefits beyond the last observed outcome at the follow up time, which amplified QALY gains in services with better treatment outcomes and exacerbated the variation in cost-effectiveness across services.</w:t>
      </w:r>
    </w:p>
    <w:p w14:paraId="52CDB0D4" w14:textId="53A7B011" w:rsidR="00292F2A" w:rsidRPr="009E1C6C" w:rsidRDefault="00292F2A" w:rsidP="000244E4">
      <w:pPr>
        <w:pStyle w:val="BodyText"/>
      </w:pPr>
      <w:r>
        <w:t>The key unknowns modelled within the cost-effectiveness analysis, including the proportion of young people who would receive alternative treatment if there were no headspace, the effectiveness of treatments provided outside of headspace, and the cost of these alternative services, were not key drivers of the results of the analysis. Sensitivity analysis shows that these assumptions had only minor impacts on the overall ICER for headspace services.</w:t>
      </w:r>
    </w:p>
    <w:p w14:paraId="6F402831" w14:textId="1A1E8AFB" w:rsidR="0003214F" w:rsidRDefault="0003214F" w:rsidP="00E542A7">
      <w:pPr>
        <w:pStyle w:val="Heading1"/>
      </w:pPr>
      <w:bookmarkStart w:id="157" w:name="_Ref98328245"/>
      <w:bookmarkStart w:id="158" w:name="_Ref98365422"/>
      <w:bookmarkStart w:id="159" w:name="_Toc108173986"/>
      <w:r>
        <w:t>Factors affecting the future implementation, sustainability and enhancement of headspace</w:t>
      </w:r>
      <w:bookmarkEnd w:id="157"/>
      <w:bookmarkEnd w:id="158"/>
      <w:bookmarkEnd w:id="159"/>
    </w:p>
    <w:p w14:paraId="5F9DADDA" w14:textId="3F2378EF" w:rsidR="00EB1ABC" w:rsidRDefault="00EB1ABC" w:rsidP="000A69B7">
      <w:pPr>
        <w:pStyle w:val="Heading2"/>
        <w:rPr>
          <w:lang w:eastAsia="en-AU"/>
        </w:rPr>
      </w:pPr>
      <w:bookmarkStart w:id="160" w:name="_Ref95073773"/>
      <w:bookmarkStart w:id="161" w:name="_Ref95113190"/>
      <w:bookmarkStart w:id="162" w:name="_Toc108173987"/>
      <w:r>
        <w:rPr>
          <w:lang w:eastAsia="en-AU"/>
        </w:rPr>
        <w:t>B</w:t>
      </w:r>
      <w:r w:rsidR="001D29C3" w:rsidRPr="00265F70">
        <w:rPr>
          <w:lang w:eastAsia="en-AU"/>
        </w:rPr>
        <w:t>arriers and enablers to headspace meeting its objectives</w:t>
      </w:r>
      <w:bookmarkEnd w:id="160"/>
      <w:bookmarkEnd w:id="161"/>
      <w:bookmarkEnd w:id="162"/>
    </w:p>
    <w:p w14:paraId="67B7A693" w14:textId="11C1D2C6" w:rsidR="008562C0" w:rsidRDefault="0068031F" w:rsidP="0004549F">
      <w:pPr>
        <w:pStyle w:val="BodyText"/>
      </w:pPr>
      <w:r>
        <w:rPr>
          <w:lang w:eastAsia="en-AU"/>
        </w:rPr>
        <w:t>This</w:t>
      </w:r>
      <w:r w:rsidR="004019CA">
        <w:t xml:space="preserve"> evaluation found that effective outcomes are being achieved </w:t>
      </w:r>
      <w:r w:rsidR="004411B8">
        <w:t>overall and for</w:t>
      </w:r>
      <w:r w:rsidR="004019CA">
        <w:t xml:space="preserve"> headspace</w:t>
      </w:r>
      <w:r w:rsidR="001F4402">
        <w:t>’s objectives</w:t>
      </w:r>
      <w:r w:rsidR="00F72812">
        <w:t>.</w:t>
      </w:r>
      <w:r w:rsidR="004019CA">
        <w:t xml:space="preserve"> </w:t>
      </w:r>
      <w:r w:rsidR="00C779FA">
        <w:t>T</w:t>
      </w:r>
      <w:r w:rsidR="004019CA">
        <w:t>h</w:t>
      </w:r>
      <w:r w:rsidR="00357DF6">
        <w:t xml:space="preserve">is includes objectives </w:t>
      </w:r>
      <w:r w:rsidR="004019CA">
        <w:t>enabling</w:t>
      </w:r>
      <w:r w:rsidR="00C779FA">
        <w:t xml:space="preserve"> </w:t>
      </w:r>
      <w:r w:rsidR="004019CA">
        <w:t xml:space="preserve">mental health literacy and stigma reduction, </w:t>
      </w:r>
      <w:r w:rsidR="00030D69">
        <w:t>positive service experience</w:t>
      </w:r>
      <w:r w:rsidR="0045777F">
        <w:t xml:space="preserve"> (including youth friendly and inclusive</w:t>
      </w:r>
      <w:r w:rsidR="00455A27">
        <w:t xml:space="preserve"> services) </w:t>
      </w:r>
      <w:r w:rsidR="00551E00">
        <w:t>and connecting young people into specialist services</w:t>
      </w:r>
      <w:r w:rsidR="00AE4949">
        <w:t>,</w:t>
      </w:r>
      <w:r w:rsidR="00AB44C9">
        <w:t xml:space="preserve"> </w:t>
      </w:r>
      <w:r w:rsidR="0070720E">
        <w:t xml:space="preserve">through consortium partnerships and </w:t>
      </w:r>
      <w:r w:rsidR="00327D34">
        <w:t xml:space="preserve">pathway mapping across local service systems. These elements of the headspace </w:t>
      </w:r>
      <w:r w:rsidR="001F2443">
        <w:t>model</w:t>
      </w:r>
      <w:r w:rsidR="00327D34">
        <w:t xml:space="preserve"> all operate to a high standard, however th</w:t>
      </w:r>
      <w:r w:rsidR="006748D1">
        <w:t>ere is variation in</w:t>
      </w:r>
      <w:r w:rsidR="00AF55F5">
        <w:t xml:space="preserve"> the</w:t>
      </w:r>
      <w:r w:rsidR="006748D1">
        <w:t xml:space="preserve"> effectiveness </w:t>
      </w:r>
      <w:r w:rsidR="00AF55F5">
        <w:t xml:space="preserve">of the model </w:t>
      </w:r>
      <w:r w:rsidR="006748D1">
        <w:t xml:space="preserve">in each domain across different cohorts of young people. </w:t>
      </w:r>
    </w:p>
    <w:p w14:paraId="218C7F0F" w14:textId="1D32CD46" w:rsidR="008E5C7A" w:rsidRDefault="008E5C7A" w:rsidP="0004549F">
      <w:pPr>
        <w:pStyle w:val="BodyText"/>
      </w:pPr>
      <w:r>
        <w:t>E</w:t>
      </w:r>
      <w:r w:rsidR="00692AB2">
        <w:t>vidence reviewed</w:t>
      </w:r>
      <w:r w:rsidR="00FF6D00">
        <w:t xml:space="preserve"> suggests that the </w:t>
      </w:r>
      <w:r w:rsidR="00692AB2">
        <w:t xml:space="preserve">16 elements of the </w:t>
      </w:r>
      <w:r w:rsidR="009B5513">
        <w:t xml:space="preserve">headspace </w:t>
      </w:r>
      <w:r w:rsidR="001F2443">
        <w:t>model</w:t>
      </w:r>
      <w:r w:rsidR="00692AB2">
        <w:t xml:space="preserve">, core and enabling, </w:t>
      </w:r>
      <w:r w:rsidR="00FF6D00">
        <w:t xml:space="preserve">work together to support these objectives, and </w:t>
      </w:r>
      <w:r w:rsidR="0038447F">
        <w:t>t</w:t>
      </w:r>
      <w:r w:rsidR="00103090">
        <w:t>hat t</w:t>
      </w:r>
      <w:r w:rsidR="0038447F">
        <w:t xml:space="preserve">hey combine to </w:t>
      </w:r>
      <w:r w:rsidR="00583676">
        <w:t xml:space="preserve">provide unique and complementary </w:t>
      </w:r>
      <w:r w:rsidR="00B525F1">
        <w:t>contribution</w:t>
      </w:r>
      <w:r w:rsidR="0038447F">
        <w:t>s</w:t>
      </w:r>
      <w:r w:rsidR="00B525F1">
        <w:t xml:space="preserve"> to </w:t>
      </w:r>
      <w:r w:rsidR="00D335B9">
        <w:t xml:space="preserve">outcomes </w:t>
      </w:r>
      <w:r w:rsidR="0038447F">
        <w:t>of young people.</w:t>
      </w:r>
    </w:p>
    <w:p w14:paraId="155A4609" w14:textId="04E37522" w:rsidR="00222BC0" w:rsidRDefault="00F5504B" w:rsidP="00354413">
      <w:pPr>
        <w:pStyle w:val="BodyText"/>
        <w:rPr>
          <w:lang w:eastAsia="en-AU"/>
        </w:rPr>
      </w:pPr>
      <w:r>
        <w:t xml:space="preserve">Qualitative data analysis conducted as part of this evaluation </w:t>
      </w:r>
      <w:r w:rsidR="00DF69A4">
        <w:t xml:space="preserve">indicated that </w:t>
      </w:r>
      <w:r w:rsidR="009D575D" w:rsidRPr="009D03AA">
        <w:rPr>
          <w:lang w:eastAsia="en-AU"/>
        </w:rPr>
        <w:t>seven</w:t>
      </w:r>
      <w:r w:rsidR="00174C31" w:rsidRPr="009D03AA">
        <w:rPr>
          <w:lang w:eastAsia="en-AU"/>
        </w:rPr>
        <w:t xml:space="preserve"> </w:t>
      </w:r>
      <w:r w:rsidR="00DF69A4">
        <w:rPr>
          <w:lang w:eastAsia="en-AU"/>
        </w:rPr>
        <w:t xml:space="preserve">components of the headspace model </w:t>
      </w:r>
      <w:r w:rsidR="00174C31" w:rsidRPr="009D03AA">
        <w:rPr>
          <w:lang w:eastAsia="en-AU"/>
        </w:rPr>
        <w:t>prove to be an ongoing challenge for services</w:t>
      </w:r>
      <w:r w:rsidR="00174C31">
        <w:rPr>
          <w:lang w:eastAsia="en-AU"/>
        </w:rPr>
        <w:t xml:space="preserve"> to deliver</w:t>
      </w:r>
      <w:r w:rsidR="00046900">
        <w:rPr>
          <w:lang w:eastAsia="en-AU"/>
        </w:rPr>
        <w:t>. These are</w:t>
      </w:r>
      <w:r w:rsidR="008239E4">
        <w:rPr>
          <w:lang w:eastAsia="en-AU"/>
        </w:rPr>
        <w:t>:</w:t>
      </w:r>
    </w:p>
    <w:p w14:paraId="6FF26EB1" w14:textId="25A01CF6" w:rsidR="00222BC0" w:rsidRDefault="004D54DA" w:rsidP="00AF4272">
      <w:pPr>
        <w:pStyle w:val="Bullet1stlevel"/>
        <w:rPr>
          <w:lang w:eastAsia="en-AU"/>
        </w:rPr>
      </w:pPr>
      <w:r>
        <w:rPr>
          <w:lang w:eastAsia="en-AU"/>
        </w:rPr>
        <w:t>c</w:t>
      </w:r>
      <w:r w:rsidR="00222BC0" w:rsidRPr="00222BC0">
        <w:rPr>
          <w:lang w:eastAsia="en-AU"/>
        </w:rPr>
        <w:t>ommunity awareness and engagement</w:t>
      </w:r>
      <w:r w:rsidR="001036F2">
        <w:rPr>
          <w:lang w:eastAsia="en-AU"/>
        </w:rPr>
        <w:t>;</w:t>
      </w:r>
      <w:r w:rsidR="00222BC0" w:rsidRPr="00222BC0">
        <w:rPr>
          <w:lang w:eastAsia="en-AU"/>
        </w:rPr>
        <w:t xml:space="preserve"> </w:t>
      </w:r>
    </w:p>
    <w:p w14:paraId="119F2456" w14:textId="0A83E0F6" w:rsidR="00F22817" w:rsidRDefault="004D54DA" w:rsidP="00AF4272">
      <w:pPr>
        <w:pStyle w:val="Bullet1stlevel"/>
        <w:rPr>
          <w:lang w:eastAsia="en-AU"/>
        </w:rPr>
      </w:pPr>
      <w:r>
        <w:rPr>
          <w:lang w:eastAsia="en-AU"/>
        </w:rPr>
        <w:t>f</w:t>
      </w:r>
      <w:r w:rsidR="00222BC0" w:rsidRPr="00222BC0">
        <w:rPr>
          <w:lang w:eastAsia="en-AU"/>
        </w:rPr>
        <w:t>our core streams</w:t>
      </w:r>
      <w:r w:rsidR="001036F2">
        <w:rPr>
          <w:lang w:eastAsia="en-AU"/>
        </w:rPr>
        <w:t>;</w:t>
      </w:r>
      <w:r w:rsidR="00222BC0" w:rsidRPr="00222BC0">
        <w:rPr>
          <w:lang w:eastAsia="en-AU"/>
        </w:rPr>
        <w:t xml:space="preserve"> </w:t>
      </w:r>
    </w:p>
    <w:p w14:paraId="6AB34B19" w14:textId="0059FDCF" w:rsidR="00F22817" w:rsidRDefault="004D54DA" w:rsidP="00AF4272">
      <w:pPr>
        <w:pStyle w:val="Bullet1stlevel"/>
        <w:rPr>
          <w:lang w:eastAsia="en-AU"/>
        </w:rPr>
      </w:pPr>
      <w:r>
        <w:rPr>
          <w:lang w:eastAsia="en-AU"/>
        </w:rPr>
        <w:t>s</w:t>
      </w:r>
      <w:r w:rsidR="00F22817" w:rsidRPr="00F22817">
        <w:rPr>
          <w:lang w:eastAsia="en-AU"/>
        </w:rPr>
        <w:t>ervice integration</w:t>
      </w:r>
      <w:r w:rsidR="001036F2">
        <w:rPr>
          <w:lang w:eastAsia="en-AU"/>
        </w:rPr>
        <w:t>;</w:t>
      </w:r>
      <w:r w:rsidR="00F22817" w:rsidRPr="00F22817">
        <w:rPr>
          <w:lang w:eastAsia="en-AU"/>
        </w:rPr>
        <w:t xml:space="preserve"> </w:t>
      </w:r>
    </w:p>
    <w:p w14:paraId="3740A214" w14:textId="176AA9C5" w:rsidR="00F22817" w:rsidRDefault="004D54DA" w:rsidP="00AF4272">
      <w:pPr>
        <w:pStyle w:val="Bullet1stlevel"/>
        <w:rPr>
          <w:lang w:eastAsia="en-AU"/>
        </w:rPr>
      </w:pPr>
      <w:r>
        <w:rPr>
          <w:lang w:eastAsia="en-AU"/>
        </w:rPr>
        <w:t>n</w:t>
      </w:r>
      <w:r w:rsidR="00F22817" w:rsidRPr="00F22817">
        <w:rPr>
          <w:lang w:eastAsia="en-AU"/>
        </w:rPr>
        <w:t>ational network</w:t>
      </w:r>
      <w:r w:rsidR="001036F2">
        <w:rPr>
          <w:lang w:eastAsia="en-AU"/>
        </w:rPr>
        <w:t>;</w:t>
      </w:r>
      <w:r w:rsidR="00F22817" w:rsidRPr="00F22817">
        <w:rPr>
          <w:lang w:eastAsia="en-AU"/>
        </w:rPr>
        <w:t xml:space="preserve"> </w:t>
      </w:r>
    </w:p>
    <w:p w14:paraId="37BA41EC" w14:textId="71FFAD8D" w:rsidR="00F22817" w:rsidRDefault="004D54DA" w:rsidP="00AF4272">
      <w:pPr>
        <w:pStyle w:val="Bullet1stlevel"/>
        <w:rPr>
          <w:lang w:eastAsia="en-AU"/>
        </w:rPr>
      </w:pPr>
      <w:r>
        <w:rPr>
          <w:lang w:eastAsia="en-AU"/>
        </w:rPr>
        <w:t>m</w:t>
      </w:r>
      <w:r w:rsidR="00F22817" w:rsidRPr="00F22817">
        <w:rPr>
          <w:lang w:eastAsia="en-AU"/>
        </w:rPr>
        <w:t>ulti-disciplinary workforce</w:t>
      </w:r>
      <w:r w:rsidR="001036F2">
        <w:rPr>
          <w:lang w:eastAsia="en-AU"/>
        </w:rPr>
        <w:t>;</w:t>
      </w:r>
      <w:r w:rsidR="00F22817" w:rsidRPr="00F22817">
        <w:rPr>
          <w:lang w:eastAsia="en-AU"/>
        </w:rPr>
        <w:t xml:space="preserve"> </w:t>
      </w:r>
    </w:p>
    <w:p w14:paraId="671D8BAD" w14:textId="78B1F143" w:rsidR="00F22817" w:rsidRDefault="004D54DA" w:rsidP="00AF4272">
      <w:pPr>
        <w:pStyle w:val="Bullet1stlevel"/>
        <w:rPr>
          <w:lang w:eastAsia="en-AU"/>
        </w:rPr>
      </w:pPr>
      <w:r>
        <w:rPr>
          <w:lang w:eastAsia="en-AU"/>
        </w:rPr>
        <w:t>b</w:t>
      </w:r>
      <w:r w:rsidR="00F22817" w:rsidRPr="00F22817">
        <w:rPr>
          <w:lang w:eastAsia="en-AU"/>
        </w:rPr>
        <w:t>lended funding</w:t>
      </w:r>
      <w:r w:rsidR="001036F2">
        <w:rPr>
          <w:lang w:eastAsia="en-AU"/>
        </w:rPr>
        <w:t>; and</w:t>
      </w:r>
      <w:r w:rsidR="00F22817" w:rsidRPr="00F22817">
        <w:rPr>
          <w:lang w:eastAsia="en-AU"/>
        </w:rPr>
        <w:t xml:space="preserve"> </w:t>
      </w:r>
    </w:p>
    <w:p w14:paraId="367FDA88" w14:textId="4EA84C5D" w:rsidR="00354413" w:rsidRPr="001D6913" w:rsidRDefault="004D54DA" w:rsidP="00172171">
      <w:pPr>
        <w:pStyle w:val="Bullet1stlevel"/>
        <w:rPr>
          <w:lang w:eastAsia="en-AU"/>
        </w:rPr>
      </w:pPr>
      <w:r>
        <w:rPr>
          <w:lang w:eastAsia="en-AU"/>
        </w:rPr>
        <w:t>m</w:t>
      </w:r>
      <w:r w:rsidR="00F22817" w:rsidRPr="00F22817">
        <w:rPr>
          <w:lang w:eastAsia="en-AU"/>
        </w:rPr>
        <w:t>onitoring and evaluation</w:t>
      </w:r>
      <w:r w:rsidR="00E45E46">
        <w:rPr>
          <w:lang w:eastAsia="en-AU"/>
        </w:rPr>
        <w:t>.</w:t>
      </w:r>
      <w:r w:rsidR="00F22817" w:rsidRPr="00F22817">
        <w:rPr>
          <w:lang w:eastAsia="en-AU"/>
        </w:rPr>
        <w:t xml:space="preserve"> </w:t>
      </w:r>
    </w:p>
    <w:p w14:paraId="45ADACB3" w14:textId="29867549" w:rsidR="00B42AB6" w:rsidRPr="001D6913" w:rsidRDefault="005D436E" w:rsidP="00FE656D">
      <w:pPr>
        <w:pStyle w:val="BodyText"/>
        <w:rPr>
          <w:lang w:eastAsia="en-AU"/>
        </w:rPr>
      </w:pPr>
      <w:r w:rsidDel="0068031F">
        <w:rPr>
          <w:lang w:eastAsia="en-AU"/>
        </w:rPr>
        <w:t>The</w:t>
      </w:r>
      <w:r w:rsidR="0068031F">
        <w:rPr>
          <w:lang w:eastAsia="en-AU"/>
        </w:rPr>
        <w:t xml:space="preserve"> barriers </w:t>
      </w:r>
      <w:r w:rsidR="00433C47">
        <w:rPr>
          <w:lang w:eastAsia="en-AU"/>
        </w:rPr>
        <w:t xml:space="preserve">and enablers associated with these elements of the model </w:t>
      </w:r>
      <w:r w:rsidR="00AB1050">
        <w:rPr>
          <w:lang w:eastAsia="en-AU"/>
        </w:rPr>
        <w:t>are discussed in the following sections.</w:t>
      </w:r>
    </w:p>
    <w:p w14:paraId="08012EBF" w14:textId="77777777" w:rsidR="00C30CBB" w:rsidRDefault="00354413" w:rsidP="003941C8">
      <w:pPr>
        <w:pStyle w:val="Heading3"/>
        <w:rPr>
          <w:lang w:eastAsia="en-AU"/>
        </w:rPr>
      </w:pPr>
      <w:r w:rsidRPr="001D6913">
        <w:rPr>
          <w:lang w:eastAsia="en-AU"/>
        </w:rPr>
        <w:t xml:space="preserve">Community awareness and engagement </w:t>
      </w:r>
    </w:p>
    <w:p w14:paraId="4FB5E20C" w14:textId="233DEAA6" w:rsidR="00354413" w:rsidRPr="00FE656D" w:rsidRDefault="00046900" w:rsidP="00FE656D">
      <w:pPr>
        <w:pStyle w:val="BodyText"/>
        <w:rPr>
          <w:lang w:eastAsia="en-AU"/>
        </w:rPr>
      </w:pPr>
      <w:r w:rsidRPr="00FE656D">
        <w:rPr>
          <w:lang w:eastAsia="en-AU"/>
        </w:rPr>
        <w:t xml:space="preserve">Community awareness </w:t>
      </w:r>
      <w:r w:rsidR="00D842A2" w:rsidRPr="00FE656D">
        <w:rPr>
          <w:lang w:eastAsia="en-AU"/>
        </w:rPr>
        <w:t xml:space="preserve">building </w:t>
      </w:r>
      <w:r w:rsidRPr="00FE656D">
        <w:rPr>
          <w:lang w:eastAsia="en-AU"/>
        </w:rPr>
        <w:t xml:space="preserve">and engagement is </w:t>
      </w:r>
      <w:r w:rsidR="00D842A2" w:rsidRPr="00FE656D">
        <w:rPr>
          <w:lang w:eastAsia="en-AU"/>
        </w:rPr>
        <w:t xml:space="preserve">undertaken by </w:t>
      </w:r>
      <w:r w:rsidR="00963D88" w:rsidRPr="00FE656D">
        <w:rPr>
          <w:lang w:eastAsia="en-AU"/>
        </w:rPr>
        <w:t xml:space="preserve">headspace </w:t>
      </w:r>
      <w:r w:rsidR="00D842A2" w:rsidRPr="00FE656D">
        <w:rPr>
          <w:lang w:eastAsia="en-AU"/>
        </w:rPr>
        <w:t>services</w:t>
      </w:r>
      <w:r w:rsidRPr="00FE656D">
        <w:rPr>
          <w:lang w:eastAsia="en-AU"/>
        </w:rPr>
        <w:t xml:space="preserve"> </w:t>
      </w:r>
      <w:r w:rsidR="00354413" w:rsidRPr="00FE656D">
        <w:rPr>
          <w:lang w:eastAsia="en-AU"/>
        </w:rPr>
        <w:t>to increase mental health literacy, reduce stigma, encourage early help seeking and promote access, while building strong relationships with young people, their family and friends, other local services and the broader community.</w:t>
      </w:r>
    </w:p>
    <w:p w14:paraId="409EB59C" w14:textId="731F1075" w:rsidR="005B38BF" w:rsidRDefault="00C47C42" w:rsidP="006B7096">
      <w:pPr>
        <w:pStyle w:val="BodyText"/>
        <w:rPr>
          <w:lang w:eastAsia="en-AU"/>
        </w:rPr>
      </w:pPr>
      <w:r>
        <w:rPr>
          <w:lang w:eastAsia="en-AU"/>
        </w:rPr>
        <w:t xml:space="preserve">As discussed in </w:t>
      </w:r>
      <w:r w:rsidR="00951E73">
        <w:rPr>
          <w:lang w:eastAsia="en-AU"/>
        </w:rPr>
        <w:t>C</w:t>
      </w:r>
      <w:r>
        <w:rPr>
          <w:lang w:eastAsia="en-AU"/>
        </w:rPr>
        <w:t xml:space="preserve">hapter </w:t>
      </w:r>
      <w:r w:rsidR="00BA3E48">
        <w:rPr>
          <w:lang w:eastAsia="en-AU"/>
        </w:rPr>
        <w:fldChar w:fldCharType="begin" w:fldLock="1"/>
      </w:r>
      <w:r w:rsidR="00BA3E48">
        <w:rPr>
          <w:lang w:eastAsia="en-AU"/>
        </w:rPr>
        <w:instrText xml:space="preserve"> REF _Ref98317699 \w \h </w:instrText>
      </w:r>
      <w:r w:rsidR="00BA3E48">
        <w:rPr>
          <w:lang w:eastAsia="en-AU"/>
        </w:rPr>
      </w:r>
      <w:r w:rsidR="00BA3E48">
        <w:rPr>
          <w:lang w:eastAsia="en-AU"/>
        </w:rPr>
        <w:fldChar w:fldCharType="separate"/>
      </w:r>
      <w:r w:rsidR="00AE4D34">
        <w:rPr>
          <w:lang w:eastAsia="en-AU"/>
        </w:rPr>
        <w:t>3</w:t>
      </w:r>
      <w:r w:rsidR="00BA3E48">
        <w:rPr>
          <w:lang w:eastAsia="en-AU"/>
        </w:rPr>
        <w:fldChar w:fldCharType="end"/>
      </w:r>
      <w:r w:rsidR="004B3245">
        <w:rPr>
          <w:lang w:eastAsia="en-AU"/>
        </w:rPr>
        <w:t>, t</w:t>
      </w:r>
      <w:r w:rsidR="003726E9">
        <w:rPr>
          <w:lang w:eastAsia="en-AU"/>
        </w:rPr>
        <w:t xml:space="preserve">he importance of </w:t>
      </w:r>
      <w:r w:rsidR="00127131">
        <w:rPr>
          <w:lang w:eastAsia="en-AU"/>
        </w:rPr>
        <w:t xml:space="preserve">community awareness and engagement activities </w:t>
      </w:r>
      <w:r w:rsidR="003726E9">
        <w:rPr>
          <w:lang w:eastAsia="en-AU"/>
        </w:rPr>
        <w:t>was highlighted by stakeholders from all groups consulted for this evaluation</w:t>
      </w:r>
      <w:r w:rsidR="00462CAD">
        <w:rPr>
          <w:lang w:eastAsia="en-AU"/>
        </w:rPr>
        <w:t xml:space="preserve">, identifying this as a key enabler of the </w:t>
      </w:r>
      <w:r w:rsidR="00C000D6">
        <w:rPr>
          <w:lang w:eastAsia="en-AU"/>
        </w:rPr>
        <w:t xml:space="preserve">objectives of the headspace model, including mental health literacy, early help seeking and stigma reduction. </w:t>
      </w:r>
      <w:r w:rsidR="001A564B">
        <w:rPr>
          <w:lang w:eastAsia="en-AU"/>
        </w:rPr>
        <w:t>At the same time, it consistently</w:t>
      </w:r>
      <w:r w:rsidR="001C5887">
        <w:rPr>
          <w:lang w:eastAsia="en-AU"/>
        </w:rPr>
        <w:t xml:space="preserve"> </w:t>
      </w:r>
      <w:r w:rsidR="001A564B">
        <w:rPr>
          <w:lang w:eastAsia="en-AU"/>
        </w:rPr>
        <w:t xml:space="preserve">came up as a barrier to services achieving their objectives, with </w:t>
      </w:r>
      <w:r w:rsidR="00DF2A33">
        <w:rPr>
          <w:lang w:eastAsia="en-AU"/>
        </w:rPr>
        <w:t>insuff</w:t>
      </w:r>
      <w:r w:rsidR="00342C4B">
        <w:rPr>
          <w:lang w:eastAsia="en-AU"/>
        </w:rPr>
        <w:t>i</w:t>
      </w:r>
      <w:r w:rsidR="00DF2A33">
        <w:rPr>
          <w:lang w:eastAsia="en-AU"/>
        </w:rPr>
        <w:t>cient</w:t>
      </w:r>
      <w:r w:rsidR="00B23966">
        <w:rPr>
          <w:lang w:eastAsia="en-AU"/>
        </w:rPr>
        <w:t xml:space="preserve"> resourcing able to be allocated to community awareness and engagement, largely due to funding shortages</w:t>
      </w:r>
      <w:r w:rsidR="00CE7DBF">
        <w:rPr>
          <w:lang w:eastAsia="en-AU"/>
        </w:rPr>
        <w:t xml:space="preserve"> and funding being prioritised for clinical service</w:t>
      </w:r>
      <w:r w:rsidR="00122483">
        <w:rPr>
          <w:lang w:eastAsia="en-AU"/>
        </w:rPr>
        <w:t>s</w:t>
      </w:r>
      <w:r w:rsidR="00B23966">
        <w:rPr>
          <w:lang w:eastAsia="en-AU"/>
        </w:rPr>
        <w:t>.</w:t>
      </w:r>
      <w:r w:rsidR="00ED2334">
        <w:rPr>
          <w:lang w:eastAsia="en-AU"/>
        </w:rPr>
        <w:t xml:space="preserve"> </w:t>
      </w:r>
    </w:p>
    <w:p w14:paraId="7B41A7AF" w14:textId="712F35B1" w:rsidR="00111AE9" w:rsidRPr="00174C31" w:rsidRDefault="00ED2334" w:rsidP="006B7096">
      <w:pPr>
        <w:pStyle w:val="BodyText"/>
        <w:rPr>
          <w:lang w:eastAsia="en-AU"/>
        </w:rPr>
      </w:pPr>
      <w:r>
        <w:rPr>
          <w:lang w:eastAsia="en-AU"/>
        </w:rPr>
        <w:t xml:space="preserve">There appears to be </w:t>
      </w:r>
      <w:r w:rsidR="00700A42">
        <w:rPr>
          <w:lang w:eastAsia="en-AU"/>
        </w:rPr>
        <w:t>tension</w:t>
      </w:r>
      <w:r w:rsidR="00876FF7">
        <w:rPr>
          <w:lang w:eastAsia="en-AU"/>
        </w:rPr>
        <w:t xml:space="preserve"> between</w:t>
      </w:r>
      <w:r w:rsidR="00700A42">
        <w:rPr>
          <w:lang w:eastAsia="en-AU"/>
        </w:rPr>
        <w:t xml:space="preserve"> </w:t>
      </w:r>
      <w:r w:rsidR="00163AD5">
        <w:rPr>
          <w:lang w:eastAsia="en-AU"/>
        </w:rPr>
        <w:t>the desire to enhance awareness raising and promotion activities</w:t>
      </w:r>
      <w:r w:rsidR="00BB143C">
        <w:rPr>
          <w:lang w:eastAsia="en-AU"/>
        </w:rPr>
        <w:t xml:space="preserve"> with the need to </w:t>
      </w:r>
      <w:r w:rsidR="00700A42">
        <w:rPr>
          <w:lang w:eastAsia="en-AU"/>
        </w:rPr>
        <w:t>deliver direct services to young people</w:t>
      </w:r>
      <w:r w:rsidR="0083147A">
        <w:rPr>
          <w:lang w:eastAsia="en-AU"/>
        </w:rPr>
        <w:t>.</w:t>
      </w:r>
      <w:r w:rsidR="00BB143C">
        <w:rPr>
          <w:lang w:eastAsia="en-AU"/>
        </w:rPr>
        <w:t xml:space="preserve"> </w:t>
      </w:r>
      <w:r w:rsidR="00111AE9">
        <w:rPr>
          <w:lang w:eastAsia="en-AU"/>
        </w:rPr>
        <w:t xml:space="preserve">This </w:t>
      </w:r>
      <w:r w:rsidR="00342683">
        <w:rPr>
          <w:lang w:eastAsia="en-AU"/>
        </w:rPr>
        <w:t xml:space="preserve">may </w:t>
      </w:r>
      <w:r w:rsidR="00111AE9">
        <w:rPr>
          <w:lang w:eastAsia="en-AU"/>
        </w:rPr>
        <w:t>constrain headspace service</w:t>
      </w:r>
      <w:r w:rsidR="009066C9">
        <w:rPr>
          <w:lang w:eastAsia="en-AU"/>
        </w:rPr>
        <w:t>s’</w:t>
      </w:r>
      <w:r w:rsidR="00111AE9">
        <w:rPr>
          <w:lang w:eastAsia="en-AU"/>
        </w:rPr>
        <w:t xml:space="preserve"> </w:t>
      </w:r>
      <w:r w:rsidR="009066C9">
        <w:rPr>
          <w:lang w:eastAsia="en-AU"/>
        </w:rPr>
        <w:t>capacity</w:t>
      </w:r>
      <w:r w:rsidR="00D64F8E">
        <w:rPr>
          <w:lang w:eastAsia="en-AU"/>
        </w:rPr>
        <w:t xml:space="preserve"> to </w:t>
      </w:r>
      <w:r w:rsidR="002B3FF8">
        <w:rPr>
          <w:lang w:eastAsia="en-AU"/>
        </w:rPr>
        <w:t xml:space="preserve">meet the objectives of </w:t>
      </w:r>
      <w:r w:rsidR="00D64F8E">
        <w:rPr>
          <w:lang w:eastAsia="en-AU"/>
        </w:rPr>
        <w:t>increas</w:t>
      </w:r>
      <w:r w:rsidR="002B3FF8">
        <w:rPr>
          <w:lang w:eastAsia="en-AU"/>
        </w:rPr>
        <w:t>ing</w:t>
      </w:r>
      <w:r w:rsidR="00D64F8E">
        <w:rPr>
          <w:lang w:eastAsia="en-AU"/>
        </w:rPr>
        <w:t xml:space="preserve"> mental health literacy, improv</w:t>
      </w:r>
      <w:r w:rsidR="002B3FF8">
        <w:rPr>
          <w:lang w:eastAsia="en-AU"/>
        </w:rPr>
        <w:t>ing</w:t>
      </w:r>
      <w:r w:rsidR="00D64F8E">
        <w:rPr>
          <w:lang w:eastAsia="en-AU"/>
        </w:rPr>
        <w:t xml:space="preserve"> early help seeking and combat</w:t>
      </w:r>
      <w:r w:rsidR="002B3FF8">
        <w:rPr>
          <w:lang w:eastAsia="en-AU"/>
        </w:rPr>
        <w:t>ting</w:t>
      </w:r>
      <w:r w:rsidR="00D64F8E">
        <w:rPr>
          <w:lang w:eastAsia="en-AU"/>
        </w:rPr>
        <w:t xml:space="preserve"> stigma about mental illness and help</w:t>
      </w:r>
      <w:r w:rsidR="00BD29DF">
        <w:rPr>
          <w:lang w:eastAsia="en-AU"/>
        </w:rPr>
        <w:t xml:space="preserve"> </w:t>
      </w:r>
      <w:r w:rsidR="00D64F8E">
        <w:rPr>
          <w:lang w:eastAsia="en-AU"/>
        </w:rPr>
        <w:t xml:space="preserve">seeking behaviour. While these objectives are being effectively met across headspace for the general population of young people attending, there are significant differences in the effectiveness of headspace in meeting these objectives for young people from </w:t>
      </w:r>
      <w:r w:rsidR="00350C03">
        <w:rPr>
          <w:lang w:eastAsia="en-AU"/>
        </w:rPr>
        <w:t>culturally and linguistically diverse</w:t>
      </w:r>
      <w:r w:rsidR="00D64F8E">
        <w:rPr>
          <w:lang w:eastAsia="en-AU"/>
        </w:rPr>
        <w:t xml:space="preserve"> backgrounds, </w:t>
      </w:r>
      <w:r w:rsidR="000B5A33">
        <w:rPr>
          <w:lang w:eastAsia="en-AU"/>
        </w:rPr>
        <w:t xml:space="preserve">LGBTQIA+ </w:t>
      </w:r>
      <w:r w:rsidR="00B7788E">
        <w:rPr>
          <w:lang w:eastAsia="en-AU"/>
        </w:rPr>
        <w:t xml:space="preserve">young people </w:t>
      </w:r>
      <w:r w:rsidR="000B5A33">
        <w:rPr>
          <w:lang w:eastAsia="en-AU"/>
        </w:rPr>
        <w:t>and Aboriginal and Torres Strait Islander</w:t>
      </w:r>
      <w:r w:rsidR="005154CA">
        <w:rPr>
          <w:lang w:eastAsia="en-AU"/>
        </w:rPr>
        <w:t xml:space="preserve"> young people</w:t>
      </w:r>
      <w:r w:rsidR="000B5A33">
        <w:rPr>
          <w:lang w:eastAsia="en-AU"/>
        </w:rPr>
        <w:t xml:space="preserve">. </w:t>
      </w:r>
      <w:r w:rsidR="00BF304D">
        <w:rPr>
          <w:lang w:eastAsia="en-AU"/>
        </w:rPr>
        <w:t xml:space="preserve">It </w:t>
      </w:r>
      <w:r w:rsidR="00951E73">
        <w:rPr>
          <w:lang w:eastAsia="en-AU"/>
        </w:rPr>
        <w:t>is</w:t>
      </w:r>
      <w:r w:rsidR="00BF304D">
        <w:rPr>
          <w:lang w:eastAsia="en-AU"/>
        </w:rPr>
        <w:t xml:space="preserve"> possible that</w:t>
      </w:r>
      <w:r w:rsidR="00951E73">
        <w:rPr>
          <w:lang w:eastAsia="en-AU"/>
        </w:rPr>
        <w:t>,</w:t>
      </w:r>
      <w:r w:rsidR="00BF304D">
        <w:rPr>
          <w:lang w:eastAsia="en-AU"/>
        </w:rPr>
        <w:t xml:space="preserve"> w</w:t>
      </w:r>
      <w:r w:rsidR="000B5A33">
        <w:rPr>
          <w:lang w:eastAsia="en-AU"/>
        </w:rPr>
        <w:t xml:space="preserve">ith increased focus and funding for community awareness and engagement activities, these outcomes could be improved. </w:t>
      </w:r>
    </w:p>
    <w:p w14:paraId="341A61DC" w14:textId="7023D686" w:rsidR="00C30CBB" w:rsidRDefault="00354413" w:rsidP="003941C8">
      <w:pPr>
        <w:pStyle w:val="Heading3"/>
        <w:rPr>
          <w:lang w:eastAsia="en-AU"/>
        </w:rPr>
      </w:pPr>
      <w:bookmarkStart w:id="163" w:name="_Ref98476110"/>
      <w:r w:rsidRPr="001D6913">
        <w:rPr>
          <w:lang w:eastAsia="en-AU"/>
        </w:rPr>
        <w:t>Four core streams</w:t>
      </w:r>
      <w:bookmarkEnd w:id="163"/>
      <w:r w:rsidRPr="001D6913">
        <w:rPr>
          <w:lang w:eastAsia="en-AU"/>
        </w:rPr>
        <w:t xml:space="preserve"> </w:t>
      </w:r>
    </w:p>
    <w:p w14:paraId="7408B0DF" w14:textId="15FE207E" w:rsidR="00354413" w:rsidRPr="0094586B" w:rsidRDefault="00375BA4" w:rsidP="00FB2EAF">
      <w:pPr>
        <w:pStyle w:val="Bullet1stlevel"/>
        <w:numPr>
          <w:ilvl w:val="0"/>
          <w:numId w:val="0"/>
        </w:numPr>
        <w:rPr>
          <w:b/>
          <w:lang w:eastAsia="en-AU"/>
        </w:rPr>
      </w:pPr>
      <w:r>
        <w:rPr>
          <w:lang w:eastAsia="en-AU"/>
        </w:rPr>
        <w:t xml:space="preserve">The headspace model </w:t>
      </w:r>
      <w:r w:rsidRPr="00375BA4">
        <w:rPr>
          <w:rStyle w:val="BodyTextChar"/>
        </w:rPr>
        <w:t xml:space="preserve">includes </w:t>
      </w:r>
      <w:r w:rsidR="00354413" w:rsidRPr="00375BA4">
        <w:rPr>
          <w:rStyle w:val="BodyTextChar"/>
        </w:rPr>
        <w:t>the provision of an enhanced primary care platform with four core service streams – mental health, physical and sexual health, alcohol and other drugs, and vocational and educational support – to holistically address the main mental health and wellbeing needs of young people within the local community.</w:t>
      </w:r>
    </w:p>
    <w:p w14:paraId="1072ACE0" w14:textId="66501E6C" w:rsidR="0066194D" w:rsidRDefault="001360CD" w:rsidP="0048214F">
      <w:pPr>
        <w:pStyle w:val="BodyText"/>
        <w:rPr>
          <w:lang w:eastAsia="en-AU"/>
        </w:rPr>
      </w:pPr>
      <w:r>
        <w:rPr>
          <w:lang w:eastAsia="en-AU"/>
        </w:rPr>
        <w:t xml:space="preserve">As discussed in </w:t>
      </w:r>
      <w:r w:rsidR="001C5887">
        <w:rPr>
          <w:lang w:eastAsia="en-AU"/>
        </w:rPr>
        <w:t>C</w:t>
      </w:r>
      <w:r>
        <w:rPr>
          <w:lang w:eastAsia="en-AU"/>
        </w:rPr>
        <w:t xml:space="preserve">hapter </w:t>
      </w:r>
      <w:r w:rsidR="001C5887">
        <w:rPr>
          <w:lang w:eastAsia="en-AU"/>
        </w:rPr>
        <w:fldChar w:fldCharType="begin" w:fldLock="1"/>
      </w:r>
      <w:r w:rsidR="001C5887">
        <w:rPr>
          <w:lang w:eastAsia="en-AU"/>
        </w:rPr>
        <w:instrText xml:space="preserve"> REF _Ref98434079 \w \h </w:instrText>
      </w:r>
      <w:r w:rsidR="001C5887">
        <w:rPr>
          <w:lang w:eastAsia="en-AU"/>
        </w:rPr>
      </w:r>
      <w:r w:rsidR="001C5887">
        <w:rPr>
          <w:lang w:eastAsia="en-AU"/>
        </w:rPr>
        <w:fldChar w:fldCharType="separate"/>
      </w:r>
      <w:r w:rsidR="00AE4D34">
        <w:rPr>
          <w:lang w:eastAsia="en-AU"/>
        </w:rPr>
        <w:t>2</w:t>
      </w:r>
      <w:r w:rsidR="001C5887">
        <w:rPr>
          <w:lang w:eastAsia="en-AU"/>
        </w:rPr>
        <w:fldChar w:fldCharType="end"/>
      </w:r>
      <w:r>
        <w:rPr>
          <w:lang w:eastAsia="en-AU"/>
        </w:rPr>
        <w:t xml:space="preserve">, </w:t>
      </w:r>
      <w:r w:rsidR="0094586B">
        <w:rPr>
          <w:lang w:eastAsia="en-AU"/>
        </w:rPr>
        <w:t>headspace service</w:t>
      </w:r>
      <w:r w:rsidR="001A0C2C">
        <w:rPr>
          <w:lang w:eastAsia="en-AU"/>
        </w:rPr>
        <w:t xml:space="preserve">s </w:t>
      </w:r>
      <w:r>
        <w:rPr>
          <w:lang w:eastAsia="en-AU"/>
        </w:rPr>
        <w:t xml:space="preserve">are </w:t>
      </w:r>
      <w:r w:rsidR="004B7881">
        <w:rPr>
          <w:lang w:eastAsia="en-AU"/>
        </w:rPr>
        <w:t xml:space="preserve">primarily focused on the provision of mental health support and intake and assessment activities, with the three other core streams </w:t>
      </w:r>
      <w:r w:rsidR="00554BFE">
        <w:rPr>
          <w:lang w:eastAsia="en-AU"/>
        </w:rPr>
        <w:t xml:space="preserve">significantly less of a focus. </w:t>
      </w:r>
      <w:r w:rsidR="002C1373">
        <w:rPr>
          <w:lang w:eastAsia="en-AU"/>
        </w:rPr>
        <w:t>Eighty-one</w:t>
      </w:r>
      <w:r w:rsidR="00554BFE">
        <w:rPr>
          <w:lang w:eastAsia="en-AU"/>
        </w:rPr>
        <w:t xml:space="preserve"> per cent of services provided by </w:t>
      </w:r>
      <w:r w:rsidR="006817F2">
        <w:rPr>
          <w:lang w:eastAsia="en-AU"/>
        </w:rPr>
        <w:t xml:space="preserve">headspace </w:t>
      </w:r>
      <w:r w:rsidR="00554BFE">
        <w:rPr>
          <w:lang w:eastAsia="en-AU"/>
        </w:rPr>
        <w:t xml:space="preserve">centres, and 91 per cent of those provided by satellite </w:t>
      </w:r>
      <w:r w:rsidR="006817F2">
        <w:rPr>
          <w:lang w:eastAsia="en-AU"/>
        </w:rPr>
        <w:t>service</w:t>
      </w:r>
      <w:r w:rsidR="00554BFE">
        <w:rPr>
          <w:lang w:eastAsia="en-AU"/>
        </w:rPr>
        <w:t xml:space="preserve">s </w:t>
      </w:r>
      <w:r w:rsidR="002C1373">
        <w:rPr>
          <w:lang w:eastAsia="en-AU"/>
        </w:rPr>
        <w:t>are focused on the two main activities</w:t>
      </w:r>
      <w:r w:rsidR="000D406C">
        <w:rPr>
          <w:lang w:eastAsia="en-AU"/>
        </w:rPr>
        <w:t xml:space="preserve"> of mental health support and intake and assessment</w:t>
      </w:r>
      <w:r w:rsidR="002C1373">
        <w:rPr>
          <w:lang w:eastAsia="en-AU"/>
        </w:rPr>
        <w:t xml:space="preserve">. </w:t>
      </w:r>
      <w:r w:rsidR="006915D6">
        <w:rPr>
          <w:lang w:eastAsia="en-AU"/>
        </w:rPr>
        <w:t>Theoretically, the consorti</w:t>
      </w:r>
      <w:r w:rsidR="00780825">
        <w:rPr>
          <w:lang w:eastAsia="en-AU"/>
        </w:rPr>
        <w:t>um</w:t>
      </w:r>
      <w:r w:rsidR="006915D6">
        <w:rPr>
          <w:lang w:eastAsia="en-AU"/>
        </w:rPr>
        <w:t xml:space="preserve"> </w:t>
      </w:r>
      <w:r w:rsidR="0066194D">
        <w:rPr>
          <w:lang w:eastAsia="en-AU"/>
        </w:rPr>
        <w:t>component of the headspace</w:t>
      </w:r>
      <w:r w:rsidR="006915D6">
        <w:rPr>
          <w:lang w:eastAsia="en-AU"/>
        </w:rPr>
        <w:t xml:space="preserve"> model should be an enabler to delivering all four core streams, with opportunities for the lead agency to </w:t>
      </w:r>
      <w:r w:rsidR="00377DB0">
        <w:rPr>
          <w:lang w:eastAsia="en-AU"/>
        </w:rPr>
        <w:t>engage</w:t>
      </w:r>
      <w:r w:rsidR="006915D6">
        <w:rPr>
          <w:lang w:eastAsia="en-AU"/>
        </w:rPr>
        <w:t xml:space="preserve"> con</w:t>
      </w:r>
      <w:r w:rsidR="00780825">
        <w:rPr>
          <w:lang w:eastAsia="en-AU"/>
        </w:rPr>
        <w:t>sortium</w:t>
      </w:r>
      <w:r w:rsidR="006915D6">
        <w:rPr>
          <w:lang w:eastAsia="en-AU"/>
        </w:rPr>
        <w:t xml:space="preserve"> members who can </w:t>
      </w:r>
      <w:r w:rsidR="00377DB0">
        <w:rPr>
          <w:lang w:eastAsia="en-AU"/>
        </w:rPr>
        <w:t>provide expertise in one or more of the core streams</w:t>
      </w:r>
      <w:r w:rsidR="006915D6">
        <w:rPr>
          <w:lang w:eastAsia="en-AU"/>
        </w:rPr>
        <w:t xml:space="preserve">. </w:t>
      </w:r>
      <w:r w:rsidR="000D406C">
        <w:rPr>
          <w:lang w:eastAsia="en-AU"/>
        </w:rPr>
        <w:t xml:space="preserve">In practice, </w:t>
      </w:r>
      <w:r w:rsidR="00E2505C">
        <w:rPr>
          <w:lang w:eastAsia="en-AU"/>
        </w:rPr>
        <w:t>when a young person requires physical or sexual health</w:t>
      </w:r>
      <w:r w:rsidR="00E2505C" w:rsidRPr="00E2505C">
        <w:rPr>
          <w:lang w:eastAsia="en-AU"/>
        </w:rPr>
        <w:t xml:space="preserve"> </w:t>
      </w:r>
      <w:r w:rsidR="00E2505C">
        <w:rPr>
          <w:lang w:eastAsia="en-AU"/>
        </w:rPr>
        <w:t xml:space="preserve">services, alcohol or other drug services or vocational and educational support, they are more likely to be referred elsewhere than to receive support </w:t>
      </w:r>
      <w:r w:rsidR="00AD738E">
        <w:rPr>
          <w:lang w:eastAsia="en-AU"/>
        </w:rPr>
        <w:t>through</w:t>
      </w:r>
      <w:r w:rsidR="00E2505C">
        <w:rPr>
          <w:lang w:eastAsia="en-AU"/>
        </w:rPr>
        <w:t xml:space="preserve"> headspac</w:t>
      </w:r>
      <w:r w:rsidR="00AD738E">
        <w:rPr>
          <w:lang w:eastAsia="en-AU"/>
        </w:rPr>
        <w:t>e</w:t>
      </w:r>
      <w:r w:rsidR="00E2505C">
        <w:rPr>
          <w:lang w:eastAsia="en-AU"/>
        </w:rPr>
        <w:t>.</w:t>
      </w:r>
    </w:p>
    <w:p w14:paraId="4CF22E14" w14:textId="1F145087" w:rsidR="008419AE" w:rsidRDefault="00C034F8" w:rsidP="0048214F">
      <w:pPr>
        <w:pStyle w:val="BodyText"/>
        <w:rPr>
          <w:lang w:eastAsia="en-AU"/>
        </w:rPr>
      </w:pPr>
      <w:r>
        <w:rPr>
          <w:lang w:eastAsia="en-AU"/>
        </w:rPr>
        <w:t>S</w:t>
      </w:r>
      <w:r w:rsidR="00AF7AFF">
        <w:rPr>
          <w:lang w:eastAsia="en-AU"/>
        </w:rPr>
        <w:t xml:space="preserve">takeholders </w:t>
      </w:r>
      <w:r>
        <w:rPr>
          <w:lang w:eastAsia="en-AU"/>
        </w:rPr>
        <w:t>identified</w:t>
      </w:r>
      <w:r w:rsidR="00A1180F">
        <w:rPr>
          <w:lang w:eastAsia="en-AU"/>
        </w:rPr>
        <w:t xml:space="preserve"> workforce attraction, retention and funding limitations as the key barriers to providing the</w:t>
      </w:r>
      <w:r>
        <w:rPr>
          <w:lang w:eastAsia="en-AU"/>
        </w:rPr>
        <w:t xml:space="preserve"> </w:t>
      </w:r>
      <w:r w:rsidR="00AF7AFF">
        <w:rPr>
          <w:lang w:eastAsia="en-AU"/>
        </w:rPr>
        <w:t xml:space="preserve">four core streams. </w:t>
      </w:r>
      <w:r w:rsidR="007B104E">
        <w:rPr>
          <w:lang w:eastAsia="en-AU"/>
        </w:rPr>
        <w:t>While anecdotally</w:t>
      </w:r>
      <w:r w:rsidR="00832000">
        <w:rPr>
          <w:lang w:eastAsia="en-AU"/>
        </w:rPr>
        <w:t>,</w:t>
      </w:r>
      <w:r w:rsidR="007B104E">
        <w:rPr>
          <w:lang w:eastAsia="en-AU"/>
        </w:rPr>
        <w:t xml:space="preserve"> t</w:t>
      </w:r>
      <w:r w:rsidR="002B2860">
        <w:rPr>
          <w:lang w:eastAsia="en-AU"/>
        </w:rPr>
        <w:t xml:space="preserve">he provision of the four core streams in a ‘one stop shop’ </w:t>
      </w:r>
      <w:r w:rsidR="00626B38">
        <w:rPr>
          <w:lang w:eastAsia="en-AU"/>
        </w:rPr>
        <w:t xml:space="preserve">is </w:t>
      </w:r>
      <w:r w:rsidR="002B2860">
        <w:rPr>
          <w:lang w:eastAsia="en-AU"/>
        </w:rPr>
        <w:t xml:space="preserve">valued by young people and other stakeholders </w:t>
      </w:r>
      <w:r w:rsidR="007B104E">
        <w:rPr>
          <w:lang w:eastAsia="en-AU"/>
        </w:rPr>
        <w:t xml:space="preserve">of headspace, </w:t>
      </w:r>
      <w:r w:rsidR="0018494F">
        <w:rPr>
          <w:lang w:eastAsia="en-AU"/>
        </w:rPr>
        <w:t xml:space="preserve">the strong results for the model </w:t>
      </w:r>
      <w:r w:rsidR="00D6507C">
        <w:rPr>
          <w:lang w:eastAsia="en-AU"/>
        </w:rPr>
        <w:t>(</w:t>
      </w:r>
      <w:r w:rsidR="0018494F">
        <w:rPr>
          <w:lang w:eastAsia="en-AU"/>
        </w:rPr>
        <w:t xml:space="preserve">despite </w:t>
      </w:r>
      <w:r w:rsidR="00060C69">
        <w:rPr>
          <w:lang w:eastAsia="en-AU"/>
        </w:rPr>
        <w:t>services</w:t>
      </w:r>
      <w:r w:rsidR="0018494F">
        <w:rPr>
          <w:lang w:eastAsia="en-AU"/>
        </w:rPr>
        <w:t xml:space="preserve"> </w:t>
      </w:r>
      <w:r w:rsidR="002E5B59">
        <w:rPr>
          <w:lang w:eastAsia="en-AU"/>
        </w:rPr>
        <w:t>predominately</w:t>
      </w:r>
      <w:r w:rsidR="0018494F">
        <w:rPr>
          <w:lang w:eastAsia="en-AU"/>
        </w:rPr>
        <w:t xml:space="preserve"> providing only one of </w:t>
      </w:r>
      <w:r w:rsidR="0018494F" w:rsidDel="007F6C0C">
        <w:rPr>
          <w:lang w:eastAsia="en-AU"/>
        </w:rPr>
        <w:t xml:space="preserve">the </w:t>
      </w:r>
      <w:r w:rsidR="0018494F">
        <w:rPr>
          <w:lang w:eastAsia="en-AU"/>
        </w:rPr>
        <w:t>four</w:t>
      </w:r>
      <w:r w:rsidR="007F6C0C">
        <w:rPr>
          <w:lang w:eastAsia="en-AU"/>
        </w:rPr>
        <w:t xml:space="preserve"> streams</w:t>
      </w:r>
      <w:r w:rsidR="00D6507C">
        <w:rPr>
          <w:lang w:eastAsia="en-AU"/>
        </w:rPr>
        <w:t>)</w:t>
      </w:r>
      <w:r w:rsidR="0018494F">
        <w:rPr>
          <w:lang w:eastAsia="en-AU"/>
        </w:rPr>
        <w:t xml:space="preserve"> indicates that the other three are less </w:t>
      </w:r>
      <w:r w:rsidR="008E4939">
        <w:rPr>
          <w:lang w:eastAsia="en-AU"/>
        </w:rPr>
        <w:t>critical to the overall effectiveness of the model</w:t>
      </w:r>
      <w:r w:rsidR="007F34C1">
        <w:rPr>
          <w:lang w:eastAsia="en-AU"/>
        </w:rPr>
        <w:t xml:space="preserve"> in supporting mental health and wellbeing outcomes for young people.</w:t>
      </w:r>
      <w:r w:rsidR="008E4939">
        <w:rPr>
          <w:lang w:eastAsia="en-AU"/>
        </w:rPr>
        <w:t xml:space="preserve"> </w:t>
      </w:r>
    </w:p>
    <w:p w14:paraId="58400163" w14:textId="1A15AF48" w:rsidR="00C30CBB" w:rsidRDefault="00354413" w:rsidP="00AF4272">
      <w:pPr>
        <w:pStyle w:val="Heading3"/>
        <w:rPr>
          <w:lang w:eastAsia="en-AU"/>
        </w:rPr>
      </w:pPr>
      <w:r w:rsidRPr="008419AE">
        <w:rPr>
          <w:lang w:eastAsia="en-AU"/>
        </w:rPr>
        <w:t xml:space="preserve">Service integration </w:t>
      </w:r>
    </w:p>
    <w:p w14:paraId="0C764FAE" w14:textId="15D9FC58" w:rsidR="00354413" w:rsidRPr="000A0CF3" w:rsidRDefault="006D35CE" w:rsidP="006D35CE">
      <w:pPr>
        <w:pStyle w:val="BodyText"/>
      </w:pPr>
      <w:r>
        <w:rPr>
          <w:lang w:eastAsia="en-AU"/>
        </w:rPr>
        <w:t xml:space="preserve">The headspace model </w:t>
      </w:r>
      <w:r w:rsidR="001E4A7D">
        <w:rPr>
          <w:lang w:eastAsia="en-AU"/>
        </w:rPr>
        <w:t>is designed to</w:t>
      </w:r>
      <w:r>
        <w:rPr>
          <w:lang w:eastAsia="en-AU"/>
        </w:rPr>
        <w:t xml:space="preserve"> bring </w:t>
      </w:r>
      <w:r w:rsidR="00354413" w:rsidRPr="00F95F93">
        <w:rPr>
          <w:lang w:eastAsia="en-AU"/>
        </w:rPr>
        <w:t>services together to function as one, providing a seamless service experience for a young person, particularly if they require care involving multiple service providers and supports</w:t>
      </w:r>
      <w:r w:rsidR="00354413">
        <w:rPr>
          <w:lang w:eastAsia="en-AU"/>
        </w:rPr>
        <w:t>.</w:t>
      </w:r>
    </w:p>
    <w:p w14:paraId="6D5CF5B0" w14:textId="563DA550" w:rsidR="0041266F" w:rsidRDefault="00260646" w:rsidP="006B7096">
      <w:pPr>
        <w:pStyle w:val="BodyText"/>
      </w:pPr>
      <w:r>
        <w:t xml:space="preserve">As discussed in </w:t>
      </w:r>
      <w:r w:rsidR="001268EC">
        <w:t>S</w:t>
      </w:r>
      <w:r w:rsidR="00515FBE">
        <w:t xml:space="preserve">ection </w:t>
      </w:r>
      <w:r w:rsidR="001C5887">
        <w:rPr>
          <w:highlight w:val="yellow"/>
        </w:rPr>
        <w:fldChar w:fldCharType="begin" w:fldLock="1"/>
      </w:r>
      <w:r w:rsidR="001C5887">
        <w:instrText xml:space="preserve"> REF _Ref98317699 \w \h </w:instrText>
      </w:r>
      <w:r w:rsidR="001C5887">
        <w:rPr>
          <w:highlight w:val="yellow"/>
        </w:rPr>
      </w:r>
      <w:r w:rsidR="001C5887">
        <w:rPr>
          <w:highlight w:val="yellow"/>
        </w:rPr>
        <w:fldChar w:fldCharType="separate"/>
      </w:r>
      <w:r w:rsidR="00AE4D34">
        <w:t>3</w:t>
      </w:r>
      <w:r w:rsidR="001C5887">
        <w:rPr>
          <w:highlight w:val="yellow"/>
        </w:rPr>
        <w:fldChar w:fldCharType="end"/>
      </w:r>
      <w:r w:rsidR="00515FBE">
        <w:t xml:space="preserve">, </w:t>
      </w:r>
      <w:r w:rsidR="00F95F93">
        <w:t xml:space="preserve">headspace services </w:t>
      </w:r>
      <w:r w:rsidR="00447A5F">
        <w:t xml:space="preserve">are consistently recognised by external stakeholders for their contributions to </w:t>
      </w:r>
      <w:r w:rsidR="00F95F93">
        <w:t>support pathways to care through integration and care coordination. However,</w:t>
      </w:r>
      <w:r w:rsidR="00151C5D">
        <w:t xml:space="preserve"> there are</w:t>
      </w:r>
      <w:r w:rsidR="00F95F93">
        <w:t xml:space="preserve"> challenges</w:t>
      </w:r>
      <w:r w:rsidR="00700086">
        <w:t xml:space="preserve"> around </w:t>
      </w:r>
      <w:r w:rsidR="0072663E">
        <w:t xml:space="preserve">service </w:t>
      </w:r>
      <w:r w:rsidR="00F95F93">
        <w:t xml:space="preserve">constraints with many health services </w:t>
      </w:r>
      <w:r w:rsidR="00801C5E">
        <w:t>experiencing high demand</w:t>
      </w:r>
      <w:r w:rsidR="00E41E0D">
        <w:t>.</w:t>
      </w:r>
      <w:r w:rsidR="00F95F93">
        <w:t xml:space="preserve"> </w:t>
      </w:r>
      <w:r w:rsidR="00E41E0D">
        <w:t xml:space="preserve">This is </w:t>
      </w:r>
      <w:r w:rsidR="00D9488D">
        <w:t xml:space="preserve">particularly </w:t>
      </w:r>
      <w:r w:rsidR="00E41E0D">
        <w:t>the case</w:t>
      </w:r>
      <w:r w:rsidR="00D9488D">
        <w:t xml:space="preserve"> in regional and remote communities</w:t>
      </w:r>
      <w:r w:rsidR="00E41E0D">
        <w:t xml:space="preserve"> w</w:t>
      </w:r>
      <w:r w:rsidR="00C81860">
        <w:t>h</w:t>
      </w:r>
      <w:r w:rsidR="00E41E0D">
        <w:t>ere</w:t>
      </w:r>
      <w:r w:rsidR="00D9488D">
        <w:t xml:space="preserve"> there is a lack of</w:t>
      </w:r>
      <w:r w:rsidR="00F95F93">
        <w:t xml:space="preserve"> alternative services available.</w:t>
      </w:r>
    </w:p>
    <w:p w14:paraId="3F72AF1F" w14:textId="779B15CD" w:rsidR="00252152" w:rsidRDefault="00784D8A" w:rsidP="006B7096">
      <w:pPr>
        <w:pStyle w:val="BodyText"/>
      </w:pPr>
      <w:r>
        <w:t xml:space="preserve">At the same time, </w:t>
      </w:r>
      <w:r w:rsidR="00FB6F25">
        <w:t>headspace</w:t>
      </w:r>
      <w:r>
        <w:t xml:space="preserve"> </w:t>
      </w:r>
      <w:r w:rsidR="00A51DE0">
        <w:t>s</w:t>
      </w:r>
      <w:r w:rsidR="004A1969">
        <w:rPr>
          <w:rFonts w:cs="Calibri"/>
          <w:szCs w:val="20"/>
        </w:rPr>
        <w:t xml:space="preserve">ervice staff consulted </w:t>
      </w:r>
      <w:r w:rsidR="00271522">
        <w:rPr>
          <w:rFonts w:cs="Calibri"/>
          <w:szCs w:val="20"/>
        </w:rPr>
        <w:t>reported that</w:t>
      </w:r>
      <w:r w:rsidR="004A1969">
        <w:rPr>
          <w:rFonts w:cs="Calibri"/>
          <w:szCs w:val="20"/>
        </w:rPr>
        <w:t xml:space="preserve"> young people’s mental health needs are becoming increasingly severe and complex, with most </w:t>
      </w:r>
      <w:r w:rsidR="001267EC">
        <w:rPr>
          <w:rFonts w:cs="Calibri"/>
          <w:szCs w:val="20"/>
        </w:rPr>
        <w:t xml:space="preserve">presentations </w:t>
      </w:r>
      <w:r w:rsidR="004A1969">
        <w:rPr>
          <w:rFonts w:cs="Calibri"/>
          <w:szCs w:val="20"/>
        </w:rPr>
        <w:t>being outside the headspace model’s mild to moderate criteria.</w:t>
      </w:r>
      <w:r w:rsidR="00451724" w:rsidRPr="00451724">
        <w:t xml:space="preserve"> </w:t>
      </w:r>
      <w:r w:rsidR="00B7733A">
        <w:t>h</w:t>
      </w:r>
      <w:r w:rsidR="0021160A">
        <w:t>eadspace</w:t>
      </w:r>
      <w:r w:rsidR="00B7733A">
        <w:t>’s</w:t>
      </w:r>
      <w:r w:rsidR="0021160A">
        <w:t xml:space="preserve"> service</w:t>
      </w:r>
      <w:r w:rsidR="00451724">
        <w:t xml:space="preserve"> capacity to </w:t>
      </w:r>
      <w:r w:rsidR="0021160A">
        <w:t>refer young people with more severe conditions to more appropriate services is const</w:t>
      </w:r>
      <w:r w:rsidR="007A6113">
        <w:t>rained by a combination of capacity issues in local services, and h</w:t>
      </w:r>
      <w:r w:rsidR="00451724">
        <w:t>igh levels of demand within headspace services</w:t>
      </w:r>
      <w:r w:rsidR="007A6113">
        <w:t xml:space="preserve"> which</w:t>
      </w:r>
      <w:r w:rsidR="00451724">
        <w:t xml:space="preserve"> reduce </w:t>
      </w:r>
      <w:r w:rsidR="007A6113">
        <w:t xml:space="preserve">the </w:t>
      </w:r>
      <w:r w:rsidR="00451724">
        <w:t xml:space="preserve">capacity for staff to balance clinical workloads with the additional activities </w:t>
      </w:r>
      <w:r w:rsidR="007A6113">
        <w:t xml:space="preserve">required for successful service integration. </w:t>
      </w:r>
    </w:p>
    <w:p w14:paraId="108F0A4E" w14:textId="7A289C50" w:rsidR="00F95F93" w:rsidRDefault="00344542" w:rsidP="006B7096">
      <w:pPr>
        <w:pStyle w:val="BodyText"/>
      </w:pPr>
      <w:r>
        <w:t xml:space="preserve">headspace service providers are </w:t>
      </w:r>
      <w:r w:rsidR="00C23275">
        <w:t xml:space="preserve">impacted </w:t>
      </w:r>
      <w:r w:rsidR="00464B24">
        <w:t xml:space="preserve">by a range of factors </w:t>
      </w:r>
      <w:r w:rsidR="005D50A1">
        <w:t xml:space="preserve">associated with </w:t>
      </w:r>
      <w:r w:rsidR="00C23275">
        <w:t>the</w:t>
      </w:r>
      <w:r w:rsidR="00464B24">
        <w:t xml:space="preserve"> effective functioning of the broader service system. The consequence of this is that many headspace services </w:t>
      </w:r>
      <w:r w:rsidR="00374CC6">
        <w:t xml:space="preserve">have long wait lists </w:t>
      </w:r>
      <w:r w:rsidR="00B0228B">
        <w:t xml:space="preserve">of </w:t>
      </w:r>
      <w:r w:rsidR="00374CC6">
        <w:t>young people to receive clinical support</w:t>
      </w:r>
      <w:r w:rsidR="00CB6333">
        <w:t>.</w:t>
      </w:r>
      <w:r w:rsidR="0012623D">
        <w:t xml:space="preserve"> </w:t>
      </w:r>
      <w:r w:rsidR="00E03259">
        <w:t>In 2018</w:t>
      </w:r>
      <w:r w:rsidR="006F40D0">
        <w:t>,</w:t>
      </w:r>
      <w:r w:rsidR="0068330E">
        <w:t xml:space="preserve"> an investment of $152</w:t>
      </w:r>
      <w:r w:rsidR="006F40D0">
        <w:t> </w:t>
      </w:r>
      <w:r w:rsidR="0068330E">
        <w:t xml:space="preserve">million over seven years </w:t>
      </w:r>
      <w:r w:rsidR="00696698">
        <w:t xml:space="preserve">was made </w:t>
      </w:r>
      <w:r w:rsidR="00F3718C">
        <w:t xml:space="preserve">by the </w:t>
      </w:r>
      <w:r w:rsidR="0029434D">
        <w:t xml:space="preserve">Commonwealth </w:t>
      </w:r>
      <w:r w:rsidR="00497659">
        <w:t xml:space="preserve">Government to </w:t>
      </w:r>
      <w:r w:rsidR="00C71000">
        <w:t xml:space="preserve">fund the </w:t>
      </w:r>
      <w:r w:rsidR="00D6361D">
        <w:t>hDMEP</w:t>
      </w:r>
      <w:r w:rsidR="00C71000">
        <w:t xml:space="preserve"> </w:t>
      </w:r>
      <w:r w:rsidR="007031FB">
        <w:t xml:space="preserve">aimed at </w:t>
      </w:r>
      <w:r w:rsidR="00C9586E">
        <w:t xml:space="preserve">addressing these challenges by </w:t>
      </w:r>
      <w:r w:rsidR="00B1582C">
        <w:t>increas</w:t>
      </w:r>
      <w:r w:rsidR="007031FB">
        <w:t>ing</w:t>
      </w:r>
      <w:r w:rsidR="00B1582C">
        <w:t xml:space="preserve"> access and </w:t>
      </w:r>
      <w:r w:rsidR="00F32169">
        <w:t>reduc</w:t>
      </w:r>
      <w:r w:rsidR="007031FB">
        <w:t>ing</w:t>
      </w:r>
      <w:r w:rsidR="00F32169">
        <w:t xml:space="preserve"> wait</w:t>
      </w:r>
      <w:r w:rsidR="002E008E">
        <w:t xml:space="preserve"> </w:t>
      </w:r>
      <w:r w:rsidR="00F32169">
        <w:t>times</w:t>
      </w:r>
      <w:r w:rsidR="002E008E">
        <w:t xml:space="preserve">. </w:t>
      </w:r>
      <w:r w:rsidR="00725750">
        <w:t>The effectiveness of this program of work is outside the scope of the current evaluation, however the issue of wait times continues to be raised by stakeholders</w:t>
      </w:r>
      <w:r w:rsidR="00595616">
        <w:t xml:space="preserve"> when discussing headspace services.</w:t>
      </w:r>
    </w:p>
    <w:p w14:paraId="46F74094" w14:textId="77777777" w:rsidR="00C30CBB" w:rsidRDefault="00354413" w:rsidP="003941C8">
      <w:pPr>
        <w:pStyle w:val="Heading3"/>
        <w:rPr>
          <w:lang w:eastAsia="en-AU"/>
        </w:rPr>
      </w:pPr>
      <w:r w:rsidRPr="001D6913">
        <w:rPr>
          <w:lang w:eastAsia="en-AU"/>
        </w:rPr>
        <w:t xml:space="preserve">National network </w:t>
      </w:r>
    </w:p>
    <w:p w14:paraId="1C92A8FB" w14:textId="0301B21C" w:rsidR="00354413" w:rsidRDefault="00F826B4" w:rsidP="00F826B4">
      <w:pPr>
        <w:pStyle w:val="BodyText"/>
      </w:pPr>
      <w:r>
        <w:t>T</w:t>
      </w:r>
      <w:r w:rsidR="00354413" w:rsidRPr="004766F7">
        <w:t>he network of headspace services across Australia collaborates to share learning, innovation and best practice and</w:t>
      </w:r>
      <w:r w:rsidR="00A502F6">
        <w:t>,</w:t>
      </w:r>
      <w:r w:rsidR="00354413" w:rsidRPr="004766F7">
        <w:t xml:space="preserve"> in turn</w:t>
      </w:r>
      <w:r w:rsidR="00A502F6">
        <w:t>,</w:t>
      </w:r>
      <w:r w:rsidR="00354413" w:rsidRPr="004766F7">
        <w:t xml:space="preserve"> facilitates continuous improvement of services to enhance youth mental health and wellbeing outcomes. It is composed of all headspace centres, satellites and other services, headspace National, PHNs, </w:t>
      </w:r>
      <w:r w:rsidR="00593BCF">
        <w:t>lead agencies</w:t>
      </w:r>
      <w:r w:rsidR="00354413" w:rsidRPr="004766F7">
        <w:t xml:space="preserve">, Consortia, </w:t>
      </w:r>
      <w:r w:rsidR="00F310A7">
        <w:t>and</w:t>
      </w:r>
      <w:r w:rsidR="00354413" w:rsidRPr="004766F7">
        <w:t xml:space="preserve"> Youth and Family and Friends Reference Groups.</w:t>
      </w:r>
    </w:p>
    <w:p w14:paraId="53E575A6" w14:textId="731A9830" w:rsidR="00ED0452" w:rsidRDefault="004766F7" w:rsidP="006B7096">
      <w:pPr>
        <w:pStyle w:val="BodyText"/>
        <w:rPr>
          <w:lang w:eastAsia="en-AU"/>
        </w:rPr>
      </w:pPr>
      <w:r>
        <w:rPr>
          <w:lang w:eastAsia="en-AU"/>
        </w:rPr>
        <w:t xml:space="preserve">The national network </w:t>
      </w:r>
      <w:r w:rsidR="00C3731B">
        <w:rPr>
          <w:lang w:eastAsia="en-AU"/>
        </w:rPr>
        <w:t xml:space="preserve">of headspace services is </w:t>
      </w:r>
      <w:r w:rsidR="00EC6191">
        <w:rPr>
          <w:lang w:eastAsia="en-AU"/>
        </w:rPr>
        <w:t>an important enabl</w:t>
      </w:r>
      <w:r w:rsidR="000B0BB8">
        <w:rPr>
          <w:lang w:eastAsia="en-AU"/>
        </w:rPr>
        <w:t>ing</w:t>
      </w:r>
      <w:r w:rsidR="00EC6191">
        <w:rPr>
          <w:lang w:eastAsia="en-AU"/>
        </w:rPr>
        <w:t xml:space="preserve"> component of the headspace </w:t>
      </w:r>
      <w:r w:rsidR="001F2443">
        <w:rPr>
          <w:lang w:eastAsia="en-AU"/>
        </w:rPr>
        <w:t>model</w:t>
      </w:r>
      <w:r w:rsidR="00EC6191">
        <w:rPr>
          <w:lang w:eastAsia="en-AU"/>
        </w:rPr>
        <w:t xml:space="preserve">. </w:t>
      </w:r>
      <w:r w:rsidR="00895FEE">
        <w:rPr>
          <w:lang w:eastAsia="en-AU"/>
        </w:rPr>
        <w:t>Facilitated by headspace National, th</w:t>
      </w:r>
      <w:r w:rsidR="003008D5">
        <w:rPr>
          <w:lang w:eastAsia="en-AU"/>
        </w:rPr>
        <w:t>e</w:t>
      </w:r>
      <w:r w:rsidR="00895FEE">
        <w:rPr>
          <w:lang w:eastAsia="en-AU"/>
        </w:rPr>
        <w:t xml:space="preserve"> network </w:t>
      </w:r>
      <w:r w:rsidR="00AB1178">
        <w:rPr>
          <w:lang w:eastAsia="en-AU"/>
        </w:rPr>
        <w:t>supports evidence</w:t>
      </w:r>
      <w:r w:rsidR="00ED143D">
        <w:rPr>
          <w:lang w:eastAsia="en-AU"/>
        </w:rPr>
        <w:t>-</w:t>
      </w:r>
      <w:r w:rsidR="00AB1178">
        <w:rPr>
          <w:lang w:eastAsia="en-AU"/>
        </w:rPr>
        <w:t>informed practice and th</w:t>
      </w:r>
      <w:r w:rsidR="00743FA8">
        <w:rPr>
          <w:lang w:eastAsia="en-AU"/>
        </w:rPr>
        <w:t xml:space="preserve">e continuous improvement of services. It also </w:t>
      </w:r>
      <w:r w:rsidR="00031303">
        <w:rPr>
          <w:lang w:eastAsia="en-AU"/>
        </w:rPr>
        <w:t xml:space="preserve">provides a key interface between headspace National, with its </w:t>
      </w:r>
      <w:r w:rsidR="003663C7">
        <w:rPr>
          <w:lang w:eastAsia="en-AU"/>
        </w:rPr>
        <w:t xml:space="preserve">role </w:t>
      </w:r>
      <w:r w:rsidR="00ED0452">
        <w:rPr>
          <w:lang w:eastAsia="en-AU"/>
        </w:rPr>
        <w:t xml:space="preserve">focused on the </w:t>
      </w:r>
      <w:r w:rsidR="0067794B">
        <w:rPr>
          <w:lang w:eastAsia="en-AU"/>
        </w:rPr>
        <w:t xml:space="preserve">headspace </w:t>
      </w:r>
      <w:r w:rsidR="001F2443">
        <w:rPr>
          <w:lang w:eastAsia="en-AU"/>
        </w:rPr>
        <w:t>model</w:t>
      </w:r>
      <w:r w:rsidR="00516CFC">
        <w:rPr>
          <w:lang w:eastAsia="en-AU"/>
        </w:rPr>
        <w:t>,</w:t>
      </w:r>
      <w:r w:rsidR="0067794B">
        <w:rPr>
          <w:lang w:eastAsia="en-AU"/>
        </w:rPr>
        <w:t xml:space="preserve"> and </w:t>
      </w:r>
      <w:r w:rsidR="00516CFC">
        <w:rPr>
          <w:lang w:eastAsia="en-AU"/>
        </w:rPr>
        <w:t xml:space="preserve">PHNs, who focus on </w:t>
      </w:r>
      <w:r w:rsidR="00655001">
        <w:rPr>
          <w:lang w:eastAsia="en-AU"/>
        </w:rPr>
        <w:t>local commissioning of headspace services on behalf of the Commonwealth</w:t>
      </w:r>
      <w:r w:rsidR="00ED143D">
        <w:rPr>
          <w:lang w:eastAsia="en-AU"/>
        </w:rPr>
        <w:t xml:space="preserve"> Government</w:t>
      </w:r>
      <w:r w:rsidR="00655001">
        <w:rPr>
          <w:lang w:eastAsia="en-AU"/>
        </w:rPr>
        <w:t xml:space="preserve">, the primary funder of headspace services in Australia. </w:t>
      </w:r>
    </w:p>
    <w:p w14:paraId="3B84BD8A" w14:textId="7C1E6CB6" w:rsidR="009D7720" w:rsidRDefault="009D7720" w:rsidP="006B7096">
      <w:pPr>
        <w:pStyle w:val="BodyText"/>
        <w:rPr>
          <w:lang w:eastAsia="en-AU"/>
        </w:rPr>
      </w:pPr>
      <w:r>
        <w:rPr>
          <w:lang w:eastAsia="en-AU"/>
        </w:rPr>
        <w:t xml:space="preserve">Stakeholders </w:t>
      </w:r>
      <w:r w:rsidR="00BE369B">
        <w:rPr>
          <w:lang w:eastAsia="en-AU"/>
        </w:rPr>
        <w:t>interviewed</w:t>
      </w:r>
      <w:r>
        <w:rPr>
          <w:lang w:eastAsia="en-AU"/>
        </w:rPr>
        <w:t xml:space="preserve"> </w:t>
      </w:r>
      <w:r w:rsidR="00D55249">
        <w:rPr>
          <w:lang w:eastAsia="en-AU"/>
        </w:rPr>
        <w:t xml:space="preserve">from across the headspace landscape identified tension between </w:t>
      </w:r>
      <w:r w:rsidR="003008D5">
        <w:rPr>
          <w:lang w:eastAsia="en-AU"/>
        </w:rPr>
        <w:t xml:space="preserve">the </w:t>
      </w:r>
      <w:r w:rsidR="0069707A">
        <w:rPr>
          <w:lang w:eastAsia="en-AU"/>
        </w:rPr>
        <w:t>delivery of a nationally consistent model in a regional co</w:t>
      </w:r>
      <w:r w:rsidR="0056025E">
        <w:rPr>
          <w:lang w:eastAsia="en-AU"/>
        </w:rPr>
        <w:t xml:space="preserve">ntext and subsequent impacts on how </w:t>
      </w:r>
      <w:r w:rsidR="00C3012C">
        <w:rPr>
          <w:lang w:eastAsia="en-AU"/>
        </w:rPr>
        <w:t xml:space="preserve">effectively the headspace model meets its objectives. </w:t>
      </w:r>
      <w:r w:rsidR="0056025E">
        <w:rPr>
          <w:lang w:eastAsia="en-AU"/>
        </w:rPr>
        <w:t xml:space="preserve">For example, </w:t>
      </w:r>
      <w:r w:rsidR="00A11CE0">
        <w:rPr>
          <w:lang w:eastAsia="en-AU"/>
        </w:rPr>
        <w:t xml:space="preserve">headspace service providers </w:t>
      </w:r>
      <w:r w:rsidR="00523C37">
        <w:rPr>
          <w:lang w:eastAsia="en-AU"/>
        </w:rPr>
        <w:t xml:space="preserve">are required </w:t>
      </w:r>
      <w:r w:rsidR="00A11CE0">
        <w:rPr>
          <w:lang w:eastAsia="en-AU"/>
        </w:rPr>
        <w:t xml:space="preserve">to satisfy both </w:t>
      </w:r>
      <w:r w:rsidR="004A0DB8">
        <w:rPr>
          <w:lang w:eastAsia="en-AU"/>
        </w:rPr>
        <w:t xml:space="preserve">headspace National and PHN requirements in their operations, </w:t>
      </w:r>
      <w:r w:rsidR="00752FDC">
        <w:rPr>
          <w:lang w:eastAsia="en-AU"/>
        </w:rPr>
        <w:t>which is</w:t>
      </w:r>
      <w:r w:rsidR="004A0DB8">
        <w:rPr>
          <w:lang w:eastAsia="en-AU"/>
        </w:rPr>
        <w:t xml:space="preserve"> an area of challeng</w:t>
      </w:r>
      <w:r w:rsidR="00025780">
        <w:rPr>
          <w:lang w:eastAsia="en-AU"/>
        </w:rPr>
        <w:t>e</w:t>
      </w:r>
      <w:r w:rsidR="004A0DB8">
        <w:rPr>
          <w:lang w:eastAsia="en-AU"/>
        </w:rPr>
        <w:t xml:space="preserve"> for all parties </w:t>
      </w:r>
      <w:r w:rsidR="00E96A07">
        <w:rPr>
          <w:lang w:eastAsia="en-AU"/>
        </w:rPr>
        <w:t xml:space="preserve">as they </w:t>
      </w:r>
      <w:r w:rsidR="00025780">
        <w:rPr>
          <w:lang w:eastAsia="en-AU"/>
        </w:rPr>
        <w:t>negotiate model fidelity and localised service</w:t>
      </w:r>
      <w:r w:rsidR="00E96A07">
        <w:rPr>
          <w:lang w:eastAsia="en-AU"/>
        </w:rPr>
        <w:t xml:space="preserve"> delivery</w:t>
      </w:r>
      <w:r w:rsidR="00025780">
        <w:rPr>
          <w:lang w:eastAsia="en-AU"/>
        </w:rPr>
        <w:t>.</w:t>
      </w:r>
      <w:r w:rsidR="006C12D6">
        <w:rPr>
          <w:lang w:eastAsia="en-AU"/>
        </w:rPr>
        <w:t xml:space="preserve"> </w:t>
      </w:r>
    </w:p>
    <w:p w14:paraId="4C33EF8A" w14:textId="17D4B4E7" w:rsidR="006C09BF" w:rsidRDefault="00B9223B" w:rsidP="006B7096">
      <w:pPr>
        <w:pStyle w:val="BodyText"/>
        <w:rPr>
          <w:lang w:eastAsia="en-AU"/>
        </w:rPr>
      </w:pPr>
      <w:r>
        <w:rPr>
          <w:lang w:eastAsia="en-AU"/>
        </w:rPr>
        <w:t>While</w:t>
      </w:r>
      <w:r w:rsidR="009E2D32">
        <w:rPr>
          <w:lang w:eastAsia="en-AU"/>
        </w:rPr>
        <w:t xml:space="preserve"> </w:t>
      </w:r>
      <w:r w:rsidR="00BE369B">
        <w:rPr>
          <w:lang w:eastAsia="en-AU"/>
        </w:rPr>
        <w:t xml:space="preserve">evidence gathered </w:t>
      </w:r>
      <w:r w:rsidR="00E14235">
        <w:rPr>
          <w:lang w:eastAsia="en-AU"/>
        </w:rPr>
        <w:t xml:space="preserve">during the </w:t>
      </w:r>
      <w:r w:rsidR="009E2D32">
        <w:rPr>
          <w:lang w:eastAsia="en-AU"/>
        </w:rPr>
        <w:t>evaluation</w:t>
      </w:r>
      <w:r>
        <w:rPr>
          <w:lang w:eastAsia="en-AU"/>
        </w:rPr>
        <w:t xml:space="preserve"> suggests that the headspace </w:t>
      </w:r>
      <w:r w:rsidR="001F2443">
        <w:rPr>
          <w:lang w:eastAsia="en-AU"/>
        </w:rPr>
        <w:t>model</w:t>
      </w:r>
      <w:r>
        <w:rPr>
          <w:lang w:eastAsia="en-AU"/>
        </w:rPr>
        <w:t xml:space="preserve"> is generally achieving good outcomes, the </w:t>
      </w:r>
      <w:r w:rsidR="006C09BF">
        <w:rPr>
          <w:lang w:eastAsia="en-AU"/>
        </w:rPr>
        <w:t xml:space="preserve">consequence of this </w:t>
      </w:r>
      <w:r w:rsidR="00875552">
        <w:rPr>
          <w:lang w:eastAsia="en-AU"/>
        </w:rPr>
        <w:t xml:space="preserve">tension between primary stakeholders </w:t>
      </w:r>
      <w:r w:rsidR="006C09BF">
        <w:rPr>
          <w:lang w:eastAsia="en-AU"/>
        </w:rPr>
        <w:t>for headspace services is</w:t>
      </w:r>
      <w:r w:rsidR="008342E0">
        <w:rPr>
          <w:lang w:eastAsia="en-AU"/>
        </w:rPr>
        <w:t xml:space="preserve"> increased</w:t>
      </w:r>
      <w:r w:rsidR="006C09BF">
        <w:rPr>
          <w:lang w:eastAsia="en-AU"/>
        </w:rPr>
        <w:t xml:space="preserve"> administrative burden, </w:t>
      </w:r>
      <w:r w:rsidR="000F57ED">
        <w:rPr>
          <w:lang w:eastAsia="en-AU"/>
        </w:rPr>
        <w:t xml:space="preserve">and </w:t>
      </w:r>
      <w:r w:rsidR="005150AD">
        <w:rPr>
          <w:lang w:eastAsia="en-AU"/>
        </w:rPr>
        <w:t>possibly also</w:t>
      </w:r>
      <w:r w:rsidR="006C09BF">
        <w:rPr>
          <w:lang w:eastAsia="en-AU"/>
        </w:rPr>
        <w:t xml:space="preserve"> reduc</w:t>
      </w:r>
      <w:r w:rsidR="005150AD">
        <w:rPr>
          <w:lang w:eastAsia="en-AU"/>
        </w:rPr>
        <w:t>es</w:t>
      </w:r>
      <w:r w:rsidR="006C09BF">
        <w:rPr>
          <w:lang w:eastAsia="en-AU"/>
        </w:rPr>
        <w:t xml:space="preserve"> the capacity of </w:t>
      </w:r>
      <w:r w:rsidR="00CC75CD">
        <w:rPr>
          <w:lang w:eastAsia="en-AU"/>
        </w:rPr>
        <w:t>service</w:t>
      </w:r>
      <w:r w:rsidR="002A741A">
        <w:rPr>
          <w:lang w:eastAsia="en-AU"/>
        </w:rPr>
        <w:t>s</w:t>
      </w:r>
      <w:r w:rsidR="00CC75CD">
        <w:rPr>
          <w:lang w:eastAsia="en-AU"/>
        </w:rPr>
        <w:t xml:space="preserve"> to meet the needs of young people in a timely </w:t>
      </w:r>
      <w:r w:rsidR="00BF4C16">
        <w:rPr>
          <w:lang w:eastAsia="en-AU"/>
        </w:rPr>
        <w:t xml:space="preserve">and </w:t>
      </w:r>
      <w:r w:rsidR="006C12D6">
        <w:rPr>
          <w:lang w:eastAsia="en-AU"/>
        </w:rPr>
        <w:t xml:space="preserve">tailored </w:t>
      </w:r>
      <w:r w:rsidR="00CC75CD">
        <w:rPr>
          <w:lang w:eastAsia="en-AU"/>
        </w:rPr>
        <w:t>way</w:t>
      </w:r>
      <w:r w:rsidR="00875552">
        <w:rPr>
          <w:lang w:eastAsia="en-AU"/>
        </w:rPr>
        <w:t xml:space="preserve">. </w:t>
      </w:r>
      <w:r w:rsidR="007C47C4">
        <w:rPr>
          <w:lang w:eastAsia="en-AU"/>
        </w:rPr>
        <w:t xml:space="preserve"> </w:t>
      </w:r>
    </w:p>
    <w:p w14:paraId="107FB95D" w14:textId="1F4A264C" w:rsidR="00C30CBB" w:rsidRDefault="00354413" w:rsidP="003941C8">
      <w:pPr>
        <w:pStyle w:val="Heading3"/>
        <w:rPr>
          <w:lang w:eastAsia="en-AU"/>
        </w:rPr>
      </w:pPr>
      <w:r w:rsidRPr="001D6913">
        <w:rPr>
          <w:lang w:eastAsia="en-AU"/>
        </w:rPr>
        <w:t xml:space="preserve">Multi-disciplinary workforce </w:t>
      </w:r>
    </w:p>
    <w:p w14:paraId="23F25BEB" w14:textId="0C7132C8" w:rsidR="00354413" w:rsidRDefault="04457E9E" w:rsidP="00F826B4">
      <w:pPr>
        <w:pStyle w:val="BodyText"/>
        <w:rPr>
          <w:lang w:eastAsia="en-AU"/>
        </w:rPr>
      </w:pPr>
      <w:r w:rsidRPr="7D53CD41">
        <w:rPr>
          <w:lang w:eastAsia="en-AU"/>
        </w:rPr>
        <w:t>headspace's</w:t>
      </w:r>
      <w:r w:rsidR="00F826B4">
        <w:rPr>
          <w:lang w:eastAsia="en-AU"/>
        </w:rPr>
        <w:t xml:space="preserve"> multi</w:t>
      </w:r>
      <w:r w:rsidR="00363D7B">
        <w:rPr>
          <w:lang w:eastAsia="en-AU"/>
        </w:rPr>
        <w:t>-</w:t>
      </w:r>
      <w:r w:rsidR="00F826B4">
        <w:rPr>
          <w:lang w:eastAsia="en-AU"/>
        </w:rPr>
        <w:t xml:space="preserve">disciplinary workforce includes </w:t>
      </w:r>
      <w:r w:rsidR="00354413" w:rsidRPr="00025780">
        <w:rPr>
          <w:lang w:eastAsia="en-AU"/>
        </w:rPr>
        <w:t>clinical and non-clinical workers required from a range of disciplines and backgrounds – with the right knowledge, skills and expertise – who work together to holistically meet the mental health and wellbeing needs of young people, and their families and friends, within the local community</w:t>
      </w:r>
      <w:r w:rsidR="00354413">
        <w:rPr>
          <w:lang w:eastAsia="en-AU"/>
        </w:rPr>
        <w:t>.</w:t>
      </w:r>
    </w:p>
    <w:p w14:paraId="6A0BC3A1" w14:textId="66B28459" w:rsidR="00062FDD" w:rsidRDefault="0001589B" w:rsidP="006B7096">
      <w:pPr>
        <w:pStyle w:val="BodyText"/>
        <w:rPr>
          <w:lang w:eastAsia="en-AU"/>
        </w:rPr>
      </w:pPr>
      <w:r>
        <w:rPr>
          <w:lang w:eastAsia="en-AU"/>
        </w:rPr>
        <w:t>Attracting and retaining a multi-disciplinary workforce is a critical enabler of the headspace model, and a</w:t>
      </w:r>
      <w:r w:rsidR="008F2457">
        <w:rPr>
          <w:lang w:eastAsia="en-AU"/>
        </w:rPr>
        <w:t xml:space="preserve"> consistent </w:t>
      </w:r>
      <w:r>
        <w:rPr>
          <w:lang w:eastAsia="en-AU"/>
        </w:rPr>
        <w:t xml:space="preserve">area of </w:t>
      </w:r>
      <w:r w:rsidR="008F2457">
        <w:rPr>
          <w:lang w:eastAsia="en-AU"/>
        </w:rPr>
        <w:t xml:space="preserve">challenge for headspace service providers. Difficulties in competing with </w:t>
      </w:r>
      <w:r w:rsidR="00BE1704">
        <w:rPr>
          <w:lang w:eastAsia="en-AU"/>
        </w:rPr>
        <w:t>income</w:t>
      </w:r>
      <w:r w:rsidR="00527CD2">
        <w:rPr>
          <w:lang w:eastAsia="en-AU"/>
        </w:rPr>
        <w:t xml:space="preserve"> offered </w:t>
      </w:r>
      <w:r w:rsidR="00BE1704">
        <w:rPr>
          <w:lang w:eastAsia="en-AU"/>
        </w:rPr>
        <w:t>through</w:t>
      </w:r>
      <w:r w:rsidR="006A06E0">
        <w:rPr>
          <w:lang w:eastAsia="en-AU"/>
        </w:rPr>
        <w:t xml:space="preserve"> private psychology clinics </w:t>
      </w:r>
      <w:r w:rsidR="004A54BB">
        <w:rPr>
          <w:lang w:eastAsia="en-AU"/>
        </w:rPr>
        <w:t xml:space="preserve">or CYMHS </w:t>
      </w:r>
      <w:r w:rsidR="006A06E0">
        <w:rPr>
          <w:lang w:eastAsia="en-AU"/>
        </w:rPr>
        <w:t xml:space="preserve">mean that </w:t>
      </w:r>
      <w:r w:rsidR="00527CD2">
        <w:rPr>
          <w:lang w:eastAsia="en-AU"/>
        </w:rPr>
        <w:t>headspace</w:t>
      </w:r>
      <w:r w:rsidR="00076D4E">
        <w:rPr>
          <w:lang w:eastAsia="en-AU"/>
        </w:rPr>
        <w:t xml:space="preserve"> services struggle to attract and retain</w:t>
      </w:r>
      <w:r w:rsidR="00527CD2">
        <w:rPr>
          <w:lang w:eastAsia="en-AU"/>
        </w:rPr>
        <w:t xml:space="preserve"> </w:t>
      </w:r>
      <w:r w:rsidR="00326633">
        <w:rPr>
          <w:lang w:eastAsia="en-AU"/>
        </w:rPr>
        <w:t>clinicians</w:t>
      </w:r>
      <w:r w:rsidR="00076D4E">
        <w:rPr>
          <w:lang w:eastAsia="en-AU"/>
        </w:rPr>
        <w:t>.</w:t>
      </w:r>
      <w:r w:rsidR="00326633">
        <w:rPr>
          <w:lang w:eastAsia="en-AU"/>
        </w:rPr>
        <w:t xml:space="preserve"> </w:t>
      </w:r>
      <w:r w:rsidR="00076D4E">
        <w:rPr>
          <w:lang w:eastAsia="en-AU"/>
        </w:rPr>
        <w:t>O</w:t>
      </w:r>
      <w:r w:rsidR="00326633">
        <w:rPr>
          <w:lang w:eastAsia="en-AU"/>
        </w:rPr>
        <w:t>ften</w:t>
      </w:r>
      <w:r w:rsidR="009E6DB0">
        <w:rPr>
          <w:lang w:eastAsia="en-AU"/>
        </w:rPr>
        <w:t>,</w:t>
      </w:r>
      <w:r w:rsidR="00076D4E">
        <w:rPr>
          <w:lang w:eastAsia="en-AU"/>
        </w:rPr>
        <w:t xml:space="preserve"> headspace clinic</w:t>
      </w:r>
      <w:r w:rsidR="00D62F87">
        <w:rPr>
          <w:lang w:eastAsia="en-AU"/>
        </w:rPr>
        <w:t>i</w:t>
      </w:r>
      <w:r w:rsidR="00076D4E">
        <w:rPr>
          <w:lang w:eastAsia="en-AU"/>
        </w:rPr>
        <w:t>ans are</w:t>
      </w:r>
      <w:r w:rsidR="00326633">
        <w:rPr>
          <w:lang w:eastAsia="en-AU"/>
        </w:rPr>
        <w:t xml:space="preserve"> early </w:t>
      </w:r>
      <w:r w:rsidR="009A41D9">
        <w:rPr>
          <w:lang w:eastAsia="en-AU"/>
        </w:rPr>
        <w:t xml:space="preserve">in their </w:t>
      </w:r>
      <w:r w:rsidR="00326633">
        <w:rPr>
          <w:lang w:eastAsia="en-AU"/>
        </w:rPr>
        <w:t>career, and pass</w:t>
      </w:r>
      <w:r w:rsidR="391210FA" w:rsidRPr="7D53CD41">
        <w:rPr>
          <w:lang w:eastAsia="en-AU"/>
        </w:rPr>
        <w:t>-through</w:t>
      </w:r>
      <w:r w:rsidR="00326633">
        <w:rPr>
          <w:lang w:eastAsia="en-AU"/>
        </w:rPr>
        <w:t xml:space="preserve"> headspace </w:t>
      </w:r>
      <w:r w:rsidR="00076D4E">
        <w:rPr>
          <w:lang w:eastAsia="en-AU"/>
        </w:rPr>
        <w:t>services</w:t>
      </w:r>
      <w:r w:rsidR="00326633">
        <w:rPr>
          <w:lang w:eastAsia="en-AU"/>
        </w:rPr>
        <w:t xml:space="preserve"> </w:t>
      </w:r>
      <w:r w:rsidR="00527CD2">
        <w:rPr>
          <w:lang w:eastAsia="en-AU"/>
        </w:rPr>
        <w:t>on</w:t>
      </w:r>
      <w:r w:rsidR="009E6DB0">
        <w:rPr>
          <w:lang w:eastAsia="en-AU"/>
        </w:rPr>
        <w:t xml:space="preserve"> </w:t>
      </w:r>
      <w:r w:rsidR="00326633">
        <w:rPr>
          <w:lang w:eastAsia="en-AU"/>
        </w:rPr>
        <w:t xml:space="preserve">to better pay and </w:t>
      </w:r>
      <w:r w:rsidR="009910E2">
        <w:rPr>
          <w:lang w:eastAsia="en-AU"/>
        </w:rPr>
        <w:t xml:space="preserve">longer tenure </w:t>
      </w:r>
      <w:r w:rsidR="00326633">
        <w:rPr>
          <w:lang w:eastAsia="en-AU"/>
        </w:rPr>
        <w:t xml:space="preserve">after a few years. </w:t>
      </w:r>
      <w:r w:rsidR="00F313E5">
        <w:rPr>
          <w:lang w:eastAsia="en-AU"/>
        </w:rPr>
        <w:t>Similar</w:t>
      </w:r>
      <w:r w:rsidR="00380586">
        <w:rPr>
          <w:lang w:eastAsia="en-AU"/>
        </w:rPr>
        <w:t xml:space="preserve"> difficulties</w:t>
      </w:r>
      <w:r w:rsidR="00D26E48">
        <w:rPr>
          <w:lang w:eastAsia="en-AU"/>
        </w:rPr>
        <w:t xml:space="preserve"> are seen</w:t>
      </w:r>
      <w:r w:rsidR="00380586">
        <w:rPr>
          <w:lang w:eastAsia="en-AU"/>
        </w:rPr>
        <w:t xml:space="preserve"> with recruitment and retention </w:t>
      </w:r>
      <w:r w:rsidR="00074139">
        <w:rPr>
          <w:lang w:eastAsia="en-AU"/>
        </w:rPr>
        <w:t>of GPs</w:t>
      </w:r>
      <w:r w:rsidR="007B144E">
        <w:rPr>
          <w:lang w:eastAsia="en-AU"/>
        </w:rPr>
        <w:t>.</w:t>
      </w:r>
      <w:r w:rsidR="00300700">
        <w:rPr>
          <w:lang w:eastAsia="en-AU"/>
        </w:rPr>
        <w:t xml:space="preserve"> </w:t>
      </w:r>
    </w:p>
    <w:p w14:paraId="3E0866FD" w14:textId="79FB7FF5" w:rsidR="00572214" w:rsidRDefault="00237FD9" w:rsidP="00572214">
      <w:pPr>
        <w:pStyle w:val="BodyText"/>
        <w:rPr>
          <w:lang w:eastAsia="en-AU"/>
        </w:rPr>
      </w:pPr>
      <w:r>
        <w:rPr>
          <w:lang w:eastAsia="en-AU"/>
        </w:rPr>
        <w:t>While the headspace model is designed to support young people with mild to moderate</w:t>
      </w:r>
      <w:r w:rsidR="00DC50F7">
        <w:rPr>
          <w:lang w:eastAsia="en-AU"/>
        </w:rPr>
        <w:t>,</w:t>
      </w:r>
      <w:r>
        <w:rPr>
          <w:lang w:eastAsia="en-AU"/>
        </w:rPr>
        <w:t xml:space="preserve"> high</w:t>
      </w:r>
      <w:r w:rsidR="00DC50F7">
        <w:rPr>
          <w:lang w:eastAsia="en-AU"/>
        </w:rPr>
        <w:noBreakHyphen/>
      </w:r>
      <w:r>
        <w:rPr>
          <w:lang w:eastAsia="en-AU"/>
        </w:rPr>
        <w:t xml:space="preserve">prevalence </w:t>
      </w:r>
      <w:r w:rsidR="004B4565">
        <w:rPr>
          <w:lang w:eastAsia="en-AU"/>
        </w:rPr>
        <w:t>mental health</w:t>
      </w:r>
      <w:r w:rsidR="00914941">
        <w:rPr>
          <w:lang w:eastAsia="en-AU"/>
        </w:rPr>
        <w:t xml:space="preserve"> </w:t>
      </w:r>
      <w:r>
        <w:rPr>
          <w:lang w:eastAsia="en-AU"/>
        </w:rPr>
        <w:t xml:space="preserve">conditions, </w:t>
      </w:r>
      <w:r w:rsidR="00B508F6">
        <w:rPr>
          <w:lang w:eastAsia="en-AU"/>
        </w:rPr>
        <w:t>a consistent</w:t>
      </w:r>
      <w:r w:rsidR="00C54A6E">
        <w:rPr>
          <w:lang w:eastAsia="en-AU"/>
        </w:rPr>
        <w:t xml:space="preserve"> and</w:t>
      </w:r>
      <w:r w:rsidR="00B508F6">
        <w:rPr>
          <w:lang w:eastAsia="en-AU"/>
        </w:rPr>
        <w:t xml:space="preserve"> substantial proportion of young people attending headspace have multiple risk factor</w:t>
      </w:r>
      <w:r w:rsidR="00B135DC">
        <w:rPr>
          <w:lang w:eastAsia="en-AU"/>
        </w:rPr>
        <w:t>s alongside mental illness</w:t>
      </w:r>
      <w:r w:rsidR="00862D6A">
        <w:rPr>
          <w:lang w:eastAsia="en-AU"/>
        </w:rPr>
        <w:t xml:space="preserve">. </w:t>
      </w:r>
      <w:r w:rsidR="00C54A6E">
        <w:rPr>
          <w:lang w:eastAsia="en-AU"/>
        </w:rPr>
        <w:t>W</w:t>
      </w:r>
      <w:r w:rsidR="00B135DC">
        <w:rPr>
          <w:lang w:eastAsia="en-AU"/>
        </w:rPr>
        <w:t xml:space="preserve">ith limited referral pathways to </w:t>
      </w:r>
      <w:r w:rsidR="00AD1B11">
        <w:rPr>
          <w:lang w:eastAsia="en-AU"/>
        </w:rPr>
        <w:t xml:space="preserve">specialist or tertiary mental health services, headspace services are challenged to meet the needs of these young people </w:t>
      </w:r>
      <w:r w:rsidR="005A40E6">
        <w:rPr>
          <w:lang w:eastAsia="en-AU"/>
        </w:rPr>
        <w:t xml:space="preserve">in-house. </w:t>
      </w:r>
      <w:r w:rsidR="00494A85">
        <w:rPr>
          <w:lang w:eastAsia="en-AU"/>
        </w:rPr>
        <w:t xml:space="preserve">The </w:t>
      </w:r>
      <w:r w:rsidR="00610765">
        <w:rPr>
          <w:lang w:eastAsia="en-AU"/>
        </w:rPr>
        <w:t>higher prevalence of</w:t>
      </w:r>
      <w:r w:rsidR="00494A85">
        <w:rPr>
          <w:lang w:eastAsia="en-AU"/>
        </w:rPr>
        <w:t xml:space="preserve"> early career clinicians </w:t>
      </w:r>
      <w:r w:rsidR="00610765">
        <w:rPr>
          <w:lang w:eastAsia="en-AU"/>
        </w:rPr>
        <w:t xml:space="preserve">employed within headspace </w:t>
      </w:r>
      <w:r w:rsidR="00776BFE">
        <w:rPr>
          <w:lang w:eastAsia="en-AU"/>
        </w:rPr>
        <w:t xml:space="preserve">can lead to </w:t>
      </w:r>
      <w:r w:rsidR="00D90A2D">
        <w:rPr>
          <w:lang w:eastAsia="en-AU"/>
        </w:rPr>
        <w:t xml:space="preserve">reduced </w:t>
      </w:r>
      <w:r w:rsidR="0020485C">
        <w:rPr>
          <w:lang w:eastAsia="en-AU"/>
        </w:rPr>
        <w:t>expertise and</w:t>
      </w:r>
      <w:r w:rsidR="00D90A2D">
        <w:rPr>
          <w:lang w:eastAsia="en-AU"/>
        </w:rPr>
        <w:t xml:space="preserve"> capacity to respond to these young people with </w:t>
      </w:r>
      <w:r w:rsidR="00772A1A">
        <w:rPr>
          <w:lang w:eastAsia="en-AU"/>
        </w:rPr>
        <w:t>higher</w:t>
      </w:r>
      <w:r w:rsidR="00FB7031">
        <w:rPr>
          <w:lang w:eastAsia="en-AU"/>
        </w:rPr>
        <w:t xml:space="preserve"> needs.</w:t>
      </w:r>
      <w:r w:rsidR="00CE0847">
        <w:rPr>
          <w:lang w:eastAsia="en-AU"/>
        </w:rPr>
        <w:t xml:space="preserve"> </w:t>
      </w:r>
      <w:r w:rsidR="00DE79EC">
        <w:rPr>
          <w:lang w:eastAsia="en-AU"/>
        </w:rPr>
        <w:t xml:space="preserve">This </w:t>
      </w:r>
      <w:r w:rsidR="00FB7031">
        <w:rPr>
          <w:lang w:eastAsia="en-AU"/>
        </w:rPr>
        <w:t xml:space="preserve">also </w:t>
      </w:r>
      <w:r w:rsidR="00DE79EC">
        <w:rPr>
          <w:lang w:eastAsia="en-AU"/>
        </w:rPr>
        <w:t xml:space="preserve">has </w:t>
      </w:r>
      <w:r w:rsidR="00083D5D">
        <w:rPr>
          <w:lang w:eastAsia="en-AU"/>
        </w:rPr>
        <w:t>subsequent</w:t>
      </w:r>
      <w:r w:rsidR="006D3BC2">
        <w:rPr>
          <w:lang w:eastAsia="en-AU"/>
        </w:rPr>
        <w:t xml:space="preserve"> impact</w:t>
      </w:r>
      <w:r w:rsidR="00DE79EC">
        <w:rPr>
          <w:lang w:eastAsia="en-AU"/>
        </w:rPr>
        <w:t>s</w:t>
      </w:r>
      <w:r w:rsidR="006D3BC2">
        <w:rPr>
          <w:lang w:eastAsia="en-AU"/>
        </w:rPr>
        <w:t xml:space="preserve"> </w:t>
      </w:r>
      <w:r w:rsidR="00FE0A92">
        <w:rPr>
          <w:lang w:eastAsia="en-AU"/>
        </w:rPr>
        <w:t xml:space="preserve">on </w:t>
      </w:r>
      <w:r w:rsidR="2D0AD7D2">
        <w:rPr>
          <w:lang w:eastAsia="en-AU"/>
        </w:rPr>
        <w:t>workflow</w:t>
      </w:r>
      <w:r w:rsidR="00503389">
        <w:rPr>
          <w:lang w:eastAsia="en-AU"/>
        </w:rPr>
        <w:t>,</w:t>
      </w:r>
      <w:r w:rsidR="00FE0A92">
        <w:rPr>
          <w:lang w:eastAsia="en-AU"/>
        </w:rPr>
        <w:t xml:space="preserve"> </w:t>
      </w:r>
      <w:r w:rsidR="005C4468">
        <w:rPr>
          <w:lang w:eastAsia="en-AU"/>
        </w:rPr>
        <w:t>such as</w:t>
      </w:r>
      <w:r w:rsidR="00C444CE">
        <w:rPr>
          <w:lang w:eastAsia="en-AU"/>
        </w:rPr>
        <w:t xml:space="preserve"> increase</w:t>
      </w:r>
      <w:r w:rsidR="005C4468">
        <w:rPr>
          <w:lang w:eastAsia="en-AU"/>
        </w:rPr>
        <w:t>d</w:t>
      </w:r>
      <w:r w:rsidR="006D3BC2">
        <w:rPr>
          <w:lang w:eastAsia="en-AU"/>
        </w:rPr>
        <w:t xml:space="preserve"> waiting times for young people to see a clinician at headspace</w:t>
      </w:r>
      <w:r w:rsidR="00A56800">
        <w:rPr>
          <w:lang w:eastAsia="en-AU"/>
        </w:rPr>
        <w:t>,</w:t>
      </w:r>
      <w:r w:rsidR="00B01B44">
        <w:rPr>
          <w:lang w:eastAsia="en-AU"/>
        </w:rPr>
        <w:t xml:space="preserve"> leading to reduced capacity to </w:t>
      </w:r>
      <w:r w:rsidR="00B14271">
        <w:rPr>
          <w:lang w:eastAsia="en-AU"/>
        </w:rPr>
        <w:t xml:space="preserve">undertake community engagement and </w:t>
      </w:r>
      <w:r w:rsidR="00A1020C">
        <w:rPr>
          <w:lang w:eastAsia="en-AU"/>
        </w:rPr>
        <w:t>engage with young people with milder presentations</w:t>
      </w:r>
      <w:r w:rsidR="00C444CE">
        <w:rPr>
          <w:lang w:eastAsia="en-AU"/>
        </w:rPr>
        <w:t>.</w:t>
      </w:r>
      <w:r w:rsidR="006D3BC2">
        <w:rPr>
          <w:lang w:eastAsia="en-AU"/>
        </w:rPr>
        <w:t xml:space="preserve"> </w:t>
      </w:r>
      <w:r w:rsidR="00F52079">
        <w:rPr>
          <w:lang w:eastAsia="en-AU"/>
        </w:rPr>
        <w:t>With a</w:t>
      </w:r>
      <w:r w:rsidR="00572214">
        <w:rPr>
          <w:lang w:eastAsia="en-AU"/>
        </w:rPr>
        <w:t xml:space="preserve"> less experienced workforce</w:t>
      </w:r>
      <w:r w:rsidR="00F52079">
        <w:rPr>
          <w:lang w:eastAsia="en-AU"/>
        </w:rPr>
        <w:t xml:space="preserve">, </w:t>
      </w:r>
      <w:r w:rsidR="004B33C0">
        <w:rPr>
          <w:lang w:eastAsia="en-AU"/>
        </w:rPr>
        <w:t>the continuous investment of resources into</w:t>
      </w:r>
      <w:r w:rsidR="00F52079">
        <w:rPr>
          <w:lang w:eastAsia="en-AU"/>
        </w:rPr>
        <w:t xml:space="preserve"> </w:t>
      </w:r>
      <w:r w:rsidR="00572214">
        <w:rPr>
          <w:lang w:eastAsia="en-AU"/>
        </w:rPr>
        <w:t xml:space="preserve">robust clinical governance </w:t>
      </w:r>
      <w:r w:rsidR="004B33C0">
        <w:rPr>
          <w:lang w:eastAsia="en-AU"/>
        </w:rPr>
        <w:t xml:space="preserve">is </w:t>
      </w:r>
      <w:r w:rsidR="00D92916">
        <w:rPr>
          <w:lang w:eastAsia="en-AU"/>
        </w:rPr>
        <w:t xml:space="preserve">also </w:t>
      </w:r>
      <w:r w:rsidR="004B33C0">
        <w:rPr>
          <w:lang w:eastAsia="en-AU"/>
        </w:rPr>
        <w:t xml:space="preserve">an ongoing area of effort required for headspace services and lead agencies. </w:t>
      </w:r>
      <w:r w:rsidR="00595BDD">
        <w:rPr>
          <w:lang w:eastAsia="en-AU"/>
        </w:rPr>
        <w:t xml:space="preserve"> </w:t>
      </w:r>
      <w:r w:rsidR="00FE23EA">
        <w:rPr>
          <w:lang w:eastAsia="en-AU"/>
        </w:rPr>
        <w:t xml:space="preserve"> </w:t>
      </w:r>
    </w:p>
    <w:p w14:paraId="773178CC" w14:textId="77777777" w:rsidR="00C30CBB" w:rsidRDefault="00CE0341" w:rsidP="003941C8">
      <w:pPr>
        <w:pStyle w:val="Heading3"/>
        <w:rPr>
          <w:lang w:eastAsia="en-AU"/>
        </w:rPr>
      </w:pPr>
      <w:r w:rsidRPr="001D6913">
        <w:rPr>
          <w:lang w:eastAsia="en-AU"/>
        </w:rPr>
        <w:t xml:space="preserve">Blended funding </w:t>
      </w:r>
    </w:p>
    <w:p w14:paraId="5EE9566A" w14:textId="1A587674" w:rsidR="00CE0341" w:rsidRDefault="00F826B4" w:rsidP="00F826B4">
      <w:pPr>
        <w:pStyle w:val="BodyText"/>
        <w:rPr>
          <w:lang w:eastAsia="en-AU"/>
        </w:rPr>
      </w:pPr>
      <w:r>
        <w:rPr>
          <w:lang w:eastAsia="en-AU"/>
        </w:rPr>
        <w:t>The headspace model uses</w:t>
      </w:r>
      <w:r w:rsidR="00CE0341" w:rsidRPr="00C444CE">
        <w:rPr>
          <w:lang w:eastAsia="en-AU"/>
        </w:rPr>
        <w:t xml:space="preserve"> multiple funding streams and in-kind contributions to increase income diversity, flexibility and sustainability of the service in accordance with the needs of the headspace service, young people and their community to ensure access to no or low-cost services.</w:t>
      </w:r>
    </w:p>
    <w:p w14:paraId="1C20C64A" w14:textId="3E713B7F" w:rsidR="00C444CE" w:rsidRDefault="00C444CE" w:rsidP="006B7096">
      <w:pPr>
        <w:pStyle w:val="BodyText"/>
        <w:rPr>
          <w:lang w:eastAsia="en-AU"/>
        </w:rPr>
      </w:pPr>
      <w:r>
        <w:rPr>
          <w:lang w:eastAsia="en-AU"/>
        </w:rPr>
        <w:t xml:space="preserve">The </w:t>
      </w:r>
      <w:r w:rsidR="00FD10EC">
        <w:rPr>
          <w:lang w:eastAsia="en-AU"/>
        </w:rPr>
        <w:t xml:space="preserve">use of blended funding to support the headspace model </w:t>
      </w:r>
      <w:r w:rsidR="00275B86">
        <w:rPr>
          <w:lang w:eastAsia="en-AU"/>
        </w:rPr>
        <w:t>means that private practi</w:t>
      </w:r>
      <w:r w:rsidR="00B7733A">
        <w:rPr>
          <w:lang w:eastAsia="en-AU"/>
        </w:rPr>
        <w:t>ti</w:t>
      </w:r>
      <w:r w:rsidR="00275B86">
        <w:rPr>
          <w:lang w:eastAsia="en-AU"/>
        </w:rPr>
        <w:t xml:space="preserve">oners who charge to the MBS are working alongside salaried staff who are funded through the headspace core grant. This funding model has the advantage of supporting a variety of multi-disciplinary workers who are able to charge to the MBS, including GPs, psychiatrists and psychologists, and </w:t>
      </w:r>
      <w:r w:rsidR="00A9603C">
        <w:rPr>
          <w:lang w:eastAsia="en-AU"/>
        </w:rPr>
        <w:t>incentivise</w:t>
      </w:r>
      <w:r w:rsidR="00496DE3">
        <w:rPr>
          <w:lang w:eastAsia="en-AU"/>
        </w:rPr>
        <w:t xml:space="preserve">s a high volume of </w:t>
      </w:r>
      <w:r w:rsidR="00B819F9">
        <w:rPr>
          <w:lang w:eastAsia="en-AU"/>
        </w:rPr>
        <w:t>service delivery.</w:t>
      </w:r>
    </w:p>
    <w:p w14:paraId="1233612E" w14:textId="762DDB32" w:rsidR="00F3751F" w:rsidRDefault="00F006BD" w:rsidP="006B7096">
      <w:pPr>
        <w:pStyle w:val="BodyText"/>
      </w:pPr>
      <w:r>
        <w:rPr>
          <w:lang w:eastAsia="en-AU"/>
        </w:rPr>
        <w:t>At the same time, f</w:t>
      </w:r>
      <w:r w:rsidR="00B819F9">
        <w:rPr>
          <w:lang w:eastAsia="en-AU"/>
        </w:rPr>
        <w:t xml:space="preserve">or many </w:t>
      </w:r>
      <w:r w:rsidR="00FC61B4">
        <w:rPr>
          <w:lang w:eastAsia="en-AU"/>
        </w:rPr>
        <w:t>services</w:t>
      </w:r>
      <w:r w:rsidR="00B819F9">
        <w:rPr>
          <w:lang w:eastAsia="en-AU"/>
        </w:rPr>
        <w:t xml:space="preserve"> in non-metropolitan areas, </w:t>
      </w:r>
      <w:r w:rsidR="007F0A0A">
        <w:rPr>
          <w:lang w:eastAsia="en-AU"/>
        </w:rPr>
        <w:t xml:space="preserve">local workforce shortages mean </w:t>
      </w:r>
      <w:r w:rsidR="00B819F9">
        <w:rPr>
          <w:lang w:eastAsia="en-AU"/>
        </w:rPr>
        <w:t xml:space="preserve">the MBS model is not </w:t>
      </w:r>
      <w:r w:rsidR="007F0A0A">
        <w:rPr>
          <w:lang w:eastAsia="en-AU"/>
        </w:rPr>
        <w:t xml:space="preserve">viable. Rural and regional services describe using their core headspace grant to fund salaried clinicians, and then </w:t>
      </w:r>
      <w:r w:rsidR="008657FD">
        <w:rPr>
          <w:lang w:eastAsia="en-AU"/>
        </w:rPr>
        <w:t>struggle to resource other key roles</w:t>
      </w:r>
      <w:r w:rsidR="009A3766">
        <w:rPr>
          <w:lang w:eastAsia="en-AU"/>
        </w:rPr>
        <w:t>,</w:t>
      </w:r>
      <w:r w:rsidR="008657FD">
        <w:rPr>
          <w:lang w:eastAsia="en-AU"/>
        </w:rPr>
        <w:t xml:space="preserve"> such as community engagement</w:t>
      </w:r>
      <w:r w:rsidR="00791316">
        <w:rPr>
          <w:lang w:eastAsia="en-AU"/>
        </w:rPr>
        <w:t xml:space="preserve"> officers and</w:t>
      </w:r>
      <w:r w:rsidR="008657FD">
        <w:rPr>
          <w:lang w:eastAsia="en-AU"/>
        </w:rPr>
        <w:t xml:space="preserve"> case manage</w:t>
      </w:r>
      <w:r w:rsidR="00791316">
        <w:rPr>
          <w:lang w:eastAsia="en-AU"/>
        </w:rPr>
        <w:t>rs</w:t>
      </w:r>
      <w:r w:rsidR="007763B9">
        <w:rPr>
          <w:lang w:eastAsia="en-AU"/>
        </w:rPr>
        <w:t>.</w:t>
      </w:r>
      <w:r w:rsidR="006318D6">
        <w:rPr>
          <w:lang w:eastAsia="en-AU"/>
        </w:rPr>
        <w:t xml:space="preserve"> This is borne out by findings in Chapter </w:t>
      </w:r>
      <w:r w:rsidR="00B53DFF">
        <w:rPr>
          <w:lang w:eastAsia="en-AU"/>
        </w:rPr>
        <w:fldChar w:fldCharType="begin" w:fldLock="1"/>
      </w:r>
      <w:r w:rsidR="00B53DFF">
        <w:rPr>
          <w:lang w:eastAsia="en-AU"/>
        </w:rPr>
        <w:instrText xml:space="preserve"> REF _Ref80734546 \w \h </w:instrText>
      </w:r>
      <w:r w:rsidR="00B53DFF">
        <w:rPr>
          <w:lang w:eastAsia="en-AU"/>
        </w:rPr>
      </w:r>
      <w:r w:rsidR="00B53DFF">
        <w:rPr>
          <w:lang w:eastAsia="en-AU"/>
        </w:rPr>
        <w:fldChar w:fldCharType="separate"/>
      </w:r>
      <w:r w:rsidR="00AE4D34">
        <w:rPr>
          <w:lang w:eastAsia="en-AU"/>
        </w:rPr>
        <w:t>4</w:t>
      </w:r>
      <w:r w:rsidR="00B53DFF">
        <w:rPr>
          <w:lang w:eastAsia="en-AU"/>
        </w:rPr>
        <w:fldChar w:fldCharType="end"/>
      </w:r>
      <w:r w:rsidR="006318D6">
        <w:rPr>
          <w:lang w:eastAsia="en-AU"/>
        </w:rPr>
        <w:t xml:space="preserve"> </w:t>
      </w:r>
      <w:r w:rsidR="00595F84">
        <w:rPr>
          <w:lang w:eastAsia="en-AU"/>
        </w:rPr>
        <w:t>which found that while</w:t>
      </w:r>
      <w:r w:rsidR="009A3766">
        <w:rPr>
          <w:lang w:eastAsia="en-AU"/>
        </w:rPr>
        <w:t>,</w:t>
      </w:r>
      <w:r w:rsidR="00F3751F">
        <w:t xml:space="preserve"> in general, services deliver a similar level of average improvement per episode</w:t>
      </w:r>
      <w:r w:rsidR="00595F84">
        <w:t>,</w:t>
      </w:r>
      <w:r w:rsidR="00F3751F">
        <w:t xml:space="preserve"> the cost of delivering that improvement can vary widely. </w:t>
      </w:r>
      <w:r w:rsidR="004E2421">
        <w:t>In addition, the MBS billing model results in headspace services not being able to bill fo</w:t>
      </w:r>
      <w:r w:rsidR="00CC1124">
        <w:t>r core parts of service delivery, including case management, work with a young person’s family, and missed appointments where young people do not attend</w:t>
      </w:r>
      <w:r w:rsidR="00A41629">
        <w:t>.</w:t>
      </w:r>
      <w:r w:rsidR="00CC1124">
        <w:t xml:space="preserve"> </w:t>
      </w:r>
    </w:p>
    <w:p w14:paraId="7A456610" w14:textId="5C7DB667" w:rsidR="00714FA5" w:rsidRPr="00C444CE" w:rsidRDefault="00714FA5" w:rsidP="006B7096">
      <w:pPr>
        <w:pStyle w:val="BodyText"/>
        <w:rPr>
          <w:b/>
          <w:lang w:eastAsia="en-AU"/>
        </w:rPr>
      </w:pPr>
      <w:r>
        <w:t>The</w:t>
      </w:r>
      <w:r w:rsidR="00FF657D">
        <w:t xml:space="preserve"> </w:t>
      </w:r>
      <w:r w:rsidR="00BE446A">
        <w:t>pressures on headspace servi</w:t>
      </w:r>
      <w:r w:rsidR="004108C3">
        <w:t>c</w:t>
      </w:r>
      <w:r w:rsidR="00BE446A">
        <w:t>es to utilise gran</w:t>
      </w:r>
      <w:r w:rsidR="00C216E0">
        <w:t>t</w:t>
      </w:r>
      <w:r w:rsidR="00BE446A">
        <w:t xml:space="preserve"> funding </w:t>
      </w:r>
      <w:r w:rsidR="00082F54">
        <w:t xml:space="preserve">for clinical services impacts their </w:t>
      </w:r>
      <w:r w:rsidR="00672320">
        <w:t xml:space="preserve">capacity to </w:t>
      </w:r>
      <w:r w:rsidR="005D5599">
        <w:t>prioritise other</w:t>
      </w:r>
      <w:r w:rsidR="00825DF8">
        <w:t xml:space="preserve"> components of the model, particular</w:t>
      </w:r>
      <w:r w:rsidR="00940D88">
        <w:t>l</w:t>
      </w:r>
      <w:r w:rsidR="00825DF8">
        <w:t xml:space="preserve">y </w:t>
      </w:r>
      <w:r w:rsidR="005D5599">
        <w:t>case coordination</w:t>
      </w:r>
      <w:r w:rsidR="00923E90">
        <w:t>, referral, community awareness and engagement activities</w:t>
      </w:r>
      <w:r w:rsidR="007D18CF">
        <w:t xml:space="preserve"> and </w:t>
      </w:r>
      <w:r w:rsidR="00A60537">
        <w:t>support</w:t>
      </w:r>
      <w:r w:rsidR="007D18CF">
        <w:t xml:space="preserve"> for</w:t>
      </w:r>
      <w:r w:rsidR="00A60537">
        <w:t xml:space="preserve"> young people presenting with </w:t>
      </w:r>
      <w:r w:rsidR="00637999">
        <w:t>more complex</w:t>
      </w:r>
      <w:r w:rsidR="00A60537">
        <w:t xml:space="preserve"> conditions</w:t>
      </w:r>
      <w:r w:rsidR="007D18CF">
        <w:t>. Th</w:t>
      </w:r>
      <w:r w:rsidR="001A0256">
        <w:t>is results in</w:t>
      </w:r>
      <w:r w:rsidR="00E1746D">
        <w:t xml:space="preserve"> </w:t>
      </w:r>
      <w:r w:rsidR="002F2D32">
        <w:t>a</w:t>
      </w:r>
      <w:r w:rsidR="00E1746D">
        <w:t xml:space="preserve"> re</w:t>
      </w:r>
      <w:r>
        <w:t>duced impact on mental health literacy, early help seeking and stigma reduction</w:t>
      </w:r>
      <w:r w:rsidR="00317455">
        <w:t xml:space="preserve"> and increased wait times</w:t>
      </w:r>
      <w:r w:rsidR="00E1746D" w:rsidDel="00645CB0">
        <w:t>.</w:t>
      </w:r>
    </w:p>
    <w:p w14:paraId="37DB0C9D" w14:textId="77777777" w:rsidR="00C30CBB" w:rsidRDefault="00CE0341" w:rsidP="003941C8">
      <w:pPr>
        <w:pStyle w:val="Heading3"/>
        <w:rPr>
          <w:lang w:eastAsia="en-AU"/>
        </w:rPr>
      </w:pPr>
      <w:r w:rsidRPr="001D6913">
        <w:rPr>
          <w:lang w:eastAsia="en-AU"/>
        </w:rPr>
        <w:t xml:space="preserve">Monitoring and evaluation </w:t>
      </w:r>
    </w:p>
    <w:p w14:paraId="38A4FCE5" w14:textId="5D2D4632" w:rsidR="00CE0341" w:rsidRPr="001D6913" w:rsidRDefault="00DD2DA9" w:rsidP="00025780">
      <w:pPr>
        <w:pStyle w:val="Bullet1stlevel"/>
        <w:numPr>
          <w:ilvl w:val="0"/>
          <w:numId w:val="0"/>
        </w:numPr>
        <w:rPr>
          <w:b/>
          <w:lang w:eastAsia="en-AU"/>
        </w:rPr>
      </w:pPr>
      <w:r>
        <w:rPr>
          <w:lang w:eastAsia="en-AU"/>
        </w:rPr>
        <w:t xml:space="preserve">Monitoring and evaluation includes </w:t>
      </w:r>
      <w:r w:rsidRPr="00DD2DA9">
        <w:rPr>
          <w:rStyle w:val="BodyTextChar"/>
        </w:rPr>
        <w:t>t</w:t>
      </w:r>
      <w:r w:rsidR="00CE0341" w:rsidRPr="00DD2DA9">
        <w:rPr>
          <w:rStyle w:val="BodyTextChar"/>
        </w:rPr>
        <w:t>he continual collection and review of comprehensive information to facilitate service planning, delivery, evaluation and continuous improvement for headspace services, PHNs and the national network.</w:t>
      </w:r>
    </w:p>
    <w:p w14:paraId="72C69774" w14:textId="57407E65" w:rsidR="00334C5F" w:rsidRDefault="00791316" w:rsidP="006B7096">
      <w:pPr>
        <w:pStyle w:val="BodyText"/>
      </w:pPr>
      <w:r>
        <w:t xml:space="preserve">As discussed in </w:t>
      </w:r>
      <w:r w:rsidR="00CA2F1F">
        <w:t xml:space="preserve">Chapter </w:t>
      </w:r>
      <w:r w:rsidR="00B53DFF">
        <w:fldChar w:fldCharType="begin" w:fldLock="1"/>
      </w:r>
      <w:r w:rsidR="00B53DFF">
        <w:instrText xml:space="preserve"> REF _Ref98317699 \w \h </w:instrText>
      </w:r>
      <w:r w:rsidR="00B53DFF">
        <w:fldChar w:fldCharType="separate"/>
      </w:r>
      <w:r w:rsidR="00AE4D34">
        <w:t>3</w:t>
      </w:r>
      <w:r w:rsidR="00B53DFF">
        <w:fldChar w:fldCharType="end"/>
      </w:r>
      <w:r w:rsidR="001268EC">
        <w:t>,</w:t>
      </w:r>
      <w:r w:rsidR="00CA2F1F">
        <w:t xml:space="preserve"> </w:t>
      </w:r>
      <w:r w:rsidR="003B5B63">
        <w:t>m</w:t>
      </w:r>
      <w:r w:rsidR="00D43BE3">
        <w:t xml:space="preserve">onitoring and evaluation activities undertaken by headspace National </w:t>
      </w:r>
      <w:r w:rsidR="00FE0F31">
        <w:t xml:space="preserve">and PHNs </w:t>
      </w:r>
      <w:r w:rsidR="00D43BE3">
        <w:t xml:space="preserve">are extensive and </w:t>
      </w:r>
      <w:r w:rsidR="00D43BE3" w:rsidRPr="00140C67">
        <w:t xml:space="preserve">contribute </w:t>
      </w:r>
      <w:r w:rsidR="00D43BE3">
        <w:t xml:space="preserve">to </w:t>
      </w:r>
      <w:r w:rsidR="00D43BE3" w:rsidRPr="00140C67">
        <w:t xml:space="preserve">continuous improvement </w:t>
      </w:r>
      <w:r w:rsidR="00D43BE3">
        <w:t xml:space="preserve">of programs and </w:t>
      </w:r>
      <w:r w:rsidR="00A03076">
        <w:t>service</w:t>
      </w:r>
      <w:r w:rsidR="00D43BE3">
        <w:t xml:space="preserve">s, as well as contributing to </w:t>
      </w:r>
      <w:r w:rsidR="00D43BE3" w:rsidRPr="00140C67">
        <w:t>the evidence base</w:t>
      </w:r>
      <w:r w:rsidR="00D43BE3">
        <w:t xml:space="preserve"> of youth mental health care more broadly. </w:t>
      </w:r>
      <w:r w:rsidR="00592608" w:rsidRPr="00592608">
        <w:t>headspace services, lead agencies, PHN</w:t>
      </w:r>
      <w:r w:rsidR="00592608">
        <w:t>s</w:t>
      </w:r>
      <w:r w:rsidR="00592608" w:rsidRPr="00592608">
        <w:t xml:space="preserve"> and headspace National all see a portion of the data </w:t>
      </w:r>
      <w:r w:rsidR="00334C5F">
        <w:t xml:space="preserve">collected through the hMDS, </w:t>
      </w:r>
      <w:r w:rsidR="00592608" w:rsidRPr="00592608">
        <w:t>based on their specific reporting requirements, but none of these organisations have a full picture of the service</w:t>
      </w:r>
      <w:r w:rsidR="00334C5F">
        <w:t xml:space="preserve">. </w:t>
      </w:r>
      <w:r w:rsidR="001C6DEE">
        <w:t xml:space="preserve">This fragmented view </w:t>
      </w:r>
      <w:r w:rsidR="006648C1">
        <w:t xml:space="preserve">reflects the complex governance and stakeholder landscape for the model, and anecdotal evidence suggests it may exacerbate </w:t>
      </w:r>
      <w:r w:rsidR="007313ED">
        <w:t xml:space="preserve">differences in viewpoint and </w:t>
      </w:r>
      <w:r w:rsidR="00902601">
        <w:t>reduce collaboration.</w:t>
      </w:r>
    </w:p>
    <w:p w14:paraId="26C38565" w14:textId="38B195FE" w:rsidR="00E85190" w:rsidRDefault="00D43BE3" w:rsidP="006B7096">
      <w:pPr>
        <w:pStyle w:val="BodyText"/>
      </w:pPr>
      <w:r>
        <w:t xml:space="preserve">Data collection, measurement and monitoring activities undertaken by headspace National </w:t>
      </w:r>
      <w:r w:rsidRPr="005C711D">
        <w:t>through the</w:t>
      </w:r>
      <w:r>
        <w:t xml:space="preserve"> hMDS</w:t>
      </w:r>
      <w:r w:rsidRPr="005C711D">
        <w:t xml:space="preserve"> </w:t>
      </w:r>
      <w:r>
        <w:t xml:space="preserve">capture </w:t>
      </w:r>
      <w:r w:rsidR="00CD70BE">
        <w:t>short</w:t>
      </w:r>
      <w:r w:rsidR="00FF63B9">
        <w:t>-</w:t>
      </w:r>
      <w:r w:rsidR="00CD70BE">
        <w:t xml:space="preserve">term </w:t>
      </w:r>
      <w:r>
        <w:t xml:space="preserve">changes in </w:t>
      </w:r>
      <w:r w:rsidR="00CD70BE">
        <w:t xml:space="preserve">mental health </w:t>
      </w:r>
      <w:r>
        <w:t>outcomes</w:t>
      </w:r>
      <w:r w:rsidR="00CD70BE">
        <w:t xml:space="preserve"> for young people</w:t>
      </w:r>
      <w:r>
        <w:t xml:space="preserve">, however </w:t>
      </w:r>
      <w:r w:rsidR="00D4067D">
        <w:t>measurement of</w:t>
      </w:r>
      <w:r w:rsidR="005A6CC1">
        <w:t xml:space="preserve"> the longer term </w:t>
      </w:r>
      <w:r>
        <w:t>impact</w:t>
      </w:r>
      <w:r w:rsidR="005A6CC1">
        <w:t>s</w:t>
      </w:r>
      <w:r>
        <w:t xml:space="preserve"> of headspace</w:t>
      </w:r>
      <w:r w:rsidR="005A6CC1">
        <w:t xml:space="preserve"> could be improved</w:t>
      </w:r>
      <w:r>
        <w:t>.</w:t>
      </w:r>
      <w:r w:rsidRPr="005C711D">
        <w:t xml:space="preserve"> </w:t>
      </w:r>
      <w:r w:rsidR="00DA296A">
        <w:t>Sepa</w:t>
      </w:r>
      <w:r w:rsidR="0052613E">
        <w:t>rate from the monitoring and evaluation activities undertaken by headspace National</w:t>
      </w:r>
      <w:r w:rsidR="00885B24">
        <w:t>, t</w:t>
      </w:r>
      <w:r w:rsidR="00C21CA2">
        <w:t>he lack of centralised economic data to identify and improve the cost-effectiveness of headspace was a</w:t>
      </w:r>
      <w:r>
        <w:t xml:space="preserve"> further limitation noted by a range of stakeholders. </w:t>
      </w:r>
    </w:p>
    <w:p w14:paraId="1CC17D86" w14:textId="7E881A86" w:rsidR="00FE6E13" w:rsidRDefault="00C21CA2" w:rsidP="006B7096">
      <w:pPr>
        <w:pStyle w:val="BodyText"/>
      </w:pPr>
      <w:r>
        <w:t xml:space="preserve">The lack of data linkage and </w:t>
      </w:r>
      <w:r w:rsidR="000100CB">
        <w:t xml:space="preserve">potential for this to be used to better understand headspace’s impact on young people, as well as the lack of </w:t>
      </w:r>
      <w:r w:rsidR="00C76FFA">
        <w:t>centrally collected, reliable and complete costs data, are barriers to the monitoring and evaluation of the headspace model</w:t>
      </w:r>
      <w:r w:rsidR="00675685">
        <w:t>.</w:t>
      </w:r>
      <w:r w:rsidR="00C76FFA">
        <w:t xml:space="preserve"> </w:t>
      </w:r>
      <w:r w:rsidR="00B001AE">
        <w:t>These</w:t>
      </w:r>
      <w:r w:rsidR="005F02DA">
        <w:t xml:space="preserve"> barriers</w:t>
      </w:r>
      <w:r w:rsidR="00B001AE">
        <w:t xml:space="preserve"> prevent </w:t>
      </w:r>
      <w:r w:rsidR="00CC08A3">
        <w:t>the</w:t>
      </w:r>
      <w:r w:rsidR="005F02DA">
        <w:t xml:space="preserve"> development of</w:t>
      </w:r>
      <w:r w:rsidR="00B001AE">
        <w:t xml:space="preserve"> a </w:t>
      </w:r>
      <w:r w:rsidR="005F02DA">
        <w:t>cohesive</w:t>
      </w:r>
      <w:r w:rsidR="00B001AE">
        <w:t xml:space="preserve"> picture of the </w:t>
      </w:r>
      <w:r w:rsidR="00426440">
        <w:t xml:space="preserve">costs of service provision and the value of headspace to young people, their families and </w:t>
      </w:r>
      <w:r w:rsidR="00920DA0">
        <w:t>the community more broadly.</w:t>
      </w:r>
    </w:p>
    <w:p w14:paraId="20523491" w14:textId="77777777" w:rsidR="000C732A" w:rsidRDefault="000C732A" w:rsidP="00801E6B">
      <w:pPr>
        <w:pStyle w:val="Heading3"/>
      </w:pPr>
      <w:r>
        <w:t>In summary</w:t>
      </w:r>
    </w:p>
    <w:p w14:paraId="53265EFB" w14:textId="5CD33C73" w:rsidR="004B236D" w:rsidRPr="004B236D" w:rsidRDefault="00A95386" w:rsidP="00A7737F">
      <w:pPr>
        <w:pStyle w:val="Heading4"/>
      </w:pPr>
      <w:r>
        <w:t xml:space="preserve">Enablers and barriers for the headspace </w:t>
      </w:r>
      <w:r w:rsidR="001F2443">
        <w:t>model</w:t>
      </w:r>
    </w:p>
    <w:p w14:paraId="3A0701D1" w14:textId="23D4D70F" w:rsidR="00A35559" w:rsidRPr="00DD2DA9" w:rsidRDefault="00A95386" w:rsidP="00DD2DA9">
      <w:pPr>
        <w:pStyle w:val="BodyText"/>
        <w:rPr>
          <w:b/>
          <w:bCs/>
        </w:rPr>
      </w:pPr>
      <w:r w:rsidRPr="00DD2DA9">
        <w:rPr>
          <w:b/>
          <w:bCs/>
        </w:rPr>
        <w:t xml:space="preserve">Enablers and barriers for the headspace </w:t>
      </w:r>
      <w:r w:rsidR="001F2443" w:rsidRPr="00DD2DA9">
        <w:rPr>
          <w:b/>
          <w:bCs/>
        </w:rPr>
        <w:t>model</w:t>
      </w:r>
      <w:r w:rsidRPr="00DD2DA9">
        <w:rPr>
          <w:b/>
          <w:bCs/>
        </w:rPr>
        <w:t xml:space="preserve"> </w:t>
      </w:r>
      <w:r w:rsidR="00222397" w:rsidRPr="00DD2DA9">
        <w:rPr>
          <w:b/>
          <w:bCs/>
        </w:rPr>
        <w:t>are closely related to</w:t>
      </w:r>
      <w:r w:rsidR="007B6352" w:rsidRPr="00DD2DA9">
        <w:rPr>
          <w:b/>
          <w:bCs/>
        </w:rPr>
        <w:t xml:space="preserve"> services</w:t>
      </w:r>
      <w:r w:rsidR="00EC6502" w:rsidRPr="00DD2DA9">
        <w:rPr>
          <w:b/>
          <w:bCs/>
        </w:rPr>
        <w:t>’</w:t>
      </w:r>
      <w:r w:rsidR="007B6352" w:rsidRPr="00DD2DA9">
        <w:rPr>
          <w:b/>
          <w:bCs/>
        </w:rPr>
        <w:t xml:space="preserve"> activities around</w:t>
      </w:r>
      <w:r w:rsidR="00222397" w:rsidRPr="00DD2DA9">
        <w:rPr>
          <w:b/>
          <w:bCs/>
        </w:rPr>
        <w:t xml:space="preserve"> </w:t>
      </w:r>
      <w:r w:rsidR="005A0265" w:rsidRPr="00DD2DA9">
        <w:rPr>
          <w:b/>
          <w:bCs/>
        </w:rPr>
        <w:t>community awareness and engagement; providing four core streams of services; service integration; the national network; attracting and retaining a multi</w:t>
      </w:r>
      <w:r w:rsidR="00A833BA" w:rsidRPr="00DD2DA9">
        <w:rPr>
          <w:b/>
          <w:bCs/>
        </w:rPr>
        <w:t>-</w:t>
      </w:r>
      <w:r w:rsidR="005A0265" w:rsidRPr="00DD2DA9">
        <w:rPr>
          <w:b/>
          <w:bCs/>
        </w:rPr>
        <w:t>disciplinary workforce; the blended funding model</w:t>
      </w:r>
      <w:r w:rsidR="005B0E4F" w:rsidRPr="00DD2DA9">
        <w:rPr>
          <w:b/>
          <w:bCs/>
        </w:rPr>
        <w:t>;</w:t>
      </w:r>
      <w:r w:rsidR="005A0265" w:rsidRPr="00DD2DA9">
        <w:rPr>
          <w:b/>
          <w:bCs/>
        </w:rPr>
        <w:t xml:space="preserve"> and monitoring and evaluation.</w:t>
      </w:r>
      <w:r w:rsidR="007B6352" w:rsidRPr="00DD2DA9">
        <w:rPr>
          <w:b/>
          <w:bCs/>
        </w:rPr>
        <w:t xml:space="preserve"> Each of these areas is </w:t>
      </w:r>
      <w:r w:rsidR="00BB0393" w:rsidRPr="00DD2DA9">
        <w:rPr>
          <w:b/>
          <w:bCs/>
        </w:rPr>
        <w:t xml:space="preserve">challenging in the broader mental health system in Australia, and they interact to increase wait times and </w:t>
      </w:r>
      <w:r w:rsidR="00F938F7" w:rsidRPr="00DD2DA9">
        <w:rPr>
          <w:b/>
          <w:bCs/>
        </w:rPr>
        <w:t xml:space="preserve">reduce access of </w:t>
      </w:r>
      <w:r w:rsidR="00BD29DF">
        <w:rPr>
          <w:b/>
          <w:bCs/>
        </w:rPr>
        <w:t>‘</w:t>
      </w:r>
      <w:r w:rsidR="00F938F7" w:rsidRPr="00DD2DA9">
        <w:rPr>
          <w:b/>
          <w:bCs/>
        </w:rPr>
        <w:t xml:space="preserve">hard to </w:t>
      </w:r>
      <w:r w:rsidR="00BD29DF">
        <w:rPr>
          <w:b/>
          <w:bCs/>
        </w:rPr>
        <w:t>reach’</w:t>
      </w:r>
      <w:r w:rsidR="00F938F7" w:rsidRPr="00DD2DA9">
        <w:rPr>
          <w:b/>
          <w:bCs/>
        </w:rPr>
        <w:t xml:space="preserve"> groups.</w:t>
      </w:r>
    </w:p>
    <w:p w14:paraId="181F86A8" w14:textId="50E85AC8" w:rsidR="0064641A" w:rsidRPr="00461663" w:rsidRDefault="0064641A" w:rsidP="0064641A">
      <w:pPr>
        <w:pStyle w:val="Heading2"/>
        <w:rPr>
          <w:lang w:eastAsia="en-AU"/>
        </w:rPr>
      </w:pPr>
      <w:bookmarkStart w:id="164" w:name="_Toc108173988"/>
      <w:r>
        <w:rPr>
          <w:lang w:eastAsia="en-AU"/>
        </w:rPr>
        <w:t>External</w:t>
      </w:r>
      <w:r w:rsidRPr="0051719B">
        <w:rPr>
          <w:lang w:eastAsia="en-AU"/>
        </w:rPr>
        <w:t xml:space="preserve"> factors that have impacted or will impact headspace objectives being delivered</w:t>
      </w:r>
      <w:bookmarkEnd w:id="164"/>
    </w:p>
    <w:p w14:paraId="25159CCD" w14:textId="466E8E13" w:rsidR="002B1EF2" w:rsidRDefault="00567502" w:rsidP="006B7096">
      <w:pPr>
        <w:pStyle w:val="BodyText"/>
      </w:pPr>
      <w:r>
        <w:t xml:space="preserve">The key barriers and enablers of headspace described in </w:t>
      </w:r>
      <w:r w:rsidR="005B0E4F">
        <w:t xml:space="preserve">Section </w:t>
      </w:r>
      <w:r w:rsidR="005B0E4F">
        <w:fldChar w:fldCharType="begin" w:fldLock="1"/>
      </w:r>
      <w:r w:rsidR="005B0E4F">
        <w:instrText xml:space="preserve"> REF _Ref95073773 \w \h </w:instrText>
      </w:r>
      <w:r w:rsidR="005B0E4F">
        <w:fldChar w:fldCharType="separate"/>
      </w:r>
      <w:r w:rsidR="00AE4D34">
        <w:t>5.1</w:t>
      </w:r>
      <w:r w:rsidR="005B0E4F">
        <w:fldChar w:fldCharType="end"/>
      </w:r>
      <w:r>
        <w:t xml:space="preserve"> above provide </w:t>
      </w:r>
      <w:r w:rsidR="00097196">
        <w:t xml:space="preserve">insight into a number of external factors that have an impact on headspace objectives being delivered. </w:t>
      </w:r>
    </w:p>
    <w:p w14:paraId="34DA410E" w14:textId="77777777" w:rsidR="002B1EF2" w:rsidRDefault="002B1EF2" w:rsidP="003941C8">
      <w:pPr>
        <w:pStyle w:val="Heading3"/>
      </w:pPr>
      <w:r>
        <w:t>Broader mental health system challenges</w:t>
      </w:r>
    </w:p>
    <w:p w14:paraId="21467940" w14:textId="4393D071" w:rsidR="00AE3C79" w:rsidRDefault="00097196" w:rsidP="006B7096">
      <w:pPr>
        <w:pStyle w:val="BodyText"/>
      </w:pPr>
      <w:r>
        <w:t>A</w:t>
      </w:r>
      <w:r w:rsidR="00534184">
        <w:t xml:space="preserve"> common th</w:t>
      </w:r>
      <w:r w:rsidR="00E062E3">
        <w:t>eme</w:t>
      </w:r>
      <w:r w:rsidR="00534184">
        <w:t xml:space="preserve"> </w:t>
      </w:r>
      <w:r w:rsidR="0026758A">
        <w:t>when examining</w:t>
      </w:r>
      <w:r w:rsidR="00534184">
        <w:t xml:space="preserve"> the </w:t>
      </w:r>
      <w:r w:rsidR="005F1958">
        <w:t xml:space="preserve">barriers and enablers of headspace is its place within the broader mental health system in Australia. As described in Chapter </w:t>
      </w:r>
      <w:r w:rsidR="00B53DFF">
        <w:fldChar w:fldCharType="begin" w:fldLock="1"/>
      </w:r>
      <w:r w:rsidR="00B53DFF">
        <w:instrText xml:space="preserve"> REF _Ref93477239 \w \h </w:instrText>
      </w:r>
      <w:r w:rsidR="00B53DFF">
        <w:fldChar w:fldCharType="separate"/>
      </w:r>
      <w:r w:rsidR="00AE4D34">
        <w:t>1</w:t>
      </w:r>
      <w:r w:rsidR="00B53DFF">
        <w:fldChar w:fldCharType="end"/>
      </w:r>
      <w:r w:rsidR="005B0E4F">
        <w:t>,</w:t>
      </w:r>
      <w:r w:rsidR="00361E13">
        <w:t xml:space="preserve"> </w:t>
      </w:r>
      <w:r w:rsidR="00AD7A5B">
        <w:t xml:space="preserve">there have been a number of major inquiries and reports into the system in which headspace operates in Australia. </w:t>
      </w:r>
    </w:p>
    <w:p w14:paraId="29F65A07" w14:textId="77777777" w:rsidR="00AE3C79" w:rsidRDefault="00AE3C79" w:rsidP="00ED3129">
      <w:pPr>
        <w:pStyle w:val="Heading4"/>
      </w:pPr>
      <w:r>
        <w:t>Limited referral pathways</w:t>
      </w:r>
    </w:p>
    <w:p w14:paraId="504C4A39" w14:textId="0C87CA86" w:rsidR="00361E13" w:rsidRDefault="00E315F9" w:rsidP="006B7096">
      <w:pPr>
        <w:pStyle w:val="BodyText"/>
      </w:pPr>
      <w:r>
        <w:t xml:space="preserve">One of the implications of the challenges to the broader system is that it can </w:t>
      </w:r>
      <w:r w:rsidR="009972F2">
        <w:t xml:space="preserve">be difficult for young people to find and access appropriate support, with limited services available </w:t>
      </w:r>
      <w:r w:rsidR="00721A7D">
        <w:t xml:space="preserve">within the health sector, as well as in other social and vocational supports, and </w:t>
      </w:r>
      <w:r w:rsidR="001D3BFD">
        <w:t>particularly in non</w:t>
      </w:r>
      <w:r w:rsidR="005B0E4F">
        <w:noBreakHyphen/>
      </w:r>
      <w:r w:rsidR="001D3BFD">
        <w:t xml:space="preserve">metropolitan areas. </w:t>
      </w:r>
      <w:r w:rsidR="00107C90">
        <w:t>This is a key barrier for headspace, where</w:t>
      </w:r>
      <w:r w:rsidR="0042435B">
        <w:t xml:space="preserve"> successful</w:t>
      </w:r>
      <w:r w:rsidR="00107C90">
        <w:t xml:space="preserve"> se</w:t>
      </w:r>
      <w:r w:rsidR="006C680A">
        <w:t>rvice integration</w:t>
      </w:r>
      <w:r w:rsidR="00100DA8">
        <w:t xml:space="preserve"> </w:t>
      </w:r>
      <w:r w:rsidR="0042435B">
        <w:t xml:space="preserve">requires the presence and capacity of </w:t>
      </w:r>
      <w:r w:rsidR="00437520">
        <w:t xml:space="preserve">local services </w:t>
      </w:r>
      <w:r w:rsidR="00F36DD7">
        <w:t xml:space="preserve">so that young people can experience </w:t>
      </w:r>
      <w:r w:rsidR="00437520">
        <w:rPr>
          <w:rFonts w:cs="Calibri"/>
          <w:szCs w:val="20"/>
        </w:rPr>
        <w:t>seamless service</w:t>
      </w:r>
      <w:r w:rsidR="00F36DD7">
        <w:rPr>
          <w:rFonts w:cs="Calibri"/>
          <w:szCs w:val="20"/>
        </w:rPr>
        <w:t xml:space="preserve"> and supports involv</w:t>
      </w:r>
      <w:r w:rsidR="00437520">
        <w:rPr>
          <w:rFonts w:cs="Calibri"/>
          <w:szCs w:val="20"/>
        </w:rPr>
        <w:t>ing multiple service providers.</w:t>
      </w:r>
    </w:p>
    <w:p w14:paraId="711DA871" w14:textId="14909283" w:rsidR="00AE3C79" w:rsidRDefault="00AE3C79" w:rsidP="00ED3129">
      <w:pPr>
        <w:pStyle w:val="Heading4"/>
      </w:pPr>
      <w:r>
        <w:t>Stigma and discrimination</w:t>
      </w:r>
    </w:p>
    <w:p w14:paraId="0C7DA4EA" w14:textId="6A0A1C96" w:rsidR="0064641A" w:rsidRDefault="00ED7E2F" w:rsidP="006B7096">
      <w:pPr>
        <w:pStyle w:val="BodyText"/>
      </w:pPr>
      <w:r>
        <w:t xml:space="preserve">Another external factor which impacts headspace is the level of stigma and discrimination in the broader Australian community against people with mental illness. The reduction of this stigma is </w:t>
      </w:r>
      <w:r w:rsidR="00A95CA6">
        <w:t xml:space="preserve">part of the community awareness and engagement component of the headspace </w:t>
      </w:r>
      <w:r w:rsidR="001F2443">
        <w:t>model</w:t>
      </w:r>
      <w:r w:rsidR="00A95CA6">
        <w:t xml:space="preserve">, but headspace is only one of many </w:t>
      </w:r>
      <w:r w:rsidR="00AC5686">
        <w:t xml:space="preserve">services and systems attempting to improve attitudes towards mental health in Australia. In some communities, stigma and shame around mental illness are strong barriers to young people seeking help, and to headspace achieving its objectives. </w:t>
      </w:r>
    </w:p>
    <w:p w14:paraId="19E667FB" w14:textId="77777777" w:rsidR="00AE3C79" w:rsidRPr="00AE3C79" w:rsidRDefault="00AE3C79" w:rsidP="00ED3129">
      <w:pPr>
        <w:pStyle w:val="Heading4"/>
      </w:pPr>
      <w:r w:rsidRPr="00AE3C79">
        <w:t>Workforce shortages</w:t>
      </w:r>
    </w:p>
    <w:p w14:paraId="01246375" w14:textId="548FA38B" w:rsidR="00AC5686" w:rsidRDefault="001129D1" w:rsidP="006B7096">
      <w:pPr>
        <w:pStyle w:val="BodyText"/>
      </w:pPr>
      <w:r>
        <w:t>Workforce shortages in key roles and locations is another key barrier to headspace meeting its objectives</w:t>
      </w:r>
      <w:r w:rsidR="00F15CC0">
        <w:t>,</w:t>
      </w:r>
      <w:r>
        <w:t xml:space="preserve"> which is largely external to the model itself. Particularly in rural and remote areas, attracting and maintaining a multi-disciplinary</w:t>
      </w:r>
      <w:r w:rsidR="00FC6870">
        <w:t xml:space="preserve"> and culturally diverse</w:t>
      </w:r>
      <w:r>
        <w:t xml:space="preserve"> workforce is </w:t>
      </w:r>
      <w:r w:rsidR="00152980">
        <w:t>challenging</w:t>
      </w:r>
      <w:r w:rsidR="00401FB3">
        <w:t xml:space="preserve">, and </w:t>
      </w:r>
      <w:r w:rsidR="008C4750">
        <w:t xml:space="preserve">is </w:t>
      </w:r>
      <w:r w:rsidR="00401FB3">
        <w:t xml:space="preserve">made more difficult by the structure of the headspace core grant, which works most effectively in combination with </w:t>
      </w:r>
      <w:r w:rsidR="000447AC">
        <w:t>MBS billing to bring private practitioners, including psychologists, GPs and psychiatrists</w:t>
      </w:r>
      <w:r w:rsidR="00F15CC0">
        <w:t>,</w:t>
      </w:r>
      <w:r w:rsidR="000447AC">
        <w:t xml:space="preserve"> into the headspace service. In rural and remote settings, these professionals are </w:t>
      </w:r>
      <w:r w:rsidR="00BE0733">
        <w:t>few in number and tend to focus on private practice</w:t>
      </w:r>
      <w:r w:rsidR="001035E5">
        <w:t xml:space="preserve">. </w:t>
      </w:r>
    </w:p>
    <w:p w14:paraId="64DA9DC5" w14:textId="35A678DE" w:rsidR="00447CCF" w:rsidRDefault="00447CCF" w:rsidP="00ED3129">
      <w:pPr>
        <w:pStyle w:val="Heading4"/>
      </w:pPr>
      <w:r>
        <w:t>Demand for services</w:t>
      </w:r>
      <w:r w:rsidR="004D4CEA">
        <w:t xml:space="preserve"> and complexity of presenting need</w:t>
      </w:r>
    </w:p>
    <w:p w14:paraId="0BDCACBB" w14:textId="55598E22" w:rsidR="00447CCF" w:rsidRDefault="00447CCF" w:rsidP="006B7096">
      <w:pPr>
        <w:pStyle w:val="BodyText"/>
      </w:pPr>
      <w:r>
        <w:t>Under</w:t>
      </w:r>
      <w:r w:rsidR="00BC77E2">
        <w:t>-</w:t>
      </w:r>
      <w:r>
        <w:t xml:space="preserve">investment in prevention and early intervention across the mental health service system is likely to result in </w:t>
      </w:r>
      <w:r w:rsidR="00F10C01">
        <w:t xml:space="preserve">further increased demand from young people requiring mental health support. The success of headspace’s brand </w:t>
      </w:r>
      <w:r w:rsidR="00011461">
        <w:t xml:space="preserve">leads to high demand for headspace services, and its ‘no wrong door’ approach means all young people are seen and </w:t>
      </w:r>
      <w:r w:rsidR="00052AA4">
        <w:t>supported, even those who are subsequently referred on to more appropriate care. Thi</w:t>
      </w:r>
      <w:r w:rsidR="00820833">
        <w:t>s</w:t>
      </w:r>
      <w:r w:rsidR="00BC77E2">
        <w:t>,</w:t>
      </w:r>
      <w:r w:rsidR="00820833">
        <w:t xml:space="preserve"> combined with the external factors associated with increased need in mental health support for young people in Australia</w:t>
      </w:r>
      <w:r w:rsidR="00BC77E2">
        <w:t>,</w:t>
      </w:r>
      <w:r w:rsidR="00820833">
        <w:t xml:space="preserve"> act as constraints on headspace service providers’ ability to meet </w:t>
      </w:r>
      <w:r w:rsidR="004D4CEA">
        <w:t xml:space="preserve">the model’s objectives. </w:t>
      </w:r>
    </w:p>
    <w:p w14:paraId="162098D4" w14:textId="77777777" w:rsidR="000C732A" w:rsidRDefault="000C732A" w:rsidP="00166FAA">
      <w:pPr>
        <w:pStyle w:val="Heading3"/>
      </w:pPr>
      <w:r>
        <w:t>In summary</w:t>
      </w:r>
    </w:p>
    <w:p w14:paraId="49F76762" w14:textId="4AF4BA99" w:rsidR="000C732A" w:rsidRDefault="000C732A" w:rsidP="00166FAA">
      <w:pPr>
        <w:pStyle w:val="Heading4"/>
      </w:pPr>
      <w:r>
        <w:t>External factors impact</w:t>
      </w:r>
      <w:r w:rsidR="00060751">
        <w:t>ing</w:t>
      </w:r>
      <w:r>
        <w:t xml:space="preserve"> headspace</w:t>
      </w:r>
    </w:p>
    <w:p w14:paraId="783A984A" w14:textId="25820076" w:rsidR="000C732A" w:rsidRPr="00A1320E" w:rsidRDefault="000C732A" w:rsidP="00A1320E">
      <w:pPr>
        <w:pStyle w:val="BodyText"/>
        <w:rPr>
          <w:b/>
        </w:rPr>
      </w:pPr>
      <w:r w:rsidRPr="00A1320E">
        <w:rPr>
          <w:b/>
        </w:rPr>
        <w:t xml:space="preserve">A range of external factors </w:t>
      </w:r>
      <w:r w:rsidR="008E0939">
        <w:rPr>
          <w:b/>
        </w:rPr>
        <w:t>provide challenges for the implementation of</w:t>
      </w:r>
      <w:r w:rsidRPr="00A1320E">
        <w:rPr>
          <w:b/>
        </w:rPr>
        <w:t xml:space="preserve"> the headspace </w:t>
      </w:r>
      <w:r w:rsidR="00902C94" w:rsidRPr="00A1320E">
        <w:rPr>
          <w:b/>
        </w:rPr>
        <w:t>model, in particular</w:t>
      </w:r>
      <w:r w:rsidR="005446A7" w:rsidRPr="00A1320E">
        <w:rPr>
          <w:b/>
        </w:rPr>
        <w:t xml:space="preserve"> the l</w:t>
      </w:r>
      <w:r w:rsidR="00902C94" w:rsidRPr="00A1320E">
        <w:rPr>
          <w:b/>
        </w:rPr>
        <w:t xml:space="preserve">imited referral pathways </w:t>
      </w:r>
      <w:r w:rsidR="005446A7" w:rsidRPr="00A1320E">
        <w:rPr>
          <w:b/>
        </w:rPr>
        <w:t>available in many areas, s</w:t>
      </w:r>
      <w:r w:rsidR="00902C94" w:rsidRPr="00A1320E">
        <w:rPr>
          <w:b/>
        </w:rPr>
        <w:t>tigma and discrimination</w:t>
      </w:r>
      <w:r w:rsidR="005446A7" w:rsidRPr="00A1320E">
        <w:rPr>
          <w:b/>
        </w:rPr>
        <w:t xml:space="preserve"> </w:t>
      </w:r>
      <w:r w:rsidR="00B82AD0" w:rsidRPr="00A1320E">
        <w:rPr>
          <w:b/>
        </w:rPr>
        <w:t>against those with mental illness, w</w:t>
      </w:r>
      <w:r w:rsidR="00902C94" w:rsidRPr="00A1320E">
        <w:rPr>
          <w:b/>
        </w:rPr>
        <w:t>orkforce shortages</w:t>
      </w:r>
      <w:r w:rsidR="00B82AD0" w:rsidRPr="00A1320E">
        <w:rPr>
          <w:b/>
        </w:rPr>
        <w:t xml:space="preserve"> and high d</w:t>
      </w:r>
      <w:r w:rsidR="00902C94" w:rsidRPr="00A1320E">
        <w:rPr>
          <w:b/>
        </w:rPr>
        <w:t>emand for services and complexity of presenting need</w:t>
      </w:r>
      <w:r w:rsidR="00B82AD0" w:rsidRPr="00A1320E">
        <w:rPr>
          <w:b/>
        </w:rPr>
        <w:t xml:space="preserve">. headspace service providers work </w:t>
      </w:r>
      <w:r w:rsidR="00BC77E2" w:rsidRPr="00A1320E">
        <w:rPr>
          <w:b/>
        </w:rPr>
        <w:t xml:space="preserve">diligently </w:t>
      </w:r>
      <w:r w:rsidR="00B82AD0" w:rsidRPr="00A1320E">
        <w:rPr>
          <w:b/>
        </w:rPr>
        <w:t xml:space="preserve">within the headspace </w:t>
      </w:r>
      <w:r w:rsidR="001F2443" w:rsidRPr="00A1320E">
        <w:rPr>
          <w:b/>
        </w:rPr>
        <w:t>model</w:t>
      </w:r>
      <w:r w:rsidR="00B82AD0" w:rsidRPr="00A1320E">
        <w:rPr>
          <w:b/>
        </w:rPr>
        <w:t xml:space="preserve"> to </w:t>
      </w:r>
      <w:r w:rsidR="00932576" w:rsidRPr="00A1320E">
        <w:rPr>
          <w:b/>
        </w:rPr>
        <w:t>compensate and adjust for these external factors and ensure the objectives of headspace are met.</w:t>
      </w:r>
    </w:p>
    <w:p w14:paraId="04A619C0" w14:textId="3DF0F2C1" w:rsidR="00CA7FD3" w:rsidRDefault="00EB1ABC" w:rsidP="00CA7FD3">
      <w:pPr>
        <w:pStyle w:val="Heading2"/>
      </w:pPr>
      <w:bookmarkStart w:id="165" w:name="_Toc108173989"/>
      <w:r>
        <w:t>C</w:t>
      </w:r>
      <w:r w:rsidR="00FC0B3A" w:rsidRPr="00FC0B3A">
        <w:t>hanges required to the design of headspace to enable it to meet its objectives</w:t>
      </w:r>
      <w:bookmarkEnd w:id="165"/>
      <w:r w:rsidR="00BB75B0" w:rsidRPr="00BB75B0">
        <w:t xml:space="preserve"> </w:t>
      </w:r>
    </w:p>
    <w:p w14:paraId="769C2F81" w14:textId="2524AB1C" w:rsidR="00E9224F" w:rsidRDefault="00E9224F" w:rsidP="00E9224F">
      <w:pPr>
        <w:pStyle w:val="Heading3"/>
      </w:pPr>
      <w:r w:rsidRPr="00F52399">
        <w:t>Is the current design of headspace sustainable in the short and medium</w:t>
      </w:r>
      <w:r w:rsidR="007E76A0">
        <w:t>-</w:t>
      </w:r>
      <w:r w:rsidRPr="00F52399">
        <w:t xml:space="preserve">term to deliver outcomes for young people? </w:t>
      </w:r>
    </w:p>
    <w:p w14:paraId="6737DDA3" w14:textId="1353C472" w:rsidR="00696CE4" w:rsidRDefault="00935DD1" w:rsidP="006B7096">
      <w:pPr>
        <w:pStyle w:val="BodyText"/>
      </w:pPr>
      <w:r>
        <w:t xml:space="preserve">Despite the challenges faced </w:t>
      </w:r>
      <w:r w:rsidR="005E2F9B">
        <w:t>in implementing</w:t>
      </w:r>
      <w:r>
        <w:t xml:space="preserve"> the headspace </w:t>
      </w:r>
      <w:r w:rsidR="001F2443">
        <w:t>model</w:t>
      </w:r>
      <w:r>
        <w:t>, as discussed in</w:t>
      </w:r>
      <w:r w:rsidR="00FF7E0A">
        <w:t xml:space="preserve"> Chapter </w:t>
      </w:r>
      <w:r w:rsidR="00FF7E0A">
        <w:fldChar w:fldCharType="begin" w:fldLock="1"/>
      </w:r>
      <w:r w:rsidR="00FF7E0A">
        <w:instrText xml:space="preserve"> REF _Ref98317699 \r \h </w:instrText>
      </w:r>
      <w:r w:rsidR="00FF7E0A">
        <w:fldChar w:fldCharType="separate"/>
      </w:r>
      <w:r w:rsidR="00FF7E0A">
        <w:t>3</w:t>
      </w:r>
      <w:r w:rsidR="00FF7E0A">
        <w:fldChar w:fldCharType="end"/>
      </w:r>
      <w:r w:rsidR="00BC77E2">
        <w:t>,</w:t>
      </w:r>
      <w:r>
        <w:t xml:space="preserve"> the model is working well across all domains</w:t>
      </w:r>
      <w:r w:rsidR="001621F3">
        <w:t xml:space="preserve">. The 16 components of the headspace </w:t>
      </w:r>
      <w:r w:rsidR="001F2443">
        <w:t>model</w:t>
      </w:r>
      <w:r w:rsidR="001621F3">
        <w:t xml:space="preserve">, as set out in the hMIF, all operate well and are </w:t>
      </w:r>
      <w:r w:rsidR="00E5412A">
        <w:t xml:space="preserve">each important to the overall program logic of the headspace model. Through investment and activities in mental health literacy and stigma reduction, early help seeking and increased access to support is encouraged. Through headspace, young people are supported into pathways of care which seamlessly integrate with other services to meet the young person’s needs, without the young person </w:t>
      </w:r>
      <w:r w:rsidR="00F56B92">
        <w:t xml:space="preserve">being required </w:t>
      </w:r>
      <w:r w:rsidR="00E5412A">
        <w:t xml:space="preserve">to know how to navigate the service system themselves. </w:t>
      </w:r>
      <w:r w:rsidR="00E756C9">
        <w:t xml:space="preserve">Engaging in youth friendly, welcoming and inclusive supports across a range of </w:t>
      </w:r>
      <w:r w:rsidR="005513AE">
        <w:t>psychosocial</w:t>
      </w:r>
      <w:r w:rsidR="00E756C9">
        <w:t xml:space="preserve"> domains helps young people improve </w:t>
      </w:r>
      <w:r w:rsidR="00C51A6D">
        <w:t>their mental health and wellbeing outcomes.</w:t>
      </w:r>
    </w:p>
    <w:p w14:paraId="1903F615" w14:textId="4CB7B484" w:rsidR="00C51A6D" w:rsidRDefault="00C51A6D" w:rsidP="006B7096">
      <w:pPr>
        <w:pStyle w:val="BodyText"/>
      </w:pPr>
      <w:r>
        <w:t xml:space="preserve">While challenges in the broader service system </w:t>
      </w:r>
      <w:r w:rsidR="00924C35">
        <w:t xml:space="preserve">can make this model difficult to deliver in certain locations or periods of time, the model itself is sound and has strong logic supported by robust </w:t>
      </w:r>
      <w:r w:rsidR="00FF7AF4">
        <w:t>evidence.</w:t>
      </w:r>
    </w:p>
    <w:p w14:paraId="680CECDE" w14:textId="69617AE5" w:rsidR="00F01A1E" w:rsidRDefault="00F01A1E" w:rsidP="003941C8">
      <w:pPr>
        <w:pStyle w:val="Heading3"/>
      </w:pPr>
      <w:r>
        <w:t>Changes required to the design of headspace</w:t>
      </w:r>
    </w:p>
    <w:p w14:paraId="6BACDC1F" w14:textId="75A3CCFB" w:rsidR="00F01A1E" w:rsidRDefault="00F01A1E" w:rsidP="006001FD">
      <w:pPr>
        <w:pStyle w:val="Heading4"/>
      </w:pPr>
      <w:r>
        <w:t>Changes to the design of headspace</w:t>
      </w:r>
    </w:p>
    <w:p w14:paraId="7412252D" w14:textId="363435F1" w:rsidR="00FF7AF4" w:rsidRPr="00B1484A" w:rsidRDefault="00FF7AF4" w:rsidP="00B1484A">
      <w:pPr>
        <w:pStyle w:val="BodyText"/>
        <w:rPr>
          <w:b/>
        </w:rPr>
      </w:pPr>
      <w:r w:rsidRPr="00B1484A">
        <w:rPr>
          <w:b/>
        </w:rPr>
        <w:t xml:space="preserve">On balance, this evaluation has not found any evidence to suggest that changes are required to the design of the headspace </w:t>
      </w:r>
      <w:r w:rsidR="001F2443" w:rsidRPr="00B1484A">
        <w:rPr>
          <w:b/>
        </w:rPr>
        <w:t>model</w:t>
      </w:r>
      <w:r w:rsidRPr="00B1484A">
        <w:rPr>
          <w:b/>
        </w:rPr>
        <w:t xml:space="preserve"> in order to enable it to meet its objectives</w:t>
      </w:r>
      <w:r w:rsidR="005E2F9B">
        <w:rPr>
          <w:b/>
        </w:rPr>
        <w:t xml:space="preserve"> more effectively</w:t>
      </w:r>
      <w:r w:rsidRPr="00B1484A">
        <w:rPr>
          <w:b/>
        </w:rPr>
        <w:t>.</w:t>
      </w:r>
      <w:r w:rsidR="00F01A1E" w:rsidRPr="00B1484A">
        <w:rPr>
          <w:b/>
        </w:rPr>
        <w:t xml:space="preserve"> Despite challenges in meeting the needs of some cohorts, and </w:t>
      </w:r>
      <w:r w:rsidR="006446C3" w:rsidRPr="00B1484A">
        <w:rPr>
          <w:b/>
        </w:rPr>
        <w:t>constraints and limitations brought about by broader mental health system issues, headspace is achieving its intended outcomes with its current design.</w:t>
      </w:r>
    </w:p>
    <w:p w14:paraId="5BBCC323" w14:textId="5037B897" w:rsidR="00BB75B0" w:rsidRDefault="00EB1ABC" w:rsidP="00BB75B0">
      <w:pPr>
        <w:pStyle w:val="Heading2"/>
      </w:pPr>
      <w:bookmarkStart w:id="166" w:name="_Ref98326982"/>
      <w:bookmarkStart w:id="167" w:name="_Ref98328402"/>
      <w:bookmarkStart w:id="168" w:name="_Ref98329524"/>
      <w:bookmarkStart w:id="169" w:name="_Ref98329974"/>
      <w:bookmarkStart w:id="170" w:name="_Toc108173990"/>
      <w:r>
        <w:t>C</w:t>
      </w:r>
      <w:r w:rsidR="00BB75B0">
        <w:t>hanges required to the implementation of headspace to enable it to meet its objectives</w:t>
      </w:r>
      <w:bookmarkEnd w:id="166"/>
      <w:bookmarkEnd w:id="167"/>
      <w:bookmarkEnd w:id="168"/>
      <w:bookmarkEnd w:id="169"/>
      <w:bookmarkEnd w:id="170"/>
    </w:p>
    <w:p w14:paraId="23955587" w14:textId="684D3B39" w:rsidR="008F044B" w:rsidRDefault="00E10181" w:rsidP="006B7096">
      <w:pPr>
        <w:pStyle w:val="BodyText"/>
      </w:pPr>
      <w:r>
        <w:t xml:space="preserve">Given the challenges, enablers and barriers faced by the headspace model, </w:t>
      </w:r>
      <w:r w:rsidR="00F75AF2">
        <w:t xml:space="preserve">there are a number of areas where implementation of headspace services could be </w:t>
      </w:r>
      <w:r w:rsidR="006E09F7">
        <w:t>enhanced</w:t>
      </w:r>
      <w:r w:rsidR="00F75AF2">
        <w:t xml:space="preserve"> to enable it to meet its objectives </w:t>
      </w:r>
      <w:r w:rsidR="008F044B">
        <w:t xml:space="preserve">even </w:t>
      </w:r>
      <w:r w:rsidR="00F75AF2">
        <w:t>more effectively.</w:t>
      </w:r>
      <w:r w:rsidR="008F044B">
        <w:t xml:space="preserve"> As discussed above, while it is effective overall, the</w:t>
      </w:r>
      <w:r w:rsidR="009015C4">
        <w:t>re is variation in outcomes and the model has mixed success in supporting</w:t>
      </w:r>
      <w:r w:rsidR="008F044B">
        <w:t xml:space="preserve"> ‘hard to reach’ cohorts of young people </w:t>
      </w:r>
      <w:r w:rsidR="009015C4">
        <w:t>compared to</w:t>
      </w:r>
      <w:r w:rsidR="008F044B">
        <w:t xml:space="preserve"> young people in the general </w:t>
      </w:r>
      <w:r w:rsidR="005D1D7E">
        <w:t>population</w:t>
      </w:r>
      <w:r w:rsidR="008F044B">
        <w:t xml:space="preserve"> attending headspace. </w:t>
      </w:r>
      <w:r w:rsidR="00BE32D4">
        <w:t xml:space="preserve">Wait times are an area of criticism for the model and </w:t>
      </w:r>
      <w:r w:rsidR="00C9349D">
        <w:t>the complex governance arrangements are burdensome.</w:t>
      </w:r>
      <w:r w:rsidR="00DC698E">
        <w:t xml:space="preserve"> </w:t>
      </w:r>
      <w:r w:rsidR="007E3FDF">
        <w:t>To help address these challenges, a</w:t>
      </w:r>
      <w:r w:rsidR="00DC698E">
        <w:t xml:space="preserve"> number of recommendations are put forward below, for imple</w:t>
      </w:r>
      <w:r w:rsidR="007F7E2E">
        <w:t>mentation in the short</w:t>
      </w:r>
      <w:r w:rsidR="00B07D18">
        <w:t>-</w:t>
      </w:r>
      <w:r w:rsidR="007F7E2E">
        <w:t xml:space="preserve"> to medium-term.</w:t>
      </w:r>
    </w:p>
    <w:p w14:paraId="6C28AF2C" w14:textId="0895C88E" w:rsidR="00994918" w:rsidRDefault="005E2F9B" w:rsidP="003941C8">
      <w:pPr>
        <w:pStyle w:val="Heading3"/>
      </w:pPr>
      <w:r>
        <w:t>‘</w:t>
      </w:r>
      <w:r w:rsidR="00994918">
        <w:t>Hard to reach</w:t>
      </w:r>
      <w:r>
        <w:t>’</w:t>
      </w:r>
      <w:r w:rsidR="00994918">
        <w:t xml:space="preserve"> groups</w:t>
      </w:r>
    </w:p>
    <w:p w14:paraId="20D1CAD4" w14:textId="77777777" w:rsidR="00C07F5E" w:rsidRDefault="00D73E2F" w:rsidP="00785E13">
      <w:pPr>
        <w:pStyle w:val="BodyText"/>
      </w:pPr>
      <w:r>
        <w:t xml:space="preserve">A number of key findings from this evaluation </w:t>
      </w:r>
      <w:r w:rsidRPr="00F1579D">
        <w:t xml:space="preserve">indicate </w:t>
      </w:r>
      <w:r w:rsidRPr="00A40DB8">
        <w:t xml:space="preserve">that </w:t>
      </w:r>
      <w:r w:rsidR="007270D6" w:rsidRPr="00A40DB8">
        <w:t xml:space="preserve">more </w:t>
      </w:r>
      <w:r w:rsidR="0015576A" w:rsidRPr="00A40DB8">
        <w:t xml:space="preserve">needs to be done to </w:t>
      </w:r>
      <w:r w:rsidR="00516EC7" w:rsidRPr="00A40DB8">
        <w:t xml:space="preserve">support </w:t>
      </w:r>
      <w:r w:rsidR="005E2F9B">
        <w:t>‘</w:t>
      </w:r>
      <w:r w:rsidR="00730993" w:rsidRPr="00A40DB8">
        <w:t>hard to reach</w:t>
      </w:r>
      <w:r w:rsidR="005E2F9B">
        <w:t>’</w:t>
      </w:r>
      <w:r w:rsidR="00730993" w:rsidRPr="00A40DB8">
        <w:t xml:space="preserve"> groups to </w:t>
      </w:r>
      <w:r w:rsidR="00E672E6" w:rsidRPr="00A40DB8">
        <w:t>engage with headspace services and to improve outcomes achieve</w:t>
      </w:r>
      <w:r w:rsidR="00BC77E2" w:rsidRPr="00A40DB8">
        <w:t>d</w:t>
      </w:r>
      <w:r w:rsidR="00E672E6" w:rsidRPr="00A40DB8">
        <w:t xml:space="preserve"> for those who do engage.</w:t>
      </w:r>
      <w:r w:rsidR="00E672E6" w:rsidRPr="00F1579D">
        <w:t xml:space="preserve"> </w:t>
      </w:r>
      <w:bookmarkStart w:id="171" w:name="_Hlk98278448"/>
      <w:r w:rsidR="00ED2F1A">
        <w:t>Three groups of ‘hard to reach’ young people have engagement and outcomes which differ from those of the broader population of young people accessing headspace: y</w:t>
      </w:r>
      <w:r w:rsidR="00ED2F1A" w:rsidRPr="006B0C3C">
        <w:t>oung people who identify as LGBTQIA+</w:t>
      </w:r>
      <w:r w:rsidR="00ED2F1A">
        <w:t>, y</w:t>
      </w:r>
      <w:r w:rsidR="00ED2F1A" w:rsidRPr="006B0C3C">
        <w:t>oung people from culturally and linguistically diverse backgrounds</w:t>
      </w:r>
      <w:r w:rsidR="00ED2F1A">
        <w:t xml:space="preserve"> and </w:t>
      </w:r>
      <w:r w:rsidR="00ED2F1A" w:rsidRPr="006B0C3C">
        <w:t>Aboriginal and Torres Strait Islander young people</w:t>
      </w:r>
      <w:r w:rsidR="00ED2F1A">
        <w:t>. Relevant findings and reflections for each group are summarised below.</w:t>
      </w:r>
    </w:p>
    <w:p w14:paraId="27BAE915" w14:textId="39556AE2" w:rsidR="00F631AE" w:rsidDel="00E7325B" w:rsidRDefault="006B0C3C" w:rsidP="00785E13">
      <w:pPr>
        <w:pStyle w:val="BodyText"/>
      </w:pPr>
      <w:r>
        <w:t xml:space="preserve">In particular, </w:t>
      </w:r>
      <w:r w:rsidR="00D934AD">
        <w:t>o</w:t>
      </w:r>
      <w:r w:rsidR="00DC6778" w:rsidRPr="00F1579D" w:rsidDel="00E7325B">
        <w:t>ne</w:t>
      </w:r>
      <w:r w:rsidR="00B52E46" w:rsidRPr="00F1579D" w:rsidDel="00E7325B">
        <w:t xml:space="preserve"> strategy commonly endorsed </w:t>
      </w:r>
      <w:r w:rsidR="005D2BEF" w:rsidRPr="00F1579D" w:rsidDel="00E7325B">
        <w:t>to support</w:t>
      </w:r>
      <w:r w:rsidR="005D2BEF" w:rsidDel="00E7325B">
        <w:t xml:space="preserve"> engagement </w:t>
      </w:r>
      <w:r w:rsidR="002875AB" w:rsidDel="00E7325B">
        <w:t>and ongoing support for</w:t>
      </w:r>
      <w:r w:rsidR="002875AB">
        <w:t xml:space="preserve"> </w:t>
      </w:r>
      <w:r w:rsidR="00BD29DF">
        <w:t>‘</w:t>
      </w:r>
      <w:r w:rsidR="005D2BEF">
        <w:t xml:space="preserve">hard to </w:t>
      </w:r>
      <w:r w:rsidR="00BD29DF">
        <w:t>reach’</w:t>
      </w:r>
      <w:r w:rsidR="005D2BEF">
        <w:t xml:space="preserve"> </w:t>
      </w:r>
      <w:r w:rsidR="005D2BEF" w:rsidDel="00E7325B">
        <w:t xml:space="preserve">groups </w:t>
      </w:r>
      <w:r w:rsidR="00DC6778" w:rsidDel="00E7325B">
        <w:t>involves</w:t>
      </w:r>
      <w:r w:rsidR="005D2BEF" w:rsidDel="00E7325B">
        <w:t xml:space="preserve"> </w:t>
      </w:r>
      <w:r w:rsidR="00F07496" w:rsidDel="00E7325B">
        <w:t xml:space="preserve">enhancing representation of those groups within the workforce. </w:t>
      </w:r>
      <w:r w:rsidR="00695139" w:rsidDel="00E7325B">
        <w:t>Collaboration and service integration</w:t>
      </w:r>
      <w:r w:rsidR="00951B30" w:rsidDel="00E7325B">
        <w:t xml:space="preserve"> </w:t>
      </w:r>
      <w:r w:rsidR="00E61447" w:rsidDel="00E7325B">
        <w:t xml:space="preserve">of </w:t>
      </w:r>
      <w:r w:rsidR="00951B30" w:rsidDel="00E7325B">
        <w:t xml:space="preserve">community services designed specifically for </w:t>
      </w:r>
      <w:r w:rsidR="005E2F9B">
        <w:t>‘</w:t>
      </w:r>
      <w:r w:rsidR="00951B30" w:rsidDel="00E7325B">
        <w:t xml:space="preserve">hard to </w:t>
      </w:r>
      <w:r w:rsidR="00951B30">
        <w:t>reach</w:t>
      </w:r>
      <w:r w:rsidR="005E2F9B">
        <w:t>’</w:t>
      </w:r>
      <w:r w:rsidR="00951B30" w:rsidDel="00E7325B">
        <w:t xml:space="preserve"> groups</w:t>
      </w:r>
      <w:r w:rsidR="00AA7B44" w:rsidDel="00E7325B">
        <w:t xml:space="preserve">, such as </w:t>
      </w:r>
      <w:r w:rsidR="00D1740F" w:rsidDel="00E7325B">
        <w:t>Aboriginal</w:t>
      </w:r>
      <w:r w:rsidR="000263AB" w:rsidDel="00E7325B">
        <w:t xml:space="preserve"> Community</w:t>
      </w:r>
      <w:r w:rsidR="00D1740F" w:rsidDel="00E7325B">
        <w:t xml:space="preserve"> Controlled </w:t>
      </w:r>
      <w:bookmarkEnd w:id="171"/>
      <w:r w:rsidR="00D1740F" w:rsidDel="00E7325B">
        <w:t xml:space="preserve">Health </w:t>
      </w:r>
      <w:r w:rsidR="000263AB" w:rsidDel="00E7325B">
        <w:t>Services (ACCHSs)</w:t>
      </w:r>
      <w:r w:rsidR="00D1740F" w:rsidDel="00E7325B">
        <w:t>,</w:t>
      </w:r>
      <w:r w:rsidR="00951B30" w:rsidDel="00E7325B">
        <w:t xml:space="preserve"> is also a common strategy to building </w:t>
      </w:r>
      <w:r w:rsidR="00612C2F" w:rsidDel="00E7325B">
        <w:t xml:space="preserve">better referral pathways and engagement with </w:t>
      </w:r>
      <w:r w:rsidR="00AA7B44" w:rsidDel="00E7325B">
        <w:t>priority groups</w:t>
      </w:r>
      <w:r w:rsidR="00CC0438">
        <w:rPr>
          <w:rFonts w:ascii="ZWAdobeF" w:hAnsi="ZWAdobeF" w:cs="ZWAdobeF"/>
          <w:sz w:val="2"/>
          <w:szCs w:val="2"/>
        </w:rPr>
        <w:t>149F</w:t>
      </w:r>
      <w:r w:rsidR="009267DE">
        <w:rPr>
          <w:rStyle w:val="FootnoteReference"/>
          <w:rFonts w:cs="Calibri"/>
        </w:rPr>
        <w:footnoteReference w:id="151"/>
      </w:r>
      <w:r w:rsidR="00AA7B44" w:rsidDel="00E7325B">
        <w:t xml:space="preserve">. </w:t>
      </w:r>
    </w:p>
    <w:p w14:paraId="6677AF61" w14:textId="1F46D956" w:rsidR="00E672E6" w:rsidDel="00E7325B" w:rsidRDefault="00E63792" w:rsidP="00785E13">
      <w:pPr>
        <w:pStyle w:val="BodyText"/>
      </w:pPr>
      <w:r w:rsidDel="00E7325B">
        <w:t>When</w:t>
      </w:r>
      <w:r w:rsidR="00F631AE" w:rsidDel="00E7325B">
        <w:t xml:space="preserve"> </w:t>
      </w:r>
      <w:r w:rsidR="00620139" w:rsidDel="00E7325B">
        <w:t xml:space="preserve">individuals from these priority groups engage with services, </w:t>
      </w:r>
      <w:r w:rsidR="00E460EA" w:rsidDel="00E7325B">
        <w:t>many strategies can be employed to maintain engagement and achieve positive outcomes</w:t>
      </w:r>
      <w:r w:rsidR="00832CA9" w:rsidDel="00E7325B">
        <w:t xml:space="preserve">. </w:t>
      </w:r>
      <w:r w:rsidR="0079716D">
        <w:t xml:space="preserve">Stakeholders from headspace services were able to describe various ongoing activities undertaken to promote cultural safety and inclusion, including through training, policies and procedures. </w:t>
      </w:r>
      <w:r w:rsidR="00DC2107">
        <w:t>Th</w:t>
      </w:r>
      <w:r w:rsidR="00832CA9" w:rsidDel="00E7325B">
        <w:t xml:space="preserve">e provision of culturally </w:t>
      </w:r>
      <w:r w:rsidR="00F631AE" w:rsidDel="00E7325B">
        <w:t>safe and appropriate service</w:t>
      </w:r>
      <w:r w:rsidDel="00E7325B">
        <w:t>s</w:t>
      </w:r>
      <w:r w:rsidR="00DC2107">
        <w:t xml:space="preserve"> is key to successful engagement with priority groups, for example through </w:t>
      </w:r>
      <w:r w:rsidR="005727E4" w:rsidDel="00E7325B">
        <w:t>employment of identified wor</w:t>
      </w:r>
      <w:r w:rsidR="00A63DC6" w:rsidDel="00E7325B">
        <w:t>k</w:t>
      </w:r>
      <w:r w:rsidR="005727E4" w:rsidDel="00E7325B">
        <w:t xml:space="preserve">ers, </w:t>
      </w:r>
      <w:r w:rsidR="000D1294" w:rsidDel="00E7325B">
        <w:t xml:space="preserve">ensuring an inclusive and respectful physical environment, provision of flexible support models </w:t>
      </w:r>
      <w:r w:rsidR="00F631AE" w:rsidDel="00E7325B">
        <w:t>including outreach, peer and group opportunities</w:t>
      </w:r>
      <w:r w:rsidR="00A63DC6" w:rsidDel="00E7325B">
        <w:t>,</w:t>
      </w:r>
      <w:r w:rsidR="00F631AE" w:rsidDel="00E7325B">
        <w:t xml:space="preserve"> </w:t>
      </w:r>
      <w:r w:rsidR="000D1294" w:rsidDel="00E7325B">
        <w:t xml:space="preserve">and </w:t>
      </w:r>
      <w:r w:rsidR="00F631AE" w:rsidDel="00E7325B">
        <w:t xml:space="preserve">engagement with </w:t>
      </w:r>
      <w:r w:rsidR="00A63DC6" w:rsidDel="00E7325B">
        <w:t xml:space="preserve">their </w:t>
      </w:r>
      <w:r w:rsidDel="00E7325B">
        <w:t xml:space="preserve">community (such as </w:t>
      </w:r>
      <w:r w:rsidR="00F631AE" w:rsidDel="00E7325B">
        <w:t>family</w:t>
      </w:r>
      <w:r w:rsidDel="00E7325B">
        <w:t>,</w:t>
      </w:r>
      <w:r w:rsidR="00F631AE" w:rsidDel="00E7325B">
        <w:t xml:space="preserve"> friends</w:t>
      </w:r>
      <w:r w:rsidDel="00E7325B">
        <w:t xml:space="preserve"> and </w:t>
      </w:r>
      <w:r w:rsidR="00054F61">
        <w:t>Elders</w:t>
      </w:r>
      <w:r>
        <w:t xml:space="preserve">). </w:t>
      </w:r>
    </w:p>
    <w:p w14:paraId="58AB03E5" w14:textId="670DAAA9" w:rsidR="00350C03" w:rsidRDefault="00350C03" w:rsidP="00350C03">
      <w:pPr>
        <w:pStyle w:val="Heading4"/>
      </w:pPr>
      <w:r>
        <w:t>Young people who identify as LGBTQIA+</w:t>
      </w:r>
    </w:p>
    <w:p w14:paraId="6D23B523" w14:textId="1CF239A5" w:rsidR="00D25062" w:rsidRDefault="00561F90" w:rsidP="00561F90">
      <w:pPr>
        <w:pStyle w:val="BodyText"/>
      </w:pPr>
      <w:r>
        <w:rPr>
          <w:rFonts w:cs="Calibri"/>
          <w:szCs w:val="20"/>
        </w:rPr>
        <w:t xml:space="preserve">As described in Chapter </w:t>
      </w:r>
      <w:r w:rsidR="00942B86" w:rsidRPr="003E21DD">
        <w:rPr>
          <w:rFonts w:cs="Calibri"/>
          <w:szCs w:val="20"/>
        </w:rPr>
        <w:fldChar w:fldCharType="begin" w:fldLock="1"/>
      </w:r>
      <w:r w:rsidR="00942B86" w:rsidRPr="003E21DD">
        <w:rPr>
          <w:rFonts w:cs="Calibri"/>
          <w:szCs w:val="20"/>
        </w:rPr>
        <w:instrText xml:space="preserve"> REF _Ref98317699 \w \h </w:instrText>
      </w:r>
      <w:r w:rsidR="003E21DD">
        <w:rPr>
          <w:rFonts w:cs="Calibri"/>
          <w:szCs w:val="20"/>
        </w:rPr>
        <w:instrText xml:space="preserve"> \* MERGEFORMAT </w:instrText>
      </w:r>
      <w:r w:rsidR="00942B86" w:rsidRPr="003E21DD">
        <w:rPr>
          <w:rFonts w:cs="Calibri"/>
          <w:szCs w:val="20"/>
        </w:rPr>
      </w:r>
      <w:r w:rsidR="00942B86" w:rsidRPr="003E21DD">
        <w:rPr>
          <w:rFonts w:cs="Calibri"/>
          <w:szCs w:val="20"/>
        </w:rPr>
        <w:fldChar w:fldCharType="separate"/>
      </w:r>
      <w:r w:rsidR="00AE4D34" w:rsidRPr="003E21DD">
        <w:rPr>
          <w:rFonts w:cs="Calibri"/>
          <w:szCs w:val="20"/>
        </w:rPr>
        <w:t>3</w:t>
      </w:r>
      <w:r w:rsidR="00942B86" w:rsidRPr="003E21DD">
        <w:rPr>
          <w:rFonts w:cs="Calibri"/>
          <w:szCs w:val="20"/>
        </w:rPr>
        <w:fldChar w:fldCharType="end"/>
      </w:r>
      <w:r>
        <w:rPr>
          <w:rFonts w:cs="Calibri"/>
          <w:szCs w:val="20"/>
        </w:rPr>
        <w:t xml:space="preserve">, </w:t>
      </w:r>
      <w:r>
        <w:t xml:space="preserve">analysis of clinical data indicates that LGBTQIA+ young people experienced </w:t>
      </w:r>
      <w:r w:rsidRPr="003E21DD">
        <w:t xml:space="preserve">less improvement </w:t>
      </w:r>
      <w:r w:rsidR="00B2026D" w:rsidRPr="003E21DD">
        <w:t>across all measure</w:t>
      </w:r>
      <w:r w:rsidR="00B2026D">
        <w:t>s</w:t>
      </w:r>
      <w:r w:rsidRPr="003E21DD">
        <w:t xml:space="preserve"> than</w:t>
      </w:r>
      <w:r w:rsidR="00ED32FD" w:rsidRPr="003E21DD">
        <w:t xml:space="preserve"> young people who do not identify as </w:t>
      </w:r>
      <w:r w:rsidRPr="003E21DD">
        <w:t xml:space="preserve">LGBTQIA+ </w:t>
      </w:r>
      <w:r>
        <w:t xml:space="preserve">. At the same time, </w:t>
      </w:r>
      <w:r w:rsidR="00AE0D2C">
        <w:t xml:space="preserve">data indicates that </w:t>
      </w:r>
      <w:r w:rsidRPr="009346AD">
        <w:t xml:space="preserve">LGBTQIA+ young people are significantly more likely to be older than 21 </w:t>
      </w:r>
      <w:r w:rsidR="002028D7">
        <w:t xml:space="preserve">years </w:t>
      </w:r>
      <w:r w:rsidR="00AE65D2">
        <w:t xml:space="preserve">of age </w:t>
      </w:r>
      <w:r w:rsidRPr="009346AD">
        <w:t>when attending a headspace service</w:t>
      </w:r>
      <w:r w:rsidR="00FF1E3C">
        <w:t xml:space="preserve">, a trend which </w:t>
      </w:r>
      <w:r w:rsidR="00790362">
        <w:t xml:space="preserve">is </w:t>
      </w:r>
      <w:r w:rsidR="00FF1E3C">
        <w:t>consistent</w:t>
      </w:r>
      <w:r w:rsidR="00E369B6">
        <w:t xml:space="preserve"> with </w:t>
      </w:r>
      <w:r w:rsidR="00790362">
        <w:t xml:space="preserve">LGBTQIA+ </w:t>
      </w:r>
      <w:r w:rsidR="00722661">
        <w:t>young people</w:t>
      </w:r>
      <w:r w:rsidR="00AE65D2">
        <w:t>’s</w:t>
      </w:r>
      <w:r w:rsidR="00722661">
        <w:t xml:space="preserve"> </w:t>
      </w:r>
      <w:r w:rsidR="00790362">
        <w:t>help seeking behaviours</w:t>
      </w:r>
      <w:r w:rsidR="005A22B8">
        <w:t xml:space="preserve"> more b</w:t>
      </w:r>
      <w:r w:rsidR="00E83ABA">
        <w:t>ro</w:t>
      </w:r>
      <w:r w:rsidR="005A22B8">
        <w:t>adly</w:t>
      </w:r>
      <w:r w:rsidRPr="009346AD">
        <w:t xml:space="preserve">. </w:t>
      </w:r>
      <w:r w:rsidR="00D25062" w:rsidRPr="001C018C">
        <w:t xml:space="preserve">There are many factors which </w:t>
      </w:r>
      <w:r w:rsidR="00D25062" w:rsidRPr="00F84D4A">
        <w:t xml:space="preserve">impact </w:t>
      </w:r>
      <w:r w:rsidR="00EC42B0" w:rsidRPr="00F84D4A">
        <w:t xml:space="preserve">mental health </w:t>
      </w:r>
      <w:r w:rsidR="00D25062" w:rsidRPr="00F84D4A">
        <w:t xml:space="preserve">help </w:t>
      </w:r>
      <w:r w:rsidR="00D25062" w:rsidRPr="002231B9">
        <w:t xml:space="preserve">seeking behaviours </w:t>
      </w:r>
      <w:r w:rsidR="00EB1FBB" w:rsidRPr="000B00D9">
        <w:t>of LGBTQIA+ young people</w:t>
      </w:r>
      <w:r w:rsidR="00AE65D2">
        <w:t>,</w:t>
      </w:r>
      <w:r w:rsidR="00EB1FBB" w:rsidRPr="000B00D9">
        <w:t xml:space="preserve"> including the age </w:t>
      </w:r>
      <w:r w:rsidR="00FD33C9">
        <w:t xml:space="preserve">at </w:t>
      </w:r>
      <w:r w:rsidR="00EB1FBB" w:rsidRPr="000B00D9">
        <w:t xml:space="preserve">which young people generally negotiate sexual orientation and gender norms, </w:t>
      </w:r>
      <w:r w:rsidR="00EC42B0" w:rsidRPr="000B00D9">
        <w:t xml:space="preserve">perceived judgements by </w:t>
      </w:r>
      <w:r w:rsidR="00EC42B0" w:rsidRPr="00233002">
        <w:t>health care workers a</w:t>
      </w:r>
      <w:r w:rsidR="00EC42B0" w:rsidRPr="009776F5">
        <w:t xml:space="preserve">nd presence of existing </w:t>
      </w:r>
      <w:r w:rsidR="00EC42B0" w:rsidRPr="000263AB">
        <w:t>natural support through family and friends</w:t>
      </w:r>
      <w:r w:rsidR="00CC0438">
        <w:rPr>
          <w:rFonts w:ascii="ZWAdobeF" w:hAnsi="ZWAdobeF" w:cs="ZWAdobeF"/>
          <w:sz w:val="2"/>
          <w:szCs w:val="2"/>
        </w:rPr>
        <w:t>150F</w:t>
      </w:r>
      <w:r w:rsidR="00F84D4A">
        <w:rPr>
          <w:rStyle w:val="FootnoteReference"/>
        </w:rPr>
        <w:footnoteReference w:id="152"/>
      </w:r>
      <w:r w:rsidR="00EC42B0" w:rsidRPr="001C018C">
        <w:t>.</w:t>
      </w:r>
      <w:r w:rsidR="00EB1FBB">
        <w:t xml:space="preserve"> </w:t>
      </w:r>
    </w:p>
    <w:p w14:paraId="1811D1D7" w14:textId="200CF54E" w:rsidR="00561F90" w:rsidRDefault="00E65417" w:rsidP="00561F90">
      <w:pPr>
        <w:pStyle w:val="BodyText"/>
      </w:pPr>
      <w:r>
        <w:t xml:space="preserve">While </w:t>
      </w:r>
      <w:r w:rsidR="00101F2F">
        <w:t xml:space="preserve">LGBTQIA+ young </w:t>
      </w:r>
      <w:r w:rsidR="00101F2F" w:rsidRPr="003E21DD">
        <w:t>people</w:t>
      </w:r>
      <w:r w:rsidR="00224085" w:rsidRPr="003E21DD">
        <w:t xml:space="preserve"> </w:t>
      </w:r>
      <w:r>
        <w:t>tend to access</w:t>
      </w:r>
      <w:r w:rsidR="00224085" w:rsidRPr="003E21DD">
        <w:t xml:space="preserve"> </w:t>
      </w:r>
      <w:r w:rsidR="00787B20">
        <w:t>headspace</w:t>
      </w:r>
      <w:r w:rsidR="00D41582">
        <w:t xml:space="preserve"> at a later age, they</w:t>
      </w:r>
      <w:r w:rsidR="00101F2F" w:rsidRPr="009346AD">
        <w:t xml:space="preserve"> </w:t>
      </w:r>
      <w:r w:rsidR="00561F90" w:rsidRPr="009346AD">
        <w:t xml:space="preserve">are significantly </w:t>
      </w:r>
      <w:r w:rsidR="0092747E">
        <w:t>more</w:t>
      </w:r>
      <w:r w:rsidR="0092747E" w:rsidRPr="003E21DD">
        <w:t xml:space="preserve"> </w:t>
      </w:r>
      <w:r w:rsidR="00561F90" w:rsidRPr="003E21DD">
        <w:t xml:space="preserve">likely to present with </w:t>
      </w:r>
      <w:r w:rsidR="00247961">
        <w:t>more</w:t>
      </w:r>
      <w:r w:rsidR="00247961" w:rsidRPr="003E21DD">
        <w:t xml:space="preserve"> </w:t>
      </w:r>
      <w:r w:rsidR="00561F90" w:rsidRPr="003E21DD">
        <w:t>risk factors</w:t>
      </w:r>
      <w:r w:rsidR="00561F90" w:rsidRPr="009346AD">
        <w:t xml:space="preserve">, but are </w:t>
      </w:r>
      <w:r w:rsidR="00FD33C9">
        <w:t xml:space="preserve">as </w:t>
      </w:r>
      <w:r w:rsidR="00561F90" w:rsidRPr="009346AD">
        <w:t>equally likely as young people from the general population to be presenting in the early stages of a</w:t>
      </w:r>
      <w:r w:rsidR="00B20800">
        <w:t xml:space="preserve"> mental health condition</w:t>
      </w:r>
      <w:r w:rsidR="00561F90" w:rsidRPr="009346AD">
        <w:t>.</w:t>
      </w:r>
      <w:r w:rsidR="00561F90">
        <w:t xml:space="preserve"> For LGBTQIA+</w:t>
      </w:r>
      <w:r w:rsidR="0063719C">
        <w:t xml:space="preserve"> young people</w:t>
      </w:r>
      <w:r w:rsidR="00561F90">
        <w:t xml:space="preserve">, </w:t>
      </w:r>
      <w:r w:rsidR="00561F90" w:rsidRPr="003E21DD">
        <w:t>access rates of headspace supports are high</w:t>
      </w:r>
      <w:r w:rsidR="00561F90">
        <w:t xml:space="preserve"> and have remained stable over the data </w:t>
      </w:r>
      <w:r w:rsidR="00372F12">
        <w:t>period.</w:t>
      </w:r>
    </w:p>
    <w:p w14:paraId="6F5057B0" w14:textId="18CE9FEF" w:rsidR="009346AD" w:rsidRDefault="009346AD" w:rsidP="00D73E2F">
      <w:pPr>
        <w:pStyle w:val="BodyText"/>
      </w:pPr>
      <w:r>
        <w:t xml:space="preserve">One interpretation of this data is that for LGBTQIA+ young people, </w:t>
      </w:r>
      <w:r w:rsidRPr="003E21DD">
        <w:t>late help seeking may be constraining the clinical effectiveness of support they receive at headspace</w:t>
      </w:r>
      <w:r>
        <w:t xml:space="preserve">, although </w:t>
      </w:r>
      <w:r w:rsidR="002028D7">
        <w:t xml:space="preserve">this cohort </w:t>
      </w:r>
      <w:r>
        <w:t>report</w:t>
      </w:r>
      <w:r w:rsidR="00642F67">
        <w:t>s</w:t>
      </w:r>
      <w:r>
        <w:t xml:space="preserve"> </w:t>
      </w:r>
      <w:r w:rsidRPr="003E21DD">
        <w:t>high user satisfaction</w:t>
      </w:r>
      <w:r>
        <w:t xml:space="preserve"> levels and feel</w:t>
      </w:r>
      <w:r w:rsidR="00642F67">
        <w:t>s</w:t>
      </w:r>
      <w:r>
        <w:t xml:space="preserve"> headspace is a safe and welcoming place for them.</w:t>
      </w:r>
    </w:p>
    <w:p w14:paraId="5C8A69ED" w14:textId="5C6C986E" w:rsidR="00350C03" w:rsidRDefault="00350C03" w:rsidP="00350C03">
      <w:pPr>
        <w:pStyle w:val="BodyText"/>
      </w:pPr>
      <w:r>
        <w:t>Another interpretation of this result may be that the headspace clinical model is unsuitable for LGBTQIA+</w:t>
      </w:r>
      <w:r w:rsidR="00E84098">
        <w:t xml:space="preserve"> young </w:t>
      </w:r>
      <w:r w:rsidR="002B0E7A">
        <w:t>p</w:t>
      </w:r>
      <w:r w:rsidR="00E84098">
        <w:t>eople</w:t>
      </w:r>
      <w:r>
        <w:t xml:space="preserve">, and that this group has unique or particular needs which the model does not support. Given the high user satisfaction from young people who identify as LGBTQIA+, this does not seem to be a likely explanation. </w:t>
      </w:r>
    </w:p>
    <w:p w14:paraId="6CCC43CA" w14:textId="4D209ECF" w:rsidR="009346AD" w:rsidRDefault="002A138E" w:rsidP="00D73E2F">
      <w:pPr>
        <w:pStyle w:val="BodyText"/>
      </w:pPr>
      <w:r>
        <w:t xml:space="preserve">Whilst delayed help seeking </w:t>
      </w:r>
      <w:r w:rsidR="009776F5">
        <w:t>is</w:t>
      </w:r>
      <w:r>
        <w:t xml:space="preserve"> common amongst LGBTQIA+ young people</w:t>
      </w:r>
      <w:r w:rsidR="00D56B2C">
        <w:t xml:space="preserve">, </w:t>
      </w:r>
      <w:r w:rsidR="00F24133">
        <w:t>this may be a</w:t>
      </w:r>
      <w:r w:rsidR="009346AD">
        <w:t xml:space="preserve"> key factor leading to </w:t>
      </w:r>
      <w:r w:rsidR="00762303">
        <w:t xml:space="preserve">relatively poor </w:t>
      </w:r>
      <w:r w:rsidR="009346AD">
        <w:t>clinical outcomes for this group</w:t>
      </w:r>
      <w:r w:rsidR="00F24133">
        <w:t>.</w:t>
      </w:r>
      <w:r w:rsidR="009346AD" w:rsidRPr="0048214F">
        <w:t xml:space="preserve"> </w:t>
      </w:r>
      <w:r w:rsidR="00FF6EA1" w:rsidRPr="0048214F">
        <w:t xml:space="preserve">headspace </w:t>
      </w:r>
      <w:r w:rsidR="00F24133" w:rsidRPr="0048214F">
        <w:t>is uniquely placed to strengthen</w:t>
      </w:r>
      <w:r w:rsidR="00FF6EA1" w:rsidRPr="0048214F">
        <w:t xml:space="preserve"> </w:t>
      </w:r>
      <w:r w:rsidR="009346AD" w:rsidRPr="0048214F">
        <w:t>the role of community awareness and engagement</w:t>
      </w:r>
      <w:r w:rsidR="009346AD">
        <w:t xml:space="preserve"> activities for LGBTQIA+ young people </w:t>
      </w:r>
      <w:r w:rsidR="00F24133">
        <w:t xml:space="preserve">and </w:t>
      </w:r>
      <w:r w:rsidR="009346AD">
        <w:t xml:space="preserve">focus on </w:t>
      </w:r>
      <w:r w:rsidR="009346AD" w:rsidRPr="003E21DD">
        <w:t>encouraging early help seeking, includ</w:t>
      </w:r>
      <w:r w:rsidR="00F24133" w:rsidRPr="003E21DD">
        <w:t>ing</w:t>
      </w:r>
      <w:r w:rsidR="009346AD" w:rsidRPr="003E21DD">
        <w:t xml:space="preserve"> outreach</w:t>
      </w:r>
      <w:r w:rsidR="009346AD">
        <w:t xml:space="preserve"> to schools and participati</w:t>
      </w:r>
      <w:r w:rsidR="00B74EDF">
        <w:t>o</w:t>
      </w:r>
      <w:r w:rsidR="009346AD">
        <w:t>n in community events with a view to normalising mental health and wellbeing help</w:t>
      </w:r>
      <w:r w:rsidR="00C37C27">
        <w:t xml:space="preserve"> </w:t>
      </w:r>
      <w:r w:rsidR="009346AD">
        <w:t>seeking for LGBTQIA+ young people</w:t>
      </w:r>
      <w:r w:rsidR="00F15268">
        <w:t>, particularly for those</w:t>
      </w:r>
      <w:r w:rsidR="009346AD">
        <w:t xml:space="preserve"> aged under 21 years. </w:t>
      </w:r>
    </w:p>
    <w:p w14:paraId="720E5D8D" w14:textId="32533170" w:rsidR="00350C03" w:rsidRDefault="00350C03" w:rsidP="00350C03">
      <w:pPr>
        <w:pStyle w:val="Heading4"/>
      </w:pPr>
      <w:r>
        <w:t>Young people from culturally and linguistically diverse backgrounds</w:t>
      </w:r>
    </w:p>
    <w:p w14:paraId="38D71D11" w14:textId="798D5950" w:rsidR="00350C03" w:rsidRPr="00F1579D" w:rsidRDefault="00D73E2F" w:rsidP="00350C03">
      <w:pPr>
        <w:pStyle w:val="BodyText"/>
      </w:pPr>
      <w:r>
        <w:t>By contrast</w:t>
      </w:r>
      <w:r w:rsidR="00C37C27">
        <w:t>,</w:t>
      </w:r>
      <w:r>
        <w:t xml:space="preserve"> culturally and linguistically diverse cohorts </w:t>
      </w:r>
      <w:r w:rsidRPr="00F1579D">
        <w:t xml:space="preserve">achieved </w:t>
      </w:r>
      <w:r w:rsidRPr="00224085">
        <w:t>statistically similar improvements</w:t>
      </w:r>
      <w:r w:rsidRPr="00F1579D">
        <w:t xml:space="preserve"> </w:t>
      </w:r>
      <w:r w:rsidR="00350C03" w:rsidRPr="00506787">
        <w:t xml:space="preserve">on clinical outcome measures </w:t>
      </w:r>
      <w:r w:rsidRPr="00653398">
        <w:t xml:space="preserve">as </w:t>
      </w:r>
      <w:r w:rsidR="00F43613" w:rsidRPr="00224085">
        <w:t xml:space="preserve">young people who do not identify as </w:t>
      </w:r>
      <w:r w:rsidRPr="00F1579D">
        <w:t xml:space="preserve">culturally and linguistically diverse. </w:t>
      </w:r>
    </w:p>
    <w:p w14:paraId="3FAB663F" w14:textId="02772104" w:rsidR="00350C03" w:rsidRPr="00506787" w:rsidRDefault="00350C03" w:rsidP="00350C03">
      <w:pPr>
        <w:pStyle w:val="BodyText"/>
      </w:pPr>
      <w:r w:rsidRPr="00F1579D">
        <w:t xml:space="preserve">Culturally and linguistically diverse young people are also significantly more likely to be </w:t>
      </w:r>
      <w:r w:rsidRPr="00224085">
        <w:t>older than 21</w:t>
      </w:r>
      <w:r w:rsidR="00A469C7">
        <w:t> </w:t>
      </w:r>
      <w:r w:rsidR="00C26123" w:rsidRPr="00224085">
        <w:t>years</w:t>
      </w:r>
      <w:r w:rsidRPr="00F1579D">
        <w:t xml:space="preserve"> </w:t>
      </w:r>
      <w:r w:rsidR="00AE65D2">
        <w:t>of age</w:t>
      </w:r>
      <w:r w:rsidRPr="00F1579D">
        <w:t xml:space="preserve"> when attending a headspace service, but are </w:t>
      </w:r>
      <w:r w:rsidR="00B74EDF">
        <w:t xml:space="preserve">as </w:t>
      </w:r>
      <w:r w:rsidRPr="00F1579D">
        <w:t xml:space="preserve">equally likely as young people from the general </w:t>
      </w:r>
      <w:r w:rsidRPr="00506787">
        <w:t xml:space="preserve">population to be presenting with </w:t>
      </w:r>
      <w:r w:rsidRPr="00224085">
        <w:t>low mental health risk factors or early stages of a disorder</w:t>
      </w:r>
      <w:r w:rsidRPr="00F1579D">
        <w:t>.</w:t>
      </w:r>
    </w:p>
    <w:p w14:paraId="01638256" w14:textId="3A11ED71" w:rsidR="00350C03" w:rsidRPr="00653398" w:rsidRDefault="00350C03" w:rsidP="00350C03">
      <w:pPr>
        <w:pStyle w:val="BodyText"/>
      </w:pPr>
      <w:r w:rsidRPr="00653398">
        <w:t xml:space="preserve">For young people in these groups, access rates may be constrained by </w:t>
      </w:r>
      <w:r w:rsidRPr="00224085">
        <w:t>stigma,</w:t>
      </w:r>
      <w:r w:rsidRPr="00F1579D">
        <w:t xml:space="preserve"> as described in focus groups, interviews and survey responses from young people who </w:t>
      </w:r>
      <w:r w:rsidRPr="00506787">
        <w:t>identify as culturally and linguistically diverse.</w:t>
      </w:r>
    </w:p>
    <w:p w14:paraId="5CCEEA94" w14:textId="0A06B9B7" w:rsidR="00350C03" w:rsidRPr="00653398" w:rsidRDefault="000A660C" w:rsidP="00350C03">
      <w:pPr>
        <w:pStyle w:val="BodyText"/>
      </w:pPr>
      <w:r w:rsidRPr="00F20DF7">
        <w:t xml:space="preserve">These results indicate that for culturally and linguistically diverse young people, </w:t>
      </w:r>
      <w:r w:rsidRPr="00224085">
        <w:t>community awareness and engagement activities</w:t>
      </w:r>
      <w:r w:rsidRPr="00F1579D">
        <w:t xml:space="preserve"> could be undertaken, </w:t>
      </w:r>
      <w:r w:rsidRPr="00224085">
        <w:t>targeting stigma and mental health literacy.</w:t>
      </w:r>
      <w:r w:rsidRPr="00F1579D">
        <w:t xml:space="preserve"> This may </w:t>
      </w:r>
      <w:r w:rsidRPr="00506787">
        <w:t xml:space="preserve">improve early help seeking and access of the headspace model, and increase the volume of young people from these groups who </w:t>
      </w:r>
      <w:r w:rsidR="00AE65D2">
        <w:t xml:space="preserve">would </w:t>
      </w:r>
      <w:r w:rsidRPr="00506787">
        <w:t xml:space="preserve">benefit from support through headspace. </w:t>
      </w:r>
    </w:p>
    <w:p w14:paraId="60F10254" w14:textId="0BC4546E" w:rsidR="00350C03" w:rsidRPr="0032222D" w:rsidRDefault="00350C03" w:rsidP="00350C03">
      <w:pPr>
        <w:pStyle w:val="Heading4"/>
      </w:pPr>
      <w:r w:rsidRPr="00F20DF7">
        <w:t>Aboriginal and Torres Strait Islander young people</w:t>
      </w:r>
    </w:p>
    <w:p w14:paraId="23C34830" w14:textId="249E6480" w:rsidR="00D73E2F" w:rsidRDefault="00D73E2F" w:rsidP="00D73E2F">
      <w:pPr>
        <w:pStyle w:val="BodyText"/>
      </w:pPr>
      <w:r w:rsidRPr="00271C11">
        <w:t xml:space="preserve">Improvements in SOFAS and MLT </w:t>
      </w:r>
      <w:r w:rsidRPr="00224085">
        <w:t>outcome measures were statistically significantly lower</w:t>
      </w:r>
      <w:r w:rsidRPr="00F1579D">
        <w:t xml:space="preserve"> than</w:t>
      </w:r>
      <w:r>
        <w:t xml:space="preserve"> </w:t>
      </w:r>
      <w:r w:rsidR="009038FA">
        <w:t xml:space="preserve">the </w:t>
      </w:r>
      <w:r>
        <w:t>average</w:t>
      </w:r>
      <w:r w:rsidR="009038FA">
        <w:t xml:space="preserve"> analytical sample</w:t>
      </w:r>
      <w:r>
        <w:t xml:space="preserve"> among the Aboriginal and Torres Strait Islander </w:t>
      </w:r>
      <w:r w:rsidR="00A23443">
        <w:t>cohort</w:t>
      </w:r>
      <w:r w:rsidR="005570CB">
        <w:t>.</w:t>
      </w:r>
      <w:r w:rsidR="005570CB" w:rsidRPr="005570CB">
        <w:t xml:space="preserve"> However, when using the K10 outcome measure, outcomes among the Aboriginal and Torres Strait Islander </w:t>
      </w:r>
      <w:r w:rsidR="00B92989">
        <w:t xml:space="preserve">cohort </w:t>
      </w:r>
      <w:r w:rsidR="005570CB" w:rsidRPr="005570CB">
        <w:t>and the general young person population accessing headspace are statistically similar.</w:t>
      </w:r>
      <w:r w:rsidR="005570CB">
        <w:t xml:space="preserve"> </w:t>
      </w:r>
      <w:r w:rsidR="00456BE2">
        <w:t xml:space="preserve">It should be noted that while the K10 is widely used in population health surveys and as a clinical measure of distress, there are questions as to its cultural appropriateness for Aboriginal and Torres Strait Islander </w:t>
      </w:r>
      <w:r w:rsidR="00AE65D2">
        <w:t xml:space="preserve">young </w:t>
      </w:r>
      <w:r w:rsidR="00456BE2">
        <w:t>people</w:t>
      </w:r>
      <w:r w:rsidR="00CC0438">
        <w:rPr>
          <w:rFonts w:ascii="ZWAdobeF" w:hAnsi="ZWAdobeF" w:cs="ZWAdobeF"/>
          <w:sz w:val="2"/>
          <w:szCs w:val="2"/>
        </w:rPr>
        <w:t>151F</w:t>
      </w:r>
      <w:r w:rsidR="00456BE2">
        <w:rPr>
          <w:rStyle w:val="FootnoteReference"/>
        </w:rPr>
        <w:footnoteReference w:id="153"/>
      </w:r>
      <w:r w:rsidR="00456BE2">
        <w:t>. There would be value in exploring more reliable measures of mental health and wellbeing in Aboriginal and Torres Strait Islander young people, for use within headspace.</w:t>
      </w:r>
      <w:r w:rsidR="00393D90">
        <w:t xml:space="preserve"> </w:t>
      </w:r>
      <w:r w:rsidR="00596786">
        <w:t>For example, t</w:t>
      </w:r>
      <w:r w:rsidR="00393D90">
        <w:t xml:space="preserve">he modified Kessler scale </w:t>
      </w:r>
      <w:r w:rsidR="00B00656">
        <w:t xml:space="preserve">MK-K5 may be a useful alternative assessment tool to support a </w:t>
      </w:r>
      <w:r w:rsidR="007A2BEA">
        <w:t>reliable understanding of the psychological distress levels of Aboriginal and Torres Strait Islander young people presenting at headspace services</w:t>
      </w:r>
      <w:r w:rsidR="00CC0438">
        <w:rPr>
          <w:rFonts w:ascii="ZWAdobeF" w:hAnsi="ZWAdobeF" w:cs="ZWAdobeF"/>
          <w:sz w:val="2"/>
          <w:szCs w:val="2"/>
        </w:rPr>
        <w:t>152F</w:t>
      </w:r>
      <w:r w:rsidR="007A2BEA">
        <w:rPr>
          <w:rStyle w:val="FootnoteReference"/>
        </w:rPr>
        <w:footnoteReference w:id="154"/>
      </w:r>
      <w:r w:rsidR="008E4C2D" w:rsidRPr="00E40814">
        <w:rPr>
          <w:vertAlign w:val="superscript"/>
        </w:rPr>
        <w:t>,</w:t>
      </w:r>
      <w:r w:rsidR="00CC0438">
        <w:rPr>
          <w:rFonts w:ascii="ZWAdobeF" w:hAnsi="ZWAdobeF" w:cs="ZWAdobeF"/>
          <w:sz w:val="2"/>
          <w:szCs w:val="2"/>
        </w:rPr>
        <w:t>153F</w:t>
      </w:r>
      <w:r w:rsidR="008E4C2D">
        <w:rPr>
          <w:rStyle w:val="FootnoteReference"/>
        </w:rPr>
        <w:footnoteReference w:id="155"/>
      </w:r>
      <w:r w:rsidR="00596786">
        <w:t>.</w:t>
      </w:r>
    </w:p>
    <w:p w14:paraId="3542FAF2" w14:textId="64A61294" w:rsidR="00D73E2F" w:rsidRPr="00956581" w:rsidRDefault="00350C03" w:rsidP="006B7096">
      <w:pPr>
        <w:pStyle w:val="BodyText"/>
      </w:pPr>
      <w:r>
        <w:t xml:space="preserve">Aboriginal and Torres Strait Islander young people </w:t>
      </w:r>
      <w:r w:rsidR="00AE65D2">
        <w:t>attending headspace</w:t>
      </w:r>
      <w:r w:rsidR="00C02740" w:rsidRPr="00C02740">
        <w:t xml:space="preserve"> fare well on two of the three indicators of early help seeking examined in this evaluation. They</w:t>
      </w:r>
      <w:r w:rsidR="00AE65D2">
        <w:t xml:space="preserve"> </w:t>
      </w:r>
      <w:r>
        <w:t xml:space="preserve">are </w:t>
      </w:r>
      <w:r w:rsidRPr="002A3A32">
        <w:t xml:space="preserve">significantly </w:t>
      </w:r>
      <w:r w:rsidRPr="00B43A04">
        <w:t>more likely to be under the age of 21</w:t>
      </w:r>
      <w:r w:rsidRPr="002A3A32">
        <w:t xml:space="preserve"> compared to the general population of young people attending h</w:t>
      </w:r>
      <w:r>
        <w:t xml:space="preserve">eadspace </w:t>
      </w:r>
      <w:r w:rsidR="00DD305F">
        <w:t>and</w:t>
      </w:r>
      <w:r>
        <w:t xml:space="preserve"> are </w:t>
      </w:r>
      <w:r w:rsidR="00DD305F">
        <w:t>as</w:t>
      </w:r>
      <w:r>
        <w:t xml:space="preserve"> likely to be presenting with low mental health risk as young people from the general population</w:t>
      </w:r>
      <w:r w:rsidR="00AE65D2">
        <w:t>.</w:t>
      </w:r>
      <w:r>
        <w:t xml:space="preserve"> </w:t>
      </w:r>
      <w:r w:rsidR="00965E08">
        <w:t>At the same time, however,</w:t>
      </w:r>
      <w:r w:rsidR="003B090F">
        <w:t xml:space="preserve"> </w:t>
      </w:r>
      <w:r w:rsidR="00B43A04">
        <w:t xml:space="preserve">Aboriginal and Torres Strait Islander young people </w:t>
      </w:r>
      <w:r w:rsidR="00064EE1">
        <w:t xml:space="preserve">are </w:t>
      </w:r>
      <w:r w:rsidR="00965E08">
        <w:t>more</w:t>
      </w:r>
      <w:r w:rsidR="009E5756" w:rsidRPr="008E208F">
        <w:t xml:space="preserve"> likely to be presenting in </w:t>
      </w:r>
      <w:r w:rsidR="003B7EE5">
        <w:t xml:space="preserve">later </w:t>
      </w:r>
      <w:r w:rsidR="009E5756" w:rsidRPr="008E208F">
        <w:t>stages of a disorder</w:t>
      </w:r>
      <w:r w:rsidR="009E5756" w:rsidRPr="00196E63">
        <w:t xml:space="preserve"> than the general population of young people attending headspace.</w:t>
      </w:r>
    </w:p>
    <w:p w14:paraId="6AA30373" w14:textId="0CDDC0D7" w:rsidR="000A660C" w:rsidRDefault="000A660C" w:rsidP="006B7096">
      <w:pPr>
        <w:pStyle w:val="BodyText"/>
      </w:pPr>
      <w:r w:rsidRPr="00990D82">
        <w:t xml:space="preserve">For Aboriginal and Torres Strait Islander young people, accessing headspace services occurs earlier, but the associated gain in </w:t>
      </w:r>
      <w:r w:rsidR="00BF76EA">
        <w:t xml:space="preserve">psychosocial outcomes associated with </w:t>
      </w:r>
      <w:r w:rsidRPr="00990D82">
        <w:t xml:space="preserve">mental health and wellbeing is lower than </w:t>
      </w:r>
      <w:r w:rsidRPr="00C67052">
        <w:t xml:space="preserve">for young people from the broader population attending headspace. For this group, </w:t>
      </w:r>
      <w:r w:rsidR="00A418D2" w:rsidRPr="00FA7D97">
        <w:t xml:space="preserve">more needs to be done to enhance </w:t>
      </w:r>
      <w:r w:rsidR="004013D2">
        <w:t xml:space="preserve">the </w:t>
      </w:r>
      <w:r w:rsidR="00231C57" w:rsidRPr="00FA7D97">
        <w:t xml:space="preserve">capability </w:t>
      </w:r>
      <w:r w:rsidR="004013D2">
        <w:t xml:space="preserve">of </w:t>
      </w:r>
      <w:r w:rsidR="004013D2" w:rsidRPr="00FA7D97">
        <w:t xml:space="preserve">headspace services </w:t>
      </w:r>
      <w:r w:rsidR="00231C57" w:rsidRPr="00FA7D97">
        <w:t xml:space="preserve">to work with Aboriginal and Torres Strait islander </w:t>
      </w:r>
      <w:r w:rsidR="00EA3ED1" w:rsidRPr="00FA7D97">
        <w:t>young people to en</w:t>
      </w:r>
      <w:r w:rsidR="00C32AF8" w:rsidRPr="00FA7D97">
        <w:t>h</w:t>
      </w:r>
      <w:r w:rsidR="00EA3ED1" w:rsidRPr="00FA7D97">
        <w:t>an</w:t>
      </w:r>
      <w:r w:rsidR="00E56FBE" w:rsidRPr="00FA7D97">
        <w:t>c</w:t>
      </w:r>
      <w:r w:rsidR="00EA3ED1" w:rsidRPr="00FA7D97">
        <w:t xml:space="preserve">e </w:t>
      </w:r>
      <w:r w:rsidR="00453AB5" w:rsidRPr="00FA7D97">
        <w:t xml:space="preserve">service take up and retention and </w:t>
      </w:r>
      <w:r w:rsidR="00EA3ED1" w:rsidRPr="00FA7D97">
        <w:t>achieve improved outcomes.</w:t>
      </w:r>
      <w:r w:rsidR="00EA3ED1">
        <w:t xml:space="preserve"> </w:t>
      </w:r>
    </w:p>
    <w:p w14:paraId="1A2FA885" w14:textId="6A55DC0A" w:rsidR="00A97707" w:rsidRDefault="00F042BE" w:rsidP="00AF4272">
      <w:pPr>
        <w:pStyle w:val="Heading4"/>
      </w:pPr>
      <w:r>
        <w:t>Opportunities</w:t>
      </w:r>
      <w:r w:rsidR="00A30E46">
        <w:t xml:space="preserve"> to enhance outcomes for ‘hard to reach’ groups</w:t>
      </w:r>
    </w:p>
    <w:p w14:paraId="0300317D" w14:textId="3DD2ACC7" w:rsidR="00A30E46" w:rsidRDefault="00A30E46" w:rsidP="00735E86">
      <w:pPr>
        <w:pStyle w:val="BodyText"/>
      </w:pPr>
      <w:r>
        <w:t xml:space="preserve">In light of findings that the headspace model has </w:t>
      </w:r>
      <w:r w:rsidR="001F1F70">
        <w:t xml:space="preserve">mixed success in reaching and supporting young people from ‘hard to reach’ groups, consideration </w:t>
      </w:r>
      <w:r w:rsidR="00D1097C">
        <w:t>sh</w:t>
      </w:r>
      <w:r w:rsidR="001F1F70">
        <w:t xml:space="preserve">ould be given to </w:t>
      </w:r>
      <w:r w:rsidR="001206D6">
        <w:t>emphasis</w:t>
      </w:r>
      <w:r w:rsidR="00D1097C">
        <w:t>ing</w:t>
      </w:r>
      <w:r w:rsidR="001206D6">
        <w:t xml:space="preserve"> key components and roles within the model which are </w:t>
      </w:r>
      <w:r w:rsidR="000E335F">
        <w:t xml:space="preserve">designed to support these outcomes. </w:t>
      </w:r>
      <w:r w:rsidR="002E466E">
        <w:t>P</w:t>
      </w:r>
      <w:r w:rsidR="00955F54">
        <w:t>rioritising the use of data to drive engagement</w:t>
      </w:r>
      <w:r w:rsidR="00840AE7">
        <w:t xml:space="preserve"> and</w:t>
      </w:r>
      <w:r w:rsidR="00955F54">
        <w:t xml:space="preserve"> workforce </w:t>
      </w:r>
      <w:r w:rsidR="00840AE7">
        <w:t>tailoring for priority cohorts</w:t>
      </w:r>
      <w:r w:rsidR="002E466E">
        <w:t xml:space="preserve"> should also be considered</w:t>
      </w:r>
      <w:r w:rsidR="00840AE7">
        <w:t>.</w:t>
      </w:r>
    </w:p>
    <w:p w14:paraId="262463F2" w14:textId="6B8235F9" w:rsidR="00E7325B" w:rsidRDefault="00E7325B" w:rsidP="00B25C5A">
      <w:pPr>
        <w:pStyle w:val="BodyText"/>
      </w:pPr>
      <w:r w:rsidRPr="00F1579D">
        <w:t>One strategy commonly endorsed to support</w:t>
      </w:r>
      <w:r>
        <w:t xml:space="preserve"> engagement and ongoing support for ‘hard to reach’ groups involves enhancing representation of those groups within the workforce. </w:t>
      </w:r>
      <w:r w:rsidR="002105EA">
        <w:t>Building the headspace workforc</w:t>
      </w:r>
      <w:r w:rsidR="00C21C70">
        <w:t>e to reflect the local population</w:t>
      </w:r>
      <w:r w:rsidR="00B37B1A">
        <w:t xml:space="preserve"> </w:t>
      </w:r>
      <w:r w:rsidR="00690300">
        <w:t xml:space="preserve">should be a priority. </w:t>
      </w:r>
      <w:r w:rsidR="00BA33BB">
        <w:t xml:space="preserve">This may include </w:t>
      </w:r>
      <w:r w:rsidR="003D3F6C">
        <w:t>local</w:t>
      </w:r>
      <w:r w:rsidR="00BA33BB">
        <w:t xml:space="preserve"> strategies </w:t>
      </w:r>
      <w:r w:rsidR="003D3F6C">
        <w:t>to</w:t>
      </w:r>
      <w:r w:rsidR="00BA33BB">
        <w:t xml:space="preserve"> targeting identified staff</w:t>
      </w:r>
      <w:r w:rsidR="003D3F6C">
        <w:t>ing needs</w:t>
      </w:r>
      <w:r w:rsidR="00AE65D2">
        <w:t>,</w:t>
      </w:r>
      <w:r w:rsidR="00BA33BB">
        <w:t xml:space="preserve"> such as providing dedicated internships and traineeships</w:t>
      </w:r>
      <w:r w:rsidR="003D3F6C">
        <w:t xml:space="preserve"> for workers from priority populations</w:t>
      </w:r>
      <w:r w:rsidR="00BA33BB">
        <w:t>, opportunities for upskilling and development</w:t>
      </w:r>
      <w:r w:rsidR="003D3F6C">
        <w:t xml:space="preserve"> </w:t>
      </w:r>
      <w:r w:rsidR="00E077FB">
        <w:t>the existing workforce from these cohorts</w:t>
      </w:r>
      <w:r w:rsidR="00BA33BB">
        <w:t>, or support for formal qualifications (e</w:t>
      </w:r>
      <w:r w:rsidR="00AE65D2">
        <w:t>.</w:t>
      </w:r>
      <w:r w:rsidR="00BA33BB">
        <w:t>g</w:t>
      </w:r>
      <w:r w:rsidR="00AE65D2">
        <w:t>.</w:t>
      </w:r>
      <w:r w:rsidR="00BA33BB">
        <w:t xml:space="preserve">, Certificate IV in Youth Work). </w:t>
      </w:r>
      <w:r>
        <w:t xml:space="preserve">When individuals from priority groups engage with services, many strategies can be employed to maintain engagement and achieve positive outcomes. Key to this is the provision of culturally safe and appropriate services. This can be achieved through employment of identified workers, ensuring an inclusive and respectful physical environment, provision of flexible support models including outreach, peer and group opportunities, and engagement with their community (such as family, friends and </w:t>
      </w:r>
      <w:r w:rsidR="002E5EAB">
        <w:t>E</w:t>
      </w:r>
      <w:r>
        <w:t xml:space="preserve">lders). </w:t>
      </w:r>
      <w:r w:rsidR="00D608F5">
        <w:t xml:space="preserve">Collaboration and service integration of community services designed specifically for </w:t>
      </w:r>
      <w:r w:rsidR="00DB478C">
        <w:t>‘</w:t>
      </w:r>
      <w:r w:rsidR="00D608F5">
        <w:t>hard to reach</w:t>
      </w:r>
      <w:r w:rsidR="00DB478C">
        <w:t>’</w:t>
      </w:r>
      <w:r w:rsidR="00D608F5">
        <w:t xml:space="preserve"> groups, such as ACCHSs</w:t>
      </w:r>
      <w:r w:rsidR="00CC0438">
        <w:rPr>
          <w:rFonts w:ascii="ZWAdobeF" w:hAnsi="ZWAdobeF" w:cs="ZWAdobeF"/>
          <w:sz w:val="2"/>
          <w:szCs w:val="2"/>
        </w:rPr>
        <w:t>154F</w:t>
      </w:r>
      <w:r w:rsidR="00EF2264">
        <w:rPr>
          <w:rStyle w:val="FootnoteReference"/>
          <w:rFonts w:cs="Calibri"/>
        </w:rPr>
        <w:footnoteReference w:id="156"/>
      </w:r>
      <w:r w:rsidR="00D608F5">
        <w:t>, is also a</w:t>
      </w:r>
      <w:r w:rsidR="00CF7D36">
        <w:t>n important</w:t>
      </w:r>
      <w:r w:rsidR="00D608F5">
        <w:t xml:space="preserve"> strategy to building better referral pathways and engagement with priority groups.</w:t>
      </w:r>
    </w:p>
    <w:p w14:paraId="5D1AFDAC" w14:textId="175EAF4A" w:rsidR="00E7325B" w:rsidRDefault="00E7325B" w:rsidP="00B25C5A">
      <w:pPr>
        <w:pStyle w:val="BodyText"/>
        <w:rPr>
          <w:szCs w:val="20"/>
        </w:rPr>
      </w:pPr>
      <w:r>
        <w:rPr>
          <w:szCs w:val="20"/>
        </w:rPr>
        <w:t>Each of these strategies lends itself to an increased focus on community awareness and engagement activities to improve outcomes associated with headspace services. Throughout the evaluation, stakeholders consistently raised the importance of this work in building early help seeking and mental health literacy but indicated that it was an area of the model which is often under</w:t>
      </w:r>
      <w:r>
        <w:rPr>
          <w:szCs w:val="20"/>
        </w:rPr>
        <w:noBreakHyphen/>
        <w:t xml:space="preserve">resourced and time consuming. </w:t>
      </w:r>
      <w:r w:rsidRPr="00A632CD">
        <w:rPr>
          <w:szCs w:val="20"/>
        </w:rPr>
        <w:t xml:space="preserve">Increased </w:t>
      </w:r>
      <w:r>
        <w:rPr>
          <w:szCs w:val="20"/>
        </w:rPr>
        <w:t>emphasis</w:t>
      </w:r>
      <w:r w:rsidR="00DE77D2">
        <w:rPr>
          <w:szCs w:val="20"/>
        </w:rPr>
        <w:t>, planning</w:t>
      </w:r>
      <w:r w:rsidRPr="00A632CD">
        <w:rPr>
          <w:szCs w:val="20"/>
        </w:rPr>
        <w:t xml:space="preserve"> and </w:t>
      </w:r>
      <w:r>
        <w:rPr>
          <w:szCs w:val="20"/>
        </w:rPr>
        <w:t>resourcing</w:t>
      </w:r>
      <w:r w:rsidRPr="00A632CD">
        <w:rPr>
          <w:szCs w:val="20"/>
        </w:rPr>
        <w:t xml:space="preserve"> for community awareness and engagement activities could have a material impact on the extent to which young people from </w:t>
      </w:r>
      <w:r w:rsidR="00AE65D2">
        <w:rPr>
          <w:szCs w:val="20"/>
        </w:rPr>
        <w:t>‘</w:t>
      </w:r>
      <w:r w:rsidRPr="00A632CD">
        <w:rPr>
          <w:szCs w:val="20"/>
        </w:rPr>
        <w:t>hard to reach</w:t>
      </w:r>
      <w:r w:rsidR="00AE65D2">
        <w:rPr>
          <w:szCs w:val="20"/>
        </w:rPr>
        <w:t>’</w:t>
      </w:r>
      <w:r w:rsidRPr="00A632CD">
        <w:rPr>
          <w:szCs w:val="20"/>
        </w:rPr>
        <w:t xml:space="preserve"> groups seek help from headspace, and on the extent to which this is associated with clinical improvements.</w:t>
      </w:r>
    </w:p>
    <w:p w14:paraId="2394E47E" w14:textId="7ED19E54" w:rsidR="00AE1A74" w:rsidRDefault="00AE1A74" w:rsidP="00AF4272">
      <w:pPr>
        <w:pStyle w:val="Caption"/>
        <w:keepLines/>
      </w:pPr>
      <w:bookmarkStart w:id="172" w:name="_Toc108108972"/>
      <w:r>
        <w:t xml:space="preserve">Table </w:t>
      </w:r>
      <w:r>
        <w:fldChar w:fldCharType="begin"/>
      </w:r>
      <w:r>
        <w:instrText>SEQ Table \* ARABIC</w:instrText>
      </w:r>
      <w:r>
        <w:fldChar w:fldCharType="separate"/>
      </w:r>
      <w:r w:rsidR="00CC0438">
        <w:rPr>
          <w:noProof/>
        </w:rPr>
        <w:t>22</w:t>
      </w:r>
      <w:r>
        <w:fldChar w:fldCharType="end"/>
      </w:r>
      <w:r>
        <w:t xml:space="preserve">: </w:t>
      </w:r>
      <w:r w:rsidR="00BD29DF">
        <w:t>‘</w:t>
      </w:r>
      <w:r>
        <w:t>Hard to reach</w:t>
      </w:r>
      <w:r w:rsidR="00BD29DF">
        <w:t>’</w:t>
      </w:r>
      <w:r>
        <w:t xml:space="preserve"> groups recommendations</w:t>
      </w:r>
      <w:bookmarkEnd w:id="172"/>
    </w:p>
    <w:tbl>
      <w:tblPr>
        <w:tblStyle w:val="TableGrid"/>
        <w:tblW w:w="0" w:type="auto"/>
        <w:tblBorders>
          <w:top w:val="single" w:sz="4" w:space="0" w:color="00338D" w:themeColor="background2"/>
          <w:left w:val="single" w:sz="4" w:space="0" w:color="00338D" w:themeColor="background2"/>
          <w:bottom w:val="single" w:sz="4" w:space="0" w:color="00338D" w:themeColor="background2"/>
          <w:right w:val="single" w:sz="4" w:space="0" w:color="00338D" w:themeColor="background2"/>
          <w:insideH w:val="single" w:sz="4" w:space="0" w:color="00338D" w:themeColor="background2"/>
          <w:insideV w:val="single" w:sz="4" w:space="0" w:color="00338D" w:themeColor="background2"/>
        </w:tblBorders>
        <w:tblLook w:val="04A0" w:firstRow="1" w:lastRow="0" w:firstColumn="1" w:lastColumn="0" w:noHBand="0" w:noVBand="1"/>
        <w:tblCaption w:val="'Hard to reach' groups recommendations"/>
        <w:tblDescription w:val="Table 22 has 1 column and summarises the evaluation’s recommendations related to hard to reach groups. There is 1 recommendation in the table."/>
      </w:tblPr>
      <w:tblGrid>
        <w:gridCol w:w="9060"/>
      </w:tblGrid>
      <w:tr w:rsidR="00BC0D46" w:rsidRPr="00BC0D46" w14:paraId="05D0E53F" w14:textId="77777777" w:rsidTr="003E51FD">
        <w:tc>
          <w:tcPr>
            <w:tcW w:w="9060" w:type="dxa"/>
            <w:shd w:val="clear" w:color="auto" w:fill="00338D" w:themeFill="background2"/>
          </w:tcPr>
          <w:p w14:paraId="5CC4D29E" w14:textId="5D93CB9E" w:rsidR="00BC0D46" w:rsidRPr="00BC0D46" w:rsidRDefault="00BC0D46" w:rsidP="00AF4272">
            <w:pPr>
              <w:pStyle w:val="Tableheading"/>
              <w:keepNext/>
              <w:keepLines/>
            </w:pPr>
            <w:r w:rsidRPr="00BC0D46">
              <w:t>Recommend</w:t>
            </w:r>
            <w:bookmarkStart w:id="173" w:name="_Hlt98507966"/>
            <w:bookmarkStart w:id="174" w:name="_Hlt98507967"/>
            <w:r w:rsidRPr="00BC0D46">
              <w:t>a</w:t>
            </w:r>
            <w:bookmarkEnd w:id="173"/>
            <w:bookmarkEnd w:id="174"/>
            <w:r w:rsidRPr="00BC0D46">
              <w:t>tions</w:t>
            </w:r>
          </w:p>
        </w:tc>
      </w:tr>
      <w:tr w:rsidR="007A54B4" w14:paraId="168E7072" w14:textId="77777777" w:rsidTr="003E51FD">
        <w:tc>
          <w:tcPr>
            <w:tcW w:w="9060" w:type="dxa"/>
            <w:shd w:val="clear" w:color="auto" w:fill="E7F0FF"/>
          </w:tcPr>
          <w:p w14:paraId="7008889F" w14:textId="4BC17904" w:rsidR="00D93251" w:rsidRDefault="006B5605" w:rsidP="00A72CC4">
            <w:pPr>
              <w:pStyle w:val="Tabletext"/>
              <w:numPr>
                <w:ilvl w:val="0"/>
                <w:numId w:val="26"/>
              </w:numPr>
            </w:pPr>
            <w:r>
              <w:t>The headspace model has</w:t>
            </w:r>
            <w:r w:rsidR="0010513E">
              <w:t xml:space="preserve"> </w:t>
            </w:r>
            <w:r>
              <w:t>mixed success in reaching and supporting young people from ‘hard to reach</w:t>
            </w:r>
            <w:r w:rsidR="00D9098C">
              <w:t>’</w:t>
            </w:r>
            <w:r>
              <w:t xml:space="preserve"> groups</w:t>
            </w:r>
            <w:r w:rsidR="002E466E">
              <w:t>.</w:t>
            </w:r>
            <w:r w:rsidR="00A90726">
              <w:t xml:space="preserve"> Enhancing representation of th</w:t>
            </w:r>
            <w:r w:rsidR="00D9098C">
              <w:t>e</w:t>
            </w:r>
            <w:r w:rsidR="00A90726">
              <w:t>se groups within the workforce</w:t>
            </w:r>
            <w:r w:rsidR="00D9098C">
              <w:t xml:space="preserve"> may</w:t>
            </w:r>
            <w:r w:rsidR="00A90726" w:rsidRPr="00F1579D">
              <w:t xml:space="preserve"> support</w:t>
            </w:r>
            <w:r w:rsidR="00A90726">
              <w:t xml:space="preserve"> engagement and ongoing support for </w:t>
            </w:r>
            <w:r w:rsidR="00D9098C">
              <w:t>young people</w:t>
            </w:r>
            <w:r w:rsidR="00E35E83">
              <w:t xml:space="preserve"> who identify as part of ‘hard to reach’ cohorts</w:t>
            </w:r>
            <w:r w:rsidR="00D9098C">
              <w:t>.</w:t>
            </w:r>
            <w:r w:rsidR="00E70C3A">
              <w:br/>
            </w:r>
          </w:p>
          <w:p w14:paraId="50743E7F" w14:textId="718B6860" w:rsidR="007A54B4" w:rsidRPr="00C14A42" w:rsidRDefault="007A54B4" w:rsidP="0082639D">
            <w:pPr>
              <w:pStyle w:val="Tabletext"/>
              <w:ind w:left="360"/>
            </w:pPr>
            <w:r>
              <w:t xml:space="preserve">Lead agencies and headspace services should draw on </w:t>
            </w:r>
            <w:r w:rsidR="003E79A9">
              <w:t>PHN needs analyses</w:t>
            </w:r>
            <w:r>
              <w:t xml:space="preserve"> to prioritise their workforce needs, and i</w:t>
            </w:r>
            <w:r w:rsidRPr="00A828AC" w:rsidDel="00342E34">
              <w:t>mplement strategies to diversify the headspace workforce to be representative of the local community and to</w:t>
            </w:r>
            <w:r w:rsidRPr="00A828AC">
              <w:t xml:space="preserve"> </w:t>
            </w:r>
            <w:r w:rsidR="00E87AD4">
              <w:t>enhance</w:t>
            </w:r>
            <w:r w:rsidRPr="00A828AC" w:rsidDel="00342E34">
              <w:t xml:space="preserve"> engagement with relevant ‘hard to reach’ groups. </w:t>
            </w:r>
          </w:p>
        </w:tc>
      </w:tr>
    </w:tbl>
    <w:p w14:paraId="26AB23B1" w14:textId="1450C0FB" w:rsidR="00DC3D06" w:rsidRPr="00DC3D06" w:rsidRDefault="00DC3D06" w:rsidP="00AE65D2">
      <w:pPr>
        <w:pStyle w:val="Source"/>
      </w:pPr>
      <w:r w:rsidRPr="00DC3D06">
        <w:t>Source: KPMG 2022</w:t>
      </w:r>
    </w:p>
    <w:p w14:paraId="4727A54F" w14:textId="1A7C1E82" w:rsidR="00122415" w:rsidRPr="00122415" w:rsidRDefault="00122415" w:rsidP="00122415">
      <w:pPr>
        <w:pStyle w:val="Heading3"/>
      </w:pPr>
      <w:r>
        <w:t xml:space="preserve">Service </w:t>
      </w:r>
      <w:r w:rsidR="000A4C6B">
        <w:t>i</w:t>
      </w:r>
      <w:r>
        <w:t xml:space="preserve">ntegration </w:t>
      </w:r>
    </w:p>
    <w:p w14:paraId="3120CA39" w14:textId="602B17AB" w:rsidR="007836F1" w:rsidRDefault="008F5F9F" w:rsidP="008F5F9F">
      <w:r>
        <w:t xml:space="preserve">Analysis demonstrates that the more </w:t>
      </w:r>
      <w:r w:rsidR="007B2863">
        <w:t>OOS</w:t>
      </w:r>
      <w:r>
        <w:t xml:space="preserve"> a young person receives (with reliable improvement </w:t>
      </w:r>
      <w:r w:rsidRPr="002327B0">
        <w:rPr>
          <w:rStyle w:val="BodyTextChar"/>
        </w:rPr>
        <w:t xml:space="preserve">commonly achieved after </w:t>
      </w:r>
      <w:r w:rsidR="00903359" w:rsidRPr="002327B0">
        <w:rPr>
          <w:rStyle w:val="BodyTextChar"/>
        </w:rPr>
        <w:t>six</w:t>
      </w:r>
      <w:r w:rsidRPr="002327B0">
        <w:rPr>
          <w:rStyle w:val="BodyTextChar"/>
        </w:rPr>
        <w:t xml:space="preserve"> or more sessions), the better mental health outcomes they will achieve. </w:t>
      </w:r>
      <w:r w:rsidR="000970E8" w:rsidRPr="002327B0">
        <w:rPr>
          <w:rStyle w:val="BodyTextChar"/>
        </w:rPr>
        <w:t>A</w:t>
      </w:r>
      <w:r w:rsidR="00B618E9" w:rsidRPr="002327B0">
        <w:rPr>
          <w:rStyle w:val="BodyTextChar"/>
        </w:rPr>
        <w:t>round 19</w:t>
      </w:r>
      <w:r w:rsidRPr="002327B0">
        <w:rPr>
          <w:rStyle w:val="BodyTextChar"/>
        </w:rPr>
        <w:t xml:space="preserve"> per cent of young people </w:t>
      </w:r>
      <w:r w:rsidR="005D3EDC" w:rsidRPr="002327B0">
        <w:rPr>
          <w:rStyle w:val="BodyTextChar"/>
        </w:rPr>
        <w:t xml:space="preserve">who accessed headspace during 2019-20 received </w:t>
      </w:r>
      <w:r w:rsidR="00903359" w:rsidRPr="002327B0">
        <w:rPr>
          <w:rStyle w:val="BodyTextChar"/>
        </w:rPr>
        <w:t>six</w:t>
      </w:r>
      <w:r w:rsidRPr="002327B0">
        <w:rPr>
          <w:rStyle w:val="BodyTextChar"/>
        </w:rPr>
        <w:t xml:space="preserve"> or more </w:t>
      </w:r>
      <w:r w:rsidR="007B2863" w:rsidRPr="002327B0">
        <w:rPr>
          <w:rStyle w:val="BodyTextChar"/>
        </w:rPr>
        <w:t>OOS</w:t>
      </w:r>
      <w:r w:rsidR="005D3EDC" w:rsidRPr="002327B0">
        <w:rPr>
          <w:rStyle w:val="BodyTextChar"/>
        </w:rPr>
        <w:t xml:space="preserve"> by episode closure</w:t>
      </w:r>
      <w:r w:rsidRPr="002327B0">
        <w:rPr>
          <w:rStyle w:val="BodyTextChar"/>
        </w:rPr>
        <w:t xml:space="preserve">. </w:t>
      </w:r>
      <w:r w:rsidR="00FA7D97" w:rsidRPr="002327B0">
        <w:rPr>
          <w:rStyle w:val="BodyTextChar"/>
        </w:rPr>
        <w:t>Around</w:t>
      </w:r>
      <w:r w:rsidRPr="002327B0">
        <w:rPr>
          <w:rStyle w:val="BodyTextChar"/>
        </w:rPr>
        <w:t xml:space="preserve"> 36 per</w:t>
      </w:r>
      <w:r w:rsidR="00A37527" w:rsidRPr="002327B0">
        <w:rPr>
          <w:rStyle w:val="BodyTextChar"/>
        </w:rPr>
        <w:t xml:space="preserve"> </w:t>
      </w:r>
      <w:r w:rsidRPr="002327B0">
        <w:rPr>
          <w:rStyle w:val="BodyTextChar"/>
        </w:rPr>
        <w:t>cent of young people accessing headspace are receiving just one occasion of service.</w:t>
      </w:r>
      <w:r>
        <w:t xml:space="preserve"> </w:t>
      </w:r>
    </w:p>
    <w:p w14:paraId="6F3EA715" w14:textId="7037D688" w:rsidR="00371B16" w:rsidRPr="00B82565" w:rsidRDefault="007249D8" w:rsidP="002327B0">
      <w:pPr>
        <w:pStyle w:val="BodyText"/>
        <w:rPr>
          <w:szCs w:val="20"/>
        </w:rPr>
      </w:pPr>
      <w:r>
        <w:t>D</w:t>
      </w:r>
      <w:r w:rsidR="00371B16">
        <w:t xml:space="preserve">ata limitations </w:t>
      </w:r>
      <w:r>
        <w:t>prevented further</w:t>
      </w:r>
      <w:r w:rsidR="00371B16">
        <w:t xml:space="preserve"> insights regarding the trend towards single </w:t>
      </w:r>
      <w:r w:rsidR="007B2863">
        <w:t>OOS</w:t>
      </w:r>
      <w:r w:rsidR="00371B16">
        <w:t xml:space="preserve">. A more detailed investigation would be beneficial to better understand the causation and benefits of single sessions therapy, including </w:t>
      </w:r>
      <w:r w:rsidR="00FA7D97">
        <w:t xml:space="preserve">reviewing </w:t>
      </w:r>
      <w:r w:rsidR="00371B16">
        <w:t>existing research. In particular, there is opportunity to explore:</w:t>
      </w:r>
    </w:p>
    <w:p w14:paraId="519CBDE0" w14:textId="66331917" w:rsidR="00371B16" w:rsidRPr="006A1BC2" w:rsidRDefault="00371B16" w:rsidP="001F2D17">
      <w:pPr>
        <w:pStyle w:val="Bullet1stlevel"/>
      </w:pPr>
      <w:r w:rsidRPr="006A1BC2">
        <w:t xml:space="preserve">why young people are accessing </w:t>
      </w:r>
      <w:r w:rsidR="006C507B">
        <w:t xml:space="preserve">only </w:t>
      </w:r>
      <w:r w:rsidRPr="006A1BC2">
        <w:t xml:space="preserve">one or </w:t>
      </w:r>
      <w:r w:rsidR="0072498D">
        <w:t xml:space="preserve">a </w:t>
      </w:r>
      <w:r w:rsidRPr="006A1BC2">
        <w:t>low number of sessions</w:t>
      </w:r>
      <w:r w:rsidR="004D4C82">
        <w:t>;</w:t>
      </w:r>
      <w:r w:rsidRPr="006A1BC2">
        <w:t xml:space="preserve"> </w:t>
      </w:r>
    </w:p>
    <w:p w14:paraId="052D0DED" w14:textId="51568396" w:rsidR="00371B16" w:rsidRPr="006A1BC2" w:rsidRDefault="00FA7D97" w:rsidP="001F2D17">
      <w:pPr>
        <w:pStyle w:val="Bullet1stlevel"/>
      </w:pPr>
      <w:r w:rsidRPr="006A1BC2">
        <w:t>whether</w:t>
      </w:r>
      <w:r w:rsidR="00371B16" w:rsidRPr="006A1BC2">
        <w:t xml:space="preserve"> these young people </w:t>
      </w:r>
      <w:r w:rsidR="006C507B">
        <w:t xml:space="preserve">are </w:t>
      </w:r>
      <w:r w:rsidR="00371B16" w:rsidRPr="006A1BC2">
        <w:t xml:space="preserve">being referred onwards after the session and </w:t>
      </w:r>
      <w:r w:rsidRPr="006A1BC2">
        <w:t xml:space="preserve">to </w:t>
      </w:r>
      <w:r w:rsidR="00371B16" w:rsidRPr="006A1BC2">
        <w:t>where</w:t>
      </w:r>
      <w:r w:rsidR="004D4C82">
        <w:t>;</w:t>
      </w:r>
    </w:p>
    <w:p w14:paraId="2C7BDE84" w14:textId="2B0A9E5A" w:rsidR="00371B16" w:rsidRPr="006A1BC2" w:rsidRDefault="00371B16" w:rsidP="001F2D17">
      <w:pPr>
        <w:pStyle w:val="Bullet1stlevel"/>
      </w:pPr>
      <w:r w:rsidRPr="006A1BC2">
        <w:t xml:space="preserve">what the research </w:t>
      </w:r>
      <w:r w:rsidR="001005C9" w:rsidRPr="006A1BC2">
        <w:t>shows</w:t>
      </w:r>
      <w:r w:rsidRPr="006A1BC2">
        <w:t xml:space="preserve"> about single session therapy benefits and risks</w:t>
      </w:r>
      <w:r w:rsidR="004D4C82">
        <w:t>; and</w:t>
      </w:r>
    </w:p>
    <w:p w14:paraId="2714483E" w14:textId="412D36AC" w:rsidR="00371B16" w:rsidRPr="006A1BC2" w:rsidRDefault="001005C9" w:rsidP="001F2D17">
      <w:pPr>
        <w:pStyle w:val="Bullet1stlevel"/>
      </w:pPr>
      <w:r w:rsidRPr="006A1BC2">
        <w:t>effective approaches to</w:t>
      </w:r>
      <w:r w:rsidR="00371B16" w:rsidRPr="006A1BC2">
        <w:t xml:space="preserve"> measure effectiveness of single session therapy</w:t>
      </w:r>
      <w:r w:rsidRPr="006A1BC2">
        <w:t>.</w:t>
      </w:r>
      <w:r w:rsidR="00371B16" w:rsidRPr="006A1BC2">
        <w:t xml:space="preserve"> </w:t>
      </w:r>
    </w:p>
    <w:p w14:paraId="38772B0C" w14:textId="67350FCD" w:rsidR="008F5F9F" w:rsidRPr="007C020E" w:rsidRDefault="008F5F9F" w:rsidP="002327B0">
      <w:pPr>
        <w:pStyle w:val="BodyText"/>
      </w:pPr>
      <w:r w:rsidRPr="00B82565">
        <w:t>Whil</w:t>
      </w:r>
      <w:r w:rsidR="00903359" w:rsidRPr="00A116A1">
        <w:t>e</w:t>
      </w:r>
      <w:r w:rsidRPr="005838E3">
        <w:t xml:space="preserve"> some of this trend </w:t>
      </w:r>
      <w:r w:rsidR="001005C9" w:rsidRPr="005838E3">
        <w:t xml:space="preserve">toward single </w:t>
      </w:r>
      <w:r w:rsidR="001F66B8">
        <w:t>OOS</w:t>
      </w:r>
      <w:r w:rsidR="001005C9" w:rsidRPr="005838E3">
        <w:t xml:space="preserve"> in an episode of care </w:t>
      </w:r>
      <w:r w:rsidRPr="005838E3">
        <w:t xml:space="preserve">may be explained by out of scope cases being referred onward, there </w:t>
      </w:r>
      <w:r w:rsidR="00116DFF" w:rsidRPr="00DE0059">
        <w:t>wa</w:t>
      </w:r>
      <w:r w:rsidRPr="00DE0059">
        <w:t xml:space="preserve">s limited </w:t>
      </w:r>
      <w:r w:rsidR="00116DFF" w:rsidRPr="00DE0059">
        <w:t xml:space="preserve">evaluation </w:t>
      </w:r>
      <w:r w:rsidRPr="00DE0059">
        <w:t xml:space="preserve">data to either support or </w:t>
      </w:r>
      <w:r w:rsidR="001005C9" w:rsidRPr="00940862">
        <w:t>reject</w:t>
      </w:r>
      <w:r w:rsidRPr="00497FB1">
        <w:t xml:space="preserve"> this </w:t>
      </w:r>
      <w:r w:rsidR="005242F6" w:rsidRPr="004E53E3">
        <w:t>hypothesis</w:t>
      </w:r>
      <w:r w:rsidRPr="005F6F69">
        <w:t>. Instead</w:t>
      </w:r>
      <w:r w:rsidR="00903359" w:rsidRPr="00874EB9">
        <w:t>,</w:t>
      </w:r>
      <w:r w:rsidRPr="008E38B1">
        <w:t xml:space="preserve"> there are two key factors that became clear throughout the evaluation, contributing to this trend and which require a s</w:t>
      </w:r>
      <w:r w:rsidRPr="00962F86">
        <w:t>ervice integration response</w:t>
      </w:r>
      <w:r w:rsidR="00F40E32">
        <w:t xml:space="preserve"> –</w:t>
      </w:r>
      <w:r w:rsidR="006100B6" w:rsidRPr="007439AC">
        <w:t xml:space="preserve"> pathways to care and service demand. These are discussed below</w:t>
      </w:r>
      <w:r w:rsidRPr="003830FA">
        <w:t xml:space="preserve">. </w:t>
      </w:r>
    </w:p>
    <w:p w14:paraId="35B0DA33" w14:textId="421D9A04" w:rsidR="008F5F9F" w:rsidRDefault="00BA5725" w:rsidP="008F5F9F">
      <w:pPr>
        <w:pStyle w:val="Heading4"/>
      </w:pPr>
      <w:r>
        <w:t>Pathways to Care</w:t>
      </w:r>
    </w:p>
    <w:p w14:paraId="794DF3FA" w14:textId="6A54920F" w:rsidR="007246F7" w:rsidRPr="007246F7" w:rsidRDefault="008F5F9F" w:rsidP="002327B0">
      <w:pPr>
        <w:pStyle w:val="BodyText"/>
      </w:pPr>
      <w:r w:rsidRPr="009D064D">
        <w:t>There are many factors constraining head</w:t>
      </w:r>
      <w:r w:rsidR="00FE4131">
        <w:t>s</w:t>
      </w:r>
      <w:r w:rsidRPr="009D064D">
        <w:t>pace’s ability to deliver seamless pathways to care and integrated services. Whil</w:t>
      </w:r>
      <w:r w:rsidR="00903359">
        <w:t>e</w:t>
      </w:r>
      <w:r w:rsidRPr="009D064D">
        <w:t xml:space="preserve"> there is ample support and evidence for the ‘no wrong door’ approach, there is limited capacity for headspace services to refer young people out to more appropriate or specialised services as required. As a consequence, headspace services end up supporting young people who may not be suitable for the model, often resulting in a bottleneck and leading to long wait times. Add to this high clinical workloads</w:t>
      </w:r>
      <w:r w:rsidR="00903359">
        <w:t>,</w:t>
      </w:r>
      <w:r w:rsidRPr="009D064D">
        <w:t xml:space="preserve"> and headspace services</w:t>
      </w:r>
      <w:r w:rsidR="00D37076">
        <w:t>’</w:t>
      </w:r>
      <w:r w:rsidRPr="009D064D">
        <w:t xml:space="preserve"> capacity to prioritise service integration and collaboration activities is diminished. </w:t>
      </w:r>
    </w:p>
    <w:p w14:paraId="16028521" w14:textId="49742EC1" w:rsidR="00B163CD" w:rsidRDefault="00031947" w:rsidP="002327B0">
      <w:pPr>
        <w:pStyle w:val="BodyText"/>
      </w:pPr>
      <w:r>
        <w:t>Feedback from young people also suggested that many young people’s perception of headspace was skewed</w:t>
      </w:r>
      <w:r w:rsidR="00BA216D">
        <w:t>,</w:t>
      </w:r>
      <w:r>
        <w:t xml:space="preserve"> with many non-users suggesting th</w:t>
      </w:r>
      <w:r w:rsidR="00290F35">
        <w:t>ey</w:t>
      </w:r>
      <w:r w:rsidR="00A116A1">
        <w:t xml:space="preserve"> </w:t>
      </w:r>
      <w:r>
        <w:t xml:space="preserve">felt they were either too complex or not complex enough to </w:t>
      </w:r>
      <w:r w:rsidR="005751D7">
        <w:t xml:space="preserve">access the service. Many reported a lack of awareness of youth mental health services and how to determine which services will best meet their individual needs. Many young people, carers and workers reported an experience of young people being bounced between services based on unclear service criteria or </w:t>
      </w:r>
      <w:r w:rsidR="00355875">
        <w:t xml:space="preserve">reduced capacity. </w:t>
      </w:r>
    </w:p>
    <w:p w14:paraId="3EF8E64C" w14:textId="1F302B86" w:rsidR="00BA5725" w:rsidRDefault="00BA5725" w:rsidP="00BA5725">
      <w:pPr>
        <w:pStyle w:val="Heading4"/>
      </w:pPr>
      <w:r>
        <w:t xml:space="preserve">Service Demand </w:t>
      </w:r>
    </w:p>
    <w:p w14:paraId="59C1D3EC" w14:textId="09326BC5" w:rsidR="008F5F9F" w:rsidRPr="009D064D" w:rsidRDefault="008F5F9F" w:rsidP="002327B0">
      <w:pPr>
        <w:pStyle w:val="BodyText"/>
      </w:pPr>
      <w:r w:rsidRPr="009D064D">
        <w:t>Demand for youth mental health services, including headspace services</w:t>
      </w:r>
      <w:r w:rsidR="00BA0F39">
        <w:t>,</w:t>
      </w:r>
      <w:r w:rsidRPr="009D064D">
        <w:t xml:space="preserve"> has overtaken capacity. Sector</w:t>
      </w:r>
      <w:r w:rsidR="00BA0F39">
        <w:t>-</w:t>
      </w:r>
      <w:r w:rsidRPr="009D064D">
        <w:t xml:space="preserve">wide workforce pressures also continue to constrain the volume of young people able to access support and further contribute to long wait times and reduced service offerings. Challenges associated with supporting young people to find appropriate care were frequently raised by stakeholders. </w:t>
      </w:r>
    </w:p>
    <w:p w14:paraId="429EAFB9" w14:textId="721098C1" w:rsidR="003A5C26" w:rsidRDefault="008F5F9F" w:rsidP="002327B0">
      <w:pPr>
        <w:pStyle w:val="BodyText"/>
      </w:pPr>
      <w:r>
        <w:t>T</w:t>
      </w:r>
      <w:r w:rsidRPr="009D064D">
        <w:t xml:space="preserve">he combination of headspace’s </w:t>
      </w:r>
      <w:r w:rsidR="002D1ADD">
        <w:t>‘</w:t>
      </w:r>
      <w:r w:rsidRPr="009D064D">
        <w:t xml:space="preserve">no wrong </w:t>
      </w:r>
      <w:r w:rsidR="002D1ADD">
        <w:t>door’</w:t>
      </w:r>
      <w:r w:rsidRPr="009D064D">
        <w:t xml:space="preserve"> approach, along with these service systems challenges, significantly impacts headspace</w:t>
      </w:r>
      <w:r w:rsidR="00EF1E80">
        <w:t xml:space="preserve"> services</w:t>
      </w:r>
      <w:r w:rsidRPr="009D064D">
        <w:t>’</w:t>
      </w:r>
      <w:r>
        <w:t xml:space="preserve"> ability to carry out the</w:t>
      </w:r>
      <w:r w:rsidRPr="009D064D">
        <w:t xml:space="preserve"> core business of supporting young people with mild to moderate</w:t>
      </w:r>
      <w:r w:rsidR="00DC50F7">
        <w:t>,</w:t>
      </w:r>
      <w:r w:rsidRPr="009D064D">
        <w:t xml:space="preserve"> high</w:t>
      </w:r>
      <w:r w:rsidR="00DC50F7">
        <w:noBreakHyphen/>
      </w:r>
      <w:r w:rsidRPr="009D064D">
        <w:t xml:space="preserve">prevalence </w:t>
      </w:r>
      <w:r w:rsidR="00914941">
        <w:t xml:space="preserve">mental health </w:t>
      </w:r>
      <w:r w:rsidRPr="009D064D">
        <w:t xml:space="preserve">conditions and </w:t>
      </w:r>
      <w:r>
        <w:t>delivering</w:t>
      </w:r>
      <w:r w:rsidRPr="009D064D">
        <w:t xml:space="preserve"> early intervention and community engagement. </w:t>
      </w:r>
      <w:r>
        <w:t>Whilst some of these challenges are not exclusive to headspace, the service is in a unique position to address challenges resulting from reduced care pathways, increased service demand and workforce issues</w:t>
      </w:r>
      <w:r w:rsidRPr="009D064D">
        <w:t xml:space="preserve">, through prioritising </w:t>
      </w:r>
      <w:r>
        <w:t xml:space="preserve">solutions to service integration. </w:t>
      </w:r>
    </w:p>
    <w:p w14:paraId="4C7A2E81" w14:textId="08708051" w:rsidR="0021434E" w:rsidRPr="009D064D" w:rsidRDefault="006100B6" w:rsidP="002327B0">
      <w:pPr>
        <w:pStyle w:val="BodyText"/>
      </w:pPr>
      <w:r>
        <w:t>Of relevance here is t</w:t>
      </w:r>
      <w:r w:rsidR="0021434E">
        <w:t>he National Mental Health and Suicide Prevention Agreement (National Agreement)</w:t>
      </w:r>
      <w:r>
        <w:t>, which</w:t>
      </w:r>
      <w:r w:rsidR="0021434E">
        <w:t xml:space="preserve"> sets out the shared intention of the Commonwealth, state and territory </w:t>
      </w:r>
      <w:r w:rsidR="00B24A04">
        <w:t>governments</w:t>
      </w:r>
      <w:r w:rsidR="0021434E">
        <w:t xml:space="preserve"> to work in partnership to improve the mental health of all Australians</w:t>
      </w:r>
      <w:r w:rsidR="00CC0438">
        <w:rPr>
          <w:rFonts w:ascii="ZWAdobeF" w:hAnsi="ZWAdobeF" w:cs="ZWAdobeF"/>
          <w:sz w:val="2"/>
          <w:szCs w:val="2"/>
        </w:rPr>
        <w:t>155F</w:t>
      </w:r>
      <w:r w:rsidR="0021434E">
        <w:rPr>
          <w:rStyle w:val="FootnoteReference"/>
        </w:rPr>
        <w:footnoteReference w:id="157"/>
      </w:r>
      <w:r w:rsidR="0021434E">
        <w:t>. This agreement will seek to improve service integration within the mental health sector. Additionally, the National Initial Assessment and Referral (IAR) for Mental Healthcare Project is another initiative from the Commonwealth which supports PHNs and their contractors to establish effective systems for initial assessment and referral for individuals. The IAR State of Play Report indicates that whilst resource intensive, collaboration and co-design with local stakeholders is a key enabler of the strategy and has led to exciting observations</w:t>
      </w:r>
      <w:r w:rsidR="00CC0438">
        <w:rPr>
          <w:rFonts w:ascii="ZWAdobeF" w:hAnsi="ZWAdobeF" w:cs="ZWAdobeF"/>
          <w:sz w:val="2"/>
          <w:szCs w:val="2"/>
        </w:rPr>
        <w:t>156F</w:t>
      </w:r>
      <w:r w:rsidR="0021434E">
        <w:rPr>
          <w:rStyle w:val="FootnoteReference"/>
        </w:rPr>
        <w:footnoteReference w:id="158"/>
      </w:r>
      <w:r w:rsidR="0021434E">
        <w:t xml:space="preserve"> </w:t>
      </w:r>
      <w:r w:rsidR="00BA0F39">
        <w:t>.</w:t>
      </w:r>
      <w:r w:rsidR="0021434E">
        <w:t xml:space="preserve">The report also notes digital decision support tools and smart referral forms, and education and training as other key enablers of the IAR.   </w:t>
      </w:r>
    </w:p>
    <w:p w14:paraId="25E26F98" w14:textId="135C14D7" w:rsidR="00C72BA8" w:rsidRDefault="00F042BE" w:rsidP="00C72BA8">
      <w:pPr>
        <w:pStyle w:val="Heading4"/>
      </w:pPr>
      <w:r>
        <w:t>Opportunities</w:t>
      </w:r>
      <w:r w:rsidR="00C72BA8">
        <w:t xml:space="preserve"> to enhance service integration</w:t>
      </w:r>
    </w:p>
    <w:p w14:paraId="49B67CF5" w14:textId="29E866EF" w:rsidR="00350A93" w:rsidRDefault="00DC05AC" w:rsidP="00350A93">
      <w:pPr>
        <w:pStyle w:val="BodyText"/>
      </w:pPr>
      <w:r>
        <w:t>This evaluation has found that b</w:t>
      </w:r>
      <w:r w:rsidR="001D4E09">
        <w:t>etter mental health outcomes</w:t>
      </w:r>
      <w:r w:rsidR="00573089">
        <w:t xml:space="preserve"> for young people</w:t>
      </w:r>
      <w:r w:rsidR="001D4E09">
        <w:t xml:space="preserve"> are associated with </w:t>
      </w:r>
      <w:r w:rsidR="00203EC4">
        <w:t>more sustained engagement with headspace services</w:t>
      </w:r>
      <w:r w:rsidR="008A3889">
        <w:t xml:space="preserve">. However, </w:t>
      </w:r>
      <w:r w:rsidR="00350A93">
        <w:t>sustained engagement</w:t>
      </w:r>
      <w:r w:rsidR="00573089">
        <w:t xml:space="preserve"> with headspace</w:t>
      </w:r>
      <w:r w:rsidR="00792CEF">
        <w:t xml:space="preserve"> for young people</w:t>
      </w:r>
      <w:r w:rsidR="00350A93">
        <w:t xml:space="preserve"> is con</w:t>
      </w:r>
      <w:r w:rsidR="00573089">
        <w:t>s</w:t>
      </w:r>
      <w:r w:rsidR="00350A93">
        <w:t>trained by</w:t>
      </w:r>
      <w:r w:rsidR="009D00A5">
        <w:t xml:space="preserve"> two key</w:t>
      </w:r>
      <w:r w:rsidR="00350A93">
        <w:t xml:space="preserve"> challenges</w:t>
      </w:r>
      <w:r w:rsidR="009D00A5">
        <w:t>,</w:t>
      </w:r>
      <w:r w:rsidR="00350A93">
        <w:t xml:space="preserve"> </w:t>
      </w:r>
      <w:r w:rsidR="00AD2DCE">
        <w:t xml:space="preserve">finding </w:t>
      </w:r>
      <w:r w:rsidR="00887D25">
        <w:t xml:space="preserve">the most appropriate </w:t>
      </w:r>
      <w:r w:rsidR="00350A93">
        <w:t>care</w:t>
      </w:r>
      <w:r w:rsidR="00887D25">
        <w:t xml:space="preserve"> </w:t>
      </w:r>
      <w:r w:rsidR="009E167B">
        <w:t xml:space="preserve">to </w:t>
      </w:r>
      <w:r w:rsidR="00887D25">
        <w:t>meet their needs</w:t>
      </w:r>
      <w:r w:rsidR="00350A93">
        <w:t>, and wait times</w:t>
      </w:r>
      <w:r w:rsidR="00EB7B5E">
        <w:t xml:space="preserve"> </w:t>
      </w:r>
      <w:r w:rsidR="00887D25">
        <w:t>driven by high service demand</w:t>
      </w:r>
      <w:r w:rsidR="00350A93">
        <w:t xml:space="preserve">. </w:t>
      </w:r>
    </w:p>
    <w:p w14:paraId="2117C794" w14:textId="0B82CCD3" w:rsidR="00A06D61" w:rsidRDefault="004D0565" w:rsidP="00350A93">
      <w:pPr>
        <w:pStyle w:val="BodyText"/>
      </w:pPr>
      <w:r>
        <w:t>Efforts to enhance</w:t>
      </w:r>
      <w:r w:rsidR="00350A93">
        <w:t xml:space="preserve"> </w:t>
      </w:r>
      <w:r w:rsidR="007A3C42">
        <w:t xml:space="preserve">local </w:t>
      </w:r>
      <w:r w:rsidR="00350A93">
        <w:t>service</w:t>
      </w:r>
      <w:r w:rsidR="009E167B">
        <w:t xml:space="preserve"> integration </w:t>
      </w:r>
      <w:r>
        <w:t xml:space="preserve">are </w:t>
      </w:r>
      <w:r w:rsidR="009B3548" w:rsidRPr="00A35964">
        <w:t xml:space="preserve">underway </w:t>
      </w:r>
      <w:r w:rsidR="00E06D43">
        <w:t xml:space="preserve">at the </w:t>
      </w:r>
      <w:r w:rsidR="009B3548" w:rsidRPr="00A35964">
        <w:t>federal and state levels</w:t>
      </w:r>
      <w:r w:rsidR="00E94CAD">
        <w:t>. These include</w:t>
      </w:r>
      <w:r w:rsidR="001D46B1">
        <w:t xml:space="preserve"> </w:t>
      </w:r>
      <w:r w:rsidR="001D46B1" w:rsidRPr="001D46B1">
        <w:t xml:space="preserve">PHN commissioned work, headspace National service integration initiatives, the IAR, the National Partnership Agreement and associated bilaterals </w:t>
      </w:r>
      <w:r w:rsidR="007A3C42">
        <w:t xml:space="preserve">activity </w:t>
      </w:r>
      <w:r w:rsidR="00A76FBE">
        <w:t xml:space="preserve">with elements aimed </w:t>
      </w:r>
      <w:r w:rsidR="007A3C42">
        <w:t>to enhance</w:t>
      </w:r>
      <w:r w:rsidR="00EF622A">
        <w:t xml:space="preserve"> integration between headspace services, community services and tertiary mental health services for young people. </w:t>
      </w:r>
      <w:r w:rsidR="003A3630">
        <w:t xml:space="preserve">While the details of these activities are outside the scope of this evaluation, </w:t>
      </w:r>
      <w:r w:rsidR="00677C51">
        <w:t xml:space="preserve">findings related to service integration and the benefit to young people of sustained engagement </w:t>
      </w:r>
      <w:r w:rsidR="002B2FD0">
        <w:t xml:space="preserve">with headspace indicate their importance. </w:t>
      </w:r>
    </w:p>
    <w:p w14:paraId="7578DB1A" w14:textId="0D50A459" w:rsidR="00350A93" w:rsidRDefault="003C4FA6" w:rsidP="001D46B1">
      <w:pPr>
        <w:pStyle w:val="BodyText"/>
      </w:pPr>
      <w:r>
        <w:t xml:space="preserve">Through </w:t>
      </w:r>
      <w:r w:rsidR="00E90F87">
        <w:t>a</w:t>
      </w:r>
      <w:r w:rsidR="0028485D">
        <w:t xml:space="preserve"> f</w:t>
      </w:r>
      <w:r w:rsidR="00350A93">
        <w:t xml:space="preserve">ocus </w:t>
      </w:r>
      <w:r w:rsidR="00E90F87">
        <w:t xml:space="preserve">within these activities </w:t>
      </w:r>
      <w:r w:rsidR="00350A93">
        <w:t xml:space="preserve">on </w:t>
      </w:r>
      <w:r w:rsidR="002152C8">
        <w:t xml:space="preserve">driving a shared </w:t>
      </w:r>
      <w:r w:rsidR="00350A93">
        <w:t>commitment and approach to integrated assessment and care across services</w:t>
      </w:r>
      <w:r>
        <w:t>,</w:t>
      </w:r>
      <w:r w:rsidR="00350A93">
        <w:t xml:space="preserve"> young people’s experience of engagement pathways</w:t>
      </w:r>
      <w:r>
        <w:t xml:space="preserve"> could be improved</w:t>
      </w:r>
      <w:r w:rsidR="00350A93">
        <w:t xml:space="preserve"> and </w:t>
      </w:r>
      <w:r w:rsidR="00CD3381">
        <w:t>their ongoing engagement with appropriate care</w:t>
      </w:r>
      <w:r>
        <w:t xml:space="preserve"> could be</w:t>
      </w:r>
      <w:r w:rsidR="00CE4845">
        <w:t xml:space="preserve"> better</w:t>
      </w:r>
      <w:r>
        <w:t xml:space="preserve"> supported</w:t>
      </w:r>
      <w:r w:rsidR="00CD3381">
        <w:t>.</w:t>
      </w:r>
      <w:r w:rsidR="00B1219C">
        <w:t xml:space="preserve"> In the context of headspace, t</w:t>
      </w:r>
      <w:r w:rsidR="00350A93">
        <w:t xml:space="preserve">his </w:t>
      </w:r>
      <w:r w:rsidR="00403131">
        <w:t xml:space="preserve">may include projects </w:t>
      </w:r>
      <w:r w:rsidR="00350A93">
        <w:t xml:space="preserve">to co-design and implement shared tools and procedures </w:t>
      </w:r>
      <w:r w:rsidR="006916D0">
        <w:t xml:space="preserve">across services </w:t>
      </w:r>
      <w:r w:rsidR="00350A93">
        <w:t>that address regional needs and capability</w:t>
      </w:r>
      <w:r w:rsidR="00D3027E">
        <w:t xml:space="preserve">, drawing on the </w:t>
      </w:r>
      <w:r w:rsidR="00350A93">
        <w:t xml:space="preserve">IAR </w:t>
      </w:r>
      <w:r w:rsidR="00D3027E">
        <w:t xml:space="preserve">and </w:t>
      </w:r>
      <w:r w:rsidR="003242B9">
        <w:t xml:space="preserve">the </w:t>
      </w:r>
      <w:r w:rsidR="00D3027E">
        <w:t xml:space="preserve">PHN regional </w:t>
      </w:r>
      <w:r w:rsidR="00CE4845">
        <w:t>commissioning role</w:t>
      </w:r>
      <w:r w:rsidR="00200999">
        <w:t>.</w:t>
      </w:r>
      <w:r w:rsidR="00350A93">
        <w:t xml:space="preserve"> </w:t>
      </w:r>
      <w:r w:rsidR="00CE4845">
        <w:t>T</w:t>
      </w:r>
      <w:r w:rsidR="00350A93">
        <w:t>he work already underway by headspace National through the Demand Management and Enhancement Program and service integration exploration</w:t>
      </w:r>
      <w:r w:rsidR="00CE4845">
        <w:t xml:space="preserve"> is also designed to support these outcomes</w:t>
      </w:r>
      <w:r w:rsidR="00350A93">
        <w:t>. Successful service integration also requires</w:t>
      </w:r>
      <w:r w:rsidR="00D978CD">
        <w:t xml:space="preserve"> </w:t>
      </w:r>
      <w:r w:rsidR="00E06D43">
        <w:t xml:space="preserve">system-level support through </w:t>
      </w:r>
      <w:r w:rsidR="00EA0C5F">
        <w:t xml:space="preserve">government investment and leadership across </w:t>
      </w:r>
      <w:r w:rsidR="00BA21E5">
        <w:t>the Commonwealth,</w:t>
      </w:r>
      <w:r w:rsidR="00DD1CB0">
        <w:t xml:space="preserve"> and</w:t>
      </w:r>
      <w:r w:rsidR="00BA21E5">
        <w:t xml:space="preserve"> </w:t>
      </w:r>
      <w:r w:rsidR="00EA0C5F">
        <w:t xml:space="preserve">state and </w:t>
      </w:r>
      <w:r w:rsidR="00DD1CB0">
        <w:t xml:space="preserve">territory </w:t>
      </w:r>
      <w:r w:rsidR="00343C25">
        <w:t xml:space="preserve">jurisdictions. </w:t>
      </w:r>
      <w:r w:rsidR="00350A93">
        <w:t>This work has begun under</w:t>
      </w:r>
      <w:r w:rsidR="00343C25">
        <w:t xml:space="preserve"> the </w:t>
      </w:r>
      <w:r w:rsidR="00704307">
        <w:t xml:space="preserve">National Agreement, </w:t>
      </w:r>
      <w:r w:rsidR="004A347E">
        <w:t xml:space="preserve">and associated </w:t>
      </w:r>
      <w:r w:rsidR="00E40814">
        <w:t>s</w:t>
      </w:r>
      <w:r w:rsidR="00350A93">
        <w:t>tate/</w:t>
      </w:r>
      <w:r w:rsidR="00E40814">
        <w:t>t</w:t>
      </w:r>
      <w:r w:rsidR="00350A93">
        <w:t xml:space="preserve">erritory </w:t>
      </w:r>
      <w:r w:rsidR="004A347E">
        <w:t xml:space="preserve">bilateral agreements, </w:t>
      </w:r>
      <w:r w:rsidR="00350A93">
        <w:t xml:space="preserve">and </w:t>
      </w:r>
      <w:r w:rsidR="009C320F">
        <w:t xml:space="preserve">will </w:t>
      </w:r>
      <w:r w:rsidR="00350A93">
        <w:t xml:space="preserve">continue to </w:t>
      </w:r>
      <w:r w:rsidR="009C320F">
        <w:t>be an ongoing area</w:t>
      </w:r>
      <w:r w:rsidR="00704307">
        <w:t xml:space="preserve"> of </w:t>
      </w:r>
      <w:r w:rsidR="009C320F">
        <w:t>focus</w:t>
      </w:r>
      <w:r w:rsidR="00704307" w:rsidRPr="00DB6D9C">
        <w:t>.</w:t>
      </w:r>
    </w:p>
    <w:p w14:paraId="4EFA64DF" w14:textId="48DA3127" w:rsidR="00704307" w:rsidRPr="002D7271" w:rsidRDefault="00350A93" w:rsidP="00704307">
      <w:pPr>
        <w:pStyle w:val="BodyText"/>
      </w:pPr>
      <w:r>
        <w:t>With considered planning</w:t>
      </w:r>
      <w:r w:rsidR="00EF77AE">
        <w:t xml:space="preserve"> and active evaluation</w:t>
      </w:r>
      <w:r>
        <w:t xml:space="preserve">, these various pieces of work have the potential to collectively enhance local partnerships, capability and resourcing, leading to improved early experiences of young people with the mental health service system, particularly headspace services. </w:t>
      </w:r>
    </w:p>
    <w:p w14:paraId="27394FC8" w14:textId="608FE9E1" w:rsidR="00F35F71" w:rsidRDefault="00F35F71" w:rsidP="00F35F71">
      <w:pPr>
        <w:pStyle w:val="Caption"/>
      </w:pPr>
      <w:bookmarkStart w:id="175" w:name="_Toc108108973"/>
      <w:r>
        <w:t xml:space="preserve">Table </w:t>
      </w:r>
      <w:r>
        <w:rPr>
          <w:i w:val="0"/>
        </w:rPr>
        <w:fldChar w:fldCharType="begin"/>
      </w:r>
      <w:r>
        <w:instrText>SEQ Table \* ARABIC</w:instrText>
      </w:r>
      <w:r>
        <w:rPr>
          <w:i w:val="0"/>
        </w:rPr>
        <w:fldChar w:fldCharType="separate"/>
      </w:r>
      <w:r w:rsidR="00CC0438">
        <w:rPr>
          <w:noProof/>
        </w:rPr>
        <w:t>23</w:t>
      </w:r>
      <w:r>
        <w:rPr>
          <w:i w:val="0"/>
        </w:rPr>
        <w:fldChar w:fldCharType="end"/>
      </w:r>
      <w:r>
        <w:t xml:space="preserve">: Service </w:t>
      </w:r>
      <w:r w:rsidR="00BA0F39">
        <w:t>i</w:t>
      </w:r>
      <w:r>
        <w:t xml:space="preserve">ntegration </w:t>
      </w:r>
      <w:r w:rsidR="00BA0F39">
        <w:t>r</w:t>
      </w:r>
      <w:r>
        <w:t>ecommendations</w:t>
      </w:r>
      <w:bookmarkEnd w:id="175"/>
    </w:p>
    <w:tbl>
      <w:tblPr>
        <w:tblStyle w:val="TableGrid"/>
        <w:tblW w:w="0" w:type="auto"/>
        <w:tblBorders>
          <w:top w:val="single" w:sz="4" w:space="0" w:color="00338D" w:themeColor="background2"/>
          <w:left w:val="single" w:sz="4" w:space="0" w:color="00338D" w:themeColor="background2"/>
          <w:bottom w:val="single" w:sz="4" w:space="0" w:color="00338D" w:themeColor="background2"/>
          <w:right w:val="single" w:sz="4" w:space="0" w:color="00338D" w:themeColor="background2"/>
          <w:insideH w:val="single" w:sz="4" w:space="0" w:color="00338D" w:themeColor="background2"/>
          <w:insideV w:val="single" w:sz="4" w:space="0" w:color="00338D" w:themeColor="background2"/>
        </w:tblBorders>
        <w:tblLook w:val="04A0" w:firstRow="1" w:lastRow="0" w:firstColumn="1" w:lastColumn="0" w:noHBand="0" w:noVBand="1"/>
        <w:tblCaption w:val="Service integration recommendations"/>
        <w:tblDescription w:val="Table 23 has 1 column and summarises the evaluation’s recommendations related to service integration. There is 1 recommendation in the table."/>
      </w:tblPr>
      <w:tblGrid>
        <w:gridCol w:w="9060"/>
      </w:tblGrid>
      <w:tr w:rsidR="003E51FD" w:rsidRPr="00BC0D46" w14:paraId="49976E75" w14:textId="77777777" w:rsidTr="00D02223">
        <w:trPr>
          <w:tblHeader/>
        </w:trPr>
        <w:tc>
          <w:tcPr>
            <w:tcW w:w="9060" w:type="dxa"/>
            <w:shd w:val="clear" w:color="auto" w:fill="00338D" w:themeFill="background2"/>
          </w:tcPr>
          <w:p w14:paraId="6DED7466" w14:textId="3849EE20" w:rsidR="003E51FD" w:rsidRPr="00BC0D46" w:rsidRDefault="003E51FD" w:rsidP="006F64A8">
            <w:pPr>
              <w:pStyle w:val="Tableheading"/>
            </w:pPr>
            <w:r w:rsidRPr="00BC0D46">
              <w:t>Recommendations</w:t>
            </w:r>
          </w:p>
        </w:tc>
      </w:tr>
      <w:tr w:rsidR="003E51FD" w14:paraId="1C0A8DD1" w14:textId="77777777" w:rsidTr="00146BD4">
        <w:tc>
          <w:tcPr>
            <w:tcW w:w="9060" w:type="dxa"/>
            <w:shd w:val="clear" w:color="auto" w:fill="E7F0FF"/>
          </w:tcPr>
          <w:p w14:paraId="68B947EC" w14:textId="77777777" w:rsidR="0082639D" w:rsidRDefault="00A14318" w:rsidP="00A72CC4">
            <w:pPr>
              <w:pStyle w:val="Tabletext"/>
              <w:numPr>
                <w:ilvl w:val="0"/>
                <w:numId w:val="26"/>
              </w:numPr>
            </w:pPr>
            <w:r>
              <w:t>T</w:t>
            </w:r>
            <w:r w:rsidR="00EB19E0">
              <w:t>here is a need t</w:t>
            </w:r>
            <w:r>
              <w:t>o</w:t>
            </w:r>
            <w:r w:rsidR="005D45B2">
              <w:t xml:space="preserve"> further</w:t>
            </w:r>
            <w:r>
              <w:t xml:space="preserve"> enhance</w:t>
            </w:r>
            <w:r w:rsidR="00867D66">
              <w:t xml:space="preserve"> </w:t>
            </w:r>
            <w:r w:rsidR="00074BAD">
              <w:t xml:space="preserve">integration </w:t>
            </w:r>
            <w:r w:rsidR="00783F10">
              <w:t>with</w:t>
            </w:r>
            <w:r w:rsidR="00B43EA1">
              <w:t xml:space="preserve"> headspace services and local </w:t>
            </w:r>
            <w:r w:rsidR="005D45B2">
              <w:t xml:space="preserve">mental health and other service providers. </w:t>
            </w:r>
            <w:r w:rsidR="0062760F">
              <w:t>This should</w:t>
            </w:r>
            <w:r>
              <w:t xml:space="preserve"> </w:t>
            </w:r>
            <w:r w:rsidR="0062760F">
              <w:t>build on the current service integration piloting and evaluation activity underway through the IAR and the PHN regional commissioning role.</w:t>
            </w:r>
            <w:r w:rsidR="009F13D7">
              <w:t xml:space="preserve"> It should also </w:t>
            </w:r>
            <w:r w:rsidR="0003712F">
              <w:t xml:space="preserve">consider the National Agreement, and bilateral </w:t>
            </w:r>
            <w:r w:rsidR="000840FB">
              <w:t xml:space="preserve">agreements </w:t>
            </w:r>
            <w:r w:rsidR="0003712F">
              <w:t xml:space="preserve">developed </w:t>
            </w:r>
            <w:r w:rsidR="000840FB">
              <w:t>with each state and territory</w:t>
            </w:r>
            <w:r w:rsidR="00B205B6">
              <w:t xml:space="preserve"> in </w:t>
            </w:r>
            <w:r w:rsidR="000359A9">
              <w:t>relation to specific strategies to support service integration.</w:t>
            </w:r>
          </w:p>
          <w:p w14:paraId="221BB767" w14:textId="77777777" w:rsidR="0082639D" w:rsidRPr="009A7B71" w:rsidRDefault="0082639D" w:rsidP="0082639D">
            <w:pPr>
              <w:pStyle w:val="Tabletext"/>
              <w:ind w:left="360"/>
              <w:rPr>
                <w:sz w:val="6"/>
                <w:szCs w:val="8"/>
              </w:rPr>
            </w:pPr>
          </w:p>
          <w:p w14:paraId="51754CA7" w14:textId="7BB31555" w:rsidR="003E51FD" w:rsidRPr="003E51FD" w:rsidRDefault="0062760F" w:rsidP="0082639D">
            <w:pPr>
              <w:pStyle w:val="Tabletext"/>
              <w:ind w:left="360"/>
            </w:pPr>
            <w:r>
              <w:t xml:space="preserve">This would support </w:t>
            </w:r>
            <w:r w:rsidR="003F07B9">
              <w:t xml:space="preserve">access to </w:t>
            </w:r>
            <w:r w:rsidR="007F07B7">
              <w:t xml:space="preserve">more appropriate initial connections to </w:t>
            </w:r>
            <w:r w:rsidR="003F07B9">
              <w:t>services for young people</w:t>
            </w:r>
            <w:r w:rsidR="00B861D6">
              <w:t xml:space="preserve"> and</w:t>
            </w:r>
            <w:r w:rsidR="003F07B9">
              <w:t xml:space="preserve"> provide greater clarity for referrers locally</w:t>
            </w:r>
            <w:r w:rsidR="00B861D6">
              <w:t xml:space="preserve">. </w:t>
            </w:r>
            <w:r w:rsidR="004F3719">
              <w:t>It would also</w:t>
            </w:r>
            <w:r w:rsidR="003F07B9">
              <w:t xml:space="preserve"> support regional service connections and </w:t>
            </w:r>
            <w:r w:rsidR="006B71BB">
              <w:t xml:space="preserve">providers’ </w:t>
            </w:r>
            <w:r w:rsidR="003F07B9">
              <w:t xml:space="preserve">understanding of services and supports available during </w:t>
            </w:r>
            <w:r w:rsidR="00504E5E">
              <w:t xml:space="preserve">and following </w:t>
            </w:r>
            <w:r w:rsidR="003F07B9">
              <w:t xml:space="preserve">a young person’s </w:t>
            </w:r>
            <w:r w:rsidR="00080644">
              <w:t>EOC</w:t>
            </w:r>
            <w:r w:rsidR="003F07B9">
              <w:t xml:space="preserve"> with headspace.</w:t>
            </w:r>
          </w:p>
        </w:tc>
      </w:tr>
    </w:tbl>
    <w:p w14:paraId="32E759AA" w14:textId="0D0C96AE" w:rsidR="00AB133C" w:rsidRPr="0082639D" w:rsidRDefault="00E83621" w:rsidP="0082639D">
      <w:pPr>
        <w:pStyle w:val="Source"/>
      </w:pPr>
      <w:r w:rsidRPr="00E83621">
        <w:t xml:space="preserve"> </w:t>
      </w:r>
      <w:r w:rsidRPr="00DC3D06">
        <w:t>Source: KPMG 2022</w:t>
      </w:r>
    </w:p>
    <w:p w14:paraId="413E6CD5" w14:textId="7B0A59C6" w:rsidR="00994918" w:rsidRDefault="0095374E" w:rsidP="003941C8">
      <w:pPr>
        <w:pStyle w:val="Heading3"/>
      </w:pPr>
      <w:bookmarkStart w:id="176" w:name="_Ref98328386"/>
      <w:bookmarkStart w:id="177" w:name="_Hlk98248981"/>
      <w:r>
        <w:t>Governance and commissioning</w:t>
      </w:r>
      <w:bookmarkEnd w:id="176"/>
    </w:p>
    <w:p w14:paraId="76C4B7F5" w14:textId="5AA32E92" w:rsidR="008F044B" w:rsidRDefault="009E2042" w:rsidP="00994918">
      <w:pPr>
        <w:pStyle w:val="Heading4"/>
      </w:pPr>
      <w:r>
        <w:t>National network</w:t>
      </w:r>
    </w:p>
    <w:p w14:paraId="50E4AF83" w14:textId="29975FA9" w:rsidR="009E2042" w:rsidRDefault="009E2042" w:rsidP="006B7096">
      <w:pPr>
        <w:pStyle w:val="BodyText"/>
      </w:pPr>
      <w:r>
        <w:t>The national network, linking a national headspace model with a local commissioning approach</w:t>
      </w:r>
      <w:r w:rsidR="00F12C05">
        <w:t>,</w:t>
      </w:r>
      <w:r>
        <w:t xml:space="preserve"> </w:t>
      </w:r>
      <w:r w:rsidR="00ED344B">
        <w:t xml:space="preserve">is an </w:t>
      </w:r>
      <w:r w:rsidR="00ED344B" w:rsidRPr="00B83658">
        <w:t>area of tension and should be explored for improved collaboration and flexibility</w:t>
      </w:r>
      <w:r w:rsidR="00ED344B">
        <w:t xml:space="preserve">. </w:t>
      </w:r>
      <w:r w:rsidR="00D54471">
        <w:t xml:space="preserve">Each lens brings a vital factor driving the success of the headspace </w:t>
      </w:r>
      <w:r w:rsidR="001F2443">
        <w:t>model</w:t>
      </w:r>
      <w:r w:rsidR="00D54471">
        <w:t xml:space="preserve">, however </w:t>
      </w:r>
      <w:r w:rsidR="00B45DE5">
        <w:t>roles and relationships across the national network are complex. A</w:t>
      </w:r>
      <w:r w:rsidR="00D54471">
        <w:t>necdotal evidence indicates that</w:t>
      </w:r>
      <w:r w:rsidR="00CF558A">
        <w:t>,</w:t>
      </w:r>
      <w:r w:rsidR="00D54471">
        <w:t xml:space="preserve"> at times</w:t>
      </w:r>
      <w:r w:rsidR="00CF558A">
        <w:t>,</w:t>
      </w:r>
      <w:r w:rsidR="00D54471">
        <w:t xml:space="preserve"> these conflicting priorities create inefficiency and frustration.</w:t>
      </w:r>
    </w:p>
    <w:p w14:paraId="3DC91954" w14:textId="2D108B89" w:rsidR="00D54471" w:rsidRDefault="00D54471" w:rsidP="006B7096">
      <w:pPr>
        <w:pStyle w:val="BodyText"/>
      </w:pPr>
      <w:r>
        <w:t xml:space="preserve">Benefit may be gained by undertaking a </w:t>
      </w:r>
      <w:r w:rsidRPr="00B83658">
        <w:t>refresh of roles and responsibilities</w:t>
      </w:r>
      <w:r>
        <w:t xml:space="preserve"> </w:t>
      </w:r>
      <w:bookmarkEnd w:id="177"/>
      <w:r>
        <w:t xml:space="preserve">across the network, clearly identifying areas of operations which are the remit of each stakeholder. </w:t>
      </w:r>
      <w:r w:rsidR="009F3C97">
        <w:t xml:space="preserve">Increased </w:t>
      </w:r>
      <w:r w:rsidR="009F3C97" w:rsidRPr="00B83658">
        <w:t>clarity and span of control</w:t>
      </w:r>
      <w:r w:rsidR="009F3C97">
        <w:t xml:space="preserve"> for stakeholders within the national network may help reduce duplication and inflexibility and lead to greater impact on the needs of young people.</w:t>
      </w:r>
    </w:p>
    <w:p w14:paraId="41627B79" w14:textId="6B570691" w:rsidR="00076704" w:rsidRDefault="00D54471" w:rsidP="006B7096">
      <w:pPr>
        <w:pStyle w:val="BodyText"/>
      </w:pPr>
      <w:r>
        <w:t xml:space="preserve">As key stakeholders within their local community, PHNs are uniquely positioned to undertake </w:t>
      </w:r>
      <w:r w:rsidRPr="00A725F0">
        <w:t>needs analys</w:t>
      </w:r>
      <w:r w:rsidR="00CD24BC">
        <w:t>es</w:t>
      </w:r>
      <w:r w:rsidRPr="00A725F0">
        <w:t xml:space="preserve"> of the young people in their are</w:t>
      </w:r>
      <w:r w:rsidR="002D581C" w:rsidRPr="00A725F0">
        <w:t>a.</w:t>
      </w:r>
      <w:r w:rsidR="002D581C">
        <w:t xml:space="preserve"> Yet, </w:t>
      </w:r>
      <w:r w:rsidR="00676FA8">
        <w:t xml:space="preserve">PHNs </w:t>
      </w:r>
      <w:r w:rsidR="00BE7542">
        <w:t>perce</w:t>
      </w:r>
      <w:r w:rsidR="00F3445F">
        <w:t>i</w:t>
      </w:r>
      <w:r w:rsidR="00BE7542">
        <w:t>ve</w:t>
      </w:r>
      <w:r w:rsidR="00147696">
        <w:t xml:space="preserve"> </w:t>
      </w:r>
      <w:r w:rsidR="00542537">
        <w:t xml:space="preserve">limited </w:t>
      </w:r>
      <w:r w:rsidR="00147696">
        <w:t xml:space="preserve">scope for regional variation within the headspace model </w:t>
      </w:r>
      <w:r w:rsidR="00542537">
        <w:t xml:space="preserve">and reduced opportunity </w:t>
      </w:r>
      <w:r w:rsidR="00676FA8">
        <w:t xml:space="preserve">to </w:t>
      </w:r>
      <w:r w:rsidR="00135069">
        <w:t xml:space="preserve">utilise </w:t>
      </w:r>
      <w:r w:rsidR="00BD340D">
        <w:t xml:space="preserve">core headspace grant </w:t>
      </w:r>
      <w:r w:rsidR="00135069">
        <w:t xml:space="preserve">funding to commission </w:t>
      </w:r>
      <w:r w:rsidR="009333B8">
        <w:t xml:space="preserve">services </w:t>
      </w:r>
      <w:r w:rsidR="005D490A">
        <w:t xml:space="preserve">that match the needs </w:t>
      </w:r>
      <w:r w:rsidR="001F0F99">
        <w:t xml:space="preserve">analysis undertaken in the local community. </w:t>
      </w:r>
      <w:r w:rsidR="00692AF3">
        <w:t>T</w:t>
      </w:r>
      <w:r w:rsidR="00F4162D">
        <w:t>he</w:t>
      </w:r>
      <w:r w:rsidR="003D1AB8">
        <w:t>oretically</w:t>
      </w:r>
      <w:r w:rsidR="008639CE">
        <w:t>,</w:t>
      </w:r>
      <w:r w:rsidR="003D1AB8">
        <w:t xml:space="preserve"> the</w:t>
      </w:r>
      <w:r w:rsidR="00F4162D">
        <w:t xml:space="preserve"> hMIF </w:t>
      </w:r>
      <w:r w:rsidR="003D1AB8">
        <w:t xml:space="preserve">provides a level of agility to </w:t>
      </w:r>
      <w:r w:rsidR="00692AF3">
        <w:t>meet localised needs</w:t>
      </w:r>
      <w:r w:rsidR="008639CE">
        <w:t>,</w:t>
      </w:r>
      <w:r w:rsidR="00692AF3">
        <w:t xml:space="preserve"> however this is not understood or experienced </w:t>
      </w:r>
      <w:r w:rsidR="00F77E2D">
        <w:t>b</w:t>
      </w:r>
      <w:r w:rsidR="00692AF3">
        <w:t>y all stakeholders</w:t>
      </w:r>
      <w:r w:rsidR="00F77E2D">
        <w:t xml:space="preserve">, including PHNs and </w:t>
      </w:r>
      <w:r w:rsidR="00C16F31">
        <w:t>lead agencies</w:t>
      </w:r>
      <w:r w:rsidR="00692AF3">
        <w:t xml:space="preserve">. </w:t>
      </w:r>
      <w:r w:rsidR="00C24D38">
        <w:t xml:space="preserve">There </w:t>
      </w:r>
      <w:r w:rsidR="00CB6005">
        <w:t>is</w:t>
      </w:r>
      <w:r w:rsidR="00C24D38">
        <w:t xml:space="preserve"> an opportunity for </w:t>
      </w:r>
      <w:r w:rsidR="00CB6005">
        <w:t>greater sharing and</w:t>
      </w:r>
      <w:r w:rsidR="00263232">
        <w:t xml:space="preserve"> </w:t>
      </w:r>
      <w:r w:rsidR="004A0920">
        <w:t xml:space="preserve">communication regarding the </w:t>
      </w:r>
      <w:r w:rsidR="00CB6005">
        <w:t xml:space="preserve">adaptability </w:t>
      </w:r>
      <w:r w:rsidR="004A0920">
        <w:t xml:space="preserve">of the hMIF </w:t>
      </w:r>
      <w:r w:rsidR="00692AF3">
        <w:t>and its</w:t>
      </w:r>
      <w:r w:rsidR="004A0920">
        <w:t xml:space="preserve"> </w:t>
      </w:r>
      <w:r w:rsidR="00174695">
        <w:t>ability</w:t>
      </w:r>
      <w:r w:rsidR="004A0920">
        <w:t xml:space="preserve"> to </w:t>
      </w:r>
      <w:r w:rsidR="00F4162D">
        <w:t xml:space="preserve">be agile and </w:t>
      </w:r>
      <w:r w:rsidR="004A0920">
        <w:t xml:space="preserve">respond to local needs. </w:t>
      </w:r>
    </w:p>
    <w:p w14:paraId="55DF3069" w14:textId="5722D773" w:rsidR="005816D2" w:rsidRDefault="00D54471" w:rsidP="006B7096">
      <w:pPr>
        <w:pStyle w:val="BodyText"/>
      </w:pPr>
      <w:r>
        <w:t xml:space="preserve">An implementation refinement project could be undertaken to explore how the PHN local lens could be </w:t>
      </w:r>
      <w:r w:rsidR="002665FC">
        <w:t xml:space="preserve">better </w:t>
      </w:r>
      <w:r>
        <w:t xml:space="preserve">used to commission </w:t>
      </w:r>
      <w:r w:rsidR="00EE46F6">
        <w:t xml:space="preserve">a </w:t>
      </w:r>
      <w:r w:rsidRPr="0048214F">
        <w:t xml:space="preserve">model </w:t>
      </w:r>
      <w:r w:rsidR="009E4B60">
        <w:t>consistent with the hMIF</w:t>
      </w:r>
      <w:r w:rsidR="00EF17A6">
        <w:t xml:space="preserve"> </w:t>
      </w:r>
      <w:r w:rsidR="00EE46F6">
        <w:t>that respond</w:t>
      </w:r>
      <w:r w:rsidR="006E7429">
        <w:t>s</w:t>
      </w:r>
      <w:r w:rsidR="00EE46F6">
        <w:t xml:space="preserve"> to </w:t>
      </w:r>
      <w:r w:rsidR="006E7429">
        <w:t>identified</w:t>
      </w:r>
      <w:r w:rsidRPr="00A725F0">
        <w:t xml:space="preserve"> region</w:t>
      </w:r>
      <w:r w:rsidR="00EE46F6">
        <w:t>al need</w:t>
      </w:r>
      <w:r w:rsidRPr="00D165CE">
        <w:t>.</w:t>
      </w:r>
      <w:r>
        <w:t xml:space="preserve"> </w:t>
      </w:r>
      <w:r w:rsidR="00762306">
        <w:t xml:space="preserve">Whilst the hMIF allows for local </w:t>
      </w:r>
      <w:r w:rsidR="00D4298F">
        <w:t>re</w:t>
      </w:r>
      <w:r w:rsidR="00464CF7">
        <w:t>sp</w:t>
      </w:r>
      <w:r w:rsidR="00D4298F">
        <w:t>onses in theory</w:t>
      </w:r>
      <w:r w:rsidR="00762306">
        <w:t xml:space="preserve">, this project would specifically </w:t>
      </w:r>
      <w:r>
        <w:t xml:space="preserve">take into </w:t>
      </w:r>
      <w:r w:rsidRPr="00A725F0">
        <w:t>account the PHNs</w:t>
      </w:r>
      <w:r w:rsidR="005B44BC">
        <w:t>’</w:t>
      </w:r>
      <w:r w:rsidRPr="00A725F0" w:rsidDel="005B44BC">
        <w:t xml:space="preserve"> </w:t>
      </w:r>
      <w:r w:rsidRPr="00A725F0">
        <w:t>needs analys</w:t>
      </w:r>
      <w:r w:rsidR="003C3780">
        <w:t>es</w:t>
      </w:r>
      <w:r w:rsidRPr="00A725F0">
        <w:t>,</w:t>
      </w:r>
      <w:r>
        <w:t xml:space="preserve"> as well as the </w:t>
      </w:r>
      <w:r w:rsidRPr="00A725F0">
        <w:t>local service landscape and any gaps or areas of particular priority</w:t>
      </w:r>
      <w:r w:rsidR="004652CF">
        <w:t>,</w:t>
      </w:r>
      <w:r w:rsidR="00D4298F">
        <w:t xml:space="preserve"> in the design and commissioning phase</w:t>
      </w:r>
      <w:r w:rsidRPr="00D165CE">
        <w:t>.</w:t>
      </w:r>
      <w:r>
        <w:t xml:space="preserve"> </w:t>
      </w:r>
      <w:r w:rsidR="008A332D">
        <w:t xml:space="preserve">The outcome of this project may be a new commissioning approach to headspace services, where the hMIF provides a minimum standard across the 16 components of the headspace </w:t>
      </w:r>
      <w:r w:rsidR="001F2443" w:rsidRPr="00D10E45">
        <w:t>mo</w:t>
      </w:r>
      <w:r w:rsidR="001F2443" w:rsidRPr="000737CD">
        <w:t>de</w:t>
      </w:r>
      <w:r w:rsidR="00D51A86">
        <w:t>l</w:t>
      </w:r>
      <w:r w:rsidR="008A332D">
        <w:t xml:space="preserve">, but PHNs </w:t>
      </w:r>
      <w:r w:rsidR="0096622F">
        <w:t xml:space="preserve">would </w:t>
      </w:r>
      <w:r w:rsidR="008A332D">
        <w:t xml:space="preserve">select from these in order to build a localised and bespoke model to meet the needs of their community, for example by including </w:t>
      </w:r>
      <w:r w:rsidR="00191F7E">
        <w:t xml:space="preserve">varied </w:t>
      </w:r>
      <w:r w:rsidR="008A332D" w:rsidRPr="00D165CE">
        <w:t>proportion</w:t>
      </w:r>
      <w:r w:rsidR="00191F7E">
        <w:t>s</w:t>
      </w:r>
      <w:r w:rsidR="008A332D">
        <w:t xml:space="preserve"> of service </w:t>
      </w:r>
      <w:r w:rsidR="00191F7E">
        <w:t xml:space="preserve">stream </w:t>
      </w:r>
      <w:r w:rsidR="008A332D">
        <w:t>effort in the headspace service funding agreement.</w:t>
      </w:r>
      <w:r w:rsidR="00D51A86">
        <w:t xml:space="preserve"> </w:t>
      </w:r>
      <w:r w:rsidR="00686302">
        <w:t>The headspace</w:t>
      </w:r>
      <w:r w:rsidR="00D51A86">
        <w:t xml:space="preserve"> model</w:t>
      </w:r>
      <w:r w:rsidR="00E744A0">
        <w:t xml:space="preserve"> </w:t>
      </w:r>
      <w:r w:rsidR="00686302">
        <w:t xml:space="preserve">and brand </w:t>
      </w:r>
      <w:r w:rsidR="00B24A04">
        <w:t>are</w:t>
      </w:r>
      <w:r w:rsidR="00686302">
        <w:t xml:space="preserve"> valuable in reducing</w:t>
      </w:r>
      <w:r w:rsidR="00E744A0">
        <w:t xml:space="preserve"> stigma, </w:t>
      </w:r>
      <w:r w:rsidR="00686302">
        <w:t xml:space="preserve">enhancing </w:t>
      </w:r>
      <w:r w:rsidR="00E744A0">
        <w:t xml:space="preserve">community recognition and </w:t>
      </w:r>
      <w:r w:rsidR="00686302">
        <w:t xml:space="preserve">securing funding. </w:t>
      </w:r>
      <w:r w:rsidR="00D51A86">
        <w:t xml:space="preserve">This </w:t>
      </w:r>
      <w:r w:rsidR="007E3D91">
        <w:t>proposed</w:t>
      </w:r>
      <w:r w:rsidR="00D51A86">
        <w:t xml:space="preserve"> approach would retain fidelity to important components of the hMIF model</w:t>
      </w:r>
      <w:r w:rsidR="00F00AFD">
        <w:t>,</w:t>
      </w:r>
      <w:r w:rsidR="00D51A86">
        <w:t xml:space="preserve"> whilst also demonstrating the flexibility of the model to ad</w:t>
      </w:r>
      <w:r w:rsidR="00F00AFD">
        <w:t xml:space="preserve">apt and respond to local needs. </w:t>
      </w:r>
      <w:r w:rsidR="00D51A86">
        <w:t xml:space="preserve"> </w:t>
      </w:r>
    </w:p>
    <w:p w14:paraId="59778D91" w14:textId="71704E0F" w:rsidR="008D3E57" w:rsidRDefault="00BE2E12" w:rsidP="006B7096">
      <w:pPr>
        <w:pStyle w:val="BodyText"/>
      </w:pPr>
      <w:r w:rsidRPr="00E40814">
        <w:t xml:space="preserve">Whilst </w:t>
      </w:r>
      <w:r w:rsidR="00AE7FF9" w:rsidRPr="00E40814">
        <w:t>there was overall</w:t>
      </w:r>
      <w:r w:rsidR="005816D2" w:rsidRPr="00E40814">
        <w:t xml:space="preserve"> </w:t>
      </w:r>
      <w:r w:rsidR="00AE7FF9" w:rsidRPr="00E40814">
        <w:t>improvement in mental he</w:t>
      </w:r>
      <w:r w:rsidR="000E779E" w:rsidRPr="00E40814">
        <w:t>a</w:t>
      </w:r>
      <w:r w:rsidR="00AE7FF9" w:rsidRPr="00E40814">
        <w:t>lth outcomes for young people accessing headspace services, the reliable improvement and clinically significant change results</w:t>
      </w:r>
      <w:r w:rsidRPr="00E40814">
        <w:t xml:space="preserve"> </w:t>
      </w:r>
      <w:r w:rsidR="009005FA" w:rsidRPr="00E40814">
        <w:t xml:space="preserve">warrant </w:t>
      </w:r>
      <w:r w:rsidR="00FF0ED8" w:rsidRPr="00E40814">
        <w:t>consideration</w:t>
      </w:r>
      <w:r w:rsidR="001245C9" w:rsidRPr="00E40814">
        <w:t>.</w:t>
      </w:r>
      <w:r w:rsidR="006D35B0">
        <w:t xml:space="preserve"> </w:t>
      </w:r>
      <w:r w:rsidR="00EC148F">
        <w:t>T</w:t>
      </w:r>
      <w:r w:rsidR="006D35B0">
        <w:t>he hM</w:t>
      </w:r>
      <w:r w:rsidR="004B6DCA">
        <w:t>IF</w:t>
      </w:r>
      <w:r w:rsidR="006D35B0">
        <w:t xml:space="preserve"> provides</w:t>
      </w:r>
      <w:r w:rsidR="00FF0ED8">
        <w:t xml:space="preserve"> </w:t>
      </w:r>
      <w:r w:rsidR="005D1695">
        <w:t>a</w:t>
      </w:r>
      <w:r w:rsidR="00FF0ED8">
        <w:t xml:space="preserve"> solid</w:t>
      </w:r>
      <w:r w:rsidR="006D35B0">
        <w:t xml:space="preserve"> framework for commissioners and lead agencies to guide the delivery of the he</w:t>
      </w:r>
      <w:r w:rsidR="00E41A6E">
        <w:t>a</w:t>
      </w:r>
      <w:r w:rsidR="006D35B0">
        <w:t>dspace services</w:t>
      </w:r>
      <w:r w:rsidR="005D1695">
        <w:t>;</w:t>
      </w:r>
      <w:r w:rsidR="006D35B0">
        <w:t xml:space="preserve"> </w:t>
      </w:r>
      <w:r w:rsidR="00701045">
        <w:t>however</w:t>
      </w:r>
      <w:r w:rsidR="005D1695">
        <w:t>,</w:t>
      </w:r>
      <w:r w:rsidR="00701045">
        <w:t xml:space="preserve"> </w:t>
      </w:r>
      <w:r w:rsidR="00EC1537" w:rsidRPr="00A53964">
        <w:t>quality control of the delivery of evidence-based interventions</w:t>
      </w:r>
      <w:r w:rsidR="006D35B0" w:rsidRPr="00A53964">
        <w:t xml:space="preserve"> is </w:t>
      </w:r>
      <w:r w:rsidR="00EC1537" w:rsidRPr="00A53964">
        <w:t>generally indirect</w:t>
      </w:r>
      <w:r w:rsidR="00EC1537">
        <w:t>, being</w:t>
      </w:r>
      <w:r w:rsidR="00E40814">
        <w:t xml:space="preserve"> led</w:t>
      </w:r>
      <w:r w:rsidR="00EC1537">
        <w:t xml:space="preserve"> by the professional ethics of individual staff and clinicians</w:t>
      </w:r>
      <w:r w:rsidR="00FC0AD4">
        <w:t xml:space="preserve"> employed within lead agencies</w:t>
      </w:r>
      <w:r w:rsidR="00EC1537">
        <w:t>.</w:t>
      </w:r>
      <w:r w:rsidR="00FC0AD4">
        <w:t xml:space="preserve"> </w:t>
      </w:r>
      <w:r w:rsidR="008C3697">
        <w:t>With a smaller proportion of episodes</w:t>
      </w:r>
      <w:r w:rsidR="00154093">
        <w:t xml:space="preserve"> of care</w:t>
      </w:r>
      <w:r w:rsidR="008C3697">
        <w:t xml:space="preserve"> achieving reliable change (that is, </w:t>
      </w:r>
      <w:r w:rsidR="00C521D4">
        <w:t xml:space="preserve">the change is </w:t>
      </w:r>
      <w:r w:rsidR="00BA28DB">
        <w:t>great</w:t>
      </w:r>
      <w:r w:rsidR="000D61E1">
        <w:t>er</w:t>
      </w:r>
      <w:r w:rsidR="00BA28DB">
        <w:t xml:space="preserve"> </w:t>
      </w:r>
      <w:r w:rsidR="00751D10">
        <w:t xml:space="preserve">than a </w:t>
      </w:r>
      <w:r w:rsidR="00BA28DB">
        <w:t xml:space="preserve">difference </w:t>
      </w:r>
      <w:r w:rsidR="00751D10">
        <w:t>that</w:t>
      </w:r>
      <w:r w:rsidR="008C3697">
        <w:t xml:space="preserve"> could have occurred randomly),</w:t>
      </w:r>
      <w:r w:rsidR="00E221ED">
        <w:t xml:space="preserve"> a</w:t>
      </w:r>
      <w:r w:rsidR="006D35B0">
        <w:t xml:space="preserve"> focus on </w:t>
      </w:r>
      <w:r w:rsidR="00FF0ED8" w:rsidRPr="00EF15F9">
        <w:t xml:space="preserve">fidelity to </w:t>
      </w:r>
      <w:r w:rsidR="009442FF" w:rsidRPr="00EF15F9">
        <w:t>the therapeutic</w:t>
      </w:r>
      <w:r w:rsidR="006D35B0" w:rsidRPr="00EF15F9">
        <w:t xml:space="preserve"> model and </w:t>
      </w:r>
      <w:r w:rsidR="00FF0ED8" w:rsidRPr="00EF15F9">
        <w:t xml:space="preserve">measuring </w:t>
      </w:r>
      <w:r w:rsidR="001245C9" w:rsidRPr="00EF15F9">
        <w:t>subsequent outcomes</w:t>
      </w:r>
      <w:r w:rsidR="0029158E" w:rsidRPr="00EF15F9">
        <w:t xml:space="preserve"> may be warranted</w:t>
      </w:r>
      <w:r w:rsidR="0029158E">
        <w:t>. It is possible, for example, that improved outcomes</w:t>
      </w:r>
      <w:r w:rsidR="001245C9">
        <w:t xml:space="preserve"> </w:t>
      </w:r>
      <w:r w:rsidR="00741522">
        <w:t>may</w:t>
      </w:r>
      <w:r w:rsidR="001245C9">
        <w:t xml:space="preserve"> be achieved through </w:t>
      </w:r>
      <w:r w:rsidR="00FC0AD4">
        <w:t>enhancements</w:t>
      </w:r>
      <w:r w:rsidR="001245C9">
        <w:t xml:space="preserve"> to </w:t>
      </w:r>
      <w:r w:rsidR="001A4FE0">
        <w:t>the quality components of</w:t>
      </w:r>
      <w:r w:rsidR="001245C9">
        <w:t xml:space="preserve"> clinical </w:t>
      </w:r>
      <w:r w:rsidR="006D35B0">
        <w:t>governance</w:t>
      </w:r>
      <w:r w:rsidR="001245C9">
        <w:t xml:space="preserve"> and a focus on </w:t>
      </w:r>
      <w:r w:rsidR="00741522">
        <w:t xml:space="preserve">efficacy and </w:t>
      </w:r>
      <w:r w:rsidR="00EC1537">
        <w:t xml:space="preserve">fidelity to </w:t>
      </w:r>
      <w:r w:rsidR="001245C9">
        <w:t>evidence informed</w:t>
      </w:r>
      <w:r w:rsidR="00EC1537">
        <w:t xml:space="preserve"> treatments</w:t>
      </w:r>
      <w:r w:rsidR="009442FF">
        <w:t>.</w:t>
      </w:r>
      <w:r w:rsidR="006F1C6A">
        <w:t xml:space="preserve"> </w:t>
      </w:r>
      <w:r w:rsidR="009442FF">
        <w:t xml:space="preserve">Enhancement in this area </w:t>
      </w:r>
      <w:r w:rsidR="0029158E">
        <w:t>could also</w:t>
      </w:r>
      <w:r w:rsidR="009442FF">
        <w:t xml:space="preserve"> have </w:t>
      </w:r>
      <w:r w:rsidR="00E41B4A">
        <w:t xml:space="preserve">a </w:t>
      </w:r>
      <w:r w:rsidR="009442FF" w:rsidRPr="00EF15F9">
        <w:t>positive impact on attendance and retention rates.</w:t>
      </w:r>
      <w:r w:rsidR="009442FF">
        <w:t xml:space="preserve"> </w:t>
      </w:r>
    </w:p>
    <w:p w14:paraId="39622D1C" w14:textId="77777777" w:rsidR="00BE0080" w:rsidRDefault="004C1C09" w:rsidP="00E41B4A">
      <w:pPr>
        <w:pStyle w:val="BodyText"/>
        <w:rPr>
          <w:lang w:eastAsia="en-AU"/>
        </w:rPr>
      </w:pPr>
      <w:r>
        <w:rPr>
          <w:lang w:eastAsia="en-AU"/>
        </w:rPr>
        <w:t xml:space="preserve">The governance and commissioning roles within the national network of the headspace model are critical enablers of strong implementation and positive outcomes for young people. </w:t>
      </w:r>
      <w:r w:rsidR="002902AF">
        <w:rPr>
          <w:lang w:eastAsia="en-AU"/>
        </w:rPr>
        <w:t>Findings from this evaluation highlight that s</w:t>
      </w:r>
      <w:r w:rsidR="005E47E6">
        <w:rPr>
          <w:lang w:eastAsia="en-AU"/>
        </w:rPr>
        <w:t>ervice planni</w:t>
      </w:r>
      <w:r w:rsidR="00176834">
        <w:rPr>
          <w:lang w:eastAsia="en-AU"/>
        </w:rPr>
        <w:t xml:space="preserve">ng </w:t>
      </w:r>
      <w:r w:rsidR="002902AF">
        <w:rPr>
          <w:lang w:eastAsia="en-AU"/>
        </w:rPr>
        <w:t>and</w:t>
      </w:r>
      <w:r w:rsidR="00176834">
        <w:rPr>
          <w:lang w:eastAsia="en-AU"/>
        </w:rPr>
        <w:t xml:space="preserve"> </w:t>
      </w:r>
      <w:r w:rsidR="00F11BDA">
        <w:rPr>
          <w:lang w:eastAsia="en-AU"/>
        </w:rPr>
        <w:t>clinical governance</w:t>
      </w:r>
      <w:r w:rsidR="002902AF">
        <w:rPr>
          <w:lang w:eastAsia="en-AU"/>
        </w:rPr>
        <w:t xml:space="preserve"> are </w:t>
      </w:r>
      <w:r w:rsidR="005B05F5">
        <w:rPr>
          <w:lang w:eastAsia="en-AU"/>
        </w:rPr>
        <w:t xml:space="preserve">important </w:t>
      </w:r>
      <w:r w:rsidR="002902AF">
        <w:rPr>
          <w:lang w:eastAsia="en-AU"/>
        </w:rPr>
        <w:t>areas</w:t>
      </w:r>
      <w:r w:rsidR="005B05F5">
        <w:rPr>
          <w:lang w:eastAsia="en-AU"/>
        </w:rPr>
        <w:t xml:space="preserve"> </w:t>
      </w:r>
      <w:r w:rsidR="00E41B4A">
        <w:rPr>
          <w:lang w:eastAsia="en-AU"/>
        </w:rPr>
        <w:t>of</w:t>
      </w:r>
      <w:r w:rsidR="005B05F5">
        <w:rPr>
          <w:lang w:eastAsia="en-AU"/>
        </w:rPr>
        <w:t xml:space="preserve"> focus in g</w:t>
      </w:r>
      <w:r w:rsidR="00065815">
        <w:rPr>
          <w:lang w:eastAsia="en-AU"/>
        </w:rPr>
        <w:t>overnance and commissioning</w:t>
      </w:r>
      <w:r w:rsidR="00A814A1">
        <w:rPr>
          <w:lang w:eastAsia="en-AU"/>
        </w:rPr>
        <w:t xml:space="preserve"> activities</w:t>
      </w:r>
      <w:r w:rsidR="002902AF">
        <w:rPr>
          <w:lang w:eastAsia="en-AU"/>
        </w:rPr>
        <w:t xml:space="preserve">. </w:t>
      </w:r>
      <w:r>
        <w:rPr>
          <w:lang w:eastAsia="en-AU"/>
        </w:rPr>
        <w:t xml:space="preserve">Table 24 sets out </w:t>
      </w:r>
      <w:r w:rsidR="00DB4F82">
        <w:rPr>
          <w:lang w:eastAsia="en-AU"/>
        </w:rPr>
        <w:t>t</w:t>
      </w:r>
      <w:r w:rsidR="005B3389">
        <w:rPr>
          <w:lang w:eastAsia="en-AU"/>
        </w:rPr>
        <w:t>hre</w:t>
      </w:r>
      <w:r w:rsidR="00FA1A41">
        <w:rPr>
          <w:lang w:eastAsia="en-AU"/>
        </w:rPr>
        <w:t>e</w:t>
      </w:r>
      <w:r w:rsidR="00DB4F82">
        <w:rPr>
          <w:lang w:eastAsia="en-AU"/>
        </w:rPr>
        <w:t xml:space="preserve"> recommended areas of activity to improve the operation of these elements of the model.</w:t>
      </w:r>
    </w:p>
    <w:p w14:paraId="108F2138" w14:textId="77777777" w:rsidR="00BE0080" w:rsidRDefault="00BE0080">
      <w:pPr>
        <w:spacing w:before="0" w:after="160" w:line="259" w:lineRule="auto"/>
        <w:rPr>
          <w:lang w:eastAsia="en-AU"/>
        </w:rPr>
      </w:pPr>
      <w:r>
        <w:rPr>
          <w:lang w:eastAsia="en-AU"/>
        </w:rPr>
        <w:br w:type="page"/>
      </w:r>
    </w:p>
    <w:p w14:paraId="41B3029B" w14:textId="3651D9CE" w:rsidR="00491018" w:rsidRDefault="00491018" w:rsidP="00491018">
      <w:pPr>
        <w:pStyle w:val="Caption"/>
      </w:pPr>
      <w:bookmarkStart w:id="178" w:name="_Toc108108974"/>
      <w:r>
        <w:t xml:space="preserve">Table </w:t>
      </w:r>
      <w:r>
        <w:fldChar w:fldCharType="begin"/>
      </w:r>
      <w:r>
        <w:instrText>SEQ Table \* ARABIC</w:instrText>
      </w:r>
      <w:r>
        <w:fldChar w:fldCharType="separate"/>
      </w:r>
      <w:r w:rsidR="00CC0438">
        <w:rPr>
          <w:noProof/>
        </w:rPr>
        <w:t>24</w:t>
      </w:r>
      <w:r>
        <w:fldChar w:fldCharType="end"/>
      </w:r>
      <w:r>
        <w:t xml:space="preserve">: </w:t>
      </w:r>
      <w:r w:rsidRPr="00F846A1">
        <w:t xml:space="preserve">Governance and </w:t>
      </w:r>
      <w:r w:rsidR="00D73958">
        <w:t>c</w:t>
      </w:r>
      <w:r w:rsidRPr="00F846A1">
        <w:t xml:space="preserve">ommissioning </w:t>
      </w:r>
      <w:r w:rsidR="00D73958">
        <w:t>r</w:t>
      </w:r>
      <w:r w:rsidRPr="00F846A1">
        <w:t>ecommendations</w:t>
      </w:r>
      <w:bookmarkEnd w:id="178"/>
    </w:p>
    <w:tbl>
      <w:tblPr>
        <w:tblStyle w:val="TableGrid"/>
        <w:tblW w:w="0" w:type="auto"/>
        <w:tblBorders>
          <w:top w:val="single" w:sz="4" w:space="0" w:color="00338D" w:themeColor="background2"/>
          <w:left w:val="single" w:sz="4" w:space="0" w:color="00338D" w:themeColor="background2"/>
          <w:bottom w:val="single" w:sz="4" w:space="0" w:color="00338D" w:themeColor="background2"/>
          <w:right w:val="single" w:sz="4" w:space="0" w:color="00338D" w:themeColor="background2"/>
          <w:insideH w:val="single" w:sz="4" w:space="0" w:color="00338D" w:themeColor="background2"/>
          <w:insideV w:val="single" w:sz="4" w:space="0" w:color="00338D" w:themeColor="background2"/>
        </w:tblBorders>
        <w:tblLook w:val="04A0" w:firstRow="1" w:lastRow="0" w:firstColumn="1" w:lastColumn="0" w:noHBand="0" w:noVBand="1"/>
        <w:tblCaption w:val="Governance and commissioning recommendations"/>
        <w:tblDescription w:val="Table 24 has 1 column and summarises the evaluation’s recommendations related to governance and commissioning. There are 3 recommendations in the table."/>
      </w:tblPr>
      <w:tblGrid>
        <w:gridCol w:w="9060"/>
      </w:tblGrid>
      <w:tr w:rsidR="00B805BD" w:rsidRPr="000B3733" w14:paraId="13A46486" w14:textId="77777777" w:rsidTr="00420817">
        <w:tc>
          <w:tcPr>
            <w:tcW w:w="9060" w:type="dxa"/>
            <w:shd w:val="clear" w:color="auto" w:fill="00338D" w:themeFill="background2"/>
          </w:tcPr>
          <w:p w14:paraId="0F5D9185" w14:textId="77777777" w:rsidR="00B805BD" w:rsidRPr="00BC0D46" w:rsidRDefault="00B805BD" w:rsidP="00706EAC">
            <w:pPr>
              <w:pStyle w:val="Tableheading"/>
            </w:pPr>
            <w:r w:rsidRPr="00BC0D46">
              <w:t>Recommendations</w:t>
            </w:r>
          </w:p>
        </w:tc>
      </w:tr>
      <w:tr w:rsidR="00B805BD" w14:paraId="3C3B3D8E" w14:textId="77777777" w:rsidTr="00420817">
        <w:tc>
          <w:tcPr>
            <w:tcW w:w="9060" w:type="dxa"/>
            <w:shd w:val="clear" w:color="auto" w:fill="E7F0FF"/>
          </w:tcPr>
          <w:p w14:paraId="24B12DEA" w14:textId="121CD49D" w:rsidR="00B805BD" w:rsidRPr="00DF1E56" w:rsidRDefault="00EB2336" w:rsidP="00A72CC4">
            <w:pPr>
              <w:pStyle w:val="Tabletext"/>
              <w:numPr>
                <w:ilvl w:val="0"/>
                <w:numId w:val="26"/>
              </w:numPr>
              <w:rPr>
                <w:rFonts w:cs="Calibri"/>
                <w:szCs w:val="20"/>
              </w:rPr>
            </w:pPr>
            <w:r>
              <w:t>Thi</w:t>
            </w:r>
            <w:r w:rsidR="00633329">
              <w:t xml:space="preserve">s evaluation </w:t>
            </w:r>
            <w:r>
              <w:t xml:space="preserve">has </w:t>
            </w:r>
            <w:r w:rsidR="00F22C8A">
              <w:t>identified tension</w:t>
            </w:r>
            <w:r w:rsidRPr="00EB2336">
              <w:t xml:space="preserve"> between </w:t>
            </w:r>
            <w:r w:rsidR="00AF58C8">
              <w:t>different</w:t>
            </w:r>
            <w:r w:rsidRPr="00EB2336">
              <w:t xml:space="preserve"> stakeholders </w:t>
            </w:r>
            <w:r w:rsidR="00AC2DC5">
              <w:t>regarding</w:t>
            </w:r>
            <w:r w:rsidRPr="00EB2336">
              <w:t xml:space="preserve"> </w:t>
            </w:r>
            <w:r w:rsidR="00D70B5F">
              <w:t xml:space="preserve">the </w:t>
            </w:r>
            <w:r w:rsidRPr="00EB2336">
              <w:t xml:space="preserve">agility of the model to address local needs, </w:t>
            </w:r>
            <w:r w:rsidR="00D70B5F">
              <w:t xml:space="preserve">and </w:t>
            </w:r>
            <w:r w:rsidR="0033527F">
              <w:t xml:space="preserve">constraints on the </w:t>
            </w:r>
            <w:r w:rsidR="001C6D36">
              <w:t>capacity</w:t>
            </w:r>
            <w:r w:rsidR="0033527F">
              <w:t xml:space="preserve"> </w:t>
            </w:r>
            <w:r w:rsidRPr="00EB2336">
              <w:t xml:space="preserve">to </w:t>
            </w:r>
            <w:r w:rsidR="001C6D36">
              <w:t>tailor headspace services</w:t>
            </w:r>
            <w:r w:rsidR="00C00BF7">
              <w:t xml:space="preserve"> locally</w:t>
            </w:r>
            <w:r w:rsidRPr="00EB2336">
              <w:t xml:space="preserve">. </w:t>
            </w:r>
            <w:r w:rsidR="00E70C3A">
              <w:br/>
            </w:r>
            <w:r w:rsidR="00D70B5F">
              <w:br/>
            </w:r>
            <w:r w:rsidR="00401732">
              <w:t>Government</w:t>
            </w:r>
            <w:r w:rsidR="001F5A5A" w:rsidRPr="008114A7">
              <w:t xml:space="preserve"> </w:t>
            </w:r>
            <w:r w:rsidR="00456236" w:rsidRPr="008114A7">
              <w:t>should</w:t>
            </w:r>
            <w:r w:rsidR="007760CC">
              <w:t xml:space="preserve"> </w:t>
            </w:r>
            <w:r w:rsidR="00311D16">
              <w:t xml:space="preserve">work with </w:t>
            </w:r>
            <w:r w:rsidR="001F5A5A">
              <w:t>PHNs</w:t>
            </w:r>
            <w:r w:rsidR="00311D16">
              <w:t xml:space="preserve"> and headspace National to </w:t>
            </w:r>
            <w:r w:rsidR="007760CC">
              <w:t xml:space="preserve">undertake a </w:t>
            </w:r>
            <w:r w:rsidR="007760CC" w:rsidRPr="00EF15F9">
              <w:t>refresh of roles and responsibilities</w:t>
            </w:r>
            <w:r w:rsidR="007760CC">
              <w:t xml:space="preserve"> across the ne</w:t>
            </w:r>
            <w:r w:rsidR="009E084F">
              <w:t>twork</w:t>
            </w:r>
            <w:r w:rsidR="00000988">
              <w:t xml:space="preserve">. </w:t>
            </w:r>
            <w:r w:rsidR="00F302D7">
              <w:t>T</w:t>
            </w:r>
            <w:r w:rsidR="009B7FAC">
              <w:t>h</w:t>
            </w:r>
            <w:r w:rsidR="00E15265">
              <w:t>is should focus on clarifying th</w:t>
            </w:r>
            <w:r w:rsidR="009B7FAC">
              <w:t xml:space="preserve">e scope of </w:t>
            </w:r>
            <w:r w:rsidR="007345A1">
              <w:t>r</w:t>
            </w:r>
            <w:r w:rsidR="002222F5">
              <w:t>ole</w:t>
            </w:r>
            <w:r w:rsidR="007345A1">
              <w:t>s</w:t>
            </w:r>
            <w:r w:rsidR="002222F5">
              <w:t xml:space="preserve"> in</w:t>
            </w:r>
            <w:r w:rsidR="007345A1">
              <w:t xml:space="preserve"> planning,</w:t>
            </w:r>
            <w:r w:rsidR="002222F5">
              <w:t xml:space="preserve"> </w:t>
            </w:r>
            <w:r w:rsidR="00634B5E">
              <w:t xml:space="preserve">commissioning, </w:t>
            </w:r>
            <w:r w:rsidR="002222F5">
              <w:t xml:space="preserve">delivering and tailoring headspace </w:t>
            </w:r>
            <w:r w:rsidR="007345A1">
              <w:t>services</w:t>
            </w:r>
            <w:r w:rsidR="004B4313" w:rsidRPr="008114A7">
              <w:t>.</w:t>
            </w:r>
          </w:p>
        </w:tc>
      </w:tr>
      <w:tr w:rsidR="00FE1A57" w14:paraId="5B804703" w14:textId="77777777" w:rsidTr="00420817">
        <w:tc>
          <w:tcPr>
            <w:tcW w:w="9060" w:type="dxa"/>
            <w:shd w:val="clear" w:color="auto" w:fill="E7F0FF"/>
          </w:tcPr>
          <w:p w14:paraId="28A3D838" w14:textId="77777777" w:rsidR="0082639D" w:rsidRDefault="00B60A2F" w:rsidP="00A72CC4">
            <w:pPr>
              <w:pStyle w:val="Tabletext"/>
              <w:numPr>
                <w:ilvl w:val="0"/>
                <w:numId w:val="26"/>
              </w:numPr>
            </w:pPr>
            <w:r>
              <w:t xml:space="preserve">There is a high degree of consistency of service mix across headspace services, with AOD, physical and sexual health and vocational support representing a very low proportion of services provided. Stakeholder feedback has suggested this may not always reflect local or regional need, and that headspace service planning inconsistently draws on PHN needs analyses to inform and update the local headspace service mix of the four core streams. It would be expected, for example, that a region with significant substance misuse issues for young people </w:t>
            </w:r>
            <w:r w:rsidR="007D0AC2">
              <w:t>may nee</w:t>
            </w:r>
            <w:r w:rsidR="00B97FF9">
              <w:t>d</w:t>
            </w:r>
            <w:r>
              <w:t xml:space="preserve"> a greater mix of AOD support services at the local headspace service, or similarly where there are areas with higher rates of chronic health issues in younger populations, physical and sexual health services should be appropriately prioritised.</w:t>
            </w:r>
          </w:p>
          <w:p w14:paraId="1D7E38E2" w14:textId="77777777" w:rsidR="0082639D" w:rsidRDefault="0082639D" w:rsidP="0082639D">
            <w:pPr>
              <w:pStyle w:val="Tabletext"/>
              <w:ind w:left="360"/>
              <w:rPr>
                <w:color w:val="000000"/>
              </w:rPr>
            </w:pPr>
          </w:p>
          <w:p w14:paraId="7327DE18" w14:textId="30AAA4BA" w:rsidR="00FE1A57" w:rsidRPr="0082639D" w:rsidRDefault="00207432" w:rsidP="0082639D">
            <w:pPr>
              <w:pStyle w:val="Tabletext"/>
              <w:ind w:left="360"/>
            </w:pPr>
            <w:r w:rsidRPr="0082639D">
              <w:rPr>
                <w:color w:val="000000"/>
              </w:rPr>
              <w:t>Government</w:t>
            </w:r>
            <w:r w:rsidR="00B60A2F" w:rsidRPr="0082639D">
              <w:rPr>
                <w:color w:val="000000"/>
              </w:rPr>
              <w:t xml:space="preserve"> should consider investing in an implementation refinement project to explore how the PHN local lens could be better used to commission a model consistent with the hMIF that responds to identified regional need. This could allow greater capacity to reflect the PHNs’ local needs analysis and the local service landscape, including areas of high need. The project should consider the potential risks of reducing the consistency of costs and outcomes across headspace services and ensure mechanisms are in place to maintain a level of fidelity to core elements of the headspace model.</w:t>
            </w:r>
          </w:p>
        </w:tc>
      </w:tr>
      <w:tr w:rsidR="00B805BD" w14:paraId="0E404871" w14:textId="77777777" w:rsidTr="00420817">
        <w:tc>
          <w:tcPr>
            <w:tcW w:w="9060" w:type="dxa"/>
            <w:shd w:val="clear" w:color="auto" w:fill="E7F0FF"/>
          </w:tcPr>
          <w:p w14:paraId="1D80B10F" w14:textId="77777777" w:rsidR="0082639D" w:rsidRDefault="00B52511" w:rsidP="00A72CC4">
            <w:pPr>
              <w:pStyle w:val="Tabletext"/>
              <w:numPr>
                <w:ilvl w:val="0"/>
                <w:numId w:val="26"/>
              </w:numPr>
              <w:rPr>
                <w:rFonts w:cs="Calibri"/>
                <w:szCs w:val="20"/>
              </w:rPr>
            </w:pPr>
            <w:r>
              <w:t xml:space="preserve">Whilst there was overall improvement in mental health outcomes for young people accessing headspace services, </w:t>
            </w:r>
            <w:r w:rsidRPr="00A53964">
              <w:t>reliable improvement and clinically significant change results w</w:t>
            </w:r>
            <w:r w:rsidR="00223848">
              <w:t xml:space="preserve">ere </w:t>
            </w:r>
            <w:r w:rsidR="00E4206C">
              <w:t>lower than expected</w:t>
            </w:r>
            <w:r w:rsidR="00970C66">
              <w:t xml:space="preserve">. </w:t>
            </w:r>
            <w:r w:rsidR="00DE2CCC">
              <w:t>This suggests that clinical governance</w:t>
            </w:r>
            <w:r w:rsidR="00C41FF1">
              <w:t xml:space="preserve"> and the</w:t>
            </w:r>
            <w:r w:rsidR="00DE2CCC">
              <w:t xml:space="preserve"> </w:t>
            </w:r>
            <w:r w:rsidR="00C41FF1" w:rsidRPr="00A53964">
              <w:t xml:space="preserve">quality control of the delivery of evidence-based interventions </w:t>
            </w:r>
            <w:r w:rsidR="00C41FF1">
              <w:t xml:space="preserve">could be enhanced. </w:t>
            </w:r>
          </w:p>
          <w:p w14:paraId="63959504" w14:textId="77777777" w:rsidR="0082639D" w:rsidRDefault="0082639D" w:rsidP="0082639D">
            <w:pPr>
              <w:pStyle w:val="Tabletext"/>
              <w:ind w:left="360"/>
              <w:rPr>
                <w:rFonts w:cs="Calibri"/>
                <w:szCs w:val="20"/>
              </w:rPr>
            </w:pPr>
          </w:p>
          <w:p w14:paraId="47B5385E" w14:textId="6D154218" w:rsidR="00B805BD" w:rsidRPr="0082639D" w:rsidRDefault="008F5DAE" w:rsidP="0082639D">
            <w:pPr>
              <w:pStyle w:val="Tabletext"/>
              <w:ind w:left="360"/>
              <w:rPr>
                <w:rFonts w:cs="Calibri"/>
                <w:szCs w:val="20"/>
              </w:rPr>
            </w:pPr>
            <w:r w:rsidRPr="0082639D">
              <w:rPr>
                <w:rFonts w:cs="Calibri"/>
                <w:szCs w:val="20"/>
              </w:rPr>
              <w:t xml:space="preserve">PHNs should take an active role in ensuring </w:t>
            </w:r>
            <w:r w:rsidR="008D7F8C" w:rsidRPr="0082639D">
              <w:rPr>
                <w:rFonts w:cs="Calibri"/>
                <w:szCs w:val="20"/>
              </w:rPr>
              <w:t xml:space="preserve">that </w:t>
            </w:r>
            <w:r w:rsidR="00271E2E" w:rsidRPr="0082639D">
              <w:rPr>
                <w:rFonts w:cs="Calibri"/>
                <w:szCs w:val="20"/>
              </w:rPr>
              <w:t>h</w:t>
            </w:r>
            <w:r w:rsidR="008D7F8C" w:rsidRPr="0082639D">
              <w:rPr>
                <w:rFonts w:cs="Calibri"/>
                <w:szCs w:val="20"/>
              </w:rPr>
              <w:t xml:space="preserve">eadspace </w:t>
            </w:r>
            <w:r w:rsidR="008D2071" w:rsidRPr="0082639D">
              <w:rPr>
                <w:rFonts w:cs="Calibri"/>
                <w:szCs w:val="20"/>
              </w:rPr>
              <w:t>lead agencies</w:t>
            </w:r>
            <w:r w:rsidR="00271E2E" w:rsidRPr="0082639D">
              <w:rPr>
                <w:rFonts w:cs="Calibri"/>
                <w:szCs w:val="20"/>
              </w:rPr>
              <w:t xml:space="preserve"> </w:t>
            </w:r>
            <w:r w:rsidR="008D2071" w:rsidRPr="0082639D">
              <w:rPr>
                <w:rFonts w:cs="Calibri"/>
                <w:szCs w:val="20"/>
              </w:rPr>
              <w:t xml:space="preserve">prioritise </w:t>
            </w:r>
            <w:r w:rsidR="008D7F8C" w:rsidRPr="0082639D">
              <w:rPr>
                <w:rFonts w:cs="Calibri"/>
                <w:szCs w:val="20"/>
              </w:rPr>
              <w:t xml:space="preserve">clinical governance which </w:t>
            </w:r>
            <w:r w:rsidR="006E750E" w:rsidRPr="0082639D">
              <w:rPr>
                <w:rFonts w:cs="Calibri"/>
                <w:szCs w:val="20"/>
              </w:rPr>
              <w:t>ensure</w:t>
            </w:r>
            <w:r w:rsidR="00A22E5D" w:rsidRPr="0082639D">
              <w:rPr>
                <w:rFonts w:cs="Calibri"/>
                <w:szCs w:val="20"/>
              </w:rPr>
              <w:t>s</w:t>
            </w:r>
            <w:r w:rsidR="006E750E" w:rsidRPr="0082639D">
              <w:rPr>
                <w:rFonts w:cs="Calibri"/>
                <w:szCs w:val="20"/>
              </w:rPr>
              <w:t xml:space="preserve"> quality service provision and adher</w:t>
            </w:r>
            <w:r w:rsidR="00E4342F" w:rsidRPr="0082639D">
              <w:rPr>
                <w:rFonts w:cs="Calibri"/>
                <w:szCs w:val="20"/>
              </w:rPr>
              <w:t>e</w:t>
            </w:r>
            <w:r w:rsidR="006E750E" w:rsidRPr="0082639D">
              <w:rPr>
                <w:rFonts w:cs="Calibri"/>
                <w:szCs w:val="20"/>
              </w:rPr>
              <w:t xml:space="preserve">nce to </w:t>
            </w:r>
            <w:r w:rsidR="008C0388" w:rsidRPr="0082639D">
              <w:rPr>
                <w:rFonts w:cs="Calibri"/>
                <w:szCs w:val="20"/>
              </w:rPr>
              <w:t>evidence</w:t>
            </w:r>
            <w:r w:rsidR="007B5E63" w:rsidRPr="0082639D">
              <w:rPr>
                <w:rFonts w:cs="Calibri"/>
                <w:szCs w:val="20"/>
              </w:rPr>
              <w:t>-</w:t>
            </w:r>
            <w:r w:rsidR="008C0388" w:rsidRPr="0082639D">
              <w:rPr>
                <w:rFonts w:cs="Calibri"/>
                <w:szCs w:val="20"/>
              </w:rPr>
              <w:t>based</w:t>
            </w:r>
            <w:r w:rsidR="00FE6F14" w:rsidRPr="0082639D">
              <w:rPr>
                <w:rFonts w:cs="Calibri"/>
                <w:szCs w:val="20"/>
              </w:rPr>
              <w:t xml:space="preserve"> </w:t>
            </w:r>
            <w:r w:rsidR="00A22E5D" w:rsidRPr="0082639D">
              <w:rPr>
                <w:rFonts w:cs="Calibri"/>
                <w:szCs w:val="20"/>
              </w:rPr>
              <w:t>approaches</w:t>
            </w:r>
            <w:r w:rsidR="00DA314E" w:rsidRPr="0082639D">
              <w:rPr>
                <w:rFonts w:cs="Calibri"/>
                <w:szCs w:val="20"/>
              </w:rPr>
              <w:t xml:space="preserve">. </w:t>
            </w:r>
            <w:r w:rsidR="006C4C6B" w:rsidRPr="0082639D">
              <w:rPr>
                <w:rFonts w:cs="Calibri"/>
                <w:szCs w:val="20"/>
              </w:rPr>
              <w:t xml:space="preserve">With support and monitoring from PHNs, </w:t>
            </w:r>
            <w:r w:rsidR="00CA2B23" w:rsidRPr="0082639D">
              <w:rPr>
                <w:rFonts w:cs="Calibri"/>
                <w:szCs w:val="20"/>
              </w:rPr>
              <w:t>lead agencies</w:t>
            </w:r>
            <w:r w:rsidR="00DA314E" w:rsidRPr="0082639D">
              <w:rPr>
                <w:rFonts w:cs="Calibri"/>
                <w:szCs w:val="20"/>
              </w:rPr>
              <w:t xml:space="preserve"> should </w:t>
            </w:r>
            <w:r w:rsidR="00192D27" w:rsidRPr="0082639D">
              <w:rPr>
                <w:rFonts w:cs="Calibri"/>
                <w:szCs w:val="20"/>
              </w:rPr>
              <w:t xml:space="preserve">formalise </w:t>
            </w:r>
            <w:r w:rsidR="00F02522" w:rsidRPr="0082639D">
              <w:rPr>
                <w:rFonts w:cs="Calibri"/>
                <w:szCs w:val="20"/>
              </w:rPr>
              <w:t xml:space="preserve">processes to </w:t>
            </w:r>
            <w:r w:rsidR="00CA2B23" w:rsidRPr="0082639D">
              <w:rPr>
                <w:rFonts w:cs="Calibri"/>
                <w:szCs w:val="20"/>
              </w:rPr>
              <w:t>regularly</w:t>
            </w:r>
            <w:r w:rsidR="00DA314E" w:rsidRPr="0082639D">
              <w:rPr>
                <w:rFonts w:cs="Calibri"/>
                <w:szCs w:val="20"/>
              </w:rPr>
              <w:t xml:space="preserve"> monitor </w:t>
            </w:r>
            <w:r w:rsidR="00A82003" w:rsidRPr="0082639D">
              <w:rPr>
                <w:rFonts w:cs="Calibri"/>
                <w:szCs w:val="20"/>
              </w:rPr>
              <w:t xml:space="preserve">efficacy, </w:t>
            </w:r>
            <w:r w:rsidR="00DA314E" w:rsidRPr="0082639D">
              <w:rPr>
                <w:rFonts w:cs="Calibri"/>
                <w:szCs w:val="20"/>
              </w:rPr>
              <w:t xml:space="preserve">performance against </w:t>
            </w:r>
            <w:r w:rsidR="00CA2B23" w:rsidRPr="0082639D">
              <w:rPr>
                <w:rFonts w:cs="Calibri"/>
                <w:szCs w:val="20"/>
              </w:rPr>
              <w:t>outcome benchmarks</w:t>
            </w:r>
            <w:r w:rsidR="00DA314E" w:rsidRPr="0082639D">
              <w:rPr>
                <w:rFonts w:cs="Calibri"/>
                <w:szCs w:val="20"/>
              </w:rPr>
              <w:t xml:space="preserve"> </w:t>
            </w:r>
            <w:r w:rsidR="009124DA" w:rsidRPr="0082639D">
              <w:rPr>
                <w:rFonts w:cs="Calibri"/>
                <w:szCs w:val="20"/>
              </w:rPr>
              <w:t>and evidence</w:t>
            </w:r>
            <w:r w:rsidR="007B5E63" w:rsidRPr="0082639D">
              <w:rPr>
                <w:rFonts w:cs="Calibri"/>
                <w:szCs w:val="20"/>
              </w:rPr>
              <w:t>-</w:t>
            </w:r>
            <w:r w:rsidR="009124DA" w:rsidRPr="0082639D">
              <w:rPr>
                <w:rFonts w:cs="Calibri"/>
                <w:szCs w:val="20"/>
              </w:rPr>
              <w:t>based approaches</w:t>
            </w:r>
            <w:r w:rsidR="006B770D" w:rsidRPr="0082639D">
              <w:rPr>
                <w:rFonts w:cs="Calibri"/>
                <w:szCs w:val="20"/>
              </w:rPr>
              <w:t>, where these are not already in place</w:t>
            </w:r>
            <w:r w:rsidR="008722C3" w:rsidRPr="0082639D">
              <w:rPr>
                <w:rFonts w:cs="Calibri"/>
                <w:szCs w:val="20"/>
              </w:rPr>
              <w:t xml:space="preserve">. This could be achieved </w:t>
            </w:r>
            <w:r w:rsidR="00DA314E" w:rsidRPr="0082639D">
              <w:rPr>
                <w:rFonts w:cs="Calibri"/>
                <w:szCs w:val="20"/>
              </w:rPr>
              <w:t>through mechanisms such a</w:t>
            </w:r>
            <w:r w:rsidR="00530FCB" w:rsidRPr="0082639D">
              <w:rPr>
                <w:rFonts w:cs="Calibri"/>
                <w:szCs w:val="20"/>
              </w:rPr>
              <w:t xml:space="preserve">s: </w:t>
            </w:r>
            <w:r w:rsidR="005365AD" w:rsidRPr="0082639D">
              <w:rPr>
                <w:rFonts w:cs="Calibri"/>
                <w:szCs w:val="20"/>
              </w:rPr>
              <w:t xml:space="preserve">ensuring interventions </w:t>
            </w:r>
            <w:r w:rsidR="00A6620E" w:rsidRPr="0082639D">
              <w:rPr>
                <w:rFonts w:cs="Calibri"/>
                <w:szCs w:val="20"/>
              </w:rPr>
              <w:t>meet</w:t>
            </w:r>
            <w:r w:rsidR="00432C2D" w:rsidRPr="0082639D">
              <w:rPr>
                <w:rFonts w:cs="Calibri"/>
                <w:szCs w:val="20"/>
              </w:rPr>
              <w:t xml:space="preserve"> recommended practice guidelines</w:t>
            </w:r>
            <w:r w:rsidR="00AA100E" w:rsidRPr="0082639D">
              <w:rPr>
                <w:rFonts w:cs="Calibri"/>
                <w:szCs w:val="20"/>
              </w:rPr>
              <w:t>;</w:t>
            </w:r>
            <w:r w:rsidR="005A2A82" w:rsidRPr="0082639D">
              <w:rPr>
                <w:rFonts w:cs="Calibri"/>
                <w:szCs w:val="20"/>
              </w:rPr>
              <w:t xml:space="preserve"> </w:t>
            </w:r>
            <w:r w:rsidR="00F81156" w:rsidRPr="0082639D">
              <w:rPr>
                <w:rFonts w:cs="Calibri"/>
                <w:szCs w:val="20"/>
              </w:rPr>
              <w:t xml:space="preserve">setting </w:t>
            </w:r>
            <w:r w:rsidR="000F78E3" w:rsidRPr="0082639D">
              <w:rPr>
                <w:rFonts w:cs="Calibri"/>
                <w:szCs w:val="20"/>
              </w:rPr>
              <w:t>and achieving</w:t>
            </w:r>
            <w:r w:rsidR="00F81156" w:rsidRPr="0082639D">
              <w:rPr>
                <w:rFonts w:cs="Calibri"/>
                <w:szCs w:val="20"/>
              </w:rPr>
              <w:t xml:space="preserve"> clear benchmarks for outcomes</w:t>
            </w:r>
            <w:r w:rsidR="00AA100E" w:rsidRPr="0082639D">
              <w:rPr>
                <w:rFonts w:cs="Calibri"/>
                <w:szCs w:val="20"/>
              </w:rPr>
              <w:t>;</w:t>
            </w:r>
            <w:r w:rsidR="00F81156" w:rsidRPr="0082639D">
              <w:rPr>
                <w:rFonts w:cs="Calibri"/>
                <w:szCs w:val="20"/>
              </w:rPr>
              <w:t xml:space="preserve"> </w:t>
            </w:r>
            <w:r w:rsidR="00530FCB" w:rsidRPr="0082639D">
              <w:rPr>
                <w:rFonts w:cs="Calibri"/>
                <w:szCs w:val="20"/>
              </w:rPr>
              <w:t xml:space="preserve">regularly monitoring </w:t>
            </w:r>
            <w:r w:rsidR="00340257" w:rsidRPr="0082639D">
              <w:rPr>
                <w:rFonts w:cs="Calibri"/>
                <w:szCs w:val="20"/>
              </w:rPr>
              <w:t xml:space="preserve">service </w:t>
            </w:r>
            <w:r w:rsidR="00530FCB" w:rsidRPr="0082639D">
              <w:rPr>
                <w:rFonts w:cs="Calibri"/>
                <w:szCs w:val="20"/>
              </w:rPr>
              <w:t>outcomes data</w:t>
            </w:r>
            <w:r w:rsidR="00AA100E" w:rsidRPr="0082639D">
              <w:rPr>
                <w:rFonts w:cs="Calibri"/>
                <w:szCs w:val="20"/>
              </w:rPr>
              <w:t>;</w:t>
            </w:r>
            <w:r w:rsidR="0012732E" w:rsidRPr="0082639D">
              <w:rPr>
                <w:rFonts w:cs="Calibri"/>
                <w:szCs w:val="20"/>
              </w:rPr>
              <w:t xml:space="preserve"> and</w:t>
            </w:r>
            <w:r w:rsidR="00530FCB" w:rsidRPr="0082639D">
              <w:rPr>
                <w:rFonts w:cs="Calibri"/>
                <w:szCs w:val="20"/>
              </w:rPr>
              <w:t xml:space="preserve"> </w:t>
            </w:r>
            <w:r w:rsidR="00AB3E6F" w:rsidRPr="0082639D">
              <w:rPr>
                <w:rFonts w:cs="Calibri"/>
                <w:szCs w:val="20"/>
              </w:rPr>
              <w:t xml:space="preserve">supporting staff to access focused </w:t>
            </w:r>
            <w:r w:rsidR="00447BE8" w:rsidRPr="0082639D">
              <w:rPr>
                <w:rFonts w:cs="Calibri"/>
                <w:szCs w:val="20"/>
              </w:rPr>
              <w:t>training</w:t>
            </w:r>
            <w:r w:rsidR="008C24E1" w:rsidRPr="0082639D">
              <w:rPr>
                <w:rFonts w:cs="Calibri"/>
                <w:szCs w:val="20"/>
              </w:rPr>
              <w:t xml:space="preserve"> and supervision</w:t>
            </w:r>
            <w:r w:rsidR="003F48B7" w:rsidRPr="0082639D">
              <w:rPr>
                <w:rFonts w:cs="Calibri"/>
                <w:szCs w:val="20"/>
              </w:rPr>
              <w:t>.</w:t>
            </w:r>
            <w:r w:rsidR="008073C6" w:rsidRPr="0082639D">
              <w:rPr>
                <w:rFonts w:cs="Calibri"/>
                <w:szCs w:val="20"/>
              </w:rPr>
              <w:t xml:space="preserve"> </w:t>
            </w:r>
          </w:p>
        </w:tc>
      </w:tr>
    </w:tbl>
    <w:p w14:paraId="0BF6E80D" w14:textId="77777777" w:rsidR="00E83621" w:rsidRPr="00DC3D06" w:rsidRDefault="00E83621" w:rsidP="00DA7138">
      <w:pPr>
        <w:pStyle w:val="Source"/>
      </w:pPr>
      <w:r w:rsidRPr="00DC3D06">
        <w:t>Source: KPMG 2022</w:t>
      </w:r>
    </w:p>
    <w:p w14:paraId="2781A11F" w14:textId="0829F0CB" w:rsidR="00ED344B" w:rsidRDefault="00ED344B" w:rsidP="003941C8">
      <w:pPr>
        <w:pStyle w:val="Heading3"/>
      </w:pPr>
      <w:r>
        <w:t>Monitoring and reporting</w:t>
      </w:r>
    </w:p>
    <w:p w14:paraId="7ED91D0F" w14:textId="659F8E76" w:rsidR="00CB2BE5" w:rsidRDefault="003620BB" w:rsidP="002D3239">
      <w:pPr>
        <w:pStyle w:val="BodyText"/>
      </w:pPr>
      <w:r>
        <w:t xml:space="preserve">Monitoring and evaluation activities undertaken by headspace National and PHNs are extensive and </w:t>
      </w:r>
      <w:r w:rsidRPr="00140C67">
        <w:t xml:space="preserve">contribute </w:t>
      </w:r>
      <w:r>
        <w:t xml:space="preserve">to </w:t>
      </w:r>
      <w:r w:rsidRPr="00140C67">
        <w:t xml:space="preserve">continuous improvement </w:t>
      </w:r>
      <w:r>
        <w:t xml:space="preserve">of programs and services, as well as contributing to </w:t>
      </w:r>
      <w:r w:rsidRPr="00140C67">
        <w:t>the evidence base</w:t>
      </w:r>
      <w:r>
        <w:t xml:space="preserve"> of youth mental health care more broadly. However, t</w:t>
      </w:r>
      <w:r w:rsidR="00DE5B4F">
        <w:t xml:space="preserve">he existing </w:t>
      </w:r>
      <w:r w:rsidR="004C6959" w:rsidRPr="0043232F">
        <w:t>framework</w:t>
      </w:r>
      <w:r w:rsidR="004C6959" w:rsidRPr="008B550C">
        <w:t xml:space="preserve"> for</w:t>
      </w:r>
      <w:r w:rsidR="00DE5B4F">
        <w:t xml:space="preserve"> monitoring and </w:t>
      </w:r>
      <w:r w:rsidR="00DE5B4F" w:rsidRPr="00B232C1">
        <w:t>evaluati</w:t>
      </w:r>
      <w:r w:rsidR="00DE5B4F" w:rsidRPr="008B550C">
        <w:t>n</w:t>
      </w:r>
      <w:r w:rsidR="004C6959" w:rsidRPr="0043232F">
        <w:t>g headspace serv</w:t>
      </w:r>
      <w:r w:rsidR="008C7EB1" w:rsidRPr="0043232F">
        <w:t>ices</w:t>
      </w:r>
      <w:r w:rsidR="009D5C37">
        <w:t>, including work</w:t>
      </w:r>
      <w:r w:rsidR="00B26EDF">
        <w:t xml:space="preserve"> </w:t>
      </w:r>
      <w:r w:rsidR="0042055A">
        <w:t>conducted by headspace National, lead</w:t>
      </w:r>
      <w:r w:rsidR="00A040C6">
        <w:t xml:space="preserve"> agencies and PHNs,</w:t>
      </w:r>
      <w:r w:rsidR="00751995">
        <w:t xml:space="preserve"> </w:t>
      </w:r>
      <w:r w:rsidR="00226C17">
        <w:t xml:space="preserve">does not </w:t>
      </w:r>
      <w:r w:rsidR="00DE5B4F">
        <w:t xml:space="preserve">allow for assessment of </w:t>
      </w:r>
      <w:r w:rsidR="00DE5B4F" w:rsidRPr="0043232F">
        <w:t>long</w:t>
      </w:r>
      <w:r w:rsidR="00ED7AA4">
        <w:noBreakHyphen/>
      </w:r>
      <w:r w:rsidR="00DE5B4F" w:rsidRPr="0043232F">
        <w:t>term outcomes and impact of service</w:t>
      </w:r>
      <w:r w:rsidR="00A040C6">
        <w:t>s</w:t>
      </w:r>
      <w:r w:rsidR="00250F06" w:rsidRPr="0043232F">
        <w:t xml:space="preserve"> on individuals or the broader community</w:t>
      </w:r>
      <w:r w:rsidR="00DE5B4F">
        <w:t xml:space="preserve">. </w:t>
      </w:r>
      <w:r w:rsidR="004E71A4">
        <w:t xml:space="preserve">There is strong support for </w:t>
      </w:r>
      <w:r w:rsidR="004E71A4" w:rsidRPr="0043232F">
        <w:t>data linkage activities</w:t>
      </w:r>
      <w:r w:rsidR="004E71A4">
        <w:t xml:space="preserve"> across the service system, and further investigation into these activities </w:t>
      </w:r>
      <w:r w:rsidR="00BC6641">
        <w:t xml:space="preserve">should be </w:t>
      </w:r>
      <w:r w:rsidR="00C97982">
        <w:t>prioritised</w:t>
      </w:r>
      <w:r w:rsidR="004E71A4">
        <w:t xml:space="preserve">. </w:t>
      </w:r>
    </w:p>
    <w:p w14:paraId="346CD1A4" w14:textId="6771D050" w:rsidR="002D3239" w:rsidRPr="002D3239" w:rsidRDefault="00CB2BE5" w:rsidP="002D3239">
      <w:pPr>
        <w:pStyle w:val="BodyText"/>
      </w:pPr>
      <w:r>
        <w:t>To support data linkage, d</w:t>
      </w:r>
      <w:r w:rsidR="004E71A4" w:rsidRPr="0043232F">
        <w:t>ata from headspace should be collected in a way that allows it to be linked to other datasets</w:t>
      </w:r>
      <w:r w:rsidR="004E71A4">
        <w:t xml:space="preserve"> so that outcomes of young people who access headspace can be tracked over time and compared to thos</w:t>
      </w:r>
      <w:r w:rsidR="00D95AD7">
        <w:t>e</w:t>
      </w:r>
      <w:r w:rsidR="004E71A4">
        <w:t xml:space="preserve"> who do not access headspace. Th</w:t>
      </w:r>
      <w:r w:rsidR="00B85848">
        <w:t>is</w:t>
      </w:r>
      <w:r w:rsidR="004E71A4">
        <w:t xml:space="preserve"> data can then be used for evaluation and research purposes to track </w:t>
      </w:r>
      <w:r w:rsidR="00B85848">
        <w:t>long</w:t>
      </w:r>
      <w:r w:rsidR="00ED7AA4">
        <w:t>-</w:t>
      </w:r>
      <w:r w:rsidR="00B85848">
        <w:t xml:space="preserve">term </w:t>
      </w:r>
      <w:r w:rsidR="004E71A4">
        <w:t>outcomes</w:t>
      </w:r>
      <w:r w:rsidR="00D16CF8">
        <w:t xml:space="preserve"> in a more meaningful way</w:t>
      </w:r>
      <w:r w:rsidR="004E71A4">
        <w:t>. Where possible</w:t>
      </w:r>
      <w:r w:rsidR="003A2EE7">
        <w:t>,</w:t>
      </w:r>
      <w:r w:rsidR="004E71A4">
        <w:t xml:space="preserve"> these should also be supplemented by studies using experimental or quasi</w:t>
      </w:r>
      <w:r w:rsidR="00275C19">
        <w:t>-</w:t>
      </w:r>
      <w:r w:rsidR="004E71A4">
        <w:t>experimental designs so that outcomes can be rigorously measured and attributed to headspace. Similarly</w:t>
      </w:r>
      <w:r w:rsidR="00275C19">
        <w:t>,</w:t>
      </w:r>
      <w:r w:rsidR="004E71A4">
        <w:t xml:space="preserve"> data about </w:t>
      </w:r>
      <w:r w:rsidR="004E71A4" w:rsidRPr="00F53248">
        <w:t>outreach and engagement activities</w:t>
      </w:r>
      <w:r w:rsidR="004E71A4">
        <w:t xml:space="preserve"> should be collected for monitoring and evaluation purposes. </w:t>
      </w:r>
      <w:r w:rsidR="001205D6">
        <w:t>D</w:t>
      </w:r>
      <w:r w:rsidR="004E71A4">
        <w:t>ata collection activities should be conduc</w:t>
      </w:r>
      <w:r w:rsidR="001A209A">
        <w:t>t</w:t>
      </w:r>
      <w:r w:rsidR="004E71A4">
        <w:t xml:space="preserve">ed </w:t>
      </w:r>
      <w:r w:rsidR="00E72395">
        <w:t xml:space="preserve">in a consistent way </w:t>
      </w:r>
      <w:r w:rsidR="00250F06">
        <w:t xml:space="preserve">through regular reporting </w:t>
      </w:r>
      <w:r w:rsidR="000B3733">
        <w:t>with mechanisms</w:t>
      </w:r>
      <w:r w:rsidR="004E71A4">
        <w:t xml:space="preserve"> </w:t>
      </w:r>
      <w:r w:rsidR="00275C19">
        <w:t xml:space="preserve">in place </w:t>
      </w:r>
      <w:r w:rsidR="004E71A4">
        <w:t xml:space="preserve">to </w:t>
      </w:r>
      <w:r w:rsidR="000B3733">
        <w:t>collate a common set of outreach and engagement activity data for evaluation purposes.</w:t>
      </w:r>
      <w:r w:rsidR="00756502" w:rsidRPr="00756502">
        <w:t xml:space="preserve"> </w:t>
      </w:r>
      <w:r w:rsidR="00756502">
        <w:t xml:space="preserve">This </w:t>
      </w:r>
      <w:r w:rsidR="00756502" w:rsidRPr="00B74F10">
        <w:t>could be</w:t>
      </w:r>
      <w:r w:rsidR="00756502">
        <w:t xml:space="preserve"> done </w:t>
      </w:r>
      <w:r w:rsidR="00756502" w:rsidRPr="00B74F10">
        <w:t>at regular intervals, with care taken to avoid</w:t>
      </w:r>
      <w:r w:rsidR="00756502">
        <w:t xml:space="preserve"> placing an undue burden on headspace services.</w:t>
      </w:r>
    </w:p>
    <w:p w14:paraId="0122FDA8" w14:textId="3BC469FC" w:rsidR="008720CF" w:rsidRDefault="004E7EEC" w:rsidP="003027B2">
      <w:pPr>
        <w:pStyle w:val="BodyText"/>
      </w:pPr>
      <w:r>
        <w:t>Noting that a</w:t>
      </w:r>
      <w:r w:rsidR="007A10F8">
        <w:t>dditional data capture is under development by headspace National and PHNs</w:t>
      </w:r>
      <w:r>
        <w:t>, a</w:t>
      </w:r>
      <w:r w:rsidR="00A669AD">
        <w:t xml:space="preserve"> number of other areas </w:t>
      </w:r>
      <w:r>
        <w:t>curren</w:t>
      </w:r>
      <w:r w:rsidR="00576AD3">
        <w:t>t</w:t>
      </w:r>
      <w:r>
        <w:t>ly lack</w:t>
      </w:r>
      <w:r w:rsidR="00A669AD">
        <w:t xml:space="preserve"> sufficient or reliable data to conduct in</w:t>
      </w:r>
      <w:r w:rsidR="0040743E">
        <w:t>-</w:t>
      </w:r>
      <w:r w:rsidR="00A669AD">
        <w:t>depth analysis or</w:t>
      </w:r>
      <w:r w:rsidR="0040743E">
        <w:t>,</w:t>
      </w:r>
      <w:r w:rsidR="00A669AD">
        <w:t xml:space="preserve"> at times, any analysis. </w:t>
      </w:r>
      <w:r w:rsidR="00807E2A">
        <w:t>Such areas include</w:t>
      </w:r>
      <w:r w:rsidR="008720CF">
        <w:t xml:space="preserve">: </w:t>
      </w:r>
    </w:p>
    <w:p w14:paraId="6115571F" w14:textId="7922B472" w:rsidR="004603F2" w:rsidRPr="00BC1C10" w:rsidRDefault="003D677C" w:rsidP="00D93398">
      <w:pPr>
        <w:pStyle w:val="Bullet1stlevel"/>
      </w:pPr>
      <w:r>
        <w:t>d</w:t>
      </w:r>
      <w:r w:rsidR="004603F2">
        <w:t>ata on outreach and engagement activities – activity type, duration, and number of young people participating</w:t>
      </w:r>
      <w:r>
        <w:t>;</w:t>
      </w:r>
      <w:r w:rsidR="004603F2">
        <w:t xml:space="preserve"> </w:t>
      </w:r>
    </w:p>
    <w:p w14:paraId="0ABC36E0" w14:textId="51DF19D2" w:rsidR="004603F2" w:rsidRDefault="003D677C" w:rsidP="00D93398">
      <w:pPr>
        <w:pStyle w:val="Bullet1stlevel"/>
      </w:pPr>
      <w:r>
        <w:t>p</w:t>
      </w:r>
      <w:r w:rsidR="004603F2">
        <w:t xml:space="preserve">ost/follow up data for episodes involving single </w:t>
      </w:r>
      <w:r w:rsidR="007B2863">
        <w:t>OOS</w:t>
      </w:r>
      <w:r>
        <w:t>;</w:t>
      </w:r>
    </w:p>
    <w:p w14:paraId="7191F774" w14:textId="76EE5C09" w:rsidR="004603F2" w:rsidRDefault="003D677C" w:rsidP="00D93398">
      <w:pPr>
        <w:pStyle w:val="Bullet1stlevel"/>
      </w:pPr>
      <w:r>
        <w:t>r</w:t>
      </w:r>
      <w:r w:rsidR="004603F2">
        <w:t xml:space="preserve">eason for closure </w:t>
      </w:r>
      <w:r w:rsidR="00091BED">
        <w:t>data</w:t>
      </w:r>
      <w:r w:rsidR="004603F2">
        <w:t xml:space="preserve"> – to differentiate between unplanned exits and planned exits</w:t>
      </w:r>
      <w:r>
        <w:t>;</w:t>
      </w:r>
    </w:p>
    <w:p w14:paraId="07CF134E" w14:textId="314DC1CD" w:rsidR="004603F2" w:rsidRDefault="003D677C" w:rsidP="00D93398">
      <w:pPr>
        <w:pStyle w:val="Bullet1stlevel"/>
      </w:pPr>
      <w:r>
        <w:t>d</w:t>
      </w:r>
      <w:r w:rsidR="00091BED">
        <w:t>ata to r</w:t>
      </w:r>
      <w:r w:rsidR="004603F2">
        <w:t>ecord when someone was referred on to another service – service type referred to, stage in care at point of referral (e</w:t>
      </w:r>
      <w:r w:rsidR="00CA4EE0">
        <w:t>.</w:t>
      </w:r>
      <w:r w:rsidR="004603F2">
        <w:t>g</w:t>
      </w:r>
      <w:r w:rsidR="00CA4EE0">
        <w:t>.</w:t>
      </w:r>
      <w:r w:rsidR="004603F2">
        <w:t>, intake, mid treatment, exit), if referral was taken up</w:t>
      </w:r>
      <w:r>
        <w:t>;</w:t>
      </w:r>
    </w:p>
    <w:p w14:paraId="2E245C0C" w14:textId="0F10AB1E" w:rsidR="004603F2" w:rsidRDefault="003D677C" w:rsidP="00D93398">
      <w:pPr>
        <w:pStyle w:val="Bullet1stlevel"/>
      </w:pPr>
      <w:r>
        <w:t>d</w:t>
      </w:r>
      <w:r w:rsidR="004603F2">
        <w:t>ata on service users who identify as having a disability, and who identify as neurodiverse</w:t>
      </w:r>
      <w:r>
        <w:t>;</w:t>
      </w:r>
    </w:p>
    <w:p w14:paraId="11084279" w14:textId="0D8168FB" w:rsidR="004603F2" w:rsidRDefault="003D677C" w:rsidP="00D93398">
      <w:pPr>
        <w:pStyle w:val="Bullet1stlevel"/>
      </w:pPr>
      <w:r>
        <w:t>s</w:t>
      </w:r>
      <w:r w:rsidR="004603F2">
        <w:t>econdary consultation data to demonstrate and quantify service integration activities and investment</w:t>
      </w:r>
      <w:r>
        <w:t>; and</w:t>
      </w:r>
    </w:p>
    <w:p w14:paraId="19C6575E" w14:textId="38A518CF" w:rsidR="004603F2" w:rsidRDefault="003D677C" w:rsidP="00D93398">
      <w:pPr>
        <w:pStyle w:val="Bullet1stlevel"/>
      </w:pPr>
      <w:r>
        <w:t>m</w:t>
      </w:r>
      <w:r w:rsidR="004603F2">
        <w:t>echanisms to understand and report on funding and FTE resourcing</w:t>
      </w:r>
      <w:r w:rsidR="00B74F10">
        <w:t>.</w:t>
      </w:r>
    </w:p>
    <w:p w14:paraId="56FB3CBB" w14:textId="328E5F4F" w:rsidR="00C82CC8" w:rsidRDefault="00C82CC8" w:rsidP="006C6DF7">
      <w:pPr>
        <w:pStyle w:val="BodyText"/>
      </w:pPr>
      <w:r>
        <w:t>These areas could be enhanced through ongoing or point</w:t>
      </w:r>
      <w:r w:rsidR="006C6DF7">
        <w:t>-</w:t>
      </w:r>
      <w:r>
        <w:t>in</w:t>
      </w:r>
      <w:r w:rsidR="006C6DF7">
        <w:t>-</w:t>
      </w:r>
      <w:r>
        <w:t xml:space="preserve">time data and evaluation activities, however </w:t>
      </w:r>
      <w:r w:rsidR="00AC1898">
        <w:t>this</w:t>
      </w:r>
      <w:r>
        <w:t xml:space="preserve"> needs to be </w:t>
      </w:r>
      <w:r w:rsidR="00AC1898">
        <w:t>balanced</w:t>
      </w:r>
      <w:r>
        <w:t xml:space="preserve"> </w:t>
      </w:r>
      <w:r w:rsidR="00AC1898">
        <w:t>against the creation of</w:t>
      </w:r>
      <w:r>
        <w:t xml:space="preserve"> unnecessary additional </w:t>
      </w:r>
      <w:r w:rsidR="00F5473D">
        <w:t>administrative</w:t>
      </w:r>
      <w:r>
        <w:t xml:space="preserve"> burden for headspace service providers and young people accessing headspace services. </w:t>
      </w:r>
    </w:p>
    <w:p w14:paraId="0D02AB60" w14:textId="75B5223F" w:rsidR="00C96AF6" w:rsidRDefault="00C96AF6" w:rsidP="00C96AF6">
      <w:pPr>
        <w:pStyle w:val="Caption"/>
      </w:pPr>
      <w:bookmarkStart w:id="179" w:name="_Toc108108975"/>
      <w:r>
        <w:t xml:space="preserve">Table </w:t>
      </w:r>
      <w:r>
        <w:fldChar w:fldCharType="begin"/>
      </w:r>
      <w:r>
        <w:instrText>SEQ Table \* ARABIC</w:instrText>
      </w:r>
      <w:r>
        <w:fldChar w:fldCharType="separate"/>
      </w:r>
      <w:r w:rsidR="00CC0438">
        <w:rPr>
          <w:noProof/>
        </w:rPr>
        <w:t>25</w:t>
      </w:r>
      <w:r>
        <w:fldChar w:fldCharType="end"/>
      </w:r>
      <w:r>
        <w:t xml:space="preserve">: </w:t>
      </w:r>
      <w:r w:rsidRPr="00B41523">
        <w:t xml:space="preserve">Monitoring and </w:t>
      </w:r>
      <w:r w:rsidR="006C6DF7">
        <w:t>r</w:t>
      </w:r>
      <w:r w:rsidRPr="00B41523">
        <w:t xml:space="preserve">eporting </w:t>
      </w:r>
      <w:r w:rsidR="006C6DF7">
        <w:t>r</w:t>
      </w:r>
      <w:r w:rsidRPr="00B41523">
        <w:t>ecommendations</w:t>
      </w:r>
      <w:bookmarkEnd w:id="179"/>
    </w:p>
    <w:tbl>
      <w:tblPr>
        <w:tblStyle w:val="TableGrid"/>
        <w:tblW w:w="0" w:type="auto"/>
        <w:tblBorders>
          <w:top w:val="single" w:sz="4" w:space="0" w:color="00338D" w:themeColor="background2"/>
          <w:left w:val="single" w:sz="4" w:space="0" w:color="00338D" w:themeColor="background2"/>
          <w:bottom w:val="single" w:sz="4" w:space="0" w:color="00338D" w:themeColor="background2"/>
          <w:right w:val="single" w:sz="4" w:space="0" w:color="00338D" w:themeColor="background2"/>
          <w:insideH w:val="single" w:sz="4" w:space="0" w:color="00338D" w:themeColor="background2"/>
          <w:insideV w:val="single" w:sz="4" w:space="0" w:color="00338D" w:themeColor="background2"/>
        </w:tblBorders>
        <w:tblLook w:val="04A0" w:firstRow="1" w:lastRow="0" w:firstColumn="1" w:lastColumn="0" w:noHBand="0" w:noVBand="1"/>
        <w:tblCaption w:val="Monitoring and reporting recommendations"/>
        <w:tblDescription w:val="Table 25 has 1 column and summarises the evaluation’s recommendations related to monitoring and reporting. There are 3 recommendations in the table."/>
      </w:tblPr>
      <w:tblGrid>
        <w:gridCol w:w="9060"/>
      </w:tblGrid>
      <w:tr w:rsidR="000B3733" w:rsidRPr="00BC0D46" w14:paraId="4B30E6D9" w14:textId="77777777" w:rsidTr="00D276DE">
        <w:trPr>
          <w:tblHeader/>
        </w:trPr>
        <w:tc>
          <w:tcPr>
            <w:tcW w:w="9060" w:type="dxa"/>
            <w:shd w:val="clear" w:color="auto" w:fill="00338D" w:themeFill="background2"/>
          </w:tcPr>
          <w:p w14:paraId="33F4A37E" w14:textId="77777777" w:rsidR="000B3733" w:rsidRPr="00BC0D46" w:rsidRDefault="000B3733" w:rsidP="00ED1EE0">
            <w:pPr>
              <w:pStyle w:val="Tableheading"/>
            </w:pPr>
            <w:r w:rsidRPr="00BC0D46">
              <w:t>Recommendations</w:t>
            </w:r>
          </w:p>
        </w:tc>
      </w:tr>
      <w:tr w:rsidR="000B3733" w14:paraId="7555024E" w14:textId="77777777" w:rsidTr="002E446B">
        <w:tc>
          <w:tcPr>
            <w:tcW w:w="9060" w:type="dxa"/>
            <w:shd w:val="clear" w:color="auto" w:fill="E7F0FF"/>
          </w:tcPr>
          <w:p w14:paraId="66488E87" w14:textId="4BF7D3A5" w:rsidR="006856DF" w:rsidRDefault="006856DF" w:rsidP="00A72CC4">
            <w:pPr>
              <w:pStyle w:val="Tabletext"/>
              <w:numPr>
                <w:ilvl w:val="0"/>
                <w:numId w:val="26"/>
              </w:numPr>
            </w:pPr>
            <w:r w:rsidRPr="00B51A31">
              <w:t xml:space="preserve">Despite extensive reporting undertaken across activities within the headspace model, a number of gaps in </w:t>
            </w:r>
            <w:r w:rsidRPr="00BD048E">
              <w:t xml:space="preserve">data collection </w:t>
            </w:r>
            <w:r>
              <w:t xml:space="preserve">were identified through the evaluation. Filling these gaps </w:t>
            </w:r>
            <w:r w:rsidRPr="00B51A31">
              <w:t>could support better monitoring and evaluation</w:t>
            </w:r>
            <w:r>
              <w:t xml:space="preserve"> of outcomes associated with the headspace model</w:t>
            </w:r>
            <w:r w:rsidRPr="00B51A31">
              <w:t>.</w:t>
            </w:r>
            <w:r>
              <w:t xml:space="preserve"> </w:t>
            </w:r>
            <w:r>
              <w:br/>
            </w:r>
            <w:r>
              <w:br/>
              <w:t>The following data should be collected by headspace National to inform future evaluation and continuous improvement processes:</w:t>
            </w:r>
          </w:p>
          <w:p w14:paraId="0464548B" w14:textId="7318CD14" w:rsidR="006856DF" w:rsidRPr="00BC1C10" w:rsidRDefault="006856DF" w:rsidP="0082639D">
            <w:pPr>
              <w:pStyle w:val="TableBullet1"/>
            </w:pPr>
            <w:r>
              <w:t>outreach and engagement activity data – including activity type, duration, and number of young people participating;</w:t>
            </w:r>
          </w:p>
          <w:p w14:paraId="180C0AA0" w14:textId="462F81D4" w:rsidR="006856DF" w:rsidRDefault="006856DF" w:rsidP="0082639D">
            <w:pPr>
              <w:pStyle w:val="TableBullet1"/>
            </w:pPr>
            <w:r>
              <w:t xml:space="preserve">outcomes data beyond 90 days post </w:t>
            </w:r>
            <w:r w:rsidR="00080644">
              <w:t>EOC</w:t>
            </w:r>
            <w:r>
              <w:t xml:space="preserve"> – with a particular focus on episodes involving a single O</w:t>
            </w:r>
            <w:r w:rsidR="00EC1F7D">
              <w:t>O</w:t>
            </w:r>
            <w:r>
              <w:t>S;</w:t>
            </w:r>
          </w:p>
          <w:p w14:paraId="21006375" w14:textId="61BA99C5" w:rsidR="006856DF" w:rsidRDefault="006856DF" w:rsidP="0082639D">
            <w:pPr>
              <w:pStyle w:val="TableBullet1"/>
            </w:pPr>
            <w:r>
              <w:t>reason for closure data – to differentiate between unplanned exits and planned exits;</w:t>
            </w:r>
          </w:p>
          <w:p w14:paraId="26F45659" w14:textId="3EAB45B5" w:rsidR="006856DF" w:rsidRDefault="006856DF" w:rsidP="0082639D">
            <w:pPr>
              <w:pStyle w:val="TableBullet1"/>
            </w:pPr>
            <w:r>
              <w:t>referral data – service type referred from and to, stage in care at point of referral (e.g., intake, mid-treatment, exit), whether referral onwards was taken up;</w:t>
            </w:r>
          </w:p>
          <w:p w14:paraId="774C1F57" w14:textId="4F01C8D2" w:rsidR="006856DF" w:rsidRDefault="006856DF" w:rsidP="0082639D">
            <w:pPr>
              <w:pStyle w:val="TableBullet1"/>
            </w:pPr>
            <w:r>
              <w:t>demographic data – enabling service users to identify as having disability, and to identify as</w:t>
            </w:r>
            <w:r w:rsidDel="00195651">
              <w:t xml:space="preserve"> </w:t>
            </w:r>
            <w:r>
              <w:t>neurodiverse;</w:t>
            </w:r>
          </w:p>
          <w:p w14:paraId="634798C7" w14:textId="23174B1D" w:rsidR="00B843A4" w:rsidRPr="00B843A4" w:rsidRDefault="006856DF" w:rsidP="0082639D">
            <w:pPr>
              <w:pStyle w:val="TableBullet1"/>
              <w:rPr>
                <w:rFonts w:cs="Calibri"/>
              </w:rPr>
            </w:pPr>
            <w:r>
              <w:t>funding data – capturing ongoing, in-kind support</w:t>
            </w:r>
            <w:r w:rsidR="00B843A4">
              <w:t xml:space="preserve"> and</w:t>
            </w:r>
            <w:r w:rsidR="009E659F">
              <w:t xml:space="preserve"> </w:t>
            </w:r>
            <w:r w:rsidR="00312A65">
              <w:t xml:space="preserve">specific </w:t>
            </w:r>
            <w:r w:rsidR="00235793">
              <w:t>MBS items claimed through headspace services in hAPI</w:t>
            </w:r>
            <w:r w:rsidR="007967AB">
              <w:t>; and</w:t>
            </w:r>
            <w:r>
              <w:t xml:space="preserve"> </w:t>
            </w:r>
          </w:p>
          <w:p w14:paraId="7D1AA4B2" w14:textId="3066F8F5" w:rsidR="006856DF" w:rsidRPr="006856DF" w:rsidRDefault="00B843A4" w:rsidP="0082639D">
            <w:pPr>
              <w:pStyle w:val="TableBullet1"/>
              <w:rPr>
                <w:rFonts w:cs="Calibri"/>
              </w:rPr>
            </w:pPr>
            <w:r>
              <w:t xml:space="preserve">workforce data – capturing </w:t>
            </w:r>
            <w:r w:rsidR="00235793">
              <w:t xml:space="preserve">more detailed </w:t>
            </w:r>
            <w:r w:rsidR="006856DF">
              <w:t>workforce</w:t>
            </w:r>
            <w:r w:rsidR="007967AB">
              <w:t xml:space="preserve"> information including full-time equivalent workforce available</w:t>
            </w:r>
            <w:r w:rsidR="00E008E2">
              <w:t xml:space="preserve"> and their cha</w:t>
            </w:r>
            <w:r w:rsidR="00571614">
              <w:t>racteristics</w:t>
            </w:r>
            <w:r w:rsidR="006856DF">
              <w:t xml:space="preserve">. </w:t>
            </w:r>
          </w:p>
          <w:p w14:paraId="2E14F703" w14:textId="7AACD1AF" w:rsidR="000B3733" w:rsidRPr="003E51FD" w:rsidRDefault="00A46452" w:rsidP="0082639D">
            <w:pPr>
              <w:pStyle w:val="Tabletext"/>
              <w:ind w:left="360"/>
            </w:pPr>
            <w:r>
              <w:t xml:space="preserve">The extent to which the needs of young people are being met at an </w:t>
            </w:r>
            <w:r w:rsidR="00F56055">
              <w:t>area-level</w:t>
            </w:r>
            <w:r>
              <w:t>, as estimated through PHN local needs analysis, should be considered a priority monitoring activity by PHNs</w:t>
            </w:r>
            <w:r w:rsidRPr="00313F16">
              <w:t>.</w:t>
            </w:r>
          </w:p>
        </w:tc>
      </w:tr>
      <w:tr w:rsidR="000B3733" w14:paraId="7E637703" w14:textId="77777777" w:rsidTr="002E446B">
        <w:tc>
          <w:tcPr>
            <w:tcW w:w="9060" w:type="dxa"/>
            <w:shd w:val="clear" w:color="auto" w:fill="E7F0FF"/>
          </w:tcPr>
          <w:p w14:paraId="13244BF1" w14:textId="77777777" w:rsidR="00043073" w:rsidRDefault="006856DF" w:rsidP="00A72CC4">
            <w:pPr>
              <w:pStyle w:val="Tabletext"/>
              <w:numPr>
                <w:ilvl w:val="0"/>
                <w:numId w:val="26"/>
              </w:numPr>
            </w:pPr>
            <w:r>
              <w:t>While data is collected extensively across activities within the headspace model, the longer</w:t>
            </w:r>
            <w:r w:rsidR="009E659F">
              <w:t>-</w:t>
            </w:r>
            <w:r>
              <w:t xml:space="preserve">term impacts of headspace are not measured. </w:t>
            </w:r>
          </w:p>
          <w:p w14:paraId="012F5F6B" w14:textId="77777777" w:rsidR="00043073" w:rsidRDefault="00043073" w:rsidP="00043073">
            <w:pPr>
              <w:pStyle w:val="Tabletext"/>
              <w:ind w:left="360"/>
            </w:pPr>
          </w:p>
          <w:p w14:paraId="236FA8C2" w14:textId="7282060F" w:rsidR="006856DF" w:rsidRDefault="006856DF" w:rsidP="00043073">
            <w:pPr>
              <w:pStyle w:val="Tabletext"/>
              <w:ind w:left="360"/>
            </w:pPr>
            <w:r w:rsidRPr="003475E2">
              <w:t xml:space="preserve">Data from headspace should be collected in a way that allows it to be linked to other datasets, so that outcomes </w:t>
            </w:r>
            <w:r w:rsidRPr="00527EED">
              <w:t>over time</w:t>
            </w:r>
            <w:r>
              <w:t xml:space="preserve"> </w:t>
            </w:r>
            <w:r w:rsidRPr="003475E2">
              <w:t xml:space="preserve">of young people who access headspace can be </w:t>
            </w:r>
            <w:r w:rsidRPr="00527EED">
              <w:t xml:space="preserve">better understood when compared to those who do not access </w:t>
            </w:r>
            <w:r w:rsidRPr="003475E2">
              <w:t xml:space="preserve">headspace. </w:t>
            </w:r>
            <w:r>
              <w:t xml:space="preserve">Ethical considerations should also be prioritised, for example to ensure </w:t>
            </w:r>
            <w:r w:rsidRPr="003475E2">
              <w:t xml:space="preserve">that individuals cannot be identified in the data. </w:t>
            </w:r>
            <w:r>
              <w:t>The administrative burden of additional data collection activities for providers and young people accessing headspace should be balanced against the benefits provided through enhanced reporting.</w:t>
            </w:r>
          </w:p>
          <w:p w14:paraId="0DA9D539" w14:textId="77777777" w:rsidR="006856DF" w:rsidRPr="003475E2" w:rsidRDefault="006856DF" w:rsidP="00043073">
            <w:pPr>
              <w:pStyle w:val="TableBullet1"/>
            </w:pPr>
            <w:r w:rsidRPr="003475E2">
              <w:t>Linked data sets might include:</w:t>
            </w:r>
          </w:p>
          <w:p w14:paraId="4765AEC5" w14:textId="77777777" w:rsidR="006856DF" w:rsidRPr="00313F16" w:rsidRDefault="006856DF" w:rsidP="00043073">
            <w:pPr>
              <w:pStyle w:val="TableBullet1"/>
              <w:rPr>
                <w:i/>
              </w:rPr>
            </w:pPr>
            <w:r w:rsidRPr="00313F16">
              <w:t>self-harm hospitalisations</w:t>
            </w:r>
            <w:r>
              <w:t>;</w:t>
            </w:r>
          </w:p>
          <w:p w14:paraId="22EE84D9" w14:textId="77777777" w:rsidR="006856DF" w:rsidRPr="00313F16" w:rsidRDefault="006856DF" w:rsidP="00043073">
            <w:pPr>
              <w:pStyle w:val="TableBullet1"/>
            </w:pPr>
            <w:r w:rsidRPr="00313F16">
              <w:t>substance abuse hospitalisations</w:t>
            </w:r>
            <w:r>
              <w:t>;</w:t>
            </w:r>
          </w:p>
          <w:p w14:paraId="336B4509" w14:textId="77777777" w:rsidR="006856DF" w:rsidRPr="00313F16" w:rsidRDefault="006856DF" w:rsidP="00043073">
            <w:pPr>
              <w:pStyle w:val="TableBullet1"/>
              <w:rPr>
                <w:i/>
              </w:rPr>
            </w:pPr>
            <w:r w:rsidRPr="00313F16">
              <w:t>suicide deaths</w:t>
            </w:r>
            <w:r>
              <w:t>;</w:t>
            </w:r>
          </w:p>
          <w:p w14:paraId="354439B2" w14:textId="392868B3" w:rsidR="006856DF" w:rsidRPr="00704533" w:rsidRDefault="006856DF" w:rsidP="00043073">
            <w:pPr>
              <w:pStyle w:val="TableBullet1"/>
              <w:rPr>
                <w:i/>
              </w:rPr>
            </w:pPr>
            <w:r w:rsidRPr="00313F16">
              <w:t>MBS mental health servi</w:t>
            </w:r>
            <w:r w:rsidRPr="00AF4272">
              <w:t>ces accessed;</w:t>
            </w:r>
          </w:p>
          <w:p w14:paraId="156629D3" w14:textId="3CEA9488" w:rsidR="006856DF" w:rsidRPr="00313F16" w:rsidRDefault="006856DF" w:rsidP="00043073">
            <w:pPr>
              <w:pStyle w:val="TableBullet1"/>
              <w:rPr>
                <w:i/>
              </w:rPr>
            </w:pPr>
            <w:r>
              <w:t>PBS usage;</w:t>
            </w:r>
          </w:p>
          <w:p w14:paraId="0B5F340F" w14:textId="77777777" w:rsidR="006856DF" w:rsidRPr="00313F16" w:rsidRDefault="006856DF" w:rsidP="00043073">
            <w:pPr>
              <w:pStyle w:val="TableBullet1"/>
            </w:pPr>
            <w:r>
              <w:t>m</w:t>
            </w:r>
            <w:r w:rsidRPr="00313F16">
              <w:t>ental health related emergency department presentations</w:t>
            </w:r>
            <w:r>
              <w:t>;</w:t>
            </w:r>
          </w:p>
          <w:p w14:paraId="5E5CE3F6" w14:textId="77777777" w:rsidR="006856DF" w:rsidRPr="00313F16" w:rsidRDefault="006856DF" w:rsidP="00043073">
            <w:pPr>
              <w:pStyle w:val="TableBullet1"/>
            </w:pPr>
            <w:r>
              <w:t>e</w:t>
            </w:r>
            <w:r w:rsidRPr="00313F16">
              <w:t>ducation and employment outcomes</w:t>
            </w:r>
            <w:r>
              <w:t>; and</w:t>
            </w:r>
          </w:p>
          <w:p w14:paraId="2CA23D45" w14:textId="77777777" w:rsidR="006856DF" w:rsidRPr="00A13AEF" w:rsidRDefault="006856DF" w:rsidP="00043073">
            <w:pPr>
              <w:pStyle w:val="TableBullet1"/>
            </w:pPr>
            <w:r>
              <w:t>i</w:t>
            </w:r>
            <w:r w:rsidRPr="00313F16">
              <w:t>ncome support use</w:t>
            </w:r>
            <w:r>
              <w:t>.</w:t>
            </w:r>
          </w:p>
          <w:p w14:paraId="594670D5" w14:textId="7730B947" w:rsidR="000B3733" w:rsidRPr="003E51FD" w:rsidRDefault="006856DF" w:rsidP="00043073">
            <w:pPr>
              <w:pStyle w:val="Tabletext"/>
              <w:ind w:left="360"/>
            </w:pPr>
            <w:r>
              <w:t>Data linkage should be supported by government, and should be complementary to data linkage being conducted under the National Agreement.</w:t>
            </w:r>
          </w:p>
        </w:tc>
      </w:tr>
      <w:tr w:rsidR="00B943C5" w14:paraId="7A39A57C" w14:textId="77777777" w:rsidTr="00707767">
        <w:tc>
          <w:tcPr>
            <w:tcW w:w="9060" w:type="dxa"/>
            <w:shd w:val="clear" w:color="auto" w:fill="E7F0FF"/>
          </w:tcPr>
          <w:p w14:paraId="3D4273E9" w14:textId="77777777" w:rsidR="00043073" w:rsidRDefault="006856DF" w:rsidP="00A72CC4">
            <w:pPr>
              <w:pStyle w:val="Tabletext"/>
              <w:numPr>
                <w:ilvl w:val="0"/>
                <w:numId w:val="26"/>
              </w:numPr>
            </w:pPr>
            <w:r w:rsidRPr="00A84B34">
              <w:t>A number of areas across the headspace program logic could benefit from further evidence to understand the best implementation approach to support improved outcomes for young people.</w:t>
            </w:r>
          </w:p>
          <w:p w14:paraId="087F5BE5" w14:textId="77777777" w:rsidR="00043073" w:rsidRDefault="00043073" w:rsidP="00043073">
            <w:pPr>
              <w:pStyle w:val="Tabletext"/>
              <w:ind w:left="360"/>
            </w:pPr>
          </w:p>
          <w:p w14:paraId="2B62FEE8" w14:textId="3965912E" w:rsidR="006856DF" w:rsidRPr="005438D9" w:rsidRDefault="006856DF" w:rsidP="00043073">
            <w:pPr>
              <w:pStyle w:val="Tabletext"/>
              <w:ind w:left="360"/>
            </w:pPr>
            <w:r w:rsidRPr="005438D9">
              <w:t>Data linkage should be supplemented by studies using experimental or quasi</w:t>
            </w:r>
            <w:r>
              <w:t>-</w:t>
            </w:r>
            <w:r w:rsidRPr="005438D9">
              <w:t>experimental designs so that outcomes can be rigorously measured and attributed to headspace</w:t>
            </w:r>
            <w:r>
              <w:t>. W</w:t>
            </w:r>
            <w:r w:rsidRPr="005438D9">
              <w:t xml:space="preserve">here </w:t>
            </w:r>
            <w:r>
              <w:t xml:space="preserve">this is </w:t>
            </w:r>
            <w:r w:rsidRPr="005438D9">
              <w:t xml:space="preserve">not achievable through </w:t>
            </w:r>
            <w:r>
              <w:t xml:space="preserve">control or comparison group analysis using linked </w:t>
            </w:r>
            <w:r w:rsidRPr="005438D9">
              <w:t>data</w:t>
            </w:r>
            <w:r>
              <w:t>,</w:t>
            </w:r>
            <w:r w:rsidRPr="005438D9">
              <w:t xml:space="preserve"> </w:t>
            </w:r>
            <w:r>
              <w:t>government should allocate funding for</w:t>
            </w:r>
            <w:r w:rsidRPr="005438D9">
              <w:t xml:space="preserve"> one-off experimental studies</w:t>
            </w:r>
            <w:r>
              <w:t>.</w:t>
            </w:r>
            <w:r w:rsidRPr="005438D9">
              <w:t xml:space="preserve"> </w:t>
            </w:r>
            <w:r>
              <w:t>Priority examples include</w:t>
            </w:r>
            <w:r w:rsidRPr="005438D9">
              <w:t xml:space="preserve">: </w:t>
            </w:r>
          </w:p>
          <w:p w14:paraId="0FD9D609" w14:textId="09401EA6" w:rsidR="006856DF" w:rsidRPr="00313F16" w:rsidRDefault="006856DF" w:rsidP="00043073">
            <w:pPr>
              <w:pStyle w:val="TableBullet1"/>
            </w:pPr>
            <w:r w:rsidRPr="00313F16">
              <w:t xml:space="preserve">exploring differences between </w:t>
            </w:r>
            <w:r>
              <w:t>centre</w:t>
            </w:r>
            <w:r w:rsidRPr="00313F16" w:rsidDel="00A77D9F">
              <w:t xml:space="preserve"> </w:t>
            </w:r>
            <w:r w:rsidRPr="00313F16">
              <w:t xml:space="preserve">and satellite </w:t>
            </w:r>
            <w:r>
              <w:t>headspace services;</w:t>
            </w:r>
          </w:p>
          <w:p w14:paraId="32F4E33F" w14:textId="7BE48B8A" w:rsidR="006856DF" w:rsidRPr="00313F16" w:rsidRDefault="006856DF" w:rsidP="00043073">
            <w:pPr>
              <w:pStyle w:val="TableBullet1"/>
            </w:pPr>
            <w:r w:rsidRPr="00313F16">
              <w:t>research into single session interventions, given that approximately 36</w:t>
            </w:r>
            <w:r>
              <w:t xml:space="preserve"> per cent</w:t>
            </w:r>
            <w:r w:rsidRPr="00313F16">
              <w:t xml:space="preserve"> of episodes of care have a single </w:t>
            </w:r>
            <w:r>
              <w:t>OOS</w:t>
            </w:r>
            <w:r w:rsidRPr="00313F16">
              <w:t xml:space="preserve">, and wait times lead to </w:t>
            </w:r>
            <w:r>
              <w:t>disengagement</w:t>
            </w:r>
            <w:r w:rsidRPr="00313F16">
              <w:t xml:space="preserve"> of </w:t>
            </w:r>
            <w:bookmarkStart w:id="180" w:name="start2"/>
            <w:bookmarkEnd w:id="180"/>
            <w:r>
              <w:t xml:space="preserve">young people </w:t>
            </w:r>
            <w:r w:rsidRPr="00313F16">
              <w:t>before treatment</w:t>
            </w:r>
            <w:r>
              <w:t>;</w:t>
            </w:r>
          </w:p>
          <w:p w14:paraId="77BEC8C4" w14:textId="0575AECD" w:rsidR="006856DF" w:rsidRPr="00313F16" w:rsidRDefault="006856DF" w:rsidP="00043073">
            <w:pPr>
              <w:pStyle w:val="TableBullet1"/>
            </w:pPr>
            <w:r w:rsidRPr="00313F16">
              <w:t>examining how AOD</w:t>
            </w:r>
            <w:r>
              <w:t xml:space="preserve">, </w:t>
            </w:r>
            <w:r w:rsidRPr="00313F16">
              <w:t xml:space="preserve">physical and sexual health </w:t>
            </w:r>
            <w:r>
              <w:t>and/or vocational</w:t>
            </w:r>
            <w:r w:rsidRPr="00313F16">
              <w:t xml:space="preserve"> assistance</w:t>
            </w:r>
            <w:r w:rsidR="00195651">
              <w:t xml:space="preserve"> support </w:t>
            </w:r>
            <w:r>
              <w:t>mental health</w:t>
            </w:r>
            <w:r w:rsidR="00BB2DFE">
              <w:t xml:space="preserve"> and wellbeing</w:t>
            </w:r>
            <w:r>
              <w:t>,</w:t>
            </w:r>
            <w:r w:rsidRPr="00313F16">
              <w:t xml:space="preserve"> both </w:t>
            </w:r>
            <w:r>
              <w:t xml:space="preserve">in </w:t>
            </w:r>
            <w:r w:rsidRPr="00313F16">
              <w:t>the short and medium-</w:t>
            </w:r>
            <w:r>
              <w:t>to</w:t>
            </w:r>
            <w:r w:rsidRPr="00313F16">
              <w:t>-long</w:t>
            </w:r>
            <w:r w:rsidR="007E76A0">
              <w:t>-</w:t>
            </w:r>
            <w:r w:rsidRPr="00313F16">
              <w:t>term</w:t>
            </w:r>
            <w:r>
              <w:t>;</w:t>
            </w:r>
          </w:p>
          <w:p w14:paraId="6D290215" w14:textId="28FAF76E" w:rsidR="006856DF" w:rsidRDefault="006856DF" w:rsidP="00043073">
            <w:pPr>
              <w:pStyle w:val="TableBullet1"/>
            </w:pPr>
            <w:r>
              <w:t>exploring the most appropriate intake and assessment approaches when engaging with Aboriginal and Torres Strait Islander young people;</w:t>
            </w:r>
          </w:p>
          <w:p w14:paraId="5941DBA2" w14:textId="138E2346" w:rsidR="006856DF" w:rsidRPr="00313F16" w:rsidRDefault="006856DF" w:rsidP="00043073">
            <w:pPr>
              <w:pStyle w:val="TableBullet1"/>
            </w:pPr>
            <w:r>
              <w:t xml:space="preserve">exploring the most reliable measures of mental health and wellbeing in Aboriginal and Torres Strait Islander young people, for use within headspace;  </w:t>
            </w:r>
          </w:p>
          <w:p w14:paraId="4E93C75E" w14:textId="4EEBFDB5" w:rsidR="006856DF" w:rsidRDefault="006856DF" w:rsidP="00043073">
            <w:pPr>
              <w:pStyle w:val="TableBullet1"/>
            </w:pPr>
            <w:r>
              <w:t xml:space="preserve">examining </w:t>
            </w:r>
            <w:r w:rsidRPr="00313F16">
              <w:t xml:space="preserve">the extent to which young people and families experience more streamlined </w:t>
            </w:r>
            <w:r w:rsidR="00195651">
              <w:t xml:space="preserve">and </w:t>
            </w:r>
            <w:r w:rsidRPr="00313F16">
              <w:t>less fragmented pathways of care in the medium-term</w:t>
            </w:r>
            <w:r w:rsidR="00591B15">
              <w:t>.</w:t>
            </w:r>
            <w:r>
              <w:t xml:space="preserve"> </w:t>
            </w:r>
          </w:p>
          <w:p w14:paraId="6092C919" w14:textId="5B7103B1" w:rsidR="00B943C5" w:rsidRDefault="006856DF" w:rsidP="00043073">
            <w:pPr>
              <w:pStyle w:val="Tabletext"/>
              <w:ind w:left="360"/>
            </w:pPr>
            <w:r>
              <w:t>Detailed logic documents should be developed to support the collection of appropriate data.</w:t>
            </w:r>
            <w:r w:rsidR="00195651">
              <w:t xml:space="preserve"> </w:t>
            </w:r>
          </w:p>
        </w:tc>
      </w:tr>
    </w:tbl>
    <w:p w14:paraId="76F4B48E" w14:textId="77777777" w:rsidR="00E83621" w:rsidRPr="00DC3D06" w:rsidRDefault="00E83621" w:rsidP="00DA7138">
      <w:pPr>
        <w:pStyle w:val="Source"/>
      </w:pPr>
      <w:bookmarkStart w:id="181" w:name="_Toc97747129"/>
      <w:r w:rsidRPr="00DC3D06">
        <w:t>Source: KPMG 2022</w:t>
      </w:r>
    </w:p>
    <w:p w14:paraId="66E383D0" w14:textId="44D552DB" w:rsidR="00BB75B0" w:rsidRDefault="00EB1ABC" w:rsidP="00BB75B0">
      <w:pPr>
        <w:pStyle w:val="Heading2"/>
      </w:pPr>
      <w:bookmarkStart w:id="182" w:name="_Toc108173991"/>
      <w:r>
        <w:t>C</w:t>
      </w:r>
      <w:r w:rsidR="00BB75B0" w:rsidRPr="00FC0B3A">
        <w:t>hanges required to the funding arrangements of headspace to enable it to meet its objectives</w:t>
      </w:r>
      <w:bookmarkEnd w:id="181"/>
      <w:bookmarkEnd w:id="182"/>
    </w:p>
    <w:p w14:paraId="41A0204E" w14:textId="014FE901" w:rsidR="006E31F6" w:rsidRPr="006E31F6" w:rsidRDefault="006E31F6" w:rsidP="003941C8">
      <w:pPr>
        <w:pStyle w:val="Heading3"/>
        <w:rPr>
          <w:lang w:eastAsia="en-AU"/>
        </w:rPr>
      </w:pPr>
      <w:r w:rsidRPr="006E31F6">
        <w:rPr>
          <w:lang w:eastAsia="en-AU"/>
        </w:rPr>
        <w:t>Are the current funding arrangements sustainable?</w:t>
      </w:r>
    </w:p>
    <w:p w14:paraId="53E4FCAA" w14:textId="7E8DB408" w:rsidR="00D37278" w:rsidRPr="00D37278" w:rsidRDefault="00C3586F" w:rsidP="0054673B">
      <w:pPr>
        <w:pStyle w:val="BodyText"/>
        <w:rPr>
          <w:lang w:eastAsia="en-AU"/>
        </w:rPr>
      </w:pPr>
      <w:r>
        <w:rPr>
          <w:lang w:eastAsia="en-AU"/>
        </w:rPr>
        <w:t xml:space="preserve">As outlined in </w:t>
      </w:r>
      <w:r w:rsidR="001268EC">
        <w:rPr>
          <w:lang w:eastAsia="en-AU"/>
        </w:rPr>
        <w:t>S</w:t>
      </w:r>
      <w:r>
        <w:rPr>
          <w:lang w:eastAsia="en-AU"/>
        </w:rPr>
        <w:t xml:space="preserve">ection </w:t>
      </w:r>
      <w:r w:rsidR="004537C8">
        <w:rPr>
          <w:lang w:eastAsia="en-AU"/>
        </w:rPr>
        <w:fldChar w:fldCharType="begin" w:fldLock="1"/>
      </w:r>
      <w:r w:rsidR="004537C8">
        <w:rPr>
          <w:lang w:eastAsia="en-AU"/>
        </w:rPr>
        <w:instrText xml:space="preserve"> REF _Ref80734575 \r \h </w:instrText>
      </w:r>
      <w:r w:rsidR="0054673B">
        <w:rPr>
          <w:lang w:eastAsia="en-AU"/>
        </w:rPr>
        <w:instrText xml:space="preserve"> \* MERGEFORMAT </w:instrText>
      </w:r>
      <w:r w:rsidR="004537C8">
        <w:rPr>
          <w:lang w:eastAsia="en-AU"/>
        </w:rPr>
      </w:r>
      <w:r w:rsidR="004537C8">
        <w:rPr>
          <w:lang w:eastAsia="en-AU"/>
        </w:rPr>
        <w:fldChar w:fldCharType="separate"/>
      </w:r>
      <w:r w:rsidR="00AE4D34">
        <w:rPr>
          <w:lang w:eastAsia="en-AU"/>
        </w:rPr>
        <w:t>4.1</w:t>
      </w:r>
      <w:r w:rsidR="004537C8">
        <w:rPr>
          <w:lang w:eastAsia="en-AU"/>
        </w:rPr>
        <w:fldChar w:fldCharType="end"/>
      </w:r>
      <w:r>
        <w:rPr>
          <w:lang w:eastAsia="en-AU"/>
        </w:rPr>
        <w:t xml:space="preserve"> above, headspace services are currently funded through a blended funding model</w:t>
      </w:r>
      <w:r w:rsidR="00116CA2">
        <w:rPr>
          <w:lang w:eastAsia="en-AU"/>
        </w:rPr>
        <w:t xml:space="preserve">, including core grants received from the </w:t>
      </w:r>
      <w:r w:rsidR="00E841D5">
        <w:rPr>
          <w:lang w:eastAsia="en-AU"/>
        </w:rPr>
        <w:t>d</w:t>
      </w:r>
      <w:r w:rsidR="00116CA2">
        <w:rPr>
          <w:lang w:eastAsia="en-AU"/>
        </w:rPr>
        <w:t>epartment, through PHNs as the commissioning body, and</w:t>
      </w:r>
      <w:r w:rsidR="002C1A0E">
        <w:rPr>
          <w:lang w:eastAsia="en-AU"/>
        </w:rPr>
        <w:t xml:space="preserve"> use of MBS billing</w:t>
      </w:r>
      <w:r w:rsidR="00AC1A4A">
        <w:rPr>
          <w:lang w:eastAsia="en-AU"/>
        </w:rPr>
        <w:t xml:space="preserve"> by practitioners providing supports through headspace services. </w:t>
      </w:r>
    </w:p>
    <w:p w14:paraId="08DE4F49" w14:textId="1D409949" w:rsidR="00A433FD" w:rsidRPr="00A433FD" w:rsidRDefault="00AC1A4A" w:rsidP="0054673B">
      <w:pPr>
        <w:pStyle w:val="BodyText"/>
        <w:rPr>
          <w:lang w:eastAsia="en-AU"/>
        </w:rPr>
      </w:pPr>
      <w:r>
        <w:rPr>
          <w:lang w:eastAsia="en-AU"/>
        </w:rPr>
        <w:t>Currently, there is no spec</w:t>
      </w:r>
      <w:r w:rsidR="006D6458">
        <w:rPr>
          <w:lang w:eastAsia="en-AU"/>
        </w:rPr>
        <w:t xml:space="preserve">ific funding model used to determine the grant contributions made by the </w:t>
      </w:r>
      <w:r w:rsidR="00E841D5">
        <w:rPr>
          <w:lang w:eastAsia="en-AU"/>
        </w:rPr>
        <w:t>d</w:t>
      </w:r>
      <w:r w:rsidR="006D6458">
        <w:rPr>
          <w:lang w:eastAsia="en-AU"/>
        </w:rPr>
        <w:t xml:space="preserve">epartment to headspace services. </w:t>
      </w:r>
      <w:r w:rsidR="003044DA">
        <w:rPr>
          <w:lang w:eastAsia="en-AU"/>
        </w:rPr>
        <w:t>A model was previously used, however this has been moved away from in recent years, and all headspace services no</w:t>
      </w:r>
      <w:r w:rsidR="00930691">
        <w:rPr>
          <w:lang w:eastAsia="en-AU"/>
        </w:rPr>
        <w:t>w</w:t>
      </w:r>
      <w:r w:rsidR="003044DA">
        <w:rPr>
          <w:lang w:eastAsia="en-AU"/>
        </w:rPr>
        <w:t xml:space="preserve"> receive similar volumes of </w:t>
      </w:r>
      <w:r w:rsidR="00930691">
        <w:rPr>
          <w:lang w:eastAsia="en-AU"/>
        </w:rPr>
        <w:t>g</w:t>
      </w:r>
      <w:r w:rsidR="003044DA">
        <w:rPr>
          <w:lang w:eastAsia="en-AU"/>
        </w:rPr>
        <w:t>rant funding.</w:t>
      </w:r>
      <w:r w:rsidR="001C163A">
        <w:rPr>
          <w:lang w:eastAsia="en-AU"/>
        </w:rPr>
        <w:t xml:space="preserve"> One-size-fits-all approaches to </w:t>
      </w:r>
      <w:r w:rsidR="00940E07">
        <w:rPr>
          <w:lang w:eastAsia="en-AU"/>
        </w:rPr>
        <w:t>providing funding to headspace services are not cost-effective</w:t>
      </w:r>
      <w:r w:rsidR="00EE1814">
        <w:rPr>
          <w:lang w:eastAsia="en-AU"/>
        </w:rPr>
        <w:t>, and this is demonstrated by the significant variability in cost</w:t>
      </w:r>
      <w:r w:rsidR="006005AD">
        <w:rPr>
          <w:lang w:eastAsia="en-AU"/>
        </w:rPr>
        <w:t>-</w:t>
      </w:r>
      <w:r w:rsidR="00EE1814">
        <w:rPr>
          <w:lang w:eastAsia="en-AU"/>
        </w:rPr>
        <w:t xml:space="preserve">effectiveness between individual headspace services discussed in Chapter </w:t>
      </w:r>
      <w:r w:rsidR="00EE1814">
        <w:rPr>
          <w:lang w:eastAsia="en-AU"/>
        </w:rPr>
        <w:fldChar w:fldCharType="begin" w:fldLock="1"/>
      </w:r>
      <w:r w:rsidR="00EE1814">
        <w:rPr>
          <w:lang w:eastAsia="en-AU"/>
        </w:rPr>
        <w:instrText xml:space="preserve"> REF _Ref80734546 \r \h </w:instrText>
      </w:r>
      <w:r w:rsidR="0054673B">
        <w:rPr>
          <w:lang w:eastAsia="en-AU"/>
        </w:rPr>
        <w:instrText xml:space="preserve"> \* MERGEFORMAT </w:instrText>
      </w:r>
      <w:r w:rsidR="00EE1814">
        <w:rPr>
          <w:lang w:eastAsia="en-AU"/>
        </w:rPr>
      </w:r>
      <w:r w:rsidR="00EE1814">
        <w:rPr>
          <w:lang w:eastAsia="en-AU"/>
        </w:rPr>
        <w:fldChar w:fldCharType="separate"/>
      </w:r>
      <w:r w:rsidR="00AE4D34">
        <w:rPr>
          <w:lang w:eastAsia="en-AU"/>
        </w:rPr>
        <w:t>4</w:t>
      </w:r>
      <w:r w:rsidR="00EE1814">
        <w:rPr>
          <w:lang w:eastAsia="en-AU"/>
        </w:rPr>
        <w:fldChar w:fldCharType="end"/>
      </w:r>
      <w:r w:rsidR="00EE1814">
        <w:rPr>
          <w:lang w:eastAsia="en-AU"/>
        </w:rPr>
        <w:t>.</w:t>
      </w:r>
    </w:p>
    <w:p w14:paraId="78F94F17" w14:textId="216E3844" w:rsidR="00B2669A" w:rsidRDefault="003044DA" w:rsidP="0054673B">
      <w:pPr>
        <w:pStyle w:val="BodyText"/>
        <w:rPr>
          <w:lang w:eastAsia="en-AU"/>
        </w:rPr>
      </w:pPr>
      <w:r>
        <w:rPr>
          <w:lang w:eastAsia="en-AU"/>
        </w:rPr>
        <w:t>In addition, headspace</w:t>
      </w:r>
      <w:r w:rsidR="006A75AF" w:rsidRPr="00C858A8">
        <w:rPr>
          <w:lang w:eastAsia="en-AU"/>
        </w:rPr>
        <w:t xml:space="preserve"> </w:t>
      </w:r>
      <w:r w:rsidR="161776BD" w:rsidRPr="421A19FC">
        <w:rPr>
          <w:lang w:eastAsia="en-AU"/>
        </w:rPr>
        <w:t>s</w:t>
      </w:r>
      <w:r w:rsidR="00B2669A" w:rsidRPr="421A19FC">
        <w:rPr>
          <w:lang w:eastAsia="en-AU"/>
        </w:rPr>
        <w:t>ervices</w:t>
      </w:r>
      <w:r w:rsidR="00B2669A" w:rsidRPr="00C858A8">
        <w:rPr>
          <w:lang w:eastAsia="en-AU"/>
        </w:rPr>
        <w:t xml:space="preserve"> have significantly varied success making use of the blended funding model. Some services provide significantly more </w:t>
      </w:r>
      <w:r w:rsidR="007B2863">
        <w:rPr>
          <w:lang w:eastAsia="en-AU"/>
        </w:rPr>
        <w:t>OOS</w:t>
      </w:r>
      <w:r w:rsidR="00B2669A" w:rsidRPr="00C858A8">
        <w:rPr>
          <w:lang w:eastAsia="en-AU"/>
        </w:rPr>
        <w:t xml:space="preserve"> than otherwise possible through grant funding, as a result of MBS-billed services from private practitioners. </w:t>
      </w:r>
      <w:r w:rsidR="00DF62B9" w:rsidRPr="00C858A8">
        <w:rPr>
          <w:lang w:eastAsia="en-AU"/>
        </w:rPr>
        <w:t>In other services, particularly in non</w:t>
      </w:r>
      <w:r w:rsidR="0095535F">
        <w:rPr>
          <w:lang w:eastAsia="en-AU"/>
        </w:rPr>
        <w:noBreakHyphen/>
      </w:r>
      <w:r w:rsidR="00DF62B9" w:rsidRPr="00C858A8">
        <w:rPr>
          <w:lang w:eastAsia="en-AU"/>
        </w:rPr>
        <w:t xml:space="preserve">metropolitan locations, a model that relies heavily on </w:t>
      </w:r>
      <w:r w:rsidR="002C5415" w:rsidRPr="00C858A8">
        <w:rPr>
          <w:lang w:eastAsia="en-AU"/>
        </w:rPr>
        <w:t>MBS</w:t>
      </w:r>
      <w:r w:rsidR="00080644">
        <w:rPr>
          <w:lang w:eastAsia="en-AU"/>
        </w:rPr>
        <w:t xml:space="preserve"> </w:t>
      </w:r>
      <w:r w:rsidR="002C5415" w:rsidRPr="00C858A8">
        <w:rPr>
          <w:lang w:eastAsia="en-AU"/>
        </w:rPr>
        <w:t>billing is not viable or sustainable</w:t>
      </w:r>
      <w:r w:rsidR="00971023">
        <w:rPr>
          <w:lang w:eastAsia="en-AU"/>
        </w:rPr>
        <w:t xml:space="preserve"> as there are local workforce shortages, which impac</w:t>
      </w:r>
      <w:r w:rsidR="006B45A2">
        <w:rPr>
          <w:lang w:eastAsia="en-AU"/>
        </w:rPr>
        <w:t xml:space="preserve">t the ability for these headspace services to </w:t>
      </w:r>
      <w:r w:rsidR="00F04435">
        <w:rPr>
          <w:lang w:eastAsia="en-AU"/>
        </w:rPr>
        <w:t>deliver MBS</w:t>
      </w:r>
      <w:r w:rsidR="0095535F">
        <w:rPr>
          <w:lang w:eastAsia="en-AU"/>
        </w:rPr>
        <w:noBreakHyphen/>
      </w:r>
      <w:r w:rsidR="00F04435">
        <w:rPr>
          <w:lang w:eastAsia="en-AU"/>
        </w:rPr>
        <w:t xml:space="preserve">based clinical services. </w:t>
      </w:r>
    </w:p>
    <w:p w14:paraId="5772B614" w14:textId="2B04D838" w:rsidR="00633C20" w:rsidRDefault="00633C20" w:rsidP="00633C20">
      <w:pPr>
        <w:pStyle w:val="Heading3"/>
        <w:rPr>
          <w:lang w:eastAsia="en-AU"/>
        </w:rPr>
      </w:pPr>
      <w:r w:rsidRPr="6A87847E">
        <w:rPr>
          <w:lang w:eastAsia="en-AU"/>
        </w:rPr>
        <w:t xml:space="preserve">Changes required to </w:t>
      </w:r>
      <w:r w:rsidR="00C634A0" w:rsidRPr="6A87847E">
        <w:rPr>
          <w:lang w:eastAsia="en-AU"/>
        </w:rPr>
        <w:t>current</w:t>
      </w:r>
      <w:r w:rsidRPr="6A87847E">
        <w:rPr>
          <w:lang w:eastAsia="en-AU"/>
        </w:rPr>
        <w:t xml:space="preserve"> funding arrangement</w:t>
      </w:r>
      <w:r w:rsidR="00C634A0" w:rsidRPr="6A87847E">
        <w:rPr>
          <w:lang w:eastAsia="en-AU"/>
        </w:rPr>
        <w:t>s</w:t>
      </w:r>
      <w:r w:rsidRPr="6A87847E">
        <w:rPr>
          <w:lang w:eastAsia="en-AU"/>
        </w:rPr>
        <w:t xml:space="preserve"> </w:t>
      </w:r>
    </w:p>
    <w:p w14:paraId="1DBC3657" w14:textId="4A6F420A" w:rsidR="000141AF" w:rsidRPr="00437996" w:rsidRDefault="00437996" w:rsidP="0054673B">
      <w:pPr>
        <w:pStyle w:val="BodyText"/>
        <w:rPr>
          <w:lang w:eastAsia="en-AU"/>
        </w:rPr>
      </w:pPr>
      <w:r>
        <w:rPr>
          <w:lang w:eastAsia="en-AU"/>
        </w:rPr>
        <w:t xml:space="preserve">Based on the challenges described above with the current funding model, and conclusions regarding the current sustainability of funding arrangements, a </w:t>
      </w:r>
      <w:r w:rsidR="0031308F">
        <w:rPr>
          <w:lang w:eastAsia="en-AU"/>
        </w:rPr>
        <w:t xml:space="preserve">new </w:t>
      </w:r>
      <w:r>
        <w:rPr>
          <w:lang w:eastAsia="en-AU"/>
        </w:rPr>
        <w:t xml:space="preserve">funding model </w:t>
      </w:r>
      <w:r w:rsidR="0031308F">
        <w:rPr>
          <w:lang w:eastAsia="en-AU"/>
        </w:rPr>
        <w:t>should be</w:t>
      </w:r>
      <w:r>
        <w:rPr>
          <w:lang w:eastAsia="en-AU"/>
        </w:rPr>
        <w:t xml:space="preserve"> developed to guide funding for all headspace services moving forward. The funding model should be flexible, and take into account the individual characteristics of each headspace service.</w:t>
      </w:r>
    </w:p>
    <w:p w14:paraId="0A740ACA" w14:textId="356EED68" w:rsidR="00C96AF6" w:rsidRDefault="00C96AF6" w:rsidP="00C96AF6">
      <w:pPr>
        <w:pStyle w:val="Caption"/>
      </w:pPr>
      <w:bookmarkStart w:id="183" w:name="_Toc108108976"/>
      <w:r>
        <w:t xml:space="preserve">Table </w:t>
      </w:r>
      <w:r>
        <w:fldChar w:fldCharType="begin"/>
      </w:r>
      <w:r>
        <w:instrText>SEQ Table \* ARABIC</w:instrText>
      </w:r>
      <w:r>
        <w:fldChar w:fldCharType="separate"/>
      </w:r>
      <w:r w:rsidR="00CC0438">
        <w:rPr>
          <w:noProof/>
        </w:rPr>
        <w:t>26</w:t>
      </w:r>
      <w:r>
        <w:fldChar w:fldCharType="end"/>
      </w:r>
      <w:r>
        <w:t xml:space="preserve">: </w:t>
      </w:r>
      <w:r w:rsidRPr="00884F28">
        <w:t xml:space="preserve">Funding </w:t>
      </w:r>
      <w:r w:rsidR="009F1109">
        <w:t>a</w:t>
      </w:r>
      <w:r w:rsidRPr="00884F28">
        <w:t xml:space="preserve">rrangements </w:t>
      </w:r>
      <w:r w:rsidR="009F1109">
        <w:t>r</w:t>
      </w:r>
      <w:r w:rsidRPr="00884F28">
        <w:t>ecommendations</w:t>
      </w:r>
      <w:bookmarkEnd w:id="183"/>
    </w:p>
    <w:tbl>
      <w:tblPr>
        <w:tblStyle w:val="TableGrid"/>
        <w:tblW w:w="0" w:type="auto"/>
        <w:tblBorders>
          <w:top w:val="single" w:sz="4" w:space="0" w:color="00338D" w:themeColor="background2"/>
          <w:left w:val="single" w:sz="4" w:space="0" w:color="00338D" w:themeColor="background2"/>
          <w:bottom w:val="single" w:sz="4" w:space="0" w:color="00338D" w:themeColor="background2"/>
          <w:right w:val="single" w:sz="4" w:space="0" w:color="00338D" w:themeColor="background2"/>
          <w:insideH w:val="single" w:sz="4" w:space="0" w:color="00338D" w:themeColor="background2"/>
          <w:insideV w:val="single" w:sz="4" w:space="0" w:color="00338D" w:themeColor="background2"/>
        </w:tblBorders>
        <w:tblLook w:val="04A0" w:firstRow="1" w:lastRow="0" w:firstColumn="1" w:lastColumn="0" w:noHBand="0" w:noVBand="1"/>
        <w:tblCaption w:val="Funding arrangement recommendations"/>
        <w:tblDescription w:val="Table 26 has 1 column and summarises the evaluation’s recommendations related to funding arrangements. There are 2 recommendations in the table."/>
      </w:tblPr>
      <w:tblGrid>
        <w:gridCol w:w="9060"/>
      </w:tblGrid>
      <w:tr w:rsidR="005A5904" w:rsidRPr="00BC0D46" w14:paraId="4010DB68" w14:textId="77777777" w:rsidTr="00596EF1">
        <w:tc>
          <w:tcPr>
            <w:tcW w:w="9060" w:type="dxa"/>
            <w:shd w:val="clear" w:color="auto" w:fill="00338D" w:themeFill="background2"/>
          </w:tcPr>
          <w:p w14:paraId="3FD74222" w14:textId="24FA8A3C" w:rsidR="005A5904" w:rsidRPr="00BC0D46" w:rsidRDefault="005A5904" w:rsidP="00596EF1">
            <w:pPr>
              <w:pStyle w:val="Tableheading"/>
            </w:pPr>
            <w:r w:rsidRPr="00BC0D46">
              <w:t>Recommendation</w:t>
            </w:r>
          </w:p>
        </w:tc>
      </w:tr>
      <w:tr w:rsidR="005A5904" w14:paraId="517084D6" w14:textId="77777777" w:rsidTr="00596EF1">
        <w:tc>
          <w:tcPr>
            <w:tcW w:w="9060" w:type="dxa"/>
            <w:shd w:val="clear" w:color="auto" w:fill="E7F0FF"/>
          </w:tcPr>
          <w:p w14:paraId="5CEFACE4" w14:textId="026B752D" w:rsidR="007C6DAD" w:rsidRDefault="004F592E" w:rsidP="00A72CC4">
            <w:pPr>
              <w:pStyle w:val="Tabletext"/>
              <w:numPr>
                <w:ilvl w:val="0"/>
                <w:numId w:val="26"/>
              </w:numPr>
            </w:pPr>
            <w:r>
              <w:t xml:space="preserve">headspace services do not currently collect or report the full costs of operation, </w:t>
            </w:r>
            <w:r w:rsidR="00DB059B">
              <w:t>with</w:t>
            </w:r>
            <w:r w:rsidR="006D7E34">
              <w:t xml:space="preserve"> </w:t>
            </w:r>
            <w:r w:rsidR="00DF6A03">
              <w:t xml:space="preserve">in-kind contributions </w:t>
            </w:r>
            <w:r w:rsidR="006D7E34">
              <w:t>and</w:t>
            </w:r>
            <w:r w:rsidR="00DF6A03">
              <w:t xml:space="preserve"> indirect costs</w:t>
            </w:r>
            <w:r w:rsidR="00DB059B">
              <w:t xml:space="preserve"> not captured under </w:t>
            </w:r>
            <w:r w:rsidR="00736AFA">
              <w:t>funding</w:t>
            </w:r>
            <w:r w:rsidR="004E190A">
              <w:t xml:space="preserve"> agreement requirements. </w:t>
            </w:r>
            <w:r w:rsidR="00B3310C">
              <w:t xml:space="preserve">Without </w:t>
            </w:r>
            <w:r w:rsidR="003C5C1F">
              <w:t xml:space="preserve">accurate data regarding </w:t>
            </w:r>
            <w:r w:rsidR="00B3310C">
              <w:t>t</w:t>
            </w:r>
            <w:r w:rsidR="00876669">
              <w:t>he full costs of operating a headspace service</w:t>
            </w:r>
            <w:r w:rsidR="003C5C1F">
              <w:t>, the cost-effectiveness of the headspace model can only be estimated, as has been done through this evaluation.</w:t>
            </w:r>
            <w:r w:rsidR="00FE51FE">
              <w:br/>
            </w:r>
            <w:r w:rsidR="00FE51FE">
              <w:br/>
            </w:r>
            <w:r w:rsidR="000D4AAD">
              <w:t>Government</w:t>
            </w:r>
            <w:r w:rsidR="00FE51FE">
              <w:t xml:space="preserve"> should prioritise the c</w:t>
            </w:r>
            <w:r w:rsidR="007C6DAD" w:rsidRPr="007C6DAD">
              <w:t>ollection of full and accurate data to inform a more detailed review of current cost information across all headspace services</w:t>
            </w:r>
            <w:r w:rsidR="00954FA3">
              <w:t xml:space="preserve">. This </w:t>
            </w:r>
            <w:r w:rsidR="005D0CA4">
              <w:t>c</w:t>
            </w:r>
            <w:r w:rsidR="00954FA3">
              <w:t>ould be done</w:t>
            </w:r>
            <w:r w:rsidR="007C6DAD" w:rsidRPr="007C6DAD">
              <w:t xml:space="preserve"> through individual engagement with headspace services, or compulsory survey of all headspace services. This w</w:t>
            </w:r>
            <w:r w:rsidR="007F7AD7">
              <w:t>ou</w:t>
            </w:r>
            <w:r w:rsidR="007C6DAD" w:rsidRPr="007C6DAD">
              <w:t>l</w:t>
            </w:r>
            <w:r w:rsidR="007F7AD7">
              <w:t>d</w:t>
            </w:r>
            <w:r w:rsidR="007C6DAD" w:rsidRPr="007C6DAD">
              <w:t xml:space="preserve"> confirm current costs of delivering the headspace model, including in-kind contributions provided to services and other indirect costs. This w</w:t>
            </w:r>
            <w:r w:rsidR="007F7AD7">
              <w:t>ou</w:t>
            </w:r>
            <w:r w:rsidR="007C6DAD" w:rsidRPr="007C6DAD">
              <w:t>l</w:t>
            </w:r>
            <w:r w:rsidR="007F7AD7">
              <w:t>d</w:t>
            </w:r>
            <w:r w:rsidR="007C6DAD" w:rsidRPr="007C6DAD">
              <w:t xml:space="preserve"> identify differences in costs for different headspace services based on location, and other service-specific factors.</w:t>
            </w:r>
            <w:r w:rsidR="004B4A4E">
              <w:t xml:space="preserve"> The official count of headspace services should also be revisited to improve clarity of funding arrangements, e.g., the count of headspace services could be updated to reflect the number with a Trade Mark Licence Deed.</w:t>
            </w:r>
          </w:p>
          <w:p w14:paraId="27A99723" w14:textId="77777777" w:rsidR="00284497" w:rsidRPr="007C6DAD" w:rsidRDefault="00284497" w:rsidP="00AF4272">
            <w:pPr>
              <w:pStyle w:val="RecommendationText"/>
              <w:numPr>
                <w:ilvl w:val="0"/>
                <w:numId w:val="0"/>
              </w:numPr>
              <w:ind w:left="141"/>
            </w:pPr>
          </w:p>
          <w:p w14:paraId="7EC254F7" w14:textId="77777777" w:rsidR="0054673B" w:rsidRDefault="005730AC" w:rsidP="00A72CC4">
            <w:pPr>
              <w:pStyle w:val="Tabletext"/>
              <w:numPr>
                <w:ilvl w:val="0"/>
                <w:numId w:val="26"/>
              </w:numPr>
            </w:pPr>
            <w:r>
              <w:t xml:space="preserve">While the headspace model is broadly effective in achieving its intended outcomes, a number of areas related to funding </w:t>
            </w:r>
            <w:r w:rsidR="00EC364C">
              <w:t xml:space="preserve">are challenging for services providing headspace. </w:t>
            </w:r>
            <w:r w:rsidR="00D01ACD">
              <w:t>Difficulty in a</w:t>
            </w:r>
            <w:r w:rsidR="00EC364C">
              <w:t>ttracting and retaining a multi-discipli</w:t>
            </w:r>
            <w:r w:rsidR="00D01ACD">
              <w:t>nary workforce varies across regions, as does the need to undertake extensive community engagement activities with ‘hard to reach’ groups</w:t>
            </w:r>
            <w:r w:rsidR="00892128">
              <w:t>. A</w:t>
            </w:r>
            <w:r w:rsidR="00BC239C">
              <w:t>t the same time, a</w:t>
            </w:r>
            <w:r w:rsidR="00892128">
              <w:t>cross the headspace services included in this evaluation, the number of O</w:t>
            </w:r>
            <w:r w:rsidR="000C6D2C">
              <w:t>O</w:t>
            </w:r>
            <w:r w:rsidR="00892128">
              <w:t xml:space="preserve">S funded each year varies widely, while funding levels within the core headspace grant are relatively consistent across services. This variation in demand and service provision leads to considerable differences in the </w:t>
            </w:r>
            <w:r w:rsidR="000B5A9E">
              <w:t xml:space="preserve">estimated </w:t>
            </w:r>
            <w:r w:rsidR="00892128">
              <w:t xml:space="preserve">economic efficiency </w:t>
            </w:r>
            <w:r w:rsidR="004F592E">
              <w:t xml:space="preserve">across headspace services. </w:t>
            </w:r>
          </w:p>
          <w:p w14:paraId="0042798D" w14:textId="77777777" w:rsidR="0054673B" w:rsidRDefault="0054673B" w:rsidP="0054673B">
            <w:pPr>
              <w:pStyle w:val="ListParagraph"/>
            </w:pPr>
          </w:p>
          <w:p w14:paraId="28299538" w14:textId="7938452A" w:rsidR="00E25CD5" w:rsidRDefault="000D4AAD" w:rsidP="0054673B">
            <w:pPr>
              <w:pStyle w:val="Tabletext"/>
              <w:ind w:left="360"/>
            </w:pPr>
            <w:r>
              <w:t>Government</w:t>
            </w:r>
            <w:r w:rsidR="00FF29A7">
              <w:t xml:space="preserve"> should d</w:t>
            </w:r>
            <w:r w:rsidR="00CA49AD">
              <w:t xml:space="preserve">evelop a </w:t>
            </w:r>
            <w:r w:rsidR="004210C5">
              <w:t xml:space="preserve">variable </w:t>
            </w:r>
            <w:r w:rsidR="00CA49AD">
              <w:t>funding model</w:t>
            </w:r>
            <w:r w:rsidR="00634764">
              <w:t xml:space="preserve"> based on demand and regional need</w:t>
            </w:r>
            <w:r w:rsidR="009516CC">
              <w:t xml:space="preserve"> which </w:t>
            </w:r>
            <w:r w:rsidR="00DC51CB">
              <w:t>accounts for differences in location, population and ser</w:t>
            </w:r>
            <w:r w:rsidR="00DC0022">
              <w:t xml:space="preserve">vice delivery modes and volumes. This should </w:t>
            </w:r>
            <w:r w:rsidR="001B5AC5">
              <w:t>consider</w:t>
            </w:r>
            <w:r w:rsidR="00E34B9B">
              <w:t xml:space="preserve"> core funding components</w:t>
            </w:r>
            <w:r w:rsidR="00000764">
              <w:t>,</w:t>
            </w:r>
            <w:r w:rsidR="00E34B9B">
              <w:t xml:space="preserve"> such as administrative costs</w:t>
            </w:r>
            <w:r w:rsidR="00DB2C47">
              <w:t xml:space="preserve"> and</w:t>
            </w:r>
            <w:r w:rsidR="001B7C05">
              <w:t xml:space="preserve"> </w:t>
            </w:r>
            <w:r w:rsidR="00E34B9B">
              <w:t>management costs</w:t>
            </w:r>
            <w:r w:rsidR="00000764">
              <w:t>,</w:t>
            </w:r>
            <w:r w:rsidR="004B06AC">
              <w:t xml:space="preserve"> as well as </w:t>
            </w:r>
            <w:r w:rsidR="00E25CD5">
              <w:t xml:space="preserve">more </w:t>
            </w:r>
            <w:r w:rsidR="004B06AC">
              <w:t>variable</w:t>
            </w:r>
            <w:r w:rsidR="00E25CD5">
              <w:t xml:space="preserve"> cost components which may include:</w:t>
            </w:r>
          </w:p>
          <w:p w14:paraId="036BB8F9" w14:textId="383F0FA2" w:rsidR="00175213" w:rsidRDefault="009F1109" w:rsidP="0054673B">
            <w:pPr>
              <w:pStyle w:val="TableBullet1"/>
            </w:pPr>
            <w:r>
              <w:t>l</w:t>
            </w:r>
            <w:r w:rsidR="00A868A6">
              <w:t xml:space="preserve">ocation of </w:t>
            </w:r>
            <w:r>
              <w:t xml:space="preserve">the </w:t>
            </w:r>
            <w:r w:rsidR="00A868A6">
              <w:t>headspace service</w:t>
            </w:r>
            <w:r>
              <w:t>,</w:t>
            </w:r>
            <w:r w:rsidR="00A868A6">
              <w:t xml:space="preserve"> </w:t>
            </w:r>
            <w:r w:rsidR="00A5343A">
              <w:t xml:space="preserve">including </w:t>
            </w:r>
            <w:r w:rsidR="002D5A97">
              <w:t>regionality and areas of workforce shortages</w:t>
            </w:r>
            <w:r w:rsidR="000A7468">
              <w:t xml:space="preserve">, </w:t>
            </w:r>
            <w:r w:rsidR="00170142">
              <w:t>with increased allowance for salaried staff where access to MBS-based staff is</w:t>
            </w:r>
            <w:r w:rsidR="00175213">
              <w:t xml:space="preserve"> challenging</w:t>
            </w:r>
            <w:r>
              <w:t>;</w:t>
            </w:r>
          </w:p>
          <w:p w14:paraId="2D71F02A" w14:textId="5D628B5D" w:rsidR="008F2224" w:rsidRPr="008F2224" w:rsidRDefault="00A16ADD" w:rsidP="0054673B">
            <w:pPr>
              <w:pStyle w:val="TableBullet1"/>
            </w:pPr>
            <w:r>
              <w:t>t</w:t>
            </w:r>
            <w:r w:rsidR="004D4EFE">
              <w:t>he size of</w:t>
            </w:r>
            <w:r w:rsidR="007F6495">
              <w:t xml:space="preserve"> </w:t>
            </w:r>
            <w:r w:rsidR="004D4EFE">
              <w:t>the population to be supported by the headspace service, including the number of young people within the headspace service catchment</w:t>
            </w:r>
            <w:r w:rsidR="00DC4A8D">
              <w:t xml:space="preserve"> </w:t>
            </w:r>
            <w:r w:rsidR="00BB56D4">
              <w:t xml:space="preserve">and geographically proximate communities to be supported by the </w:t>
            </w:r>
            <w:r w:rsidR="00C05029">
              <w:t>service</w:t>
            </w:r>
            <w:r w:rsidR="00BB56D4">
              <w:t xml:space="preserve">, </w:t>
            </w:r>
            <w:r w:rsidR="00DC4A8D">
              <w:t xml:space="preserve">and associated </w:t>
            </w:r>
            <w:r w:rsidR="000F4BE2">
              <w:t>required</w:t>
            </w:r>
            <w:r w:rsidR="00DC4A8D">
              <w:t xml:space="preserve"> service FTE</w:t>
            </w:r>
            <w:r w:rsidR="009F1109">
              <w:t>; and</w:t>
            </w:r>
          </w:p>
          <w:p w14:paraId="5766DBEA" w14:textId="40C4F6EE" w:rsidR="00DB2C47" w:rsidRDefault="009F1109" w:rsidP="0054673B">
            <w:pPr>
              <w:pStyle w:val="TableBullet1"/>
            </w:pPr>
            <w:r>
              <w:t>t</w:t>
            </w:r>
            <w:r w:rsidR="00F00C87">
              <w:t>he headspace service type to be implemented, including whether the service is a headspace centre, satellite service or outreach service.</w:t>
            </w:r>
          </w:p>
          <w:p w14:paraId="46121FB9" w14:textId="5D65CB22" w:rsidR="00DB2C47" w:rsidRDefault="00DB2C47" w:rsidP="0054673B">
            <w:pPr>
              <w:pStyle w:val="Tabletext"/>
              <w:ind w:left="360"/>
            </w:pPr>
            <w:r>
              <w:t xml:space="preserve">A separate funding </w:t>
            </w:r>
            <w:r w:rsidR="004672FB">
              <w:t>model, or specific element</w:t>
            </w:r>
            <w:r w:rsidR="00F643A0">
              <w:t>,</w:t>
            </w:r>
            <w:r w:rsidR="004672FB">
              <w:t xml:space="preserve"> should be considered for </w:t>
            </w:r>
            <w:r w:rsidR="0015081D">
              <w:t xml:space="preserve">establishment </w:t>
            </w:r>
            <w:r w:rsidR="004672FB">
              <w:t>costs</w:t>
            </w:r>
            <w:r w:rsidR="004B331E">
              <w:t xml:space="preserve"> required</w:t>
            </w:r>
            <w:r w:rsidR="004672FB">
              <w:t xml:space="preserve"> </w:t>
            </w:r>
            <w:r w:rsidR="0015081D">
              <w:t>for</w:t>
            </w:r>
            <w:r w:rsidR="004672FB">
              <w:t xml:space="preserve"> a new </w:t>
            </w:r>
            <w:r w:rsidR="004B331E">
              <w:t xml:space="preserve">headspace </w:t>
            </w:r>
            <w:r w:rsidR="004672FB">
              <w:t>service</w:t>
            </w:r>
            <w:r w:rsidR="00D436FA">
              <w:t xml:space="preserve">. </w:t>
            </w:r>
          </w:p>
          <w:p w14:paraId="7D0A9604" w14:textId="77777777" w:rsidR="0054673B" w:rsidRDefault="0054673B" w:rsidP="0054673B">
            <w:pPr>
              <w:pStyle w:val="Tabletext"/>
              <w:ind w:left="360"/>
            </w:pPr>
          </w:p>
          <w:p w14:paraId="61BE0271" w14:textId="7D1A826D" w:rsidR="005A5904" w:rsidRPr="00221A11" w:rsidRDefault="00F61A26" w:rsidP="0054673B">
            <w:pPr>
              <w:pStyle w:val="Tabletext"/>
              <w:ind w:left="360"/>
            </w:pPr>
            <w:r>
              <w:t>Government</w:t>
            </w:r>
            <w:r w:rsidR="00D436FA">
              <w:t xml:space="preserve"> should consider how a revised funding model may apply to e</w:t>
            </w:r>
            <w:r w:rsidR="00B152B3">
              <w:t>xisting headspace</w:t>
            </w:r>
            <w:r w:rsidR="00D436FA">
              <w:t xml:space="preserve"> services, in addition to new services established </w:t>
            </w:r>
            <w:r w:rsidR="00DD62A0">
              <w:t>in future</w:t>
            </w:r>
            <w:r w:rsidR="00D436FA">
              <w:t xml:space="preserve">. </w:t>
            </w:r>
          </w:p>
        </w:tc>
      </w:tr>
    </w:tbl>
    <w:p w14:paraId="39CB6EE8" w14:textId="77777777" w:rsidR="00E83621" w:rsidRPr="00DC3D06" w:rsidRDefault="00E83621" w:rsidP="007261D1">
      <w:pPr>
        <w:pStyle w:val="Source"/>
        <w:rPr>
          <w:szCs w:val="16"/>
        </w:rPr>
      </w:pPr>
      <w:r w:rsidRPr="00DC3D06">
        <w:t>Source: KPMG 2022</w:t>
      </w:r>
    </w:p>
    <w:p w14:paraId="293D3972" w14:textId="3CDFC84A" w:rsidR="0051719B" w:rsidRDefault="00C05D84" w:rsidP="00461663">
      <w:pPr>
        <w:pStyle w:val="Heading2"/>
      </w:pPr>
      <w:bookmarkStart w:id="184" w:name="_Toc108173992"/>
      <w:r>
        <w:rPr>
          <w:lang w:eastAsia="en-AU"/>
        </w:rPr>
        <w:t>B</w:t>
      </w:r>
      <w:r w:rsidR="00461663" w:rsidRPr="00461663">
        <w:rPr>
          <w:lang w:eastAsia="en-AU"/>
        </w:rPr>
        <w:t>roader system changes that would support headspace to meet its objectives</w:t>
      </w:r>
      <w:bookmarkEnd w:id="184"/>
      <w:r w:rsidR="0051719B" w:rsidRPr="0051719B">
        <w:t xml:space="preserve"> </w:t>
      </w:r>
    </w:p>
    <w:p w14:paraId="149FBF5A" w14:textId="6976405D" w:rsidR="0026452F" w:rsidRPr="00850FF2" w:rsidRDefault="0026452F" w:rsidP="0026452F">
      <w:pPr>
        <w:pStyle w:val="Heading3"/>
      </w:pPr>
      <w:r>
        <w:t xml:space="preserve">Broader system changes </w:t>
      </w:r>
    </w:p>
    <w:p w14:paraId="38702B2E" w14:textId="78902C50" w:rsidR="00B37E2C" w:rsidRDefault="00B37E2C" w:rsidP="00B37E2C">
      <w:pPr>
        <w:pStyle w:val="BodyText"/>
      </w:pPr>
      <w:r>
        <w:t xml:space="preserve">This evaluation has found a number of areas where headspace services can be improved over time. However, there are a range of </w:t>
      </w:r>
      <w:r w:rsidR="008A2923">
        <w:t xml:space="preserve">identified </w:t>
      </w:r>
      <w:r>
        <w:t>barriers and enablers which are also impacted by the broader mental health service system and are not within the remit of individual headspace services, or the headspace program overall</w:t>
      </w:r>
      <w:r w:rsidR="008A2923">
        <w:t>,</w:t>
      </w:r>
      <w:r>
        <w:t xml:space="preserve"> to control. As such, there are also a range of broader system-level changes that would support headspace to meet its objectives going forward. </w:t>
      </w:r>
    </w:p>
    <w:p w14:paraId="42355E26" w14:textId="77777777" w:rsidR="00B37E2C" w:rsidRDefault="00B37E2C" w:rsidP="00B37E2C">
      <w:pPr>
        <w:pStyle w:val="Heading4"/>
      </w:pPr>
      <w:r>
        <w:t>Increased prevention and early intervention services</w:t>
      </w:r>
    </w:p>
    <w:p w14:paraId="1469BADD" w14:textId="263377E0" w:rsidR="00B37E2C" w:rsidRDefault="00B37E2C" w:rsidP="00B37E2C">
      <w:pPr>
        <w:pStyle w:val="BodyText"/>
        <w:rPr>
          <w:lang w:eastAsia="en-AU"/>
        </w:rPr>
      </w:pPr>
      <w:r>
        <w:rPr>
          <w:lang w:eastAsia="en-AU"/>
        </w:rPr>
        <w:t xml:space="preserve">As noted by the Productivity Commission and discussed in Section </w:t>
      </w:r>
      <w:r>
        <w:rPr>
          <w:highlight w:val="yellow"/>
          <w:lang w:eastAsia="en-AU"/>
        </w:rPr>
        <w:fldChar w:fldCharType="begin" w:fldLock="1"/>
      </w:r>
      <w:r>
        <w:rPr>
          <w:lang w:eastAsia="en-AU"/>
        </w:rPr>
        <w:instrText xml:space="preserve"> REF _Ref98506538 \r \h </w:instrText>
      </w:r>
      <w:r>
        <w:rPr>
          <w:highlight w:val="yellow"/>
          <w:lang w:eastAsia="en-AU"/>
        </w:rPr>
      </w:r>
      <w:r>
        <w:rPr>
          <w:highlight w:val="yellow"/>
          <w:lang w:eastAsia="en-AU"/>
        </w:rPr>
        <w:fldChar w:fldCharType="separate"/>
      </w:r>
      <w:r w:rsidR="00AE4D34">
        <w:rPr>
          <w:lang w:eastAsia="en-AU"/>
        </w:rPr>
        <w:t>2.4.3</w:t>
      </w:r>
      <w:r>
        <w:rPr>
          <w:highlight w:val="yellow"/>
          <w:lang w:eastAsia="en-AU"/>
        </w:rPr>
        <w:fldChar w:fldCharType="end"/>
      </w:r>
      <w:r>
        <w:rPr>
          <w:lang w:eastAsia="en-AU"/>
        </w:rPr>
        <w:t xml:space="preserve"> above, there is currently under</w:t>
      </w:r>
      <w:r w:rsidR="009C45EE">
        <w:rPr>
          <w:lang w:eastAsia="en-AU"/>
        </w:rPr>
        <w:noBreakHyphen/>
      </w:r>
      <w:r>
        <w:rPr>
          <w:lang w:eastAsia="en-AU"/>
        </w:rPr>
        <w:t>investment in prevention-based supports for mental health across Australia. Increased focus and provision of prevention- and early intervention-based services, to reduce the ultimate need for treatment in the longer term</w:t>
      </w:r>
      <w:r w:rsidR="009C45EE">
        <w:rPr>
          <w:lang w:eastAsia="en-AU"/>
        </w:rPr>
        <w:t>,</w:t>
      </w:r>
      <w:r>
        <w:rPr>
          <w:lang w:eastAsia="en-AU"/>
        </w:rPr>
        <w:t xml:space="preserve"> would support headspace objectives, by decreasing overall demand for treatment services, and reducing current pressure on headspace wait times.</w:t>
      </w:r>
    </w:p>
    <w:p w14:paraId="373268B5" w14:textId="77777777" w:rsidR="00B37E2C" w:rsidRDefault="00B37E2C" w:rsidP="00B37E2C">
      <w:pPr>
        <w:pStyle w:val="Heading4"/>
      </w:pPr>
      <w:r>
        <w:t>Improved service integration and pathways</w:t>
      </w:r>
    </w:p>
    <w:p w14:paraId="23E7B8FA" w14:textId="4E00F4EB" w:rsidR="00B37E2C" w:rsidRDefault="00B37E2C" w:rsidP="00B37E2C">
      <w:pPr>
        <w:pStyle w:val="BodyText"/>
        <w:rPr>
          <w:lang w:eastAsia="en-AU"/>
        </w:rPr>
      </w:pPr>
      <w:r>
        <w:rPr>
          <w:lang w:eastAsia="en-AU"/>
        </w:rPr>
        <w:t>As found in this evaluation</w:t>
      </w:r>
      <w:r w:rsidR="00437C99">
        <w:rPr>
          <w:lang w:eastAsia="en-AU"/>
        </w:rPr>
        <w:t xml:space="preserve">, </w:t>
      </w:r>
      <w:r w:rsidR="00104E8E">
        <w:rPr>
          <w:lang w:eastAsia="en-AU"/>
        </w:rPr>
        <w:t xml:space="preserve">there are significant challenges for headspace services in managing the mental health needs </w:t>
      </w:r>
      <w:r w:rsidR="005F4995">
        <w:rPr>
          <w:lang w:eastAsia="en-AU"/>
        </w:rPr>
        <w:t xml:space="preserve">of young people who are presenting with more severe need than headspace is designed to manage, </w:t>
      </w:r>
      <w:r>
        <w:rPr>
          <w:lang w:eastAsia="en-AU"/>
        </w:rPr>
        <w:t>and with more complex needs overall. This is especially the case</w:t>
      </w:r>
      <w:r w:rsidR="005F4995">
        <w:rPr>
          <w:lang w:eastAsia="en-AU"/>
        </w:rPr>
        <w:t xml:space="preserve"> where there are limited </w:t>
      </w:r>
      <w:r w:rsidR="005B265F">
        <w:rPr>
          <w:lang w:eastAsia="en-AU"/>
        </w:rPr>
        <w:t>or no local services to refer these young people to</w:t>
      </w:r>
      <w:r w:rsidR="00973EA7">
        <w:rPr>
          <w:lang w:eastAsia="en-AU"/>
        </w:rPr>
        <w:t>,</w:t>
      </w:r>
      <w:r>
        <w:rPr>
          <w:lang w:eastAsia="en-AU"/>
        </w:rPr>
        <w:t xml:space="preserve"> either due to a lack of </w:t>
      </w:r>
      <w:r w:rsidR="00203AB3">
        <w:rPr>
          <w:lang w:eastAsia="en-AU"/>
        </w:rPr>
        <w:t xml:space="preserve">services </w:t>
      </w:r>
      <w:r>
        <w:rPr>
          <w:lang w:eastAsia="en-AU"/>
        </w:rPr>
        <w:t>or existing</w:t>
      </w:r>
      <w:r w:rsidR="008A4BE3">
        <w:rPr>
          <w:lang w:eastAsia="en-AU"/>
        </w:rPr>
        <w:t xml:space="preserve"> services</w:t>
      </w:r>
      <w:r w:rsidR="001C34F1">
        <w:rPr>
          <w:lang w:eastAsia="en-AU"/>
        </w:rPr>
        <w:t xml:space="preserve"> </w:t>
      </w:r>
      <w:r>
        <w:rPr>
          <w:lang w:eastAsia="en-AU"/>
        </w:rPr>
        <w:t>with their own wait time pressures.</w:t>
      </w:r>
    </w:p>
    <w:p w14:paraId="6E717C8A" w14:textId="6EA71A1E" w:rsidR="008A4BE3" w:rsidRDefault="00B37E2C" w:rsidP="00CB5D85">
      <w:pPr>
        <w:pStyle w:val="BodyText"/>
        <w:rPr>
          <w:lang w:eastAsia="en-AU"/>
        </w:rPr>
      </w:pPr>
      <w:r>
        <w:rPr>
          <w:lang w:eastAsia="en-AU"/>
        </w:rPr>
        <w:t xml:space="preserve">Strengthening service integration across the mental health service system and ensuring all Australians, including young people, have access to required services through clear pathways </w:t>
      </w:r>
      <w:r w:rsidR="001C34F1">
        <w:rPr>
          <w:lang w:eastAsia="en-AU"/>
        </w:rPr>
        <w:t xml:space="preserve">would support headspace </w:t>
      </w:r>
      <w:r>
        <w:rPr>
          <w:lang w:eastAsia="en-AU"/>
        </w:rPr>
        <w:t>to better meet its objectives. This includes</w:t>
      </w:r>
      <w:r w:rsidR="001C34F1">
        <w:rPr>
          <w:lang w:eastAsia="en-AU"/>
        </w:rPr>
        <w:t xml:space="preserve"> reducing pressure on headspace service wait</w:t>
      </w:r>
      <w:r w:rsidR="00BB4567">
        <w:rPr>
          <w:lang w:eastAsia="en-AU"/>
        </w:rPr>
        <w:t xml:space="preserve"> times, reducing the level of risk headspace services are experiencing from young people who were not intended to be supported by the headspace model</w:t>
      </w:r>
      <w:r w:rsidR="001C34F1">
        <w:rPr>
          <w:lang w:eastAsia="en-AU"/>
        </w:rPr>
        <w:t xml:space="preserve">, </w:t>
      </w:r>
      <w:r w:rsidR="007D36AF">
        <w:rPr>
          <w:lang w:eastAsia="en-AU"/>
        </w:rPr>
        <w:t xml:space="preserve">and enabling more effective referral pathways with these services. </w:t>
      </w:r>
    </w:p>
    <w:p w14:paraId="7F7F33CA" w14:textId="056A347A" w:rsidR="00B37E2C" w:rsidRDefault="00B37E2C" w:rsidP="00B37E2C">
      <w:pPr>
        <w:pStyle w:val="BodyText"/>
        <w:rPr>
          <w:lang w:eastAsia="en-AU"/>
        </w:rPr>
      </w:pPr>
      <w:r>
        <w:rPr>
          <w:lang w:eastAsia="en-AU"/>
        </w:rPr>
        <w:t xml:space="preserve">While focus on prevention and early intervention is more sustainable in the longer term, there is currently significant unmet need for tertiary and other specialist supports, and this demand must be met for these individuals in parallel with an increased focus on prevention. </w:t>
      </w:r>
    </w:p>
    <w:p w14:paraId="5B8F8554" w14:textId="22061A0E" w:rsidR="0026452F" w:rsidRDefault="00F21DD2" w:rsidP="0026452F">
      <w:pPr>
        <w:pStyle w:val="Heading4"/>
      </w:pPr>
      <w:r>
        <w:t xml:space="preserve">Development of national mental health workforce </w:t>
      </w:r>
    </w:p>
    <w:p w14:paraId="0ADE5C90" w14:textId="15C0BEF4" w:rsidR="00D916D6" w:rsidRPr="00D916D6" w:rsidRDefault="00351358" w:rsidP="00D916D6">
      <w:pPr>
        <w:pStyle w:val="BodyText"/>
        <w:rPr>
          <w:lang w:eastAsia="en-AU"/>
        </w:rPr>
      </w:pPr>
      <w:r>
        <w:rPr>
          <w:lang w:eastAsia="en-AU"/>
        </w:rPr>
        <w:t xml:space="preserve">The workforce shortages </w:t>
      </w:r>
      <w:r w:rsidR="00F804BF">
        <w:rPr>
          <w:lang w:eastAsia="en-AU"/>
        </w:rPr>
        <w:t xml:space="preserve">experienced by headspace services, particularly </w:t>
      </w:r>
      <w:r w:rsidR="002374D7">
        <w:rPr>
          <w:lang w:eastAsia="en-AU"/>
        </w:rPr>
        <w:t xml:space="preserve">for </w:t>
      </w:r>
      <w:r w:rsidR="00953F30">
        <w:rPr>
          <w:lang w:eastAsia="en-AU"/>
        </w:rPr>
        <w:t xml:space="preserve">GPs, </w:t>
      </w:r>
      <w:r w:rsidR="002374D7">
        <w:rPr>
          <w:lang w:eastAsia="en-AU"/>
        </w:rPr>
        <w:t>psychologists and psychiatrists and in regional, rural and remote areas,</w:t>
      </w:r>
      <w:r w:rsidR="00F21DD2">
        <w:rPr>
          <w:lang w:eastAsia="en-AU"/>
        </w:rPr>
        <w:t xml:space="preserve"> are also experienced across the </w:t>
      </w:r>
      <w:r w:rsidR="00653298">
        <w:rPr>
          <w:lang w:eastAsia="en-AU"/>
        </w:rPr>
        <w:t xml:space="preserve">broader mental health service system. Development of system-wide </w:t>
      </w:r>
      <w:r w:rsidR="00B37E2C">
        <w:rPr>
          <w:lang w:eastAsia="en-AU"/>
        </w:rPr>
        <w:t>initiatives</w:t>
      </w:r>
      <w:r w:rsidR="00653298">
        <w:rPr>
          <w:lang w:eastAsia="en-AU"/>
        </w:rPr>
        <w:t xml:space="preserve"> to support </w:t>
      </w:r>
      <w:r w:rsidR="00057020">
        <w:rPr>
          <w:lang w:eastAsia="en-AU"/>
        </w:rPr>
        <w:t>growth</w:t>
      </w:r>
      <w:r w:rsidR="00653298">
        <w:rPr>
          <w:lang w:eastAsia="en-AU"/>
        </w:rPr>
        <w:t xml:space="preserve"> in the mental health workforce</w:t>
      </w:r>
      <w:r w:rsidR="00057020">
        <w:rPr>
          <w:lang w:eastAsia="en-AU"/>
        </w:rPr>
        <w:t>,</w:t>
      </w:r>
      <w:r w:rsidR="00B43005">
        <w:rPr>
          <w:lang w:eastAsia="en-AU"/>
        </w:rPr>
        <w:t xml:space="preserve"> including </w:t>
      </w:r>
      <w:r w:rsidR="00057020">
        <w:rPr>
          <w:lang w:eastAsia="en-AU"/>
        </w:rPr>
        <w:t xml:space="preserve">in regional and remote areas, should also support </w:t>
      </w:r>
      <w:r w:rsidR="00217B28">
        <w:rPr>
          <w:lang w:eastAsia="en-AU"/>
        </w:rPr>
        <w:t xml:space="preserve">headspace services to </w:t>
      </w:r>
      <w:r w:rsidR="00B43005">
        <w:rPr>
          <w:lang w:eastAsia="en-AU"/>
        </w:rPr>
        <w:t xml:space="preserve">access </w:t>
      </w:r>
      <w:r w:rsidR="00217B28">
        <w:rPr>
          <w:lang w:eastAsia="en-AU"/>
        </w:rPr>
        <w:t>those professions which currently present a challenge.</w:t>
      </w:r>
    </w:p>
    <w:p w14:paraId="5459C938" w14:textId="28BA3D95" w:rsidR="00D30519" w:rsidRPr="007F00F3" w:rsidRDefault="00D30519" w:rsidP="00D30519">
      <w:pPr>
        <w:pStyle w:val="Heading3"/>
        <w:rPr>
          <w:lang w:eastAsia="en-AU"/>
        </w:rPr>
      </w:pPr>
      <w:r>
        <w:rPr>
          <w:lang w:eastAsia="en-AU"/>
        </w:rPr>
        <w:t xml:space="preserve">Existing </w:t>
      </w:r>
      <w:r w:rsidR="00E872F9">
        <w:rPr>
          <w:lang w:eastAsia="en-AU"/>
        </w:rPr>
        <w:t>service system changes underway</w:t>
      </w:r>
    </w:p>
    <w:p w14:paraId="52AC8837" w14:textId="1E6A597B" w:rsidR="00B37E2C" w:rsidRDefault="00B37E2C" w:rsidP="00B37E2C">
      <w:pPr>
        <w:pStyle w:val="BodyText"/>
      </w:pPr>
      <w:r>
        <w:t xml:space="preserve">As discussed in Section </w:t>
      </w:r>
      <w:r w:rsidR="00AF59FB">
        <w:fldChar w:fldCharType="begin" w:fldLock="1"/>
      </w:r>
      <w:r w:rsidR="00AF59FB">
        <w:instrText xml:space="preserve"> REF _Ref106354921 \w \h </w:instrText>
      </w:r>
      <w:r w:rsidR="00AF59FB">
        <w:fldChar w:fldCharType="separate"/>
      </w:r>
      <w:r w:rsidR="00AF59FB">
        <w:t>1.1.3</w:t>
      </w:r>
      <w:r w:rsidR="00AF59FB">
        <w:fldChar w:fldCharType="end"/>
      </w:r>
      <w:r>
        <w:t xml:space="preserve"> above, there continues to be broad sector reform across the mental health sector, and it is important to acknowledge broader service system changes that are already underway, or that have been recommended that will also support headspace services into the future. </w:t>
      </w:r>
    </w:p>
    <w:p w14:paraId="3023DD94" w14:textId="44E36E63" w:rsidR="004D0B71" w:rsidRDefault="004D0B71" w:rsidP="004D0B71">
      <w:pPr>
        <w:pStyle w:val="Heading4"/>
      </w:pPr>
      <w:r>
        <w:t>Recommendations from the Productivity Commission Inquiry into Mental Health</w:t>
      </w:r>
    </w:p>
    <w:p w14:paraId="3FF298FF" w14:textId="77777777" w:rsidR="00B37E2C" w:rsidRDefault="00B37E2C" w:rsidP="00B37E2C">
      <w:pPr>
        <w:pStyle w:val="BodyText"/>
      </w:pPr>
      <w:r>
        <w:t>The Productivity Commission’s Mental Health Inquiry Report made a number of detailed recommendations that will go some way to address the broader system changes described above. These recommendations include:</w:t>
      </w:r>
    </w:p>
    <w:p w14:paraId="58E44182" w14:textId="756D79A0" w:rsidR="00B37E2C" w:rsidRDefault="00B37E2C" w:rsidP="00B37E2C">
      <w:pPr>
        <w:pStyle w:val="Bullet1stlevel"/>
      </w:pPr>
      <w:r>
        <w:t>creating a person-centred mental health system</w:t>
      </w:r>
      <w:r w:rsidR="00071D76">
        <w:t>;</w:t>
      </w:r>
    </w:p>
    <w:p w14:paraId="47B1EE05" w14:textId="03DFD9AD" w:rsidR="00B37E2C" w:rsidRDefault="00B37E2C" w:rsidP="00B37E2C">
      <w:pPr>
        <w:pStyle w:val="Bullet1stlevel"/>
      </w:pPr>
      <w:r>
        <w:t>focusing on children’s wellbeing across the education and health systems</w:t>
      </w:r>
      <w:r w:rsidR="00071D76">
        <w:t>;</w:t>
      </w:r>
    </w:p>
    <w:p w14:paraId="10050ED6" w14:textId="3DAE80B7" w:rsidR="00B37E2C" w:rsidRDefault="00B37E2C" w:rsidP="00B37E2C">
      <w:pPr>
        <w:pStyle w:val="Bullet1stlevel"/>
      </w:pPr>
      <w:r>
        <w:t>supporting the mental health of tertiary students</w:t>
      </w:r>
      <w:r w:rsidR="00071D76">
        <w:t>;</w:t>
      </w:r>
    </w:p>
    <w:p w14:paraId="2D16D321" w14:textId="6A8CAF2A" w:rsidR="00B37E2C" w:rsidRDefault="00B37E2C" w:rsidP="00B37E2C">
      <w:pPr>
        <w:pStyle w:val="Bullet1stlevel"/>
      </w:pPr>
      <w:r>
        <w:t>increasing informed access to mental healthcare services</w:t>
      </w:r>
      <w:r w:rsidR="00071D76">
        <w:t>;</w:t>
      </w:r>
    </w:p>
    <w:p w14:paraId="5FAE52FB" w14:textId="3228D16C" w:rsidR="00B37E2C" w:rsidRDefault="00B37E2C" w:rsidP="00B37E2C">
      <w:pPr>
        <w:pStyle w:val="Bullet1stlevel"/>
      </w:pPr>
      <w:r>
        <w:t>linking consumers with the services they need</w:t>
      </w:r>
      <w:r w:rsidR="00071D76">
        <w:t>;</w:t>
      </w:r>
    </w:p>
    <w:p w14:paraId="3DB257A7" w14:textId="62F6FD0A" w:rsidR="00B37E2C" w:rsidRDefault="00B37E2C" w:rsidP="00B37E2C">
      <w:pPr>
        <w:pStyle w:val="Bullet1stlevel"/>
      </w:pPr>
      <w:r>
        <w:t>increasing the efficacy of Australia’s mental health workforce</w:t>
      </w:r>
      <w:r w:rsidR="00071D76">
        <w:t>;</w:t>
      </w:r>
    </w:p>
    <w:p w14:paraId="7DD96DCB" w14:textId="39C406E5" w:rsidR="00B37E2C" w:rsidRDefault="00B37E2C" w:rsidP="00B37E2C">
      <w:pPr>
        <w:pStyle w:val="Bullet1stlevel"/>
      </w:pPr>
      <w:r>
        <w:t>developing best practice governance to guide a whole-of-government approach</w:t>
      </w:r>
      <w:r w:rsidR="00071D76">
        <w:t>; and</w:t>
      </w:r>
    </w:p>
    <w:p w14:paraId="1955F391" w14:textId="30494E78" w:rsidR="00B37E2C" w:rsidRDefault="00B37E2C" w:rsidP="00B37E2C">
      <w:pPr>
        <w:pStyle w:val="Bullet1stlevel"/>
      </w:pPr>
      <w:r>
        <w:t>funding arrangements to support efficient and equitable service provision</w:t>
      </w:r>
      <w:r w:rsidR="00071D76">
        <w:t>.</w:t>
      </w:r>
    </w:p>
    <w:p w14:paraId="116DCE08" w14:textId="1115DEBB" w:rsidR="00B37E2C" w:rsidRDefault="00B37E2C" w:rsidP="003006A8">
      <w:pPr>
        <w:pStyle w:val="BodyText"/>
      </w:pPr>
      <w:r>
        <w:t>The specific actions and reforms described under these recommendations that are relevant to the service system challenges impacting headspace services include</w:t>
      </w:r>
      <w:r w:rsidR="005C0038">
        <w:t>:</w:t>
      </w:r>
    </w:p>
    <w:p w14:paraId="3C85BFE7" w14:textId="70F7780E" w:rsidR="00B37E2C" w:rsidRDefault="00071D76" w:rsidP="00B37E2C">
      <w:pPr>
        <w:pStyle w:val="Bullet1stlevel"/>
      </w:pPr>
      <w:r>
        <w:t>F</w:t>
      </w:r>
      <w:r w:rsidR="00B37E2C">
        <w:t>illing gaps and addressing barriers in the services available to people who need support due to mental ill-health, and their families and carers</w:t>
      </w:r>
      <w:r w:rsidR="003E31E6">
        <w:t>.</w:t>
      </w:r>
    </w:p>
    <w:p w14:paraId="721FE731" w14:textId="60C5B003" w:rsidR="00B37E2C" w:rsidRDefault="00071D76" w:rsidP="00B37E2C">
      <w:pPr>
        <w:pStyle w:val="Bullet1stlevel"/>
      </w:pPr>
      <w:r>
        <w:t>R</w:t>
      </w:r>
      <w:r w:rsidR="00B37E2C">
        <w:t>emoving barriers to collaboration within and between different parts of the mental health system, by actively encouraging information sharing and coordination between health service providers; creating systems and processes that bring together the range of treatments and supports that people may choose; and by reforming funding, to incentivise better cooperation and collaboration across mental health services</w:t>
      </w:r>
      <w:r w:rsidR="003E31E6">
        <w:t>.</w:t>
      </w:r>
    </w:p>
    <w:p w14:paraId="4CF540AE" w14:textId="1AFE57E8" w:rsidR="00B37E2C" w:rsidRDefault="00071D76" w:rsidP="00B37E2C">
      <w:pPr>
        <w:pStyle w:val="Bullet1stlevel"/>
      </w:pPr>
      <w:r>
        <w:t>I</w:t>
      </w:r>
      <w:r w:rsidR="00B37E2C">
        <w:t>mproving coordination and integration between health and other services to better promote recovery</w:t>
      </w:r>
      <w:r w:rsidR="003E31E6">
        <w:t>.</w:t>
      </w:r>
    </w:p>
    <w:p w14:paraId="77BF330B" w14:textId="2A7F1994" w:rsidR="00B37E2C" w:rsidRDefault="00071D76" w:rsidP="00B37E2C">
      <w:pPr>
        <w:pStyle w:val="Bullet1stlevel"/>
      </w:pPr>
      <w:r>
        <w:t>I</w:t>
      </w:r>
      <w:r w:rsidR="00B37E2C">
        <w:t>mproving the efficacy of supports delivered through schools and workplaces, to promote better mental health and early intervention</w:t>
      </w:r>
      <w:r w:rsidR="003E31E6">
        <w:t>.</w:t>
      </w:r>
    </w:p>
    <w:p w14:paraId="7D16130C" w14:textId="69050261" w:rsidR="00B37E2C" w:rsidRDefault="00071D76" w:rsidP="00B37E2C">
      <w:pPr>
        <w:pStyle w:val="Bullet1stlevel"/>
      </w:pPr>
      <w:r>
        <w:t>E</w:t>
      </w:r>
      <w:r w:rsidR="00B37E2C">
        <w:t>stablishing an evaluation and monitoring system that focuses on outcomes, and ensures that mental health services are effective in supporting recovery</w:t>
      </w:r>
      <w:r w:rsidR="003E31E6">
        <w:t>.</w:t>
      </w:r>
    </w:p>
    <w:p w14:paraId="52E59C7C" w14:textId="00392540" w:rsidR="00B37E2C" w:rsidRDefault="00071D76" w:rsidP="00B37E2C">
      <w:pPr>
        <w:pStyle w:val="Bullet1stlevel"/>
      </w:pPr>
      <w:r>
        <w:t>S</w:t>
      </w:r>
      <w:r w:rsidR="00B37E2C">
        <w:t>upporting the development of single care plans for consumers with moderate to severe mental illness who are receiving services from multiple providers</w:t>
      </w:r>
      <w:r w:rsidR="003E31E6">
        <w:t>.</w:t>
      </w:r>
    </w:p>
    <w:p w14:paraId="4DB114E4" w14:textId="2B56ABD8" w:rsidR="00B37E2C" w:rsidRDefault="00071D76" w:rsidP="00B37E2C">
      <w:pPr>
        <w:pStyle w:val="Bullet1stlevel"/>
      </w:pPr>
      <w:r>
        <w:t>R</w:t>
      </w:r>
      <w:r w:rsidR="00B37E2C">
        <w:t>egional commissioning bodies developing and maintaining on</w:t>
      </w:r>
      <w:r w:rsidR="00B5059C">
        <w:t>-</w:t>
      </w:r>
      <w:r w:rsidR="00B37E2C">
        <w:t>line navigation portals that include detailed clinical and non-clinical referral pathways, which can be accessed by clinical and non</w:t>
      </w:r>
      <w:r w:rsidR="00A43A60">
        <w:noBreakHyphen/>
      </w:r>
      <w:r w:rsidR="00B37E2C">
        <w:t>clinical service providers</w:t>
      </w:r>
      <w:r w:rsidR="003E31E6">
        <w:t>.</w:t>
      </w:r>
    </w:p>
    <w:p w14:paraId="1D7B527C" w14:textId="370B3BA9" w:rsidR="00B37E2C" w:rsidRDefault="00071D76" w:rsidP="00B37E2C">
      <w:pPr>
        <w:pStyle w:val="Bullet1stlevel"/>
      </w:pPr>
      <w:r>
        <w:t>A</w:t>
      </w:r>
      <w:r w:rsidR="00B37E2C">
        <w:t>ligning the skills, costs, cultural capability, availability and location of mental health practitioners with the needs of consumers through the forthcoming National Mental Health Workforce Strategy</w:t>
      </w:r>
      <w:r w:rsidR="003E31E6">
        <w:t>.</w:t>
      </w:r>
    </w:p>
    <w:p w14:paraId="1F1828DB" w14:textId="44FCA17B" w:rsidR="00B37E2C" w:rsidRDefault="00071D76" w:rsidP="00B37E2C">
      <w:pPr>
        <w:pStyle w:val="Bullet1stlevel"/>
      </w:pPr>
      <w:r>
        <w:t>D</w:t>
      </w:r>
      <w:r w:rsidR="00B37E2C">
        <w:t xml:space="preserve">eveloping a national plan to increase the number of psychiatrists in clinical practice </w:t>
      </w:r>
      <w:r w:rsidR="00B5059C">
        <w:t>–</w:t>
      </w:r>
      <w:r w:rsidR="00B37E2C">
        <w:t>particularly those practising outside major cities and in sub-specialities with significant shortages</w:t>
      </w:r>
      <w:r w:rsidR="003E31E6">
        <w:t>.</w:t>
      </w:r>
    </w:p>
    <w:p w14:paraId="7CE409CF" w14:textId="63887854" w:rsidR="00B37E2C" w:rsidRDefault="00071D76" w:rsidP="00B37E2C">
      <w:pPr>
        <w:pStyle w:val="Bullet1stlevel"/>
      </w:pPr>
      <w:r>
        <w:t>S</w:t>
      </w:r>
      <w:r w:rsidR="00B37E2C">
        <w:t>trengthening the peer workforce by providing one</w:t>
      </w:r>
      <w:r w:rsidR="00B5059C">
        <w:t>-</w:t>
      </w:r>
      <w:r w:rsidR="00B37E2C">
        <w:t>off, seed funding to create a professional association for peer workers, and in collaboration with State and Territory Governments, develop a program to educate health professionals about the role and value of peer workers in improving outcomes</w:t>
      </w:r>
      <w:r w:rsidR="003E31E6">
        <w:t>.</w:t>
      </w:r>
    </w:p>
    <w:p w14:paraId="53594980" w14:textId="057D16F8" w:rsidR="00B37E2C" w:rsidRDefault="00071D76" w:rsidP="00B37E2C">
      <w:pPr>
        <w:pStyle w:val="Bullet1stlevel"/>
      </w:pPr>
      <w:r>
        <w:t>D</w:t>
      </w:r>
      <w:r w:rsidR="00B37E2C">
        <w:t>eveloping a new whole-of-government National Mental Health Strategy that aligns the collective efforts of health and non-health sectors</w:t>
      </w:r>
      <w:r w:rsidR="003E31E6">
        <w:t>.</w:t>
      </w:r>
    </w:p>
    <w:p w14:paraId="2365A4B8" w14:textId="4A4794EB" w:rsidR="00CB1714" w:rsidRPr="00CB1714" w:rsidRDefault="00071D76" w:rsidP="00CB1714">
      <w:pPr>
        <w:pStyle w:val="Bullet1stlevel"/>
      </w:pPr>
      <w:r>
        <w:t>S</w:t>
      </w:r>
      <w:r w:rsidR="00B37E2C">
        <w:t>trengthening cooperation between PHNs and Local Hospital Networks by requiring comprehensive joint regional planning and formalised consumer and carer involvement</w:t>
      </w:r>
      <w:r w:rsidR="003E31E6">
        <w:t>.</w:t>
      </w:r>
    </w:p>
    <w:p w14:paraId="494E5B14" w14:textId="3728CB05" w:rsidR="00176758" w:rsidRDefault="00176758" w:rsidP="00176758">
      <w:pPr>
        <w:pStyle w:val="BodyText"/>
      </w:pPr>
      <w:r>
        <w:t>The Commonwe</w:t>
      </w:r>
      <w:r w:rsidR="00A43557">
        <w:t>alth</w:t>
      </w:r>
      <w:r>
        <w:t xml:space="preserve"> Government has </w:t>
      </w:r>
      <w:r w:rsidR="00A43557">
        <w:t>indicated support either in full, or in part for all 21</w:t>
      </w:r>
      <w:r w:rsidR="00A43A60">
        <w:t> </w:t>
      </w:r>
      <w:r w:rsidR="00A43557">
        <w:t xml:space="preserve">recommendations made within the Productivity Commission’s report. </w:t>
      </w:r>
    </w:p>
    <w:p w14:paraId="4256DFD4" w14:textId="229E8534" w:rsidR="004D0B71" w:rsidRDefault="004D0B71" w:rsidP="004D0B71">
      <w:pPr>
        <w:pStyle w:val="Heading4"/>
      </w:pPr>
      <w:r>
        <w:t>Development of the National Agreement on Mental Health and Suicide Prevention</w:t>
      </w:r>
    </w:p>
    <w:p w14:paraId="72920D63" w14:textId="2613A584" w:rsidR="002D7271" w:rsidRPr="002D7271" w:rsidRDefault="005A56AF" w:rsidP="002D7271">
      <w:pPr>
        <w:pStyle w:val="BodyText"/>
      </w:pPr>
      <w:r>
        <w:t xml:space="preserve">Significant work has recently been completed </w:t>
      </w:r>
      <w:r w:rsidR="00B37E2C">
        <w:t>to develop the National Agreement on Mental Health and Suicide Prevention, a joint agreement between the Commonwealth and states and territories</w:t>
      </w:r>
      <w:r>
        <w:t>,</w:t>
      </w:r>
      <w:r w:rsidR="00B5059C">
        <w:t xml:space="preserve"> </w:t>
      </w:r>
      <w:r w:rsidR="00B37E2C">
        <w:t>negotiated through the Health National Cabinet Reform Committee. This agreement is intended to deliver a comprehensive, coordinated, consumer-focused and compassionate mental health and suicide prevention system, for all Australians</w:t>
      </w:r>
      <w:r w:rsidR="00A43557">
        <w:t xml:space="preserve">, and address a number of the Productivity Commission’s specific recommendations. </w:t>
      </w:r>
      <w:r w:rsidR="00DB6D9C" w:rsidRPr="00DB6D9C">
        <w:t xml:space="preserve">In April 2022, the Agreement and bilateral agreements with </w:t>
      </w:r>
      <w:r w:rsidR="00B5059C">
        <w:t>S</w:t>
      </w:r>
      <w:r w:rsidR="00DB6D9C" w:rsidRPr="00DB6D9C">
        <w:t xml:space="preserve">tate and </w:t>
      </w:r>
      <w:r w:rsidR="00B5059C">
        <w:t>T</w:t>
      </w:r>
      <w:r w:rsidR="00DB6D9C" w:rsidRPr="00DB6D9C">
        <w:t xml:space="preserve">erritory </w:t>
      </w:r>
      <w:r w:rsidR="00B5059C">
        <w:t>G</w:t>
      </w:r>
      <w:r w:rsidR="00DB6D9C" w:rsidRPr="00DB6D9C">
        <w:t>overnments were finalised, and implementation is currently being considered.</w:t>
      </w:r>
    </w:p>
    <w:p w14:paraId="7CB6A24B" w14:textId="4140FCB5" w:rsidR="003664FA" w:rsidRPr="00DA2992" w:rsidRDefault="003664FA" w:rsidP="00E867DA">
      <w:pPr>
        <w:pStyle w:val="Heading2"/>
      </w:pPr>
      <w:bookmarkStart w:id="185" w:name="_Toc108173993"/>
      <w:r>
        <w:t>Evaluation conclusion</w:t>
      </w:r>
      <w:bookmarkEnd w:id="185"/>
    </w:p>
    <w:p w14:paraId="59812CA5" w14:textId="77777777" w:rsidR="0054673B" w:rsidRDefault="0054673B" w:rsidP="0054673B">
      <w:pPr>
        <w:pStyle w:val="BodyText"/>
      </w:pPr>
      <w:r>
        <w:t>This evaluation has examined the headspace model across a number of criteria. A range of data and evidence has been analysed to assess the model's alignment to need and the fidelity of the model in practice, including in terms of take-up and reach of service provision. The effectiveness of the headspace model has been assessed against intermediate outcomes, service system outcomes, user experience outcomes and psychosocial outcomes achieved through the model. The economic value of the headspace model has also been assessed, alongside the sustainability of the model going forward.</w:t>
      </w:r>
    </w:p>
    <w:p w14:paraId="4B9A939A" w14:textId="77777777" w:rsidR="0054673B" w:rsidRDefault="0054673B" w:rsidP="0054673B">
      <w:pPr>
        <w:pStyle w:val="BodyText"/>
      </w:pPr>
      <w:r>
        <w:t>Through the range of methods and analyses applied, this evaluation concludes that the headspace model provides a comprehensive and complete set of components to address the mental health needs of young people. The model incorporates components which are designed to prevent mental illness, through mental health literacy, early help seeking and stigma reduction, and to treat mental illness whatever the presenting need. While the model is intended to support young people with mild to moderate, high-prevalence mental health conditions, through the 'no wrong door' approach and as a result of capacity pressures across the mental health service sector which constrain referral pathways, every young person presenting at a headspace service receives support of some kind.</w:t>
      </w:r>
    </w:p>
    <w:p w14:paraId="041D56BD" w14:textId="77777777" w:rsidR="0054673B" w:rsidRDefault="0054673B" w:rsidP="0054673B">
      <w:pPr>
        <w:pStyle w:val="BodyText"/>
      </w:pPr>
      <w:r>
        <w:t>When outcomes are examined, the model achieves mixed results for young people from 'hard to reach' groups, across outcome areas. The model achieves its intended outcomes for the general population of young people across domains, and the cost-effectiveness of direct services provided through the headspace model is on par with established benchmarks on cost-effectiveness ratios. When longer-term benefits are included in the analysis, the headspace model appears to be even more cost-effective, but more data is required to substantiate this.</w:t>
      </w:r>
    </w:p>
    <w:p w14:paraId="74953153" w14:textId="77777777" w:rsidR="0054673B" w:rsidRDefault="0054673B" w:rsidP="0054673B">
      <w:pPr>
        <w:pStyle w:val="BodyText"/>
      </w:pPr>
      <w:r>
        <w:t xml:space="preserve">While the model is associated with positive psychosocial outcomes for young people, the majority do not see a clinically significant change to their outcomes. In general, associated psychosocial outcomes only become comparable to other psychotherapies once six or more sessions have been accessed. </w:t>
      </w:r>
    </w:p>
    <w:p w14:paraId="0AEDE11D" w14:textId="1A9244DA" w:rsidR="00536EDA" w:rsidRDefault="0054673B" w:rsidP="0054673B">
      <w:pPr>
        <w:pStyle w:val="BodyText"/>
      </w:pPr>
      <w:r>
        <w:t>There are opportunities to improve the efficiency and effectiveness of the model, through targeting the key areas of 'hard to reach’ groups, service integration, governance and commissioning and monitoring and evaluation. Pressures and reforms in the broader mental health services sector currently, and will continue to, effect the headspace model. In its role as a national program to support the mental health and wellbeing of young people, there is an opportunity to greater leverage the headspace platform for broader reform in the sector.</w:t>
      </w:r>
    </w:p>
    <w:p w14:paraId="70EF483F" w14:textId="77777777" w:rsidR="003A2021" w:rsidRDefault="007500A7" w:rsidP="00467DF9">
      <w:pPr>
        <w:pStyle w:val="Appendixheading"/>
      </w:pPr>
      <w:bookmarkStart w:id="186" w:name="_Ref97900293"/>
      <w:bookmarkStart w:id="187" w:name="_Toc108173994"/>
      <w:bookmarkStart w:id="188" w:name="_Ref97501430"/>
      <w:r>
        <w:t xml:space="preserve">: </w:t>
      </w:r>
      <w:r w:rsidR="00CF3330">
        <w:t xml:space="preserve">Evaluation </w:t>
      </w:r>
      <w:r w:rsidR="003A2021">
        <w:t>Scope and Method</w:t>
      </w:r>
      <w:bookmarkEnd w:id="186"/>
      <w:bookmarkEnd w:id="187"/>
      <w:r w:rsidR="003A2021">
        <w:t xml:space="preserve"> </w:t>
      </w:r>
    </w:p>
    <w:bookmarkEnd w:id="188"/>
    <w:p w14:paraId="72EE87C9" w14:textId="560A9584" w:rsidR="003A2021" w:rsidRPr="001D6913" w:rsidRDefault="003A2021" w:rsidP="00EC241D">
      <w:pPr>
        <w:pStyle w:val="AppendixHeading2"/>
        <w:rPr>
          <w:lang w:eastAsia="en-AU"/>
        </w:rPr>
      </w:pPr>
      <w:r w:rsidRPr="001D6913">
        <w:rPr>
          <w:lang w:eastAsia="en-AU"/>
        </w:rPr>
        <w:t xml:space="preserve">The evaluation of the </w:t>
      </w:r>
      <w:r>
        <w:rPr>
          <w:lang w:eastAsia="en-AU"/>
        </w:rPr>
        <w:t xml:space="preserve">national </w:t>
      </w:r>
      <w:r w:rsidRPr="001D6913">
        <w:rPr>
          <w:lang w:eastAsia="en-AU"/>
        </w:rPr>
        <w:t>headspace program</w:t>
      </w:r>
    </w:p>
    <w:p w14:paraId="43DC2966" w14:textId="77777777" w:rsidR="003A2021" w:rsidRPr="00C57903" w:rsidRDefault="003A2021" w:rsidP="003675C5">
      <w:pPr>
        <w:pStyle w:val="AppendixHeading3"/>
      </w:pPr>
      <w:r w:rsidRPr="00C57903">
        <w:t>Overview</w:t>
      </w:r>
    </w:p>
    <w:p w14:paraId="79349515" w14:textId="614718A4" w:rsidR="002A2FE7" w:rsidRDefault="002A2FE7" w:rsidP="002A2FE7">
      <w:pPr>
        <w:pStyle w:val="BodyText"/>
      </w:pPr>
      <w:r>
        <w:t xml:space="preserve">KPMG and its research partners, the Social Policy Research Centre at the University of New South Wales, and batyr, </w:t>
      </w:r>
      <w:r w:rsidR="002B5EDF">
        <w:t>were</w:t>
      </w:r>
      <w:r>
        <w:t xml:space="preserve"> commissioned by the Department to evaluate the national headspace program, as delivered through headspace services. This evaluation builds on previous evaluations of headspace and focuses on the time period since the completion of the most recent evaluation conducted for the Commonwealth in 2015.</w:t>
      </w:r>
    </w:p>
    <w:p w14:paraId="702CFFCD" w14:textId="77777777" w:rsidR="003A2021" w:rsidRPr="003877A9" w:rsidRDefault="003A2021" w:rsidP="003A2021">
      <w:pPr>
        <w:pStyle w:val="BodyText"/>
      </w:pPr>
      <w:r w:rsidRPr="003877A9">
        <w:t xml:space="preserve">As headspace </w:t>
      </w:r>
      <w:r>
        <w:t>delivers</w:t>
      </w:r>
      <w:r w:rsidRPr="003877A9">
        <w:t xml:space="preserve"> a range of services and supports for young people and their families, this evaluation </w:t>
      </w:r>
      <w:r>
        <w:t>sought</w:t>
      </w:r>
      <w:r w:rsidRPr="003877A9">
        <w:t xml:space="preserve"> to understand its overall contribution to the objective of</w:t>
      </w:r>
      <w:r>
        <w:t xml:space="preserve"> i</w:t>
      </w:r>
      <w:r w:rsidRPr="003877A9">
        <w:t>mproving mental health and wellbeing for young people</w:t>
      </w:r>
      <w:r>
        <w:t>.</w:t>
      </w:r>
    </w:p>
    <w:p w14:paraId="095E3BD6" w14:textId="77777777" w:rsidR="003A2021" w:rsidRPr="003877A9" w:rsidRDefault="003A2021" w:rsidP="003A2021">
      <w:pPr>
        <w:pStyle w:val="BodyText"/>
      </w:pPr>
      <w:r w:rsidRPr="003877A9">
        <w:t>This evaluation represent</w:t>
      </w:r>
      <w:r>
        <w:t>ed</w:t>
      </w:r>
      <w:r w:rsidRPr="003877A9">
        <w:t xml:space="preserve"> an important opportunity to take stock of what is being delivered at individual </w:t>
      </w:r>
      <w:r>
        <w:t>services</w:t>
      </w:r>
      <w:r w:rsidRPr="003877A9">
        <w:t xml:space="preserve"> and across the headspace network, and how this aligns with the core intent and expectations of the headspace program.</w:t>
      </w:r>
    </w:p>
    <w:p w14:paraId="7F2A24A1" w14:textId="7CF64803" w:rsidR="003A2021" w:rsidRDefault="003A2021" w:rsidP="003A2021">
      <w:pPr>
        <w:pStyle w:val="BodyText"/>
      </w:pPr>
      <w:r w:rsidRPr="00C37696">
        <w:t xml:space="preserve">The scope of this evaluation </w:t>
      </w:r>
      <w:r>
        <w:t>wa</w:t>
      </w:r>
      <w:r w:rsidRPr="00C37696">
        <w:t xml:space="preserve">s focused on </w:t>
      </w:r>
      <w:r w:rsidRPr="00A01B01">
        <w:t>headspace</w:t>
      </w:r>
      <w:r w:rsidRPr="00C37696">
        <w:t xml:space="preserve"> services, as provided in </w:t>
      </w:r>
      <w:r>
        <w:t>individual services</w:t>
      </w:r>
      <w:r w:rsidRPr="00C37696">
        <w:t xml:space="preserve"> around Australia</w:t>
      </w:r>
      <w:r>
        <w:t>, looking at the period from July 2015 to end of June 2020.</w:t>
      </w:r>
      <w:r w:rsidRPr="00C37696">
        <w:t xml:space="preserve"> </w:t>
      </w:r>
      <w:r>
        <w:t xml:space="preserve">Several aspects of the broader program were explicitly out of scope, including the operations and performance of headspace National and </w:t>
      </w:r>
      <w:r w:rsidRPr="00A01B01">
        <w:t>eheadspace</w:t>
      </w:r>
      <w:r>
        <w:t xml:space="preserve">. Other programs were also excluded from this evaluation, including the Individual Placement Support trial, funded by </w:t>
      </w:r>
      <w:r w:rsidR="00E841D5">
        <w:t>DSS</w:t>
      </w:r>
      <w:r>
        <w:t xml:space="preserve">, and the EPYS Program provided at selected </w:t>
      </w:r>
      <w:r w:rsidRPr="00A01B01">
        <w:t>headspace</w:t>
      </w:r>
      <w:r>
        <w:t xml:space="preserve"> services. These initiatives have been the subject of separate evaluations.</w:t>
      </w:r>
    </w:p>
    <w:p w14:paraId="0ECC34EB" w14:textId="0F35A8A2" w:rsidR="003A2021" w:rsidRDefault="003A2021" w:rsidP="003A2021">
      <w:pPr>
        <w:pStyle w:val="BodyText"/>
      </w:pPr>
      <w:r>
        <w:t>It should also be noted that</w:t>
      </w:r>
      <w:r w:rsidR="00432E13">
        <w:t>,</w:t>
      </w:r>
      <w:r>
        <w:t xml:space="preserve"> while the evaluation primarily considered the period from July 2015 to June 2020, there were challenges associated with ensuring all stakeholders relate their views only to this period. Stakeholders, who are descr</w:t>
      </w:r>
      <w:r w:rsidR="008D53C9">
        <w:t>i</w:t>
      </w:r>
      <w:r>
        <w:t xml:space="preserve">bed in more detail in </w:t>
      </w:r>
      <w:r w:rsidR="00E41F63">
        <w:fldChar w:fldCharType="begin" w:fldLock="1"/>
      </w:r>
      <w:r w:rsidR="00E41F63">
        <w:instrText xml:space="preserve"> REF _Ref97900498 \w \h </w:instrText>
      </w:r>
      <w:r w:rsidR="00E41F63">
        <w:fldChar w:fldCharType="separate"/>
      </w:r>
      <w:r w:rsidR="00E41F63">
        <w:t>Appendix B</w:t>
      </w:r>
      <w:r w:rsidR="00E41F63">
        <w:fldChar w:fldCharType="end"/>
      </w:r>
      <w:r>
        <w:t>, were engaged following ethics approval for the evaluation being granted in May 2021 through to December 2021. There may be differences between these views and the data captured through headspace services between July 2015 and Ju</w:t>
      </w:r>
      <w:r w:rsidR="00432E13">
        <w:t>ne</w:t>
      </w:r>
      <w:r>
        <w:t xml:space="preserve"> 2020.</w:t>
      </w:r>
    </w:p>
    <w:p w14:paraId="4B16DBBC" w14:textId="77777777" w:rsidR="003A2021" w:rsidRPr="00086157" w:rsidRDefault="003A2021" w:rsidP="003675C5">
      <w:pPr>
        <w:pStyle w:val="AppendixHeading3"/>
      </w:pPr>
      <w:r>
        <w:t>Current environment impacting the evaluation</w:t>
      </w:r>
    </w:p>
    <w:p w14:paraId="46F89642" w14:textId="189306FA" w:rsidR="003A2021" w:rsidRDefault="003A2021" w:rsidP="003A2021">
      <w:pPr>
        <w:pStyle w:val="BodyText"/>
      </w:pPr>
      <w:r>
        <w:t xml:space="preserve">It is also important to consider the context in which this evaluation was completed. The period between </w:t>
      </w:r>
      <w:r w:rsidRPr="001D6913">
        <w:t>2020</w:t>
      </w:r>
      <w:r>
        <w:t xml:space="preserve"> and </w:t>
      </w:r>
      <w:r w:rsidRPr="001D6913">
        <w:t>2022</w:t>
      </w:r>
      <w:r>
        <w:t xml:space="preserve"> was impacted by a range of factors. Firstly, the black summer bushfires created increased demand for mental health services. </w:t>
      </w:r>
      <w:r w:rsidR="00011F08">
        <w:t>Thereafter</w:t>
      </w:r>
      <w:r>
        <w:t xml:space="preserve">, the COVID-19 pandemic has had significant impacts on service delivery, and </w:t>
      </w:r>
      <w:r w:rsidR="00011F08">
        <w:t xml:space="preserve">an </w:t>
      </w:r>
      <w:r>
        <w:t xml:space="preserve">increased focus on mental health. The evaluation scope was also directly impacted by COVID-19, with the last </w:t>
      </w:r>
      <w:r w:rsidR="00011F08">
        <w:t>four</w:t>
      </w:r>
      <w:r>
        <w:t xml:space="preserve"> months of the evaluation period from March 2020 to June 2020 part of Australia’s first pandemic wave, with lockdowns and restrictions in place. During this period, services</w:t>
      </w:r>
      <w:r w:rsidR="00011F08">
        <w:t>,</w:t>
      </w:r>
      <w:r>
        <w:t xml:space="preserve"> including headspace services, were required to shift service modalities to provide telehealth and virtual services. In addition, the number of </w:t>
      </w:r>
      <w:r w:rsidR="007B2863">
        <w:t>OOS</w:t>
      </w:r>
      <w:r>
        <w:t xml:space="preserve"> delivered by headspace may also have been impacted, with fewer young people able to access services.</w:t>
      </w:r>
    </w:p>
    <w:p w14:paraId="49A94F72" w14:textId="6E7A5AB5" w:rsidR="003A2021" w:rsidRDefault="003A2021" w:rsidP="003006A8">
      <w:pPr>
        <w:pStyle w:val="BodyText"/>
      </w:pPr>
      <w:r w:rsidRPr="001D6913">
        <w:t xml:space="preserve">Since the opening of the first headspace </w:t>
      </w:r>
      <w:r w:rsidR="00127DDC">
        <w:t>service</w:t>
      </w:r>
      <w:r w:rsidRPr="001D6913">
        <w:t xml:space="preserve"> in 2007, there has </w:t>
      </w:r>
      <w:r>
        <w:t xml:space="preserve">also </w:t>
      </w:r>
      <w:r w:rsidRPr="001D6913">
        <w:t>been broader sector reform. Some of the significant recent changes include</w:t>
      </w:r>
      <w:r>
        <w:t>:</w:t>
      </w:r>
    </w:p>
    <w:p w14:paraId="7F59B0B6" w14:textId="48642F92" w:rsidR="003A2021" w:rsidRPr="008904CE" w:rsidRDefault="003A2021" w:rsidP="003A2021">
      <w:pPr>
        <w:pStyle w:val="Bullet1stlevel"/>
      </w:pPr>
      <w:r w:rsidRPr="001D6913">
        <w:rPr>
          <w:lang w:eastAsia="en-AU"/>
        </w:rPr>
        <w:t xml:space="preserve">the </w:t>
      </w:r>
      <w:r w:rsidRPr="008904CE">
        <w:t>establishment of the National Mental Health Commission (2012) and its review of mental health services in 2015</w:t>
      </w:r>
      <w:r w:rsidR="0072044E">
        <w:t>;</w:t>
      </w:r>
    </w:p>
    <w:p w14:paraId="2EDD3054" w14:textId="4681DF7C" w:rsidR="003A2021" w:rsidRPr="008904CE" w:rsidRDefault="003A2021" w:rsidP="003A2021">
      <w:pPr>
        <w:pStyle w:val="Bullet1stlevel"/>
      </w:pPr>
      <w:r w:rsidRPr="008904CE">
        <w:t>the work of Australia’s National Suicide Prevention Adviser</w:t>
      </w:r>
      <w:r w:rsidR="0072044E">
        <w:t>;</w:t>
      </w:r>
    </w:p>
    <w:p w14:paraId="7693C3E1" w14:textId="5EF7594C" w:rsidR="003A2021" w:rsidRPr="008904CE" w:rsidRDefault="003A2021" w:rsidP="003A2021">
      <w:pPr>
        <w:pStyle w:val="Bullet1stlevel"/>
      </w:pPr>
      <w:r w:rsidRPr="008904CE">
        <w:t>the endorsement of the Fifth National Mental Health Plan in 2017, committing all Australian Governments to eight priority areas</w:t>
      </w:r>
      <w:r w:rsidR="0072044E">
        <w:t>;</w:t>
      </w:r>
      <w:r w:rsidR="00CC0438">
        <w:rPr>
          <w:rFonts w:ascii="ZWAdobeF" w:hAnsi="ZWAdobeF" w:cs="ZWAdobeF"/>
          <w:sz w:val="2"/>
          <w:szCs w:val="2"/>
        </w:rPr>
        <w:t>157F</w:t>
      </w:r>
      <w:r w:rsidRPr="00011F08">
        <w:rPr>
          <w:rStyle w:val="FootnoteReference"/>
        </w:rPr>
        <w:footnoteReference w:id="159"/>
      </w:r>
      <w:r w:rsidRPr="008904CE">
        <w:t xml:space="preserve"> </w:t>
      </w:r>
    </w:p>
    <w:p w14:paraId="1DCE85E0" w14:textId="414083D7" w:rsidR="003A2021" w:rsidRPr="008904CE" w:rsidRDefault="003A2021" w:rsidP="003A2021">
      <w:pPr>
        <w:pStyle w:val="Bullet1stlevel"/>
      </w:pPr>
      <w:r w:rsidRPr="008904CE">
        <w:t>the Victorian Royal Commission into Victoria’s Mental Health System (final report delivered in February 2021)</w:t>
      </w:r>
      <w:r w:rsidR="0072044E">
        <w:t>;</w:t>
      </w:r>
    </w:p>
    <w:p w14:paraId="16F2B506" w14:textId="630EA8A5" w:rsidR="003A2021" w:rsidRPr="008904CE" w:rsidRDefault="003A2021" w:rsidP="003A2021">
      <w:pPr>
        <w:pStyle w:val="Bullet1stlevel"/>
      </w:pPr>
      <w:r w:rsidRPr="008904CE">
        <w:t>the Productivity Commission’s review into Mental Health (with the final report publicly released in November 2020)</w:t>
      </w:r>
      <w:r w:rsidR="0072044E">
        <w:t>;</w:t>
      </w:r>
    </w:p>
    <w:p w14:paraId="78176811" w14:textId="5B7F5A2B" w:rsidR="003A2021" w:rsidRDefault="003A2021" w:rsidP="003A2021">
      <w:pPr>
        <w:pStyle w:val="Bullet1stlevel"/>
      </w:pPr>
      <w:r w:rsidRPr="008904CE">
        <w:t>the National Mental</w:t>
      </w:r>
      <w:r>
        <w:rPr>
          <w:lang w:eastAsia="en-AU"/>
        </w:rPr>
        <w:t xml:space="preserve"> Health and Suicide Prevention Plan (released in May 2021)</w:t>
      </w:r>
      <w:r w:rsidR="0072044E">
        <w:rPr>
          <w:lang w:eastAsia="en-AU"/>
        </w:rPr>
        <w:t>; and</w:t>
      </w:r>
    </w:p>
    <w:p w14:paraId="3500398E" w14:textId="77777777" w:rsidR="003A2021" w:rsidRDefault="003A2021" w:rsidP="003A2021">
      <w:pPr>
        <w:pStyle w:val="Bullet1stlevel"/>
      </w:pPr>
      <w:r>
        <w:rPr>
          <w:lang w:eastAsia="en-AU"/>
        </w:rPr>
        <w:t>the continuing negotiation of the National Agreement on Mental Health and Suicide Prevention.</w:t>
      </w:r>
    </w:p>
    <w:p w14:paraId="64ACCD48" w14:textId="77777777" w:rsidR="003A2021" w:rsidRDefault="003A2021" w:rsidP="003A2021">
      <w:pPr>
        <w:pStyle w:val="BodyText"/>
      </w:pPr>
      <w:r w:rsidRPr="001D6913">
        <w:t>These developments in Australia’s mental health landscape are important factors to take into account for this evaluation of headspace. At the same time, th</w:t>
      </w:r>
      <w:r>
        <w:t>is</w:t>
      </w:r>
      <w:r w:rsidRPr="001D6913">
        <w:t xml:space="preserve"> evaluation will help inform policy and investment decisions about the future direction of headspace. Th</w:t>
      </w:r>
      <w:r>
        <w:t>e evaluation outputs will also</w:t>
      </w:r>
      <w:r w:rsidRPr="001D6913">
        <w:t xml:space="preserve"> feed into the reform agenda shaping mental health service delivery in Australia for the next decade and beyond. </w:t>
      </w:r>
    </w:p>
    <w:p w14:paraId="544C350C" w14:textId="77777777" w:rsidR="003A2021" w:rsidRPr="00CA7FE7" w:rsidRDefault="003A2021" w:rsidP="003675C5">
      <w:pPr>
        <w:pStyle w:val="AppendixHeading3"/>
      </w:pPr>
      <w:r>
        <w:t>Evaluation Questions</w:t>
      </w:r>
    </w:p>
    <w:p w14:paraId="0A9BEACC" w14:textId="77777777" w:rsidR="003A2021" w:rsidRDefault="003A2021" w:rsidP="003006A8">
      <w:pPr>
        <w:pStyle w:val="BodyText"/>
      </w:pPr>
      <w:r>
        <w:t>This evaluation is targeting four domains of inquiry:</w:t>
      </w:r>
    </w:p>
    <w:p w14:paraId="1A8B5AFF" w14:textId="3FB30A0C" w:rsidR="003A2021" w:rsidRDefault="008241F3" w:rsidP="00A33A8D">
      <w:pPr>
        <w:pStyle w:val="BodyText"/>
        <w:keepNext/>
        <w:numPr>
          <w:ilvl w:val="0"/>
          <w:numId w:val="9"/>
        </w:numPr>
      </w:pPr>
      <w:r>
        <w:t>u</w:t>
      </w:r>
      <w:r w:rsidR="003A2021">
        <w:t>nderstanding headspace</w:t>
      </w:r>
      <w:r w:rsidR="0072044E">
        <w:t>;</w:t>
      </w:r>
    </w:p>
    <w:p w14:paraId="6F2E95AB" w14:textId="529553D0" w:rsidR="003A2021" w:rsidRDefault="008241F3" w:rsidP="00A33A8D">
      <w:pPr>
        <w:pStyle w:val="BodyText"/>
        <w:keepNext/>
        <w:numPr>
          <w:ilvl w:val="0"/>
          <w:numId w:val="9"/>
        </w:numPr>
      </w:pPr>
      <w:r>
        <w:t>t</w:t>
      </w:r>
      <w:r w:rsidR="003A2021">
        <w:t>he effectiveness of headspace in achieving program outcomes</w:t>
      </w:r>
      <w:r w:rsidR="0072044E">
        <w:t>;</w:t>
      </w:r>
    </w:p>
    <w:p w14:paraId="6930A154" w14:textId="0BE36D57" w:rsidR="003A2021" w:rsidRPr="00E57762" w:rsidRDefault="008241F3" w:rsidP="00A33A8D">
      <w:pPr>
        <w:pStyle w:val="BodyText"/>
        <w:keepNext/>
        <w:numPr>
          <w:ilvl w:val="0"/>
          <w:numId w:val="9"/>
        </w:numPr>
      </w:pPr>
      <w:r>
        <w:t>t</w:t>
      </w:r>
      <w:r w:rsidR="003A2021">
        <w:t>he cost-effectiveness and value of headspace</w:t>
      </w:r>
      <w:r w:rsidR="0072044E">
        <w:t>; and</w:t>
      </w:r>
    </w:p>
    <w:p w14:paraId="09A9F60D" w14:textId="78BD0C06" w:rsidR="003A2021" w:rsidRDefault="008241F3" w:rsidP="00A33A8D">
      <w:pPr>
        <w:pStyle w:val="BodyText"/>
        <w:numPr>
          <w:ilvl w:val="0"/>
          <w:numId w:val="9"/>
        </w:numPr>
      </w:pPr>
      <w:r>
        <w:t>f</w:t>
      </w:r>
      <w:r w:rsidR="003A2021">
        <w:t>actors affecting the future implementation, sustainability, and enhancement of headspace.</w:t>
      </w:r>
    </w:p>
    <w:p w14:paraId="5850FEBA" w14:textId="5229A973" w:rsidR="003A2021" w:rsidRPr="000E1498" w:rsidRDefault="003A2021" w:rsidP="003A2021">
      <w:pPr>
        <w:pStyle w:val="BodyText"/>
      </w:pPr>
      <w:r>
        <w:t xml:space="preserve">For each of these four domains of inquiry, a range of evaluation questions were specified and have been answered through this evaluation. </w:t>
      </w:r>
      <w:r w:rsidR="00E12854">
        <w:t>It should be noted that evaluation question 3.1 – what is the full cost of headspace</w:t>
      </w:r>
      <w:r w:rsidR="007B67BF">
        <w:t xml:space="preserve">, was not able to be answered in full in this report. Data limitations impacting the collection of complete cost information are discussed in Section </w:t>
      </w:r>
      <w:r w:rsidR="007B67BF">
        <w:fldChar w:fldCharType="begin" w:fldLock="1"/>
      </w:r>
      <w:r w:rsidR="007B67BF">
        <w:instrText xml:space="preserve"> REF _Ref102507849 \r \h </w:instrText>
      </w:r>
      <w:r w:rsidR="007B67BF">
        <w:fldChar w:fldCharType="separate"/>
      </w:r>
      <w:r w:rsidR="007B67BF">
        <w:t>A.4.3</w:t>
      </w:r>
      <w:r w:rsidR="007B67BF">
        <w:fldChar w:fldCharType="end"/>
      </w:r>
      <w:r w:rsidR="007B67BF">
        <w:t xml:space="preserve"> below.</w:t>
      </w:r>
      <w:r>
        <w:t xml:space="preserve"> </w:t>
      </w:r>
      <w:r w:rsidRPr="003877A9">
        <w:t xml:space="preserve">These questions fall broadly into three categories of </w:t>
      </w:r>
      <w:r>
        <w:t>evaluation</w:t>
      </w:r>
      <w:r w:rsidRPr="003877A9">
        <w:t xml:space="preserve">, combining to provide important insights to inform policy and funding decisions for decision-makers. </w:t>
      </w:r>
      <w:r>
        <w:t>In line with guidance for evaluating complex health programs</w:t>
      </w:r>
      <w:r w:rsidR="00CC0438">
        <w:rPr>
          <w:rFonts w:ascii="ZWAdobeF" w:hAnsi="ZWAdobeF" w:cs="ZWAdobeF"/>
          <w:sz w:val="2"/>
          <w:szCs w:val="2"/>
        </w:rPr>
        <w:t>158F</w:t>
      </w:r>
      <w:r>
        <w:rPr>
          <w:rStyle w:val="FootnoteReference"/>
        </w:rPr>
        <w:footnoteReference w:id="160"/>
      </w:r>
      <w:r>
        <w:t xml:space="preserve">, these categories include a process evaluation, an economic evaluation and an outcome evaluation using statistical methods </w:t>
      </w:r>
      <w:r w:rsidR="005560C2">
        <w:t>rather than</w:t>
      </w:r>
      <w:r>
        <w:t xml:space="preserve"> an experimental design, which is unfeasible within project timeframes in the absence of pre-existing data linkage arrangements</w:t>
      </w:r>
      <w:r w:rsidRPr="000E1498">
        <w:t>.</w:t>
      </w:r>
    </w:p>
    <w:p w14:paraId="364913A4" w14:textId="0B52B6E3" w:rsidR="003A2021" w:rsidRPr="00E73F03" w:rsidRDefault="003A2021" w:rsidP="003A2021">
      <w:pPr>
        <w:pStyle w:val="BodyText"/>
      </w:pPr>
      <w:r>
        <w:t xml:space="preserve">The key Evaluation Questions are outlined in </w:t>
      </w:r>
      <w:r w:rsidR="00072CB6">
        <w:fldChar w:fldCharType="begin" w:fldLock="1"/>
      </w:r>
      <w:r w:rsidR="00072CB6">
        <w:instrText xml:space="preserve"> REF _Ref97749338 \h </w:instrText>
      </w:r>
      <w:r w:rsidR="00072CB6">
        <w:fldChar w:fldCharType="separate"/>
      </w:r>
      <w:r w:rsidR="002920A7">
        <w:t xml:space="preserve">Table </w:t>
      </w:r>
      <w:r w:rsidR="002920A7">
        <w:rPr>
          <w:noProof/>
        </w:rPr>
        <w:t>27</w:t>
      </w:r>
      <w:r w:rsidR="00072CB6">
        <w:fldChar w:fldCharType="end"/>
      </w:r>
      <w:r>
        <w:t xml:space="preserve"> below:</w:t>
      </w:r>
    </w:p>
    <w:p w14:paraId="2C834DE6" w14:textId="54E983FC" w:rsidR="003A2021" w:rsidRDefault="003A2021" w:rsidP="003A2021">
      <w:pPr>
        <w:pStyle w:val="Caption"/>
      </w:pPr>
      <w:bookmarkStart w:id="189" w:name="_Ref97749338"/>
      <w:bookmarkStart w:id="190" w:name="_Toc108108977"/>
      <w:r>
        <w:t xml:space="preserve">Table </w:t>
      </w:r>
      <w:r>
        <w:fldChar w:fldCharType="begin"/>
      </w:r>
      <w:r>
        <w:instrText>SEQ Table \* ARABIC</w:instrText>
      </w:r>
      <w:r>
        <w:fldChar w:fldCharType="separate"/>
      </w:r>
      <w:r w:rsidR="00CC0438">
        <w:rPr>
          <w:noProof/>
        </w:rPr>
        <w:t>27</w:t>
      </w:r>
      <w:r>
        <w:fldChar w:fldCharType="end"/>
      </w:r>
      <w:bookmarkEnd w:id="189"/>
      <w:r>
        <w:t>: Evaluation Questions</w:t>
      </w:r>
      <w:bookmarkEnd w:id="190"/>
    </w:p>
    <w:tbl>
      <w:tblPr>
        <w:tblStyle w:val="TableGrid"/>
        <w:tblW w:w="48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valuation Questions "/>
        <w:tblDescription w:val="Table 1 has 3 columns. The first column outlines the main domains of enquiry for the evaluation. The second column lists each of the evaluation questions for the domains of enquiry. The Third column provides more detailed evaluation sub questions for each evaluation question."/>
      </w:tblPr>
      <w:tblGrid>
        <w:gridCol w:w="1663"/>
        <w:gridCol w:w="3019"/>
        <w:gridCol w:w="4196"/>
      </w:tblGrid>
      <w:tr w:rsidR="003A2021" w:rsidRPr="001D6913" w14:paraId="58BA15F3" w14:textId="77777777" w:rsidTr="004E0DFF">
        <w:trPr>
          <w:tblHeader/>
        </w:trPr>
        <w:tc>
          <w:tcPr>
            <w:tcW w:w="937" w:type="pct"/>
            <w:tcBorders>
              <w:bottom w:val="single" w:sz="4" w:space="0" w:color="00338D"/>
            </w:tcBorders>
            <w:shd w:val="clear" w:color="auto" w:fill="00338D"/>
          </w:tcPr>
          <w:p w14:paraId="445049CB" w14:textId="77777777" w:rsidR="003A2021" w:rsidRPr="001D6913" w:rsidRDefault="003A2021" w:rsidP="004E0DFF">
            <w:pPr>
              <w:pStyle w:val="Tableheading"/>
            </w:pPr>
            <w:r w:rsidRPr="00250D03">
              <w:t>Domain of Inquiry</w:t>
            </w:r>
          </w:p>
        </w:tc>
        <w:tc>
          <w:tcPr>
            <w:tcW w:w="1700" w:type="pct"/>
            <w:tcBorders>
              <w:bottom w:val="single" w:sz="4" w:space="0" w:color="00338D"/>
            </w:tcBorders>
            <w:shd w:val="clear" w:color="auto" w:fill="00338D"/>
          </w:tcPr>
          <w:p w14:paraId="572BD766" w14:textId="77777777" w:rsidR="003A2021" w:rsidRPr="001D6913" w:rsidRDefault="003A2021" w:rsidP="004E0DFF">
            <w:pPr>
              <w:pStyle w:val="Tableheading"/>
            </w:pPr>
            <w:r w:rsidRPr="00250D03">
              <w:t>Evaluation Question</w:t>
            </w:r>
          </w:p>
        </w:tc>
        <w:tc>
          <w:tcPr>
            <w:tcW w:w="2363" w:type="pct"/>
            <w:tcBorders>
              <w:bottom w:val="single" w:sz="4" w:space="0" w:color="00338D"/>
            </w:tcBorders>
            <w:shd w:val="clear" w:color="auto" w:fill="00338D"/>
          </w:tcPr>
          <w:p w14:paraId="47F3380D" w14:textId="77777777" w:rsidR="003A2021" w:rsidRPr="001D6913" w:rsidRDefault="003A2021" w:rsidP="004E0DFF">
            <w:pPr>
              <w:pStyle w:val="Tableheading"/>
            </w:pPr>
            <w:r w:rsidRPr="00250D03">
              <w:t>Evaluation sub-questions</w:t>
            </w:r>
          </w:p>
        </w:tc>
      </w:tr>
      <w:tr w:rsidR="003A2021" w:rsidRPr="001D6913" w14:paraId="184FDC99" w14:textId="77777777" w:rsidTr="004E0DFF">
        <w:tc>
          <w:tcPr>
            <w:tcW w:w="937" w:type="pct"/>
            <w:vMerge w:val="restart"/>
            <w:tcBorders>
              <w:top w:val="single" w:sz="4" w:space="0" w:color="00338D"/>
            </w:tcBorders>
          </w:tcPr>
          <w:p w14:paraId="75E8F333" w14:textId="77777777" w:rsidR="003A2021" w:rsidRPr="001D6913" w:rsidRDefault="003A2021" w:rsidP="004E0DFF">
            <w:pPr>
              <w:pStyle w:val="Tabletext"/>
            </w:pPr>
            <w:r w:rsidRPr="00FB66B8">
              <w:t>Understanding headspace</w:t>
            </w:r>
          </w:p>
        </w:tc>
        <w:tc>
          <w:tcPr>
            <w:tcW w:w="1700" w:type="pct"/>
            <w:tcBorders>
              <w:top w:val="single" w:sz="4" w:space="0" w:color="00338D"/>
              <w:bottom w:val="single" w:sz="4" w:space="0" w:color="00338D"/>
            </w:tcBorders>
          </w:tcPr>
          <w:p w14:paraId="04C6E943" w14:textId="77777777" w:rsidR="003A2021" w:rsidRPr="001D6913" w:rsidRDefault="003A2021" w:rsidP="004E0DFF">
            <w:pPr>
              <w:pStyle w:val="Tabletext"/>
            </w:pPr>
            <w:r w:rsidRPr="007545E7">
              <w:t>1.1. What is being provided at headspace?</w:t>
            </w:r>
          </w:p>
        </w:tc>
        <w:tc>
          <w:tcPr>
            <w:tcW w:w="2363" w:type="pct"/>
            <w:tcBorders>
              <w:top w:val="single" w:sz="4" w:space="0" w:color="00338D"/>
              <w:bottom w:val="single" w:sz="4" w:space="0" w:color="00338D"/>
            </w:tcBorders>
          </w:tcPr>
          <w:p w14:paraId="5DEF5B06" w14:textId="77777777" w:rsidR="003A2021" w:rsidRDefault="003A2021" w:rsidP="004E0DFF">
            <w:pPr>
              <w:pStyle w:val="Tabletext"/>
            </w:pPr>
            <w:r w:rsidRPr="007545E7">
              <w:t>a) What is currently available?</w:t>
            </w:r>
          </w:p>
          <w:p w14:paraId="4283CB0C" w14:textId="77777777" w:rsidR="003A2021" w:rsidRPr="002F4766" w:rsidRDefault="003A2021" w:rsidP="004E0DFF">
            <w:pPr>
              <w:pStyle w:val="Tabletext"/>
            </w:pPr>
            <w:r>
              <w:t xml:space="preserve">b) </w:t>
            </w:r>
            <w:r w:rsidRPr="002F4766">
              <w:t>How has this changed over the last five years?</w:t>
            </w:r>
          </w:p>
          <w:p w14:paraId="55116B57" w14:textId="77777777" w:rsidR="003A2021" w:rsidRPr="001D6913" w:rsidRDefault="003A2021" w:rsidP="004E0DFF">
            <w:pPr>
              <w:pStyle w:val="Tabletext"/>
            </w:pPr>
            <w:r>
              <w:t xml:space="preserve">c) </w:t>
            </w:r>
            <w:r w:rsidRPr="002F4766">
              <w:t>How does this align with stakeholder expectations and the objectives of headspace?</w:t>
            </w:r>
          </w:p>
        </w:tc>
      </w:tr>
      <w:tr w:rsidR="003A2021" w:rsidRPr="001D6913" w14:paraId="7064052C" w14:textId="77777777" w:rsidTr="004E0DFF">
        <w:tc>
          <w:tcPr>
            <w:tcW w:w="937" w:type="pct"/>
            <w:vMerge/>
            <w:tcBorders>
              <w:bottom w:val="single" w:sz="4" w:space="0" w:color="00338D"/>
            </w:tcBorders>
          </w:tcPr>
          <w:p w14:paraId="4ACE93F3" w14:textId="77777777" w:rsidR="003A2021" w:rsidRPr="001D6913" w:rsidRDefault="003A2021" w:rsidP="004E0DFF">
            <w:pPr>
              <w:pStyle w:val="BodyText"/>
            </w:pPr>
          </w:p>
        </w:tc>
        <w:tc>
          <w:tcPr>
            <w:tcW w:w="1700" w:type="pct"/>
            <w:tcBorders>
              <w:top w:val="single" w:sz="4" w:space="0" w:color="00338D"/>
              <w:bottom w:val="single" w:sz="4" w:space="0" w:color="00338D"/>
            </w:tcBorders>
          </w:tcPr>
          <w:p w14:paraId="720EBE38" w14:textId="77777777" w:rsidR="003A2021" w:rsidRPr="001D6913" w:rsidRDefault="003A2021" w:rsidP="004E0DFF">
            <w:pPr>
              <w:pStyle w:val="Tabletext"/>
            </w:pPr>
            <w:r w:rsidRPr="002F4766">
              <w:t>1.2. What does ‘success’ look like for headspace?</w:t>
            </w:r>
          </w:p>
        </w:tc>
        <w:tc>
          <w:tcPr>
            <w:tcW w:w="2363" w:type="pct"/>
            <w:tcBorders>
              <w:top w:val="single" w:sz="4" w:space="0" w:color="00338D"/>
              <w:bottom w:val="single" w:sz="4" w:space="0" w:color="00338D"/>
            </w:tcBorders>
          </w:tcPr>
          <w:p w14:paraId="3AA46E98" w14:textId="77777777" w:rsidR="003A2021" w:rsidRPr="002F4766" w:rsidRDefault="003A2021" w:rsidP="004E0DFF">
            <w:pPr>
              <w:pStyle w:val="Tabletext"/>
            </w:pPr>
            <w:r>
              <w:t xml:space="preserve">a) </w:t>
            </w:r>
            <w:r w:rsidRPr="002F4766">
              <w:t>What would be a ‘positive outcome’ for a young person utilising headspace services?</w:t>
            </w:r>
          </w:p>
          <w:p w14:paraId="5133879F" w14:textId="77777777" w:rsidR="003A2021" w:rsidRPr="002F4766" w:rsidRDefault="003A2021" w:rsidP="004E0DFF">
            <w:pPr>
              <w:pStyle w:val="Tabletext"/>
            </w:pPr>
            <w:r>
              <w:t xml:space="preserve">b) </w:t>
            </w:r>
            <w:r w:rsidRPr="002F4766">
              <w:t xml:space="preserve">What measures would show success? </w:t>
            </w:r>
          </w:p>
          <w:p w14:paraId="40E6C6C3" w14:textId="77777777" w:rsidR="003A2021" w:rsidRPr="001D6913" w:rsidRDefault="003A2021" w:rsidP="004E0DFF">
            <w:pPr>
              <w:pStyle w:val="Tabletext"/>
            </w:pPr>
            <w:r>
              <w:t xml:space="preserve">c) </w:t>
            </w:r>
            <w:r w:rsidRPr="002F4766">
              <w:t>How does this align with current measurement and reporting of performance of headspace?</w:t>
            </w:r>
          </w:p>
        </w:tc>
      </w:tr>
      <w:tr w:rsidR="003A2021" w:rsidRPr="001D6913" w14:paraId="7D44ACE1" w14:textId="77777777" w:rsidTr="004E0DFF">
        <w:tc>
          <w:tcPr>
            <w:tcW w:w="937" w:type="pct"/>
            <w:vMerge w:val="restart"/>
            <w:tcBorders>
              <w:top w:val="single" w:sz="4" w:space="0" w:color="00338D"/>
            </w:tcBorders>
          </w:tcPr>
          <w:p w14:paraId="48275D20" w14:textId="77777777" w:rsidR="003A2021" w:rsidRPr="001D6913" w:rsidRDefault="003A2021" w:rsidP="004E0DFF">
            <w:pPr>
              <w:pStyle w:val="Tabletext"/>
            </w:pPr>
            <w:r w:rsidRPr="00B36EEA">
              <w:t>Effectiveness of headspace in achieving program outcomes</w:t>
            </w:r>
          </w:p>
        </w:tc>
        <w:tc>
          <w:tcPr>
            <w:tcW w:w="1700" w:type="pct"/>
            <w:tcBorders>
              <w:top w:val="single" w:sz="4" w:space="0" w:color="00338D"/>
              <w:bottom w:val="single" w:sz="4" w:space="0" w:color="00338D"/>
            </w:tcBorders>
          </w:tcPr>
          <w:p w14:paraId="292C5D15" w14:textId="0D103E65" w:rsidR="003A2021" w:rsidRPr="001D6913" w:rsidRDefault="003A2021" w:rsidP="004E0DFF">
            <w:pPr>
              <w:pStyle w:val="Tabletext"/>
            </w:pPr>
            <w:r w:rsidRPr="002F4766">
              <w:t xml:space="preserve">2.1. How effective is headspace in increasing mental health literacy, early help seeking and access to required services (generally and for </w:t>
            </w:r>
            <w:r w:rsidR="00BD29DF">
              <w:t>‘</w:t>
            </w:r>
            <w:r w:rsidRPr="002F4766">
              <w:t xml:space="preserve">hard to </w:t>
            </w:r>
            <w:r w:rsidR="00BD29DF">
              <w:t>reach’</w:t>
            </w:r>
            <w:r w:rsidRPr="002F4766">
              <w:t xml:space="preserve"> groups, including those who are at greater risk and less likely to seek help)?</w:t>
            </w:r>
          </w:p>
        </w:tc>
        <w:tc>
          <w:tcPr>
            <w:tcW w:w="2363" w:type="pct"/>
            <w:tcBorders>
              <w:top w:val="single" w:sz="4" w:space="0" w:color="00338D"/>
              <w:bottom w:val="single" w:sz="4" w:space="0" w:color="00338D"/>
            </w:tcBorders>
          </w:tcPr>
          <w:p w14:paraId="25FBBAE8" w14:textId="77777777" w:rsidR="003A2021" w:rsidRDefault="003A2021" w:rsidP="004E0DFF">
            <w:pPr>
              <w:pStyle w:val="Tabletext"/>
            </w:pPr>
            <w:r>
              <w:t>a) How well does headspace advocate for and promote youth mental health and wellbeing in their communities?</w:t>
            </w:r>
          </w:p>
          <w:p w14:paraId="453E2CAC" w14:textId="63715D56" w:rsidR="003A2021" w:rsidRPr="001D6913" w:rsidRDefault="003A2021" w:rsidP="004E0DFF">
            <w:pPr>
              <w:pStyle w:val="Tabletext"/>
            </w:pPr>
            <w:r>
              <w:t>b) To what extent has headspace reduced stigma associated with mental illness and help</w:t>
            </w:r>
            <w:r w:rsidR="00BD29DF">
              <w:t xml:space="preserve"> </w:t>
            </w:r>
            <w:r>
              <w:t>seeking for young people, their families and friends, and the community?</w:t>
            </w:r>
          </w:p>
        </w:tc>
      </w:tr>
      <w:tr w:rsidR="003A2021" w:rsidRPr="001D6913" w14:paraId="4CB0FA8F" w14:textId="77777777" w:rsidTr="004E0DFF">
        <w:tc>
          <w:tcPr>
            <w:tcW w:w="937" w:type="pct"/>
            <w:vMerge/>
          </w:tcPr>
          <w:p w14:paraId="4EA9313E" w14:textId="77777777" w:rsidR="003A2021" w:rsidRPr="001D6913" w:rsidRDefault="003A2021" w:rsidP="004E0DFF">
            <w:pPr>
              <w:pStyle w:val="Tabletext"/>
            </w:pPr>
          </w:p>
        </w:tc>
        <w:tc>
          <w:tcPr>
            <w:tcW w:w="1700" w:type="pct"/>
            <w:tcBorders>
              <w:top w:val="single" w:sz="4" w:space="0" w:color="00338D"/>
              <w:bottom w:val="single" w:sz="4" w:space="0" w:color="00338D"/>
            </w:tcBorders>
          </w:tcPr>
          <w:p w14:paraId="4BD2FAF4" w14:textId="77777777" w:rsidR="003A2021" w:rsidRPr="001D6913" w:rsidRDefault="003A2021" w:rsidP="004E0DFF">
            <w:pPr>
              <w:pStyle w:val="Tabletext"/>
            </w:pPr>
            <w:r w:rsidRPr="002F4766">
              <w:t>2.2. How effective is headspace in improving pathways to care for young people through service integration and coordination?</w:t>
            </w:r>
          </w:p>
        </w:tc>
        <w:tc>
          <w:tcPr>
            <w:tcW w:w="2363" w:type="pct"/>
            <w:tcBorders>
              <w:top w:val="single" w:sz="4" w:space="0" w:color="00338D"/>
              <w:bottom w:val="single" w:sz="4" w:space="0" w:color="00338D"/>
            </w:tcBorders>
          </w:tcPr>
          <w:p w14:paraId="77F23DE6" w14:textId="77777777" w:rsidR="003A2021" w:rsidRDefault="003A2021" w:rsidP="004E0DFF">
            <w:pPr>
              <w:pStyle w:val="Tabletext"/>
            </w:pPr>
            <w:r>
              <w:t>a) To what extent does headspace provide an appropriate service approach for young people with mild-moderate high-prevalence conditions?</w:t>
            </w:r>
          </w:p>
          <w:p w14:paraId="233DA9E6" w14:textId="77777777" w:rsidR="003A2021" w:rsidRDefault="003A2021" w:rsidP="004E0DFF">
            <w:pPr>
              <w:pStyle w:val="Tabletext"/>
            </w:pPr>
            <w:r>
              <w:t>b) To what extent is headspace providing a localised service offering, and what are the barriers and enablers to this?</w:t>
            </w:r>
          </w:p>
          <w:p w14:paraId="0FABB473" w14:textId="77777777" w:rsidR="003A2021" w:rsidRDefault="003A2021" w:rsidP="004E0DFF">
            <w:pPr>
              <w:pStyle w:val="Tabletext"/>
            </w:pPr>
            <w:r>
              <w:t>c) What other contributions does headspace make to local communities?</w:t>
            </w:r>
          </w:p>
          <w:p w14:paraId="493655BA" w14:textId="610D9EAE" w:rsidR="003A2021" w:rsidRDefault="003A2021" w:rsidP="004E0DFF">
            <w:pPr>
              <w:pStyle w:val="Tabletext"/>
            </w:pPr>
            <w:r>
              <w:t>d) To what extent does a ‘</w:t>
            </w:r>
            <w:r w:rsidR="002B4BA9">
              <w:t>no wrong door</w:t>
            </w:r>
            <w:r>
              <w:t>’ approach assist headspace to meet its objectives?</w:t>
            </w:r>
          </w:p>
          <w:p w14:paraId="44839204" w14:textId="77777777" w:rsidR="003A2021" w:rsidRDefault="003A2021" w:rsidP="004E0DFF">
            <w:pPr>
              <w:pStyle w:val="Tabletext"/>
            </w:pPr>
            <w:r>
              <w:t>e) What is the level of support for headspace from other primary care and mental health service providers?</w:t>
            </w:r>
          </w:p>
          <w:p w14:paraId="06858E4E" w14:textId="77777777" w:rsidR="003A2021" w:rsidRPr="001D6913" w:rsidRDefault="003A2021" w:rsidP="004E0DFF">
            <w:pPr>
              <w:pStyle w:val="Tabletext"/>
            </w:pPr>
            <w:r>
              <w:t>f) To what extent does headspace assist young people who do not meet the criteria for headspace services to access alternative pathways of care?</w:t>
            </w:r>
          </w:p>
        </w:tc>
      </w:tr>
      <w:tr w:rsidR="003A2021" w:rsidRPr="001D6913" w14:paraId="6EC13D1A" w14:textId="77777777" w:rsidTr="004E0DFF">
        <w:tc>
          <w:tcPr>
            <w:tcW w:w="937" w:type="pct"/>
            <w:vMerge/>
          </w:tcPr>
          <w:p w14:paraId="3C8930F1" w14:textId="77777777" w:rsidR="003A2021" w:rsidRPr="001D6913" w:rsidRDefault="003A2021" w:rsidP="004E0DFF">
            <w:pPr>
              <w:pStyle w:val="Tabletext"/>
            </w:pPr>
          </w:p>
        </w:tc>
        <w:tc>
          <w:tcPr>
            <w:tcW w:w="1700" w:type="pct"/>
            <w:tcBorders>
              <w:top w:val="single" w:sz="4" w:space="0" w:color="00338D"/>
              <w:bottom w:val="single" w:sz="4" w:space="0" w:color="00338D"/>
            </w:tcBorders>
          </w:tcPr>
          <w:p w14:paraId="76276417" w14:textId="77777777" w:rsidR="003A2021" w:rsidRPr="001D6913" w:rsidRDefault="003A2021" w:rsidP="004E0DFF">
            <w:pPr>
              <w:pStyle w:val="Tabletext"/>
            </w:pPr>
            <w:r w:rsidRPr="00B710E0">
              <w:t>2.3. How effective is headspace in ensuring young people can access the help they need in an appropriate, accessible and youth friendly way?</w:t>
            </w:r>
          </w:p>
        </w:tc>
        <w:tc>
          <w:tcPr>
            <w:tcW w:w="2363" w:type="pct"/>
            <w:tcBorders>
              <w:top w:val="single" w:sz="4" w:space="0" w:color="00338D"/>
              <w:bottom w:val="single" w:sz="4" w:space="0" w:color="00338D"/>
            </w:tcBorders>
          </w:tcPr>
          <w:p w14:paraId="6037BEB0" w14:textId="77777777" w:rsidR="003A2021" w:rsidRDefault="003A2021" w:rsidP="004E0DFF">
            <w:pPr>
              <w:pStyle w:val="Tabletext"/>
            </w:pPr>
            <w:r>
              <w:t>a) To what extent does headspace provide a culturally appropriate and inclusive service for young people and their friends and families, including for vulnerable and diverse population groups and different age groups?</w:t>
            </w:r>
          </w:p>
          <w:p w14:paraId="559B5B59" w14:textId="77777777" w:rsidR="003A2021" w:rsidRDefault="003A2021" w:rsidP="004E0DFF">
            <w:pPr>
              <w:pStyle w:val="Tabletext"/>
            </w:pPr>
            <w:r>
              <w:t>b) To what extent does headspace enable young people and their families to access support where, when, and how they want it, and what are the barriers and enablers to this?</w:t>
            </w:r>
          </w:p>
          <w:p w14:paraId="440C575F" w14:textId="77777777" w:rsidR="003A2021" w:rsidRDefault="003A2021" w:rsidP="004E0DFF">
            <w:pPr>
              <w:pStyle w:val="Tabletext"/>
            </w:pPr>
            <w:r>
              <w:t>c) How is the establishment of alternative service delivery models (e.g., satellites, outposts) assisting headspace to meet its program outcomes?</w:t>
            </w:r>
          </w:p>
          <w:p w14:paraId="2880C2E3" w14:textId="77777777" w:rsidR="003A2021" w:rsidRPr="001D6913" w:rsidRDefault="003A2021" w:rsidP="004E0DFF">
            <w:pPr>
              <w:pStyle w:val="Tabletext"/>
            </w:pPr>
            <w:r>
              <w:t>d) To what extent do young people participate in the design and delivery of headspace, and how does this influence young people and their families’ experience of headspace?</w:t>
            </w:r>
          </w:p>
        </w:tc>
      </w:tr>
      <w:tr w:rsidR="003A2021" w:rsidRPr="001D6913" w14:paraId="18388DA1" w14:textId="77777777" w:rsidTr="004E0DFF">
        <w:tc>
          <w:tcPr>
            <w:tcW w:w="937" w:type="pct"/>
            <w:vMerge/>
            <w:tcBorders>
              <w:bottom w:val="single" w:sz="4" w:space="0" w:color="00338D"/>
            </w:tcBorders>
          </w:tcPr>
          <w:p w14:paraId="065208F5" w14:textId="77777777" w:rsidR="003A2021" w:rsidRPr="001D6913" w:rsidRDefault="003A2021" w:rsidP="004E0DFF">
            <w:pPr>
              <w:pStyle w:val="Tabletext"/>
            </w:pPr>
          </w:p>
        </w:tc>
        <w:tc>
          <w:tcPr>
            <w:tcW w:w="1700" w:type="pct"/>
            <w:tcBorders>
              <w:top w:val="single" w:sz="4" w:space="0" w:color="00338D"/>
              <w:bottom w:val="single" w:sz="4" w:space="0" w:color="00338D"/>
            </w:tcBorders>
          </w:tcPr>
          <w:p w14:paraId="142E51E2" w14:textId="77777777" w:rsidR="003A2021" w:rsidRPr="001D6913" w:rsidRDefault="003A2021" w:rsidP="004E0DFF">
            <w:pPr>
              <w:pStyle w:val="Tabletext"/>
            </w:pPr>
            <w:r w:rsidRPr="00B710E0">
              <w:t>2.4. How effective is headspace in improving mental health and wellbeing outcomes, including physical health, social and economic participation (i.e., education or employment) and quality of life?</w:t>
            </w:r>
          </w:p>
        </w:tc>
        <w:tc>
          <w:tcPr>
            <w:tcW w:w="2363" w:type="pct"/>
            <w:tcBorders>
              <w:top w:val="single" w:sz="4" w:space="0" w:color="00338D"/>
              <w:bottom w:val="single" w:sz="4" w:space="0" w:color="00338D"/>
            </w:tcBorders>
          </w:tcPr>
          <w:p w14:paraId="50080B64" w14:textId="77777777" w:rsidR="003A2021" w:rsidRDefault="003A2021" w:rsidP="004E0DFF">
            <w:pPr>
              <w:pStyle w:val="Tabletext"/>
            </w:pPr>
            <w:r>
              <w:t xml:space="preserve">a) To what extent do young people accessing headspace achieve improvements in mental health, wellbeing, social and economic participation, and life satisfaction? </w:t>
            </w:r>
          </w:p>
          <w:p w14:paraId="5FA9CF52" w14:textId="77777777" w:rsidR="003A2021" w:rsidRDefault="003A2021" w:rsidP="004E0DFF">
            <w:pPr>
              <w:pStyle w:val="Tabletext"/>
            </w:pPr>
            <w:r>
              <w:t xml:space="preserve">b) To what extent are outcomes sustained over time? </w:t>
            </w:r>
          </w:p>
          <w:p w14:paraId="10836E62" w14:textId="77777777" w:rsidR="003A2021" w:rsidRDefault="003A2021" w:rsidP="004E0DFF">
            <w:pPr>
              <w:pStyle w:val="Tabletext"/>
            </w:pPr>
            <w:r>
              <w:t xml:space="preserve">c) What factors are associated with positive outcomes, and how do they vary across population groups, presenting issues and amount and type of services received? </w:t>
            </w:r>
          </w:p>
          <w:p w14:paraId="1D2E672B" w14:textId="77777777" w:rsidR="003A2021" w:rsidRPr="001D6913" w:rsidRDefault="003A2021" w:rsidP="004E0DFF">
            <w:pPr>
              <w:pStyle w:val="Tabletext"/>
            </w:pPr>
            <w:r>
              <w:t>d) To what extent does a positive regard for headspace relate to improved outcomes for young people?</w:t>
            </w:r>
          </w:p>
        </w:tc>
      </w:tr>
      <w:tr w:rsidR="003A2021" w:rsidRPr="001D6913" w14:paraId="485B183D" w14:textId="77777777" w:rsidTr="004E0DFF">
        <w:tc>
          <w:tcPr>
            <w:tcW w:w="937" w:type="pct"/>
            <w:vMerge w:val="restart"/>
            <w:tcBorders>
              <w:top w:val="single" w:sz="4" w:space="0" w:color="00338D"/>
            </w:tcBorders>
          </w:tcPr>
          <w:p w14:paraId="4C9E0505" w14:textId="77777777" w:rsidR="003A2021" w:rsidRPr="001D6913" w:rsidRDefault="003A2021" w:rsidP="004E0DFF">
            <w:pPr>
              <w:pStyle w:val="Tabletext"/>
            </w:pPr>
            <w:r w:rsidRPr="005246A9">
              <w:t>Cost-effectiveness and value of headspace</w:t>
            </w:r>
          </w:p>
        </w:tc>
        <w:tc>
          <w:tcPr>
            <w:tcW w:w="1700" w:type="pct"/>
            <w:tcBorders>
              <w:top w:val="single" w:sz="4" w:space="0" w:color="00338D"/>
              <w:bottom w:val="single" w:sz="4" w:space="0" w:color="00338D"/>
            </w:tcBorders>
          </w:tcPr>
          <w:p w14:paraId="65337F1C" w14:textId="77777777" w:rsidR="003A2021" w:rsidRPr="001D6913" w:rsidRDefault="003A2021" w:rsidP="004E0DFF">
            <w:pPr>
              <w:pStyle w:val="Tabletext"/>
            </w:pPr>
            <w:r w:rsidRPr="004B0B98">
              <w:t>3.1. What is the full cost of headspace?</w:t>
            </w:r>
          </w:p>
        </w:tc>
        <w:tc>
          <w:tcPr>
            <w:tcW w:w="2363" w:type="pct"/>
            <w:tcBorders>
              <w:top w:val="single" w:sz="4" w:space="0" w:color="00338D"/>
              <w:bottom w:val="single" w:sz="4" w:space="0" w:color="00338D"/>
            </w:tcBorders>
          </w:tcPr>
          <w:p w14:paraId="03A03D67" w14:textId="77777777" w:rsidR="003A2021" w:rsidRDefault="003A2021" w:rsidP="004E0DFF">
            <w:pPr>
              <w:pStyle w:val="Tabletext"/>
            </w:pPr>
            <w:r>
              <w:t xml:space="preserve">a) What financial and in-kind contributions support headspace and how does this vary between services (services types and locations)? </w:t>
            </w:r>
          </w:p>
          <w:p w14:paraId="35603EEF" w14:textId="77777777" w:rsidR="003A2021" w:rsidRPr="001D6913" w:rsidRDefault="003A2021" w:rsidP="004E0DFF">
            <w:pPr>
              <w:pStyle w:val="Tabletext"/>
            </w:pPr>
            <w:r>
              <w:t>b) What are the out-of-pocket costs for young people and how does this vary between services (service types and locations)?</w:t>
            </w:r>
          </w:p>
        </w:tc>
      </w:tr>
      <w:tr w:rsidR="003A2021" w:rsidRPr="001D6913" w14:paraId="4CC92D32" w14:textId="77777777" w:rsidTr="004E0DFF">
        <w:tc>
          <w:tcPr>
            <w:tcW w:w="937" w:type="pct"/>
            <w:vMerge/>
            <w:tcBorders>
              <w:bottom w:val="single" w:sz="4" w:space="0" w:color="00338D"/>
            </w:tcBorders>
          </w:tcPr>
          <w:p w14:paraId="69BDA596" w14:textId="77777777" w:rsidR="003A2021" w:rsidRPr="001D6913" w:rsidRDefault="003A2021" w:rsidP="004E0DFF">
            <w:pPr>
              <w:pStyle w:val="Tabletext"/>
            </w:pPr>
          </w:p>
        </w:tc>
        <w:tc>
          <w:tcPr>
            <w:tcW w:w="1700" w:type="pct"/>
            <w:tcBorders>
              <w:top w:val="single" w:sz="4" w:space="0" w:color="00338D"/>
              <w:bottom w:val="single" w:sz="4" w:space="0" w:color="00338D"/>
            </w:tcBorders>
          </w:tcPr>
          <w:p w14:paraId="2B866BFF" w14:textId="585B5473" w:rsidR="003A2021" w:rsidRPr="001D6913" w:rsidRDefault="003A2021" w:rsidP="004E0DFF">
            <w:pPr>
              <w:pStyle w:val="Tabletext"/>
            </w:pPr>
            <w:r w:rsidRPr="004B0B98">
              <w:t>3.2 What is the overall cost-effectiveness of headspace?</w:t>
            </w:r>
          </w:p>
        </w:tc>
        <w:tc>
          <w:tcPr>
            <w:tcW w:w="2363" w:type="pct"/>
            <w:tcBorders>
              <w:top w:val="single" w:sz="4" w:space="0" w:color="00338D"/>
              <w:bottom w:val="single" w:sz="4" w:space="0" w:color="00338D"/>
            </w:tcBorders>
          </w:tcPr>
          <w:p w14:paraId="5EE9DCD1" w14:textId="77777777" w:rsidR="003A2021" w:rsidRPr="001D6913" w:rsidRDefault="003A2021" w:rsidP="004E0DFF">
            <w:pPr>
              <w:pStyle w:val="Tabletext"/>
            </w:pPr>
            <w:r>
              <w:t>a) How does this vary between services (service types and locations)?</w:t>
            </w:r>
          </w:p>
        </w:tc>
      </w:tr>
      <w:tr w:rsidR="003A2021" w:rsidRPr="001D6913" w14:paraId="1B7FB0BE" w14:textId="77777777" w:rsidTr="004E0DFF">
        <w:tc>
          <w:tcPr>
            <w:tcW w:w="937" w:type="pct"/>
            <w:tcBorders>
              <w:top w:val="single" w:sz="4" w:space="0" w:color="00338D"/>
              <w:bottom w:val="single" w:sz="4" w:space="0" w:color="00338D"/>
            </w:tcBorders>
          </w:tcPr>
          <w:p w14:paraId="5CD7A6E3" w14:textId="77777777" w:rsidR="003A2021" w:rsidRPr="001D6913" w:rsidRDefault="003A2021" w:rsidP="004E0DFF">
            <w:pPr>
              <w:pStyle w:val="Tabletext"/>
            </w:pPr>
            <w:r w:rsidRPr="00A02A8F">
              <w:t>Factors affecting the future implementation, sustainability, and enhancement of headspace</w:t>
            </w:r>
          </w:p>
        </w:tc>
        <w:tc>
          <w:tcPr>
            <w:tcW w:w="1700" w:type="pct"/>
            <w:tcBorders>
              <w:top w:val="single" w:sz="4" w:space="0" w:color="00338D"/>
              <w:bottom w:val="single" w:sz="4" w:space="0" w:color="00338D"/>
            </w:tcBorders>
          </w:tcPr>
          <w:p w14:paraId="582A367E" w14:textId="77777777" w:rsidR="003A2021" w:rsidRPr="001D6913" w:rsidRDefault="003A2021" w:rsidP="004E0DFF">
            <w:pPr>
              <w:pStyle w:val="Tabletext"/>
            </w:pPr>
            <w:r w:rsidRPr="004B0B98">
              <w:t>4.1. Are there any changes required to the design, implementation, and funding arrangements of headspace to enable it to meet its objectives?</w:t>
            </w:r>
          </w:p>
        </w:tc>
        <w:tc>
          <w:tcPr>
            <w:tcW w:w="2363" w:type="pct"/>
            <w:tcBorders>
              <w:top w:val="single" w:sz="4" w:space="0" w:color="00338D"/>
              <w:bottom w:val="single" w:sz="4" w:space="0" w:color="00338D"/>
            </w:tcBorders>
          </w:tcPr>
          <w:p w14:paraId="66796C6B" w14:textId="77777777" w:rsidR="003A2021" w:rsidRDefault="003A2021" w:rsidP="004E0DFF">
            <w:pPr>
              <w:pStyle w:val="Tabletext"/>
            </w:pPr>
            <w:r>
              <w:t>a) What are the barriers and enablers to headspace meeting its objectives?</w:t>
            </w:r>
          </w:p>
          <w:p w14:paraId="5B412D3F" w14:textId="77777777" w:rsidR="003A2021" w:rsidRDefault="003A2021" w:rsidP="004E0DFF">
            <w:pPr>
              <w:pStyle w:val="Tabletext"/>
            </w:pPr>
            <w:r>
              <w:t>b) Are there any broader system changes that would support headspace to meet its objectives?</w:t>
            </w:r>
          </w:p>
          <w:p w14:paraId="6E71A4B3" w14:textId="45CB6965" w:rsidR="003A2021" w:rsidRDefault="003A2021" w:rsidP="004E0DFF">
            <w:pPr>
              <w:pStyle w:val="Tabletext"/>
            </w:pPr>
            <w:r>
              <w:t>c) Is the current design of headspace sustainable in the short and medium</w:t>
            </w:r>
            <w:r w:rsidR="007E76A0">
              <w:t>-</w:t>
            </w:r>
            <w:r>
              <w:t>term to deliver outcomes for young people? What changes, if any, are required to support the sustainability of headspace?</w:t>
            </w:r>
          </w:p>
          <w:p w14:paraId="18C84690" w14:textId="77777777" w:rsidR="003A2021" w:rsidRDefault="003A2021" w:rsidP="004E0DFF">
            <w:pPr>
              <w:pStyle w:val="Tabletext"/>
            </w:pPr>
            <w:r>
              <w:t>d) Are the current funding arrangements sustainable?</w:t>
            </w:r>
          </w:p>
          <w:p w14:paraId="5647CC91" w14:textId="77777777" w:rsidR="003A2021" w:rsidRPr="001D6913" w:rsidRDefault="003A2021" w:rsidP="004E0DFF">
            <w:pPr>
              <w:pStyle w:val="Tabletext"/>
            </w:pPr>
            <w:r>
              <w:t>e) Are there external factors that have impacted or will impact headspace objectives being delivered?</w:t>
            </w:r>
          </w:p>
        </w:tc>
      </w:tr>
    </w:tbl>
    <w:p w14:paraId="0CAC293E" w14:textId="77777777" w:rsidR="003A2021" w:rsidRDefault="003A2021" w:rsidP="003A2021">
      <w:pPr>
        <w:pStyle w:val="Source"/>
      </w:pPr>
      <w:r>
        <w:t>Source: KPMG 2022</w:t>
      </w:r>
    </w:p>
    <w:p w14:paraId="43B6D630" w14:textId="1D8E23B6" w:rsidR="003A2021" w:rsidRDefault="003A2021" w:rsidP="00EC241D">
      <w:pPr>
        <w:pStyle w:val="AppendixHeading2"/>
      </w:pPr>
      <w:r>
        <w:t xml:space="preserve">Evaluation governance </w:t>
      </w:r>
    </w:p>
    <w:p w14:paraId="5843BEC9" w14:textId="3DC00741" w:rsidR="003A2021" w:rsidRPr="00FD5B25" w:rsidRDefault="003A2021" w:rsidP="003A2021">
      <w:pPr>
        <w:pStyle w:val="BodyText"/>
      </w:pPr>
      <w:r>
        <w:t>The evalu</w:t>
      </w:r>
      <w:r w:rsidR="007625F7">
        <w:t>a</w:t>
      </w:r>
      <w:r>
        <w:t>tion of the national headspace program directly involved a number groups and organisations, who provided oversight to evaluation methods and activities, guidance on interpretation of findings and data, and other input as required. These roles are described in more detail below.</w:t>
      </w:r>
    </w:p>
    <w:p w14:paraId="39FB0C92" w14:textId="77777777" w:rsidR="003A2021" w:rsidRDefault="003A2021" w:rsidP="00A86CAC">
      <w:pPr>
        <w:pStyle w:val="AppendixHeading3"/>
      </w:pPr>
      <w:r>
        <w:t>Commonwealth Department of Health</w:t>
      </w:r>
    </w:p>
    <w:p w14:paraId="6F1E17ED" w14:textId="33259CE9" w:rsidR="003A2021" w:rsidRDefault="003A2021" w:rsidP="003A2021">
      <w:pPr>
        <w:pStyle w:val="BodyText"/>
        <w:rPr>
          <w:lang w:eastAsia="en-AU"/>
        </w:rPr>
      </w:pPr>
      <w:r>
        <w:rPr>
          <w:lang w:eastAsia="en-AU"/>
        </w:rPr>
        <w:t xml:space="preserve">As the ultimate sponsor for the evaluation, the </w:t>
      </w:r>
      <w:r w:rsidR="00E841D5">
        <w:rPr>
          <w:lang w:eastAsia="en-AU"/>
        </w:rPr>
        <w:t>d</w:t>
      </w:r>
      <w:r>
        <w:rPr>
          <w:lang w:eastAsia="en-AU"/>
        </w:rPr>
        <w:t xml:space="preserve">epartment has provided ongoing oversight for the entire evaluation, and input at key decision points. The </w:t>
      </w:r>
      <w:r w:rsidR="00E841D5">
        <w:rPr>
          <w:lang w:eastAsia="en-AU"/>
        </w:rPr>
        <w:t>d</w:t>
      </w:r>
      <w:r>
        <w:rPr>
          <w:lang w:eastAsia="en-AU"/>
        </w:rPr>
        <w:t>epartment’s Youth Mental Health Section within the Mental Health Ser</w:t>
      </w:r>
      <w:r w:rsidR="007625F7">
        <w:rPr>
          <w:lang w:eastAsia="en-AU"/>
        </w:rPr>
        <w:t>vi</w:t>
      </w:r>
      <w:r>
        <w:rPr>
          <w:lang w:eastAsia="en-AU"/>
        </w:rPr>
        <w:t xml:space="preserve">ces Branch were primary contacts, with frequent evaluation progress and status meetings held with this </w:t>
      </w:r>
      <w:r w:rsidR="00B630C2">
        <w:rPr>
          <w:lang w:eastAsia="en-AU"/>
        </w:rPr>
        <w:t>s</w:t>
      </w:r>
      <w:r>
        <w:rPr>
          <w:lang w:eastAsia="en-AU"/>
        </w:rPr>
        <w:t>ection. In addition to these meetings, the Section also:</w:t>
      </w:r>
    </w:p>
    <w:p w14:paraId="7088C599" w14:textId="2726DF17" w:rsidR="003A2021" w:rsidRDefault="008E7420" w:rsidP="003A2021">
      <w:pPr>
        <w:pStyle w:val="Bullet1stlevel"/>
        <w:rPr>
          <w:lang w:eastAsia="en-AU"/>
        </w:rPr>
      </w:pPr>
      <w:r>
        <w:rPr>
          <w:lang w:eastAsia="en-AU"/>
        </w:rPr>
        <w:t>d</w:t>
      </w:r>
      <w:r w:rsidR="003A2021">
        <w:rPr>
          <w:lang w:eastAsia="en-AU"/>
        </w:rPr>
        <w:t>eveloped initial evaluation questions for the evaluation, with input from headspace National</w:t>
      </w:r>
      <w:r w:rsidR="00E55D79">
        <w:rPr>
          <w:lang w:eastAsia="en-AU"/>
        </w:rPr>
        <w:t>;</w:t>
      </w:r>
    </w:p>
    <w:p w14:paraId="4A116B01" w14:textId="724F5002" w:rsidR="003A2021" w:rsidRDefault="008E7420" w:rsidP="003A2021">
      <w:pPr>
        <w:pStyle w:val="Bullet1stlevel"/>
        <w:rPr>
          <w:lang w:eastAsia="en-AU"/>
        </w:rPr>
      </w:pPr>
      <w:r>
        <w:rPr>
          <w:lang w:eastAsia="en-AU"/>
        </w:rPr>
        <w:t>p</w:t>
      </w:r>
      <w:r w:rsidR="003A2021">
        <w:rPr>
          <w:lang w:eastAsia="en-AU"/>
        </w:rPr>
        <w:t xml:space="preserve">rovided input into and endorsed the </w:t>
      </w:r>
      <w:r w:rsidR="009164AC">
        <w:rPr>
          <w:lang w:eastAsia="en-AU"/>
        </w:rPr>
        <w:t>e</w:t>
      </w:r>
      <w:r w:rsidR="003A2021">
        <w:rPr>
          <w:lang w:eastAsia="en-AU"/>
        </w:rPr>
        <w:t xml:space="preserve">valuation </w:t>
      </w:r>
      <w:r w:rsidR="009164AC">
        <w:rPr>
          <w:lang w:eastAsia="en-AU"/>
        </w:rPr>
        <w:t>f</w:t>
      </w:r>
      <w:r w:rsidR="003A2021">
        <w:rPr>
          <w:lang w:eastAsia="en-AU"/>
        </w:rPr>
        <w:t>ramework developed</w:t>
      </w:r>
      <w:r w:rsidR="00E55D79">
        <w:rPr>
          <w:lang w:eastAsia="en-AU"/>
        </w:rPr>
        <w:t>;</w:t>
      </w:r>
      <w:r w:rsidR="003A2021">
        <w:rPr>
          <w:lang w:eastAsia="en-AU"/>
        </w:rPr>
        <w:t xml:space="preserve"> </w:t>
      </w:r>
    </w:p>
    <w:p w14:paraId="1942D8E9" w14:textId="5D43E17A" w:rsidR="003A2021" w:rsidRDefault="008E7420" w:rsidP="00EC241D">
      <w:pPr>
        <w:pStyle w:val="Bullet1stlevelkeepwithnext"/>
        <w:rPr>
          <w:lang w:eastAsia="en-AU"/>
        </w:rPr>
      </w:pPr>
      <w:r>
        <w:rPr>
          <w:lang w:eastAsia="en-AU"/>
        </w:rPr>
        <w:t>p</w:t>
      </w:r>
      <w:r w:rsidR="003A2021">
        <w:rPr>
          <w:lang w:eastAsia="en-AU"/>
        </w:rPr>
        <w:t>rovided input into the approach to ethics approval</w:t>
      </w:r>
      <w:r w:rsidR="00E55D79">
        <w:rPr>
          <w:lang w:eastAsia="en-AU"/>
        </w:rPr>
        <w:t>; and</w:t>
      </w:r>
    </w:p>
    <w:p w14:paraId="34882A6D" w14:textId="3FE19582" w:rsidR="003A2021" w:rsidRDefault="008E7420" w:rsidP="003A2021">
      <w:pPr>
        <w:pStyle w:val="Bullet1stlevel"/>
        <w:rPr>
          <w:lang w:eastAsia="en-AU"/>
        </w:rPr>
      </w:pPr>
      <w:r>
        <w:rPr>
          <w:lang w:eastAsia="en-AU"/>
        </w:rPr>
        <w:t>a</w:t>
      </w:r>
      <w:r w:rsidR="003A2021">
        <w:rPr>
          <w:lang w:eastAsia="en-AU"/>
        </w:rPr>
        <w:t>ssisted with key insights to support interpretation of findings during the evaluation</w:t>
      </w:r>
      <w:r>
        <w:rPr>
          <w:lang w:eastAsia="en-AU"/>
        </w:rPr>
        <w:t>.</w:t>
      </w:r>
    </w:p>
    <w:p w14:paraId="66D071E2" w14:textId="45015D74" w:rsidR="003A2021" w:rsidRDefault="003A2021" w:rsidP="003A2021">
      <w:pPr>
        <w:pStyle w:val="BodyText"/>
        <w:rPr>
          <w:lang w:eastAsia="en-AU"/>
        </w:rPr>
      </w:pPr>
      <w:r>
        <w:rPr>
          <w:lang w:eastAsia="en-AU"/>
        </w:rPr>
        <w:t xml:space="preserve">In addition to the oversight of the Youth Mental Health Section, the </w:t>
      </w:r>
      <w:r w:rsidR="00E841D5">
        <w:rPr>
          <w:lang w:eastAsia="en-AU"/>
        </w:rPr>
        <w:t>d</w:t>
      </w:r>
      <w:r>
        <w:rPr>
          <w:lang w:eastAsia="en-AU"/>
        </w:rPr>
        <w:t xml:space="preserve">epartment’s </w:t>
      </w:r>
      <w:r>
        <w:t>Health Economics and Modelling Branch within the Health Economics and Research Division were also consulted at key stages of the evaluation, to test key evaluation methods and activities and provide endorsement for the Evaluation Framework developed.</w:t>
      </w:r>
    </w:p>
    <w:p w14:paraId="65ADE695" w14:textId="77777777" w:rsidR="003A2021" w:rsidRPr="00F22436" w:rsidRDefault="003A2021" w:rsidP="00F22436">
      <w:pPr>
        <w:pStyle w:val="AppendixHeading3"/>
      </w:pPr>
      <w:r w:rsidRPr="00F22436">
        <w:t>Evaluation Reference Group</w:t>
      </w:r>
    </w:p>
    <w:p w14:paraId="5B73C927" w14:textId="2BADAA1F" w:rsidR="003A2021" w:rsidRDefault="003A2021" w:rsidP="003A2021">
      <w:pPr>
        <w:pStyle w:val="BodyText"/>
      </w:pPr>
      <w:r>
        <w:t xml:space="preserve">An Evaluation Reference Group (ERG) was formed to provide advice and oversight for the evaluation, to help ensure that the evaluation met its agreed objectives. The ERG provided guidance, advice and feedback in relation to the evaluation methodology, its implementation in line with the </w:t>
      </w:r>
      <w:r w:rsidR="009164AC">
        <w:t>e</w:t>
      </w:r>
      <w:r>
        <w:t xml:space="preserve">valuation </w:t>
      </w:r>
      <w:r w:rsidR="009164AC">
        <w:t>f</w:t>
      </w:r>
      <w:r>
        <w:t xml:space="preserve">ramework developed </w:t>
      </w:r>
      <w:r w:rsidR="008E7420">
        <w:t xml:space="preserve">described </w:t>
      </w:r>
      <w:r>
        <w:t>above, and evaluation findings as these progressively emerged.</w:t>
      </w:r>
    </w:p>
    <w:p w14:paraId="73188876" w14:textId="71959098" w:rsidR="00BD7B5C" w:rsidRDefault="003A2021" w:rsidP="003A2021">
      <w:pPr>
        <w:pStyle w:val="BodyText"/>
      </w:pPr>
      <w:r>
        <w:t xml:space="preserve">The members of the ERG collectively held deep knowledge and expertise in youth mental health and epidemiology, mental health service delivery, and complex quantitative and qualitative evaluation techniques. The group also included youth and lived experience representatives to ensure these perspectives were closely incorporated at every stage of the evaluation. </w:t>
      </w:r>
      <w:r w:rsidR="00F67021">
        <w:t xml:space="preserve">Membership of the ERG </w:t>
      </w:r>
      <w:r w:rsidR="007625F7">
        <w:t>included the following expertise</w:t>
      </w:r>
      <w:r w:rsidR="00F67021">
        <w:t>:</w:t>
      </w:r>
    </w:p>
    <w:p w14:paraId="1578AA33" w14:textId="75F7F03E" w:rsidR="00DD095C" w:rsidRDefault="00DA6229" w:rsidP="00DD095C">
      <w:pPr>
        <w:pStyle w:val="Bullet1stlevel"/>
      </w:pPr>
      <w:r>
        <w:t>Youth mental health policy</w:t>
      </w:r>
    </w:p>
    <w:p w14:paraId="5CAEC63A" w14:textId="77777777" w:rsidR="00DA6229" w:rsidRDefault="00DA6229" w:rsidP="00DA6229">
      <w:pPr>
        <w:pStyle w:val="Bullet1stlevel"/>
      </w:pPr>
      <w:r>
        <w:t xml:space="preserve">Economic evaluation methodology </w:t>
      </w:r>
    </w:p>
    <w:p w14:paraId="37F78E31" w14:textId="77777777" w:rsidR="00DA6229" w:rsidRDefault="00DA6229" w:rsidP="00DA6229">
      <w:pPr>
        <w:pStyle w:val="Bullet1stlevel"/>
      </w:pPr>
      <w:r>
        <w:t xml:space="preserve">Program evaluation methodology </w:t>
      </w:r>
    </w:p>
    <w:p w14:paraId="2F16AF97" w14:textId="77777777" w:rsidR="00DA6229" w:rsidRDefault="00DA6229" w:rsidP="00DA6229">
      <w:pPr>
        <w:pStyle w:val="Bullet1stlevel"/>
      </w:pPr>
      <w:r>
        <w:t xml:space="preserve">Mental health commissioning </w:t>
      </w:r>
    </w:p>
    <w:p w14:paraId="145AF9C4" w14:textId="77777777" w:rsidR="00DA6229" w:rsidRDefault="00DA6229" w:rsidP="00DA6229">
      <w:pPr>
        <w:pStyle w:val="Bullet1stlevel"/>
      </w:pPr>
      <w:r>
        <w:t>Consumer experience</w:t>
      </w:r>
    </w:p>
    <w:p w14:paraId="7B58977D" w14:textId="012C99BE" w:rsidR="00DA6229" w:rsidRDefault="00DA6229" w:rsidP="00DA6229">
      <w:pPr>
        <w:pStyle w:val="Bullet1stlevel"/>
      </w:pPr>
      <w:r>
        <w:t>Youth service delivery</w:t>
      </w:r>
    </w:p>
    <w:p w14:paraId="7BEA0759" w14:textId="559E9EEA" w:rsidR="003A2021" w:rsidRDefault="003A2021" w:rsidP="003006A8">
      <w:pPr>
        <w:pStyle w:val="BodyText"/>
      </w:pPr>
      <w:r>
        <w:t>The ERG met regularly throughout the evaluation, aligned to key milestones for the evaluation. Meetings focused on:</w:t>
      </w:r>
    </w:p>
    <w:p w14:paraId="5C28CB21" w14:textId="04E44AB3" w:rsidR="003A2021" w:rsidRDefault="003A2021" w:rsidP="003A2021">
      <w:pPr>
        <w:pStyle w:val="Bullet1stlevel"/>
      </w:pPr>
      <w:r>
        <w:t>feedback and endorsement of the evaluation framework</w:t>
      </w:r>
      <w:r w:rsidR="00C1044C">
        <w:t>;</w:t>
      </w:r>
    </w:p>
    <w:p w14:paraId="24059D1D" w14:textId="451263A2" w:rsidR="003A2021" w:rsidRDefault="003A2021" w:rsidP="003A2021">
      <w:pPr>
        <w:pStyle w:val="Bullet1stlevel"/>
      </w:pPr>
      <w:r>
        <w:t>feedback on the methodological approach to the evaluation, including cost-effectiveness analysis</w:t>
      </w:r>
      <w:r w:rsidR="00C1044C">
        <w:t>;</w:t>
      </w:r>
    </w:p>
    <w:p w14:paraId="06691923" w14:textId="6D8516F0" w:rsidR="003A2021" w:rsidRDefault="003A2021" w:rsidP="003A2021">
      <w:pPr>
        <w:pStyle w:val="Bullet1stlevel"/>
      </w:pPr>
      <w:r>
        <w:t>updates on evaluation progress</w:t>
      </w:r>
      <w:r w:rsidR="00C1044C">
        <w:t>;</w:t>
      </w:r>
    </w:p>
    <w:p w14:paraId="08F5FEA7" w14:textId="2B0DFCB2" w:rsidR="003A2021" w:rsidRDefault="003A2021" w:rsidP="003A2021">
      <w:pPr>
        <w:pStyle w:val="Bullet1stlevel"/>
      </w:pPr>
      <w:r>
        <w:t>discussion of findings as the evaluation continued</w:t>
      </w:r>
      <w:r w:rsidR="00C1044C">
        <w:t>; and</w:t>
      </w:r>
    </w:p>
    <w:p w14:paraId="60370337" w14:textId="77777777" w:rsidR="003A2021" w:rsidRDefault="003A2021" w:rsidP="003A2021">
      <w:pPr>
        <w:pStyle w:val="Bullet1stlevel"/>
      </w:pPr>
      <w:r>
        <w:t>discussion of recommendations for the headspace program.</w:t>
      </w:r>
    </w:p>
    <w:p w14:paraId="398337D0" w14:textId="77777777" w:rsidR="003A2021" w:rsidRDefault="003A2021" w:rsidP="00A86CAC">
      <w:pPr>
        <w:pStyle w:val="AppendixHeading3"/>
      </w:pPr>
      <w:r>
        <w:t>Ethics Approval</w:t>
      </w:r>
    </w:p>
    <w:p w14:paraId="7A00F070" w14:textId="406439FC" w:rsidR="003A2021" w:rsidRDefault="003A2021" w:rsidP="003A2021">
      <w:pPr>
        <w:pStyle w:val="BodyText"/>
      </w:pPr>
      <w:r>
        <w:t>This evaluation also received formal</w:t>
      </w:r>
      <w:r w:rsidR="008E7420">
        <w:t xml:space="preserve"> </w:t>
      </w:r>
      <w:r>
        <w:t xml:space="preserve">ethics approval, as evaluation activities met the National Health and Medical Research Council definition of human research. </w:t>
      </w:r>
    </w:p>
    <w:p w14:paraId="1114FCA4" w14:textId="1432FBF2" w:rsidR="003A2021" w:rsidRDefault="003A2021" w:rsidP="003A2021">
      <w:pPr>
        <w:pStyle w:val="BodyText"/>
      </w:pPr>
      <w:r>
        <w:t xml:space="preserve">Ethics approval is an important safeguard for evaluation projects of this kind. The process of external review ensures research methods, design and implementation approaches have been thoughtfully selected to protect the autonomy and wellbeing of the people participating in research. This was a particularly important consideration for the evaluation of the national headspace program, given </w:t>
      </w:r>
      <w:r w:rsidR="00C8180F">
        <w:t xml:space="preserve">that </w:t>
      </w:r>
      <w:r>
        <w:t>its key service cohort is made up of vulnerable young people who are experiencing mental ill health or other wellbeing challenges.</w:t>
      </w:r>
    </w:p>
    <w:p w14:paraId="6D2CCE1B" w14:textId="60114067" w:rsidR="003A2021" w:rsidRDefault="003A2021" w:rsidP="003A2021">
      <w:pPr>
        <w:pStyle w:val="BodyText"/>
      </w:pPr>
      <w:r>
        <w:t xml:space="preserve">In determining the appropriate process for securing ethics approval, the evaluation team gave close consideration to the </w:t>
      </w:r>
      <w:r w:rsidR="00E841D5">
        <w:t>d</w:t>
      </w:r>
      <w:r>
        <w:t xml:space="preserve">epartment’s areas of focus for this evaluation and the range of young people intended to participate in primary data collection. One important area of focus for this evaluation was the mental health outcomes of Aboriginal and Torres Strait Islander young people. Producing insights regarding these outcomes required the collection, analysis and reporting of data relating to Aboriginal and Torres Strait Islander </w:t>
      </w:r>
      <w:r w:rsidR="00F80F99">
        <w:t xml:space="preserve">young </w:t>
      </w:r>
      <w:r>
        <w:t xml:space="preserve">people. This fell under the Australian Institute of Aboriginal and Torres Strait Islander Studies (AIATSIS) definition of </w:t>
      </w:r>
      <w:r w:rsidRPr="00ED31DC">
        <w:t>Aboriginal and Torres Strait Islander research</w:t>
      </w:r>
      <w:r>
        <w:t xml:space="preserve"> in </w:t>
      </w:r>
      <w:r w:rsidRPr="00ED31DC">
        <w:t>the AIATSIS Code of Ethics</w:t>
      </w:r>
      <w:r>
        <w:t xml:space="preserve">. </w:t>
      </w:r>
    </w:p>
    <w:p w14:paraId="6AEBDA4A" w14:textId="44C9669A" w:rsidR="003A2021" w:rsidRDefault="003A2021" w:rsidP="003A2021">
      <w:pPr>
        <w:pStyle w:val="BodyText"/>
      </w:pPr>
      <w:r>
        <w:t xml:space="preserve">Ethics approval for the evaluation was sought from the AIATSIS Ethics Committee, and took multiple rounds of iteration to be completed. The approval looked at all human research activities to be completed for the evaluation, including the components relating to research conducted with Aboriginal and Torres Strait Islander </w:t>
      </w:r>
      <w:r w:rsidR="00812A15">
        <w:t xml:space="preserve">young </w:t>
      </w:r>
      <w:r>
        <w:t>people.</w:t>
      </w:r>
      <w:r w:rsidR="00716AFF">
        <w:t xml:space="preserve"> Creating a robust</w:t>
      </w:r>
      <w:r w:rsidR="006B5400">
        <w:t xml:space="preserve"> research approach </w:t>
      </w:r>
      <w:r w:rsidR="007C3810">
        <w:t>that</w:t>
      </w:r>
      <w:r w:rsidR="006B5400">
        <w:t xml:space="preserve"> met ethical </w:t>
      </w:r>
      <w:r w:rsidR="007C3810">
        <w:t xml:space="preserve">research </w:t>
      </w:r>
      <w:r w:rsidR="006B5400">
        <w:t xml:space="preserve">requirements was an intensive process, and overall project timelines for the evaluation were </w:t>
      </w:r>
      <w:r w:rsidR="0088132C">
        <w:t xml:space="preserve">delayed to </w:t>
      </w:r>
      <w:r w:rsidR="007C3810">
        <w:t>ensure this could be completed.</w:t>
      </w:r>
      <w:r w:rsidR="0088132C">
        <w:t xml:space="preserve"> </w:t>
      </w:r>
    </w:p>
    <w:p w14:paraId="75224C14" w14:textId="1853C31B" w:rsidR="003A2021" w:rsidRDefault="003A2021" w:rsidP="003A2021">
      <w:pPr>
        <w:pStyle w:val="BodyText"/>
      </w:pPr>
      <w:r>
        <w:t xml:space="preserve">A range of activities were undertaken to support ethics approval for the evaluation, and mechanisms </w:t>
      </w:r>
      <w:r w:rsidR="00D93A56">
        <w:t xml:space="preserve">were </w:t>
      </w:r>
      <w:r>
        <w:t>established to support the safety of human research conducted</w:t>
      </w:r>
      <w:r w:rsidR="00D93A56">
        <w:t>,</w:t>
      </w:r>
      <w:r>
        <w:t xml:space="preserve"> including:</w:t>
      </w:r>
    </w:p>
    <w:p w14:paraId="3FCD9D91" w14:textId="59FECA0B" w:rsidR="003A2021" w:rsidRDefault="00DE6DD7" w:rsidP="003A2021">
      <w:pPr>
        <w:pStyle w:val="Bullet1stlevel"/>
      </w:pPr>
      <w:r>
        <w:t>e</w:t>
      </w:r>
      <w:r w:rsidR="003A2021">
        <w:t>ngagement with a range of local organisations within each of the locations proposed for deep dive consultation, including local ACCHS or Aboriginal Land Councils, PHNs and headspace lead agencies</w:t>
      </w:r>
      <w:r w:rsidR="00EF5991">
        <w:t>;</w:t>
      </w:r>
    </w:p>
    <w:p w14:paraId="4E2298B8" w14:textId="028F385D" w:rsidR="003A2021" w:rsidRDefault="00D70560" w:rsidP="003A2021">
      <w:pPr>
        <w:pStyle w:val="Bullet1stlevel"/>
      </w:pPr>
      <w:r>
        <w:t>inclusion</w:t>
      </w:r>
      <w:r w:rsidR="003A2021">
        <w:t xml:space="preserve"> of Aboriginal and Torres Strait Islander researchers to undertak</w:t>
      </w:r>
      <w:r w:rsidR="0011555D">
        <w:t>e</w:t>
      </w:r>
      <w:r w:rsidR="003A2021">
        <w:t xml:space="preserve"> consultation with Aboriginal and Torres Strait Islander young people to ensure cultural safety</w:t>
      </w:r>
      <w:r w:rsidR="00EF5991">
        <w:t>;</w:t>
      </w:r>
    </w:p>
    <w:p w14:paraId="2049AAE7" w14:textId="135C5F2E" w:rsidR="003A2021" w:rsidRDefault="00DE6DD7" w:rsidP="003A2021">
      <w:pPr>
        <w:pStyle w:val="Bullet1stlevel"/>
      </w:pPr>
      <w:r>
        <w:t>o</w:t>
      </w:r>
      <w:r w:rsidR="003A2021">
        <w:t>versight of evaluation method development from a senior Aboriginal and Torres Strait Islander researcher</w:t>
      </w:r>
      <w:r w:rsidR="00EF5991">
        <w:t>;</w:t>
      </w:r>
    </w:p>
    <w:p w14:paraId="452E3483" w14:textId="1AA93E67" w:rsidR="003A2021" w:rsidRDefault="00DE6DD7" w:rsidP="003A2021">
      <w:pPr>
        <w:pStyle w:val="Bullet1stlevel"/>
      </w:pPr>
      <w:r>
        <w:t>e</w:t>
      </w:r>
      <w:r w:rsidR="003A2021">
        <w:t xml:space="preserve">ndorsement from Gayaa Dhuwi, </w:t>
      </w:r>
      <w:r w:rsidR="003A2021" w:rsidRPr="00A31ABD">
        <w:t xml:space="preserve">the new Aboriginal and Torres Strait </w:t>
      </w:r>
      <w:r w:rsidR="003A2021">
        <w:t>Islander</w:t>
      </w:r>
      <w:r w:rsidR="003A2021" w:rsidRPr="00A31ABD">
        <w:t xml:space="preserve"> social and emotional wellbeing, mental health and suicide prevention national leadership body</w:t>
      </w:r>
      <w:r w:rsidR="003A2021">
        <w:t>, with the opportunity to continue engagement with the organisation should culturally sensitive topics be raised by young people</w:t>
      </w:r>
      <w:r w:rsidR="00706BD5">
        <w:t>;</w:t>
      </w:r>
    </w:p>
    <w:p w14:paraId="18A16234" w14:textId="3A6689BF" w:rsidR="003A2021" w:rsidRDefault="00DE6DD7" w:rsidP="003A2021">
      <w:pPr>
        <w:pStyle w:val="Bullet1stlevel"/>
      </w:pPr>
      <w:r>
        <w:t>d</w:t>
      </w:r>
      <w:r w:rsidR="003A2021">
        <w:t>evelopment of deliberate protocols in the event culturally sensitive information was raised during consultation</w:t>
      </w:r>
      <w:r w:rsidR="00706BD5">
        <w:t>; and</w:t>
      </w:r>
    </w:p>
    <w:p w14:paraId="02412BDA" w14:textId="121B0DD9" w:rsidR="003A2021" w:rsidRDefault="00DE6DD7" w:rsidP="003A2021">
      <w:pPr>
        <w:pStyle w:val="Bullet1stlevel"/>
      </w:pPr>
      <w:r>
        <w:t>f</w:t>
      </w:r>
      <w:r w:rsidR="003A2021">
        <w:t>urther engagement with local ACCHS</w:t>
      </w:r>
      <w:r w:rsidR="008B4E02">
        <w:t>s</w:t>
      </w:r>
      <w:r w:rsidR="003A2021">
        <w:t xml:space="preserve"> as part of </w:t>
      </w:r>
      <w:r w:rsidR="00241E82">
        <w:t xml:space="preserve">stakeholder engagement at </w:t>
      </w:r>
      <w:r w:rsidR="003A2021">
        <w:t>deep dive location</w:t>
      </w:r>
      <w:r w:rsidR="00241E82">
        <w:t>s</w:t>
      </w:r>
      <w:r>
        <w:t>.</w:t>
      </w:r>
    </w:p>
    <w:p w14:paraId="6D3B1550" w14:textId="73F7E411" w:rsidR="00BD7B5C" w:rsidRPr="004B7644" w:rsidRDefault="003A2021" w:rsidP="00EC241D">
      <w:pPr>
        <w:pStyle w:val="Bullet1stlevel"/>
        <w:numPr>
          <w:ilvl w:val="0"/>
          <w:numId w:val="0"/>
        </w:numPr>
      </w:pPr>
      <w:r>
        <w:t>The original evaluation design proposed engagement with eight locations in detail, however support from local Aboriginal organisations to support culturally safe engagement was not able to be secured in two proposed locations, and the evaluation proceeded with six locations as a result. A more detailed description of this evaluation activity is described in the section below.</w:t>
      </w:r>
    </w:p>
    <w:p w14:paraId="2D93A041" w14:textId="347AAB9B" w:rsidR="003A2021" w:rsidRPr="001D6913" w:rsidRDefault="003A2021" w:rsidP="00EC241D">
      <w:pPr>
        <w:pStyle w:val="AppendixHeading2"/>
        <w:rPr>
          <w:lang w:eastAsia="en-AU"/>
        </w:rPr>
      </w:pPr>
      <w:bookmarkStart w:id="191" w:name="_Ref102403866"/>
      <w:r>
        <w:rPr>
          <w:lang w:eastAsia="en-AU"/>
        </w:rPr>
        <w:t>Evaluation activities and data sources</w:t>
      </w:r>
      <w:bookmarkEnd w:id="191"/>
    </w:p>
    <w:p w14:paraId="1377B129" w14:textId="77777777" w:rsidR="003A2021" w:rsidRDefault="003A2021" w:rsidP="003006A8">
      <w:pPr>
        <w:pStyle w:val="BodyText"/>
      </w:pPr>
      <w:r>
        <w:t>The program evaluation activities undertaken to support the analysis are outlined below.</w:t>
      </w:r>
    </w:p>
    <w:p w14:paraId="71D439AC" w14:textId="77777777" w:rsidR="003A2021" w:rsidRPr="00AA4D20" w:rsidRDefault="003A2021" w:rsidP="00A86CAC">
      <w:pPr>
        <w:pStyle w:val="AppendixHeading3"/>
      </w:pPr>
      <w:r>
        <w:t>Review of program documentation</w:t>
      </w:r>
    </w:p>
    <w:p w14:paraId="75B57C22" w14:textId="4851351C" w:rsidR="003A2021" w:rsidRPr="00E845D1" w:rsidRDefault="003A2021" w:rsidP="003A2021">
      <w:pPr>
        <w:pStyle w:val="BodyText"/>
        <w:rPr>
          <w:szCs w:val="20"/>
          <w:lang w:eastAsia="en-AU"/>
        </w:rPr>
      </w:pPr>
      <w:r>
        <w:rPr>
          <w:lang w:eastAsia="en-AU"/>
        </w:rPr>
        <w:t xml:space="preserve">A desktop review of headspace program documentation was undertaken. The review analysed documents prepared by both the </w:t>
      </w:r>
      <w:r w:rsidR="00812A15">
        <w:rPr>
          <w:lang w:eastAsia="en-AU"/>
        </w:rPr>
        <w:t>d</w:t>
      </w:r>
      <w:r>
        <w:rPr>
          <w:lang w:eastAsia="en-AU"/>
        </w:rPr>
        <w:t xml:space="preserve">epartment and headspace </w:t>
      </w:r>
      <w:r w:rsidRPr="00E845D1">
        <w:rPr>
          <w:szCs w:val="20"/>
          <w:lang w:eastAsia="en-AU"/>
        </w:rPr>
        <w:t xml:space="preserve">National. </w:t>
      </w:r>
      <w:r>
        <w:rPr>
          <w:szCs w:val="20"/>
          <w:lang w:eastAsia="en-AU"/>
        </w:rPr>
        <w:t xml:space="preserve">Additionally, a desktop review of headspace services was undertaken to provide a preliminary understanding of what is being delivered at headspace services. </w:t>
      </w:r>
      <w:r w:rsidRPr="00E845D1">
        <w:rPr>
          <w:szCs w:val="20"/>
          <w:lang w:eastAsia="en-AU"/>
        </w:rPr>
        <w:t>Document</w:t>
      </w:r>
      <w:r>
        <w:rPr>
          <w:szCs w:val="20"/>
          <w:lang w:eastAsia="en-AU"/>
        </w:rPr>
        <w:t xml:space="preserve">s reviewed </w:t>
      </w:r>
      <w:r w:rsidRPr="00E845D1">
        <w:rPr>
          <w:szCs w:val="20"/>
          <w:lang w:eastAsia="en-AU"/>
        </w:rPr>
        <w:t>include:</w:t>
      </w:r>
    </w:p>
    <w:p w14:paraId="4E681FE8" w14:textId="0CC17670" w:rsidR="003A2021" w:rsidRPr="00976ACA" w:rsidRDefault="003A2021" w:rsidP="003A2021">
      <w:pPr>
        <w:pStyle w:val="Bullet1stlevel"/>
      </w:pPr>
      <w:r>
        <w:t>headspace a</w:t>
      </w:r>
      <w:r w:rsidRPr="00D93374">
        <w:t>nnual reports</w:t>
      </w:r>
      <w:r w:rsidR="00A3496D">
        <w:t>;</w:t>
      </w:r>
    </w:p>
    <w:p w14:paraId="0B9CF55B" w14:textId="41965EFB" w:rsidR="003A2021" w:rsidRDefault="003A2021" w:rsidP="003A2021">
      <w:pPr>
        <w:pStyle w:val="Bullet1stlevel"/>
      </w:pPr>
      <w:r>
        <w:t>headspace program logic and hMIF</w:t>
      </w:r>
      <w:r w:rsidR="00A3496D">
        <w:t>;</w:t>
      </w:r>
    </w:p>
    <w:p w14:paraId="1F7D5105" w14:textId="0220C213" w:rsidR="003A2021" w:rsidRDefault="003A2021" w:rsidP="003A2021">
      <w:pPr>
        <w:pStyle w:val="Bullet1stlevel"/>
      </w:pPr>
      <w:r>
        <w:t>previous external headspace evaluations</w:t>
      </w:r>
      <w:r w:rsidR="00A3496D">
        <w:t>;</w:t>
      </w:r>
    </w:p>
    <w:p w14:paraId="2599DFB2" w14:textId="3DC2033B" w:rsidR="003A2021" w:rsidRPr="00094427" w:rsidRDefault="003A2021" w:rsidP="003A2021">
      <w:pPr>
        <w:pStyle w:val="Bullet1stlevel"/>
      </w:pPr>
      <w:r>
        <w:t>previous evaluation and research work undertaken by headspace National</w:t>
      </w:r>
      <w:r w:rsidR="00A3496D">
        <w:t>;</w:t>
      </w:r>
    </w:p>
    <w:p w14:paraId="1B276FF5" w14:textId="11564CFD" w:rsidR="003A2021" w:rsidRPr="00D93374" w:rsidRDefault="003A2021" w:rsidP="003A2021">
      <w:pPr>
        <w:pStyle w:val="Bullet1stlevel"/>
      </w:pPr>
      <w:r>
        <w:t>p</w:t>
      </w:r>
      <w:r w:rsidRPr="00D93374">
        <w:t>ublicly available information such as PHN demographics</w:t>
      </w:r>
      <w:r w:rsidR="00A3496D">
        <w:t>; and</w:t>
      </w:r>
    </w:p>
    <w:p w14:paraId="52FEB7A2" w14:textId="7836086B" w:rsidR="003A2021" w:rsidRDefault="003A2021" w:rsidP="003A2021">
      <w:pPr>
        <w:pStyle w:val="Bullet1stlevel"/>
      </w:pPr>
      <w:r>
        <w:t xml:space="preserve">media releases, social media feeds, headspace </w:t>
      </w:r>
      <w:r w:rsidR="00E10526">
        <w:t>service</w:t>
      </w:r>
      <w:r>
        <w:t xml:space="preserve"> websites.</w:t>
      </w:r>
    </w:p>
    <w:p w14:paraId="10D7B372" w14:textId="77777777" w:rsidR="003A2021" w:rsidRPr="00CB1A96" w:rsidRDefault="003A2021" w:rsidP="00A86CAC">
      <w:pPr>
        <w:pStyle w:val="AppendixHeading3"/>
      </w:pPr>
      <w:r w:rsidRPr="00A86CAC">
        <w:rPr>
          <w:iCs/>
        </w:rPr>
        <w:t>Consultation with policy owners and mental health sector</w:t>
      </w:r>
    </w:p>
    <w:p w14:paraId="3E0BDDFA" w14:textId="20EFA4EB" w:rsidR="003A2021" w:rsidRPr="00081C01" w:rsidRDefault="003A2021" w:rsidP="003A2021">
      <w:pPr>
        <w:pStyle w:val="BodyText"/>
        <w:rPr>
          <w:lang w:eastAsia="en-AU"/>
        </w:rPr>
      </w:pPr>
      <w:r>
        <w:rPr>
          <w:lang w:eastAsia="en-AU"/>
        </w:rPr>
        <w:t xml:space="preserve">A </w:t>
      </w:r>
      <w:r w:rsidRPr="00081C01">
        <w:rPr>
          <w:lang w:eastAsia="en-AU"/>
        </w:rPr>
        <w:t xml:space="preserve">targeted series of </w:t>
      </w:r>
      <w:r>
        <w:rPr>
          <w:lang w:eastAsia="en-AU"/>
        </w:rPr>
        <w:t>consultations</w:t>
      </w:r>
      <w:r w:rsidRPr="00081C01">
        <w:rPr>
          <w:lang w:eastAsia="en-AU"/>
        </w:rPr>
        <w:t xml:space="preserve"> with key mental health and headspace policy owners</w:t>
      </w:r>
      <w:r>
        <w:rPr>
          <w:lang w:eastAsia="en-AU"/>
        </w:rPr>
        <w:t xml:space="preserve"> within the </w:t>
      </w:r>
      <w:r w:rsidR="00E841D5">
        <w:rPr>
          <w:lang w:eastAsia="en-AU"/>
        </w:rPr>
        <w:t>d</w:t>
      </w:r>
      <w:r>
        <w:rPr>
          <w:lang w:eastAsia="en-AU"/>
        </w:rPr>
        <w:t>epartment and broader mental health sector stakeholders were undertaken</w:t>
      </w:r>
      <w:r w:rsidRPr="00081C01">
        <w:rPr>
          <w:lang w:eastAsia="en-AU"/>
        </w:rPr>
        <w:t xml:space="preserve"> to explore how the intent and objectives of the program </w:t>
      </w:r>
      <w:r>
        <w:rPr>
          <w:lang w:eastAsia="en-AU"/>
        </w:rPr>
        <w:t>were</w:t>
      </w:r>
      <w:r w:rsidRPr="00081C01">
        <w:rPr>
          <w:lang w:eastAsia="en-AU"/>
        </w:rPr>
        <w:t xml:space="preserve"> defined</w:t>
      </w:r>
      <w:r>
        <w:rPr>
          <w:lang w:eastAsia="en-AU"/>
        </w:rPr>
        <w:t xml:space="preserve"> within the evaluation timeframe</w:t>
      </w:r>
      <w:r w:rsidRPr="00081C01">
        <w:rPr>
          <w:lang w:eastAsia="en-AU"/>
        </w:rPr>
        <w:t>, and how these may have evolved over time. These interviews focus</w:t>
      </w:r>
      <w:r>
        <w:rPr>
          <w:lang w:eastAsia="en-AU"/>
        </w:rPr>
        <w:t>ed</w:t>
      </w:r>
      <w:r w:rsidRPr="00081C01">
        <w:rPr>
          <w:lang w:eastAsia="en-AU"/>
        </w:rPr>
        <w:t xml:space="preserve"> on identifying the degree of alignment between the documented objectives of headspace and the priorities or objectives of key policy owners – particularly in the context of the network’s recent rapid expansion. They also address</w:t>
      </w:r>
      <w:r>
        <w:rPr>
          <w:lang w:eastAsia="en-AU"/>
        </w:rPr>
        <w:t>ed</w:t>
      </w:r>
      <w:r w:rsidRPr="00081C01">
        <w:rPr>
          <w:lang w:eastAsia="en-AU"/>
        </w:rPr>
        <w:t xml:space="preserve"> the role of headspace within the broader Australian mental health service delivery landscape.</w:t>
      </w:r>
    </w:p>
    <w:p w14:paraId="684F972F" w14:textId="77777777" w:rsidR="003A2021" w:rsidRPr="00081C01" w:rsidRDefault="003A2021" w:rsidP="003006A8">
      <w:pPr>
        <w:pStyle w:val="BodyText"/>
      </w:pPr>
      <w:r>
        <w:t>Representatives</w:t>
      </w:r>
      <w:r w:rsidRPr="00081C01">
        <w:t xml:space="preserve"> of</w:t>
      </w:r>
      <w:r>
        <w:t xml:space="preserve"> the following organisations were consulted during the evaluation</w:t>
      </w:r>
      <w:r w:rsidRPr="00081C01">
        <w:t>:</w:t>
      </w:r>
    </w:p>
    <w:p w14:paraId="5067DE55" w14:textId="4914DFDB" w:rsidR="003A2021" w:rsidRPr="00216FF0" w:rsidRDefault="003A2021" w:rsidP="003A2021">
      <w:pPr>
        <w:pStyle w:val="Bullet1stlevel"/>
        <w:rPr>
          <w:lang w:eastAsia="en-AU"/>
        </w:rPr>
      </w:pPr>
      <w:r w:rsidRPr="00081C01">
        <w:rPr>
          <w:lang w:eastAsia="en-AU"/>
        </w:rPr>
        <w:t>Mental Health Division</w:t>
      </w:r>
      <w:r>
        <w:rPr>
          <w:lang w:eastAsia="en-AU"/>
        </w:rPr>
        <w:t xml:space="preserve"> through the </w:t>
      </w:r>
      <w:r w:rsidRPr="00081C01">
        <w:rPr>
          <w:lang w:eastAsia="en-AU"/>
        </w:rPr>
        <w:t xml:space="preserve">Mental Health Services </w:t>
      </w:r>
      <w:r>
        <w:rPr>
          <w:lang w:eastAsia="en-AU"/>
        </w:rPr>
        <w:t xml:space="preserve">Branch, </w:t>
      </w:r>
      <w:r w:rsidRPr="6E2C714E">
        <w:rPr>
          <w:lang w:eastAsia="en-AU"/>
        </w:rPr>
        <w:t xml:space="preserve">Commonwealth </w:t>
      </w:r>
      <w:r w:rsidRPr="00081C01">
        <w:rPr>
          <w:lang w:eastAsia="en-AU"/>
        </w:rPr>
        <w:t>Department of Health</w:t>
      </w:r>
      <w:r w:rsidR="00C654FE">
        <w:rPr>
          <w:lang w:eastAsia="en-AU"/>
        </w:rPr>
        <w:t>;</w:t>
      </w:r>
    </w:p>
    <w:p w14:paraId="3BC9512D" w14:textId="40DCBDD5" w:rsidR="003A2021" w:rsidRPr="00081C01" w:rsidRDefault="003A2021" w:rsidP="003A2021">
      <w:pPr>
        <w:pStyle w:val="Bullet1stlevel"/>
        <w:rPr>
          <w:lang w:eastAsia="en-AU"/>
        </w:rPr>
      </w:pPr>
      <w:r>
        <w:rPr>
          <w:lang w:eastAsia="en-AU"/>
        </w:rPr>
        <w:t xml:space="preserve">Population Health, Indigenous Health and Primary Care Divisions, </w:t>
      </w:r>
      <w:r w:rsidRPr="6E2C714E">
        <w:rPr>
          <w:lang w:eastAsia="en-AU"/>
        </w:rPr>
        <w:t xml:space="preserve">Commonwealth </w:t>
      </w:r>
      <w:r>
        <w:rPr>
          <w:lang w:eastAsia="en-AU"/>
        </w:rPr>
        <w:t>Department of Health</w:t>
      </w:r>
      <w:r w:rsidR="00C654FE">
        <w:rPr>
          <w:lang w:eastAsia="en-AU"/>
        </w:rPr>
        <w:t>;</w:t>
      </w:r>
      <w:r>
        <w:rPr>
          <w:lang w:eastAsia="en-AU"/>
        </w:rPr>
        <w:t xml:space="preserve"> </w:t>
      </w:r>
    </w:p>
    <w:p w14:paraId="353BED36" w14:textId="6F6B7615" w:rsidR="003A2021" w:rsidRPr="00890250" w:rsidRDefault="003A2021" w:rsidP="003A2021">
      <w:pPr>
        <w:pStyle w:val="Bullet1stlevel"/>
        <w:rPr>
          <w:lang w:eastAsia="en-AU"/>
        </w:rPr>
      </w:pPr>
      <w:r w:rsidRPr="00081C01">
        <w:rPr>
          <w:lang w:eastAsia="en-AU"/>
        </w:rPr>
        <w:t>headspace National</w:t>
      </w:r>
      <w:r w:rsidR="00C654FE">
        <w:rPr>
          <w:lang w:eastAsia="en-AU"/>
        </w:rPr>
        <w:t>;</w:t>
      </w:r>
    </w:p>
    <w:p w14:paraId="5707FD7E" w14:textId="24969CF8" w:rsidR="003A2021" w:rsidRPr="00E50172" w:rsidRDefault="003A2021" w:rsidP="003A2021">
      <w:pPr>
        <w:pStyle w:val="Bullet1stlevel"/>
        <w:rPr>
          <w:lang w:eastAsia="en-AU"/>
        </w:rPr>
      </w:pPr>
      <w:r>
        <w:rPr>
          <w:lang w:eastAsia="en-AU"/>
        </w:rPr>
        <w:t xml:space="preserve">corresponding mental health policy areas from </w:t>
      </w:r>
      <w:r w:rsidR="00812A15">
        <w:rPr>
          <w:lang w:eastAsia="en-AU"/>
        </w:rPr>
        <w:t xml:space="preserve">each </w:t>
      </w:r>
      <w:r>
        <w:rPr>
          <w:lang w:eastAsia="en-AU"/>
        </w:rPr>
        <w:t>s</w:t>
      </w:r>
      <w:r w:rsidRPr="00B9503D">
        <w:rPr>
          <w:lang w:eastAsia="en-AU"/>
        </w:rPr>
        <w:t xml:space="preserve">tate </w:t>
      </w:r>
      <w:r>
        <w:rPr>
          <w:lang w:eastAsia="en-AU"/>
        </w:rPr>
        <w:t>and</w:t>
      </w:r>
      <w:r w:rsidRPr="00B9503D">
        <w:rPr>
          <w:lang w:eastAsia="en-AU"/>
        </w:rPr>
        <w:t xml:space="preserve"> territory</w:t>
      </w:r>
      <w:r w:rsidR="00C654FE">
        <w:rPr>
          <w:lang w:eastAsia="en-AU"/>
        </w:rPr>
        <w:t>;</w:t>
      </w:r>
    </w:p>
    <w:p w14:paraId="6894B28C" w14:textId="77777777" w:rsidR="003A2021" w:rsidRDefault="003A2021" w:rsidP="003A2021">
      <w:pPr>
        <w:pStyle w:val="Bullet1stlevel"/>
        <w:rPr>
          <w:lang w:eastAsia="en-AU"/>
        </w:rPr>
      </w:pPr>
      <w:r>
        <w:rPr>
          <w:lang w:eastAsia="en-AU"/>
        </w:rPr>
        <w:t>p</w:t>
      </w:r>
      <w:r w:rsidRPr="006F42DA">
        <w:rPr>
          <w:lang w:eastAsia="en-AU"/>
        </w:rPr>
        <w:t xml:space="preserve">rimary care and community mental health peak </w:t>
      </w:r>
      <w:r>
        <w:rPr>
          <w:lang w:eastAsia="en-AU"/>
        </w:rPr>
        <w:t>and research</w:t>
      </w:r>
      <w:r w:rsidRPr="006F42DA">
        <w:rPr>
          <w:lang w:eastAsia="en-AU"/>
        </w:rPr>
        <w:t xml:space="preserve"> bodies</w:t>
      </w:r>
      <w:r>
        <w:rPr>
          <w:lang w:eastAsia="en-AU"/>
        </w:rPr>
        <w:t>, including:</w:t>
      </w:r>
    </w:p>
    <w:p w14:paraId="2B9294A7" w14:textId="3036DD70" w:rsidR="003A2021" w:rsidRPr="002E396A" w:rsidRDefault="003A2021" w:rsidP="003A2021">
      <w:pPr>
        <w:pStyle w:val="Bullet2ndlevel"/>
      </w:pPr>
      <w:r w:rsidRPr="002E396A">
        <w:t>Orygen</w:t>
      </w:r>
      <w:r w:rsidR="00C654FE">
        <w:t>;</w:t>
      </w:r>
    </w:p>
    <w:p w14:paraId="315DA4CF" w14:textId="43D9E7DB" w:rsidR="003A2021" w:rsidRPr="002E396A" w:rsidRDefault="003A2021" w:rsidP="005874D4">
      <w:pPr>
        <w:pStyle w:val="Bullet2ndlevel"/>
      </w:pPr>
      <w:r w:rsidRPr="002E396A">
        <w:t>Community Mental Health Australia</w:t>
      </w:r>
      <w:r w:rsidR="00C654FE">
        <w:t>;</w:t>
      </w:r>
    </w:p>
    <w:p w14:paraId="70886061" w14:textId="38415692" w:rsidR="003A2021" w:rsidRPr="002E396A" w:rsidRDefault="003A2021" w:rsidP="00370CE4">
      <w:pPr>
        <w:pStyle w:val="Bullet2ndlevel"/>
      </w:pPr>
      <w:r w:rsidRPr="002E396A">
        <w:t>National Mental Health Consumer &amp; Carer Forum</w:t>
      </w:r>
      <w:r w:rsidR="00C654FE">
        <w:t>; and</w:t>
      </w:r>
    </w:p>
    <w:p w14:paraId="3AE65882" w14:textId="3DA2F0DC" w:rsidR="003A2021" w:rsidRPr="008639A1" w:rsidRDefault="003A2021" w:rsidP="0036321C">
      <w:pPr>
        <w:pStyle w:val="Bullet2ndlevel"/>
      </w:pPr>
      <w:r w:rsidRPr="005874D4">
        <w:t>Mental Health Australia</w:t>
      </w:r>
      <w:r w:rsidR="00C654FE">
        <w:t>;</w:t>
      </w:r>
    </w:p>
    <w:p w14:paraId="31DE4307" w14:textId="2331A251" w:rsidR="003A2021" w:rsidRDefault="003A2021" w:rsidP="003A2021">
      <w:pPr>
        <w:pStyle w:val="Bullet1stlevel"/>
        <w:rPr>
          <w:lang w:eastAsia="en-AU"/>
        </w:rPr>
      </w:pPr>
      <w:r>
        <w:rPr>
          <w:lang w:eastAsia="en-AU"/>
        </w:rPr>
        <w:t>all PHNs across Australia</w:t>
      </w:r>
      <w:r w:rsidR="00C654FE">
        <w:rPr>
          <w:lang w:eastAsia="en-AU"/>
        </w:rPr>
        <w:t>; and</w:t>
      </w:r>
    </w:p>
    <w:p w14:paraId="36BE282E" w14:textId="679C14E2" w:rsidR="003A2021" w:rsidRPr="00081C01" w:rsidRDefault="003A2021" w:rsidP="003A2021">
      <w:pPr>
        <w:pStyle w:val="Bullet1stlevel"/>
        <w:rPr>
          <w:lang w:eastAsia="en-AU"/>
        </w:rPr>
      </w:pPr>
      <w:r>
        <w:rPr>
          <w:lang w:eastAsia="en-AU"/>
        </w:rPr>
        <w:t>headspace services in two metropolitan areas, Craigieburn and Bankstown, in addition to the deep dive site consultations described below.</w:t>
      </w:r>
    </w:p>
    <w:p w14:paraId="38182EE0" w14:textId="77777777" w:rsidR="003A2021" w:rsidRDefault="003A2021" w:rsidP="00A86CAC">
      <w:pPr>
        <w:pStyle w:val="AppendixHeading3"/>
      </w:pPr>
      <w:r>
        <w:t>Deep dive site consultations</w:t>
      </w:r>
    </w:p>
    <w:p w14:paraId="12CB09C4" w14:textId="6190B255" w:rsidR="003A2021" w:rsidRPr="00D93AE8" w:rsidRDefault="003A2021" w:rsidP="003A2021">
      <w:pPr>
        <w:pStyle w:val="BodyText"/>
        <w:rPr>
          <w:lang w:eastAsia="en-AU"/>
        </w:rPr>
      </w:pPr>
      <w:r w:rsidRPr="26FEEEDA">
        <w:rPr>
          <w:lang w:eastAsia="en-AU"/>
        </w:rPr>
        <w:t xml:space="preserve">Information about </w:t>
      </w:r>
      <w:r w:rsidRPr="00D93AE8">
        <w:rPr>
          <w:lang w:eastAsia="en-AU"/>
        </w:rPr>
        <w:t xml:space="preserve">activities </w:t>
      </w:r>
      <w:r w:rsidRPr="0567BB46">
        <w:rPr>
          <w:lang w:eastAsia="en-AU"/>
        </w:rPr>
        <w:t xml:space="preserve">undertaken by </w:t>
      </w:r>
      <w:r w:rsidRPr="00D93AE8">
        <w:rPr>
          <w:lang w:eastAsia="en-AU"/>
        </w:rPr>
        <w:t xml:space="preserve">headspace </w:t>
      </w:r>
      <w:r>
        <w:rPr>
          <w:lang w:eastAsia="en-AU"/>
        </w:rPr>
        <w:t>services</w:t>
      </w:r>
      <w:r w:rsidRPr="50C9300A">
        <w:rPr>
          <w:lang w:eastAsia="en-AU"/>
        </w:rPr>
        <w:t xml:space="preserve"> </w:t>
      </w:r>
      <w:r>
        <w:rPr>
          <w:lang w:eastAsia="en-AU"/>
        </w:rPr>
        <w:t>is collected through</w:t>
      </w:r>
      <w:r w:rsidRPr="00D93AE8">
        <w:rPr>
          <w:lang w:eastAsia="en-AU"/>
        </w:rPr>
        <w:t xml:space="preserve"> administrative or service delivery data sets</w:t>
      </w:r>
      <w:r w:rsidRPr="0567BB46">
        <w:rPr>
          <w:lang w:eastAsia="en-AU"/>
        </w:rPr>
        <w:t xml:space="preserve"> </w:t>
      </w:r>
      <w:r>
        <w:rPr>
          <w:lang w:eastAsia="en-AU"/>
        </w:rPr>
        <w:t>by headspace National</w:t>
      </w:r>
      <w:r w:rsidRPr="0567BB46">
        <w:rPr>
          <w:lang w:eastAsia="en-AU"/>
        </w:rPr>
        <w:t>. However, services</w:t>
      </w:r>
      <w:r w:rsidR="008639A1">
        <w:rPr>
          <w:lang w:eastAsia="en-AU"/>
        </w:rPr>
        <w:t>,</w:t>
      </w:r>
      <w:r w:rsidRPr="0567BB46">
        <w:rPr>
          <w:lang w:eastAsia="en-AU"/>
        </w:rPr>
        <w:t xml:space="preserve"> such as</w:t>
      </w:r>
      <w:r w:rsidRPr="00D93AE8">
        <w:rPr>
          <w:lang w:eastAsia="en-AU"/>
        </w:rPr>
        <w:t xml:space="preserve"> mental health advocacy work</w:t>
      </w:r>
      <w:r>
        <w:rPr>
          <w:lang w:eastAsia="en-AU"/>
        </w:rPr>
        <w:t>, community outreach</w:t>
      </w:r>
      <w:r w:rsidRPr="00D93AE8">
        <w:rPr>
          <w:lang w:eastAsia="en-AU"/>
        </w:rPr>
        <w:t xml:space="preserve"> and efforts by staff to connect young people who do not meet headspace service criteria with other local supports</w:t>
      </w:r>
      <w:r w:rsidR="008639A1">
        <w:rPr>
          <w:lang w:eastAsia="en-AU"/>
        </w:rPr>
        <w:t>,</w:t>
      </w:r>
      <w:r>
        <w:rPr>
          <w:lang w:eastAsia="en-AU"/>
        </w:rPr>
        <w:t xml:space="preserve"> a</w:t>
      </w:r>
      <w:r w:rsidRPr="0567BB46">
        <w:rPr>
          <w:lang w:eastAsia="en-AU"/>
        </w:rPr>
        <w:t>re</w:t>
      </w:r>
      <w:r>
        <w:rPr>
          <w:lang w:eastAsia="en-AU"/>
        </w:rPr>
        <w:t xml:space="preserve"> not captured</w:t>
      </w:r>
      <w:r w:rsidRPr="0567BB46">
        <w:rPr>
          <w:lang w:eastAsia="en-AU"/>
        </w:rPr>
        <w:t xml:space="preserve"> in these data sets.</w:t>
      </w:r>
    </w:p>
    <w:p w14:paraId="12425522" w14:textId="371DA24D" w:rsidR="003A2021" w:rsidRDefault="003A2021" w:rsidP="003A2021">
      <w:pPr>
        <w:pStyle w:val="BodyText"/>
      </w:pPr>
      <w:r w:rsidRPr="00D93AE8">
        <w:rPr>
          <w:lang w:eastAsia="en-AU"/>
        </w:rPr>
        <w:t xml:space="preserve">To develop a more comprehensive understanding of the </w:t>
      </w:r>
      <w:r w:rsidRPr="1F31A60F">
        <w:rPr>
          <w:lang w:eastAsia="en-AU"/>
        </w:rPr>
        <w:t xml:space="preserve">headspace </w:t>
      </w:r>
      <w:r w:rsidRPr="00D93AE8">
        <w:rPr>
          <w:lang w:eastAsia="en-AU"/>
        </w:rPr>
        <w:t xml:space="preserve">services offered and delivered </w:t>
      </w:r>
      <w:r>
        <w:rPr>
          <w:lang w:eastAsia="en-AU"/>
        </w:rPr>
        <w:t>within these categories</w:t>
      </w:r>
      <w:r w:rsidRPr="00D93AE8">
        <w:rPr>
          <w:lang w:eastAsia="en-AU"/>
        </w:rPr>
        <w:t xml:space="preserve">, </w:t>
      </w:r>
      <w:r>
        <w:rPr>
          <w:lang w:eastAsia="en-AU"/>
        </w:rPr>
        <w:t xml:space="preserve">the evaluation team undertook deep dive analysis into services and supports offered by a selection of headspace services. </w:t>
      </w:r>
      <w:r>
        <w:t xml:space="preserve">The headspace services were selected based on the following criteria, and were reviewed by the ERG, </w:t>
      </w:r>
      <w:r w:rsidR="00812A15">
        <w:t>d</w:t>
      </w:r>
      <w:r>
        <w:t>epartment and headspace National</w:t>
      </w:r>
      <w:r w:rsidR="007075FD">
        <w:t>.</w:t>
      </w:r>
    </w:p>
    <w:p w14:paraId="15C8C448" w14:textId="23EA5620" w:rsidR="003A2021" w:rsidRDefault="003A2021" w:rsidP="003A2021">
      <w:pPr>
        <w:pStyle w:val="Bullet1stlevel"/>
      </w:pPr>
      <w:r>
        <w:rPr>
          <w:b/>
        </w:rPr>
        <w:t>G</w:t>
      </w:r>
      <w:r w:rsidRPr="00550459">
        <w:rPr>
          <w:b/>
        </w:rPr>
        <w:t>eographic location</w:t>
      </w:r>
      <w:r>
        <w:t xml:space="preserve"> – ensuring the inclusion of a mix of metropolitan, regional, and remote locations</w:t>
      </w:r>
      <w:r w:rsidR="007075FD">
        <w:t>.</w:t>
      </w:r>
    </w:p>
    <w:p w14:paraId="521ECA35" w14:textId="5841161C" w:rsidR="003A2021" w:rsidRDefault="003A2021" w:rsidP="003A2021">
      <w:pPr>
        <w:pStyle w:val="Bullet1stlevel"/>
      </w:pPr>
      <w:r>
        <w:rPr>
          <w:b/>
        </w:rPr>
        <w:t>S</w:t>
      </w:r>
      <w:r w:rsidRPr="00550459">
        <w:rPr>
          <w:b/>
        </w:rPr>
        <w:t>ocio-economic profile</w:t>
      </w:r>
      <w:r>
        <w:t xml:space="preserve"> – ensuring the inclusion of sites serving communities across the income spectrum, as indicated by the average weekly income for the Australian Bureau of Statistics (ABS) Statistical Area 3 region in which each </w:t>
      </w:r>
      <w:r w:rsidR="00E10526">
        <w:t>service</w:t>
      </w:r>
      <w:r>
        <w:t xml:space="preserve"> is located</w:t>
      </w:r>
      <w:r w:rsidR="007075FD">
        <w:t>.</w:t>
      </w:r>
      <w:r>
        <w:t xml:space="preserve"> </w:t>
      </w:r>
    </w:p>
    <w:p w14:paraId="02403B1C" w14:textId="69ACEA00" w:rsidR="003A2021" w:rsidRDefault="003A2021" w:rsidP="003A2021">
      <w:pPr>
        <w:pStyle w:val="Bullet1stlevel"/>
      </w:pPr>
      <w:r>
        <w:rPr>
          <w:b/>
          <w:bCs/>
        </w:rPr>
        <w:t>R</w:t>
      </w:r>
      <w:r w:rsidRPr="00550459">
        <w:rPr>
          <w:b/>
          <w:bCs/>
        </w:rPr>
        <w:t>ange of headspace services</w:t>
      </w:r>
      <w:r>
        <w:t xml:space="preserve"> – ensuring the inclusion of headspace centres as well as satellite </w:t>
      </w:r>
      <w:r w:rsidR="001E03BE">
        <w:t>services</w:t>
      </w:r>
      <w:r>
        <w:t xml:space="preserve"> and </w:t>
      </w:r>
      <w:r w:rsidR="00102370">
        <w:t>other</w:t>
      </w:r>
      <w:r w:rsidR="00207BA4">
        <w:t xml:space="preserve"> </w:t>
      </w:r>
      <w:r w:rsidR="001F2443">
        <w:t>model</w:t>
      </w:r>
      <w:r>
        <w:t>s</w:t>
      </w:r>
      <w:r w:rsidR="007075FD">
        <w:t>.</w:t>
      </w:r>
    </w:p>
    <w:p w14:paraId="75284B34" w14:textId="27162DFF" w:rsidR="003A2021" w:rsidRDefault="003A2021" w:rsidP="003A2021">
      <w:pPr>
        <w:pStyle w:val="Bullet1stlevel"/>
      </w:pPr>
      <w:r>
        <w:rPr>
          <w:b/>
        </w:rPr>
        <w:t>D</w:t>
      </w:r>
      <w:r w:rsidRPr="00550459">
        <w:rPr>
          <w:b/>
        </w:rPr>
        <w:t>iversity of client cohort groups</w:t>
      </w:r>
      <w:r>
        <w:t xml:space="preserve"> – ensuring the inclusion of </w:t>
      </w:r>
      <w:r w:rsidR="00E10526">
        <w:t>services supporting</w:t>
      </w:r>
      <w:r>
        <w:t xml:space="preserve"> communities with high concentrations of Aboriginal and Torres Strait Islander </w:t>
      </w:r>
      <w:r w:rsidR="006713BB">
        <w:t xml:space="preserve">young </w:t>
      </w:r>
      <w:r>
        <w:t xml:space="preserve">people and </w:t>
      </w:r>
      <w:r w:rsidR="006713BB">
        <w:t>young</w:t>
      </w:r>
      <w:r>
        <w:t xml:space="preserve"> people from culturally and linguistically diverse backgrounds</w:t>
      </w:r>
      <w:r w:rsidR="007075FD">
        <w:t>.</w:t>
      </w:r>
      <w:r>
        <w:t xml:space="preserve"> </w:t>
      </w:r>
    </w:p>
    <w:p w14:paraId="25DA0647" w14:textId="7E3F2143" w:rsidR="003A2021" w:rsidRDefault="003A2021" w:rsidP="003A2021">
      <w:pPr>
        <w:pStyle w:val="Bullet1stlevel"/>
      </w:pPr>
      <w:r>
        <w:rPr>
          <w:b/>
        </w:rPr>
        <w:t>L</w:t>
      </w:r>
      <w:r w:rsidRPr="00550459">
        <w:rPr>
          <w:b/>
        </w:rPr>
        <w:t>ead agency organisation types</w:t>
      </w:r>
      <w:r>
        <w:t xml:space="preserve"> – ensuring the inclusion of </w:t>
      </w:r>
      <w:r w:rsidR="00E10526">
        <w:t>services</w:t>
      </w:r>
      <w:r>
        <w:t xml:space="preserve"> run by a mix of lead agencies</w:t>
      </w:r>
      <w:r w:rsidR="008639A1">
        <w:t>,</w:t>
      </w:r>
      <w:r>
        <w:t xml:space="preserve"> including major national healthcare providers, local </w:t>
      </w:r>
      <w:r w:rsidR="008639A1">
        <w:t>NGOs</w:t>
      </w:r>
      <w:r>
        <w:t xml:space="preserve"> and Aboriginal Controlled Health Organisations</w:t>
      </w:r>
      <w:r w:rsidR="007075FD">
        <w:t>.</w:t>
      </w:r>
    </w:p>
    <w:p w14:paraId="382F8A11" w14:textId="78123067" w:rsidR="003A2021" w:rsidRDefault="003A2021" w:rsidP="003A2021">
      <w:pPr>
        <w:pStyle w:val="Bullet1stlevel"/>
      </w:pPr>
      <w:r>
        <w:rPr>
          <w:b/>
        </w:rPr>
        <w:t>L</w:t>
      </w:r>
      <w:r w:rsidRPr="00550459">
        <w:rPr>
          <w:b/>
        </w:rPr>
        <w:t xml:space="preserve">ength of operation of headspace </w:t>
      </w:r>
      <w:r w:rsidR="00E10526">
        <w:rPr>
          <w:b/>
        </w:rPr>
        <w:t>service</w:t>
      </w:r>
      <w:r>
        <w:t xml:space="preserve"> – ensuring the inclusion of </w:t>
      </w:r>
      <w:r w:rsidR="00E10526">
        <w:t>service</w:t>
      </w:r>
      <w:r>
        <w:t xml:space="preserve">s which have been in operation across the spectrum of the headspace program’s lifespan, selected from sites that have been operational </w:t>
      </w:r>
      <w:r w:rsidR="008639A1">
        <w:t>for more than</w:t>
      </w:r>
      <w:r w:rsidR="00221564">
        <w:t xml:space="preserve"> </w:t>
      </w:r>
      <w:r>
        <w:t xml:space="preserve">10 years, </w:t>
      </w:r>
      <w:r w:rsidR="004E72DE">
        <w:t>more than five</w:t>
      </w:r>
      <w:r>
        <w:t xml:space="preserve"> years, </w:t>
      </w:r>
      <w:r w:rsidR="004E72DE">
        <w:t>more than two</w:t>
      </w:r>
      <w:r>
        <w:t xml:space="preserve"> years and </w:t>
      </w:r>
      <w:r w:rsidR="004E72DE">
        <w:t>more than one</w:t>
      </w:r>
      <w:r>
        <w:t xml:space="preserve"> year.</w:t>
      </w:r>
    </w:p>
    <w:p w14:paraId="12D07177" w14:textId="77777777" w:rsidR="003A2021" w:rsidRPr="00D93AE8" w:rsidRDefault="003A2021" w:rsidP="003006A8">
      <w:pPr>
        <w:pStyle w:val="BodyText"/>
      </w:pPr>
      <w:r>
        <w:t>In conducting deep dive qualitative research,</w:t>
      </w:r>
      <w:r w:rsidRPr="00D93AE8">
        <w:t xml:space="preserve"> the </w:t>
      </w:r>
      <w:r>
        <w:t>evaluation</w:t>
      </w:r>
      <w:r w:rsidRPr="00D93AE8">
        <w:t xml:space="preserve"> team:</w:t>
      </w:r>
    </w:p>
    <w:p w14:paraId="619D9A0D" w14:textId="146D5F32" w:rsidR="003A2021" w:rsidRPr="00D93AE8" w:rsidRDefault="003A2021" w:rsidP="003A2021">
      <w:pPr>
        <w:pStyle w:val="Bullet1stlevel"/>
        <w:rPr>
          <w:lang w:eastAsia="en-AU"/>
        </w:rPr>
      </w:pPr>
      <w:r>
        <w:rPr>
          <w:lang w:eastAsia="en-AU"/>
        </w:rPr>
        <w:t>c</w:t>
      </w:r>
      <w:r w:rsidRPr="00D93AE8">
        <w:rPr>
          <w:lang w:eastAsia="en-AU"/>
        </w:rPr>
        <w:t>onduct</w:t>
      </w:r>
      <w:r>
        <w:rPr>
          <w:lang w:eastAsia="en-AU"/>
        </w:rPr>
        <w:t>ed</w:t>
      </w:r>
      <w:r w:rsidRPr="00D93AE8">
        <w:rPr>
          <w:lang w:eastAsia="en-AU"/>
        </w:rPr>
        <w:t xml:space="preserve"> interviews with representatives of the commissioning PHN, </w:t>
      </w:r>
      <w:r>
        <w:rPr>
          <w:lang w:eastAsia="en-AU"/>
        </w:rPr>
        <w:t>lead agen</w:t>
      </w:r>
      <w:r w:rsidRPr="00D93AE8">
        <w:rPr>
          <w:lang w:eastAsia="en-AU"/>
        </w:rPr>
        <w:t>cy, Youth Advisory Group</w:t>
      </w:r>
      <w:r>
        <w:rPr>
          <w:lang w:eastAsia="en-AU"/>
        </w:rPr>
        <w:t>,</w:t>
      </w:r>
      <w:r w:rsidRPr="00D93AE8">
        <w:rPr>
          <w:lang w:eastAsia="en-AU"/>
        </w:rPr>
        <w:t xml:space="preserve"> senior clinical and administrative staff</w:t>
      </w:r>
      <w:r>
        <w:rPr>
          <w:lang w:eastAsia="en-AU"/>
        </w:rPr>
        <w:t>, local area GPs, TMHS</w:t>
      </w:r>
      <w:r w:rsidR="0074743E">
        <w:rPr>
          <w:lang w:eastAsia="en-AU"/>
        </w:rPr>
        <w:t>s</w:t>
      </w:r>
      <w:r>
        <w:rPr>
          <w:lang w:eastAsia="en-AU"/>
        </w:rPr>
        <w:t xml:space="preserve"> and Indigenous health or community organisations</w:t>
      </w:r>
      <w:r w:rsidR="00A74E38">
        <w:rPr>
          <w:lang w:eastAsia="en-AU"/>
        </w:rPr>
        <w:t>;</w:t>
      </w:r>
    </w:p>
    <w:p w14:paraId="762BCAEC" w14:textId="35A0884E" w:rsidR="003A2021" w:rsidRPr="00D93AE8" w:rsidRDefault="003A2021" w:rsidP="003A2021">
      <w:pPr>
        <w:pStyle w:val="Bullet1stlevel"/>
        <w:rPr>
          <w:lang w:eastAsia="en-AU"/>
        </w:rPr>
      </w:pPr>
      <w:r>
        <w:rPr>
          <w:lang w:eastAsia="en-AU"/>
        </w:rPr>
        <w:t>explored the demographic</w:t>
      </w:r>
      <w:r w:rsidRPr="00D93AE8">
        <w:rPr>
          <w:lang w:eastAsia="en-AU"/>
        </w:rPr>
        <w:t xml:space="preserve"> profile of the </w:t>
      </w:r>
      <w:r>
        <w:rPr>
          <w:lang w:eastAsia="en-AU"/>
        </w:rPr>
        <w:t>servic</w:t>
      </w:r>
      <w:r w:rsidRPr="00D93AE8">
        <w:rPr>
          <w:lang w:eastAsia="en-AU"/>
        </w:rPr>
        <w:t xml:space="preserve">e’s users </w:t>
      </w:r>
      <w:r>
        <w:rPr>
          <w:lang w:eastAsia="en-AU"/>
        </w:rPr>
        <w:t xml:space="preserve">and their experiences through </w:t>
      </w:r>
      <w:r w:rsidRPr="00D93AE8">
        <w:rPr>
          <w:lang w:eastAsia="en-AU"/>
        </w:rPr>
        <w:t>discussions with staff</w:t>
      </w:r>
      <w:r w:rsidR="00A74E38">
        <w:rPr>
          <w:lang w:eastAsia="en-AU"/>
        </w:rPr>
        <w:t>; and</w:t>
      </w:r>
    </w:p>
    <w:p w14:paraId="0914B6A6" w14:textId="62A60A1A" w:rsidR="007F00F3" w:rsidRPr="007F00F3" w:rsidRDefault="003A2021" w:rsidP="007F00F3">
      <w:pPr>
        <w:pStyle w:val="Bullet1stlevel"/>
        <w:rPr>
          <w:lang w:eastAsia="en-AU"/>
        </w:rPr>
      </w:pPr>
      <w:r>
        <w:rPr>
          <w:lang w:eastAsia="en-AU"/>
        </w:rPr>
        <w:t>explored the</w:t>
      </w:r>
      <w:r w:rsidRPr="00D93AE8">
        <w:rPr>
          <w:lang w:eastAsia="en-AU"/>
        </w:rPr>
        <w:t xml:space="preserve"> clinical, non-clinical and advocacy</w:t>
      </w:r>
      <w:r>
        <w:rPr>
          <w:lang w:eastAsia="en-AU"/>
        </w:rPr>
        <w:t xml:space="preserve"> and </w:t>
      </w:r>
      <w:r w:rsidRPr="00D93AE8">
        <w:rPr>
          <w:lang w:eastAsia="en-AU"/>
        </w:rPr>
        <w:t xml:space="preserve">community activities undertaken at the </w:t>
      </w:r>
      <w:r w:rsidR="00E10526">
        <w:rPr>
          <w:lang w:eastAsia="en-AU"/>
        </w:rPr>
        <w:t>service</w:t>
      </w:r>
      <w:r w:rsidRPr="00D93AE8">
        <w:rPr>
          <w:lang w:eastAsia="en-AU"/>
        </w:rPr>
        <w:t xml:space="preserve"> and the </w:t>
      </w:r>
      <w:r w:rsidR="004E72DE">
        <w:rPr>
          <w:lang w:eastAsia="en-AU"/>
        </w:rPr>
        <w:t xml:space="preserve">associated </w:t>
      </w:r>
      <w:r>
        <w:rPr>
          <w:lang w:eastAsia="en-AU"/>
        </w:rPr>
        <w:t>resourcing.</w:t>
      </w:r>
      <w:r w:rsidRPr="00D93AE8">
        <w:rPr>
          <w:lang w:eastAsia="en-AU"/>
        </w:rPr>
        <w:t xml:space="preserve"> </w:t>
      </w:r>
    </w:p>
    <w:p w14:paraId="7AAFBBF8" w14:textId="481E9DDD" w:rsidR="003A2021" w:rsidRPr="00287FEA" w:rsidRDefault="003A2021" w:rsidP="003A2021">
      <w:pPr>
        <w:pStyle w:val="BodyText"/>
      </w:pPr>
      <w:r>
        <w:t>A</w:t>
      </w:r>
      <w:r w:rsidRPr="001E789C">
        <w:t xml:space="preserve"> standard questionnaire and data-collection matrix </w:t>
      </w:r>
      <w:r>
        <w:t>was</w:t>
      </w:r>
      <w:r w:rsidRPr="001E789C">
        <w:t xml:space="preserve"> developed for use in undertaking each of the deep</w:t>
      </w:r>
      <w:r>
        <w:t xml:space="preserve"> </w:t>
      </w:r>
      <w:r w:rsidRPr="001E789C">
        <w:t>dive case studies. This ensure</w:t>
      </w:r>
      <w:r>
        <w:t>d</w:t>
      </w:r>
      <w:r w:rsidRPr="001E789C">
        <w:t xml:space="preserve"> </w:t>
      </w:r>
      <w:r w:rsidR="004E72DE">
        <w:t xml:space="preserve">that </w:t>
      </w:r>
      <w:r w:rsidRPr="001E789C">
        <w:t xml:space="preserve">consistent information </w:t>
      </w:r>
      <w:r>
        <w:t>wa</w:t>
      </w:r>
      <w:r w:rsidRPr="001E789C">
        <w:t>s sought and analysed</w:t>
      </w:r>
      <w:r>
        <w:t xml:space="preserve"> across all site locations. </w:t>
      </w:r>
      <w:r w:rsidRPr="00287FEA">
        <w:t xml:space="preserve">The </w:t>
      </w:r>
      <w:r>
        <w:t xml:space="preserve">deep dive </w:t>
      </w:r>
      <w:r w:rsidRPr="00287FEA">
        <w:t>sites for th</w:t>
      </w:r>
      <w:r>
        <w:t>e</w:t>
      </w:r>
      <w:r w:rsidRPr="00287FEA">
        <w:t xml:space="preserve"> evaluation</w:t>
      </w:r>
      <w:r>
        <w:t xml:space="preserve"> and their specific characteristics</w:t>
      </w:r>
      <w:r w:rsidRPr="00287FEA">
        <w:t xml:space="preserve"> include:</w:t>
      </w:r>
    </w:p>
    <w:p w14:paraId="42CB05BD" w14:textId="348EC010" w:rsidR="003A2021" w:rsidRPr="00971E56" w:rsidRDefault="003A2021" w:rsidP="003A2021">
      <w:pPr>
        <w:pStyle w:val="Caption"/>
      </w:pPr>
      <w:bookmarkStart w:id="192" w:name="_Toc108108978"/>
      <w:r>
        <w:t xml:space="preserve">Table </w:t>
      </w:r>
      <w:r w:rsidDel="002272A0">
        <w:rPr>
          <w:iCs w:val="0"/>
        </w:rPr>
        <w:fldChar w:fldCharType="begin"/>
      </w:r>
      <w:r w:rsidDel="002272A0">
        <w:instrText>SEQ Table \* ARABIC</w:instrText>
      </w:r>
      <w:r w:rsidDel="002272A0">
        <w:rPr>
          <w:iCs w:val="0"/>
        </w:rPr>
        <w:fldChar w:fldCharType="separate"/>
      </w:r>
      <w:r w:rsidR="00CC0438">
        <w:rPr>
          <w:noProof/>
        </w:rPr>
        <w:t>28</w:t>
      </w:r>
      <w:r w:rsidDel="002272A0">
        <w:rPr>
          <w:iCs w:val="0"/>
        </w:rPr>
        <w:fldChar w:fldCharType="end"/>
      </w:r>
      <w:r>
        <w:t xml:space="preserve">: </w:t>
      </w:r>
      <w:r w:rsidRPr="00E938A2">
        <w:t>Geographic regions of focus for the evaluation</w:t>
      </w:r>
      <w:bookmarkEnd w:id="192"/>
    </w:p>
    <w:tbl>
      <w:tblPr>
        <w:tblStyle w:val="TableGrid"/>
        <w:tblW w:w="5695"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Geographic regions of focus for the evaluation"/>
        <w:tblDescription w:val="Table 2 has 8 columns. The first column lists the locations used as deep dive sites for the evaluation. The 2nd through to 5th columns outline centre characteristic for the deep dive locations, including the duration the service has been in operation, its regional classification, the type of service it is, and whether it had been open and included in previous evaluations of headspace. Columns 6 through to 8 provide overarching demographic data for each location, including proportion of the population that is Aboriginal and Torres Strait Islander, proportion of the population that is from a culturally or linguistically diverse background, and average household income. "/>
      </w:tblPr>
      <w:tblGrid>
        <w:gridCol w:w="1134"/>
        <w:gridCol w:w="1193"/>
        <w:gridCol w:w="1364"/>
        <w:gridCol w:w="1552"/>
        <w:gridCol w:w="1133"/>
        <w:gridCol w:w="1405"/>
        <w:gridCol w:w="1430"/>
        <w:gridCol w:w="1108"/>
      </w:tblGrid>
      <w:tr w:rsidR="00AD5E75" w:rsidRPr="00D65A2D" w14:paraId="136EA259" w14:textId="77777777" w:rsidTr="009E659F">
        <w:trPr>
          <w:tblHeader/>
        </w:trPr>
        <w:tc>
          <w:tcPr>
            <w:tcW w:w="549"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338D" w:themeFill="background2"/>
            <w:vAlign w:val="bottom"/>
          </w:tcPr>
          <w:p w14:paraId="01A80C30" w14:textId="77777777" w:rsidR="003A2021" w:rsidRPr="005B31AC" w:rsidRDefault="003A2021" w:rsidP="004E0DFF">
            <w:pPr>
              <w:pStyle w:val="Tableheading"/>
              <w:rPr>
                <w:sz w:val="18"/>
                <w:szCs w:val="18"/>
              </w:rPr>
            </w:pPr>
            <w:r w:rsidRPr="005B31AC">
              <w:rPr>
                <w:sz w:val="18"/>
                <w:szCs w:val="18"/>
              </w:rPr>
              <w:t>Location</w:t>
            </w:r>
          </w:p>
        </w:tc>
        <w:tc>
          <w:tcPr>
            <w:tcW w:w="2540"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38D" w:themeFill="background2"/>
          </w:tcPr>
          <w:p w14:paraId="26E84FD3" w14:textId="578B174B" w:rsidR="003A2021" w:rsidRPr="005B31AC" w:rsidRDefault="006464B1" w:rsidP="004E0DFF">
            <w:pPr>
              <w:pStyle w:val="Tableheading"/>
              <w:jc w:val="center"/>
              <w:rPr>
                <w:sz w:val="18"/>
                <w:szCs w:val="18"/>
              </w:rPr>
            </w:pPr>
            <w:r>
              <w:rPr>
                <w:sz w:val="18"/>
                <w:szCs w:val="18"/>
              </w:rPr>
              <w:t xml:space="preserve">Service </w:t>
            </w:r>
            <w:r w:rsidR="003A2021" w:rsidRPr="005B31AC">
              <w:rPr>
                <w:sz w:val="18"/>
                <w:szCs w:val="18"/>
              </w:rPr>
              <w:t>Characteristics</w:t>
            </w:r>
          </w:p>
        </w:tc>
        <w:tc>
          <w:tcPr>
            <w:tcW w:w="191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38D" w:themeFill="background2"/>
          </w:tcPr>
          <w:p w14:paraId="394B28F2" w14:textId="373F114F" w:rsidR="003A2021" w:rsidRPr="005B31AC" w:rsidRDefault="003A2021" w:rsidP="004E0DFF">
            <w:pPr>
              <w:pStyle w:val="Tableheading"/>
              <w:jc w:val="center"/>
              <w:rPr>
                <w:sz w:val="18"/>
                <w:szCs w:val="18"/>
              </w:rPr>
            </w:pPr>
            <w:r w:rsidRPr="005B31AC">
              <w:rPr>
                <w:sz w:val="18"/>
                <w:szCs w:val="18"/>
              </w:rPr>
              <w:t xml:space="preserve">Demographics </w:t>
            </w:r>
            <w:r w:rsidRPr="00515399">
              <w:rPr>
                <w:sz w:val="18"/>
                <w:szCs w:val="18"/>
              </w:rPr>
              <w:t xml:space="preserve">(based on 2016 </w:t>
            </w:r>
            <w:r w:rsidR="00812A15" w:rsidRPr="00812A15">
              <w:rPr>
                <w:sz w:val="18"/>
                <w:szCs w:val="18"/>
              </w:rPr>
              <w:t>C</w:t>
            </w:r>
            <w:r w:rsidRPr="00515399">
              <w:rPr>
                <w:sz w:val="18"/>
                <w:szCs w:val="18"/>
              </w:rPr>
              <w:t>ensus)</w:t>
            </w:r>
          </w:p>
        </w:tc>
      </w:tr>
      <w:tr w:rsidR="00AD5E75" w:rsidRPr="00D65A2D" w14:paraId="1ADB9163" w14:textId="77777777" w:rsidTr="009E659F">
        <w:trPr>
          <w:trHeight w:val="1304"/>
          <w:tblHeader/>
        </w:trPr>
        <w:tc>
          <w:tcPr>
            <w:tcW w:w="549" w:type="pct"/>
            <w:vMerge/>
          </w:tcPr>
          <w:p w14:paraId="1656E4A3" w14:textId="77777777" w:rsidR="003A2021" w:rsidRPr="009164AC" w:rsidRDefault="003A2021" w:rsidP="004E0DFF">
            <w:pPr>
              <w:pStyle w:val="Tableheading"/>
              <w:rPr>
                <w:sz w:val="18"/>
                <w:szCs w:val="18"/>
              </w:rPr>
            </w:pPr>
          </w:p>
        </w:tc>
        <w:tc>
          <w:tcPr>
            <w:tcW w:w="578" w:type="pct"/>
            <w:tcBorders>
              <w:top w:val="single" w:sz="4" w:space="0" w:color="FFFFFF" w:themeColor="background1"/>
              <w:left w:val="single" w:sz="4" w:space="0" w:color="FFFFFF" w:themeColor="background1"/>
            </w:tcBorders>
            <w:shd w:val="clear" w:color="auto" w:fill="00338D" w:themeFill="background2"/>
            <w:vAlign w:val="center"/>
          </w:tcPr>
          <w:p w14:paraId="1E8DEC73" w14:textId="77777777" w:rsidR="003A2021" w:rsidRPr="009164AC" w:rsidRDefault="003A2021" w:rsidP="004E0DFF">
            <w:pPr>
              <w:pStyle w:val="Tableheading"/>
              <w:jc w:val="center"/>
              <w:rPr>
                <w:sz w:val="18"/>
                <w:szCs w:val="18"/>
              </w:rPr>
            </w:pPr>
            <w:r w:rsidRPr="009164AC">
              <w:rPr>
                <w:sz w:val="18"/>
                <w:szCs w:val="18"/>
              </w:rPr>
              <w:t>Duration of operation (as at July 2020)</w:t>
            </w:r>
          </w:p>
        </w:tc>
        <w:tc>
          <w:tcPr>
            <w:tcW w:w="661" w:type="pct"/>
            <w:tcBorders>
              <w:top w:val="single" w:sz="4" w:space="0" w:color="FFFFFF" w:themeColor="background1"/>
              <w:bottom w:val="single" w:sz="4" w:space="0" w:color="FFFFFF" w:themeColor="background1"/>
            </w:tcBorders>
            <w:shd w:val="clear" w:color="auto" w:fill="00338D" w:themeFill="background2"/>
            <w:vAlign w:val="center"/>
          </w:tcPr>
          <w:p w14:paraId="45B4CA33" w14:textId="77777777" w:rsidR="003A2021" w:rsidRPr="009164AC" w:rsidRDefault="003A2021" w:rsidP="004E0DFF">
            <w:pPr>
              <w:pStyle w:val="Tableheading"/>
              <w:jc w:val="center"/>
              <w:rPr>
                <w:sz w:val="18"/>
                <w:szCs w:val="18"/>
              </w:rPr>
            </w:pPr>
            <w:r w:rsidRPr="009164AC">
              <w:rPr>
                <w:sz w:val="18"/>
                <w:szCs w:val="18"/>
              </w:rPr>
              <w:t>Regionality</w:t>
            </w:r>
          </w:p>
        </w:tc>
        <w:tc>
          <w:tcPr>
            <w:tcW w:w="752" w:type="pct"/>
            <w:tcBorders>
              <w:top w:val="single" w:sz="4" w:space="0" w:color="FFFFFF" w:themeColor="background1"/>
              <w:bottom w:val="single" w:sz="4" w:space="0" w:color="FFFFFF" w:themeColor="background1"/>
            </w:tcBorders>
            <w:shd w:val="clear" w:color="auto" w:fill="00338D" w:themeFill="background2"/>
            <w:vAlign w:val="center"/>
          </w:tcPr>
          <w:p w14:paraId="43BDD8E0" w14:textId="77777777" w:rsidR="003A2021" w:rsidRPr="009164AC" w:rsidRDefault="003A2021" w:rsidP="004E0DFF">
            <w:pPr>
              <w:pStyle w:val="Tableheading"/>
              <w:jc w:val="center"/>
              <w:rPr>
                <w:sz w:val="18"/>
                <w:szCs w:val="18"/>
              </w:rPr>
            </w:pPr>
            <w:r w:rsidRPr="009164AC">
              <w:rPr>
                <w:sz w:val="18"/>
                <w:szCs w:val="18"/>
              </w:rPr>
              <w:t>Type</w:t>
            </w:r>
          </w:p>
        </w:tc>
        <w:tc>
          <w:tcPr>
            <w:tcW w:w="549" w:type="pct"/>
            <w:tcBorders>
              <w:top w:val="single" w:sz="4" w:space="0" w:color="FFFFFF" w:themeColor="background1"/>
              <w:bottom w:val="single" w:sz="4" w:space="0" w:color="FFFFFF" w:themeColor="background1"/>
              <w:right w:val="single" w:sz="4" w:space="0" w:color="FFFFFF" w:themeColor="background1"/>
            </w:tcBorders>
            <w:shd w:val="clear" w:color="auto" w:fill="00338D" w:themeFill="background2"/>
            <w:vAlign w:val="center"/>
          </w:tcPr>
          <w:p w14:paraId="6535D4C0" w14:textId="77777777" w:rsidR="003A2021" w:rsidRPr="009164AC" w:rsidRDefault="003A2021" w:rsidP="004E0DFF">
            <w:pPr>
              <w:pStyle w:val="Tableheading"/>
              <w:jc w:val="center"/>
              <w:rPr>
                <w:sz w:val="18"/>
                <w:szCs w:val="18"/>
              </w:rPr>
            </w:pPr>
            <w:r w:rsidRPr="009164AC">
              <w:rPr>
                <w:sz w:val="18"/>
                <w:szCs w:val="18"/>
              </w:rPr>
              <w:t>In previous evaluation</w:t>
            </w:r>
          </w:p>
        </w:tc>
        <w:tc>
          <w:tcPr>
            <w:tcW w:w="681" w:type="pct"/>
            <w:tcBorders>
              <w:top w:val="single" w:sz="4" w:space="0" w:color="FFFFFF" w:themeColor="background1"/>
              <w:left w:val="single" w:sz="4" w:space="0" w:color="FFFFFF" w:themeColor="background1"/>
              <w:bottom w:val="single" w:sz="4" w:space="0" w:color="FFFFFF" w:themeColor="background1"/>
            </w:tcBorders>
            <w:shd w:val="clear" w:color="auto" w:fill="00338D" w:themeFill="background2"/>
            <w:vAlign w:val="center"/>
          </w:tcPr>
          <w:p w14:paraId="5D2FBF9C" w14:textId="6B3FB30B" w:rsidR="003A2021" w:rsidRPr="009164AC" w:rsidRDefault="003A2021" w:rsidP="004E0DFF">
            <w:pPr>
              <w:pStyle w:val="Tableheading"/>
              <w:jc w:val="center"/>
              <w:rPr>
                <w:sz w:val="18"/>
                <w:szCs w:val="18"/>
              </w:rPr>
            </w:pPr>
            <w:r w:rsidRPr="009164AC">
              <w:rPr>
                <w:sz w:val="18"/>
                <w:szCs w:val="18"/>
              </w:rPr>
              <w:t>Aboriginal and Torres Strait Islander</w:t>
            </w:r>
            <w:r w:rsidR="00376BF2" w:rsidRPr="009164AC">
              <w:rPr>
                <w:sz w:val="18"/>
                <w:szCs w:val="18"/>
              </w:rPr>
              <w:t xml:space="preserve"> young person</w:t>
            </w:r>
          </w:p>
        </w:tc>
        <w:tc>
          <w:tcPr>
            <w:tcW w:w="693" w:type="pct"/>
            <w:tcBorders>
              <w:top w:val="single" w:sz="4" w:space="0" w:color="FFFFFF" w:themeColor="background1"/>
              <w:bottom w:val="single" w:sz="4" w:space="0" w:color="FFFFFF" w:themeColor="background1"/>
            </w:tcBorders>
            <w:shd w:val="clear" w:color="auto" w:fill="00338D" w:themeFill="background2"/>
            <w:vAlign w:val="center"/>
          </w:tcPr>
          <w:p w14:paraId="0BD6B92A" w14:textId="69FCF620" w:rsidR="003A2021" w:rsidRPr="009164AC" w:rsidRDefault="003A2021" w:rsidP="004E0DFF">
            <w:pPr>
              <w:pStyle w:val="Tableheading"/>
              <w:jc w:val="center"/>
              <w:rPr>
                <w:sz w:val="18"/>
                <w:szCs w:val="18"/>
              </w:rPr>
            </w:pPr>
            <w:r w:rsidRPr="009164AC">
              <w:rPr>
                <w:sz w:val="18"/>
                <w:szCs w:val="18"/>
              </w:rPr>
              <w:t xml:space="preserve">Culturally and </w:t>
            </w:r>
            <w:r w:rsidR="009E659F" w:rsidRPr="009164AC">
              <w:rPr>
                <w:sz w:val="18"/>
                <w:szCs w:val="18"/>
              </w:rPr>
              <w:t>linguistically</w:t>
            </w:r>
            <w:r w:rsidRPr="009164AC">
              <w:rPr>
                <w:sz w:val="18"/>
                <w:szCs w:val="18"/>
              </w:rPr>
              <w:t xml:space="preserve"> diverse</w:t>
            </w:r>
            <w:r w:rsidR="00376BF2" w:rsidRPr="009164AC">
              <w:rPr>
                <w:sz w:val="18"/>
                <w:szCs w:val="18"/>
              </w:rPr>
              <w:t xml:space="preserve"> young person</w:t>
            </w:r>
          </w:p>
        </w:tc>
        <w:tc>
          <w:tcPr>
            <w:tcW w:w="537" w:type="pct"/>
            <w:tcBorders>
              <w:top w:val="single" w:sz="4" w:space="0" w:color="FFFFFF" w:themeColor="background1"/>
              <w:bottom w:val="single" w:sz="4" w:space="0" w:color="FFFFFF" w:themeColor="background1"/>
              <w:right w:val="single" w:sz="4" w:space="0" w:color="FFFFFF" w:themeColor="background1"/>
            </w:tcBorders>
            <w:shd w:val="clear" w:color="auto" w:fill="00338D" w:themeFill="background2"/>
            <w:vAlign w:val="center"/>
          </w:tcPr>
          <w:p w14:paraId="478A2C8A" w14:textId="77777777" w:rsidR="003A2021" w:rsidRPr="009164AC" w:rsidRDefault="003A2021" w:rsidP="004E0DFF">
            <w:pPr>
              <w:pStyle w:val="Tableheading"/>
              <w:jc w:val="center"/>
              <w:rPr>
                <w:sz w:val="18"/>
                <w:szCs w:val="18"/>
              </w:rPr>
            </w:pPr>
            <w:r w:rsidRPr="009164AC">
              <w:rPr>
                <w:sz w:val="18"/>
                <w:szCs w:val="18"/>
              </w:rPr>
              <w:t>Average household income</w:t>
            </w:r>
          </w:p>
        </w:tc>
      </w:tr>
      <w:tr w:rsidR="00083297" w14:paraId="02794328" w14:textId="77777777" w:rsidTr="009E659F">
        <w:tc>
          <w:tcPr>
            <w:tcW w:w="549" w:type="pct"/>
            <w:tcBorders>
              <w:top w:val="single" w:sz="4" w:space="0" w:color="FFFFFF" w:themeColor="background1"/>
              <w:bottom w:val="single" w:sz="2" w:space="0" w:color="808080" w:themeColor="background1" w:themeShade="80"/>
            </w:tcBorders>
            <w:vAlign w:val="center"/>
          </w:tcPr>
          <w:p w14:paraId="746541FA" w14:textId="77777777" w:rsidR="003A2021" w:rsidRPr="005B31AC" w:rsidRDefault="003A2021" w:rsidP="004E0DFF">
            <w:pPr>
              <w:pStyle w:val="Tabletext"/>
              <w:rPr>
                <w:sz w:val="18"/>
                <w:szCs w:val="18"/>
              </w:rPr>
            </w:pPr>
            <w:r w:rsidRPr="005B31AC">
              <w:rPr>
                <w:sz w:val="18"/>
                <w:szCs w:val="18"/>
              </w:rPr>
              <w:t>Bega</w:t>
            </w:r>
          </w:p>
        </w:tc>
        <w:tc>
          <w:tcPr>
            <w:tcW w:w="578" w:type="pct"/>
            <w:tcBorders>
              <w:bottom w:val="single" w:sz="2" w:space="0" w:color="808080" w:themeColor="background1" w:themeShade="80"/>
            </w:tcBorders>
            <w:vAlign w:val="center"/>
          </w:tcPr>
          <w:p w14:paraId="6BA10ACE" w14:textId="77777777" w:rsidR="003A2021" w:rsidRPr="005B31AC" w:rsidRDefault="003A2021" w:rsidP="004E0DFF">
            <w:pPr>
              <w:pStyle w:val="Tabletext"/>
              <w:jc w:val="center"/>
              <w:rPr>
                <w:sz w:val="18"/>
                <w:szCs w:val="18"/>
              </w:rPr>
            </w:pPr>
            <w:r w:rsidRPr="005B31AC">
              <w:rPr>
                <w:sz w:val="18"/>
                <w:szCs w:val="18"/>
              </w:rPr>
              <w:t>&gt;2 years</w:t>
            </w:r>
          </w:p>
        </w:tc>
        <w:tc>
          <w:tcPr>
            <w:tcW w:w="661" w:type="pct"/>
            <w:tcBorders>
              <w:top w:val="single" w:sz="4" w:space="0" w:color="FFFFFF" w:themeColor="background1"/>
              <w:bottom w:val="single" w:sz="2" w:space="0" w:color="808080" w:themeColor="background1" w:themeShade="80"/>
            </w:tcBorders>
            <w:vAlign w:val="center"/>
          </w:tcPr>
          <w:p w14:paraId="1C286BC3" w14:textId="77777777" w:rsidR="003A2021" w:rsidRPr="005B31AC" w:rsidRDefault="003A2021" w:rsidP="004E0DFF">
            <w:pPr>
              <w:pStyle w:val="Tabletext"/>
              <w:jc w:val="center"/>
              <w:rPr>
                <w:sz w:val="18"/>
                <w:szCs w:val="18"/>
              </w:rPr>
            </w:pPr>
            <w:r w:rsidRPr="005B31AC">
              <w:rPr>
                <w:sz w:val="18"/>
                <w:szCs w:val="18"/>
              </w:rPr>
              <w:t>Outer Regional</w:t>
            </w:r>
          </w:p>
        </w:tc>
        <w:tc>
          <w:tcPr>
            <w:tcW w:w="752" w:type="pct"/>
            <w:tcBorders>
              <w:top w:val="single" w:sz="4" w:space="0" w:color="FFFFFF" w:themeColor="background1"/>
              <w:bottom w:val="single" w:sz="2" w:space="0" w:color="808080" w:themeColor="background1" w:themeShade="80"/>
            </w:tcBorders>
            <w:vAlign w:val="center"/>
          </w:tcPr>
          <w:p w14:paraId="55BAD31B" w14:textId="77777777" w:rsidR="003A2021" w:rsidRPr="005B31AC" w:rsidRDefault="003A2021" w:rsidP="004E0DFF">
            <w:pPr>
              <w:pStyle w:val="Tabletext"/>
              <w:jc w:val="center"/>
              <w:rPr>
                <w:sz w:val="18"/>
                <w:szCs w:val="18"/>
              </w:rPr>
            </w:pPr>
            <w:r w:rsidRPr="005B31AC">
              <w:rPr>
                <w:sz w:val="18"/>
                <w:szCs w:val="18"/>
              </w:rPr>
              <w:t>Hub for Eden, Narooma, and Cooma spokes</w:t>
            </w:r>
          </w:p>
        </w:tc>
        <w:tc>
          <w:tcPr>
            <w:tcW w:w="549" w:type="pct"/>
            <w:tcBorders>
              <w:top w:val="single" w:sz="4" w:space="0" w:color="FFFFFF" w:themeColor="background1"/>
              <w:bottom w:val="single" w:sz="2" w:space="0" w:color="808080" w:themeColor="background1" w:themeShade="80"/>
            </w:tcBorders>
            <w:vAlign w:val="center"/>
          </w:tcPr>
          <w:p w14:paraId="7B41A6A5" w14:textId="77777777" w:rsidR="003A2021" w:rsidRPr="005B31AC" w:rsidRDefault="003A2021" w:rsidP="004E0DFF">
            <w:pPr>
              <w:pStyle w:val="Tabletext"/>
              <w:jc w:val="center"/>
              <w:rPr>
                <w:sz w:val="18"/>
                <w:szCs w:val="18"/>
              </w:rPr>
            </w:pPr>
            <w:r w:rsidRPr="005B31AC">
              <w:rPr>
                <w:sz w:val="18"/>
                <w:szCs w:val="18"/>
              </w:rPr>
              <w:t>N</w:t>
            </w:r>
          </w:p>
        </w:tc>
        <w:tc>
          <w:tcPr>
            <w:tcW w:w="681" w:type="pct"/>
            <w:tcBorders>
              <w:top w:val="single" w:sz="4" w:space="0" w:color="FFFFFF" w:themeColor="background1"/>
              <w:bottom w:val="single" w:sz="2" w:space="0" w:color="808080" w:themeColor="background1" w:themeShade="80"/>
            </w:tcBorders>
            <w:vAlign w:val="center"/>
          </w:tcPr>
          <w:p w14:paraId="20A3011A" w14:textId="77777777" w:rsidR="003A2021" w:rsidRPr="005B31AC" w:rsidRDefault="003A2021" w:rsidP="004E0DFF">
            <w:pPr>
              <w:pStyle w:val="Tabletext"/>
              <w:jc w:val="center"/>
              <w:rPr>
                <w:sz w:val="18"/>
                <w:szCs w:val="18"/>
              </w:rPr>
            </w:pPr>
            <w:r w:rsidRPr="005B31AC">
              <w:rPr>
                <w:sz w:val="18"/>
                <w:szCs w:val="18"/>
              </w:rPr>
              <w:t>4.4%</w:t>
            </w:r>
          </w:p>
        </w:tc>
        <w:tc>
          <w:tcPr>
            <w:tcW w:w="693" w:type="pct"/>
            <w:tcBorders>
              <w:top w:val="single" w:sz="4" w:space="0" w:color="FFFFFF" w:themeColor="background1"/>
              <w:bottom w:val="single" w:sz="2" w:space="0" w:color="808080" w:themeColor="background1" w:themeShade="80"/>
            </w:tcBorders>
            <w:vAlign w:val="center"/>
          </w:tcPr>
          <w:p w14:paraId="286E1159" w14:textId="77777777" w:rsidR="003A2021" w:rsidRPr="005B31AC" w:rsidRDefault="003A2021" w:rsidP="004E0DFF">
            <w:pPr>
              <w:pStyle w:val="Tabletext"/>
              <w:jc w:val="center"/>
              <w:rPr>
                <w:sz w:val="18"/>
                <w:szCs w:val="18"/>
              </w:rPr>
            </w:pPr>
            <w:r w:rsidRPr="005B31AC">
              <w:rPr>
                <w:sz w:val="18"/>
                <w:szCs w:val="18"/>
              </w:rPr>
              <w:t>15.4%</w:t>
            </w:r>
          </w:p>
        </w:tc>
        <w:tc>
          <w:tcPr>
            <w:tcW w:w="537" w:type="pct"/>
            <w:tcBorders>
              <w:top w:val="single" w:sz="4" w:space="0" w:color="FFFFFF" w:themeColor="background1"/>
              <w:bottom w:val="single" w:sz="2" w:space="0" w:color="808080" w:themeColor="background1" w:themeShade="80"/>
            </w:tcBorders>
            <w:vAlign w:val="center"/>
          </w:tcPr>
          <w:p w14:paraId="219C4113" w14:textId="77777777" w:rsidR="003A2021" w:rsidRPr="005B31AC" w:rsidRDefault="003A2021" w:rsidP="004E0DFF">
            <w:pPr>
              <w:pStyle w:val="Tabletext"/>
              <w:jc w:val="center"/>
              <w:rPr>
                <w:sz w:val="18"/>
                <w:szCs w:val="18"/>
              </w:rPr>
            </w:pPr>
            <w:r w:rsidRPr="005B31AC">
              <w:rPr>
                <w:sz w:val="18"/>
                <w:szCs w:val="18"/>
              </w:rPr>
              <w:t>$961</w:t>
            </w:r>
          </w:p>
        </w:tc>
      </w:tr>
      <w:tr w:rsidR="00AD5E75" w14:paraId="35C59534" w14:textId="77777777" w:rsidTr="009E659F">
        <w:tc>
          <w:tcPr>
            <w:tcW w:w="549" w:type="pct"/>
            <w:tcBorders>
              <w:top w:val="single" w:sz="2" w:space="0" w:color="808080" w:themeColor="background1" w:themeShade="80"/>
              <w:bottom w:val="single" w:sz="2" w:space="0" w:color="808080" w:themeColor="background1" w:themeShade="80"/>
            </w:tcBorders>
            <w:vAlign w:val="center"/>
          </w:tcPr>
          <w:p w14:paraId="0112136D" w14:textId="77777777" w:rsidR="003A2021" w:rsidRPr="005B31AC" w:rsidRDefault="003A2021" w:rsidP="004E0DFF">
            <w:pPr>
              <w:pStyle w:val="Tabletext"/>
              <w:rPr>
                <w:sz w:val="18"/>
                <w:szCs w:val="18"/>
              </w:rPr>
            </w:pPr>
            <w:r w:rsidRPr="005B31AC">
              <w:rPr>
                <w:sz w:val="18"/>
                <w:szCs w:val="18"/>
              </w:rPr>
              <w:t>Gympie</w:t>
            </w:r>
          </w:p>
        </w:tc>
        <w:tc>
          <w:tcPr>
            <w:tcW w:w="578" w:type="pct"/>
            <w:tcBorders>
              <w:top w:val="single" w:sz="2" w:space="0" w:color="808080" w:themeColor="background1" w:themeShade="80"/>
              <w:bottom w:val="single" w:sz="2" w:space="0" w:color="808080" w:themeColor="background1" w:themeShade="80"/>
            </w:tcBorders>
            <w:vAlign w:val="center"/>
          </w:tcPr>
          <w:p w14:paraId="2D7FF16D" w14:textId="77777777" w:rsidR="003A2021" w:rsidRPr="005B31AC" w:rsidRDefault="003A2021" w:rsidP="004E0DFF">
            <w:pPr>
              <w:pStyle w:val="Tabletext"/>
              <w:jc w:val="center"/>
              <w:rPr>
                <w:sz w:val="18"/>
                <w:szCs w:val="18"/>
              </w:rPr>
            </w:pPr>
            <w:r w:rsidRPr="005B31AC">
              <w:rPr>
                <w:sz w:val="18"/>
                <w:szCs w:val="18"/>
              </w:rPr>
              <w:t>&gt;2 year</w:t>
            </w:r>
          </w:p>
        </w:tc>
        <w:tc>
          <w:tcPr>
            <w:tcW w:w="661" w:type="pct"/>
            <w:tcBorders>
              <w:top w:val="single" w:sz="2" w:space="0" w:color="808080" w:themeColor="background1" w:themeShade="80"/>
              <w:bottom w:val="single" w:sz="2" w:space="0" w:color="808080" w:themeColor="background1" w:themeShade="80"/>
            </w:tcBorders>
            <w:vAlign w:val="center"/>
          </w:tcPr>
          <w:p w14:paraId="205DAF3F" w14:textId="77777777" w:rsidR="003A2021" w:rsidRPr="005B31AC" w:rsidRDefault="003A2021" w:rsidP="004E0DFF">
            <w:pPr>
              <w:pStyle w:val="Tabletext"/>
              <w:jc w:val="center"/>
              <w:rPr>
                <w:sz w:val="18"/>
                <w:szCs w:val="18"/>
              </w:rPr>
            </w:pPr>
            <w:r w:rsidRPr="005B31AC">
              <w:rPr>
                <w:sz w:val="18"/>
                <w:szCs w:val="18"/>
              </w:rPr>
              <w:t>Inner Regional</w:t>
            </w:r>
          </w:p>
        </w:tc>
        <w:tc>
          <w:tcPr>
            <w:tcW w:w="752" w:type="pct"/>
            <w:tcBorders>
              <w:top w:val="single" w:sz="2" w:space="0" w:color="808080" w:themeColor="background1" w:themeShade="80"/>
              <w:bottom w:val="single" w:sz="2" w:space="0" w:color="808080" w:themeColor="background1" w:themeShade="80"/>
            </w:tcBorders>
            <w:vAlign w:val="center"/>
          </w:tcPr>
          <w:p w14:paraId="4518C39D" w14:textId="77777777" w:rsidR="003A2021" w:rsidRPr="005B31AC" w:rsidRDefault="003A2021" w:rsidP="004E0DFF">
            <w:pPr>
              <w:pStyle w:val="Tabletext"/>
              <w:jc w:val="center"/>
              <w:rPr>
                <w:sz w:val="18"/>
                <w:szCs w:val="18"/>
              </w:rPr>
            </w:pPr>
            <w:r w:rsidRPr="005B31AC">
              <w:rPr>
                <w:sz w:val="18"/>
                <w:szCs w:val="18"/>
              </w:rPr>
              <w:t>Satellite (Maroochydore is parent centre)</w:t>
            </w:r>
          </w:p>
        </w:tc>
        <w:tc>
          <w:tcPr>
            <w:tcW w:w="549" w:type="pct"/>
            <w:tcBorders>
              <w:top w:val="single" w:sz="2" w:space="0" w:color="808080" w:themeColor="background1" w:themeShade="80"/>
              <w:bottom w:val="single" w:sz="2" w:space="0" w:color="808080" w:themeColor="background1" w:themeShade="80"/>
            </w:tcBorders>
            <w:vAlign w:val="center"/>
          </w:tcPr>
          <w:p w14:paraId="6215374F" w14:textId="77777777" w:rsidR="003A2021" w:rsidRPr="005B31AC" w:rsidRDefault="003A2021" w:rsidP="004E0DFF">
            <w:pPr>
              <w:pStyle w:val="Tabletext"/>
              <w:jc w:val="center"/>
              <w:rPr>
                <w:sz w:val="18"/>
                <w:szCs w:val="18"/>
              </w:rPr>
            </w:pPr>
            <w:r w:rsidRPr="005B31AC">
              <w:rPr>
                <w:sz w:val="18"/>
                <w:szCs w:val="18"/>
              </w:rPr>
              <w:t>N</w:t>
            </w:r>
          </w:p>
        </w:tc>
        <w:tc>
          <w:tcPr>
            <w:tcW w:w="681" w:type="pct"/>
            <w:tcBorders>
              <w:top w:val="single" w:sz="2" w:space="0" w:color="808080" w:themeColor="background1" w:themeShade="80"/>
              <w:bottom w:val="single" w:sz="2" w:space="0" w:color="808080" w:themeColor="background1" w:themeShade="80"/>
            </w:tcBorders>
            <w:vAlign w:val="center"/>
          </w:tcPr>
          <w:p w14:paraId="62F7CEFA" w14:textId="77777777" w:rsidR="003A2021" w:rsidRPr="005B31AC" w:rsidRDefault="003A2021" w:rsidP="004E0DFF">
            <w:pPr>
              <w:pStyle w:val="Tabletext"/>
              <w:jc w:val="center"/>
              <w:rPr>
                <w:sz w:val="18"/>
                <w:szCs w:val="18"/>
              </w:rPr>
            </w:pPr>
            <w:r w:rsidRPr="005B31AC">
              <w:rPr>
                <w:sz w:val="18"/>
                <w:szCs w:val="18"/>
              </w:rPr>
              <w:t>3.6%</w:t>
            </w:r>
          </w:p>
        </w:tc>
        <w:tc>
          <w:tcPr>
            <w:tcW w:w="693" w:type="pct"/>
            <w:tcBorders>
              <w:top w:val="single" w:sz="2" w:space="0" w:color="808080" w:themeColor="background1" w:themeShade="80"/>
              <w:bottom w:val="single" w:sz="2" w:space="0" w:color="808080" w:themeColor="background1" w:themeShade="80"/>
            </w:tcBorders>
            <w:vAlign w:val="center"/>
          </w:tcPr>
          <w:p w14:paraId="57CC41A2" w14:textId="77777777" w:rsidR="003A2021" w:rsidRPr="005B31AC" w:rsidRDefault="003A2021" w:rsidP="004E0DFF">
            <w:pPr>
              <w:pStyle w:val="Tabletext"/>
              <w:jc w:val="center"/>
              <w:rPr>
                <w:sz w:val="18"/>
                <w:szCs w:val="18"/>
              </w:rPr>
            </w:pPr>
            <w:r w:rsidRPr="005B31AC">
              <w:rPr>
                <w:sz w:val="18"/>
                <w:szCs w:val="18"/>
              </w:rPr>
              <w:t>12.9%</w:t>
            </w:r>
          </w:p>
        </w:tc>
        <w:tc>
          <w:tcPr>
            <w:tcW w:w="537" w:type="pct"/>
            <w:tcBorders>
              <w:top w:val="single" w:sz="2" w:space="0" w:color="808080" w:themeColor="background1" w:themeShade="80"/>
              <w:bottom w:val="single" w:sz="2" w:space="0" w:color="808080" w:themeColor="background1" w:themeShade="80"/>
            </w:tcBorders>
            <w:vAlign w:val="center"/>
          </w:tcPr>
          <w:p w14:paraId="51FEC482" w14:textId="77777777" w:rsidR="003A2021" w:rsidRPr="005B31AC" w:rsidRDefault="003A2021" w:rsidP="004E0DFF">
            <w:pPr>
              <w:pStyle w:val="Tabletext"/>
              <w:jc w:val="center"/>
              <w:rPr>
                <w:sz w:val="18"/>
                <w:szCs w:val="18"/>
              </w:rPr>
            </w:pPr>
            <w:r w:rsidRPr="005B31AC">
              <w:rPr>
                <w:sz w:val="18"/>
                <w:szCs w:val="18"/>
              </w:rPr>
              <w:t>$938</w:t>
            </w:r>
          </w:p>
        </w:tc>
      </w:tr>
      <w:tr w:rsidR="00AD5E75" w14:paraId="502E393E" w14:textId="77777777" w:rsidTr="009E659F">
        <w:tc>
          <w:tcPr>
            <w:tcW w:w="549" w:type="pct"/>
            <w:tcBorders>
              <w:top w:val="single" w:sz="2" w:space="0" w:color="808080" w:themeColor="background1" w:themeShade="80"/>
              <w:bottom w:val="single" w:sz="2" w:space="0" w:color="808080" w:themeColor="background1" w:themeShade="80"/>
            </w:tcBorders>
            <w:vAlign w:val="center"/>
          </w:tcPr>
          <w:p w14:paraId="77F9CDE5" w14:textId="77777777" w:rsidR="003A2021" w:rsidRPr="005B31AC" w:rsidRDefault="003A2021" w:rsidP="004E0DFF">
            <w:pPr>
              <w:pStyle w:val="Tabletext"/>
              <w:rPr>
                <w:sz w:val="18"/>
                <w:szCs w:val="18"/>
              </w:rPr>
            </w:pPr>
            <w:r w:rsidRPr="005B31AC">
              <w:rPr>
                <w:sz w:val="18"/>
                <w:szCs w:val="18"/>
              </w:rPr>
              <w:t>Joondalup</w:t>
            </w:r>
          </w:p>
        </w:tc>
        <w:tc>
          <w:tcPr>
            <w:tcW w:w="578" w:type="pct"/>
            <w:tcBorders>
              <w:top w:val="single" w:sz="2" w:space="0" w:color="808080" w:themeColor="background1" w:themeShade="80"/>
              <w:bottom w:val="single" w:sz="2" w:space="0" w:color="808080" w:themeColor="background1" w:themeShade="80"/>
            </w:tcBorders>
            <w:vAlign w:val="center"/>
          </w:tcPr>
          <w:p w14:paraId="455CBA82" w14:textId="77777777" w:rsidR="003A2021" w:rsidRPr="005B31AC" w:rsidRDefault="003A2021" w:rsidP="004E0DFF">
            <w:pPr>
              <w:pStyle w:val="Tabletext"/>
              <w:jc w:val="center"/>
              <w:rPr>
                <w:sz w:val="18"/>
                <w:szCs w:val="18"/>
              </w:rPr>
            </w:pPr>
            <w:r w:rsidRPr="005B31AC">
              <w:rPr>
                <w:sz w:val="18"/>
                <w:szCs w:val="18"/>
              </w:rPr>
              <w:t>&gt;6 years</w:t>
            </w:r>
          </w:p>
        </w:tc>
        <w:tc>
          <w:tcPr>
            <w:tcW w:w="661" w:type="pct"/>
            <w:tcBorders>
              <w:top w:val="single" w:sz="2" w:space="0" w:color="808080" w:themeColor="background1" w:themeShade="80"/>
              <w:bottom w:val="single" w:sz="2" w:space="0" w:color="808080" w:themeColor="background1" w:themeShade="80"/>
            </w:tcBorders>
            <w:vAlign w:val="center"/>
          </w:tcPr>
          <w:p w14:paraId="116BF1DC" w14:textId="77777777" w:rsidR="003A2021" w:rsidRPr="005B31AC" w:rsidRDefault="003A2021" w:rsidP="004E0DFF">
            <w:pPr>
              <w:pStyle w:val="Tabletext"/>
              <w:jc w:val="center"/>
              <w:rPr>
                <w:sz w:val="18"/>
                <w:szCs w:val="18"/>
              </w:rPr>
            </w:pPr>
            <w:r w:rsidRPr="005B31AC">
              <w:rPr>
                <w:sz w:val="18"/>
                <w:szCs w:val="18"/>
              </w:rPr>
              <w:t>Metro</w:t>
            </w:r>
          </w:p>
        </w:tc>
        <w:tc>
          <w:tcPr>
            <w:tcW w:w="752" w:type="pct"/>
            <w:tcBorders>
              <w:top w:val="single" w:sz="2" w:space="0" w:color="808080" w:themeColor="background1" w:themeShade="80"/>
              <w:bottom w:val="single" w:sz="2" w:space="0" w:color="808080" w:themeColor="background1" w:themeShade="80"/>
            </w:tcBorders>
            <w:vAlign w:val="center"/>
          </w:tcPr>
          <w:p w14:paraId="752A3639" w14:textId="77777777" w:rsidR="003A2021" w:rsidRPr="005B31AC" w:rsidRDefault="003A2021" w:rsidP="004E0DFF">
            <w:pPr>
              <w:pStyle w:val="Tabletext"/>
              <w:jc w:val="center"/>
              <w:rPr>
                <w:sz w:val="18"/>
                <w:szCs w:val="18"/>
              </w:rPr>
            </w:pPr>
            <w:r w:rsidRPr="005B31AC">
              <w:rPr>
                <w:sz w:val="18"/>
                <w:szCs w:val="18"/>
              </w:rPr>
              <w:t>EPYS Hub</w:t>
            </w:r>
          </w:p>
        </w:tc>
        <w:tc>
          <w:tcPr>
            <w:tcW w:w="549" w:type="pct"/>
            <w:tcBorders>
              <w:top w:val="single" w:sz="2" w:space="0" w:color="808080" w:themeColor="background1" w:themeShade="80"/>
              <w:bottom w:val="single" w:sz="2" w:space="0" w:color="808080" w:themeColor="background1" w:themeShade="80"/>
            </w:tcBorders>
            <w:vAlign w:val="center"/>
          </w:tcPr>
          <w:p w14:paraId="6F6F1679" w14:textId="77777777" w:rsidR="003A2021" w:rsidRPr="005B31AC" w:rsidRDefault="003A2021" w:rsidP="004E0DFF">
            <w:pPr>
              <w:pStyle w:val="Tabletext"/>
              <w:jc w:val="center"/>
              <w:rPr>
                <w:sz w:val="18"/>
                <w:szCs w:val="18"/>
              </w:rPr>
            </w:pPr>
            <w:r w:rsidRPr="005B31AC">
              <w:rPr>
                <w:sz w:val="18"/>
                <w:szCs w:val="18"/>
              </w:rPr>
              <w:t>Y (2015)</w:t>
            </w:r>
          </w:p>
        </w:tc>
        <w:tc>
          <w:tcPr>
            <w:tcW w:w="681" w:type="pct"/>
            <w:tcBorders>
              <w:top w:val="single" w:sz="2" w:space="0" w:color="808080" w:themeColor="background1" w:themeShade="80"/>
              <w:bottom w:val="single" w:sz="2" w:space="0" w:color="808080" w:themeColor="background1" w:themeShade="80"/>
            </w:tcBorders>
            <w:vAlign w:val="center"/>
          </w:tcPr>
          <w:p w14:paraId="13BE2435" w14:textId="77777777" w:rsidR="003A2021" w:rsidRPr="005B31AC" w:rsidRDefault="003A2021" w:rsidP="004E0DFF">
            <w:pPr>
              <w:pStyle w:val="Tabletext"/>
              <w:jc w:val="center"/>
              <w:rPr>
                <w:sz w:val="18"/>
                <w:szCs w:val="18"/>
              </w:rPr>
            </w:pPr>
            <w:r w:rsidRPr="005B31AC">
              <w:rPr>
                <w:sz w:val="18"/>
                <w:szCs w:val="18"/>
              </w:rPr>
              <w:t>0.6%</w:t>
            </w:r>
          </w:p>
        </w:tc>
        <w:tc>
          <w:tcPr>
            <w:tcW w:w="693" w:type="pct"/>
            <w:tcBorders>
              <w:top w:val="single" w:sz="2" w:space="0" w:color="808080" w:themeColor="background1" w:themeShade="80"/>
              <w:bottom w:val="single" w:sz="2" w:space="0" w:color="808080" w:themeColor="background1" w:themeShade="80"/>
            </w:tcBorders>
            <w:vAlign w:val="center"/>
          </w:tcPr>
          <w:p w14:paraId="007FCFA9" w14:textId="23568FC0" w:rsidR="003A2021" w:rsidRPr="005B31AC" w:rsidRDefault="003A2021" w:rsidP="004E0DFF">
            <w:pPr>
              <w:pStyle w:val="Tabletext"/>
              <w:jc w:val="center"/>
              <w:rPr>
                <w:sz w:val="18"/>
                <w:szCs w:val="18"/>
              </w:rPr>
            </w:pPr>
            <w:r w:rsidRPr="005B31AC">
              <w:rPr>
                <w:sz w:val="18"/>
                <w:szCs w:val="18"/>
              </w:rPr>
              <w:t>46.6%</w:t>
            </w:r>
            <w:r w:rsidR="00CC0438">
              <w:rPr>
                <w:rFonts w:ascii="ZWAdobeF" w:hAnsi="ZWAdobeF" w:cs="ZWAdobeF"/>
                <w:sz w:val="2"/>
                <w:szCs w:val="2"/>
              </w:rPr>
              <w:t>159F</w:t>
            </w:r>
            <w:r w:rsidRPr="005B31AC">
              <w:rPr>
                <w:rStyle w:val="FootnoteReference"/>
                <w:sz w:val="18"/>
                <w:szCs w:val="18"/>
              </w:rPr>
              <w:footnoteReference w:id="161"/>
            </w:r>
          </w:p>
        </w:tc>
        <w:tc>
          <w:tcPr>
            <w:tcW w:w="537" w:type="pct"/>
            <w:tcBorders>
              <w:top w:val="single" w:sz="2" w:space="0" w:color="808080" w:themeColor="background1" w:themeShade="80"/>
              <w:bottom w:val="single" w:sz="2" w:space="0" w:color="808080" w:themeColor="background1" w:themeShade="80"/>
            </w:tcBorders>
            <w:vAlign w:val="center"/>
          </w:tcPr>
          <w:p w14:paraId="424E4808" w14:textId="77777777" w:rsidR="003A2021" w:rsidRPr="005B31AC" w:rsidRDefault="003A2021" w:rsidP="004E0DFF">
            <w:pPr>
              <w:pStyle w:val="Tabletext"/>
              <w:jc w:val="center"/>
              <w:rPr>
                <w:sz w:val="18"/>
                <w:szCs w:val="18"/>
              </w:rPr>
            </w:pPr>
            <w:r w:rsidRPr="005B31AC">
              <w:rPr>
                <w:sz w:val="18"/>
                <w:szCs w:val="18"/>
              </w:rPr>
              <w:t>$1,957</w:t>
            </w:r>
          </w:p>
        </w:tc>
      </w:tr>
      <w:tr w:rsidR="00AD5E75" w14:paraId="157DC188" w14:textId="77777777" w:rsidTr="009E659F">
        <w:tc>
          <w:tcPr>
            <w:tcW w:w="549" w:type="pct"/>
            <w:tcBorders>
              <w:top w:val="single" w:sz="2" w:space="0" w:color="808080" w:themeColor="background1" w:themeShade="80"/>
              <w:bottom w:val="single" w:sz="2" w:space="0" w:color="808080" w:themeColor="background1" w:themeShade="80"/>
            </w:tcBorders>
            <w:vAlign w:val="center"/>
          </w:tcPr>
          <w:p w14:paraId="1856D8C4" w14:textId="77777777" w:rsidR="003A2021" w:rsidRPr="005B31AC" w:rsidRDefault="003A2021" w:rsidP="004E0DFF">
            <w:pPr>
              <w:pStyle w:val="Tabletext"/>
              <w:rPr>
                <w:sz w:val="18"/>
                <w:szCs w:val="18"/>
              </w:rPr>
            </w:pPr>
            <w:r w:rsidRPr="005B31AC">
              <w:rPr>
                <w:sz w:val="18"/>
                <w:szCs w:val="18"/>
              </w:rPr>
              <w:t>Katherine</w:t>
            </w:r>
          </w:p>
        </w:tc>
        <w:tc>
          <w:tcPr>
            <w:tcW w:w="578" w:type="pct"/>
            <w:tcBorders>
              <w:top w:val="single" w:sz="2" w:space="0" w:color="808080" w:themeColor="background1" w:themeShade="80"/>
              <w:bottom w:val="single" w:sz="2" w:space="0" w:color="808080" w:themeColor="background1" w:themeShade="80"/>
            </w:tcBorders>
            <w:vAlign w:val="center"/>
          </w:tcPr>
          <w:p w14:paraId="56C6977E" w14:textId="77777777" w:rsidR="003A2021" w:rsidRPr="005B31AC" w:rsidRDefault="003A2021" w:rsidP="004E0DFF">
            <w:pPr>
              <w:pStyle w:val="Tabletext"/>
              <w:jc w:val="center"/>
              <w:rPr>
                <w:sz w:val="18"/>
                <w:szCs w:val="18"/>
              </w:rPr>
            </w:pPr>
            <w:r w:rsidRPr="005B31AC">
              <w:rPr>
                <w:sz w:val="18"/>
                <w:szCs w:val="18"/>
              </w:rPr>
              <w:t>&gt;1 year</w:t>
            </w:r>
          </w:p>
        </w:tc>
        <w:tc>
          <w:tcPr>
            <w:tcW w:w="661" w:type="pct"/>
            <w:tcBorders>
              <w:top w:val="single" w:sz="2" w:space="0" w:color="808080" w:themeColor="background1" w:themeShade="80"/>
              <w:bottom w:val="single" w:sz="2" w:space="0" w:color="808080" w:themeColor="background1" w:themeShade="80"/>
            </w:tcBorders>
            <w:vAlign w:val="center"/>
          </w:tcPr>
          <w:p w14:paraId="1BAE90C5" w14:textId="77777777" w:rsidR="003A2021" w:rsidRPr="005B31AC" w:rsidRDefault="003A2021" w:rsidP="004E0DFF">
            <w:pPr>
              <w:pStyle w:val="Tabletext"/>
              <w:jc w:val="center"/>
              <w:rPr>
                <w:sz w:val="18"/>
                <w:szCs w:val="18"/>
              </w:rPr>
            </w:pPr>
            <w:r w:rsidRPr="005B31AC">
              <w:rPr>
                <w:sz w:val="18"/>
                <w:szCs w:val="18"/>
              </w:rPr>
              <w:t>Remote</w:t>
            </w:r>
          </w:p>
        </w:tc>
        <w:tc>
          <w:tcPr>
            <w:tcW w:w="752" w:type="pct"/>
            <w:tcBorders>
              <w:top w:val="single" w:sz="2" w:space="0" w:color="808080" w:themeColor="background1" w:themeShade="80"/>
              <w:bottom w:val="single" w:sz="2" w:space="0" w:color="808080" w:themeColor="background1" w:themeShade="80"/>
            </w:tcBorders>
            <w:vAlign w:val="center"/>
          </w:tcPr>
          <w:p w14:paraId="12F4A0CC" w14:textId="77777777" w:rsidR="003A2021" w:rsidRPr="005B31AC" w:rsidRDefault="003A2021" w:rsidP="004E0DFF">
            <w:pPr>
              <w:pStyle w:val="Tabletext"/>
              <w:jc w:val="center"/>
              <w:rPr>
                <w:sz w:val="18"/>
                <w:szCs w:val="18"/>
              </w:rPr>
            </w:pPr>
            <w:r w:rsidRPr="005B31AC">
              <w:rPr>
                <w:sz w:val="18"/>
                <w:szCs w:val="18"/>
              </w:rPr>
              <w:t>Centre</w:t>
            </w:r>
          </w:p>
        </w:tc>
        <w:tc>
          <w:tcPr>
            <w:tcW w:w="549" w:type="pct"/>
            <w:tcBorders>
              <w:top w:val="single" w:sz="2" w:space="0" w:color="808080" w:themeColor="background1" w:themeShade="80"/>
              <w:bottom w:val="single" w:sz="2" w:space="0" w:color="808080" w:themeColor="background1" w:themeShade="80"/>
            </w:tcBorders>
            <w:vAlign w:val="center"/>
          </w:tcPr>
          <w:p w14:paraId="4DC973AC" w14:textId="77777777" w:rsidR="003A2021" w:rsidRPr="005B31AC" w:rsidRDefault="003A2021" w:rsidP="004E0DFF">
            <w:pPr>
              <w:pStyle w:val="Tabletext"/>
              <w:jc w:val="center"/>
              <w:rPr>
                <w:sz w:val="18"/>
                <w:szCs w:val="18"/>
              </w:rPr>
            </w:pPr>
            <w:r w:rsidRPr="005B31AC">
              <w:rPr>
                <w:sz w:val="18"/>
                <w:szCs w:val="18"/>
              </w:rPr>
              <w:t>N</w:t>
            </w:r>
          </w:p>
        </w:tc>
        <w:tc>
          <w:tcPr>
            <w:tcW w:w="681" w:type="pct"/>
            <w:tcBorders>
              <w:top w:val="single" w:sz="2" w:space="0" w:color="808080" w:themeColor="background1" w:themeShade="80"/>
              <w:bottom w:val="single" w:sz="2" w:space="0" w:color="808080" w:themeColor="background1" w:themeShade="80"/>
            </w:tcBorders>
            <w:vAlign w:val="center"/>
          </w:tcPr>
          <w:p w14:paraId="446764DA" w14:textId="77777777" w:rsidR="003A2021" w:rsidRPr="005B31AC" w:rsidRDefault="003A2021" w:rsidP="004E0DFF">
            <w:pPr>
              <w:pStyle w:val="Tabletext"/>
              <w:jc w:val="center"/>
              <w:rPr>
                <w:sz w:val="18"/>
                <w:szCs w:val="18"/>
              </w:rPr>
            </w:pPr>
            <w:r w:rsidRPr="005B31AC">
              <w:rPr>
                <w:sz w:val="18"/>
                <w:szCs w:val="18"/>
              </w:rPr>
              <w:t>48.9%</w:t>
            </w:r>
          </w:p>
        </w:tc>
        <w:tc>
          <w:tcPr>
            <w:tcW w:w="693" w:type="pct"/>
            <w:tcBorders>
              <w:top w:val="single" w:sz="2" w:space="0" w:color="808080" w:themeColor="background1" w:themeShade="80"/>
              <w:bottom w:val="single" w:sz="2" w:space="0" w:color="808080" w:themeColor="background1" w:themeShade="80"/>
            </w:tcBorders>
            <w:vAlign w:val="center"/>
          </w:tcPr>
          <w:p w14:paraId="4D94D117" w14:textId="77777777" w:rsidR="003A2021" w:rsidRPr="005B31AC" w:rsidRDefault="003A2021" w:rsidP="004E0DFF">
            <w:pPr>
              <w:pStyle w:val="Tabletext"/>
              <w:jc w:val="center"/>
              <w:rPr>
                <w:sz w:val="18"/>
                <w:szCs w:val="18"/>
              </w:rPr>
            </w:pPr>
            <w:r w:rsidRPr="005B31AC">
              <w:rPr>
                <w:sz w:val="18"/>
                <w:szCs w:val="18"/>
              </w:rPr>
              <w:t>8.9%</w:t>
            </w:r>
          </w:p>
        </w:tc>
        <w:tc>
          <w:tcPr>
            <w:tcW w:w="537" w:type="pct"/>
            <w:tcBorders>
              <w:top w:val="single" w:sz="2" w:space="0" w:color="808080" w:themeColor="background1" w:themeShade="80"/>
              <w:bottom w:val="single" w:sz="2" w:space="0" w:color="808080" w:themeColor="background1" w:themeShade="80"/>
            </w:tcBorders>
            <w:vAlign w:val="center"/>
          </w:tcPr>
          <w:p w14:paraId="61264DA6" w14:textId="77777777" w:rsidR="003A2021" w:rsidRPr="005B31AC" w:rsidRDefault="003A2021" w:rsidP="004E0DFF">
            <w:pPr>
              <w:pStyle w:val="Tabletext"/>
              <w:jc w:val="center"/>
              <w:rPr>
                <w:sz w:val="18"/>
                <w:szCs w:val="18"/>
              </w:rPr>
            </w:pPr>
            <w:r w:rsidRPr="005B31AC">
              <w:rPr>
                <w:sz w:val="18"/>
                <w:szCs w:val="18"/>
              </w:rPr>
              <w:t>$1,485</w:t>
            </w:r>
          </w:p>
        </w:tc>
      </w:tr>
      <w:tr w:rsidR="00AD5E75" w14:paraId="7F0D2104" w14:textId="77777777" w:rsidTr="009E659F">
        <w:tc>
          <w:tcPr>
            <w:tcW w:w="549" w:type="pct"/>
            <w:tcBorders>
              <w:top w:val="single" w:sz="2" w:space="0" w:color="808080" w:themeColor="background1" w:themeShade="80"/>
              <w:bottom w:val="single" w:sz="2" w:space="0" w:color="808080" w:themeColor="background1" w:themeShade="80"/>
            </w:tcBorders>
            <w:vAlign w:val="center"/>
          </w:tcPr>
          <w:p w14:paraId="14764B49" w14:textId="77777777" w:rsidR="003A2021" w:rsidRPr="005B31AC" w:rsidRDefault="003A2021" w:rsidP="004E0DFF">
            <w:pPr>
              <w:pStyle w:val="Tabletext"/>
              <w:rPr>
                <w:sz w:val="18"/>
                <w:szCs w:val="18"/>
              </w:rPr>
            </w:pPr>
            <w:r w:rsidRPr="005B31AC">
              <w:rPr>
                <w:sz w:val="18"/>
                <w:szCs w:val="18"/>
              </w:rPr>
              <w:t>Mt Isa</w:t>
            </w:r>
          </w:p>
        </w:tc>
        <w:tc>
          <w:tcPr>
            <w:tcW w:w="578" w:type="pct"/>
            <w:tcBorders>
              <w:top w:val="single" w:sz="2" w:space="0" w:color="808080" w:themeColor="background1" w:themeShade="80"/>
              <w:bottom w:val="single" w:sz="2" w:space="0" w:color="808080" w:themeColor="background1" w:themeShade="80"/>
            </w:tcBorders>
            <w:vAlign w:val="center"/>
          </w:tcPr>
          <w:p w14:paraId="1932F0EF" w14:textId="77777777" w:rsidR="003A2021" w:rsidRPr="005B31AC" w:rsidRDefault="003A2021" w:rsidP="004E0DFF">
            <w:pPr>
              <w:pStyle w:val="Tabletext"/>
              <w:jc w:val="center"/>
              <w:rPr>
                <w:sz w:val="18"/>
                <w:szCs w:val="18"/>
              </w:rPr>
            </w:pPr>
            <w:r w:rsidRPr="005B31AC">
              <w:rPr>
                <w:sz w:val="18"/>
                <w:szCs w:val="18"/>
              </w:rPr>
              <w:t>&gt;5 years</w:t>
            </w:r>
          </w:p>
        </w:tc>
        <w:tc>
          <w:tcPr>
            <w:tcW w:w="661" w:type="pct"/>
            <w:tcBorders>
              <w:top w:val="single" w:sz="2" w:space="0" w:color="808080" w:themeColor="background1" w:themeShade="80"/>
              <w:bottom w:val="single" w:sz="2" w:space="0" w:color="808080" w:themeColor="background1" w:themeShade="80"/>
            </w:tcBorders>
            <w:vAlign w:val="center"/>
          </w:tcPr>
          <w:p w14:paraId="5251CA41" w14:textId="77777777" w:rsidR="003A2021" w:rsidRPr="005B31AC" w:rsidRDefault="003A2021" w:rsidP="004E0DFF">
            <w:pPr>
              <w:pStyle w:val="Tabletext"/>
              <w:jc w:val="center"/>
              <w:rPr>
                <w:sz w:val="18"/>
                <w:szCs w:val="18"/>
              </w:rPr>
            </w:pPr>
            <w:r w:rsidRPr="005B31AC">
              <w:rPr>
                <w:sz w:val="18"/>
                <w:szCs w:val="18"/>
              </w:rPr>
              <w:t>Remote</w:t>
            </w:r>
          </w:p>
        </w:tc>
        <w:tc>
          <w:tcPr>
            <w:tcW w:w="752" w:type="pct"/>
            <w:tcBorders>
              <w:top w:val="single" w:sz="2" w:space="0" w:color="808080" w:themeColor="background1" w:themeShade="80"/>
              <w:bottom w:val="single" w:sz="2" w:space="0" w:color="808080" w:themeColor="background1" w:themeShade="80"/>
            </w:tcBorders>
            <w:vAlign w:val="center"/>
          </w:tcPr>
          <w:p w14:paraId="26C8F9C1" w14:textId="77777777" w:rsidR="003A2021" w:rsidRPr="005B31AC" w:rsidRDefault="003A2021" w:rsidP="004E0DFF">
            <w:pPr>
              <w:pStyle w:val="Tabletext"/>
              <w:jc w:val="center"/>
              <w:rPr>
                <w:sz w:val="18"/>
                <w:szCs w:val="18"/>
              </w:rPr>
            </w:pPr>
            <w:r w:rsidRPr="005B31AC">
              <w:rPr>
                <w:sz w:val="18"/>
                <w:szCs w:val="18"/>
              </w:rPr>
              <w:t>Centre</w:t>
            </w:r>
          </w:p>
        </w:tc>
        <w:tc>
          <w:tcPr>
            <w:tcW w:w="549" w:type="pct"/>
            <w:tcBorders>
              <w:top w:val="single" w:sz="2" w:space="0" w:color="808080" w:themeColor="background1" w:themeShade="80"/>
              <w:bottom w:val="single" w:sz="2" w:space="0" w:color="808080" w:themeColor="background1" w:themeShade="80"/>
            </w:tcBorders>
            <w:vAlign w:val="center"/>
          </w:tcPr>
          <w:p w14:paraId="0722284D" w14:textId="77777777" w:rsidR="003A2021" w:rsidRPr="005B31AC" w:rsidRDefault="003A2021" w:rsidP="004E0DFF">
            <w:pPr>
              <w:pStyle w:val="Tabletext"/>
              <w:jc w:val="center"/>
              <w:rPr>
                <w:sz w:val="18"/>
                <w:szCs w:val="18"/>
              </w:rPr>
            </w:pPr>
            <w:r w:rsidRPr="005B31AC">
              <w:rPr>
                <w:sz w:val="18"/>
                <w:szCs w:val="18"/>
              </w:rPr>
              <w:t>N</w:t>
            </w:r>
          </w:p>
        </w:tc>
        <w:tc>
          <w:tcPr>
            <w:tcW w:w="681" w:type="pct"/>
            <w:tcBorders>
              <w:top w:val="single" w:sz="2" w:space="0" w:color="808080" w:themeColor="background1" w:themeShade="80"/>
              <w:bottom w:val="single" w:sz="2" w:space="0" w:color="808080" w:themeColor="background1" w:themeShade="80"/>
            </w:tcBorders>
            <w:vAlign w:val="center"/>
          </w:tcPr>
          <w:p w14:paraId="4470B484" w14:textId="77777777" w:rsidR="003A2021" w:rsidRPr="005B31AC" w:rsidRDefault="003A2021" w:rsidP="004E0DFF">
            <w:pPr>
              <w:pStyle w:val="Tabletext"/>
              <w:jc w:val="center"/>
              <w:rPr>
                <w:sz w:val="18"/>
                <w:szCs w:val="18"/>
              </w:rPr>
            </w:pPr>
            <w:r w:rsidRPr="005B31AC">
              <w:rPr>
                <w:sz w:val="18"/>
                <w:szCs w:val="18"/>
              </w:rPr>
              <w:t>24.5%</w:t>
            </w:r>
          </w:p>
        </w:tc>
        <w:tc>
          <w:tcPr>
            <w:tcW w:w="693" w:type="pct"/>
            <w:tcBorders>
              <w:top w:val="single" w:sz="2" w:space="0" w:color="808080" w:themeColor="background1" w:themeShade="80"/>
              <w:bottom w:val="single" w:sz="2" w:space="0" w:color="808080" w:themeColor="background1" w:themeShade="80"/>
            </w:tcBorders>
            <w:vAlign w:val="center"/>
          </w:tcPr>
          <w:p w14:paraId="32C9FBAE" w14:textId="77777777" w:rsidR="003A2021" w:rsidRPr="005B31AC" w:rsidRDefault="003A2021" w:rsidP="004E0DFF">
            <w:pPr>
              <w:pStyle w:val="Tabletext"/>
              <w:jc w:val="center"/>
              <w:rPr>
                <w:sz w:val="18"/>
                <w:szCs w:val="18"/>
              </w:rPr>
            </w:pPr>
            <w:r w:rsidRPr="005B31AC">
              <w:rPr>
                <w:sz w:val="18"/>
                <w:szCs w:val="18"/>
              </w:rPr>
              <w:t>14.7%</w:t>
            </w:r>
          </w:p>
        </w:tc>
        <w:tc>
          <w:tcPr>
            <w:tcW w:w="537" w:type="pct"/>
            <w:tcBorders>
              <w:top w:val="single" w:sz="2" w:space="0" w:color="808080" w:themeColor="background1" w:themeShade="80"/>
              <w:bottom w:val="single" w:sz="2" w:space="0" w:color="808080" w:themeColor="background1" w:themeShade="80"/>
            </w:tcBorders>
            <w:vAlign w:val="center"/>
          </w:tcPr>
          <w:p w14:paraId="09C8FFE1" w14:textId="77777777" w:rsidR="003A2021" w:rsidRPr="005B31AC" w:rsidRDefault="003A2021" w:rsidP="004E0DFF">
            <w:pPr>
              <w:pStyle w:val="Tabletext"/>
              <w:jc w:val="center"/>
              <w:rPr>
                <w:sz w:val="18"/>
                <w:szCs w:val="18"/>
              </w:rPr>
            </w:pPr>
            <w:r w:rsidRPr="005B31AC">
              <w:rPr>
                <w:sz w:val="18"/>
                <w:szCs w:val="18"/>
              </w:rPr>
              <w:t>$1,833</w:t>
            </w:r>
          </w:p>
        </w:tc>
      </w:tr>
      <w:tr w:rsidR="00AD5E75" w14:paraId="701D15C8" w14:textId="77777777" w:rsidTr="009E659F">
        <w:tc>
          <w:tcPr>
            <w:tcW w:w="549" w:type="pct"/>
            <w:tcBorders>
              <w:top w:val="single" w:sz="2" w:space="0" w:color="808080" w:themeColor="background1" w:themeShade="80"/>
              <w:bottom w:val="single" w:sz="2" w:space="0" w:color="808080" w:themeColor="background1" w:themeShade="80"/>
            </w:tcBorders>
            <w:vAlign w:val="center"/>
          </w:tcPr>
          <w:p w14:paraId="35B8A531" w14:textId="77777777" w:rsidR="003A2021" w:rsidRPr="005B31AC" w:rsidRDefault="003A2021" w:rsidP="004E0DFF">
            <w:pPr>
              <w:pStyle w:val="Tabletext"/>
              <w:rPr>
                <w:sz w:val="18"/>
                <w:szCs w:val="18"/>
              </w:rPr>
            </w:pPr>
            <w:r w:rsidRPr="005B31AC">
              <w:rPr>
                <w:sz w:val="18"/>
                <w:szCs w:val="18"/>
              </w:rPr>
              <w:t>Murray Bridge</w:t>
            </w:r>
          </w:p>
        </w:tc>
        <w:tc>
          <w:tcPr>
            <w:tcW w:w="578" w:type="pct"/>
            <w:tcBorders>
              <w:top w:val="single" w:sz="2" w:space="0" w:color="808080" w:themeColor="background1" w:themeShade="80"/>
              <w:bottom w:val="single" w:sz="2" w:space="0" w:color="808080" w:themeColor="background1" w:themeShade="80"/>
            </w:tcBorders>
            <w:vAlign w:val="center"/>
          </w:tcPr>
          <w:p w14:paraId="07A623B1" w14:textId="77777777" w:rsidR="003A2021" w:rsidRPr="005B31AC" w:rsidRDefault="003A2021" w:rsidP="004E0DFF">
            <w:pPr>
              <w:pStyle w:val="Tabletext"/>
              <w:jc w:val="center"/>
              <w:rPr>
                <w:sz w:val="18"/>
                <w:szCs w:val="18"/>
              </w:rPr>
            </w:pPr>
            <w:r w:rsidRPr="005B31AC">
              <w:rPr>
                <w:sz w:val="18"/>
                <w:szCs w:val="18"/>
              </w:rPr>
              <w:t>&gt;10 years</w:t>
            </w:r>
          </w:p>
        </w:tc>
        <w:tc>
          <w:tcPr>
            <w:tcW w:w="661" w:type="pct"/>
            <w:tcBorders>
              <w:top w:val="single" w:sz="2" w:space="0" w:color="808080" w:themeColor="background1" w:themeShade="80"/>
              <w:bottom w:val="single" w:sz="2" w:space="0" w:color="808080" w:themeColor="background1" w:themeShade="80"/>
            </w:tcBorders>
            <w:vAlign w:val="center"/>
          </w:tcPr>
          <w:p w14:paraId="0BB3FD71" w14:textId="77777777" w:rsidR="003A2021" w:rsidRPr="005B31AC" w:rsidRDefault="003A2021" w:rsidP="004E0DFF">
            <w:pPr>
              <w:pStyle w:val="Tabletext"/>
              <w:jc w:val="center"/>
              <w:rPr>
                <w:sz w:val="18"/>
                <w:szCs w:val="18"/>
              </w:rPr>
            </w:pPr>
            <w:r w:rsidRPr="005B31AC">
              <w:rPr>
                <w:sz w:val="18"/>
                <w:szCs w:val="18"/>
              </w:rPr>
              <w:t>Inner Regional</w:t>
            </w:r>
          </w:p>
        </w:tc>
        <w:tc>
          <w:tcPr>
            <w:tcW w:w="752" w:type="pct"/>
            <w:tcBorders>
              <w:top w:val="single" w:sz="2" w:space="0" w:color="808080" w:themeColor="background1" w:themeShade="80"/>
              <w:bottom w:val="single" w:sz="2" w:space="0" w:color="808080" w:themeColor="background1" w:themeShade="80"/>
            </w:tcBorders>
            <w:vAlign w:val="center"/>
          </w:tcPr>
          <w:p w14:paraId="130E9E1D" w14:textId="7AF7D0DD" w:rsidR="003A2021" w:rsidRPr="005B31AC" w:rsidRDefault="003A2021" w:rsidP="004E0DFF">
            <w:pPr>
              <w:pStyle w:val="Tabletext"/>
              <w:jc w:val="center"/>
              <w:rPr>
                <w:sz w:val="18"/>
                <w:szCs w:val="18"/>
              </w:rPr>
            </w:pPr>
            <w:r w:rsidRPr="005B31AC">
              <w:rPr>
                <w:sz w:val="18"/>
                <w:szCs w:val="18"/>
              </w:rPr>
              <w:t>Centre; parent for Victor Harbor &amp; Mt Barker satellite sites</w:t>
            </w:r>
          </w:p>
        </w:tc>
        <w:tc>
          <w:tcPr>
            <w:tcW w:w="549" w:type="pct"/>
            <w:tcBorders>
              <w:top w:val="single" w:sz="2" w:space="0" w:color="808080" w:themeColor="background1" w:themeShade="80"/>
              <w:bottom w:val="single" w:sz="2" w:space="0" w:color="808080" w:themeColor="background1" w:themeShade="80"/>
            </w:tcBorders>
            <w:vAlign w:val="center"/>
          </w:tcPr>
          <w:p w14:paraId="32D46BA5" w14:textId="77777777" w:rsidR="003A2021" w:rsidRPr="005B31AC" w:rsidRDefault="003A2021" w:rsidP="004E0DFF">
            <w:pPr>
              <w:pStyle w:val="Tabletext"/>
              <w:jc w:val="center"/>
              <w:rPr>
                <w:sz w:val="18"/>
                <w:szCs w:val="18"/>
              </w:rPr>
            </w:pPr>
            <w:r w:rsidRPr="005B31AC">
              <w:rPr>
                <w:sz w:val="18"/>
                <w:szCs w:val="18"/>
              </w:rPr>
              <w:t>Y (2015, 2009)</w:t>
            </w:r>
          </w:p>
        </w:tc>
        <w:tc>
          <w:tcPr>
            <w:tcW w:w="681" w:type="pct"/>
            <w:tcBorders>
              <w:top w:val="single" w:sz="2" w:space="0" w:color="808080" w:themeColor="background1" w:themeShade="80"/>
              <w:bottom w:val="single" w:sz="2" w:space="0" w:color="808080" w:themeColor="background1" w:themeShade="80"/>
            </w:tcBorders>
            <w:vAlign w:val="center"/>
          </w:tcPr>
          <w:p w14:paraId="1A3259C2" w14:textId="77777777" w:rsidR="003A2021" w:rsidRPr="005B31AC" w:rsidRDefault="003A2021" w:rsidP="004E0DFF">
            <w:pPr>
              <w:pStyle w:val="Tabletext"/>
              <w:jc w:val="center"/>
              <w:rPr>
                <w:sz w:val="18"/>
                <w:szCs w:val="18"/>
              </w:rPr>
            </w:pPr>
            <w:r w:rsidRPr="005B31AC">
              <w:rPr>
                <w:sz w:val="18"/>
                <w:szCs w:val="18"/>
              </w:rPr>
              <w:t>3.7%</w:t>
            </w:r>
          </w:p>
        </w:tc>
        <w:tc>
          <w:tcPr>
            <w:tcW w:w="693" w:type="pct"/>
            <w:tcBorders>
              <w:top w:val="single" w:sz="2" w:space="0" w:color="808080" w:themeColor="background1" w:themeShade="80"/>
              <w:bottom w:val="single" w:sz="2" w:space="0" w:color="808080" w:themeColor="background1" w:themeShade="80"/>
            </w:tcBorders>
            <w:vAlign w:val="center"/>
          </w:tcPr>
          <w:p w14:paraId="18AA1F87" w14:textId="77777777" w:rsidR="003A2021" w:rsidRPr="005B31AC" w:rsidRDefault="003A2021" w:rsidP="004E0DFF">
            <w:pPr>
              <w:pStyle w:val="Tabletext"/>
              <w:jc w:val="center"/>
              <w:rPr>
                <w:sz w:val="18"/>
                <w:szCs w:val="18"/>
              </w:rPr>
            </w:pPr>
            <w:r w:rsidRPr="005B31AC">
              <w:rPr>
                <w:sz w:val="18"/>
                <w:szCs w:val="18"/>
              </w:rPr>
              <w:t>15.3%</w:t>
            </w:r>
          </w:p>
        </w:tc>
        <w:tc>
          <w:tcPr>
            <w:tcW w:w="537" w:type="pct"/>
            <w:tcBorders>
              <w:top w:val="single" w:sz="2" w:space="0" w:color="808080" w:themeColor="background1" w:themeShade="80"/>
              <w:bottom w:val="single" w:sz="2" w:space="0" w:color="808080" w:themeColor="background1" w:themeShade="80"/>
            </w:tcBorders>
            <w:vAlign w:val="center"/>
          </w:tcPr>
          <w:p w14:paraId="51882C6C" w14:textId="77777777" w:rsidR="003A2021" w:rsidRPr="005B31AC" w:rsidRDefault="003A2021" w:rsidP="004E0DFF">
            <w:pPr>
              <w:pStyle w:val="Tabletext"/>
              <w:jc w:val="center"/>
              <w:rPr>
                <w:sz w:val="18"/>
                <w:szCs w:val="18"/>
              </w:rPr>
            </w:pPr>
            <w:r w:rsidRPr="005B31AC">
              <w:rPr>
                <w:sz w:val="18"/>
                <w:szCs w:val="18"/>
              </w:rPr>
              <w:t>$965</w:t>
            </w:r>
          </w:p>
        </w:tc>
      </w:tr>
    </w:tbl>
    <w:p w14:paraId="26D97EBD" w14:textId="25828340" w:rsidR="003A2021" w:rsidRDefault="003A2021" w:rsidP="003A2021">
      <w:pPr>
        <w:pStyle w:val="Source"/>
      </w:pPr>
      <w:r>
        <w:t>Source: KPMG</w:t>
      </w:r>
      <w:r w:rsidR="00625C43">
        <w:t xml:space="preserve"> 2022</w:t>
      </w:r>
    </w:p>
    <w:p w14:paraId="00DFCD7D" w14:textId="3D72DB7C" w:rsidR="003A2021" w:rsidRDefault="003A2021" w:rsidP="003A2021">
      <w:pPr>
        <w:pStyle w:val="BodyText"/>
      </w:pPr>
      <w:r>
        <w:rPr>
          <w:lang w:eastAsia="en-AU"/>
        </w:rPr>
        <w:t xml:space="preserve">Given that deep dive sites were not selected to be a representative sample of the headspace model across Australia, qualitative data from deep dive research activities </w:t>
      </w:r>
      <w:r w:rsidR="00A17725">
        <w:rPr>
          <w:lang w:eastAsia="en-AU"/>
        </w:rPr>
        <w:t xml:space="preserve">were </w:t>
      </w:r>
      <w:r>
        <w:rPr>
          <w:lang w:eastAsia="en-AU"/>
        </w:rPr>
        <w:t>used to augment other data and information collected from across the evaluation activities. To protect the confidentiality of service users and providers in each site, the detailed deep dive case studies prepared during the evaluation fieldwork are not available for publication.</w:t>
      </w:r>
    </w:p>
    <w:p w14:paraId="24DAEA10" w14:textId="77777777" w:rsidR="003A2021" w:rsidRDefault="003A2021" w:rsidP="00A86CAC">
      <w:pPr>
        <w:pStyle w:val="AppendixHeading3"/>
      </w:pPr>
      <w:r w:rsidRPr="00C86859">
        <w:t>Survey</w:t>
      </w:r>
      <w:r>
        <w:t xml:space="preserve"> of young people</w:t>
      </w:r>
    </w:p>
    <w:p w14:paraId="7D521D62" w14:textId="248DDC25" w:rsidR="003A2021" w:rsidRDefault="003A2021" w:rsidP="003A2021">
      <w:pPr>
        <w:pStyle w:val="BodyText"/>
        <w:rPr>
          <w:lang w:eastAsia="en-AU"/>
        </w:rPr>
      </w:pPr>
      <w:r>
        <w:rPr>
          <w:lang w:eastAsia="en-AU"/>
        </w:rPr>
        <w:t xml:space="preserve">A survey was administered to young people in two distinct groups: </w:t>
      </w:r>
      <w:r w:rsidRPr="6C27D3B4">
        <w:rPr>
          <w:lang w:eastAsia="en-AU"/>
        </w:rPr>
        <w:t>(</w:t>
      </w:r>
      <w:r w:rsidRPr="3E4AF285">
        <w:rPr>
          <w:lang w:eastAsia="en-AU"/>
        </w:rPr>
        <w:t>i</w:t>
      </w:r>
      <w:r w:rsidRPr="6C27D3B4">
        <w:rPr>
          <w:lang w:eastAsia="en-AU"/>
        </w:rPr>
        <w:t>)</w:t>
      </w:r>
      <w:r w:rsidR="009508EF">
        <w:rPr>
          <w:lang w:eastAsia="en-AU"/>
        </w:rPr>
        <w:t xml:space="preserve"> </w:t>
      </w:r>
      <w:r w:rsidRPr="003F7749">
        <w:t>current</w:t>
      </w:r>
      <w:r>
        <w:rPr>
          <w:lang w:eastAsia="en-AU"/>
        </w:rPr>
        <w:t xml:space="preserve"> and former headspace users, and </w:t>
      </w:r>
      <w:r w:rsidRPr="3E4AF285">
        <w:rPr>
          <w:lang w:eastAsia="en-AU"/>
        </w:rPr>
        <w:t xml:space="preserve">(ii) </w:t>
      </w:r>
      <w:r>
        <w:rPr>
          <w:lang w:eastAsia="en-AU"/>
        </w:rPr>
        <w:t>non-headspace users. The survey covered the following areas, with some variation to account for whether young people have previously accessed headspace services:</w:t>
      </w:r>
    </w:p>
    <w:p w14:paraId="523E3F6F" w14:textId="0F7A12D0" w:rsidR="003A2021" w:rsidRDefault="003A2021" w:rsidP="003A2021">
      <w:pPr>
        <w:pStyle w:val="Bullet1stlevel"/>
        <w:rPr>
          <w:lang w:eastAsia="en-AU"/>
        </w:rPr>
      </w:pPr>
      <w:r>
        <w:rPr>
          <w:lang w:eastAsia="en-AU"/>
        </w:rPr>
        <w:t>demographic information, including age, gender, country of origin, Aboriginal and Torres Strait Islander status, languages spoken other than English, education and training, employment, and income sources</w:t>
      </w:r>
      <w:r w:rsidR="003C4D4E">
        <w:rPr>
          <w:lang w:eastAsia="en-AU"/>
        </w:rPr>
        <w:t>;</w:t>
      </w:r>
    </w:p>
    <w:p w14:paraId="39146D1A" w14:textId="59306751" w:rsidR="003A2021" w:rsidRDefault="003A2021" w:rsidP="003A2021">
      <w:pPr>
        <w:pStyle w:val="Bullet1stlevel"/>
        <w:rPr>
          <w:lang w:eastAsia="en-AU"/>
        </w:rPr>
      </w:pPr>
      <w:r>
        <w:rPr>
          <w:lang w:eastAsia="en-AU"/>
        </w:rPr>
        <w:t>mental health literacy and help seeking</w:t>
      </w:r>
      <w:r w:rsidR="003C4D4E">
        <w:rPr>
          <w:lang w:eastAsia="en-AU"/>
        </w:rPr>
        <w:t>;</w:t>
      </w:r>
    </w:p>
    <w:p w14:paraId="5FAA47E0" w14:textId="44CBD249" w:rsidR="003A2021" w:rsidRDefault="003A2021" w:rsidP="003A2021">
      <w:pPr>
        <w:pStyle w:val="Bullet1stlevel"/>
        <w:rPr>
          <w:lang w:eastAsia="en-AU"/>
        </w:rPr>
      </w:pPr>
      <w:r>
        <w:rPr>
          <w:lang w:eastAsia="en-AU"/>
        </w:rPr>
        <w:t>mental health service use</w:t>
      </w:r>
      <w:r w:rsidR="003C4D4E">
        <w:rPr>
          <w:lang w:eastAsia="en-AU"/>
        </w:rPr>
        <w:t>;</w:t>
      </w:r>
    </w:p>
    <w:p w14:paraId="22943684" w14:textId="67AF2E23" w:rsidR="003A2021" w:rsidRDefault="003A2021" w:rsidP="003A2021">
      <w:pPr>
        <w:pStyle w:val="Bullet1stlevel"/>
        <w:rPr>
          <w:lang w:eastAsia="en-AU"/>
        </w:rPr>
      </w:pPr>
      <w:r>
        <w:rPr>
          <w:lang w:eastAsia="en-AU"/>
        </w:rPr>
        <w:t>specific headspace service questions</w:t>
      </w:r>
      <w:r w:rsidR="003C4D4E">
        <w:rPr>
          <w:lang w:eastAsia="en-AU"/>
        </w:rPr>
        <w:t>; and</w:t>
      </w:r>
    </w:p>
    <w:p w14:paraId="2AFC2D23" w14:textId="23595972" w:rsidR="003A2021" w:rsidRPr="00A37A04" w:rsidRDefault="003A2021" w:rsidP="003A2021">
      <w:pPr>
        <w:pStyle w:val="Bullet1stlevel"/>
        <w:rPr>
          <w:lang w:eastAsia="en-AU"/>
        </w:rPr>
      </w:pPr>
      <w:r>
        <w:rPr>
          <w:lang w:eastAsia="en-AU"/>
        </w:rPr>
        <w:t>outcomes instruments</w:t>
      </w:r>
      <w:r w:rsidR="00370CE4">
        <w:rPr>
          <w:lang w:eastAsia="en-AU"/>
        </w:rPr>
        <w:t>,</w:t>
      </w:r>
      <w:r>
        <w:rPr>
          <w:lang w:eastAsia="en-AU"/>
        </w:rPr>
        <w:t xml:space="preserve"> such as psychological distress and quality of life through K10 measures.</w:t>
      </w:r>
    </w:p>
    <w:p w14:paraId="275C609F" w14:textId="4B71FCAF" w:rsidR="003A2021" w:rsidRPr="00334067" w:rsidRDefault="003A2021" w:rsidP="003A2021">
      <w:pPr>
        <w:pStyle w:val="BodyText"/>
        <w:rPr>
          <w:lang w:eastAsia="en-AU"/>
        </w:rPr>
      </w:pPr>
      <w:r>
        <w:rPr>
          <w:lang w:eastAsia="en-AU"/>
        </w:rPr>
        <w:t xml:space="preserve">Young people who have used headspace services were recruited through headspace channels. Current users </w:t>
      </w:r>
      <w:r w:rsidR="0005424D">
        <w:rPr>
          <w:lang w:eastAsia="en-AU"/>
        </w:rPr>
        <w:t>of headspace services</w:t>
      </w:r>
      <w:r>
        <w:rPr>
          <w:lang w:eastAsia="en-AU"/>
        </w:rPr>
        <w:t xml:space="preserve"> were invited to participate in the survey while completing required headspace surveys to support hAPI data collection. Former headspace users who had accessed headspace services in the 18 months to June 2021, and agreed to be contacted about future research, were invited to participate.</w:t>
      </w:r>
    </w:p>
    <w:p w14:paraId="20B192C1" w14:textId="533011D9" w:rsidR="00062268" w:rsidRPr="00334067" w:rsidRDefault="00062268" w:rsidP="003A2021">
      <w:pPr>
        <w:pStyle w:val="BodyText"/>
        <w:rPr>
          <w:lang w:eastAsia="en-AU"/>
        </w:rPr>
      </w:pPr>
      <w:r>
        <w:rPr>
          <w:lang w:eastAsia="en-AU"/>
        </w:rPr>
        <w:t xml:space="preserve">Young people who had not previously used headspace services were </w:t>
      </w:r>
      <w:r w:rsidR="007F14CE">
        <w:rPr>
          <w:lang w:eastAsia="en-AU"/>
        </w:rPr>
        <w:t xml:space="preserve">a community sample, </w:t>
      </w:r>
      <w:r w:rsidR="007D04EE">
        <w:rPr>
          <w:lang w:eastAsia="en-AU"/>
        </w:rPr>
        <w:t>aged 12</w:t>
      </w:r>
      <w:r w:rsidR="007E76A0">
        <w:rPr>
          <w:lang w:eastAsia="en-AU"/>
        </w:rPr>
        <w:t xml:space="preserve"> to </w:t>
      </w:r>
      <w:r w:rsidR="007D04EE">
        <w:rPr>
          <w:lang w:eastAsia="en-AU"/>
        </w:rPr>
        <w:t>25</w:t>
      </w:r>
      <w:r w:rsidR="007F14CE">
        <w:rPr>
          <w:lang w:eastAsia="en-AU"/>
        </w:rPr>
        <w:t xml:space="preserve">, </w:t>
      </w:r>
      <w:r w:rsidR="00CC7882">
        <w:rPr>
          <w:lang w:eastAsia="en-AU"/>
        </w:rPr>
        <w:t>and were</w:t>
      </w:r>
      <w:r w:rsidR="007F14CE">
        <w:rPr>
          <w:lang w:eastAsia="en-AU"/>
        </w:rPr>
        <w:t xml:space="preserve"> </w:t>
      </w:r>
      <w:r>
        <w:rPr>
          <w:lang w:eastAsia="en-AU"/>
        </w:rPr>
        <w:t xml:space="preserve">recruited </w:t>
      </w:r>
      <w:r w:rsidR="007F14CE">
        <w:rPr>
          <w:lang w:eastAsia="en-AU"/>
        </w:rPr>
        <w:t xml:space="preserve">through promotion </w:t>
      </w:r>
      <w:r w:rsidR="0066383A">
        <w:rPr>
          <w:lang w:eastAsia="en-AU"/>
        </w:rPr>
        <w:t xml:space="preserve">on batyr’s social media channels, and through engagement with schools and universities nationally. </w:t>
      </w:r>
    </w:p>
    <w:p w14:paraId="1DF3837D" w14:textId="217B2894" w:rsidR="003A2021" w:rsidRDefault="003A2021" w:rsidP="003A2021">
      <w:pPr>
        <w:pStyle w:val="BodyText"/>
        <w:rPr>
          <w:lang w:eastAsia="en-AU"/>
        </w:rPr>
      </w:pPr>
      <w:r>
        <w:rPr>
          <w:lang w:eastAsia="en-AU"/>
        </w:rPr>
        <w:t>A total of 3,683 young people responded to the survey, with 1,234 responses from young people who indicated they had never used a headspace service, and 2,449 response</w:t>
      </w:r>
      <w:r w:rsidR="00370CE4">
        <w:rPr>
          <w:lang w:eastAsia="en-AU"/>
        </w:rPr>
        <w:t>s</w:t>
      </w:r>
      <w:r>
        <w:rPr>
          <w:lang w:eastAsia="en-AU"/>
        </w:rPr>
        <w:t xml:space="preserve"> from young people who indicated they had used a headspace service.</w:t>
      </w:r>
    </w:p>
    <w:p w14:paraId="22081014" w14:textId="77777777" w:rsidR="003A2021" w:rsidRDefault="003A2021" w:rsidP="00A86CAC">
      <w:pPr>
        <w:pStyle w:val="AppendixHeading3"/>
      </w:pPr>
      <w:r w:rsidRPr="005E268E">
        <w:t xml:space="preserve">Focus </w:t>
      </w:r>
      <w:r>
        <w:t>g</w:t>
      </w:r>
      <w:r w:rsidRPr="00C86859">
        <w:t>roups</w:t>
      </w:r>
      <w:r>
        <w:t xml:space="preserve"> and interviews</w:t>
      </w:r>
    </w:p>
    <w:p w14:paraId="2A5D958D" w14:textId="4813E453" w:rsidR="003A2021" w:rsidRDefault="003A2021" w:rsidP="003006A8">
      <w:pPr>
        <w:pStyle w:val="BodyText"/>
      </w:pPr>
      <w:r>
        <w:t xml:space="preserve">A series of structured interviews and focus groups were undertaken with key </w:t>
      </w:r>
      <w:r w:rsidRPr="002C2359">
        <w:t xml:space="preserve">headspace </w:t>
      </w:r>
      <w:r>
        <w:t xml:space="preserve">target populations and stakeholders. These included: </w:t>
      </w:r>
    </w:p>
    <w:p w14:paraId="633F043C" w14:textId="30C72E86" w:rsidR="003A2021" w:rsidRDefault="003A2021" w:rsidP="003A2021">
      <w:pPr>
        <w:pStyle w:val="Bullet1stlevel"/>
        <w:rPr>
          <w:lang w:eastAsia="en-AU"/>
        </w:rPr>
      </w:pPr>
      <w:r>
        <w:rPr>
          <w:lang w:eastAsia="en-AU"/>
        </w:rPr>
        <w:t xml:space="preserve">Forty-seven interviews with young people who have used headspace services </w:t>
      </w:r>
      <w:r w:rsidR="00812A15">
        <w:rPr>
          <w:lang w:eastAsia="en-AU"/>
        </w:rPr>
        <w:t>–</w:t>
      </w:r>
      <w:r>
        <w:rPr>
          <w:lang w:eastAsia="en-AU"/>
        </w:rPr>
        <w:t xml:space="preserve"> to obtain self</w:t>
      </w:r>
      <w:r w:rsidR="00370CE4">
        <w:rPr>
          <w:lang w:eastAsia="en-AU"/>
        </w:rPr>
        <w:noBreakHyphen/>
      </w:r>
      <w:r>
        <w:rPr>
          <w:lang w:eastAsia="en-AU"/>
        </w:rPr>
        <w:t>reported information on outcomes, as well as to explore in depth young people’s experiences with headspace. Young people who have used headspace services were recruited through headspace National, with all current and former headspace clients who completed the survey described above given the option to volunteer for focus groups, interviews, or both.</w:t>
      </w:r>
    </w:p>
    <w:p w14:paraId="03924C9D" w14:textId="02CA6AC1" w:rsidR="003A2021" w:rsidRDefault="003A2021" w:rsidP="003A2021">
      <w:pPr>
        <w:pStyle w:val="Bullet1stlevel"/>
        <w:rPr>
          <w:lang w:eastAsia="en-AU"/>
        </w:rPr>
      </w:pPr>
      <w:r>
        <w:rPr>
          <w:lang w:eastAsia="en-AU"/>
        </w:rPr>
        <w:t xml:space="preserve">Four focus groups with </w:t>
      </w:r>
      <w:r w:rsidR="003F23B7">
        <w:rPr>
          <w:lang w:eastAsia="en-AU"/>
        </w:rPr>
        <w:t>10</w:t>
      </w:r>
      <w:r>
        <w:rPr>
          <w:lang w:eastAsia="en-AU"/>
        </w:rPr>
        <w:t xml:space="preserve"> young people from priority population groups who have accessed headspace services, including Aboriginal and Torres Strait Islander young people, young people from culturally and linguistically diverse backgrounds, young people with disability, LGBTQIA+ young people, and young people in rural or remote areas – to understand how these groups experience headspace and how the program may be enhanced to better meet their needs. These young people were recruited in the same way as other headspace users </w:t>
      </w:r>
      <w:r w:rsidR="00370CE4">
        <w:rPr>
          <w:lang w:eastAsia="en-AU"/>
        </w:rPr>
        <w:t>described</w:t>
      </w:r>
      <w:r>
        <w:rPr>
          <w:lang w:eastAsia="en-AU"/>
        </w:rPr>
        <w:t xml:space="preserve"> in the point above, with additional screening undertaken to understand </w:t>
      </w:r>
      <w:r w:rsidR="00812A15">
        <w:rPr>
          <w:lang w:eastAsia="en-AU"/>
        </w:rPr>
        <w:t xml:space="preserve">with </w:t>
      </w:r>
      <w:r>
        <w:rPr>
          <w:lang w:eastAsia="en-AU"/>
        </w:rPr>
        <w:t>which groups they may identify.</w:t>
      </w:r>
    </w:p>
    <w:p w14:paraId="1E91DC35" w14:textId="69A227F3" w:rsidR="003A2021" w:rsidRDefault="003A2021" w:rsidP="003A2021">
      <w:pPr>
        <w:pStyle w:val="Bullet1stlevel"/>
        <w:rPr>
          <w:lang w:eastAsia="en-AU"/>
        </w:rPr>
      </w:pPr>
      <w:r>
        <w:rPr>
          <w:lang w:eastAsia="en-AU"/>
        </w:rPr>
        <w:t xml:space="preserve">Fifteen focus groups with </w:t>
      </w:r>
      <w:r w:rsidR="00C17EBF">
        <w:rPr>
          <w:lang w:eastAsia="en-AU"/>
        </w:rPr>
        <w:t>76</w:t>
      </w:r>
      <w:r>
        <w:rPr>
          <w:lang w:eastAsia="en-AU"/>
        </w:rPr>
        <w:t xml:space="preserve"> young people who do not access headspace – exploring awareness of, and views about, headspace services and potential barriers to access</w:t>
      </w:r>
      <w:r w:rsidR="00812A15">
        <w:rPr>
          <w:lang w:eastAsia="en-AU"/>
        </w:rPr>
        <w:t>,</w:t>
      </w:r>
      <w:r>
        <w:rPr>
          <w:lang w:eastAsia="en-AU"/>
        </w:rPr>
        <w:t xml:space="preserve"> attitudes towards </w:t>
      </w:r>
      <w:r w:rsidR="009E659F" w:rsidRPr="6DA81B3F">
        <w:rPr>
          <w:lang w:eastAsia="en-AU"/>
        </w:rPr>
        <w:t>help seeking</w:t>
      </w:r>
      <w:r>
        <w:rPr>
          <w:lang w:eastAsia="en-AU"/>
        </w:rPr>
        <w:t xml:space="preserve"> and mental health</w:t>
      </w:r>
      <w:r w:rsidR="00812A15">
        <w:rPr>
          <w:lang w:eastAsia="en-AU"/>
        </w:rPr>
        <w:t>,</w:t>
      </w:r>
      <w:r>
        <w:rPr>
          <w:lang w:eastAsia="en-AU"/>
        </w:rPr>
        <w:t xml:space="preserve"> and how headspace advocates for and promotes youth mental health and wellbeing in communities, and other contributions to local communities. Young people were recruited by </w:t>
      </w:r>
      <w:r w:rsidR="00CC01AF">
        <w:rPr>
          <w:lang w:eastAsia="en-AU"/>
        </w:rPr>
        <w:t>batyr</w:t>
      </w:r>
      <w:r>
        <w:rPr>
          <w:lang w:eastAsia="en-AU"/>
        </w:rPr>
        <w:t xml:space="preserve"> through the organisation’s social media channels, as well as volunteers who had completed the young people’s survey described above.</w:t>
      </w:r>
    </w:p>
    <w:p w14:paraId="5CB9A76E" w14:textId="72FF4D4D" w:rsidR="003A2021" w:rsidRDefault="003A2021" w:rsidP="003A2021">
      <w:pPr>
        <w:pStyle w:val="Bullet1stlevel"/>
      </w:pPr>
      <w:r>
        <w:rPr>
          <w:lang w:eastAsia="en-AU"/>
        </w:rPr>
        <w:t xml:space="preserve">Eight focus groups with </w:t>
      </w:r>
      <w:r w:rsidR="00D430B2">
        <w:rPr>
          <w:lang w:eastAsia="en-AU"/>
        </w:rPr>
        <w:t>35</w:t>
      </w:r>
      <w:r>
        <w:rPr>
          <w:lang w:eastAsia="en-AU"/>
        </w:rPr>
        <w:t xml:space="preserve"> school and university counsellors – exploring accessibility and availability of headspace services and current barriers to access, the appropriateness of headspace services in meeting identified needs of young people, and observations about young people’s attitudes towards help</w:t>
      </w:r>
      <w:r w:rsidR="00BD29DF">
        <w:rPr>
          <w:lang w:eastAsia="en-AU"/>
        </w:rPr>
        <w:t xml:space="preserve"> </w:t>
      </w:r>
      <w:r>
        <w:rPr>
          <w:lang w:eastAsia="en-AU"/>
        </w:rPr>
        <w:t xml:space="preserve">seeking and mental health, particularly any changes over time. School and university representatives were recruited through </w:t>
      </w:r>
      <w:r w:rsidR="00CC01AF">
        <w:rPr>
          <w:lang w:eastAsia="en-AU"/>
        </w:rPr>
        <w:t>batyr</w:t>
      </w:r>
      <w:r>
        <w:rPr>
          <w:lang w:eastAsia="en-AU"/>
        </w:rPr>
        <w:t>’s school and university networks.</w:t>
      </w:r>
    </w:p>
    <w:p w14:paraId="5959206B" w14:textId="60900319" w:rsidR="003A2021" w:rsidRPr="00B300E8" w:rsidRDefault="003A2021" w:rsidP="003A2021">
      <w:pPr>
        <w:pStyle w:val="Bullet1stlevel"/>
      </w:pPr>
      <w:r>
        <w:rPr>
          <w:lang w:eastAsia="en-AU"/>
        </w:rPr>
        <w:t xml:space="preserve">Five interviews with </w:t>
      </w:r>
      <w:r w:rsidR="00817252">
        <w:rPr>
          <w:lang w:eastAsia="en-AU"/>
        </w:rPr>
        <w:t>five</w:t>
      </w:r>
      <w:r>
        <w:rPr>
          <w:lang w:eastAsia="en-AU"/>
        </w:rPr>
        <w:t xml:space="preserve"> GPs –</w:t>
      </w:r>
      <w:r>
        <w:t xml:space="preserve"> exploring the referral pathways and process in more detail from this stakeholder group’s perspective. GPs were </w:t>
      </w:r>
      <w:r w:rsidR="00F010FF">
        <w:t>firstly</w:t>
      </w:r>
      <w:r>
        <w:t xml:space="preserve"> recruited through headspace services in each of the six deep dive sites, however engagement levels were unexpectedly low from GPs as a stakeholder group. </w:t>
      </w:r>
      <w:r w:rsidR="001B05A7">
        <w:t xml:space="preserve">Following low take up from this method, PHNs consulted were also asked to contact local GP networks to </w:t>
      </w:r>
      <w:r w:rsidR="00112708">
        <w:t xml:space="preserve">find interested GPs. Following both methods of recruitment, only </w:t>
      </w:r>
      <w:r w:rsidR="00370CE4">
        <w:t>five</w:t>
      </w:r>
      <w:r w:rsidR="00112708">
        <w:t xml:space="preserve"> GPs were able to participate in an interview.</w:t>
      </w:r>
      <w:r w:rsidR="000748DD">
        <w:t xml:space="preserve"> </w:t>
      </w:r>
      <w:r>
        <w:t xml:space="preserve">Of the five GPs interviewed, three were based in Queensland (Gympie and Gold Coast), one in NSW (Bega) and one in the </w:t>
      </w:r>
      <w:r w:rsidR="00153093">
        <w:t>NT</w:t>
      </w:r>
      <w:r>
        <w:t xml:space="preserve"> (Katherine).</w:t>
      </w:r>
      <w:r w:rsidR="000748DD">
        <w:t xml:space="preserve"> The ERG also </w:t>
      </w:r>
      <w:r w:rsidR="00153093">
        <w:t>had</w:t>
      </w:r>
      <w:r w:rsidR="00883326">
        <w:t xml:space="preserve"> on</w:t>
      </w:r>
      <w:r w:rsidR="00A81E8C">
        <w:t>e</w:t>
      </w:r>
      <w:r w:rsidR="00883326">
        <w:t xml:space="preserve"> GP representative</w:t>
      </w:r>
      <w:r w:rsidR="00153093">
        <w:t xml:space="preserve"> member</w:t>
      </w:r>
      <w:r w:rsidR="00883326">
        <w:t xml:space="preserve"> to provide additional input throughout the evaluation. It should be noted that this GP works within a headspace service.</w:t>
      </w:r>
    </w:p>
    <w:p w14:paraId="4B3D9392" w14:textId="77777777" w:rsidR="003A2021" w:rsidRDefault="003A2021" w:rsidP="00A86CAC">
      <w:pPr>
        <w:pStyle w:val="AppendixHeading3"/>
      </w:pPr>
      <w:r>
        <w:t>Survey of headspace services and their lead agencies</w:t>
      </w:r>
    </w:p>
    <w:p w14:paraId="145314B2" w14:textId="1311A833" w:rsidR="003A2021" w:rsidRDefault="008F4324" w:rsidP="003006A8">
      <w:pPr>
        <w:pStyle w:val="BodyText"/>
      </w:pPr>
      <w:r w:rsidRPr="008F4324">
        <w:t xml:space="preserve">Beyond those that were </w:t>
      </w:r>
      <w:r w:rsidR="00307F26">
        <w:t>established</w:t>
      </w:r>
      <w:r w:rsidR="00307F26" w:rsidRPr="008F4324">
        <w:t xml:space="preserve"> </w:t>
      </w:r>
      <w:r w:rsidRPr="008F4324">
        <w:t>in 2019-2020, a survey was sent to all headspace services and their lead agencies across Australia</w:t>
      </w:r>
      <w:r w:rsidR="003A2021">
        <w:t>. The survey was designed to test key evaluation questions, as well as whether barriers, enablers and other factors raised by stakeholders within the deep dive site consultations described above were also experienced by other services. This survey covered the following areas:</w:t>
      </w:r>
    </w:p>
    <w:p w14:paraId="524D9D2C" w14:textId="18D8DA82" w:rsidR="003A2021" w:rsidRDefault="003A2021" w:rsidP="003A2021">
      <w:pPr>
        <w:pStyle w:val="Bullet1stlevel"/>
      </w:pPr>
      <w:r>
        <w:t xml:space="preserve">characteristics of the headspace service and </w:t>
      </w:r>
      <w:r w:rsidR="00812A15">
        <w:t xml:space="preserve">the </w:t>
      </w:r>
      <w:r>
        <w:t>services it delivers</w:t>
      </w:r>
      <w:r w:rsidR="00A71B18">
        <w:t>;</w:t>
      </w:r>
    </w:p>
    <w:p w14:paraId="069376C8" w14:textId="3973D306" w:rsidR="003A2021" w:rsidRDefault="003A2021" w:rsidP="003A2021">
      <w:pPr>
        <w:pStyle w:val="Bullet1stlevel"/>
      </w:pPr>
      <w:r>
        <w:t>how services are meeting headspace objectives, including for young people who are hard to reach</w:t>
      </w:r>
      <w:r w:rsidR="00A71B18">
        <w:t>;</w:t>
      </w:r>
    </w:p>
    <w:p w14:paraId="6240894E" w14:textId="174390EE" w:rsidR="003A2021" w:rsidRDefault="003A2021" w:rsidP="003A2021">
      <w:pPr>
        <w:pStyle w:val="Bullet1stlevelkeepwithnext"/>
      </w:pPr>
      <w:r>
        <w:t>key barriers and enablers for services in meeting objectives of the headspace program</w:t>
      </w:r>
      <w:r w:rsidR="00A71B18">
        <w:t>; and</w:t>
      </w:r>
    </w:p>
    <w:p w14:paraId="60E06D72" w14:textId="77777777" w:rsidR="003A2021" w:rsidRPr="00B300E8" w:rsidRDefault="003A2021" w:rsidP="003A2021">
      <w:pPr>
        <w:pStyle w:val="Bullet1stlevel"/>
      </w:pPr>
      <w:r>
        <w:t>high level funding questions (headspace services only).</w:t>
      </w:r>
    </w:p>
    <w:p w14:paraId="7C3E1E28" w14:textId="429270DC" w:rsidR="00BC443D" w:rsidRPr="00B300E8" w:rsidRDefault="00AE0F40" w:rsidP="00BC443D">
      <w:pPr>
        <w:pStyle w:val="Bullet1stlevel"/>
        <w:numPr>
          <w:ilvl w:val="0"/>
          <w:numId w:val="0"/>
        </w:numPr>
      </w:pPr>
      <w:r>
        <w:t xml:space="preserve">A total of </w:t>
      </w:r>
      <w:r w:rsidR="00E565ED">
        <w:t>89</w:t>
      </w:r>
      <w:r w:rsidR="00697A2A">
        <w:t xml:space="preserve"> responses were received to the survey, however it should be noted </w:t>
      </w:r>
      <w:r w:rsidR="00812A15">
        <w:t xml:space="preserve">that </w:t>
      </w:r>
      <w:r w:rsidR="00697A2A">
        <w:t>two responses received only completed the requested financial information, a</w:t>
      </w:r>
      <w:r w:rsidR="0081661A">
        <w:t>s services</w:t>
      </w:r>
      <w:r w:rsidR="00697A2A">
        <w:t xml:space="preserve"> were </w:t>
      </w:r>
      <w:r w:rsidR="0081661A">
        <w:t>given the option to complete these questions separately at a later time.</w:t>
      </w:r>
      <w:r w:rsidR="00697A2A">
        <w:t xml:space="preserve"> </w:t>
      </w:r>
      <w:r w:rsidR="00DE0E33">
        <w:t xml:space="preserve">In addition, 13 </w:t>
      </w:r>
      <w:r w:rsidR="00DE0527">
        <w:t xml:space="preserve">responses only completed </w:t>
      </w:r>
      <w:r w:rsidR="00786805">
        <w:t xml:space="preserve">the location </w:t>
      </w:r>
      <w:r w:rsidR="00E74417">
        <w:t>and type of headspace</w:t>
      </w:r>
      <w:r w:rsidR="00786805">
        <w:t xml:space="preserve"> service</w:t>
      </w:r>
      <w:r w:rsidR="00E74417">
        <w:t xml:space="preserve"> they were representing</w:t>
      </w:r>
      <w:r w:rsidR="00786805">
        <w:t>, with no other questions answered.</w:t>
      </w:r>
    </w:p>
    <w:p w14:paraId="5395463B" w14:textId="22EC3473" w:rsidR="0081661A" w:rsidRPr="00B300E8" w:rsidRDefault="00447D7C" w:rsidP="00BC443D">
      <w:pPr>
        <w:pStyle w:val="Bullet1stlevel"/>
        <w:numPr>
          <w:ilvl w:val="0"/>
          <w:numId w:val="0"/>
        </w:numPr>
      </w:pPr>
      <w:r>
        <w:t xml:space="preserve">Of the 76 surveys with </w:t>
      </w:r>
      <w:r w:rsidR="00C63F14">
        <w:t xml:space="preserve">answers other than demographic information, </w:t>
      </w:r>
      <w:r w:rsidR="009C6328">
        <w:t xml:space="preserve">34 per cent were from headspace services in metropolitan locations, </w:t>
      </w:r>
      <w:r w:rsidR="00D45F0A">
        <w:t xml:space="preserve">47 per cent were in regional locations, and </w:t>
      </w:r>
      <w:r w:rsidR="002F79AA">
        <w:t xml:space="preserve">18 per cent were in rural or remote locations. </w:t>
      </w:r>
      <w:r w:rsidR="006D48B8">
        <w:t xml:space="preserve">Compared to the spread of headspace services nationally, </w:t>
      </w:r>
      <w:r w:rsidR="00D36F08">
        <w:t>metropolitan locations were under</w:t>
      </w:r>
      <w:r w:rsidR="0FE2145A">
        <w:t>-</w:t>
      </w:r>
      <w:r w:rsidR="00D36F08">
        <w:t>represented, and rural and remote services over</w:t>
      </w:r>
      <w:r w:rsidR="0FE2145A">
        <w:t>-</w:t>
      </w:r>
      <w:r w:rsidR="00D36F08">
        <w:t>represented within the respondent group.</w:t>
      </w:r>
      <w:r w:rsidR="002B5ED8">
        <w:t xml:space="preserve"> Approximately five per cent of responses came from satellite or other service models, which is a similar proportion to </w:t>
      </w:r>
      <w:r w:rsidR="003512B0">
        <w:t>the headspace network more broadly.</w:t>
      </w:r>
    </w:p>
    <w:p w14:paraId="1CD38EC6" w14:textId="77777777" w:rsidR="003A2021" w:rsidRPr="001947D6" w:rsidRDefault="003A2021" w:rsidP="00A86CAC">
      <w:pPr>
        <w:pStyle w:val="AppendixHeading3"/>
      </w:pPr>
      <w:r>
        <w:t>Analysis of the headspace Minimum Dataset</w:t>
      </w:r>
    </w:p>
    <w:p w14:paraId="7B190C08" w14:textId="77777777" w:rsidR="003A2021" w:rsidRDefault="003A2021" w:rsidP="003006A8">
      <w:pPr>
        <w:pStyle w:val="BodyText"/>
      </w:pPr>
      <w:r>
        <w:t xml:space="preserve">The hMDS comprises data on services delivered through headspace services. hMDS data is collected from both young people and service providers. Data is collected on: </w:t>
      </w:r>
    </w:p>
    <w:p w14:paraId="0AEF8166" w14:textId="027C9CF1" w:rsidR="003A2021" w:rsidRDefault="00812A15" w:rsidP="003A2021">
      <w:pPr>
        <w:pStyle w:val="Bullet1stlevel"/>
        <w:rPr>
          <w:lang w:eastAsia="en-AU"/>
        </w:rPr>
      </w:pPr>
      <w:r>
        <w:rPr>
          <w:lang w:eastAsia="en-AU"/>
        </w:rPr>
        <w:t>y</w:t>
      </w:r>
      <w:r w:rsidR="003A2021">
        <w:rPr>
          <w:lang w:eastAsia="en-AU"/>
        </w:rPr>
        <w:t>oung person profile</w:t>
      </w:r>
      <w:r w:rsidR="00A95B2C">
        <w:rPr>
          <w:lang w:eastAsia="en-AU"/>
        </w:rPr>
        <w:t>;</w:t>
      </w:r>
    </w:p>
    <w:p w14:paraId="2143EE83" w14:textId="5C02BCA6" w:rsidR="003A2021" w:rsidRPr="000A3E90" w:rsidRDefault="00637780" w:rsidP="003A2021">
      <w:pPr>
        <w:pStyle w:val="Bullet1stlevel"/>
        <w:rPr>
          <w:lang w:eastAsia="en-AU"/>
        </w:rPr>
      </w:pPr>
      <w:r>
        <w:rPr>
          <w:lang w:eastAsia="en-AU"/>
        </w:rPr>
        <w:t>OOS</w:t>
      </w:r>
      <w:r w:rsidR="00A95B2C">
        <w:rPr>
          <w:lang w:eastAsia="en-AU"/>
        </w:rPr>
        <w:t>; and</w:t>
      </w:r>
    </w:p>
    <w:p w14:paraId="4621E3DE" w14:textId="04ED82EB" w:rsidR="003A2021" w:rsidRDefault="00080644" w:rsidP="003A2021">
      <w:pPr>
        <w:pStyle w:val="Bullet1stlevel"/>
        <w:rPr>
          <w:lang w:eastAsia="en-AU"/>
        </w:rPr>
      </w:pPr>
      <w:r>
        <w:rPr>
          <w:lang w:eastAsia="en-AU"/>
        </w:rPr>
        <w:t>EOC</w:t>
      </w:r>
      <w:r w:rsidR="003A2021">
        <w:rPr>
          <w:lang w:eastAsia="en-AU"/>
        </w:rPr>
        <w:t>.</w:t>
      </w:r>
    </w:p>
    <w:p w14:paraId="1D2F920B" w14:textId="08E2E52E" w:rsidR="003A2021" w:rsidRDefault="003A2021" w:rsidP="003A2021">
      <w:pPr>
        <w:pStyle w:val="BodyText"/>
        <w:rPr>
          <w:lang w:eastAsia="en-AU"/>
        </w:rPr>
      </w:pPr>
      <w:r>
        <w:rPr>
          <w:lang w:eastAsia="en-AU"/>
        </w:rPr>
        <w:t xml:space="preserve">Service providers and young people enter required information for </w:t>
      </w:r>
      <w:r w:rsidRPr="005C070A">
        <w:rPr>
          <w:lang w:eastAsia="en-AU"/>
        </w:rPr>
        <w:t>specified</w:t>
      </w:r>
      <w:r>
        <w:rPr>
          <w:lang w:eastAsia="en-AU"/>
        </w:rPr>
        <w:t xml:space="preserve"> </w:t>
      </w:r>
      <w:r w:rsidR="001F66B8">
        <w:rPr>
          <w:lang w:eastAsia="en-AU"/>
        </w:rPr>
        <w:t>OOS</w:t>
      </w:r>
      <w:r>
        <w:rPr>
          <w:lang w:eastAsia="en-AU"/>
        </w:rPr>
        <w:t xml:space="preserve"> received from a headspace service, based on a standard set of questions that are used across all </w:t>
      </w:r>
      <w:r w:rsidR="00E40D47">
        <w:rPr>
          <w:lang w:eastAsia="en-AU"/>
        </w:rPr>
        <w:t>services</w:t>
      </w:r>
      <w:r>
        <w:rPr>
          <w:lang w:eastAsia="en-AU"/>
        </w:rPr>
        <w:t xml:space="preserve">. This data forms the basis of the hMDS. Over time, the data collected for the hMDS has changed, with additional fields of collection added, or some fields no longer collected. Wherever this has impacted the data presented throughout this report, this is stated directly. </w:t>
      </w:r>
    </w:p>
    <w:p w14:paraId="45027408" w14:textId="77777777" w:rsidR="003A2021" w:rsidRPr="005C070A" w:rsidRDefault="003A2021" w:rsidP="003006A8">
      <w:pPr>
        <w:pStyle w:val="BodyText"/>
      </w:pPr>
      <w:r w:rsidRPr="005C070A">
        <w:t xml:space="preserve">The </w:t>
      </w:r>
      <w:r>
        <w:t>hMDS has been analysed for the following information:</w:t>
      </w:r>
    </w:p>
    <w:p w14:paraId="0A2A2E0D" w14:textId="770C290E" w:rsidR="003A2021" w:rsidRPr="005C070A" w:rsidRDefault="003A2021" w:rsidP="003A2021">
      <w:pPr>
        <w:pStyle w:val="Bullet1stlevel"/>
        <w:rPr>
          <w:lang w:eastAsia="en-AU"/>
        </w:rPr>
      </w:pPr>
      <w:r>
        <w:rPr>
          <w:lang w:eastAsia="en-AU"/>
        </w:rPr>
        <w:t>headspace</w:t>
      </w:r>
      <w:r w:rsidRPr="005C070A">
        <w:rPr>
          <w:lang w:eastAsia="en-AU"/>
        </w:rPr>
        <w:t xml:space="preserve"> clients and their demographics</w:t>
      </w:r>
      <w:r w:rsidR="001F66B8">
        <w:rPr>
          <w:lang w:eastAsia="en-AU"/>
        </w:rPr>
        <w:t>;</w:t>
      </w:r>
    </w:p>
    <w:p w14:paraId="0F3565B8" w14:textId="5B19BBD2" w:rsidR="003A2021" w:rsidRDefault="003A2021" w:rsidP="003A2021">
      <w:pPr>
        <w:pStyle w:val="Bullet1stlevel"/>
        <w:rPr>
          <w:lang w:eastAsia="en-AU"/>
        </w:rPr>
      </w:pPr>
      <w:r>
        <w:rPr>
          <w:lang w:eastAsia="en-AU"/>
        </w:rPr>
        <w:t xml:space="preserve">number of </w:t>
      </w:r>
      <w:r w:rsidR="00080644">
        <w:rPr>
          <w:lang w:eastAsia="en-AU"/>
        </w:rPr>
        <w:t>EOC</w:t>
      </w:r>
      <w:r>
        <w:rPr>
          <w:lang w:eastAsia="en-AU"/>
        </w:rPr>
        <w:t xml:space="preserve">, and the total number of </w:t>
      </w:r>
      <w:r w:rsidR="001F66B8">
        <w:rPr>
          <w:lang w:eastAsia="en-AU"/>
        </w:rPr>
        <w:t>OOS</w:t>
      </w:r>
      <w:r>
        <w:rPr>
          <w:lang w:eastAsia="en-AU"/>
        </w:rPr>
        <w:t xml:space="preserve"> that make up each </w:t>
      </w:r>
      <w:r w:rsidR="00080644">
        <w:rPr>
          <w:lang w:eastAsia="en-AU"/>
        </w:rPr>
        <w:t>EOC</w:t>
      </w:r>
      <w:r w:rsidR="001F66B8">
        <w:rPr>
          <w:lang w:eastAsia="en-AU"/>
        </w:rPr>
        <w:t>;</w:t>
      </w:r>
    </w:p>
    <w:p w14:paraId="0E8BF1C7" w14:textId="7501D1E2" w:rsidR="003A2021" w:rsidRDefault="003A2021" w:rsidP="003A2021">
      <w:pPr>
        <w:pStyle w:val="Bullet1stlevel"/>
        <w:rPr>
          <w:lang w:eastAsia="en-AU"/>
        </w:rPr>
      </w:pPr>
      <w:r>
        <w:rPr>
          <w:lang w:eastAsia="en-AU"/>
        </w:rPr>
        <w:t xml:space="preserve">the young person’s primary issue and main services provided during each </w:t>
      </w:r>
      <w:r w:rsidR="001F66B8">
        <w:rPr>
          <w:lang w:eastAsia="en-AU"/>
        </w:rPr>
        <w:t>OOS;</w:t>
      </w:r>
    </w:p>
    <w:p w14:paraId="29C72008" w14:textId="61DDBABE" w:rsidR="003A2021" w:rsidRPr="005C070A" w:rsidRDefault="003A2021" w:rsidP="003A2021">
      <w:pPr>
        <w:pStyle w:val="Bullet1stlevel"/>
        <w:rPr>
          <w:lang w:eastAsia="en-AU"/>
        </w:rPr>
      </w:pPr>
      <w:r>
        <w:rPr>
          <w:lang w:eastAsia="en-AU"/>
        </w:rPr>
        <w:t xml:space="preserve">service provider characteristics for each </w:t>
      </w:r>
      <w:r w:rsidR="001F66B8">
        <w:rPr>
          <w:lang w:eastAsia="en-AU"/>
        </w:rPr>
        <w:t xml:space="preserve">OOS; </w:t>
      </w:r>
    </w:p>
    <w:p w14:paraId="5724AA59" w14:textId="509E73C5" w:rsidR="003A2021" w:rsidRDefault="003A2021" w:rsidP="003A2021">
      <w:pPr>
        <w:pStyle w:val="Bullet1stlevel"/>
        <w:rPr>
          <w:lang w:eastAsia="en-AU"/>
        </w:rPr>
      </w:pPr>
      <w:r>
        <w:rPr>
          <w:lang w:eastAsia="en-AU"/>
        </w:rPr>
        <w:t>client outcomes based on the K10</w:t>
      </w:r>
      <w:r w:rsidRPr="00FF5E4B">
        <w:rPr>
          <w:lang w:eastAsia="en-AU"/>
        </w:rPr>
        <w:t xml:space="preserve">, MyLifeTracker and </w:t>
      </w:r>
      <w:r w:rsidRPr="00997DD1">
        <w:rPr>
          <w:lang w:eastAsia="en-AU"/>
        </w:rPr>
        <w:t xml:space="preserve">Social and Occupational Functioning Assessment Scale </w:t>
      </w:r>
      <w:r>
        <w:rPr>
          <w:lang w:eastAsia="en-AU"/>
        </w:rPr>
        <w:t>(</w:t>
      </w:r>
      <w:r w:rsidRPr="00FF5E4B">
        <w:rPr>
          <w:lang w:eastAsia="en-AU"/>
        </w:rPr>
        <w:t>SOFAS</w:t>
      </w:r>
      <w:r>
        <w:rPr>
          <w:lang w:eastAsia="en-AU"/>
        </w:rPr>
        <w:t>)</w:t>
      </w:r>
      <w:r w:rsidRPr="00FF5E4B">
        <w:rPr>
          <w:lang w:eastAsia="en-AU"/>
        </w:rPr>
        <w:t xml:space="preserve"> scores</w:t>
      </w:r>
      <w:r w:rsidR="001F66B8">
        <w:rPr>
          <w:lang w:eastAsia="en-AU"/>
        </w:rPr>
        <w:t>; and</w:t>
      </w:r>
    </w:p>
    <w:p w14:paraId="34A7F133" w14:textId="1251FDBE" w:rsidR="003A2021" w:rsidRDefault="003A2021" w:rsidP="003A2021">
      <w:pPr>
        <w:pStyle w:val="Bullet1stlevel"/>
        <w:rPr>
          <w:lang w:eastAsia="en-AU"/>
        </w:rPr>
      </w:pPr>
      <w:r>
        <w:rPr>
          <w:lang w:eastAsia="en-AU"/>
        </w:rPr>
        <w:t xml:space="preserve">funding sources for each </w:t>
      </w:r>
      <w:r w:rsidR="009C028B">
        <w:rPr>
          <w:lang w:eastAsia="en-AU"/>
        </w:rPr>
        <w:t>OOS</w:t>
      </w:r>
      <w:r>
        <w:rPr>
          <w:lang w:eastAsia="en-AU"/>
        </w:rPr>
        <w:t>, such as out</w:t>
      </w:r>
      <w:r w:rsidR="00823C51">
        <w:rPr>
          <w:lang w:eastAsia="en-AU"/>
        </w:rPr>
        <w:t>-</w:t>
      </w:r>
      <w:r>
        <w:rPr>
          <w:lang w:eastAsia="en-AU"/>
        </w:rPr>
        <w:t>of</w:t>
      </w:r>
      <w:r w:rsidR="00823C51">
        <w:rPr>
          <w:lang w:eastAsia="en-AU"/>
        </w:rPr>
        <w:t>-</w:t>
      </w:r>
      <w:r>
        <w:rPr>
          <w:lang w:eastAsia="en-AU"/>
        </w:rPr>
        <w:t>pocket costs for young people and MBS funding.</w:t>
      </w:r>
    </w:p>
    <w:p w14:paraId="29DCF557" w14:textId="130FCD49" w:rsidR="003A2021" w:rsidRDefault="003A2021" w:rsidP="003A2021">
      <w:pPr>
        <w:pStyle w:val="BodyText"/>
        <w:rPr>
          <w:lang w:eastAsia="en-AU"/>
        </w:rPr>
      </w:pPr>
      <w:r>
        <w:rPr>
          <w:lang w:eastAsia="en-AU"/>
        </w:rPr>
        <w:t xml:space="preserve">The hMDS data analysed was for the period from 2015-16 to 2019-20. This included data on closed </w:t>
      </w:r>
      <w:r w:rsidR="00080644">
        <w:rPr>
          <w:lang w:eastAsia="en-AU"/>
        </w:rPr>
        <w:t>EOC</w:t>
      </w:r>
      <w:r w:rsidR="00823C51">
        <w:rPr>
          <w:lang w:eastAsia="en-AU"/>
        </w:rPr>
        <w:t>s</w:t>
      </w:r>
      <w:r>
        <w:rPr>
          <w:lang w:eastAsia="en-AU"/>
        </w:rPr>
        <w:t xml:space="preserve"> that were created within each financial year. For 2019-20, this included </w:t>
      </w:r>
      <w:r w:rsidR="00080644">
        <w:rPr>
          <w:lang w:eastAsia="en-AU"/>
        </w:rPr>
        <w:t>EOC</w:t>
      </w:r>
      <w:r w:rsidR="00823C51">
        <w:rPr>
          <w:lang w:eastAsia="en-AU"/>
        </w:rPr>
        <w:t>s</w:t>
      </w:r>
      <w:r>
        <w:rPr>
          <w:lang w:eastAsia="en-AU"/>
        </w:rPr>
        <w:t xml:space="preserve"> that were closed by December 2020, when data was extracted from the hMDS to support the evaluation. </w:t>
      </w:r>
    </w:p>
    <w:p w14:paraId="1CBCCCD8" w14:textId="77777777" w:rsidR="003A2021" w:rsidRDefault="003A2021" w:rsidP="003A2021">
      <w:pPr>
        <w:pStyle w:val="BodyText"/>
        <w:rPr>
          <w:lang w:eastAsia="en-AU"/>
        </w:rPr>
      </w:pPr>
      <w:r w:rsidRPr="005C070A">
        <w:rPr>
          <w:lang w:eastAsia="en-AU"/>
        </w:rPr>
        <w:t xml:space="preserve">This information </w:t>
      </w:r>
      <w:r>
        <w:rPr>
          <w:lang w:eastAsia="en-AU"/>
        </w:rPr>
        <w:t>has</w:t>
      </w:r>
      <w:r w:rsidRPr="005C070A">
        <w:rPr>
          <w:lang w:eastAsia="en-AU"/>
        </w:rPr>
        <w:t xml:space="preserve"> </w:t>
      </w:r>
      <w:r>
        <w:rPr>
          <w:lang w:eastAsia="en-AU"/>
        </w:rPr>
        <w:t>been used by</w:t>
      </w:r>
      <w:r w:rsidRPr="005C070A">
        <w:rPr>
          <w:lang w:eastAsia="en-AU"/>
        </w:rPr>
        <w:t xml:space="preserve"> the </w:t>
      </w:r>
      <w:r>
        <w:rPr>
          <w:lang w:eastAsia="en-AU"/>
        </w:rPr>
        <w:t>evaluation team</w:t>
      </w:r>
      <w:r w:rsidRPr="005C070A">
        <w:rPr>
          <w:lang w:eastAsia="en-AU"/>
        </w:rPr>
        <w:t xml:space="preserve"> to </w:t>
      </w:r>
      <w:r>
        <w:rPr>
          <w:lang w:eastAsia="en-AU"/>
        </w:rPr>
        <w:t>develop</w:t>
      </w:r>
      <w:r w:rsidRPr="005C070A">
        <w:rPr>
          <w:lang w:eastAsia="en-AU"/>
        </w:rPr>
        <w:t xml:space="preserve"> findings on </w:t>
      </w:r>
      <w:r>
        <w:rPr>
          <w:lang w:eastAsia="en-AU"/>
        </w:rPr>
        <w:t xml:space="preserve">services provided by headspace and how they have changed over time, </w:t>
      </w:r>
      <w:r w:rsidRPr="005C070A">
        <w:rPr>
          <w:lang w:eastAsia="en-AU"/>
        </w:rPr>
        <w:t xml:space="preserve">the characteristics </w:t>
      </w:r>
      <w:r w:rsidRPr="000368CC">
        <w:t>of</w:t>
      </w:r>
      <w:r w:rsidRPr="005C070A">
        <w:rPr>
          <w:lang w:eastAsia="en-AU"/>
        </w:rPr>
        <w:t xml:space="preserve"> </w:t>
      </w:r>
      <w:r w:rsidRPr="005C070A">
        <w:rPr>
          <w:bCs/>
          <w:lang w:eastAsia="en-AU"/>
        </w:rPr>
        <w:t>headspace</w:t>
      </w:r>
      <w:r w:rsidRPr="005C070A">
        <w:rPr>
          <w:lang w:eastAsia="en-AU"/>
        </w:rPr>
        <w:t xml:space="preserve"> clients, the services they </w:t>
      </w:r>
      <w:r>
        <w:rPr>
          <w:lang w:eastAsia="en-AU"/>
        </w:rPr>
        <w:t>receive</w:t>
      </w:r>
      <w:r w:rsidRPr="005C070A">
        <w:rPr>
          <w:lang w:eastAsia="en-AU"/>
        </w:rPr>
        <w:t>, outcomes achieved and how these contribute to the efficiency and value of the program.</w:t>
      </w:r>
    </w:p>
    <w:p w14:paraId="120B43D4" w14:textId="77777777" w:rsidR="003A2021" w:rsidRDefault="003A2021" w:rsidP="00A86CAC">
      <w:pPr>
        <w:pStyle w:val="AppendixHeading3"/>
      </w:pPr>
      <w:r>
        <w:t>Area-</w:t>
      </w:r>
      <w:r w:rsidRPr="00ED3129">
        <w:t>level</w:t>
      </w:r>
      <w:r>
        <w:t xml:space="preserve"> effectiveness analysis</w:t>
      </w:r>
    </w:p>
    <w:p w14:paraId="5535C8D2" w14:textId="30F369DE" w:rsidR="003A2021" w:rsidRDefault="003A2021" w:rsidP="000244E4">
      <w:pPr>
        <w:pStyle w:val="BodyText"/>
      </w:pPr>
      <w:r>
        <w:t xml:space="preserve">To support analysis of outcomes from headspace services where no control group exists, another form of quasi-experimental methodology known as </w:t>
      </w:r>
      <w:r w:rsidR="006C0AC9">
        <w:t>D</w:t>
      </w:r>
      <w:r>
        <w:t>ifference-in-</w:t>
      </w:r>
      <w:r w:rsidR="006C0AC9">
        <w:t>D</w:t>
      </w:r>
      <w:r>
        <w:t xml:space="preserve">ifferences (DID) was applied to further evaluate the impact of headspace services at the </w:t>
      </w:r>
      <w:r w:rsidR="00F56055">
        <w:t>area-level</w:t>
      </w:r>
      <w:r>
        <w:t>, rather than the individual level</w:t>
      </w:r>
      <w:r w:rsidR="00CC0438">
        <w:rPr>
          <w:rFonts w:ascii="ZWAdobeF" w:hAnsi="ZWAdobeF" w:cs="ZWAdobeF"/>
          <w:sz w:val="2"/>
          <w:szCs w:val="2"/>
        </w:rPr>
        <w:t>160F</w:t>
      </w:r>
      <w:r>
        <w:rPr>
          <w:rStyle w:val="FootnoteReference"/>
        </w:rPr>
        <w:footnoteReference w:id="162"/>
      </w:r>
      <w:r w:rsidRPr="009F6C9B">
        <w:rPr>
          <w:vertAlign w:val="superscript"/>
        </w:rPr>
        <w:t>,</w:t>
      </w:r>
      <w:r w:rsidR="00CC0438">
        <w:rPr>
          <w:rFonts w:ascii="ZWAdobeF" w:hAnsi="ZWAdobeF" w:cs="ZWAdobeF"/>
          <w:sz w:val="2"/>
          <w:szCs w:val="2"/>
        </w:rPr>
        <w:t>161F</w:t>
      </w:r>
      <w:r>
        <w:rPr>
          <w:rStyle w:val="FootnoteReference"/>
        </w:rPr>
        <w:footnoteReference w:id="163"/>
      </w:r>
      <w:r>
        <w:rPr>
          <w:vertAlign w:val="superscript"/>
        </w:rPr>
        <w:t>,</w:t>
      </w:r>
      <w:r w:rsidR="00CC0438">
        <w:rPr>
          <w:rFonts w:ascii="ZWAdobeF" w:hAnsi="ZWAdobeF" w:cs="ZWAdobeF"/>
          <w:sz w:val="2"/>
          <w:szCs w:val="2"/>
        </w:rPr>
        <w:t>162F</w:t>
      </w:r>
      <w:r>
        <w:rPr>
          <w:rStyle w:val="FootnoteReference"/>
        </w:rPr>
        <w:footnoteReference w:id="164"/>
      </w:r>
      <w:r w:rsidRPr="00414E3E">
        <w:t>.</w:t>
      </w:r>
    </w:p>
    <w:p w14:paraId="0B6611F5" w14:textId="77777777" w:rsidR="003A2021" w:rsidRPr="0036022D" w:rsidRDefault="003A2021" w:rsidP="00812A15">
      <w:pPr>
        <w:pStyle w:val="BodyText"/>
      </w:pPr>
      <w:r>
        <w:t>This DID design made use of longitudinal data to estimate the effect of headspace services by comparing the changes in outcomes over time between areas. Specifically, the approach compared outcomes over time for PHNs with few or no headspace services, to PHNs that have experienced a growth in headspace services. The hypotheses were that PHNs that have seen an increase in headspace services will have:</w:t>
      </w:r>
    </w:p>
    <w:p w14:paraId="65CBAC88" w14:textId="5A0EA57D" w:rsidR="003A2021" w:rsidRPr="004027BC" w:rsidRDefault="003A2021" w:rsidP="003A2021">
      <w:pPr>
        <w:pStyle w:val="Bullet1stlevel"/>
      </w:pPr>
      <w:r>
        <w:t xml:space="preserve">a </w:t>
      </w:r>
      <w:r w:rsidRPr="00D07A5D">
        <w:t>reduction</w:t>
      </w:r>
      <w:r>
        <w:t xml:space="preserve"> in the number of mental-health, self-harm and substance-abuse related hospitalisations </w:t>
      </w:r>
      <w:r w:rsidRPr="004027BC">
        <w:t>and the number of suicides</w:t>
      </w:r>
      <w:r w:rsidR="001F7EDC">
        <w:t>; and</w:t>
      </w:r>
    </w:p>
    <w:p w14:paraId="51A6D704" w14:textId="77777777" w:rsidR="003A2021" w:rsidRDefault="003A2021" w:rsidP="003A2021">
      <w:pPr>
        <w:pStyle w:val="Bullet1stlevel"/>
      </w:pPr>
      <w:r w:rsidRPr="004027BC">
        <w:t>an increase in the</w:t>
      </w:r>
      <w:r>
        <w:t xml:space="preserve"> number of Medicare-subsidised mental health specific services as increasing exposure to headspace should de-stigmatise the need to seek mental health care, especially outside the headspace program.</w:t>
      </w:r>
    </w:p>
    <w:p w14:paraId="089386BA" w14:textId="6040260A" w:rsidR="003A2021" w:rsidRDefault="003A2021" w:rsidP="003A2021">
      <w:pPr>
        <w:pStyle w:val="BodyText"/>
      </w:pPr>
      <w:r>
        <w:t xml:space="preserve">To examine how variations in headspace exposure influence area-level outcomes over time, outcome measures, aggregated by PHNs, were obtained from the Australian Institute of Health and Welfare (AIHW) and Services Australia. These data included the population of 12 to 25 year olds from 2008-09 to 2018-19 and the number of mental-health related hospitalisations; intentional self-harm hospitalisations related hospitalisations; illicit drug and alcohol related hospitalisations; deaths from intentional self-harm; and Medicare-subsidised mental health specific services among 12 to 25 year olds. </w:t>
      </w:r>
    </w:p>
    <w:p w14:paraId="1EA451FB" w14:textId="705D382A" w:rsidR="003A2021" w:rsidRPr="005052D8" w:rsidRDefault="003A2021" w:rsidP="00A86CAC">
      <w:pPr>
        <w:pStyle w:val="AppendixHeading3"/>
      </w:pPr>
      <w:r w:rsidRPr="005052D8">
        <w:t>Cost</w:t>
      </w:r>
      <w:r w:rsidR="006005AD">
        <w:t>-</w:t>
      </w:r>
      <w:r w:rsidRPr="005052D8">
        <w:t>effectiveness analysis</w:t>
      </w:r>
    </w:p>
    <w:p w14:paraId="705E25C8" w14:textId="4C3C30EE" w:rsidR="005804B4" w:rsidRDefault="003A2021" w:rsidP="003A2021">
      <w:pPr>
        <w:pStyle w:val="BodyText"/>
      </w:pPr>
      <w:r w:rsidRPr="00285FC4">
        <w:t>To determine the cost</w:t>
      </w:r>
      <w:r w:rsidR="006005AD">
        <w:t>-</w:t>
      </w:r>
      <w:r w:rsidRPr="00285FC4">
        <w:t xml:space="preserve">effectiveness of headspace services, the costs of delivering headspace </w:t>
      </w:r>
      <w:r w:rsidR="00812A15">
        <w:t>services</w:t>
      </w:r>
      <w:r w:rsidRPr="00285FC4">
        <w:t xml:space="preserve"> were brought together with the effectiveness of headspace services to allow quantification of the costs required to deliver a unit improvement in </w:t>
      </w:r>
      <w:r w:rsidR="00EE5018">
        <w:t>QALYs</w:t>
      </w:r>
      <w:r w:rsidRPr="00285FC4">
        <w:t xml:space="preserve">. The cost analysis </w:t>
      </w:r>
      <w:r>
        <w:t>included</w:t>
      </w:r>
      <w:r w:rsidRPr="00285FC4">
        <w:t xml:space="preserve"> the funding sources of each cost (e.g., MBS or </w:t>
      </w:r>
      <w:r w:rsidR="00307F26">
        <w:t>headspace</w:t>
      </w:r>
      <w:r w:rsidRPr="00285FC4">
        <w:t xml:space="preserve"> grant</w:t>
      </w:r>
      <w:r w:rsidR="00307F26">
        <w:t xml:space="preserve"> funding</w:t>
      </w:r>
      <w:r w:rsidRPr="00285FC4">
        <w:t>),</w:t>
      </w:r>
      <w:r w:rsidR="0092617E" w:rsidRPr="00285FC4">
        <w:t xml:space="preserve"> </w:t>
      </w:r>
      <w:r>
        <w:t>deep dive locations as well as use of the headspace service survey</w:t>
      </w:r>
      <w:r w:rsidR="00430530">
        <w:t>,</w:t>
      </w:r>
      <w:r>
        <w:t xml:space="preserve"> </w:t>
      </w:r>
      <w:r w:rsidRPr="00285FC4">
        <w:t xml:space="preserve">to </w:t>
      </w:r>
      <w:r>
        <w:t>assist in</w:t>
      </w:r>
      <w:r w:rsidRPr="00285FC4">
        <w:t xml:space="preserve"> assess</w:t>
      </w:r>
      <w:r>
        <w:t>ing</w:t>
      </w:r>
      <w:r w:rsidRPr="00285FC4">
        <w:t xml:space="preserve"> the proportion of costs that should be considered in-scope for the estimation of </w:t>
      </w:r>
      <w:r w:rsidR="000B79DD">
        <w:t>ICER</w:t>
      </w:r>
      <w:r w:rsidRPr="00285FC4">
        <w:t xml:space="preserve">. </w:t>
      </w:r>
      <w:r w:rsidR="00430530">
        <w:t xml:space="preserve">The estimation of the ICERs </w:t>
      </w:r>
      <w:r w:rsidR="006F20F6">
        <w:t>also requires the definition of</w:t>
      </w:r>
      <w:r w:rsidR="001D3C0F">
        <w:t xml:space="preserve"> a comparator group</w:t>
      </w:r>
      <w:r w:rsidR="00D367CC">
        <w:t xml:space="preserve"> which would be </w:t>
      </w:r>
      <w:r w:rsidR="00500961">
        <w:t>young people with mental health needs</w:t>
      </w:r>
      <w:r w:rsidR="00B64B6E">
        <w:t xml:space="preserve"> in a world where headspace (or an equivalent program) was never implemented.</w:t>
      </w:r>
    </w:p>
    <w:p w14:paraId="20E9DDCE" w14:textId="539F7929" w:rsidR="003A2021" w:rsidRPr="00285FC4" w:rsidRDefault="003A2021" w:rsidP="003A2021">
      <w:pPr>
        <w:pStyle w:val="BodyText"/>
      </w:pPr>
      <w:r w:rsidRPr="00285FC4">
        <w:t xml:space="preserve">ICERs </w:t>
      </w:r>
      <w:r>
        <w:t>were</w:t>
      </w:r>
      <w:r w:rsidRPr="00285FC4">
        <w:t xml:space="preserve"> calculated for headspace as a whole and </w:t>
      </w:r>
      <w:r>
        <w:t xml:space="preserve">as </w:t>
      </w:r>
      <w:r w:rsidRPr="00285FC4">
        <w:t xml:space="preserve">individual services. </w:t>
      </w:r>
      <w:r>
        <w:t>To support this cost</w:t>
      </w:r>
      <w:r w:rsidR="00866B52">
        <w:t>-</w:t>
      </w:r>
      <w:r>
        <w:t xml:space="preserve">effectiveness analysis, the following analysis was also undertaken: </w:t>
      </w:r>
    </w:p>
    <w:p w14:paraId="006C420B" w14:textId="1F6AEE1B" w:rsidR="00FD6523" w:rsidRPr="005B7224" w:rsidRDefault="00FD6523" w:rsidP="002C2FF2">
      <w:pPr>
        <w:pStyle w:val="Bullet1stlevel"/>
      </w:pPr>
      <w:r w:rsidRPr="005B7224">
        <w:rPr>
          <w:b/>
        </w:rPr>
        <w:t>Sensitivity analysis</w:t>
      </w:r>
      <w:r w:rsidRPr="005B7224">
        <w:t xml:space="preserve">: </w:t>
      </w:r>
      <w:r>
        <w:t xml:space="preserve">to </w:t>
      </w:r>
      <w:r w:rsidRPr="005B7224">
        <w:t xml:space="preserve">test the sensitivity of the results to assumptions </w:t>
      </w:r>
      <w:r w:rsidR="00AC4309">
        <w:t xml:space="preserve">surrounding </w:t>
      </w:r>
      <w:r w:rsidR="009E65DB">
        <w:t>the parameter inputs</w:t>
      </w:r>
      <w:r w:rsidR="00812A15">
        <w:t>,</w:t>
      </w:r>
      <w:r w:rsidR="009E65DB">
        <w:t xml:space="preserve"> such as </w:t>
      </w:r>
      <w:r w:rsidR="005464A3">
        <w:t>the proportion</w:t>
      </w:r>
      <w:r w:rsidR="00A8615A">
        <w:t xml:space="preserve"> of headspace clients</w:t>
      </w:r>
      <w:r w:rsidR="00C77889">
        <w:t xml:space="preserve"> that would continue to seek treatment in a world without headspace, </w:t>
      </w:r>
      <w:r w:rsidR="00812A15">
        <w:t xml:space="preserve">the </w:t>
      </w:r>
      <w:r w:rsidR="00C77889">
        <w:t xml:space="preserve">proportion of headspace services’ budgets attributable to treatment service provision, relative effectiveness and </w:t>
      </w:r>
      <w:r w:rsidR="00541893">
        <w:t xml:space="preserve">fees charged per </w:t>
      </w:r>
      <w:r w:rsidR="006E7DB0">
        <w:t>O</w:t>
      </w:r>
      <w:r w:rsidR="003C1E68">
        <w:t>O</w:t>
      </w:r>
      <w:r w:rsidR="006E7DB0">
        <w:t>S</w:t>
      </w:r>
      <w:r w:rsidR="00541893">
        <w:t xml:space="preserve"> provided outside of the </w:t>
      </w:r>
      <w:r w:rsidR="009E659F">
        <w:t>headspace</w:t>
      </w:r>
      <w:r w:rsidR="00541893">
        <w:t xml:space="preserve"> prog</w:t>
      </w:r>
      <w:r w:rsidR="003B31A3">
        <w:t>ram and definition of what constitutes as MAT.</w:t>
      </w:r>
    </w:p>
    <w:p w14:paraId="5C175EE3" w14:textId="7D99FD9A" w:rsidR="003A2021" w:rsidRPr="005B7224" w:rsidRDefault="003A2021" w:rsidP="003A2021">
      <w:pPr>
        <w:pStyle w:val="BodyText"/>
      </w:pPr>
      <w:r>
        <w:t xml:space="preserve">More detailed explanations of the methods used for this analysis are contained in </w:t>
      </w:r>
      <w:r w:rsidR="001268EC">
        <w:t>S</w:t>
      </w:r>
      <w:r w:rsidR="00BB4720">
        <w:t>ection</w:t>
      </w:r>
      <w:r>
        <w:t xml:space="preserve"> </w:t>
      </w:r>
      <w:r w:rsidR="00BB4720">
        <w:fldChar w:fldCharType="begin" w:fldLock="1"/>
      </w:r>
      <w:r w:rsidR="00BB4720">
        <w:instrText xml:space="preserve"> REF _Ref98316825 \n \h </w:instrText>
      </w:r>
      <w:r w:rsidR="00BB4720">
        <w:fldChar w:fldCharType="separate"/>
      </w:r>
      <w:r w:rsidR="00AE4D34">
        <w:t>4.2</w:t>
      </w:r>
      <w:r w:rsidR="00BB4720">
        <w:fldChar w:fldCharType="end"/>
      </w:r>
      <w:r>
        <w:t xml:space="preserve"> and </w:t>
      </w:r>
      <w:r w:rsidR="00812A15">
        <w:t xml:space="preserve">the </w:t>
      </w:r>
      <w:r>
        <w:t xml:space="preserve">corresponding appendices, outlined in </w:t>
      </w:r>
      <w:r w:rsidR="001268EC">
        <w:t>S</w:t>
      </w:r>
      <w:r w:rsidR="00BB4720">
        <w:t>ection</w:t>
      </w:r>
      <w:r>
        <w:t xml:space="preserve"> </w:t>
      </w:r>
      <w:r w:rsidR="00BB4720">
        <w:fldChar w:fldCharType="begin" w:fldLock="1"/>
      </w:r>
      <w:r w:rsidR="00BB4720">
        <w:instrText xml:space="preserve"> REF _Ref98316825 \n \h </w:instrText>
      </w:r>
      <w:r w:rsidR="00BB4720">
        <w:fldChar w:fldCharType="separate"/>
      </w:r>
      <w:r w:rsidR="00AE4D34">
        <w:t>4.2</w:t>
      </w:r>
      <w:r w:rsidR="00BB4720">
        <w:fldChar w:fldCharType="end"/>
      </w:r>
      <w:r>
        <w:t xml:space="preserve">. </w:t>
      </w:r>
    </w:p>
    <w:p w14:paraId="07A00DF9" w14:textId="27AF4850" w:rsidR="001A1FAD" w:rsidRPr="001A1FAD" w:rsidRDefault="0036643C" w:rsidP="00665DFA">
      <w:pPr>
        <w:pStyle w:val="AppendixHeading2"/>
      </w:pPr>
      <w:r>
        <w:t>Data limitations and considerations</w:t>
      </w:r>
    </w:p>
    <w:p w14:paraId="7E407264" w14:textId="613E3EEA" w:rsidR="00665416" w:rsidRPr="00665416" w:rsidRDefault="006A57B1" w:rsidP="00022C38">
      <w:pPr>
        <w:pStyle w:val="BodyText"/>
      </w:pPr>
      <w:r>
        <w:t>When reading this report, there are a number of key data limitations and considerations which should be considered.</w:t>
      </w:r>
      <w:r w:rsidR="005A6DDC">
        <w:t xml:space="preserve"> In addition to those outlined here, some more specific data limitations are also discussed</w:t>
      </w:r>
      <w:r w:rsidR="00812A15">
        <w:t>,</w:t>
      </w:r>
      <w:r w:rsidR="005A6DDC">
        <w:t xml:space="preserve"> where relevant</w:t>
      </w:r>
      <w:r w:rsidR="00812A15">
        <w:t>,</w:t>
      </w:r>
      <w:r w:rsidR="005A6DDC">
        <w:t xml:space="preserve"> </w:t>
      </w:r>
      <w:r w:rsidR="00384FD5">
        <w:t>through</w:t>
      </w:r>
      <w:r w:rsidR="00C55851">
        <w:t>ou</w:t>
      </w:r>
      <w:r w:rsidR="00384FD5">
        <w:t>t the report and appendices</w:t>
      </w:r>
      <w:r w:rsidR="005543FC">
        <w:t>.</w:t>
      </w:r>
    </w:p>
    <w:p w14:paraId="3CF4B0E0" w14:textId="26F2154F" w:rsidR="002A6255" w:rsidRPr="002A6255" w:rsidRDefault="0047006E" w:rsidP="00AC7392">
      <w:pPr>
        <w:pStyle w:val="AppendixHeading3"/>
      </w:pPr>
      <w:r>
        <w:t>headspace minimum dataset</w:t>
      </w:r>
    </w:p>
    <w:p w14:paraId="053D0104" w14:textId="3DDE375B" w:rsidR="00AB36A6" w:rsidRDefault="00AB36A6" w:rsidP="00A33A8D">
      <w:pPr>
        <w:pStyle w:val="AppendixHeading4"/>
      </w:pPr>
      <w:r>
        <w:t>Overall compliance with required data collection</w:t>
      </w:r>
    </w:p>
    <w:p w14:paraId="7CBAC2D8" w14:textId="77777777" w:rsidR="00114CC8" w:rsidRDefault="0047006E" w:rsidP="00F525A8">
      <w:pPr>
        <w:pStyle w:val="BodyText"/>
      </w:pPr>
      <w:r>
        <w:t>During analysis of the hMDS data provided by headspace National, it was observed that there</w:t>
      </w:r>
      <w:r w:rsidR="00F525A8">
        <w:t xml:space="preserve"> is considerable variation in data compliance across </w:t>
      </w:r>
      <w:r>
        <w:t>difference headspace services</w:t>
      </w:r>
      <w:r w:rsidR="00114CC8">
        <w:t xml:space="preserve">, and this was confirmed in discussion by </w:t>
      </w:r>
      <w:r w:rsidR="00F525A8">
        <w:t xml:space="preserve">the headspace National data team. Some </w:t>
      </w:r>
      <w:r w:rsidR="00114CC8">
        <w:t>headspace services</w:t>
      </w:r>
      <w:r w:rsidR="00F525A8">
        <w:t xml:space="preserve">, despite being well-established in metropolitan suburban areas, report low levels of service delivery. Other </w:t>
      </w:r>
      <w:r w:rsidR="00114CC8">
        <w:t xml:space="preserve">services appear to have </w:t>
      </w:r>
      <w:r w:rsidR="00F525A8">
        <w:t>low levels of</w:t>
      </w:r>
      <w:r w:rsidR="00114CC8">
        <w:t xml:space="preserve"> compliance with surveys, by both</w:t>
      </w:r>
      <w:r w:rsidR="00F525A8">
        <w:t xml:space="preserve"> young people and </w:t>
      </w:r>
      <w:r w:rsidR="00114CC8">
        <w:t>staff providing services.</w:t>
      </w:r>
    </w:p>
    <w:p w14:paraId="09EE4F6A" w14:textId="053139E7" w:rsidR="005E5B71" w:rsidRPr="005E5B71" w:rsidRDefault="00F525A8" w:rsidP="005E5B71">
      <w:pPr>
        <w:pStyle w:val="BodyText"/>
      </w:pPr>
      <w:r>
        <w:t>Compliance by young people has fluctuated more and been heavily impacted during the COVID-19 pandemic. Prior to COVID</w:t>
      </w:r>
      <w:r w:rsidR="006B344F">
        <w:t>-19</w:t>
      </w:r>
      <w:r>
        <w:t xml:space="preserve">, young person compliance sat at </w:t>
      </w:r>
      <w:r w:rsidR="00114CC8">
        <w:t>between</w:t>
      </w:r>
      <w:r>
        <w:t xml:space="preserve"> 80-85 per cent and dropped to below 60 per cent during COVID</w:t>
      </w:r>
      <w:r w:rsidR="006B344F">
        <w:t>-19</w:t>
      </w:r>
      <w:r>
        <w:t xml:space="preserve"> as young people did not want to use iPads in </w:t>
      </w:r>
      <w:r w:rsidR="00E40D47">
        <w:t>services</w:t>
      </w:r>
      <w:r>
        <w:t xml:space="preserve"> and did not always complete surveys they received via email or text prior to their appointments. Young person data compliance is currently sitting at about 65 per cent. However, at the national level over the past 18-months, Service Provider data compliance has remained above 90</w:t>
      </w:r>
      <w:r w:rsidR="007A3661">
        <w:t xml:space="preserve"> </w:t>
      </w:r>
      <w:r>
        <w:t>per cent.</w:t>
      </w:r>
      <w:r w:rsidR="00CC0438">
        <w:rPr>
          <w:rFonts w:ascii="ZWAdobeF" w:hAnsi="ZWAdobeF" w:cs="ZWAdobeF"/>
          <w:sz w:val="2"/>
          <w:szCs w:val="2"/>
        </w:rPr>
        <w:t>163F</w:t>
      </w:r>
      <w:r w:rsidR="00BE69C2">
        <w:rPr>
          <w:rStyle w:val="FootnoteReference"/>
        </w:rPr>
        <w:footnoteReference w:id="165"/>
      </w:r>
    </w:p>
    <w:p w14:paraId="0CE1FB7B" w14:textId="6B90C625" w:rsidR="00A15F55" w:rsidRPr="001D6913" w:rsidRDefault="00A15F55" w:rsidP="00F525A8">
      <w:pPr>
        <w:pStyle w:val="BodyText"/>
      </w:pPr>
      <w:r>
        <w:t xml:space="preserve">There are also varying levels of compliance for specific items within the hMDS. For example, a significant number of </w:t>
      </w:r>
      <w:r w:rsidR="00232542">
        <w:t>OOS</w:t>
      </w:r>
      <w:r>
        <w:t xml:space="preserve"> did not have the main type of service provide</w:t>
      </w:r>
      <w:r w:rsidR="002413DC">
        <w:t>d</w:t>
      </w:r>
      <w:r>
        <w:t xml:space="preserve"> to the young person recorded,</w:t>
      </w:r>
      <w:r w:rsidR="005A6DDC">
        <w:t xml:space="preserve"> which meant </w:t>
      </w:r>
      <w:r w:rsidR="00F11E81">
        <w:t xml:space="preserve">these </w:t>
      </w:r>
      <w:r w:rsidR="00A7436C">
        <w:t>OOS</w:t>
      </w:r>
      <w:r w:rsidR="00F11E81">
        <w:t xml:space="preserve"> were not able to be included in some analysis for the evaluation</w:t>
      </w:r>
      <w:r w:rsidR="00812A15">
        <w:t>.</w:t>
      </w:r>
    </w:p>
    <w:p w14:paraId="6A1CD9F6" w14:textId="3466E701" w:rsidR="00F525A8" w:rsidRDefault="00F525A8" w:rsidP="00A33A8D">
      <w:pPr>
        <w:pStyle w:val="AppendixHeading4"/>
      </w:pPr>
      <w:r>
        <w:t>Young person treatment pathways and outcomes</w:t>
      </w:r>
    </w:p>
    <w:p w14:paraId="6FE29FFC" w14:textId="77777777" w:rsidR="00F525A8" w:rsidRDefault="00F525A8" w:rsidP="00A33A8D">
      <w:pPr>
        <w:pStyle w:val="BodyText"/>
      </w:pPr>
      <w:r>
        <w:t xml:space="preserve">The current hMDS dataset captures the treatment course of young people accessing headspace. This includes listing the primary issue of a young person attending a headspace service, the main services they received, and the evolution of their mental health outcomes via the K10, SOFAS and MLT outcome measures. </w:t>
      </w:r>
    </w:p>
    <w:p w14:paraId="64207CC8" w14:textId="2A65CA71" w:rsidR="00F525A8" w:rsidRDefault="00F525A8" w:rsidP="00A33A8D">
      <w:pPr>
        <w:pStyle w:val="BodyText"/>
      </w:pPr>
      <w:r>
        <w:t>However, information about the pathway before and after accessing headspace is less complete</w:t>
      </w:r>
      <w:r w:rsidR="00A04FBB">
        <w:t>. In particular,</w:t>
      </w:r>
      <w:r>
        <w:t xml:space="preserve"> survey questions about the main reason for accessing headspace </w:t>
      </w:r>
      <w:r w:rsidR="00A04FBB">
        <w:t>services</w:t>
      </w:r>
      <w:r>
        <w:t xml:space="preserve">, and </w:t>
      </w:r>
      <w:r w:rsidR="00A04FBB">
        <w:t>whether</w:t>
      </w:r>
      <w:r>
        <w:t xml:space="preserve"> a young person has seen a mental health professional prior to attending headspace</w:t>
      </w:r>
      <w:r w:rsidR="00812A15">
        <w:t>.</w:t>
      </w:r>
      <w:r>
        <w:t xml:space="preserve"> had variable compliance.</w:t>
      </w:r>
    </w:p>
    <w:p w14:paraId="4D5FF6C6" w14:textId="59CCE0F8" w:rsidR="00F525A8" w:rsidRDefault="00F525A8" w:rsidP="00A04FBB">
      <w:pPr>
        <w:pStyle w:val="BodyText"/>
      </w:pPr>
      <w:r>
        <w:t>The long-term therapeutic or clinical benefits of accessing headspace on employment, education or training also requires a follow</w:t>
      </w:r>
      <w:r w:rsidR="00156585">
        <w:t xml:space="preserve"> </w:t>
      </w:r>
      <w:r>
        <w:t>up response from the young person post-episode closure. The current young person follow</w:t>
      </w:r>
      <w:r w:rsidR="0003623E">
        <w:t xml:space="preserve"> </w:t>
      </w:r>
      <w:r>
        <w:t>up survey provides some indication of the wider and longer</w:t>
      </w:r>
      <w:r w:rsidR="006B344F">
        <w:t>-</w:t>
      </w:r>
      <w:r>
        <w:t>term impact</w:t>
      </w:r>
      <w:r w:rsidR="00A04FBB">
        <w:t>s</w:t>
      </w:r>
      <w:r>
        <w:t xml:space="preserve"> of headspace on schooling and employment outcomes</w:t>
      </w:r>
      <w:r w:rsidR="00812A15">
        <w:t>;</w:t>
      </w:r>
      <w:r>
        <w:t xml:space="preserve"> </w:t>
      </w:r>
      <w:r w:rsidR="00291811">
        <w:t>however</w:t>
      </w:r>
      <w:r>
        <w:t xml:space="preserve"> survey response rates are low.</w:t>
      </w:r>
      <w:r w:rsidR="00291811">
        <w:t xml:space="preserve"> </w:t>
      </w:r>
    </w:p>
    <w:p w14:paraId="758AD5E7" w14:textId="6CE46206" w:rsidR="00F525A8" w:rsidRDefault="00981079" w:rsidP="00A33A8D">
      <w:pPr>
        <w:pStyle w:val="AppendixHeading4"/>
      </w:pPr>
      <w:r>
        <w:t xml:space="preserve">headspace staff </w:t>
      </w:r>
      <w:r w:rsidR="0088612D">
        <w:t>and</w:t>
      </w:r>
      <w:r>
        <w:t xml:space="preserve"> workers</w:t>
      </w:r>
    </w:p>
    <w:p w14:paraId="6A3D0629" w14:textId="2D455CEF" w:rsidR="00F525A8" w:rsidRDefault="00F525A8" w:rsidP="00A33A8D">
      <w:pPr>
        <w:pStyle w:val="BodyText"/>
      </w:pPr>
      <w:r>
        <w:t xml:space="preserve">The hMDS includes </w:t>
      </w:r>
      <w:r w:rsidR="00A04FBB">
        <w:t>a</w:t>
      </w:r>
      <w:r>
        <w:t xml:space="preserve"> service provider dataset that contains information about the </w:t>
      </w:r>
      <w:r w:rsidR="00981079">
        <w:t xml:space="preserve">staff member or ‘service provider’ who delivered the </w:t>
      </w:r>
      <w:r w:rsidR="00812A15">
        <w:t>OOS</w:t>
      </w:r>
      <w:r w:rsidR="00981079">
        <w:t>,</w:t>
      </w:r>
      <w:r>
        <w:t xml:space="preserve"> such as their age, gender and profession. This </w:t>
      </w:r>
      <w:r w:rsidR="00981079">
        <w:t>data</w:t>
      </w:r>
      <w:r>
        <w:t xml:space="preserve"> indicates the type of service providers who provided at least </w:t>
      </w:r>
      <w:r w:rsidR="001C3CF6">
        <w:t>OOS</w:t>
      </w:r>
      <w:r>
        <w:t xml:space="preserve"> at a headspace service but does not provide details on the full staffing mix at the site.</w:t>
      </w:r>
      <w:r w:rsidR="00981079">
        <w:t xml:space="preserve"> There is currently no systematic data collection of the headspace service workforce aside from what is captured in this service provider survey</w:t>
      </w:r>
      <w:r w:rsidR="00951227">
        <w:t>, and a high</w:t>
      </w:r>
      <w:r w:rsidR="00654A20">
        <w:t>er</w:t>
      </w:r>
      <w:r w:rsidR="00951227">
        <w:t xml:space="preserve"> level annual workforce survey which </w:t>
      </w:r>
      <w:r w:rsidR="00A04F2D">
        <w:t>has been recently</w:t>
      </w:r>
      <w:r w:rsidR="00951227">
        <w:t xml:space="preserve"> implemented</w:t>
      </w:r>
      <w:r w:rsidR="00654A20">
        <w:t>.</w:t>
      </w:r>
    </w:p>
    <w:p w14:paraId="42224DDA" w14:textId="16778BB4" w:rsidR="00F525A8" w:rsidRDefault="00F525A8" w:rsidP="00A33A8D">
      <w:pPr>
        <w:pStyle w:val="BodyText"/>
      </w:pPr>
      <w:r>
        <w:t>The</w:t>
      </w:r>
      <w:r w:rsidR="00FC79C9">
        <w:t xml:space="preserve">re is </w:t>
      </w:r>
      <w:r w:rsidR="00DA641A">
        <w:t>also</w:t>
      </w:r>
      <w:r w:rsidR="00FC79C9">
        <w:t xml:space="preserve"> currently no clear picture of</w:t>
      </w:r>
      <w:r>
        <w:t xml:space="preserve"> the number of </w:t>
      </w:r>
      <w:r w:rsidR="001C3CF6">
        <w:t>FTE</w:t>
      </w:r>
      <w:r w:rsidR="00FC79C9">
        <w:t xml:space="preserve"> employed across headspace services</w:t>
      </w:r>
      <w:r>
        <w:t xml:space="preserve">. This is made </w:t>
      </w:r>
      <w:r w:rsidR="006B344F">
        <w:t xml:space="preserve">more </w:t>
      </w:r>
      <w:r>
        <w:t xml:space="preserve">complicated by the use of medical contractors who are not identifiable </w:t>
      </w:r>
      <w:r w:rsidR="00FC79C9">
        <w:t>within</w:t>
      </w:r>
      <w:r>
        <w:t xml:space="preserve"> the </w:t>
      </w:r>
      <w:r w:rsidR="00B429E1">
        <w:t>hMDS</w:t>
      </w:r>
      <w:r>
        <w:t xml:space="preserve">. </w:t>
      </w:r>
    </w:p>
    <w:p w14:paraId="6F874C27" w14:textId="293E234E" w:rsidR="005F62F4" w:rsidRPr="005F62F4" w:rsidRDefault="00F525A8" w:rsidP="005F62F4">
      <w:pPr>
        <w:pStyle w:val="BodyText"/>
      </w:pPr>
      <w:r>
        <w:t xml:space="preserve">Service provider profession </w:t>
      </w:r>
      <w:r w:rsidR="00DA641A">
        <w:t>w</w:t>
      </w:r>
      <w:r>
        <w:t>as recently added to the hMDS during July 2019. Previously, the hMDS collected information o</w:t>
      </w:r>
      <w:r w:rsidR="00DA641A">
        <w:t>n</w:t>
      </w:r>
      <w:r>
        <w:t xml:space="preserve"> the service provider’s role rather than their profession. This has been inconsistently </w:t>
      </w:r>
      <w:r w:rsidR="00DA641A">
        <w:t>completed</w:t>
      </w:r>
      <w:r>
        <w:t xml:space="preserve"> as service providers may take on multiple roles</w:t>
      </w:r>
      <w:r w:rsidR="00DA641A">
        <w:t xml:space="preserve"> within a headspace service</w:t>
      </w:r>
      <w:r>
        <w:t>.</w:t>
      </w:r>
    </w:p>
    <w:p w14:paraId="15F706DF" w14:textId="487BD110" w:rsidR="00AF2B50" w:rsidRPr="00AF2B50" w:rsidRDefault="00034B4E" w:rsidP="00AF2B50">
      <w:pPr>
        <w:pStyle w:val="AppendixHeading3"/>
      </w:pPr>
      <w:r>
        <w:t>Data linkage</w:t>
      </w:r>
    </w:p>
    <w:p w14:paraId="1FEF6390" w14:textId="03373D54" w:rsidR="00FB19E4" w:rsidRDefault="00FB19E4" w:rsidP="00FB19E4">
      <w:pPr>
        <w:pStyle w:val="BodyText"/>
      </w:pPr>
      <w:r>
        <w:t>The evaluation considered data linkage as a preferred evaluation method, in order to compare outcomes for young people using headspace services to that of young people who have not used headspace services</w:t>
      </w:r>
      <w:r w:rsidR="00E102E3">
        <w:t xml:space="preserve">. </w:t>
      </w:r>
      <w:r w:rsidR="00644BDC">
        <w:t>However, whether personal data collected from young people can be used to support data linkage within current consent processes has not been investigated. In addition, t</w:t>
      </w:r>
      <w:r w:rsidR="00644BDC" w:rsidRPr="00947919">
        <w:rPr>
          <w:color w:val="000000" w:themeColor="text1"/>
        </w:rPr>
        <w:t xml:space="preserve">o undertake data linkage for this evaluation, data would have had to be collected from individual headspace services for linkage. </w:t>
      </w:r>
      <w:r w:rsidR="00644BDC">
        <w:rPr>
          <w:color w:val="000000" w:themeColor="text1"/>
        </w:rPr>
        <w:t>I</w:t>
      </w:r>
      <w:r w:rsidR="00644BDC" w:rsidRPr="00644BDC">
        <w:rPr>
          <w:color w:val="000000" w:themeColor="text1"/>
        </w:rPr>
        <w:t>t was estimated by the data linkage authority that this type of data linkage would take approximately 18 months to compete, which was not feasible for the ev</w:t>
      </w:r>
      <w:r w:rsidR="00644BDC" w:rsidRPr="00B84C14">
        <w:rPr>
          <w:color w:val="000000" w:themeColor="text1"/>
        </w:rPr>
        <w:t>aluation period.</w:t>
      </w:r>
      <w:r w:rsidR="00247C9E">
        <w:rPr>
          <w:color w:val="000000" w:themeColor="text1"/>
        </w:rPr>
        <w:t xml:space="preserve"> </w:t>
      </w:r>
      <w:r>
        <w:rPr>
          <w:color w:val="000000" w:themeColor="text1"/>
        </w:rPr>
        <w:t>The area-level effectiveness analysis was undertaken in place of direct data linkage with other key datasets.</w:t>
      </w:r>
    </w:p>
    <w:p w14:paraId="348174E5" w14:textId="63B60BED" w:rsidR="00F525A8" w:rsidRDefault="00F525A8" w:rsidP="009164AC">
      <w:pPr>
        <w:pStyle w:val="AppendixHeading3"/>
        <w:keepLines/>
      </w:pPr>
      <w:bookmarkStart w:id="193" w:name="_Ref102507849"/>
      <w:r>
        <w:t>Cost</w:t>
      </w:r>
      <w:r w:rsidR="00AB36A6">
        <w:t xml:space="preserve"> data and </w:t>
      </w:r>
      <w:r w:rsidR="00E91E8F">
        <w:t>cost-effectiveness</w:t>
      </w:r>
      <w:bookmarkEnd w:id="193"/>
    </w:p>
    <w:p w14:paraId="656E516D" w14:textId="1FC10EB0" w:rsidR="00F525A8" w:rsidRDefault="00F525A8" w:rsidP="009164AC">
      <w:pPr>
        <w:pStyle w:val="BodyText"/>
        <w:keepNext/>
        <w:keepLines/>
      </w:pPr>
      <w:r>
        <w:t>The hMDS dataset collates information about the funding source of each occasion of service</w:t>
      </w:r>
      <w:r w:rsidR="006B344F">
        <w:t>,</w:t>
      </w:r>
      <w:r>
        <w:t xml:space="preserve"> such as the headspace grant, specific PHN funding agreements, in-kind contribution, or the </w:t>
      </w:r>
      <w:r w:rsidR="00366E9F">
        <w:t>MBS</w:t>
      </w:r>
      <w:r>
        <w:t xml:space="preserve">. However, it does not capture the amount of funding provided for that </w:t>
      </w:r>
      <w:r w:rsidR="00366E9F">
        <w:t>OOS</w:t>
      </w:r>
      <w:r>
        <w:t xml:space="preserve">. The MBS item for MBS-funded </w:t>
      </w:r>
      <w:r w:rsidR="00366E9F">
        <w:t>OOS</w:t>
      </w:r>
      <w:r>
        <w:t xml:space="preserve"> is not captured, for example</w:t>
      </w:r>
      <w:r w:rsidR="006B344F">
        <w:t>.</w:t>
      </w:r>
      <w:r>
        <w:t xml:space="preserve"> These </w:t>
      </w:r>
      <w:r w:rsidR="00812A15">
        <w:t xml:space="preserve">were </w:t>
      </w:r>
      <w:r w:rsidR="009E659F">
        <w:t>required</w:t>
      </w:r>
      <w:r w:rsidR="00F11E81">
        <w:t xml:space="preserve"> to</w:t>
      </w:r>
      <w:r>
        <w:t xml:space="preserve"> be estimated based on the type of professional providing the service</w:t>
      </w:r>
      <w:r w:rsidR="00D504B3">
        <w:t xml:space="preserve"> in order to </w:t>
      </w:r>
      <w:r w:rsidR="00E46CA6">
        <w:t xml:space="preserve">quantify the approximate </w:t>
      </w:r>
      <w:r w:rsidR="00D504B3">
        <w:t xml:space="preserve">costs of delivering headspace services. </w:t>
      </w:r>
    </w:p>
    <w:p w14:paraId="5436B370" w14:textId="1F0E8672" w:rsidR="00FA78E9" w:rsidRPr="00FA78E9" w:rsidRDefault="00F525A8" w:rsidP="00A33A8D">
      <w:pPr>
        <w:pStyle w:val="BodyText"/>
      </w:pPr>
      <w:r>
        <w:t xml:space="preserve">Indirect costs and funding are </w:t>
      </w:r>
      <w:r w:rsidR="00D504B3">
        <w:t xml:space="preserve">also </w:t>
      </w:r>
      <w:r>
        <w:t xml:space="preserve">not captured </w:t>
      </w:r>
      <w:r w:rsidR="00D504B3">
        <w:t xml:space="preserve">within any </w:t>
      </w:r>
      <w:r>
        <w:t xml:space="preserve">current data collection activities. </w:t>
      </w:r>
      <w:r w:rsidR="001900BA">
        <w:t>While the evaluation sought</w:t>
      </w:r>
      <w:r w:rsidR="001529BD">
        <w:t xml:space="preserve"> more detailed</w:t>
      </w:r>
      <w:r w:rsidR="00542A38">
        <w:t xml:space="preserve"> input</w:t>
      </w:r>
      <w:r w:rsidR="001529BD">
        <w:t xml:space="preserve"> on these indirect and in-kind costs</w:t>
      </w:r>
      <w:r w:rsidR="001900BA">
        <w:t xml:space="preserve"> </w:t>
      </w:r>
      <w:r w:rsidR="00493E96">
        <w:t>from headspace services</w:t>
      </w:r>
      <w:r w:rsidR="001900BA">
        <w:t xml:space="preserve"> through both deep dive engagement and </w:t>
      </w:r>
      <w:r w:rsidR="00493E96">
        <w:t xml:space="preserve">the </w:t>
      </w:r>
      <w:r w:rsidR="00623ABE">
        <w:t xml:space="preserve">headspace service and </w:t>
      </w:r>
      <w:r w:rsidR="00493E96">
        <w:t xml:space="preserve">lead agency survey, </w:t>
      </w:r>
      <w:r w:rsidR="00A4218C">
        <w:t xml:space="preserve">very few headspace services were </w:t>
      </w:r>
      <w:r w:rsidR="001529BD">
        <w:t>able to provid</w:t>
      </w:r>
      <w:r w:rsidR="00542A38">
        <w:t>e this information.</w:t>
      </w:r>
      <w:r w:rsidR="00D24EC9">
        <w:t xml:space="preserve"> </w:t>
      </w:r>
    </w:p>
    <w:p w14:paraId="459F4386" w14:textId="16FC8D5B" w:rsidR="005E5B71" w:rsidRPr="005E5B71" w:rsidRDefault="00AB36A6" w:rsidP="005D136F">
      <w:pPr>
        <w:pStyle w:val="AppendixHeading3"/>
      </w:pPr>
      <w:r>
        <w:t>Qualitative data collection</w:t>
      </w:r>
    </w:p>
    <w:p w14:paraId="572CBD3D" w14:textId="6BC7C959" w:rsidR="00A15F55" w:rsidRDefault="00540C1D" w:rsidP="00A15F55">
      <w:pPr>
        <w:pStyle w:val="BodyText"/>
      </w:pPr>
      <w:r>
        <w:t xml:space="preserve">Engagement with GPs during the evaluation was limited (with </w:t>
      </w:r>
      <w:r w:rsidR="00812A15">
        <w:t>five</w:t>
      </w:r>
      <w:r>
        <w:t xml:space="preserve"> GPs consulted)</w:t>
      </w:r>
      <w:r w:rsidR="005D617F">
        <w:t xml:space="preserve">, with very few volunteering to participate in a discussion despite multiple recruitment methods being used, including through headspace services and PHN GP networks. </w:t>
      </w:r>
    </w:p>
    <w:p w14:paraId="51031394" w14:textId="77777777" w:rsidR="00A15F55" w:rsidRPr="00A15F55" w:rsidRDefault="00A15F55" w:rsidP="00A15F55">
      <w:pPr>
        <w:pStyle w:val="BodyText"/>
      </w:pPr>
    </w:p>
    <w:p w14:paraId="052573A5" w14:textId="455B9E2D" w:rsidR="00467DF9" w:rsidRDefault="00CF3330" w:rsidP="00467DF9">
      <w:pPr>
        <w:pStyle w:val="Appendixheading"/>
      </w:pPr>
      <w:bookmarkStart w:id="194" w:name="_Ref97900498"/>
      <w:bookmarkStart w:id="195" w:name="_Toc108173995"/>
      <w:r>
        <w:t xml:space="preserve">: </w:t>
      </w:r>
      <w:r w:rsidR="00467DF9" w:rsidRPr="001E6699">
        <w:t>Consultation</w:t>
      </w:r>
      <w:bookmarkEnd w:id="194"/>
      <w:bookmarkEnd w:id="195"/>
      <w:r w:rsidR="00467DF9" w:rsidRPr="001D6913">
        <w:t xml:space="preserve"> </w:t>
      </w:r>
    </w:p>
    <w:p w14:paraId="77F58B3B" w14:textId="251CECCB" w:rsidR="00F42212" w:rsidRDefault="00F42212" w:rsidP="000244E4">
      <w:pPr>
        <w:pStyle w:val="BodyText"/>
      </w:pPr>
      <w:r>
        <w:t xml:space="preserve">Details of stakeholders consulted and </w:t>
      </w:r>
      <w:r w:rsidR="008F0B8C">
        <w:t>a summary of the themes they raised are contained below.</w:t>
      </w:r>
    </w:p>
    <w:p w14:paraId="353300E6" w14:textId="74A8F811" w:rsidR="000135B3" w:rsidRDefault="000135B3" w:rsidP="00467DF9">
      <w:pPr>
        <w:pStyle w:val="AppendixHeading2"/>
      </w:pPr>
      <w:r>
        <w:t>Stakeholders consulted</w:t>
      </w:r>
    </w:p>
    <w:p w14:paraId="08D233D2" w14:textId="6F47EBEE" w:rsidR="00467DF9" w:rsidRDefault="007A67E6" w:rsidP="00A86CAC">
      <w:pPr>
        <w:pStyle w:val="AppendixHeading3"/>
      </w:pPr>
      <w:r>
        <w:t>h</w:t>
      </w:r>
      <w:r w:rsidR="00B6307E">
        <w:t>eadspace services</w:t>
      </w:r>
    </w:p>
    <w:p w14:paraId="06B076C2" w14:textId="54FA09B7" w:rsidR="00B868ED" w:rsidRDefault="00B868ED" w:rsidP="00B868ED">
      <w:pPr>
        <w:pStyle w:val="Caption"/>
      </w:pPr>
      <w:bookmarkStart w:id="196" w:name="_Toc108108979"/>
      <w:r>
        <w:t xml:space="preserve">Table </w:t>
      </w:r>
      <w:r>
        <w:fldChar w:fldCharType="begin"/>
      </w:r>
      <w:r>
        <w:instrText>SEQ Table \* ARABIC</w:instrText>
      </w:r>
      <w:r>
        <w:fldChar w:fldCharType="separate"/>
      </w:r>
      <w:r w:rsidR="00CC0438">
        <w:rPr>
          <w:noProof/>
        </w:rPr>
        <w:t>29</w:t>
      </w:r>
      <w:r>
        <w:fldChar w:fldCharType="end"/>
      </w:r>
      <w:r w:rsidR="00D4791D">
        <w:t>:</w:t>
      </w:r>
      <w:r>
        <w:t xml:space="preserve"> Stakeholders consulted from headspace services</w:t>
      </w:r>
      <w:bookmarkEnd w:id="19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keholders consulted from headspace services"/>
        <w:tblDescription w:val="Table summarises the organisation, location and name of each interview participant."/>
      </w:tblPr>
      <w:tblGrid>
        <w:gridCol w:w="2268"/>
        <w:gridCol w:w="2126"/>
        <w:gridCol w:w="4676"/>
      </w:tblGrid>
      <w:tr w:rsidR="00467DF9" w:rsidRPr="001D6913" w14:paraId="7CE1831A" w14:textId="77777777" w:rsidTr="00D4791D">
        <w:trPr>
          <w:tblHeader/>
        </w:trPr>
        <w:tc>
          <w:tcPr>
            <w:tcW w:w="1250" w:type="pct"/>
            <w:tcBorders>
              <w:bottom w:val="single" w:sz="4" w:space="0" w:color="00338D" w:themeColor="background2"/>
            </w:tcBorders>
            <w:shd w:val="clear" w:color="auto" w:fill="00338D" w:themeFill="background2"/>
          </w:tcPr>
          <w:p w14:paraId="031ABF95" w14:textId="77777777" w:rsidR="00467DF9" w:rsidRPr="001D6913" w:rsidRDefault="00467DF9" w:rsidP="00D4791D">
            <w:pPr>
              <w:pStyle w:val="Tableheading"/>
            </w:pPr>
            <w:r w:rsidRPr="001D6913">
              <w:t>Organisation</w:t>
            </w:r>
          </w:p>
        </w:tc>
        <w:tc>
          <w:tcPr>
            <w:tcW w:w="1172" w:type="pct"/>
            <w:tcBorders>
              <w:bottom w:val="single" w:sz="4" w:space="0" w:color="00338D" w:themeColor="background2"/>
            </w:tcBorders>
            <w:shd w:val="clear" w:color="auto" w:fill="00338D" w:themeFill="background2"/>
          </w:tcPr>
          <w:p w14:paraId="343464C3" w14:textId="77777777" w:rsidR="00467DF9" w:rsidRPr="001D6913" w:rsidRDefault="00467DF9" w:rsidP="00D4791D">
            <w:pPr>
              <w:pStyle w:val="Tableheading"/>
            </w:pPr>
            <w:r w:rsidRPr="001D6913">
              <w:t>Location</w:t>
            </w:r>
          </w:p>
        </w:tc>
        <w:tc>
          <w:tcPr>
            <w:tcW w:w="2578" w:type="pct"/>
            <w:tcBorders>
              <w:bottom w:val="single" w:sz="4" w:space="0" w:color="00338D" w:themeColor="background2"/>
            </w:tcBorders>
            <w:shd w:val="clear" w:color="auto" w:fill="00338D" w:themeFill="background2"/>
          </w:tcPr>
          <w:p w14:paraId="590A5812" w14:textId="70EF4D09" w:rsidR="00467DF9" w:rsidRPr="001D6913" w:rsidRDefault="002B0F4D" w:rsidP="00D4791D">
            <w:pPr>
              <w:pStyle w:val="Tableheading"/>
            </w:pPr>
            <w:r>
              <w:t>Stakeholders consulted</w:t>
            </w:r>
          </w:p>
        </w:tc>
      </w:tr>
      <w:tr w:rsidR="00467DF9" w:rsidRPr="001D6913" w14:paraId="5F66533D" w14:textId="77777777" w:rsidTr="00D4791D">
        <w:tc>
          <w:tcPr>
            <w:tcW w:w="1250" w:type="pct"/>
            <w:tcBorders>
              <w:top w:val="single" w:sz="2" w:space="0" w:color="808080" w:themeColor="background1" w:themeShade="80"/>
              <w:bottom w:val="single" w:sz="2" w:space="0" w:color="808080" w:themeColor="background1" w:themeShade="80"/>
            </w:tcBorders>
          </w:tcPr>
          <w:p w14:paraId="726F711B" w14:textId="77777777" w:rsidR="00467DF9" w:rsidRPr="001D6913" w:rsidRDefault="00467DF9" w:rsidP="00D4791D">
            <w:pPr>
              <w:pStyle w:val="Tabletext"/>
            </w:pPr>
            <w:r w:rsidRPr="002E426A">
              <w:t>Murray Mallee General Practice Network</w:t>
            </w:r>
          </w:p>
        </w:tc>
        <w:tc>
          <w:tcPr>
            <w:tcW w:w="1172" w:type="pct"/>
            <w:tcBorders>
              <w:top w:val="single" w:sz="4" w:space="0" w:color="00338D" w:themeColor="background2"/>
              <w:bottom w:val="single" w:sz="2" w:space="0" w:color="808080" w:themeColor="background1" w:themeShade="80"/>
            </w:tcBorders>
          </w:tcPr>
          <w:p w14:paraId="385311F8" w14:textId="77777777" w:rsidR="00467DF9" w:rsidRPr="001D6913" w:rsidRDefault="00467DF9" w:rsidP="00D4791D">
            <w:pPr>
              <w:pStyle w:val="Tabletext"/>
            </w:pPr>
            <w:r w:rsidRPr="001D6913">
              <w:t>Murray Bridge, South Australia</w:t>
            </w:r>
          </w:p>
        </w:tc>
        <w:tc>
          <w:tcPr>
            <w:tcW w:w="2578" w:type="pct"/>
            <w:tcBorders>
              <w:top w:val="single" w:sz="4" w:space="0" w:color="00338D" w:themeColor="background2"/>
              <w:bottom w:val="single" w:sz="2" w:space="0" w:color="808080" w:themeColor="background1" w:themeShade="80"/>
            </w:tcBorders>
          </w:tcPr>
          <w:p w14:paraId="65E525FE" w14:textId="77777777" w:rsidR="00467DF9" w:rsidRPr="004D2ABC" w:rsidRDefault="00467DF9" w:rsidP="008263BB">
            <w:pPr>
              <w:pStyle w:val="TableBullet1"/>
            </w:pPr>
            <w:r>
              <w:t>C</w:t>
            </w:r>
            <w:r w:rsidRPr="007235F6">
              <w:t>entre manager</w:t>
            </w:r>
          </w:p>
          <w:p w14:paraId="22EF6561" w14:textId="77777777" w:rsidR="00467DF9" w:rsidRPr="00D013FD" w:rsidRDefault="00467DF9" w:rsidP="008263BB">
            <w:pPr>
              <w:pStyle w:val="TableBullet1"/>
            </w:pPr>
            <w:r w:rsidRPr="00D013FD">
              <w:t xml:space="preserve">Business Manager at Murray Mallee GP Network </w:t>
            </w:r>
          </w:p>
          <w:p w14:paraId="5511077D" w14:textId="77777777" w:rsidR="00467DF9" w:rsidRPr="00D013FD" w:rsidRDefault="00467DF9" w:rsidP="008263BB">
            <w:pPr>
              <w:pStyle w:val="TableBullet1"/>
            </w:pPr>
            <w:r w:rsidRPr="00D013FD">
              <w:t>CEO, Murray Mallee GP Network</w:t>
            </w:r>
          </w:p>
          <w:p w14:paraId="09592AAB" w14:textId="77777777" w:rsidR="00467DF9" w:rsidRPr="007235F6" w:rsidRDefault="00467DF9" w:rsidP="008263BB">
            <w:pPr>
              <w:pStyle w:val="TableBullet1"/>
            </w:pPr>
            <w:r>
              <w:t>Two</w:t>
            </w:r>
            <w:r w:rsidRPr="007235F6">
              <w:t xml:space="preserve"> mental health clinician</w:t>
            </w:r>
            <w:r>
              <w:t>s</w:t>
            </w:r>
          </w:p>
          <w:p w14:paraId="3CC696F2" w14:textId="77777777" w:rsidR="00467DF9" w:rsidRDefault="00467DF9" w:rsidP="008263BB">
            <w:pPr>
              <w:pStyle w:val="TableBullet1"/>
            </w:pPr>
            <w:r>
              <w:t>S</w:t>
            </w:r>
            <w:r w:rsidRPr="007235F6">
              <w:t>ocial worker and team leader</w:t>
            </w:r>
          </w:p>
          <w:p w14:paraId="29999DED" w14:textId="77777777" w:rsidR="00467DF9" w:rsidRPr="00E62EB4" w:rsidRDefault="00467DF9" w:rsidP="008263BB">
            <w:pPr>
              <w:pStyle w:val="TableBullet1"/>
            </w:pPr>
            <w:r>
              <w:t>C</w:t>
            </w:r>
            <w:r w:rsidRPr="00E62EB4">
              <w:t xml:space="preserve">ommunity engagement team leader across </w:t>
            </w:r>
            <w:r>
              <w:t>three</w:t>
            </w:r>
            <w:r w:rsidRPr="00E62EB4">
              <w:t xml:space="preserve"> centres and Kangaroo Island</w:t>
            </w:r>
          </w:p>
          <w:p w14:paraId="054C690A" w14:textId="77777777" w:rsidR="00467DF9" w:rsidRPr="001D6913" w:rsidRDefault="00467DF9" w:rsidP="008263BB">
            <w:pPr>
              <w:pStyle w:val="TableBullet1"/>
            </w:pPr>
            <w:r w:rsidRPr="00E62EB4">
              <w:t>Aboriginal youth and engagement manager</w:t>
            </w:r>
          </w:p>
        </w:tc>
      </w:tr>
      <w:tr w:rsidR="00467DF9" w:rsidRPr="001D6913" w14:paraId="1AC796C8" w14:textId="77777777" w:rsidTr="00D4791D">
        <w:tc>
          <w:tcPr>
            <w:tcW w:w="1250" w:type="pct"/>
            <w:tcBorders>
              <w:top w:val="single" w:sz="2" w:space="0" w:color="808080" w:themeColor="background1" w:themeShade="80"/>
              <w:bottom w:val="single" w:sz="2" w:space="0" w:color="808080" w:themeColor="background1" w:themeShade="80"/>
            </w:tcBorders>
          </w:tcPr>
          <w:p w14:paraId="7394243F" w14:textId="77777777" w:rsidR="00467DF9" w:rsidRPr="001D6913" w:rsidRDefault="00467DF9" w:rsidP="00D4791D">
            <w:pPr>
              <w:pStyle w:val="Tabletext"/>
            </w:pPr>
            <w:r w:rsidRPr="001D6913">
              <w:t>Gidgee Healing</w:t>
            </w:r>
          </w:p>
        </w:tc>
        <w:tc>
          <w:tcPr>
            <w:tcW w:w="1172" w:type="pct"/>
            <w:tcBorders>
              <w:top w:val="single" w:sz="2" w:space="0" w:color="808080" w:themeColor="background1" w:themeShade="80"/>
              <w:bottom w:val="single" w:sz="2" w:space="0" w:color="808080" w:themeColor="background1" w:themeShade="80"/>
            </w:tcBorders>
          </w:tcPr>
          <w:p w14:paraId="153F83F8" w14:textId="77777777" w:rsidR="00467DF9" w:rsidRPr="001D6913" w:rsidRDefault="00467DF9" w:rsidP="00D4791D">
            <w:pPr>
              <w:pStyle w:val="Tabletext"/>
            </w:pPr>
            <w:r w:rsidRPr="001D6913">
              <w:t>Mount Isa, Queensland</w:t>
            </w:r>
          </w:p>
        </w:tc>
        <w:tc>
          <w:tcPr>
            <w:tcW w:w="2578" w:type="pct"/>
            <w:tcBorders>
              <w:top w:val="single" w:sz="2" w:space="0" w:color="808080" w:themeColor="background1" w:themeShade="80"/>
              <w:bottom w:val="single" w:sz="2" w:space="0" w:color="808080" w:themeColor="background1" w:themeShade="80"/>
            </w:tcBorders>
          </w:tcPr>
          <w:p w14:paraId="40B676F8" w14:textId="77777777" w:rsidR="00467DF9" w:rsidRPr="001D6913" w:rsidRDefault="00467DF9" w:rsidP="008263BB">
            <w:pPr>
              <w:pStyle w:val="TableBullet1"/>
            </w:pPr>
            <w:r w:rsidRPr="001D6913">
              <w:t>Centre Manager</w:t>
            </w:r>
          </w:p>
          <w:p w14:paraId="32FED293" w14:textId="77777777" w:rsidR="00467DF9" w:rsidRDefault="00467DF9" w:rsidP="008263BB">
            <w:pPr>
              <w:pStyle w:val="TableBullet1"/>
            </w:pPr>
            <w:r w:rsidRPr="001D6913">
              <w:t xml:space="preserve">CEO, Gidgee Healing </w:t>
            </w:r>
          </w:p>
          <w:p w14:paraId="74E11A01" w14:textId="77777777" w:rsidR="00467DF9" w:rsidRPr="001928D9" w:rsidRDefault="00467DF9" w:rsidP="008263BB">
            <w:pPr>
              <w:pStyle w:val="TableBullet1"/>
            </w:pPr>
            <w:r w:rsidRPr="001928D9">
              <w:t>Senior Research Fellow, Mount Isa Centre for Rural and Remote Health</w:t>
            </w:r>
          </w:p>
          <w:p w14:paraId="7AAF98F0" w14:textId="6A845131" w:rsidR="00467DF9" w:rsidRPr="001928D9" w:rsidRDefault="00467DF9" w:rsidP="008263BB">
            <w:pPr>
              <w:pStyle w:val="TableBullet1"/>
            </w:pPr>
            <w:r w:rsidRPr="001928D9">
              <w:t>A</w:t>
            </w:r>
            <w:r w:rsidR="002035CA">
              <w:t>cting</w:t>
            </w:r>
            <w:r w:rsidRPr="001928D9">
              <w:t xml:space="preserve"> Regional Manager, Deadly Choices </w:t>
            </w:r>
          </w:p>
          <w:p w14:paraId="3D8B23B4" w14:textId="77777777" w:rsidR="00467DF9" w:rsidRPr="001928D9" w:rsidRDefault="00467DF9" w:rsidP="008263BB">
            <w:pPr>
              <w:pStyle w:val="TableBullet1"/>
            </w:pPr>
            <w:r w:rsidRPr="001928D9">
              <w:t xml:space="preserve">Family Wellbeing (FW) Regional Manager, Gidgee Healing </w:t>
            </w:r>
          </w:p>
          <w:p w14:paraId="1DE57541" w14:textId="77777777" w:rsidR="00467DF9" w:rsidRPr="001928D9" w:rsidRDefault="00467DF9" w:rsidP="008263BB">
            <w:pPr>
              <w:pStyle w:val="TableBullet1"/>
            </w:pPr>
            <w:r w:rsidRPr="001928D9">
              <w:t xml:space="preserve">North West Remote Health (NWRH) psychologist </w:t>
            </w:r>
          </w:p>
          <w:p w14:paraId="06CFEF52" w14:textId="77777777" w:rsidR="00467DF9" w:rsidRPr="001928D9" w:rsidRDefault="00467DF9" w:rsidP="008263BB">
            <w:pPr>
              <w:pStyle w:val="TableBullet1"/>
            </w:pPr>
            <w:r w:rsidRPr="001928D9">
              <w:t>Director, Mount Isa Centre for Rural and Remote Health</w:t>
            </w:r>
          </w:p>
          <w:p w14:paraId="721CD2CF" w14:textId="77777777" w:rsidR="00467DF9" w:rsidRPr="001928D9" w:rsidRDefault="00467DF9" w:rsidP="008263BB">
            <w:pPr>
              <w:pStyle w:val="TableBullet1"/>
            </w:pPr>
            <w:r w:rsidRPr="001928D9">
              <w:t>Court Link Officer, Magistrates Court</w:t>
            </w:r>
          </w:p>
          <w:p w14:paraId="56D04DFA" w14:textId="77777777" w:rsidR="00467DF9" w:rsidRPr="001928D9" w:rsidRDefault="00467DF9" w:rsidP="008263BB">
            <w:pPr>
              <w:pStyle w:val="TableBullet1"/>
            </w:pPr>
            <w:r w:rsidRPr="001928D9">
              <w:t xml:space="preserve">Family Wellbeing Worker, Gidgee </w:t>
            </w:r>
          </w:p>
          <w:p w14:paraId="104C568D" w14:textId="77777777" w:rsidR="00467DF9" w:rsidRPr="001928D9" w:rsidRDefault="00467DF9" w:rsidP="008263BB">
            <w:pPr>
              <w:pStyle w:val="TableBullet1"/>
            </w:pPr>
            <w:r w:rsidRPr="001928D9">
              <w:t>IPS</w:t>
            </w:r>
            <w:r>
              <w:t xml:space="preserve"> manager</w:t>
            </w:r>
          </w:p>
          <w:p w14:paraId="5BA113D2" w14:textId="77777777" w:rsidR="00467DF9" w:rsidRPr="00E12281" w:rsidRDefault="00467DF9" w:rsidP="008263BB">
            <w:pPr>
              <w:pStyle w:val="TableBullet1"/>
            </w:pPr>
            <w:r w:rsidRPr="00E12281">
              <w:t>Practice Manager</w:t>
            </w:r>
            <w:r w:rsidRPr="00E12281">
              <w:tab/>
            </w:r>
          </w:p>
          <w:p w14:paraId="4D824CC2" w14:textId="77777777" w:rsidR="00467DF9" w:rsidRPr="001D6913" w:rsidRDefault="00467DF9" w:rsidP="008263BB">
            <w:pPr>
              <w:pStyle w:val="TableBullet1"/>
            </w:pPr>
            <w:r w:rsidRPr="00E12281">
              <w:t>Community Engagement Officer</w:t>
            </w:r>
          </w:p>
        </w:tc>
      </w:tr>
      <w:tr w:rsidR="00467DF9" w:rsidRPr="001D6913" w14:paraId="428A9C29" w14:textId="77777777" w:rsidTr="00D4791D">
        <w:tc>
          <w:tcPr>
            <w:tcW w:w="1250" w:type="pct"/>
            <w:tcBorders>
              <w:top w:val="single" w:sz="2" w:space="0" w:color="808080" w:themeColor="background1" w:themeShade="80"/>
              <w:bottom w:val="single" w:sz="2" w:space="0" w:color="808080" w:themeColor="background1" w:themeShade="80"/>
            </w:tcBorders>
          </w:tcPr>
          <w:p w14:paraId="75F02422" w14:textId="77777777" w:rsidR="00467DF9" w:rsidRPr="001D6913" w:rsidRDefault="00467DF9" w:rsidP="00D4791D">
            <w:pPr>
              <w:pStyle w:val="Tabletext"/>
            </w:pPr>
            <w:r w:rsidRPr="001D6913">
              <w:t>Black Swan Health</w:t>
            </w:r>
          </w:p>
        </w:tc>
        <w:tc>
          <w:tcPr>
            <w:tcW w:w="1172" w:type="pct"/>
            <w:tcBorders>
              <w:top w:val="single" w:sz="2" w:space="0" w:color="808080" w:themeColor="background1" w:themeShade="80"/>
              <w:bottom w:val="single" w:sz="2" w:space="0" w:color="808080" w:themeColor="background1" w:themeShade="80"/>
            </w:tcBorders>
          </w:tcPr>
          <w:p w14:paraId="18A7365F" w14:textId="77777777" w:rsidR="00467DF9" w:rsidRPr="001D6913" w:rsidRDefault="00467DF9" w:rsidP="00D4791D">
            <w:pPr>
              <w:pStyle w:val="Tabletext"/>
            </w:pPr>
            <w:r w:rsidRPr="001D6913">
              <w:t>Joondalup, Western Australia</w:t>
            </w:r>
          </w:p>
        </w:tc>
        <w:tc>
          <w:tcPr>
            <w:tcW w:w="2578" w:type="pct"/>
            <w:tcBorders>
              <w:top w:val="single" w:sz="2" w:space="0" w:color="808080" w:themeColor="background1" w:themeShade="80"/>
              <w:bottom w:val="single" w:sz="2" w:space="0" w:color="808080" w:themeColor="background1" w:themeShade="80"/>
            </w:tcBorders>
          </w:tcPr>
          <w:p w14:paraId="61DDA477" w14:textId="77777777" w:rsidR="00467DF9" w:rsidRPr="001D6913" w:rsidRDefault="00467DF9" w:rsidP="008263BB">
            <w:pPr>
              <w:pStyle w:val="TableBullet1"/>
            </w:pPr>
            <w:r w:rsidRPr="001D6913">
              <w:t>COO, Black Swan Health</w:t>
            </w:r>
          </w:p>
          <w:p w14:paraId="0EFB4DCA" w14:textId="77777777" w:rsidR="00467DF9" w:rsidRPr="001D6913" w:rsidRDefault="00467DF9" w:rsidP="008263BB">
            <w:pPr>
              <w:pStyle w:val="TableBullet1"/>
            </w:pPr>
            <w:r>
              <w:t>C</w:t>
            </w:r>
            <w:r w:rsidRPr="001D6913">
              <w:t xml:space="preserve">linical governance and compliance manager </w:t>
            </w:r>
          </w:p>
          <w:p w14:paraId="59E3E8B7" w14:textId="77777777" w:rsidR="00467DF9" w:rsidRPr="001D6913" w:rsidRDefault="00467DF9" w:rsidP="008263BB">
            <w:pPr>
              <w:pStyle w:val="TableBullet1"/>
            </w:pPr>
            <w:r w:rsidRPr="001D6913">
              <w:t>Acting headspace Joondalup centre manager</w:t>
            </w:r>
          </w:p>
          <w:p w14:paraId="1763A660" w14:textId="77777777" w:rsidR="00467DF9" w:rsidRPr="001D6913" w:rsidRDefault="00467DF9" w:rsidP="008263BB">
            <w:pPr>
              <w:pStyle w:val="TableBullet1"/>
            </w:pPr>
            <w:r>
              <w:t>P</w:t>
            </w:r>
            <w:r w:rsidRPr="001D6913">
              <w:t>sychologist, acting clinical lead and predominantly allied mental health commission role</w:t>
            </w:r>
          </w:p>
          <w:p w14:paraId="64F267F2" w14:textId="77777777" w:rsidR="00467DF9" w:rsidRPr="001D6913" w:rsidRDefault="00467DF9" w:rsidP="008263BB">
            <w:pPr>
              <w:pStyle w:val="TableBullet1"/>
            </w:pPr>
            <w:r>
              <w:t>T</w:t>
            </w:r>
            <w:r w:rsidRPr="001D6913">
              <w:t>riage coordinator</w:t>
            </w:r>
          </w:p>
        </w:tc>
      </w:tr>
      <w:tr w:rsidR="00467DF9" w:rsidRPr="001D6913" w14:paraId="2EEE90FD" w14:textId="77777777" w:rsidTr="00D4791D">
        <w:tc>
          <w:tcPr>
            <w:tcW w:w="1250" w:type="pct"/>
            <w:tcBorders>
              <w:top w:val="single" w:sz="2" w:space="0" w:color="808080" w:themeColor="background1" w:themeShade="80"/>
              <w:bottom w:val="single" w:sz="2" w:space="0" w:color="808080" w:themeColor="background1" w:themeShade="80"/>
            </w:tcBorders>
          </w:tcPr>
          <w:p w14:paraId="5A95A44A" w14:textId="77777777" w:rsidR="00467DF9" w:rsidRPr="001D6913" w:rsidRDefault="00467DF9" w:rsidP="00D4791D">
            <w:pPr>
              <w:pStyle w:val="Tabletext"/>
            </w:pPr>
            <w:r w:rsidRPr="001D6913">
              <w:t>Anglicare NT</w:t>
            </w:r>
          </w:p>
        </w:tc>
        <w:tc>
          <w:tcPr>
            <w:tcW w:w="1172" w:type="pct"/>
            <w:tcBorders>
              <w:top w:val="single" w:sz="2" w:space="0" w:color="808080" w:themeColor="background1" w:themeShade="80"/>
              <w:bottom w:val="single" w:sz="2" w:space="0" w:color="808080" w:themeColor="background1" w:themeShade="80"/>
            </w:tcBorders>
          </w:tcPr>
          <w:p w14:paraId="39CC8B17" w14:textId="77777777" w:rsidR="00467DF9" w:rsidRPr="001D6913" w:rsidRDefault="00467DF9" w:rsidP="00D4791D">
            <w:pPr>
              <w:pStyle w:val="Tabletext"/>
            </w:pPr>
            <w:r w:rsidRPr="001D6913">
              <w:t>Katherine, Northern Territory</w:t>
            </w:r>
          </w:p>
        </w:tc>
        <w:tc>
          <w:tcPr>
            <w:tcW w:w="2578" w:type="pct"/>
            <w:tcBorders>
              <w:top w:val="single" w:sz="2" w:space="0" w:color="808080" w:themeColor="background1" w:themeShade="80"/>
              <w:bottom w:val="single" w:sz="2" w:space="0" w:color="808080" w:themeColor="background1" w:themeShade="80"/>
            </w:tcBorders>
          </w:tcPr>
          <w:p w14:paraId="7700D3E2" w14:textId="77777777" w:rsidR="00467DF9" w:rsidRPr="001D6913" w:rsidRDefault="00467DF9" w:rsidP="008263BB">
            <w:pPr>
              <w:pStyle w:val="TableBullet1"/>
            </w:pPr>
            <w:r w:rsidRPr="001D6913">
              <w:t>Executive Manager Mental Health – Anglicare NT</w:t>
            </w:r>
          </w:p>
          <w:p w14:paraId="75CD7FD5" w14:textId="77777777" w:rsidR="00467DF9" w:rsidRPr="001D6913" w:rsidRDefault="00467DF9" w:rsidP="008263BB">
            <w:pPr>
              <w:pStyle w:val="TableBullet1"/>
            </w:pPr>
            <w:r w:rsidRPr="001D6913">
              <w:t>Operations Manager – Primary Mental Health Services – headspace Darwin and Katherine</w:t>
            </w:r>
          </w:p>
          <w:p w14:paraId="67ADFC99" w14:textId="77777777" w:rsidR="00467DF9" w:rsidRPr="001D6913" w:rsidRDefault="00467DF9" w:rsidP="008263BB">
            <w:pPr>
              <w:pStyle w:val="TableBullet1"/>
            </w:pPr>
            <w:r w:rsidRPr="001D6913">
              <w:t>Centre Manager – headspace Katherine</w:t>
            </w:r>
          </w:p>
          <w:p w14:paraId="18C05AEB" w14:textId="77777777" w:rsidR="00467DF9" w:rsidRPr="001D6913" w:rsidRDefault="00467DF9" w:rsidP="008263BB">
            <w:pPr>
              <w:pStyle w:val="TableBullet1"/>
            </w:pPr>
            <w:r w:rsidRPr="001D6913">
              <w:t xml:space="preserve">headspace Senior Clinician </w:t>
            </w:r>
          </w:p>
          <w:p w14:paraId="266C9AFA" w14:textId="77777777" w:rsidR="00467DF9" w:rsidRPr="001D6913" w:rsidRDefault="00467DF9" w:rsidP="008263BB">
            <w:pPr>
              <w:pStyle w:val="TableBullet1"/>
            </w:pPr>
            <w:r w:rsidRPr="001D6913">
              <w:t>headspace Senior Clinician Primary</w:t>
            </w:r>
          </w:p>
          <w:p w14:paraId="2F8225BD" w14:textId="77777777" w:rsidR="00467DF9" w:rsidRPr="001D6913" w:rsidRDefault="00467DF9" w:rsidP="008263BB">
            <w:pPr>
              <w:pStyle w:val="TableBullet1"/>
            </w:pPr>
            <w:r w:rsidRPr="001D6913">
              <w:t>Youth Mental Health Clinician</w:t>
            </w:r>
          </w:p>
        </w:tc>
      </w:tr>
      <w:tr w:rsidR="00467DF9" w:rsidRPr="00CA2657" w14:paraId="2DD5ABED" w14:textId="77777777" w:rsidTr="00D4791D">
        <w:tc>
          <w:tcPr>
            <w:tcW w:w="1250" w:type="pct"/>
            <w:tcBorders>
              <w:top w:val="single" w:sz="2" w:space="0" w:color="808080" w:themeColor="background1" w:themeShade="80"/>
              <w:bottom w:val="single" w:sz="2" w:space="0" w:color="808080" w:themeColor="background1" w:themeShade="80"/>
            </w:tcBorders>
          </w:tcPr>
          <w:p w14:paraId="113CFEC6" w14:textId="77777777" w:rsidR="00467DF9" w:rsidRPr="001D6913" w:rsidRDefault="00467DF9" w:rsidP="00D4791D">
            <w:pPr>
              <w:pStyle w:val="Tabletext"/>
            </w:pPr>
            <w:r w:rsidRPr="001D6913">
              <w:t>Grand Pacific Health</w:t>
            </w:r>
          </w:p>
        </w:tc>
        <w:tc>
          <w:tcPr>
            <w:tcW w:w="1172" w:type="pct"/>
            <w:tcBorders>
              <w:top w:val="single" w:sz="2" w:space="0" w:color="808080" w:themeColor="background1" w:themeShade="80"/>
              <w:bottom w:val="single" w:sz="2" w:space="0" w:color="808080" w:themeColor="background1" w:themeShade="80"/>
            </w:tcBorders>
          </w:tcPr>
          <w:p w14:paraId="6C06A2A1" w14:textId="77777777" w:rsidR="00467DF9" w:rsidRPr="001D6913" w:rsidRDefault="00467DF9" w:rsidP="00D4791D">
            <w:pPr>
              <w:pStyle w:val="Tabletext"/>
            </w:pPr>
            <w:r w:rsidRPr="001D6913">
              <w:t>Bega, New South Wales</w:t>
            </w:r>
          </w:p>
        </w:tc>
        <w:tc>
          <w:tcPr>
            <w:tcW w:w="2578" w:type="pct"/>
            <w:tcBorders>
              <w:top w:val="single" w:sz="2" w:space="0" w:color="808080" w:themeColor="background1" w:themeShade="80"/>
              <w:bottom w:val="single" w:sz="2" w:space="0" w:color="808080" w:themeColor="background1" w:themeShade="80"/>
            </w:tcBorders>
          </w:tcPr>
          <w:p w14:paraId="5599FD3D" w14:textId="77777777" w:rsidR="00467DF9" w:rsidRPr="00CA2657" w:rsidRDefault="00467DF9" w:rsidP="008263BB">
            <w:pPr>
              <w:pStyle w:val="TableBullet1"/>
            </w:pPr>
            <w:r w:rsidRPr="00CA2657">
              <w:t>CEO of Grand Pacific Health</w:t>
            </w:r>
          </w:p>
          <w:p w14:paraId="0F94E5A7" w14:textId="77777777" w:rsidR="00467DF9" w:rsidRPr="00CA2657" w:rsidRDefault="00467DF9" w:rsidP="008263BB">
            <w:pPr>
              <w:pStyle w:val="TableBullet1"/>
            </w:pPr>
            <w:r w:rsidRPr="00CA2657">
              <w:t>Clinical Lead</w:t>
            </w:r>
          </w:p>
          <w:p w14:paraId="5E3AFF00" w14:textId="77777777" w:rsidR="00467DF9" w:rsidRPr="00CA2657" w:rsidRDefault="00467DF9" w:rsidP="008263BB">
            <w:pPr>
              <w:pStyle w:val="TableBullet1"/>
            </w:pPr>
            <w:r w:rsidRPr="00CA2657">
              <w:t>Intake manager</w:t>
            </w:r>
          </w:p>
          <w:p w14:paraId="185579D8" w14:textId="77777777" w:rsidR="00467DF9" w:rsidRPr="00CA2657" w:rsidRDefault="00467DF9" w:rsidP="008263BB">
            <w:pPr>
              <w:pStyle w:val="TableBullet1"/>
            </w:pPr>
            <w:r w:rsidRPr="00CA2657">
              <w:t>Family clinician and mental health clinician</w:t>
            </w:r>
          </w:p>
          <w:p w14:paraId="22301AF4" w14:textId="77777777" w:rsidR="00467DF9" w:rsidRPr="00CA2657" w:rsidRDefault="00467DF9" w:rsidP="008263BB">
            <w:pPr>
              <w:pStyle w:val="TableBullet1"/>
            </w:pPr>
            <w:r w:rsidRPr="00CA2657">
              <w:t>IPS manager</w:t>
            </w:r>
          </w:p>
          <w:p w14:paraId="2A86C10F" w14:textId="77777777" w:rsidR="00467DF9" w:rsidRPr="00CA2657" w:rsidRDefault="00467DF9" w:rsidP="008263BB">
            <w:pPr>
              <w:pStyle w:val="TableBullet1"/>
            </w:pPr>
            <w:r w:rsidRPr="00CA2657">
              <w:t>Youth care coordinator</w:t>
            </w:r>
          </w:p>
          <w:p w14:paraId="0EA91BB1" w14:textId="77777777" w:rsidR="00467DF9" w:rsidRPr="00CA2657" w:rsidRDefault="00467DF9" w:rsidP="008263BB">
            <w:pPr>
              <w:pStyle w:val="TableBullet1"/>
            </w:pPr>
            <w:r w:rsidRPr="00CA2657">
              <w:t>Mental health clinician</w:t>
            </w:r>
          </w:p>
          <w:p w14:paraId="08981478" w14:textId="77777777" w:rsidR="00467DF9" w:rsidRPr="00CA2657" w:rsidRDefault="00467DF9" w:rsidP="008263BB">
            <w:pPr>
              <w:pStyle w:val="TableBullet1"/>
            </w:pPr>
            <w:r w:rsidRPr="00CA2657">
              <w:t>Peer worker</w:t>
            </w:r>
          </w:p>
          <w:p w14:paraId="4D55F7CA" w14:textId="77777777" w:rsidR="00467DF9" w:rsidRPr="00CA2657" w:rsidRDefault="00467DF9" w:rsidP="008263BB">
            <w:pPr>
              <w:pStyle w:val="TableBullet1"/>
            </w:pPr>
            <w:r w:rsidRPr="00CA2657">
              <w:t xml:space="preserve">Acting service manager </w:t>
            </w:r>
          </w:p>
          <w:p w14:paraId="760FE30F" w14:textId="77777777" w:rsidR="00467DF9" w:rsidRPr="00CA2657" w:rsidRDefault="00467DF9" w:rsidP="008263BB">
            <w:pPr>
              <w:pStyle w:val="TableBullet1"/>
            </w:pPr>
            <w:r w:rsidRPr="00CA2657">
              <w:t>Bushfire recovery and community engagement</w:t>
            </w:r>
          </w:p>
          <w:p w14:paraId="5A86BF1E" w14:textId="77777777" w:rsidR="00467DF9" w:rsidRPr="00CA2657" w:rsidRDefault="00467DF9" w:rsidP="008263BB">
            <w:pPr>
              <w:pStyle w:val="TableBullet1"/>
            </w:pPr>
            <w:r w:rsidRPr="00CA2657">
              <w:t>Mental health clinician (Cooma)</w:t>
            </w:r>
          </w:p>
          <w:p w14:paraId="7E5EC7B9" w14:textId="77777777" w:rsidR="00467DF9" w:rsidRPr="00CA2657" w:rsidRDefault="00467DF9" w:rsidP="008263BB">
            <w:pPr>
              <w:pStyle w:val="TableBullet1"/>
            </w:pPr>
            <w:r w:rsidRPr="00CA2657">
              <w:t>Senior administrator (Cooma)</w:t>
            </w:r>
          </w:p>
          <w:p w14:paraId="1520FEA5" w14:textId="77777777" w:rsidR="00467DF9" w:rsidRPr="00CA2657" w:rsidRDefault="00467DF9" w:rsidP="008263BB">
            <w:pPr>
              <w:pStyle w:val="TableBullet1"/>
            </w:pPr>
            <w:r w:rsidRPr="00CA2657">
              <w:t>Executive manager of primary care portfolio at Grand Pacific Health</w:t>
            </w:r>
          </w:p>
        </w:tc>
      </w:tr>
      <w:tr w:rsidR="00467DF9" w:rsidRPr="001D6913" w14:paraId="1F238573" w14:textId="77777777" w:rsidTr="00D4791D">
        <w:tc>
          <w:tcPr>
            <w:tcW w:w="1250" w:type="pct"/>
            <w:tcBorders>
              <w:top w:val="single" w:sz="2" w:space="0" w:color="808080" w:themeColor="background1" w:themeShade="80"/>
              <w:bottom w:val="single" w:sz="2" w:space="0" w:color="808080" w:themeColor="background1" w:themeShade="80"/>
            </w:tcBorders>
          </w:tcPr>
          <w:p w14:paraId="79316E79" w14:textId="77777777" w:rsidR="00467DF9" w:rsidRPr="001D6913" w:rsidRDefault="00467DF9" w:rsidP="00D4791D">
            <w:pPr>
              <w:pStyle w:val="Tabletext"/>
            </w:pPr>
            <w:r w:rsidRPr="001D6913">
              <w:t>Flourish Australia</w:t>
            </w:r>
          </w:p>
        </w:tc>
        <w:tc>
          <w:tcPr>
            <w:tcW w:w="1172" w:type="pct"/>
            <w:tcBorders>
              <w:top w:val="single" w:sz="2" w:space="0" w:color="808080" w:themeColor="background1" w:themeShade="80"/>
              <w:bottom w:val="single" w:sz="2" w:space="0" w:color="808080" w:themeColor="background1" w:themeShade="80"/>
            </w:tcBorders>
          </w:tcPr>
          <w:p w14:paraId="78680DD1" w14:textId="77777777" w:rsidR="00467DF9" w:rsidRPr="001D6913" w:rsidRDefault="00467DF9" w:rsidP="00D4791D">
            <w:pPr>
              <w:pStyle w:val="Tabletext"/>
            </w:pPr>
            <w:r w:rsidRPr="001D6913">
              <w:t>Bankstown, New South Wales</w:t>
            </w:r>
          </w:p>
        </w:tc>
        <w:tc>
          <w:tcPr>
            <w:tcW w:w="2578" w:type="pct"/>
            <w:tcBorders>
              <w:top w:val="single" w:sz="2" w:space="0" w:color="808080" w:themeColor="background1" w:themeShade="80"/>
              <w:bottom w:val="single" w:sz="2" w:space="0" w:color="808080" w:themeColor="background1" w:themeShade="80"/>
            </w:tcBorders>
          </w:tcPr>
          <w:p w14:paraId="4AE7007D" w14:textId="77777777" w:rsidR="00467DF9" w:rsidRPr="001D6913" w:rsidRDefault="00467DF9" w:rsidP="008263BB">
            <w:pPr>
              <w:pStyle w:val="TableBullet1"/>
            </w:pPr>
            <w:r w:rsidRPr="001D6913">
              <w:t>Acting Clinical and Operations Manager at headspace</w:t>
            </w:r>
          </w:p>
          <w:p w14:paraId="1B0A951A" w14:textId="77777777" w:rsidR="00467DF9" w:rsidRPr="001D6913" w:rsidRDefault="00467DF9" w:rsidP="008263BB">
            <w:pPr>
              <w:pStyle w:val="TableBullet1"/>
            </w:pPr>
            <w:r>
              <w:t>A</w:t>
            </w:r>
            <w:r w:rsidRPr="001D6913">
              <w:t>cting Team Leader</w:t>
            </w:r>
          </w:p>
          <w:p w14:paraId="0006CA2F" w14:textId="63C9ACAF" w:rsidR="00467DF9" w:rsidRPr="001D6913" w:rsidRDefault="00467DF9" w:rsidP="008263BB">
            <w:pPr>
              <w:pStyle w:val="TableBullet1"/>
            </w:pPr>
            <w:r>
              <w:t>A</w:t>
            </w:r>
            <w:r w:rsidRPr="001D6913">
              <w:t xml:space="preserve">cting Senior Clinical Manager </w:t>
            </w:r>
            <w:r w:rsidR="007A67E6">
              <w:t>h</w:t>
            </w:r>
            <w:r w:rsidRPr="001D6913">
              <w:t>eadspace</w:t>
            </w:r>
          </w:p>
          <w:p w14:paraId="1F872858" w14:textId="77777777" w:rsidR="00467DF9" w:rsidRPr="001D6913" w:rsidRDefault="00467DF9" w:rsidP="008263BB">
            <w:pPr>
              <w:pStyle w:val="TableBullet1"/>
            </w:pPr>
            <w:r w:rsidRPr="001D6913">
              <w:t>Member of Youth Reference Group</w:t>
            </w:r>
          </w:p>
        </w:tc>
      </w:tr>
      <w:tr w:rsidR="00467DF9" w:rsidRPr="001D6913" w14:paraId="10030C0F" w14:textId="77777777" w:rsidTr="00D4791D">
        <w:tc>
          <w:tcPr>
            <w:tcW w:w="1250" w:type="pct"/>
            <w:tcBorders>
              <w:top w:val="single" w:sz="2" w:space="0" w:color="808080" w:themeColor="background1" w:themeShade="80"/>
              <w:bottom w:val="single" w:sz="2" w:space="0" w:color="808080" w:themeColor="background1" w:themeShade="80"/>
            </w:tcBorders>
          </w:tcPr>
          <w:p w14:paraId="30C346D9" w14:textId="77777777" w:rsidR="00467DF9" w:rsidRPr="001D6913" w:rsidRDefault="00467DF9" w:rsidP="00D4791D">
            <w:pPr>
              <w:pStyle w:val="Tabletext"/>
            </w:pPr>
            <w:r w:rsidRPr="001D6913">
              <w:t>Orygen</w:t>
            </w:r>
          </w:p>
        </w:tc>
        <w:tc>
          <w:tcPr>
            <w:tcW w:w="1172" w:type="pct"/>
            <w:tcBorders>
              <w:top w:val="single" w:sz="2" w:space="0" w:color="808080" w:themeColor="background1" w:themeShade="80"/>
              <w:bottom w:val="single" w:sz="2" w:space="0" w:color="808080" w:themeColor="background1" w:themeShade="80"/>
            </w:tcBorders>
          </w:tcPr>
          <w:p w14:paraId="4E81C3E7" w14:textId="77777777" w:rsidR="00467DF9" w:rsidRPr="001D6913" w:rsidRDefault="00467DF9" w:rsidP="00D4791D">
            <w:pPr>
              <w:pStyle w:val="Tabletext"/>
            </w:pPr>
            <w:r w:rsidRPr="001D6913">
              <w:t>Craigieburn, Victoria</w:t>
            </w:r>
          </w:p>
        </w:tc>
        <w:tc>
          <w:tcPr>
            <w:tcW w:w="2578" w:type="pct"/>
            <w:tcBorders>
              <w:top w:val="single" w:sz="2" w:space="0" w:color="808080" w:themeColor="background1" w:themeShade="80"/>
              <w:bottom w:val="single" w:sz="2" w:space="0" w:color="808080" w:themeColor="background1" w:themeShade="80"/>
            </w:tcBorders>
          </w:tcPr>
          <w:p w14:paraId="63456349" w14:textId="77777777" w:rsidR="00467DF9" w:rsidRPr="001D6913" w:rsidRDefault="00467DF9" w:rsidP="008263BB">
            <w:pPr>
              <w:pStyle w:val="TableBullet1"/>
            </w:pPr>
            <w:r w:rsidRPr="001D6913">
              <w:t>Program Manager, Primary Clinical Services at Orygen</w:t>
            </w:r>
          </w:p>
          <w:p w14:paraId="77FED6B6" w14:textId="77777777" w:rsidR="00467DF9" w:rsidRPr="001D6913" w:rsidRDefault="00467DF9" w:rsidP="008263BB">
            <w:pPr>
              <w:pStyle w:val="TableBullet1"/>
            </w:pPr>
            <w:r w:rsidRPr="001D6913">
              <w:t xml:space="preserve">Director – National and Local Clinical Service Innovation </w:t>
            </w:r>
          </w:p>
          <w:p w14:paraId="067FF33D" w14:textId="77777777" w:rsidR="00467DF9" w:rsidRPr="001D6913" w:rsidRDefault="00467DF9" w:rsidP="008263BB">
            <w:pPr>
              <w:pStyle w:val="TableBullet1"/>
            </w:pPr>
            <w:r w:rsidRPr="001D6913">
              <w:t xml:space="preserve">Manager, Clinical Services </w:t>
            </w:r>
          </w:p>
          <w:p w14:paraId="75A32D05" w14:textId="77777777" w:rsidR="00467DF9" w:rsidRPr="001D6913" w:rsidRDefault="00467DF9" w:rsidP="008263BB">
            <w:pPr>
              <w:pStyle w:val="TableBullet1"/>
            </w:pPr>
            <w:r w:rsidRPr="001D6913">
              <w:t>Senior Access Clinician</w:t>
            </w:r>
          </w:p>
        </w:tc>
      </w:tr>
      <w:tr w:rsidR="00467DF9" w:rsidRPr="00BE1C74" w14:paraId="18F3D46D" w14:textId="77777777" w:rsidTr="00D4791D">
        <w:tc>
          <w:tcPr>
            <w:tcW w:w="1250" w:type="pct"/>
            <w:tcBorders>
              <w:top w:val="single" w:sz="2" w:space="0" w:color="808080" w:themeColor="background1" w:themeShade="80"/>
              <w:bottom w:val="single" w:sz="2" w:space="0" w:color="808080" w:themeColor="background1" w:themeShade="80"/>
            </w:tcBorders>
          </w:tcPr>
          <w:p w14:paraId="5FF25D03" w14:textId="77777777" w:rsidR="00467DF9" w:rsidRPr="00BE1C74" w:rsidRDefault="00467DF9" w:rsidP="00D4791D">
            <w:pPr>
              <w:pStyle w:val="Tabletext"/>
            </w:pPr>
            <w:r w:rsidRPr="00BE1C74">
              <w:t>Youturn</w:t>
            </w:r>
          </w:p>
        </w:tc>
        <w:tc>
          <w:tcPr>
            <w:tcW w:w="1172" w:type="pct"/>
            <w:tcBorders>
              <w:top w:val="single" w:sz="2" w:space="0" w:color="808080" w:themeColor="background1" w:themeShade="80"/>
              <w:bottom w:val="single" w:sz="2" w:space="0" w:color="808080" w:themeColor="background1" w:themeShade="80"/>
            </w:tcBorders>
          </w:tcPr>
          <w:p w14:paraId="6FE71374" w14:textId="77777777" w:rsidR="00467DF9" w:rsidRPr="00BE1C74" w:rsidRDefault="00467DF9" w:rsidP="00D4791D">
            <w:pPr>
              <w:pStyle w:val="Tabletext"/>
            </w:pPr>
            <w:r w:rsidRPr="00BE1C74">
              <w:t>Gympie</w:t>
            </w:r>
          </w:p>
        </w:tc>
        <w:tc>
          <w:tcPr>
            <w:tcW w:w="2578" w:type="pct"/>
            <w:tcBorders>
              <w:top w:val="single" w:sz="2" w:space="0" w:color="808080" w:themeColor="background1" w:themeShade="80"/>
              <w:bottom w:val="single" w:sz="2" w:space="0" w:color="808080" w:themeColor="background1" w:themeShade="80"/>
            </w:tcBorders>
          </w:tcPr>
          <w:p w14:paraId="0EE24167" w14:textId="77777777" w:rsidR="00467DF9" w:rsidRPr="00BE1C74" w:rsidRDefault="00467DF9" w:rsidP="008263BB">
            <w:pPr>
              <w:pStyle w:val="TableBullet1"/>
            </w:pPr>
            <w:r w:rsidRPr="00BE1C74">
              <w:t>CEO of Youturn</w:t>
            </w:r>
          </w:p>
        </w:tc>
      </w:tr>
    </w:tbl>
    <w:p w14:paraId="50803F9E" w14:textId="6EDB39DF" w:rsidR="00386195" w:rsidRDefault="00386195" w:rsidP="001268EC">
      <w:pPr>
        <w:pStyle w:val="Source"/>
      </w:pPr>
      <w:r w:rsidRPr="00055013">
        <w:t>Source: KPMG</w:t>
      </w:r>
      <w:r>
        <w:t xml:space="preserve"> 2022</w:t>
      </w:r>
    </w:p>
    <w:p w14:paraId="5D29226D" w14:textId="77777777" w:rsidR="00467DF9" w:rsidRDefault="00467DF9" w:rsidP="00A86CAC">
      <w:pPr>
        <w:pStyle w:val="AppendixHeading3"/>
      </w:pPr>
      <w:r>
        <w:t>Primary Health Networks</w:t>
      </w:r>
    </w:p>
    <w:p w14:paraId="56948F61" w14:textId="5E010A6B" w:rsidR="00B868ED" w:rsidRDefault="00B868ED" w:rsidP="00B868ED">
      <w:pPr>
        <w:pStyle w:val="Caption"/>
      </w:pPr>
      <w:bookmarkStart w:id="197" w:name="_Toc108108980"/>
      <w:r>
        <w:t xml:space="preserve">Table </w:t>
      </w:r>
      <w:r>
        <w:fldChar w:fldCharType="begin"/>
      </w:r>
      <w:r>
        <w:instrText>SEQ Table \* ARABIC</w:instrText>
      </w:r>
      <w:r>
        <w:fldChar w:fldCharType="separate"/>
      </w:r>
      <w:r w:rsidR="00CC0438">
        <w:rPr>
          <w:noProof/>
        </w:rPr>
        <w:t>30</w:t>
      </w:r>
      <w:r>
        <w:fldChar w:fldCharType="end"/>
      </w:r>
      <w:r w:rsidR="00CB55B3">
        <w:t>:</w:t>
      </w:r>
      <w:r>
        <w:t xml:space="preserve"> </w:t>
      </w:r>
      <w:r w:rsidRPr="001F5114">
        <w:t>Stakeholders consulted from</w:t>
      </w:r>
      <w:r>
        <w:t xml:space="preserve"> Primary Health Networks</w:t>
      </w:r>
      <w:bookmarkEnd w:id="197"/>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keholders consulted from Primary Health Networks"/>
        <w:tblDescription w:val="Table summarises the organisation, location and name of each interview participant."/>
      </w:tblPr>
      <w:tblGrid>
        <w:gridCol w:w="2233"/>
        <w:gridCol w:w="2163"/>
        <w:gridCol w:w="4676"/>
      </w:tblGrid>
      <w:tr w:rsidR="00467DF9" w:rsidRPr="001D6913" w14:paraId="080A6461" w14:textId="77777777" w:rsidTr="00CB55B3">
        <w:trPr>
          <w:tblHeader/>
        </w:trPr>
        <w:tc>
          <w:tcPr>
            <w:tcW w:w="1231" w:type="pct"/>
            <w:tcBorders>
              <w:bottom w:val="single" w:sz="4" w:space="0" w:color="00338D" w:themeColor="background2"/>
            </w:tcBorders>
            <w:shd w:val="clear" w:color="auto" w:fill="00338D" w:themeFill="background2"/>
          </w:tcPr>
          <w:p w14:paraId="0E1A9EB8" w14:textId="77777777" w:rsidR="00467DF9" w:rsidRPr="001D6913" w:rsidRDefault="00467DF9" w:rsidP="00CB55B3">
            <w:pPr>
              <w:pStyle w:val="Tableheading"/>
            </w:pPr>
            <w:r w:rsidRPr="001D6913">
              <w:t>Organisation</w:t>
            </w:r>
          </w:p>
        </w:tc>
        <w:tc>
          <w:tcPr>
            <w:tcW w:w="1192" w:type="pct"/>
            <w:tcBorders>
              <w:bottom w:val="single" w:sz="4" w:space="0" w:color="00338D" w:themeColor="background2"/>
            </w:tcBorders>
            <w:shd w:val="clear" w:color="auto" w:fill="00338D" w:themeFill="background2"/>
          </w:tcPr>
          <w:p w14:paraId="2E47BAA2" w14:textId="77777777" w:rsidR="00467DF9" w:rsidRPr="001D6913" w:rsidRDefault="00467DF9" w:rsidP="00CB55B3">
            <w:pPr>
              <w:pStyle w:val="Tableheading"/>
            </w:pPr>
            <w:r w:rsidRPr="001D6913">
              <w:t>Location</w:t>
            </w:r>
          </w:p>
        </w:tc>
        <w:tc>
          <w:tcPr>
            <w:tcW w:w="2577" w:type="pct"/>
            <w:tcBorders>
              <w:bottom w:val="single" w:sz="4" w:space="0" w:color="00338D" w:themeColor="background2"/>
            </w:tcBorders>
            <w:shd w:val="clear" w:color="auto" w:fill="00338D" w:themeFill="background2"/>
          </w:tcPr>
          <w:p w14:paraId="10CF9EC3" w14:textId="77777777" w:rsidR="00467DF9" w:rsidRPr="001D6913" w:rsidRDefault="00467DF9" w:rsidP="00CB55B3">
            <w:pPr>
              <w:pStyle w:val="Tableheading"/>
            </w:pPr>
            <w:r w:rsidRPr="001D6913">
              <w:t>Attendee Name</w:t>
            </w:r>
          </w:p>
        </w:tc>
      </w:tr>
      <w:tr w:rsidR="00467DF9" w:rsidRPr="001D6913" w14:paraId="1FEAD9C2" w14:textId="77777777" w:rsidTr="00CB55B3">
        <w:tc>
          <w:tcPr>
            <w:tcW w:w="1231" w:type="pct"/>
            <w:tcBorders>
              <w:top w:val="single" w:sz="2" w:space="0" w:color="808080" w:themeColor="background1" w:themeShade="80"/>
              <w:bottom w:val="single" w:sz="2" w:space="0" w:color="808080" w:themeColor="background1" w:themeShade="80"/>
            </w:tcBorders>
          </w:tcPr>
          <w:p w14:paraId="11B97FEF" w14:textId="77777777" w:rsidR="00467DF9" w:rsidRPr="001D6913" w:rsidRDefault="00467DF9" w:rsidP="00CB55B3">
            <w:pPr>
              <w:pStyle w:val="Tabletext"/>
            </w:pPr>
            <w:r w:rsidRPr="001D6913">
              <w:t>Country SA Primary Health Network</w:t>
            </w:r>
          </w:p>
        </w:tc>
        <w:tc>
          <w:tcPr>
            <w:tcW w:w="1192" w:type="pct"/>
            <w:tcBorders>
              <w:top w:val="single" w:sz="2" w:space="0" w:color="808080" w:themeColor="background1" w:themeShade="80"/>
              <w:bottom w:val="single" w:sz="2" w:space="0" w:color="808080" w:themeColor="background1" w:themeShade="80"/>
            </w:tcBorders>
          </w:tcPr>
          <w:p w14:paraId="146DAB20" w14:textId="77777777" w:rsidR="00467DF9" w:rsidRPr="001D6913" w:rsidRDefault="00467DF9" w:rsidP="00CB55B3">
            <w:pPr>
              <w:pStyle w:val="Tabletext"/>
            </w:pPr>
            <w:r w:rsidRPr="001D6913">
              <w:t>South Australia</w:t>
            </w:r>
          </w:p>
        </w:tc>
        <w:tc>
          <w:tcPr>
            <w:tcW w:w="2577" w:type="pct"/>
            <w:tcBorders>
              <w:top w:val="single" w:sz="2" w:space="0" w:color="808080" w:themeColor="background1" w:themeShade="80"/>
              <w:bottom w:val="single" w:sz="2" w:space="0" w:color="808080" w:themeColor="background1" w:themeShade="80"/>
            </w:tcBorders>
          </w:tcPr>
          <w:p w14:paraId="4E4AA00C" w14:textId="77777777" w:rsidR="00467DF9" w:rsidRPr="00CF5573" w:rsidRDefault="00467DF9" w:rsidP="00901635">
            <w:pPr>
              <w:pStyle w:val="TableBullet1"/>
              <w:spacing w:after="80"/>
              <w:ind w:left="714" w:hanging="357"/>
            </w:pPr>
            <w:r w:rsidRPr="00CF5573">
              <w:t>Manager, Mental Health and AOD, Youth Portfolio</w:t>
            </w:r>
          </w:p>
        </w:tc>
      </w:tr>
      <w:tr w:rsidR="00467DF9" w:rsidRPr="001D6913" w14:paraId="0E9A36A5" w14:textId="77777777" w:rsidTr="00CB55B3">
        <w:tc>
          <w:tcPr>
            <w:tcW w:w="1231" w:type="pct"/>
            <w:tcBorders>
              <w:top w:val="single" w:sz="2" w:space="0" w:color="808080" w:themeColor="background1" w:themeShade="80"/>
              <w:bottom w:val="single" w:sz="2" w:space="0" w:color="808080" w:themeColor="background1" w:themeShade="80"/>
            </w:tcBorders>
          </w:tcPr>
          <w:p w14:paraId="0FB0A273" w14:textId="77777777" w:rsidR="00467DF9" w:rsidRPr="001D6913" w:rsidRDefault="00467DF9" w:rsidP="009164AC">
            <w:pPr>
              <w:pStyle w:val="Tabletext"/>
            </w:pPr>
            <w:r w:rsidRPr="001D6913">
              <w:t>Western Queensland PHN</w:t>
            </w:r>
          </w:p>
        </w:tc>
        <w:tc>
          <w:tcPr>
            <w:tcW w:w="1192" w:type="pct"/>
            <w:tcBorders>
              <w:top w:val="single" w:sz="2" w:space="0" w:color="808080" w:themeColor="background1" w:themeShade="80"/>
              <w:bottom w:val="single" w:sz="2" w:space="0" w:color="808080" w:themeColor="background1" w:themeShade="80"/>
            </w:tcBorders>
          </w:tcPr>
          <w:p w14:paraId="0654C762" w14:textId="77777777" w:rsidR="00467DF9" w:rsidRPr="001D6913" w:rsidRDefault="00467DF9" w:rsidP="00CB55B3">
            <w:pPr>
              <w:pStyle w:val="Tabletext"/>
            </w:pPr>
            <w:r>
              <w:t>Queensland</w:t>
            </w:r>
          </w:p>
        </w:tc>
        <w:tc>
          <w:tcPr>
            <w:tcW w:w="2577" w:type="pct"/>
            <w:tcBorders>
              <w:top w:val="single" w:sz="2" w:space="0" w:color="808080" w:themeColor="background1" w:themeShade="80"/>
              <w:bottom w:val="single" w:sz="2" w:space="0" w:color="808080" w:themeColor="background1" w:themeShade="80"/>
            </w:tcBorders>
          </w:tcPr>
          <w:p w14:paraId="7D71B784" w14:textId="77777777" w:rsidR="00467DF9" w:rsidRPr="00CF5573" w:rsidRDefault="00467DF9" w:rsidP="00901635">
            <w:pPr>
              <w:pStyle w:val="TableBullet1"/>
              <w:spacing w:after="100"/>
              <w:ind w:left="714" w:hanging="357"/>
            </w:pPr>
            <w:r w:rsidRPr="00CF5573">
              <w:t>Coordinator, Primary Mental Health Care Commissioning</w:t>
            </w:r>
          </w:p>
        </w:tc>
      </w:tr>
      <w:tr w:rsidR="00467DF9" w:rsidRPr="001D6913" w14:paraId="68B2BD5B" w14:textId="77777777" w:rsidTr="00CB55B3">
        <w:tc>
          <w:tcPr>
            <w:tcW w:w="1231" w:type="pct"/>
            <w:tcBorders>
              <w:top w:val="single" w:sz="2" w:space="0" w:color="808080" w:themeColor="background1" w:themeShade="80"/>
              <w:bottom w:val="single" w:sz="2" w:space="0" w:color="808080" w:themeColor="background1" w:themeShade="80"/>
            </w:tcBorders>
          </w:tcPr>
          <w:p w14:paraId="4D2F1CCD" w14:textId="4C86F4A3" w:rsidR="00467DF9" w:rsidRPr="00BE1C74" w:rsidRDefault="00467DF9" w:rsidP="009164AC">
            <w:pPr>
              <w:pStyle w:val="Tabletext"/>
            </w:pPr>
            <w:r w:rsidRPr="00BE1C74">
              <w:t>WA Primary Health Alliance (WAPHA)</w:t>
            </w:r>
            <w:r w:rsidR="00CC0438">
              <w:rPr>
                <w:rFonts w:ascii="ZWAdobeF" w:hAnsi="ZWAdobeF" w:cs="ZWAdobeF"/>
                <w:sz w:val="2"/>
                <w:szCs w:val="2"/>
              </w:rPr>
              <w:t>164F</w:t>
            </w:r>
            <w:r w:rsidR="004C7FE9">
              <w:rPr>
                <w:rStyle w:val="FootnoteReference"/>
              </w:rPr>
              <w:footnoteReference w:id="166"/>
            </w:r>
          </w:p>
          <w:p w14:paraId="2370BB8B" w14:textId="77777777" w:rsidR="00467DF9" w:rsidRPr="00BE1C74" w:rsidRDefault="00467DF9" w:rsidP="00CB55B3">
            <w:pPr>
              <w:spacing w:before="0" w:after="0"/>
            </w:pPr>
          </w:p>
        </w:tc>
        <w:tc>
          <w:tcPr>
            <w:tcW w:w="1192" w:type="pct"/>
            <w:tcBorders>
              <w:top w:val="single" w:sz="2" w:space="0" w:color="808080" w:themeColor="background1" w:themeShade="80"/>
              <w:bottom w:val="single" w:sz="2" w:space="0" w:color="808080" w:themeColor="background1" w:themeShade="80"/>
            </w:tcBorders>
          </w:tcPr>
          <w:p w14:paraId="36D77985" w14:textId="77777777" w:rsidR="00467DF9" w:rsidRPr="00BE1C74" w:rsidRDefault="00467DF9" w:rsidP="00CB55B3">
            <w:pPr>
              <w:pStyle w:val="Tabletext"/>
            </w:pPr>
            <w:r>
              <w:t>Western Australia</w:t>
            </w:r>
          </w:p>
        </w:tc>
        <w:tc>
          <w:tcPr>
            <w:tcW w:w="2577" w:type="pct"/>
            <w:tcBorders>
              <w:top w:val="single" w:sz="2" w:space="0" w:color="808080" w:themeColor="background1" w:themeShade="80"/>
              <w:bottom w:val="single" w:sz="2" w:space="0" w:color="808080" w:themeColor="background1" w:themeShade="80"/>
            </w:tcBorders>
          </w:tcPr>
          <w:p w14:paraId="035DBBBC" w14:textId="77777777" w:rsidR="00467DF9" w:rsidRPr="00CF5573" w:rsidRDefault="00467DF9" w:rsidP="008263BB">
            <w:pPr>
              <w:pStyle w:val="TableBullet1"/>
            </w:pPr>
            <w:r w:rsidRPr="00CF5573">
              <w:t xml:space="preserve">Current and former contract manager for Joondalup headspace </w:t>
            </w:r>
          </w:p>
          <w:p w14:paraId="3DF7DBA9" w14:textId="77777777" w:rsidR="00467DF9" w:rsidRPr="00CF5573" w:rsidRDefault="00467DF9" w:rsidP="00901635">
            <w:pPr>
              <w:pStyle w:val="TableBullet1"/>
              <w:spacing w:after="100"/>
              <w:ind w:left="714" w:hanging="357"/>
            </w:pPr>
            <w:r w:rsidRPr="00CF5573">
              <w:t>Metro Operations Manager, WAPHA</w:t>
            </w:r>
            <w:r w:rsidRPr="009164AC">
              <w:t xml:space="preserve"> </w:t>
            </w:r>
          </w:p>
        </w:tc>
      </w:tr>
      <w:tr w:rsidR="00467DF9" w:rsidRPr="001D6913" w14:paraId="6F9B6C6B" w14:textId="77777777" w:rsidTr="00CB55B3">
        <w:tc>
          <w:tcPr>
            <w:tcW w:w="1231" w:type="pct"/>
            <w:tcBorders>
              <w:top w:val="single" w:sz="2" w:space="0" w:color="808080" w:themeColor="background1" w:themeShade="80"/>
              <w:bottom w:val="single" w:sz="2" w:space="0" w:color="808080" w:themeColor="background1" w:themeShade="80"/>
            </w:tcBorders>
          </w:tcPr>
          <w:p w14:paraId="2C173988" w14:textId="77777777" w:rsidR="00467DF9" w:rsidRPr="001D6913" w:rsidRDefault="00467DF9" w:rsidP="009164AC">
            <w:pPr>
              <w:pStyle w:val="Tabletext"/>
            </w:pPr>
            <w:r w:rsidRPr="001D6913">
              <w:t>NT Primary Health Network</w:t>
            </w:r>
          </w:p>
        </w:tc>
        <w:tc>
          <w:tcPr>
            <w:tcW w:w="1192" w:type="pct"/>
            <w:tcBorders>
              <w:top w:val="single" w:sz="2" w:space="0" w:color="808080" w:themeColor="background1" w:themeShade="80"/>
              <w:bottom w:val="single" w:sz="2" w:space="0" w:color="808080" w:themeColor="background1" w:themeShade="80"/>
            </w:tcBorders>
          </w:tcPr>
          <w:p w14:paraId="1206D859" w14:textId="78428F99" w:rsidR="00467DF9" w:rsidRPr="001D6913" w:rsidRDefault="00467DF9" w:rsidP="00CB55B3">
            <w:pPr>
              <w:pStyle w:val="Tabletext"/>
            </w:pPr>
            <w:r>
              <w:t>Norther</w:t>
            </w:r>
            <w:r w:rsidR="00492EF4">
              <w:t>n</w:t>
            </w:r>
            <w:r>
              <w:t xml:space="preserve"> Territory</w:t>
            </w:r>
          </w:p>
        </w:tc>
        <w:tc>
          <w:tcPr>
            <w:tcW w:w="2577" w:type="pct"/>
            <w:tcBorders>
              <w:top w:val="single" w:sz="2" w:space="0" w:color="808080" w:themeColor="background1" w:themeShade="80"/>
              <w:bottom w:val="single" w:sz="2" w:space="0" w:color="808080" w:themeColor="background1" w:themeShade="80"/>
            </w:tcBorders>
          </w:tcPr>
          <w:p w14:paraId="2BA67BD1" w14:textId="77777777" w:rsidR="00467DF9" w:rsidRPr="00CF5573" w:rsidRDefault="00467DF9" w:rsidP="008263BB">
            <w:pPr>
              <w:pStyle w:val="TableBullet1"/>
            </w:pPr>
            <w:r w:rsidRPr="00CF5573">
              <w:t xml:space="preserve">Procurement Coordinator NT PHN </w:t>
            </w:r>
          </w:p>
          <w:p w14:paraId="2CE8BE38" w14:textId="77777777" w:rsidR="00467DF9" w:rsidRPr="00CF5573" w:rsidRDefault="00467DF9" w:rsidP="008263BB">
            <w:pPr>
              <w:pStyle w:val="TableBullet1"/>
            </w:pPr>
            <w:r w:rsidRPr="00CF5573">
              <w:t xml:space="preserve">Health Commissioning Manager NT PHN </w:t>
            </w:r>
          </w:p>
          <w:p w14:paraId="77D63425" w14:textId="77777777" w:rsidR="00467DF9" w:rsidRPr="00CF5573" w:rsidRDefault="00467DF9" w:rsidP="00901635">
            <w:pPr>
              <w:pStyle w:val="TableBullet1"/>
              <w:spacing w:after="100"/>
              <w:ind w:left="714" w:hanging="357"/>
            </w:pPr>
            <w:r w:rsidRPr="00CF5573">
              <w:t>Health Commission Lead NT PHN</w:t>
            </w:r>
          </w:p>
        </w:tc>
      </w:tr>
      <w:tr w:rsidR="00467DF9" w:rsidRPr="001D6913" w14:paraId="77848FFB" w14:textId="77777777" w:rsidTr="00CB55B3">
        <w:tc>
          <w:tcPr>
            <w:tcW w:w="1231" w:type="pct"/>
            <w:tcBorders>
              <w:top w:val="single" w:sz="2" w:space="0" w:color="808080" w:themeColor="background1" w:themeShade="80"/>
              <w:bottom w:val="single" w:sz="2" w:space="0" w:color="808080" w:themeColor="background1" w:themeShade="80"/>
            </w:tcBorders>
          </w:tcPr>
          <w:p w14:paraId="389B442D" w14:textId="712BBA5C" w:rsidR="00467DF9" w:rsidRPr="001D6913" w:rsidRDefault="00467DF9" w:rsidP="009164AC">
            <w:pPr>
              <w:pStyle w:val="Tabletext"/>
            </w:pPr>
            <w:r w:rsidRPr="001D6913">
              <w:t>South Eastern NSW PHN</w:t>
            </w:r>
          </w:p>
        </w:tc>
        <w:tc>
          <w:tcPr>
            <w:tcW w:w="1192" w:type="pct"/>
            <w:tcBorders>
              <w:top w:val="single" w:sz="2" w:space="0" w:color="808080" w:themeColor="background1" w:themeShade="80"/>
              <w:bottom w:val="single" w:sz="2" w:space="0" w:color="808080" w:themeColor="background1" w:themeShade="80"/>
            </w:tcBorders>
          </w:tcPr>
          <w:p w14:paraId="37933D34" w14:textId="77777777" w:rsidR="00467DF9" w:rsidRPr="001D6913" w:rsidRDefault="00467DF9" w:rsidP="00CB55B3">
            <w:pPr>
              <w:pStyle w:val="Tabletext"/>
            </w:pPr>
            <w:r>
              <w:t>New South Wales</w:t>
            </w:r>
          </w:p>
        </w:tc>
        <w:tc>
          <w:tcPr>
            <w:tcW w:w="2577" w:type="pct"/>
            <w:tcBorders>
              <w:top w:val="single" w:sz="2" w:space="0" w:color="808080" w:themeColor="background1" w:themeShade="80"/>
              <w:bottom w:val="single" w:sz="2" w:space="0" w:color="808080" w:themeColor="background1" w:themeShade="80"/>
            </w:tcBorders>
          </w:tcPr>
          <w:p w14:paraId="269FB8FA" w14:textId="77777777" w:rsidR="00467DF9" w:rsidRPr="00CF5573" w:rsidRDefault="00467DF9" w:rsidP="008263BB">
            <w:pPr>
              <w:pStyle w:val="TableBullet1"/>
            </w:pPr>
            <w:r w:rsidRPr="00CF5573">
              <w:t>Contract manager for headspace Bega</w:t>
            </w:r>
          </w:p>
          <w:p w14:paraId="5888146D" w14:textId="77777777" w:rsidR="00467DF9" w:rsidRPr="00CF5573" w:rsidRDefault="00467DF9" w:rsidP="00901635">
            <w:pPr>
              <w:pStyle w:val="TableBullet1"/>
              <w:spacing w:after="100"/>
              <w:ind w:left="714" w:hanging="357"/>
            </w:pPr>
            <w:r w:rsidRPr="00CF5573">
              <w:t>Manager in charge of population data, planning and reporting</w:t>
            </w:r>
          </w:p>
        </w:tc>
      </w:tr>
      <w:tr w:rsidR="00467DF9" w:rsidRPr="001D6913" w14:paraId="63430058" w14:textId="77777777" w:rsidTr="00CB55B3">
        <w:tc>
          <w:tcPr>
            <w:tcW w:w="1231" w:type="pct"/>
            <w:tcBorders>
              <w:top w:val="single" w:sz="2" w:space="0" w:color="808080" w:themeColor="background1" w:themeShade="80"/>
              <w:bottom w:val="single" w:sz="2" w:space="0" w:color="808080" w:themeColor="background1" w:themeShade="80"/>
            </w:tcBorders>
          </w:tcPr>
          <w:p w14:paraId="33949016" w14:textId="77777777" w:rsidR="00467DF9" w:rsidRPr="001D6913" w:rsidRDefault="00467DF9" w:rsidP="009164AC">
            <w:pPr>
              <w:pStyle w:val="Tabletext"/>
            </w:pPr>
            <w:r w:rsidRPr="001D6913">
              <w:t>South Western Sydney PHN</w:t>
            </w:r>
          </w:p>
        </w:tc>
        <w:tc>
          <w:tcPr>
            <w:tcW w:w="1192" w:type="pct"/>
            <w:tcBorders>
              <w:top w:val="single" w:sz="2" w:space="0" w:color="808080" w:themeColor="background1" w:themeShade="80"/>
              <w:bottom w:val="single" w:sz="2" w:space="0" w:color="808080" w:themeColor="background1" w:themeShade="80"/>
            </w:tcBorders>
          </w:tcPr>
          <w:p w14:paraId="6568783A" w14:textId="77777777" w:rsidR="00467DF9" w:rsidRPr="001D6913" w:rsidRDefault="00467DF9" w:rsidP="00CB55B3">
            <w:pPr>
              <w:pStyle w:val="Tabletext"/>
            </w:pPr>
            <w:r>
              <w:t>New South Wales</w:t>
            </w:r>
          </w:p>
        </w:tc>
        <w:tc>
          <w:tcPr>
            <w:tcW w:w="2577" w:type="pct"/>
            <w:tcBorders>
              <w:top w:val="single" w:sz="2" w:space="0" w:color="808080" w:themeColor="background1" w:themeShade="80"/>
              <w:bottom w:val="single" w:sz="2" w:space="0" w:color="808080" w:themeColor="background1" w:themeShade="80"/>
            </w:tcBorders>
          </w:tcPr>
          <w:p w14:paraId="73D939E9" w14:textId="77777777" w:rsidR="00467DF9" w:rsidRPr="001D6913" w:rsidRDefault="00467DF9" w:rsidP="008263BB">
            <w:pPr>
              <w:pStyle w:val="TableBullet1"/>
            </w:pPr>
            <w:r w:rsidRPr="001D6913">
              <w:t xml:space="preserve">Mental Health Program Advisor </w:t>
            </w:r>
          </w:p>
          <w:p w14:paraId="6F8F8E9C" w14:textId="77777777" w:rsidR="00467DF9" w:rsidRPr="001D6913" w:rsidRDefault="00467DF9" w:rsidP="008263BB">
            <w:pPr>
              <w:pStyle w:val="TableBullet1"/>
            </w:pPr>
            <w:r>
              <w:t>Research and Evaluation Coordinator</w:t>
            </w:r>
          </w:p>
          <w:p w14:paraId="715EF752" w14:textId="77777777" w:rsidR="00467DF9" w:rsidRPr="001D6913" w:rsidRDefault="00467DF9" w:rsidP="00901635">
            <w:pPr>
              <w:pStyle w:val="TableBullet1"/>
              <w:spacing w:after="100"/>
              <w:ind w:left="714" w:hanging="357"/>
            </w:pPr>
            <w:r>
              <w:t>Mental Health Coordinator</w:t>
            </w:r>
          </w:p>
        </w:tc>
      </w:tr>
      <w:tr w:rsidR="00467DF9" w:rsidRPr="001D6913" w14:paraId="4AC29E74" w14:textId="77777777" w:rsidTr="00CB55B3">
        <w:tc>
          <w:tcPr>
            <w:tcW w:w="1231" w:type="pct"/>
            <w:tcBorders>
              <w:top w:val="single" w:sz="2" w:space="0" w:color="808080" w:themeColor="background1" w:themeShade="80"/>
              <w:bottom w:val="single" w:sz="2" w:space="0" w:color="808080" w:themeColor="background1" w:themeShade="80"/>
            </w:tcBorders>
          </w:tcPr>
          <w:p w14:paraId="1C711E0A" w14:textId="1E23EE2C" w:rsidR="00467DF9" w:rsidRPr="001D6913" w:rsidRDefault="000A4501" w:rsidP="009164AC">
            <w:pPr>
              <w:pStyle w:val="Tabletext"/>
            </w:pPr>
            <w:r>
              <w:t xml:space="preserve">North Western </w:t>
            </w:r>
            <w:r w:rsidR="00467DF9" w:rsidRPr="001D6913">
              <w:t xml:space="preserve">Melbourne </w:t>
            </w:r>
            <w:r>
              <w:t>PHN</w:t>
            </w:r>
          </w:p>
        </w:tc>
        <w:tc>
          <w:tcPr>
            <w:tcW w:w="1192" w:type="pct"/>
            <w:tcBorders>
              <w:top w:val="single" w:sz="2" w:space="0" w:color="808080" w:themeColor="background1" w:themeShade="80"/>
              <w:bottom w:val="single" w:sz="2" w:space="0" w:color="808080" w:themeColor="background1" w:themeShade="80"/>
            </w:tcBorders>
          </w:tcPr>
          <w:p w14:paraId="3A9A38F4" w14:textId="77777777" w:rsidR="00467DF9" w:rsidRPr="001D6913" w:rsidRDefault="00467DF9" w:rsidP="00CB55B3">
            <w:pPr>
              <w:pStyle w:val="Tabletext"/>
            </w:pPr>
            <w:r>
              <w:t>Victoria</w:t>
            </w:r>
          </w:p>
        </w:tc>
        <w:tc>
          <w:tcPr>
            <w:tcW w:w="2577" w:type="pct"/>
            <w:tcBorders>
              <w:top w:val="single" w:sz="2" w:space="0" w:color="808080" w:themeColor="background1" w:themeShade="80"/>
              <w:bottom w:val="single" w:sz="2" w:space="0" w:color="808080" w:themeColor="background1" w:themeShade="80"/>
            </w:tcBorders>
          </w:tcPr>
          <w:p w14:paraId="4987C1E1" w14:textId="4504CC21" w:rsidR="00467DF9" w:rsidRDefault="00467DF9" w:rsidP="008263BB">
            <w:pPr>
              <w:pStyle w:val="TableBullet1"/>
            </w:pPr>
            <w:r w:rsidRPr="001D6913">
              <w:t>Exec</w:t>
            </w:r>
            <w:r w:rsidR="00606E19">
              <w:t>utive</w:t>
            </w:r>
            <w:r w:rsidRPr="001D6913">
              <w:t xml:space="preserve"> Director, Service Development &amp; Reform at North Western Melbourne Primary Health Network</w:t>
            </w:r>
            <w:r w:rsidR="00730B4D">
              <w:t xml:space="preserve"> </w:t>
            </w:r>
          </w:p>
          <w:p w14:paraId="7825BB63" w14:textId="77777777" w:rsidR="00467DF9" w:rsidRPr="001D6913" w:rsidRDefault="00467DF9" w:rsidP="008263BB">
            <w:pPr>
              <w:pStyle w:val="TableBullet1"/>
            </w:pPr>
            <w:r w:rsidRPr="001D6913">
              <w:t>Director MH and Wellbeing</w:t>
            </w:r>
          </w:p>
          <w:p w14:paraId="5A92BF52" w14:textId="77777777" w:rsidR="00467DF9" w:rsidRPr="001D6913" w:rsidRDefault="00467DF9" w:rsidP="00901635">
            <w:pPr>
              <w:pStyle w:val="TableBullet1"/>
              <w:spacing w:after="100"/>
              <w:ind w:left="714" w:hanging="357"/>
            </w:pPr>
            <w:r w:rsidRPr="001D6913">
              <w:t xml:space="preserve">Manager CYMH </w:t>
            </w:r>
          </w:p>
        </w:tc>
      </w:tr>
      <w:tr w:rsidR="00467DF9" w:rsidRPr="001D6913" w14:paraId="5A69B529" w14:textId="77777777" w:rsidTr="00CB55B3">
        <w:tc>
          <w:tcPr>
            <w:tcW w:w="1231" w:type="pct"/>
            <w:tcBorders>
              <w:top w:val="single" w:sz="2" w:space="0" w:color="808080" w:themeColor="background1" w:themeShade="80"/>
              <w:bottom w:val="single" w:sz="2" w:space="0" w:color="808080" w:themeColor="background1" w:themeShade="80"/>
            </w:tcBorders>
          </w:tcPr>
          <w:p w14:paraId="2745B709" w14:textId="35995B66" w:rsidR="00467DF9" w:rsidRPr="001D6913" w:rsidRDefault="00E036BA" w:rsidP="009164AC">
            <w:pPr>
              <w:pStyle w:val="Tabletext"/>
            </w:pPr>
            <w:r w:rsidRPr="00E036BA">
              <w:t>Central Queensland, Wide Bay, Sunshine Coast PHN</w:t>
            </w:r>
          </w:p>
        </w:tc>
        <w:tc>
          <w:tcPr>
            <w:tcW w:w="1192" w:type="pct"/>
            <w:tcBorders>
              <w:top w:val="single" w:sz="2" w:space="0" w:color="808080" w:themeColor="background1" w:themeShade="80"/>
              <w:bottom w:val="single" w:sz="2" w:space="0" w:color="808080" w:themeColor="background1" w:themeShade="80"/>
            </w:tcBorders>
          </w:tcPr>
          <w:p w14:paraId="388BA784" w14:textId="77777777" w:rsidR="00467DF9" w:rsidRPr="001D6913" w:rsidRDefault="00467DF9" w:rsidP="00CB55B3">
            <w:pPr>
              <w:pStyle w:val="Tabletext"/>
            </w:pPr>
            <w:r>
              <w:t>Queensland</w:t>
            </w:r>
          </w:p>
        </w:tc>
        <w:tc>
          <w:tcPr>
            <w:tcW w:w="2577" w:type="pct"/>
            <w:tcBorders>
              <w:top w:val="single" w:sz="2" w:space="0" w:color="808080" w:themeColor="background1" w:themeShade="80"/>
              <w:bottom w:val="single" w:sz="2" w:space="0" w:color="808080" w:themeColor="background1" w:themeShade="80"/>
            </w:tcBorders>
          </w:tcPr>
          <w:p w14:paraId="60A64539" w14:textId="690255DA" w:rsidR="00467DF9" w:rsidRPr="001D6913" w:rsidRDefault="00467DF9" w:rsidP="008263BB">
            <w:pPr>
              <w:pStyle w:val="TableBullet1"/>
            </w:pPr>
            <w:r w:rsidRPr="001D6913">
              <w:t>Coordinator/ Contract Manager for Central Queensland</w:t>
            </w:r>
            <w:r w:rsidR="00730B4D">
              <w:t xml:space="preserve"> </w:t>
            </w:r>
          </w:p>
          <w:p w14:paraId="65BA867A" w14:textId="55DF36ED" w:rsidR="00467DF9" w:rsidRPr="001D6913" w:rsidRDefault="00467DF9" w:rsidP="008263BB">
            <w:pPr>
              <w:pStyle w:val="TableBullet1"/>
            </w:pPr>
            <w:r w:rsidRPr="001D6913">
              <w:t>MHAOD Coordinator/ Commissioner for Gympie headspace</w:t>
            </w:r>
            <w:r w:rsidR="00730B4D">
              <w:t xml:space="preserve"> </w:t>
            </w:r>
          </w:p>
          <w:p w14:paraId="3FC5F04E" w14:textId="77777777" w:rsidR="00467DF9" w:rsidRPr="001D6913" w:rsidRDefault="00467DF9" w:rsidP="008263BB">
            <w:pPr>
              <w:pStyle w:val="TableBullet1"/>
            </w:pPr>
            <w:r w:rsidRPr="001D6913">
              <w:t xml:space="preserve">Primary HealthCare Officer </w:t>
            </w:r>
          </w:p>
          <w:p w14:paraId="27A0AF16" w14:textId="77777777" w:rsidR="00467DF9" w:rsidRPr="001D6913" w:rsidRDefault="00467DF9" w:rsidP="00901635">
            <w:pPr>
              <w:pStyle w:val="TableBullet1"/>
              <w:spacing w:after="100"/>
              <w:ind w:left="714" w:hanging="357"/>
            </w:pPr>
            <w:r w:rsidRPr="001D6913">
              <w:t>Business Support Officer/ intake and referrals</w:t>
            </w:r>
          </w:p>
        </w:tc>
      </w:tr>
      <w:tr w:rsidR="002E47E5" w:rsidRPr="001D6913" w14:paraId="2D48B00D" w14:textId="77777777" w:rsidTr="00CB55B3">
        <w:tc>
          <w:tcPr>
            <w:tcW w:w="1231" w:type="pct"/>
            <w:tcBorders>
              <w:top w:val="single" w:sz="2" w:space="0" w:color="808080" w:themeColor="background1" w:themeShade="80"/>
              <w:bottom w:val="single" w:sz="2" w:space="0" w:color="808080" w:themeColor="background1" w:themeShade="80"/>
            </w:tcBorders>
          </w:tcPr>
          <w:p w14:paraId="6C834C36" w14:textId="02A63C61" w:rsidR="002E47E5" w:rsidRPr="001D6913" w:rsidRDefault="002E47E5" w:rsidP="00CB55B3">
            <w:pPr>
              <w:spacing w:before="0" w:after="0"/>
            </w:pPr>
            <w:r>
              <w:t>All other PHNs</w:t>
            </w:r>
          </w:p>
        </w:tc>
        <w:tc>
          <w:tcPr>
            <w:tcW w:w="1192" w:type="pct"/>
            <w:tcBorders>
              <w:top w:val="single" w:sz="2" w:space="0" w:color="808080" w:themeColor="background1" w:themeShade="80"/>
              <w:bottom w:val="single" w:sz="2" w:space="0" w:color="808080" w:themeColor="background1" w:themeShade="80"/>
            </w:tcBorders>
          </w:tcPr>
          <w:p w14:paraId="040F91F5" w14:textId="347AE38C" w:rsidR="002E47E5" w:rsidRDefault="002E47E5" w:rsidP="00CB55B3">
            <w:pPr>
              <w:pStyle w:val="Tabletext"/>
            </w:pPr>
            <w:r>
              <w:t>National</w:t>
            </w:r>
          </w:p>
        </w:tc>
        <w:tc>
          <w:tcPr>
            <w:tcW w:w="2577" w:type="pct"/>
            <w:tcBorders>
              <w:top w:val="single" w:sz="2" w:space="0" w:color="808080" w:themeColor="background1" w:themeShade="80"/>
              <w:bottom w:val="single" w:sz="2" w:space="0" w:color="808080" w:themeColor="background1" w:themeShade="80"/>
            </w:tcBorders>
          </w:tcPr>
          <w:p w14:paraId="645F0B7D" w14:textId="7AC48A67" w:rsidR="002E47E5" w:rsidRPr="001D6913" w:rsidRDefault="00DB7B76" w:rsidP="00901635">
            <w:pPr>
              <w:pStyle w:val="TableBullet1"/>
              <w:spacing w:after="100"/>
              <w:ind w:left="714" w:hanging="357"/>
            </w:pPr>
            <w:r>
              <w:t>Various representatives from all other PHNs in workshops</w:t>
            </w:r>
          </w:p>
        </w:tc>
      </w:tr>
    </w:tbl>
    <w:p w14:paraId="4C7A0391" w14:textId="77777777" w:rsidR="00386195" w:rsidRDefault="00386195" w:rsidP="001268EC">
      <w:pPr>
        <w:pStyle w:val="Source"/>
      </w:pPr>
      <w:r w:rsidRPr="00055013">
        <w:t>Source: KPMG</w:t>
      </w:r>
      <w:r>
        <w:t xml:space="preserve"> 2022</w:t>
      </w:r>
    </w:p>
    <w:p w14:paraId="2457BB64" w14:textId="77777777" w:rsidR="00467DF9" w:rsidRDefault="00467DF9" w:rsidP="00A86CAC">
      <w:pPr>
        <w:pStyle w:val="AppendixHeading3"/>
      </w:pPr>
      <w:r>
        <w:t>Indigenous organisations</w:t>
      </w:r>
    </w:p>
    <w:p w14:paraId="77294AAE" w14:textId="268A6EF7" w:rsidR="00B868ED" w:rsidRDefault="00B868ED" w:rsidP="00B868ED">
      <w:pPr>
        <w:pStyle w:val="Caption"/>
      </w:pPr>
      <w:bookmarkStart w:id="198" w:name="_Toc108108981"/>
      <w:r>
        <w:t xml:space="preserve">Table </w:t>
      </w:r>
      <w:r>
        <w:fldChar w:fldCharType="begin"/>
      </w:r>
      <w:r>
        <w:instrText>SEQ Table \* ARABIC</w:instrText>
      </w:r>
      <w:r>
        <w:fldChar w:fldCharType="separate"/>
      </w:r>
      <w:r w:rsidR="00CC0438">
        <w:rPr>
          <w:noProof/>
        </w:rPr>
        <w:t>31</w:t>
      </w:r>
      <w:r>
        <w:fldChar w:fldCharType="end"/>
      </w:r>
      <w:r w:rsidR="00CB55B3">
        <w:t>:</w:t>
      </w:r>
      <w:r>
        <w:t xml:space="preserve"> </w:t>
      </w:r>
      <w:r w:rsidRPr="00B80EFF">
        <w:t>Stakeholders consulted from</w:t>
      </w:r>
      <w:r>
        <w:t xml:space="preserve"> Indigenous organisations</w:t>
      </w:r>
      <w:bookmarkEnd w:id="19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keholders consulted from Indigenous organisations"/>
        <w:tblDescription w:val="Table summarises the organisation, location and name of each interview participant."/>
      </w:tblPr>
      <w:tblGrid>
        <w:gridCol w:w="2268"/>
        <w:gridCol w:w="2126"/>
        <w:gridCol w:w="4676"/>
      </w:tblGrid>
      <w:tr w:rsidR="00467DF9" w:rsidRPr="001D6913" w14:paraId="0F2BAFC9" w14:textId="77777777" w:rsidTr="00CB55B3">
        <w:trPr>
          <w:tblHeader/>
        </w:trPr>
        <w:tc>
          <w:tcPr>
            <w:tcW w:w="1250" w:type="pct"/>
            <w:tcBorders>
              <w:bottom w:val="single" w:sz="4" w:space="0" w:color="00338D" w:themeColor="background2"/>
            </w:tcBorders>
            <w:shd w:val="clear" w:color="auto" w:fill="00338D" w:themeFill="background2"/>
          </w:tcPr>
          <w:p w14:paraId="54BCA878" w14:textId="77777777" w:rsidR="00467DF9" w:rsidRPr="001D6913" w:rsidRDefault="00467DF9" w:rsidP="00CB55B3">
            <w:pPr>
              <w:pStyle w:val="Tableheading"/>
            </w:pPr>
            <w:r w:rsidRPr="001D6913">
              <w:t>Organisation</w:t>
            </w:r>
          </w:p>
        </w:tc>
        <w:tc>
          <w:tcPr>
            <w:tcW w:w="1172" w:type="pct"/>
            <w:tcBorders>
              <w:bottom w:val="single" w:sz="4" w:space="0" w:color="00338D" w:themeColor="background2"/>
            </w:tcBorders>
            <w:shd w:val="clear" w:color="auto" w:fill="00338D" w:themeFill="background2"/>
          </w:tcPr>
          <w:p w14:paraId="6497E5D3" w14:textId="77777777" w:rsidR="00467DF9" w:rsidRPr="001D6913" w:rsidRDefault="00467DF9" w:rsidP="00CB55B3">
            <w:pPr>
              <w:pStyle w:val="Tableheading"/>
            </w:pPr>
            <w:r w:rsidRPr="001D6913">
              <w:t>Location</w:t>
            </w:r>
          </w:p>
        </w:tc>
        <w:tc>
          <w:tcPr>
            <w:tcW w:w="2578" w:type="pct"/>
            <w:tcBorders>
              <w:bottom w:val="single" w:sz="4" w:space="0" w:color="00338D" w:themeColor="background2"/>
            </w:tcBorders>
            <w:shd w:val="clear" w:color="auto" w:fill="00338D" w:themeFill="background2"/>
          </w:tcPr>
          <w:p w14:paraId="3258AE83" w14:textId="77777777" w:rsidR="00467DF9" w:rsidRPr="001D6913" w:rsidRDefault="00467DF9" w:rsidP="00CB55B3">
            <w:pPr>
              <w:pStyle w:val="Tableheading"/>
            </w:pPr>
            <w:r w:rsidRPr="001D6913">
              <w:t>Attendee Name</w:t>
            </w:r>
          </w:p>
        </w:tc>
      </w:tr>
      <w:tr w:rsidR="00467DF9" w:rsidRPr="001D6913" w14:paraId="3A50E963" w14:textId="77777777" w:rsidTr="00CB55B3">
        <w:tc>
          <w:tcPr>
            <w:tcW w:w="1250" w:type="pct"/>
            <w:tcBorders>
              <w:top w:val="single" w:sz="2" w:space="0" w:color="808080" w:themeColor="background1" w:themeShade="80"/>
              <w:bottom w:val="single" w:sz="2" w:space="0" w:color="808080" w:themeColor="background1" w:themeShade="80"/>
            </w:tcBorders>
          </w:tcPr>
          <w:p w14:paraId="1A035D7B" w14:textId="77777777" w:rsidR="00467DF9" w:rsidRPr="001D6913" w:rsidRDefault="00467DF9" w:rsidP="00CB55B3">
            <w:pPr>
              <w:pStyle w:val="Tabletext"/>
            </w:pPr>
            <w:r w:rsidRPr="001D6913">
              <w:t>Moorundi Aboriginal Controlled Health Organisation</w:t>
            </w:r>
          </w:p>
        </w:tc>
        <w:tc>
          <w:tcPr>
            <w:tcW w:w="1172" w:type="pct"/>
            <w:tcBorders>
              <w:top w:val="single" w:sz="2" w:space="0" w:color="808080" w:themeColor="background1" w:themeShade="80"/>
              <w:bottom w:val="single" w:sz="2" w:space="0" w:color="808080" w:themeColor="background1" w:themeShade="80"/>
            </w:tcBorders>
          </w:tcPr>
          <w:p w14:paraId="0E25F8A6" w14:textId="77777777" w:rsidR="00467DF9" w:rsidRPr="001D6913" w:rsidRDefault="00467DF9" w:rsidP="00CB55B3">
            <w:pPr>
              <w:pStyle w:val="Tabletext"/>
            </w:pPr>
            <w:r w:rsidRPr="001D6913">
              <w:t>Murray Bridge, South Australia</w:t>
            </w:r>
          </w:p>
        </w:tc>
        <w:tc>
          <w:tcPr>
            <w:tcW w:w="2578" w:type="pct"/>
            <w:tcBorders>
              <w:top w:val="single" w:sz="2" w:space="0" w:color="808080" w:themeColor="background1" w:themeShade="80"/>
              <w:bottom w:val="single" w:sz="2" w:space="0" w:color="808080" w:themeColor="background1" w:themeShade="80"/>
            </w:tcBorders>
          </w:tcPr>
          <w:p w14:paraId="61C0BE49" w14:textId="77777777" w:rsidR="00467DF9" w:rsidRPr="001D6913" w:rsidRDefault="00467DF9" w:rsidP="008263BB">
            <w:pPr>
              <w:pStyle w:val="TableBullet1"/>
            </w:pPr>
            <w:r w:rsidRPr="007E3803">
              <w:t>Manager of Social and Emotional Wellbeing team</w:t>
            </w:r>
          </w:p>
        </w:tc>
      </w:tr>
      <w:tr w:rsidR="00467DF9" w:rsidRPr="001D6913" w14:paraId="2BE3B4B1" w14:textId="77777777" w:rsidTr="00CB55B3">
        <w:tc>
          <w:tcPr>
            <w:tcW w:w="1250" w:type="pct"/>
            <w:tcBorders>
              <w:top w:val="single" w:sz="2" w:space="0" w:color="808080" w:themeColor="background1" w:themeShade="80"/>
              <w:bottom w:val="single" w:sz="2" w:space="0" w:color="808080" w:themeColor="background1" w:themeShade="80"/>
            </w:tcBorders>
          </w:tcPr>
          <w:p w14:paraId="4D163FE6" w14:textId="77777777" w:rsidR="00467DF9" w:rsidRPr="001D6913" w:rsidRDefault="00467DF9" w:rsidP="00CB55B3">
            <w:pPr>
              <w:pStyle w:val="Tabletext"/>
            </w:pPr>
            <w:r w:rsidRPr="001D6913">
              <w:t>Arche Health / Wangen Murduin Aboriginal Health Service</w:t>
            </w:r>
          </w:p>
        </w:tc>
        <w:tc>
          <w:tcPr>
            <w:tcW w:w="1172" w:type="pct"/>
            <w:tcBorders>
              <w:top w:val="single" w:sz="2" w:space="0" w:color="808080" w:themeColor="background1" w:themeShade="80"/>
              <w:bottom w:val="single" w:sz="2" w:space="0" w:color="808080" w:themeColor="background1" w:themeShade="80"/>
            </w:tcBorders>
          </w:tcPr>
          <w:p w14:paraId="699E3896" w14:textId="77777777" w:rsidR="00467DF9" w:rsidRPr="001D6913" w:rsidRDefault="00467DF9" w:rsidP="00CB55B3">
            <w:pPr>
              <w:pStyle w:val="Tabletext"/>
            </w:pPr>
            <w:r w:rsidRPr="001D6913">
              <w:t>Joondalup, Western Australia</w:t>
            </w:r>
          </w:p>
        </w:tc>
        <w:tc>
          <w:tcPr>
            <w:tcW w:w="2578" w:type="pct"/>
            <w:tcBorders>
              <w:top w:val="single" w:sz="2" w:space="0" w:color="808080" w:themeColor="background1" w:themeShade="80"/>
              <w:bottom w:val="single" w:sz="2" w:space="0" w:color="808080" w:themeColor="background1" w:themeShade="80"/>
            </w:tcBorders>
          </w:tcPr>
          <w:p w14:paraId="75EDD11E" w14:textId="77777777" w:rsidR="00467DF9" w:rsidRPr="00C74299" w:rsidRDefault="00467DF9" w:rsidP="008263BB">
            <w:pPr>
              <w:pStyle w:val="TableBullet1"/>
            </w:pPr>
            <w:r w:rsidRPr="00C74299">
              <w:t>Executive Manager Health Services</w:t>
            </w:r>
          </w:p>
          <w:p w14:paraId="3F7C6B0D" w14:textId="77777777" w:rsidR="00467DF9" w:rsidRPr="00C74299" w:rsidRDefault="00467DF9" w:rsidP="008263BB">
            <w:pPr>
              <w:pStyle w:val="TableBullet1"/>
            </w:pPr>
            <w:r w:rsidRPr="00C74299">
              <w:t>Manager</w:t>
            </w:r>
          </w:p>
          <w:p w14:paraId="2323B501" w14:textId="77777777" w:rsidR="00467DF9" w:rsidRPr="001D6913" w:rsidRDefault="00467DF9" w:rsidP="008263BB">
            <w:pPr>
              <w:pStyle w:val="TableBullet1"/>
            </w:pPr>
            <w:r w:rsidRPr="00C74299">
              <w:t>RN on the Aboriginal Health team and at Joondalup Health Centre</w:t>
            </w:r>
          </w:p>
        </w:tc>
      </w:tr>
      <w:tr w:rsidR="00467DF9" w:rsidRPr="001D6913" w14:paraId="65947787" w14:textId="77777777" w:rsidTr="00CB55B3">
        <w:tc>
          <w:tcPr>
            <w:tcW w:w="1250" w:type="pct"/>
            <w:tcBorders>
              <w:top w:val="single" w:sz="2" w:space="0" w:color="808080" w:themeColor="background1" w:themeShade="80"/>
              <w:bottom w:val="single" w:sz="2" w:space="0" w:color="808080" w:themeColor="background1" w:themeShade="80"/>
            </w:tcBorders>
          </w:tcPr>
          <w:p w14:paraId="5997AF29" w14:textId="77777777" w:rsidR="00467DF9" w:rsidRPr="001D6913" w:rsidRDefault="00467DF9" w:rsidP="00CB55B3">
            <w:pPr>
              <w:pStyle w:val="Tabletext"/>
            </w:pPr>
            <w:r w:rsidRPr="00F955D9">
              <w:t>Bega Local Aboriginal Land Council</w:t>
            </w:r>
          </w:p>
        </w:tc>
        <w:tc>
          <w:tcPr>
            <w:tcW w:w="1172" w:type="pct"/>
            <w:tcBorders>
              <w:top w:val="single" w:sz="2" w:space="0" w:color="808080" w:themeColor="background1" w:themeShade="80"/>
              <w:bottom w:val="single" w:sz="2" w:space="0" w:color="808080" w:themeColor="background1" w:themeShade="80"/>
            </w:tcBorders>
          </w:tcPr>
          <w:p w14:paraId="2B278EF6" w14:textId="77777777" w:rsidR="00467DF9" w:rsidRPr="001D6913" w:rsidRDefault="00467DF9" w:rsidP="00CB55B3">
            <w:pPr>
              <w:pStyle w:val="Tabletext"/>
            </w:pPr>
            <w:r w:rsidRPr="001D6913">
              <w:t>Bega, New South Wales</w:t>
            </w:r>
          </w:p>
        </w:tc>
        <w:tc>
          <w:tcPr>
            <w:tcW w:w="2578" w:type="pct"/>
            <w:tcBorders>
              <w:top w:val="single" w:sz="2" w:space="0" w:color="808080" w:themeColor="background1" w:themeShade="80"/>
              <w:bottom w:val="single" w:sz="2" w:space="0" w:color="808080" w:themeColor="background1" w:themeShade="80"/>
            </w:tcBorders>
          </w:tcPr>
          <w:p w14:paraId="27A44FC1" w14:textId="77777777" w:rsidR="00467DF9" w:rsidRPr="001D6913" w:rsidRDefault="00467DF9" w:rsidP="008263BB">
            <w:pPr>
              <w:pStyle w:val="TableBullet1"/>
            </w:pPr>
            <w:r>
              <w:t xml:space="preserve">Aboriginal Community Liaison </w:t>
            </w:r>
          </w:p>
        </w:tc>
      </w:tr>
      <w:tr w:rsidR="00467DF9" w:rsidRPr="001D6913" w14:paraId="45C53DE4" w14:textId="77777777" w:rsidTr="00CB55B3">
        <w:tc>
          <w:tcPr>
            <w:tcW w:w="1250" w:type="pct"/>
            <w:tcBorders>
              <w:top w:val="single" w:sz="2" w:space="0" w:color="808080" w:themeColor="background1" w:themeShade="80"/>
              <w:bottom w:val="single" w:sz="2" w:space="0" w:color="808080" w:themeColor="background1" w:themeShade="80"/>
            </w:tcBorders>
          </w:tcPr>
          <w:p w14:paraId="0BBA5CC6" w14:textId="77777777" w:rsidR="00467DF9" w:rsidRPr="001D6913" w:rsidRDefault="00467DF9" w:rsidP="00CB55B3">
            <w:pPr>
              <w:pStyle w:val="Tabletext"/>
            </w:pPr>
            <w:r w:rsidRPr="001D6913">
              <w:t>Katherine West Health Board</w:t>
            </w:r>
          </w:p>
        </w:tc>
        <w:tc>
          <w:tcPr>
            <w:tcW w:w="1172" w:type="pct"/>
            <w:tcBorders>
              <w:top w:val="single" w:sz="2" w:space="0" w:color="808080" w:themeColor="background1" w:themeShade="80"/>
              <w:bottom w:val="single" w:sz="2" w:space="0" w:color="808080" w:themeColor="background1" w:themeShade="80"/>
            </w:tcBorders>
          </w:tcPr>
          <w:p w14:paraId="0785CC88" w14:textId="77777777" w:rsidR="00467DF9" w:rsidRPr="001D6913" w:rsidRDefault="00467DF9" w:rsidP="00CB55B3">
            <w:pPr>
              <w:pStyle w:val="Tabletext"/>
            </w:pPr>
            <w:r w:rsidRPr="001D6913">
              <w:t>Katherine, Northern Territory</w:t>
            </w:r>
          </w:p>
        </w:tc>
        <w:tc>
          <w:tcPr>
            <w:tcW w:w="2578" w:type="pct"/>
            <w:tcBorders>
              <w:top w:val="single" w:sz="2" w:space="0" w:color="808080" w:themeColor="background1" w:themeShade="80"/>
              <w:bottom w:val="single" w:sz="2" w:space="0" w:color="808080" w:themeColor="background1" w:themeShade="80"/>
            </w:tcBorders>
          </w:tcPr>
          <w:p w14:paraId="33044484" w14:textId="77777777" w:rsidR="00467DF9" w:rsidRPr="001D6913" w:rsidRDefault="00467DF9" w:rsidP="008263BB">
            <w:pPr>
              <w:pStyle w:val="TableBullet1"/>
            </w:pPr>
            <w:r w:rsidRPr="001D6913">
              <w:t xml:space="preserve">Manager Population Health, Katherine West Health Board </w:t>
            </w:r>
          </w:p>
        </w:tc>
      </w:tr>
    </w:tbl>
    <w:p w14:paraId="185278C2" w14:textId="77777777" w:rsidR="00386195" w:rsidRDefault="00386195" w:rsidP="00740EE1">
      <w:pPr>
        <w:pStyle w:val="Source"/>
      </w:pPr>
      <w:r w:rsidRPr="00055013">
        <w:t>Source: KPMG</w:t>
      </w:r>
      <w:r>
        <w:t xml:space="preserve"> 2022</w:t>
      </w:r>
    </w:p>
    <w:p w14:paraId="3AE427AC" w14:textId="77777777" w:rsidR="00467DF9" w:rsidRDefault="00467DF9" w:rsidP="00A86CAC">
      <w:pPr>
        <w:pStyle w:val="AppendixHeading3"/>
      </w:pPr>
      <w:r>
        <w:t>Tertiary Mental Health Services</w:t>
      </w:r>
    </w:p>
    <w:p w14:paraId="36101395" w14:textId="65597F58" w:rsidR="00B868ED" w:rsidRDefault="00B868ED" w:rsidP="00B868ED">
      <w:pPr>
        <w:pStyle w:val="Caption"/>
      </w:pPr>
      <w:bookmarkStart w:id="199" w:name="_Toc108108982"/>
      <w:r>
        <w:t xml:space="preserve">Table </w:t>
      </w:r>
      <w:r>
        <w:fldChar w:fldCharType="begin"/>
      </w:r>
      <w:r>
        <w:instrText>SEQ Table \* ARABIC</w:instrText>
      </w:r>
      <w:r>
        <w:fldChar w:fldCharType="separate"/>
      </w:r>
      <w:r w:rsidR="00CC0438">
        <w:rPr>
          <w:noProof/>
        </w:rPr>
        <w:t>32</w:t>
      </w:r>
      <w:r>
        <w:fldChar w:fldCharType="end"/>
      </w:r>
      <w:r w:rsidR="00CB55B3">
        <w:t>:</w:t>
      </w:r>
      <w:r>
        <w:t xml:space="preserve"> </w:t>
      </w:r>
      <w:r w:rsidRPr="004C6D63">
        <w:t>Stakeholders consulted from</w:t>
      </w:r>
      <w:r>
        <w:t xml:space="preserve"> tertiary mental health services</w:t>
      </w:r>
      <w:bookmarkEnd w:id="19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kholder consultation with tertiary mental health services"/>
        <w:tblDescription w:val="Table summarises the organisation, location and name of each interview participant."/>
      </w:tblPr>
      <w:tblGrid>
        <w:gridCol w:w="2268"/>
        <w:gridCol w:w="2126"/>
        <w:gridCol w:w="4676"/>
      </w:tblGrid>
      <w:tr w:rsidR="00467DF9" w:rsidRPr="001D6913" w14:paraId="039A16CA" w14:textId="77777777" w:rsidTr="00CB55B3">
        <w:trPr>
          <w:tblHeader/>
        </w:trPr>
        <w:tc>
          <w:tcPr>
            <w:tcW w:w="1250" w:type="pct"/>
            <w:tcBorders>
              <w:bottom w:val="single" w:sz="4" w:space="0" w:color="00338D" w:themeColor="background2"/>
            </w:tcBorders>
            <w:shd w:val="clear" w:color="auto" w:fill="00338D" w:themeFill="background2"/>
          </w:tcPr>
          <w:p w14:paraId="5DD2D523" w14:textId="77777777" w:rsidR="00467DF9" w:rsidRPr="001D6913" w:rsidRDefault="00467DF9" w:rsidP="00CB55B3">
            <w:pPr>
              <w:pStyle w:val="Tableheading"/>
            </w:pPr>
            <w:r w:rsidRPr="001D6913">
              <w:t>Organisation</w:t>
            </w:r>
          </w:p>
        </w:tc>
        <w:tc>
          <w:tcPr>
            <w:tcW w:w="1172" w:type="pct"/>
            <w:tcBorders>
              <w:bottom w:val="single" w:sz="4" w:space="0" w:color="00338D" w:themeColor="background2"/>
            </w:tcBorders>
            <w:shd w:val="clear" w:color="auto" w:fill="00338D" w:themeFill="background2"/>
          </w:tcPr>
          <w:p w14:paraId="7C478FE1" w14:textId="77777777" w:rsidR="00467DF9" w:rsidRPr="001D6913" w:rsidRDefault="00467DF9" w:rsidP="00CB55B3">
            <w:pPr>
              <w:pStyle w:val="Tableheading"/>
            </w:pPr>
            <w:r w:rsidRPr="001D6913">
              <w:t>Location</w:t>
            </w:r>
          </w:p>
        </w:tc>
        <w:tc>
          <w:tcPr>
            <w:tcW w:w="2578" w:type="pct"/>
            <w:tcBorders>
              <w:bottom w:val="single" w:sz="4" w:space="0" w:color="00338D" w:themeColor="background2"/>
            </w:tcBorders>
            <w:shd w:val="clear" w:color="auto" w:fill="00338D" w:themeFill="background2"/>
          </w:tcPr>
          <w:p w14:paraId="6067A7B8" w14:textId="77777777" w:rsidR="00467DF9" w:rsidRPr="001D6913" w:rsidRDefault="00467DF9" w:rsidP="00CB55B3">
            <w:pPr>
              <w:pStyle w:val="Tableheading"/>
            </w:pPr>
            <w:r w:rsidRPr="001D6913">
              <w:t>Attendee Name</w:t>
            </w:r>
          </w:p>
        </w:tc>
      </w:tr>
      <w:tr w:rsidR="00467DF9" w:rsidRPr="001D6913" w14:paraId="360F86A2" w14:textId="77777777" w:rsidTr="00CB55B3">
        <w:tc>
          <w:tcPr>
            <w:tcW w:w="1250" w:type="pct"/>
            <w:tcBorders>
              <w:top w:val="single" w:sz="2" w:space="0" w:color="808080" w:themeColor="background1" w:themeShade="80"/>
              <w:bottom w:val="single" w:sz="2" w:space="0" w:color="808080" w:themeColor="background1" w:themeShade="80"/>
            </w:tcBorders>
          </w:tcPr>
          <w:p w14:paraId="4968E7CC" w14:textId="77777777" w:rsidR="00467DF9" w:rsidRPr="001D6913" w:rsidRDefault="00467DF9" w:rsidP="00CB55B3">
            <w:pPr>
              <w:pStyle w:val="Tabletext"/>
            </w:pPr>
            <w:r w:rsidRPr="001D6913">
              <w:t>Bega Child and Adolescent Mental Health Services</w:t>
            </w:r>
          </w:p>
        </w:tc>
        <w:tc>
          <w:tcPr>
            <w:tcW w:w="1172" w:type="pct"/>
            <w:tcBorders>
              <w:top w:val="single" w:sz="2" w:space="0" w:color="808080" w:themeColor="background1" w:themeShade="80"/>
              <w:bottom w:val="single" w:sz="2" w:space="0" w:color="808080" w:themeColor="background1" w:themeShade="80"/>
            </w:tcBorders>
          </w:tcPr>
          <w:p w14:paraId="58916196" w14:textId="77777777" w:rsidR="00467DF9" w:rsidRPr="001D6913" w:rsidRDefault="00467DF9" w:rsidP="00CB55B3">
            <w:pPr>
              <w:pStyle w:val="Tabletext"/>
            </w:pPr>
            <w:r w:rsidRPr="001D6913">
              <w:t>Bega, New South Wales</w:t>
            </w:r>
          </w:p>
        </w:tc>
        <w:tc>
          <w:tcPr>
            <w:tcW w:w="2578" w:type="pct"/>
            <w:tcBorders>
              <w:top w:val="single" w:sz="2" w:space="0" w:color="808080" w:themeColor="background1" w:themeShade="80"/>
              <w:bottom w:val="single" w:sz="2" w:space="0" w:color="808080" w:themeColor="background1" w:themeShade="80"/>
            </w:tcBorders>
          </w:tcPr>
          <w:p w14:paraId="5C59A795" w14:textId="77777777" w:rsidR="00467DF9" w:rsidRPr="001D6913" w:rsidRDefault="00467DF9" w:rsidP="008263BB">
            <w:pPr>
              <w:pStyle w:val="TableBullet1"/>
            </w:pPr>
            <w:r w:rsidRPr="001D6913">
              <w:t>Acting Manager, Community Mental Health</w:t>
            </w:r>
          </w:p>
          <w:p w14:paraId="767EF523" w14:textId="77777777" w:rsidR="00467DF9" w:rsidRPr="001D6913" w:rsidRDefault="00467DF9" w:rsidP="008263BB">
            <w:pPr>
              <w:pStyle w:val="TableBullet1"/>
            </w:pPr>
            <w:r w:rsidRPr="001D6913">
              <w:t>Adult Clinical Leader</w:t>
            </w:r>
          </w:p>
          <w:p w14:paraId="7F8F4323" w14:textId="77777777" w:rsidR="00467DF9" w:rsidRPr="001D6913" w:rsidRDefault="00467DF9" w:rsidP="008263BB">
            <w:pPr>
              <w:pStyle w:val="TableBullet1"/>
            </w:pPr>
            <w:r w:rsidRPr="001D6913">
              <w:t>CAMHS Clinical Leader</w:t>
            </w:r>
          </w:p>
        </w:tc>
      </w:tr>
      <w:tr w:rsidR="00467DF9" w:rsidRPr="001D6913" w14:paraId="5A1F2879" w14:textId="77777777" w:rsidTr="00CB55B3">
        <w:tc>
          <w:tcPr>
            <w:tcW w:w="1250" w:type="pct"/>
            <w:tcBorders>
              <w:top w:val="single" w:sz="2" w:space="0" w:color="808080" w:themeColor="background1" w:themeShade="80"/>
              <w:bottom w:val="single" w:sz="2" w:space="0" w:color="808080" w:themeColor="background1" w:themeShade="80"/>
            </w:tcBorders>
          </w:tcPr>
          <w:p w14:paraId="0CACC481" w14:textId="77777777" w:rsidR="00467DF9" w:rsidRPr="001D6913" w:rsidRDefault="00467DF9" w:rsidP="00CB55B3">
            <w:pPr>
              <w:pStyle w:val="Tabletext"/>
            </w:pPr>
            <w:r w:rsidRPr="001D6913">
              <w:t>Victorian Child and Adolescent Mental Health Services</w:t>
            </w:r>
          </w:p>
        </w:tc>
        <w:tc>
          <w:tcPr>
            <w:tcW w:w="1172" w:type="pct"/>
            <w:tcBorders>
              <w:top w:val="single" w:sz="2" w:space="0" w:color="808080" w:themeColor="background1" w:themeShade="80"/>
              <w:bottom w:val="single" w:sz="2" w:space="0" w:color="808080" w:themeColor="background1" w:themeShade="80"/>
            </w:tcBorders>
          </w:tcPr>
          <w:p w14:paraId="5AFB3F8F" w14:textId="77777777" w:rsidR="00467DF9" w:rsidRPr="001D6913" w:rsidRDefault="00467DF9" w:rsidP="00CB55B3">
            <w:pPr>
              <w:pStyle w:val="Tabletext"/>
            </w:pPr>
            <w:r w:rsidRPr="001D6913">
              <w:t>Across all of Victoria</w:t>
            </w:r>
          </w:p>
        </w:tc>
        <w:tc>
          <w:tcPr>
            <w:tcW w:w="2578" w:type="pct"/>
            <w:tcBorders>
              <w:top w:val="single" w:sz="2" w:space="0" w:color="808080" w:themeColor="background1" w:themeShade="80"/>
              <w:bottom w:val="single" w:sz="2" w:space="0" w:color="808080" w:themeColor="background1" w:themeShade="80"/>
            </w:tcBorders>
          </w:tcPr>
          <w:p w14:paraId="73C241B7" w14:textId="77777777" w:rsidR="00467DF9" w:rsidRPr="001D6913" w:rsidRDefault="00467DF9" w:rsidP="008263BB">
            <w:pPr>
              <w:pStyle w:val="TableBullet1"/>
            </w:pPr>
            <w:r w:rsidRPr="00C36F1A">
              <w:t>Clinical Director of the Alfred Child and Youth Mental Health Service and headspace</w:t>
            </w:r>
          </w:p>
          <w:p w14:paraId="7E5FF17A" w14:textId="77777777" w:rsidR="00467DF9" w:rsidRPr="001D6913" w:rsidRDefault="00467DF9" w:rsidP="008263BB">
            <w:pPr>
              <w:pStyle w:val="TableBullet1"/>
            </w:pPr>
            <w:r w:rsidRPr="00C36F1A">
              <w:t>Executive Director - Orygen</w:t>
            </w:r>
          </w:p>
          <w:p w14:paraId="41BFDA05" w14:textId="77777777" w:rsidR="00467DF9" w:rsidRPr="001D6913" w:rsidRDefault="00467DF9" w:rsidP="008263BB">
            <w:pPr>
              <w:pStyle w:val="TableBullet1"/>
            </w:pPr>
            <w:r w:rsidRPr="00C36F1A">
              <w:t>Associate Program Director CYMHS – Eastern Health</w:t>
            </w:r>
          </w:p>
          <w:p w14:paraId="781BBFAA" w14:textId="77777777" w:rsidR="00467DF9" w:rsidRPr="001D6913" w:rsidRDefault="00467DF9" w:rsidP="008263BB">
            <w:pPr>
              <w:pStyle w:val="TableBullet1"/>
            </w:pPr>
            <w:r w:rsidRPr="00C36F1A">
              <w:t>Divisional Manager – Child and Youth Mental Health Service at Austin Health</w:t>
            </w:r>
          </w:p>
          <w:p w14:paraId="5B94D265" w14:textId="77777777" w:rsidR="00467DF9" w:rsidRPr="001D6913" w:rsidRDefault="00467DF9" w:rsidP="008263BB">
            <w:pPr>
              <w:pStyle w:val="TableBullet1"/>
            </w:pPr>
            <w:r w:rsidRPr="00C36F1A">
              <w:t>Manager</w:t>
            </w:r>
            <w:r w:rsidRPr="001D6913">
              <w:t xml:space="preserve"> for </w:t>
            </w:r>
            <w:r w:rsidRPr="00C36F1A">
              <w:t>Albury</w:t>
            </w:r>
            <w:r w:rsidRPr="001D6913">
              <w:t xml:space="preserve">-Wodonga </w:t>
            </w:r>
            <w:r w:rsidRPr="00C36F1A">
              <w:t>Health</w:t>
            </w:r>
            <w:r w:rsidRPr="001D6913">
              <w:t xml:space="preserve"> (regional)</w:t>
            </w:r>
          </w:p>
          <w:p w14:paraId="77584D6C" w14:textId="77777777" w:rsidR="00467DF9" w:rsidRPr="001D6913" w:rsidRDefault="00467DF9" w:rsidP="008263BB">
            <w:pPr>
              <w:pStyle w:val="TableBullet1"/>
            </w:pPr>
            <w:r w:rsidRPr="00C36F1A">
              <w:t>Manager -</w:t>
            </w:r>
            <w:r w:rsidRPr="001D6913">
              <w:t xml:space="preserve"> Monash Health</w:t>
            </w:r>
          </w:p>
          <w:p w14:paraId="119F152F" w14:textId="77777777" w:rsidR="00467DF9" w:rsidRPr="001D6913" w:rsidRDefault="00467DF9" w:rsidP="008263BB">
            <w:pPr>
              <w:pStyle w:val="TableBullet1"/>
            </w:pPr>
            <w:r>
              <w:t>C</w:t>
            </w:r>
            <w:r w:rsidRPr="001C777F">
              <w:t xml:space="preserve">linical director of the CYMHS program </w:t>
            </w:r>
            <w:r w:rsidRPr="00C36F1A">
              <w:t>– Goulburn Valley, Shepparton</w:t>
            </w:r>
          </w:p>
          <w:p w14:paraId="1EFC63C0" w14:textId="77777777" w:rsidR="00467DF9" w:rsidRPr="001D6913" w:rsidRDefault="00467DF9" w:rsidP="008263BB">
            <w:pPr>
              <w:pStyle w:val="TableBullet1"/>
            </w:pPr>
            <w:r w:rsidRPr="00C36F1A">
              <w:t>Manager</w:t>
            </w:r>
            <w:r w:rsidRPr="001D6913">
              <w:t xml:space="preserve"> of Goulburn Valley CAMHS</w:t>
            </w:r>
          </w:p>
          <w:p w14:paraId="538B6EA7" w14:textId="77777777" w:rsidR="00467DF9" w:rsidRPr="001D6913" w:rsidRDefault="00467DF9" w:rsidP="008263BB">
            <w:pPr>
              <w:pStyle w:val="TableBullet1"/>
            </w:pPr>
            <w:r w:rsidRPr="00C36F1A">
              <w:t>Manager at</w:t>
            </w:r>
            <w:r w:rsidRPr="001D6913">
              <w:t xml:space="preserve"> Ballarat CAMHS</w:t>
            </w:r>
          </w:p>
          <w:p w14:paraId="2720D576" w14:textId="77777777" w:rsidR="00467DF9" w:rsidRPr="001D6913" w:rsidRDefault="00467DF9" w:rsidP="008263BB">
            <w:pPr>
              <w:pStyle w:val="TableBullet1"/>
            </w:pPr>
            <w:r w:rsidRPr="00C36F1A">
              <w:t>Clinical psychologist, Monash Health</w:t>
            </w:r>
          </w:p>
          <w:p w14:paraId="31A9CCB6" w14:textId="77777777" w:rsidR="00467DF9" w:rsidRPr="001D6913" w:rsidRDefault="00467DF9" w:rsidP="008263BB">
            <w:pPr>
              <w:pStyle w:val="TableBullet1"/>
            </w:pPr>
            <w:r w:rsidRPr="00C36F1A">
              <w:t>Clinical psychiatrist, B</w:t>
            </w:r>
            <w:r>
              <w:t>endigo Health</w:t>
            </w:r>
          </w:p>
        </w:tc>
      </w:tr>
    </w:tbl>
    <w:p w14:paraId="31B77702" w14:textId="77777777" w:rsidR="00386195" w:rsidRDefault="00386195" w:rsidP="001268EC">
      <w:pPr>
        <w:pStyle w:val="Source"/>
      </w:pPr>
      <w:r w:rsidRPr="00055013">
        <w:t>Source: KPMG</w:t>
      </w:r>
      <w:r>
        <w:t xml:space="preserve"> 2022</w:t>
      </w:r>
    </w:p>
    <w:p w14:paraId="7860994C" w14:textId="3B492BDC" w:rsidR="00467DF9" w:rsidRDefault="00467DF9" w:rsidP="00A86CAC">
      <w:pPr>
        <w:pStyle w:val="AppendixHeading3"/>
      </w:pPr>
      <w:r>
        <w:t>General Practitioners</w:t>
      </w:r>
    </w:p>
    <w:p w14:paraId="2254EF5C" w14:textId="3818DE47" w:rsidR="00B868ED" w:rsidRDefault="00B868ED" w:rsidP="00B868ED">
      <w:pPr>
        <w:pStyle w:val="Caption"/>
      </w:pPr>
      <w:bookmarkStart w:id="200" w:name="_Toc108108983"/>
      <w:r>
        <w:t xml:space="preserve">Table </w:t>
      </w:r>
      <w:r>
        <w:fldChar w:fldCharType="begin"/>
      </w:r>
      <w:r>
        <w:instrText>SEQ Table \* ARABIC</w:instrText>
      </w:r>
      <w:r>
        <w:fldChar w:fldCharType="separate"/>
      </w:r>
      <w:r w:rsidR="00CC0438">
        <w:rPr>
          <w:noProof/>
        </w:rPr>
        <w:t>33</w:t>
      </w:r>
      <w:r>
        <w:fldChar w:fldCharType="end"/>
      </w:r>
      <w:r w:rsidR="00CB55B3">
        <w:t>:</w:t>
      </w:r>
      <w:r>
        <w:t xml:space="preserve"> General Practitioners consulted</w:t>
      </w:r>
      <w:bookmarkEnd w:id="20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General Practitioners consulted"/>
        <w:tblDescription w:val="Table summarises the organisation, location and name of each interview participant."/>
      </w:tblPr>
      <w:tblGrid>
        <w:gridCol w:w="9070"/>
      </w:tblGrid>
      <w:tr w:rsidR="00C00C2F" w:rsidRPr="001D6913" w14:paraId="183ED90A" w14:textId="77777777" w:rsidTr="00C00C2F">
        <w:trPr>
          <w:tblHeader/>
        </w:trPr>
        <w:tc>
          <w:tcPr>
            <w:tcW w:w="5000" w:type="pct"/>
            <w:tcBorders>
              <w:bottom w:val="single" w:sz="4" w:space="0" w:color="00338D" w:themeColor="background2"/>
            </w:tcBorders>
            <w:shd w:val="clear" w:color="auto" w:fill="00338D" w:themeFill="background2"/>
          </w:tcPr>
          <w:p w14:paraId="0D0E5ABF" w14:textId="77777777" w:rsidR="00C00C2F" w:rsidRPr="001D6913" w:rsidRDefault="00C00C2F" w:rsidP="00CB55B3">
            <w:pPr>
              <w:pStyle w:val="Tableheading"/>
            </w:pPr>
            <w:r w:rsidRPr="001D6913">
              <w:t>Location</w:t>
            </w:r>
          </w:p>
        </w:tc>
      </w:tr>
      <w:tr w:rsidR="00C00C2F" w:rsidRPr="001D6913" w14:paraId="6664780E" w14:textId="77777777" w:rsidTr="00C00C2F">
        <w:tc>
          <w:tcPr>
            <w:tcW w:w="5000" w:type="pct"/>
            <w:tcBorders>
              <w:top w:val="single" w:sz="2" w:space="0" w:color="808080" w:themeColor="background1" w:themeShade="80"/>
              <w:bottom w:val="single" w:sz="2" w:space="0" w:color="808080" w:themeColor="background1" w:themeShade="80"/>
            </w:tcBorders>
          </w:tcPr>
          <w:p w14:paraId="6438CABC" w14:textId="77777777" w:rsidR="00C00C2F" w:rsidRPr="001D6913" w:rsidRDefault="00C00C2F" w:rsidP="00CB55B3">
            <w:pPr>
              <w:pStyle w:val="Tabletext"/>
            </w:pPr>
            <w:r w:rsidRPr="001D6913">
              <w:t>Bega, New South Wales</w:t>
            </w:r>
          </w:p>
        </w:tc>
      </w:tr>
      <w:tr w:rsidR="00C00C2F" w:rsidRPr="001D6913" w14:paraId="452B6804" w14:textId="77777777" w:rsidTr="00C00C2F">
        <w:tc>
          <w:tcPr>
            <w:tcW w:w="5000" w:type="pct"/>
            <w:tcBorders>
              <w:top w:val="single" w:sz="2" w:space="0" w:color="808080" w:themeColor="background1" w:themeShade="80"/>
              <w:bottom w:val="single" w:sz="2" w:space="0" w:color="808080" w:themeColor="background1" w:themeShade="80"/>
            </w:tcBorders>
          </w:tcPr>
          <w:p w14:paraId="41C7EEFA" w14:textId="77777777" w:rsidR="00C00C2F" w:rsidRPr="001D6913" w:rsidRDefault="00C00C2F" w:rsidP="00CB55B3">
            <w:pPr>
              <w:pStyle w:val="Tabletext"/>
            </w:pPr>
            <w:r>
              <w:t>Mount Isa, Queensland</w:t>
            </w:r>
          </w:p>
        </w:tc>
      </w:tr>
      <w:tr w:rsidR="00C00C2F" w:rsidRPr="001D6913" w14:paraId="01F02F21" w14:textId="77777777" w:rsidTr="00C00C2F">
        <w:tc>
          <w:tcPr>
            <w:tcW w:w="5000" w:type="pct"/>
            <w:tcBorders>
              <w:top w:val="single" w:sz="2" w:space="0" w:color="808080" w:themeColor="background1" w:themeShade="80"/>
              <w:bottom w:val="single" w:sz="2" w:space="0" w:color="808080" w:themeColor="background1" w:themeShade="80"/>
            </w:tcBorders>
          </w:tcPr>
          <w:p w14:paraId="7EF6F90F" w14:textId="526D2B1C" w:rsidR="00C00C2F" w:rsidRDefault="00C00C2F" w:rsidP="00CB55B3">
            <w:pPr>
              <w:pStyle w:val="Tabletext"/>
            </w:pPr>
            <w:r>
              <w:t>Gold Coast, Queensland</w:t>
            </w:r>
          </w:p>
        </w:tc>
      </w:tr>
      <w:tr w:rsidR="00C00C2F" w:rsidRPr="001D6913" w14:paraId="08AFE437" w14:textId="77777777" w:rsidTr="00C00C2F">
        <w:tc>
          <w:tcPr>
            <w:tcW w:w="5000" w:type="pct"/>
            <w:tcBorders>
              <w:top w:val="single" w:sz="2" w:space="0" w:color="808080" w:themeColor="background1" w:themeShade="80"/>
              <w:bottom w:val="single" w:sz="2" w:space="0" w:color="808080" w:themeColor="background1" w:themeShade="80"/>
            </w:tcBorders>
          </w:tcPr>
          <w:p w14:paraId="75877ED8" w14:textId="36844ECE" w:rsidR="00C00C2F" w:rsidRDefault="00C00C2F" w:rsidP="00CB55B3">
            <w:pPr>
              <w:pStyle w:val="Tabletext"/>
            </w:pPr>
            <w:r>
              <w:t>Katherine, NT</w:t>
            </w:r>
          </w:p>
        </w:tc>
      </w:tr>
      <w:tr w:rsidR="00C00C2F" w:rsidRPr="001D6913" w14:paraId="4181806E" w14:textId="77777777" w:rsidTr="00C00C2F">
        <w:tc>
          <w:tcPr>
            <w:tcW w:w="5000" w:type="pct"/>
            <w:tcBorders>
              <w:top w:val="single" w:sz="2" w:space="0" w:color="808080" w:themeColor="background1" w:themeShade="80"/>
              <w:bottom w:val="single" w:sz="2" w:space="0" w:color="808080" w:themeColor="background1" w:themeShade="80"/>
            </w:tcBorders>
          </w:tcPr>
          <w:p w14:paraId="32E2CA8E" w14:textId="2880245E" w:rsidR="00C00C2F" w:rsidRDefault="00C00C2F" w:rsidP="00CB55B3">
            <w:pPr>
              <w:pStyle w:val="Tabletext"/>
            </w:pPr>
            <w:r>
              <w:t xml:space="preserve">Gympie, Queensland </w:t>
            </w:r>
          </w:p>
        </w:tc>
      </w:tr>
    </w:tbl>
    <w:p w14:paraId="50842835" w14:textId="77777777" w:rsidR="00386195" w:rsidRDefault="00386195" w:rsidP="00740EE1">
      <w:pPr>
        <w:pStyle w:val="Source"/>
      </w:pPr>
      <w:r w:rsidRPr="00055013">
        <w:t>Source: KPMG</w:t>
      </w:r>
      <w:r>
        <w:t xml:space="preserve"> 2022</w:t>
      </w:r>
    </w:p>
    <w:p w14:paraId="2D424A47" w14:textId="77777777" w:rsidR="00467DF9" w:rsidRDefault="00467DF9" w:rsidP="00A86CAC">
      <w:pPr>
        <w:pStyle w:val="AppendixHeading3"/>
      </w:pPr>
      <w:r>
        <w:t xml:space="preserve">headspace National </w:t>
      </w:r>
    </w:p>
    <w:p w14:paraId="33C211BC" w14:textId="65A89A23" w:rsidR="00B868ED" w:rsidRDefault="00B868ED" w:rsidP="00B868ED">
      <w:pPr>
        <w:pStyle w:val="Caption"/>
      </w:pPr>
      <w:bookmarkStart w:id="201" w:name="_Toc108108984"/>
      <w:r>
        <w:t xml:space="preserve">Table </w:t>
      </w:r>
      <w:r>
        <w:fldChar w:fldCharType="begin"/>
      </w:r>
      <w:r>
        <w:instrText>SEQ Table \* ARABIC</w:instrText>
      </w:r>
      <w:r>
        <w:fldChar w:fldCharType="separate"/>
      </w:r>
      <w:r w:rsidR="00CC0438">
        <w:rPr>
          <w:noProof/>
        </w:rPr>
        <w:t>34</w:t>
      </w:r>
      <w:r>
        <w:fldChar w:fldCharType="end"/>
      </w:r>
      <w:r w:rsidR="00CB55B3">
        <w:t>:</w:t>
      </w:r>
      <w:r>
        <w:t xml:space="preserve"> </w:t>
      </w:r>
      <w:r w:rsidRPr="00300E76">
        <w:t>Stakeholders consulted from</w:t>
      </w:r>
      <w:r>
        <w:t xml:space="preserve"> headspace National</w:t>
      </w:r>
      <w:bookmarkEnd w:id="20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keholders consulted from headspace National"/>
        <w:tblDescription w:val="Table summarises the organisation, location and name of each interview participant."/>
      </w:tblPr>
      <w:tblGrid>
        <w:gridCol w:w="2268"/>
        <w:gridCol w:w="2126"/>
        <w:gridCol w:w="4676"/>
      </w:tblGrid>
      <w:tr w:rsidR="00467DF9" w:rsidRPr="001D6913" w14:paraId="7DCA25B9" w14:textId="77777777" w:rsidTr="00CB55B3">
        <w:trPr>
          <w:tblHeader/>
        </w:trPr>
        <w:tc>
          <w:tcPr>
            <w:tcW w:w="1250" w:type="pct"/>
            <w:tcBorders>
              <w:bottom w:val="single" w:sz="4" w:space="0" w:color="00338D" w:themeColor="background2"/>
            </w:tcBorders>
            <w:shd w:val="clear" w:color="auto" w:fill="00338D" w:themeFill="background2"/>
          </w:tcPr>
          <w:p w14:paraId="6328640D" w14:textId="77777777" w:rsidR="00467DF9" w:rsidRPr="001D6913" w:rsidRDefault="00467DF9" w:rsidP="00CB55B3">
            <w:pPr>
              <w:pStyle w:val="Tableheading"/>
            </w:pPr>
            <w:r w:rsidRPr="001D6913">
              <w:t>Organisation</w:t>
            </w:r>
          </w:p>
        </w:tc>
        <w:tc>
          <w:tcPr>
            <w:tcW w:w="1172" w:type="pct"/>
            <w:tcBorders>
              <w:bottom w:val="single" w:sz="4" w:space="0" w:color="00338D" w:themeColor="background2"/>
            </w:tcBorders>
            <w:shd w:val="clear" w:color="auto" w:fill="00338D" w:themeFill="background2"/>
          </w:tcPr>
          <w:p w14:paraId="1F9333E5" w14:textId="77777777" w:rsidR="00467DF9" w:rsidRPr="001D6913" w:rsidRDefault="00467DF9" w:rsidP="00CB55B3">
            <w:pPr>
              <w:pStyle w:val="Tableheading"/>
            </w:pPr>
            <w:r w:rsidRPr="001D6913">
              <w:t>Location</w:t>
            </w:r>
          </w:p>
        </w:tc>
        <w:tc>
          <w:tcPr>
            <w:tcW w:w="2578" w:type="pct"/>
            <w:tcBorders>
              <w:bottom w:val="single" w:sz="4" w:space="0" w:color="00338D" w:themeColor="background2"/>
            </w:tcBorders>
            <w:shd w:val="clear" w:color="auto" w:fill="00338D" w:themeFill="background2"/>
          </w:tcPr>
          <w:p w14:paraId="6D3AA49E" w14:textId="77777777" w:rsidR="00467DF9" w:rsidRPr="001D6913" w:rsidRDefault="00467DF9" w:rsidP="00CB55B3">
            <w:pPr>
              <w:pStyle w:val="Tableheading"/>
            </w:pPr>
            <w:r w:rsidRPr="001D6913">
              <w:t>Attendee Name</w:t>
            </w:r>
          </w:p>
        </w:tc>
      </w:tr>
      <w:tr w:rsidR="00467DF9" w:rsidRPr="001D6913" w14:paraId="4B531C11" w14:textId="77777777" w:rsidTr="00CB55B3">
        <w:tc>
          <w:tcPr>
            <w:tcW w:w="1250" w:type="pct"/>
            <w:tcBorders>
              <w:top w:val="single" w:sz="2" w:space="0" w:color="808080" w:themeColor="background1" w:themeShade="80"/>
              <w:bottom w:val="single" w:sz="2" w:space="0" w:color="808080" w:themeColor="background1" w:themeShade="80"/>
            </w:tcBorders>
          </w:tcPr>
          <w:p w14:paraId="4F1632CD" w14:textId="339B30CA" w:rsidR="00467DF9" w:rsidRPr="001D6913" w:rsidRDefault="00467DF9" w:rsidP="00CB55B3">
            <w:pPr>
              <w:pStyle w:val="Tabletext"/>
            </w:pPr>
            <w:r w:rsidRPr="001D6913">
              <w:t>headspace National</w:t>
            </w:r>
            <w:r w:rsidR="004F37E3">
              <w:t xml:space="preserve"> Executive</w:t>
            </w:r>
          </w:p>
        </w:tc>
        <w:tc>
          <w:tcPr>
            <w:tcW w:w="1172" w:type="pct"/>
            <w:tcBorders>
              <w:top w:val="single" w:sz="2" w:space="0" w:color="808080" w:themeColor="background1" w:themeShade="80"/>
              <w:bottom w:val="single" w:sz="2" w:space="0" w:color="808080" w:themeColor="background1" w:themeShade="80"/>
            </w:tcBorders>
          </w:tcPr>
          <w:p w14:paraId="21A7C169" w14:textId="77777777" w:rsidR="00467DF9" w:rsidRPr="001D6913" w:rsidRDefault="00467DF9" w:rsidP="00CB55B3">
            <w:pPr>
              <w:pStyle w:val="Tabletext"/>
            </w:pPr>
            <w:r w:rsidRPr="001D6913">
              <w:t>Melbourne, Victoria</w:t>
            </w:r>
          </w:p>
        </w:tc>
        <w:tc>
          <w:tcPr>
            <w:tcW w:w="2578" w:type="pct"/>
            <w:tcBorders>
              <w:top w:val="single" w:sz="2" w:space="0" w:color="808080" w:themeColor="background1" w:themeShade="80"/>
              <w:bottom w:val="single" w:sz="2" w:space="0" w:color="808080" w:themeColor="background1" w:themeShade="80"/>
            </w:tcBorders>
          </w:tcPr>
          <w:p w14:paraId="3BB391F1" w14:textId="77777777" w:rsidR="00467DF9" w:rsidRDefault="00467DF9" w:rsidP="008263BB">
            <w:pPr>
              <w:pStyle w:val="TableBullet1"/>
            </w:pPr>
            <w:r w:rsidRPr="00A446DC">
              <w:t>Executive Director, Strategy, Impact and Policy</w:t>
            </w:r>
          </w:p>
          <w:p w14:paraId="72F29840" w14:textId="77777777" w:rsidR="00467DF9" w:rsidRPr="001D6913" w:rsidRDefault="00467DF9" w:rsidP="008263BB">
            <w:pPr>
              <w:pStyle w:val="TableBullet1"/>
            </w:pPr>
            <w:r w:rsidRPr="001D6913">
              <w:t xml:space="preserve">Chief Operating Officer </w:t>
            </w:r>
          </w:p>
          <w:p w14:paraId="5FC7B6F3" w14:textId="77777777" w:rsidR="00467DF9" w:rsidRPr="001D6913" w:rsidRDefault="00467DF9" w:rsidP="008263BB">
            <w:pPr>
              <w:pStyle w:val="TableBullet1"/>
            </w:pPr>
            <w:r w:rsidRPr="001D6913">
              <w:t xml:space="preserve">Head of Centre Services </w:t>
            </w:r>
          </w:p>
          <w:p w14:paraId="0BC2711B" w14:textId="77777777" w:rsidR="00467DF9" w:rsidRPr="001D6913" w:rsidRDefault="00467DF9" w:rsidP="008263BB">
            <w:pPr>
              <w:pStyle w:val="TableBullet1"/>
            </w:pPr>
            <w:r w:rsidRPr="001D6913">
              <w:t xml:space="preserve">Head of Clinical Leadership </w:t>
            </w:r>
          </w:p>
          <w:p w14:paraId="3D79D0B5" w14:textId="77777777" w:rsidR="00467DF9" w:rsidRPr="001D6913" w:rsidRDefault="00467DF9" w:rsidP="008263BB">
            <w:pPr>
              <w:pStyle w:val="TableBullet1"/>
            </w:pPr>
            <w:r w:rsidRPr="001D6913">
              <w:t xml:space="preserve">National Centre Services Manager </w:t>
            </w:r>
          </w:p>
          <w:p w14:paraId="05487691" w14:textId="77777777" w:rsidR="00467DF9" w:rsidRPr="001D6913" w:rsidRDefault="00467DF9" w:rsidP="008263BB">
            <w:pPr>
              <w:pStyle w:val="TableBullet1"/>
            </w:pPr>
            <w:r w:rsidRPr="001D6913">
              <w:t xml:space="preserve">Chief Scientific Advisor </w:t>
            </w:r>
          </w:p>
          <w:p w14:paraId="47F93EBD" w14:textId="77777777" w:rsidR="00467DF9" w:rsidRPr="001D6913" w:rsidRDefault="00467DF9" w:rsidP="008263BB">
            <w:pPr>
              <w:pStyle w:val="TableBullet1"/>
            </w:pPr>
            <w:r w:rsidRPr="001D6913">
              <w:t>Executive Director Clinical Practice</w:t>
            </w:r>
          </w:p>
          <w:p w14:paraId="3FE8BCFD" w14:textId="77777777" w:rsidR="00467DF9" w:rsidRPr="001D6913" w:rsidRDefault="00467DF9" w:rsidP="008263BB">
            <w:pPr>
              <w:pStyle w:val="TableBullet1"/>
            </w:pPr>
            <w:r w:rsidRPr="001D6913">
              <w:t xml:space="preserve">Evaluation Manager </w:t>
            </w:r>
          </w:p>
          <w:p w14:paraId="5EA71811" w14:textId="77777777" w:rsidR="00467DF9" w:rsidRPr="001D6913" w:rsidRDefault="00467DF9" w:rsidP="008263BB">
            <w:pPr>
              <w:pStyle w:val="TableBullet1"/>
            </w:pPr>
            <w:r w:rsidRPr="001D6913">
              <w:t>Evaluation Team Lead – Centre-based services</w:t>
            </w:r>
          </w:p>
        </w:tc>
      </w:tr>
      <w:tr w:rsidR="004F37E3" w:rsidRPr="001D6913" w14:paraId="6F43527D" w14:textId="77777777" w:rsidTr="00CB55B3">
        <w:tc>
          <w:tcPr>
            <w:tcW w:w="1250" w:type="pct"/>
            <w:tcBorders>
              <w:top w:val="single" w:sz="2" w:space="0" w:color="808080" w:themeColor="background1" w:themeShade="80"/>
              <w:bottom w:val="single" w:sz="2" w:space="0" w:color="808080" w:themeColor="background1" w:themeShade="80"/>
            </w:tcBorders>
          </w:tcPr>
          <w:p w14:paraId="53A18C78" w14:textId="64FB3B04" w:rsidR="004F37E3" w:rsidRPr="001D6913" w:rsidRDefault="004F37E3" w:rsidP="00CB55B3">
            <w:pPr>
              <w:pStyle w:val="Tabletext"/>
            </w:pPr>
            <w:r>
              <w:t>headspace National Board</w:t>
            </w:r>
          </w:p>
        </w:tc>
        <w:tc>
          <w:tcPr>
            <w:tcW w:w="1172" w:type="pct"/>
            <w:tcBorders>
              <w:top w:val="single" w:sz="2" w:space="0" w:color="808080" w:themeColor="background1" w:themeShade="80"/>
              <w:bottom w:val="single" w:sz="2" w:space="0" w:color="808080" w:themeColor="background1" w:themeShade="80"/>
            </w:tcBorders>
          </w:tcPr>
          <w:p w14:paraId="7796B553" w14:textId="6DCDD96D" w:rsidR="004F37E3" w:rsidRPr="001D6913" w:rsidRDefault="004F37E3" w:rsidP="00CB55B3">
            <w:pPr>
              <w:pStyle w:val="Tabletext"/>
            </w:pPr>
            <w:r>
              <w:t>Melbourne, Victoria</w:t>
            </w:r>
          </w:p>
        </w:tc>
        <w:tc>
          <w:tcPr>
            <w:tcW w:w="2578" w:type="pct"/>
            <w:tcBorders>
              <w:top w:val="single" w:sz="2" w:space="0" w:color="808080" w:themeColor="background1" w:themeShade="80"/>
              <w:bottom w:val="single" w:sz="2" w:space="0" w:color="808080" w:themeColor="background1" w:themeShade="80"/>
            </w:tcBorders>
          </w:tcPr>
          <w:p w14:paraId="2768E70E" w14:textId="02F7EBF2" w:rsidR="004F37E3" w:rsidRDefault="00492EF4" w:rsidP="008263BB">
            <w:pPr>
              <w:pStyle w:val="TableBullet1"/>
            </w:pPr>
            <w:r>
              <w:t>Board Chair</w:t>
            </w:r>
          </w:p>
          <w:p w14:paraId="7C23472D" w14:textId="323F02E9" w:rsidR="006A500B" w:rsidRDefault="006A500B" w:rsidP="008263BB">
            <w:pPr>
              <w:pStyle w:val="TableBullet1"/>
            </w:pPr>
            <w:r>
              <w:t>Three Board Members</w:t>
            </w:r>
          </w:p>
          <w:p w14:paraId="6BB73A45" w14:textId="6330861B" w:rsidR="00794446" w:rsidRPr="00A446DC" w:rsidRDefault="00794446" w:rsidP="008263BB">
            <w:pPr>
              <w:pStyle w:val="TableBullet1"/>
            </w:pPr>
            <w:r>
              <w:t>Youth Advisor to the Board</w:t>
            </w:r>
          </w:p>
        </w:tc>
      </w:tr>
    </w:tbl>
    <w:p w14:paraId="0B135B55" w14:textId="7E1785F7" w:rsidR="00D21844" w:rsidRDefault="00386195" w:rsidP="001268EC">
      <w:pPr>
        <w:pStyle w:val="Source"/>
      </w:pPr>
      <w:r w:rsidRPr="00055013">
        <w:t>Source: KPMG</w:t>
      </w:r>
      <w:r>
        <w:t xml:space="preserve"> 2022</w:t>
      </w:r>
    </w:p>
    <w:p w14:paraId="677B4B0A" w14:textId="77777777" w:rsidR="00D21844" w:rsidRDefault="00D21844">
      <w:pPr>
        <w:spacing w:before="0" w:after="160" w:line="259" w:lineRule="auto"/>
        <w:rPr>
          <w:sz w:val="16"/>
          <w:szCs w:val="18"/>
        </w:rPr>
      </w:pPr>
      <w:r>
        <w:br w:type="page"/>
      </w:r>
    </w:p>
    <w:p w14:paraId="4E68947D" w14:textId="17336FFF" w:rsidR="00467DF9" w:rsidRDefault="00467DF9" w:rsidP="00A86CAC">
      <w:pPr>
        <w:pStyle w:val="AppendixHeading3"/>
      </w:pPr>
      <w:r>
        <w:t>Commonwealth Government</w:t>
      </w:r>
    </w:p>
    <w:p w14:paraId="5A3D6AD4" w14:textId="4CB7F94B" w:rsidR="00B868ED" w:rsidRDefault="00B868ED" w:rsidP="00B868ED">
      <w:pPr>
        <w:pStyle w:val="Caption"/>
      </w:pPr>
      <w:bookmarkStart w:id="202" w:name="_Toc108108985"/>
      <w:r>
        <w:t xml:space="preserve">Table </w:t>
      </w:r>
      <w:r>
        <w:fldChar w:fldCharType="begin"/>
      </w:r>
      <w:r>
        <w:instrText>SEQ Table \* ARABIC</w:instrText>
      </w:r>
      <w:r>
        <w:fldChar w:fldCharType="separate"/>
      </w:r>
      <w:r w:rsidR="00CC0438">
        <w:rPr>
          <w:noProof/>
        </w:rPr>
        <w:t>35</w:t>
      </w:r>
      <w:r>
        <w:fldChar w:fldCharType="end"/>
      </w:r>
      <w:r w:rsidR="00CB55B3">
        <w:t>:</w:t>
      </w:r>
      <w:r>
        <w:t xml:space="preserve"> </w:t>
      </w:r>
      <w:r w:rsidRPr="0018499A">
        <w:t>Stakeholders consulted from</w:t>
      </w:r>
      <w:r>
        <w:t xml:space="preserve"> Commonwealth Government</w:t>
      </w:r>
      <w:bookmarkEnd w:id="20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keholders consulted from Commonwealth Government"/>
        <w:tblDescription w:val="Table summarises the organisation, location and name of each interview participant."/>
      </w:tblPr>
      <w:tblGrid>
        <w:gridCol w:w="2268"/>
        <w:gridCol w:w="2126"/>
        <w:gridCol w:w="4676"/>
      </w:tblGrid>
      <w:tr w:rsidR="00467DF9" w:rsidRPr="001D6913" w14:paraId="33AEE324" w14:textId="77777777" w:rsidTr="00CB55B3">
        <w:trPr>
          <w:tblHeader/>
        </w:trPr>
        <w:tc>
          <w:tcPr>
            <w:tcW w:w="1250" w:type="pct"/>
            <w:tcBorders>
              <w:bottom w:val="single" w:sz="4" w:space="0" w:color="00338D" w:themeColor="background2"/>
            </w:tcBorders>
            <w:shd w:val="clear" w:color="auto" w:fill="00338D" w:themeFill="background2"/>
          </w:tcPr>
          <w:p w14:paraId="1D1550DC" w14:textId="77777777" w:rsidR="00467DF9" w:rsidRPr="001D6913" w:rsidRDefault="00467DF9" w:rsidP="00CB55B3">
            <w:pPr>
              <w:pStyle w:val="Tableheading"/>
            </w:pPr>
            <w:r w:rsidRPr="001D6913">
              <w:t>Organisation</w:t>
            </w:r>
          </w:p>
        </w:tc>
        <w:tc>
          <w:tcPr>
            <w:tcW w:w="1172" w:type="pct"/>
            <w:tcBorders>
              <w:bottom w:val="single" w:sz="4" w:space="0" w:color="00338D" w:themeColor="background2"/>
            </w:tcBorders>
            <w:shd w:val="clear" w:color="auto" w:fill="00338D" w:themeFill="background2"/>
          </w:tcPr>
          <w:p w14:paraId="55CBCC68" w14:textId="77777777" w:rsidR="00467DF9" w:rsidRPr="001D6913" w:rsidRDefault="00467DF9" w:rsidP="00CB55B3">
            <w:pPr>
              <w:pStyle w:val="Tableheading"/>
            </w:pPr>
            <w:r w:rsidRPr="001D6913">
              <w:t>Location</w:t>
            </w:r>
          </w:p>
        </w:tc>
        <w:tc>
          <w:tcPr>
            <w:tcW w:w="2578" w:type="pct"/>
            <w:tcBorders>
              <w:bottom w:val="single" w:sz="4" w:space="0" w:color="00338D" w:themeColor="background2"/>
            </w:tcBorders>
            <w:shd w:val="clear" w:color="auto" w:fill="00338D" w:themeFill="background2"/>
          </w:tcPr>
          <w:p w14:paraId="066D8C60" w14:textId="77777777" w:rsidR="00467DF9" w:rsidRPr="001D6913" w:rsidRDefault="00467DF9" w:rsidP="00CB55B3">
            <w:pPr>
              <w:pStyle w:val="Tableheading"/>
            </w:pPr>
            <w:r w:rsidRPr="001D6913">
              <w:t>Attendee Name</w:t>
            </w:r>
          </w:p>
        </w:tc>
      </w:tr>
      <w:tr w:rsidR="00467DF9" w:rsidRPr="001D6913" w14:paraId="612CE611" w14:textId="77777777" w:rsidTr="00CB55B3">
        <w:tc>
          <w:tcPr>
            <w:tcW w:w="1250" w:type="pct"/>
            <w:tcBorders>
              <w:top w:val="single" w:sz="2" w:space="0" w:color="808080" w:themeColor="background1" w:themeShade="80"/>
              <w:bottom w:val="single" w:sz="2" w:space="0" w:color="808080" w:themeColor="background1" w:themeShade="80"/>
            </w:tcBorders>
          </w:tcPr>
          <w:p w14:paraId="574CB29F" w14:textId="77777777" w:rsidR="00467DF9" w:rsidRPr="001D6913" w:rsidRDefault="00467DF9" w:rsidP="00CB55B3">
            <w:pPr>
              <w:pStyle w:val="Tabletext"/>
            </w:pPr>
            <w:r w:rsidRPr="001D6913">
              <w:t>Department of Health</w:t>
            </w:r>
          </w:p>
        </w:tc>
        <w:tc>
          <w:tcPr>
            <w:tcW w:w="1172" w:type="pct"/>
            <w:tcBorders>
              <w:top w:val="single" w:sz="2" w:space="0" w:color="808080" w:themeColor="background1" w:themeShade="80"/>
              <w:bottom w:val="single" w:sz="2" w:space="0" w:color="808080" w:themeColor="background1" w:themeShade="80"/>
            </w:tcBorders>
          </w:tcPr>
          <w:p w14:paraId="346D4FBC" w14:textId="77777777" w:rsidR="00467DF9" w:rsidRPr="001D6913" w:rsidRDefault="00467DF9" w:rsidP="00CB55B3">
            <w:pPr>
              <w:pStyle w:val="Tabletext"/>
            </w:pPr>
            <w:r>
              <w:t>ACT</w:t>
            </w:r>
          </w:p>
        </w:tc>
        <w:tc>
          <w:tcPr>
            <w:tcW w:w="2578" w:type="pct"/>
            <w:tcBorders>
              <w:top w:val="single" w:sz="2" w:space="0" w:color="808080" w:themeColor="background1" w:themeShade="80"/>
              <w:bottom w:val="single" w:sz="2" w:space="0" w:color="808080" w:themeColor="background1" w:themeShade="80"/>
            </w:tcBorders>
          </w:tcPr>
          <w:p w14:paraId="6098AE32" w14:textId="77777777" w:rsidR="00467DF9" w:rsidRPr="001D6913" w:rsidRDefault="00467DF9" w:rsidP="008263BB">
            <w:pPr>
              <w:pStyle w:val="TableBullet1"/>
            </w:pPr>
            <w:r w:rsidRPr="001D6913">
              <w:t>First Assistant Secretary - Mental Health Division</w:t>
            </w:r>
          </w:p>
          <w:p w14:paraId="5C5F9844" w14:textId="77777777" w:rsidR="00467DF9" w:rsidRPr="001D6913" w:rsidRDefault="00467DF9" w:rsidP="008263BB">
            <w:pPr>
              <w:pStyle w:val="TableBullet1"/>
            </w:pPr>
            <w:r w:rsidRPr="001D6913">
              <w:t xml:space="preserve">First Assistant Secretary - Population Health Division </w:t>
            </w:r>
          </w:p>
          <w:p w14:paraId="5A615C51" w14:textId="77777777" w:rsidR="00467DF9" w:rsidRDefault="00467DF9" w:rsidP="008263BB">
            <w:pPr>
              <w:pStyle w:val="TableBullet1"/>
            </w:pPr>
            <w:r w:rsidRPr="001D6913">
              <w:t>First Assistant Secretary - Indigenous Health Division</w:t>
            </w:r>
          </w:p>
          <w:p w14:paraId="641F73AE" w14:textId="6374DBD5" w:rsidR="00467DF9" w:rsidRPr="001D6913" w:rsidRDefault="00467DF9" w:rsidP="008263BB">
            <w:pPr>
              <w:pStyle w:val="TableBullet1"/>
            </w:pPr>
            <w:r w:rsidRPr="001D6913">
              <w:t xml:space="preserve">Assistant Secretary </w:t>
            </w:r>
            <w:r w:rsidR="00D0451A">
              <w:t>-</w:t>
            </w:r>
            <w:r w:rsidRPr="001D6913">
              <w:t xml:space="preserve"> Mental Health Services and Evidence Branch </w:t>
            </w:r>
          </w:p>
          <w:p w14:paraId="25A5B567" w14:textId="77777777" w:rsidR="00467DF9" w:rsidRPr="001D6913" w:rsidRDefault="00467DF9" w:rsidP="008263BB">
            <w:pPr>
              <w:pStyle w:val="TableBullet1"/>
            </w:pPr>
            <w:r w:rsidRPr="001D6913">
              <w:t>Assistant Secretary – Primary Health Networks Branch</w:t>
            </w:r>
          </w:p>
        </w:tc>
      </w:tr>
    </w:tbl>
    <w:p w14:paraId="22DDB1B5" w14:textId="77777777" w:rsidR="00386195" w:rsidRDefault="00386195" w:rsidP="00740EE1">
      <w:pPr>
        <w:pStyle w:val="Source"/>
      </w:pPr>
      <w:r w:rsidRPr="00055013">
        <w:t>Source: KPMG</w:t>
      </w:r>
      <w:r>
        <w:t xml:space="preserve"> 2022</w:t>
      </w:r>
    </w:p>
    <w:p w14:paraId="1282F61E" w14:textId="77777777" w:rsidR="00467DF9" w:rsidRDefault="00467DF9" w:rsidP="00A86CAC">
      <w:pPr>
        <w:pStyle w:val="AppendixHeading3"/>
      </w:pPr>
      <w:r>
        <w:t>State and Territory Governments</w:t>
      </w:r>
    </w:p>
    <w:p w14:paraId="0A041469" w14:textId="7D09906A" w:rsidR="00B868ED" w:rsidRDefault="00B868ED" w:rsidP="00B868ED">
      <w:pPr>
        <w:pStyle w:val="Caption"/>
      </w:pPr>
      <w:bookmarkStart w:id="203" w:name="_Toc108108986"/>
      <w:r>
        <w:t xml:space="preserve">Table </w:t>
      </w:r>
      <w:r>
        <w:fldChar w:fldCharType="begin"/>
      </w:r>
      <w:r>
        <w:instrText>SEQ Table \* ARABIC</w:instrText>
      </w:r>
      <w:r>
        <w:fldChar w:fldCharType="separate"/>
      </w:r>
      <w:r w:rsidR="00CC0438">
        <w:rPr>
          <w:noProof/>
        </w:rPr>
        <w:t>36</w:t>
      </w:r>
      <w:r>
        <w:fldChar w:fldCharType="end"/>
      </w:r>
      <w:r w:rsidR="00CB55B3">
        <w:t>:</w:t>
      </w:r>
      <w:r>
        <w:t xml:space="preserve"> </w:t>
      </w:r>
      <w:r w:rsidRPr="00564712">
        <w:t>Stakeholders consulted from</w:t>
      </w:r>
      <w:r>
        <w:t xml:space="preserve"> State and Territory Governments</w:t>
      </w:r>
      <w:bookmarkEnd w:id="20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keholder consultations with state and territory governments"/>
        <w:tblDescription w:val="Table summarises the organisation, location and name of each interview participant."/>
      </w:tblPr>
      <w:tblGrid>
        <w:gridCol w:w="2268"/>
        <w:gridCol w:w="2126"/>
        <w:gridCol w:w="4676"/>
      </w:tblGrid>
      <w:tr w:rsidR="00467DF9" w:rsidRPr="001D6913" w14:paraId="0982B04D" w14:textId="77777777" w:rsidTr="00CB55B3">
        <w:trPr>
          <w:tblHeader/>
        </w:trPr>
        <w:tc>
          <w:tcPr>
            <w:tcW w:w="1250" w:type="pct"/>
            <w:tcBorders>
              <w:bottom w:val="single" w:sz="4" w:space="0" w:color="00338D" w:themeColor="background2"/>
            </w:tcBorders>
            <w:shd w:val="clear" w:color="auto" w:fill="00338D" w:themeFill="background2"/>
          </w:tcPr>
          <w:p w14:paraId="45288B81" w14:textId="77777777" w:rsidR="00467DF9" w:rsidRPr="001D6913" w:rsidRDefault="00467DF9" w:rsidP="00CB55B3">
            <w:pPr>
              <w:pStyle w:val="Tableheading"/>
            </w:pPr>
            <w:r w:rsidRPr="001D6913">
              <w:t>Organisation</w:t>
            </w:r>
          </w:p>
        </w:tc>
        <w:tc>
          <w:tcPr>
            <w:tcW w:w="1172" w:type="pct"/>
            <w:tcBorders>
              <w:bottom w:val="single" w:sz="4" w:space="0" w:color="00338D" w:themeColor="background2"/>
            </w:tcBorders>
            <w:shd w:val="clear" w:color="auto" w:fill="00338D" w:themeFill="background2"/>
          </w:tcPr>
          <w:p w14:paraId="3F7CACF4" w14:textId="77777777" w:rsidR="00467DF9" w:rsidRPr="001D6913" w:rsidRDefault="00467DF9" w:rsidP="00CB55B3">
            <w:pPr>
              <w:pStyle w:val="Tableheading"/>
            </w:pPr>
            <w:r w:rsidRPr="001D6913">
              <w:t>Location</w:t>
            </w:r>
          </w:p>
        </w:tc>
        <w:tc>
          <w:tcPr>
            <w:tcW w:w="2578" w:type="pct"/>
            <w:tcBorders>
              <w:bottom w:val="single" w:sz="4" w:space="0" w:color="00338D" w:themeColor="background2"/>
            </w:tcBorders>
            <w:shd w:val="clear" w:color="auto" w:fill="00338D" w:themeFill="background2"/>
          </w:tcPr>
          <w:p w14:paraId="2D03E55B" w14:textId="77777777" w:rsidR="00467DF9" w:rsidRPr="001D6913" w:rsidRDefault="00467DF9" w:rsidP="00CB55B3">
            <w:pPr>
              <w:pStyle w:val="Tableheading"/>
            </w:pPr>
            <w:r w:rsidRPr="001D6913">
              <w:t>Attendee Name</w:t>
            </w:r>
          </w:p>
        </w:tc>
      </w:tr>
      <w:tr w:rsidR="00467DF9" w:rsidRPr="001D6913" w14:paraId="0BD99D27" w14:textId="77777777" w:rsidTr="00CB55B3">
        <w:tc>
          <w:tcPr>
            <w:tcW w:w="1250" w:type="pct"/>
            <w:tcBorders>
              <w:top w:val="single" w:sz="2" w:space="0" w:color="808080" w:themeColor="background1" w:themeShade="80"/>
              <w:bottom w:val="single" w:sz="2" w:space="0" w:color="808080" w:themeColor="background1" w:themeShade="80"/>
            </w:tcBorders>
          </w:tcPr>
          <w:p w14:paraId="75B21E16" w14:textId="77777777" w:rsidR="00467DF9" w:rsidRPr="001D6913" w:rsidRDefault="00467DF9" w:rsidP="00CB55B3">
            <w:pPr>
              <w:pStyle w:val="Tabletext"/>
            </w:pPr>
            <w:r w:rsidRPr="005828BE">
              <w:t>ACT Office of Mental Health and Wellbeing</w:t>
            </w:r>
          </w:p>
        </w:tc>
        <w:tc>
          <w:tcPr>
            <w:tcW w:w="1172" w:type="pct"/>
            <w:tcBorders>
              <w:top w:val="single" w:sz="2" w:space="0" w:color="808080" w:themeColor="background1" w:themeShade="80"/>
              <w:bottom w:val="single" w:sz="2" w:space="0" w:color="808080" w:themeColor="background1" w:themeShade="80"/>
            </w:tcBorders>
          </w:tcPr>
          <w:p w14:paraId="4D3920F6" w14:textId="77777777" w:rsidR="00467DF9" w:rsidRPr="001D6913" w:rsidRDefault="00467DF9" w:rsidP="00CB55B3">
            <w:pPr>
              <w:pStyle w:val="Tabletext"/>
            </w:pPr>
            <w:r>
              <w:t>ACT</w:t>
            </w:r>
          </w:p>
        </w:tc>
        <w:tc>
          <w:tcPr>
            <w:tcW w:w="2578" w:type="pct"/>
            <w:tcBorders>
              <w:top w:val="single" w:sz="2" w:space="0" w:color="808080" w:themeColor="background1" w:themeShade="80"/>
              <w:bottom w:val="single" w:sz="2" w:space="0" w:color="808080" w:themeColor="background1" w:themeShade="80"/>
            </w:tcBorders>
          </w:tcPr>
          <w:p w14:paraId="23B257A8" w14:textId="77777777" w:rsidR="00467DF9" w:rsidRPr="001D6913" w:rsidRDefault="00467DF9" w:rsidP="008263BB">
            <w:pPr>
              <w:pStyle w:val="TableBullet1"/>
            </w:pPr>
            <w:r w:rsidRPr="00C16E7C">
              <w:t>Suicide Prevention Officer</w:t>
            </w:r>
          </w:p>
        </w:tc>
      </w:tr>
      <w:tr w:rsidR="00467DF9" w:rsidRPr="001D6913" w14:paraId="4EED2E82" w14:textId="77777777" w:rsidTr="00CB55B3">
        <w:tc>
          <w:tcPr>
            <w:tcW w:w="1250" w:type="pct"/>
            <w:tcBorders>
              <w:top w:val="single" w:sz="2" w:space="0" w:color="808080" w:themeColor="background1" w:themeShade="80"/>
              <w:bottom w:val="single" w:sz="2" w:space="0" w:color="808080" w:themeColor="background1" w:themeShade="80"/>
            </w:tcBorders>
          </w:tcPr>
          <w:p w14:paraId="366EA1D5" w14:textId="77777777" w:rsidR="00467DF9" w:rsidRPr="001D6913" w:rsidRDefault="00467DF9" w:rsidP="00CB55B3">
            <w:pPr>
              <w:pStyle w:val="Tabletext"/>
            </w:pPr>
            <w:r w:rsidRPr="00453331">
              <w:t>Mental Health Commission of NSW</w:t>
            </w:r>
          </w:p>
        </w:tc>
        <w:tc>
          <w:tcPr>
            <w:tcW w:w="1172" w:type="pct"/>
            <w:tcBorders>
              <w:top w:val="single" w:sz="2" w:space="0" w:color="808080" w:themeColor="background1" w:themeShade="80"/>
              <w:bottom w:val="single" w:sz="2" w:space="0" w:color="808080" w:themeColor="background1" w:themeShade="80"/>
            </w:tcBorders>
          </w:tcPr>
          <w:p w14:paraId="4D4338DA" w14:textId="77777777" w:rsidR="00467DF9" w:rsidRPr="001D6913" w:rsidRDefault="00467DF9" w:rsidP="00CB55B3">
            <w:pPr>
              <w:pStyle w:val="Tabletext"/>
            </w:pPr>
            <w:r>
              <w:t>NSW</w:t>
            </w:r>
          </w:p>
        </w:tc>
        <w:tc>
          <w:tcPr>
            <w:tcW w:w="2578" w:type="pct"/>
            <w:tcBorders>
              <w:top w:val="single" w:sz="2" w:space="0" w:color="808080" w:themeColor="background1" w:themeShade="80"/>
              <w:bottom w:val="single" w:sz="2" w:space="0" w:color="808080" w:themeColor="background1" w:themeShade="80"/>
            </w:tcBorders>
          </w:tcPr>
          <w:p w14:paraId="26E8E02F" w14:textId="77777777" w:rsidR="00467DF9" w:rsidRPr="001D6913" w:rsidRDefault="00467DF9" w:rsidP="008263BB">
            <w:pPr>
              <w:pStyle w:val="TableBullet1"/>
            </w:pPr>
            <w:r w:rsidRPr="0038699C">
              <w:t>Deputy Commissioner</w:t>
            </w:r>
          </w:p>
        </w:tc>
      </w:tr>
      <w:tr w:rsidR="00467DF9" w:rsidRPr="001D6913" w14:paraId="33EB1552" w14:textId="77777777" w:rsidTr="00CB55B3">
        <w:tc>
          <w:tcPr>
            <w:tcW w:w="1250" w:type="pct"/>
            <w:tcBorders>
              <w:top w:val="single" w:sz="2" w:space="0" w:color="808080" w:themeColor="background1" w:themeShade="80"/>
              <w:bottom w:val="single" w:sz="2" w:space="0" w:color="808080" w:themeColor="background1" w:themeShade="80"/>
            </w:tcBorders>
          </w:tcPr>
          <w:p w14:paraId="7C1E1D58" w14:textId="77777777" w:rsidR="00467DF9" w:rsidRPr="001D6913" w:rsidRDefault="00467DF9" w:rsidP="00CB55B3">
            <w:pPr>
              <w:pStyle w:val="Tabletext"/>
            </w:pPr>
            <w:r w:rsidRPr="00453331">
              <w:t>Health NSW</w:t>
            </w:r>
          </w:p>
        </w:tc>
        <w:tc>
          <w:tcPr>
            <w:tcW w:w="1172" w:type="pct"/>
            <w:tcBorders>
              <w:top w:val="single" w:sz="2" w:space="0" w:color="808080" w:themeColor="background1" w:themeShade="80"/>
              <w:bottom w:val="single" w:sz="2" w:space="0" w:color="808080" w:themeColor="background1" w:themeShade="80"/>
            </w:tcBorders>
          </w:tcPr>
          <w:p w14:paraId="2A58BD4B" w14:textId="77777777" w:rsidR="00467DF9" w:rsidRPr="001D6913" w:rsidRDefault="00467DF9" w:rsidP="00CB55B3">
            <w:pPr>
              <w:pStyle w:val="Tabletext"/>
            </w:pPr>
            <w:r>
              <w:t>NSW</w:t>
            </w:r>
          </w:p>
        </w:tc>
        <w:tc>
          <w:tcPr>
            <w:tcW w:w="2578" w:type="pct"/>
            <w:tcBorders>
              <w:top w:val="single" w:sz="2" w:space="0" w:color="808080" w:themeColor="background1" w:themeShade="80"/>
              <w:bottom w:val="single" w:sz="2" w:space="0" w:color="808080" w:themeColor="background1" w:themeShade="80"/>
            </w:tcBorders>
          </w:tcPr>
          <w:p w14:paraId="2962B7B2" w14:textId="77777777" w:rsidR="00467DF9" w:rsidRDefault="00467DF9" w:rsidP="008263BB">
            <w:pPr>
              <w:pStyle w:val="TableBullet1"/>
            </w:pPr>
            <w:r>
              <w:t xml:space="preserve">Executive Director, Mental Health Branch </w:t>
            </w:r>
          </w:p>
          <w:p w14:paraId="4B2DEC26" w14:textId="2EEBA71B" w:rsidR="00467DF9" w:rsidRDefault="00467DF9" w:rsidP="008263BB">
            <w:pPr>
              <w:pStyle w:val="TableBullet1"/>
            </w:pPr>
            <w:r>
              <w:t>Senior Clinical Advisor, Child and Youth Mental Health/Senior Child and Adolescent</w:t>
            </w:r>
            <w:r w:rsidR="00730B4D">
              <w:t xml:space="preserve"> </w:t>
            </w:r>
          </w:p>
          <w:p w14:paraId="3BC94865" w14:textId="256F57D5" w:rsidR="00467DF9" w:rsidRPr="001D6913" w:rsidRDefault="00467DF9" w:rsidP="008263BB">
            <w:pPr>
              <w:pStyle w:val="TableBullet1"/>
            </w:pPr>
            <w:r>
              <w:t xml:space="preserve">Senior Manager, </w:t>
            </w:r>
            <w:r w:rsidR="005B29DA">
              <w:t>Mental Health – Children and Young People</w:t>
            </w:r>
          </w:p>
        </w:tc>
      </w:tr>
      <w:tr w:rsidR="00467DF9" w:rsidRPr="001D6913" w14:paraId="103998E8" w14:textId="77777777" w:rsidTr="00CB55B3">
        <w:trPr>
          <w:trHeight w:val="1077"/>
        </w:trPr>
        <w:tc>
          <w:tcPr>
            <w:tcW w:w="1250" w:type="pct"/>
            <w:tcBorders>
              <w:top w:val="single" w:sz="2" w:space="0" w:color="808080" w:themeColor="background1" w:themeShade="80"/>
              <w:bottom w:val="single" w:sz="2" w:space="0" w:color="808080" w:themeColor="background1" w:themeShade="80"/>
            </w:tcBorders>
            <w:vAlign w:val="center"/>
          </w:tcPr>
          <w:p w14:paraId="5C9DC154" w14:textId="77777777" w:rsidR="00467DF9" w:rsidRPr="001D6913" w:rsidRDefault="00467DF9" w:rsidP="00CB55B3">
            <w:pPr>
              <w:pStyle w:val="Tabletext"/>
            </w:pPr>
            <w:r w:rsidRPr="0025444B">
              <w:t>Mental Health Alcohol and Other Drugs Branch, NT Health</w:t>
            </w:r>
          </w:p>
        </w:tc>
        <w:tc>
          <w:tcPr>
            <w:tcW w:w="1172" w:type="pct"/>
            <w:tcBorders>
              <w:top w:val="single" w:sz="2" w:space="0" w:color="808080" w:themeColor="background1" w:themeShade="80"/>
              <w:bottom w:val="single" w:sz="2" w:space="0" w:color="808080" w:themeColor="background1" w:themeShade="80"/>
            </w:tcBorders>
          </w:tcPr>
          <w:p w14:paraId="2B0EABDA" w14:textId="77777777" w:rsidR="00467DF9" w:rsidRPr="001D6913" w:rsidRDefault="00467DF9" w:rsidP="00CB55B3">
            <w:pPr>
              <w:pStyle w:val="Tabletext"/>
            </w:pPr>
            <w:r>
              <w:t>NT</w:t>
            </w:r>
          </w:p>
        </w:tc>
        <w:tc>
          <w:tcPr>
            <w:tcW w:w="2578" w:type="pct"/>
            <w:tcBorders>
              <w:top w:val="single" w:sz="2" w:space="0" w:color="808080" w:themeColor="background1" w:themeShade="80"/>
              <w:bottom w:val="single" w:sz="2" w:space="0" w:color="808080" w:themeColor="background1" w:themeShade="80"/>
            </w:tcBorders>
          </w:tcPr>
          <w:p w14:paraId="6CE39918" w14:textId="77777777" w:rsidR="00467DF9" w:rsidRDefault="00467DF9" w:rsidP="008263BB">
            <w:pPr>
              <w:pStyle w:val="TableBullet1"/>
            </w:pPr>
            <w:r w:rsidRPr="00AA0CFB">
              <w:t>Senior Director</w:t>
            </w:r>
          </w:p>
          <w:p w14:paraId="727511D2" w14:textId="77777777" w:rsidR="00467DF9" w:rsidRPr="001D6913" w:rsidRDefault="00467DF9" w:rsidP="008263BB">
            <w:pPr>
              <w:pStyle w:val="TableBullet1"/>
            </w:pPr>
            <w:r w:rsidRPr="003823EA">
              <w:t>Suicide Prevention Coordinator</w:t>
            </w:r>
          </w:p>
        </w:tc>
      </w:tr>
      <w:tr w:rsidR="00467DF9" w:rsidRPr="001D6913" w14:paraId="797916C6" w14:textId="77777777" w:rsidTr="00CB55B3">
        <w:tc>
          <w:tcPr>
            <w:tcW w:w="1250" w:type="pct"/>
            <w:tcBorders>
              <w:top w:val="single" w:sz="2" w:space="0" w:color="808080" w:themeColor="background1" w:themeShade="80"/>
              <w:bottom w:val="single" w:sz="2" w:space="0" w:color="808080" w:themeColor="background1" w:themeShade="80"/>
            </w:tcBorders>
            <w:vAlign w:val="center"/>
          </w:tcPr>
          <w:p w14:paraId="0CABBA40" w14:textId="77777777" w:rsidR="00467DF9" w:rsidRPr="001D6913" w:rsidRDefault="00467DF9" w:rsidP="00CB55B3">
            <w:pPr>
              <w:pStyle w:val="Tabletext"/>
            </w:pPr>
            <w:r w:rsidRPr="0012217F">
              <w:t>Queensland Mental Health Commission</w:t>
            </w:r>
          </w:p>
        </w:tc>
        <w:tc>
          <w:tcPr>
            <w:tcW w:w="1172" w:type="pct"/>
            <w:tcBorders>
              <w:top w:val="single" w:sz="2" w:space="0" w:color="808080" w:themeColor="background1" w:themeShade="80"/>
              <w:bottom w:val="single" w:sz="2" w:space="0" w:color="808080" w:themeColor="background1" w:themeShade="80"/>
            </w:tcBorders>
          </w:tcPr>
          <w:p w14:paraId="3314E50B" w14:textId="77777777" w:rsidR="00467DF9" w:rsidRPr="001D6913" w:rsidRDefault="00467DF9" w:rsidP="00CB55B3">
            <w:pPr>
              <w:pStyle w:val="Tabletext"/>
            </w:pPr>
            <w:r>
              <w:t>QLD</w:t>
            </w:r>
          </w:p>
        </w:tc>
        <w:tc>
          <w:tcPr>
            <w:tcW w:w="2578" w:type="pct"/>
            <w:tcBorders>
              <w:top w:val="single" w:sz="2" w:space="0" w:color="808080" w:themeColor="background1" w:themeShade="80"/>
              <w:bottom w:val="single" w:sz="2" w:space="0" w:color="808080" w:themeColor="background1" w:themeShade="80"/>
            </w:tcBorders>
          </w:tcPr>
          <w:p w14:paraId="43A3AEE3" w14:textId="77777777" w:rsidR="00467DF9" w:rsidRPr="001D6913" w:rsidRDefault="00467DF9" w:rsidP="008263BB">
            <w:pPr>
              <w:pStyle w:val="TableBullet1"/>
            </w:pPr>
            <w:r>
              <w:t>Commissioner</w:t>
            </w:r>
          </w:p>
        </w:tc>
      </w:tr>
      <w:tr w:rsidR="00467DF9" w:rsidRPr="00453331" w14:paraId="4D1B7198" w14:textId="77777777" w:rsidTr="00CB55B3">
        <w:tc>
          <w:tcPr>
            <w:tcW w:w="1250" w:type="pct"/>
            <w:tcBorders>
              <w:top w:val="single" w:sz="2" w:space="0" w:color="808080" w:themeColor="background1" w:themeShade="80"/>
              <w:bottom w:val="single" w:sz="2" w:space="0" w:color="808080" w:themeColor="background1" w:themeShade="80"/>
            </w:tcBorders>
            <w:vAlign w:val="center"/>
          </w:tcPr>
          <w:p w14:paraId="356BA1BE" w14:textId="77777777" w:rsidR="00467DF9" w:rsidRPr="0012217F" w:rsidRDefault="00467DF9" w:rsidP="00CB55B3">
            <w:pPr>
              <w:spacing w:before="0" w:after="0"/>
            </w:pPr>
            <w:r w:rsidRPr="0012217F">
              <w:t>Queensland Health’s Mental Health, Alcohol and Other Drugs Branch</w:t>
            </w:r>
          </w:p>
        </w:tc>
        <w:tc>
          <w:tcPr>
            <w:tcW w:w="1172" w:type="pct"/>
            <w:tcBorders>
              <w:top w:val="single" w:sz="2" w:space="0" w:color="808080" w:themeColor="background1" w:themeShade="80"/>
              <w:bottom w:val="single" w:sz="2" w:space="0" w:color="808080" w:themeColor="background1" w:themeShade="80"/>
            </w:tcBorders>
          </w:tcPr>
          <w:p w14:paraId="7D28BA94" w14:textId="77777777" w:rsidR="00467DF9" w:rsidRPr="00453331" w:rsidRDefault="00467DF9" w:rsidP="00CB55B3">
            <w:pPr>
              <w:pStyle w:val="Tabletext"/>
            </w:pPr>
            <w:r>
              <w:t>QLD</w:t>
            </w:r>
          </w:p>
        </w:tc>
        <w:tc>
          <w:tcPr>
            <w:tcW w:w="2578" w:type="pct"/>
            <w:tcBorders>
              <w:top w:val="single" w:sz="2" w:space="0" w:color="808080" w:themeColor="background1" w:themeShade="80"/>
              <w:bottom w:val="single" w:sz="2" w:space="0" w:color="808080" w:themeColor="background1" w:themeShade="80"/>
            </w:tcBorders>
          </w:tcPr>
          <w:p w14:paraId="1E8AC7B0" w14:textId="77777777" w:rsidR="00467DF9" w:rsidRPr="00453331" w:rsidRDefault="00467DF9" w:rsidP="008263BB">
            <w:pPr>
              <w:pStyle w:val="TableBullet1"/>
            </w:pPr>
            <w:r>
              <w:t>Executive Director</w:t>
            </w:r>
          </w:p>
        </w:tc>
      </w:tr>
      <w:tr w:rsidR="00467DF9" w:rsidRPr="00453331" w14:paraId="29C067B4" w14:textId="77777777" w:rsidTr="00CB55B3">
        <w:tc>
          <w:tcPr>
            <w:tcW w:w="1250" w:type="pct"/>
            <w:tcBorders>
              <w:top w:val="single" w:sz="2" w:space="0" w:color="808080" w:themeColor="background1" w:themeShade="80"/>
              <w:bottom w:val="single" w:sz="2" w:space="0" w:color="808080" w:themeColor="background1" w:themeShade="80"/>
            </w:tcBorders>
            <w:vAlign w:val="center"/>
          </w:tcPr>
          <w:p w14:paraId="30E1B913" w14:textId="77777777" w:rsidR="00467DF9" w:rsidRPr="00453331" w:rsidRDefault="00467DF9" w:rsidP="00CB55B3">
            <w:pPr>
              <w:pStyle w:val="Tabletext"/>
            </w:pPr>
            <w:r w:rsidRPr="0012217F">
              <w:t>SA Mental Health Commission</w:t>
            </w:r>
          </w:p>
        </w:tc>
        <w:tc>
          <w:tcPr>
            <w:tcW w:w="1172" w:type="pct"/>
            <w:tcBorders>
              <w:top w:val="single" w:sz="2" w:space="0" w:color="808080" w:themeColor="background1" w:themeShade="80"/>
              <w:bottom w:val="single" w:sz="2" w:space="0" w:color="808080" w:themeColor="background1" w:themeShade="80"/>
            </w:tcBorders>
          </w:tcPr>
          <w:p w14:paraId="5E85D41C" w14:textId="77777777" w:rsidR="00467DF9" w:rsidRPr="00453331" w:rsidRDefault="00467DF9" w:rsidP="00CB55B3">
            <w:pPr>
              <w:pStyle w:val="Tabletext"/>
            </w:pPr>
            <w:r>
              <w:t>SA</w:t>
            </w:r>
          </w:p>
        </w:tc>
        <w:tc>
          <w:tcPr>
            <w:tcW w:w="2578" w:type="pct"/>
            <w:tcBorders>
              <w:top w:val="single" w:sz="2" w:space="0" w:color="808080" w:themeColor="background1" w:themeShade="80"/>
              <w:bottom w:val="single" w:sz="2" w:space="0" w:color="808080" w:themeColor="background1" w:themeShade="80"/>
            </w:tcBorders>
          </w:tcPr>
          <w:p w14:paraId="4F271794" w14:textId="77777777" w:rsidR="00467DF9" w:rsidRPr="00453331" w:rsidRDefault="00467DF9" w:rsidP="008263BB">
            <w:pPr>
              <w:pStyle w:val="TableBullet1"/>
            </w:pPr>
            <w:r w:rsidRPr="00790A8E">
              <w:t>Commissioner</w:t>
            </w:r>
          </w:p>
        </w:tc>
      </w:tr>
      <w:tr w:rsidR="00467DF9" w:rsidRPr="00453331" w14:paraId="6864D823" w14:textId="77777777" w:rsidTr="00CB55B3">
        <w:tc>
          <w:tcPr>
            <w:tcW w:w="1250" w:type="pct"/>
            <w:tcBorders>
              <w:top w:val="single" w:sz="2" w:space="0" w:color="808080" w:themeColor="background1" w:themeShade="80"/>
              <w:bottom w:val="single" w:sz="2" w:space="0" w:color="808080" w:themeColor="background1" w:themeShade="80"/>
            </w:tcBorders>
          </w:tcPr>
          <w:p w14:paraId="55571D2F" w14:textId="77777777" w:rsidR="00467DF9" w:rsidRPr="00453331" w:rsidRDefault="00467DF9" w:rsidP="00CB55B3">
            <w:pPr>
              <w:pStyle w:val="Tabletext"/>
            </w:pPr>
            <w:r w:rsidRPr="0012217F">
              <w:t>Department of Health and Wellbeing SA</w:t>
            </w:r>
          </w:p>
        </w:tc>
        <w:tc>
          <w:tcPr>
            <w:tcW w:w="1172" w:type="pct"/>
            <w:tcBorders>
              <w:top w:val="single" w:sz="2" w:space="0" w:color="808080" w:themeColor="background1" w:themeShade="80"/>
              <w:bottom w:val="single" w:sz="2" w:space="0" w:color="808080" w:themeColor="background1" w:themeShade="80"/>
            </w:tcBorders>
          </w:tcPr>
          <w:p w14:paraId="0A078824" w14:textId="77777777" w:rsidR="00467DF9" w:rsidRPr="00453331" w:rsidRDefault="00467DF9" w:rsidP="00CB55B3">
            <w:pPr>
              <w:pStyle w:val="Tabletext"/>
            </w:pPr>
            <w:r>
              <w:t>SA</w:t>
            </w:r>
          </w:p>
        </w:tc>
        <w:tc>
          <w:tcPr>
            <w:tcW w:w="2578" w:type="pct"/>
            <w:tcBorders>
              <w:top w:val="single" w:sz="2" w:space="0" w:color="808080" w:themeColor="background1" w:themeShade="80"/>
              <w:bottom w:val="single" w:sz="2" w:space="0" w:color="808080" w:themeColor="background1" w:themeShade="80"/>
            </w:tcBorders>
            <w:vAlign w:val="bottom"/>
          </w:tcPr>
          <w:p w14:paraId="5DFE8E6A" w14:textId="77777777" w:rsidR="00467DF9" w:rsidRDefault="00467DF9" w:rsidP="008263BB">
            <w:pPr>
              <w:pStyle w:val="TableBullet1"/>
            </w:pPr>
            <w:r w:rsidRPr="00790A8E">
              <w:t>Director, Policy Planning and Safety, Office of the Chief Psychiatrist</w:t>
            </w:r>
          </w:p>
          <w:p w14:paraId="09AA6156" w14:textId="219C0AC4" w:rsidR="00467DF9" w:rsidRPr="00453331" w:rsidRDefault="00467DF9" w:rsidP="008263BB">
            <w:pPr>
              <w:pStyle w:val="TableBullet1"/>
            </w:pPr>
            <w:r w:rsidRPr="009F6174">
              <w:t xml:space="preserve">Three </w:t>
            </w:r>
            <w:r w:rsidR="00932BE9">
              <w:t xml:space="preserve">departmental </w:t>
            </w:r>
            <w:r w:rsidRPr="009F6174">
              <w:t xml:space="preserve">employees </w:t>
            </w:r>
          </w:p>
        </w:tc>
      </w:tr>
      <w:tr w:rsidR="00467DF9" w:rsidRPr="00453331" w14:paraId="46117E54" w14:textId="77777777" w:rsidTr="00CB55B3">
        <w:tc>
          <w:tcPr>
            <w:tcW w:w="1250" w:type="pct"/>
            <w:tcBorders>
              <w:top w:val="single" w:sz="2" w:space="0" w:color="808080" w:themeColor="background1" w:themeShade="80"/>
              <w:bottom w:val="single" w:sz="2" w:space="0" w:color="808080" w:themeColor="background1" w:themeShade="80"/>
            </w:tcBorders>
          </w:tcPr>
          <w:p w14:paraId="7FC4A3E2" w14:textId="77777777" w:rsidR="00467DF9" w:rsidRPr="00453331" w:rsidRDefault="00467DF9" w:rsidP="00CB55B3">
            <w:pPr>
              <w:pStyle w:val="Tabletext"/>
            </w:pPr>
            <w:r w:rsidRPr="002D49E7">
              <w:t>Mental Health, Alcohol and Other Drugs Section, VIC Department of Health and Human Services</w:t>
            </w:r>
          </w:p>
        </w:tc>
        <w:tc>
          <w:tcPr>
            <w:tcW w:w="1172" w:type="pct"/>
            <w:tcBorders>
              <w:top w:val="single" w:sz="2" w:space="0" w:color="808080" w:themeColor="background1" w:themeShade="80"/>
              <w:bottom w:val="single" w:sz="2" w:space="0" w:color="808080" w:themeColor="background1" w:themeShade="80"/>
            </w:tcBorders>
          </w:tcPr>
          <w:p w14:paraId="35D007E5" w14:textId="77777777" w:rsidR="00467DF9" w:rsidRPr="00453331" w:rsidRDefault="00467DF9" w:rsidP="00CB55B3">
            <w:pPr>
              <w:pStyle w:val="Tabletext"/>
            </w:pPr>
            <w:r>
              <w:t>VIC</w:t>
            </w:r>
          </w:p>
        </w:tc>
        <w:tc>
          <w:tcPr>
            <w:tcW w:w="2578" w:type="pct"/>
            <w:tcBorders>
              <w:top w:val="single" w:sz="2" w:space="0" w:color="808080" w:themeColor="background1" w:themeShade="80"/>
              <w:bottom w:val="single" w:sz="2" w:space="0" w:color="808080" w:themeColor="background1" w:themeShade="80"/>
            </w:tcBorders>
          </w:tcPr>
          <w:p w14:paraId="08CB9A29" w14:textId="77777777" w:rsidR="00467DF9" w:rsidRDefault="00467DF9" w:rsidP="008263BB">
            <w:pPr>
              <w:pStyle w:val="TableBullet1"/>
            </w:pPr>
            <w:r w:rsidRPr="00974965">
              <w:t>Executive Director</w:t>
            </w:r>
            <w:r>
              <w:t xml:space="preserve">, </w:t>
            </w:r>
            <w:r w:rsidRPr="00C01249">
              <w:t>Mental Health and AOD System Operations and Commissioning</w:t>
            </w:r>
          </w:p>
          <w:p w14:paraId="05E5D2B1" w14:textId="77777777" w:rsidR="00467DF9" w:rsidRDefault="00467DF9" w:rsidP="008263BB">
            <w:pPr>
              <w:pStyle w:val="TableBullet1"/>
            </w:pPr>
            <w:r>
              <w:t>Manager, 0-25 System Redesign, Programs and Performance - Mental Health Services</w:t>
            </w:r>
          </w:p>
          <w:p w14:paraId="5CD081D4" w14:textId="77777777" w:rsidR="00467DF9" w:rsidRPr="00453331" w:rsidRDefault="00467DF9" w:rsidP="008263BB">
            <w:pPr>
              <w:pStyle w:val="TableBullet1"/>
            </w:pPr>
            <w:r w:rsidRPr="00FC0668">
              <w:t>Chief Adviser</w:t>
            </w:r>
            <w:r>
              <w:t xml:space="preserve"> -</w:t>
            </w:r>
            <w:r w:rsidRPr="00FC0668">
              <w:t>Transformation</w:t>
            </w:r>
            <w:r>
              <w:t xml:space="preserve">, </w:t>
            </w:r>
            <w:r w:rsidRPr="00FC0668">
              <w:t>Mental Health &amp; Wellbeing Division</w:t>
            </w:r>
          </w:p>
        </w:tc>
      </w:tr>
      <w:tr w:rsidR="00467DF9" w:rsidRPr="00453331" w14:paraId="318912AA" w14:textId="77777777" w:rsidTr="00CB55B3">
        <w:trPr>
          <w:trHeight w:val="63"/>
        </w:trPr>
        <w:tc>
          <w:tcPr>
            <w:tcW w:w="1250" w:type="pct"/>
            <w:tcBorders>
              <w:top w:val="single" w:sz="2" w:space="0" w:color="808080" w:themeColor="background1" w:themeShade="80"/>
              <w:bottom w:val="single" w:sz="2" w:space="0" w:color="808080" w:themeColor="background1" w:themeShade="80"/>
            </w:tcBorders>
          </w:tcPr>
          <w:p w14:paraId="28782137" w14:textId="6906F86F" w:rsidR="00467DF9" w:rsidRPr="00453331" w:rsidRDefault="00467DF9" w:rsidP="00CB55B3">
            <w:pPr>
              <w:pStyle w:val="Tabletext"/>
            </w:pPr>
            <w:r w:rsidRPr="00AE2717">
              <w:t>WA Mental Health Commission</w:t>
            </w:r>
          </w:p>
        </w:tc>
        <w:tc>
          <w:tcPr>
            <w:tcW w:w="1172" w:type="pct"/>
            <w:tcBorders>
              <w:top w:val="single" w:sz="2" w:space="0" w:color="808080" w:themeColor="background1" w:themeShade="80"/>
              <w:bottom w:val="single" w:sz="2" w:space="0" w:color="808080" w:themeColor="background1" w:themeShade="80"/>
            </w:tcBorders>
          </w:tcPr>
          <w:p w14:paraId="239F1592" w14:textId="77777777" w:rsidR="00467DF9" w:rsidRPr="00453331" w:rsidRDefault="00467DF9" w:rsidP="00CB55B3">
            <w:pPr>
              <w:pStyle w:val="Tabletext"/>
            </w:pPr>
            <w:r>
              <w:t>WA</w:t>
            </w:r>
          </w:p>
        </w:tc>
        <w:tc>
          <w:tcPr>
            <w:tcW w:w="2578" w:type="pct"/>
            <w:tcBorders>
              <w:top w:val="single" w:sz="2" w:space="0" w:color="808080" w:themeColor="background1" w:themeShade="80"/>
              <w:bottom w:val="single" w:sz="2" w:space="0" w:color="808080" w:themeColor="background1" w:themeShade="80"/>
            </w:tcBorders>
          </w:tcPr>
          <w:p w14:paraId="290B4CAB" w14:textId="77777777" w:rsidR="00467DF9" w:rsidRPr="00453331" w:rsidRDefault="00467DF9" w:rsidP="008263BB">
            <w:pPr>
              <w:pStyle w:val="TableBullet1"/>
            </w:pPr>
            <w:r w:rsidRPr="00F8447E">
              <w:t>Four employees of WA Mental Health Commission</w:t>
            </w:r>
          </w:p>
        </w:tc>
      </w:tr>
      <w:tr w:rsidR="00467DF9" w:rsidRPr="00453331" w14:paraId="5F33122B" w14:textId="77777777" w:rsidTr="00CB55B3">
        <w:tc>
          <w:tcPr>
            <w:tcW w:w="1250" w:type="pct"/>
            <w:tcBorders>
              <w:top w:val="single" w:sz="2" w:space="0" w:color="808080" w:themeColor="background1" w:themeShade="80"/>
              <w:bottom w:val="single" w:sz="2" w:space="0" w:color="808080" w:themeColor="background1" w:themeShade="80"/>
            </w:tcBorders>
          </w:tcPr>
          <w:p w14:paraId="729DD5BA" w14:textId="77777777" w:rsidR="00467DF9" w:rsidRPr="00453331" w:rsidRDefault="00467DF9" w:rsidP="00CB55B3">
            <w:pPr>
              <w:pStyle w:val="Tabletext"/>
            </w:pPr>
            <w:r w:rsidRPr="00353BA7">
              <w:t>National Mental Health Commission</w:t>
            </w:r>
          </w:p>
        </w:tc>
        <w:tc>
          <w:tcPr>
            <w:tcW w:w="1172" w:type="pct"/>
            <w:tcBorders>
              <w:top w:val="single" w:sz="2" w:space="0" w:color="808080" w:themeColor="background1" w:themeShade="80"/>
              <w:bottom w:val="single" w:sz="2" w:space="0" w:color="808080" w:themeColor="background1" w:themeShade="80"/>
            </w:tcBorders>
          </w:tcPr>
          <w:p w14:paraId="2C1D35D6" w14:textId="77777777" w:rsidR="00467DF9" w:rsidRPr="00453331" w:rsidRDefault="00467DF9" w:rsidP="00CB55B3">
            <w:pPr>
              <w:pStyle w:val="Tabletext"/>
            </w:pPr>
            <w:r>
              <w:t>National</w:t>
            </w:r>
          </w:p>
        </w:tc>
        <w:tc>
          <w:tcPr>
            <w:tcW w:w="2578" w:type="pct"/>
            <w:tcBorders>
              <w:top w:val="single" w:sz="2" w:space="0" w:color="808080" w:themeColor="background1" w:themeShade="80"/>
              <w:bottom w:val="single" w:sz="2" w:space="0" w:color="808080" w:themeColor="background1" w:themeShade="80"/>
            </w:tcBorders>
          </w:tcPr>
          <w:p w14:paraId="77A7108E" w14:textId="77777777" w:rsidR="00467DF9" w:rsidRPr="00453331" w:rsidRDefault="00467DF9" w:rsidP="008263BB">
            <w:pPr>
              <w:pStyle w:val="TableBullet1"/>
            </w:pPr>
            <w:r w:rsidRPr="0012217F">
              <w:t>CEO</w:t>
            </w:r>
          </w:p>
        </w:tc>
      </w:tr>
    </w:tbl>
    <w:p w14:paraId="43CE2A2F" w14:textId="13062E05" w:rsidR="00386195" w:rsidRPr="00386195" w:rsidRDefault="00386195" w:rsidP="005260EE">
      <w:pPr>
        <w:pStyle w:val="Source"/>
      </w:pPr>
      <w:bookmarkStart w:id="204" w:name="_Ref80111121"/>
      <w:r w:rsidRPr="00055013">
        <w:t>Source: KPMG</w:t>
      </w:r>
      <w:r>
        <w:t xml:space="preserve"> 2022</w:t>
      </w:r>
    </w:p>
    <w:p w14:paraId="454CDBC1" w14:textId="77777777" w:rsidR="00467DF9" w:rsidRPr="00CE7F2A" w:rsidRDefault="00467DF9" w:rsidP="00A86CAC">
      <w:pPr>
        <w:pStyle w:val="AppendixHeading3"/>
      </w:pPr>
      <w:r>
        <w:t>Peak bodies</w:t>
      </w:r>
    </w:p>
    <w:p w14:paraId="31CF9246" w14:textId="684B2E47" w:rsidR="00B868ED" w:rsidRDefault="00B868ED" w:rsidP="00B868ED">
      <w:pPr>
        <w:pStyle w:val="Caption"/>
      </w:pPr>
      <w:bookmarkStart w:id="205" w:name="_Toc108108987"/>
      <w:r>
        <w:t xml:space="preserve">Table </w:t>
      </w:r>
      <w:r>
        <w:fldChar w:fldCharType="begin"/>
      </w:r>
      <w:r>
        <w:instrText>SEQ Table \* ARABIC</w:instrText>
      </w:r>
      <w:r>
        <w:fldChar w:fldCharType="separate"/>
      </w:r>
      <w:r w:rsidR="00CC0438">
        <w:rPr>
          <w:noProof/>
        </w:rPr>
        <w:t>37</w:t>
      </w:r>
      <w:r>
        <w:fldChar w:fldCharType="end"/>
      </w:r>
      <w:r w:rsidR="00CB55B3">
        <w:t>:</w:t>
      </w:r>
      <w:r>
        <w:t xml:space="preserve"> </w:t>
      </w:r>
      <w:r w:rsidRPr="001E04B2">
        <w:t>Stakeholders consulted from</w:t>
      </w:r>
      <w:r>
        <w:t xml:space="preserve"> peak bodies</w:t>
      </w:r>
      <w:bookmarkEnd w:id="20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takeholders consulted from peak bodies"/>
        <w:tblDescription w:val="Table summarises the organisation, location and name of each interview participant."/>
      </w:tblPr>
      <w:tblGrid>
        <w:gridCol w:w="2269"/>
        <w:gridCol w:w="2126"/>
        <w:gridCol w:w="4675"/>
      </w:tblGrid>
      <w:tr w:rsidR="00467DF9" w:rsidRPr="00D65A2D" w14:paraId="4477B908" w14:textId="77777777" w:rsidTr="00CB55B3">
        <w:trPr>
          <w:tblHeader/>
        </w:trPr>
        <w:tc>
          <w:tcPr>
            <w:tcW w:w="1251" w:type="pct"/>
            <w:tcBorders>
              <w:bottom w:val="single" w:sz="4" w:space="0" w:color="00338D" w:themeColor="background2"/>
            </w:tcBorders>
            <w:shd w:val="clear" w:color="auto" w:fill="00338D" w:themeFill="background2"/>
          </w:tcPr>
          <w:p w14:paraId="309756AD" w14:textId="77777777" w:rsidR="00467DF9" w:rsidRPr="001D6913" w:rsidRDefault="00467DF9" w:rsidP="00CB55B3">
            <w:pPr>
              <w:pStyle w:val="Tableheading"/>
            </w:pPr>
            <w:bookmarkStart w:id="206" w:name="_Toc401155222"/>
            <w:r w:rsidRPr="001D6913">
              <w:t>Organisation</w:t>
            </w:r>
          </w:p>
        </w:tc>
        <w:tc>
          <w:tcPr>
            <w:tcW w:w="1172" w:type="pct"/>
            <w:tcBorders>
              <w:bottom w:val="single" w:sz="4" w:space="0" w:color="00338D" w:themeColor="background2"/>
            </w:tcBorders>
            <w:shd w:val="clear" w:color="auto" w:fill="00338D" w:themeFill="background2"/>
          </w:tcPr>
          <w:p w14:paraId="38E50357" w14:textId="77777777" w:rsidR="00467DF9" w:rsidRPr="001D6913" w:rsidRDefault="00467DF9" w:rsidP="00CB55B3">
            <w:pPr>
              <w:pStyle w:val="Tableheading"/>
            </w:pPr>
            <w:r w:rsidRPr="001D6913">
              <w:t>Location</w:t>
            </w:r>
          </w:p>
        </w:tc>
        <w:tc>
          <w:tcPr>
            <w:tcW w:w="2577" w:type="pct"/>
            <w:tcBorders>
              <w:bottom w:val="single" w:sz="4" w:space="0" w:color="00338D" w:themeColor="background2"/>
            </w:tcBorders>
            <w:shd w:val="clear" w:color="auto" w:fill="00338D" w:themeFill="background2"/>
          </w:tcPr>
          <w:p w14:paraId="44BDE7F0" w14:textId="77777777" w:rsidR="00467DF9" w:rsidRPr="001D6913" w:rsidRDefault="00467DF9" w:rsidP="00CB55B3">
            <w:pPr>
              <w:pStyle w:val="Tableheading"/>
            </w:pPr>
            <w:r w:rsidRPr="001D6913">
              <w:t>Attendee Name</w:t>
            </w:r>
          </w:p>
        </w:tc>
      </w:tr>
      <w:tr w:rsidR="00467DF9" w14:paraId="7211B73A" w14:textId="77777777" w:rsidTr="00CB55B3">
        <w:tc>
          <w:tcPr>
            <w:tcW w:w="1251" w:type="pct"/>
            <w:tcBorders>
              <w:top w:val="single" w:sz="2" w:space="0" w:color="808080" w:themeColor="background1" w:themeShade="80"/>
              <w:bottom w:val="single" w:sz="2" w:space="0" w:color="808080" w:themeColor="background1" w:themeShade="80"/>
            </w:tcBorders>
          </w:tcPr>
          <w:p w14:paraId="40022F63" w14:textId="77777777" w:rsidR="00467DF9" w:rsidRPr="001D6913" w:rsidRDefault="00467DF9" w:rsidP="00CB55B3">
            <w:pPr>
              <w:pStyle w:val="Tabletext"/>
            </w:pPr>
            <w:r w:rsidRPr="001D6913">
              <w:t>Orygen</w:t>
            </w:r>
          </w:p>
        </w:tc>
        <w:tc>
          <w:tcPr>
            <w:tcW w:w="1172" w:type="pct"/>
            <w:tcBorders>
              <w:top w:val="single" w:sz="2" w:space="0" w:color="808080" w:themeColor="background1" w:themeShade="80"/>
              <w:bottom w:val="single" w:sz="2" w:space="0" w:color="808080" w:themeColor="background1" w:themeShade="80"/>
            </w:tcBorders>
          </w:tcPr>
          <w:p w14:paraId="2EE0CDBF" w14:textId="77777777" w:rsidR="00467DF9" w:rsidRPr="001D6913" w:rsidRDefault="00467DF9" w:rsidP="00CB55B3">
            <w:pPr>
              <w:pStyle w:val="Tabletext"/>
            </w:pPr>
            <w:r>
              <w:t>Vic</w:t>
            </w:r>
          </w:p>
        </w:tc>
        <w:tc>
          <w:tcPr>
            <w:tcW w:w="2577" w:type="pct"/>
            <w:tcBorders>
              <w:top w:val="single" w:sz="2" w:space="0" w:color="808080" w:themeColor="background1" w:themeShade="80"/>
              <w:bottom w:val="single" w:sz="2" w:space="0" w:color="808080" w:themeColor="background1" w:themeShade="80"/>
            </w:tcBorders>
          </w:tcPr>
          <w:p w14:paraId="0141D7A1" w14:textId="77777777" w:rsidR="00467DF9" w:rsidRPr="001D6913" w:rsidRDefault="00467DF9" w:rsidP="008263BB">
            <w:pPr>
              <w:pStyle w:val="TableBullet1"/>
            </w:pPr>
            <w:r>
              <w:t>Executive Director</w:t>
            </w:r>
          </w:p>
          <w:p w14:paraId="55F9FAA7" w14:textId="77777777" w:rsidR="00467DF9" w:rsidRPr="001D6913" w:rsidRDefault="00467DF9" w:rsidP="008263BB">
            <w:pPr>
              <w:pStyle w:val="TableBullet1"/>
            </w:pPr>
            <w:r w:rsidRPr="001D6913">
              <w:t>Director, Strategy and Policy</w:t>
            </w:r>
          </w:p>
        </w:tc>
      </w:tr>
      <w:tr w:rsidR="00467DF9" w14:paraId="5A91B104" w14:textId="77777777" w:rsidTr="00CB55B3">
        <w:tc>
          <w:tcPr>
            <w:tcW w:w="1251" w:type="pct"/>
            <w:tcBorders>
              <w:top w:val="single" w:sz="2" w:space="0" w:color="808080" w:themeColor="background1" w:themeShade="80"/>
              <w:bottom w:val="single" w:sz="2" w:space="0" w:color="808080" w:themeColor="background1" w:themeShade="80"/>
            </w:tcBorders>
          </w:tcPr>
          <w:p w14:paraId="2CAF1A37" w14:textId="77777777" w:rsidR="00467DF9" w:rsidRPr="001D6913" w:rsidRDefault="00467DF9" w:rsidP="00CB55B3">
            <w:pPr>
              <w:pStyle w:val="Tabletext"/>
            </w:pPr>
            <w:r w:rsidRPr="00372813">
              <w:t>Community Mental Health Australia</w:t>
            </w:r>
          </w:p>
        </w:tc>
        <w:tc>
          <w:tcPr>
            <w:tcW w:w="1172" w:type="pct"/>
            <w:tcBorders>
              <w:top w:val="single" w:sz="2" w:space="0" w:color="808080" w:themeColor="background1" w:themeShade="80"/>
              <w:bottom w:val="single" w:sz="2" w:space="0" w:color="808080" w:themeColor="background1" w:themeShade="80"/>
            </w:tcBorders>
          </w:tcPr>
          <w:p w14:paraId="548D8A6B" w14:textId="77777777" w:rsidR="00467DF9" w:rsidRPr="001D6913" w:rsidRDefault="00467DF9" w:rsidP="00CB55B3">
            <w:pPr>
              <w:pStyle w:val="Tabletext"/>
            </w:pPr>
            <w:r>
              <w:t>National</w:t>
            </w:r>
          </w:p>
        </w:tc>
        <w:tc>
          <w:tcPr>
            <w:tcW w:w="2577" w:type="pct"/>
            <w:tcBorders>
              <w:top w:val="single" w:sz="2" w:space="0" w:color="808080" w:themeColor="background1" w:themeShade="80"/>
              <w:bottom w:val="single" w:sz="2" w:space="0" w:color="808080" w:themeColor="background1" w:themeShade="80"/>
            </w:tcBorders>
          </w:tcPr>
          <w:p w14:paraId="55040DED" w14:textId="15227005" w:rsidR="00467DF9" w:rsidRPr="009611A8" w:rsidRDefault="00467DF9" w:rsidP="008263BB">
            <w:pPr>
              <w:pStyle w:val="TableBullet1"/>
            </w:pPr>
            <w:r w:rsidRPr="009611A8">
              <w:t>CEO, C</w:t>
            </w:r>
            <w:r w:rsidR="00325DF6" w:rsidRPr="00E07D40">
              <w:t>ommunity Mental Health Australia</w:t>
            </w:r>
          </w:p>
          <w:p w14:paraId="17971BE2" w14:textId="6364DBEB" w:rsidR="00467DF9" w:rsidRPr="00F631AE" w:rsidRDefault="00467DF9" w:rsidP="008263BB">
            <w:pPr>
              <w:pStyle w:val="TableBullet1"/>
              <w:rPr>
                <w:rFonts w:eastAsia="MS Gothic"/>
                <w:lang w:val="en-US"/>
              </w:rPr>
            </w:pPr>
            <w:r w:rsidRPr="00F631AE">
              <w:rPr>
                <w:rFonts w:eastAsia="MS Gothic"/>
                <w:lang w:val="en-US"/>
              </w:rPr>
              <w:t>CEO M</w:t>
            </w:r>
            <w:r w:rsidR="0048338B" w:rsidRPr="00E07D40">
              <w:rPr>
                <w:rFonts w:eastAsia="MS Gothic"/>
                <w:lang w:val="en-US"/>
              </w:rPr>
              <w:t>ental Health Coalition of South Australia</w:t>
            </w:r>
          </w:p>
          <w:p w14:paraId="1B157E54" w14:textId="2FF4019A" w:rsidR="00467DF9" w:rsidRPr="009611A8" w:rsidRDefault="00467DF9" w:rsidP="008263BB">
            <w:pPr>
              <w:pStyle w:val="TableBullet1"/>
              <w:rPr>
                <w:rFonts w:eastAsia="MS Gothic"/>
              </w:rPr>
            </w:pPr>
            <w:r w:rsidRPr="005727E4">
              <w:rPr>
                <w:rFonts w:eastAsia="MS Gothic"/>
              </w:rPr>
              <w:t xml:space="preserve">Policy Officer </w:t>
            </w:r>
            <w:r w:rsidRPr="00F631AE">
              <w:rPr>
                <w:rFonts w:eastAsia="MS Gothic"/>
              </w:rPr>
              <w:t>N</w:t>
            </w:r>
            <w:r w:rsidR="009611A8" w:rsidRPr="00E07D40">
              <w:rPr>
                <w:rFonts w:eastAsia="MS Gothic"/>
              </w:rPr>
              <w:t xml:space="preserve">orthern Territory </w:t>
            </w:r>
            <w:r w:rsidR="00CD18FD" w:rsidRPr="00E07D40">
              <w:rPr>
                <w:rFonts w:eastAsia="MS Gothic"/>
              </w:rPr>
              <w:t xml:space="preserve">Mental Health </w:t>
            </w:r>
            <w:r w:rsidR="009E659F" w:rsidRPr="00E07D40">
              <w:rPr>
                <w:rFonts w:eastAsia="MS Gothic"/>
              </w:rPr>
              <w:t>Commission</w:t>
            </w:r>
          </w:p>
          <w:p w14:paraId="229C0C19" w14:textId="19D40866" w:rsidR="00467DF9" w:rsidRPr="00F631AE" w:rsidRDefault="00467DF9" w:rsidP="008263BB">
            <w:pPr>
              <w:pStyle w:val="TableBullet1"/>
              <w:rPr>
                <w:rFonts w:eastAsia="MS Gothic"/>
              </w:rPr>
            </w:pPr>
            <w:r w:rsidRPr="00F631AE">
              <w:rPr>
                <w:rFonts w:eastAsia="MS Gothic"/>
                <w:lang w:val="en-US"/>
              </w:rPr>
              <w:t>P</w:t>
            </w:r>
            <w:r w:rsidRPr="005727E4">
              <w:rPr>
                <w:rFonts w:eastAsia="MS Gothic"/>
              </w:rPr>
              <w:t>olicy Officer M</w:t>
            </w:r>
            <w:r w:rsidR="009611A8" w:rsidRPr="00E07D40">
              <w:rPr>
                <w:rFonts w:eastAsia="MS Gothic"/>
              </w:rPr>
              <w:t>ental Health Council of Tasmania</w:t>
            </w:r>
          </w:p>
          <w:p w14:paraId="5788DBAB" w14:textId="41E4E4D2" w:rsidR="00467DF9" w:rsidRPr="00F631AE" w:rsidRDefault="00467DF9" w:rsidP="008263BB">
            <w:pPr>
              <w:pStyle w:val="TableBullet1"/>
              <w:rPr>
                <w:rFonts w:eastAsia="MS Gothic"/>
              </w:rPr>
            </w:pPr>
            <w:r w:rsidRPr="00F631AE">
              <w:rPr>
                <w:rFonts w:eastAsia="MS Gothic"/>
              </w:rPr>
              <w:t>Senior Policy Officer W</w:t>
            </w:r>
            <w:r w:rsidR="009611A8" w:rsidRPr="00E07D40">
              <w:rPr>
                <w:rFonts w:eastAsia="MS Gothic"/>
              </w:rPr>
              <w:t>estern Australian Association for Mental Health</w:t>
            </w:r>
          </w:p>
          <w:p w14:paraId="38601EFD" w14:textId="51DFE752" w:rsidR="00467DF9" w:rsidRPr="001D6913" w:rsidRDefault="00467DF9" w:rsidP="008263BB">
            <w:pPr>
              <w:pStyle w:val="TableBullet1"/>
            </w:pPr>
            <w:r w:rsidRPr="00F631AE">
              <w:rPr>
                <w:rFonts w:eastAsia="MS Gothic"/>
              </w:rPr>
              <w:t>Policy Off</w:t>
            </w:r>
            <w:r w:rsidRPr="005727E4">
              <w:rPr>
                <w:rFonts w:eastAsia="MS Gothic"/>
              </w:rPr>
              <w:t xml:space="preserve">icer </w:t>
            </w:r>
            <w:r w:rsidR="009611A8" w:rsidRPr="00E07D40">
              <w:rPr>
                <w:rFonts w:eastAsia="MS Gothic"/>
              </w:rPr>
              <w:t>Western Australian Association for Mental Health</w:t>
            </w:r>
          </w:p>
        </w:tc>
      </w:tr>
      <w:tr w:rsidR="00467DF9" w:rsidRPr="001D6913" w14:paraId="4C35DFB2" w14:textId="77777777" w:rsidTr="00CB55B3">
        <w:tc>
          <w:tcPr>
            <w:tcW w:w="1251" w:type="pct"/>
            <w:tcBorders>
              <w:top w:val="single" w:sz="2" w:space="0" w:color="808080" w:themeColor="background1" w:themeShade="80"/>
              <w:bottom w:val="single" w:sz="2" w:space="0" w:color="808080" w:themeColor="background1" w:themeShade="80"/>
            </w:tcBorders>
          </w:tcPr>
          <w:p w14:paraId="2240CFE1" w14:textId="77777777" w:rsidR="00467DF9" w:rsidRPr="00372813" w:rsidRDefault="00467DF9" w:rsidP="00CB55B3">
            <w:pPr>
              <w:pStyle w:val="Tabletext"/>
            </w:pPr>
            <w:r w:rsidRPr="00372813">
              <w:t>National Mental Health Consumer &amp; Carer Forum</w:t>
            </w:r>
          </w:p>
        </w:tc>
        <w:tc>
          <w:tcPr>
            <w:tcW w:w="1172" w:type="pct"/>
            <w:tcBorders>
              <w:top w:val="single" w:sz="2" w:space="0" w:color="808080" w:themeColor="background1" w:themeShade="80"/>
              <w:bottom w:val="single" w:sz="2" w:space="0" w:color="808080" w:themeColor="background1" w:themeShade="80"/>
            </w:tcBorders>
          </w:tcPr>
          <w:p w14:paraId="2B73B405" w14:textId="77777777" w:rsidR="00467DF9" w:rsidRPr="001D6913" w:rsidRDefault="00467DF9" w:rsidP="00CB55B3">
            <w:pPr>
              <w:pStyle w:val="Tabletext"/>
            </w:pPr>
            <w:r>
              <w:t>National</w:t>
            </w:r>
          </w:p>
        </w:tc>
        <w:tc>
          <w:tcPr>
            <w:tcW w:w="2577" w:type="pct"/>
            <w:tcBorders>
              <w:top w:val="single" w:sz="2" w:space="0" w:color="808080" w:themeColor="background1" w:themeShade="80"/>
              <w:bottom w:val="single" w:sz="2" w:space="0" w:color="808080" w:themeColor="background1" w:themeShade="80"/>
            </w:tcBorders>
          </w:tcPr>
          <w:p w14:paraId="10CDF006" w14:textId="77777777" w:rsidR="00467DF9" w:rsidRPr="00502358" w:rsidRDefault="00467DF9" w:rsidP="008263BB">
            <w:pPr>
              <w:pStyle w:val="TableBullet1"/>
            </w:pPr>
            <w:r w:rsidRPr="00502358">
              <w:t>SA Consumer Representative</w:t>
            </w:r>
          </w:p>
          <w:p w14:paraId="477DBF3E" w14:textId="77777777" w:rsidR="00467DF9" w:rsidRPr="00502358" w:rsidRDefault="00467DF9" w:rsidP="008263BB">
            <w:pPr>
              <w:pStyle w:val="TableBullet1"/>
            </w:pPr>
            <w:r w:rsidRPr="00502358">
              <w:t>WA Consumer Representative</w:t>
            </w:r>
          </w:p>
          <w:p w14:paraId="3E1E75AE" w14:textId="77777777" w:rsidR="00467DF9" w:rsidRPr="00502358" w:rsidRDefault="00467DF9" w:rsidP="008263BB">
            <w:pPr>
              <w:pStyle w:val="TableBullet1"/>
            </w:pPr>
            <w:r w:rsidRPr="00502358">
              <w:t>Deputy Carer Co-Chair - Representative of Mental Health Carers Australia</w:t>
            </w:r>
          </w:p>
          <w:p w14:paraId="31956AFB" w14:textId="77777777" w:rsidR="00467DF9" w:rsidRPr="001D6913" w:rsidRDefault="00467DF9" w:rsidP="008263BB">
            <w:pPr>
              <w:pStyle w:val="TableBullet1"/>
            </w:pPr>
            <w:r w:rsidRPr="00502358">
              <w:t>Consumer Executive Member – Aboriginal and Torres Strait Islander Consumer Representative</w:t>
            </w:r>
          </w:p>
        </w:tc>
      </w:tr>
      <w:tr w:rsidR="00467DF9" w:rsidRPr="001D6913" w14:paraId="1E2585A1" w14:textId="77777777" w:rsidTr="00CB55B3">
        <w:tc>
          <w:tcPr>
            <w:tcW w:w="1251" w:type="pct"/>
            <w:tcBorders>
              <w:top w:val="single" w:sz="2" w:space="0" w:color="808080" w:themeColor="background1" w:themeShade="80"/>
              <w:bottom w:val="single" w:sz="2" w:space="0" w:color="808080" w:themeColor="background1" w:themeShade="80"/>
            </w:tcBorders>
          </w:tcPr>
          <w:p w14:paraId="49D39890" w14:textId="77777777" w:rsidR="00467DF9" w:rsidRPr="00372813" w:rsidRDefault="00467DF9" w:rsidP="00CB55B3">
            <w:pPr>
              <w:pStyle w:val="Tabletext"/>
            </w:pPr>
            <w:r w:rsidRPr="00372813">
              <w:t>Mental Health Australia</w:t>
            </w:r>
          </w:p>
        </w:tc>
        <w:tc>
          <w:tcPr>
            <w:tcW w:w="1172" w:type="pct"/>
            <w:tcBorders>
              <w:top w:val="single" w:sz="2" w:space="0" w:color="808080" w:themeColor="background1" w:themeShade="80"/>
              <w:bottom w:val="single" w:sz="2" w:space="0" w:color="808080" w:themeColor="background1" w:themeShade="80"/>
            </w:tcBorders>
          </w:tcPr>
          <w:p w14:paraId="5590B18A" w14:textId="77777777" w:rsidR="00467DF9" w:rsidRPr="001D6913" w:rsidRDefault="00467DF9" w:rsidP="00BC225F">
            <w:pPr>
              <w:pStyle w:val="BodyText"/>
            </w:pPr>
            <w:r>
              <w:t>National</w:t>
            </w:r>
          </w:p>
        </w:tc>
        <w:tc>
          <w:tcPr>
            <w:tcW w:w="2577" w:type="pct"/>
            <w:tcBorders>
              <w:top w:val="single" w:sz="2" w:space="0" w:color="808080" w:themeColor="background1" w:themeShade="80"/>
              <w:bottom w:val="single" w:sz="2" w:space="0" w:color="808080" w:themeColor="background1" w:themeShade="80"/>
            </w:tcBorders>
          </w:tcPr>
          <w:p w14:paraId="2AF7E42F" w14:textId="77777777" w:rsidR="00467DF9" w:rsidRDefault="00467DF9" w:rsidP="008263BB">
            <w:pPr>
              <w:pStyle w:val="TableBullet1"/>
            </w:pPr>
            <w:r>
              <w:t>Acting CEO</w:t>
            </w:r>
          </w:p>
          <w:p w14:paraId="02F9ABE1" w14:textId="77777777" w:rsidR="00467DF9" w:rsidRPr="00AC2170" w:rsidRDefault="00467DF9" w:rsidP="008263BB">
            <w:pPr>
              <w:pStyle w:val="TableBullet1"/>
            </w:pPr>
            <w:r w:rsidRPr="00AC2170">
              <w:t>Senior Policy Advisor</w:t>
            </w:r>
          </w:p>
          <w:p w14:paraId="3F43912F" w14:textId="77777777" w:rsidR="00467DF9" w:rsidRPr="001D6913" w:rsidRDefault="00467DF9" w:rsidP="008263BB">
            <w:pPr>
              <w:pStyle w:val="TableBullet1"/>
            </w:pPr>
            <w:r w:rsidRPr="00AC2170">
              <w:t>Senior Policy and Projects Officer</w:t>
            </w:r>
          </w:p>
        </w:tc>
      </w:tr>
    </w:tbl>
    <w:p w14:paraId="6F203068" w14:textId="77777777" w:rsidR="00386195" w:rsidRDefault="00386195" w:rsidP="001268EC">
      <w:pPr>
        <w:pStyle w:val="Source"/>
      </w:pPr>
      <w:bookmarkStart w:id="207" w:name="_Ref81302181"/>
      <w:bookmarkEnd w:id="206"/>
      <w:r w:rsidRPr="00055013">
        <w:t>Source: KPMG</w:t>
      </w:r>
      <w:r>
        <w:t xml:space="preserve"> 2022</w:t>
      </w:r>
    </w:p>
    <w:p w14:paraId="5EDADE41" w14:textId="65BDAC49" w:rsidR="00855EB0" w:rsidRDefault="00855EB0">
      <w:pPr>
        <w:spacing w:before="0" w:after="160" w:line="259" w:lineRule="auto"/>
      </w:pPr>
      <w:r>
        <w:br w:type="page"/>
      </w:r>
    </w:p>
    <w:p w14:paraId="2F8A5AEF" w14:textId="65BDAC49" w:rsidR="004819F6" w:rsidRDefault="004819F6" w:rsidP="00FF0C1C">
      <w:pPr>
        <w:pStyle w:val="AppendixHeading2"/>
      </w:pPr>
      <w:r>
        <w:t>Stakeholder engagement themes</w:t>
      </w:r>
    </w:p>
    <w:p w14:paraId="6AB7C767" w14:textId="5FDE106F" w:rsidR="002035CA" w:rsidRDefault="002035CA" w:rsidP="009164AC">
      <w:pPr>
        <w:pStyle w:val="BodyText"/>
      </w:pPr>
      <w:r>
        <w:t xml:space="preserve">The following tables present </w:t>
      </w:r>
      <w:r w:rsidR="00C410FC">
        <w:t>reflections</w:t>
      </w:r>
      <w:r>
        <w:t xml:space="preserve"> common across each stakeholder group engaged in the course of the evaluation</w:t>
      </w:r>
      <w:r w:rsidR="00C410FC">
        <w:t>,</w:t>
      </w:r>
      <w:r>
        <w:t xml:space="preserve"> identified </w:t>
      </w:r>
      <w:r w:rsidR="009164AC">
        <w:t>by</w:t>
      </w:r>
      <w:r>
        <w:t xml:space="preserve"> data source.</w:t>
      </w:r>
      <w:r w:rsidR="00367428">
        <w:t xml:space="preserve"> </w:t>
      </w:r>
    </w:p>
    <w:p w14:paraId="0D8D3C8E" w14:textId="2A0A5DA8" w:rsidR="00855EB0" w:rsidRPr="00853840" w:rsidRDefault="00855EB0" w:rsidP="00A86CAC">
      <w:pPr>
        <w:pStyle w:val="AppendixHeading3"/>
      </w:pPr>
      <w:r w:rsidRPr="00853840">
        <w:t>Young people who use headspace</w:t>
      </w:r>
    </w:p>
    <w:p w14:paraId="7E58DE5C" w14:textId="22D7931F" w:rsidR="00855EB0" w:rsidRPr="000350F2" w:rsidRDefault="00855EB0" w:rsidP="00A86CAC">
      <w:pPr>
        <w:pStyle w:val="Heading4"/>
      </w:pPr>
      <w:r w:rsidRPr="000350F2">
        <w:t>Evaluation activities and data sources</w:t>
      </w:r>
    </w:p>
    <w:p w14:paraId="7C609A75" w14:textId="5186DE84" w:rsidR="00873C9F" w:rsidRPr="00E07D40" w:rsidRDefault="003E6795" w:rsidP="00E07D40">
      <w:pPr>
        <w:pStyle w:val="BodyText"/>
      </w:pPr>
      <w:r>
        <w:t>Q</w:t>
      </w:r>
      <w:r w:rsidR="004F2737">
        <w:t xml:space="preserve">ualitative themes are sourced from a mix of data </w:t>
      </w:r>
      <w:r w:rsidR="00B248A0">
        <w:t>described below</w:t>
      </w:r>
      <w:r>
        <w:t>.</w:t>
      </w:r>
    </w:p>
    <w:p w14:paraId="32577A44" w14:textId="4963E6C2" w:rsidR="00855EB0" w:rsidRPr="00FB0A2A" w:rsidRDefault="00855EB0" w:rsidP="00853840">
      <w:pPr>
        <w:pStyle w:val="Bullet1stlevel"/>
        <w:rPr>
          <w:lang w:eastAsia="en-AU"/>
        </w:rPr>
      </w:pPr>
      <w:r w:rsidRPr="1FE45145">
        <w:rPr>
          <w:lang w:eastAsia="en-AU"/>
        </w:rPr>
        <w:t xml:space="preserve">Survey - administered to </w:t>
      </w:r>
      <w:r w:rsidR="00812A15">
        <w:rPr>
          <w:lang w:eastAsia="en-AU"/>
        </w:rPr>
        <w:t xml:space="preserve">young people who </w:t>
      </w:r>
      <w:r w:rsidRPr="1FE45145">
        <w:rPr>
          <w:lang w:eastAsia="en-AU"/>
        </w:rPr>
        <w:t>current</w:t>
      </w:r>
      <w:r w:rsidR="00812A15">
        <w:rPr>
          <w:lang w:eastAsia="en-AU"/>
        </w:rPr>
        <w:t xml:space="preserve">ly use headspace </w:t>
      </w:r>
      <w:r w:rsidR="009E659F">
        <w:rPr>
          <w:lang w:eastAsia="en-AU"/>
        </w:rPr>
        <w:t>services</w:t>
      </w:r>
      <w:r w:rsidRPr="1FE45145" w:rsidDel="00812A15">
        <w:rPr>
          <w:lang w:eastAsia="en-AU"/>
        </w:rPr>
        <w:t xml:space="preserve"> </w:t>
      </w:r>
      <w:r w:rsidRPr="1FE45145">
        <w:rPr>
          <w:lang w:eastAsia="en-AU"/>
        </w:rPr>
        <w:t xml:space="preserve">were invited to participate in the survey while completing required headspace surveys to support hAPI data collection. </w:t>
      </w:r>
      <w:r w:rsidR="00812A15">
        <w:rPr>
          <w:lang w:eastAsia="en-AU"/>
        </w:rPr>
        <w:t>You people who f</w:t>
      </w:r>
      <w:r w:rsidRPr="1FE45145">
        <w:rPr>
          <w:lang w:eastAsia="en-AU"/>
        </w:rPr>
        <w:t>ormer</w:t>
      </w:r>
      <w:r w:rsidR="00812A15">
        <w:rPr>
          <w:lang w:eastAsia="en-AU"/>
        </w:rPr>
        <w:t xml:space="preserve">ly </w:t>
      </w:r>
      <w:r w:rsidRPr="1FE45145">
        <w:rPr>
          <w:lang w:eastAsia="en-AU"/>
        </w:rPr>
        <w:t>had accessed headspace services in the 18</w:t>
      </w:r>
      <w:r w:rsidR="0018018B">
        <w:rPr>
          <w:lang w:eastAsia="en-AU"/>
        </w:rPr>
        <w:t> </w:t>
      </w:r>
      <w:r w:rsidRPr="1FE45145">
        <w:rPr>
          <w:lang w:eastAsia="en-AU"/>
        </w:rPr>
        <w:t>months to June 2021, and agreed to be contacted about future research, were invited to participate.</w:t>
      </w:r>
    </w:p>
    <w:p w14:paraId="60FA4C81" w14:textId="0D571BF4" w:rsidR="00855EB0" w:rsidRDefault="00855EB0" w:rsidP="00853840">
      <w:pPr>
        <w:pStyle w:val="Bullet1stlevel"/>
        <w:rPr>
          <w:lang w:eastAsia="en-AU"/>
        </w:rPr>
      </w:pPr>
      <w:r w:rsidRPr="1FE45145">
        <w:rPr>
          <w:lang w:eastAsia="en-AU"/>
        </w:rPr>
        <w:t xml:space="preserve">Focus </w:t>
      </w:r>
      <w:r w:rsidR="0016163E">
        <w:rPr>
          <w:lang w:eastAsia="en-AU"/>
        </w:rPr>
        <w:t>g</w:t>
      </w:r>
      <w:r w:rsidRPr="1FE45145">
        <w:rPr>
          <w:lang w:eastAsia="en-AU"/>
        </w:rPr>
        <w:t xml:space="preserve">roups </w:t>
      </w:r>
      <w:r w:rsidR="00DB131D">
        <w:rPr>
          <w:lang w:eastAsia="en-AU"/>
        </w:rPr>
        <w:t>and</w:t>
      </w:r>
      <w:r w:rsidRPr="1FE45145">
        <w:rPr>
          <w:lang w:eastAsia="en-AU"/>
        </w:rPr>
        <w:t xml:space="preserve"> </w:t>
      </w:r>
      <w:r w:rsidR="0016163E">
        <w:rPr>
          <w:lang w:eastAsia="en-AU"/>
        </w:rPr>
        <w:t>i</w:t>
      </w:r>
      <w:r w:rsidRPr="1FE45145">
        <w:rPr>
          <w:lang w:eastAsia="en-AU"/>
        </w:rPr>
        <w:t xml:space="preserve">nterviews - </w:t>
      </w:r>
      <w:r w:rsidR="0016163E">
        <w:rPr>
          <w:lang w:eastAsia="en-AU"/>
        </w:rPr>
        <w:t>47</w:t>
      </w:r>
      <w:r w:rsidR="00812A15">
        <w:rPr>
          <w:lang w:eastAsia="en-AU"/>
        </w:rPr>
        <w:t xml:space="preserve"> </w:t>
      </w:r>
      <w:r w:rsidRPr="1FE45145">
        <w:rPr>
          <w:lang w:eastAsia="en-AU"/>
        </w:rPr>
        <w:t>interviews. All current and former headspace clients who completed the survey described above</w:t>
      </w:r>
      <w:r w:rsidR="0018018B">
        <w:rPr>
          <w:lang w:eastAsia="en-AU"/>
        </w:rPr>
        <w:t xml:space="preserve"> were</w:t>
      </w:r>
      <w:r w:rsidRPr="1FE45145">
        <w:rPr>
          <w:lang w:eastAsia="en-AU"/>
        </w:rPr>
        <w:t xml:space="preserve"> given the option to volunteer for focus groups, interviews, or both.</w:t>
      </w:r>
    </w:p>
    <w:p w14:paraId="7D55EDD7" w14:textId="3C5EB371" w:rsidR="00855EB0" w:rsidRPr="00FB0A2A" w:rsidRDefault="00855EB0" w:rsidP="00853840">
      <w:pPr>
        <w:pStyle w:val="Bullet1stlevel"/>
        <w:rPr>
          <w:lang w:eastAsia="en-AU"/>
        </w:rPr>
      </w:pPr>
      <w:r w:rsidRPr="1FE45145">
        <w:t xml:space="preserve">hMDS - comprises data collected from both young people and service providers on services delivered through headspace services. </w:t>
      </w:r>
    </w:p>
    <w:p w14:paraId="08CFA6CC" w14:textId="1AC8DED1" w:rsidR="008F4A06" w:rsidRDefault="008F4A06" w:rsidP="008F4A06">
      <w:pPr>
        <w:pStyle w:val="Caption"/>
      </w:pPr>
      <w:bookmarkStart w:id="208" w:name="_Toc108108988"/>
      <w:r>
        <w:t xml:space="preserve">Table </w:t>
      </w:r>
      <w:fldSimple w:instr=" SEQ Table \* ARABIC ">
        <w:r w:rsidR="00CC0438">
          <w:rPr>
            <w:noProof/>
          </w:rPr>
          <w:t>38</w:t>
        </w:r>
      </w:fldSimple>
      <w:r>
        <w:t xml:space="preserve"> Stakeholder engagement themes from young people who use headspace</w:t>
      </w:r>
      <w:bookmarkEnd w:id="208"/>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keholder engagement themes from young people who use headspace"/>
        <w:tblDescription w:val="Table has 2 columns summarising themes from stakeholder engagement with young people who use headspace. Column 1 lists specific evaluation questions and column 2 summarises themes against each evaluation question."/>
      </w:tblPr>
      <w:tblGrid>
        <w:gridCol w:w="2838"/>
        <w:gridCol w:w="6375"/>
      </w:tblGrid>
      <w:tr w:rsidR="00855EB0" w14:paraId="1B5E319A" w14:textId="77777777" w:rsidTr="00E40043">
        <w:trPr>
          <w:tblHeader/>
        </w:trPr>
        <w:tc>
          <w:tcPr>
            <w:tcW w:w="1540" w:type="pct"/>
            <w:tcBorders>
              <w:top w:val="nil"/>
              <w:left w:val="nil"/>
              <w:bottom w:val="single" w:sz="4" w:space="0" w:color="00338D" w:themeColor="background2"/>
              <w:right w:val="nil"/>
            </w:tcBorders>
            <w:shd w:val="clear" w:color="auto" w:fill="00338D" w:themeFill="background2"/>
            <w:hideMark/>
          </w:tcPr>
          <w:p w14:paraId="5C2396FF" w14:textId="77777777" w:rsidR="00855EB0" w:rsidRPr="00980D29" w:rsidRDefault="00855EB0" w:rsidP="00980D29">
            <w:pPr>
              <w:pStyle w:val="Tableheading"/>
            </w:pPr>
            <w:r w:rsidRPr="00980D29">
              <w:t>Evaluation Question</w:t>
            </w:r>
          </w:p>
        </w:tc>
        <w:tc>
          <w:tcPr>
            <w:tcW w:w="3460" w:type="pct"/>
            <w:tcBorders>
              <w:top w:val="nil"/>
              <w:left w:val="nil"/>
              <w:bottom w:val="single" w:sz="4" w:space="0" w:color="00338D" w:themeColor="background2"/>
              <w:right w:val="nil"/>
            </w:tcBorders>
            <w:shd w:val="clear" w:color="auto" w:fill="00338D" w:themeFill="background2"/>
            <w:hideMark/>
          </w:tcPr>
          <w:p w14:paraId="5C64A015" w14:textId="77777777" w:rsidR="00855EB0" w:rsidRPr="00980D29" w:rsidRDefault="00855EB0" w:rsidP="00980D29">
            <w:pPr>
              <w:pStyle w:val="Tableheading"/>
            </w:pPr>
            <w:r w:rsidRPr="00980D29">
              <w:t>Themes</w:t>
            </w:r>
          </w:p>
        </w:tc>
      </w:tr>
      <w:tr w:rsidR="00855EB0" w14:paraId="60133602" w14:textId="77777777" w:rsidTr="00D93398">
        <w:tc>
          <w:tcPr>
            <w:tcW w:w="1540" w:type="pct"/>
            <w:tcBorders>
              <w:top w:val="single" w:sz="4" w:space="0" w:color="00338D" w:themeColor="background2"/>
              <w:left w:val="nil"/>
              <w:bottom w:val="single" w:sz="2" w:space="0" w:color="808080" w:themeColor="background1" w:themeShade="80"/>
              <w:right w:val="nil"/>
            </w:tcBorders>
            <w:hideMark/>
          </w:tcPr>
          <w:p w14:paraId="07A1B0F9" w14:textId="77777777" w:rsidR="00855EB0" w:rsidRPr="001D1D34" w:rsidRDefault="00855EB0" w:rsidP="00A33A8D">
            <w:pPr>
              <w:pStyle w:val="Tabletext"/>
              <w:rPr>
                <w:i/>
              </w:rPr>
            </w:pPr>
            <w:r w:rsidRPr="00546252">
              <w:t xml:space="preserve">How effective is </w:t>
            </w:r>
            <w:r w:rsidRPr="007D05F1">
              <w:t>headspace in increasing mental health literacy?</w:t>
            </w:r>
          </w:p>
          <w:p w14:paraId="610EF3A2" w14:textId="77777777" w:rsidR="00855EB0" w:rsidRPr="004055DA" w:rsidRDefault="00855EB0" w:rsidP="001A4FD1">
            <w:pPr>
              <w:pStyle w:val="Tabletext"/>
              <w:rPr>
                <w:rFonts w:asciiTheme="minorHAnsi" w:hAnsiTheme="minorHAnsi" w:cstheme="minorHAnsi"/>
              </w:rPr>
            </w:pPr>
          </w:p>
        </w:tc>
        <w:tc>
          <w:tcPr>
            <w:tcW w:w="3460" w:type="pct"/>
            <w:tcBorders>
              <w:top w:val="single" w:sz="4" w:space="0" w:color="00338D" w:themeColor="background2"/>
              <w:left w:val="nil"/>
              <w:bottom w:val="single" w:sz="2" w:space="0" w:color="808080" w:themeColor="background1" w:themeShade="80"/>
              <w:right w:val="nil"/>
            </w:tcBorders>
            <w:hideMark/>
          </w:tcPr>
          <w:p w14:paraId="15A56A04" w14:textId="77777777" w:rsidR="00855EB0" w:rsidRPr="00B253C4" w:rsidRDefault="00855EB0" w:rsidP="00B24480">
            <w:pPr>
              <w:pStyle w:val="TableBullet1"/>
            </w:pPr>
            <w:r w:rsidRPr="00B253C4">
              <w:t>Young people felt that they knew more about mental health problems in general because of attending headspace.</w:t>
            </w:r>
          </w:p>
          <w:p w14:paraId="05E0DEF8" w14:textId="47E661F4" w:rsidR="00855EB0" w:rsidRPr="00B253C4" w:rsidRDefault="009429E2" w:rsidP="00B24480">
            <w:pPr>
              <w:pStyle w:val="TableBullet1"/>
            </w:pPr>
            <w:r>
              <w:t>Y</w:t>
            </w:r>
            <w:r w:rsidR="00855EB0" w:rsidRPr="00B253C4">
              <w:t xml:space="preserve">oung people from culturally and linguistically diverse backgrounds, from Aboriginal or Torres Strait Islander backgrounds, and for young people who speak a language other than English at home </w:t>
            </w:r>
            <w:r>
              <w:t>thought that headspace had increased their mental health literacy to a similar degree.</w:t>
            </w:r>
          </w:p>
          <w:p w14:paraId="1ED67676" w14:textId="61D80E2B" w:rsidR="00855EB0" w:rsidRPr="00B253C4" w:rsidRDefault="00855EB0" w:rsidP="00B24480">
            <w:pPr>
              <w:pStyle w:val="TableBullet1"/>
            </w:pPr>
            <w:r w:rsidRPr="00B253C4">
              <w:t xml:space="preserve">The extent to which young people indicated that headspace had helped them to improve their mental health literacy steadily increased with the number of </w:t>
            </w:r>
            <w:r w:rsidR="007B2863">
              <w:t>OOS</w:t>
            </w:r>
            <w:r w:rsidRPr="00B253C4">
              <w:t xml:space="preserve"> they had accessed.</w:t>
            </w:r>
          </w:p>
          <w:p w14:paraId="0D3041A5" w14:textId="19D368A6" w:rsidR="00855EB0" w:rsidRPr="00B253C4" w:rsidRDefault="00855EB0" w:rsidP="00B24480">
            <w:pPr>
              <w:pStyle w:val="TableBullet1"/>
            </w:pPr>
            <w:r w:rsidRPr="00B253C4">
              <w:t xml:space="preserve">Most </w:t>
            </w:r>
            <w:r w:rsidR="00812A15">
              <w:t xml:space="preserve">young people </w:t>
            </w:r>
            <w:r w:rsidR="00812A15" w:rsidRPr="00B253C4">
              <w:t xml:space="preserve">interviewed </w:t>
            </w:r>
            <w:r w:rsidR="00812A15">
              <w:t xml:space="preserve">who currently use </w:t>
            </w:r>
            <w:r w:rsidRPr="00B253C4">
              <w:t xml:space="preserve">headspace </w:t>
            </w:r>
            <w:r w:rsidR="00812A15">
              <w:t>services</w:t>
            </w:r>
            <w:r w:rsidRPr="00B253C4">
              <w:t xml:space="preserve"> reported their mental health literacy had improved due to their participation in therapeutic encounters with headspace counsellors and clinical psychologists. </w:t>
            </w:r>
          </w:p>
          <w:p w14:paraId="0F5309F9" w14:textId="5E625DCD" w:rsidR="00855EB0" w:rsidRPr="00B253C4" w:rsidRDefault="00812A15" w:rsidP="00B24480">
            <w:pPr>
              <w:pStyle w:val="TableBullet1"/>
            </w:pPr>
            <w:r>
              <w:t>Respondents</w:t>
            </w:r>
            <w:r w:rsidR="00855EB0" w:rsidRPr="00B253C4">
              <w:t xml:space="preserve"> </w:t>
            </w:r>
            <w:r w:rsidR="00CA52B5">
              <w:t>articulated they had</w:t>
            </w:r>
            <w:r w:rsidR="00855EB0" w:rsidRPr="00B253C4">
              <w:t xml:space="preserve"> learned about mental health, specific concepts, obtained a diagnosis in many cases, and had gained more insight into their own conditions, discussing these using concepts and language derived from written material and their therapists. Some attributed new knowledge and positive outcomes wholly to headspace</w:t>
            </w:r>
            <w:r w:rsidR="0018018B">
              <w:t>.</w:t>
            </w:r>
          </w:p>
          <w:p w14:paraId="7FB23D51" w14:textId="76456416" w:rsidR="00855EB0" w:rsidRPr="00B253C4" w:rsidRDefault="00855EB0" w:rsidP="00B24480">
            <w:pPr>
              <w:pStyle w:val="TableBullet1"/>
            </w:pPr>
            <w:r w:rsidRPr="00B253C4">
              <w:rPr>
                <w:lang w:val="en-US"/>
              </w:rPr>
              <w:t xml:space="preserve">A minority </w:t>
            </w:r>
            <w:r w:rsidR="00E876DA">
              <w:rPr>
                <w:lang w:val="en-US"/>
              </w:rPr>
              <w:t xml:space="preserve">of respondents </w:t>
            </w:r>
            <w:r w:rsidRPr="00B253C4">
              <w:rPr>
                <w:lang w:val="en-US"/>
              </w:rPr>
              <w:t xml:space="preserve">felt headspace had not helped them much </w:t>
            </w:r>
            <w:r w:rsidR="0018018B">
              <w:rPr>
                <w:lang w:val="en-US"/>
              </w:rPr>
              <w:t>if</w:t>
            </w:r>
            <w:r w:rsidR="0018018B" w:rsidRPr="00B253C4">
              <w:rPr>
                <w:lang w:val="en-US"/>
              </w:rPr>
              <w:t xml:space="preserve"> </w:t>
            </w:r>
            <w:r w:rsidRPr="00B253C4">
              <w:rPr>
                <w:lang w:val="en-US"/>
              </w:rPr>
              <w:t>at all.</w:t>
            </w:r>
          </w:p>
          <w:p w14:paraId="73E73E8A" w14:textId="77777777" w:rsidR="00855EB0" w:rsidRPr="00B253C4" w:rsidRDefault="00855EB0" w:rsidP="00B24480">
            <w:pPr>
              <w:pStyle w:val="TableBullet1"/>
            </w:pPr>
            <w:r w:rsidRPr="00B253C4">
              <w:t>A key aspect of building mental health literacy with young people, emphasised in interview responses from headspace users, is the level of rapport and engagement established between the young person and the headspace worker with whom they are connected.</w:t>
            </w:r>
          </w:p>
          <w:p w14:paraId="0957268D" w14:textId="7EB575D5" w:rsidR="00855EB0" w:rsidRPr="00B253C4" w:rsidRDefault="00855EB0" w:rsidP="00B24480">
            <w:pPr>
              <w:pStyle w:val="TableBullet1"/>
            </w:pPr>
            <w:r w:rsidRPr="00B253C4">
              <w:t xml:space="preserve">Apart from learning more about mental health through headspace, </w:t>
            </w:r>
            <w:r w:rsidR="004D76B8">
              <w:t>young people</w:t>
            </w:r>
            <w:r w:rsidR="004D76B8" w:rsidRPr="00B253C4">
              <w:t xml:space="preserve"> </w:t>
            </w:r>
            <w:r w:rsidRPr="00B253C4">
              <w:t xml:space="preserve">also cited </w:t>
            </w:r>
            <w:r w:rsidR="00AE7682">
              <w:t>that the</w:t>
            </w:r>
            <w:r w:rsidR="002660DC">
              <w:t>ir mental health literacy increased by accessing information from their</w:t>
            </w:r>
            <w:r w:rsidRPr="00B253C4">
              <w:t xml:space="preserve"> private psychologists and by researching and reading information online.</w:t>
            </w:r>
          </w:p>
          <w:p w14:paraId="0480E664" w14:textId="368B4685" w:rsidR="00855EB0" w:rsidRPr="00853840" w:rsidRDefault="00855EB0" w:rsidP="00B24480">
            <w:pPr>
              <w:pStyle w:val="TableBullet1"/>
            </w:pPr>
            <w:r w:rsidRPr="00B253C4">
              <w:t>After coming to headspace, using the services, and learning coping strategies to manage their mental health, many of the young people in reference groups interviewed reported that they had gained more confidence to speak about their experiences and had then actively promoted the service to friends and more broadly.</w:t>
            </w:r>
          </w:p>
        </w:tc>
      </w:tr>
      <w:tr w:rsidR="00855EB0" w14:paraId="44AA0CE4" w14:textId="77777777" w:rsidTr="00D93398">
        <w:tc>
          <w:tcPr>
            <w:tcW w:w="1540" w:type="pct"/>
            <w:tcBorders>
              <w:top w:val="single" w:sz="2" w:space="0" w:color="808080" w:themeColor="background1" w:themeShade="80"/>
              <w:left w:val="nil"/>
              <w:bottom w:val="single" w:sz="2" w:space="0" w:color="808080" w:themeColor="background1" w:themeShade="80"/>
              <w:right w:val="nil"/>
            </w:tcBorders>
            <w:hideMark/>
          </w:tcPr>
          <w:p w14:paraId="5C0BE6F5" w14:textId="77777777" w:rsidR="00855EB0" w:rsidRPr="00CC2258" w:rsidRDefault="00855EB0" w:rsidP="001A4FD1">
            <w:pPr>
              <w:pStyle w:val="Tabletext"/>
            </w:pPr>
            <w:r>
              <w:t>How effective is headspace in increasing early help seeking?</w:t>
            </w:r>
          </w:p>
        </w:tc>
        <w:tc>
          <w:tcPr>
            <w:tcW w:w="3460" w:type="pct"/>
            <w:tcBorders>
              <w:top w:val="single" w:sz="2" w:space="0" w:color="808080" w:themeColor="background1" w:themeShade="80"/>
              <w:left w:val="nil"/>
              <w:bottom w:val="single" w:sz="2" w:space="0" w:color="808080" w:themeColor="background1" w:themeShade="80"/>
              <w:right w:val="nil"/>
            </w:tcBorders>
            <w:hideMark/>
          </w:tcPr>
          <w:p w14:paraId="4FA824FD" w14:textId="11376DEF" w:rsidR="00855EB0" w:rsidRPr="00B253C4" w:rsidRDefault="001552DD" w:rsidP="00B24480">
            <w:pPr>
              <w:pStyle w:val="TableBullet1"/>
            </w:pPr>
            <w:r>
              <w:t>77-78</w:t>
            </w:r>
            <w:r w:rsidR="00261566">
              <w:t xml:space="preserve"> per cent</w:t>
            </w:r>
            <w:r w:rsidR="00855EB0" w:rsidRPr="00B253C4">
              <w:t xml:space="preserve"> of young people presenting </w:t>
            </w:r>
            <w:r w:rsidR="007D05F1">
              <w:t xml:space="preserve">were </w:t>
            </w:r>
            <w:r w:rsidR="00855EB0" w:rsidRPr="00B253C4">
              <w:t>aged under 20</w:t>
            </w:r>
            <w:r w:rsidR="007D05F1">
              <w:t> </w:t>
            </w:r>
            <w:r w:rsidR="00855EB0" w:rsidRPr="00B253C4">
              <w:t>years (2015-16 to 2019-20).</w:t>
            </w:r>
          </w:p>
          <w:p w14:paraId="009FCB8A" w14:textId="12766FF5" w:rsidR="00855EB0" w:rsidRPr="00B253C4" w:rsidRDefault="00855EB0" w:rsidP="00B24480">
            <w:pPr>
              <w:pStyle w:val="TableBullet1"/>
            </w:pPr>
            <w:r w:rsidRPr="00B253C4">
              <w:t xml:space="preserve">hMDS data in the period indicates that just under half of the young people presenting (46.1 per cent) were in </w:t>
            </w:r>
            <w:r w:rsidR="00CB68CB">
              <w:t>the</w:t>
            </w:r>
            <w:r w:rsidR="00CB68CB" w:rsidRPr="00B253C4">
              <w:t xml:space="preserve"> </w:t>
            </w:r>
            <w:r w:rsidRPr="00B253C4">
              <w:t>early help seeking category.</w:t>
            </w:r>
          </w:p>
          <w:p w14:paraId="0D502781" w14:textId="41155856" w:rsidR="00855EB0" w:rsidRPr="00B253C4" w:rsidRDefault="00855EB0" w:rsidP="00B24480">
            <w:pPr>
              <w:pStyle w:val="TableBullet1"/>
            </w:pPr>
            <w:r w:rsidRPr="00B253C4">
              <w:t>headspace users relayed that young people are increasingly aware of mental health issues, and that stigma has reduced over time.</w:t>
            </w:r>
            <w:r w:rsidR="002E7784">
              <w:t xml:space="preserve"> </w:t>
            </w:r>
            <w:r w:rsidR="002E7784" w:rsidRPr="009C52D1">
              <w:t xml:space="preserve">headspace visibility and outreach meant that young people were sometimes already aware of </w:t>
            </w:r>
            <w:r w:rsidR="009F345B">
              <w:t>headspace</w:t>
            </w:r>
            <w:r w:rsidR="002E7784" w:rsidRPr="009C52D1">
              <w:t xml:space="preserve">, or were referred to </w:t>
            </w:r>
            <w:r w:rsidR="009F345B">
              <w:t>headspace</w:t>
            </w:r>
            <w:r w:rsidR="002E7784" w:rsidRPr="009C52D1">
              <w:t xml:space="preserve"> early via school or through their GP</w:t>
            </w:r>
            <w:r w:rsidR="001D7550">
              <w:t>.</w:t>
            </w:r>
          </w:p>
          <w:p w14:paraId="73836CCC" w14:textId="6FFEA167" w:rsidR="00855EB0" w:rsidRPr="00B253C4" w:rsidRDefault="004055DA" w:rsidP="00B24480">
            <w:pPr>
              <w:pStyle w:val="TableBullet1"/>
            </w:pPr>
            <w:r>
              <w:t>W</w:t>
            </w:r>
            <w:r w:rsidR="00855EB0" w:rsidRPr="00B253C4">
              <w:t>aitlists were raised by some as an inconvenience and others as a severe challenge</w:t>
            </w:r>
            <w:r>
              <w:t>.</w:t>
            </w:r>
          </w:p>
          <w:p w14:paraId="13F1CD7E" w14:textId="2B0DDF36" w:rsidR="00855EB0" w:rsidRPr="00B253C4" w:rsidRDefault="00855EB0" w:rsidP="00B24480">
            <w:pPr>
              <w:pStyle w:val="TableBullet1"/>
            </w:pPr>
            <w:r w:rsidRPr="00B253C4">
              <w:rPr>
                <w:shd w:val="clear" w:color="auto" w:fill="FFFFFF"/>
              </w:rPr>
              <w:t xml:space="preserve">Reference group participants commented that headspace’s promotional activities were effective, and </w:t>
            </w:r>
            <w:r w:rsidR="00E40D47">
              <w:rPr>
                <w:shd w:val="clear" w:color="auto" w:fill="FFFFFF"/>
              </w:rPr>
              <w:t>service</w:t>
            </w:r>
            <w:r w:rsidRPr="00B253C4">
              <w:rPr>
                <w:shd w:val="clear" w:color="auto" w:fill="FFFFFF"/>
              </w:rPr>
              <w:t>s appeared accessible and used ‘soft entry points’ as well as referral pathways from GPs.</w:t>
            </w:r>
          </w:p>
          <w:p w14:paraId="3E650628" w14:textId="1682EF65" w:rsidR="00855EB0" w:rsidRPr="00B253C4" w:rsidRDefault="00855EB0" w:rsidP="00B24480">
            <w:pPr>
              <w:pStyle w:val="TableBullet1"/>
            </w:pPr>
            <w:r w:rsidRPr="00B253C4">
              <w:rPr>
                <w:shd w:val="clear" w:color="auto" w:fill="FFFFFF"/>
              </w:rPr>
              <w:t>Youth reference group participants commented that headspace’s promotional activities in the community and outreach in schools meant that young people could be linked to help early through GPs and school counsellors</w:t>
            </w:r>
            <w:r w:rsidR="004055DA">
              <w:rPr>
                <w:shd w:val="clear" w:color="auto" w:fill="FFFFFF"/>
              </w:rPr>
              <w:t>.</w:t>
            </w:r>
          </w:p>
        </w:tc>
      </w:tr>
      <w:tr w:rsidR="00855EB0" w14:paraId="6D87CABB" w14:textId="77777777" w:rsidTr="00D93398">
        <w:tc>
          <w:tcPr>
            <w:tcW w:w="1540" w:type="pct"/>
            <w:tcBorders>
              <w:top w:val="single" w:sz="2" w:space="0" w:color="808080" w:themeColor="background1" w:themeShade="80"/>
              <w:left w:val="nil"/>
              <w:bottom w:val="single" w:sz="2" w:space="0" w:color="808080" w:themeColor="background1" w:themeShade="80"/>
              <w:right w:val="nil"/>
            </w:tcBorders>
            <w:hideMark/>
          </w:tcPr>
          <w:p w14:paraId="4ABD50EF" w14:textId="77777777" w:rsidR="00855EB0" w:rsidRPr="00CC2258" w:rsidRDefault="00855EB0" w:rsidP="00A33A8D">
            <w:pPr>
              <w:pStyle w:val="Tabletext"/>
              <w:rPr>
                <w:rFonts w:cstheme="minorHAnsi"/>
              </w:rPr>
            </w:pPr>
            <w:r>
              <w:rPr>
                <w:rFonts w:cstheme="minorHAnsi"/>
              </w:rPr>
              <w:t>How effective is headspace in increasing access to required services?</w:t>
            </w:r>
          </w:p>
        </w:tc>
        <w:tc>
          <w:tcPr>
            <w:tcW w:w="3460" w:type="pct"/>
            <w:tcBorders>
              <w:top w:val="single" w:sz="2" w:space="0" w:color="808080" w:themeColor="background1" w:themeShade="80"/>
              <w:left w:val="nil"/>
              <w:bottom w:val="single" w:sz="2" w:space="0" w:color="808080" w:themeColor="background1" w:themeShade="80"/>
              <w:right w:val="nil"/>
            </w:tcBorders>
            <w:hideMark/>
          </w:tcPr>
          <w:p w14:paraId="5BD6ACF3" w14:textId="632222CB" w:rsidR="00855EB0" w:rsidRPr="00B253C4" w:rsidRDefault="00855EB0" w:rsidP="00B24480">
            <w:pPr>
              <w:pStyle w:val="TableBullet1"/>
            </w:pPr>
            <w:r w:rsidRPr="00B253C4">
              <w:t>Young people using headspace were generally referred by GPs, via schools, or on parental suggestion</w:t>
            </w:r>
            <w:r w:rsidR="004055DA">
              <w:t>.</w:t>
            </w:r>
          </w:p>
          <w:p w14:paraId="55B5D518" w14:textId="4EEB990C" w:rsidR="00855EB0" w:rsidRPr="00B253C4" w:rsidRDefault="00855EB0" w:rsidP="00B24480">
            <w:pPr>
              <w:pStyle w:val="TableBullet1"/>
            </w:pPr>
            <w:r w:rsidRPr="00B253C4">
              <w:t>While most accessed services face-to-face, due to the pandemic, or because of distance, some users preferred flexible appointments using telephone or online platforms</w:t>
            </w:r>
            <w:r w:rsidR="004055DA">
              <w:t>,</w:t>
            </w:r>
            <w:r w:rsidRPr="00B253C4">
              <w:t xml:space="preserve"> such as Zoom</w:t>
            </w:r>
            <w:r w:rsidR="004055DA">
              <w:t>.</w:t>
            </w:r>
          </w:p>
          <w:p w14:paraId="3BBCEC5C" w14:textId="5818C2F2" w:rsidR="00855EB0" w:rsidRPr="00B253C4" w:rsidRDefault="00855EB0" w:rsidP="00B24480">
            <w:pPr>
              <w:pStyle w:val="TableBullet1"/>
            </w:pPr>
            <w:r w:rsidRPr="00B253C4">
              <w:t>headspace</w:t>
            </w:r>
            <w:r w:rsidRPr="00B253C4" w:rsidDel="004D76B8">
              <w:t xml:space="preserve"> </w:t>
            </w:r>
            <w:r w:rsidR="004D76B8">
              <w:t>services</w:t>
            </w:r>
            <w:r w:rsidRPr="00B253C4">
              <w:t xml:space="preserve"> were reported as conveniently located, with some element of discretion preferred, to avoid stigma and the risk of people observing them accessing the </w:t>
            </w:r>
            <w:r w:rsidR="004D76B8">
              <w:t>service</w:t>
            </w:r>
            <w:r w:rsidR="004055DA">
              <w:t>.</w:t>
            </w:r>
          </w:p>
          <w:p w14:paraId="59C45BD0" w14:textId="2D8A1C34" w:rsidR="00855EB0" w:rsidRPr="00B253C4" w:rsidRDefault="00855EB0" w:rsidP="00B24480">
            <w:pPr>
              <w:pStyle w:val="TableBullet1"/>
            </w:pPr>
            <w:r w:rsidRPr="00B253C4">
              <w:t>Once accessing the service, users reported it to be friendly and welcoming</w:t>
            </w:r>
            <w:r w:rsidR="004055DA">
              <w:t>.</w:t>
            </w:r>
          </w:p>
          <w:p w14:paraId="5D0324F6" w14:textId="48FBA9BC" w:rsidR="00855EB0" w:rsidRPr="00B253C4" w:rsidRDefault="00855EB0" w:rsidP="00B24480">
            <w:pPr>
              <w:pStyle w:val="TableBullet1"/>
            </w:pPr>
            <w:r w:rsidRPr="00B253C4">
              <w:t xml:space="preserve">One downside reported by a small number of </w:t>
            </w:r>
            <w:r w:rsidR="004D76B8" w:rsidRPr="004D76B8">
              <w:t>y</w:t>
            </w:r>
            <w:r w:rsidR="004D76B8">
              <w:t>oung people who had accessed headspace</w:t>
            </w:r>
            <w:r w:rsidR="004D76B8" w:rsidRPr="00B253C4">
              <w:t xml:space="preserve"> </w:t>
            </w:r>
            <w:r w:rsidRPr="00B253C4">
              <w:t xml:space="preserve">was a long waiting time (about a month) between intake and assignment to a counsellor or psychologist. </w:t>
            </w:r>
          </w:p>
          <w:p w14:paraId="5CADC882" w14:textId="18987659" w:rsidR="00855EB0" w:rsidRPr="00B253C4" w:rsidRDefault="004D76B8" w:rsidP="00B24480">
            <w:pPr>
              <w:pStyle w:val="TableBullet1"/>
            </w:pPr>
            <w:r>
              <w:t xml:space="preserve">Young people who had accessed </w:t>
            </w:r>
            <w:r w:rsidR="00855EB0" w:rsidRPr="00B253C4">
              <w:t xml:space="preserve">headspace </w:t>
            </w:r>
            <w:r>
              <w:t xml:space="preserve">services </w:t>
            </w:r>
            <w:r w:rsidR="00855EB0" w:rsidRPr="00B253C4">
              <w:t>reported appropriate referrals, for example to dieticians or other specialists, however referrals to psychiatrists were difficult</w:t>
            </w:r>
            <w:r w:rsidR="004055DA">
              <w:t>.</w:t>
            </w:r>
            <w:r w:rsidR="006F1F6D">
              <w:t xml:space="preserve"> </w:t>
            </w:r>
            <w:r>
              <w:t>Young people n</w:t>
            </w:r>
            <w:r w:rsidR="006F1F6D">
              <w:t>oted this</w:t>
            </w:r>
            <w:r w:rsidR="006F1F6D" w:rsidDel="00812A15">
              <w:t xml:space="preserve"> </w:t>
            </w:r>
            <w:r w:rsidR="00812A15">
              <w:t>is not</w:t>
            </w:r>
            <w:r w:rsidR="006F1F6D">
              <w:t xml:space="preserve"> a reflection of headspace but that psychiatrists are hard to come by in general and waiting lists for appointments </w:t>
            </w:r>
            <w:r w:rsidR="00812A15">
              <w:t xml:space="preserve">are </w:t>
            </w:r>
            <w:r w:rsidR="006F1F6D">
              <w:t>lengthy</w:t>
            </w:r>
            <w:r w:rsidR="008D4470">
              <w:t>.</w:t>
            </w:r>
          </w:p>
          <w:p w14:paraId="0EA09E4B" w14:textId="77777777" w:rsidR="0094071A" w:rsidRDefault="004055DA" w:rsidP="00B24480">
            <w:pPr>
              <w:pStyle w:val="TableBullet1"/>
            </w:pPr>
            <w:r>
              <w:t>A</w:t>
            </w:r>
            <w:r w:rsidR="00855EB0" w:rsidRPr="00B253C4">
              <w:t xml:space="preserve"> minority of young people were not happy with their encounter with headspace, citing other services or clinicians </w:t>
            </w:r>
            <w:r w:rsidR="00966F8F">
              <w:t>who</w:t>
            </w:r>
            <w:r w:rsidR="00966F8F" w:rsidRPr="00B253C4">
              <w:t xml:space="preserve"> </w:t>
            </w:r>
            <w:r w:rsidR="00855EB0" w:rsidRPr="00B253C4">
              <w:t>helped them more</w:t>
            </w:r>
            <w:r w:rsidR="0094071A">
              <w:t>.</w:t>
            </w:r>
          </w:p>
          <w:p w14:paraId="11F20696" w14:textId="29A50880" w:rsidR="00855EB0" w:rsidRPr="00B253C4" w:rsidRDefault="0094071A" w:rsidP="00B24480">
            <w:pPr>
              <w:pStyle w:val="TableBullet1"/>
            </w:pPr>
            <w:r>
              <w:t>M</w:t>
            </w:r>
            <w:r w:rsidR="00855EB0" w:rsidRPr="00B253C4">
              <w:t xml:space="preserve">ost found the help they received </w:t>
            </w:r>
            <w:r>
              <w:t xml:space="preserve">from headspace </w:t>
            </w:r>
            <w:r w:rsidR="00855EB0" w:rsidRPr="00B253C4">
              <w:t>to be beneficial, or that headspace led to a referral that helped more.</w:t>
            </w:r>
          </w:p>
          <w:p w14:paraId="0CF3566D" w14:textId="4E4F0A96" w:rsidR="00855EB0" w:rsidRPr="00B253C4" w:rsidRDefault="00855EB0" w:rsidP="00B24480">
            <w:pPr>
              <w:pStyle w:val="TableBullet1"/>
            </w:pPr>
            <w:r w:rsidRPr="00B253C4">
              <w:t xml:space="preserve">Young people reported that headspace worked well with other </w:t>
            </w:r>
            <w:r w:rsidR="00841BE3">
              <w:t xml:space="preserve">external </w:t>
            </w:r>
            <w:r w:rsidRPr="00B253C4">
              <w:t>service</w:t>
            </w:r>
            <w:r w:rsidR="00C277D1">
              <w:t xml:space="preserve"> providers such as </w:t>
            </w:r>
            <w:r w:rsidR="009E659F">
              <w:t>dietitians</w:t>
            </w:r>
            <w:r w:rsidR="00C277D1">
              <w:t xml:space="preserve">, specialists </w:t>
            </w:r>
            <w:r w:rsidRPr="00B253C4">
              <w:t xml:space="preserve">to meet the needs of users, using a client-centred approach. </w:t>
            </w:r>
          </w:p>
          <w:p w14:paraId="6E475455" w14:textId="77777777" w:rsidR="00855EB0" w:rsidRPr="00B253C4" w:rsidRDefault="00855EB0" w:rsidP="00B24480">
            <w:pPr>
              <w:pStyle w:val="TableBullet1"/>
            </w:pPr>
            <w:r w:rsidRPr="00B253C4">
              <w:t xml:space="preserve">Staff provided support in a respectful and non-judgmental manner and worked diligently to ensure that users accessed the required services from headspace or from external organisations. </w:t>
            </w:r>
          </w:p>
          <w:p w14:paraId="417B3EAF" w14:textId="77777777" w:rsidR="00855EB0" w:rsidRPr="00B253C4" w:rsidRDefault="00855EB0" w:rsidP="00B24480">
            <w:pPr>
              <w:pStyle w:val="TableBullet1"/>
            </w:pPr>
            <w:r w:rsidRPr="00B253C4">
              <w:t>Confidentiality was raised as an important issue when the young people were referred to other services from headspace.</w:t>
            </w:r>
          </w:p>
          <w:p w14:paraId="30209884" w14:textId="54669191" w:rsidR="00855EB0" w:rsidRPr="00B253C4" w:rsidRDefault="00855EB0" w:rsidP="00B24480">
            <w:pPr>
              <w:pStyle w:val="TableBullet1"/>
            </w:pPr>
            <w:r w:rsidRPr="00B253C4">
              <w:rPr>
                <w:rStyle w:val="normaltextrun"/>
                <w:shd w:val="clear" w:color="auto" w:fill="FFFFFF"/>
              </w:rPr>
              <w:t xml:space="preserve">Young people also commented that headspace staff would diligently try to meet the needs of users first rather than just ‘redirecting them’. However, </w:t>
            </w:r>
            <w:r w:rsidR="007222CD">
              <w:rPr>
                <w:rStyle w:val="normaltextrun"/>
                <w:shd w:val="clear" w:color="auto" w:fill="FFFFFF"/>
              </w:rPr>
              <w:t>due to the increasing complexity of young people presenting and the bounds of the headspace model,</w:t>
            </w:r>
            <w:r w:rsidRPr="00B253C4">
              <w:rPr>
                <w:rStyle w:val="normaltextrun"/>
                <w:shd w:val="clear" w:color="auto" w:fill="FFFFFF"/>
              </w:rPr>
              <w:t xml:space="preserve"> </w:t>
            </w:r>
            <w:r w:rsidR="007222CD">
              <w:rPr>
                <w:rStyle w:val="normaltextrun"/>
                <w:shd w:val="clear" w:color="auto" w:fill="FFFFFF"/>
              </w:rPr>
              <w:t xml:space="preserve">it </w:t>
            </w:r>
            <w:r w:rsidR="00812A15">
              <w:rPr>
                <w:rStyle w:val="normaltextrun"/>
                <w:shd w:val="clear" w:color="auto" w:fill="FFFFFF"/>
              </w:rPr>
              <w:t xml:space="preserve">was not </w:t>
            </w:r>
            <w:r w:rsidR="007222CD">
              <w:rPr>
                <w:rStyle w:val="normaltextrun"/>
                <w:shd w:val="clear" w:color="auto" w:fill="FFFFFF"/>
              </w:rPr>
              <w:t xml:space="preserve">uncommon </w:t>
            </w:r>
            <w:r w:rsidR="00875B6A">
              <w:t>for young people to require more support than headspace service can provide. In these situations, headspace staff provide continuity of support until other more appropriate services can be put in place.</w:t>
            </w:r>
          </w:p>
        </w:tc>
      </w:tr>
      <w:tr w:rsidR="00855EB0" w14:paraId="569118D3"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0D794C6A" w14:textId="37253C97" w:rsidR="00855EB0" w:rsidRDefault="00855EB0" w:rsidP="00A33A8D">
            <w:pPr>
              <w:pStyle w:val="Tabletext"/>
              <w:rPr>
                <w:rFonts w:cstheme="minorHAnsi"/>
              </w:rPr>
            </w:pPr>
            <w:r>
              <w:rPr>
                <w:rFonts w:cstheme="minorHAnsi"/>
              </w:rPr>
              <w:t xml:space="preserve">How effective is headspace in supporting ‘hard to reach’ groups, including those who are at greater risk and less likely to seek help? </w:t>
            </w:r>
            <w:r>
              <w:t>In increasing access for hard-to-reach groups?</w:t>
            </w:r>
          </w:p>
        </w:tc>
        <w:tc>
          <w:tcPr>
            <w:tcW w:w="3460" w:type="pct"/>
            <w:tcBorders>
              <w:top w:val="single" w:sz="2" w:space="0" w:color="808080" w:themeColor="background1" w:themeShade="80"/>
              <w:left w:val="nil"/>
              <w:bottom w:val="single" w:sz="2" w:space="0" w:color="808080" w:themeColor="background1" w:themeShade="80"/>
              <w:right w:val="nil"/>
            </w:tcBorders>
          </w:tcPr>
          <w:p w14:paraId="01754851" w14:textId="77777777" w:rsidR="00855EB0" w:rsidRPr="00B253C4" w:rsidRDefault="00855EB0" w:rsidP="00B24480">
            <w:pPr>
              <w:pStyle w:val="TableBullet1"/>
            </w:pPr>
            <w:r w:rsidRPr="00B253C4">
              <w:t xml:space="preserve">The hMDS user satisfaction data indicates that there is no significant difference between the improvements in mental health literacy reported by young people who access headspace from different culturally and linguistically diverse backgrounds or by young people who identify as LGBTQIA+, however satisfaction was significantly lower for Aboriginal and Torres Strait Islander young people compared to the general population of young people attending headspace. </w:t>
            </w:r>
          </w:p>
          <w:p w14:paraId="0B63FBAF" w14:textId="3979857A" w:rsidR="00855EB0" w:rsidRPr="00B253C4" w:rsidRDefault="00855EB0" w:rsidP="00B24480">
            <w:pPr>
              <w:pStyle w:val="TableBullet1"/>
            </w:pPr>
            <w:r w:rsidRPr="00B253C4">
              <w:rPr>
                <w:shd w:val="clear" w:color="auto" w:fill="FFFFFF"/>
              </w:rPr>
              <w:t xml:space="preserve">Youth reference group members noted that </w:t>
            </w:r>
            <w:r w:rsidRPr="00B253C4">
              <w:t>headspace</w:t>
            </w:r>
            <w:r w:rsidRPr="00B253C4">
              <w:rPr>
                <w:shd w:val="clear" w:color="auto" w:fill="FFFFFF"/>
              </w:rPr>
              <w:t xml:space="preserve"> actively worked to increase mental health literacy across all groups of young people</w:t>
            </w:r>
            <w:r w:rsidR="00966F8F">
              <w:rPr>
                <w:shd w:val="clear" w:color="auto" w:fill="FFFFFF"/>
              </w:rPr>
              <w:t>,</w:t>
            </w:r>
            <w:r w:rsidRPr="00B253C4">
              <w:rPr>
                <w:shd w:val="clear" w:color="auto" w:fill="FFFFFF"/>
              </w:rPr>
              <w:t xml:space="preserve"> including those </w:t>
            </w:r>
            <w:r w:rsidR="00966F8F">
              <w:rPr>
                <w:shd w:val="clear" w:color="auto" w:fill="FFFFFF"/>
              </w:rPr>
              <w:t xml:space="preserve">who are </w:t>
            </w:r>
            <w:r w:rsidRPr="00B253C4">
              <w:rPr>
                <w:shd w:val="clear" w:color="auto" w:fill="FFFFFF"/>
              </w:rPr>
              <w:t>hard</w:t>
            </w:r>
            <w:r w:rsidR="00966F8F">
              <w:rPr>
                <w:shd w:val="clear" w:color="auto" w:fill="FFFFFF"/>
              </w:rPr>
              <w:t xml:space="preserve"> </w:t>
            </w:r>
            <w:r w:rsidRPr="00B253C4">
              <w:rPr>
                <w:shd w:val="clear" w:color="auto" w:fill="FFFFFF"/>
              </w:rPr>
              <w:t>to</w:t>
            </w:r>
            <w:r w:rsidR="00966F8F">
              <w:rPr>
                <w:shd w:val="clear" w:color="auto" w:fill="FFFFFF"/>
              </w:rPr>
              <w:t xml:space="preserve"> </w:t>
            </w:r>
            <w:r w:rsidRPr="00B253C4">
              <w:rPr>
                <w:shd w:val="clear" w:color="auto" w:fill="FFFFFF"/>
              </w:rPr>
              <w:t xml:space="preserve">reach. They noted that unless young people were willing to accept help, these groups would remain difficult to reach. </w:t>
            </w:r>
          </w:p>
          <w:p w14:paraId="15BB1B28" w14:textId="756AB30A" w:rsidR="00855EB0" w:rsidRPr="00B253C4" w:rsidRDefault="00A472DA" w:rsidP="00B24480">
            <w:pPr>
              <w:pStyle w:val="TableBullet1"/>
            </w:pPr>
            <w:r>
              <w:t>h</w:t>
            </w:r>
            <w:r w:rsidR="00855EB0" w:rsidRPr="00B253C4">
              <w:t>eadspace users from</w:t>
            </w:r>
            <w:r w:rsidR="009B694D">
              <w:t xml:space="preserve"> </w:t>
            </w:r>
            <w:r w:rsidR="00875B6A">
              <w:t>‘</w:t>
            </w:r>
            <w:r w:rsidR="009B694D">
              <w:t>hard-to-reach</w:t>
            </w:r>
            <w:r w:rsidR="00875B6A">
              <w:t>’</w:t>
            </w:r>
            <w:r w:rsidR="009B694D">
              <w:t xml:space="preserve"> cohorts </w:t>
            </w:r>
            <w:r w:rsidR="001C34D7">
              <w:t xml:space="preserve">interviewed reported </w:t>
            </w:r>
            <w:r w:rsidR="00855EB0" w:rsidRPr="00B253C4">
              <w:t xml:space="preserve">that it </w:t>
            </w:r>
            <w:r w:rsidR="001C34D7">
              <w:t>took them time</w:t>
            </w:r>
            <w:r w:rsidR="00855EB0" w:rsidRPr="00B253C4">
              <w:t xml:space="preserve"> to decide to seek help and pointed to other young people who were </w:t>
            </w:r>
            <w:r w:rsidR="00875B6A">
              <w:t>‘</w:t>
            </w:r>
            <w:r w:rsidR="00855EB0" w:rsidRPr="00B253C4">
              <w:t>hard</w:t>
            </w:r>
            <w:r w:rsidR="00F36568">
              <w:t>-</w:t>
            </w:r>
            <w:r w:rsidR="00855EB0" w:rsidRPr="00B253C4">
              <w:t xml:space="preserve"> to</w:t>
            </w:r>
            <w:r w:rsidR="00F36568">
              <w:t>-</w:t>
            </w:r>
            <w:r w:rsidR="00855EB0" w:rsidRPr="00B253C4">
              <w:t>reach</w:t>
            </w:r>
            <w:r w:rsidR="00875B6A">
              <w:t>’</w:t>
            </w:r>
            <w:r w:rsidR="00855EB0" w:rsidRPr="00B253C4">
              <w:t xml:space="preserve"> and resistant to seeking help.</w:t>
            </w:r>
          </w:p>
          <w:p w14:paraId="460D7D73" w14:textId="1A976D26" w:rsidR="00855EB0" w:rsidRPr="00B253C4" w:rsidRDefault="00855EB0" w:rsidP="00B24480">
            <w:pPr>
              <w:pStyle w:val="TableBullet1"/>
            </w:pPr>
            <w:r w:rsidRPr="00B253C4">
              <w:t xml:space="preserve">Young people cited the importance of outreach in public spaces and schools as one way of engaging with harder to reach people, as well as </w:t>
            </w:r>
            <w:r w:rsidR="00812A15">
              <w:t>ensuring</w:t>
            </w:r>
            <w:r w:rsidRPr="00B253C4">
              <w:t xml:space="preserve"> that people </w:t>
            </w:r>
            <w:r w:rsidR="00812A15">
              <w:t>are made aware</w:t>
            </w:r>
            <w:r w:rsidR="00812A15" w:rsidRPr="00B253C4">
              <w:t xml:space="preserve"> </w:t>
            </w:r>
            <w:r w:rsidRPr="00B253C4">
              <w:t>it is a free service.</w:t>
            </w:r>
          </w:p>
          <w:p w14:paraId="0E92718B" w14:textId="3E430F4A" w:rsidR="00855EB0" w:rsidRPr="00B253C4" w:rsidRDefault="00855EB0" w:rsidP="00B24480">
            <w:pPr>
              <w:pStyle w:val="TableBullet1"/>
            </w:pPr>
            <w:r w:rsidRPr="00B253C4">
              <w:t xml:space="preserve">Family attitudes that downplayed distress due to mental health issues were cited as preventing young people from seeking help, therefore </w:t>
            </w:r>
            <w:r w:rsidR="00326868">
              <w:t>young people</w:t>
            </w:r>
            <w:r w:rsidRPr="00B253C4">
              <w:t xml:space="preserve"> from culturally and linguistically diverse backgrounds in particular thought headspace could educate families to reduce stigma.</w:t>
            </w:r>
          </w:p>
          <w:p w14:paraId="231AABAD" w14:textId="530D0436" w:rsidR="00855EB0" w:rsidRPr="00B253C4" w:rsidRDefault="00855EB0" w:rsidP="00B24480">
            <w:pPr>
              <w:pStyle w:val="TableBullet1"/>
            </w:pPr>
            <w:r w:rsidRPr="00B253C4">
              <w:rPr>
                <w:shd w:val="clear" w:color="auto" w:fill="FFFFFF"/>
              </w:rPr>
              <w:t>Young people in the reference groups reported that headspace successfully engaged with the LGBTQ</w:t>
            </w:r>
            <w:r w:rsidR="007E76A0">
              <w:rPr>
                <w:shd w:val="clear" w:color="auto" w:fill="FFFFFF"/>
              </w:rPr>
              <w:t>IA+</w:t>
            </w:r>
            <w:r w:rsidRPr="00B253C4">
              <w:rPr>
                <w:shd w:val="clear" w:color="auto" w:fill="FFFFFF"/>
              </w:rPr>
              <w:t xml:space="preserve"> community. The specific groups run by headspace meant that they could meet and connect </w:t>
            </w:r>
            <w:r w:rsidR="00024259">
              <w:rPr>
                <w:shd w:val="clear" w:color="auto" w:fill="FFFFFF"/>
              </w:rPr>
              <w:t>with</w:t>
            </w:r>
            <w:r w:rsidRPr="00B253C4">
              <w:rPr>
                <w:shd w:val="clear" w:color="auto" w:fill="FFFFFF"/>
              </w:rPr>
              <w:t xml:space="preserve"> other young people in a space where they felt comfortable and </w:t>
            </w:r>
            <w:r w:rsidR="00966F8F">
              <w:rPr>
                <w:shd w:val="clear" w:color="auto" w:fill="FFFFFF"/>
              </w:rPr>
              <w:t xml:space="preserve">were </w:t>
            </w:r>
            <w:r w:rsidRPr="00B253C4">
              <w:rPr>
                <w:shd w:val="clear" w:color="auto" w:fill="FFFFFF"/>
              </w:rPr>
              <w:t>treated with respect.</w:t>
            </w:r>
          </w:p>
          <w:p w14:paraId="5138DEF1" w14:textId="46279109" w:rsidR="00855EB0" w:rsidRPr="00B253C4" w:rsidRDefault="00855EB0" w:rsidP="00B24480">
            <w:pPr>
              <w:pStyle w:val="TableBullet1"/>
            </w:pPr>
            <w:r w:rsidRPr="00B253C4">
              <w:rPr>
                <w:shd w:val="clear" w:color="auto" w:fill="FFFFFF"/>
              </w:rPr>
              <w:t>Young people noted that waiting times could deter hard</w:t>
            </w:r>
            <w:r w:rsidR="00024259">
              <w:rPr>
                <w:shd w:val="clear" w:color="auto" w:fill="FFFFFF"/>
              </w:rPr>
              <w:t>-</w:t>
            </w:r>
            <w:r w:rsidRPr="00B253C4">
              <w:rPr>
                <w:shd w:val="clear" w:color="auto" w:fill="FFFFFF"/>
              </w:rPr>
              <w:t>to</w:t>
            </w:r>
            <w:r w:rsidR="00024259">
              <w:rPr>
                <w:shd w:val="clear" w:color="auto" w:fill="FFFFFF"/>
              </w:rPr>
              <w:t>-</w:t>
            </w:r>
            <w:r w:rsidRPr="00B253C4">
              <w:rPr>
                <w:shd w:val="clear" w:color="auto" w:fill="FFFFFF"/>
              </w:rPr>
              <w:t>reach clients from accessing help, especially if they had taken the difficult step to ask for help.</w:t>
            </w:r>
          </w:p>
          <w:p w14:paraId="0DCDAE41" w14:textId="77777777" w:rsidR="00855EB0" w:rsidRPr="00B253C4" w:rsidRDefault="00855EB0" w:rsidP="00B24480">
            <w:pPr>
              <w:pStyle w:val="TableBullet1"/>
            </w:pPr>
            <w:r w:rsidRPr="00B253C4">
              <w:t>Aboriginal and Torres Strait Islander young people spoke of their challenges around depression, drugs, and abuse and that they sometimes did not access services due to stigma.</w:t>
            </w:r>
          </w:p>
          <w:p w14:paraId="26A299E7" w14:textId="77777777" w:rsidR="00855EB0" w:rsidRPr="00B253C4" w:rsidRDefault="00855EB0" w:rsidP="00B24480">
            <w:pPr>
              <w:pStyle w:val="TableBullet1"/>
            </w:pPr>
            <w:r w:rsidRPr="00B253C4">
              <w:t>Young people from culturally and linguistically diverse backgrounds reported they would like to see more cultural diversity among headspace staff, especially so their family backgrounds and religious considerations could be better understood.</w:t>
            </w:r>
          </w:p>
          <w:p w14:paraId="46F705CA" w14:textId="76F3D83D" w:rsidR="00855EB0" w:rsidRPr="00B253C4" w:rsidRDefault="00855EB0" w:rsidP="00B24480">
            <w:pPr>
              <w:pStyle w:val="TableBullet1"/>
            </w:pPr>
            <w:r w:rsidRPr="00B253C4">
              <w:t xml:space="preserve">Aboriginal </w:t>
            </w:r>
            <w:r w:rsidR="005E3EB2">
              <w:t xml:space="preserve">and Torres Strait Islander young people who had accessed headspace services </w:t>
            </w:r>
            <w:r w:rsidRPr="00B253C4">
              <w:t>had a range of views, including that headspace could be more culturally competent (and include more First Nations staff), lia</w:t>
            </w:r>
            <w:r w:rsidR="000344D0">
              <w:t>i</w:t>
            </w:r>
            <w:r w:rsidRPr="00B253C4">
              <w:t xml:space="preserve">se with </w:t>
            </w:r>
            <w:r w:rsidR="008B166D">
              <w:t>ACCHSs</w:t>
            </w:r>
            <w:r w:rsidRPr="00B253C4">
              <w:t>, and also detailed culturally positive practices.</w:t>
            </w:r>
          </w:p>
          <w:p w14:paraId="0DA5EC2E" w14:textId="0897AB4D" w:rsidR="00855EB0" w:rsidRPr="00B253C4" w:rsidRDefault="00855EB0" w:rsidP="00B24480">
            <w:pPr>
              <w:pStyle w:val="TableBullet1"/>
            </w:pPr>
            <w:r w:rsidRPr="00B253C4">
              <w:t xml:space="preserve">LGBTQIA+ </w:t>
            </w:r>
            <w:r w:rsidR="009C7FD7">
              <w:t>young people</w:t>
            </w:r>
            <w:r w:rsidRPr="00B253C4">
              <w:t xml:space="preserve"> had mainly positive encounters with headspace, with some exceptions</w:t>
            </w:r>
            <w:r w:rsidR="00024259">
              <w:t>,</w:t>
            </w:r>
            <w:r w:rsidR="00024259" w:rsidRPr="00B253C4" w:rsidDel="00024259">
              <w:t xml:space="preserve"> </w:t>
            </w:r>
            <w:r w:rsidR="0050072E">
              <w:t>c</w:t>
            </w:r>
            <w:r w:rsidRPr="00B253C4">
              <w:t xml:space="preserve">omplaints </w:t>
            </w:r>
            <w:r w:rsidR="00024259">
              <w:t>centred on</w:t>
            </w:r>
            <w:r w:rsidR="00024259" w:rsidRPr="00B253C4">
              <w:t xml:space="preserve"> </w:t>
            </w:r>
            <w:r w:rsidR="00024259">
              <w:t>the quality of</w:t>
            </w:r>
            <w:r w:rsidRPr="00B253C4">
              <w:t xml:space="preserve"> clinical support, rather than issues related to sexuality. </w:t>
            </w:r>
          </w:p>
          <w:p w14:paraId="3162535D" w14:textId="33EDFC7A" w:rsidR="00855EB0" w:rsidRPr="00B253C4" w:rsidRDefault="00024259" w:rsidP="00B24480">
            <w:pPr>
              <w:pStyle w:val="TableBullet1"/>
            </w:pPr>
            <w:r>
              <w:t>Young p</w:t>
            </w:r>
            <w:r w:rsidR="00855EB0" w:rsidRPr="00B253C4">
              <w:t xml:space="preserve">eople with disability were generally positive about headspace, but there are limits to what headspace can do in relation to some conditions, including </w:t>
            </w:r>
            <w:r w:rsidR="009C7E68">
              <w:t>Autism Spectrum Disorder</w:t>
            </w:r>
            <w:r w:rsidR="00855EB0" w:rsidRPr="00B253C4">
              <w:t xml:space="preserve"> which requires specific diagnostic tools and specialist support. </w:t>
            </w:r>
          </w:p>
          <w:p w14:paraId="2424E889" w14:textId="02256777" w:rsidR="00855EB0" w:rsidRPr="00B253C4" w:rsidRDefault="00855EB0" w:rsidP="00B24480">
            <w:pPr>
              <w:pStyle w:val="TableBullet1"/>
            </w:pPr>
            <w:r w:rsidRPr="00B253C4">
              <w:t>Remote and rural residents referred to the small-town effect where ‘everyone knows everyone’s business</w:t>
            </w:r>
            <w:r w:rsidR="00083B23">
              <w:t>’</w:t>
            </w:r>
            <w:r w:rsidRPr="00B253C4">
              <w:t xml:space="preserve"> and some cited stigma in relation to seeking help, but no </w:t>
            </w:r>
            <w:r w:rsidR="00BA635C">
              <w:t>young people</w:t>
            </w:r>
            <w:r w:rsidRPr="00B253C4">
              <w:t xml:space="preserve"> users from this sub</w:t>
            </w:r>
            <w:r w:rsidRPr="00B253C4">
              <w:noBreakHyphen/>
              <w:t xml:space="preserve">cohort </w:t>
            </w:r>
            <w:r w:rsidR="00BA635C">
              <w:t>who had accessed headspace services</w:t>
            </w:r>
            <w:r w:rsidRPr="00B253C4">
              <w:t xml:space="preserve"> reported any specific issues with accessing headspace or </w:t>
            </w:r>
            <w:r w:rsidR="00083B23">
              <w:t xml:space="preserve">the </w:t>
            </w:r>
            <w:r w:rsidRPr="00B253C4">
              <w:t xml:space="preserve">quality of service. </w:t>
            </w:r>
          </w:p>
          <w:p w14:paraId="36F989C4" w14:textId="77777777" w:rsidR="00855EB0" w:rsidRPr="00B253C4" w:rsidRDefault="00855EB0" w:rsidP="00B24480">
            <w:pPr>
              <w:pStyle w:val="TableBullet1"/>
            </w:pPr>
            <w:r w:rsidRPr="00B253C4">
              <w:t>There were hurdles to overcome in outreach and bringing First Nations young people into the service.</w:t>
            </w:r>
          </w:p>
          <w:p w14:paraId="1E26EE4F" w14:textId="77777777" w:rsidR="00855EB0" w:rsidRPr="00B253C4" w:rsidRDefault="00855EB0" w:rsidP="00B24480">
            <w:pPr>
              <w:pStyle w:val="TableBullet1"/>
            </w:pPr>
            <w:r w:rsidRPr="00B253C4">
              <w:t>It was difficult for the young people in the reference group to assess whether headspace was effective in increasing access for hard-to-reach groups with the exception of LGBTQIA+ young people. In one area, headspace had organised a festival for LGBTQIA+ young people. The festival aims to celebrate and raise awareness of the LGBTQIA+ young people. A headspace youth group for LGBTQIA+ young people in the area provided a supportive environment for young people to meet and access information.</w:t>
            </w:r>
          </w:p>
        </w:tc>
      </w:tr>
      <w:tr w:rsidR="00855EB0" w14:paraId="7C9C56D5"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17724579" w14:textId="77777777" w:rsidR="00855EB0" w:rsidRDefault="00855EB0" w:rsidP="00A33A8D">
            <w:pPr>
              <w:pStyle w:val="Tabletext"/>
              <w:rPr>
                <w:rFonts w:cstheme="minorHAnsi"/>
              </w:rPr>
            </w:pPr>
            <w:r>
              <w:rPr>
                <w:rFonts w:cstheme="minorHAnsi"/>
              </w:rPr>
              <w:t>How well does headspace advocate for and promote youth mental health and wellbeing in their communities?</w:t>
            </w:r>
          </w:p>
        </w:tc>
        <w:tc>
          <w:tcPr>
            <w:tcW w:w="3460" w:type="pct"/>
            <w:tcBorders>
              <w:top w:val="single" w:sz="2" w:space="0" w:color="808080" w:themeColor="background1" w:themeShade="80"/>
              <w:left w:val="nil"/>
              <w:bottom w:val="single" w:sz="2" w:space="0" w:color="808080" w:themeColor="background1" w:themeShade="80"/>
              <w:right w:val="nil"/>
            </w:tcBorders>
          </w:tcPr>
          <w:p w14:paraId="15DFFF3D" w14:textId="77777777" w:rsidR="00855EB0" w:rsidRPr="00B253C4" w:rsidRDefault="00855EB0" w:rsidP="00B24480">
            <w:pPr>
              <w:pStyle w:val="TableBullet1"/>
            </w:pPr>
            <w:r w:rsidRPr="00B253C4">
              <w:t>Most youth reference group members interviewed endorsed the way headspace staff actively promoted the service on social media and through outreach in schools and stalls in the community.</w:t>
            </w:r>
          </w:p>
          <w:p w14:paraId="4D4F7730" w14:textId="77777777" w:rsidR="00855EB0" w:rsidRPr="00B253C4" w:rsidRDefault="00855EB0" w:rsidP="00B24480">
            <w:pPr>
              <w:pStyle w:val="TableBullet1"/>
            </w:pPr>
            <w:r w:rsidRPr="00B253C4">
              <w:t>Having a regular presence on social media and promotional activities, such as leaflets and groups in schools and booths in shopping centres, was seen by this group as increasing awareness of headspace and mental health issues for young people, thereby increasing mental health literacy.</w:t>
            </w:r>
          </w:p>
        </w:tc>
      </w:tr>
      <w:tr w:rsidR="00855EB0" w14:paraId="758B2FAA"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14BC26E3" w14:textId="4DC0E9F5" w:rsidR="00855EB0" w:rsidRDefault="00855EB0" w:rsidP="00A33A8D">
            <w:pPr>
              <w:pStyle w:val="Tabletext"/>
              <w:rPr>
                <w:rFonts w:cstheme="minorHAnsi"/>
              </w:rPr>
            </w:pPr>
            <w:r>
              <w:rPr>
                <w:rFonts w:cstheme="minorHAnsi"/>
              </w:rPr>
              <w:t>To what extent has headspace reduced stigma associated with mental illness and help</w:t>
            </w:r>
            <w:r w:rsidR="00BD29DF">
              <w:rPr>
                <w:rFonts w:cstheme="minorHAnsi"/>
              </w:rPr>
              <w:t xml:space="preserve"> </w:t>
            </w:r>
            <w:r>
              <w:rPr>
                <w:rFonts w:cstheme="minorHAnsi"/>
              </w:rPr>
              <w:t>seeking for young people, their families and friends, and the community?</w:t>
            </w:r>
          </w:p>
        </w:tc>
        <w:tc>
          <w:tcPr>
            <w:tcW w:w="3460" w:type="pct"/>
            <w:tcBorders>
              <w:top w:val="single" w:sz="2" w:space="0" w:color="808080" w:themeColor="background1" w:themeShade="80"/>
              <w:left w:val="nil"/>
              <w:bottom w:val="single" w:sz="2" w:space="0" w:color="808080" w:themeColor="background1" w:themeShade="80"/>
              <w:right w:val="nil"/>
            </w:tcBorders>
          </w:tcPr>
          <w:p w14:paraId="112C8F89" w14:textId="0EC44429" w:rsidR="00855EB0" w:rsidRPr="00B253C4" w:rsidRDefault="008E4581" w:rsidP="00B24480">
            <w:pPr>
              <w:pStyle w:val="TableBullet1"/>
            </w:pPr>
            <w:r>
              <w:t>N/A</w:t>
            </w:r>
          </w:p>
        </w:tc>
      </w:tr>
      <w:tr w:rsidR="00855EB0" w14:paraId="0F8F7EC1"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77B09619" w14:textId="3F9925EE" w:rsidR="00855EB0" w:rsidRDefault="00855EB0" w:rsidP="00A33A8D">
            <w:pPr>
              <w:pStyle w:val="Tabletext"/>
              <w:rPr>
                <w:rFonts w:cstheme="minorHAnsi"/>
              </w:rPr>
            </w:pPr>
            <w:r>
              <w:rPr>
                <w:rFonts w:cstheme="minorHAnsi"/>
              </w:rPr>
              <w:t>How effective is headspace in improving pathways to care for young people through service integration and coordination</w:t>
            </w:r>
            <w:r w:rsidR="00F25070">
              <w:rPr>
                <w:rFonts w:cstheme="minorHAnsi"/>
              </w:rPr>
              <w:t>?</w:t>
            </w:r>
          </w:p>
        </w:tc>
        <w:tc>
          <w:tcPr>
            <w:tcW w:w="3460" w:type="pct"/>
            <w:tcBorders>
              <w:top w:val="single" w:sz="2" w:space="0" w:color="808080" w:themeColor="background1" w:themeShade="80"/>
              <w:left w:val="nil"/>
              <w:bottom w:val="single" w:sz="2" w:space="0" w:color="808080" w:themeColor="background1" w:themeShade="80"/>
              <w:right w:val="nil"/>
            </w:tcBorders>
          </w:tcPr>
          <w:p w14:paraId="4C7B3B56" w14:textId="120A446C" w:rsidR="00855EB0" w:rsidRPr="00B253C4" w:rsidRDefault="00BA635C" w:rsidP="00B24480">
            <w:pPr>
              <w:pStyle w:val="TableBullet1"/>
            </w:pPr>
            <w:r>
              <w:t xml:space="preserve">Young people who had accessed </w:t>
            </w:r>
            <w:r w:rsidR="00855EB0" w:rsidRPr="00B253C4">
              <w:t xml:space="preserve">headspace </w:t>
            </w:r>
            <w:r>
              <w:t>services</w:t>
            </w:r>
            <w:r w:rsidR="00855EB0" w:rsidRPr="00B253C4">
              <w:t xml:space="preserve"> reported receiving appropriate referrals to dieticians and other professionals as well as assistance with practical matters relating to housing, income, and employment, both in-house and via referral from headspace services.</w:t>
            </w:r>
          </w:p>
          <w:p w14:paraId="2EA02EA1" w14:textId="1F0F1E36" w:rsidR="00855EB0" w:rsidRPr="00B253C4" w:rsidRDefault="00855EB0" w:rsidP="00B24480">
            <w:pPr>
              <w:pStyle w:val="TableBullet1"/>
            </w:pPr>
            <w:r w:rsidRPr="00B253C4">
              <w:t xml:space="preserve">Referrals and links to psychiatrists were reported by some headspace users to be more problematic, indicating they were not able to be linked with a psychiatrist </w:t>
            </w:r>
            <w:r w:rsidR="005B16E7">
              <w:t>when</w:t>
            </w:r>
            <w:r w:rsidR="005B16E7" w:rsidRPr="00B253C4">
              <w:t xml:space="preserve"> </w:t>
            </w:r>
            <w:r w:rsidRPr="00B253C4">
              <w:t>needed from the headspace service.</w:t>
            </w:r>
          </w:p>
          <w:p w14:paraId="5229AEE7" w14:textId="77777777" w:rsidR="00855EB0" w:rsidRPr="00B253C4" w:rsidRDefault="00855EB0" w:rsidP="00B24480">
            <w:pPr>
              <w:pStyle w:val="TableBullet1"/>
            </w:pPr>
            <w:r w:rsidRPr="00B253C4">
              <w:t>While many started their mental health journey with headspace, some ended up being referred to, or choosing to, seek help from a private practice psychologist and/or psychiatrist.</w:t>
            </w:r>
          </w:p>
          <w:p w14:paraId="2427BAA6" w14:textId="77777777" w:rsidR="00855EB0" w:rsidRPr="00B253C4" w:rsidRDefault="00855EB0" w:rsidP="00B24480">
            <w:pPr>
              <w:pStyle w:val="TableBullet1"/>
            </w:pPr>
            <w:r w:rsidRPr="00B253C4">
              <w:t>The survey showed that 85 per cent of young people indicated that it was extremely important that headspace would connect them with other services if they needed them.</w:t>
            </w:r>
          </w:p>
          <w:p w14:paraId="233026E8" w14:textId="77777777" w:rsidR="00855EB0" w:rsidRPr="00B253C4" w:rsidRDefault="00855EB0" w:rsidP="00B24480">
            <w:pPr>
              <w:pStyle w:val="TableBullet1"/>
            </w:pPr>
            <w:r w:rsidRPr="00B253C4">
              <w:t>Similarly, 95 per cent of young people’s parents agreed it was extremely important that headspace connect their child to other services as required.</w:t>
            </w:r>
          </w:p>
          <w:p w14:paraId="09515964" w14:textId="1A77907E" w:rsidR="00855EB0" w:rsidRPr="00B253C4" w:rsidRDefault="00855EB0" w:rsidP="00B24480">
            <w:pPr>
              <w:pStyle w:val="TableBullet1"/>
            </w:pPr>
            <w:r w:rsidRPr="00B253C4">
              <w:t>Cost was a major barrier in referrals for some headspace users. For example, one user was referred elsewhere for an expensive test</w:t>
            </w:r>
            <w:r w:rsidR="001E15D0">
              <w:t xml:space="preserve">. </w:t>
            </w:r>
            <w:r w:rsidRPr="00B253C4">
              <w:t>Cost barriers were also identified as limiting access to psychiatrists.</w:t>
            </w:r>
          </w:p>
          <w:p w14:paraId="10DF1345" w14:textId="77777777" w:rsidR="00855EB0" w:rsidRPr="00B253C4" w:rsidRDefault="00855EB0" w:rsidP="00B24480">
            <w:pPr>
              <w:pStyle w:val="TableBullet1"/>
            </w:pPr>
            <w:r w:rsidRPr="00B253C4">
              <w:t>In some cases, there was some frustration from headspace users that headspace could not support them with these services, and they were referred to a more expensive service as part of a coordinated care model.</w:t>
            </w:r>
          </w:p>
          <w:p w14:paraId="58F2EB8C" w14:textId="2206CBD8" w:rsidR="00855EB0" w:rsidRPr="00B253C4" w:rsidRDefault="00A472DA" w:rsidP="00B24480">
            <w:pPr>
              <w:pStyle w:val="TableBullet1"/>
            </w:pPr>
            <w:r>
              <w:t>h</w:t>
            </w:r>
            <w:r w:rsidR="00855EB0" w:rsidRPr="00B253C4">
              <w:t>eadspace users also indicated that they used alternative services, such as their GP, to provide integrated care, referrals, and care coordination, rather than relying on headspace.</w:t>
            </w:r>
          </w:p>
          <w:p w14:paraId="7A433D83" w14:textId="77777777" w:rsidR="00855EB0" w:rsidRPr="00B253C4" w:rsidRDefault="00855EB0" w:rsidP="00B24480">
            <w:pPr>
              <w:pStyle w:val="TableBullet1"/>
            </w:pPr>
            <w:r w:rsidRPr="00B253C4">
              <w:t>A small minority of headspace users interviewed also felt that headspace did not understand what their problem was, so referred them to the wrong type of professional.</w:t>
            </w:r>
          </w:p>
          <w:p w14:paraId="009BBAC3" w14:textId="7143B3CD" w:rsidR="00855EB0" w:rsidRPr="00B253C4" w:rsidRDefault="00855EB0" w:rsidP="00B24480">
            <w:pPr>
              <w:pStyle w:val="TableBullet1"/>
            </w:pPr>
            <w:r w:rsidRPr="00B253C4">
              <w:t>Young people representing Youth Reference Groups from deep dive locations reported that staff from headspace were ‘constantly connecting with other services.</w:t>
            </w:r>
            <w:r w:rsidR="00C31038">
              <w:t xml:space="preserve"> They noted that headspace and the mental health sector were trying to improve integration and coordination between different mental health services to facilitate the pathway for young people through the service system, as well as with broader social supports such as those available through Centrelink and Medicare.</w:t>
            </w:r>
          </w:p>
          <w:p w14:paraId="6A7A0087" w14:textId="0DD93009" w:rsidR="00855EB0" w:rsidRPr="00B253C4" w:rsidRDefault="00855EB0" w:rsidP="00B24480">
            <w:pPr>
              <w:pStyle w:val="TableBullet1"/>
            </w:pPr>
            <w:r w:rsidRPr="00B253C4">
              <w:t>The Youth Reference Group members also reported that processes were in place at headspace to support young people through referrals to other services, such as private psychologists, to support effective care coordination.</w:t>
            </w:r>
          </w:p>
          <w:p w14:paraId="6573339A" w14:textId="26840EA7" w:rsidR="00855EB0" w:rsidRPr="00B253C4" w:rsidRDefault="00855EB0" w:rsidP="00B24480">
            <w:pPr>
              <w:pStyle w:val="TableBullet1"/>
            </w:pPr>
            <w:r w:rsidRPr="00B253C4">
              <w:t>Youth Reference Group members spoke about young people with self-harm or suicidal thoughts and how headspace staff organised and supported them through the referral and transition process, for example taking them to the hospital emergency department or contacting CAMHS</w:t>
            </w:r>
            <w:r w:rsidR="00A42D9D">
              <w:t>s</w:t>
            </w:r>
            <w:r w:rsidRPr="00B253C4">
              <w:t>.</w:t>
            </w:r>
          </w:p>
        </w:tc>
      </w:tr>
      <w:tr w:rsidR="00855EB0" w14:paraId="1B88367F"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0EFE637F" w14:textId="7F6C43B7" w:rsidR="00855EB0" w:rsidRDefault="00855EB0" w:rsidP="00A33A8D">
            <w:pPr>
              <w:pStyle w:val="Tabletext"/>
              <w:rPr>
                <w:rFonts w:cstheme="minorHAnsi"/>
              </w:rPr>
            </w:pPr>
            <w:r>
              <w:rPr>
                <w:rFonts w:cstheme="minorHAnsi"/>
              </w:rPr>
              <w:t xml:space="preserve">To what extent is headspace providing </w:t>
            </w:r>
            <w:r w:rsidR="00877232">
              <w:rPr>
                <w:rFonts w:cstheme="minorHAnsi"/>
              </w:rPr>
              <w:t xml:space="preserve">a </w:t>
            </w:r>
            <w:r>
              <w:rPr>
                <w:rFonts w:cstheme="minorHAnsi"/>
              </w:rPr>
              <w:t>localised service offering, and what are the barriers and enablers of this?</w:t>
            </w:r>
          </w:p>
        </w:tc>
        <w:tc>
          <w:tcPr>
            <w:tcW w:w="3460" w:type="pct"/>
            <w:tcBorders>
              <w:top w:val="single" w:sz="2" w:space="0" w:color="808080" w:themeColor="background1" w:themeShade="80"/>
              <w:left w:val="nil"/>
              <w:bottom w:val="single" w:sz="2" w:space="0" w:color="808080" w:themeColor="background1" w:themeShade="80"/>
              <w:right w:val="nil"/>
            </w:tcBorders>
          </w:tcPr>
          <w:p w14:paraId="503BA726" w14:textId="77777777" w:rsidR="00855EB0" w:rsidRPr="00B253C4" w:rsidRDefault="00855EB0" w:rsidP="00B24480">
            <w:pPr>
              <w:pStyle w:val="TableBullet1"/>
            </w:pPr>
            <w:r w:rsidRPr="00B253C4">
              <w:t>N/A</w:t>
            </w:r>
          </w:p>
        </w:tc>
      </w:tr>
      <w:tr w:rsidR="00855EB0" w14:paraId="7215EE0C"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539F69DF" w14:textId="77777777" w:rsidR="00855EB0" w:rsidRDefault="00855EB0" w:rsidP="00A33A8D">
            <w:pPr>
              <w:pStyle w:val="Tabletext"/>
              <w:rPr>
                <w:rFonts w:cstheme="minorHAnsi"/>
              </w:rPr>
            </w:pPr>
            <w:r>
              <w:rPr>
                <w:rFonts w:cstheme="minorHAnsi"/>
              </w:rPr>
              <w:t>What other contributions does headspace make to local communities?</w:t>
            </w:r>
          </w:p>
        </w:tc>
        <w:tc>
          <w:tcPr>
            <w:tcW w:w="3460" w:type="pct"/>
            <w:tcBorders>
              <w:top w:val="single" w:sz="2" w:space="0" w:color="808080" w:themeColor="background1" w:themeShade="80"/>
              <w:left w:val="nil"/>
              <w:bottom w:val="single" w:sz="2" w:space="0" w:color="808080" w:themeColor="background1" w:themeShade="80"/>
              <w:right w:val="nil"/>
            </w:tcBorders>
          </w:tcPr>
          <w:p w14:paraId="25AD71A5" w14:textId="465DA1C4" w:rsidR="00855EB0" w:rsidRPr="00B253C4" w:rsidRDefault="00877232" w:rsidP="00B24480">
            <w:pPr>
              <w:pStyle w:val="TableBullet1"/>
            </w:pPr>
            <w:r>
              <w:t>h</w:t>
            </w:r>
            <w:r w:rsidR="00855EB0" w:rsidRPr="00B253C4">
              <w:t>eadspace users indicated they have experienced a range of contributions to their local communities from their local headspace service. The most common of these were contributions through outreach activities in communities – in schools, at public events, and near public transport hubs.</w:t>
            </w:r>
          </w:p>
          <w:p w14:paraId="09ED946C" w14:textId="77777777" w:rsidR="00855EB0" w:rsidRPr="00B253C4" w:rsidRDefault="00855EB0" w:rsidP="00B24480">
            <w:pPr>
              <w:pStyle w:val="TableBullet1"/>
            </w:pPr>
            <w:r w:rsidRPr="00B253C4">
              <w:t>However, when asked what headspace could do differently, headspace users suggested increasing their profile through social media and more in-school presence.</w:t>
            </w:r>
          </w:p>
          <w:p w14:paraId="7A639FAA" w14:textId="1113A9C2" w:rsidR="00855EB0" w:rsidRPr="00B253C4" w:rsidRDefault="00877232" w:rsidP="00B24480">
            <w:pPr>
              <w:pStyle w:val="TableBullet1"/>
            </w:pPr>
            <w:r>
              <w:t>h</w:t>
            </w:r>
            <w:r w:rsidR="00855EB0" w:rsidRPr="00B253C4">
              <w:t>eadspace also provides young people with opportunities to contribute to governance via the Youth Reference Groups and as mental health ambassadors.</w:t>
            </w:r>
          </w:p>
          <w:p w14:paraId="5AF131F2" w14:textId="2EEF9F2E" w:rsidR="00855EB0" w:rsidRPr="00B253C4" w:rsidRDefault="00855EB0" w:rsidP="00B24480">
            <w:pPr>
              <w:pStyle w:val="TableBullet1"/>
            </w:pPr>
            <w:r w:rsidRPr="00B253C4">
              <w:t>In one area, Youth Reference Group participants spoke about the contribution of headspace to the community through supporting them to organise festivals around issues of importance to them</w:t>
            </w:r>
            <w:r w:rsidR="00812A15">
              <w:t>,</w:t>
            </w:r>
            <w:r w:rsidRPr="00B253C4">
              <w:t xml:space="preserve"> such as </w:t>
            </w:r>
            <w:r w:rsidR="00132F56">
              <w:t xml:space="preserve">young people </w:t>
            </w:r>
            <w:r w:rsidR="00812A15">
              <w:t>w</w:t>
            </w:r>
            <w:r w:rsidR="00132F56">
              <w:t xml:space="preserve">ho identify as </w:t>
            </w:r>
            <w:r w:rsidRPr="00B253C4">
              <w:t>LGBTQIA+, homelessness and social justice. Members of the Youth Reference Group worked on the organising committees for these events with support from headspace staff and other key services in the area.</w:t>
            </w:r>
          </w:p>
        </w:tc>
      </w:tr>
      <w:tr w:rsidR="00855EB0" w14:paraId="4A382208"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4E5A3A18" w14:textId="77777777" w:rsidR="00855EB0" w:rsidRDefault="00855EB0" w:rsidP="00A33A8D">
            <w:pPr>
              <w:pStyle w:val="Tabletext"/>
              <w:rPr>
                <w:rFonts w:cstheme="minorHAnsi"/>
              </w:rPr>
            </w:pPr>
            <w:r>
              <w:rPr>
                <w:rFonts w:cstheme="minorHAnsi"/>
              </w:rPr>
              <w:t>To what extent does a ‘no-wrong-door’ approach assist headspace to meet its objectives?</w:t>
            </w:r>
          </w:p>
        </w:tc>
        <w:tc>
          <w:tcPr>
            <w:tcW w:w="3460" w:type="pct"/>
            <w:tcBorders>
              <w:top w:val="single" w:sz="2" w:space="0" w:color="808080" w:themeColor="background1" w:themeShade="80"/>
              <w:left w:val="nil"/>
              <w:bottom w:val="single" w:sz="2" w:space="0" w:color="808080" w:themeColor="background1" w:themeShade="80"/>
              <w:right w:val="nil"/>
            </w:tcBorders>
          </w:tcPr>
          <w:p w14:paraId="76738EBF" w14:textId="39BA672D" w:rsidR="00855EB0" w:rsidRPr="00B253C4" w:rsidRDefault="00855EB0" w:rsidP="00B24480">
            <w:pPr>
              <w:pStyle w:val="TableBullet1"/>
            </w:pPr>
            <w:r w:rsidRPr="00B253C4">
              <w:t>Young people consistently recognised the benefits of the no</w:t>
            </w:r>
            <w:r w:rsidR="00812A15">
              <w:noBreakHyphen/>
            </w:r>
            <w:r w:rsidRPr="00B253C4">
              <w:t>wrong-door approach and had strong positive regard for it as part of the headspace service model.</w:t>
            </w:r>
          </w:p>
        </w:tc>
      </w:tr>
      <w:tr w:rsidR="00855EB0" w14:paraId="72584E68"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667E756E" w14:textId="77777777" w:rsidR="00855EB0" w:rsidRDefault="00855EB0" w:rsidP="00A33A8D">
            <w:pPr>
              <w:pStyle w:val="Tabletext"/>
              <w:rPr>
                <w:rFonts w:cstheme="minorHAnsi"/>
              </w:rPr>
            </w:pPr>
            <w:r>
              <w:rPr>
                <w:rFonts w:cstheme="minorHAnsi"/>
              </w:rPr>
              <w:t>What is the level of support for headspace from other primary care and mental health service providers?</w:t>
            </w:r>
          </w:p>
        </w:tc>
        <w:tc>
          <w:tcPr>
            <w:tcW w:w="3460" w:type="pct"/>
            <w:tcBorders>
              <w:top w:val="single" w:sz="2" w:space="0" w:color="808080" w:themeColor="background1" w:themeShade="80"/>
              <w:left w:val="nil"/>
              <w:bottom w:val="single" w:sz="2" w:space="0" w:color="808080" w:themeColor="background1" w:themeShade="80"/>
              <w:right w:val="nil"/>
            </w:tcBorders>
          </w:tcPr>
          <w:p w14:paraId="1C6BE5B7" w14:textId="5EAFABEC" w:rsidR="00855EB0" w:rsidRPr="00B253C4" w:rsidRDefault="00D20396" w:rsidP="00B24480">
            <w:pPr>
              <w:pStyle w:val="TableBullet1"/>
            </w:pPr>
            <w:r>
              <w:t>N/A</w:t>
            </w:r>
          </w:p>
        </w:tc>
      </w:tr>
      <w:tr w:rsidR="00855EB0" w14:paraId="221E190D"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40C4DD13" w14:textId="77777777" w:rsidR="00855EB0" w:rsidRDefault="00855EB0" w:rsidP="00A33A8D">
            <w:pPr>
              <w:pStyle w:val="Tabletext"/>
              <w:rPr>
                <w:rFonts w:cstheme="minorHAnsi"/>
              </w:rPr>
            </w:pPr>
            <w:r>
              <w:rPr>
                <w:rFonts w:cstheme="minorHAnsi"/>
              </w:rPr>
              <w:t>To what extent does headspace provide culturally appropriate and inclusive service for young people and their friends and families, including for vulnerable and diverse population groups and different age groups?</w:t>
            </w:r>
          </w:p>
        </w:tc>
        <w:tc>
          <w:tcPr>
            <w:tcW w:w="3460" w:type="pct"/>
            <w:tcBorders>
              <w:top w:val="single" w:sz="2" w:space="0" w:color="808080" w:themeColor="background1" w:themeShade="80"/>
              <w:left w:val="nil"/>
              <w:bottom w:val="single" w:sz="2" w:space="0" w:color="808080" w:themeColor="background1" w:themeShade="80"/>
              <w:right w:val="nil"/>
            </w:tcBorders>
          </w:tcPr>
          <w:p w14:paraId="5B61EDF4" w14:textId="2FCDC471" w:rsidR="00855EB0" w:rsidRPr="00B253C4" w:rsidRDefault="00855EB0" w:rsidP="00B24480">
            <w:pPr>
              <w:pStyle w:val="TableBullet1"/>
            </w:pPr>
            <w:r w:rsidRPr="00B253C4">
              <w:t>Responses from the young person satisfaction matrix indicate that headspace is an appropriate and inclusive service for the general population of young people (responses range from neutral to strongly agree) and for a number of indicators</w:t>
            </w:r>
            <w:r w:rsidR="00B9755A">
              <w:t>.</w:t>
            </w:r>
            <w:r w:rsidRPr="00B253C4">
              <w:t xml:space="preserve"> </w:t>
            </w:r>
            <w:r w:rsidR="00B9755A">
              <w:t>T</w:t>
            </w:r>
            <w:r w:rsidRPr="00B253C4">
              <w:t>his was particularly the case for LGBTQIA+ young people as well, with scores significantly higher than the general population on six indicators.</w:t>
            </w:r>
          </w:p>
          <w:p w14:paraId="56F2917D" w14:textId="77777777" w:rsidR="00855EB0" w:rsidRPr="00B253C4" w:rsidRDefault="00855EB0" w:rsidP="00B24480">
            <w:pPr>
              <w:pStyle w:val="TableBullet1"/>
            </w:pPr>
            <w:r w:rsidRPr="00B253C4">
              <w:t>Aboriginal and Torres Strait Islander young people were statistically less satisfied than the general population of young people accessing headspace.</w:t>
            </w:r>
          </w:p>
          <w:p w14:paraId="32C45F2C" w14:textId="1463717A" w:rsidR="00855EB0" w:rsidRPr="00B253C4" w:rsidRDefault="00855EB0" w:rsidP="00B24480">
            <w:pPr>
              <w:pStyle w:val="TableBullet1"/>
            </w:pPr>
            <w:r w:rsidRPr="00B253C4">
              <w:t xml:space="preserve">Young people completing the survey as part of this evaluation were asked to reflect on the service they had received over the previous 12 months and </w:t>
            </w:r>
            <w:r w:rsidR="00B9755A">
              <w:t xml:space="preserve">to </w:t>
            </w:r>
            <w:r w:rsidRPr="00B253C4">
              <w:t xml:space="preserve">rate on a five-point scale, from ‘always’ to ‘never’ how they felt about five statements. Results indicate that young people responding to this survey had positive experiences with headspace, with </w:t>
            </w:r>
            <w:r w:rsidR="00683076">
              <w:t>a</w:t>
            </w:r>
            <w:r w:rsidR="00683076" w:rsidRPr="00B253C4">
              <w:t xml:space="preserve"> </w:t>
            </w:r>
            <w:r w:rsidRPr="00B253C4">
              <w:t>large majority indicating ‘always’ in response to the indicator statements.</w:t>
            </w:r>
          </w:p>
          <w:p w14:paraId="3283F101" w14:textId="6CB1272D" w:rsidR="00855EB0" w:rsidRPr="00B253C4" w:rsidRDefault="00855EB0" w:rsidP="00B24480">
            <w:pPr>
              <w:pStyle w:val="TableBullet1"/>
            </w:pPr>
            <w:r w:rsidRPr="00B253C4">
              <w:t xml:space="preserve">When analysed for any differences between Aboriginal or Torres Strait Islander </w:t>
            </w:r>
            <w:r w:rsidR="00683076" w:rsidRPr="00B253C4">
              <w:t>young people</w:t>
            </w:r>
            <w:r w:rsidRPr="00B253C4">
              <w:t xml:space="preserve">, LGBTQIA+ </w:t>
            </w:r>
            <w:r w:rsidR="00683076" w:rsidRPr="00B253C4">
              <w:t>young people</w:t>
            </w:r>
            <w:r w:rsidRPr="00B253C4">
              <w:t xml:space="preserve"> or as speaking a language other than English at home, </w:t>
            </w:r>
            <w:r w:rsidR="00D20396">
              <w:t xml:space="preserve">survey </w:t>
            </w:r>
            <w:r w:rsidRPr="00B253C4">
              <w:t>results were similarly high, with no significant difference between groups.</w:t>
            </w:r>
          </w:p>
          <w:p w14:paraId="0AC17AEC" w14:textId="6338E281" w:rsidR="00855EB0" w:rsidRPr="00B253C4" w:rsidRDefault="00855EB0" w:rsidP="00B24480">
            <w:pPr>
              <w:pStyle w:val="TableBullet1"/>
            </w:pPr>
            <w:r w:rsidRPr="00B253C4">
              <w:t xml:space="preserve">In interviews and focus groups, headspace users indicated that cultural diversity of staff was important to them (this was mentioned most often by culturally and linguistically diverse </w:t>
            </w:r>
            <w:r w:rsidR="002472A5">
              <w:t>young people</w:t>
            </w:r>
            <w:r w:rsidRPr="00B253C4">
              <w:t>).</w:t>
            </w:r>
          </w:p>
          <w:p w14:paraId="3B95751E" w14:textId="27B06D2F" w:rsidR="00855EB0" w:rsidRPr="00B253C4" w:rsidRDefault="00855EB0" w:rsidP="00B24480">
            <w:pPr>
              <w:pStyle w:val="TableBullet1"/>
            </w:pPr>
            <w:r w:rsidRPr="00B253C4">
              <w:t>Sometimes there was a gender preference</w:t>
            </w:r>
            <w:r w:rsidR="00B9755A">
              <w:t>,</w:t>
            </w:r>
            <w:r w:rsidRPr="00B253C4">
              <w:t xml:space="preserve"> also based on cultural considerations (for example, for </w:t>
            </w:r>
            <w:r w:rsidR="00E063AC">
              <w:t>a</w:t>
            </w:r>
            <w:r w:rsidRPr="00B253C4">
              <w:t xml:space="preserve"> female</w:t>
            </w:r>
            <w:r w:rsidR="00E063AC">
              <w:t xml:space="preserve"> young person</w:t>
            </w:r>
            <w:r w:rsidRPr="00B253C4">
              <w:t xml:space="preserve"> to see a female counsellor).</w:t>
            </w:r>
          </w:p>
          <w:p w14:paraId="6FBAE161" w14:textId="18566421" w:rsidR="00855EB0" w:rsidRPr="00B253C4" w:rsidRDefault="003E4806" w:rsidP="00B24480">
            <w:pPr>
              <w:pStyle w:val="TableBullet1"/>
            </w:pPr>
            <w:r>
              <w:t xml:space="preserve">Although </w:t>
            </w:r>
            <w:r w:rsidR="00855EB0" w:rsidRPr="00B253C4">
              <w:t xml:space="preserve">Aboriginal and Torres Strait Islander young people </w:t>
            </w:r>
            <w:r>
              <w:t>continue to access</w:t>
            </w:r>
            <w:r w:rsidR="002121E6">
              <w:t xml:space="preserve"> headspace services, some young people noted services would benefit from </w:t>
            </w:r>
            <w:r w:rsidR="00E063AC">
              <w:t xml:space="preserve">hiring </w:t>
            </w:r>
            <w:r w:rsidR="002121E6">
              <w:t>more First Nations staff.</w:t>
            </w:r>
          </w:p>
          <w:p w14:paraId="6F652C23" w14:textId="79A336E5" w:rsidR="00855EB0" w:rsidRPr="00B253C4" w:rsidRDefault="00855EB0" w:rsidP="00B24480">
            <w:pPr>
              <w:pStyle w:val="TableBullet1"/>
            </w:pPr>
            <w:r w:rsidRPr="00B253C4">
              <w:rPr>
                <w:shd w:val="clear" w:color="auto" w:fill="FFFFFF"/>
              </w:rPr>
              <w:t xml:space="preserve">Members of </w:t>
            </w:r>
            <w:r w:rsidR="00B9755A">
              <w:rPr>
                <w:shd w:val="clear" w:color="auto" w:fill="FFFFFF"/>
              </w:rPr>
              <w:t>Y</w:t>
            </w:r>
            <w:r w:rsidRPr="00B253C4">
              <w:rPr>
                <w:shd w:val="clear" w:color="auto" w:fill="FFFFFF"/>
              </w:rPr>
              <w:t xml:space="preserve">outh </w:t>
            </w:r>
            <w:r w:rsidR="00B9755A">
              <w:rPr>
                <w:shd w:val="clear" w:color="auto" w:fill="FFFFFF"/>
              </w:rPr>
              <w:t>R</w:t>
            </w:r>
            <w:r w:rsidRPr="00B253C4">
              <w:rPr>
                <w:shd w:val="clear" w:color="auto" w:fill="FFFFFF"/>
              </w:rPr>
              <w:t xml:space="preserve">eference </w:t>
            </w:r>
            <w:r w:rsidR="00B9755A">
              <w:rPr>
                <w:shd w:val="clear" w:color="auto" w:fill="FFFFFF"/>
              </w:rPr>
              <w:t>G</w:t>
            </w:r>
            <w:r w:rsidRPr="00B253C4">
              <w:rPr>
                <w:shd w:val="clear" w:color="auto" w:fill="FFFFFF"/>
              </w:rPr>
              <w:t>roups noted that headspace offered a range of supports for diverse groups. They commented that headspace provided inclusive services</w:t>
            </w:r>
            <w:r w:rsidR="00812A15">
              <w:rPr>
                <w:shd w:val="clear" w:color="auto" w:fill="FFFFFF"/>
              </w:rPr>
              <w:t>,</w:t>
            </w:r>
            <w:r w:rsidRPr="00B253C4">
              <w:rPr>
                <w:shd w:val="clear" w:color="auto" w:fill="FFFFFF"/>
              </w:rPr>
              <w:t xml:space="preserve"> particularly for </w:t>
            </w:r>
            <w:r w:rsidRPr="00B253C4">
              <w:t>LGBT</w:t>
            </w:r>
            <w:r w:rsidR="00E063AC">
              <w:t>QIA+</w:t>
            </w:r>
            <w:r w:rsidRPr="00B253C4">
              <w:t xml:space="preserve"> young </w:t>
            </w:r>
            <w:r w:rsidRPr="00B253C4">
              <w:rPr>
                <w:shd w:val="clear" w:color="auto" w:fill="FFFFFF"/>
              </w:rPr>
              <w:t>people.</w:t>
            </w:r>
          </w:p>
          <w:p w14:paraId="175B3C1E" w14:textId="6A286157" w:rsidR="00855EB0" w:rsidRPr="00B253C4" w:rsidRDefault="00855EB0" w:rsidP="00B24480">
            <w:pPr>
              <w:pStyle w:val="TableBullet1"/>
            </w:pPr>
            <w:r w:rsidRPr="00B253C4">
              <w:t xml:space="preserve">There were some concerns from </w:t>
            </w:r>
            <w:r w:rsidR="00B9755A">
              <w:t>Y</w:t>
            </w:r>
            <w:r w:rsidRPr="00B253C4">
              <w:t xml:space="preserve">outh </w:t>
            </w:r>
            <w:r w:rsidR="00B9755A">
              <w:t>R</w:t>
            </w:r>
            <w:r w:rsidRPr="00B253C4">
              <w:t xml:space="preserve">eference </w:t>
            </w:r>
            <w:r w:rsidR="00B9755A">
              <w:t>G</w:t>
            </w:r>
            <w:r w:rsidRPr="00B253C4">
              <w:t>roup participants that young people who fell outside the age ranges of 12 to 25 fell through service gaps.</w:t>
            </w:r>
          </w:p>
        </w:tc>
      </w:tr>
      <w:tr w:rsidR="00855EB0" w14:paraId="2306B1F9"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77B3CC81" w14:textId="77777777" w:rsidR="00855EB0" w:rsidRDefault="00855EB0" w:rsidP="00A33A8D">
            <w:pPr>
              <w:pStyle w:val="Tabletext"/>
              <w:rPr>
                <w:rFonts w:cstheme="minorHAnsi"/>
              </w:rPr>
            </w:pPr>
            <w:r>
              <w:rPr>
                <w:rFonts w:cstheme="minorHAnsi"/>
              </w:rPr>
              <w:t>To what extent does headspace enable young people and their families to access support where, when and how they want it, and what are the barriers and enablers to this?</w:t>
            </w:r>
          </w:p>
        </w:tc>
        <w:tc>
          <w:tcPr>
            <w:tcW w:w="3460" w:type="pct"/>
            <w:tcBorders>
              <w:top w:val="single" w:sz="2" w:space="0" w:color="808080" w:themeColor="background1" w:themeShade="80"/>
              <w:left w:val="nil"/>
              <w:bottom w:val="single" w:sz="2" w:space="0" w:color="808080" w:themeColor="background1" w:themeShade="80"/>
              <w:right w:val="nil"/>
            </w:tcBorders>
          </w:tcPr>
          <w:p w14:paraId="47B96753" w14:textId="6D76594B" w:rsidR="00855EB0" w:rsidRPr="00B253C4" w:rsidRDefault="00855EB0" w:rsidP="00B24480">
            <w:pPr>
              <w:pStyle w:val="TableBullet1"/>
            </w:pPr>
            <w:r w:rsidRPr="00B253C4">
              <w:t>Young people were asked in the evaluation survey about their experiences with headspace services over the previous 12 months. Sixty</w:t>
            </w:r>
            <w:r w:rsidR="00B9755A">
              <w:noBreakHyphen/>
            </w:r>
            <w:r w:rsidRPr="00B253C4">
              <w:t xml:space="preserve">six per cent of headspace users responding to the survey indicated that headspace </w:t>
            </w:r>
            <w:r w:rsidR="0050072E">
              <w:t>service</w:t>
            </w:r>
            <w:r w:rsidRPr="00B253C4">
              <w:t>s ‘</w:t>
            </w:r>
            <w:r w:rsidR="00491ACD">
              <w:t>a</w:t>
            </w:r>
            <w:r w:rsidRPr="00B253C4">
              <w:t xml:space="preserve">lways’ tried to see them when they wanted. </w:t>
            </w:r>
          </w:p>
          <w:p w14:paraId="2EBDBBBC" w14:textId="0079FEB5" w:rsidR="00855EB0" w:rsidRPr="00B253C4" w:rsidRDefault="00855EB0" w:rsidP="00B24480">
            <w:pPr>
              <w:pStyle w:val="TableBullet1"/>
            </w:pPr>
            <w:r w:rsidRPr="00B253C4">
              <w:t xml:space="preserve">The fewer the number of </w:t>
            </w:r>
            <w:r w:rsidR="00E063AC">
              <w:t>OOS</w:t>
            </w:r>
            <w:r w:rsidRPr="00B253C4">
              <w:t xml:space="preserve"> the young person had, the more likely they were to indicate an answer other than ‘</w:t>
            </w:r>
            <w:r w:rsidR="00491ACD">
              <w:t>a</w:t>
            </w:r>
            <w:r w:rsidRPr="00B253C4">
              <w:t xml:space="preserve">lways'. </w:t>
            </w:r>
          </w:p>
          <w:p w14:paraId="3FD7FA4E" w14:textId="54811A5B" w:rsidR="00855EB0" w:rsidRPr="00B253C4" w:rsidRDefault="00855EB0" w:rsidP="00B24480">
            <w:pPr>
              <w:pStyle w:val="TableBullet1"/>
            </w:pPr>
            <w:r w:rsidRPr="00B253C4">
              <w:t xml:space="preserve">Young people </w:t>
            </w:r>
            <w:r w:rsidR="00A826EE">
              <w:t>who had accessed</w:t>
            </w:r>
            <w:r w:rsidRPr="00B253C4">
              <w:t xml:space="preserve"> headspace </w:t>
            </w:r>
            <w:r w:rsidR="00A826EE">
              <w:t>services</w:t>
            </w:r>
            <w:r w:rsidRPr="00B253C4">
              <w:t xml:space="preserve"> described in focus groups and interviews that they found headspace staff easy to talk to, non</w:t>
            </w:r>
            <w:r w:rsidR="00812A15">
              <w:noBreakHyphen/>
            </w:r>
            <w:r w:rsidRPr="00B253C4">
              <w:t xml:space="preserve">judgmental and relatable, and appreciate that the people who work at headspace can be quite young but still qualified and experienced. </w:t>
            </w:r>
          </w:p>
          <w:p w14:paraId="5BAA6876" w14:textId="327A53FD" w:rsidR="00855EB0" w:rsidRPr="00B253C4" w:rsidRDefault="00B9755A" w:rsidP="00B24480">
            <w:pPr>
              <w:pStyle w:val="TableBullet1"/>
            </w:pPr>
            <w:r>
              <w:t>h</w:t>
            </w:r>
            <w:r w:rsidR="00855EB0" w:rsidRPr="00B253C4">
              <w:t>eadspace users interviewed described that they accessed support either face</w:t>
            </w:r>
            <w:r w:rsidR="00F25070">
              <w:t>-</w:t>
            </w:r>
            <w:r w:rsidR="00855EB0" w:rsidRPr="00B253C4">
              <w:t>to</w:t>
            </w:r>
            <w:r w:rsidR="00F25070">
              <w:t>-</w:t>
            </w:r>
            <w:r w:rsidR="00855EB0" w:rsidRPr="00B253C4">
              <w:t xml:space="preserve">face by going to a </w:t>
            </w:r>
            <w:r w:rsidR="00F25070">
              <w:t>service</w:t>
            </w:r>
            <w:r w:rsidR="00855EB0" w:rsidRPr="00B253C4">
              <w:t>, which were well-located and near public transport, or online (mainly due to the pandemic, or distance</w:t>
            </w:r>
            <w:r>
              <w:t>)</w:t>
            </w:r>
            <w:r w:rsidR="00855EB0" w:rsidRPr="00B253C4">
              <w:t>.</w:t>
            </w:r>
          </w:p>
          <w:p w14:paraId="337666D0" w14:textId="6C0442AC" w:rsidR="00855EB0" w:rsidRPr="00B253C4" w:rsidRDefault="00855EB0" w:rsidP="00B24480">
            <w:pPr>
              <w:pStyle w:val="TableBullet1"/>
            </w:pPr>
            <w:r w:rsidRPr="00B253C4">
              <w:t xml:space="preserve">Some users talked about wanting </w:t>
            </w:r>
            <w:r w:rsidR="00F25070">
              <w:t xml:space="preserve">access </w:t>
            </w:r>
            <w:r w:rsidR="009E659F">
              <w:t>to</w:t>
            </w:r>
            <w:r w:rsidRPr="00B253C4">
              <w:t xml:space="preserve"> online resources while waiting for their first appointment (or between appointments).</w:t>
            </w:r>
          </w:p>
          <w:p w14:paraId="6052FB46" w14:textId="54F86139" w:rsidR="00855EB0" w:rsidRPr="00B253C4" w:rsidRDefault="00855EB0" w:rsidP="00B24480">
            <w:pPr>
              <w:pStyle w:val="TableBullet1"/>
            </w:pPr>
            <w:r w:rsidRPr="00B253C4">
              <w:t xml:space="preserve">Barriers included opening hours (as users </w:t>
            </w:r>
            <w:r w:rsidR="00B9755A">
              <w:t xml:space="preserve">aged </w:t>
            </w:r>
            <w:r w:rsidRPr="00B253C4">
              <w:t>in their 20s were more likely to be at work during the day), being able to move to another counsellor if they were not the right ‘match’ with the headspace staff member, the cultural or gender characteristics of the staff member being too different so that they could not relate</w:t>
            </w:r>
            <w:r w:rsidR="00B9755A">
              <w:t>;</w:t>
            </w:r>
            <w:r w:rsidRPr="00B253C4">
              <w:t xml:space="preserve"> however</w:t>
            </w:r>
            <w:r w:rsidR="00B9755A">
              <w:t>,</w:t>
            </w:r>
            <w:r w:rsidRPr="00B253C4">
              <w:t xml:space="preserve"> the actual logistics of appointments were not a problem for many headspace users. </w:t>
            </w:r>
          </w:p>
          <w:p w14:paraId="6A7E91BB" w14:textId="636B9E98" w:rsidR="00855EB0" w:rsidRPr="00B253C4" w:rsidRDefault="00F25070" w:rsidP="00B24480">
            <w:pPr>
              <w:pStyle w:val="TableBullet1"/>
            </w:pPr>
            <w:r>
              <w:t>A number of</w:t>
            </w:r>
            <w:r w:rsidR="00855EB0" w:rsidRPr="00B253C4">
              <w:t xml:space="preserve"> interviewees had been to headspace and then </w:t>
            </w:r>
            <w:r w:rsidR="00B9755A">
              <w:t xml:space="preserve">later </w:t>
            </w:r>
            <w:r w:rsidR="00855EB0" w:rsidRPr="00B253C4">
              <w:t>to a clinical psychologist, and the majority much preferred the therapeutic relationship with the psychologist in private practice, while also acknowledging that headspace ha</w:t>
            </w:r>
            <w:r w:rsidR="00B9755A">
              <w:t>d</w:t>
            </w:r>
            <w:r w:rsidR="00855EB0" w:rsidRPr="00B253C4">
              <w:t xml:space="preserve"> been useful at the time or pointed them in the right direction. A minority felt headspace had been of very little use to them and </w:t>
            </w:r>
            <w:r w:rsidR="00B9755A">
              <w:t xml:space="preserve">they </w:t>
            </w:r>
            <w:r w:rsidR="00855EB0" w:rsidRPr="00B253C4">
              <w:t xml:space="preserve">were glad they had ‘moved on’. </w:t>
            </w:r>
          </w:p>
          <w:p w14:paraId="14A9A2F4" w14:textId="6B341113" w:rsidR="00855EB0" w:rsidRPr="00B253C4" w:rsidRDefault="00855EB0" w:rsidP="00B24480">
            <w:pPr>
              <w:pStyle w:val="TableBullet1"/>
            </w:pPr>
            <w:r w:rsidRPr="00B253C4">
              <w:t xml:space="preserve">In interviews with </w:t>
            </w:r>
            <w:r w:rsidR="00B9755A">
              <w:t>Y</w:t>
            </w:r>
            <w:r w:rsidRPr="00B253C4">
              <w:t xml:space="preserve">outh </w:t>
            </w:r>
            <w:r w:rsidR="00B9755A">
              <w:t>R</w:t>
            </w:r>
            <w:r w:rsidRPr="00B253C4">
              <w:t xml:space="preserve">eference </w:t>
            </w:r>
            <w:r w:rsidR="00B9755A">
              <w:t>G</w:t>
            </w:r>
            <w:r w:rsidRPr="00B253C4">
              <w:t>roups, y</w:t>
            </w:r>
            <w:r w:rsidRPr="00B253C4">
              <w:rPr>
                <w:shd w:val="clear" w:color="auto" w:fill="FFFFFF"/>
              </w:rPr>
              <w:t xml:space="preserve">oung people noted that accessible locations, the high recognition of the headspace brand for example on social media, outreach activities in schools and the community and the youth friendly approach to providing help and advocacy contributed to enabling young people to access services. </w:t>
            </w:r>
          </w:p>
          <w:p w14:paraId="4ADD3352" w14:textId="14CA9351" w:rsidR="00855EB0" w:rsidRPr="00B253C4" w:rsidRDefault="00855EB0" w:rsidP="00B24480">
            <w:pPr>
              <w:pStyle w:val="TableBullet1"/>
            </w:pPr>
            <w:r w:rsidRPr="00B253C4">
              <w:rPr>
                <w:shd w:val="clear" w:color="auto" w:fill="FFFFFF"/>
              </w:rPr>
              <w:t xml:space="preserve">Youth </w:t>
            </w:r>
            <w:r w:rsidR="00B9755A">
              <w:rPr>
                <w:shd w:val="clear" w:color="auto" w:fill="FFFFFF"/>
              </w:rPr>
              <w:t>R</w:t>
            </w:r>
            <w:r w:rsidRPr="00B253C4">
              <w:rPr>
                <w:shd w:val="clear" w:color="auto" w:fill="FFFFFF"/>
              </w:rPr>
              <w:t xml:space="preserve">eference </w:t>
            </w:r>
            <w:r w:rsidR="00B9755A">
              <w:rPr>
                <w:shd w:val="clear" w:color="auto" w:fill="FFFFFF"/>
              </w:rPr>
              <w:t>G</w:t>
            </w:r>
            <w:r w:rsidRPr="00B253C4">
              <w:rPr>
                <w:shd w:val="clear" w:color="auto" w:fill="FFFFFF"/>
              </w:rPr>
              <w:t>roup participants identified several barriers to accessing support: waiting lists, staffing shortages, and resourcing.</w:t>
            </w:r>
          </w:p>
        </w:tc>
      </w:tr>
      <w:tr w:rsidR="00855EB0" w14:paraId="243CAE7C"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52E6677C" w14:textId="77777777" w:rsidR="00855EB0" w:rsidRDefault="00855EB0" w:rsidP="00A33A8D">
            <w:pPr>
              <w:pStyle w:val="Tabletext"/>
              <w:rPr>
                <w:rFonts w:cstheme="minorHAnsi"/>
              </w:rPr>
            </w:pPr>
            <w:r>
              <w:rPr>
                <w:rFonts w:cstheme="minorHAnsi"/>
              </w:rPr>
              <w:t>To what extent do young people participate in the design and delivery of headspace, and how does this influence young people and their families experience of headspace?</w:t>
            </w:r>
          </w:p>
        </w:tc>
        <w:tc>
          <w:tcPr>
            <w:tcW w:w="3460" w:type="pct"/>
            <w:tcBorders>
              <w:top w:val="single" w:sz="2" w:space="0" w:color="808080" w:themeColor="background1" w:themeShade="80"/>
              <w:left w:val="nil"/>
              <w:bottom w:val="single" w:sz="2" w:space="0" w:color="808080" w:themeColor="background1" w:themeShade="80"/>
              <w:right w:val="nil"/>
            </w:tcBorders>
          </w:tcPr>
          <w:p w14:paraId="6C1CEB91" w14:textId="77777777" w:rsidR="00855EB0" w:rsidRPr="00B253C4" w:rsidRDefault="00855EB0" w:rsidP="00B24480">
            <w:pPr>
              <w:pStyle w:val="TableBullet1"/>
            </w:pPr>
            <w:r w:rsidRPr="00B253C4">
              <w:t>The views of young people captured in the hMDS young person satisfaction matrix indicate that most are very satisfied with their experience of being involved in the design and delivery of headspace, with the majority selecting ‘strongly agree’ or ‘agree’ for the statements.</w:t>
            </w:r>
          </w:p>
          <w:p w14:paraId="2D9ED574" w14:textId="4DE25700" w:rsidR="00855EB0" w:rsidRPr="00B253C4" w:rsidRDefault="00855EB0" w:rsidP="00B24480">
            <w:pPr>
              <w:pStyle w:val="TableBullet1"/>
              <w:rPr>
                <w:rStyle w:val="normaltextrun"/>
              </w:rPr>
            </w:pPr>
            <w:r w:rsidRPr="00B253C4">
              <w:rPr>
                <w:rStyle w:val="normaltextrun"/>
                <w:bdr w:val="none" w:sz="0" w:space="0" w:color="auto" w:frame="1"/>
              </w:rPr>
              <w:t>Reference group members in one area participated in a review of the forms young people filled out when they first presented to headspace. They suggested changes to the forms to ‘make it as easy and straightforward to fill out as possible’. Making the process simple was especially important for young people who attended headspace alone.</w:t>
            </w:r>
          </w:p>
          <w:p w14:paraId="416F84A1" w14:textId="1B1792E8" w:rsidR="00855EB0" w:rsidRPr="00B253C4" w:rsidRDefault="00855EB0" w:rsidP="00B24480">
            <w:pPr>
              <w:pStyle w:val="TableBullet1"/>
              <w:rPr>
                <w:rStyle w:val="normaltextrun"/>
              </w:rPr>
            </w:pPr>
            <w:r w:rsidRPr="00B253C4">
              <w:rPr>
                <w:rStyle w:val="normaltextrun"/>
                <w:bdr w:val="none" w:sz="0" w:space="0" w:color="auto" w:frame="1"/>
              </w:rPr>
              <w:t>Members of another reference group helped to facilitate groups of like</w:t>
            </w:r>
            <w:r w:rsidR="00B9755A">
              <w:rPr>
                <w:rStyle w:val="normaltextrun"/>
                <w:bdr w:val="none" w:sz="0" w:space="0" w:color="auto" w:frame="1"/>
              </w:rPr>
              <w:noBreakHyphen/>
            </w:r>
            <w:r w:rsidRPr="00B253C4">
              <w:rPr>
                <w:rStyle w:val="normaltextrun"/>
                <w:bdr w:val="none" w:sz="0" w:space="0" w:color="auto" w:frame="1"/>
              </w:rPr>
              <w:t xml:space="preserve">minded people around issues they felt strongly about, to the support young people on the headspace waiting list in their area. The young people hoped to start a </w:t>
            </w:r>
            <w:r w:rsidR="00B9755A">
              <w:rPr>
                <w:rStyle w:val="normaltextrun"/>
                <w:bdr w:val="none" w:sz="0" w:space="0" w:color="auto" w:frame="1"/>
              </w:rPr>
              <w:t>‘</w:t>
            </w:r>
            <w:r w:rsidRPr="00B253C4">
              <w:rPr>
                <w:rStyle w:val="normaltextrun"/>
                <w:bdr w:val="none" w:sz="0" w:space="0" w:color="auto" w:frame="1"/>
              </w:rPr>
              <w:t>climate</w:t>
            </w:r>
            <w:r w:rsidR="00B9755A">
              <w:rPr>
                <w:rStyle w:val="normaltextrun"/>
                <w:bdr w:val="none" w:sz="0" w:space="0" w:color="auto" w:frame="1"/>
              </w:rPr>
              <w:t>’</w:t>
            </w:r>
            <w:r w:rsidRPr="00B253C4">
              <w:rPr>
                <w:rStyle w:val="normaltextrun"/>
                <w:bdr w:val="none" w:sz="0" w:space="0" w:color="auto" w:frame="1"/>
              </w:rPr>
              <w:t xml:space="preserve"> group.</w:t>
            </w:r>
          </w:p>
          <w:p w14:paraId="6E3FE4E2" w14:textId="32B01200" w:rsidR="00855EB0" w:rsidRPr="00B253C4" w:rsidRDefault="00855EB0" w:rsidP="00B24480">
            <w:pPr>
              <w:pStyle w:val="TableBullet1"/>
            </w:pPr>
            <w:r w:rsidRPr="00B253C4">
              <w:t>While the hMDS collects satisfaction data directly from young people</w:t>
            </w:r>
            <w:r w:rsidR="00B9755A">
              <w:t>,</w:t>
            </w:r>
            <w:r w:rsidRPr="00B253C4">
              <w:t xml:space="preserve"> it does not survey family members participating in family and friend focussed </w:t>
            </w:r>
            <w:r w:rsidR="007B2863">
              <w:t>OOS</w:t>
            </w:r>
            <w:r w:rsidRPr="00B253C4">
              <w:t>. This makes the extent to which including young people in design and decision making is associated with improved service experience for families.</w:t>
            </w:r>
          </w:p>
        </w:tc>
      </w:tr>
      <w:tr w:rsidR="00855EB0" w14:paraId="6CBFACC8" w14:textId="77777777" w:rsidTr="00D93398">
        <w:tc>
          <w:tcPr>
            <w:tcW w:w="1540" w:type="pct"/>
            <w:tcBorders>
              <w:top w:val="single" w:sz="2" w:space="0" w:color="808080" w:themeColor="background1" w:themeShade="80"/>
              <w:left w:val="nil"/>
              <w:bottom w:val="single" w:sz="2" w:space="0" w:color="808080" w:themeColor="background1" w:themeShade="80"/>
              <w:right w:val="nil"/>
            </w:tcBorders>
          </w:tcPr>
          <w:p w14:paraId="46FE929A" w14:textId="77777777" w:rsidR="00855EB0" w:rsidRDefault="00855EB0" w:rsidP="00A33A8D">
            <w:pPr>
              <w:pStyle w:val="Tabletext"/>
              <w:rPr>
                <w:rFonts w:cstheme="minorHAnsi"/>
              </w:rPr>
            </w:pPr>
            <w:r>
              <w:rPr>
                <w:rFonts w:cstheme="minorHAnsi"/>
              </w:rPr>
              <w:t>How is the establishment of alternative service delivery models assisting headspace to meet its program outcomes?</w:t>
            </w:r>
          </w:p>
        </w:tc>
        <w:tc>
          <w:tcPr>
            <w:tcW w:w="3460" w:type="pct"/>
            <w:tcBorders>
              <w:top w:val="single" w:sz="2" w:space="0" w:color="808080" w:themeColor="background1" w:themeShade="80"/>
              <w:left w:val="nil"/>
              <w:bottom w:val="single" w:sz="2" w:space="0" w:color="808080" w:themeColor="background1" w:themeShade="80"/>
              <w:right w:val="nil"/>
            </w:tcBorders>
          </w:tcPr>
          <w:p w14:paraId="2F4B09B2" w14:textId="77777777" w:rsidR="00855EB0" w:rsidRPr="00B253C4" w:rsidRDefault="00855EB0" w:rsidP="00B24480">
            <w:pPr>
              <w:pStyle w:val="TableBullet1"/>
            </w:pPr>
            <w:r w:rsidRPr="00B253C4">
              <w:t>N/A</w:t>
            </w:r>
          </w:p>
        </w:tc>
      </w:tr>
    </w:tbl>
    <w:p w14:paraId="780BE302" w14:textId="53630E89" w:rsidR="00E96A7D" w:rsidRDefault="00E96A7D" w:rsidP="001268EC">
      <w:pPr>
        <w:pStyle w:val="Source"/>
      </w:pPr>
      <w:r>
        <w:t>Source: KPMG 2022</w:t>
      </w:r>
    </w:p>
    <w:p w14:paraId="0F22FAFE" w14:textId="09DE4A3B" w:rsidR="00855EB0" w:rsidRPr="004510B6" w:rsidRDefault="00855EB0" w:rsidP="00D21844">
      <w:pPr>
        <w:pStyle w:val="AppendixHeading3"/>
      </w:pPr>
      <w:r w:rsidRPr="004510B6">
        <w:t>Young people who do not use headspace</w:t>
      </w:r>
    </w:p>
    <w:p w14:paraId="4C0389FC" w14:textId="3A61043F" w:rsidR="00855EB0" w:rsidRPr="000350F2" w:rsidRDefault="00855EB0" w:rsidP="00D21844">
      <w:pPr>
        <w:pStyle w:val="Heading4"/>
      </w:pPr>
      <w:r w:rsidRPr="000350F2">
        <w:t>Evaluation activities and data sources</w:t>
      </w:r>
    </w:p>
    <w:p w14:paraId="72B9D90F" w14:textId="3E135AAD" w:rsidR="00B86180" w:rsidRPr="00827FFA" w:rsidRDefault="003E6795" w:rsidP="00827FFA">
      <w:pPr>
        <w:pStyle w:val="BodyText"/>
      </w:pPr>
      <w:r>
        <w:t>Q</w:t>
      </w:r>
      <w:r w:rsidR="00B86180">
        <w:t>ualitative themes are sourced from a mix of data described below</w:t>
      </w:r>
      <w:r>
        <w:t>.</w:t>
      </w:r>
    </w:p>
    <w:p w14:paraId="3ED16CBA" w14:textId="10E07747" w:rsidR="00B750B9" w:rsidRPr="00B750B9" w:rsidRDefault="00855EB0" w:rsidP="00B750B9">
      <w:pPr>
        <w:pStyle w:val="Bullet1stlevel"/>
        <w:rPr>
          <w:szCs w:val="20"/>
          <w:lang w:eastAsia="en-AU"/>
        </w:rPr>
      </w:pPr>
      <w:r w:rsidRPr="1FE45145">
        <w:rPr>
          <w:lang w:eastAsia="en-AU"/>
        </w:rPr>
        <w:t>Focus groups and c</w:t>
      </w:r>
      <w:r w:rsidRPr="1FE45145">
        <w:rPr>
          <w:szCs w:val="20"/>
          <w:lang w:eastAsia="en-AU"/>
        </w:rPr>
        <w:t>onsultation with non-headspace users to understand their perceptions of headspace, and experiences in supporting their mental health and wellbeing.</w:t>
      </w:r>
    </w:p>
    <w:p w14:paraId="3B88A8EB" w14:textId="235A03E7" w:rsidR="009549F2" w:rsidRPr="002260C8" w:rsidRDefault="009549F2" w:rsidP="00853840">
      <w:pPr>
        <w:pStyle w:val="Bullet1stlevel"/>
        <w:rPr>
          <w:szCs w:val="20"/>
          <w:lang w:eastAsia="en-AU"/>
        </w:rPr>
      </w:pPr>
      <w:r>
        <w:rPr>
          <w:szCs w:val="20"/>
          <w:lang w:eastAsia="en-AU"/>
        </w:rPr>
        <w:t xml:space="preserve">Survey of </w:t>
      </w:r>
      <w:r w:rsidRPr="00B253C4">
        <w:t>1,432</w:t>
      </w:r>
      <w:r>
        <w:t xml:space="preserve"> young people who do not use headspace</w:t>
      </w:r>
    </w:p>
    <w:p w14:paraId="5F6F751E" w14:textId="64B58229" w:rsidR="00980D29" w:rsidRDefault="00980D29" w:rsidP="00980D29">
      <w:pPr>
        <w:pStyle w:val="Caption"/>
      </w:pPr>
      <w:bookmarkStart w:id="209" w:name="_Toc108108989"/>
      <w:r>
        <w:t xml:space="preserve">Table </w:t>
      </w:r>
      <w:fldSimple w:instr=" SEQ Table \* ARABIC ">
        <w:r w:rsidR="00CC0438">
          <w:rPr>
            <w:noProof/>
          </w:rPr>
          <w:t>39</w:t>
        </w:r>
      </w:fldSimple>
      <w:r>
        <w:t xml:space="preserve"> Stakeholder engagement themes from young people who do not use headspace</w:t>
      </w:r>
      <w:bookmarkEnd w:id="209"/>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keholder engagement themes from young people who do not use headspace"/>
        <w:tblDescription w:val="Table has 2 columns summarising themes from stakeholder engagement with young people who do not use headspace. Column 1 lists specific evaluation questions and column 2 summarises themes against each evaluation question.&#10;"/>
      </w:tblPr>
      <w:tblGrid>
        <w:gridCol w:w="2836"/>
        <w:gridCol w:w="6377"/>
      </w:tblGrid>
      <w:tr w:rsidR="00855EB0" w14:paraId="006FA671" w14:textId="77777777" w:rsidTr="00784201">
        <w:trPr>
          <w:tblHeader/>
        </w:trPr>
        <w:tc>
          <w:tcPr>
            <w:tcW w:w="1539" w:type="pct"/>
            <w:tcBorders>
              <w:top w:val="nil"/>
              <w:left w:val="nil"/>
              <w:bottom w:val="single" w:sz="4" w:space="0" w:color="00338D" w:themeColor="background2"/>
              <w:right w:val="nil"/>
            </w:tcBorders>
            <w:shd w:val="clear" w:color="auto" w:fill="00338D" w:themeFill="background2"/>
            <w:hideMark/>
          </w:tcPr>
          <w:p w14:paraId="06AFF885" w14:textId="77777777" w:rsidR="00855EB0" w:rsidRPr="002D676C" w:rsidRDefault="00855EB0" w:rsidP="002D676C">
            <w:pPr>
              <w:pStyle w:val="Tableheading"/>
            </w:pPr>
            <w:r w:rsidRPr="002D676C">
              <w:t>Evaluation Question</w:t>
            </w:r>
          </w:p>
        </w:tc>
        <w:tc>
          <w:tcPr>
            <w:tcW w:w="3461" w:type="pct"/>
            <w:tcBorders>
              <w:top w:val="nil"/>
              <w:left w:val="nil"/>
              <w:bottom w:val="single" w:sz="4" w:space="0" w:color="00338D" w:themeColor="background2"/>
              <w:right w:val="nil"/>
            </w:tcBorders>
            <w:shd w:val="clear" w:color="auto" w:fill="00338D" w:themeFill="background2"/>
            <w:hideMark/>
          </w:tcPr>
          <w:p w14:paraId="27DDBB85" w14:textId="77777777" w:rsidR="00855EB0" w:rsidRPr="002D676C" w:rsidRDefault="00855EB0" w:rsidP="002D676C">
            <w:pPr>
              <w:pStyle w:val="Tableheading"/>
            </w:pPr>
            <w:r w:rsidRPr="002D676C">
              <w:t>Themes</w:t>
            </w:r>
          </w:p>
        </w:tc>
      </w:tr>
      <w:tr w:rsidR="00855EB0" w14:paraId="526CFE65" w14:textId="77777777" w:rsidTr="00D93398">
        <w:tc>
          <w:tcPr>
            <w:tcW w:w="1539" w:type="pct"/>
            <w:tcBorders>
              <w:top w:val="single" w:sz="4" w:space="0" w:color="00338D" w:themeColor="background2"/>
              <w:left w:val="nil"/>
              <w:bottom w:val="single" w:sz="2" w:space="0" w:color="808080" w:themeColor="background1" w:themeShade="80"/>
              <w:right w:val="nil"/>
            </w:tcBorders>
            <w:hideMark/>
          </w:tcPr>
          <w:p w14:paraId="797D3468" w14:textId="1F9EDAB1" w:rsidR="00855EB0" w:rsidRPr="00B253C4" w:rsidRDefault="00855EB0" w:rsidP="00A33A8D">
            <w:pPr>
              <w:pStyle w:val="Tabletext"/>
              <w:rPr>
                <w:i/>
              </w:rPr>
            </w:pPr>
            <w:r w:rsidRPr="00546252">
              <w:t xml:space="preserve">How effective is </w:t>
            </w:r>
            <w:r w:rsidRPr="00B9755A">
              <w:t>h</w:t>
            </w:r>
            <w:r w:rsidRPr="00C13374">
              <w:t>eadspace</w:t>
            </w:r>
            <w:r w:rsidRPr="001A1FAD">
              <w:t xml:space="preserve"> in increasing mental health literacy?</w:t>
            </w:r>
          </w:p>
        </w:tc>
        <w:tc>
          <w:tcPr>
            <w:tcW w:w="3461" w:type="pct"/>
            <w:tcBorders>
              <w:top w:val="single" w:sz="4" w:space="0" w:color="00338D" w:themeColor="background2"/>
              <w:left w:val="nil"/>
              <w:bottom w:val="single" w:sz="2" w:space="0" w:color="808080" w:themeColor="background1" w:themeShade="80"/>
              <w:right w:val="nil"/>
            </w:tcBorders>
            <w:hideMark/>
          </w:tcPr>
          <w:p w14:paraId="535080E0" w14:textId="77777777" w:rsidR="00855EB0" w:rsidRPr="00B253C4" w:rsidRDefault="00855EB0" w:rsidP="00B24480">
            <w:pPr>
              <w:pStyle w:val="TableBullet1"/>
            </w:pPr>
            <w:r w:rsidRPr="00B253C4">
              <w:t>N/A</w:t>
            </w:r>
          </w:p>
        </w:tc>
      </w:tr>
      <w:tr w:rsidR="00855EB0" w14:paraId="48B5FF95" w14:textId="77777777" w:rsidTr="00D93398">
        <w:tc>
          <w:tcPr>
            <w:tcW w:w="1539" w:type="pct"/>
            <w:tcBorders>
              <w:top w:val="single" w:sz="2" w:space="0" w:color="808080" w:themeColor="background1" w:themeShade="80"/>
              <w:left w:val="nil"/>
              <w:bottom w:val="single" w:sz="2" w:space="0" w:color="808080" w:themeColor="background1" w:themeShade="80"/>
              <w:right w:val="nil"/>
            </w:tcBorders>
            <w:hideMark/>
          </w:tcPr>
          <w:p w14:paraId="3A684D8C" w14:textId="77777777" w:rsidR="00855EB0" w:rsidRPr="00A33A8D" w:rsidRDefault="00855EB0" w:rsidP="001A4FD1">
            <w:pPr>
              <w:pStyle w:val="Tabletext"/>
            </w:pPr>
            <w:r w:rsidRPr="00A33A8D">
              <w:t>How effective is headspace in increasing early help seeking?</w:t>
            </w:r>
          </w:p>
        </w:tc>
        <w:tc>
          <w:tcPr>
            <w:tcW w:w="3461" w:type="pct"/>
            <w:tcBorders>
              <w:top w:val="single" w:sz="2" w:space="0" w:color="808080" w:themeColor="background1" w:themeShade="80"/>
              <w:left w:val="nil"/>
              <w:bottom w:val="single" w:sz="2" w:space="0" w:color="808080" w:themeColor="background1" w:themeShade="80"/>
              <w:right w:val="nil"/>
            </w:tcBorders>
            <w:hideMark/>
          </w:tcPr>
          <w:p w14:paraId="4E73BA11" w14:textId="77777777" w:rsidR="00855EB0" w:rsidRPr="00B253C4" w:rsidRDefault="00855EB0" w:rsidP="00B24480">
            <w:pPr>
              <w:pStyle w:val="TableBullet1"/>
            </w:pPr>
            <w:r w:rsidRPr="00B253C4">
              <w:t xml:space="preserve">When asked why they do not seek support from headspace, they responded they do not feel their need is severe enough to warrant taking the time or resources away from those in need. </w:t>
            </w:r>
          </w:p>
        </w:tc>
      </w:tr>
      <w:tr w:rsidR="00855EB0" w14:paraId="53E5D828" w14:textId="77777777" w:rsidTr="00D93398">
        <w:tc>
          <w:tcPr>
            <w:tcW w:w="1539" w:type="pct"/>
            <w:tcBorders>
              <w:top w:val="single" w:sz="2" w:space="0" w:color="808080" w:themeColor="background1" w:themeShade="80"/>
              <w:left w:val="nil"/>
              <w:bottom w:val="single" w:sz="2" w:space="0" w:color="808080" w:themeColor="background1" w:themeShade="80"/>
              <w:right w:val="nil"/>
            </w:tcBorders>
            <w:hideMark/>
          </w:tcPr>
          <w:p w14:paraId="091AD611" w14:textId="77777777" w:rsidR="00855EB0" w:rsidRPr="00CC2258" w:rsidRDefault="00855EB0" w:rsidP="00A33A8D">
            <w:pPr>
              <w:pStyle w:val="Tabletext"/>
              <w:rPr>
                <w:rFonts w:cstheme="minorHAnsi"/>
              </w:rPr>
            </w:pPr>
            <w:r>
              <w:rPr>
                <w:rFonts w:cstheme="minorHAnsi"/>
              </w:rPr>
              <w:t>How effective is headspace in increasing access to required services?</w:t>
            </w:r>
          </w:p>
        </w:tc>
        <w:tc>
          <w:tcPr>
            <w:tcW w:w="3461" w:type="pct"/>
            <w:tcBorders>
              <w:top w:val="single" w:sz="2" w:space="0" w:color="808080" w:themeColor="background1" w:themeShade="80"/>
              <w:left w:val="nil"/>
              <w:bottom w:val="single" w:sz="2" w:space="0" w:color="808080" w:themeColor="background1" w:themeShade="80"/>
              <w:right w:val="nil"/>
            </w:tcBorders>
            <w:hideMark/>
          </w:tcPr>
          <w:p w14:paraId="659302F8" w14:textId="77777777" w:rsidR="00855EB0" w:rsidRPr="00B253C4" w:rsidRDefault="00855EB0" w:rsidP="00B24480">
            <w:pPr>
              <w:pStyle w:val="TableBullet1"/>
            </w:pPr>
            <w:r w:rsidRPr="00B253C4">
              <w:t>N/A</w:t>
            </w:r>
          </w:p>
        </w:tc>
      </w:tr>
      <w:tr w:rsidR="00855EB0" w14:paraId="385F503D"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33A25E3C" w14:textId="77777777" w:rsidR="00855EB0" w:rsidRDefault="00855EB0" w:rsidP="00A33A8D">
            <w:pPr>
              <w:pStyle w:val="Tabletext"/>
              <w:rPr>
                <w:rFonts w:cstheme="minorHAnsi"/>
              </w:rPr>
            </w:pPr>
            <w:r>
              <w:rPr>
                <w:rFonts w:cstheme="minorHAnsi"/>
              </w:rPr>
              <w:t xml:space="preserve">How effective is headspace in supporting ‘hard to reach’ groups, including those who are at greater risk and less likely to seek help? </w:t>
            </w:r>
            <w:r>
              <w:t>In increasing access for hard-to-reach groups?</w:t>
            </w:r>
          </w:p>
        </w:tc>
        <w:tc>
          <w:tcPr>
            <w:tcW w:w="3461" w:type="pct"/>
            <w:tcBorders>
              <w:top w:val="single" w:sz="2" w:space="0" w:color="808080" w:themeColor="background1" w:themeShade="80"/>
              <w:left w:val="nil"/>
              <w:bottom w:val="single" w:sz="2" w:space="0" w:color="808080" w:themeColor="background1" w:themeShade="80"/>
              <w:right w:val="nil"/>
            </w:tcBorders>
          </w:tcPr>
          <w:p w14:paraId="7705E641" w14:textId="77777777" w:rsidR="00855EB0" w:rsidRPr="00B253C4" w:rsidRDefault="00855EB0" w:rsidP="00B24480">
            <w:pPr>
              <w:pStyle w:val="TableBullet1"/>
            </w:pPr>
            <w:r w:rsidRPr="00B253C4">
              <w:t>N/A</w:t>
            </w:r>
          </w:p>
        </w:tc>
      </w:tr>
      <w:tr w:rsidR="00855EB0" w14:paraId="4BAB4E6D"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3B95FB1E" w14:textId="77777777" w:rsidR="00855EB0" w:rsidRDefault="00855EB0" w:rsidP="00A33A8D">
            <w:pPr>
              <w:pStyle w:val="Tabletext"/>
              <w:rPr>
                <w:rFonts w:cstheme="minorHAnsi"/>
              </w:rPr>
            </w:pPr>
            <w:r>
              <w:rPr>
                <w:rFonts w:cstheme="minorHAnsi"/>
              </w:rPr>
              <w:t>How well does headspace advocate for and promote youth mental health and wellbeing in their communities?</w:t>
            </w:r>
          </w:p>
        </w:tc>
        <w:tc>
          <w:tcPr>
            <w:tcW w:w="3461" w:type="pct"/>
            <w:tcBorders>
              <w:top w:val="single" w:sz="2" w:space="0" w:color="808080" w:themeColor="background1" w:themeShade="80"/>
              <w:left w:val="nil"/>
              <w:bottom w:val="single" w:sz="2" w:space="0" w:color="808080" w:themeColor="background1" w:themeShade="80"/>
              <w:right w:val="nil"/>
            </w:tcBorders>
          </w:tcPr>
          <w:p w14:paraId="03CF8844" w14:textId="27AF493E" w:rsidR="00855EB0" w:rsidRPr="00B253C4" w:rsidRDefault="00855EB0" w:rsidP="00B24480">
            <w:pPr>
              <w:pStyle w:val="TableBullet1"/>
            </w:pPr>
            <w:r w:rsidRPr="00B253C4">
              <w:rPr>
                <w:lang w:eastAsia="en-AU"/>
              </w:rPr>
              <w:t xml:space="preserve">In discussions about headspace and its role in advocating and promoting mental health in local communities surrounding </w:t>
            </w:r>
            <w:r w:rsidR="00A826EE">
              <w:rPr>
                <w:lang w:eastAsia="en-AU"/>
              </w:rPr>
              <w:t>headspace services</w:t>
            </w:r>
            <w:r w:rsidRPr="00B253C4">
              <w:rPr>
                <w:lang w:eastAsia="en-AU"/>
              </w:rPr>
              <w:t>, young people were able to readily identify occasions where they had observed a headspace presence at community events, for example at schools and university o</w:t>
            </w:r>
            <w:r w:rsidRPr="00B253C4">
              <w:rPr>
                <w:lang w:eastAsia="en-AU"/>
              </w:rPr>
              <w:noBreakHyphen/>
              <w:t>weeks, as well as on social media.</w:t>
            </w:r>
          </w:p>
        </w:tc>
      </w:tr>
      <w:tr w:rsidR="00855EB0" w14:paraId="78E50E94"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05EC8E82" w14:textId="287780B8" w:rsidR="00855EB0" w:rsidRDefault="00855EB0" w:rsidP="00A33A8D">
            <w:pPr>
              <w:pStyle w:val="Tabletext"/>
              <w:rPr>
                <w:rFonts w:cstheme="minorHAnsi"/>
              </w:rPr>
            </w:pPr>
            <w:r>
              <w:rPr>
                <w:rFonts w:cstheme="minorHAnsi"/>
              </w:rPr>
              <w:t>To what extent has headspace reduced stigma associated with mental illness and help</w:t>
            </w:r>
            <w:r w:rsidR="00BD29DF">
              <w:rPr>
                <w:rFonts w:cstheme="minorHAnsi"/>
              </w:rPr>
              <w:t xml:space="preserve"> </w:t>
            </w:r>
            <w:r>
              <w:rPr>
                <w:rFonts w:cstheme="minorHAnsi"/>
              </w:rPr>
              <w:t>seeking for young people, their families and friends, and the community?</w:t>
            </w:r>
          </w:p>
        </w:tc>
        <w:tc>
          <w:tcPr>
            <w:tcW w:w="3461" w:type="pct"/>
            <w:tcBorders>
              <w:top w:val="single" w:sz="2" w:space="0" w:color="808080" w:themeColor="background1" w:themeShade="80"/>
              <w:left w:val="nil"/>
              <w:bottom w:val="single" w:sz="2" w:space="0" w:color="808080" w:themeColor="background1" w:themeShade="80"/>
              <w:right w:val="nil"/>
            </w:tcBorders>
          </w:tcPr>
          <w:p w14:paraId="5F23BBB6" w14:textId="77777777" w:rsidR="00855EB0" w:rsidRPr="00B253C4" w:rsidRDefault="00855EB0" w:rsidP="00B24480">
            <w:pPr>
              <w:pStyle w:val="TableBullet1"/>
            </w:pPr>
            <w:r w:rsidRPr="00B253C4">
              <w:t>Discussions with young people from culturally and linguistically diverse backgrounds indicated that they felt there was limited understanding of the cultural sensitivities around mental health, and that this was true of the headspace model as well as of mainstream services more generally.</w:t>
            </w:r>
          </w:p>
        </w:tc>
      </w:tr>
      <w:tr w:rsidR="00855EB0" w14:paraId="7939BB7D"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066D3F54" w14:textId="522D4434" w:rsidR="00855EB0" w:rsidRDefault="00855EB0" w:rsidP="00A33A8D">
            <w:pPr>
              <w:pStyle w:val="Tabletext"/>
              <w:rPr>
                <w:rFonts w:cstheme="minorHAnsi"/>
              </w:rPr>
            </w:pPr>
            <w:r>
              <w:rPr>
                <w:rFonts w:cstheme="minorHAnsi"/>
              </w:rPr>
              <w:t>How effective is headspace in improving pathways to care for young people through service integration and coordination</w:t>
            </w:r>
            <w:r w:rsidR="001F7378">
              <w:rPr>
                <w:rFonts w:cstheme="minorHAnsi"/>
              </w:rPr>
              <w:t>?</w:t>
            </w:r>
          </w:p>
        </w:tc>
        <w:tc>
          <w:tcPr>
            <w:tcW w:w="3461" w:type="pct"/>
            <w:tcBorders>
              <w:top w:val="single" w:sz="2" w:space="0" w:color="808080" w:themeColor="background1" w:themeShade="80"/>
              <w:left w:val="nil"/>
              <w:bottom w:val="single" w:sz="2" w:space="0" w:color="808080" w:themeColor="background1" w:themeShade="80"/>
              <w:right w:val="nil"/>
            </w:tcBorders>
          </w:tcPr>
          <w:p w14:paraId="28231ADC" w14:textId="77777777" w:rsidR="00855EB0" w:rsidRPr="00B253C4" w:rsidRDefault="00855EB0" w:rsidP="00B24480">
            <w:pPr>
              <w:pStyle w:val="TableBullet1"/>
            </w:pPr>
            <w:r w:rsidRPr="00B253C4">
              <w:t>Young people who had not accessed headspace services were asked if they had sought support from their GP for mental health. Of the 1,432 young people who had not used headspace services, and who answered this question, 537 indicated they had sought support from their GP.</w:t>
            </w:r>
          </w:p>
          <w:p w14:paraId="65CA3D3D" w14:textId="0A998EB1" w:rsidR="00855EB0" w:rsidRPr="00B253C4" w:rsidRDefault="00855EB0" w:rsidP="00B24480">
            <w:pPr>
              <w:pStyle w:val="TableBullet1"/>
            </w:pPr>
            <w:r w:rsidRPr="00B253C4">
              <w:t>These young people were asked a follow</w:t>
            </w:r>
            <w:r w:rsidR="00156585">
              <w:t xml:space="preserve"> </w:t>
            </w:r>
            <w:r w:rsidRPr="00B253C4">
              <w:t xml:space="preserve">up question about other services their GP had referred them to for additional support. Twelve per cent of these young people reported receiving a referral from their GP to both headspace services as well as other mental health services. Four per cent of young people reported receiving a referral to headspace services only, while 81 per cent of young people indicated that their GP had referred them to other services but not a headspace service. </w:t>
            </w:r>
          </w:p>
          <w:p w14:paraId="1A9C4CC4" w14:textId="77777777" w:rsidR="00855EB0" w:rsidRPr="00B253C4" w:rsidRDefault="00855EB0" w:rsidP="00B24480">
            <w:pPr>
              <w:pStyle w:val="TableBullet1"/>
            </w:pPr>
            <w:r w:rsidRPr="00B253C4">
              <w:t>It is not known why these 16 per cent of young people who were referred to headspace chose not to access the services.</w:t>
            </w:r>
          </w:p>
        </w:tc>
      </w:tr>
      <w:tr w:rsidR="00855EB0" w14:paraId="1A2C078C"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36DAA4C5" w14:textId="77777777" w:rsidR="00855EB0" w:rsidRDefault="00855EB0" w:rsidP="00A33A8D">
            <w:pPr>
              <w:pStyle w:val="Tabletext"/>
              <w:rPr>
                <w:rFonts w:cstheme="minorHAnsi"/>
              </w:rPr>
            </w:pPr>
            <w:r>
              <w:rPr>
                <w:rFonts w:cstheme="minorHAnsi"/>
              </w:rPr>
              <w:t>To what extent is headspace providing localised service offering, and what are the barriers and enablers of this?</w:t>
            </w:r>
          </w:p>
        </w:tc>
        <w:tc>
          <w:tcPr>
            <w:tcW w:w="3461" w:type="pct"/>
            <w:tcBorders>
              <w:top w:val="single" w:sz="2" w:space="0" w:color="808080" w:themeColor="background1" w:themeShade="80"/>
              <w:left w:val="nil"/>
              <w:bottom w:val="single" w:sz="2" w:space="0" w:color="808080" w:themeColor="background1" w:themeShade="80"/>
              <w:right w:val="nil"/>
            </w:tcBorders>
          </w:tcPr>
          <w:p w14:paraId="7CEFE4DE" w14:textId="77777777" w:rsidR="00855EB0" w:rsidRPr="00B253C4" w:rsidRDefault="00855EB0" w:rsidP="00B24480">
            <w:pPr>
              <w:pStyle w:val="TableBullet1"/>
            </w:pPr>
            <w:r w:rsidRPr="00B253C4">
              <w:t>N/A</w:t>
            </w:r>
          </w:p>
        </w:tc>
      </w:tr>
      <w:tr w:rsidR="00855EB0" w14:paraId="3714740D"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262A32BE" w14:textId="77777777" w:rsidR="00855EB0" w:rsidRDefault="00855EB0" w:rsidP="00A33A8D">
            <w:pPr>
              <w:pStyle w:val="Tabletext"/>
              <w:rPr>
                <w:rFonts w:cstheme="minorHAnsi"/>
              </w:rPr>
            </w:pPr>
            <w:r>
              <w:rPr>
                <w:rFonts w:cstheme="minorHAnsi"/>
              </w:rPr>
              <w:t>What other contributions does headspace make to local communities?</w:t>
            </w:r>
          </w:p>
        </w:tc>
        <w:tc>
          <w:tcPr>
            <w:tcW w:w="3461" w:type="pct"/>
            <w:tcBorders>
              <w:top w:val="single" w:sz="2" w:space="0" w:color="808080" w:themeColor="background1" w:themeShade="80"/>
              <w:left w:val="nil"/>
              <w:bottom w:val="single" w:sz="2" w:space="0" w:color="808080" w:themeColor="background1" w:themeShade="80"/>
              <w:right w:val="nil"/>
            </w:tcBorders>
          </w:tcPr>
          <w:p w14:paraId="3BE9754C" w14:textId="77777777" w:rsidR="00855EB0" w:rsidRPr="00B253C4" w:rsidRDefault="00855EB0" w:rsidP="00B24480">
            <w:pPr>
              <w:pStyle w:val="TableBullet1"/>
            </w:pPr>
            <w:r w:rsidRPr="00B253C4">
              <w:t>Many young people who do not use headspace described hearing from headspace services through their schools.</w:t>
            </w:r>
          </w:p>
          <w:p w14:paraId="0645A906" w14:textId="3ACD84A8" w:rsidR="00855EB0" w:rsidRPr="00B253C4" w:rsidRDefault="00855EB0" w:rsidP="00B24480">
            <w:pPr>
              <w:pStyle w:val="TableBullet1"/>
            </w:pPr>
            <w:r w:rsidRPr="00B253C4">
              <w:t>Non-headspace users at university indicated that</w:t>
            </w:r>
            <w:r w:rsidR="00853E04">
              <w:t>,</w:t>
            </w:r>
            <w:r w:rsidRPr="00B253C4">
              <w:t xml:space="preserve"> while they recalled headspace services visiting their school, these </w:t>
            </w:r>
            <w:r w:rsidR="00853E04">
              <w:t>types</w:t>
            </w:r>
            <w:r w:rsidR="00853E04" w:rsidRPr="00B253C4">
              <w:t xml:space="preserve"> </w:t>
            </w:r>
            <w:r w:rsidRPr="00B253C4">
              <w:t>of community engagement activities were more limited through their university.</w:t>
            </w:r>
          </w:p>
          <w:p w14:paraId="3971F870" w14:textId="77777777" w:rsidR="00855EB0" w:rsidRPr="00B253C4" w:rsidRDefault="00855EB0" w:rsidP="00B24480">
            <w:pPr>
              <w:pStyle w:val="TableBullet1"/>
            </w:pPr>
            <w:r w:rsidRPr="00B253C4">
              <w:t>A small minority of non-headspace users indicated that the impact of these community engagement activities on them depended on who was running school-based sessions.</w:t>
            </w:r>
          </w:p>
          <w:p w14:paraId="6454AF6F" w14:textId="7966F21A" w:rsidR="00855EB0" w:rsidRPr="00B253C4" w:rsidRDefault="00855EB0" w:rsidP="00B24480">
            <w:pPr>
              <w:pStyle w:val="TableBullet1"/>
            </w:pPr>
            <w:r w:rsidRPr="00B253C4">
              <w:t xml:space="preserve">Where the representative was a young person and easier to identify with for students, non-headspace users described this as being more effective in promoting headspace services and mental health wellbeing, than with other headspace service staff </w:t>
            </w:r>
            <w:r w:rsidR="00853E04">
              <w:t xml:space="preserve">with </w:t>
            </w:r>
            <w:r w:rsidRPr="00B253C4">
              <w:t>who</w:t>
            </w:r>
            <w:r w:rsidR="00853E04">
              <w:t>m</w:t>
            </w:r>
            <w:r w:rsidRPr="00B253C4">
              <w:t xml:space="preserve"> young people did not identify.</w:t>
            </w:r>
          </w:p>
          <w:p w14:paraId="1FDB31DB" w14:textId="5EA7F197" w:rsidR="00855EB0" w:rsidRPr="00B253C4" w:rsidRDefault="00855EB0" w:rsidP="00B24480">
            <w:pPr>
              <w:pStyle w:val="TableBullet1"/>
            </w:pPr>
            <w:r w:rsidRPr="00B253C4">
              <w:t>A small number of non-headspace users also identified youth ambassadors for headspace services as an element of their community engagement and outreach activities, and that this supported great awareness of services and other outcomes</w:t>
            </w:r>
            <w:r w:rsidR="00853E04">
              <w:t>,</w:t>
            </w:r>
            <w:r w:rsidRPr="00B253C4">
              <w:t xml:space="preserve"> such as early help seeking and reducing stigma around seeking support.</w:t>
            </w:r>
          </w:p>
        </w:tc>
      </w:tr>
      <w:tr w:rsidR="00855EB0" w14:paraId="2C6B19D5"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26B4FA3B" w14:textId="77777777" w:rsidR="00855EB0" w:rsidRDefault="00855EB0" w:rsidP="00A33A8D">
            <w:pPr>
              <w:pStyle w:val="Tabletext"/>
              <w:rPr>
                <w:rFonts w:cstheme="minorHAnsi"/>
              </w:rPr>
            </w:pPr>
            <w:r>
              <w:rPr>
                <w:rFonts w:cstheme="minorHAnsi"/>
              </w:rPr>
              <w:t>To what extent does a ‘no-wrong-door’ approach assist headspace to meet its objectives?</w:t>
            </w:r>
          </w:p>
        </w:tc>
        <w:tc>
          <w:tcPr>
            <w:tcW w:w="3461" w:type="pct"/>
            <w:tcBorders>
              <w:top w:val="single" w:sz="2" w:space="0" w:color="808080" w:themeColor="background1" w:themeShade="80"/>
              <w:left w:val="nil"/>
              <w:bottom w:val="single" w:sz="2" w:space="0" w:color="808080" w:themeColor="background1" w:themeShade="80"/>
              <w:right w:val="nil"/>
            </w:tcBorders>
          </w:tcPr>
          <w:p w14:paraId="07F0654E" w14:textId="77777777" w:rsidR="00855EB0" w:rsidRPr="00B253C4" w:rsidRDefault="00855EB0" w:rsidP="00B24480">
            <w:pPr>
              <w:pStyle w:val="TableBullet1"/>
            </w:pPr>
            <w:r w:rsidRPr="00B253C4">
              <w:t>N/A</w:t>
            </w:r>
          </w:p>
        </w:tc>
      </w:tr>
      <w:tr w:rsidR="00855EB0" w14:paraId="37385A3C"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23CAD892" w14:textId="77777777" w:rsidR="00855EB0" w:rsidRDefault="00855EB0" w:rsidP="00A33A8D">
            <w:pPr>
              <w:pStyle w:val="Tabletext"/>
              <w:rPr>
                <w:rFonts w:cstheme="minorHAnsi"/>
              </w:rPr>
            </w:pPr>
            <w:r>
              <w:rPr>
                <w:rFonts w:cstheme="minorHAnsi"/>
              </w:rPr>
              <w:t>What is the level of support for headspace from other primary care and mental health service providers?</w:t>
            </w:r>
          </w:p>
        </w:tc>
        <w:tc>
          <w:tcPr>
            <w:tcW w:w="3461" w:type="pct"/>
            <w:tcBorders>
              <w:top w:val="single" w:sz="2" w:space="0" w:color="808080" w:themeColor="background1" w:themeShade="80"/>
              <w:left w:val="nil"/>
              <w:bottom w:val="single" w:sz="2" w:space="0" w:color="808080" w:themeColor="background1" w:themeShade="80"/>
              <w:right w:val="nil"/>
            </w:tcBorders>
          </w:tcPr>
          <w:p w14:paraId="37E32ADD" w14:textId="1F8BAEBE" w:rsidR="00855EB0" w:rsidRPr="00B253C4" w:rsidRDefault="00855EB0" w:rsidP="00B24480">
            <w:pPr>
              <w:pStyle w:val="TableBullet1"/>
            </w:pPr>
            <w:r w:rsidRPr="00B253C4">
              <w:t>As outlined above in ‘How effective is headspace in improving pathways to care for young people through service integration and coordination’</w:t>
            </w:r>
            <w:r w:rsidR="00853E04">
              <w:t>,</w:t>
            </w:r>
            <w:r w:rsidRPr="00B253C4">
              <w:t xml:space="preserve"> young people who completed the young people’s survey were asked about other services they may have accessed to support their mental health. </w:t>
            </w:r>
            <w:r w:rsidR="00853E04">
              <w:t>Twelve</w:t>
            </w:r>
            <w:r w:rsidRPr="00B253C4">
              <w:t xml:space="preserve"> per cent of young people who had not visited a headspace service, but sought help elsewhere</w:t>
            </w:r>
            <w:r w:rsidR="00853E04">
              <w:t>,</w:t>
            </w:r>
            <w:r w:rsidRPr="00B253C4">
              <w:t xml:space="preserve"> reported receiving a referral from the</w:t>
            </w:r>
            <w:r w:rsidR="00853E04">
              <w:t>ir</w:t>
            </w:r>
            <w:r w:rsidRPr="00B253C4">
              <w:t xml:space="preserve"> GP to both headspace services as well as other mental health services. </w:t>
            </w:r>
            <w:r w:rsidR="00853E04">
              <w:t>Four</w:t>
            </w:r>
            <w:r w:rsidRPr="00B253C4">
              <w:t xml:space="preserve"> per cent of these young people reported receiving a referral to headspace services only, while 81 per cent of young people indicated that their GP had referred them to other services but not a headspace service.</w:t>
            </w:r>
          </w:p>
          <w:p w14:paraId="20F02140" w14:textId="4EEC1592" w:rsidR="00855EB0" w:rsidRPr="00B253C4" w:rsidRDefault="00853E04" w:rsidP="00B24480">
            <w:pPr>
              <w:pStyle w:val="TableBullet1"/>
            </w:pPr>
            <w:r>
              <w:t>Similar to</w:t>
            </w:r>
            <w:r w:rsidR="00855EB0" w:rsidRPr="00B253C4">
              <w:t xml:space="preserve"> the experience of headspace clients, the level of support for headspace services from other parts of the service system varies between individual services.</w:t>
            </w:r>
          </w:p>
        </w:tc>
      </w:tr>
      <w:tr w:rsidR="00855EB0" w14:paraId="72C013EB"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07EA7C4D" w14:textId="77777777" w:rsidR="00855EB0" w:rsidRDefault="00855EB0" w:rsidP="00A33A8D">
            <w:pPr>
              <w:pStyle w:val="Tabletext"/>
              <w:rPr>
                <w:rFonts w:cstheme="minorHAnsi"/>
              </w:rPr>
            </w:pPr>
            <w:r>
              <w:rPr>
                <w:rFonts w:cstheme="minorHAnsi"/>
              </w:rPr>
              <w:t>To what extent does headspace provide culturally appropriate and inclusive service for young people and their friends and families, including for vulnerable and diverse population groups and different age groups?</w:t>
            </w:r>
          </w:p>
        </w:tc>
        <w:tc>
          <w:tcPr>
            <w:tcW w:w="3461" w:type="pct"/>
            <w:tcBorders>
              <w:top w:val="single" w:sz="2" w:space="0" w:color="808080" w:themeColor="background1" w:themeShade="80"/>
              <w:left w:val="nil"/>
              <w:bottom w:val="single" w:sz="2" w:space="0" w:color="808080" w:themeColor="background1" w:themeShade="80"/>
              <w:right w:val="nil"/>
            </w:tcBorders>
          </w:tcPr>
          <w:p w14:paraId="49AF5AE8" w14:textId="543679F4" w:rsidR="00855EB0" w:rsidRPr="00B253C4" w:rsidRDefault="00855EB0" w:rsidP="00B24480">
            <w:pPr>
              <w:pStyle w:val="TableBullet1"/>
            </w:pPr>
            <w:r w:rsidRPr="00B253C4">
              <w:t>Interviews and focus groups found there is recognition amongst non</w:t>
            </w:r>
            <w:r w:rsidR="00853E04">
              <w:noBreakHyphen/>
            </w:r>
            <w:r w:rsidRPr="00B253C4">
              <w:t xml:space="preserve">headspace users that headspace services appear to cater well to the LGBTQIA+ </w:t>
            </w:r>
            <w:r w:rsidR="00BF56B1">
              <w:t xml:space="preserve">young people in the </w:t>
            </w:r>
            <w:r w:rsidRPr="00B253C4">
              <w:t>community and have knowledge of issues affecting these young people.</w:t>
            </w:r>
          </w:p>
          <w:p w14:paraId="673F5450" w14:textId="6DFBEED1" w:rsidR="00855EB0" w:rsidRPr="00B253C4" w:rsidRDefault="00855EB0" w:rsidP="00B24480">
            <w:pPr>
              <w:pStyle w:val="TableBullet1"/>
            </w:pPr>
            <w:r w:rsidRPr="00B253C4">
              <w:t xml:space="preserve">There was also some indication from </w:t>
            </w:r>
            <w:r w:rsidR="002472A5">
              <w:t>young people</w:t>
            </w:r>
            <w:r w:rsidR="00A826EE">
              <w:t xml:space="preserve"> who had not accessed headspace services</w:t>
            </w:r>
            <w:r w:rsidRPr="00B253C4">
              <w:t xml:space="preserve"> from culturally and linguistically diverse backgrounds that they would consider using headspace services, as they are able to assess the service without parental consent, especially where they encounter cultural stigma related to mental health support.</w:t>
            </w:r>
          </w:p>
          <w:p w14:paraId="03927FB2" w14:textId="187BB870" w:rsidR="00855EB0" w:rsidRPr="00B253C4" w:rsidRDefault="00855EB0" w:rsidP="00B24480">
            <w:pPr>
              <w:pStyle w:val="TableBullet1"/>
            </w:pPr>
            <w:r w:rsidRPr="00B253C4">
              <w:t xml:space="preserve">A key caveat was the importance of appropriate staff members, for example that young Muslim women need a female worker, and that the mix of </w:t>
            </w:r>
            <w:r w:rsidR="0050072E">
              <w:t>headspace service</w:t>
            </w:r>
            <w:r w:rsidRPr="00B253C4">
              <w:t xml:space="preserve"> staff may not always provide the right support.</w:t>
            </w:r>
          </w:p>
          <w:p w14:paraId="26398218" w14:textId="77777777" w:rsidR="00855EB0" w:rsidRPr="00B253C4" w:rsidRDefault="00855EB0" w:rsidP="00B24480">
            <w:pPr>
              <w:pStyle w:val="TableBullet1"/>
            </w:pPr>
            <w:r w:rsidRPr="00B253C4">
              <w:t xml:space="preserve">Aboriginal and Torres Strait Islander young people who do not use headspace indicated that they thought there was some variation in the appropriateness of services between locations. </w:t>
            </w:r>
          </w:p>
          <w:p w14:paraId="07408F90" w14:textId="77777777" w:rsidR="00855EB0" w:rsidRPr="00B253C4" w:rsidRDefault="00855EB0" w:rsidP="00B24480">
            <w:pPr>
              <w:pStyle w:val="TableBullet1"/>
            </w:pPr>
            <w:r w:rsidRPr="00B253C4">
              <w:t>Neurodivergent young people who have not used headspace indicated in interviews and focus groups that they did not necessarily identify with the service. The neurodiverse flag is not present, and their interactions with headspace staff did improve their level of trust in the service.</w:t>
            </w:r>
          </w:p>
          <w:p w14:paraId="52D04DAB" w14:textId="77777777" w:rsidR="00855EB0" w:rsidRPr="00B253C4" w:rsidRDefault="00855EB0" w:rsidP="00B24480">
            <w:pPr>
              <w:pStyle w:val="TableBullet1"/>
            </w:pPr>
            <w:r w:rsidRPr="00B253C4">
              <w:t>There was also some indication from non-users that they identified with the brand more when they were younger (high school age), with this dropping off as they got older.</w:t>
            </w:r>
            <w:r w:rsidRPr="00B253C4">
              <w:tab/>
            </w:r>
          </w:p>
          <w:p w14:paraId="1C408878" w14:textId="5BB104D7" w:rsidR="00855EB0" w:rsidRPr="00B253C4" w:rsidRDefault="00855EB0" w:rsidP="00B24480">
            <w:pPr>
              <w:pStyle w:val="TableBullet1"/>
            </w:pPr>
            <w:r w:rsidRPr="00B253C4">
              <w:t xml:space="preserve">Amongst non-headspace users, there was also very inconsistent understanding of what age groups were eligible for support from headspace </w:t>
            </w:r>
            <w:r w:rsidR="0050072E">
              <w:t>service</w:t>
            </w:r>
            <w:r w:rsidRPr="00B253C4">
              <w:t>s</w:t>
            </w:r>
            <w:r w:rsidR="002F0567">
              <w:t>.</w:t>
            </w:r>
          </w:p>
        </w:tc>
      </w:tr>
      <w:tr w:rsidR="00855EB0" w14:paraId="4AC247C8"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4DC924A4" w14:textId="77777777" w:rsidR="00855EB0" w:rsidRDefault="00855EB0" w:rsidP="00A33A8D">
            <w:pPr>
              <w:pStyle w:val="Tabletext"/>
              <w:rPr>
                <w:rFonts w:cstheme="minorHAnsi"/>
              </w:rPr>
            </w:pPr>
            <w:r>
              <w:rPr>
                <w:rFonts w:cstheme="minorHAnsi"/>
              </w:rPr>
              <w:t>To what extent does headspace enable young people and their families to access support where, when and how they want it, and what are the barriers and enablers to this?</w:t>
            </w:r>
          </w:p>
        </w:tc>
        <w:tc>
          <w:tcPr>
            <w:tcW w:w="3461" w:type="pct"/>
            <w:tcBorders>
              <w:top w:val="single" w:sz="2" w:space="0" w:color="808080" w:themeColor="background1" w:themeShade="80"/>
              <w:left w:val="nil"/>
              <w:bottom w:val="single" w:sz="2" w:space="0" w:color="808080" w:themeColor="background1" w:themeShade="80"/>
              <w:right w:val="nil"/>
            </w:tcBorders>
          </w:tcPr>
          <w:p w14:paraId="7744966F" w14:textId="3B40FC93" w:rsidR="00855EB0" w:rsidRPr="00B253C4" w:rsidRDefault="00855EB0" w:rsidP="00B24480">
            <w:pPr>
              <w:pStyle w:val="TableBullet1"/>
            </w:pPr>
            <w:r w:rsidRPr="00B253C4">
              <w:t xml:space="preserve">Feedback from non-headspace users </w:t>
            </w:r>
            <w:r w:rsidR="00812A15">
              <w:t xml:space="preserve">indicated </w:t>
            </w:r>
            <w:r w:rsidRPr="00B253C4">
              <w:t>that opening hours predominantly in business hours did not support young people with full time study and workloads to access services.</w:t>
            </w:r>
          </w:p>
          <w:p w14:paraId="1D4C0CE6" w14:textId="77777777" w:rsidR="00855EB0" w:rsidRPr="00B253C4" w:rsidRDefault="00855EB0" w:rsidP="00B24480">
            <w:pPr>
              <w:pStyle w:val="TableBullet1"/>
            </w:pPr>
            <w:r w:rsidRPr="00B253C4">
              <w:t>There was positive feedback, through interviews and focus groups, from non-headspace users who have accessed website resources from headspace.</w:t>
            </w:r>
          </w:p>
          <w:p w14:paraId="09978EAD" w14:textId="3762E134" w:rsidR="00855EB0" w:rsidRPr="00B253C4" w:rsidRDefault="00855EB0" w:rsidP="00B24480">
            <w:pPr>
              <w:pStyle w:val="TableBullet1"/>
            </w:pPr>
            <w:r w:rsidRPr="00B253C4">
              <w:t xml:space="preserve">Some non-headspace users recognised that headspace also has online and </w:t>
            </w:r>
            <w:r w:rsidR="002F0567">
              <w:t>tele</w:t>
            </w:r>
            <w:r w:rsidRPr="00B253C4">
              <w:t xml:space="preserve">phone counselling services through eheadspace for those who </w:t>
            </w:r>
            <w:r w:rsidR="002F0567">
              <w:t>cannot</w:t>
            </w:r>
            <w:r w:rsidR="002F0567" w:rsidRPr="00B253C4">
              <w:t xml:space="preserve"> </w:t>
            </w:r>
            <w:r w:rsidR="002F0567">
              <w:t>attend</w:t>
            </w:r>
            <w:r w:rsidRPr="00B253C4">
              <w:t xml:space="preserve"> a </w:t>
            </w:r>
            <w:r w:rsidR="0050072E">
              <w:t>service</w:t>
            </w:r>
            <w:r w:rsidRPr="00B253C4">
              <w:t xml:space="preserve"> in person. They saw these examples of telehealth services as important for those who </w:t>
            </w:r>
            <w:r w:rsidR="002F0567">
              <w:t>cannot</w:t>
            </w:r>
            <w:r w:rsidR="002F0567" w:rsidRPr="00B253C4">
              <w:t xml:space="preserve"> </w:t>
            </w:r>
            <w:r w:rsidR="002F0567">
              <w:t>attend</w:t>
            </w:r>
            <w:r w:rsidRPr="00B253C4">
              <w:t xml:space="preserve"> a physical </w:t>
            </w:r>
            <w:r w:rsidR="0050072E">
              <w:t>service</w:t>
            </w:r>
            <w:r w:rsidRPr="00B253C4">
              <w:t>.</w:t>
            </w:r>
          </w:p>
          <w:p w14:paraId="16494264" w14:textId="5E7DCC12" w:rsidR="00855EB0" w:rsidRPr="00B253C4" w:rsidRDefault="00855EB0" w:rsidP="00B24480">
            <w:pPr>
              <w:pStyle w:val="TableBullet1"/>
            </w:pPr>
            <w:r w:rsidRPr="00B253C4">
              <w:t xml:space="preserve">Non-users of headspace also discussed the location and accessibility of the physical headspace centres near them. Many non-headspace users knew where their local </w:t>
            </w:r>
            <w:r w:rsidR="0050072E">
              <w:t>service</w:t>
            </w:r>
            <w:r w:rsidRPr="00B253C4">
              <w:t xml:space="preserve"> was </w:t>
            </w:r>
            <w:r w:rsidR="002F0567">
              <w:t xml:space="preserve">located </w:t>
            </w:r>
            <w:r w:rsidRPr="00B253C4">
              <w:t xml:space="preserve">but highlighted that this was sometimes not accessible from local communities due to travel durations and lack of public transport. In these discussions, young people identified greater flexibility for outreach services as being potentially beneficial. </w:t>
            </w:r>
          </w:p>
          <w:p w14:paraId="1384AB01" w14:textId="0254E9A4" w:rsidR="00855EB0" w:rsidRPr="00B253C4" w:rsidRDefault="00855EB0" w:rsidP="00B24480">
            <w:pPr>
              <w:pStyle w:val="TableBullet1"/>
            </w:pPr>
            <w:r w:rsidRPr="00B253C4">
              <w:t xml:space="preserve">There was some hesitancy from the group around using the service from the public setting of a </w:t>
            </w:r>
            <w:r w:rsidR="0050072E">
              <w:t>service</w:t>
            </w:r>
            <w:r w:rsidRPr="00B253C4">
              <w:t xml:space="preserve">, as they </w:t>
            </w:r>
            <w:r w:rsidR="002F0567">
              <w:t>did not</w:t>
            </w:r>
            <w:r w:rsidR="002F0567" w:rsidRPr="00B253C4">
              <w:t xml:space="preserve"> </w:t>
            </w:r>
            <w:r w:rsidRPr="00B253C4">
              <w:t>want to be seen walking through the door. These young people thought the presentation of the building would draw unwanted attention, and in small communities, young people were concerned about their privacy.</w:t>
            </w:r>
          </w:p>
          <w:p w14:paraId="63A11370" w14:textId="2D31F4EA" w:rsidR="00855EB0" w:rsidRPr="00B253C4" w:rsidRDefault="00855EB0" w:rsidP="00B24480">
            <w:pPr>
              <w:pStyle w:val="TableBullet1"/>
            </w:pPr>
            <w:r w:rsidRPr="00B253C4">
              <w:t>In contrast, other non-users spoke positively about the bright and vibrant brand of the headspace service and though</w:t>
            </w:r>
            <w:r w:rsidR="002F0567">
              <w:t>t</w:t>
            </w:r>
            <w:r w:rsidRPr="00B253C4">
              <w:t xml:space="preserve"> this looked welcoming and inviting.</w:t>
            </w:r>
          </w:p>
          <w:p w14:paraId="2DFC7FDF" w14:textId="77777777" w:rsidR="00855EB0" w:rsidRPr="00B253C4" w:rsidRDefault="00855EB0" w:rsidP="00B24480">
            <w:pPr>
              <w:pStyle w:val="TableBullet1"/>
            </w:pPr>
            <w:r w:rsidRPr="00B253C4">
              <w:t xml:space="preserve">When discussing accessibility of headspace, non-users also highlighted that they thought that providing services without cost was an important benefit of the headspace model. </w:t>
            </w:r>
          </w:p>
        </w:tc>
      </w:tr>
      <w:tr w:rsidR="00855EB0" w14:paraId="7A337C12"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1A489F39" w14:textId="77777777" w:rsidR="00855EB0" w:rsidRDefault="00855EB0" w:rsidP="00A33A8D">
            <w:pPr>
              <w:pStyle w:val="Tabletext"/>
              <w:rPr>
                <w:rFonts w:cstheme="minorHAnsi"/>
              </w:rPr>
            </w:pPr>
            <w:r>
              <w:rPr>
                <w:rFonts w:cstheme="minorHAnsi"/>
              </w:rPr>
              <w:t>To what extent do young people participate in the design and delivery of headspace, and how does this influence young people and their families experience of headspace?</w:t>
            </w:r>
          </w:p>
        </w:tc>
        <w:tc>
          <w:tcPr>
            <w:tcW w:w="3461" w:type="pct"/>
            <w:tcBorders>
              <w:top w:val="single" w:sz="2" w:space="0" w:color="808080" w:themeColor="background1" w:themeShade="80"/>
              <w:left w:val="nil"/>
              <w:bottom w:val="single" w:sz="2" w:space="0" w:color="808080" w:themeColor="background1" w:themeShade="80"/>
              <w:right w:val="nil"/>
            </w:tcBorders>
          </w:tcPr>
          <w:p w14:paraId="6F10FFD5" w14:textId="77777777" w:rsidR="00855EB0" w:rsidRPr="00B253C4" w:rsidRDefault="00855EB0" w:rsidP="00B24480">
            <w:pPr>
              <w:pStyle w:val="TableBullet1"/>
            </w:pPr>
            <w:r w:rsidRPr="00B253C4">
              <w:t>N/A</w:t>
            </w:r>
          </w:p>
        </w:tc>
      </w:tr>
      <w:tr w:rsidR="00855EB0" w14:paraId="52C3EA4C"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242BBBBF" w14:textId="77777777" w:rsidR="00855EB0" w:rsidRDefault="00855EB0" w:rsidP="00A33A8D">
            <w:pPr>
              <w:pStyle w:val="Tabletext"/>
              <w:rPr>
                <w:rFonts w:cstheme="minorHAnsi"/>
              </w:rPr>
            </w:pPr>
            <w:r>
              <w:rPr>
                <w:rFonts w:cstheme="minorHAnsi"/>
              </w:rPr>
              <w:t>How is the establishment of alternative service delivery models assisting headspace to meet its program outcomes?</w:t>
            </w:r>
          </w:p>
        </w:tc>
        <w:tc>
          <w:tcPr>
            <w:tcW w:w="3461" w:type="pct"/>
            <w:tcBorders>
              <w:top w:val="single" w:sz="2" w:space="0" w:color="808080" w:themeColor="background1" w:themeShade="80"/>
              <w:left w:val="nil"/>
              <w:bottom w:val="single" w:sz="2" w:space="0" w:color="808080" w:themeColor="background1" w:themeShade="80"/>
              <w:right w:val="nil"/>
            </w:tcBorders>
          </w:tcPr>
          <w:p w14:paraId="3CCE55F2" w14:textId="77777777" w:rsidR="00855EB0" w:rsidRPr="00B253C4" w:rsidRDefault="00855EB0" w:rsidP="00B24480">
            <w:pPr>
              <w:pStyle w:val="TableBullet1"/>
            </w:pPr>
            <w:r w:rsidRPr="00B253C4">
              <w:t>N/A</w:t>
            </w:r>
          </w:p>
        </w:tc>
      </w:tr>
    </w:tbl>
    <w:p w14:paraId="4C78BBCC" w14:textId="4C88FB81" w:rsidR="00E96A7D" w:rsidRDefault="00E96A7D" w:rsidP="001268EC">
      <w:pPr>
        <w:pStyle w:val="Source"/>
      </w:pPr>
      <w:r>
        <w:t>Source: KPMG 2022</w:t>
      </w:r>
    </w:p>
    <w:p w14:paraId="42B42342" w14:textId="75607F42" w:rsidR="00855EB0" w:rsidRPr="004510B6" w:rsidRDefault="00855EB0" w:rsidP="00784201">
      <w:pPr>
        <w:pStyle w:val="AppendixHeading3"/>
      </w:pPr>
      <w:r w:rsidRPr="004510B6">
        <w:t>headspace service providers</w:t>
      </w:r>
      <w:r w:rsidR="006E2E28">
        <w:t xml:space="preserve"> </w:t>
      </w:r>
    </w:p>
    <w:p w14:paraId="13B97604" w14:textId="6F60FEDB" w:rsidR="00855EB0" w:rsidRPr="000350F2" w:rsidRDefault="00855EB0" w:rsidP="00784201">
      <w:pPr>
        <w:pStyle w:val="Heading4"/>
      </w:pPr>
      <w:r w:rsidRPr="000350F2">
        <w:t>Evaluation activities and data sources</w:t>
      </w:r>
      <w:r w:rsidR="00B141E7">
        <w:t xml:space="preserve"> </w:t>
      </w:r>
    </w:p>
    <w:p w14:paraId="4CB6F724" w14:textId="078A67D5" w:rsidR="008B3D3D" w:rsidRPr="00086A60" w:rsidRDefault="008B3D3D" w:rsidP="008B3D3D">
      <w:pPr>
        <w:pStyle w:val="BodyText"/>
      </w:pPr>
      <w:r>
        <w:t>Qualitative themes are sourced from a mix of data described below.</w:t>
      </w:r>
      <w:r w:rsidR="00693F23">
        <w:t xml:space="preserve"> </w:t>
      </w:r>
      <w:r w:rsidR="00E24C40">
        <w:t>Fifty-two</w:t>
      </w:r>
      <w:r w:rsidR="00693F23">
        <w:t xml:space="preserve"> headspace providers contributed.</w:t>
      </w:r>
    </w:p>
    <w:p w14:paraId="4CF14587" w14:textId="596102F4" w:rsidR="00855EB0" w:rsidRPr="00E77539" w:rsidRDefault="00855EB0" w:rsidP="00EF56BF">
      <w:pPr>
        <w:pStyle w:val="Bullet1stlevel"/>
      </w:pPr>
      <w:r w:rsidRPr="1FE45145">
        <w:t xml:space="preserve">Consultations with ‘deep dive’ locations – detailed consultation with a cross section </w:t>
      </w:r>
      <w:r w:rsidR="001268EC">
        <w:t>of</w:t>
      </w:r>
      <w:r w:rsidRPr="1FE45145">
        <w:t xml:space="preserve"> six headspace services nationally to explore </w:t>
      </w:r>
      <w:r w:rsidR="0036251B">
        <w:t>w</w:t>
      </w:r>
      <w:r w:rsidRPr="1FE45145">
        <w:t xml:space="preserve">hat services headspace offers, and the contributions of </w:t>
      </w:r>
      <w:r w:rsidR="0050072E">
        <w:t>service</w:t>
      </w:r>
      <w:r w:rsidRPr="1FE45145">
        <w:t>s to their local community.</w:t>
      </w:r>
    </w:p>
    <w:p w14:paraId="6517CEED" w14:textId="7AFEE7B8" w:rsidR="00855EB0" w:rsidRPr="00AD133F" w:rsidRDefault="00855EB0" w:rsidP="00EF56BF">
      <w:pPr>
        <w:pStyle w:val="Bullet1stlevel"/>
      </w:pPr>
      <w:r w:rsidRPr="1FE45145">
        <w:t>Survey of headspace service and lead agency representatives – testing key evaluation questions, as well as whether barriers, enablers and other factors raised by stakeholders within the deep dive site consultations described above, were also experienced by other services.</w:t>
      </w:r>
    </w:p>
    <w:p w14:paraId="6191412B" w14:textId="705BB67A" w:rsidR="007679A0" w:rsidRDefault="007679A0" w:rsidP="007679A0">
      <w:pPr>
        <w:pStyle w:val="Caption"/>
      </w:pPr>
      <w:bookmarkStart w:id="210" w:name="_Toc108108990"/>
      <w:r>
        <w:t xml:space="preserve">Table </w:t>
      </w:r>
      <w:fldSimple w:instr=" SEQ Table \* ARABIC ">
        <w:r w:rsidR="00CC0438">
          <w:rPr>
            <w:noProof/>
          </w:rPr>
          <w:t>40</w:t>
        </w:r>
      </w:fldSimple>
      <w:r>
        <w:t xml:space="preserve"> Stakeholder engagement themes from headspace service providers</w:t>
      </w:r>
      <w:bookmarkEnd w:id="210"/>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keholder engagement themes rom headspace service providers"/>
        <w:tblDescription w:val="Table has 2 columns summarising themes from stakeholder engagement with headspace service providers. Column 1 lists specific evaluation questions and column 2 summarises themes against each evaluation question.&#10;"/>
      </w:tblPr>
      <w:tblGrid>
        <w:gridCol w:w="2836"/>
        <w:gridCol w:w="6236"/>
      </w:tblGrid>
      <w:tr w:rsidR="00855EB0" w14:paraId="35BA4321" w14:textId="77777777" w:rsidTr="00B1780F">
        <w:trPr>
          <w:tblHeader/>
        </w:trPr>
        <w:tc>
          <w:tcPr>
            <w:tcW w:w="1563" w:type="pct"/>
            <w:tcBorders>
              <w:top w:val="nil"/>
              <w:left w:val="nil"/>
              <w:bottom w:val="single" w:sz="4" w:space="0" w:color="00338D" w:themeColor="background2"/>
              <w:right w:val="nil"/>
            </w:tcBorders>
            <w:shd w:val="clear" w:color="auto" w:fill="00338D" w:themeFill="background2"/>
            <w:hideMark/>
          </w:tcPr>
          <w:p w14:paraId="5D6A3A3B" w14:textId="77777777" w:rsidR="00855EB0" w:rsidRPr="006C1E3A" w:rsidRDefault="00855EB0" w:rsidP="006C1E3A">
            <w:pPr>
              <w:pStyle w:val="Tableheading"/>
            </w:pPr>
            <w:r w:rsidRPr="006C1E3A">
              <w:t>Evaluation Question</w:t>
            </w:r>
          </w:p>
        </w:tc>
        <w:tc>
          <w:tcPr>
            <w:tcW w:w="3437" w:type="pct"/>
            <w:tcBorders>
              <w:top w:val="nil"/>
              <w:left w:val="nil"/>
              <w:bottom w:val="single" w:sz="4" w:space="0" w:color="00338D" w:themeColor="background2"/>
              <w:right w:val="nil"/>
            </w:tcBorders>
            <w:shd w:val="clear" w:color="auto" w:fill="00338D" w:themeFill="background2"/>
            <w:hideMark/>
          </w:tcPr>
          <w:p w14:paraId="4F48C4FF" w14:textId="77777777" w:rsidR="00855EB0" w:rsidRPr="006C1E3A" w:rsidRDefault="00855EB0" w:rsidP="006C1E3A">
            <w:pPr>
              <w:pStyle w:val="Tableheading"/>
            </w:pPr>
            <w:r w:rsidRPr="006C1E3A">
              <w:t>Themes</w:t>
            </w:r>
          </w:p>
        </w:tc>
      </w:tr>
      <w:tr w:rsidR="00855EB0" w14:paraId="51DCECC4" w14:textId="77777777" w:rsidTr="00D93398">
        <w:tc>
          <w:tcPr>
            <w:tcW w:w="1563" w:type="pct"/>
            <w:tcBorders>
              <w:top w:val="single" w:sz="4" w:space="0" w:color="00338D" w:themeColor="background2"/>
              <w:left w:val="nil"/>
              <w:bottom w:val="single" w:sz="2" w:space="0" w:color="808080" w:themeColor="background1" w:themeShade="80"/>
              <w:right w:val="nil"/>
            </w:tcBorders>
            <w:hideMark/>
          </w:tcPr>
          <w:p w14:paraId="45AE1052" w14:textId="77777777" w:rsidR="00855EB0" w:rsidRPr="00105889" w:rsidRDefault="00855EB0" w:rsidP="00A33A8D">
            <w:pPr>
              <w:pStyle w:val="Tabletext"/>
              <w:rPr>
                <w:i/>
              </w:rPr>
            </w:pPr>
            <w:r w:rsidRPr="00546252">
              <w:t xml:space="preserve">How effective is </w:t>
            </w:r>
            <w:r w:rsidRPr="00DB38DB">
              <w:t>headspace</w:t>
            </w:r>
            <w:r w:rsidRPr="00105889">
              <w:t xml:space="preserve"> in increasing mental health literacy?</w:t>
            </w:r>
          </w:p>
          <w:p w14:paraId="41B4F0A2" w14:textId="77777777" w:rsidR="00855EB0" w:rsidRPr="00CC2258" w:rsidRDefault="00855EB0">
            <w:pPr>
              <w:pStyle w:val="Tabletext"/>
              <w:rPr>
                <w:rFonts w:asciiTheme="minorHAnsi" w:hAnsiTheme="minorHAnsi" w:cstheme="minorHAnsi"/>
              </w:rPr>
            </w:pPr>
          </w:p>
        </w:tc>
        <w:tc>
          <w:tcPr>
            <w:tcW w:w="3437" w:type="pct"/>
            <w:tcBorders>
              <w:top w:val="single" w:sz="4" w:space="0" w:color="00338D" w:themeColor="background2"/>
              <w:left w:val="nil"/>
              <w:bottom w:val="single" w:sz="2" w:space="0" w:color="808080" w:themeColor="background1" w:themeShade="80"/>
              <w:right w:val="nil"/>
            </w:tcBorders>
            <w:hideMark/>
          </w:tcPr>
          <w:p w14:paraId="55803E55" w14:textId="1B7BF3F8" w:rsidR="00855EB0" w:rsidRPr="00B253C4" w:rsidRDefault="00202E75" w:rsidP="00B24480">
            <w:pPr>
              <w:pStyle w:val="TableBullet1"/>
            </w:pPr>
            <w:r>
              <w:t>Ninety-three</w:t>
            </w:r>
            <w:r w:rsidR="00855EB0" w:rsidRPr="00B253C4">
              <w:t xml:space="preserve"> per cent of surveyed </w:t>
            </w:r>
            <w:r w:rsidR="0050072E">
              <w:t>service</w:t>
            </w:r>
            <w:r w:rsidR="00855EB0" w:rsidRPr="00B253C4">
              <w:t xml:space="preserve"> and lead agency staff working within the headspace model have generally high levels of confidence that the services they provide lead to increases in mental health literacy for young people.</w:t>
            </w:r>
          </w:p>
          <w:p w14:paraId="33E427A9" w14:textId="77777777" w:rsidR="00855EB0" w:rsidRPr="00B253C4" w:rsidRDefault="00855EB0" w:rsidP="00B24480">
            <w:pPr>
              <w:pStyle w:val="TableBullet1"/>
            </w:pPr>
            <w:r w:rsidRPr="00B253C4">
              <w:t>Staff indicated that broader community engagement by the headspace service, including through social media campaigns, education and awareness activities with local schools, and through establishing partnerships with local councils, universities and colleges improved mental health literacy.</w:t>
            </w:r>
          </w:p>
          <w:p w14:paraId="52D23DA2" w14:textId="48F01F82" w:rsidR="00855EB0" w:rsidRPr="00B253C4" w:rsidRDefault="00855EB0" w:rsidP="00B24480">
            <w:pPr>
              <w:pStyle w:val="TableBullet1"/>
            </w:pPr>
            <w:r w:rsidRPr="00B253C4">
              <w:t xml:space="preserve">Online and printed resources </w:t>
            </w:r>
            <w:r w:rsidR="00105889">
              <w:t xml:space="preserve">are </w:t>
            </w:r>
            <w:r w:rsidRPr="00B253C4">
              <w:t>provided by services to support mental health literacy. These are seen to be frequently accessed by young people and their families and include material on various services available in the local area, how to make informed decisions about referral pathways, and how young people can support their own mental health.</w:t>
            </w:r>
          </w:p>
          <w:p w14:paraId="66935561" w14:textId="77777777" w:rsidR="00855EB0" w:rsidRPr="00B253C4" w:rsidRDefault="00855EB0" w:rsidP="00B24480">
            <w:pPr>
              <w:pStyle w:val="TableBullet1"/>
              <w:rPr>
                <w:lang w:eastAsia="en-AU"/>
              </w:rPr>
            </w:pPr>
            <w:r w:rsidRPr="00B253C4">
              <w:rPr>
                <w:lang w:eastAsia="en-AU"/>
              </w:rPr>
              <w:t>A case management component of work undertaken with young people and families, upskilling them on mental health support options, and capacity building strategies improved mental health literacy.</w:t>
            </w:r>
          </w:p>
          <w:p w14:paraId="3D3F48CC" w14:textId="05C19627" w:rsidR="00855EB0" w:rsidRPr="00B253C4" w:rsidRDefault="00A472DA" w:rsidP="00B24480">
            <w:pPr>
              <w:pStyle w:val="TableBullet1"/>
            </w:pPr>
            <w:r>
              <w:t>h</w:t>
            </w:r>
            <w:r w:rsidR="00855EB0" w:rsidRPr="00B253C4">
              <w:t>eadspace services</w:t>
            </w:r>
            <w:r w:rsidR="00105889">
              <w:t>,</w:t>
            </w:r>
            <w:r w:rsidR="00855EB0" w:rsidRPr="00B253C4">
              <w:t xml:space="preserve"> such as psychoeducation</w:t>
            </w:r>
            <w:r w:rsidR="00105889">
              <w:t>,</w:t>
            </w:r>
            <w:r w:rsidR="00855EB0" w:rsidRPr="00B253C4">
              <w:t xml:space="preserve"> </w:t>
            </w:r>
            <w:r w:rsidR="00105889">
              <w:t>are</w:t>
            </w:r>
            <w:r w:rsidR="00855EB0" w:rsidRPr="00B253C4">
              <w:t xml:space="preserve"> provided as part of clinical services and g</w:t>
            </w:r>
            <w:r w:rsidR="00855EB0" w:rsidRPr="00B253C4">
              <w:rPr>
                <w:lang w:eastAsia="en-AU"/>
              </w:rPr>
              <w:t xml:space="preserve">roup work services that focus on mental health literacy, capacity building, and accessing support for young people. </w:t>
            </w:r>
          </w:p>
          <w:p w14:paraId="3FD89CCA" w14:textId="1EA60D90" w:rsidR="00855EB0" w:rsidRPr="00B253C4" w:rsidRDefault="00855EB0" w:rsidP="00B24480">
            <w:pPr>
              <w:pStyle w:val="TableBullet1"/>
              <w:rPr>
                <w:lang w:eastAsia="en-AU"/>
              </w:rPr>
            </w:pPr>
            <w:r w:rsidRPr="00B253C4">
              <w:rPr>
                <w:lang w:eastAsia="en-AU"/>
              </w:rPr>
              <w:t xml:space="preserve">Safety planning and information on available supports </w:t>
            </w:r>
            <w:r w:rsidR="00105889">
              <w:rPr>
                <w:lang w:eastAsia="en-AU"/>
              </w:rPr>
              <w:t xml:space="preserve">are </w:t>
            </w:r>
            <w:r w:rsidRPr="00B253C4">
              <w:rPr>
                <w:lang w:eastAsia="en-AU"/>
              </w:rPr>
              <w:t>provided at the intake and assessment stage with young people accessing headspace services.</w:t>
            </w:r>
          </w:p>
          <w:p w14:paraId="7403D3B0" w14:textId="6EAA1481" w:rsidR="00855EB0" w:rsidRPr="00A75A3C" w:rsidRDefault="00855EB0" w:rsidP="00B24480">
            <w:pPr>
              <w:pStyle w:val="TableBullet1"/>
              <w:rPr>
                <w:lang w:eastAsia="en-AU"/>
              </w:rPr>
            </w:pPr>
            <w:r w:rsidRPr="00B253C4">
              <w:t>Staff identified access issues as a key barrier to improving mental health literacy for young people. This was raised in terms of strong demand pressures with young people waiting to access the service, as well as in terms of access issues caused for the service by COVID</w:t>
            </w:r>
            <w:r w:rsidR="00105889">
              <w:noBreakHyphen/>
            </w:r>
            <w:r w:rsidRPr="00B253C4">
              <w:t>19, which introduced barriers to engagement between services and schools and other community organisations.</w:t>
            </w:r>
          </w:p>
        </w:tc>
      </w:tr>
      <w:tr w:rsidR="00855EB0" w14:paraId="7B4C6F51" w14:textId="77777777" w:rsidTr="00D93398">
        <w:tc>
          <w:tcPr>
            <w:tcW w:w="1563" w:type="pct"/>
            <w:tcBorders>
              <w:top w:val="single" w:sz="2" w:space="0" w:color="808080" w:themeColor="background1" w:themeShade="80"/>
              <w:left w:val="nil"/>
              <w:bottom w:val="single" w:sz="2" w:space="0" w:color="808080" w:themeColor="background1" w:themeShade="80"/>
              <w:right w:val="nil"/>
            </w:tcBorders>
            <w:hideMark/>
          </w:tcPr>
          <w:p w14:paraId="2373EF5A" w14:textId="77777777" w:rsidR="00855EB0" w:rsidRPr="00105889" w:rsidRDefault="00855EB0" w:rsidP="001A4FD1">
            <w:pPr>
              <w:pStyle w:val="Tabletext"/>
            </w:pPr>
            <w:r w:rsidRPr="00105889">
              <w:t>How effective is headspace in increasing early help seeking?</w:t>
            </w:r>
          </w:p>
        </w:tc>
        <w:tc>
          <w:tcPr>
            <w:tcW w:w="3437" w:type="pct"/>
            <w:tcBorders>
              <w:top w:val="single" w:sz="2" w:space="0" w:color="808080" w:themeColor="background1" w:themeShade="80"/>
              <w:left w:val="nil"/>
              <w:bottom w:val="single" w:sz="2" w:space="0" w:color="808080" w:themeColor="background1" w:themeShade="80"/>
              <w:right w:val="nil"/>
            </w:tcBorders>
            <w:hideMark/>
          </w:tcPr>
          <w:p w14:paraId="31B2027F" w14:textId="4A9DDA7B" w:rsidR="00855EB0" w:rsidRPr="00B253C4" w:rsidRDefault="001A0C46" w:rsidP="00B24480">
            <w:pPr>
              <w:pStyle w:val="TableBullet1"/>
            </w:pPr>
            <w:r>
              <w:t>Eighty-</w:t>
            </w:r>
            <w:r w:rsidR="009E659F">
              <w:t>seven</w:t>
            </w:r>
            <w:r w:rsidR="00855EB0" w:rsidRPr="00B253C4">
              <w:t xml:space="preserve"> per cent of </w:t>
            </w:r>
            <w:r w:rsidR="0050072E">
              <w:t>service</w:t>
            </w:r>
            <w:r w:rsidR="00855EB0" w:rsidRPr="00B253C4">
              <w:t xml:space="preserve"> and lead agency respondents indicated that staff working within the headspace model have generally high levels of confidence that the services they provide lead to increases in early help seeking behaviour.</w:t>
            </w:r>
          </w:p>
          <w:p w14:paraId="1516A1D3" w14:textId="30A16A2C" w:rsidR="00855EB0" w:rsidRPr="00B253C4" w:rsidRDefault="00855EB0" w:rsidP="00B24480">
            <w:pPr>
              <w:pStyle w:val="TableBullet1"/>
            </w:pPr>
            <w:r w:rsidRPr="00B253C4">
              <w:t xml:space="preserve">Staff identified that strong brand recognition and social media presence of headspace </w:t>
            </w:r>
            <w:r w:rsidR="0050072E">
              <w:t>service</w:t>
            </w:r>
            <w:r w:rsidRPr="00B253C4">
              <w:t xml:space="preserve">s and promotion and advocacy work of </w:t>
            </w:r>
            <w:r w:rsidR="0050072E">
              <w:t>service</w:t>
            </w:r>
            <w:r w:rsidRPr="00B253C4">
              <w:t>s, including the community engagement roles like school events</w:t>
            </w:r>
            <w:r w:rsidR="00A32F43">
              <w:t>,</w:t>
            </w:r>
            <w:r w:rsidRPr="00B253C4">
              <w:t xml:space="preserve"> contributed to increased early help seeking.</w:t>
            </w:r>
          </w:p>
          <w:p w14:paraId="204ACD68" w14:textId="2371EAA6" w:rsidR="00855EB0" w:rsidRPr="00B253C4" w:rsidRDefault="00855EB0" w:rsidP="00B24480">
            <w:pPr>
              <w:pStyle w:val="TableBullet1"/>
            </w:pPr>
            <w:r w:rsidRPr="00B253C4">
              <w:t xml:space="preserve">In terms of barriers to increasing early help seeking, these are </w:t>
            </w:r>
            <w:r w:rsidR="00A32F43">
              <w:t>similar to</w:t>
            </w:r>
            <w:r w:rsidR="00A32F43" w:rsidRPr="00B253C4">
              <w:t xml:space="preserve"> </w:t>
            </w:r>
            <w:r w:rsidRPr="00B253C4">
              <w:t>those identified for improving mental health literacy</w:t>
            </w:r>
            <w:r w:rsidR="00A32F43">
              <w:t>,</w:t>
            </w:r>
            <w:r w:rsidRPr="00B253C4">
              <w:t xml:space="preserve"> such as the impact of waiting times constraining the extent to which services can provide early support and early referrals to other services.</w:t>
            </w:r>
          </w:p>
          <w:p w14:paraId="70B6D9A2" w14:textId="77777777" w:rsidR="00855EB0" w:rsidRPr="00B253C4" w:rsidRDefault="00855EB0" w:rsidP="00B24480">
            <w:pPr>
              <w:pStyle w:val="TableBullet1"/>
            </w:pPr>
            <w:r w:rsidRPr="00B253C4">
              <w:t>Staff also saw community engagement as a key mechanism through which services promote early help seeking, which is limited due to staffing challenges and funding constraints.</w:t>
            </w:r>
          </w:p>
          <w:p w14:paraId="31C8074D" w14:textId="77777777" w:rsidR="00855EB0" w:rsidRPr="00B253C4" w:rsidRDefault="00855EB0" w:rsidP="00B24480">
            <w:pPr>
              <w:pStyle w:val="TableBullet1"/>
            </w:pPr>
            <w:r w:rsidRPr="00B253C4">
              <w:t>The potential to improve the service’s contribution to early help seeking through additional intake engagement workers, supporting early intervention and low-level needs early was highlighted.</w:t>
            </w:r>
          </w:p>
          <w:p w14:paraId="61CCDABB" w14:textId="6443A118" w:rsidR="00855EB0" w:rsidRPr="00B253C4" w:rsidRDefault="00855EB0" w:rsidP="00B24480">
            <w:pPr>
              <w:pStyle w:val="TableBullet1"/>
            </w:pPr>
            <w:r w:rsidRPr="00B253C4">
              <w:t>Perceptions that headspace services are supporting high-risk or high</w:t>
            </w:r>
            <w:r w:rsidR="00A32F43">
              <w:noBreakHyphen/>
            </w:r>
            <w:r w:rsidRPr="00B253C4">
              <w:t xml:space="preserve">needs young people, discouraging others from seeking support for mild to moderate needs was </w:t>
            </w:r>
            <w:r w:rsidR="00A32F43">
              <w:t xml:space="preserve">seen as </w:t>
            </w:r>
            <w:r w:rsidRPr="00B253C4">
              <w:t>a barrier.</w:t>
            </w:r>
          </w:p>
          <w:p w14:paraId="0AF015E6" w14:textId="40807705" w:rsidR="00855EB0" w:rsidRPr="00B253C4" w:rsidRDefault="00855EB0" w:rsidP="00B24480">
            <w:pPr>
              <w:pStyle w:val="TableBullet1"/>
            </w:pPr>
            <w:r w:rsidRPr="00B253C4">
              <w:t xml:space="preserve">Staff noted pressure on services from supporting higher needs young people </w:t>
            </w:r>
            <w:r w:rsidR="00A32F43">
              <w:t xml:space="preserve">as </w:t>
            </w:r>
            <w:r w:rsidRPr="00B253C4">
              <w:t>reducing the capacity to provide early intervention support to those who seek help early.</w:t>
            </w:r>
          </w:p>
          <w:p w14:paraId="3784C37D" w14:textId="1187F7CE" w:rsidR="00855EB0" w:rsidRPr="00B253C4" w:rsidRDefault="00855EB0" w:rsidP="00B24480">
            <w:pPr>
              <w:pStyle w:val="TableBullet1"/>
            </w:pPr>
            <w:r w:rsidRPr="00B253C4">
              <w:t xml:space="preserve">In line with this, school and university counsellors interviewed frequently raised the issue of waiting times, and anticipated delays in receiving support as a reason young people do not seek support from headspace, constraining the extent to which headspace can provide an early intervention service for young people. </w:t>
            </w:r>
          </w:p>
        </w:tc>
      </w:tr>
      <w:tr w:rsidR="00855EB0" w14:paraId="7EA34B15" w14:textId="77777777" w:rsidTr="00D93398">
        <w:tc>
          <w:tcPr>
            <w:tcW w:w="1563" w:type="pct"/>
            <w:tcBorders>
              <w:top w:val="single" w:sz="2" w:space="0" w:color="808080" w:themeColor="background1" w:themeShade="80"/>
              <w:left w:val="nil"/>
              <w:bottom w:val="single" w:sz="2" w:space="0" w:color="808080" w:themeColor="background1" w:themeShade="80"/>
              <w:right w:val="nil"/>
            </w:tcBorders>
            <w:hideMark/>
          </w:tcPr>
          <w:p w14:paraId="3E577F9F" w14:textId="77777777" w:rsidR="00855EB0" w:rsidRPr="00CC2258" w:rsidRDefault="00855EB0" w:rsidP="00A33A8D">
            <w:pPr>
              <w:pStyle w:val="Tabletext"/>
              <w:rPr>
                <w:rFonts w:cstheme="minorHAnsi"/>
              </w:rPr>
            </w:pPr>
            <w:r>
              <w:rPr>
                <w:rFonts w:cstheme="minorHAnsi"/>
              </w:rPr>
              <w:t>How effective is headspace in increasing access to required services?</w:t>
            </w:r>
          </w:p>
        </w:tc>
        <w:tc>
          <w:tcPr>
            <w:tcW w:w="3437" w:type="pct"/>
            <w:tcBorders>
              <w:top w:val="single" w:sz="2" w:space="0" w:color="808080" w:themeColor="background1" w:themeShade="80"/>
              <w:left w:val="nil"/>
              <w:bottom w:val="single" w:sz="2" w:space="0" w:color="808080" w:themeColor="background1" w:themeShade="80"/>
              <w:right w:val="nil"/>
            </w:tcBorders>
            <w:hideMark/>
          </w:tcPr>
          <w:p w14:paraId="3DC7C0B7" w14:textId="1C2DF609" w:rsidR="00855EB0" w:rsidRPr="00B253C4" w:rsidRDefault="00855EB0" w:rsidP="00B24480">
            <w:pPr>
              <w:pStyle w:val="TableBullet1"/>
            </w:pPr>
            <w:r w:rsidRPr="00B253C4">
              <w:t>A large majority of staff from services and lead agencies indicated by survey that waiting lists (83</w:t>
            </w:r>
            <w:r w:rsidR="00A32F43">
              <w:t xml:space="preserve"> per cent</w:t>
            </w:r>
            <w:r w:rsidRPr="00B253C4">
              <w:t>) and workforce attraction and retention (76</w:t>
            </w:r>
            <w:r w:rsidR="00A32F43">
              <w:t xml:space="preserve"> per cent</w:t>
            </w:r>
            <w:r w:rsidRPr="00B253C4">
              <w:t xml:space="preserve">) </w:t>
            </w:r>
            <w:r w:rsidR="00A32F43">
              <w:t>are</w:t>
            </w:r>
            <w:r w:rsidRPr="00B253C4">
              <w:t xml:space="preserve"> the key barriers to supporting increased access to their headspace service.</w:t>
            </w:r>
          </w:p>
          <w:p w14:paraId="33391109" w14:textId="20F60E13" w:rsidR="00855EB0" w:rsidRPr="00B253C4" w:rsidRDefault="00855EB0" w:rsidP="00B24480">
            <w:pPr>
              <w:pStyle w:val="TableBullet1"/>
            </w:pPr>
            <w:r w:rsidRPr="00B253C4">
              <w:t xml:space="preserve">Many staff </w:t>
            </w:r>
            <w:r w:rsidR="00A32F43">
              <w:t>indicated that</w:t>
            </w:r>
            <w:r w:rsidRPr="00B253C4">
              <w:t xml:space="preserve"> the funding model such as insufficient funding for salaried staff, again including community engagement staff, acted as barriers in enabling access to required services for young people.</w:t>
            </w:r>
          </w:p>
          <w:p w14:paraId="2F4F56F8" w14:textId="77777777" w:rsidR="00855EB0" w:rsidRPr="00B253C4" w:rsidRDefault="00855EB0" w:rsidP="00B24480">
            <w:pPr>
              <w:pStyle w:val="TableBullet1"/>
            </w:pPr>
            <w:r w:rsidRPr="00B253C4">
              <w:t>Others noted the difficulties in being able to afford an accessible site.</w:t>
            </w:r>
          </w:p>
          <w:p w14:paraId="11C833A0" w14:textId="77777777" w:rsidR="00855EB0" w:rsidRPr="00B253C4" w:rsidRDefault="00855EB0" w:rsidP="00B24480">
            <w:pPr>
              <w:pStyle w:val="TableBullet1"/>
            </w:pPr>
            <w:r w:rsidRPr="00B253C4">
              <w:t>The impact of the pandemic was also noted as impacting the ability for young people to access their services.</w:t>
            </w:r>
          </w:p>
          <w:p w14:paraId="48713832" w14:textId="1A86AC92" w:rsidR="00855EB0" w:rsidRPr="00B253C4" w:rsidRDefault="00855EB0" w:rsidP="00B24480">
            <w:pPr>
              <w:pStyle w:val="TableBullet1"/>
            </w:pPr>
            <w:r w:rsidRPr="00B253C4">
              <w:t>Representatives interviewed across all deep dive sites shared anecdotally that most young people accessing headspace self</w:t>
            </w:r>
            <w:r w:rsidR="00BF49BB">
              <w:noBreakHyphen/>
            </w:r>
            <w:r w:rsidRPr="00B253C4">
              <w:t xml:space="preserve">referred into their services, and the ability to do this ensured headspace provided a ‘soft entry’ into mental health support, without the need for formal referral through GPs or other avenues. </w:t>
            </w:r>
          </w:p>
          <w:p w14:paraId="3A85C369" w14:textId="77777777" w:rsidR="00855EB0" w:rsidRPr="00B253C4" w:rsidRDefault="00855EB0" w:rsidP="00B24480">
            <w:pPr>
              <w:pStyle w:val="TableBullet1"/>
            </w:pPr>
            <w:r w:rsidRPr="00B253C4">
              <w:t xml:space="preserve">The credibility and power of the headspace brand was noted as a key strength across services in encouraging young people to proactively access services. </w:t>
            </w:r>
          </w:p>
          <w:p w14:paraId="38A6668A" w14:textId="77777777" w:rsidR="00855EB0" w:rsidRPr="00B253C4" w:rsidRDefault="00855EB0" w:rsidP="00B24480">
            <w:pPr>
              <w:pStyle w:val="TableBullet1"/>
            </w:pPr>
            <w:r w:rsidRPr="00B253C4">
              <w:t xml:space="preserve">For some services, the use of satellite sites has allowed young people to conveniently access headspace in their local area, and services offering after-hours access was highlighted as important to enable young people to access services outside school and work. </w:t>
            </w:r>
          </w:p>
          <w:p w14:paraId="62B89C57" w14:textId="77777777" w:rsidR="00855EB0" w:rsidRPr="00B253C4" w:rsidRDefault="00855EB0" w:rsidP="00B24480">
            <w:pPr>
              <w:pStyle w:val="TableBullet1"/>
            </w:pPr>
            <w:r w:rsidRPr="00B253C4">
              <w:t xml:space="preserve">Stakeholders also discussed the topics of ease of location and being close to transport as key aspects of the model which support access to headspace services. </w:t>
            </w:r>
          </w:p>
          <w:p w14:paraId="5F529822" w14:textId="77777777" w:rsidR="00855EB0" w:rsidRPr="00B253C4" w:rsidRDefault="00855EB0" w:rsidP="00B24480">
            <w:pPr>
              <w:pStyle w:val="TableBullet1"/>
            </w:pPr>
            <w:r w:rsidRPr="00B253C4">
              <w:t>Again, waiting times for support through services was frequently raised in interviews with stakeholders in deep dive sites as a barrier to access for young people.</w:t>
            </w:r>
          </w:p>
        </w:tc>
      </w:tr>
      <w:tr w:rsidR="00855EB0" w14:paraId="12999D82"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598452B3" w14:textId="60377619" w:rsidR="00855EB0" w:rsidRDefault="00855EB0" w:rsidP="00A33A8D">
            <w:pPr>
              <w:pStyle w:val="Tabletext"/>
              <w:rPr>
                <w:rFonts w:cstheme="minorHAnsi"/>
              </w:rPr>
            </w:pPr>
            <w:r>
              <w:rPr>
                <w:rFonts w:cstheme="minorHAnsi"/>
              </w:rPr>
              <w:t xml:space="preserve">How effective is headspace in supporting ‘hard to reach’ groups, including those who are at greater risk and less likely to seek help? </w:t>
            </w:r>
            <w:r w:rsidR="00BF49BB">
              <w:rPr>
                <w:rFonts w:cstheme="minorHAnsi"/>
              </w:rPr>
              <w:br/>
            </w:r>
            <w:r>
              <w:t>In increasing access for hard-to-reach groups?</w:t>
            </w:r>
          </w:p>
        </w:tc>
        <w:tc>
          <w:tcPr>
            <w:tcW w:w="3437" w:type="pct"/>
            <w:tcBorders>
              <w:top w:val="single" w:sz="2" w:space="0" w:color="808080" w:themeColor="background1" w:themeShade="80"/>
              <w:left w:val="nil"/>
              <w:bottom w:val="single" w:sz="2" w:space="0" w:color="808080" w:themeColor="background1" w:themeShade="80"/>
              <w:right w:val="nil"/>
            </w:tcBorders>
          </w:tcPr>
          <w:p w14:paraId="4465706C" w14:textId="43543F15" w:rsidR="00855EB0" w:rsidRPr="00B253C4" w:rsidRDefault="00855EB0" w:rsidP="00B24480">
            <w:pPr>
              <w:pStyle w:val="TableBullet1"/>
            </w:pPr>
            <w:r w:rsidRPr="00B253C4">
              <w:t xml:space="preserve">Responses from the survey of </w:t>
            </w:r>
            <w:r w:rsidR="0050072E">
              <w:t>service</w:t>
            </w:r>
            <w:r w:rsidRPr="00B253C4">
              <w:t xml:space="preserve"> and lead agency staff indicate that most staff surveyed see the headspace model as less effective in meeting these objectives for young people from ‘hard to reach’ groups.</w:t>
            </w:r>
          </w:p>
          <w:p w14:paraId="0296BF72" w14:textId="1A927968" w:rsidR="00855EB0" w:rsidRPr="00B253C4" w:rsidRDefault="00855EB0" w:rsidP="00B24480">
            <w:pPr>
              <w:pStyle w:val="TableBullet1"/>
            </w:pPr>
            <w:r w:rsidRPr="00B253C4">
              <w:rPr>
                <w:shd w:val="clear" w:color="auto" w:fill="FFFFFF"/>
              </w:rPr>
              <w:t xml:space="preserve">Centre and lead agency staff </w:t>
            </w:r>
            <w:r w:rsidRPr="00B253C4">
              <w:t xml:space="preserve">who responded ‘yes’ regarding seeing differences in outcomes for young people from these groups compared with the general population of young people were then given the option to rate the difference between groups on a sliding scale. Averaged results </w:t>
            </w:r>
            <w:r w:rsidR="00E033EE">
              <w:t>from</w:t>
            </w:r>
            <w:r w:rsidRPr="00B253C4">
              <w:t xml:space="preserve"> staff indicate that Aboriginal and Torres Strait Islander young people, culturally and linguistically diverse young people and young people with disability all fare below the general population of young people attending headspace in terms of the service's impact on their mental health literacy.</w:t>
            </w:r>
          </w:p>
          <w:p w14:paraId="6C3B3494" w14:textId="43DB0983" w:rsidR="00855EB0" w:rsidRPr="00B253C4" w:rsidRDefault="00855EB0" w:rsidP="00B24480">
            <w:pPr>
              <w:pStyle w:val="TableBullet1"/>
            </w:pPr>
            <w:r w:rsidRPr="00B253C4">
              <w:t xml:space="preserve">Results </w:t>
            </w:r>
            <w:r w:rsidR="00F130F9">
              <w:t xml:space="preserve">from staff </w:t>
            </w:r>
            <w:r w:rsidRPr="00B253C4">
              <w:t>also indicate that engagement with LGBTQIA+ young people result in better mental health literacy than for other groups of young people.</w:t>
            </w:r>
          </w:p>
          <w:p w14:paraId="365D0C80" w14:textId="62EF0A8E" w:rsidR="00855EB0" w:rsidRPr="00B253C4" w:rsidRDefault="00855EB0" w:rsidP="00B24480">
            <w:pPr>
              <w:pStyle w:val="TableBullet1"/>
            </w:pPr>
            <w:r w:rsidRPr="00B253C4">
              <w:rPr>
                <w:lang w:eastAsia="en-AU"/>
              </w:rPr>
              <w:t xml:space="preserve">Relevant to meeting the needs of Aboriginal and Torres Strait Islander young people, the staff survey also highlighted that, in regional areas with high Aboriginal and Torres Strait Islander populations, specific Aboriginal Social Emotional Wellbeing Workers are important. Staff in these roles support adaptation of presentations and other resources for Aboriginal and Torres Strait Islander young people. While these roles were highlighted as contributing strongly to improved mental health literacy for young people accessing headspace, respondents to the </w:t>
            </w:r>
            <w:r w:rsidR="0050072E">
              <w:rPr>
                <w:lang w:eastAsia="en-AU"/>
              </w:rPr>
              <w:t>service</w:t>
            </w:r>
            <w:r w:rsidRPr="00B253C4">
              <w:rPr>
                <w:lang w:eastAsia="en-AU"/>
              </w:rPr>
              <w:t xml:space="preserve"> and lead agency survey also noted difficulty recruiting staff for these roles in small communities.</w:t>
            </w:r>
          </w:p>
          <w:p w14:paraId="2AB56949" w14:textId="77777777" w:rsidR="00855EB0" w:rsidRPr="00B253C4" w:rsidRDefault="00855EB0" w:rsidP="00B24480">
            <w:pPr>
              <w:pStyle w:val="TableBullet1"/>
            </w:pPr>
            <w:r w:rsidRPr="00B253C4">
              <w:rPr>
                <w:lang w:eastAsia="en-AU"/>
              </w:rPr>
              <w:t>The need to be able to provide services for community in community was also emphasised as a challenge for the headspace model.</w:t>
            </w:r>
          </w:p>
          <w:p w14:paraId="0C94E6BF" w14:textId="77777777" w:rsidR="00855EB0" w:rsidRPr="00B253C4" w:rsidRDefault="00855EB0" w:rsidP="00B24480">
            <w:pPr>
              <w:pStyle w:val="TableBullet1"/>
            </w:pPr>
            <w:r w:rsidRPr="00B253C4">
              <w:rPr>
                <w:lang w:eastAsia="en-AU"/>
              </w:rPr>
              <w:t>For young people with disability, service providers noted that they had limited referral pathways with disability services, and that disability service providers do not refer young people into headspace unless it is funded on their NDIS plan, which is rare.</w:t>
            </w:r>
          </w:p>
          <w:p w14:paraId="4764DCF7" w14:textId="7B6E5087" w:rsidR="00855EB0" w:rsidRPr="00B253C4" w:rsidRDefault="00855EB0" w:rsidP="00B24480">
            <w:pPr>
              <w:pStyle w:val="TableBullet1"/>
            </w:pPr>
            <w:r w:rsidRPr="00B253C4">
              <w:rPr>
                <w:lang w:eastAsia="en-AU"/>
              </w:rPr>
              <w:t xml:space="preserve">The overall perception is that young people with disability access other services </w:t>
            </w:r>
            <w:r w:rsidR="00B95550">
              <w:rPr>
                <w:lang w:eastAsia="en-AU"/>
              </w:rPr>
              <w:t>rather than</w:t>
            </w:r>
            <w:r w:rsidRPr="00B253C4">
              <w:rPr>
                <w:lang w:eastAsia="en-AU"/>
              </w:rPr>
              <w:t xml:space="preserve"> headspace, and some providers indicated this is more appropriate due to headspace clinicians not having experience working with dual diagnoses.</w:t>
            </w:r>
          </w:p>
          <w:p w14:paraId="037DD6B0" w14:textId="77777777" w:rsidR="00855EB0" w:rsidRPr="00B253C4" w:rsidRDefault="00855EB0" w:rsidP="00B24480">
            <w:pPr>
              <w:pStyle w:val="TableBullet1"/>
            </w:pPr>
            <w:r w:rsidRPr="00B253C4">
              <w:rPr>
                <w:lang w:eastAsia="en-AU"/>
              </w:rPr>
              <w:t>For young people from culturally and linguistically diverse backgrounds, headspace service providers described the barriers in having access to culturally and linguistically diverse staff with the capability to work with those arriving with significant trauma, with multicultural mental health issues, and with different language and cultural skills. They also spoke about limitations in the capacity to undertake outreach to culturally and linguistically diverse communities to promote service access.</w:t>
            </w:r>
          </w:p>
          <w:p w14:paraId="0DA1C115" w14:textId="09289FBB" w:rsidR="00855EB0" w:rsidRPr="00B253C4" w:rsidRDefault="00855EB0" w:rsidP="00B24480">
            <w:pPr>
              <w:pStyle w:val="TableBullet1"/>
            </w:pPr>
            <w:r w:rsidRPr="00B253C4">
              <w:t xml:space="preserve">School and university counsellors agreed with the importance of having local workers </w:t>
            </w:r>
            <w:r w:rsidR="00420340">
              <w:t>who identify as Aboriginal or Torres Strait Islander</w:t>
            </w:r>
            <w:r w:rsidRPr="00B253C4">
              <w:t xml:space="preserve"> to support outcomes for Aboriginal and Torres Strait young people. Communities with large Aboriginal and Torres Strait Islander populations have benefited from outreach and work designing the services with the community. This has built trust that, in turn, supports engagement with headspace by young people and improved mental health literacy.</w:t>
            </w:r>
          </w:p>
          <w:p w14:paraId="1178FD60" w14:textId="77777777" w:rsidR="00855EB0" w:rsidRPr="00B253C4" w:rsidRDefault="00855EB0" w:rsidP="00B24480">
            <w:pPr>
              <w:pStyle w:val="TableBullet1"/>
            </w:pPr>
            <w:r w:rsidRPr="00B253C4">
              <w:t>Focus groups with counsellors also identified challenges for culturally and linguistically diverse communities, including international students who have not had the same education around mental health throughout earlier schooling as other young people from the general population.</w:t>
            </w:r>
          </w:p>
          <w:p w14:paraId="699D0EEF" w14:textId="1EE72660" w:rsidR="00855EB0" w:rsidRPr="00B253C4" w:rsidRDefault="00855EB0" w:rsidP="00B24480">
            <w:pPr>
              <w:pStyle w:val="TableBullet1"/>
            </w:pPr>
            <w:r w:rsidRPr="00B253C4">
              <w:rPr>
                <w:shd w:val="clear" w:color="auto" w:fill="FFFFFF"/>
              </w:rPr>
              <w:t xml:space="preserve">Responses from staff at </w:t>
            </w:r>
            <w:r w:rsidR="00A826EE">
              <w:rPr>
                <w:shd w:val="clear" w:color="auto" w:fill="FFFFFF"/>
              </w:rPr>
              <w:t>headspace services</w:t>
            </w:r>
            <w:r w:rsidRPr="00B253C4" w:rsidDel="00A826EE">
              <w:rPr>
                <w:shd w:val="clear" w:color="auto" w:fill="FFFFFF"/>
              </w:rPr>
              <w:t xml:space="preserve"> </w:t>
            </w:r>
            <w:r w:rsidRPr="00B253C4">
              <w:rPr>
                <w:shd w:val="clear" w:color="auto" w:fill="FFFFFF"/>
              </w:rPr>
              <w:t xml:space="preserve">and lead agencies indicated that the majority thought the headspace model was less effective in encouraging early help seeking for Aboriginal and Torres Strait Islander young people, culturally and linguistically diverse young people and young people with disability. </w:t>
            </w:r>
          </w:p>
          <w:p w14:paraId="4952D678" w14:textId="77777777" w:rsidR="00855EB0" w:rsidRPr="00B253C4" w:rsidRDefault="00855EB0" w:rsidP="00B24480">
            <w:pPr>
              <w:pStyle w:val="TableBullet1"/>
            </w:pPr>
            <w:r w:rsidRPr="00B253C4">
              <w:rPr>
                <w:shd w:val="clear" w:color="auto" w:fill="FFFFFF"/>
              </w:rPr>
              <w:t xml:space="preserve">As with mental health literacy, respondents felt that the outcomes were stronger for LGBTQIA+ young people than for those from the </w:t>
            </w:r>
            <w:r w:rsidRPr="00B253C4">
              <w:t>general population of young people attending headspace.</w:t>
            </w:r>
          </w:p>
          <w:p w14:paraId="09FA85CD" w14:textId="3E0F6AB0" w:rsidR="00855EB0" w:rsidRPr="00B253C4" w:rsidRDefault="00855EB0" w:rsidP="00B24480">
            <w:pPr>
              <w:pStyle w:val="TableBullet1"/>
            </w:pPr>
            <w:r w:rsidRPr="00B253C4">
              <w:t xml:space="preserve">Respondents had similar views about increased access for the ‘hard to reach’ cohorts as they had for increased mental health literacy and improved early help seeking. Young people from Aboriginal and Torres Strait Islander backgrounds, culturally and linguistically diverse </w:t>
            </w:r>
            <w:r w:rsidR="00CB038D">
              <w:t>cohorts</w:t>
            </w:r>
            <w:r w:rsidRPr="00B253C4">
              <w:t xml:space="preserve"> and young people with disability were seen to have worse access rates to headspace services compared with those from the general population of young people attending headspace. LGBTQIA+ </w:t>
            </w:r>
            <w:r w:rsidR="008234D9">
              <w:t xml:space="preserve">young people </w:t>
            </w:r>
            <w:r w:rsidRPr="00B253C4">
              <w:t>were perceived to have better rates of access than all other groups, including the general population of young people attending headspace.</w:t>
            </w:r>
          </w:p>
          <w:p w14:paraId="6AEBB288" w14:textId="2648F4F6" w:rsidR="00855EB0" w:rsidRPr="00B253C4" w:rsidRDefault="00855EB0" w:rsidP="00B24480">
            <w:pPr>
              <w:pStyle w:val="TableBullet1"/>
            </w:pPr>
            <w:r w:rsidRPr="00B253C4">
              <w:t xml:space="preserve">In response to a prompt in the </w:t>
            </w:r>
            <w:r w:rsidR="0050072E">
              <w:t>service</w:t>
            </w:r>
            <w:r w:rsidRPr="00B253C4">
              <w:t xml:space="preserve"> and leady agency survey to describe the barriers and enablers to support these cohorts, a common theme was related to challenges for rural and remote services. Issues with the other parts of the service system were raised for regional areas with limited capacity of tertiary services, bulk billing services and affordable psychiatry. The ability to attract specialist psychologists, AOD workers, vocational workers and GPs were all identified as difficult in remote areas. Turnover and a limited overall pool of workers across providers and PHN roles was also highlighted. </w:t>
            </w:r>
          </w:p>
          <w:p w14:paraId="6F2CF9EC" w14:textId="77777777" w:rsidR="00855EB0" w:rsidRPr="00B253C4" w:rsidRDefault="00855EB0" w:rsidP="00B24480">
            <w:pPr>
              <w:pStyle w:val="TableBullet1"/>
            </w:pPr>
            <w:r w:rsidRPr="00B253C4">
              <w:t>One respondent also described challenges they face in a regional area with the headspace service funding model, where outreach activities to take services to remote communities are not funded but are expected by stakeholders across their local area.</w:t>
            </w:r>
          </w:p>
          <w:p w14:paraId="2B7CCFF1" w14:textId="77777777" w:rsidR="00855EB0" w:rsidRPr="00B253C4" w:rsidRDefault="00855EB0" w:rsidP="00B24480">
            <w:pPr>
              <w:pStyle w:val="TableBullet1"/>
            </w:pPr>
            <w:r w:rsidRPr="00B253C4">
              <w:t>Other responses again highlighted a concern about insufficient funding for salaried staff, including community engagement of staff. Challenges around finding staff with the right skillset or cultural background were particularly salient for regional and remote staff.</w:t>
            </w:r>
          </w:p>
          <w:p w14:paraId="6E42181B" w14:textId="77777777" w:rsidR="00855EB0" w:rsidRPr="00B253C4" w:rsidRDefault="00855EB0" w:rsidP="00B24480">
            <w:pPr>
              <w:pStyle w:val="TableBullet1"/>
            </w:pPr>
            <w:r w:rsidRPr="00B253C4">
              <w:t>Deep dive consultations and discussions with Aboriginal and Torres Strait Islander community organisations illustrated key themes required to engage and assist Aboriginal and Torres Strait Islander young people. Stakeholders emphasised the need for young people to be able to see people like themselves in the staff at their local headspace, and for it to feel like a safe and culturally appropriate place for them to seek help.</w:t>
            </w:r>
          </w:p>
          <w:p w14:paraId="78A3AF8D" w14:textId="77777777" w:rsidR="00855EB0" w:rsidRPr="00B253C4" w:rsidRDefault="00855EB0" w:rsidP="00B24480">
            <w:pPr>
              <w:pStyle w:val="TableBullet1"/>
            </w:pPr>
            <w:r w:rsidRPr="00B253C4">
              <w:t>In consultations with metropolitan services, stakeholders reported the importance of having members of staff from a wide range of cultural backgrounds, and of the important role they play in reducing stigma and building mental health literacy for different communities.</w:t>
            </w:r>
          </w:p>
          <w:p w14:paraId="3A92BC38" w14:textId="77777777" w:rsidR="00855EB0" w:rsidRPr="00B253C4" w:rsidRDefault="00855EB0" w:rsidP="00B24480">
            <w:pPr>
              <w:pStyle w:val="TableBullet1"/>
            </w:pPr>
            <w:r w:rsidRPr="00B253C4">
              <w:t xml:space="preserve">The headspace model promotes centre-based support and emphasises the importance of making each service look culturally appropriate and welcoming to members of the Aboriginal and Torres Strait Islander community. Services display Aboriginal and Torres Strait Islander flags, and draw on local culture, art and language to show visible signs of welcome to the local Indigenous community. </w:t>
            </w:r>
          </w:p>
          <w:p w14:paraId="2A4B7DE5" w14:textId="78D87A05" w:rsidR="00855EB0" w:rsidRPr="00B253C4" w:rsidRDefault="00855EB0" w:rsidP="00B24480">
            <w:pPr>
              <w:pStyle w:val="TableBullet1"/>
            </w:pPr>
            <w:r w:rsidRPr="00B253C4">
              <w:t xml:space="preserve">Services in areas of high Aboriginal and Torres Strait Islander population also prioritise having staff from the local Indigenous community, and engagement with </w:t>
            </w:r>
            <w:r w:rsidR="00985840">
              <w:t>E</w:t>
            </w:r>
            <w:r w:rsidRPr="00B253C4">
              <w:t xml:space="preserve">lders and well-known local Aboriginal and Torres Strait Islander people on the consortium in an advisory capacity, so they can be seen to be endorsing the use of the headspace services for their people. </w:t>
            </w:r>
          </w:p>
          <w:p w14:paraId="2D2993F5" w14:textId="59CBCFEF" w:rsidR="00855EB0" w:rsidRPr="00B253C4" w:rsidRDefault="00855EB0" w:rsidP="00B24480">
            <w:pPr>
              <w:pStyle w:val="TableBullet1"/>
            </w:pPr>
            <w:r w:rsidRPr="00B253C4">
              <w:t>Stakeholders in regional and remote areas described the centre</w:t>
            </w:r>
            <w:r w:rsidR="009718E1">
              <w:noBreakHyphen/>
            </w:r>
            <w:r w:rsidRPr="00B253C4">
              <w:t>based model as a barrier to Aboriginal and Torres Strait Islander young people seeking support, due to high levels of self</w:t>
            </w:r>
            <w:r w:rsidR="009718E1">
              <w:noBreakHyphen/>
            </w:r>
            <w:r w:rsidRPr="00B253C4">
              <w:t xml:space="preserve">consciousness and stigma associated with mental illness. </w:t>
            </w:r>
          </w:p>
          <w:p w14:paraId="2F1DE8B5" w14:textId="1DDD4076" w:rsidR="00855EB0" w:rsidRPr="00B253C4" w:rsidRDefault="00855EB0" w:rsidP="00B24480">
            <w:pPr>
              <w:pStyle w:val="TableBullet1"/>
            </w:pPr>
            <w:r w:rsidRPr="00B253C4">
              <w:t>Indigenous models of care, centring the person within their family, community and culture</w:t>
            </w:r>
            <w:r w:rsidR="009718E1">
              <w:t>,</w:t>
            </w:r>
            <w:r w:rsidRPr="00B253C4">
              <w:t xml:space="preserve"> were also described as more effective in assisting Aboriginal and Torres Strait Islander young people than a more individual-centric model </w:t>
            </w:r>
            <w:r w:rsidR="009718E1">
              <w:t>provided</w:t>
            </w:r>
            <w:r w:rsidR="009718E1" w:rsidRPr="00B253C4">
              <w:t xml:space="preserve"> </w:t>
            </w:r>
            <w:r w:rsidRPr="00B253C4">
              <w:t>in mainstream clinical practice.</w:t>
            </w:r>
          </w:p>
          <w:p w14:paraId="29754544" w14:textId="77777777" w:rsidR="00855EB0" w:rsidRPr="00B253C4" w:rsidRDefault="00855EB0" w:rsidP="00B24480">
            <w:pPr>
              <w:pStyle w:val="TableBullet1"/>
            </w:pPr>
            <w:r w:rsidRPr="00B253C4">
              <w:t xml:space="preserve">Where outreach is conducted to Aboriginal and Torres Strait Islander communities, by trusted service providers without the need for appointments or to be seen to be seeking help, barriers may be reduced, and positive outcomes supported. </w:t>
            </w:r>
          </w:p>
          <w:p w14:paraId="12EF0F8F" w14:textId="77777777" w:rsidR="00855EB0" w:rsidRPr="00B253C4" w:rsidRDefault="00855EB0" w:rsidP="00B24480">
            <w:pPr>
              <w:pStyle w:val="TableBullet1"/>
            </w:pPr>
            <w:r w:rsidRPr="00B253C4">
              <w:rPr>
                <w:lang w:eastAsia="en-AU"/>
              </w:rPr>
              <w:t xml:space="preserve">For young people who identify as sexuality or gender diverse, headspace has become a brand which provides a safe space for them to seek support, connect with peers and manage their wellbeing. Stakeholders consistently recognised this as a strength of headspace. </w:t>
            </w:r>
          </w:p>
          <w:p w14:paraId="783489DB" w14:textId="77777777" w:rsidR="00855EB0" w:rsidRPr="00B253C4" w:rsidRDefault="00855EB0" w:rsidP="00B24480">
            <w:pPr>
              <w:pStyle w:val="TableBullet1"/>
            </w:pPr>
            <w:r w:rsidRPr="00B253C4">
              <w:rPr>
                <w:lang w:eastAsia="en-AU"/>
              </w:rPr>
              <w:t>Consultations indicated that headspace had achieved this success in improving access of this group through its brand recognition, social media presence and through peer-to-peer networking.</w:t>
            </w:r>
            <w:r>
              <w:rPr>
                <w:lang w:eastAsia="en-AU"/>
              </w:rPr>
              <w:t xml:space="preserve"> </w:t>
            </w:r>
          </w:p>
        </w:tc>
      </w:tr>
      <w:tr w:rsidR="00855EB0" w14:paraId="7518E04E"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2A3C3CF3" w14:textId="77777777" w:rsidR="00855EB0" w:rsidRDefault="00855EB0" w:rsidP="00A33A8D">
            <w:pPr>
              <w:pStyle w:val="Tabletext"/>
              <w:rPr>
                <w:rFonts w:cstheme="minorHAnsi"/>
              </w:rPr>
            </w:pPr>
            <w:r>
              <w:rPr>
                <w:rFonts w:cstheme="minorHAnsi"/>
              </w:rPr>
              <w:t>How well does headspace advocate for and promote youth mental health and wellbeing in their communities?</w:t>
            </w:r>
          </w:p>
        </w:tc>
        <w:tc>
          <w:tcPr>
            <w:tcW w:w="3437" w:type="pct"/>
            <w:tcBorders>
              <w:top w:val="single" w:sz="2" w:space="0" w:color="808080" w:themeColor="background1" w:themeShade="80"/>
              <w:left w:val="nil"/>
              <w:bottom w:val="single" w:sz="2" w:space="0" w:color="808080" w:themeColor="background1" w:themeShade="80"/>
              <w:right w:val="nil"/>
            </w:tcBorders>
          </w:tcPr>
          <w:p w14:paraId="63FAFD02" w14:textId="3E6D0BEF" w:rsidR="00855EB0" w:rsidRPr="00B253C4" w:rsidRDefault="00646540" w:rsidP="00B24480">
            <w:pPr>
              <w:pStyle w:val="TableBullet1"/>
            </w:pPr>
            <w:r>
              <w:t>Service</w:t>
            </w:r>
            <w:r w:rsidR="00855EB0" w:rsidRPr="00B253C4">
              <w:t xml:space="preserve"> and lead agency survey responses indicated strong levels of confidence from staff that their service is successful in increasing mental health literacy. When asked to describe key enablers of this, responses identified broader community engagement by the headspace service as a key aspect of their observed success in this area. Examples included activities such as social media campaigns, education and awareness activities with local schools, and the establishment of partnerships with local councils, universities, and colleges. </w:t>
            </w:r>
          </w:p>
          <w:p w14:paraId="2EC9218D" w14:textId="23CDFC24" w:rsidR="00855EB0" w:rsidRPr="00B253C4" w:rsidRDefault="00855EB0" w:rsidP="00B24480">
            <w:pPr>
              <w:pStyle w:val="TableBullet1"/>
            </w:pPr>
            <w:r w:rsidRPr="00B253C4">
              <w:rPr>
                <w:lang w:eastAsia="en-AU"/>
              </w:rPr>
              <w:t xml:space="preserve">Community Development Officers were highlighted as particularly critical to this work, however some </w:t>
            </w:r>
            <w:r w:rsidR="00126357">
              <w:rPr>
                <w:lang w:eastAsia="en-AU"/>
              </w:rPr>
              <w:t>services</w:t>
            </w:r>
            <w:r w:rsidRPr="00B253C4">
              <w:rPr>
                <w:lang w:eastAsia="en-AU"/>
              </w:rPr>
              <w:t xml:space="preserve"> identified only having funding for 0.6 FTE for this role, which they consider to be insufficient.</w:t>
            </w:r>
          </w:p>
        </w:tc>
      </w:tr>
      <w:tr w:rsidR="00855EB0" w14:paraId="08A0FDAF"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5662187B" w14:textId="7471B270" w:rsidR="00855EB0" w:rsidRDefault="00855EB0" w:rsidP="00A33A8D">
            <w:pPr>
              <w:pStyle w:val="Tabletext"/>
              <w:rPr>
                <w:rFonts w:cstheme="minorHAnsi"/>
              </w:rPr>
            </w:pPr>
            <w:r>
              <w:rPr>
                <w:rFonts w:cstheme="minorHAnsi"/>
              </w:rPr>
              <w:t>To what extent has headspace reduced stigma associated with mental illness and help</w:t>
            </w:r>
            <w:r w:rsidR="00BD29DF">
              <w:rPr>
                <w:rFonts w:cstheme="minorHAnsi"/>
              </w:rPr>
              <w:t xml:space="preserve"> </w:t>
            </w:r>
            <w:r>
              <w:rPr>
                <w:rFonts w:cstheme="minorHAnsi"/>
              </w:rPr>
              <w:t>seeking for young people, their families and friends, and the community?</w:t>
            </w:r>
          </w:p>
        </w:tc>
        <w:tc>
          <w:tcPr>
            <w:tcW w:w="3437" w:type="pct"/>
            <w:tcBorders>
              <w:top w:val="single" w:sz="2" w:space="0" w:color="808080" w:themeColor="background1" w:themeShade="80"/>
              <w:left w:val="nil"/>
              <w:bottom w:val="single" w:sz="2" w:space="0" w:color="808080" w:themeColor="background1" w:themeShade="80"/>
              <w:right w:val="nil"/>
            </w:tcBorders>
          </w:tcPr>
          <w:p w14:paraId="0C52022D" w14:textId="506FC354" w:rsidR="00855EB0" w:rsidRPr="00B253C4" w:rsidRDefault="00855EB0" w:rsidP="00B24480">
            <w:pPr>
              <w:pStyle w:val="TableBullet1"/>
            </w:pPr>
            <w:r w:rsidRPr="00B253C4">
              <w:t xml:space="preserve">In response to </w:t>
            </w:r>
            <w:r w:rsidR="00B74084">
              <w:t xml:space="preserve">the </w:t>
            </w:r>
            <w:r w:rsidRPr="00B253C4">
              <w:t xml:space="preserve">survey, </w:t>
            </w:r>
            <w:r w:rsidRPr="00B253C4">
              <w:rPr>
                <w:lang w:eastAsia="en-AU"/>
              </w:rPr>
              <w:t xml:space="preserve">93 per cent of </w:t>
            </w:r>
            <w:r w:rsidR="0050072E">
              <w:rPr>
                <w:lang w:eastAsia="en-AU"/>
              </w:rPr>
              <w:t>service</w:t>
            </w:r>
            <w:r w:rsidRPr="00B253C4">
              <w:rPr>
                <w:lang w:eastAsia="en-AU"/>
              </w:rPr>
              <w:t xml:space="preserve"> and lead agency respondents consider their headspace service to be reducing stigma.</w:t>
            </w:r>
          </w:p>
          <w:p w14:paraId="412A2382" w14:textId="77777777" w:rsidR="00855EB0" w:rsidRPr="00B253C4" w:rsidRDefault="00855EB0" w:rsidP="00B24480">
            <w:pPr>
              <w:pStyle w:val="TableBullet1"/>
            </w:pPr>
            <w:r w:rsidRPr="00B253C4">
              <w:t>When considering the extent to which headspace has been successful in reducing stigma for family, friends and the community, it is less clear from the data. Qualitative evidence from interviews and discussions at a range of sites indicated that, while some success is being made in reducing stigma in young people, this is due to a range of factors including the work of schools and the media more broadly in highlighting and normalising mental health help seeking.</w:t>
            </w:r>
            <w:r w:rsidRPr="00BC5E0E">
              <w:t xml:space="preserve"> </w:t>
            </w:r>
          </w:p>
        </w:tc>
      </w:tr>
      <w:tr w:rsidR="00855EB0" w14:paraId="4E44F44D"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2330D2AE" w14:textId="2222E92D" w:rsidR="00855EB0" w:rsidRDefault="00855EB0" w:rsidP="00A33A8D">
            <w:pPr>
              <w:pStyle w:val="Tabletext"/>
              <w:rPr>
                <w:rFonts w:cstheme="minorHAnsi"/>
              </w:rPr>
            </w:pPr>
            <w:r>
              <w:rPr>
                <w:rFonts w:cstheme="minorHAnsi"/>
              </w:rPr>
              <w:t>How effective is headspace in improving pathways to care for young people through service integration and coordination</w:t>
            </w:r>
            <w:r w:rsidR="004C06A0">
              <w:rPr>
                <w:rFonts w:cstheme="minorHAnsi"/>
              </w:rPr>
              <w:t>?</w:t>
            </w:r>
          </w:p>
        </w:tc>
        <w:tc>
          <w:tcPr>
            <w:tcW w:w="3437" w:type="pct"/>
            <w:tcBorders>
              <w:top w:val="single" w:sz="2" w:space="0" w:color="808080" w:themeColor="background1" w:themeShade="80"/>
              <w:left w:val="nil"/>
              <w:bottom w:val="single" w:sz="2" w:space="0" w:color="808080" w:themeColor="background1" w:themeShade="80"/>
              <w:right w:val="nil"/>
            </w:tcBorders>
          </w:tcPr>
          <w:p w14:paraId="230F2837" w14:textId="48A16C61" w:rsidR="00855EB0" w:rsidRPr="00B253C4" w:rsidRDefault="00855EB0" w:rsidP="00B24480">
            <w:pPr>
              <w:pStyle w:val="TableBullet1"/>
            </w:pPr>
            <w:r w:rsidRPr="00B253C4">
              <w:t>There were consistent views from stakeholders across deep dive locations that headspace services undertake a range of activities to support integration with other services and coordination of care for young people. These include case coordination for young people</w:t>
            </w:r>
            <w:r w:rsidR="008A75DB">
              <w:t>,</w:t>
            </w:r>
            <w:r w:rsidRPr="00B253C4">
              <w:t xml:space="preserve"> establishment of relationships with other local services</w:t>
            </w:r>
            <w:r w:rsidR="00B74084">
              <w:t>,</w:t>
            </w:r>
            <w:r w:rsidRPr="00B253C4">
              <w:t xml:space="preserve"> such as NDIS access workers, cultural healing services, and other family-based supports</w:t>
            </w:r>
            <w:r w:rsidR="00B74084">
              <w:t>,</w:t>
            </w:r>
            <w:r w:rsidR="00B74084" w:rsidRPr="00B253C4">
              <w:t xml:space="preserve"> </w:t>
            </w:r>
            <w:r w:rsidRPr="00B253C4">
              <w:t>and direct referrals to other services.</w:t>
            </w:r>
          </w:p>
          <w:p w14:paraId="17869901" w14:textId="77777777" w:rsidR="00855EB0" w:rsidRPr="00B253C4" w:rsidRDefault="00855EB0" w:rsidP="00B24480">
            <w:pPr>
              <w:pStyle w:val="TableBullet1"/>
            </w:pPr>
            <w:r w:rsidRPr="00B253C4">
              <w:t>These stakeholders also indicated how this work was an ongoing and important aspect of ensuring access to services for young people.</w:t>
            </w:r>
          </w:p>
          <w:p w14:paraId="21A878BB" w14:textId="77777777" w:rsidR="00855EB0" w:rsidRPr="00B253C4" w:rsidRDefault="00855EB0" w:rsidP="00B24480">
            <w:pPr>
              <w:pStyle w:val="TableBullet1"/>
            </w:pPr>
            <w:r w:rsidRPr="00B253C4">
              <w:t>Case coordination work was consistently raised by deep dive representatives as critical to the success of the headspace model in supporting service integration and better outcomes for young people.</w:t>
            </w:r>
          </w:p>
          <w:p w14:paraId="572C6EB5" w14:textId="77777777" w:rsidR="00855EB0" w:rsidRPr="00B253C4" w:rsidRDefault="00855EB0" w:rsidP="00B24480">
            <w:pPr>
              <w:pStyle w:val="TableBullet1"/>
            </w:pPr>
            <w:r w:rsidRPr="00B253C4">
              <w:t xml:space="preserve">Services invest time in building relationships with other local services, including local mental health services, and other support services that contribute to aspects of a young person’s wellbeing. </w:t>
            </w:r>
          </w:p>
          <w:p w14:paraId="5E9FE840" w14:textId="77777777" w:rsidR="00855EB0" w:rsidRPr="00B253C4" w:rsidRDefault="00855EB0" w:rsidP="00B24480">
            <w:pPr>
              <w:pStyle w:val="TableBullet1"/>
            </w:pPr>
            <w:r w:rsidRPr="00B253C4">
              <w:t>The level of investment in these relationships differs between services and depends on the capacity of other services to engage, loss of relationships when other organisations lose time-limited grant funding, and the focus of the management of individual headspace services on this relationship building versus other elements of service delivery.</w:t>
            </w:r>
          </w:p>
          <w:p w14:paraId="379DB891" w14:textId="03726821" w:rsidR="00855EB0" w:rsidRPr="00B253C4" w:rsidRDefault="00855EB0" w:rsidP="00B24480">
            <w:pPr>
              <w:pStyle w:val="TableBullet1"/>
            </w:pPr>
            <w:r w:rsidRPr="00B253C4">
              <w:t xml:space="preserve">Relationships and resulting service integration with </w:t>
            </w:r>
            <w:r w:rsidR="004C50C0">
              <w:t>psychosocial</w:t>
            </w:r>
            <w:r w:rsidRPr="00B253C4">
              <w:t xml:space="preserve"> supports, including cultural healing, NDIS access, and family supports, enables headspace to facilitate cross-referrals. </w:t>
            </w:r>
          </w:p>
          <w:p w14:paraId="38BE59EF" w14:textId="77777777" w:rsidR="00855EB0" w:rsidRPr="00B253C4" w:rsidRDefault="00855EB0" w:rsidP="00B24480">
            <w:pPr>
              <w:pStyle w:val="TableBullet1"/>
            </w:pPr>
            <w:r w:rsidRPr="00B253C4">
              <w:t xml:space="preserve">There were differences reported by deep dive stakeholders between metropolitan and regional and remote services with respect to service integration. The availability of other services, and their capacity, particularly in non-metropolitan locations, has impacted the ability of some headspace services to support integration. </w:t>
            </w:r>
          </w:p>
          <w:p w14:paraId="798CF5B2" w14:textId="7811FA56" w:rsidR="00855EB0" w:rsidRPr="00B253C4" w:rsidRDefault="00855EB0" w:rsidP="00B24480">
            <w:pPr>
              <w:pStyle w:val="TableBullet1"/>
            </w:pPr>
            <w:r w:rsidRPr="00B253C4">
              <w:t>Where services do not have capacity to take on new clients, this impacted referral</w:t>
            </w:r>
            <w:r w:rsidR="008A75DB">
              <w:t>s</w:t>
            </w:r>
            <w:r w:rsidRPr="00B253C4">
              <w:t xml:space="preserve"> made by headspace services, and opportunities for care coordination and service integration for young people. </w:t>
            </w:r>
          </w:p>
          <w:p w14:paraId="2FBA9FA2" w14:textId="77777777" w:rsidR="00855EB0" w:rsidRPr="00B253C4" w:rsidRDefault="00855EB0" w:rsidP="00B24480">
            <w:pPr>
              <w:pStyle w:val="TableBullet1"/>
            </w:pPr>
            <w:r w:rsidRPr="00B253C4">
              <w:t>The most common barriers identified were waitlists and lack of capacity in local referral services, followed by limited local services for specific conditions or treatment needs, and lack of local services to meet more acute needs.</w:t>
            </w:r>
          </w:p>
          <w:p w14:paraId="258AC7F8" w14:textId="77777777" w:rsidR="00855EB0" w:rsidRPr="00B253C4" w:rsidRDefault="00855EB0" w:rsidP="00B24480">
            <w:pPr>
              <w:pStyle w:val="TableBullet1"/>
            </w:pPr>
            <w:r w:rsidRPr="00B253C4">
              <w:t xml:space="preserve">With respect to case coordination in particular, deep dive representatives also described challenges in documenting and demonstrating the volume of time spent on coordination activities and balancing these activities with direct clinical services for workers within headspace services, especially where the headspace services rely on MBS billing to support services. </w:t>
            </w:r>
          </w:p>
          <w:p w14:paraId="58263ED2" w14:textId="77777777" w:rsidR="00855EB0" w:rsidRPr="00B253C4" w:rsidRDefault="00855EB0" w:rsidP="00B24480">
            <w:pPr>
              <w:pStyle w:val="TableBullet1"/>
            </w:pPr>
            <w:r w:rsidRPr="00B253C4">
              <w:t>Case coordination is also more challenging for young people with more severe distress levels and complex mental health support needs.</w:t>
            </w:r>
          </w:p>
        </w:tc>
      </w:tr>
      <w:tr w:rsidR="00855EB0" w14:paraId="51564DE2"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465D0B09" w14:textId="77777777" w:rsidR="00855EB0" w:rsidRDefault="00855EB0" w:rsidP="00A33A8D">
            <w:pPr>
              <w:pStyle w:val="Tabletext"/>
              <w:rPr>
                <w:rFonts w:cstheme="minorHAnsi"/>
              </w:rPr>
            </w:pPr>
            <w:r>
              <w:rPr>
                <w:rFonts w:cstheme="minorHAnsi"/>
              </w:rPr>
              <w:t>To what extent is headspace providing localised service offering, and what are the barriers and enablers of this?</w:t>
            </w:r>
          </w:p>
        </w:tc>
        <w:tc>
          <w:tcPr>
            <w:tcW w:w="3437" w:type="pct"/>
            <w:tcBorders>
              <w:top w:val="single" w:sz="2" w:space="0" w:color="808080" w:themeColor="background1" w:themeShade="80"/>
              <w:left w:val="nil"/>
              <w:bottom w:val="single" w:sz="2" w:space="0" w:color="808080" w:themeColor="background1" w:themeShade="80"/>
              <w:right w:val="nil"/>
            </w:tcBorders>
          </w:tcPr>
          <w:p w14:paraId="7A7D22AC" w14:textId="77777777" w:rsidR="00855EB0" w:rsidRPr="00B253C4" w:rsidRDefault="00855EB0" w:rsidP="00B24480">
            <w:pPr>
              <w:pStyle w:val="TableBullet1"/>
            </w:pPr>
            <w:r w:rsidRPr="00B253C4">
              <w:t>There are a multitude of examples of how services have been tailored to the needs of the local community. Representatives from deep dive locations demonstrated a strong level of community engagement and awareness enabled by the consortium arrangements and a local workforce with local networks to support this.</w:t>
            </w:r>
          </w:p>
          <w:p w14:paraId="2DA8087C" w14:textId="01D2E280" w:rsidR="00855EB0" w:rsidRPr="00B253C4" w:rsidRDefault="00855EB0" w:rsidP="00B24480">
            <w:pPr>
              <w:pStyle w:val="TableBullet1"/>
            </w:pPr>
            <w:r w:rsidRPr="00B253C4">
              <w:t xml:space="preserve">Services tailored to their communities include: introduction of </w:t>
            </w:r>
            <w:r w:rsidR="008A75DB">
              <w:t xml:space="preserve">a </w:t>
            </w:r>
            <w:r w:rsidRPr="00B253C4">
              <w:t>bushfire recovery role to tackle climate-related anxiety with young people, increased focus on outreach services where there is increased need, for example in remote Aboriginal communities, or neighbouring communities impact</w:t>
            </w:r>
            <w:r w:rsidR="0043799C">
              <w:t>ed</w:t>
            </w:r>
            <w:r w:rsidRPr="00B253C4">
              <w:t xml:space="preserve"> by bushfires and the introduction of new consortium partnerships with additional local services, responding to particular stressors for young people in the local community, such as domestic and family violence and family wellbeing services.</w:t>
            </w:r>
          </w:p>
          <w:p w14:paraId="225A5B62" w14:textId="2D726B01" w:rsidR="00855EB0" w:rsidRPr="00B253C4" w:rsidRDefault="00855EB0" w:rsidP="00B24480">
            <w:pPr>
              <w:pStyle w:val="TableBullet1"/>
            </w:pPr>
            <w:r w:rsidRPr="00B253C4">
              <w:t xml:space="preserve">Many </w:t>
            </w:r>
            <w:r w:rsidR="00612BE7">
              <w:t>services</w:t>
            </w:r>
            <w:r w:rsidRPr="00B253C4">
              <w:t xml:space="preserve"> are well</w:t>
            </w:r>
            <w:r w:rsidR="00B24A04">
              <w:t>-</w:t>
            </w:r>
            <w:r w:rsidRPr="00B253C4">
              <w:t xml:space="preserve">integrated into their local communities and provide services in demand with local community. Community engagement activities assist headspace services to identify how best to respond to local need, and some lead agencies have a specific focus on supporting these activities by also applying for additional grant funding from alternative sources to support this work. </w:t>
            </w:r>
          </w:p>
          <w:p w14:paraId="7F708C60" w14:textId="61D1BE2D" w:rsidR="00855EB0" w:rsidRPr="00B253C4" w:rsidRDefault="00612BE7" w:rsidP="00B24480">
            <w:pPr>
              <w:pStyle w:val="TableBullet1"/>
            </w:pPr>
            <w:r>
              <w:t>Services</w:t>
            </w:r>
            <w:r w:rsidR="00855EB0" w:rsidRPr="00B253C4">
              <w:t xml:space="preserve"> and lead agencies through deep dive discussions and the </w:t>
            </w:r>
            <w:r w:rsidR="0050072E">
              <w:t>service</w:t>
            </w:r>
            <w:r w:rsidR="00855EB0" w:rsidRPr="00B253C4">
              <w:t xml:space="preserve"> and leady agency survey consistently identified that there is limited capacity for outreach and community engagement activities within </w:t>
            </w:r>
            <w:r>
              <w:t>services</w:t>
            </w:r>
            <w:r w:rsidR="00855EB0" w:rsidRPr="00B253C4">
              <w:t xml:space="preserve">, to identify local needs and tailor services, and reach those in local communities who may not use the centre model. </w:t>
            </w:r>
          </w:p>
          <w:p w14:paraId="1BC62D8C" w14:textId="0E6B1F01" w:rsidR="00855EB0" w:rsidRPr="00B253C4" w:rsidRDefault="00855EB0" w:rsidP="00B24480">
            <w:pPr>
              <w:pStyle w:val="TableBullet1"/>
            </w:pPr>
            <w:r w:rsidRPr="00B253C4">
              <w:t>Community engagement positions are sometimes part</w:t>
            </w:r>
            <w:r w:rsidR="0043799C">
              <w:t>-</w:t>
            </w:r>
            <w:r w:rsidRPr="00B253C4">
              <w:t>time roles based on available funding. Some headspace services do not have dedicated community engagement positions, and community engagement is often de</w:t>
            </w:r>
            <w:r w:rsidR="00FC4439">
              <w:t>-</w:t>
            </w:r>
            <w:r w:rsidRPr="00B253C4">
              <w:t>prioritised due to clinical service loads within services.</w:t>
            </w:r>
          </w:p>
          <w:p w14:paraId="1CCE1247" w14:textId="205B144D" w:rsidR="00855EB0" w:rsidRPr="00B253C4" w:rsidRDefault="00C4147D" w:rsidP="00B24480">
            <w:pPr>
              <w:pStyle w:val="TableBullet1"/>
            </w:pPr>
            <w:r>
              <w:t>Services</w:t>
            </w:r>
            <w:r w:rsidR="00855EB0" w:rsidRPr="00B253C4">
              <w:t xml:space="preserve"> and lead agencies also indicated they often have trouble recruiting specific workers to meet the needs of the local community. These may be for specific professional positions or positions related to a specific cohort of young people, such as Aboriginal wellbeing workers or workers with culturally and linguistically diverse backgrounds.</w:t>
            </w:r>
          </w:p>
          <w:p w14:paraId="289FED09" w14:textId="133FEDD9" w:rsidR="00855EB0" w:rsidRPr="00B253C4" w:rsidRDefault="00855EB0" w:rsidP="00B24480">
            <w:pPr>
              <w:pStyle w:val="TableBullet1"/>
            </w:pPr>
            <w:r w:rsidRPr="00B253C4">
              <w:t>headspace service staff and lead agencies indicated there are some challenges in localising services where there is increasing complexity and severity in the presenting need</w:t>
            </w:r>
            <w:r w:rsidR="00662027">
              <w:t>s</w:t>
            </w:r>
            <w:r w:rsidRPr="00B253C4">
              <w:t xml:space="preserve"> of young people. These young people are not the focus of the headspace model, and tailoring services to meet their needs is difficult. </w:t>
            </w:r>
          </w:p>
          <w:p w14:paraId="1A553170" w14:textId="61268BF0" w:rsidR="00855EB0" w:rsidRPr="00B253C4" w:rsidRDefault="00AF2DE5" w:rsidP="00B24480">
            <w:pPr>
              <w:pStyle w:val="TableBullet1"/>
            </w:pPr>
            <w:r>
              <w:t>There is i</w:t>
            </w:r>
            <w:r w:rsidR="00855EB0" w:rsidRPr="00B253C4">
              <w:t xml:space="preserve">ncreased pressure on service capacity from young people with more intensive needs </w:t>
            </w:r>
            <w:r>
              <w:t xml:space="preserve">which </w:t>
            </w:r>
            <w:r w:rsidR="00855EB0" w:rsidRPr="00B253C4">
              <w:t>impacts on capacity to focus on tailored offerings.</w:t>
            </w:r>
          </w:p>
        </w:tc>
      </w:tr>
      <w:tr w:rsidR="00855EB0" w14:paraId="6BE8E0D6"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76F6B9C7" w14:textId="77777777" w:rsidR="00855EB0" w:rsidRDefault="00855EB0" w:rsidP="00A33A8D">
            <w:pPr>
              <w:pStyle w:val="Tabletext"/>
              <w:rPr>
                <w:rFonts w:cstheme="minorHAnsi"/>
              </w:rPr>
            </w:pPr>
            <w:r>
              <w:rPr>
                <w:rFonts w:cstheme="minorHAnsi"/>
              </w:rPr>
              <w:t>What other contributions does headspace make to local communities?</w:t>
            </w:r>
          </w:p>
        </w:tc>
        <w:tc>
          <w:tcPr>
            <w:tcW w:w="3437" w:type="pct"/>
            <w:tcBorders>
              <w:top w:val="single" w:sz="2" w:space="0" w:color="808080" w:themeColor="background1" w:themeShade="80"/>
              <w:left w:val="nil"/>
              <w:bottom w:val="single" w:sz="2" w:space="0" w:color="808080" w:themeColor="background1" w:themeShade="80"/>
              <w:right w:val="nil"/>
            </w:tcBorders>
          </w:tcPr>
          <w:p w14:paraId="72420FF6" w14:textId="2CF0FFDC" w:rsidR="00855EB0" w:rsidRPr="00B253C4" w:rsidRDefault="00916489" w:rsidP="00B24480">
            <w:pPr>
              <w:pStyle w:val="TableBullet1"/>
            </w:pPr>
            <w:r>
              <w:t>Service</w:t>
            </w:r>
            <w:r w:rsidR="00855EB0" w:rsidRPr="00B253C4">
              <w:t xml:space="preserve"> and lead agency representatives were asked to indicate what types of services their service provides to young people and the community more broadly. Of the 69 respondents who answered this question, 58 (or 84 per cent) indicated that their services work with local schools and community groups, while 44 (or 64 per cent) indicated they provide outreach services to local communities.</w:t>
            </w:r>
          </w:p>
          <w:p w14:paraId="6B6B3631" w14:textId="16945FBC" w:rsidR="00855EB0" w:rsidRPr="00B253C4" w:rsidRDefault="00855EB0" w:rsidP="00B24480">
            <w:pPr>
              <w:pStyle w:val="TableBullet1"/>
            </w:pPr>
            <w:r w:rsidRPr="00B253C4">
              <w:t>Deep dive site representatives, as well as survey respondents</w:t>
            </w:r>
            <w:r w:rsidR="00662027">
              <w:t>,</w:t>
            </w:r>
            <w:r w:rsidRPr="00B253C4">
              <w:t xml:space="preserve"> indicated that community engagement such as this is a critical and successful part of the headspace model, however, </w:t>
            </w:r>
            <w:r w:rsidR="00662027">
              <w:t xml:space="preserve">it </w:t>
            </w:r>
            <w:r w:rsidRPr="00B253C4">
              <w:t>is an onerous obligation, and is often not able to be adequately resourced within current funding for headspace services.</w:t>
            </w:r>
          </w:p>
          <w:p w14:paraId="0B0AF050" w14:textId="568025A8" w:rsidR="00855EB0" w:rsidRPr="00B253C4" w:rsidRDefault="00855EB0" w:rsidP="00B24480">
            <w:pPr>
              <w:pStyle w:val="TableBullet1"/>
            </w:pPr>
            <w:r w:rsidRPr="00B253C4">
              <w:t>Engagement with schools and universities includes a range of activities, including presentations to school</w:t>
            </w:r>
            <w:r w:rsidR="00662027">
              <w:t>s</w:t>
            </w:r>
            <w:r w:rsidRPr="00B253C4">
              <w:t xml:space="preserve"> on supporting their mental health and wellbeing, where young people can find resources to support their mental health, information regarding services available, and participation in open days and fair days in universities. </w:t>
            </w:r>
          </w:p>
          <w:p w14:paraId="3DB1DFF0" w14:textId="55296C7A" w:rsidR="00855EB0" w:rsidRPr="00B253C4" w:rsidRDefault="00855EB0" w:rsidP="00B24480">
            <w:pPr>
              <w:pStyle w:val="TableBullet1"/>
            </w:pPr>
            <w:r w:rsidRPr="00B253C4">
              <w:t>Outreach services provided also differed significantly between headspace services, often linked to preferences and needs of the local community.</w:t>
            </w:r>
            <w:r>
              <w:t xml:space="preserve"> </w:t>
            </w:r>
          </w:p>
        </w:tc>
      </w:tr>
      <w:tr w:rsidR="00855EB0" w14:paraId="4D066411"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60066C19" w14:textId="77777777" w:rsidR="00855EB0" w:rsidRDefault="00855EB0" w:rsidP="00A33A8D">
            <w:pPr>
              <w:pStyle w:val="Tabletext"/>
              <w:rPr>
                <w:rFonts w:cstheme="minorHAnsi"/>
              </w:rPr>
            </w:pPr>
            <w:r>
              <w:rPr>
                <w:rFonts w:cstheme="minorHAnsi"/>
              </w:rPr>
              <w:t>To what extent does a ‘no-wrong-door’ approach assist headspace to meet its objectives?</w:t>
            </w:r>
          </w:p>
        </w:tc>
        <w:tc>
          <w:tcPr>
            <w:tcW w:w="3437" w:type="pct"/>
            <w:tcBorders>
              <w:top w:val="single" w:sz="2" w:space="0" w:color="808080" w:themeColor="background1" w:themeShade="80"/>
              <w:left w:val="nil"/>
              <w:bottom w:val="single" w:sz="2" w:space="0" w:color="808080" w:themeColor="background1" w:themeShade="80"/>
              <w:right w:val="nil"/>
            </w:tcBorders>
          </w:tcPr>
          <w:p w14:paraId="716DECBF" w14:textId="0D3178C6" w:rsidR="00855EB0" w:rsidRPr="00B253C4" w:rsidRDefault="00855EB0" w:rsidP="00B24480">
            <w:pPr>
              <w:pStyle w:val="TableBullet1"/>
            </w:pPr>
            <w:r w:rsidRPr="00B253C4">
              <w:t>There was significant support for headspace’s ‘no-wrong-door’ approach to supporting young people. The approach supports young people by: ensuring they are able to engage with mental health supports in a way they feel comfortable, providing a free entry point into the mental health service system, providing a soft entry into the mental health service system, with referrals to other services available to support service integration for young people and providing them with access to initial services to support broader objectives</w:t>
            </w:r>
            <w:r w:rsidR="00662027">
              <w:t>,</w:t>
            </w:r>
            <w:r w:rsidRPr="00B253C4">
              <w:t xml:space="preserve"> such as improved mental health literacy and early help seeking, even where they may be referred to a more appropriate service.</w:t>
            </w:r>
          </w:p>
          <w:p w14:paraId="21204A48" w14:textId="3EAF0A3F" w:rsidR="00855EB0" w:rsidRPr="00B253C4" w:rsidRDefault="00916489" w:rsidP="00B24480">
            <w:pPr>
              <w:pStyle w:val="TableBullet1"/>
            </w:pPr>
            <w:r>
              <w:t>Service</w:t>
            </w:r>
            <w:r w:rsidR="00855EB0" w:rsidRPr="00B253C4">
              <w:t xml:space="preserve"> and lead agency stakeholders across deep dive services, as well as those responding to the survey of headspace services</w:t>
            </w:r>
            <w:r w:rsidR="00662027">
              <w:t>,</w:t>
            </w:r>
            <w:r w:rsidR="00855EB0" w:rsidRPr="00B253C4">
              <w:t xml:space="preserve"> consistently indicated that</w:t>
            </w:r>
            <w:r w:rsidR="00662027">
              <w:t>,</w:t>
            </w:r>
            <w:r w:rsidR="00855EB0" w:rsidRPr="00B253C4">
              <w:t xml:space="preserve"> anecdotally, young people’s mental health needs are becoming increasingly severe and more complex, with many cases being outside of the headspace model’s mild to moderate criteria.</w:t>
            </w:r>
          </w:p>
          <w:p w14:paraId="02FA64B1" w14:textId="2696AED3" w:rsidR="00855EB0" w:rsidRPr="00B253C4" w:rsidRDefault="00855EB0" w:rsidP="00B24480">
            <w:pPr>
              <w:pStyle w:val="TableBullet1"/>
            </w:pPr>
            <w:r w:rsidRPr="00B253C4">
              <w:t xml:space="preserve">headspace service staff interviewed commonly described a “missing middle” of clients who are too complex to be seen under the headspace model’s mild to moderate remit, but </w:t>
            </w:r>
            <w:r w:rsidR="00662027">
              <w:t xml:space="preserve">are </w:t>
            </w:r>
            <w:r w:rsidRPr="00B253C4">
              <w:t xml:space="preserve">not unwell enough to be transitioned to overwhelmed </w:t>
            </w:r>
            <w:r w:rsidRPr="00B253C4" w:rsidDel="006C5387">
              <w:t>TMHS</w:t>
            </w:r>
            <w:r w:rsidRPr="00B253C4">
              <w:t xml:space="preserve">s. </w:t>
            </w:r>
          </w:p>
          <w:p w14:paraId="5AF59EDC" w14:textId="25DB321A" w:rsidR="00855EB0" w:rsidRPr="00B253C4" w:rsidRDefault="00855EB0" w:rsidP="00B24480">
            <w:pPr>
              <w:pStyle w:val="TableBullet1"/>
            </w:pPr>
            <w:r w:rsidRPr="00B253C4">
              <w:t>There were also consistent views from</w:t>
            </w:r>
            <w:r w:rsidRPr="00B253C4" w:rsidDel="00916489">
              <w:t xml:space="preserve"> </w:t>
            </w:r>
            <w:r w:rsidR="00916489">
              <w:t>service</w:t>
            </w:r>
            <w:r w:rsidR="00AF2DE5">
              <w:t>s</w:t>
            </w:r>
            <w:r w:rsidRPr="00B253C4">
              <w:t xml:space="preserve"> and lead agencies that there is significant demand placed on services by the ‘no wrong door’ approach. While this is largely regarded as essential to ensure young people presenting with high risk, distress, need, or acuity are not turned away without assistance, the </w:t>
            </w:r>
            <w:r w:rsidR="001D3F9D">
              <w:t>value</w:t>
            </w:r>
            <w:r w:rsidRPr="00B253C4">
              <w:t xml:space="preserve"> of this element of the model is particularly high where tertiary mental health services are unable to meet demand for higher needs young people. Rural and remote areas highlighted this as an issue.</w:t>
            </w:r>
          </w:p>
          <w:p w14:paraId="1BDC3F7C" w14:textId="77777777" w:rsidR="00855EB0" w:rsidRPr="00B253C4" w:rsidRDefault="00855EB0" w:rsidP="00B24480">
            <w:pPr>
              <w:pStyle w:val="TableBullet1"/>
            </w:pPr>
            <w:r w:rsidRPr="00B253C4">
              <w:t>Commonly in smaller regional and remote areas, where there are limited private practices and TMHSs, local services will redirect a young person back to headspace services to counteract their own wait times. This has resulted in headspace services in these circumstances taking on these young people to ensure they receive some form of support and needing to provide intensive case management and crisis support services.</w:t>
            </w:r>
          </w:p>
          <w:p w14:paraId="6B7C2F31" w14:textId="77777777" w:rsidR="00855EB0" w:rsidRPr="00B253C4" w:rsidRDefault="00855EB0" w:rsidP="00B24480">
            <w:pPr>
              <w:pStyle w:val="TableBullet1"/>
            </w:pPr>
            <w:r w:rsidRPr="00B253C4">
              <w:t>Another reported effect of the ‘no wrong door’ approach, coupled with the high visibility and brand recognition of headspace, is that services spend a proportion of time fielding general enquiries from and about the local service sector.</w:t>
            </w:r>
          </w:p>
          <w:p w14:paraId="162B5F04" w14:textId="0F7ED322" w:rsidR="00855EB0" w:rsidRPr="00B253C4" w:rsidRDefault="00855EB0" w:rsidP="00B24480">
            <w:pPr>
              <w:pStyle w:val="TableBullet1"/>
            </w:pPr>
            <w:r w:rsidRPr="00B253C4">
              <w:t>Stakeholders also described that the combined impact of these flow</w:t>
            </w:r>
            <w:r w:rsidR="000A5D3D">
              <w:noBreakHyphen/>
            </w:r>
            <w:r w:rsidRPr="00B253C4">
              <w:t xml:space="preserve">on effects of the ‘no wrong door’ approach are to increase the waiting times for young people with mild to moderate conditions with lower risk profiles to access services. Wait times have reportedly increased over time for some headspace services. However, data capture for wait times has only recently commenced, and longer-term trends in wait times are not able to be determined. </w:t>
            </w:r>
          </w:p>
          <w:p w14:paraId="18E8EBCE" w14:textId="77777777" w:rsidR="00855EB0" w:rsidRPr="00B253C4" w:rsidRDefault="00855EB0" w:rsidP="00B24480">
            <w:pPr>
              <w:pStyle w:val="TableBullet1"/>
            </w:pPr>
            <w:r w:rsidRPr="00B253C4">
              <w:t>The no-door-wrong approach supports headspace to reach young people and support mental health literacy, early help seeking and access to services. It also supports young people to get help when they need it, regardless of the severity of their mental health problem.</w:t>
            </w:r>
          </w:p>
          <w:p w14:paraId="3AAAFF06" w14:textId="3C01CC32" w:rsidR="00855EB0" w:rsidRPr="00B253C4" w:rsidRDefault="00855EB0" w:rsidP="00B24480">
            <w:pPr>
              <w:pStyle w:val="TableBullet1"/>
            </w:pPr>
            <w:r w:rsidRPr="00B253C4">
              <w:t>The no-wrong-door approach</w:t>
            </w:r>
            <w:r w:rsidR="000A5D3D">
              <w:t>,</w:t>
            </w:r>
            <w:r w:rsidRPr="00B253C4">
              <w:t xml:space="preserve"> coupled with other challenges in the service system</w:t>
            </w:r>
            <w:r w:rsidR="00AF2DE5">
              <w:t>,</w:t>
            </w:r>
            <w:r w:rsidRPr="00B253C4">
              <w:t xml:space="preserve"> such as referral services with limited or no capacity for new referrals</w:t>
            </w:r>
            <w:r w:rsidR="000A5D3D">
              <w:t>,</w:t>
            </w:r>
            <w:r w:rsidRPr="00B253C4">
              <w:t xml:space="preserve"> significantly impacts headspace’s core business of supporting young people with mild to moderate</w:t>
            </w:r>
            <w:r w:rsidR="000A5D3D">
              <w:t>,</w:t>
            </w:r>
            <w:r w:rsidRPr="00B253C4">
              <w:t xml:space="preserve"> </w:t>
            </w:r>
            <w:r w:rsidR="00914941">
              <w:t>high-prevalence mental health conditions</w:t>
            </w:r>
            <w:r w:rsidRPr="00B253C4">
              <w:t xml:space="preserve"> and other contributions to communities through outreach and engagement.</w:t>
            </w:r>
            <w:r>
              <w:t xml:space="preserve"> </w:t>
            </w:r>
          </w:p>
        </w:tc>
      </w:tr>
      <w:tr w:rsidR="00855EB0" w14:paraId="5BF47589"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0939C6AE" w14:textId="77777777" w:rsidR="00855EB0" w:rsidRDefault="00855EB0" w:rsidP="00A33A8D">
            <w:pPr>
              <w:pStyle w:val="Tabletext"/>
              <w:rPr>
                <w:rFonts w:cstheme="minorHAnsi"/>
              </w:rPr>
            </w:pPr>
            <w:r>
              <w:rPr>
                <w:rFonts w:cstheme="minorHAnsi"/>
              </w:rPr>
              <w:t>What is the level of support for headspace from other primary care and mental health service providers?</w:t>
            </w:r>
          </w:p>
        </w:tc>
        <w:tc>
          <w:tcPr>
            <w:tcW w:w="3437" w:type="pct"/>
            <w:tcBorders>
              <w:top w:val="single" w:sz="2" w:space="0" w:color="808080" w:themeColor="background1" w:themeShade="80"/>
              <w:left w:val="nil"/>
              <w:bottom w:val="single" w:sz="2" w:space="0" w:color="808080" w:themeColor="background1" w:themeShade="80"/>
              <w:right w:val="nil"/>
            </w:tcBorders>
          </w:tcPr>
          <w:p w14:paraId="0887C746" w14:textId="77777777" w:rsidR="00855EB0" w:rsidRPr="00B253C4" w:rsidRDefault="00855EB0" w:rsidP="00B24480">
            <w:pPr>
              <w:pStyle w:val="TableBullet1"/>
            </w:pPr>
            <w:r w:rsidRPr="00B253C4">
              <w:t>N/A</w:t>
            </w:r>
          </w:p>
        </w:tc>
      </w:tr>
      <w:tr w:rsidR="00855EB0" w14:paraId="0AA245E6"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4C4DEFF2" w14:textId="77777777" w:rsidR="00855EB0" w:rsidRDefault="00855EB0" w:rsidP="00A33A8D">
            <w:pPr>
              <w:pStyle w:val="Tabletext"/>
              <w:rPr>
                <w:rFonts w:cstheme="minorHAnsi"/>
              </w:rPr>
            </w:pPr>
            <w:r>
              <w:rPr>
                <w:rFonts w:cstheme="minorHAnsi"/>
              </w:rPr>
              <w:t>To what extent does headspace provide culturally appropriate and inclusive service for young people and their friends and families, including for vulnerable and diverse population groups and different age groups?</w:t>
            </w:r>
          </w:p>
        </w:tc>
        <w:tc>
          <w:tcPr>
            <w:tcW w:w="3437" w:type="pct"/>
            <w:tcBorders>
              <w:top w:val="single" w:sz="2" w:space="0" w:color="808080" w:themeColor="background1" w:themeShade="80"/>
              <w:left w:val="nil"/>
              <w:bottom w:val="single" w:sz="2" w:space="0" w:color="808080" w:themeColor="background1" w:themeShade="80"/>
              <w:right w:val="nil"/>
            </w:tcBorders>
          </w:tcPr>
          <w:p w14:paraId="64FAF552" w14:textId="77777777" w:rsidR="00855EB0" w:rsidRPr="00B253C4" w:rsidRDefault="00855EB0" w:rsidP="00B24480">
            <w:pPr>
              <w:pStyle w:val="TableBullet1"/>
            </w:pPr>
            <w:r w:rsidRPr="00B253C4">
              <w:t>N/A</w:t>
            </w:r>
          </w:p>
        </w:tc>
      </w:tr>
      <w:tr w:rsidR="00855EB0" w14:paraId="3AEB725F"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0E604CBE" w14:textId="77777777" w:rsidR="00855EB0" w:rsidRDefault="00855EB0" w:rsidP="00A33A8D">
            <w:pPr>
              <w:pStyle w:val="Tabletext"/>
              <w:rPr>
                <w:rFonts w:cstheme="minorHAnsi"/>
              </w:rPr>
            </w:pPr>
            <w:r>
              <w:rPr>
                <w:rFonts w:cstheme="minorHAnsi"/>
              </w:rPr>
              <w:t>To what extent does headspace enable young people and their families to access support where, when and how they want it, and what are the barriers and enablers to this?</w:t>
            </w:r>
          </w:p>
        </w:tc>
        <w:tc>
          <w:tcPr>
            <w:tcW w:w="3437" w:type="pct"/>
            <w:tcBorders>
              <w:top w:val="single" w:sz="2" w:space="0" w:color="808080" w:themeColor="background1" w:themeShade="80"/>
              <w:left w:val="nil"/>
              <w:bottom w:val="single" w:sz="2" w:space="0" w:color="808080" w:themeColor="background1" w:themeShade="80"/>
              <w:right w:val="nil"/>
            </w:tcBorders>
          </w:tcPr>
          <w:p w14:paraId="2D03D4C6" w14:textId="771FFF3F" w:rsidR="00855EB0" w:rsidRPr="00B253C4" w:rsidRDefault="00855EB0" w:rsidP="00B24480">
            <w:pPr>
              <w:pStyle w:val="TableBullet1"/>
            </w:pPr>
            <w:r w:rsidRPr="00B253C4">
              <w:t>Survey responses from 54</w:t>
            </w:r>
            <w:r w:rsidR="000A5D3D">
              <w:t xml:space="preserve"> per cent</w:t>
            </w:r>
            <w:r w:rsidRPr="00B253C4">
              <w:t xml:space="preserve"> of </w:t>
            </w:r>
            <w:r w:rsidR="00B8764B">
              <w:t>service</w:t>
            </w:r>
            <w:r w:rsidRPr="00B253C4">
              <w:t xml:space="preserve"> and lead agency staff indicate that most people working within headspace services </w:t>
            </w:r>
            <w:r w:rsidR="00B8764B">
              <w:t>believe</w:t>
            </w:r>
            <w:r w:rsidRPr="00B253C4">
              <w:t xml:space="preserve"> that their </w:t>
            </w:r>
            <w:r w:rsidR="00B8764B">
              <w:t>service</w:t>
            </w:r>
            <w:r w:rsidRPr="00B253C4">
              <w:t xml:space="preserve"> provides services that are youth friendly, appropriate, and accessible.</w:t>
            </w:r>
          </w:p>
          <w:p w14:paraId="070684FA" w14:textId="0FAAF622" w:rsidR="00855EB0" w:rsidRPr="00B253C4" w:rsidRDefault="00855EB0" w:rsidP="00B24480">
            <w:pPr>
              <w:pStyle w:val="TableBullet1"/>
            </w:pPr>
            <w:r w:rsidRPr="00B253C4">
              <w:t xml:space="preserve">When asked to describe enablers and barriers to their service providing youth friendly, appropriate, and accessible services, respondents provided a range of responses. Some identified the youthful, friendly and welcoming service design as a key enabler, others that the physical site is important, needing to be accessible for young people, and </w:t>
            </w:r>
            <w:r w:rsidR="000A5D3D">
              <w:t>large</w:t>
            </w:r>
            <w:r w:rsidR="000A5D3D" w:rsidRPr="00B253C4">
              <w:t xml:space="preserve"> </w:t>
            </w:r>
            <w:r w:rsidRPr="00B253C4">
              <w:t>enough to support engaging private providers.</w:t>
            </w:r>
          </w:p>
          <w:p w14:paraId="20282484" w14:textId="651DDA12" w:rsidR="00855EB0" w:rsidRPr="00B253C4" w:rsidRDefault="00855EB0" w:rsidP="00B24480">
            <w:pPr>
              <w:pStyle w:val="TableBullet1"/>
            </w:pPr>
            <w:r w:rsidRPr="00B253C4">
              <w:t xml:space="preserve">The flexible service model with </w:t>
            </w:r>
            <w:r w:rsidR="00916489">
              <w:t>service</w:t>
            </w:r>
            <w:r w:rsidRPr="00B253C4">
              <w:t>-based and some outreach services, as well as having multiple referral pathways, strong staff knowledge and relationships with the local service system and a ‘no wrong door’ approach that aim to meet the needs of young people</w:t>
            </w:r>
            <w:r w:rsidR="000A5D3D">
              <w:t>,</w:t>
            </w:r>
            <w:r w:rsidRPr="00B253C4">
              <w:t xml:space="preserve"> were also highlighted.</w:t>
            </w:r>
          </w:p>
          <w:p w14:paraId="3F0DB08C" w14:textId="1AB15A64" w:rsidR="00855EB0" w:rsidRPr="00B253C4" w:rsidRDefault="00855EB0" w:rsidP="00B24480">
            <w:pPr>
              <w:pStyle w:val="TableBullet1"/>
            </w:pPr>
            <w:r w:rsidRPr="00B253C4">
              <w:t xml:space="preserve">The role of </w:t>
            </w:r>
            <w:r w:rsidR="00E2564D">
              <w:t>Y</w:t>
            </w:r>
            <w:r w:rsidRPr="00B253C4">
              <w:t xml:space="preserve">outh </w:t>
            </w:r>
            <w:r w:rsidR="00E2564D">
              <w:t>R</w:t>
            </w:r>
            <w:r w:rsidRPr="00B253C4">
              <w:t xml:space="preserve">eference </w:t>
            </w:r>
            <w:r w:rsidR="00E2564D">
              <w:t>G</w:t>
            </w:r>
            <w:r w:rsidRPr="00B253C4">
              <w:t xml:space="preserve">roups in service design was also identified as a key enabler, with services designed by young people for young people and including youth friendly approaches such as ‘walk and talk’ sessions, sessions held outdoors and experiential learning approaches. Similarly, services noted that they try to employ younger staff to help make the </w:t>
            </w:r>
            <w:r w:rsidR="00916489">
              <w:t>service</w:t>
            </w:r>
            <w:r w:rsidR="00916489" w:rsidRPr="00B253C4">
              <w:t xml:space="preserve"> </w:t>
            </w:r>
            <w:r w:rsidRPr="00B253C4">
              <w:t xml:space="preserve">more ‘youth friendly’. </w:t>
            </w:r>
          </w:p>
          <w:p w14:paraId="0B3AC779" w14:textId="20E57B95" w:rsidR="00855EB0" w:rsidRPr="00B253C4" w:rsidRDefault="00855EB0" w:rsidP="00B24480">
            <w:pPr>
              <w:pStyle w:val="TableBullet1"/>
            </w:pPr>
            <w:r w:rsidRPr="00B253C4">
              <w:t xml:space="preserve">Many of the barriers service providers described in response to this question are related to the key enablers, highlighting the ongoing challenges they face with limited referral pathways in some communities, waitlists for tertiary mental health services where young people have more complex or acute needs, and headspace </w:t>
            </w:r>
            <w:r w:rsidR="00916489">
              <w:t>service</w:t>
            </w:r>
            <w:r w:rsidR="00916489" w:rsidRPr="00B253C4">
              <w:t xml:space="preserve"> </w:t>
            </w:r>
            <w:r w:rsidRPr="00B253C4">
              <w:t>waitlists impacting accessibility as well. In regional areas, the distance between towns and the lack of public transport were also raised as barriers to access.</w:t>
            </w:r>
          </w:p>
          <w:p w14:paraId="690333E9" w14:textId="3073B801" w:rsidR="00855EB0" w:rsidRPr="00B253C4" w:rsidRDefault="00855EB0" w:rsidP="00B24480">
            <w:pPr>
              <w:pStyle w:val="TableBullet1"/>
            </w:pPr>
            <w:r w:rsidRPr="00B253C4">
              <w:t xml:space="preserve">Providers felt that their headspace service was less able to support access rates of young people with disability, </w:t>
            </w:r>
            <w:r w:rsidR="003F45B2">
              <w:t>young people</w:t>
            </w:r>
            <w:r w:rsidRPr="00B253C4">
              <w:t xml:space="preserve"> from culturally and linguistically diverse backgrounds and Aboriginal and Torres Strait Islander young people. </w:t>
            </w:r>
          </w:p>
        </w:tc>
      </w:tr>
      <w:tr w:rsidR="00855EB0" w14:paraId="06A92E43"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758F8298" w14:textId="77777777" w:rsidR="00855EB0" w:rsidRDefault="00855EB0" w:rsidP="004510B6">
            <w:pPr>
              <w:rPr>
                <w:rFonts w:cstheme="minorHAnsi"/>
              </w:rPr>
            </w:pPr>
            <w:r>
              <w:rPr>
                <w:rFonts w:cstheme="minorHAnsi"/>
              </w:rPr>
              <w:t>To what extent do young people participate in the design and delivery of headspace, and how does this influence young people and their families experience of headspace?</w:t>
            </w:r>
          </w:p>
        </w:tc>
        <w:tc>
          <w:tcPr>
            <w:tcW w:w="3437" w:type="pct"/>
            <w:tcBorders>
              <w:top w:val="single" w:sz="2" w:space="0" w:color="808080" w:themeColor="background1" w:themeShade="80"/>
              <w:left w:val="nil"/>
              <w:bottom w:val="single" w:sz="2" w:space="0" w:color="808080" w:themeColor="background1" w:themeShade="80"/>
              <w:right w:val="nil"/>
            </w:tcBorders>
          </w:tcPr>
          <w:p w14:paraId="1D920A7D" w14:textId="77777777" w:rsidR="00855EB0" w:rsidRPr="00B253C4" w:rsidRDefault="00855EB0" w:rsidP="00B24480">
            <w:pPr>
              <w:pStyle w:val="TableBullet1"/>
            </w:pPr>
            <w:r w:rsidRPr="00B253C4">
              <w:t>N/A</w:t>
            </w:r>
          </w:p>
        </w:tc>
      </w:tr>
      <w:tr w:rsidR="00855EB0" w14:paraId="51C35AF6"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23607371" w14:textId="77777777" w:rsidR="00855EB0" w:rsidRDefault="00855EB0" w:rsidP="004510B6">
            <w:pPr>
              <w:rPr>
                <w:rFonts w:cstheme="minorHAnsi"/>
              </w:rPr>
            </w:pPr>
            <w:r>
              <w:rPr>
                <w:rFonts w:cstheme="minorHAnsi"/>
              </w:rPr>
              <w:t>How is the establishment of alternative service delivery models assisting headspace to meet its program outcomes?</w:t>
            </w:r>
          </w:p>
        </w:tc>
        <w:tc>
          <w:tcPr>
            <w:tcW w:w="3437" w:type="pct"/>
            <w:tcBorders>
              <w:top w:val="single" w:sz="2" w:space="0" w:color="808080" w:themeColor="background1" w:themeShade="80"/>
              <w:left w:val="nil"/>
              <w:bottom w:val="single" w:sz="2" w:space="0" w:color="808080" w:themeColor="background1" w:themeShade="80"/>
              <w:right w:val="nil"/>
            </w:tcBorders>
          </w:tcPr>
          <w:p w14:paraId="46398B3F" w14:textId="77777777" w:rsidR="00855EB0" w:rsidRPr="00B253C4" w:rsidRDefault="00855EB0" w:rsidP="00B24480">
            <w:pPr>
              <w:pStyle w:val="TableBullet1"/>
            </w:pPr>
            <w:r w:rsidRPr="00B253C4">
              <w:t>Of the six responses received to the headspace service and lead agency survey from satellite or outreach service respondents, there were no discernible differences in responses received to enablers and barriers identified, or how well these services are able to support headspace’s objectives.</w:t>
            </w:r>
          </w:p>
          <w:p w14:paraId="289FB785" w14:textId="5E88FD46" w:rsidR="00855EB0" w:rsidRPr="00B253C4" w:rsidRDefault="00855EB0" w:rsidP="00B24480">
            <w:pPr>
              <w:pStyle w:val="TableBullet1"/>
            </w:pPr>
            <w:r w:rsidRPr="00B253C4">
              <w:t xml:space="preserve">These respondents indicated similar challenges </w:t>
            </w:r>
            <w:r w:rsidR="0097462C">
              <w:t>in</w:t>
            </w:r>
            <w:r w:rsidRPr="00B253C4">
              <w:t xml:space="preserve"> recruiting appropriate staff, managing wait times for young people, and challenges with perceived complexity of presenting need. </w:t>
            </w:r>
          </w:p>
          <w:p w14:paraId="125035AC" w14:textId="1FA97EB4" w:rsidR="00855EB0" w:rsidRPr="00B253C4" w:rsidRDefault="00855EB0" w:rsidP="00B24480">
            <w:pPr>
              <w:pStyle w:val="TableBullet1"/>
            </w:pPr>
            <w:r w:rsidRPr="00B253C4">
              <w:t xml:space="preserve">One satellite </w:t>
            </w:r>
            <w:r w:rsidR="006817F2">
              <w:t>service</w:t>
            </w:r>
            <w:r w:rsidRPr="00B253C4">
              <w:t xml:space="preserve"> respondent indicated that the small funding amount received by headspace satellites meant they were only able to employ a single clinician, and for this service, this contributed to wait times.</w:t>
            </w:r>
          </w:p>
          <w:p w14:paraId="2A27BE7C" w14:textId="088E4F0B" w:rsidR="00855EB0" w:rsidRPr="00B253C4" w:rsidRDefault="00855EB0" w:rsidP="00B24480">
            <w:pPr>
              <w:pStyle w:val="TableBullet1"/>
            </w:pPr>
            <w:r w:rsidRPr="00B253C4">
              <w:t>Deep dive stakeholders linked to satellite services either directly or as a parent centre recognised the value of the work they were undertaking and the contribution headspace, in any form, makes to communities. However, these stakeholders also indicate</w:t>
            </w:r>
            <w:r w:rsidR="0097462C">
              <w:t>d</w:t>
            </w:r>
            <w:r w:rsidRPr="00B253C4">
              <w:t xml:space="preserve"> that the level of need in their local community warranted a </w:t>
            </w:r>
            <w:r w:rsidR="006817F2">
              <w:t>headspace</w:t>
            </w:r>
            <w:r w:rsidRPr="00B253C4">
              <w:t xml:space="preserve"> centre, and that being able to implement the full headspace model would make the most difference for young people locally.</w:t>
            </w:r>
          </w:p>
        </w:tc>
      </w:tr>
    </w:tbl>
    <w:p w14:paraId="622D7842" w14:textId="2B470FDC" w:rsidR="005011A1" w:rsidRPr="001268EC" w:rsidRDefault="005011A1" w:rsidP="001268EC">
      <w:pPr>
        <w:pStyle w:val="Source"/>
      </w:pPr>
      <w:r w:rsidRPr="00055013">
        <w:t>Source: KPMG</w:t>
      </w:r>
      <w:r>
        <w:t xml:space="preserve"> 2022</w:t>
      </w:r>
    </w:p>
    <w:p w14:paraId="6EC8CBEF" w14:textId="6266DA60" w:rsidR="00855EB0" w:rsidRPr="004510B6" w:rsidRDefault="00855EB0" w:rsidP="00B1780F">
      <w:pPr>
        <w:pStyle w:val="AppendixHeading3"/>
      </w:pPr>
      <w:r w:rsidRPr="004510B6">
        <w:t xml:space="preserve">Primary Health Networks </w:t>
      </w:r>
    </w:p>
    <w:p w14:paraId="284475E1" w14:textId="2A72C721" w:rsidR="00855EB0" w:rsidRPr="000350F2" w:rsidRDefault="00855EB0" w:rsidP="00B1780F">
      <w:pPr>
        <w:pStyle w:val="Heading4"/>
      </w:pPr>
      <w:r w:rsidRPr="000350F2">
        <w:t>Evaluation activities and data sources</w:t>
      </w:r>
    </w:p>
    <w:p w14:paraId="11765B79" w14:textId="60383BEB" w:rsidR="008B3D3D" w:rsidRPr="002D40AD" w:rsidRDefault="008B3D3D" w:rsidP="002D40AD">
      <w:pPr>
        <w:pStyle w:val="BodyText"/>
      </w:pPr>
      <w:r>
        <w:t>Qualitative themes are sourced from a mix of data described below.</w:t>
      </w:r>
      <w:r w:rsidR="00693F23">
        <w:t xml:space="preserve"> </w:t>
      </w:r>
      <w:r w:rsidR="00E24C40">
        <w:t>Twenty</w:t>
      </w:r>
      <w:r w:rsidR="00693F23">
        <w:t xml:space="preserve"> PHNs contributed.</w:t>
      </w:r>
    </w:p>
    <w:p w14:paraId="656AFB7F" w14:textId="4644C030" w:rsidR="00855EB0" w:rsidRPr="00E77539" w:rsidRDefault="00855EB0" w:rsidP="00B1780F">
      <w:pPr>
        <w:pStyle w:val="Bullet1stlevel"/>
      </w:pPr>
      <w:r w:rsidRPr="1FE45145">
        <w:t xml:space="preserve">Consultations with ‘deep dive’ locations – detailed consultation with a cross section of </w:t>
      </w:r>
      <w:r w:rsidR="0097462C">
        <w:t>P</w:t>
      </w:r>
      <w:r w:rsidRPr="1FE45145">
        <w:t>HNs nationally</w:t>
      </w:r>
      <w:r w:rsidR="00E24C40">
        <w:t>.</w:t>
      </w:r>
      <w:r w:rsidRPr="1FE45145">
        <w:t xml:space="preserve"> </w:t>
      </w:r>
    </w:p>
    <w:p w14:paraId="175200C1" w14:textId="1F0A7EF1" w:rsidR="00855EB0" w:rsidRPr="004E13A4" w:rsidRDefault="00855EB0" w:rsidP="00855EB0">
      <w:pPr>
        <w:pStyle w:val="Bullet1stlevel"/>
      </w:pPr>
      <w:r w:rsidRPr="1FE45145">
        <w:t xml:space="preserve">Workshops with </w:t>
      </w:r>
      <w:r w:rsidR="0097462C">
        <w:t>P</w:t>
      </w:r>
      <w:r w:rsidRPr="1FE45145">
        <w:t>HN representatives – testing key evaluation questions, as well as whether barriers, enablers and other factors raised by stakeholders within the deep dive site consultations were also experienced by other services.</w:t>
      </w:r>
    </w:p>
    <w:p w14:paraId="5DD99D67" w14:textId="711655D7" w:rsidR="001427E5" w:rsidRDefault="001427E5" w:rsidP="001427E5">
      <w:pPr>
        <w:pStyle w:val="Caption"/>
      </w:pPr>
      <w:bookmarkStart w:id="211" w:name="_Toc108108991"/>
      <w:r>
        <w:t xml:space="preserve">Table </w:t>
      </w:r>
      <w:fldSimple w:instr=" SEQ Table \* ARABIC ">
        <w:r w:rsidR="00CC0438">
          <w:rPr>
            <w:noProof/>
          </w:rPr>
          <w:t>41</w:t>
        </w:r>
      </w:fldSimple>
      <w:r>
        <w:t xml:space="preserve"> Stakeholder engagement themes from Primary Health Networks</w:t>
      </w:r>
      <w:bookmarkEnd w:id="211"/>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keholder engagement themes from Primary Health Networks"/>
        <w:tblDescription w:val="Table has 2 columns summarising themes from stakeholder engagement with Primary Health Networks. Column 1 lists specific evaluation questions and column 2 summarises themes against each evaluation question.&#10;"/>
      </w:tblPr>
      <w:tblGrid>
        <w:gridCol w:w="2836"/>
        <w:gridCol w:w="6236"/>
      </w:tblGrid>
      <w:tr w:rsidR="00855EB0" w14:paraId="7CB058D5" w14:textId="77777777" w:rsidTr="00D93398">
        <w:trPr>
          <w:tblHeader/>
        </w:trPr>
        <w:tc>
          <w:tcPr>
            <w:tcW w:w="1563" w:type="pct"/>
            <w:tcBorders>
              <w:top w:val="nil"/>
              <w:left w:val="nil"/>
              <w:bottom w:val="single" w:sz="4" w:space="0" w:color="00338D" w:themeColor="background2"/>
              <w:right w:val="nil"/>
            </w:tcBorders>
            <w:shd w:val="clear" w:color="auto" w:fill="002060"/>
            <w:hideMark/>
          </w:tcPr>
          <w:p w14:paraId="3FF3BA0A" w14:textId="77777777" w:rsidR="00855EB0" w:rsidRPr="006C1E3A" w:rsidRDefault="00855EB0" w:rsidP="006C1E3A">
            <w:pPr>
              <w:pStyle w:val="Tableheading"/>
            </w:pPr>
            <w:r w:rsidRPr="006C1E3A">
              <w:t>Evaluation Question</w:t>
            </w:r>
          </w:p>
        </w:tc>
        <w:tc>
          <w:tcPr>
            <w:tcW w:w="3437" w:type="pct"/>
            <w:tcBorders>
              <w:top w:val="nil"/>
              <w:left w:val="nil"/>
              <w:bottom w:val="single" w:sz="4" w:space="0" w:color="00338D" w:themeColor="background2"/>
              <w:right w:val="nil"/>
            </w:tcBorders>
            <w:shd w:val="clear" w:color="auto" w:fill="002060"/>
            <w:hideMark/>
          </w:tcPr>
          <w:p w14:paraId="0434E7E1" w14:textId="77777777" w:rsidR="00855EB0" w:rsidRPr="006C1E3A" w:rsidRDefault="00855EB0" w:rsidP="006C1E3A">
            <w:pPr>
              <w:pStyle w:val="Tableheading"/>
            </w:pPr>
            <w:r w:rsidRPr="006C1E3A">
              <w:t>Themes</w:t>
            </w:r>
          </w:p>
        </w:tc>
      </w:tr>
      <w:tr w:rsidR="00855EB0" w14:paraId="3F9EAE68" w14:textId="77777777" w:rsidTr="00D93398">
        <w:tc>
          <w:tcPr>
            <w:tcW w:w="1563" w:type="pct"/>
            <w:tcBorders>
              <w:top w:val="single" w:sz="4" w:space="0" w:color="00338D" w:themeColor="background2"/>
              <w:left w:val="nil"/>
              <w:bottom w:val="single" w:sz="2" w:space="0" w:color="808080" w:themeColor="background1" w:themeShade="80"/>
              <w:right w:val="nil"/>
            </w:tcBorders>
            <w:hideMark/>
          </w:tcPr>
          <w:p w14:paraId="6598534E" w14:textId="46368A97" w:rsidR="00855EB0" w:rsidRPr="0097462C" w:rsidRDefault="00855EB0" w:rsidP="00A33A8D">
            <w:pPr>
              <w:pStyle w:val="Tabletext"/>
              <w:rPr>
                <w:i/>
              </w:rPr>
            </w:pPr>
            <w:r w:rsidRPr="00546252">
              <w:t>How</w:t>
            </w:r>
            <w:r w:rsidRPr="0097462C">
              <w:t xml:space="preserve"> effective is headspace in increasing mental health literacy?</w:t>
            </w:r>
          </w:p>
        </w:tc>
        <w:tc>
          <w:tcPr>
            <w:tcW w:w="3437" w:type="pct"/>
            <w:tcBorders>
              <w:top w:val="single" w:sz="4" w:space="0" w:color="00338D" w:themeColor="background2"/>
              <w:left w:val="nil"/>
              <w:bottom w:val="single" w:sz="2" w:space="0" w:color="808080" w:themeColor="background1" w:themeShade="80"/>
              <w:right w:val="nil"/>
            </w:tcBorders>
            <w:hideMark/>
          </w:tcPr>
          <w:p w14:paraId="1FC0B9A5" w14:textId="77777777" w:rsidR="00855EB0" w:rsidRPr="00B253C4" w:rsidRDefault="00855EB0" w:rsidP="002D6F7B">
            <w:pPr>
              <w:pStyle w:val="TableBullet1"/>
            </w:pPr>
            <w:r w:rsidRPr="00B253C4">
              <w:t>N/A</w:t>
            </w:r>
          </w:p>
        </w:tc>
      </w:tr>
      <w:tr w:rsidR="00855EB0" w14:paraId="750D2021" w14:textId="77777777" w:rsidTr="00D93398">
        <w:tc>
          <w:tcPr>
            <w:tcW w:w="1563" w:type="pct"/>
            <w:tcBorders>
              <w:top w:val="single" w:sz="2" w:space="0" w:color="808080" w:themeColor="background1" w:themeShade="80"/>
              <w:left w:val="nil"/>
              <w:bottom w:val="single" w:sz="2" w:space="0" w:color="808080" w:themeColor="background1" w:themeShade="80"/>
              <w:right w:val="nil"/>
            </w:tcBorders>
            <w:hideMark/>
          </w:tcPr>
          <w:p w14:paraId="45959FDA" w14:textId="77777777" w:rsidR="00855EB0" w:rsidRPr="00CC2258" w:rsidRDefault="00855EB0" w:rsidP="00A33A8D">
            <w:pPr>
              <w:pStyle w:val="Tabletext"/>
              <w:rPr>
                <w:rFonts w:asciiTheme="minorHAnsi" w:hAnsiTheme="minorHAnsi" w:cstheme="minorHAnsi"/>
              </w:rPr>
            </w:pPr>
            <w:r w:rsidRPr="00EF56BF">
              <w:t>How effective is headspace in increasing early help seeking?</w:t>
            </w:r>
          </w:p>
        </w:tc>
        <w:tc>
          <w:tcPr>
            <w:tcW w:w="3437" w:type="pct"/>
            <w:tcBorders>
              <w:top w:val="single" w:sz="2" w:space="0" w:color="808080" w:themeColor="background1" w:themeShade="80"/>
              <w:left w:val="nil"/>
              <w:bottom w:val="single" w:sz="2" w:space="0" w:color="808080" w:themeColor="background1" w:themeShade="80"/>
              <w:right w:val="nil"/>
            </w:tcBorders>
            <w:hideMark/>
          </w:tcPr>
          <w:p w14:paraId="18224065" w14:textId="77777777" w:rsidR="00855EB0" w:rsidRPr="00B253C4" w:rsidRDefault="00855EB0" w:rsidP="002D6F7B">
            <w:pPr>
              <w:pStyle w:val="TableBullet1"/>
            </w:pPr>
            <w:r w:rsidRPr="00B253C4">
              <w:t>N/A</w:t>
            </w:r>
          </w:p>
        </w:tc>
      </w:tr>
      <w:tr w:rsidR="00855EB0" w14:paraId="58D9CD47" w14:textId="77777777" w:rsidTr="00D93398">
        <w:tc>
          <w:tcPr>
            <w:tcW w:w="1563" w:type="pct"/>
            <w:tcBorders>
              <w:top w:val="single" w:sz="2" w:space="0" w:color="808080" w:themeColor="background1" w:themeShade="80"/>
              <w:left w:val="nil"/>
              <w:bottom w:val="single" w:sz="2" w:space="0" w:color="808080" w:themeColor="background1" w:themeShade="80"/>
              <w:right w:val="nil"/>
            </w:tcBorders>
            <w:hideMark/>
          </w:tcPr>
          <w:p w14:paraId="13969018" w14:textId="77777777" w:rsidR="00855EB0" w:rsidRPr="00CC2258" w:rsidRDefault="00855EB0" w:rsidP="00A33A8D">
            <w:pPr>
              <w:pStyle w:val="Tabletext"/>
              <w:rPr>
                <w:rFonts w:cstheme="minorHAnsi"/>
              </w:rPr>
            </w:pPr>
            <w:r>
              <w:rPr>
                <w:rFonts w:cstheme="minorHAnsi"/>
              </w:rPr>
              <w:t>How effective is headspace in increasing access to required services?</w:t>
            </w:r>
          </w:p>
        </w:tc>
        <w:tc>
          <w:tcPr>
            <w:tcW w:w="3437" w:type="pct"/>
            <w:tcBorders>
              <w:top w:val="single" w:sz="2" w:space="0" w:color="808080" w:themeColor="background1" w:themeShade="80"/>
              <w:left w:val="nil"/>
              <w:bottom w:val="single" w:sz="2" w:space="0" w:color="808080" w:themeColor="background1" w:themeShade="80"/>
              <w:right w:val="nil"/>
            </w:tcBorders>
            <w:hideMark/>
          </w:tcPr>
          <w:p w14:paraId="1222B72C" w14:textId="77777777" w:rsidR="00855EB0" w:rsidRPr="00B253C4" w:rsidRDefault="00855EB0" w:rsidP="002D6F7B">
            <w:pPr>
              <w:pStyle w:val="TableBullet1"/>
            </w:pPr>
            <w:r w:rsidRPr="00B253C4">
              <w:t>N/A</w:t>
            </w:r>
          </w:p>
        </w:tc>
      </w:tr>
      <w:tr w:rsidR="00855EB0" w14:paraId="7CDCCE5A"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36A502C5" w14:textId="77777777" w:rsidR="00855EB0" w:rsidRDefault="00855EB0" w:rsidP="00A33A8D">
            <w:pPr>
              <w:pStyle w:val="Tabletext"/>
              <w:rPr>
                <w:rFonts w:cstheme="minorHAnsi"/>
              </w:rPr>
            </w:pPr>
            <w:r>
              <w:rPr>
                <w:rFonts w:cstheme="minorHAnsi"/>
              </w:rPr>
              <w:t xml:space="preserve">How effective is headspace in supporting ‘hard to reach’ groups, including those who are at greater risk and less likely to seek help? </w:t>
            </w:r>
            <w:r>
              <w:t>In increasing access for hard-to-reach groups?</w:t>
            </w:r>
          </w:p>
        </w:tc>
        <w:tc>
          <w:tcPr>
            <w:tcW w:w="3437" w:type="pct"/>
            <w:tcBorders>
              <w:top w:val="single" w:sz="2" w:space="0" w:color="808080" w:themeColor="background1" w:themeShade="80"/>
              <w:left w:val="nil"/>
              <w:bottom w:val="single" w:sz="2" w:space="0" w:color="808080" w:themeColor="background1" w:themeShade="80"/>
              <w:right w:val="nil"/>
            </w:tcBorders>
          </w:tcPr>
          <w:p w14:paraId="73682192" w14:textId="77777777" w:rsidR="00855EB0" w:rsidRPr="00B253C4" w:rsidRDefault="00855EB0" w:rsidP="002D6F7B">
            <w:pPr>
              <w:pStyle w:val="TableBullet1"/>
            </w:pPr>
            <w:r w:rsidRPr="00B253C4">
              <w:t>N/A</w:t>
            </w:r>
          </w:p>
        </w:tc>
      </w:tr>
      <w:tr w:rsidR="00855EB0" w14:paraId="1C4EE197"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3DE55DB0" w14:textId="77777777" w:rsidR="00855EB0" w:rsidRDefault="00855EB0" w:rsidP="00A33A8D">
            <w:pPr>
              <w:pStyle w:val="Tabletext"/>
              <w:rPr>
                <w:rFonts w:cstheme="minorHAnsi"/>
              </w:rPr>
            </w:pPr>
            <w:r>
              <w:rPr>
                <w:rFonts w:cstheme="minorHAnsi"/>
              </w:rPr>
              <w:t>How well does headspace advocate for and promote youth mental health and wellbeing in their communities?</w:t>
            </w:r>
          </w:p>
        </w:tc>
        <w:tc>
          <w:tcPr>
            <w:tcW w:w="3437" w:type="pct"/>
            <w:tcBorders>
              <w:top w:val="single" w:sz="2" w:space="0" w:color="808080" w:themeColor="background1" w:themeShade="80"/>
              <w:left w:val="nil"/>
              <w:bottom w:val="single" w:sz="2" w:space="0" w:color="808080" w:themeColor="background1" w:themeShade="80"/>
              <w:right w:val="nil"/>
            </w:tcBorders>
          </w:tcPr>
          <w:p w14:paraId="234800AE" w14:textId="77777777" w:rsidR="00855EB0" w:rsidRPr="00B253C4" w:rsidRDefault="00855EB0" w:rsidP="002D6F7B">
            <w:pPr>
              <w:pStyle w:val="TableBullet1"/>
            </w:pPr>
            <w:r w:rsidRPr="00B253C4">
              <w:t>N/A</w:t>
            </w:r>
          </w:p>
        </w:tc>
      </w:tr>
      <w:tr w:rsidR="00855EB0" w14:paraId="120515D5"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1931112F" w14:textId="0B9BEF5F" w:rsidR="00855EB0" w:rsidRDefault="00855EB0" w:rsidP="00A33A8D">
            <w:pPr>
              <w:pStyle w:val="Tabletext"/>
              <w:rPr>
                <w:rFonts w:cstheme="minorHAnsi"/>
              </w:rPr>
            </w:pPr>
            <w:r>
              <w:rPr>
                <w:rFonts w:cstheme="minorHAnsi"/>
              </w:rPr>
              <w:t>To what extent has headspace reduced stigma associated with mental illness and help</w:t>
            </w:r>
            <w:r w:rsidR="00BD29DF">
              <w:rPr>
                <w:rFonts w:cstheme="minorHAnsi"/>
              </w:rPr>
              <w:t xml:space="preserve"> </w:t>
            </w:r>
            <w:r>
              <w:rPr>
                <w:rFonts w:cstheme="minorHAnsi"/>
              </w:rPr>
              <w:t>seeking for young people, their families and friends, and the community?</w:t>
            </w:r>
          </w:p>
        </w:tc>
        <w:tc>
          <w:tcPr>
            <w:tcW w:w="3437" w:type="pct"/>
            <w:tcBorders>
              <w:top w:val="single" w:sz="2" w:space="0" w:color="808080" w:themeColor="background1" w:themeShade="80"/>
              <w:left w:val="nil"/>
              <w:bottom w:val="single" w:sz="2" w:space="0" w:color="808080" w:themeColor="background1" w:themeShade="80"/>
              <w:right w:val="nil"/>
            </w:tcBorders>
          </w:tcPr>
          <w:p w14:paraId="0A6CFBD0" w14:textId="77777777" w:rsidR="00855EB0" w:rsidRPr="00B253C4" w:rsidRDefault="00855EB0" w:rsidP="002D6F7B">
            <w:pPr>
              <w:pStyle w:val="TableBullet1"/>
            </w:pPr>
            <w:r w:rsidRPr="00B253C4">
              <w:t>N/A</w:t>
            </w:r>
          </w:p>
        </w:tc>
      </w:tr>
      <w:tr w:rsidR="00855EB0" w14:paraId="4D599749"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682359DA" w14:textId="60FDF0B8" w:rsidR="00855EB0" w:rsidRDefault="00855EB0" w:rsidP="00A33A8D">
            <w:pPr>
              <w:pStyle w:val="Tabletext"/>
              <w:rPr>
                <w:rFonts w:cstheme="minorHAnsi"/>
              </w:rPr>
            </w:pPr>
            <w:r>
              <w:rPr>
                <w:rFonts w:cstheme="minorHAnsi"/>
              </w:rPr>
              <w:t>How effective is headspace in improving pathways to care for young people through service integration and coordination</w:t>
            </w:r>
            <w:r w:rsidR="001F7378">
              <w:rPr>
                <w:rFonts w:cstheme="minorHAnsi"/>
              </w:rPr>
              <w:t>?</w:t>
            </w:r>
          </w:p>
        </w:tc>
        <w:tc>
          <w:tcPr>
            <w:tcW w:w="3437" w:type="pct"/>
            <w:tcBorders>
              <w:top w:val="single" w:sz="2" w:space="0" w:color="808080" w:themeColor="background1" w:themeShade="80"/>
              <w:left w:val="nil"/>
              <w:bottom w:val="single" w:sz="2" w:space="0" w:color="808080" w:themeColor="background1" w:themeShade="80"/>
              <w:right w:val="nil"/>
            </w:tcBorders>
          </w:tcPr>
          <w:p w14:paraId="2F3AF95B" w14:textId="450AEC31" w:rsidR="00855EB0" w:rsidRPr="00B253C4" w:rsidRDefault="00855EB0" w:rsidP="002D6F7B">
            <w:pPr>
              <w:pStyle w:val="TableBullet1"/>
            </w:pPr>
            <w:r w:rsidRPr="00B253C4">
              <w:t>PHN representatives attending an evaluation data collection workshop were asked to rate how well-established headspace service pathways are with primary care and mental health services, on a five-point scale from ‘not established’ to ‘well established’. Pathways with GPs were rated in the middle between not established and well established (3 out of 5). Pathways with state and territory mental health programs, such as CAMHS</w:t>
            </w:r>
            <w:r w:rsidR="00A42D9D">
              <w:t>s</w:t>
            </w:r>
            <w:r w:rsidRPr="00B253C4">
              <w:t xml:space="preserve"> and CYMHS</w:t>
            </w:r>
            <w:r w:rsidR="00A42D9D">
              <w:t>s</w:t>
            </w:r>
            <w:r w:rsidR="00000764">
              <w:t>,</w:t>
            </w:r>
            <w:r w:rsidRPr="00B253C4">
              <w:t xml:space="preserve"> were rated closer to not established than well established (2.8 out of 5). Pathways with other mental health services were rated closer to well established than not established (3.3 out of 5).</w:t>
            </w:r>
            <w:r w:rsidRPr="00554CC1">
              <w:t xml:space="preserve"> </w:t>
            </w:r>
          </w:p>
          <w:p w14:paraId="047CE6E3" w14:textId="77777777" w:rsidR="00855EB0" w:rsidRDefault="00855EB0" w:rsidP="00B24480">
            <w:pPr>
              <w:pStyle w:val="TableBullet1"/>
            </w:pPr>
            <w:r w:rsidRPr="00111B43">
              <w:t>PHNs outlined two key enablers for headspace services in support of service integration and care coordination – formal agreements with services and relationship building. Most PHNs indicated headspace effectively supports where there are strong Memoranda of Understanding or Service Level Agreements with external organisations, to make clear agreed protocols and roles and responsibilities in place between services. Similarly, relationships were a key enabler identified by most PHNs to support pathways to care and service integration, especially in regional and remote locations where there are fewer services available to support young people.</w:t>
            </w:r>
          </w:p>
          <w:p w14:paraId="46B2493D" w14:textId="180022DB" w:rsidR="00855EB0" w:rsidRDefault="00855EB0" w:rsidP="002D6F7B">
            <w:pPr>
              <w:pStyle w:val="TableBullet1"/>
            </w:pPr>
            <w:r w:rsidRPr="00111B43">
              <w:t xml:space="preserve">PHNs also identified a range of challenges which impact on the ability of headspace services to support integration and care coordination in improving pathways to care, and which are often outside the control of headspace services. These include: </w:t>
            </w:r>
            <w:r w:rsidR="001C497C">
              <w:t>r</w:t>
            </w:r>
            <w:r w:rsidRPr="00111B43">
              <w:t>elationships between headspace services and tertiary mental health services, such as CAMHS</w:t>
            </w:r>
            <w:r w:rsidR="00A43E3D">
              <w:t>s</w:t>
            </w:r>
            <w:r w:rsidRPr="00111B43">
              <w:t xml:space="preserve">, </w:t>
            </w:r>
            <w:r w:rsidR="00CE3B79">
              <w:t>are</w:t>
            </w:r>
            <w:r w:rsidR="00CE3B79" w:rsidRPr="00111B43">
              <w:t xml:space="preserve"> </w:t>
            </w:r>
            <w:r w:rsidRPr="00111B43">
              <w:t>impacted by limited capacity within tertiary services to engage in these activities with significant clinical work and wait lists. The capacity of other services impacts service integration, even where strong relationships exist, as young people may not be able to access the service at all, preventing integration and care coordination from occurring. Limited infrastructure to support shared records between services reduc</w:t>
            </w:r>
            <w:r w:rsidR="008C015A">
              <w:t>e</w:t>
            </w:r>
            <w:r w:rsidRPr="00111B43">
              <w:t xml:space="preserve"> the level of care coordination a young person may receive. Inconsistent eligibility criteria across other services and significant gaps in where eligibility criteria for tiers of the service system end, especially with tertiary mental health services, impact when referrals can be made from different headspace services.</w:t>
            </w:r>
          </w:p>
          <w:p w14:paraId="40B07A88" w14:textId="5845E16E" w:rsidR="00855EB0" w:rsidRPr="00B253C4" w:rsidRDefault="00855EB0" w:rsidP="00B24480">
            <w:pPr>
              <w:pStyle w:val="TableBullet1"/>
            </w:pPr>
            <w:r w:rsidRPr="00DA6D96">
              <w:t>PHNs also highlighted the challenge for headspace services in managing care coordination and service integration activities, within existing funding limits, and with workforce challenges within services. These activities meant staff are taken away from clinical supports. Particular challenges were described in engaging with local GP services. Wait times have impacted on the relationships held with GPs at some headspace services, and difficulties working with some GPs impact the level of horizontal integration with physical and sexual health services over and above the small volume of physical health services provided within services.</w:t>
            </w:r>
          </w:p>
        </w:tc>
      </w:tr>
      <w:tr w:rsidR="00855EB0" w14:paraId="4A1CCB37"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010DAA3C" w14:textId="77777777" w:rsidR="00855EB0" w:rsidRDefault="00855EB0" w:rsidP="00A33A8D">
            <w:pPr>
              <w:pStyle w:val="Tabletext"/>
              <w:rPr>
                <w:rFonts w:cstheme="minorHAnsi"/>
              </w:rPr>
            </w:pPr>
            <w:r>
              <w:rPr>
                <w:rFonts w:cstheme="minorHAnsi"/>
              </w:rPr>
              <w:t>To what extent is headspace providing localised service offering, and what are the barriers and enablers of this?</w:t>
            </w:r>
          </w:p>
        </w:tc>
        <w:tc>
          <w:tcPr>
            <w:tcW w:w="3437" w:type="pct"/>
            <w:tcBorders>
              <w:top w:val="single" w:sz="2" w:space="0" w:color="808080" w:themeColor="background1" w:themeShade="80"/>
              <w:left w:val="nil"/>
              <w:bottom w:val="single" w:sz="2" w:space="0" w:color="808080" w:themeColor="background1" w:themeShade="80"/>
              <w:right w:val="nil"/>
            </w:tcBorders>
          </w:tcPr>
          <w:p w14:paraId="044863B1" w14:textId="02ED8774" w:rsidR="00855EB0" w:rsidRPr="00B253C4" w:rsidRDefault="00855EB0" w:rsidP="00B24480">
            <w:pPr>
              <w:pStyle w:val="TableBullet1"/>
            </w:pPr>
            <w:r w:rsidRPr="00B253C4">
              <w:t xml:space="preserve">PHNs and deep dive representatives identified the consortium model and use of Youth Reference Groups were key to localising service offerings. Consortium members operating in local communities have deep insight into challenges faced by young people, and what services may be required to support these. </w:t>
            </w:r>
          </w:p>
          <w:p w14:paraId="68253100" w14:textId="3785776A" w:rsidR="00855EB0" w:rsidRPr="00B253C4" w:rsidRDefault="00855EB0" w:rsidP="00B24480">
            <w:pPr>
              <w:pStyle w:val="TableBullet1"/>
            </w:pPr>
            <w:r w:rsidRPr="00B253C4">
              <w:t xml:space="preserve">Some PHNs indicated that the commissioning process for services allows consideration of local need to be built into </w:t>
            </w:r>
            <w:r w:rsidR="008C015A">
              <w:t>l</w:t>
            </w:r>
            <w:r w:rsidRPr="00B253C4">
              <w:t xml:space="preserve">ead </w:t>
            </w:r>
            <w:r w:rsidR="008C015A">
              <w:t>a</w:t>
            </w:r>
            <w:r w:rsidRPr="00B253C4">
              <w:t xml:space="preserve">gency selection, with specific local considerations part of the selection process. This view was not shared by all PHNs. </w:t>
            </w:r>
          </w:p>
          <w:p w14:paraId="75D5BF12" w14:textId="77777777" w:rsidR="00855EB0" w:rsidRPr="00B253C4" w:rsidRDefault="00855EB0" w:rsidP="00B24480">
            <w:pPr>
              <w:pStyle w:val="TableBullet1"/>
            </w:pPr>
            <w:r w:rsidRPr="00B253C4">
              <w:t>A small number of PHNs indicated that issues recruiting specific workers has resulted in some services focusing on employing any available workers, with less focus on the types of staff required to meet local need. Competition with other providers for workforce reduces local collaboration.</w:t>
            </w:r>
          </w:p>
          <w:p w14:paraId="24100FF9" w14:textId="77777777" w:rsidR="00855EB0" w:rsidRPr="00B253C4" w:rsidRDefault="00855EB0" w:rsidP="00B24480">
            <w:pPr>
              <w:pStyle w:val="TableBullet1"/>
            </w:pPr>
            <w:r w:rsidRPr="00B253C4">
              <w:t>Some PHNs also indicated challenges as the local commissioning agency for headspace services in tailoring services to the needs of the local community, while ensuring services still meet the requirements of the headspace model integrity framework.</w:t>
            </w:r>
          </w:p>
          <w:p w14:paraId="174195CE" w14:textId="786AFB20" w:rsidR="00855EB0" w:rsidRPr="00B253C4" w:rsidRDefault="00855EB0" w:rsidP="00B24480">
            <w:pPr>
              <w:pStyle w:val="TableBullet1"/>
            </w:pPr>
            <w:r w:rsidRPr="00B253C4">
              <w:t xml:space="preserve">These PHNs also indicated that there is no flexibility to use funding provided for a headspace </w:t>
            </w:r>
            <w:r w:rsidR="0050072E">
              <w:t>service</w:t>
            </w:r>
            <w:r w:rsidRPr="00B253C4">
              <w:t xml:space="preserve"> to design localised services which directly address the specific needs of the community. While some tailoring is afforded through headspace </w:t>
            </w:r>
            <w:r w:rsidR="0050072E">
              <w:t>service</w:t>
            </w:r>
            <w:r w:rsidRPr="00B253C4">
              <w:t>s, this does not allow the PHN to commission a tailored service targeted at local need.</w:t>
            </w:r>
          </w:p>
        </w:tc>
      </w:tr>
      <w:tr w:rsidR="00855EB0" w14:paraId="5BDB2CD8"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4DACCC7B" w14:textId="77777777" w:rsidR="00855EB0" w:rsidRDefault="00855EB0" w:rsidP="00A33A8D">
            <w:pPr>
              <w:pStyle w:val="Tabletext"/>
              <w:rPr>
                <w:rFonts w:cstheme="minorHAnsi"/>
              </w:rPr>
            </w:pPr>
            <w:r>
              <w:rPr>
                <w:rFonts w:cstheme="minorHAnsi"/>
              </w:rPr>
              <w:t>What other contributions does headspace make to local communities?</w:t>
            </w:r>
          </w:p>
        </w:tc>
        <w:tc>
          <w:tcPr>
            <w:tcW w:w="3437" w:type="pct"/>
            <w:tcBorders>
              <w:top w:val="single" w:sz="2" w:space="0" w:color="808080" w:themeColor="background1" w:themeShade="80"/>
              <w:left w:val="nil"/>
              <w:bottom w:val="single" w:sz="2" w:space="0" w:color="808080" w:themeColor="background1" w:themeShade="80"/>
              <w:right w:val="nil"/>
            </w:tcBorders>
          </w:tcPr>
          <w:p w14:paraId="792D59CE" w14:textId="77777777" w:rsidR="00855EB0" w:rsidRPr="00B253C4" w:rsidRDefault="00855EB0" w:rsidP="00B24480">
            <w:pPr>
              <w:pStyle w:val="TableBullet1"/>
            </w:pPr>
            <w:r w:rsidRPr="00B253C4">
              <w:t>N/A</w:t>
            </w:r>
          </w:p>
        </w:tc>
      </w:tr>
      <w:tr w:rsidR="00855EB0" w14:paraId="4D7574A5"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025441CD" w14:textId="77777777" w:rsidR="00855EB0" w:rsidRDefault="00855EB0" w:rsidP="00A33A8D">
            <w:pPr>
              <w:pStyle w:val="Tabletext"/>
              <w:rPr>
                <w:rFonts w:cstheme="minorHAnsi"/>
              </w:rPr>
            </w:pPr>
            <w:r>
              <w:rPr>
                <w:rFonts w:cstheme="minorHAnsi"/>
              </w:rPr>
              <w:t>To what extent does a ‘no-wrong-door’ approach assist headspace to meet its objectives?</w:t>
            </w:r>
          </w:p>
        </w:tc>
        <w:tc>
          <w:tcPr>
            <w:tcW w:w="3437" w:type="pct"/>
            <w:tcBorders>
              <w:top w:val="single" w:sz="2" w:space="0" w:color="808080" w:themeColor="background1" w:themeShade="80"/>
              <w:left w:val="nil"/>
              <w:bottom w:val="single" w:sz="2" w:space="0" w:color="808080" w:themeColor="background1" w:themeShade="80"/>
              <w:right w:val="nil"/>
            </w:tcBorders>
          </w:tcPr>
          <w:p w14:paraId="70036638" w14:textId="5FD6EFDA" w:rsidR="00855EB0" w:rsidRPr="00B253C4" w:rsidRDefault="00855EB0" w:rsidP="00B24480">
            <w:pPr>
              <w:pStyle w:val="TableBullet1"/>
            </w:pPr>
            <w:r w:rsidRPr="00B253C4">
              <w:t xml:space="preserve">There were consistent views from PHNs that there is significant demand placed on services by the ‘no wrong door’ approach. While this is largely regarded as essential to ensure young people presenting with high risk, distress, need or acuity are not turned away without assistance, the </w:t>
            </w:r>
            <w:r w:rsidR="001D3F9D">
              <w:t>value</w:t>
            </w:r>
            <w:r w:rsidRPr="00B253C4">
              <w:t xml:space="preserve"> of this element of the model is particularly high where tertiary mental health services are unable to meet demand for higher needs young people.</w:t>
            </w:r>
            <w:r w:rsidR="00A778E6" w:rsidRPr="00B253C4" w:rsidDel="00A778E6">
              <w:t xml:space="preserve"> </w:t>
            </w:r>
          </w:p>
        </w:tc>
      </w:tr>
      <w:tr w:rsidR="00855EB0" w14:paraId="12B10588"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2E08B2FD" w14:textId="77777777" w:rsidR="00855EB0" w:rsidRDefault="00855EB0" w:rsidP="00A33A8D">
            <w:pPr>
              <w:pStyle w:val="Tabletext"/>
              <w:rPr>
                <w:rFonts w:cstheme="minorHAnsi"/>
              </w:rPr>
            </w:pPr>
            <w:r>
              <w:rPr>
                <w:rFonts w:cstheme="minorHAnsi"/>
              </w:rPr>
              <w:t>What is the level of support for headspace from other primary care and mental health service providers?</w:t>
            </w:r>
          </w:p>
        </w:tc>
        <w:tc>
          <w:tcPr>
            <w:tcW w:w="3437" w:type="pct"/>
            <w:tcBorders>
              <w:top w:val="single" w:sz="2" w:space="0" w:color="808080" w:themeColor="background1" w:themeShade="80"/>
              <w:left w:val="nil"/>
              <w:bottom w:val="single" w:sz="2" w:space="0" w:color="808080" w:themeColor="background1" w:themeShade="80"/>
              <w:right w:val="nil"/>
            </w:tcBorders>
          </w:tcPr>
          <w:p w14:paraId="5EF907E7" w14:textId="5385DA98" w:rsidR="00855EB0" w:rsidRPr="00B253C4" w:rsidRDefault="00855EB0" w:rsidP="00B24480">
            <w:pPr>
              <w:pStyle w:val="TableBullet1"/>
            </w:pPr>
            <w:r w:rsidRPr="00B253C4">
              <w:t>Some PHNs acknowledged challenges for local headspace services to engage with</w:t>
            </w:r>
            <w:r w:rsidR="008C015A">
              <w:t>,</w:t>
            </w:r>
            <w:r w:rsidRPr="00B253C4">
              <w:t xml:space="preserve"> and receive support from</w:t>
            </w:r>
            <w:r w:rsidR="008C015A">
              <w:t>,</w:t>
            </w:r>
            <w:r w:rsidRPr="00B253C4">
              <w:t xml:space="preserve"> local GPs. </w:t>
            </w:r>
          </w:p>
        </w:tc>
      </w:tr>
      <w:tr w:rsidR="00855EB0" w14:paraId="55B770E4"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2C2DF95D" w14:textId="77777777" w:rsidR="00855EB0" w:rsidRDefault="00855EB0" w:rsidP="00A33A8D">
            <w:pPr>
              <w:pStyle w:val="Tabletext"/>
              <w:rPr>
                <w:rFonts w:cstheme="minorHAnsi"/>
              </w:rPr>
            </w:pPr>
            <w:r>
              <w:rPr>
                <w:rFonts w:cstheme="minorHAnsi"/>
              </w:rPr>
              <w:t>To what extent does headspace provide culturally appropriate and inclusive service for young people and their friends and families, including for vulnerable and diverse population groups and different age groups?</w:t>
            </w:r>
          </w:p>
        </w:tc>
        <w:tc>
          <w:tcPr>
            <w:tcW w:w="3437" w:type="pct"/>
            <w:tcBorders>
              <w:top w:val="single" w:sz="2" w:space="0" w:color="808080" w:themeColor="background1" w:themeShade="80"/>
              <w:left w:val="nil"/>
              <w:bottom w:val="single" w:sz="2" w:space="0" w:color="808080" w:themeColor="background1" w:themeShade="80"/>
              <w:right w:val="nil"/>
            </w:tcBorders>
          </w:tcPr>
          <w:p w14:paraId="7AC43F25" w14:textId="77777777" w:rsidR="00855EB0" w:rsidRPr="00B253C4" w:rsidRDefault="00855EB0" w:rsidP="002D6F7B">
            <w:pPr>
              <w:pStyle w:val="TableBullet1"/>
            </w:pPr>
            <w:r w:rsidRPr="00B253C4">
              <w:t>N/A</w:t>
            </w:r>
          </w:p>
        </w:tc>
      </w:tr>
      <w:tr w:rsidR="00855EB0" w14:paraId="51DF93AD"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7972BDCE" w14:textId="77777777" w:rsidR="00855EB0" w:rsidRDefault="00855EB0" w:rsidP="00A33A8D">
            <w:pPr>
              <w:pStyle w:val="Tabletext"/>
              <w:rPr>
                <w:rFonts w:cstheme="minorHAnsi"/>
              </w:rPr>
            </w:pPr>
            <w:r>
              <w:rPr>
                <w:rFonts w:cstheme="minorHAnsi"/>
              </w:rPr>
              <w:t>To what extent does headspace enable young people and their families to access support where, when and how they want it, and what are the barriers and enablers to this?</w:t>
            </w:r>
          </w:p>
        </w:tc>
        <w:tc>
          <w:tcPr>
            <w:tcW w:w="3437" w:type="pct"/>
            <w:tcBorders>
              <w:top w:val="single" w:sz="2" w:space="0" w:color="808080" w:themeColor="background1" w:themeShade="80"/>
              <w:left w:val="nil"/>
              <w:bottom w:val="single" w:sz="2" w:space="0" w:color="808080" w:themeColor="background1" w:themeShade="80"/>
              <w:right w:val="nil"/>
            </w:tcBorders>
          </w:tcPr>
          <w:p w14:paraId="41E88604" w14:textId="77777777" w:rsidR="00855EB0" w:rsidRPr="00B253C4" w:rsidRDefault="00855EB0" w:rsidP="00E90971">
            <w:pPr>
              <w:pStyle w:val="TableBullet1"/>
              <w:numPr>
                <w:ilvl w:val="0"/>
                <w:numId w:val="0"/>
              </w:numPr>
              <w:ind w:left="357"/>
            </w:pPr>
          </w:p>
          <w:p w14:paraId="106A1CCD" w14:textId="77777777" w:rsidR="00855EB0" w:rsidRPr="00B253C4" w:rsidRDefault="00855EB0" w:rsidP="002D6F7B">
            <w:pPr>
              <w:pStyle w:val="TableBullet1"/>
            </w:pPr>
            <w:r w:rsidRPr="00B253C4">
              <w:t>N/A</w:t>
            </w:r>
          </w:p>
        </w:tc>
      </w:tr>
      <w:tr w:rsidR="00855EB0" w14:paraId="038C2FCB"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09313E53" w14:textId="77777777" w:rsidR="00855EB0" w:rsidRDefault="00855EB0" w:rsidP="00A33A8D">
            <w:pPr>
              <w:pStyle w:val="Tabletext"/>
              <w:rPr>
                <w:rFonts w:cstheme="minorHAnsi"/>
              </w:rPr>
            </w:pPr>
            <w:r>
              <w:rPr>
                <w:rFonts w:cstheme="minorHAnsi"/>
              </w:rPr>
              <w:t>To what extent do young people participate in the design and delivery of headspace, and how does this influence young people and their families experience of headspace?</w:t>
            </w:r>
          </w:p>
        </w:tc>
        <w:tc>
          <w:tcPr>
            <w:tcW w:w="3437" w:type="pct"/>
            <w:tcBorders>
              <w:top w:val="single" w:sz="2" w:space="0" w:color="808080" w:themeColor="background1" w:themeShade="80"/>
              <w:left w:val="nil"/>
              <w:bottom w:val="single" w:sz="2" w:space="0" w:color="808080" w:themeColor="background1" w:themeShade="80"/>
              <w:right w:val="nil"/>
            </w:tcBorders>
          </w:tcPr>
          <w:p w14:paraId="4130ADE6" w14:textId="77777777" w:rsidR="00855EB0" w:rsidRPr="00B253C4" w:rsidRDefault="00855EB0" w:rsidP="002D6F7B">
            <w:pPr>
              <w:pStyle w:val="TableBullet1"/>
            </w:pPr>
            <w:r w:rsidRPr="00B253C4">
              <w:t>N/A</w:t>
            </w:r>
          </w:p>
        </w:tc>
      </w:tr>
      <w:tr w:rsidR="00855EB0" w14:paraId="3F2E20B9" w14:textId="77777777" w:rsidTr="00D93398">
        <w:tc>
          <w:tcPr>
            <w:tcW w:w="1563" w:type="pct"/>
            <w:tcBorders>
              <w:top w:val="single" w:sz="2" w:space="0" w:color="808080" w:themeColor="background1" w:themeShade="80"/>
              <w:left w:val="nil"/>
              <w:bottom w:val="single" w:sz="2" w:space="0" w:color="808080" w:themeColor="background1" w:themeShade="80"/>
              <w:right w:val="nil"/>
            </w:tcBorders>
          </w:tcPr>
          <w:p w14:paraId="34122D0E" w14:textId="77777777" w:rsidR="00855EB0" w:rsidRDefault="00855EB0" w:rsidP="00A33A8D">
            <w:pPr>
              <w:pStyle w:val="Tabletext"/>
              <w:rPr>
                <w:rFonts w:cstheme="minorHAnsi"/>
              </w:rPr>
            </w:pPr>
            <w:r>
              <w:rPr>
                <w:rFonts w:cstheme="minorHAnsi"/>
              </w:rPr>
              <w:t>How is the establishment of alternative service delivery models assisting headspace to meet its program outcomes?</w:t>
            </w:r>
          </w:p>
        </w:tc>
        <w:tc>
          <w:tcPr>
            <w:tcW w:w="3437" w:type="pct"/>
            <w:tcBorders>
              <w:top w:val="single" w:sz="2" w:space="0" w:color="808080" w:themeColor="background1" w:themeShade="80"/>
              <w:left w:val="nil"/>
              <w:bottom w:val="single" w:sz="2" w:space="0" w:color="808080" w:themeColor="background1" w:themeShade="80"/>
              <w:right w:val="nil"/>
            </w:tcBorders>
          </w:tcPr>
          <w:p w14:paraId="38572F4E" w14:textId="7E222510" w:rsidR="00855EB0" w:rsidRPr="00B253C4" w:rsidRDefault="00A778E6" w:rsidP="002D6F7B">
            <w:pPr>
              <w:pStyle w:val="TableBullet1"/>
            </w:pPr>
            <w:r>
              <w:t>PHN</w:t>
            </w:r>
            <w:r w:rsidR="00E90971">
              <w:t>s</w:t>
            </w:r>
            <w:r>
              <w:t xml:space="preserve"> reported that there</w:t>
            </w:r>
            <w:r w:rsidR="00855EB0" w:rsidRPr="00B253C4">
              <w:t xml:space="preserve"> are mixed views from across stakeholders involved in delivering or working with headspace services as to the impact of satellite </w:t>
            </w:r>
            <w:r w:rsidR="006817F2">
              <w:t>service</w:t>
            </w:r>
            <w:r w:rsidR="00855EB0" w:rsidRPr="00B253C4">
              <w:t xml:space="preserve">s. There is significant positive regard for headspace services, and communities and stakeholders view any headspace services as a positive addition to achieving core objectives. </w:t>
            </w:r>
          </w:p>
          <w:p w14:paraId="03BE862D" w14:textId="4C0FD34E" w:rsidR="00855EB0" w:rsidRPr="00B253C4" w:rsidRDefault="00855EB0" w:rsidP="002D6F7B">
            <w:pPr>
              <w:pStyle w:val="TableBullet1"/>
            </w:pPr>
            <w:r w:rsidRPr="00B253C4">
              <w:t xml:space="preserve">PHNs as commissioners of services indicated a preference for </w:t>
            </w:r>
            <w:r w:rsidR="006817F2">
              <w:t xml:space="preserve">headspace </w:t>
            </w:r>
            <w:r w:rsidRPr="00B253C4">
              <w:t>centres to better meet the needs of local young people through the holistic headspace model.</w:t>
            </w:r>
          </w:p>
        </w:tc>
      </w:tr>
    </w:tbl>
    <w:p w14:paraId="67AA31C5" w14:textId="788AF37B" w:rsidR="00855EB0" w:rsidRDefault="005011A1" w:rsidP="00B1780F">
      <w:pPr>
        <w:pStyle w:val="Source"/>
      </w:pPr>
      <w:r w:rsidRPr="00055013">
        <w:t>Source: KPMG</w:t>
      </w:r>
      <w:r>
        <w:t xml:space="preserve"> 2022</w:t>
      </w:r>
    </w:p>
    <w:p w14:paraId="616D7527" w14:textId="7EF4DDAE" w:rsidR="00855EB0" w:rsidRPr="004510B6" w:rsidRDefault="00855EB0" w:rsidP="00B1780F">
      <w:pPr>
        <w:pStyle w:val="AppendixHeading3"/>
      </w:pPr>
      <w:r w:rsidRPr="004510B6">
        <w:t>Other Service Providers</w:t>
      </w:r>
      <w:r w:rsidR="007E1F42">
        <w:t xml:space="preserve"> </w:t>
      </w:r>
    </w:p>
    <w:p w14:paraId="3F344763" w14:textId="52D1E06C" w:rsidR="00855EB0" w:rsidRPr="000350F2" w:rsidRDefault="00855EB0" w:rsidP="00B1780F">
      <w:pPr>
        <w:pStyle w:val="Heading4"/>
      </w:pPr>
      <w:r w:rsidRPr="000350F2">
        <w:t>Evaluation activities and data sources</w:t>
      </w:r>
    </w:p>
    <w:p w14:paraId="02D1F43F" w14:textId="333C2BDC" w:rsidR="008B3D3D" w:rsidRPr="002D40AD" w:rsidRDefault="008B3D3D" w:rsidP="002D40AD">
      <w:pPr>
        <w:pStyle w:val="BodyText"/>
      </w:pPr>
      <w:r>
        <w:t>Qualitative themes are sourced from a mix of data described below.</w:t>
      </w:r>
      <w:r w:rsidR="00693F23">
        <w:t xml:space="preserve"> </w:t>
      </w:r>
    </w:p>
    <w:p w14:paraId="53A38239" w14:textId="618DFD61" w:rsidR="00855EB0" w:rsidRDefault="00855EB0" w:rsidP="00EF56BF">
      <w:pPr>
        <w:pStyle w:val="Bullet1stlevel"/>
      </w:pPr>
      <w:r w:rsidRPr="1FE45145">
        <w:t>Consultations with ‘deep dive’ locations – detailed consultation with:</w:t>
      </w:r>
    </w:p>
    <w:p w14:paraId="42C795B4" w14:textId="12E95A9E" w:rsidR="00855EB0" w:rsidRPr="00DE1BFF" w:rsidRDefault="00855EB0" w:rsidP="00EF56BF">
      <w:pPr>
        <w:pStyle w:val="Bullet2ndlevel"/>
      </w:pPr>
      <w:r w:rsidRPr="1FE45145">
        <w:t>Indigenous Organisations</w:t>
      </w:r>
      <w:r w:rsidR="00693F23">
        <w:t xml:space="preserve"> (</w:t>
      </w:r>
      <w:r w:rsidR="00574572">
        <w:t>six</w:t>
      </w:r>
      <w:r w:rsidR="003E620E">
        <w:t xml:space="preserve"> contributed</w:t>
      </w:r>
      <w:r w:rsidR="00693F23">
        <w:t>)</w:t>
      </w:r>
    </w:p>
    <w:p w14:paraId="7DC701CA" w14:textId="19503F56" w:rsidR="00855EB0" w:rsidRDefault="00855EB0" w:rsidP="005874D4">
      <w:pPr>
        <w:pStyle w:val="Bullet2ndlevel"/>
      </w:pPr>
      <w:r w:rsidRPr="1FE45145">
        <w:t>Tertiary Mental Health Services</w:t>
      </w:r>
      <w:r w:rsidR="00693F23">
        <w:t xml:space="preserve"> (14</w:t>
      </w:r>
      <w:r w:rsidR="003E620E">
        <w:t xml:space="preserve"> contributed</w:t>
      </w:r>
      <w:r w:rsidR="00693F23">
        <w:t>)</w:t>
      </w:r>
    </w:p>
    <w:p w14:paraId="569C95B2" w14:textId="1D46235C" w:rsidR="00855EB0" w:rsidRDefault="00855EB0" w:rsidP="00370CE4">
      <w:pPr>
        <w:pStyle w:val="Bullet2ndlevel"/>
      </w:pPr>
      <w:r w:rsidRPr="1FE45145">
        <w:t>General Practitioners</w:t>
      </w:r>
      <w:r w:rsidR="00693F23">
        <w:t xml:space="preserve"> (</w:t>
      </w:r>
      <w:r w:rsidR="00574572">
        <w:t>five</w:t>
      </w:r>
      <w:r w:rsidR="003E620E">
        <w:t xml:space="preserve"> contributed)</w:t>
      </w:r>
    </w:p>
    <w:p w14:paraId="5027BC7B" w14:textId="7ABF4441" w:rsidR="00855EB0" w:rsidRDefault="00855EB0" w:rsidP="0036321C">
      <w:pPr>
        <w:pStyle w:val="Bullet2ndlevel"/>
      </w:pPr>
      <w:r w:rsidRPr="1FE45145">
        <w:t>Secondary School and University Counsellors</w:t>
      </w:r>
      <w:r w:rsidR="00574572">
        <w:t>.</w:t>
      </w:r>
    </w:p>
    <w:p w14:paraId="1F76AD54" w14:textId="4C30EA76" w:rsidR="00855EB0" w:rsidRDefault="00855EB0" w:rsidP="00B401E2">
      <w:pPr>
        <w:pStyle w:val="Bullet1stlevel"/>
        <w:numPr>
          <w:ilvl w:val="0"/>
          <w:numId w:val="0"/>
        </w:numPr>
      </w:pPr>
    </w:p>
    <w:p w14:paraId="0FD7DD0A" w14:textId="68635917" w:rsidR="001427E5" w:rsidRDefault="001427E5" w:rsidP="001427E5">
      <w:pPr>
        <w:pStyle w:val="Caption"/>
      </w:pPr>
      <w:bookmarkStart w:id="212" w:name="_Toc108108992"/>
      <w:r>
        <w:t xml:space="preserve">Table </w:t>
      </w:r>
      <w:fldSimple w:instr=" SEQ Table \* ARABIC ">
        <w:r w:rsidR="00CC0438">
          <w:rPr>
            <w:noProof/>
          </w:rPr>
          <w:t>42</w:t>
        </w:r>
      </w:fldSimple>
      <w:r>
        <w:t xml:space="preserve"> Stakeholder engagement themes from other service providers</w:t>
      </w:r>
      <w:bookmarkEnd w:id="212"/>
    </w:p>
    <w:tbl>
      <w:tblPr>
        <w:tblStyle w:val="TableGrid"/>
        <w:tblW w:w="5085" w:type="pct"/>
        <w:tblInd w:w="-5" w:type="dxa"/>
        <w:tblLook w:val="04A0" w:firstRow="1" w:lastRow="0" w:firstColumn="1" w:lastColumn="0" w:noHBand="0" w:noVBand="1"/>
        <w:tblCaption w:val="Stakeholder engagement themes from other service providers"/>
        <w:tblDescription w:val="Table 43 has 2 columns summarising themes from stakeholder engagement with other service providers. Column 1 lists specific evaluation questions and column 2 summarises themes against each evaluation question."/>
      </w:tblPr>
      <w:tblGrid>
        <w:gridCol w:w="2836"/>
        <w:gridCol w:w="6378"/>
      </w:tblGrid>
      <w:tr w:rsidR="00CD4B60" w:rsidRPr="00B401E2" w14:paraId="0DA48556" w14:textId="77777777" w:rsidTr="00DA27BD">
        <w:trPr>
          <w:tblHeader/>
        </w:trPr>
        <w:tc>
          <w:tcPr>
            <w:tcW w:w="1539" w:type="pct"/>
            <w:shd w:val="clear" w:color="auto" w:fill="00338D" w:themeFill="background2"/>
            <w:hideMark/>
          </w:tcPr>
          <w:p w14:paraId="26E41F8C" w14:textId="77777777" w:rsidR="00855EB0" w:rsidRPr="004510B6" w:rsidRDefault="00855EB0" w:rsidP="001A4FD1">
            <w:pPr>
              <w:pStyle w:val="Tableheading"/>
              <w:rPr>
                <w:rFonts w:cstheme="minorHAnsi"/>
              </w:rPr>
            </w:pPr>
            <w:r w:rsidRPr="004510B6">
              <w:rPr>
                <w:rFonts w:cstheme="minorHAnsi"/>
              </w:rPr>
              <w:t>Evaluation Question</w:t>
            </w:r>
          </w:p>
        </w:tc>
        <w:tc>
          <w:tcPr>
            <w:tcW w:w="3461" w:type="pct"/>
            <w:shd w:val="clear" w:color="auto" w:fill="00338D" w:themeFill="background2"/>
            <w:hideMark/>
          </w:tcPr>
          <w:p w14:paraId="189B01E6" w14:textId="77777777" w:rsidR="00855EB0" w:rsidRPr="004510B6" w:rsidRDefault="00855EB0" w:rsidP="001A4FD1">
            <w:pPr>
              <w:pStyle w:val="Tableheading"/>
              <w:ind w:right="-3961"/>
              <w:rPr>
                <w:rFonts w:cstheme="minorHAnsi"/>
              </w:rPr>
            </w:pPr>
            <w:r w:rsidRPr="004510B6">
              <w:rPr>
                <w:rFonts w:cstheme="minorHAnsi"/>
              </w:rPr>
              <w:t>Themes</w:t>
            </w:r>
          </w:p>
        </w:tc>
      </w:tr>
      <w:tr w:rsidR="00A46F9C" w:rsidRPr="00B401E2" w14:paraId="6FF41BAB"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7B9BF13B" w14:textId="77777777" w:rsidR="00855EB0" w:rsidRPr="00B401E2" w:rsidRDefault="00855EB0" w:rsidP="00A33A8D">
            <w:pPr>
              <w:pStyle w:val="Tabletext"/>
              <w:rPr>
                <w:i/>
              </w:rPr>
            </w:pPr>
            <w:r w:rsidRPr="00B401E2">
              <w:t>How ef</w:t>
            </w:r>
            <w:r w:rsidRPr="005011A1">
              <w:t>fective is headspace in increasin</w:t>
            </w:r>
            <w:r w:rsidRPr="00BE2E12">
              <w:t>g mental health l</w:t>
            </w:r>
            <w:r w:rsidRPr="005011A1">
              <w:t>iteracy?</w:t>
            </w:r>
          </w:p>
        </w:tc>
        <w:tc>
          <w:tcPr>
            <w:tcW w:w="3461" w:type="pct"/>
            <w:tcBorders>
              <w:top w:val="single" w:sz="2" w:space="0" w:color="808080" w:themeColor="background1" w:themeShade="80"/>
              <w:left w:val="nil"/>
              <w:bottom w:val="single" w:sz="2" w:space="0" w:color="808080" w:themeColor="background1" w:themeShade="80"/>
              <w:right w:val="nil"/>
            </w:tcBorders>
          </w:tcPr>
          <w:p w14:paraId="28825F18" w14:textId="2CB06A6F" w:rsidR="00855EB0" w:rsidRPr="00DA27BD" w:rsidRDefault="000C2C30" w:rsidP="00DA27BD">
            <w:pPr>
              <w:pStyle w:val="TableBullet1"/>
            </w:pPr>
            <w:r w:rsidRPr="00DA27BD">
              <w:t>There was g</w:t>
            </w:r>
            <w:r w:rsidR="00855EB0" w:rsidRPr="00DA27BD">
              <w:t xml:space="preserve">eneral recognition </w:t>
            </w:r>
            <w:r w:rsidR="00A37926" w:rsidRPr="00DA27BD">
              <w:t xml:space="preserve">from service providers </w:t>
            </w:r>
            <w:r w:rsidR="00855EB0" w:rsidRPr="00DA27BD">
              <w:t xml:space="preserve">that mental health literacy </w:t>
            </w:r>
            <w:r w:rsidR="00071820" w:rsidRPr="00DA27BD">
              <w:t xml:space="preserve">has improved over time </w:t>
            </w:r>
            <w:r w:rsidR="00A37926" w:rsidRPr="00DA27BD">
              <w:t>and that</w:t>
            </w:r>
            <w:r w:rsidR="00855EB0" w:rsidRPr="00DA27BD">
              <w:t xml:space="preserve"> </w:t>
            </w:r>
            <w:r w:rsidR="00071820" w:rsidRPr="00DA27BD">
              <w:t>the</w:t>
            </w:r>
            <w:r w:rsidR="00855EB0" w:rsidRPr="00DA27BD" w:rsidDel="00071820">
              <w:t xml:space="preserve"> </w:t>
            </w:r>
            <w:r w:rsidR="00855EB0" w:rsidRPr="00DA27BD">
              <w:t xml:space="preserve">stigma </w:t>
            </w:r>
            <w:r w:rsidR="00071820" w:rsidRPr="00DA27BD">
              <w:t>associated with mental health</w:t>
            </w:r>
            <w:r w:rsidR="00855EB0" w:rsidRPr="00DA27BD">
              <w:t xml:space="preserve"> </w:t>
            </w:r>
            <w:r w:rsidR="00071820" w:rsidRPr="00DA27BD">
              <w:t>has</w:t>
            </w:r>
            <w:r w:rsidR="00855EB0" w:rsidRPr="00DA27BD">
              <w:t xml:space="preserve"> reduced</w:t>
            </w:r>
            <w:r w:rsidR="00B0103C" w:rsidRPr="00DA27BD">
              <w:t>. They also agreed that encouragement to seek help early</w:t>
            </w:r>
            <w:r w:rsidR="00071820" w:rsidRPr="00DA27BD">
              <w:t xml:space="preserve"> has also increased</w:t>
            </w:r>
            <w:r w:rsidR="00B0103C" w:rsidRPr="00DA27BD">
              <w:t>.</w:t>
            </w:r>
            <w:r w:rsidR="00855EB0" w:rsidRPr="00DA27BD">
              <w:t xml:space="preserve"> Th</w:t>
            </w:r>
            <w:r w:rsidR="001F6DF9" w:rsidRPr="00DA27BD">
              <w:t xml:space="preserve">ey noted </w:t>
            </w:r>
            <w:r w:rsidR="00F42BF6" w:rsidRPr="00DA27BD">
              <w:t xml:space="preserve">that </w:t>
            </w:r>
            <w:r w:rsidR="001F6DF9" w:rsidRPr="00DA27BD">
              <w:t>this</w:t>
            </w:r>
            <w:r w:rsidR="00F42BF6" w:rsidRPr="00DA27BD">
              <w:t xml:space="preserve"> </w:t>
            </w:r>
            <w:r w:rsidR="00071820" w:rsidRPr="00DA27BD">
              <w:t>change</w:t>
            </w:r>
            <w:r w:rsidR="001F6DF9" w:rsidRPr="00DA27BD">
              <w:t xml:space="preserve"> was unlikely to be</w:t>
            </w:r>
            <w:r w:rsidR="00855EB0" w:rsidRPr="00DA27BD">
              <w:t xml:space="preserve"> attributed </w:t>
            </w:r>
            <w:r w:rsidR="009E659F" w:rsidRPr="00DA27BD">
              <w:t>solely</w:t>
            </w:r>
            <w:r w:rsidR="00855EB0" w:rsidRPr="00DA27BD">
              <w:t xml:space="preserve"> to headspace, but </w:t>
            </w:r>
            <w:r w:rsidR="00071820" w:rsidRPr="00DA27BD">
              <w:t>a product of ongoing</w:t>
            </w:r>
            <w:r w:rsidR="00855EB0" w:rsidRPr="00DA27BD">
              <w:t xml:space="preserve"> work in schools, </w:t>
            </w:r>
            <w:r w:rsidR="00045627" w:rsidRPr="00DA27BD">
              <w:t>on</w:t>
            </w:r>
            <w:r w:rsidR="00855EB0" w:rsidRPr="00DA27BD">
              <w:t xml:space="preserve"> social media, and </w:t>
            </w:r>
            <w:r w:rsidR="00045627" w:rsidRPr="00DA27BD">
              <w:t>by</w:t>
            </w:r>
            <w:r w:rsidR="00855EB0" w:rsidRPr="00DA27BD">
              <w:t xml:space="preserve"> other organisations as well.</w:t>
            </w:r>
          </w:p>
          <w:p w14:paraId="2C86DC89" w14:textId="4924CEED" w:rsidR="00855EB0" w:rsidRPr="00DA27BD" w:rsidRDefault="00155103" w:rsidP="00DA27BD">
            <w:pPr>
              <w:pStyle w:val="TableBullet1"/>
            </w:pPr>
            <w:r w:rsidRPr="00DA27BD">
              <w:t>C</w:t>
            </w:r>
            <w:r w:rsidR="00855EB0" w:rsidRPr="00DA27BD">
              <w:t xml:space="preserve">ounsellors </w:t>
            </w:r>
            <w:r w:rsidRPr="00DA27BD">
              <w:t>agreed</w:t>
            </w:r>
            <w:r w:rsidR="00855EB0" w:rsidRPr="00DA27BD">
              <w:t xml:space="preserve"> that headspace resources </w:t>
            </w:r>
            <w:r w:rsidRPr="00DA27BD">
              <w:t>were effective</w:t>
            </w:r>
            <w:r w:rsidR="00855EB0" w:rsidRPr="00DA27BD">
              <w:t xml:space="preserve"> </w:t>
            </w:r>
            <w:r w:rsidR="00004574" w:rsidRPr="00DA27BD">
              <w:t>in</w:t>
            </w:r>
            <w:r w:rsidR="00855EB0" w:rsidRPr="00DA27BD">
              <w:t xml:space="preserve"> increasing mental health literacy </w:t>
            </w:r>
            <w:r w:rsidR="00004574" w:rsidRPr="00DA27BD">
              <w:t xml:space="preserve">as well as encouraging </w:t>
            </w:r>
            <w:r w:rsidR="000B406C" w:rsidRPr="00DA27BD">
              <w:t xml:space="preserve">young people </w:t>
            </w:r>
            <w:r w:rsidR="000E10BC" w:rsidRPr="00DA27BD">
              <w:t xml:space="preserve">on </w:t>
            </w:r>
            <w:r w:rsidR="00855EB0" w:rsidRPr="00DA27BD">
              <w:t>how to seek help</w:t>
            </w:r>
            <w:r w:rsidR="00491F19" w:rsidRPr="00DA27BD">
              <w:t>.</w:t>
            </w:r>
          </w:p>
          <w:p w14:paraId="4CC72BD1" w14:textId="3EA61210" w:rsidR="00855EB0" w:rsidRPr="00DA27BD" w:rsidRDefault="001F6DF9" w:rsidP="00DA27BD">
            <w:pPr>
              <w:pStyle w:val="TableBullet1"/>
            </w:pPr>
            <w:r w:rsidRPr="00DA27BD">
              <w:t>Service providers i</w:t>
            </w:r>
            <w:r w:rsidR="00855EB0" w:rsidRPr="00DA27BD">
              <w:t xml:space="preserve">dentified </w:t>
            </w:r>
            <w:r w:rsidR="001A2ADB" w:rsidRPr="00DA27BD">
              <w:t>that</w:t>
            </w:r>
            <w:r w:rsidR="00855EB0" w:rsidRPr="00DA27BD">
              <w:t xml:space="preserve"> challenges </w:t>
            </w:r>
            <w:r w:rsidR="00045627" w:rsidRPr="00DA27BD">
              <w:t xml:space="preserve">persist </w:t>
            </w:r>
            <w:r w:rsidR="00855EB0" w:rsidRPr="00DA27BD">
              <w:t xml:space="preserve">for </w:t>
            </w:r>
            <w:r w:rsidR="00064DC1" w:rsidRPr="00DA27BD">
              <w:t>culturally and linguistically diverse</w:t>
            </w:r>
            <w:r w:rsidR="00064DC1" w:rsidRPr="00DA27BD" w:rsidDel="00064DC1">
              <w:t xml:space="preserve"> </w:t>
            </w:r>
            <w:r w:rsidR="00855EB0" w:rsidRPr="00DA27BD">
              <w:t xml:space="preserve">communities – including international students who </w:t>
            </w:r>
            <w:r w:rsidR="00045627" w:rsidRPr="00DA27BD">
              <w:t>may not</w:t>
            </w:r>
            <w:r w:rsidR="00855EB0" w:rsidRPr="00DA27BD">
              <w:t xml:space="preserve"> have </w:t>
            </w:r>
            <w:r w:rsidR="009E659F" w:rsidRPr="00DA27BD">
              <w:t>received</w:t>
            </w:r>
            <w:r w:rsidR="00855EB0" w:rsidRPr="00DA27BD">
              <w:t xml:space="preserve"> education </w:t>
            </w:r>
            <w:r w:rsidR="00045627" w:rsidRPr="00DA27BD">
              <w:t xml:space="preserve">on </w:t>
            </w:r>
            <w:r w:rsidR="00855EB0" w:rsidRPr="00DA27BD">
              <w:t xml:space="preserve">mental health through </w:t>
            </w:r>
            <w:r w:rsidR="00045627" w:rsidRPr="00DA27BD">
              <w:t>their</w:t>
            </w:r>
            <w:r w:rsidR="00855EB0" w:rsidRPr="00DA27BD">
              <w:t xml:space="preserve"> earlier schooling.</w:t>
            </w:r>
          </w:p>
          <w:p w14:paraId="0FE8C5AC" w14:textId="3E275175" w:rsidR="00855EB0" w:rsidRPr="004510B6" w:rsidRDefault="00567668" w:rsidP="00DA27BD">
            <w:pPr>
              <w:pStyle w:val="TableBullet1"/>
            </w:pPr>
            <w:r w:rsidRPr="00DA27BD">
              <w:t>Service providers from c</w:t>
            </w:r>
            <w:r w:rsidR="00855EB0" w:rsidRPr="00DA27BD">
              <w:t xml:space="preserve">ommunities with large </w:t>
            </w:r>
            <w:r w:rsidR="00064DC1" w:rsidRPr="00DA27BD">
              <w:t>Aboriginal and Torres Strait Islanders</w:t>
            </w:r>
            <w:r w:rsidR="00064DC1" w:rsidRPr="00DA27BD" w:rsidDel="00064DC1">
              <w:t xml:space="preserve"> </w:t>
            </w:r>
            <w:r w:rsidR="00855EB0" w:rsidRPr="00DA27BD">
              <w:t>populations</w:t>
            </w:r>
            <w:r w:rsidR="00657907" w:rsidRPr="00DA27BD">
              <w:t xml:space="preserve"> reported</w:t>
            </w:r>
            <w:r w:rsidR="00855EB0" w:rsidRPr="00DA27BD">
              <w:t xml:space="preserve"> outreach </w:t>
            </w:r>
            <w:r w:rsidR="00B21224" w:rsidRPr="00DA27BD">
              <w:t>activities</w:t>
            </w:r>
            <w:r w:rsidR="00855EB0" w:rsidRPr="00DA27BD">
              <w:t xml:space="preserve"> and work designing the services with the community has built trust that in turn support</w:t>
            </w:r>
            <w:r w:rsidR="00045627" w:rsidRPr="00DA27BD">
              <w:t>s</w:t>
            </w:r>
            <w:r w:rsidR="00855EB0" w:rsidRPr="00DA27BD">
              <w:t xml:space="preserve"> </w:t>
            </w:r>
            <w:r w:rsidR="00B21224" w:rsidRPr="00DA27BD">
              <w:t>mental health literacy</w:t>
            </w:r>
            <w:r w:rsidR="00855EB0" w:rsidRPr="00DA27BD">
              <w:t>.</w:t>
            </w:r>
          </w:p>
        </w:tc>
      </w:tr>
      <w:tr w:rsidR="00A46F9C" w:rsidRPr="00B401E2" w14:paraId="1EC05F7F"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02D65434" w14:textId="77777777" w:rsidR="00855EB0" w:rsidRPr="00B401E2" w:rsidRDefault="00855EB0" w:rsidP="00A33A8D">
            <w:pPr>
              <w:pStyle w:val="Tabletext"/>
              <w:rPr>
                <w:rFonts w:cstheme="minorHAnsi"/>
              </w:rPr>
            </w:pPr>
            <w:r w:rsidRPr="00B401E2">
              <w:rPr>
                <w:rFonts w:cstheme="minorHAnsi"/>
              </w:rPr>
              <w:t>How effective is headspace in increasing early help seeking?</w:t>
            </w:r>
          </w:p>
        </w:tc>
        <w:tc>
          <w:tcPr>
            <w:tcW w:w="3461" w:type="pct"/>
            <w:tcBorders>
              <w:top w:val="single" w:sz="2" w:space="0" w:color="808080" w:themeColor="background1" w:themeShade="80"/>
              <w:left w:val="nil"/>
              <w:bottom w:val="single" w:sz="2" w:space="0" w:color="808080" w:themeColor="background1" w:themeShade="80"/>
              <w:right w:val="nil"/>
            </w:tcBorders>
          </w:tcPr>
          <w:p w14:paraId="736903B6" w14:textId="1026C546" w:rsidR="00855EB0" w:rsidRPr="0009226A" w:rsidRDefault="00567668" w:rsidP="002D6F7B">
            <w:pPr>
              <w:pStyle w:val="TableBullet1"/>
            </w:pPr>
            <w:r w:rsidRPr="00DA27BD">
              <w:t>Providers noted that s</w:t>
            </w:r>
            <w:r w:rsidR="00855EB0" w:rsidRPr="00DA27BD">
              <w:t xml:space="preserve">chool pastoral care teams have had an impact on early help seeking behaviour, </w:t>
            </w:r>
            <w:r w:rsidR="00045627" w:rsidRPr="00DA27BD">
              <w:t>for example by</w:t>
            </w:r>
            <w:r w:rsidR="00855EB0" w:rsidRPr="00DA27BD">
              <w:t xml:space="preserve"> </w:t>
            </w:r>
            <w:r w:rsidR="00045627" w:rsidRPr="00DA27BD">
              <w:t>encouraging</w:t>
            </w:r>
            <w:r w:rsidR="00855EB0" w:rsidRPr="00DA27BD">
              <w:t xml:space="preserve"> younger students </w:t>
            </w:r>
            <w:r w:rsidR="00A55623" w:rsidRPr="00DA27BD">
              <w:t xml:space="preserve">to </w:t>
            </w:r>
            <w:r w:rsidR="00855EB0" w:rsidRPr="00DA27BD">
              <w:t>get help.</w:t>
            </w:r>
          </w:p>
        </w:tc>
      </w:tr>
      <w:tr w:rsidR="00A46F9C" w:rsidRPr="00B401E2" w14:paraId="07C99A69"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551C57CA" w14:textId="77777777" w:rsidR="00855EB0" w:rsidRPr="00B401E2" w:rsidRDefault="00855EB0" w:rsidP="00A33A8D">
            <w:pPr>
              <w:pStyle w:val="Tabletext"/>
              <w:rPr>
                <w:rFonts w:cstheme="minorHAnsi"/>
              </w:rPr>
            </w:pPr>
            <w:r w:rsidRPr="00B401E2">
              <w:rPr>
                <w:rFonts w:cstheme="minorHAnsi"/>
              </w:rPr>
              <w:t>How effective is headspace in increasing access to required services?</w:t>
            </w:r>
          </w:p>
        </w:tc>
        <w:tc>
          <w:tcPr>
            <w:tcW w:w="3461" w:type="pct"/>
            <w:tcBorders>
              <w:top w:val="single" w:sz="2" w:space="0" w:color="808080" w:themeColor="background1" w:themeShade="80"/>
              <w:left w:val="nil"/>
              <w:bottom w:val="single" w:sz="2" w:space="0" w:color="808080" w:themeColor="background1" w:themeShade="80"/>
              <w:right w:val="nil"/>
            </w:tcBorders>
          </w:tcPr>
          <w:p w14:paraId="3B60B341" w14:textId="77777777" w:rsidR="00855EB0" w:rsidRPr="004510B6" w:rsidRDefault="00855EB0" w:rsidP="002D6F7B">
            <w:pPr>
              <w:pStyle w:val="TableBullet1"/>
            </w:pPr>
            <w:r w:rsidRPr="004510B6">
              <w:t>N/A</w:t>
            </w:r>
          </w:p>
        </w:tc>
      </w:tr>
      <w:tr w:rsidR="00A46F9C" w:rsidRPr="00B401E2" w14:paraId="586B08EA"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5C3560CB" w14:textId="77777777" w:rsidR="00855EB0" w:rsidRPr="00B401E2" w:rsidRDefault="00855EB0" w:rsidP="00A33A8D">
            <w:pPr>
              <w:pStyle w:val="Tabletext"/>
              <w:rPr>
                <w:rFonts w:cstheme="minorHAnsi"/>
              </w:rPr>
            </w:pPr>
            <w:r w:rsidRPr="00B401E2">
              <w:rPr>
                <w:rFonts w:cstheme="minorHAnsi"/>
              </w:rPr>
              <w:t xml:space="preserve">How effective is headspace in supporting ‘hard to reach’ groups, including those who are at greater risk and less likely to seek help? </w:t>
            </w:r>
            <w:r w:rsidRPr="00B401E2">
              <w:t>In increasing access for hard-to-reach groups?</w:t>
            </w:r>
          </w:p>
        </w:tc>
        <w:tc>
          <w:tcPr>
            <w:tcW w:w="3461" w:type="pct"/>
            <w:tcBorders>
              <w:top w:val="single" w:sz="2" w:space="0" w:color="808080" w:themeColor="background1" w:themeShade="80"/>
              <w:left w:val="nil"/>
              <w:bottom w:val="single" w:sz="2" w:space="0" w:color="808080" w:themeColor="background1" w:themeShade="80"/>
              <w:right w:val="nil"/>
            </w:tcBorders>
          </w:tcPr>
          <w:p w14:paraId="06CF43DC" w14:textId="77777777" w:rsidR="00855EB0" w:rsidRPr="004510B6" w:rsidRDefault="00855EB0" w:rsidP="002D6F7B">
            <w:pPr>
              <w:pStyle w:val="TableBullet1"/>
            </w:pPr>
            <w:r w:rsidRPr="004510B6">
              <w:t>N/A</w:t>
            </w:r>
          </w:p>
        </w:tc>
      </w:tr>
      <w:tr w:rsidR="00A46F9C" w:rsidRPr="00B401E2" w14:paraId="7044D24B"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1D41E97A" w14:textId="77777777" w:rsidR="00855EB0" w:rsidRPr="00B401E2" w:rsidRDefault="00855EB0" w:rsidP="00A33A8D">
            <w:pPr>
              <w:pStyle w:val="Tabletext"/>
              <w:rPr>
                <w:rFonts w:cstheme="minorHAnsi"/>
              </w:rPr>
            </w:pPr>
            <w:r w:rsidRPr="00B401E2">
              <w:rPr>
                <w:rFonts w:cstheme="minorHAnsi"/>
              </w:rPr>
              <w:t>How well does headspace advocate for and promote youth mental health and wellbeing in their communities?</w:t>
            </w:r>
          </w:p>
        </w:tc>
        <w:tc>
          <w:tcPr>
            <w:tcW w:w="3461" w:type="pct"/>
            <w:tcBorders>
              <w:top w:val="single" w:sz="2" w:space="0" w:color="808080" w:themeColor="background1" w:themeShade="80"/>
              <w:left w:val="nil"/>
              <w:bottom w:val="single" w:sz="2" w:space="0" w:color="808080" w:themeColor="background1" w:themeShade="80"/>
              <w:right w:val="nil"/>
            </w:tcBorders>
          </w:tcPr>
          <w:p w14:paraId="04A6B974" w14:textId="77777777" w:rsidR="00855EB0" w:rsidRPr="00DA27BD" w:rsidRDefault="00855EB0" w:rsidP="00DA27BD">
            <w:pPr>
              <w:pStyle w:val="TableBullet1"/>
            </w:pPr>
            <w:r w:rsidRPr="004510B6">
              <w:rPr>
                <w:lang w:eastAsia="en-AU"/>
              </w:rPr>
              <w:t xml:space="preserve">Consultations with GPs and consortium members from surrounding </w:t>
            </w:r>
            <w:r w:rsidRPr="00DA27BD">
              <w:t xml:space="preserve">community services as part of the fieldwork for this evaluation elicited broadly positive views about the work headspace staff undertake to engage with schools and to drive and participate in community events and mental health awareness raising activities. </w:t>
            </w:r>
          </w:p>
          <w:p w14:paraId="0B25393D" w14:textId="77777777" w:rsidR="00855EB0" w:rsidRPr="00DA27BD" w:rsidRDefault="00855EB0" w:rsidP="00DA27BD">
            <w:pPr>
              <w:pStyle w:val="TableBullet1"/>
            </w:pPr>
            <w:r w:rsidRPr="00DA27BD">
              <w:t xml:space="preserve">Fieldwork teams observed services delivering on a detailed calendar of events and activities regarding mental health and wellbeing, actively participating in pre-existing events as well as driving the planning and implementation of specific events of their own, for example around headspace week. </w:t>
            </w:r>
          </w:p>
          <w:p w14:paraId="2E117F13" w14:textId="77777777" w:rsidR="00855EB0" w:rsidRPr="004510B6" w:rsidRDefault="00855EB0" w:rsidP="00DA27BD">
            <w:pPr>
              <w:pStyle w:val="TableBullet1"/>
            </w:pPr>
            <w:r w:rsidRPr="00DA27BD">
              <w:t>Services also described targeted outreach to different segments and cohorts in their local communities, for example engaging with church youth groups and with Police Community Youth Centre (PCYC) programs for young</w:t>
            </w:r>
            <w:r w:rsidRPr="004510B6">
              <w:rPr>
                <w:lang w:eastAsia="en-AU"/>
              </w:rPr>
              <w:t xml:space="preserve"> people.</w:t>
            </w:r>
          </w:p>
        </w:tc>
      </w:tr>
      <w:tr w:rsidR="00A46F9C" w:rsidRPr="00B401E2" w14:paraId="0E0A3638"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1B4471A6" w14:textId="0411B629" w:rsidR="00855EB0" w:rsidRPr="00B401E2" w:rsidRDefault="00855EB0" w:rsidP="00A33A8D">
            <w:pPr>
              <w:pStyle w:val="Tabletext"/>
              <w:rPr>
                <w:rFonts w:cstheme="minorHAnsi"/>
              </w:rPr>
            </w:pPr>
            <w:r w:rsidRPr="00B401E2">
              <w:rPr>
                <w:rFonts w:cstheme="minorHAnsi"/>
              </w:rPr>
              <w:t>To what extent has headspace reduced stigma associated with mental illness and help</w:t>
            </w:r>
            <w:r w:rsidR="00BD29DF">
              <w:rPr>
                <w:rFonts w:cstheme="minorHAnsi"/>
              </w:rPr>
              <w:t xml:space="preserve"> </w:t>
            </w:r>
            <w:r w:rsidRPr="00B401E2">
              <w:rPr>
                <w:rFonts w:cstheme="minorHAnsi"/>
              </w:rPr>
              <w:t>seeking for young people, their families and friends, and the community?</w:t>
            </w:r>
          </w:p>
        </w:tc>
        <w:tc>
          <w:tcPr>
            <w:tcW w:w="3461" w:type="pct"/>
            <w:tcBorders>
              <w:top w:val="single" w:sz="2" w:space="0" w:color="808080" w:themeColor="background1" w:themeShade="80"/>
              <w:left w:val="nil"/>
              <w:bottom w:val="single" w:sz="2" w:space="0" w:color="808080" w:themeColor="background1" w:themeShade="80"/>
              <w:right w:val="nil"/>
            </w:tcBorders>
          </w:tcPr>
          <w:p w14:paraId="2BC89E16" w14:textId="77777777" w:rsidR="00855EB0" w:rsidRPr="00D93398" w:rsidRDefault="00855EB0" w:rsidP="00D93398">
            <w:pPr>
              <w:pStyle w:val="TableBullet1"/>
            </w:pPr>
            <w:r w:rsidRPr="00D93398">
              <w:t xml:space="preserve">Interviews with school and university counsellors indicated a general recognition that mental health literacy has improved over time for young people in Australia, that stigma about mental illness has been reduced and help seeking is widely encouraged, with a tendency to talk more openly about mental health today. </w:t>
            </w:r>
          </w:p>
          <w:p w14:paraId="305F8DD8" w14:textId="606692B0" w:rsidR="00855EB0" w:rsidRPr="00D93398" w:rsidRDefault="00855EB0" w:rsidP="00D93398">
            <w:pPr>
              <w:pStyle w:val="TableBullet1"/>
            </w:pPr>
            <w:r w:rsidRPr="00D93398">
              <w:t xml:space="preserve">There was a view from participating counsellors that headspace resources contribute to increasing mental health literacy, including a general improvement in young people’s knowledge of how to seek help for their mental health and wellbeing. </w:t>
            </w:r>
            <w:r w:rsidR="00D046B3" w:rsidRPr="00D93398">
              <w:t>Providers</w:t>
            </w:r>
            <w:r w:rsidRPr="00D93398">
              <w:t xml:space="preserve"> acknowledged that these observed changes could not be attributed to headspace alone, but also to broader work happening in schools, social media, and other organisations as well.</w:t>
            </w:r>
          </w:p>
          <w:p w14:paraId="5CD15835" w14:textId="77777777" w:rsidR="00855EB0" w:rsidRPr="00D93398" w:rsidRDefault="00855EB0" w:rsidP="00D93398">
            <w:pPr>
              <w:pStyle w:val="TableBullet1"/>
            </w:pPr>
            <w:r w:rsidRPr="00D93398">
              <w:t xml:space="preserve">School and university counsellors also identified challenges for culturally and linguistically diverse communities related to stigma. Discussions noted that, within some cultural groups, stigma has an ongoing impact on menta health help seeking behaviour. </w:t>
            </w:r>
          </w:p>
          <w:p w14:paraId="6631C0B1" w14:textId="5A166412" w:rsidR="00855EB0" w:rsidRPr="00D93398" w:rsidRDefault="00D046B3" w:rsidP="00D93398">
            <w:pPr>
              <w:pStyle w:val="TableBullet1"/>
            </w:pPr>
            <w:r w:rsidRPr="00D93398">
              <w:t>Service providers</w:t>
            </w:r>
            <w:r w:rsidR="00855EB0" w:rsidRPr="00D93398">
              <w:t xml:space="preserve"> indicated that, for some families and in some segments of the community, stigma around mental health help seeking continues to be strong, and services are continuing to focus efforts, including outreach, recruitment, and other engagement strategies, to reduce stigma and encourage support of mental health help seeking.</w:t>
            </w:r>
          </w:p>
          <w:p w14:paraId="1DBA4588" w14:textId="2809E33A" w:rsidR="00855EB0" w:rsidRPr="00D93398" w:rsidRDefault="00855EB0" w:rsidP="00D93398">
            <w:pPr>
              <w:pStyle w:val="TableBullet1"/>
            </w:pPr>
            <w:r w:rsidRPr="00D93398">
              <w:t>Several cultural groups were discussed in fieldwork conversations, along with the challenges for young people from some culturally and linguistically diverse backgrounds where mental illness is not easily accepted or understood.</w:t>
            </w:r>
          </w:p>
        </w:tc>
      </w:tr>
      <w:tr w:rsidR="00A46F9C" w:rsidRPr="00B401E2" w14:paraId="33550C07"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38CEC495" w14:textId="6AC85B3F" w:rsidR="00855EB0" w:rsidRPr="00B401E2" w:rsidRDefault="00855EB0" w:rsidP="00A33A8D">
            <w:pPr>
              <w:pStyle w:val="Tabletext"/>
              <w:rPr>
                <w:rFonts w:cstheme="minorHAnsi"/>
              </w:rPr>
            </w:pPr>
            <w:r w:rsidRPr="00B401E2">
              <w:rPr>
                <w:rFonts w:cstheme="minorHAnsi"/>
              </w:rPr>
              <w:t>How effective is headspace in improving pathways to care for young people through service integration and coordination</w:t>
            </w:r>
            <w:r w:rsidR="001F7378">
              <w:rPr>
                <w:rFonts w:cstheme="minorHAnsi"/>
              </w:rPr>
              <w:t>?</w:t>
            </w:r>
          </w:p>
        </w:tc>
        <w:tc>
          <w:tcPr>
            <w:tcW w:w="3461" w:type="pct"/>
            <w:tcBorders>
              <w:top w:val="single" w:sz="2" w:space="0" w:color="808080" w:themeColor="background1" w:themeShade="80"/>
              <w:left w:val="nil"/>
              <w:bottom w:val="single" w:sz="2" w:space="0" w:color="808080" w:themeColor="background1" w:themeShade="80"/>
              <w:right w:val="nil"/>
            </w:tcBorders>
          </w:tcPr>
          <w:p w14:paraId="6F58517B" w14:textId="77777777" w:rsidR="00855EB0" w:rsidRPr="004510B6" w:rsidRDefault="00855EB0" w:rsidP="002D6F7B">
            <w:pPr>
              <w:pStyle w:val="TableBullet1"/>
            </w:pPr>
            <w:r w:rsidRPr="004510B6">
              <w:t>Schools and university counsellors from across Australia indicated that relationships and referral pathways between their services and other external services within the community were critical to support effective outcomes, and that headspace played a role in this.</w:t>
            </w:r>
          </w:p>
          <w:p w14:paraId="2A3AD538" w14:textId="77777777" w:rsidR="00855EB0" w:rsidRPr="004510B6" w:rsidRDefault="00855EB0" w:rsidP="002D6F7B">
            <w:pPr>
              <w:pStyle w:val="TableBullet1"/>
            </w:pPr>
            <w:r w:rsidRPr="004510B6">
              <w:t>Ninety-eight per cent of school principals and wellbeing coordinators indicated that being able to connect students to other services if they need them was an important part of the headspace model in previous research undertaken by Colmar Brunton for headspace National.</w:t>
            </w:r>
          </w:p>
          <w:p w14:paraId="2E1290CC" w14:textId="77777777" w:rsidR="00855EB0" w:rsidRPr="004510B6" w:rsidRDefault="00855EB0" w:rsidP="002D6F7B">
            <w:pPr>
              <w:pStyle w:val="TableBullet1"/>
            </w:pPr>
            <w:r w:rsidRPr="004510B6">
              <w:t>When asked whether headspace has improved service integration, a lower proportion of principals and wellbeing coordinators indicated their support. Sixty-nine per cent agreed that headspace services strengthened relationships between service providers and schools, and 67 per cent agreed that headspace services improved the coordination of local services.</w:t>
            </w:r>
          </w:p>
          <w:p w14:paraId="1949B894" w14:textId="77777777" w:rsidR="00855EB0" w:rsidRPr="004510B6" w:rsidRDefault="00855EB0" w:rsidP="002D6F7B">
            <w:pPr>
              <w:pStyle w:val="TableBullet1"/>
            </w:pPr>
            <w:r w:rsidRPr="004510B6">
              <w:t>There was mixed feedback from counsellors as part of focus groups completed specifically for this evaluation, in particular university counsellors, regarding the referral process for headspace services. Following a referral, some counsellors described there being limited communication regarding what support the young person was receiving, especially while on a wait list for headspace services, and whether the young person would benefit from ongoing support from the school or university while waiting for headspace support.</w:t>
            </w:r>
          </w:p>
          <w:p w14:paraId="3C3AD0C5" w14:textId="1E5EF600" w:rsidR="00855EB0" w:rsidRPr="004510B6" w:rsidRDefault="00D046B3" w:rsidP="002D6F7B">
            <w:pPr>
              <w:pStyle w:val="TableBullet1"/>
            </w:pPr>
            <w:r>
              <w:t>Service providers</w:t>
            </w:r>
            <w:r w:rsidR="00855EB0" w:rsidRPr="004510B6">
              <w:t xml:space="preserve"> indicated the referral process was ‘smooth and easy to use’, especially where the counsellor was engaging with headspace directly to support the young person’s access to the service.</w:t>
            </w:r>
          </w:p>
          <w:p w14:paraId="3767E896" w14:textId="3C100DE1" w:rsidR="00855EB0" w:rsidRPr="004510B6" w:rsidRDefault="00D046B3" w:rsidP="002D6F7B">
            <w:pPr>
              <w:pStyle w:val="TableBullet1"/>
            </w:pPr>
            <w:r>
              <w:t>Service providers</w:t>
            </w:r>
            <w:r w:rsidR="00855EB0" w:rsidRPr="004510B6">
              <w:t xml:space="preserve"> also identified challenges with service integration and care coordination for young people in the ‘missing middle’.</w:t>
            </w:r>
          </w:p>
          <w:p w14:paraId="2852A639" w14:textId="7207059F" w:rsidR="00855EB0" w:rsidRPr="004510B6" w:rsidRDefault="00855EB0" w:rsidP="002D6F7B">
            <w:pPr>
              <w:pStyle w:val="TableBullet1"/>
            </w:pPr>
            <w:r w:rsidRPr="004510B6">
              <w:t>Counsellors were uncertain about how to support young people who did not have a severe enough mental health problem for local CAMHS</w:t>
            </w:r>
            <w:r w:rsidR="00A43E3D">
              <w:t>s</w:t>
            </w:r>
            <w:r w:rsidRPr="004510B6">
              <w:t xml:space="preserve"> or CYMHS</w:t>
            </w:r>
            <w:r w:rsidR="00A43E3D">
              <w:t>s</w:t>
            </w:r>
            <w:r w:rsidRPr="004510B6">
              <w:t>, but who were not within the mild-moderate target group of headspace services.</w:t>
            </w:r>
          </w:p>
          <w:p w14:paraId="05BFA97C" w14:textId="77777777" w:rsidR="00855EB0" w:rsidRPr="004510B6" w:rsidRDefault="00855EB0" w:rsidP="002D6F7B">
            <w:pPr>
              <w:pStyle w:val="TableBullet1"/>
            </w:pPr>
            <w:r w:rsidRPr="004510B6">
              <w:t>A small minority of counsellors indicated there was limited communication regarding where else a young person might be referred if the headspace service indicated it could not support the young person.</w:t>
            </w:r>
          </w:p>
          <w:p w14:paraId="24D5A62E" w14:textId="3A6AD17E" w:rsidR="00855EB0" w:rsidRPr="004510B6" w:rsidRDefault="00855EB0" w:rsidP="002D6F7B">
            <w:pPr>
              <w:pStyle w:val="TableBullet1"/>
            </w:pPr>
            <w:r w:rsidRPr="004510B6">
              <w:t xml:space="preserve">Some counsellors also discussed the challenge of current wait times within headspace services as a deterrent to referrals, especially where there was limited information provided back to the school or university about what other support was available to the young person during their wait for </w:t>
            </w:r>
            <w:r w:rsidR="00AC0BA5">
              <w:t>headspace</w:t>
            </w:r>
            <w:r w:rsidR="00AC0BA5" w:rsidRPr="004510B6">
              <w:t xml:space="preserve"> </w:t>
            </w:r>
            <w:r w:rsidRPr="004510B6">
              <w:t>services.</w:t>
            </w:r>
          </w:p>
        </w:tc>
      </w:tr>
      <w:tr w:rsidR="00A46F9C" w:rsidRPr="00B401E2" w14:paraId="25C570F0"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60BB2FCC" w14:textId="77777777" w:rsidR="00855EB0" w:rsidRPr="00B401E2" w:rsidRDefault="00855EB0" w:rsidP="00A33A8D">
            <w:pPr>
              <w:pStyle w:val="Tabletext"/>
              <w:rPr>
                <w:rFonts w:cstheme="minorHAnsi"/>
              </w:rPr>
            </w:pPr>
            <w:r w:rsidRPr="00B401E2">
              <w:rPr>
                <w:rFonts w:cstheme="minorHAnsi"/>
              </w:rPr>
              <w:t>To what extent is headspace providing localised service offering, and what are the barriers and enablers of this?</w:t>
            </w:r>
          </w:p>
        </w:tc>
        <w:tc>
          <w:tcPr>
            <w:tcW w:w="3461" w:type="pct"/>
            <w:tcBorders>
              <w:top w:val="single" w:sz="2" w:space="0" w:color="808080" w:themeColor="background1" w:themeShade="80"/>
              <w:left w:val="nil"/>
              <w:bottom w:val="single" w:sz="2" w:space="0" w:color="808080" w:themeColor="background1" w:themeShade="80"/>
              <w:right w:val="nil"/>
            </w:tcBorders>
          </w:tcPr>
          <w:p w14:paraId="08259B5A" w14:textId="77777777" w:rsidR="00855EB0" w:rsidRPr="004510B6" w:rsidRDefault="00855EB0" w:rsidP="002D6F7B">
            <w:pPr>
              <w:pStyle w:val="TableBullet1"/>
            </w:pPr>
            <w:r w:rsidRPr="004510B6">
              <w:t>N/A</w:t>
            </w:r>
          </w:p>
        </w:tc>
      </w:tr>
      <w:tr w:rsidR="00A46F9C" w:rsidRPr="00B401E2" w14:paraId="1BE59633"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228A653B" w14:textId="77777777" w:rsidR="00855EB0" w:rsidRPr="00B401E2" w:rsidRDefault="00855EB0" w:rsidP="00A33A8D">
            <w:pPr>
              <w:pStyle w:val="Tabletext"/>
              <w:rPr>
                <w:rFonts w:cstheme="minorHAnsi"/>
              </w:rPr>
            </w:pPr>
            <w:r w:rsidRPr="00B401E2">
              <w:rPr>
                <w:rFonts w:cstheme="minorHAnsi"/>
              </w:rPr>
              <w:t>What other contributions does headspace make to local communities?</w:t>
            </w:r>
          </w:p>
          <w:p w14:paraId="325A4B32" w14:textId="77777777" w:rsidR="00855EB0" w:rsidRPr="00B401E2" w:rsidRDefault="00855EB0" w:rsidP="00A33A8D">
            <w:pPr>
              <w:pStyle w:val="Tabletext"/>
              <w:rPr>
                <w:rFonts w:cstheme="minorHAnsi"/>
              </w:rPr>
            </w:pPr>
          </w:p>
        </w:tc>
        <w:tc>
          <w:tcPr>
            <w:tcW w:w="3461" w:type="pct"/>
            <w:tcBorders>
              <w:top w:val="single" w:sz="2" w:space="0" w:color="808080" w:themeColor="background1" w:themeShade="80"/>
              <w:left w:val="nil"/>
              <w:bottom w:val="single" w:sz="2" w:space="0" w:color="808080" w:themeColor="background1" w:themeShade="80"/>
              <w:right w:val="nil"/>
            </w:tcBorders>
          </w:tcPr>
          <w:p w14:paraId="4D0390EF" w14:textId="5FC03805" w:rsidR="00855EB0" w:rsidRPr="004510B6" w:rsidRDefault="00855EB0" w:rsidP="002D6F7B">
            <w:pPr>
              <w:pStyle w:val="TableBullet1"/>
            </w:pPr>
            <w:r w:rsidRPr="004510B6">
              <w:t xml:space="preserve">School and university counsellors consistently described the types </w:t>
            </w:r>
            <w:r w:rsidR="00AC0BA5">
              <w:t>of</w:t>
            </w:r>
            <w:r w:rsidRPr="004510B6">
              <w:t xml:space="preserve"> community engagement and outreach activities of headspace services. Some identified where headspace had visited their local school or university to provide information and resources for young people. However, the exact nature and frequency of these activities varied between local communities. Some headspace services have delivered more of these activities to their local communities than others, and the reach of these activities also varied. For example, in regional areas, the focus was stronger on community engagement and outreach within the immediate area around the </w:t>
            </w:r>
            <w:r w:rsidR="0050072E">
              <w:t>service</w:t>
            </w:r>
            <w:r w:rsidRPr="004510B6">
              <w:t xml:space="preserve">, with other surrounding communities less of a focus from the perspective of counsellors. </w:t>
            </w:r>
          </w:p>
          <w:p w14:paraId="1CDBFD83" w14:textId="77777777" w:rsidR="00855EB0" w:rsidRPr="004510B6" w:rsidRDefault="00855EB0" w:rsidP="002D6F7B">
            <w:pPr>
              <w:pStyle w:val="TableBullet1"/>
            </w:pPr>
            <w:r w:rsidRPr="004510B6">
              <w:t xml:space="preserve">Some school and university counsellors also indicated they use online headspace resources to support their own work, including as part of their practice, or to refer young people to, to support their mental health and wellbeing. This was recognised as a key strength of headspace, and a key contributor to communities. </w:t>
            </w:r>
          </w:p>
          <w:p w14:paraId="3E995884" w14:textId="1F94CCC0" w:rsidR="00855EB0" w:rsidRPr="004510B6" w:rsidRDefault="006C76D4" w:rsidP="002D6F7B">
            <w:pPr>
              <w:pStyle w:val="TableBullet1"/>
            </w:pPr>
            <w:r>
              <w:t>headspace e</w:t>
            </w:r>
            <w:r w:rsidR="00855EB0" w:rsidRPr="004510B6">
              <w:t>ngage</w:t>
            </w:r>
            <w:r>
              <w:t>s</w:t>
            </w:r>
            <w:r w:rsidR="00855EB0" w:rsidRPr="004510B6">
              <w:t xml:space="preserve"> with schools and universities </w:t>
            </w:r>
            <w:r>
              <w:t>by giving</w:t>
            </w:r>
            <w:r w:rsidR="00855EB0" w:rsidRPr="004510B6">
              <w:t xml:space="preserve"> presentations, sharing resources, </w:t>
            </w:r>
            <w:r>
              <w:t xml:space="preserve">running </w:t>
            </w:r>
            <w:r w:rsidR="00855EB0" w:rsidRPr="004510B6">
              <w:t>sessions in school</w:t>
            </w:r>
            <w:r>
              <w:t>s</w:t>
            </w:r>
            <w:r w:rsidR="00855EB0" w:rsidRPr="004510B6">
              <w:t xml:space="preserve">, </w:t>
            </w:r>
            <w:r>
              <w:t>participating in</w:t>
            </w:r>
            <w:r w:rsidR="00855EB0" w:rsidRPr="004510B6">
              <w:t xml:space="preserve"> open days, </w:t>
            </w:r>
            <w:r>
              <w:t xml:space="preserve">and having a presence at </w:t>
            </w:r>
            <w:r w:rsidR="00855EB0" w:rsidRPr="004510B6">
              <w:t>fair days.</w:t>
            </w:r>
          </w:p>
        </w:tc>
      </w:tr>
      <w:tr w:rsidR="00A46F9C" w:rsidRPr="00B401E2" w14:paraId="69D1CAD4"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51BFD8A0" w14:textId="77777777" w:rsidR="00855EB0" w:rsidRPr="00B401E2" w:rsidRDefault="00855EB0" w:rsidP="00A33A8D">
            <w:pPr>
              <w:pStyle w:val="Tabletext"/>
              <w:rPr>
                <w:rFonts w:cstheme="minorHAnsi"/>
              </w:rPr>
            </w:pPr>
            <w:r w:rsidRPr="00B401E2">
              <w:rPr>
                <w:rFonts w:cstheme="minorHAnsi"/>
              </w:rPr>
              <w:t>To what extent does a ‘no-wrong-door’ approach assist headspace to meet its objectives?</w:t>
            </w:r>
          </w:p>
        </w:tc>
        <w:tc>
          <w:tcPr>
            <w:tcW w:w="3461" w:type="pct"/>
            <w:tcBorders>
              <w:top w:val="single" w:sz="2" w:space="0" w:color="808080" w:themeColor="background1" w:themeShade="80"/>
              <w:left w:val="nil"/>
              <w:bottom w:val="single" w:sz="2" w:space="0" w:color="808080" w:themeColor="background1" w:themeShade="80"/>
              <w:right w:val="nil"/>
            </w:tcBorders>
          </w:tcPr>
          <w:p w14:paraId="47E65182" w14:textId="77777777" w:rsidR="00855EB0" w:rsidRPr="004510B6" w:rsidRDefault="00855EB0" w:rsidP="002D6F7B">
            <w:pPr>
              <w:pStyle w:val="TableBullet1"/>
            </w:pPr>
            <w:r w:rsidRPr="004510B6">
              <w:t>N/A</w:t>
            </w:r>
          </w:p>
        </w:tc>
      </w:tr>
      <w:tr w:rsidR="00A46F9C" w:rsidRPr="00B401E2" w14:paraId="2625CF2C"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305F28B8" w14:textId="77777777" w:rsidR="00855EB0" w:rsidRPr="00B401E2" w:rsidRDefault="00855EB0" w:rsidP="00A33A8D">
            <w:pPr>
              <w:pStyle w:val="Tabletext"/>
              <w:rPr>
                <w:rFonts w:cstheme="minorHAnsi"/>
              </w:rPr>
            </w:pPr>
            <w:r w:rsidRPr="00B401E2">
              <w:rPr>
                <w:rFonts w:cstheme="minorHAnsi"/>
              </w:rPr>
              <w:t>What is the level of support for headspace from other primary care and mental health service providers?</w:t>
            </w:r>
          </w:p>
        </w:tc>
        <w:tc>
          <w:tcPr>
            <w:tcW w:w="3461" w:type="pct"/>
            <w:tcBorders>
              <w:top w:val="single" w:sz="2" w:space="0" w:color="808080" w:themeColor="background1" w:themeShade="80"/>
              <w:left w:val="nil"/>
              <w:bottom w:val="single" w:sz="2" w:space="0" w:color="808080" w:themeColor="background1" w:themeShade="80"/>
              <w:right w:val="nil"/>
            </w:tcBorders>
          </w:tcPr>
          <w:p w14:paraId="4DA9DE6E" w14:textId="77777777" w:rsidR="00855EB0" w:rsidRPr="004510B6" w:rsidRDefault="00855EB0" w:rsidP="00BE038D">
            <w:pPr>
              <w:pStyle w:val="TableBullet1"/>
            </w:pPr>
            <w:r w:rsidRPr="004510B6">
              <w:t xml:space="preserve">In consultation with a small sample of GPs, there was good understanding of what headspace services delivered at a high level, and acknowledgement of the work headspace does to support early intervention and young people with mild to moderate conditions. However, this sample of GPs consistently described a range of challenges, specifically in regional areas, that impact on their support for headspace through referrals. </w:t>
            </w:r>
          </w:p>
          <w:p w14:paraId="08C6F5A9" w14:textId="3EAABBF8" w:rsidR="00855EB0" w:rsidRPr="004510B6" w:rsidRDefault="00855EB0" w:rsidP="00BE038D">
            <w:pPr>
              <w:pStyle w:val="TableBullet1"/>
            </w:pPr>
            <w:r w:rsidRPr="004510B6">
              <w:t>Wait times for some headspace services have</w:t>
            </w:r>
            <w:r w:rsidR="00064DC1">
              <w:t>,</w:t>
            </w:r>
            <w:r w:rsidRPr="004510B6">
              <w:t xml:space="preserve"> at times</w:t>
            </w:r>
            <w:r w:rsidR="00064DC1">
              <w:t>,</w:t>
            </w:r>
            <w:r w:rsidRPr="004510B6">
              <w:t xml:space="preserve"> deterred GPs from making referrals to their local service, out of concern for the young person in the intervening period before being able to access recommended treatment options. </w:t>
            </w:r>
          </w:p>
          <w:p w14:paraId="53CB03C0" w14:textId="565E94D2" w:rsidR="00855EB0" w:rsidRPr="004510B6" w:rsidRDefault="00855EB0" w:rsidP="00BE038D">
            <w:pPr>
              <w:pStyle w:val="TableBullet1"/>
            </w:pPr>
            <w:r w:rsidRPr="004510B6">
              <w:t xml:space="preserve">While there was good understanding of the broad offerings of the headspace model, GPs also described challenges </w:t>
            </w:r>
            <w:r w:rsidR="00064DC1">
              <w:t xml:space="preserve">in </w:t>
            </w:r>
            <w:r w:rsidRPr="004510B6">
              <w:t>understanding what specific staff and specialist service areas a headspace service might have, such as AOD workers, occupational therapists, dietitians, or specialist psychological services.</w:t>
            </w:r>
          </w:p>
          <w:p w14:paraId="2E5BAECC" w14:textId="2EF3980E" w:rsidR="00855EB0" w:rsidRPr="004510B6" w:rsidRDefault="00855EB0" w:rsidP="00BE038D">
            <w:pPr>
              <w:pStyle w:val="TableBullet1"/>
            </w:pPr>
            <w:r w:rsidRPr="004510B6">
              <w:t>Challenges were also described with operating a shared care model with headspace services. These GPs described reluctance of headspace services to take a GP’s diagnosis at the time of referral or intake, and limited opportunity to discuss ongoing progress and any other onwards referrals with GPs to support effective care coordination.</w:t>
            </w:r>
          </w:p>
          <w:p w14:paraId="0E4D9DFB" w14:textId="1D1A4A75" w:rsidR="00855EB0" w:rsidRPr="004510B6" w:rsidRDefault="00855EB0" w:rsidP="00BE038D">
            <w:pPr>
              <w:pStyle w:val="TableBullet1"/>
            </w:pPr>
            <w:r w:rsidRPr="004510B6">
              <w:t>These challenges have also</w:t>
            </w:r>
            <w:r w:rsidR="00064DC1">
              <w:t>,</w:t>
            </w:r>
            <w:r w:rsidRPr="004510B6">
              <w:t xml:space="preserve"> at times</w:t>
            </w:r>
            <w:r w:rsidR="00064DC1">
              <w:t>,</w:t>
            </w:r>
            <w:r w:rsidRPr="004510B6">
              <w:t xml:space="preserve"> prevented GPs from supporting headspace services through referrals. </w:t>
            </w:r>
          </w:p>
          <w:p w14:paraId="52B25FCD" w14:textId="521D1D4A" w:rsidR="00855EB0" w:rsidRPr="004510B6" w:rsidRDefault="00855EB0" w:rsidP="00BE038D">
            <w:pPr>
              <w:pStyle w:val="TableBullet1"/>
            </w:pPr>
            <w:r w:rsidRPr="004510B6">
              <w:t xml:space="preserve">Specific to smaller regional locations, GPs also discussed challenges with </w:t>
            </w:r>
            <w:r w:rsidR="0001683A">
              <w:t>competing</w:t>
            </w:r>
            <w:r w:rsidR="0001683A" w:rsidRPr="004510B6">
              <w:t xml:space="preserve"> </w:t>
            </w:r>
            <w:r w:rsidRPr="004510B6">
              <w:t xml:space="preserve">for the same staff. Where there is only one local worker who </w:t>
            </w:r>
            <w:r w:rsidR="00064DC1">
              <w:t>provides</w:t>
            </w:r>
            <w:r w:rsidR="00064DC1" w:rsidRPr="004510B6">
              <w:t xml:space="preserve"> </w:t>
            </w:r>
            <w:r w:rsidRPr="004510B6">
              <w:t xml:space="preserve">a specific type of support, referrals are often made to that person, regardless of which service they work for. </w:t>
            </w:r>
          </w:p>
          <w:p w14:paraId="20122F77" w14:textId="77777777" w:rsidR="00855EB0" w:rsidRPr="004510B6" w:rsidRDefault="00855EB0" w:rsidP="00BE038D">
            <w:pPr>
              <w:pStyle w:val="TableBullet1"/>
            </w:pPr>
            <w:r w:rsidRPr="004510B6">
              <w:t xml:space="preserve">Staff have been lost from headspace services to another local organisation in some instances, and support often shifts with the person. </w:t>
            </w:r>
          </w:p>
          <w:p w14:paraId="74B3A299" w14:textId="57ED33B4" w:rsidR="00855EB0" w:rsidRPr="004510B6" w:rsidRDefault="00855EB0" w:rsidP="00BE038D">
            <w:pPr>
              <w:pStyle w:val="TableBullet1"/>
            </w:pPr>
            <w:r w:rsidRPr="004510B6">
              <w:t xml:space="preserve">School and university counsellors across the country had a strong understanding of the professional and clinical services provided by their local </w:t>
            </w:r>
            <w:r w:rsidR="0050072E">
              <w:t>service</w:t>
            </w:r>
            <w:r w:rsidRPr="004510B6">
              <w:t xml:space="preserve">, especially mental health and GP services. </w:t>
            </w:r>
          </w:p>
          <w:p w14:paraId="2A71B488" w14:textId="2F452D72" w:rsidR="00855EB0" w:rsidRPr="004510B6" w:rsidRDefault="00855EB0" w:rsidP="00BE038D">
            <w:pPr>
              <w:pStyle w:val="TableBullet1"/>
            </w:pPr>
            <w:r w:rsidRPr="004510B6">
              <w:t xml:space="preserve">There was more limited recognition of other services provided, including vocational, </w:t>
            </w:r>
            <w:r w:rsidR="0001683A">
              <w:t>AOD</w:t>
            </w:r>
            <w:r w:rsidRPr="004510B6">
              <w:t xml:space="preserve"> and occupational therapy services. Support for headspace services was also impacted by continuity of relationships. </w:t>
            </w:r>
          </w:p>
          <w:p w14:paraId="67277D13" w14:textId="32ECFFD3" w:rsidR="00855EB0" w:rsidRPr="004510B6" w:rsidRDefault="00855EB0" w:rsidP="00BE038D">
            <w:pPr>
              <w:pStyle w:val="TableBullet1"/>
            </w:pPr>
            <w:r w:rsidRPr="004510B6">
              <w:rPr>
                <w:rStyle w:val="BodyTextChar"/>
              </w:rPr>
              <w:t>A small number of counsellors described instances where a headspace service had changed its management, and this impacted the level of engagement they were able to have with the service based on the approach of the manager.</w:t>
            </w:r>
            <w:r w:rsidRPr="004510B6">
              <w:t xml:space="preserve"> This</w:t>
            </w:r>
            <w:r w:rsidR="00064DC1">
              <w:t>, in turn,</w:t>
            </w:r>
            <w:r w:rsidRPr="004510B6">
              <w:t xml:space="preserve"> impacted perceptions of the quality of the service. </w:t>
            </w:r>
          </w:p>
          <w:p w14:paraId="70F64087" w14:textId="6FEFA0AC" w:rsidR="00855EB0" w:rsidRPr="004510B6" w:rsidRDefault="00855EB0" w:rsidP="00BE038D">
            <w:pPr>
              <w:pStyle w:val="TableBullet1"/>
            </w:pPr>
            <w:r w:rsidRPr="004510B6">
              <w:t>Staff turnover in other key roles</w:t>
            </w:r>
            <w:r w:rsidR="00064DC1">
              <w:t>,</w:t>
            </w:r>
            <w:r w:rsidRPr="004510B6">
              <w:t xml:space="preserve"> such as community engagement coordinators</w:t>
            </w:r>
            <w:r w:rsidR="00064DC1">
              <w:t>,</w:t>
            </w:r>
            <w:r w:rsidRPr="004510B6">
              <w:t xml:space="preserve"> also impacted relationships, and where there was a stable staffing group, opportunities for engagement were more common. These views were consistent from counsellors across different locations, including metropolitan and regional services.</w:t>
            </w:r>
          </w:p>
          <w:p w14:paraId="32167A33" w14:textId="49C4BE91" w:rsidR="00855EB0" w:rsidRPr="004510B6" w:rsidRDefault="00064DC1" w:rsidP="00BE038D">
            <w:pPr>
              <w:pStyle w:val="TableBullet1"/>
            </w:pPr>
            <w:r>
              <w:t>Similar to</w:t>
            </w:r>
            <w:r w:rsidRPr="004510B6">
              <w:t xml:space="preserve"> </w:t>
            </w:r>
            <w:r w:rsidR="00855EB0" w:rsidRPr="004510B6">
              <w:t xml:space="preserve">the experiences of GPs, some counsellors also described challenges </w:t>
            </w:r>
            <w:r>
              <w:t xml:space="preserve">in </w:t>
            </w:r>
            <w:r w:rsidR="00855EB0" w:rsidRPr="004510B6">
              <w:t xml:space="preserve">engaging with headspace services for care coordination. It was common that these counsellors did not receive information regarding what happened with their referral for a young person after it was made, unless the young person returned to the counsellor and filled them in. This meant counsellors were unsure </w:t>
            </w:r>
            <w:r>
              <w:t xml:space="preserve">of </w:t>
            </w:r>
            <w:r w:rsidR="00855EB0" w:rsidRPr="004510B6">
              <w:t xml:space="preserve">what additional support might be required for a young person over and above headspace services received. </w:t>
            </w:r>
          </w:p>
          <w:p w14:paraId="235AB372" w14:textId="77777777" w:rsidR="00855EB0" w:rsidRPr="004510B6" w:rsidRDefault="00855EB0" w:rsidP="00BE038D">
            <w:pPr>
              <w:pStyle w:val="TableBullet1"/>
            </w:pPr>
            <w:r w:rsidRPr="004510B6">
              <w:t xml:space="preserve">School and university counsellors in consultations also supported referral to headspace services in most circumstances, however some challenges were reported in supporting headspace. </w:t>
            </w:r>
          </w:p>
          <w:p w14:paraId="69A2E9BD" w14:textId="77777777" w:rsidR="00855EB0" w:rsidRPr="004510B6" w:rsidRDefault="00855EB0" w:rsidP="00BE038D">
            <w:pPr>
              <w:pStyle w:val="TableBullet1"/>
            </w:pPr>
            <w:r w:rsidRPr="004510B6">
              <w:t xml:space="preserve">Some counsellors indicated they have stopped referring young people to headspace services due to current wait times at their local service, and they would prefer an alternative service that might see a young person more quickly. </w:t>
            </w:r>
          </w:p>
          <w:p w14:paraId="29EDE2E2" w14:textId="1BCF9187" w:rsidR="00855EB0" w:rsidRPr="004510B6" w:rsidRDefault="00855EB0" w:rsidP="002D6F7B">
            <w:pPr>
              <w:pStyle w:val="TableBullet1"/>
            </w:pPr>
            <w:r w:rsidRPr="004510B6">
              <w:t xml:space="preserve">A small minority of </w:t>
            </w:r>
            <w:r w:rsidR="00064DC1">
              <w:t>u</w:t>
            </w:r>
            <w:r w:rsidRPr="004510B6">
              <w:t xml:space="preserve">niversity counsellors also indicated that there was limited benefit </w:t>
            </w:r>
            <w:r w:rsidR="00064DC1">
              <w:t xml:space="preserve">in </w:t>
            </w:r>
            <w:r w:rsidRPr="004510B6">
              <w:t>referring a young person to headspace services, as they were not able to provide an additional service in addition to what their university support team could provide. This varied depending on the resources available at institutions and mental health supports offered.</w:t>
            </w:r>
          </w:p>
        </w:tc>
      </w:tr>
      <w:tr w:rsidR="00A46F9C" w:rsidRPr="00B401E2" w14:paraId="7C8A05CD"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13898103" w14:textId="77777777" w:rsidR="00855EB0" w:rsidRPr="00B401E2" w:rsidRDefault="00855EB0" w:rsidP="00A33A8D">
            <w:pPr>
              <w:pStyle w:val="Tabletext"/>
              <w:rPr>
                <w:rFonts w:cstheme="minorHAnsi"/>
              </w:rPr>
            </w:pPr>
            <w:r w:rsidRPr="00B401E2">
              <w:rPr>
                <w:rFonts w:cstheme="minorHAnsi"/>
                <w:szCs w:val="20"/>
              </w:rPr>
              <w:t>To what extent does headspace provide culturally appropriate and inclusive service for young people and their friends and families, inclu</w:t>
            </w:r>
            <w:r w:rsidRPr="00B401E2">
              <w:rPr>
                <w:rFonts w:cstheme="minorHAnsi"/>
              </w:rPr>
              <w:t>ding for vulnerable and diverse population groups and different age groups?</w:t>
            </w:r>
          </w:p>
        </w:tc>
        <w:tc>
          <w:tcPr>
            <w:tcW w:w="3461" w:type="pct"/>
            <w:tcBorders>
              <w:top w:val="single" w:sz="2" w:space="0" w:color="808080" w:themeColor="background1" w:themeShade="80"/>
              <w:left w:val="nil"/>
              <w:bottom w:val="single" w:sz="2" w:space="0" w:color="808080" w:themeColor="background1" w:themeShade="80"/>
              <w:right w:val="nil"/>
            </w:tcBorders>
          </w:tcPr>
          <w:p w14:paraId="1D270225" w14:textId="1980BB8D" w:rsidR="00855EB0" w:rsidRPr="004510B6" w:rsidRDefault="00855EB0" w:rsidP="002D6F7B">
            <w:pPr>
              <w:pStyle w:val="TableBullet1"/>
            </w:pPr>
            <w:r w:rsidRPr="004510B6">
              <w:rPr>
                <w:rStyle w:val="normaltextrun"/>
                <w:color w:val="000000"/>
                <w:shd w:val="clear" w:color="auto" w:fill="FFFFFF"/>
              </w:rPr>
              <w:t xml:space="preserve">School and </w:t>
            </w:r>
            <w:r w:rsidR="00064DC1">
              <w:rPr>
                <w:rStyle w:val="normaltextrun"/>
                <w:color w:val="000000"/>
                <w:shd w:val="clear" w:color="auto" w:fill="FFFFFF"/>
              </w:rPr>
              <w:t>u</w:t>
            </w:r>
            <w:r w:rsidRPr="004510B6">
              <w:rPr>
                <w:rStyle w:val="normaltextrun"/>
                <w:color w:val="000000"/>
                <w:shd w:val="clear" w:color="auto" w:fill="FFFFFF"/>
              </w:rPr>
              <w:t>niversity counsellors identified that</w:t>
            </w:r>
            <w:r w:rsidR="00064DC1">
              <w:rPr>
                <w:rStyle w:val="normaltextrun"/>
                <w:color w:val="000000"/>
                <w:shd w:val="clear" w:color="auto" w:fill="FFFFFF"/>
              </w:rPr>
              <w:t>,</w:t>
            </w:r>
            <w:r w:rsidRPr="004510B6">
              <w:rPr>
                <w:rStyle w:val="normaltextrun"/>
                <w:color w:val="000000"/>
                <w:shd w:val="clear" w:color="auto" w:fill="FFFFFF"/>
              </w:rPr>
              <w:t xml:space="preserve"> in some communities, informal community outreach to remote communities was beneficial. The extent to which this happened varied between </w:t>
            </w:r>
            <w:r w:rsidR="0050072E">
              <w:rPr>
                <w:rStyle w:val="normaltextrun"/>
                <w:color w:val="000000"/>
                <w:shd w:val="clear" w:color="auto" w:fill="FFFFFF"/>
              </w:rPr>
              <w:t>service</w:t>
            </w:r>
            <w:r w:rsidRPr="004510B6">
              <w:rPr>
                <w:rStyle w:val="normaltextrun"/>
                <w:color w:val="000000"/>
                <w:shd w:val="clear" w:color="auto" w:fill="FFFFFF"/>
              </w:rPr>
              <w:t>s.</w:t>
            </w:r>
          </w:p>
        </w:tc>
      </w:tr>
      <w:tr w:rsidR="00A46F9C" w:rsidRPr="00B401E2" w14:paraId="2B2D3C2A"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560D8ACC" w14:textId="77777777" w:rsidR="00855EB0" w:rsidRPr="00B401E2" w:rsidRDefault="00855EB0" w:rsidP="00A33A8D">
            <w:pPr>
              <w:pStyle w:val="Tabletext"/>
              <w:rPr>
                <w:rFonts w:cstheme="minorHAnsi"/>
                <w:szCs w:val="20"/>
              </w:rPr>
            </w:pPr>
            <w:r w:rsidRPr="00B401E2">
              <w:rPr>
                <w:rFonts w:cstheme="minorHAnsi"/>
                <w:szCs w:val="20"/>
              </w:rPr>
              <w:t>To what extent does headspace enable young people and their families to access support where, when and how they want it, and what are the barriers and enablers to this?</w:t>
            </w:r>
          </w:p>
        </w:tc>
        <w:tc>
          <w:tcPr>
            <w:tcW w:w="3461" w:type="pct"/>
            <w:tcBorders>
              <w:top w:val="single" w:sz="2" w:space="0" w:color="808080" w:themeColor="background1" w:themeShade="80"/>
              <w:left w:val="nil"/>
              <w:bottom w:val="single" w:sz="2" w:space="0" w:color="808080" w:themeColor="background1" w:themeShade="80"/>
              <w:right w:val="nil"/>
            </w:tcBorders>
          </w:tcPr>
          <w:p w14:paraId="6092A1BA" w14:textId="2BCF9470" w:rsidR="00855EB0" w:rsidRPr="004510B6" w:rsidRDefault="007F2633" w:rsidP="00B24480">
            <w:pPr>
              <w:pStyle w:val="TableBullet1"/>
            </w:pPr>
            <w:r>
              <w:rPr>
                <w:rStyle w:val="normaltextrun"/>
                <w:rFonts w:eastAsiaTheme="majorEastAsia"/>
              </w:rPr>
              <w:t>There was c</w:t>
            </w:r>
            <w:r w:rsidR="00855EB0" w:rsidRPr="004510B6">
              <w:rPr>
                <w:rStyle w:val="normaltextrun"/>
                <w:rFonts w:eastAsiaTheme="majorEastAsia"/>
              </w:rPr>
              <w:t>onsistent feedback from school and university counsellors that</w:t>
            </w:r>
            <w:r>
              <w:rPr>
                <w:rStyle w:val="normaltextrun"/>
                <w:rFonts w:eastAsiaTheme="majorEastAsia"/>
              </w:rPr>
              <w:t>,</w:t>
            </w:r>
            <w:r w:rsidR="00855EB0" w:rsidRPr="004510B6">
              <w:rPr>
                <w:rStyle w:val="normaltextrun"/>
                <w:rFonts w:eastAsiaTheme="majorEastAsia"/>
              </w:rPr>
              <w:t xml:space="preserve"> often, young people prefer face-to-face supports when they</w:t>
            </w:r>
            <w:r>
              <w:rPr>
                <w:rStyle w:val="normaltextrun"/>
                <w:rFonts w:eastAsiaTheme="majorEastAsia"/>
              </w:rPr>
              <w:t xml:space="preserve"> a</w:t>
            </w:r>
            <w:r w:rsidR="00855EB0" w:rsidRPr="004510B6">
              <w:rPr>
                <w:rStyle w:val="normaltextrun"/>
                <w:rFonts w:eastAsiaTheme="majorEastAsia"/>
              </w:rPr>
              <w:t>re seeking the type of counselling and psychology headspace services provide.</w:t>
            </w:r>
          </w:p>
          <w:p w14:paraId="745352CE" w14:textId="694D8776" w:rsidR="00855EB0" w:rsidRPr="004510B6" w:rsidRDefault="00855EB0" w:rsidP="00B24480">
            <w:pPr>
              <w:pStyle w:val="TableBullet1"/>
            </w:pPr>
            <w:r w:rsidRPr="004510B6">
              <w:rPr>
                <w:rStyle w:val="normaltextrun"/>
                <w:rFonts w:eastAsiaTheme="majorEastAsia"/>
              </w:rPr>
              <w:t xml:space="preserve">School and university counsellors </w:t>
            </w:r>
            <w:r w:rsidR="007F2633">
              <w:rPr>
                <w:rStyle w:val="normaltextrun"/>
                <w:rFonts w:eastAsiaTheme="majorEastAsia"/>
              </w:rPr>
              <w:t>also</w:t>
            </w:r>
            <w:r w:rsidRPr="004510B6">
              <w:rPr>
                <w:rStyle w:val="normaltextrun"/>
                <w:rFonts w:eastAsiaTheme="majorEastAsia"/>
              </w:rPr>
              <w:t xml:space="preserve"> identified alternative service formats, for example drop-in centres and sessions, outreach into schools where a young person can attend a session with a headspace clinician at school, and social groups</w:t>
            </w:r>
            <w:r w:rsidR="007F2633">
              <w:rPr>
                <w:rStyle w:val="normaltextrun"/>
                <w:rFonts w:eastAsiaTheme="majorEastAsia"/>
              </w:rPr>
              <w:t>,</w:t>
            </w:r>
            <w:r w:rsidRPr="004510B6">
              <w:rPr>
                <w:rStyle w:val="normaltextrun"/>
                <w:rFonts w:eastAsiaTheme="majorEastAsia"/>
              </w:rPr>
              <w:t xml:space="preserve"> as important services, particularly for hard-to-reach groups.</w:t>
            </w:r>
          </w:p>
          <w:p w14:paraId="3B9C9ACD" w14:textId="1D8596CD" w:rsidR="00855EB0" w:rsidRPr="004510B6" w:rsidRDefault="00855EB0" w:rsidP="00B24480">
            <w:pPr>
              <w:pStyle w:val="TableBullet1"/>
              <w:rPr>
                <w:rFonts w:eastAsia="Times New Roman" w:cs="Times New Roman"/>
                <w:lang w:eastAsia="en-AU"/>
              </w:rPr>
            </w:pPr>
            <w:r w:rsidRPr="004510B6">
              <w:rPr>
                <w:rFonts w:eastAsia="Times New Roman" w:cs="Times New Roman"/>
                <w:lang w:eastAsia="en-AU"/>
              </w:rPr>
              <w:t xml:space="preserve">School and university counsellors identified that </w:t>
            </w:r>
            <w:r w:rsidR="0050072E">
              <w:rPr>
                <w:rFonts w:eastAsia="Times New Roman" w:cs="Times New Roman"/>
                <w:lang w:eastAsia="en-AU"/>
              </w:rPr>
              <w:t>service</w:t>
            </w:r>
            <w:r w:rsidRPr="004510B6">
              <w:rPr>
                <w:rFonts w:eastAsia="Times New Roman" w:cs="Times New Roman"/>
                <w:lang w:eastAsia="en-AU"/>
              </w:rPr>
              <w:t xml:space="preserve"> location was important to access, with some indicating they did not refer to headspace as they knew the closest </w:t>
            </w:r>
            <w:r w:rsidR="0050072E">
              <w:rPr>
                <w:rFonts w:eastAsia="Times New Roman" w:cs="Times New Roman"/>
                <w:lang w:eastAsia="en-AU"/>
              </w:rPr>
              <w:t>service</w:t>
            </w:r>
            <w:r w:rsidRPr="004510B6">
              <w:rPr>
                <w:rFonts w:eastAsia="Times New Roman" w:cs="Times New Roman"/>
                <w:lang w:eastAsia="en-AU"/>
              </w:rPr>
              <w:t xml:space="preserve"> was not accessible for high school students who </w:t>
            </w:r>
            <w:r w:rsidR="007F2633">
              <w:rPr>
                <w:rFonts w:eastAsia="Times New Roman" w:cs="Times New Roman"/>
                <w:lang w:eastAsia="en-AU"/>
              </w:rPr>
              <w:t>cannot</w:t>
            </w:r>
            <w:r w:rsidR="007F2633" w:rsidRPr="004510B6">
              <w:rPr>
                <w:rFonts w:eastAsia="Times New Roman" w:cs="Times New Roman"/>
                <w:lang w:eastAsia="en-AU"/>
              </w:rPr>
              <w:t xml:space="preserve"> </w:t>
            </w:r>
            <w:r w:rsidRPr="004510B6">
              <w:rPr>
                <w:rFonts w:eastAsia="Times New Roman" w:cs="Times New Roman"/>
                <w:lang w:eastAsia="en-AU"/>
              </w:rPr>
              <w:t>drive.</w:t>
            </w:r>
          </w:p>
          <w:p w14:paraId="01EB8EF5" w14:textId="240F5A3A" w:rsidR="00855EB0" w:rsidRPr="004510B6" w:rsidRDefault="00855EB0" w:rsidP="00B24480">
            <w:pPr>
              <w:pStyle w:val="TableBullet1"/>
              <w:rPr>
                <w:rFonts w:eastAsia="Times New Roman" w:cs="Times New Roman"/>
                <w:lang w:eastAsia="en-AU"/>
              </w:rPr>
            </w:pPr>
            <w:r w:rsidRPr="004510B6">
              <w:rPr>
                <w:rFonts w:eastAsia="Times New Roman" w:cs="Times New Roman"/>
                <w:lang w:eastAsia="en-AU"/>
              </w:rPr>
              <w:t xml:space="preserve">Where there is a distance to </w:t>
            </w:r>
            <w:r w:rsidR="007F2633">
              <w:rPr>
                <w:rFonts w:eastAsia="Times New Roman" w:cs="Times New Roman"/>
                <w:lang w:eastAsia="en-AU"/>
              </w:rPr>
              <w:t xml:space="preserve">travel </w:t>
            </w:r>
            <w:r w:rsidRPr="004510B6">
              <w:rPr>
                <w:rFonts w:eastAsia="Times New Roman" w:cs="Times New Roman"/>
                <w:lang w:eastAsia="en-AU"/>
              </w:rPr>
              <w:t xml:space="preserve">to a </w:t>
            </w:r>
            <w:r w:rsidR="0050072E">
              <w:rPr>
                <w:rFonts w:eastAsia="Times New Roman" w:cs="Times New Roman"/>
                <w:lang w:eastAsia="en-AU"/>
              </w:rPr>
              <w:t>service</w:t>
            </w:r>
            <w:r w:rsidRPr="004510B6">
              <w:rPr>
                <w:rFonts w:eastAsia="Times New Roman" w:cs="Times New Roman"/>
                <w:lang w:eastAsia="en-AU"/>
              </w:rPr>
              <w:t xml:space="preserve">, access requires parental support, which </w:t>
            </w:r>
            <w:r w:rsidR="007F2633">
              <w:rPr>
                <w:rFonts w:eastAsia="Times New Roman" w:cs="Times New Roman"/>
                <w:lang w:eastAsia="en-AU"/>
              </w:rPr>
              <w:t>is not</w:t>
            </w:r>
            <w:r w:rsidR="007F2633" w:rsidRPr="004510B6">
              <w:rPr>
                <w:rFonts w:eastAsia="Times New Roman" w:cs="Times New Roman"/>
                <w:lang w:eastAsia="en-AU"/>
              </w:rPr>
              <w:t xml:space="preserve"> </w:t>
            </w:r>
            <w:r w:rsidRPr="004510B6">
              <w:rPr>
                <w:rFonts w:eastAsia="Times New Roman" w:cs="Times New Roman"/>
                <w:lang w:eastAsia="en-AU"/>
              </w:rPr>
              <w:t>always what the young person wants, or parents may be unsupportive.</w:t>
            </w:r>
          </w:p>
          <w:p w14:paraId="44D7F05F" w14:textId="77777777" w:rsidR="00855EB0" w:rsidRPr="004510B6" w:rsidRDefault="00855EB0" w:rsidP="00B24480">
            <w:pPr>
              <w:pStyle w:val="TableBullet1"/>
              <w:rPr>
                <w:rFonts w:eastAsia="Times New Roman" w:cs="Times New Roman"/>
                <w:lang w:eastAsia="en-AU"/>
              </w:rPr>
            </w:pPr>
            <w:r w:rsidRPr="004510B6">
              <w:rPr>
                <w:rFonts w:eastAsia="Times New Roman" w:cs="Times New Roman"/>
                <w:lang w:eastAsia="en-AU"/>
              </w:rPr>
              <w:t>Deep dives resulted in a consistent theme of lengthy waitlists and access to a multi-disciplinary workforce as strong barriers to accessing support.</w:t>
            </w:r>
          </w:p>
        </w:tc>
      </w:tr>
      <w:tr w:rsidR="00A46F9C" w:rsidRPr="00B401E2" w14:paraId="3F1A4C38"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0169E4F6" w14:textId="77777777" w:rsidR="00855EB0" w:rsidRPr="00B401E2" w:rsidRDefault="00855EB0" w:rsidP="00A33A8D">
            <w:pPr>
              <w:pStyle w:val="Tabletext"/>
              <w:rPr>
                <w:rFonts w:cstheme="minorHAnsi"/>
                <w:szCs w:val="20"/>
              </w:rPr>
            </w:pPr>
            <w:r w:rsidRPr="00B401E2">
              <w:rPr>
                <w:rFonts w:cstheme="minorHAnsi"/>
                <w:szCs w:val="20"/>
              </w:rPr>
              <w:t>To what extent do young people participate in the design and delivery of headspace, and how does this influence young people and their families experience of headspace?</w:t>
            </w:r>
          </w:p>
        </w:tc>
        <w:tc>
          <w:tcPr>
            <w:tcW w:w="3461" w:type="pct"/>
            <w:tcBorders>
              <w:top w:val="single" w:sz="2" w:space="0" w:color="808080" w:themeColor="background1" w:themeShade="80"/>
              <w:left w:val="nil"/>
              <w:bottom w:val="single" w:sz="2" w:space="0" w:color="808080" w:themeColor="background1" w:themeShade="80"/>
              <w:right w:val="nil"/>
            </w:tcBorders>
          </w:tcPr>
          <w:p w14:paraId="568172B4" w14:textId="77777777" w:rsidR="00855EB0" w:rsidRPr="009A6096" w:rsidRDefault="00855EB0" w:rsidP="009A6096">
            <w:pPr>
              <w:pStyle w:val="TableBullet1"/>
            </w:pPr>
            <w:r w:rsidRPr="009A6096">
              <w:t>N/A</w:t>
            </w:r>
          </w:p>
        </w:tc>
      </w:tr>
      <w:tr w:rsidR="00A46F9C" w:rsidRPr="00B401E2" w14:paraId="48DB77BA" w14:textId="77777777" w:rsidTr="00D933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39" w:type="pct"/>
            <w:tcBorders>
              <w:top w:val="single" w:sz="2" w:space="0" w:color="808080" w:themeColor="background1" w:themeShade="80"/>
              <w:left w:val="nil"/>
              <w:bottom w:val="single" w:sz="2" w:space="0" w:color="808080" w:themeColor="background1" w:themeShade="80"/>
              <w:right w:val="nil"/>
            </w:tcBorders>
          </w:tcPr>
          <w:p w14:paraId="6EEAC3B4" w14:textId="77777777" w:rsidR="00855EB0" w:rsidRPr="00B401E2" w:rsidRDefault="00855EB0" w:rsidP="00A33A8D">
            <w:pPr>
              <w:pStyle w:val="Tabletext"/>
              <w:rPr>
                <w:rFonts w:cstheme="minorHAnsi"/>
                <w:szCs w:val="20"/>
              </w:rPr>
            </w:pPr>
            <w:r w:rsidRPr="00B401E2">
              <w:rPr>
                <w:rFonts w:cstheme="minorHAnsi"/>
                <w:szCs w:val="20"/>
              </w:rPr>
              <w:t>How is the establishment of alternative service delivery models assisting headspace to meet its program outcomes?</w:t>
            </w:r>
          </w:p>
        </w:tc>
        <w:tc>
          <w:tcPr>
            <w:tcW w:w="3461" w:type="pct"/>
            <w:tcBorders>
              <w:top w:val="single" w:sz="2" w:space="0" w:color="808080" w:themeColor="background1" w:themeShade="80"/>
              <w:left w:val="nil"/>
              <w:bottom w:val="single" w:sz="2" w:space="0" w:color="808080" w:themeColor="background1" w:themeShade="80"/>
              <w:right w:val="nil"/>
            </w:tcBorders>
          </w:tcPr>
          <w:p w14:paraId="3F62B58B" w14:textId="24A3FAFD" w:rsidR="00855EB0" w:rsidRPr="004510B6" w:rsidRDefault="00855EB0" w:rsidP="00BE038D">
            <w:pPr>
              <w:pStyle w:val="TableBullet1"/>
            </w:pPr>
            <w:r w:rsidRPr="004510B6">
              <w:t xml:space="preserve">There are mixed views from across stakeholders involved in delivering or working with headspace services as to the impact of satellite </w:t>
            </w:r>
            <w:r w:rsidR="006817F2">
              <w:t>service</w:t>
            </w:r>
            <w:r w:rsidRPr="004510B6">
              <w:t xml:space="preserve">s. There is significant positive regard for headspace services, and communities and stakeholders view any headspace services as a positive addition to achieving core objectives. </w:t>
            </w:r>
          </w:p>
        </w:tc>
      </w:tr>
    </w:tbl>
    <w:p w14:paraId="7B714EA1" w14:textId="77777777" w:rsidR="006C76D4" w:rsidRDefault="006C76D4" w:rsidP="001268EC">
      <w:pPr>
        <w:pStyle w:val="Source"/>
      </w:pPr>
      <w:r w:rsidRPr="00055013">
        <w:t>Source: KPMG</w:t>
      </w:r>
      <w:r>
        <w:t xml:space="preserve"> 2022</w:t>
      </w:r>
    </w:p>
    <w:p w14:paraId="268CF96E" w14:textId="0BED2D48" w:rsidR="00855EB0" w:rsidRPr="004819F6" w:rsidRDefault="00855EB0" w:rsidP="009A6096">
      <w:pPr>
        <w:pStyle w:val="AppendixHeading3"/>
      </w:pPr>
      <w:r w:rsidRPr="004819F6">
        <w:t xml:space="preserve">Commonwealth </w:t>
      </w:r>
      <w:r w:rsidR="00B401E2">
        <w:t>government,</w:t>
      </w:r>
      <w:r w:rsidRPr="004819F6">
        <w:t xml:space="preserve"> </w:t>
      </w:r>
      <w:r w:rsidR="00B401E2">
        <w:t>s</w:t>
      </w:r>
      <w:r w:rsidRPr="004819F6">
        <w:t xml:space="preserve">tate and </w:t>
      </w:r>
      <w:r w:rsidR="00B401E2">
        <w:t>t</w:t>
      </w:r>
      <w:r w:rsidRPr="004819F6">
        <w:t>erritor</w:t>
      </w:r>
      <w:r w:rsidR="00B401E2">
        <w:t>y governments and peak bodies</w:t>
      </w:r>
      <w:r w:rsidR="002568C5">
        <w:t xml:space="preserve"> </w:t>
      </w:r>
    </w:p>
    <w:p w14:paraId="0949C928" w14:textId="10C099EB" w:rsidR="00855EB0" w:rsidRPr="000350F2" w:rsidRDefault="00855EB0" w:rsidP="009A6096">
      <w:pPr>
        <w:pStyle w:val="Heading4"/>
      </w:pPr>
      <w:r w:rsidRPr="000350F2">
        <w:t>Evaluation activities and data sources</w:t>
      </w:r>
    </w:p>
    <w:p w14:paraId="2B9D5DF8" w14:textId="0A79BC66" w:rsidR="008B3D3D" w:rsidRPr="002D40AD" w:rsidRDefault="008B3D3D" w:rsidP="002D40AD">
      <w:pPr>
        <w:pStyle w:val="BodyText"/>
      </w:pPr>
      <w:r>
        <w:t>Qualitative themes are sourced from a mix of data described below.</w:t>
      </w:r>
      <w:r w:rsidR="003E620E">
        <w:t xml:space="preserve"> </w:t>
      </w:r>
      <w:r w:rsidR="00A54647">
        <w:t>Thirty-seven</w:t>
      </w:r>
      <w:r w:rsidR="003E620E">
        <w:t xml:space="preserve"> stakeholders contributed.</w:t>
      </w:r>
    </w:p>
    <w:p w14:paraId="6EB6AEFD" w14:textId="6884A3DF" w:rsidR="00855EB0" w:rsidRPr="002260C8" w:rsidRDefault="00855EB0" w:rsidP="00EF56BF">
      <w:pPr>
        <w:pStyle w:val="Bullet1stlevel"/>
      </w:pPr>
      <w:r w:rsidRPr="1FE45145">
        <w:t xml:space="preserve">Consultations with </w:t>
      </w:r>
      <w:r w:rsidR="00A54647">
        <w:t>the</w:t>
      </w:r>
      <w:r w:rsidRPr="1FE45145">
        <w:t xml:space="preserve"> </w:t>
      </w:r>
      <w:r w:rsidR="00A54647">
        <w:t>d</w:t>
      </w:r>
      <w:r w:rsidRPr="1FE45145">
        <w:t>epartment</w:t>
      </w:r>
      <w:r w:rsidR="00A54647">
        <w:t>.</w:t>
      </w:r>
      <w:r w:rsidRPr="1FE45145">
        <w:t xml:space="preserve"> </w:t>
      </w:r>
    </w:p>
    <w:p w14:paraId="7164073C" w14:textId="438F95ED" w:rsidR="00855EB0" w:rsidRDefault="00855EB0" w:rsidP="00EF56BF">
      <w:pPr>
        <w:pStyle w:val="Bullet1stlevel"/>
      </w:pPr>
      <w:r w:rsidRPr="1FE45145">
        <w:t>Stakeholder consultations with State and Territory Governments</w:t>
      </w:r>
    </w:p>
    <w:p w14:paraId="25767538" w14:textId="76777EDC" w:rsidR="00855EB0" w:rsidRPr="00E77539" w:rsidRDefault="00855EB0" w:rsidP="00EF56BF">
      <w:pPr>
        <w:pStyle w:val="Bullet1stlevel"/>
      </w:pPr>
      <w:r w:rsidRPr="1FE45145">
        <w:t xml:space="preserve">Consultation with representatives from </w:t>
      </w:r>
      <w:r w:rsidR="007F2633">
        <w:t>three</w:t>
      </w:r>
      <w:r w:rsidRPr="1FE45145">
        <w:t xml:space="preserve"> national peak bodies and Orygen.</w:t>
      </w:r>
    </w:p>
    <w:p w14:paraId="4CCF660B" w14:textId="608E6642" w:rsidR="0055049B" w:rsidRDefault="0055049B" w:rsidP="0055049B">
      <w:pPr>
        <w:pStyle w:val="Caption"/>
      </w:pPr>
      <w:bookmarkStart w:id="213" w:name="_Toc108108993"/>
      <w:r>
        <w:t xml:space="preserve">Table </w:t>
      </w:r>
      <w:fldSimple w:instr=" SEQ Table \* ARABIC ">
        <w:r w:rsidR="00CC0438">
          <w:rPr>
            <w:noProof/>
          </w:rPr>
          <w:t>43</w:t>
        </w:r>
      </w:fldSimple>
      <w:r>
        <w:t xml:space="preserve"> Stakeholder engagement themes from Commonwealth Government, state and territory governments and peak bodies</w:t>
      </w:r>
      <w:bookmarkEnd w:id="213"/>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keholder engagement themes from Commonwealth Government, state and territory governments and peak bodies"/>
        <w:tblDescription w:val="Table has 2 columns summarising themes from stakeholder engagement with Commonwealth Government, state and territory governments and peak bodies. Column 1 lists specific evaluation questions and column 2 summarises themes against each evaluation question.&#10;"/>
      </w:tblPr>
      <w:tblGrid>
        <w:gridCol w:w="2836"/>
        <w:gridCol w:w="6377"/>
      </w:tblGrid>
      <w:tr w:rsidR="00855EB0" w14:paraId="34A75E7D" w14:textId="77777777" w:rsidTr="009A6096">
        <w:trPr>
          <w:tblHeader/>
        </w:trPr>
        <w:tc>
          <w:tcPr>
            <w:tcW w:w="1539" w:type="pct"/>
            <w:tcBorders>
              <w:top w:val="nil"/>
              <w:left w:val="nil"/>
              <w:bottom w:val="single" w:sz="4" w:space="0" w:color="00338D" w:themeColor="background2"/>
              <w:right w:val="nil"/>
            </w:tcBorders>
            <w:shd w:val="clear" w:color="auto" w:fill="00338D" w:themeFill="background2"/>
            <w:hideMark/>
          </w:tcPr>
          <w:p w14:paraId="4170CA9C" w14:textId="77777777" w:rsidR="00855EB0" w:rsidRPr="004510B6" w:rsidRDefault="00855EB0" w:rsidP="001A4FD1">
            <w:pPr>
              <w:pStyle w:val="Tableheading"/>
              <w:rPr>
                <w:rFonts w:cstheme="minorHAnsi"/>
              </w:rPr>
            </w:pPr>
            <w:r w:rsidRPr="004510B6">
              <w:rPr>
                <w:rFonts w:cstheme="minorHAnsi"/>
              </w:rPr>
              <w:t>Evaluation Question</w:t>
            </w:r>
          </w:p>
        </w:tc>
        <w:tc>
          <w:tcPr>
            <w:tcW w:w="3461" w:type="pct"/>
            <w:tcBorders>
              <w:top w:val="nil"/>
              <w:left w:val="nil"/>
              <w:bottom w:val="single" w:sz="4" w:space="0" w:color="00338D" w:themeColor="background2"/>
              <w:right w:val="nil"/>
            </w:tcBorders>
            <w:shd w:val="clear" w:color="auto" w:fill="00338D" w:themeFill="background2"/>
            <w:hideMark/>
          </w:tcPr>
          <w:p w14:paraId="1F199CF6" w14:textId="77777777" w:rsidR="00855EB0" w:rsidRPr="004510B6" w:rsidRDefault="00855EB0" w:rsidP="001A4FD1">
            <w:pPr>
              <w:pStyle w:val="Tableheading"/>
              <w:ind w:right="-3961"/>
              <w:rPr>
                <w:rFonts w:cstheme="minorHAnsi"/>
              </w:rPr>
            </w:pPr>
            <w:r w:rsidRPr="004510B6">
              <w:rPr>
                <w:rFonts w:cstheme="minorHAnsi"/>
              </w:rPr>
              <w:t>Themes</w:t>
            </w:r>
          </w:p>
        </w:tc>
      </w:tr>
      <w:tr w:rsidR="00855EB0" w14:paraId="4D719FB8" w14:textId="77777777" w:rsidTr="00D93398">
        <w:tc>
          <w:tcPr>
            <w:tcW w:w="1539" w:type="pct"/>
            <w:tcBorders>
              <w:top w:val="single" w:sz="4" w:space="0" w:color="00338D" w:themeColor="background2"/>
              <w:left w:val="nil"/>
              <w:bottom w:val="single" w:sz="2" w:space="0" w:color="808080" w:themeColor="background1" w:themeShade="80"/>
              <w:right w:val="nil"/>
            </w:tcBorders>
            <w:hideMark/>
          </w:tcPr>
          <w:p w14:paraId="2BB68360" w14:textId="05646C3C" w:rsidR="00855EB0" w:rsidRPr="0055049B" w:rsidRDefault="00855EB0" w:rsidP="00A33A8D">
            <w:pPr>
              <w:pStyle w:val="Tabletext"/>
              <w:rPr>
                <w:bCs/>
                <w:i/>
                <w:szCs w:val="20"/>
              </w:rPr>
            </w:pPr>
            <w:r w:rsidRPr="0055049B">
              <w:rPr>
                <w:bCs/>
              </w:rPr>
              <w:t>How effective is headspace</w:t>
            </w:r>
            <w:r w:rsidRPr="0055049B">
              <w:rPr>
                <w:bCs/>
                <w:szCs w:val="20"/>
              </w:rPr>
              <w:t xml:space="preserve"> in increasing mental health literacy?</w:t>
            </w:r>
          </w:p>
        </w:tc>
        <w:tc>
          <w:tcPr>
            <w:tcW w:w="3461" w:type="pct"/>
            <w:tcBorders>
              <w:top w:val="single" w:sz="4" w:space="0" w:color="00338D" w:themeColor="background2"/>
              <w:left w:val="nil"/>
              <w:bottom w:val="single" w:sz="2" w:space="0" w:color="808080" w:themeColor="background1" w:themeShade="80"/>
              <w:right w:val="nil"/>
            </w:tcBorders>
            <w:hideMark/>
          </w:tcPr>
          <w:p w14:paraId="13DAD6DD" w14:textId="77777777" w:rsidR="00855EB0" w:rsidRPr="0009226A" w:rsidRDefault="00855EB0" w:rsidP="002D6F7B">
            <w:pPr>
              <w:pStyle w:val="TableBullet1"/>
            </w:pPr>
            <w:r w:rsidRPr="0009226A">
              <w:t>N/A</w:t>
            </w:r>
          </w:p>
        </w:tc>
      </w:tr>
      <w:tr w:rsidR="00855EB0" w14:paraId="71ED1D98" w14:textId="77777777" w:rsidTr="00D93398">
        <w:tc>
          <w:tcPr>
            <w:tcW w:w="1539" w:type="pct"/>
            <w:tcBorders>
              <w:top w:val="single" w:sz="2" w:space="0" w:color="808080" w:themeColor="background1" w:themeShade="80"/>
              <w:left w:val="nil"/>
              <w:bottom w:val="single" w:sz="2" w:space="0" w:color="808080" w:themeColor="background1" w:themeShade="80"/>
              <w:right w:val="nil"/>
            </w:tcBorders>
            <w:hideMark/>
          </w:tcPr>
          <w:p w14:paraId="1B0941F8" w14:textId="77777777" w:rsidR="00855EB0" w:rsidRPr="004510B6" w:rsidRDefault="00855EB0" w:rsidP="001A4FD1">
            <w:pPr>
              <w:pStyle w:val="Tabletext"/>
              <w:rPr>
                <w:rFonts w:cstheme="minorHAnsi"/>
                <w:szCs w:val="20"/>
              </w:rPr>
            </w:pPr>
            <w:r w:rsidRPr="004510B6">
              <w:rPr>
                <w:rFonts w:cstheme="minorHAnsi"/>
                <w:szCs w:val="20"/>
              </w:rPr>
              <w:t>How effective is headspace in increasing early help seeking?</w:t>
            </w:r>
          </w:p>
        </w:tc>
        <w:tc>
          <w:tcPr>
            <w:tcW w:w="3461" w:type="pct"/>
            <w:tcBorders>
              <w:top w:val="single" w:sz="2" w:space="0" w:color="808080" w:themeColor="background1" w:themeShade="80"/>
              <w:left w:val="nil"/>
              <w:bottom w:val="single" w:sz="2" w:space="0" w:color="808080" w:themeColor="background1" w:themeShade="80"/>
              <w:right w:val="nil"/>
            </w:tcBorders>
            <w:hideMark/>
          </w:tcPr>
          <w:p w14:paraId="4D347EB1" w14:textId="77777777" w:rsidR="00855EB0" w:rsidRPr="0009226A" w:rsidRDefault="00855EB0" w:rsidP="002D6F7B">
            <w:pPr>
              <w:pStyle w:val="TableBullet1"/>
            </w:pPr>
            <w:r w:rsidRPr="0009226A">
              <w:t>N/A</w:t>
            </w:r>
          </w:p>
        </w:tc>
      </w:tr>
      <w:tr w:rsidR="00855EB0" w14:paraId="3F0D736C" w14:textId="77777777" w:rsidTr="00D93398">
        <w:tc>
          <w:tcPr>
            <w:tcW w:w="1539" w:type="pct"/>
            <w:tcBorders>
              <w:top w:val="single" w:sz="2" w:space="0" w:color="808080" w:themeColor="background1" w:themeShade="80"/>
              <w:left w:val="nil"/>
              <w:bottom w:val="single" w:sz="2" w:space="0" w:color="808080" w:themeColor="background1" w:themeShade="80"/>
              <w:right w:val="nil"/>
            </w:tcBorders>
            <w:hideMark/>
          </w:tcPr>
          <w:p w14:paraId="3095537F" w14:textId="77777777" w:rsidR="00855EB0" w:rsidRPr="00B401E2" w:rsidRDefault="00855EB0" w:rsidP="00A33A8D">
            <w:pPr>
              <w:pStyle w:val="Tabletext"/>
              <w:rPr>
                <w:rFonts w:cstheme="minorHAnsi"/>
              </w:rPr>
            </w:pPr>
            <w:r>
              <w:rPr>
                <w:rFonts w:cstheme="minorHAnsi"/>
              </w:rPr>
              <w:t>How effective is headspace in increasing access to required services?</w:t>
            </w:r>
          </w:p>
        </w:tc>
        <w:tc>
          <w:tcPr>
            <w:tcW w:w="3461" w:type="pct"/>
            <w:tcBorders>
              <w:top w:val="single" w:sz="2" w:space="0" w:color="808080" w:themeColor="background1" w:themeShade="80"/>
              <w:left w:val="nil"/>
              <w:bottom w:val="single" w:sz="2" w:space="0" w:color="808080" w:themeColor="background1" w:themeShade="80"/>
              <w:right w:val="nil"/>
            </w:tcBorders>
            <w:hideMark/>
          </w:tcPr>
          <w:p w14:paraId="7D4B632F" w14:textId="5673F3B8" w:rsidR="00855EB0" w:rsidRPr="009A6096" w:rsidRDefault="00855EB0" w:rsidP="002D6F7B">
            <w:pPr>
              <w:pStyle w:val="TableBullet1"/>
            </w:pPr>
            <w:r w:rsidRPr="009A6096">
              <w:t xml:space="preserve">Although a </w:t>
            </w:r>
            <w:r w:rsidR="007F2633" w:rsidRPr="009A6096">
              <w:t xml:space="preserve">considerable amount </w:t>
            </w:r>
            <w:r w:rsidRPr="009A6096">
              <w:t xml:space="preserve">of money has been spent on strategies to reduce waiting times, people are still getting </w:t>
            </w:r>
            <w:r w:rsidR="007F2633" w:rsidRPr="009A6096">
              <w:t>‘</w:t>
            </w:r>
            <w:r w:rsidRPr="009A6096">
              <w:t>stuck</w:t>
            </w:r>
            <w:r w:rsidR="007F2633" w:rsidRPr="009A6096">
              <w:t>’</w:t>
            </w:r>
            <w:r w:rsidRPr="009A6096">
              <w:t xml:space="preserve"> on waiting lists, and therefore more serious cases are not being provided with the care they need. </w:t>
            </w:r>
          </w:p>
          <w:p w14:paraId="5029062C" w14:textId="2F1B3733" w:rsidR="00855EB0" w:rsidRPr="009A6096" w:rsidRDefault="00855EB0" w:rsidP="002D6F7B">
            <w:pPr>
              <w:pStyle w:val="TableBullet1"/>
            </w:pPr>
            <w:r w:rsidRPr="009A6096">
              <w:t>The system appears overwhelmed and unable</w:t>
            </w:r>
            <w:r w:rsidR="007F2633" w:rsidRPr="009A6096">
              <w:t>,</w:t>
            </w:r>
            <w:r w:rsidRPr="009A6096">
              <w:t xml:space="preserve"> at times</w:t>
            </w:r>
            <w:r w:rsidR="007F2633" w:rsidRPr="009A6096">
              <w:t>,</w:t>
            </w:r>
            <w:r w:rsidRPr="009A6096">
              <w:t xml:space="preserve"> to meet the needs of every </w:t>
            </w:r>
            <w:r w:rsidR="005A4FF8" w:rsidRPr="009A6096">
              <w:t xml:space="preserve">young person </w:t>
            </w:r>
            <w:r w:rsidR="007F2633" w:rsidRPr="009A6096">
              <w:t xml:space="preserve">who </w:t>
            </w:r>
            <w:r w:rsidR="005A4FF8" w:rsidRPr="009A6096">
              <w:t>presents at a service.</w:t>
            </w:r>
          </w:p>
          <w:p w14:paraId="50DEA8D0" w14:textId="74EDE950" w:rsidR="00855EB0" w:rsidRPr="004510B6" w:rsidRDefault="00855EB0" w:rsidP="002D6F7B">
            <w:pPr>
              <w:pStyle w:val="TableBullet1"/>
            </w:pPr>
            <w:r w:rsidRPr="004510B6">
              <w:t>Some respondents highlighted the need for different models in metro</w:t>
            </w:r>
            <w:r w:rsidR="007F2633">
              <w:t>politan</w:t>
            </w:r>
            <w:r w:rsidRPr="004510B6">
              <w:t xml:space="preserve"> versus remote regions.</w:t>
            </w:r>
          </w:p>
          <w:p w14:paraId="08FF23CF" w14:textId="77777777" w:rsidR="00855EB0" w:rsidRPr="004510B6" w:rsidRDefault="00855EB0" w:rsidP="002D6F7B">
            <w:pPr>
              <w:pStyle w:val="TableBullet1"/>
            </w:pPr>
            <w:r w:rsidRPr="004510B6">
              <w:t>Adjusting opening hours was suggested to improve access regarding offering appointments before and after hours and on weekends.</w:t>
            </w:r>
          </w:p>
        </w:tc>
      </w:tr>
      <w:tr w:rsidR="00855EB0" w14:paraId="16D3CDA8"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0211CB0F" w14:textId="77777777" w:rsidR="00855EB0" w:rsidRPr="00540316" w:rsidRDefault="00855EB0" w:rsidP="00A33A8D">
            <w:pPr>
              <w:pStyle w:val="Tabletext"/>
              <w:rPr>
                <w:rFonts w:cstheme="minorHAnsi"/>
              </w:rPr>
            </w:pPr>
            <w:r>
              <w:rPr>
                <w:rFonts w:cstheme="minorHAnsi"/>
              </w:rPr>
              <w:t xml:space="preserve">How effective is headspace in supporting ‘hard to reach’ groups, including those </w:t>
            </w:r>
            <w:r w:rsidRPr="00B401E2">
              <w:rPr>
                <w:rFonts w:cstheme="minorHAnsi"/>
              </w:rPr>
              <w:t xml:space="preserve">who are at greater risk and less likely to seek help? </w:t>
            </w:r>
            <w:r w:rsidRPr="00FD3350">
              <w:t>In increasing access for hard-to-reach groups?</w:t>
            </w:r>
          </w:p>
        </w:tc>
        <w:tc>
          <w:tcPr>
            <w:tcW w:w="3461" w:type="pct"/>
            <w:tcBorders>
              <w:top w:val="single" w:sz="2" w:space="0" w:color="808080" w:themeColor="background1" w:themeShade="80"/>
              <w:left w:val="nil"/>
              <w:bottom w:val="single" w:sz="2" w:space="0" w:color="808080" w:themeColor="background1" w:themeShade="80"/>
              <w:right w:val="nil"/>
            </w:tcBorders>
          </w:tcPr>
          <w:p w14:paraId="6737678F" w14:textId="57117614" w:rsidR="00912821" w:rsidRPr="0009226A" w:rsidRDefault="00912821" w:rsidP="00912821">
            <w:pPr>
              <w:pStyle w:val="TableBullet1"/>
            </w:pPr>
            <w:r w:rsidRPr="009A6096">
              <w:t xml:space="preserve">Only in recent times has there been more engagement with </w:t>
            </w:r>
            <w:r w:rsidR="008F207F" w:rsidRPr="009A6096">
              <w:t xml:space="preserve">organisations that support </w:t>
            </w:r>
            <w:r w:rsidRPr="009A6096">
              <w:t>Aboriginal and Torres Strait Islander</w:t>
            </w:r>
            <w:r w:rsidR="00E54A5C">
              <w:t xml:space="preserve"> young people. </w:t>
            </w:r>
            <w:r w:rsidRPr="00B24480">
              <w:t xml:space="preserve">Some headspace </w:t>
            </w:r>
            <w:r w:rsidR="006B2BC4">
              <w:t>services</w:t>
            </w:r>
            <w:r w:rsidR="006B2BC4" w:rsidRPr="00B24480">
              <w:t xml:space="preserve"> </w:t>
            </w:r>
            <w:r w:rsidRPr="00B24480">
              <w:t xml:space="preserve">are </w:t>
            </w:r>
            <w:r w:rsidR="005A4FF8">
              <w:t xml:space="preserve">engaging with this cohort </w:t>
            </w:r>
            <w:r w:rsidRPr="00B24480">
              <w:t>better than others.</w:t>
            </w:r>
          </w:p>
          <w:p w14:paraId="51C53D77" w14:textId="6CDE7556" w:rsidR="00855EB0" w:rsidRPr="004510B6" w:rsidRDefault="00855EB0" w:rsidP="00B24480">
            <w:pPr>
              <w:pStyle w:val="TableBullet1"/>
            </w:pPr>
            <w:r w:rsidRPr="00B24480">
              <w:t xml:space="preserve">States that had </w:t>
            </w:r>
            <w:r w:rsidR="005A4FF8">
              <w:t>larger</w:t>
            </w:r>
            <w:r w:rsidRPr="00B24480">
              <w:t xml:space="preserve"> </w:t>
            </w:r>
            <w:r w:rsidR="007F2633" w:rsidRPr="00B24480">
              <w:t>I</w:t>
            </w:r>
            <w:r w:rsidRPr="00B24480">
              <w:t xml:space="preserve">ndigenous populations felt the model was not culturally adaptive. Improvements could be made with a focus on employing </w:t>
            </w:r>
            <w:r w:rsidR="007F2633" w:rsidRPr="00B24480">
              <w:t>I</w:t>
            </w:r>
            <w:r w:rsidRPr="00B24480">
              <w:t xml:space="preserve">ndigenous staff or more proactive outreach as not </w:t>
            </w:r>
            <w:r w:rsidR="005A4FF8">
              <w:t>all young people feel comfortable presenting at a service.</w:t>
            </w:r>
          </w:p>
        </w:tc>
      </w:tr>
      <w:tr w:rsidR="00855EB0" w14:paraId="2122031B" w14:textId="77777777" w:rsidTr="00D93398">
        <w:trPr>
          <w:cantSplit/>
        </w:trPr>
        <w:tc>
          <w:tcPr>
            <w:tcW w:w="1539" w:type="pct"/>
            <w:tcBorders>
              <w:top w:val="single" w:sz="2" w:space="0" w:color="808080" w:themeColor="background1" w:themeShade="80"/>
              <w:left w:val="nil"/>
              <w:bottom w:val="single" w:sz="2" w:space="0" w:color="808080" w:themeColor="background1" w:themeShade="80"/>
              <w:right w:val="nil"/>
            </w:tcBorders>
          </w:tcPr>
          <w:p w14:paraId="56856E30" w14:textId="77777777" w:rsidR="00855EB0" w:rsidRPr="00FD3350" w:rsidRDefault="00855EB0" w:rsidP="00A33A8D">
            <w:pPr>
              <w:pStyle w:val="Tabletext"/>
              <w:rPr>
                <w:rFonts w:cstheme="minorHAnsi"/>
              </w:rPr>
            </w:pPr>
            <w:r>
              <w:rPr>
                <w:rFonts w:cstheme="minorHAnsi"/>
              </w:rPr>
              <w:t xml:space="preserve">How well does headspace advocate for and promote youth mental health and </w:t>
            </w:r>
            <w:r w:rsidRPr="00B401E2">
              <w:rPr>
                <w:rFonts w:cstheme="minorHAnsi"/>
              </w:rPr>
              <w:t>wellbeing in their communities?</w:t>
            </w:r>
          </w:p>
        </w:tc>
        <w:tc>
          <w:tcPr>
            <w:tcW w:w="3461" w:type="pct"/>
            <w:tcBorders>
              <w:top w:val="single" w:sz="2" w:space="0" w:color="808080" w:themeColor="background1" w:themeShade="80"/>
              <w:left w:val="nil"/>
              <w:bottom w:val="single" w:sz="2" w:space="0" w:color="808080" w:themeColor="background1" w:themeShade="80"/>
              <w:right w:val="nil"/>
            </w:tcBorders>
          </w:tcPr>
          <w:p w14:paraId="57E0FE34" w14:textId="53EBD107" w:rsidR="00855EB0" w:rsidRPr="004510B6" w:rsidRDefault="008A6949" w:rsidP="002D6F7B">
            <w:pPr>
              <w:pStyle w:val="TableBullet1"/>
            </w:pPr>
            <w:r>
              <w:t>headspace</w:t>
            </w:r>
            <w:r w:rsidR="4FA3223E">
              <w:t xml:space="preserve">'s </w:t>
            </w:r>
            <w:r w:rsidR="005A4FF8">
              <w:t>b</w:t>
            </w:r>
            <w:r w:rsidR="00855EB0" w:rsidRPr="0009226A">
              <w:t xml:space="preserve">randing is </w:t>
            </w:r>
            <w:r w:rsidR="005A4FF8">
              <w:t>strong</w:t>
            </w:r>
            <w:r w:rsidR="0050072E">
              <w:t>,</w:t>
            </w:r>
            <w:r w:rsidR="00855EB0" w:rsidRPr="0009226A">
              <w:t xml:space="preserve"> </w:t>
            </w:r>
            <w:r w:rsidR="0050072E">
              <w:t>service</w:t>
            </w:r>
            <w:r w:rsidR="00855EB0" w:rsidRPr="0009226A">
              <w:t xml:space="preserve">s </w:t>
            </w:r>
            <w:r w:rsidR="0050072E">
              <w:t>are</w:t>
            </w:r>
            <w:r w:rsidR="00855EB0" w:rsidRPr="0009226A">
              <w:t xml:space="preserve"> accessible and welcoming</w:t>
            </w:r>
            <w:r w:rsidR="00855EB0" w:rsidRPr="004510B6">
              <w:t>.</w:t>
            </w:r>
          </w:p>
          <w:p w14:paraId="6D84F7C4" w14:textId="39E16052" w:rsidR="00855EB0" w:rsidRPr="004510B6" w:rsidRDefault="00855EB0" w:rsidP="002D6F7B">
            <w:pPr>
              <w:pStyle w:val="TableBullet1"/>
            </w:pPr>
            <w:r w:rsidRPr="004510B6">
              <w:t xml:space="preserve">One respondent thought there could be more </w:t>
            </w:r>
            <w:r w:rsidR="008546F6">
              <w:t>proactive</w:t>
            </w:r>
            <w:r w:rsidR="008546F6" w:rsidRPr="004510B6">
              <w:t xml:space="preserve"> </w:t>
            </w:r>
            <w:r w:rsidRPr="004510B6">
              <w:t>outreach.</w:t>
            </w:r>
          </w:p>
        </w:tc>
      </w:tr>
      <w:tr w:rsidR="00855EB0" w14:paraId="427B9092"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30DDE1AD" w14:textId="4BA2B3AF" w:rsidR="00855EB0" w:rsidRPr="00B401E2" w:rsidRDefault="00855EB0" w:rsidP="00A33A8D">
            <w:pPr>
              <w:pStyle w:val="Tabletext"/>
              <w:rPr>
                <w:rFonts w:cstheme="minorHAnsi"/>
              </w:rPr>
            </w:pPr>
            <w:r>
              <w:rPr>
                <w:rFonts w:cstheme="minorHAnsi"/>
              </w:rPr>
              <w:t>To what extent has headspace reduced stigma associated with mental illness and help</w:t>
            </w:r>
            <w:r w:rsidR="00BD29DF">
              <w:rPr>
                <w:rFonts w:cstheme="minorHAnsi"/>
              </w:rPr>
              <w:t xml:space="preserve"> </w:t>
            </w:r>
            <w:r>
              <w:rPr>
                <w:rFonts w:cstheme="minorHAnsi"/>
              </w:rPr>
              <w:t>seeking for young people, their families and friends, and the community?</w:t>
            </w:r>
          </w:p>
        </w:tc>
        <w:tc>
          <w:tcPr>
            <w:tcW w:w="3461" w:type="pct"/>
            <w:tcBorders>
              <w:top w:val="single" w:sz="2" w:space="0" w:color="808080" w:themeColor="background1" w:themeShade="80"/>
              <w:left w:val="nil"/>
              <w:bottom w:val="single" w:sz="2" w:space="0" w:color="808080" w:themeColor="background1" w:themeShade="80"/>
              <w:right w:val="nil"/>
            </w:tcBorders>
          </w:tcPr>
          <w:p w14:paraId="4B276C89" w14:textId="77777777" w:rsidR="00855EB0" w:rsidRPr="0009226A" w:rsidRDefault="00855EB0" w:rsidP="002D6F7B">
            <w:pPr>
              <w:pStyle w:val="TableBullet1"/>
            </w:pPr>
            <w:r w:rsidRPr="0009226A">
              <w:t>N/A</w:t>
            </w:r>
          </w:p>
        </w:tc>
      </w:tr>
      <w:tr w:rsidR="00855EB0" w14:paraId="3FA856FD"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196611D9" w14:textId="04CF571C" w:rsidR="00855EB0" w:rsidRPr="00FD3350" w:rsidRDefault="00855EB0" w:rsidP="00A33A8D">
            <w:pPr>
              <w:pStyle w:val="Tabletext"/>
              <w:rPr>
                <w:rFonts w:cstheme="minorHAnsi"/>
              </w:rPr>
            </w:pPr>
            <w:r>
              <w:rPr>
                <w:rFonts w:cstheme="minorHAnsi"/>
              </w:rPr>
              <w:t>How effective is headspace in</w:t>
            </w:r>
            <w:r w:rsidRPr="00B401E2">
              <w:rPr>
                <w:rFonts w:cstheme="minorHAnsi"/>
              </w:rPr>
              <w:t xml:space="preserve"> improving pathways to care for young people through service integration and coordination</w:t>
            </w:r>
            <w:r w:rsidR="001F7378">
              <w:rPr>
                <w:rFonts w:cstheme="minorHAnsi"/>
              </w:rPr>
              <w:t>?</w:t>
            </w:r>
          </w:p>
        </w:tc>
        <w:tc>
          <w:tcPr>
            <w:tcW w:w="3461" w:type="pct"/>
            <w:tcBorders>
              <w:top w:val="single" w:sz="2" w:space="0" w:color="808080" w:themeColor="background1" w:themeShade="80"/>
              <w:left w:val="nil"/>
              <w:bottom w:val="single" w:sz="2" w:space="0" w:color="808080" w:themeColor="background1" w:themeShade="80"/>
              <w:right w:val="nil"/>
            </w:tcBorders>
          </w:tcPr>
          <w:p w14:paraId="7BC77F61" w14:textId="323F5350" w:rsidR="00855EB0" w:rsidRPr="009A6096" w:rsidRDefault="00855EB0" w:rsidP="002D6F7B">
            <w:pPr>
              <w:pStyle w:val="TableBullet1"/>
            </w:pPr>
            <w:r w:rsidRPr="009A6096">
              <w:t xml:space="preserve">Integration needs trust between state-based services and other services through PHNs, but often cases </w:t>
            </w:r>
            <w:r w:rsidR="006D795E" w:rsidRPr="009A6096">
              <w:t xml:space="preserve">are </w:t>
            </w:r>
            <w:r w:rsidRPr="009A6096">
              <w:t>not connected to other services</w:t>
            </w:r>
            <w:r w:rsidR="00A557D5" w:rsidRPr="009A6096">
              <w:t xml:space="preserve"> due to poor communication</w:t>
            </w:r>
            <w:r w:rsidRPr="009A6096">
              <w:t xml:space="preserve">, leaving young people </w:t>
            </w:r>
            <w:r w:rsidR="00E50F94" w:rsidRPr="009A6096">
              <w:t>without the supports they need</w:t>
            </w:r>
            <w:r w:rsidRPr="009A6096">
              <w:t>.</w:t>
            </w:r>
          </w:p>
          <w:p w14:paraId="2F6EAC5E" w14:textId="42716A2E" w:rsidR="00855EB0" w:rsidRPr="009A6096" w:rsidRDefault="00855EB0" w:rsidP="002D6F7B">
            <w:pPr>
              <w:pStyle w:val="TableBullet1"/>
            </w:pPr>
            <w:r w:rsidRPr="009A6096">
              <w:t>Vertical integration between headspace and primary health care providers</w:t>
            </w:r>
            <w:r w:rsidR="00186BED" w:rsidRPr="009A6096">
              <w:t xml:space="preserve"> is paramount</w:t>
            </w:r>
            <w:r w:rsidRPr="009A6096">
              <w:t>.</w:t>
            </w:r>
          </w:p>
          <w:p w14:paraId="43D75D00" w14:textId="77777777" w:rsidR="00855EB0" w:rsidRPr="009A6096" w:rsidRDefault="00855EB0" w:rsidP="002D6F7B">
            <w:pPr>
              <w:pStyle w:val="TableBullet1"/>
            </w:pPr>
            <w:r w:rsidRPr="009A6096">
              <w:t>Integration could be improved with shared triage systems which would improve efficiency for clinicians and prevent re-telling of stories.</w:t>
            </w:r>
          </w:p>
          <w:p w14:paraId="3817B473" w14:textId="7CA37373" w:rsidR="00855EB0" w:rsidRPr="009A6096" w:rsidRDefault="00855EB0" w:rsidP="002D6F7B">
            <w:pPr>
              <w:pStyle w:val="TableBullet1"/>
            </w:pPr>
            <w:r w:rsidRPr="009A6096">
              <w:t>Partnerships in consorti</w:t>
            </w:r>
            <w:r w:rsidR="00670986" w:rsidRPr="009A6096">
              <w:t>a</w:t>
            </w:r>
            <w:r w:rsidR="007F2633" w:rsidRPr="009A6096">
              <w:t>,</w:t>
            </w:r>
            <w:r w:rsidRPr="009A6096">
              <w:t xml:space="preserve"> where used, worked well.</w:t>
            </w:r>
          </w:p>
          <w:p w14:paraId="00726564" w14:textId="7193D72B" w:rsidR="00855EB0" w:rsidRPr="004510B6" w:rsidRDefault="00855EB0" w:rsidP="002D6F7B">
            <w:pPr>
              <w:pStyle w:val="TableBullet1"/>
            </w:pPr>
            <w:r w:rsidRPr="009A6096">
              <w:t>Some</w:t>
            </w:r>
            <w:r w:rsidR="00673B8D" w:rsidRPr="009A6096">
              <w:t xml:space="preserve"> stakeholders</w:t>
            </w:r>
            <w:r w:rsidRPr="009A6096">
              <w:t xml:space="preserve"> noted differences in integration with other services across </w:t>
            </w:r>
            <w:r w:rsidR="0050072E" w:rsidRPr="009A6096">
              <w:t>service</w:t>
            </w:r>
            <w:r w:rsidRPr="009A6096">
              <w:t>s.</w:t>
            </w:r>
          </w:p>
        </w:tc>
      </w:tr>
      <w:tr w:rsidR="00855EB0" w14:paraId="79A64DBC"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381E0174" w14:textId="77777777" w:rsidR="00855EB0" w:rsidRPr="00FD3350" w:rsidRDefault="00855EB0" w:rsidP="00A33A8D">
            <w:pPr>
              <w:pStyle w:val="Tabletext"/>
              <w:rPr>
                <w:rFonts w:cstheme="minorHAnsi"/>
              </w:rPr>
            </w:pPr>
            <w:r>
              <w:rPr>
                <w:rFonts w:cstheme="minorHAnsi"/>
              </w:rPr>
              <w:t xml:space="preserve">To what extent is headspace providing localised service </w:t>
            </w:r>
            <w:r w:rsidRPr="00B401E2">
              <w:rPr>
                <w:rFonts w:cstheme="minorHAnsi"/>
              </w:rPr>
              <w:t>offering, and what are the barriers and enablers of this?</w:t>
            </w:r>
          </w:p>
        </w:tc>
        <w:tc>
          <w:tcPr>
            <w:tcW w:w="3461" w:type="pct"/>
            <w:tcBorders>
              <w:top w:val="single" w:sz="2" w:space="0" w:color="808080" w:themeColor="background1" w:themeShade="80"/>
              <w:left w:val="nil"/>
              <w:bottom w:val="single" w:sz="2" w:space="0" w:color="808080" w:themeColor="background1" w:themeShade="80"/>
              <w:right w:val="nil"/>
            </w:tcBorders>
          </w:tcPr>
          <w:p w14:paraId="722A8067" w14:textId="0B75FE95" w:rsidR="00855EB0" w:rsidRPr="004510B6" w:rsidRDefault="00855EB0" w:rsidP="002D6F7B">
            <w:pPr>
              <w:pStyle w:val="TableBullet1"/>
            </w:pPr>
            <w:r w:rsidRPr="004510B6">
              <w:t xml:space="preserve">Some areas provide various headspace </w:t>
            </w:r>
            <w:r w:rsidR="0050072E">
              <w:t>service</w:t>
            </w:r>
            <w:r w:rsidRPr="004510B6">
              <w:t xml:space="preserve">s with different offerings and cater for a variety of cohorts of headspace users. </w:t>
            </w:r>
          </w:p>
          <w:p w14:paraId="638CD146" w14:textId="0DC26E50" w:rsidR="00855EB0" w:rsidRPr="004510B6" w:rsidRDefault="00855EB0" w:rsidP="002D6F7B">
            <w:pPr>
              <w:pStyle w:val="TableBullet1"/>
            </w:pPr>
            <w:r w:rsidRPr="004510B6">
              <w:t xml:space="preserve">One of the biggest barriers is still long waiting lists for care, </w:t>
            </w:r>
            <w:r w:rsidR="007F2633">
              <w:t>and</w:t>
            </w:r>
            <w:r w:rsidRPr="004510B6">
              <w:t xml:space="preserve"> clinical governance.</w:t>
            </w:r>
          </w:p>
          <w:p w14:paraId="2C454CF6" w14:textId="4734AEF0" w:rsidR="00855EB0" w:rsidRPr="004510B6" w:rsidRDefault="00855EB0" w:rsidP="002D6F7B">
            <w:pPr>
              <w:pStyle w:val="TableBullet1"/>
            </w:pPr>
            <w:r w:rsidRPr="004510B6">
              <w:t xml:space="preserve">Workforce shortage and clinical experience limits what level of care some </w:t>
            </w:r>
            <w:r w:rsidR="0050072E">
              <w:t>service</w:t>
            </w:r>
            <w:r w:rsidRPr="004510B6">
              <w:t>s can provide. Attracting staff is difficult.</w:t>
            </w:r>
          </w:p>
        </w:tc>
      </w:tr>
      <w:tr w:rsidR="00855EB0" w14:paraId="60246FCA"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7C01135D" w14:textId="77777777" w:rsidR="00855EB0" w:rsidRPr="00B401E2" w:rsidRDefault="00855EB0" w:rsidP="00A33A8D">
            <w:pPr>
              <w:pStyle w:val="Tabletext"/>
              <w:rPr>
                <w:rFonts w:cstheme="minorHAnsi"/>
              </w:rPr>
            </w:pPr>
            <w:r>
              <w:rPr>
                <w:rFonts w:cstheme="minorHAnsi"/>
              </w:rPr>
              <w:t>What other contributions does headspace make to local communities?</w:t>
            </w:r>
          </w:p>
        </w:tc>
        <w:tc>
          <w:tcPr>
            <w:tcW w:w="3461" w:type="pct"/>
            <w:tcBorders>
              <w:top w:val="single" w:sz="2" w:space="0" w:color="808080" w:themeColor="background1" w:themeShade="80"/>
              <w:left w:val="nil"/>
              <w:bottom w:val="single" w:sz="2" w:space="0" w:color="808080" w:themeColor="background1" w:themeShade="80"/>
              <w:right w:val="nil"/>
            </w:tcBorders>
          </w:tcPr>
          <w:p w14:paraId="5050D08B" w14:textId="6CFBA974" w:rsidR="00855EB0" w:rsidRPr="004510B6" w:rsidRDefault="00A472DA" w:rsidP="002D6F7B">
            <w:pPr>
              <w:pStyle w:val="TableBullet1"/>
            </w:pPr>
            <w:r>
              <w:t>h</w:t>
            </w:r>
            <w:r w:rsidR="00855EB0" w:rsidRPr="0009226A">
              <w:t>eadspace provides support to schools and community in situations around suicide and general engagement around suicide prevention.</w:t>
            </w:r>
          </w:p>
          <w:p w14:paraId="475D44C7" w14:textId="32526CE4" w:rsidR="00855EB0" w:rsidRPr="004510B6" w:rsidRDefault="007F2633" w:rsidP="002D6F7B">
            <w:pPr>
              <w:pStyle w:val="TableBullet1"/>
            </w:pPr>
            <w:r>
              <w:t>It was queried whether</w:t>
            </w:r>
            <w:r w:rsidR="00855EB0" w:rsidRPr="004510B6">
              <w:t xml:space="preserve"> there </w:t>
            </w:r>
            <w:r>
              <w:t xml:space="preserve">could </w:t>
            </w:r>
            <w:r w:rsidR="00855EB0" w:rsidRPr="004510B6">
              <w:t>be better partnerships with other entities</w:t>
            </w:r>
            <w:r>
              <w:t>,</w:t>
            </w:r>
            <w:r w:rsidR="00855EB0" w:rsidRPr="004510B6">
              <w:t xml:space="preserve"> such as education departments</w:t>
            </w:r>
            <w:r>
              <w:t>,</w:t>
            </w:r>
            <w:r w:rsidR="00855EB0" w:rsidRPr="004510B6">
              <w:t xml:space="preserve"> to get information to schools for example.</w:t>
            </w:r>
          </w:p>
        </w:tc>
      </w:tr>
      <w:tr w:rsidR="00855EB0" w14:paraId="275126CB"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70E18EFE" w14:textId="77777777" w:rsidR="00855EB0" w:rsidRPr="000135B3" w:rsidRDefault="00855EB0" w:rsidP="00A33A8D">
            <w:pPr>
              <w:pStyle w:val="Tabletext"/>
              <w:rPr>
                <w:rFonts w:cstheme="minorHAnsi"/>
              </w:rPr>
            </w:pPr>
            <w:r>
              <w:rPr>
                <w:rFonts w:cstheme="minorHAnsi"/>
              </w:rPr>
              <w:t>To what extent does a ‘no-wrong-door’ approach assist headspace to meet its objectives?</w:t>
            </w:r>
          </w:p>
        </w:tc>
        <w:tc>
          <w:tcPr>
            <w:tcW w:w="3461" w:type="pct"/>
            <w:tcBorders>
              <w:top w:val="single" w:sz="2" w:space="0" w:color="808080" w:themeColor="background1" w:themeShade="80"/>
              <w:left w:val="nil"/>
              <w:bottom w:val="single" w:sz="2" w:space="0" w:color="808080" w:themeColor="background1" w:themeShade="80"/>
              <w:right w:val="nil"/>
            </w:tcBorders>
          </w:tcPr>
          <w:p w14:paraId="183794B8" w14:textId="77777777" w:rsidR="00855EB0" w:rsidRPr="0009226A" w:rsidRDefault="00855EB0" w:rsidP="002D6F7B">
            <w:pPr>
              <w:pStyle w:val="TableBullet1"/>
            </w:pPr>
            <w:r w:rsidRPr="0009226A">
              <w:t>N/A</w:t>
            </w:r>
          </w:p>
        </w:tc>
      </w:tr>
      <w:tr w:rsidR="00855EB0" w14:paraId="02C47543"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6F4A0C51" w14:textId="77777777" w:rsidR="00855EB0" w:rsidRPr="000135B3" w:rsidRDefault="00855EB0" w:rsidP="00A33A8D">
            <w:pPr>
              <w:pStyle w:val="Tabletext"/>
              <w:rPr>
                <w:rFonts w:cstheme="minorHAnsi"/>
              </w:rPr>
            </w:pPr>
            <w:r>
              <w:rPr>
                <w:rFonts w:cstheme="minorHAnsi"/>
              </w:rPr>
              <w:t>What is the level of support for headspace from other primary care and mental health service providers?</w:t>
            </w:r>
          </w:p>
        </w:tc>
        <w:tc>
          <w:tcPr>
            <w:tcW w:w="3461" w:type="pct"/>
            <w:tcBorders>
              <w:top w:val="single" w:sz="2" w:space="0" w:color="808080" w:themeColor="background1" w:themeShade="80"/>
              <w:left w:val="nil"/>
              <w:bottom w:val="single" w:sz="2" w:space="0" w:color="808080" w:themeColor="background1" w:themeShade="80"/>
              <w:right w:val="nil"/>
            </w:tcBorders>
          </w:tcPr>
          <w:p w14:paraId="06C75FB6" w14:textId="5B20B803" w:rsidR="00855EB0" w:rsidRPr="004510B6" w:rsidRDefault="00855EB0" w:rsidP="002D6F7B">
            <w:pPr>
              <w:pStyle w:val="TableBullet1"/>
            </w:pPr>
            <w:r w:rsidRPr="0009226A">
              <w:t xml:space="preserve">Responses varied from some </w:t>
            </w:r>
            <w:r w:rsidR="0050072E">
              <w:t>service</w:t>
            </w:r>
            <w:r w:rsidRPr="0009226A">
              <w:t>s and jurisdictions having flexible support from primary care and mental health service p</w:t>
            </w:r>
            <w:r w:rsidRPr="004510B6">
              <w:t>roviders and others not having consistent support.</w:t>
            </w:r>
          </w:p>
          <w:p w14:paraId="29AF8C54" w14:textId="68DD81B4" w:rsidR="00855EB0" w:rsidRPr="004510B6" w:rsidRDefault="00855EB0" w:rsidP="002D6F7B">
            <w:pPr>
              <w:pStyle w:val="TableBullet1"/>
            </w:pPr>
            <w:r w:rsidRPr="004510B6">
              <w:t xml:space="preserve">A few respondents noted that recent lockdowns </w:t>
            </w:r>
            <w:r w:rsidR="00A46BF9">
              <w:t xml:space="preserve">were difficult for some </w:t>
            </w:r>
            <w:r w:rsidR="0050072E">
              <w:t>service</w:t>
            </w:r>
            <w:r w:rsidR="00A46BF9">
              <w:t>s</w:t>
            </w:r>
            <w:r w:rsidRPr="004510B6">
              <w:t xml:space="preserve"> with surrounding private services and family services being closed.</w:t>
            </w:r>
          </w:p>
          <w:p w14:paraId="4EA749BB" w14:textId="62494B34" w:rsidR="00855EB0" w:rsidRPr="004510B6" w:rsidRDefault="00855EB0" w:rsidP="002D6F7B">
            <w:pPr>
              <w:pStyle w:val="TableBullet1"/>
            </w:pPr>
            <w:r w:rsidRPr="004510B6">
              <w:t xml:space="preserve">It can be difficult to get </w:t>
            </w:r>
            <w:r w:rsidR="00E1039D">
              <w:t>appointments in</w:t>
            </w:r>
            <w:r w:rsidR="00E1039D" w:rsidRPr="004510B6">
              <w:t xml:space="preserve"> </w:t>
            </w:r>
            <w:r w:rsidRPr="004510B6">
              <w:t>public health services and the default seemed to be headspace.</w:t>
            </w:r>
          </w:p>
        </w:tc>
      </w:tr>
      <w:tr w:rsidR="00855EB0" w14:paraId="6215244F"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45D33526" w14:textId="77777777" w:rsidR="00855EB0" w:rsidRPr="00FD3350" w:rsidRDefault="00855EB0" w:rsidP="00A33A8D">
            <w:pPr>
              <w:pStyle w:val="Tabletext"/>
              <w:rPr>
                <w:rFonts w:cstheme="minorHAnsi"/>
              </w:rPr>
            </w:pPr>
            <w:r>
              <w:rPr>
                <w:rFonts w:cstheme="minorHAnsi"/>
              </w:rPr>
              <w:t>To what extent does headspa</w:t>
            </w:r>
            <w:r w:rsidRPr="000135B3">
              <w:rPr>
                <w:rFonts w:cstheme="minorHAnsi"/>
              </w:rPr>
              <w:t>ce provide culturally appropriate and inclusive service for young people and their friends and families, including for vulnerable and diverse population groups and different age groups?</w:t>
            </w:r>
          </w:p>
        </w:tc>
        <w:tc>
          <w:tcPr>
            <w:tcW w:w="3461" w:type="pct"/>
            <w:tcBorders>
              <w:top w:val="single" w:sz="2" w:space="0" w:color="808080" w:themeColor="background1" w:themeShade="80"/>
              <w:left w:val="nil"/>
              <w:bottom w:val="single" w:sz="2" w:space="0" w:color="808080" w:themeColor="background1" w:themeShade="80"/>
              <w:right w:val="nil"/>
            </w:tcBorders>
          </w:tcPr>
          <w:p w14:paraId="3149C102" w14:textId="3E4BE680" w:rsidR="009D50DE" w:rsidRPr="0009226A" w:rsidRDefault="00855EB0" w:rsidP="009D50DE">
            <w:pPr>
              <w:pStyle w:val="TableBullet1"/>
            </w:pPr>
            <w:r w:rsidRPr="00B24480">
              <w:rPr>
                <w:rStyle w:val="normaltextrun"/>
              </w:rPr>
              <w:t xml:space="preserve">Only in recent times has there been more engagement with </w:t>
            </w:r>
            <w:r w:rsidR="009D50DE">
              <w:rPr>
                <w:rStyle w:val="normaltextrun"/>
              </w:rPr>
              <w:t xml:space="preserve">organisations that support </w:t>
            </w:r>
            <w:r w:rsidR="00912821">
              <w:rPr>
                <w:rStyle w:val="normaltextrun"/>
              </w:rPr>
              <w:t xml:space="preserve">Aboriginal and Torres Strait </w:t>
            </w:r>
            <w:r w:rsidR="009D50DE">
              <w:rPr>
                <w:rStyle w:val="normaltextrun"/>
              </w:rPr>
              <w:t>Islander</w:t>
            </w:r>
            <w:r w:rsidR="00E54A5C">
              <w:t xml:space="preserve"> young people. </w:t>
            </w:r>
            <w:r w:rsidRPr="00B24480">
              <w:t>Some headspace locations are doing better than others.</w:t>
            </w:r>
          </w:p>
          <w:p w14:paraId="7F84E713" w14:textId="2F09E5D1" w:rsidR="00855EB0" w:rsidRPr="004510B6" w:rsidRDefault="00855EB0" w:rsidP="002D6F7B">
            <w:pPr>
              <w:pStyle w:val="TableBullet1"/>
            </w:pPr>
            <w:r w:rsidRPr="00B24480">
              <w:t xml:space="preserve">It was noted that Aboriginal organisations often do not engage with headspace and that a better understanding of healing in </w:t>
            </w:r>
            <w:r w:rsidR="007F2633" w:rsidRPr="00B24480">
              <w:t>I</w:t>
            </w:r>
            <w:r w:rsidRPr="00B24480">
              <w:t>ndigenous youth was required.</w:t>
            </w:r>
          </w:p>
          <w:p w14:paraId="28A1CBD3" w14:textId="77777777" w:rsidR="00855EB0" w:rsidRPr="004510B6" w:rsidRDefault="00855EB0" w:rsidP="002D6F7B">
            <w:pPr>
              <w:pStyle w:val="TableBullet1"/>
            </w:pPr>
            <w:r w:rsidRPr="004510B6">
              <w:t>Greater recruitment required of a workforce with more live experience and peer workers.</w:t>
            </w:r>
          </w:p>
        </w:tc>
      </w:tr>
      <w:tr w:rsidR="00855EB0" w14:paraId="1AE2F01B"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601ECF8D" w14:textId="77777777" w:rsidR="00855EB0" w:rsidRPr="000135B3" w:rsidRDefault="00855EB0" w:rsidP="00A33A8D">
            <w:pPr>
              <w:pStyle w:val="Tabletext"/>
              <w:rPr>
                <w:rFonts w:cstheme="minorHAnsi"/>
              </w:rPr>
            </w:pPr>
            <w:r>
              <w:rPr>
                <w:rFonts w:cstheme="minorHAnsi"/>
              </w:rPr>
              <w:t>To what extent does headspace enable young people and their families to access support where, when and how they want it, and what are the barriers and enablers to this?</w:t>
            </w:r>
          </w:p>
        </w:tc>
        <w:tc>
          <w:tcPr>
            <w:tcW w:w="3461" w:type="pct"/>
            <w:tcBorders>
              <w:top w:val="single" w:sz="2" w:space="0" w:color="808080" w:themeColor="background1" w:themeShade="80"/>
              <w:left w:val="nil"/>
              <w:bottom w:val="single" w:sz="2" w:space="0" w:color="808080" w:themeColor="background1" w:themeShade="80"/>
              <w:right w:val="nil"/>
            </w:tcBorders>
          </w:tcPr>
          <w:p w14:paraId="190D40CC" w14:textId="77777777" w:rsidR="00855EB0" w:rsidRPr="004510B6" w:rsidRDefault="00855EB0" w:rsidP="002D6F7B">
            <w:pPr>
              <w:pStyle w:val="TableBullet1"/>
            </w:pPr>
            <w:r w:rsidRPr="0009226A">
              <w:t>Some respondents noted the strengths of the headspace model allows for offering a soft entry, easy access for youth to mental health care</w:t>
            </w:r>
            <w:r w:rsidRPr="004510B6">
              <w:t xml:space="preserve"> with no referral required.</w:t>
            </w:r>
          </w:p>
          <w:p w14:paraId="2C7B8D28" w14:textId="77777777" w:rsidR="00855EB0" w:rsidRPr="004510B6" w:rsidRDefault="00855EB0" w:rsidP="002D6F7B">
            <w:pPr>
              <w:pStyle w:val="TableBullet1"/>
            </w:pPr>
            <w:r w:rsidRPr="004510B6">
              <w:t>The branding is visible and has a recognisable name which represented a good starting point for mental health care for youth and their families.</w:t>
            </w:r>
          </w:p>
        </w:tc>
      </w:tr>
      <w:tr w:rsidR="00855EB0" w14:paraId="4F20B06D"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0F21F49C" w14:textId="77777777" w:rsidR="00855EB0" w:rsidRPr="000135B3" w:rsidRDefault="00855EB0" w:rsidP="00A33A8D">
            <w:pPr>
              <w:pStyle w:val="Tabletext"/>
              <w:rPr>
                <w:rFonts w:cstheme="minorHAnsi"/>
              </w:rPr>
            </w:pPr>
            <w:r>
              <w:rPr>
                <w:rFonts w:cstheme="minorHAnsi"/>
              </w:rPr>
              <w:t>To what extent do young people participate in the design and delivery of headspace, and how does this influence young people and their families experience of headspace?</w:t>
            </w:r>
          </w:p>
        </w:tc>
        <w:tc>
          <w:tcPr>
            <w:tcW w:w="3461" w:type="pct"/>
            <w:tcBorders>
              <w:top w:val="single" w:sz="2" w:space="0" w:color="808080" w:themeColor="background1" w:themeShade="80"/>
              <w:left w:val="nil"/>
              <w:bottom w:val="single" w:sz="2" w:space="0" w:color="808080" w:themeColor="background1" w:themeShade="80"/>
              <w:right w:val="nil"/>
            </w:tcBorders>
          </w:tcPr>
          <w:p w14:paraId="24B1AC03" w14:textId="77777777" w:rsidR="00855EB0" w:rsidRPr="0009226A" w:rsidRDefault="00855EB0" w:rsidP="002D6F7B">
            <w:pPr>
              <w:pStyle w:val="TableBullet1"/>
            </w:pPr>
            <w:r w:rsidRPr="0009226A">
              <w:t>N/A</w:t>
            </w:r>
          </w:p>
        </w:tc>
      </w:tr>
      <w:tr w:rsidR="00855EB0" w14:paraId="0C7AA5F3" w14:textId="77777777" w:rsidTr="00D93398">
        <w:tc>
          <w:tcPr>
            <w:tcW w:w="1539" w:type="pct"/>
            <w:tcBorders>
              <w:top w:val="single" w:sz="2" w:space="0" w:color="808080" w:themeColor="background1" w:themeShade="80"/>
              <w:left w:val="nil"/>
              <w:bottom w:val="single" w:sz="2" w:space="0" w:color="808080" w:themeColor="background1" w:themeShade="80"/>
              <w:right w:val="nil"/>
            </w:tcBorders>
          </w:tcPr>
          <w:p w14:paraId="341D2E6C" w14:textId="77777777" w:rsidR="00855EB0" w:rsidRPr="00FD3350" w:rsidRDefault="00855EB0" w:rsidP="00A33A8D">
            <w:pPr>
              <w:pStyle w:val="Tabletext"/>
              <w:rPr>
                <w:rFonts w:cstheme="minorHAnsi"/>
              </w:rPr>
            </w:pPr>
            <w:r>
              <w:rPr>
                <w:rFonts w:cstheme="minorHAnsi"/>
              </w:rPr>
              <w:t xml:space="preserve">How is the </w:t>
            </w:r>
            <w:r w:rsidRPr="000135B3">
              <w:rPr>
                <w:rFonts w:cstheme="minorHAnsi"/>
              </w:rPr>
              <w:t>establishment of alternative service delivery models assisting headspace to meet its program outcomes?</w:t>
            </w:r>
          </w:p>
        </w:tc>
        <w:tc>
          <w:tcPr>
            <w:tcW w:w="3461" w:type="pct"/>
            <w:tcBorders>
              <w:top w:val="single" w:sz="2" w:space="0" w:color="808080" w:themeColor="background1" w:themeShade="80"/>
              <w:left w:val="nil"/>
              <w:bottom w:val="single" w:sz="2" w:space="0" w:color="808080" w:themeColor="background1" w:themeShade="80"/>
              <w:right w:val="nil"/>
            </w:tcBorders>
          </w:tcPr>
          <w:p w14:paraId="5E8AC37E" w14:textId="0C501A28" w:rsidR="00855EB0" w:rsidRPr="004510B6" w:rsidRDefault="00855EB0" w:rsidP="002D6F7B">
            <w:pPr>
              <w:pStyle w:val="TableBullet1"/>
            </w:pPr>
            <w:r w:rsidRPr="0009226A">
              <w:t xml:space="preserve">One respondent </w:t>
            </w:r>
            <w:r w:rsidR="007F2633">
              <w:t>did not</w:t>
            </w:r>
            <w:r w:rsidR="007F2633" w:rsidRPr="0009226A">
              <w:t xml:space="preserve"> </w:t>
            </w:r>
            <w:r w:rsidRPr="0009226A">
              <w:t xml:space="preserve">support satellite </w:t>
            </w:r>
            <w:r w:rsidR="00D6048C">
              <w:t>services</w:t>
            </w:r>
            <w:r w:rsidRPr="0009226A">
              <w:t xml:space="preserve">, although these </w:t>
            </w:r>
            <w:r w:rsidR="00D6048C">
              <w:t>service</w:t>
            </w:r>
            <w:r w:rsidRPr="0009226A">
              <w:t xml:space="preserve">s leveraged the headspace </w:t>
            </w:r>
            <w:r w:rsidRPr="004510B6">
              <w:t>brand</w:t>
            </w:r>
            <w:r w:rsidR="007F2633">
              <w:t>;</w:t>
            </w:r>
            <w:r w:rsidRPr="004510B6">
              <w:t xml:space="preserve"> they thought this would put headspace in a compromising position regarding meeting its program outcomes.</w:t>
            </w:r>
          </w:p>
        </w:tc>
      </w:tr>
    </w:tbl>
    <w:p w14:paraId="3B330130" w14:textId="77777777" w:rsidR="006C76D4" w:rsidRDefault="006C76D4" w:rsidP="001268EC">
      <w:pPr>
        <w:pStyle w:val="Source"/>
      </w:pPr>
      <w:r w:rsidRPr="00055013">
        <w:t>Source: KPMG</w:t>
      </w:r>
      <w:r>
        <w:t xml:space="preserve"> 2022</w:t>
      </w:r>
    </w:p>
    <w:p w14:paraId="33986640" w14:textId="77777777" w:rsidR="00E233E2" w:rsidRDefault="00E233E2" w:rsidP="00855EB0">
      <w:pPr>
        <w:rPr>
          <w:b/>
          <w:bCs/>
        </w:rPr>
        <w:sectPr w:rsidR="00E233E2" w:rsidSect="00E02C03">
          <w:headerReference w:type="default" r:id="rId50"/>
          <w:footerReference w:type="default" r:id="rId51"/>
          <w:pgSz w:w="11906" w:h="16838"/>
          <w:pgMar w:top="1418" w:right="1418" w:bottom="1418" w:left="1418" w:header="709" w:footer="453" w:gutter="0"/>
          <w:cols w:space="708"/>
          <w:docGrid w:linePitch="360"/>
        </w:sectPr>
      </w:pPr>
    </w:p>
    <w:p w14:paraId="4A7C91CB" w14:textId="0F89EC8C" w:rsidR="00860A83" w:rsidRPr="001D6913" w:rsidRDefault="00783F8A" w:rsidP="001E6699">
      <w:pPr>
        <w:pStyle w:val="Appendixheading"/>
      </w:pPr>
      <w:bookmarkStart w:id="214" w:name="_Ref98365249"/>
      <w:bookmarkStart w:id="215" w:name="_Toc108173996"/>
      <w:r>
        <w:t xml:space="preserve">: </w:t>
      </w:r>
      <w:r w:rsidR="00B6307E">
        <w:t>headspace services</w:t>
      </w:r>
      <w:r w:rsidR="00FB4C2B" w:rsidRPr="001D6913">
        <w:t xml:space="preserve"> as at 30</w:t>
      </w:r>
      <w:r w:rsidR="00D47D69">
        <w:t xml:space="preserve"> </w:t>
      </w:r>
      <w:r w:rsidR="00FB4C2B" w:rsidRPr="001D6913">
        <w:t>June 2020</w:t>
      </w:r>
      <w:bookmarkEnd w:id="204"/>
      <w:bookmarkEnd w:id="207"/>
      <w:bookmarkEnd w:id="214"/>
      <w:bookmarkEnd w:id="215"/>
    </w:p>
    <w:p w14:paraId="0E7FFFB9" w14:textId="7860D171" w:rsidR="00B85380" w:rsidRDefault="00B85380" w:rsidP="00B85380">
      <w:pPr>
        <w:pStyle w:val="Caption"/>
      </w:pPr>
      <w:bookmarkStart w:id="216" w:name="_Toc108108994"/>
      <w:r>
        <w:t xml:space="preserve">Table </w:t>
      </w:r>
      <w:r>
        <w:fldChar w:fldCharType="begin"/>
      </w:r>
      <w:r>
        <w:instrText>SEQ Table \* ARABIC</w:instrText>
      </w:r>
      <w:r>
        <w:fldChar w:fldCharType="separate"/>
      </w:r>
      <w:r w:rsidR="00CC0438">
        <w:rPr>
          <w:noProof/>
        </w:rPr>
        <w:t>44</w:t>
      </w:r>
      <w:r>
        <w:fldChar w:fldCharType="end"/>
      </w:r>
      <w:r w:rsidR="00CB55B3">
        <w:t>:</w:t>
      </w:r>
      <w:r>
        <w:t xml:space="preserve"> headspace services open at 30 June 2020</w:t>
      </w:r>
      <w:bookmarkEnd w:id="216"/>
    </w:p>
    <w:tbl>
      <w:tblPr>
        <w:tblStyle w:val="TableGrid"/>
        <w:tblW w:w="48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eadspace services open at 30 June 2020"/>
        <w:tblDescription w:val="Table summarises the location, jurisdiction, PHN and date of opening for all centres including for anaysis in this report."/>
      </w:tblPr>
      <w:tblGrid>
        <w:gridCol w:w="2274"/>
        <w:gridCol w:w="1248"/>
        <w:gridCol w:w="3058"/>
        <w:gridCol w:w="2334"/>
        <w:gridCol w:w="2331"/>
        <w:gridCol w:w="2323"/>
      </w:tblGrid>
      <w:tr w:rsidR="003A38DF" w:rsidRPr="00D65A2D" w14:paraId="0B9F4FC2" w14:textId="03F2A501" w:rsidTr="00AD2662">
        <w:trPr>
          <w:tblHeader/>
        </w:trPr>
        <w:tc>
          <w:tcPr>
            <w:tcW w:w="838" w:type="pct"/>
            <w:tcBorders>
              <w:bottom w:val="single" w:sz="4" w:space="0" w:color="00338D"/>
            </w:tcBorders>
            <w:shd w:val="clear" w:color="auto" w:fill="00338D"/>
            <w:vAlign w:val="center"/>
          </w:tcPr>
          <w:p w14:paraId="39441E49" w14:textId="0D2113F4" w:rsidR="003A38DF" w:rsidRPr="001D6913" w:rsidRDefault="00B179EC" w:rsidP="00AD2662">
            <w:pPr>
              <w:pStyle w:val="Tableheading"/>
            </w:pPr>
            <w:r>
              <w:t>Service</w:t>
            </w:r>
          </w:p>
        </w:tc>
        <w:tc>
          <w:tcPr>
            <w:tcW w:w="460" w:type="pct"/>
            <w:tcBorders>
              <w:bottom w:val="single" w:sz="4" w:space="0" w:color="00338D"/>
            </w:tcBorders>
            <w:shd w:val="clear" w:color="auto" w:fill="00338D"/>
            <w:vAlign w:val="center"/>
          </w:tcPr>
          <w:p w14:paraId="054A9996" w14:textId="721C1C9D" w:rsidR="003A38DF" w:rsidRPr="001D6913" w:rsidRDefault="004C4E44" w:rsidP="00AD2662">
            <w:pPr>
              <w:pStyle w:val="Tableheading"/>
            </w:pPr>
            <w:r w:rsidRPr="001D6913">
              <w:t>State</w:t>
            </w:r>
          </w:p>
        </w:tc>
        <w:tc>
          <w:tcPr>
            <w:tcW w:w="1127" w:type="pct"/>
            <w:tcBorders>
              <w:bottom w:val="single" w:sz="4" w:space="0" w:color="00338D"/>
            </w:tcBorders>
            <w:shd w:val="clear" w:color="auto" w:fill="00338D"/>
            <w:vAlign w:val="center"/>
          </w:tcPr>
          <w:p w14:paraId="19F2B269" w14:textId="5485ECBD" w:rsidR="003A38DF" w:rsidRPr="001D6913" w:rsidRDefault="004C4E44" w:rsidP="00AD2662">
            <w:pPr>
              <w:pStyle w:val="Tableheading"/>
            </w:pPr>
            <w:r w:rsidRPr="001D6913">
              <w:t>PHN</w:t>
            </w:r>
          </w:p>
        </w:tc>
        <w:tc>
          <w:tcPr>
            <w:tcW w:w="860" w:type="pct"/>
            <w:tcBorders>
              <w:bottom w:val="single" w:sz="4" w:space="0" w:color="00338D"/>
            </w:tcBorders>
            <w:shd w:val="clear" w:color="auto" w:fill="00338D"/>
            <w:vAlign w:val="center"/>
          </w:tcPr>
          <w:p w14:paraId="71FE2931" w14:textId="78FEE7E7" w:rsidR="0074417E" w:rsidRDefault="0074417E" w:rsidP="00AD2662">
            <w:pPr>
              <w:pStyle w:val="Tableheading"/>
            </w:pPr>
            <w:r>
              <w:t>Service type</w:t>
            </w:r>
          </w:p>
        </w:tc>
        <w:tc>
          <w:tcPr>
            <w:tcW w:w="859" w:type="pct"/>
            <w:tcBorders>
              <w:bottom w:val="single" w:sz="4" w:space="0" w:color="00338D"/>
            </w:tcBorders>
            <w:shd w:val="clear" w:color="auto" w:fill="00338D"/>
            <w:vAlign w:val="center"/>
          </w:tcPr>
          <w:p w14:paraId="0EB3325A" w14:textId="66F8CDDB" w:rsidR="003A38DF" w:rsidRPr="001D6913" w:rsidRDefault="004C4E44" w:rsidP="00AD2662">
            <w:pPr>
              <w:pStyle w:val="Tableheading"/>
            </w:pPr>
            <w:r w:rsidRPr="001D6913">
              <w:t>Date opened</w:t>
            </w:r>
          </w:p>
        </w:tc>
        <w:tc>
          <w:tcPr>
            <w:tcW w:w="856" w:type="pct"/>
            <w:tcBorders>
              <w:bottom w:val="single" w:sz="4" w:space="0" w:color="00338D"/>
            </w:tcBorders>
            <w:shd w:val="clear" w:color="auto" w:fill="00338D"/>
            <w:vAlign w:val="center"/>
          </w:tcPr>
          <w:p w14:paraId="3DB0C8AA" w14:textId="76ABE8C1" w:rsidR="0074417E" w:rsidRDefault="0074417E" w:rsidP="00AD2662">
            <w:pPr>
              <w:pStyle w:val="Tableheading"/>
            </w:pPr>
            <w:r>
              <w:t>Analysis</w:t>
            </w:r>
            <w:r w:rsidR="00046393">
              <w:t xml:space="preserve"> inclusion</w:t>
            </w:r>
          </w:p>
        </w:tc>
      </w:tr>
      <w:tr w:rsidR="003A38DF" w14:paraId="29093F87" w14:textId="23718666" w:rsidTr="00AD2662">
        <w:tc>
          <w:tcPr>
            <w:tcW w:w="838" w:type="pct"/>
            <w:tcBorders>
              <w:top w:val="single" w:sz="4" w:space="0" w:color="00338D"/>
              <w:bottom w:val="single" w:sz="2" w:space="0" w:color="808080" w:themeColor="background1" w:themeShade="80"/>
            </w:tcBorders>
            <w:vAlign w:val="center"/>
          </w:tcPr>
          <w:p w14:paraId="79C38DA1" w14:textId="3E6539E2" w:rsidR="003A38DF" w:rsidRPr="001D6913" w:rsidRDefault="0072471E" w:rsidP="00AD2662">
            <w:pPr>
              <w:pStyle w:val="Tabletext"/>
            </w:pPr>
            <w:r w:rsidRPr="001D6913">
              <w:t>Adelaide</w:t>
            </w:r>
          </w:p>
        </w:tc>
        <w:tc>
          <w:tcPr>
            <w:tcW w:w="460" w:type="pct"/>
            <w:tcBorders>
              <w:top w:val="single" w:sz="4" w:space="0" w:color="00338D"/>
              <w:bottom w:val="single" w:sz="2" w:space="0" w:color="808080" w:themeColor="background1" w:themeShade="80"/>
            </w:tcBorders>
            <w:vAlign w:val="center"/>
          </w:tcPr>
          <w:p w14:paraId="5E1D569E" w14:textId="7D05BE44" w:rsidR="003A38DF" w:rsidRPr="001D6913" w:rsidRDefault="006473D9" w:rsidP="00AD2662">
            <w:pPr>
              <w:pStyle w:val="Tabletext"/>
            </w:pPr>
            <w:r w:rsidRPr="001D6913">
              <w:t>SA</w:t>
            </w:r>
          </w:p>
        </w:tc>
        <w:tc>
          <w:tcPr>
            <w:tcW w:w="1127" w:type="pct"/>
            <w:tcBorders>
              <w:top w:val="single" w:sz="4" w:space="0" w:color="00338D"/>
              <w:bottom w:val="single" w:sz="2" w:space="0" w:color="808080" w:themeColor="background1" w:themeShade="80"/>
            </w:tcBorders>
            <w:vAlign w:val="center"/>
          </w:tcPr>
          <w:p w14:paraId="2690D26D" w14:textId="0061E4D0" w:rsidR="003A38DF" w:rsidRPr="001D6913" w:rsidRDefault="004D1390" w:rsidP="00AD2662">
            <w:pPr>
              <w:pStyle w:val="Tabletext"/>
            </w:pPr>
            <w:r w:rsidRPr="001D6913">
              <w:t>Adelaide</w:t>
            </w:r>
          </w:p>
        </w:tc>
        <w:tc>
          <w:tcPr>
            <w:tcW w:w="860" w:type="pct"/>
            <w:tcBorders>
              <w:top w:val="single" w:sz="4" w:space="0" w:color="00338D"/>
              <w:bottom w:val="single" w:sz="2" w:space="0" w:color="808080" w:themeColor="background1" w:themeShade="80"/>
            </w:tcBorders>
            <w:vAlign w:val="center"/>
          </w:tcPr>
          <w:p w14:paraId="45F7BB5E" w14:textId="065BA9EF" w:rsidR="00372D21" w:rsidRDefault="00372D21" w:rsidP="00AD2662">
            <w:pPr>
              <w:pStyle w:val="Tabletext"/>
            </w:pPr>
            <w:r>
              <w:t>headspace centre</w:t>
            </w:r>
          </w:p>
        </w:tc>
        <w:tc>
          <w:tcPr>
            <w:tcW w:w="859" w:type="pct"/>
            <w:tcBorders>
              <w:top w:val="single" w:sz="4" w:space="0" w:color="00338D"/>
              <w:bottom w:val="single" w:sz="2" w:space="0" w:color="808080" w:themeColor="background1" w:themeShade="80"/>
            </w:tcBorders>
            <w:vAlign w:val="center"/>
          </w:tcPr>
          <w:p w14:paraId="1CE57013" w14:textId="37BF6E50" w:rsidR="003A38DF" w:rsidRPr="001D6913" w:rsidRDefault="00323E20" w:rsidP="00AD2662">
            <w:pPr>
              <w:pStyle w:val="Tabletext"/>
            </w:pPr>
            <w:r w:rsidRPr="001D6913">
              <w:t>August 2015</w:t>
            </w:r>
          </w:p>
        </w:tc>
        <w:tc>
          <w:tcPr>
            <w:tcW w:w="856" w:type="pct"/>
            <w:tcBorders>
              <w:top w:val="single" w:sz="4" w:space="0" w:color="00338D"/>
              <w:bottom w:val="single" w:sz="2" w:space="0" w:color="808080" w:themeColor="background1" w:themeShade="80"/>
            </w:tcBorders>
            <w:vAlign w:val="center"/>
          </w:tcPr>
          <w:p w14:paraId="4F301D54" w14:textId="2AA31D43" w:rsidR="00372D21" w:rsidRPr="00003839" w:rsidRDefault="00372D21" w:rsidP="00AD2662">
            <w:pPr>
              <w:pStyle w:val="Tabletext"/>
            </w:pPr>
            <w:r w:rsidRPr="00003839">
              <w:t>All analysis</w:t>
            </w:r>
          </w:p>
        </w:tc>
      </w:tr>
      <w:tr w:rsidR="003A38DF" w14:paraId="0A954436" w14:textId="790CDD05" w:rsidTr="00AD2662">
        <w:tc>
          <w:tcPr>
            <w:tcW w:w="838" w:type="pct"/>
            <w:tcBorders>
              <w:top w:val="single" w:sz="2" w:space="0" w:color="808080" w:themeColor="background1" w:themeShade="80"/>
              <w:bottom w:val="single" w:sz="2" w:space="0" w:color="808080" w:themeColor="background1" w:themeShade="80"/>
            </w:tcBorders>
            <w:vAlign w:val="center"/>
          </w:tcPr>
          <w:p w14:paraId="6894F171" w14:textId="18B303B7" w:rsidR="003A38DF" w:rsidRPr="001D6913" w:rsidRDefault="0072471E" w:rsidP="00AD2662">
            <w:pPr>
              <w:pStyle w:val="Tabletext"/>
            </w:pPr>
            <w:r w:rsidRPr="001D6913">
              <w:t>Albany</w:t>
            </w:r>
          </w:p>
        </w:tc>
        <w:tc>
          <w:tcPr>
            <w:tcW w:w="460" w:type="pct"/>
            <w:tcBorders>
              <w:top w:val="single" w:sz="2" w:space="0" w:color="808080" w:themeColor="background1" w:themeShade="80"/>
              <w:bottom w:val="single" w:sz="2" w:space="0" w:color="808080" w:themeColor="background1" w:themeShade="80"/>
            </w:tcBorders>
            <w:vAlign w:val="center"/>
          </w:tcPr>
          <w:p w14:paraId="34FF5A03" w14:textId="606130C2" w:rsidR="003A38DF" w:rsidRPr="001D6913" w:rsidRDefault="006473D9"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432CF663" w14:textId="4693BA02" w:rsidR="003A38DF" w:rsidRPr="001D6913" w:rsidRDefault="004D1390" w:rsidP="00AD2662">
            <w:pPr>
              <w:pStyle w:val="Tabletext"/>
            </w:pPr>
            <w:r w:rsidRPr="001D6913">
              <w:t>Country WA</w:t>
            </w:r>
          </w:p>
        </w:tc>
        <w:tc>
          <w:tcPr>
            <w:tcW w:w="860" w:type="pct"/>
            <w:tcBorders>
              <w:top w:val="single" w:sz="2" w:space="0" w:color="808080" w:themeColor="background1" w:themeShade="80"/>
              <w:bottom w:val="single" w:sz="2" w:space="0" w:color="808080" w:themeColor="background1" w:themeShade="80"/>
            </w:tcBorders>
            <w:vAlign w:val="center"/>
          </w:tcPr>
          <w:p w14:paraId="1C6EABF2" w14:textId="60422FC9" w:rsidR="00372D21" w:rsidRPr="006B2DB0" w:rsidRDefault="00372D21" w:rsidP="00AD2662">
            <w:pPr>
              <w:pStyle w:val="Tabletext"/>
            </w:pPr>
            <w:r w:rsidRPr="006B2DB0">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EF510E1" w14:textId="7EBC64A9" w:rsidR="003A38DF" w:rsidRPr="001D6913" w:rsidRDefault="00323E20" w:rsidP="00AD2662">
            <w:pPr>
              <w:pStyle w:val="Tabletext"/>
            </w:pPr>
            <w:r w:rsidRPr="001D6913">
              <w:t>October 2007</w:t>
            </w:r>
          </w:p>
        </w:tc>
        <w:tc>
          <w:tcPr>
            <w:tcW w:w="856" w:type="pct"/>
            <w:tcBorders>
              <w:top w:val="single" w:sz="2" w:space="0" w:color="808080" w:themeColor="background1" w:themeShade="80"/>
              <w:bottom w:val="single" w:sz="2" w:space="0" w:color="808080" w:themeColor="background1" w:themeShade="80"/>
            </w:tcBorders>
            <w:vAlign w:val="center"/>
          </w:tcPr>
          <w:p w14:paraId="7054E4A9" w14:textId="4EA65247" w:rsidR="00372D21" w:rsidRPr="00003839" w:rsidRDefault="00372D21" w:rsidP="00AD2662">
            <w:pPr>
              <w:pStyle w:val="Tabletext"/>
            </w:pPr>
            <w:r w:rsidRPr="00003839">
              <w:t>All analysis</w:t>
            </w:r>
          </w:p>
        </w:tc>
      </w:tr>
      <w:tr w:rsidR="003A38DF" w14:paraId="675187B2" w14:textId="46CCE543" w:rsidTr="00AD2662">
        <w:tc>
          <w:tcPr>
            <w:tcW w:w="838" w:type="pct"/>
            <w:tcBorders>
              <w:top w:val="single" w:sz="2" w:space="0" w:color="808080" w:themeColor="background1" w:themeShade="80"/>
              <w:bottom w:val="single" w:sz="2" w:space="0" w:color="808080" w:themeColor="background1" w:themeShade="80"/>
            </w:tcBorders>
            <w:vAlign w:val="center"/>
          </w:tcPr>
          <w:p w14:paraId="1B666F23" w14:textId="26A23FF3" w:rsidR="003A38DF" w:rsidRPr="001D6913" w:rsidRDefault="0072471E" w:rsidP="00AD2662">
            <w:pPr>
              <w:pStyle w:val="Tabletext"/>
            </w:pPr>
            <w:r w:rsidRPr="001D6913">
              <w:t>Albury-Wodonga</w:t>
            </w:r>
          </w:p>
        </w:tc>
        <w:tc>
          <w:tcPr>
            <w:tcW w:w="460" w:type="pct"/>
            <w:tcBorders>
              <w:top w:val="single" w:sz="2" w:space="0" w:color="808080" w:themeColor="background1" w:themeShade="80"/>
              <w:bottom w:val="single" w:sz="2" w:space="0" w:color="808080" w:themeColor="background1" w:themeShade="80"/>
            </w:tcBorders>
            <w:vAlign w:val="center"/>
          </w:tcPr>
          <w:p w14:paraId="43C248F0" w14:textId="0B987EA3" w:rsidR="003A38DF" w:rsidRPr="001D6913" w:rsidRDefault="006473D9"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0F74F402" w14:textId="2C53AC48" w:rsidR="003A38DF" w:rsidRPr="001D6913" w:rsidRDefault="004D1390" w:rsidP="00AD2662">
            <w:pPr>
              <w:pStyle w:val="Tabletext"/>
            </w:pPr>
            <w:r w:rsidRPr="001D6913">
              <w:t>Murray</w:t>
            </w:r>
          </w:p>
        </w:tc>
        <w:tc>
          <w:tcPr>
            <w:tcW w:w="860" w:type="pct"/>
            <w:tcBorders>
              <w:top w:val="single" w:sz="2" w:space="0" w:color="808080" w:themeColor="background1" w:themeShade="80"/>
              <w:bottom w:val="single" w:sz="2" w:space="0" w:color="808080" w:themeColor="background1" w:themeShade="80"/>
            </w:tcBorders>
            <w:vAlign w:val="center"/>
          </w:tcPr>
          <w:p w14:paraId="7776CD36" w14:textId="66301D8A" w:rsidR="00372D21" w:rsidRPr="006B2DB0" w:rsidRDefault="00372D21" w:rsidP="00AD2662">
            <w:pPr>
              <w:pStyle w:val="Tabletext"/>
            </w:pPr>
            <w:r w:rsidRPr="006B2DB0">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4C1BBE2" w14:textId="53F19F3D" w:rsidR="003A38DF" w:rsidRPr="001D6913" w:rsidRDefault="00F03D18" w:rsidP="00AD2662">
            <w:pPr>
              <w:pStyle w:val="Tabletext"/>
            </w:pPr>
            <w:r w:rsidRPr="001D6913">
              <w:t>December 2014</w:t>
            </w:r>
          </w:p>
        </w:tc>
        <w:tc>
          <w:tcPr>
            <w:tcW w:w="856" w:type="pct"/>
            <w:tcBorders>
              <w:top w:val="single" w:sz="2" w:space="0" w:color="808080" w:themeColor="background1" w:themeShade="80"/>
              <w:bottom w:val="single" w:sz="2" w:space="0" w:color="808080" w:themeColor="background1" w:themeShade="80"/>
            </w:tcBorders>
            <w:vAlign w:val="center"/>
          </w:tcPr>
          <w:p w14:paraId="4D62A5B1" w14:textId="5DAF5DCF" w:rsidR="00372D21" w:rsidRPr="00003839" w:rsidRDefault="00372D21" w:rsidP="00AD2662">
            <w:pPr>
              <w:pStyle w:val="Tabletext"/>
            </w:pPr>
            <w:r w:rsidRPr="00003839">
              <w:t>All analysis</w:t>
            </w:r>
          </w:p>
        </w:tc>
      </w:tr>
      <w:tr w:rsidR="003A38DF" w14:paraId="34C78222" w14:textId="5EBCF610" w:rsidTr="00AD2662">
        <w:tc>
          <w:tcPr>
            <w:tcW w:w="838" w:type="pct"/>
            <w:tcBorders>
              <w:top w:val="single" w:sz="2" w:space="0" w:color="808080" w:themeColor="background1" w:themeShade="80"/>
              <w:bottom w:val="single" w:sz="2" w:space="0" w:color="808080" w:themeColor="background1" w:themeShade="80"/>
            </w:tcBorders>
            <w:vAlign w:val="center"/>
          </w:tcPr>
          <w:p w14:paraId="3DCF9327" w14:textId="397C1728" w:rsidR="003A38DF" w:rsidRPr="001D6913" w:rsidRDefault="0072471E" w:rsidP="00AD2662">
            <w:pPr>
              <w:pStyle w:val="Tabletext"/>
            </w:pPr>
            <w:r w:rsidRPr="001D6913">
              <w:t>Alice Springs</w:t>
            </w:r>
          </w:p>
        </w:tc>
        <w:tc>
          <w:tcPr>
            <w:tcW w:w="460" w:type="pct"/>
            <w:tcBorders>
              <w:top w:val="single" w:sz="2" w:space="0" w:color="808080" w:themeColor="background1" w:themeShade="80"/>
              <w:bottom w:val="single" w:sz="2" w:space="0" w:color="808080" w:themeColor="background1" w:themeShade="80"/>
            </w:tcBorders>
            <w:vAlign w:val="center"/>
          </w:tcPr>
          <w:p w14:paraId="5F4D10B0" w14:textId="743EE5DD" w:rsidR="003A38DF" w:rsidRPr="001D6913" w:rsidRDefault="006473D9" w:rsidP="00AD2662">
            <w:pPr>
              <w:pStyle w:val="Tabletext"/>
            </w:pPr>
            <w:r w:rsidRPr="001D6913">
              <w:t>NT</w:t>
            </w:r>
          </w:p>
        </w:tc>
        <w:tc>
          <w:tcPr>
            <w:tcW w:w="1127" w:type="pct"/>
            <w:tcBorders>
              <w:top w:val="single" w:sz="2" w:space="0" w:color="808080" w:themeColor="background1" w:themeShade="80"/>
              <w:bottom w:val="single" w:sz="2" w:space="0" w:color="808080" w:themeColor="background1" w:themeShade="80"/>
            </w:tcBorders>
            <w:vAlign w:val="center"/>
          </w:tcPr>
          <w:p w14:paraId="2A8621C1" w14:textId="210507F2" w:rsidR="003A38DF" w:rsidRPr="001D6913" w:rsidRDefault="004D1390" w:rsidP="00AD2662">
            <w:pPr>
              <w:pStyle w:val="Tabletext"/>
            </w:pPr>
            <w:r w:rsidRPr="001D6913">
              <w:t>Northern Territory</w:t>
            </w:r>
          </w:p>
        </w:tc>
        <w:tc>
          <w:tcPr>
            <w:tcW w:w="860" w:type="pct"/>
            <w:tcBorders>
              <w:top w:val="single" w:sz="2" w:space="0" w:color="808080" w:themeColor="background1" w:themeShade="80"/>
              <w:bottom w:val="single" w:sz="2" w:space="0" w:color="808080" w:themeColor="background1" w:themeShade="80"/>
            </w:tcBorders>
            <w:vAlign w:val="center"/>
          </w:tcPr>
          <w:p w14:paraId="369E6ABC" w14:textId="5EEA2A12" w:rsidR="00372D21" w:rsidRPr="006B2DB0" w:rsidRDefault="00372D21" w:rsidP="00AD2662">
            <w:pPr>
              <w:pStyle w:val="Tabletext"/>
            </w:pPr>
            <w:r w:rsidRPr="006B2DB0">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6C9BF94" w14:textId="1EE0F186" w:rsidR="003A38DF" w:rsidRPr="001D6913" w:rsidRDefault="00F03D18" w:rsidP="00AD2662">
            <w:pPr>
              <w:pStyle w:val="Tabletext"/>
            </w:pPr>
            <w:r w:rsidRPr="001D6913">
              <w:t>November 2008</w:t>
            </w:r>
          </w:p>
        </w:tc>
        <w:tc>
          <w:tcPr>
            <w:tcW w:w="856" w:type="pct"/>
            <w:tcBorders>
              <w:top w:val="single" w:sz="2" w:space="0" w:color="808080" w:themeColor="background1" w:themeShade="80"/>
              <w:bottom w:val="single" w:sz="2" w:space="0" w:color="808080" w:themeColor="background1" w:themeShade="80"/>
            </w:tcBorders>
            <w:vAlign w:val="center"/>
          </w:tcPr>
          <w:p w14:paraId="4D5BC58B" w14:textId="2BAEBD3F" w:rsidR="00372D21" w:rsidRPr="00003839" w:rsidRDefault="00372D21" w:rsidP="00AD2662">
            <w:pPr>
              <w:pStyle w:val="Tabletext"/>
            </w:pPr>
            <w:r w:rsidRPr="00003839">
              <w:t>All analysis</w:t>
            </w:r>
          </w:p>
        </w:tc>
      </w:tr>
      <w:tr w:rsidR="0072471E" w14:paraId="0D8147FF" w14:textId="1E2EB588" w:rsidTr="00AD2662">
        <w:tc>
          <w:tcPr>
            <w:tcW w:w="838" w:type="pct"/>
            <w:tcBorders>
              <w:top w:val="single" w:sz="2" w:space="0" w:color="808080" w:themeColor="background1" w:themeShade="80"/>
              <w:bottom w:val="single" w:sz="2" w:space="0" w:color="808080" w:themeColor="background1" w:themeShade="80"/>
            </w:tcBorders>
            <w:vAlign w:val="center"/>
          </w:tcPr>
          <w:p w14:paraId="2AB6B9E3" w14:textId="6891371D" w:rsidR="0072471E" w:rsidRPr="001D6913" w:rsidRDefault="0072471E" w:rsidP="00AD2662">
            <w:pPr>
              <w:pStyle w:val="Tabletext"/>
            </w:pPr>
            <w:r w:rsidRPr="001D6913">
              <w:t>Armadale</w:t>
            </w:r>
          </w:p>
        </w:tc>
        <w:tc>
          <w:tcPr>
            <w:tcW w:w="460" w:type="pct"/>
            <w:tcBorders>
              <w:top w:val="single" w:sz="2" w:space="0" w:color="808080" w:themeColor="background1" w:themeShade="80"/>
              <w:bottom w:val="single" w:sz="2" w:space="0" w:color="808080" w:themeColor="background1" w:themeShade="80"/>
            </w:tcBorders>
            <w:vAlign w:val="center"/>
          </w:tcPr>
          <w:p w14:paraId="3F05FA21" w14:textId="2C054766" w:rsidR="0072471E" w:rsidRPr="001D6913" w:rsidRDefault="006473D9"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63599476" w14:textId="590E94D2" w:rsidR="0072471E" w:rsidRPr="001D6913" w:rsidRDefault="004D1390" w:rsidP="00AD2662">
            <w:pPr>
              <w:pStyle w:val="Tabletext"/>
            </w:pPr>
            <w:r w:rsidRPr="001D6913">
              <w:t>Perth South</w:t>
            </w:r>
          </w:p>
        </w:tc>
        <w:tc>
          <w:tcPr>
            <w:tcW w:w="860" w:type="pct"/>
            <w:tcBorders>
              <w:top w:val="single" w:sz="2" w:space="0" w:color="808080" w:themeColor="background1" w:themeShade="80"/>
              <w:bottom w:val="single" w:sz="2" w:space="0" w:color="808080" w:themeColor="background1" w:themeShade="80"/>
            </w:tcBorders>
            <w:vAlign w:val="center"/>
          </w:tcPr>
          <w:p w14:paraId="59D01692" w14:textId="7BEAE927" w:rsidR="00372D21" w:rsidRDefault="00372D21" w:rsidP="00AD2662">
            <w:pPr>
              <w:pStyle w:val="Tabletext"/>
            </w:pPr>
            <w:r>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EA14FDA" w14:textId="5F9E5FDA" w:rsidR="0072471E" w:rsidRPr="001D6913" w:rsidRDefault="00F03D18" w:rsidP="00AD2662">
            <w:pPr>
              <w:pStyle w:val="Tabletext"/>
            </w:pPr>
            <w:r w:rsidRPr="001D6913">
              <w:t>June 2015</w:t>
            </w:r>
          </w:p>
        </w:tc>
        <w:tc>
          <w:tcPr>
            <w:tcW w:w="856" w:type="pct"/>
            <w:tcBorders>
              <w:top w:val="single" w:sz="2" w:space="0" w:color="808080" w:themeColor="background1" w:themeShade="80"/>
              <w:bottom w:val="single" w:sz="2" w:space="0" w:color="808080" w:themeColor="background1" w:themeShade="80"/>
            </w:tcBorders>
            <w:vAlign w:val="center"/>
          </w:tcPr>
          <w:p w14:paraId="4B26B2D8" w14:textId="699ED4B4" w:rsidR="00372D21" w:rsidRPr="00003839" w:rsidRDefault="00372D21" w:rsidP="00AD2662">
            <w:pPr>
              <w:pStyle w:val="Tabletext"/>
            </w:pPr>
            <w:r w:rsidRPr="00003839">
              <w:t>All analysis</w:t>
            </w:r>
          </w:p>
        </w:tc>
      </w:tr>
      <w:tr w:rsidR="0072471E" w14:paraId="5F571C68" w14:textId="045919E2" w:rsidTr="00AD2662">
        <w:tc>
          <w:tcPr>
            <w:tcW w:w="838" w:type="pct"/>
            <w:tcBorders>
              <w:top w:val="single" w:sz="2" w:space="0" w:color="808080" w:themeColor="background1" w:themeShade="80"/>
              <w:bottom w:val="single" w:sz="2" w:space="0" w:color="808080" w:themeColor="background1" w:themeShade="80"/>
            </w:tcBorders>
            <w:vAlign w:val="center"/>
          </w:tcPr>
          <w:p w14:paraId="33B3C765" w14:textId="25FC4EB8" w:rsidR="0072471E" w:rsidRPr="001D6913" w:rsidRDefault="0072471E" w:rsidP="00AD2662">
            <w:pPr>
              <w:pStyle w:val="Tabletext"/>
            </w:pPr>
            <w:r w:rsidRPr="001D6913">
              <w:t>Ashfield</w:t>
            </w:r>
          </w:p>
        </w:tc>
        <w:tc>
          <w:tcPr>
            <w:tcW w:w="460" w:type="pct"/>
            <w:tcBorders>
              <w:top w:val="single" w:sz="2" w:space="0" w:color="808080" w:themeColor="background1" w:themeShade="80"/>
              <w:bottom w:val="single" w:sz="2" w:space="0" w:color="808080" w:themeColor="background1" w:themeShade="80"/>
            </w:tcBorders>
            <w:vAlign w:val="center"/>
          </w:tcPr>
          <w:p w14:paraId="12F54BA8" w14:textId="6190CE1F"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676416F7" w14:textId="1F702830" w:rsidR="0072471E" w:rsidRPr="001D6913" w:rsidRDefault="004D1390" w:rsidP="00AD2662">
            <w:pPr>
              <w:pStyle w:val="Tabletext"/>
            </w:pPr>
            <w:r w:rsidRPr="001D6913">
              <w:t>Central &amp; Eastern Sydney</w:t>
            </w:r>
          </w:p>
        </w:tc>
        <w:tc>
          <w:tcPr>
            <w:tcW w:w="860" w:type="pct"/>
            <w:tcBorders>
              <w:top w:val="single" w:sz="2" w:space="0" w:color="808080" w:themeColor="background1" w:themeShade="80"/>
              <w:bottom w:val="single" w:sz="2" w:space="0" w:color="808080" w:themeColor="background1" w:themeShade="80"/>
            </w:tcBorders>
            <w:vAlign w:val="center"/>
          </w:tcPr>
          <w:p w14:paraId="09E9B2A2" w14:textId="72A21442" w:rsidR="00372D21" w:rsidRPr="00FD55F3" w:rsidRDefault="00372D21" w:rsidP="00AD2662">
            <w:pPr>
              <w:pStyle w:val="Tabletext"/>
            </w:pPr>
            <w:r w:rsidRPr="00FD55F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5D1DEA5" w14:textId="28C4331D" w:rsidR="0072471E" w:rsidRPr="001D6913" w:rsidRDefault="00F03D18" w:rsidP="00AD2662">
            <w:pPr>
              <w:pStyle w:val="Tabletext"/>
            </w:pPr>
            <w:r w:rsidRPr="001D6913">
              <w:t>March 2015</w:t>
            </w:r>
          </w:p>
        </w:tc>
        <w:tc>
          <w:tcPr>
            <w:tcW w:w="856" w:type="pct"/>
            <w:tcBorders>
              <w:top w:val="single" w:sz="2" w:space="0" w:color="808080" w:themeColor="background1" w:themeShade="80"/>
              <w:bottom w:val="single" w:sz="2" w:space="0" w:color="808080" w:themeColor="background1" w:themeShade="80"/>
            </w:tcBorders>
            <w:vAlign w:val="center"/>
          </w:tcPr>
          <w:p w14:paraId="64746663" w14:textId="4178FD2E" w:rsidR="00372D21" w:rsidRPr="00003839" w:rsidRDefault="00372D21" w:rsidP="00AD2662">
            <w:pPr>
              <w:pStyle w:val="Tabletext"/>
            </w:pPr>
            <w:r w:rsidRPr="00003839">
              <w:t>All analysis</w:t>
            </w:r>
          </w:p>
        </w:tc>
      </w:tr>
      <w:tr w:rsidR="0072471E" w14:paraId="60E4DFD6" w14:textId="43EEC429" w:rsidTr="00AD2662">
        <w:tc>
          <w:tcPr>
            <w:tcW w:w="838" w:type="pct"/>
            <w:tcBorders>
              <w:top w:val="single" w:sz="2" w:space="0" w:color="808080" w:themeColor="background1" w:themeShade="80"/>
              <w:bottom w:val="single" w:sz="2" w:space="0" w:color="808080" w:themeColor="background1" w:themeShade="80"/>
            </w:tcBorders>
            <w:vAlign w:val="center"/>
          </w:tcPr>
          <w:p w14:paraId="2BE9B206" w14:textId="5B64B3FF" w:rsidR="0072471E" w:rsidRPr="001D6913" w:rsidRDefault="0072471E" w:rsidP="00AD2662">
            <w:pPr>
              <w:pStyle w:val="Tabletext"/>
            </w:pPr>
            <w:r w:rsidRPr="001D6913">
              <w:t>Bairnsdale</w:t>
            </w:r>
          </w:p>
        </w:tc>
        <w:tc>
          <w:tcPr>
            <w:tcW w:w="460" w:type="pct"/>
            <w:tcBorders>
              <w:top w:val="single" w:sz="2" w:space="0" w:color="808080" w:themeColor="background1" w:themeShade="80"/>
              <w:bottom w:val="single" w:sz="2" w:space="0" w:color="808080" w:themeColor="background1" w:themeShade="80"/>
            </w:tcBorders>
            <w:vAlign w:val="center"/>
          </w:tcPr>
          <w:p w14:paraId="3F5F6DC4" w14:textId="0B4072B3" w:rsidR="0072471E" w:rsidRPr="001D6913" w:rsidRDefault="006473D9"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4B02CD06" w14:textId="2CC2827E" w:rsidR="0072471E" w:rsidRPr="001D6913" w:rsidRDefault="004D1390" w:rsidP="00AD2662">
            <w:pPr>
              <w:pStyle w:val="Tabletext"/>
            </w:pPr>
            <w:r w:rsidRPr="001D6913">
              <w:t>Gippsland</w:t>
            </w:r>
          </w:p>
        </w:tc>
        <w:tc>
          <w:tcPr>
            <w:tcW w:w="860" w:type="pct"/>
            <w:tcBorders>
              <w:top w:val="single" w:sz="2" w:space="0" w:color="808080" w:themeColor="background1" w:themeShade="80"/>
              <w:bottom w:val="single" w:sz="2" w:space="0" w:color="808080" w:themeColor="background1" w:themeShade="80"/>
            </w:tcBorders>
            <w:vAlign w:val="center"/>
          </w:tcPr>
          <w:p w14:paraId="492E8EDD" w14:textId="4EF00FFA" w:rsidR="00372D21" w:rsidRPr="00FD55F3" w:rsidRDefault="00372D21" w:rsidP="00AD2662">
            <w:pPr>
              <w:pStyle w:val="Tabletext"/>
            </w:pPr>
            <w:r w:rsidRPr="00FD55F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45802A55" w14:textId="41DCA83A" w:rsidR="0072471E" w:rsidRPr="001D6913" w:rsidRDefault="00F03D18" w:rsidP="00AD2662">
            <w:pPr>
              <w:pStyle w:val="Tabletext"/>
            </w:pPr>
            <w:r w:rsidRPr="001D6913">
              <w:t>March 2017</w:t>
            </w:r>
          </w:p>
        </w:tc>
        <w:tc>
          <w:tcPr>
            <w:tcW w:w="856" w:type="pct"/>
            <w:tcBorders>
              <w:top w:val="single" w:sz="2" w:space="0" w:color="808080" w:themeColor="background1" w:themeShade="80"/>
              <w:bottom w:val="single" w:sz="2" w:space="0" w:color="808080" w:themeColor="background1" w:themeShade="80"/>
            </w:tcBorders>
            <w:vAlign w:val="center"/>
          </w:tcPr>
          <w:p w14:paraId="3709A99F" w14:textId="59959A49" w:rsidR="00372D21" w:rsidRPr="00003839" w:rsidRDefault="00372D21" w:rsidP="00AD2662">
            <w:pPr>
              <w:pStyle w:val="Tabletext"/>
            </w:pPr>
            <w:r w:rsidRPr="00003839">
              <w:t>All analysis</w:t>
            </w:r>
          </w:p>
        </w:tc>
      </w:tr>
      <w:tr w:rsidR="0072471E" w14:paraId="7E0541B5" w14:textId="3D31885E" w:rsidTr="00AD2662">
        <w:tc>
          <w:tcPr>
            <w:tcW w:w="838" w:type="pct"/>
            <w:tcBorders>
              <w:top w:val="single" w:sz="2" w:space="0" w:color="808080" w:themeColor="background1" w:themeShade="80"/>
              <w:bottom w:val="single" w:sz="2" w:space="0" w:color="808080" w:themeColor="background1" w:themeShade="80"/>
            </w:tcBorders>
            <w:vAlign w:val="center"/>
          </w:tcPr>
          <w:p w14:paraId="50146568" w14:textId="415A1E98" w:rsidR="0072471E" w:rsidRPr="001D6913" w:rsidRDefault="0072471E" w:rsidP="00AD2662">
            <w:pPr>
              <w:pStyle w:val="Tabletext"/>
            </w:pPr>
            <w:r w:rsidRPr="001D6913">
              <w:t>Ballarat</w:t>
            </w:r>
          </w:p>
        </w:tc>
        <w:tc>
          <w:tcPr>
            <w:tcW w:w="460" w:type="pct"/>
            <w:tcBorders>
              <w:top w:val="single" w:sz="2" w:space="0" w:color="808080" w:themeColor="background1" w:themeShade="80"/>
              <w:bottom w:val="single" w:sz="2" w:space="0" w:color="808080" w:themeColor="background1" w:themeShade="80"/>
            </w:tcBorders>
            <w:vAlign w:val="center"/>
          </w:tcPr>
          <w:p w14:paraId="3983366D" w14:textId="427D0509" w:rsidR="0072471E" w:rsidRPr="001D6913" w:rsidRDefault="006473D9"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79CBBFCC" w14:textId="3D14F96F" w:rsidR="0072471E" w:rsidRPr="001D6913" w:rsidRDefault="004D1390" w:rsidP="00AD2662">
            <w:pPr>
              <w:pStyle w:val="Tabletext"/>
            </w:pPr>
            <w:r w:rsidRPr="001D6913">
              <w:t>Western Victoria</w:t>
            </w:r>
          </w:p>
        </w:tc>
        <w:tc>
          <w:tcPr>
            <w:tcW w:w="860" w:type="pct"/>
            <w:tcBorders>
              <w:top w:val="single" w:sz="2" w:space="0" w:color="808080" w:themeColor="background1" w:themeShade="80"/>
              <w:bottom w:val="single" w:sz="2" w:space="0" w:color="808080" w:themeColor="background1" w:themeShade="80"/>
            </w:tcBorders>
            <w:vAlign w:val="center"/>
          </w:tcPr>
          <w:p w14:paraId="60288FFE" w14:textId="6AA1C827" w:rsidR="00372D21" w:rsidRPr="00FD55F3" w:rsidRDefault="00372D21" w:rsidP="00AD2662">
            <w:pPr>
              <w:pStyle w:val="Tabletext"/>
            </w:pPr>
            <w:r w:rsidRPr="00FD55F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889EAE6" w14:textId="76CE3733" w:rsidR="0072471E" w:rsidRPr="001D6913" w:rsidRDefault="00F03D18" w:rsidP="00AD2662">
            <w:pPr>
              <w:pStyle w:val="Tabletext"/>
            </w:pPr>
            <w:r w:rsidRPr="001D6913">
              <w:t>July 2013</w:t>
            </w:r>
          </w:p>
        </w:tc>
        <w:tc>
          <w:tcPr>
            <w:tcW w:w="856" w:type="pct"/>
            <w:tcBorders>
              <w:top w:val="single" w:sz="2" w:space="0" w:color="808080" w:themeColor="background1" w:themeShade="80"/>
              <w:bottom w:val="single" w:sz="2" w:space="0" w:color="808080" w:themeColor="background1" w:themeShade="80"/>
            </w:tcBorders>
            <w:vAlign w:val="center"/>
          </w:tcPr>
          <w:p w14:paraId="4A0CE14A" w14:textId="5B4CD4C9" w:rsidR="00372D21" w:rsidRPr="00003839" w:rsidRDefault="00372D21" w:rsidP="00AD2662">
            <w:pPr>
              <w:pStyle w:val="Tabletext"/>
            </w:pPr>
            <w:r w:rsidRPr="00003839">
              <w:t>All analysis</w:t>
            </w:r>
          </w:p>
        </w:tc>
      </w:tr>
      <w:tr w:rsidR="0072471E" w14:paraId="09C8E7B2" w14:textId="4FA60D15" w:rsidTr="00AD2662">
        <w:tc>
          <w:tcPr>
            <w:tcW w:w="838" w:type="pct"/>
            <w:tcBorders>
              <w:top w:val="single" w:sz="2" w:space="0" w:color="808080" w:themeColor="background1" w:themeShade="80"/>
              <w:bottom w:val="single" w:sz="2" w:space="0" w:color="808080" w:themeColor="background1" w:themeShade="80"/>
            </w:tcBorders>
            <w:vAlign w:val="center"/>
          </w:tcPr>
          <w:p w14:paraId="0981EEBA" w14:textId="395488B5" w:rsidR="0072471E" w:rsidRPr="001D6913" w:rsidRDefault="0072471E" w:rsidP="00AD2662">
            <w:pPr>
              <w:pStyle w:val="Tabletext"/>
            </w:pPr>
            <w:r w:rsidRPr="001D6913">
              <w:t>Bankstown</w:t>
            </w:r>
          </w:p>
        </w:tc>
        <w:tc>
          <w:tcPr>
            <w:tcW w:w="460" w:type="pct"/>
            <w:tcBorders>
              <w:top w:val="single" w:sz="2" w:space="0" w:color="808080" w:themeColor="background1" w:themeShade="80"/>
              <w:bottom w:val="single" w:sz="2" w:space="0" w:color="808080" w:themeColor="background1" w:themeShade="80"/>
            </w:tcBorders>
            <w:vAlign w:val="center"/>
          </w:tcPr>
          <w:p w14:paraId="58B00898" w14:textId="5136F319"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7446A3CE" w14:textId="68B1F31C" w:rsidR="0072471E" w:rsidRPr="001D6913" w:rsidRDefault="004D1390" w:rsidP="00AD2662">
            <w:pPr>
              <w:pStyle w:val="Tabletext"/>
            </w:pPr>
            <w:r w:rsidRPr="001D6913">
              <w:t>South Western Sydney</w:t>
            </w:r>
          </w:p>
        </w:tc>
        <w:tc>
          <w:tcPr>
            <w:tcW w:w="860" w:type="pct"/>
            <w:tcBorders>
              <w:top w:val="single" w:sz="2" w:space="0" w:color="808080" w:themeColor="background1" w:themeShade="80"/>
              <w:bottom w:val="single" w:sz="2" w:space="0" w:color="808080" w:themeColor="background1" w:themeShade="80"/>
            </w:tcBorders>
            <w:vAlign w:val="center"/>
          </w:tcPr>
          <w:p w14:paraId="69FE9814" w14:textId="5B88744E" w:rsidR="00372D21" w:rsidRPr="00FD55F3" w:rsidRDefault="00372D21" w:rsidP="00AD2662">
            <w:pPr>
              <w:pStyle w:val="Tabletext"/>
            </w:pPr>
            <w:r w:rsidRPr="00FD55F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50707F3" w14:textId="18901191" w:rsidR="0072471E" w:rsidRPr="001D6913" w:rsidRDefault="00F03D18" w:rsidP="00AD2662">
            <w:pPr>
              <w:pStyle w:val="Tabletext"/>
            </w:pPr>
            <w:r w:rsidRPr="001D6913">
              <w:t>March 2015</w:t>
            </w:r>
          </w:p>
        </w:tc>
        <w:tc>
          <w:tcPr>
            <w:tcW w:w="856" w:type="pct"/>
            <w:tcBorders>
              <w:top w:val="single" w:sz="2" w:space="0" w:color="808080" w:themeColor="background1" w:themeShade="80"/>
              <w:bottom w:val="single" w:sz="2" w:space="0" w:color="808080" w:themeColor="background1" w:themeShade="80"/>
            </w:tcBorders>
            <w:vAlign w:val="center"/>
          </w:tcPr>
          <w:p w14:paraId="29286BC1" w14:textId="2D8BFCEF" w:rsidR="00372D21" w:rsidRPr="00003839" w:rsidRDefault="00372D21" w:rsidP="00AD2662">
            <w:pPr>
              <w:pStyle w:val="Tabletext"/>
            </w:pPr>
            <w:r w:rsidRPr="00003839">
              <w:t>All analysis</w:t>
            </w:r>
          </w:p>
        </w:tc>
      </w:tr>
      <w:tr w:rsidR="0072471E" w14:paraId="7A0DDEFA" w14:textId="7649E047" w:rsidTr="00AD2662">
        <w:tc>
          <w:tcPr>
            <w:tcW w:w="838" w:type="pct"/>
            <w:tcBorders>
              <w:top w:val="single" w:sz="2" w:space="0" w:color="808080" w:themeColor="background1" w:themeShade="80"/>
              <w:bottom w:val="single" w:sz="2" w:space="0" w:color="808080" w:themeColor="background1" w:themeShade="80"/>
            </w:tcBorders>
            <w:vAlign w:val="center"/>
          </w:tcPr>
          <w:p w14:paraId="7B6D5926" w14:textId="7B0D5946" w:rsidR="0072471E" w:rsidRPr="001D6913" w:rsidRDefault="0072471E" w:rsidP="00AD2662">
            <w:pPr>
              <w:pStyle w:val="Tabletext"/>
            </w:pPr>
            <w:r w:rsidRPr="001D6913">
              <w:t>Bathurst</w:t>
            </w:r>
          </w:p>
        </w:tc>
        <w:tc>
          <w:tcPr>
            <w:tcW w:w="460" w:type="pct"/>
            <w:tcBorders>
              <w:top w:val="single" w:sz="2" w:space="0" w:color="808080" w:themeColor="background1" w:themeShade="80"/>
              <w:bottom w:val="single" w:sz="2" w:space="0" w:color="808080" w:themeColor="background1" w:themeShade="80"/>
            </w:tcBorders>
            <w:vAlign w:val="center"/>
          </w:tcPr>
          <w:p w14:paraId="2D01FD91" w14:textId="4418F533"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406979C5" w14:textId="0DC86692" w:rsidR="0072471E" w:rsidRPr="001D6913" w:rsidRDefault="004D1390" w:rsidP="00AD2662">
            <w:pPr>
              <w:pStyle w:val="Tabletext"/>
            </w:pPr>
            <w:r w:rsidRPr="001D6913">
              <w:t>Western NSW</w:t>
            </w:r>
          </w:p>
        </w:tc>
        <w:tc>
          <w:tcPr>
            <w:tcW w:w="860" w:type="pct"/>
            <w:tcBorders>
              <w:top w:val="single" w:sz="2" w:space="0" w:color="808080" w:themeColor="background1" w:themeShade="80"/>
              <w:bottom w:val="single" w:sz="2" w:space="0" w:color="808080" w:themeColor="background1" w:themeShade="80"/>
            </w:tcBorders>
            <w:vAlign w:val="center"/>
          </w:tcPr>
          <w:p w14:paraId="2A3B2C69" w14:textId="1CE2C302" w:rsidR="00372D21" w:rsidRPr="00FD55F3" w:rsidRDefault="00372D21" w:rsidP="00AD2662">
            <w:pPr>
              <w:pStyle w:val="Tabletext"/>
            </w:pPr>
            <w:r w:rsidRPr="00FD55F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9714918" w14:textId="7F48E30B" w:rsidR="0072471E" w:rsidRPr="001D6913" w:rsidRDefault="00F03D18" w:rsidP="00AD2662">
            <w:pPr>
              <w:pStyle w:val="Tabletext"/>
            </w:pPr>
            <w:r w:rsidRPr="001D6913">
              <w:t>July 2008</w:t>
            </w:r>
          </w:p>
        </w:tc>
        <w:tc>
          <w:tcPr>
            <w:tcW w:w="856" w:type="pct"/>
            <w:tcBorders>
              <w:top w:val="single" w:sz="2" w:space="0" w:color="808080" w:themeColor="background1" w:themeShade="80"/>
              <w:bottom w:val="single" w:sz="2" w:space="0" w:color="808080" w:themeColor="background1" w:themeShade="80"/>
            </w:tcBorders>
            <w:vAlign w:val="center"/>
          </w:tcPr>
          <w:p w14:paraId="55F84D07" w14:textId="6E733576" w:rsidR="00372D21" w:rsidRPr="00003839" w:rsidRDefault="00372D21" w:rsidP="00AD2662">
            <w:pPr>
              <w:pStyle w:val="Tabletext"/>
            </w:pPr>
            <w:r w:rsidRPr="00003839">
              <w:t>All analysis</w:t>
            </w:r>
          </w:p>
        </w:tc>
      </w:tr>
      <w:tr w:rsidR="0072471E" w14:paraId="75954BA1" w14:textId="425F99D3" w:rsidTr="00AD2662">
        <w:tc>
          <w:tcPr>
            <w:tcW w:w="838" w:type="pct"/>
            <w:tcBorders>
              <w:top w:val="single" w:sz="2" w:space="0" w:color="808080" w:themeColor="background1" w:themeShade="80"/>
              <w:bottom w:val="single" w:sz="2" w:space="0" w:color="808080" w:themeColor="background1" w:themeShade="80"/>
            </w:tcBorders>
            <w:vAlign w:val="center"/>
          </w:tcPr>
          <w:p w14:paraId="0130250B" w14:textId="26F10D1C" w:rsidR="0072471E" w:rsidRPr="001D6913" w:rsidRDefault="0072471E" w:rsidP="00AD2662">
            <w:pPr>
              <w:pStyle w:val="Tabletext"/>
            </w:pPr>
            <w:r w:rsidRPr="001D6913">
              <w:t>Bega</w:t>
            </w:r>
          </w:p>
        </w:tc>
        <w:tc>
          <w:tcPr>
            <w:tcW w:w="460" w:type="pct"/>
            <w:tcBorders>
              <w:top w:val="single" w:sz="2" w:space="0" w:color="808080" w:themeColor="background1" w:themeShade="80"/>
              <w:bottom w:val="single" w:sz="2" w:space="0" w:color="808080" w:themeColor="background1" w:themeShade="80"/>
            </w:tcBorders>
            <w:vAlign w:val="center"/>
          </w:tcPr>
          <w:p w14:paraId="2F09D32A" w14:textId="0C838DAE"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26F6C6A1" w14:textId="5C13AA02" w:rsidR="0072471E" w:rsidRPr="001D6913" w:rsidRDefault="004D1390" w:rsidP="00AD2662">
            <w:pPr>
              <w:pStyle w:val="Tabletext"/>
            </w:pPr>
            <w:r w:rsidRPr="001D6913">
              <w:t>South Eastern NSW</w:t>
            </w:r>
          </w:p>
        </w:tc>
        <w:tc>
          <w:tcPr>
            <w:tcW w:w="860" w:type="pct"/>
            <w:tcBorders>
              <w:top w:val="single" w:sz="2" w:space="0" w:color="808080" w:themeColor="background1" w:themeShade="80"/>
              <w:bottom w:val="single" w:sz="2" w:space="0" w:color="808080" w:themeColor="background1" w:themeShade="80"/>
            </w:tcBorders>
            <w:vAlign w:val="center"/>
          </w:tcPr>
          <w:p w14:paraId="335A12A6" w14:textId="425FE211" w:rsidR="00372D21" w:rsidRPr="00FD55F3" w:rsidRDefault="00372D21" w:rsidP="00AD2662">
            <w:pPr>
              <w:pStyle w:val="Tabletext"/>
            </w:pPr>
            <w:r w:rsidRPr="00FD55F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42EE1B2" w14:textId="473E128A" w:rsidR="0072471E" w:rsidRPr="001D6913" w:rsidRDefault="00F03D18" w:rsidP="00AD2662">
            <w:pPr>
              <w:pStyle w:val="Tabletext"/>
            </w:pPr>
            <w:r w:rsidRPr="001D6913">
              <w:t>December 2018</w:t>
            </w:r>
          </w:p>
        </w:tc>
        <w:tc>
          <w:tcPr>
            <w:tcW w:w="856" w:type="pct"/>
            <w:tcBorders>
              <w:top w:val="single" w:sz="2" w:space="0" w:color="808080" w:themeColor="background1" w:themeShade="80"/>
              <w:bottom w:val="single" w:sz="2" w:space="0" w:color="808080" w:themeColor="background1" w:themeShade="80"/>
            </w:tcBorders>
            <w:vAlign w:val="center"/>
          </w:tcPr>
          <w:p w14:paraId="5ADE96BE" w14:textId="54D6EB7F" w:rsidR="00372D21" w:rsidRPr="00003839" w:rsidRDefault="00372D21" w:rsidP="00AD2662">
            <w:pPr>
              <w:pStyle w:val="Tabletext"/>
            </w:pPr>
            <w:r w:rsidRPr="00003839">
              <w:t>All analysis</w:t>
            </w:r>
          </w:p>
        </w:tc>
      </w:tr>
      <w:tr w:rsidR="0072471E" w14:paraId="0F960672" w14:textId="71EA86A3" w:rsidTr="00AD2662">
        <w:tc>
          <w:tcPr>
            <w:tcW w:w="838" w:type="pct"/>
            <w:tcBorders>
              <w:top w:val="single" w:sz="2" w:space="0" w:color="808080" w:themeColor="background1" w:themeShade="80"/>
              <w:bottom w:val="single" w:sz="2" w:space="0" w:color="808080" w:themeColor="background1" w:themeShade="80"/>
            </w:tcBorders>
            <w:vAlign w:val="center"/>
          </w:tcPr>
          <w:p w14:paraId="03628B9D" w14:textId="4C437B6E" w:rsidR="0072471E" w:rsidRPr="001D6913" w:rsidRDefault="0072471E" w:rsidP="00AD2662">
            <w:pPr>
              <w:pStyle w:val="Tabletext"/>
            </w:pPr>
            <w:r w:rsidRPr="001D6913">
              <w:t>Bendigo</w:t>
            </w:r>
          </w:p>
        </w:tc>
        <w:tc>
          <w:tcPr>
            <w:tcW w:w="460" w:type="pct"/>
            <w:tcBorders>
              <w:top w:val="single" w:sz="2" w:space="0" w:color="808080" w:themeColor="background1" w:themeShade="80"/>
              <w:bottom w:val="single" w:sz="2" w:space="0" w:color="808080" w:themeColor="background1" w:themeShade="80"/>
            </w:tcBorders>
            <w:vAlign w:val="center"/>
          </w:tcPr>
          <w:p w14:paraId="7692C0B3" w14:textId="2DDF121F" w:rsidR="0072471E" w:rsidRPr="001D6913" w:rsidRDefault="006473D9"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76F79BD8" w14:textId="796DE6B0" w:rsidR="0072471E" w:rsidRPr="001D6913" w:rsidRDefault="004D1390" w:rsidP="00AD2662">
            <w:pPr>
              <w:pStyle w:val="Tabletext"/>
            </w:pPr>
            <w:r w:rsidRPr="001D6913">
              <w:t>Murray</w:t>
            </w:r>
          </w:p>
        </w:tc>
        <w:tc>
          <w:tcPr>
            <w:tcW w:w="860" w:type="pct"/>
            <w:tcBorders>
              <w:top w:val="single" w:sz="2" w:space="0" w:color="808080" w:themeColor="background1" w:themeShade="80"/>
              <w:bottom w:val="single" w:sz="2" w:space="0" w:color="808080" w:themeColor="background1" w:themeShade="80"/>
            </w:tcBorders>
            <w:vAlign w:val="center"/>
          </w:tcPr>
          <w:p w14:paraId="195FBC4E" w14:textId="737084CF" w:rsidR="00372D21" w:rsidRPr="00FD55F3" w:rsidRDefault="00372D21" w:rsidP="00AD2662">
            <w:pPr>
              <w:pStyle w:val="Tabletext"/>
            </w:pPr>
            <w:r w:rsidRPr="00FD55F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422A163" w14:textId="4EE3EF4A" w:rsidR="0072471E" w:rsidRPr="001D6913" w:rsidRDefault="00F03D18" w:rsidP="00AD2662">
            <w:pPr>
              <w:pStyle w:val="Tabletext"/>
            </w:pPr>
            <w:r w:rsidRPr="001D6913">
              <w:t>July 2012</w:t>
            </w:r>
          </w:p>
        </w:tc>
        <w:tc>
          <w:tcPr>
            <w:tcW w:w="856" w:type="pct"/>
            <w:tcBorders>
              <w:top w:val="single" w:sz="2" w:space="0" w:color="808080" w:themeColor="background1" w:themeShade="80"/>
              <w:bottom w:val="single" w:sz="2" w:space="0" w:color="808080" w:themeColor="background1" w:themeShade="80"/>
            </w:tcBorders>
            <w:vAlign w:val="center"/>
          </w:tcPr>
          <w:p w14:paraId="7042C0E9" w14:textId="54155C40" w:rsidR="00372D21" w:rsidRPr="00003839" w:rsidRDefault="00372D21" w:rsidP="00AD2662">
            <w:pPr>
              <w:pStyle w:val="Tabletext"/>
            </w:pPr>
            <w:r w:rsidRPr="00003839">
              <w:t>All analysis</w:t>
            </w:r>
          </w:p>
        </w:tc>
      </w:tr>
      <w:tr w:rsidR="0072471E" w14:paraId="15C74BAD" w14:textId="09E67161" w:rsidTr="00AD2662">
        <w:tc>
          <w:tcPr>
            <w:tcW w:w="838" w:type="pct"/>
            <w:tcBorders>
              <w:top w:val="single" w:sz="2" w:space="0" w:color="808080" w:themeColor="background1" w:themeShade="80"/>
              <w:bottom w:val="single" w:sz="2" w:space="0" w:color="808080" w:themeColor="background1" w:themeShade="80"/>
            </w:tcBorders>
            <w:vAlign w:val="center"/>
          </w:tcPr>
          <w:p w14:paraId="23012DC1" w14:textId="6844980F" w:rsidR="0072471E" w:rsidRPr="001D6913" w:rsidRDefault="0072471E" w:rsidP="00AD2662">
            <w:pPr>
              <w:pStyle w:val="Tabletext"/>
            </w:pPr>
            <w:r w:rsidRPr="001D6913">
              <w:t>Bentleigh</w:t>
            </w:r>
          </w:p>
        </w:tc>
        <w:tc>
          <w:tcPr>
            <w:tcW w:w="460" w:type="pct"/>
            <w:tcBorders>
              <w:top w:val="single" w:sz="2" w:space="0" w:color="808080" w:themeColor="background1" w:themeShade="80"/>
              <w:bottom w:val="single" w:sz="2" w:space="0" w:color="808080" w:themeColor="background1" w:themeShade="80"/>
            </w:tcBorders>
            <w:vAlign w:val="center"/>
          </w:tcPr>
          <w:p w14:paraId="7F451522" w14:textId="61C6F4CB" w:rsidR="0072471E" w:rsidRPr="001D6913" w:rsidRDefault="006473D9"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1848B942" w14:textId="0837F796" w:rsidR="0072471E" w:rsidRPr="001D6913" w:rsidRDefault="004D1390" w:rsidP="00AD2662">
            <w:pPr>
              <w:pStyle w:val="Tabletext"/>
            </w:pPr>
            <w:r w:rsidRPr="001D6913">
              <w:t>South 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7AAF3E46" w14:textId="3EA3E2D9" w:rsidR="00372D21" w:rsidRPr="00FD55F3" w:rsidRDefault="00372D21" w:rsidP="00AD2662">
            <w:pPr>
              <w:pStyle w:val="Tabletext"/>
            </w:pPr>
            <w:r w:rsidRPr="00FD55F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8F7CEDA" w14:textId="5CEC9223" w:rsidR="0072471E" w:rsidRPr="001D6913" w:rsidRDefault="00F03D18" w:rsidP="00AD2662">
            <w:pPr>
              <w:pStyle w:val="Tabletext"/>
            </w:pPr>
            <w:r w:rsidRPr="001D6913">
              <w:t>July 2015</w:t>
            </w:r>
          </w:p>
        </w:tc>
        <w:tc>
          <w:tcPr>
            <w:tcW w:w="856" w:type="pct"/>
            <w:tcBorders>
              <w:top w:val="single" w:sz="2" w:space="0" w:color="808080" w:themeColor="background1" w:themeShade="80"/>
              <w:bottom w:val="single" w:sz="2" w:space="0" w:color="808080" w:themeColor="background1" w:themeShade="80"/>
            </w:tcBorders>
            <w:vAlign w:val="center"/>
          </w:tcPr>
          <w:p w14:paraId="3F4418BE" w14:textId="5280D96B" w:rsidR="00372D21" w:rsidRPr="00003839" w:rsidRDefault="00372D21" w:rsidP="00AD2662">
            <w:pPr>
              <w:pStyle w:val="Tabletext"/>
            </w:pPr>
            <w:r w:rsidRPr="00003839">
              <w:t>All analysis</w:t>
            </w:r>
          </w:p>
        </w:tc>
      </w:tr>
      <w:tr w:rsidR="0072471E" w14:paraId="1D004485" w14:textId="2A9E1EBA" w:rsidTr="00AD2662">
        <w:tc>
          <w:tcPr>
            <w:tcW w:w="838" w:type="pct"/>
            <w:tcBorders>
              <w:top w:val="single" w:sz="2" w:space="0" w:color="808080" w:themeColor="background1" w:themeShade="80"/>
              <w:bottom w:val="single" w:sz="2" w:space="0" w:color="808080" w:themeColor="background1" w:themeShade="80"/>
            </w:tcBorders>
            <w:vAlign w:val="center"/>
          </w:tcPr>
          <w:p w14:paraId="19AEF475" w14:textId="460E2BB9" w:rsidR="0072471E" w:rsidRPr="001D6913" w:rsidRDefault="0072471E" w:rsidP="00AD2662">
            <w:pPr>
              <w:pStyle w:val="Tabletext"/>
            </w:pPr>
            <w:r w:rsidRPr="001D6913">
              <w:t>Berri</w:t>
            </w:r>
          </w:p>
        </w:tc>
        <w:tc>
          <w:tcPr>
            <w:tcW w:w="460" w:type="pct"/>
            <w:tcBorders>
              <w:top w:val="single" w:sz="2" w:space="0" w:color="808080" w:themeColor="background1" w:themeShade="80"/>
              <w:bottom w:val="single" w:sz="2" w:space="0" w:color="808080" w:themeColor="background1" w:themeShade="80"/>
            </w:tcBorders>
            <w:vAlign w:val="center"/>
          </w:tcPr>
          <w:p w14:paraId="67E4E05A" w14:textId="28A9FF2B" w:rsidR="0072471E" w:rsidRPr="001D6913" w:rsidRDefault="006473D9"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527FD135" w14:textId="6621DC87" w:rsidR="0072471E" w:rsidRPr="001D6913" w:rsidRDefault="004D1390" w:rsidP="00AD2662">
            <w:pPr>
              <w:pStyle w:val="Tabletext"/>
            </w:pPr>
            <w:r w:rsidRPr="001D6913">
              <w:t>Country SA</w:t>
            </w:r>
          </w:p>
        </w:tc>
        <w:tc>
          <w:tcPr>
            <w:tcW w:w="860" w:type="pct"/>
            <w:tcBorders>
              <w:top w:val="single" w:sz="2" w:space="0" w:color="808080" w:themeColor="background1" w:themeShade="80"/>
              <w:bottom w:val="single" w:sz="2" w:space="0" w:color="808080" w:themeColor="background1" w:themeShade="80"/>
            </w:tcBorders>
            <w:vAlign w:val="center"/>
          </w:tcPr>
          <w:p w14:paraId="3D6DED28" w14:textId="3B213F6F"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C89C968" w14:textId="75EDC365" w:rsidR="0072471E" w:rsidRPr="001D6913" w:rsidRDefault="00F03D18" w:rsidP="00AD2662">
            <w:pPr>
              <w:pStyle w:val="Tabletext"/>
            </w:pPr>
            <w:r w:rsidRPr="001D6913">
              <w:t>September 2008</w:t>
            </w:r>
          </w:p>
        </w:tc>
        <w:tc>
          <w:tcPr>
            <w:tcW w:w="856" w:type="pct"/>
            <w:tcBorders>
              <w:top w:val="single" w:sz="2" w:space="0" w:color="808080" w:themeColor="background1" w:themeShade="80"/>
              <w:bottom w:val="single" w:sz="2" w:space="0" w:color="808080" w:themeColor="background1" w:themeShade="80"/>
            </w:tcBorders>
            <w:vAlign w:val="center"/>
          </w:tcPr>
          <w:p w14:paraId="09EBB4D1" w14:textId="3421B35E" w:rsidR="00372D21" w:rsidRPr="00003839" w:rsidRDefault="00372D21" w:rsidP="00AD2662">
            <w:pPr>
              <w:pStyle w:val="Tabletext"/>
            </w:pPr>
            <w:r w:rsidRPr="00003839">
              <w:t>All analysis</w:t>
            </w:r>
          </w:p>
        </w:tc>
      </w:tr>
      <w:tr w:rsidR="0072471E" w14:paraId="1F0AFD46" w14:textId="6588AA86" w:rsidTr="00AD2662">
        <w:tc>
          <w:tcPr>
            <w:tcW w:w="838" w:type="pct"/>
            <w:tcBorders>
              <w:top w:val="single" w:sz="2" w:space="0" w:color="808080" w:themeColor="background1" w:themeShade="80"/>
              <w:bottom w:val="single" w:sz="2" w:space="0" w:color="808080" w:themeColor="background1" w:themeShade="80"/>
            </w:tcBorders>
            <w:vAlign w:val="center"/>
          </w:tcPr>
          <w:p w14:paraId="2E515C76" w14:textId="28B03C50" w:rsidR="0072471E" w:rsidRPr="001D6913" w:rsidRDefault="0072471E" w:rsidP="00AD2662">
            <w:pPr>
              <w:pStyle w:val="Tabletext"/>
            </w:pPr>
            <w:r w:rsidRPr="001D6913">
              <w:t>Bondi Junction</w:t>
            </w:r>
          </w:p>
        </w:tc>
        <w:tc>
          <w:tcPr>
            <w:tcW w:w="460" w:type="pct"/>
            <w:tcBorders>
              <w:top w:val="single" w:sz="2" w:space="0" w:color="808080" w:themeColor="background1" w:themeShade="80"/>
              <w:bottom w:val="single" w:sz="2" w:space="0" w:color="808080" w:themeColor="background1" w:themeShade="80"/>
            </w:tcBorders>
            <w:vAlign w:val="center"/>
          </w:tcPr>
          <w:p w14:paraId="0254F2E9" w14:textId="1CAECBEC"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0FF79888" w14:textId="3C16193C" w:rsidR="0072471E" w:rsidRPr="001D6913" w:rsidRDefault="004D1390" w:rsidP="00AD2662">
            <w:pPr>
              <w:pStyle w:val="Tabletext"/>
            </w:pPr>
            <w:r w:rsidRPr="001D6913">
              <w:t>Central &amp; Eastern Sydney</w:t>
            </w:r>
          </w:p>
        </w:tc>
        <w:tc>
          <w:tcPr>
            <w:tcW w:w="860" w:type="pct"/>
            <w:tcBorders>
              <w:top w:val="single" w:sz="2" w:space="0" w:color="808080" w:themeColor="background1" w:themeShade="80"/>
              <w:bottom w:val="single" w:sz="2" w:space="0" w:color="808080" w:themeColor="background1" w:themeShade="80"/>
            </w:tcBorders>
            <w:vAlign w:val="center"/>
          </w:tcPr>
          <w:p w14:paraId="4A45C134" w14:textId="058B567A"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8A3629E" w14:textId="65E62C7E" w:rsidR="0072471E" w:rsidRPr="001D6913" w:rsidRDefault="00F03D18" w:rsidP="00AD2662">
            <w:pPr>
              <w:pStyle w:val="Tabletext"/>
            </w:pPr>
            <w:r w:rsidRPr="001D6913">
              <w:t>May 2016</w:t>
            </w:r>
          </w:p>
        </w:tc>
        <w:tc>
          <w:tcPr>
            <w:tcW w:w="856" w:type="pct"/>
            <w:tcBorders>
              <w:top w:val="single" w:sz="2" w:space="0" w:color="808080" w:themeColor="background1" w:themeShade="80"/>
              <w:bottom w:val="single" w:sz="2" w:space="0" w:color="808080" w:themeColor="background1" w:themeShade="80"/>
            </w:tcBorders>
            <w:vAlign w:val="center"/>
          </w:tcPr>
          <w:p w14:paraId="55F9C032" w14:textId="0BEADA4B" w:rsidR="00372D21" w:rsidRPr="00003839" w:rsidRDefault="00372D21" w:rsidP="00AD2662">
            <w:pPr>
              <w:pStyle w:val="Tabletext"/>
            </w:pPr>
            <w:r w:rsidRPr="00003839">
              <w:t>All analysis</w:t>
            </w:r>
          </w:p>
        </w:tc>
      </w:tr>
      <w:tr w:rsidR="0072471E" w14:paraId="22549C69" w14:textId="5431C52B" w:rsidTr="00AD2662">
        <w:tc>
          <w:tcPr>
            <w:tcW w:w="838" w:type="pct"/>
            <w:tcBorders>
              <w:top w:val="single" w:sz="2" w:space="0" w:color="808080" w:themeColor="background1" w:themeShade="80"/>
              <w:bottom w:val="single" w:sz="2" w:space="0" w:color="808080" w:themeColor="background1" w:themeShade="80"/>
            </w:tcBorders>
            <w:vAlign w:val="center"/>
          </w:tcPr>
          <w:p w14:paraId="131C68DC" w14:textId="0C069651" w:rsidR="0072471E" w:rsidRPr="001D6913" w:rsidRDefault="0072471E" w:rsidP="00AD2662">
            <w:pPr>
              <w:pStyle w:val="Tabletext"/>
            </w:pPr>
            <w:r w:rsidRPr="001D6913">
              <w:t xml:space="preserve">Broken Hill </w:t>
            </w:r>
          </w:p>
        </w:tc>
        <w:tc>
          <w:tcPr>
            <w:tcW w:w="460" w:type="pct"/>
            <w:tcBorders>
              <w:top w:val="single" w:sz="2" w:space="0" w:color="808080" w:themeColor="background1" w:themeShade="80"/>
              <w:bottom w:val="single" w:sz="2" w:space="0" w:color="808080" w:themeColor="background1" w:themeShade="80"/>
            </w:tcBorders>
            <w:vAlign w:val="center"/>
          </w:tcPr>
          <w:p w14:paraId="43EF793E" w14:textId="78D1D228"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550B17A3" w14:textId="36D2E5BE" w:rsidR="0072471E" w:rsidRPr="001D6913" w:rsidRDefault="004D1390" w:rsidP="00AD2662">
            <w:pPr>
              <w:pStyle w:val="Tabletext"/>
            </w:pPr>
            <w:r w:rsidRPr="001D6913">
              <w:t>Western NSW</w:t>
            </w:r>
          </w:p>
        </w:tc>
        <w:tc>
          <w:tcPr>
            <w:tcW w:w="860" w:type="pct"/>
            <w:tcBorders>
              <w:top w:val="single" w:sz="2" w:space="0" w:color="808080" w:themeColor="background1" w:themeShade="80"/>
              <w:bottom w:val="single" w:sz="2" w:space="0" w:color="808080" w:themeColor="background1" w:themeShade="80"/>
            </w:tcBorders>
            <w:vAlign w:val="center"/>
          </w:tcPr>
          <w:p w14:paraId="1AADEFFA" w14:textId="4D812EEE"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596B96F" w14:textId="198B93B3" w:rsidR="0072471E" w:rsidRPr="001D6913" w:rsidRDefault="00F03D18" w:rsidP="00AD2662">
            <w:pPr>
              <w:pStyle w:val="Tabletext"/>
            </w:pPr>
            <w:r w:rsidRPr="001D6913">
              <w:t>July 2017</w:t>
            </w:r>
          </w:p>
        </w:tc>
        <w:tc>
          <w:tcPr>
            <w:tcW w:w="856" w:type="pct"/>
            <w:tcBorders>
              <w:top w:val="single" w:sz="2" w:space="0" w:color="808080" w:themeColor="background1" w:themeShade="80"/>
              <w:bottom w:val="single" w:sz="2" w:space="0" w:color="808080" w:themeColor="background1" w:themeShade="80"/>
            </w:tcBorders>
            <w:vAlign w:val="center"/>
          </w:tcPr>
          <w:p w14:paraId="3BB55E06" w14:textId="4BC52B1D" w:rsidR="00372D21" w:rsidRPr="00003839" w:rsidRDefault="00372D21" w:rsidP="00AD2662">
            <w:pPr>
              <w:pStyle w:val="Tabletext"/>
            </w:pPr>
            <w:r w:rsidRPr="00003839">
              <w:t>All analysis</w:t>
            </w:r>
          </w:p>
        </w:tc>
      </w:tr>
      <w:tr w:rsidR="0072471E" w14:paraId="7558670E" w14:textId="40417C57" w:rsidTr="00AD2662">
        <w:tc>
          <w:tcPr>
            <w:tcW w:w="838" w:type="pct"/>
            <w:tcBorders>
              <w:top w:val="single" w:sz="2" w:space="0" w:color="808080" w:themeColor="background1" w:themeShade="80"/>
              <w:bottom w:val="single" w:sz="2" w:space="0" w:color="808080" w:themeColor="background1" w:themeShade="80"/>
            </w:tcBorders>
            <w:vAlign w:val="center"/>
          </w:tcPr>
          <w:p w14:paraId="7FB4D0C6" w14:textId="73C15F50" w:rsidR="0072471E" w:rsidRPr="001D6913" w:rsidRDefault="0072471E" w:rsidP="00AD2662">
            <w:pPr>
              <w:pStyle w:val="Tabletext"/>
            </w:pPr>
            <w:r w:rsidRPr="001D6913">
              <w:t>Brookvale</w:t>
            </w:r>
          </w:p>
        </w:tc>
        <w:tc>
          <w:tcPr>
            <w:tcW w:w="460" w:type="pct"/>
            <w:tcBorders>
              <w:top w:val="single" w:sz="2" w:space="0" w:color="808080" w:themeColor="background1" w:themeShade="80"/>
              <w:bottom w:val="single" w:sz="2" w:space="0" w:color="808080" w:themeColor="background1" w:themeShade="80"/>
            </w:tcBorders>
            <w:vAlign w:val="center"/>
          </w:tcPr>
          <w:p w14:paraId="56BA49C5" w14:textId="247835EE"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43ACDE90" w14:textId="53C486C9" w:rsidR="0072471E" w:rsidRPr="001D6913" w:rsidRDefault="004D1390" w:rsidP="00AD2662">
            <w:pPr>
              <w:pStyle w:val="Tabletext"/>
            </w:pPr>
            <w:r w:rsidRPr="001D6913">
              <w:t>Northern Sydney</w:t>
            </w:r>
          </w:p>
        </w:tc>
        <w:tc>
          <w:tcPr>
            <w:tcW w:w="860" w:type="pct"/>
            <w:tcBorders>
              <w:top w:val="single" w:sz="2" w:space="0" w:color="808080" w:themeColor="background1" w:themeShade="80"/>
              <w:bottom w:val="single" w:sz="2" w:space="0" w:color="808080" w:themeColor="background1" w:themeShade="80"/>
            </w:tcBorders>
            <w:vAlign w:val="center"/>
          </w:tcPr>
          <w:p w14:paraId="463DDF31" w14:textId="6FF24B88"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9E3058A" w14:textId="7748FDCF" w:rsidR="0072471E" w:rsidRPr="001D6913" w:rsidRDefault="00F03D18" w:rsidP="00AD2662">
            <w:pPr>
              <w:pStyle w:val="Tabletext"/>
            </w:pPr>
            <w:r w:rsidRPr="001D6913">
              <w:t>December 2014</w:t>
            </w:r>
          </w:p>
        </w:tc>
        <w:tc>
          <w:tcPr>
            <w:tcW w:w="856" w:type="pct"/>
            <w:tcBorders>
              <w:top w:val="single" w:sz="2" w:space="0" w:color="808080" w:themeColor="background1" w:themeShade="80"/>
              <w:bottom w:val="single" w:sz="2" w:space="0" w:color="808080" w:themeColor="background1" w:themeShade="80"/>
            </w:tcBorders>
            <w:vAlign w:val="center"/>
          </w:tcPr>
          <w:p w14:paraId="35B4338B" w14:textId="6613D664" w:rsidR="00372D21" w:rsidRPr="00003839" w:rsidRDefault="00372D21" w:rsidP="00AD2662">
            <w:pPr>
              <w:pStyle w:val="Tabletext"/>
            </w:pPr>
            <w:r w:rsidRPr="00003839">
              <w:t>All analysis</w:t>
            </w:r>
          </w:p>
        </w:tc>
      </w:tr>
      <w:tr w:rsidR="0072471E" w14:paraId="4572B215" w14:textId="57BC329E" w:rsidTr="00AD2662">
        <w:tc>
          <w:tcPr>
            <w:tcW w:w="838" w:type="pct"/>
            <w:tcBorders>
              <w:top w:val="single" w:sz="2" w:space="0" w:color="808080" w:themeColor="background1" w:themeShade="80"/>
              <w:bottom w:val="single" w:sz="2" w:space="0" w:color="808080" w:themeColor="background1" w:themeShade="80"/>
            </w:tcBorders>
            <w:vAlign w:val="center"/>
          </w:tcPr>
          <w:p w14:paraId="5B7681D0" w14:textId="5C72819D" w:rsidR="0072471E" w:rsidRPr="001D6913" w:rsidRDefault="0072471E" w:rsidP="00AD2662">
            <w:pPr>
              <w:pStyle w:val="Tabletext"/>
            </w:pPr>
            <w:r w:rsidRPr="001D6913">
              <w:t>Broome</w:t>
            </w:r>
          </w:p>
        </w:tc>
        <w:tc>
          <w:tcPr>
            <w:tcW w:w="460" w:type="pct"/>
            <w:tcBorders>
              <w:top w:val="single" w:sz="2" w:space="0" w:color="808080" w:themeColor="background1" w:themeShade="80"/>
              <w:bottom w:val="single" w:sz="2" w:space="0" w:color="808080" w:themeColor="background1" w:themeShade="80"/>
            </w:tcBorders>
            <w:vAlign w:val="center"/>
          </w:tcPr>
          <w:p w14:paraId="6C5F00F8" w14:textId="32B9A66E" w:rsidR="0072471E" w:rsidRPr="001D6913" w:rsidRDefault="006473D9"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13B52654" w14:textId="3573A1EA" w:rsidR="0072471E" w:rsidRPr="001D6913" w:rsidRDefault="004D1390" w:rsidP="00AD2662">
            <w:pPr>
              <w:pStyle w:val="Tabletext"/>
            </w:pPr>
            <w:r w:rsidRPr="001D6913">
              <w:t>Country WA</w:t>
            </w:r>
          </w:p>
        </w:tc>
        <w:tc>
          <w:tcPr>
            <w:tcW w:w="860" w:type="pct"/>
            <w:tcBorders>
              <w:top w:val="single" w:sz="2" w:space="0" w:color="808080" w:themeColor="background1" w:themeShade="80"/>
              <w:bottom w:val="single" w:sz="2" w:space="0" w:color="808080" w:themeColor="background1" w:themeShade="80"/>
            </w:tcBorders>
            <w:vAlign w:val="center"/>
          </w:tcPr>
          <w:p w14:paraId="4AA499E2" w14:textId="3D488FE6"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78C1E4A" w14:textId="4D04C273" w:rsidR="0072471E" w:rsidRPr="001D6913" w:rsidRDefault="00BB556C" w:rsidP="00AD2662">
            <w:pPr>
              <w:pStyle w:val="Tabletext"/>
            </w:pPr>
            <w:r>
              <w:t xml:space="preserve">August </w:t>
            </w:r>
            <w:r w:rsidR="004B15CF"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2F96080D" w14:textId="2214B8E2" w:rsidR="00372D21" w:rsidRPr="00003839" w:rsidRDefault="00372D21" w:rsidP="00AD2662">
            <w:pPr>
              <w:pStyle w:val="Tabletext"/>
            </w:pPr>
            <w:r w:rsidRPr="00003839">
              <w:t>All analysis</w:t>
            </w:r>
          </w:p>
        </w:tc>
      </w:tr>
      <w:tr w:rsidR="0072471E" w14:paraId="1DC4CD07" w14:textId="06B75445" w:rsidTr="00AD2662">
        <w:tc>
          <w:tcPr>
            <w:tcW w:w="838" w:type="pct"/>
            <w:tcBorders>
              <w:top w:val="single" w:sz="2" w:space="0" w:color="808080" w:themeColor="background1" w:themeShade="80"/>
              <w:bottom w:val="single" w:sz="2" w:space="0" w:color="808080" w:themeColor="background1" w:themeShade="80"/>
            </w:tcBorders>
            <w:vAlign w:val="center"/>
          </w:tcPr>
          <w:p w14:paraId="5C26A81E" w14:textId="2FE34020" w:rsidR="0072471E" w:rsidRPr="001D6913" w:rsidRDefault="0072471E" w:rsidP="00AD2662">
            <w:pPr>
              <w:pStyle w:val="Tabletext"/>
            </w:pPr>
            <w:r w:rsidRPr="001D6913">
              <w:t>Bunbury</w:t>
            </w:r>
          </w:p>
        </w:tc>
        <w:tc>
          <w:tcPr>
            <w:tcW w:w="460" w:type="pct"/>
            <w:tcBorders>
              <w:top w:val="single" w:sz="2" w:space="0" w:color="808080" w:themeColor="background1" w:themeShade="80"/>
              <w:bottom w:val="single" w:sz="2" w:space="0" w:color="808080" w:themeColor="background1" w:themeShade="80"/>
            </w:tcBorders>
            <w:vAlign w:val="center"/>
          </w:tcPr>
          <w:p w14:paraId="520C7498" w14:textId="1732A1EE" w:rsidR="0072471E" w:rsidRPr="001D6913" w:rsidRDefault="006473D9"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42E1C210" w14:textId="30176021" w:rsidR="0072471E" w:rsidRPr="001D6913" w:rsidRDefault="004D1390" w:rsidP="00AD2662">
            <w:pPr>
              <w:pStyle w:val="Tabletext"/>
            </w:pPr>
            <w:r w:rsidRPr="001D6913">
              <w:t>Country WA</w:t>
            </w:r>
          </w:p>
        </w:tc>
        <w:tc>
          <w:tcPr>
            <w:tcW w:w="860" w:type="pct"/>
            <w:tcBorders>
              <w:top w:val="single" w:sz="2" w:space="0" w:color="808080" w:themeColor="background1" w:themeShade="80"/>
              <w:bottom w:val="single" w:sz="2" w:space="0" w:color="808080" w:themeColor="background1" w:themeShade="80"/>
            </w:tcBorders>
            <w:vAlign w:val="center"/>
          </w:tcPr>
          <w:p w14:paraId="6549623E" w14:textId="23C54F2F"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9DEA74B" w14:textId="66A86577" w:rsidR="0072471E" w:rsidRPr="001D6913" w:rsidRDefault="00BB556C" w:rsidP="00AD2662">
            <w:pPr>
              <w:pStyle w:val="Tabletext"/>
            </w:pPr>
            <w:r>
              <w:t xml:space="preserve">January </w:t>
            </w:r>
            <w:r w:rsidR="004B15CF"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1BE614FF" w14:textId="100587ED" w:rsidR="00372D21" w:rsidRPr="00003839" w:rsidRDefault="00372D21" w:rsidP="00AD2662">
            <w:pPr>
              <w:pStyle w:val="Tabletext"/>
            </w:pPr>
            <w:r w:rsidRPr="00003839">
              <w:t>All analysis</w:t>
            </w:r>
          </w:p>
        </w:tc>
      </w:tr>
      <w:tr w:rsidR="0072471E" w14:paraId="26896357" w14:textId="48A6CDA8" w:rsidTr="00AD2662">
        <w:tc>
          <w:tcPr>
            <w:tcW w:w="838" w:type="pct"/>
            <w:tcBorders>
              <w:top w:val="single" w:sz="2" w:space="0" w:color="808080" w:themeColor="background1" w:themeShade="80"/>
              <w:bottom w:val="single" w:sz="2" w:space="0" w:color="808080" w:themeColor="background1" w:themeShade="80"/>
            </w:tcBorders>
            <w:vAlign w:val="center"/>
          </w:tcPr>
          <w:p w14:paraId="1BCB1363" w14:textId="3C1FC82B" w:rsidR="0072471E" w:rsidRPr="001D6913" w:rsidRDefault="0072471E" w:rsidP="00AD2662">
            <w:pPr>
              <w:pStyle w:val="Tabletext"/>
            </w:pPr>
            <w:r w:rsidRPr="001D6913">
              <w:t>Bundaberg</w:t>
            </w:r>
          </w:p>
        </w:tc>
        <w:tc>
          <w:tcPr>
            <w:tcW w:w="460" w:type="pct"/>
            <w:tcBorders>
              <w:top w:val="single" w:sz="2" w:space="0" w:color="808080" w:themeColor="background1" w:themeShade="80"/>
              <w:bottom w:val="single" w:sz="2" w:space="0" w:color="808080" w:themeColor="background1" w:themeShade="80"/>
            </w:tcBorders>
            <w:vAlign w:val="center"/>
          </w:tcPr>
          <w:p w14:paraId="58B38D10" w14:textId="0C7AE462" w:rsidR="0072471E" w:rsidRPr="001D6913" w:rsidRDefault="006473D9"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7B377F51" w14:textId="0BCFAED4" w:rsidR="0072471E" w:rsidRPr="001D6913" w:rsidRDefault="004D1390" w:rsidP="00AD2662">
            <w:pPr>
              <w:pStyle w:val="Tabletext"/>
            </w:pPr>
            <w:r w:rsidRPr="001D6913">
              <w:t>Central QLD, Wide Bay &amp; Sunshine Coast</w:t>
            </w:r>
          </w:p>
        </w:tc>
        <w:tc>
          <w:tcPr>
            <w:tcW w:w="860" w:type="pct"/>
            <w:tcBorders>
              <w:top w:val="single" w:sz="2" w:space="0" w:color="808080" w:themeColor="background1" w:themeShade="80"/>
              <w:bottom w:val="single" w:sz="2" w:space="0" w:color="808080" w:themeColor="background1" w:themeShade="80"/>
            </w:tcBorders>
            <w:vAlign w:val="center"/>
          </w:tcPr>
          <w:p w14:paraId="525B6118" w14:textId="637B95BD"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B1C44D5" w14:textId="0A2541D6" w:rsidR="0072471E" w:rsidRPr="001D6913" w:rsidRDefault="00BB556C" w:rsidP="00AD2662">
            <w:pPr>
              <w:pStyle w:val="Tabletext"/>
            </w:pPr>
            <w:r>
              <w:t xml:space="preserve">March </w:t>
            </w:r>
            <w:r w:rsidR="004B15CF" w:rsidRPr="001D6913">
              <w:t>2017</w:t>
            </w:r>
          </w:p>
        </w:tc>
        <w:tc>
          <w:tcPr>
            <w:tcW w:w="856" w:type="pct"/>
            <w:tcBorders>
              <w:top w:val="single" w:sz="2" w:space="0" w:color="808080" w:themeColor="background1" w:themeShade="80"/>
              <w:bottom w:val="single" w:sz="2" w:space="0" w:color="808080" w:themeColor="background1" w:themeShade="80"/>
            </w:tcBorders>
            <w:vAlign w:val="center"/>
          </w:tcPr>
          <w:p w14:paraId="19AB1E72" w14:textId="44896DA7" w:rsidR="00372D21" w:rsidRPr="00003839" w:rsidRDefault="00372D21" w:rsidP="00AD2662">
            <w:pPr>
              <w:pStyle w:val="Tabletext"/>
            </w:pPr>
            <w:r w:rsidRPr="00003839">
              <w:t>All analysis</w:t>
            </w:r>
          </w:p>
        </w:tc>
      </w:tr>
      <w:tr w:rsidR="0072471E" w14:paraId="02E3D8D9" w14:textId="3304BD5B" w:rsidTr="00AD2662">
        <w:tc>
          <w:tcPr>
            <w:tcW w:w="838" w:type="pct"/>
            <w:tcBorders>
              <w:top w:val="single" w:sz="2" w:space="0" w:color="808080" w:themeColor="background1" w:themeShade="80"/>
              <w:bottom w:val="single" w:sz="2" w:space="0" w:color="808080" w:themeColor="background1" w:themeShade="80"/>
            </w:tcBorders>
            <w:vAlign w:val="center"/>
          </w:tcPr>
          <w:p w14:paraId="2AA256F9" w14:textId="2A4EEA78" w:rsidR="0072471E" w:rsidRPr="001D6913" w:rsidRDefault="0072471E" w:rsidP="00AD2662">
            <w:pPr>
              <w:pStyle w:val="Tabletext"/>
            </w:pPr>
            <w:r w:rsidRPr="001D6913">
              <w:t>Caboolture</w:t>
            </w:r>
          </w:p>
        </w:tc>
        <w:tc>
          <w:tcPr>
            <w:tcW w:w="460" w:type="pct"/>
            <w:tcBorders>
              <w:top w:val="single" w:sz="2" w:space="0" w:color="808080" w:themeColor="background1" w:themeShade="80"/>
              <w:bottom w:val="single" w:sz="2" w:space="0" w:color="808080" w:themeColor="background1" w:themeShade="80"/>
            </w:tcBorders>
            <w:vAlign w:val="center"/>
          </w:tcPr>
          <w:p w14:paraId="30EF4C20" w14:textId="61982A90" w:rsidR="0072471E" w:rsidRPr="001D6913" w:rsidRDefault="006473D9"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67482DE8" w14:textId="3972B084" w:rsidR="0072471E" w:rsidRPr="001D6913" w:rsidRDefault="004D1390" w:rsidP="00AD2662">
            <w:pPr>
              <w:pStyle w:val="Tabletext"/>
            </w:pPr>
            <w:r w:rsidRPr="001D6913">
              <w:t>Brisbane North</w:t>
            </w:r>
          </w:p>
        </w:tc>
        <w:tc>
          <w:tcPr>
            <w:tcW w:w="860" w:type="pct"/>
            <w:tcBorders>
              <w:top w:val="single" w:sz="2" w:space="0" w:color="808080" w:themeColor="background1" w:themeShade="80"/>
              <w:bottom w:val="single" w:sz="2" w:space="0" w:color="808080" w:themeColor="background1" w:themeShade="80"/>
            </w:tcBorders>
            <w:vAlign w:val="center"/>
          </w:tcPr>
          <w:p w14:paraId="610767E1" w14:textId="172C616F"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71605A8" w14:textId="396133A7" w:rsidR="0072471E" w:rsidRPr="001D6913" w:rsidRDefault="00BB556C" w:rsidP="00AD2662">
            <w:pPr>
              <w:pStyle w:val="Tabletext"/>
            </w:pPr>
            <w:r>
              <w:t xml:space="preserve">March </w:t>
            </w:r>
            <w:r w:rsidR="004B15CF"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718E7518" w14:textId="674076A8" w:rsidR="00372D21" w:rsidRPr="00003839" w:rsidRDefault="00372D21" w:rsidP="00AD2662">
            <w:pPr>
              <w:pStyle w:val="Tabletext"/>
            </w:pPr>
            <w:r w:rsidRPr="00003839">
              <w:t>All analysis</w:t>
            </w:r>
          </w:p>
        </w:tc>
      </w:tr>
      <w:tr w:rsidR="0072471E" w14:paraId="0F4D5E91" w14:textId="6018F5B7" w:rsidTr="00AD2662">
        <w:tc>
          <w:tcPr>
            <w:tcW w:w="838" w:type="pct"/>
            <w:tcBorders>
              <w:top w:val="single" w:sz="2" w:space="0" w:color="808080" w:themeColor="background1" w:themeShade="80"/>
              <w:bottom w:val="single" w:sz="2" w:space="0" w:color="808080" w:themeColor="background1" w:themeShade="80"/>
            </w:tcBorders>
            <w:vAlign w:val="center"/>
          </w:tcPr>
          <w:p w14:paraId="7A02B600" w14:textId="3085D70F" w:rsidR="0072471E" w:rsidRPr="001D6913" w:rsidRDefault="0072471E" w:rsidP="00AD2662">
            <w:pPr>
              <w:pStyle w:val="Tabletext"/>
            </w:pPr>
            <w:r w:rsidRPr="001D6913">
              <w:t>Cairns</w:t>
            </w:r>
          </w:p>
        </w:tc>
        <w:tc>
          <w:tcPr>
            <w:tcW w:w="460" w:type="pct"/>
            <w:tcBorders>
              <w:top w:val="single" w:sz="2" w:space="0" w:color="808080" w:themeColor="background1" w:themeShade="80"/>
              <w:bottom w:val="single" w:sz="2" w:space="0" w:color="808080" w:themeColor="background1" w:themeShade="80"/>
            </w:tcBorders>
            <w:vAlign w:val="center"/>
          </w:tcPr>
          <w:p w14:paraId="550D0E8B" w14:textId="25A5C189" w:rsidR="0072471E" w:rsidRPr="001D6913" w:rsidRDefault="006473D9"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70F3D4AB" w14:textId="7FEA85F3" w:rsidR="0072471E" w:rsidRPr="001D6913" w:rsidRDefault="004D1390" w:rsidP="00AD2662">
            <w:pPr>
              <w:pStyle w:val="Tabletext"/>
            </w:pPr>
            <w:r w:rsidRPr="001D6913">
              <w:t>Northern QLD</w:t>
            </w:r>
          </w:p>
        </w:tc>
        <w:tc>
          <w:tcPr>
            <w:tcW w:w="860" w:type="pct"/>
            <w:tcBorders>
              <w:top w:val="single" w:sz="2" w:space="0" w:color="808080" w:themeColor="background1" w:themeShade="80"/>
              <w:bottom w:val="single" w:sz="2" w:space="0" w:color="808080" w:themeColor="background1" w:themeShade="80"/>
            </w:tcBorders>
            <w:vAlign w:val="center"/>
          </w:tcPr>
          <w:p w14:paraId="546F126B" w14:textId="1CA296C6"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5328CB8" w14:textId="7CD3624D" w:rsidR="0072471E" w:rsidRPr="001D6913" w:rsidRDefault="00BB556C" w:rsidP="00AD2662">
            <w:pPr>
              <w:pStyle w:val="Tabletext"/>
            </w:pPr>
            <w:r>
              <w:t xml:space="preserve">April </w:t>
            </w:r>
            <w:r w:rsidR="004B15CF" w:rsidRPr="001D6913">
              <w:t>2012</w:t>
            </w:r>
          </w:p>
        </w:tc>
        <w:tc>
          <w:tcPr>
            <w:tcW w:w="856" w:type="pct"/>
            <w:tcBorders>
              <w:top w:val="single" w:sz="2" w:space="0" w:color="808080" w:themeColor="background1" w:themeShade="80"/>
              <w:bottom w:val="single" w:sz="2" w:space="0" w:color="808080" w:themeColor="background1" w:themeShade="80"/>
            </w:tcBorders>
            <w:vAlign w:val="center"/>
          </w:tcPr>
          <w:p w14:paraId="22C90DA9" w14:textId="2F1506D0" w:rsidR="00372D21" w:rsidRPr="00003839" w:rsidRDefault="00372D21" w:rsidP="00AD2662">
            <w:pPr>
              <w:pStyle w:val="Tabletext"/>
            </w:pPr>
            <w:r w:rsidRPr="00003839">
              <w:t>All analysis</w:t>
            </w:r>
          </w:p>
        </w:tc>
      </w:tr>
      <w:tr w:rsidR="0072471E" w14:paraId="33DF13B3" w14:textId="63B4965E" w:rsidTr="00AD2662">
        <w:tc>
          <w:tcPr>
            <w:tcW w:w="838" w:type="pct"/>
            <w:tcBorders>
              <w:top w:val="single" w:sz="2" w:space="0" w:color="808080" w:themeColor="background1" w:themeShade="80"/>
              <w:bottom w:val="single" w:sz="2" w:space="0" w:color="808080" w:themeColor="background1" w:themeShade="80"/>
            </w:tcBorders>
            <w:vAlign w:val="center"/>
          </w:tcPr>
          <w:p w14:paraId="26318D7C" w14:textId="19982FA5" w:rsidR="0072471E" w:rsidRPr="001D6913" w:rsidRDefault="0072471E" w:rsidP="00AD2662">
            <w:pPr>
              <w:pStyle w:val="Tabletext"/>
            </w:pPr>
            <w:r w:rsidRPr="001D6913">
              <w:t>Campbelltown</w:t>
            </w:r>
          </w:p>
        </w:tc>
        <w:tc>
          <w:tcPr>
            <w:tcW w:w="460" w:type="pct"/>
            <w:tcBorders>
              <w:top w:val="single" w:sz="2" w:space="0" w:color="808080" w:themeColor="background1" w:themeShade="80"/>
              <w:bottom w:val="single" w:sz="2" w:space="0" w:color="808080" w:themeColor="background1" w:themeShade="80"/>
            </w:tcBorders>
            <w:vAlign w:val="center"/>
          </w:tcPr>
          <w:p w14:paraId="560D9959" w14:textId="62FE7BD6"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62C0DA39" w14:textId="6321BED9" w:rsidR="0072471E" w:rsidRPr="001D6913" w:rsidRDefault="004D1390" w:rsidP="00AD2662">
            <w:pPr>
              <w:pStyle w:val="Tabletext"/>
            </w:pPr>
            <w:r w:rsidRPr="001D6913">
              <w:t>South Western Sydney</w:t>
            </w:r>
          </w:p>
        </w:tc>
        <w:tc>
          <w:tcPr>
            <w:tcW w:w="860" w:type="pct"/>
            <w:tcBorders>
              <w:top w:val="single" w:sz="2" w:space="0" w:color="808080" w:themeColor="background1" w:themeShade="80"/>
              <w:bottom w:val="single" w:sz="2" w:space="0" w:color="808080" w:themeColor="background1" w:themeShade="80"/>
            </w:tcBorders>
            <w:vAlign w:val="center"/>
          </w:tcPr>
          <w:p w14:paraId="7E703076" w14:textId="247EED4B"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B80B651" w14:textId="0C99AC35" w:rsidR="0072471E" w:rsidRPr="001D6913" w:rsidRDefault="00BB556C" w:rsidP="00AD2662">
            <w:pPr>
              <w:pStyle w:val="Tabletext"/>
            </w:pPr>
            <w:r>
              <w:t>November 2007</w:t>
            </w:r>
          </w:p>
        </w:tc>
        <w:tc>
          <w:tcPr>
            <w:tcW w:w="856" w:type="pct"/>
            <w:tcBorders>
              <w:top w:val="single" w:sz="2" w:space="0" w:color="808080" w:themeColor="background1" w:themeShade="80"/>
              <w:bottom w:val="single" w:sz="2" w:space="0" w:color="808080" w:themeColor="background1" w:themeShade="80"/>
            </w:tcBorders>
            <w:vAlign w:val="center"/>
          </w:tcPr>
          <w:p w14:paraId="4F9DE9BF" w14:textId="54B33619" w:rsidR="00372D21" w:rsidRPr="00003839" w:rsidRDefault="00372D21" w:rsidP="00AD2662">
            <w:pPr>
              <w:pStyle w:val="Tabletext"/>
            </w:pPr>
            <w:r w:rsidRPr="00003839">
              <w:t>All analysis</w:t>
            </w:r>
          </w:p>
        </w:tc>
      </w:tr>
      <w:tr w:rsidR="0072471E" w14:paraId="4B3AD24B" w14:textId="6A4EC626" w:rsidTr="00AD2662">
        <w:tc>
          <w:tcPr>
            <w:tcW w:w="838" w:type="pct"/>
            <w:tcBorders>
              <w:top w:val="single" w:sz="2" w:space="0" w:color="808080" w:themeColor="background1" w:themeShade="80"/>
              <w:bottom w:val="single" w:sz="2" w:space="0" w:color="808080" w:themeColor="background1" w:themeShade="80"/>
            </w:tcBorders>
            <w:vAlign w:val="center"/>
          </w:tcPr>
          <w:p w14:paraId="3651F3B7" w14:textId="7E689492" w:rsidR="0072471E" w:rsidRPr="001D6913" w:rsidRDefault="0072471E" w:rsidP="00AD2662">
            <w:pPr>
              <w:pStyle w:val="Tabletext"/>
            </w:pPr>
            <w:r w:rsidRPr="001D6913">
              <w:t>Camperdown</w:t>
            </w:r>
          </w:p>
        </w:tc>
        <w:tc>
          <w:tcPr>
            <w:tcW w:w="460" w:type="pct"/>
            <w:tcBorders>
              <w:top w:val="single" w:sz="2" w:space="0" w:color="808080" w:themeColor="background1" w:themeShade="80"/>
              <w:bottom w:val="single" w:sz="2" w:space="0" w:color="808080" w:themeColor="background1" w:themeShade="80"/>
            </w:tcBorders>
            <w:vAlign w:val="center"/>
          </w:tcPr>
          <w:p w14:paraId="00FF72F3" w14:textId="57E19D21"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62E981FB" w14:textId="20A3898A" w:rsidR="0072471E" w:rsidRPr="001D6913" w:rsidRDefault="004D1390" w:rsidP="00AD2662">
            <w:pPr>
              <w:pStyle w:val="Tabletext"/>
            </w:pPr>
            <w:r w:rsidRPr="001D6913">
              <w:t>Central &amp; Eastern Sydney</w:t>
            </w:r>
          </w:p>
        </w:tc>
        <w:tc>
          <w:tcPr>
            <w:tcW w:w="860" w:type="pct"/>
            <w:tcBorders>
              <w:top w:val="single" w:sz="2" w:space="0" w:color="808080" w:themeColor="background1" w:themeShade="80"/>
              <w:bottom w:val="single" w:sz="2" w:space="0" w:color="808080" w:themeColor="background1" w:themeShade="80"/>
            </w:tcBorders>
            <w:vAlign w:val="center"/>
          </w:tcPr>
          <w:p w14:paraId="63DAF001" w14:textId="34621509"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32C72BF" w14:textId="5AAAC1D5" w:rsidR="0072471E" w:rsidRPr="001D6913" w:rsidRDefault="00BB556C" w:rsidP="00AD2662">
            <w:pPr>
              <w:pStyle w:val="Tabletext"/>
            </w:pPr>
            <w:r>
              <w:t xml:space="preserve">August </w:t>
            </w:r>
            <w:r w:rsidR="004B15CF"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5CD687B5" w14:textId="7A2F436E" w:rsidR="00372D21" w:rsidRPr="00003839" w:rsidRDefault="00372D21" w:rsidP="00AD2662">
            <w:pPr>
              <w:pStyle w:val="Tabletext"/>
            </w:pPr>
            <w:r w:rsidRPr="00003839">
              <w:t>All analysis</w:t>
            </w:r>
          </w:p>
        </w:tc>
      </w:tr>
      <w:tr w:rsidR="0072471E" w14:paraId="3E67FD8E" w14:textId="06389065" w:rsidTr="00AD2662">
        <w:tc>
          <w:tcPr>
            <w:tcW w:w="838" w:type="pct"/>
            <w:tcBorders>
              <w:top w:val="single" w:sz="2" w:space="0" w:color="808080" w:themeColor="background1" w:themeShade="80"/>
              <w:bottom w:val="single" w:sz="2" w:space="0" w:color="808080" w:themeColor="background1" w:themeShade="80"/>
            </w:tcBorders>
            <w:vAlign w:val="center"/>
          </w:tcPr>
          <w:p w14:paraId="61A3D5F3" w14:textId="0D1897C2" w:rsidR="0072471E" w:rsidRPr="001D6913" w:rsidRDefault="0072471E" w:rsidP="00AD2662">
            <w:pPr>
              <w:pStyle w:val="Tabletext"/>
            </w:pPr>
            <w:r w:rsidRPr="001D6913">
              <w:t>Canberra</w:t>
            </w:r>
          </w:p>
        </w:tc>
        <w:tc>
          <w:tcPr>
            <w:tcW w:w="460" w:type="pct"/>
            <w:tcBorders>
              <w:top w:val="single" w:sz="2" w:space="0" w:color="808080" w:themeColor="background1" w:themeShade="80"/>
              <w:bottom w:val="single" w:sz="2" w:space="0" w:color="808080" w:themeColor="background1" w:themeShade="80"/>
            </w:tcBorders>
            <w:vAlign w:val="center"/>
          </w:tcPr>
          <w:p w14:paraId="6553B9F2" w14:textId="0555D368" w:rsidR="0072471E" w:rsidRPr="001D6913" w:rsidRDefault="006473D9" w:rsidP="00AD2662">
            <w:pPr>
              <w:pStyle w:val="Tabletext"/>
            </w:pPr>
            <w:r w:rsidRPr="001D6913">
              <w:t>ACT</w:t>
            </w:r>
          </w:p>
        </w:tc>
        <w:tc>
          <w:tcPr>
            <w:tcW w:w="1127" w:type="pct"/>
            <w:tcBorders>
              <w:top w:val="single" w:sz="2" w:space="0" w:color="808080" w:themeColor="background1" w:themeShade="80"/>
              <w:bottom w:val="single" w:sz="2" w:space="0" w:color="808080" w:themeColor="background1" w:themeShade="80"/>
            </w:tcBorders>
            <w:vAlign w:val="center"/>
          </w:tcPr>
          <w:p w14:paraId="58115D9E" w14:textId="3CE02C87" w:rsidR="0072471E" w:rsidRPr="001D6913" w:rsidRDefault="004D1390" w:rsidP="00AD2662">
            <w:pPr>
              <w:pStyle w:val="Tabletext"/>
            </w:pPr>
            <w:r w:rsidRPr="001D6913">
              <w:t>ACT</w:t>
            </w:r>
          </w:p>
        </w:tc>
        <w:tc>
          <w:tcPr>
            <w:tcW w:w="860" w:type="pct"/>
            <w:tcBorders>
              <w:top w:val="single" w:sz="2" w:space="0" w:color="808080" w:themeColor="background1" w:themeShade="80"/>
              <w:bottom w:val="single" w:sz="2" w:space="0" w:color="808080" w:themeColor="background1" w:themeShade="80"/>
            </w:tcBorders>
            <w:vAlign w:val="center"/>
          </w:tcPr>
          <w:p w14:paraId="1DA65250" w14:textId="31CDDC5A"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D415509" w14:textId="3D310C01" w:rsidR="0072471E" w:rsidRPr="001D6913" w:rsidRDefault="00BB556C" w:rsidP="00AD2662">
            <w:pPr>
              <w:pStyle w:val="Tabletext"/>
            </w:pPr>
            <w:r>
              <w:t>September 2008</w:t>
            </w:r>
          </w:p>
        </w:tc>
        <w:tc>
          <w:tcPr>
            <w:tcW w:w="856" w:type="pct"/>
            <w:tcBorders>
              <w:top w:val="single" w:sz="2" w:space="0" w:color="808080" w:themeColor="background1" w:themeShade="80"/>
              <w:bottom w:val="single" w:sz="2" w:space="0" w:color="808080" w:themeColor="background1" w:themeShade="80"/>
            </w:tcBorders>
            <w:vAlign w:val="center"/>
          </w:tcPr>
          <w:p w14:paraId="7AF78A87" w14:textId="023AD7D0" w:rsidR="00372D21" w:rsidRPr="00003839" w:rsidRDefault="00372D21" w:rsidP="00AD2662">
            <w:pPr>
              <w:pStyle w:val="Tabletext"/>
            </w:pPr>
            <w:r w:rsidRPr="00003839">
              <w:t>All analysis</w:t>
            </w:r>
          </w:p>
        </w:tc>
      </w:tr>
      <w:tr w:rsidR="0072471E" w14:paraId="39467817" w14:textId="17ABFFE7" w:rsidTr="00AD2662">
        <w:tc>
          <w:tcPr>
            <w:tcW w:w="838" w:type="pct"/>
            <w:tcBorders>
              <w:top w:val="single" w:sz="2" w:space="0" w:color="808080" w:themeColor="background1" w:themeShade="80"/>
              <w:bottom w:val="single" w:sz="2" w:space="0" w:color="808080" w:themeColor="background1" w:themeShade="80"/>
            </w:tcBorders>
            <w:vAlign w:val="center"/>
          </w:tcPr>
          <w:p w14:paraId="36770EC6" w14:textId="0382A48E" w:rsidR="0072471E" w:rsidRPr="001D6913" w:rsidRDefault="0072471E" w:rsidP="00AD2662">
            <w:pPr>
              <w:pStyle w:val="Tabletext"/>
            </w:pPr>
            <w:r w:rsidRPr="001D6913">
              <w:t>Capalaba</w:t>
            </w:r>
          </w:p>
        </w:tc>
        <w:tc>
          <w:tcPr>
            <w:tcW w:w="460" w:type="pct"/>
            <w:tcBorders>
              <w:top w:val="single" w:sz="2" w:space="0" w:color="808080" w:themeColor="background1" w:themeShade="80"/>
              <w:bottom w:val="single" w:sz="2" w:space="0" w:color="808080" w:themeColor="background1" w:themeShade="80"/>
            </w:tcBorders>
            <w:vAlign w:val="center"/>
          </w:tcPr>
          <w:p w14:paraId="107E81C6" w14:textId="489BFD25" w:rsidR="0072471E" w:rsidRPr="001D6913" w:rsidRDefault="006473D9"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6045331D" w14:textId="7F191620" w:rsidR="0072471E" w:rsidRPr="001D6913" w:rsidRDefault="004D1390" w:rsidP="00AD2662">
            <w:pPr>
              <w:pStyle w:val="Tabletext"/>
            </w:pPr>
            <w:r w:rsidRPr="001D6913">
              <w:t>Brisbane South</w:t>
            </w:r>
          </w:p>
        </w:tc>
        <w:tc>
          <w:tcPr>
            <w:tcW w:w="860" w:type="pct"/>
            <w:tcBorders>
              <w:top w:val="single" w:sz="2" w:space="0" w:color="808080" w:themeColor="background1" w:themeShade="80"/>
              <w:bottom w:val="single" w:sz="2" w:space="0" w:color="808080" w:themeColor="background1" w:themeShade="80"/>
            </w:tcBorders>
            <w:vAlign w:val="center"/>
          </w:tcPr>
          <w:p w14:paraId="59CF7471" w14:textId="418B399E"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9C6C37D" w14:textId="1DF84DDA" w:rsidR="0072471E" w:rsidRPr="001D6913" w:rsidRDefault="00BB556C" w:rsidP="00AD2662">
            <w:pPr>
              <w:pStyle w:val="Tabletext"/>
            </w:pPr>
            <w:r>
              <w:t xml:space="preserve">March </w:t>
            </w:r>
            <w:r w:rsidR="004B15CF"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3D3D4E8B" w14:textId="2675FBFD" w:rsidR="00372D21" w:rsidRPr="00003839" w:rsidRDefault="00372D21" w:rsidP="00AD2662">
            <w:pPr>
              <w:pStyle w:val="Tabletext"/>
            </w:pPr>
            <w:r w:rsidRPr="00003839">
              <w:t>All analysis</w:t>
            </w:r>
          </w:p>
        </w:tc>
      </w:tr>
      <w:tr w:rsidR="0072471E" w14:paraId="1DAA777A" w14:textId="79464900" w:rsidTr="00AD2662">
        <w:tc>
          <w:tcPr>
            <w:tcW w:w="838" w:type="pct"/>
            <w:tcBorders>
              <w:top w:val="single" w:sz="2" w:space="0" w:color="808080" w:themeColor="background1" w:themeShade="80"/>
              <w:bottom w:val="single" w:sz="2" w:space="0" w:color="808080" w:themeColor="background1" w:themeShade="80"/>
            </w:tcBorders>
            <w:vAlign w:val="center"/>
          </w:tcPr>
          <w:p w14:paraId="5F79D07D" w14:textId="45EF7C1B" w:rsidR="0072471E" w:rsidRPr="001D6913" w:rsidRDefault="0072471E" w:rsidP="00AD2662">
            <w:pPr>
              <w:pStyle w:val="Tabletext"/>
            </w:pPr>
            <w:r w:rsidRPr="001D6913">
              <w:t>Castle Hill</w:t>
            </w:r>
          </w:p>
        </w:tc>
        <w:tc>
          <w:tcPr>
            <w:tcW w:w="460" w:type="pct"/>
            <w:tcBorders>
              <w:top w:val="single" w:sz="2" w:space="0" w:color="808080" w:themeColor="background1" w:themeShade="80"/>
              <w:bottom w:val="single" w:sz="2" w:space="0" w:color="808080" w:themeColor="background1" w:themeShade="80"/>
            </w:tcBorders>
            <w:vAlign w:val="center"/>
          </w:tcPr>
          <w:p w14:paraId="5F4025D9" w14:textId="234B4F68"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3AF8D8E3" w14:textId="0072B6BA" w:rsidR="0072471E" w:rsidRPr="001D6913" w:rsidRDefault="004D1390" w:rsidP="00AD2662">
            <w:pPr>
              <w:pStyle w:val="Tabletext"/>
            </w:pPr>
            <w:r w:rsidRPr="001D6913">
              <w:t>Western Sydney</w:t>
            </w:r>
          </w:p>
        </w:tc>
        <w:tc>
          <w:tcPr>
            <w:tcW w:w="860" w:type="pct"/>
            <w:tcBorders>
              <w:top w:val="single" w:sz="2" w:space="0" w:color="808080" w:themeColor="background1" w:themeShade="80"/>
              <w:bottom w:val="single" w:sz="2" w:space="0" w:color="808080" w:themeColor="background1" w:themeShade="80"/>
            </w:tcBorders>
            <w:vAlign w:val="center"/>
          </w:tcPr>
          <w:p w14:paraId="3BA423D1" w14:textId="152E42D6"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7A55B3F" w14:textId="58F49FD2" w:rsidR="0072471E" w:rsidRPr="001D6913" w:rsidRDefault="00BB556C" w:rsidP="00AD2662">
            <w:pPr>
              <w:pStyle w:val="Tabletext"/>
            </w:pPr>
            <w:r>
              <w:t xml:space="preserve">June </w:t>
            </w:r>
            <w:r w:rsidR="004B15CF"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43F690FC" w14:textId="1750DFF3" w:rsidR="00372D21" w:rsidRPr="00003839" w:rsidRDefault="00372D21" w:rsidP="00AD2662">
            <w:pPr>
              <w:pStyle w:val="Tabletext"/>
            </w:pPr>
            <w:r w:rsidRPr="00003839">
              <w:t>All analysis</w:t>
            </w:r>
          </w:p>
        </w:tc>
      </w:tr>
      <w:tr w:rsidR="0072471E" w14:paraId="3726AC11" w14:textId="62072CAF" w:rsidTr="00AD2662">
        <w:tc>
          <w:tcPr>
            <w:tcW w:w="838" w:type="pct"/>
            <w:tcBorders>
              <w:top w:val="single" w:sz="2" w:space="0" w:color="808080" w:themeColor="background1" w:themeShade="80"/>
              <w:bottom w:val="single" w:sz="2" w:space="0" w:color="808080" w:themeColor="background1" w:themeShade="80"/>
            </w:tcBorders>
            <w:vAlign w:val="center"/>
          </w:tcPr>
          <w:p w14:paraId="76D09D47" w14:textId="0F78EB35" w:rsidR="0072471E" w:rsidRPr="001D6913" w:rsidRDefault="0072471E" w:rsidP="00AD2662">
            <w:pPr>
              <w:pStyle w:val="Tabletext"/>
            </w:pPr>
            <w:r w:rsidRPr="001D6913">
              <w:t>Chatswood</w:t>
            </w:r>
          </w:p>
        </w:tc>
        <w:tc>
          <w:tcPr>
            <w:tcW w:w="460" w:type="pct"/>
            <w:tcBorders>
              <w:top w:val="single" w:sz="2" w:space="0" w:color="808080" w:themeColor="background1" w:themeShade="80"/>
              <w:bottom w:val="single" w:sz="2" w:space="0" w:color="808080" w:themeColor="background1" w:themeShade="80"/>
            </w:tcBorders>
            <w:vAlign w:val="center"/>
          </w:tcPr>
          <w:p w14:paraId="3C2EA32C" w14:textId="1B320FE4"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64369963" w14:textId="4BD89CAA" w:rsidR="0072471E" w:rsidRPr="001D6913" w:rsidRDefault="004D1390" w:rsidP="00AD2662">
            <w:pPr>
              <w:pStyle w:val="Tabletext"/>
            </w:pPr>
            <w:r w:rsidRPr="001D6913">
              <w:t>Northern Sydney</w:t>
            </w:r>
          </w:p>
        </w:tc>
        <w:tc>
          <w:tcPr>
            <w:tcW w:w="860" w:type="pct"/>
            <w:tcBorders>
              <w:top w:val="single" w:sz="2" w:space="0" w:color="808080" w:themeColor="background1" w:themeShade="80"/>
              <w:bottom w:val="single" w:sz="2" w:space="0" w:color="808080" w:themeColor="background1" w:themeShade="80"/>
            </w:tcBorders>
            <w:vAlign w:val="center"/>
          </w:tcPr>
          <w:p w14:paraId="358EB9F7" w14:textId="2AC6B674"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DA752F8" w14:textId="2D83D4FD" w:rsidR="0072471E" w:rsidRPr="001D6913" w:rsidRDefault="00BB556C" w:rsidP="00AD2662">
            <w:pPr>
              <w:pStyle w:val="Tabletext"/>
            </w:pPr>
            <w:r>
              <w:t xml:space="preserve">May </w:t>
            </w:r>
            <w:r w:rsidR="004B15CF"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7528C5F6" w14:textId="14AC18E3" w:rsidR="00372D21" w:rsidRPr="00003839" w:rsidRDefault="00372D21" w:rsidP="00AD2662">
            <w:pPr>
              <w:pStyle w:val="Tabletext"/>
            </w:pPr>
            <w:r w:rsidRPr="00003839">
              <w:t>All analysis</w:t>
            </w:r>
          </w:p>
        </w:tc>
      </w:tr>
      <w:tr w:rsidR="0072471E" w14:paraId="27412676" w14:textId="6C8C0991" w:rsidTr="00AD2662">
        <w:tc>
          <w:tcPr>
            <w:tcW w:w="838" w:type="pct"/>
            <w:tcBorders>
              <w:top w:val="single" w:sz="2" w:space="0" w:color="808080" w:themeColor="background1" w:themeShade="80"/>
              <w:bottom w:val="single" w:sz="2" w:space="0" w:color="808080" w:themeColor="background1" w:themeShade="80"/>
            </w:tcBorders>
            <w:vAlign w:val="center"/>
          </w:tcPr>
          <w:p w14:paraId="40257DAA" w14:textId="2CE40A1A" w:rsidR="0072471E" w:rsidRPr="001D6913" w:rsidRDefault="0072471E" w:rsidP="00AD2662">
            <w:pPr>
              <w:pStyle w:val="Tabletext"/>
            </w:pPr>
            <w:r w:rsidRPr="001D6913">
              <w:t>Coffs Harbour</w:t>
            </w:r>
          </w:p>
        </w:tc>
        <w:tc>
          <w:tcPr>
            <w:tcW w:w="460" w:type="pct"/>
            <w:tcBorders>
              <w:top w:val="single" w:sz="2" w:space="0" w:color="808080" w:themeColor="background1" w:themeShade="80"/>
              <w:bottom w:val="single" w:sz="2" w:space="0" w:color="808080" w:themeColor="background1" w:themeShade="80"/>
            </w:tcBorders>
            <w:vAlign w:val="center"/>
          </w:tcPr>
          <w:p w14:paraId="7952AC42" w14:textId="6A985FC3"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73A76772" w14:textId="4FFF0E35" w:rsidR="0072471E" w:rsidRPr="001D6913" w:rsidRDefault="004D1390" w:rsidP="00AD2662">
            <w:pPr>
              <w:pStyle w:val="Tabletext"/>
            </w:pPr>
            <w:r w:rsidRPr="001D6913">
              <w:t>North Coast</w:t>
            </w:r>
          </w:p>
        </w:tc>
        <w:tc>
          <w:tcPr>
            <w:tcW w:w="860" w:type="pct"/>
            <w:tcBorders>
              <w:top w:val="single" w:sz="2" w:space="0" w:color="808080" w:themeColor="background1" w:themeShade="80"/>
              <w:bottom w:val="single" w:sz="2" w:space="0" w:color="808080" w:themeColor="background1" w:themeShade="80"/>
            </w:tcBorders>
            <w:vAlign w:val="center"/>
          </w:tcPr>
          <w:p w14:paraId="60A8D68D" w14:textId="24524826"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83869D6" w14:textId="326B7D0B" w:rsidR="0072471E" w:rsidRPr="001D6913" w:rsidRDefault="00BB556C" w:rsidP="00AD2662">
            <w:pPr>
              <w:pStyle w:val="Tabletext"/>
            </w:pPr>
            <w:r>
              <w:t xml:space="preserve">March </w:t>
            </w:r>
            <w:r w:rsidR="004B15CF"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66C3BA89" w14:textId="29438B5E" w:rsidR="00372D21" w:rsidRPr="00003839" w:rsidRDefault="00372D21" w:rsidP="00AD2662">
            <w:pPr>
              <w:pStyle w:val="Tabletext"/>
            </w:pPr>
            <w:r w:rsidRPr="00003839">
              <w:t>All analysis</w:t>
            </w:r>
          </w:p>
        </w:tc>
      </w:tr>
      <w:tr w:rsidR="0072471E" w14:paraId="3250E2FF" w14:textId="69F71EC4" w:rsidTr="00AD2662">
        <w:tc>
          <w:tcPr>
            <w:tcW w:w="838" w:type="pct"/>
            <w:tcBorders>
              <w:top w:val="single" w:sz="2" w:space="0" w:color="808080" w:themeColor="background1" w:themeShade="80"/>
              <w:bottom w:val="single" w:sz="2" w:space="0" w:color="808080" w:themeColor="background1" w:themeShade="80"/>
            </w:tcBorders>
            <w:vAlign w:val="center"/>
          </w:tcPr>
          <w:p w14:paraId="096D501E" w14:textId="4364439D" w:rsidR="0072471E" w:rsidRPr="001D6913" w:rsidRDefault="0072471E" w:rsidP="00AD2662">
            <w:pPr>
              <w:pStyle w:val="Tabletext"/>
            </w:pPr>
            <w:r w:rsidRPr="001D6913">
              <w:t>Collingwood</w:t>
            </w:r>
          </w:p>
        </w:tc>
        <w:tc>
          <w:tcPr>
            <w:tcW w:w="460" w:type="pct"/>
            <w:tcBorders>
              <w:top w:val="single" w:sz="2" w:space="0" w:color="808080" w:themeColor="background1" w:themeShade="80"/>
              <w:bottom w:val="single" w:sz="2" w:space="0" w:color="808080" w:themeColor="background1" w:themeShade="80"/>
            </w:tcBorders>
            <w:vAlign w:val="center"/>
          </w:tcPr>
          <w:p w14:paraId="41A73ACF" w14:textId="729EB60C" w:rsidR="0072471E" w:rsidRPr="001D6913" w:rsidRDefault="006473D9"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4787DB9C" w14:textId="06D0F481" w:rsidR="0072471E" w:rsidRPr="001D6913" w:rsidRDefault="004D1390" w:rsidP="00AD2662">
            <w:pPr>
              <w:pStyle w:val="Tabletext"/>
            </w:pPr>
            <w:r w:rsidRPr="001D6913">
              <w:t>North Western Melbourne</w:t>
            </w:r>
          </w:p>
        </w:tc>
        <w:tc>
          <w:tcPr>
            <w:tcW w:w="860" w:type="pct"/>
            <w:tcBorders>
              <w:top w:val="single" w:sz="2" w:space="0" w:color="808080" w:themeColor="background1" w:themeShade="80"/>
              <w:bottom w:val="single" w:sz="2" w:space="0" w:color="808080" w:themeColor="background1" w:themeShade="80"/>
            </w:tcBorders>
            <w:vAlign w:val="center"/>
          </w:tcPr>
          <w:p w14:paraId="445B3960" w14:textId="03A6A2A4"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4200C34B" w14:textId="7B06864D" w:rsidR="0072471E" w:rsidRPr="001D6913" w:rsidRDefault="00FB1CD1" w:rsidP="00AD2662">
            <w:pPr>
              <w:pStyle w:val="Tabletext"/>
            </w:pPr>
            <w:r>
              <w:t xml:space="preserve">January </w:t>
            </w:r>
            <w:r w:rsidR="004B15CF" w:rsidRPr="001D6913">
              <w:t>2012</w:t>
            </w:r>
          </w:p>
        </w:tc>
        <w:tc>
          <w:tcPr>
            <w:tcW w:w="856" w:type="pct"/>
            <w:tcBorders>
              <w:top w:val="single" w:sz="2" w:space="0" w:color="808080" w:themeColor="background1" w:themeShade="80"/>
              <w:bottom w:val="single" w:sz="2" w:space="0" w:color="808080" w:themeColor="background1" w:themeShade="80"/>
            </w:tcBorders>
            <w:vAlign w:val="center"/>
          </w:tcPr>
          <w:p w14:paraId="4B0456C1" w14:textId="1F4652E4" w:rsidR="00372D21" w:rsidRPr="00003839" w:rsidRDefault="00372D21" w:rsidP="00AD2662">
            <w:pPr>
              <w:pStyle w:val="Tabletext"/>
            </w:pPr>
            <w:r w:rsidRPr="00003839">
              <w:t>All analysis</w:t>
            </w:r>
          </w:p>
        </w:tc>
      </w:tr>
      <w:tr w:rsidR="0072471E" w14:paraId="6EF5D937" w14:textId="3F1D4F4B" w:rsidTr="00AD2662">
        <w:tc>
          <w:tcPr>
            <w:tcW w:w="838" w:type="pct"/>
            <w:tcBorders>
              <w:top w:val="single" w:sz="2" w:space="0" w:color="808080" w:themeColor="background1" w:themeShade="80"/>
              <w:bottom w:val="single" w:sz="2" w:space="0" w:color="808080" w:themeColor="background1" w:themeShade="80"/>
            </w:tcBorders>
            <w:vAlign w:val="center"/>
          </w:tcPr>
          <w:p w14:paraId="642126CD" w14:textId="7882B267" w:rsidR="0072471E" w:rsidRPr="001D6913" w:rsidRDefault="0072471E" w:rsidP="00AD2662">
            <w:pPr>
              <w:pStyle w:val="Tabletext"/>
            </w:pPr>
            <w:r w:rsidRPr="001D6913">
              <w:t>Craigieburn</w:t>
            </w:r>
          </w:p>
        </w:tc>
        <w:tc>
          <w:tcPr>
            <w:tcW w:w="460" w:type="pct"/>
            <w:tcBorders>
              <w:top w:val="single" w:sz="2" w:space="0" w:color="808080" w:themeColor="background1" w:themeShade="80"/>
              <w:bottom w:val="single" w:sz="2" w:space="0" w:color="808080" w:themeColor="background1" w:themeShade="80"/>
            </w:tcBorders>
            <w:vAlign w:val="center"/>
          </w:tcPr>
          <w:p w14:paraId="66DA8254" w14:textId="4DBACE03" w:rsidR="0072471E" w:rsidRPr="001D6913" w:rsidRDefault="006473D9"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67C6B405" w14:textId="1940A5E6" w:rsidR="0072471E" w:rsidRPr="001D6913" w:rsidRDefault="004D1390" w:rsidP="00AD2662">
            <w:pPr>
              <w:pStyle w:val="Tabletext"/>
            </w:pPr>
            <w:r w:rsidRPr="001D6913">
              <w:t>North Western Melbourne</w:t>
            </w:r>
          </w:p>
        </w:tc>
        <w:tc>
          <w:tcPr>
            <w:tcW w:w="860" w:type="pct"/>
            <w:tcBorders>
              <w:top w:val="single" w:sz="2" w:space="0" w:color="808080" w:themeColor="background1" w:themeShade="80"/>
              <w:bottom w:val="single" w:sz="2" w:space="0" w:color="808080" w:themeColor="background1" w:themeShade="80"/>
            </w:tcBorders>
            <w:vAlign w:val="center"/>
          </w:tcPr>
          <w:p w14:paraId="63E6CC48" w14:textId="2ABA0FF9"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4CF5060C" w14:textId="7BFAE9C3" w:rsidR="0072471E" w:rsidRPr="001D6913" w:rsidRDefault="00FB1CD1" w:rsidP="00AD2662">
            <w:pPr>
              <w:pStyle w:val="Tabletext"/>
            </w:pPr>
            <w:r>
              <w:t xml:space="preserve">April </w:t>
            </w:r>
            <w:r w:rsidR="004B15CF" w:rsidRPr="001D6913">
              <w:t>2014</w:t>
            </w:r>
          </w:p>
        </w:tc>
        <w:tc>
          <w:tcPr>
            <w:tcW w:w="856" w:type="pct"/>
            <w:tcBorders>
              <w:top w:val="single" w:sz="2" w:space="0" w:color="808080" w:themeColor="background1" w:themeShade="80"/>
              <w:bottom w:val="single" w:sz="2" w:space="0" w:color="808080" w:themeColor="background1" w:themeShade="80"/>
            </w:tcBorders>
            <w:vAlign w:val="center"/>
          </w:tcPr>
          <w:p w14:paraId="10022ED1" w14:textId="67E6C214" w:rsidR="00372D21" w:rsidRPr="00003839" w:rsidRDefault="00372D21" w:rsidP="00AD2662">
            <w:pPr>
              <w:pStyle w:val="Tabletext"/>
            </w:pPr>
            <w:r w:rsidRPr="00003839">
              <w:t>All analysis</w:t>
            </w:r>
          </w:p>
        </w:tc>
      </w:tr>
      <w:tr w:rsidR="0072471E" w14:paraId="32995A2F" w14:textId="6F6C58CB" w:rsidTr="00AD2662">
        <w:tc>
          <w:tcPr>
            <w:tcW w:w="838" w:type="pct"/>
            <w:tcBorders>
              <w:top w:val="single" w:sz="2" w:space="0" w:color="808080" w:themeColor="background1" w:themeShade="80"/>
              <w:bottom w:val="single" w:sz="2" w:space="0" w:color="808080" w:themeColor="background1" w:themeShade="80"/>
            </w:tcBorders>
            <w:vAlign w:val="center"/>
          </w:tcPr>
          <w:p w14:paraId="6AFA3FED" w14:textId="07EC59CC" w:rsidR="0072471E" w:rsidRPr="001D6913" w:rsidRDefault="0072471E" w:rsidP="00AD2662">
            <w:pPr>
              <w:pStyle w:val="Tabletext"/>
            </w:pPr>
            <w:r w:rsidRPr="001D6913">
              <w:t>Dandenong</w:t>
            </w:r>
          </w:p>
        </w:tc>
        <w:tc>
          <w:tcPr>
            <w:tcW w:w="460" w:type="pct"/>
            <w:tcBorders>
              <w:top w:val="single" w:sz="2" w:space="0" w:color="808080" w:themeColor="background1" w:themeShade="80"/>
              <w:bottom w:val="single" w:sz="2" w:space="0" w:color="808080" w:themeColor="background1" w:themeShade="80"/>
            </w:tcBorders>
            <w:vAlign w:val="center"/>
          </w:tcPr>
          <w:p w14:paraId="1D73529F" w14:textId="127E3969" w:rsidR="0072471E" w:rsidRPr="001D6913" w:rsidRDefault="006473D9"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6C356A69" w14:textId="60292266" w:rsidR="0072471E" w:rsidRPr="001D6913" w:rsidRDefault="004D1390" w:rsidP="00AD2662">
            <w:pPr>
              <w:pStyle w:val="Tabletext"/>
            </w:pPr>
            <w:r w:rsidRPr="001D6913">
              <w:t>South 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45B740A2" w14:textId="3F03853F"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8403761" w14:textId="7D1FBD8A" w:rsidR="0072471E" w:rsidRPr="001D6913" w:rsidRDefault="00FB1CD1" w:rsidP="00AD2662">
            <w:pPr>
              <w:pStyle w:val="Tabletext"/>
            </w:pPr>
            <w:r>
              <w:t xml:space="preserve">April </w:t>
            </w:r>
            <w:r w:rsidR="004B15CF"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2E73AB3B" w14:textId="1AB05D86" w:rsidR="00372D21" w:rsidRPr="00003839" w:rsidRDefault="00372D21" w:rsidP="00AD2662">
            <w:pPr>
              <w:pStyle w:val="Tabletext"/>
            </w:pPr>
            <w:r w:rsidRPr="00003839">
              <w:t>All analysis</w:t>
            </w:r>
          </w:p>
        </w:tc>
      </w:tr>
      <w:tr w:rsidR="0072471E" w14:paraId="2E6FEEBB" w14:textId="6C28B8E7" w:rsidTr="00AD2662">
        <w:tc>
          <w:tcPr>
            <w:tcW w:w="838" w:type="pct"/>
            <w:tcBorders>
              <w:top w:val="single" w:sz="2" w:space="0" w:color="808080" w:themeColor="background1" w:themeShade="80"/>
              <w:bottom w:val="single" w:sz="2" w:space="0" w:color="808080" w:themeColor="background1" w:themeShade="80"/>
            </w:tcBorders>
            <w:vAlign w:val="center"/>
          </w:tcPr>
          <w:p w14:paraId="05F9050C" w14:textId="48B3D350" w:rsidR="0072471E" w:rsidRPr="001D6913" w:rsidRDefault="0072471E" w:rsidP="00AD2662">
            <w:pPr>
              <w:pStyle w:val="Tabletext"/>
            </w:pPr>
            <w:r w:rsidRPr="001D6913">
              <w:t xml:space="preserve">Darwin </w:t>
            </w:r>
          </w:p>
        </w:tc>
        <w:tc>
          <w:tcPr>
            <w:tcW w:w="460" w:type="pct"/>
            <w:tcBorders>
              <w:top w:val="single" w:sz="2" w:space="0" w:color="808080" w:themeColor="background1" w:themeShade="80"/>
              <w:bottom w:val="single" w:sz="2" w:space="0" w:color="808080" w:themeColor="background1" w:themeShade="80"/>
            </w:tcBorders>
            <w:vAlign w:val="center"/>
          </w:tcPr>
          <w:p w14:paraId="3D43449F" w14:textId="0F6D2F57" w:rsidR="0072471E" w:rsidRPr="001D6913" w:rsidRDefault="006473D9" w:rsidP="00AD2662">
            <w:pPr>
              <w:pStyle w:val="Tabletext"/>
            </w:pPr>
            <w:r w:rsidRPr="001D6913">
              <w:t>NT</w:t>
            </w:r>
          </w:p>
        </w:tc>
        <w:tc>
          <w:tcPr>
            <w:tcW w:w="1127" w:type="pct"/>
            <w:tcBorders>
              <w:top w:val="single" w:sz="2" w:space="0" w:color="808080" w:themeColor="background1" w:themeShade="80"/>
              <w:bottom w:val="single" w:sz="2" w:space="0" w:color="808080" w:themeColor="background1" w:themeShade="80"/>
            </w:tcBorders>
            <w:vAlign w:val="center"/>
          </w:tcPr>
          <w:p w14:paraId="58AC687E" w14:textId="25198596" w:rsidR="0072471E" w:rsidRPr="001D6913" w:rsidRDefault="004D1390" w:rsidP="00AD2662">
            <w:pPr>
              <w:pStyle w:val="Tabletext"/>
            </w:pPr>
            <w:r w:rsidRPr="001D6913">
              <w:t>Northern Territory</w:t>
            </w:r>
          </w:p>
        </w:tc>
        <w:tc>
          <w:tcPr>
            <w:tcW w:w="860" w:type="pct"/>
            <w:tcBorders>
              <w:top w:val="single" w:sz="2" w:space="0" w:color="808080" w:themeColor="background1" w:themeShade="80"/>
              <w:bottom w:val="single" w:sz="2" w:space="0" w:color="808080" w:themeColor="background1" w:themeShade="80"/>
            </w:tcBorders>
            <w:vAlign w:val="center"/>
          </w:tcPr>
          <w:p w14:paraId="1457CB8F" w14:textId="051B87CC"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93196B8" w14:textId="3843992B" w:rsidR="0072471E" w:rsidRPr="001D6913" w:rsidRDefault="00FB1CD1" w:rsidP="00AD2662">
            <w:pPr>
              <w:pStyle w:val="Tabletext"/>
            </w:pPr>
            <w:r>
              <w:t xml:space="preserve">May </w:t>
            </w:r>
            <w:r w:rsidR="004B15CF" w:rsidRPr="001D6913">
              <w:t>2007</w:t>
            </w:r>
          </w:p>
        </w:tc>
        <w:tc>
          <w:tcPr>
            <w:tcW w:w="856" w:type="pct"/>
            <w:tcBorders>
              <w:top w:val="single" w:sz="2" w:space="0" w:color="808080" w:themeColor="background1" w:themeShade="80"/>
              <w:bottom w:val="single" w:sz="2" w:space="0" w:color="808080" w:themeColor="background1" w:themeShade="80"/>
            </w:tcBorders>
            <w:vAlign w:val="center"/>
          </w:tcPr>
          <w:p w14:paraId="0925553F" w14:textId="7B009280" w:rsidR="00372D21" w:rsidRPr="00003839" w:rsidRDefault="00372D21" w:rsidP="00AD2662">
            <w:pPr>
              <w:pStyle w:val="Tabletext"/>
            </w:pPr>
            <w:r w:rsidRPr="00003839">
              <w:t>All analysis</w:t>
            </w:r>
          </w:p>
        </w:tc>
      </w:tr>
      <w:tr w:rsidR="0072471E" w14:paraId="42D4D9F7" w14:textId="75DFD0D1" w:rsidTr="00AD2662">
        <w:tc>
          <w:tcPr>
            <w:tcW w:w="838" w:type="pct"/>
            <w:tcBorders>
              <w:top w:val="single" w:sz="2" w:space="0" w:color="808080" w:themeColor="background1" w:themeShade="80"/>
              <w:bottom w:val="single" w:sz="2" w:space="0" w:color="808080" w:themeColor="background1" w:themeShade="80"/>
            </w:tcBorders>
            <w:vAlign w:val="center"/>
          </w:tcPr>
          <w:p w14:paraId="17264644" w14:textId="6CBF9356" w:rsidR="0072471E" w:rsidRPr="001D6913" w:rsidRDefault="0072471E" w:rsidP="00AD2662">
            <w:pPr>
              <w:pStyle w:val="Tabletext"/>
            </w:pPr>
            <w:r w:rsidRPr="001D6913">
              <w:t>Devonport</w:t>
            </w:r>
          </w:p>
        </w:tc>
        <w:tc>
          <w:tcPr>
            <w:tcW w:w="460" w:type="pct"/>
            <w:tcBorders>
              <w:top w:val="single" w:sz="2" w:space="0" w:color="808080" w:themeColor="background1" w:themeShade="80"/>
              <w:bottom w:val="single" w:sz="2" w:space="0" w:color="808080" w:themeColor="background1" w:themeShade="80"/>
            </w:tcBorders>
            <w:vAlign w:val="center"/>
          </w:tcPr>
          <w:p w14:paraId="32625960" w14:textId="6ABDC6F0" w:rsidR="0072471E" w:rsidRPr="001D6913" w:rsidRDefault="006473D9" w:rsidP="00AD2662">
            <w:pPr>
              <w:pStyle w:val="Tabletext"/>
            </w:pPr>
            <w:r w:rsidRPr="001D6913">
              <w:t>TAS</w:t>
            </w:r>
          </w:p>
        </w:tc>
        <w:tc>
          <w:tcPr>
            <w:tcW w:w="1127" w:type="pct"/>
            <w:tcBorders>
              <w:top w:val="single" w:sz="2" w:space="0" w:color="808080" w:themeColor="background1" w:themeShade="80"/>
              <w:bottom w:val="single" w:sz="2" w:space="0" w:color="808080" w:themeColor="background1" w:themeShade="80"/>
            </w:tcBorders>
            <w:vAlign w:val="center"/>
          </w:tcPr>
          <w:p w14:paraId="020B73F9" w14:textId="5F269FDC" w:rsidR="0072471E" w:rsidRPr="001D6913" w:rsidRDefault="004D1390" w:rsidP="00AD2662">
            <w:pPr>
              <w:pStyle w:val="Tabletext"/>
            </w:pPr>
            <w:r w:rsidRPr="001D6913">
              <w:t>Tasmania</w:t>
            </w:r>
          </w:p>
        </w:tc>
        <w:tc>
          <w:tcPr>
            <w:tcW w:w="860" w:type="pct"/>
            <w:tcBorders>
              <w:top w:val="single" w:sz="2" w:space="0" w:color="808080" w:themeColor="background1" w:themeShade="80"/>
              <w:bottom w:val="single" w:sz="2" w:space="0" w:color="808080" w:themeColor="background1" w:themeShade="80"/>
            </w:tcBorders>
            <w:vAlign w:val="center"/>
          </w:tcPr>
          <w:p w14:paraId="37D75116" w14:textId="0C3562A5"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C6CBE80" w14:textId="54576555" w:rsidR="0072471E" w:rsidRPr="001D6913" w:rsidRDefault="00FB1CD1" w:rsidP="00AD2662">
            <w:pPr>
              <w:pStyle w:val="Tabletext"/>
            </w:pPr>
            <w:r>
              <w:rPr>
                <w:sz w:val="18"/>
                <w:szCs w:val="18"/>
              </w:rPr>
              <w:t>June 2013</w:t>
            </w:r>
          </w:p>
        </w:tc>
        <w:tc>
          <w:tcPr>
            <w:tcW w:w="856" w:type="pct"/>
            <w:tcBorders>
              <w:top w:val="single" w:sz="2" w:space="0" w:color="808080" w:themeColor="background1" w:themeShade="80"/>
              <w:bottom w:val="single" w:sz="2" w:space="0" w:color="808080" w:themeColor="background1" w:themeShade="80"/>
            </w:tcBorders>
            <w:vAlign w:val="center"/>
          </w:tcPr>
          <w:p w14:paraId="114BB505" w14:textId="60013AE0" w:rsidR="00372D21" w:rsidRPr="00003839" w:rsidRDefault="00372D21" w:rsidP="00AD2662">
            <w:pPr>
              <w:pStyle w:val="Tabletext"/>
            </w:pPr>
            <w:r w:rsidRPr="00003839">
              <w:t>All analysis</w:t>
            </w:r>
          </w:p>
        </w:tc>
      </w:tr>
      <w:tr w:rsidR="0072471E" w14:paraId="6923671E" w14:textId="47924256" w:rsidTr="00AD2662">
        <w:tc>
          <w:tcPr>
            <w:tcW w:w="838" w:type="pct"/>
            <w:tcBorders>
              <w:top w:val="single" w:sz="2" w:space="0" w:color="808080" w:themeColor="background1" w:themeShade="80"/>
              <w:bottom w:val="single" w:sz="2" w:space="0" w:color="808080" w:themeColor="background1" w:themeShade="80"/>
            </w:tcBorders>
            <w:vAlign w:val="center"/>
          </w:tcPr>
          <w:p w14:paraId="7ABAC2AB" w14:textId="11708C88" w:rsidR="0072471E" w:rsidRPr="001D6913" w:rsidRDefault="0072471E" w:rsidP="00AD2662">
            <w:pPr>
              <w:pStyle w:val="Tabletext"/>
            </w:pPr>
            <w:r w:rsidRPr="001D6913">
              <w:t>Dubbo</w:t>
            </w:r>
          </w:p>
        </w:tc>
        <w:tc>
          <w:tcPr>
            <w:tcW w:w="460" w:type="pct"/>
            <w:tcBorders>
              <w:top w:val="single" w:sz="2" w:space="0" w:color="808080" w:themeColor="background1" w:themeShade="80"/>
              <w:bottom w:val="single" w:sz="2" w:space="0" w:color="808080" w:themeColor="background1" w:themeShade="80"/>
            </w:tcBorders>
            <w:vAlign w:val="center"/>
          </w:tcPr>
          <w:p w14:paraId="69CB04E4" w14:textId="0D85D715" w:rsidR="0072471E" w:rsidRPr="001D6913" w:rsidRDefault="006473D9"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2C8798E3" w14:textId="67CFA8FD" w:rsidR="0072471E" w:rsidRPr="001D6913" w:rsidRDefault="004D1390" w:rsidP="00AD2662">
            <w:pPr>
              <w:pStyle w:val="Tabletext"/>
            </w:pPr>
            <w:r w:rsidRPr="001D6913">
              <w:t>Western NSW</w:t>
            </w:r>
          </w:p>
        </w:tc>
        <w:tc>
          <w:tcPr>
            <w:tcW w:w="860" w:type="pct"/>
            <w:tcBorders>
              <w:top w:val="single" w:sz="2" w:space="0" w:color="808080" w:themeColor="background1" w:themeShade="80"/>
              <w:bottom w:val="single" w:sz="2" w:space="0" w:color="808080" w:themeColor="background1" w:themeShade="80"/>
            </w:tcBorders>
            <w:vAlign w:val="center"/>
          </w:tcPr>
          <w:p w14:paraId="6C60D18E" w14:textId="77161CFE"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901122E" w14:textId="18436405" w:rsidR="0072471E" w:rsidRPr="001D6913" w:rsidRDefault="00FB1CD1" w:rsidP="00AD2662">
            <w:pPr>
              <w:pStyle w:val="Tabletext"/>
            </w:pPr>
            <w:r>
              <w:t>December 2014</w:t>
            </w:r>
          </w:p>
        </w:tc>
        <w:tc>
          <w:tcPr>
            <w:tcW w:w="856" w:type="pct"/>
            <w:tcBorders>
              <w:top w:val="single" w:sz="2" w:space="0" w:color="808080" w:themeColor="background1" w:themeShade="80"/>
              <w:bottom w:val="single" w:sz="2" w:space="0" w:color="808080" w:themeColor="background1" w:themeShade="80"/>
            </w:tcBorders>
            <w:vAlign w:val="center"/>
          </w:tcPr>
          <w:p w14:paraId="11C49855" w14:textId="2A3C7F50" w:rsidR="00372D21" w:rsidRPr="00003839" w:rsidRDefault="00372D21" w:rsidP="00AD2662">
            <w:pPr>
              <w:pStyle w:val="Tabletext"/>
            </w:pPr>
            <w:r w:rsidRPr="00003839">
              <w:t>All analysis</w:t>
            </w:r>
          </w:p>
        </w:tc>
      </w:tr>
      <w:tr w:rsidR="0072471E" w14:paraId="1F2C6A5C" w14:textId="3CCE82DF" w:rsidTr="00AD2662">
        <w:tc>
          <w:tcPr>
            <w:tcW w:w="838" w:type="pct"/>
            <w:tcBorders>
              <w:top w:val="single" w:sz="2" w:space="0" w:color="808080" w:themeColor="background1" w:themeShade="80"/>
              <w:bottom w:val="single" w:sz="2" w:space="0" w:color="808080" w:themeColor="background1" w:themeShade="80"/>
            </w:tcBorders>
            <w:vAlign w:val="center"/>
          </w:tcPr>
          <w:p w14:paraId="4280AF27" w14:textId="25CBEB7D" w:rsidR="0072471E" w:rsidRPr="001D6913" w:rsidRDefault="0072471E" w:rsidP="00AD2662">
            <w:pPr>
              <w:pStyle w:val="Tabletext"/>
            </w:pPr>
            <w:r w:rsidRPr="001D6913">
              <w:t>Edinburgh North</w:t>
            </w:r>
          </w:p>
        </w:tc>
        <w:tc>
          <w:tcPr>
            <w:tcW w:w="460" w:type="pct"/>
            <w:tcBorders>
              <w:top w:val="single" w:sz="2" w:space="0" w:color="808080" w:themeColor="background1" w:themeShade="80"/>
              <w:bottom w:val="single" w:sz="2" w:space="0" w:color="808080" w:themeColor="background1" w:themeShade="80"/>
            </w:tcBorders>
            <w:vAlign w:val="center"/>
          </w:tcPr>
          <w:p w14:paraId="5DCC52F1" w14:textId="6298F7B3" w:rsidR="0072471E" w:rsidRPr="001D6913" w:rsidRDefault="006473D9"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0296D759" w14:textId="2492EB98" w:rsidR="0072471E" w:rsidRPr="001D6913" w:rsidRDefault="004D1390" w:rsidP="00AD2662">
            <w:pPr>
              <w:pStyle w:val="Tabletext"/>
            </w:pPr>
            <w:r w:rsidRPr="001D6913">
              <w:t>Adelaide</w:t>
            </w:r>
          </w:p>
        </w:tc>
        <w:tc>
          <w:tcPr>
            <w:tcW w:w="860" w:type="pct"/>
            <w:tcBorders>
              <w:top w:val="single" w:sz="2" w:space="0" w:color="808080" w:themeColor="background1" w:themeShade="80"/>
              <w:bottom w:val="single" w:sz="2" w:space="0" w:color="808080" w:themeColor="background1" w:themeShade="80"/>
            </w:tcBorders>
            <w:vAlign w:val="center"/>
          </w:tcPr>
          <w:p w14:paraId="1CBFDB60" w14:textId="2663404D"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FD0251B" w14:textId="1A6E83B8" w:rsidR="0072471E" w:rsidRPr="001D6913" w:rsidRDefault="00FB1CD1" w:rsidP="00AD2662">
            <w:pPr>
              <w:pStyle w:val="Tabletext"/>
            </w:pPr>
            <w:r>
              <w:t xml:space="preserve">May </w:t>
            </w:r>
            <w:r w:rsidR="004B15CF" w:rsidRPr="001D6913">
              <w:t>2007</w:t>
            </w:r>
          </w:p>
        </w:tc>
        <w:tc>
          <w:tcPr>
            <w:tcW w:w="856" w:type="pct"/>
            <w:tcBorders>
              <w:top w:val="single" w:sz="2" w:space="0" w:color="808080" w:themeColor="background1" w:themeShade="80"/>
              <w:bottom w:val="single" w:sz="2" w:space="0" w:color="808080" w:themeColor="background1" w:themeShade="80"/>
            </w:tcBorders>
            <w:vAlign w:val="center"/>
          </w:tcPr>
          <w:p w14:paraId="6D22106F" w14:textId="6DECF507" w:rsidR="00372D21" w:rsidRPr="00003839" w:rsidRDefault="00372D21" w:rsidP="00AD2662">
            <w:pPr>
              <w:pStyle w:val="Tabletext"/>
            </w:pPr>
            <w:r w:rsidRPr="00003839">
              <w:t>All analysis</w:t>
            </w:r>
          </w:p>
        </w:tc>
      </w:tr>
      <w:tr w:rsidR="00D768EA" w14:paraId="087F5172" w14:textId="7CD7EBE4" w:rsidTr="00AD2662">
        <w:tc>
          <w:tcPr>
            <w:tcW w:w="838" w:type="pct"/>
            <w:tcBorders>
              <w:top w:val="single" w:sz="2" w:space="0" w:color="808080" w:themeColor="background1" w:themeShade="80"/>
              <w:bottom w:val="single" w:sz="2" w:space="0" w:color="808080" w:themeColor="background1" w:themeShade="80"/>
            </w:tcBorders>
            <w:vAlign w:val="center"/>
          </w:tcPr>
          <w:p w14:paraId="36242C15" w14:textId="1694E51A" w:rsidR="00D768EA" w:rsidRPr="001D6913" w:rsidRDefault="00D768EA" w:rsidP="00AD2662">
            <w:pPr>
              <w:pStyle w:val="Tabletext"/>
            </w:pPr>
            <w:r w:rsidRPr="001D6913">
              <w:t>Elsternwick</w:t>
            </w:r>
            <w:r w:rsidR="002D08DB">
              <w:t>*</w:t>
            </w:r>
          </w:p>
        </w:tc>
        <w:tc>
          <w:tcPr>
            <w:tcW w:w="460" w:type="pct"/>
            <w:tcBorders>
              <w:top w:val="single" w:sz="2" w:space="0" w:color="808080" w:themeColor="background1" w:themeShade="80"/>
              <w:bottom w:val="single" w:sz="2" w:space="0" w:color="808080" w:themeColor="background1" w:themeShade="80"/>
            </w:tcBorders>
            <w:vAlign w:val="center"/>
          </w:tcPr>
          <w:p w14:paraId="24BBE870" w14:textId="73CBA3B1"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57D0DD1D" w14:textId="6653AB12" w:rsidR="00D768EA" w:rsidRPr="001D6913" w:rsidRDefault="00D768EA" w:rsidP="00AD2662">
            <w:pPr>
              <w:pStyle w:val="Tabletext"/>
            </w:pPr>
            <w:r w:rsidRPr="001D6913">
              <w:t>South 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21EE1D0D" w14:textId="48A67F8C"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2BF85DE" w14:textId="37AA78EE" w:rsidR="00D768EA" w:rsidRPr="001D6913" w:rsidRDefault="00FB1CD1" w:rsidP="00AD2662">
            <w:pPr>
              <w:pStyle w:val="Tabletext"/>
            </w:pPr>
            <w:r>
              <w:t xml:space="preserve">March </w:t>
            </w:r>
            <w:r w:rsidR="00287DA5"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101DFA89" w14:textId="36810CFF" w:rsidR="00372D21" w:rsidRPr="00003839" w:rsidRDefault="00372D21" w:rsidP="00AD2662">
            <w:pPr>
              <w:pStyle w:val="Tabletext"/>
            </w:pPr>
            <w:r w:rsidRPr="00003839">
              <w:t>All analysis</w:t>
            </w:r>
          </w:p>
        </w:tc>
      </w:tr>
      <w:tr w:rsidR="00D768EA" w14:paraId="3ECBEB5C" w14:textId="0EB6D91C" w:rsidTr="00AD2662">
        <w:tc>
          <w:tcPr>
            <w:tcW w:w="838" w:type="pct"/>
            <w:tcBorders>
              <w:top w:val="single" w:sz="2" w:space="0" w:color="808080" w:themeColor="background1" w:themeShade="80"/>
              <w:bottom w:val="single" w:sz="2" w:space="0" w:color="808080" w:themeColor="background1" w:themeShade="80"/>
            </w:tcBorders>
            <w:vAlign w:val="center"/>
          </w:tcPr>
          <w:p w14:paraId="5287BE53" w14:textId="50CAD0C6" w:rsidR="00D768EA" w:rsidRPr="001D6913" w:rsidRDefault="00D768EA" w:rsidP="00AD2662">
            <w:pPr>
              <w:pStyle w:val="Tabletext"/>
            </w:pPr>
            <w:r w:rsidRPr="001D6913">
              <w:t>Frankston</w:t>
            </w:r>
          </w:p>
        </w:tc>
        <w:tc>
          <w:tcPr>
            <w:tcW w:w="460" w:type="pct"/>
            <w:tcBorders>
              <w:top w:val="single" w:sz="2" w:space="0" w:color="808080" w:themeColor="background1" w:themeShade="80"/>
              <w:bottom w:val="single" w:sz="2" w:space="0" w:color="808080" w:themeColor="background1" w:themeShade="80"/>
            </w:tcBorders>
            <w:vAlign w:val="center"/>
          </w:tcPr>
          <w:p w14:paraId="3C9D4FEB" w14:textId="21637B46"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7A0FB512" w14:textId="3364FF76" w:rsidR="00D768EA" w:rsidRPr="001D6913" w:rsidRDefault="00D768EA" w:rsidP="00AD2662">
            <w:pPr>
              <w:pStyle w:val="Tabletext"/>
            </w:pPr>
            <w:r w:rsidRPr="001D6913">
              <w:t>South 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4B84CE40" w14:textId="3677F2D4"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47A2776A" w14:textId="16621322" w:rsidR="00D768EA" w:rsidRPr="001D6913" w:rsidRDefault="00FB1CD1" w:rsidP="00AD2662">
            <w:pPr>
              <w:pStyle w:val="Tabletext"/>
            </w:pPr>
            <w:r>
              <w:t xml:space="preserve">June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1C26557C" w14:textId="0FDC6B6E" w:rsidR="00372D21" w:rsidRPr="00003839" w:rsidRDefault="00372D21" w:rsidP="00AD2662">
            <w:pPr>
              <w:pStyle w:val="Tabletext"/>
            </w:pPr>
            <w:r w:rsidRPr="00003839">
              <w:t>All analysis</w:t>
            </w:r>
          </w:p>
        </w:tc>
      </w:tr>
      <w:tr w:rsidR="00D768EA" w14:paraId="41697D5E" w14:textId="3FB67E28" w:rsidTr="00AD2662">
        <w:tc>
          <w:tcPr>
            <w:tcW w:w="838" w:type="pct"/>
            <w:tcBorders>
              <w:top w:val="single" w:sz="2" w:space="0" w:color="808080" w:themeColor="background1" w:themeShade="80"/>
              <w:bottom w:val="single" w:sz="2" w:space="0" w:color="808080" w:themeColor="background1" w:themeShade="80"/>
            </w:tcBorders>
            <w:vAlign w:val="center"/>
          </w:tcPr>
          <w:p w14:paraId="3010F7B3" w14:textId="329BC031" w:rsidR="00D768EA" w:rsidRPr="001D6913" w:rsidRDefault="00D768EA" w:rsidP="00AD2662">
            <w:pPr>
              <w:pStyle w:val="Tabletext"/>
            </w:pPr>
            <w:r w:rsidRPr="001D6913">
              <w:t>Fremantle</w:t>
            </w:r>
          </w:p>
        </w:tc>
        <w:tc>
          <w:tcPr>
            <w:tcW w:w="460" w:type="pct"/>
            <w:tcBorders>
              <w:top w:val="single" w:sz="2" w:space="0" w:color="808080" w:themeColor="background1" w:themeShade="80"/>
              <w:bottom w:val="single" w:sz="2" w:space="0" w:color="808080" w:themeColor="background1" w:themeShade="80"/>
            </w:tcBorders>
            <w:vAlign w:val="center"/>
          </w:tcPr>
          <w:p w14:paraId="15FB4840" w14:textId="007CFFD4" w:rsidR="00D768EA" w:rsidRPr="001D6913" w:rsidRDefault="00D768EA"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640F77E5" w14:textId="44A91228" w:rsidR="00D768EA" w:rsidRPr="001D6913" w:rsidRDefault="00D768EA" w:rsidP="00AD2662">
            <w:pPr>
              <w:pStyle w:val="Tabletext"/>
            </w:pPr>
            <w:r w:rsidRPr="001D6913">
              <w:t>Perth South</w:t>
            </w:r>
          </w:p>
        </w:tc>
        <w:tc>
          <w:tcPr>
            <w:tcW w:w="860" w:type="pct"/>
            <w:tcBorders>
              <w:top w:val="single" w:sz="2" w:space="0" w:color="808080" w:themeColor="background1" w:themeShade="80"/>
              <w:bottom w:val="single" w:sz="2" w:space="0" w:color="808080" w:themeColor="background1" w:themeShade="80"/>
            </w:tcBorders>
            <w:vAlign w:val="center"/>
          </w:tcPr>
          <w:p w14:paraId="4A1182D4" w14:textId="32AB881B"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40777252" w14:textId="075103F5" w:rsidR="00D768EA" w:rsidRPr="001D6913" w:rsidRDefault="00FB1CD1" w:rsidP="00AD2662">
            <w:pPr>
              <w:pStyle w:val="Tabletext"/>
            </w:pPr>
            <w:r>
              <w:t xml:space="preserve">July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4AA07181" w14:textId="161217CE" w:rsidR="00372D21" w:rsidRPr="00003839" w:rsidRDefault="00372D21" w:rsidP="00AD2662">
            <w:pPr>
              <w:pStyle w:val="Tabletext"/>
            </w:pPr>
            <w:r w:rsidRPr="00003839">
              <w:t>All analysis</w:t>
            </w:r>
          </w:p>
        </w:tc>
      </w:tr>
      <w:tr w:rsidR="00D768EA" w14:paraId="35D8783B" w14:textId="5C85B0D7" w:rsidTr="00AD2662">
        <w:tc>
          <w:tcPr>
            <w:tcW w:w="838" w:type="pct"/>
            <w:tcBorders>
              <w:top w:val="single" w:sz="2" w:space="0" w:color="808080" w:themeColor="background1" w:themeShade="80"/>
              <w:bottom w:val="single" w:sz="2" w:space="0" w:color="808080" w:themeColor="background1" w:themeShade="80"/>
            </w:tcBorders>
            <w:vAlign w:val="center"/>
          </w:tcPr>
          <w:p w14:paraId="06FB673A" w14:textId="1C28F16B" w:rsidR="00D768EA" w:rsidRPr="001D6913" w:rsidRDefault="00D768EA" w:rsidP="00AD2662">
            <w:pPr>
              <w:pStyle w:val="Tabletext"/>
            </w:pPr>
            <w:r w:rsidRPr="001D6913">
              <w:t>Geelong</w:t>
            </w:r>
          </w:p>
        </w:tc>
        <w:tc>
          <w:tcPr>
            <w:tcW w:w="460" w:type="pct"/>
            <w:tcBorders>
              <w:top w:val="single" w:sz="2" w:space="0" w:color="808080" w:themeColor="background1" w:themeShade="80"/>
              <w:bottom w:val="single" w:sz="2" w:space="0" w:color="808080" w:themeColor="background1" w:themeShade="80"/>
            </w:tcBorders>
            <w:vAlign w:val="center"/>
          </w:tcPr>
          <w:p w14:paraId="75B3DB02" w14:textId="566F21DC"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0FE5CBBF" w14:textId="252A5C87" w:rsidR="00D768EA" w:rsidRPr="001D6913" w:rsidRDefault="00D768EA" w:rsidP="00AD2662">
            <w:pPr>
              <w:pStyle w:val="Tabletext"/>
            </w:pPr>
            <w:r w:rsidRPr="001D6913">
              <w:t>Western Victoria</w:t>
            </w:r>
          </w:p>
        </w:tc>
        <w:tc>
          <w:tcPr>
            <w:tcW w:w="860" w:type="pct"/>
            <w:tcBorders>
              <w:top w:val="single" w:sz="2" w:space="0" w:color="808080" w:themeColor="background1" w:themeShade="80"/>
              <w:bottom w:val="single" w:sz="2" w:space="0" w:color="808080" w:themeColor="background1" w:themeShade="80"/>
            </w:tcBorders>
            <w:vAlign w:val="center"/>
          </w:tcPr>
          <w:p w14:paraId="0FE6A5C3" w14:textId="79914C85"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DC62723" w14:textId="2D6B7EA7" w:rsidR="00D768EA" w:rsidRPr="001D6913" w:rsidRDefault="00FB1CD1" w:rsidP="00AD2662">
            <w:pPr>
              <w:pStyle w:val="Tabletext"/>
            </w:pPr>
            <w:r>
              <w:t xml:space="preserve">July </w:t>
            </w:r>
            <w:r w:rsidR="00D768EA" w:rsidRPr="001D6913">
              <w:t>2007</w:t>
            </w:r>
          </w:p>
        </w:tc>
        <w:tc>
          <w:tcPr>
            <w:tcW w:w="856" w:type="pct"/>
            <w:tcBorders>
              <w:top w:val="single" w:sz="2" w:space="0" w:color="808080" w:themeColor="background1" w:themeShade="80"/>
              <w:bottom w:val="single" w:sz="2" w:space="0" w:color="808080" w:themeColor="background1" w:themeShade="80"/>
            </w:tcBorders>
            <w:vAlign w:val="center"/>
          </w:tcPr>
          <w:p w14:paraId="239BE004" w14:textId="4F280031" w:rsidR="00372D21" w:rsidRPr="00003839" w:rsidRDefault="00372D21" w:rsidP="00AD2662">
            <w:pPr>
              <w:pStyle w:val="Tabletext"/>
            </w:pPr>
            <w:r w:rsidRPr="00003839">
              <w:t>All analysis</w:t>
            </w:r>
          </w:p>
        </w:tc>
      </w:tr>
      <w:tr w:rsidR="00D768EA" w14:paraId="0A895B7F" w14:textId="6F9C4309" w:rsidTr="00AD2662">
        <w:tc>
          <w:tcPr>
            <w:tcW w:w="838" w:type="pct"/>
            <w:tcBorders>
              <w:top w:val="single" w:sz="2" w:space="0" w:color="808080" w:themeColor="background1" w:themeShade="80"/>
              <w:bottom w:val="single" w:sz="2" w:space="0" w:color="808080" w:themeColor="background1" w:themeShade="80"/>
            </w:tcBorders>
            <w:vAlign w:val="center"/>
          </w:tcPr>
          <w:p w14:paraId="1C1E4D5F" w14:textId="69C252A3" w:rsidR="00D768EA" w:rsidRPr="001D6913" w:rsidRDefault="00D768EA" w:rsidP="00AD2662">
            <w:pPr>
              <w:pStyle w:val="Tabletext"/>
            </w:pPr>
            <w:r w:rsidRPr="001D6913">
              <w:t>Geraldton</w:t>
            </w:r>
          </w:p>
        </w:tc>
        <w:tc>
          <w:tcPr>
            <w:tcW w:w="460" w:type="pct"/>
            <w:tcBorders>
              <w:top w:val="single" w:sz="2" w:space="0" w:color="808080" w:themeColor="background1" w:themeShade="80"/>
              <w:bottom w:val="single" w:sz="2" w:space="0" w:color="808080" w:themeColor="background1" w:themeShade="80"/>
            </w:tcBorders>
            <w:vAlign w:val="center"/>
          </w:tcPr>
          <w:p w14:paraId="518AED08" w14:textId="0072D775" w:rsidR="00D768EA" w:rsidRPr="001D6913" w:rsidRDefault="00D768EA"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59B43C99" w14:textId="652C7245" w:rsidR="00D768EA" w:rsidRPr="001D6913" w:rsidRDefault="00D768EA" w:rsidP="00AD2662">
            <w:pPr>
              <w:pStyle w:val="Tabletext"/>
            </w:pPr>
            <w:r w:rsidRPr="001D6913">
              <w:t>Country WA</w:t>
            </w:r>
          </w:p>
        </w:tc>
        <w:tc>
          <w:tcPr>
            <w:tcW w:w="860" w:type="pct"/>
            <w:tcBorders>
              <w:top w:val="single" w:sz="2" w:space="0" w:color="808080" w:themeColor="background1" w:themeShade="80"/>
              <w:bottom w:val="single" w:sz="2" w:space="0" w:color="808080" w:themeColor="background1" w:themeShade="80"/>
            </w:tcBorders>
            <w:vAlign w:val="center"/>
          </w:tcPr>
          <w:p w14:paraId="67982323" w14:textId="56318CEA"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2859A9D" w14:textId="0BEEEA1D" w:rsidR="00D768EA" w:rsidRPr="001D6913" w:rsidRDefault="00FB1CD1" w:rsidP="00AD2662">
            <w:pPr>
              <w:pStyle w:val="Tabletext"/>
            </w:pPr>
            <w:r>
              <w:t xml:space="preserve">March </w:t>
            </w:r>
            <w:r w:rsidR="00D768EA"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518FFE8D" w14:textId="4C9C4725" w:rsidR="00372D21" w:rsidRPr="00003839" w:rsidRDefault="00372D21" w:rsidP="00AD2662">
            <w:pPr>
              <w:pStyle w:val="Tabletext"/>
            </w:pPr>
            <w:r w:rsidRPr="00003839">
              <w:t>All analysis</w:t>
            </w:r>
          </w:p>
        </w:tc>
      </w:tr>
      <w:tr w:rsidR="00D768EA" w14:paraId="66068C6B" w14:textId="2C926612" w:rsidTr="00AD2662">
        <w:tc>
          <w:tcPr>
            <w:tcW w:w="838" w:type="pct"/>
            <w:tcBorders>
              <w:top w:val="single" w:sz="2" w:space="0" w:color="808080" w:themeColor="background1" w:themeShade="80"/>
              <w:bottom w:val="single" w:sz="2" w:space="0" w:color="808080" w:themeColor="background1" w:themeShade="80"/>
            </w:tcBorders>
            <w:vAlign w:val="center"/>
          </w:tcPr>
          <w:p w14:paraId="34C6383D" w14:textId="5EE91CF7" w:rsidR="00D768EA" w:rsidRPr="001D6913" w:rsidRDefault="00D768EA" w:rsidP="00AD2662">
            <w:pPr>
              <w:pStyle w:val="Tabletext"/>
            </w:pPr>
            <w:r w:rsidRPr="001D6913">
              <w:t>Gladstone</w:t>
            </w:r>
          </w:p>
        </w:tc>
        <w:tc>
          <w:tcPr>
            <w:tcW w:w="460" w:type="pct"/>
            <w:tcBorders>
              <w:top w:val="single" w:sz="2" w:space="0" w:color="808080" w:themeColor="background1" w:themeShade="80"/>
              <w:bottom w:val="single" w:sz="2" w:space="0" w:color="808080" w:themeColor="background1" w:themeShade="80"/>
            </w:tcBorders>
            <w:vAlign w:val="center"/>
          </w:tcPr>
          <w:p w14:paraId="33685121" w14:textId="50C05CF9"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43FD3814" w14:textId="7528A8FD" w:rsidR="00D768EA" w:rsidRPr="001D6913" w:rsidRDefault="00D768EA" w:rsidP="00AD2662">
            <w:pPr>
              <w:pStyle w:val="Tabletext"/>
            </w:pPr>
            <w:r w:rsidRPr="001D6913">
              <w:t>Central QLD, Wide Bay &amp; Sunshine Coast</w:t>
            </w:r>
          </w:p>
        </w:tc>
        <w:tc>
          <w:tcPr>
            <w:tcW w:w="860" w:type="pct"/>
            <w:tcBorders>
              <w:top w:val="single" w:sz="2" w:space="0" w:color="808080" w:themeColor="background1" w:themeShade="80"/>
              <w:bottom w:val="single" w:sz="2" w:space="0" w:color="808080" w:themeColor="background1" w:themeShade="80"/>
            </w:tcBorders>
            <w:vAlign w:val="center"/>
          </w:tcPr>
          <w:p w14:paraId="3828325B" w14:textId="45F7DDED"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45D2FFB" w14:textId="79A132D6" w:rsidR="00D768EA" w:rsidRPr="001D6913" w:rsidRDefault="00FB1CD1" w:rsidP="00AD2662">
            <w:pPr>
              <w:pStyle w:val="Tabletext"/>
            </w:pPr>
            <w:r>
              <w:t xml:space="preserve">April </w:t>
            </w:r>
            <w:r w:rsidR="00D768EA"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6CD2B0C8" w14:textId="22622D23" w:rsidR="00372D21" w:rsidRPr="00003839" w:rsidRDefault="00372D21" w:rsidP="00AD2662">
            <w:pPr>
              <w:pStyle w:val="Tabletext"/>
            </w:pPr>
            <w:r w:rsidRPr="00003839">
              <w:t>All analysis</w:t>
            </w:r>
          </w:p>
        </w:tc>
      </w:tr>
      <w:tr w:rsidR="00D768EA" w14:paraId="01A28192" w14:textId="0CD5F745" w:rsidTr="00AD2662">
        <w:tc>
          <w:tcPr>
            <w:tcW w:w="838" w:type="pct"/>
            <w:tcBorders>
              <w:top w:val="single" w:sz="2" w:space="0" w:color="808080" w:themeColor="background1" w:themeShade="80"/>
              <w:bottom w:val="single" w:sz="2" w:space="0" w:color="808080" w:themeColor="background1" w:themeShade="80"/>
            </w:tcBorders>
            <w:vAlign w:val="center"/>
          </w:tcPr>
          <w:p w14:paraId="2445D5B7" w14:textId="30092332" w:rsidR="00D768EA" w:rsidRPr="001D6913" w:rsidRDefault="00D768EA" w:rsidP="00AD2662">
            <w:pPr>
              <w:pStyle w:val="Tabletext"/>
            </w:pPr>
            <w:r w:rsidRPr="001D6913">
              <w:t>Glenroy</w:t>
            </w:r>
          </w:p>
        </w:tc>
        <w:tc>
          <w:tcPr>
            <w:tcW w:w="460" w:type="pct"/>
            <w:tcBorders>
              <w:top w:val="single" w:sz="2" w:space="0" w:color="808080" w:themeColor="background1" w:themeShade="80"/>
              <w:bottom w:val="single" w:sz="2" w:space="0" w:color="808080" w:themeColor="background1" w:themeShade="80"/>
            </w:tcBorders>
            <w:vAlign w:val="center"/>
          </w:tcPr>
          <w:p w14:paraId="26249616" w14:textId="7EBBA282"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649EA434" w14:textId="33E7EFA4" w:rsidR="00D768EA" w:rsidRPr="001D6913" w:rsidRDefault="00D768EA" w:rsidP="00AD2662">
            <w:pPr>
              <w:pStyle w:val="Tabletext"/>
            </w:pPr>
            <w:r w:rsidRPr="001D6913">
              <w:t>North Western Melbourne</w:t>
            </w:r>
          </w:p>
        </w:tc>
        <w:tc>
          <w:tcPr>
            <w:tcW w:w="860" w:type="pct"/>
            <w:tcBorders>
              <w:top w:val="single" w:sz="2" w:space="0" w:color="808080" w:themeColor="background1" w:themeShade="80"/>
              <w:bottom w:val="single" w:sz="2" w:space="0" w:color="808080" w:themeColor="background1" w:themeShade="80"/>
            </w:tcBorders>
            <w:vAlign w:val="center"/>
          </w:tcPr>
          <w:p w14:paraId="0371FE0F" w14:textId="51099CAC" w:rsidR="00372D21" w:rsidRPr="00DF4723" w:rsidRDefault="00372D21" w:rsidP="00AD2662">
            <w:pPr>
              <w:pStyle w:val="Tabletext"/>
            </w:pPr>
            <w:r w:rsidRPr="00DF472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50E5368" w14:textId="665FC769" w:rsidR="00D768EA" w:rsidRPr="001D6913" w:rsidRDefault="00FB1CD1" w:rsidP="00AD2662">
            <w:pPr>
              <w:pStyle w:val="Tabletext"/>
            </w:pPr>
            <w:r>
              <w:t>December 2008</w:t>
            </w:r>
          </w:p>
        </w:tc>
        <w:tc>
          <w:tcPr>
            <w:tcW w:w="856" w:type="pct"/>
            <w:tcBorders>
              <w:top w:val="single" w:sz="2" w:space="0" w:color="808080" w:themeColor="background1" w:themeShade="80"/>
              <w:bottom w:val="single" w:sz="2" w:space="0" w:color="808080" w:themeColor="background1" w:themeShade="80"/>
            </w:tcBorders>
            <w:vAlign w:val="center"/>
          </w:tcPr>
          <w:p w14:paraId="0DEEF498" w14:textId="2B6A5143" w:rsidR="00372D21" w:rsidRPr="00003839" w:rsidRDefault="00372D21" w:rsidP="00AD2662">
            <w:pPr>
              <w:pStyle w:val="Tabletext"/>
            </w:pPr>
            <w:r w:rsidRPr="00003839">
              <w:t>All analysis</w:t>
            </w:r>
          </w:p>
        </w:tc>
      </w:tr>
      <w:tr w:rsidR="00D768EA" w14:paraId="766602C3" w14:textId="07D44C8D" w:rsidTr="00AD2662">
        <w:tc>
          <w:tcPr>
            <w:tcW w:w="838" w:type="pct"/>
            <w:tcBorders>
              <w:top w:val="single" w:sz="2" w:space="0" w:color="808080" w:themeColor="background1" w:themeShade="80"/>
              <w:bottom w:val="single" w:sz="2" w:space="0" w:color="808080" w:themeColor="background1" w:themeShade="80"/>
            </w:tcBorders>
            <w:vAlign w:val="center"/>
          </w:tcPr>
          <w:p w14:paraId="525167C6" w14:textId="69980B7B" w:rsidR="00D768EA" w:rsidRPr="001D6913" w:rsidRDefault="00D768EA" w:rsidP="00AD2662">
            <w:pPr>
              <w:pStyle w:val="Tabletext"/>
            </w:pPr>
            <w:r w:rsidRPr="001D6913">
              <w:t>Gosford</w:t>
            </w:r>
          </w:p>
        </w:tc>
        <w:tc>
          <w:tcPr>
            <w:tcW w:w="460" w:type="pct"/>
            <w:tcBorders>
              <w:top w:val="single" w:sz="2" w:space="0" w:color="808080" w:themeColor="background1" w:themeShade="80"/>
              <w:bottom w:val="single" w:sz="2" w:space="0" w:color="808080" w:themeColor="background1" w:themeShade="80"/>
            </w:tcBorders>
            <w:vAlign w:val="center"/>
          </w:tcPr>
          <w:p w14:paraId="1806F771" w14:textId="7F5649A9"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5E4F6731" w14:textId="63E1389F" w:rsidR="00D768EA" w:rsidRPr="001D6913" w:rsidRDefault="00D768EA" w:rsidP="00AD2662">
            <w:pPr>
              <w:pStyle w:val="Tabletext"/>
            </w:pPr>
            <w:r w:rsidRPr="001D6913">
              <w:t>Hunter New England &amp; Central Coast</w:t>
            </w:r>
          </w:p>
        </w:tc>
        <w:tc>
          <w:tcPr>
            <w:tcW w:w="860" w:type="pct"/>
            <w:tcBorders>
              <w:top w:val="single" w:sz="2" w:space="0" w:color="808080" w:themeColor="background1" w:themeShade="80"/>
              <w:bottom w:val="single" w:sz="2" w:space="0" w:color="808080" w:themeColor="background1" w:themeShade="80"/>
            </w:tcBorders>
            <w:vAlign w:val="center"/>
          </w:tcPr>
          <w:p w14:paraId="0B18CB9B" w14:textId="4F0B76D6" w:rsidR="00BF7AA8" w:rsidRPr="0045501E" w:rsidRDefault="00BF7AA8" w:rsidP="00AD2662">
            <w:pPr>
              <w:pStyle w:val="Tabletext"/>
            </w:pPr>
            <w:r w:rsidRPr="0045501E">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736A509" w14:textId="1E890F33" w:rsidR="00D768EA" w:rsidRPr="001D6913" w:rsidRDefault="00FB1CD1" w:rsidP="00AD2662">
            <w:pPr>
              <w:pStyle w:val="Tabletext"/>
            </w:pPr>
            <w:r>
              <w:t xml:space="preserve">June </w:t>
            </w:r>
            <w:r w:rsidR="00D768EA" w:rsidRPr="001D6913">
              <w:t>2007</w:t>
            </w:r>
          </w:p>
        </w:tc>
        <w:tc>
          <w:tcPr>
            <w:tcW w:w="856" w:type="pct"/>
            <w:tcBorders>
              <w:top w:val="single" w:sz="2" w:space="0" w:color="808080" w:themeColor="background1" w:themeShade="80"/>
              <w:bottom w:val="single" w:sz="2" w:space="0" w:color="808080" w:themeColor="background1" w:themeShade="80"/>
            </w:tcBorders>
            <w:vAlign w:val="center"/>
          </w:tcPr>
          <w:p w14:paraId="2886A6AF" w14:textId="0BD3A4F2" w:rsidR="00BF7AA8" w:rsidRPr="00305EF3" w:rsidRDefault="00BF7AA8" w:rsidP="00AD2662">
            <w:pPr>
              <w:pStyle w:val="Tabletext"/>
            </w:pPr>
            <w:r w:rsidRPr="00305EF3">
              <w:t>All analysis</w:t>
            </w:r>
          </w:p>
        </w:tc>
      </w:tr>
      <w:tr w:rsidR="00D768EA" w14:paraId="39C0CEB1" w14:textId="6E1CB6B2" w:rsidTr="00AD2662">
        <w:tc>
          <w:tcPr>
            <w:tcW w:w="838" w:type="pct"/>
            <w:tcBorders>
              <w:top w:val="single" w:sz="2" w:space="0" w:color="808080" w:themeColor="background1" w:themeShade="80"/>
              <w:bottom w:val="single" w:sz="2" w:space="0" w:color="808080" w:themeColor="background1" w:themeShade="80"/>
            </w:tcBorders>
            <w:vAlign w:val="center"/>
          </w:tcPr>
          <w:p w14:paraId="5EC6316E" w14:textId="08FD511E" w:rsidR="00D768EA" w:rsidRPr="001D6913" w:rsidRDefault="00D768EA" w:rsidP="00AD2662">
            <w:pPr>
              <w:pStyle w:val="Tabletext"/>
            </w:pPr>
            <w:r w:rsidRPr="001D6913">
              <w:t>Goulburn</w:t>
            </w:r>
          </w:p>
        </w:tc>
        <w:tc>
          <w:tcPr>
            <w:tcW w:w="460" w:type="pct"/>
            <w:tcBorders>
              <w:top w:val="single" w:sz="2" w:space="0" w:color="808080" w:themeColor="background1" w:themeShade="80"/>
              <w:bottom w:val="single" w:sz="2" w:space="0" w:color="808080" w:themeColor="background1" w:themeShade="80"/>
            </w:tcBorders>
            <w:vAlign w:val="center"/>
          </w:tcPr>
          <w:p w14:paraId="74633382" w14:textId="2C54E317"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1CBBE74F" w14:textId="524627FE" w:rsidR="00D768EA" w:rsidRPr="001D6913" w:rsidRDefault="00D768EA" w:rsidP="00AD2662">
            <w:pPr>
              <w:pStyle w:val="Tabletext"/>
            </w:pPr>
            <w:r w:rsidRPr="001D6913">
              <w:t>South Eastern NSW</w:t>
            </w:r>
          </w:p>
        </w:tc>
        <w:tc>
          <w:tcPr>
            <w:tcW w:w="860" w:type="pct"/>
            <w:tcBorders>
              <w:top w:val="single" w:sz="2" w:space="0" w:color="808080" w:themeColor="background1" w:themeShade="80"/>
              <w:bottom w:val="single" w:sz="2" w:space="0" w:color="808080" w:themeColor="background1" w:themeShade="80"/>
            </w:tcBorders>
            <w:vAlign w:val="center"/>
          </w:tcPr>
          <w:p w14:paraId="56E62C77" w14:textId="05DABF65" w:rsidR="00BF7AA8" w:rsidRPr="0045501E" w:rsidRDefault="00BF7AA8" w:rsidP="00AD2662">
            <w:pPr>
              <w:pStyle w:val="Tabletext"/>
            </w:pPr>
            <w:r w:rsidRPr="0045501E">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FA57685" w14:textId="64777C3D" w:rsidR="00D768EA" w:rsidRPr="001D6913" w:rsidRDefault="00FB1CD1" w:rsidP="00AD2662">
            <w:pPr>
              <w:pStyle w:val="Tabletext"/>
            </w:pPr>
            <w:r>
              <w:t>February 2017</w:t>
            </w:r>
          </w:p>
        </w:tc>
        <w:tc>
          <w:tcPr>
            <w:tcW w:w="856" w:type="pct"/>
            <w:tcBorders>
              <w:top w:val="single" w:sz="2" w:space="0" w:color="808080" w:themeColor="background1" w:themeShade="80"/>
              <w:bottom w:val="single" w:sz="2" w:space="0" w:color="808080" w:themeColor="background1" w:themeShade="80"/>
            </w:tcBorders>
            <w:vAlign w:val="center"/>
          </w:tcPr>
          <w:p w14:paraId="4584AA78" w14:textId="516B889E" w:rsidR="00BF7AA8" w:rsidRPr="00305EF3" w:rsidRDefault="00BF7AA8" w:rsidP="00AD2662">
            <w:pPr>
              <w:pStyle w:val="Tabletext"/>
            </w:pPr>
            <w:r w:rsidRPr="00305EF3">
              <w:t>All analysis</w:t>
            </w:r>
          </w:p>
        </w:tc>
      </w:tr>
      <w:tr w:rsidR="00D768EA" w14:paraId="5BB355FD" w14:textId="7DAA8289" w:rsidTr="00AD2662">
        <w:tc>
          <w:tcPr>
            <w:tcW w:w="838" w:type="pct"/>
            <w:tcBorders>
              <w:top w:val="single" w:sz="2" w:space="0" w:color="808080" w:themeColor="background1" w:themeShade="80"/>
              <w:bottom w:val="single" w:sz="2" w:space="0" w:color="808080" w:themeColor="background1" w:themeShade="80"/>
            </w:tcBorders>
            <w:vAlign w:val="center"/>
          </w:tcPr>
          <w:p w14:paraId="1548B071" w14:textId="791DA0CB" w:rsidR="00D768EA" w:rsidRPr="001D6913" w:rsidRDefault="00D768EA" w:rsidP="00AD2662">
            <w:pPr>
              <w:pStyle w:val="Tabletext"/>
            </w:pPr>
            <w:r w:rsidRPr="001D6913">
              <w:t>Grafton</w:t>
            </w:r>
          </w:p>
        </w:tc>
        <w:tc>
          <w:tcPr>
            <w:tcW w:w="460" w:type="pct"/>
            <w:tcBorders>
              <w:top w:val="single" w:sz="2" w:space="0" w:color="808080" w:themeColor="background1" w:themeShade="80"/>
              <w:bottom w:val="single" w:sz="2" w:space="0" w:color="808080" w:themeColor="background1" w:themeShade="80"/>
            </w:tcBorders>
            <w:vAlign w:val="center"/>
          </w:tcPr>
          <w:p w14:paraId="20A5AC4E" w14:textId="4F98A539"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0ECFEA3B" w14:textId="68791B41" w:rsidR="00D768EA" w:rsidRPr="001D6913" w:rsidRDefault="00D768EA" w:rsidP="00AD2662">
            <w:pPr>
              <w:pStyle w:val="Tabletext"/>
            </w:pPr>
            <w:r w:rsidRPr="001D6913">
              <w:t>North Coast</w:t>
            </w:r>
          </w:p>
        </w:tc>
        <w:tc>
          <w:tcPr>
            <w:tcW w:w="860" w:type="pct"/>
            <w:tcBorders>
              <w:top w:val="single" w:sz="2" w:space="0" w:color="808080" w:themeColor="background1" w:themeShade="80"/>
              <w:bottom w:val="single" w:sz="2" w:space="0" w:color="808080" w:themeColor="background1" w:themeShade="80"/>
            </w:tcBorders>
            <w:vAlign w:val="center"/>
          </w:tcPr>
          <w:p w14:paraId="492B7670" w14:textId="33ED3C64" w:rsidR="00BF7AA8" w:rsidRPr="0045501E" w:rsidRDefault="00BF7AA8" w:rsidP="00AD2662">
            <w:pPr>
              <w:pStyle w:val="Tabletext"/>
            </w:pPr>
            <w:r w:rsidRPr="0045501E">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9598E42" w14:textId="6B9B8ADF" w:rsidR="00D768EA" w:rsidRPr="001D6913" w:rsidRDefault="00FB1CD1" w:rsidP="00AD2662">
            <w:pPr>
              <w:pStyle w:val="Tabletext"/>
            </w:pPr>
            <w:r>
              <w:t>December 2017</w:t>
            </w:r>
          </w:p>
        </w:tc>
        <w:tc>
          <w:tcPr>
            <w:tcW w:w="856" w:type="pct"/>
            <w:tcBorders>
              <w:top w:val="single" w:sz="2" w:space="0" w:color="808080" w:themeColor="background1" w:themeShade="80"/>
              <w:bottom w:val="single" w:sz="2" w:space="0" w:color="808080" w:themeColor="background1" w:themeShade="80"/>
            </w:tcBorders>
            <w:vAlign w:val="center"/>
          </w:tcPr>
          <w:p w14:paraId="188A5BC2" w14:textId="2564F1C9" w:rsidR="00BF7AA8" w:rsidRPr="00305EF3" w:rsidRDefault="00BF7AA8" w:rsidP="00AD2662">
            <w:pPr>
              <w:pStyle w:val="Tabletext"/>
            </w:pPr>
            <w:r w:rsidRPr="00305EF3">
              <w:t>All analysis</w:t>
            </w:r>
          </w:p>
        </w:tc>
      </w:tr>
      <w:tr w:rsidR="00D768EA" w14:paraId="30919DC8" w14:textId="1B124113" w:rsidTr="00AD2662">
        <w:tc>
          <w:tcPr>
            <w:tcW w:w="838" w:type="pct"/>
            <w:tcBorders>
              <w:top w:val="single" w:sz="2" w:space="0" w:color="808080" w:themeColor="background1" w:themeShade="80"/>
              <w:bottom w:val="single" w:sz="2" w:space="0" w:color="808080" w:themeColor="background1" w:themeShade="80"/>
            </w:tcBorders>
            <w:vAlign w:val="center"/>
          </w:tcPr>
          <w:p w14:paraId="09F6A6DA" w14:textId="00AE9518" w:rsidR="00D768EA" w:rsidRPr="001D6913" w:rsidRDefault="00D768EA" w:rsidP="00AD2662">
            <w:pPr>
              <w:pStyle w:val="Tabletext"/>
            </w:pPr>
            <w:r w:rsidRPr="001D6913">
              <w:t>Greensborough</w:t>
            </w:r>
          </w:p>
        </w:tc>
        <w:tc>
          <w:tcPr>
            <w:tcW w:w="460" w:type="pct"/>
            <w:tcBorders>
              <w:top w:val="single" w:sz="2" w:space="0" w:color="808080" w:themeColor="background1" w:themeShade="80"/>
              <w:bottom w:val="single" w:sz="2" w:space="0" w:color="808080" w:themeColor="background1" w:themeShade="80"/>
            </w:tcBorders>
            <w:vAlign w:val="center"/>
          </w:tcPr>
          <w:p w14:paraId="566BA7CD" w14:textId="2E075A91"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7B113C8F" w14:textId="0917809B" w:rsidR="00D768EA" w:rsidRPr="001D6913" w:rsidRDefault="00D768EA" w:rsidP="00AD2662">
            <w:pPr>
              <w:pStyle w:val="Tabletext"/>
            </w:pPr>
            <w:r w:rsidRPr="001D6913">
              <w:t>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629827BF" w14:textId="2F3292BC" w:rsidR="00BF7AA8" w:rsidRPr="0045501E" w:rsidRDefault="00BF7AA8" w:rsidP="00AD2662">
            <w:pPr>
              <w:pStyle w:val="Tabletext"/>
            </w:pPr>
            <w:r w:rsidRPr="0045501E">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F4D3907" w14:textId="1680B478" w:rsidR="00D768EA" w:rsidRPr="001D6913" w:rsidRDefault="00FB1CD1" w:rsidP="00AD2662">
            <w:pPr>
              <w:pStyle w:val="Tabletext"/>
            </w:pPr>
            <w:r>
              <w:t xml:space="preserve">April </w:t>
            </w:r>
            <w:r w:rsidR="00D768EA"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401BE5A8" w14:textId="2C9C8470" w:rsidR="00BF7AA8" w:rsidRPr="00305EF3" w:rsidRDefault="00BF7AA8" w:rsidP="00AD2662">
            <w:pPr>
              <w:pStyle w:val="Tabletext"/>
            </w:pPr>
            <w:r w:rsidRPr="00305EF3">
              <w:t>All analysis</w:t>
            </w:r>
          </w:p>
        </w:tc>
      </w:tr>
      <w:tr w:rsidR="00D768EA" w14:paraId="4DA923BD" w14:textId="7EF25B32" w:rsidTr="00AD2662">
        <w:tc>
          <w:tcPr>
            <w:tcW w:w="838" w:type="pct"/>
            <w:tcBorders>
              <w:top w:val="single" w:sz="2" w:space="0" w:color="808080" w:themeColor="background1" w:themeShade="80"/>
              <w:bottom w:val="single" w:sz="2" w:space="0" w:color="808080" w:themeColor="background1" w:themeShade="80"/>
            </w:tcBorders>
            <w:vAlign w:val="center"/>
          </w:tcPr>
          <w:p w14:paraId="5D5ECC22" w14:textId="449A6B3F" w:rsidR="00D768EA" w:rsidRPr="001D6913" w:rsidRDefault="00D768EA" w:rsidP="00AD2662">
            <w:pPr>
              <w:pStyle w:val="Tabletext"/>
            </w:pPr>
            <w:r w:rsidRPr="001D6913">
              <w:t>Griffith</w:t>
            </w:r>
          </w:p>
        </w:tc>
        <w:tc>
          <w:tcPr>
            <w:tcW w:w="460" w:type="pct"/>
            <w:tcBorders>
              <w:top w:val="single" w:sz="2" w:space="0" w:color="808080" w:themeColor="background1" w:themeShade="80"/>
              <w:bottom w:val="single" w:sz="2" w:space="0" w:color="808080" w:themeColor="background1" w:themeShade="80"/>
            </w:tcBorders>
            <w:vAlign w:val="center"/>
          </w:tcPr>
          <w:p w14:paraId="18CA2353" w14:textId="6B2A44DD"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1DB9DB01" w14:textId="65AD74AD" w:rsidR="00D768EA" w:rsidRPr="001D6913" w:rsidRDefault="00D768EA" w:rsidP="00AD2662">
            <w:pPr>
              <w:pStyle w:val="Tabletext"/>
            </w:pPr>
            <w:r w:rsidRPr="001D6913">
              <w:t>Murrumbidgee</w:t>
            </w:r>
          </w:p>
        </w:tc>
        <w:tc>
          <w:tcPr>
            <w:tcW w:w="860" w:type="pct"/>
            <w:tcBorders>
              <w:top w:val="single" w:sz="2" w:space="0" w:color="808080" w:themeColor="background1" w:themeShade="80"/>
              <w:bottom w:val="single" w:sz="2" w:space="0" w:color="808080" w:themeColor="background1" w:themeShade="80"/>
            </w:tcBorders>
            <w:vAlign w:val="center"/>
          </w:tcPr>
          <w:p w14:paraId="0ED06751" w14:textId="4233F7EF" w:rsidR="00BF7AA8" w:rsidRPr="0045501E" w:rsidRDefault="00BF7AA8" w:rsidP="00AD2662">
            <w:pPr>
              <w:pStyle w:val="Tabletext"/>
            </w:pPr>
            <w:r w:rsidRPr="0045501E">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E138383" w14:textId="302822EB" w:rsidR="00D768EA" w:rsidRPr="001D6913" w:rsidRDefault="00FB1CD1" w:rsidP="00AD2662">
            <w:pPr>
              <w:pStyle w:val="Tabletext"/>
            </w:pPr>
            <w:r>
              <w:t xml:space="preserve">March </w:t>
            </w:r>
            <w:r w:rsidR="00D768EA"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1E3DD655" w14:textId="0B917D0E" w:rsidR="00BF7AA8" w:rsidRPr="00305EF3" w:rsidRDefault="00BF7AA8" w:rsidP="00AD2662">
            <w:pPr>
              <w:pStyle w:val="Tabletext"/>
            </w:pPr>
            <w:r w:rsidRPr="00305EF3">
              <w:t>All analysis</w:t>
            </w:r>
          </w:p>
        </w:tc>
      </w:tr>
      <w:tr w:rsidR="00D768EA" w14:paraId="710CDB5F" w14:textId="7DE6AA22" w:rsidTr="00AD2662">
        <w:tc>
          <w:tcPr>
            <w:tcW w:w="838" w:type="pct"/>
            <w:tcBorders>
              <w:top w:val="single" w:sz="2" w:space="0" w:color="808080" w:themeColor="background1" w:themeShade="80"/>
              <w:bottom w:val="single" w:sz="2" w:space="0" w:color="808080" w:themeColor="background1" w:themeShade="80"/>
            </w:tcBorders>
            <w:vAlign w:val="center"/>
          </w:tcPr>
          <w:p w14:paraId="4D02013A" w14:textId="2444B6F2" w:rsidR="00D768EA" w:rsidRPr="001D6913" w:rsidRDefault="00D768EA" w:rsidP="00AD2662">
            <w:pPr>
              <w:pStyle w:val="Tabletext"/>
            </w:pPr>
            <w:r w:rsidRPr="001D6913">
              <w:t>Gympie</w:t>
            </w:r>
          </w:p>
        </w:tc>
        <w:tc>
          <w:tcPr>
            <w:tcW w:w="460" w:type="pct"/>
            <w:tcBorders>
              <w:top w:val="single" w:sz="2" w:space="0" w:color="808080" w:themeColor="background1" w:themeShade="80"/>
              <w:bottom w:val="single" w:sz="2" w:space="0" w:color="808080" w:themeColor="background1" w:themeShade="80"/>
            </w:tcBorders>
            <w:vAlign w:val="center"/>
          </w:tcPr>
          <w:p w14:paraId="60F5EDE7" w14:textId="4FA0CA78"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55B49CF8" w14:textId="4A61FDCB" w:rsidR="00D768EA" w:rsidRPr="001D6913" w:rsidRDefault="00D768EA" w:rsidP="00AD2662">
            <w:pPr>
              <w:pStyle w:val="Tabletext"/>
            </w:pPr>
            <w:r w:rsidRPr="001D6913">
              <w:t>Central QLD, Wide Bay &amp; Sunshine Coast</w:t>
            </w:r>
          </w:p>
        </w:tc>
        <w:tc>
          <w:tcPr>
            <w:tcW w:w="860" w:type="pct"/>
            <w:tcBorders>
              <w:top w:val="single" w:sz="2" w:space="0" w:color="808080" w:themeColor="background1" w:themeShade="80"/>
              <w:bottom w:val="single" w:sz="2" w:space="0" w:color="808080" w:themeColor="background1" w:themeShade="80"/>
            </w:tcBorders>
            <w:vAlign w:val="center"/>
          </w:tcPr>
          <w:p w14:paraId="4CB5B08B" w14:textId="49B0EC47" w:rsidR="00BF7AA8" w:rsidRDefault="00BF7AA8" w:rsidP="00AD2662">
            <w:pPr>
              <w:pStyle w:val="Tabletext"/>
            </w:pPr>
            <w:r>
              <w:t>Satellite from Maroochydore</w:t>
            </w:r>
          </w:p>
        </w:tc>
        <w:tc>
          <w:tcPr>
            <w:tcW w:w="859" w:type="pct"/>
            <w:tcBorders>
              <w:top w:val="single" w:sz="2" w:space="0" w:color="808080" w:themeColor="background1" w:themeShade="80"/>
              <w:bottom w:val="single" w:sz="2" w:space="0" w:color="808080" w:themeColor="background1" w:themeShade="80"/>
            </w:tcBorders>
            <w:vAlign w:val="center"/>
          </w:tcPr>
          <w:p w14:paraId="0CF6BF12" w14:textId="2E033930" w:rsidR="00D768EA" w:rsidRPr="001D6913" w:rsidRDefault="00FB1CD1" w:rsidP="00AD2662">
            <w:pPr>
              <w:pStyle w:val="Tabletext"/>
            </w:pPr>
            <w:r>
              <w:t xml:space="preserve">July </w:t>
            </w:r>
            <w:r w:rsidR="00D768EA" w:rsidRPr="001D6913">
              <w:t>2018</w:t>
            </w:r>
          </w:p>
        </w:tc>
        <w:tc>
          <w:tcPr>
            <w:tcW w:w="856" w:type="pct"/>
            <w:tcBorders>
              <w:top w:val="single" w:sz="2" w:space="0" w:color="808080" w:themeColor="background1" w:themeShade="80"/>
              <w:bottom w:val="single" w:sz="2" w:space="0" w:color="808080" w:themeColor="background1" w:themeShade="80"/>
            </w:tcBorders>
            <w:vAlign w:val="center"/>
          </w:tcPr>
          <w:p w14:paraId="03B4C452" w14:textId="677736AF" w:rsidR="00BF7AA8" w:rsidRPr="00305EF3" w:rsidRDefault="00BF7AA8" w:rsidP="00AD2662">
            <w:pPr>
              <w:pStyle w:val="Tabletext"/>
            </w:pPr>
            <w:r w:rsidRPr="00305EF3">
              <w:t>All analysis</w:t>
            </w:r>
          </w:p>
        </w:tc>
      </w:tr>
      <w:tr w:rsidR="00D768EA" w14:paraId="18CF02D5" w14:textId="3CF62CAC" w:rsidTr="00AD2662">
        <w:tc>
          <w:tcPr>
            <w:tcW w:w="838" w:type="pct"/>
            <w:tcBorders>
              <w:top w:val="single" w:sz="2" w:space="0" w:color="808080" w:themeColor="background1" w:themeShade="80"/>
              <w:bottom w:val="single" w:sz="2" w:space="0" w:color="808080" w:themeColor="background1" w:themeShade="80"/>
            </w:tcBorders>
            <w:vAlign w:val="center"/>
          </w:tcPr>
          <w:p w14:paraId="076BDF57" w14:textId="08E7DB79" w:rsidR="00D768EA" w:rsidRPr="001D6913" w:rsidRDefault="00D768EA" w:rsidP="00AD2662">
            <w:pPr>
              <w:pStyle w:val="Tabletext"/>
            </w:pPr>
            <w:r w:rsidRPr="001D6913">
              <w:t>Hastings</w:t>
            </w:r>
            <w:r w:rsidR="00E77ECE">
              <w:t>*</w:t>
            </w:r>
          </w:p>
        </w:tc>
        <w:tc>
          <w:tcPr>
            <w:tcW w:w="460" w:type="pct"/>
            <w:tcBorders>
              <w:top w:val="single" w:sz="2" w:space="0" w:color="808080" w:themeColor="background1" w:themeShade="80"/>
              <w:bottom w:val="single" w:sz="2" w:space="0" w:color="808080" w:themeColor="background1" w:themeShade="80"/>
            </w:tcBorders>
            <w:vAlign w:val="center"/>
          </w:tcPr>
          <w:p w14:paraId="5063CB78" w14:textId="668444EB"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1F81A3A5" w14:textId="2C5232A2" w:rsidR="00D768EA" w:rsidRPr="001D6913" w:rsidRDefault="00D768EA" w:rsidP="00AD2662">
            <w:pPr>
              <w:pStyle w:val="Tabletext"/>
            </w:pPr>
            <w:r w:rsidRPr="001D6913">
              <w:t>South 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45850E0B" w14:textId="2037EA17" w:rsidR="00B15B52" w:rsidRDefault="00B15B52" w:rsidP="00AD2662">
            <w:pPr>
              <w:pStyle w:val="Tabletext"/>
              <w:rPr>
                <w:szCs w:val="20"/>
              </w:rPr>
            </w:pPr>
            <w:r>
              <w:rPr>
                <w:szCs w:val="20"/>
              </w:rPr>
              <w:t>Outpost from Dandenong</w:t>
            </w:r>
          </w:p>
        </w:tc>
        <w:tc>
          <w:tcPr>
            <w:tcW w:w="859" w:type="pct"/>
            <w:tcBorders>
              <w:top w:val="single" w:sz="2" w:space="0" w:color="808080" w:themeColor="background1" w:themeShade="80"/>
              <w:bottom w:val="single" w:sz="2" w:space="0" w:color="808080" w:themeColor="background1" w:themeShade="80"/>
            </w:tcBorders>
            <w:vAlign w:val="center"/>
          </w:tcPr>
          <w:p w14:paraId="4B6FBDBE" w14:textId="6DDCAA7A" w:rsidR="00D768EA" w:rsidRPr="001D6913" w:rsidRDefault="00FB1CD1" w:rsidP="00AD2662">
            <w:pPr>
              <w:pStyle w:val="Tabletext"/>
            </w:pPr>
            <w:r>
              <w:rPr>
                <w:szCs w:val="20"/>
              </w:rPr>
              <w:t xml:space="preserve">April </w:t>
            </w:r>
            <w:r w:rsidR="00D768EA" w:rsidRPr="001D6913">
              <w:rPr>
                <w:szCs w:val="20"/>
              </w:rPr>
              <w:t>2020</w:t>
            </w:r>
          </w:p>
        </w:tc>
        <w:tc>
          <w:tcPr>
            <w:tcW w:w="856" w:type="pct"/>
            <w:tcBorders>
              <w:top w:val="single" w:sz="2" w:space="0" w:color="808080" w:themeColor="background1" w:themeShade="80"/>
              <w:bottom w:val="single" w:sz="2" w:space="0" w:color="808080" w:themeColor="background1" w:themeShade="80"/>
            </w:tcBorders>
            <w:vAlign w:val="center"/>
          </w:tcPr>
          <w:p w14:paraId="552E2569" w14:textId="060DA968" w:rsidR="00BF7AA8" w:rsidRDefault="00BF7AA8" w:rsidP="00AD2662">
            <w:pPr>
              <w:pStyle w:val="Tabletext"/>
              <w:rPr>
                <w:szCs w:val="20"/>
              </w:rPr>
            </w:pPr>
            <w:r>
              <w:rPr>
                <w:szCs w:val="20"/>
              </w:rPr>
              <w:t>Service provision and outcomes analysis only</w:t>
            </w:r>
          </w:p>
        </w:tc>
      </w:tr>
      <w:tr w:rsidR="00D768EA" w14:paraId="704DBAE6" w14:textId="0D898187" w:rsidTr="00AD2662">
        <w:tc>
          <w:tcPr>
            <w:tcW w:w="838" w:type="pct"/>
            <w:tcBorders>
              <w:top w:val="single" w:sz="2" w:space="0" w:color="808080" w:themeColor="background1" w:themeShade="80"/>
              <w:bottom w:val="single" w:sz="2" w:space="0" w:color="808080" w:themeColor="background1" w:themeShade="80"/>
            </w:tcBorders>
            <w:vAlign w:val="center"/>
          </w:tcPr>
          <w:p w14:paraId="58AC72EE" w14:textId="56AE1484" w:rsidR="00D768EA" w:rsidRPr="001D6913" w:rsidRDefault="00D768EA" w:rsidP="00AD2662">
            <w:pPr>
              <w:pStyle w:val="Tabletext"/>
            </w:pPr>
            <w:r w:rsidRPr="001D6913">
              <w:t>Hawthorn</w:t>
            </w:r>
          </w:p>
        </w:tc>
        <w:tc>
          <w:tcPr>
            <w:tcW w:w="460" w:type="pct"/>
            <w:tcBorders>
              <w:top w:val="single" w:sz="2" w:space="0" w:color="808080" w:themeColor="background1" w:themeShade="80"/>
              <w:bottom w:val="single" w:sz="2" w:space="0" w:color="808080" w:themeColor="background1" w:themeShade="80"/>
            </w:tcBorders>
            <w:vAlign w:val="center"/>
          </w:tcPr>
          <w:p w14:paraId="6AC1EE39" w14:textId="7B54D7B7"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2CDCF1C6" w14:textId="686D3B2E" w:rsidR="00D768EA" w:rsidRPr="001D6913" w:rsidRDefault="00D768EA" w:rsidP="00AD2662">
            <w:pPr>
              <w:pStyle w:val="Tabletext"/>
            </w:pPr>
            <w:r w:rsidRPr="001D6913">
              <w:t>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4B0DFAD8" w14:textId="3AB78DF1"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3341671" w14:textId="0E00AD88" w:rsidR="00D768EA" w:rsidRPr="001D6913" w:rsidRDefault="00FB1CD1" w:rsidP="00AD2662">
            <w:pPr>
              <w:pStyle w:val="Tabletext"/>
            </w:pPr>
            <w:r>
              <w:t xml:space="preserve">January </w:t>
            </w:r>
            <w:r w:rsidR="00D768EA" w:rsidRPr="001D6913">
              <w:t>2014</w:t>
            </w:r>
          </w:p>
        </w:tc>
        <w:tc>
          <w:tcPr>
            <w:tcW w:w="856" w:type="pct"/>
            <w:tcBorders>
              <w:top w:val="single" w:sz="2" w:space="0" w:color="808080" w:themeColor="background1" w:themeShade="80"/>
              <w:bottom w:val="single" w:sz="2" w:space="0" w:color="808080" w:themeColor="background1" w:themeShade="80"/>
            </w:tcBorders>
            <w:vAlign w:val="center"/>
          </w:tcPr>
          <w:p w14:paraId="1CEB6988" w14:textId="79ABA6BA" w:rsidR="00BF7AA8" w:rsidRPr="00402B9A" w:rsidRDefault="00BF7AA8" w:rsidP="00AD2662">
            <w:pPr>
              <w:pStyle w:val="Tabletext"/>
            </w:pPr>
            <w:r w:rsidRPr="00402B9A">
              <w:t>All analysis</w:t>
            </w:r>
          </w:p>
        </w:tc>
      </w:tr>
      <w:tr w:rsidR="00D768EA" w14:paraId="3B59BF59" w14:textId="0DB97C73" w:rsidTr="00AD2662">
        <w:tc>
          <w:tcPr>
            <w:tcW w:w="838" w:type="pct"/>
            <w:tcBorders>
              <w:top w:val="single" w:sz="2" w:space="0" w:color="808080" w:themeColor="background1" w:themeShade="80"/>
              <w:bottom w:val="single" w:sz="2" w:space="0" w:color="808080" w:themeColor="background1" w:themeShade="80"/>
            </w:tcBorders>
            <w:vAlign w:val="center"/>
          </w:tcPr>
          <w:p w14:paraId="7107FF30" w14:textId="6F55FC45" w:rsidR="00D768EA" w:rsidRPr="001D6913" w:rsidRDefault="00D768EA" w:rsidP="00AD2662">
            <w:pPr>
              <w:pStyle w:val="Tabletext"/>
            </w:pPr>
            <w:r w:rsidRPr="001D6913">
              <w:t>Hervey Bay</w:t>
            </w:r>
          </w:p>
        </w:tc>
        <w:tc>
          <w:tcPr>
            <w:tcW w:w="460" w:type="pct"/>
            <w:tcBorders>
              <w:top w:val="single" w:sz="2" w:space="0" w:color="808080" w:themeColor="background1" w:themeShade="80"/>
              <w:bottom w:val="single" w:sz="2" w:space="0" w:color="808080" w:themeColor="background1" w:themeShade="80"/>
            </w:tcBorders>
            <w:vAlign w:val="center"/>
          </w:tcPr>
          <w:p w14:paraId="5AD5DB88" w14:textId="00E47A5A"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5953DD6D" w14:textId="418434BE" w:rsidR="00D768EA" w:rsidRPr="001D6913" w:rsidRDefault="00D768EA" w:rsidP="00AD2662">
            <w:pPr>
              <w:pStyle w:val="Tabletext"/>
            </w:pPr>
            <w:r w:rsidRPr="001D6913">
              <w:t>Central QLD, Wide Bay &amp; Sunshine Coast</w:t>
            </w:r>
          </w:p>
        </w:tc>
        <w:tc>
          <w:tcPr>
            <w:tcW w:w="860" w:type="pct"/>
            <w:tcBorders>
              <w:top w:val="single" w:sz="2" w:space="0" w:color="808080" w:themeColor="background1" w:themeShade="80"/>
              <w:bottom w:val="single" w:sz="2" w:space="0" w:color="808080" w:themeColor="background1" w:themeShade="80"/>
            </w:tcBorders>
            <w:vAlign w:val="center"/>
          </w:tcPr>
          <w:p w14:paraId="5960BCDB" w14:textId="2ECD2467"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1628375" w14:textId="1323A43F" w:rsidR="00D768EA" w:rsidRPr="001D6913" w:rsidRDefault="00FB1CD1" w:rsidP="00AD2662">
            <w:pPr>
              <w:pStyle w:val="Tabletext"/>
            </w:pPr>
            <w:r>
              <w:t xml:space="preserve">June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70A014B3" w14:textId="49281A5E" w:rsidR="00BF7AA8" w:rsidRPr="00402B9A" w:rsidRDefault="00BF7AA8" w:rsidP="00AD2662">
            <w:pPr>
              <w:pStyle w:val="Tabletext"/>
            </w:pPr>
            <w:r w:rsidRPr="00402B9A">
              <w:t>All analysis</w:t>
            </w:r>
          </w:p>
        </w:tc>
      </w:tr>
      <w:tr w:rsidR="00D768EA" w14:paraId="1A108931" w14:textId="0CFB750C" w:rsidTr="00AD2662">
        <w:tc>
          <w:tcPr>
            <w:tcW w:w="838" w:type="pct"/>
            <w:tcBorders>
              <w:top w:val="single" w:sz="2" w:space="0" w:color="808080" w:themeColor="background1" w:themeShade="80"/>
              <w:bottom w:val="single" w:sz="2" w:space="0" w:color="808080" w:themeColor="background1" w:themeShade="80"/>
            </w:tcBorders>
            <w:vAlign w:val="center"/>
          </w:tcPr>
          <w:p w14:paraId="1F43AEC0" w14:textId="50BBC79F" w:rsidR="00D768EA" w:rsidRPr="001D6913" w:rsidRDefault="00D768EA" w:rsidP="00AD2662">
            <w:pPr>
              <w:pStyle w:val="Tabletext"/>
            </w:pPr>
            <w:r w:rsidRPr="001D6913">
              <w:t>Hobart</w:t>
            </w:r>
          </w:p>
        </w:tc>
        <w:tc>
          <w:tcPr>
            <w:tcW w:w="460" w:type="pct"/>
            <w:tcBorders>
              <w:top w:val="single" w:sz="2" w:space="0" w:color="808080" w:themeColor="background1" w:themeShade="80"/>
              <w:bottom w:val="single" w:sz="2" w:space="0" w:color="808080" w:themeColor="background1" w:themeShade="80"/>
            </w:tcBorders>
            <w:vAlign w:val="center"/>
          </w:tcPr>
          <w:p w14:paraId="0293BEE4" w14:textId="58366D57" w:rsidR="00D768EA" w:rsidRPr="001D6913" w:rsidRDefault="00D768EA" w:rsidP="00AD2662">
            <w:pPr>
              <w:pStyle w:val="Tabletext"/>
            </w:pPr>
            <w:r w:rsidRPr="001D6913">
              <w:t>TAS</w:t>
            </w:r>
          </w:p>
        </w:tc>
        <w:tc>
          <w:tcPr>
            <w:tcW w:w="1127" w:type="pct"/>
            <w:tcBorders>
              <w:top w:val="single" w:sz="2" w:space="0" w:color="808080" w:themeColor="background1" w:themeShade="80"/>
              <w:bottom w:val="single" w:sz="2" w:space="0" w:color="808080" w:themeColor="background1" w:themeShade="80"/>
            </w:tcBorders>
            <w:vAlign w:val="center"/>
          </w:tcPr>
          <w:p w14:paraId="790EDAB6" w14:textId="07E83F7C" w:rsidR="00D768EA" w:rsidRPr="001D6913" w:rsidRDefault="00D768EA" w:rsidP="00AD2662">
            <w:pPr>
              <w:pStyle w:val="Tabletext"/>
            </w:pPr>
            <w:r w:rsidRPr="001D6913">
              <w:t>Tasmania</w:t>
            </w:r>
          </w:p>
        </w:tc>
        <w:tc>
          <w:tcPr>
            <w:tcW w:w="860" w:type="pct"/>
            <w:tcBorders>
              <w:top w:val="single" w:sz="2" w:space="0" w:color="808080" w:themeColor="background1" w:themeShade="80"/>
              <w:bottom w:val="single" w:sz="2" w:space="0" w:color="808080" w:themeColor="background1" w:themeShade="80"/>
            </w:tcBorders>
            <w:vAlign w:val="center"/>
          </w:tcPr>
          <w:p w14:paraId="024D97A3" w14:textId="0EFA52B2"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49E96690" w14:textId="3BA349A8" w:rsidR="00D768EA" w:rsidRPr="001D6913" w:rsidRDefault="00FB1CD1" w:rsidP="00AD2662">
            <w:pPr>
              <w:pStyle w:val="Tabletext"/>
            </w:pPr>
            <w:r>
              <w:t>February 2012</w:t>
            </w:r>
          </w:p>
        </w:tc>
        <w:tc>
          <w:tcPr>
            <w:tcW w:w="856" w:type="pct"/>
            <w:tcBorders>
              <w:top w:val="single" w:sz="2" w:space="0" w:color="808080" w:themeColor="background1" w:themeShade="80"/>
              <w:bottom w:val="single" w:sz="2" w:space="0" w:color="808080" w:themeColor="background1" w:themeShade="80"/>
            </w:tcBorders>
            <w:vAlign w:val="center"/>
          </w:tcPr>
          <w:p w14:paraId="14C7CCE2" w14:textId="22885819" w:rsidR="00BF7AA8" w:rsidRPr="00402B9A" w:rsidRDefault="00BF7AA8" w:rsidP="00AD2662">
            <w:pPr>
              <w:pStyle w:val="Tabletext"/>
            </w:pPr>
            <w:r w:rsidRPr="00402B9A">
              <w:t>All analysis</w:t>
            </w:r>
          </w:p>
        </w:tc>
      </w:tr>
      <w:tr w:rsidR="00D768EA" w14:paraId="610F18F1" w14:textId="13BEC2E3" w:rsidTr="00AD2662">
        <w:tc>
          <w:tcPr>
            <w:tcW w:w="838" w:type="pct"/>
            <w:tcBorders>
              <w:top w:val="single" w:sz="2" w:space="0" w:color="808080" w:themeColor="background1" w:themeShade="80"/>
              <w:bottom w:val="single" w:sz="2" w:space="0" w:color="808080" w:themeColor="background1" w:themeShade="80"/>
            </w:tcBorders>
            <w:vAlign w:val="center"/>
          </w:tcPr>
          <w:p w14:paraId="2B8BDA22" w14:textId="4EE5EF9C" w:rsidR="00D768EA" w:rsidRPr="001D6913" w:rsidRDefault="00D768EA" w:rsidP="00AD2662">
            <w:pPr>
              <w:pStyle w:val="Tabletext"/>
            </w:pPr>
            <w:r w:rsidRPr="001D6913">
              <w:t>Horsham</w:t>
            </w:r>
          </w:p>
        </w:tc>
        <w:tc>
          <w:tcPr>
            <w:tcW w:w="460" w:type="pct"/>
            <w:tcBorders>
              <w:top w:val="single" w:sz="2" w:space="0" w:color="808080" w:themeColor="background1" w:themeShade="80"/>
              <w:bottom w:val="single" w:sz="2" w:space="0" w:color="808080" w:themeColor="background1" w:themeShade="80"/>
            </w:tcBorders>
            <w:vAlign w:val="center"/>
          </w:tcPr>
          <w:p w14:paraId="2F3C1E6C" w14:textId="3B0D879C"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3067E76F" w14:textId="73D81F15" w:rsidR="00D768EA" w:rsidRPr="001D6913" w:rsidRDefault="00D768EA" w:rsidP="00AD2662">
            <w:pPr>
              <w:pStyle w:val="Tabletext"/>
            </w:pPr>
            <w:r w:rsidRPr="001D6913">
              <w:t>Western Victoria</w:t>
            </w:r>
          </w:p>
        </w:tc>
        <w:tc>
          <w:tcPr>
            <w:tcW w:w="860" w:type="pct"/>
            <w:tcBorders>
              <w:top w:val="single" w:sz="2" w:space="0" w:color="808080" w:themeColor="background1" w:themeShade="80"/>
              <w:bottom w:val="single" w:sz="2" w:space="0" w:color="808080" w:themeColor="background1" w:themeShade="80"/>
            </w:tcBorders>
            <w:vAlign w:val="center"/>
          </w:tcPr>
          <w:p w14:paraId="1C63A5DC" w14:textId="344330E2"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D264AC5" w14:textId="399175DE" w:rsidR="00D768EA" w:rsidRPr="001D6913" w:rsidRDefault="00FB1CD1" w:rsidP="00AD2662">
            <w:pPr>
              <w:pStyle w:val="Tabletext"/>
            </w:pPr>
            <w:r>
              <w:t>February 2017</w:t>
            </w:r>
          </w:p>
        </w:tc>
        <w:tc>
          <w:tcPr>
            <w:tcW w:w="856" w:type="pct"/>
            <w:tcBorders>
              <w:top w:val="single" w:sz="2" w:space="0" w:color="808080" w:themeColor="background1" w:themeShade="80"/>
              <w:bottom w:val="single" w:sz="2" w:space="0" w:color="808080" w:themeColor="background1" w:themeShade="80"/>
            </w:tcBorders>
            <w:vAlign w:val="center"/>
          </w:tcPr>
          <w:p w14:paraId="27FA6198" w14:textId="63A889A7" w:rsidR="00BF7AA8" w:rsidRPr="00402B9A" w:rsidRDefault="00BF7AA8" w:rsidP="00AD2662">
            <w:pPr>
              <w:pStyle w:val="Tabletext"/>
            </w:pPr>
            <w:r w:rsidRPr="00402B9A">
              <w:t>All analysis</w:t>
            </w:r>
          </w:p>
        </w:tc>
      </w:tr>
      <w:tr w:rsidR="00D768EA" w14:paraId="117EC0E3" w14:textId="4C57E219" w:rsidTr="00AD2662">
        <w:tc>
          <w:tcPr>
            <w:tcW w:w="838" w:type="pct"/>
            <w:tcBorders>
              <w:top w:val="single" w:sz="2" w:space="0" w:color="808080" w:themeColor="background1" w:themeShade="80"/>
              <w:bottom w:val="single" w:sz="2" w:space="0" w:color="808080" w:themeColor="background1" w:themeShade="80"/>
            </w:tcBorders>
            <w:vAlign w:val="center"/>
          </w:tcPr>
          <w:p w14:paraId="1B3CCA4B" w14:textId="66260D22" w:rsidR="00D768EA" w:rsidRPr="001D6913" w:rsidRDefault="00D768EA" w:rsidP="00AD2662">
            <w:pPr>
              <w:pStyle w:val="Tabletext"/>
            </w:pPr>
            <w:r w:rsidRPr="001D6913">
              <w:t>Hurstville</w:t>
            </w:r>
          </w:p>
        </w:tc>
        <w:tc>
          <w:tcPr>
            <w:tcW w:w="460" w:type="pct"/>
            <w:tcBorders>
              <w:top w:val="single" w:sz="2" w:space="0" w:color="808080" w:themeColor="background1" w:themeShade="80"/>
              <w:bottom w:val="single" w:sz="2" w:space="0" w:color="808080" w:themeColor="background1" w:themeShade="80"/>
            </w:tcBorders>
            <w:vAlign w:val="center"/>
          </w:tcPr>
          <w:p w14:paraId="06295293" w14:textId="11184B49"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7A519522" w14:textId="452D5AD2" w:rsidR="00D768EA" w:rsidRPr="001D6913" w:rsidRDefault="00D768EA" w:rsidP="00AD2662">
            <w:pPr>
              <w:pStyle w:val="Tabletext"/>
            </w:pPr>
            <w:r w:rsidRPr="001D6913">
              <w:t>Central &amp; Eastern Sydney</w:t>
            </w:r>
          </w:p>
        </w:tc>
        <w:tc>
          <w:tcPr>
            <w:tcW w:w="860" w:type="pct"/>
            <w:tcBorders>
              <w:top w:val="single" w:sz="2" w:space="0" w:color="808080" w:themeColor="background1" w:themeShade="80"/>
              <w:bottom w:val="single" w:sz="2" w:space="0" w:color="808080" w:themeColor="background1" w:themeShade="80"/>
            </w:tcBorders>
            <w:vAlign w:val="center"/>
          </w:tcPr>
          <w:p w14:paraId="7C5C511C" w14:textId="10B72D1D"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6D34159" w14:textId="2116A247" w:rsidR="00D768EA" w:rsidRPr="001D6913" w:rsidRDefault="00FB1CD1" w:rsidP="00AD2662">
            <w:pPr>
              <w:pStyle w:val="Tabletext"/>
            </w:pPr>
            <w:r>
              <w:t xml:space="preserve">July </w:t>
            </w:r>
            <w:r w:rsidR="00D768EA" w:rsidRPr="001D6913">
              <w:t>2014</w:t>
            </w:r>
          </w:p>
        </w:tc>
        <w:tc>
          <w:tcPr>
            <w:tcW w:w="856" w:type="pct"/>
            <w:tcBorders>
              <w:top w:val="single" w:sz="2" w:space="0" w:color="808080" w:themeColor="background1" w:themeShade="80"/>
              <w:bottom w:val="single" w:sz="2" w:space="0" w:color="808080" w:themeColor="background1" w:themeShade="80"/>
            </w:tcBorders>
            <w:vAlign w:val="center"/>
          </w:tcPr>
          <w:p w14:paraId="3724AB95" w14:textId="53B5ABF3" w:rsidR="00BF7AA8" w:rsidRPr="00402B9A" w:rsidRDefault="00BF7AA8" w:rsidP="00AD2662">
            <w:pPr>
              <w:pStyle w:val="Tabletext"/>
            </w:pPr>
            <w:r w:rsidRPr="00402B9A">
              <w:t>All analysis</w:t>
            </w:r>
          </w:p>
        </w:tc>
      </w:tr>
      <w:tr w:rsidR="00D768EA" w14:paraId="6CD15A15" w14:textId="5FB576B6" w:rsidTr="00AD2662">
        <w:tc>
          <w:tcPr>
            <w:tcW w:w="838" w:type="pct"/>
            <w:tcBorders>
              <w:top w:val="single" w:sz="2" w:space="0" w:color="808080" w:themeColor="background1" w:themeShade="80"/>
              <w:bottom w:val="single" w:sz="2" w:space="0" w:color="808080" w:themeColor="background1" w:themeShade="80"/>
            </w:tcBorders>
            <w:vAlign w:val="center"/>
          </w:tcPr>
          <w:p w14:paraId="46BA77DE" w14:textId="5CD2CCE8" w:rsidR="00D768EA" w:rsidRPr="001D6913" w:rsidRDefault="00D768EA" w:rsidP="00AD2662">
            <w:pPr>
              <w:pStyle w:val="Tabletext"/>
            </w:pPr>
            <w:r w:rsidRPr="001D6913">
              <w:t>Inala</w:t>
            </w:r>
          </w:p>
        </w:tc>
        <w:tc>
          <w:tcPr>
            <w:tcW w:w="460" w:type="pct"/>
            <w:tcBorders>
              <w:top w:val="single" w:sz="2" w:space="0" w:color="808080" w:themeColor="background1" w:themeShade="80"/>
              <w:bottom w:val="single" w:sz="2" w:space="0" w:color="808080" w:themeColor="background1" w:themeShade="80"/>
            </w:tcBorders>
            <w:vAlign w:val="center"/>
          </w:tcPr>
          <w:p w14:paraId="7A954A59" w14:textId="6C0CDA4D"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4C523C35" w14:textId="7801FD3B" w:rsidR="00D768EA" w:rsidRPr="001D6913" w:rsidRDefault="00D768EA" w:rsidP="00AD2662">
            <w:pPr>
              <w:pStyle w:val="Tabletext"/>
            </w:pPr>
            <w:r w:rsidRPr="001D6913">
              <w:t>Brisbane South</w:t>
            </w:r>
          </w:p>
        </w:tc>
        <w:tc>
          <w:tcPr>
            <w:tcW w:w="860" w:type="pct"/>
            <w:tcBorders>
              <w:top w:val="single" w:sz="2" w:space="0" w:color="808080" w:themeColor="background1" w:themeShade="80"/>
              <w:bottom w:val="single" w:sz="2" w:space="0" w:color="808080" w:themeColor="background1" w:themeShade="80"/>
            </w:tcBorders>
            <w:vAlign w:val="center"/>
          </w:tcPr>
          <w:p w14:paraId="71DA209D" w14:textId="5E4A714C"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9DC8B1C" w14:textId="1C0B2012" w:rsidR="00D768EA" w:rsidRPr="001D6913" w:rsidRDefault="00FB1CD1" w:rsidP="00AD2662">
            <w:pPr>
              <w:pStyle w:val="Tabletext"/>
            </w:pPr>
            <w:r>
              <w:t xml:space="preserve">March </w:t>
            </w:r>
            <w:r w:rsidR="00D768EA" w:rsidRPr="001D6913">
              <w:t>2012</w:t>
            </w:r>
          </w:p>
        </w:tc>
        <w:tc>
          <w:tcPr>
            <w:tcW w:w="856" w:type="pct"/>
            <w:tcBorders>
              <w:top w:val="single" w:sz="2" w:space="0" w:color="808080" w:themeColor="background1" w:themeShade="80"/>
              <w:bottom w:val="single" w:sz="2" w:space="0" w:color="808080" w:themeColor="background1" w:themeShade="80"/>
            </w:tcBorders>
            <w:vAlign w:val="center"/>
          </w:tcPr>
          <w:p w14:paraId="369B4889" w14:textId="7B9272C6" w:rsidR="00BF7AA8" w:rsidRPr="00402B9A" w:rsidRDefault="00BF7AA8" w:rsidP="00AD2662">
            <w:pPr>
              <w:pStyle w:val="Tabletext"/>
            </w:pPr>
            <w:r w:rsidRPr="00402B9A">
              <w:t>All analysis</w:t>
            </w:r>
          </w:p>
        </w:tc>
      </w:tr>
      <w:tr w:rsidR="00D768EA" w14:paraId="64F524A6" w14:textId="7690AFF9" w:rsidTr="00AD2662">
        <w:tc>
          <w:tcPr>
            <w:tcW w:w="838" w:type="pct"/>
            <w:tcBorders>
              <w:top w:val="single" w:sz="2" w:space="0" w:color="808080" w:themeColor="background1" w:themeShade="80"/>
              <w:bottom w:val="single" w:sz="2" w:space="0" w:color="808080" w:themeColor="background1" w:themeShade="80"/>
            </w:tcBorders>
            <w:vAlign w:val="center"/>
          </w:tcPr>
          <w:p w14:paraId="48021110" w14:textId="1E0BCE47" w:rsidR="00D768EA" w:rsidRPr="001D6913" w:rsidRDefault="00D768EA" w:rsidP="00AD2662">
            <w:pPr>
              <w:pStyle w:val="Tabletext"/>
            </w:pPr>
            <w:r w:rsidRPr="001D6913">
              <w:t>Ipswich</w:t>
            </w:r>
          </w:p>
        </w:tc>
        <w:tc>
          <w:tcPr>
            <w:tcW w:w="460" w:type="pct"/>
            <w:tcBorders>
              <w:top w:val="single" w:sz="2" w:space="0" w:color="808080" w:themeColor="background1" w:themeShade="80"/>
              <w:bottom w:val="single" w:sz="2" w:space="0" w:color="808080" w:themeColor="background1" w:themeShade="80"/>
            </w:tcBorders>
            <w:vAlign w:val="center"/>
          </w:tcPr>
          <w:p w14:paraId="1255617E" w14:textId="441FB14F"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7089C79B" w14:textId="7F5CC38E" w:rsidR="00D768EA" w:rsidRPr="001D6913" w:rsidRDefault="00D768EA" w:rsidP="00AD2662">
            <w:pPr>
              <w:pStyle w:val="Tabletext"/>
            </w:pPr>
            <w:r w:rsidRPr="001D6913">
              <w:t>Darling Downs &amp; West Moreton</w:t>
            </w:r>
          </w:p>
        </w:tc>
        <w:tc>
          <w:tcPr>
            <w:tcW w:w="860" w:type="pct"/>
            <w:tcBorders>
              <w:top w:val="single" w:sz="2" w:space="0" w:color="808080" w:themeColor="background1" w:themeShade="80"/>
              <w:bottom w:val="single" w:sz="2" w:space="0" w:color="808080" w:themeColor="background1" w:themeShade="80"/>
            </w:tcBorders>
            <w:vAlign w:val="center"/>
          </w:tcPr>
          <w:p w14:paraId="0D8FE5DA" w14:textId="68E9608D"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0BB8549" w14:textId="1C449189" w:rsidR="00D768EA" w:rsidRPr="001D6913" w:rsidRDefault="00FB1CD1" w:rsidP="00AD2662">
            <w:pPr>
              <w:pStyle w:val="Tabletext"/>
            </w:pPr>
            <w:r>
              <w:t>February 2013</w:t>
            </w:r>
          </w:p>
        </w:tc>
        <w:tc>
          <w:tcPr>
            <w:tcW w:w="856" w:type="pct"/>
            <w:tcBorders>
              <w:top w:val="single" w:sz="2" w:space="0" w:color="808080" w:themeColor="background1" w:themeShade="80"/>
              <w:bottom w:val="single" w:sz="2" w:space="0" w:color="808080" w:themeColor="background1" w:themeShade="80"/>
            </w:tcBorders>
            <w:vAlign w:val="center"/>
          </w:tcPr>
          <w:p w14:paraId="24B2D92E" w14:textId="3C4A0C8B" w:rsidR="00BF7AA8" w:rsidRPr="00402B9A" w:rsidRDefault="00BF7AA8" w:rsidP="00AD2662">
            <w:pPr>
              <w:pStyle w:val="Tabletext"/>
            </w:pPr>
            <w:r w:rsidRPr="00402B9A">
              <w:t>All analysis</w:t>
            </w:r>
          </w:p>
        </w:tc>
      </w:tr>
      <w:tr w:rsidR="00D768EA" w14:paraId="6366A657" w14:textId="3479652A" w:rsidTr="00AD2662">
        <w:tc>
          <w:tcPr>
            <w:tcW w:w="838" w:type="pct"/>
            <w:tcBorders>
              <w:top w:val="single" w:sz="2" w:space="0" w:color="808080" w:themeColor="background1" w:themeShade="80"/>
              <w:bottom w:val="single" w:sz="2" w:space="0" w:color="808080" w:themeColor="background1" w:themeShade="80"/>
            </w:tcBorders>
            <w:vAlign w:val="center"/>
          </w:tcPr>
          <w:p w14:paraId="7DBB1F20" w14:textId="4D3BC9F8" w:rsidR="00D768EA" w:rsidRPr="001D6913" w:rsidRDefault="00D768EA" w:rsidP="00AD2662">
            <w:pPr>
              <w:pStyle w:val="Tabletext"/>
            </w:pPr>
            <w:r w:rsidRPr="001D6913">
              <w:t>Joondalup</w:t>
            </w:r>
          </w:p>
        </w:tc>
        <w:tc>
          <w:tcPr>
            <w:tcW w:w="460" w:type="pct"/>
            <w:tcBorders>
              <w:top w:val="single" w:sz="2" w:space="0" w:color="808080" w:themeColor="background1" w:themeShade="80"/>
              <w:bottom w:val="single" w:sz="2" w:space="0" w:color="808080" w:themeColor="background1" w:themeShade="80"/>
            </w:tcBorders>
            <w:vAlign w:val="center"/>
          </w:tcPr>
          <w:p w14:paraId="0EA61739" w14:textId="0EE20EED" w:rsidR="00D768EA" w:rsidRPr="001D6913" w:rsidRDefault="00D768EA"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14D59E48" w14:textId="24C719FF" w:rsidR="00D768EA" w:rsidRPr="001D6913" w:rsidRDefault="00D768EA" w:rsidP="00AD2662">
            <w:pPr>
              <w:pStyle w:val="Tabletext"/>
            </w:pPr>
            <w:r w:rsidRPr="001D6913">
              <w:t>Perth North</w:t>
            </w:r>
          </w:p>
        </w:tc>
        <w:tc>
          <w:tcPr>
            <w:tcW w:w="860" w:type="pct"/>
            <w:tcBorders>
              <w:top w:val="single" w:sz="2" w:space="0" w:color="808080" w:themeColor="background1" w:themeShade="80"/>
              <w:bottom w:val="single" w:sz="2" w:space="0" w:color="808080" w:themeColor="background1" w:themeShade="80"/>
            </w:tcBorders>
            <w:vAlign w:val="center"/>
          </w:tcPr>
          <w:p w14:paraId="54875753" w14:textId="5C29E94C"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225E8F3" w14:textId="7DD0F657" w:rsidR="00D768EA" w:rsidRPr="001D6913" w:rsidRDefault="00FB1CD1" w:rsidP="00AD2662">
            <w:pPr>
              <w:pStyle w:val="Tabletext"/>
            </w:pPr>
            <w:r>
              <w:t xml:space="preserve">July </w:t>
            </w:r>
            <w:r w:rsidR="00D768EA" w:rsidRPr="001D6913">
              <w:t>2014</w:t>
            </w:r>
          </w:p>
        </w:tc>
        <w:tc>
          <w:tcPr>
            <w:tcW w:w="856" w:type="pct"/>
            <w:tcBorders>
              <w:top w:val="single" w:sz="2" w:space="0" w:color="808080" w:themeColor="background1" w:themeShade="80"/>
              <w:bottom w:val="single" w:sz="2" w:space="0" w:color="808080" w:themeColor="background1" w:themeShade="80"/>
            </w:tcBorders>
            <w:vAlign w:val="center"/>
          </w:tcPr>
          <w:p w14:paraId="102B0FCA" w14:textId="7FCFF8A6" w:rsidR="00BF7AA8" w:rsidRPr="00402B9A" w:rsidRDefault="00BF7AA8" w:rsidP="00AD2662">
            <w:pPr>
              <w:pStyle w:val="Tabletext"/>
            </w:pPr>
            <w:r w:rsidRPr="00402B9A">
              <w:t>All analysis</w:t>
            </w:r>
          </w:p>
        </w:tc>
      </w:tr>
      <w:tr w:rsidR="00D768EA" w14:paraId="76AE77CA" w14:textId="703C101B" w:rsidTr="00AD2662">
        <w:tc>
          <w:tcPr>
            <w:tcW w:w="838" w:type="pct"/>
            <w:tcBorders>
              <w:top w:val="single" w:sz="2" w:space="0" w:color="808080" w:themeColor="background1" w:themeShade="80"/>
              <w:bottom w:val="single" w:sz="2" w:space="0" w:color="808080" w:themeColor="background1" w:themeShade="80"/>
            </w:tcBorders>
            <w:vAlign w:val="center"/>
          </w:tcPr>
          <w:p w14:paraId="74083F4E" w14:textId="6D90D6CD" w:rsidR="00D768EA" w:rsidRPr="001D6913" w:rsidRDefault="00D768EA" w:rsidP="00AD2662">
            <w:pPr>
              <w:pStyle w:val="Tabletext"/>
            </w:pPr>
            <w:r w:rsidRPr="001D6913">
              <w:t>Kalgoorlie</w:t>
            </w:r>
          </w:p>
        </w:tc>
        <w:tc>
          <w:tcPr>
            <w:tcW w:w="460" w:type="pct"/>
            <w:tcBorders>
              <w:top w:val="single" w:sz="2" w:space="0" w:color="808080" w:themeColor="background1" w:themeShade="80"/>
              <w:bottom w:val="single" w:sz="2" w:space="0" w:color="808080" w:themeColor="background1" w:themeShade="80"/>
            </w:tcBorders>
            <w:vAlign w:val="center"/>
          </w:tcPr>
          <w:p w14:paraId="7B717C28" w14:textId="11634ACE" w:rsidR="00D768EA" w:rsidRPr="001D6913" w:rsidRDefault="00D768EA"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4BB50F3B" w14:textId="053D0569" w:rsidR="00D768EA" w:rsidRPr="001D6913" w:rsidRDefault="00D768EA" w:rsidP="00AD2662">
            <w:pPr>
              <w:pStyle w:val="Tabletext"/>
            </w:pPr>
            <w:r w:rsidRPr="001D6913">
              <w:t>Country WA</w:t>
            </w:r>
          </w:p>
        </w:tc>
        <w:tc>
          <w:tcPr>
            <w:tcW w:w="860" w:type="pct"/>
            <w:tcBorders>
              <w:top w:val="single" w:sz="2" w:space="0" w:color="808080" w:themeColor="background1" w:themeShade="80"/>
              <w:bottom w:val="single" w:sz="2" w:space="0" w:color="808080" w:themeColor="background1" w:themeShade="80"/>
            </w:tcBorders>
            <w:vAlign w:val="center"/>
          </w:tcPr>
          <w:p w14:paraId="381792B8" w14:textId="4EE7EDE9"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C161848" w14:textId="223A77ED" w:rsidR="00D768EA" w:rsidRPr="001D6913" w:rsidRDefault="00FB1CD1" w:rsidP="00AD2662">
            <w:pPr>
              <w:pStyle w:val="Tabletext"/>
            </w:pPr>
            <w:r>
              <w:t xml:space="preserve">January </w:t>
            </w:r>
            <w:r w:rsidR="00D768EA" w:rsidRPr="001D6913">
              <w:t>2015</w:t>
            </w:r>
          </w:p>
        </w:tc>
        <w:tc>
          <w:tcPr>
            <w:tcW w:w="856" w:type="pct"/>
            <w:tcBorders>
              <w:top w:val="single" w:sz="2" w:space="0" w:color="808080" w:themeColor="background1" w:themeShade="80"/>
              <w:bottom w:val="single" w:sz="2" w:space="0" w:color="808080" w:themeColor="background1" w:themeShade="80"/>
            </w:tcBorders>
            <w:vAlign w:val="center"/>
          </w:tcPr>
          <w:p w14:paraId="3697BD6C" w14:textId="6882F56F" w:rsidR="00BF7AA8" w:rsidRPr="00402B9A" w:rsidRDefault="00BF7AA8" w:rsidP="00AD2662">
            <w:pPr>
              <w:pStyle w:val="Tabletext"/>
            </w:pPr>
            <w:r w:rsidRPr="00402B9A">
              <w:t>All analysis</w:t>
            </w:r>
          </w:p>
        </w:tc>
      </w:tr>
      <w:tr w:rsidR="00D768EA" w14:paraId="0B695950" w14:textId="54A7151D" w:rsidTr="00AD2662">
        <w:tc>
          <w:tcPr>
            <w:tcW w:w="838" w:type="pct"/>
            <w:tcBorders>
              <w:top w:val="single" w:sz="2" w:space="0" w:color="808080" w:themeColor="background1" w:themeShade="80"/>
              <w:bottom w:val="single" w:sz="2" w:space="0" w:color="808080" w:themeColor="background1" w:themeShade="80"/>
            </w:tcBorders>
            <w:vAlign w:val="center"/>
          </w:tcPr>
          <w:p w14:paraId="1E36877B" w14:textId="688D5CBF" w:rsidR="00D768EA" w:rsidRPr="001D6913" w:rsidRDefault="00D768EA" w:rsidP="00AD2662">
            <w:pPr>
              <w:pStyle w:val="Tabletext"/>
            </w:pPr>
            <w:r w:rsidRPr="001D6913">
              <w:t>Katherine</w:t>
            </w:r>
          </w:p>
        </w:tc>
        <w:tc>
          <w:tcPr>
            <w:tcW w:w="460" w:type="pct"/>
            <w:tcBorders>
              <w:top w:val="single" w:sz="2" w:space="0" w:color="808080" w:themeColor="background1" w:themeShade="80"/>
              <w:bottom w:val="single" w:sz="2" w:space="0" w:color="808080" w:themeColor="background1" w:themeShade="80"/>
            </w:tcBorders>
            <w:vAlign w:val="center"/>
          </w:tcPr>
          <w:p w14:paraId="2CF84058" w14:textId="293976DC" w:rsidR="00D768EA" w:rsidRPr="001D6913" w:rsidRDefault="00D768EA" w:rsidP="00AD2662">
            <w:pPr>
              <w:pStyle w:val="Tabletext"/>
            </w:pPr>
            <w:r w:rsidRPr="001D6913">
              <w:t>NT</w:t>
            </w:r>
          </w:p>
        </w:tc>
        <w:tc>
          <w:tcPr>
            <w:tcW w:w="1127" w:type="pct"/>
            <w:tcBorders>
              <w:top w:val="single" w:sz="2" w:space="0" w:color="808080" w:themeColor="background1" w:themeShade="80"/>
              <w:bottom w:val="single" w:sz="2" w:space="0" w:color="808080" w:themeColor="background1" w:themeShade="80"/>
            </w:tcBorders>
            <w:vAlign w:val="center"/>
          </w:tcPr>
          <w:p w14:paraId="4AC92E75" w14:textId="11054259" w:rsidR="00D768EA" w:rsidRPr="001D6913" w:rsidRDefault="00D768EA" w:rsidP="00AD2662">
            <w:pPr>
              <w:pStyle w:val="Tabletext"/>
            </w:pPr>
            <w:r w:rsidRPr="001D6913">
              <w:t>Northern Territory</w:t>
            </w:r>
          </w:p>
        </w:tc>
        <w:tc>
          <w:tcPr>
            <w:tcW w:w="860" w:type="pct"/>
            <w:tcBorders>
              <w:top w:val="single" w:sz="2" w:space="0" w:color="808080" w:themeColor="background1" w:themeShade="80"/>
              <w:bottom w:val="single" w:sz="2" w:space="0" w:color="808080" w:themeColor="background1" w:themeShade="80"/>
            </w:tcBorders>
            <w:vAlign w:val="center"/>
          </w:tcPr>
          <w:p w14:paraId="5A00A6C0" w14:textId="329EF3AA"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3082B14" w14:textId="1A30B79C" w:rsidR="00D768EA" w:rsidRPr="001D6913" w:rsidRDefault="00FB1CD1" w:rsidP="00AD2662">
            <w:pPr>
              <w:pStyle w:val="Tabletext"/>
            </w:pPr>
            <w:r>
              <w:t>September 2019</w:t>
            </w:r>
          </w:p>
        </w:tc>
        <w:tc>
          <w:tcPr>
            <w:tcW w:w="856" w:type="pct"/>
            <w:tcBorders>
              <w:top w:val="single" w:sz="2" w:space="0" w:color="808080" w:themeColor="background1" w:themeShade="80"/>
              <w:bottom w:val="single" w:sz="2" w:space="0" w:color="808080" w:themeColor="background1" w:themeShade="80"/>
            </w:tcBorders>
            <w:vAlign w:val="center"/>
          </w:tcPr>
          <w:p w14:paraId="6DA141D7" w14:textId="16DB5D35" w:rsidR="00BF7AA8" w:rsidRDefault="00BF7AA8" w:rsidP="00AD2662">
            <w:pPr>
              <w:pStyle w:val="Tabletext"/>
              <w:rPr>
                <w:szCs w:val="20"/>
              </w:rPr>
            </w:pPr>
            <w:r>
              <w:rPr>
                <w:szCs w:val="20"/>
              </w:rPr>
              <w:t>Service provision and outcomes analysis only</w:t>
            </w:r>
          </w:p>
        </w:tc>
      </w:tr>
      <w:tr w:rsidR="00D768EA" w14:paraId="7EAE3F30" w14:textId="51C76B4D" w:rsidTr="00AD2662">
        <w:tc>
          <w:tcPr>
            <w:tcW w:w="838" w:type="pct"/>
            <w:tcBorders>
              <w:top w:val="single" w:sz="2" w:space="0" w:color="808080" w:themeColor="background1" w:themeShade="80"/>
              <w:bottom w:val="single" w:sz="2" w:space="0" w:color="808080" w:themeColor="background1" w:themeShade="80"/>
            </w:tcBorders>
            <w:vAlign w:val="center"/>
          </w:tcPr>
          <w:p w14:paraId="12ED8128" w14:textId="122C0958" w:rsidR="00D768EA" w:rsidRPr="001D6913" w:rsidRDefault="00D768EA" w:rsidP="00AD2662">
            <w:pPr>
              <w:pStyle w:val="Tabletext"/>
            </w:pPr>
            <w:r w:rsidRPr="001D6913">
              <w:t>Knox</w:t>
            </w:r>
          </w:p>
        </w:tc>
        <w:tc>
          <w:tcPr>
            <w:tcW w:w="460" w:type="pct"/>
            <w:tcBorders>
              <w:top w:val="single" w:sz="2" w:space="0" w:color="808080" w:themeColor="background1" w:themeShade="80"/>
              <w:bottom w:val="single" w:sz="2" w:space="0" w:color="808080" w:themeColor="background1" w:themeShade="80"/>
            </w:tcBorders>
            <w:vAlign w:val="center"/>
          </w:tcPr>
          <w:p w14:paraId="3C809DFE" w14:textId="1C91AE57"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2D39F789" w14:textId="11CF0276" w:rsidR="00D768EA" w:rsidRPr="001D6913" w:rsidRDefault="00D768EA" w:rsidP="00AD2662">
            <w:pPr>
              <w:pStyle w:val="Tabletext"/>
            </w:pPr>
            <w:r w:rsidRPr="001D6913">
              <w:t>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040A77F5" w14:textId="16F68971" w:rsidR="00BF7AA8" w:rsidRPr="00E024DF" w:rsidRDefault="00BF7AA8" w:rsidP="00AD2662">
            <w:pPr>
              <w:pStyle w:val="Tabletext"/>
            </w:pPr>
            <w:r w:rsidRPr="00E024DF">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3DA0994" w14:textId="5B3E6736" w:rsidR="00D768EA" w:rsidRPr="001D6913" w:rsidRDefault="00FB1CD1" w:rsidP="00AD2662">
            <w:pPr>
              <w:pStyle w:val="Tabletext"/>
            </w:pPr>
            <w:r>
              <w:t xml:space="preserve">January </w:t>
            </w:r>
            <w:r w:rsidR="00D768EA"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59CB4251" w14:textId="4E58A13B" w:rsidR="00BF7AA8" w:rsidRPr="0097218F" w:rsidRDefault="00BF7AA8" w:rsidP="00AD2662">
            <w:pPr>
              <w:pStyle w:val="Tabletext"/>
            </w:pPr>
            <w:r w:rsidRPr="0097218F">
              <w:t>All analysis</w:t>
            </w:r>
          </w:p>
        </w:tc>
      </w:tr>
      <w:tr w:rsidR="00D768EA" w14:paraId="4FE83C9A" w14:textId="50FD51B4" w:rsidTr="00AD2662">
        <w:tc>
          <w:tcPr>
            <w:tcW w:w="838" w:type="pct"/>
            <w:tcBorders>
              <w:top w:val="single" w:sz="2" w:space="0" w:color="808080" w:themeColor="background1" w:themeShade="80"/>
              <w:bottom w:val="single" w:sz="2" w:space="0" w:color="808080" w:themeColor="background1" w:themeShade="80"/>
            </w:tcBorders>
            <w:vAlign w:val="center"/>
          </w:tcPr>
          <w:p w14:paraId="557F4963" w14:textId="41DB5440" w:rsidR="00D768EA" w:rsidRPr="001D6913" w:rsidRDefault="00D768EA" w:rsidP="00AD2662">
            <w:pPr>
              <w:pStyle w:val="Tabletext"/>
            </w:pPr>
            <w:r w:rsidRPr="001D6913">
              <w:t>Lake Haven</w:t>
            </w:r>
            <w:r w:rsidR="00E77ECE">
              <w:t>*</w:t>
            </w:r>
          </w:p>
        </w:tc>
        <w:tc>
          <w:tcPr>
            <w:tcW w:w="460" w:type="pct"/>
            <w:tcBorders>
              <w:top w:val="single" w:sz="2" w:space="0" w:color="808080" w:themeColor="background1" w:themeShade="80"/>
              <w:bottom w:val="single" w:sz="2" w:space="0" w:color="808080" w:themeColor="background1" w:themeShade="80"/>
            </w:tcBorders>
            <w:vAlign w:val="center"/>
          </w:tcPr>
          <w:p w14:paraId="0F2F49DD" w14:textId="1BD9FFF9"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2431502B" w14:textId="4D9E3033" w:rsidR="00D768EA" w:rsidRPr="001D6913" w:rsidRDefault="00D768EA" w:rsidP="00AD2662">
            <w:pPr>
              <w:pStyle w:val="Tabletext"/>
            </w:pPr>
            <w:r w:rsidRPr="001D6913">
              <w:t>Hunter New England &amp; Central Coast</w:t>
            </w:r>
          </w:p>
        </w:tc>
        <w:tc>
          <w:tcPr>
            <w:tcW w:w="860" w:type="pct"/>
            <w:tcBorders>
              <w:top w:val="single" w:sz="2" w:space="0" w:color="808080" w:themeColor="background1" w:themeShade="80"/>
              <w:bottom w:val="single" w:sz="2" w:space="0" w:color="808080" w:themeColor="background1" w:themeShade="80"/>
            </w:tcBorders>
            <w:vAlign w:val="center"/>
          </w:tcPr>
          <w:p w14:paraId="59B19DA3" w14:textId="032F639A" w:rsidR="00BF7AA8" w:rsidRDefault="00BF7AA8" w:rsidP="00AD2662">
            <w:pPr>
              <w:pStyle w:val="Tabletext"/>
            </w:pPr>
            <w:r>
              <w:t>Satellite from Gosford</w:t>
            </w:r>
          </w:p>
        </w:tc>
        <w:tc>
          <w:tcPr>
            <w:tcW w:w="859" w:type="pct"/>
            <w:tcBorders>
              <w:top w:val="single" w:sz="2" w:space="0" w:color="808080" w:themeColor="background1" w:themeShade="80"/>
              <w:bottom w:val="single" w:sz="2" w:space="0" w:color="808080" w:themeColor="background1" w:themeShade="80"/>
            </w:tcBorders>
            <w:vAlign w:val="center"/>
          </w:tcPr>
          <w:p w14:paraId="12DD53E5" w14:textId="6D726C4C" w:rsidR="00D768EA" w:rsidRPr="001D6913" w:rsidRDefault="00FB1CD1" w:rsidP="00AD2662">
            <w:pPr>
              <w:pStyle w:val="Tabletext"/>
            </w:pPr>
            <w:r>
              <w:t xml:space="preserve">May </w:t>
            </w:r>
            <w:r w:rsidR="00D768EA" w:rsidRPr="001D6913">
              <w:t>2015</w:t>
            </w:r>
          </w:p>
        </w:tc>
        <w:tc>
          <w:tcPr>
            <w:tcW w:w="856" w:type="pct"/>
            <w:tcBorders>
              <w:top w:val="single" w:sz="2" w:space="0" w:color="808080" w:themeColor="background1" w:themeShade="80"/>
              <w:bottom w:val="single" w:sz="2" w:space="0" w:color="808080" w:themeColor="background1" w:themeShade="80"/>
            </w:tcBorders>
            <w:vAlign w:val="center"/>
          </w:tcPr>
          <w:p w14:paraId="63792A57" w14:textId="392E2BF3" w:rsidR="00BF7AA8" w:rsidRPr="0097218F" w:rsidRDefault="00BF7AA8" w:rsidP="00AD2662">
            <w:pPr>
              <w:pStyle w:val="Tabletext"/>
            </w:pPr>
            <w:r w:rsidRPr="0097218F">
              <w:t>All analysis</w:t>
            </w:r>
          </w:p>
        </w:tc>
      </w:tr>
      <w:tr w:rsidR="00D768EA" w14:paraId="5ADF072B" w14:textId="62E29910" w:rsidTr="00AD2662">
        <w:tc>
          <w:tcPr>
            <w:tcW w:w="838" w:type="pct"/>
            <w:tcBorders>
              <w:top w:val="single" w:sz="2" w:space="0" w:color="808080" w:themeColor="background1" w:themeShade="80"/>
              <w:bottom w:val="single" w:sz="2" w:space="0" w:color="808080" w:themeColor="background1" w:themeShade="80"/>
            </w:tcBorders>
            <w:vAlign w:val="center"/>
          </w:tcPr>
          <w:p w14:paraId="1B69B391" w14:textId="4B60B8B6" w:rsidR="00D768EA" w:rsidRPr="001D6913" w:rsidRDefault="00D768EA" w:rsidP="00AD2662">
            <w:pPr>
              <w:pStyle w:val="Tabletext"/>
            </w:pPr>
            <w:r w:rsidRPr="001D6913">
              <w:t>Launceston</w:t>
            </w:r>
          </w:p>
        </w:tc>
        <w:tc>
          <w:tcPr>
            <w:tcW w:w="460" w:type="pct"/>
            <w:tcBorders>
              <w:top w:val="single" w:sz="2" w:space="0" w:color="808080" w:themeColor="background1" w:themeShade="80"/>
              <w:bottom w:val="single" w:sz="2" w:space="0" w:color="808080" w:themeColor="background1" w:themeShade="80"/>
            </w:tcBorders>
            <w:vAlign w:val="center"/>
          </w:tcPr>
          <w:p w14:paraId="411A906D" w14:textId="153DA80F" w:rsidR="00D768EA" w:rsidRPr="001D6913" w:rsidRDefault="00D768EA" w:rsidP="00AD2662">
            <w:pPr>
              <w:pStyle w:val="Tabletext"/>
            </w:pPr>
            <w:r w:rsidRPr="001D6913">
              <w:t>TAS</w:t>
            </w:r>
          </w:p>
        </w:tc>
        <w:tc>
          <w:tcPr>
            <w:tcW w:w="1127" w:type="pct"/>
            <w:tcBorders>
              <w:top w:val="single" w:sz="2" w:space="0" w:color="808080" w:themeColor="background1" w:themeShade="80"/>
              <w:bottom w:val="single" w:sz="2" w:space="0" w:color="808080" w:themeColor="background1" w:themeShade="80"/>
            </w:tcBorders>
            <w:vAlign w:val="center"/>
          </w:tcPr>
          <w:p w14:paraId="33237BC4" w14:textId="48ABEB5E" w:rsidR="00D768EA" w:rsidRPr="001D6913" w:rsidRDefault="00D768EA" w:rsidP="00AD2662">
            <w:pPr>
              <w:pStyle w:val="Tabletext"/>
            </w:pPr>
            <w:r w:rsidRPr="001D6913">
              <w:t>Tasmania</w:t>
            </w:r>
          </w:p>
        </w:tc>
        <w:tc>
          <w:tcPr>
            <w:tcW w:w="860" w:type="pct"/>
            <w:tcBorders>
              <w:top w:val="single" w:sz="2" w:space="0" w:color="808080" w:themeColor="background1" w:themeShade="80"/>
              <w:bottom w:val="single" w:sz="2" w:space="0" w:color="808080" w:themeColor="background1" w:themeShade="80"/>
            </w:tcBorders>
            <w:vAlign w:val="center"/>
          </w:tcPr>
          <w:p w14:paraId="7A04B236" w14:textId="230921CF" w:rsidR="00BF7AA8" w:rsidRPr="00EB4A0D" w:rsidRDefault="00BF7AA8" w:rsidP="00AD2662">
            <w:pPr>
              <w:pStyle w:val="Tabletext"/>
            </w:pPr>
            <w:r w:rsidRPr="00EB4A0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34FE3B2" w14:textId="50D79890" w:rsidR="00D768EA" w:rsidRPr="001D6913" w:rsidRDefault="00FB1CD1" w:rsidP="00AD2662">
            <w:pPr>
              <w:pStyle w:val="Tabletext"/>
            </w:pPr>
            <w:r>
              <w:t xml:space="preserve">January </w:t>
            </w:r>
            <w:r w:rsidR="00D768EA" w:rsidRPr="001D6913">
              <w:t>2009</w:t>
            </w:r>
          </w:p>
        </w:tc>
        <w:tc>
          <w:tcPr>
            <w:tcW w:w="856" w:type="pct"/>
            <w:tcBorders>
              <w:top w:val="single" w:sz="2" w:space="0" w:color="808080" w:themeColor="background1" w:themeShade="80"/>
              <w:bottom w:val="single" w:sz="2" w:space="0" w:color="808080" w:themeColor="background1" w:themeShade="80"/>
            </w:tcBorders>
            <w:vAlign w:val="center"/>
          </w:tcPr>
          <w:p w14:paraId="552258C3" w14:textId="3B58E91C" w:rsidR="00BF7AA8" w:rsidRPr="0097218F" w:rsidRDefault="00BF7AA8" w:rsidP="00AD2662">
            <w:pPr>
              <w:pStyle w:val="Tabletext"/>
            </w:pPr>
            <w:r w:rsidRPr="0097218F">
              <w:t>All analysis</w:t>
            </w:r>
          </w:p>
        </w:tc>
      </w:tr>
      <w:tr w:rsidR="00D768EA" w14:paraId="4A2D185C" w14:textId="3C7529EC" w:rsidTr="00AD2662">
        <w:tc>
          <w:tcPr>
            <w:tcW w:w="838" w:type="pct"/>
            <w:tcBorders>
              <w:top w:val="single" w:sz="2" w:space="0" w:color="808080" w:themeColor="background1" w:themeShade="80"/>
              <w:bottom w:val="single" w:sz="2" w:space="0" w:color="808080" w:themeColor="background1" w:themeShade="80"/>
            </w:tcBorders>
            <w:vAlign w:val="center"/>
          </w:tcPr>
          <w:p w14:paraId="3922DEDA" w14:textId="589B0777" w:rsidR="00D768EA" w:rsidRPr="001D6913" w:rsidRDefault="00D768EA" w:rsidP="00AD2662">
            <w:pPr>
              <w:pStyle w:val="Tabletext"/>
            </w:pPr>
            <w:r w:rsidRPr="001D6913">
              <w:t>Lismore</w:t>
            </w:r>
          </w:p>
        </w:tc>
        <w:tc>
          <w:tcPr>
            <w:tcW w:w="460" w:type="pct"/>
            <w:tcBorders>
              <w:top w:val="single" w:sz="2" w:space="0" w:color="808080" w:themeColor="background1" w:themeShade="80"/>
              <w:bottom w:val="single" w:sz="2" w:space="0" w:color="808080" w:themeColor="background1" w:themeShade="80"/>
            </w:tcBorders>
            <w:vAlign w:val="center"/>
          </w:tcPr>
          <w:p w14:paraId="09CC300F" w14:textId="79650E8E"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795C6146" w14:textId="067162FF" w:rsidR="00D768EA" w:rsidRPr="001D6913" w:rsidRDefault="00D768EA" w:rsidP="00AD2662">
            <w:pPr>
              <w:pStyle w:val="Tabletext"/>
            </w:pPr>
            <w:r w:rsidRPr="001D6913">
              <w:t>North Coast</w:t>
            </w:r>
          </w:p>
        </w:tc>
        <w:tc>
          <w:tcPr>
            <w:tcW w:w="860" w:type="pct"/>
            <w:tcBorders>
              <w:top w:val="single" w:sz="2" w:space="0" w:color="808080" w:themeColor="background1" w:themeShade="80"/>
              <w:bottom w:val="single" w:sz="2" w:space="0" w:color="808080" w:themeColor="background1" w:themeShade="80"/>
            </w:tcBorders>
            <w:vAlign w:val="center"/>
          </w:tcPr>
          <w:p w14:paraId="36C781D6" w14:textId="3062CDE1" w:rsidR="00BF7AA8" w:rsidRPr="00EB4A0D" w:rsidRDefault="00BF7AA8" w:rsidP="00AD2662">
            <w:pPr>
              <w:pStyle w:val="Tabletext"/>
            </w:pPr>
            <w:r w:rsidRPr="00EB4A0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80CB29D" w14:textId="333942E1" w:rsidR="00D768EA" w:rsidRPr="001D6913" w:rsidRDefault="00FB1CD1" w:rsidP="00AD2662">
            <w:pPr>
              <w:pStyle w:val="Tabletext"/>
            </w:pPr>
            <w:r>
              <w:t xml:space="preserve">January </w:t>
            </w:r>
            <w:r w:rsidR="00D768EA" w:rsidRPr="001D6913">
              <w:t>2014</w:t>
            </w:r>
          </w:p>
        </w:tc>
        <w:tc>
          <w:tcPr>
            <w:tcW w:w="856" w:type="pct"/>
            <w:tcBorders>
              <w:top w:val="single" w:sz="2" w:space="0" w:color="808080" w:themeColor="background1" w:themeShade="80"/>
              <w:bottom w:val="single" w:sz="2" w:space="0" w:color="808080" w:themeColor="background1" w:themeShade="80"/>
            </w:tcBorders>
            <w:vAlign w:val="center"/>
          </w:tcPr>
          <w:p w14:paraId="11C2FFD2" w14:textId="5CF3BD39" w:rsidR="00BF7AA8" w:rsidRPr="0097218F" w:rsidRDefault="00BF7AA8" w:rsidP="00AD2662">
            <w:pPr>
              <w:pStyle w:val="Tabletext"/>
            </w:pPr>
            <w:r w:rsidRPr="0097218F">
              <w:t>All analysis</w:t>
            </w:r>
          </w:p>
        </w:tc>
      </w:tr>
      <w:tr w:rsidR="00D768EA" w14:paraId="0E75BA78" w14:textId="4FBE5788" w:rsidTr="00AD2662">
        <w:tc>
          <w:tcPr>
            <w:tcW w:w="838" w:type="pct"/>
            <w:tcBorders>
              <w:top w:val="single" w:sz="2" w:space="0" w:color="808080" w:themeColor="background1" w:themeShade="80"/>
              <w:bottom w:val="single" w:sz="2" w:space="0" w:color="808080" w:themeColor="background1" w:themeShade="80"/>
            </w:tcBorders>
            <w:vAlign w:val="center"/>
          </w:tcPr>
          <w:p w14:paraId="23608F75" w14:textId="1A2D2797" w:rsidR="00D768EA" w:rsidRPr="001D6913" w:rsidRDefault="00D768EA" w:rsidP="00AD2662">
            <w:pPr>
              <w:pStyle w:val="Tabletext"/>
            </w:pPr>
            <w:r w:rsidRPr="001D6913">
              <w:t>Lithgow</w:t>
            </w:r>
          </w:p>
        </w:tc>
        <w:tc>
          <w:tcPr>
            <w:tcW w:w="460" w:type="pct"/>
            <w:tcBorders>
              <w:top w:val="single" w:sz="2" w:space="0" w:color="808080" w:themeColor="background1" w:themeShade="80"/>
              <w:bottom w:val="single" w:sz="2" w:space="0" w:color="808080" w:themeColor="background1" w:themeShade="80"/>
            </w:tcBorders>
            <w:vAlign w:val="center"/>
          </w:tcPr>
          <w:p w14:paraId="4A6C3366" w14:textId="34EC45E3"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33FCBD3A" w14:textId="46EF8F0D" w:rsidR="00D768EA" w:rsidRPr="001D6913" w:rsidRDefault="00D768EA" w:rsidP="00AD2662">
            <w:pPr>
              <w:pStyle w:val="Tabletext"/>
            </w:pPr>
            <w:r w:rsidRPr="001D6913">
              <w:t>Nepean Blue Mountains</w:t>
            </w:r>
          </w:p>
        </w:tc>
        <w:tc>
          <w:tcPr>
            <w:tcW w:w="860" w:type="pct"/>
            <w:tcBorders>
              <w:top w:val="single" w:sz="2" w:space="0" w:color="808080" w:themeColor="background1" w:themeShade="80"/>
              <w:bottom w:val="single" w:sz="2" w:space="0" w:color="808080" w:themeColor="background1" w:themeShade="80"/>
            </w:tcBorders>
            <w:vAlign w:val="center"/>
          </w:tcPr>
          <w:p w14:paraId="6138708E" w14:textId="066D43FF" w:rsidR="00BF7AA8" w:rsidRDefault="00BF7AA8" w:rsidP="00AD2662">
            <w:pPr>
              <w:pStyle w:val="Tabletext"/>
              <w:rPr>
                <w:szCs w:val="20"/>
              </w:rPr>
            </w:pPr>
            <w:r>
              <w:rPr>
                <w:szCs w:val="20"/>
              </w:rPr>
              <w:t>Satellite from Bathurst</w:t>
            </w:r>
          </w:p>
        </w:tc>
        <w:tc>
          <w:tcPr>
            <w:tcW w:w="859" w:type="pct"/>
            <w:tcBorders>
              <w:top w:val="single" w:sz="2" w:space="0" w:color="808080" w:themeColor="background1" w:themeShade="80"/>
              <w:bottom w:val="single" w:sz="2" w:space="0" w:color="808080" w:themeColor="background1" w:themeShade="80"/>
            </w:tcBorders>
            <w:vAlign w:val="center"/>
          </w:tcPr>
          <w:p w14:paraId="01F42680" w14:textId="1B59DB22" w:rsidR="00D768EA" w:rsidRPr="001D6913" w:rsidRDefault="00FB1CD1" w:rsidP="00AD2662">
            <w:pPr>
              <w:pStyle w:val="Tabletext"/>
            </w:pPr>
            <w:r>
              <w:rPr>
                <w:szCs w:val="20"/>
              </w:rPr>
              <w:t xml:space="preserve">June </w:t>
            </w:r>
            <w:r w:rsidR="00D768EA" w:rsidRPr="001D6913">
              <w:rPr>
                <w:szCs w:val="20"/>
              </w:rPr>
              <w:t>2019</w:t>
            </w:r>
          </w:p>
        </w:tc>
        <w:tc>
          <w:tcPr>
            <w:tcW w:w="856" w:type="pct"/>
            <w:tcBorders>
              <w:top w:val="single" w:sz="2" w:space="0" w:color="808080" w:themeColor="background1" w:themeShade="80"/>
              <w:bottom w:val="single" w:sz="2" w:space="0" w:color="808080" w:themeColor="background1" w:themeShade="80"/>
            </w:tcBorders>
            <w:vAlign w:val="center"/>
          </w:tcPr>
          <w:p w14:paraId="734F7774" w14:textId="14E0FE06" w:rsidR="00BF7AA8" w:rsidRDefault="00BF7AA8" w:rsidP="00AD2662">
            <w:pPr>
              <w:pStyle w:val="Tabletext"/>
              <w:rPr>
                <w:szCs w:val="20"/>
              </w:rPr>
            </w:pPr>
            <w:r>
              <w:rPr>
                <w:szCs w:val="20"/>
              </w:rPr>
              <w:t>Service provision and outcomes analysis only</w:t>
            </w:r>
          </w:p>
        </w:tc>
      </w:tr>
      <w:tr w:rsidR="00D768EA" w14:paraId="6786DEC2" w14:textId="062AA541" w:rsidTr="00AD2662">
        <w:tc>
          <w:tcPr>
            <w:tcW w:w="838" w:type="pct"/>
            <w:tcBorders>
              <w:top w:val="single" w:sz="2" w:space="0" w:color="808080" w:themeColor="background1" w:themeShade="80"/>
              <w:bottom w:val="single" w:sz="2" w:space="0" w:color="808080" w:themeColor="background1" w:themeShade="80"/>
            </w:tcBorders>
            <w:vAlign w:val="center"/>
          </w:tcPr>
          <w:p w14:paraId="2F8CD5B0" w14:textId="444BBC9B" w:rsidR="00D768EA" w:rsidRPr="001D6913" w:rsidRDefault="00D768EA" w:rsidP="00AD2662">
            <w:pPr>
              <w:pStyle w:val="Tabletext"/>
            </w:pPr>
            <w:r w:rsidRPr="001D6913">
              <w:t>Liverpool</w:t>
            </w:r>
          </w:p>
        </w:tc>
        <w:tc>
          <w:tcPr>
            <w:tcW w:w="460" w:type="pct"/>
            <w:tcBorders>
              <w:top w:val="single" w:sz="2" w:space="0" w:color="808080" w:themeColor="background1" w:themeShade="80"/>
              <w:bottom w:val="single" w:sz="2" w:space="0" w:color="808080" w:themeColor="background1" w:themeShade="80"/>
            </w:tcBorders>
            <w:vAlign w:val="center"/>
          </w:tcPr>
          <w:p w14:paraId="48EE9CB9" w14:textId="6741E94F"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04FF529B" w14:textId="6F4FCB53" w:rsidR="00D768EA" w:rsidRPr="001D6913" w:rsidRDefault="00D768EA" w:rsidP="00AD2662">
            <w:pPr>
              <w:pStyle w:val="Tabletext"/>
            </w:pPr>
            <w:r w:rsidRPr="001D6913">
              <w:t>South Western Sydney</w:t>
            </w:r>
          </w:p>
        </w:tc>
        <w:tc>
          <w:tcPr>
            <w:tcW w:w="860" w:type="pct"/>
            <w:tcBorders>
              <w:top w:val="single" w:sz="2" w:space="0" w:color="808080" w:themeColor="background1" w:themeShade="80"/>
              <w:bottom w:val="single" w:sz="2" w:space="0" w:color="808080" w:themeColor="background1" w:themeShade="80"/>
            </w:tcBorders>
            <w:vAlign w:val="center"/>
          </w:tcPr>
          <w:p w14:paraId="5295BAC9" w14:textId="5C2751CE"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210BF47" w14:textId="4C6B7C8B" w:rsidR="00D768EA" w:rsidRPr="001D6913" w:rsidRDefault="00FB1CD1" w:rsidP="00AD2662">
            <w:pPr>
              <w:pStyle w:val="Tabletext"/>
            </w:pPr>
            <w:r>
              <w:t xml:space="preserve">March </w:t>
            </w:r>
            <w:r w:rsidR="00D768EA" w:rsidRPr="001D6913">
              <w:t>2014</w:t>
            </w:r>
          </w:p>
        </w:tc>
        <w:tc>
          <w:tcPr>
            <w:tcW w:w="856" w:type="pct"/>
            <w:tcBorders>
              <w:top w:val="single" w:sz="2" w:space="0" w:color="808080" w:themeColor="background1" w:themeShade="80"/>
              <w:bottom w:val="single" w:sz="2" w:space="0" w:color="808080" w:themeColor="background1" w:themeShade="80"/>
            </w:tcBorders>
            <w:vAlign w:val="center"/>
          </w:tcPr>
          <w:p w14:paraId="554B6854" w14:textId="42706686" w:rsidR="00BF7AA8" w:rsidRDefault="00BF7AA8" w:rsidP="00AD2662">
            <w:pPr>
              <w:pStyle w:val="Tabletext"/>
            </w:pPr>
            <w:r>
              <w:t>All analysis</w:t>
            </w:r>
          </w:p>
        </w:tc>
      </w:tr>
      <w:tr w:rsidR="00D768EA" w14:paraId="00505A53" w14:textId="26AF0A4A" w:rsidTr="00AD2662">
        <w:tc>
          <w:tcPr>
            <w:tcW w:w="838" w:type="pct"/>
            <w:tcBorders>
              <w:top w:val="single" w:sz="2" w:space="0" w:color="808080" w:themeColor="background1" w:themeShade="80"/>
              <w:bottom w:val="single" w:sz="2" w:space="0" w:color="808080" w:themeColor="background1" w:themeShade="80"/>
            </w:tcBorders>
            <w:vAlign w:val="center"/>
          </w:tcPr>
          <w:p w14:paraId="3C1C9BC2" w14:textId="288F555C" w:rsidR="00D768EA" w:rsidRPr="001D6913" w:rsidRDefault="00D768EA" w:rsidP="00AD2662">
            <w:pPr>
              <w:pStyle w:val="Tabletext"/>
            </w:pPr>
            <w:r w:rsidRPr="001D6913">
              <w:t>Mackay</w:t>
            </w:r>
          </w:p>
        </w:tc>
        <w:tc>
          <w:tcPr>
            <w:tcW w:w="460" w:type="pct"/>
            <w:tcBorders>
              <w:top w:val="single" w:sz="2" w:space="0" w:color="808080" w:themeColor="background1" w:themeShade="80"/>
              <w:bottom w:val="single" w:sz="2" w:space="0" w:color="808080" w:themeColor="background1" w:themeShade="80"/>
            </w:tcBorders>
            <w:vAlign w:val="center"/>
          </w:tcPr>
          <w:p w14:paraId="30902ECE" w14:textId="66A05F5A"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266059B2" w14:textId="633814AE" w:rsidR="00D768EA" w:rsidRPr="001D6913" w:rsidRDefault="00D768EA" w:rsidP="00AD2662">
            <w:pPr>
              <w:pStyle w:val="Tabletext"/>
            </w:pPr>
            <w:r w:rsidRPr="001D6913">
              <w:t>Northern QLD</w:t>
            </w:r>
          </w:p>
        </w:tc>
        <w:tc>
          <w:tcPr>
            <w:tcW w:w="860" w:type="pct"/>
            <w:tcBorders>
              <w:top w:val="single" w:sz="2" w:space="0" w:color="808080" w:themeColor="background1" w:themeShade="80"/>
              <w:bottom w:val="single" w:sz="2" w:space="0" w:color="808080" w:themeColor="background1" w:themeShade="80"/>
            </w:tcBorders>
            <w:vAlign w:val="center"/>
          </w:tcPr>
          <w:p w14:paraId="780F151F" w14:textId="6B7A3ABA"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95DD8BB" w14:textId="1D58F080" w:rsidR="00D768EA" w:rsidRPr="001D6913" w:rsidRDefault="00FB1CD1" w:rsidP="00AD2662">
            <w:pPr>
              <w:pStyle w:val="Tabletext"/>
            </w:pPr>
            <w:r>
              <w:t>February 2013</w:t>
            </w:r>
          </w:p>
        </w:tc>
        <w:tc>
          <w:tcPr>
            <w:tcW w:w="856" w:type="pct"/>
            <w:tcBorders>
              <w:top w:val="single" w:sz="2" w:space="0" w:color="808080" w:themeColor="background1" w:themeShade="80"/>
              <w:bottom w:val="single" w:sz="2" w:space="0" w:color="808080" w:themeColor="background1" w:themeShade="80"/>
            </w:tcBorders>
            <w:vAlign w:val="center"/>
          </w:tcPr>
          <w:p w14:paraId="6C1191E4" w14:textId="51B776E9" w:rsidR="00BF7AA8" w:rsidRPr="00003839" w:rsidRDefault="00BF7AA8" w:rsidP="00AD2662">
            <w:pPr>
              <w:pStyle w:val="Tabletext"/>
            </w:pPr>
            <w:r w:rsidRPr="00003839">
              <w:t>All analysis</w:t>
            </w:r>
          </w:p>
        </w:tc>
      </w:tr>
      <w:tr w:rsidR="00D768EA" w14:paraId="692AED22" w14:textId="34D66846" w:rsidTr="00AD2662">
        <w:tc>
          <w:tcPr>
            <w:tcW w:w="838" w:type="pct"/>
            <w:tcBorders>
              <w:top w:val="single" w:sz="2" w:space="0" w:color="808080" w:themeColor="background1" w:themeShade="80"/>
              <w:bottom w:val="single" w:sz="2" w:space="0" w:color="808080" w:themeColor="background1" w:themeShade="80"/>
            </w:tcBorders>
            <w:vAlign w:val="center"/>
          </w:tcPr>
          <w:p w14:paraId="25A5D435" w14:textId="1DCA761A" w:rsidR="00D768EA" w:rsidRPr="001D6913" w:rsidRDefault="00D768EA" w:rsidP="00AD2662">
            <w:pPr>
              <w:pStyle w:val="Tabletext"/>
            </w:pPr>
            <w:r w:rsidRPr="001D6913">
              <w:t>Maitland</w:t>
            </w:r>
          </w:p>
        </w:tc>
        <w:tc>
          <w:tcPr>
            <w:tcW w:w="460" w:type="pct"/>
            <w:tcBorders>
              <w:top w:val="single" w:sz="2" w:space="0" w:color="808080" w:themeColor="background1" w:themeShade="80"/>
              <w:bottom w:val="single" w:sz="2" w:space="0" w:color="808080" w:themeColor="background1" w:themeShade="80"/>
            </w:tcBorders>
            <w:vAlign w:val="center"/>
          </w:tcPr>
          <w:p w14:paraId="65CAB59E" w14:textId="3176EFDD"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2CA657C0" w14:textId="797E35D8" w:rsidR="00D768EA" w:rsidRPr="001D6913" w:rsidRDefault="00D768EA" w:rsidP="00AD2662">
            <w:pPr>
              <w:pStyle w:val="Tabletext"/>
            </w:pPr>
            <w:r w:rsidRPr="001D6913">
              <w:t>Hunter New England &amp; Central Coast</w:t>
            </w:r>
          </w:p>
        </w:tc>
        <w:tc>
          <w:tcPr>
            <w:tcW w:w="860" w:type="pct"/>
            <w:tcBorders>
              <w:top w:val="single" w:sz="2" w:space="0" w:color="808080" w:themeColor="background1" w:themeShade="80"/>
              <w:bottom w:val="single" w:sz="2" w:space="0" w:color="808080" w:themeColor="background1" w:themeShade="80"/>
            </w:tcBorders>
            <w:vAlign w:val="center"/>
          </w:tcPr>
          <w:p w14:paraId="5A4E5F4E" w14:textId="4B2BEB2E"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4812311" w14:textId="468AEA61" w:rsidR="00D768EA" w:rsidRPr="001D6913" w:rsidRDefault="00FB1CD1" w:rsidP="00AD2662">
            <w:pPr>
              <w:pStyle w:val="Tabletext"/>
            </w:pPr>
            <w:r>
              <w:t>September 2008</w:t>
            </w:r>
          </w:p>
        </w:tc>
        <w:tc>
          <w:tcPr>
            <w:tcW w:w="856" w:type="pct"/>
            <w:tcBorders>
              <w:top w:val="single" w:sz="2" w:space="0" w:color="808080" w:themeColor="background1" w:themeShade="80"/>
              <w:bottom w:val="single" w:sz="2" w:space="0" w:color="808080" w:themeColor="background1" w:themeShade="80"/>
            </w:tcBorders>
            <w:vAlign w:val="center"/>
          </w:tcPr>
          <w:p w14:paraId="66CA88AE" w14:textId="0659AF9A" w:rsidR="00BF7AA8" w:rsidRPr="00003839" w:rsidRDefault="00BF7AA8" w:rsidP="00AD2662">
            <w:pPr>
              <w:pStyle w:val="Tabletext"/>
            </w:pPr>
            <w:r w:rsidRPr="00003839">
              <w:t>All analysis</w:t>
            </w:r>
          </w:p>
        </w:tc>
      </w:tr>
      <w:tr w:rsidR="00D768EA" w14:paraId="5ABD69B3" w14:textId="613E2FD6" w:rsidTr="00AD2662">
        <w:tc>
          <w:tcPr>
            <w:tcW w:w="838" w:type="pct"/>
            <w:tcBorders>
              <w:top w:val="single" w:sz="2" w:space="0" w:color="808080" w:themeColor="background1" w:themeShade="80"/>
              <w:bottom w:val="single" w:sz="2" w:space="0" w:color="808080" w:themeColor="background1" w:themeShade="80"/>
            </w:tcBorders>
            <w:vAlign w:val="center"/>
          </w:tcPr>
          <w:p w14:paraId="4932918A" w14:textId="7B218873" w:rsidR="00D768EA" w:rsidRPr="001D6913" w:rsidRDefault="00D768EA" w:rsidP="00AD2662">
            <w:pPr>
              <w:pStyle w:val="Tabletext"/>
            </w:pPr>
            <w:r w:rsidRPr="001D6913">
              <w:t>Mandurah</w:t>
            </w:r>
          </w:p>
        </w:tc>
        <w:tc>
          <w:tcPr>
            <w:tcW w:w="460" w:type="pct"/>
            <w:tcBorders>
              <w:top w:val="single" w:sz="2" w:space="0" w:color="808080" w:themeColor="background1" w:themeShade="80"/>
              <w:bottom w:val="single" w:sz="2" w:space="0" w:color="808080" w:themeColor="background1" w:themeShade="80"/>
            </w:tcBorders>
            <w:vAlign w:val="center"/>
          </w:tcPr>
          <w:p w14:paraId="340633ED" w14:textId="3ADCC7E7" w:rsidR="00D768EA" w:rsidRPr="001D6913" w:rsidRDefault="00D768EA"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6D02C7F0" w14:textId="79E4891D" w:rsidR="00D768EA" w:rsidRPr="001D6913" w:rsidRDefault="00D768EA" w:rsidP="00AD2662">
            <w:pPr>
              <w:pStyle w:val="Tabletext"/>
            </w:pPr>
            <w:r w:rsidRPr="001D6913">
              <w:t>Perth South</w:t>
            </w:r>
          </w:p>
        </w:tc>
        <w:tc>
          <w:tcPr>
            <w:tcW w:w="860" w:type="pct"/>
            <w:tcBorders>
              <w:top w:val="single" w:sz="2" w:space="0" w:color="808080" w:themeColor="background1" w:themeShade="80"/>
              <w:bottom w:val="single" w:sz="2" w:space="0" w:color="808080" w:themeColor="background1" w:themeShade="80"/>
            </w:tcBorders>
            <w:vAlign w:val="center"/>
          </w:tcPr>
          <w:p w14:paraId="731F189C" w14:textId="6EEA160E"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EBD2EE9" w14:textId="1A34B561" w:rsidR="00D768EA" w:rsidRPr="001D6913" w:rsidRDefault="00FB1CD1" w:rsidP="00AD2662">
            <w:pPr>
              <w:pStyle w:val="Tabletext"/>
            </w:pPr>
            <w:r>
              <w:t xml:space="preserve">July </w:t>
            </w:r>
            <w:r w:rsidR="00D768EA" w:rsidRPr="001D6913">
              <w:t>2018</w:t>
            </w:r>
          </w:p>
        </w:tc>
        <w:tc>
          <w:tcPr>
            <w:tcW w:w="856" w:type="pct"/>
            <w:tcBorders>
              <w:top w:val="single" w:sz="2" w:space="0" w:color="808080" w:themeColor="background1" w:themeShade="80"/>
              <w:bottom w:val="single" w:sz="2" w:space="0" w:color="808080" w:themeColor="background1" w:themeShade="80"/>
            </w:tcBorders>
            <w:vAlign w:val="center"/>
          </w:tcPr>
          <w:p w14:paraId="7F32C056" w14:textId="39B25879" w:rsidR="00BF7AA8" w:rsidRPr="00003839" w:rsidRDefault="00BF7AA8" w:rsidP="00AD2662">
            <w:pPr>
              <w:pStyle w:val="Tabletext"/>
            </w:pPr>
            <w:r w:rsidRPr="00003839">
              <w:t>All analysis</w:t>
            </w:r>
          </w:p>
        </w:tc>
      </w:tr>
      <w:tr w:rsidR="00D768EA" w14:paraId="7BFC2242" w14:textId="6A673652" w:rsidTr="00AD2662">
        <w:tc>
          <w:tcPr>
            <w:tcW w:w="838" w:type="pct"/>
            <w:tcBorders>
              <w:top w:val="single" w:sz="2" w:space="0" w:color="808080" w:themeColor="background1" w:themeShade="80"/>
              <w:bottom w:val="single" w:sz="2" w:space="0" w:color="808080" w:themeColor="background1" w:themeShade="80"/>
            </w:tcBorders>
            <w:vAlign w:val="center"/>
          </w:tcPr>
          <w:p w14:paraId="2C844ADA" w14:textId="507CAF25" w:rsidR="00D768EA" w:rsidRPr="001D6913" w:rsidRDefault="00D768EA" w:rsidP="00AD2662">
            <w:pPr>
              <w:pStyle w:val="Tabletext"/>
            </w:pPr>
            <w:r w:rsidRPr="001D6913">
              <w:t>Maroochydore</w:t>
            </w:r>
          </w:p>
        </w:tc>
        <w:tc>
          <w:tcPr>
            <w:tcW w:w="460" w:type="pct"/>
            <w:tcBorders>
              <w:top w:val="single" w:sz="2" w:space="0" w:color="808080" w:themeColor="background1" w:themeShade="80"/>
              <w:bottom w:val="single" w:sz="2" w:space="0" w:color="808080" w:themeColor="background1" w:themeShade="80"/>
            </w:tcBorders>
            <w:vAlign w:val="center"/>
          </w:tcPr>
          <w:p w14:paraId="6A3853A0" w14:textId="42EDC1DC"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0DED1771" w14:textId="4F6D223C" w:rsidR="00D768EA" w:rsidRPr="001D6913" w:rsidRDefault="00D768EA" w:rsidP="00AD2662">
            <w:pPr>
              <w:pStyle w:val="Tabletext"/>
            </w:pPr>
            <w:r w:rsidRPr="001D6913">
              <w:t>Central QLD, Wide Bay &amp; Sunshine Coast</w:t>
            </w:r>
          </w:p>
        </w:tc>
        <w:tc>
          <w:tcPr>
            <w:tcW w:w="860" w:type="pct"/>
            <w:tcBorders>
              <w:top w:val="single" w:sz="2" w:space="0" w:color="808080" w:themeColor="background1" w:themeShade="80"/>
              <w:bottom w:val="single" w:sz="2" w:space="0" w:color="808080" w:themeColor="background1" w:themeShade="80"/>
            </w:tcBorders>
            <w:vAlign w:val="center"/>
          </w:tcPr>
          <w:p w14:paraId="08EA8177" w14:textId="255D08D4"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BA8F642" w14:textId="1DDB80D7" w:rsidR="00D768EA" w:rsidRPr="001D6913" w:rsidRDefault="00FB1CD1" w:rsidP="00AD2662">
            <w:pPr>
              <w:pStyle w:val="Tabletext"/>
            </w:pPr>
            <w:r>
              <w:t xml:space="preserve">January </w:t>
            </w:r>
            <w:r w:rsidR="00D768EA"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0F610A11" w14:textId="09F8F646" w:rsidR="00BF7AA8" w:rsidRPr="00003839" w:rsidRDefault="00BF7AA8" w:rsidP="00AD2662">
            <w:pPr>
              <w:pStyle w:val="Tabletext"/>
            </w:pPr>
            <w:r w:rsidRPr="00003839">
              <w:t>All analysis</w:t>
            </w:r>
          </w:p>
        </w:tc>
      </w:tr>
      <w:tr w:rsidR="00D768EA" w14:paraId="1597AB73" w14:textId="59E8DB8C" w:rsidTr="00AD2662">
        <w:tc>
          <w:tcPr>
            <w:tcW w:w="838" w:type="pct"/>
            <w:tcBorders>
              <w:top w:val="single" w:sz="2" w:space="0" w:color="808080" w:themeColor="background1" w:themeShade="80"/>
              <w:bottom w:val="single" w:sz="2" w:space="0" w:color="808080" w:themeColor="background1" w:themeShade="80"/>
            </w:tcBorders>
            <w:vAlign w:val="center"/>
          </w:tcPr>
          <w:p w14:paraId="12BB277B" w14:textId="3215CC82" w:rsidR="00D768EA" w:rsidRPr="001D6913" w:rsidRDefault="00D768EA" w:rsidP="00AD2662">
            <w:pPr>
              <w:pStyle w:val="Tabletext"/>
            </w:pPr>
            <w:r w:rsidRPr="001D6913">
              <w:t>Meadowbrook</w:t>
            </w:r>
          </w:p>
        </w:tc>
        <w:tc>
          <w:tcPr>
            <w:tcW w:w="460" w:type="pct"/>
            <w:tcBorders>
              <w:top w:val="single" w:sz="2" w:space="0" w:color="808080" w:themeColor="background1" w:themeShade="80"/>
              <w:bottom w:val="single" w:sz="2" w:space="0" w:color="808080" w:themeColor="background1" w:themeShade="80"/>
            </w:tcBorders>
            <w:vAlign w:val="center"/>
          </w:tcPr>
          <w:p w14:paraId="30E64392" w14:textId="3632DFB4"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0CBB0020" w14:textId="28C725A6" w:rsidR="00D768EA" w:rsidRPr="001D6913" w:rsidRDefault="00D768EA" w:rsidP="00AD2662">
            <w:pPr>
              <w:pStyle w:val="Tabletext"/>
            </w:pPr>
            <w:r w:rsidRPr="001D6913">
              <w:t>Brisbane South</w:t>
            </w:r>
          </w:p>
        </w:tc>
        <w:tc>
          <w:tcPr>
            <w:tcW w:w="860" w:type="pct"/>
            <w:tcBorders>
              <w:top w:val="single" w:sz="2" w:space="0" w:color="808080" w:themeColor="background1" w:themeShade="80"/>
              <w:bottom w:val="single" w:sz="2" w:space="0" w:color="808080" w:themeColor="background1" w:themeShade="80"/>
            </w:tcBorders>
            <w:vAlign w:val="center"/>
          </w:tcPr>
          <w:p w14:paraId="7D94BE16" w14:textId="7D287CA9"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D00750F" w14:textId="11A838B9" w:rsidR="00D768EA" w:rsidRPr="001D6913" w:rsidRDefault="00FB1CD1" w:rsidP="00AD2662">
            <w:pPr>
              <w:pStyle w:val="Tabletext"/>
            </w:pPr>
            <w:r>
              <w:t>December 2014</w:t>
            </w:r>
          </w:p>
        </w:tc>
        <w:tc>
          <w:tcPr>
            <w:tcW w:w="856" w:type="pct"/>
            <w:tcBorders>
              <w:top w:val="single" w:sz="2" w:space="0" w:color="808080" w:themeColor="background1" w:themeShade="80"/>
              <w:bottom w:val="single" w:sz="2" w:space="0" w:color="808080" w:themeColor="background1" w:themeShade="80"/>
            </w:tcBorders>
            <w:vAlign w:val="center"/>
          </w:tcPr>
          <w:p w14:paraId="32DB8FC1" w14:textId="2F0C8684" w:rsidR="00BF7AA8" w:rsidRPr="00003839" w:rsidRDefault="00BF7AA8" w:rsidP="00AD2662">
            <w:pPr>
              <w:pStyle w:val="Tabletext"/>
            </w:pPr>
            <w:r w:rsidRPr="00003839">
              <w:t>All analysis</w:t>
            </w:r>
          </w:p>
        </w:tc>
      </w:tr>
      <w:tr w:rsidR="00D768EA" w14:paraId="7859B0BC" w14:textId="4CAAB519" w:rsidTr="00AD2662">
        <w:tc>
          <w:tcPr>
            <w:tcW w:w="838" w:type="pct"/>
            <w:tcBorders>
              <w:top w:val="single" w:sz="2" w:space="0" w:color="808080" w:themeColor="background1" w:themeShade="80"/>
              <w:bottom w:val="single" w:sz="2" w:space="0" w:color="808080" w:themeColor="background1" w:themeShade="80"/>
            </w:tcBorders>
            <w:vAlign w:val="center"/>
          </w:tcPr>
          <w:p w14:paraId="76991CF0" w14:textId="7B023DA7" w:rsidR="00D768EA" w:rsidRPr="001D6913" w:rsidRDefault="00D768EA" w:rsidP="00AD2662">
            <w:pPr>
              <w:pStyle w:val="Tabletext"/>
            </w:pPr>
            <w:r w:rsidRPr="001D6913">
              <w:t>Melton</w:t>
            </w:r>
          </w:p>
        </w:tc>
        <w:tc>
          <w:tcPr>
            <w:tcW w:w="460" w:type="pct"/>
            <w:tcBorders>
              <w:top w:val="single" w:sz="2" w:space="0" w:color="808080" w:themeColor="background1" w:themeShade="80"/>
              <w:bottom w:val="single" w:sz="2" w:space="0" w:color="808080" w:themeColor="background1" w:themeShade="80"/>
            </w:tcBorders>
            <w:vAlign w:val="center"/>
          </w:tcPr>
          <w:p w14:paraId="6AF80BEF" w14:textId="58BCBA81"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48EECDA1" w14:textId="7AFC2093" w:rsidR="00D768EA" w:rsidRPr="001D6913" w:rsidRDefault="00D768EA" w:rsidP="00AD2662">
            <w:pPr>
              <w:pStyle w:val="Tabletext"/>
            </w:pPr>
            <w:r w:rsidRPr="001D6913">
              <w:t>North Western Melbourne</w:t>
            </w:r>
          </w:p>
        </w:tc>
        <w:tc>
          <w:tcPr>
            <w:tcW w:w="860" w:type="pct"/>
            <w:tcBorders>
              <w:top w:val="single" w:sz="2" w:space="0" w:color="808080" w:themeColor="background1" w:themeShade="80"/>
              <w:bottom w:val="single" w:sz="2" w:space="0" w:color="808080" w:themeColor="background1" w:themeShade="80"/>
            </w:tcBorders>
            <w:vAlign w:val="center"/>
          </w:tcPr>
          <w:p w14:paraId="6C8E15E0" w14:textId="154362D2"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C53726F" w14:textId="31C4F8EB" w:rsidR="00D768EA" w:rsidRPr="001D6913" w:rsidRDefault="00FB1CD1" w:rsidP="00AD2662">
            <w:pPr>
              <w:pStyle w:val="Tabletext"/>
            </w:pPr>
            <w:r>
              <w:t>September 2018</w:t>
            </w:r>
          </w:p>
        </w:tc>
        <w:tc>
          <w:tcPr>
            <w:tcW w:w="856" w:type="pct"/>
            <w:tcBorders>
              <w:top w:val="single" w:sz="2" w:space="0" w:color="808080" w:themeColor="background1" w:themeShade="80"/>
              <w:bottom w:val="single" w:sz="2" w:space="0" w:color="808080" w:themeColor="background1" w:themeShade="80"/>
            </w:tcBorders>
            <w:vAlign w:val="center"/>
          </w:tcPr>
          <w:p w14:paraId="45A2C87F" w14:textId="0E913A71" w:rsidR="00BF7AA8" w:rsidRPr="00003839" w:rsidRDefault="00BF7AA8" w:rsidP="00AD2662">
            <w:pPr>
              <w:pStyle w:val="Tabletext"/>
            </w:pPr>
            <w:r w:rsidRPr="00003839">
              <w:t>All analysis</w:t>
            </w:r>
          </w:p>
        </w:tc>
      </w:tr>
      <w:tr w:rsidR="00D768EA" w14:paraId="05EE92D9" w14:textId="57C959E5" w:rsidTr="00AD2662">
        <w:tc>
          <w:tcPr>
            <w:tcW w:w="838" w:type="pct"/>
            <w:tcBorders>
              <w:top w:val="single" w:sz="2" w:space="0" w:color="808080" w:themeColor="background1" w:themeShade="80"/>
              <w:bottom w:val="single" w:sz="2" w:space="0" w:color="808080" w:themeColor="background1" w:themeShade="80"/>
            </w:tcBorders>
            <w:vAlign w:val="center"/>
          </w:tcPr>
          <w:p w14:paraId="690BC07D" w14:textId="47B2C9B5" w:rsidR="00D768EA" w:rsidRPr="001D6913" w:rsidRDefault="00D768EA" w:rsidP="00AD2662">
            <w:pPr>
              <w:pStyle w:val="Tabletext"/>
            </w:pPr>
            <w:r w:rsidRPr="001D6913">
              <w:t>Midland</w:t>
            </w:r>
          </w:p>
        </w:tc>
        <w:tc>
          <w:tcPr>
            <w:tcW w:w="460" w:type="pct"/>
            <w:tcBorders>
              <w:top w:val="single" w:sz="2" w:space="0" w:color="808080" w:themeColor="background1" w:themeShade="80"/>
              <w:bottom w:val="single" w:sz="2" w:space="0" w:color="808080" w:themeColor="background1" w:themeShade="80"/>
            </w:tcBorders>
            <w:vAlign w:val="center"/>
          </w:tcPr>
          <w:p w14:paraId="02E47AF1" w14:textId="5B4BD6F4" w:rsidR="00D768EA" w:rsidRPr="001D6913" w:rsidRDefault="00D768EA"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124D28E0" w14:textId="357AAE59" w:rsidR="00D768EA" w:rsidRPr="001D6913" w:rsidRDefault="00D768EA" w:rsidP="00AD2662">
            <w:pPr>
              <w:pStyle w:val="Tabletext"/>
            </w:pPr>
            <w:r w:rsidRPr="001D6913">
              <w:t>Perth North</w:t>
            </w:r>
          </w:p>
        </w:tc>
        <w:tc>
          <w:tcPr>
            <w:tcW w:w="860" w:type="pct"/>
            <w:tcBorders>
              <w:top w:val="single" w:sz="2" w:space="0" w:color="808080" w:themeColor="background1" w:themeShade="80"/>
              <w:bottom w:val="single" w:sz="2" w:space="0" w:color="808080" w:themeColor="background1" w:themeShade="80"/>
            </w:tcBorders>
            <w:vAlign w:val="center"/>
          </w:tcPr>
          <w:p w14:paraId="169FA096" w14:textId="5532DCD7"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525CB21" w14:textId="31BF6558" w:rsidR="00D768EA" w:rsidRPr="001D6913" w:rsidRDefault="00FB1CD1" w:rsidP="00AD2662">
            <w:pPr>
              <w:pStyle w:val="Tabletext"/>
            </w:pPr>
            <w:r>
              <w:t xml:space="preserve">January </w:t>
            </w:r>
            <w:r w:rsidR="00D768EA"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1DE6DEA5" w14:textId="747BB546" w:rsidR="00BF7AA8" w:rsidRPr="00003839" w:rsidRDefault="00BF7AA8" w:rsidP="00AD2662">
            <w:pPr>
              <w:pStyle w:val="Tabletext"/>
            </w:pPr>
            <w:r w:rsidRPr="00003839">
              <w:t>All analysis</w:t>
            </w:r>
          </w:p>
        </w:tc>
      </w:tr>
      <w:tr w:rsidR="00D768EA" w14:paraId="482039B2" w14:textId="2ED1DC6A" w:rsidTr="00AD2662">
        <w:tc>
          <w:tcPr>
            <w:tcW w:w="838" w:type="pct"/>
            <w:tcBorders>
              <w:top w:val="single" w:sz="2" w:space="0" w:color="808080" w:themeColor="background1" w:themeShade="80"/>
              <w:bottom w:val="single" w:sz="2" w:space="0" w:color="808080" w:themeColor="background1" w:themeShade="80"/>
            </w:tcBorders>
            <w:vAlign w:val="center"/>
          </w:tcPr>
          <w:p w14:paraId="28469E1F" w14:textId="5C8D85AB" w:rsidR="00D768EA" w:rsidRPr="001D6913" w:rsidRDefault="00D768EA" w:rsidP="00AD2662">
            <w:pPr>
              <w:pStyle w:val="Tabletext"/>
            </w:pPr>
            <w:r w:rsidRPr="001D6913">
              <w:t>Mildura</w:t>
            </w:r>
          </w:p>
        </w:tc>
        <w:tc>
          <w:tcPr>
            <w:tcW w:w="460" w:type="pct"/>
            <w:tcBorders>
              <w:top w:val="single" w:sz="2" w:space="0" w:color="808080" w:themeColor="background1" w:themeShade="80"/>
              <w:bottom w:val="single" w:sz="2" w:space="0" w:color="808080" w:themeColor="background1" w:themeShade="80"/>
            </w:tcBorders>
            <w:vAlign w:val="center"/>
          </w:tcPr>
          <w:p w14:paraId="382CCF26" w14:textId="078244A8"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2A13AE03" w14:textId="3E7F6B6B" w:rsidR="00D768EA" w:rsidRPr="001D6913" w:rsidRDefault="00D768EA" w:rsidP="00AD2662">
            <w:pPr>
              <w:pStyle w:val="Tabletext"/>
            </w:pPr>
            <w:r w:rsidRPr="001D6913">
              <w:t>Murray</w:t>
            </w:r>
          </w:p>
        </w:tc>
        <w:tc>
          <w:tcPr>
            <w:tcW w:w="860" w:type="pct"/>
            <w:tcBorders>
              <w:top w:val="single" w:sz="2" w:space="0" w:color="808080" w:themeColor="background1" w:themeShade="80"/>
              <w:bottom w:val="single" w:sz="2" w:space="0" w:color="808080" w:themeColor="background1" w:themeShade="80"/>
            </w:tcBorders>
            <w:vAlign w:val="center"/>
          </w:tcPr>
          <w:p w14:paraId="765EA78B" w14:textId="1B4F1A0C"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0076E53" w14:textId="3B84F2AD" w:rsidR="00D768EA" w:rsidRPr="001D6913" w:rsidRDefault="00FB1CD1" w:rsidP="00AD2662">
            <w:pPr>
              <w:pStyle w:val="Tabletext"/>
            </w:pPr>
            <w:r>
              <w:t xml:space="preserve">March </w:t>
            </w:r>
            <w:r w:rsidR="00D768EA" w:rsidRPr="001D6913">
              <w:t>2015</w:t>
            </w:r>
          </w:p>
        </w:tc>
        <w:tc>
          <w:tcPr>
            <w:tcW w:w="856" w:type="pct"/>
            <w:tcBorders>
              <w:top w:val="single" w:sz="2" w:space="0" w:color="808080" w:themeColor="background1" w:themeShade="80"/>
              <w:bottom w:val="single" w:sz="2" w:space="0" w:color="808080" w:themeColor="background1" w:themeShade="80"/>
            </w:tcBorders>
            <w:vAlign w:val="center"/>
          </w:tcPr>
          <w:p w14:paraId="62449BAD" w14:textId="48E62F6C" w:rsidR="00BF7AA8" w:rsidRPr="00003839" w:rsidRDefault="00BF7AA8" w:rsidP="00AD2662">
            <w:pPr>
              <w:pStyle w:val="Tabletext"/>
            </w:pPr>
            <w:r w:rsidRPr="00003839">
              <w:t>All analysis</w:t>
            </w:r>
          </w:p>
        </w:tc>
      </w:tr>
      <w:tr w:rsidR="00D768EA" w14:paraId="0D4BC705" w14:textId="1AABAB68" w:rsidTr="00AD2662">
        <w:tc>
          <w:tcPr>
            <w:tcW w:w="838" w:type="pct"/>
            <w:tcBorders>
              <w:top w:val="single" w:sz="2" w:space="0" w:color="808080" w:themeColor="background1" w:themeShade="80"/>
              <w:bottom w:val="single" w:sz="2" w:space="0" w:color="808080" w:themeColor="background1" w:themeShade="80"/>
            </w:tcBorders>
            <w:vAlign w:val="center"/>
          </w:tcPr>
          <w:p w14:paraId="17524FD0" w14:textId="3C4DE94E" w:rsidR="00D768EA" w:rsidRPr="001D6913" w:rsidRDefault="00D768EA" w:rsidP="00AD2662">
            <w:pPr>
              <w:pStyle w:val="Tabletext"/>
            </w:pPr>
            <w:r w:rsidRPr="001D6913">
              <w:t>Miranda</w:t>
            </w:r>
          </w:p>
        </w:tc>
        <w:tc>
          <w:tcPr>
            <w:tcW w:w="460" w:type="pct"/>
            <w:tcBorders>
              <w:top w:val="single" w:sz="2" w:space="0" w:color="808080" w:themeColor="background1" w:themeShade="80"/>
              <w:bottom w:val="single" w:sz="2" w:space="0" w:color="808080" w:themeColor="background1" w:themeShade="80"/>
            </w:tcBorders>
            <w:vAlign w:val="center"/>
          </w:tcPr>
          <w:p w14:paraId="4BCC927D" w14:textId="2B9097BB"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021C9A88" w14:textId="3948AE9B" w:rsidR="00D768EA" w:rsidRPr="001D6913" w:rsidRDefault="00D768EA" w:rsidP="00AD2662">
            <w:pPr>
              <w:pStyle w:val="Tabletext"/>
            </w:pPr>
            <w:r w:rsidRPr="001D6913">
              <w:t>Central &amp; Eastern Sydney</w:t>
            </w:r>
          </w:p>
        </w:tc>
        <w:tc>
          <w:tcPr>
            <w:tcW w:w="860" w:type="pct"/>
            <w:tcBorders>
              <w:top w:val="single" w:sz="2" w:space="0" w:color="808080" w:themeColor="background1" w:themeShade="80"/>
              <w:bottom w:val="single" w:sz="2" w:space="0" w:color="808080" w:themeColor="background1" w:themeShade="80"/>
            </w:tcBorders>
            <w:vAlign w:val="center"/>
          </w:tcPr>
          <w:p w14:paraId="2212BB5F" w14:textId="44A6EE17" w:rsidR="00BF7AA8" w:rsidRPr="00595CC6" w:rsidRDefault="00BF7AA8" w:rsidP="00AD2662">
            <w:pPr>
              <w:pStyle w:val="Tabletext"/>
            </w:pPr>
            <w:r w:rsidRPr="00595CC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E611412" w14:textId="6EC1F64C" w:rsidR="00D768EA" w:rsidRPr="001D6913" w:rsidRDefault="00FB1CD1" w:rsidP="00AD2662">
            <w:pPr>
              <w:pStyle w:val="Tabletext"/>
            </w:pPr>
            <w:r>
              <w:t xml:space="preserve">March </w:t>
            </w:r>
            <w:r w:rsidR="00D768EA" w:rsidRPr="001D6913">
              <w:t>2014</w:t>
            </w:r>
          </w:p>
        </w:tc>
        <w:tc>
          <w:tcPr>
            <w:tcW w:w="856" w:type="pct"/>
            <w:tcBorders>
              <w:top w:val="single" w:sz="2" w:space="0" w:color="808080" w:themeColor="background1" w:themeShade="80"/>
              <w:bottom w:val="single" w:sz="2" w:space="0" w:color="808080" w:themeColor="background1" w:themeShade="80"/>
            </w:tcBorders>
            <w:vAlign w:val="center"/>
          </w:tcPr>
          <w:p w14:paraId="0A0F7212" w14:textId="41B618C7" w:rsidR="00BF7AA8" w:rsidRPr="00003839" w:rsidRDefault="00BF7AA8" w:rsidP="00AD2662">
            <w:pPr>
              <w:pStyle w:val="Tabletext"/>
            </w:pPr>
            <w:r w:rsidRPr="00003839">
              <w:t>All analysis</w:t>
            </w:r>
          </w:p>
        </w:tc>
      </w:tr>
      <w:tr w:rsidR="00D768EA" w14:paraId="1BDDD525" w14:textId="26DCAEF7" w:rsidTr="00AD2662">
        <w:tc>
          <w:tcPr>
            <w:tcW w:w="838" w:type="pct"/>
            <w:tcBorders>
              <w:top w:val="single" w:sz="2" w:space="0" w:color="808080" w:themeColor="background1" w:themeShade="80"/>
              <w:bottom w:val="single" w:sz="2" w:space="0" w:color="808080" w:themeColor="background1" w:themeShade="80"/>
            </w:tcBorders>
            <w:vAlign w:val="center"/>
          </w:tcPr>
          <w:p w14:paraId="46A4D9CC" w14:textId="4EB00BBE" w:rsidR="00D768EA" w:rsidRPr="001D6913" w:rsidRDefault="00D768EA" w:rsidP="00AD2662">
            <w:pPr>
              <w:pStyle w:val="Tabletext"/>
            </w:pPr>
            <w:r w:rsidRPr="001D6913">
              <w:t>Morwell</w:t>
            </w:r>
          </w:p>
        </w:tc>
        <w:tc>
          <w:tcPr>
            <w:tcW w:w="460" w:type="pct"/>
            <w:tcBorders>
              <w:top w:val="single" w:sz="2" w:space="0" w:color="808080" w:themeColor="background1" w:themeShade="80"/>
              <w:bottom w:val="single" w:sz="2" w:space="0" w:color="808080" w:themeColor="background1" w:themeShade="80"/>
            </w:tcBorders>
            <w:vAlign w:val="center"/>
          </w:tcPr>
          <w:p w14:paraId="3D444B97" w14:textId="6519AB56"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0014A997" w14:textId="345F35C5" w:rsidR="00D768EA" w:rsidRPr="001D6913" w:rsidRDefault="00D768EA" w:rsidP="00AD2662">
            <w:pPr>
              <w:pStyle w:val="Tabletext"/>
            </w:pPr>
            <w:r w:rsidRPr="001D6913">
              <w:t>Gippsland</w:t>
            </w:r>
          </w:p>
        </w:tc>
        <w:tc>
          <w:tcPr>
            <w:tcW w:w="860" w:type="pct"/>
            <w:tcBorders>
              <w:top w:val="single" w:sz="2" w:space="0" w:color="808080" w:themeColor="background1" w:themeShade="80"/>
              <w:bottom w:val="single" w:sz="2" w:space="0" w:color="808080" w:themeColor="background1" w:themeShade="80"/>
            </w:tcBorders>
            <w:vAlign w:val="center"/>
          </w:tcPr>
          <w:p w14:paraId="68E32FFA" w14:textId="76E05B37" w:rsidR="00BF7AA8" w:rsidRDefault="00BF7AA8" w:rsidP="00AD2662">
            <w:pPr>
              <w:pStyle w:val="Tabletext"/>
            </w:pPr>
            <w:r>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3BAAF24" w14:textId="7908FD1D" w:rsidR="00D768EA" w:rsidRPr="001D6913" w:rsidRDefault="00FB1CD1" w:rsidP="00AD2662">
            <w:pPr>
              <w:pStyle w:val="Tabletext"/>
            </w:pPr>
            <w:r>
              <w:t xml:space="preserve">July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41A8AAD5" w14:textId="01E15C45" w:rsidR="00BF7AA8" w:rsidRPr="00003839" w:rsidRDefault="00BF7AA8" w:rsidP="00AD2662">
            <w:pPr>
              <w:pStyle w:val="Tabletext"/>
            </w:pPr>
            <w:r w:rsidRPr="00003839">
              <w:t>All analysis</w:t>
            </w:r>
          </w:p>
        </w:tc>
      </w:tr>
      <w:tr w:rsidR="00D768EA" w14:paraId="060A8486" w14:textId="4A570770" w:rsidTr="00AD2662">
        <w:tc>
          <w:tcPr>
            <w:tcW w:w="838" w:type="pct"/>
            <w:tcBorders>
              <w:top w:val="single" w:sz="2" w:space="0" w:color="808080" w:themeColor="background1" w:themeShade="80"/>
              <w:bottom w:val="single" w:sz="2" w:space="0" w:color="808080" w:themeColor="background1" w:themeShade="80"/>
            </w:tcBorders>
            <w:vAlign w:val="center"/>
          </w:tcPr>
          <w:p w14:paraId="02768B7B" w14:textId="5989E621" w:rsidR="00D768EA" w:rsidRPr="001D6913" w:rsidRDefault="00D768EA" w:rsidP="00AD2662">
            <w:pPr>
              <w:pStyle w:val="Tabletext"/>
            </w:pPr>
            <w:r w:rsidRPr="001D6913">
              <w:t>Mount Barker</w:t>
            </w:r>
          </w:p>
        </w:tc>
        <w:tc>
          <w:tcPr>
            <w:tcW w:w="460" w:type="pct"/>
            <w:tcBorders>
              <w:top w:val="single" w:sz="2" w:space="0" w:color="808080" w:themeColor="background1" w:themeShade="80"/>
              <w:bottom w:val="single" w:sz="2" w:space="0" w:color="808080" w:themeColor="background1" w:themeShade="80"/>
            </w:tcBorders>
            <w:vAlign w:val="center"/>
          </w:tcPr>
          <w:p w14:paraId="18D19C4B" w14:textId="24CEEA3F" w:rsidR="00D768EA" w:rsidRPr="001D6913" w:rsidRDefault="00D768EA"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3C659BFA" w14:textId="439E88A7" w:rsidR="00D768EA" w:rsidRPr="001D6913" w:rsidRDefault="00D768EA" w:rsidP="00AD2662">
            <w:pPr>
              <w:pStyle w:val="Tabletext"/>
            </w:pPr>
            <w:r w:rsidRPr="001D6913">
              <w:t>Country SA</w:t>
            </w:r>
          </w:p>
        </w:tc>
        <w:tc>
          <w:tcPr>
            <w:tcW w:w="860" w:type="pct"/>
            <w:tcBorders>
              <w:top w:val="single" w:sz="2" w:space="0" w:color="808080" w:themeColor="background1" w:themeShade="80"/>
              <w:bottom w:val="single" w:sz="2" w:space="0" w:color="808080" w:themeColor="background1" w:themeShade="80"/>
            </w:tcBorders>
            <w:vAlign w:val="center"/>
          </w:tcPr>
          <w:p w14:paraId="632702B1" w14:textId="30B456DB" w:rsidR="00372D21" w:rsidRDefault="00372D21" w:rsidP="00AD2662">
            <w:pPr>
              <w:pStyle w:val="Tabletext"/>
              <w:rPr>
                <w:szCs w:val="20"/>
              </w:rPr>
            </w:pPr>
            <w:r>
              <w:rPr>
                <w:szCs w:val="20"/>
              </w:rPr>
              <w:t>Satellite from Murray Bridge</w:t>
            </w:r>
          </w:p>
        </w:tc>
        <w:tc>
          <w:tcPr>
            <w:tcW w:w="859" w:type="pct"/>
            <w:tcBorders>
              <w:top w:val="single" w:sz="2" w:space="0" w:color="808080" w:themeColor="background1" w:themeShade="80"/>
              <w:bottom w:val="single" w:sz="2" w:space="0" w:color="808080" w:themeColor="background1" w:themeShade="80"/>
            </w:tcBorders>
            <w:vAlign w:val="center"/>
          </w:tcPr>
          <w:p w14:paraId="211D8F2D" w14:textId="47A6C02B" w:rsidR="00D768EA" w:rsidRPr="001D6913" w:rsidRDefault="00FB1CD1" w:rsidP="00AD2662">
            <w:pPr>
              <w:pStyle w:val="Tabletext"/>
            </w:pPr>
            <w:r>
              <w:rPr>
                <w:szCs w:val="20"/>
              </w:rPr>
              <w:t xml:space="preserve">June </w:t>
            </w:r>
            <w:r w:rsidR="00D768EA" w:rsidRPr="001D6913">
              <w:rPr>
                <w:szCs w:val="20"/>
              </w:rPr>
              <w:t>2020</w:t>
            </w:r>
          </w:p>
        </w:tc>
        <w:tc>
          <w:tcPr>
            <w:tcW w:w="856" w:type="pct"/>
            <w:tcBorders>
              <w:top w:val="single" w:sz="2" w:space="0" w:color="808080" w:themeColor="background1" w:themeShade="80"/>
              <w:bottom w:val="single" w:sz="2" w:space="0" w:color="808080" w:themeColor="background1" w:themeShade="80"/>
            </w:tcBorders>
            <w:vAlign w:val="center"/>
          </w:tcPr>
          <w:p w14:paraId="76AA0C30" w14:textId="1ECFB7E8" w:rsidR="00766C4A" w:rsidRDefault="00766C4A" w:rsidP="00AD2662">
            <w:pPr>
              <w:pStyle w:val="Tabletext"/>
              <w:rPr>
                <w:szCs w:val="20"/>
              </w:rPr>
            </w:pPr>
            <w:r>
              <w:rPr>
                <w:szCs w:val="20"/>
              </w:rPr>
              <w:t>Service provision and outcomes analysis only</w:t>
            </w:r>
          </w:p>
        </w:tc>
      </w:tr>
      <w:tr w:rsidR="00D768EA" w14:paraId="5268CDC5" w14:textId="0C6ADEDE" w:rsidTr="00AD2662">
        <w:tc>
          <w:tcPr>
            <w:tcW w:w="838" w:type="pct"/>
            <w:tcBorders>
              <w:top w:val="single" w:sz="2" w:space="0" w:color="808080" w:themeColor="background1" w:themeShade="80"/>
              <w:bottom w:val="single" w:sz="2" w:space="0" w:color="808080" w:themeColor="background1" w:themeShade="80"/>
            </w:tcBorders>
            <w:vAlign w:val="center"/>
          </w:tcPr>
          <w:p w14:paraId="5C8AAD9E" w14:textId="0A9D4809" w:rsidR="00D768EA" w:rsidRPr="001D6913" w:rsidRDefault="00D768EA" w:rsidP="00AD2662">
            <w:pPr>
              <w:pStyle w:val="Tabletext"/>
            </w:pPr>
            <w:r w:rsidRPr="001D6913">
              <w:t>Mount Druitt</w:t>
            </w:r>
          </w:p>
        </w:tc>
        <w:tc>
          <w:tcPr>
            <w:tcW w:w="460" w:type="pct"/>
            <w:tcBorders>
              <w:top w:val="single" w:sz="2" w:space="0" w:color="808080" w:themeColor="background1" w:themeShade="80"/>
              <w:bottom w:val="single" w:sz="2" w:space="0" w:color="808080" w:themeColor="background1" w:themeShade="80"/>
            </w:tcBorders>
            <w:vAlign w:val="center"/>
          </w:tcPr>
          <w:p w14:paraId="4F33754B" w14:textId="30FD2ADC"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0427917F" w14:textId="33ED5073" w:rsidR="00D768EA" w:rsidRPr="001D6913" w:rsidRDefault="00D768EA" w:rsidP="00AD2662">
            <w:pPr>
              <w:pStyle w:val="Tabletext"/>
            </w:pPr>
            <w:r w:rsidRPr="001D6913">
              <w:t>Western Sydney</w:t>
            </w:r>
          </w:p>
        </w:tc>
        <w:tc>
          <w:tcPr>
            <w:tcW w:w="860" w:type="pct"/>
            <w:tcBorders>
              <w:top w:val="single" w:sz="2" w:space="0" w:color="808080" w:themeColor="background1" w:themeShade="80"/>
              <w:bottom w:val="single" w:sz="2" w:space="0" w:color="808080" w:themeColor="background1" w:themeShade="80"/>
            </w:tcBorders>
            <w:vAlign w:val="center"/>
          </w:tcPr>
          <w:p w14:paraId="7B0EB5EF" w14:textId="30BF6293"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D05610B" w14:textId="3F45FD2E" w:rsidR="00D768EA" w:rsidRPr="001D6913" w:rsidRDefault="00FB1CD1" w:rsidP="00AD2662">
            <w:pPr>
              <w:pStyle w:val="Tabletext"/>
            </w:pPr>
            <w:r>
              <w:t xml:space="preserve">August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22B7444B" w14:textId="07286B0A" w:rsidR="00BF7AA8" w:rsidRPr="00763927" w:rsidRDefault="00BF7AA8" w:rsidP="00AD2662">
            <w:pPr>
              <w:pStyle w:val="Tabletext"/>
            </w:pPr>
            <w:r w:rsidRPr="00763927">
              <w:t>All analysis</w:t>
            </w:r>
          </w:p>
        </w:tc>
      </w:tr>
      <w:tr w:rsidR="00D768EA" w14:paraId="335BD759" w14:textId="7B51F126" w:rsidTr="00AD2662">
        <w:tc>
          <w:tcPr>
            <w:tcW w:w="838" w:type="pct"/>
            <w:tcBorders>
              <w:top w:val="single" w:sz="2" w:space="0" w:color="808080" w:themeColor="background1" w:themeShade="80"/>
              <w:bottom w:val="single" w:sz="2" w:space="0" w:color="808080" w:themeColor="background1" w:themeShade="80"/>
            </w:tcBorders>
            <w:vAlign w:val="center"/>
          </w:tcPr>
          <w:p w14:paraId="19AAD244" w14:textId="45695BDB" w:rsidR="00D768EA" w:rsidRPr="001D6913" w:rsidRDefault="00D768EA" w:rsidP="00AD2662">
            <w:pPr>
              <w:pStyle w:val="Tabletext"/>
            </w:pPr>
            <w:r w:rsidRPr="001D6913">
              <w:t>Mount Gambier</w:t>
            </w:r>
          </w:p>
        </w:tc>
        <w:tc>
          <w:tcPr>
            <w:tcW w:w="460" w:type="pct"/>
            <w:tcBorders>
              <w:top w:val="single" w:sz="2" w:space="0" w:color="808080" w:themeColor="background1" w:themeShade="80"/>
              <w:bottom w:val="single" w:sz="2" w:space="0" w:color="808080" w:themeColor="background1" w:themeShade="80"/>
            </w:tcBorders>
            <w:vAlign w:val="center"/>
          </w:tcPr>
          <w:p w14:paraId="49512A0F" w14:textId="7B6207B2" w:rsidR="00D768EA" w:rsidRPr="001D6913" w:rsidRDefault="00D768EA"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49C7537F" w14:textId="32342731" w:rsidR="00D768EA" w:rsidRPr="001D6913" w:rsidRDefault="00D768EA" w:rsidP="00AD2662">
            <w:pPr>
              <w:pStyle w:val="Tabletext"/>
            </w:pPr>
            <w:r w:rsidRPr="001D6913">
              <w:t>Country SA</w:t>
            </w:r>
          </w:p>
        </w:tc>
        <w:tc>
          <w:tcPr>
            <w:tcW w:w="860" w:type="pct"/>
            <w:tcBorders>
              <w:top w:val="single" w:sz="2" w:space="0" w:color="808080" w:themeColor="background1" w:themeShade="80"/>
              <w:bottom w:val="single" w:sz="2" w:space="0" w:color="808080" w:themeColor="background1" w:themeShade="80"/>
            </w:tcBorders>
            <w:vAlign w:val="center"/>
          </w:tcPr>
          <w:p w14:paraId="42060E4F" w14:textId="3935722D"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EDB0500" w14:textId="5ED5901A" w:rsidR="00D768EA" w:rsidRPr="001D6913" w:rsidRDefault="00FB1CD1" w:rsidP="00AD2662">
            <w:pPr>
              <w:pStyle w:val="Tabletext"/>
            </w:pPr>
            <w:r>
              <w:t xml:space="preserve">March </w:t>
            </w:r>
            <w:r w:rsidR="00D768EA"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4EE49AA9" w14:textId="349F140F" w:rsidR="00BF7AA8" w:rsidRPr="00763927" w:rsidRDefault="00BF7AA8" w:rsidP="00AD2662">
            <w:pPr>
              <w:pStyle w:val="Tabletext"/>
            </w:pPr>
            <w:r w:rsidRPr="00763927">
              <w:t>All analysis</w:t>
            </w:r>
          </w:p>
        </w:tc>
      </w:tr>
      <w:tr w:rsidR="00D768EA" w14:paraId="36E8223F" w14:textId="4BCED3CB" w:rsidTr="00AD2662">
        <w:tc>
          <w:tcPr>
            <w:tcW w:w="838" w:type="pct"/>
            <w:tcBorders>
              <w:top w:val="single" w:sz="2" w:space="0" w:color="808080" w:themeColor="background1" w:themeShade="80"/>
              <w:bottom w:val="single" w:sz="2" w:space="0" w:color="808080" w:themeColor="background1" w:themeShade="80"/>
            </w:tcBorders>
            <w:vAlign w:val="center"/>
          </w:tcPr>
          <w:p w14:paraId="34A3ACCF" w14:textId="75F5B8D2" w:rsidR="00D768EA" w:rsidRPr="001D6913" w:rsidRDefault="00D768EA" w:rsidP="00AD2662">
            <w:pPr>
              <w:pStyle w:val="Tabletext"/>
            </w:pPr>
            <w:r w:rsidRPr="001D6913">
              <w:t>Mount Isa</w:t>
            </w:r>
          </w:p>
        </w:tc>
        <w:tc>
          <w:tcPr>
            <w:tcW w:w="460" w:type="pct"/>
            <w:tcBorders>
              <w:top w:val="single" w:sz="2" w:space="0" w:color="808080" w:themeColor="background1" w:themeShade="80"/>
              <w:bottom w:val="single" w:sz="2" w:space="0" w:color="808080" w:themeColor="background1" w:themeShade="80"/>
            </w:tcBorders>
            <w:vAlign w:val="center"/>
          </w:tcPr>
          <w:p w14:paraId="062954E6" w14:textId="7ACE2654"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7AAAAAE8" w14:textId="15D04D5B" w:rsidR="00D768EA" w:rsidRPr="001D6913" w:rsidRDefault="00D768EA" w:rsidP="00AD2662">
            <w:pPr>
              <w:pStyle w:val="Tabletext"/>
            </w:pPr>
            <w:r w:rsidRPr="001D6913">
              <w:t>Western QLD</w:t>
            </w:r>
          </w:p>
        </w:tc>
        <w:tc>
          <w:tcPr>
            <w:tcW w:w="860" w:type="pct"/>
            <w:tcBorders>
              <w:top w:val="single" w:sz="2" w:space="0" w:color="808080" w:themeColor="background1" w:themeShade="80"/>
              <w:bottom w:val="single" w:sz="2" w:space="0" w:color="808080" w:themeColor="background1" w:themeShade="80"/>
            </w:tcBorders>
            <w:vAlign w:val="center"/>
          </w:tcPr>
          <w:p w14:paraId="06E23881" w14:textId="5269FAD8"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06B7EB2" w14:textId="36877D64" w:rsidR="00D768EA" w:rsidRPr="001D6913" w:rsidRDefault="00FB1CD1" w:rsidP="00AD2662">
            <w:pPr>
              <w:pStyle w:val="Tabletext"/>
            </w:pPr>
            <w:r>
              <w:t>December 2014</w:t>
            </w:r>
          </w:p>
        </w:tc>
        <w:tc>
          <w:tcPr>
            <w:tcW w:w="856" w:type="pct"/>
            <w:tcBorders>
              <w:top w:val="single" w:sz="2" w:space="0" w:color="808080" w:themeColor="background1" w:themeShade="80"/>
              <w:bottom w:val="single" w:sz="2" w:space="0" w:color="808080" w:themeColor="background1" w:themeShade="80"/>
            </w:tcBorders>
            <w:vAlign w:val="center"/>
          </w:tcPr>
          <w:p w14:paraId="0405211A" w14:textId="55D14A7B" w:rsidR="00BF7AA8" w:rsidRPr="00763927" w:rsidRDefault="00BF7AA8" w:rsidP="00AD2662">
            <w:pPr>
              <w:pStyle w:val="Tabletext"/>
            </w:pPr>
            <w:r w:rsidRPr="00763927">
              <w:t>All analysis</w:t>
            </w:r>
          </w:p>
        </w:tc>
      </w:tr>
      <w:tr w:rsidR="00D768EA" w14:paraId="4A5F562B" w14:textId="15208CA3" w:rsidTr="00AD2662">
        <w:tc>
          <w:tcPr>
            <w:tcW w:w="838" w:type="pct"/>
            <w:tcBorders>
              <w:top w:val="single" w:sz="2" w:space="0" w:color="808080" w:themeColor="background1" w:themeShade="80"/>
              <w:bottom w:val="single" w:sz="2" w:space="0" w:color="808080" w:themeColor="background1" w:themeShade="80"/>
            </w:tcBorders>
            <w:vAlign w:val="center"/>
          </w:tcPr>
          <w:p w14:paraId="4173EA5D" w14:textId="6EC04F71" w:rsidR="00D768EA" w:rsidRPr="001D6913" w:rsidRDefault="00D768EA" w:rsidP="00AD2662">
            <w:pPr>
              <w:pStyle w:val="Tabletext"/>
            </w:pPr>
            <w:r w:rsidRPr="001D6913">
              <w:t>Murray Bridge</w:t>
            </w:r>
          </w:p>
        </w:tc>
        <w:tc>
          <w:tcPr>
            <w:tcW w:w="460" w:type="pct"/>
            <w:tcBorders>
              <w:top w:val="single" w:sz="2" w:space="0" w:color="808080" w:themeColor="background1" w:themeShade="80"/>
              <w:bottom w:val="single" w:sz="2" w:space="0" w:color="808080" w:themeColor="background1" w:themeShade="80"/>
            </w:tcBorders>
            <w:vAlign w:val="center"/>
          </w:tcPr>
          <w:p w14:paraId="16F2BFF0" w14:textId="51A16FA8" w:rsidR="00D768EA" w:rsidRPr="001D6913" w:rsidRDefault="00D768EA"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79BA1EF8" w14:textId="73346BA1" w:rsidR="00D768EA" w:rsidRPr="001D6913" w:rsidRDefault="00D768EA" w:rsidP="00AD2662">
            <w:pPr>
              <w:pStyle w:val="Tabletext"/>
            </w:pPr>
            <w:r w:rsidRPr="001D6913">
              <w:t>Country SA</w:t>
            </w:r>
          </w:p>
        </w:tc>
        <w:tc>
          <w:tcPr>
            <w:tcW w:w="860" w:type="pct"/>
            <w:tcBorders>
              <w:top w:val="single" w:sz="2" w:space="0" w:color="808080" w:themeColor="background1" w:themeShade="80"/>
              <w:bottom w:val="single" w:sz="2" w:space="0" w:color="808080" w:themeColor="background1" w:themeShade="80"/>
            </w:tcBorders>
            <w:vAlign w:val="center"/>
          </w:tcPr>
          <w:p w14:paraId="7B694DF6" w14:textId="46C909C8"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443068D" w14:textId="28DB2D65" w:rsidR="00D768EA" w:rsidRPr="001D6913" w:rsidRDefault="00FB1CD1" w:rsidP="00AD2662">
            <w:pPr>
              <w:pStyle w:val="Tabletext"/>
            </w:pPr>
            <w:r>
              <w:t xml:space="preserve">June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1C8D53DE" w14:textId="59233204" w:rsidR="00BF7AA8" w:rsidRPr="00763927" w:rsidRDefault="00BF7AA8" w:rsidP="00AD2662">
            <w:pPr>
              <w:pStyle w:val="Tabletext"/>
            </w:pPr>
            <w:r w:rsidRPr="00763927">
              <w:t>All analysis</w:t>
            </w:r>
          </w:p>
        </w:tc>
      </w:tr>
      <w:tr w:rsidR="00D768EA" w14:paraId="5996E5DD" w14:textId="6F9873D9" w:rsidTr="00AD2662">
        <w:tc>
          <w:tcPr>
            <w:tcW w:w="838" w:type="pct"/>
            <w:tcBorders>
              <w:top w:val="single" w:sz="2" w:space="0" w:color="808080" w:themeColor="background1" w:themeShade="80"/>
              <w:bottom w:val="single" w:sz="2" w:space="0" w:color="808080" w:themeColor="background1" w:themeShade="80"/>
            </w:tcBorders>
            <w:vAlign w:val="center"/>
          </w:tcPr>
          <w:p w14:paraId="46798EB4" w14:textId="30219B87" w:rsidR="00D768EA" w:rsidRPr="001D6913" w:rsidRDefault="00D768EA" w:rsidP="00AD2662">
            <w:pPr>
              <w:pStyle w:val="Tabletext"/>
            </w:pPr>
            <w:r w:rsidRPr="001D6913">
              <w:t>Narre Warren</w:t>
            </w:r>
          </w:p>
        </w:tc>
        <w:tc>
          <w:tcPr>
            <w:tcW w:w="460" w:type="pct"/>
            <w:tcBorders>
              <w:top w:val="single" w:sz="2" w:space="0" w:color="808080" w:themeColor="background1" w:themeShade="80"/>
              <w:bottom w:val="single" w:sz="2" w:space="0" w:color="808080" w:themeColor="background1" w:themeShade="80"/>
            </w:tcBorders>
            <w:vAlign w:val="center"/>
          </w:tcPr>
          <w:p w14:paraId="40647C7D" w14:textId="394565B6"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6A088CDE" w14:textId="3D11FBF2" w:rsidR="00D768EA" w:rsidRPr="001D6913" w:rsidRDefault="00D768EA" w:rsidP="00AD2662">
            <w:pPr>
              <w:pStyle w:val="Tabletext"/>
            </w:pPr>
            <w:r w:rsidRPr="001D6913">
              <w:t>South 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488E4C5A" w14:textId="29892B47"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5110919" w14:textId="1C0D62A6" w:rsidR="00D768EA" w:rsidRPr="001D6913" w:rsidRDefault="00FB1CD1" w:rsidP="00AD2662">
            <w:pPr>
              <w:pStyle w:val="Tabletext"/>
            </w:pPr>
            <w:r>
              <w:t>December 2014</w:t>
            </w:r>
          </w:p>
        </w:tc>
        <w:tc>
          <w:tcPr>
            <w:tcW w:w="856" w:type="pct"/>
            <w:tcBorders>
              <w:top w:val="single" w:sz="2" w:space="0" w:color="808080" w:themeColor="background1" w:themeShade="80"/>
              <w:bottom w:val="single" w:sz="2" w:space="0" w:color="808080" w:themeColor="background1" w:themeShade="80"/>
            </w:tcBorders>
            <w:vAlign w:val="center"/>
          </w:tcPr>
          <w:p w14:paraId="610EDEEE" w14:textId="36429B6B" w:rsidR="00BF7AA8" w:rsidRPr="00763927" w:rsidRDefault="00BF7AA8" w:rsidP="00AD2662">
            <w:pPr>
              <w:pStyle w:val="Tabletext"/>
            </w:pPr>
            <w:r w:rsidRPr="00763927">
              <w:t>All analysis</w:t>
            </w:r>
          </w:p>
        </w:tc>
      </w:tr>
      <w:tr w:rsidR="00D768EA" w14:paraId="55C06C92" w14:textId="194171C3" w:rsidTr="00AD2662">
        <w:tc>
          <w:tcPr>
            <w:tcW w:w="838" w:type="pct"/>
            <w:tcBorders>
              <w:top w:val="single" w:sz="2" w:space="0" w:color="808080" w:themeColor="background1" w:themeShade="80"/>
              <w:bottom w:val="single" w:sz="2" w:space="0" w:color="808080" w:themeColor="background1" w:themeShade="80"/>
            </w:tcBorders>
            <w:vAlign w:val="center"/>
          </w:tcPr>
          <w:p w14:paraId="0CFD2AB3" w14:textId="426BDB48" w:rsidR="00D768EA" w:rsidRPr="001D6913" w:rsidRDefault="00D768EA" w:rsidP="00AD2662">
            <w:pPr>
              <w:pStyle w:val="Tabletext"/>
            </w:pPr>
            <w:r w:rsidRPr="001D6913">
              <w:t>Newcastle</w:t>
            </w:r>
          </w:p>
        </w:tc>
        <w:tc>
          <w:tcPr>
            <w:tcW w:w="460" w:type="pct"/>
            <w:tcBorders>
              <w:top w:val="single" w:sz="2" w:space="0" w:color="808080" w:themeColor="background1" w:themeShade="80"/>
              <w:bottom w:val="single" w:sz="2" w:space="0" w:color="808080" w:themeColor="background1" w:themeShade="80"/>
            </w:tcBorders>
            <w:vAlign w:val="center"/>
          </w:tcPr>
          <w:p w14:paraId="675BDF94" w14:textId="365BBD40"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4A9D26B4" w14:textId="75FB4183" w:rsidR="00D768EA" w:rsidRPr="001D6913" w:rsidRDefault="00D768EA" w:rsidP="00AD2662">
            <w:pPr>
              <w:pStyle w:val="Tabletext"/>
            </w:pPr>
            <w:r w:rsidRPr="001D6913">
              <w:t>Hunter New England &amp; Central Coast</w:t>
            </w:r>
          </w:p>
        </w:tc>
        <w:tc>
          <w:tcPr>
            <w:tcW w:w="860" w:type="pct"/>
            <w:tcBorders>
              <w:top w:val="single" w:sz="2" w:space="0" w:color="808080" w:themeColor="background1" w:themeShade="80"/>
              <w:bottom w:val="single" w:sz="2" w:space="0" w:color="808080" w:themeColor="background1" w:themeShade="80"/>
            </w:tcBorders>
            <w:vAlign w:val="center"/>
          </w:tcPr>
          <w:p w14:paraId="7E2A6587" w14:textId="0E4E12AB"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9E29D7D" w14:textId="3230333C" w:rsidR="00D768EA" w:rsidRPr="001D6913" w:rsidRDefault="00FB1CD1" w:rsidP="00AD2662">
            <w:pPr>
              <w:pStyle w:val="Tabletext"/>
            </w:pPr>
            <w:r>
              <w:t xml:space="preserve">April </w:t>
            </w:r>
            <w:r w:rsidR="00D768EA"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730E7729" w14:textId="34513B27" w:rsidR="00BF7AA8" w:rsidRPr="00763927" w:rsidRDefault="00BF7AA8" w:rsidP="00AD2662">
            <w:pPr>
              <w:pStyle w:val="Tabletext"/>
            </w:pPr>
            <w:r w:rsidRPr="00763927">
              <w:t>All analysis</w:t>
            </w:r>
          </w:p>
        </w:tc>
      </w:tr>
      <w:tr w:rsidR="00D768EA" w14:paraId="3CF9425E" w14:textId="09594AD2" w:rsidTr="00AD2662">
        <w:tc>
          <w:tcPr>
            <w:tcW w:w="838" w:type="pct"/>
            <w:tcBorders>
              <w:top w:val="single" w:sz="2" w:space="0" w:color="808080" w:themeColor="background1" w:themeShade="80"/>
              <w:bottom w:val="single" w:sz="2" w:space="0" w:color="808080" w:themeColor="background1" w:themeShade="80"/>
            </w:tcBorders>
            <w:vAlign w:val="center"/>
          </w:tcPr>
          <w:p w14:paraId="73B917FD" w14:textId="3EC824FC" w:rsidR="00D768EA" w:rsidRPr="001D6913" w:rsidRDefault="00D768EA" w:rsidP="00AD2662">
            <w:pPr>
              <w:pStyle w:val="Tabletext"/>
            </w:pPr>
            <w:r w:rsidRPr="001D6913">
              <w:t>Nowra</w:t>
            </w:r>
          </w:p>
        </w:tc>
        <w:tc>
          <w:tcPr>
            <w:tcW w:w="460" w:type="pct"/>
            <w:tcBorders>
              <w:top w:val="single" w:sz="2" w:space="0" w:color="808080" w:themeColor="background1" w:themeShade="80"/>
              <w:bottom w:val="single" w:sz="2" w:space="0" w:color="808080" w:themeColor="background1" w:themeShade="80"/>
            </w:tcBorders>
            <w:vAlign w:val="center"/>
          </w:tcPr>
          <w:p w14:paraId="1EDA45A4" w14:textId="78781AAF"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36AE5A74" w14:textId="430D2D2F" w:rsidR="00D768EA" w:rsidRPr="001D6913" w:rsidRDefault="00D768EA" w:rsidP="00AD2662">
            <w:pPr>
              <w:pStyle w:val="Tabletext"/>
            </w:pPr>
            <w:r w:rsidRPr="001D6913">
              <w:t>South Eastern NSW</w:t>
            </w:r>
          </w:p>
        </w:tc>
        <w:tc>
          <w:tcPr>
            <w:tcW w:w="860" w:type="pct"/>
            <w:tcBorders>
              <w:top w:val="single" w:sz="2" w:space="0" w:color="808080" w:themeColor="background1" w:themeShade="80"/>
              <w:bottom w:val="single" w:sz="2" w:space="0" w:color="808080" w:themeColor="background1" w:themeShade="80"/>
            </w:tcBorders>
            <w:vAlign w:val="center"/>
          </w:tcPr>
          <w:p w14:paraId="59396080" w14:textId="642EF5B9"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9D0DE9E" w14:textId="3ABBFF2E" w:rsidR="00D768EA" w:rsidRPr="001D6913" w:rsidRDefault="00FB1CD1" w:rsidP="00AD2662">
            <w:pPr>
              <w:pStyle w:val="Tabletext"/>
            </w:pPr>
            <w:r>
              <w:t xml:space="preserve">April </w:t>
            </w:r>
            <w:r w:rsidR="00D768EA" w:rsidRPr="001D6913">
              <w:t>2012</w:t>
            </w:r>
          </w:p>
        </w:tc>
        <w:tc>
          <w:tcPr>
            <w:tcW w:w="856" w:type="pct"/>
            <w:tcBorders>
              <w:top w:val="single" w:sz="2" w:space="0" w:color="808080" w:themeColor="background1" w:themeShade="80"/>
              <w:bottom w:val="single" w:sz="2" w:space="0" w:color="808080" w:themeColor="background1" w:themeShade="80"/>
            </w:tcBorders>
            <w:vAlign w:val="center"/>
          </w:tcPr>
          <w:p w14:paraId="2D3617A4" w14:textId="2B57147F" w:rsidR="00BF7AA8" w:rsidRPr="00763927" w:rsidRDefault="00BF7AA8" w:rsidP="00AD2662">
            <w:pPr>
              <w:pStyle w:val="Tabletext"/>
            </w:pPr>
            <w:r w:rsidRPr="00763927">
              <w:t>All analysis</w:t>
            </w:r>
          </w:p>
        </w:tc>
      </w:tr>
      <w:tr w:rsidR="00D768EA" w14:paraId="7FFA8593" w14:textId="77D304F3" w:rsidTr="00AD2662">
        <w:tc>
          <w:tcPr>
            <w:tcW w:w="838" w:type="pct"/>
            <w:tcBorders>
              <w:top w:val="single" w:sz="2" w:space="0" w:color="808080" w:themeColor="background1" w:themeShade="80"/>
              <w:bottom w:val="single" w:sz="2" w:space="0" w:color="808080" w:themeColor="background1" w:themeShade="80"/>
            </w:tcBorders>
            <w:vAlign w:val="center"/>
          </w:tcPr>
          <w:p w14:paraId="10973C3B" w14:textId="1F3FAA7F" w:rsidR="00D768EA" w:rsidRPr="001D6913" w:rsidRDefault="00D768EA" w:rsidP="00AD2662">
            <w:pPr>
              <w:pStyle w:val="Tabletext"/>
            </w:pPr>
            <w:r w:rsidRPr="001D6913">
              <w:t>Nundah</w:t>
            </w:r>
          </w:p>
        </w:tc>
        <w:tc>
          <w:tcPr>
            <w:tcW w:w="460" w:type="pct"/>
            <w:tcBorders>
              <w:top w:val="single" w:sz="2" w:space="0" w:color="808080" w:themeColor="background1" w:themeShade="80"/>
              <w:bottom w:val="single" w:sz="2" w:space="0" w:color="808080" w:themeColor="background1" w:themeShade="80"/>
            </w:tcBorders>
            <w:vAlign w:val="center"/>
          </w:tcPr>
          <w:p w14:paraId="14EE6287" w14:textId="32A4B4FE"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18468646" w14:textId="6B8B41CF" w:rsidR="00D768EA" w:rsidRPr="001D6913" w:rsidRDefault="00D768EA" w:rsidP="00AD2662">
            <w:pPr>
              <w:pStyle w:val="Tabletext"/>
            </w:pPr>
            <w:r w:rsidRPr="001D6913">
              <w:t>Brisbane North</w:t>
            </w:r>
          </w:p>
        </w:tc>
        <w:tc>
          <w:tcPr>
            <w:tcW w:w="860" w:type="pct"/>
            <w:tcBorders>
              <w:top w:val="single" w:sz="2" w:space="0" w:color="808080" w:themeColor="background1" w:themeShade="80"/>
              <w:bottom w:val="single" w:sz="2" w:space="0" w:color="808080" w:themeColor="background1" w:themeShade="80"/>
            </w:tcBorders>
            <w:vAlign w:val="center"/>
          </w:tcPr>
          <w:p w14:paraId="61C0E6A5" w14:textId="78959E9C"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499EBDE" w14:textId="3D8CE884" w:rsidR="00D768EA" w:rsidRPr="001D6913" w:rsidRDefault="00FB1CD1" w:rsidP="00AD2662">
            <w:pPr>
              <w:pStyle w:val="Tabletext"/>
            </w:pPr>
            <w:r>
              <w:t xml:space="preserve">January </w:t>
            </w:r>
            <w:r w:rsidR="00D768EA" w:rsidRPr="001D6913">
              <w:t>2012</w:t>
            </w:r>
          </w:p>
        </w:tc>
        <w:tc>
          <w:tcPr>
            <w:tcW w:w="856" w:type="pct"/>
            <w:tcBorders>
              <w:top w:val="single" w:sz="2" w:space="0" w:color="808080" w:themeColor="background1" w:themeShade="80"/>
              <w:bottom w:val="single" w:sz="2" w:space="0" w:color="808080" w:themeColor="background1" w:themeShade="80"/>
            </w:tcBorders>
            <w:vAlign w:val="center"/>
          </w:tcPr>
          <w:p w14:paraId="5EA17F38" w14:textId="46BA10FF" w:rsidR="00BF7AA8" w:rsidRPr="00763927" w:rsidRDefault="00BF7AA8" w:rsidP="00AD2662">
            <w:pPr>
              <w:pStyle w:val="Tabletext"/>
            </w:pPr>
            <w:r w:rsidRPr="00763927">
              <w:t>All analysis</w:t>
            </w:r>
          </w:p>
        </w:tc>
      </w:tr>
      <w:tr w:rsidR="00D768EA" w14:paraId="661CC807" w14:textId="74428C78" w:rsidTr="00AD2662">
        <w:tc>
          <w:tcPr>
            <w:tcW w:w="838" w:type="pct"/>
            <w:tcBorders>
              <w:top w:val="single" w:sz="2" w:space="0" w:color="808080" w:themeColor="background1" w:themeShade="80"/>
              <w:bottom w:val="single" w:sz="2" w:space="0" w:color="808080" w:themeColor="background1" w:themeShade="80"/>
            </w:tcBorders>
            <w:vAlign w:val="center"/>
          </w:tcPr>
          <w:p w14:paraId="48E3681D" w14:textId="687C8088" w:rsidR="00D768EA" w:rsidRPr="001D6913" w:rsidRDefault="00D768EA" w:rsidP="00AD2662">
            <w:pPr>
              <w:pStyle w:val="Tabletext"/>
            </w:pPr>
            <w:r w:rsidRPr="001D6913">
              <w:t xml:space="preserve">Onkaparinga </w:t>
            </w:r>
          </w:p>
        </w:tc>
        <w:tc>
          <w:tcPr>
            <w:tcW w:w="460" w:type="pct"/>
            <w:tcBorders>
              <w:top w:val="single" w:sz="2" w:space="0" w:color="808080" w:themeColor="background1" w:themeShade="80"/>
              <w:bottom w:val="single" w:sz="2" w:space="0" w:color="808080" w:themeColor="background1" w:themeShade="80"/>
            </w:tcBorders>
            <w:vAlign w:val="center"/>
          </w:tcPr>
          <w:p w14:paraId="571E095C" w14:textId="73C05334" w:rsidR="00D768EA" w:rsidRPr="001D6913" w:rsidRDefault="00D768EA"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3659ECAF" w14:textId="586884F4" w:rsidR="00D768EA" w:rsidRPr="001D6913" w:rsidRDefault="00D768EA" w:rsidP="00AD2662">
            <w:pPr>
              <w:pStyle w:val="Tabletext"/>
            </w:pPr>
            <w:r w:rsidRPr="001D6913">
              <w:t>Adelaide</w:t>
            </w:r>
          </w:p>
        </w:tc>
        <w:tc>
          <w:tcPr>
            <w:tcW w:w="860" w:type="pct"/>
            <w:tcBorders>
              <w:top w:val="single" w:sz="2" w:space="0" w:color="808080" w:themeColor="background1" w:themeShade="80"/>
              <w:bottom w:val="single" w:sz="2" w:space="0" w:color="808080" w:themeColor="background1" w:themeShade="80"/>
            </w:tcBorders>
            <w:vAlign w:val="center"/>
          </w:tcPr>
          <w:p w14:paraId="1D6084EF" w14:textId="1EF2AFCC"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2D9BC62" w14:textId="21643C0D" w:rsidR="00D768EA" w:rsidRPr="001D6913" w:rsidRDefault="00FB1CD1" w:rsidP="00AD2662">
            <w:pPr>
              <w:pStyle w:val="Tabletext"/>
            </w:pPr>
            <w:r>
              <w:t xml:space="preserve">May </w:t>
            </w:r>
            <w:r w:rsidR="00D768EA" w:rsidRPr="001D6913">
              <w:t>2012</w:t>
            </w:r>
          </w:p>
        </w:tc>
        <w:tc>
          <w:tcPr>
            <w:tcW w:w="856" w:type="pct"/>
            <w:tcBorders>
              <w:top w:val="single" w:sz="2" w:space="0" w:color="808080" w:themeColor="background1" w:themeShade="80"/>
              <w:bottom w:val="single" w:sz="2" w:space="0" w:color="808080" w:themeColor="background1" w:themeShade="80"/>
            </w:tcBorders>
            <w:vAlign w:val="center"/>
          </w:tcPr>
          <w:p w14:paraId="120319D1" w14:textId="6B2ADDB3" w:rsidR="00BF7AA8" w:rsidRPr="00763927" w:rsidRDefault="00BF7AA8" w:rsidP="00AD2662">
            <w:pPr>
              <w:pStyle w:val="Tabletext"/>
            </w:pPr>
            <w:r w:rsidRPr="00763927">
              <w:t>All analysis</w:t>
            </w:r>
          </w:p>
        </w:tc>
      </w:tr>
      <w:tr w:rsidR="00D768EA" w14:paraId="13A69626" w14:textId="34BB2F25" w:rsidTr="00AD2662">
        <w:tc>
          <w:tcPr>
            <w:tcW w:w="838" w:type="pct"/>
            <w:tcBorders>
              <w:top w:val="single" w:sz="2" w:space="0" w:color="808080" w:themeColor="background1" w:themeShade="80"/>
              <w:bottom w:val="single" w:sz="2" w:space="0" w:color="808080" w:themeColor="background1" w:themeShade="80"/>
            </w:tcBorders>
            <w:vAlign w:val="center"/>
          </w:tcPr>
          <w:p w14:paraId="793298DE" w14:textId="0B5BDCAB" w:rsidR="00D768EA" w:rsidRPr="001D6913" w:rsidRDefault="00D768EA" w:rsidP="00AD2662">
            <w:pPr>
              <w:pStyle w:val="Tabletext"/>
            </w:pPr>
            <w:r w:rsidRPr="001D6913">
              <w:t>Orange</w:t>
            </w:r>
          </w:p>
        </w:tc>
        <w:tc>
          <w:tcPr>
            <w:tcW w:w="460" w:type="pct"/>
            <w:tcBorders>
              <w:top w:val="single" w:sz="2" w:space="0" w:color="808080" w:themeColor="background1" w:themeShade="80"/>
              <w:bottom w:val="single" w:sz="2" w:space="0" w:color="808080" w:themeColor="background1" w:themeShade="80"/>
            </w:tcBorders>
            <w:vAlign w:val="center"/>
          </w:tcPr>
          <w:p w14:paraId="251F852B" w14:textId="3444F76A"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45449AA9" w14:textId="3CC16E11" w:rsidR="00D768EA" w:rsidRPr="001D6913" w:rsidRDefault="00D768EA" w:rsidP="00AD2662">
            <w:pPr>
              <w:pStyle w:val="Tabletext"/>
            </w:pPr>
            <w:r w:rsidRPr="001D6913">
              <w:t>Western NSW</w:t>
            </w:r>
          </w:p>
        </w:tc>
        <w:tc>
          <w:tcPr>
            <w:tcW w:w="860" w:type="pct"/>
            <w:tcBorders>
              <w:top w:val="single" w:sz="2" w:space="0" w:color="808080" w:themeColor="background1" w:themeShade="80"/>
              <w:bottom w:val="single" w:sz="2" w:space="0" w:color="808080" w:themeColor="background1" w:themeShade="80"/>
            </w:tcBorders>
            <w:vAlign w:val="center"/>
          </w:tcPr>
          <w:p w14:paraId="0AF661BD" w14:textId="5F4EF8F4"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3EE2FA4" w14:textId="7ED6A149" w:rsidR="00D768EA" w:rsidRPr="001D6913" w:rsidRDefault="00FB1CD1" w:rsidP="00AD2662">
            <w:pPr>
              <w:pStyle w:val="Tabletext"/>
            </w:pPr>
            <w:r>
              <w:t xml:space="preserve">January </w:t>
            </w:r>
            <w:r w:rsidR="00D768EA"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3573A0F1" w14:textId="66881EC6" w:rsidR="00BF7AA8" w:rsidRPr="00763927" w:rsidRDefault="00BF7AA8" w:rsidP="00AD2662">
            <w:pPr>
              <w:pStyle w:val="Tabletext"/>
            </w:pPr>
            <w:r w:rsidRPr="00763927">
              <w:t>All analysis</w:t>
            </w:r>
          </w:p>
        </w:tc>
      </w:tr>
      <w:tr w:rsidR="00D768EA" w14:paraId="49A31631" w14:textId="61AB879D" w:rsidTr="00AD2662">
        <w:tc>
          <w:tcPr>
            <w:tcW w:w="838" w:type="pct"/>
            <w:tcBorders>
              <w:top w:val="single" w:sz="2" w:space="0" w:color="808080" w:themeColor="background1" w:themeShade="80"/>
              <w:bottom w:val="single" w:sz="2" w:space="0" w:color="808080" w:themeColor="background1" w:themeShade="80"/>
            </w:tcBorders>
            <w:vAlign w:val="center"/>
          </w:tcPr>
          <w:p w14:paraId="038E2F4A" w14:textId="1A4DD132" w:rsidR="00D768EA" w:rsidRPr="001D6913" w:rsidRDefault="00D768EA" w:rsidP="00AD2662">
            <w:pPr>
              <w:pStyle w:val="Tabletext"/>
            </w:pPr>
            <w:r w:rsidRPr="001D6913">
              <w:t>Osborne Park</w:t>
            </w:r>
          </w:p>
        </w:tc>
        <w:tc>
          <w:tcPr>
            <w:tcW w:w="460" w:type="pct"/>
            <w:tcBorders>
              <w:top w:val="single" w:sz="2" w:space="0" w:color="808080" w:themeColor="background1" w:themeShade="80"/>
              <w:bottom w:val="single" w:sz="2" w:space="0" w:color="808080" w:themeColor="background1" w:themeShade="80"/>
            </w:tcBorders>
            <w:vAlign w:val="center"/>
          </w:tcPr>
          <w:p w14:paraId="00B8D618" w14:textId="54D46B5B" w:rsidR="00D768EA" w:rsidRPr="001D6913" w:rsidRDefault="00D768EA"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4DFA10A3" w14:textId="63A84B74" w:rsidR="00D768EA" w:rsidRPr="001D6913" w:rsidRDefault="00D768EA" w:rsidP="00AD2662">
            <w:pPr>
              <w:pStyle w:val="Tabletext"/>
            </w:pPr>
            <w:r w:rsidRPr="001D6913">
              <w:t>Perth North</w:t>
            </w:r>
          </w:p>
        </w:tc>
        <w:tc>
          <w:tcPr>
            <w:tcW w:w="860" w:type="pct"/>
            <w:tcBorders>
              <w:top w:val="single" w:sz="2" w:space="0" w:color="808080" w:themeColor="background1" w:themeShade="80"/>
              <w:bottom w:val="single" w:sz="2" w:space="0" w:color="808080" w:themeColor="background1" w:themeShade="80"/>
            </w:tcBorders>
            <w:vAlign w:val="center"/>
          </w:tcPr>
          <w:p w14:paraId="040F06FA" w14:textId="73B18C4B" w:rsidR="00BF7AA8" w:rsidRPr="008D7D7D" w:rsidRDefault="00BF7AA8" w:rsidP="00AD2662">
            <w:pPr>
              <w:pStyle w:val="Tabletext"/>
            </w:pPr>
            <w:r w:rsidRPr="008D7D7D">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D5D26B8" w14:textId="0CC531AA" w:rsidR="00D768EA" w:rsidRPr="001D6913" w:rsidRDefault="00FB1CD1" w:rsidP="00AD2662">
            <w:pPr>
              <w:pStyle w:val="Tabletext"/>
            </w:pPr>
            <w:r>
              <w:t>February 2012</w:t>
            </w:r>
          </w:p>
        </w:tc>
        <w:tc>
          <w:tcPr>
            <w:tcW w:w="856" w:type="pct"/>
            <w:tcBorders>
              <w:top w:val="single" w:sz="2" w:space="0" w:color="808080" w:themeColor="background1" w:themeShade="80"/>
              <w:bottom w:val="single" w:sz="2" w:space="0" w:color="808080" w:themeColor="background1" w:themeShade="80"/>
            </w:tcBorders>
            <w:vAlign w:val="center"/>
          </w:tcPr>
          <w:p w14:paraId="7B933364" w14:textId="0F1190C9" w:rsidR="00BF7AA8" w:rsidRPr="00763927" w:rsidRDefault="00BF7AA8" w:rsidP="00AD2662">
            <w:pPr>
              <w:pStyle w:val="Tabletext"/>
            </w:pPr>
            <w:r w:rsidRPr="00763927">
              <w:t>All analysis</w:t>
            </w:r>
          </w:p>
        </w:tc>
      </w:tr>
      <w:tr w:rsidR="00D768EA" w14:paraId="27497B1C" w14:textId="164998D8" w:rsidTr="00AD2662">
        <w:tc>
          <w:tcPr>
            <w:tcW w:w="838" w:type="pct"/>
            <w:tcBorders>
              <w:top w:val="single" w:sz="2" w:space="0" w:color="808080" w:themeColor="background1" w:themeShade="80"/>
              <w:bottom w:val="single" w:sz="2" w:space="0" w:color="808080" w:themeColor="background1" w:themeShade="80"/>
            </w:tcBorders>
            <w:vAlign w:val="center"/>
          </w:tcPr>
          <w:p w14:paraId="13074421" w14:textId="7B6EFC81" w:rsidR="00D768EA" w:rsidRPr="001D6913" w:rsidRDefault="00D768EA" w:rsidP="00AD2662">
            <w:pPr>
              <w:pStyle w:val="Tabletext"/>
            </w:pPr>
            <w:r w:rsidRPr="001D6913">
              <w:t>Parramatta</w:t>
            </w:r>
          </w:p>
        </w:tc>
        <w:tc>
          <w:tcPr>
            <w:tcW w:w="460" w:type="pct"/>
            <w:tcBorders>
              <w:top w:val="single" w:sz="2" w:space="0" w:color="808080" w:themeColor="background1" w:themeShade="80"/>
              <w:bottom w:val="single" w:sz="2" w:space="0" w:color="808080" w:themeColor="background1" w:themeShade="80"/>
            </w:tcBorders>
            <w:vAlign w:val="center"/>
          </w:tcPr>
          <w:p w14:paraId="18CD7424" w14:textId="742777B1"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1CED4DDD" w14:textId="4A6393B5" w:rsidR="00D768EA" w:rsidRPr="001D6913" w:rsidRDefault="00D768EA" w:rsidP="00AD2662">
            <w:pPr>
              <w:pStyle w:val="Tabletext"/>
            </w:pPr>
            <w:r w:rsidRPr="001D6913">
              <w:t>Western Sydney</w:t>
            </w:r>
          </w:p>
        </w:tc>
        <w:tc>
          <w:tcPr>
            <w:tcW w:w="860" w:type="pct"/>
            <w:tcBorders>
              <w:top w:val="single" w:sz="2" w:space="0" w:color="808080" w:themeColor="background1" w:themeShade="80"/>
              <w:bottom w:val="single" w:sz="2" w:space="0" w:color="808080" w:themeColor="background1" w:themeShade="80"/>
            </w:tcBorders>
            <w:vAlign w:val="center"/>
          </w:tcPr>
          <w:p w14:paraId="638BC269" w14:textId="75F7B04E" w:rsidR="00BF7AA8" w:rsidRPr="00775B56" w:rsidRDefault="00BF7AA8" w:rsidP="00AD2662">
            <w:pPr>
              <w:pStyle w:val="Tabletext"/>
            </w:pPr>
            <w:r w:rsidRPr="00775B5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6D0E762" w14:textId="5E18413E" w:rsidR="00D768EA" w:rsidRPr="001D6913" w:rsidRDefault="00FB1CD1" w:rsidP="00AD2662">
            <w:pPr>
              <w:pStyle w:val="Tabletext"/>
            </w:pPr>
            <w:r>
              <w:t xml:space="preserve">January </w:t>
            </w:r>
            <w:r w:rsidR="00D768EA" w:rsidRPr="001D6913">
              <w:t>2012</w:t>
            </w:r>
          </w:p>
        </w:tc>
        <w:tc>
          <w:tcPr>
            <w:tcW w:w="856" w:type="pct"/>
            <w:tcBorders>
              <w:top w:val="single" w:sz="2" w:space="0" w:color="808080" w:themeColor="background1" w:themeShade="80"/>
              <w:bottom w:val="single" w:sz="2" w:space="0" w:color="808080" w:themeColor="background1" w:themeShade="80"/>
            </w:tcBorders>
            <w:vAlign w:val="center"/>
          </w:tcPr>
          <w:p w14:paraId="0AB3A0FC" w14:textId="7974BD04" w:rsidR="00BF7AA8" w:rsidRPr="00E07298" w:rsidRDefault="00BF7AA8" w:rsidP="00AD2662">
            <w:pPr>
              <w:pStyle w:val="Tabletext"/>
            </w:pPr>
            <w:r w:rsidRPr="00E07298">
              <w:t>All analysis</w:t>
            </w:r>
          </w:p>
        </w:tc>
      </w:tr>
      <w:tr w:rsidR="00D768EA" w14:paraId="2F3B004B" w14:textId="6EFE6756" w:rsidTr="00AD2662">
        <w:tc>
          <w:tcPr>
            <w:tcW w:w="838" w:type="pct"/>
            <w:tcBorders>
              <w:top w:val="single" w:sz="2" w:space="0" w:color="808080" w:themeColor="background1" w:themeShade="80"/>
              <w:bottom w:val="single" w:sz="2" w:space="0" w:color="808080" w:themeColor="background1" w:themeShade="80"/>
            </w:tcBorders>
            <w:vAlign w:val="center"/>
          </w:tcPr>
          <w:p w14:paraId="4904B936" w14:textId="1F20ABFF" w:rsidR="00D768EA" w:rsidRPr="001D6913" w:rsidRDefault="00D768EA" w:rsidP="00AD2662">
            <w:pPr>
              <w:pStyle w:val="Tabletext"/>
            </w:pPr>
            <w:r w:rsidRPr="001D6913">
              <w:t>Penrith</w:t>
            </w:r>
          </w:p>
        </w:tc>
        <w:tc>
          <w:tcPr>
            <w:tcW w:w="460" w:type="pct"/>
            <w:tcBorders>
              <w:top w:val="single" w:sz="2" w:space="0" w:color="808080" w:themeColor="background1" w:themeShade="80"/>
              <w:bottom w:val="single" w:sz="2" w:space="0" w:color="808080" w:themeColor="background1" w:themeShade="80"/>
            </w:tcBorders>
            <w:vAlign w:val="center"/>
          </w:tcPr>
          <w:p w14:paraId="554236DD" w14:textId="2927C840"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683FABDA" w14:textId="6926562D" w:rsidR="00D768EA" w:rsidRPr="001D6913" w:rsidRDefault="00D768EA" w:rsidP="00AD2662">
            <w:pPr>
              <w:pStyle w:val="Tabletext"/>
            </w:pPr>
            <w:r w:rsidRPr="001D6913">
              <w:t>Nepean Blue Mountains</w:t>
            </w:r>
          </w:p>
        </w:tc>
        <w:tc>
          <w:tcPr>
            <w:tcW w:w="860" w:type="pct"/>
            <w:tcBorders>
              <w:top w:val="single" w:sz="2" w:space="0" w:color="808080" w:themeColor="background1" w:themeShade="80"/>
              <w:bottom w:val="single" w:sz="2" w:space="0" w:color="808080" w:themeColor="background1" w:themeShade="80"/>
            </w:tcBorders>
            <w:vAlign w:val="center"/>
          </w:tcPr>
          <w:p w14:paraId="0F255DCB" w14:textId="3A339693" w:rsidR="00BF7AA8" w:rsidRPr="00775B56" w:rsidRDefault="00BF7AA8" w:rsidP="00AD2662">
            <w:pPr>
              <w:pStyle w:val="Tabletext"/>
            </w:pPr>
            <w:r w:rsidRPr="00775B5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DB0B5CA" w14:textId="60CC0D41" w:rsidR="00D768EA" w:rsidRPr="001D6913" w:rsidRDefault="00FB1CD1" w:rsidP="00AD2662">
            <w:pPr>
              <w:pStyle w:val="Tabletext"/>
            </w:pPr>
            <w:r>
              <w:t xml:space="preserve">May </w:t>
            </w:r>
            <w:r w:rsidR="00D768EA"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606B5918" w14:textId="0E842D87" w:rsidR="00BF7AA8" w:rsidRPr="00E07298" w:rsidRDefault="00BF7AA8" w:rsidP="00AD2662">
            <w:pPr>
              <w:pStyle w:val="Tabletext"/>
            </w:pPr>
            <w:r w:rsidRPr="00E07298">
              <w:t>All analysis</w:t>
            </w:r>
          </w:p>
        </w:tc>
      </w:tr>
      <w:tr w:rsidR="00D768EA" w14:paraId="44DE191A" w14:textId="14B69631" w:rsidTr="00AD2662">
        <w:tc>
          <w:tcPr>
            <w:tcW w:w="838" w:type="pct"/>
            <w:tcBorders>
              <w:top w:val="single" w:sz="2" w:space="0" w:color="808080" w:themeColor="background1" w:themeShade="80"/>
              <w:bottom w:val="single" w:sz="2" w:space="0" w:color="808080" w:themeColor="background1" w:themeShade="80"/>
            </w:tcBorders>
            <w:vAlign w:val="center"/>
          </w:tcPr>
          <w:p w14:paraId="0587051B" w14:textId="163BE3EF" w:rsidR="00D768EA" w:rsidRPr="001D6913" w:rsidRDefault="00D768EA" w:rsidP="00AD2662">
            <w:pPr>
              <w:pStyle w:val="Tabletext"/>
            </w:pPr>
            <w:r w:rsidRPr="001D6913">
              <w:t>Pilbara Regional Trial</w:t>
            </w:r>
            <w:r w:rsidR="00E77ECE">
              <w:t>*</w:t>
            </w:r>
          </w:p>
        </w:tc>
        <w:tc>
          <w:tcPr>
            <w:tcW w:w="460" w:type="pct"/>
            <w:tcBorders>
              <w:top w:val="single" w:sz="2" w:space="0" w:color="808080" w:themeColor="background1" w:themeShade="80"/>
              <w:bottom w:val="single" w:sz="2" w:space="0" w:color="808080" w:themeColor="background1" w:themeShade="80"/>
            </w:tcBorders>
            <w:vAlign w:val="center"/>
          </w:tcPr>
          <w:p w14:paraId="27DB97B4" w14:textId="7639F7F8" w:rsidR="00D768EA" w:rsidRPr="001D6913" w:rsidRDefault="00D768EA"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2E57A564" w14:textId="7EC4EADD" w:rsidR="00D768EA" w:rsidRPr="001D6913" w:rsidRDefault="00D768EA" w:rsidP="00AD2662">
            <w:pPr>
              <w:pStyle w:val="Tabletext"/>
            </w:pPr>
            <w:r w:rsidRPr="001D6913">
              <w:t>Country WA</w:t>
            </w:r>
          </w:p>
        </w:tc>
        <w:tc>
          <w:tcPr>
            <w:tcW w:w="860" w:type="pct"/>
            <w:tcBorders>
              <w:top w:val="single" w:sz="2" w:space="0" w:color="808080" w:themeColor="background1" w:themeShade="80"/>
              <w:bottom w:val="single" w:sz="2" w:space="0" w:color="808080" w:themeColor="background1" w:themeShade="80"/>
            </w:tcBorders>
            <w:vAlign w:val="center"/>
          </w:tcPr>
          <w:p w14:paraId="457F6915" w14:textId="1C904DFC" w:rsidR="00BF7AA8" w:rsidRDefault="00BF7AA8" w:rsidP="00AD2662">
            <w:pPr>
              <w:pStyle w:val="Tabletext"/>
            </w:pPr>
            <w:r>
              <w:t>Outreach/Regional Trial</w:t>
            </w:r>
          </w:p>
        </w:tc>
        <w:tc>
          <w:tcPr>
            <w:tcW w:w="859" w:type="pct"/>
            <w:tcBorders>
              <w:top w:val="single" w:sz="2" w:space="0" w:color="808080" w:themeColor="background1" w:themeShade="80"/>
              <w:bottom w:val="single" w:sz="2" w:space="0" w:color="808080" w:themeColor="background1" w:themeShade="80"/>
            </w:tcBorders>
            <w:vAlign w:val="center"/>
          </w:tcPr>
          <w:p w14:paraId="7370AE5D" w14:textId="536E31F5" w:rsidR="00D768EA" w:rsidRPr="001D6913" w:rsidRDefault="00FB1CD1" w:rsidP="00AD2662">
            <w:pPr>
              <w:pStyle w:val="Tabletext"/>
            </w:pPr>
            <w:r>
              <w:t xml:space="preserve">May </w:t>
            </w:r>
            <w:r w:rsidR="00D768EA" w:rsidRPr="001D6913">
              <w:t>2018</w:t>
            </w:r>
          </w:p>
        </w:tc>
        <w:tc>
          <w:tcPr>
            <w:tcW w:w="856" w:type="pct"/>
            <w:tcBorders>
              <w:top w:val="single" w:sz="2" w:space="0" w:color="808080" w:themeColor="background1" w:themeShade="80"/>
              <w:bottom w:val="single" w:sz="2" w:space="0" w:color="808080" w:themeColor="background1" w:themeShade="80"/>
            </w:tcBorders>
            <w:vAlign w:val="center"/>
          </w:tcPr>
          <w:p w14:paraId="529297D3" w14:textId="7FD35D3F" w:rsidR="00BF7AA8" w:rsidRPr="00E07298" w:rsidRDefault="00BF7AA8" w:rsidP="00AD2662">
            <w:pPr>
              <w:pStyle w:val="Tabletext"/>
            </w:pPr>
            <w:r w:rsidRPr="00E07298">
              <w:t>All analysis</w:t>
            </w:r>
          </w:p>
        </w:tc>
      </w:tr>
      <w:tr w:rsidR="00D768EA" w14:paraId="74C05EF1" w14:textId="61E9F6C5" w:rsidTr="00AD2662">
        <w:tc>
          <w:tcPr>
            <w:tcW w:w="838" w:type="pct"/>
            <w:tcBorders>
              <w:top w:val="single" w:sz="2" w:space="0" w:color="808080" w:themeColor="background1" w:themeShade="80"/>
              <w:bottom w:val="single" w:sz="2" w:space="0" w:color="808080" w:themeColor="background1" w:themeShade="80"/>
            </w:tcBorders>
            <w:vAlign w:val="center"/>
          </w:tcPr>
          <w:p w14:paraId="5302254D" w14:textId="24C5229A" w:rsidR="00D768EA" w:rsidRPr="001D6913" w:rsidRDefault="00D768EA" w:rsidP="00AD2662">
            <w:pPr>
              <w:pStyle w:val="Tabletext"/>
            </w:pPr>
            <w:r w:rsidRPr="001D6913">
              <w:t>Port Adelaide</w:t>
            </w:r>
          </w:p>
        </w:tc>
        <w:tc>
          <w:tcPr>
            <w:tcW w:w="460" w:type="pct"/>
            <w:tcBorders>
              <w:top w:val="single" w:sz="2" w:space="0" w:color="808080" w:themeColor="background1" w:themeShade="80"/>
              <w:bottom w:val="single" w:sz="2" w:space="0" w:color="808080" w:themeColor="background1" w:themeShade="80"/>
            </w:tcBorders>
            <w:vAlign w:val="center"/>
          </w:tcPr>
          <w:p w14:paraId="145DEAB2" w14:textId="28EAD231" w:rsidR="00D768EA" w:rsidRPr="001D6913" w:rsidRDefault="00D768EA"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72015B78" w14:textId="63731D6A" w:rsidR="00D768EA" w:rsidRPr="001D6913" w:rsidRDefault="00D768EA" w:rsidP="00AD2662">
            <w:pPr>
              <w:pStyle w:val="Tabletext"/>
            </w:pPr>
            <w:r w:rsidRPr="001D6913">
              <w:t>Adelaide</w:t>
            </w:r>
          </w:p>
        </w:tc>
        <w:tc>
          <w:tcPr>
            <w:tcW w:w="860" w:type="pct"/>
            <w:tcBorders>
              <w:top w:val="single" w:sz="2" w:space="0" w:color="808080" w:themeColor="background1" w:themeShade="80"/>
              <w:bottom w:val="single" w:sz="2" w:space="0" w:color="808080" w:themeColor="background1" w:themeShade="80"/>
            </w:tcBorders>
            <w:vAlign w:val="center"/>
          </w:tcPr>
          <w:p w14:paraId="65500564" w14:textId="544A3782" w:rsidR="00BF7AA8" w:rsidRPr="00775B56" w:rsidRDefault="00BF7AA8" w:rsidP="00AD2662">
            <w:pPr>
              <w:pStyle w:val="Tabletext"/>
            </w:pPr>
            <w:r w:rsidRPr="00775B5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91EFC43" w14:textId="1AB9CF3D" w:rsidR="00D768EA" w:rsidRPr="001D6913" w:rsidRDefault="00FB1CD1" w:rsidP="00AD2662">
            <w:pPr>
              <w:pStyle w:val="Tabletext"/>
            </w:pPr>
            <w:r>
              <w:t xml:space="preserve">April </w:t>
            </w:r>
            <w:r w:rsidR="00D768EA" w:rsidRPr="001D6913">
              <w:t>2015</w:t>
            </w:r>
          </w:p>
        </w:tc>
        <w:tc>
          <w:tcPr>
            <w:tcW w:w="856" w:type="pct"/>
            <w:tcBorders>
              <w:top w:val="single" w:sz="2" w:space="0" w:color="808080" w:themeColor="background1" w:themeShade="80"/>
              <w:bottom w:val="single" w:sz="2" w:space="0" w:color="808080" w:themeColor="background1" w:themeShade="80"/>
            </w:tcBorders>
            <w:vAlign w:val="center"/>
          </w:tcPr>
          <w:p w14:paraId="20C45C87" w14:textId="6AAD257B" w:rsidR="00BF7AA8" w:rsidRPr="00E07298" w:rsidRDefault="00BF7AA8" w:rsidP="00AD2662">
            <w:pPr>
              <w:pStyle w:val="Tabletext"/>
            </w:pPr>
            <w:r w:rsidRPr="00E07298">
              <w:t>All analysis</w:t>
            </w:r>
          </w:p>
        </w:tc>
      </w:tr>
      <w:tr w:rsidR="00D768EA" w14:paraId="7144ED44" w14:textId="6A5D02AC" w:rsidTr="00AD2662">
        <w:tc>
          <w:tcPr>
            <w:tcW w:w="838" w:type="pct"/>
            <w:tcBorders>
              <w:top w:val="single" w:sz="2" w:space="0" w:color="808080" w:themeColor="background1" w:themeShade="80"/>
              <w:bottom w:val="single" w:sz="2" w:space="0" w:color="808080" w:themeColor="background1" w:themeShade="80"/>
            </w:tcBorders>
            <w:vAlign w:val="center"/>
          </w:tcPr>
          <w:p w14:paraId="3064061A" w14:textId="39CD4649" w:rsidR="00D768EA" w:rsidRPr="001D6913" w:rsidRDefault="00D768EA" w:rsidP="00AD2662">
            <w:pPr>
              <w:pStyle w:val="Tabletext"/>
            </w:pPr>
            <w:r w:rsidRPr="001D6913">
              <w:t>Port Augusta</w:t>
            </w:r>
          </w:p>
        </w:tc>
        <w:tc>
          <w:tcPr>
            <w:tcW w:w="460" w:type="pct"/>
            <w:tcBorders>
              <w:top w:val="single" w:sz="2" w:space="0" w:color="808080" w:themeColor="background1" w:themeShade="80"/>
              <w:bottom w:val="single" w:sz="2" w:space="0" w:color="808080" w:themeColor="background1" w:themeShade="80"/>
            </w:tcBorders>
            <w:vAlign w:val="center"/>
          </w:tcPr>
          <w:p w14:paraId="084ADE3A" w14:textId="538E6742" w:rsidR="00D768EA" w:rsidRPr="001D6913" w:rsidRDefault="00D768EA"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3B3C1530" w14:textId="523C5289" w:rsidR="00D768EA" w:rsidRPr="001D6913" w:rsidRDefault="00D768EA" w:rsidP="00AD2662">
            <w:pPr>
              <w:pStyle w:val="Tabletext"/>
            </w:pPr>
            <w:r w:rsidRPr="001D6913">
              <w:t>Country SA</w:t>
            </w:r>
          </w:p>
        </w:tc>
        <w:tc>
          <w:tcPr>
            <w:tcW w:w="860" w:type="pct"/>
            <w:tcBorders>
              <w:top w:val="single" w:sz="2" w:space="0" w:color="808080" w:themeColor="background1" w:themeShade="80"/>
              <w:bottom w:val="single" w:sz="2" w:space="0" w:color="808080" w:themeColor="background1" w:themeShade="80"/>
            </w:tcBorders>
            <w:vAlign w:val="center"/>
          </w:tcPr>
          <w:p w14:paraId="28D9AF18" w14:textId="3E40571C" w:rsidR="00BF7AA8" w:rsidRPr="00775B56" w:rsidRDefault="00BF7AA8" w:rsidP="00AD2662">
            <w:pPr>
              <w:pStyle w:val="Tabletext"/>
            </w:pPr>
            <w:r w:rsidRPr="00775B5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B059C2C" w14:textId="5A87DA97" w:rsidR="00D768EA" w:rsidRPr="001D6913" w:rsidRDefault="00FB1CD1" w:rsidP="00AD2662">
            <w:pPr>
              <w:pStyle w:val="Tabletext"/>
            </w:pPr>
            <w:r>
              <w:t xml:space="preserve">April </w:t>
            </w:r>
            <w:r w:rsidR="00D768EA"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1D8855AD" w14:textId="0F83D998" w:rsidR="00BF7AA8" w:rsidRPr="00E07298" w:rsidRDefault="00BF7AA8" w:rsidP="00AD2662">
            <w:pPr>
              <w:pStyle w:val="Tabletext"/>
            </w:pPr>
            <w:r w:rsidRPr="00E07298">
              <w:t>All analysis</w:t>
            </w:r>
          </w:p>
        </w:tc>
      </w:tr>
      <w:tr w:rsidR="00D768EA" w14:paraId="06AF3445" w14:textId="1658764D" w:rsidTr="00AD2662">
        <w:tc>
          <w:tcPr>
            <w:tcW w:w="838" w:type="pct"/>
            <w:tcBorders>
              <w:top w:val="single" w:sz="2" w:space="0" w:color="808080" w:themeColor="background1" w:themeShade="80"/>
              <w:bottom w:val="single" w:sz="2" w:space="0" w:color="808080" w:themeColor="background1" w:themeShade="80"/>
            </w:tcBorders>
            <w:vAlign w:val="center"/>
          </w:tcPr>
          <w:p w14:paraId="7C4F4D20" w14:textId="130E3E48" w:rsidR="00D768EA" w:rsidRPr="001D6913" w:rsidRDefault="00D768EA" w:rsidP="00AD2662">
            <w:pPr>
              <w:pStyle w:val="Tabletext"/>
            </w:pPr>
            <w:r w:rsidRPr="001D6913">
              <w:t>Port Macquarie</w:t>
            </w:r>
          </w:p>
        </w:tc>
        <w:tc>
          <w:tcPr>
            <w:tcW w:w="460" w:type="pct"/>
            <w:tcBorders>
              <w:top w:val="single" w:sz="2" w:space="0" w:color="808080" w:themeColor="background1" w:themeShade="80"/>
              <w:bottom w:val="single" w:sz="2" w:space="0" w:color="808080" w:themeColor="background1" w:themeShade="80"/>
            </w:tcBorders>
            <w:vAlign w:val="center"/>
          </w:tcPr>
          <w:p w14:paraId="094EB58C" w14:textId="191C376E"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2B976525" w14:textId="6F37223D" w:rsidR="00D768EA" w:rsidRPr="001D6913" w:rsidRDefault="00D768EA" w:rsidP="00AD2662">
            <w:pPr>
              <w:pStyle w:val="Tabletext"/>
            </w:pPr>
            <w:r w:rsidRPr="001D6913">
              <w:t>North Coast</w:t>
            </w:r>
          </w:p>
        </w:tc>
        <w:tc>
          <w:tcPr>
            <w:tcW w:w="860" w:type="pct"/>
            <w:tcBorders>
              <w:top w:val="single" w:sz="2" w:space="0" w:color="808080" w:themeColor="background1" w:themeShade="80"/>
              <w:bottom w:val="single" w:sz="2" w:space="0" w:color="808080" w:themeColor="background1" w:themeShade="80"/>
            </w:tcBorders>
            <w:vAlign w:val="center"/>
          </w:tcPr>
          <w:p w14:paraId="01E0D5D5" w14:textId="455AA1B1" w:rsidR="00BF7AA8" w:rsidRPr="00775B56" w:rsidRDefault="00BF7AA8" w:rsidP="00AD2662">
            <w:pPr>
              <w:pStyle w:val="Tabletext"/>
            </w:pPr>
            <w:r w:rsidRPr="00775B56">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A101980" w14:textId="4998B191" w:rsidR="00D768EA" w:rsidRPr="001D6913" w:rsidRDefault="00FB1CD1" w:rsidP="00AD2662">
            <w:pPr>
              <w:pStyle w:val="Tabletext"/>
            </w:pPr>
            <w:r>
              <w:t xml:space="preserve">January </w:t>
            </w:r>
            <w:r w:rsidR="00D768EA"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40635B25" w14:textId="503F6400" w:rsidR="00BF7AA8" w:rsidRPr="00E07298" w:rsidRDefault="00BF7AA8" w:rsidP="00AD2662">
            <w:pPr>
              <w:pStyle w:val="Tabletext"/>
            </w:pPr>
            <w:r w:rsidRPr="00E07298">
              <w:t>All analysis</w:t>
            </w:r>
          </w:p>
        </w:tc>
      </w:tr>
      <w:tr w:rsidR="00D768EA" w14:paraId="3963FBFE" w14:textId="6FCA9A22" w:rsidTr="00AD2662">
        <w:tc>
          <w:tcPr>
            <w:tcW w:w="838" w:type="pct"/>
            <w:tcBorders>
              <w:top w:val="single" w:sz="2" w:space="0" w:color="808080" w:themeColor="background1" w:themeShade="80"/>
              <w:bottom w:val="single" w:sz="2" w:space="0" w:color="808080" w:themeColor="background1" w:themeShade="80"/>
            </w:tcBorders>
            <w:vAlign w:val="center"/>
          </w:tcPr>
          <w:p w14:paraId="0A74FCB5" w14:textId="3136D7EE" w:rsidR="00D768EA" w:rsidRPr="001D6913" w:rsidRDefault="00D768EA" w:rsidP="00AD2662">
            <w:pPr>
              <w:pStyle w:val="Tabletext"/>
            </w:pPr>
            <w:r w:rsidRPr="001D6913">
              <w:t>Portland</w:t>
            </w:r>
          </w:p>
        </w:tc>
        <w:tc>
          <w:tcPr>
            <w:tcW w:w="460" w:type="pct"/>
            <w:tcBorders>
              <w:top w:val="single" w:sz="2" w:space="0" w:color="808080" w:themeColor="background1" w:themeShade="80"/>
              <w:bottom w:val="single" w:sz="2" w:space="0" w:color="808080" w:themeColor="background1" w:themeShade="80"/>
            </w:tcBorders>
            <w:vAlign w:val="center"/>
          </w:tcPr>
          <w:p w14:paraId="450F63BA" w14:textId="6A873260"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7A71A458" w14:textId="31298183" w:rsidR="00D768EA" w:rsidRPr="001D6913" w:rsidRDefault="00D768EA" w:rsidP="00AD2662">
            <w:pPr>
              <w:pStyle w:val="Tabletext"/>
            </w:pPr>
            <w:r w:rsidRPr="001D6913">
              <w:t>Western Victoria</w:t>
            </w:r>
          </w:p>
        </w:tc>
        <w:tc>
          <w:tcPr>
            <w:tcW w:w="860" w:type="pct"/>
            <w:tcBorders>
              <w:top w:val="single" w:sz="2" w:space="0" w:color="808080" w:themeColor="background1" w:themeShade="80"/>
              <w:bottom w:val="single" w:sz="2" w:space="0" w:color="808080" w:themeColor="background1" w:themeShade="80"/>
            </w:tcBorders>
            <w:vAlign w:val="center"/>
          </w:tcPr>
          <w:p w14:paraId="6F97C245" w14:textId="25E4DEA8" w:rsidR="00BF7AA8" w:rsidRDefault="00BF7AA8" w:rsidP="00AD2662">
            <w:pPr>
              <w:pStyle w:val="Tabletext"/>
            </w:pPr>
            <w:r>
              <w:t>Satellite from Warrnambool</w:t>
            </w:r>
          </w:p>
        </w:tc>
        <w:tc>
          <w:tcPr>
            <w:tcW w:w="859" w:type="pct"/>
            <w:tcBorders>
              <w:top w:val="single" w:sz="2" w:space="0" w:color="808080" w:themeColor="background1" w:themeShade="80"/>
              <w:bottom w:val="single" w:sz="2" w:space="0" w:color="808080" w:themeColor="background1" w:themeShade="80"/>
            </w:tcBorders>
            <w:vAlign w:val="center"/>
          </w:tcPr>
          <w:p w14:paraId="74BAB2A3" w14:textId="1D0BFA8D" w:rsidR="00D768EA" w:rsidRPr="001D6913" w:rsidRDefault="00FB1CD1" w:rsidP="00AD2662">
            <w:pPr>
              <w:pStyle w:val="Tabletext"/>
            </w:pPr>
            <w:r>
              <w:t xml:space="preserve">July </w:t>
            </w:r>
            <w:r w:rsidR="00D768EA" w:rsidRPr="001D6913">
              <w:t>2018</w:t>
            </w:r>
          </w:p>
        </w:tc>
        <w:tc>
          <w:tcPr>
            <w:tcW w:w="856" w:type="pct"/>
            <w:tcBorders>
              <w:top w:val="single" w:sz="2" w:space="0" w:color="808080" w:themeColor="background1" w:themeShade="80"/>
              <w:bottom w:val="single" w:sz="2" w:space="0" w:color="808080" w:themeColor="background1" w:themeShade="80"/>
            </w:tcBorders>
            <w:vAlign w:val="center"/>
          </w:tcPr>
          <w:p w14:paraId="2216AB21" w14:textId="2AEC2E4A" w:rsidR="00BF7AA8" w:rsidRPr="00E07298" w:rsidRDefault="00BF7AA8" w:rsidP="00AD2662">
            <w:pPr>
              <w:pStyle w:val="Tabletext"/>
            </w:pPr>
            <w:r w:rsidRPr="00E07298">
              <w:t>All analysis</w:t>
            </w:r>
          </w:p>
        </w:tc>
      </w:tr>
      <w:tr w:rsidR="00D768EA" w14:paraId="2A739D3D" w14:textId="6A1F17B7" w:rsidTr="00AD2662">
        <w:tc>
          <w:tcPr>
            <w:tcW w:w="838" w:type="pct"/>
            <w:tcBorders>
              <w:top w:val="single" w:sz="2" w:space="0" w:color="808080" w:themeColor="background1" w:themeShade="80"/>
              <w:bottom w:val="single" w:sz="2" w:space="0" w:color="808080" w:themeColor="background1" w:themeShade="80"/>
            </w:tcBorders>
            <w:vAlign w:val="center"/>
          </w:tcPr>
          <w:p w14:paraId="33CCCFB1" w14:textId="2BF96679" w:rsidR="00D768EA" w:rsidRPr="001D6913" w:rsidRDefault="00D768EA" w:rsidP="00AD2662">
            <w:pPr>
              <w:pStyle w:val="Tabletext"/>
            </w:pPr>
            <w:r w:rsidRPr="001D6913">
              <w:t>Queanbeyan</w:t>
            </w:r>
          </w:p>
        </w:tc>
        <w:tc>
          <w:tcPr>
            <w:tcW w:w="460" w:type="pct"/>
            <w:tcBorders>
              <w:top w:val="single" w:sz="2" w:space="0" w:color="808080" w:themeColor="background1" w:themeShade="80"/>
              <w:bottom w:val="single" w:sz="2" w:space="0" w:color="808080" w:themeColor="background1" w:themeShade="80"/>
            </w:tcBorders>
            <w:vAlign w:val="center"/>
          </w:tcPr>
          <w:p w14:paraId="5348764B" w14:textId="5FA48EA6"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1DEEEF8B" w14:textId="205A421A" w:rsidR="00D768EA" w:rsidRPr="001D6913" w:rsidRDefault="00D768EA" w:rsidP="00AD2662">
            <w:pPr>
              <w:pStyle w:val="Tabletext"/>
            </w:pPr>
            <w:r w:rsidRPr="001D6913">
              <w:t>South Eastern NSW</w:t>
            </w:r>
          </w:p>
        </w:tc>
        <w:tc>
          <w:tcPr>
            <w:tcW w:w="860" w:type="pct"/>
            <w:tcBorders>
              <w:top w:val="single" w:sz="2" w:space="0" w:color="808080" w:themeColor="background1" w:themeShade="80"/>
              <w:bottom w:val="single" w:sz="2" w:space="0" w:color="808080" w:themeColor="background1" w:themeShade="80"/>
            </w:tcBorders>
            <w:vAlign w:val="center"/>
          </w:tcPr>
          <w:p w14:paraId="1AD7D769" w14:textId="01BE46A4" w:rsidR="00BF7AA8" w:rsidRPr="00D069B3" w:rsidRDefault="00BF7AA8" w:rsidP="00AD2662">
            <w:pPr>
              <w:pStyle w:val="Tabletext"/>
            </w:pPr>
            <w:r w:rsidRPr="00D069B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7268683B" w14:textId="05A15F76" w:rsidR="00D768EA" w:rsidRPr="001D6913" w:rsidRDefault="00FB1CD1" w:rsidP="00AD2662">
            <w:pPr>
              <w:pStyle w:val="Tabletext"/>
            </w:pPr>
            <w:r>
              <w:t xml:space="preserve">April </w:t>
            </w:r>
            <w:r w:rsidR="00D768EA" w:rsidRPr="001D6913">
              <w:t>2015</w:t>
            </w:r>
          </w:p>
        </w:tc>
        <w:tc>
          <w:tcPr>
            <w:tcW w:w="856" w:type="pct"/>
            <w:tcBorders>
              <w:top w:val="single" w:sz="2" w:space="0" w:color="808080" w:themeColor="background1" w:themeShade="80"/>
              <w:bottom w:val="single" w:sz="2" w:space="0" w:color="808080" w:themeColor="background1" w:themeShade="80"/>
            </w:tcBorders>
            <w:vAlign w:val="center"/>
          </w:tcPr>
          <w:p w14:paraId="6131588A" w14:textId="41B8A200" w:rsidR="00BF7AA8" w:rsidRPr="00E07298" w:rsidRDefault="00BF7AA8" w:rsidP="00AD2662">
            <w:pPr>
              <w:pStyle w:val="Tabletext"/>
            </w:pPr>
            <w:r w:rsidRPr="00E07298">
              <w:t>All analysis</w:t>
            </w:r>
          </w:p>
        </w:tc>
      </w:tr>
      <w:tr w:rsidR="00D768EA" w14:paraId="559F8016" w14:textId="67948288" w:rsidTr="00AD2662">
        <w:tc>
          <w:tcPr>
            <w:tcW w:w="838" w:type="pct"/>
            <w:tcBorders>
              <w:top w:val="single" w:sz="2" w:space="0" w:color="808080" w:themeColor="background1" w:themeShade="80"/>
              <w:bottom w:val="single" w:sz="2" w:space="0" w:color="808080" w:themeColor="background1" w:themeShade="80"/>
            </w:tcBorders>
            <w:vAlign w:val="center"/>
          </w:tcPr>
          <w:p w14:paraId="6C89BA43" w14:textId="19DCF56B" w:rsidR="00D768EA" w:rsidRPr="001D6913" w:rsidRDefault="00D768EA" w:rsidP="00AD2662">
            <w:pPr>
              <w:pStyle w:val="Tabletext"/>
            </w:pPr>
            <w:r w:rsidRPr="001D6913">
              <w:t>Redcliffe</w:t>
            </w:r>
          </w:p>
        </w:tc>
        <w:tc>
          <w:tcPr>
            <w:tcW w:w="460" w:type="pct"/>
            <w:tcBorders>
              <w:top w:val="single" w:sz="2" w:space="0" w:color="808080" w:themeColor="background1" w:themeShade="80"/>
              <w:bottom w:val="single" w:sz="2" w:space="0" w:color="808080" w:themeColor="background1" w:themeShade="80"/>
            </w:tcBorders>
            <w:vAlign w:val="center"/>
          </w:tcPr>
          <w:p w14:paraId="7ABB9A5E" w14:textId="47016739"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0A1DF612" w14:textId="41A6AC2C" w:rsidR="00D768EA" w:rsidRPr="001D6913" w:rsidRDefault="00D768EA" w:rsidP="00AD2662">
            <w:pPr>
              <w:pStyle w:val="Tabletext"/>
            </w:pPr>
            <w:r w:rsidRPr="001D6913">
              <w:t>Brisbane North</w:t>
            </w:r>
          </w:p>
        </w:tc>
        <w:tc>
          <w:tcPr>
            <w:tcW w:w="860" w:type="pct"/>
            <w:tcBorders>
              <w:top w:val="single" w:sz="2" w:space="0" w:color="808080" w:themeColor="background1" w:themeShade="80"/>
              <w:bottom w:val="single" w:sz="2" w:space="0" w:color="808080" w:themeColor="background1" w:themeShade="80"/>
            </w:tcBorders>
            <w:vAlign w:val="center"/>
          </w:tcPr>
          <w:p w14:paraId="2E0078EA" w14:textId="7BA8C5D6" w:rsidR="00BF7AA8" w:rsidRPr="00D069B3" w:rsidRDefault="00BF7AA8" w:rsidP="00AD2662">
            <w:pPr>
              <w:pStyle w:val="Tabletext"/>
            </w:pPr>
            <w:r w:rsidRPr="00D069B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A75D600" w14:textId="49A7309B" w:rsidR="00D768EA" w:rsidRPr="001D6913" w:rsidRDefault="00FB1CD1" w:rsidP="00AD2662">
            <w:pPr>
              <w:pStyle w:val="Tabletext"/>
            </w:pPr>
            <w:r>
              <w:t xml:space="preserve">January </w:t>
            </w:r>
            <w:r w:rsidR="00D768EA" w:rsidRPr="001D6913">
              <w:t>2014</w:t>
            </w:r>
          </w:p>
        </w:tc>
        <w:tc>
          <w:tcPr>
            <w:tcW w:w="856" w:type="pct"/>
            <w:tcBorders>
              <w:top w:val="single" w:sz="2" w:space="0" w:color="808080" w:themeColor="background1" w:themeShade="80"/>
              <w:bottom w:val="single" w:sz="2" w:space="0" w:color="808080" w:themeColor="background1" w:themeShade="80"/>
            </w:tcBorders>
            <w:vAlign w:val="center"/>
          </w:tcPr>
          <w:p w14:paraId="18BB038F" w14:textId="632BC106" w:rsidR="00BF7AA8" w:rsidRPr="00E07298" w:rsidRDefault="00BF7AA8" w:rsidP="00AD2662">
            <w:pPr>
              <w:pStyle w:val="Tabletext"/>
            </w:pPr>
            <w:r w:rsidRPr="00E07298">
              <w:t>All analysis</w:t>
            </w:r>
          </w:p>
        </w:tc>
      </w:tr>
      <w:tr w:rsidR="00D768EA" w14:paraId="7A1E91B4" w14:textId="04D6B66D" w:rsidTr="00AD2662">
        <w:tc>
          <w:tcPr>
            <w:tcW w:w="838" w:type="pct"/>
            <w:tcBorders>
              <w:top w:val="single" w:sz="2" w:space="0" w:color="808080" w:themeColor="background1" w:themeShade="80"/>
              <w:bottom w:val="single" w:sz="2" w:space="0" w:color="808080" w:themeColor="background1" w:themeShade="80"/>
            </w:tcBorders>
            <w:vAlign w:val="center"/>
          </w:tcPr>
          <w:p w14:paraId="6301ADC6" w14:textId="4CBFCBF5" w:rsidR="00D768EA" w:rsidRPr="001D6913" w:rsidRDefault="00D768EA" w:rsidP="00AD2662">
            <w:pPr>
              <w:pStyle w:val="Tabletext"/>
            </w:pPr>
            <w:r w:rsidRPr="001D6913">
              <w:t>Rockhampton</w:t>
            </w:r>
          </w:p>
        </w:tc>
        <w:tc>
          <w:tcPr>
            <w:tcW w:w="460" w:type="pct"/>
            <w:tcBorders>
              <w:top w:val="single" w:sz="2" w:space="0" w:color="808080" w:themeColor="background1" w:themeShade="80"/>
              <w:bottom w:val="single" w:sz="2" w:space="0" w:color="808080" w:themeColor="background1" w:themeShade="80"/>
            </w:tcBorders>
            <w:vAlign w:val="center"/>
          </w:tcPr>
          <w:p w14:paraId="52746057" w14:textId="1BE1C549"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55A0DA85" w14:textId="3227EDD3" w:rsidR="00D768EA" w:rsidRPr="001D6913" w:rsidRDefault="00D768EA" w:rsidP="00AD2662">
            <w:pPr>
              <w:pStyle w:val="Tabletext"/>
            </w:pPr>
            <w:r w:rsidRPr="001D6913">
              <w:t>Central QLD, Wide Bay &amp; Sunshine Coast</w:t>
            </w:r>
          </w:p>
        </w:tc>
        <w:tc>
          <w:tcPr>
            <w:tcW w:w="860" w:type="pct"/>
            <w:tcBorders>
              <w:top w:val="single" w:sz="2" w:space="0" w:color="808080" w:themeColor="background1" w:themeShade="80"/>
              <w:bottom w:val="single" w:sz="2" w:space="0" w:color="808080" w:themeColor="background1" w:themeShade="80"/>
            </w:tcBorders>
            <w:vAlign w:val="center"/>
          </w:tcPr>
          <w:p w14:paraId="1DF178A0" w14:textId="14BA8ECB" w:rsidR="00BF7AA8" w:rsidRPr="00D069B3" w:rsidRDefault="00BF7AA8" w:rsidP="00AD2662">
            <w:pPr>
              <w:pStyle w:val="Tabletext"/>
            </w:pPr>
            <w:r w:rsidRPr="00D069B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6EC1642" w14:textId="26797E5D" w:rsidR="00D768EA" w:rsidRPr="001D6913" w:rsidRDefault="00FB1CD1" w:rsidP="00AD2662">
            <w:pPr>
              <w:pStyle w:val="Tabletext"/>
            </w:pPr>
            <w:r>
              <w:t xml:space="preserve">January </w:t>
            </w:r>
            <w:r w:rsidR="00D768EA" w:rsidRPr="001D6913">
              <w:t>2014</w:t>
            </w:r>
          </w:p>
        </w:tc>
        <w:tc>
          <w:tcPr>
            <w:tcW w:w="856" w:type="pct"/>
            <w:tcBorders>
              <w:top w:val="single" w:sz="2" w:space="0" w:color="808080" w:themeColor="background1" w:themeShade="80"/>
              <w:bottom w:val="single" w:sz="2" w:space="0" w:color="808080" w:themeColor="background1" w:themeShade="80"/>
            </w:tcBorders>
            <w:vAlign w:val="center"/>
          </w:tcPr>
          <w:p w14:paraId="759E5474" w14:textId="2098FA05" w:rsidR="00BF7AA8" w:rsidRPr="00E07298" w:rsidRDefault="00BF7AA8" w:rsidP="00AD2662">
            <w:pPr>
              <w:pStyle w:val="Tabletext"/>
            </w:pPr>
            <w:r w:rsidRPr="00E07298">
              <w:t>All analysis</w:t>
            </w:r>
          </w:p>
        </w:tc>
      </w:tr>
      <w:tr w:rsidR="00D768EA" w14:paraId="49BE8C65" w14:textId="3E2CAA0A" w:rsidTr="00AD2662">
        <w:tc>
          <w:tcPr>
            <w:tcW w:w="838" w:type="pct"/>
            <w:tcBorders>
              <w:top w:val="single" w:sz="2" w:space="0" w:color="808080" w:themeColor="background1" w:themeShade="80"/>
              <w:bottom w:val="single" w:sz="2" w:space="0" w:color="808080" w:themeColor="background1" w:themeShade="80"/>
            </w:tcBorders>
            <w:vAlign w:val="center"/>
          </w:tcPr>
          <w:p w14:paraId="01C89B48" w14:textId="750057C8" w:rsidR="00D768EA" w:rsidRPr="001D6913" w:rsidRDefault="00D768EA" w:rsidP="00AD2662">
            <w:pPr>
              <w:pStyle w:val="Tabletext"/>
            </w:pPr>
            <w:r w:rsidRPr="001D6913">
              <w:t>Rockingham</w:t>
            </w:r>
          </w:p>
        </w:tc>
        <w:tc>
          <w:tcPr>
            <w:tcW w:w="460" w:type="pct"/>
            <w:tcBorders>
              <w:top w:val="single" w:sz="2" w:space="0" w:color="808080" w:themeColor="background1" w:themeShade="80"/>
              <w:bottom w:val="single" w:sz="2" w:space="0" w:color="808080" w:themeColor="background1" w:themeShade="80"/>
            </w:tcBorders>
            <w:vAlign w:val="center"/>
          </w:tcPr>
          <w:p w14:paraId="07F9DA6C" w14:textId="3F5A3140" w:rsidR="00D768EA" w:rsidRPr="001D6913" w:rsidRDefault="00D768EA" w:rsidP="00AD2662">
            <w:pPr>
              <w:pStyle w:val="Tabletext"/>
            </w:pPr>
            <w:r w:rsidRPr="001D6913">
              <w:t>WA</w:t>
            </w:r>
          </w:p>
        </w:tc>
        <w:tc>
          <w:tcPr>
            <w:tcW w:w="1127" w:type="pct"/>
            <w:tcBorders>
              <w:top w:val="single" w:sz="2" w:space="0" w:color="808080" w:themeColor="background1" w:themeShade="80"/>
              <w:bottom w:val="single" w:sz="2" w:space="0" w:color="808080" w:themeColor="background1" w:themeShade="80"/>
            </w:tcBorders>
            <w:vAlign w:val="center"/>
          </w:tcPr>
          <w:p w14:paraId="173D1CBC" w14:textId="40DB8953" w:rsidR="00D768EA" w:rsidRPr="001D6913" w:rsidRDefault="00D768EA" w:rsidP="00AD2662">
            <w:pPr>
              <w:pStyle w:val="Tabletext"/>
            </w:pPr>
            <w:r w:rsidRPr="001D6913">
              <w:t>Perth South</w:t>
            </w:r>
          </w:p>
        </w:tc>
        <w:tc>
          <w:tcPr>
            <w:tcW w:w="860" w:type="pct"/>
            <w:tcBorders>
              <w:top w:val="single" w:sz="2" w:space="0" w:color="808080" w:themeColor="background1" w:themeShade="80"/>
              <w:bottom w:val="single" w:sz="2" w:space="0" w:color="808080" w:themeColor="background1" w:themeShade="80"/>
            </w:tcBorders>
            <w:vAlign w:val="center"/>
          </w:tcPr>
          <w:p w14:paraId="1471AA0B" w14:textId="5404C974" w:rsidR="00BF7AA8" w:rsidRPr="00D069B3" w:rsidRDefault="00BF7AA8" w:rsidP="00AD2662">
            <w:pPr>
              <w:pStyle w:val="Tabletext"/>
            </w:pPr>
            <w:r w:rsidRPr="00D069B3">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E8404F2" w14:textId="1075DB7B" w:rsidR="00D768EA" w:rsidRPr="001D6913" w:rsidRDefault="00FB1CD1" w:rsidP="00AD2662">
            <w:pPr>
              <w:pStyle w:val="Tabletext"/>
            </w:pPr>
            <w:r>
              <w:t>February 2014</w:t>
            </w:r>
          </w:p>
        </w:tc>
        <w:tc>
          <w:tcPr>
            <w:tcW w:w="856" w:type="pct"/>
            <w:tcBorders>
              <w:top w:val="single" w:sz="2" w:space="0" w:color="808080" w:themeColor="background1" w:themeShade="80"/>
              <w:bottom w:val="single" w:sz="2" w:space="0" w:color="808080" w:themeColor="background1" w:themeShade="80"/>
            </w:tcBorders>
            <w:vAlign w:val="center"/>
          </w:tcPr>
          <w:p w14:paraId="07F14972" w14:textId="27BC4871" w:rsidR="00BF7AA8" w:rsidRPr="00E07298" w:rsidRDefault="00BF7AA8" w:rsidP="00AD2662">
            <w:pPr>
              <w:pStyle w:val="Tabletext"/>
            </w:pPr>
            <w:r w:rsidRPr="00E07298">
              <w:t>All analysis</w:t>
            </w:r>
          </w:p>
        </w:tc>
      </w:tr>
      <w:tr w:rsidR="00D768EA" w14:paraId="5E292BFF" w14:textId="070A0E07" w:rsidTr="00AD2662">
        <w:tc>
          <w:tcPr>
            <w:tcW w:w="838" w:type="pct"/>
            <w:tcBorders>
              <w:top w:val="single" w:sz="2" w:space="0" w:color="808080" w:themeColor="background1" w:themeShade="80"/>
              <w:bottom w:val="single" w:sz="2" w:space="0" w:color="808080" w:themeColor="background1" w:themeShade="80"/>
            </w:tcBorders>
            <w:vAlign w:val="center"/>
          </w:tcPr>
          <w:p w14:paraId="1A5F66AD" w14:textId="0D20D8CC" w:rsidR="00D768EA" w:rsidRPr="001D6913" w:rsidRDefault="00D768EA" w:rsidP="00AD2662">
            <w:pPr>
              <w:pStyle w:val="Tabletext"/>
            </w:pPr>
            <w:r w:rsidRPr="001D6913">
              <w:t>Rosebud</w:t>
            </w:r>
          </w:p>
        </w:tc>
        <w:tc>
          <w:tcPr>
            <w:tcW w:w="460" w:type="pct"/>
            <w:tcBorders>
              <w:top w:val="single" w:sz="2" w:space="0" w:color="808080" w:themeColor="background1" w:themeShade="80"/>
              <w:bottom w:val="single" w:sz="2" w:space="0" w:color="808080" w:themeColor="background1" w:themeShade="80"/>
            </w:tcBorders>
            <w:vAlign w:val="center"/>
          </w:tcPr>
          <w:p w14:paraId="58F2CC25" w14:textId="022032C7"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758E8459" w14:textId="41300E8B" w:rsidR="00D768EA" w:rsidRPr="001D6913" w:rsidRDefault="00D768EA" w:rsidP="00AD2662">
            <w:pPr>
              <w:pStyle w:val="Tabletext"/>
            </w:pPr>
            <w:r w:rsidRPr="001D6913">
              <w:t>South Eastern Melbourne</w:t>
            </w:r>
          </w:p>
        </w:tc>
        <w:tc>
          <w:tcPr>
            <w:tcW w:w="860" w:type="pct"/>
            <w:tcBorders>
              <w:top w:val="single" w:sz="2" w:space="0" w:color="808080" w:themeColor="background1" w:themeShade="80"/>
              <w:bottom w:val="single" w:sz="2" w:space="0" w:color="808080" w:themeColor="background1" w:themeShade="80"/>
            </w:tcBorders>
            <w:vAlign w:val="center"/>
          </w:tcPr>
          <w:p w14:paraId="2B5D841E" w14:textId="0EA2CBA1" w:rsidR="00BF7AA8" w:rsidRDefault="00BF7AA8" w:rsidP="00AD2662">
            <w:pPr>
              <w:pStyle w:val="Tabletext"/>
            </w:pPr>
            <w:r>
              <w:t>Satellite from Frankston</w:t>
            </w:r>
          </w:p>
        </w:tc>
        <w:tc>
          <w:tcPr>
            <w:tcW w:w="859" w:type="pct"/>
            <w:tcBorders>
              <w:top w:val="single" w:sz="2" w:space="0" w:color="808080" w:themeColor="background1" w:themeShade="80"/>
              <w:bottom w:val="single" w:sz="2" w:space="0" w:color="808080" w:themeColor="background1" w:themeShade="80"/>
            </w:tcBorders>
            <w:vAlign w:val="center"/>
          </w:tcPr>
          <w:p w14:paraId="77785386" w14:textId="4646F623" w:rsidR="00D768EA" w:rsidRPr="001D6913" w:rsidRDefault="00C76E7F" w:rsidP="00AD2662">
            <w:pPr>
              <w:pStyle w:val="Tabletext"/>
            </w:pPr>
            <w:r>
              <w:t>February 2020</w:t>
            </w:r>
          </w:p>
        </w:tc>
        <w:tc>
          <w:tcPr>
            <w:tcW w:w="856" w:type="pct"/>
            <w:tcBorders>
              <w:top w:val="single" w:sz="2" w:space="0" w:color="808080" w:themeColor="background1" w:themeShade="80"/>
              <w:bottom w:val="single" w:sz="2" w:space="0" w:color="808080" w:themeColor="background1" w:themeShade="80"/>
            </w:tcBorders>
            <w:vAlign w:val="center"/>
          </w:tcPr>
          <w:p w14:paraId="65832E03" w14:textId="5E8B851C" w:rsidR="00BF7AA8" w:rsidRDefault="00BF7AA8" w:rsidP="00AD2662">
            <w:pPr>
              <w:pStyle w:val="Tabletext"/>
              <w:rPr>
                <w:szCs w:val="20"/>
              </w:rPr>
            </w:pPr>
            <w:r>
              <w:rPr>
                <w:szCs w:val="20"/>
              </w:rPr>
              <w:t>Service provision and outcomes analysis only</w:t>
            </w:r>
          </w:p>
        </w:tc>
      </w:tr>
      <w:tr w:rsidR="00D768EA" w14:paraId="418BBCD0" w14:textId="02975283" w:rsidTr="00AD2662">
        <w:tc>
          <w:tcPr>
            <w:tcW w:w="838" w:type="pct"/>
            <w:tcBorders>
              <w:top w:val="single" w:sz="2" w:space="0" w:color="808080" w:themeColor="background1" w:themeShade="80"/>
              <w:bottom w:val="single" w:sz="2" w:space="0" w:color="808080" w:themeColor="background1" w:themeShade="80"/>
            </w:tcBorders>
            <w:vAlign w:val="center"/>
          </w:tcPr>
          <w:p w14:paraId="1B165CF6" w14:textId="61558DE0" w:rsidR="00D768EA" w:rsidRPr="001D6913" w:rsidRDefault="00D768EA" w:rsidP="00AD2662">
            <w:pPr>
              <w:pStyle w:val="Tabletext"/>
            </w:pPr>
            <w:r w:rsidRPr="001D6913">
              <w:t>Shepparton</w:t>
            </w:r>
          </w:p>
        </w:tc>
        <w:tc>
          <w:tcPr>
            <w:tcW w:w="460" w:type="pct"/>
            <w:tcBorders>
              <w:top w:val="single" w:sz="2" w:space="0" w:color="808080" w:themeColor="background1" w:themeShade="80"/>
              <w:bottom w:val="single" w:sz="2" w:space="0" w:color="808080" w:themeColor="background1" w:themeShade="80"/>
            </w:tcBorders>
            <w:vAlign w:val="center"/>
          </w:tcPr>
          <w:p w14:paraId="43F8F74C" w14:textId="2848BD8F"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413405B6" w14:textId="6BAAB8B8" w:rsidR="00D768EA" w:rsidRPr="001D6913" w:rsidRDefault="00D768EA" w:rsidP="00AD2662">
            <w:pPr>
              <w:pStyle w:val="Tabletext"/>
            </w:pPr>
            <w:r w:rsidRPr="001D6913">
              <w:t>Murray</w:t>
            </w:r>
          </w:p>
        </w:tc>
        <w:tc>
          <w:tcPr>
            <w:tcW w:w="860" w:type="pct"/>
            <w:tcBorders>
              <w:top w:val="single" w:sz="2" w:space="0" w:color="808080" w:themeColor="background1" w:themeShade="80"/>
              <w:bottom w:val="single" w:sz="2" w:space="0" w:color="808080" w:themeColor="background1" w:themeShade="80"/>
            </w:tcBorders>
            <w:vAlign w:val="center"/>
          </w:tcPr>
          <w:p w14:paraId="3ACD806B" w14:textId="1737143C"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3CBEE90" w14:textId="679E3112" w:rsidR="00D768EA" w:rsidRPr="001D6913" w:rsidRDefault="00C76E7F" w:rsidP="00AD2662">
            <w:pPr>
              <w:pStyle w:val="Tabletext"/>
            </w:pPr>
            <w:r>
              <w:t xml:space="preserve">April </w:t>
            </w:r>
            <w:r w:rsidR="00D768EA"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49CEAB22" w14:textId="4AB4821F" w:rsidR="00BF7AA8" w:rsidRPr="008151D5" w:rsidRDefault="00BF7AA8" w:rsidP="00AD2662">
            <w:pPr>
              <w:pStyle w:val="Tabletext"/>
            </w:pPr>
            <w:r w:rsidRPr="008151D5">
              <w:t>All analysis</w:t>
            </w:r>
          </w:p>
        </w:tc>
      </w:tr>
      <w:tr w:rsidR="00D768EA" w14:paraId="47359B3B" w14:textId="6A80EF07" w:rsidTr="00AD2662">
        <w:tc>
          <w:tcPr>
            <w:tcW w:w="838" w:type="pct"/>
            <w:tcBorders>
              <w:top w:val="single" w:sz="2" w:space="0" w:color="808080" w:themeColor="background1" w:themeShade="80"/>
              <w:bottom w:val="single" w:sz="2" w:space="0" w:color="808080" w:themeColor="background1" w:themeShade="80"/>
            </w:tcBorders>
            <w:vAlign w:val="center"/>
          </w:tcPr>
          <w:p w14:paraId="28D761BD" w14:textId="1C1E97E2" w:rsidR="00D768EA" w:rsidRPr="001D6913" w:rsidRDefault="00D768EA" w:rsidP="00AD2662">
            <w:pPr>
              <w:pStyle w:val="Tabletext"/>
            </w:pPr>
            <w:r w:rsidRPr="001D6913">
              <w:t>Southport</w:t>
            </w:r>
          </w:p>
        </w:tc>
        <w:tc>
          <w:tcPr>
            <w:tcW w:w="460" w:type="pct"/>
            <w:tcBorders>
              <w:top w:val="single" w:sz="2" w:space="0" w:color="808080" w:themeColor="background1" w:themeShade="80"/>
              <w:bottom w:val="single" w:sz="2" w:space="0" w:color="808080" w:themeColor="background1" w:themeShade="80"/>
            </w:tcBorders>
            <w:vAlign w:val="center"/>
          </w:tcPr>
          <w:p w14:paraId="69CD51E5" w14:textId="099CD273"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04CBADEA" w14:textId="0F7D5CF6" w:rsidR="00D768EA" w:rsidRPr="001D6913" w:rsidRDefault="00D768EA" w:rsidP="00AD2662">
            <w:pPr>
              <w:pStyle w:val="Tabletext"/>
            </w:pPr>
            <w:r w:rsidRPr="001D6913">
              <w:t>Gold Coast</w:t>
            </w:r>
          </w:p>
        </w:tc>
        <w:tc>
          <w:tcPr>
            <w:tcW w:w="860" w:type="pct"/>
            <w:tcBorders>
              <w:top w:val="single" w:sz="2" w:space="0" w:color="808080" w:themeColor="background1" w:themeShade="80"/>
              <w:bottom w:val="single" w:sz="2" w:space="0" w:color="808080" w:themeColor="background1" w:themeShade="80"/>
            </w:tcBorders>
            <w:vAlign w:val="center"/>
          </w:tcPr>
          <w:p w14:paraId="32EC5CE1" w14:textId="370FF01A"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4DB96D1" w14:textId="5745FC49" w:rsidR="00D768EA" w:rsidRPr="001D6913" w:rsidRDefault="00C76E7F" w:rsidP="00AD2662">
            <w:pPr>
              <w:pStyle w:val="Tabletext"/>
            </w:pPr>
            <w:r>
              <w:t xml:space="preserve">May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0C6220DC" w14:textId="09F0C338" w:rsidR="00BF7AA8" w:rsidRPr="008151D5" w:rsidRDefault="00BF7AA8" w:rsidP="00AD2662">
            <w:pPr>
              <w:pStyle w:val="Tabletext"/>
            </w:pPr>
            <w:r w:rsidRPr="008151D5">
              <w:t>All analysis</w:t>
            </w:r>
          </w:p>
        </w:tc>
      </w:tr>
      <w:tr w:rsidR="00D768EA" w14:paraId="6AB5C57F" w14:textId="520592EB" w:rsidTr="00AD2662">
        <w:tc>
          <w:tcPr>
            <w:tcW w:w="838" w:type="pct"/>
            <w:tcBorders>
              <w:top w:val="single" w:sz="2" w:space="0" w:color="808080" w:themeColor="background1" w:themeShade="80"/>
              <w:bottom w:val="single" w:sz="2" w:space="0" w:color="808080" w:themeColor="background1" w:themeShade="80"/>
            </w:tcBorders>
            <w:vAlign w:val="center"/>
          </w:tcPr>
          <w:p w14:paraId="6E90EEF6" w14:textId="2B4E9328" w:rsidR="00D768EA" w:rsidRPr="001D6913" w:rsidRDefault="00D768EA" w:rsidP="00AD2662">
            <w:pPr>
              <w:pStyle w:val="Tabletext"/>
            </w:pPr>
            <w:r w:rsidRPr="001D6913">
              <w:t>Sunshine</w:t>
            </w:r>
          </w:p>
        </w:tc>
        <w:tc>
          <w:tcPr>
            <w:tcW w:w="460" w:type="pct"/>
            <w:tcBorders>
              <w:top w:val="single" w:sz="2" w:space="0" w:color="808080" w:themeColor="background1" w:themeShade="80"/>
              <w:bottom w:val="single" w:sz="2" w:space="0" w:color="808080" w:themeColor="background1" w:themeShade="80"/>
            </w:tcBorders>
            <w:vAlign w:val="center"/>
          </w:tcPr>
          <w:p w14:paraId="492C4CFA" w14:textId="6042326F"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4391E52B" w14:textId="5764156B" w:rsidR="00D768EA" w:rsidRPr="001D6913" w:rsidRDefault="00D768EA" w:rsidP="00AD2662">
            <w:pPr>
              <w:pStyle w:val="Tabletext"/>
            </w:pPr>
            <w:r w:rsidRPr="001D6913">
              <w:t>North Western Melbourne</w:t>
            </w:r>
          </w:p>
        </w:tc>
        <w:tc>
          <w:tcPr>
            <w:tcW w:w="860" w:type="pct"/>
            <w:tcBorders>
              <w:top w:val="single" w:sz="2" w:space="0" w:color="808080" w:themeColor="background1" w:themeShade="80"/>
              <w:bottom w:val="single" w:sz="2" w:space="0" w:color="808080" w:themeColor="background1" w:themeShade="80"/>
            </w:tcBorders>
            <w:vAlign w:val="center"/>
          </w:tcPr>
          <w:p w14:paraId="242F04EA" w14:textId="797AF906"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4F116E00" w14:textId="15060D0A" w:rsidR="00D768EA" w:rsidRPr="001D6913" w:rsidRDefault="00C76E7F" w:rsidP="00AD2662">
            <w:pPr>
              <w:pStyle w:val="Tabletext"/>
            </w:pPr>
            <w:r>
              <w:t>November 2007</w:t>
            </w:r>
          </w:p>
        </w:tc>
        <w:tc>
          <w:tcPr>
            <w:tcW w:w="856" w:type="pct"/>
            <w:tcBorders>
              <w:top w:val="single" w:sz="2" w:space="0" w:color="808080" w:themeColor="background1" w:themeShade="80"/>
              <w:bottom w:val="single" w:sz="2" w:space="0" w:color="808080" w:themeColor="background1" w:themeShade="80"/>
            </w:tcBorders>
            <w:vAlign w:val="center"/>
          </w:tcPr>
          <w:p w14:paraId="5A1C06A8" w14:textId="747DFAA8" w:rsidR="00BF7AA8" w:rsidRPr="008151D5" w:rsidRDefault="00BF7AA8" w:rsidP="00AD2662">
            <w:pPr>
              <w:pStyle w:val="Tabletext"/>
            </w:pPr>
            <w:r w:rsidRPr="008151D5">
              <w:t>All analysis</w:t>
            </w:r>
          </w:p>
        </w:tc>
      </w:tr>
      <w:tr w:rsidR="00D768EA" w14:paraId="05655263" w14:textId="26209411" w:rsidTr="00AD2662">
        <w:tc>
          <w:tcPr>
            <w:tcW w:w="838" w:type="pct"/>
            <w:tcBorders>
              <w:top w:val="single" w:sz="2" w:space="0" w:color="808080" w:themeColor="background1" w:themeShade="80"/>
              <w:bottom w:val="single" w:sz="2" w:space="0" w:color="808080" w:themeColor="background1" w:themeShade="80"/>
            </w:tcBorders>
            <w:vAlign w:val="center"/>
          </w:tcPr>
          <w:p w14:paraId="311718F9" w14:textId="0070340F" w:rsidR="00D768EA" w:rsidRPr="001D6913" w:rsidRDefault="00D768EA" w:rsidP="00AD2662">
            <w:pPr>
              <w:pStyle w:val="Tabletext"/>
            </w:pPr>
            <w:r w:rsidRPr="001D6913">
              <w:t>Swan Hill</w:t>
            </w:r>
          </w:p>
        </w:tc>
        <w:tc>
          <w:tcPr>
            <w:tcW w:w="460" w:type="pct"/>
            <w:tcBorders>
              <w:top w:val="single" w:sz="2" w:space="0" w:color="808080" w:themeColor="background1" w:themeShade="80"/>
              <w:bottom w:val="single" w:sz="2" w:space="0" w:color="808080" w:themeColor="background1" w:themeShade="80"/>
            </w:tcBorders>
            <w:vAlign w:val="center"/>
          </w:tcPr>
          <w:p w14:paraId="5E25D4BC" w14:textId="6695B00D"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6C5F06B0" w14:textId="359691B9" w:rsidR="00D768EA" w:rsidRPr="001D6913" w:rsidRDefault="00D768EA" w:rsidP="00AD2662">
            <w:pPr>
              <w:pStyle w:val="Tabletext"/>
            </w:pPr>
            <w:r w:rsidRPr="001D6913">
              <w:t>Murray</w:t>
            </w:r>
          </w:p>
        </w:tc>
        <w:tc>
          <w:tcPr>
            <w:tcW w:w="860" w:type="pct"/>
            <w:tcBorders>
              <w:top w:val="single" w:sz="2" w:space="0" w:color="808080" w:themeColor="background1" w:themeShade="80"/>
              <w:bottom w:val="single" w:sz="2" w:space="0" w:color="808080" w:themeColor="background1" w:themeShade="80"/>
            </w:tcBorders>
            <w:vAlign w:val="center"/>
          </w:tcPr>
          <w:p w14:paraId="439CFAF2" w14:textId="7DB04460"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4907857" w14:textId="20BE67B3" w:rsidR="00D768EA" w:rsidRPr="001D6913" w:rsidRDefault="00C76E7F" w:rsidP="00AD2662">
            <w:pPr>
              <w:pStyle w:val="Tabletext"/>
            </w:pPr>
            <w:r>
              <w:t xml:space="preserve">January </w:t>
            </w:r>
            <w:r w:rsidR="00D768EA" w:rsidRPr="001D6913">
              <w:t>2016</w:t>
            </w:r>
          </w:p>
        </w:tc>
        <w:tc>
          <w:tcPr>
            <w:tcW w:w="856" w:type="pct"/>
            <w:tcBorders>
              <w:top w:val="single" w:sz="2" w:space="0" w:color="808080" w:themeColor="background1" w:themeShade="80"/>
              <w:bottom w:val="single" w:sz="2" w:space="0" w:color="808080" w:themeColor="background1" w:themeShade="80"/>
            </w:tcBorders>
            <w:vAlign w:val="center"/>
          </w:tcPr>
          <w:p w14:paraId="2C93603C" w14:textId="2005EB88" w:rsidR="00BF7AA8" w:rsidRPr="008151D5" w:rsidRDefault="00BF7AA8" w:rsidP="00AD2662">
            <w:pPr>
              <w:pStyle w:val="Tabletext"/>
            </w:pPr>
            <w:r w:rsidRPr="008151D5">
              <w:t>All analysis</w:t>
            </w:r>
          </w:p>
        </w:tc>
      </w:tr>
      <w:tr w:rsidR="00D768EA" w14:paraId="178ED0D5" w14:textId="4030C402" w:rsidTr="00AD2662">
        <w:tc>
          <w:tcPr>
            <w:tcW w:w="838" w:type="pct"/>
            <w:tcBorders>
              <w:top w:val="single" w:sz="2" w:space="0" w:color="808080" w:themeColor="background1" w:themeShade="80"/>
              <w:bottom w:val="single" w:sz="2" w:space="0" w:color="808080" w:themeColor="background1" w:themeShade="80"/>
            </w:tcBorders>
            <w:vAlign w:val="center"/>
          </w:tcPr>
          <w:p w14:paraId="61480F2E" w14:textId="6B89E4B6" w:rsidR="00D768EA" w:rsidRPr="001D6913" w:rsidRDefault="00D768EA" w:rsidP="00AD2662">
            <w:pPr>
              <w:pStyle w:val="Tabletext"/>
            </w:pPr>
            <w:r w:rsidRPr="001D6913">
              <w:t>Tamworth</w:t>
            </w:r>
          </w:p>
        </w:tc>
        <w:tc>
          <w:tcPr>
            <w:tcW w:w="460" w:type="pct"/>
            <w:tcBorders>
              <w:top w:val="single" w:sz="2" w:space="0" w:color="808080" w:themeColor="background1" w:themeShade="80"/>
              <w:bottom w:val="single" w:sz="2" w:space="0" w:color="808080" w:themeColor="background1" w:themeShade="80"/>
            </w:tcBorders>
            <w:vAlign w:val="center"/>
          </w:tcPr>
          <w:p w14:paraId="247B3393" w14:textId="178FD9DD"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25765C68" w14:textId="6C61369A" w:rsidR="00D768EA" w:rsidRPr="001D6913" w:rsidRDefault="00D768EA" w:rsidP="00AD2662">
            <w:pPr>
              <w:pStyle w:val="Tabletext"/>
            </w:pPr>
            <w:r w:rsidRPr="001D6913">
              <w:t>Hunter New England &amp; Central Coast</w:t>
            </w:r>
          </w:p>
        </w:tc>
        <w:tc>
          <w:tcPr>
            <w:tcW w:w="860" w:type="pct"/>
            <w:tcBorders>
              <w:top w:val="single" w:sz="2" w:space="0" w:color="808080" w:themeColor="background1" w:themeShade="80"/>
              <w:bottom w:val="single" w:sz="2" w:space="0" w:color="808080" w:themeColor="background1" w:themeShade="80"/>
            </w:tcBorders>
            <w:vAlign w:val="center"/>
          </w:tcPr>
          <w:p w14:paraId="446D4061" w14:textId="6E3C17F9"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48C3B8A1" w14:textId="7DCD34BD" w:rsidR="00D768EA" w:rsidRPr="001D6913" w:rsidRDefault="00C76E7F" w:rsidP="00AD2662">
            <w:pPr>
              <w:pStyle w:val="Tabletext"/>
            </w:pPr>
            <w:r>
              <w:t xml:space="preserve">January </w:t>
            </w:r>
            <w:r w:rsidR="00D768EA" w:rsidRPr="001D6913">
              <w:t>2013</w:t>
            </w:r>
          </w:p>
        </w:tc>
        <w:tc>
          <w:tcPr>
            <w:tcW w:w="856" w:type="pct"/>
            <w:tcBorders>
              <w:top w:val="single" w:sz="2" w:space="0" w:color="808080" w:themeColor="background1" w:themeShade="80"/>
              <w:bottom w:val="single" w:sz="2" w:space="0" w:color="808080" w:themeColor="background1" w:themeShade="80"/>
            </w:tcBorders>
            <w:vAlign w:val="center"/>
          </w:tcPr>
          <w:p w14:paraId="2E8B163F" w14:textId="1E29747C" w:rsidR="00BF7AA8" w:rsidRPr="008151D5" w:rsidRDefault="00BF7AA8" w:rsidP="00AD2662">
            <w:pPr>
              <w:pStyle w:val="Tabletext"/>
            </w:pPr>
            <w:r w:rsidRPr="008151D5">
              <w:t>All analysis</w:t>
            </w:r>
          </w:p>
        </w:tc>
      </w:tr>
      <w:tr w:rsidR="00D768EA" w14:paraId="302522A5" w14:textId="6A9B8C65" w:rsidTr="00AD2662">
        <w:tc>
          <w:tcPr>
            <w:tcW w:w="838" w:type="pct"/>
            <w:tcBorders>
              <w:top w:val="single" w:sz="2" w:space="0" w:color="808080" w:themeColor="background1" w:themeShade="80"/>
              <w:bottom w:val="single" w:sz="2" w:space="0" w:color="808080" w:themeColor="background1" w:themeShade="80"/>
            </w:tcBorders>
            <w:vAlign w:val="center"/>
          </w:tcPr>
          <w:p w14:paraId="5CEE34C6" w14:textId="2417FBFA" w:rsidR="00D768EA" w:rsidRPr="001D6913" w:rsidRDefault="00D768EA" w:rsidP="00AD2662">
            <w:pPr>
              <w:pStyle w:val="Tabletext"/>
            </w:pPr>
            <w:r w:rsidRPr="001D6913">
              <w:t>Taringa</w:t>
            </w:r>
          </w:p>
        </w:tc>
        <w:tc>
          <w:tcPr>
            <w:tcW w:w="460" w:type="pct"/>
            <w:tcBorders>
              <w:top w:val="single" w:sz="2" w:space="0" w:color="808080" w:themeColor="background1" w:themeShade="80"/>
              <w:bottom w:val="single" w:sz="2" w:space="0" w:color="808080" w:themeColor="background1" w:themeShade="80"/>
            </w:tcBorders>
            <w:vAlign w:val="center"/>
          </w:tcPr>
          <w:p w14:paraId="396B6F04" w14:textId="04A59F6C"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698EB32F" w14:textId="6878AE53" w:rsidR="00D768EA" w:rsidRPr="001D6913" w:rsidRDefault="00D768EA" w:rsidP="00AD2662">
            <w:pPr>
              <w:pStyle w:val="Tabletext"/>
            </w:pPr>
            <w:r w:rsidRPr="001D6913">
              <w:t>Brisbane North</w:t>
            </w:r>
          </w:p>
        </w:tc>
        <w:tc>
          <w:tcPr>
            <w:tcW w:w="860" w:type="pct"/>
            <w:tcBorders>
              <w:top w:val="single" w:sz="2" w:space="0" w:color="808080" w:themeColor="background1" w:themeShade="80"/>
              <w:bottom w:val="single" w:sz="2" w:space="0" w:color="808080" w:themeColor="background1" w:themeShade="80"/>
            </w:tcBorders>
            <w:vAlign w:val="center"/>
          </w:tcPr>
          <w:p w14:paraId="41147C64" w14:textId="1270AA77"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27CFDE6" w14:textId="12BB9374" w:rsidR="00D768EA" w:rsidRPr="001D6913" w:rsidRDefault="00C76E7F" w:rsidP="00AD2662">
            <w:pPr>
              <w:pStyle w:val="Tabletext"/>
            </w:pPr>
            <w:r>
              <w:t>February 2015</w:t>
            </w:r>
          </w:p>
        </w:tc>
        <w:tc>
          <w:tcPr>
            <w:tcW w:w="856" w:type="pct"/>
            <w:tcBorders>
              <w:top w:val="single" w:sz="2" w:space="0" w:color="808080" w:themeColor="background1" w:themeShade="80"/>
              <w:bottom w:val="single" w:sz="2" w:space="0" w:color="808080" w:themeColor="background1" w:themeShade="80"/>
            </w:tcBorders>
            <w:vAlign w:val="center"/>
          </w:tcPr>
          <w:p w14:paraId="313B3E76" w14:textId="376675BD" w:rsidR="00BF7AA8" w:rsidRPr="008151D5" w:rsidRDefault="00BF7AA8" w:rsidP="00AD2662">
            <w:pPr>
              <w:pStyle w:val="Tabletext"/>
            </w:pPr>
            <w:r w:rsidRPr="008151D5">
              <w:t>All analysis</w:t>
            </w:r>
          </w:p>
        </w:tc>
      </w:tr>
      <w:tr w:rsidR="00D768EA" w14:paraId="75BA572A" w14:textId="20CCBFC9" w:rsidTr="00AD2662">
        <w:tc>
          <w:tcPr>
            <w:tcW w:w="838" w:type="pct"/>
            <w:tcBorders>
              <w:top w:val="single" w:sz="2" w:space="0" w:color="808080" w:themeColor="background1" w:themeShade="80"/>
              <w:bottom w:val="single" w:sz="2" w:space="0" w:color="808080" w:themeColor="background1" w:themeShade="80"/>
            </w:tcBorders>
            <w:vAlign w:val="center"/>
          </w:tcPr>
          <w:p w14:paraId="1BAECF5D" w14:textId="472A6D60" w:rsidR="00D768EA" w:rsidRPr="001D6913" w:rsidRDefault="00D768EA" w:rsidP="00AD2662">
            <w:pPr>
              <w:pStyle w:val="Tabletext"/>
            </w:pPr>
            <w:r w:rsidRPr="001D6913">
              <w:t>Toowoomba</w:t>
            </w:r>
          </w:p>
        </w:tc>
        <w:tc>
          <w:tcPr>
            <w:tcW w:w="460" w:type="pct"/>
            <w:tcBorders>
              <w:top w:val="single" w:sz="2" w:space="0" w:color="808080" w:themeColor="background1" w:themeShade="80"/>
              <w:bottom w:val="single" w:sz="2" w:space="0" w:color="808080" w:themeColor="background1" w:themeShade="80"/>
            </w:tcBorders>
            <w:vAlign w:val="center"/>
          </w:tcPr>
          <w:p w14:paraId="1C55D7D6" w14:textId="60E1A52F"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2445F74C" w14:textId="78C49412" w:rsidR="00D768EA" w:rsidRPr="001D6913" w:rsidRDefault="00D768EA" w:rsidP="00AD2662">
            <w:pPr>
              <w:pStyle w:val="Tabletext"/>
            </w:pPr>
            <w:r w:rsidRPr="001D6913">
              <w:t>Darling Downs &amp; West Moreton</w:t>
            </w:r>
          </w:p>
        </w:tc>
        <w:tc>
          <w:tcPr>
            <w:tcW w:w="860" w:type="pct"/>
            <w:tcBorders>
              <w:top w:val="single" w:sz="2" w:space="0" w:color="808080" w:themeColor="background1" w:themeShade="80"/>
              <w:bottom w:val="single" w:sz="2" w:space="0" w:color="808080" w:themeColor="background1" w:themeShade="80"/>
            </w:tcBorders>
            <w:vAlign w:val="center"/>
          </w:tcPr>
          <w:p w14:paraId="1F0F1796" w14:textId="07484637"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B2CEE2F" w14:textId="31442A14" w:rsidR="00D768EA" w:rsidRPr="001D6913" w:rsidRDefault="00C76E7F" w:rsidP="00AD2662">
            <w:pPr>
              <w:pStyle w:val="Tabletext"/>
            </w:pPr>
            <w:r>
              <w:t xml:space="preserve">July </w:t>
            </w:r>
            <w:r w:rsidR="00D768EA" w:rsidRPr="001D6913">
              <w:t>2015</w:t>
            </w:r>
          </w:p>
        </w:tc>
        <w:tc>
          <w:tcPr>
            <w:tcW w:w="856" w:type="pct"/>
            <w:tcBorders>
              <w:top w:val="single" w:sz="2" w:space="0" w:color="808080" w:themeColor="background1" w:themeShade="80"/>
              <w:bottom w:val="single" w:sz="2" w:space="0" w:color="808080" w:themeColor="background1" w:themeShade="80"/>
            </w:tcBorders>
            <w:vAlign w:val="center"/>
          </w:tcPr>
          <w:p w14:paraId="47B76832" w14:textId="70BFB271" w:rsidR="00BF7AA8" w:rsidRPr="008151D5" w:rsidRDefault="00BF7AA8" w:rsidP="00AD2662">
            <w:pPr>
              <w:pStyle w:val="Tabletext"/>
            </w:pPr>
            <w:r w:rsidRPr="008151D5">
              <w:t>All analysis</w:t>
            </w:r>
          </w:p>
        </w:tc>
      </w:tr>
      <w:tr w:rsidR="00D768EA" w14:paraId="18752639" w14:textId="7C9DF6CA" w:rsidTr="00AD2662">
        <w:tc>
          <w:tcPr>
            <w:tcW w:w="838" w:type="pct"/>
            <w:tcBorders>
              <w:top w:val="single" w:sz="2" w:space="0" w:color="808080" w:themeColor="background1" w:themeShade="80"/>
              <w:bottom w:val="single" w:sz="2" w:space="0" w:color="808080" w:themeColor="background1" w:themeShade="80"/>
            </w:tcBorders>
            <w:vAlign w:val="center"/>
          </w:tcPr>
          <w:p w14:paraId="005131F7" w14:textId="41B2E79F" w:rsidR="00D768EA" w:rsidRPr="001D6913" w:rsidRDefault="00D768EA" w:rsidP="00AD2662">
            <w:pPr>
              <w:pStyle w:val="Tabletext"/>
            </w:pPr>
            <w:r w:rsidRPr="001D6913">
              <w:t>Townsville</w:t>
            </w:r>
          </w:p>
        </w:tc>
        <w:tc>
          <w:tcPr>
            <w:tcW w:w="460" w:type="pct"/>
            <w:tcBorders>
              <w:top w:val="single" w:sz="2" w:space="0" w:color="808080" w:themeColor="background1" w:themeShade="80"/>
              <w:bottom w:val="single" w:sz="2" w:space="0" w:color="808080" w:themeColor="background1" w:themeShade="80"/>
            </w:tcBorders>
            <w:vAlign w:val="center"/>
          </w:tcPr>
          <w:p w14:paraId="45F66EED" w14:textId="4B8AE9B2"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1A0A5BA9" w14:textId="2871624A" w:rsidR="00D768EA" w:rsidRPr="001D6913" w:rsidRDefault="00D768EA" w:rsidP="00AD2662">
            <w:pPr>
              <w:pStyle w:val="Tabletext"/>
            </w:pPr>
            <w:r w:rsidRPr="001D6913">
              <w:t>Northern QLD</w:t>
            </w:r>
          </w:p>
        </w:tc>
        <w:tc>
          <w:tcPr>
            <w:tcW w:w="860" w:type="pct"/>
            <w:tcBorders>
              <w:top w:val="single" w:sz="2" w:space="0" w:color="808080" w:themeColor="background1" w:themeShade="80"/>
              <w:bottom w:val="single" w:sz="2" w:space="0" w:color="808080" w:themeColor="background1" w:themeShade="80"/>
            </w:tcBorders>
            <w:vAlign w:val="center"/>
          </w:tcPr>
          <w:p w14:paraId="50E9C266" w14:textId="7ABA5B2F"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1A6B10ED" w14:textId="3EE42199" w:rsidR="00D768EA" w:rsidRPr="001D6913" w:rsidRDefault="00C76E7F" w:rsidP="00AD2662">
            <w:pPr>
              <w:pStyle w:val="Tabletext"/>
            </w:pPr>
            <w:r>
              <w:t xml:space="preserve">June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26E19366" w14:textId="052D90A4" w:rsidR="00BF7AA8" w:rsidRPr="008151D5" w:rsidRDefault="00BF7AA8" w:rsidP="00AD2662">
            <w:pPr>
              <w:pStyle w:val="Tabletext"/>
            </w:pPr>
            <w:r w:rsidRPr="008151D5">
              <w:t>All analysis</w:t>
            </w:r>
          </w:p>
        </w:tc>
      </w:tr>
      <w:tr w:rsidR="00D768EA" w14:paraId="0C2E531E" w14:textId="19A2464E" w:rsidTr="00AD2662">
        <w:tc>
          <w:tcPr>
            <w:tcW w:w="838" w:type="pct"/>
            <w:tcBorders>
              <w:top w:val="single" w:sz="2" w:space="0" w:color="808080" w:themeColor="background1" w:themeShade="80"/>
              <w:bottom w:val="single" w:sz="2" w:space="0" w:color="808080" w:themeColor="background1" w:themeShade="80"/>
            </w:tcBorders>
            <w:vAlign w:val="center"/>
          </w:tcPr>
          <w:p w14:paraId="6BAD9369" w14:textId="076CA03F" w:rsidR="00D768EA" w:rsidRPr="001D6913" w:rsidRDefault="00D768EA" w:rsidP="00AD2662">
            <w:pPr>
              <w:pStyle w:val="Tabletext"/>
            </w:pPr>
            <w:r w:rsidRPr="001D6913">
              <w:t>Tweed Heads</w:t>
            </w:r>
          </w:p>
        </w:tc>
        <w:tc>
          <w:tcPr>
            <w:tcW w:w="460" w:type="pct"/>
            <w:tcBorders>
              <w:top w:val="single" w:sz="2" w:space="0" w:color="808080" w:themeColor="background1" w:themeShade="80"/>
              <w:bottom w:val="single" w:sz="2" w:space="0" w:color="808080" w:themeColor="background1" w:themeShade="80"/>
            </w:tcBorders>
            <w:vAlign w:val="center"/>
          </w:tcPr>
          <w:p w14:paraId="7CFD1375" w14:textId="2B34218A"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13E07A80" w14:textId="20D46C27" w:rsidR="00D768EA" w:rsidRPr="001D6913" w:rsidRDefault="00D768EA" w:rsidP="00AD2662">
            <w:pPr>
              <w:pStyle w:val="Tabletext"/>
            </w:pPr>
            <w:r w:rsidRPr="001D6913">
              <w:t>North Coast</w:t>
            </w:r>
          </w:p>
        </w:tc>
        <w:tc>
          <w:tcPr>
            <w:tcW w:w="860" w:type="pct"/>
            <w:tcBorders>
              <w:top w:val="single" w:sz="2" w:space="0" w:color="808080" w:themeColor="background1" w:themeShade="80"/>
              <w:bottom w:val="single" w:sz="2" w:space="0" w:color="808080" w:themeColor="background1" w:themeShade="80"/>
            </w:tcBorders>
            <w:vAlign w:val="center"/>
          </w:tcPr>
          <w:p w14:paraId="6DBE67FB" w14:textId="5A49048C"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5C831E1" w14:textId="2829FC3D" w:rsidR="00D768EA" w:rsidRPr="001D6913" w:rsidRDefault="00C76E7F" w:rsidP="00AD2662">
            <w:pPr>
              <w:pStyle w:val="Tabletext"/>
            </w:pPr>
            <w:r>
              <w:t xml:space="preserve">March </w:t>
            </w:r>
            <w:r w:rsidR="00D768EA" w:rsidRPr="001D6913">
              <w:t>2015</w:t>
            </w:r>
          </w:p>
        </w:tc>
        <w:tc>
          <w:tcPr>
            <w:tcW w:w="856" w:type="pct"/>
            <w:tcBorders>
              <w:top w:val="single" w:sz="2" w:space="0" w:color="808080" w:themeColor="background1" w:themeShade="80"/>
              <w:bottom w:val="single" w:sz="2" w:space="0" w:color="808080" w:themeColor="background1" w:themeShade="80"/>
            </w:tcBorders>
            <w:vAlign w:val="center"/>
          </w:tcPr>
          <w:p w14:paraId="107612A5" w14:textId="40129328" w:rsidR="00BF7AA8" w:rsidRPr="008151D5" w:rsidRDefault="00BF7AA8" w:rsidP="00AD2662">
            <w:pPr>
              <w:pStyle w:val="Tabletext"/>
            </w:pPr>
            <w:r w:rsidRPr="008151D5">
              <w:t>All analysis</w:t>
            </w:r>
          </w:p>
        </w:tc>
      </w:tr>
      <w:tr w:rsidR="00D768EA" w14:paraId="49383756" w14:textId="1E6F8DD1" w:rsidTr="00AD2662">
        <w:tc>
          <w:tcPr>
            <w:tcW w:w="838" w:type="pct"/>
            <w:tcBorders>
              <w:top w:val="single" w:sz="2" w:space="0" w:color="808080" w:themeColor="background1" w:themeShade="80"/>
              <w:bottom w:val="single" w:sz="2" w:space="0" w:color="808080" w:themeColor="background1" w:themeShade="80"/>
            </w:tcBorders>
            <w:vAlign w:val="center"/>
          </w:tcPr>
          <w:p w14:paraId="68375939" w14:textId="503DC569" w:rsidR="00D768EA" w:rsidRPr="001D6913" w:rsidRDefault="00D768EA" w:rsidP="00AD2662">
            <w:pPr>
              <w:pStyle w:val="Tabletext"/>
            </w:pPr>
            <w:r w:rsidRPr="001D6913">
              <w:t>Victor Harbor</w:t>
            </w:r>
          </w:p>
        </w:tc>
        <w:tc>
          <w:tcPr>
            <w:tcW w:w="460" w:type="pct"/>
            <w:tcBorders>
              <w:top w:val="single" w:sz="2" w:space="0" w:color="808080" w:themeColor="background1" w:themeShade="80"/>
              <w:bottom w:val="single" w:sz="2" w:space="0" w:color="808080" w:themeColor="background1" w:themeShade="80"/>
            </w:tcBorders>
            <w:vAlign w:val="center"/>
          </w:tcPr>
          <w:p w14:paraId="2E66C9CF" w14:textId="09F776BD" w:rsidR="00D768EA" w:rsidRPr="001D6913" w:rsidRDefault="00D768EA"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3858C578" w14:textId="1045E1A6" w:rsidR="00D768EA" w:rsidRPr="001D6913" w:rsidRDefault="00D768EA" w:rsidP="00AD2662">
            <w:pPr>
              <w:pStyle w:val="Tabletext"/>
            </w:pPr>
            <w:r w:rsidRPr="001D6913">
              <w:t>Country SA</w:t>
            </w:r>
          </w:p>
        </w:tc>
        <w:tc>
          <w:tcPr>
            <w:tcW w:w="860" w:type="pct"/>
            <w:tcBorders>
              <w:top w:val="single" w:sz="2" w:space="0" w:color="808080" w:themeColor="background1" w:themeShade="80"/>
              <w:bottom w:val="single" w:sz="2" w:space="0" w:color="808080" w:themeColor="background1" w:themeShade="80"/>
            </w:tcBorders>
            <w:vAlign w:val="center"/>
          </w:tcPr>
          <w:p w14:paraId="612B072C" w14:textId="0017A0AE" w:rsidR="00BF7AA8" w:rsidRDefault="00BF7AA8" w:rsidP="00AD2662">
            <w:pPr>
              <w:pStyle w:val="Tabletext"/>
            </w:pPr>
            <w:r>
              <w:t>Satellite from Murray Bridge</w:t>
            </w:r>
          </w:p>
        </w:tc>
        <w:tc>
          <w:tcPr>
            <w:tcW w:w="859" w:type="pct"/>
            <w:tcBorders>
              <w:top w:val="single" w:sz="2" w:space="0" w:color="808080" w:themeColor="background1" w:themeShade="80"/>
              <w:bottom w:val="single" w:sz="2" w:space="0" w:color="808080" w:themeColor="background1" w:themeShade="80"/>
            </w:tcBorders>
            <w:vAlign w:val="center"/>
          </w:tcPr>
          <w:p w14:paraId="409C5A12" w14:textId="3B5FB18B" w:rsidR="00D768EA" w:rsidRPr="001D6913" w:rsidRDefault="00C76E7F" w:rsidP="00AD2662">
            <w:pPr>
              <w:pStyle w:val="Tabletext"/>
            </w:pPr>
            <w:r>
              <w:rPr>
                <w:szCs w:val="20"/>
              </w:rPr>
              <w:t>December 2019</w:t>
            </w:r>
          </w:p>
        </w:tc>
        <w:tc>
          <w:tcPr>
            <w:tcW w:w="856" w:type="pct"/>
            <w:tcBorders>
              <w:top w:val="single" w:sz="2" w:space="0" w:color="808080" w:themeColor="background1" w:themeShade="80"/>
              <w:bottom w:val="single" w:sz="2" w:space="0" w:color="808080" w:themeColor="background1" w:themeShade="80"/>
            </w:tcBorders>
            <w:vAlign w:val="center"/>
          </w:tcPr>
          <w:p w14:paraId="3FAD0D1D" w14:textId="143E99BE" w:rsidR="00BF7AA8" w:rsidRDefault="00BF7AA8" w:rsidP="00AD2662">
            <w:pPr>
              <w:pStyle w:val="Tabletext"/>
              <w:rPr>
                <w:szCs w:val="20"/>
              </w:rPr>
            </w:pPr>
            <w:r>
              <w:rPr>
                <w:szCs w:val="20"/>
              </w:rPr>
              <w:t>Service provision and outcomes analysis only</w:t>
            </w:r>
          </w:p>
        </w:tc>
      </w:tr>
      <w:tr w:rsidR="00D768EA" w14:paraId="659E5FAC" w14:textId="3D38806D" w:rsidTr="00AD2662">
        <w:tc>
          <w:tcPr>
            <w:tcW w:w="838" w:type="pct"/>
            <w:tcBorders>
              <w:top w:val="single" w:sz="2" w:space="0" w:color="808080" w:themeColor="background1" w:themeShade="80"/>
              <w:bottom w:val="single" w:sz="2" w:space="0" w:color="808080" w:themeColor="background1" w:themeShade="80"/>
            </w:tcBorders>
            <w:vAlign w:val="center"/>
          </w:tcPr>
          <w:p w14:paraId="0CAFAD12" w14:textId="23B640A3" w:rsidR="00D768EA" w:rsidRPr="001D6913" w:rsidRDefault="00D768EA" w:rsidP="00AD2662">
            <w:pPr>
              <w:pStyle w:val="Tabletext"/>
            </w:pPr>
            <w:r w:rsidRPr="001D6913">
              <w:t>Wagga Wagga</w:t>
            </w:r>
          </w:p>
        </w:tc>
        <w:tc>
          <w:tcPr>
            <w:tcW w:w="460" w:type="pct"/>
            <w:tcBorders>
              <w:top w:val="single" w:sz="2" w:space="0" w:color="808080" w:themeColor="background1" w:themeShade="80"/>
              <w:bottom w:val="single" w:sz="2" w:space="0" w:color="808080" w:themeColor="background1" w:themeShade="80"/>
            </w:tcBorders>
            <w:vAlign w:val="center"/>
          </w:tcPr>
          <w:p w14:paraId="4A8F4250" w14:textId="7592EEB3"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74EFC86F" w14:textId="63EE49BC" w:rsidR="00D768EA" w:rsidRPr="001D6913" w:rsidRDefault="00D768EA" w:rsidP="00AD2662">
            <w:pPr>
              <w:pStyle w:val="Tabletext"/>
            </w:pPr>
            <w:r w:rsidRPr="001D6913">
              <w:t>Murrumbidgee</w:t>
            </w:r>
          </w:p>
        </w:tc>
        <w:tc>
          <w:tcPr>
            <w:tcW w:w="860" w:type="pct"/>
            <w:tcBorders>
              <w:top w:val="single" w:sz="2" w:space="0" w:color="808080" w:themeColor="background1" w:themeShade="80"/>
              <w:bottom w:val="single" w:sz="2" w:space="0" w:color="808080" w:themeColor="background1" w:themeShade="80"/>
            </w:tcBorders>
            <w:vAlign w:val="center"/>
          </w:tcPr>
          <w:p w14:paraId="7C900635" w14:textId="43D88533"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2DE92E34" w14:textId="095AD452" w:rsidR="00D768EA" w:rsidRPr="001D6913" w:rsidRDefault="00C76E7F" w:rsidP="00AD2662">
            <w:pPr>
              <w:pStyle w:val="Tabletext"/>
            </w:pPr>
            <w:r>
              <w:t xml:space="preserve">July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54696075" w14:textId="2FB5C122" w:rsidR="00BF7AA8" w:rsidRPr="002A32BC" w:rsidRDefault="00BF7AA8" w:rsidP="00AD2662">
            <w:pPr>
              <w:pStyle w:val="Tabletext"/>
            </w:pPr>
            <w:r w:rsidRPr="002A32BC">
              <w:t>All analysis</w:t>
            </w:r>
          </w:p>
        </w:tc>
      </w:tr>
      <w:tr w:rsidR="00D768EA" w14:paraId="07589089" w14:textId="0476E8B8" w:rsidTr="00AD2662">
        <w:tc>
          <w:tcPr>
            <w:tcW w:w="838" w:type="pct"/>
            <w:tcBorders>
              <w:top w:val="single" w:sz="2" w:space="0" w:color="808080" w:themeColor="background1" w:themeShade="80"/>
              <w:bottom w:val="single" w:sz="2" w:space="0" w:color="808080" w:themeColor="background1" w:themeShade="80"/>
            </w:tcBorders>
            <w:vAlign w:val="center"/>
          </w:tcPr>
          <w:p w14:paraId="46B8E664" w14:textId="21DA7B5E" w:rsidR="00D768EA" w:rsidRPr="001D6913" w:rsidRDefault="00D768EA" w:rsidP="00AD2662">
            <w:pPr>
              <w:pStyle w:val="Tabletext"/>
            </w:pPr>
            <w:r w:rsidRPr="001D6913">
              <w:t>Warrnambool</w:t>
            </w:r>
          </w:p>
        </w:tc>
        <w:tc>
          <w:tcPr>
            <w:tcW w:w="460" w:type="pct"/>
            <w:tcBorders>
              <w:top w:val="single" w:sz="2" w:space="0" w:color="808080" w:themeColor="background1" w:themeShade="80"/>
              <w:bottom w:val="single" w:sz="2" w:space="0" w:color="808080" w:themeColor="background1" w:themeShade="80"/>
            </w:tcBorders>
            <w:vAlign w:val="center"/>
          </w:tcPr>
          <w:p w14:paraId="3E6B613F" w14:textId="20DC3227"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387E7C56" w14:textId="478FA67C" w:rsidR="00D768EA" w:rsidRPr="001D6913" w:rsidRDefault="00D768EA" w:rsidP="00AD2662">
            <w:pPr>
              <w:pStyle w:val="Tabletext"/>
            </w:pPr>
            <w:r w:rsidRPr="001D6913">
              <w:t>Western Victoria</w:t>
            </w:r>
          </w:p>
        </w:tc>
        <w:tc>
          <w:tcPr>
            <w:tcW w:w="860" w:type="pct"/>
            <w:tcBorders>
              <w:top w:val="single" w:sz="2" w:space="0" w:color="808080" w:themeColor="background1" w:themeShade="80"/>
              <w:bottom w:val="single" w:sz="2" w:space="0" w:color="808080" w:themeColor="background1" w:themeShade="80"/>
            </w:tcBorders>
            <w:vAlign w:val="center"/>
          </w:tcPr>
          <w:p w14:paraId="225F3992" w14:textId="647AC613"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774CFE6" w14:textId="5AB30F4F" w:rsidR="00D768EA" w:rsidRPr="001D6913" w:rsidRDefault="00C76E7F" w:rsidP="00AD2662">
            <w:pPr>
              <w:pStyle w:val="Tabletext"/>
            </w:pPr>
            <w:r>
              <w:t xml:space="preserve">June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33CC00DA" w14:textId="6ABEFFAE" w:rsidR="00BF7AA8" w:rsidRPr="002A32BC" w:rsidRDefault="00BF7AA8" w:rsidP="00AD2662">
            <w:pPr>
              <w:pStyle w:val="Tabletext"/>
            </w:pPr>
            <w:r w:rsidRPr="002A32BC">
              <w:t>All analysis</w:t>
            </w:r>
          </w:p>
        </w:tc>
      </w:tr>
      <w:tr w:rsidR="00D768EA" w14:paraId="70253015" w14:textId="1DC270C1" w:rsidTr="00AD2662">
        <w:tc>
          <w:tcPr>
            <w:tcW w:w="838" w:type="pct"/>
            <w:tcBorders>
              <w:top w:val="single" w:sz="2" w:space="0" w:color="808080" w:themeColor="background1" w:themeShade="80"/>
              <w:bottom w:val="single" w:sz="2" w:space="0" w:color="808080" w:themeColor="background1" w:themeShade="80"/>
            </w:tcBorders>
            <w:vAlign w:val="center"/>
          </w:tcPr>
          <w:p w14:paraId="4A6137EC" w14:textId="55BB89EE" w:rsidR="00D768EA" w:rsidRPr="001D6913" w:rsidRDefault="00D768EA" w:rsidP="00AD2662">
            <w:pPr>
              <w:pStyle w:val="Tabletext"/>
            </w:pPr>
            <w:r w:rsidRPr="001D6913">
              <w:t>Warwick</w:t>
            </w:r>
          </w:p>
        </w:tc>
        <w:tc>
          <w:tcPr>
            <w:tcW w:w="460" w:type="pct"/>
            <w:tcBorders>
              <w:top w:val="single" w:sz="2" w:space="0" w:color="808080" w:themeColor="background1" w:themeShade="80"/>
              <w:bottom w:val="single" w:sz="2" w:space="0" w:color="808080" w:themeColor="background1" w:themeShade="80"/>
            </w:tcBorders>
            <w:vAlign w:val="center"/>
          </w:tcPr>
          <w:p w14:paraId="0EAB3859" w14:textId="3A7CD603"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599D591D" w14:textId="6CF2C02E" w:rsidR="00D768EA" w:rsidRPr="001D6913" w:rsidRDefault="00D768EA" w:rsidP="00AD2662">
            <w:pPr>
              <w:pStyle w:val="Tabletext"/>
            </w:pPr>
            <w:r w:rsidRPr="001D6913">
              <w:t>Darling Downs &amp; West Moreton</w:t>
            </w:r>
          </w:p>
        </w:tc>
        <w:tc>
          <w:tcPr>
            <w:tcW w:w="860" w:type="pct"/>
            <w:tcBorders>
              <w:top w:val="single" w:sz="2" w:space="0" w:color="808080" w:themeColor="background1" w:themeShade="80"/>
              <w:bottom w:val="single" w:sz="2" w:space="0" w:color="808080" w:themeColor="background1" w:themeShade="80"/>
            </w:tcBorders>
            <w:vAlign w:val="center"/>
          </w:tcPr>
          <w:p w14:paraId="3A442ED9" w14:textId="550DAADB"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0470A2E0" w14:textId="622ED8E8" w:rsidR="00D768EA" w:rsidRPr="001D6913" w:rsidRDefault="00C76E7F" w:rsidP="00AD2662">
            <w:pPr>
              <w:pStyle w:val="Tabletext"/>
            </w:pPr>
            <w:r>
              <w:t xml:space="preserve">July </w:t>
            </w:r>
            <w:r w:rsidR="00D768EA" w:rsidRPr="001D6913">
              <w:t>2008</w:t>
            </w:r>
          </w:p>
        </w:tc>
        <w:tc>
          <w:tcPr>
            <w:tcW w:w="856" w:type="pct"/>
            <w:tcBorders>
              <w:top w:val="single" w:sz="2" w:space="0" w:color="808080" w:themeColor="background1" w:themeShade="80"/>
              <w:bottom w:val="single" w:sz="2" w:space="0" w:color="808080" w:themeColor="background1" w:themeShade="80"/>
            </w:tcBorders>
            <w:vAlign w:val="center"/>
          </w:tcPr>
          <w:p w14:paraId="6239D649" w14:textId="3C63973E" w:rsidR="00BF7AA8" w:rsidRPr="002A32BC" w:rsidRDefault="00BF7AA8" w:rsidP="00AD2662">
            <w:pPr>
              <w:pStyle w:val="Tabletext"/>
            </w:pPr>
            <w:r w:rsidRPr="002A32BC">
              <w:t>All analysis</w:t>
            </w:r>
          </w:p>
        </w:tc>
      </w:tr>
      <w:tr w:rsidR="00D768EA" w14:paraId="506DB94E" w14:textId="73D287A2" w:rsidTr="00AD2662">
        <w:tc>
          <w:tcPr>
            <w:tcW w:w="838" w:type="pct"/>
            <w:tcBorders>
              <w:top w:val="single" w:sz="2" w:space="0" w:color="808080" w:themeColor="background1" w:themeShade="80"/>
              <w:bottom w:val="single" w:sz="2" w:space="0" w:color="808080" w:themeColor="background1" w:themeShade="80"/>
            </w:tcBorders>
            <w:vAlign w:val="center"/>
          </w:tcPr>
          <w:p w14:paraId="5DB2851F" w14:textId="16A765ED" w:rsidR="00D768EA" w:rsidRPr="001D6913" w:rsidRDefault="00D768EA" w:rsidP="00AD2662">
            <w:pPr>
              <w:pStyle w:val="Tabletext"/>
            </w:pPr>
            <w:r w:rsidRPr="001D6913">
              <w:t>Werribee</w:t>
            </w:r>
          </w:p>
        </w:tc>
        <w:tc>
          <w:tcPr>
            <w:tcW w:w="460" w:type="pct"/>
            <w:tcBorders>
              <w:top w:val="single" w:sz="2" w:space="0" w:color="808080" w:themeColor="background1" w:themeShade="80"/>
              <w:bottom w:val="single" w:sz="2" w:space="0" w:color="808080" w:themeColor="background1" w:themeShade="80"/>
            </w:tcBorders>
            <w:vAlign w:val="center"/>
          </w:tcPr>
          <w:p w14:paraId="24A9DAE4" w14:textId="622B14BE"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233F347F" w14:textId="37C39C72" w:rsidR="00D768EA" w:rsidRPr="001D6913" w:rsidRDefault="00D768EA" w:rsidP="00AD2662">
            <w:pPr>
              <w:pStyle w:val="Tabletext"/>
            </w:pPr>
            <w:r w:rsidRPr="001D6913">
              <w:t>North Western Melbourne</w:t>
            </w:r>
          </w:p>
        </w:tc>
        <w:tc>
          <w:tcPr>
            <w:tcW w:w="860" w:type="pct"/>
            <w:tcBorders>
              <w:top w:val="single" w:sz="2" w:space="0" w:color="808080" w:themeColor="background1" w:themeShade="80"/>
              <w:bottom w:val="single" w:sz="2" w:space="0" w:color="808080" w:themeColor="background1" w:themeShade="80"/>
            </w:tcBorders>
            <w:vAlign w:val="center"/>
          </w:tcPr>
          <w:p w14:paraId="5D8676C6" w14:textId="0860793D"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4ACDB38B" w14:textId="1AB6451F" w:rsidR="00D768EA" w:rsidRPr="001D6913" w:rsidRDefault="00C76E7F" w:rsidP="00AD2662">
            <w:pPr>
              <w:pStyle w:val="Tabletext"/>
            </w:pPr>
            <w:r>
              <w:t>February 2014</w:t>
            </w:r>
          </w:p>
        </w:tc>
        <w:tc>
          <w:tcPr>
            <w:tcW w:w="856" w:type="pct"/>
            <w:tcBorders>
              <w:top w:val="single" w:sz="2" w:space="0" w:color="808080" w:themeColor="background1" w:themeShade="80"/>
              <w:bottom w:val="single" w:sz="2" w:space="0" w:color="808080" w:themeColor="background1" w:themeShade="80"/>
            </w:tcBorders>
            <w:vAlign w:val="center"/>
          </w:tcPr>
          <w:p w14:paraId="46D7A46C" w14:textId="53AE07FA" w:rsidR="00BF7AA8" w:rsidRPr="002A32BC" w:rsidRDefault="00BF7AA8" w:rsidP="00AD2662">
            <w:pPr>
              <w:pStyle w:val="Tabletext"/>
            </w:pPr>
            <w:r w:rsidRPr="002A32BC">
              <w:t>All analysis</w:t>
            </w:r>
          </w:p>
        </w:tc>
      </w:tr>
      <w:tr w:rsidR="00D768EA" w14:paraId="77B7D7A9" w14:textId="7B6B516F" w:rsidTr="00AD2662">
        <w:tc>
          <w:tcPr>
            <w:tcW w:w="838" w:type="pct"/>
            <w:tcBorders>
              <w:top w:val="single" w:sz="2" w:space="0" w:color="808080" w:themeColor="background1" w:themeShade="80"/>
              <w:bottom w:val="single" w:sz="2" w:space="0" w:color="808080" w:themeColor="background1" w:themeShade="80"/>
            </w:tcBorders>
            <w:vAlign w:val="center"/>
          </w:tcPr>
          <w:p w14:paraId="1C6ACF10" w14:textId="2EFDEF3E" w:rsidR="00D768EA" w:rsidRPr="001D6913" w:rsidRDefault="00D768EA" w:rsidP="00AD2662">
            <w:pPr>
              <w:pStyle w:val="Tabletext"/>
            </w:pPr>
            <w:r w:rsidRPr="001D6913">
              <w:t>Whyalla</w:t>
            </w:r>
          </w:p>
        </w:tc>
        <w:tc>
          <w:tcPr>
            <w:tcW w:w="460" w:type="pct"/>
            <w:tcBorders>
              <w:top w:val="single" w:sz="2" w:space="0" w:color="808080" w:themeColor="background1" w:themeShade="80"/>
              <w:bottom w:val="single" w:sz="2" w:space="0" w:color="808080" w:themeColor="background1" w:themeShade="80"/>
            </w:tcBorders>
            <w:vAlign w:val="center"/>
          </w:tcPr>
          <w:p w14:paraId="4896579A" w14:textId="29C7AD31" w:rsidR="00D768EA" w:rsidRPr="001D6913" w:rsidRDefault="00D768EA" w:rsidP="00AD2662">
            <w:pPr>
              <w:pStyle w:val="Tabletext"/>
            </w:pPr>
            <w:r w:rsidRPr="001D6913">
              <w:t>SA</w:t>
            </w:r>
          </w:p>
        </w:tc>
        <w:tc>
          <w:tcPr>
            <w:tcW w:w="1127" w:type="pct"/>
            <w:tcBorders>
              <w:top w:val="single" w:sz="2" w:space="0" w:color="808080" w:themeColor="background1" w:themeShade="80"/>
              <w:bottom w:val="single" w:sz="2" w:space="0" w:color="808080" w:themeColor="background1" w:themeShade="80"/>
            </w:tcBorders>
            <w:vAlign w:val="center"/>
          </w:tcPr>
          <w:p w14:paraId="4AAB9107" w14:textId="6655A571" w:rsidR="00D768EA" w:rsidRPr="001D6913" w:rsidRDefault="00D768EA" w:rsidP="00AD2662">
            <w:pPr>
              <w:pStyle w:val="Tabletext"/>
            </w:pPr>
            <w:r w:rsidRPr="001D6913">
              <w:t>Country SA</w:t>
            </w:r>
          </w:p>
        </w:tc>
        <w:tc>
          <w:tcPr>
            <w:tcW w:w="860" w:type="pct"/>
            <w:tcBorders>
              <w:top w:val="single" w:sz="2" w:space="0" w:color="808080" w:themeColor="background1" w:themeShade="80"/>
              <w:bottom w:val="single" w:sz="2" w:space="0" w:color="808080" w:themeColor="background1" w:themeShade="80"/>
            </w:tcBorders>
            <w:vAlign w:val="center"/>
          </w:tcPr>
          <w:p w14:paraId="5F0E0F34" w14:textId="7817DF4A"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32E78A77" w14:textId="6D0E7792" w:rsidR="00D768EA" w:rsidRPr="001D6913" w:rsidRDefault="00C76E7F" w:rsidP="00AD2662">
            <w:pPr>
              <w:pStyle w:val="Tabletext"/>
            </w:pPr>
            <w:r>
              <w:t xml:space="preserve">April </w:t>
            </w:r>
            <w:r w:rsidR="00D768EA" w:rsidRPr="001D6913">
              <w:t>2018</w:t>
            </w:r>
          </w:p>
        </w:tc>
        <w:tc>
          <w:tcPr>
            <w:tcW w:w="856" w:type="pct"/>
            <w:tcBorders>
              <w:top w:val="single" w:sz="2" w:space="0" w:color="808080" w:themeColor="background1" w:themeShade="80"/>
              <w:bottom w:val="single" w:sz="2" w:space="0" w:color="808080" w:themeColor="background1" w:themeShade="80"/>
            </w:tcBorders>
            <w:vAlign w:val="center"/>
          </w:tcPr>
          <w:p w14:paraId="6CA5830E" w14:textId="5674F595" w:rsidR="00BF7AA8" w:rsidRPr="002A32BC" w:rsidRDefault="00BF7AA8" w:rsidP="00AD2662">
            <w:pPr>
              <w:pStyle w:val="Tabletext"/>
            </w:pPr>
            <w:r w:rsidRPr="002A32BC">
              <w:t>All analysis</w:t>
            </w:r>
          </w:p>
        </w:tc>
      </w:tr>
      <w:tr w:rsidR="00D768EA" w14:paraId="2CE438BB" w14:textId="0F051EA2" w:rsidTr="00AD2662">
        <w:tc>
          <w:tcPr>
            <w:tcW w:w="838" w:type="pct"/>
            <w:tcBorders>
              <w:top w:val="single" w:sz="2" w:space="0" w:color="808080" w:themeColor="background1" w:themeShade="80"/>
              <w:bottom w:val="single" w:sz="2" w:space="0" w:color="808080" w:themeColor="background1" w:themeShade="80"/>
            </w:tcBorders>
            <w:vAlign w:val="center"/>
          </w:tcPr>
          <w:p w14:paraId="0C0E8807" w14:textId="5ECFF590" w:rsidR="00D768EA" w:rsidRPr="001D6913" w:rsidRDefault="00D768EA" w:rsidP="00AD2662">
            <w:pPr>
              <w:pStyle w:val="Tabletext"/>
            </w:pPr>
            <w:r w:rsidRPr="001D6913">
              <w:t>Wollongong</w:t>
            </w:r>
          </w:p>
        </w:tc>
        <w:tc>
          <w:tcPr>
            <w:tcW w:w="460" w:type="pct"/>
            <w:tcBorders>
              <w:top w:val="single" w:sz="2" w:space="0" w:color="808080" w:themeColor="background1" w:themeShade="80"/>
              <w:bottom w:val="single" w:sz="2" w:space="0" w:color="808080" w:themeColor="background1" w:themeShade="80"/>
            </w:tcBorders>
            <w:vAlign w:val="center"/>
          </w:tcPr>
          <w:p w14:paraId="24853E93" w14:textId="6C4C076A" w:rsidR="00D768EA" w:rsidRPr="001D6913" w:rsidRDefault="00D768EA" w:rsidP="00AD2662">
            <w:pPr>
              <w:pStyle w:val="Tabletext"/>
            </w:pPr>
            <w:r w:rsidRPr="001D6913">
              <w:t>NSW</w:t>
            </w:r>
          </w:p>
        </w:tc>
        <w:tc>
          <w:tcPr>
            <w:tcW w:w="1127" w:type="pct"/>
            <w:tcBorders>
              <w:top w:val="single" w:sz="2" w:space="0" w:color="808080" w:themeColor="background1" w:themeShade="80"/>
              <w:bottom w:val="single" w:sz="2" w:space="0" w:color="808080" w:themeColor="background1" w:themeShade="80"/>
            </w:tcBorders>
            <w:vAlign w:val="center"/>
          </w:tcPr>
          <w:p w14:paraId="26BE5290" w14:textId="7EB8CCB1" w:rsidR="00D768EA" w:rsidRPr="001D6913" w:rsidRDefault="00D768EA" w:rsidP="00AD2662">
            <w:pPr>
              <w:pStyle w:val="Tabletext"/>
            </w:pPr>
            <w:r w:rsidRPr="001D6913">
              <w:t>South Eastern NSW</w:t>
            </w:r>
          </w:p>
        </w:tc>
        <w:tc>
          <w:tcPr>
            <w:tcW w:w="860" w:type="pct"/>
            <w:tcBorders>
              <w:top w:val="single" w:sz="2" w:space="0" w:color="808080" w:themeColor="background1" w:themeShade="80"/>
              <w:bottom w:val="single" w:sz="2" w:space="0" w:color="808080" w:themeColor="background1" w:themeShade="80"/>
            </w:tcBorders>
            <w:vAlign w:val="center"/>
          </w:tcPr>
          <w:p w14:paraId="60F03D50" w14:textId="46DE1AAF"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E722AE3" w14:textId="17061F6C" w:rsidR="00D768EA" w:rsidRPr="001D6913" w:rsidRDefault="00C76E7F" w:rsidP="00AD2662">
            <w:pPr>
              <w:pStyle w:val="Tabletext"/>
            </w:pPr>
            <w:r>
              <w:t>February 2008</w:t>
            </w:r>
          </w:p>
        </w:tc>
        <w:tc>
          <w:tcPr>
            <w:tcW w:w="856" w:type="pct"/>
            <w:tcBorders>
              <w:top w:val="single" w:sz="2" w:space="0" w:color="808080" w:themeColor="background1" w:themeShade="80"/>
              <w:bottom w:val="single" w:sz="2" w:space="0" w:color="808080" w:themeColor="background1" w:themeShade="80"/>
            </w:tcBorders>
            <w:vAlign w:val="center"/>
          </w:tcPr>
          <w:p w14:paraId="6635D601" w14:textId="5FFE4751" w:rsidR="00BF7AA8" w:rsidRPr="002A32BC" w:rsidRDefault="00BF7AA8" w:rsidP="00AD2662">
            <w:pPr>
              <w:pStyle w:val="Tabletext"/>
            </w:pPr>
            <w:r w:rsidRPr="002A32BC">
              <w:t>All analysis</w:t>
            </w:r>
          </w:p>
        </w:tc>
      </w:tr>
      <w:tr w:rsidR="00D768EA" w14:paraId="1212F118" w14:textId="54AB88E9" w:rsidTr="00AD2662">
        <w:tc>
          <w:tcPr>
            <w:tcW w:w="838" w:type="pct"/>
            <w:tcBorders>
              <w:top w:val="single" w:sz="2" w:space="0" w:color="808080" w:themeColor="background1" w:themeShade="80"/>
              <w:bottom w:val="single" w:sz="2" w:space="0" w:color="808080" w:themeColor="background1" w:themeShade="80"/>
            </w:tcBorders>
            <w:vAlign w:val="center"/>
          </w:tcPr>
          <w:p w14:paraId="1D8C855C" w14:textId="6B0C7F8F" w:rsidR="00D768EA" w:rsidRPr="001D6913" w:rsidRDefault="00D768EA" w:rsidP="00AD2662">
            <w:pPr>
              <w:pStyle w:val="Tabletext"/>
            </w:pPr>
            <w:r w:rsidRPr="001D6913">
              <w:t>Wonthaggi</w:t>
            </w:r>
          </w:p>
        </w:tc>
        <w:tc>
          <w:tcPr>
            <w:tcW w:w="460" w:type="pct"/>
            <w:tcBorders>
              <w:top w:val="single" w:sz="2" w:space="0" w:color="808080" w:themeColor="background1" w:themeShade="80"/>
              <w:bottom w:val="single" w:sz="2" w:space="0" w:color="808080" w:themeColor="background1" w:themeShade="80"/>
            </w:tcBorders>
            <w:vAlign w:val="center"/>
          </w:tcPr>
          <w:p w14:paraId="32E4CDE6" w14:textId="3BC56CD0" w:rsidR="00D768EA" w:rsidRPr="001D6913" w:rsidRDefault="00D768EA" w:rsidP="00AD2662">
            <w:pPr>
              <w:pStyle w:val="Tabletext"/>
            </w:pPr>
            <w:r w:rsidRPr="001D6913">
              <w:t>VIC</w:t>
            </w:r>
          </w:p>
        </w:tc>
        <w:tc>
          <w:tcPr>
            <w:tcW w:w="1127" w:type="pct"/>
            <w:tcBorders>
              <w:top w:val="single" w:sz="2" w:space="0" w:color="808080" w:themeColor="background1" w:themeShade="80"/>
              <w:bottom w:val="single" w:sz="2" w:space="0" w:color="808080" w:themeColor="background1" w:themeShade="80"/>
            </w:tcBorders>
            <w:vAlign w:val="center"/>
          </w:tcPr>
          <w:p w14:paraId="0EBBC23B" w14:textId="1291B10B" w:rsidR="00D768EA" w:rsidRPr="001D6913" w:rsidRDefault="00D768EA" w:rsidP="00AD2662">
            <w:pPr>
              <w:pStyle w:val="Tabletext"/>
            </w:pPr>
            <w:r w:rsidRPr="001D6913">
              <w:t>Gippsland</w:t>
            </w:r>
          </w:p>
        </w:tc>
        <w:tc>
          <w:tcPr>
            <w:tcW w:w="860" w:type="pct"/>
            <w:tcBorders>
              <w:top w:val="single" w:sz="2" w:space="0" w:color="808080" w:themeColor="background1" w:themeShade="80"/>
              <w:bottom w:val="single" w:sz="2" w:space="0" w:color="808080" w:themeColor="background1" w:themeShade="80"/>
            </w:tcBorders>
            <w:vAlign w:val="center"/>
          </w:tcPr>
          <w:p w14:paraId="2D385385" w14:textId="51B28EB4"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54170475" w14:textId="043CD808" w:rsidR="00D768EA" w:rsidRPr="001D6913" w:rsidRDefault="00C76E7F" w:rsidP="00AD2662">
            <w:pPr>
              <w:pStyle w:val="Tabletext"/>
            </w:pPr>
            <w:r>
              <w:rPr>
                <w:szCs w:val="20"/>
              </w:rPr>
              <w:t>December 2018</w:t>
            </w:r>
          </w:p>
        </w:tc>
        <w:tc>
          <w:tcPr>
            <w:tcW w:w="856" w:type="pct"/>
            <w:tcBorders>
              <w:top w:val="single" w:sz="2" w:space="0" w:color="808080" w:themeColor="background1" w:themeShade="80"/>
              <w:bottom w:val="single" w:sz="2" w:space="0" w:color="808080" w:themeColor="background1" w:themeShade="80"/>
            </w:tcBorders>
            <w:vAlign w:val="center"/>
          </w:tcPr>
          <w:p w14:paraId="6A0C585D" w14:textId="3902E7BC" w:rsidR="00BF7AA8" w:rsidRPr="002A32BC" w:rsidRDefault="00BF7AA8" w:rsidP="00AD2662">
            <w:pPr>
              <w:pStyle w:val="Tabletext"/>
            </w:pPr>
            <w:r w:rsidRPr="002A32BC">
              <w:t>All analysis</w:t>
            </w:r>
          </w:p>
        </w:tc>
      </w:tr>
      <w:tr w:rsidR="00D768EA" w14:paraId="492D25DB" w14:textId="175CFDBD" w:rsidTr="00AD2662">
        <w:tc>
          <w:tcPr>
            <w:tcW w:w="838" w:type="pct"/>
            <w:tcBorders>
              <w:top w:val="single" w:sz="2" w:space="0" w:color="808080" w:themeColor="background1" w:themeShade="80"/>
              <w:bottom w:val="single" w:sz="2" w:space="0" w:color="808080" w:themeColor="background1" w:themeShade="80"/>
            </w:tcBorders>
            <w:vAlign w:val="center"/>
          </w:tcPr>
          <w:p w14:paraId="7BB7F178" w14:textId="59868084" w:rsidR="00D768EA" w:rsidRPr="001D6913" w:rsidRDefault="00D768EA" w:rsidP="00AD2662">
            <w:pPr>
              <w:pStyle w:val="Tabletext"/>
            </w:pPr>
            <w:r w:rsidRPr="001D6913">
              <w:t>Woolloongabba</w:t>
            </w:r>
          </w:p>
        </w:tc>
        <w:tc>
          <w:tcPr>
            <w:tcW w:w="460" w:type="pct"/>
            <w:tcBorders>
              <w:top w:val="single" w:sz="2" w:space="0" w:color="808080" w:themeColor="background1" w:themeShade="80"/>
              <w:bottom w:val="single" w:sz="2" w:space="0" w:color="808080" w:themeColor="background1" w:themeShade="80"/>
            </w:tcBorders>
            <w:vAlign w:val="center"/>
          </w:tcPr>
          <w:p w14:paraId="5AB77AEF" w14:textId="1FEC326B" w:rsidR="00D768EA" w:rsidRPr="001D6913" w:rsidRDefault="00D768EA" w:rsidP="00AD2662">
            <w:pPr>
              <w:pStyle w:val="Tabletext"/>
            </w:pPr>
            <w:r w:rsidRPr="001D6913">
              <w:t>QLD</w:t>
            </w:r>
          </w:p>
        </w:tc>
        <w:tc>
          <w:tcPr>
            <w:tcW w:w="1127" w:type="pct"/>
            <w:tcBorders>
              <w:top w:val="single" w:sz="2" w:space="0" w:color="808080" w:themeColor="background1" w:themeShade="80"/>
              <w:bottom w:val="single" w:sz="2" w:space="0" w:color="808080" w:themeColor="background1" w:themeShade="80"/>
            </w:tcBorders>
            <w:vAlign w:val="center"/>
          </w:tcPr>
          <w:p w14:paraId="4BF403DB" w14:textId="7A41A785" w:rsidR="00D768EA" w:rsidRPr="001D6913" w:rsidRDefault="00D768EA" w:rsidP="00AD2662">
            <w:pPr>
              <w:pStyle w:val="Tabletext"/>
            </w:pPr>
            <w:r w:rsidRPr="001D6913">
              <w:t>Brisbane South</w:t>
            </w:r>
          </w:p>
        </w:tc>
        <w:tc>
          <w:tcPr>
            <w:tcW w:w="860" w:type="pct"/>
            <w:tcBorders>
              <w:top w:val="single" w:sz="2" w:space="0" w:color="808080" w:themeColor="background1" w:themeShade="80"/>
              <w:bottom w:val="single" w:sz="2" w:space="0" w:color="808080" w:themeColor="background1" w:themeShade="80"/>
            </w:tcBorders>
            <w:vAlign w:val="center"/>
          </w:tcPr>
          <w:p w14:paraId="2578CE34" w14:textId="4A197525" w:rsidR="00BF7AA8" w:rsidRPr="00265F67" w:rsidRDefault="00BF7AA8" w:rsidP="00AD2662">
            <w:pPr>
              <w:pStyle w:val="Tabletext"/>
            </w:pPr>
            <w:r w:rsidRPr="00265F67">
              <w:t>headspace centre</w:t>
            </w:r>
          </w:p>
        </w:tc>
        <w:tc>
          <w:tcPr>
            <w:tcW w:w="859" w:type="pct"/>
            <w:tcBorders>
              <w:top w:val="single" w:sz="2" w:space="0" w:color="808080" w:themeColor="background1" w:themeShade="80"/>
              <w:bottom w:val="single" w:sz="2" w:space="0" w:color="808080" w:themeColor="background1" w:themeShade="80"/>
            </w:tcBorders>
            <w:vAlign w:val="center"/>
          </w:tcPr>
          <w:p w14:paraId="6B44CB03" w14:textId="4690361D" w:rsidR="00D768EA" w:rsidRPr="001D6913" w:rsidRDefault="00C76E7F" w:rsidP="00AD2662">
            <w:pPr>
              <w:pStyle w:val="Tabletext"/>
            </w:pPr>
            <w:r>
              <w:t>February 2014</w:t>
            </w:r>
          </w:p>
        </w:tc>
        <w:tc>
          <w:tcPr>
            <w:tcW w:w="856" w:type="pct"/>
            <w:tcBorders>
              <w:top w:val="single" w:sz="2" w:space="0" w:color="808080" w:themeColor="background1" w:themeShade="80"/>
              <w:bottom w:val="single" w:sz="2" w:space="0" w:color="808080" w:themeColor="background1" w:themeShade="80"/>
            </w:tcBorders>
            <w:vAlign w:val="center"/>
          </w:tcPr>
          <w:p w14:paraId="7A92F108" w14:textId="3F80F40F" w:rsidR="00BF7AA8" w:rsidRPr="002A32BC" w:rsidRDefault="00BF7AA8" w:rsidP="00AD2662">
            <w:pPr>
              <w:pStyle w:val="Tabletext"/>
            </w:pPr>
            <w:r w:rsidRPr="002A32BC">
              <w:t>All analysis</w:t>
            </w:r>
          </w:p>
        </w:tc>
      </w:tr>
    </w:tbl>
    <w:p w14:paraId="4D7F5551" w14:textId="77777777" w:rsidR="006C76D4" w:rsidRDefault="006C76D4" w:rsidP="001268EC">
      <w:pPr>
        <w:pStyle w:val="Source"/>
      </w:pPr>
      <w:r w:rsidRPr="00055013">
        <w:t>Source: KPMG</w:t>
      </w:r>
      <w:r>
        <w:t xml:space="preserve"> 2022</w:t>
      </w:r>
    </w:p>
    <w:p w14:paraId="79692BF8" w14:textId="4B98CAD1" w:rsidR="00A751BB" w:rsidRPr="00A751BB" w:rsidRDefault="00A751BB" w:rsidP="00A751BB">
      <w:pPr>
        <w:pStyle w:val="Source"/>
      </w:pPr>
      <w:r>
        <w:t>Note” Services marked with an asterisk * represent those services not recorded in the Commonwealth Government’s official count of headspace services.</w:t>
      </w:r>
      <w:r w:rsidR="003F4744">
        <w:t xml:space="preserve"> The Elsternwick service is counted as one service with Bentleigh</w:t>
      </w:r>
    </w:p>
    <w:p w14:paraId="798B470B" w14:textId="77777777" w:rsidR="004F45DC" w:rsidRDefault="004F45DC" w:rsidP="001268EC">
      <w:pPr>
        <w:pStyle w:val="Source"/>
      </w:pPr>
    </w:p>
    <w:p w14:paraId="31652B7F" w14:textId="77777777" w:rsidR="00E233E2" w:rsidRDefault="00E233E2" w:rsidP="000244E4">
      <w:pPr>
        <w:pStyle w:val="BodyText"/>
        <w:sectPr w:rsidR="00E233E2" w:rsidSect="00E233E2">
          <w:pgSz w:w="16838" w:h="11906" w:orient="landscape"/>
          <w:pgMar w:top="1418" w:right="1418" w:bottom="1418" w:left="1418" w:header="709" w:footer="453" w:gutter="0"/>
          <w:cols w:space="708"/>
          <w:docGrid w:linePitch="360"/>
        </w:sectPr>
      </w:pPr>
      <w:bookmarkStart w:id="217" w:name="Exclusioncriteria"/>
      <w:bookmarkStart w:id="218" w:name="Exclusioncriteria2"/>
      <w:bookmarkStart w:id="219" w:name="_Ref98325045"/>
      <w:bookmarkStart w:id="220" w:name="_Ref98402827"/>
      <w:bookmarkEnd w:id="217"/>
      <w:bookmarkEnd w:id="218"/>
    </w:p>
    <w:p w14:paraId="697C6774" w14:textId="7E0922A0" w:rsidR="007F00F3" w:rsidRPr="007F00F3" w:rsidRDefault="00F94673" w:rsidP="007F00F3">
      <w:pPr>
        <w:pStyle w:val="Appendixheading"/>
      </w:pPr>
      <w:bookmarkStart w:id="221" w:name="_Ref105492953"/>
      <w:bookmarkStart w:id="222" w:name="_Toc108173997"/>
      <w:r>
        <w:t>:</w:t>
      </w:r>
      <w:r w:rsidR="00A75399">
        <w:t xml:space="preserve"> </w:t>
      </w:r>
      <w:r w:rsidR="006E1084">
        <w:t xml:space="preserve">Effectiveness </w:t>
      </w:r>
      <w:r w:rsidR="000A244D">
        <w:t xml:space="preserve">in </w:t>
      </w:r>
      <w:r w:rsidR="005B34A2">
        <w:t>achieving intermediate</w:t>
      </w:r>
      <w:r w:rsidR="00284E64">
        <w:t xml:space="preserve"> outcomes</w:t>
      </w:r>
      <w:bookmarkEnd w:id="219"/>
      <w:bookmarkEnd w:id="220"/>
      <w:bookmarkEnd w:id="221"/>
      <w:bookmarkEnd w:id="222"/>
    </w:p>
    <w:p w14:paraId="1E194E1D" w14:textId="77777777" w:rsidR="00D63473" w:rsidRDefault="00D63473" w:rsidP="00EC241D">
      <w:pPr>
        <w:pStyle w:val="AppendixHeading2"/>
      </w:pPr>
      <w:bookmarkStart w:id="223" w:name="_Ref98325710"/>
      <w:r>
        <w:t>H</w:t>
      </w:r>
      <w:r w:rsidRPr="00FD65DA">
        <w:t>ow effective is headspace in increasing mental health literacy?</w:t>
      </w:r>
      <w:bookmarkEnd w:id="223"/>
      <w:r w:rsidRPr="00E76C55">
        <w:t xml:space="preserve"> </w:t>
      </w:r>
    </w:p>
    <w:p w14:paraId="4BD677AA" w14:textId="2AE6813E" w:rsidR="00D63473" w:rsidRPr="00DF5E63" w:rsidRDefault="00D63473" w:rsidP="00F25952">
      <w:pPr>
        <w:pStyle w:val="AppendixHeading3"/>
      </w:pPr>
      <w:r>
        <w:t>Mental health literacy</w:t>
      </w:r>
    </w:p>
    <w:p w14:paraId="68980EFB" w14:textId="7B4B80E7" w:rsidR="00A53EA5" w:rsidRDefault="00A53EA5" w:rsidP="00A53EA5">
      <w:pPr>
        <w:pStyle w:val="Caption"/>
      </w:pPr>
      <w:bookmarkStart w:id="224" w:name="_Toc108108995"/>
      <w:r>
        <w:t xml:space="preserve">Table </w:t>
      </w:r>
      <w:fldSimple w:instr=" SEQ Table \* ARABIC ">
        <w:r w:rsidR="00CC0438">
          <w:rPr>
            <w:noProof/>
          </w:rPr>
          <w:t>45</w:t>
        </w:r>
      </w:fldSimple>
      <w:r>
        <w:t xml:space="preserve"> </w:t>
      </w:r>
      <w:r w:rsidRPr="007F6DB7">
        <w:t>Overview of mental health literacy objectives of headspace</w:t>
      </w:r>
      <w:bookmarkEnd w:id="224"/>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mental health literacy objectives of headspace"/>
        <w:tblDescription w:val="Table 46 has 3 columns and summarises the objectives of headspace services with respect to mental health literacy. Column 1 outlines the objective. Column 2 summarises the short-term impacts expected. Column 3 summarises the medium-term impacts expected."/>
      </w:tblPr>
      <w:tblGrid>
        <w:gridCol w:w="2127"/>
        <w:gridCol w:w="3543"/>
        <w:gridCol w:w="3543"/>
      </w:tblGrid>
      <w:tr w:rsidR="00D63473" w14:paraId="51426987" w14:textId="77777777" w:rsidTr="00F27C38">
        <w:trPr>
          <w:tblHeader/>
        </w:trPr>
        <w:tc>
          <w:tcPr>
            <w:tcW w:w="1154" w:type="pct"/>
            <w:tcBorders>
              <w:top w:val="nil"/>
              <w:left w:val="nil"/>
              <w:bottom w:val="single" w:sz="4" w:space="0" w:color="00338D"/>
              <w:right w:val="nil"/>
            </w:tcBorders>
            <w:shd w:val="clear" w:color="auto" w:fill="00338D"/>
            <w:hideMark/>
          </w:tcPr>
          <w:p w14:paraId="7DB99962" w14:textId="77777777" w:rsidR="00D63473" w:rsidRDefault="00D63473" w:rsidP="00F27C38">
            <w:pPr>
              <w:pStyle w:val="Tableheading"/>
              <w:spacing w:before="120"/>
            </w:pPr>
            <w:r>
              <w:t>Objective</w:t>
            </w:r>
          </w:p>
        </w:tc>
        <w:tc>
          <w:tcPr>
            <w:tcW w:w="1923" w:type="pct"/>
            <w:tcBorders>
              <w:top w:val="nil"/>
              <w:left w:val="nil"/>
              <w:bottom w:val="single" w:sz="4" w:space="0" w:color="00338D"/>
              <w:right w:val="nil"/>
            </w:tcBorders>
            <w:shd w:val="clear" w:color="auto" w:fill="00338D"/>
            <w:hideMark/>
          </w:tcPr>
          <w:p w14:paraId="543E42A1" w14:textId="00D68DBA" w:rsidR="00D63473" w:rsidRDefault="00D63473" w:rsidP="00F27C38">
            <w:pPr>
              <w:pStyle w:val="Tableheading"/>
              <w:spacing w:before="120"/>
            </w:pPr>
            <w:r>
              <w:t>Short term</w:t>
            </w:r>
            <w:r w:rsidR="000D1CE6">
              <w:t>-</w:t>
            </w:r>
            <w:r>
              <w:t>impacts</w:t>
            </w:r>
          </w:p>
        </w:tc>
        <w:tc>
          <w:tcPr>
            <w:tcW w:w="1923" w:type="pct"/>
            <w:tcBorders>
              <w:top w:val="nil"/>
              <w:left w:val="nil"/>
              <w:bottom w:val="single" w:sz="4" w:space="0" w:color="00338D"/>
              <w:right w:val="nil"/>
            </w:tcBorders>
            <w:shd w:val="clear" w:color="auto" w:fill="00338D"/>
            <w:hideMark/>
          </w:tcPr>
          <w:p w14:paraId="738F0868" w14:textId="4207C826" w:rsidR="00D63473" w:rsidRDefault="00D63473" w:rsidP="00F27C38">
            <w:pPr>
              <w:pStyle w:val="Tableheading"/>
              <w:spacing w:before="120"/>
            </w:pPr>
            <w:r>
              <w:t>Medium</w:t>
            </w:r>
            <w:r w:rsidR="000D1CE6">
              <w:t>-</w:t>
            </w:r>
            <w:r>
              <w:t>term impacts</w:t>
            </w:r>
          </w:p>
        </w:tc>
      </w:tr>
      <w:tr w:rsidR="00D63473" w14:paraId="0AE641D9" w14:textId="77777777" w:rsidTr="00F27C38">
        <w:tc>
          <w:tcPr>
            <w:tcW w:w="1154" w:type="pct"/>
            <w:tcBorders>
              <w:top w:val="single" w:sz="4" w:space="0" w:color="00338D"/>
              <w:left w:val="nil"/>
              <w:bottom w:val="single" w:sz="2" w:space="0" w:color="808080" w:themeColor="background1" w:themeShade="80"/>
              <w:right w:val="nil"/>
            </w:tcBorders>
            <w:hideMark/>
          </w:tcPr>
          <w:p w14:paraId="7BD741AC" w14:textId="77777777" w:rsidR="00D63473" w:rsidRPr="00932453" w:rsidRDefault="00D63473" w:rsidP="00F27C38">
            <w:pPr>
              <w:pStyle w:val="Tabletext"/>
            </w:pPr>
            <w:r w:rsidRPr="00723E3F">
              <w:rPr>
                <w:b/>
                <w:bCs/>
              </w:rPr>
              <w:t>Increasing mental health literacy</w:t>
            </w:r>
            <w:r>
              <w:t xml:space="preserve"> - </w:t>
            </w:r>
            <w:r w:rsidRPr="00224AD0">
              <w:t>knowledge about mental health, how to seek help and how to manage mental health</w:t>
            </w:r>
          </w:p>
        </w:tc>
        <w:tc>
          <w:tcPr>
            <w:tcW w:w="1923" w:type="pct"/>
            <w:tcBorders>
              <w:top w:val="single" w:sz="4" w:space="0" w:color="00338D"/>
              <w:left w:val="nil"/>
              <w:bottom w:val="single" w:sz="2" w:space="0" w:color="808080" w:themeColor="background1" w:themeShade="80"/>
              <w:right w:val="nil"/>
            </w:tcBorders>
            <w:hideMark/>
          </w:tcPr>
          <w:p w14:paraId="0BFF5754" w14:textId="77777777" w:rsidR="00D63473" w:rsidRPr="00932453" w:rsidRDefault="00D63473" w:rsidP="00BE038D">
            <w:pPr>
              <w:pStyle w:val="TableBullet1"/>
            </w:pPr>
            <w:r w:rsidRPr="00932453">
              <w:t>Young people accessing headspace services improve their mental health literacy (knowledge about mental health, how to seek help, and how to manage mental health)</w:t>
            </w:r>
          </w:p>
        </w:tc>
        <w:tc>
          <w:tcPr>
            <w:tcW w:w="1923" w:type="pct"/>
            <w:tcBorders>
              <w:top w:val="single" w:sz="4" w:space="0" w:color="00338D"/>
              <w:left w:val="nil"/>
              <w:bottom w:val="single" w:sz="2" w:space="0" w:color="808080" w:themeColor="background1" w:themeShade="80"/>
              <w:right w:val="nil"/>
            </w:tcBorders>
            <w:hideMark/>
          </w:tcPr>
          <w:p w14:paraId="5DC5DE19" w14:textId="77777777" w:rsidR="00D63473" w:rsidRPr="00932453" w:rsidRDefault="00D63473" w:rsidP="00BE038D">
            <w:pPr>
              <w:pStyle w:val="TableBullet1"/>
            </w:pPr>
            <w:r w:rsidRPr="00932453">
              <w:t>Young people are better able to manage their mental health in the medium- to long-term, including identifying when they need to seek help and support</w:t>
            </w:r>
          </w:p>
        </w:tc>
      </w:tr>
    </w:tbl>
    <w:p w14:paraId="3E78D05D" w14:textId="77777777" w:rsidR="00D63473" w:rsidRDefault="00D63473" w:rsidP="00D63473">
      <w:pPr>
        <w:pStyle w:val="BodyText"/>
      </w:pPr>
      <w:r>
        <w:t xml:space="preserve">The headspace program logic sets out the above objectives and impacts associated with increasing mental health literacy. In this context, mental health literacy is defined as </w:t>
      </w:r>
      <w:r w:rsidRPr="00224AD0">
        <w:t>knowledge about mental health, how to seek help and how to manage mental health.</w:t>
      </w:r>
      <w:r>
        <w:t xml:space="preserve"> </w:t>
      </w:r>
      <w:r w:rsidRPr="00442E1C">
        <w:t>Through improving mental health literacy, the headspace model supports the medium</w:t>
      </w:r>
      <w:r>
        <w:t>-</w:t>
      </w:r>
      <w:r w:rsidRPr="00442E1C">
        <w:t xml:space="preserve">term impact that young people are better able to manage their mental health in the medium- to long-term, including identifying when they need to seek help and support. Ultimately, </w:t>
      </w:r>
      <w:r>
        <w:t xml:space="preserve">improved mental health literacy contributes to </w:t>
      </w:r>
      <w:r w:rsidRPr="00442E1C">
        <w:t>long-term impacts of improved health outcomes for young people and increased social and economic participation outcomes for young people over the</w:t>
      </w:r>
      <w:r>
        <w:t>ir</w:t>
      </w:r>
      <w:r w:rsidRPr="00442E1C">
        <w:t xml:space="preserve"> life course.</w:t>
      </w:r>
    </w:p>
    <w:p w14:paraId="3BDE51E8" w14:textId="42BC1B16" w:rsidR="00D63473" w:rsidRDefault="00D63473" w:rsidP="00D63473">
      <w:pPr>
        <w:pStyle w:val="BodyText"/>
      </w:pPr>
      <w:r>
        <w:t xml:space="preserve">As the world experiences unprecedented challenges in the face of COVID-19, good mental health literacy in young people and their key support people may lead to better outcomes for those with mental illness, either by </w:t>
      </w:r>
      <w:r>
        <w:rPr>
          <w:rFonts w:cs="Arial"/>
          <w:color w:val="202124"/>
          <w:shd w:val="clear" w:color="auto" w:fill="FFFFFF"/>
        </w:rPr>
        <w:t>assisting early help</w:t>
      </w:r>
      <w:r w:rsidR="00BD29DF">
        <w:rPr>
          <w:rFonts w:cs="Arial"/>
          <w:color w:val="202124"/>
          <w:shd w:val="clear" w:color="auto" w:fill="FFFFFF"/>
        </w:rPr>
        <w:t xml:space="preserve"> </w:t>
      </w:r>
      <w:r>
        <w:rPr>
          <w:rFonts w:cs="Arial"/>
          <w:color w:val="202124"/>
          <w:shd w:val="clear" w:color="auto" w:fill="FFFFFF"/>
        </w:rPr>
        <w:t>seeking by young people themselves</w:t>
      </w:r>
      <w:r>
        <w:t>, or by their support people identifying early signs of mental disorders and seeking help on their behalf</w:t>
      </w:r>
      <w:r w:rsidR="00CC0438">
        <w:rPr>
          <w:rFonts w:ascii="ZWAdobeF" w:hAnsi="ZWAdobeF" w:cs="ZWAdobeF"/>
          <w:sz w:val="2"/>
          <w:szCs w:val="2"/>
        </w:rPr>
        <w:t>165F</w:t>
      </w:r>
      <w:r>
        <w:rPr>
          <w:rStyle w:val="FootnoteReference"/>
        </w:rPr>
        <w:footnoteReference w:id="167"/>
      </w:r>
      <w:r>
        <w:t xml:space="preserve"> </w:t>
      </w:r>
      <w:r w:rsidR="00CC0438">
        <w:rPr>
          <w:rFonts w:ascii="ZWAdobeF" w:hAnsi="ZWAdobeF" w:cs="ZWAdobeF"/>
          <w:sz w:val="2"/>
          <w:szCs w:val="2"/>
        </w:rPr>
        <w:t>166F</w:t>
      </w:r>
      <w:r>
        <w:rPr>
          <w:rStyle w:val="FootnoteReference"/>
        </w:rPr>
        <w:footnoteReference w:id="168"/>
      </w:r>
      <w:r>
        <w:t xml:space="preserve">. In the headspace context, mental health literacy refers to knowledge about mental health, how to manage mental health and how to go about accessing support with mental health concerns. </w:t>
      </w:r>
    </w:p>
    <w:p w14:paraId="5AF90E1E" w14:textId="45680384" w:rsidR="00D63473" w:rsidRDefault="00D63473" w:rsidP="00D63473">
      <w:pPr>
        <w:pStyle w:val="BodyText"/>
      </w:pPr>
      <w:r>
        <w:t xml:space="preserve">Previous evaluation work undertaken by headspace National indicates that the headspace </w:t>
      </w:r>
      <w:r w:rsidR="001F2443">
        <w:t>model</w:t>
      </w:r>
      <w:r>
        <w:t xml:space="preserve"> is effective in building mental health literacy for young people. For example, Colmar Brunton conducted a review which found consistent feedback across stakeholder groups that headspace supports better understanding of mental health, ill health and seeking help</w:t>
      </w:r>
      <w:r w:rsidR="00CC0438">
        <w:rPr>
          <w:rFonts w:ascii="ZWAdobeF" w:hAnsi="ZWAdobeF" w:cs="ZWAdobeF"/>
          <w:sz w:val="2"/>
          <w:szCs w:val="2"/>
        </w:rPr>
        <w:t>167F</w:t>
      </w:r>
      <w:r>
        <w:rPr>
          <w:rStyle w:val="FootnoteReference"/>
        </w:rPr>
        <w:footnoteReference w:id="169"/>
      </w:r>
      <w:r>
        <w:t>.</w:t>
      </w:r>
    </w:p>
    <w:p w14:paraId="1F9F70C3" w14:textId="01765D0C" w:rsidR="00D63473" w:rsidRDefault="00D63473" w:rsidP="00D63473">
      <w:pPr>
        <w:pStyle w:val="BodyText"/>
      </w:pPr>
      <w:r>
        <w:t xml:space="preserve">In order for the current evaluation to examine the extent to which the headspace model is effective in increasing mental health literacy, a range of data and evidence was reviewed from across the fieldwork activities conducted for this project. These are described below, and include analysis of the hMDS, interviews with service users, interviews with </w:t>
      </w:r>
      <w:r w:rsidR="001F058F">
        <w:t>Y</w:t>
      </w:r>
      <w:r>
        <w:t xml:space="preserve">outh </w:t>
      </w:r>
      <w:r w:rsidR="001F058F">
        <w:t>R</w:t>
      </w:r>
      <w:r>
        <w:t xml:space="preserve">eference </w:t>
      </w:r>
      <w:r w:rsidR="001F058F">
        <w:t>G</w:t>
      </w:r>
      <w:r>
        <w:t xml:space="preserve">roup members, interviews with university and school counsellors and survey responses from </w:t>
      </w:r>
      <w:r w:rsidR="0050072E">
        <w:t>service</w:t>
      </w:r>
      <w:r>
        <w:t xml:space="preserve"> and lead agency staff. </w:t>
      </w:r>
    </w:p>
    <w:p w14:paraId="42B5B6D7" w14:textId="77777777" w:rsidR="00D63473" w:rsidRDefault="00D63473" w:rsidP="00D63473">
      <w:pPr>
        <w:pStyle w:val="Heading4"/>
      </w:pPr>
      <w:r>
        <w:t>Evidence of the contribution of headspace to increased mental health literacy</w:t>
      </w:r>
    </w:p>
    <w:p w14:paraId="50343351" w14:textId="77777777" w:rsidR="00D63473" w:rsidRPr="00827962" w:rsidRDefault="00D63473" w:rsidP="00D63473">
      <w:pPr>
        <w:pStyle w:val="Heading5"/>
      </w:pPr>
      <w:r>
        <w:t xml:space="preserve">Perspectives of young people who use headspace </w:t>
      </w:r>
    </w:p>
    <w:p w14:paraId="7DA182C3" w14:textId="0A041114" w:rsidR="00D63473" w:rsidRDefault="00D63473" w:rsidP="00D63473">
      <w:pPr>
        <w:pStyle w:val="BodyText"/>
      </w:pPr>
      <w:r>
        <w:t xml:space="preserve">A key indicator of the extent to which the headspace model has a positive effect on the mental health literacy of young people attending its services is measured through the </w:t>
      </w:r>
      <w:r w:rsidRPr="000609B3">
        <w:t>hMDS young person satisfaction matrix</w:t>
      </w:r>
      <w:r>
        <w:t xml:space="preserve">. </w:t>
      </w:r>
      <w:r w:rsidRPr="00062563">
        <w:t xml:space="preserve">Young people attending headspace are given the option to complete a satisfaction survey on their second </w:t>
      </w:r>
      <w:r w:rsidR="004263C0">
        <w:t>OOS</w:t>
      </w:r>
      <w:r w:rsidRPr="00062563">
        <w:t xml:space="preserve">, and subsequently at every fourth visit during that </w:t>
      </w:r>
      <w:r w:rsidR="00080644">
        <w:t>EOC</w:t>
      </w:r>
      <w:r w:rsidRPr="00062563">
        <w:t xml:space="preserve">. The </w:t>
      </w:r>
      <w:r>
        <w:t>survey</w:t>
      </w:r>
      <w:r w:rsidRPr="00062563">
        <w:t xml:space="preserve"> asks them to rate 14 statements on a five point scale of ‘strongly agree’ to ‘strongly disagree’. </w:t>
      </w:r>
      <w:r>
        <w:t>Statement</w:t>
      </w:r>
      <w:r w:rsidR="00501A44">
        <w:t> </w:t>
      </w:r>
      <w:r>
        <w:t>11 is an indicator of self-reported change in mental health literacy:</w:t>
      </w:r>
    </w:p>
    <w:p w14:paraId="382278F6" w14:textId="77777777" w:rsidR="00D63473" w:rsidRDefault="00D63473" w:rsidP="00D63473">
      <w:pPr>
        <w:pStyle w:val="Quote"/>
        <w:rPr>
          <w:i w:val="0"/>
        </w:rPr>
      </w:pPr>
      <w:r w:rsidRPr="000C31EF">
        <w:t>“I feel that I know more about mental health problems in general because of attending headspace”</w:t>
      </w:r>
    </w:p>
    <w:p w14:paraId="1D87549A" w14:textId="4662A0DB" w:rsidR="00D63473" w:rsidRPr="00134B4B" w:rsidRDefault="00D63473" w:rsidP="00D63473">
      <w:pPr>
        <w:pStyle w:val="Caption"/>
      </w:pPr>
      <w:bookmarkStart w:id="225" w:name="_Toc108109217"/>
      <w:r>
        <w:t xml:space="preserve">Figure </w:t>
      </w:r>
      <w:r>
        <w:fldChar w:fldCharType="begin"/>
      </w:r>
      <w:r>
        <w:instrText>SEQ Figure \* ARABIC</w:instrText>
      </w:r>
      <w:r>
        <w:fldChar w:fldCharType="separate"/>
      </w:r>
      <w:r w:rsidR="00CC0438">
        <w:rPr>
          <w:noProof/>
        </w:rPr>
        <w:t>32</w:t>
      </w:r>
      <w:r>
        <w:fldChar w:fldCharType="end"/>
      </w:r>
      <w:bookmarkStart w:id="226" w:name="figure22"/>
      <w:bookmarkEnd w:id="226"/>
      <w:r>
        <w:t xml:space="preserve">: Distribution of responses to </w:t>
      </w:r>
      <w:r w:rsidRPr="00446DB4">
        <w:t>“I feel that I know more about mental health problems in general because of attending headspace”</w:t>
      </w:r>
      <w:r>
        <w:t xml:space="preserve"> from 2015-16 to 2019-20</w:t>
      </w:r>
      <w:bookmarkEnd w:id="225"/>
    </w:p>
    <w:p w14:paraId="618A05DD" w14:textId="5C52AE64" w:rsidR="00FB470A" w:rsidRPr="00FB470A" w:rsidRDefault="00FB470A" w:rsidP="00916489">
      <w:pPr>
        <w:pStyle w:val="BodyText"/>
      </w:pPr>
      <w:r>
        <w:rPr>
          <w:noProof/>
        </w:rPr>
        <w:drawing>
          <wp:inline distT="0" distB="0" distL="0" distR="0" wp14:anchorId="1F8C432A" wp14:editId="548AEE6B">
            <wp:extent cx="5037455" cy="3234055"/>
            <wp:effectExtent l="0" t="0" r="0" b="4445"/>
            <wp:docPr id="220" name="Picture 220" descr="Figure 32 is a bar chart summarising answers to the question “I feel I know more about mental health problems in general because of attending headspace” between 2015-16 and 2019-20.&#10;Strongly agree was provided as the response in 19.9% of episodes of care&#10;Agree was provided as the response in 46.3% of episodes of care&#10;Neither Agree nor disagree was provided as the response in 28.6% of episodes of care&#10;Disagree was provided as the response in 3.7% of episodes of care&#10;Strongly disagree was provided as the response in 1% of episodes of care&#10;Not applicable was answered in 0.5% of episodes of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Figure 32 is a bar chart summarising answers to the question “I feel I know more about mental health problems in general because of attending headspace” between 2015-16 and 2019-20.&#10;Strongly agree was provided as the response in 19.9% of episodes of care&#10;Agree was provided as the response in 46.3% of episodes of care&#10;Neither Agree nor disagree was provided as the response in 28.6% of episodes of care&#10;Disagree was provided as the response in 3.7% of episodes of care&#10;Strongly disagree was provided as the response in 1% of episodes of care&#10;Not applicable was answered in 0.5% of episodes of care&#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0FE4A69E" w14:textId="77777777" w:rsidR="00D63473" w:rsidRPr="00B602FE" w:rsidRDefault="00D63473" w:rsidP="00D63473">
      <w:pPr>
        <w:pStyle w:val="Source"/>
      </w:pPr>
      <w:r w:rsidRPr="00B602FE">
        <w:t>Source: KPMG master dataset covering completed and ongoing episodes of care from created during 2015-16 to 2019-20</w:t>
      </w:r>
    </w:p>
    <w:p w14:paraId="51D8BE4F" w14:textId="62B44294" w:rsidR="00D63473" w:rsidRPr="00B602FE" w:rsidRDefault="00D63473" w:rsidP="00D63473">
      <w:pPr>
        <w:pStyle w:val="Source"/>
      </w:pPr>
      <w:r w:rsidRPr="00B602FE">
        <w:t xml:space="preserve">Notes: See </w:t>
      </w:r>
      <w:r w:rsidR="005C04C0">
        <w:fldChar w:fldCharType="begin" w:fldLock="1"/>
      </w:r>
      <w:r w:rsidR="005C04C0">
        <w:instrText xml:space="preserve"> REF _Ref98402466 \r \h </w:instrText>
      </w:r>
      <w:r w:rsidR="005C04C0">
        <w:fldChar w:fldCharType="separate"/>
      </w:r>
      <w:r w:rsidR="00AE4D34">
        <w:t>Appendix F</w:t>
      </w:r>
      <w:r w:rsidR="005C04C0">
        <w:fldChar w:fldCharType="end"/>
      </w:r>
      <w:r>
        <w:t xml:space="preserve"> </w:t>
      </w:r>
      <w:r w:rsidRPr="00B602FE">
        <w:t>for a description o</w:t>
      </w:r>
      <w:r w:rsidR="009C7592">
        <w:t>f</w:t>
      </w:r>
      <w:r w:rsidRPr="00B602FE">
        <w:t xml:space="preserve"> how the master dataset is derived. Sample includes 379,130 episodes of care.</w:t>
      </w:r>
    </w:p>
    <w:p w14:paraId="0309BE69" w14:textId="386B1B02" w:rsidR="00D63473" w:rsidRDefault="00D63473" w:rsidP="00D63473">
      <w:pPr>
        <w:pStyle w:val="BodyText"/>
      </w:pPr>
      <w:r>
        <w:t xml:space="preserve">Within the period of analysis, </w:t>
      </w:r>
      <w:r w:rsidRPr="00B602FE">
        <w:t>125,209</w:t>
      </w:r>
      <w:r>
        <w:t xml:space="preserve"> out of </w:t>
      </w:r>
      <w:r w:rsidRPr="00B602FE">
        <w:t>379,130</w:t>
      </w:r>
      <w:r>
        <w:t xml:space="preserve"> episodes observed between 2015-16 to 2019</w:t>
      </w:r>
      <w:r>
        <w:noBreakHyphen/>
        <w:t xml:space="preserve">20 had responses given by young people to this statement, for 33 per cent of the total number of episodes of care. Overall, </w:t>
      </w:r>
      <w:r w:rsidR="00BB7CA0">
        <w:t>around 6</w:t>
      </w:r>
      <w:r>
        <w:t>6 per cent of respondents either agreed or strongly agreed (20</w:t>
      </w:r>
      <w:r w:rsidR="00812A15">
        <w:t> </w:t>
      </w:r>
      <w:r>
        <w:t xml:space="preserve">per cent) with the statement, indicating that they attribute an increase in their mental health literacy to their </w:t>
      </w:r>
      <w:r w:rsidRPr="00B602FE">
        <w:t>interactions</w:t>
      </w:r>
      <w:r>
        <w:t xml:space="preserve"> with headspace. </w:t>
      </w:r>
    </w:p>
    <w:p w14:paraId="27DA703A" w14:textId="62EB7782" w:rsidR="00D63473" w:rsidRDefault="00D63473" w:rsidP="00D63473">
      <w:pPr>
        <w:pStyle w:val="BodyText"/>
      </w:pPr>
      <w:r>
        <w:t xml:space="preserve">Responses reflected a similar pattern across genders, as well as for young people from culturally and linguistically diverse backgrounds, Aboriginal </w:t>
      </w:r>
      <w:r w:rsidR="00691BD4">
        <w:t>and</w:t>
      </w:r>
      <w:r>
        <w:t xml:space="preserve"> Torres Strait Islander </w:t>
      </w:r>
      <w:r w:rsidR="00477B79">
        <w:t>young people</w:t>
      </w:r>
      <w:r>
        <w:t xml:space="preserve">, and for young people who speak a language other than English at home. </w:t>
      </w:r>
    </w:p>
    <w:p w14:paraId="02102FC0" w14:textId="7F5EDEEE" w:rsidR="00D63473" w:rsidRDefault="00D63473" w:rsidP="00D63473">
      <w:pPr>
        <w:pStyle w:val="BodyText"/>
      </w:pPr>
      <w:r>
        <w:t xml:space="preserve">The extent to which young people indicated that headspace had helped them to improve their mental health literacy steadily increased with the number of </w:t>
      </w:r>
      <w:r w:rsidR="007B2863">
        <w:t>OOS</w:t>
      </w:r>
      <w:r>
        <w:t xml:space="preserve"> they had accessed. Where the young person had received one to two </w:t>
      </w:r>
      <w:r w:rsidR="007B2863">
        <w:t>OOS</w:t>
      </w:r>
      <w:r>
        <w:t xml:space="preserve">, 53 per cent of responses agreed or strongly agreed with the question statement, compared with 79 per cent agreement where they had received 20 or more </w:t>
      </w:r>
      <w:r w:rsidR="007B2863">
        <w:t>OOS</w:t>
      </w:r>
      <w:r>
        <w:t>.</w:t>
      </w:r>
    </w:p>
    <w:p w14:paraId="42049897" w14:textId="7EE59CF3" w:rsidR="00D63473" w:rsidRPr="0047108E" w:rsidRDefault="00D63473" w:rsidP="00D63473">
      <w:pPr>
        <w:pStyle w:val="Caption"/>
      </w:pPr>
      <w:bookmarkStart w:id="227" w:name="_Toc108109218"/>
      <w:r>
        <w:t xml:space="preserve">Figure </w:t>
      </w:r>
      <w:r>
        <w:fldChar w:fldCharType="begin"/>
      </w:r>
      <w:r>
        <w:instrText>SEQ Figure \* ARABIC</w:instrText>
      </w:r>
      <w:r>
        <w:fldChar w:fldCharType="separate"/>
      </w:r>
      <w:r w:rsidR="00CC0438">
        <w:rPr>
          <w:noProof/>
        </w:rPr>
        <w:t>33</w:t>
      </w:r>
      <w:r>
        <w:fldChar w:fldCharType="end"/>
      </w:r>
      <w:r>
        <w:t xml:space="preserve">: Proportion of </w:t>
      </w:r>
      <w:r w:rsidR="00737017">
        <w:t>episodes</w:t>
      </w:r>
      <w:r>
        <w:t xml:space="preserve"> </w:t>
      </w:r>
      <w:r w:rsidR="00572998">
        <w:t xml:space="preserve">of care for young people </w:t>
      </w:r>
      <w:r>
        <w:t xml:space="preserve">who agreed their mental health literacy had improved after using headspace services, based on the number of </w:t>
      </w:r>
      <w:r w:rsidR="00231B8A">
        <w:t>O</w:t>
      </w:r>
      <w:r w:rsidR="007B2863">
        <w:t>O</w:t>
      </w:r>
      <w:r w:rsidR="00231B8A">
        <w:t>S</w:t>
      </w:r>
      <w:r>
        <w:t xml:space="preserve"> accessed during their episode of care</w:t>
      </w:r>
      <w:bookmarkEnd w:id="227"/>
    </w:p>
    <w:p w14:paraId="4263F5DD" w14:textId="61246EF0" w:rsidR="00A01861" w:rsidRPr="00A01861" w:rsidRDefault="00A01861" w:rsidP="00455064">
      <w:r>
        <w:rPr>
          <w:noProof/>
        </w:rPr>
        <w:drawing>
          <wp:inline distT="0" distB="0" distL="0" distR="0" wp14:anchorId="76A073EA" wp14:editId="3FEE206F">
            <wp:extent cx="5037455" cy="3234055"/>
            <wp:effectExtent l="0" t="0" r="0" b="4445"/>
            <wp:docPr id="112" name="Picture 112" descr="Figure 33 is a bar chart summarising the proportion of episodes of care where young people agreed their mental health literacy had improved because of attending headspace. &#10;79.1% of episodes of care with more than 20 occasions of service agreed&#10;76% of episodes of care with 11-20 occasions of service agreed&#10;69.7% of episodes of care with 6-10 occasions of service agreed&#10;58.2% of episodes of care with 3-5 occasions of service agreed&#10;53.3% of episodes of care with 1-2 occasions of service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Figure 33 is a bar chart summarising the proportion of episodes of care where young people agreed their mental health literacy had improved because of attending headspace. &#10;79.1% of episodes of care with more than 20 occasions of service agreed&#10;76% of episodes of care with 11-20 occasions of service agreed&#10;69.7% of episodes of care with 6-10 occasions of service agreed&#10;58.2% of episodes of care with 3-5 occasions of service agreed&#10;53.3% of episodes of care with 1-2 occasions of service agreed.&#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5B95CF60" w14:textId="16812193" w:rsidR="00D63473" w:rsidRPr="00860532" w:rsidRDefault="00D63473" w:rsidP="00D63473">
      <w:pPr>
        <w:pStyle w:val="Source"/>
      </w:pPr>
      <w:r w:rsidRPr="00860532">
        <w:t xml:space="preserve">Source: KPMG </w:t>
      </w:r>
      <w:r>
        <w:t>analysis of hMDS</w:t>
      </w:r>
      <w:r w:rsidRPr="00860532">
        <w:t xml:space="preserve"> covering completed and ongoing episodes of care created </w:t>
      </w:r>
      <w:r>
        <w:t>from</w:t>
      </w:r>
      <w:r w:rsidRPr="00860532">
        <w:t xml:space="preserve"> 2015-16 to 2019-20</w:t>
      </w:r>
    </w:p>
    <w:p w14:paraId="1D41727D" w14:textId="1547E992" w:rsidR="00D63473" w:rsidRPr="00860532" w:rsidRDefault="00D63473" w:rsidP="00D63473">
      <w:pPr>
        <w:pStyle w:val="Source"/>
      </w:pPr>
      <w:r w:rsidRPr="00860532">
        <w:t>Notes: Sample includes 379,130 episodes of care.</w:t>
      </w:r>
      <w:r>
        <w:t xml:space="preserve"> Analysis considers last observed response </w:t>
      </w:r>
      <w:r w:rsidR="007F2633">
        <w:t xml:space="preserve">to </w:t>
      </w:r>
      <w:r>
        <w:t>the question “more about mental health problems in general because of attending headspace”.</w:t>
      </w:r>
    </w:p>
    <w:p w14:paraId="7A65AC82" w14:textId="32CB192C" w:rsidR="00D63473" w:rsidRDefault="00D63473" w:rsidP="00D63473">
      <w:pPr>
        <w:pStyle w:val="BodyText"/>
      </w:pPr>
      <w:r>
        <w:t xml:space="preserve">The vast majority of headspace </w:t>
      </w:r>
      <w:r w:rsidRPr="00C410FC">
        <w:t>users</w:t>
      </w:r>
      <w:r>
        <w:t xml:space="preserve"> interviewed reported their mental health literacy had improved due to their participation in therapeutic encounters with headspace counsellors and clinical psychologists. They </w:t>
      </w:r>
      <w:r w:rsidR="00CA52B5">
        <w:t>articulated they had</w:t>
      </w:r>
      <w:r>
        <w:t xml:space="preserve"> learned about mental health, specific concepts, obtained a diagnos</w:t>
      </w:r>
      <w:r w:rsidR="00EC47F1">
        <w:t>i</w:t>
      </w:r>
      <w:r>
        <w:t>s in many cases, and had gained more insight into their own conditions, discussing these using concepts and language derived from written material and their therapists. Some attributed new knowledge and positive outcomes wholly to headspace, for example:</w:t>
      </w:r>
    </w:p>
    <w:p w14:paraId="2997F9D4" w14:textId="77777777" w:rsidR="00D63473" w:rsidRPr="00860532" w:rsidRDefault="00D63473" w:rsidP="00D63473">
      <w:pPr>
        <w:pStyle w:val="Quote"/>
        <w:rPr>
          <w:lang w:val="en-US"/>
        </w:rPr>
      </w:pPr>
      <w:r>
        <w:rPr>
          <w:lang w:val="en-US"/>
        </w:rPr>
        <w:t>“</w:t>
      </w:r>
      <w:r w:rsidRPr="00860532">
        <w:rPr>
          <w:lang w:val="en-US"/>
        </w:rPr>
        <w:t>I've learned a lot.</w:t>
      </w:r>
      <w:r>
        <w:rPr>
          <w:lang w:val="en-US"/>
        </w:rPr>
        <w:t xml:space="preserve"> </w:t>
      </w:r>
      <w:r w:rsidRPr="00860532">
        <w:rPr>
          <w:lang w:val="en-US"/>
        </w:rPr>
        <w:t xml:space="preserve">It’s </w:t>
      </w:r>
      <w:r w:rsidRPr="00860532">
        <w:t>been good since then…li</w:t>
      </w:r>
      <w:r w:rsidRPr="00860532">
        <w:rPr>
          <w:lang w:val="en-US"/>
        </w:rPr>
        <w:t>ke the strategies they give you at headspace. I just want to thank headspace for changing my life and I still continue to grow.</w:t>
      </w:r>
      <w:r>
        <w:rPr>
          <w:lang w:val="en-US"/>
        </w:rPr>
        <w:t xml:space="preserve"> </w:t>
      </w:r>
      <w:r w:rsidRPr="00860532">
        <w:rPr>
          <w:lang w:val="en-US"/>
        </w:rPr>
        <w:t xml:space="preserve">I still take what I learnt from headspace every day.” </w:t>
      </w:r>
    </w:p>
    <w:p w14:paraId="46580492" w14:textId="77777777" w:rsidR="00D63473" w:rsidRPr="002E38F4" w:rsidRDefault="00D63473" w:rsidP="003006A8">
      <w:pPr>
        <w:pStyle w:val="BodyText"/>
        <w:rPr>
          <w:lang w:val="en-US"/>
        </w:rPr>
      </w:pPr>
      <w:r>
        <w:rPr>
          <w:lang w:val="en-US"/>
        </w:rPr>
        <w:t>and</w:t>
      </w:r>
    </w:p>
    <w:p w14:paraId="39B4249D" w14:textId="77777777" w:rsidR="00D63473" w:rsidRPr="00860532" w:rsidRDefault="00D63473" w:rsidP="00D63473">
      <w:pPr>
        <w:pStyle w:val="Quote"/>
        <w:rPr>
          <w:lang w:val="en-US"/>
        </w:rPr>
      </w:pPr>
      <w:r>
        <w:rPr>
          <w:lang w:val="en-US"/>
        </w:rPr>
        <w:t>“</w:t>
      </w:r>
      <w:r w:rsidRPr="00860532">
        <w:rPr>
          <w:lang w:val="en-US"/>
        </w:rPr>
        <w:t>I think it's solely because of headspace that I got better.</w:t>
      </w:r>
      <w:r>
        <w:rPr>
          <w:lang w:val="en-US"/>
        </w:rPr>
        <w:t xml:space="preserve"> </w:t>
      </w:r>
      <w:r w:rsidRPr="00860532">
        <w:rPr>
          <w:lang w:val="en-US"/>
        </w:rPr>
        <w:t>I would've never gotten better if I hadn't gone.”</w:t>
      </w:r>
    </w:p>
    <w:p w14:paraId="4EED7121" w14:textId="77777777" w:rsidR="00D63473" w:rsidRDefault="00D63473" w:rsidP="003006A8">
      <w:pPr>
        <w:pStyle w:val="BodyText"/>
        <w:rPr>
          <w:lang w:val="en-US"/>
        </w:rPr>
      </w:pPr>
      <w:r>
        <w:rPr>
          <w:lang w:val="en-US"/>
        </w:rPr>
        <w:t>At the same time, a minority felt headspace had not helped them much or at all:</w:t>
      </w:r>
    </w:p>
    <w:p w14:paraId="0619CD84" w14:textId="77777777" w:rsidR="00D63473" w:rsidRPr="00860532" w:rsidRDefault="00D63473" w:rsidP="00D63473">
      <w:pPr>
        <w:pStyle w:val="Quote"/>
      </w:pPr>
      <w:r>
        <w:rPr>
          <w:lang w:val="en-US"/>
        </w:rPr>
        <w:t>“</w:t>
      </w:r>
      <w:r w:rsidRPr="00860532">
        <w:rPr>
          <w:lang w:val="en-US"/>
        </w:rPr>
        <w:t>I might be an outlier.</w:t>
      </w:r>
      <w:r>
        <w:rPr>
          <w:lang w:val="en-US"/>
        </w:rPr>
        <w:t xml:space="preserve"> </w:t>
      </w:r>
      <w:r w:rsidRPr="00860532">
        <w:rPr>
          <w:lang w:val="en-US"/>
        </w:rPr>
        <w:t>I think there’s a lot of people that headspace probably have helped but maybe it’s just not for me or maybe I haven’t found the right person.”</w:t>
      </w:r>
    </w:p>
    <w:p w14:paraId="26EE0238" w14:textId="38A455C1" w:rsidR="00D63473" w:rsidRDefault="00D63473" w:rsidP="000244E4">
      <w:pPr>
        <w:pStyle w:val="BodyText"/>
      </w:pPr>
      <w:r>
        <w:t xml:space="preserve">A key aspect of building mental health literacy with young people, emphasised in interview responses from headspace </w:t>
      </w:r>
      <w:r w:rsidRPr="00C410FC">
        <w:t>users</w:t>
      </w:r>
      <w:r>
        <w:t>, is the level of rapport and engagement established between the young person and the headspace worker with whom they are connected.</w:t>
      </w:r>
    </w:p>
    <w:p w14:paraId="13D7D9D7" w14:textId="77777777" w:rsidR="00D63473" w:rsidRDefault="00D63473" w:rsidP="00D63473">
      <w:pPr>
        <w:pStyle w:val="BodyText"/>
      </w:pPr>
      <w:r>
        <w:t xml:space="preserve">Apart from learning more about mental health through headspace, </w:t>
      </w:r>
      <w:r w:rsidRPr="00C410FC">
        <w:t>users</w:t>
      </w:r>
      <w:r>
        <w:t xml:space="preserve"> also cited other sources of knowledge, including from private psychologists and by researching and reading information online.</w:t>
      </w:r>
    </w:p>
    <w:p w14:paraId="5ACCC91F" w14:textId="07456341" w:rsidR="00D63473" w:rsidRDefault="00D63473" w:rsidP="003006A8">
      <w:pPr>
        <w:pStyle w:val="BodyText"/>
      </w:pPr>
      <w:r>
        <w:t xml:space="preserve">Overall, </w:t>
      </w:r>
      <w:r w:rsidR="001F058F">
        <w:t>Y</w:t>
      </w:r>
      <w:r>
        <w:t xml:space="preserve">outh </w:t>
      </w:r>
      <w:r w:rsidR="001F058F">
        <w:t>R</w:t>
      </w:r>
      <w:r>
        <w:t xml:space="preserve">eference </w:t>
      </w:r>
      <w:r w:rsidR="001F058F">
        <w:t>G</w:t>
      </w:r>
      <w:r>
        <w:t xml:space="preserve">roup participants interviewed reported that their mental health literacy had improved through engagement with headspace: </w:t>
      </w:r>
    </w:p>
    <w:p w14:paraId="7D4C970E" w14:textId="77777777" w:rsidR="00D63473" w:rsidRDefault="00D63473" w:rsidP="00D63473">
      <w:pPr>
        <w:pStyle w:val="Quote"/>
      </w:pPr>
      <w:r>
        <w:t xml:space="preserve">“I think headspace has really helped, one: understanding how you’re feeling and what’s going on, and then, two: after understanding it, learning how to cope with it, how to deal with it, different </w:t>
      </w:r>
      <w:r w:rsidRPr="00047DCA">
        <w:t>strategies</w:t>
      </w:r>
      <w:r>
        <w:t xml:space="preserve"> to help you through.”</w:t>
      </w:r>
    </w:p>
    <w:p w14:paraId="7E4BEA65" w14:textId="77777777" w:rsidR="00D63473" w:rsidRDefault="00D63473" w:rsidP="00D63473">
      <w:pPr>
        <w:pStyle w:val="BodyText"/>
      </w:pPr>
      <w:r>
        <w:t>After coming to headspace, using the services, and learning coping strategies to manage their mental health, many of the young people in reference groups interviewed reported that they had gained more confidence to speak about their experiences and had then actively promoted the service to friends and more broadly:</w:t>
      </w:r>
    </w:p>
    <w:p w14:paraId="416C1DB3" w14:textId="18BEEBBD" w:rsidR="00D63473" w:rsidRDefault="00D63473" w:rsidP="00D63473">
      <w:pPr>
        <w:pStyle w:val="Quote"/>
      </w:pPr>
      <w:r>
        <w:t xml:space="preserve">“I have two friends who I said, you know, you’ve got to go to headspace, you’ve got to do something about how you’re feeling, </w:t>
      </w:r>
      <w:r w:rsidRPr="00047DCA">
        <w:t>and</w:t>
      </w:r>
      <w:r>
        <w:t xml:space="preserve"> both of them have now continued to come to headspace and they now both promote it and they talk about it and, you know, they’re on track to seeking help and it’s something that is really positive.” </w:t>
      </w:r>
    </w:p>
    <w:p w14:paraId="6BBC435A" w14:textId="77777777" w:rsidR="00D63473" w:rsidRDefault="00D63473" w:rsidP="00D63473">
      <w:pPr>
        <w:pStyle w:val="Heading5"/>
        <w:rPr>
          <w:rFonts w:eastAsiaTheme="majorEastAsia" w:cstheme="majorBidi"/>
          <w:color w:val="00338D" w:themeColor="background2"/>
          <w:sz w:val="24"/>
        </w:rPr>
      </w:pPr>
      <w:r>
        <w:t>Perspectives of headspace service providers</w:t>
      </w:r>
    </w:p>
    <w:p w14:paraId="3070C00B" w14:textId="77777777" w:rsidR="00D63473" w:rsidRDefault="00D63473" w:rsidP="00D63473">
      <w:pPr>
        <w:pStyle w:val="BodyText"/>
        <w:rPr>
          <w:i/>
          <w:szCs w:val="20"/>
        </w:rPr>
      </w:pPr>
      <w:r>
        <w:t>The survey of staff from services and lead agencies included two questions to elicit staff views of the efficacy of the headspace model on improving the mental health literacy of young people. The first question asked them to use a five point rating scale of ‘very well’ to ‘not at all well’ in response to the prompt:</w:t>
      </w:r>
    </w:p>
    <w:p w14:paraId="708432A5" w14:textId="64B5A661" w:rsidR="00D63473" w:rsidRPr="00233615" w:rsidRDefault="00D63473" w:rsidP="00D63473">
      <w:pPr>
        <w:pStyle w:val="QuoteBold"/>
        <w:rPr>
          <w:i/>
        </w:rPr>
      </w:pPr>
      <w:r w:rsidRPr="00233615">
        <w:t xml:space="preserve">Based on your observation of young people at </w:t>
      </w:r>
      <w:r w:rsidRPr="0017666B">
        <w:t>your</w:t>
      </w:r>
      <w:r w:rsidRPr="00233615">
        <w:t xml:space="preserve"> headspace service, how well does the service increase mental health literacy? For example, building understanding of where to seek support, understanding of mental ill health and treatments, and reduction of stigma to support help</w:t>
      </w:r>
      <w:r w:rsidR="00BD29DF">
        <w:t xml:space="preserve"> </w:t>
      </w:r>
      <w:r w:rsidRPr="00233615">
        <w:t>seeking.</w:t>
      </w:r>
    </w:p>
    <w:p w14:paraId="1A97DD2E" w14:textId="4F06BA8F" w:rsidR="00D63473" w:rsidRDefault="00D63473" w:rsidP="00D63473">
      <w:pPr>
        <w:pStyle w:val="Caption"/>
      </w:pPr>
      <w:bookmarkStart w:id="228" w:name="_Toc108109219"/>
      <w:r>
        <w:t xml:space="preserve">Figure </w:t>
      </w:r>
      <w:r>
        <w:fldChar w:fldCharType="begin"/>
      </w:r>
      <w:r>
        <w:instrText>SEQ Figure \* ARABIC</w:instrText>
      </w:r>
      <w:r>
        <w:fldChar w:fldCharType="separate"/>
      </w:r>
      <w:r w:rsidR="00CC0438">
        <w:rPr>
          <w:noProof/>
        </w:rPr>
        <w:t>34</w:t>
      </w:r>
      <w:r>
        <w:fldChar w:fldCharType="end"/>
      </w:r>
      <w:r>
        <w:t>: Responses from lead agency and headspace survey representatives on how effective headspace services are in increasing mental health literacy</w:t>
      </w:r>
      <w:bookmarkEnd w:id="228"/>
    </w:p>
    <w:p w14:paraId="4F0CDD4A" w14:textId="1DFC85BE" w:rsidR="00D63473" w:rsidRDefault="00606F5B" w:rsidP="003006A8">
      <w:pPr>
        <w:pStyle w:val="BodyText"/>
      </w:pPr>
      <w:r>
        <w:rPr>
          <w:noProof/>
        </w:rPr>
        <w:drawing>
          <wp:inline distT="0" distB="0" distL="0" distR="0" wp14:anchorId="196624FC" wp14:editId="5BABE1DE">
            <wp:extent cx="5035550" cy="3048000"/>
            <wp:effectExtent l="0" t="0" r="0" b="0"/>
            <wp:docPr id="58" name="Picture 58" descr="Figure 34 is a pie chart presenting responses from lead agency and headspace service survey respondents about the effectiveness of headspace services in improving mental health literacy. &#10;33% of respondents said very well&#10;60% of respondents said well&#10;3% of respondents said neutral&#10;2% of respondents said not well&#10;2% of respondents said not well at 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Figure 34 is a pie chart presenting responses from lead agency and headspace service survey respondents about the effectiveness of headspace services in improving mental health literacy. &#10;33% of respondents said very well&#10;60% of respondents said well&#10;3% of respondents said neutral&#10;2% of respondents said not well&#10;2% of respondents said not well at all&#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5550" cy="3048000"/>
                    </a:xfrm>
                    <a:prstGeom prst="rect">
                      <a:avLst/>
                    </a:prstGeom>
                    <a:noFill/>
                  </pic:spPr>
                </pic:pic>
              </a:graphicData>
            </a:graphic>
          </wp:inline>
        </w:drawing>
      </w:r>
    </w:p>
    <w:p w14:paraId="3B9246D6" w14:textId="77777777" w:rsidR="00D63473" w:rsidRPr="00EC2A60" w:rsidRDefault="00D63473" w:rsidP="00EF390E">
      <w:pPr>
        <w:pStyle w:val="Source"/>
      </w:pPr>
      <w:r w:rsidRPr="00126FEB">
        <w:t>Source:</w:t>
      </w:r>
      <w:r>
        <w:t xml:space="preserve"> KPMG Analysis of the </w:t>
      </w:r>
      <w:r w:rsidRPr="00F8722C">
        <w:t xml:space="preserve">Survey of headspace services and their </w:t>
      </w:r>
      <w:r>
        <w:t>l</w:t>
      </w:r>
      <w:r w:rsidRPr="00F8722C">
        <w:t xml:space="preserve">ead </w:t>
      </w:r>
      <w:r>
        <w:t>a</w:t>
      </w:r>
      <w:r w:rsidRPr="00F8722C">
        <w:t>gencies</w:t>
      </w:r>
    </w:p>
    <w:p w14:paraId="75B4493E" w14:textId="0008C0C2" w:rsidR="00D63473" w:rsidRPr="00126FEB" w:rsidRDefault="00D63473" w:rsidP="00EF390E">
      <w:pPr>
        <w:pStyle w:val="Source"/>
      </w:pPr>
      <w:r>
        <w:t xml:space="preserve">Note: 60 staff at either </w:t>
      </w:r>
      <w:r w:rsidR="0050072E">
        <w:t>service</w:t>
      </w:r>
      <w:r>
        <w:t>s or lead agencies responded to this question in the survey</w:t>
      </w:r>
      <w:r w:rsidR="00CE7B3E">
        <w:t>.</w:t>
      </w:r>
      <w:r>
        <w:t xml:space="preserve"> </w:t>
      </w:r>
    </w:p>
    <w:p w14:paraId="206AD6FF" w14:textId="694D6279" w:rsidR="00D63473" w:rsidRDefault="00D63473" w:rsidP="00D63473">
      <w:pPr>
        <w:pStyle w:val="BodyText"/>
      </w:pPr>
      <w:r>
        <w:t xml:space="preserve">A total of 93 per cent of </w:t>
      </w:r>
      <w:r w:rsidR="0050072E">
        <w:t>service</w:t>
      </w:r>
      <w:r>
        <w:t xml:space="preserve"> and lead agency respondents selected ‘</w:t>
      </w:r>
      <w:r w:rsidR="002C0BA0">
        <w:t>v</w:t>
      </w:r>
      <w:r>
        <w:t xml:space="preserve">ery </w:t>
      </w:r>
      <w:r w:rsidR="002C0BA0">
        <w:t>w</w:t>
      </w:r>
      <w:r>
        <w:t>ell’ or ‘</w:t>
      </w:r>
      <w:r w:rsidR="002C0BA0">
        <w:t>w</w:t>
      </w:r>
      <w:r>
        <w:t xml:space="preserve">ell’ in response to this question, indicating that staff working within the headspace model have generally high levels of confidence that the services they provide lead to increases in mental health literacy for young people. </w:t>
      </w:r>
    </w:p>
    <w:p w14:paraId="3DC6B7B3" w14:textId="77777777" w:rsidR="00D63473" w:rsidRPr="00B032FD" w:rsidRDefault="00D63473" w:rsidP="003006A8">
      <w:pPr>
        <w:pStyle w:val="BodyText"/>
      </w:pPr>
      <w:r w:rsidRPr="00B032FD">
        <w:t xml:space="preserve">The survey </w:t>
      </w:r>
      <w:r>
        <w:t>then prompts a further, free text response to the question:</w:t>
      </w:r>
    </w:p>
    <w:p w14:paraId="0B821750" w14:textId="77777777" w:rsidR="00D63473" w:rsidRPr="0017666B" w:rsidRDefault="00D63473" w:rsidP="00D63473">
      <w:pPr>
        <w:pStyle w:val="QuoteBold"/>
      </w:pPr>
      <w:r w:rsidRPr="00233615">
        <w:t>Why have you chosen this response? What are the barriers and enablers to this service achieving this objective?</w:t>
      </w:r>
    </w:p>
    <w:p w14:paraId="18C4FDE7" w14:textId="698E3B88" w:rsidR="00D63473" w:rsidRDefault="00D63473" w:rsidP="003006A8">
      <w:pPr>
        <w:pStyle w:val="BodyText"/>
      </w:pPr>
      <w:r>
        <w:t>Responses identified a number of ways in which headspace services contribute to improved mental health literacy, including</w:t>
      </w:r>
      <w:r w:rsidR="005E5A8A">
        <w:t xml:space="preserve"> the following.</w:t>
      </w:r>
    </w:p>
    <w:p w14:paraId="584D5657" w14:textId="77777777" w:rsidR="00D63473" w:rsidRDefault="00D63473" w:rsidP="00D63473">
      <w:pPr>
        <w:pStyle w:val="Bullet1stlevel"/>
      </w:pPr>
      <w:r>
        <w:t>Broader community engagement by the headspace service, including through social media campaigns, education and awareness activities with local schools, and through establishing partnerships with local councils, universities and colleges.</w:t>
      </w:r>
    </w:p>
    <w:p w14:paraId="29F63620" w14:textId="77777777" w:rsidR="00D63473" w:rsidRDefault="00D63473" w:rsidP="00D63473">
      <w:pPr>
        <w:pStyle w:val="Bullet1stlevel"/>
      </w:pPr>
      <w:r>
        <w:t>Online and printed resources provided by services to support mental health literacy. These are seen to be frequently accessed by young people and their families, and include material on various services available in the local area, how to make informed decisions about referral pathways, and how young people can support their own mental health.</w:t>
      </w:r>
    </w:p>
    <w:p w14:paraId="65874064" w14:textId="77777777" w:rsidR="00D63473" w:rsidRDefault="00D63473" w:rsidP="00D63473">
      <w:pPr>
        <w:pStyle w:val="Bullet1stlevel"/>
        <w:rPr>
          <w:lang w:eastAsia="en-AU"/>
        </w:rPr>
      </w:pPr>
      <w:r>
        <w:rPr>
          <w:lang w:eastAsia="en-AU"/>
        </w:rPr>
        <w:t xml:space="preserve">A case management component of work undertaken with young people and families, upskilling them on mental health support options, and capacity building strategies. </w:t>
      </w:r>
    </w:p>
    <w:p w14:paraId="10BE2335" w14:textId="77777777" w:rsidR="00D63473" w:rsidRDefault="00D63473" w:rsidP="00D63473">
      <w:pPr>
        <w:pStyle w:val="Bullet1stlevel"/>
        <w:rPr>
          <w:lang w:eastAsia="en-AU"/>
        </w:rPr>
      </w:pPr>
      <w:r>
        <w:rPr>
          <w:lang w:eastAsia="en-AU"/>
        </w:rPr>
        <w:t>Psychoeducation provided as part of clinical services.</w:t>
      </w:r>
    </w:p>
    <w:p w14:paraId="69596ACA" w14:textId="77777777" w:rsidR="00D63473" w:rsidRDefault="00D63473" w:rsidP="00D63473">
      <w:pPr>
        <w:pStyle w:val="Bullet1stlevel"/>
        <w:rPr>
          <w:lang w:eastAsia="en-AU"/>
        </w:rPr>
      </w:pPr>
      <w:r>
        <w:rPr>
          <w:lang w:eastAsia="en-AU"/>
        </w:rPr>
        <w:t xml:space="preserve">Group work services that focus on mental health literacy, capacity building, and accessing support for young people. </w:t>
      </w:r>
    </w:p>
    <w:p w14:paraId="2662AC9D" w14:textId="77777777" w:rsidR="00D63473" w:rsidRDefault="00D63473" w:rsidP="00D63473">
      <w:pPr>
        <w:pStyle w:val="Bullet1stlevel"/>
        <w:rPr>
          <w:lang w:eastAsia="en-AU"/>
        </w:rPr>
      </w:pPr>
      <w:r>
        <w:rPr>
          <w:lang w:eastAsia="en-AU"/>
        </w:rPr>
        <w:t>Safety planning and information on available supports provided at the intake and assessment stage with young people accessing headspace services.</w:t>
      </w:r>
    </w:p>
    <w:p w14:paraId="3284C5B9" w14:textId="77777777" w:rsidR="00D63473" w:rsidRDefault="00D63473" w:rsidP="00D63473">
      <w:pPr>
        <w:pStyle w:val="BodyText"/>
      </w:pPr>
      <w:r>
        <w:t>Analysis of comments received in response to this survey question identified access issues as a key barrier to improving mental health literacy for young people. This was raised in terms of strong demand pressures with young people waiting to access the service, as well as in terms of access issues caused for the service by COVID-19, which introduced barriers to engagement between services and schools and other community organisations.</w:t>
      </w:r>
    </w:p>
    <w:p w14:paraId="2AA21703" w14:textId="77777777" w:rsidR="00D63473" w:rsidRDefault="00D63473" w:rsidP="00D63473">
      <w:pPr>
        <w:pStyle w:val="Heading4"/>
      </w:pPr>
      <w:r>
        <w:t>Effectiveness</w:t>
      </w:r>
      <w:r w:rsidRPr="00174D71">
        <w:t xml:space="preserve"> of headspace in increasing </w:t>
      </w:r>
      <w:r>
        <w:t>mental health literacy</w:t>
      </w:r>
    </w:p>
    <w:p w14:paraId="27598889" w14:textId="77777777" w:rsidR="00D63473" w:rsidRDefault="00D63473" w:rsidP="00D63473">
      <w:pPr>
        <w:pStyle w:val="BodyText"/>
      </w:pPr>
      <w:r>
        <w:t xml:space="preserve">Qualitative data show that young people using headspace and staff working within the headspace model have strong, positive views about the effect headspace has on increasing mental health literacy. Young people highlighted the useful strategies headspace had given them in identifying and managing their mental health issues, while they also indicated that finding a staff member at headspace with whom they could build a rapport was an essential enabler of improving the mental health literacy of young people. The staff surveyed presented a range of elements from across the hMIF which they see as key to enabling their service to contribute to increasing the mental health literacy of the young people they support. These range from clinical, community and information related activities, indicating that improving mental health literacy is embedded across the headspace model. The key barrier identified was limitations to young people’s ability to access the service due to wait times, and limited capacity across the local service system to engage during COVID-19 restrictions. </w:t>
      </w:r>
    </w:p>
    <w:p w14:paraId="30D7BD52" w14:textId="77777777" w:rsidR="00D63473" w:rsidRPr="00174D71" w:rsidRDefault="00D63473" w:rsidP="00D63473">
      <w:pPr>
        <w:pStyle w:val="BodyText"/>
      </w:pPr>
      <w:r>
        <w:t xml:space="preserve">It is important to note that there are some limitations around the data, with limited evidence from family, friends and community stakeholders, and data being self-reported by young people and services about their own performance or improvement on this measure. At the same time, this evidence supports analysis commissioned by headspace, with similar themes from the report into stakeholder views conducted by Colmar Brunton, giving some confidence that findings are reliable. </w:t>
      </w:r>
    </w:p>
    <w:p w14:paraId="67D816C4" w14:textId="56F63B8F" w:rsidR="0045600F" w:rsidRPr="00B74084" w:rsidRDefault="00D63473" w:rsidP="000244E4">
      <w:pPr>
        <w:pStyle w:val="BodyText"/>
        <w:rPr>
          <w:color w:val="000000" w:themeColor="text1"/>
        </w:rPr>
      </w:pPr>
      <w:r w:rsidRPr="0045600F">
        <w:t>Evidence from young people using headspace and headspace service staff indicates that the headspace model is effective in increasin</w:t>
      </w:r>
      <w:r w:rsidRPr="000B6D6D">
        <w:t>g the mental health litera</w:t>
      </w:r>
      <w:r w:rsidRPr="00814083">
        <w:t xml:space="preserve">cy of young people engaging with </w:t>
      </w:r>
      <w:r w:rsidRPr="00344471">
        <w:t>its services.</w:t>
      </w:r>
    </w:p>
    <w:p w14:paraId="51622E4A" w14:textId="77777777" w:rsidR="00D63473" w:rsidRPr="002040A5" w:rsidRDefault="00D63473" w:rsidP="00D63473">
      <w:pPr>
        <w:pStyle w:val="BodyText"/>
      </w:pPr>
    </w:p>
    <w:p w14:paraId="3E96AA65" w14:textId="69C72DE5" w:rsidR="00D63473" w:rsidRDefault="00D63473" w:rsidP="00EC241D">
      <w:pPr>
        <w:pStyle w:val="AppendixHeading2"/>
      </w:pPr>
      <w:bookmarkStart w:id="229" w:name="_Ref98326016"/>
      <w:r>
        <w:t>H</w:t>
      </w:r>
      <w:r w:rsidRPr="00935414">
        <w:t>ow effective is headspace in increasing early help seeking?</w:t>
      </w:r>
      <w:bookmarkEnd w:id="229"/>
    </w:p>
    <w:p w14:paraId="3513B28B" w14:textId="77777777" w:rsidR="00D63473" w:rsidRPr="00B638FA" w:rsidRDefault="00D63473" w:rsidP="00EF390E">
      <w:pPr>
        <w:pStyle w:val="AppendixHeading3"/>
      </w:pPr>
      <w:r>
        <w:t>Early help seeking</w:t>
      </w:r>
    </w:p>
    <w:p w14:paraId="53E88EFF" w14:textId="32222F96" w:rsidR="0053193C" w:rsidRDefault="0053193C" w:rsidP="0053193C">
      <w:pPr>
        <w:pStyle w:val="Caption"/>
      </w:pPr>
      <w:bookmarkStart w:id="230" w:name="_Toc108108996"/>
      <w:r>
        <w:t xml:space="preserve">Table </w:t>
      </w:r>
      <w:fldSimple w:instr=" SEQ Table \* ARABIC ">
        <w:r w:rsidR="00CC0438">
          <w:rPr>
            <w:noProof/>
          </w:rPr>
          <w:t>46</w:t>
        </w:r>
      </w:fldSimple>
      <w:r>
        <w:t xml:space="preserve"> </w:t>
      </w:r>
      <w:r w:rsidRPr="0098315C">
        <w:t>Overview of early help seeking objectives of headspace</w:t>
      </w:r>
      <w:bookmarkEnd w:id="230"/>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early help seeking objectives of headspace"/>
        <w:tblDescription w:val="Table has 3 columns and summarises the objectives of headspace services with respect to early help seeking. Column 1 outlines the objective. Column 2 summarises the short-term impacts expected. Column 3 summarises the medium-term impacts expected.&#10;"/>
      </w:tblPr>
      <w:tblGrid>
        <w:gridCol w:w="2127"/>
        <w:gridCol w:w="3543"/>
        <w:gridCol w:w="3543"/>
      </w:tblGrid>
      <w:tr w:rsidR="00D63473" w:rsidRPr="001D6913" w14:paraId="1794F8B1" w14:textId="77777777" w:rsidTr="00F27C38">
        <w:trPr>
          <w:tblHeader/>
        </w:trPr>
        <w:tc>
          <w:tcPr>
            <w:tcW w:w="1154" w:type="pct"/>
            <w:tcBorders>
              <w:top w:val="nil"/>
              <w:left w:val="nil"/>
              <w:bottom w:val="single" w:sz="4" w:space="0" w:color="00338D"/>
              <w:right w:val="nil"/>
            </w:tcBorders>
            <w:shd w:val="clear" w:color="auto" w:fill="00338D"/>
            <w:hideMark/>
          </w:tcPr>
          <w:p w14:paraId="4FB54DC5" w14:textId="77777777" w:rsidR="00D63473" w:rsidRPr="001D6913" w:rsidRDefault="00D63473" w:rsidP="00F27C38">
            <w:pPr>
              <w:pStyle w:val="Tableheading"/>
              <w:spacing w:before="120"/>
            </w:pPr>
            <w:r w:rsidRPr="001D6913">
              <w:t>Objective</w:t>
            </w:r>
          </w:p>
        </w:tc>
        <w:tc>
          <w:tcPr>
            <w:tcW w:w="1923" w:type="pct"/>
            <w:tcBorders>
              <w:top w:val="nil"/>
              <w:left w:val="nil"/>
              <w:bottom w:val="single" w:sz="4" w:space="0" w:color="00338D"/>
              <w:right w:val="nil"/>
            </w:tcBorders>
            <w:shd w:val="clear" w:color="auto" w:fill="00338D"/>
            <w:hideMark/>
          </w:tcPr>
          <w:p w14:paraId="79755F25" w14:textId="108EB736" w:rsidR="00D63473" w:rsidRPr="001D6913" w:rsidRDefault="00D63473" w:rsidP="00F27C38">
            <w:pPr>
              <w:pStyle w:val="Tableheading"/>
              <w:spacing w:before="120"/>
            </w:pPr>
            <w:r w:rsidRPr="001D6913">
              <w:t>Short</w:t>
            </w:r>
            <w:r w:rsidR="000D1CE6">
              <w:t>-</w:t>
            </w:r>
            <w:r w:rsidRPr="001D6913">
              <w:t>term impacts</w:t>
            </w:r>
          </w:p>
        </w:tc>
        <w:tc>
          <w:tcPr>
            <w:tcW w:w="1923" w:type="pct"/>
            <w:tcBorders>
              <w:top w:val="nil"/>
              <w:left w:val="nil"/>
              <w:bottom w:val="single" w:sz="4" w:space="0" w:color="00338D"/>
              <w:right w:val="nil"/>
            </w:tcBorders>
            <w:shd w:val="clear" w:color="auto" w:fill="00338D"/>
            <w:hideMark/>
          </w:tcPr>
          <w:p w14:paraId="26D013D1" w14:textId="4E174E2F" w:rsidR="00D63473" w:rsidRPr="001D6913" w:rsidRDefault="00D63473" w:rsidP="00F27C38">
            <w:pPr>
              <w:pStyle w:val="Tableheading"/>
              <w:spacing w:before="120"/>
            </w:pPr>
            <w:r w:rsidRPr="001D6913">
              <w:t>Medium</w:t>
            </w:r>
            <w:r w:rsidR="000D1CE6">
              <w:t>-</w:t>
            </w:r>
            <w:r w:rsidRPr="001D6913">
              <w:t>term impacts</w:t>
            </w:r>
          </w:p>
        </w:tc>
      </w:tr>
      <w:tr w:rsidR="00D63473" w:rsidRPr="001D6913" w14:paraId="200F4A24" w14:textId="77777777" w:rsidTr="00F27C38">
        <w:tc>
          <w:tcPr>
            <w:tcW w:w="1154" w:type="pct"/>
            <w:tcBorders>
              <w:top w:val="single" w:sz="2" w:space="0" w:color="808080" w:themeColor="background1" w:themeShade="80"/>
              <w:left w:val="nil"/>
              <w:bottom w:val="single" w:sz="2" w:space="0" w:color="808080" w:themeColor="background1" w:themeShade="80"/>
              <w:right w:val="nil"/>
            </w:tcBorders>
            <w:hideMark/>
          </w:tcPr>
          <w:p w14:paraId="491567E1" w14:textId="707C46CC" w:rsidR="00D63473" w:rsidRPr="00475833" w:rsidRDefault="00D63473" w:rsidP="00F27C38">
            <w:pPr>
              <w:pStyle w:val="Tabletext"/>
            </w:pPr>
            <w:r w:rsidRPr="00723E3F">
              <w:rPr>
                <w:b/>
                <w:bCs/>
              </w:rPr>
              <w:t>Increasing early help seeking</w:t>
            </w:r>
            <w:r>
              <w:t xml:space="preserve"> – at an earlier age (e.g</w:t>
            </w:r>
            <w:r w:rsidR="007E76A0">
              <w:t>.,</w:t>
            </w:r>
            <w:r>
              <w:t xml:space="preserve"> </w:t>
            </w:r>
            <w:r w:rsidRPr="00475833">
              <w:t>under 21 years); at relatively low mental health risk status;</w:t>
            </w:r>
            <w:r>
              <w:t xml:space="preserve"> </w:t>
            </w:r>
            <w:r w:rsidRPr="00475833">
              <w:t>assessed as at less than threshold stage of illness</w:t>
            </w:r>
          </w:p>
        </w:tc>
        <w:tc>
          <w:tcPr>
            <w:tcW w:w="1923" w:type="pct"/>
            <w:tcBorders>
              <w:top w:val="single" w:sz="2" w:space="0" w:color="808080" w:themeColor="background1" w:themeShade="80"/>
              <w:left w:val="nil"/>
              <w:bottom w:val="single" w:sz="2" w:space="0" w:color="808080" w:themeColor="background1" w:themeShade="80"/>
              <w:right w:val="nil"/>
            </w:tcBorders>
            <w:hideMark/>
          </w:tcPr>
          <w:p w14:paraId="553F0AD0" w14:textId="77777777" w:rsidR="00D63473" w:rsidRPr="001D6913" w:rsidRDefault="00D63473" w:rsidP="00145BCB">
            <w:pPr>
              <w:pStyle w:val="TableBullet1"/>
            </w:pPr>
            <w:r w:rsidRPr="001D6913">
              <w:t>Young people and families accessing headspace services have increased knowledge about, and willingness to, seek help</w:t>
            </w:r>
          </w:p>
          <w:p w14:paraId="6E8EB2DD" w14:textId="77777777" w:rsidR="00D63473" w:rsidRPr="001D6913" w:rsidRDefault="00D63473" w:rsidP="00145BCB">
            <w:pPr>
              <w:pStyle w:val="TableBullet1"/>
            </w:pPr>
            <w:r w:rsidRPr="001D6913">
              <w:t>Young people, their families and communities (living near headspace centres and satellites) have improved attitudes towards mental health and mental illness (stigma reduction)</w:t>
            </w:r>
          </w:p>
        </w:tc>
        <w:tc>
          <w:tcPr>
            <w:tcW w:w="1923" w:type="pct"/>
            <w:tcBorders>
              <w:top w:val="single" w:sz="2" w:space="0" w:color="808080" w:themeColor="background1" w:themeShade="80"/>
              <w:left w:val="nil"/>
              <w:bottom w:val="single" w:sz="2" w:space="0" w:color="808080" w:themeColor="background1" w:themeShade="80"/>
              <w:right w:val="nil"/>
            </w:tcBorders>
            <w:hideMark/>
          </w:tcPr>
          <w:p w14:paraId="7370B84D" w14:textId="0EE786AA" w:rsidR="00D63473" w:rsidRPr="001D6913" w:rsidRDefault="00D63473" w:rsidP="00145BCB">
            <w:pPr>
              <w:pStyle w:val="TableBullet1"/>
            </w:pPr>
            <w:r w:rsidRPr="001D6913">
              <w:t>Young people, their families and communities are better able to identify when someone needs help, and support appropriate, early help</w:t>
            </w:r>
            <w:r w:rsidR="00BD29DF">
              <w:t xml:space="preserve"> </w:t>
            </w:r>
            <w:r w:rsidRPr="001D6913">
              <w:t>seeking</w:t>
            </w:r>
          </w:p>
          <w:p w14:paraId="465B5117" w14:textId="77777777" w:rsidR="00D63473" w:rsidRDefault="00D63473" w:rsidP="00145BCB">
            <w:pPr>
              <w:pStyle w:val="TableBullet1"/>
            </w:pPr>
            <w:r w:rsidRPr="001D6913">
              <w:t>Earlier identification and treatment of emerging mental health problems for young people</w:t>
            </w:r>
          </w:p>
          <w:p w14:paraId="3842C795" w14:textId="555E300B" w:rsidR="00D63473" w:rsidRDefault="00D63473" w:rsidP="00145BCB">
            <w:pPr>
              <w:pStyle w:val="TableBullet1"/>
            </w:pPr>
            <w:r w:rsidRPr="001D6913">
              <w:t>Young people increase help</w:t>
            </w:r>
            <w:r w:rsidR="00C410FC">
              <w:t xml:space="preserve"> </w:t>
            </w:r>
            <w:r w:rsidRPr="001D6913">
              <w:t>seeking behaviour for mental health and wellbeing issues</w:t>
            </w:r>
          </w:p>
          <w:p w14:paraId="74EF6C01" w14:textId="77777777" w:rsidR="00D63473" w:rsidRPr="001D6913" w:rsidRDefault="00D63473" w:rsidP="00F27C38">
            <w:pPr>
              <w:pStyle w:val="Tabletext"/>
            </w:pPr>
          </w:p>
        </w:tc>
      </w:tr>
    </w:tbl>
    <w:p w14:paraId="059C1096" w14:textId="3C58B57D" w:rsidR="00D63473" w:rsidRPr="00C512BC" w:rsidRDefault="00D63473" w:rsidP="00D63473">
      <w:pPr>
        <w:pStyle w:val="BodyText"/>
        <w:rPr>
          <w:shd w:val="clear" w:color="auto" w:fill="FFFFFF"/>
        </w:rPr>
      </w:pPr>
      <w:r w:rsidRPr="00C512BC">
        <w:rPr>
          <w:shd w:val="clear" w:color="auto" w:fill="FFFFFF"/>
        </w:rPr>
        <w:t>In the headspace program logic, increasing early help seeking is key to improving short</w:t>
      </w:r>
      <w:r>
        <w:rPr>
          <w:shd w:val="clear" w:color="auto" w:fill="FFFFFF"/>
        </w:rPr>
        <w:t>-</w:t>
      </w:r>
      <w:r w:rsidRPr="00C512BC">
        <w:rPr>
          <w:shd w:val="clear" w:color="auto" w:fill="FFFFFF"/>
        </w:rPr>
        <w:t>term impacts for young people and families in increasing their knowledge about</w:t>
      </w:r>
      <w:r>
        <w:rPr>
          <w:shd w:val="clear" w:color="auto" w:fill="FFFFFF"/>
        </w:rPr>
        <w:t>,</w:t>
      </w:r>
      <w:r w:rsidRPr="00C512BC">
        <w:rPr>
          <w:shd w:val="clear" w:color="auto" w:fill="FFFFFF"/>
        </w:rPr>
        <w:t xml:space="preserve"> and willingness to seek help with</w:t>
      </w:r>
      <w:r>
        <w:rPr>
          <w:shd w:val="clear" w:color="auto" w:fill="FFFFFF"/>
        </w:rPr>
        <w:t>,</w:t>
      </w:r>
      <w:r w:rsidRPr="00C512BC">
        <w:rPr>
          <w:shd w:val="clear" w:color="auto" w:fill="FFFFFF"/>
        </w:rPr>
        <w:t xml:space="preserve"> mental health issues. It is also associated with having improved attitudes towards mental health and mental illness. These</w:t>
      </w:r>
      <w:r>
        <w:rPr>
          <w:shd w:val="clear" w:color="auto" w:fill="FFFFFF"/>
        </w:rPr>
        <w:t>,</w:t>
      </w:r>
      <w:r w:rsidRPr="00C512BC">
        <w:rPr>
          <w:shd w:val="clear" w:color="auto" w:fill="FFFFFF"/>
        </w:rPr>
        <w:t xml:space="preserve"> in turn</w:t>
      </w:r>
      <w:r>
        <w:rPr>
          <w:shd w:val="clear" w:color="auto" w:fill="FFFFFF"/>
        </w:rPr>
        <w:t>,</w:t>
      </w:r>
      <w:r w:rsidRPr="00C512BC">
        <w:rPr>
          <w:shd w:val="clear" w:color="auto" w:fill="FFFFFF"/>
        </w:rPr>
        <w:t xml:space="preserve"> relate to a range of medium</w:t>
      </w:r>
      <w:r>
        <w:rPr>
          <w:shd w:val="clear" w:color="auto" w:fill="FFFFFF"/>
        </w:rPr>
        <w:t>-</w:t>
      </w:r>
      <w:r w:rsidRPr="00C512BC">
        <w:rPr>
          <w:shd w:val="clear" w:color="auto" w:fill="FFFFFF"/>
        </w:rPr>
        <w:t>term impacts around help seeking, early identification of emerging mental health problems and increased help</w:t>
      </w:r>
      <w:r w:rsidR="00BD29DF">
        <w:rPr>
          <w:shd w:val="clear" w:color="auto" w:fill="FFFFFF"/>
        </w:rPr>
        <w:t xml:space="preserve"> </w:t>
      </w:r>
      <w:r w:rsidRPr="00C512BC">
        <w:rPr>
          <w:shd w:val="clear" w:color="auto" w:fill="FFFFFF"/>
        </w:rPr>
        <w:t>seeking behaviour. In the headspace context, again, these are all identified as contributors to the long</w:t>
      </w:r>
      <w:r>
        <w:rPr>
          <w:shd w:val="clear" w:color="auto" w:fill="FFFFFF"/>
        </w:rPr>
        <w:t>-</w:t>
      </w:r>
      <w:r w:rsidRPr="00C512BC">
        <w:rPr>
          <w:shd w:val="clear" w:color="auto" w:fill="FFFFFF"/>
        </w:rPr>
        <w:t>term impacts headspace is seeking for improved outcomes over the life course.</w:t>
      </w:r>
    </w:p>
    <w:p w14:paraId="4F35053C" w14:textId="425BC7B4" w:rsidR="00D63473" w:rsidRDefault="00D63473" w:rsidP="00D63473">
      <w:pPr>
        <w:pStyle w:val="BodyText"/>
        <w:rPr>
          <w:shd w:val="clear" w:color="auto" w:fill="FFFFFF"/>
        </w:rPr>
      </w:pPr>
      <w:r>
        <w:rPr>
          <w:shd w:val="clear" w:color="auto" w:fill="FFFFFF"/>
        </w:rPr>
        <w:t xml:space="preserve">The headspace </w:t>
      </w:r>
      <w:r w:rsidR="001F2443">
        <w:rPr>
          <w:shd w:val="clear" w:color="auto" w:fill="FFFFFF"/>
        </w:rPr>
        <w:t>model</w:t>
      </w:r>
      <w:r>
        <w:rPr>
          <w:shd w:val="clear" w:color="auto" w:fill="FFFFFF"/>
        </w:rPr>
        <w:t xml:space="preserve"> includes ‘early intervention’ as a core service component, defined as “</w:t>
      </w:r>
      <w:r>
        <w:t>the identification and provision of intervention and support services as early as possible in the development of mental health difficulties to prevent or delay the onset of mental ill-health or reduce the impact associated with mental ill-health and improve outcomes”</w:t>
      </w:r>
      <w:r w:rsidR="00CC0438">
        <w:rPr>
          <w:rFonts w:ascii="ZWAdobeF" w:hAnsi="ZWAdobeF" w:cs="ZWAdobeF"/>
          <w:sz w:val="2"/>
          <w:szCs w:val="2"/>
        </w:rPr>
        <w:t>168F</w:t>
      </w:r>
      <w:r>
        <w:rPr>
          <w:rStyle w:val="FootnoteReference"/>
          <w:rFonts w:cs="Calibri"/>
          <w:szCs w:val="20"/>
        </w:rPr>
        <w:footnoteReference w:id="170"/>
      </w:r>
      <w:r>
        <w:t>.</w:t>
      </w:r>
      <w:r w:rsidRPr="00C52ACE">
        <w:rPr>
          <w:shd w:val="clear" w:color="auto" w:fill="FFFFFF"/>
        </w:rPr>
        <w:t xml:space="preserve"> </w:t>
      </w:r>
    </w:p>
    <w:p w14:paraId="4016B839" w14:textId="2DF9C7EB" w:rsidR="00D63473" w:rsidRDefault="00D63473" w:rsidP="00D63473">
      <w:pPr>
        <w:pStyle w:val="BodyText"/>
        <w:rPr>
          <w:shd w:val="clear" w:color="auto" w:fill="FFFFFF"/>
        </w:rPr>
      </w:pPr>
      <w:r w:rsidRPr="001C361B">
        <w:rPr>
          <w:rFonts w:cs="Calibri"/>
          <w:szCs w:val="20"/>
        </w:rPr>
        <w:t>A young person's mental health is an investment into the future. Management and improvements as they move into adulthood benefits not only the young person but</w:t>
      </w:r>
      <w:r w:rsidR="00686E5C">
        <w:rPr>
          <w:rFonts w:cs="Calibri"/>
          <w:szCs w:val="20"/>
        </w:rPr>
        <w:t>,</w:t>
      </w:r>
      <w:r w:rsidRPr="001C361B">
        <w:rPr>
          <w:rFonts w:cs="Calibri"/>
          <w:szCs w:val="20"/>
        </w:rPr>
        <w:t xml:space="preserve"> in the long</w:t>
      </w:r>
      <w:r w:rsidR="007E76A0">
        <w:rPr>
          <w:rFonts w:cs="Calibri"/>
          <w:szCs w:val="20"/>
        </w:rPr>
        <w:t>-</w:t>
      </w:r>
      <w:r w:rsidR="00DB656C">
        <w:rPr>
          <w:rFonts w:cs="Calibri"/>
          <w:szCs w:val="20"/>
        </w:rPr>
        <w:t>term</w:t>
      </w:r>
      <w:r w:rsidRPr="001C361B">
        <w:rPr>
          <w:rFonts w:cs="Calibri"/>
          <w:szCs w:val="20"/>
        </w:rPr>
        <w:t>, the economy. Mental illness for young people usually manifests before the age of 21, indicating the importance of treatment and assistance provided early in life, early in illness and early in an incident</w:t>
      </w:r>
      <w:r w:rsidR="00CC0438">
        <w:rPr>
          <w:rFonts w:ascii="ZWAdobeF" w:hAnsi="ZWAdobeF" w:cs="ZWAdobeF"/>
          <w:sz w:val="2"/>
          <w:szCs w:val="2"/>
        </w:rPr>
        <w:t>169F</w:t>
      </w:r>
      <w:r w:rsidRPr="001C361B">
        <w:rPr>
          <w:rStyle w:val="FootnoteReference"/>
          <w:szCs w:val="20"/>
          <w:shd w:val="clear" w:color="auto" w:fill="FFFFFF"/>
        </w:rPr>
        <w:footnoteReference w:id="171"/>
      </w:r>
      <w:r>
        <w:rPr>
          <w:shd w:val="clear" w:color="auto" w:fill="FFFFFF"/>
        </w:rPr>
        <w:t xml:space="preserve"> </w:t>
      </w:r>
      <w:r w:rsidR="00CC0438">
        <w:rPr>
          <w:rFonts w:ascii="ZWAdobeF" w:hAnsi="ZWAdobeF" w:cs="ZWAdobeF"/>
          <w:sz w:val="2"/>
          <w:szCs w:val="2"/>
          <w:shd w:val="clear" w:color="auto" w:fill="FFFFFF"/>
        </w:rPr>
        <w:t>170F</w:t>
      </w:r>
      <w:r>
        <w:rPr>
          <w:rStyle w:val="FootnoteReference"/>
          <w:shd w:val="clear" w:color="auto" w:fill="FFFFFF"/>
        </w:rPr>
        <w:footnoteReference w:id="172"/>
      </w:r>
      <w:r>
        <w:rPr>
          <w:shd w:val="clear" w:color="auto" w:fill="FFFFFF"/>
        </w:rPr>
        <w:t>.</w:t>
      </w:r>
      <w:r w:rsidRPr="00C52ACE">
        <w:rPr>
          <w:shd w:val="clear" w:color="auto" w:fill="FFFFFF"/>
        </w:rPr>
        <w:t xml:space="preserve"> Early interventio</w:t>
      </w:r>
      <w:r>
        <w:rPr>
          <w:shd w:val="clear" w:color="auto" w:fill="FFFFFF"/>
        </w:rPr>
        <w:t xml:space="preserve">n </w:t>
      </w:r>
      <w:r w:rsidRPr="00C52ACE">
        <w:rPr>
          <w:shd w:val="clear" w:color="auto" w:fill="FFFFFF"/>
        </w:rPr>
        <w:t xml:space="preserve">programs assist a young person by identifying risk factors early or providing timely treatment for problems that can alleviate the potential harm from mental illness. </w:t>
      </w:r>
      <w:r>
        <w:rPr>
          <w:shd w:val="clear" w:color="auto" w:fill="FFFFFF"/>
        </w:rPr>
        <w:t xml:space="preserve">Treating risk factors and symptoms early is seen as not only improving the </w:t>
      </w:r>
      <w:r w:rsidRPr="00C52ACE">
        <w:rPr>
          <w:shd w:val="clear" w:color="auto" w:fill="FFFFFF"/>
        </w:rPr>
        <w:t xml:space="preserve">social and emotional wellbeing of young people, but also </w:t>
      </w:r>
      <w:r>
        <w:rPr>
          <w:shd w:val="clear" w:color="auto" w:fill="FFFFFF"/>
        </w:rPr>
        <w:t>as</w:t>
      </w:r>
      <w:r w:rsidRPr="00C52ACE">
        <w:rPr>
          <w:shd w:val="clear" w:color="auto" w:fill="FFFFFF"/>
        </w:rPr>
        <w:t xml:space="preserve"> a cost-effective approach to improving lifelong outcomes for them</w:t>
      </w:r>
      <w:r w:rsidR="00CC0438">
        <w:rPr>
          <w:rFonts w:ascii="ZWAdobeF" w:hAnsi="ZWAdobeF" w:cs="ZWAdobeF"/>
          <w:sz w:val="2"/>
          <w:szCs w:val="2"/>
          <w:shd w:val="clear" w:color="auto" w:fill="FFFFFF"/>
        </w:rPr>
        <w:t>171F</w:t>
      </w:r>
      <w:r>
        <w:rPr>
          <w:rStyle w:val="FootnoteReference"/>
          <w:shd w:val="clear" w:color="auto" w:fill="FFFFFF"/>
        </w:rPr>
        <w:footnoteReference w:id="173"/>
      </w:r>
      <w:r>
        <w:rPr>
          <w:shd w:val="clear" w:color="auto" w:fill="FFFFFF"/>
        </w:rPr>
        <w:t>.</w:t>
      </w:r>
    </w:p>
    <w:p w14:paraId="42A62BFD" w14:textId="77777777" w:rsidR="00D63473" w:rsidRDefault="00D63473" w:rsidP="00D63473">
      <w:pPr>
        <w:pStyle w:val="BodyText"/>
        <w:rPr>
          <w:shd w:val="clear" w:color="auto" w:fill="FFFFFF"/>
        </w:rPr>
      </w:pPr>
      <w:r>
        <w:t xml:space="preserve">A key evaluation question for this project examines the extent to which the headspace model is associated with increased levels of early help seeking from young people. </w:t>
      </w:r>
      <w:r>
        <w:rPr>
          <w:shd w:val="clear" w:color="auto" w:fill="FFFFFF"/>
        </w:rPr>
        <w:t>For the purposes of this evaluation, early help seeking is defined as a young person engaging with headspace when they are:</w:t>
      </w:r>
    </w:p>
    <w:p w14:paraId="7BF2551C" w14:textId="1B598FEE" w:rsidR="00D63473" w:rsidRDefault="00D63473" w:rsidP="00EC241D">
      <w:pPr>
        <w:pStyle w:val="Bullet1stlevel"/>
      </w:pPr>
      <w:r>
        <w:rPr>
          <w:shd w:val="clear" w:color="auto" w:fill="FFFFFF"/>
        </w:rPr>
        <w:t>under 21 years of age</w:t>
      </w:r>
      <w:r w:rsidR="00634FB3">
        <w:rPr>
          <w:shd w:val="clear" w:color="auto" w:fill="FFFFFF"/>
        </w:rPr>
        <w:t>;</w:t>
      </w:r>
    </w:p>
    <w:p w14:paraId="1AB808F6" w14:textId="5412AE38" w:rsidR="00D63473" w:rsidRDefault="00D63473" w:rsidP="00EF390E">
      <w:pPr>
        <w:pStyle w:val="Bullet1stlevel"/>
      </w:pPr>
      <w:r>
        <w:t>at relatively low mental health risk status</w:t>
      </w:r>
      <w:r w:rsidR="00634FB3">
        <w:t>; and</w:t>
      </w:r>
    </w:p>
    <w:p w14:paraId="213C8D86" w14:textId="7C85B0E7" w:rsidR="00D63473" w:rsidRDefault="00D63473" w:rsidP="00EC241D">
      <w:pPr>
        <w:pStyle w:val="Bullet1stlevel"/>
      </w:pPr>
      <w:r>
        <w:t xml:space="preserve">assessed as at less than </w:t>
      </w:r>
      <w:r w:rsidR="00D2279C">
        <w:t xml:space="preserve">the </w:t>
      </w:r>
      <w:r>
        <w:t>threshold stage of illness.</w:t>
      </w:r>
    </w:p>
    <w:p w14:paraId="2B0E2473" w14:textId="7CA4FAF3" w:rsidR="00D63473" w:rsidRDefault="00D63473" w:rsidP="00D63473">
      <w:pPr>
        <w:pStyle w:val="BodyText"/>
      </w:pPr>
      <w:r>
        <w:t xml:space="preserve">To examine the extent to which the headspace model is succeeding in contributing to increased early help seeking behaviour, relevant data and evidence was reviewed from across the fieldwork activities conducted for this project. These are described below, and include analysis of the hMDS and survey responses from </w:t>
      </w:r>
      <w:r w:rsidR="0050072E">
        <w:t>service</w:t>
      </w:r>
      <w:r>
        <w:t xml:space="preserve"> and lead agency staff. </w:t>
      </w:r>
    </w:p>
    <w:p w14:paraId="5899104A" w14:textId="627743DB" w:rsidR="00D63473" w:rsidRPr="001962E2" w:rsidRDefault="00D63473" w:rsidP="001962E2">
      <w:pPr>
        <w:pStyle w:val="Heading5"/>
      </w:pPr>
      <w:r w:rsidRPr="001962E2">
        <w:t>Administrative data from the hMDS</w:t>
      </w:r>
      <w:r w:rsidR="00CC0438">
        <w:rPr>
          <w:rFonts w:ascii="ZWAdobeF" w:hAnsi="ZWAdobeF" w:cs="ZWAdobeF"/>
          <w:b w:val="0"/>
          <w:color w:val="auto"/>
          <w:sz w:val="2"/>
          <w:szCs w:val="2"/>
        </w:rPr>
        <w:t>172F</w:t>
      </w:r>
      <w:r w:rsidRPr="001962E2">
        <w:rPr>
          <w:rStyle w:val="FootnoteReference"/>
        </w:rPr>
        <w:footnoteReference w:id="174"/>
      </w:r>
    </w:p>
    <w:p w14:paraId="0312CFC9" w14:textId="310594EB" w:rsidR="00D63473" w:rsidRDefault="00D63473" w:rsidP="00D63473">
      <w:pPr>
        <w:pStyle w:val="BodyText"/>
      </w:pPr>
      <w:r>
        <w:t xml:space="preserve">The hMDS collects a range of measures relevant to the definition of early help seeking used for this project. In terms of the age at which young people are presenting at headspace for information and support, this has </w:t>
      </w:r>
      <w:r w:rsidRPr="00210C93">
        <w:t>remained relatively stable over the data period</w:t>
      </w:r>
      <w:r>
        <w:t>, with around three-quarters of young people presenting aged under 20 years.</w:t>
      </w:r>
    </w:p>
    <w:p w14:paraId="03BA10E3" w14:textId="70DB02BA" w:rsidR="00D63473" w:rsidRDefault="00D63473" w:rsidP="00D63473">
      <w:pPr>
        <w:pStyle w:val="Caption"/>
      </w:pPr>
      <w:bookmarkStart w:id="231" w:name="_Toc108109220"/>
      <w:r>
        <w:t xml:space="preserve">Figure </w:t>
      </w:r>
      <w:r>
        <w:fldChar w:fldCharType="begin"/>
      </w:r>
      <w:r>
        <w:instrText>SEQ Figure \* ARABIC</w:instrText>
      </w:r>
      <w:r>
        <w:fldChar w:fldCharType="separate"/>
      </w:r>
      <w:r w:rsidR="00CC0438">
        <w:rPr>
          <w:noProof/>
        </w:rPr>
        <w:t>35</w:t>
      </w:r>
      <w:r>
        <w:fldChar w:fldCharType="end"/>
      </w:r>
      <w:r>
        <w:t>: Distribution of age by young person from 2015-16 to 2019-20</w:t>
      </w:r>
      <w:bookmarkEnd w:id="231"/>
    </w:p>
    <w:p w14:paraId="0136B0CB" w14:textId="18F6D1A9" w:rsidR="0003077C" w:rsidRPr="0003077C" w:rsidRDefault="00545756" w:rsidP="008F6F4A">
      <w:r>
        <w:rPr>
          <w:noProof/>
        </w:rPr>
        <w:drawing>
          <wp:inline distT="0" distB="0" distL="0" distR="0" wp14:anchorId="06C65207" wp14:editId="487D2F0B">
            <wp:extent cx="5037455" cy="5037455"/>
            <wp:effectExtent l="0" t="0" r="0" b="0"/>
            <wp:docPr id="222" name="Picture 222" descr="Figure 35 is a stacked bar chart showing the proportion of headspace users in each age range by financial year.&#10;In 2015-16, 22% of young people were younger than 15 years, 56% were aged 15-20 and 21% were older than 20 years.&#10;In 2016-17, 22% of young people were younger than 15 years, 56% were aged 15-20 and 22% were older than 20 years.&#10;In 2017-18, 23% of young people were younger than 15 years, 55% were aged 15-20 and 22% were older than 20 years.&#10;In 2018-19, 24% of young people were younger than 15 years, 53% were aged 15-20 and 22% were older than 20 years.&#10;In 2015-16, 24% of young people were younger than 15 years, 53% were aged 15-20 and 23% were older than 2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Figure 35 is a stacked bar chart showing the proportion of headspace users in each age range by financial year.&#10;In 2015-16, 22% of young people were younger than 15 years, 56% were aged 15-20 and 21% were older than 20 years.&#10;In 2016-17, 22% of young people were younger than 15 years, 56% were aged 15-20 and 22% were older than 20 years.&#10;In 2017-18, 23% of young people were younger than 15 years, 55% were aged 15-20 and 22% were older than 20 years.&#10;In 2018-19, 24% of young people were younger than 15 years, 53% were aged 15-20 and 22% were older than 20 years.&#10;In 2015-16, 24% of young people were younger than 15 years, 53% were aged 15-20 and 23% were older than 20 years.&#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7455" cy="5037455"/>
                    </a:xfrm>
                    <a:prstGeom prst="rect">
                      <a:avLst/>
                    </a:prstGeom>
                    <a:noFill/>
                    <a:ln>
                      <a:noFill/>
                    </a:ln>
                  </pic:spPr>
                </pic:pic>
              </a:graphicData>
            </a:graphic>
          </wp:inline>
        </w:drawing>
      </w:r>
    </w:p>
    <w:p w14:paraId="278196F7" w14:textId="70435F8D" w:rsidR="00D63473" w:rsidRPr="00F8722C" w:rsidRDefault="00D63473" w:rsidP="00D63473">
      <w:pPr>
        <w:pStyle w:val="Source"/>
      </w:pPr>
      <w:r w:rsidRPr="00F8722C">
        <w:t xml:space="preserve">Source: KPMG </w:t>
      </w:r>
      <w:r>
        <w:t>analysis of the hMDS</w:t>
      </w:r>
    </w:p>
    <w:p w14:paraId="31894A3A" w14:textId="1965EC04" w:rsidR="00D63473" w:rsidRPr="003A786A" w:rsidRDefault="00D63473" w:rsidP="00D63473">
      <w:pPr>
        <w:pStyle w:val="Source"/>
      </w:pPr>
      <w:r w:rsidRPr="00F8722C">
        <w:t xml:space="preserve">Notes: See </w:t>
      </w:r>
      <w:r w:rsidR="00E315C6">
        <w:fldChar w:fldCharType="begin" w:fldLock="1"/>
      </w:r>
      <w:r w:rsidR="00E315C6">
        <w:instrText xml:space="preserve"> REF _Ref98402466 \r \h </w:instrText>
      </w:r>
      <w:r w:rsidR="00E315C6">
        <w:fldChar w:fldCharType="separate"/>
      </w:r>
      <w:r w:rsidR="00AE4D34">
        <w:t>Appendix F</w:t>
      </w:r>
      <w:r w:rsidR="00E315C6">
        <w:fldChar w:fldCharType="end"/>
      </w:r>
      <w:r>
        <w:t xml:space="preserve"> </w:t>
      </w:r>
      <w:r w:rsidRPr="00F8722C">
        <w:t>for a description o</w:t>
      </w:r>
      <w:r w:rsidR="009C7592">
        <w:t>f</w:t>
      </w:r>
      <w:r w:rsidRPr="00F8722C">
        <w:t xml:space="preserve"> how the master dataset is derived. Sample 90,110 young people for 2019-20; 98,270 young people for 2018-19; 87,510 young people for 2017-18; 79,322 young people for 2016-17; 70,940 young people for 2015-16.</w:t>
      </w:r>
      <w:r w:rsidR="00C64E4B">
        <w:t xml:space="preserve"> Data labels are not included for categories with less than </w:t>
      </w:r>
      <w:r w:rsidR="00CE3E02">
        <w:t>five per cent</w:t>
      </w:r>
      <w:r w:rsidR="00C64E4B">
        <w:t xml:space="preserve"> for clarity purposes.</w:t>
      </w:r>
    </w:p>
    <w:p w14:paraId="7AF14FA6" w14:textId="77777777" w:rsidR="00D63473" w:rsidRDefault="00D63473" w:rsidP="00D63473">
      <w:pPr>
        <w:pStyle w:val="BodyText"/>
      </w:pPr>
      <w:r>
        <w:t xml:space="preserve">The hMDS also contains data regarding each young person’s mental health risk status and clinical stage of illness and diagnosis (where relevant). These measures are collected by the clinical service provider as part of the intake and assessment process, and then are reassessed on every occasion of service. </w:t>
      </w:r>
    </w:p>
    <w:p w14:paraId="16897AD2" w14:textId="4953F25E" w:rsidR="00D63473" w:rsidRPr="00037A4C" w:rsidRDefault="00D63473" w:rsidP="00D63473">
      <w:pPr>
        <w:pStyle w:val="BodyText"/>
      </w:pPr>
      <w:r>
        <w:t>The mental health risk status measure considers the presence of risk and protective factors, such as unstable or unsafe living conditions, relationship problems and bullying. It also considers the presence of symptoms of mental disorder</w:t>
      </w:r>
      <w:r w:rsidR="00CE3E02">
        <w:t>,</w:t>
      </w:r>
      <w:r>
        <w:t xml:space="preserve"> such as anxiety or depression. A young person would be considered to be undertaking early help seeking if presenting with either ‘no risk factors or symptoms of mental health problems’ or ‘risk factors present’, indicating the presence of one or more situational factors making them vulnerable to developing a mental health problem. hMDS data in the period indicates that just under half of the young people presenting (46.1 per cent) were in this early help seeking category. </w:t>
      </w:r>
    </w:p>
    <w:p w14:paraId="33398E8D" w14:textId="6353F8A0" w:rsidR="00D63473" w:rsidRPr="00B33972" w:rsidRDefault="00D63473" w:rsidP="00D63473">
      <w:pPr>
        <w:pStyle w:val="Caption"/>
      </w:pPr>
      <w:bookmarkStart w:id="232" w:name="_Toc108109221"/>
      <w:r>
        <w:t xml:space="preserve">Figure </w:t>
      </w:r>
      <w:r>
        <w:fldChar w:fldCharType="begin"/>
      </w:r>
      <w:r>
        <w:instrText>SEQ Figure \* ARABIC</w:instrText>
      </w:r>
      <w:r>
        <w:fldChar w:fldCharType="separate"/>
      </w:r>
      <w:r w:rsidR="00CC0438">
        <w:rPr>
          <w:noProof/>
        </w:rPr>
        <w:t>36</w:t>
      </w:r>
      <w:r>
        <w:fldChar w:fldCharType="end"/>
      </w:r>
      <w:r>
        <w:t xml:space="preserve">: Mental risk status on initial </w:t>
      </w:r>
      <w:r w:rsidR="00ED091C">
        <w:t>OOS</w:t>
      </w:r>
      <w:r>
        <w:t xml:space="preserve"> for all episodes of care during</w:t>
      </w:r>
      <w:r w:rsidR="001B38D9">
        <w:t xml:space="preserve"> </w:t>
      </w:r>
      <w:r>
        <w:t>2019</w:t>
      </w:r>
      <w:r w:rsidR="00B630C2">
        <w:noBreakHyphen/>
      </w:r>
      <w:r>
        <w:t>20</w:t>
      </w:r>
      <w:bookmarkEnd w:id="232"/>
    </w:p>
    <w:p w14:paraId="421E7CE8" w14:textId="69D282DA" w:rsidR="00D63473" w:rsidRPr="002058DD" w:rsidRDefault="00B51DDA" w:rsidP="003006A8">
      <w:pPr>
        <w:pStyle w:val="BodyText"/>
      </w:pPr>
      <w:r>
        <w:rPr>
          <w:noProof/>
        </w:rPr>
        <w:drawing>
          <wp:inline distT="0" distB="0" distL="0" distR="0" wp14:anchorId="09EA2A65" wp14:editId="7BE7A5F7">
            <wp:extent cx="5036820" cy="5036820"/>
            <wp:effectExtent l="0" t="0" r="0" b="0"/>
            <wp:docPr id="114" name="Picture 114" descr="Figure 36 is a bar chart summarising the proportion of young people presenting with each specific mental health risk status in 2019-20.&#10;10.9% of young people presented with a threshold diagnosis of ongoing mental disorder&#10;7.9% of young people presented with a threshold diagnosis first episode&#10;19.3% of young people presented with subthreshold symptoms&#10;38.4% of young people presented with risk factors present&#10;7.7% of young people presented with no risk factors, or symptoms of mental health problems&#10;15.8% of young people did not have mental health risk status information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Figure 36 is a bar chart summarising the proportion of young people presenting with each specific mental health risk status in 2019-20.&#10;10.9% of young people presented with a threshold diagnosis of ongoing mental disorder&#10;7.9% of young people presented with a threshold diagnosis first episode&#10;19.3% of young people presented with subthreshold symptoms&#10;38.4% of young people presented with risk factors present&#10;7.7% of young people presented with no risk factors, or symptoms of mental health problems&#10;15.8% of young people did not have mental health risk status information recorded.&#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6820" cy="5036820"/>
                    </a:xfrm>
                    <a:prstGeom prst="rect">
                      <a:avLst/>
                    </a:prstGeom>
                    <a:noFill/>
                    <a:ln>
                      <a:noFill/>
                    </a:ln>
                  </pic:spPr>
                </pic:pic>
              </a:graphicData>
            </a:graphic>
          </wp:inline>
        </w:drawing>
      </w:r>
    </w:p>
    <w:p w14:paraId="26AAA746" w14:textId="2056B827" w:rsidR="00D63473" w:rsidRPr="00F8722C" w:rsidRDefault="00D63473" w:rsidP="00D63473">
      <w:pPr>
        <w:pStyle w:val="Source"/>
      </w:pPr>
      <w:r w:rsidRPr="00F8722C">
        <w:t xml:space="preserve">Source: KPMG </w:t>
      </w:r>
      <w:r>
        <w:t>analysis of the hMDS</w:t>
      </w:r>
    </w:p>
    <w:p w14:paraId="7BDFFDD8" w14:textId="6B33E822" w:rsidR="00D63473" w:rsidRPr="00F8722C" w:rsidRDefault="00D63473" w:rsidP="00D63473">
      <w:pPr>
        <w:pStyle w:val="Source"/>
      </w:pPr>
      <w:r w:rsidRPr="00F8722C">
        <w:t xml:space="preserve">Notes: See </w:t>
      </w:r>
      <w:r w:rsidR="005D4CFC">
        <w:fldChar w:fldCharType="begin" w:fldLock="1"/>
      </w:r>
      <w:r w:rsidR="005D4CFC">
        <w:instrText xml:space="preserve"> REF _Ref98402466 \r \h </w:instrText>
      </w:r>
      <w:r w:rsidR="005D4CFC">
        <w:fldChar w:fldCharType="separate"/>
      </w:r>
      <w:r w:rsidR="00AE4D34">
        <w:t>Appendix F</w:t>
      </w:r>
      <w:r w:rsidR="005D4CFC">
        <w:fldChar w:fldCharType="end"/>
      </w:r>
      <w:r>
        <w:t xml:space="preserve"> </w:t>
      </w:r>
      <w:r w:rsidRPr="00F8722C">
        <w:t>for a description o</w:t>
      </w:r>
      <w:r w:rsidR="009C7592">
        <w:t>f</w:t>
      </w:r>
      <w:r w:rsidRPr="00F8722C">
        <w:t xml:space="preserve"> how the master dataset is derived. </w:t>
      </w:r>
      <w:r w:rsidR="000227A1">
        <w:t>T</w:t>
      </w:r>
      <w:r w:rsidRPr="00F8722C">
        <w:t xml:space="preserve">he initial </w:t>
      </w:r>
      <w:r w:rsidR="006F2FF5">
        <w:t>OOS</w:t>
      </w:r>
      <w:r w:rsidRPr="00F8722C">
        <w:t xml:space="preserve"> recorded in the main extract during 2019-20</w:t>
      </w:r>
      <w:r w:rsidR="000227A1">
        <w:t xml:space="preserve"> is examined</w:t>
      </w:r>
      <w:r w:rsidRPr="00F8722C">
        <w:t xml:space="preserve">. The sample consists of 73,712 </w:t>
      </w:r>
      <w:r w:rsidR="006F2FF5">
        <w:t>OOS</w:t>
      </w:r>
      <w:r w:rsidRPr="00F8722C">
        <w:t>.</w:t>
      </w:r>
    </w:p>
    <w:p w14:paraId="5B1A4A5E" w14:textId="585F9517" w:rsidR="00D63473" w:rsidRPr="00C646AB" w:rsidRDefault="00D63473" w:rsidP="00D63473">
      <w:pPr>
        <w:pStyle w:val="BodyText"/>
      </w:pPr>
      <w:r>
        <w:t xml:space="preserve">Stage of illness data collected by service providers indicates the extent of progression of a disorder at a particular point in time, showing where the young person sits on a continuum of the course of an illness. To make this assessment, the service provider considers the severity, persistence and recurrence of symptoms, as well as biological and social impacts associated with the disorder. Similar to the mental health risk status measure, where a young person presents with ‘no symptoms of mental health problems or disorder’ or with ‘mild to moderate general symptoms of mental health problems and/or high risk </w:t>
      </w:r>
      <w:r w:rsidR="004C50C0">
        <w:t>psychosocial</w:t>
      </w:r>
      <w:r>
        <w:t xml:space="preserve"> stressors’ (e.g</w:t>
      </w:r>
      <w:r w:rsidR="007E76A0">
        <w:t>.,</w:t>
      </w:r>
      <w:r>
        <w:t xml:space="preserve"> bullying or relationship problems), they would meet the definition of ‘early help seeking’.</w:t>
      </w:r>
    </w:p>
    <w:p w14:paraId="1AA3DE94" w14:textId="415D443B" w:rsidR="00D63473" w:rsidRPr="00C646AB" w:rsidRDefault="00D63473" w:rsidP="00D63473">
      <w:pPr>
        <w:pStyle w:val="BodyText"/>
      </w:pPr>
      <w:r>
        <w:t xml:space="preserve">As can be seen in </w:t>
      </w:r>
      <w:r w:rsidR="00344A92">
        <w:fldChar w:fldCharType="begin" w:fldLock="1"/>
      </w:r>
      <w:r w:rsidR="00344A92">
        <w:instrText xml:space="preserve"> REF _Ref97750313 \h </w:instrText>
      </w:r>
      <w:r w:rsidR="00344A92">
        <w:fldChar w:fldCharType="separate"/>
      </w:r>
      <w:r w:rsidR="000C245D" w:rsidRPr="00F8722C">
        <w:t xml:space="preserve">Figure </w:t>
      </w:r>
      <w:r w:rsidR="000C245D">
        <w:rPr>
          <w:noProof/>
        </w:rPr>
        <w:t>37</w:t>
      </w:r>
      <w:r w:rsidR="00344A92">
        <w:fldChar w:fldCharType="end"/>
      </w:r>
      <w:r>
        <w:t xml:space="preserve">, over time, the proportion of young people in these categories during their initial </w:t>
      </w:r>
      <w:r w:rsidR="00231B8A">
        <w:t>OOS</w:t>
      </w:r>
      <w:r>
        <w:t xml:space="preserve"> has remained relatively stable year on year, at just under half (between 41 and 48 per cent).</w:t>
      </w:r>
    </w:p>
    <w:p w14:paraId="1B9E92DC" w14:textId="1D170C4B" w:rsidR="00D63473" w:rsidRDefault="00D63473" w:rsidP="00D63473">
      <w:pPr>
        <w:pStyle w:val="Caption"/>
      </w:pPr>
      <w:bookmarkStart w:id="233" w:name="_Ref97750313"/>
      <w:bookmarkStart w:id="234" w:name="_Toc108109222"/>
      <w:r w:rsidRPr="00F8722C">
        <w:t xml:space="preserve">Figure </w:t>
      </w:r>
      <w:r>
        <w:fldChar w:fldCharType="begin"/>
      </w:r>
      <w:r>
        <w:instrText>SEQ Figure \* ARABIC</w:instrText>
      </w:r>
      <w:r>
        <w:fldChar w:fldCharType="separate"/>
      </w:r>
      <w:r w:rsidR="00CC0438">
        <w:rPr>
          <w:noProof/>
        </w:rPr>
        <w:t>37</w:t>
      </w:r>
      <w:r>
        <w:fldChar w:fldCharType="end"/>
      </w:r>
      <w:bookmarkEnd w:id="233"/>
      <w:r w:rsidRPr="00F8722C">
        <w:t>:</w:t>
      </w:r>
      <w:r>
        <w:t xml:space="preserve"> Stage of illness during</w:t>
      </w:r>
      <w:r w:rsidRPr="00846347">
        <w:t xml:space="preserve"> initial </w:t>
      </w:r>
      <w:r w:rsidR="00231B8A">
        <w:t>OOS</w:t>
      </w:r>
      <w:r w:rsidRPr="00846347">
        <w:t xml:space="preserve"> for all episodes of care </w:t>
      </w:r>
      <w:r>
        <w:t>between</w:t>
      </w:r>
      <w:r w:rsidR="001B38D9">
        <w:t xml:space="preserve"> </w:t>
      </w:r>
      <w:r>
        <w:t>2015</w:t>
      </w:r>
      <w:r>
        <w:noBreakHyphen/>
        <w:t xml:space="preserve">16 </w:t>
      </w:r>
      <w:r w:rsidR="0021757C">
        <w:t xml:space="preserve">and </w:t>
      </w:r>
      <w:r w:rsidRPr="00846347">
        <w:t>2019</w:t>
      </w:r>
      <w:r>
        <w:t>-</w:t>
      </w:r>
      <w:r w:rsidRPr="00846347">
        <w:t>20</w:t>
      </w:r>
      <w:bookmarkEnd w:id="234"/>
    </w:p>
    <w:p w14:paraId="2D74B327" w14:textId="3615E211" w:rsidR="00D63473" w:rsidRDefault="00D92E8B" w:rsidP="003006A8">
      <w:pPr>
        <w:pStyle w:val="BodyText"/>
      </w:pPr>
      <w:r>
        <w:rPr>
          <w:noProof/>
        </w:rPr>
        <w:drawing>
          <wp:inline distT="0" distB="0" distL="0" distR="0" wp14:anchorId="083235C2" wp14:editId="0814B2C2">
            <wp:extent cx="5036820" cy="5036820"/>
            <wp:effectExtent l="0" t="0" r="0" b="0"/>
            <wp:docPr id="115" name="Picture 115" descr="Figure 37 is a stacked bar chart demonstrating the proportion of young people presenting with stages of illness during their initial occasion of service each year from 2015-16 to 2019-20.&#10;In 2015-16:&#10;10% of young people had no symptoms of mental disorder&#10;38% of young people had mild to moderate general symptoms&#10;17% of young people had a subthreshold diagnosis&#10;13% of young people had a threshold diagnosis&#10;2% of young people had periods of remission&#10;4% of young people had ongoing severe symptoms&#10;10% of young people were unable to be assessed&#10;6% of young people did not have a stage of illness recorded&#10;In 2016-17:&#10;9% of young people had no symptoms of mental disorder&#10;35% of young people had mild to moderate general symptoms&#10;18% of young people had a subthreshold diagnosis&#10;15% of young people had a threshold diagnosis&#10;2% of young people had periods of remission&#10;3% of young people had ongoing severe symptoms&#10;11% of young people were unable to be assessed&#10;7% of young people did not have a stage of illness recorded&#10;In 2017-18:&#10;7% of young people had no symptoms of mental disorder&#10;36% of young people had mild to moderate general symptoms&#10;17% of young people had a subthreshold diagnosis&#10;16% of young people had a threshold diagnosis&#10;1% of young people had periods of remission&#10;3% of young people had ongoing severe symptoms&#10;13% of young people were unable to be assessed&#10;7% of young people did not have a stage of illness recorded&#10;In 2018-19:&#10;6% of young people had no symptoms of mental disorder&#10;37% of young people had mild to moderate general symptoms&#10;18% of young people had a subthreshold diagnosis&#10;16% of young people had a threshold diagnosis&#10;1% of young people had periods of remission&#10;3% of young people had ongoing severe symptoms&#10;12% of young people were unable to be assessed&#10;7% of young people did not have a stage of illness recorded&#10;In 2019-20:&#10;4% of young people had no symptoms of mental disorder&#10;37% of young people had mild to moderate general symptoms&#10;20% of young people had a subthreshold diagnosis&#10;16% of young people had a threshold diagnosis&#10;2% of young people had periods of remission&#10;4% of young people had ongoing severe symptoms&#10;6% of young people were unable to be assessed&#10;10% of young people did not have a stage of illness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gure 37 is a stacked bar chart demonstrating the proportion of young people presenting with stages of illness during their initial occasion of service each year from 2015-16 to 2019-20.&#10;In 2015-16:&#10;10% of young people had no symptoms of mental disorder&#10;38% of young people had mild to moderate general symptoms&#10;17% of young people had a subthreshold diagnosis&#10;13% of young people had a threshold diagnosis&#10;2% of young people had periods of remission&#10;4% of young people had ongoing severe symptoms&#10;10% of young people were unable to be assessed&#10;6% of young people did not have a stage of illness recorded&#10;In 2016-17:&#10;9% of young people had no symptoms of mental disorder&#10;35% of young people had mild to moderate general symptoms&#10;18% of young people had a subthreshold diagnosis&#10;15% of young people had a threshold diagnosis&#10;2% of young people had periods of remission&#10;3% of young people had ongoing severe symptoms&#10;11% of young people were unable to be assessed&#10;7% of young people did not have a stage of illness recorded&#10;In 2017-18:&#10;7% of young people had no symptoms of mental disorder&#10;36% of young people had mild to moderate general symptoms&#10;17% of young people had a subthreshold diagnosis&#10;16% of young people had a threshold diagnosis&#10;1% of young people had periods of remission&#10;3% of young people had ongoing severe symptoms&#10;13% of young people were unable to be assessed&#10;7% of young people did not have a stage of illness recorded&#10;In 2018-19:&#10;6% of young people had no symptoms of mental disorder&#10;37% of young people had mild to moderate general symptoms&#10;18% of young people had a subthreshold diagnosis&#10;16% of young people had a threshold diagnosis&#10;1% of young people had periods of remission&#10;3% of young people had ongoing severe symptoms&#10;12% of young people were unable to be assessed&#10;7% of young people did not have a stage of illness recorded&#10;In 2019-20:&#10;4% of young people had no symptoms of mental disorder&#10;37% of young people had mild to moderate general symptoms&#10;20% of young people had a subthreshold diagnosis&#10;16% of young people had a threshold diagnosis&#10;2% of young people had periods of remission&#10;4% of young people had ongoing severe symptoms&#10;6% of young people were unable to be assessed&#10;10% of young people did not have a stage of illness recorded&#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6820" cy="5036820"/>
                    </a:xfrm>
                    <a:prstGeom prst="rect">
                      <a:avLst/>
                    </a:prstGeom>
                    <a:noFill/>
                    <a:ln>
                      <a:noFill/>
                    </a:ln>
                  </pic:spPr>
                </pic:pic>
              </a:graphicData>
            </a:graphic>
          </wp:inline>
        </w:drawing>
      </w:r>
    </w:p>
    <w:p w14:paraId="71099F9B" w14:textId="77777777" w:rsidR="00D63473" w:rsidRPr="003E2165" w:rsidRDefault="00D63473" w:rsidP="00D63473">
      <w:pPr>
        <w:pStyle w:val="Source"/>
      </w:pPr>
      <w:r w:rsidRPr="003E2165">
        <w:t>Source: KPMG master dataset</w:t>
      </w:r>
    </w:p>
    <w:p w14:paraId="193CDF3E" w14:textId="11487BDD" w:rsidR="00D63473" w:rsidRPr="003A786A" w:rsidRDefault="00D63473" w:rsidP="00D63473">
      <w:pPr>
        <w:pStyle w:val="Source"/>
      </w:pPr>
      <w:r w:rsidRPr="003E2165">
        <w:t xml:space="preserve">Notes: See </w:t>
      </w:r>
      <w:r w:rsidR="00EB07BD">
        <w:fldChar w:fldCharType="begin" w:fldLock="1"/>
      </w:r>
      <w:r w:rsidR="00EB07BD">
        <w:instrText xml:space="preserve"> REF _Ref98402466 \r \h </w:instrText>
      </w:r>
      <w:r w:rsidR="00EB07BD">
        <w:fldChar w:fldCharType="separate"/>
      </w:r>
      <w:r w:rsidR="00AE4D34">
        <w:t>Appendix F</w:t>
      </w:r>
      <w:r w:rsidR="00EB07BD">
        <w:fldChar w:fldCharType="end"/>
      </w:r>
      <w:r w:rsidRPr="003E2165">
        <w:t xml:space="preserve"> for a description o</w:t>
      </w:r>
      <w:r w:rsidR="009C7592">
        <w:t>f</w:t>
      </w:r>
      <w:r w:rsidRPr="003E2165">
        <w:t xml:space="preserve"> how the master dataset is derived. </w:t>
      </w:r>
      <w:r w:rsidR="000227A1">
        <w:t>T</w:t>
      </w:r>
      <w:r w:rsidRPr="003E2165">
        <w:t xml:space="preserve">he initial </w:t>
      </w:r>
      <w:r w:rsidR="00231B8A">
        <w:t>OOS</w:t>
      </w:r>
      <w:r w:rsidRPr="003E2165">
        <w:t xml:space="preserve"> recorded in the main extract during 2019-20</w:t>
      </w:r>
      <w:r w:rsidR="000227A1">
        <w:t xml:space="preserve"> is examined</w:t>
      </w:r>
      <w:r w:rsidRPr="003E2165">
        <w:t xml:space="preserve">. The sample consists of 73,712 </w:t>
      </w:r>
      <w:r w:rsidR="007B2863">
        <w:t>OOS</w:t>
      </w:r>
      <w:r w:rsidRPr="003E2165">
        <w:t xml:space="preserve"> for 2019-20; 89,789 occasions for 2018-19; 79,603 for 2017</w:t>
      </w:r>
      <w:r w:rsidR="000F01B5">
        <w:noBreakHyphen/>
      </w:r>
      <w:r w:rsidRPr="003E2165">
        <w:t>18; 72,479 for 2016-17; 65,612 for 2015-16.</w:t>
      </w:r>
      <w:r w:rsidR="00AF0754">
        <w:t xml:space="preserve"> Data labels are not included for categories with less than </w:t>
      </w:r>
      <w:r w:rsidR="00651A5E">
        <w:t>0.</w:t>
      </w:r>
      <w:r w:rsidR="00AF0754">
        <w:t>5</w:t>
      </w:r>
      <w:r w:rsidR="00CE3E02">
        <w:t xml:space="preserve"> per cent</w:t>
      </w:r>
      <w:r w:rsidR="00AF0754">
        <w:t xml:space="preserve"> for clarity purposes.</w:t>
      </w:r>
    </w:p>
    <w:p w14:paraId="4F4D1095" w14:textId="77777777" w:rsidR="00D63473" w:rsidRPr="00D9313B" w:rsidRDefault="00D63473" w:rsidP="00D63473">
      <w:pPr>
        <w:pStyle w:val="Heading5"/>
      </w:pPr>
      <w:r>
        <w:t>Perspectives of young people who use headspace</w:t>
      </w:r>
    </w:p>
    <w:p w14:paraId="5A8213C5" w14:textId="77777777" w:rsidR="00D63473" w:rsidRPr="009C52D1" w:rsidRDefault="00D63473" w:rsidP="00D63473">
      <w:pPr>
        <w:pStyle w:val="BodyText"/>
      </w:pPr>
      <w:r>
        <w:t>h</w:t>
      </w:r>
      <w:r w:rsidRPr="009C52D1">
        <w:t>eadspace users relayed that young people are increasingly aware of mental health issues, and that stigma has reduced over time. headspace visibility and outreach meant that young people were sometimes already aware of it, or were referred to it early via school or through their GP.</w:t>
      </w:r>
      <w:r>
        <w:t xml:space="preserve"> </w:t>
      </w:r>
      <w:r w:rsidRPr="009C52D1">
        <w:t xml:space="preserve">However, waitlists were </w:t>
      </w:r>
      <w:r>
        <w:t>raised by some as</w:t>
      </w:r>
      <w:r w:rsidRPr="009C52D1">
        <w:t xml:space="preserve"> an inconvenience </w:t>
      </w:r>
      <w:r>
        <w:t>and others as</w:t>
      </w:r>
      <w:r w:rsidRPr="009C52D1">
        <w:t xml:space="preserve"> a severe challenge:</w:t>
      </w:r>
    </w:p>
    <w:p w14:paraId="4B3D5F22" w14:textId="77777777" w:rsidR="00D63473" w:rsidRDefault="00D63473" w:rsidP="00D63473">
      <w:pPr>
        <w:pStyle w:val="Quote"/>
        <w:rPr>
          <w:lang w:val="en-US"/>
        </w:rPr>
      </w:pPr>
      <w:r>
        <w:rPr>
          <w:lang w:val="en-US"/>
        </w:rPr>
        <w:t>“</w:t>
      </w:r>
      <w:r w:rsidRPr="009C52D1">
        <w:rPr>
          <w:lang w:val="en-US"/>
        </w:rPr>
        <w:t xml:space="preserve">I guess the doctor was quite helpful but I find that the waiting period can be quite long, and it </w:t>
      </w:r>
      <w:r w:rsidRPr="009C52D1">
        <w:t>makes it quite difficult…</w:t>
      </w:r>
      <w:r w:rsidRPr="009C52D1">
        <w:rPr>
          <w:lang w:val="en-US"/>
        </w:rPr>
        <w:t xml:space="preserve"> It just </w:t>
      </w:r>
      <w:r w:rsidRPr="0017666B">
        <w:t>feels</w:t>
      </w:r>
      <w:r w:rsidRPr="009C52D1">
        <w:rPr>
          <w:lang w:val="en-US"/>
        </w:rPr>
        <w:t xml:space="preserve"> so long away at the time, I guess, especially when you’re depressed.</w:t>
      </w:r>
      <w:r>
        <w:rPr>
          <w:lang w:val="en-US"/>
        </w:rPr>
        <w:t>”</w:t>
      </w:r>
    </w:p>
    <w:p w14:paraId="0C776AC7" w14:textId="00E65813" w:rsidR="00D63473" w:rsidRPr="00F24D43" w:rsidRDefault="00D63473" w:rsidP="00D63473">
      <w:pPr>
        <w:pStyle w:val="BodyText"/>
        <w:rPr>
          <w:shd w:val="clear" w:color="auto" w:fill="FFFFFF"/>
        </w:rPr>
      </w:pPr>
      <w:r>
        <w:rPr>
          <w:shd w:val="clear" w:color="auto" w:fill="FFFFFF"/>
        </w:rPr>
        <w:t>R</w:t>
      </w:r>
      <w:r w:rsidRPr="003417C3">
        <w:rPr>
          <w:shd w:val="clear" w:color="auto" w:fill="FFFFFF"/>
        </w:rPr>
        <w:t>eference group participants commented that headspace</w:t>
      </w:r>
      <w:r>
        <w:rPr>
          <w:shd w:val="clear" w:color="auto" w:fill="FFFFFF"/>
        </w:rPr>
        <w:t>’s promotional activities</w:t>
      </w:r>
      <w:r w:rsidRPr="003417C3">
        <w:rPr>
          <w:shd w:val="clear" w:color="auto" w:fill="FFFFFF"/>
        </w:rPr>
        <w:t xml:space="preserve"> </w:t>
      </w:r>
      <w:r>
        <w:rPr>
          <w:shd w:val="clear" w:color="auto" w:fill="FFFFFF"/>
        </w:rPr>
        <w:t xml:space="preserve">were effective and </w:t>
      </w:r>
      <w:r w:rsidR="0050072E">
        <w:rPr>
          <w:shd w:val="clear" w:color="auto" w:fill="FFFFFF"/>
        </w:rPr>
        <w:t>service</w:t>
      </w:r>
      <w:r>
        <w:rPr>
          <w:shd w:val="clear" w:color="auto" w:fill="FFFFFF"/>
        </w:rPr>
        <w:t>s appeared accessible and used ‘soft entry points’ as well as referral pathways from GPs.</w:t>
      </w:r>
    </w:p>
    <w:p w14:paraId="5C481C73" w14:textId="6B0D0027" w:rsidR="00D63473" w:rsidRPr="003417C3" w:rsidRDefault="00D63473" w:rsidP="003006A8">
      <w:pPr>
        <w:pStyle w:val="BodyText"/>
        <w:rPr>
          <w:shd w:val="clear" w:color="auto" w:fill="FFFFFF"/>
        </w:rPr>
      </w:pPr>
      <w:r>
        <w:rPr>
          <w:shd w:val="clear" w:color="auto" w:fill="FFFFFF"/>
        </w:rPr>
        <w:t xml:space="preserve">Youth </w:t>
      </w:r>
      <w:r w:rsidR="001F058F">
        <w:rPr>
          <w:shd w:val="clear" w:color="auto" w:fill="FFFFFF"/>
        </w:rPr>
        <w:t>R</w:t>
      </w:r>
      <w:r w:rsidRPr="003417C3">
        <w:rPr>
          <w:shd w:val="clear" w:color="auto" w:fill="FFFFFF"/>
        </w:rPr>
        <w:t xml:space="preserve">eference </w:t>
      </w:r>
      <w:r w:rsidR="001F058F">
        <w:rPr>
          <w:shd w:val="clear" w:color="auto" w:fill="FFFFFF"/>
        </w:rPr>
        <w:t>G</w:t>
      </w:r>
      <w:r w:rsidRPr="003417C3">
        <w:rPr>
          <w:shd w:val="clear" w:color="auto" w:fill="FFFFFF"/>
        </w:rPr>
        <w:t>roup participants commented that headspace</w:t>
      </w:r>
      <w:r>
        <w:rPr>
          <w:shd w:val="clear" w:color="auto" w:fill="FFFFFF"/>
        </w:rPr>
        <w:t>’s promotional activities</w:t>
      </w:r>
      <w:r w:rsidRPr="003417C3">
        <w:rPr>
          <w:shd w:val="clear" w:color="auto" w:fill="FFFFFF"/>
        </w:rPr>
        <w:t xml:space="preserve"> in the community and </w:t>
      </w:r>
      <w:r>
        <w:rPr>
          <w:shd w:val="clear" w:color="auto" w:fill="FFFFFF"/>
        </w:rPr>
        <w:t>outreach in s</w:t>
      </w:r>
      <w:r w:rsidRPr="003417C3">
        <w:rPr>
          <w:shd w:val="clear" w:color="auto" w:fill="FFFFFF"/>
        </w:rPr>
        <w:t xml:space="preserve">chools </w:t>
      </w:r>
      <w:r>
        <w:rPr>
          <w:shd w:val="clear" w:color="auto" w:fill="FFFFFF"/>
        </w:rPr>
        <w:t>meant that young people could be linked to help early through GPs, and school counsellors:</w:t>
      </w:r>
    </w:p>
    <w:p w14:paraId="55783E8B" w14:textId="77777777" w:rsidR="00D63473" w:rsidRPr="00521D25" w:rsidRDefault="00D63473" w:rsidP="00D63473">
      <w:pPr>
        <w:pStyle w:val="Quote"/>
        <w:rPr>
          <w:szCs w:val="20"/>
        </w:rPr>
      </w:pPr>
      <w:r>
        <w:rPr>
          <w:szCs w:val="20"/>
        </w:rPr>
        <w:t>“</w:t>
      </w:r>
      <w:r w:rsidRPr="00521D25">
        <w:rPr>
          <w:szCs w:val="20"/>
        </w:rPr>
        <w:t>Their signage is really good. Everyone knows where it is. People notice it and people ask what it is. I think that’s really good but in terms of stigma.</w:t>
      </w:r>
      <w:r>
        <w:rPr>
          <w:szCs w:val="20"/>
        </w:rPr>
        <w:t>”</w:t>
      </w:r>
    </w:p>
    <w:p w14:paraId="01044160" w14:textId="77777777" w:rsidR="00D63473" w:rsidRPr="00ED4A78" w:rsidRDefault="00D63473" w:rsidP="00D63473">
      <w:pPr>
        <w:pStyle w:val="BodyText"/>
      </w:pPr>
      <w:r>
        <w:t>and</w:t>
      </w:r>
    </w:p>
    <w:p w14:paraId="1B4CC26A" w14:textId="215E8C95" w:rsidR="00D63473" w:rsidRPr="00521D25" w:rsidRDefault="00D63473" w:rsidP="00D63473">
      <w:pPr>
        <w:pStyle w:val="Quote"/>
        <w:rPr>
          <w:szCs w:val="20"/>
        </w:rPr>
      </w:pPr>
      <w:r>
        <w:rPr>
          <w:szCs w:val="20"/>
        </w:rPr>
        <w:t>“</w:t>
      </w:r>
      <w:r w:rsidRPr="00521D25">
        <w:rPr>
          <w:szCs w:val="20"/>
        </w:rPr>
        <w:t>It shows ‘</w:t>
      </w:r>
      <w:r w:rsidR="00231B8A">
        <w:rPr>
          <w:szCs w:val="20"/>
        </w:rPr>
        <w:t>H</w:t>
      </w:r>
      <w:r w:rsidRPr="00521D25">
        <w:rPr>
          <w:szCs w:val="20"/>
        </w:rPr>
        <w:t>ere we are, if you need our help. Just come inside. It’s all fine</w:t>
      </w:r>
      <w:r>
        <w:rPr>
          <w:szCs w:val="20"/>
        </w:rPr>
        <w:t>’.”</w:t>
      </w:r>
    </w:p>
    <w:p w14:paraId="6ACB1B5F" w14:textId="77777777" w:rsidR="00D63473" w:rsidRDefault="00D63473" w:rsidP="00D63473">
      <w:pPr>
        <w:pStyle w:val="BodyText"/>
      </w:pPr>
      <w:r>
        <w:t>Groups that are run out of headspace, for example a yoga group in one area, serve as a soft entry point for seeking help:</w:t>
      </w:r>
    </w:p>
    <w:p w14:paraId="0CE60011" w14:textId="77777777" w:rsidR="00D63473" w:rsidRPr="005A63D5" w:rsidRDefault="00D63473" w:rsidP="00D63473">
      <w:pPr>
        <w:pStyle w:val="Quote"/>
      </w:pPr>
      <w:r>
        <w:t>“</w:t>
      </w:r>
      <w:r w:rsidRPr="00521D25">
        <w:t>People who’ve never been to headspace before come to the yoga and then go ‘Actually I might use this service’.</w:t>
      </w:r>
      <w:r>
        <w:t>”</w:t>
      </w:r>
    </w:p>
    <w:p w14:paraId="6E9D414C" w14:textId="77777777" w:rsidR="00D63473" w:rsidRDefault="00D63473" w:rsidP="00D63473">
      <w:pPr>
        <w:pStyle w:val="Heading5"/>
      </w:pPr>
      <w:r>
        <w:t>Perspectives of staff within headspace services</w:t>
      </w:r>
    </w:p>
    <w:p w14:paraId="21DEF87F" w14:textId="77777777" w:rsidR="00D63473" w:rsidRDefault="00D63473" w:rsidP="003006A8">
      <w:pPr>
        <w:pStyle w:val="BodyText"/>
        <w:rPr>
          <w:i/>
          <w:szCs w:val="20"/>
        </w:rPr>
      </w:pPr>
      <w:r>
        <w:t>The survey of staff from services and lead agencies included two questions to elicit staff views of the efficacy of the headspace model on increasing early help seeking behaviour. The first question asked them to use a five point rating scale of ‘very well’ to ‘not at all well’ in response to the prompt:</w:t>
      </w:r>
    </w:p>
    <w:p w14:paraId="01EFEB98" w14:textId="10959FAF" w:rsidR="00D63473" w:rsidRPr="00F8722C" w:rsidRDefault="00D63473" w:rsidP="00D63473">
      <w:pPr>
        <w:pStyle w:val="QuoteBold"/>
        <w:rPr>
          <w:i/>
        </w:rPr>
      </w:pPr>
      <w:r w:rsidRPr="00F8722C">
        <w:t xml:space="preserve">Based on </w:t>
      </w:r>
      <w:r w:rsidRPr="0017666B">
        <w:t>your</w:t>
      </w:r>
      <w:r w:rsidRPr="00F8722C">
        <w:t xml:space="preserve"> observation of young people at your headspace service, how well does your service increase early help</w:t>
      </w:r>
      <w:r w:rsidR="00BD29DF">
        <w:t xml:space="preserve"> </w:t>
      </w:r>
      <w:r w:rsidRPr="00F8722C">
        <w:t>seeking behaviour?</w:t>
      </w:r>
    </w:p>
    <w:p w14:paraId="6C2DD652" w14:textId="0A097C17" w:rsidR="0083054B" w:rsidRPr="0083054B" w:rsidRDefault="00D63473" w:rsidP="0083054B">
      <w:pPr>
        <w:pStyle w:val="Caption"/>
      </w:pPr>
      <w:bookmarkStart w:id="235" w:name="_Toc108109223"/>
      <w:r>
        <w:t xml:space="preserve">Figure </w:t>
      </w:r>
      <w:r>
        <w:fldChar w:fldCharType="begin"/>
      </w:r>
      <w:r>
        <w:instrText>SEQ Figure \* ARABIC</w:instrText>
      </w:r>
      <w:r>
        <w:fldChar w:fldCharType="separate"/>
      </w:r>
      <w:r w:rsidR="00CC0438">
        <w:rPr>
          <w:noProof/>
        </w:rPr>
        <w:t>38</w:t>
      </w:r>
      <w:r>
        <w:fldChar w:fldCharType="end"/>
      </w:r>
      <w:r>
        <w:t>: Responses from lead agency and headspace survey representatives on how effective headspace services are in increasing early help seeking</w:t>
      </w:r>
      <w:bookmarkEnd w:id="235"/>
    </w:p>
    <w:p w14:paraId="3745DCD5" w14:textId="4E6DB6FE" w:rsidR="00EC78C4" w:rsidRPr="00EC78C4" w:rsidRDefault="007610D3" w:rsidP="00A33A8D">
      <w:r>
        <w:rPr>
          <w:noProof/>
        </w:rPr>
        <w:drawing>
          <wp:inline distT="0" distB="0" distL="0" distR="0" wp14:anchorId="1D481D6D" wp14:editId="232A6A10">
            <wp:extent cx="5040000" cy="3110460"/>
            <wp:effectExtent l="0" t="0" r="0" b="0"/>
            <wp:docPr id="1" name="Chart 1" descr="Figure 38 is a pie chart presenting responses from lead agency and headspace service survey respondents about the effectiveness of headspace services in increasing early help seeking. &#10;36% of respondents said very well&#10;50% of respondents said well&#10;12% of respondents said neutral&#10;2% of respondents said not well&#10;">
              <a:extLst xmlns:a="http://schemas.openxmlformats.org/drawingml/2006/main">
                <a:ext uri="{FF2B5EF4-FFF2-40B4-BE49-F238E27FC236}">
                  <a16:creationId xmlns:a16="http://schemas.microsoft.com/office/drawing/2014/main" id="{5C910536-3B68-4E29-BCF1-60D50A7E2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2FA5D8F" w14:textId="63B59510" w:rsidR="00D63473" w:rsidRDefault="00D63473" w:rsidP="001268EC">
      <w:pPr>
        <w:pStyle w:val="Source"/>
        <w:rPr>
          <w:szCs w:val="16"/>
        </w:rPr>
      </w:pPr>
      <w:r w:rsidRPr="00126FEB">
        <w:t>Source:</w:t>
      </w:r>
      <w:r>
        <w:rPr>
          <w:szCs w:val="16"/>
        </w:rPr>
        <w:t xml:space="preserve"> KPMG analysis of the s</w:t>
      </w:r>
      <w:r w:rsidRPr="00F8722C">
        <w:rPr>
          <w:szCs w:val="16"/>
        </w:rPr>
        <w:t xml:space="preserve">urvey of headspace services and their </w:t>
      </w:r>
      <w:r>
        <w:rPr>
          <w:szCs w:val="16"/>
        </w:rPr>
        <w:t>l</w:t>
      </w:r>
      <w:r w:rsidRPr="00F8722C">
        <w:rPr>
          <w:szCs w:val="16"/>
        </w:rPr>
        <w:t xml:space="preserve">ead </w:t>
      </w:r>
      <w:r>
        <w:rPr>
          <w:szCs w:val="16"/>
        </w:rPr>
        <w:t>a</w:t>
      </w:r>
      <w:r w:rsidRPr="00F8722C">
        <w:rPr>
          <w:szCs w:val="16"/>
        </w:rPr>
        <w:t>gencies</w:t>
      </w:r>
    </w:p>
    <w:p w14:paraId="79E3EB3F" w14:textId="296DB9A6" w:rsidR="00D63473" w:rsidRPr="00126FEB" w:rsidRDefault="00D63473" w:rsidP="001268EC">
      <w:pPr>
        <w:pStyle w:val="Source"/>
        <w:rPr>
          <w:szCs w:val="16"/>
        </w:rPr>
      </w:pPr>
      <w:r>
        <w:t>Notes:</w:t>
      </w:r>
      <w:r>
        <w:rPr>
          <w:szCs w:val="16"/>
        </w:rPr>
        <w:t xml:space="preserve"> </w:t>
      </w:r>
      <w:r w:rsidR="006A00A9">
        <w:rPr>
          <w:szCs w:val="16"/>
        </w:rPr>
        <w:t xml:space="preserve">Sixty </w:t>
      </w:r>
      <w:r>
        <w:rPr>
          <w:szCs w:val="16"/>
        </w:rPr>
        <w:t xml:space="preserve">staff at either </w:t>
      </w:r>
      <w:r w:rsidR="0050072E">
        <w:rPr>
          <w:szCs w:val="16"/>
        </w:rPr>
        <w:t>service</w:t>
      </w:r>
      <w:r>
        <w:rPr>
          <w:szCs w:val="16"/>
        </w:rPr>
        <w:t>s or lead agencies responded to this question in the survey</w:t>
      </w:r>
      <w:r w:rsidR="006A00A9">
        <w:rPr>
          <w:szCs w:val="16"/>
        </w:rPr>
        <w:t>.</w:t>
      </w:r>
      <w:r>
        <w:rPr>
          <w:szCs w:val="16"/>
        </w:rPr>
        <w:t xml:space="preserve"> </w:t>
      </w:r>
    </w:p>
    <w:p w14:paraId="37C4C7D9" w14:textId="1C8AD4D1" w:rsidR="00D63473" w:rsidRDefault="00D63473" w:rsidP="00D63473">
      <w:pPr>
        <w:pStyle w:val="BodyText"/>
      </w:pPr>
      <w:r>
        <w:t xml:space="preserve">A total of 87 per cent of </w:t>
      </w:r>
      <w:r w:rsidR="0050072E">
        <w:t>service</w:t>
      </w:r>
      <w:r>
        <w:t xml:space="preserve"> and lead agency respondents selected ‘</w:t>
      </w:r>
      <w:r w:rsidR="00231B8A">
        <w:t>v</w:t>
      </w:r>
      <w:r>
        <w:t xml:space="preserve">ery </w:t>
      </w:r>
      <w:r w:rsidR="00231B8A">
        <w:t>w</w:t>
      </w:r>
      <w:r>
        <w:t>ell’ or ‘</w:t>
      </w:r>
      <w:r w:rsidR="00231B8A">
        <w:t>w</w:t>
      </w:r>
      <w:r>
        <w:t>ell’ in response to this question, indicating that staff working within the headspace model have generally high levels of confidence that the services they provide lead to increases in early help seeking behaviour.</w:t>
      </w:r>
    </w:p>
    <w:p w14:paraId="1333A255" w14:textId="77777777" w:rsidR="00D63473" w:rsidRDefault="00D63473" w:rsidP="003006A8">
      <w:pPr>
        <w:pStyle w:val="BodyText"/>
      </w:pPr>
      <w:r>
        <w:t>The survey then prompts a further, free text response to the question:</w:t>
      </w:r>
    </w:p>
    <w:p w14:paraId="3EE749D5" w14:textId="77777777" w:rsidR="00D63473" w:rsidRPr="002B0069" w:rsidRDefault="00D63473" w:rsidP="00D63473">
      <w:pPr>
        <w:pStyle w:val="QuoteBold"/>
        <w:rPr>
          <w:i/>
        </w:rPr>
      </w:pPr>
      <w:r w:rsidRPr="002B0069">
        <w:t>Why have you chosen this response? What are the barriers and enablers to this service achieving this objective?</w:t>
      </w:r>
    </w:p>
    <w:p w14:paraId="4A0837A3" w14:textId="77777777" w:rsidR="00D63473" w:rsidRPr="00AC2509" w:rsidRDefault="00D63473" w:rsidP="003006A8">
      <w:pPr>
        <w:pStyle w:val="BodyText"/>
      </w:pPr>
      <w:r>
        <w:t>Responses identified a number of ways in which headspace services contribute to increased early help seeking. These include:</w:t>
      </w:r>
    </w:p>
    <w:p w14:paraId="384B3817" w14:textId="17E37481" w:rsidR="00D63473" w:rsidRPr="006B3705" w:rsidRDefault="00D63473" w:rsidP="00EC241D">
      <w:pPr>
        <w:pStyle w:val="Bullet1stlevel"/>
      </w:pPr>
      <w:r>
        <w:t>s</w:t>
      </w:r>
      <w:r w:rsidRPr="006B3705">
        <w:t xml:space="preserve">trong brand recognition and social media presence of headspace </w:t>
      </w:r>
      <w:r w:rsidR="0050072E">
        <w:t>service</w:t>
      </w:r>
      <w:r w:rsidRPr="006B3705">
        <w:t>s</w:t>
      </w:r>
      <w:r w:rsidR="00231B8A">
        <w:t>; and</w:t>
      </w:r>
    </w:p>
    <w:p w14:paraId="38B395F5" w14:textId="73547E2F" w:rsidR="00D63473" w:rsidRPr="006B3705" w:rsidRDefault="00D63473" w:rsidP="00EC241D">
      <w:pPr>
        <w:pStyle w:val="Bullet1stlevel"/>
      </w:pPr>
      <w:r>
        <w:t>p</w:t>
      </w:r>
      <w:r w:rsidRPr="006B3705">
        <w:t xml:space="preserve">romotion and advocacy work of </w:t>
      </w:r>
      <w:r w:rsidR="0050072E">
        <w:t>service</w:t>
      </w:r>
      <w:r w:rsidRPr="006B3705">
        <w:t xml:space="preserve">s, including the community engagement roles, for example </w:t>
      </w:r>
      <w:r>
        <w:t>s</w:t>
      </w:r>
      <w:r w:rsidRPr="006B3705">
        <w:t>chool events conducted</w:t>
      </w:r>
      <w:r>
        <w:t>.</w:t>
      </w:r>
    </w:p>
    <w:p w14:paraId="5C8CBC68" w14:textId="77777777" w:rsidR="00D63473" w:rsidRDefault="00D63473" w:rsidP="003006A8">
      <w:pPr>
        <w:pStyle w:val="BodyText"/>
      </w:pPr>
      <w:r>
        <w:t>In terms of barriers to increasing early help seeking, these are similar to those identified for improving mental health literacy:</w:t>
      </w:r>
    </w:p>
    <w:p w14:paraId="1E24CAE8" w14:textId="75300893" w:rsidR="00D63473" w:rsidRDefault="00D63473" w:rsidP="00EC241D">
      <w:pPr>
        <w:pStyle w:val="Bullet1stlevel"/>
      </w:pPr>
      <w:r>
        <w:t>t</w:t>
      </w:r>
      <w:r w:rsidRPr="00E41CAE">
        <w:t>he impact of waiting time</w:t>
      </w:r>
      <w:r>
        <w:t>s</w:t>
      </w:r>
      <w:r w:rsidRPr="00E41CAE">
        <w:t xml:space="preserve"> constraining the extent to which services can provide early support and early referrals </w:t>
      </w:r>
      <w:r>
        <w:t>to other services</w:t>
      </w:r>
      <w:r w:rsidR="00231B8A">
        <w:t>;</w:t>
      </w:r>
    </w:p>
    <w:p w14:paraId="0488FA0E" w14:textId="132CEFAB" w:rsidR="00D63473" w:rsidRPr="00252863" w:rsidRDefault="00D63473" w:rsidP="00EC241D">
      <w:pPr>
        <w:pStyle w:val="Bullet1stlevel"/>
      </w:pPr>
      <w:r>
        <w:t>staff saw community engagement as a key mechanism through which services promote early help seeking, which is limited due to staffing challenges and funding constraints</w:t>
      </w:r>
      <w:r w:rsidR="00231B8A">
        <w:t>;</w:t>
      </w:r>
    </w:p>
    <w:p w14:paraId="15EDA169" w14:textId="37245366" w:rsidR="00D63473" w:rsidRDefault="00D63473" w:rsidP="00EC241D">
      <w:pPr>
        <w:pStyle w:val="Bullet1stlevel"/>
      </w:pPr>
      <w:r>
        <w:t>the potential to improve the service’s contribution to early help seeking through additional intake engagement workers, supporting early intervention and low level needs early</w:t>
      </w:r>
      <w:r w:rsidR="00231B8A">
        <w:t>;</w:t>
      </w:r>
    </w:p>
    <w:p w14:paraId="58560712" w14:textId="2224AE02" w:rsidR="00D63473" w:rsidRPr="0001418E" w:rsidRDefault="00D63473" w:rsidP="00EC241D">
      <w:pPr>
        <w:pStyle w:val="Bullet1stlevel"/>
      </w:pPr>
      <w:r>
        <w:t>perceptions that headspace services are supporting high-risk or high-needs young people, discouraging others from seeking support for mild to moderate needs</w:t>
      </w:r>
      <w:r w:rsidR="00231B8A">
        <w:t>; and</w:t>
      </w:r>
    </w:p>
    <w:p w14:paraId="775A13C7" w14:textId="77777777" w:rsidR="00D63473" w:rsidRPr="00AC2509" w:rsidRDefault="00D63473" w:rsidP="00EC241D">
      <w:pPr>
        <w:pStyle w:val="Bullet1stlevel"/>
      </w:pPr>
      <w:r>
        <w:t>pressure on services from supporting higher needs young people reducing the capacity to provide early intervention support to those who seek help early.</w:t>
      </w:r>
    </w:p>
    <w:p w14:paraId="55B5BC1E" w14:textId="2413F31F" w:rsidR="00D63473" w:rsidRDefault="00D63473" w:rsidP="00D63473">
      <w:pPr>
        <w:pStyle w:val="BodyText"/>
      </w:pPr>
      <w:r>
        <w:t xml:space="preserve">In line with this, school and university counsellors interviewed frequently raised the issue of waiting times and anticipated delays in receiving support, as a reason young people do not seek support from headspace, constraining the extent to which headspace can provide an early intervention service for young people. </w:t>
      </w:r>
    </w:p>
    <w:p w14:paraId="37FEAA6F" w14:textId="77777777" w:rsidR="00D63473" w:rsidRDefault="00D63473" w:rsidP="00D63473">
      <w:pPr>
        <w:pStyle w:val="Heading5"/>
      </w:pPr>
      <w:r>
        <w:t>Perspectives of young people who do not use headspace</w:t>
      </w:r>
    </w:p>
    <w:p w14:paraId="3FDD2E81" w14:textId="77777777" w:rsidR="00D63473" w:rsidRDefault="00D63473" w:rsidP="00D63473">
      <w:pPr>
        <w:pStyle w:val="BodyText"/>
      </w:pPr>
      <w:r>
        <w:t>A theme emerging from interviews with young people who do not use headspace services was that, when asked why they do not seek support from headspace, they responded they do not feel their need is severe enough to warrant taking the time or resources away from those in need. This not only indicates that the focus and purpose of headspace has been misunderstood but that there may be an unmet need in the community, and that young people could benefit from seeking support before their mental health problems become more severe.</w:t>
      </w:r>
    </w:p>
    <w:p w14:paraId="234DDDF6" w14:textId="77777777" w:rsidR="00D63473" w:rsidRPr="00174D71" w:rsidRDefault="00D63473" w:rsidP="00D63473">
      <w:pPr>
        <w:pStyle w:val="Heading4"/>
      </w:pPr>
      <w:r w:rsidRPr="003071A9">
        <w:t xml:space="preserve">Effectiveness of headspace in improving early help seeking </w:t>
      </w:r>
    </w:p>
    <w:p w14:paraId="7D48EAB3" w14:textId="2D20491B" w:rsidR="00D63473" w:rsidRDefault="00D63473" w:rsidP="00D63473">
      <w:pPr>
        <w:pStyle w:val="BodyText"/>
      </w:pPr>
      <w:r>
        <w:t xml:space="preserve">Evidence reviewed from a range of sources indicates that early help seeking is an area of continued focus for the headspace model, with good results despite barriers. </w:t>
      </w:r>
    </w:p>
    <w:p w14:paraId="7160C80A" w14:textId="1352ABEC" w:rsidR="00D63473" w:rsidRPr="00C646AB" w:rsidRDefault="00D63473" w:rsidP="00D63473">
      <w:pPr>
        <w:pStyle w:val="BodyText"/>
      </w:pPr>
      <w:r>
        <w:t xml:space="preserve">Administrative data in the hMDS regarding the age, mental health risk status and stage of illness of young people presenting in the period for an occasion of service indicate that around three-quarters of young people presenting were aged under 20 years. Just under half of those presenting (46.1 per cent) in the period had either ‘no risk factors or symptoms of mental health problems’ or ‘risk factors present’, indicating the presence of one or more situational factors making them vulnerable to developing a mental health problem. Furthermore, just under half (41-48 per cent) of young people presenting at headspace in the period had ‘no symptoms of mental health problems or disorder’ or ‘mild to moderate general symptoms of mental health problems and/or high risk </w:t>
      </w:r>
      <w:r w:rsidR="004C50C0">
        <w:t>psychosocial</w:t>
      </w:r>
      <w:r>
        <w:t xml:space="preserve"> stressors (e.g</w:t>
      </w:r>
      <w:r w:rsidR="007E76A0">
        <w:t>.,</w:t>
      </w:r>
      <w:r>
        <w:t xml:space="preserve"> bullying or relationship problems). These data provide a broad indicator of ‘early help seeking’, where the young person is presenting at a young age, at an early stage of illness or with low risk factors. They show that a substantial proportion of young people attending headspace meet a broad definition of ‘early help seeking’.</w:t>
      </w:r>
    </w:p>
    <w:p w14:paraId="28E720F2" w14:textId="5C38D8B6" w:rsidR="00D63473" w:rsidRDefault="00D63473" w:rsidP="00D63473">
      <w:pPr>
        <w:pStyle w:val="BodyText"/>
      </w:pPr>
      <w:r>
        <w:t xml:space="preserve">Staff at headspace are confident that their service provides increases in early help seeking behaviour, with 87 per cent of </w:t>
      </w:r>
      <w:r w:rsidR="0050072E">
        <w:t>service</w:t>
      </w:r>
      <w:r>
        <w:t xml:space="preserve"> and lead agency respondents selecting ‘</w:t>
      </w:r>
      <w:r w:rsidR="000D1CE6">
        <w:t>v</w:t>
      </w:r>
      <w:r>
        <w:t xml:space="preserve">ery </w:t>
      </w:r>
      <w:r w:rsidR="000D1CE6">
        <w:t>w</w:t>
      </w:r>
      <w:r>
        <w:t>ell’ or ‘</w:t>
      </w:r>
      <w:r w:rsidR="000D1CE6">
        <w:t>w</w:t>
      </w:r>
      <w:r>
        <w:t xml:space="preserve">ell’ in response to this question. Enablers of this were identified as community engagement activities and strong brand recognition, while wait times, workforce limitations and misconceptions of headspace as being for high-needs young people were all also raised by school and university counsellors and young people who do not use headspace. </w:t>
      </w:r>
    </w:p>
    <w:p w14:paraId="611AA3D3" w14:textId="75810349" w:rsidR="00D63473" w:rsidRPr="006C13CD" w:rsidRDefault="00D63473" w:rsidP="006C13CD">
      <w:pPr>
        <w:pStyle w:val="BodyText"/>
        <w:rPr>
          <w:rStyle w:val="IntenseEmphasis"/>
          <w:i w:val="0"/>
          <w:color w:val="auto"/>
        </w:rPr>
      </w:pPr>
      <w:r>
        <w:t xml:space="preserve">This data provides a range of lenses through which to examine the question as to whether headspace is improving early help seeking in young people. </w:t>
      </w:r>
      <w:r w:rsidR="005B2BCE" w:rsidRPr="000244E4">
        <w:t>Th</w:t>
      </w:r>
      <w:r w:rsidR="003F4044" w:rsidRPr="000244E4">
        <w:t>e</w:t>
      </w:r>
      <w:r w:rsidR="005B2BCE" w:rsidRPr="000244E4">
        <w:t xml:space="preserve"> evidence suggests that headspace is effective in improving early help seeking behaviour in young people</w:t>
      </w:r>
      <w:r w:rsidR="002E598D">
        <w:rPr>
          <w:b/>
          <w:bCs/>
        </w:rPr>
        <w:t xml:space="preserve"> </w:t>
      </w:r>
      <w:r w:rsidRPr="006C13CD">
        <w:rPr>
          <w:rStyle w:val="IntenseEmphasis"/>
          <w:i w:val="0"/>
          <w:color w:val="auto"/>
        </w:rPr>
        <w:t xml:space="preserve">with increased access by those from younger age groups, although waiting times at </w:t>
      </w:r>
      <w:r w:rsidR="0050072E">
        <w:rPr>
          <w:rStyle w:val="IntenseEmphasis"/>
          <w:i w:val="0"/>
          <w:color w:val="auto"/>
        </w:rPr>
        <w:t>service</w:t>
      </w:r>
      <w:r w:rsidRPr="006C13CD">
        <w:rPr>
          <w:rStyle w:val="IntenseEmphasis"/>
          <w:i w:val="0"/>
          <w:color w:val="auto"/>
        </w:rPr>
        <w:t>s was identified as a key barrier to early help seeking behaviour. While mental health risk factors and stage of illness for young people attending headspace have remained relatively stable, data indicates that almost half of those attending headspace are seeking help for mild mental health conditions or are engaging in ‘early help seeking’.</w:t>
      </w:r>
    </w:p>
    <w:p w14:paraId="1D51D8AB" w14:textId="2454BA58" w:rsidR="00D63473" w:rsidRDefault="00D63473" w:rsidP="00EC241D">
      <w:pPr>
        <w:pStyle w:val="AppendixHeading2"/>
      </w:pPr>
      <w:bookmarkStart w:id="236" w:name="_Ref98326291"/>
      <w:r>
        <w:t>H</w:t>
      </w:r>
      <w:r w:rsidRPr="00B442D3">
        <w:t>ow effective is headspace in increasing access to required services?</w:t>
      </w:r>
      <w:bookmarkEnd w:id="236"/>
      <w:r w:rsidRPr="001D6913">
        <w:t xml:space="preserve"> </w:t>
      </w:r>
    </w:p>
    <w:p w14:paraId="67F1CA19" w14:textId="77777777" w:rsidR="00D63473" w:rsidRPr="0056653A" w:rsidRDefault="00D63473" w:rsidP="00394F71">
      <w:pPr>
        <w:pStyle w:val="AppendixHeading3"/>
      </w:pPr>
      <w:r>
        <w:t>Access to services through headspace</w:t>
      </w:r>
    </w:p>
    <w:p w14:paraId="7983216F" w14:textId="6AA0A48E" w:rsidR="007426FA" w:rsidRDefault="007426FA" w:rsidP="007426FA">
      <w:pPr>
        <w:pStyle w:val="Caption"/>
      </w:pPr>
      <w:bookmarkStart w:id="237" w:name="_Toc108108997"/>
      <w:r>
        <w:t xml:space="preserve">Table </w:t>
      </w:r>
      <w:fldSimple w:instr=" SEQ Table \* ARABIC ">
        <w:r w:rsidR="00CC0438">
          <w:rPr>
            <w:noProof/>
          </w:rPr>
          <w:t>47</w:t>
        </w:r>
      </w:fldSimple>
      <w:r>
        <w:t xml:space="preserve"> </w:t>
      </w:r>
      <w:r w:rsidRPr="000E2BE3">
        <w:t>Overview of access to service objectives of headspace</w:t>
      </w:r>
      <w:bookmarkEnd w:id="237"/>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access to service objectives of headspace"/>
        <w:tblDescription w:val="Table 48 has 3 columns and summarises the objectives of headspace services with increasing access to required services. Column 1 outlines the objective. Column 2 summarises the short-term impacts expected. Column 3 summarises the medium-term impacts expected."/>
      </w:tblPr>
      <w:tblGrid>
        <w:gridCol w:w="2127"/>
        <w:gridCol w:w="3543"/>
        <w:gridCol w:w="3543"/>
      </w:tblGrid>
      <w:tr w:rsidR="00D63473" w:rsidRPr="001D6913" w14:paraId="58B5423A" w14:textId="77777777" w:rsidTr="00F27C38">
        <w:trPr>
          <w:tblHeader/>
        </w:trPr>
        <w:tc>
          <w:tcPr>
            <w:tcW w:w="1154" w:type="pct"/>
            <w:tcBorders>
              <w:top w:val="nil"/>
              <w:left w:val="nil"/>
              <w:bottom w:val="single" w:sz="4" w:space="0" w:color="00338D"/>
              <w:right w:val="nil"/>
            </w:tcBorders>
            <w:shd w:val="clear" w:color="auto" w:fill="00338D"/>
            <w:hideMark/>
          </w:tcPr>
          <w:p w14:paraId="41E300D7" w14:textId="77777777" w:rsidR="00D63473" w:rsidRPr="001D6913" w:rsidRDefault="00D63473" w:rsidP="00F27C38">
            <w:pPr>
              <w:pStyle w:val="Tableheading"/>
            </w:pPr>
            <w:r w:rsidRPr="001D6913">
              <w:t>Objective</w:t>
            </w:r>
          </w:p>
        </w:tc>
        <w:tc>
          <w:tcPr>
            <w:tcW w:w="1923" w:type="pct"/>
            <w:tcBorders>
              <w:top w:val="nil"/>
              <w:left w:val="nil"/>
              <w:bottom w:val="single" w:sz="4" w:space="0" w:color="00338D"/>
              <w:right w:val="nil"/>
            </w:tcBorders>
            <w:shd w:val="clear" w:color="auto" w:fill="00338D"/>
            <w:hideMark/>
          </w:tcPr>
          <w:p w14:paraId="3CA41731" w14:textId="3540EA4C" w:rsidR="00D63473" w:rsidRPr="001D6913" w:rsidRDefault="00D63473" w:rsidP="00F27C38">
            <w:pPr>
              <w:pStyle w:val="Tableheading"/>
            </w:pPr>
            <w:r w:rsidRPr="001D6913">
              <w:t>Short</w:t>
            </w:r>
            <w:r w:rsidR="000D1CE6">
              <w:t>-</w:t>
            </w:r>
            <w:r w:rsidRPr="001D6913">
              <w:t>term impacts</w:t>
            </w:r>
          </w:p>
        </w:tc>
        <w:tc>
          <w:tcPr>
            <w:tcW w:w="1923" w:type="pct"/>
            <w:tcBorders>
              <w:top w:val="nil"/>
              <w:left w:val="nil"/>
              <w:bottom w:val="single" w:sz="4" w:space="0" w:color="00338D"/>
              <w:right w:val="nil"/>
            </w:tcBorders>
            <w:shd w:val="clear" w:color="auto" w:fill="00338D"/>
            <w:hideMark/>
          </w:tcPr>
          <w:p w14:paraId="7E1A7988" w14:textId="1669345D" w:rsidR="00D63473" w:rsidRPr="001D6913" w:rsidRDefault="00D63473" w:rsidP="00F27C38">
            <w:pPr>
              <w:pStyle w:val="Tableheading"/>
            </w:pPr>
            <w:r w:rsidRPr="001D6913">
              <w:t>Medium</w:t>
            </w:r>
            <w:r w:rsidR="000D1CE6">
              <w:t>-</w:t>
            </w:r>
            <w:r w:rsidRPr="001D6913">
              <w:t>term impacts</w:t>
            </w:r>
          </w:p>
        </w:tc>
      </w:tr>
      <w:tr w:rsidR="00D63473" w:rsidRPr="001D6913" w14:paraId="7D4D565F" w14:textId="77777777" w:rsidTr="00F27C38">
        <w:tc>
          <w:tcPr>
            <w:tcW w:w="1154" w:type="pct"/>
            <w:tcBorders>
              <w:top w:val="single" w:sz="2" w:space="0" w:color="808080" w:themeColor="background1" w:themeShade="80"/>
              <w:left w:val="nil"/>
              <w:bottom w:val="single" w:sz="2" w:space="0" w:color="808080" w:themeColor="background1" w:themeShade="80"/>
              <w:right w:val="nil"/>
            </w:tcBorders>
            <w:hideMark/>
          </w:tcPr>
          <w:p w14:paraId="3CBA9399" w14:textId="77777777" w:rsidR="00D63473" w:rsidRPr="001D6913" w:rsidRDefault="00D63473" w:rsidP="00F27C38">
            <w:pPr>
              <w:pStyle w:val="Tabletext"/>
            </w:pPr>
            <w:r w:rsidRPr="00163EC2">
              <w:rPr>
                <w:b/>
                <w:bCs/>
              </w:rPr>
              <w:t>Increasing access to required services</w:t>
            </w:r>
            <w:r>
              <w:t xml:space="preserve"> – the number of young people accessing headspace</w:t>
            </w:r>
          </w:p>
        </w:tc>
        <w:tc>
          <w:tcPr>
            <w:tcW w:w="1923" w:type="pct"/>
            <w:tcBorders>
              <w:top w:val="single" w:sz="2" w:space="0" w:color="808080" w:themeColor="background1" w:themeShade="80"/>
              <w:left w:val="nil"/>
              <w:bottom w:val="single" w:sz="2" w:space="0" w:color="808080" w:themeColor="background1" w:themeShade="80"/>
              <w:right w:val="nil"/>
            </w:tcBorders>
            <w:hideMark/>
          </w:tcPr>
          <w:p w14:paraId="5CBD16F8" w14:textId="77777777" w:rsidR="00D63473" w:rsidRPr="001D6913" w:rsidRDefault="00D63473" w:rsidP="004D53AB">
            <w:pPr>
              <w:pStyle w:val="TableBullet1"/>
            </w:pPr>
            <w:r w:rsidRPr="001D6913">
              <w:t>Young people from a diverse range of backgrounds access and engage with headspace services</w:t>
            </w:r>
          </w:p>
          <w:p w14:paraId="5D26FF62" w14:textId="77777777" w:rsidR="00D63473" w:rsidRPr="001D6913" w:rsidRDefault="00D63473" w:rsidP="004D53AB">
            <w:pPr>
              <w:pStyle w:val="TableBullet1"/>
            </w:pPr>
            <w:r w:rsidRPr="001D6913">
              <w:t>Young people and families can access headspace services in a timely manner, and at low or no cost</w:t>
            </w:r>
          </w:p>
        </w:tc>
        <w:tc>
          <w:tcPr>
            <w:tcW w:w="1923" w:type="pct"/>
            <w:tcBorders>
              <w:top w:val="single" w:sz="2" w:space="0" w:color="808080" w:themeColor="background1" w:themeShade="80"/>
              <w:left w:val="nil"/>
              <w:bottom w:val="single" w:sz="2" w:space="0" w:color="808080" w:themeColor="background1" w:themeShade="80"/>
              <w:right w:val="nil"/>
            </w:tcBorders>
            <w:hideMark/>
          </w:tcPr>
          <w:p w14:paraId="3C2043E5" w14:textId="77777777" w:rsidR="00D63473" w:rsidRPr="001D6913" w:rsidRDefault="00D63473" w:rsidP="004D53AB">
            <w:pPr>
              <w:pStyle w:val="TableBullet1"/>
            </w:pPr>
            <w:r w:rsidRPr="001D6913">
              <w:t>Young people receive appropriate, evidence-based treatment early</w:t>
            </w:r>
          </w:p>
          <w:p w14:paraId="3CD9743F" w14:textId="5C157634" w:rsidR="00D63473" w:rsidRPr="001D6913" w:rsidRDefault="00D63473" w:rsidP="004D53AB">
            <w:pPr>
              <w:pStyle w:val="TableBullet1"/>
            </w:pPr>
            <w:r w:rsidRPr="001D6913">
              <w:t>Young people increase help</w:t>
            </w:r>
            <w:r w:rsidR="00BD29DF">
              <w:t xml:space="preserve"> </w:t>
            </w:r>
            <w:r w:rsidRPr="001D6913">
              <w:t xml:space="preserve">seeking behaviour for mental health and wellbeing issues </w:t>
            </w:r>
          </w:p>
        </w:tc>
      </w:tr>
    </w:tbl>
    <w:p w14:paraId="1AF77147" w14:textId="5D0A8397" w:rsidR="00D63473" w:rsidRPr="00B249D7" w:rsidRDefault="00D63473" w:rsidP="00D63473">
      <w:pPr>
        <w:pStyle w:val="BodyText"/>
      </w:pPr>
      <w:r>
        <w:t>Young people a</w:t>
      </w:r>
      <w:r w:rsidRPr="00B249D7">
        <w:t xml:space="preserve">ccessing </w:t>
      </w:r>
      <w:r>
        <w:t>required servi</w:t>
      </w:r>
      <w:r w:rsidRPr="00B249D7">
        <w:t>ce</w:t>
      </w:r>
      <w:r>
        <w:t xml:space="preserve">s through headspace is central to the headspace program logic. Young people and families being able to access services in a timely manner at low or no cost leads to young people receiving </w:t>
      </w:r>
      <w:r w:rsidRPr="009E45F1">
        <w:t>appropriate, evidence-based treatment early and increased help</w:t>
      </w:r>
      <w:r w:rsidR="00BD29DF">
        <w:t xml:space="preserve"> </w:t>
      </w:r>
      <w:r w:rsidRPr="009E45F1">
        <w:t>seeking behaviour into the medium</w:t>
      </w:r>
      <w:r w:rsidR="000D1CE6">
        <w:t>-</w:t>
      </w:r>
      <w:r w:rsidRPr="009E45F1">
        <w:t>term. Again, this leads to long</w:t>
      </w:r>
      <w:r>
        <w:t>-</w:t>
      </w:r>
      <w:r w:rsidRPr="009E45F1">
        <w:t>term impacts in the headspace program logic for improved outcomes over the life course.</w:t>
      </w:r>
    </w:p>
    <w:p w14:paraId="21C16086" w14:textId="14731F53" w:rsidR="00D63473" w:rsidRDefault="00D63473" w:rsidP="00D63473">
      <w:pPr>
        <w:pStyle w:val="BodyText"/>
      </w:pPr>
      <w:r w:rsidRPr="002C759A">
        <w:t>As</w:t>
      </w:r>
      <w:r w:rsidRPr="002C759A" w:rsidDel="000D1CE6">
        <w:t xml:space="preserve"> </w:t>
      </w:r>
      <w:r w:rsidR="000D1CE6">
        <w:t>evidenced</w:t>
      </w:r>
      <w:r w:rsidRPr="002C759A">
        <w:t xml:space="preserve"> by the Royal Commission's work into Victoria's mental health system, there are a number of barriers many young people come up against when seeking care.</w:t>
      </w:r>
      <w:r>
        <w:t xml:space="preserve"> </w:t>
      </w:r>
      <w:r w:rsidRPr="002C759A">
        <w:t>Demand has overtaken capacity, community-based services are under</w:t>
      </w:r>
      <w:r>
        <w:t>-</w:t>
      </w:r>
      <w:r w:rsidRPr="002C759A">
        <w:t>supplied, unsuitable or driven by crisis, services are poorly integrated and families, carers and supporters are left out</w:t>
      </w:r>
      <w:r w:rsidR="00CC0438">
        <w:rPr>
          <w:rFonts w:ascii="ZWAdobeF" w:hAnsi="ZWAdobeF" w:cs="ZWAdobeF"/>
          <w:sz w:val="2"/>
          <w:szCs w:val="2"/>
        </w:rPr>
        <w:t>173F</w:t>
      </w:r>
      <w:r>
        <w:rPr>
          <w:rStyle w:val="FootnoteReference"/>
        </w:rPr>
        <w:footnoteReference w:id="175"/>
      </w:r>
      <w:r>
        <w:t>.</w:t>
      </w:r>
      <w:r w:rsidRPr="002C759A">
        <w:t xml:space="preserve"> </w:t>
      </w:r>
    </w:p>
    <w:p w14:paraId="12A0C335" w14:textId="77777777" w:rsidR="00D63473" w:rsidRDefault="00D63473" w:rsidP="00D63473">
      <w:pPr>
        <w:pStyle w:val="BodyText"/>
      </w:pPr>
      <w:r>
        <w:t xml:space="preserve">Given the increased level of funding the headspace model has received in recent years, and the expansion in the number of services around the country, a key measure of its effectiveness is to also examine the extent to which the increased number of services and service funding is associated with an increase in the overall number of young people accessing headspace. </w:t>
      </w:r>
    </w:p>
    <w:p w14:paraId="3C6D8984" w14:textId="1F8562CF" w:rsidR="00D63473" w:rsidRDefault="00D63473" w:rsidP="00394F71">
      <w:pPr>
        <w:pStyle w:val="Heading4"/>
      </w:pPr>
      <w:r>
        <w:t>Administrative data from the hMDS</w:t>
      </w:r>
      <w:r w:rsidR="00CC0438">
        <w:rPr>
          <w:rFonts w:ascii="ZWAdobeF" w:hAnsi="ZWAdobeF" w:cs="ZWAdobeF"/>
          <w:b w:val="0"/>
          <w:color w:val="auto"/>
          <w:sz w:val="2"/>
          <w:szCs w:val="2"/>
        </w:rPr>
        <w:t>174F</w:t>
      </w:r>
      <w:r>
        <w:rPr>
          <w:rStyle w:val="FootnoteReference"/>
        </w:rPr>
        <w:footnoteReference w:id="176"/>
      </w:r>
    </w:p>
    <w:p w14:paraId="51416ECF" w14:textId="5B2C66C1" w:rsidR="00D63473" w:rsidRDefault="00D63473" w:rsidP="00D63473">
      <w:pPr>
        <w:pStyle w:val="BodyText"/>
      </w:pPr>
      <w:r>
        <w:t xml:space="preserve">headspace National hMDS data demonstrate that, over time, the number of young people accessing support through headspace has increased with the increase in number of services. The </w:t>
      </w:r>
      <w:r w:rsidR="00CA4EDC">
        <w:t xml:space="preserve">slight drop in 2019-20 may be </w:t>
      </w:r>
      <w:r w:rsidR="0086490F">
        <w:t>due to</w:t>
      </w:r>
      <w:r w:rsidR="00032FAE">
        <w:t xml:space="preserve"> the</w:t>
      </w:r>
      <w:r w:rsidR="00CA4EDC" w:rsidDel="00032FAE">
        <w:t xml:space="preserve"> </w:t>
      </w:r>
      <w:r w:rsidR="00360167">
        <w:t xml:space="preserve">COVID-19 </w:t>
      </w:r>
      <w:r w:rsidR="00032FAE">
        <w:t xml:space="preserve">pandemic </w:t>
      </w:r>
      <w:r w:rsidR="00360167">
        <w:t>reducing access rates, in line with comments from providers interviewed across the evaluation. The</w:t>
      </w:r>
      <w:r>
        <w:t xml:space="preserve"> data indicate that the average number of young people accessing headspace per service is increasing, despite expansion of new services into regional and rural areas </w:t>
      </w:r>
      <w:r w:rsidR="00EA484E">
        <w:t>which</w:t>
      </w:r>
      <w:r w:rsidR="005E5BEE">
        <w:t xml:space="preserve"> have smaller populations</w:t>
      </w:r>
      <w:r w:rsidR="00D15FFE">
        <w:t xml:space="preserve">, potentially leading to </w:t>
      </w:r>
      <w:r w:rsidR="009F4D04">
        <w:t xml:space="preserve">lower average </w:t>
      </w:r>
      <w:r w:rsidR="00935F6D">
        <w:t xml:space="preserve">numbers </w:t>
      </w:r>
      <w:r w:rsidR="00D15FFE">
        <w:t xml:space="preserve">of young people accessing </w:t>
      </w:r>
      <w:r w:rsidR="00517D46">
        <w:t xml:space="preserve">these </w:t>
      </w:r>
      <w:r w:rsidR="00935F6D">
        <w:t>service</w:t>
      </w:r>
      <w:r w:rsidR="00517D46">
        <w:t>s</w:t>
      </w:r>
      <w:r>
        <w:t>. This corresponds to an observed increase in need for the age group served by headspace, with headspace National research indicating that over one</w:t>
      </w:r>
      <w:r>
        <w:noBreakHyphen/>
        <w:t>third of young people in Australia reported high to very high levels of distress in 2018, compared with only nine per cent doing so in 2007</w:t>
      </w:r>
      <w:r w:rsidR="00CC0438">
        <w:rPr>
          <w:rFonts w:ascii="ZWAdobeF" w:hAnsi="ZWAdobeF" w:cs="ZWAdobeF"/>
          <w:sz w:val="2"/>
          <w:szCs w:val="2"/>
        </w:rPr>
        <w:t>175F</w:t>
      </w:r>
      <w:r>
        <w:rPr>
          <w:rStyle w:val="FootnoteReference"/>
        </w:rPr>
        <w:footnoteReference w:id="177"/>
      </w:r>
      <w:r>
        <w:t>. While this headspace National research indicates that mental health needs are highest in 18 to 21 year olds, hMDS data indicates that the average age of a young person attending a service over the past five years has consistently been just over 17 years of age.</w:t>
      </w:r>
    </w:p>
    <w:p w14:paraId="5644DD94" w14:textId="5BE4F905" w:rsidR="00D63473" w:rsidRDefault="00D63473" w:rsidP="00D63473">
      <w:pPr>
        <w:pStyle w:val="Caption"/>
      </w:pPr>
      <w:bookmarkStart w:id="238" w:name="_Toc108108998"/>
      <w:r>
        <w:t xml:space="preserve">Table </w:t>
      </w:r>
      <w:r>
        <w:fldChar w:fldCharType="begin"/>
      </w:r>
      <w:r>
        <w:instrText>SEQ Table \* ARABIC</w:instrText>
      </w:r>
      <w:r>
        <w:fldChar w:fldCharType="separate"/>
      </w:r>
      <w:r w:rsidR="00CC0438">
        <w:rPr>
          <w:noProof/>
        </w:rPr>
        <w:t>48</w:t>
      </w:r>
      <w:r>
        <w:fldChar w:fldCharType="end"/>
      </w:r>
      <w:r>
        <w:t>: Average number of young people accessing headspace per year</w:t>
      </w:r>
      <w:bookmarkEnd w:id="238"/>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verage number of young people accessing headspace per centre per year"/>
        <w:tblDescription w:val="Table has 4 columns and summarises the average number of young people accessing headspace per year. Column 1 includes each financial year analysed. Column 2 contains the specific number of young people who accessed headspace during that year. Column 3 indicates the number of services in operation in that year. Column 4 presents the average number of young people accessing headspace per service per year.&#10;"/>
      </w:tblPr>
      <w:tblGrid>
        <w:gridCol w:w="1363"/>
        <w:gridCol w:w="2890"/>
        <w:gridCol w:w="2248"/>
        <w:gridCol w:w="2569"/>
      </w:tblGrid>
      <w:tr w:rsidR="00D63473" w14:paraId="5BDE5298" w14:textId="77777777" w:rsidTr="00F27C38">
        <w:trPr>
          <w:tblHeader/>
          <w:jc w:val="center"/>
        </w:trPr>
        <w:tc>
          <w:tcPr>
            <w:tcW w:w="751" w:type="pct"/>
            <w:tcBorders>
              <w:top w:val="nil"/>
              <w:left w:val="nil"/>
              <w:bottom w:val="single" w:sz="4" w:space="0" w:color="00338D"/>
              <w:right w:val="nil"/>
            </w:tcBorders>
            <w:shd w:val="clear" w:color="auto" w:fill="00338D"/>
            <w:hideMark/>
          </w:tcPr>
          <w:p w14:paraId="2AF56390" w14:textId="77777777" w:rsidR="00D63473" w:rsidRDefault="00D63473" w:rsidP="00F27C38">
            <w:pPr>
              <w:pStyle w:val="Tableheading"/>
              <w:ind w:left="34"/>
              <w:jc w:val="center"/>
            </w:pPr>
            <w:r>
              <w:t xml:space="preserve">Financial Year </w:t>
            </w:r>
          </w:p>
        </w:tc>
        <w:tc>
          <w:tcPr>
            <w:tcW w:w="1593" w:type="pct"/>
            <w:tcBorders>
              <w:top w:val="nil"/>
              <w:left w:val="nil"/>
              <w:bottom w:val="single" w:sz="4" w:space="0" w:color="00338D"/>
              <w:right w:val="nil"/>
            </w:tcBorders>
            <w:shd w:val="clear" w:color="auto" w:fill="00338D"/>
            <w:hideMark/>
          </w:tcPr>
          <w:p w14:paraId="22F95B43" w14:textId="77777777" w:rsidR="00D63473" w:rsidRDefault="00D63473" w:rsidP="00F27C38">
            <w:pPr>
              <w:pStyle w:val="Tableheading"/>
              <w:jc w:val="center"/>
            </w:pPr>
            <w:r>
              <w:t xml:space="preserve">Number of young people </w:t>
            </w:r>
            <w:r>
              <w:br/>
              <w:t>accessing headspace</w:t>
            </w:r>
          </w:p>
        </w:tc>
        <w:tc>
          <w:tcPr>
            <w:tcW w:w="1239" w:type="pct"/>
            <w:tcBorders>
              <w:top w:val="nil"/>
              <w:left w:val="nil"/>
              <w:bottom w:val="single" w:sz="4" w:space="0" w:color="00338D"/>
              <w:right w:val="nil"/>
            </w:tcBorders>
            <w:shd w:val="clear" w:color="auto" w:fill="00338D"/>
            <w:hideMark/>
          </w:tcPr>
          <w:p w14:paraId="532EEBE9" w14:textId="77777777" w:rsidR="00D63473" w:rsidRDefault="00D63473" w:rsidP="00F27C38">
            <w:pPr>
              <w:pStyle w:val="Tableheading"/>
              <w:jc w:val="center"/>
            </w:pPr>
            <w:r>
              <w:t>Number of services</w:t>
            </w:r>
            <w:r>
              <w:br/>
              <w:t xml:space="preserve"> in operation</w:t>
            </w:r>
          </w:p>
        </w:tc>
        <w:tc>
          <w:tcPr>
            <w:tcW w:w="1416" w:type="pct"/>
            <w:tcBorders>
              <w:top w:val="nil"/>
              <w:left w:val="nil"/>
              <w:bottom w:val="single" w:sz="4" w:space="0" w:color="00338D"/>
              <w:right w:val="nil"/>
            </w:tcBorders>
            <w:shd w:val="clear" w:color="auto" w:fill="00338D"/>
            <w:hideMark/>
          </w:tcPr>
          <w:p w14:paraId="4A1D29ED" w14:textId="77777777" w:rsidR="00D63473" w:rsidRDefault="00D63473" w:rsidP="00F27C38">
            <w:pPr>
              <w:pStyle w:val="Tableheading"/>
              <w:jc w:val="center"/>
            </w:pPr>
            <w:r>
              <w:t>Average young people accessing headspace per service per year</w:t>
            </w:r>
          </w:p>
        </w:tc>
      </w:tr>
      <w:tr w:rsidR="00D63473" w14:paraId="0A71A06C" w14:textId="77777777" w:rsidTr="00F27C38">
        <w:trPr>
          <w:jc w:val="center"/>
        </w:trPr>
        <w:tc>
          <w:tcPr>
            <w:tcW w:w="751" w:type="pct"/>
            <w:tcBorders>
              <w:top w:val="single" w:sz="4" w:space="0" w:color="00338D"/>
              <w:left w:val="nil"/>
              <w:bottom w:val="single" w:sz="2" w:space="0" w:color="808080" w:themeColor="background1" w:themeShade="80"/>
              <w:right w:val="nil"/>
            </w:tcBorders>
            <w:hideMark/>
          </w:tcPr>
          <w:p w14:paraId="7B1387D4" w14:textId="77777777" w:rsidR="00D63473" w:rsidRDefault="00D63473" w:rsidP="00F27C38">
            <w:pPr>
              <w:pStyle w:val="Tabletext"/>
              <w:jc w:val="center"/>
            </w:pPr>
            <w:r>
              <w:t>2015-16</w:t>
            </w:r>
          </w:p>
        </w:tc>
        <w:tc>
          <w:tcPr>
            <w:tcW w:w="1593" w:type="pct"/>
            <w:tcBorders>
              <w:top w:val="single" w:sz="4" w:space="0" w:color="00338D"/>
              <w:left w:val="nil"/>
              <w:bottom w:val="single" w:sz="2" w:space="0" w:color="808080" w:themeColor="background1" w:themeShade="80"/>
              <w:right w:val="nil"/>
            </w:tcBorders>
            <w:hideMark/>
          </w:tcPr>
          <w:p w14:paraId="374EBE76" w14:textId="77777777" w:rsidR="00D63473" w:rsidRDefault="00D63473" w:rsidP="00F27C38">
            <w:pPr>
              <w:pStyle w:val="Tabletext"/>
              <w:jc w:val="center"/>
            </w:pPr>
            <w:r>
              <w:t>70,940</w:t>
            </w:r>
          </w:p>
        </w:tc>
        <w:tc>
          <w:tcPr>
            <w:tcW w:w="1239" w:type="pct"/>
            <w:tcBorders>
              <w:top w:val="single" w:sz="4" w:space="0" w:color="00338D"/>
              <w:left w:val="nil"/>
              <w:bottom w:val="single" w:sz="2" w:space="0" w:color="808080" w:themeColor="background1" w:themeShade="80"/>
              <w:right w:val="nil"/>
            </w:tcBorders>
            <w:hideMark/>
          </w:tcPr>
          <w:p w14:paraId="62ED84D0" w14:textId="77777777" w:rsidR="00D63473" w:rsidRDefault="00D63473" w:rsidP="00F27C38">
            <w:pPr>
              <w:pStyle w:val="Tabletext"/>
              <w:jc w:val="center"/>
            </w:pPr>
            <w:r>
              <w:t>98</w:t>
            </w:r>
          </w:p>
        </w:tc>
        <w:tc>
          <w:tcPr>
            <w:tcW w:w="1416" w:type="pct"/>
            <w:tcBorders>
              <w:top w:val="single" w:sz="4" w:space="0" w:color="00338D"/>
              <w:left w:val="nil"/>
              <w:bottom w:val="single" w:sz="2" w:space="0" w:color="808080" w:themeColor="background1" w:themeShade="80"/>
              <w:right w:val="nil"/>
            </w:tcBorders>
            <w:hideMark/>
          </w:tcPr>
          <w:p w14:paraId="4D0D187F" w14:textId="77777777" w:rsidR="00D63473" w:rsidRDefault="00D63473" w:rsidP="00F27C38">
            <w:pPr>
              <w:pStyle w:val="Tabletext"/>
              <w:jc w:val="center"/>
            </w:pPr>
            <w:r>
              <w:t>724</w:t>
            </w:r>
          </w:p>
        </w:tc>
      </w:tr>
      <w:tr w:rsidR="00D63473" w14:paraId="69E19367" w14:textId="77777777" w:rsidTr="00F27C38">
        <w:trPr>
          <w:jc w:val="center"/>
        </w:trPr>
        <w:tc>
          <w:tcPr>
            <w:tcW w:w="751" w:type="pct"/>
            <w:tcBorders>
              <w:top w:val="single" w:sz="2" w:space="0" w:color="808080" w:themeColor="background1" w:themeShade="80"/>
              <w:left w:val="nil"/>
              <w:bottom w:val="single" w:sz="2" w:space="0" w:color="808080" w:themeColor="background1" w:themeShade="80"/>
              <w:right w:val="nil"/>
            </w:tcBorders>
            <w:hideMark/>
          </w:tcPr>
          <w:p w14:paraId="4424125F" w14:textId="77777777" w:rsidR="00D63473" w:rsidRDefault="00D63473" w:rsidP="00F27C38">
            <w:pPr>
              <w:pStyle w:val="Tabletext"/>
              <w:jc w:val="center"/>
            </w:pPr>
            <w:r>
              <w:t>2016-17</w:t>
            </w:r>
          </w:p>
        </w:tc>
        <w:tc>
          <w:tcPr>
            <w:tcW w:w="1593" w:type="pct"/>
            <w:tcBorders>
              <w:top w:val="single" w:sz="2" w:space="0" w:color="808080" w:themeColor="background1" w:themeShade="80"/>
              <w:left w:val="nil"/>
              <w:bottom w:val="single" w:sz="2" w:space="0" w:color="808080" w:themeColor="background1" w:themeShade="80"/>
              <w:right w:val="nil"/>
            </w:tcBorders>
            <w:hideMark/>
          </w:tcPr>
          <w:p w14:paraId="36E196C3" w14:textId="77777777" w:rsidR="00D63473" w:rsidRDefault="00D63473" w:rsidP="00F27C38">
            <w:pPr>
              <w:pStyle w:val="Tabletext"/>
              <w:jc w:val="center"/>
            </w:pPr>
            <w:r>
              <w:t>79,322</w:t>
            </w:r>
          </w:p>
        </w:tc>
        <w:tc>
          <w:tcPr>
            <w:tcW w:w="1239" w:type="pct"/>
            <w:tcBorders>
              <w:top w:val="single" w:sz="2" w:space="0" w:color="808080" w:themeColor="background1" w:themeShade="80"/>
              <w:left w:val="nil"/>
              <w:bottom w:val="single" w:sz="2" w:space="0" w:color="808080" w:themeColor="background1" w:themeShade="80"/>
              <w:right w:val="nil"/>
            </w:tcBorders>
            <w:hideMark/>
          </w:tcPr>
          <w:p w14:paraId="07617EED" w14:textId="77777777" w:rsidR="00D63473" w:rsidRDefault="00D63473" w:rsidP="00F27C38">
            <w:pPr>
              <w:pStyle w:val="Tabletext"/>
              <w:jc w:val="center"/>
            </w:pPr>
            <w:r>
              <w:t>102</w:t>
            </w:r>
          </w:p>
        </w:tc>
        <w:tc>
          <w:tcPr>
            <w:tcW w:w="1416" w:type="pct"/>
            <w:tcBorders>
              <w:top w:val="single" w:sz="2" w:space="0" w:color="808080" w:themeColor="background1" w:themeShade="80"/>
              <w:left w:val="nil"/>
              <w:bottom w:val="single" w:sz="2" w:space="0" w:color="808080" w:themeColor="background1" w:themeShade="80"/>
              <w:right w:val="nil"/>
            </w:tcBorders>
            <w:hideMark/>
          </w:tcPr>
          <w:p w14:paraId="424EF388" w14:textId="77777777" w:rsidR="00D63473" w:rsidRDefault="00D63473" w:rsidP="00F27C38">
            <w:pPr>
              <w:pStyle w:val="Tabletext"/>
              <w:jc w:val="center"/>
            </w:pPr>
            <w:r>
              <w:t>778</w:t>
            </w:r>
          </w:p>
        </w:tc>
      </w:tr>
      <w:tr w:rsidR="00D63473" w14:paraId="4813BDE8" w14:textId="77777777" w:rsidTr="00F27C38">
        <w:trPr>
          <w:jc w:val="center"/>
        </w:trPr>
        <w:tc>
          <w:tcPr>
            <w:tcW w:w="751" w:type="pct"/>
            <w:tcBorders>
              <w:top w:val="single" w:sz="2" w:space="0" w:color="808080" w:themeColor="background1" w:themeShade="80"/>
              <w:left w:val="nil"/>
              <w:bottom w:val="single" w:sz="2" w:space="0" w:color="808080" w:themeColor="background1" w:themeShade="80"/>
              <w:right w:val="nil"/>
            </w:tcBorders>
            <w:hideMark/>
          </w:tcPr>
          <w:p w14:paraId="0DE0BEF2" w14:textId="77777777" w:rsidR="00D63473" w:rsidRDefault="00D63473" w:rsidP="00F27C38">
            <w:pPr>
              <w:pStyle w:val="Tabletext"/>
              <w:jc w:val="center"/>
            </w:pPr>
            <w:r>
              <w:t xml:space="preserve">2017-18 </w:t>
            </w:r>
          </w:p>
        </w:tc>
        <w:tc>
          <w:tcPr>
            <w:tcW w:w="1593" w:type="pct"/>
            <w:tcBorders>
              <w:top w:val="single" w:sz="2" w:space="0" w:color="808080" w:themeColor="background1" w:themeShade="80"/>
              <w:left w:val="nil"/>
              <w:bottom w:val="single" w:sz="2" w:space="0" w:color="808080" w:themeColor="background1" w:themeShade="80"/>
              <w:right w:val="nil"/>
            </w:tcBorders>
            <w:hideMark/>
          </w:tcPr>
          <w:p w14:paraId="020A0C4E" w14:textId="77777777" w:rsidR="00D63473" w:rsidRDefault="00D63473" w:rsidP="00F27C38">
            <w:pPr>
              <w:pStyle w:val="Tabletext"/>
              <w:jc w:val="center"/>
            </w:pPr>
            <w:r>
              <w:t>87,510</w:t>
            </w:r>
          </w:p>
        </w:tc>
        <w:tc>
          <w:tcPr>
            <w:tcW w:w="1239" w:type="pct"/>
            <w:tcBorders>
              <w:top w:val="single" w:sz="2" w:space="0" w:color="808080" w:themeColor="background1" w:themeShade="80"/>
              <w:left w:val="nil"/>
              <w:bottom w:val="single" w:sz="2" w:space="0" w:color="808080" w:themeColor="background1" w:themeShade="80"/>
              <w:right w:val="nil"/>
            </w:tcBorders>
            <w:hideMark/>
          </w:tcPr>
          <w:p w14:paraId="5686BD43" w14:textId="77777777" w:rsidR="00D63473" w:rsidRDefault="00D63473" w:rsidP="00F27C38">
            <w:pPr>
              <w:pStyle w:val="Tabletext"/>
              <w:jc w:val="center"/>
            </w:pPr>
            <w:r>
              <w:t>106</w:t>
            </w:r>
          </w:p>
        </w:tc>
        <w:tc>
          <w:tcPr>
            <w:tcW w:w="1416" w:type="pct"/>
            <w:tcBorders>
              <w:top w:val="single" w:sz="2" w:space="0" w:color="808080" w:themeColor="background1" w:themeShade="80"/>
              <w:left w:val="nil"/>
              <w:bottom w:val="single" w:sz="2" w:space="0" w:color="808080" w:themeColor="background1" w:themeShade="80"/>
              <w:right w:val="nil"/>
            </w:tcBorders>
            <w:hideMark/>
          </w:tcPr>
          <w:p w14:paraId="0A17A4A3" w14:textId="77777777" w:rsidR="00D63473" w:rsidRDefault="00D63473" w:rsidP="00F27C38">
            <w:pPr>
              <w:pStyle w:val="Tabletext"/>
              <w:jc w:val="center"/>
            </w:pPr>
            <w:r>
              <w:t>826</w:t>
            </w:r>
          </w:p>
        </w:tc>
      </w:tr>
      <w:tr w:rsidR="00D63473" w14:paraId="1ABC5E83" w14:textId="77777777" w:rsidTr="00F27C38">
        <w:trPr>
          <w:jc w:val="center"/>
        </w:trPr>
        <w:tc>
          <w:tcPr>
            <w:tcW w:w="751" w:type="pct"/>
            <w:tcBorders>
              <w:top w:val="single" w:sz="2" w:space="0" w:color="808080" w:themeColor="background1" w:themeShade="80"/>
              <w:left w:val="nil"/>
              <w:bottom w:val="single" w:sz="2" w:space="0" w:color="808080" w:themeColor="background1" w:themeShade="80"/>
              <w:right w:val="nil"/>
            </w:tcBorders>
            <w:hideMark/>
          </w:tcPr>
          <w:p w14:paraId="38694C11" w14:textId="77777777" w:rsidR="00D63473" w:rsidRDefault="00D63473" w:rsidP="00F27C38">
            <w:pPr>
              <w:pStyle w:val="Tabletext"/>
              <w:jc w:val="center"/>
            </w:pPr>
            <w:r>
              <w:t>2018-19</w:t>
            </w:r>
          </w:p>
        </w:tc>
        <w:tc>
          <w:tcPr>
            <w:tcW w:w="1593" w:type="pct"/>
            <w:tcBorders>
              <w:top w:val="single" w:sz="2" w:space="0" w:color="808080" w:themeColor="background1" w:themeShade="80"/>
              <w:left w:val="nil"/>
              <w:bottom w:val="single" w:sz="2" w:space="0" w:color="808080" w:themeColor="background1" w:themeShade="80"/>
              <w:right w:val="nil"/>
            </w:tcBorders>
            <w:hideMark/>
          </w:tcPr>
          <w:p w14:paraId="3A97F966" w14:textId="77777777" w:rsidR="00D63473" w:rsidRDefault="00D63473" w:rsidP="00F27C38">
            <w:pPr>
              <w:pStyle w:val="Tabletext"/>
              <w:jc w:val="center"/>
            </w:pPr>
            <w:r>
              <w:t>98,270</w:t>
            </w:r>
          </w:p>
        </w:tc>
        <w:tc>
          <w:tcPr>
            <w:tcW w:w="1239" w:type="pct"/>
            <w:tcBorders>
              <w:top w:val="single" w:sz="2" w:space="0" w:color="808080" w:themeColor="background1" w:themeShade="80"/>
              <w:left w:val="nil"/>
              <w:bottom w:val="single" w:sz="2" w:space="0" w:color="808080" w:themeColor="background1" w:themeShade="80"/>
              <w:right w:val="nil"/>
            </w:tcBorders>
            <w:hideMark/>
          </w:tcPr>
          <w:p w14:paraId="734793FF" w14:textId="77777777" w:rsidR="00D63473" w:rsidRDefault="00D63473" w:rsidP="00F27C38">
            <w:pPr>
              <w:pStyle w:val="Tabletext"/>
              <w:jc w:val="center"/>
            </w:pPr>
            <w:r>
              <w:t>113</w:t>
            </w:r>
          </w:p>
        </w:tc>
        <w:tc>
          <w:tcPr>
            <w:tcW w:w="1416" w:type="pct"/>
            <w:tcBorders>
              <w:top w:val="single" w:sz="2" w:space="0" w:color="808080" w:themeColor="background1" w:themeShade="80"/>
              <w:left w:val="nil"/>
              <w:bottom w:val="single" w:sz="2" w:space="0" w:color="808080" w:themeColor="background1" w:themeShade="80"/>
              <w:right w:val="nil"/>
            </w:tcBorders>
            <w:hideMark/>
          </w:tcPr>
          <w:p w14:paraId="1C058497" w14:textId="77777777" w:rsidR="00D63473" w:rsidRDefault="00D63473" w:rsidP="00F27C38">
            <w:pPr>
              <w:pStyle w:val="Tabletext"/>
              <w:jc w:val="center"/>
            </w:pPr>
            <w:r>
              <w:t>870</w:t>
            </w:r>
          </w:p>
        </w:tc>
      </w:tr>
      <w:tr w:rsidR="00D63473" w14:paraId="57CCB400" w14:textId="77777777" w:rsidTr="00F27C38">
        <w:trPr>
          <w:jc w:val="center"/>
        </w:trPr>
        <w:tc>
          <w:tcPr>
            <w:tcW w:w="751" w:type="pct"/>
            <w:tcBorders>
              <w:top w:val="single" w:sz="2" w:space="0" w:color="808080" w:themeColor="background1" w:themeShade="80"/>
              <w:left w:val="nil"/>
              <w:bottom w:val="single" w:sz="2" w:space="0" w:color="808080" w:themeColor="background1" w:themeShade="80"/>
              <w:right w:val="nil"/>
            </w:tcBorders>
            <w:hideMark/>
          </w:tcPr>
          <w:p w14:paraId="47829045" w14:textId="77777777" w:rsidR="00D63473" w:rsidRDefault="00D63473" w:rsidP="00F27C38">
            <w:pPr>
              <w:pStyle w:val="Tabletext"/>
              <w:jc w:val="center"/>
              <w:rPr>
                <w:highlight w:val="yellow"/>
              </w:rPr>
            </w:pPr>
            <w:r w:rsidRPr="00DE0AD9">
              <w:t>2019-20</w:t>
            </w:r>
          </w:p>
        </w:tc>
        <w:tc>
          <w:tcPr>
            <w:tcW w:w="1593" w:type="pct"/>
            <w:tcBorders>
              <w:top w:val="single" w:sz="2" w:space="0" w:color="808080" w:themeColor="background1" w:themeShade="80"/>
              <w:left w:val="nil"/>
              <w:bottom w:val="single" w:sz="2" w:space="0" w:color="808080" w:themeColor="background1" w:themeShade="80"/>
              <w:right w:val="nil"/>
            </w:tcBorders>
            <w:hideMark/>
          </w:tcPr>
          <w:p w14:paraId="76E5883F" w14:textId="77777777" w:rsidR="00D63473" w:rsidRDefault="00D63473" w:rsidP="00F27C38">
            <w:pPr>
              <w:pStyle w:val="Tabletext"/>
              <w:keepNext/>
              <w:jc w:val="center"/>
              <w:rPr>
                <w:highlight w:val="yellow"/>
              </w:rPr>
            </w:pPr>
            <w:r>
              <w:t>90,110</w:t>
            </w:r>
          </w:p>
        </w:tc>
        <w:tc>
          <w:tcPr>
            <w:tcW w:w="1239" w:type="pct"/>
            <w:tcBorders>
              <w:top w:val="single" w:sz="2" w:space="0" w:color="808080" w:themeColor="background1" w:themeShade="80"/>
              <w:left w:val="nil"/>
              <w:bottom w:val="single" w:sz="2" w:space="0" w:color="808080" w:themeColor="background1" w:themeShade="80"/>
              <w:right w:val="nil"/>
            </w:tcBorders>
            <w:hideMark/>
          </w:tcPr>
          <w:p w14:paraId="5EA8C947" w14:textId="77777777" w:rsidR="00D63473" w:rsidRDefault="00D63473" w:rsidP="00F27C38">
            <w:pPr>
              <w:pStyle w:val="Tabletext"/>
              <w:keepNext/>
              <w:jc w:val="center"/>
              <w:rPr>
                <w:highlight w:val="yellow"/>
              </w:rPr>
            </w:pPr>
            <w:r>
              <w:t>118</w:t>
            </w:r>
          </w:p>
        </w:tc>
        <w:tc>
          <w:tcPr>
            <w:tcW w:w="1416" w:type="pct"/>
            <w:tcBorders>
              <w:top w:val="single" w:sz="2" w:space="0" w:color="808080" w:themeColor="background1" w:themeShade="80"/>
              <w:left w:val="nil"/>
              <w:bottom w:val="single" w:sz="2" w:space="0" w:color="808080" w:themeColor="background1" w:themeShade="80"/>
              <w:right w:val="nil"/>
            </w:tcBorders>
            <w:hideMark/>
          </w:tcPr>
          <w:p w14:paraId="0C3E9452" w14:textId="77777777" w:rsidR="00D63473" w:rsidRDefault="00D63473" w:rsidP="00F27C38">
            <w:pPr>
              <w:pStyle w:val="Tabletext"/>
              <w:keepNext/>
              <w:jc w:val="center"/>
              <w:rPr>
                <w:highlight w:val="yellow"/>
              </w:rPr>
            </w:pPr>
            <w:r>
              <w:t>764</w:t>
            </w:r>
          </w:p>
        </w:tc>
      </w:tr>
    </w:tbl>
    <w:p w14:paraId="63225644" w14:textId="39CD139D" w:rsidR="00D63473" w:rsidRDefault="00D63473" w:rsidP="00D63473">
      <w:pPr>
        <w:pStyle w:val="Source"/>
      </w:pPr>
      <w:r w:rsidRPr="003E2165">
        <w:t xml:space="preserve">Source: KPMG </w:t>
      </w:r>
      <w:r>
        <w:t>analysis of the hMDS</w:t>
      </w:r>
      <w:r w:rsidRPr="003E2165">
        <w:t xml:space="preserve"> master dataset</w:t>
      </w:r>
    </w:p>
    <w:p w14:paraId="3754489E" w14:textId="77777777" w:rsidR="00D63473" w:rsidRDefault="00D63473" w:rsidP="00394F71">
      <w:pPr>
        <w:pStyle w:val="Heading4"/>
      </w:pPr>
      <w:r>
        <w:t>Perspectives of young people who use headspace</w:t>
      </w:r>
    </w:p>
    <w:p w14:paraId="3772AE0A" w14:textId="77777777" w:rsidR="00D63473" w:rsidRPr="000F5DCB" w:rsidRDefault="00D63473" w:rsidP="003006A8">
      <w:pPr>
        <w:pStyle w:val="BodyText"/>
      </w:pPr>
      <w:r>
        <w:t>Young people using h</w:t>
      </w:r>
      <w:r w:rsidRPr="000F5DCB">
        <w:t>eadspace</w:t>
      </w:r>
      <w:r>
        <w:t xml:space="preserve"> talked about their entry points to accessing the service, and </w:t>
      </w:r>
      <w:r w:rsidRPr="000F5DCB">
        <w:t>were generally referred by GPs, via schools, or on parental suggestion</w:t>
      </w:r>
      <w:r>
        <w:t>:</w:t>
      </w:r>
    </w:p>
    <w:p w14:paraId="458B8AE7" w14:textId="77777777" w:rsidR="00D63473" w:rsidRPr="009F0056" w:rsidRDefault="00D63473" w:rsidP="00D63473">
      <w:pPr>
        <w:pStyle w:val="Quote"/>
        <w:rPr>
          <w:lang w:val="en-US"/>
        </w:rPr>
      </w:pPr>
      <w:r w:rsidRPr="009F0056">
        <w:rPr>
          <w:lang w:val="en-US"/>
        </w:rPr>
        <w:t>“So I was referred to headspace from my GP.</w:t>
      </w:r>
      <w:r>
        <w:rPr>
          <w:lang w:val="en-US"/>
        </w:rPr>
        <w:t xml:space="preserve"> </w:t>
      </w:r>
      <w:r w:rsidRPr="009F0056">
        <w:rPr>
          <w:lang w:val="en-US"/>
        </w:rPr>
        <w:t>I had experienced two panic attacks in February of that year, 2020, in a three-week period, and on that DSM-5, it said that I met the criteria to go see somebody.”</w:t>
      </w:r>
    </w:p>
    <w:p w14:paraId="155C8E85" w14:textId="77777777" w:rsidR="00D63473" w:rsidRPr="00B94397" w:rsidRDefault="00D63473" w:rsidP="000244E4">
      <w:pPr>
        <w:pStyle w:val="BodyText"/>
      </w:pPr>
      <w:r>
        <w:t>and</w:t>
      </w:r>
    </w:p>
    <w:p w14:paraId="1AD44C8D" w14:textId="77777777" w:rsidR="00D63473" w:rsidRPr="009F0056" w:rsidRDefault="00D63473" w:rsidP="00D63473">
      <w:pPr>
        <w:pStyle w:val="Quote"/>
        <w:rPr>
          <w:lang w:val="en-US"/>
        </w:rPr>
      </w:pPr>
      <w:r w:rsidRPr="009F0056">
        <w:rPr>
          <w:lang w:val="en-US"/>
        </w:rPr>
        <w:t xml:space="preserve">“Mum just found them, she did everything for me, obviously my current mindset back then, I </w:t>
      </w:r>
      <w:r w:rsidRPr="00806E15">
        <w:t>didn't</w:t>
      </w:r>
      <w:r w:rsidRPr="009F0056">
        <w:rPr>
          <w:lang w:val="en-US"/>
        </w:rPr>
        <w:t xml:space="preserve"> want to do anything.”</w:t>
      </w:r>
    </w:p>
    <w:p w14:paraId="5D897498" w14:textId="77777777" w:rsidR="00D63473" w:rsidRDefault="00D63473" w:rsidP="000244E4">
      <w:pPr>
        <w:pStyle w:val="BodyText"/>
      </w:pPr>
      <w:r>
        <w:t>and</w:t>
      </w:r>
    </w:p>
    <w:p w14:paraId="7D4ACDF9" w14:textId="77777777" w:rsidR="00D63473" w:rsidRPr="009F0056" w:rsidRDefault="00D63473" w:rsidP="00D63473">
      <w:pPr>
        <w:pStyle w:val="Quote"/>
      </w:pPr>
      <w:r w:rsidRPr="009F0056">
        <w:rPr>
          <w:lang w:val="en-US"/>
        </w:rPr>
        <w:t>“It was pretty much an open day festival and there was a bunch of stalls opened up and one of the stalls was headspace.</w:t>
      </w:r>
      <w:r>
        <w:rPr>
          <w:lang w:val="en-US"/>
        </w:rPr>
        <w:t xml:space="preserve"> </w:t>
      </w:r>
      <w:r w:rsidRPr="00806E15">
        <w:t>So</w:t>
      </w:r>
      <w:r w:rsidRPr="009F0056">
        <w:rPr>
          <w:lang w:val="en-US"/>
        </w:rPr>
        <w:t xml:space="preserve"> I saw the headspace stall and I was just wondering what they do and all that, because I know that headspace had something to do with mental health and helping with you know, like letting people know that.”</w:t>
      </w:r>
    </w:p>
    <w:p w14:paraId="39CCB2BB" w14:textId="77777777" w:rsidR="00D63473" w:rsidRPr="00C53DD9" w:rsidRDefault="00D63473" w:rsidP="000244E4">
      <w:pPr>
        <w:pStyle w:val="BodyText"/>
      </w:pPr>
      <w:r w:rsidRPr="00C53DD9">
        <w:t>Whi</w:t>
      </w:r>
      <w:r>
        <w:t>l</w:t>
      </w:r>
      <w:r w:rsidRPr="00C53DD9">
        <w:t>e most accessed services face</w:t>
      </w:r>
      <w:r>
        <w:t>-</w:t>
      </w:r>
      <w:r w:rsidRPr="00C53DD9">
        <w:t>to</w:t>
      </w:r>
      <w:r>
        <w:t>-</w:t>
      </w:r>
      <w:r w:rsidRPr="00C53DD9">
        <w:t xml:space="preserve">face, due to the pandemic, or because of distance, </w:t>
      </w:r>
      <w:r>
        <w:t xml:space="preserve">some </w:t>
      </w:r>
      <w:r w:rsidRPr="00C53DD9">
        <w:t xml:space="preserve">users preferred flexible appointments using telephone or online platforms </w:t>
      </w:r>
      <w:r>
        <w:t>such as</w:t>
      </w:r>
      <w:r w:rsidRPr="00C53DD9">
        <w:t xml:space="preserve"> Zoom.</w:t>
      </w:r>
    </w:p>
    <w:p w14:paraId="7CF191B6" w14:textId="28C2376A" w:rsidR="00D63473" w:rsidRPr="00C53DD9" w:rsidRDefault="00D63473" w:rsidP="000244E4">
      <w:pPr>
        <w:pStyle w:val="BodyText"/>
      </w:pPr>
      <w:r>
        <w:t>h</w:t>
      </w:r>
      <w:r w:rsidRPr="00C53DD9">
        <w:t xml:space="preserve">eadspace </w:t>
      </w:r>
      <w:r w:rsidR="0050072E">
        <w:t>service</w:t>
      </w:r>
      <w:r w:rsidRPr="00C53DD9">
        <w:t>s were reported as conveniently located, with some element of discretion preferred</w:t>
      </w:r>
      <w:r>
        <w:t xml:space="preserve">, </w:t>
      </w:r>
      <w:r w:rsidRPr="00C53DD9">
        <w:t>to avoid stigma</w:t>
      </w:r>
      <w:r>
        <w:t xml:space="preserve"> and the risk of </w:t>
      </w:r>
      <w:r w:rsidRPr="00C53DD9">
        <w:t xml:space="preserve">people observing them accessing the </w:t>
      </w:r>
      <w:r w:rsidR="0050072E">
        <w:t>service</w:t>
      </w:r>
      <w:r w:rsidRPr="00C53DD9">
        <w:t>. For example:</w:t>
      </w:r>
    </w:p>
    <w:p w14:paraId="5A6FF4E4" w14:textId="77777777" w:rsidR="00D63473" w:rsidRPr="0071174D" w:rsidRDefault="00D63473" w:rsidP="00D63473">
      <w:pPr>
        <w:pStyle w:val="Quote"/>
      </w:pPr>
      <w:r>
        <w:rPr>
          <w:lang w:val="en-US"/>
        </w:rPr>
        <w:t>“</w:t>
      </w:r>
      <w:r w:rsidRPr="00C53DD9">
        <w:rPr>
          <w:lang w:val="en-US"/>
        </w:rPr>
        <w:t>I would say in terms of a discrete location definitely something that is still kind of easy to find and not just be, like, "</w:t>
      </w:r>
      <w:r w:rsidRPr="00806E15">
        <w:t>Where</w:t>
      </w:r>
      <w:r w:rsidRPr="00C53DD9">
        <w:rPr>
          <w:lang w:val="en-US"/>
        </w:rPr>
        <w:t xml:space="preserve"> is it?</w:t>
      </w:r>
      <w:r>
        <w:rPr>
          <w:lang w:val="en-US"/>
        </w:rPr>
        <w:t xml:space="preserve"> </w:t>
      </w:r>
      <w:r w:rsidRPr="00C53DD9">
        <w:rPr>
          <w:lang w:val="en-US"/>
        </w:rPr>
        <w:t>They say it's here but I can't - I don't see anything".</w:t>
      </w:r>
      <w:r>
        <w:rPr>
          <w:lang w:val="en-US"/>
        </w:rPr>
        <w:t xml:space="preserve"> </w:t>
      </w:r>
      <w:r w:rsidRPr="00C53DD9">
        <w:rPr>
          <w:lang w:val="en-US"/>
        </w:rPr>
        <w:t>But not necessarily being so bold with being, like, "This is headspace".</w:t>
      </w:r>
      <w:r>
        <w:rPr>
          <w:lang w:val="en-US"/>
        </w:rPr>
        <w:t>”</w:t>
      </w:r>
    </w:p>
    <w:p w14:paraId="1412BFC0" w14:textId="77777777" w:rsidR="00D63473" w:rsidRPr="00C53DD9" w:rsidRDefault="00D63473" w:rsidP="003006A8">
      <w:pPr>
        <w:pStyle w:val="BodyText"/>
      </w:pPr>
      <w:r w:rsidRPr="00C53DD9">
        <w:t>Once accessing the service, users reported it to be friendly and welcoming:</w:t>
      </w:r>
    </w:p>
    <w:p w14:paraId="2E52D1F6" w14:textId="77777777" w:rsidR="00D63473" w:rsidRPr="00C53DD9" w:rsidRDefault="00D63473" w:rsidP="00D63473">
      <w:pPr>
        <w:pStyle w:val="Quote"/>
      </w:pPr>
      <w:r>
        <w:rPr>
          <w:lang w:val="en-US"/>
        </w:rPr>
        <w:t>“</w:t>
      </w:r>
      <w:r w:rsidRPr="00C53DD9">
        <w:rPr>
          <w:lang w:val="en-US"/>
        </w:rPr>
        <w:t>I felt really, really welcome because I'm assuming most other offices have the same thing, but they've got all supportive things everywhere about how they welcome every type of person.</w:t>
      </w:r>
      <w:r>
        <w:rPr>
          <w:lang w:val="en-US"/>
        </w:rPr>
        <w:t xml:space="preserve"> </w:t>
      </w:r>
      <w:r w:rsidRPr="00C53DD9">
        <w:rPr>
          <w:lang w:val="en-US"/>
        </w:rPr>
        <w:t>They were just really kind to me as well because I mean I think I was 13 or 12.</w:t>
      </w:r>
      <w:r>
        <w:rPr>
          <w:lang w:val="en-US"/>
        </w:rPr>
        <w:t xml:space="preserve"> </w:t>
      </w:r>
      <w:r w:rsidRPr="00C53DD9">
        <w:rPr>
          <w:lang w:val="en-US"/>
        </w:rPr>
        <w:t xml:space="preserve">So I was </w:t>
      </w:r>
      <w:r w:rsidRPr="00806E15">
        <w:t>obviously</w:t>
      </w:r>
      <w:r w:rsidRPr="00C53DD9">
        <w:rPr>
          <w:lang w:val="en-US"/>
        </w:rPr>
        <w:t xml:space="preserve"> quite scared but they were really, really nice to me which was good.</w:t>
      </w:r>
      <w:r>
        <w:rPr>
          <w:lang w:val="en-US"/>
        </w:rPr>
        <w:t xml:space="preserve"> </w:t>
      </w:r>
      <w:r w:rsidRPr="00C53DD9">
        <w:rPr>
          <w:lang w:val="en-US"/>
        </w:rPr>
        <w:t>It was very colourful, bright.</w:t>
      </w:r>
      <w:r>
        <w:rPr>
          <w:lang w:val="en-US"/>
        </w:rPr>
        <w:t>”</w:t>
      </w:r>
    </w:p>
    <w:p w14:paraId="3A4DA076" w14:textId="77777777" w:rsidR="00D63473" w:rsidRPr="00B132FA" w:rsidRDefault="00D63473" w:rsidP="000244E4">
      <w:pPr>
        <w:pStyle w:val="BodyText"/>
      </w:pPr>
      <w:r w:rsidRPr="00C53DD9">
        <w:t>One downside reported by</w:t>
      </w:r>
      <w:r>
        <w:t xml:space="preserve"> </w:t>
      </w:r>
      <w:r w:rsidRPr="00C53DD9">
        <w:t xml:space="preserve">a small number of users was a long waiting time (about a month) between intake and assignment to a counsellor or psychologist. </w:t>
      </w:r>
    </w:p>
    <w:p w14:paraId="4F119D64" w14:textId="77777777" w:rsidR="00D63473" w:rsidRPr="00C53DD9" w:rsidRDefault="00D63473" w:rsidP="003006A8">
      <w:pPr>
        <w:pStyle w:val="BodyText"/>
      </w:pPr>
      <w:r>
        <w:t>headspace u</w:t>
      </w:r>
      <w:r w:rsidRPr="00C53DD9">
        <w:t>sers reported appropriate referrals, for example to dieticians or other specialists, with one reported lack – referrals to psychiatrists were difficult</w:t>
      </w:r>
      <w:r>
        <w:t>:</w:t>
      </w:r>
    </w:p>
    <w:p w14:paraId="71CFECF4" w14:textId="77777777" w:rsidR="00D63473" w:rsidRPr="00062D09" w:rsidRDefault="00D63473" w:rsidP="00D63473">
      <w:pPr>
        <w:pStyle w:val="Quote"/>
        <w:rPr>
          <w:lang w:val="en-US"/>
        </w:rPr>
      </w:pPr>
      <w:r>
        <w:rPr>
          <w:lang w:val="en-US"/>
        </w:rPr>
        <w:t>“</w:t>
      </w:r>
      <w:r w:rsidRPr="00C53DD9">
        <w:rPr>
          <w:lang w:val="en-US"/>
        </w:rPr>
        <w:t>So they referred me to a dietician that was there once a week and then I saw them and got some advice on my meal plans and what to cook and things like that.</w:t>
      </w:r>
      <w:r>
        <w:rPr>
          <w:lang w:val="en-US"/>
        </w:rPr>
        <w:t xml:space="preserve"> </w:t>
      </w:r>
      <w:r w:rsidRPr="00C53DD9">
        <w:rPr>
          <w:lang w:val="en-US"/>
        </w:rPr>
        <w:t>So, that was really helpful because it was at the same place.</w:t>
      </w:r>
      <w:r>
        <w:rPr>
          <w:lang w:val="en-US"/>
        </w:rPr>
        <w:t xml:space="preserve"> </w:t>
      </w:r>
      <w:r w:rsidRPr="00C53DD9">
        <w:rPr>
          <w:lang w:val="en-US"/>
        </w:rPr>
        <w:t>I didn't have to go anywhere.</w:t>
      </w:r>
      <w:r>
        <w:rPr>
          <w:lang w:val="en-US"/>
        </w:rPr>
        <w:t>”</w:t>
      </w:r>
    </w:p>
    <w:p w14:paraId="50C22E7F" w14:textId="77777777" w:rsidR="00D63473" w:rsidRPr="00310518" w:rsidRDefault="00D63473" w:rsidP="00D63473">
      <w:pPr>
        <w:pStyle w:val="BodyText"/>
      </w:pPr>
      <w:r>
        <w:t>a</w:t>
      </w:r>
      <w:r w:rsidRPr="00310518">
        <w:t>nd</w:t>
      </w:r>
    </w:p>
    <w:p w14:paraId="447EA0AB" w14:textId="77777777" w:rsidR="00D63473" w:rsidRPr="00C53DD9" w:rsidRDefault="00D63473" w:rsidP="00D63473">
      <w:pPr>
        <w:pStyle w:val="Quote"/>
      </w:pPr>
      <w:r>
        <w:rPr>
          <w:lang w:val="en-US"/>
        </w:rPr>
        <w:t>“</w:t>
      </w:r>
      <w:r w:rsidRPr="00C53DD9">
        <w:rPr>
          <w:lang w:val="en-US"/>
        </w:rPr>
        <w:t xml:space="preserve">I'd like for them to sort of provide </w:t>
      </w:r>
      <w:r w:rsidRPr="00806E15">
        <w:t>better</w:t>
      </w:r>
      <w:r w:rsidRPr="00C53DD9">
        <w:rPr>
          <w:lang w:val="en-US"/>
        </w:rPr>
        <w:t xml:space="preserve"> access to psychiatrists whether that is having one on hand at these centres or knowing where the most readily available ones are in the local area.</w:t>
      </w:r>
      <w:r>
        <w:rPr>
          <w:lang w:val="en-US"/>
        </w:rPr>
        <w:t>”</w:t>
      </w:r>
    </w:p>
    <w:p w14:paraId="48E6947D" w14:textId="45C0A868" w:rsidR="00D63473" w:rsidRPr="001A41D4" w:rsidRDefault="00D63473" w:rsidP="00D63473">
      <w:pPr>
        <w:pStyle w:val="BodyText"/>
      </w:pPr>
      <w:r w:rsidRPr="001A41D4">
        <w:t>While a minority of you</w:t>
      </w:r>
      <w:r>
        <w:t>n</w:t>
      </w:r>
      <w:r w:rsidRPr="001A41D4">
        <w:t>g people were not happy with their e</w:t>
      </w:r>
      <w:r>
        <w:t>n</w:t>
      </w:r>
      <w:r w:rsidRPr="001A41D4">
        <w:t>counter with headspace, citing other services</w:t>
      </w:r>
      <w:r>
        <w:t xml:space="preserve"> or </w:t>
      </w:r>
      <w:r w:rsidRPr="001A41D4">
        <w:t xml:space="preserve">clinicians that helped them more, most found the help they </w:t>
      </w:r>
      <w:r>
        <w:t xml:space="preserve">received </w:t>
      </w:r>
      <w:r w:rsidR="001604C5">
        <w:t>from headspace</w:t>
      </w:r>
      <w:r>
        <w:t xml:space="preserve"> to be</w:t>
      </w:r>
      <w:r w:rsidRPr="001A41D4">
        <w:t xml:space="preserve"> beneficial, or </w:t>
      </w:r>
      <w:r>
        <w:t xml:space="preserve">that </w:t>
      </w:r>
      <w:r w:rsidRPr="001A41D4">
        <w:t>headspace led to a referral that helped more. Therefore</w:t>
      </w:r>
      <w:r>
        <w:t>,</w:t>
      </w:r>
      <w:r w:rsidRPr="001A41D4">
        <w:t xml:space="preserve"> headspace </w:t>
      </w:r>
      <w:r w:rsidR="00D06CFC">
        <w:t>largely</w:t>
      </w:r>
      <w:r w:rsidRPr="001A41D4">
        <w:t xml:space="preserve"> fulfilled its role as a </w:t>
      </w:r>
      <w:r>
        <w:t>‘</w:t>
      </w:r>
      <w:r w:rsidRPr="001A41D4">
        <w:t>one</w:t>
      </w:r>
      <w:r>
        <w:noBreakHyphen/>
      </w:r>
      <w:r w:rsidRPr="001A41D4">
        <w:t xml:space="preserve">stop-shop’ service. </w:t>
      </w:r>
    </w:p>
    <w:p w14:paraId="50DB6D7B" w14:textId="5267939E" w:rsidR="00D63473" w:rsidRDefault="00D63473" w:rsidP="00D63473">
      <w:pPr>
        <w:pStyle w:val="BodyText"/>
      </w:pPr>
      <w:r>
        <w:t xml:space="preserve">Young people in the reference groups reported that headspace worked well with other services to meet the needs of users, using a client-centred approach. Staff provided support in a respectful and non-judgmental manner and worked diligently to ensure that </w:t>
      </w:r>
      <w:r w:rsidR="001604C5">
        <w:t xml:space="preserve">young people </w:t>
      </w:r>
      <w:r>
        <w:t>accessed the required services from headspace or from external organisations. Confidentiality was raised as an important issue when the young people were referred to other services from headspace:</w:t>
      </w:r>
    </w:p>
    <w:p w14:paraId="0D03DB02" w14:textId="77777777" w:rsidR="00D63473" w:rsidRPr="00AB1A1B" w:rsidRDefault="00D63473" w:rsidP="00D63473">
      <w:pPr>
        <w:pStyle w:val="Quote"/>
        <w:rPr>
          <w:rStyle w:val="normaltextrun"/>
          <w:rFonts w:cstheme="minorHAnsi"/>
          <w:i w:val="0"/>
          <w:iCs w:val="0"/>
          <w:color w:val="auto"/>
          <w:shd w:val="clear" w:color="auto" w:fill="FFFFFF"/>
        </w:rPr>
      </w:pPr>
      <w:r>
        <w:rPr>
          <w:rStyle w:val="normaltextrun"/>
          <w:rFonts w:cstheme="minorHAnsi"/>
          <w:szCs w:val="20"/>
          <w:shd w:val="clear" w:color="auto" w:fill="FFFFFF"/>
        </w:rPr>
        <w:t>“</w:t>
      </w:r>
      <w:r w:rsidRPr="00521D25">
        <w:rPr>
          <w:rStyle w:val="normaltextrun"/>
          <w:rFonts w:cstheme="minorHAnsi"/>
          <w:szCs w:val="20"/>
          <w:shd w:val="clear" w:color="auto" w:fill="FFFFFF"/>
        </w:rPr>
        <w:t>It's a daunting thing to have to do, especially if you have anxieties or stuff like that.</w:t>
      </w:r>
      <w:r>
        <w:rPr>
          <w:rStyle w:val="normaltextrun"/>
          <w:rFonts w:cstheme="minorHAnsi"/>
          <w:szCs w:val="20"/>
          <w:shd w:val="clear" w:color="auto" w:fill="FFFFFF"/>
        </w:rPr>
        <w:t xml:space="preserve"> </w:t>
      </w:r>
      <w:r w:rsidRPr="00521D25">
        <w:rPr>
          <w:rStyle w:val="normaltextrun"/>
          <w:rFonts w:cstheme="minorHAnsi"/>
          <w:szCs w:val="20"/>
          <w:shd w:val="clear" w:color="auto" w:fill="FFFFFF"/>
        </w:rPr>
        <w:t xml:space="preserve">But I think that headspace works really well </w:t>
      </w:r>
      <w:r w:rsidRPr="00062D09">
        <w:rPr>
          <w:rStyle w:val="normaltextrun"/>
          <w:rFonts w:cstheme="minorHAnsi"/>
          <w:color w:val="auto"/>
          <w:szCs w:val="20"/>
          <w:shd w:val="clear" w:color="auto" w:fill="FFFFFF"/>
        </w:rPr>
        <w:t xml:space="preserve">with the </w:t>
      </w:r>
      <w:r w:rsidRPr="00F8722C">
        <w:rPr>
          <w:rStyle w:val="normaltextrun"/>
        </w:rPr>
        <w:t>exterior</w:t>
      </w:r>
      <w:r w:rsidRPr="00062D09">
        <w:rPr>
          <w:rStyle w:val="normaltextrun"/>
          <w:rFonts w:cstheme="minorHAnsi"/>
          <w:color w:val="auto"/>
          <w:szCs w:val="20"/>
          <w:shd w:val="clear" w:color="auto" w:fill="FFFFFF"/>
        </w:rPr>
        <w:t xml:space="preserve"> services that other places provide and they really communicate very well and they do provide a really</w:t>
      </w:r>
      <w:r w:rsidRPr="00062D09">
        <w:rPr>
          <w:rStyle w:val="normaltextrun"/>
          <w:rFonts w:cstheme="minorHAnsi"/>
          <w:color w:val="auto"/>
          <w:shd w:val="clear" w:color="auto" w:fill="FFFFFF"/>
        </w:rPr>
        <w:t xml:space="preserve"> good level of confidentiality</w:t>
      </w:r>
      <w:r w:rsidRPr="00AB1A1B">
        <w:rPr>
          <w:rStyle w:val="normaltextrun"/>
          <w:rFonts w:cstheme="minorHAnsi"/>
          <w:shd w:val="clear" w:color="auto" w:fill="FFFFFF"/>
        </w:rPr>
        <w:t>.</w:t>
      </w:r>
      <w:r>
        <w:rPr>
          <w:rStyle w:val="normaltextrun"/>
          <w:rFonts w:cstheme="minorHAnsi"/>
          <w:shd w:val="clear" w:color="auto" w:fill="FFFFFF"/>
        </w:rPr>
        <w:t>”</w:t>
      </w:r>
    </w:p>
    <w:p w14:paraId="67F58E9A" w14:textId="3A0AD9AC" w:rsidR="00D63473" w:rsidRPr="002E2B33" w:rsidRDefault="00D63473" w:rsidP="00D63473">
      <w:pPr>
        <w:pStyle w:val="BodyText"/>
        <w:rPr>
          <w:rStyle w:val="normaltextrun"/>
          <w:rFonts w:cstheme="minorHAnsi"/>
          <w:shd w:val="clear" w:color="auto" w:fill="FFFFFF"/>
        </w:rPr>
      </w:pPr>
      <w:r w:rsidRPr="006E709E">
        <w:rPr>
          <w:rStyle w:val="normaltextrun"/>
          <w:rFonts w:cstheme="minorHAnsi"/>
          <w:shd w:val="clear" w:color="auto" w:fill="FFFFFF"/>
        </w:rPr>
        <w:t xml:space="preserve">Young people </w:t>
      </w:r>
      <w:r>
        <w:rPr>
          <w:rStyle w:val="normaltextrun"/>
          <w:rFonts w:cstheme="minorHAnsi"/>
          <w:shd w:val="clear" w:color="auto" w:fill="FFFFFF"/>
        </w:rPr>
        <w:t xml:space="preserve">also </w:t>
      </w:r>
      <w:r w:rsidRPr="006E709E">
        <w:rPr>
          <w:rStyle w:val="normaltextrun"/>
          <w:rFonts w:cstheme="minorHAnsi"/>
          <w:shd w:val="clear" w:color="auto" w:fill="FFFFFF"/>
        </w:rPr>
        <w:t xml:space="preserve">commented that headspace staff would </w:t>
      </w:r>
      <w:r>
        <w:rPr>
          <w:rStyle w:val="normaltextrun"/>
          <w:rFonts w:cstheme="minorHAnsi"/>
          <w:shd w:val="clear" w:color="auto" w:fill="FFFFFF"/>
        </w:rPr>
        <w:t xml:space="preserve">diligently </w:t>
      </w:r>
      <w:r w:rsidRPr="006E709E">
        <w:rPr>
          <w:rStyle w:val="normaltextrun"/>
          <w:rFonts w:cstheme="minorHAnsi"/>
          <w:shd w:val="clear" w:color="auto" w:fill="FFFFFF"/>
        </w:rPr>
        <w:t xml:space="preserve">try to meet the needs of </w:t>
      </w:r>
      <w:r w:rsidR="001604C5">
        <w:rPr>
          <w:rStyle w:val="normaltextrun"/>
          <w:rFonts w:cstheme="minorHAnsi"/>
          <w:shd w:val="clear" w:color="auto" w:fill="FFFFFF"/>
        </w:rPr>
        <w:t>young people</w:t>
      </w:r>
      <w:r w:rsidR="001604C5" w:rsidRPr="006E709E">
        <w:rPr>
          <w:rStyle w:val="normaltextrun"/>
          <w:rFonts w:cstheme="minorHAnsi"/>
          <w:shd w:val="clear" w:color="auto" w:fill="FFFFFF"/>
        </w:rPr>
        <w:t xml:space="preserve"> </w:t>
      </w:r>
      <w:r w:rsidRPr="006E709E">
        <w:rPr>
          <w:rStyle w:val="normaltextrun"/>
          <w:rFonts w:cstheme="minorHAnsi"/>
          <w:shd w:val="clear" w:color="auto" w:fill="FFFFFF"/>
        </w:rPr>
        <w:t xml:space="preserve">first rather than just ‘redirecting them’. However, they noted that sometimes it reached a point where a </w:t>
      </w:r>
      <w:r w:rsidR="001604C5">
        <w:rPr>
          <w:rStyle w:val="normaltextrun"/>
          <w:rFonts w:cstheme="minorHAnsi"/>
          <w:shd w:val="clear" w:color="auto" w:fill="FFFFFF"/>
        </w:rPr>
        <w:t>young person</w:t>
      </w:r>
      <w:r w:rsidR="001604C5" w:rsidRPr="006E709E">
        <w:rPr>
          <w:rStyle w:val="normaltextrun"/>
          <w:rFonts w:cstheme="minorHAnsi"/>
          <w:shd w:val="clear" w:color="auto" w:fill="FFFFFF"/>
        </w:rPr>
        <w:t xml:space="preserve"> </w:t>
      </w:r>
      <w:r w:rsidRPr="006E709E">
        <w:rPr>
          <w:rStyle w:val="normaltextrun"/>
          <w:rFonts w:cstheme="minorHAnsi"/>
          <w:shd w:val="clear" w:color="auto" w:fill="FFFFFF"/>
        </w:rPr>
        <w:t xml:space="preserve">needed more complex support and headspace staff would continue to support them until other services were in place. </w:t>
      </w:r>
    </w:p>
    <w:p w14:paraId="526C9099" w14:textId="77777777" w:rsidR="00D63473" w:rsidRDefault="00D63473" w:rsidP="00394F71">
      <w:pPr>
        <w:pStyle w:val="Heading4"/>
      </w:pPr>
      <w:r>
        <w:t>Perspectives of headspace service providers</w:t>
      </w:r>
    </w:p>
    <w:p w14:paraId="29F41194" w14:textId="4D4D6178" w:rsidR="00D63473" w:rsidRDefault="00D63473" w:rsidP="00D63473">
      <w:pPr>
        <w:pStyle w:val="BodyText"/>
      </w:pPr>
      <w:r>
        <w:t xml:space="preserve">The survey of staff from services and lead agencies includes a question to draw out staff views of the efficacy of the headspace model in increasing access to required services. The question asked </w:t>
      </w:r>
      <w:r w:rsidR="00D3011F">
        <w:t xml:space="preserve">respondents </w:t>
      </w:r>
      <w:r>
        <w:t>to select from a range of options based on qualitative data obtained through other streams of activity across the evaluation. It also offered a free text option for them to describe other issues they feel are barriers to access for young people:</w:t>
      </w:r>
    </w:p>
    <w:p w14:paraId="135325FF" w14:textId="77777777" w:rsidR="00D63473" w:rsidRPr="00D52175" w:rsidRDefault="00D63473" w:rsidP="00D63473">
      <w:pPr>
        <w:pStyle w:val="QuoteBold"/>
        <w:rPr>
          <w:i/>
        </w:rPr>
      </w:pPr>
      <w:r w:rsidRPr="00D52175">
        <w:t>What factors are barriers for your service in enabling access to required services for young people? Choose all that apply.</w:t>
      </w:r>
    </w:p>
    <w:p w14:paraId="77E56932" w14:textId="3695BF1D" w:rsidR="00D63473" w:rsidRDefault="00D63473" w:rsidP="00D63473">
      <w:pPr>
        <w:pStyle w:val="Caption"/>
      </w:pPr>
      <w:bookmarkStart w:id="239" w:name="_Toc108109224"/>
      <w:r w:rsidRPr="005B76C2">
        <w:t xml:space="preserve">Figure </w:t>
      </w:r>
      <w:r>
        <w:fldChar w:fldCharType="begin"/>
      </w:r>
      <w:r>
        <w:instrText>SEQ Figure \* ARABIC</w:instrText>
      </w:r>
      <w:r>
        <w:fldChar w:fldCharType="separate"/>
      </w:r>
      <w:r w:rsidR="00CC0438">
        <w:rPr>
          <w:noProof/>
        </w:rPr>
        <w:t>39</w:t>
      </w:r>
      <w:r>
        <w:fldChar w:fldCharType="end"/>
      </w:r>
      <w:r w:rsidRPr="005B76C2">
        <w:t>:</w:t>
      </w:r>
      <w:r>
        <w:t xml:space="preserve"> Barriers to access for young people</w:t>
      </w:r>
      <w:bookmarkEnd w:id="239"/>
    </w:p>
    <w:p w14:paraId="36A52919" w14:textId="5B72E638" w:rsidR="00D96666" w:rsidRPr="00D96666" w:rsidRDefault="00D96666" w:rsidP="008F6F4A">
      <w:r>
        <w:rPr>
          <w:noProof/>
        </w:rPr>
        <w:drawing>
          <wp:inline distT="0" distB="0" distL="0" distR="0" wp14:anchorId="3A493C50" wp14:editId="47F6D6CB">
            <wp:extent cx="5037455" cy="3234055"/>
            <wp:effectExtent l="0" t="0" r="0" b="4445"/>
            <wp:docPr id="223" name="Picture 223" descr="Figure 39 summarises responses from the lead agency and headspace service survey with respect to barriers to accessing services for young people.&#10;83% of respondents indicated waiting lists are a barrier to access&#10;76% of respondents indicated workforce attraction and retention are a barrier to access&#10;53% of respondents indicated accessing MBS billing is a barrier to access&#10;34% of respondents indicated physical centre sites are a barrier to access&#10;34% of respondents indicated there are other barriers to ac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Figure 39 summarises responses from the lead agency and headspace service survey with respect to barriers to accessing services for young people.&#10;83% of respondents indicated waiting lists are a barrier to access&#10;76% of respondents indicated workforce attraction and retention are a barrier to access&#10;53% of respondents indicated accessing MBS billing is a barrier to access&#10;34% of respondents indicated physical centre sites are a barrier to access&#10;34% of respondents indicated there are other barriers to access&#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5486433D" w14:textId="77777777" w:rsidR="00D63473" w:rsidRPr="005B76C2" w:rsidRDefault="00D63473" w:rsidP="008F6F4A">
      <w:pPr>
        <w:pStyle w:val="Source"/>
      </w:pPr>
      <w:r w:rsidRPr="005B76C2">
        <w:t>Source: KPMG</w:t>
      </w:r>
      <w:r>
        <w:t xml:space="preserve"> analysis of the s</w:t>
      </w:r>
      <w:r w:rsidRPr="00F8722C">
        <w:t xml:space="preserve">urvey of headspace services and their </w:t>
      </w:r>
      <w:r>
        <w:t>l</w:t>
      </w:r>
      <w:r w:rsidRPr="00F8722C">
        <w:t xml:space="preserve">ead </w:t>
      </w:r>
      <w:r>
        <w:t>a</w:t>
      </w:r>
      <w:r w:rsidRPr="00F8722C">
        <w:t>gencies</w:t>
      </w:r>
    </w:p>
    <w:p w14:paraId="3DCE5107" w14:textId="2012967A" w:rsidR="00D63473" w:rsidRPr="00126FEB" w:rsidRDefault="00D63473" w:rsidP="00D63473">
      <w:pPr>
        <w:pStyle w:val="Bullet1stlevel"/>
        <w:numPr>
          <w:ilvl w:val="0"/>
          <w:numId w:val="0"/>
        </w:numPr>
        <w:rPr>
          <w:sz w:val="16"/>
          <w:szCs w:val="16"/>
        </w:rPr>
      </w:pPr>
      <w:r>
        <w:rPr>
          <w:sz w:val="16"/>
          <w:szCs w:val="16"/>
        </w:rPr>
        <w:t xml:space="preserve">Notes: </w:t>
      </w:r>
      <w:r w:rsidR="00CB18D7">
        <w:rPr>
          <w:sz w:val="16"/>
          <w:szCs w:val="16"/>
        </w:rPr>
        <w:t xml:space="preserve">Fifty-nine </w:t>
      </w:r>
      <w:r>
        <w:rPr>
          <w:sz w:val="16"/>
          <w:szCs w:val="16"/>
        </w:rPr>
        <w:t xml:space="preserve">staff at either </w:t>
      </w:r>
      <w:r w:rsidR="0050072E">
        <w:rPr>
          <w:sz w:val="16"/>
          <w:szCs w:val="16"/>
        </w:rPr>
        <w:t>service</w:t>
      </w:r>
      <w:r>
        <w:rPr>
          <w:sz w:val="16"/>
          <w:szCs w:val="16"/>
        </w:rPr>
        <w:t>s or lead agencies responded to this question in the survey</w:t>
      </w:r>
      <w:r w:rsidR="00CB18D7">
        <w:rPr>
          <w:sz w:val="16"/>
          <w:szCs w:val="16"/>
        </w:rPr>
        <w:t>.</w:t>
      </w:r>
      <w:r>
        <w:rPr>
          <w:sz w:val="16"/>
          <w:szCs w:val="16"/>
        </w:rPr>
        <w:t xml:space="preserve"> </w:t>
      </w:r>
    </w:p>
    <w:p w14:paraId="2F075987" w14:textId="63AE5644" w:rsidR="00D63473" w:rsidRDefault="00D63473" w:rsidP="00D63473">
      <w:pPr>
        <w:pStyle w:val="BodyText"/>
      </w:pPr>
      <w:r>
        <w:t>A large majority of respondents indicated waiting lists and workforce attraction and retention as the key barriers to supporting increased access to their headspace service. In response to the free text ‘other’ option, a number of themes emerged. Here, many responses were related to the funding model, for example some cited insufficient funding for salaried staff, again including community engagement staff, while others noted the difficulties in being able to afford an accessible site. The impact of the</w:t>
      </w:r>
      <w:r w:rsidR="00196561">
        <w:t xml:space="preserve"> COVID-19</w:t>
      </w:r>
      <w:r>
        <w:t xml:space="preserve"> pandemic was also noted as impacting the ability for young people to access their services.</w:t>
      </w:r>
      <w:r w:rsidRPr="00E0599B">
        <w:t xml:space="preserve"> </w:t>
      </w:r>
    </w:p>
    <w:p w14:paraId="48025DAB" w14:textId="77777777" w:rsidR="00D63473" w:rsidRDefault="00D63473" w:rsidP="00D63473">
      <w:pPr>
        <w:pStyle w:val="BodyText"/>
      </w:pPr>
      <w:r w:rsidRPr="00531F3D">
        <w:t>Representatives interviewed across all deep dive sites shared anecdotally that the majority of young people accessing headspace self-referred into their services</w:t>
      </w:r>
      <w:r>
        <w:t>, and the ability to do this ensured headspace provided a ‘soft entry’ into mental health support, without the need for formal referral through GPs or other avenues</w:t>
      </w:r>
      <w:r w:rsidRPr="00531F3D">
        <w:t xml:space="preserve">. </w:t>
      </w:r>
    </w:p>
    <w:p w14:paraId="1DD049DB" w14:textId="77777777" w:rsidR="00D63473" w:rsidRDefault="00D63473" w:rsidP="00D63473">
      <w:pPr>
        <w:pStyle w:val="BodyText"/>
      </w:pPr>
      <w:r w:rsidRPr="00531F3D">
        <w:t xml:space="preserve">The credibility and power of the headspace brand was </w:t>
      </w:r>
      <w:r>
        <w:t>n</w:t>
      </w:r>
      <w:r w:rsidRPr="00531F3D">
        <w:t xml:space="preserve">oted as a key strength across services in encouraging young people to proactively access services. </w:t>
      </w:r>
    </w:p>
    <w:p w14:paraId="5AAE1D24" w14:textId="6ACB9850" w:rsidR="00D63473" w:rsidRDefault="00D63473" w:rsidP="00D63473">
      <w:pPr>
        <w:pStyle w:val="BodyText"/>
      </w:pPr>
      <w:r w:rsidRPr="00531F3D">
        <w:t>For some services, the</w:t>
      </w:r>
      <w:r>
        <w:t xml:space="preserve"> use of satellite sites </w:t>
      </w:r>
      <w:r w:rsidRPr="00531F3D">
        <w:t xml:space="preserve">have allowed young people to conveniently access headspace in their local area, </w:t>
      </w:r>
      <w:r w:rsidR="00D23A17">
        <w:t>removing the need for additional travel into regional centres</w:t>
      </w:r>
      <w:r w:rsidR="00896178">
        <w:t>. S</w:t>
      </w:r>
      <w:r w:rsidRPr="00531F3D">
        <w:t>ervices offer</w:t>
      </w:r>
      <w:r>
        <w:t>ing</w:t>
      </w:r>
      <w:r w:rsidRPr="00531F3D">
        <w:t xml:space="preserve"> after-hours access </w:t>
      </w:r>
      <w:r>
        <w:t xml:space="preserve">was highlighted as important to enable </w:t>
      </w:r>
      <w:r w:rsidRPr="008C6048">
        <w:t xml:space="preserve">young people </w:t>
      </w:r>
      <w:r>
        <w:t xml:space="preserve">to access services </w:t>
      </w:r>
      <w:r w:rsidRPr="008C6048">
        <w:t xml:space="preserve">outside school </w:t>
      </w:r>
      <w:r>
        <w:t>and</w:t>
      </w:r>
      <w:r w:rsidRPr="008C6048">
        <w:t xml:space="preserve"> work. </w:t>
      </w:r>
    </w:p>
    <w:p w14:paraId="64A0CBF6" w14:textId="77777777" w:rsidR="00D63473" w:rsidRDefault="00D63473" w:rsidP="00D63473">
      <w:pPr>
        <w:pStyle w:val="BodyText"/>
      </w:pPr>
      <w:r w:rsidRPr="004C11EF">
        <w:t>Stakeholders</w:t>
      </w:r>
      <w:r>
        <w:t xml:space="preserve"> also</w:t>
      </w:r>
      <w:r w:rsidRPr="004C11EF">
        <w:t xml:space="preserve"> discussed </w:t>
      </w:r>
      <w:r>
        <w:t xml:space="preserve">the topics of ease of location, and being close to transport as </w:t>
      </w:r>
      <w:r w:rsidRPr="004C11EF">
        <w:t>key aspects of the model which support access to headspace services</w:t>
      </w:r>
      <w:r>
        <w:t xml:space="preserve">. </w:t>
      </w:r>
    </w:p>
    <w:p w14:paraId="07BD8D10" w14:textId="77777777" w:rsidR="00D63473" w:rsidRPr="004C11EF" w:rsidRDefault="00D63473" w:rsidP="00D63473">
      <w:pPr>
        <w:pStyle w:val="BodyText"/>
      </w:pPr>
      <w:r>
        <w:t>Again, waiting times for support through services was frequently raised in interviews with stakeholders in deep dive sites as a barrier to access for young people.</w:t>
      </w:r>
    </w:p>
    <w:p w14:paraId="0DD9597C" w14:textId="77777777" w:rsidR="00D63473" w:rsidRDefault="00D63473" w:rsidP="00D63473">
      <w:pPr>
        <w:pStyle w:val="Heading4"/>
      </w:pPr>
      <w:r>
        <w:t xml:space="preserve">The extent to which </w:t>
      </w:r>
      <w:r w:rsidRPr="008527D9">
        <w:t>headspace</w:t>
      </w:r>
      <w:r>
        <w:t xml:space="preserve"> is effective</w:t>
      </w:r>
      <w:r w:rsidRPr="008527D9">
        <w:t xml:space="preserve"> in increasing access to required services</w:t>
      </w:r>
    </w:p>
    <w:p w14:paraId="664AA623" w14:textId="77777777" w:rsidR="00D63473" w:rsidRDefault="00D63473" w:rsidP="00D63473">
      <w:pPr>
        <w:pStyle w:val="BodyText"/>
      </w:pPr>
      <w:r>
        <w:t>Data from a range of sources indicates that headspace is broadly effective in increasing access to required services, but that workforce and demand pressures continue to constrain the volume of young people able to access support.</w:t>
      </w:r>
    </w:p>
    <w:p w14:paraId="58D4807A" w14:textId="77777777" w:rsidR="00D63473" w:rsidRDefault="00D63473" w:rsidP="00D63473">
      <w:pPr>
        <w:pStyle w:val="BodyText"/>
        <w:rPr>
          <w:color w:val="000000" w:themeColor="text1"/>
        </w:rPr>
      </w:pPr>
      <w:r>
        <w:t>At the same time, hMDS data demonstrate that, over time, the number of young people accessing support through headspace has increased steadily with the increase in number of services. Young people and headspace staff value the ‘soft entry’ approach to accessing headspace through GPs or schools, mostly face-to-face but with flexible options during COVID-19. Flexibility in opening hours was also valued, and features of the physical site were identified as improving access, for example a central location close to public transport.</w:t>
      </w:r>
    </w:p>
    <w:p w14:paraId="5C1DF45E" w14:textId="47332A7F" w:rsidR="008713FF" w:rsidRPr="002B4795" w:rsidRDefault="00356CB7" w:rsidP="008713FF">
      <w:pPr>
        <w:pStyle w:val="BodyText"/>
        <w:rPr>
          <w:b/>
          <w:bCs/>
        </w:rPr>
      </w:pPr>
      <w:r w:rsidRPr="00A33A8D">
        <w:t xml:space="preserve">Data indicates that headspace is effective in increasing access to required services. </w:t>
      </w:r>
      <w:r w:rsidR="00D63473" w:rsidRPr="00A31DD5">
        <w:t>Barriers</w:t>
      </w:r>
      <w:r w:rsidR="00D63473">
        <w:t xml:space="preserve"> to increased access raised by various stakeholders were </w:t>
      </w:r>
      <w:r w:rsidR="00D63473" w:rsidRPr="00C53DD9">
        <w:t>long waiting time</w:t>
      </w:r>
      <w:r w:rsidR="00D63473">
        <w:t>s</w:t>
      </w:r>
      <w:r w:rsidR="00D63473" w:rsidRPr="00C53DD9">
        <w:t xml:space="preserve"> between intake and assignment to a counsellor or psychologist</w:t>
      </w:r>
      <w:r w:rsidR="00D63473">
        <w:t>. Insufficient funding for salaried staff was also raised</w:t>
      </w:r>
      <w:r w:rsidR="00CB18D7">
        <w:t xml:space="preserve"> as a barrier</w:t>
      </w:r>
      <w:r w:rsidR="00D63473">
        <w:t xml:space="preserve">, including community engagement staff, and the costs of an accessible site. </w:t>
      </w:r>
    </w:p>
    <w:p w14:paraId="6B51BA82" w14:textId="0434AB4B" w:rsidR="00630550" w:rsidRPr="00630550" w:rsidRDefault="00630550" w:rsidP="00630550">
      <w:pPr>
        <w:pStyle w:val="BodyText"/>
      </w:pPr>
    </w:p>
    <w:p w14:paraId="7925202B" w14:textId="6479BFF7" w:rsidR="00D63473" w:rsidRDefault="00D63473" w:rsidP="00350B4D">
      <w:pPr>
        <w:pStyle w:val="AppendixHeading2"/>
      </w:pPr>
      <w:bookmarkStart w:id="240" w:name="_Ref98326316"/>
      <w:r w:rsidRPr="00E76C55">
        <w:t xml:space="preserve">How effective is headspace in </w:t>
      </w:r>
      <w:r>
        <w:t xml:space="preserve">supporting </w:t>
      </w:r>
      <w:r w:rsidR="001334E3">
        <w:t>‘hard to reach’ groups</w:t>
      </w:r>
      <w:r w:rsidRPr="00E76C55">
        <w:t>, including those who are at greater risk and less likely to seek help?</w:t>
      </w:r>
      <w:bookmarkEnd w:id="240"/>
    </w:p>
    <w:p w14:paraId="205005FD" w14:textId="5954A129" w:rsidR="00D63473" w:rsidRPr="00825D81" w:rsidRDefault="00D63473" w:rsidP="008E04FB">
      <w:pPr>
        <w:pStyle w:val="AppendixHeading3"/>
      </w:pPr>
      <w:r>
        <w:t>Supporting ‘hard to reach</w:t>
      </w:r>
      <w:r w:rsidR="00291563">
        <w:t>’</w:t>
      </w:r>
      <w:r>
        <w:t xml:space="preserve"> groups</w:t>
      </w:r>
    </w:p>
    <w:p w14:paraId="464BF825" w14:textId="676C304D" w:rsidR="00302521" w:rsidRDefault="00302521" w:rsidP="00302521">
      <w:pPr>
        <w:pStyle w:val="Caption"/>
      </w:pPr>
      <w:bookmarkStart w:id="241" w:name="_Toc108108999"/>
      <w:r>
        <w:t xml:space="preserve">Table </w:t>
      </w:r>
      <w:fldSimple w:instr=" SEQ Table \* ARABIC ">
        <w:r w:rsidR="00CC0438">
          <w:rPr>
            <w:noProof/>
          </w:rPr>
          <w:t>49</w:t>
        </w:r>
      </w:fldSimple>
      <w:r>
        <w:t xml:space="preserve"> </w:t>
      </w:r>
      <w:r w:rsidRPr="008B28D7">
        <w:t xml:space="preserve">Overview of objectives of headspace for </w:t>
      </w:r>
      <w:r w:rsidR="001334E3">
        <w:t>‘hard to reach’ groups</w:t>
      </w:r>
      <w:bookmarkEnd w:id="241"/>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objectives of headspace for hard to reach groups"/>
        <w:tblDescription w:val="Table has 3 columns and summarises the objectives of headspace services with respect to hard to reach groups. Column 1 outlines the objective. Column 2 summarises the short-term impacts expected. Column 3 summarises the medium-term impacts expected."/>
      </w:tblPr>
      <w:tblGrid>
        <w:gridCol w:w="2127"/>
        <w:gridCol w:w="3543"/>
        <w:gridCol w:w="3543"/>
      </w:tblGrid>
      <w:tr w:rsidR="00D63473" w:rsidRPr="001D6913" w14:paraId="10C624DD" w14:textId="77777777" w:rsidTr="00F27C38">
        <w:trPr>
          <w:tblHeader/>
        </w:trPr>
        <w:tc>
          <w:tcPr>
            <w:tcW w:w="1154" w:type="pct"/>
            <w:tcBorders>
              <w:bottom w:val="single" w:sz="4" w:space="0" w:color="00338D"/>
            </w:tcBorders>
            <w:shd w:val="clear" w:color="auto" w:fill="00338D"/>
          </w:tcPr>
          <w:p w14:paraId="390271D5" w14:textId="77777777" w:rsidR="00D63473" w:rsidRPr="001D6913" w:rsidRDefault="00D63473" w:rsidP="00F27C38">
            <w:pPr>
              <w:pStyle w:val="Tableheading"/>
            </w:pPr>
            <w:r w:rsidRPr="001D6913">
              <w:t>Objective</w:t>
            </w:r>
          </w:p>
        </w:tc>
        <w:tc>
          <w:tcPr>
            <w:tcW w:w="1923" w:type="pct"/>
            <w:tcBorders>
              <w:bottom w:val="single" w:sz="4" w:space="0" w:color="00338D"/>
            </w:tcBorders>
            <w:shd w:val="clear" w:color="auto" w:fill="00338D"/>
          </w:tcPr>
          <w:p w14:paraId="2DD5D7B0" w14:textId="2CA10519" w:rsidR="00D63473" w:rsidRPr="001D6913" w:rsidRDefault="00D63473" w:rsidP="00F27C38">
            <w:pPr>
              <w:pStyle w:val="Tableheading"/>
            </w:pPr>
            <w:r w:rsidRPr="001D6913">
              <w:t>Short</w:t>
            </w:r>
            <w:r w:rsidR="00AA4823">
              <w:t>-</w:t>
            </w:r>
            <w:r w:rsidRPr="001D6913">
              <w:t>term impacts</w:t>
            </w:r>
          </w:p>
        </w:tc>
        <w:tc>
          <w:tcPr>
            <w:tcW w:w="1923" w:type="pct"/>
            <w:tcBorders>
              <w:bottom w:val="single" w:sz="4" w:space="0" w:color="00338D"/>
            </w:tcBorders>
            <w:shd w:val="clear" w:color="auto" w:fill="00338D"/>
          </w:tcPr>
          <w:p w14:paraId="7FC05692" w14:textId="384D5504" w:rsidR="00D63473" w:rsidRPr="001D6913" w:rsidRDefault="00D63473" w:rsidP="00F27C38">
            <w:pPr>
              <w:pStyle w:val="Tableheading"/>
            </w:pPr>
            <w:r w:rsidRPr="001D6913">
              <w:t>Medium term</w:t>
            </w:r>
            <w:r w:rsidR="00AA4823">
              <w:t>-</w:t>
            </w:r>
            <w:r w:rsidRPr="001D6913">
              <w:t>impacts</w:t>
            </w:r>
          </w:p>
        </w:tc>
      </w:tr>
      <w:tr w:rsidR="00D63473" w:rsidRPr="001D6913" w14:paraId="571D7B65" w14:textId="77777777" w:rsidTr="00F27C38">
        <w:tc>
          <w:tcPr>
            <w:tcW w:w="1154" w:type="pct"/>
            <w:tcBorders>
              <w:top w:val="single" w:sz="4" w:space="0" w:color="00338D"/>
              <w:bottom w:val="single" w:sz="2" w:space="0" w:color="808080" w:themeColor="background1" w:themeShade="80"/>
            </w:tcBorders>
          </w:tcPr>
          <w:p w14:paraId="1C80F5A6" w14:textId="77777777" w:rsidR="00D63473" w:rsidRPr="001D6913" w:rsidRDefault="00D63473" w:rsidP="00F27C38">
            <w:pPr>
              <w:pStyle w:val="Tabletext"/>
            </w:pPr>
            <w:r w:rsidRPr="00723E3F">
              <w:rPr>
                <w:b/>
                <w:bCs/>
              </w:rPr>
              <w:t>Increasing mental health literacy</w:t>
            </w:r>
            <w:r>
              <w:t xml:space="preserve"> - </w:t>
            </w:r>
            <w:r w:rsidRPr="00224AD0">
              <w:t>knowledge about mental health, how to seek help and how to manage mental health</w:t>
            </w:r>
          </w:p>
        </w:tc>
        <w:tc>
          <w:tcPr>
            <w:tcW w:w="1923" w:type="pct"/>
            <w:tcBorders>
              <w:top w:val="single" w:sz="4" w:space="0" w:color="00338D"/>
              <w:bottom w:val="single" w:sz="2" w:space="0" w:color="808080" w:themeColor="background1" w:themeShade="80"/>
            </w:tcBorders>
          </w:tcPr>
          <w:p w14:paraId="1A5CA019" w14:textId="4EE11F07" w:rsidR="00D63473" w:rsidRPr="001D6913" w:rsidRDefault="00D63473" w:rsidP="00CB18D7">
            <w:pPr>
              <w:pStyle w:val="TableBullet1"/>
            </w:pPr>
            <w:r w:rsidRPr="001C018E">
              <w:t>Young people accessing headspace services improve their mental health literacy (knowledge about mental health, how to seek help, and how to manage mental health)</w:t>
            </w:r>
          </w:p>
        </w:tc>
        <w:tc>
          <w:tcPr>
            <w:tcW w:w="1923" w:type="pct"/>
            <w:tcBorders>
              <w:top w:val="single" w:sz="4" w:space="0" w:color="00338D"/>
              <w:bottom w:val="single" w:sz="2" w:space="0" w:color="808080" w:themeColor="background1" w:themeShade="80"/>
            </w:tcBorders>
          </w:tcPr>
          <w:p w14:paraId="6E769ACC" w14:textId="7EA37C8E" w:rsidR="00D63473" w:rsidRPr="001D6913" w:rsidRDefault="00D63473" w:rsidP="00CB18D7">
            <w:pPr>
              <w:pStyle w:val="TableBullet1"/>
            </w:pPr>
            <w:r w:rsidRPr="001C018E">
              <w:t>Young people are better able to manage their mental health in the medium</w:t>
            </w:r>
            <w:r>
              <w:t xml:space="preserve">- to </w:t>
            </w:r>
            <w:r w:rsidRPr="001C018E">
              <w:t>long</w:t>
            </w:r>
            <w:r>
              <w:t>-</w:t>
            </w:r>
            <w:r w:rsidRPr="001C018E">
              <w:t>term, including identifying when they need to seek help and support</w:t>
            </w:r>
          </w:p>
        </w:tc>
      </w:tr>
      <w:tr w:rsidR="00D63473" w:rsidRPr="001D6913" w14:paraId="7020A1AD" w14:textId="77777777" w:rsidTr="00F27C38">
        <w:tc>
          <w:tcPr>
            <w:tcW w:w="1154" w:type="pct"/>
            <w:tcBorders>
              <w:top w:val="single" w:sz="2" w:space="0" w:color="808080" w:themeColor="background1" w:themeShade="80"/>
              <w:bottom w:val="single" w:sz="2" w:space="0" w:color="808080" w:themeColor="background1" w:themeShade="80"/>
            </w:tcBorders>
          </w:tcPr>
          <w:p w14:paraId="2113B220" w14:textId="69BF1C30" w:rsidR="00D63473" w:rsidRPr="001E6699" w:rsidRDefault="00D63473" w:rsidP="00F27C38">
            <w:pPr>
              <w:pStyle w:val="Tabletext"/>
            </w:pPr>
            <w:r w:rsidRPr="00723E3F">
              <w:rPr>
                <w:b/>
                <w:bCs/>
              </w:rPr>
              <w:t>Increasing early help seeking</w:t>
            </w:r>
            <w:r w:rsidRPr="001D6913">
              <w:t xml:space="preserve"> </w:t>
            </w:r>
            <w:r>
              <w:t>- at an earlier age (e.g</w:t>
            </w:r>
            <w:r w:rsidR="007E76A0">
              <w:t>.,</w:t>
            </w:r>
            <w:r>
              <w:t xml:space="preserve"> </w:t>
            </w:r>
            <w:r w:rsidRPr="009015E7">
              <w:rPr>
                <w:rFonts w:cs="Calibri"/>
                <w:szCs w:val="20"/>
              </w:rPr>
              <w:t>under 21 years</w:t>
            </w:r>
            <w:r>
              <w:rPr>
                <w:rFonts w:cs="Calibri"/>
                <w:szCs w:val="20"/>
              </w:rPr>
              <w:t xml:space="preserve">); </w:t>
            </w:r>
            <w:r w:rsidRPr="009015E7">
              <w:rPr>
                <w:rFonts w:cs="Calibri"/>
                <w:szCs w:val="20"/>
              </w:rPr>
              <w:t>at relatively low mental health risk status</w:t>
            </w:r>
            <w:r>
              <w:rPr>
                <w:rFonts w:cs="Calibri"/>
                <w:szCs w:val="20"/>
              </w:rPr>
              <w:t xml:space="preserve">; or when </w:t>
            </w:r>
            <w:r w:rsidRPr="009015E7">
              <w:rPr>
                <w:rFonts w:cs="Calibri"/>
                <w:szCs w:val="20"/>
              </w:rPr>
              <w:t>assessed as at less than threshold stage of illness</w:t>
            </w:r>
          </w:p>
        </w:tc>
        <w:tc>
          <w:tcPr>
            <w:tcW w:w="1923" w:type="pct"/>
            <w:tcBorders>
              <w:top w:val="single" w:sz="2" w:space="0" w:color="808080" w:themeColor="background1" w:themeShade="80"/>
              <w:bottom w:val="single" w:sz="2" w:space="0" w:color="808080" w:themeColor="background1" w:themeShade="80"/>
            </w:tcBorders>
          </w:tcPr>
          <w:p w14:paraId="0BA546B3" w14:textId="363FAD0E" w:rsidR="00D63473" w:rsidRPr="001D6913" w:rsidRDefault="00D63473" w:rsidP="00CB18D7">
            <w:pPr>
              <w:pStyle w:val="TableBullet1"/>
            </w:pPr>
            <w:r w:rsidRPr="001D6913">
              <w:t>Young people and families accessing headspace services have increased knowledge about, and willingness to, seek hel</w:t>
            </w:r>
            <w:r>
              <w:t>p</w:t>
            </w:r>
          </w:p>
        </w:tc>
        <w:tc>
          <w:tcPr>
            <w:tcW w:w="1923" w:type="pct"/>
            <w:vMerge w:val="restart"/>
            <w:tcBorders>
              <w:top w:val="single" w:sz="2" w:space="0" w:color="808080" w:themeColor="background1" w:themeShade="80"/>
            </w:tcBorders>
          </w:tcPr>
          <w:p w14:paraId="5E960908" w14:textId="5785D459" w:rsidR="00D63473" w:rsidRPr="001D6913" w:rsidRDefault="00D63473" w:rsidP="00CB18D7">
            <w:pPr>
              <w:pStyle w:val="TableBullet1"/>
            </w:pPr>
            <w:r w:rsidRPr="001D6913">
              <w:t>Young people, their families and communities are better able to identify when someone needs help, and support appropriate, early help</w:t>
            </w:r>
            <w:r w:rsidR="00BD29DF">
              <w:t xml:space="preserve"> </w:t>
            </w:r>
            <w:r w:rsidRPr="001D6913">
              <w:t>seeking</w:t>
            </w:r>
          </w:p>
          <w:p w14:paraId="3CE5671A" w14:textId="77777777" w:rsidR="00D63473" w:rsidRDefault="00D63473" w:rsidP="00CB18D7">
            <w:pPr>
              <w:pStyle w:val="TableBullet1"/>
            </w:pPr>
            <w:r w:rsidRPr="001D6913">
              <w:t xml:space="preserve">Earlier identification and treatment of emerging mental health problems for young people </w:t>
            </w:r>
          </w:p>
          <w:p w14:paraId="47B11933" w14:textId="0B2E2C8D" w:rsidR="00D63473" w:rsidRPr="001D6913" w:rsidRDefault="00D63473" w:rsidP="00CB18D7">
            <w:pPr>
              <w:pStyle w:val="TableBullet1"/>
            </w:pPr>
            <w:r w:rsidRPr="001D6913">
              <w:t>Young people increase help</w:t>
            </w:r>
            <w:r w:rsidR="00BD29DF">
              <w:t xml:space="preserve"> </w:t>
            </w:r>
            <w:r w:rsidRPr="001D6913">
              <w:t>seeking behaviour for mental health and wellbeing issues</w:t>
            </w:r>
          </w:p>
        </w:tc>
      </w:tr>
      <w:tr w:rsidR="00D63473" w:rsidRPr="001D6913" w14:paraId="113E89D0" w14:textId="77777777" w:rsidTr="00F27C38">
        <w:tc>
          <w:tcPr>
            <w:tcW w:w="1154" w:type="pct"/>
            <w:tcBorders>
              <w:top w:val="single" w:sz="2" w:space="0" w:color="808080" w:themeColor="background1" w:themeShade="80"/>
              <w:bottom w:val="single" w:sz="2" w:space="0" w:color="808080" w:themeColor="background1" w:themeShade="80"/>
            </w:tcBorders>
          </w:tcPr>
          <w:p w14:paraId="2EE7561F" w14:textId="77777777" w:rsidR="00D63473" w:rsidRPr="001D6913" w:rsidRDefault="00D63473" w:rsidP="00F27C38">
            <w:pPr>
              <w:pStyle w:val="Bullet1stlevel"/>
              <w:numPr>
                <w:ilvl w:val="0"/>
                <w:numId w:val="0"/>
              </w:numPr>
            </w:pPr>
            <w:r w:rsidRPr="00723E3F">
              <w:rPr>
                <w:b/>
                <w:bCs/>
              </w:rPr>
              <w:t>Reducing stigma associated with mental health and mental illness</w:t>
            </w:r>
            <w:r>
              <w:t xml:space="preserve"> - the fear or embarrassment of seeking help for mental health and wellbeing, and the negative judgment of and lack of empathy for those that do</w:t>
            </w:r>
          </w:p>
        </w:tc>
        <w:tc>
          <w:tcPr>
            <w:tcW w:w="1923" w:type="pct"/>
            <w:tcBorders>
              <w:top w:val="single" w:sz="2" w:space="0" w:color="808080" w:themeColor="background1" w:themeShade="80"/>
              <w:bottom w:val="single" w:sz="2" w:space="0" w:color="808080" w:themeColor="background1" w:themeShade="80"/>
            </w:tcBorders>
          </w:tcPr>
          <w:p w14:paraId="7BDFA8DE" w14:textId="3F891509" w:rsidR="00D63473" w:rsidRPr="001D6913" w:rsidRDefault="00D63473" w:rsidP="00CB18D7">
            <w:pPr>
              <w:pStyle w:val="TableBullet1"/>
            </w:pPr>
            <w:r w:rsidRPr="001D6913">
              <w:t>Young people, their families and communities (living near headspace centres and satellites) have improved attitudes towards mental health and mental illness (stigma reduction)</w:t>
            </w:r>
          </w:p>
        </w:tc>
        <w:tc>
          <w:tcPr>
            <w:tcW w:w="1923" w:type="pct"/>
            <w:vMerge/>
            <w:tcBorders>
              <w:bottom w:val="single" w:sz="2" w:space="0" w:color="808080" w:themeColor="background1" w:themeShade="80"/>
            </w:tcBorders>
          </w:tcPr>
          <w:p w14:paraId="4E5E4309" w14:textId="77777777" w:rsidR="00D63473" w:rsidRPr="001D6913" w:rsidRDefault="00D63473" w:rsidP="00CB18D7">
            <w:pPr>
              <w:pStyle w:val="TableBullet1"/>
            </w:pPr>
          </w:p>
        </w:tc>
      </w:tr>
      <w:tr w:rsidR="00D63473" w:rsidRPr="001D6913" w14:paraId="4F5E445D" w14:textId="77777777" w:rsidTr="00F27C38">
        <w:tc>
          <w:tcPr>
            <w:tcW w:w="1154" w:type="pct"/>
            <w:tcBorders>
              <w:top w:val="single" w:sz="2" w:space="0" w:color="808080" w:themeColor="background1" w:themeShade="80"/>
              <w:bottom w:val="single" w:sz="2" w:space="0" w:color="808080" w:themeColor="background1" w:themeShade="80"/>
            </w:tcBorders>
          </w:tcPr>
          <w:p w14:paraId="2739A65D" w14:textId="77777777" w:rsidR="00D63473" w:rsidRPr="001D6913" w:rsidRDefault="00D63473" w:rsidP="00F27C38">
            <w:pPr>
              <w:pStyle w:val="Tabletext"/>
            </w:pPr>
            <w:r w:rsidRPr="00163EC2">
              <w:rPr>
                <w:b/>
                <w:bCs/>
              </w:rPr>
              <w:t>Increasing access to required services</w:t>
            </w:r>
            <w:r>
              <w:t xml:space="preserve"> - the number of young people accessing headspace</w:t>
            </w:r>
          </w:p>
        </w:tc>
        <w:tc>
          <w:tcPr>
            <w:tcW w:w="1923" w:type="pct"/>
            <w:tcBorders>
              <w:top w:val="single" w:sz="2" w:space="0" w:color="808080" w:themeColor="background1" w:themeShade="80"/>
              <w:bottom w:val="single" w:sz="2" w:space="0" w:color="808080" w:themeColor="background1" w:themeShade="80"/>
            </w:tcBorders>
          </w:tcPr>
          <w:p w14:paraId="69B0014B" w14:textId="61E06169" w:rsidR="00D63473" w:rsidRPr="001D6913" w:rsidRDefault="00D63473" w:rsidP="00CB18D7">
            <w:pPr>
              <w:pStyle w:val="TableBullet1"/>
            </w:pPr>
            <w:r w:rsidRPr="001D6913">
              <w:t>Young people from a diverse range of backgrounds access and engage with headspace services</w:t>
            </w:r>
          </w:p>
          <w:p w14:paraId="202E8D57" w14:textId="2F19DA31" w:rsidR="00D63473" w:rsidRPr="001D6913" w:rsidRDefault="00D63473" w:rsidP="00CB18D7">
            <w:pPr>
              <w:pStyle w:val="TableBullet1"/>
            </w:pPr>
            <w:r w:rsidRPr="001D6913">
              <w:t>Young people and families can access headspace services in a timely manner, and at low or no cost</w:t>
            </w:r>
          </w:p>
        </w:tc>
        <w:tc>
          <w:tcPr>
            <w:tcW w:w="1923" w:type="pct"/>
            <w:tcBorders>
              <w:top w:val="single" w:sz="2" w:space="0" w:color="808080" w:themeColor="background1" w:themeShade="80"/>
              <w:bottom w:val="single" w:sz="2" w:space="0" w:color="808080" w:themeColor="background1" w:themeShade="80"/>
            </w:tcBorders>
          </w:tcPr>
          <w:p w14:paraId="1B1D554E" w14:textId="077B974D" w:rsidR="00D63473" w:rsidRPr="001D6913" w:rsidRDefault="00D63473" w:rsidP="00F27C38">
            <w:pPr>
              <w:pStyle w:val="TableBullet1"/>
            </w:pPr>
            <w:r w:rsidRPr="001D6913">
              <w:t>Young people receive appropriate, evidence-based treatment early</w:t>
            </w:r>
          </w:p>
        </w:tc>
      </w:tr>
    </w:tbl>
    <w:p w14:paraId="6E717202" w14:textId="6383902F" w:rsidR="00D63473" w:rsidRDefault="00D63473" w:rsidP="00D63473">
      <w:pPr>
        <w:pStyle w:val="BodyText"/>
      </w:pPr>
      <w:r>
        <w:t xml:space="preserve">A key component of this evaluation was to consider the four objectives listed in the table above and to examine how well the headspace model meets the needs of </w:t>
      </w:r>
      <w:r w:rsidR="001334E3">
        <w:t>‘hard to reach’ groups</w:t>
      </w:r>
      <w:r>
        <w:t xml:space="preserve"> with respect to these objectives. </w:t>
      </w:r>
    </w:p>
    <w:p w14:paraId="0082174C" w14:textId="6BAE3063" w:rsidR="00BB33B4" w:rsidRDefault="00291563" w:rsidP="00BB33B4">
      <w:pPr>
        <w:pStyle w:val="Heading4"/>
      </w:pPr>
      <w:r>
        <w:t>How headspace supports ‘hard to reach’ groups</w:t>
      </w:r>
    </w:p>
    <w:p w14:paraId="112FA8D8" w14:textId="516EE5DC" w:rsidR="00D63473" w:rsidRDefault="00D63473" w:rsidP="00D63473">
      <w:pPr>
        <w:pStyle w:val="BodyText"/>
      </w:pPr>
      <w:r w:rsidRPr="009816E6">
        <w:t xml:space="preserve">Engaging groups </w:t>
      </w:r>
      <w:r>
        <w:t xml:space="preserve">considered to be </w:t>
      </w:r>
      <w:r w:rsidRPr="009816E6">
        <w:t xml:space="preserve">marginalised from mainstream health </w:t>
      </w:r>
      <w:r>
        <w:t>services</w:t>
      </w:r>
      <w:r w:rsidRPr="009816E6">
        <w:t xml:space="preserve"> </w:t>
      </w:r>
      <w:r>
        <w:t>can be</w:t>
      </w:r>
      <w:r w:rsidRPr="009816E6">
        <w:t xml:space="preserve"> difficult due to ongoing perceptions and experiences of stigma and discrimination. Groups already at high risk of stigma include Aboriginal and Torres Strait Islander </w:t>
      </w:r>
      <w:r w:rsidR="00BF56B1">
        <w:t xml:space="preserve">young </w:t>
      </w:r>
      <w:r w:rsidRPr="009816E6">
        <w:t xml:space="preserve">people, </w:t>
      </w:r>
      <w:r w:rsidR="00BF56B1">
        <w:t xml:space="preserve">young </w:t>
      </w:r>
      <w:r w:rsidRPr="009816E6">
        <w:t>people who identify as LGBT</w:t>
      </w:r>
      <w:r>
        <w:t>QIA+</w:t>
      </w:r>
      <w:r w:rsidR="00BF56B1">
        <w:t xml:space="preserve">, young </w:t>
      </w:r>
      <w:r>
        <w:t>people with disability</w:t>
      </w:r>
      <w:r w:rsidRPr="009816E6">
        <w:t xml:space="preserve"> and you</w:t>
      </w:r>
      <w:r w:rsidR="00EA1F5D">
        <w:t>ng people</w:t>
      </w:r>
      <w:r w:rsidRPr="009816E6">
        <w:t xml:space="preserve"> from</w:t>
      </w:r>
      <w:r>
        <w:t xml:space="preserve"> some</w:t>
      </w:r>
      <w:r w:rsidRPr="009816E6">
        <w:t xml:space="preserve"> </w:t>
      </w:r>
      <w:r>
        <w:t>culturally and linguistically diverse</w:t>
      </w:r>
      <w:r w:rsidRPr="009816E6">
        <w:t xml:space="preserve"> communities, where there </w:t>
      </w:r>
      <w:r>
        <w:t>may be</w:t>
      </w:r>
      <w:r w:rsidRPr="009816E6">
        <w:t xml:space="preserve"> significant stigma and taboo associated with mental illness. The Mission Australia Youth Survey 2021 highlighted that</w:t>
      </w:r>
      <w:r>
        <w:t>,</w:t>
      </w:r>
      <w:r w:rsidRPr="009816E6">
        <w:t xml:space="preserve"> </w:t>
      </w:r>
      <w:r>
        <w:t>a</w:t>
      </w:r>
      <w:r w:rsidRPr="009816E6">
        <w:t>mong</w:t>
      </w:r>
      <w:r>
        <w:rPr>
          <w:lang w:eastAsia="en-AU"/>
        </w:rPr>
        <w:t xml:space="preserve"> </w:t>
      </w:r>
      <w:r w:rsidRPr="009816E6">
        <w:t>young</w:t>
      </w:r>
      <w:r>
        <w:t xml:space="preserve"> people participating in the study, </w:t>
      </w:r>
      <w:r w:rsidRPr="009816E6">
        <w:t>51.5</w:t>
      </w:r>
      <w:r>
        <w:t xml:space="preserve"> per cent</w:t>
      </w:r>
      <w:r>
        <w:rPr>
          <w:lang w:eastAsia="en-AU"/>
        </w:rPr>
        <w:t xml:space="preserve"> </w:t>
      </w:r>
      <w:r w:rsidRPr="009816E6">
        <w:t>cited</w:t>
      </w:r>
      <w:r>
        <w:rPr>
          <w:lang w:eastAsia="en-AU"/>
        </w:rPr>
        <w:t xml:space="preserve"> </w:t>
      </w:r>
      <w:r w:rsidRPr="009816E6">
        <w:t>mental healt</w:t>
      </w:r>
      <w:r>
        <w:t xml:space="preserve">h as their top </w:t>
      </w:r>
      <w:r w:rsidRPr="009816E6">
        <w:t>obstacle</w:t>
      </w:r>
      <w:r>
        <w:rPr>
          <w:lang w:eastAsia="en-AU"/>
        </w:rPr>
        <w:t xml:space="preserve"> </w:t>
      </w:r>
      <w:r w:rsidRPr="009816E6">
        <w:t>t</w:t>
      </w:r>
      <w:r>
        <w:t xml:space="preserve">o </w:t>
      </w:r>
      <w:r w:rsidRPr="009816E6">
        <w:t>success</w:t>
      </w:r>
      <w:r>
        <w:t>, c</w:t>
      </w:r>
      <w:r w:rsidRPr="009816E6">
        <w:t>ompared</w:t>
      </w:r>
      <w:r>
        <w:rPr>
          <w:lang w:eastAsia="en-AU"/>
        </w:rPr>
        <w:t xml:space="preserve"> </w:t>
      </w:r>
      <w:r w:rsidRPr="009816E6">
        <w:t>with</w:t>
      </w:r>
      <w:r>
        <w:rPr>
          <w:lang w:eastAsia="en-AU"/>
        </w:rPr>
        <w:t xml:space="preserve"> </w:t>
      </w:r>
      <w:r w:rsidRPr="009816E6">
        <w:t>83.2</w:t>
      </w:r>
      <w:r w:rsidR="00FF010D">
        <w:t> </w:t>
      </w:r>
      <w:r>
        <w:t>per cent</w:t>
      </w:r>
      <w:r w:rsidRPr="009816E6">
        <w:t xml:space="preserve"> of</w:t>
      </w:r>
      <w:r>
        <w:rPr>
          <w:lang w:eastAsia="en-AU"/>
        </w:rPr>
        <w:t xml:space="preserve"> </w:t>
      </w:r>
      <w:r w:rsidRPr="009816E6">
        <w:t>young</w:t>
      </w:r>
      <w:r>
        <w:rPr>
          <w:lang w:eastAsia="en-AU"/>
        </w:rPr>
        <w:t xml:space="preserve"> </w:t>
      </w:r>
      <w:r w:rsidRPr="009816E6">
        <w:t>people of</w:t>
      </w:r>
      <w:r>
        <w:rPr>
          <w:lang w:eastAsia="en-AU"/>
        </w:rPr>
        <w:t xml:space="preserve"> </w:t>
      </w:r>
      <w:r w:rsidRPr="009816E6">
        <w:t xml:space="preserve">gender </w:t>
      </w:r>
      <w:r>
        <w:t>d</w:t>
      </w:r>
      <w:r w:rsidRPr="009816E6">
        <w:t>iverse</w:t>
      </w:r>
      <w:r>
        <w:rPr>
          <w:lang w:eastAsia="en-AU"/>
        </w:rPr>
        <w:t xml:space="preserve"> </w:t>
      </w:r>
      <w:r w:rsidRPr="009816E6">
        <w:t>backgrounds</w:t>
      </w:r>
      <w:r>
        <w:rPr>
          <w:lang w:eastAsia="en-AU"/>
        </w:rPr>
        <w:t xml:space="preserve"> </w:t>
      </w:r>
      <w:r w:rsidRPr="009816E6">
        <w:t>who</w:t>
      </w:r>
      <w:r>
        <w:rPr>
          <w:lang w:eastAsia="en-AU"/>
        </w:rPr>
        <w:t xml:space="preserve"> </w:t>
      </w:r>
      <w:r w:rsidRPr="009816E6">
        <w:t>reported</w:t>
      </w:r>
      <w:r>
        <w:rPr>
          <w:lang w:eastAsia="en-AU"/>
        </w:rPr>
        <w:t xml:space="preserve"> </w:t>
      </w:r>
      <w:r w:rsidRPr="009816E6">
        <w:t>poorer</w:t>
      </w:r>
      <w:r>
        <w:t xml:space="preserve"> mental </w:t>
      </w:r>
      <w:r w:rsidRPr="009816E6">
        <w:t>health</w:t>
      </w:r>
      <w:r>
        <w:t xml:space="preserve"> </w:t>
      </w:r>
      <w:r w:rsidRPr="009816E6">
        <w:t>on</w:t>
      </w:r>
      <w:r>
        <w:t xml:space="preserve"> </w:t>
      </w:r>
      <w:r w:rsidRPr="009816E6">
        <w:t>numerous</w:t>
      </w:r>
      <w:r>
        <w:t xml:space="preserve"> </w:t>
      </w:r>
      <w:r w:rsidRPr="009816E6">
        <w:t xml:space="preserve">measures. </w:t>
      </w:r>
      <w:r>
        <w:t>In this study, a</w:t>
      </w:r>
      <w:r w:rsidRPr="009816E6">
        <w:t>lthough</w:t>
      </w:r>
      <w:r>
        <w:rPr>
          <w:lang w:eastAsia="en-AU"/>
        </w:rPr>
        <w:t xml:space="preserve"> </w:t>
      </w:r>
      <w:r w:rsidRPr="009816E6">
        <w:t>the majority of Aboriginal and Torres Strait Islander young</w:t>
      </w:r>
      <w:r>
        <w:t xml:space="preserve"> </w:t>
      </w:r>
      <w:r w:rsidRPr="009816E6">
        <w:t>people</w:t>
      </w:r>
      <w:r>
        <w:t xml:space="preserve"> </w:t>
      </w:r>
      <w:r w:rsidRPr="009816E6">
        <w:t>engage</w:t>
      </w:r>
      <w:r>
        <w:rPr>
          <w:lang w:eastAsia="en-AU"/>
        </w:rPr>
        <w:t xml:space="preserve"> </w:t>
      </w:r>
      <w:r w:rsidRPr="009816E6">
        <w:t>in</w:t>
      </w:r>
      <w:r>
        <w:rPr>
          <w:lang w:eastAsia="en-AU"/>
        </w:rPr>
        <w:t xml:space="preserve"> </w:t>
      </w:r>
      <w:r w:rsidRPr="009816E6">
        <w:t>education,</w:t>
      </w:r>
      <w:r>
        <w:rPr>
          <w:lang w:eastAsia="en-AU"/>
        </w:rPr>
        <w:t xml:space="preserve"> </w:t>
      </w:r>
      <w:r w:rsidRPr="009816E6">
        <w:t>value</w:t>
      </w:r>
      <w:r>
        <w:t xml:space="preserve"> </w:t>
      </w:r>
      <w:r w:rsidRPr="009816E6">
        <w:t>their family and friends,</w:t>
      </w:r>
      <w:r>
        <w:rPr>
          <w:lang w:eastAsia="en-AU"/>
        </w:rPr>
        <w:t xml:space="preserve"> </w:t>
      </w:r>
      <w:r w:rsidRPr="009816E6">
        <w:t>and</w:t>
      </w:r>
      <w:r>
        <w:rPr>
          <w:lang w:eastAsia="en-AU"/>
        </w:rPr>
        <w:t xml:space="preserve"> </w:t>
      </w:r>
      <w:r w:rsidRPr="009816E6">
        <w:t xml:space="preserve">feel </w:t>
      </w:r>
      <w:r>
        <w:t xml:space="preserve">positive </w:t>
      </w:r>
      <w:r w:rsidRPr="009816E6">
        <w:t>about the future, they also</w:t>
      </w:r>
      <w:r>
        <w:rPr>
          <w:lang w:eastAsia="en-AU"/>
        </w:rPr>
        <w:t xml:space="preserve"> </w:t>
      </w:r>
      <w:r w:rsidRPr="009816E6">
        <w:t>report</w:t>
      </w:r>
      <w:r>
        <w:rPr>
          <w:lang w:eastAsia="en-AU"/>
        </w:rPr>
        <w:t xml:space="preserve"> </w:t>
      </w:r>
      <w:r w:rsidRPr="009816E6">
        <w:t>greater</w:t>
      </w:r>
      <w:r>
        <w:t xml:space="preserve"> </w:t>
      </w:r>
      <w:r w:rsidRPr="009816E6">
        <w:t>challenges than their peers</w:t>
      </w:r>
      <w:r w:rsidR="00F43613">
        <w:t xml:space="preserve"> who do not identify as </w:t>
      </w:r>
      <w:r w:rsidR="00C21861">
        <w:t>Aboriginal or Torres Strait Islander</w:t>
      </w:r>
      <w:r w:rsidRPr="009816E6">
        <w:t>, including being less likely to feel happy or very happy with their</w:t>
      </w:r>
      <w:r>
        <w:t xml:space="preserve"> </w:t>
      </w:r>
      <w:r w:rsidRPr="009816E6">
        <w:t>lives</w:t>
      </w:r>
      <w:r w:rsidR="00CC0438">
        <w:rPr>
          <w:rFonts w:ascii="ZWAdobeF" w:hAnsi="ZWAdobeF" w:cs="ZWAdobeF"/>
          <w:sz w:val="2"/>
          <w:szCs w:val="2"/>
        </w:rPr>
        <w:t>176F</w:t>
      </w:r>
      <w:r w:rsidR="00493B32">
        <w:rPr>
          <w:rStyle w:val="FootnoteReference"/>
        </w:rPr>
        <w:footnoteReference w:id="178"/>
      </w:r>
      <w:r>
        <w:t>.</w:t>
      </w:r>
    </w:p>
    <w:p w14:paraId="6B72814D" w14:textId="3BBF962B" w:rsidR="00194E05" w:rsidRDefault="00194E05" w:rsidP="00194E05">
      <w:pPr>
        <w:pStyle w:val="BodyText"/>
      </w:pPr>
      <w:r>
        <w:t>Other research highlights enduring issues with systemic barriers and unconscious bias within the health system, where young people from diverse backgrounds are less likely to have their needs met, due to factors such as lack of cultural competence and misdiagnoses</w:t>
      </w:r>
      <w:r w:rsidR="00CC0438">
        <w:rPr>
          <w:rFonts w:ascii="ZWAdobeF" w:hAnsi="ZWAdobeF" w:cs="ZWAdobeF"/>
          <w:sz w:val="2"/>
          <w:szCs w:val="2"/>
        </w:rPr>
        <w:t>177F</w:t>
      </w:r>
      <w:r w:rsidRPr="00E67E3C">
        <w:rPr>
          <w:rStyle w:val="FootnoteReference"/>
        </w:rPr>
        <w:footnoteReference w:id="179"/>
      </w:r>
      <w:r w:rsidRPr="005D6F72">
        <w:rPr>
          <w:vertAlign w:val="superscript"/>
        </w:rPr>
        <w:t>,</w:t>
      </w:r>
      <w:r w:rsidR="00CC0438">
        <w:rPr>
          <w:rFonts w:ascii="ZWAdobeF" w:hAnsi="ZWAdobeF" w:cs="ZWAdobeF"/>
          <w:sz w:val="2"/>
          <w:szCs w:val="2"/>
        </w:rPr>
        <w:t>178F</w:t>
      </w:r>
      <w:r w:rsidRPr="00E67E3C">
        <w:rPr>
          <w:rStyle w:val="FootnoteReference"/>
        </w:rPr>
        <w:footnoteReference w:id="180"/>
      </w:r>
      <w:r w:rsidRPr="005D6F72">
        <w:rPr>
          <w:vertAlign w:val="superscript"/>
        </w:rPr>
        <w:t>,</w:t>
      </w:r>
      <w:r w:rsidR="00CC0438">
        <w:rPr>
          <w:rFonts w:ascii="ZWAdobeF" w:hAnsi="ZWAdobeF" w:cs="ZWAdobeF"/>
          <w:sz w:val="2"/>
          <w:szCs w:val="2"/>
        </w:rPr>
        <w:t>179F</w:t>
      </w:r>
      <w:r w:rsidRPr="00E67E3C">
        <w:rPr>
          <w:rStyle w:val="FootnoteReference"/>
        </w:rPr>
        <w:footnoteReference w:id="181"/>
      </w:r>
      <w:r w:rsidRPr="005D6F72">
        <w:rPr>
          <w:vertAlign w:val="superscript"/>
        </w:rPr>
        <w:t>,</w:t>
      </w:r>
      <w:r w:rsidR="00CC0438">
        <w:rPr>
          <w:rFonts w:ascii="ZWAdobeF" w:hAnsi="ZWAdobeF" w:cs="ZWAdobeF"/>
          <w:sz w:val="2"/>
          <w:szCs w:val="2"/>
        </w:rPr>
        <w:t>180F</w:t>
      </w:r>
      <w:r w:rsidRPr="00E67E3C">
        <w:rPr>
          <w:rStyle w:val="FootnoteReference"/>
        </w:rPr>
        <w:footnoteReference w:id="182"/>
      </w:r>
      <w:r>
        <w:t xml:space="preserve">. </w:t>
      </w:r>
    </w:p>
    <w:p w14:paraId="6C6D3285" w14:textId="2FE2F749" w:rsidR="00D63473" w:rsidRDefault="00D63473" w:rsidP="00D63473">
      <w:pPr>
        <w:pStyle w:val="BodyText"/>
      </w:pPr>
      <w:r>
        <w:t xml:space="preserve">Based on feedback from stakeholders across the headspace landscape, as well as on broader academic and grey literature regarding stigma and service access, for the purposes of this </w:t>
      </w:r>
      <w:r w:rsidR="00712B75">
        <w:t>evaluation</w:t>
      </w:r>
      <w:r>
        <w:t>,</w:t>
      </w:r>
      <w:r w:rsidR="00BD29DF">
        <w:t xml:space="preserve"> ‘</w:t>
      </w:r>
      <w:r>
        <w:t xml:space="preserve">hard to </w:t>
      </w:r>
      <w:r w:rsidR="00BD29DF">
        <w:t>reach’</w:t>
      </w:r>
      <w:r>
        <w:t xml:space="preserve"> groups are defined as: </w:t>
      </w:r>
    </w:p>
    <w:p w14:paraId="3438002B" w14:textId="057A180F" w:rsidR="00D63473" w:rsidRPr="002420A4" w:rsidRDefault="00D63473" w:rsidP="00350B4D">
      <w:pPr>
        <w:pStyle w:val="Bullet1stlevel"/>
      </w:pPr>
      <w:r w:rsidRPr="002420A4">
        <w:t>Aboriginal and Torres Strait Islander you</w:t>
      </w:r>
      <w:r>
        <w:t>ng</w:t>
      </w:r>
      <w:r w:rsidRPr="002420A4">
        <w:t xml:space="preserve"> people</w:t>
      </w:r>
      <w:r w:rsidR="00712B75">
        <w:t>;</w:t>
      </w:r>
    </w:p>
    <w:p w14:paraId="636B422B" w14:textId="771D4CD2" w:rsidR="00D63473" w:rsidRDefault="00D63473" w:rsidP="00350B4D">
      <w:pPr>
        <w:pStyle w:val="Bullet1stlevel"/>
      </w:pPr>
      <w:r>
        <w:t>young people from culturally and linguistically diverse backgrounds</w:t>
      </w:r>
      <w:r w:rsidR="00712B75">
        <w:t>;</w:t>
      </w:r>
    </w:p>
    <w:p w14:paraId="24D64F94" w14:textId="0E2A26AF" w:rsidR="00D63473" w:rsidRDefault="00D63473" w:rsidP="00350B4D">
      <w:pPr>
        <w:pStyle w:val="Bullet1stlevel"/>
      </w:pPr>
      <w:r>
        <w:t>young people who identify as LGBTQIA+</w:t>
      </w:r>
      <w:r w:rsidR="00712B75">
        <w:t>; and</w:t>
      </w:r>
    </w:p>
    <w:p w14:paraId="4CB7A014" w14:textId="77777777" w:rsidR="00D63473" w:rsidRDefault="00D63473" w:rsidP="00350B4D">
      <w:pPr>
        <w:pStyle w:val="Bullet1stlevel"/>
      </w:pPr>
      <w:r>
        <w:t>young people with disability.</w:t>
      </w:r>
    </w:p>
    <w:p w14:paraId="3B850BC3" w14:textId="77777777" w:rsidR="00D63473" w:rsidRPr="00017384" w:rsidRDefault="00D63473" w:rsidP="00D63473">
      <w:pPr>
        <w:pStyle w:val="BodyText"/>
      </w:pPr>
      <w:r>
        <w:t xml:space="preserve">It is important to note that young people within these groups are diverse and have a variety of experiences and perspectives on issues associated with mental health. At the same time, exploring the evidence for how well the headspace model supports members of these groups allows for consideration of potential systemic factors which may reduce its efficacy for young people across the spectrum of potential life experiences. </w:t>
      </w:r>
    </w:p>
    <w:p w14:paraId="7A211246" w14:textId="1D9C288E" w:rsidR="00D63473" w:rsidRDefault="00D63473" w:rsidP="00D63473">
      <w:pPr>
        <w:pStyle w:val="BodyText"/>
      </w:pPr>
      <w:r>
        <w:t xml:space="preserve">The evidence for how well the headspace model supports young people from </w:t>
      </w:r>
      <w:r w:rsidR="00BD29DF">
        <w:t>‘</w:t>
      </w:r>
      <w:r>
        <w:t xml:space="preserve">hard to </w:t>
      </w:r>
      <w:r w:rsidR="00BD29DF">
        <w:t>reach’</w:t>
      </w:r>
      <w:r>
        <w:t xml:space="preserve"> groups across key objectives of the model is reviewed below. Overall, while there is a high degree of similarity in feedback from these groups across the key objectives, there is also some evidence </w:t>
      </w:r>
      <w:r w:rsidRPr="00D46664">
        <w:t>to suggest that meeting the needs of some stakeholder groups is a greater challenge than for others. In particular</w:t>
      </w:r>
      <w:r>
        <w:t>,</w:t>
      </w:r>
      <w:r w:rsidRPr="00D46664">
        <w:t xml:space="preserve"> workforce shortages of key staff reduce the ability for services to make young people from</w:t>
      </w:r>
      <w:r>
        <w:t xml:space="preserve"> ‘hard to reach’ backgrounds feel welcome. </w:t>
      </w:r>
    </w:p>
    <w:p w14:paraId="61C710D9" w14:textId="77777777" w:rsidR="00D63473" w:rsidRDefault="00D63473" w:rsidP="0007192F">
      <w:pPr>
        <w:pStyle w:val="Heading5"/>
      </w:pPr>
      <w:r>
        <w:t>Perspectives of headspace service providers</w:t>
      </w:r>
    </w:p>
    <w:p w14:paraId="2CDE33C5" w14:textId="4CB96857" w:rsidR="00D63473" w:rsidRDefault="00D63473" w:rsidP="00D63473">
      <w:pPr>
        <w:pStyle w:val="BodyText"/>
      </w:pPr>
      <w:r>
        <w:t xml:space="preserve">Responses from the survey of </w:t>
      </w:r>
      <w:r w:rsidR="0050072E">
        <w:t>service</w:t>
      </w:r>
      <w:r>
        <w:t xml:space="preserve"> and lead agency staff were sought as to whether they see any differences in effectiveness of the headspace service in improving the mental health literacy, early help seeking and access of young people who identify as being part of these groups. The responses indicate that a majority of staff surveyed see the headspace model as less effective in meeting these objectives for young people from </w:t>
      </w:r>
      <w:r w:rsidR="001334E3">
        <w:t>‘hard to reach’ groups</w:t>
      </w:r>
      <w:r>
        <w:t>.</w:t>
      </w:r>
    </w:p>
    <w:p w14:paraId="6374C55C" w14:textId="46788FD0" w:rsidR="00D63473" w:rsidRPr="006263D2" w:rsidRDefault="00D63473" w:rsidP="00D63473">
      <w:pPr>
        <w:pStyle w:val="Caption"/>
      </w:pPr>
      <w:bookmarkStart w:id="242" w:name="_Toc108109225"/>
      <w:r>
        <w:t xml:space="preserve">Figure </w:t>
      </w:r>
      <w:r>
        <w:fldChar w:fldCharType="begin"/>
      </w:r>
      <w:r>
        <w:instrText>SEQ Figure \* ARABIC</w:instrText>
      </w:r>
      <w:r>
        <w:fldChar w:fldCharType="separate"/>
      </w:r>
      <w:r w:rsidR="00CC0438">
        <w:rPr>
          <w:noProof/>
        </w:rPr>
        <w:t>40</w:t>
      </w:r>
      <w:r>
        <w:fldChar w:fldCharType="end"/>
      </w:r>
      <w:r>
        <w:t>: Survey responses about whether the headspace model is less effective for particular cohorts compared with the general population of young people</w:t>
      </w:r>
      <w:bookmarkEnd w:id="242"/>
    </w:p>
    <w:p w14:paraId="7C1CF98F" w14:textId="79FDEE26" w:rsidR="00F528DC" w:rsidRPr="00F528DC" w:rsidRDefault="00F528DC" w:rsidP="000306C7">
      <w:r>
        <w:rPr>
          <w:noProof/>
        </w:rPr>
        <w:drawing>
          <wp:inline distT="0" distB="0" distL="0" distR="0" wp14:anchorId="68C2DA46" wp14:editId="1B13CAEB">
            <wp:extent cx="5037455" cy="5037455"/>
            <wp:effectExtent l="0" t="0" r="0" b="0"/>
            <wp:docPr id="224" name="Picture 224" descr="Figure 40 summarises responses from lead agency and headspace service survey respondents about whether the headspace model is less effective for particular cohorts of young people.&#10;69% of respondents said yes for young people with disability&#10;56% of respondents said yes for LGBTQIA+ young people&#10;55% of respondents said yes for culturally and linguistically diverse young people&#10;63% of respondents said yes for Aboriginal and Torres Strait Islander young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Figure 40 summarises responses from lead agency and headspace service survey respondents about whether the headspace model is less effective for particular cohorts of young people.&#10;69% of respondents said yes for young people with disability&#10;56% of respondents said yes for LGBTQIA+ young people&#10;55% of respondents said yes for culturally and linguistically diverse young people&#10;63% of respondents said yes for Aboriginal and Torres Strait Islander young people&#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37455" cy="5037455"/>
                    </a:xfrm>
                    <a:prstGeom prst="rect">
                      <a:avLst/>
                    </a:prstGeom>
                    <a:noFill/>
                    <a:ln>
                      <a:noFill/>
                    </a:ln>
                  </pic:spPr>
                </pic:pic>
              </a:graphicData>
            </a:graphic>
          </wp:inline>
        </w:drawing>
      </w:r>
    </w:p>
    <w:p w14:paraId="3303D2C0" w14:textId="77777777" w:rsidR="00506787" w:rsidRPr="00506787" w:rsidRDefault="00D63473" w:rsidP="00506787">
      <w:pPr>
        <w:pStyle w:val="Source"/>
      </w:pPr>
      <w:r w:rsidRPr="00154DE7">
        <w:t>Source: KPMG analysis of the headspace service and lead agency survey</w:t>
      </w:r>
    </w:p>
    <w:p w14:paraId="34B8D236" w14:textId="4E812173" w:rsidR="00D63473" w:rsidRPr="00154DE7" w:rsidRDefault="00D63473" w:rsidP="001268EC">
      <w:pPr>
        <w:pStyle w:val="Source"/>
        <w:rPr>
          <w:szCs w:val="16"/>
        </w:rPr>
      </w:pPr>
      <w:r w:rsidRPr="00154DE7">
        <w:t>Notes:</w:t>
      </w:r>
      <w:r w:rsidRPr="00154DE7">
        <w:rPr>
          <w:szCs w:val="16"/>
        </w:rPr>
        <w:t xml:space="preserve"> </w:t>
      </w:r>
      <w:r w:rsidR="00CB18D7">
        <w:rPr>
          <w:szCs w:val="16"/>
        </w:rPr>
        <w:t>A</w:t>
      </w:r>
      <w:r w:rsidRPr="00154DE7">
        <w:rPr>
          <w:szCs w:val="16"/>
        </w:rPr>
        <w:t xml:space="preserve"> total of 60 responses were received for Aboriginal and Torres Strait Islander </w:t>
      </w:r>
      <w:r w:rsidR="004D746F">
        <w:rPr>
          <w:szCs w:val="16"/>
        </w:rPr>
        <w:t xml:space="preserve">young people </w:t>
      </w:r>
      <w:r w:rsidRPr="00154DE7">
        <w:rPr>
          <w:szCs w:val="16"/>
        </w:rPr>
        <w:t xml:space="preserve">and </w:t>
      </w:r>
      <w:r>
        <w:rPr>
          <w:szCs w:val="16"/>
        </w:rPr>
        <w:t>culturally and linguistically diverse</w:t>
      </w:r>
      <w:r w:rsidRPr="00154DE7">
        <w:rPr>
          <w:szCs w:val="16"/>
        </w:rPr>
        <w:t xml:space="preserve"> young people, 59 responses were received </w:t>
      </w:r>
      <w:r>
        <w:rPr>
          <w:szCs w:val="16"/>
        </w:rPr>
        <w:t>from</w:t>
      </w:r>
      <w:r w:rsidRPr="00154DE7">
        <w:rPr>
          <w:szCs w:val="16"/>
        </w:rPr>
        <w:t xml:space="preserve"> LGBTQI</w:t>
      </w:r>
      <w:r>
        <w:rPr>
          <w:szCs w:val="16"/>
        </w:rPr>
        <w:t>A</w:t>
      </w:r>
      <w:r w:rsidRPr="00154DE7">
        <w:rPr>
          <w:szCs w:val="16"/>
        </w:rPr>
        <w:t xml:space="preserve">+ young people and 58 responses </w:t>
      </w:r>
      <w:r>
        <w:rPr>
          <w:szCs w:val="16"/>
        </w:rPr>
        <w:t>were received</w:t>
      </w:r>
      <w:r w:rsidRPr="00154DE7">
        <w:rPr>
          <w:szCs w:val="16"/>
        </w:rPr>
        <w:t xml:space="preserve"> f</w:t>
      </w:r>
      <w:r>
        <w:rPr>
          <w:szCs w:val="16"/>
        </w:rPr>
        <w:t>rom</w:t>
      </w:r>
      <w:r w:rsidRPr="00154DE7">
        <w:rPr>
          <w:szCs w:val="16"/>
        </w:rPr>
        <w:t xml:space="preserve"> young people with disability.</w:t>
      </w:r>
    </w:p>
    <w:p w14:paraId="31653FE1" w14:textId="62935112" w:rsidR="00D63473" w:rsidRPr="008E6079" w:rsidRDefault="00D63473" w:rsidP="00D63473">
      <w:pPr>
        <w:pStyle w:val="Heading4"/>
      </w:pPr>
      <w:r w:rsidRPr="008E6079">
        <w:t xml:space="preserve">How effective is headspace in increasing </w:t>
      </w:r>
      <w:r>
        <w:t>mental health literacy</w:t>
      </w:r>
      <w:r w:rsidRPr="008E6079">
        <w:t xml:space="preserve"> for </w:t>
      </w:r>
      <w:r w:rsidR="00BD29DF">
        <w:t>‘</w:t>
      </w:r>
      <w:r w:rsidRPr="008E6079">
        <w:t xml:space="preserve">hard to </w:t>
      </w:r>
      <w:r w:rsidR="00BD29DF">
        <w:t>reach’</w:t>
      </w:r>
      <w:r w:rsidRPr="008E6079">
        <w:t xml:space="preserve"> groups, including those who are at greater risk and less likely to seek help?</w:t>
      </w:r>
    </w:p>
    <w:p w14:paraId="1450618C" w14:textId="77777777" w:rsidR="00D63473" w:rsidRDefault="00D63473" w:rsidP="00D63473">
      <w:pPr>
        <w:pStyle w:val="Heading5"/>
      </w:pPr>
      <w:r>
        <w:t>Perspectives of young people who use headspace</w:t>
      </w:r>
    </w:p>
    <w:p w14:paraId="6ABB0449" w14:textId="65568480" w:rsidR="00D63473" w:rsidRDefault="00D63473" w:rsidP="00D63473">
      <w:pPr>
        <w:pStyle w:val="BodyText"/>
      </w:pPr>
      <w:r>
        <w:t>The hMDS user satisfaction data was examined for any variation between young people from different backgrounds, or ‘hard to reach</w:t>
      </w:r>
      <w:r w:rsidR="00C410FC">
        <w:t>’</w:t>
      </w:r>
      <w:r>
        <w:t xml:space="preserve"> groups. Data during the period indicates that there is no significant difference between the improvements in mental health literacy reported by young people who access headspace from different culturally and linguistically diverse backgrounds or by young people who identify as LGBTQIA+, however satisfaction was significantly lower for Aboriginal and Torres Strait Islander young people compared to the general population of young people attending headspace. </w:t>
      </w:r>
    </w:p>
    <w:p w14:paraId="23A048DA" w14:textId="0BF488AF" w:rsidR="00D63473" w:rsidRPr="00EB0BFC" w:rsidRDefault="00D63473" w:rsidP="00D63473">
      <w:pPr>
        <w:pStyle w:val="BodyText"/>
        <w:rPr>
          <w:shd w:val="clear" w:color="auto" w:fill="FFFFFF"/>
        </w:rPr>
      </w:pPr>
      <w:r>
        <w:rPr>
          <w:shd w:val="clear" w:color="auto" w:fill="FFFFFF"/>
        </w:rPr>
        <w:t xml:space="preserve">Youth </w:t>
      </w:r>
      <w:r w:rsidR="001F058F">
        <w:rPr>
          <w:shd w:val="clear" w:color="auto" w:fill="FFFFFF"/>
        </w:rPr>
        <w:t>R</w:t>
      </w:r>
      <w:r w:rsidRPr="00EB0BFC">
        <w:rPr>
          <w:shd w:val="clear" w:color="auto" w:fill="FFFFFF"/>
        </w:rPr>
        <w:t xml:space="preserve">eference </w:t>
      </w:r>
      <w:r w:rsidR="001F058F">
        <w:rPr>
          <w:shd w:val="clear" w:color="auto" w:fill="FFFFFF"/>
        </w:rPr>
        <w:t>G</w:t>
      </w:r>
      <w:r w:rsidRPr="00EB0BFC">
        <w:rPr>
          <w:shd w:val="clear" w:color="auto" w:fill="FFFFFF"/>
        </w:rPr>
        <w:t>roup members</w:t>
      </w:r>
      <w:r>
        <w:rPr>
          <w:shd w:val="clear" w:color="auto" w:fill="FFFFFF"/>
        </w:rPr>
        <w:t xml:space="preserve"> noted that </w:t>
      </w:r>
      <w:r w:rsidRPr="00F17988">
        <w:t>headspace</w:t>
      </w:r>
      <w:r>
        <w:rPr>
          <w:shd w:val="clear" w:color="auto" w:fill="FFFFFF"/>
        </w:rPr>
        <w:t xml:space="preserve"> actively worked to increase mental health literacy across all groups of young people including those hard-to-reach. They noted that unless young people were willing to accept help, these groups would remain difficult to reach: </w:t>
      </w:r>
    </w:p>
    <w:p w14:paraId="57178EFD" w14:textId="77777777" w:rsidR="00D63473" w:rsidRPr="00521D25" w:rsidRDefault="00D63473" w:rsidP="00D63473">
      <w:pPr>
        <w:pStyle w:val="Quote"/>
        <w:ind w:left="33"/>
        <w:rPr>
          <w:szCs w:val="20"/>
        </w:rPr>
      </w:pPr>
      <w:r>
        <w:rPr>
          <w:szCs w:val="20"/>
        </w:rPr>
        <w:t>“</w:t>
      </w:r>
      <w:r w:rsidRPr="00521D25">
        <w:rPr>
          <w:szCs w:val="20"/>
        </w:rPr>
        <w:t>I personally think that headspace is doing very well at trying to, engaging and actively going out of their way to seek those [hard to reach] people but as long as those people are not willing to engage back, their treatment is going to be hard for them.</w:t>
      </w:r>
      <w:r>
        <w:rPr>
          <w:szCs w:val="20"/>
        </w:rPr>
        <w:t>”</w:t>
      </w:r>
    </w:p>
    <w:p w14:paraId="3DD557CD" w14:textId="77777777" w:rsidR="00D63473" w:rsidRDefault="00D63473" w:rsidP="00D63473">
      <w:pPr>
        <w:pStyle w:val="Heading5"/>
        <w:rPr>
          <w:rFonts w:eastAsiaTheme="majorEastAsia" w:cstheme="majorBidi"/>
          <w:color w:val="00338D" w:themeColor="background2"/>
          <w:sz w:val="24"/>
        </w:rPr>
      </w:pPr>
      <w:r>
        <w:t>Perspectives of headspace service providers</w:t>
      </w:r>
    </w:p>
    <w:p w14:paraId="3C962FC9" w14:textId="2C0363D2" w:rsidR="00D63473" w:rsidRDefault="00C3252A" w:rsidP="000244E4">
      <w:pPr>
        <w:pStyle w:val="BodyText"/>
        <w:rPr>
          <w:rFonts w:ascii="Arial" w:hAnsi="Arial" w:cs="Arial"/>
          <w:b/>
        </w:rPr>
      </w:pPr>
      <w:r w:rsidRPr="7D53CD41">
        <w:rPr>
          <w:rFonts w:eastAsiaTheme="minorEastAsia"/>
        </w:rPr>
        <w:t>headspace service</w:t>
      </w:r>
      <w:r w:rsidR="00D63473" w:rsidRPr="7D53CD41">
        <w:rPr>
          <w:rFonts w:eastAsiaTheme="minorEastAsia"/>
        </w:rPr>
        <w:t xml:space="preserve"> </w:t>
      </w:r>
      <w:r w:rsidR="00D63473" w:rsidRPr="7D53CD41">
        <w:rPr>
          <w:rFonts w:eastAsiaTheme="minorEastAsia"/>
          <w:shd w:val="clear" w:color="auto" w:fill="FFFFFF"/>
        </w:rPr>
        <w:t xml:space="preserve">and lead agency staff </w:t>
      </w:r>
      <w:r w:rsidR="00D63473">
        <w:t xml:space="preserve">who responded ‘yes’ </w:t>
      </w:r>
      <w:r w:rsidR="7D8FFB9C">
        <w:t>regarding</w:t>
      </w:r>
      <w:r w:rsidR="00D63473">
        <w:t xml:space="preserve"> seeing differences in outcomes for young people from </w:t>
      </w:r>
      <w:r w:rsidR="00C410FC">
        <w:t>‘</w:t>
      </w:r>
      <w:r w:rsidR="00B6021A">
        <w:t>hard to reach</w:t>
      </w:r>
      <w:r w:rsidR="00C410FC">
        <w:t>’</w:t>
      </w:r>
      <w:r w:rsidR="00D63473">
        <w:t xml:space="preserve"> groups compared with the general population of young people </w:t>
      </w:r>
      <w:r w:rsidR="00D63473" w:rsidRPr="00B56D56">
        <w:t xml:space="preserve">were then given the option to rate </w:t>
      </w:r>
      <w:r w:rsidR="00D63473">
        <w:t xml:space="preserve">the difference between groups </w:t>
      </w:r>
      <w:r w:rsidR="00D63473" w:rsidRPr="00B56D56">
        <w:t>on a sliding scale</w:t>
      </w:r>
      <w:r w:rsidR="00D63473">
        <w:t>.</w:t>
      </w:r>
      <w:r w:rsidR="00D63473" w:rsidRPr="00B56D56">
        <w:t xml:space="preserve"> Averaged results indicate that staff </w:t>
      </w:r>
      <w:r w:rsidR="00B752F9">
        <w:t>believe</w:t>
      </w:r>
      <w:r w:rsidR="00D63473" w:rsidRPr="00B56D56">
        <w:t xml:space="preserve"> Aboriginal and Torres Strait Islander young people, </w:t>
      </w:r>
      <w:r w:rsidR="00D63473">
        <w:t>culturally and linguistically diverse</w:t>
      </w:r>
      <w:r w:rsidR="00D63473" w:rsidRPr="00B56D56">
        <w:t xml:space="preserve"> young people and young people with disability all fare below the </w:t>
      </w:r>
      <w:r w:rsidR="00D63473">
        <w:t>general population of young people attending headspace</w:t>
      </w:r>
      <w:r w:rsidR="00D63473" w:rsidRPr="00B56D56">
        <w:t xml:space="preserve"> in terms of the service's impact on their mental health literacy.</w:t>
      </w:r>
      <w:r w:rsidR="00D63473">
        <w:t xml:space="preserve"> Results </w:t>
      </w:r>
      <w:r w:rsidR="00B752F9">
        <w:t xml:space="preserve">from staff </w:t>
      </w:r>
      <w:r w:rsidR="00D63473">
        <w:t xml:space="preserve">also indicate that engagement with LGBTQIA+ young people </w:t>
      </w:r>
      <w:r w:rsidR="002F00ED">
        <w:t>results</w:t>
      </w:r>
      <w:r w:rsidR="7D8FFB9C">
        <w:t xml:space="preserve"> </w:t>
      </w:r>
      <w:r w:rsidR="00D63473">
        <w:t>in better mental health literacy than for other groups of young people.</w:t>
      </w:r>
      <w:r w:rsidR="00D63473" w:rsidRPr="7D53CD41">
        <w:rPr>
          <w:rFonts w:ascii="Arial" w:hAnsi="Arial" w:cs="Arial"/>
          <w:b/>
        </w:rPr>
        <w:t xml:space="preserve"> </w:t>
      </w:r>
    </w:p>
    <w:p w14:paraId="68B40377" w14:textId="57B44629" w:rsidR="00D63473" w:rsidRPr="006263D2" w:rsidRDefault="00D63473" w:rsidP="00D63473">
      <w:pPr>
        <w:pStyle w:val="Caption"/>
      </w:pPr>
      <w:bookmarkStart w:id="243" w:name="_Toc108109226"/>
      <w:r>
        <w:t xml:space="preserve">Figure </w:t>
      </w:r>
      <w:r>
        <w:fldChar w:fldCharType="begin"/>
      </w:r>
      <w:r>
        <w:instrText>SEQ Figure \* ARABIC</w:instrText>
      </w:r>
      <w:r>
        <w:fldChar w:fldCharType="separate"/>
      </w:r>
      <w:r w:rsidR="00CC0438">
        <w:rPr>
          <w:noProof/>
        </w:rPr>
        <w:t>41</w:t>
      </w:r>
      <w:r>
        <w:fldChar w:fldCharType="end"/>
      </w:r>
      <w:r>
        <w:t xml:space="preserve">: Responses from </w:t>
      </w:r>
      <w:r w:rsidR="00646540">
        <w:t>service</w:t>
      </w:r>
      <w:r>
        <w:t xml:space="preserve"> and lead agency </w:t>
      </w:r>
      <w:r w:rsidR="00646540">
        <w:t>s</w:t>
      </w:r>
      <w:r>
        <w:t>urvey: how well does your centre provide services that support mental health literacy for young people from priority cohorts?</w:t>
      </w:r>
      <w:bookmarkEnd w:id="243"/>
    </w:p>
    <w:p w14:paraId="6265F8B8" w14:textId="3FFC2D04" w:rsidR="00CB39D1" w:rsidRPr="00CB39D1" w:rsidRDefault="00CB39D1" w:rsidP="000306C7">
      <w:r>
        <w:rPr>
          <w:noProof/>
        </w:rPr>
        <w:drawing>
          <wp:inline distT="0" distB="0" distL="0" distR="0" wp14:anchorId="7C11EAEE" wp14:editId="250BBF86">
            <wp:extent cx="5037455" cy="3234055"/>
            <wp:effectExtent l="0" t="0" r="0" b="4445"/>
            <wp:docPr id="225" name="Picture 225" descr="Figure 41 summarises average responses from the lead agency and headspace service survey respondents about how well their service supports mental health literacy for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37. For LGBTQIA+ young people, the average score was 58. For culturally and linguistically diverse young people, the average score was 42. For Aboriginal and Torres Strait Islander young people, the average score wa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Figure 41 summarises average responses from the lead agency and headspace service survey respondents about how well their service supports mental health literacy for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37. For LGBTQIA+ young people, the average score was 58. For culturally and linguistically diverse young people, the average score was 42. For Aboriginal and Torres Strait Islander young people, the average score was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2FE64030" w14:textId="77777777" w:rsidR="00D63473" w:rsidRPr="005607C2" w:rsidRDefault="00D63473" w:rsidP="00D63473">
      <w:pPr>
        <w:pStyle w:val="Source"/>
        <w:rPr>
          <w:szCs w:val="16"/>
        </w:rPr>
      </w:pPr>
      <w:r w:rsidRPr="005607C2">
        <w:t>S</w:t>
      </w:r>
      <w:r w:rsidRPr="005607C2">
        <w:rPr>
          <w:szCs w:val="16"/>
        </w:rPr>
        <w:t>ource:</w:t>
      </w:r>
      <w:r>
        <w:rPr>
          <w:szCs w:val="16"/>
        </w:rPr>
        <w:t xml:space="preserve"> KPMG analysis of headspace service and lead agency survey</w:t>
      </w:r>
    </w:p>
    <w:p w14:paraId="2F3947FB" w14:textId="72A023E1" w:rsidR="00D63473" w:rsidRPr="005607C2" w:rsidRDefault="00D63473" w:rsidP="00D63473">
      <w:pPr>
        <w:pStyle w:val="Source"/>
        <w:rPr>
          <w:szCs w:val="16"/>
        </w:rPr>
      </w:pPr>
      <w:r w:rsidRPr="005607C2">
        <w:t>Notes:</w:t>
      </w:r>
      <w:r>
        <w:rPr>
          <w:szCs w:val="16"/>
        </w:rPr>
        <w:t xml:space="preserve"> A total of 60 responses were received for this question</w:t>
      </w:r>
      <w:r w:rsidR="00CB18D7">
        <w:rPr>
          <w:szCs w:val="16"/>
        </w:rPr>
        <w:t>.</w:t>
      </w:r>
      <w:r w:rsidR="00F13129">
        <w:rPr>
          <w:szCs w:val="16"/>
        </w:rPr>
        <w:t xml:space="preserve"> The survey response is a sliding scale ranging from ”worse” to “</w:t>
      </w:r>
      <w:r w:rsidR="00A543FC">
        <w:rPr>
          <w:szCs w:val="16"/>
        </w:rPr>
        <w:t>m</w:t>
      </w:r>
      <w:r w:rsidR="00F13129">
        <w:rPr>
          <w:szCs w:val="16"/>
        </w:rPr>
        <w:t>uch better”</w:t>
      </w:r>
      <w:r w:rsidR="00D81BF4">
        <w:rPr>
          <w:szCs w:val="16"/>
        </w:rPr>
        <w:t>. The figure reports the average responses.</w:t>
      </w:r>
    </w:p>
    <w:p w14:paraId="4F42DF6E" w14:textId="6D73CCCE" w:rsidR="00D63473" w:rsidRDefault="00D63473" w:rsidP="00D63473">
      <w:pPr>
        <w:pStyle w:val="BodyText"/>
        <w:rPr>
          <w:lang w:eastAsia="en-AU"/>
        </w:rPr>
      </w:pPr>
      <w:r>
        <w:rPr>
          <w:lang w:eastAsia="en-AU"/>
        </w:rPr>
        <w:t xml:space="preserve">Relevant to meeting the needs of Aboriginal and Torres Strait Islander young people, the </w:t>
      </w:r>
      <w:r w:rsidR="00C3252A">
        <w:rPr>
          <w:lang w:eastAsia="en-AU"/>
        </w:rPr>
        <w:t xml:space="preserve">headspace </w:t>
      </w:r>
      <w:r w:rsidR="001015E8">
        <w:rPr>
          <w:lang w:eastAsia="en-AU"/>
        </w:rPr>
        <w:t>s</w:t>
      </w:r>
      <w:r w:rsidR="00C3252A">
        <w:rPr>
          <w:lang w:eastAsia="en-AU"/>
        </w:rPr>
        <w:t xml:space="preserve">ervice and </w:t>
      </w:r>
      <w:r w:rsidR="001015E8">
        <w:rPr>
          <w:lang w:eastAsia="en-AU"/>
        </w:rPr>
        <w:t>l</w:t>
      </w:r>
      <w:r w:rsidR="00C3252A">
        <w:rPr>
          <w:lang w:eastAsia="en-AU"/>
        </w:rPr>
        <w:t xml:space="preserve">ead </w:t>
      </w:r>
      <w:r w:rsidR="001015E8">
        <w:rPr>
          <w:lang w:eastAsia="en-AU"/>
        </w:rPr>
        <w:t>a</w:t>
      </w:r>
      <w:r w:rsidR="00C3252A">
        <w:rPr>
          <w:lang w:eastAsia="en-AU"/>
        </w:rPr>
        <w:t>gency</w:t>
      </w:r>
      <w:r>
        <w:rPr>
          <w:lang w:eastAsia="en-AU"/>
        </w:rPr>
        <w:t xml:space="preserve"> survey also highlighted that, </w:t>
      </w:r>
      <w:r w:rsidRPr="00566D45">
        <w:rPr>
          <w:lang w:eastAsia="en-AU"/>
        </w:rPr>
        <w:t xml:space="preserve">in regional areas with high </w:t>
      </w:r>
      <w:r>
        <w:rPr>
          <w:lang w:eastAsia="en-AU"/>
        </w:rPr>
        <w:t>Aboriginal and Torres Strait Islander</w:t>
      </w:r>
      <w:r w:rsidRPr="00566D45">
        <w:rPr>
          <w:lang w:eastAsia="en-AU"/>
        </w:rPr>
        <w:t xml:space="preserve"> populations, specific Aboriginal Social Emotional Wellbeing Workers </w:t>
      </w:r>
      <w:r>
        <w:rPr>
          <w:lang w:eastAsia="en-AU"/>
        </w:rPr>
        <w:t>are</w:t>
      </w:r>
      <w:r w:rsidRPr="00566D45">
        <w:rPr>
          <w:lang w:eastAsia="en-AU"/>
        </w:rPr>
        <w:t xml:space="preserve"> important</w:t>
      </w:r>
      <w:r>
        <w:rPr>
          <w:lang w:eastAsia="en-AU"/>
        </w:rPr>
        <w:t>. Staff in these roles</w:t>
      </w:r>
      <w:r w:rsidRPr="00566D45">
        <w:rPr>
          <w:lang w:eastAsia="en-AU"/>
        </w:rPr>
        <w:t xml:space="preserve"> support adaptation of presentations and other resources for </w:t>
      </w:r>
      <w:r>
        <w:rPr>
          <w:lang w:eastAsia="en-AU"/>
        </w:rPr>
        <w:t xml:space="preserve">Aboriginal and Torres Strait Islander </w:t>
      </w:r>
      <w:r w:rsidRPr="00566D45">
        <w:rPr>
          <w:lang w:eastAsia="en-AU"/>
        </w:rPr>
        <w:t>young people.</w:t>
      </w:r>
      <w:r>
        <w:rPr>
          <w:lang w:eastAsia="en-AU"/>
        </w:rPr>
        <w:t xml:space="preserve"> While these roles were highlighted as contributing strongly to improved mental health literacy for young people accessing headspace, respondents to the </w:t>
      </w:r>
      <w:r w:rsidR="0050072E">
        <w:rPr>
          <w:lang w:eastAsia="en-AU"/>
        </w:rPr>
        <w:t>service</w:t>
      </w:r>
      <w:r>
        <w:rPr>
          <w:lang w:eastAsia="en-AU"/>
        </w:rPr>
        <w:t xml:space="preserve"> and lead agency survey also noted </w:t>
      </w:r>
      <w:r w:rsidRPr="00566D45">
        <w:rPr>
          <w:lang w:eastAsia="en-AU"/>
        </w:rPr>
        <w:t>difficult</w:t>
      </w:r>
      <w:r>
        <w:rPr>
          <w:lang w:eastAsia="en-AU"/>
        </w:rPr>
        <w:t xml:space="preserve">y </w:t>
      </w:r>
      <w:r w:rsidRPr="00566D45">
        <w:rPr>
          <w:lang w:eastAsia="en-AU"/>
        </w:rPr>
        <w:t>recruit</w:t>
      </w:r>
      <w:r>
        <w:rPr>
          <w:lang w:eastAsia="en-AU"/>
        </w:rPr>
        <w:t>ing staff for these roles</w:t>
      </w:r>
      <w:r w:rsidRPr="00566D45">
        <w:rPr>
          <w:lang w:eastAsia="en-AU"/>
        </w:rPr>
        <w:t xml:space="preserve"> in small communities</w:t>
      </w:r>
      <w:r>
        <w:rPr>
          <w:lang w:eastAsia="en-AU"/>
        </w:rPr>
        <w:t>. The need to be able to provide services for community in community was also emphasised as a challenge for the headspace model.</w:t>
      </w:r>
    </w:p>
    <w:p w14:paraId="53826310" w14:textId="636260AA" w:rsidR="00D63473" w:rsidRDefault="00D63473" w:rsidP="00D63473">
      <w:pPr>
        <w:pStyle w:val="BodyText"/>
        <w:rPr>
          <w:lang w:eastAsia="en-AU"/>
        </w:rPr>
      </w:pPr>
      <w:r>
        <w:rPr>
          <w:lang w:eastAsia="en-AU"/>
        </w:rPr>
        <w:t xml:space="preserve">For young people with disability, service providers noted that they had limited referral pathways with disability services, and that disability service providers do not refer young people into headspace unless it is funded on their NDIS plan, which is rare. The overall perception is that young people with disability access other services instead of headspace, and some providers indicated they </w:t>
      </w:r>
      <w:r w:rsidR="00950550">
        <w:rPr>
          <w:lang w:eastAsia="en-AU"/>
        </w:rPr>
        <w:t>believe</w:t>
      </w:r>
      <w:r>
        <w:rPr>
          <w:lang w:eastAsia="en-AU"/>
        </w:rPr>
        <w:t xml:space="preserve"> this is more appropriate due to headspace clinicians not having experience working with dual diagnoses.</w:t>
      </w:r>
    </w:p>
    <w:p w14:paraId="4C1F506D" w14:textId="77777777" w:rsidR="00D63473" w:rsidRPr="008E6079" w:rsidRDefault="00D63473" w:rsidP="00D63473">
      <w:pPr>
        <w:pStyle w:val="BodyText"/>
      </w:pPr>
      <w:r>
        <w:rPr>
          <w:lang w:eastAsia="en-AU"/>
        </w:rPr>
        <w:t>For young people from culturally and linguistically diverse backgrounds, headspace service providers described the barriers in having access to culturally and linguistically diverse staff with the capability to work with those arriving with significant trauma, with multicultural mental health issues, and with different language and cultural skills. They also spoke about limitations in the capacity to undertake outreach to culturally and linguistically diverse communities to promote service access.</w:t>
      </w:r>
    </w:p>
    <w:p w14:paraId="685D49D9" w14:textId="7CB8C244" w:rsidR="00D63473" w:rsidRDefault="00D63473" w:rsidP="00D63473">
      <w:pPr>
        <w:pStyle w:val="BodyText"/>
        <w:rPr>
          <w:szCs w:val="20"/>
        </w:rPr>
      </w:pPr>
      <w:r w:rsidRPr="00604E32">
        <w:t>School and university counsellors</w:t>
      </w:r>
      <w:r>
        <w:t xml:space="preserve"> agreed with the importance of having local Aboriginal workers to support outcomes for Aboriginal and Torres Strait </w:t>
      </w:r>
      <w:r w:rsidR="00724012">
        <w:t xml:space="preserve">Islander </w:t>
      </w:r>
      <w:r>
        <w:t xml:space="preserve">young people. </w:t>
      </w:r>
      <w:r w:rsidRPr="004E128A">
        <w:t>In particular</w:t>
      </w:r>
      <w:r>
        <w:t>,</w:t>
      </w:r>
      <w:r w:rsidRPr="004E128A">
        <w:t xml:space="preserve"> communities with large </w:t>
      </w:r>
      <w:r>
        <w:t xml:space="preserve">Aboriginal and Torres Strait Islander </w:t>
      </w:r>
      <w:r w:rsidRPr="004E128A">
        <w:t xml:space="preserve">populations </w:t>
      </w:r>
      <w:r>
        <w:t>have benefited from o</w:t>
      </w:r>
      <w:r w:rsidRPr="004E128A">
        <w:t>utreach and work designing the services with the community</w:t>
      </w:r>
      <w:r>
        <w:t>. This has b</w:t>
      </w:r>
      <w:r w:rsidRPr="004E128A">
        <w:t>uilt trust that</w:t>
      </w:r>
      <w:r>
        <w:t>,</w:t>
      </w:r>
      <w:r w:rsidRPr="004E128A">
        <w:t xml:space="preserve"> in turn</w:t>
      </w:r>
      <w:r>
        <w:t>,</w:t>
      </w:r>
      <w:r w:rsidRPr="004E128A">
        <w:t xml:space="preserve"> support</w:t>
      </w:r>
      <w:r>
        <w:t>s engagement with headspace by young people and improved mental health literacy.</w:t>
      </w:r>
      <w:r w:rsidRPr="004E128A">
        <w:t xml:space="preserve"> </w:t>
      </w:r>
      <w:r>
        <w:t>Focus groups with counsellors also i</w:t>
      </w:r>
      <w:r w:rsidRPr="00351CE2">
        <w:rPr>
          <w:szCs w:val="20"/>
        </w:rPr>
        <w:t xml:space="preserve">dentified challenges for </w:t>
      </w:r>
      <w:r>
        <w:rPr>
          <w:szCs w:val="20"/>
        </w:rPr>
        <w:t>culturally and linguistically diverse</w:t>
      </w:r>
      <w:r w:rsidRPr="00351CE2">
        <w:rPr>
          <w:szCs w:val="20"/>
        </w:rPr>
        <w:t xml:space="preserve"> communities</w:t>
      </w:r>
      <w:r>
        <w:rPr>
          <w:szCs w:val="20"/>
        </w:rPr>
        <w:t>,</w:t>
      </w:r>
      <w:r w:rsidRPr="00351CE2">
        <w:rPr>
          <w:szCs w:val="20"/>
        </w:rPr>
        <w:t xml:space="preserve"> including international students who have not had the same education around mental health throughout earlier schooling</w:t>
      </w:r>
      <w:r>
        <w:rPr>
          <w:szCs w:val="20"/>
        </w:rPr>
        <w:t xml:space="preserve"> as other young people from the general population.</w:t>
      </w:r>
    </w:p>
    <w:p w14:paraId="5DE70B62" w14:textId="023BC9F8" w:rsidR="00D63473" w:rsidRDefault="00D63473" w:rsidP="00D63473">
      <w:pPr>
        <w:pStyle w:val="Heading5"/>
      </w:pPr>
      <w:r>
        <w:t xml:space="preserve">Effectiveness of headspace in increasing mental health literacy in </w:t>
      </w:r>
      <w:r w:rsidR="001334E3">
        <w:t>‘hard to reach’ groups</w:t>
      </w:r>
    </w:p>
    <w:p w14:paraId="03AC8A9E" w14:textId="3F9A3EBF" w:rsidR="00D63473" w:rsidRPr="00915B2C" w:rsidRDefault="00D63473" w:rsidP="00D63473">
      <w:pPr>
        <w:pStyle w:val="BodyText"/>
        <w:rPr>
          <w:lang w:eastAsia="en-AU"/>
        </w:rPr>
      </w:pPr>
      <w:r>
        <w:rPr>
          <w:lang w:eastAsia="en-AU"/>
        </w:rPr>
        <w:t xml:space="preserve">Overall, the evidence suggests there is some variation in how effective headspace is in supporting mental health literacy in </w:t>
      </w:r>
      <w:r w:rsidR="001334E3">
        <w:rPr>
          <w:lang w:eastAsia="en-AU"/>
        </w:rPr>
        <w:t>‘hard to reach’ groups</w:t>
      </w:r>
      <w:r>
        <w:rPr>
          <w:lang w:eastAsia="en-AU"/>
        </w:rPr>
        <w:t xml:space="preserve">. Young person satisfaction data </w:t>
      </w:r>
      <w:r w:rsidRPr="00915B2C">
        <w:rPr>
          <w:lang w:eastAsia="en-AU"/>
        </w:rPr>
        <w:t>during the period indicates that there is no significant difference between the improvements in mental health literacy reported by young people who access headspace from different cultural backgrounds</w:t>
      </w:r>
      <w:r>
        <w:rPr>
          <w:lang w:eastAsia="en-AU"/>
        </w:rPr>
        <w:t>, with high levels of satisfaction across relevant measures for all groups.</w:t>
      </w:r>
    </w:p>
    <w:p w14:paraId="0D4E84FA" w14:textId="21BA6EE6" w:rsidR="00D63473" w:rsidRDefault="00D63473" w:rsidP="00D63473">
      <w:pPr>
        <w:pStyle w:val="BodyText"/>
        <w:rPr>
          <w:lang w:eastAsia="en-AU"/>
        </w:rPr>
      </w:pPr>
      <w:r>
        <w:rPr>
          <w:lang w:eastAsia="en-AU"/>
        </w:rPr>
        <w:t>However, staff views of the success of the model in this domain showed concerns that</w:t>
      </w:r>
      <w:r w:rsidRPr="00915B2C">
        <w:rPr>
          <w:lang w:eastAsia="en-AU"/>
        </w:rPr>
        <w:t xml:space="preserve"> Aboriginal and Torres Strait Islander young people, </w:t>
      </w:r>
      <w:r>
        <w:rPr>
          <w:lang w:eastAsia="en-AU"/>
        </w:rPr>
        <w:t>culturally and linguistically diverse</w:t>
      </w:r>
      <w:r w:rsidRPr="00915B2C">
        <w:rPr>
          <w:lang w:eastAsia="en-AU"/>
        </w:rPr>
        <w:t xml:space="preserve"> young people and young people with disability all fare below the</w:t>
      </w:r>
      <w:r>
        <w:rPr>
          <w:lang w:eastAsia="en-AU"/>
        </w:rPr>
        <w:t xml:space="preserve"> general population in</w:t>
      </w:r>
      <w:r w:rsidRPr="00915B2C">
        <w:rPr>
          <w:lang w:eastAsia="en-AU"/>
        </w:rPr>
        <w:t xml:space="preserve"> terms of the service's impact on their mental health literacy. </w:t>
      </w:r>
      <w:r>
        <w:rPr>
          <w:lang w:eastAsia="en-AU"/>
        </w:rPr>
        <w:t xml:space="preserve">At the same time, staff </w:t>
      </w:r>
      <w:r w:rsidR="00950550">
        <w:rPr>
          <w:lang w:eastAsia="en-AU"/>
        </w:rPr>
        <w:t>suggested</w:t>
      </w:r>
      <w:r w:rsidRPr="00915B2C">
        <w:rPr>
          <w:lang w:eastAsia="en-AU"/>
        </w:rPr>
        <w:t xml:space="preserve"> that engagement with LGBTQIA+ young people results in better mental health literacy than </w:t>
      </w:r>
      <w:r>
        <w:rPr>
          <w:lang w:eastAsia="en-AU"/>
        </w:rPr>
        <w:t xml:space="preserve">the </w:t>
      </w:r>
      <w:r>
        <w:t>general population of young people attending headspace</w:t>
      </w:r>
      <w:r w:rsidRPr="00915B2C">
        <w:rPr>
          <w:lang w:eastAsia="en-AU"/>
        </w:rPr>
        <w:t>.</w:t>
      </w:r>
      <w:r>
        <w:rPr>
          <w:lang w:eastAsia="en-AU"/>
        </w:rPr>
        <w:t xml:space="preserve"> The importance of having culturally appropriate staff in building trust and engagement to support mental health literacy were highlighted.</w:t>
      </w:r>
    </w:p>
    <w:p w14:paraId="53EC43B0" w14:textId="56CA06DB" w:rsidR="00D63473" w:rsidRDefault="00D63473" w:rsidP="00D63473">
      <w:pPr>
        <w:pStyle w:val="Heading4"/>
      </w:pPr>
      <w:r w:rsidRPr="008E6079">
        <w:t xml:space="preserve">How effective is headspace in increasing early help seeking for </w:t>
      </w:r>
      <w:r w:rsidR="00BD29DF">
        <w:t>‘</w:t>
      </w:r>
      <w:r w:rsidRPr="008E6079">
        <w:t xml:space="preserve">hard to </w:t>
      </w:r>
      <w:r w:rsidR="00BD29DF">
        <w:t>reach’</w:t>
      </w:r>
      <w:r w:rsidRPr="008E6079">
        <w:t xml:space="preserve"> groups, including those who are at greater risk and less likely to seek help?</w:t>
      </w:r>
    </w:p>
    <w:p w14:paraId="29ED8FA7" w14:textId="2A0880F4" w:rsidR="00D63473" w:rsidRDefault="00D63473" w:rsidP="003006A8">
      <w:pPr>
        <w:pStyle w:val="BodyText"/>
        <w:rPr>
          <w:shd w:val="clear" w:color="auto" w:fill="FFFFFF"/>
        </w:rPr>
      </w:pPr>
      <w:r>
        <w:t xml:space="preserve">As described in </w:t>
      </w:r>
      <w:r w:rsidR="00E40814">
        <w:t>section</w:t>
      </w:r>
      <w:r>
        <w:t xml:space="preserve"> </w:t>
      </w:r>
      <w:r w:rsidR="001268EC">
        <w:fldChar w:fldCharType="begin" w:fldLock="1"/>
      </w:r>
      <w:r w:rsidR="001268EC">
        <w:instrText xml:space="preserve"> REF _Ref98476110 \w \h </w:instrText>
      </w:r>
      <w:r w:rsidR="001268EC">
        <w:fldChar w:fldCharType="separate"/>
      </w:r>
      <w:r w:rsidR="00AE4D34">
        <w:t>5.1.2</w:t>
      </w:r>
      <w:r w:rsidR="001268EC">
        <w:fldChar w:fldCharType="end"/>
      </w:r>
      <w:r>
        <w:t xml:space="preserve">, </w:t>
      </w:r>
      <w:r>
        <w:rPr>
          <w:shd w:val="clear" w:color="auto" w:fill="FFFFFF"/>
        </w:rPr>
        <w:t>early help seeking is defined in this evaluationas a young person engaging with headspace when they are:</w:t>
      </w:r>
    </w:p>
    <w:p w14:paraId="19ACD5E8" w14:textId="472DA1D3" w:rsidR="00D63473" w:rsidRDefault="00D63473" w:rsidP="00350B4D">
      <w:pPr>
        <w:pStyle w:val="Bullet1stlevel"/>
      </w:pPr>
      <w:r w:rsidRPr="00350B4D">
        <w:t>under 21 years of age</w:t>
      </w:r>
      <w:r w:rsidR="006827BA">
        <w:t>;</w:t>
      </w:r>
    </w:p>
    <w:p w14:paraId="1696EFC3" w14:textId="529D483E" w:rsidR="00D63473" w:rsidRDefault="00D63473" w:rsidP="00350B4D">
      <w:pPr>
        <w:pStyle w:val="Bullet1stlevel"/>
      </w:pPr>
      <w:r>
        <w:t>at relatively low mental health risk status</w:t>
      </w:r>
      <w:r w:rsidR="006827BA">
        <w:t>; and</w:t>
      </w:r>
    </w:p>
    <w:p w14:paraId="3778D472" w14:textId="77777777" w:rsidR="00D63473" w:rsidRDefault="00D63473" w:rsidP="00350B4D">
      <w:pPr>
        <w:pStyle w:val="Bullet1stlevel"/>
      </w:pPr>
      <w:r>
        <w:t>assessed as at less than the threshold stage of illness.</w:t>
      </w:r>
    </w:p>
    <w:p w14:paraId="317AF3A1" w14:textId="32E906A6" w:rsidR="00D63473" w:rsidRDefault="00D63473" w:rsidP="00D63473">
      <w:pPr>
        <w:pStyle w:val="BodyText"/>
      </w:pPr>
      <w:r>
        <w:t xml:space="preserve">To examine the extent to which the headspace model is succeeding in contributing to increased early help seeking behaviour in </w:t>
      </w:r>
      <w:r w:rsidR="001334E3">
        <w:t>‘hard to reach’ groups</w:t>
      </w:r>
      <w:r>
        <w:t xml:space="preserve">, relevant data and evidence was reviewed from across the fieldwork activities conducted for this </w:t>
      </w:r>
      <w:r w:rsidR="00F926FA">
        <w:t>eva</w:t>
      </w:r>
      <w:r w:rsidR="007B3B6E">
        <w:t>luation</w:t>
      </w:r>
      <w:r>
        <w:t xml:space="preserve">. These are described below, and include analysis of the hMDS and survey responses from </w:t>
      </w:r>
      <w:r w:rsidR="0050072E">
        <w:t>service</w:t>
      </w:r>
      <w:r>
        <w:t xml:space="preserve"> and lead agency staff. </w:t>
      </w:r>
    </w:p>
    <w:p w14:paraId="54E135A3" w14:textId="77777777" w:rsidR="00D63473" w:rsidRDefault="00D63473" w:rsidP="00D63473">
      <w:pPr>
        <w:pStyle w:val="Heading5"/>
      </w:pPr>
      <w:r>
        <w:t xml:space="preserve">Administrative data from the hMDS </w:t>
      </w:r>
    </w:p>
    <w:p w14:paraId="5ED3995C" w14:textId="0C485651" w:rsidR="00D63473" w:rsidRDefault="00D63473" w:rsidP="00D63473">
      <w:pPr>
        <w:pStyle w:val="BodyText"/>
      </w:pPr>
      <w:r>
        <w:t xml:space="preserve">The hMDS collects demographic data of young people attending headspace services, asking them whether they identify as Aboriginal or Torres Strait Islander, culturally and linguistically diverse or LGBTQIA+. Considering the differences in early help seeking indicators for young people who identify as part of one (or more) of these groups provides a useful lens to understand the extent to which the headspace model supports young people from </w:t>
      </w:r>
      <w:r w:rsidR="001334E3">
        <w:t>‘hard to reach’ groups</w:t>
      </w:r>
      <w:r>
        <w:t xml:space="preserve"> in increasing early help seeking behaviour.</w:t>
      </w:r>
    </w:p>
    <w:p w14:paraId="76AF54E1" w14:textId="52C4D9A6" w:rsidR="00D63473" w:rsidRDefault="00D63473" w:rsidP="00D63473">
      <w:pPr>
        <w:pStyle w:val="BodyText"/>
      </w:pPr>
      <w:r>
        <w:t>While there is a substantial proportion of missing data against these categories, when looking at the data related to the age of the young person attending headspace</w:t>
      </w:r>
      <w:r w:rsidR="002001EB">
        <w:t xml:space="preserve"> (at the first </w:t>
      </w:r>
      <w:r w:rsidR="009C028B">
        <w:t>OOS</w:t>
      </w:r>
      <w:r w:rsidR="00A44B00">
        <w:t xml:space="preserve"> in each </w:t>
      </w:r>
      <w:r w:rsidR="00080644">
        <w:t>EOC</w:t>
      </w:r>
      <w:r w:rsidR="00A44B00">
        <w:t xml:space="preserve"> in the data period)</w:t>
      </w:r>
      <w:r>
        <w:t xml:space="preserve">, there are significant differences between groups. For those </w:t>
      </w:r>
      <w:r w:rsidR="00AD5A0E">
        <w:t>young people</w:t>
      </w:r>
      <w:r>
        <w:t xml:space="preserve"> who identify as Aboriginal or Torres Strait Islander, 84 per cent of young people attending headspace are aged under 21, compared with 77 per cent of those who do not identify as within this group. For culturally and linguistically diverse young people, 76 per cent are under 21 years of age, compared with 78 per cent of those who do not identify as from a culturally and linguistically diverse background. For LGBTQIA+ young people, 74 per cent are under the age of 21, compared with 78 per cent of those who do not identify as LGBTQIA+</w:t>
      </w:r>
      <w:r w:rsidR="00167EBF">
        <w:t xml:space="preserve"> young </w:t>
      </w:r>
      <w:r w:rsidR="00891FA6">
        <w:t>people</w:t>
      </w:r>
      <w:r>
        <w:t>. On this measure, the differences between the ‘harder to reach’ young people and the general population are statistically significant, with Aboriginal and Torres Strait Islander young people significantly more likely to be under the age of 21, and culturally and linguistically diverse and LGBTQIA+ young people significantly more likely to be older than 21 years of age when attending a headspace service.</w:t>
      </w:r>
    </w:p>
    <w:p w14:paraId="3F58429C" w14:textId="38F39DF3" w:rsidR="00D63473" w:rsidRDefault="00D63473" w:rsidP="00D63473">
      <w:pPr>
        <w:pStyle w:val="Caption"/>
      </w:pPr>
      <w:bookmarkStart w:id="244" w:name="_Toc108109227"/>
      <w:r>
        <w:t xml:space="preserve">Figure </w:t>
      </w:r>
      <w:r>
        <w:fldChar w:fldCharType="begin"/>
      </w:r>
      <w:r>
        <w:instrText>SEQ Figure \* ARABIC</w:instrText>
      </w:r>
      <w:r>
        <w:fldChar w:fldCharType="separate"/>
      </w:r>
      <w:r w:rsidR="00CC0438">
        <w:rPr>
          <w:noProof/>
        </w:rPr>
        <w:t>42</w:t>
      </w:r>
      <w:r>
        <w:fldChar w:fldCharType="end"/>
      </w:r>
      <w:r>
        <w:t>: Distribution of age by young person during 2019-20</w:t>
      </w:r>
      <w:bookmarkEnd w:id="244"/>
    </w:p>
    <w:p w14:paraId="43806BCA" w14:textId="743C08E3" w:rsidR="007C5D8B" w:rsidRPr="007C5D8B" w:rsidRDefault="007C5D8B" w:rsidP="000306C7">
      <w:r>
        <w:rPr>
          <w:noProof/>
        </w:rPr>
        <w:drawing>
          <wp:inline distT="0" distB="0" distL="0" distR="0" wp14:anchorId="20162FDC" wp14:editId="6840692C">
            <wp:extent cx="5037455" cy="7916545"/>
            <wp:effectExtent l="0" t="0" r="0" b="8255"/>
            <wp:docPr id="226" name="Picture 226" descr="Figure 42 is a stacked bar chart showing the proportion of headspace users in each age range by hard to reach cohort.&#10;For Aboriginal and Torres Strait Islander Young People, 17% of young people were younger than 15 years, 49% were aged 15-20 and 34% were older than 20 years.&#10;For young people who are not Aboriginal and Torres Strait Islander, 24% of young people were younger than 15 years, 53% were aged 15-20 and 23% were older than 20 years.&#10;For culturally and linguistically diverse young people, 26% of young people were younger than 15 years, 56% were aged 15-20 and 18% were older than 20 years.&#10;For young people who are not culturally and linguistically diverse, 23% of young people were younger than 15 years, 53% were aged 15-20 and 24% were older than 20 years.&#10;For LGBTQIA+ young people, 27% of young people were younger than 15 years, 56% were aged 15-20 and 17% were older than 20 years.&#10;For young people who are not LGBTQIA+, 23% of young people were younger than 15 years, 53% were aged 15-20 and 24% were older than 20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Figure 42 is a stacked bar chart showing the proportion of headspace users in each age range by hard to reach cohort.&#10;For Aboriginal and Torres Strait Islander Young People, 17% of young people were younger than 15 years, 49% were aged 15-20 and 34% were older than 20 years.&#10;For young people who are not Aboriginal and Torres Strait Islander, 24% of young people were younger than 15 years, 53% were aged 15-20 and 23% were older than 20 years.&#10;For culturally and linguistically diverse young people, 26% of young people were younger than 15 years, 56% were aged 15-20 and 18% were older than 20 years.&#10;For young people who are not culturally and linguistically diverse, 23% of young people were younger than 15 years, 53% were aged 15-20 and 24% were older than 20 years.&#10;For LGBTQIA+ young people, 27% of young people were younger than 15 years, 56% were aged 15-20 and 17% were older than 20 years.&#10;For young people who are not LGBTQIA+, 23% of young people were younger than 15 years, 53% were aged 15-20 and 24% were older than 20 years.&#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7455" cy="7916545"/>
                    </a:xfrm>
                    <a:prstGeom prst="rect">
                      <a:avLst/>
                    </a:prstGeom>
                    <a:noFill/>
                    <a:ln>
                      <a:noFill/>
                    </a:ln>
                  </pic:spPr>
                </pic:pic>
              </a:graphicData>
            </a:graphic>
          </wp:inline>
        </w:drawing>
      </w:r>
    </w:p>
    <w:p w14:paraId="7AA65A5D" w14:textId="070DEBFE" w:rsidR="00D63473" w:rsidRPr="00504515" w:rsidRDefault="00D63473" w:rsidP="006860FC">
      <w:pPr>
        <w:pStyle w:val="Source"/>
      </w:pPr>
      <w:r w:rsidRPr="00504515">
        <w:t>Source: KPMG master dataset</w:t>
      </w:r>
    </w:p>
    <w:p w14:paraId="1966B56C" w14:textId="3EF6FB19" w:rsidR="00A9653D" w:rsidRDefault="00D63473" w:rsidP="00B4347F">
      <w:pPr>
        <w:pStyle w:val="Source"/>
      </w:pPr>
      <w:r w:rsidRPr="00504515">
        <w:t xml:space="preserve">Notes: See </w:t>
      </w:r>
      <w:r w:rsidR="00C630C2">
        <w:fldChar w:fldCharType="begin" w:fldLock="1"/>
      </w:r>
      <w:r w:rsidR="00C630C2">
        <w:instrText xml:space="preserve"> REF _Ref98402466 \r \h </w:instrText>
      </w:r>
      <w:r w:rsidR="00C630C2">
        <w:fldChar w:fldCharType="separate"/>
      </w:r>
      <w:r w:rsidR="00AE4D34">
        <w:t>Appendix F</w:t>
      </w:r>
      <w:r w:rsidR="00C630C2">
        <w:fldChar w:fldCharType="end"/>
      </w:r>
      <w:r>
        <w:t xml:space="preserve"> </w:t>
      </w:r>
      <w:r w:rsidRPr="00504515">
        <w:t>for a description o</w:t>
      </w:r>
      <w:r w:rsidR="009C7592">
        <w:t>f</w:t>
      </w:r>
      <w:r w:rsidRPr="00504515">
        <w:t xml:space="preserve"> how the master dataset is derived. Sample includes 90,110 young people with ongoing episodes of care during 2019-20.</w:t>
      </w:r>
      <w:r w:rsidR="005A6D5D">
        <w:t xml:space="preserve"> Data labels are not included for categories with less than </w:t>
      </w:r>
      <w:r w:rsidR="00D04C78">
        <w:t>0.</w:t>
      </w:r>
      <w:r w:rsidR="005A6D5D">
        <w:t>5</w:t>
      </w:r>
      <w:r w:rsidR="00CB18D7">
        <w:t xml:space="preserve"> per cent</w:t>
      </w:r>
      <w:r w:rsidR="005A6D5D">
        <w:t xml:space="preserve"> for clarity purposes.</w:t>
      </w:r>
      <w:r w:rsidR="00A9653D">
        <w:br w:type="page"/>
      </w:r>
    </w:p>
    <w:p w14:paraId="3406155E" w14:textId="5AD8015B" w:rsidR="00D63473" w:rsidRPr="00037A4C" w:rsidRDefault="00D63473" w:rsidP="00D63473">
      <w:pPr>
        <w:pStyle w:val="BodyText"/>
      </w:pPr>
      <w:r w:rsidRPr="004F0716">
        <w:t xml:space="preserve">When </w:t>
      </w:r>
      <w:r>
        <w:t xml:space="preserve">considering the hMDS data regarding each young person’s mental health risk status collected by the clinical service provider as part of the intake and assessment process, young people who identify as LGBTQIA+ are significantly less likely to present with low levels of risk factors. Relevant data for young people from other </w:t>
      </w:r>
      <w:r w:rsidR="001334E3">
        <w:t>‘hard to reach’ groups</w:t>
      </w:r>
      <w:r>
        <w:t xml:space="preserve"> (Aboriginal and Torres Strait Islander </w:t>
      </w:r>
      <w:r w:rsidR="00742137">
        <w:t xml:space="preserve">young people </w:t>
      </w:r>
      <w:r>
        <w:t xml:space="preserve">and culturally and linguistically diverse young people) are </w:t>
      </w:r>
      <w:r w:rsidRPr="000F1777">
        <w:t>not significantly different</w:t>
      </w:r>
      <w:r>
        <w:t xml:space="preserve"> from those who do not identify as members of these groups. As discussed in </w:t>
      </w:r>
      <w:r w:rsidR="00E40814">
        <w:t>section</w:t>
      </w:r>
      <w:r>
        <w:t xml:space="preserve"> </w:t>
      </w:r>
      <w:r w:rsidR="001268EC">
        <w:fldChar w:fldCharType="begin" w:fldLock="1"/>
      </w:r>
      <w:r w:rsidR="001268EC">
        <w:instrText xml:space="preserve"> REF _Ref98476110 \w \h </w:instrText>
      </w:r>
      <w:r w:rsidR="001268EC">
        <w:fldChar w:fldCharType="separate"/>
      </w:r>
      <w:r w:rsidR="00AE4D34">
        <w:t>5.1.2</w:t>
      </w:r>
      <w:r w:rsidR="001268EC">
        <w:fldChar w:fldCharType="end"/>
      </w:r>
      <w:r>
        <w:t xml:space="preserve"> above, the mental health risk status measure considers the presence of risk and protective factors, such as unstable or unsafe living conditions, relationship problems and bullying, alongside the presence of symptoms of mental disorder such as anxiety or depression. A young person presenting with either ‘no risk factors or symptoms of mental health problems’ or ‘risk factors present’, indicating the presence of one or more situational factors making them vulnerable to developing a mental health problem,</w:t>
      </w:r>
      <w:r w:rsidRPr="00857EA8">
        <w:t xml:space="preserve"> </w:t>
      </w:r>
      <w:r>
        <w:t xml:space="preserve">would be considered to be undertaking early help seeking. </w:t>
      </w:r>
    </w:p>
    <w:p w14:paraId="686E91A9" w14:textId="0FB7B476" w:rsidR="00D63473" w:rsidRPr="007E5ED0" w:rsidRDefault="00D63473" w:rsidP="00D63473">
      <w:pPr>
        <w:pStyle w:val="Caption"/>
      </w:pPr>
      <w:bookmarkStart w:id="245" w:name="_Toc108109228"/>
      <w:r>
        <w:t xml:space="preserve">Figure </w:t>
      </w:r>
      <w:r>
        <w:fldChar w:fldCharType="begin"/>
      </w:r>
      <w:r>
        <w:instrText>SEQ Figure \* ARABIC</w:instrText>
      </w:r>
      <w:r>
        <w:fldChar w:fldCharType="separate"/>
      </w:r>
      <w:r w:rsidR="00CC0438">
        <w:rPr>
          <w:noProof/>
        </w:rPr>
        <w:t>43</w:t>
      </w:r>
      <w:r>
        <w:fldChar w:fldCharType="end"/>
      </w:r>
      <w:r>
        <w:t xml:space="preserve">: Mental </w:t>
      </w:r>
      <w:r w:rsidR="00907291">
        <w:t xml:space="preserve">health </w:t>
      </w:r>
      <w:r>
        <w:t xml:space="preserve">risk status on initial </w:t>
      </w:r>
      <w:r w:rsidR="00307BE8">
        <w:t>OOS</w:t>
      </w:r>
      <w:r>
        <w:t xml:space="preserve"> for all episodes of care during 2019</w:t>
      </w:r>
      <w:r w:rsidR="00B630C2">
        <w:noBreakHyphen/>
      </w:r>
      <w:r>
        <w:t>20</w:t>
      </w:r>
      <w:bookmarkEnd w:id="245"/>
    </w:p>
    <w:p w14:paraId="3D7C3A9A" w14:textId="670E9964" w:rsidR="003F12FF" w:rsidRPr="003F12FF" w:rsidRDefault="003F12FF" w:rsidP="000C48E7">
      <w:r>
        <w:rPr>
          <w:noProof/>
        </w:rPr>
        <w:drawing>
          <wp:inline distT="0" distB="0" distL="0" distR="0" wp14:anchorId="7469DE06" wp14:editId="3DE0BFB2">
            <wp:extent cx="5037455" cy="7916545"/>
            <wp:effectExtent l="0" t="0" r="0" b="8255"/>
            <wp:docPr id="227" name="Picture 227" descr="Figure 43 is a stacked bar chart showing the proportion of headspace users with a specific mental health risk status by hard to reach cohort in 2019-20&#10;For Aboriginal and Torres Strait Islander Young People, 10% presented with a threshold diagnosis of ongoing mental disorder; 7% presented with a threshold diagnosis first episode, 17% presented with subthreshold symptoms; 39% presented with risk factors present; 7% presented with no risk factors, or symptoms of mental health problems; 20% did not have mental health risk status information recorded.&#10;For young people who are not Aboriginal and Torres Strait Islander, 12% presented with a threshold diagnosis of ongoing mental disorder; 8% presented with a threshold diagnosis first episode, 19% presented with subthreshold symptoms; 37% presented with risk factors present; 8% presented with no risk factors, or symptoms of mental health problems; 16% did not have mental health risk status information recorded.&#10;For culturally and linguistically diverse young people, 9% presented with a threshold diagnosis of ongoing mental disorder; 8% presented with a threshold diagnosis first episode, 21% presented with subthreshold symptoms; 38% presented with risk factors present; 8% presented with no risk factors, or symptoms of mental health problems; 16% did not have mental health risk status information recorded.&#10;For young people who are not culturally and linguistically diverse, 11% presented with a threshold diagnosis of ongoing mental disorder; 8% presented with a threshold diagnosis first episode, 19% presented with subthreshold symptoms; 39% presented with risk factors present; 7% presented with no risk factors, or symptoms of mental health problems; 15% did not have mental health risk status information recorded.&#10;For LGBTQIA+ young people, 16% presented with a threshold diagnosis of ongoing mental disorder; 9% presented with a threshold diagnosis first episode, 20% presented with subthreshold symptoms; 34% presented with risk factors present; 5% presented with no risk factors, or symptoms of mental health problems; 17% did not have mental health risk status information recorded.&#10;For young people who are not LGBTQIA+, 10% presented with a threshold diagnosis of ongoing mental disorder; 8% presented with a threshold diagnosis first episode, 20% presented with subthreshold symptoms; 40% presented with risk factors present; 8% presented with no risk factors, or symptoms of mental health problems; 15% did not have mental health risk status information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Figure 43 is a stacked bar chart showing the proportion of headspace users with a specific mental health risk status by hard to reach cohort in 2019-20&#10;For Aboriginal and Torres Strait Islander Young People, 10% presented with a threshold diagnosis of ongoing mental disorder; 7% presented with a threshold diagnosis first episode, 17% presented with subthreshold symptoms; 39% presented with risk factors present; 7% presented with no risk factors, or symptoms of mental health problems; 20% did not have mental health risk status information recorded.&#10;For young people who are not Aboriginal and Torres Strait Islander, 12% presented with a threshold diagnosis of ongoing mental disorder; 8% presented with a threshold diagnosis first episode, 19% presented with subthreshold symptoms; 37% presented with risk factors present; 8% presented with no risk factors, or symptoms of mental health problems; 16% did not have mental health risk status information recorded.&#10;For culturally and linguistically diverse young people, 9% presented with a threshold diagnosis of ongoing mental disorder; 8% presented with a threshold diagnosis first episode, 21% presented with subthreshold symptoms; 38% presented with risk factors present; 8% presented with no risk factors, or symptoms of mental health problems; 16% did not have mental health risk status information recorded.&#10;For young people who are not culturally and linguistically diverse, 11% presented with a threshold diagnosis of ongoing mental disorder; 8% presented with a threshold diagnosis first episode, 19% presented with subthreshold symptoms; 39% presented with risk factors present; 7% presented with no risk factors, or symptoms of mental health problems; 15% did not have mental health risk status information recorded.&#10;For LGBTQIA+ young people, 16% presented with a threshold diagnosis of ongoing mental disorder; 9% presented with a threshold diagnosis first episode, 20% presented with subthreshold symptoms; 34% presented with risk factors present; 5% presented with no risk factors, or symptoms of mental health problems; 17% did not have mental health risk status information recorded.&#10;For young people who are not LGBTQIA+, 10% presented with a threshold diagnosis of ongoing mental disorder; 8% presented with a threshold diagnosis first episode, 20% presented with subthreshold symptoms; 40% presented with risk factors present; 8% presented with no risk factors, or symptoms of mental health problems; 15% did not have mental health risk status information recorded.&#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7455" cy="7916545"/>
                    </a:xfrm>
                    <a:prstGeom prst="rect">
                      <a:avLst/>
                    </a:prstGeom>
                    <a:noFill/>
                    <a:ln>
                      <a:noFill/>
                    </a:ln>
                  </pic:spPr>
                </pic:pic>
              </a:graphicData>
            </a:graphic>
          </wp:inline>
        </w:drawing>
      </w:r>
    </w:p>
    <w:p w14:paraId="73EBE588" w14:textId="4CA34C39" w:rsidR="00D63473" w:rsidRPr="00504515" w:rsidRDefault="00D63473" w:rsidP="000C48E7">
      <w:pPr>
        <w:pStyle w:val="Source"/>
      </w:pPr>
      <w:r w:rsidRPr="00504515">
        <w:t>Source: KPMG master dataset</w:t>
      </w:r>
    </w:p>
    <w:p w14:paraId="3BD18A84" w14:textId="64FE10FF" w:rsidR="00D63473" w:rsidRPr="00504515" w:rsidRDefault="00D63473" w:rsidP="00D63473">
      <w:pPr>
        <w:pStyle w:val="Source"/>
      </w:pPr>
      <w:r w:rsidRPr="00504515">
        <w:t xml:space="preserve">Notes: See </w:t>
      </w:r>
      <w:r w:rsidR="00C630C2">
        <w:fldChar w:fldCharType="begin" w:fldLock="1"/>
      </w:r>
      <w:r w:rsidR="00C630C2">
        <w:instrText xml:space="preserve"> REF _Ref98402466 \r \h </w:instrText>
      </w:r>
      <w:r w:rsidR="00C630C2">
        <w:fldChar w:fldCharType="separate"/>
      </w:r>
      <w:r w:rsidR="00AE4D34">
        <w:t>Appendix F</w:t>
      </w:r>
      <w:r w:rsidR="00C630C2">
        <w:fldChar w:fldCharType="end"/>
      </w:r>
      <w:r>
        <w:t xml:space="preserve"> </w:t>
      </w:r>
      <w:r w:rsidRPr="00504515">
        <w:t>for a description o</w:t>
      </w:r>
      <w:r w:rsidR="009C7592">
        <w:t>f</w:t>
      </w:r>
      <w:r w:rsidRPr="00504515">
        <w:t xml:space="preserve"> how the master dataset </w:t>
      </w:r>
      <w:r w:rsidR="00365FEF">
        <w:t>was</w:t>
      </w:r>
      <w:r w:rsidRPr="00504515">
        <w:t xml:space="preserve"> derived. </w:t>
      </w:r>
      <w:r w:rsidR="00B23564">
        <w:t>T</w:t>
      </w:r>
      <w:r w:rsidRPr="00504515">
        <w:t>he initial occasion of service recorded</w:t>
      </w:r>
      <w:r w:rsidR="00B23564">
        <w:t xml:space="preserve"> was examined</w:t>
      </w:r>
      <w:r w:rsidRPr="00504515">
        <w:t xml:space="preserve"> in the main extract during 2019-20. The sample consists of 73,712 </w:t>
      </w:r>
      <w:r w:rsidR="007B2863">
        <w:t>OOS</w:t>
      </w:r>
      <w:r w:rsidRPr="00504515">
        <w:t>.</w:t>
      </w:r>
    </w:p>
    <w:p w14:paraId="70BBCA62" w14:textId="6CA348B3" w:rsidR="00D63473" w:rsidRPr="00DB21AB" w:rsidRDefault="00D63473" w:rsidP="00D63473">
      <w:pPr>
        <w:pStyle w:val="BodyText"/>
        <w:rPr>
          <w:highlight w:val="yellow"/>
        </w:rPr>
      </w:pPr>
      <w:r>
        <w:t xml:space="preserve">Using stage of illness data collected by service providers to observe the extent of progression of a disorder at a particular point in time, </w:t>
      </w:r>
      <w:r w:rsidRPr="00055D21">
        <w:t>overall</w:t>
      </w:r>
      <w:r>
        <w:t>,</w:t>
      </w:r>
      <w:r w:rsidRPr="00055D21">
        <w:t xml:space="preserve"> there is little variation between </w:t>
      </w:r>
      <w:r w:rsidR="001334E3">
        <w:t>‘hard to reach’ groups</w:t>
      </w:r>
      <w:r w:rsidRPr="00055D21">
        <w:t xml:space="preserve"> and those who are from the </w:t>
      </w:r>
      <w:r>
        <w:t>general population.</w:t>
      </w:r>
      <w:r w:rsidRPr="00055D21">
        <w:t xml:space="preserve"> Aboriginal and Torres Strait Islander young people are</w:t>
      </w:r>
      <w:r>
        <w:t>, however,</w:t>
      </w:r>
      <w:r w:rsidRPr="00055D21">
        <w:t xml:space="preserve"> significantly less likely to </w:t>
      </w:r>
      <w:r>
        <w:t>be</w:t>
      </w:r>
      <w:r w:rsidRPr="00055D21">
        <w:t xml:space="preserve"> present</w:t>
      </w:r>
      <w:r>
        <w:t>ing</w:t>
      </w:r>
      <w:r w:rsidRPr="00055D21">
        <w:t xml:space="preserve"> in early stages of a disorder than </w:t>
      </w:r>
      <w:r w:rsidR="00C21861" w:rsidRPr="00130D66">
        <w:t xml:space="preserve">young people who do not identify as </w:t>
      </w:r>
      <w:r w:rsidRPr="00420340">
        <w:t xml:space="preserve">Aboriginal </w:t>
      </w:r>
      <w:r w:rsidR="00C21861">
        <w:t>or Torres Strait Islander</w:t>
      </w:r>
      <w:r>
        <w:t xml:space="preserve"> with ‘mild to moderate general symptoms of mental health problems and/or high risk </w:t>
      </w:r>
      <w:r w:rsidR="004C50C0">
        <w:t>psychosocial</w:t>
      </w:r>
      <w:r>
        <w:t xml:space="preserve"> stressors’ (e.g</w:t>
      </w:r>
      <w:r w:rsidR="007E76A0">
        <w:t>.,</w:t>
      </w:r>
      <w:r>
        <w:t xml:space="preserve"> bullying or relationship problems), meeting the definition of ‘early help seeking’.</w:t>
      </w:r>
    </w:p>
    <w:p w14:paraId="6F500909" w14:textId="59AB1959" w:rsidR="00D63473" w:rsidRPr="00B5073B" w:rsidRDefault="00D63473" w:rsidP="00D63473">
      <w:pPr>
        <w:pStyle w:val="Caption"/>
      </w:pPr>
      <w:bookmarkStart w:id="246" w:name="_Toc108109229"/>
      <w:r>
        <w:t xml:space="preserve">Figure </w:t>
      </w:r>
      <w:r>
        <w:fldChar w:fldCharType="begin"/>
      </w:r>
      <w:r>
        <w:instrText>SEQ Figure \* ARABIC</w:instrText>
      </w:r>
      <w:r>
        <w:fldChar w:fldCharType="separate"/>
      </w:r>
      <w:r w:rsidR="00CC0438">
        <w:rPr>
          <w:noProof/>
        </w:rPr>
        <w:t>44</w:t>
      </w:r>
      <w:r>
        <w:fldChar w:fldCharType="end"/>
      </w:r>
      <w:r>
        <w:t>: Stage of illness during</w:t>
      </w:r>
      <w:r w:rsidRPr="00846347">
        <w:t xml:space="preserve"> initial </w:t>
      </w:r>
      <w:r w:rsidR="008A2446">
        <w:t>OOS</w:t>
      </w:r>
      <w:r w:rsidRPr="00846347">
        <w:t xml:space="preserve"> for all episodes of care </w:t>
      </w:r>
      <w:r>
        <w:t xml:space="preserve">during </w:t>
      </w:r>
      <w:r w:rsidRPr="00846347">
        <w:t>2019</w:t>
      </w:r>
      <w:r>
        <w:t>-</w:t>
      </w:r>
      <w:r w:rsidRPr="00846347">
        <w:t>20</w:t>
      </w:r>
      <w:bookmarkEnd w:id="246"/>
    </w:p>
    <w:p w14:paraId="62F099C6" w14:textId="6F6BAEEC" w:rsidR="00502DF2" w:rsidRPr="00502DF2" w:rsidRDefault="00046287" w:rsidP="000A3FCE">
      <w:r>
        <w:rPr>
          <w:noProof/>
        </w:rPr>
        <w:drawing>
          <wp:inline distT="0" distB="0" distL="0" distR="0" wp14:anchorId="4E0D0C9B" wp14:editId="0F74C391">
            <wp:extent cx="5036820" cy="7559040"/>
            <wp:effectExtent l="0" t="0" r="0" b="3810"/>
            <wp:docPr id="152" name="Picture 152" descr="Figure 44 is a stacked bar chart demonstrating the proportion of young people in hard-to-reach groups presenting with stages of illness during their initial occasion of service in 2019-20&#10;For Aboriginal and Torres Strait Islander young people, 4% had no symptoms of mental disorder; 35% had mild to moderate general symptoms; 19% had a subthreshold diagnosis; 14% had a threshold diagnosis; 2% had periods of remission; 5% had ongoing severe symptoms; 7% were unable to be assessed; and 14% did not have a stage of illness recorded.&#10;For young people who are not Aboriginal and Torres Strait Islander, 5% had no symptoms of mental disorder; 37% had mild to moderate general symptoms; 20% had a subthreshold diagnosis; 16% had a threshold diagnosis; 2% had periods of remission; 4% had ongoing severe symptoms; 6% were unable to be assessed; and 9% did not have a stage of illness recorded.&#10;For culturally and linguistically diverse young people, 5% had no symptoms of mental disorder; 38% had mild to moderate general symptoms; 21% had a subthreshold diagnosis; 15% had a threshold diagnosis; 2% had periods of remission; 3% had ongoing severe symptoms; 5% were unable to be assessed; and 11% did not have a stage of illness recorded.&#10;For young people who are not culturally and linguistically diverse, 4% had no symptoms of mental disorder; 37% had mild to moderate general symptoms; 20% had a subthreshold diagnosis; 16% had a threshold diagnosis; 2% had periods of remission; 5% had ongoing severe symptoms; 6% were unable to be assessed; and 9% did not have a stage of illness recorded.&#10;For LGBTQIA+ young people, 2% had no symptoms of mental disorder; 31% had mild to moderate general symptoms; 21% had a subthreshold diagnosis; 20% had a threshold diagnosis; 3% had periods of remission; 6% had ongoing severe symptoms; 6% were unable to be assessed; and 11% did not have a stage of illness recorded.&#10;For young people who are not LGBTQIA+, 5% had no symptoms of mental disorder; 39% had mild to moderate general symptoms; 20% had a subthreshold diagnosis; 15% had a threshold diagnosis; 2% had periods of remission; 4% had ongoing severe symptoms; 6% were unable to be assessed; and 8% did not have a stage of illness record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Figure 44 is a stacked bar chart demonstrating the proportion of young people in hard-to-reach groups presenting with stages of illness during their initial occasion of service in 2019-20&#10;For Aboriginal and Torres Strait Islander young people, 4% had no symptoms of mental disorder; 35% had mild to moderate general symptoms; 19% had a subthreshold diagnosis; 14% had a threshold diagnosis; 2% had periods of remission; 5% had ongoing severe symptoms; 7% were unable to be assessed; and 14% did not have a stage of illness recorded.&#10;For young people who are not Aboriginal and Torres Strait Islander, 5% had no symptoms of mental disorder; 37% had mild to moderate general symptoms; 20% had a subthreshold diagnosis; 16% had a threshold diagnosis; 2% had periods of remission; 4% had ongoing severe symptoms; 6% were unable to be assessed; and 9% did not have a stage of illness recorded.&#10;For culturally and linguistically diverse young people, 5% had no symptoms of mental disorder; 38% had mild to moderate general symptoms; 21% had a subthreshold diagnosis; 15% had a threshold diagnosis; 2% had periods of remission; 3% had ongoing severe symptoms; 5% were unable to be assessed; and 11% did not have a stage of illness recorded.&#10;For young people who are not culturally and linguistically diverse, 4% had no symptoms of mental disorder; 37% had mild to moderate general symptoms; 20% had a subthreshold diagnosis; 16% had a threshold diagnosis; 2% had periods of remission; 5% had ongoing severe symptoms; 6% were unable to be assessed; and 9% did not have a stage of illness recorded.&#10;For LGBTQIA+ young people, 2% had no symptoms of mental disorder; 31% had mild to moderate general symptoms; 21% had a subthreshold diagnosis; 20% had a threshold diagnosis; 3% had periods of remission; 6% had ongoing severe symptoms; 6% were unable to be assessed; and 11% did not have a stage of illness recorded.&#10;For young people who are not LGBTQIA+, 5% had no symptoms of mental disorder; 39% had mild to moderate general symptoms; 20% had a subthreshold diagnosis; 15% had a threshold diagnosis; 2% had periods of remission; 4% had ongoing severe symptoms; 6% were unable to be assessed; and 8% did not have a stage of illness recorded.&#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36820" cy="7559040"/>
                    </a:xfrm>
                    <a:prstGeom prst="rect">
                      <a:avLst/>
                    </a:prstGeom>
                    <a:noFill/>
                    <a:ln>
                      <a:noFill/>
                    </a:ln>
                  </pic:spPr>
                </pic:pic>
              </a:graphicData>
            </a:graphic>
          </wp:inline>
        </w:drawing>
      </w:r>
    </w:p>
    <w:p w14:paraId="4160F83A" w14:textId="77777777" w:rsidR="00D63473" w:rsidRPr="003E2165" w:rsidRDefault="00D63473" w:rsidP="00D63473">
      <w:pPr>
        <w:pStyle w:val="Source"/>
      </w:pPr>
      <w:r w:rsidRPr="003E2165">
        <w:t>Source: KPMG master dataset</w:t>
      </w:r>
    </w:p>
    <w:p w14:paraId="401F90A1" w14:textId="6516614C" w:rsidR="00D63473" w:rsidRPr="00767190" w:rsidRDefault="00D63473" w:rsidP="00D63473">
      <w:pPr>
        <w:pStyle w:val="Source"/>
      </w:pPr>
      <w:r w:rsidRPr="003E2165">
        <w:t xml:space="preserve">Notes: See </w:t>
      </w:r>
      <w:r w:rsidR="00F178E2">
        <w:fldChar w:fldCharType="begin" w:fldLock="1"/>
      </w:r>
      <w:r w:rsidR="00F178E2">
        <w:instrText xml:space="preserve"> REF _Ref98402466 \r \h </w:instrText>
      </w:r>
      <w:r w:rsidR="00F178E2">
        <w:fldChar w:fldCharType="separate"/>
      </w:r>
      <w:r w:rsidR="00AE4D34">
        <w:t>Appendix F</w:t>
      </w:r>
      <w:r w:rsidR="00F178E2">
        <w:fldChar w:fldCharType="end"/>
      </w:r>
      <w:r>
        <w:t xml:space="preserve"> </w:t>
      </w:r>
      <w:r w:rsidRPr="003E2165">
        <w:t>for a description o</w:t>
      </w:r>
      <w:r w:rsidR="009C7592">
        <w:t>f</w:t>
      </w:r>
      <w:r w:rsidRPr="003E2165">
        <w:t xml:space="preserve"> how the master dataset </w:t>
      </w:r>
      <w:r w:rsidR="00E255A0">
        <w:t>wa</w:t>
      </w:r>
      <w:r w:rsidRPr="003E2165">
        <w:t xml:space="preserve">s derived. </w:t>
      </w:r>
      <w:r w:rsidR="004E45B1">
        <w:t>T</w:t>
      </w:r>
      <w:r w:rsidRPr="003E2165">
        <w:t>he initial occasion of service recorded in the main extract during 2019-20</w:t>
      </w:r>
      <w:r w:rsidR="004E45B1">
        <w:t xml:space="preserve"> was examined</w:t>
      </w:r>
      <w:r w:rsidRPr="003E2165">
        <w:t xml:space="preserve">. The sample consists of 73,712 </w:t>
      </w:r>
      <w:r w:rsidR="008A2446">
        <w:t>OOS</w:t>
      </w:r>
      <w:r w:rsidRPr="003E2165">
        <w:t xml:space="preserve"> for 2019-20</w:t>
      </w:r>
      <w:r>
        <w:t>.</w:t>
      </w:r>
      <w:r w:rsidR="009B66B1">
        <w:t xml:space="preserve"> Data labels are not included for categories with less than </w:t>
      </w:r>
      <w:r w:rsidR="008079F1">
        <w:t>0.</w:t>
      </w:r>
      <w:r w:rsidR="009B66B1">
        <w:t>5</w:t>
      </w:r>
      <w:r w:rsidR="00CB18D7">
        <w:t xml:space="preserve"> per cent</w:t>
      </w:r>
      <w:r w:rsidR="009B66B1">
        <w:t xml:space="preserve"> for clarity purposes.</w:t>
      </w:r>
    </w:p>
    <w:p w14:paraId="15FC35E0" w14:textId="77777777" w:rsidR="00D63473" w:rsidRDefault="00D63473" w:rsidP="00D63473">
      <w:pPr>
        <w:pStyle w:val="Heading5"/>
      </w:pPr>
      <w:r>
        <w:t>Perspectives of young people who use headspace</w:t>
      </w:r>
    </w:p>
    <w:p w14:paraId="07AB8D7F" w14:textId="1992067F" w:rsidR="00D63473" w:rsidRPr="007927C7" w:rsidRDefault="00D63473" w:rsidP="00D63473">
      <w:pPr>
        <w:pStyle w:val="BodyText"/>
      </w:pPr>
      <w:r w:rsidRPr="007927C7">
        <w:t xml:space="preserve">Some of the interviewed headspace users were in </w:t>
      </w:r>
      <w:r w:rsidR="00BD29DF">
        <w:t>‘</w:t>
      </w:r>
      <w:r w:rsidRPr="007927C7">
        <w:t xml:space="preserve">hard to </w:t>
      </w:r>
      <w:r w:rsidR="00BD29DF">
        <w:t>reach’</w:t>
      </w:r>
      <w:r w:rsidRPr="007927C7">
        <w:t xml:space="preserve"> groups (</w:t>
      </w:r>
      <w:r>
        <w:t>culturally and linguistically diverse</w:t>
      </w:r>
      <w:r w:rsidR="00E83164">
        <w:t xml:space="preserve"> young people</w:t>
      </w:r>
      <w:r w:rsidRPr="007927C7">
        <w:t xml:space="preserve">, </w:t>
      </w:r>
      <w:r w:rsidR="00C834E1">
        <w:t>young people who identify as</w:t>
      </w:r>
      <w:r w:rsidR="001A7BE3">
        <w:t xml:space="preserve"> </w:t>
      </w:r>
      <w:r w:rsidRPr="007927C7">
        <w:t>LGBTQIA+</w:t>
      </w:r>
      <w:r w:rsidR="00E83164">
        <w:t xml:space="preserve"> </w:t>
      </w:r>
      <w:r w:rsidRPr="007927C7">
        <w:t xml:space="preserve">, </w:t>
      </w:r>
      <w:r w:rsidR="00E83164">
        <w:t>young people</w:t>
      </w:r>
      <w:r w:rsidRPr="007927C7">
        <w:t xml:space="preserve"> with disability, Aboriginal and Torres Strait Islander</w:t>
      </w:r>
      <w:r w:rsidR="00E83164">
        <w:t xml:space="preserve"> young people</w:t>
      </w:r>
      <w:r w:rsidR="00C93177">
        <w:t>). Observations from those from</w:t>
      </w:r>
      <w:r w:rsidRPr="007927C7">
        <w:t xml:space="preserve"> regional and remote</w:t>
      </w:r>
      <w:r w:rsidR="00C93177">
        <w:t xml:space="preserve"> areas, who also experience service access barriers, have also been included</w:t>
      </w:r>
      <w:r>
        <w:t>. headspace</w:t>
      </w:r>
      <w:r w:rsidRPr="007927C7">
        <w:t xml:space="preserve"> users</w:t>
      </w:r>
      <w:r>
        <w:t xml:space="preserve"> from these groups</w:t>
      </w:r>
      <w:r w:rsidRPr="007927C7">
        <w:t xml:space="preserve"> discussed that it may have taken them a while to decide to seek help, and pointed to other young p</w:t>
      </w:r>
      <w:r>
        <w:t>e</w:t>
      </w:r>
      <w:r w:rsidRPr="007927C7">
        <w:t xml:space="preserve">ople who were </w:t>
      </w:r>
      <w:r w:rsidR="00BD29DF">
        <w:t>‘</w:t>
      </w:r>
      <w:r w:rsidRPr="007927C7">
        <w:t xml:space="preserve">hard to </w:t>
      </w:r>
      <w:r w:rsidR="00BD29DF">
        <w:t>reach’</w:t>
      </w:r>
      <w:r w:rsidRPr="007927C7">
        <w:t xml:space="preserve"> and resistant to seeking help:</w:t>
      </w:r>
    </w:p>
    <w:p w14:paraId="5B6000AD" w14:textId="77777777" w:rsidR="00D63473" w:rsidRPr="007927C7" w:rsidRDefault="00D63473" w:rsidP="00D63473">
      <w:pPr>
        <w:pStyle w:val="Quote"/>
        <w:rPr>
          <w:i w:val="0"/>
          <w:iCs w:val="0"/>
          <w:color w:val="000000" w:themeColor="text1"/>
        </w:rPr>
      </w:pPr>
      <w:r>
        <w:rPr>
          <w:lang w:val="en-US"/>
        </w:rPr>
        <w:t>“</w:t>
      </w:r>
      <w:r w:rsidRPr="007927C7">
        <w:rPr>
          <w:color w:val="000000" w:themeColor="text1"/>
          <w:lang w:val="en-US"/>
        </w:rPr>
        <w:t>I feel like people that, I guess don't have enough courage or don't have family members to help them reach out.</w:t>
      </w:r>
      <w:r>
        <w:rPr>
          <w:color w:val="000000" w:themeColor="text1"/>
          <w:lang w:val="en-US"/>
        </w:rPr>
        <w:t xml:space="preserve"> </w:t>
      </w:r>
      <w:r w:rsidRPr="007927C7">
        <w:rPr>
          <w:color w:val="000000" w:themeColor="text1"/>
          <w:lang w:val="en-US"/>
        </w:rPr>
        <w:t>They're not going to really come across it and then, yeah, they're going to struggle.</w:t>
      </w:r>
      <w:r>
        <w:rPr>
          <w:color w:val="000000" w:themeColor="text1"/>
          <w:lang w:val="en-US"/>
        </w:rPr>
        <w:t xml:space="preserve"> </w:t>
      </w:r>
      <w:r w:rsidRPr="007927C7">
        <w:rPr>
          <w:color w:val="000000" w:themeColor="text1"/>
          <w:lang w:val="en-US"/>
        </w:rPr>
        <w:t>So I feel like they definitely would be a couple of people that are missing out on the services and what it has to offer as well.</w:t>
      </w:r>
      <w:r>
        <w:rPr>
          <w:color w:val="000000" w:themeColor="text1"/>
          <w:lang w:val="en-US"/>
        </w:rPr>
        <w:t>”</w:t>
      </w:r>
    </w:p>
    <w:p w14:paraId="0D06C7E4" w14:textId="77777777" w:rsidR="00D63473" w:rsidRPr="007927C7" w:rsidRDefault="00D63473" w:rsidP="00D63473">
      <w:pPr>
        <w:pStyle w:val="BodyText"/>
      </w:pPr>
      <w:r w:rsidRPr="007927C7">
        <w:t xml:space="preserve">Young people cited the importance of outreach in public spaces and schools as one way of engaging with harder to reach people, as well as making sure that people know it is a free service: </w:t>
      </w:r>
    </w:p>
    <w:p w14:paraId="582F1D8A" w14:textId="77777777" w:rsidR="00D63473" w:rsidRPr="007927C7" w:rsidRDefault="00D63473" w:rsidP="00D63473">
      <w:pPr>
        <w:pStyle w:val="Quote"/>
        <w:rPr>
          <w:i w:val="0"/>
          <w:iCs w:val="0"/>
          <w:color w:val="000000" w:themeColor="text1"/>
        </w:rPr>
      </w:pPr>
      <w:r>
        <w:rPr>
          <w:lang w:val="en-US"/>
        </w:rPr>
        <w:t>“</w:t>
      </w:r>
      <w:r w:rsidRPr="007927C7">
        <w:rPr>
          <w:color w:val="000000" w:themeColor="text1"/>
          <w:lang w:val="en-US"/>
        </w:rPr>
        <w:t>because I know a lot of people think, "all this counselling and all that, must cost a fortune."</w:t>
      </w:r>
      <w:r>
        <w:rPr>
          <w:color w:val="000000" w:themeColor="text1"/>
          <w:lang w:val="en-US"/>
        </w:rPr>
        <w:t xml:space="preserve"> </w:t>
      </w:r>
      <w:r w:rsidRPr="007927C7">
        <w:rPr>
          <w:color w:val="000000" w:themeColor="text1"/>
          <w:lang w:val="en-US"/>
        </w:rPr>
        <w:t>It didn’t cost me a cent.</w:t>
      </w:r>
      <w:r>
        <w:rPr>
          <w:color w:val="000000" w:themeColor="text1"/>
          <w:lang w:val="en-US"/>
        </w:rPr>
        <w:t>”</w:t>
      </w:r>
    </w:p>
    <w:p w14:paraId="228D1B50" w14:textId="124FD9FC" w:rsidR="00D63473" w:rsidRPr="006127F9" w:rsidRDefault="00D63473" w:rsidP="003006A8">
      <w:pPr>
        <w:pStyle w:val="BodyText"/>
      </w:pPr>
      <w:r w:rsidRPr="006127F9">
        <w:t>One young person commented that outreach programs, where headspace staff visited young people in their homes</w:t>
      </w:r>
      <w:r>
        <w:t>,</w:t>
      </w:r>
      <w:r w:rsidRPr="006127F9">
        <w:t xml:space="preserve"> helped to support early help seeking from </w:t>
      </w:r>
      <w:r w:rsidR="00BD29DF">
        <w:t>‘</w:t>
      </w:r>
      <w:r w:rsidRPr="006127F9">
        <w:t xml:space="preserve">hard to </w:t>
      </w:r>
      <w:r w:rsidR="00BD29DF">
        <w:t>reach’</w:t>
      </w:r>
      <w:r w:rsidRPr="006127F9">
        <w:t xml:space="preserve"> groups</w:t>
      </w:r>
      <w:r>
        <w:t>:</w:t>
      </w:r>
    </w:p>
    <w:p w14:paraId="1A5DA049" w14:textId="77777777" w:rsidR="00D63473" w:rsidRPr="00FF3730" w:rsidRDefault="00D63473" w:rsidP="00D63473">
      <w:pPr>
        <w:pStyle w:val="Quote"/>
      </w:pPr>
      <w:r>
        <w:t>“</w:t>
      </w:r>
      <w:r w:rsidRPr="00521D25">
        <w:t xml:space="preserve">And that’s where their kind of outreach comes in as well so that they’re going on to those young people as kind of a safe space that will come to their homes instead of bringing an </w:t>
      </w:r>
      <w:r w:rsidRPr="00B215D6">
        <w:t>I</w:t>
      </w:r>
      <w:r w:rsidRPr="00FF3730">
        <w:t>ndigenous young person who’s lived on a community their entire life, they’re not going to enjoy being in four walls in a sterile environment</w:t>
      </w:r>
      <w:r w:rsidRPr="0047313A">
        <w:t>.</w:t>
      </w:r>
      <w:r>
        <w:t>”</w:t>
      </w:r>
    </w:p>
    <w:p w14:paraId="14DACA4B" w14:textId="4CD8F8EC" w:rsidR="00D63473" w:rsidRPr="007927C7" w:rsidRDefault="00D63473" w:rsidP="00D63473">
      <w:pPr>
        <w:pStyle w:val="BodyText"/>
      </w:pPr>
      <w:r w:rsidRPr="007927C7">
        <w:t xml:space="preserve">Family attitudes that downplayed distress due to mental health issues were cited as preventing young people from seeking help, </w:t>
      </w:r>
      <w:r>
        <w:t>therefore</w:t>
      </w:r>
      <w:r w:rsidRPr="007927C7">
        <w:t xml:space="preserve"> </w:t>
      </w:r>
      <w:r w:rsidR="00A26EBB">
        <w:t>young people</w:t>
      </w:r>
      <w:r w:rsidRPr="007927C7">
        <w:t xml:space="preserve"> from </w:t>
      </w:r>
      <w:r>
        <w:t>culturally and linguistically diverse</w:t>
      </w:r>
      <w:r w:rsidRPr="007927C7">
        <w:t xml:space="preserve"> backgrounds in particular thought headspace could educate families to reduce stigma.</w:t>
      </w:r>
    </w:p>
    <w:p w14:paraId="288F5472" w14:textId="304C5733" w:rsidR="00D63473" w:rsidRPr="00F31EDA" w:rsidRDefault="00D63473" w:rsidP="00D63473">
      <w:pPr>
        <w:pStyle w:val="BodyText"/>
        <w:rPr>
          <w:shd w:val="clear" w:color="auto" w:fill="FFFFFF"/>
        </w:rPr>
      </w:pPr>
      <w:r>
        <w:rPr>
          <w:shd w:val="clear" w:color="auto" w:fill="FFFFFF"/>
        </w:rPr>
        <w:t>Y</w:t>
      </w:r>
      <w:r w:rsidRPr="00F31EDA">
        <w:rPr>
          <w:shd w:val="clear" w:color="auto" w:fill="FFFFFF"/>
        </w:rPr>
        <w:t>oung people in the reference group</w:t>
      </w:r>
      <w:r>
        <w:rPr>
          <w:shd w:val="clear" w:color="auto" w:fill="FFFFFF"/>
        </w:rPr>
        <w:t>s</w:t>
      </w:r>
      <w:r w:rsidRPr="00F31EDA">
        <w:rPr>
          <w:shd w:val="clear" w:color="auto" w:fill="FFFFFF"/>
        </w:rPr>
        <w:t xml:space="preserve"> reported that headspace successfully engaged with </w:t>
      </w:r>
      <w:r>
        <w:rPr>
          <w:shd w:val="clear" w:color="auto" w:fill="FFFFFF"/>
        </w:rPr>
        <w:t xml:space="preserve">the </w:t>
      </w:r>
      <w:r w:rsidR="001E4002">
        <w:rPr>
          <w:shd w:val="clear" w:color="auto" w:fill="FFFFFF"/>
        </w:rPr>
        <w:t>young people in the LGBTQIA</w:t>
      </w:r>
      <w:r>
        <w:rPr>
          <w:shd w:val="clear" w:color="auto" w:fill="FFFFFF"/>
        </w:rPr>
        <w:t>+</w:t>
      </w:r>
      <w:r w:rsidR="00DC4FE5">
        <w:rPr>
          <w:shd w:val="clear" w:color="auto" w:fill="FFFFFF"/>
        </w:rPr>
        <w:t xml:space="preserve"> </w:t>
      </w:r>
      <w:r w:rsidRPr="00BF01E4">
        <w:rPr>
          <w:shd w:val="clear" w:color="auto" w:fill="FFFFFF"/>
        </w:rPr>
        <w:t>community</w:t>
      </w:r>
      <w:r>
        <w:rPr>
          <w:shd w:val="clear" w:color="auto" w:fill="FFFFFF"/>
        </w:rPr>
        <w:t>. The specific groups run by headspace meant that they could meet with and connect other young people in a space where they felt comfortable and treated with respect:</w:t>
      </w:r>
    </w:p>
    <w:p w14:paraId="1DA771E8" w14:textId="77777777" w:rsidR="00D63473" w:rsidRDefault="00D63473" w:rsidP="00D63473">
      <w:pPr>
        <w:pStyle w:val="Quote"/>
      </w:pPr>
      <w:r>
        <w:t>“The first time that I went to the LGBTQ group, first up I was asked what my pronouns were which was something that was really unique and different that I really appreciated. So off the bat you have appropriately addressed someone and I think that was very important.”</w:t>
      </w:r>
    </w:p>
    <w:p w14:paraId="3BC9989D" w14:textId="34639A52" w:rsidR="00D63473" w:rsidRPr="0049759F" w:rsidRDefault="00D63473" w:rsidP="003006A8">
      <w:pPr>
        <w:pStyle w:val="BodyText"/>
        <w:rPr>
          <w:shd w:val="clear" w:color="auto" w:fill="FFFFFF"/>
        </w:rPr>
      </w:pPr>
      <w:r w:rsidRPr="0049759F">
        <w:rPr>
          <w:shd w:val="clear" w:color="auto" w:fill="FFFFFF"/>
        </w:rPr>
        <w:t xml:space="preserve">The young people noted that waiting times could deter </w:t>
      </w:r>
      <w:r w:rsidR="00BD29DF">
        <w:rPr>
          <w:shd w:val="clear" w:color="auto" w:fill="FFFFFF"/>
        </w:rPr>
        <w:t>‘</w:t>
      </w:r>
      <w:r w:rsidRPr="0049759F">
        <w:rPr>
          <w:shd w:val="clear" w:color="auto" w:fill="FFFFFF"/>
        </w:rPr>
        <w:t xml:space="preserve">hard to </w:t>
      </w:r>
      <w:r w:rsidR="00BD29DF">
        <w:rPr>
          <w:shd w:val="clear" w:color="auto" w:fill="FFFFFF"/>
        </w:rPr>
        <w:t>reach’</w:t>
      </w:r>
      <w:r w:rsidRPr="0049759F">
        <w:rPr>
          <w:shd w:val="clear" w:color="auto" w:fill="FFFFFF"/>
        </w:rPr>
        <w:t xml:space="preserve"> clients from accessing help</w:t>
      </w:r>
      <w:r>
        <w:rPr>
          <w:shd w:val="clear" w:color="auto" w:fill="FFFFFF"/>
        </w:rPr>
        <w:t>,</w:t>
      </w:r>
      <w:r w:rsidRPr="0049759F">
        <w:rPr>
          <w:shd w:val="clear" w:color="auto" w:fill="FFFFFF"/>
        </w:rPr>
        <w:t xml:space="preserve"> especially if they had taken the difficult step to ask for help</w:t>
      </w:r>
      <w:r>
        <w:rPr>
          <w:shd w:val="clear" w:color="auto" w:fill="FFFFFF"/>
        </w:rPr>
        <w:t>:</w:t>
      </w:r>
    </w:p>
    <w:p w14:paraId="3FF095E1" w14:textId="77777777" w:rsidR="00D63473" w:rsidRDefault="00D63473" w:rsidP="00D63473">
      <w:pPr>
        <w:pStyle w:val="Quote"/>
      </w:pPr>
      <w:r w:rsidRPr="00F17988">
        <w:t>“Sometimes you can get yourself to a point you need help right now, but if you've got to wait three months you're just not going to be motivated enough and you're probably just going to go downhill even more.”</w:t>
      </w:r>
    </w:p>
    <w:p w14:paraId="5EB9691F" w14:textId="77777777" w:rsidR="00D63473" w:rsidRDefault="00D63473" w:rsidP="00D63473">
      <w:pPr>
        <w:pStyle w:val="Heading5"/>
        <w:rPr>
          <w:shd w:val="clear" w:color="auto" w:fill="FFFFFF"/>
        </w:rPr>
      </w:pPr>
      <w:r>
        <w:rPr>
          <w:shd w:val="clear" w:color="auto" w:fill="FFFFFF"/>
        </w:rPr>
        <w:t>Perspectives of headspace service providers</w:t>
      </w:r>
    </w:p>
    <w:p w14:paraId="0A02AFDE" w14:textId="0EFA37D0" w:rsidR="00D63473" w:rsidRPr="00FB44EF" w:rsidRDefault="00D63473" w:rsidP="000244E4">
      <w:pPr>
        <w:pStyle w:val="BodyText"/>
        <w:rPr>
          <w:shd w:val="clear" w:color="auto" w:fill="FFFFFF"/>
        </w:rPr>
      </w:pPr>
      <w:r w:rsidRPr="00FB44EF">
        <w:rPr>
          <w:shd w:val="clear" w:color="auto" w:fill="FFFFFF"/>
        </w:rPr>
        <w:t xml:space="preserve">Responses from staff at </w:t>
      </w:r>
      <w:r w:rsidR="0050072E">
        <w:rPr>
          <w:shd w:val="clear" w:color="auto" w:fill="FFFFFF"/>
        </w:rPr>
        <w:t>service</w:t>
      </w:r>
      <w:r w:rsidRPr="00FB44EF">
        <w:rPr>
          <w:shd w:val="clear" w:color="auto" w:fill="FFFFFF"/>
        </w:rPr>
        <w:t xml:space="preserve">s and lead agencies indicated that the majority thought the headspace model was less effective in encouraging early help seeking for Aboriginal and Torres Strait Islander young people, </w:t>
      </w:r>
      <w:r>
        <w:rPr>
          <w:shd w:val="clear" w:color="auto" w:fill="FFFFFF"/>
        </w:rPr>
        <w:t>culturally and linguistically diverse</w:t>
      </w:r>
      <w:r w:rsidRPr="00FB44EF">
        <w:rPr>
          <w:shd w:val="clear" w:color="auto" w:fill="FFFFFF"/>
        </w:rPr>
        <w:t xml:space="preserve"> young people and young people with disability. As with mental health literacy, respondents felt that the outcomes were stronger for </w:t>
      </w:r>
      <w:r>
        <w:rPr>
          <w:shd w:val="clear" w:color="auto" w:fill="FFFFFF"/>
        </w:rPr>
        <w:t>LGBTQIA+</w:t>
      </w:r>
      <w:r w:rsidRPr="00FB44EF">
        <w:rPr>
          <w:shd w:val="clear" w:color="auto" w:fill="FFFFFF"/>
        </w:rPr>
        <w:t xml:space="preserve"> young people than for those from </w:t>
      </w:r>
      <w:r>
        <w:rPr>
          <w:shd w:val="clear" w:color="auto" w:fill="FFFFFF"/>
        </w:rPr>
        <w:t xml:space="preserve">the </w:t>
      </w:r>
      <w:r>
        <w:t xml:space="preserve">general population of young people attending headspace. </w:t>
      </w:r>
      <w:r>
        <w:rPr>
          <w:shd w:val="clear" w:color="auto" w:fill="FFFFFF"/>
        </w:rPr>
        <w:t xml:space="preserve">This contrasts with administrative data from the hMDS, however, it indicates that LGBTQIA+ young people are actually less likely to present with low levels of mental health risk factors than the general population of young people attending headspace. </w:t>
      </w:r>
    </w:p>
    <w:p w14:paraId="7B1BF5D1" w14:textId="05F5EB31" w:rsidR="00B630C2" w:rsidRDefault="00D63473" w:rsidP="00B630C2">
      <w:pPr>
        <w:pStyle w:val="Caption"/>
      </w:pPr>
      <w:bookmarkStart w:id="247" w:name="_Toc108109230"/>
      <w:r>
        <w:t xml:space="preserve">Figure </w:t>
      </w:r>
      <w:r>
        <w:fldChar w:fldCharType="begin"/>
      </w:r>
      <w:r>
        <w:instrText>SEQ Figure \* ARABIC</w:instrText>
      </w:r>
      <w:r>
        <w:fldChar w:fldCharType="separate"/>
      </w:r>
      <w:r w:rsidR="00CC0438">
        <w:rPr>
          <w:noProof/>
        </w:rPr>
        <w:t>45</w:t>
      </w:r>
      <w:r>
        <w:fldChar w:fldCharType="end"/>
      </w:r>
      <w:r>
        <w:t xml:space="preserve">: Responses from </w:t>
      </w:r>
      <w:r w:rsidDel="00196763">
        <w:t>lead agency</w:t>
      </w:r>
      <w:r w:rsidR="00196763">
        <w:t xml:space="preserve"> and headspace services</w:t>
      </w:r>
      <w:r w:rsidDel="00196763">
        <w:t xml:space="preserve"> </w:t>
      </w:r>
      <w:r w:rsidR="00196763">
        <w:t>s</w:t>
      </w:r>
      <w:r>
        <w:t>urvey</w:t>
      </w:r>
      <w:r w:rsidR="002723D6">
        <w:t xml:space="preserve"> to</w:t>
      </w:r>
      <w:r>
        <w:t xml:space="preserve"> </w:t>
      </w:r>
      <w:r w:rsidR="002723D6">
        <w:t>‘</w:t>
      </w:r>
      <w:r>
        <w:t>how well does your centre provide services that support early help seeking for young people from priority cohorts?</w:t>
      </w:r>
      <w:r w:rsidR="002723D6">
        <w:t>’</w:t>
      </w:r>
      <w:bookmarkEnd w:id="247"/>
    </w:p>
    <w:p w14:paraId="351F23B7" w14:textId="619A11F5" w:rsidR="00BB32FD" w:rsidRPr="00BB32FD" w:rsidRDefault="00BB32FD" w:rsidP="000C48E7">
      <w:r>
        <w:rPr>
          <w:noProof/>
        </w:rPr>
        <w:drawing>
          <wp:inline distT="0" distB="0" distL="0" distR="0" wp14:anchorId="6EB7A9AC" wp14:editId="653C07A8">
            <wp:extent cx="5037455" cy="3234055"/>
            <wp:effectExtent l="0" t="0" r="0" b="4445"/>
            <wp:docPr id="82" name="Picture 82" descr="Figure 45 summarises average responses from the lead agency and headspace service survey respondents about how well their service supports early help seeking for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41. For LGBTQIA+ young people, the average score was 55. For culturally and linguistically diverse young people, the average score was 37. For Aboriginal and Torres Strait Islander young people, the average score wa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45 summarises average responses from the lead agency and headspace service survey respondents about how well their service supports early help seeking for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41. For LGBTQIA+ young people, the average score was 55. For culturally and linguistically diverse young people, the average score was 37. For Aboriginal and Torres Strait Islander young people, the average score was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17A9EFF2" w14:textId="356DE0B5" w:rsidR="00D63473" w:rsidRPr="005607C2" w:rsidRDefault="00D63473" w:rsidP="000C48E7">
      <w:pPr>
        <w:pStyle w:val="Source"/>
      </w:pPr>
      <w:r w:rsidRPr="005607C2">
        <w:t>Source:</w:t>
      </w:r>
      <w:r>
        <w:t xml:space="preserve"> KPMG analysis of headspace service and lead agency survey</w:t>
      </w:r>
    </w:p>
    <w:p w14:paraId="6D66D2DB" w14:textId="4B63B1C9" w:rsidR="00D63473" w:rsidRPr="005607C2" w:rsidRDefault="00D63473" w:rsidP="00D63473">
      <w:pPr>
        <w:pStyle w:val="Source"/>
        <w:rPr>
          <w:szCs w:val="16"/>
        </w:rPr>
      </w:pPr>
      <w:r w:rsidRPr="005607C2">
        <w:t>Notes:</w:t>
      </w:r>
      <w:r>
        <w:rPr>
          <w:szCs w:val="16"/>
        </w:rPr>
        <w:t xml:space="preserve"> A total of 60 responses were received for this question</w:t>
      </w:r>
      <w:r w:rsidR="00CB18D7">
        <w:rPr>
          <w:szCs w:val="16"/>
        </w:rPr>
        <w:t>.</w:t>
      </w:r>
    </w:p>
    <w:p w14:paraId="1CB40163" w14:textId="3BAFBD94" w:rsidR="00D63473" w:rsidRDefault="00D63473" w:rsidP="00D63473">
      <w:pPr>
        <w:pStyle w:val="Heading5"/>
      </w:pPr>
      <w:r w:rsidRPr="00245BED">
        <w:rPr>
          <w:color w:val="005EB8" w:themeColor="accent1"/>
        </w:rPr>
        <w:t>Effectiv</w:t>
      </w:r>
      <w:r>
        <w:t xml:space="preserve">eness of headspace in increasing early help seeking for </w:t>
      </w:r>
      <w:r w:rsidR="00BD29DF">
        <w:t>‘</w:t>
      </w:r>
      <w:r>
        <w:t xml:space="preserve">hard to </w:t>
      </w:r>
      <w:r w:rsidR="00BD29DF">
        <w:t>reach’</w:t>
      </w:r>
      <w:r>
        <w:t xml:space="preserve"> groups</w:t>
      </w:r>
    </w:p>
    <w:p w14:paraId="40A6071C" w14:textId="541115B8" w:rsidR="00D63473" w:rsidRDefault="00D63473" w:rsidP="00D63473">
      <w:pPr>
        <w:pStyle w:val="BodyText"/>
        <w:rPr>
          <w:rFonts w:eastAsia="Times New Roman" w:cs="Calibri"/>
          <w:szCs w:val="20"/>
          <w:lang w:eastAsia="en-AU"/>
        </w:rPr>
      </w:pPr>
      <w:r>
        <w:rPr>
          <w:rFonts w:eastAsia="Times New Roman" w:cs="Calibri"/>
          <w:szCs w:val="20"/>
          <w:lang w:eastAsia="en-AU"/>
        </w:rPr>
        <w:t xml:space="preserve">The data regarding early help seeking for different cohorts of young people indicates that there are some variations between groups on different indicators. </w:t>
      </w:r>
      <w:r w:rsidRPr="005713FE">
        <w:rPr>
          <w:rFonts w:eastAsia="Times New Roman" w:cs="Calibri"/>
          <w:szCs w:val="20"/>
          <w:lang w:eastAsia="en-AU"/>
        </w:rPr>
        <w:t xml:space="preserve">Aboriginal and Torres Strait Islander young people are significantly more likely to be under </w:t>
      </w:r>
      <w:r>
        <w:rPr>
          <w:rFonts w:eastAsia="Times New Roman" w:cs="Calibri"/>
          <w:szCs w:val="20"/>
          <w:lang w:eastAsia="en-AU"/>
        </w:rPr>
        <w:t xml:space="preserve">the age of </w:t>
      </w:r>
      <w:r w:rsidRPr="005713FE">
        <w:rPr>
          <w:rFonts w:eastAsia="Times New Roman" w:cs="Calibri"/>
          <w:szCs w:val="20"/>
          <w:lang w:eastAsia="en-AU"/>
        </w:rPr>
        <w:t xml:space="preserve">21, and </w:t>
      </w:r>
      <w:r>
        <w:rPr>
          <w:rFonts w:eastAsia="Times New Roman" w:cs="Calibri"/>
          <w:szCs w:val="20"/>
          <w:lang w:eastAsia="en-AU"/>
        </w:rPr>
        <w:t>culturally and linguistically diverse</w:t>
      </w:r>
      <w:r w:rsidRPr="005713FE">
        <w:rPr>
          <w:rFonts w:eastAsia="Times New Roman" w:cs="Calibri"/>
          <w:szCs w:val="20"/>
          <w:lang w:eastAsia="en-AU"/>
        </w:rPr>
        <w:t xml:space="preserve"> </w:t>
      </w:r>
      <w:r w:rsidR="00703788">
        <w:rPr>
          <w:rFonts w:eastAsia="Times New Roman" w:cs="Calibri"/>
          <w:szCs w:val="20"/>
          <w:lang w:eastAsia="en-AU"/>
        </w:rPr>
        <w:t xml:space="preserve">young people </w:t>
      </w:r>
      <w:r w:rsidRPr="005713FE">
        <w:rPr>
          <w:rFonts w:eastAsia="Times New Roman" w:cs="Calibri"/>
          <w:szCs w:val="20"/>
          <w:lang w:eastAsia="en-AU"/>
        </w:rPr>
        <w:t xml:space="preserve">and </w:t>
      </w:r>
      <w:r>
        <w:rPr>
          <w:rFonts w:eastAsia="Times New Roman" w:cs="Calibri"/>
          <w:szCs w:val="20"/>
          <w:lang w:eastAsia="en-AU"/>
        </w:rPr>
        <w:t>LGBTQIA+</w:t>
      </w:r>
      <w:r w:rsidRPr="005713FE">
        <w:rPr>
          <w:rFonts w:eastAsia="Times New Roman" w:cs="Calibri"/>
          <w:szCs w:val="20"/>
          <w:lang w:eastAsia="en-AU"/>
        </w:rPr>
        <w:t xml:space="preserve"> young people are significantly more likely to be older than 21 </w:t>
      </w:r>
      <w:r>
        <w:rPr>
          <w:rFonts w:eastAsia="Times New Roman" w:cs="Calibri"/>
          <w:szCs w:val="20"/>
          <w:lang w:eastAsia="en-AU"/>
        </w:rPr>
        <w:t xml:space="preserve">years of age </w:t>
      </w:r>
      <w:r w:rsidRPr="005713FE">
        <w:rPr>
          <w:rFonts w:eastAsia="Times New Roman" w:cs="Calibri"/>
          <w:szCs w:val="20"/>
          <w:lang w:eastAsia="en-AU"/>
        </w:rPr>
        <w:t>when attending a headspace service</w:t>
      </w:r>
      <w:r>
        <w:rPr>
          <w:rFonts w:eastAsia="Times New Roman" w:cs="Calibri"/>
          <w:szCs w:val="20"/>
          <w:lang w:eastAsia="en-AU"/>
        </w:rPr>
        <w:t xml:space="preserve">, compared with the general population of young people attending headspace. </w:t>
      </w:r>
    </w:p>
    <w:p w14:paraId="3C6B9656" w14:textId="614D1859" w:rsidR="00D63473" w:rsidRDefault="00D63473" w:rsidP="00D63473">
      <w:pPr>
        <w:pStyle w:val="BodyText"/>
        <w:rPr>
          <w:rFonts w:eastAsia="Times New Roman" w:cs="Calibri"/>
          <w:szCs w:val="20"/>
          <w:lang w:eastAsia="en-AU"/>
        </w:rPr>
      </w:pPr>
      <w:r>
        <w:rPr>
          <w:rFonts w:eastAsia="Times New Roman" w:cs="Calibri"/>
          <w:szCs w:val="20"/>
          <w:lang w:eastAsia="en-AU"/>
        </w:rPr>
        <w:t xml:space="preserve">At the same time, mental health risk data is broadly the same for young </w:t>
      </w:r>
      <w:r w:rsidRPr="006E191E">
        <w:rPr>
          <w:rFonts w:eastAsia="Times New Roman" w:cs="Calibri"/>
          <w:szCs w:val="20"/>
          <w:lang w:eastAsia="en-AU"/>
        </w:rPr>
        <w:t xml:space="preserve">people </w:t>
      </w:r>
      <w:r>
        <w:rPr>
          <w:rFonts w:eastAsia="Times New Roman" w:cs="Calibri"/>
          <w:szCs w:val="20"/>
          <w:lang w:eastAsia="en-AU"/>
        </w:rPr>
        <w:t xml:space="preserve">across all backgrounds and cultural groups, except for those </w:t>
      </w:r>
      <w:r w:rsidRPr="006E191E">
        <w:rPr>
          <w:rFonts w:eastAsia="Times New Roman" w:cs="Calibri"/>
          <w:szCs w:val="20"/>
          <w:lang w:eastAsia="en-AU"/>
        </w:rPr>
        <w:t xml:space="preserve">who identify as </w:t>
      </w:r>
      <w:r w:rsidR="00C372B0">
        <w:rPr>
          <w:rFonts w:eastAsia="Times New Roman" w:cs="Calibri"/>
          <w:szCs w:val="20"/>
          <w:lang w:eastAsia="en-AU"/>
        </w:rPr>
        <w:t xml:space="preserve">young </w:t>
      </w:r>
      <w:r>
        <w:rPr>
          <w:rFonts w:eastAsia="Times New Roman" w:cs="Calibri"/>
          <w:szCs w:val="20"/>
          <w:lang w:eastAsia="en-AU"/>
        </w:rPr>
        <w:t>LGBTQIA+</w:t>
      </w:r>
      <w:r w:rsidR="00C372B0">
        <w:rPr>
          <w:rFonts w:eastAsia="Times New Roman" w:cs="Calibri"/>
          <w:szCs w:val="20"/>
          <w:lang w:eastAsia="en-AU"/>
        </w:rPr>
        <w:t xml:space="preserve"> people</w:t>
      </w:r>
      <w:r>
        <w:rPr>
          <w:rFonts w:eastAsia="Times New Roman" w:cs="Calibri"/>
          <w:szCs w:val="20"/>
          <w:lang w:eastAsia="en-AU"/>
        </w:rPr>
        <w:t>, who</w:t>
      </w:r>
      <w:r w:rsidRPr="006E191E">
        <w:rPr>
          <w:rFonts w:eastAsia="Times New Roman" w:cs="Calibri"/>
          <w:szCs w:val="20"/>
          <w:lang w:eastAsia="en-AU"/>
        </w:rPr>
        <w:t xml:space="preserve"> are significantly </w:t>
      </w:r>
      <w:r>
        <w:rPr>
          <w:rFonts w:eastAsia="Times New Roman" w:cs="Calibri"/>
          <w:szCs w:val="20"/>
          <w:lang w:eastAsia="en-AU"/>
        </w:rPr>
        <w:t xml:space="preserve">less </w:t>
      </w:r>
      <w:r w:rsidRPr="006E191E">
        <w:rPr>
          <w:rFonts w:eastAsia="Times New Roman" w:cs="Calibri"/>
          <w:szCs w:val="20"/>
          <w:lang w:eastAsia="en-AU"/>
        </w:rPr>
        <w:t>likely to present with low levels of risk factors</w:t>
      </w:r>
      <w:r>
        <w:rPr>
          <w:rFonts w:eastAsia="Times New Roman" w:cs="Calibri"/>
          <w:szCs w:val="20"/>
          <w:lang w:eastAsia="en-AU"/>
        </w:rPr>
        <w:t xml:space="preserve">. On measures of stage of illness, </w:t>
      </w:r>
      <w:r w:rsidRPr="006E191E">
        <w:rPr>
          <w:rFonts w:eastAsia="Times New Roman" w:cs="Calibri"/>
          <w:szCs w:val="20"/>
          <w:lang w:eastAsia="en-AU"/>
        </w:rPr>
        <w:t xml:space="preserve">Aboriginal and Torres Strait Islander young people are significantly less likely to be presenting in early stages of a disorder than </w:t>
      </w:r>
      <w:r w:rsidR="00B32AAC" w:rsidRPr="0078715C">
        <w:t xml:space="preserve">young people who do not identify as </w:t>
      </w:r>
      <w:r w:rsidRPr="00420340">
        <w:rPr>
          <w:rFonts w:eastAsia="Times New Roman" w:cs="Calibri"/>
          <w:szCs w:val="20"/>
          <w:lang w:eastAsia="en-AU"/>
        </w:rPr>
        <w:t>Aboriginal</w:t>
      </w:r>
      <w:r w:rsidRPr="006E191E">
        <w:rPr>
          <w:rFonts w:eastAsia="Times New Roman" w:cs="Calibri"/>
          <w:szCs w:val="20"/>
          <w:lang w:eastAsia="en-AU"/>
        </w:rPr>
        <w:t xml:space="preserve"> </w:t>
      </w:r>
      <w:r w:rsidR="00B32AAC">
        <w:rPr>
          <w:rFonts w:eastAsia="Times New Roman" w:cs="Calibri"/>
          <w:szCs w:val="20"/>
          <w:lang w:eastAsia="en-AU"/>
        </w:rPr>
        <w:t>or Torres Strait Islander.</w:t>
      </w:r>
      <w:r>
        <w:rPr>
          <w:rFonts w:eastAsia="Times New Roman" w:cs="Calibri"/>
          <w:szCs w:val="20"/>
          <w:lang w:eastAsia="en-AU"/>
        </w:rPr>
        <w:t xml:space="preserve"> </w:t>
      </w:r>
    </w:p>
    <w:p w14:paraId="067340EE" w14:textId="7071CCAA" w:rsidR="00D63473" w:rsidRPr="005713FE" w:rsidRDefault="00D63473" w:rsidP="00D63473">
      <w:pPr>
        <w:pStyle w:val="BodyText"/>
      </w:pPr>
      <w:r>
        <w:rPr>
          <w:rFonts w:eastAsia="Times New Roman" w:cs="Calibri"/>
          <w:szCs w:val="20"/>
          <w:lang w:eastAsia="en-AU"/>
        </w:rPr>
        <w:t xml:space="preserve">As with responses regarding mental health literacy and young people from </w:t>
      </w:r>
      <w:r w:rsidR="001334E3">
        <w:rPr>
          <w:rFonts w:eastAsia="Times New Roman" w:cs="Calibri"/>
          <w:szCs w:val="20"/>
          <w:lang w:eastAsia="en-AU"/>
        </w:rPr>
        <w:t>‘hard to reach’ groups</w:t>
      </w:r>
      <w:r>
        <w:rPr>
          <w:rFonts w:eastAsia="Times New Roman" w:cs="Calibri"/>
          <w:szCs w:val="20"/>
          <w:lang w:eastAsia="en-AU"/>
        </w:rPr>
        <w:t xml:space="preserve">, staff at </w:t>
      </w:r>
      <w:r w:rsidR="0050072E">
        <w:rPr>
          <w:rFonts w:eastAsia="Times New Roman" w:cs="Calibri"/>
          <w:szCs w:val="20"/>
          <w:lang w:eastAsia="en-AU"/>
        </w:rPr>
        <w:t>service</w:t>
      </w:r>
      <w:r>
        <w:rPr>
          <w:rFonts w:eastAsia="Times New Roman" w:cs="Calibri"/>
          <w:szCs w:val="20"/>
          <w:lang w:eastAsia="en-AU"/>
        </w:rPr>
        <w:t xml:space="preserve">s and lead agencies felt that </w:t>
      </w:r>
      <w:r>
        <w:rPr>
          <w:rFonts w:cs="Calibri"/>
          <w:color w:val="000000"/>
          <w:szCs w:val="20"/>
          <w:shd w:val="clear" w:color="auto" w:fill="FFFFFF"/>
        </w:rPr>
        <w:t>the headspace model was less effective in encouraging early help seeking for Aboriginal and Torres Strait Islander young people, culturally and linguistically diverse young people and young people with disability but that LGBTQIA+ young people were more likely to engage in early help seeking than young people from the general population attending headspace. This is in contrast with the data, which indicates this group is either the same as the general population or ‘slower’ in seeking help, depending on the indicator. LGBTQIA+ young people are more likely to be over the age of 21 and less likely to present with low levels of mental health risk factors than the general population of young people presenting at headspace.</w:t>
      </w:r>
    </w:p>
    <w:p w14:paraId="0E8E9C37" w14:textId="2F7B6BAA" w:rsidR="00D63473" w:rsidRPr="00915B2C" w:rsidRDefault="00D63473" w:rsidP="00D63473">
      <w:pPr>
        <w:pStyle w:val="BodyText"/>
        <w:rPr>
          <w:lang w:eastAsia="en-AU"/>
        </w:rPr>
      </w:pPr>
      <w:r>
        <w:rPr>
          <w:lang w:eastAsia="en-AU"/>
        </w:rPr>
        <w:t>h</w:t>
      </w:r>
      <w:r w:rsidRPr="00915B2C">
        <w:rPr>
          <w:lang w:eastAsia="en-AU"/>
        </w:rPr>
        <w:t xml:space="preserve">eadspace users from these </w:t>
      </w:r>
      <w:r w:rsidR="001334E3">
        <w:rPr>
          <w:lang w:eastAsia="en-AU"/>
        </w:rPr>
        <w:t>‘hard to reach’ groups</w:t>
      </w:r>
      <w:r w:rsidRPr="00915B2C">
        <w:rPr>
          <w:lang w:eastAsia="en-AU"/>
        </w:rPr>
        <w:t xml:space="preserve"> discussed that it may have taken them </w:t>
      </w:r>
      <w:r>
        <w:rPr>
          <w:lang w:eastAsia="en-AU"/>
        </w:rPr>
        <w:t>‘</w:t>
      </w:r>
      <w:r w:rsidRPr="00915B2C">
        <w:rPr>
          <w:lang w:eastAsia="en-AU"/>
        </w:rPr>
        <w:t>a while</w:t>
      </w:r>
      <w:r>
        <w:rPr>
          <w:lang w:eastAsia="en-AU"/>
        </w:rPr>
        <w:t>’</w:t>
      </w:r>
      <w:r w:rsidRPr="00915B2C">
        <w:rPr>
          <w:lang w:eastAsia="en-AU"/>
        </w:rPr>
        <w:t xml:space="preserve"> to decide to seek help, </w:t>
      </w:r>
      <w:r>
        <w:rPr>
          <w:lang w:eastAsia="en-AU"/>
        </w:rPr>
        <w:t>with family attitudes reducing young people’s help seeking behaviour. These young people thought that</w:t>
      </w:r>
      <w:r w:rsidRPr="00915B2C">
        <w:rPr>
          <w:lang w:eastAsia="en-AU"/>
        </w:rPr>
        <w:t xml:space="preserve"> outreach in public spaces and schools</w:t>
      </w:r>
      <w:r>
        <w:rPr>
          <w:lang w:eastAsia="en-AU"/>
        </w:rPr>
        <w:t>,</w:t>
      </w:r>
      <w:r w:rsidRPr="00915B2C">
        <w:rPr>
          <w:lang w:eastAsia="en-AU"/>
        </w:rPr>
        <w:t xml:space="preserve"> as well as </w:t>
      </w:r>
      <w:r>
        <w:rPr>
          <w:lang w:eastAsia="en-AU"/>
        </w:rPr>
        <w:t>highlighting that headspace is</w:t>
      </w:r>
      <w:r w:rsidRPr="00915B2C">
        <w:rPr>
          <w:lang w:eastAsia="en-AU"/>
        </w:rPr>
        <w:t xml:space="preserve"> a free service</w:t>
      </w:r>
      <w:r>
        <w:rPr>
          <w:lang w:eastAsia="en-AU"/>
        </w:rPr>
        <w:t xml:space="preserve">, are useful ways to counteract this barrier. </w:t>
      </w:r>
    </w:p>
    <w:p w14:paraId="2C253AD4" w14:textId="49B96CFA" w:rsidR="00D63473" w:rsidRDefault="00D63473" w:rsidP="00D63473">
      <w:pPr>
        <w:pStyle w:val="Heading4"/>
      </w:pPr>
      <w:r>
        <w:t xml:space="preserve">How effective is headspace in increasing access for </w:t>
      </w:r>
      <w:r w:rsidR="00BD29DF">
        <w:t>‘</w:t>
      </w:r>
      <w:r>
        <w:t xml:space="preserve">hard to </w:t>
      </w:r>
      <w:r w:rsidR="00BD29DF">
        <w:t>reach’</w:t>
      </w:r>
      <w:r>
        <w:t xml:space="preserve"> groups?</w:t>
      </w:r>
    </w:p>
    <w:p w14:paraId="2B4E9CA0" w14:textId="28C351EE" w:rsidR="00D63473" w:rsidRDefault="00D63473" w:rsidP="00D63473">
      <w:pPr>
        <w:pStyle w:val="BodyText"/>
      </w:pPr>
      <w:r>
        <w:t xml:space="preserve">There is strong evidence across the literature that </w:t>
      </w:r>
      <w:r w:rsidRPr="0022331F">
        <w:t>Aboriginal</w:t>
      </w:r>
      <w:r w:rsidR="002723D6">
        <w:t xml:space="preserve"> and Torres Strait Islander</w:t>
      </w:r>
      <w:r>
        <w:t xml:space="preserve"> people, LGBTQIA+ people, refugees, asylum seekers, people from culturally diverse backgrounds, and people living with disability have barriers to accessing mental health support. These may take the form of stigma, discrimination, racism, persistent socioeconomic disadvantage, lack of knowledge, loneliness, and trauma</w:t>
      </w:r>
      <w:r w:rsidR="00CC0438">
        <w:rPr>
          <w:rFonts w:ascii="ZWAdobeF" w:hAnsi="ZWAdobeF" w:cs="ZWAdobeF"/>
          <w:sz w:val="2"/>
          <w:szCs w:val="2"/>
        </w:rPr>
        <w:t>181F</w:t>
      </w:r>
      <w:r>
        <w:rPr>
          <w:rStyle w:val="FootnoteReference"/>
        </w:rPr>
        <w:footnoteReference w:id="183"/>
      </w:r>
      <w:r w:rsidR="00213B22" w:rsidRPr="00213B22">
        <w:rPr>
          <w:vertAlign w:val="superscript"/>
        </w:rPr>
        <w:t>,</w:t>
      </w:r>
      <w:r w:rsidR="00CC0438">
        <w:rPr>
          <w:rFonts w:ascii="ZWAdobeF" w:hAnsi="ZWAdobeF" w:cs="ZWAdobeF"/>
          <w:sz w:val="2"/>
          <w:szCs w:val="2"/>
        </w:rPr>
        <w:t>182F</w:t>
      </w:r>
      <w:r>
        <w:rPr>
          <w:rStyle w:val="FootnoteReference"/>
        </w:rPr>
        <w:footnoteReference w:id="184"/>
      </w:r>
      <w:r w:rsidR="00213B22" w:rsidRPr="00213B22">
        <w:rPr>
          <w:vertAlign w:val="superscript"/>
        </w:rPr>
        <w:t>,</w:t>
      </w:r>
      <w:r w:rsidR="00CC0438">
        <w:rPr>
          <w:rFonts w:ascii="ZWAdobeF" w:hAnsi="ZWAdobeF" w:cs="ZWAdobeF"/>
          <w:sz w:val="2"/>
          <w:szCs w:val="2"/>
        </w:rPr>
        <w:t>183F</w:t>
      </w:r>
      <w:r>
        <w:rPr>
          <w:rStyle w:val="FootnoteReference"/>
        </w:rPr>
        <w:footnoteReference w:id="185"/>
      </w:r>
      <w:r>
        <w:t>. A lack of information due to language barriers and culturally capable services can also be a deterrent to access care. Living in rural and remote areas carries a set of unique risk factors for mental illness, including isolation and environmental events such as droughts and bushfires. As discovered by the Royal Flying Doctor service survey in 2018, those living in regional and remote areas may have access to a very small number of services, if any. This can result in long wait times, unsuitability of treatments, a lack of services in a community, or people being required to travel significant distances to receive mental health services, incurring additional expenses and time</w:t>
      </w:r>
      <w:r w:rsidR="00CC0438">
        <w:rPr>
          <w:rFonts w:ascii="ZWAdobeF" w:hAnsi="ZWAdobeF" w:cs="ZWAdobeF"/>
          <w:sz w:val="2"/>
          <w:szCs w:val="2"/>
        </w:rPr>
        <w:t>184F</w:t>
      </w:r>
      <w:r>
        <w:rPr>
          <w:rStyle w:val="FootnoteReference"/>
        </w:rPr>
        <w:footnoteReference w:id="186"/>
      </w:r>
      <w:r w:rsidR="00213B22">
        <w:t>.</w:t>
      </w:r>
    </w:p>
    <w:p w14:paraId="01DB7627" w14:textId="522596C1" w:rsidR="00D63473" w:rsidRDefault="00D63473" w:rsidP="00D63473">
      <w:pPr>
        <w:pStyle w:val="BodyText"/>
      </w:pPr>
      <w:r>
        <w:t xml:space="preserve">Understanding the extent to which young people from ‘hard to reach’ populations are accessing headspace services is important for this evaluation in establishing an assessment of the effectiveness of the headspace model in meeting its key objectives. hAPI data, </w:t>
      </w:r>
      <w:r w:rsidR="0050072E">
        <w:t>service</w:t>
      </w:r>
      <w:r>
        <w:t xml:space="preserve"> and lead agency survey data and discussions with stakeholders during deep dive fieldwork highlighted key barriers, enablers and achievements in this area.</w:t>
      </w:r>
    </w:p>
    <w:p w14:paraId="5B506958" w14:textId="77777777" w:rsidR="00D63473" w:rsidRDefault="00D63473" w:rsidP="00D63473">
      <w:pPr>
        <w:pStyle w:val="Heading5"/>
      </w:pPr>
      <w:r>
        <w:t>Perspectives of young people who use headspace</w:t>
      </w:r>
    </w:p>
    <w:p w14:paraId="36E63122" w14:textId="4F409846" w:rsidR="00D63473" w:rsidRPr="009D3119" w:rsidRDefault="00D63473" w:rsidP="00D63473">
      <w:pPr>
        <w:pStyle w:val="BodyText"/>
      </w:pPr>
      <w:r>
        <w:t>As discussed above, culturally and linguistically diverse young</w:t>
      </w:r>
      <w:r w:rsidRPr="009D3119">
        <w:t xml:space="preserve"> people reported familial opprobrium as a hurdle to seeking help due to stigma associated with admitting </w:t>
      </w:r>
      <w:r w:rsidRPr="0347B646">
        <w:t>mental</w:t>
      </w:r>
      <w:r w:rsidRPr="009D3119">
        <w:t xml:space="preserve"> health issues. In addition, </w:t>
      </w:r>
      <w:r w:rsidR="00703788">
        <w:t>young</w:t>
      </w:r>
      <w:r w:rsidRPr="009D3119">
        <w:t xml:space="preserve"> </w:t>
      </w:r>
      <w:r>
        <w:t>people from culturally and linguistically diverse</w:t>
      </w:r>
      <w:r w:rsidRPr="009D3119">
        <w:t xml:space="preserve"> background</w:t>
      </w:r>
      <w:r>
        <w:t>s</w:t>
      </w:r>
      <w:r w:rsidRPr="009D3119">
        <w:t xml:space="preserve"> reported they would like to see more cultural diversity among headspace staff, especially so their family backgrounds and religious considerations could be better understood. Aboriginal and Torres Strait Islander </w:t>
      </w:r>
      <w:r>
        <w:t xml:space="preserve">young </w:t>
      </w:r>
      <w:r w:rsidRPr="009D3119">
        <w:t xml:space="preserve">people </w:t>
      </w:r>
      <w:r>
        <w:t>spoke of their</w:t>
      </w:r>
      <w:r w:rsidRPr="009D3119">
        <w:t xml:space="preserve"> challenges </w:t>
      </w:r>
      <w:r>
        <w:t>around</w:t>
      </w:r>
      <w:r w:rsidRPr="009D3119">
        <w:t xml:space="preserve"> depression, drugs, and abuse and </w:t>
      </w:r>
      <w:r>
        <w:t xml:space="preserve">that they </w:t>
      </w:r>
      <w:r w:rsidRPr="009D3119">
        <w:t>sometimes did not access services due to stigma.</w:t>
      </w:r>
    </w:p>
    <w:p w14:paraId="37F7BFDE" w14:textId="5B14D9E1" w:rsidR="00D63473" w:rsidRPr="007D0B07" w:rsidRDefault="00D63473" w:rsidP="003006A8">
      <w:pPr>
        <w:pStyle w:val="BodyText"/>
      </w:pPr>
      <w:r w:rsidRPr="007D0B07">
        <w:t xml:space="preserve">Aboriginal </w:t>
      </w:r>
      <w:r w:rsidR="00ED6651">
        <w:t>and Torres Strait Islander</w:t>
      </w:r>
      <w:r w:rsidRPr="007D0B07">
        <w:t xml:space="preserve"> </w:t>
      </w:r>
      <w:r w:rsidR="003C1323">
        <w:t>young people</w:t>
      </w:r>
      <w:r w:rsidRPr="007D0B07">
        <w:t xml:space="preserve"> had a range of views, including that headspace could be more culturally competent (and include more First Nations staff), liase with </w:t>
      </w:r>
      <w:r w:rsidR="00093CFF">
        <w:t>ACCHSs</w:t>
      </w:r>
      <w:r w:rsidRPr="007D0B07">
        <w:t>, and also detailed culturally positive practices</w:t>
      </w:r>
      <w:r>
        <w:t>:</w:t>
      </w:r>
    </w:p>
    <w:p w14:paraId="36886B4F" w14:textId="77777777" w:rsidR="00D63473" w:rsidRPr="006D1FB4" w:rsidRDefault="00D63473" w:rsidP="00D63473">
      <w:pPr>
        <w:pStyle w:val="Quote"/>
      </w:pPr>
      <w:r>
        <w:t>“</w:t>
      </w:r>
      <w:r w:rsidRPr="00441AA1">
        <w:t>I think in terms of Aboriginal and Torres Strait Islander stuff you’d need to sort of probably have strong connections with ACCHOs, the Community Controlled Health Organisations, because that’s where Aboriginal and Torres Strait Islander people go.</w:t>
      </w:r>
      <w:r>
        <w:t>”</w:t>
      </w:r>
    </w:p>
    <w:p w14:paraId="2A89905D" w14:textId="77777777" w:rsidR="00D63473" w:rsidRPr="00E970D5" w:rsidRDefault="00D63473" w:rsidP="003006A8">
      <w:pPr>
        <w:pStyle w:val="BodyText"/>
      </w:pPr>
      <w:r w:rsidRPr="00E970D5">
        <w:t>and</w:t>
      </w:r>
    </w:p>
    <w:p w14:paraId="7A741161" w14:textId="4B42DEDE" w:rsidR="00D63473" w:rsidRPr="005861C0" w:rsidRDefault="00D63473" w:rsidP="00D63473">
      <w:pPr>
        <w:pStyle w:val="Quote"/>
      </w:pPr>
      <w:r>
        <w:t>“</w:t>
      </w:r>
      <w:r w:rsidRPr="00521D25">
        <w:t>They</w:t>
      </w:r>
      <w:r w:rsidR="00EA1781">
        <w:t xml:space="preserve"> [headspace]</w:t>
      </w:r>
      <w:r w:rsidRPr="00521D25">
        <w:t xml:space="preserve"> allow different support people into those sessions wanting to bring a mum or a dad, any support person, they go on to community and speak to the Elders about what would be best moving forward for their young people, but also in collaboration with the young people, so ultimately at the end of the day those young people needing support get the best outcome and it’s also done in the safest way that means a community can respond if something happens.</w:t>
      </w:r>
      <w:r>
        <w:t>”</w:t>
      </w:r>
    </w:p>
    <w:p w14:paraId="51CBAF06" w14:textId="77777777" w:rsidR="00D63473" w:rsidRPr="001953C1" w:rsidRDefault="00D63473" w:rsidP="003006A8">
      <w:pPr>
        <w:pStyle w:val="BodyText"/>
      </w:pPr>
      <w:r w:rsidRPr="001953C1">
        <w:t>and</w:t>
      </w:r>
    </w:p>
    <w:p w14:paraId="0E064B87" w14:textId="77777777" w:rsidR="00D63473" w:rsidRPr="00566EF5" w:rsidRDefault="00D63473" w:rsidP="00D63473">
      <w:pPr>
        <w:pStyle w:val="Quote"/>
      </w:pPr>
      <w:r>
        <w:t>“</w:t>
      </w:r>
      <w:r w:rsidRPr="00521D25">
        <w:t xml:space="preserve">I would say if we had more </w:t>
      </w:r>
      <w:r w:rsidRPr="00B87AEF">
        <w:t>community</w:t>
      </w:r>
      <w:r w:rsidRPr="00521D25">
        <w:t xml:space="preserve"> engagement, yes it would be amazing.</w:t>
      </w:r>
      <w:r>
        <w:t xml:space="preserve"> </w:t>
      </w:r>
      <w:r w:rsidRPr="00521D25">
        <w:t>As of right now community engagement in community seems to be pretty good.</w:t>
      </w:r>
      <w:r>
        <w:t>”</w:t>
      </w:r>
    </w:p>
    <w:p w14:paraId="228C456C" w14:textId="49F78419" w:rsidR="00D63473" w:rsidRPr="00566EF5" w:rsidRDefault="00D63473" w:rsidP="00D63473">
      <w:pPr>
        <w:pStyle w:val="BodyText"/>
      </w:pPr>
      <w:r w:rsidRPr="00566EF5">
        <w:t xml:space="preserve">LGBTQIA+ </w:t>
      </w:r>
      <w:r w:rsidR="00CF0226">
        <w:t>young people</w:t>
      </w:r>
      <w:r w:rsidRPr="00566EF5">
        <w:t xml:space="preserve"> had mainly positive encounters with headspace, with some exceptions, but complaints were about a lack of what they perceived as good enough clinical support, rather than issues related to sexuality. People with disability were generally positive about headspace</w:t>
      </w:r>
      <w:r>
        <w:t>,</w:t>
      </w:r>
      <w:r w:rsidRPr="00566EF5">
        <w:t xml:space="preserve"> but there are limits to what headspace can do in relation to some conditions</w:t>
      </w:r>
      <w:r>
        <w:t>,</w:t>
      </w:r>
      <w:r w:rsidRPr="00566EF5">
        <w:t xml:space="preserve"> including </w:t>
      </w:r>
      <w:r w:rsidR="00F432E5">
        <w:t>Autism</w:t>
      </w:r>
      <w:r w:rsidR="00D42D9E">
        <w:t xml:space="preserve"> Spectrum Disorder</w:t>
      </w:r>
      <w:r w:rsidRPr="00566EF5">
        <w:t xml:space="preserve"> which requires specific diagnostic tools and specialist support. </w:t>
      </w:r>
    </w:p>
    <w:p w14:paraId="7A500FBB" w14:textId="77777777" w:rsidR="00D63473" w:rsidRPr="00566EF5" w:rsidRDefault="00D63473" w:rsidP="00D63473">
      <w:pPr>
        <w:pStyle w:val="BodyText"/>
      </w:pPr>
      <w:r w:rsidRPr="00566EF5">
        <w:t xml:space="preserve">Remote and rural </w:t>
      </w:r>
      <w:r>
        <w:t>residents</w:t>
      </w:r>
      <w:r w:rsidRPr="00566EF5">
        <w:t xml:space="preserve"> referred to the small town effect where ‘everyone knows everyone’s business’ and some cited stigma in relation to seeking help, but no users from this sub</w:t>
      </w:r>
      <w:r>
        <w:noBreakHyphen/>
      </w:r>
      <w:r w:rsidRPr="00566EF5">
        <w:t xml:space="preserve">cohort reported any specific issues with accessing headspace or quality of service. </w:t>
      </w:r>
    </w:p>
    <w:p w14:paraId="6C786E6B" w14:textId="77777777" w:rsidR="00D63473" w:rsidRPr="001B180A" w:rsidRDefault="00D63473" w:rsidP="003006A8">
      <w:pPr>
        <w:pStyle w:val="BodyText"/>
      </w:pPr>
      <w:r w:rsidRPr="001B180A">
        <w:t>There were hurdles to overcome in outreach and bringing First Nations young people into the service:</w:t>
      </w:r>
    </w:p>
    <w:p w14:paraId="6330F7E1" w14:textId="77777777" w:rsidR="00D63473" w:rsidRPr="001953C1" w:rsidRDefault="00D63473" w:rsidP="00D63473">
      <w:pPr>
        <w:pStyle w:val="Quote"/>
      </w:pPr>
      <w:r w:rsidRPr="001B180A">
        <w:rPr>
          <w:color w:val="000000" w:themeColor="text1"/>
        </w:rPr>
        <w:t>“</w:t>
      </w:r>
      <w:r w:rsidRPr="00FF3730">
        <w:t>I don't know where to start because most Aboriginals here in Mur</w:t>
      </w:r>
      <w:r w:rsidRPr="001953C1">
        <w:t>ray Bridge are isolated and too scared to go to places</w:t>
      </w:r>
      <w:r w:rsidRPr="001953C1">
        <w:rPr>
          <w:color w:val="000000" w:themeColor="text1"/>
        </w:rPr>
        <w:t>.”</w:t>
      </w:r>
    </w:p>
    <w:p w14:paraId="68A25A10" w14:textId="77777777" w:rsidR="00D63473" w:rsidRPr="001B180A" w:rsidRDefault="00D63473" w:rsidP="003006A8">
      <w:pPr>
        <w:pStyle w:val="BodyText"/>
      </w:pPr>
      <w:r w:rsidRPr="00EB354B">
        <w:t>Bringing cultural competence to outreach was discu</w:t>
      </w:r>
      <w:r w:rsidRPr="001B180A">
        <w:t>ssed:</w:t>
      </w:r>
    </w:p>
    <w:p w14:paraId="37660429" w14:textId="77777777" w:rsidR="00D63473" w:rsidRPr="00FF3730" w:rsidRDefault="00D63473" w:rsidP="00D63473">
      <w:pPr>
        <w:pStyle w:val="Quote"/>
        <w:rPr>
          <w:i w:val="0"/>
        </w:rPr>
      </w:pPr>
      <w:r w:rsidRPr="001B180A">
        <w:t>“</w:t>
      </w:r>
      <w:r w:rsidRPr="00FF3730">
        <w:t>T</w:t>
      </w:r>
      <w:r w:rsidRPr="001953C1">
        <w:t>hat’s where their kind of outreach comes in as well so that they’re going on to those young people as kind of a safe space that will come to th</w:t>
      </w:r>
      <w:r w:rsidRPr="001B180A">
        <w:t>eir homes instead of bringing an Indigenous young person who’s lived on a community their entire life, they’re not going to enjoy being in four walls in a sterile environment.”</w:t>
      </w:r>
    </w:p>
    <w:p w14:paraId="5FBA6565" w14:textId="349A5400" w:rsidR="00D63473" w:rsidRPr="009C40E9" w:rsidRDefault="00D63473" w:rsidP="003006A8">
      <w:pPr>
        <w:pStyle w:val="BodyText"/>
      </w:pPr>
      <w:r w:rsidRPr="0040012C">
        <w:t>Many of th</w:t>
      </w:r>
      <w:r w:rsidRPr="00BA74D4">
        <w:t>e user</w:t>
      </w:r>
      <w:r w:rsidRPr="009C40E9">
        <w:t xml:space="preserve">s </w:t>
      </w:r>
      <w:r>
        <w:t>who</w:t>
      </w:r>
      <w:r w:rsidRPr="009C40E9">
        <w:t xml:space="preserve"> were interviewed or in focus groups were from </w:t>
      </w:r>
      <w:r>
        <w:t>‘</w:t>
      </w:r>
      <w:r w:rsidRPr="009C40E9">
        <w:t>hard to reach</w:t>
      </w:r>
      <w:r>
        <w:t>’</w:t>
      </w:r>
      <w:r w:rsidRPr="009C40E9">
        <w:t xml:space="preserve"> groups. While they had accessed the service, they agreed that </w:t>
      </w:r>
      <w:r>
        <w:t>it was</w:t>
      </w:r>
      <w:r w:rsidRPr="009C40E9">
        <w:t xml:space="preserve"> sometimes despite attitudes of peers or family in particular.</w:t>
      </w:r>
      <w:r w:rsidR="00050635">
        <w:rPr>
          <w:rFonts w:eastAsia="Calibri" w:cs="Arial"/>
        </w:rPr>
        <w:t>C</w:t>
      </w:r>
      <w:r w:rsidRPr="009C40E9">
        <w:rPr>
          <w:rFonts w:eastAsia="Calibri" w:cs="Arial"/>
        </w:rPr>
        <w:t>ultural and gender diversity in staffing was identified as important:</w:t>
      </w:r>
    </w:p>
    <w:p w14:paraId="0CD0BEFE" w14:textId="77777777" w:rsidR="00D63473" w:rsidRPr="002E5E29" w:rsidRDefault="00D63473" w:rsidP="00D63473">
      <w:pPr>
        <w:pStyle w:val="Quote"/>
        <w:rPr>
          <w:lang w:val="en-US"/>
        </w:rPr>
      </w:pPr>
      <w:r w:rsidRPr="00504515">
        <w:rPr>
          <w:lang w:val="en-US"/>
        </w:rPr>
        <w:t>“</w:t>
      </w:r>
      <w:r w:rsidRPr="002E5E29">
        <w:rPr>
          <w:lang w:val="en-US"/>
        </w:rPr>
        <w:t xml:space="preserve">Some of the stuff that may like restrict kids from coming, I think… like how I wanted someone that was a </w:t>
      </w:r>
      <w:r w:rsidRPr="00B87AEF">
        <w:t>female</w:t>
      </w:r>
      <w:r w:rsidRPr="002E5E29">
        <w:rPr>
          <w:lang w:val="en-US"/>
        </w:rPr>
        <w:t>. Sometimes, it can be a bit hard because of who's like on the branch, who works there. I think that's a bit of a barrier.”</w:t>
      </w:r>
    </w:p>
    <w:p w14:paraId="3F3BCDF2" w14:textId="77777777" w:rsidR="00D63473" w:rsidRPr="00504515" w:rsidRDefault="00D63473" w:rsidP="003006A8">
      <w:pPr>
        <w:pStyle w:val="BodyText"/>
        <w:rPr>
          <w:lang w:val="en-US"/>
        </w:rPr>
      </w:pPr>
      <w:r w:rsidRPr="00504515">
        <w:rPr>
          <w:lang w:val="en-US"/>
        </w:rPr>
        <w:t>Individual willingness to seek help was also identified as a barrier – even with outreach and referral, ultimately</w:t>
      </w:r>
      <w:r>
        <w:rPr>
          <w:lang w:val="en-US"/>
        </w:rPr>
        <w:t>,</w:t>
      </w:r>
      <w:r w:rsidRPr="00504515">
        <w:rPr>
          <w:lang w:val="en-US"/>
        </w:rPr>
        <w:t xml:space="preserve"> the young person needs to agree to seek assistance:</w:t>
      </w:r>
    </w:p>
    <w:p w14:paraId="7458952D" w14:textId="77777777" w:rsidR="00D63473" w:rsidRPr="002E5E29" w:rsidRDefault="00D63473" w:rsidP="00D63473">
      <w:pPr>
        <w:pStyle w:val="Quote"/>
        <w:rPr>
          <w:lang w:val="en-US"/>
        </w:rPr>
      </w:pPr>
      <w:r w:rsidRPr="00504515">
        <w:rPr>
          <w:lang w:val="en-US"/>
        </w:rPr>
        <w:t>“</w:t>
      </w:r>
      <w:r w:rsidRPr="002E5E29">
        <w:rPr>
          <w:lang w:val="en-US"/>
        </w:rPr>
        <w:t>I think it’s more just people aren’t willing to accept help if they think it’s too hard or they have all these different ideas and different expectations that are negative, and it’s not like that at all.</w:t>
      </w:r>
      <w:r>
        <w:rPr>
          <w:lang w:val="en-US"/>
        </w:rPr>
        <w:t xml:space="preserve"> </w:t>
      </w:r>
      <w:r w:rsidRPr="002E5E29">
        <w:rPr>
          <w:lang w:val="en-US"/>
        </w:rPr>
        <w:t>So I think just people’s own perceptions of getting help, I guess, is probably the biggest disadvantage they have.”</w:t>
      </w:r>
    </w:p>
    <w:p w14:paraId="055FDE81" w14:textId="52A71E26" w:rsidR="00D63473" w:rsidRDefault="00D63473" w:rsidP="00D63473">
      <w:pPr>
        <w:pStyle w:val="BodyText"/>
      </w:pPr>
      <w:r>
        <w:t xml:space="preserve">It was difficult for the young people in the reference group to assess whether headspace was effective in increasing access for </w:t>
      </w:r>
      <w:r w:rsidR="00BD29DF">
        <w:t>‘</w:t>
      </w:r>
      <w:r>
        <w:t xml:space="preserve">hard to </w:t>
      </w:r>
      <w:r w:rsidR="00BD29DF">
        <w:t>reach’</w:t>
      </w:r>
      <w:r>
        <w:t xml:space="preserve"> groups with the exception of LGBTQIA+ young people. In one area, headspace had organised a festival for LGBTQIA+ young people. The festival aims to celebrate and raise awareness of the LGBTQIA+ young people. A headspace youth group for LGBTQIA+ young people in the area provided a supportive environment for young people to meet and access information:</w:t>
      </w:r>
    </w:p>
    <w:p w14:paraId="49E7B7C8" w14:textId="77777777" w:rsidR="00D63473" w:rsidRPr="00EA019D" w:rsidRDefault="00D63473" w:rsidP="00D63473">
      <w:pPr>
        <w:pStyle w:val="Quote"/>
        <w:rPr>
          <w:rStyle w:val="QuoteChar"/>
          <w:i/>
        </w:rPr>
      </w:pPr>
      <w:r w:rsidRPr="00EA019D">
        <w:rPr>
          <w:rStyle w:val="QuoteChar"/>
          <w:i/>
        </w:rPr>
        <w:t xml:space="preserve">“headspace put on a festival for LGBTQIA+ people to basically, I don’t know, celebrate their existence in [the area] because there is, you know, a lot of stigma and quite a lot of issues around our representation….and headspace also has a group a youth group for </w:t>
      </w:r>
      <w:r w:rsidRPr="00504515">
        <w:rPr>
          <w:rStyle w:val="QuoteChar"/>
          <w:i/>
        </w:rPr>
        <w:t>LGBTQIA</w:t>
      </w:r>
      <w:r w:rsidRPr="00EA019D">
        <w:rPr>
          <w:rStyle w:val="QuoteChar"/>
          <w:i/>
        </w:rPr>
        <w:t>+ people to get together and either just relax or get educated about stuff.</w:t>
      </w:r>
      <w:r>
        <w:rPr>
          <w:rStyle w:val="QuoteChar"/>
          <w:i/>
        </w:rPr>
        <w:t xml:space="preserve"> </w:t>
      </w:r>
      <w:r w:rsidRPr="00EA019D">
        <w:rPr>
          <w:rStyle w:val="QuoteChar"/>
          <w:i/>
        </w:rPr>
        <w:t>And yeah, headspace</w:t>
      </w:r>
      <w:r>
        <w:t xml:space="preserve"> is </w:t>
      </w:r>
      <w:r w:rsidRPr="00EA019D">
        <w:rPr>
          <w:rStyle w:val="QuoteChar"/>
          <w:i/>
        </w:rPr>
        <w:t>catering to a lot of LGBTQIA+ folks, at least the young people in the [area].”</w:t>
      </w:r>
    </w:p>
    <w:p w14:paraId="598240FB" w14:textId="77777777" w:rsidR="00D63473" w:rsidRDefault="00D63473" w:rsidP="00D63473">
      <w:pPr>
        <w:pStyle w:val="Heading5"/>
        <w:rPr>
          <w:rFonts w:eastAsiaTheme="majorEastAsia" w:cstheme="majorBidi"/>
          <w:color w:val="00338D" w:themeColor="background2"/>
          <w:sz w:val="24"/>
        </w:rPr>
      </w:pPr>
      <w:r>
        <w:t>Perspectives of headspace service providers</w:t>
      </w:r>
    </w:p>
    <w:p w14:paraId="7503C867" w14:textId="40B59528" w:rsidR="00D63473" w:rsidRDefault="00D63473" w:rsidP="00D63473">
      <w:pPr>
        <w:pStyle w:val="BodyText"/>
      </w:pPr>
      <w:r>
        <w:t xml:space="preserve">Respondents had similar views about increased access for the ‘hard to reach’ cohorts as they had for increased mental health literacy and improved early help seeking. Young people from Aboriginal and Torres Strait Islander backgrounds, culturally and linguistically diverse </w:t>
      </w:r>
      <w:r w:rsidR="00703788">
        <w:t>cohort</w:t>
      </w:r>
      <w:r>
        <w:t xml:space="preserve">s and young people with disability were seen to have worse access rates to headspace services compared with those from the general population of young people attending headspace. LGBTQIA+ </w:t>
      </w:r>
      <w:r w:rsidR="00B72BAE">
        <w:t xml:space="preserve">young people </w:t>
      </w:r>
      <w:r>
        <w:t xml:space="preserve">were perceived to have better rates of access than all other groups, including the general population of young people attending headspace. </w:t>
      </w:r>
    </w:p>
    <w:p w14:paraId="0F28A55F" w14:textId="4DF2C07E" w:rsidR="00D63473" w:rsidRPr="00BB789D" w:rsidRDefault="00D63473" w:rsidP="00D63473">
      <w:pPr>
        <w:pStyle w:val="Caption"/>
      </w:pPr>
      <w:bookmarkStart w:id="248" w:name="_Toc108109231"/>
      <w:r>
        <w:t xml:space="preserve">Figure </w:t>
      </w:r>
      <w:r>
        <w:fldChar w:fldCharType="begin"/>
      </w:r>
      <w:r>
        <w:instrText>SEQ Figure \* ARABIC</w:instrText>
      </w:r>
      <w:r>
        <w:fldChar w:fldCharType="separate"/>
      </w:r>
      <w:r w:rsidR="00CC0438">
        <w:rPr>
          <w:noProof/>
        </w:rPr>
        <w:t>46</w:t>
      </w:r>
      <w:r>
        <w:fldChar w:fldCharType="end"/>
      </w:r>
      <w:r>
        <w:t xml:space="preserve">: Responses from </w:t>
      </w:r>
      <w:r w:rsidR="001A7BE3">
        <w:t>the</w:t>
      </w:r>
      <w:r w:rsidDel="0022331F">
        <w:t xml:space="preserve"> </w:t>
      </w:r>
      <w:r>
        <w:t xml:space="preserve">lead agency </w:t>
      </w:r>
      <w:r w:rsidR="0022331F">
        <w:t>and headspace service s</w:t>
      </w:r>
      <w:r>
        <w:t>urvey</w:t>
      </w:r>
      <w:r w:rsidR="0022331F">
        <w:t xml:space="preserve"> to ‘</w:t>
      </w:r>
      <w:r>
        <w:t>how well does your centre provide services that support access for young people from priority cohorts?</w:t>
      </w:r>
      <w:r w:rsidR="0022331F">
        <w:t>’</w:t>
      </w:r>
      <w:bookmarkEnd w:id="248"/>
    </w:p>
    <w:p w14:paraId="0EF64011" w14:textId="3851860A" w:rsidR="00F1304E" w:rsidRPr="00F1304E" w:rsidRDefault="00F1304E" w:rsidP="00D13A62">
      <w:r>
        <w:rPr>
          <w:noProof/>
        </w:rPr>
        <w:drawing>
          <wp:inline distT="0" distB="0" distL="0" distR="0" wp14:anchorId="1BE08E83" wp14:editId="78005BDC">
            <wp:extent cx="5037455" cy="3234055"/>
            <wp:effectExtent l="0" t="0" r="0" b="4445"/>
            <wp:docPr id="61" name="Picture 61" descr="Figure 46 summarises average responses from the lead agency and headspace service survey respondents about how well their service supports access to services for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38. For LGBTQIA+ young people, the average score was 52. For culturally and linguistically diverse young people, the average score was 40. For Aboriginal and Torres Strait Islander young people, the average score wa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46 summarises average responses from the lead agency and headspace service survey respondents about how well their service supports access to services for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38. For LGBTQIA+ young people, the average score was 52. For culturally and linguistically diverse young people, the average score was 40. For Aboriginal and Torres Strait Islander young people, the average score was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791025FB" w14:textId="77777777" w:rsidR="00D63473" w:rsidRPr="005607C2" w:rsidRDefault="00D63473" w:rsidP="00D63473">
      <w:pPr>
        <w:pStyle w:val="Source"/>
        <w:rPr>
          <w:szCs w:val="16"/>
        </w:rPr>
      </w:pPr>
      <w:r w:rsidRPr="005607C2">
        <w:t>S</w:t>
      </w:r>
      <w:r w:rsidRPr="005607C2">
        <w:rPr>
          <w:szCs w:val="16"/>
        </w:rPr>
        <w:t>ource:</w:t>
      </w:r>
      <w:r>
        <w:rPr>
          <w:szCs w:val="16"/>
        </w:rPr>
        <w:t xml:space="preserve"> KPMG analysis of headspace service and lead agency survey</w:t>
      </w:r>
    </w:p>
    <w:p w14:paraId="7B8E1041" w14:textId="02CAA25C" w:rsidR="00D63473" w:rsidRDefault="00D63473" w:rsidP="00D63473">
      <w:pPr>
        <w:pStyle w:val="Source"/>
        <w:rPr>
          <w:szCs w:val="16"/>
        </w:rPr>
      </w:pPr>
      <w:r w:rsidRPr="005607C2">
        <w:t>Notes:</w:t>
      </w:r>
      <w:r>
        <w:rPr>
          <w:szCs w:val="16"/>
        </w:rPr>
        <w:t xml:space="preserve"> A total of 60 responses were received for this question</w:t>
      </w:r>
      <w:r w:rsidR="007F1DA2">
        <w:rPr>
          <w:szCs w:val="16"/>
        </w:rPr>
        <w:t>.</w:t>
      </w:r>
    </w:p>
    <w:p w14:paraId="28BA46F3" w14:textId="77777777" w:rsidR="00D63473" w:rsidRPr="00BA6683" w:rsidRDefault="00D63473" w:rsidP="00D63473">
      <w:pPr>
        <w:pStyle w:val="Heading6"/>
      </w:pPr>
      <w:r>
        <w:t>Regional and remote challenges</w:t>
      </w:r>
    </w:p>
    <w:p w14:paraId="0D40907A" w14:textId="0B0E0ED7" w:rsidR="00D63473" w:rsidRDefault="00D63473" w:rsidP="00D63473">
      <w:pPr>
        <w:pStyle w:val="BodyText"/>
        <w:rPr>
          <w:i/>
          <w:iCs/>
        </w:rPr>
      </w:pPr>
      <w:r>
        <w:t xml:space="preserve">In response to a prompt in the </w:t>
      </w:r>
      <w:r w:rsidR="0050072E">
        <w:t>service</w:t>
      </w:r>
      <w:r>
        <w:t xml:space="preserve"> and lead agency survey to describe the barriers and enablers to support these cohorts, a common theme was related to challenges for rural and remote services. Issues with the other parts of the service system were raised for regional areas with limited capacity of tertiary services, bulk billing services and affordable psychiatry. The ability to attract specialist psychologists, AOD workers, vocational workers and GPs were all identified as difficult in remote areas. Turnover and a limited overall pool of workers across providers and PHN roles was also highlighted. </w:t>
      </w:r>
    </w:p>
    <w:p w14:paraId="00F354A4" w14:textId="77777777" w:rsidR="00D63473" w:rsidRDefault="00D63473" w:rsidP="00D63473">
      <w:pPr>
        <w:pStyle w:val="BodyText"/>
      </w:pPr>
      <w:r>
        <w:t>One respondent also described challenges they face in a regional area with the headspace service funding model, where outreach activities to take services to remote communities are not funded, but are expected by stakeholders across their local area.</w:t>
      </w:r>
    </w:p>
    <w:p w14:paraId="1202D386" w14:textId="77777777" w:rsidR="00D63473" w:rsidRPr="004A6D86" w:rsidRDefault="00D63473" w:rsidP="00D63473">
      <w:pPr>
        <w:pStyle w:val="BodyText"/>
      </w:pPr>
      <w:r>
        <w:t>Other responses again highlighted a concern about insufficient funding for salaried staff, including community engagement of staff. Challenges around finding staff with the right skillset or cultural background were particularly salient for regional and remote staff.</w:t>
      </w:r>
    </w:p>
    <w:p w14:paraId="11797B26" w14:textId="77777777" w:rsidR="00D63473" w:rsidRDefault="00D63473" w:rsidP="00D63473">
      <w:pPr>
        <w:pStyle w:val="Heading5"/>
      </w:pPr>
      <w:r>
        <w:t>Perspectives from deep dive fieldwork</w:t>
      </w:r>
    </w:p>
    <w:p w14:paraId="7C761A02" w14:textId="77777777" w:rsidR="00D63473" w:rsidRDefault="00D63473" w:rsidP="00D63473">
      <w:pPr>
        <w:pStyle w:val="BodyText"/>
      </w:pPr>
      <w:r>
        <w:t xml:space="preserve">Deep dive consultations and discussions with Aboriginal and Torres Strait Islander community organisations within deep dive locations illustrated key themes required to engage and assist Aboriginal and Torres Strait Islander young people. Stakeholders emphasised the need for young people to be able to see people like themselves in the staff at their local headspace, and for it to feel like a safe and culturally appropriate place for them to seek help. In consultations with metropolitan services, stakeholders reported the importance of having members of staff from a wide range of cultural backgrounds, and of the important role they play in reducing stigma and building mental health literacy for different communities. </w:t>
      </w:r>
    </w:p>
    <w:p w14:paraId="59D0C5EF" w14:textId="77777777" w:rsidR="00D63473" w:rsidRDefault="00D63473" w:rsidP="00D63473">
      <w:pPr>
        <w:pStyle w:val="BodyText"/>
      </w:pPr>
      <w:r>
        <w:t xml:space="preserve">The headspace model promotes centre-based support, and emphasises the importance of making each service look culturally appropriate and welcoming to members of the Aboriginal and Torres Strait Islander community. Services display Aboriginal and Torres Strait Islander flags, and draw on local culture, art and language to show visible signs of welcome to the local Indigenous community. </w:t>
      </w:r>
    </w:p>
    <w:p w14:paraId="39464627" w14:textId="53E5DA97" w:rsidR="00D63473" w:rsidRDefault="00D63473" w:rsidP="00D63473">
      <w:pPr>
        <w:pStyle w:val="BodyText"/>
      </w:pPr>
      <w:r>
        <w:t xml:space="preserve">Services in areas </w:t>
      </w:r>
      <w:r w:rsidR="000B4F49">
        <w:t>with large</w:t>
      </w:r>
      <w:r w:rsidR="004F7833">
        <w:t>r</w:t>
      </w:r>
      <w:r>
        <w:t xml:space="preserve"> Aboriginal and Torres Strait Islander </w:t>
      </w:r>
      <w:r w:rsidR="004F7833">
        <w:t>populations</w:t>
      </w:r>
      <w:r>
        <w:t xml:space="preserve"> also prioritise having staff from the local Indigenous community, and engagement with </w:t>
      </w:r>
      <w:r w:rsidR="00CA1FE1">
        <w:t>E</w:t>
      </w:r>
      <w:r>
        <w:t xml:space="preserve">lders and well-known local Aboriginal and Torres Strait Islander people on the consortium in an advisory capacity, so they can be seen to be endorsing the use of the headspace services for their people. </w:t>
      </w:r>
    </w:p>
    <w:p w14:paraId="57FE2853" w14:textId="77777777" w:rsidR="00D63473" w:rsidRDefault="00D63473" w:rsidP="00D63473">
      <w:pPr>
        <w:pStyle w:val="BodyText"/>
      </w:pPr>
      <w:r>
        <w:t xml:space="preserve">Stakeholders in regional and remote areas described the centre-based model as a barrier to Aboriginal and Torres Strait Islander young people seeking support, due to high levels of self-consciousness and stigma associated with mental illness. Indigenous models of care, centring the person within their family, community and culture were also described as more effective in assisting Aboriginal and Torres Strait Islander young people than a more individual-centric model privileged in mainstream clinical practice. Where outreach is conducted to Aboriginal and Torres Strait Islander communities, by trusted service providers without the need for appointments or to be seen to be seeking help, barriers may be reduced and positive outcomes supported. </w:t>
      </w:r>
    </w:p>
    <w:p w14:paraId="4C5DD00B" w14:textId="77777777" w:rsidR="00D63473" w:rsidRDefault="00D63473" w:rsidP="00D63473">
      <w:pPr>
        <w:pStyle w:val="BodyText"/>
        <w:rPr>
          <w:lang w:eastAsia="en-AU"/>
        </w:rPr>
      </w:pPr>
      <w:r>
        <w:rPr>
          <w:lang w:eastAsia="en-AU"/>
        </w:rPr>
        <w:t xml:space="preserve">For young people who identify as sexuality or gender diverse, headspace has become a brand which provides a safe space for them to seek support, connect with peers and manage their wellbeing. Stakeholders consistently recognised this as a strength of headspace. Consultations indicated that headspace had achieved this success in improving access of this group through its brand recognition, social media presence and through peer-to-peer networking. </w:t>
      </w:r>
    </w:p>
    <w:p w14:paraId="4603124F" w14:textId="77777777" w:rsidR="00D63473" w:rsidRDefault="00D63473" w:rsidP="00D63473">
      <w:pPr>
        <w:pStyle w:val="Heading5"/>
      </w:pPr>
      <w:r>
        <w:t xml:space="preserve">Administrative data from the hMDS </w:t>
      </w:r>
    </w:p>
    <w:p w14:paraId="7EE23225" w14:textId="6478D920" w:rsidR="00D63473" w:rsidRPr="00BF45BE" w:rsidRDefault="00D63473" w:rsidP="00D63473">
      <w:pPr>
        <w:pStyle w:val="BodyText"/>
      </w:pPr>
      <w:r>
        <w:t xml:space="preserve">While services described ongoing work to continue to build and maintain engagement with the </w:t>
      </w:r>
      <w:r w:rsidR="00D64A14">
        <w:t>local Aboriginal and Torres Strait Islander</w:t>
      </w:r>
      <w:r>
        <w:t xml:space="preserve"> community, hMDS data shows a slight </w:t>
      </w:r>
      <w:r w:rsidR="008E4781">
        <w:t xml:space="preserve">decrease </w:t>
      </w:r>
      <w:r>
        <w:t xml:space="preserve">in the last year in the proportion of Aboriginal and Torres Strait Islander young people accessing headspace services. </w:t>
      </w:r>
      <w:r w:rsidRPr="00D0363B">
        <w:rPr>
          <w:color w:val="000000" w:themeColor="text1"/>
        </w:rPr>
        <w:t>Overall, data indicate that headspace is reaching culturally diverse you</w:t>
      </w:r>
      <w:r w:rsidR="00636457">
        <w:rPr>
          <w:color w:val="000000" w:themeColor="text1"/>
        </w:rPr>
        <w:t>ng people</w:t>
      </w:r>
      <w:r w:rsidRPr="00D0363B">
        <w:rPr>
          <w:color w:val="000000" w:themeColor="text1"/>
        </w:rPr>
        <w:t xml:space="preserve">, as </w:t>
      </w:r>
      <w:r>
        <w:rPr>
          <w:color w:val="000000" w:themeColor="text1"/>
        </w:rPr>
        <w:t>culturally and linguistically diverse</w:t>
      </w:r>
      <w:r w:rsidRPr="00D0363B">
        <w:rPr>
          <w:color w:val="000000" w:themeColor="text1"/>
        </w:rPr>
        <w:t xml:space="preserve"> representation has increased (to </w:t>
      </w:r>
      <w:r w:rsidR="004E183A">
        <w:rPr>
          <w:color w:val="000000" w:themeColor="text1"/>
        </w:rPr>
        <w:t xml:space="preserve">10 </w:t>
      </w:r>
      <w:r>
        <w:rPr>
          <w:color w:val="000000" w:themeColor="text1"/>
        </w:rPr>
        <w:t>per cent</w:t>
      </w:r>
      <w:r w:rsidRPr="00D0363B">
        <w:rPr>
          <w:color w:val="000000" w:themeColor="text1"/>
        </w:rPr>
        <w:t xml:space="preserve"> of all clients), and Aboriginal and Torres Strait Islander headspace clients are a higher percentage (</w:t>
      </w:r>
      <w:r w:rsidR="00E60D9F">
        <w:rPr>
          <w:color w:val="000000" w:themeColor="text1"/>
        </w:rPr>
        <w:t>seven</w:t>
      </w:r>
      <w:r>
        <w:rPr>
          <w:color w:val="000000" w:themeColor="text1"/>
        </w:rPr>
        <w:t xml:space="preserve"> per cent</w:t>
      </w:r>
      <w:r w:rsidRPr="00D0363B">
        <w:rPr>
          <w:color w:val="000000" w:themeColor="text1"/>
        </w:rPr>
        <w:t>) than this age group population as a whole (</w:t>
      </w:r>
      <w:r>
        <w:rPr>
          <w:color w:val="000000" w:themeColor="text1"/>
        </w:rPr>
        <w:t>six</w:t>
      </w:r>
      <w:r w:rsidR="00DE20A0">
        <w:rPr>
          <w:color w:val="000000" w:themeColor="text1"/>
        </w:rPr>
        <w:t xml:space="preserve"> </w:t>
      </w:r>
      <w:r>
        <w:rPr>
          <w:color w:val="000000" w:themeColor="text1"/>
        </w:rPr>
        <w:t>per cent</w:t>
      </w:r>
      <w:r w:rsidRPr="00D0363B">
        <w:rPr>
          <w:color w:val="000000" w:themeColor="text1"/>
        </w:rPr>
        <w:t>).</w:t>
      </w:r>
      <w:r w:rsidR="00AD3183">
        <w:rPr>
          <w:color w:val="000000" w:themeColor="text1"/>
        </w:rPr>
        <w:t xml:space="preserve">The proportion of Aboriginal and Torres Strait Islander young people has remained steady, with a higher proportion accessing headspace services than their share of the total population. </w:t>
      </w:r>
    </w:p>
    <w:p w14:paraId="46AAA04A" w14:textId="7056A0F8" w:rsidR="00D63473" w:rsidRPr="00713D8B" w:rsidRDefault="00D63473" w:rsidP="00D63473">
      <w:pPr>
        <w:pStyle w:val="Caption"/>
      </w:pPr>
      <w:bookmarkStart w:id="249" w:name="_Toc108109000"/>
      <w:r>
        <w:t xml:space="preserve">Table </w:t>
      </w:r>
      <w:r>
        <w:fldChar w:fldCharType="begin"/>
      </w:r>
      <w:r>
        <w:instrText>SEQ Table \* ARABIC</w:instrText>
      </w:r>
      <w:r>
        <w:fldChar w:fldCharType="separate"/>
      </w:r>
      <w:r w:rsidR="00CC0438">
        <w:rPr>
          <w:noProof/>
        </w:rPr>
        <w:t>50</w:t>
      </w:r>
      <w:r>
        <w:fldChar w:fldCharType="end"/>
      </w:r>
      <w:r>
        <w:t>: Share of young people accessing headspace who are Aboriginal and Torres Strait Islander</w:t>
      </w:r>
      <w:bookmarkEnd w:id="249"/>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hare of young people accessing headspace who are Aboriginal and Torres Strait Islanders"/>
        <w:tblDescription w:val="Table has 3 columns and summarises the proportion of young people acceding headspace who are Aboriginal and Torres Strait Islander. Column 1 includes each financial year analysed. Column 2 includes the proportion of headspace users for the year that identify as Aboriginal and Torres Strait Islander. Column 3 includes the proportion of young people who identify as Aboriginal and Torres Strait Islander in the broader population per year.&#10;"/>
      </w:tblPr>
      <w:tblGrid>
        <w:gridCol w:w="2268"/>
        <w:gridCol w:w="3401"/>
        <w:gridCol w:w="3401"/>
      </w:tblGrid>
      <w:tr w:rsidR="00D63473" w:rsidRPr="00D65A2D" w14:paraId="2570D9A6" w14:textId="77777777" w:rsidTr="00F27C38">
        <w:trPr>
          <w:tblHeader/>
          <w:jc w:val="center"/>
        </w:trPr>
        <w:tc>
          <w:tcPr>
            <w:tcW w:w="1250" w:type="pct"/>
            <w:tcBorders>
              <w:bottom w:val="single" w:sz="4" w:space="0" w:color="00338D"/>
            </w:tcBorders>
            <w:shd w:val="clear" w:color="auto" w:fill="00338D"/>
          </w:tcPr>
          <w:p w14:paraId="1AD411A0" w14:textId="77777777" w:rsidR="00D63473" w:rsidRPr="001D6913" w:rsidRDefault="00D63473" w:rsidP="00F27C38">
            <w:pPr>
              <w:pStyle w:val="Tableheading"/>
              <w:ind w:left="34"/>
              <w:jc w:val="center"/>
            </w:pPr>
            <w:r>
              <w:t xml:space="preserve">Financial Year </w:t>
            </w:r>
          </w:p>
        </w:tc>
        <w:tc>
          <w:tcPr>
            <w:tcW w:w="1875" w:type="pct"/>
            <w:tcBorders>
              <w:bottom w:val="single" w:sz="4" w:space="0" w:color="00338D"/>
            </w:tcBorders>
            <w:shd w:val="clear" w:color="auto" w:fill="00338D"/>
          </w:tcPr>
          <w:p w14:paraId="54B4D953" w14:textId="77777777" w:rsidR="00D63473" w:rsidRPr="001D6913" w:rsidRDefault="00D63473" w:rsidP="00F27C38">
            <w:pPr>
              <w:pStyle w:val="Tableheading"/>
              <w:jc w:val="center"/>
            </w:pPr>
            <w:r>
              <w:t>Percentage of young people who are Aboriginal and Torres Strait Islander - hMDS</w:t>
            </w:r>
          </w:p>
        </w:tc>
        <w:tc>
          <w:tcPr>
            <w:tcW w:w="1875" w:type="pct"/>
            <w:tcBorders>
              <w:bottom w:val="single" w:sz="4" w:space="0" w:color="00338D"/>
            </w:tcBorders>
            <w:shd w:val="clear" w:color="auto" w:fill="00338D"/>
          </w:tcPr>
          <w:p w14:paraId="390239D1" w14:textId="4F2DAE89" w:rsidR="00D63473" w:rsidRDefault="00D63473" w:rsidP="00F27C38">
            <w:pPr>
              <w:pStyle w:val="Tableheading"/>
              <w:jc w:val="center"/>
            </w:pPr>
            <w:r>
              <w:t>Percentage of young people who are Aboriginal and Torres Strait Islander - ABS</w:t>
            </w:r>
            <w:r w:rsidR="00CC0438">
              <w:rPr>
                <w:rFonts w:ascii="ZWAdobeF" w:hAnsi="ZWAdobeF" w:cs="ZWAdobeF"/>
                <w:b w:val="0"/>
                <w:color w:val="auto"/>
                <w:sz w:val="2"/>
                <w:szCs w:val="2"/>
              </w:rPr>
              <w:t>185F</w:t>
            </w:r>
            <w:r>
              <w:rPr>
                <w:rStyle w:val="FootnoteReference"/>
              </w:rPr>
              <w:footnoteReference w:id="187"/>
            </w:r>
            <w:r w:rsidRPr="00B9502F">
              <w:rPr>
                <w:vertAlign w:val="superscript"/>
              </w:rPr>
              <w:t>,</w:t>
            </w:r>
            <w:r w:rsidR="00CC0438">
              <w:rPr>
                <w:rFonts w:ascii="ZWAdobeF" w:hAnsi="ZWAdobeF" w:cs="ZWAdobeF"/>
                <w:b w:val="0"/>
                <w:color w:val="auto"/>
                <w:sz w:val="2"/>
                <w:szCs w:val="2"/>
              </w:rPr>
              <w:t>186F</w:t>
            </w:r>
            <w:r>
              <w:rPr>
                <w:rStyle w:val="FootnoteReference"/>
              </w:rPr>
              <w:footnoteReference w:id="188"/>
            </w:r>
          </w:p>
        </w:tc>
      </w:tr>
      <w:tr w:rsidR="00D63473" w:rsidRPr="00B34FE0" w14:paraId="00C07E68" w14:textId="77777777" w:rsidTr="00104A46">
        <w:trPr>
          <w:trHeight w:val="229"/>
          <w:jc w:val="center"/>
        </w:trPr>
        <w:tc>
          <w:tcPr>
            <w:tcW w:w="1250" w:type="pct"/>
            <w:tcBorders>
              <w:top w:val="single" w:sz="4" w:space="0" w:color="00338D"/>
              <w:bottom w:val="single" w:sz="2" w:space="0" w:color="808080" w:themeColor="background1" w:themeShade="80"/>
            </w:tcBorders>
          </w:tcPr>
          <w:p w14:paraId="755A7D28" w14:textId="77777777" w:rsidR="00D63473" w:rsidRPr="001D6913" w:rsidRDefault="00D63473" w:rsidP="00F27C38">
            <w:pPr>
              <w:pStyle w:val="Tabletext"/>
              <w:jc w:val="center"/>
            </w:pPr>
            <w:r>
              <w:t>2015-16</w:t>
            </w:r>
          </w:p>
        </w:tc>
        <w:tc>
          <w:tcPr>
            <w:tcW w:w="1875" w:type="pct"/>
            <w:tcBorders>
              <w:top w:val="single" w:sz="4" w:space="0" w:color="00338D"/>
              <w:bottom w:val="single" w:sz="2" w:space="0" w:color="808080" w:themeColor="background1" w:themeShade="80"/>
            </w:tcBorders>
          </w:tcPr>
          <w:p w14:paraId="2B806F27" w14:textId="77777777" w:rsidR="00D63473" w:rsidRPr="001D6913" w:rsidRDefault="00D63473" w:rsidP="00F27C38">
            <w:pPr>
              <w:pStyle w:val="Tabletext"/>
              <w:jc w:val="center"/>
            </w:pPr>
            <w:r>
              <w:t>8%</w:t>
            </w:r>
          </w:p>
        </w:tc>
        <w:tc>
          <w:tcPr>
            <w:tcW w:w="1875" w:type="pct"/>
            <w:tcBorders>
              <w:top w:val="single" w:sz="4" w:space="0" w:color="00338D"/>
              <w:bottom w:val="single" w:sz="2" w:space="0" w:color="808080" w:themeColor="background1" w:themeShade="80"/>
            </w:tcBorders>
          </w:tcPr>
          <w:p w14:paraId="7934FC50" w14:textId="77777777" w:rsidR="00D63473" w:rsidRDefault="00D63473" w:rsidP="00F27C38">
            <w:pPr>
              <w:pStyle w:val="Tabletext"/>
              <w:jc w:val="center"/>
            </w:pPr>
            <w:r>
              <w:t>5%</w:t>
            </w:r>
          </w:p>
        </w:tc>
      </w:tr>
      <w:tr w:rsidR="00D63473" w:rsidRPr="00B34FE0" w14:paraId="26780B33" w14:textId="77777777" w:rsidTr="00F27C38">
        <w:trPr>
          <w:jc w:val="center"/>
        </w:trPr>
        <w:tc>
          <w:tcPr>
            <w:tcW w:w="1250" w:type="pct"/>
            <w:tcBorders>
              <w:top w:val="single" w:sz="2" w:space="0" w:color="808080" w:themeColor="background1" w:themeShade="80"/>
              <w:bottom w:val="single" w:sz="2" w:space="0" w:color="808080" w:themeColor="background1" w:themeShade="80"/>
            </w:tcBorders>
          </w:tcPr>
          <w:p w14:paraId="73BDFA46" w14:textId="77777777" w:rsidR="00D63473" w:rsidRPr="001D6913" w:rsidRDefault="00D63473" w:rsidP="00F27C38">
            <w:pPr>
              <w:pStyle w:val="Tabletext"/>
              <w:jc w:val="center"/>
            </w:pPr>
            <w:r>
              <w:t>2016-17</w:t>
            </w:r>
          </w:p>
        </w:tc>
        <w:tc>
          <w:tcPr>
            <w:tcW w:w="1875" w:type="pct"/>
            <w:tcBorders>
              <w:top w:val="single" w:sz="2" w:space="0" w:color="808080" w:themeColor="background1" w:themeShade="80"/>
              <w:bottom w:val="single" w:sz="2" w:space="0" w:color="808080" w:themeColor="background1" w:themeShade="80"/>
            </w:tcBorders>
          </w:tcPr>
          <w:p w14:paraId="5A374CDC" w14:textId="77777777" w:rsidR="00D63473" w:rsidRPr="001D6913" w:rsidRDefault="00D63473" w:rsidP="00F27C38">
            <w:pPr>
              <w:pStyle w:val="Tabletext"/>
              <w:jc w:val="center"/>
            </w:pPr>
            <w:r>
              <w:t>8%</w:t>
            </w:r>
          </w:p>
        </w:tc>
        <w:tc>
          <w:tcPr>
            <w:tcW w:w="1875" w:type="pct"/>
            <w:tcBorders>
              <w:top w:val="single" w:sz="2" w:space="0" w:color="808080" w:themeColor="background1" w:themeShade="80"/>
              <w:bottom w:val="single" w:sz="2" w:space="0" w:color="808080" w:themeColor="background1" w:themeShade="80"/>
            </w:tcBorders>
          </w:tcPr>
          <w:p w14:paraId="168C7BDA" w14:textId="77777777" w:rsidR="00D63473" w:rsidRDefault="00D63473" w:rsidP="00F27C38">
            <w:pPr>
              <w:pStyle w:val="Tabletext"/>
              <w:jc w:val="center"/>
            </w:pPr>
            <w:r>
              <w:t>5%</w:t>
            </w:r>
          </w:p>
        </w:tc>
      </w:tr>
      <w:tr w:rsidR="00D63473" w:rsidRPr="00B34FE0" w14:paraId="269BE8F2" w14:textId="77777777" w:rsidTr="00F27C38">
        <w:trPr>
          <w:jc w:val="center"/>
        </w:trPr>
        <w:tc>
          <w:tcPr>
            <w:tcW w:w="1250" w:type="pct"/>
            <w:tcBorders>
              <w:top w:val="single" w:sz="2" w:space="0" w:color="808080" w:themeColor="background1" w:themeShade="80"/>
              <w:bottom w:val="single" w:sz="2" w:space="0" w:color="808080" w:themeColor="background1" w:themeShade="80"/>
            </w:tcBorders>
          </w:tcPr>
          <w:p w14:paraId="6652756C" w14:textId="77777777" w:rsidR="00D63473" w:rsidRPr="001D6913" w:rsidRDefault="00D63473" w:rsidP="00F27C38">
            <w:pPr>
              <w:pStyle w:val="Tabletext"/>
              <w:jc w:val="center"/>
            </w:pPr>
            <w:r>
              <w:t>2017-18</w:t>
            </w:r>
            <w:r w:rsidRPr="001D6913">
              <w:t xml:space="preserve"> </w:t>
            </w:r>
          </w:p>
        </w:tc>
        <w:tc>
          <w:tcPr>
            <w:tcW w:w="1875" w:type="pct"/>
            <w:tcBorders>
              <w:top w:val="single" w:sz="2" w:space="0" w:color="808080" w:themeColor="background1" w:themeShade="80"/>
              <w:bottom w:val="single" w:sz="2" w:space="0" w:color="808080" w:themeColor="background1" w:themeShade="80"/>
            </w:tcBorders>
          </w:tcPr>
          <w:p w14:paraId="046F9E88" w14:textId="77777777" w:rsidR="00D63473" w:rsidRPr="001D6913" w:rsidRDefault="00D63473" w:rsidP="00F27C38">
            <w:pPr>
              <w:pStyle w:val="Tabletext"/>
              <w:jc w:val="center"/>
            </w:pPr>
            <w:r>
              <w:t>8%</w:t>
            </w:r>
          </w:p>
        </w:tc>
        <w:tc>
          <w:tcPr>
            <w:tcW w:w="1875" w:type="pct"/>
            <w:tcBorders>
              <w:top w:val="single" w:sz="2" w:space="0" w:color="808080" w:themeColor="background1" w:themeShade="80"/>
              <w:bottom w:val="single" w:sz="2" w:space="0" w:color="808080" w:themeColor="background1" w:themeShade="80"/>
            </w:tcBorders>
          </w:tcPr>
          <w:p w14:paraId="49218945" w14:textId="77777777" w:rsidR="00D63473" w:rsidRDefault="00D63473" w:rsidP="00F27C38">
            <w:pPr>
              <w:pStyle w:val="Tabletext"/>
              <w:jc w:val="center"/>
            </w:pPr>
            <w:r>
              <w:t>5%</w:t>
            </w:r>
          </w:p>
        </w:tc>
      </w:tr>
      <w:tr w:rsidR="00D63473" w:rsidRPr="00B34FE0" w14:paraId="5BE6DE44" w14:textId="77777777" w:rsidTr="00F27C38">
        <w:trPr>
          <w:jc w:val="center"/>
        </w:trPr>
        <w:tc>
          <w:tcPr>
            <w:tcW w:w="1250" w:type="pct"/>
            <w:tcBorders>
              <w:top w:val="single" w:sz="2" w:space="0" w:color="808080" w:themeColor="background1" w:themeShade="80"/>
              <w:bottom w:val="single" w:sz="2" w:space="0" w:color="808080" w:themeColor="background1" w:themeShade="80"/>
            </w:tcBorders>
          </w:tcPr>
          <w:p w14:paraId="46444D54" w14:textId="77777777" w:rsidR="00D63473" w:rsidRPr="001D6913" w:rsidRDefault="00D63473" w:rsidP="00F27C38">
            <w:pPr>
              <w:pStyle w:val="Tabletext"/>
              <w:jc w:val="center"/>
            </w:pPr>
            <w:r>
              <w:t>2018-19</w:t>
            </w:r>
          </w:p>
        </w:tc>
        <w:tc>
          <w:tcPr>
            <w:tcW w:w="1875" w:type="pct"/>
            <w:tcBorders>
              <w:top w:val="single" w:sz="2" w:space="0" w:color="808080" w:themeColor="background1" w:themeShade="80"/>
              <w:bottom w:val="single" w:sz="2" w:space="0" w:color="808080" w:themeColor="background1" w:themeShade="80"/>
            </w:tcBorders>
          </w:tcPr>
          <w:p w14:paraId="455758F2" w14:textId="77777777" w:rsidR="00D63473" w:rsidRPr="001D6913" w:rsidRDefault="00D63473" w:rsidP="00F27C38">
            <w:pPr>
              <w:pStyle w:val="Tabletext"/>
              <w:jc w:val="center"/>
            </w:pPr>
            <w:r>
              <w:t>8%</w:t>
            </w:r>
          </w:p>
        </w:tc>
        <w:tc>
          <w:tcPr>
            <w:tcW w:w="1875" w:type="pct"/>
            <w:tcBorders>
              <w:top w:val="single" w:sz="2" w:space="0" w:color="808080" w:themeColor="background1" w:themeShade="80"/>
              <w:bottom w:val="single" w:sz="2" w:space="0" w:color="808080" w:themeColor="background1" w:themeShade="80"/>
            </w:tcBorders>
          </w:tcPr>
          <w:p w14:paraId="42FC160E" w14:textId="77777777" w:rsidR="00D63473" w:rsidRDefault="00D63473" w:rsidP="00F27C38">
            <w:pPr>
              <w:pStyle w:val="Tabletext"/>
              <w:jc w:val="center"/>
            </w:pPr>
            <w:r>
              <w:t>6%</w:t>
            </w:r>
          </w:p>
        </w:tc>
      </w:tr>
      <w:tr w:rsidR="00D63473" w:rsidRPr="00B34FE0" w14:paraId="6C7CE04E" w14:textId="77777777" w:rsidTr="00F27C38">
        <w:trPr>
          <w:jc w:val="center"/>
        </w:trPr>
        <w:tc>
          <w:tcPr>
            <w:tcW w:w="1250" w:type="pct"/>
            <w:tcBorders>
              <w:top w:val="single" w:sz="2" w:space="0" w:color="808080" w:themeColor="background1" w:themeShade="80"/>
              <w:bottom w:val="single" w:sz="2" w:space="0" w:color="808080" w:themeColor="background1" w:themeShade="80"/>
            </w:tcBorders>
          </w:tcPr>
          <w:p w14:paraId="42E9C5F9" w14:textId="77777777" w:rsidR="00D63473" w:rsidRPr="00D5558C" w:rsidRDefault="00D63473" w:rsidP="00F27C38">
            <w:pPr>
              <w:pStyle w:val="Tabletext"/>
              <w:jc w:val="center"/>
            </w:pPr>
            <w:r w:rsidRPr="00D5558C">
              <w:t>2019-20</w:t>
            </w:r>
          </w:p>
        </w:tc>
        <w:tc>
          <w:tcPr>
            <w:tcW w:w="1875" w:type="pct"/>
            <w:tcBorders>
              <w:top w:val="single" w:sz="2" w:space="0" w:color="808080" w:themeColor="background1" w:themeShade="80"/>
              <w:bottom w:val="single" w:sz="2" w:space="0" w:color="808080" w:themeColor="background1" w:themeShade="80"/>
            </w:tcBorders>
          </w:tcPr>
          <w:p w14:paraId="1D5CB12F" w14:textId="77777777" w:rsidR="00D63473" w:rsidRPr="00D5558C" w:rsidRDefault="00D63473" w:rsidP="00F27C38">
            <w:pPr>
              <w:pStyle w:val="Tabletext"/>
              <w:keepNext/>
              <w:jc w:val="center"/>
            </w:pPr>
            <w:r>
              <w:t>7%</w:t>
            </w:r>
          </w:p>
        </w:tc>
        <w:tc>
          <w:tcPr>
            <w:tcW w:w="1875" w:type="pct"/>
            <w:tcBorders>
              <w:top w:val="single" w:sz="2" w:space="0" w:color="808080" w:themeColor="background1" w:themeShade="80"/>
              <w:bottom w:val="single" w:sz="2" w:space="0" w:color="808080" w:themeColor="background1" w:themeShade="80"/>
            </w:tcBorders>
          </w:tcPr>
          <w:p w14:paraId="080615BE" w14:textId="77777777" w:rsidR="00D63473" w:rsidRPr="00D5558C" w:rsidRDefault="00D63473" w:rsidP="00F27C38">
            <w:pPr>
              <w:pStyle w:val="Tabletext"/>
              <w:keepNext/>
              <w:jc w:val="center"/>
            </w:pPr>
            <w:r>
              <w:t>6%</w:t>
            </w:r>
          </w:p>
        </w:tc>
      </w:tr>
    </w:tbl>
    <w:p w14:paraId="0DB5F8B7" w14:textId="4F50563B" w:rsidR="00D63473" w:rsidRDefault="00D63473" w:rsidP="00D63473">
      <w:pPr>
        <w:pStyle w:val="Source"/>
      </w:pPr>
      <w:r>
        <w:t xml:space="preserve">Source: </w:t>
      </w:r>
      <w:r w:rsidRPr="00A94A01">
        <w:t xml:space="preserve">KPMG </w:t>
      </w:r>
      <w:r>
        <w:t xml:space="preserve">master dataset. See </w:t>
      </w:r>
      <w:r>
        <w:fldChar w:fldCharType="begin" w:fldLock="1"/>
      </w:r>
      <w:r>
        <w:instrText xml:space="preserve"> REF _Ref94856337 \h </w:instrText>
      </w:r>
      <w:r>
        <w:fldChar w:fldCharType="separate"/>
      </w:r>
      <w:r w:rsidR="00022EBD">
        <w:t xml:space="preserve">Figure </w:t>
      </w:r>
      <w:r w:rsidR="00022EBD">
        <w:rPr>
          <w:noProof/>
        </w:rPr>
        <w:t>70</w:t>
      </w:r>
      <w:r>
        <w:fldChar w:fldCharType="end"/>
      </w:r>
      <w:r>
        <w:t xml:space="preserve"> in </w:t>
      </w:r>
      <w:r w:rsidR="001268EC">
        <w:fldChar w:fldCharType="begin" w:fldLock="1"/>
      </w:r>
      <w:r w:rsidR="001268EC">
        <w:instrText xml:space="preserve"> REF _Ref98402466 \w \h </w:instrText>
      </w:r>
      <w:r w:rsidR="001268EC">
        <w:fldChar w:fldCharType="separate"/>
      </w:r>
      <w:r w:rsidR="00AE4D34">
        <w:t>Appendix F</w:t>
      </w:r>
      <w:r w:rsidR="001268EC">
        <w:fldChar w:fldCharType="end"/>
      </w:r>
      <w:r w:rsidRPr="00D5558C">
        <w:t>;</w:t>
      </w:r>
      <w:r>
        <w:t xml:space="preserve"> Australian Bureau of Statistics (ABS) estimated resident population statistics</w:t>
      </w:r>
    </w:p>
    <w:p w14:paraId="19133902" w14:textId="5CF5C47B" w:rsidR="00D63473" w:rsidRDefault="00D63473" w:rsidP="00D63473">
      <w:pPr>
        <w:pStyle w:val="BodyText"/>
      </w:pPr>
      <w:r>
        <w:t xml:space="preserve">Over recent years, the proportion of young people attending headspace who are from culturally and linguistically diverse backgrounds has steadily increased, as shown in </w:t>
      </w:r>
      <w:r w:rsidR="00072CB6">
        <w:fldChar w:fldCharType="begin" w:fldLock="1"/>
      </w:r>
      <w:r w:rsidR="00072CB6">
        <w:instrText xml:space="preserve"> REF _Ref97749429 \h </w:instrText>
      </w:r>
      <w:r w:rsidR="00072CB6">
        <w:fldChar w:fldCharType="separate"/>
      </w:r>
      <w:r w:rsidR="005C7EF6">
        <w:t xml:space="preserve">Table </w:t>
      </w:r>
      <w:r w:rsidR="005C7EF6">
        <w:rPr>
          <w:noProof/>
        </w:rPr>
        <w:t>51</w:t>
      </w:r>
      <w:r w:rsidR="00072CB6">
        <w:fldChar w:fldCharType="end"/>
      </w:r>
      <w:r>
        <w:t xml:space="preserve"> below.</w:t>
      </w:r>
      <w:r w:rsidR="007C79D5">
        <w:t xml:space="preserve"> </w:t>
      </w:r>
      <w:r w:rsidR="007C79D5">
        <w:rPr>
          <w:color w:val="000000" w:themeColor="text1"/>
        </w:rPr>
        <w:t>This suggests increased help seeking from these young people</w:t>
      </w:r>
      <w:r w:rsidR="0071549B">
        <w:rPr>
          <w:color w:val="000000" w:themeColor="text1"/>
        </w:rPr>
        <w:t>, which will require headspace to</w:t>
      </w:r>
      <w:r w:rsidR="006271B2">
        <w:rPr>
          <w:color w:val="000000" w:themeColor="text1"/>
        </w:rPr>
        <w:t xml:space="preserve"> provide increasing numbers of young people with culturally appropriate support. </w:t>
      </w:r>
    </w:p>
    <w:p w14:paraId="117EC1DE" w14:textId="6DFDED7A" w:rsidR="00D63473" w:rsidRDefault="00D63473" w:rsidP="00D63473">
      <w:pPr>
        <w:pStyle w:val="Caption"/>
      </w:pPr>
      <w:bookmarkStart w:id="250" w:name="_Ref97749429"/>
      <w:bookmarkStart w:id="251" w:name="_Toc108109001"/>
      <w:r>
        <w:t xml:space="preserve">Table </w:t>
      </w:r>
      <w:r>
        <w:fldChar w:fldCharType="begin"/>
      </w:r>
      <w:r>
        <w:instrText>SEQ Table \* ARABIC</w:instrText>
      </w:r>
      <w:r>
        <w:fldChar w:fldCharType="separate"/>
      </w:r>
      <w:r w:rsidR="00CC0438">
        <w:rPr>
          <w:noProof/>
        </w:rPr>
        <w:t>51</w:t>
      </w:r>
      <w:r>
        <w:fldChar w:fldCharType="end"/>
      </w:r>
      <w:bookmarkEnd w:id="250"/>
      <w:r>
        <w:t>: Share of young people accessing headspace with culturally and linguistically diverse backgrounds</w:t>
      </w:r>
      <w:bookmarkEnd w:id="251"/>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hare of young people accessing headspace with CALD backgrounds"/>
        <w:tblDescription w:val="Table has 2 columns and summarises the share of young people accessing headspace from culturally and linguistically diverse backgrounds. Column 1 includes each financial year analysed. Column 2 includes the proportion of headspace users for the year that were from culturally and linguistically diverse backgrounds.&#10;"/>
      </w:tblPr>
      <w:tblGrid>
        <w:gridCol w:w="4374"/>
        <w:gridCol w:w="4696"/>
      </w:tblGrid>
      <w:tr w:rsidR="00D63473" w:rsidRPr="00D65A2D" w14:paraId="227457E3" w14:textId="77777777" w:rsidTr="00F27C38">
        <w:trPr>
          <w:tblHeader/>
          <w:jc w:val="center"/>
        </w:trPr>
        <w:tc>
          <w:tcPr>
            <w:tcW w:w="2411" w:type="pct"/>
            <w:tcBorders>
              <w:bottom w:val="single" w:sz="4" w:space="0" w:color="00338D"/>
            </w:tcBorders>
            <w:shd w:val="clear" w:color="auto" w:fill="00338D"/>
          </w:tcPr>
          <w:p w14:paraId="46E027B5" w14:textId="77777777" w:rsidR="00D63473" w:rsidRPr="001D6913" w:rsidRDefault="00D63473" w:rsidP="00F27C38">
            <w:pPr>
              <w:pStyle w:val="Tableheading"/>
              <w:ind w:left="34"/>
              <w:jc w:val="center"/>
            </w:pPr>
            <w:r>
              <w:t xml:space="preserve">Financial Year </w:t>
            </w:r>
          </w:p>
        </w:tc>
        <w:tc>
          <w:tcPr>
            <w:tcW w:w="2589" w:type="pct"/>
            <w:tcBorders>
              <w:bottom w:val="single" w:sz="4" w:space="0" w:color="00338D"/>
            </w:tcBorders>
            <w:shd w:val="clear" w:color="auto" w:fill="00338D"/>
          </w:tcPr>
          <w:p w14:paraId="20601E3A" w14:textId="77777777" w:rsidR="00D63473" w:rsidRPr="001D6913" w:rsidRDefault="00D63473" w:rsidP="00F27C38">
            <w:pPr>
              <w:pStyle w:val="Tableheading"/>
              <w:jc w:val="center"/>
            </w:pPr>
            <w:r>
              <w:t>Percentage of young people with culturally and linguistically diverse backgrounds</w:t>
            </w:r>
          </w:p>
        </w:tc>
      </w:tr>
      <w:tr w:rsidR="00D63473" w:rsidRPr="00B34FE0" w14:paraId="2923D46E" w14:textId="77777777" w:rsidTr="00F27C38">
        <w:trPr>
          <w:jc w:val="center"/>
        </w:trPr>
        <w:tc>
          <w:tcPr>
            <w:tcW w:w="2411" w:type="pct"/>
            <w:tcBorders>
              <w:top w:val="single" w:sz="4" w:space="0" w:color="00338D"/>
              <w:bottom w:val="single" w:sz="2" w:space="0" w:color="808080" w:themeColor="background1" w:themeShade="80"/>
            </w:tcBorders>
          </w:tcPr>
          <w:p w14:paraId="645C5782" w14:textId="77777777" w:rsidR="00D63473" w:rsidRPr="001D6913" w:rsidRDefault="00D63473" w:rsidP="00F27C38">
            <w:pPr>
              <w:pStyle w:val="Tabletext"/>
              <w:jc w:val="center"/>
            </w:pPr>
            <w:r>
              <w:t>2015-16</w:t>
            </w:r>
          </w:p>
        </w:tc>
        <w:tc>
          <w:tcPr>
            <w:tcW w:w="2589" w:type="pct"/>
            <w:tcBorders>
              <w:top w:val="single" w:sz="4" w:space="0" w:color="00338D"/>
              <w:bottom w:val="single" w:sz="2" w:space="0" w:color="808080" w:themeColor="background1" w:themeShade="80"/>
            </w:tcBorders>
          </w:tcPr>
          <w:p w14:paraId="45961155" w14:textId="77777777" w:rsidR="00D63473" w:rsidRPr="001D6913" w:rsidRDefault="00D63473" w:rsidP="00F27C38">
            <w:pPr>
              <w:pStyle w:val="Tabletext"/>
              <w:jc w:val="center"/>
            </w:pPr>
            <w:r>
              <w:t>8%</w:t>
            </w:r>
          </w:p>
        </w:tc>
      </w:tr>
      <w:tr w:rsidR="00D63473" w:rsidRPr="00B34FE0" w14:paraId="64E9AB69" w14:textId="77777777" w:rsidTr="00F27C38">
        <w:trPr>
          <w:jc w:val="center"/>
        </w:trPr>
        <w:tc>
          <w:tcPr>
            <w:tcW w:w="2411" w:type="pct"/>
            <w:tcBorders>
              <w:top w:val="single" w:sz="2" w:space="0" w:color="808080" w:themeColor="background1" w:themeShade="80"/>
              <w:bottom w:val="single" w:sz="2" w:space="0" w:color="808080" w:themeColor="background1" w:themeShade="80"/>
            </w:tcBorders>
          </w:tcPr>
          <w:p w14:paraId="5E993EAD" w14:textId="77777777" w:rsidR="00D63473" w:rsidRPr="001D6913" w:rsidRDefault="00D63473" w:rsidP="00F27C38">
            <w:pPr>
              <w:pStyle w:val="Tabletext"/>
              <w:jc w:val="center"/>
            </w:pPr>
            <w:r>
              <w:t>2016-17</w:t>
            </w:r>
          </w:p>
        </w:tc>
        <w:tc>
          <w:tcPr>
            <w:tcW w:w="2589" w:type="pct"/>
            <w:tcBorders>
              <w:top w:val="single" w:sz="2" w:space="0" w:color="808080" w:themeColor="background1" w:themeShade="80"/>
              <w:bottom w:val="single" w:sz="2" w:space="0" w:color="808080" w:themeColor="background1" w:themeShade="80"/>
            </w:tcBorders>
          </w:tcPr>
          <w:p w14:paraId="38064DF6" w14:textId="77777777" w:rsidR="00D63473" w:rsidRPr="001D6913" w:rsidRDefault="00D63473" w:rsidP="00F27C38">
            <w:pPr>
              <w:pStyle w:val="Tabletext"/>
              <w:jc w:val="center"/>
            </w:pPr>
            <w:r>
              <w:t>8%</w:t>
            </w:r>
          </w:p>
        </w:tc>
      </w:tr>
      <w:tr w:rsidR="00D63473" w:rsidRPr="00B34FE0" w14:paraId="450207BC" w14:textId="77777777" w:rsidTr="00F27C38">
        <w:trPr>
          <w:jc w:val="center"/>
        </w:trPr>
        <w:tc>
          <w:tcPr>
            <w:tcW w:w="2411" w:type="pct"/>
            <w:tcBorders>
              <w:top w:val="single" w:sz="2" w:space="0" w:color="808080" w:themeColor="background1" w:themeShade="80"/>
              <w:bottom w:val="single" w:sz="2" w:space="0" w:color="808080" w:themeColor="background1" w:themeShade="80"/>
            </w:tcBorders>
          </w:tcPr>
          <w:p w14:paraId="7361BB33" w14:textId="77777777" w:rsidR="00D63473" w:rsidRPr="001D6913" w:rsidRDefault="00D63473" w:rsidP="00F27C38">
            <w:pPr>
              <w:pStyle w:val="Tabletext"/>
              <w:jc w:val="center"/>
            </w:pPr>
            <w:r>
              <w:t>2017-18</w:t>
            </w:r>
            <w:r w:rsidRPr="001D6913">
              <w:t xml:space="preserve"> </w:t>
            </w:r>
          </w:p>
        </w:tc>
        <w:tc>
          <w:tcPr>
            <w:tcW w:w="2589" w:type="pct"/>
            <w:tcBorders>
              <w:top w:val="single" w:sz="2" w:space="0" w:color="808080" w:themeColor="background1" w:themeShade="80"/>
              <w:bottom w:val="single" w:sz="2" w:space="0" w:color="808080" w:themeColor="background1" w:themeShade="80"/>
            </w:tcBorders>
          </w:tcPr>
          <w:p w14:paraId="07578E7D" w14:textId="77777777" w:rsidR="00D63473" w:rsidRPr="001D6913" w:rsidRDefault="00D63473" w:rsidP="00F27C38">
            <w:pPr>
              <w:pStyle w:val="Tabletext"/>
              <w:jc w:val="center"/>
            </w:pPr>
            <w:r>
              <w:t>8%</w:t>
            </w:r>
          </w:p>
        </w:tc>
      </w:tr>
      <w:tr w:rsidR="00D63473" w:rsidRPr="00B34FE0" w14:paraId="6B7593D0" w14:textId="77777777" w:rsidTr="00F27C38">
        <w:trPr>
          <w:jc w:val="center"/>
        </w:trPr>
        <w:tc>
          <w:tcPr>
            <w:tcW w:w="2411" w:type="pct"/>
            <w:tcBorders>
              <w:top w:val="single" w:sz="2" w:space="0" w:color="808080" w:themeColor="background1" w:themeShade="80"/>
              <w:bottom w:val="single" w:sz="2" w:space="0" w:color="808080" w:themeColor="background1" w:themeShade="80"/>
            </w:tcBorders>
          </w:tcPr>
          <w:p w14:paraId="79EF8538" w14:textId="77777777" w:rsidR="00D63473" w:rsidRPr="001D6913" w:rsidRDefault="00D63473" w:rsidP="00F27C38">
            <w:pPr>
              <w:pStyle w:val="Tabletext"/>
              <w:jc w:val="center"/>
            </w:pPr>
            <w:r>
              <w:t>2018-19</w:t>
            </w:r>
          </w:p>
        </w:tc>
        <w:tc>
          <w:tcPr>
            <w:tcW w:w="2589" w:type="pct"/>
            <w:tcBorders>
              <w:top w:val="single" w:sz="2" w:space="0" w:color="808080" w:themeColor="background1" w:themeShade="80"/>
              <w:bottom w:val="single" w:sz="2" w:space="0" w:color="808080" w:themeColor="background1" w:themeShade="80"/>
            </w:tcBorders>
          </w:tcPr>
          <w:p w14:paraId="74D6B1F2" w14:textId="77777777" w:rsidR="00D63473" w:rsidRPr="001D6913" w:rsidRDefault="00D63473" w:rsidP="00F27C38">
            <w:pPr>
              <w:pStyle w:val="Tabletext"/>
              <w:jc w:val="center"/>
            </w:pPr>
            <w:r>
              <w:t>9%</w:t>
            </w:r>
          </w:p>
        </w:tc>
      </w:tr>
      <w:tr w:rsidR="00D63473" w:rsidRPr="00B34FE0" w14:paraId="31971240" w14:textId="77777777" w:rsidTr="00F27C38">
        <w:trPr>
          <w:jc w:val="center"/>
        </w:trPr>
        <w:tc>
          <w:tcPr>
            <w:tcW w:w="2411" w:type="pct"/>
            <w:tcBorders>
              <w:top w:val="single" w:sz="2" w:space="0" w:color="808080" w:themeColor="background1" w:themeShade="80"/>
              <w:bottom w:val="single" w:sz="2" w:space="0" w:color="808080" w:themeColor="background1" w:themeShade="80"/>
            </w:tcBorders>
          </w:tcPr>
          <w:p w14:paraId="18B478FE" w14:textId="77777777" w:rsidR="00D63473" w:rsidRPr="004E5977" w:rsidRDefault="00D63473" w:rsidP="00F27C38">
            <w:pPr>
              <w:pStyle w:val="Tabletext"/>
              <w:jc w:val="center"/>
            </w:pPr>
            <w:r w:rsidRPr="004E5977">
              <w:t>2019-20</w:t>
            </w:r>
          </w:p>
        </w:tc>
        <w:tc>
          <w:tcPr>
            <w:tcW w:w="2589" w:type="pct"/>
            <w:tcBorders>
              <w:top w:val="single" w:sz="2" w:space="0" w:color="808080" w:themeColor="background1" w:themeShade="80"/>
              <w:bottom w:val="single" w:sz="2" w:space="0" w:color="808080" w:themeColor="background1" w:themeShade="80"/>
            </w:tcBorders>
          </w:tcPr>
          <w:p w14:paraId="5E926770" w14:textId="77777777" w:rsidR="00D63473" w:rsidRPr="004E5977" w:rsidRDefault="00D63473" w:rsidP="00F27C38">
            <w:pPr>
              <w:pStyle w:val="Tabletext"/>
              <w:keepNext/>
              <w:jc w:val="center"/>
            </w:pPr>
            <w:r>
              <w:t>10%</w:t>
            </w:r>
          </w:p>
        </w:tc>
      </w:tr>
    </w:tbl>
    <w:p w14:paraId="0BA3DD92" w14:textId="09A257E2" w:rsidR="00D63473" w:rsidRDefault="00D63473" w:rsidP="00D63473">
      <w:pPr>
        <w:pStyle w:val="Source"/>
      </w:pPr>
      <w:r>
        <w:t xml:space="preserve">Source: </w:t>
      </w:r>
      <w:r w:rsidRPr="00A94A01">
        <w:t xml:space="preserve">KPMG </w:t>
      </w:r>
      <w:r>
        <w:t xml:space="preserve">master dataset. </w:t>
      </w:r>
      <w:r w:rsidRPr="004E5977">
        <w:t xml:space="preserve">See </w:t>
      </w:r>
      <w:r>
        <w:fldChar w:fldCharType="begin" w:fldLock="1"/>
      </w:r>
      <w:r>
        <w:instrText xml:space="preserve"> REF _Ref94856337 \h </w:instrText>
      </w:r>
      <w:r>
        <w:fldChar w:fldCharType="separate"/>
      </w:r>
      <w:r w:rsidR="000C245D">
        <w:t xml:space="preserve">Figure </w:t>
      </w:r>
      <w:r w:rsidR="000C245D">
        <w:rPr>
          <w:noProof/>
        </w:rPr>
        <w:t>70</w:t>
      </w:r>
      <w:r>
        <w:fldChar w:fldCharType="end"/>
      </w:r>
      <w:r w:rsidRPr="004E5977">
        <w:t xml:space="preserve"> in </w:t>
      </w:r>
      <w:r w:rsidR="001268EC">
        <w:fldChar w:fldCharType="begin" w:fldLock="1"/>
      </w:r>
      <w:r w:rsidR="001268EC">
        <w:instrText xml:space="preserve"> REF _Ref98402466 \w \h </w:instrText>
      </w:r>
      <w:r w:rsidR="001268EC">
        <w:fldChar w:fldCharType="separate"/>
      </w:r>
      <w:r w:rsidR="00AE4D34">
        <w:t>Appendix F</w:t>
      </w:r>
      <w:r w:rsidR="001268EC">
        <w:fldChar w:fldCharType="end"/>
      </w:r>
      <w:r>
        <w:t>.</w:t>
      </w:r>
    </w:p>
    <w:p w14:paraId="2D20CFDE" w14:textId="7A6115AD" w:rsidR="00092284" w:rsidRDefault="00D63473" w:rsidP="000244E4">
      <w:pPr>
        <w:pStyle w:val="BodyText"/>
      </w:pPr>
      <w:r>
        <w:rPr>
          <w:lang w:eastAsia="en-AU"/>
        </w:rPr>
        <w:t xml:space="preserve">There </w:t>
      </w:r>
      <w:r w:rsidR="00310DDF">
        <w:rPr>
          <w:lang w:eastAsia="en-AU"/>
        </w:rPr>
        <w:t xml:space="preserve">has </w:t>
      </w:r>
      <w:r>
        <w:rPr>
          <w:lang w:eastAsia="en-AU"/>
        </w:rPr>
        <w:t xml:space="preserve">been </w:t>
      </w:r>
      <w:r w:rsidR="00310DDF">
        <w:rPr>
          <w:lang w:eastAsia="en-AU"/>
        </w:rPr>
        <w:t xml:space="preserve">a </w:t>
      </w:r>
      <w:r>
        <w:rPr>
          <w:lang w:eastAsia="en-AU"/>
        </w:rPr>
        <w:t>relatively high</w:t>
      </w:r>
      <w:r w:rsidR="00DA40A8">
        <w:rPr>
          <w:lang w:eastAsia="en-AU"/>
        </w:rPr>
        <w:t xml:space="preserve"> proportion</w:t>
      </w:r>
      <w:r w:rsidR="00310DDF">
        <w:rPr>
          <w:lang w:eastAsia="en-AU"/>
        </w:rPr>
        <w:t xml:space="preserve"> of headspace clients who identify as </w:t>
      </w:r>
      <w:r w:rsidR="003C58A8">
        <w:t xml:space="preserve">LGBTQIA+ </w:t>
      </w:r>
      <w:r>
        <w:rPr>
          <w:lang w:eastAsia="en-AU"/>
        </w:rPr>
        <w:t>accessing headspace services over time</w:t>
      </w:r>
      <w:r w:rsidR="007C2BC0">
        <w:rPr>
          <w:lang w:eastAsia="en-AU"/>
        </w:rPr>
        <w:t xml:space="preserve">, with the proportion </w:t>
      </w:r>
      <w:r w:rsidR="00153328">
        <w:rPr>
          <w:lang w:eastAsia="en-AU"/>
        </w:rPr>
        <w:t xml:space="preserve">steadily </w:t>
      </w:r>
      <w:r w:rsidR="007C2BC0">
        <w:rPr>
          <w:lang w:eastAsia="en-AU"/>
        </w:rPr>
        <w:t xml:space="preserve">growing </w:t>
      </w:r>
      <w:r w:rsidR="00153328">
        <w:rPr>
          <w:lang w:eastAsia="en-AU"/>
        </w:rPr>
        <w:t xml:space="preserve">over </w:t>
      </w:r>
      <w:r w:rsidR="00FE0334">
        <w:rPr>
          <w:lang w:eastAsia="en-AU"/>
        </w:rPr>
        <w:t>recent years</w:t>
      </w:r>
      <w:r w:rsidR="001A7BE3">
        <w:rPr>
          <w:lang w:eastAsia="en-AU"/>
        </w:rPr>
        <w:t>.</w:t>
      </w:r>
      <w:r w:rsidR="001A7BE3">
        <w:t xml:space="preserve"> </w:t>
      </w:r>
    </w:p>
    <w:p w14:paraId="1ABEB404" w14:textId="65AAAE0E" w:rsidR="00D63473" w:rsidRDefault="00D63473" w:rsidP="00D63473">
      <w:pPr>
        <w:pStyle w:val="Caption"/>
      </w:pPr>
      <w:bookmarkStart w:id="252" w:name="_Toc108109002"/>
      <w:r>
        <w:t xml:space="preserve">Table </w:t>
      </w:r>
      <w:r>
        <w:fldChar w:fldCharType="begin"/>
      </w:r>
      <w:r>
        <w:instrText>SEQ Table \* ARABIC</w:instrText>
      </w:r>
      <w:r>
        <w:fldChar w:fldCharType="separate"/>
      </w:r>
      <w:r w:rsidR="00CC0438">
        <w:rPr>
          <w:noProof/>
        </w:rPr>
        <w:t>52</w:t>
      </w:r>
      <w:r>
        <w:fldChar w:fldCharType="end"/>
      </w:r>
      <w:r>
        <w:t xml:space="preserve"> :Share of young people who identify as LGBTQIA+</w:t>
      </w:r>
      <w:bookmarkEnd w:id="252"/>
    </w:p>
    <w:tbl>
      <w:tblPr>
        <w:tblStyle w:val="TableGrid"/>
        <w:tblW w:w="49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hare of young people who identify as LGBTQIA+"/>
        <w:tblDescription w:val="Table has 2 columns and summarises the share of young people accessing headspace who identify as LGBTQIA+. Column 1 includes each financial year analysed. Column 2 includes the proportion of headspace users for the year that identify as LGBTQIA+.&#10;"/>
      </w:tblPr>
      <w:tblGrid>
        <w:gridCol w:w="4517"/>
        <w:gridCol w:w="4517"/>
      </w:tblGrid>
      <w:tr w:rsidR="00D63473" w:rsidRPr="00D65A2D" w14:paraId="23CF5429" w14:textId="77777777" w:rsidTr="00F27C38">
        <w:trPr>
          <w:tblHeader/>
          <w:jc w:val="center"/>
        </w:trPr>
        <w:tc>
          <w:tcPr>
            <w:tcW w:w="2500" w:type="pct"/>
            <w:tcBorders>
              <w:bottom w:val="single" w:sz="4" w:space="0" w:color="00338D"/>
            </w:tcBorders>
            <w:shd w:val="clear" w:color="auto" w:fill="00338D"/>
          </w:tcPr>
          <w:p w14:paraId="210CAB29" w14:textId="77777777" w:rsidR="00D63473" w:rsidRPr="001D6913" w:rsidRDefault="00D63473" w:rsidP="00F27C38">
            <w:pPr>
              <w:pStyle w:val="Tableheading"/>
              <w:ind w:left="34"/>
              <w:jc w:val="center"/>
            </w:pPr>
            <w:r>
              <w:t xml:space="preserve">Financial Year </w:t>
            </w:r>
          </w:p>
        </w:tc>
        <w:tc>
          <w:tcPr>
            <w:tcW w:w="2500" w:type="pct"/>
            <w:tcBorders>
              <w:bottom w:val="single" w:sz="4" w:space="0" w:color="00338D"/>
            </w:tcBorders>
            <w:shd w:val="clear" w:color="auto" w:fill="00338D"/>
          </w:tcPr>
          <w:p w14:paraId="7E0F1616" w14:textId="77777777" w:rsidR="00D63473" w:rsidRPr="001D6913" w:rsidRDefault="00D63473" w:rsidP="00F27C38">
            <w:pPr>
              <w:pStyle w:val="Tableheading"/>
              <w:jc w:val="center"/>
            </w:pPr>
            <w:r>
              <w:t xml:space="preserve">Percentage of young people who identify as LGBTQIA+ </w:t>
            </w:r>
          </w:p>
        </w:tc>
      </w:tr>
      <w:tr w:rsidR="00D63473" w:rsidRPr="00B34FE0" w14:paraId="310C698C" w14:textId="77777777" w:rsidTr="00F27C38">
        <w:trPr>
          <w:jc w:val="center"/>
        </w:trPr>
        <w:tc>
          <w:tcPr>
            <w:tcW w:w="2500" w:type="pct"/>
            <w:tcBorders>
              <w:top w:val="single" w:sz="4" w:space="0" w:color="00338D"/>
              <w:bottom w:val="single" w:sz="2" w:space="0" w:color="808080" w:themeColor="background1" w:themeShade="80"/>
            </w:tcBorders>
          </w:tcPr>
          <w:p w14:paraId="63DC80A2" w14:textId="77777777" w:rsidR="00D63473" w:rsidRPr="001D6913" w:rsidRDefault="00D63473" w:rsidP="00F27C38">
            <w:pPr>
              <w:pStyle w:val="Tabletext"/>
              <w:jc w:val="center"/>
            </w:pPr>
            <w:r>
              <w:t>2015-16</w:t>
            </w:r>
          </w:p>
        </w:tc>
        <w:tc>
          <w:tcPr>
            <w:tcW w:w="2500" w:type="pct"/>
            <w:tcBorders>
              <w:top w:val="single" w:sz="4" w:space="0" w:color="00338D"/>
              <w:bottom w:val="single" w:sz="2" w:space="0" w:color="808080" w:themeColor="background1" w:themeShade="80"/>
            </w:tcBorders>
            <w:vAlign w:val="bottom"/>
          </w:tcPr>
          <w:p w14:paraId="1D3FBB98" w14:textId="77777777" w:rsidR="00D63473" w:rsidRPr="0078251F" w:rsidRDefault="00D63473" w:rsidP="00F27C38">
            <w:pPr>
              <w:pStyle w:val="Tabletext"/>
              <w:jc w:val="center"/>
              <w:rPr>
                <w:szCs w:val="20"/>
              </w:rPr>
            </w:pPr>
            <w:r>
              <w:t>18%</w:t>
            </w:r>
          </w:p>
        </w:tc>
      </w:tr>
      <w:tr w:rsidR="00D63473" w:rsidRPr="00B34FE0" w14:paraId="6D1BBBAB" w14:textId="77777777" w:rsidTr="00F27C38">
        <w:trPr>
          <w:jc w:val="center"/>
        </w:trPr>
        <w:tc>
          <w:tcPr>
            <w:tcW w:w="2500" w:type="pct"/>
            <w:tcBorders>
              <w:top w:val="single" w:sz="2" w:space="0" w:color="808080" w:themeColor="background1" w:themeShade="80"/>
              <w:bottom w:val="single" w:sz="2" w:space="0" w:color="808080" w:themeColor="background1" w:themeShade="80"/>
            </w:tcBorders>
          </w:tcPr>
          <w:p w14:paraId="4439E398" w14:textId="77777777" w:rsidR="00D63473" w:rsidRPr="001D6913" w:rsidRDefault="00D63473" w:rsidP="00F27C38">
            <w:pPr>
              <w:pStyle w:val="Tabletext"/>
              <w:jc w:val="center"/>
            </w:pPr>
            <w:r>
              <w:t>2016-17</w:t>
            </w:r>
          </w:p>
        </w:tc>
        <w:tc>
          <w:tcPr>
            <w:tcW w:w="2500" w:type="pct"/>
            <w:tcBorders>
              <w:top w:val="single" w:sz="2" w:space="0" w:color="808080" w:themeColor="background1" w:themeShade="80"/>
              <w:bottom w:val="single" w:sz="2" w:space="0" w:color="808080" w:themeColor="background1" w:themeShade="80"/>
            </w:tcBorders>
            <w:vAlign w:val="bottom"/>
          </w:tcPr>
          <w:p w14:paraId="7BDD1FD9" w14:textId="77777777" w:rsidR="00D63473" w:rsidRPr="0078251F" w:rsidRDefault="00D63473" w:rsidP="00F27C38">
            <w:pPr>
              <w:pStyle w:val="Tabletext"/>
              <w:jc w:val="center"/>
              <w:rPr>
                <w:szCs w:val="20"/>
              </w:rPr>
            </w:pPr>
            <w:r>
              <w:t>19%</w:t>
            </w:r>
          </w:p>
        </w:tc>
      </w:tr>
      <w:tr w:rsidR="00D63473" w:rsidRPr="00B34FE0" w14:paraId="33CA2DF9" w14:textId="77777777" w:rsidTr="00F27C38">
        <w:trPr>
          <w:jc w:val="center"/>
        </w:trPr>
        <w:tc>
          <w:tcPr>
            <w:tcW w:w="2500" w:type="pct"/>
            <w:tcBorders>
              <w:top w:val="single" w:sz="2" w:space="0" w:color="808080" w:themeColor="background1" w:themeShade="80"/>
              <w:bottom w:val="single" w:sz="2" w:space="0" w:color="808080" w:themeColor="background1" w:themeShade="80"/>
            </w:tcBorders>
          </w:tcPr>
          <w:p w14:paraId="5BFB886E" w14:textId="77777777" w:rsidR="00D63473" w:rsidRPr="001D6913" w:rsidRDefault="00D63473" w:rsidP="00F27C38">
            <w:pPr>
              <w:pStyle w:val="Tabletext"/>
              <w:jc w:val="center"/>
            </w:pPr>
            <w:r>
              <w:t>2017-18</w:t>
            </w:r>
            <w:r w:rsidRPr="001D6913">
              <w:t xml:space="preserve"> </w:t>
            </w:r>
          </w:p>
        </w:tc>
        <w:tc>
          <w:tcPr>
            <w:tcW w:w="2500" w:type="pct"/>
            <w:tcBorders>
              <w:top w:val="single" w:sz="2" w:space="0" w:color="808080" w:themeColor="background1" w:themeShade="80"/>
              <w:bottom w:val="single" w:sz="2" w:space="0" w:color="808080" w:themeColor="background1" w:themeShade="80"/>
            </w:tcBorders>
            <w:vAlign w:val="bottom"/>
          </w:tcPr>
          <w:p w14:paraId="5BADC0CC" w14:textId="77777777" w:rsidR="00D63473" w:rsidRPr="0078251F" w:rsidRDefault="00D63473" w:rsidP="00F27C38">
            <w:pPr>
              <w:pStyle w:val="Tabletext"/>
              <w:jc w:val="center"/>
              <w:rPr>
                <w:szCs w:val="20"/>
              </w:rPr>
            </w:pPr>
            <w:r>
              <w:t>19%</w:t>
            </w:r>
          </w:p>
        </w:tc>
      </w:tr>
      <w:tr w:rsidR="00D63473" w:rsidRPr="00B34FE0" w14:paraId="41CB64D2" w14:textId="77777777" w:rsidTr="00F27C38">
        <w:trPr>
          <w:jc w:val="center"/>
        </w:trPr>
        <w:tc>
          <w:tcPr>
            <w:tcW w:w="2500" w:type="pct"/>
            <w:tcBorders>
              <w:top w:val="single" w:sz="2" w:space="0" w:color="808080" w:themeColor="background1" w:themeShade="80"/>
              <w:bottom w:val="single" w:sz="2" w:space="0" w:color="808080" w:themeColor="background1" w:themeShade="80"/>
            </w:tcBorders>
          </w:tcPr>
          <w:p w14:paraId="6E527774" w14:textId="77777777" w:rsidR="00D63473" w:rsidRPr="001D6913" w:rsidRDefault="00D63473" w:rsidP="00F27C38">
            <w:pPr>
              <w:pStyle w:val="Tabletext"/>
              <w:jc w:val="center"/>
            </w:pPr>
            <w:r>
              <w:t>2018-19</w:t>
            </w:r>
          </w:p>
        </w:tc>
        <w:tc>
          <w:tcPr>
            <w:tcW w:w="2500" w:type="pct"/>
            <w:tcBorders>
              <w:top w:val="single" w:sz="2" w:space="0" w:color="808080" w:themeColor="background1" w:themeShade="80"/>
              <w:bottom w:val="single" w:sz="2" w:space="0" w:color="808080" w:themeColor="background1" w:themeShade="80"/>
            </w:tcBorders>
            <w:vAlign w:val="bottom"/>
          </w:tcPr>
          <w:p w14:paraId="6CBDA0B6" w14:textId="77777777" w:rsidR="00D63473" w:rsidRPr="0078251F" w:rsidRDefault="00D63473" w:rsidP="00F27C38">
            <w:pPr>
              <w:pStyle w:val="Tabletext"/>
              <w:jc w:val="center"/>
              <w:rPr>
                <w:szCs w:val="20"/>
              </w:rPr>
            </w:pPr>
            <w:r>
              <w:t>20%</w:t>
            </w:r>
          </w:p>
        </w:tc>
      </w:tr>
      <w:tr w:rsidR="00D63473" w:rsidRPr="00B34FE0" w14:paraId="60FC7109" w14:textId="77777777" w:rsidTr="00F27C38">
        <w:trPr>
          <w:jc w:val="center"/>
        </w:trPr>
        <w:tc>
          <w:tcPr>
            <w:tcW w:w="2500" w:type="pct"/>
            <w:tcBorders>
              <w:top w:val="single" w:sz="2" w:space="0" w:color="808080" w:themeColor="background1" w:themeShade="80"/>
              <w:bottom w:val="single" w:sz="2" w:space="0" w:color="808080" w:themeColor="background1" w:themeShade="80"/>
            </w:tcBorders>
          </w:tcPr>
          <w:p w14:paraId="32E7AC20" w14:textId="77777777" w:rsidR="00D63473" w:rsidRPr="00373B5C" w:rsidRDefault="00D63473" w:rsidP="00F27C38">
            <w:pPr>
              <w:pStyle w:val="Tabletext"/>
              <w:jc w:val="center"/>
              <w:rPr>
                <w:highlight w:val="yellow"/>
              </w:rPr>
            </w:pPr>
            <w:r w:rsidRPr="004E5977">
              <w:t>2019-20</w:t>
            </w:r>
          </w:p>
        </w:tc>
        <w:tc>
          <w:tcPr>
            <w:tcW w:w="2500" w:type="pct"/>
            <w:tcBorders>
              <w:top w:val="single" w:sz="2" w:space="0" w:color="808080" w:themeColor="background1" w:themeShade="80"/>
              <w:bottom w:val="single" w:sz="2" w:space="0" w:color="808080" w:themeColor="background1" w:themeShade="80"/>
            </w:tcBorders>
            <w:vAlign w:val="bottom"/>
          </w:tcPr>
          <w:p w14:paraId="7CC30750" w14:textId="77777777" w:rsidR="00D63473" w:rsidRPr="00373B5C" w:rsidRDefault="00D63473" w:rsidP="00F27C38">
            <w:pPr>
              <w:pStyle w:val="Tabletext"/>
              <w:jc w:val="center"/>
              <w:rPr>
                <w:szCs w:val="20"/>
                <w:highlight w:val="yellow"/>
              </w:rPr>
            </w:pPr>
            <w:r>
              <w:t>25%</w:t>
            </w:r>
          </w:p>
        </w:tc>
      </w:tr>
    </w:tbl>
    <w:p w14:paraId="4F89528A" w14:textId="7095DE31" w:rsidR="00D63473" w:rsidRDefault="00D63473" w:rsidP="00D63473">
      <w:pPr>
        <w:pStyle w:val="Source"/>
      </w:pPr>
      <w:r>
        <w:t xml:space="preserve">Source: </w:t>
      </w:r>
      <w:r w:rsidRPr="00A94A01">
        <w:t xml:space="preserve">KPMG </w:t>
      </w:r>
      <w:r>
        <w:t xml:space="preserve">master dataset. See </w:t>
      </w:r>
      <w:r>
        <w:fldChar w:fldCharType="begin" w:fldLock="1"/>
      </w:r>
      <w:r>
        <w:instrText xml:space="preserve"> REF _Ref94856337 \h </w:instrText>
      </w:r>
      <w:r>
        <w:fldChar w:fldCharType="separate"/>
      </w:r>
      <w:r w:rsidR="00022EBD">
        <w:t xml:space="preserve">Figure </w:t>
      </w:r>
      <w:r w:rsidR="00022EBD">
        <w:rPr>
          <w:noProof/>
        </w:rPr>
        <w:t>70</w:t>
      </w:r>
      <w:r>
        <w:fldChar w:fldCharType="end"/>
      </w:r>
      <w:r>
        <w:t xml:space="preserve"> in </w:t>
      </w:r>
      <w:r w:rsidR="00AB70AA">
        <w:fldChar w:fldCharType="begin" w:fldLock="1"/>
      </w:r>
      <w:r w:rsidR="00AB70AA">
        <w:instrText xml:space="preserve"> REF _Ref98402466 \w \h </w:instrText>
      </w:r>
      <w:r w:rsidR="00AB70AA">
        <w:fldChar w:fldCharType="separate"/>
      </w:r>
      <w:r w:rsidR="00AE4D34">
        <w:t>Appendix F</w:t>
      </w:r>
      <w:r w:rsidR="00AB70AA">
        <w:fldChar w:fldCharType="end"/>
      </w:r>
      <w:r>
        <w:t>.</w:t>
      </w:r>
    </w:p>
    <w:p w14:paraId="62306407" w14:textId="59C999A6" w:rsidR="00D63473" w:rsidRDefault="00D63473" w:rsidP="00D63473">
      <w:pPr>
        <w:pStyle w:val="Heading5"/>
      </w:pPr>
      <w:r>
        <w:t xml:space="preserve">Effectiveness of headspace in supporting access to services for </w:t>
      </w:r>
      <w:r w:rsidR="00BD29DF">
        <w:t>‘</w:t>
      </w:r>
      <w:r>
        <w:t xml:space="preserve">hard to </w:t>
      </w:r>
      <w:r w:rsidR="00BD29DF">
        <w:t>reach’</w:t>
      </w:r>
      <w:r>
        <w:t xml:space="preserve"> groups</w:t>
      </w:r>
    </w:p>
    <w:p w14:paraId="757A4FF5" w14:textId="0CC699F2" w:rsidR="00D63473" w:rsidRPr="00C55B94" w:rsidRDefault="00D63473" w:rsidP="00D63473">
      <w:pPr>
        <w:pStyle w:val="BodyText"/>
      </w:pPr>
      <w:r w:rsidRPr="003308DA">
        <w:t xml:space="preserve">A range of data and evidence indicates that headspace is effective in supporting access to services for </w:t>
      </w:r>
      <w:r w:rsidR="00BD29DF">
        <w:t>‘</w:t>
      </w:r>
      <w:r w:rsidRPr="003308DA">
        <w:t xml:space="preserve">hard to </w:t>
      </w:r>
      <w:r w:rsidR="00BD29DF">
        <w:t>reach’</w:t>
      </w:r>
      <w:r w:rsidRPr="003308DA">
        <w:t xml:space="preserve"> groups, although this continues to be an ongoing challenge for the headspace model.</w:t>
      </w:r>
    </w:p>
    <w:p w14:paraId="705A6E06" w14:textId="60EF2448" w:rsidR="00D63473" w:rsidRPr="004171DE" w:rsidRDefault="00D63473" w:rsidP="00D63473">
      <w:pPr>
        <w:pStyle w:val="BodyText"/>
      </w:pPr>
      <w:r w:rsidRPr="00E83942">
        <w:t xml:space="preserve">Administrative data from the hMDS, </w:t>
      </w:r>
      <w:r>
        <w:t xml:space="preserve">shows that, </w:t>
      </w:r>
      <w:r w:rsidRPr="003308DA">
        <w:t>o</w:t>
      </w:r>
      <w:r w:rsidRPr="004171DE">
        <w:t>ver time, access rates have</w:t>
      </w:r>
      <w:r>
        <w:t xml:space="preserve"> slightly</w:t>
      </w:r>
      <w:r w:rsidRPr="004171DE">
        <w:t xml:space="preserve"> improved for </w:t>
      </w:r>
      <w:r w:rsidR="001334E3">
        <w:t>‘hard to reach’ groups</w:t>
      </w:r>
      <w:r w:rsidRPr="004171DE">
        <w:t xml:space="preserve">, however those working within headspace </w:t>
      </w:r>
      <w:r w:rsidR="00950550">
        <w:t>suggested</w:t>
      </w:r>
      <w:r w:rsidRPr="004171DE">
        <w:t xml:space="preserve"> the service is less effective in supporting the access rates of Aboriginal and Torres Strait Islander </w:t>
      </w:r>
      <w:r w:rsidR="00C65897">
        <w:t>young people</w:t>
      </w:r>
      <w:r w:rsidRPr="004171DE">
        <w:t xml:space="preserve">, </w:t>
      </w:r>
      <w:r>
        <w:t>culturally and linguistically diverse</w:t>
      </w:r>
      <w:r w:rsidRPr="004171DE">
        <w:t xml:space="preserve"> </w:t>
      </w:r>
      <w:r w:rsidR="00C65897">
        <w:t>young people</w:t>
      </w:r>
      <w:r w:rsidRPr="004171DE">
        <w:t xml:space="preserve"> and young people with disability. </w:t>
      </w:r>
      <w:r>
        <w:t>LGBTQIA+</w:t>
      </w:r>
      <w:r w:rsidR="00B72BAE">
        <w:t xml:space="preserve"> young people</w:t>
      </w:r>
      <w:r w:rsidRPr="004171DE">
        <w:t xml:space="preserve"> were again perceived to be better supported, with higher perceived rates of access than all other groups, </w:t>
      </w:r>
      <w:r>
        <w:t>which is upheld by administrative data on young people attending headspace</w:t>
      </w:r>
      <w:r w:rsidRPr="004171DE">
        <w:t>.</w:t>
      </w:r>
      <w:r>
        <w:t xml:space="preserve"> </w:t>
      </w:r>
    </w:p>
    <w:p w14:paraId="583BDE7B" w14:textId="77777777" w:rsidR="00D63473" w:rsidRPr="00E83942" w:rsidRDefault="00D63473" w:rsidP="00D63473">
      <w:pPr>
        <w:pStyle w:val="BodyText"/>
      </w:pPr>
      <w:r>
        <w:t>Feedback from young people highlighted the continued importance of having staff from the young person’s cultural group, and the ongoing need to work to reduce stigma and build trust in order to support access from ‘hard to reach’ groups.</w:t>
      </w:r>
    </w:p>
    <w:p w14:paraId="2EBD2600" w14:textId="77777777" w:rsidR="00FD10BA" w:rsidRPr="00FD10BA" w:rsidRDefault="00FD10BA" w:rsidP="00FD10BA">
      <w:pPr>
        <w:pStyle w:val="BodyText"/>
      </w:pPr>
      <w:r w:rsidRPr="00FD10BA">
        <w:t>The headspace model does not achieve the same results for ‘hard to reach’ groups compared to the general population of young people.</w:t>
      </w:r>
    </w:p>
    <w:p w14:paraId="355D64A1" w14:textId="18A58255" w:rsidR="00D63473" w:rsidRDefault="00D63473" w:rsidP="00350B4D">
      <w:pPr>
        <w:pStyle w:val="AppendixHeading2"/>
        <w:rPr>
          <w:lang w:eastAsia="en-AU"/>
        </w:rPr>
      </w:pPr>
      <w:bookmarkStart w:id="253" w:name="_Ref98326337"/>
      <w:r w:rsidRPr="00EE3CD2">
        <w:rPr>
          <w:lang w:eastAsia="en-AU"/>
        </w:rPr>
        <w:t>How well does headspace advocate for and promote youth mental health and wellbeing in their communities?</w:t>
      </w:r>
      <w:bookmarkEnd w:id="253"/>
    </w:p>
    <w:p w14:paraId="5AEA4915" w14:textId="77777777" w:rsidR="00D63473" w:rsidRDefault="00D63473" w:rsidP="0080703A">
      <w:pPr>
        <w:pStyle w:val="AppendixHeading3"/>
      </w:pPr>
      <w:r>
        <w:t>Advocacy and promotion activities</w:t>
      </w:r>
    </w:p>
    <w:p w14:paraId="6902873D" w14:textId="77777777" w:rsidR="00D63473" w:rsidRDefault="00D63473" w:rsidP="00D63473">
      <w:pPr>
        <w:pStyle w:val="BodyText"/>
        <w:rPr>
          <w:lang w:eastAsia="en-AU"/>
        </w:rPr>
      </w:pPr>
      <w:r>
        <w:rPr>
          <w:lang w:eastAsia="en-AU"/>
        </w:rPr>
        <w:t>In support of the various intended outcomes of the headspace model, a key component of activity focuses on engaging with communities. The headspace program logic lists the following activities as part of this work:</w:t>
      </w:r>
    </w:p>
    <w:p w14:paraId="210B1C7C" w14:textId="0522CE4B" w:rsidR="00D63473" w:rsidRPr="00350B4D" w:rsidRDefault="00D63473" w:rsidP="00350B4D">
      <w:pPr>
        <w:pStyle w:val="Bullet1stlevel"/>
      </w:pPr>
      <w:r w:rsidRPr="00350B4D">
        <w:t xml:space="preserve">promoting headspace services to local community and services, and promote early </w:t>
      </w:r>
      <w:r w:rsidR="001A7BE3" w:rsidRPr="00350B4D">
        <w:t>help seeking</w:t>
      </w:r>
      <w:r w:rsidRPr="00350B4D">
        <w:t xml:space="preserve"> for young people aged 12</w:t>
      </w:r>
      <w:r w:rsidR="00BE514A">
        <w:t xml:space="preserve"> to </w:t>
      </w:r>
      <w:r w:rsidRPr="00350B4D">
        <w:t>25</w:t>
      </w:r>
      <w:r w:rsidR="007C6B44">
        <w:t>;</w:t>
      </w:r>
    </w:p>
    <w:p w14:paraId="4250750C" w14:textId="3E0487EB" w:rsidR="00D63473" w:rsidRPr="00350B4D" w:rsidRDefault="00D63473" w:rsidP="00350B4D">
      <w:pPr>
        <w:pStyle w:val="Bullet1stlevel"/>
      </w:pPr>
      <w:r w:rsidRPr="00350B4D">
        <w:t>facilitating engagement and participation with young people and their families to better understand community needs</w:t>
      </w:r>
      <w:r w:rsidR="007C6B44">
        <w:t>;</w:t>
      </w:r>
    </w:p>
    <w:p w14:paraId="23A72973" w14:textId="1F678235" w:rsidR="00D63473" w:rsidRPr="00350B4D" w:rsidRDefault="00D63473" w:rsidP="00350B4D">
      <w:pPr>
        <w:pStyle w:val="Bullet1stlevel"/>
      </w:pPr>
      <w:r w:rsidRPr="00350B4D">
        <w:t>engaging with GPs, schools and other local organisations to better understand community needs</w:t>
      </w:r>
      <w:r w:rsidR="007C6B44">
        <w:t>; and</w:t>
      </w:r>
    </w:p>
    <w:p w14:paraId="5EEDDD51" w14:textId="77777777" w:rsidR="00D63473" w:rsidRPr="00350B4D" w:rsidRDefault="00D63473" w:rsidP="00350B4D">
      <w:pPr>
        <w:pStyle w:val="Bullet1stlevel"/>
      </w:pPr>
      <w:r w:rsidRPr="00350B4D">
        <w:t>delivering community awareness activities including psycho-education, mental health literacy and stigma reduction activities.</w:t>
      </w:r>
    </w:p>
    <w:p w14:paraId="665063A2" w14:textId="27E8E974" w:rsidR="00D63473" w:rsidRDefault="00D63473" w:rsidP="00D63473">
      <w:pPr>
        <w:pStyle w:val="BodyText"/>
        <w:rPr>
          <w:lang w:eastAsia="en-AU"/>
        </w:rPr>
      </w:pPr>
      <w:r>
        <w:rPr>
          <w:lang w:eastAsia="en-AU"/>
        </w:rPr>
        <w:t xml:space="preserve">In order to assess how well headspace advocates for and promotes </w:t>
      </w:r>
      <w:r w:rsidR="007A5086">
        <w:rPr>
          <w:lang w:eastAsia="en-AU"/>
        </w:rPr>
        <w:t xml:space="preserve">youth </w:t>
      </w:r>
      <w:r>
        <w:rPr>
          <w:lang w:eastAsia="en-AU"/>
        </w:rPr>
        <w:t xml:space="preserve">mental health and wellbeing in their communities, feedback on these activities was sought through a range of data collection activities. These include interviews with </w:t>
      </w:r>
      <w:r w:rsidR="001F058F">
        <w:rPr>
          <w:lang w:eastAsia="en-AU"/>
        </w:rPr>
        <w:t>Y</w:t>
      </w:r>
      <w:r>
        <w:rPr>
          <w:lang w:eastAsia="en-AU"/>
        </w:rPr>
        <w:t xml:space="preserve">outh </w:t>
      </w:r>
      <w:r w:rsidR="001F058F">
        <w:rPr>
          <w:lang w:eastAsia="en-AU"/>
        </w:rPr>
        <w:t>R</w:t>
      </w:r>
      <w:r>
        <w:rPr>
          <w:lang w:eastAsia="en-AU"/>
        </w:rPr>
        <w:t xml:space="preserve">eference </w:t>
      </w:r>
      <w:r w:rsidR="001F058F">
        <w:rPr>
          <w:lang w:eastAsia="en-AU"/>
        </w:rPr>
        <w:t>G</w:t>
      </w:r>
      <w:r>
        <w:rPr>
          <w:lang w:eastAsia="en-AU"/>
        </w:rPr>
        <w:t xml:space="preserve">roups, interviews and focus groups with young people, surveys of service and lead agency staff, and discussions with staff, GPs and other stakeholders at a number of </w:t>
      </w:r>
      <w:r w:rsidR="0050072E">
        <w:rPr>
          <w:lang w:eastAsia="en-AU"/>
        </w:rPr>
        <w:t>service</w:t>
      </w:r>
      <w:r>
        <w:rPr>
          <w:lang w:eastAsia="en-AU"/>
        </w:rPr>
        <w:t>s during deep dive fieldwork.</w:t>
      </w:r>
    </w:p>
    <w:p w14:paraId="350B3DAE" w14:textId="77777777" w:rsidR="00D63473" w:rsidRDefault="00D63473" w:rsidP="00D63473">
      <w:pPr>
        <w:pStyle w:val="Heading4"/>
      </w:pPr>
      <w:r>
        <w:t>Evidence of the contribution of headspace to advocacy and promotion of youth mental health</w:t>
      </w:r>
    </w:p>
    <w:p w14:paraId="0B4A1168" w14:textId="77777777" w:rsidR="00D63473" w:rsidRDefault="00D63473" w:rsidP="00D63473">
      <w:pPr>
        <w:pStyle w:val="Heading5"/>
      </w:pPr>
      <w:r>
        <w:t>Perspectives of young people who use headspace</w:t>
      </w:r>
    </w:p>
    <w:p w14:paraId="338A8A6A" w14:textId="7497E1F2" w:rsidR="00D63473" w:rsidRDefault="00D63473" w:rsidP="003006A8">
      <w:pPr>
        <w:pStyle w:val="BodyText"/>
      </w:pPr>
      <w:r>
        <w:t xml:space="preserve">Most </w:t>
      </w:r>
      <w:r w:rsidR="001F058F">
        <w:t>Y</w:t>
      </w:r>
      <w:r>
        <w:t xml:space="preserve">outh </w:t>
      </w:r>
      <w:r w:rsidR="001F058F">
        <w:t>R</w:t>
      </w:r>
      <w:r>
        <w:t xml:space="preserve">eference </w:t>
      </w:r>
      <w:r w:rsidR="001F058F">
        <w:t>G</w:t>
      </w:r>
      <w:r>
        <w:t>roup members interviewed endorsed the way headspace staff actively promoted the service on social media and through outreach in schools and stalls in the community:</w:t>
      </w:r>
    </w:p>
    <w:p w14:paraId="64ECD0DC" w14:textId="32D35876" w:rsidR="00D63473" w:rsidRPr="006E7507" w:rsidRDefault="00D63473" w:rsidP="00D63473">
      <w:pPr>
        <w:pStyle w:val="Quote"/>
      </w:pPr>
      <w:r>
        <w:t>“</w:t>
      </w:r>
      <w:r w:rsidRPr="006E7507">
        <w:t xml:space="preserve">They’re [the local headspace site] very active on their social medias, Instagram </w:t>
      </w:r>
      <w:r w:rsidR="00EF6127">
        <w:t>-</w:t>
      </w:r>
      <w:r w:rsidRPr="006E7507">
        <w:t xml:space="preserve"> I know they’ve got regular content there.“</w:t>
      </w:r>
    </w:p>
    <w:p w14:paraId="6C156548" w14:textId="77777777" w:rsidR="00D63473" w:rsidRDefault="00D63473" w:rsidP="000244E4">
      <w:pPr>
        <w:pStyle w:val="BodyText"/>
      </w:pPr>
      <w:r>
        <w:t xml:space="preserve">Having a regular presence on social media and promotional activities, such as leaflets and groups in schools and booths in shopping centres, was seen by this group as increasing awareness of headspace and mental health issues for young people, thereby increasing mental health literacy. These activities were seen to contribute to young people gaining an understanding of how they felt and why, and where they could access support. </w:t>
      </w:r>
    </w:p>
    <w:p w14:paraId="0BDB6170" w14:textId="77777777" w:rsidR="00D63473" w:rsidRPr="009B03A1" w:rsidRDefault="00D63473" w:rsidP="00D63473">
      <w:pPr>
        <w:pStyle w:val="Heading5"/>
      </w:pPr>
      <w:r>
        <w:t xml:space="preserve">Perspectives of young people </w:t>
      </w:r>
      <w:r w:rsidRPr="00290C35">
        <w:t>who do not use headspace</w:t>
      </w:r>
    </w:p>
    <w:p w14:paraId="7A35B6EA" w14:textId="77777777" w:rsidR="00D63473" w:rsidRDefault="00D63473" w:rsidP="00D63473">
      <w:pPr>
        <w:pStyle w:val="BodyText"/>
        <w:rPr>
          <w:lang w:eastAsia="en-AU"/>
        </w:rPr>
      </w:pPr>
      <w:r>
        <w:rPr>
          <w:lang w:eastAsia="en-AU"/>
        </w:rPr>
        <w:t>In discussions about headspace and its role in advocating and promoting mental health in local communities surrounding centres, young people were able to readily identify occasions where they had observed a headspace presence at community events, for example at schools and university o</w:t>
      </w:r>
      <w:r>
        <w:rPr>
          <w:lang w:eastAsia="en-AU"/>
        </w:rPr>
        <w:noBreakHyphen/>
        <w:t>weeks, as well as on social media.</w:t>
      </w:r>
    </w:p>
    <w:p w14:paraId="79B715CE" w14:textId="77777777" w:rsidR="00D63473" w:rsidRDefault="00D63473" w:rsidP="00D63473">
      <w:pPr>
        <w:pStyle w:val="Heading5"/>
        <w:rPr>
          <w:rFonts w:eastAsiaTheme="majorEastAsia" w:cstheme="majorBidi"/>
          <w:color w:val="00338D" w:themeColor="background2"/>
          <w:sz w:val="24"/>
        </w:rPr>
      </w:pPr>
      <w:r>
        <w:t>Perspectives of headspace service providers</w:t>
      </w:r>
    </w:p>
    <w:p w14:paraId="7FCC8820" w14:textId="2B44119C" w:rsidR="00D63473" w:rsidRPr="008F1704" w:rsidRDefault="00D63473" w:rsidP="00D63473">
      <w:pPr>
        <w:pStyle w:val="BodyText"/>
        <w:rPr>
          <w:highlight w:val="yellow"/>
        </w:rPr>
      </w:pPr>
      <w:r w:rsidRPr="00FB20ED">
        <w:t>As described above</w:t>
      </w:r>
      <w:r>
        <w:t>,</w:t>
      </w:r>
      <w:r w:rsidRPr="00FB20ED">
        <w:t xml:space="preserve"> </w:t>
      </w:r>
      <w:r w:rsidR="0050072E">
        <w:t>service</w:t>
      </w:r>
      <w:r w:rsidRPr="00FB20ED">
        <w:t xml:space="preserve"> and lead agency survey responses </w:t>
      </w:r>
      <w:r>
        <w:t>indicated strong levels of confidence from staff that their service is successful in increasing mental health literacy. When asked to describe key enablers of this,</w:t>
      </w:r>
      <w:r w:rsidRPr="00FB20ED">
        <w:t xml:space="preserve"> responses identified broader community engagement by the headspace service as a key aspect of their observed success in this area. </w:t>
      </w:r>
      <w:r>
        <w:t xml:space="preserve">Examples included activities such as </w:t>
      </w:r>
      <w:r w:rsidRPr="00FB20ED">
        <w:t xml:space="preserve">social media campaigns, education and awareness activities with local schools, and </w:t>
      </w:r>
      <w:r>
        <w:t>the</w:t>
      </w:r>
      <w:r w:rsidRPr="00FB20ED">
        <w:t xml:space="preserve"> establish</w:t>
      </w:r>
      <w:r>
        <w:t>ment of</w:t>
      </w:r>
      <w:r w:rsidRPr="00FB20ED">
        <w:t xml:space="preserve"> partnerships with local councils, universities and colleges. </w:t>
      </w:r>
      <w:r w:rsidRPr="00FB20ED">
        <w:rPr>
          <w:lang w:eastAsia="en-AU"/>
        </w:rPr>
        <w:t>Community</w:t>
      </w:r>
      <w:r>
        <w:rPr>
          <w:lang w:eastAsia="en-AU"/>
        </w:rPr>
        <w:t xml:space="preserve"> Development Officers were highlighted as particularly critical to this work, however some </w:t>
      </w:r>
      <w:r w:rsidR="0050072E">
        <w:rPr>
          <w:lang w:eastAsia="en-AU"/>
        </w:rPr>
        <w:t>service</w:t>
      </w:r>
      <w:r>
        <w:rPr>
          <w:lang w:eastAsia="en-AU"/>
        </w:rPr>
        <w:t>s identified only having funding for 0.6 FTE for this role, which they consider to be insufficient.</w:t>
      </w:r>
    </w:p>
    <w:p w14:paraId="648F4369" w14:textId="77777777" w:rsidR="00D63473" w:rsidRPr="002A5D08" w:rsidRDefault="00D63473" w:rsidP="00D63473">
      <w:pPr>
        <w:pStyle w:val="Heading5"/>
        <w:rPr>
          <w:rFonts w:eastAsiaTheme="majorEastAsia" w:cstheme="majorBidi"/>
          <w:color w:val="00338D" w:themeColor="background2"/>
          <w:sz w:val="24"/>
        </w:rPr>
      </w:pPr>
      <w:r>
        <w:t>Perspectives from d</w:t>
      </w:r>
      <w:r w:rsidRPr="002A5D08">
        <w:t xml:space="preserve">eep </w:t>
      </w:r>
      <w:r>
        <w:t>d</w:t>
      </w:r>
      <w:r w:rsidRPr="002A5D08">
        <w:t xml:space="preserve">ive </w:t>
      </w:r>
      <w:r w:rsidRPr="009B03A1">
        <w:t>fieldwork</w:t>
      </w:r>
    </w:p>
    <w:p w14:paraId="671A02DC" w14:textId="761A9A7C" w:rsidR="00D63473" w:rsidRDefault="00D63473" w:rsidP="00D63473">
      <w:pPr>
        <w:pStyle w:val="BodyText"/>
        <w:rPr>
          <w:lang w:eastAsia="en-AU"/>
        </w:rPr>
      </w:pPr>
      <w:r>
        <w:rPr>
          <w:lang w:eastAsia="en-AU"/>
        </w:rPr>
        <w:t>Consultations with GPs and consortium members from surrounding community services as part of the fieldwork for this evaluation elicited broadly positive views about the work headspace staff undertake to engage with schools and to drive and participate in community events and mental health awareness raising activities. Fieldwork teams observed services delivering on a detailed calendar of events and activities regarding mental health and wellbeing, actively participating in pre-existing events as well as driving the planning and implementation of specific events of their own, for example around headspace week. Services also described targeted outreach to different segments and cohorts in their local communities, for example engaging with church youth groups and with Police PCYC programs for young people.</w:t>
      </w:r>
    </w:p>
    <w:p w14:paraId="6BECAB74" w14:textId="77777777" w:rsidR="00D63473" w:rsidRDefault="00D63473" w:rsidP="00D63473">
      <w:pPr>
        <w:pStyle w:val="Heading4"/>
      </w:pPr>
      <w:r>
        <w:t>Effectiveness of headspace in supporting youth mental health through a</w:t>
      </w:r>
      <w:r w:rsidRPr="00EF3609">
        <w:t xml:space="preserve">dvocacy and promotion activities </w:t>
      </w:r>
    </w:p>
    <w:p w14:paraId="717A72CE" w14:textId="77777777" w:rsidR="00D63473" w:rsidRPr="00C666D5" w:rsidRDefault="00D63473" w:rsidP="00D63473">
      <w:pPr>
        <w:pStyle w:val="BodyText"/>
      </w:pPr>
      <w:r>
        <w:t>There is limited data beyond anecdotal reports of the value of these activities, and the extent to which they are occurring is not measured through the hMDS or other means. However, stakeholders report that headspace services are active in advocacy and promotion, and highly visible in their local communities. Work to promote mental health literacy and help seeking with schools, universities and community organisations more broadly received positive feedback.</w:t>
      </w:r>
    </w:p>
    <w:p w14:paraId="07D0B421" w14:textId="687A32E5" w:rsidR="00D63473" w:rsidRPr="00AC4060" w:rsidRDefault="002C725C" w:rsidP="00D63473">
      <w:pPr>
        <w:pStyle w:val="BodyText"/>
      </w:pPr>
      <w:r w:rsidRPr="00D15B6F">
        <w:t xml:space="preserve">The evidence indicates that headspace is effective in supporting youth mental health through advocacy and promotion activities. </w:t>
      </w:r>
      <w:r w:rsidR="00D63473" w:rsidRPr="00A33A8D">
        <w:rPr>
          <w:rStyle w:val="IntenseEmphasis"/>
          <w:i w:val="0"/>
          <w:color w:val="auto"/>
        </w:rPr>
        <w:t xml:space="preserve">As noted above, however, this stream of work is not captured in data collection across the hMIF or hAPI systems, and services </w:t>
      </w:r>
      <w:r w:rsidR="00950550">
        <w:rPr>
          <w:rStyle w:val="IntenseEmphasis"/>
          <w:i w:val="0"/>
          <w:color w:val="auto"/>
        </w:rPr>
        <w:t>suggested</w:t>
      </w:r>
      <w:r w:rsidR="00D63473" w:rsidRPr="00A33A8D">
        <w:rPr>
          <w:rStyle w:val="IntenseEmphasis"/>
          <w:i w:val="0"/>
          <w:color w:val="auto"/>
        </w:rPr>
        <w:t xml:space="preserve"> it is under</w:t>
      </w:r>
      <w:r w:rsidR="007F1DA2">
        <w:rPr>
          <w:rStyle w:val="IntenseEmphasis"/>
          <w:i w:val="0"/>
          <w:color w:val="auto"/>
        </w:rPr>
        <w:noBreakHyphen/>
      </w:r>
      <w:r w:rsidR="00D63473" w:rsidRPr="00A33A8D">
        <w:rPr>
          <w:rStyle w:val="IntenseEmphasis"/>
          <w:i w:val="0"/>
          <w:color w:val="auto"/>
        </w:rPr>
        <w:t xml:space="preserve">resourced. </w:t>
      </w:r>
    </w:p>
    <w:p w14:paraId="6C9B04BE" w14:textId="3074D45E" w:rsidR="00D63473" w:rsidRDefault="00D63473" w:rsidP="00350B4D">
      <w:pPr>
        <w:pStyle w:val="AppendixHeading2"/>
        <w:rPr>
          <w:lang w:eastAsia="en-AU"/>
        </w:rPr>
      </w:pPr>
      <w:bookmarkStart w:id="254" w:name="_Ref98326345"/>
      <w:r w:rsidRPr="0096672B">
        <w:rPr>
          <w:lang w:eastAsia="en-AU"/>
        </w:rPr>
        <w:t>To what extent has headspace reduced stigma associated with mental illness and help</w:t>
      </w:r>
      <w:r w:rsidR="00BD29DF">
        <w:rPr>
          <w:lang w:eastAsia="en-AU"/>
        </w:rPr>
        <w:t xml:space="preserve"> </w:t>
      </w:r>
      <w:r w:rsidRPr="0096672B">
        <w:rPr>
          <w:lang w:eastAsia="en-AU"/>
        </w:rPr>
        <w:t>seeking for young people, their families and friends, and the community?</w:t>
      </w:r>
      <w:bookmarkEnd w:id="254"/>
    </w:p>
    <w:p w14:paraId="1211DF8E" w14:textId="77777777" w:rsidR="00D63473" w:rsidRPr="00D560C1" w:rsidRDefault="00D63473" w:rsidP="0080703A">
      <w:pPr>
        <w:pStyle w:val="AppendixHeading3"/>
      </w:pPr>
      <w:r>
        <w:t>Stigma reduction</w:t>
      </w:r>
    </w:p>
    <w:p w14:paraId="284F4913" w14:textId="7E781F9F" w:rsidR="003158BE" w:rsidRDefault="003158BE" w:rsidP="003158BE">
      <w:pPr>
        <w:pStyle w:val="Caption"/>
      </w:pPr>
      <w:bookmarkStart w:id="255" w:name="_Toc108109003"/>
      <w:r>
        <w:t xml:space="preserve">Table </w:t>
      </w:r>
      <w:fldSimple w:instr=" SEQ Table \* ARABIC ">
        <w:r w:rsidR="00CC0438">
          <w:rPr>
            <w:noProof/>
          </w:rPr>
          <w:t>53</w:t>
        </w:r>
      </w:fldSimple>
      <w:r>
        <w:t xml:space="preserve"> </w:t>
      </w:r>
      <w:r w:rsidRPr="005533DD">
        <w:t>Overview of objectives of headspace for stigma reduction</w:t>
      </w:r>
      <w:bookmarkEnd w:id="255"/>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objectives of headspace for stigma reduction"/>
        <w:tblDescription w:val="Table 54 has 3 columns and summarises the objectives of headspace services with respect to stigma reduction. Column 1 outlines the objective. Column 2 summarises the short-term impacts expected. Column 3 summarises the medium-term impacts expected."/>
      </w:tblPr>
      <w:tblGrid>
        <w:gridCol w:w="2127"/>
        <w:gridCol w:w="3543"/>
        <w:gridCol w:w="3543"/>
      </w:tblGrid>
      <w:tr w:rsidR="00D63473" w14:paraId="56F24083" w14:textId="77777777" w:rsidTr="00F27C38">
        <w:trPr>
          <w:tblHeader/>
        </w:trPr>
        <w:tc>
          <w:tcPr>
            <w:tcW w:w="1154" w:type="pct"/>
            <w:tcBorders>
              <w:top w:val="nil"/>
              <w:left w:val="nil"/>
              <w:bottom w:val="single" w:sz="4" w:space="0" w:color="00338D"/>
              <w:right w:val="nil"/>
            </w:tcBorders>
            <w:shd w:val="clear" w:color="auto" w:fill="00338D"/>
            <w:hideMark/>
          </w:tcPr>
          <w:p w14:paraId="52BA0375" w14:textId="77777777" w:rsidR="00D63473" w:rsidRDefault="00D63473" w:rsidP="00F27C38">
            <w:pPr>
              <w:pStyle w:val="Tableheading"/>
            </w:pPr>
            <w:r>
              <w:t>Objective</w:t>
            </w:r>
          </w:p>
        </w:tc>
        <w:tc>
          <w:tcPr>
            <w:tcW w:w="1923" w:type="pct"/>
            <w:tcBorders>
              <w:top w:val="nil"/>
              <w:left w:val="nil"/>
              <w:bottom w:val="single" w:sz="4" w:space="0" w:color="00338D"/>
              <w:right w:val="nil"/>
            </w:tcBorders>
            <w:shd w:val="clear" w:color="auto" w:fill="00338D"/>
            <w:hideMark/>
          </w:tcPr>
          <w:p w14:paraId="4523742C" w14:textId="75A56F45" w:rsidR="00D63473" w:rsidRDefault="00D63473" w:rsidP="00F27C38">
            <w:pPr>
              <w:pStyle w:val="Tableheading"/>
            </w:pPr>
            <w:r>
              <w:t>Short</w:t>
            </w:r>
            <w:r w:rsidR="00D16142">
              <w:t>-</w:t>
            </w:r>
            <w:r>
              <w:t>term impacts</w:t>
            </w:r>
          </w:p>
        </w:tc>
        <w:tc>
          <w:tcPr>
            <w:tcW w:w="1923" w:type="pct"/>
            <w:tcBorders>
              <w:top w:val="nil"/>
              <w:left w:val="nil"/>
              <w:bottom w:val="single" w:sz="4" w:space="0" w:color="00338D"/>
              <w:right w:val="nil"/>
            </w:tcBorders>
            <w:shd w:val="clear" w:color="auto" w:fill="00338D"/>
            <w:hideMark/>
          </w:tcPr>
          <w:p w14:paraId="7C2C9F90" w14:textId="66AA9D61" w:rsidR="00D63473" w:rsidRDefault="00D63473" w:rsidP="00F27C38">
            <w:pPr>
              <w:pStyle w:val="Tableheading"/>
            </w:pPr>
            <w:r>
              <w:t>Medium</w:t>
            </w:r>
            <w:r w:rsidR="00D16142">
              <w:t>-</w:t>
            </w:r>
            <w:r>
              <w:t>term impacts</w:t>
            </w:r>
          </w:p>
        </w:tc>
      </w:tr>
      <w:tr w:rsidR="00D63473" w:rsidRPr="001D6913" w14:paraId="1E4A64B8" w14:textId="77777777" w:rsidTr="00F27C38">
        <w:tc>
          <w:tcPr>
            <w:tcW w:w="1154" w:type="pct"/>
            <w:tcBorders>
              <w:top w:val="single" w:sz="4" w:space="0" w:color="00338D"/>
              <w:bottom w:val="single" w:sz="4" w:space="0" w:color="auto"/>
            </w:tcBorders>
          </w:tcPr>
          <w:p w14:paraId="26A1BC54" w14:textId="77777777" w:rsidR="00D63473" w:rsidRPr="001E6699" w:rsidRDefault="00D63473" w:rsidP="00F27C38">
            <w:pPr>
              <w:pStyle w:val="Tabletext"/>
            </w:pPr>
            <w:r w:rsidRPr="0012355B">
              <w:rPr>
                <w:b/>
                <w:bCs/>
              </w:rPr>
              <w:t>Reducing stigma associated with mental health and mental illness</w:t>
            </w:r>
            <w:r>
              <w:t xml:space="preserve"> - the fear or embarrassment of seeking help for mental health and wellbeing, and the negative judgment of and lack of empathy for those that do</w:t>
            </w:r>
          </w:p>
        </w:tc>
        <w:tc>
          <w:tcPr>
            <w:tcW w:w="1923" w:type="pct"/>
            <w:tcBorders>
              <w:top w:val="single" w:sz="4" w:space="0" w:color="00338D"/>
              <w:bottom w:val="single" w:sz="4" w:space="0" w:color="auto"/>
            </w:tcBorders>
          </w:tcPr>
          <w:p w14:paraId="25C2BB15" w14:textId="77777777" w:rsidR="00D63473" w:rsidRPr="001D6913" w:rsidRDefault="00D63473" w:rsidP="007F1DA2">
            <w:pPr>
              <w:pStyle w:val="TableBullet1"/>
            </w:pPr>
            <w:r w:rsidRPr="001D6913">
              <w:t>Young people, their families and communities (living near headspace centres and satellites) have improved attitudes towards mental health and mental illness (stigma reduction)</w:t>
            </w:r>
          </w:p>
        </w:tc>
        <w:tc>
          <w:tcPr>
            <w:tcW w:w="1923" w:type="pct"/>
            <w:tcBorders>
              <w:top w:val="single" w:sz="4" w:space="0" w:color="00338D"/>
              <w:bottom w:val="single" w:sz="4" w:space="0" w:color="auto"/>
            </w:tcBorders>
          </w:tcPr>
          <w:p w14:paraId="3A8FE2EE" w14:textId="6C7779C9" w:rsidR="00D63473" w:rsidRPr="001D6913" w:rsidRDefault="00D63473" w:rsidP="007F1DA2">
            <w:pPr>
              <w:pStyle w:val="TableBullet1"/>
            </w:pPr>
            <w:r w:rsidRPr="001D6913">
              <w:t>Young people, their families and communities are better able to identify when someone needs help, and support appropriate, early help</w:t>
            </w:r>
            <w:r w:rsidR="00BD29DF">
              <w:t xml:space="preserve"> </w:t>
            </w:r>
            <w:r w:rsidRPr="001D6913">
              <w:t>seeking</w:t>
            </w:r>
          </w:p>
          <w:p w14:paraId="3D01972F" w14:textId="77777777" w:rsidR="00D63473" w:rsidRDefault="00D63473" w:rsidP="007F1DA2">
            <w:pPr>
              <w:pStyle w:val="TableBullet1"/>
            </w:pPr>
            <w:r w:rsidRPr="001D6913">
              <w:t xml:space="preserve">Earlier identification and treatment of emerging mental health problems for young people </w:t>
            </w:r>
          </w:p>
          <w:p w14:paraId="0111ADEF" w14:textId="03AAF569" w:rsidR="00D63473" w:rsidRPr="001D6913" w:rsidRDefault="00D63473" w:rsidP="007F1DA2">
            <w:pPr>
              <w:pStyle w:val="TableBullet1"/>
            </w:pPr>
            <w:r w:rsidRPr="001D6913">
              <w:t>Young people increase help</w:t>
            </w:r>
            <w:r w:rsidR="00BD29DF">
              <w:t xml:space="preserve"> </w:t>
            </w:r>
            <w:r w:rsidRPr="001D6913">
              <w:t>seeking behaviour for mental health and wellbeing issues</w:t>
            </w:r>
          </w:p>
        </w:tc>
      </w:tr>
    </w:tbl>
    <w:p w14:paraId="2706B7D8" w14:textId="77777777" w:rsidR="00D63473" w:rsidRDefault="00D63473" w:rsidP="00D63473">
      <w:pPr>
        <w:pStyle w:val="BodyText"/>
      </w:pPr>
      <w:r>
        <w:t>As can be seen from the headspace objectives and impacts in the table above, stigma in this context is the fear or embarrassment of seeking help for mental health and wellbeing, and the negative judgment of, and lack of empathy for, those who do. It acts as a blocker in the headspace program logic, preventing young people from being able to identify when they need help and seeking that help early.</w:t>
      </w:r>
    </w:p>
    <w:p w14:paraId="47C7A602" w14:textId="23A74EB2" w:rsidR="00D63473" w:rsidRDefault="00D63473" w:rsidP="00D63473">
      <w:pPr>
        <w:pStyle w:val="BodyText"/>
        <w:rPr>
          <w:shd w:val="clear" w:color="auto" w:fill="FFFFFF"/>
        </w:rPr>
      </w:pPr>
      <w:r>
        <w:t>National research into stigma indicates that most people in Australia with mental illness report experiencing stigma, however the severity, nature, and experience of stigma vary depending on factors such as mental illness type, age, gender, and cultural background</w:t>
      </w:r>
      <w:r w:rsidR="00CC0438">
        <w:rPr>
          <w:rFonts w:ascii="ZWAdobeF" w:hAnsi="ZWAdobeF" w:cs="ZWAdobeF"/>
          <w:sz w:val="2"/>
          <w:szCs w:val="2"/>
        </w:rPr>
        <w:t>187F</w:t>
      </w:r>
      <w:r>
        <w:rPr>
          <w:rStyle w:val="FootnoteReference"/>
        </w:rPr>
        <w:footnoteReference w:id="189"/>
      </w:r>
      <w:r w:rsidR="000E09BC">
        <w:t>.</w:t>
      </w:r>
      <w:r>
        <w:t xml:space="preserve"> </w:t>
      </w:r>
      <w:r>
        <w:rPr>
          <w:shd w:val="clear" w:color="auto" w:fill="FFFFFF"/>
        </w:rPr>
        <w:t>About 29 per cent of people with mental illness reported discrimination or unfair treatment in the past year, as opposed to about 16 per cent of those without mental illness. People with severe mental illnesses are likely to face high levels of stigma, according to the 2011 National Survey of Mental Health Literacy and Stigma, although the nature of stigma differs among illnesses. The impact of stigma may include preventing people who suffer from mental illness from being able to engage socially or feel included. This stigma can lead to discrimination, social exclusion and a reluctance to seek care</w:t>
      </w:r>
      <w:r w:rsidR="00CC0438">
        <w:rPr>
          <w:rFonts w:ascii="ZWAdobeF" w:hAnsi="ZWAdobeF" w:cs="ZWAdobeF"/>
          <w:sz w:val="2"/>
          <w:szCs w:val="2"/>
          <w:shd w:val="clear" w:color="auto" w:fill="FFFFFF"/>
        </w:rPr>
        <w:t>188F</w:t>
      </w:r>
      <w:r>
        <w:rPr>
          <w:rStyle w:val="FootnoteReference"/>
          <w:shd w:val="clear" w:color="auto" w:fill="FFFFFF"/>
        </w:rPr>
        <w:footnoteReference w:id="190"/>
      </w:r>
      <w:r>
        <w:rPr>
          <w:shd w:val="clear" w:color="auto" w:fill="FFFFFF"/>
        </w:rPr>
        <w:t>.</w:t>
      </w:r>
    </w:p>
    <w:p w14:paraId="51387653" w14:textId="77777777" w:rsidR="00D63473" w:rsidRDefault="00D63473" w:rsidP="00D63473">
      <w:pPr>
        <w:pStyle w:val="BodyText"/>
        <w:rPr>
          <w:shd w:val="clear" w:color="auto" w:fill="FFFFFF"/>
        </w:rPr>
      </w:pPr>
      <w:r>
        <w:rPr>
          <w:shd w:val="clear" w:color="auto" w:fill="FFFFFF"/>
        </w:rPr>
        <w:t>In order to examine whether headspace has been associated with a reduction in mental health related stigma, this evaluation sought the views of headspace service and lead agency staff through both survey and fieldwork methods, as well as reflections from school and university counsellors and young people who do not use headspace, to gauge their views on how effective headspace has been in this domain.</w:t>
      </w:r>
    </w:p>
    <w:p w14:paraId="7E203D58" w14:textId="14B60875" w:rsidR="00D63473" w:rsidRDefault="00D63473" w:rsidP="00D63473">
      <w:pPr>
        <w:pStyle w:val="Heading4"/>
      </w:pPr>
      <w:r>
        <w:t>Evidence of the contribution of headspace to reduced stigma associated with mental illness and help seeking</w:t>
      </w:r>
    </w:p>
    <w:p w14:paraId="35DE4817" w14:textId="77777777" w:rsidR="00D63473" w:rsidRDefault="00D63473" w:rsidP="00D63473">
      <w:pPr>
        <w:pStyle w:val="Heading5"/>
      </w:pPr>
      <w:r>
        <w:t>Perspectives of young people who use headspace</w:t>
      </w:r>
    </w:p>
    <w:p w14:paraId="2B805C38" w14:textId="0F52DFEA" w:rsidR="00D63473" w:rsidRPr="006127F9" w:rsidRDefault="00D63473" w:rsidP="003006A8">
      <w:pPr>
        <w:pStyle w:val="BodyText"/>
        <w:rPr>
          <w:rFonts w:cstheme="minorHAnsi"/>
          <w:szCs w:val="20"/>
          <w:shd w:val="clear" w:color="auto" w:fill="FFFFFF"/>
        </w:rPr>
      </w:pPr>
      <w:r w:rsidRPr="006127F9">
        <w:rPr>
          <w:rFonts w:cstheme="minorHAnsi"/>
          <w:szCs w:val="20"/>
          <w:shd w:val="clear" w:color="auto" w:fill="FFFFFF"/>
        </w:rPr>
        <w:t xml:space="preserve">Young people in the reference groups from </w:t>
      </w:r>
      <w:r w:rsidR="00BD29DF">
        <w:rPr>
          <w:rFonts w:cstheme="minorHAnsi"/>
          <w:szCs w:val="20"/>
          <w:shd w:val="clear" w:color="auto" w:fill="FFFFFF"/>
        </w:rPr>
        <w:t>‘</w:t>
      </w:r>
      <w:r w:rsidRPr="006127F9">
        <w:rPr>
          <w:rFonts w:cstheme="minorHAnsi"/>
          <w:szCs w:val="20"/>
          <w:shd w:val="clear" w:color="auto" w:fill="FFFFFF"/>
        </w:rPr>
        <w:t xml:space="preserve">hard to </w:t>
      </w:r>
      <w:r w:rsidR="00BD29DF">
        <w:rPr>
          <w:rFonts w:cstheme="minorHAnsi"/>
          <w:szCs w:val="20"/>
          <w:shd w:val="clear" w:color="auto" w:fill="FFFFFF"/>
        </w:rPr>
        <w:t>reach’</w:t>
      </w:r>
      <w:r w:rsidRPr="006127F9">
        <w:rPr>
          <w:rFonts w:cstheme="minorHAnsi"/>
          <w:szCs w:val="20"/>
          <w:shd w:val="clear" w:color="auto" w:fill="FFFFFF"/>
        </w:rPr>
        <w:t xml:space="preserve"> groups reported that barriers to seeking help included stigma, fear that service providers would not listen to them or break confidentiality and tell their parents about their mental health issues</w:t>
      </w:r>
      <w:r>
        <w:rPr>
          <w:rFonts w:cstheme="minorHAnsi"/>
          <w:szCs w:val="20"/>
          <w:shd w:val="clear" w:color="auto" w:fill="FFFFFF"/>
        </w:rPr>
        <w:t>:</w:t>
      </w:r>
    </w:p>
    <w:p w14:paraId="765E9D38" w14:textId="77777777" w:rsidR="00D63473" w:rsidRPr="005861C0" w:rsidRDefault="00D63473" w:rsidP="00D63473">
      <w:pPr>
        <w:pStyle w:val="Quote"/>
      </w:pPr>
      <w:r w:rsidRPr="00D50710">
        <w:t>“</w:t>
      </w:r>
      <w:r w:rsidRPr="00B215D6">
        <w:t>A</w:t>
      </w:r>
      <w:r w:rsidRPr="00FF3730">
        <w:t>nd yeah, there’s just this fear that the person you get won’t listen to you or they’ll tell – one of the biggest</w:t>
      </w:r>
      <w:r w:rsidRPr="00521D25">
        <w:t xml:space="preserve"> fears is </w:t>
      </w:r>
      <w:r w:rsidRPr="0047313A">
        <w:t>telling parents stuff.</w:t>
      </w:r>
      <w:r>
        <w:t xml:space="preserve"> </w:t>
      </w:r>
      <w:r w:rsidRPr="0047313A">
        <w:t xml:space="preserve">I’ve seen a lot of people very scared of their parents being </w:t>
      </w:r>
      <w:r w:rsidRPr="000A19A1">
        <w:t>told things that they don’t want their parents to be told, like the confidentiality being broken</w:t>
      </w:r>
      <w:r w:rsidRPr="00445C3C">
        <w:t>”</w:t>
      </w:r>
    </w:p>
    <w:p w14:paraId="26C2551F" w14:textId="77777777" w:rsidR="00D63473" w:rsidRPr="001953C1" w:rsidRDefault="00D63473" w:rsidP="003006A8">
      <w:pPr>
        <w:pStyle w:val="BodyText"/>
      </w:pPr>
      <w:r>
        <w:t>and</w:t>
      </w:r>
    </w:p>
    <w:p w14:paraId="08484FC5" w14:textId="1F4BFCD1" w:rsidR="00D63473" w:rsidRPr="00796A63" w:rsidRDefault="00D63473" w:rsidP="00D63473">
      <w:pPr>
        <w:pStyle w:val="Quote"/>
      </w:pPr>
      <w:r w:rsidRPr="003903F1">
        <w:t>“Like headspace or many other health services.</w:t>
      </w:r>
      <w:r>
        <w:t xml:space="preserve"> </w:t>
      </w:r>
      <w:r w:rsidRPr="003903F1">
        <w:t>They're too nervous with family issues or have a feeling that they're going</w:t>
      </w:r>
      <w:r w:rsidRPr="00544FA7">
        <w:t xml:space="preserve"> to get judged by their friends and</w:t>
      </w:r>
      <w:r w:rsidRPr="007508CF">
        <w:t xml:space="preserve"> all that</w:t>
      </w:r>
      <w:r w:rsidRPr="002D5130">
        <w:t>”</w:t>
      </w:r>
    </w:p>
    <w:p w14:paraId="5928F34F" w14:textId="77777777" w:rsidR="00D63473" w:rsidRDefault="00D63473" w:rsidP="00D63473">
      <w:pPr>
        <w:pStyle w:val="Heading5"/>
      </w:pPr>
      <w:r>
        <w:t>Perspectives of young people who do not use headspace</w:t>
      </w:r>
    </w:p>
    <w:p w14:paraId="130B0720" w14:textId="77777777" w:rsidR="00D63473" w:rsidRPr="00333B51" w:rsidRDefault="00D63473" w:rsidP="00D63473">
      <w:pPr>
        <w:pStyle w:val="BodyText"/>
      </w:pPr>
      <w:r>
        <w:t>Discussions with young people from culturally and linguistically diverse backgrounds i</w:t>
      </w:r>
      <w:r w:rsidRPr="007E558C">
        <w:t>ndicated that they felt there was limited understanding of the cultural sensitivities around mental health, and that this was true of the headspace model as well as of mainstream services more generally.</w:t>
      </w:r>
    </w:p>
    <w:p w14:paraId="291D1FE8" w14:textId="77777777" w:rsidR="00D63473" w:rsidRDefault="00D63473" w:rsidP="00D63473">
      <w:pPr>
        <w:pStyle w:val="Heading5"/>
        <w:rPr>
          <w:rFonts w:eastAsiaTheme="majorEastAsia" w:cstheme="majorBidi"/>
          <w:color w:val="00338D" w:themeColor="background2"/>
          <w:sz w:val="24"/>
        </w:rPr>
      </w:pPr>
      <w:r>
        <w:t>Perspectives of headspace service providers</w:t>
      </w:r>
    </w:p>
    <w:p w14:paraId="5D5DD37B" w14:textId="4D584B49" w:rsidR="00D63473" w:rsidRPr="00977F48" w:rsidRDefault="00D63473" w:rsidP="00D63473">
      <w:pPr>
        <w:pStyle w:val="BodyText"/>
        <w:rPr>
          <w:lang w:eastAsia="en-AU"/>
        </w:rPr>
      </w:pPr>
      <w:r w:rsidRPr="00977F48">
        <w:rPr>
          <w:lang w:eastAsia="en-AU"/>
        </w:rPr>
        <w:t xml:space="preserve">The strong levels of confidence described above from </w:t>
      </w:r>
      <w:r w:rsidR="0050072E">
        <w:rPr>
          <w:lang w:eastAsia="en-AU"/>
        </w:rPr>
        <w:t>service</w:t>
      </w:r>
      <w:r w:rsidRPr="00977F48">
        <w:rPr>
          <w:lang w:eastAsia="en-AU"/>
        </w:rPr>
        <w:t xml:space="preserve"> and lead agency survey responses regarding increasing mental health literacy</w:t>
      </w:r>
      <w:r>
        <w:rPr>
          <w:lang w:eastAsia="en-AU"/>
        </w:rPr>
        <w:t xml:space="preserve"> </w:t>
      </w:r>
      <w:r w:rsidRPr="00977F48">
        <w:rPr>
          <w:lang w:eastAsia="en-AU"/>
        </w:rPr>
        <w:t>are also an indication of the extent to which respondents consider their headspace service to be reducing stigma. In response to the prompt</w:t>
      </w:r>
      <w:r>
        <w:rPr>
          <w:lang w:eastAsia="en-AU"/>
        </w:rPr>
        <w:t>:</w:t>
      </w:r>
      <w:r w:rsidRPr="00977F48">
        <w:rPr>
          <w:lang w:eastAsia="en-AU"/>
        </w:rPr>
        <w:t xml:space="preserve"> </w:t>
      </w:r>
    </w:p>
    <w:p w14:paraId="73870B78" w14:textId="0D98D1C2" w:rsidR="00D63473" w:rsidRPr="00643116" w:rsidRDefault="00D63473" w:rsidP="00D63473">
      <w:pPr>
        <w:pStyle w:val="QuoteBold"/>
      </w:pPr>
      <w:r w:rsidRPr="00643116">
        <w:t>Based on your observation of young people at your headspace service, how well does the service increase mental health literacy? For example, building understanding of where to seek support, understanding of mental ill health and treatments, and reduction of stigma to support help</w:t>
      </w:r>
      <w:r w:rsidR="00BD29DF">
        <w:t xml:space="preserve"> </w:t>
      </w:r>
      <w:r w:rsidRPr="00643116">
        <w:t>seeking.</w:t>
      </w:r>
    </w:p>
    <w:p w14:paraId="1ECFE91E" w14:textId="589549CB" w:rsidR="00D63473" w:rsidRPr="00977F48" w:rsidRDefault="00D63473" w:rsidP="00D63473">
      <w:pPr>
        <w:pStyle w:val="BodyText"/>
        <w:rPr>
          <w:lang w:eastAsia="en-AU"/>
        </w:rPr>
      </w:pPr>
      <w:r w:rsidRPr="00977F48">
        <w:rPr>
          <w:lang w:eastAsia="en-AU"/>
        </w:rPr>
        <w:t xml:space="preserve">A total of 93 per cent of </w:t>
      </w:r>
      <w:r w:rsidR="0050072E">
        <w:rPr>
          <w:lang w:eastAsia="en-AU"/>
        </w:rPr>
        <w:t>service</w:t>
      </w:r>
      <w:r w:rsidRPr="00977F48">
        <w:rPr>
          <w:lang w:eastAsia="en-AU"/>
        </w:rPr>
        <w:t xml:space="preserve"> and lead agency respondents selected ‘</w:t>
      </w:r>
      <w:r w:rsidR="00300D4A">
        <w:rPr>
          <w:lang w:eastAsia="en-AU"/>
        </w:rPr>
        <w:t>v</w:t>
      </w:r>
      <w:r w:rsidRPr="00977F48">
        <w:rPr>
          <w:lang w:eastAsia="en-AU"/>
        </w:rPr>
        <w:t xml:space="preserve">ery </w:t>
      </w:r>
      <w:r w:rsidR="00300D4A">
        <w:rPr>
          <w:lang w:eastAsia="en-AU"/>
        </w:rPr>
        <w:t>w</w:t>
      </w:r>
      <w:r w:rsidRPr="00977F48">
        <w:rPr>
          <w:lang w:eastAsia="en-AU"/>
        </w:rPr>
        <w:t>ell’ or ‘</w:t>
      </w:r>
      <w:r w:rsidR="00300D4A">
        <w:rPr>
          <w:lang w:eastAsia="en-AU"/>
        </w:rPr>
        <w:t>w</w:t>
      </w:r>
      <w:r w:rsidRPr="00977F48">
        <w:rPr>
          <w:lang w:eastAsia="en-AU"/>
        </w:rPr>
        <w:t>ell’.</w:t>
      </w:r>
    </w:p>
    <w:p w14:paraId="292ED461" w14:textId="50633C24" w:rsidR="00D63473" w:rsidRDefault="00D63473" w:rsidP="00D63473">
      <w:pPr>
        <w:pStyle w:val="BodyText"/>
      </w:pPr>
      <w:r>
        <w:t>Interviews with school and university counsellors indicated a general</w:t>
      </w:r>
      <w:r w:rsidRPr="002E217D">
        <w:t xml:space="preserve"> recognition that mental health literacy </w:t>
      </w:r>
      <w:r>
        <w:t>has improved over time</w:t>
      </w:r>
      <w:r w:rsidRPr="002E217D">
        <w:t xml:space="preserve"> </w:t>
      </w:r>
      <w:r>
        <w:t xml:space="preserve">for young people in Australia, that </w:t>
      </w:r>
      <w:r w:rsidRPr="002E217D">
        <w:t xml:space="preserve">stigma </w:t>
      </w:r>
      <w:r>
        <w:t xml:space="preserve">about mental illness </w:t>
      </w:r>
      <w:r w:rsidRPr="002E217D">
        <w:t>has been reduced</w:t>
      </w:r>
      <w:r>
        <w:t xml:space="preserve"> and </w:t>
      </w:r>
      <w:r w:rsidRPr="002E217D">
        <w:t xml:space="preserve">help seeking is </w:t>
      </w:r>
      <w:r>
        <w:t xml:space="preserve">widely </w:t>
      </w:r>
      <w:r w:rsidRPr="002E217D">
        <w:t xml:space="preserve">encouraged, </w:t>
      </w:r>
      <w:r>
        <w:t xml:space="preserve">with a tendency to </w:t>
      </w:r>
      <w:r w:rsidRPr="002E217D">
        <w:t xml:space="preserve">talk more </w:t>
      </w:r>
      <w:r>
        <w:t xml:space="preserve">openly </w:t>
      </w:r>
      <w:r w:rsidRPr="002E217D">
        <w:t xml:space="preserve">about mental health today. </w:t>
      </w:r>
      <w:r w:rsidRPr="00A31210">
        <w:t xml:space="preserve">There was </w:t>
      </w:r>
      <w:r>
        <w:t>a view from participating</w:t>
      </w:r>
      <w:r w:rsidRPr="002E217D">
        <w:t xml:space="preserve"> counsellors that headspace resources contribute to increasing mental health literacy</w:t>
      </w:r>
      <w:r w:rsidR="003338B5">
        <w:t xml:space="preserve"> and reducing stigma</w:t>
      </w:r>
      <w:r>
        <w:t xml:space="preserve">, including a general improvement in young people’s knowledge of </w:t>
      </w:r>
      <w:r w:rsidRPr="002E217D">
        <w:t xml:space="preserve">how to seek help </w:t>
      </w:r>
      <w:r>
        <w:t>for their mental health and wellbeing. Discussions acknowledged that these observed changes could not be attributed to headspace alone, but also to broader work happening in schools, social media and other organisations as well.</w:t>
      </w:r>
    </w:p>
    <w:p w14:paraId="049654B9" w14:textId="77777777" w:rsidR="00D63473" w:rsidRDefault="00D63473" w:rsidP="00D63473">
      <w:pPr>
        <w:pStyle w:val="BodyText"/>
      </w:pPr>
      <w:r>
        <w:t xml:space="preserve">School and university counsellors also identified challenges for culturally and linguistically diverse communities related to stigma. </w:t>
      </w:r>
      <w:r w:rsidRPr="00F6513F">
        <w:t>Discussions noted that</w:t>
      </w:r>
      <w:r>
        <w:t>,</w:t>
      </w:r>
      <w:r w:rsidRPr="00F6513F">
        <w:t xml:space="preserve"> within some cultural groups</w:t>
      </w:r>
      <w:r>
        <w:t>,</w:t>
      </w:r>
      <w:r w:rsidRPr="00F6513F">
        <w:t xml:space="preserve"> stigma has an ongoing impact on menta health help seeking behaviour.</w:t>
      </w:r>
    </w:p>
    <w:p w14:paraId="163CFBA0" w14:textId="60382658" w:rsidR="00D63473" w:rsidRDefault="00D63473" w:rsidP="00D63473">
      <w:pPr>
        <w:pStyle w:val="BodyText"/>
      </w:pPr>
      <w:r w:rsidRPr="00BC5E0E">
        <w:t>When considering the extent to which headspace has been successful in reducing stigma for family, friends and the community, the data</w:t>
      </w:r>
      <w:r w:rsidR="002D5D52">
        <w:t xml:space="preserve"> is less conclusive</w:t>
      </w:r>
      <w:r w:rsidRPr="00BC5E0E">
        <w:t>. Qualitative evidence from interviews and discussions at a range of sites indicated that</w:t>
      </w:r>
      <w:r>
        <w:t>,</w:t>
      </w:r>
      <w:r w:rsidRPr="00BC5E0E">
        <w:t xml:space="preserve"> while some </w:t>
      </w:r>
      <w:r w:rsidR="00B41FC1">
        <w:t>progress</w:t>
      </w:r>
      <w:r w:rsidR="00B41FC1" w:rsidRPr="00BC5E0E">
        <w:t xml:space="preserve"> </w:t>
      </w:r>
      <w:r w:rsidRPr="00BC5E0E">
        <w:t xml:space="preserve">is being made in reducing stigma in young people, this is due to a range of factors including the work of schools and the media more broadly in highlighting and normalising mental health help seeking. </w:t>
      </w:r>
    </w:p>
    <w:p w14:paraId="3C8DE85D" w14:textId="37AF8F90" w:rsidR="00D63473" w:rsidRPr="00C85EDE" w:rsidRDefault="00D63473" w:rsidP="00D63473">
      <w:pPr>
        <w:pStyle w:val="BodyText"/>
      </w:pPr>
      <w:r w:rsidRPr="00BC5E0E">
        <w:t>Discussions also indicated that</w:t>
      </w:r>
      <w:r>
        <w:t>,</w:t>
      </w:r>
      <w:r w:rsidRPr="00BC5E0E">
        <w:t xml:space="preserve"> for some famil</w:t>
      </w:r>
      <w:r>
        <w:t>ies</w:t>
      </w:r>
      <w:r w:rsidRPr="00BC5E0E">
        <w:t xml:space="preserve"> and</w:t>
      </w:r>
      <w:r>
        <w:t xml:space="preserve"> in some segments of the</w:t>
      </w:r>
      <w:r w:rsidRPr="00BC5E0E">
        <w:t xml:space="preserve"> community, stigma around mental health </w:t>
      </w:r>
      <w:r w:rsidR="001A7BE3" w:rsidRPr="00BC5E0E">
        <w:t>help seeking</w:t>
      </w:r>
      <w:r w:rsidRPr="00BC5E0E">
        <w:t xml:space="preserve"> continues to be strong, and services are continuing to focus efforts, including outreach, recruitment and other engagement strategies</w:t>
      </w:r>
      <w:r>
        <w:t>,</w:t>
      </w:r>
      <w:r w:rsidRPr="00BC5E0E">
        <w:t xml:space="preserve"> to reduce stigma and encourage support of mental health help seeking. A number of cultural groups were discussed in these fieldwork conversations, a</w:t>
      </w:r>
      <w:r>
        <w:t xml:space="preserve">long with </w:t>
      </w:r>
      <w:r w:rsidRPr="00BC5E0E">
        <w:t>the particular challenges for young people from some culturally and linguistically diverse backgrounds where mental illness is not easily accepted or understood.</w:t>
      </w:r>
    </w:p>
    <w:p w14:paraId="2B181D51" w14:textId="77777777" w:rsidR="00D63473" w:rsidRDefault="00D63473" w:rsidP="00D63473">
      <w:pPr>
        <w:pStyle w:val="Heading4"/>
      </w:pPr>
      <w:r>
        <w:t>Effectiveness of headspace in reducing stigma associated with mental illness and help seeking</w:t>
      </w:r>
    </w:p>
    <w:p w14:paraId="5729649F" w14:textId="78AC5983" w:rsidR="00D63473" w:rsidRPr="003E76D3" w:rsidRDefault="00D63473" w:rsidP="00D63473">
      <w:pPr>
        <w:pStyle w:val="BodyText"/>
      </w:pPr>
      <w:r w:rsidRPr="000303A0">
        <w:t xml:space="preserve">Overall, the evidence collected suggests that stigma reduction activities </w:t>
      </w:r>
      <w:r w:rsidR="00AC7392">
        <w:t xml:space="preserve">undertaken as part of the headspace model are effective and </w:t>
      </w:r>
      <w:r w:rsidRPr="000303A0">
        <w:t>are a continued focus of headspace services, as they are for services and organisations across the mental health sector.</w:t>
      </w:r>
      <w:r>
        <w:t xml:space="preserve"> Despite this, qualitative data indicates that stigma continues to be an issue, particularly for young people from culturally and linguistically diverse or Aboriginal and Torres Strait Islander </w:t>
      </w:r>
      <w:r w:rsidR="00C65897">
        <w:t>young people</w:t>
      </w:r>
      <w:r>
        <w:t xml:space="preserve">. Young people discussed how schools and the media are also </w:t>
      </w:r>
      <w:r w:rsidR="00B41FC1">
        <w:t>working to combat</w:t>
      </w:r>
      <w:r>
        <w:t xml:space="preserve"> stigma, and that the work headspace does is one of many things happening to help in its reduction. </w:t>
      </w:r>
      <w:r w:rsidRPr="000303A0">
        <w:t xml:space="preserve">On balance, views are positive that stigma around mental health and mental illness </w:t>
      </w:r>
      <w:r>
        <w:t>is</w:t>
      </w:r>
      <w:r w:rsidRPr="000303A0">
        <w:t xml:space="preserve"> reduc</w:t>
      </w:r>
      <w:r>
        <w:t>ing</w:t>
      </w:r>
      <w:r w:rsidRPr="000303A0">
        <w:t>, and those close to the model believe headspace has made a positive contribution.</w:t>
      </w:r>
      <w:r>
        <w:t xml:space="preserve"> </w:t>
      </w:r>
    </w:p>
    <w:p w14:paraId="327E5643" w14:textId="27EF22B5" w:rsidR="00A77D9D" w:rsidRPr="00ED0555" w:rsidRDefault="00A77D9D" w:rsidP="00350B4D">
      <w:pPr>
        <w:pStyle w:val="AppendixHeading2"/>
      </w:pPr>
      <w:bookmarkStart w:id="256" w:name="_Ref98326355"/>
      <w:r>
        <w:t>How effective is headspace in improving pathways to care for young people through service integration and coordination</w:t>
      </w:r>
      <w:bookmarkEnd w:id="256"/>
      <w:r w:rsidR="00FD327F">
        <w:t>?</w:t>
      </w:r>
    </w:p>
    <w:p w14:paraId="33C02135" w14:textId="77777777" w:rsidR="00A77D9D" w:rsidRPr="00763179" w:rsidRDefault="00A77D9D" w:rsidP="0080703A">
      <w:pPr>
        <w:pStyle w:val="AppendixHeading3"/>
      </w:pPr>
      <w:r>
        <w:t>Service Integration and Coordination</w:t>
      </w:r>
    </w:p>
    <w:p w14:paraId="7A139680" w14:textId="3830EF29" w:rsidR="00450E29" w:rsidRDefault="00450E29" w:rsidP="00450E29">
      <w:pPr>
        <w:pStyle w:val="Caption"/>
      </w:pPr>
      <w:bookmarkStart w:id="257" w:name="_Toc108109004"/>
      <w:r>
        <w:t xml:space="preserve">Table </w:t>
      </w:r>
      <w:fldSimple w:instr=" SEQ Table \* ARABIC ">
        <w:r w:rsidR="00CC0438">
          <w:rPr>
            <w:noProof/>
          </w:rPr>
          <w:t>54</w:t>
        </w:r>
      </w:fldSimple>
      <w:r>
        <w:t xml:space="preserve"> </w:t>
      </w:r>
      <w:r w:rsidRPr="00C34D2C">
        <w:t>Overview of objectives of headspace for service integration and coordination</w:t>
      </w:r>
      <w:bookmarkEnd w:id="257"/>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objectives of headspace for service integration and coordination"/>
        <w:tblDescription w:val="Table has 3 columns and summarises the objectives of headspace services with respect to service integration and coordination. Column 1 outlines the objective. Column 2 summarises the short-term impacts expected. Column 3 summarises the medium-term impacts expected."/>
      </w:tblPr>
      <w:tblGrid>
        <w:gridCol w:w="2269"/>
        <w:gridCol w:w="3401"/>
        <w:gridCol w:w="3543"/>
      </w:tblGrid>
      <w:tr w:rsidR="00A77D9D" w:rsidRPr="001D6913" w14:paraId="0485C876" w14:textId="77777777" w:rsidTr="00F27C38">
        <w:trPr>
          <w:tblHeader/>
        </w:trPr>
        <w:tc>
          <w:tcPr>
            <w:tcW w:w="1231" w:type="pct"/>
            <w:tcBorders>
              <w:bottom w:val="single" w:sz="4" w:space="0" w:color="00338D"/>
            </w:tcBorders>
            <w:shd w:val="clear" w:color="auto" w:fill="00338D"/>
          </w:tcPr>
          <w:p w14:paraId="6CC6B210" w14:textId="77777777" w:rsidR="00A77D9D" w:rsidRPr="001D6913" w:rsidRDefault="00A77D9D" w:rsidP="00F27C38">
            <w:pPr>
              <w:pStyle w:val="Tableheading"/>
            </w:pPr>
            <w:r w:rsidRPr="001D6913">
              <w:t>Objective</w:t>
            </w:r>
          </w:p>
        </w:tc>
        <w:tc>
          <w:tcPr>
            <w:tcW w:w="1846" w:type="pct"/>
            <w:tcBorders>
              <w:bottom w:val="single" w:sz="4" w:space="0" w:color="00338D"/>
            </w:tcBorders>
            <w:shd w:val="clear" w:color="auto" w:fill="00338D"/>
          </w:tcPr>
          <w:p w14:paraId="1DA9F86A" w14:textId="06F2F466" w:rsidR="00A77D9D" w:rsidRPr="001D6913" w:rsidRDefault="00A77D9D" w:rsidP="00F27C38">
            <w:pPr>
              <w:pStyle w:val="Tableheading"/>
            </w:pPr>
            <w:r w:rsidRPr="001D6913">
              <w:t>Short term</w:t>
            </w:r>
            <w:r w:rsidR="005E7859">
              <w:t>-</w:t>
            </w:r>
            <w:r w:rsidRPr="001D6913">
              <w:t>impacts</w:t>
            </w:r>
          </w:p>
        </w:tc>
        <w:tc>
          <w:tcPr>
            <w:tcW w:w="1923" w:type="pct"/>
            <w:tcBorders>
              <w:bottom w:val="single" w:sz="4" w:space="0" w:color="00338D"/>
            </w:tcBorders>
            <w:shd w:val="clear" w:color="auto" w:fill="00338D"/>
          </w:tcPr>
          <w:p w14:paraId="1CABC3DD" w14:textId="31969FA2" w:rsidR="00A77D9D" w:rsidRPr="001D6913" w:rsidRDefault="00A77D9D" w:rsidP="00F27C38">
            <w:pPr>
              <w:pStyle w:val="Tableheading"/>
            </w:pPr>
            <w:r w:rsidRPr="001D6913">
              <w:t>Medium term</w:t>
            </w:r>
            <w:r w:rsidR="005E7859">
              <w:t>-</w:t>
            </w:r>
            <w:r w:rsidRPr="001D6913">
              <w:t>impacts</w:t>
            </w:r>
          </w:p>
        </w:tc>
      </w:tr>
      <w:tr w:rsidR="00A77D9D" w:rsidRPr="001D6913" w14:paraId="14DDDE84" w14:textId="77777777" w:rsidTr="00F27C38">
        <w:trPr>
          <w:cantSplit/>
        </w:trPr>
        <w:tc>
          <w:tcPr>
            <w:tcW w:w="1231" w:type="pct"/>
            <w:tcBorders>
              <w:top w:val="single" w:sz="2" w:space="0" w:color="808080" w:themeColor="background1" w:themeShade="80"/>
              <w:bottom w:val="single" w:sz="2" w:space="0" w:color="808080" w:themeColor="background1" w:themeShade="80"/>
            </w:tcBorders>
          </w:tcPr>
          <w:p w14:paraId="1B67FBCF" w14:textId="77777777" w:rsidR="00A77D9D" w:rsidRPr="00664E58" w:rsidRDefault="00A77D9D" w:rsidP="00F27C38">
            <w:pPr>
              <w:pStyle w:val="Tabletext"/>
              <w:rPr>
                <w:b/>
                <w:bCs/>
              </w:rPr>
            </w:pPr>
            <w:r w:rsidRPr="00664E58">
              <w:rPr>
                <w:b/>
                <w:bCs/>
              </w:rPr>
              <w:t>Improving the pathway to care through service integration and coordination</w:t>
            </w:r>
            <w:r>
              <w:rPr>
                <w:b/>
                <w:bCs/>
              </w:rPr>
              <w:t xml:space="preserve"> - </w:t>
            </w:r>
            <w:r>
              <w:rPr>
                <w:rFonts w:cs="Calibri"/>
                <w:szCs w:val="20"/>
              </w:rPr>
              <w:t>bringing services together to function as one, providing a seamless service experience for a young person</w:t>
            </w:r>
          </w:p>
        </w:tc>
        <w:tc>
          <w:tcPr>
            <w:tcW w:w="1846" w:type="pct"/>
            <w:tcBorders>
              <w:top w:val="single" w:sz="2" w:space="0" w:color="808080" w:themeColor="background1" w:themeShade="80"/>
              <w:bottom w:val="single" w:sz="2" w:space="0" w:color="808080" w:themeColor="background1" w:themeShade="80"/>
            </w:tcBorders>
          </w:tcPr>
          <w:p w14:paraId="7F33FCBA" w14:textId="77777777" w:rsidR="00A77D9D" w:rsidRDefault="00A77D9D" w:rsidP="007F1DA2">
            <w:pPr>
              <w:pStyle w:val="TableBullet1"/>
            </w:pPr>
            <w:r w:rsidRPr="001D6913">
              <w:t>headspace services deliver services across and beyond four core streams (mental health, physical health, alcohol and drug use, vocational programs)</w:t>
            </w:r>
          </w:p>
          <w:p w14:paraId="0873652F" w14:textId="77777777" w:rsidR="00A77D9D" w:rsidRPr="001D6913" w:rsidRDefault="00A77D9D" w:rsidP="007F1DA2">
            <w:pPr>
              <w:pStyle w:val="TableBullet1"/>
            </w:pPr>
            <w:r w:rsidRPr="001D6913">
              <w:t>headspace services deliver integrated/coordinated care</w:t>
            </w:r>
          </w:p>
        </w:tc>
        <w:tc>
          <w:tcPr>
            <w:tcW w:w="1923" w:type="pct"/>
            <w:tcBorders>
              <w:top w:val="single" w:sz="2" w:space="0" w:color="808080" w:themeColor="background1" w:themeShade="80"/>
              <w:bottom w:val="single" w:sz="2" w:space="0" w:color="808080" w:themeColor="background1" w:themeShade="80"/>
            </w:tcBorders>
          </w:tcPr>
          <w:p w14:paraId="4DFD680E" w14:textId="77777777" w:rsidR="00A77D9D" w:rsidRPr="001D6913" w:rsidRDefault="00A77D9D" w:rsidP="007F1DA2">
            <w:pPr>
              <w:pStyle w:val="TableBullet1"/>
            </w:pPr>
            <w:r w:rsidRPr="001D6913">
              <w:t>Young people and families experience more streamlined and less fragmented pathways of care</w:t>
            </w:r>
          </w:p>
          <w:p w14:paraId="0D8DD2D5" w14:textId="77777777" w:rsidR="00A77D9D" w:rsidRPr="001D6913" w:rsidRDefault="00A77D9D" w:rsidP="007F1DA2">
            <w:pPr>
              <w:pStyle w:val="TableBullet1"/>
            </w:pPr>
            <w:r w:rsidRPr="001D6913">
              <w:t>The local service system for youth mental health is better integrated and coordinated</w:t>
            </w:r>
          </w:p>
        </w:tc>
      </w:tr>
    </w:tbl>
    <w:p w14:paraId="1EAE3D14" w14:textId="77777777" w:rsidR="00A77D9D" w:rsidRDefault="00A77D9D" w:rsidP="00A77D9D">
      <w:pPr>
        <w:pStyle w:val="BodyText"/>
      </w:pPr>
      <w:r>
        <w:t xml:space="preserve">The headspace program logic sets out two core objectives related to service integration and coordination, as outlined in the table above. Medium-term impacts for young people and families and the local service system are also expected. </w:t>
      </w:r>
    </w:p>
    <w:p w14:paraId="1D69FAEA" w14:textId="089D51B5" w:rsidR="00A77D9D" w:rsidRDefault="00A77D9D" w:rsidP="00A77D9D">
      <w:pPr>
        <w:pStyle w:val="BodyText"/>
      </w:pPr>
      <w:r>
        <w:t>Integration refers to individuals and organisations in different areas and sectors working together and aligning their practices and policies to deliver high quality mental healthcare and achieve good outcomes</w:t>
      </w:r>
      <w:r w:rsidR="00CC0438">
        <w:rPr>
          <w:rFonts w:ascii="ZWAdobeF" w:hAnsi="ZWAdobeF" w:cs="ZWAdobeF"/>
          <w:sz w:val="2"/>
          <w:szCs w:val="2"/>
        </w:rPr>
        <w:t>189F</w:t>
      </w:r>
      <w:r>
        <w:rPr>
          <w:rStyle w:val="FootnoteReference"/>
        </w:rPr>
        <w:footnoteReference w:id="191"/>
      </w:r>
      <w:r>
        <w:t xml:space="preserve">. </w:t>
      </w:r>
      <w:r w:rsidRPr="00675529">
        <w:rPr>
          <w:rFonts w:cs="Calibri"/>
          <w:szCs w:val="20"/>
        </w:rPr>
        <w:t xml:space="preserve">In the headspace </w:t>
      </w:r>
      <w:r w:rsidR="001F2443">
        <w:rPr>
          <w:rFonts w:cs="Calibri"/>
          <w:szCs w:val="20"/>
        </w:rPr>
        <w:t>model</w:t>
      </w:r>
      <w:r w:rsidRPr="00675529">
        <w:rPr>
          <w:rFonts w:cs="Calibri"/>
          <w:szCs w:val="20"/>
        </w:rPr>
        <w:t>, service integration refers to</w:t>
      </w:r>
      <w:r>
        <w:rPr>
          <w:rFonts w:cs="Calibri"/>
          <w:b/>
          <w:bCs/>
          <w:szCs w:val="20"/>
        </w:rPr>
        <w:t xml:space="preserve"> </w:t>
      </w:r>
      <w:r>
        <w:rPr>
          <w:rFonts w:cs="Calibri"/>
          <w:szCs w:val="20"/>
        </w:rPr>
        <w:t>bringing services together to function as one, providing a seamless service experience for a young person, particularly if they require care involving multiple service providers and supports</w:t>
      </w:r>
      <w:r w:rsidR="00CC0438">
        <w:rPr>
          <w:rFonts w:ascii="ZWAdobeF" w:hAnsi="ZWAdobeF" w:cs="ZWAdobeF"/>
          <w:sz w:val="2"/>
          <w:szCs w:val="2"/>
        </w:rPr>
        <w:t>190F</w:t>
      </w:r>
      <w:r>
        <w:rPr>
          <w:rStyle w:val="FootnoteReference"/>
          <w:rFonts w:cs="Calibri"/>
          <w:szCs w:val="20"/>
        </w:rPr>
        <w:footnoteReference w:id="192"/>
      </w:r>
      <w:r>
        <w:rPr>
          <w:rFonts w:cs="Calibri"/>
          <w:szCs w:val="20"/>
        </w:rPr>
        <w:t>.</w:t>
      </w:r>
    </w:p>
    <w:p w14:paraId="05CBA3E6" w14:textId="16543B83" w:rsidR="00A77D9D" w:rsidRDefault="00A77D9D" w:rsidP="00A77D9D">
      <w:pPr>
        <w:pStyle w:val="BodyText"/>
        <w:rPr>
          <w:lang w:eastAsia="en-AU"/>
        </w:rPr>
      </w:pPr>
      <w:r>
        <w:t>In the context of mental health services, there are two ways services can typically be integrated – vertically and horizontally. Vertical integration refers to how services at different levels of healthcare, for example primary, secondary and tertiary, work together to deliver on this. Horizontal integration refers to how services from different sectors or sub-sectors work together, such as physical and sexual health and mental health services. Vertical or horizontal integration may also occur between mental health and other service systems, such as housing, or employment</w:t>
      </w:r>
      <w:r w:rsidR="00CC0438">
        <w:rPr>
          <w:rFonts w:ascii="ZWAdobeF" w:hAnsi="ZWAdobeF" w:cs="ZWAdobeF"/>
          <w:sz w:val="2"/>
          <w:szCs w:val="2"/>
        </w:rPr>
        <w:t>191F</w:t>
      </w:r>
      <w:r>
        <w:rPr>
          <w:rStyle w:val="FootnoteReference"/>
        </w:rPr>
        <w:footnoteReference w:id="193"/>
      </w:r>
      <w:r>
        <w:t>.</w:t>
      </w:r>
    </w:p>
    <w:p w14:paraId="705B6D91" w14:textId="77777777" w:rsidR="00A77D9D" w:rsidRDefault="00A77D9D" w:rsidP="00A77D9D">
      <w:pPr>
        <w:pStyle w:val="BodyText"/>
      </w:pPr>
      <w:r>
        <w:rPr>
          <w:lang w:eastAsia="en-AU"/>
        </w:rPr>
        <w:t>Ensuring people, including young people, have access to services and supports they need where and when they need them is critical to a well-functioning mental health service system. However, the Productivity Commission has identified that nationally, there are challenges with current pathways between care and service integration across the entire mental health service system.</w:t>
      </w:r>
      <w:r w:rsidRPr="00F95095">
        <w:t xml:space="preserve"> </w:t>
      </w:r>
      <w:r>
        <w:t>These challenges include:</w:t>
      </w:r>
    </w:p>
    <w:p w14:paraId="7E874AA9" w14:textId="6BCDD034" w:rsidR="00A77D9D" w:rsidRPr="00350B4D" w:rsidRDefault="00A77D9D" w:rsidP="00350B4D">
      <w:pPr>
        <w:pStyle w:val="Bullet1stlevel"/>
      </w:pPr>
      <w:r w:rsidRPr="00350B4D">
        <w:t xml:space="preserve">the </w:t>
      </w:r>
      <w:r>
        <w:t>complex and disjointed nature of the mental health service system</w:t>
      </w:r>
      <w:r w:rsidR="004B46A8">
        <w:t>;</w:t>
      </w:r>
    </w:p>
    <w:p w14:paraId="27482052" w14:textId="1A648787" w:rsidR="00A77D9D" w:rsidRPr="00350B4D" w:rsidRDefault="00A77D9D" w:rsidP="00350B4D">
      <w:pPr>
        <w:pStyle w:val="Bullet1stlevel"/>
      </w:pPr>
      <w:r>
        <w:t>a lack of information sharing and coordination between services, impacting on outcomes</w:t>
      </w:r>
      <w:r w:rsidR="004B46A8">
        <w:t>; and</w:t>
      </w:r>
    </w:p>
    <w:p w14:paraId="150CA50F" w14:textId="387BD141" w:rsidR="00A77D9D" w:rsidRPr="000C1EFA" w:rsidRDefault="00FD327F" w:rsidP="00350B4D">
      <w:pPr>
        <w:pStyle w:val="Bullet1stlevel"/>
      </w:pPr>
      <w:r>
        <w:t>some</w:t>
      </w:r>
      <w:r w:rsidR="00A77D9D">
        <w:t xml:space="preserve"> services providing overlap in some areas and for some cohorts of people, with no services for other groups</w:t>
      </w:r>
      <w:r w:rsidR="00CC0438">
        <w:rPr>
          <w:rFonts w:ascii="ZWAdobeF" w:hAnsi="ZWAdobeF" w:cs="ZWAdobeF"/>
          <w:sz w:val="2"/>
          <w:szCs w:val="2"/>
        </w:rPr>
        <w:t>192F</w:t>
      </w:r>
      <w:r w:rsidR="00A77D9D" w:rsidRPr="000E09BC">
        <w:rPr>
          <w:rStyle w:val="FootnoteReference"/>
        </w:rPr>
        <w:footnoteReference w:id="194"/>
      </w:r>
      <w:r w:rsidR="00A77D9D">
        <w:t xml:space="preserve">. </w:t>
      </w:r>
    </w:p>
    <w:p w14:paraId="2124FDED" w14:textId="77777777" w:rsidR="00A77D9D" w:rsidRPr="003B2B14" w:rsidRDefault="00A77D9D" w:rsidP="00A77D9D">
      <w:pPr>
        <w:pStyle w:val="BodyText"/>
        <w:rPr>
          <w:lang w:eastAsia="en-AU"/>
        </w:rPr>
      </w:pPr>
      <w:r>
        <w:rPr>
          <w:lang w:eastAsia="en-AU"/>
        </w:rPr>
        <w:t>This section explores headspace’s effectiveness in improving pathways to care through service integration and coordination.</w:t>
      </w:r>
    </w:p>
    <w:p w14:paraId="232E3FE5" w14:textId="77777777" w:rsidR="00A77D9D" w:rsidRDefault="00A77D9D" w:rsidP="00A77D9D">
      <w:pPr>
        <w:pStyle w:val="Heading4"/>
      </w:pPr>
      <w:r>
        <w:t>Evidence of headspace’s contribution to improving pathways to care though service integration and coordination</w:t>
      </w:r>
    </w:p>
    <w:p w14:paraId="40560304" w14:textId="77777777" w:rsidR="00A77D9D" w:rsidRDefault="00A77D9D" w:rsidP="00A77D9D">
      <w:pPr>
        <w:pStyle w:val="Heading5"/>
      </w:pPr>
      <w:r>
        <w:t>Perspectives of young people who use headspace</w:t>
      </w:r>
    </w:p>
    <w:p w14:paraId="3EBE8D97" w14:textId="7CD9D7FA" w:rsidR="00A77D9D" w:rsidRDefault="00A77D9D" w:rsidP="00A77D9D">
      <w:pPr>
        <w:pStyle w:val="BodyText"/>
      </w:pPr>
      <w:r>
        <w:t xml:space="preserve">headspace users reported receiving appropriate referrals to dieticians and other professionals as well as assistance with practical matters relating to housing, income, and employment, both in-house and via referral from headspace services. Referrals and links to psychiatrists were reported by some headspace users to be more problematic, indicating they were not able to be linked with a psychiatrist where needed from the headspace service. </w:t>
      </w:r>
      <w:r w:rsidRPr="00B74DEA">
        <w:t>While</w:t>
      </w:r>
      <w:r>
        <w:t xml:space="preserve"> many started their mental health journey with headspace</w:t>
      </w:r>
      <w:r w:rsidRPr="00B74DEA">
        <w:t>, some</w:t>
      </w:r>
      <w:r>
        <w:t xml:space="preserve"> ended up </w:t>
      </w:r>
      <w:r w:rsidRPr="00B74DEA">
        <w:t>being referred to, or choosing to, seek help from</w:t>
      </w:r>
      <w:r>
        <w:t xml:space="preserve"> a private practice psychologist and/or psychiatrist. The experience of most headspace users receiving appropriate referrals where required is consistent with the Colmar Brunton survey undertaken for headspace National, where 85 per cent of young people indicated that it was extremely important that headspace would connect them with other services if they needed them</w:t>
      </w:r>
      <w:r w:rsidR="00CC0438">
        <w:rPr>
          <w:rFonts w:ascii="ZWAdobeF" w:hAnsi="ZWAdobeF" w:cs="ZWAdobeF"/>
          <w:sz w:val="2"/>
          <w:szCs w:val="2"/>
        </w:rPr>
        <w:t>193F</w:t>
      </w:r>
      <w:r>
        <w:rPr>
          <w:rStyle w:val="FootnoteReference"/>
        </w:rPr>
        <w:footnoteReference w:id="195"/>
      </w:r>
      <w:r>
        <w:t>. Similarly, 95 per cent of young people’s parents agreed it was extremely important that headspace connect their child to other services as required</w:t>
      </w:r>
      <w:r w:rsidR="00CC0438">
        <w:rPr>
          <w:rFonts w:ascii="ZWAdobeF" w:hAnsi="ZWAdobeF" w:cs="ZWAdobeF"/>
          <w:sz w:val="2"/>
          <w:szCs w:val="2"/>
        </w:rPr>
        <w:t>194F</w:t>
      </w:r>
      <w:r>
        <w:rPr>
          <w:rStyle w:val="FootnoteReference"/>
        </w:rPr>
        <w:footnoteReference w:id="196"/>
      </w:r>
      <w:r>
        <w:t>.</w:t>
      </w:r>
    </w:p>
    <w:p w14:paraId="2F4AAB3B" w14:textId="73BCB2CF" w:rsidR="00A77D9D" w:rsidRDefault="00A77D9D" w:rsidP="00A77D9D">
      <w:pPr>
        <w:pStyle w:val="BodyText"/>
      </w:pPr>
      <w:r>
        <w:t>headspace’s affordability is a key asset. Cost was a major barrier in referrals for some headspace users. For example, one user was referred elsewhere for an expensive test (e.g</w:t>
      </w:r>
      <w:r w:rsidR="007E76A0">
        <w:t>.,</w:t>
      </w:r>
      <w:r>
        <w:t xml:space="preserve"> for </w:t>
      </w:r>
      <w:r w:rsidR="001E15D0">
        <w:t>Autism Spectrum Disorder</w:t>
      </w:r>
      <w:r>
        <w:t>). Cost barriers were also identified as limiting access to psychiatrists. In some cases, there was some frustration from headspace users that headspace could not support them with these services and they were referred to a more expensive service as part of a coordinated care model.</w:t>
      </w:r>
      <w:r w:rsidR="006E3210">
        <w:t xml:space="preserve"> This is consistent with the headspace model as it is focused on young people with mild to moderate, </w:t>
      </w:r>
      <w:r w:rsidR="00914941">
        <w:t>high-prevalence mental health conditions</w:t>
      </w:r>
      <w:r w:rsidR="0094349F">
        <w:t xml:space="preserve">, however the ‘no wrong door’ approach has created a level of expectation for some young people. </w:t>
      </w:r>
    </w:p>
    <w:p w14:paraId="5E97B3F3" w14:textId="77777777" w:rsidR="00A77D9D" w:rsidRDefault="00A77D9D" w:rsidP="003006A8">
      <w:pPr>
        <w:pStyle w:val="BodyText"/>
      </w:pPr>
      <w:r>
        <w:t>headspace users also indicated that they used alternative services, such as their GP, to provide integrated care, referrals and care coordination, rather than relying on headspace for this:</w:t>
      </w:r>
    </w:p>
    <w:p w14:paraId="7CDF4FFC" w14:textId="77777777" w:rsidR="00A77D9D" w:rsidRDefault="00A77D9D" w:rsidP="00A77D9D">
      <w:pPr>
        <w:pStyle w:val="Quote"/>
      </w:pPr>
      <w:r>
        <w:t>“I spoke with the GP again and we kind of decided that he could have referred me back to headspace for more sessions. But we kind of decided that, that probably wasn't quite what I needed. And so, instead he referred me to a different psychologist out at [suburb].”</w:t>
      </w:r>
    </w:p>
    <w:p w14:paraId="1E0C672B" w14:textId="77777777" w:rsidR="00A77D9D" w:rsidRDefault="00A77D9D" w:rsidP="003006A8">
      <w:pPr>
        <w:pStyle w:val="BodyText"/>
      </w:pPr>
      <w:r>
        <w:t>A small minority of headspace users interviewed also felt that headspace did not understand what their problem was, so referred them to the wrong type of professional:</w:t>
      </w:r>
    </w:p>
    <w:p w14:paraId="5CDE9065" w14:textId="77777777" w:rsidR="00A77D9D" w:rsidRDefault="00A77D9D" w:rsidP="00A77D9D">
      <w:pPr>
        <w:pStyle w:val="Quote"/>
      </w:pPr>
      <w:r>
        <w:t>“It didn't do much simply because it wasn't - they didn't really know what the root of the issue was.”</w:t>
      </w:r>
    </w:p>
    <w:p w14:paraId="6156603C" w14:textId="3AB84C3B" w:rsidR="00A77D9D" w:rsidRDefault="00A77D9D" w:rsidP="003006A8">
      <w:pPr>
        <w:pStyle w:val="BodyText"/>
      </w:pPr>
      <w:r>
        <w:t>Young people representing Youth Reference Groups from deep dive locations reported that staff from headspace were ‘constantly connecting with other services’. They noted that headspace and the mental health sector were trying to improve integration and coordination between different mental health services to facilitate the pathway for young people through the service system</w:t>
      </w:r>
      <w:r w:rsidR="00166694">
        <w:t>, as well as with broader social supports such as those available through Centrelink and Medicare</w:t>
      </w:r>
      <w:r>
        <w:t xml:space="preserve">: </w:t>
      </w:r>
    </w:p>
    <w:p w14:paraId="49B6CD11" w14:textId="77777777" w:rsidR="00A77D9D" w:rsidRDefault="00A77D9D" w:rsidP="00A77D9D">
      <w:pPr>
        <w:pStyle w:val="Quote"/>
      </w:pPr>
      <w:r>
        <w:t>“I know from just connecting with other services there’s a lady who works for Medicare sometimes comes to headspace and has appointments, like she’ll do one day a month or something and then the counsellors if they think they have a young person who needs to see the Medicare lady they can book that for them and they can have a face-to-face with someone from Medicare to sort some stuff out. So I think that’s really good because she comes to the headspace building so they don’t even have to be sent somewhere else, they can just come back to headspace to see her.”</w:t>
      </w:r>
    </w:p>
    <w:p w14:paraId="04E5D4E7" w14:textId="50FEB1B7" w:rsidR="00A77D9D" w:rsidRDefault="00A77D9D" w:rsidP="003006A8">
      <w:pPr>
        <w:pStyle w:val="BodyText"/>
      </w:pPr>
      <w:r>
        <w:t xml:space="preserve">The Youth Reference Group members also reported that processes were in place at headspace to support young people through referrals to other services, such as private psychologists, to support effective care coordination: </w:t>
      </w:r>
    </w:p>
    <w:p w14:paraId="00255F97" w14:textId="77777777" w:rsidR="00A77D9D" w:rsidRPr="00DD1B34" w:rsidRDefault="00A77D9D" w:rsidP="00A77D9D">
      <w:pPr>
        <w:pStyle w:val="Quote"/>
      </w:pPr>
      <w:r>
        <w:t>“Having to approach people because it's daunting. It's a daunting thing to have to do, especially if you have anxieties or stuff like that. But I think that headspace works really well with the exterior services that other places provide and they really communicate very well and they do provide a really good level of confidentiality.”</w:t>
      </w:r>
    </w:p>
    <w:p w14:paraId="34D0C3C7" w14:textId="72543285" w:rsidR="00A77D9D" w:rsidRPr="005D722F" w:rsidRDefault="00A77D9D" w:rsidP="003006A8">
      <w:pPr>
        <w:pStyle w:val="BodyText"/>
      </w:pPr>
      <w:r w:rsidRPr="005D722F">
        <w:t xml:space="preserve">From the experiences of </w:t>
      </w:r>
      <w:r>
        <w:t>Youth Reference Group</w:t>
      </w:r>
      <w:r w:rsidRPr="005D722F">
        <w:t xml:space="preserve"> members, although headspace ‘may not be equipped to handle extreme cases of need or support, they are there to help with the due process of getting you that kind of support’. </w:t>
      </w:r>
      <w:r>
        <w:t>Youth Reference Group</w:t>
      </w:r>
      <w:r w:rsidRPr="005D722F">
        <w:t xml:space="preserve"> members </w:t>
      </w:r>
      <w:r>
        <w:t>spoke</w:t>
      </w:r>
      <w:r w:rsidRPr="005D722F">
        <w:t xml:space="preserve"> about young people with self-harm or suicidal thoughts and how headspace staff organised and supported them through the referral and transition process</w:t>
      </w:r>
      <w:r>
        <w:t>,</w:t>
      </w:r>
      <w:r w:rsidRPr="005D722F">
        <w:t xml:space="preserve"> for example taking them to the hospital emergency department or contacting CAMHS</w:t>
      </w:r>
      <w:r w:rsidR="00746B7A">
        <w:t>s</w:t>
      </w:r>
      <w:r>
        <w:t>:</w:t>
      </w:r>
      <w:r w:rsidRPr="005D722F">
        <w:t xml:space="preserve"> </w:t>
      </w:r>
    </w:p>
    <w:p w14:paraId="47F36B4E" w14:textId="77777777" w:rsidR="00A77D9D" w:rsidRPr="001F0DB8" w:rsidRDefault="00A77D9D" w:rsidP="00A77D9D">
      <w:pPr>
        <w:pStyle w:val="Quote"/>
        <w:rPr>
          <w:rFonts w:cstheme="minorHAnsi"/>
          <w:i w:val="0"/>
          <w:iCs w:val="0"/>
          <w:color w:val="auto"/>
          <w:shd w:val="clear" w:color="auto" w:fill="FFFFFF"/>
        </w:rPr>
      </w:pPr>
      <w:r>
        <w:t>“</w:t>
      </w:r>
      <w:r w:rsidRPr="001F0DB8">
        <w:t xml:space="preserve">I can say from peoples’ experience that I know, have gone from either having really mild anxiety and depression to having those kinds of thoughts and they did have the due process of going from headspace to CAMHS, but the person from headspace, their </w:t>
      </w:r>
      <w:r w:rsidRPr="00246647">
        <w:t>psychologist</w:t>
      </w:r>
      <w:r w:rsidRPr="001F0DB8">
        <w:t xml:space="preserve"> or whoever they were with, was with them the entire time.</w:t>
      </w:r>
      <w:r>
        <w:t>”</w:t>
      </w:r>
    </w:p>
    <w:p w14:paraId="60687889" w14:textId="7E8DDFA5" w:rsidR="00A77D9D" w:rsidRDefault="00A77D9D" w:rsidP="00A77D9D">
      <w:pPr>
        <w:pStyle w:val="Heading5"/>
      </w:pPr>
      <w:r>
        <w:t>Perspectives of young people who do not use headspace</w:t>
      </w:r>
    </w:p>
    <w:p w14:paraId="22E4FA83" w14:textId="77777777" w:rsidR="00A77D9D" w:rsidRDefault="00A77D9D" w:rsidP="00A77D9D">
      <w:pPr>
        <w:pStyle w:val="BodyText"/>
      </w:pPr>
      <w:r>
        <w:t xml:space="preserve">Young people who completed the young people’s survey were asked about other services they may have accessed to support their mental health. Young people who had not accessed headspace services were asked if they had sought support from their GP for mental health. Of the 1,432 young people who had not used headspace services, and who answered this question, 537 indicated they had sought support from their GP. </w:t>
      </w:r>
    </w:p>
    <w:p w14:paraId="456B25CB" w14:textId="3BC808F8" w:rsidR="00A77D9D" w:rsidRDefault="00A77D9D" w:rsidP="00A77D9D">
      <w:pPr>
        <w:pStyle w:val="BodyText"/>
      </w:pPr>
      <w:r>
        <w:t>These young people were asked a follow</w:t>
      </w:r>
      <w:r w:rsidR="00156585">
        <w:t xml:space="preserve"> </w:t>
      </w:r>
      <w:r>
        <w:t xml:space="preserve">up question about other services their GP had referred them to for additional support. Twelve per cent of these young people reported receiving a referral from their GP to both headspace services, as well as other mental health services. Four per cent of young people reported receiving a referral to headspace services only, while 81 per cent of young people indicated that their GP had referred them to other services but not a headspace service. </w:t>
      </w:r>
      <w:r w:rsidR="00344A92">
        <w:fldChar w:fldCharType="begin" w:fldLock="1"/>
      </w:r>
      <w:r w:rsidR="00344A92">
        <w:instrText xml:space="preserve"> REF _Ref97750381 \h </w:instrText>
      </w:r>
      <w:r w:rsidR="00344A92">
        <w:fldChar w:fldCharType="separate"/>
      </w:r>
      <w:r w:rsidR="000C245D">
        <w:t xml:space="preserve">Figure </w:t>
      </w:r>
      <w:r w:rsidR="000C245D">
        <w:rPr>
          <w:noProof/>
        </w:rPr>
        <w:t>47</w:t>
      </w:r>
      <w:r w:rsidR="00344A92">
        <w:fldChar w:fldCharType="end"/>
      </w:r>
      <w:r>
        <w:t xml:space="preserve"> below demonstrates this split between responses. It is not known why these 16 per cent of young people who were referred to headspace chose not to access the services.</w:t>
      </w:r>
    </w:p>
    <w:p w14:paraId="3A95AB0C" w14:textId="174F834F" w:rsidR="00A77D9D" w:rsidRDefault="00A77D9D" w:rsidP="00A77D9D">
      <w:pPr>
        <w:pStyle w:val="Caption"/>
      </w:pPr>
      <w:bookmarkStart w:id="258" w:name="_Ref97750381"/>
      <w:bookmarkStart w:id="259" w:name="_Toc108109232"/>
      <w:r>
        <w:t xml:space="preserve">Figure </w:t>
      </w:r>
      <w:r>
        <w:fldChar w:fldCharType="begin"/>
      </w:r>
      <w:r>
        <w:instrText>SEQ Figure \* ARABIC</w:instrText>
      </w:r>
      <w:r>
        <w:fldChar w:fldCharType="separate"/>
      </w:r>
      <w:r w:rsidR="00CC0438">
        <w:rPr>
          <w:noProof/>
        </w:rPr>
        <w:t>47</w:t>
      </w:r>
      <w:r>
        <w:fldChar w:fldCharType="end"/>
      </w:r>
      <w:bookmarkEnd w:id="258"/>
      <w:r>
        <w:rPr>
          <w:noProof/>
        </w:rPr>
        <w:t>:</w:t>
      </w:r>
      <w:r>
        <w:t xml:space="preserve"> Young people responses to other services their GP referred them to (young peoples’ survey)</w:t>
      </w:r>
      <w:bookmarkEnd w:id="259"/>
    </w:p>
    <w:p w14:paraId="1ACFBE15" w14:textId="3C98FF24" w:rsidR="00A77D9D" w:rsidRDefault="002A5903" w:rsidP="003006A8">
      <w:pPr>
        <w:pStyle w:val="BodyText"/>
      </w:pPr>
      <w:r w:rsidRPr="002A5903">
        <w:t xml:space="preserve"> </w:t>
      </w:r>
      <w:r w:rsidR="00B50A31">
        <w:rPr>
          <w:noProof/>
        </w:rPr>
        <w:drawing>
          <wp:inline distT="0" distB="0" distL="0" distR="0" wp14:anchorId="187FAF6A" wp14:editId="1BE76B58">
            <wp:extent cx="5038725" cy="3238500"/>
            <wp:effectExtent l="0" t="0" r="9525" b="0"/>
            <wp:docPr id="18" name="Picture 18" descr="Figure 47 is a bar chart demonstrating where young people indicated their GP referred them to when seeking mental health support. Of the 537 young people who indicated they sought help from their GP, 21 young people indicated they were referred to headspace only. 66 young people indicated they were referred to headspace and other services. 434 young people indicated they were referred to other services only. 16 young people did not complete this question, so data for 16 responses if not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47 is a bar chart demonstrating where young people indicated their GP referred them to when seeking mental health support. Of the 537 young people who indicated they sought help from their GP, 21 young people indicated they were referred to headspace only. 66 young people indicated they were referred to headspace and other services. 434 young people indicated they were referred to other services only. 16 young people did not complete this question, so data for 16 responses if not available.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14:paraId="2EBBF37D" w14:textId="77777777" w:rsidR="00A77D9D" w:rsidRPr="00125BD8" w:rsidRDefault="00A77D9D" w:rsidP="00A77D9D">
      <w:pPr>
        <w:pStyle w:val="Source"/>
      </w:pPr>
      <w:r>
        <w:t>Source: Evaluation survey of young people who have and have not accessed headspace services</w:t>
      </w:r>
    </w:p>
    <w:p w14:paraId="7B78BD4D" w14:textId="77777777" w:rsidR="00A77D9D" w:rsidRDefault="00A77D9D" w:rsidP="00A77D9D">
      <w:pPr>
        <w:pStyle w:val="BodyText"/>
      </w:pPr>
      <w:r>
        <w:t xml:space="preserve">Non-headspace users interviewed also identified referral pathways to headspace they have experienced in the past. Most commonly, non-headspace users reported their GP referring them to headspace services, especially as a fee alternative to private psychology services. School counsellors were also a source of referrals for non-headspace users. However, a small minority of non-headspace users reported not using these referrals or headspace services, as it would mean to repeat their story to another support person, with limited care coordination available to prevent this. These non-users reported a desire for strengthened care coordination that would prevent them being required to repeat their circumstances between services. </w:t>
      </w:r>
    </w:p>
    <w:p w14:paraId="62032A55" w14:textId="77777777" w:rsidR="00A77D9D" w:rsidRDefault="00A77D9D" w:rsidP="00A77D9D">
      <w:pPr>
        <w:pStyle w:val="Heading5"/>
      </w:pPr>
      <w:r>
        <w:t>Perspectives of headspace service providers</w:t>
      </w:r>
    </w:p>
    <w:p w14:paraId="2E7BE65B" w14:textId="3A76540F" w:rsidR="00A77D9D" w:rsidRDefault="00A77D9D" w:rsidP="00A77D9D">
      <w:pPr>
        <w:pStyle w:val="BodyText"/>
      </w:pPr>
      <w:r>
        <w:t>There were consistent views from stakeholders across deep dive locations that headspace services undertake a range of activities to support integration with other services and coordination of care for young people. These activities include case coordination for young people; establishment of relationships with other local services such as NDIS access workers, cultural healing services, and other family-based supports; and direct referrals to other services. These stakeholders also indicated how this work was an ongoing and important aspect of ensuring access to services for young people. This is supported by other evaluation work undertaken by headspace National, including the Colmar Brunton survey. Of the 47 lead agencies that completed the Colmar Brunton survey, 96 per cent agreed that headspace encourages broader service collaboration, and 85 per cent agreed headspace improves coordination of local services</w:t>
      </w:r>
      <w:r w:rsidR="00CC0438">
        <w:rPr>
          <w:rFonts w:ascii="ZWAdobeF" w:hAnsi="ZWAdobeF" w:cs="ZWAdobeF"/>
          <w:sz w:val="2"/>
          <w:szCs w:val="2"/>
        </w:rPr>
        <w:t>195F</w:t>
      </w:r>
      <w:r>
        <w:rPr>
          <w:rStyle w:val="FootnoteReference"/>
        </w:rPr>
        <w:footnoteReference w:id="197"/>
      </w:r>
      <w:r>
        <w:t>. Similarly, independent chairs and consortium members working with headspace services indicated that the services have a positive impact on other mental health services</w:t>
      </w:r>
      <w:r w:rsidR="00CC0438">
        <w:rPr>
          <w:rFonts w:ascii="ZWAdobeF" w:hAnsi="ZWAdobeF" w:cs="ZWAdobeF"/>
          <w:sz w:val="2"/>
          <w:szCs w:val="2"/>
        </w:rPr>
        <w:t>196F</w:t>
      </w:r>
      <w:r>
        <w:rPr>
          <w:rStyle w:val="FootnoteReference"/>
        </w:rPr>
        <w:footnoteReference w:id="198"/>
      </w:r>
      <w:r w:rsidR="00974A7D">
        <w:t>, including that</w:t>
      </w:r>
      <w:r w:rsidDel="00974A7D">
        <w:t>:</w:t>
      </w:r>
    </w:p>
    <w:p w14:paraId="624104FA" w14:textId="17F53887" w:rsidR="00A77D9D" w:rsidRDefault="00A77D9D" w:rsidP="00350B4D">
      <w:pPr>
        <w:pStyle w:val="Bullet1stlevel"/>
      </w:pPr>
      <w:r>
        <w:t>83 per cent agreed headspace encourages broader service collaboration</w:t>
      </w:r>
      <w:r w:rsidR="003F1FCA">
        <w:t>;</w:t>
      </w:r>
    </w:p>
    <w:p w14:paraId="7368D571" w14:textId="35864D6A" w:rsidR="00A77D9D" w:rsidRDefault="00A77D9D" w:rsidP="00350B4D">
      <w:pPr>
        <w:pStyle w:val="Bullet1stlevel"/>
      </w:pPr>
      <w:r>
        <w:t>82 per cent agreed headspace services support warm referrals</w:t>
      </w:r>
      <w:r w:rsidR="003F1FCA">
        <w:t>;</w:t>
      </w:r>
    </w:p>
    <w:p w14:paraId="17D13C1A" w14:textId="2CE15F6B" w:rsidR="00A77D9D" w:rsidRDefault="00A77D9D" w:rsidP="00350B4D">
      <w:pPr>
        <w:pStyle w:val="Bullet1stlevel"/>
      </w:pPr>
      <w:r>
        <w:t>84 per cent agreed headspace services have a positive impact by supporting continuity of care</w:t>
      </w:r>
      <w:r w:rsidR="003F1FCA">
        <w:t>; and</w:t>
      </w:r>
    </w:p>
    <w:p w14:paraId="50FB6239" w14:textId="77777777" w:rsidR="00A77D9D" w:rsidRDefault="00A77D9D" w:rsidP="00350B4D">
      <w:pPr>
        <w:pStyle w:val="Bullet1stlevel"/>
      </w:pPr>
      <w:r>
        <w:t>83 per cent agreed p</w:t>
      </w:r>
      <w:r w:rsidRPr="005E2B45">
        <w:t xml:space="preserve">athways to care have improved for young people experiencing mental health problems since a headspace </w:t>
      </w:r>
      <w:r>
        <w:t>service</w:t>
      </w:r>
      <w:r w:rsidRPr="005E2B45">
        <w:t xml:space="preserve"> was introduced in their community</w:t>
      </w:r>
      <w:r>
        <w:t>.</w:t>
      </w:r>
    </w:p>
    <w:p w14:paraId="56F40810" w14:textId="77777777" w:rsidR="00A77D9D" w:rsidRDefault="00A77D9D" w:rsidP="00A77D9D">
      <w:pPr>
        <w:pStyle w:val="BodyText"/>
      </w:pPr>
      <w:r>
        <w:t xml:space="preserve">Case coordination work was consistently raised by deep dive representatives as critical to the success of the headspace model in supporting service integration and better outcomes for young people. Case coordination supports access for young people, not only to headspace but also to other services to which they may be referred. </w:t>
      </w:r>
    </w:p>
    <w:p w14:paraId="6AE6221B" w14:textId="57B1B206" w:rsidR="00A77D9D" w:rsidRDefault="00A77D9D" w:rsidP="00A77D9D">
      <w:pPr>
        <w:pStyle w:val="BodyText"/>
      </w:pPr>
      <w:r>
        <w:t>Services invest time in building relationships with other local services, including local mental health services, and other support services that contribute to aspects of a young person’s wellbeing. The level of investment in these relationships differs between services, and depends on the capacity of other services to engage, loss of relationships when other organisations lose time-limited grant funding, and the focus of the management of individual headspace services on this relationship building versus other elements of service delivery. Relationships and resulting</w:t>
      </w:r>
      <w:r w:rsidRPr="008C6048">
        <w:t xml:space="preserve"> service integration with </w:t>
      </w:r>
      <w:r w:rsidR="004C50C0">
        <w:t>psychosocial</w:t>
      </w:r>
      <w:r w:rsidRPr="008C6048">
        <w:t xml:space="preserve"> supports</w:t>
      </w:r>
      <w:r>
        <w:t>,</w:t>
      </w:r>
      <w:r w:rsidRPr="008C6048">
        <w:t xml:space="preserve"> including cultural healing, NDIS access, and family supports</w:t>
      </w:r>
      <w:r>
        <w:t>,</w:t>
      </w:r>
      <w:r w:rsidRPr="008C6048">
        <w:t xml:space="preserve"> </w:t>
      </w:r>
      <w:r>
        <w:t>enables</w:t>
      </w:r>
      <w:r w:rsidRPr="008C6048">
        <w:t xml:space="preserve"> headspace to facilitate cross-referrals</w:t>
      </w:r>
      <w:r>
        <w:t xml:space="preserve">. </w:t>
      </w:r>
    </w:p>
    <w:p w14:paraId="19B74CEA" w14:textId="77777777" w:rsidR="00A77D9D" w:rsidRDefault="00A77D9D" w:rsidP="00A77D9D">
      <w:pPr>
        <w:pStyle w:val="BodyText"/>
      </w:pPr>
      <w:r>
        <w:t>T</w:t>
      </w:r>
      <w:r w:rsidRPr="008C6048">
        <w:t>he</w:t>
      </w:r>
      <w:r>
        <w:t>se</w:t>
      </w:r>
      <w:r w:rsidRPr="008C6048">
        <w:t xml:space="preserve"> examples illustrate headspace’s effectiveness in</w:t>
      </w:r>
      <w:r>
        <w:t xml:space="preserve"> supporting improved pathways to care and service integration. However, there were differences reported by deep dive stakeholders between metropolitan and regional and remote services with respect to service integration. The availability of other services, and their capacity, particularly in non-metropolitan locations, has impacted the ability of some headspace services to support integration. Where services do not have capacity to take on new clients, this impacted referrals made by headspace services, and opportunities for care coordination and service integration for young people. </w:t>
      </w:r>
    </w:p>
    <w:p w14:paraId="280E5E16" w14:textId="50609C8A" w:rsidR="00A77D9D" w:rsidRDefault="00A77D9D" w:rsidP="000244E4">
      <w:pPr>
        <w:pStyle w:val="BodyText"/>
      </w:pPr>
      <w:r>
        <w:t xml:space="preserve">Service integration and coordination to support pathways to care is also impacted by a number of barriers. The survey of representatives from services and lead agencies included a specific question relating to barriers to care pathways. </w:t>
      </w:r>
      <w:r w:rsidRPr="000244E4">
        <w:t>The question asked them to indicate whether or not a list of pre</w:t>
      </w:r>
      <w:r w:rsidRPr="000244E4">
        <w:noBreakHyphen/>
        <w:t>developed factors were barriers to supporting care pathways for young people.</w:t>
      </w:r>
      <w:r>
        <w:t xml:space="preserve"> These factors were included based on barriers identified by stakeholders from deep dive services engaged. </w:t>
      </w:r>
      <w:r w:rsidR="00344A92">
        <w:fldChar w:fldCharType="begin" w:fldLock="1"/>
      </w:r>
      <w:r w:rsidR="00344A92">
        <w:instrText xml:space="preserve"> REF _Ref97750402 \h </w:instrText>
      </w:r>
      <w:r w:rsidR="00344A92">
        <w:fldChar w:fldCharType="separate"/>
      </w:r>
      <w:r w:rsidR="000C245D">
        <w:t xml:space="preserve">Figure </w:t>
      </w:r>
      <w:r w:rsidR="000C245D">
        <w:rPr>
          <w:noProof/>
        </w:rPr>
        <w:t>48</w:t>
      </w:r>
      <w:r w:rsidR="00344A92">
        <w:fldChar w:fldCharType="end"/>
      </w:r>
      <w:r>
        <w:t xml:space="preserve"> provides a breakdown of the number of survey respondents who indicated each factor was a barrier they experience. The most common barriers identified were waitlists and lack of capacity in local referral services, followed by limited local services for specific conditions or treatment needs, and lack of local services to meet more acute needs.</w:t>
      </w:r>
    </w:p>
    <w:p w14:paraId="4A3C4ADB" w14:textId="77777777" w:rsidR="00A77D9D" w:rsidRDefault="00A77D9D" w:rsidP="00A77D9D">
      <w:pPr>
        <w:pStyle w:val="BodyText"/>
      </w:pPr>
      <w:r>
        <w:t>With respect to case coordination in particular, deep dive representatives also described challenges in documenting and demonstrating the volume of time spent on coordination activities, and balancing these activities with direct clinical services for workers within headspace services, especially where the headspace services rely on MBS billing to support services. Case coordination is also more challenging for young people with more severe distress levels and complex mental health support needs</w:t>
      </w:r>
    </w:p>
    <w:p w14:paraId="06109DBC" w14:textId="39732840" w:rsidR="00A77D9D" w:rsidRDefault="00A77D9D" w:rsidP="00A77D9D">
      <w:pPr>
        <w:pStyle w:val="Caption"/>
      </w:pPr>
      <w:bookmarkStart w:id="260" w:name="_Ref97750402"/>
      <w:bookmarkStart w:id="261" w:name="_Toc108109233"/>
      <w:r>
        <w:t xml:space="preserve">Figure </w:t>
      </w:r>
      <w:r>
        <w:fldChar w:fldCharType="begin"/>
      </w:r>
      <w:r>
        <w:instrText>SEQ Figure \* ARABIC</w:instrText>
      </w:r>
      <w:r>
        <w:fldChar w:fldCharType="separate"/>
      </w:r>
      <w:r w:rsidR="00CC0438">
        <w:rPr>
          <w:noProof/>
        </w:rPr>
        <w:t>48</w:t>
      </w:r>
      <w:r>
        <w:fldChar w:fldCharType="end"/>
      </w:r>
      <w:bookmarkEnd w:id="260"/>
      <w:r>
        <w:rPr>
          <w:noProof/>
        </w:rPr>
        <w:t>:</w:t>
      </w:r>
      <w:r>
        <w:t xml:space="preserve"> Barriers to supporting pathways to care identified by service and lead agency representatives</w:t>
      </w:r>
      <w:bookmarkEnd w:id="261"/>
    </w:p>
    <w:p w14:paraId="467FF789" w14:textId="113485A9" w:rsidR="00A77D9D" w:rsidRDefault="006A6B29" w:rsidP="003006A8">
      <w:pPr>
        <w:pStyle w:val="BodyText"/>
      </w:pPr>
      <w:r w:rsidRPr="006A6B29">
        <w:t xml:space="preserve"> </w:t>
      </w:r>
      <w:r>
        <w:rPr>
          <w:noProof/>
        </w:rPr>
        <w:drawing>
          <wp:inline distT="0" distB="0" distL="0" distR="0" wp14:anchorId="6E0D6548" wp14:editId="6AB8F9AB">
            <wp:extent cx="5037455" cy="5037455"/>
            <wp:effectExtent l="0" t="0" r="0" b="0"/>
            <wp:docPr id="45" name="Picture 45" descr="Figure 48 summarises responses from the lead agency and headspace service survey with respect to barriers to pathways to care for young people.&#10;52 respondents indicated waiting lists and lack of capacity in local referral services were a barrier. 7 respondents indicated they were not.&#10;34 respondents indicated time demands from constantly building relationships with referral partners who then lose funding or key staff was a barrier.25 respondents indicated this was not.&#10;39 respondents indicated the mismatch between triage criteria for headspace services and triage criteria for other services was a barrier. 20 respondents indicated this was not.&#10;50 respondents indicated a lack of local services for specific conditions or treatment needs were a barrier. 9 respondents indicated they were not.&#10;50 respondents indicated lack of local services for more acute needs were a barrier. 9 respondents indicated they were n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48 summarises responses from the lead agency and headspace service survey with respect to barriers to pathways to care for young people.&#10;52 respondents indicated waiting lists and lack of capacity in local referral services were a barrier. 7 respondents indicated they were not.&#10;34 respondents indicated time demands from constantly building relationships with referral partners who then lose funding or key staff was a barrier.25 respondents indicated this was not.&#10;39 respondents indicated the mismatch between triage criteria for headspace services and triage criteria for other services was a barrier. 20 respondents indicated this was not.&#10;50 respondents indicated a lack of local services for specific conditions or treatment needs were a barrier. 9 respondents indicated they were not.&#10;50 respondents indicated lack of local services for more acute needs were a barrier. 9 respondents indicated they were not.&#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7455" cy="5037455"/>
                    </a:xfrm>
                    <a:prstGeom prst="rect">
                      <a:avLst/>
                    </a:prstGeom>
                    <a:noFill/>
                    <a:ln>
                      <a:noFill/>
                    </a:ln>
                  </pic:spPr>
                </pic:pic>
              </a:graphicData>
            </a:graphic>
          </wp:inline>
        </w:drawing>
      </w:r>
    </w:p>
    <w:p w14:paraId="36480C20" w14:textId="77777777" w:rsidR="00A77D9D" w:rsidRPr="00263E98" w:rsidRDefault="00A77D9D" w:rsidP="00A77D9D">
      <w:pPr>
        <w:pStyle w:val="Source"/>
      </w:pPr>
      <w:r w:rsidRPr="00BC1B8F">
        <w:t>Source: KPMG</w:t>
      </w:r>
      <w:r>
        <w:t xml:space="preserve"> analysis of the headspace service and lead agency survey</w:t>
      </w:r>
    </w:p>
    <w:p w14:paraId="0505FACD" w14:textId="0AA9559D" w:rsidR="00A77D9D" w:rsidRDefault="00A77D9D" w:rsidP="00A77D9D">
      <w:pPr>
        <w:pStyle w:val="Heading5"/>
      </w:pPr>
      <w:r>
        <w:t xml:space="preserve">Perspectives of </w:t>
      </w:r>
      <w:r w:rsidR="00B82DA8">
        <w:t xml:space="preserve">other </w:t>
      </w:r>
      <w:r>
        <w:t xml:space="preserve">external stakeholders </w:t>
      </w:r>
      <w:r w:rsidR="00392BEB">
        <w:t>including school and university counsellors, GPs and PHNs</w:t>
      </w:r>
    </w:p>
    <w:p w14:paraId="51732F69" w14:textId="77777777" w:rsidR="00A77D9D" w:rsidRDefault="00A77D9D" w:rsidP="00A77D9D">
      <w:pPr>
        <w:pStyle w:val="BodyText"/>
      </w:pPr>
      <w:r w:rsidRPr="0054771B">
        <w:t xml:space="preserve">Schools and </w:t>
      </w:r>
      <w:r>
        <w:t>u</w:t>
      </w:r>
      <w:r w:rsidRPr="0054771B">
        <w:t>niversity counsellors</w:t>
      </w:r>
      <w:r>
        <w:t xml:space="preserve"> from across Australia indicated that relationships and referral pathways between their services and other external services within the community were critical to support effective outcomes, and that headspace played a role in this. Ninety-eight per cent of school principals and wellbeing coordinators indicated that being able to connect students to other services if they need them was an important part of the headspace model in previous research undertaken by Colmar Brunton for headspace National.</w:t>
      </w:r>
    </w:p>
    <w:p w14:paraId="4AEEBE0A" w14:textId="6883A05C" w:rsidR="00A77D9D" w:rsidRDefault="00A77D9D" w:rsidP="00A77D9D">
      <w:pPr>
        <w:pStyle w:val="BodyText"/>
      </w:pPr>
      <w:r>
        <w:t xml:space="preserve">However, when asked whether headspace has improved service integration, a lower proportion of </w:t>
      </w:r>
      <w:r w:rsidR="00377219">
        <w:t xml:space="preserve">all </w:t>
      </w:r>
      <w:r>
        <w:t>principals and wellbeing coordinators indicated their support. Sixty-nine per cent agreed that headspace services strengthened relationships between service providers and schools, and 67 per cent agreed that headspace services improved the coordination of local services. Government schools were less likely to agree that headspace services have contributed to these improvements (66 per cent for strengthened relationships and 64 per cent for improved coordination)</w:t>
      </w:r>
      <w:r w:rsidR="00CC0438">
        <w:rPr>
          <w:rFonts w:ascii="ZWAdobeF" w:hAnsi="ZWAdobeF" w:cs="ZWAdobeF"/>
          <w:sz w:val="2"/>
          <w:szCs w:val="2"/>
        </w:rPr>
        <w:t>197F</w:t>
      </w:r>
      <w:r>
        <w:rPr>
          <w:rStyle w:val="FootnoteReference"/>
        </w:rPr>
        <w:footnoteReference w:id="199"/>
      </w:r>
      <w:r>
        <w:t>.</w:t>
      </w:r>
    </w:p>
    <w:p w14:paraId="43FD58E1" w14:textId="77777777" w:rsidR="00A77D9D" w:rsidRPr="00E90A52" w:rsidRDefault="00A77D9D" w:rsidP="00A77D9D">
      <w:pPr>
        <w:pStyle w:val="BodyText"/>
      </w:pPr>
      <w:r>
        <w:t>There was mixed feedback from counsellors as part of focus groups completed specifically for this evaluation, in particular university counsellors, regarding the referral process for headspace services. Following a referral, some counsellors described there being limited communication regarding what support the young person was receiving, especially while on a wait list for headspace services, and whether the young person would benefit from ongoing support from the school or university while waiting for headspace support. Other counsellors indicated the referral process was ‘smooth and easy to use’, especially where the counsellor was engaging with headspace directly to support the young person’s access to the service.</w:t>
      </w:r>
    </w:p>
    <w:p w14:paraId="69478202" w14:textId="0F289621" w:rsidR="00A77D9D" w:rsidRPr="0054771B" w:rsidRDefault="00A77D9D" w:rsidP="00A77D9D">
      <w:pPr>
        <w:pStyle w:val="BodyText"/>
      </w:pPr>
      <w:r>
        <w:t>Some counsellors also identified challenges with service integration and care coordination for young people in the ‘missing middle’. Counsellors were uncertain about how to support young people who did not have a severe enough mental health problem for local CAMHS</w:t>
      </w:r>
      <w:r w:rsidR="00746B7A">
        <w:t>s</w:t>
      </w:r>
      <w:r>
        <w:t xml:space="preserve"> or CYMHS</w:t>
      </w:r>
      <w:r w:rsidR="00746B7A">
        <w:t>s</w:t>
      </w:r>
      <w:r>
        <w:t>, but who were not within the mild-moderate target group of headspace services. A small minority of counsellors indicated there was limited communication regarding where else a young person might be referred if the headspace service indicated it could not support the young person. Some counsellors also discussed the challenge of current wait times within headspace services as a deterrent to referrals, especially where there was limited information provided back to the school or university about what other support was available to the young person during their wait for clinical services.</w:t>
      </w:r>
    </w:p>
    <w:p w14:paraId="7753717F" w14:textId="77777777" w:rsidR="00A77D9D" w:rsidRDefault="00A77D9D" w:rsidP="00A77D9D">
      <w:pPr>
        <w:pStyle w:val="BodyText"/>
      </w:pPr>
      <w:r>
        <w:t>PHN representatives attending an evaluation data collection workshop were asked to rate how well established headspace service pathways are with particular primary care and mental health services, on a five point scale from ‘not established’ to ‘well established’. Pathways were rated as the following:</w:t>
      </w:r>
    </w:p>
    <w:p w14:paraId="57360F1E" w14:textId="217BD744" w:rsidR="00A77D9D" w:rsidRDefault="00A77D9D" w:rsidP="00350B4D">
      <w:pPr>
        <w:pStyle w:val="Bullet1stlevel"/>
      </w:pPr>
      <w:r>
        <w:t>pathways with GPs were rated in the middle between not established and well established (3</w:t>
      </w:r>
      <w:r w:rsidR="00D83C60">
        <w:t> </w:t>
      </w:r>
      <w:r>
        <w:t>out of 5)</w:t>
      </w:r>
      <w:r w:rsidR="005D1C87">
        <w:t>;</w:t>
      </w:r>
    </w:p>
    <w:p w14:paraId="4FEEE703" w14:textId="353CE180" w:rsidR="00A77D9D" w:rsidRDefault="00A77D9D" w:rsidP="00350B4D">
      <w:pPr>
        <w:pStyle w:val="Bullet1stlevel"/>
      </w:pPr>
      <w:r>
        <w:t>pathways with state and territory mental health programs, such as CAMHS</w:t>
      </w:r>
      <w:r w:rsidR="00ED3383">
        <w:t>s</w:t>
      </w:r>
      <w:r>
        <w:t xml:space="preserve"> and CYMHS</w:t>
      </w:r>
      <w:r w:rsidR="00ED3383">
        <w:t>s</w:t>
      </w:r>
      <w:r>
        <w:t xml:space="preserve"> were rated closer to not established than well established (2.8 out of 5)</w:t>
      </w:r>
      <w:r w:rsidR="005D1C87">
        <w:t>; and</w:t>
      </w:r>
    </w:p>
    <w:p w14:paraId="1B213443" w14:textId="77777777" w:rsidR="00A77D9D" w:rsidRDefault="00A77D9D" w:rsidP="00350B4D">
      <w:pPr>
        <w:pStyle w:val="Bullet1stlevel"/>
      </w:pPr>
      <w:r>
        <w:t xml:space="preserve">pathways with other mental health services were rated closer to well established than not established (3.3 out of 5). </w:t>
      </w:r>
    </w:p>
    <w:p w14:paraId="63DE9D78" w14:textId="77777777" w:rsidR="00A77D9D" w:rsidRPr="00397F5D" w:rsidRDefault="00A77D9D" w:rsidP="00A77D9D">
      <w:pPr>
        <w:pStyle w:val="BodyText"/>
      </w:pPr>
      <w:r>
        <w:t>PHNs outlined two key enablers for headspace services in support of service integration and care coordination – formal agreements with services and relationship building. Most PHNs indicated headspace effectively supports where there are strong Memoranda of Understanding or Service Level Agreements with external organisations, to make clear agreed protocols and roles and responsibilities in place between services. Similarly, relationships were a key enabler identified by most PHNs to support pathways to care and service integration, especially in regional and remote locations where there are fewer services available to support young people.</w:t>
      </w:r>
    </w:p>
    <w:p w14:paraId="6E4BE819" w14:textId="77777777" w:rsidR="00A77D9D" w:rsidRDefault="00A77D9D" w:rsidP="003006A8">
      <w:pPr>
        <w:pStyle w:val="BodyText"/>
      </w:pPr>
      <w:r>
        <w:t>PHNs also identified a range of challenges which impact on the ability of headspace services to support integration and care coordination in improving pathways to care, and which are often outside the control of headspace services. These include:</w:t>
      </w:r>
    </w:p>
    <w:p w14:paraId="7113E94F" w14:textId="0AF4000C" w:rsidR="00A77D9D" w:rsidRDefault="00A77D9D" w:rsidP="00350B4D">
      <w:pPr>
        <w:pStyle w:val="Bullet1stlevel"/>
      </w:pPr>
      <w:r>
        <w:t>Relationships between headspace services and tertiary mental health services, such as CAMHS</w:t>
      </w:r>
      <w:r w:rsidR="00ED3383">
        <w:t>s</w:t>
      </w:r>
      <w:r>
        <w:t>, is impacted by limited capacity within tertiary services to engage in these activities with significant clinical work and wait lists</w:t>
      </w:r>
      <w:r w:rsidR="00D63E69">
        <w:t>, and changing eligibility criteria to access TMHSs</w:t>
      </w:r>
      <w:r>
        <w:t>.</w:t>
      </w:r>
    </w:p>
    <w:p w14:paraId="23EA8100" w14:textId="77777777" w:rsidR="00A77D9D" w:rsidRDefault="00A77D9D" w:rsidP="00350B4D">
      <w:pPr>
        <w:pStyle w:val="Bullet1stlevel"/>
      </w:pPr>
      <w:r>
        <w:t>The capacity of other services impacts service integration, even where strong relationships exist, as young people may not be able to access the service at all, preventing integration and care coordination from occurring.</w:t>
      </w:r>
    </w:p>
    <w:p w14:paraId="766395DE" w14:textId="77777777" w:rsidR="00A77D9D" w:rsidRPr="00FB7C5A" w:rsidRDefault="00A77D9D" w:rsidP="00350B4D">
      <w:pPr>
        <w:pStyle w:val="Bullet1stlevel"/>
      </w:pPr>
      <w:r>
        <w:t>Limited infrastructure to support shared records between services, reducing the level of care coordination a young person may receive.</w:t>
      </w:r>
    </w:p>
    <w:p w14:paraId="657960AE" w14:textId="77777777" w:rsidR="00A77D9D" w:rsidRDefault="00A77D9D" w:rsidP="00350B4D">
      <w:pPr>
        <w:pStyle w:val="Bullet1stlevel"/>
      </w:pPr>
      <w:r>
        <w:t>Inconsistent eligibility criteria across other services and significant gaps in where eligibility criteria for tiers of the service system end, especially with tertiary mental health services, impacting when referrals can be made from different headspace services.</w:t>
      </w:r>
    </w:p>
    <w:p w14:paraId="7C7ED6F0" w14:textId="77777777" w:rsidR="00A77D9D" w:rsidRPr="00872AB1" w:rsidRDefault="00A77D9D" w:rsidP="00A77D9D">
      <w:pPr>
        <w:pStyle w:val="BodyText"/>
      </w:pPr>
      <w:r>
        <w:t>PHNs also highlighted the challenge for headspace services in managing care coordination and service integration activities, within existing funding limits, and with workforce challenges within services. These activities meant staff are taken away from clinical supports. Particular challenges were described in engaging with local GP services. Wait times have impacted on the relationships held with GPs at some headspace services, and difficulties working with some GPs impacts the level of horizontal integration with physical and sexual health services over and above the small volume of physical health services provided within services.</w:t>
      </w:r>
    </w:p>
    <w:p w14:paraId="2908AC53" w14:textId="77777777" w:rsidR="00A77D9D" w:rsidRDefault="00A77D9D" w:rsidP="00A77D9D">
      <w:pPr>
        <w:pStyle w:val="Heading4"/>
      </w:pPr>
      <w:r w:rsidRPr="00416ABF">
        <w:t>Effectiveness</w:t>
      </w:r>
      <w:r>
        <w:t xml:space="preserve"> of headspace in improving pathways to care through service integration and care coordination</w:t>
      </w:r>
    </w:p>
    <w:p w14:paraId="4CC7BECC" w14:textId="77777777" w:rsidR="00A77D9D" w:rsidRDefault="00A77D9D" w:rsidP="00A77D9D">
      <w:pPr>
        <w:pStyle w:val="BodyText"/>
      </w:pPr>
      <w:r>
        <w:t xml:space="preserve">Qualitative data show that young people and their families, and other external stakeholders, value service integration and care coordination highly, to ensure young people are connected to other required services when they need them. </w:t>
      </w:r>
    </w:p>
    <w:p w14:paraId="25EF7F5D" w14:textId="77777777" w:rsidR="00A77D9D" w:rsidRDefault="00A77D9D" w:rsidP="00A77D9D">
      <w:pPr>
        <w:pStyle w:val="BodyText"/>
      </w:pPr>
      <w:r>
        <w:t xml:space="preserve">Most young people accessing headspace indicate they received appropriate referrals to other services, with mixed experience for a small number of young people who used alternative service providers such as GPs to support their care pathway, or did not receive the appropriate referral they needed from their headspace service. </w:t>
      </w:r>
    </w:p>
    <w:p w14:paraId="6FF5D1CC" w14:textId="77777777" w:rsidR="00A77D9D" w:rsidRDefault="00A77D9D" w:rsidP="00A77D9D">
      <w:pPr>
        <w:pStyle w:val="BodyText"/>
      </w:pPr>
      <w:r>
        <w:t>headspace services and other external stakeholders indicated that headspace services undertake a range of activities to support pathways to care through integration and care coordination. These contributions were consistently recognised across these stakeholder groups.</w:t>
      </w:r>
    </w:p>
    <w:p w14:paraId="447E7618" w14:textId="77777777" w:rsidR="00A77D9D" w:rsidRDefault="00A77D9D" w:rsidP="00A77D9D">
      <w:pPr>
        <w:pStyle w:val="BodyText"/>
      </w:pPr>
      <w:r>
        <w:t>However, several challenges impact on the ability of headspace services to improve service integration and care coordination. There are capacity constraints within many health services currently, with integration difficult where a service cannot take a referral, or work with headspace services to improve care coordination. There are also instances where there are not alternative services available, particularly in regional and remote communities. Similarly, headspace services encounter difficulties engaging in these activities at points in time based on demand for services, and the need to balance clinical workloads with these additional activities and managing referrals with existing wait times. For these reasons, there was mixed evidence from other providers in the sector as to the effectiveness of headspace in supporting pathways to care through integration and coordination.</w:t>
      </w:r>
    </w:p>
    <w:p w14:paraId="428561A4" w14:textId="4CC66F8C" w:rsidR="00A77D9D" w:rsidRPr="00D83C60" w:rsidRDefault="00AB4F35" w:rsidP="00A77D9D">
      <w:pPr>
        <w:pStyle w:val="BodyText"/>
      </w:pPr>
      <w:r w:rsidRPr="00A33A8D">
        <w:t xml:space="preserve">Evidence from young people, headspace service providers and other external stakeholders indicates that the headspace model is effective in improving pathways to care, however there are challenges which impact this work, many of which are outside the control of headspace and rely on effective functioning of the broader service system. </w:t>
      </w:r>
      <w:r w:rsidR="00A77D9D">
        <w:t>It is important to note that there are some limitations around the data, with data being self-reported by young people, and headspace service staff about their own performance in this area. However, there was consistency in recognition of headspace’s role and the types of challenges identified by different stakeholder groups, suggesting findings are reliable.</w:t>
      </w:r>
    </w:p>
    <w:p w14:paraId="1961AF3A" w14:textId="16E303BE" w:rsidR="00A77D9D" w:rsidRPr="00A26B74" w:rsidRDefault="00A77D9D" w:rsidP="00350B4D">
      <w:pPr>
        <w:pStyle w:val="AppendixHeading2"/>
      </w:pPr>
      <w:bookmarkStart w:id="262" w:name="_Ref98326363"/>
      <w:r w:rsidRPr="009275AF">
        <w:t>To what extent is headspace providing a localised service offering, and what are the barriers and enablers to this?</w:t>
      </w:r>
      <w:bookmarkEnd w:id="262"/>
      <w:r w:rsidRPr="00304DBE">
        <w:t xml:space="preserve"> </w:t>
      </w:r>
    </w:p>
    <w:p w14:paraId="538BF49F" w14:textId="77777777" w:rsidR="00A77D9D" w:rsidRPr="0063332A" w:rsidRDefault="00A77D9D" w:rsidP="00425F0A">
      <w:pPr>
        <w:pStyle w:val="AppendixHeading3"/>
      </w:pPr>
      <w:r>
        <w:t>How headspace services provide a localised service</w:t>
      </w:r>
    </w:p>
    <w:p w14:paraId="3B346C93" w14:textId="320B176C" w:rsidR="00A77D9D" w:rsidRPr="000E1751" w:rsidRDefault="00A77D9D" w:rsidP="00A77D9D">
      <w:pPr>
        <w:pStyle w:val="BodyText"/>
      </w:pPr>
      <w:r>
        <w:t xml:space="preserve">As described above in Section </w:t>
      </w:r>
      <w:r w:rsidR="00BE6983">
        <w:fldChar w:fldCharType="begin" w:fldLock="1"/>
      </w:r>
      <w:r w:rsidR="00BE6983">
        <w:instrText xml:space="preserve"> REF _Ref98501747 \r \h </w:instrText>
      </w:r>
      <w:r w:rsidR="00BE6983">
        <w:fldChar w:fldCharType="separate"/>
      </w:r>
      <w:r w:rsidR="00AE4D34">
        <w:t>2.1</w:t>
      </w:r>
      <w:r w:rsidR="00BE6983">
        <w:fldChar w:fldCharType="end"/>
      </w:r>
      <w:r>
        <w:t xml:space="preserve">, the headspace </w:t>
      </w:r>
      <w:r w:rsidR="001F2443">
        <w:t>model</w:t>
      </w:r>
      <w:r>
        <w:t xml:space="preserve"> is made up of a number of core and enabling components. Two of these components have specific links to localised services or offerings, including:</w:t>
      </w:r>
    </w:p>
    <w:p w14:paraId="6536240F" w14:textId="38C66365" w:rsidR="00A77D9D" w:rsidRPr="0029126D" w:rsidRDefault="00A77D9D" w:rsidP="00350B4D">
      <w:pPr>
        <w:pStyle w:val="Bullet1stlevel"/>
      </w:pPr>
      <w:r>
        <w:t>Community Awareness and Engagement – activities are intended to identify local needs and high</w:t>
      </w:r>
      <w:r w:rsidR="00072E43">
        <w:t>-</w:t>
      </w:r>
      <w:r>
        <w:t xml:space="preserve">prevalence issues through community consultation and local data analysis. </w:t>
      </w:r>
    </w:p>
    <w:p w14:paraId="6912396D" w14:textId="77777777" w:rsidR="00A77D9D" w:rsidRPr="00F21495" w:rsidRDefault="00A77D9D" w:rsidP="00350B4D">
      <w:pPr>
        <w:pStyle w:val="Bullet1stlevel"/>
      </w:pPr>
      <w:r>
        <w:t>headspace Consortium – provides lead agencies with strategic direction and resources to enhance the service’s capacity to meet local community needs.</w:t>
      </w:r>
    </w:p>
    <w:p w14:paraId="7B31EC9A" w14:textId="15EECDE6" w:rsidR="00A77D9D" w:rsidRDefault="00A77D9D" w:rsidP="00A77D9D">
      <w:pPr>
        <w:pStyle w:val="BodyText"/>
      </w:pPr>
      <w:r>
        <w:t>In the distributed governance model underpinning headspace, PHNs play a central role in ensuring services are localised, responsive to the needs of the local community and well</w:t>
      </w:r>
      <w:r w:rsidR="001A7BE3">
        <w:t>-</w:t>
      </w:r>
      <w:r>
        <w:t>integrated. In their commissioning role, PHNs work with local headspace service providers to set priorities and target activities to respond to local need.</w:t>
      </w:r>
    </w:p>
    <w:p w14:paraId="454EC043" w14:textId="77777777" w:rsidR="00A77D9D" w:rsidRPr="00E62C75" w:rsidRDefault="00A77D9D" w:rsidP="003006A8">
      <w:pPr>
        <w:pStyle w:val="BodyText"/>
        <w:rPr>
          <w:szCs w:val="20"/>
        </w:rPr>
      </w:pPr>
      <w:r>
        <w:t xml:space="preserve">There are a multitude of examples of how services have been tailored to the needs of the local community. Representatives from deep dive locations </w:t>
      </w:r>
      <w:r w:rsidRPr="001D6913">
        <w:rPr>
          <w:szCs w:val="20"/>
        </w:rPr>
        <w:t xml:space="preserve">demonstrated a strong level of community engagement and awareness enabled by the </w:t>
      </w:r>
      <w:r>
        <w:rPr>
          <w:szCs w:val="20"/>
        </w:rPr>
        <w:t>consortium</w:t>
      </w:r>
      <w:r w:rsidRPr="001D6913">
        <w:rPr>
          <w:szCs w:val="20"/>
        </w:rPr>
        <w:t xml:space="preserve"> arrangement</w:t>
      </w:r>
      <w:r>
        <w:rPr>
          <w:szCs w:val="20"/>
        </w:rPr>
        <w:t>s and</w:t>
      </w:r>
      <w:r w:rsidRPr="001D6913">
        <w:rPr>
          <w:szCs w:val="20"/>
        </w:rPr>
        <w:t xml:space="preserve"> a local workforce</w:t>
      </w:r>
      <w:r>
        <w:rPr>
          <w:szCs w:val="20"/>
        </w:rPr>
        <w:t xml:space="preserve"> with</w:t>
      </w:r>
      <w:r w:rsidRPr="001D6913">
        <w:rPr>
          <w:szCs w:val="20"/>
        </w:rPr>
        <w:t xml:space="preserve"> local networks</w:t>
      </w:r>
      <w:r>
        <w:rPr>
          <w:szCs w:val="20"/>
        </w:rPr>
        <w:t xml:space="preserve"> to support this. Examples of how services are tailored to their communities include:</w:t>
      </w:r>
    </w:p>
    <w:p w14:paraId="7932AEF7" w14:textId="3199F30D" w:rsidR="00A77D9D" w:rsidRDefault="00A77D9D" w:rsidP="00350B4D">
      <w:pPr>
        <w:pStyle w:val="Bullet1stlevel"/>
      </w:pPr>
      <w:r>
        <w:t>introduction of bushfire recovery role to tackle climate-related anxiety with young people</w:t>
      </w:r>
      <w:r w:rsidR="00BA0706">
        <w:t>;</w:t>
      </w:r>
    </w:p>
    <w:p w14:paraId="286F37C3" w14:textId="5772836D" w:rsidR="00A77D9D" w:rsidRDefault="00A77D9D" w:rsidP="00350B4D">
      <w:pPr>
        <w:pStyle w:val="Bullet1stlevel"/>
      </w:pPr>
      <w:r>
        <w:t xml:space="preserve">increased focus on outreach services where there is increased need, for example in remote Aboriginal </w:t>
      </w:r>
      <w:r w:rsidR="007E6F79">
        <w:t xml:space="preserve">and Torres Strait Islander </w:t>
      </w:r>
      <w:r>
        <w:t>communities, or neighbouring communities impact</w:t>
      </w:r>
      <w:r w:rsidR="007E6F79">
        <w:t>ed</w:t>
      </w:r>
      <w:r>
        <w:t xml:space="preserve"> by bushfires</w:t>
      </w:r>
      <w:r w:rsidR="00BA0706">
        <w:t>;</w:t>
      </w:r>
      <w:r w:rsidR="00F57590">
        <w:t xml:space="preserve"> and</w:t>
      </w:r>
    </w:p>
    <w:p w14:paraId="4DBAFB65" w14:textId="77777777" w:rsidR="00A77D9D" w:rsidRPr="00D7037E" w:rsidRDefault="00A77D9D" w:rsidP="00350B4D">
      <w:pPr>
        <w:pStyle w:val="Bullet1stlevel"/>
      </w:pPr>
      <w:r>
        <w:t>introduction of new consortium partnerships with additional local services, responding to particular stressors for young people in the local community, such as domestic and family violence and family wellbeing services.</w:t>
      </w:r>
    </w:p>
    <w:p w14:paraId="194B3D71" w14:textId="632A2B66" w:rsidR="00A77D9D" w:rsidRPr="001D6913" w:rsidRDefault="00A77D9D" w:rsidP="00A77D9D">
      <w:pPr>
        <w:pStyle w:val="BodyText"/>
      </w:pPr>
      <w:r>
        <w:t>The</w:t>
      </w:r>
      <w:r w:rsidRPr="001D6913">
        <w:t xml:space="preserve"> examples </w:t>
      </w:r>
      <w:r>
        <w:t>highlighted indicate headspace’s approaches</w:t>
      </w:r>
      <w:r w:rsidRPr="001D6913">
        <w:t xml:space="preserve"> </w:t>
      </w:r>
      <w:r>
        <w:t>to</w:t>
      </w:r>
      <w:r w:rsidRPr="001D6913">
        <w:t xml:space="preserve"> building relationships with young people and local services to identify high</w:t>
      </w:r>
      <w:r w:rsidR="00072E43">
        <w:t>-</w:t>
      </w:r>
      <w:r w:rsidRPr="001D6913">
        <w:t>prevalence issues</w:t>
      </w:r>
      <w:r>
        <w:t>, and</w:t>
      </w:r>
      <w:r w:rsidRPr="001D6913">
        <w:t xml:space="preserve"> </w:t>
      </w:r>
      <w:r>
        <w:t>in</w:t>
      </w:r>
      <w:r w:rsidRPr="001D6913">
        <w:t xml:space="preserve"> increas</w:t>
      </w:r>
      <w:r>
        <w:t>ing</w:t>
      </w:r>
      <w:r w:rsidRPr="001D6913">
        <w:t xml:space="preserve"> access to required services</w:t>
      </w:r>
      <w:r>
        <w:t xml:space="preserve"> specific to local need. The extent to which individual headspace services are tailored to their local communities is impacted by a range of enablers and barriers, outlined below.</w:t>
      </w:r>
    </w:p>
    <w:p w14:paraId="7680D32B" w14:textId="77777777" w:rsidR="00A77D9D" w:rsidRDefault="00A77D9D" w:rsidP="00A77D9D">
      <w:pPr>
        <w:pStyle w:val="Heading4"/>
      </w:pPr>
      <w:r>
        <w:t>Enablers to localised services</w:t>
      </w:r>
    </w:p>
    <w:p w14:paraId="4731FE86" w14:textId="77777777" w:rsidR="00A77D9D" w:rsidRDefault="00A77D9D" w:rsidP="00A77D9D">
      <w:pPr>
        <w:pStyle w:val="BodyText"/>
      </w:pPr>
      <w:r>
        <w:t xml:space="preserve">PHNs and deep dive representatives identified the consortium model and use of Youth Reference Groups were key to localising services offerings. Consortium members operating in local communities have deep insight into particular challenges faced by young people, and what services may be required to support these. Similarly, Youth Reference Group members use their knowledge of their peers to support localised service offerings, and have been responsible for initiating local offerings in some services. </w:t>
      </w:r>
    </w:p>
    <w:p w14:paraId="63FE35B7" w14:textId="6AF283F3" w:rsidR="00A77D9D" w:rsidRPr="00074B26" w:rsidRDefault="00A77D9D" w:rsidP="00A77D9D">
      <w:pPr>
        <w:pStyle w:val="BodyText"/>
      </w:pPr>
      <w:r>
        <w:t xml:space="preserve">Some PHNs also indicated that the commissioning process for services allows consideration of local need to be built into </w:t>
      </w:r>
      <w:r w:rsidR="008F1461">
        <w:t>l</w:t>
      </w:r>
      <w:r>
        <w:t xml:space="preserve">eady </w:t>
      </w:r>
      <w:r w:rsidR="008F1461">
        <w:t>a</w:t>
      </w:r>
      <w:r>
        <w:t xml:space="preserve">gency selection, with specific local considerations part of the selection process. This view was not shared by all PHNs, as outlined further under </w:t>
      </w:r>
      <w:r w:rsidR="00C7341F" w:rsidRPr="00C410FC">
        <w:t>b</w:t>
      </w:r>
      <w:r w:rsidRPr="00C410FC">
        <w:t>arriers</w:t>
      </w:r>
      <w:r>
        <w:t xml:space="preserve"> below. </w:t>
      </w:r>
    </w:p>
    <w:p w14:paraId="2B34DB85" w14:textId="2176CB31" w:rsidR="008B75EB" w:rsidRDefault="008B75EB" w:rsidP="008B75EB">
      <w:pPr>
        <w:pStyle w:val="BodyText"/>
      </w:pPr>
      <w:r>
        <w:t>PHNs reported that m</w:t>
      </w:r>
      <w:r w:rsidRPr="000A2A2B">
        <w:t xml:space="preserve">any </w:t>
      </w:r>
      <w:r w:rsidR="0050072E">
        <w:t>service</w:t>
      </w:r>
      <w:r w:rsidRPr="000A2A2B">
        <w:t>s are well</w:t>
      </w:r>
      <w:r w:rsidR="00B24A04">
        <w:t>-</w:t>
      </w:r>
      <w:r w:rsidRPr="000A2A2B">
        <w:t xml:space="preserve">integrated into their local communities, and provide services in demand </w:t>
      </w:r>
      <w:r>
        <w:t xml:space="preserve">with </w:t>
      </w:r>
      <w:r w:rsidRPr="000A2A2B">
        <w:t xml:space="preserve">local community. </w:t>
      </w:r>
      <w:r>
        <w:t>headspace service providers indicated that c</w:t>
      </w:r>
      <w:r w:rsidRPr="000A2A2B">
        <w:t xml:space="preserve">ommunity engagement </w:t>
      </w:r>
      <w:r>
        <w:t>activities assist them to identify how best to respond to l</w:t>
      </w:r>
      <w:r w:rsidRPr="000A2A2B">
        <w:t>ocal need</w:t>
      </w:r>
      <w:r>
        <w:t xml:space="preserve">, and some lead agencies have a specific focus on supporting these activities by also applying for additional grant funding from alternative sources </w:t>
      </w:r>
      <w:r w:rsidR="00975F5A">
        <w:t xml:space="preserve">(such as local and state government grant funding rounds) </w:t>
      </w:r>
      <w:r>
        <w:t xml:space="preserve">to support this work. </w:t>
      </w:r>
    </w:p>
    <w:p w14:paraId="31D3988D" w14:textId="77777777" w:rsidR="00A77D9D" w:rsidRPr="00074B26" w:rsidRDefault="00A77D9D" w:rsidP="00A77D9D">
      <w:pPr>
        <w:pStyle w:val="Heading4"/>
      </w:pPr>
      <w:r>
        <w:t>Barriers to localised services</w:t>
      </w:r>
    </w:p>
    <w:p w14:paraId="1D902D72" w14:textId="10D9FCED" w:rsidR="00A77D9D" w:rsidRPr="007F535C" w:rsidRDefault="00A77D9D" w:rsidP="00A77D9D">
      <w:pPr>
        <w:pStyle w:val="BodyText"/>
      </w:pPr>
      <w:r>
        <w:t xml:space="preserve">Centres and lead agencies through deep dive discussions, and the </w:t>
      </w:r>
      <w:r w:rsidR="0050072E">
        <w:t>service</w:t>
      </w:r>
      <w:r>
        <w:t xml:space="preserve"> and lead agency survey consistently identified that there is limited capacity for outreach and community engagement activities within </w:t>
      </w:r>
      <w:r w:rsidR="0050072E">
        <w:t>service</w:t>
      </w:r>
      <w:r>
        <w:t>s, to identify local needs and tailor services, and reach those in local communities who may not use the centre model. Community engagement positions are sometimes part time roles based on available funding. Some headspace services do not have dedicated community engagement positions, and community engagement is often de</w:t>
      </w:r>
      <w:r w:rsidR="00FC4439">
        <w:t>-</w:t>
      </w:r>
      <w:r>
        <w:t>prioritised due to clinical service loads within services.</w:t>
      </w:r>
    </w:p>
    <w:p w14:paraId="3F2C282F" w14:textId="77777777" w:rsidR="00A77D9D" w:rsidRPr="002E1A84" w:rsidRDefault="00A77D9D" w:rsidP="00A77D9D">
      <w:pPr>
        <w:pStyle w:val="BodyText"/>
      </w:pPr>
      <w:r>
        <w:t xml:space="preserve">Centres and lead agencies also indicated they often have trouble recruiting specific workers to meet the needs of the local community. These may be for specific professional positions or positions related to a specific cohort of young people, such as Aboriginal wellbeing workers or workers with culturally and linguistically diverse backgrounds. A small number of PHNs indicated that this has resulted in </w:t>
      </w:r>
      <w:r w:rsidRPr="00FD2B2C">
        <w:t xml:space="preserve">some services </w:t>
      </w:r>
      <w:r>
        <w:t xml:space="preserve">focusing on </w:t>
      </w:r>
      <w:r w:rsidRPr="00FD2B2C">
        <w:t xml:space="preserve">employing any available workers, with less focus on the </w:t>
      </w:r>
      <w:r>
        <w:t>types</w:t>
      </w:r>
      <w:r w:rsidRPr="00FD2B2C">
        <w:t xml:space="preserve"> of staff required to meet local need.</w:t>
      </w:r>
    </w:p>
    <w:p w14:paraId="1C0E6EA4" w14:textId="2562297C" w:rsidR="00A77D9D" w:rsidRDefault="00A77D9D" w:rsidP="00A77D9D">
      <w:pPr>
        <w:pStyle w:val="BodyText"/>
      </w:pPr>
      <w:r>
        <w:t xml:space="preserve">Some PHNs also indicated challenges as the local commissioning agency for headspace services in tailoring services to the needs of the local community, while ensuring services still meet the requirements of the headspace model integrity framework. These PHNs also indicated that there is no flexibility to use funding provided for a headspace </w:t>
      </w:r>
      <w:r w:rsidR="002F1AEE">
        <w:t>service</w:t>
      </w:r>
      <w:r>
        <w:t xml:space="preserve"> to design localised </w:t>
      </w:r>
      <w:r w:rsidR="002F1AEE">
        <w:t xml:space="preserve">offerings </w:t>
      </w:r>
      <w:r>
        <w:t xml:space="preserve">which directly address the specific needs of the community. While some tailoring is afforded through headspace </w:t>
      </w:r>
      <w:r w:rsidR="0050072E">
        <w:t>service</w:t>
      </w:r>
      <w:r>
        <w:t>s, th</w:t>
      </w:r>
      <w:r w:rsidR="00363658">
        <w:t xml:space="preserve">e extent to which </w:t>
      </w:r>
      <w:r>
        <w:t>PHN</w:t>
      </w:r>
      <w:r w:rsidR="00363658">
        <w:t>s can</w:t>
      </w:r>
      <w:r>
        <w:t xml:space="preserve"> commission a tailored service targeted at local need</w:t>
      </w:r>
      <w:r w:rsidR="00363658">
        <w:t xml:space="preserve"> is limited</w:t>
      </w:r>
      <w:r>
        <w:t xml:space="preserve">. </w:t>
      </w:r>
    </w:p>
    <w:p w14:paraId="70B73BB4" w14:textId="77777777" w:rsidR="00A77D9D" w:rsidRPr="00B65609" w:rsidRDefault="00A77D9D" w:rsidP="00A77D9D">
      <w:pPr>
        <w:pStyle w:val="BodyText"/>
      </w:pPr>
      <w:r>
        <w:t xml:space="preserve">Finally, headspace service staff and lead agencies indicated there are some challenges in localising services where there is increasing complexity and severity in the presenting need of young people. These young people are not the focus of the headspace model, and tailoring services to meeting their needs is difficult. In addition, increased pressure on service capacity from young people with more intensive needs impacts on capacity to focus on tailored offerings. </w:t>
      </w:r>
    </w:p>
    <w:p w14:paraId="407A5616" w14:textId="77777777" w:rsidR="00A77D9D" w:rsidRDefault="00A77D9D" w:rsidP="00A77D9D">
      <w:pPr>
        <w:pStyle w:val="Heading4"/>
      </w:pPr>
      <w:r>
        <w:t>Extent to which headspace provides localised service offerings</w:t>
      </w:r>
    </w:p>
    <w:p w14:paraId="304560D6" w14:textId="77777777" w:rsidR="00A77D9D" w:rsidRDefault="00A77D9D" w:rsidP="00A77D9D">
      <w:pPr>
        <w:pStyle w:val="BodyText"/>
      </w:pPr>
      <w:bookmarkStart w:id="263" w:name="_Hlk98190551"/>
      <w:r>
        <w:t xml:space="preserve">The qualitative data helps illustrate the number of ways in which headspace services are localised for their communities. headspace services work with local communities and providers to build relationships and understand what local needs services should target. The consortium model, commissioning process and community engagement activities support services to localise offerings. </w:t>
      </w:r>
    </w:p>
    <w:p w14:paraId="107065A4" w14:textId="77777777" w:rsidR="00565A25" w:rsidRDefault="00A77D9D" w:rsidP="00A77D9D">
      <w:pPr>
        <w:pStyle w:val="BodyText"/>
      </w:pPr>
      <w:r>
        <w:t>However, qualitative data also indicates that the extent to which services are localised varies significantly. This variation is due to a range of factors, including</w:t>
      </w:r>
      <w:r w:rsidR="00565A25">
        <w:t>:</w:t>
      </w:r>
    </w:p>
    <w:p w14:paraId="5CF47055" w14:textId="37FFE903" w:rsidR="00565A25" w:rsidRDefault="00A77D9D" w:rsidP="00C410FC">
      <w:pPr>
        <w:pStyle w:val="Bullet1stlevel"/>
      </w:pPr>
      <w:r>
        <w:t xml:space="preserve">capacity for community engagement and exploration of local needs; </w:t>
      </w:r>
    </w:p>
    <w:p w14:paraId="471F3B4B" w14:textId="77777777" w:rsidR="00565A25" w:rsidRDefault="00A77D9D" w:rsidP="00C410FC">
      <w:pPr>
        <w:pStyle w:val="Bullet1stlevel"/>
      </w:pPr>
      <w:r>
        <w:t>ability to recruit specific workers or professions to deliver on specific support needs in communities particularly in regional and remote areas, for example Aboriginal wellbeing workers;</w:t>
      </w:r>
    </w:p>
    <w:p w14:paraId="71FE23C6" w14:textId="6F9AEEC8" w:rsidR="00565A25" w:rsidRDefault="00A77D9D" w:rsidP="00C410FC">
      <w:pPr>
        <w:pStyle w:val="Bullet1stlevel"/>
      </w:pPr>
      <w:r>
        <w:t xml:space="preserve">challenges with the flexibility of the headspace </w:t>
      </w:r>
      <w:r w:rsidR="001F2443">
        <w:t>model</w:t>
      </w:r>
      <w:r>
        <w:t xml:space="preserve"> and how funding can be used to target local needs specifically; and </w:t>
      </w:r>
    </w:p>
    <w:p w14:paraId="70A0B939" w14:textId="14328AA9" w:rsidR="00A77D9D" w:rsidRDefault="00A77D9D" w:rsidP="00C410FC">
      <w:pPr>
        <w:pStyle w:val="Bullet1stlevel"/>
      </w:pPr>
      <w:r>
        <w:t>increasing complexity of presenting need, which is not within headspace services’ usual target cohort to provider tailoring.</w:t>
      </w:r>
    </w:p>
    <w:p w14:paraId="075B5ACF" w14:textId="6A1DD755" w:rsidR="00AF71C9" w:rsidRPr="007943AA" w:rsidRDefault="00EA0F35" w:rsidP="00AF71C9">
      <w:pPr>
        <w:pStyle w:val="Bullet1stlevel"/>
        <w:numPr>
          <w:ilvl w:val="0"/>
          <w:numId w:val="0"/>
        </w:numPr>
      </w:pPr>
      <w:r>
        <w:t>Overall</w:t>
      </w:r>
      <w:r w:rsidR="00490324">
        <w:t>,</w:t>
      </w:r>
      <w:r>
        <w:t xml:space="preserve"> e</w:t>
      </w:r>
      <w:r w:rsidR="00AF71C9" w:rsidRPr="007943AA">
        <w:t>vidence from headspace service providers and other external stakeholders indicates that the headspace model enables localised services, however this is inconsistent across services</w:t>
      </w:r>
      <w:r w:rsidR="00490324">
        <w:t>,</w:t>
      </w:r>
      <w:r w:rsidR="00AF71C9" w:rsidRPr="007943AA">
        <w:t xml:space="preserve"> and the </w:t>
      </w:r>
      <w:r w:rsidR="00CC1211">
        <w:t>link between local needs analysis work undertaken by PHNs and implementation of headspace services could be strengthened.</w:t>
      </w:r>
      <w:r w:rsidR="00AF71C9" w:rsidRPr="007943AA">
        <w:t xml:space="preserve"> </w:t>
      </w:r>
    </w:p>
    <w:p w14:paraId="60EEA47C" w14:textId="77777777" w:rsidR="00A77D9D" w:rsidRPr="00A33A8D" w:rsidRDefault="00A77D9D" w:rsidP="00A33A8D">
      <w:pPr>
        <w:pStyle w:val="Bullet1stlevel"/>
        <w:numPr>
          <w:ilvl w:val="0"/>
          <w:numId w:val="0"/>
        </w:numPr>
        <w:rPr>
          <w:b/>
        </w:rPr>
      </w:pPr>
      <w:r>
        <w:t xml:space="preserve">It should be noted that this qualitative information is largely self-reported by individual stakeholders with limited corroboration from other stakeholders. While there is less consistency in qualitative evidence, this is to be expected based on the roles and involvement of different groups within headspace services. </w:t>
      </w:r>
    </w:p>
    <w:p w14:paraId="4826BBB4" w14:textId="63AF9B91" w:rsidR="00A77D9D" w:rsidRPr="00D32676" w:rsidRDefault="00A77D9D" w:rsidP="00350B4D">
      <w:pPr>
        <w:pStyle w:val="AppendixHeading2"/>
      </w:pPr>
      <w:bookmarkStart w:id="264" w:name="_Ref98326373"/>
      <w:bookmarkEnd w:id="263"/>
      <w:r w:rsidRPr="00304DBE">
        <w:t>What other contributions does headspace make to local communities?</w:t>
      </w:r>
      <w:bookmarkEnd w:id="264"/>
    </w:p>
    <w:p w14:paraId="10FBC2D5" w14:textId="77777777" w:rsidR="00A77D9D" w:rsidRPr="007E2A4A" w:rsidRDefault="00A77D9D" w:rsidP="000F6758">
      <w:pPr>
        <w:pStyle w:val="AppendixHeading3"/>
      </w:pPr>
      <w:r>
        <w:t>Contributions to local communities</w:t>
      </w:r>
    </w:p>
    <w:p w14:paraId="256E2213" w14:textId="1CD75BC7" w:rsidR="00A77D9D" w:rsidRPr="00D32676" w:rsidRDefault="00A77D9D" w:rsidP="00A77D9D">
      <w:pPr>
        <w:pStyle w:val="BodyText"/>
      </w:pPr>
      <w:r>
        <w:t xml:space="preserve">In addition to direct clinical, centre-based and other services provided to young people, a range of other contributions and activities are also provided by headspace services, often outside of the </w:t>
      </w:r>
      <w:r w:rsidR="0050072E">
        <w:t>service</w:t>
      </w:r>
      <w:r>
        <w:t>. A number of headspace stakeholders commented on these contributions.</w:t>
      </w:r>
    </w:p>
    <w:p w14:paraId="0D1DEB54" w14:textId="77777777" w:rsidR="00A77D9D" w:rsidRPr="00CC31BA" w:rsidRDefault="00A77D9D" w:rsidP="00A77D9D">
      <w:pPr>
        <w:pStyle w:val="Heading4"/>
      </w:pPr>
      <w:r>
        <w:t xml:space="preserve">Evidence of contributions to local communities in which headspace works </w:t>
      </w:r>
    </w:p>
    <w:p w14:paraId="4FD9A060" w14:textId="77777777" w:rsidR="00A77D9D" w:rsidRDefault="00A77D9D" w:rsidP="00A77D9D">
      <w:pPr>
        <w:pStyle w:val="Heading5"/>
      </w:pPr>
      <w:r>
        <w:t>Perspectives of young people who use headspace</w:t>
      </w:r>
    </w:p>
    <w:p w14:paraId="6AEA58D1" w14:textId="77777777" w:rsidR="00A77D9D" w:rsidRDefault="00A77D9D" w:rsidP="00A77D9D">
      <w:pPr>
        <w:pStyle w:val="BodyText"/>
      </w:pPr>
      <w:r>
        <w:t>headspace users indicated they have experienced a range of contributions to their local communities from their local headspace service. The most common of these were contributions through outreach activities in communities – in schools, at public events, and near public transport hubs:</w:t>
      </w:r>
    </w:p>
    <w:p w14:paraId="3B5E30E1" w14:textId="060B3582" w:rsidR="00A77D9D" w:rsidRDefault="00A77D9D" w:rsidP="00A77D9D">
      <w:pPr>
        <w:pStyle w:val="Quote"/>
      </w:pPr>
      <w:r>
        <w:t xml:space="preserve">“Near the </w:t>
      </w:r>
      <w:r w:rsidR="00936663">
        <w:t>[name</w:t>
      </w:r>
      <w:r w:rsidR="00E310F1">
        <w:t xml:space="preserve"> of suburb]</w:t>
      </w:r>
      <w:r>
        <w:t xml:space="preserve"> train station, there's a little path thing. They used to have, I guess, like a little fun day where they would have little free games to play and then packages to hand out and stuff. And more often than not, when </w:t>
      </w:r>
      <w:r w:rsidR="00E310F1">
        <w:t>[</w:t>
      </w:r>
      <w:r w:rsidR="000D2139">
        <w:t>suburb]</w:t>
      </w:r>
      <w:r w:rsidR="00E310F1">
        <w:t xml:space="preserve"> </w:t>
      </w:r>
      <w:r>
        <w:t xml:space="preserve">Youth Centre, or the </w:t>
      </w:r>
      <w:r w:rsidR="000D2139">
        <w:t xml:space="preserve">[region] </w:t>
      </w:r>
      <w:r>
        <w:t>City Council did a youth event, they would partner with headspace to, again, bring more of that information out, to try to get it to young people.”</w:t>
      </w:r>
    </w:p>
    <w:p w14:paraId="2785F165" w14:textId="77777777" w:rsidR="00A77D9D" w:rsidRDefault="00A77D9D" w:rsidP="00A77D9D">
      <w:pPr>
        <w:pStyle w:val="BodyText"/>
      </w:pPr>
      <w:r>
        <w:t>However, when asked what headspace could do differently, headspace users suggested increasing their profile through social media and more in-school presence:</w:t>
      </w:r>
    </w:p>
    <w:p w14:paraId="588A785F" w14:textId="77777777" w:rsidR="00A77D9D" w:rsidRDefault="00A77D9D" w:rsidP="00A77D9D">
      <w:pPr>
        <w:pStyle w:val="Quote"/>
      </w:pPr>
      <w:r>
        <w:t>“I think definitely high school education. If headspace went to schools it would make a big difference because we were just told in school, they were like these are symptoms of depression. “</w:t>
      </w:r>
    </w:p>
    <w:p w14:paraId="5338B5B1" w14:textId="15DABCBC" w:rsidR="00A77D9D" w:rsidRDefault="00A77D9D" w:rsidP="00A77D9D">
      <w:pPr>
        <w:pStyle w:val="BodyText"/>
      </w:pPr>
      <w:r>
        <w:t>headspace also provides young people with opportunities to contribute to governance via the Youth Reference Groups and as mental health ambassadors. This adds to its reach and is potentially most effective as peers can inspire other young people to seek help</w:t>
      </w:r>
      <w:r w:rsidR="00044022">
        <w:t>, it also provides development opportunities for the young people involved</w:t>
      </w:r>
      <w:r>
        <w:t>:</w:t>
      </w:r>
    </w:p>
    <w:p w14:paraId="419F37B2" w14:textId="77777777" w:rsidR="00A77D9D" w:rsidRDefault="00A77D9D" w:rsidP="00A77D9D">
      <w:pPr>
        <w:pStyle w:val="Quote"/>
      </w:pPr>
      <w:r>
        <w:t>“Well, it started off in school settings in 2020, when I first joined up as an ambassador. And then one door opens up to another and I've been able to give speeches on different panels, universities, corporate.”</w:t>
      </w:r>
    </w:p>
    <w:p w14:paraId="14286CD3" w14:textId="6470E897" w:rsidR="00A77D9D" w:rsidRDefault="00A77D9D" w:rsidP="00A77D9D">
      <w:pPr>
        <w:pStyle w:val="BodyText"/>
      </w:pPr>
      <w:r>
        <w:t xml:space="preserve">In one area, Youth Reference Group participants spoke about the contribution of headspace to the community through supporting them to organise festivals around issues of importance to them such as </w:t>
      </w:r>
      <w:r w:rsidR="003D1632">
        <w:t>supporting</w:t>
      </w:r>
      <w:r>
        <w:t xml:space="preserve"> LGBTQIA+</w:t>
      </w:r>
      <w:r w:rsidR="003D1632">
        <w:t xml:space="preserve"> young people</w:t>
      </w:r>
      <w:r>
        <w:t xml:space="preserve">, homelessness and social justice. Members of the Youth Reference Group worked on the organising committees for these events with support from headspace staff and other key services in the area. These events aimed to raise awareness and reduce stigma: </w:t>
      </w:r>
    </w:p>
    <w:p w14:paraId="6DE3A73A" w14:textId="77777777" w:rsidR="00A77D9D" w:rsidRDefault="00A77D9D" w:rsidP="00A77D9D">
      <w:pPr>
        <w:pStyle w:val="Quote"/>
      </w:pPr>
      <w:r>
        <w:t>“There’s some community services that have planned an event that has of course been postponed but it is an event to raise awareness for homelessness and funds for social justice advocates [name of location] that’ll go straight back into a few homes and things in the community to help tackle that issue. [Name of service], they have been really active with promoting the event and we’ve had [name] from headspace and some Youth Reference Group members as well working on that committee for that event.”</w:t>
      </w:r>
    </w:p>
    <w:p w14:paraId="51934E56" w14:textId="1DC48201" w:rsidR="00A77D9D" w:rsidRDefault="009B645F" w:rsidP="00A77D9D">
      <w:pPr>
        <w:pStyle w:val="BodyText"/>
      </w:pPr>
      <w:r>
        <w:t>headspace services’</w:t>
      </w:r>
      <w:r w:rsidR="00824B3A">
        <w:t xml:space="preserve"> involvement </w:t>
      </w:r>
      <w:r>
        <w:t>in these</w:t>
      </w:r>
      <w:r w:rsidR="00A77D9D">
        <w:t xml:space="preserve"> sorts of community events were not consistently described across services, with outreach and community engagement activities </w:t>
      </w:r>
      <w:r w:rsidR="00411390">
        <w:t xml:space="preserve">differing between </w:t>
      </w:r>
      <w:r w:rsidR="00A77D9D">
        <w:t>communities.</w:t>
      </w:r>
      <w:r w:rsidR="001C4A15">
        <w:t xml:space="preserve"> </w:t>
      </w:r>
    </w:p>
    <w:p w14:paraId="05E29268" w14:textId="5B4A7526" w:rsidR="001C4A15" w:rsidRPr="008225A0" w:rsidRDefault="001C4A15" w:rsidP="00A77D9D">
      <w:pPr>
        <w:pStyle w:val="BodyText"/>
      </w:pPr>
      <w:r>
        <w:t xml:space="preserve">While many of these activities contribute directly to other outcomes, for example in reducing stigma around mental illness, increasing mental health literacy and </w:t>
      </w:r>
      <w:r w:rsidR="0014213B">
        <w:t>early help seeking, they also provide valuable development opportunities for young people. Being part of the organising committees for events, participating in service design</w:t>
      </w:r>
      <w:r w:rsidR="00395FD1">
        <w:t xml:space="preserve">, working groups and project teams through Youth Reference Group participation provides </w:t>
      </w:r>
      <w:r w:rsidR="003F5A05">
        <w:t xml:space="preserve">young people with experience and </w:t>
      </w:r>
      <w:r w:rsidR="009E21FB">
        <w:t>improved</w:t>
      </w:r>
      <w:r w:rsidR="009F27DE">
        <w:t xml:space="preserve"> capability, and </w:t>
      </w:r>
      <w:r w:rsidR="00536BE0">
        <w:t>has the potential to increase their confidence</w:t>
      </w:r>
      <w:r w:rsidR="00A4603F">
        <w:t xml:space="preserve"> and self-esteem.</w:t>
      </w:r>
    </w:p>
    <w:p w14:paraId="1B31133C" w14:textId="77777777" w:rsidR="00A77D9D" w:rsidRPr="00296F0E" w:rsidRDefault="00A77D9D" w:rsidP="00A77D9D">
      <w:pPr>
        <w:pStyle w:val="Heading5"/>
      </w:pPr>
      <w:r>
        <w:t>Perspectives of young people who do not use headspace</w:t>
      </w:r>
    </w:p>
    <w:p w14:paraId="44BB9E0B" w14:textId="77777777" w:rsidR="00A77D9D" w:rsidRPr="00B919D4" w:rsidRDefault="00A77D9D" w:rsidP="00D83C60">
      <w:pPr>
        <w:pStyle w:val="BodyText"/>
      </w:pPr>
      <w:r>
        <w:t>Many young people who do not use headspace described hearing from headspace services through their schools.</w:t>
      </w:r>
    </w:p>
    <w:p w14:paraId="6CAADD24" w14:textId="16BC193D" w:rsidR="00A77D9D" w:rsidRPr="00FE6B3D" w:rsidRDefault="00A77D9D" w:rsidP="00A77D9D">
      <w:pPr>
        <w:pStyle w:val="BodyText"/>
      </w:pPr>
      <w:r>
        <w:t xml:space="preserve">Non-headspace users at university indicated that while they recalled headspace services visiting their school, that these sorts of community engagement activities were more limited through their university. A small minority of non-headspace users indicated that the impact of these community engagement activities on them depended on who was running school-based sessions. Where the representative was a young person and easier to identify with for students, non-headspace users described this as being more effective in promoting headspace services and mental health wellbeing, than with other headspace service staff </w:t>
      </w:r>
      <w:r w:rsidR="00E02F1B">
        <w:t xml:space="preserve">with whom </w:t>
      </w:r>
      <w:r>
        <w:t>who young people did not identify.</w:t>
      </w:r>
    </w:p>
    <w:p w14:paraId="71F2A36A" w14:textId="77777777" w:rsidR="00A77D9D" w:rsidRPr="00C95707" w:rsidRDefault="00A77D9D" w:rsidP="00A77D9D">
      <w:pPr>
        <w:pStyle w:val="BodyText"/>
      </w:pPr>
      <w:r>
        <w:t>A small number of non-headspace users also identified youth ambassadors for headspace services as an element of their community engagement and outreach activities, and that this supported great awareness of services and other outcomes such as early help seeking and reducing stigma around seeking support.</w:t>
      </w:r>
    </w:p>
    <w:p w14:paraId="047404BC" w14:textId="77777777" w:rsidR="00A77D9D" w:rsidRPr="00C870CF" w:rsidRDefault="00A77D9D" w:rsidP="00A77D9D">
      <w:pPr>
        <w:pStyle w:val="Heading5"/>
      </w:pPr>
      <w:r>
        <w:t>Perspectives of headspace service providers</w:t>
      </w:r>
    </w:p>
    <w:p w14:paraId="71E65113" w14:textId="4920E777" w:rsidR="00A77D9D" w:rsidRPr="00EB1763" w:rsidRDefault="004E3E35" w:rsidP="00A77D9D">
      <w:pPr>
        <w:pStyle w:val="BodyText"/>
      </w:pPr>
      <w:r>
        <w:t xml:space="preserve">headspace service </w:t>
      </w:r>
      <w:r w:rsidR="00A77D9D">
        <w:t>and lead agency representatives were asked to indicate what types of services their service provides to young people and the community more broadly. Of the 69 respondents who answered this question, 58 (or 84 per cent) indicated that their services w</w:t>
      </w:r>
      <w:r w:rsidR="00A77D9D" w:rsidRPr="00A637E4">
        <w:t>ork with local schools and community groups,</w:t>
      </w:r>
      <w:r w:rsidR="00A77D9D">
        <w:t xml:space="preserve"> while 44 (or 64 per cent) indicated they provide outreach services to local communities. Deep dive site representatives, as well as survey respondents indicated that community engagement such as this is a critical and successful part of the headspace model, however is an onerous obligation, and is often not able to be adequately resourced within current funding for headspace services. </w:t>
      </w:r>
    </w:p>
    <w:p w14:paraId="2BC12942" w14:textId="0E5CA3D0" w:rsidR="00A77D9D" w:rsidRPr="006A2B5C" w:rsidRDefault="00A77D9D" w:rsidP="00A77D9D">
      <w:pPr>
        <w:pStyle w:val="BodyText"/>
      </w:pPr>
      <w:r>
        <w:t xml:space="preserve">Engagement with schools and universities includes presentations to school </w:t>
      </w:r>
      <w:r w:rsidR="00030020">
        <w:t>students</w:t>
      </w:r>
      <w:r>
        <w:t xml:space="preserve"> on supporting their mental health and wellbeing, where young people can find resources to support their mental health, information regarding services available, and participation in open days and fair days in universities. </w:t>
      </w:r>
    </w:p>
    <w:p w14:paraId="2C589D6C" w14:textId="77777777" w:rsidR="00A77D9D" w:rsidRDefault="00A77D9D" w:rsidP="00A77D9D">
      <w:pPr>
        <w:pStyle w:val="BodyText"/>
      </w:pPr>
      <w:r>
        <w:t xml:space="preserve">Outreach services provided also differed significantly between headspace services, often linked to preferences and needs of the local community. </w:t>
      </w:r>
    </w:p>
    <w:p w14:paraId="5E9C06E8" w14:textId="4B74EB41" w:rsidR="00A77D9D" w:rsidRDefault="00A77D9D" w:rsidP="00A77D9D">
      <w:pPr>
        <w:pStyle w:val="Heading5"/>
        <w:rPr>
          <w:rFonts w:eastAsiaTheme="majorEastAsia" w:cstheme="majorBidi"/>
          <w:iCs/>
          <w:color w:val="00338D" w:themeColor="background2"/>
          <w:sz w:val="24"/>
        </w:rPr>
      </w:pPr>
      <w:r>
        <w:t xml:space="preserve">Perspectives of </w:t>
      </w:r>
      <w:r w:rsidR="00B82DA8">
        <w:t xml:space="preserve">other </w:t>
      </w:r>
      <w:r>
        <w:t xml:space="preserve">external stakeholders </w:t>
      </w:r>
      <w:r w:rsidR="00392BEB">
        <w:t xml:space="preserve">including school and university counsellors, GPs and PHNs </w:t>
      </w:r>
    </w:p>
    <w:p w14:paraId="22C1E7D9" w14:textId="54B3B7CD" w:rsidR="00A77D9D" w:rsidRPr="008624A1" w:rsidRDefault="00A77D9D" w:rsidP="00A77D9D">
      <w:pPr>
        <w:pStyle w:val="BodyText"/>
      </w:pPr>
      <w:r>
        <w:t xml:space="preserve">School and university counsellors also described the types community engagement and outreach activities of headspace services. Some identified where headspace had visited their local school or university to provide information and resources for young people. However, the exact nature and frequency of these activities varied between local communities. Some headspace services have delivered more of these activities to their local communities than others, and the reach of these activities also varied. For example, in regional areas, the focus was stronger on community engagement and outreach within the immediate area around the </w:t>
      </w:r>
      <w:r w:rsidR="0050072E">
        <w:t>service</w:t>
      </w:r>
      <w:r>
        <w:t xml:space="preserve">, with other surrounding communities less of a focus from the perspective of counsellors. </w:t>
      </w:r>
    </w:p>
    <w:p w14:paraId="03E82316" w14:textId="77777777" w:rsidR="00A77D9D" w:rsidRPr="00194F4C" w:rsidRDefault="00A77D9D" w:rsidP="00A77D9D">
      <w:pPr>
        <w:pStyle w:val="BodyText"/>
      </w:pPr>
      <w:r>
        <w:t xml:space="preserve">Some school and university counsellors also indicated they use online headspace resources to support their own work, including as part of their practice, or to refer young people to, to support their mental health and wellbeing. This was recognised as a key strength of headspace, and a key contributor to communities. </w:t>
      </w:r>
    </w:p>
    <w:p w14:paraId="7B96BFC1" w14:textId="77777777" w:rsidR="00A77D9D" w:rsidRDefault="00A77D9D" w:rsidP="00A77D9D">
      <w:pPr>
        <w:pStyle w:val="Heading4"/>
      </w:pPr>
      <w:r>
        <w:t>Extent to which headspace makes other contributions to local communities</w:t>
      </w:r>
    </w:p>
    <w:p w14:paraId="61475B3A" w14:textId="77777777" w:rsidR="00A77D9D" w:rsidRDefault="00A77D9D" w:rsidP="00A77D9D">
      <w:pPr>
        <w:pStyle w:val="BodyText"/>
      </w:pPr>
      <w:r>
        <w:t xml:space="preserve">Qualitative data demonstrates strong recognition of the contributions that headspace services make to their local communities, through schools and other education institutions, community events and engagement, and availability of resources and information. </w:t>
      </w:r>
    </w:p>
    <w:p w14:paraId="0983B3B0" w14:textId="77777777" w:rsidR="00A77D9D" w:rsidRDefault="00A77D9D" w:rsidP="00A77D9D">
      <w:pPr>
        <w:pStyle w:val="BodyText"/>
      </w:pPr>
      <w:r>
        <w:t xml:space="preserve">All stakeholder groups had positive views as to the impact of these contributions, and these were tied to other outcomes discussed above, such as improvements to mental health literacy, early help seeking, and access for young people. </w:t>
      </w:r>
    </w:p>
    <w:p w14:paraId="3545F968" w14:textId="61014A0D" w:rsidR="002F19C1" w:rsidRPr="00F90E50" w:rsidRDefault="002F19C1" w:rsidP="00A77D9D">
      <w:pPr>
        <w:pStyle w:val="BodyText"/>
      </w:pPr>
      <w:r>
        <w:t xml:space="preserve">Furthermore, </w:t>
      </w:r>
      <w:r w:rsidR="00502401">
        <w:t>the headspace model</w:t>
      </w:r>
      <w:r w:rsidRPr="002F19C1">
        <w:t xml:space="preserve"> provide</w:t>
      </w:r>
      <w:r w:rsidR="00502401">
        <w:t>s</w:t>
      </w:r>
      <w:r w:rsidRPr="002F19C1">
        <w:t xml:space="preserve"> valuable development opportunities for young people. Being part of the </w:t>
      </w:r>
      <w:r w:rsidR="00502401">
        <w:t>governance and planning of services</w:t>
      </w:r>
      <w:r w:rsidRPr="002F19C1">
        <w:t xml:space="preserve"> provides young people with experience and improved </w:t>
      </w:r>
      <w:r>
        <w:t>capability, and has the potential to increase their confidence and self-esteem.</w:t>
      </w:r>
    </w:p>
    <w:p w14:paraId="5529D5DC" w14:textId="61014A0D" w:rsidR="00F90E50" w:rsidRPr="007943AA" w:rsidRDefault="00F90E50" w:rsidP="00BC7DFB">
      <w:pPr>
        <w:pStyle w:val="BodyText"/>
      </w:pPr>
      <w:r w:rsidRPr="007943AA">
        <w:t xml:space="preserve">Evidence from young people, headspace service providers and other external stakeholders indicates that the headspace model provides a range of additional contributions to local communities that are highly valued by those communities. </w:t>
      </w:r>
    </w:p>
    <w:p w14:paraId="198A239F" w14:textId="21F87EEC" w:rsidR="00BC7DFB" w:rsidRPr="00E5719D" w:rsidRDefault="00A77D9D" w:rsidP="00BC7DFB">
      <w:pPr>
        <w:pStyle w:val="BodyText"/>
        <w:rPr>
          <w:b/>
          <w:bCs/>
        </w:rPr>
      </w:pPr>
      <w:r>
        <w:t>It is important to note that there are some limitations with the data, being self-reported by young people, and headspace service staff and external providers about their own performance in this area. However, there was consistent recognition of the contributions made, and the challenges services face in delivering these contributions, suggesting findings are reliable.</w:t>
      </w:r>
      <w:r w:rsidR="00BC7DFB">
        <w:t xml:space="preserve"> </w:t>
      </w:r>
    </w:p>
    <w:p w14:paraId="1C9124D5" w14:textId="63853C10" w:rsidR="00A77D9D" w:rsidRDefault="00A77D9D" w:rsidP="00A77D9D">
      <w:pPr>
        <w:pStyle w:val="BodyText"/>
      </w:pPr>
    </w:p>
    <w:p w14:paraId="0B940AE8" w14:textId="623061D1" w:rsidR="00A77D9D" w:rsidRDefault="00A77D9D" w:rsidP="00350B4D">
      <w:pPr>
        <w:pStyle w:val="AppendixHeading2"/>
      </w:pPr>
      <w:bookmarkStart w:id="265" w:name="_Ref98326381"/>
      <w:r w:rsidRPr="00304DBE">
        <w:t>To what extent does a ‘</w:t>
      </w:r>
      <w:r w:rsidR="002B4BA9">
        <w:t>no wrong door</w:t>
      </w:r>
      <w:r w:rsidRPr="00304DBE">
        <w:t>’ approach assist headspace to meet its objectives?</w:t>
      </w:r>
      <w:bookmarkEnd w:id="265"/>
    </w:p>
    <w:p w14:paraId="49731BDB" w14:textId="3AD44EF9" w:rsidR="00A77D9D" w:rsidRDefault="00A77D9D" w:rsidP="003006A8">
      <w:pPr>
        <w:pStyle w:val="BodyText"/>
      </w:pPr>
      <w:r>
        <w:t>There was significant support for headspace’s ‘</w:t>
      </w:r>
      <w:r w:rsidR="002B4BA9">
        <w:t>no wrong door</w:t>
      </w:r>
      <w:r>
        <w:t>’ approach to supporting young people. The approach supports young people by:</w:t>
      </w:r>
    </w:p>
    <w:p w14:paraId="60007587" w14:textId="442599A4" w:rsidR="00A77D9D" w:rsidRDefault="00A77D9D" w:rsidP="00350B4D">
      <w:pPr>
        <w:pStyle w:val="Bullet1stlevel"/>
      </w:pPr>
      <w:r>
        <w:t>ensuring they are able to engage with mental health supports in a way they feel comfortable</w:t>
      </w:r>
      <w:r w:rsidR="00DE25A7">
        <w:t>;</w:t>
      </w:r>
    </w:p>
    <w:p w14:paraId="0CA99523" w14:textId="71840EED" w:rsidR="00A77D9D" w:rsidRDefault="00A77D9D" w:rsidP="00350B4D">
      <w:pPr>
        <w:pStyle w:val="Bullet1stlevel"/>
      </w:pPr>
      <w:r>
        <w:t>providing a free entry point into the mental health service system</w:t>
      </w:r>
      <w:r w:rsidR="00DE25A7">
        <w:t>;</w:t>
      </w:r>
    </w:p>
    <w:p w14:paraId="60CB1211" w14:textId="625B2588" w:rsidR="00A77D9D" w:rsidRDefault="00A77D9D" w:rsidP="00350B4D">
      <w:pPr>
        <w:pStyle w:val="Bullet1stlevel"/>
      </w:pPr>
      <w:r>
        <w:t>providing a soft entry into the mental health service system, with referrals to other services available to support service integration for young people</w:t>
      </w:r>
      <w:r w:rsidR="00DE25A7">
        <w:t>; and</w:t>
      </w:r>
    </w:p>
    <w:p w14:paraId="6980F269" w14:textId="77777777" w:rsidR="00A77D9D" w:rsidRDefault="00A77D9D" w:rsidP="00350B4D">
      <w:pPr>
        <w:pStyle w:val="Bullet1stlevel"/>
      </w:pPr>
      <w:r>
        <w:t>providing them with access to initial services to support broader objectives such as improved mental health literacy and early help seeking, even where they may be referred to a more appropriate service.</w:t>
      </w:r>
    </w:p>
    <w:p w14:paraId="12E096FD" w14:textId="77F1084F" w:rsidR="00A77D9D" w:rsidRDefault="00C00F62" w:rsidP="00A77D9D">
      <w:pPr>
        <w:pStyle w:val="BodyText"/>
      </w:pPr>
      <w:r>
        <w:t>headspace service</w:t>
      </w:r>
      <w:r w:rsidR="00A77D9D">
        <w:t xml:space="preserve"> and lead agency stakeholders across deep dive services, as well as those responding to the survey of headspace services consistently indicated that anecdotally, young people’s mental health needs are becoming increasingly severe and more complex, with many cases being outside of the headspace model’s </w:t>
      </w:r>
      <w:r w:rsidR="00A77D9D" w:rsidRPr="001D6913">
        <w:rPr>
          <w:szCs w:val="20"/>
        </w:rPr>
        <w:t xml:space="preserve">mild to moderate criteria. </w:t>
      </w:r>
      <w:r w:rsidR="00A77D9D">
        <w:rPr>
          <w:szCs w:val="20"/>
        </w:rPr>
        <w:t>Common p</w:t>
      </w:r>
      <w:r w:rsidR="00A77D9D" w:rsidRPr="001D6913">
        <w:rPr>
          <w:szCs w:val="20"/>
        </w:rPr>
        <w:t>resenting concerns</w:t>
      </w:r>
      <w:r w:rsidR="00A77D9D">
        <w:rPr>
          <w:szCs w:val="20"/>
        </w:rPr>
        <w:t xml:space="preserve"> were reportedly</w:t>
      </w:r>
      <w:r w:rsidR="00A77D9D" w:rsidRPr="001D6913">
        <w:rPr>
          <w:szCs w:val="20"/>
        </w:rPr>
        <w:t xml:space="preserve"> developmental disorders, personality disorders, eating disorders, </w:t>
      </w:r>
      <w:r w:rsidR="00A77D9D" w:rsidRPr="001D6913">
        <w:t>complex trauma and grief, and self</w:t>
      </w:r>
      <w:r w:rsidR="00F93460">
        <w:noBreakHyphen/>
      </w:r>
      <w:r w:rsidR="00A77D9D" w:rsidRPr="001D6913">
        <w:t xml:space="preserve">harm and suicidal </w:t>
      </w:r>
      <w:r w:rsidR="00A77D9D">
        <w:t>ideation, including in ages under 12 years old</w:t>
      </w:r>
      <w:r w:rsidR="00A77D9D" w:rsidRPr="001D6913">
        <w:t xml:space="preserve">. </w:t>
      </w:r>
    </w:p>
    <w:p w14:paraId="4D0D3084" w14:textId="77777777" w:rsidR="00A77D9D" w:rsidRDefault="00A77D9D" w:rsidP="00A77D9D">
      <w:pPr>
        <w:pStyle w:val="BodyText"/>
      </w:pPr>
      <w:r>
        <w:t>headspace service</w:t>
      </w:r>
      <w:r w:rsidRPr="001D6913">
        <w:t xml:space="preserve"> staff</w:t>
      </w:r>
      <w:r>
        <w:t xml:space="preserve"> interviewed</w:t>
      </w:r>
      <w:r w:rsidRPr="001D6913">
        <w:t xml:space="preserve"> </w:t>
      </w:r>
      <w:r>
        <w:t>commonly</w:t>
      </w:r>
      <w:r w:rsidRPr="001D6913">
        <w:t xml:space="preserve"> described a “missing middle” of clients who are too complex to be seen under </w:t>
      </w:r>
      <w:r>
        <w:t xml:space="preserve">the </w:t>
      </w:r>
      <w:r w:rsidRPr="001D6913">
        <w:t>headspace</w:t>
      </w:r>
      <w:r>
        <w:t xml:space="preserve"> model</w:t>
      </w:r>
      <w:r w:rsidRPr="001D6913">
        <w:t xml:space="preserve">’s mild to moderate remit, but not unwell enough to be </w:t>
      </w:r>
      <w:r>
        <w:t>transitioned to</w:t>
      </w:r>
      <w:r w:rsidRPr="001D6913">
        <w:t xml:space="preserve"> overwhelmed </w:t>
      </w:r>
      <w:r w:rsidDel="006C5387">
        <w:t>TMHS</w:t>
      </w:r>
      <w:r>
        <w:t xml:space="preserve">s. </w:t>
      </w:r>
    </w:p>
    <w:p w14:paraId="0E0B122C" w14:textId="0FE8A8DF" w:rsidR="00A77D9D" w:rsidRDefault="00A77D9D" w:rsidP="00292B6D">
      <w:pPr>
        <w:pStyle w:val="AppendixHeading3"/>
      </w:pPr>
      <w:r>
        <w:t>The effect of a ‘</w:t>
      </w:r>
      <w:r w:rsidR="002B4BA9">
        <w:t>no wrong door</w:t>
      </w:r>
      <w:r>
        <w:t xml:space="preserve">’ approach </w:t>
      </w:r>
    </w:p>
    <w:p w14:paraId="4F75B774" w14:textId="1AA13CD8" w:rsidR="00EA54D7" w:rsidRDefault="00A77D9D" w:rsidP="00A77D9D">
      <w:pPr>
        <w:pStyle w:val="BodyText"/>
      </w:pPr>
      <w:r>
        <w:t xml:space="preserve">There were also consistent views from </w:t>
      </w:r>
      <w:r w:rsidR="00C00F62">
        <w:t>headspace services</w:t>
      </w:r>
      <w:r>
        <w:t xml:space="preserve"> and lead agencies, PHNs, and other deep dive stakeholders that there is significant demand placed on services by the ‘no wrong door’ approach in the hMIF. While this is largely regarded as essential in order to ensure young people presenting with high risk, distress, need or acuity are not turned away without assistance, </w:t>
      </w:r>
      <w:r w:rsidR="00BA269F">
        <w:t>this</w:t>
      </w:r>
      <w:r>
        <w:t xml:space="preserve"> element of the model is </w:t>
      </w:r>
      <w:r w:rsidR="00BA269F">
        <w:t>challenging</w:t>
      </w:r>
      <w:r>
        <w:t xml:space="preserve"> where tertiary mental health services are unable to meet demand for higher needs young people. </w:t>
      </w:r>
    </w:p>
    <w:p w14:paraId="59C4C9C5" w14:textId="6D5B3FA7" w:rsidR="00A77D9D" w:rsidRDefault="00A77D9D" w:rsidP="00A77D9D">
      <w:pPr>
        <w:pStyle w:val="BodyText"/>
      </w:pPr>
      <w:r>
        <w:t>Commonly in smaller regional and remote areas, where there are limited private practices and TMHSs, local services will redirect a young person back to headspace services to counteract their own wait times. This has resulted in headspace services in these circumstances taking on these young people to ensure they receive some form of support, and needing to provide intensive case management and crisis support services. This has in turn led to workforce attraction and retention challenges, as remuneration and job security with short</w:t>
      </w:r>
      <w:r w:rsidR="007E76A0">
        <w:t>-</w:t>
      </w:r>
      <w:r>
        <w:t>term funding cycles are not commensurate with the level of clinical risk associated with supporting young people with more complex needs.</w:t>
      </w:r>
    </w:p>
    <w:p w14:paraId="6D7D75B6" w14:textId="64018858" w:rsidR="00A77D9D" w:rsidRDefault="00A77D9D" w:rsidP="00A77D9D">
      <w:pPr>
        <w:pStyle w:val="BodyText"/>
      </w:pPr>
      <w:r>
        <w:t xml:space="preserve">Another reported effect of the ‘no wrong door’ approach, coupled with the high visibility and brand recognition of headspace, is that services spend a proportion of time fielding general enquiries from and about the local service sector. As discussed in Section </w:t>
      </w:r>
      <w:r>
        <w:fldChar w:fldCharType="begin" w:fldLock="1"/>
      </w:r>
      <w:r>
        <w:instrText xml:space="preserve"> REF _Ref81305027 \r \h </w:instrText>
      </w:r>
      <w:r>
        <w:fldChar w:fldCharType="separate"/>
      </w:r>
      <w:r w:rsidR="00AE4D34">
        <w:t>3.1.2</w:t>
      </w:r>
      <w:r>
        <w:fldChar w:fldCharType="end"/>
      </w:r>
      <w:r>
        <w:t xml:space="preserve"> above, this contribution of time and expertise to the local community is not accounted for in data collection and reporting, but some services described it as drawing on a large proportion of their time.</w:t>
      </w:r>
    </w:p>
    <w:p w14:paraId="0119BD95" w14:textId="36A7DF4B" w:rsidR="00A77D9D" w:rsidRDefault="00A77D9D" w:rsidP="00A77D9D">
      <w:pPr>
        <w:pStyle w:val="BodyText"/>
      </w:pPr>
      <w:r>
        <w:t>Stakeholders also described that the combined impact of these flow-on effects of the ‘no wrong door’ approach are to increase the waiting times for young people with mild to moderate conditions with lower risk profiles to access services. Wait times have reportedly increased over time for some headspace services</w:t>
      </w:r>
      <w:r w:rsidR="00217E6E">
        <w:t xml:space="preserve"> based on anecdotal comments from headspace service stakeholders</w:t>
      </w:r>
      <w:r>
        <w:t>. However, data capture for wait times has only recently commenced, and longer</w:t>
      </w:r>
      <w:r w:rsidR="00ED7AA4">
        <w:t>-</w:t>
      </w:r>
      <w:r>
        <w:t xml:space="preserve">term trends in wait times are not able to be determined. </w:t>
      </w:r>
    </w:p>
    <w:p w14:paraId="538AB759" w14:textId="77777777" w:rsidR="00A77D9D" w:rsidRPr="005F57C3" w:rsidRDefault="00A77D9D" w:rsidP="00A77D9D">
      <w:pPr>
        <w:pStyle w:val="BodyText"/>
      </w:pPr>
      <w:r>
        <w:t>These examples illustrate</w:t>
      </w:r>
      <w:r w:rsidRPr="001D6913">
        <w:t xml:space="preserve"> the</w:t>
      </w:r>
      <w:r>
        <w:t xml:space="preserve"> potential</w:t>
      </w:r>
      <w:r w:rsidRPr="001D6913">
        <w:t xml:space="preserve"> tensions for </w:t>
      </w:r>
      <w:r>
        <w:t>headspace services</w:t>
      </w:r>
      <w:r w:rsidRPr="001D6913">
        <w:t xml:space="preserve"> between maintaining scope in terms of age and acuity, while also </w:t>
      </w:r>
      <w:r>
        <w:t>providing a ‘no wrong door’ approach and</w:t>
      </w:r>
      <w:r w:rsidRPr="001D6913">
        <w:t xml:space="preserve"> meeting goals and objectives to increase access to required services and a pathway to appropriate care which may not realistically be available. </w:t>
      </w:r>
    </w:p>
    <w:p w14:paraId="0BA8B059" w14:textId="77777777" w:rsidR="00A77D9D" w:rsidRDefault="00A77D9D" w:rsidP="00292B6D">
      <w:pPr>
        <w:pStyle w:val="AppendixHeading3"/>
      </w:pPr>
      <w:r>
        <w:t>Extent to which a ‘no-wrong door’ approach supports headspace program objectives</w:t>
      </w:r>
    </w:p>
    <w:p w14:paraId="6181EB32" w14:textId="01549C72" w:rsidR="00A77D9D" w:rsidRDefault="00A77D9D" w:rsidP="00A77D9D">
      <w:pPr>
        <w:pStyle w:val="BodyText"/>
      </w:pPr>
      <w:r>
        <w:t xml:space="preserve">Young people, as well as headspace service providers and external stakeholders consistently recognised the benefits of the </w:t>
      </w:r>
      <w:r w:rsidR="002D1ADD">
        <w:t>‘</w:t>
      </w:r>
      <w:r w:rsidR="002B4BA9">
        <w:t xml:space="preserve">no wrong </w:t>
      </w:r>
      <w:r w:rsidR="002D1ADD">
        <w:t>door’</w:t>
      </w:r>
      <w:r>
        <w:t xml:space="preserve"> approach and had strong positive regard for it as part of the headspace </w:t>
      </w:r>
      <w:r w:rsidR="001F2443">
        <w:t>model</w:t>
      </w:r>
      <w:r>
        <w:t xml:space="preserve">. The </w:t>
      </w:r>
      <w:r w:rsidR="00214C10">
        <w:t>‘</w:t>
      </w:r>
      <w:r>
        <w:t>no</w:t>
      </w:r>
      <w:r w:rsidR="001A7BE3">
        <w:t xml:space="preserve"> </w:t>
      </w:r>
      <w:r>
        <w:t xml:space="preserve">wrong </w:t>
      </w:r>
      <w:r w:rsidR="006271CC">
        <w:t>door</w:t>
      </w:r>
      <w:r>
        <w:t xml:space="preserve"> approach supports headspace to reach young people and support mental health literacy, early help seeking and access to services. It also supports young people to get help when they need it, regardless of the severity of their mental health problem.</w:t>
      </w:r>
    </w:p>
    <w:p w14:paraId="070D2D3B" w14:textId="5B50D8D6" w:rsidR="00326457" w:rsidRPr="00326457" w:rsidRDefault="00A77D9D" w:rsidP="00F93460">
      <w:pPr>
        <w:pStyle w:val="BodyText"/>
      </w:pPr>
      <w:r>
        <w:t xml:space="preserve">However, the </w:t>
      </w:r>
      <w:r w:rsidR="002D1ADD">
        <w:t>‘</w:t>
      </w:r>
      <w:r w:rsidR="002B4BA9">
        <w:t xml:space="preserve">no wrong </w:t>
      </w:r>
      <w:r w:rsidR="002D1ADD">
        <w:t>door’</w:t>
      </w:r>
      <w:r>
        <w:t xml:space="preserve"> approach, coupled with other challenges in the service system such as referral services with limited or no capacity for new referrals significantly impacts headspace’s core business of supporting young people with mild to moderate</w:t>
      </w:r>
      <w:r w:rsidR="00DC50F7">
        <w:t>,</w:t>
      </w:r>
      <w:r>
        <w:t xml:space="preserve"> </w:t>
      </w:r>
      <w:r w:rsidR="00914941">
        <w:t>high-prevalence mental health conditions</w:t>
      </w:r>
      <w:r>
        <w:t xml:space="preserve"> and other </w:t>
      </w:r>
      <w:r w:rsidRPr="00326457">
        <w:t xml:space="preserve">contributions to communities through outreach and engagement. </w:t>
      </w:r>
    </w:p>
    <w:p w14:paraId="5028C517" w14:textId="6B96FC30" w:rsidR="00A77D9D" w:rsidRPr="00326457" w:rsidRDefault="00B57EC0" w:rsidP="00A33A8D">
      <w:pPr>
        <w:pStyle w:val="BodyText"/>
        <w:keepLines/>
      </w:pPr>
      <w:r w:rsidRPr="00A33A8D">
        <w:t xml:space="preserve">Evidence from young people, headspace service providers and other external stakeholders indicates that the </w:t>
      </w:r>
      <w:r w:rsidR="002D1ADD">
        <w:t>‘</w:t>
      </w:r>
      <w:r w:rsidRPr="00A33A8D">
        <w:t xml:space="preserve">no wrong </w:t>
      </w:r>
      <w:r w:rsidR="002D1ADD">
        <w:t>door’</w:t>
      </w:r>
      <w:r w:rsidRPr="00A33A8D">
        <w:t xml:space="preserve"> approach is an important and valued feature of the model, supporting improved mental health literacy, early help seeking and access to required services. At the same time, however, the level of demand for mental health support, and the volume of young people who use headspace as the entry point into support</w:t>
      </w:r>
      <w:r w:rsidR="00F93460">
        <w:t>,</w:t>
      </w:r>
      <w:r w:rsidRPr="007943AA">
        <w:t xml:space="preserve"> leads to increased wait times for young people, particularly those in the ‘mild to moderate’ group who are the headspace model’s primary target cohort of young people.</w:t>
      </w:r>
    </w:p>
    <w:p w14:paraId="471DDAB9" w14:textId="618505EF" w:rsidR="00A77D9D" w:rsidRDefault="00A77D9D" w:rsidP="00A77D9D">
      <w:pPr>
        <w:pStyle w:val="BodyText"/>
      </w:pPr>
      <w:r>
        <w:t xml:space="preserve">It should be noted that this information is qualitative in nature, and self-reported by stakeholder groups, however there is consistency between stakeholders as to the benefits and impacts of the </w:t>
      </w:r>
      <w:r w:rsidR="002D1ADD">
        <w:t>‘</w:t>
      </w:r>
      <w:r w:rsidR="002B4BA9">
        <w:t xml:space="preserve">no wrong </w:t>
      </w:r>
      <w:r w:rsidR="002D1ADD">
        <w:t>door’</w:t>
      </w:r>
      <w:r>
        <w:t xml:space="preserve"> on headspace achieving its objectives, suggesting the information is reliable. </w:t>
      </w:r>
    </w:p>
    <w:p w14:paraId="03CF7CBE" w14:textId="3CDA4FA7" w:rsidR="00A77D9D" w:rsidRPr="007D10D6" w:rsidRDefault="00A77D9D" w:rsidP="00350B4D">
      <w:pPr>
        <w:pStyle w:val="AppendixHeading2"/>
      </w:pPr>
      <w:bookmarkStart w:id="266" w:name="_Ref98326390"/>
      <w:r w:rsidRPr="00D71CD3">
        <w:t>What is the level of support for headspace from other primary care and mental health service providers?</w:t>
      </w:r>
      <w:bookmarkEnd w:id="266"/>
    </w:p>
    <w:p w14:paraId="49F146E3" w14:textId="77777777" w:rsidR="00A77D9D" w:rsidRPr="00272056" w:rsidRDefault="00A77D9D" w:rsidP="00514C63">
      <w:pPr>
        <w:pStyle w:val="AppendixHeading3"/>
      </w:pPr>
      <w:r>
        <w:t>Evidence of the level of support for headspace from other primary care and mental health service providers</w:t>
      </w:r>
    </w:p>
    <w:p w14:paraId="48393F57" w14:textId="77777777" w:rsidR="00A77D9D" w:rsidRDefault="00A77D9D" w:rsidP="003C6D7F">
      <w:pPr>
        <w:pStyle w:val="Heading4"/>
      </w:pPr>
      <w:r>
        <w:t>Perspectives of young people who use headspace</w:t>
      </w:r>
    </w:p>
    <w:p w14:paraId="573FD461" w14:textId="77777777" w:rsidR="00A77D9D" w:rsidRPr="00987CDB" w:rsidRDefault="00A77D9D" w:rsidP="00A77D9D">
      <w:pPr>
        <w:pStyle w:val="BodyText"/>
      </w:pPr>
      <w:r>
        <w:t>While headspace clients weren’t able to provide much comment on their understanding of the level of support for headspace from other mental health and primary care services, many young people who had accessed headspace indicated they were referred to headspace by other services, including their GP, school counsellor or parents. Referrals to headspace indicates that for some headspace services, there is good support from other service providers. However, as discussed further below, this is not consistent across services.</w:t>
      </w:r>
    </w:p>
    <w:p w14:paraId="46C37D08" w14:textId="77777777" w:rsidR="00A77D9D" w:rsidRDefault="00A77D9D" w:rsidP="003C6D7F">
      <w:pPr>
        <w:pStyle w:val="Heading4"/>
      </w:pPr>
      <w:r>
        <w:t>Perspectives of young people who do not use headspace</w:t>
      </w:r>
    </w:p>
    <w:p w14:paraId="54A0760B" w14:textId="459F8555" w:rsidR="00A77D9D" w:rsidRDefault="00A77D9D" w:rsidP="00A77D9D">
      <w:pPr>
        <w:pStyle w:val="BodyText"/>
      </w:pPr>
      <w:r>
        <w:t xml:space="preserve">As outlined in Section </w:t>
      </w:r>
      <w:r w:rsidR="00D7336F">
        <w:fldChar w:fldCharType="begin" w:fldLock="1"/>
      </w:r>
      <w:r w:rsidR="00D7336F">
        <w:instrText xml:space="preserve"> REF _Ref98326355 \w \h </w:instrText>
      </w:r>
      <w:r w:rsidR="00D7336F">
        <w:fldChar w:fldCharType="separate"/>
      </w:r>
      <w:r w:rsidR="00AE4D34">
        <w:t>D.7</w:t>
      </w:r>
      <w:r w:rsidR="00D7336F">
        <w:fldChar w:fldCharType="end"/>
      </w:r>
      <w:r>
        <w:t xml:space="preserve"> above, young people who completed the young people’s survey were asked about other services they may have accessed to support their mental health. </w:t>
      </w:r>
      <w:r w:rsidR="00B50ACC">
        <w:t>Twelve</w:t>
      </w:r>
      <w:r>
        <w:t xml:space="preserve"> per cent of young people who had not visited a headspace service, but sought help elsewhere reported receiving a referral from the GP to both headspace services, as well as other mental health services. </w:t>
      </w:r>
      <w:r w:rsidR="00C36E01">
        <w:t>Four</w:t>
      </w:r>
      <w:r>
        <w:t xml:space="preserve"> per cent of these young people reported receiving a referral to headspace services only, while 81</w:t>
      </w:r>
      <w:r w:rsidR="00D7336F">
        <w:t> </w:t>
      </w:r>
      <w:r>
        <w:t xml:space="preserve">per cent of young people indicated that their GP had referred them to other services but not a headspace service. </w:t>
      </w:r>
      <w:r w:rsidR="00323B3F">
        <w:fldChar w:fldCharType="begin" w:fldLock="1"/>
      </w:r>
      <w:r w:rsidR="00323B3F">
        <w:instrText xml:space="preserve"> REF _Ref98501806 \h </w:instrText>
      </w:r>
      <w:r w:rsidR="00323B3F">
        <w:fldChar w:fldCharType="separate"/>
      </w:r>
      <w:r w:rsidR="000C245D">
        <w:t xml:space="preserve">Figure </w:t>
      </w:r>
      <w:r w:rsidR="000C245D">
        <w:rPr>
          <w:noProof/>
        </w:rPr>
        <w:t>49</w:t>
      </w:r>
      <w:r w:rsidR="00323B3F">
        <w:fldChar w:fldCharType="end"/>
      </w:r>
      <w:r>
        <w:t xml:space="preserve"> below demonstrates this split between responses. Similar to the experience of headspace clients, the level of support for headspace services from other parts of the service system varies between individual services.</w:t>
      </w:r>
    </w:p>
    <w:p w14:paraId="2ADD718B" w14:textId="602E9F41" w:rsidR="00A77D9D" w:rsidRDefault="00A77D9D" w:rsidP="00A77D9D">
      <w:pPr>
        <w:pStyle w:val="Caption"/>
      </w:pPr>
      <w:bookmarkStart w:id="267" w:name="_Ref98501806"/>
      <w:bookmarkStart w:id="268" w:name="_Toc108109234"/>
      <w:r>
        <w:t xml:space="preserve">Figure </w:t>
      </w:r>
      <w:r>
        <w:fldChar w:fldCharType="begin"/>
      </w:r>
      <w:r>
        <w:instrText>SEQ Figure \* ARABIC</w:instrText>
      </w:r>
      <w:r>
        <w:fldChar w:fldCharType="separate"/>
      </w:r>
      <w:r w:rsidR="00CC0438">
        <w:rPr>
          <w:noProof/>
        </w:rPr>
        <w:t>49</w:t>
      </w:r>
      <w:r>
        <w:fldChar w:fldCharType="end"/>
      </w:r>
      <w:bookmarkEnd w:id="267"/>
      <w:r>
        <w:rPr>
          <w:noProof/>
        </w:rPr>
        <w:t>:</w:t>
      </w:r>
      <w:r>
        <w:t xml:space="preserve"> Young people responses to other services their GP referred them to (young peoples’ survey)</w:t>
      </w:r>
      <w:bookmarkEnd w:id="268"/>
    </w:p>
    <w:p w14:paraId="0C59AA68" w14:textId="14BB229D" w:rsidR="00A77D9D" w:rsidRDefault="00CA3679" w:rsidP="003006A8">
      <w:pPr>
        <w:pStyle w:val="BodyText"/>
      </w:pPr>
      <w:r w:rsidRPr="00CA3679">
        <w:t xml:space="preserve"> </w:t>
      </w:r>
      <w:r>
        <w:rPr>
          <w:noProof/>
        </w:rPr>
        <w:drawing>
          <wp:inline distT="0" distB="0" distL="0" distR="0" wp14:anchorId="0B683C1C" wp14:editId="6AEC622E">
            <wp:extent cx="5038725" cy="3238500"/>
            <wp:effectExtent l="0" t="0" r="9525" b="0"/>
            <wp:docPr id="26" name="Picture 26" descr="Figure 49 is a bar chart demonstrating where young people indicated their GP referred them to when seeking mental health support. Of the 537 young people who indicated they sought help from their GP, 21 young people indicated they were referred to headspace only. 66 young people indicated they were referred to headspace and other services. 434 young people indicated they were referred to other services only. 16 young people did not complete this question, so data for 16 responses if not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49 is a bar chart demonstrating where young people indicated their GP referred them to when seeking mental health support. Of the 537 young people who indicated they sought help from their GP, 21 young people indicated they were referred to headspace only. 66 young people indicated they were referred to headspace and other services. 434 young people indicated they were referred to other services only. 16 young people did not complete this question, so data for 16 responses if not available.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14:paraId="66EB0124" w14:textId="77777777" w:rsidR="00A77D9D" w:rsidRPr="00125BD8" w:rsidRDefault="00A77D9D" w:rsidP="00A77D9D">
      <w:pPr>
        <w:pStyle w:val="Source"/>
      </w:pPr>
      <w:r>
        <w:t>Source: Evaluation survey of young people who have and have not accessed headspace services</w:t>
      </w:r>
    </w:p>
    <w:p w14:paraId="6097A61B" w14:textId="7E1B1D03" w:rsidR="00A77D9D" w:rsidRPr="002814A6" w:rsidRDefault="00A77D9D" w:rsidP="003C6D7F">
      <w:pPr>
        <w:pStyle w:val="Heading4"/>
      </w:pPr>
      <w:r w:rsidRPr="002814A6">
        <w:t xml:space="preserve">Perspectives of </w:t>
      </w:r>
      <w:r w:rsidR="00B82DA8">
        <w:t xml:space="preserve">other </w:t>
      </w:r>
      <w:r w:rsidRPr="002814A6">
        <w:t xml:space="preserve">external stakeholders </w:t>
      </w:r>
      <w:r w:rsidR="00B82DA8">
        <w:t>including school and university counsellors, GPs and PHNs</w:t>
      </w:r>
    </w:p>
    <w:p w14:paraId="1BB7B885" w14:textId="022A28FC" w:rsidR="00A77D9D" w:rsidRPr="000F4F9E" w:rsidRDefault="00A77D9D" w:rsidP="00A77D9D">
      <w:pPr>
        <w:pStyle w:val="BodyText"/>
      </w:pPr>
      <w:r>
        <w:t xml:space="preserve">In consultation with a small sample of GPs, there was good understanding of what headspace services delivered at a high level, and acknowledgement of the work headspace does to support early intervention and young people with mild to moderate conditions. However, this sample of GPs described a range of challenges, specifically in regional areas, that impact on their support for headspace through referrals. </w:t>
      </w:r>
      <w:r w:rsidR="000B08B1">
        <w:t>For example, w</w:t>
      </w:r>
      <w:r>
        <w:t xml:space="preserve">ait times for some headspace services have at times deterred GPs from making referrals to their local service, out of concern for the young person in the intervening period before being able to access recommended treatment options. </w:t>
      </w:r>
    </w:p>
    <w:p w14:paraId="722E7AC3" w14:textId="77777777" w:rsidR="00A77D9D" w:rsidRPr="0024508E" w:rsidRDefault="00A77D9D" w:rsidP="00A77D9D">
      <w:pPr>
        <w:pStyle w:val="BodyText"/>
      </w:pPr>
      <w:r>
        <w:t>While there was good understanding of the broad offerings of the headspace model, GPs also described challenges understanding what specific staff and specialist service areas a headspace service might have, such as AOD workers, occupational therapists, dietitians, or specialist psychological services.</w:t>
      </w:r>
    </w:p>
    <w:p w14:paraId="7C2890BC" w14:textId="01504545" w:rsidR="00A77D9D" w:rsidRPr="007C6B64" w:rsidRDefault="00A77D9D" w:rsidP="00A77D9D">
      <w:pPr>
        <w:pStyle w:val="BodyText"/>
      </w:pPr>
      <w:r>
        <w:t>Challenges were also described with operating a shared care model with headspace services. These GPs described reluctance of headspace services to take a GP’s diagnosis at the time of referrals or intake, and limited opportunity to discuss ongoing progress and any other onwards referrals with GPs to support effective care coordination. These challenges have also at times prevent</w:t>
      </w:r>
      <w:r w:rsidR="00197CE4">
        <w:t>ed</w:t>
      </w:r>
      <w:r>
        <w:t xml:space="preserve"> GPs from supporting headspace services through referrals. </w:t>
      </w:r>
    </w:p>
    <w:p w14:paraId="3B456CEA" w14:textId="77777777" w:rsidR="00A77D9D" w:rsidRPr="007C6B64" w:rsidRDefault="00A77D9D" w:rsidP="00A77D9D">
      <w:pPr>
        <w:pStyle w:val="BodyText"/>
      </w:pPr>
      <w:r>
        <w:t xml:space="preserve">Some PHNs also acknowledged challenges for local headspace services to engage with and receive support from local GPs. </w:t>
      </w:r>
    </w:p>
    <w:p w14:paraId="71702725" w14:textId="23AA632F" w:rsidR="00A77D9D" w:rsidRPr="00775A96" w:rsidRDefault="00A77D9D" w:rsidP="00A77D9D">
      <w:pPr>
        <w:pStyle w:val="BodyText"/>
      </w:pPr>
      <w:r w:rsidRPr="00775A96">
        <w:t>Specific to smaller regional locations, GPs also discussed challenges with compe</w:t>
      </w:r>
      <w:r w:rsidR="00A025CA">
        <w:t>ti</w:t>
      </w:r>
      <w:r w:rsidRPr="00775A96">
        <w:t xml:space="preserve">tion for the same staff. Where there is only one local worker who providers a specific type of support, referrals are often made to that person, regardless of which service they work for. Staff have been lost from headspace services to another local organisation in some instances, and support often shifts with the person. </w:t>
      </w:r>
    </w:p>
    <w:p w14:paraId="769AA3FC" w14:textId="2CFEE302" w:rsidR="00A77D9D" w:rsidRPr="00251C60" w:rsidRDefault="00A77D9D" w:rsidP="00A77D9D">
      <w:pPr>
        <w:pStyle w:val="BodyText"/>
      </w:pPr>
      <w:r>
        <w:t xml:space="preserve">School and university counsellors across the country had a strong understanding of the professional and clinical services provided by their local </w:t>
      </w:r>
      <w:r w:rsidR="0050072E">
        <w:t>service</w:t>
      </w:r>
      <w:r>
        <w:t>, especially mental health and GP services. There was more limited recognition of other services provided, including vocational, alcohol and other drug, occupational therapy services etc.</w:t>
      </w:r>
    </w:p>
    <w:p w14:paraId="2591E9F8" w14:textId="1CABCC41" w:rsidR="00A77D9D" w:rsidRPr="00F27D9B" w:rsidRDefault="00A77D9D" w:rsidP="00A77D9D">
      <w:pPr>
        <w:pStyle w:val="BodyText"/>
      </w:pPr>
      <w:r>
        <w:t>The majority of school and university counsellors consulted nationally indicated a strong level of support for headspace services. School principals and wellbeing coordinators completing the Colmar Brunton also indicated strong support for headspace services, with 92 per cent agreeing that headspace is a vital community service for young people and familie</w:t>
      </w:r>
      <w:r w:rsidRPr="00C176F9">
        <w:t>s</w:t>
      </w:r>
      <w:r w:rsidR="00CC0438">
        <w:rPr>
          <w:rFonts w:ascii="ZWAdobeF" w:hAnsi="ZWAdobeF" w:cs="ZWAdobeF"/>
          <w:sz w:val="2"/>
          <w:szCs w:val="2"/>
        </w:rPr>
        <w:t>198F</w:t>
      </w:r>
      <w:r w:rsidRPr="00C176F9">
        <w:rPr>
          <w:rStyle w:val="FootnoteReference"/>
        </w:rPr>
        <w:footnoteReference w:id="200"/>
      </w:r>
      <w:r w:rsidRPr="00C176F9">
        <w:t>.</w:t>
      </w:r>
      <w:r>
        <w:t xml:space="preserve"> Eighty-four per cent of these respondents also indicated they would recommend headspace if a young person needed support for mental health issues.</w:t>
      </w:r>
    </w:p>
    <w:p w14:paraId="69C98677" w14:textId="47C9A7A1" w:rsidR="00A77D9D" w:rsidRPr="004B77CB" w:rsidRDefault="00A77D9D" w:rsidP="00A77D9D">
      <w:pPr>
        <w:pStyle w:val="BodyText"/>
      </w:pPr>
      <w:r>
        <w:t xml:space="preserve">School and university counsellors in consultations also supported referral to headspace services in most circumstances, however some challenges were reported in supporting headspace. Some counsellors indicated they have stopped referring young people to headspace services due to current wait times at their local service, and they would prefer an alternative service that might see a young person more quickly. A small minority </w:t>
      </w:r>
      <w:r w:rsidR="00D76CC9">
        <w:t>of u</w:t>
      </w:r>
      <w:r>
        <w:t>niversity counsellor also indicated that there was limited benefit referring a young person to headspace services, as they were not able to provide additional services in addition to what their university support team could provide. This varied depending on the resources available at particular institutions and mental health supports offered.</w:t>
      </w:r>
    </w:p>
    <w:p w14:paraId="733865FC" w14:textId="40D6EED5" w:rsidR="00A77D9D" w:rsidRPr="000955A5" w:rsidRDefault="00A77D9D" w:rsidP="00A77D9D">
      <w:pPr>
        <w:pStyle w:val="BodyText"/>
      </w:pPr>
      <w:r>
        <w:t xml:space="preserve">Similar to the experiences of GPs described above, some counsellors also described challenges engaging with headspace services for care coordination. It was common that these counsellors did not receive information regarding what happened with their referral for a young person after it was made, unless the young person returned to the counsellor and </w:t>
      </w:r>
      <w:r w:rsidR="00631DBB">
        <w:t>shared that information directly</w:t>
      </w:r>
      <w:r>
        <w:t xml:space="preserve">. This meant counsellors were unsure what additional support might be required for a young person over and above headspace services received. </w:t>
      </w:r>
    </w:p>
    <w:p w14:paraId="55AD5DD2" w14:textId="7DCFEDDE" w:rsidR="00A77D9D" w:rsidRDefault="00A77D9D" w:rsidP="00A77D9D">
      <w:r>
        <w:t xml:space="preserve">Support for headspace services was also impacted by continuity of relationships. </w:t>
      </w:r>
      <w:r w:rsidRPr="002814A6">
        <w:rPr>
          <w:rStyle w:val="BodyTextChar"/>
        </w:rPr>
        <w:t xml:space="preserve">A small number of counsellors described </w:t>
      </w:r>
      <w:r w:rsidRPr="003C6D7F">
        <w:rPr>
          <w:rStyle w:val="BodyTextChar"/>
        </w:rPr>
        <w:t xml:space="preserve">instances where a headspace service had changed its management, and this impacted the level of engagement they were able to have with the service based on the approach of the manager. </w:t>
      </w:r>
      <w:r w:rsidR="00CC6305" w:rsidRPr="003C6D7F">
        <w:rPr>
          <w:rStyle w:val="BodyTextChar"/>
        </w:rPr>
        <w:t>In turn, t</w:t>
      </w:r>
      <w:r w:rsidRPr="003C6D7F">
        <w:rPr>
          <w:rStyle w:val="BodyTextChar"/>
        </w:rPr>
        <w:t>his impacted perceptions of the quality of the service. Staff turnover in other key roles such as community engagement coordinators also impacted relationships, and where there was a stable staffing group, opportunities for engagement were more common. These views</w:t>
      </w:r>
      <w:r>
        <w:t xml:space="preserve"> were consistent from counsellors across different locations, including metropolitan and regional services.</w:t>
      </w:r>
    </w:p>
    <w:p w14:paraId="76F52311" w14:textId="77777777" w:rsidR="00A77D9D" w:rsidRDefault="00A77D9D" w:rsidP="00514C63">
      <w:pPr>
        <w:pStyle w:val="AppendixHeading3"/>
      </w:pPr>
      <w:r>
        <w:t>Level of support for the headspace program from other primary care and mental health service providers</w:t>
      </w:r>
    </w:p>
    <w:p w14:paraId="354F44F4" w14:textId="77777777" w:rsidR="00A77D9D" w:rsidRDefault="00A77D9D" w:rsidP="00A77D9D">
      <w:pPr>
        <w:pStyle w:val="BodyText"/>
      </w:pPr>
      <w:r>
        <w:t xml:space="preserve">Stakeholder groups have significant positive regard for headspace services, including school representatives, consortia members and other community partners, with all of these groups indicating that it is a vital community service for young people. </w:t>
      </w:r>
    </w:p>
    <w:p w14:paraId="3D150F32" w14:textId="77777777" w:rsidR="00A77D9D" w:rsidRDefault="00A77D9D" w:rsidP="00A77D9D">
      <w:pPr>
        <w:pStyle w:val="BodyText"/>
      </w:pPr>
      <w:r>
        <w:t>However, qualitative evidence demonstrates that there are a range of factors that impact on the level of support these primary care and mental health providers have for headspace, and in particular their likelihood to make referrals to headspace services. These factors include concern about current wait times within headspace services, challenges engaging in coordinated care with headspace services, and in building relationships with headspace services when there is staff turnover.</w:t>
      </w:r>
    </w:p>
    <w:p w14:paraId="2792E8C1" w14:textId="77777777" w:rsidR="00804E3A" w:rsidRPr="00804E3A" w:rsidRDefault="00A77D9D" w:rsidP="00804E3A">
      <w:pPr>
        <w:pStyle w:val="BodyText"/>
      </w:pPr>
      <w:r>
        <w:t>While evidence in this area was largely qualitative, there was consistency in both the level of support for headspace as a vital community service, and challenges described in supporting headspace services through referrals.</w:t>
      </w:r>
    </w:p>
    <w:p w14:paraId="6C755C83" w14:textId="1EC7BD10" w:rsidR="001F39F4" w:rsidRDefault="001F39F4" w:rsidP="00A77D9D">
      <w:pPr>
        <w:pStyle w:val="BodyText"/>
      </w:pPr>
      <w:r w:rsidRPr="00A33A8D">
        <w:t>The headspace model benefits from generally high levels of support from other primary care and mental health providers, although operational pressures affect individuals’ referring decisions and, at times, create frustrations.</w:t>
      </w:r>
    </w:p>
    <w:p w14:paraId="00D47F3B" w14:textId="479B80A7" w:rsidR="008E5CA0" w:rsidRDefault="008E5CA0" w:rsidP="00350B4D">
      <w:pPr>
        <w:pStyle w:val="AppendixHeading2"/>
      </w:pPr>
      <w:bookmarkStart w:id="269" w:name="_Ref98326399"/>
      <w:r>
        <w:t xml:space="preserve">Providing an appropriate service approach for young people with mild to moderate, </w:t>
      </w:r>
      <w:bookmarkEnd w:id="269"/>
      <w:r w:rsidR="00914941">
        <w:t>high-prevalence mental health conditions</w:t>
      </w:r>
    </w:p>
    <w:p w14:paraId="7321AE35" w14:textId="5C27F983" w:rsidR="008E5CA0" w:rsidRDefault="008E5CA0" w:rsidP="00514C63">
      <w:pPr>
        <w:pStyle w:val="AppendixHeading3"/>
      </w:pPr>
      <w:r>
        <w:t xml:space="preserve">Mild to moderate, </w:t>
      </w:r>
      <w:r w:rsidR="00914941">
        <w:t>high-prevalence mental health conditions</w:t>
      </w:r>
      <w:r>
        <w:t xml:space="preserve"> and the headspace model</w:t>
      </w:r>
    </w:p>
    <w:p w14:paraId="6E2514CC" w14:textId="05C7A37F" w:rsidR="008E5CA0" w:rsidRPr="00066FD8" w:rsidRDefault="008E5CA0" w:rsidP="008E5CA0">
      <w:pPr>
        <w:pStyle w:val="BodyText"/>
        <w:rPr>
          <w:rFonts w:ascii="Calibri" w:hAnsi="Calibri"/>
          <w:sz w:val="22"/>
          <w:lang w:eastAsia="en-AU"/>
        </w:rPr>
      </w:pPr>
      <w:bookmarkStart w:id="270" w:name="_Hlk98191856"/>
      <w:r w:rsidRPr="00FC3FA9">
        <w:rPr>
          <w:lang w:eastAsia="en-AU"/>
        </w:rPr>
        <w:t>In the headspace model, a</w:t>
      </w:r>
      <w:r w:rsidRPr="00066FD8">
        <w:rPr>
          <w:lang w:eastAsia="en-AU"/>
        </w:rPr>
        <w:t xml:space="preserve">ppropriate care </w:t>
      </w:r>
      <w:r>
        <w:rPr>
          <w:lang w:eastAsia="en-AU"/>
        </w:rPr>
        <w:t>is defined as “</w:t>
      </w:r>
      <w:r w:rsidRPr="00066FD8">
        <w:rPr>
          <w:lang w:eastAsia="en-AU"/>
        </w:rPr>
        <w:t xml:space="preserve">the provision of evidence-based interventions for each individual young person by matching the type, intensity, frequency, duration, location and mode of treatment to their presenting need. This includes identification and consideration of factors such as: risk and protective factors, stage of illness, </w:t>
      </w:r>
      <w:r w:rsidR="004C50C0">
        <w:rPr>
          <w:lang w:eastAsia="en-AU"/>
        </w:rPr>
        <w:t>psychosocial</w:t>
      </w:r>
      <w:r w:rsidRPr="00066FD8">
        <w:rPr>
          <w:lang w:eastAsia="en-AU"/>
        </w:rPr>
        <w:t xml:space="preserve"> complexity, and developmental and sociocultural factors</w:t>
      </w:r>
      <w:r>
        <w:rPr>
          <w:lang w:eastAsia="en-AU"/>
        </w:rPr>
        <w:t>”</w:t>
      </w:r>
      <w:r w:rsidR="00CC0438">
        <w:rPr>
          <w:rFonts w:ascii="ZWAdobeF" w:hAnsi="ZWAdobeF" w:cs="ZWAdobeF"/>
          <w:sz w:val="2"/>
          <w:szCs w:val="2"/>
          <w:lang w:eastAsia="en-AU"/>
        </w:rPr>
        <w:t>199F</w:t>
      </w:r>
      <w:r w:rsidR="00701176">
        <w:rPr>
          <w:rStyle w:val="FootnoteReference"/>
          <w:lang w:eastAsia="en-AU"/>
        </w:rPr>
        <w:footnoteReference w:id="201"/>
      </w:r>
      <w:r w:rsidR="00E87225">
        <w:rPr>
          <w:lang w:eastAsia="en-AU"/>
        </w:rPr>
        <w:t>.</w:t>
      </w:r>
    </w:p>
    <w:p w14:paraId="1F9BD0EB" w14:textId="049BF9A6" w:rsidR="008E5CA0" w:rsidRDefault="008E5CA0" w:rsidP="008E5CA0">
      <w:pPr>
        <w:pStyle w:val="BodyText"/>
      </w:pPr>
      <w:r>
        <w:t xml:space="preserve">Many elements of the current headspace model are closely aligned to the needs of young people with mild to moderate, </w:t>
      </w:r>
      <w:r w:rsidR="00914941">
        <w:t>high-prevalence mental health conditions</w:t>
      </w:r>
      <w:r>
        <w:t xml:space="preserve">. For headspace users, mild to moderate psychological distress is defined as a value of between 20 to 29 out of 50 on the K10 questionnaire. </w:t>
      </w:r>
    </w:p>
    <w:p w14:paraId="37AA961F" w14:textId="296366B1" w:rsidR="008E5CA0" w:rsidRPr="00056E0B" w:rsidRDefault="008E5CA0" w:rsidP="008E5CA0">
      <w:pPr>
        <w:pStyle w:val="Heading4"/>
      </w:pPr>
      <w:r>
        <w:t xml:space="preserve">Evidence of how the headspace model provides an appropriate service approach for young people with mild to moderate, </w:t>
      </w:r>
      <w:r w:rsidR="00914941">
        <w:t>high-prevalence mental health conditions</w:t>
      </w:r>
    </w:p>
    <w:p w14:paraId="59CE290D" w14:textId="3612FC3E" w:rsidR="00C84F67" w:rsidRDefault="00914941" w:rsidP="008E5CA0">
      <w:pPr>
        <w:pStyle w:val="BodyText"/>
      </w:pPr>
      <w:r>
        <w:t>High-prevalence mental health conditions</w:t>
      </w:r>
      <w:r w:rsidR="008E5CA0">
        <w:t>, such as depression and anxiety, are widely considered to be able to be effectively treated and to respond well to early intervention</w:t>
      </w:r>
      <w:r w:rsidR="00CC0438">
        <w:rPr>
          <w:rFonts w:ascii="ZWAdobeF" w:hAnsi="ZWAdobeF" w:cs="ZWAdobeF"/>
          <w:sz w:val="2"/>
          <w:szCs w:val="2"/>
        </w:rPr>
        <w:t>200F</w:t>
      </w:r>
      <w:r w:rsidR="002D378C">
        <w:rPr>
          <w:rStyle w:val="FootnoteReference"/>
        </w:rPr>
        <w:footnoteReference w:id="202"/>
      </w:r>
      <w:r w:rsidR="00375BE6">
        <w:rPr>
          <w:rFonts w:ascii="Cambria" w:hAnsi="Cambria" w:cs="ZWAdobeF"/>
          <w:sz w:val="2"/>
          <w:szCs w:val="2"/>
        </w:rPr>
        <w:t xml:space="preserve">. </w:t>
      </w:r>
      <w:r w:rsidR="00375BE6">
        <w:t>.</w:t>
      </w:r>
      <w:r w:rsidR="008E5CA0">
        <w:t xml:space="preserve"> The design of </w:t>
      </w:r>
      <w:r w:rsidR="0020633D">
        <w:t xml:space="preserve">the </w:t>
      </w:r>
      <w:r w:rsidR="008E5CA0">
        <w:t>headspace</w:t>
      </w:r>
      <w:r w:rsidR="0020633D">
        <w:t xml:space="preserve"> model</w:t>
      </w:r>
      <w:r w:rsidR="008E5CA0">
        <w:t xml:space="preserve"> has prioritised supporting young people in this category</w:t>
      </w:r>
      <w:r w:rsidR="00873E90">
        <w:t xml:space="preserve">. It </w:t>
      </w:r>
      <w:r w:rsidR="001C4664">
        <w:t xml:space="preserve">includes </w:t>
      </w:r>
      <w:r w:rsidR="008E5CA0">
        <w:t xml:space="preserve">a </w:t>
      </w:r>
      <w:r w:rsidR="004C50C0">
        <w:t>psychosocial</w:t>
      </w:r>
      <w:r w:rsidR="008E5CA0">
        <w:t xml:space="preserve"> model of supports provided by peers</w:t>
      </w:r>
      <w:r w:rsidR="001F5ED9">
        <w:t>, and in practice, many staff working in headspace are</w:t>
      </w:r>
      <w:r w:rsidR="008E5CA0">
        <w:t xml:space="preserve"> early career clinicians with whom the young person is likely able to identify and build rapport</w:t>
      </w:r>
      <w:r w:rsidR="00CC0438">
        <w:rPr>
          <w:rFonts w:ascii="ZWAdobeF" w:hAnsi="ZWAdobeF" w:cs="ZWAdobeF"/>
          <w:sz w:val="2"/>
          <w:szCs w:val="2"/>
        </w:rPr>
        <w:t>201F</w:t>
      </w:r>
      <w:r w:rsidR="002D378C">
        <w:rPr>
          <w:rStyle w:val="FootnoteReference"/>
        </w:rPr>
        <w:footnoteReference w:id="203"/>
      </w:r>
      <w:r w:rsidR="00375BE6">
        <w:t>.</w:t>
      </w:r>
      <w:r w:rsidR="002D378C">
        <w:t xml:space="preserve"> </w:t>
      </w:r>
      <w:r w:rsidR="00A85BCA">
        <w:t>headspace providers described how t</w:t>
      </w:r>
      <w:r w:rsidR="000F277A">
        <w:t xml:space="preserve">he staffing profile is </w:t>
      </w:r>
      <w:r w:rsidR="008401E6">
        <w:t xml:space="preserve">driven by a combination of the funding envelope available, which </w:t>
      </w:r>
      <w:r w:rsidR="00473BB4">
        <w:t xml:space="preserve">is competitive for early career </w:t>
      </w:r>
      <w:r w:rsidR="00CB6F7F">
        <w:t xml:space="preserve">psychologists, and by the </w:t>
      </w:r>
      <w:r w:rsidR="001D4B82">
        <w:t>brand of the model, which appeals to young</w:t>
      </w:r>
      <w:r w:rsidR="00083A97">
        <w:t xml:space="preserve">er staff with </w:t>
      </w:r>
      <w:r w:rsidR="00C84F67">
        <w:t xml:space="preserve">an interest in working with young people. </w:t>
      </w:r>
    </w:p>
    <w:p w14:paraId="264DF96E" w14:textId="66A9842F" w:rsidR="008E5CA0" w:rsidRPr="004C17F9" w:rsidRDefault="00B53109" w:rsidP="008E5CA0">
      <w:pPr>
        <w:pStyle w:val="BodyText"/>
      </w:pPr>
      <w:r>
        <w:t>Stakeholders also argued that t</w:t>
      </w:r>
      <w:r w:rsidR="008E5CA0">
        <w:t>he model also supports mild to moderate conditions, with a focus on early intervention and prevention of mental ill-health for young people, including improved mental health literacy, and integration for other factors impacting on mental health such as physical health, alcohol and drug use and employment and education.</w:t>
      </w:r>
    </w:p>
    <w:p w14:paraId="1866C675" w14:textId="7062C050" w:rsidR="008E5CA0" w:rsidRPr="004D5F5B" w:rsidRDefault="008E5CA0" w:rsidP="008E5CA0">
      <w:pPr>
        <w:pStyle w:val="BodyText"/>
      </w:pPr>
      <w:r>
        <w:t>Representatives across a range of stakeholder groups consistently confirmed the view that the model is well designed for this cohort of young people, with the provision of support groups, skills training and peer workers particularly recognised as powerful in the potential to help young people to tap into protective factors and support their wellbeing. Youth representation in the design and delivery of services was also called out as key to the appropriateness of the model for this cohort.</w:t>
      </w:r>
    </w:p>
    <w:p w14:paraId="39D833A5" w14:textId="1163A1AE" w:rsidR="008E5CA0" w:rsidRDefault="008E5CA0" w:rsidP="008E5CA0">
      <w:pPr>
        <w:pStyle w:val="BodyText"/>
      </w:pPr>
      <w:r>
        <w:t>The Colmar Brunton survey conducted for headspace National</w:t>
      </w:r>
      <w:r w:rsidR="00CC0438">
        <w:rPr>
          <w:rFonts w:ascii="ZWAdobeF" w:hAnsi="ZWAdobeF" w:cs="ZWAdobeF"/>
          <w:sz w:val="2"/>
          <w:szCs w:val="2"/>
        </w:rPr>
        <w:t>202F</w:t>
      </w:r>
      <w:r w:rsidR="00FF14B8">
        <w:rPr>
          <w:rStyle w:val="FootnoteReference"/>
        </w:rPr>
        <w:footnoteReference w:id="204"/>
      </w:r>
      <w:r>
        <w:t xml:space="preserve">, while not explicitly exploring the appropriateness of the model for its target cohort, </w:t>
      </w:r>
      <w:r w:rsidR="00FF14B8">
        <w:t>found a number of</w:t>
      </w:r>
      <w:r>
        <w:t xml:space="preserve"> responses that supported this. Lead agencies were asked what the impact of a community having no headspace service would be. There were a number of responses which indicated the focus on early intervention for young people means pressure is taken off tertiary services, and reaching young people early is a strength of the model.</w:t>
      </w:r>
    </w:p>
    <w:p w14:paraId="3642232C" w14:textId="451D7997" w:rsidR="008E5CA0" w:rsidRPr="008B1970" w:rsidRDefault="008E5CA0" w:rsidP="008E5CA0">
      <w:pPr>
        <w:pStyle w:val="Quote"/>
      </w:pPr>
      <w:r>
        <w:t>“I believe that early intervention approaches to mental health are critical –and this is very much the strength of the headspace platform. If the remit of headspace as an early intervention program were diluted, it’s almost certain there would be a drift to provision of acute care and supports for more complex needs at the expense of early intervention. Early intervention works! The immediate outcomes might not be as easy to report, but the long</w:t>
      </w:r>
      <w:r w:rsidR="001A7BE3">
        <w:t>-</w:t>
      </w:r>
      <w:r>
        <w:t xml:space="preserve">term benefits are clear!” </w:t>
      </w:r>
    </w:p>
    <w:p w14:paraId="224C2DD9" w14:textId="77777777" w:rsidR="008E5CA0" w:rsidRPr="00741B8B" w:rsidRDefault="008E5CA0" w:rsidP="003006A8">
      <w:pPr>
        <w:pStyle w:val="BodyText"/>
      </w:pPr>
      <w:r>
        <w:t>The same survey also saw significant positive regard for the headspace model from young people themselves:</w:t>
      </w:r>
    </w:p>
    <w:p w14:paraId="5F878FA8" w14:textId="55838B69" w:rsidR="008E5CA0" w:rsidRDefault="008E5CA0" w:rsidP="008E5CA0">
      <w:pPr>
        <w:pStyle w:val="Bullet1stlevel"/>
      </w:pPr>
      <w:r>
        <w:t>80 per cent of young people agreed they have a better understanding of the mental health issues</w:t>
      </w:r>
      <w:r w:rsidR="00F000CA">
        <w:t>;</w:t>
      </w:r>
    </w:p>
    <w:p w14:paraId="6E9F1837" w14:textId="32881A14" w:rsidR="008E5CA0" w:rsidRPr="00115A7F" w:rsidRDefault="008E5CA0" w:rsidP="008E5CA0">
      <w:pPr>
        <w:pStyle w:val="Bullet1stlevel"/>
      </w:pPr>
      <w:r>
        <w:t>79 per cent agreed they were better able to manage their general health and wellbeing</w:t>
      </w:r>
      <w:r w:rsidR="00F000CA">
        <w:t>;</w:t>
      </w:r>
    </w:p>
    <w:p w14:paraId="6870DD4E" w14:textId="0F3237F1" w:rsidR="008E5CA0" w:rsidRPr="00D0020C" w:rsidRDefault="008E5CA0" w:rsidP="008E5CA0">
      <w:pPr>
        <w:pStyle w:val="Bullet1stlevel"/>
      </w:pPr>
      <w:r>
        <w:t>78 per cent agreed headspace reduced the impact of mental health issues on their day-to-day life</w:t>
      </w:r>
      <w:r w:rsidR="00F000CA">
        <w:t>; and</w:t>
      </w:r>
    </w:p>
    <w:p w14:paraId="4CE6E5C2" w14:textId="77777777" w:rsidR="008E5CA0" w:rsidRDefault="008E5CA0" w:rsidP="008E5CA0">
      <w:pPr>
        <w:pStyle w:val="Bullet1stlevel"/>
      </w:pPr>
      <w:r>
        <w:t>70 per cent agreed headspace supported them to stay at work or school.</w:t>
      </w:r>
    </w:p>
    <w:p w14:paraId="510916F2" w14:textId="64D948DC" w:rsidR="008E5CA0" w:rsidRDefault="008E5CA0" w:rsidP="008E5CA0">
      <w:pPr>
        <w:pStyle w:val="Heading4"/>
        <w:numPr>
          <w:ilvl w:val="0"/>
          <w:numId w:val="0"/>
        </w:numPr>
      </w:pPr>
      <w:r>
        <w:t xml:space="preserve">Extent to which headspace provides an appropriate approach for young people with mild to moderate, </w:t>
      </w:r>
      <w:r w:rsidR="00914941">
        <w:t>high-prevalence mental health conditions</w:t>
      </w:r>
    </w:p>
    <w:p w14:paraId="64C22917" w14:textId="0D3EE746" w:rsidR="00CA0AE2" w:rsidRPr="00CA0AE2" w:rsidRDefault="008E5CA0" w:rsidP="00CA0AE2">
      <w:pPr>
        <w:pStyle w:val="BodyText"/>
      </w:pPr>
      <w:r w:rsidRPr="006E6247">
        <w:t xml:space="preserve">There is significant research as to the appropriateness of early intervention models for </w:t>
      </w:r>
      <w:r w:rsidR="00914941">
        <w:t>high-prevalence mental health conditions</w:t>
      </w:r>
      <w:r w:rsidRPr="006E6247">
        <w:t xml:space="preserve"> such as anxiety and depression.</w:t>
      </w:r>
      <w:r>
        <w:t xml:space="preserve"> There was also consistent feedback from across stakeholder groups that the model is targeted at this cohort, and particular elements of the headspace model such as peer workers, group work, focus on skills and training, and young people’s involvement in designing the service assist with the appropriateness of the service.</w:t>
      </w:r>
    </w:p>
    <w:p w14:paraId="06229389" w14:textId="413B2FE9" w:rsidR="00D7277C" w:rsidRPr="002A7B16" w:rsidRDefault="00D7277C" w:rsidP="008E5CA0">
      <w:pPr>
        <w:pStyle w:val="BodyText"/>
      </w:pPr>
      <w:r w:rsidRPr="00A33A8D">
        <w:t xml:space="preserve">Evidence suggests that the headspace model provides a highly appropriate mental health service approach for young people with mild to moderate, </w:t>
      </w:r>
      <w:r w:rsidR="00914941">
        <w:t>high-prevalence mental health conditions</w:t>
      </w:r>
      <w:r w:rsidRPr="00A33A8D">
        <w:t>.</w:t>
      </w:r>
    </w:p>
    <w:p w14:paraId="2AC95277" w14:textId="6B899E8E" w:rsidR="008E5CA0" w:rsidRDefault="00F02DD0" w:rsidP="00350B4D">
      <w:pPr>
        <w:pStyle w:val="AppendixHeading2"/>
      </w:pPr>
      <w:bookmarkStart w:id="271" w:name="_Ref98326416"/>
      <w:bookmarkStart w:id="272" w:name="_Hlk98191318"/>
      <w:bookmarkEnd w:id="270"/>
      <w:r>
        <w:t>Providing</w:t>
      </w:r>
      <w:r w:rsidR="008E5CA0" w:rsidRPr="00997B90">
        <w:t xml:space="preserve"> a culturally appropriate and inclusive service for young people and their friends and families, including for vulnerable and diverse population groups and different age groups</w:t>
      </w:r>
      <w:bookmarkEnd w:id="271"/>
      <w:r w:rsidR="008E5CA0" w:rsidRPr="00540E05">
        <w:t xml:space="preserve"> </w:t>
      </w:r>
    </w:p>
    <w:bookmarkEnd w:id="272"/>
    <w:p w14:paraId="086D5DF3" w14:textId="77777777" w:rsidR="008E5CA0" w:rsidRDefault="008E5CA0" w:rsidP="00514C63">
      <w:pPr>
        <w:pStyle w:val="AppendixHeading3"/>
      </w:pPr>
      <w:r>
        <w:t>Culturally appropriate and inclusive service</w:t>
      </w:r>
    </w:p>
    <w:p w14:paraId="518AFD6C" w14:textId="3DF69C50" w:rsidR="000F66CF" w:rsidRDefault="000F66CF" w:rsidP="000F66CF">
      <w:pPr>
        <w:pStyle w:val="Caption"/>
      </w:pPr>
      <w:bookmarkStart w:id="273" w:name="_Toc108109005"/>
      <w:r>
        <w:t xml:space="preserve">Table </w:t>
      </w:r>
      <w:fldSimple w:instr=" SEQ Table \* ARABIC ">
        <w:r w:rsidR="00CC0438">
          <w:rPr>
            <w:noProof/>
          </w:rPr>
          <w:t>55</w:t>
        </w:r>
      </w:fldSimple>
      <w:r>
        <w:t xml:space="preserve"> </w:t>
      </w:r>
      <w:r w:rsidRPr="00DA3E29">
        <w:t>Overview of objectives of headspace for culturally appropriate and inclusive services</w:t>
      </w:r>
      <w:bookmarkEnd w:id="273"/>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objectives of headspace for culturally appropriate and inclusive services"/>
        <w:tblDescription w:val="Table has 3 columns and summarises the objectives of headspace services with respect to culturally appropriate and inclusive services. Column 1 outlines the objective. Column 2 summarises the short-term impacts expected. Column 3 summarises the medium-term impacts expected."/>
      </w:tblPr>
      <w:tblGrid>
        <w:gridCol w:w="2127"/>
        <w:gridCol w:w="3543"/>
        <w:gridCol w:w="3543"/>
      </w:tblGrid>
      <w:tr w:rsidR="008E5CA0" w:rsidRPr="001D6913" w14:paraId="0939D8D2" w14:textId="77777777" w:rsidTr="004E0DFF">
        <w:trPr>
          <w:tblHeader/>
        </w:trPr>
        <w:tc>
          <w:tcPr>
            <w:tcW w:w="1154" w:type="pct"/>
            <w:tcBorders>
              <w:bottom w:val="single" w:sz="4" w:space="0" w:color="00338D"/>
            </w:tcBorders>
            <w:shd w:val="clear" w:color="auto" w:fill="00338D"/>
          </w:tcPr>
          <w:p w14:paraId="66B9E806" w14:textId="77777777" w:rsidR="008E5CA0" w:rsidRPr="001D6913" w:rsidRDefault="008E5CA0" w:rsidP="004E0DFF">
            <w:pPr>
              <w:pStyle w:val="Tableheading"/>
            </w:pPr>
            <w:r w:rsidRPr="001D6913">
              <w:t>Objective</w:t>
            </w:r>
          </w:p>
        </w:tc>
        <w:tc>
          <w:tcPr>
            <w:tcW w:w="1923" w:type="pct"/>
            <w:tcBorders>
              <w:bottom w:val="single" w:sz="4" w:space="0" w:color="00338D"/>
            </w:tcBorders>
            <w:shd w:val="clear" w:color="auto" w:fill="00338D"/>
          </w:tcPr>
          <w:p w14:paraId="05072997" w14:textId="77777777" w:rsidR="008E5CA0" w:rsidRPr="001D6913" w:rsidRDefault="008E5CA0" w:rsidP="004E0DFF">
            <w:pPr>
              <w:pStyle w:val="Tableheading"/>
            </w:pPr>
            <w:r w:rsidRPr="001D6913">
              <w:t>Short term impacts</w:t>
            </w:r>
          </w:p>
        </w:tc>
        <w:tc>
          <w:tcPr>
            <w:tcW w:w="1923" w:type="pct"/>
            <w:tcBorders>
              <w:bottom w:val="single" w:sz="4" w:space="0" w:color="00338D"/>
            </w:tcBorders>
            <w:shd w:val="clear" w:color="auto" w:fill="00338D"/>
          </w:tcPr>
          <w:p w14:paraId="7ED33F8C" w14:textId="77777777" w:rsidR="008E5CA0" w:rsidRPr="001D6913" w:rsidRDefault="008E5CA0" w:rsidP="004E0DFF">
            <w:pPr>
              <w:pStyle w:val="Tableheading"/>
            </w:pPr>
            <w:r w:rsidRPr="001D6913">
              <w:t>Medium term impacts</w:t>
            </w:r>
          </w:p>
        </w:tc>
      </w:tr>
      <w:tr w:rsidR="008E5CA0" w:rsidRPr="001D6913" w14:paraId="424C2D74" w14:textId="77777777" w:rsidTr="004E0DFF">
        <w:tc>
          <w:tcPr>
            <w:tcW w:w="1154" w:type="pct"/>
            <w:tcBorders>
              <w:top w:val="single" w:sz="2" w:space="0" w:color="808080" w:themeColor="background1" w:themeShade="80"/>
              <w:bottom w:val="single" w:sz="2" w:space="0" w:color="808080" w:themeColor="background1" w:themeShade="80"/>
            </w:tcBorders>
          </w:tcPr>
          <w:p w14:paraId="0B3FA69E" w14:textId="77777777" w:rsidR="008E5CA0" w:rsidRPr="001D6913" w:rsidRDefault="008E5CA0" w:rsidP="004E0DFF">
            <w:pPr>
              <w:pStyle w:val="Tabletext"/>
            </w:pPr>
            <w:r w:rsidRPr="00A33A8D">
              <w:t>Ensuring young people can access the help they need in an appropriate, accessible and youth friendly way</w:t>
            </w:r>
            <w:r>
              <w:t xml:space="preserve"> - providing an accessible, welcome, inclusive and non</w:t>
            </w:r>
            <w:r>
              <w:noBreakHyphen/>
              <w:t>stigmatising service</w:t>
            </w:r>
          </w:p>
        </w:tc>
        <w:tc>
          <w:tcPr>
            <w:tcW w:w="1923" w:type="pct"/>
            <w:tcBorders>
              <w:top w:val="single" w:sz="2" w:space="0" w:color="808080" w:themeColor="background1" w:themeShade="80"/>
              <w:bottom w:val="single" w:sz="2" w:space="0" w:color="808080" w:themeColor="background1" w:themeShade="80"/>
            </w:tcBorders>
          </w:tcPr>
          <w:p w14:paraId="23E7A2F6" w14:textId="77777777" w:rsidR="008E5CA0" w:rsidRPr="001D6913" w:rsidRDefault="008E5CA0" w:rsidP="00023F08">
            <w:pPr>
              <w:pStyle w:val="TableBullet1"/>
              <w:spacing w:before="80" w:after="80"/>
              <w:ind w:left="714" w:hanging="357"/>
            </w:pPr>
            <w:r w:rsidRPr="001D6913">
              <w:t>Young people from a diverse range of backgrounds access and engage with headspace services</w:t>
            </w:r>
          </w:p>
          <w:p w14:paraId="08638D9D" w14:textId="77777777" w:rsidR="008E5CA0" w:rsidRPr="001D6913" w:rsidRDefault="008E5CA0" w:rsidP="00023F08">
            <w:pPr>
              <w:pStyle w:val="TableBullet1"/>
              <w:spacing w:before="80" w:after="80"/>
              <w:ind w:left="714" w:hanging="357"/>
            </w:pPr>
            <w:r w:rsidRPr="001D6913">
              <w:t>Young people and families feel their needs and interests are understood and reflected in their local headspace service (participation outcomes)</w:t>
            </w:r>
          </w:p>
          <w:p w14:paraId="6E3C7622" w14:textId="7DB8ADBA" w:rsidR="008E5CA0" w:rsidRDefault="008E5CA0" w:rsidP="00023F08">
            <w:pPr>
              <w:pStyle w:val="TableBullet1"/>
              <w:spacing w:before="80" w:after="80"/>
              <w:ind w:left="714" w:hanging="357"/>
            </w:pPr>
            <w:r w:rsidRPr="001D6913">
              <w:t xml:space="preserve">headspace services meet the expectations of their friends and family and </w:t>
            </w:r>
            <w:r w:rsidR="001F058F">
              <w:t>Y</w:t>
            </w:r>
            <w:r w:rsidRPr="001D6913">
              <w:t xml:space="preserve">outh </w:t>
            </w:r>
            <w:r w:rsidR="001F058F">
              <w:t>R</w:t>
            </w:r>
            <w:r w:rsidRPr="001D6913">
              <w:t xml:space="preserve">eference </w:t>
            </w:r>
            <w:r w:rsidR="001F058F">
              <w:t>G</w:t>
            </w:r>
            <w:r w:rsidRPr="001D6913">
              <w:t>roup.</w:t>
            </w:r>
          </w:p>
          <w:p w14:paraId="55F06FFA" w14:textId="65786D66" w:rsidR="008E5CA0" w:rsidRPr="001D6913" w:rsidRDefault="008E5CA0" w:rsidP="00023F08">
            <w:pPr>
              <w:pStyle w:val="TableBullet1"/>
              <w:spacing w:before="80" w:after="80"/>
              <w:ind w:left="714" w:hanging="357"/>
            </w:pPr>
            <w:r>
              <w:t>Young people and families report that headspace services are accessible, welcoming, inclusive</w:t>
            </w:r>
            <w:r w:rsidR="00023F08">
              <w:t xml:space="preserve"> </w:t>
            </w:r>
            <w:r>
              <w:t>and non-stigmatising</w:t>
            </w:r>
          </w:p>
        </w:tc>
        <w:tc>
          <w:tcPr>
            <w:tcW w:w="1923" w:type="pct"/>
            <w:tcBorders>
              <w:top w:val="single" w:sz="2" w:space="0" w:color="808080" w:themeColor="background1" w:themeShade="80"/>
              <w:bottom w:val="single" w:sz="2" w:space="0" w:color="808080" w:themeColor="background1" w:themeShade="80"/>
            </w:tcBorders>
          </w:tcPr>
          <w:p w14:paraId="0404AC21" w14:textId="77777777" w:rsidR="008E5CA0" w:rsidRPr="001D6913" w:rsidRDefault="008E5CA0" w:rsidP="00023F08">
            <w:pPr>
              <w:pStyle w:val="TableBullet1"/>
              <w:spacing w:before="80"/>
              <w:ind w:left="714" w:hanging="357"/>
            </w:pPr>
            <w:r w:rsidRPr="001D6913">
              <w:t>Local service system provides more youth-friendly, accessible and inclusive services as a result of learning through partnerships, shared professional development etc</w:t>
            </w:r>
          </w:p>
        </w:tc>
      </w:tr>
    </w:tbl>
    <w:p w14:paraId="7F788F35" w14:textId="77777777" w:rsidR="008E5CA0" w:rsidRDefault="008E5CA0" w:rsidP="008E5CA0">
      <w:pPr>
        <w:pStyle w:val="BodyText"/>
      </w:pPr>
      <w:bookmarkStart w:id="274" w:name="_Hlk98191977"/>
      <w:r>
        <w:t>The headspace model includes a focus on the experience of service for young people and their families from a diverse range of backgrounds through providing an accessible, welcome, inclusive and non</w:t>
      </w:r>
      <w:r>
        <w:noBreakHyphen/>
        <w:t>stigmatising service. For young people from diverse population groups, this includes providing translated information, guidance materials and posters and flags</w:t>
      </w:r>
      <w:r w:rsidRPr="00833E4E">
        <w:t xml:space="preserve"> and other cultural symbols to make the young person and their family feel welcome and included</w:t>
      </w:r>
      <w:r>
        <w:t xml:space="preserve">. Given the broad age range supported by headspace, the experience of service must also be tailored for the level of maturity of the young person, with very different needs for 12 years compared with those approaching age 25. </w:t>
      </w:r>
    </w:p>
    <w:p w14:paraId="4F1ADCD0" w14:textId="77796EA0" w:rsidR="008E5CA0" w:rsidRDefault="008E5CA0" w:rsidP="008E5CA0">
      <w:pPr>
        <w:pStyle w:val="BodyText"/>
      </w:pPr>
      <w:r>
        <w:t xml:space="preserve">In order to examine the extent to which headspace is successfully providing culturally appropriate and inclusive services, data is drawn from hMDS user satisfaction surveys, interviews with headspace user and non-users as well as </w:t>
      </w:r>
      <w:r w:rsidR="001F058F">
        <w:t>Y</w:t>
      </w:r>
      <w:r>
        <w:t xml:space="preserve">outh </w:t>
      </w:r>
      <w:r w:rsidR="001F058F">
        <w:t>R</w:t>
      </w:r>
      <w:r>
        <w:t xml:space="preserve">eference </w:t>
      </w:r>
      <w:r w:rsidR="001F058F">
        <w:t>G</w:t>
      </w:r>
      <w:r>
        <w:t xml:space="preserve">roup members and school and university counsellors. </w:t>
      </w:r>
    </w:p>
    <w:bookmarkEnd w:id="274"/>
    <w:p w14:paraId="5495FB71" w14:textId="77777777" w:rsidR="008E5CA0" w:rsidRDefault="008E5CA0" w:rsidP="008E5CA0">
      <w:pPr>
        <w:pStyle w:val="Heading4"/>
      </w:pPr>
      <w:r>
        <w:t>Evidence of the effectiveness of headspace in providing young people with culturally appropriate and inclusive services</w:t>
      </w:r>
    </w:p>
    <w:p w14:paraId="18DBFCC3" w14:textId="77777777" w:rsidR="008E5CA0" w:rsidRDefault="008E5CA0" w:rsidP="008E5CA0">
      <w:pPr>
        <w:pStyle w:val="Heading5"/>
      </w:pPr>
      <w:r>
        <w:t>Perspectives of young people who use headspace</w:t>
      </w:r>
    </w:p>
    <w:p w14:paraId="0395539B" w14:textId="287BE630" w:rsidR="00FC5084" w:rsidRDefault="008E5CA0" w:rsidP="00634647">
      <w:pPr>
        <w:pStyle w:val="BodyText"/>
      </w:pPr>
      <w:r>
        <w:t>The young person satisfaction matrix</w:t>
      </w:r>
      <w:r w:rsidR="00CB1714">
        <w:t xml:space="preserve"> </w:t>
      </w:r>
      <w:r>
        <w:t>is based on survey responses of young</w:t>
      </w:r>
      <w:r w:rsidRPr="00062563">
        <w:t xml:space="preserve"> people attending headspace on their second occasion of service, and subsequently at every fourth visit during that episode of care.</w:t>
      </w:r>
      <w:r>
        <w:t xml:space="preserve"> </w:t>
      </w:r>
      <w:r w:rsidR="005A2BF5">
        <w:t>T</w:t>
      </w:r>
      <w:r w:rsidRPr="00062563">
        <w:t xml:space="preserve">he </w:t>
      </w:r>
      <w:r>
        <w:t>survey</w:t>
      </w:r>
      <w:r w:rsidRPr="00062563">
        <w:t xml:space="preserve"> asks them to rate 14 statements on a five</w:t>
      </w:r>
      <w:r w:rsidR="001A7BE3" w:rsidRPr="00062563">
        <w:t>-</w:t>
      </w:r>
      <w:r w:rsidRPr="00062563">
        <w:t xml:space="preserve">point scale of ‘strongly agree’ </w:t>
      </w:r>
      <w:r>
        <w:t xml:space="preserve">(5) </w:t>
      </w:r>
      <w:r w:rsidRPr="00062563">
        <w:t>to ‘strongly disagree’</w:t>
      </w:r>
      <w:r>
        <w:t xml:space="preserve"> (1)</w:t>
      </w:r>
      <w:r w:rsidRPr="00062563">
        <w:t xml:space="preserve">. </w:t>
      </w:r>
      <w:r w:rsidR="00C46479">
        <w:fldChar w:fldCharType="begin" w:fldLock="1"/>
      </w:r>
      <w:r w:rsidR="00C46479">
        <w:instrText xml:space="preserve"> REF _Ref101953671 \h </w:instrText>
      </w:r>
      <w:r w:rsidR="00C46479">
        <w:fldChar w:fldCharType="separate"/>
      </w:r>
      <w:r w:rsidR="00092284">
        <w:t xml:space="preserve">Table </w:t>
      </w:r>
      <w:r w:rsidR="00092284">
        <w:rPr>
          <w:noProof/>
        </w:rPr>
        <w:t>56</w:t>
      </w:r>
      <w:r w:rsidR="00C46479">
        <w:fldChar w:fldCharType="end"/>
      </w:r>
      <w:r w:rsidR="00C46479">
        <w:t xml:space="preserve"> summarises the estimated probabilities of young persons responding ‘agree’ or ‘strongly agree’ </w:t>
      </w:r>
      <w:r w:rsidR="0047703E">
        <w:t>to each satisfaction domains.</w:t>
      </w:r>
    </w:p>
    <w:p w14:paraId="278A65C9" w14:textId="057B9496" w:rsidR="008E5CA0" w:rsidRDefault="008E5CA0" w:rsidP="008E5CA0">
      <w:pPr>
        <w:pStyle w:val="Caption"/>
      </w:pPr>
      <w:bookmarkStart w:id="275" w:name="_Ref101953671"/>
      <w:bookmarkStart w:id="276" w:name="_Toc108109006"/>
      <w:r>
        <w:t xml:space="preserve">Table </w:t>
      </w:r>
      <w:r>
        <w:rPr>
          <w:i w:val="0"/>
          <w:iCs w:val="0"/>
        </w:rPr>
        <w:fldChar w:fldCharType="begin"/>
      </w:r>
      <w:r>
        <w:instrText>SEQ Table \* ARABIC</w:instrText>
      </w:r>
      <w:r>
        <w:rPr>
          <w:i w:val="0"/>
          <w:iCs w:val="0"/>
        </w:rPr>
        <w:fldChar w:fldCharType="separate"/>
      </w:r>
      <w:r w:rsidR="00CC0438">
        <w:rPr>
          <w:noProof/>
        </w:rPr>
        <w:t>56</w:t>
      </w:r>
      <w:r>
        <w:rPr>
          <w:i w:val="0"/>
          <w:iCs w:val="0"/>
        </w:rPr>
        <w:fldChar w:fldCharType="end"/>
      </w:r>
      <w:bookmarkEnd w:id="275"/>
      <w:r>
        <w:t xml:space="preserve">: </w:t>
      </w:r>
      <w:r w:rsidR="00CC484A">
        <w:t>Probability young</w:t>
      </w:r>
      <w:r>
        <w:t xml:space="preserve"> person </w:t>
      </w:r>
      <w:r w:rsidR="00CC484A">
        <w:t>respond</w:t>
      </w:r>
      <w:r w:rsidR="00432738">
        <w:t>ed</w:t>
      </w:r>
      <w:r w:rsidR="00CC484A">
        <w:t xml:space="preserve"> ‘agree’ or ‘strongly agree’ to </w:t>
      </w:r>
      <w:r>
        <w:t xml:space="preserve">satisfaction </w:t>
      </w:r>
      <w:r w:rsidR="00CC484A">
        <w:t>domains</w:t>
      </w:r>
      <w:r>
        <w:t xml:space="preserve"> across episodes created from 2015-16 to 2019-20</w:t>
      </w:r>
      <w:bookmarkEnd w:id="276"/>
    </w:p>
    <w:tbl>
      <w:tblPr>
        <w:tblW w:w="4845" w:type="pct"/>
        <w:tblLook w:val="04A0" w:firstRow="1" w:lastRow="0" w:firstColumn="1" w:lastColumn="0" w:noHBand="0" w:noVBand="1"/>
        <w:tblCaption w:val="Probability young person respond ‘agree’ or ‘strongly agree’ to satisfaction domains across episodes created from FY 2015-16 to 2019-20"/>
        <w:tblDescription w:val="Table has 5 columns summarising positive responses to satisfaction questions within hMDS data collection. Column 1 lists the specific domains of satisfaction tested. Columns 2 through 4 summarise the probability of young people responding agree or strongly agree, by hard to reach cohort. Column 2 presents overall responses to the questions. Column 3 presents responses from LGBTQIA+ young people. Column 4 presents responses from culturally and linguistically diverse young people. Column 5 presents responses from Aboriginal and Torres Strait Islander young people."/>
      </w:tblPr>
      <w:tblGrid>
        <w:gridCol w:w="2390"/>
        <w:gridCol w:w="1599"/>
        <w:gridCol w:w="1600"/>
        <w:gridCol w:w="1600"/>
        <w:gridCol w:w="1600"/>
      </w:tblGrid>
      <w:tr w:rsidR="003C6D7F" w14:paraId="73F738EC" w14:textId="77777777" w:rsidTr="00E21B81">
        <w:trPr>
          <w:tblHeader/>
        </w:trPr>
        <w:tc>
          <w:tcPr>
            <w:tcW w:w="1360" w:type="pct"/>
            <w:tcBorders>
              <w:bottom w:val="single" w:sz="4" w:space="0" w:color="00338D"/>
            </w:tcBorders>
            <w:shd w:val="clear" w:color="auto" w:fill="00338D"/>
            <w:vAlign w:val="bottom"/>
          </w:tcPr>
          <w:p w14:paraId="0F3082FE" w14:textId="77777777" w:rsidR="00E21B81" w:rsidRPr="0066563F" w:rsidRDefault="00E21B81" w:rsidP="00E21B81">
            <w:pPr>
              <w:pStyle w:val="Tableheading"/>
            </w:pPr>
            <w:r w:rsidRPr="0066563F">
              <w:t>Young person</w:t>
            </w:r>
          </w:p>
          <w:p w14:paraId="0C70478E" w14:textId="531E00D2" w:rsidR="003C6D7F" w:rsidRDefault="00E21B81" w:rsidP="00E21B81">
            <w:pPr>
              <w:pStyle w:val="Tableheading"/>
            </w:pPr>
            <w:r w:rsidRPr="0066563F">
              <w:t>satisfaction domains:</w:t>
            </w:r>
          </w:p>
        </w:tc>
        <w:tc>
          <w:tcPr>
            <w:tcW w:w="910" w:type="pct"/>
            <w:tcBorders>
              <w:bottom w:val="single" w:sz="4" w:space="0" w:color="00338D"/>
            </w:tcBorders>
            <w:shd w:val="clear" w:color="auto" w:fill="00338D"/>
            <w:vAlign w:val="center"/>
          </w:tcPr>
          <w:p w14:paraId="4A75C71C" w14:textId="505CDDA5" w:rsidR="003C6D7F" w:rsidRDefault="003C6D7F" w:rsidP="004E0DFF">
            <w:pPr>
              <w:pStyle w:val="Tableheading"/>
              <w:jc w:val="center"/>
            </w:pPr>
            <w:r>
              <w:t>Overall</w:t>
            </w:r>
          </w:p>
        </w:tc>
        <w:tc>
          <w:tcPr>
            <w:tcW w:w="910" w:type="pct"/>
            <w:tcBorders>
              <w:bottom w:val="single" w:sz="4" w:space="0" w:color="00338D"/>
            </w:tcBorders>
            <w:shd w:val="clear" w:color="auto" w:fill="00338D"/>
            <w:vAlign w:val="center"/>
          </w:tcPr>
          <w:p w14:paraId="236463AD" w14:textId="663F028B" w:rsidR="003C6D7F" w:rsidRDefault="003C6D7F" w:rsidP="004E0DFF">
            <w:pPr>
              <w:pStyle w:val="Tableheading"/>
              <w:jc w:val="center"/>
            </w:pPr>
            <w:r>
              <w:t>LGBTQIA+ young person</w:t>
            </w:r>
          </w:p>
        </w:tc>
        <w:tc>
          <w:tcPr>
            <w:tcW w:w="910" w:type="pct"/>
            <w:tcBorders>
              <w:bottom w:val="single" w:sz="4" w:space="0" w:color="00338D"/>
            </w:tcBorders>
            <w:shd w:val="clear" w:color="auto" w:fill="00338D"/>
            <w:vAlign w:val="center"/>
          </w:tcPr>
          <w:p w14:paraId="5D50A9E7" w14:textId="2C91693D" w:rsidR="003C6D7F" w:rsidRDefault="003C6D7F" w:rsidP="004E0DFF">
            <w:pPr>
              <w:pStyle w:val="Tableheading"/>
              <w:jc w:val="center"/>
            </w:pPr>
            <w:bookmarkStart w:id="277" w:name="_Hlk101953752"/>
            <w:r>
              <w:t xml:space="preserve">Culturally and Linguistically </w:t>
            </w:r>
            <w:bookmarkEnd w:id="277"/>
            <w:r>
              <w:t>Diverse young person</w:t>
            </w:r>
          </w:p>
        </w:tc>
        <w:tc>
          <w:tcPr>
            <w:tcW w:w="910" w:type="pct"/>
            <w:tcBorders>
              <w:bottom w:val="single" w:sz="4" w:space="0" w:color="00338D"/>
            </w:tcBorders>
            <w:shd w:val="clear" w:color="auto" w:fill="00338D"/>
            <w:vAlign w:val="center"/>
          </w:tcPr>
          <w:p w14:paraId="7A92FCC0" w14:textId="2D66829D" w:rsidR="003C6D7F" w:rsidRPr="006D3413" w:rsidRDefault="003C6D7F" w:rsidP="004E0DFF">
            <w:pPr>
              <w:pStyle w:val="Tableheading"/>
              <w:jc w:val="center"/>
            </w:pPr>
            <w:r>
              <w:t>Aboriginal &amp; Torres Strait Islander young person</w:t>
            </w:r>
          </w:p>
        </w:tc>
      </w:tr>
      <w:tr w:rsidR="008E5CA0" w14:paraId="3294FFF7" w14:textId="77777777" w:rsidTr="004E0DFF">
        <w:tc>
          <w:tcPr>
            <w:tcW w:w="1360" w:type="pct"/>
            <w:tcBorders>
              <w:top w:val="single" w:sz="4" w:space="0" w:color="00338D"/>
              <w:bottom w:val="single" w:sz="4" w:space="0" w:color="00338D"/>
            </w:tcBorders>
          </w:tcPr>
          <w:p w14:paraId="6E4FBA94" w14:textId="77777777" w:rsidR="008E5CA0" w:rsidRPr="00F4214A" w:rsidRDefault="008E5CA0" w:rsidP="004E0DFF">
            <w:pPr>
              <w:pStyle w:val="Tabletext"/>
              <w:rPr>
                <w:b/>
                <w:bCs/>
              </w:rPr>
            </w:pPr>
            <w:r w:rsidRPr="00412532">
              <w:t>I felt comfortable at headspace</w:t>
            </w:r>
          </w:p>
        </w:tc>
        <w:tc>
          <w:tcPr>
            <w:tcW w:w="910" w:type="pct"/>
            <w:tcBorders>
              <w:top w:val="single" w:sz="4" w:space="0" w:color="00338D"/>
              <w:bottom w:val="single" w:sz="4" w:space="0" w:color="00338D"/>
            </w:tcBorders>
            <w:vAlign w:val="center"/>
          </w:tcPr>
          <w:p w14:paraId="03B5C1EC" w14:textId="02A58894" w:rsidR="008E5CA0" w:rsidRPr="00581D07" w:rsidRDefault="00042E9B" w:rsidP="004E0DFF">
            <w:pPr>
              <w:pStyle w:val="Tabletext"/>
              <w:jc w:val="center"/>
            </w:pPr>
            <w:r w:rsidRPr="00581D07">
              <w:t>88.0%</w:t>
            </w:r>
          </w:p>
        </w:tc>
        <w:tc>
          <w:tcPr>
            <w:tcW w:w="910" w:type="pct"/>
            <w:tcBorders>
              <w:top w:val="single" w:sz="4" w:space="0" w:color="00338D"/>
              <w:bottom w:val="single" w:sz="4" w:space="0" w:color="00338D"/>
            </w:tcBorders>
            <w:vAlign w:val="center"/>
          </w:tcPr>
          <w:p w14:paraId="6EDD1B7A" w14:textId="66F1D0E7" w:rsidR="008E5CA0" w:rsidRPr="00876BB2" w:rsidRDefault="00042E9B" w:rsidP="004E0DFF">
            <w:pPr>
              <w:pStyle w:val="Tabletext"/>
              <w:jc w:val="center"/>
            </w:pPr>
            <w:r w:rsidRPr="00581D07">
              <w:t>88.8%</w:t>
            </w:r>
            <w:r w:rsidR="003C5143" w:rsidRPr="00581D07">
              <w:t>*</w:t>
            </w:r>
          </w:p>
        </w:tc>
        <w:tc>
          <w:tcPr>
            <w:tcW w:w="910" w:type="pct"/>
            <w:tcBorders>
              <w:top w:val="single" w:sz="4" w:space="0" w:color="00338D"/>
              <w:bottom w:val="single" w:sz="4" w:space="0" w:color="00338D"/>
            </w:tcBorders>
            <w:vAlign w:val="center"/>
          </w:tcPr>
          <w:p w14:paraId="3373FF9F" w14:textId="2F69A540" w:rsidR="008E5CA0" w:rsidRPr="00876BB2" w:rsidRDefault="00A1379A" w:rsidP="004E0DFF">
            <w:pPr>
              <w:pStyle w:val="Tabletext"/>
              <w:jc w:val="center"/>
            </w:pPr>
            <w:r w:rsidRPr="00581D07">
              <w:t>86.9%*</w:t>
            </w:r>
          </w:p>
        </w:tc>
        <w:tc>
          <w:tcPr>
            <w:tcW w:w="910" w:type="pct"/>
            <w:tcBorders>
              <w:top w:val="single" w:sz="4" w:space="0" w:color="00338D"/>
              <w:bottom w:val="single" w:sz="4" w:space="0" w:color="00338D"/>
            </w:tcBorders>
            <w:vAlign w:val="center"/>
          </w:tcPr>
          <w:p w14:paraId="04224A9C" w14:textId="3AB9AE71" w:rsidR="008E5CA0" w:rsidRPr="00876BB2" w:rsidRDefault="000F2BE3" w:rsidP="004E0DFF">
            <w:pPr>
              <w:pStyle w:val="Tabletext"/>
              <w:jc w:val="center"/>
            </w:pPr>
            <w:r w:rsidRPr="00581D07">
              <w:t>85.6%*</w:t>
            </w:r>
          </w:p>
        </w:tc>
      </w:tr>
      <w:tr w:rsidR="008E5CA0" w14:paraId="49BA4631" w14:textId="77777777" w:rsidTr="004E0DFF">
        <w:tc>
          <w:tcPr>
            <w:tcW w:w="1360" w:type="pct"/>
            <w:tcBorders>
              <w:top w:val="single" w:sz="4" w:space="0" w:color="00338D"/>
              <w:bottom w:val="single" w:sz="4" w:space="0" w:color="00338D"/>
            </w:tcBorders>
          </w:tcPr>
          <w:p w14:paraId="192C708A" w14:textId="77777777" w:rsidR="008E5CA0" w:rsidRPr="00F4214A" w:rsidRDefault="008E5CA0" w:rsidP="004E0DFF">
            <w:pPr>
              <w:pStyle w:val="Tabletext"/>
              <w:rPr>
                <w:i/>
                <w:iCs/>
              </w:rPr>
            </w:pPr>
            <w:r w:rsidRPr="00412532">
              <w:t>It was easy for me to get to my headspace centre</w:t>
            </w:r>
          </w:p>
        </w:tc>
        <w:tc>
          <w:tcPr>
            <w:tcW w:w="910" w:type="pct"/>
            <w:tcBorders>
              <w:top w:val="single" w:sz="4" w:space="0" w:color="00338D"/>
              <w:bottom w:val="single" w:sz="4" w:space="0" w:color="00338D"/>
            </w:tcBorders>
            <w:vAlign w:val="center"/>
          </w:tcPr>
          <w:p w14:paraId="58E60E63" w14:textId="4A76B56D" w:rsidR="008E5CA0" w:rsidRPr="00581D07" w:rsidRDefault="000E207D" w:rsidP="004E0DFF">
            <w:pPr>
              <w:pStyle w:val="Tabletext"/>
              <w:jc w:val="center"/>
            </w:pPr>
            <w:r w:rsidRPr="00581D07">
              <w:t>85.2</w:t>
            </w:r>
            <w:r w:rsidR="00743D82" w:rsidRPr="00581D07">
              <w:t>%</w:t>
            </w:r>
          </w:p>
        </w:tc>
        <w:tc>
          <w:tcPr>
            <w:tcW w:w="910" w:type="pct"/>
            <w:tcBorders>
              <w:top w:val="single" w:sz="4" w:space="0" w:color="00338D"/>
              <w:bottom w:val="single" w:sz="4" w:space="0" w:color="00338D"/>
            </w:tcBorders>
            <w:vAlign w:val="center"/>
          </w:tcPr>
          <w:p w14:paraId="0CC2C4E8" w14:textId="4D38320B" w:rsidR="008E5CA0" w:rsidRPr="00581D07" w:rsidRDefault="00743D82" w:rsidP="004E0DFF">
            <w:pPr>
              <w:pStyle w:val="Tabletext"/>
              <w:jc w:val="center"/>
            </w:pPr>
            <w:r w:rsidRPr="00581D07">
              <w:t>84.0%*</w:t>
            </w:r>
          </w:p>
        </w:tc>
        <w:tc>
          <w:tcPr>
            <w:tcW w:w="910" w:type="pct"/>
            <w:tcBorders>
              <w:top w:val="single" w:sz="4" w:space="0" w:color="00338D"/>
              <w:bottom w:val="single" w:sz="4" w:space="0" w:color="00338D"/>
            </w:tcBorders>
            <w:vAlign w:val="center"/>
          </w:tcPr>
          <w:p w14:paraId="2708C310" w14:textId="7968C25D" w:rsidR="008E5CA0" w:rsidRPr="00581D07" w:rsidRDefault="002F68A2" w:rsidP="004E0DFF">
            <w:pPr>
              <w:pStyle w:val="Tabletext"/>
              <w:jc w:val="center"/>
            </w:pPr>
            <w:r w:rsidRPr="00581D07">
              <w:t>83.1%*</w:t>
            </w:r>
          </w:p>
        </w:tc>
        <w:tc>
          <w:tcPr>
            <w:tcW w:w="910" w:type="pct"/>
            <w:tcBorders>
              <w:top w:val="single" w:sz="4" w:space="0" w:color="00338D"/>
              <w:bottom w:val="single" w:sz="4" w:space="0" w:color="00338D"/>
            </w:tcBorders>
            <w:vAlign w:val="center"/>
          </w:tcPr>
          <w:p w14:paraId="162FFAEE" w14:textId="7400E017" w:rsidR="008E5CA0" w:rsidRPr="00581D07" w:rsidRDefault="002F68A2" w:rsidP="004E0DFF">
            <w:pPr>
              <w:pStyle w:val="Tabletext"/>
              <w:jc w:val="center"/>
            </w:pPr>
            <w:r w:rsidRPr="00581D07">
              <w:t>82.4%</w:t>
            </w:r>
            <w:r w:rsidR="00F6278D" w:rsidRPr="00581D07">
              <w:t>*</w:t>
            </w:r>
          </w:p>
        </w:tc>
      </w:tr>
      <w:tr w:rsidR="008E5CA0" w14:paraId="18B7A48F" w14:textId="77777777" w:rsidTr="004E0DFF">
        <w:tc>
          <w:tcPr>
            <w:tcW w:w="1360" w:type="pct"/>
            <w:tcBorders>
              <w:top w:val="single" w:sz="4" w:space="0" w:color="00338D"/>
              <w:bottom w:val="single" w:sz="4" w:space="0" w:color="00338D"/>
            </w:tcBorders>
          </w:tcPr>
          <w:p w14:paraId="0A239574" w14:textId="40DB5FCA" w:rsidR="008E5CA0" w:rsidRPr="00F4214A" w:rsidRDefault="008E5CA0" w:rsidP="004E0DFF">
            <w:pPr>
              <w:pStyle w:val="Tabletext"/>
              <w:rPr>
                <w:rFonts w:eastAsia="Calibri" w:cs="Arial"/>
                <w:i/>
                <w:iCs/>
                <w:color w:val="000000" w:themeColor="text1"/>
                <w:kern w:val="24"/>
                <w:szCs w:val="20"/>
              </w:rPr>
            </w:pPr>
            <w:r w:rsidRPr="00412532">
              <w:t>I could attend appointment times that suited me (i.e</w:t>
            </w:r>
            <w:r w:rsidR="001A7BE3" w:rsidRPr="00412532">
              <w:t>.,</w:t>
            </w:r>
            <w:r w:rsidRPr="00412532">
              <w:t xml:space="preserve"> didn’t interfere with study or work)</w:t>
            </w:r>
          </w:p>
        </w:tc>
        <w:tc>
          <w:tcPr>
            <w:tcW w:w="910" w:type="pct"/>
            <w:tcBorders>
              <w:top w:val="single" w:sz="4" w:space="0" w:color="00338D"/>
              <w:bottom w:val="single" w:sz="4" w:space="0" w:color="00338D"/>
            </w:tcBorders>
            <w:vAlign w:val="center"/>
          </w:tcPr>
          <w:p w14:paraId="122939D7" w14:textId="3B403D9C" w:rsidR="008E5CA0" w:rsidRPr="00581D07" w:rsidRDefault="00A2068A" w:rsidP="004E0DFF">
            <w:pPr>
              <w:pStyle w:val="Tabletext"/>
              <w:jc w:val="center"/>
            </w:pPr>
            <w:r w:rsidRPr="00581D07">
              <w:t>81</w:t>
            </w:r>
            <w:r w:rsidR="00B30B2C" w:rsidRPr="00581D07">
              <w:t>.4%</w:t>
            </w:r>
          </w:p>
        </w:tc>
        <w:tc>
          <w:tcPr>
            <w:tcW w:w="910" w:type="pct"/>
            <w:tcBorders>
              <w:top w:val="single" w:sz="4" w:space="0" w:color="00338D"/>
              <w:bottom w:val="single" w:sz="4" w:space="0" w:color="00338D"/>
            </w:tcBorders>
            <w:vAlign w:val="center"/>
          </w:tcPr>
          <w:p w14:paraId="529CB782" w14:textId="7C89E2EB" w:rsidR="008E5CA0" w:rsidRPr="00581D07" w:rsidRDefault="00B30B2C" w:rsidP="004E0DFF">
            <w:pPr>
              <w:pStyle w:val="Tabletext"/>
              <w:jc w:val="center"/>
            </w:pPr>
            <w:r w:rsidRPr="00581D07">
              <w:t>81.3%</w:t>
            </w:r>
          </w:p>
        </w:tc>
        <w:tc>
          <w:tcPr>
            <w:tcW w:w="910" w:type="pct"/>
            <w:tcBorders>
              <w:top w:val="single" w:sz="4" w:space="0" w:color="00338D"/>
              <w:bottom w:val="single" w:sz="4" w:space="0" w:color="00338D"/>
            </w:tcBorders>
            <w:vAlign w:val="center"/>
          </w:tcPr>
          <w:p w14:paraId="6138DE3A" w14:textId="2271B71C" w:rsidR="008E5CA0" w:rsidRPr="00581D07" w:rsidRDefault="00B30B2C" w:rsidP="004E0DFF">
            <w:pPr>
              <w:pStyle w:val="Tabletext"/>
              <w:jc w:val="center"/>
            </w:pPr>
            <w:r w:rsidRPr="00581D07">
              <w:t>78.9%*</w:t>
            </w:r>
          </w:p>
        </w:tc>
        <w:tc>
          <w:tcPr>
            <w:tcW w:w="910" w:type="pct"/>
            <w:tcBorders>
              <w:top w:val="single" w:sz="4" w:space="0" w:color="00338D"/>
              <w:bottom w:val="single" w:sz="4" w:space="0" w:color="00338D"/>
            </w:tcBorders>
            <w:vAlign w:val="center"/>
          </w:tcPr>
          <w:p w14:paraId="5DB23567" w14:textId="087DC887" w:rsidR="008E5CA0" w:rsidRPr="00581D07" w:rsidRDefault="00B30B2C" w:rsidP="004E0DFF">
            <w:pPr>
              <w:pStyle w:val="Tabletext"/>
              <w:jc w:val="center"/>
            </w:pPr>
            <w:r w:rsidRPr="00581D07">
              <w:t>80.8%</w:t>
            </w:r>
          </w:p>
        </w:tc>
      </w:tr>
      <w:tr w:rsidR="008E5CA0" w14:paraId="63D29EE7" w14:textId="77777777" w:rsidTr="004E0DFF">
        <w:tc>
          <w:tcPr>
            <w:tcW w:w="1360" w:type="pct"/>
            <w:tcBorders>
              <w:top w:val="single" w:sz="4" w:space="0" w:color="00338D"/>
              <w:bottom w:val="single" w:sz="4" w:space="0" w:color="00338D"/>
            </w:tcBorders>
          </w:tcPr>
          <w:p w14:paraId="5830CA41" w14:textId="77777777" w:rsidR="008E5CA0" w:rsidRPr="00F4214A" w:rsidRDefault="008E5CA0" w:rsidP="004E0DFF">
            <w:pPr>
              <w:pStyle w:val="Tabletext"/>
              <w:rPr>
                <w:rFonts w:eastAsia="Calibri" w:cs="Arial"/>
                <w:i/>
                <w:iCs/>
                <w:color w:val="000000" w:themeColor="text1"/>
                <w:kern w:val="24"/>
                <w:szCs w:val="20"/>
              </w:rPr>
            </w:pPr>
            <w:r w:rsidRPr="00412532">
              <w:t>I felt that headspace staff listened to me</w:t>
            </w:r>
          </w:p>
        </w:tc>
        <w:tc>
          <w:tcPr>
            <w:tcW w:w="910" w:type="pct"/>
            <w:tcBorders>
              <w:top w:val="single" w:sz="4" w:space="0" w:color="00338D"/>
              <w:bottom w:val="single" w:sz="4" w:space="0" w:color="00338D"/>
            </w:tcBorders>
            <w:vAlign w:val="center"/>
          </w:tcPr>
          <w:p w14:paraId="62CC0451" w14:textId="1981009A" w:rsidR="008E5CA0" w:rsidRPr="00581D07" w:rsidRDefault="00146D80" w:rsidP="004E0DFF">
            <w:pPr>
              <w:pStyle w:val="Tabletext"/>
              <w:jc w:val="center"/>
            </w:pPr>
            <w:r w:rsidRPr="00581D07">
              <w:t>91.3%</w:t>
            </w:r>
          </w:p>
        </w:tc>
        <w:tc>
          <w:tcPr>
            <w:tcW w:w="910" w:type="pct"/>
            <w:tcBorders>
              <w:top w:val="single" w:sz="4" w:space="0" w:color="00338D"/>
              <w:bottom w:val="single" w:sz="4" w:space="0" w:color="00338D"/>
            </w:tcBorders>
            <w:vAlign w:val="center"/>
          </w:tcPr>
          <w:p w14:paraId="47CE760F" w14:textId="71C0396D" w:rsidR="008E5CA0" w:rsidRPr="00581D07" w:rsidRDefault="00146D80" w:rsidP="004E0DFF">
            <w:pPr>
              <w:pStyle w:val="Tabletext"/>
              <w:jc w:val="center"/>
            </w:pPr>
            <w:r w:rsidRPr="00581D07">
              <w:t>91</w:t>
            </w:r>
            <w:r w:rsidR="00072460" w:rsidRPr="00581D07">
              <w:t>.2%</w:t>
            </w:r>
          </w:p>
        </w:tc>
        <w:tc>
          <w:tcPr>
            <w:tcW w:w="910" w:type="pct"/>
            <w:tcBorders>
              <w:top w:val="single" w:sz="4" w:space="0" w:color="00338D"/>
              <w:bottom w:val="single" w:sz="4" w:space="0" w:color="00338D"/>
            </w:tcBorders>
            <w:vAlign w:val="center"/>
          </w:tcPr>
          <w:p w14:paraId="56940719" w14:textId="32947705" w:rsidR="008E5CA0" w:rsidRPr="00581D07" w:rsidRDefault="00072460" w:rsidP="004E0DFF">
            <w:pPr>
              <w:pStyle w:val="Tabletext"/>
              <w:jc w:val="center"/>
            </w:pPr>
            <w:r w:rsidRPr="00581D07">
              <w:t>90.4%*</w:t>
            </w:r>
          </w:p>
        </w:tc>
        <w:tc>
          <w:tcPr>
            <w:tcW w:w="910" w:type="pct"/>
            <w:tcBorders>
              <w:top w:val="single" w:sz="4" w:space="0" w:color="00338D"/>
              <w:bottom w:val="single" w:sz="4" w:space="0" w:color="00338D"/>
            </w:tcBorders>
            <w:vAlign w:val="center"/>
          </w:tcPr>
          <w:p w14:paraId="07E12845" w14:textId="7DCE5549" w:rsidR="008E5CA0" w:rsidRPr="00581D07" w:rsidRDefault="00072460" w:rsidP="004E0DFF">
            <w:pPr>
              <w:pStyle w:val="Tabletext"/>
              <w:jc w:val="center"/>
            </w:pPr>
            <w:r w:rsidRPr="00581D07">
              <w:t>89.2%</w:t>
            </w:r>
          </w:p>
        </w:tc>
      </w:tr>
      <w:tr w:rsidR="008E5CA0" w14:paraId="3D0B214E" w14:textId="77777777" w:rsidTr="004E0DFF">
        <w:tc>
          <w:tcPr>
            <w:tcW w:w="1360" w:type="pct"/>
            <w:tcBorders>
              <w:top w:val="single" w:sz="4" w:space="0" w:color="00338D"/>
              <w:bottom w:val="single" w:sz="4" w:space="0" w:color="00338D"/>
            </w:tcBorders>
          </w:tcPr>
          <w:p w14:paraId="2226FAD5" w14:textId="77777777" w:rsidR="008E5CA0" w:rsidRPr="00F4214A" w:rsidRDefault="008E5CA0" w:rsidP="004E0DFF">
            <w:pPr>
              <w:pStyle w:val="Tabletext"/>
              <w:rPr>
                <w:rFonts w:eastAsia="Calibri" w:cs="Arial"/>
                <w:i/>
                <w:iCs/>
                <w:color w:val="000000" w:themeColor="text1"/>
                <w:kern w:val="24"/>
                <w:szCs w:val="20"/>
              </w:rPr>
            </w:pPr>
            <w:r w:rsidRPr="00412532">
              <w:t>I felt that headspace staff involved me in making decisions about what would happen next</w:t>
            </w:r>
          </w:p>
        </w:tc>
        <w:tc>
          <w:tcPr>
            <w:tcW w:w="910" w:type="pct"/>
            <w:tcBorders>
              <w:top w:val="single" w:sz="4" w:space="0" w:color="00338D"/>
              <w:bottom w:val="single" w:sz="4" w:space="0" w:color="00338D"/>
            </w:tcBorders>
            <w:vAlign w:val="center"/>
          </w:tcPr>
          <w:p w14:paraId="4C717AF8" w14:textId="07F54614" w:rsidR="008E5CA0" w:rsidRPr="00581D07" w:rsidRDefault="004E2667" w:rsidP="004E0DFF">
            <w:pPr>
              <w:pStyle w:val="Tabletext"/>
              <w:jc w:val="center"/>
            </w:pPr>
            <w:r w:rsidRPr="00581D07">
              <w:t>83</w:t>
            </w:r>
            <w:r w:rsidR="003927F2" w:rsidRPr="00581D07">
              <w:t>.</w:t>
            </w:r>
            <w:r w:rsidRPr="00581D07">
              <w:t>1%</w:t>
            </w:r>
          </w:p>
        </w:tc>
        <w:tc>
          <w:tcPr>
            <w:tcW w:w="910" w:type="pct"/>
            <w:tcBorders>
              <w:top w:val="single" w:sz="4" w:space="0" w:color="00338D"/>
              <w:bottom w:val="single" w:sz="4" w:space="0" w:color="00338D"/>
            </w:tcBorders>
            <w:vAlign w:val="center"/>
          </w:tcPr>
          <w:p w14:paraId="388761C6" w14:textId="6F6B3DA9" w:rsidR="008E5CA0" w:rsidRPr="00581D07" w:rsidRDefault="004E2667" w:rsidP="004E0DFF">
            <w:pPr>
              <w:pStyle w:val="Tabletext"/>
              <w:jc w:val="center"/>
            </w:pPr>
            <w:r w:rsidRPr="00581D07">
              <w:t>83</w:t>
            </w:r>
            <w:r w:rsidR="003927F2" w:rsidRPr="00581D07">
              <w:t>.</w:t>
            </w:r>
            <w:r w:rsidRPr="00581D07">
              <w:t>3</w:t>
            </w:r>
            <w:r w:rsidR="003927F2" w:rsidRPr="00581D07">
              <w:t>%</w:t>
            </w:r>
            <w:r w:rsidRPr="00581D07">
              <w:t>*</w:t>
            </w:r>
          </w:p>
        </w:tc>
        <w:tc>
          <w:tcPr>
            <w:tcW w:w="910" w:type="pct"/>
            <w:tcBorders>
              <w:top w:val="single" w:sz="4" w:space="0" w:color="00338D"/>
              <w:bottom w:val="single" w:sz="4" w:space="0" w:color="00338D"/>
            </w:tcBorders>
            <w:vAlign w:val="center"/>
          </w:tcPr>
          <w:p w14:paraId="3CBEAF10" w14:textId="76BDEE48" w:rsidR="008E5CA0" w:rsidRPr="00581D07" w:rsidRDefault="003927F2" w:rsidP="004E0DFF">
            <w:pPr>
              <w:pStyle w:val="Tabletext"/>
              <w:jc w:val="center"/>
            </w:pPr>
            <w:r w:rsidRPr="00581D07">
              <w:t>80.8%*</w:t>
            </w:r>
          </w:p>
        </w:tc>
        <w:tc>
          <w:tcPr>
            <w:tcW w:w="910" w:type="pct"/>
            <w:tcBorders>
              <w:top w:val="single" w:sz="4" w:space="0" w:color="00338D"/>
              <w:bottom w:val="single" w:sz="4" w:space="0" w:color="00338D"/>
            </w:tcBorders>
            <w:vAlign w:val="center"/>
          </w:tcPr>
          <w:p w14:paraId="7A4ED33F" w14:textId="547D817C" w:rsidR="008E5CA0" w:rsidRPr="00581D07" w:rsidRDefault="003927F2" w:rsidP="004E0DFF">
            <w:pPr>
              <w:pStyle w:val="Tabletext"/>
              <w:jc w:val="center"/>
            </w:pPr>
            <w:r w:rsidRPr="00581D07">
              <w:t>81.2%*</w:t>
            </w:r>
          </w:p>
        </w:tc>
      </w:tr>
      <w:tr w:rsidR="008E5CA0" w14:paraId="37CB8BB6" w14:textId="77777777" w:rsidTr="004E0DFF">
        <w:tc>
          <w:tcPr>
            <w:tcW w:w="1360" w:type="pct"/>
            <w:tcBorders>
              <w:top w:val="single" w:sz="4" w:space="0" w:color="00338D"/>
              <w:bottom w:val="single" w:sz="4" w:space="0" w:color="00338D"/>
            </w:tcBorders>
          </w:tcPr>
          <w:p w14:paraId="6F098C44" w14:textId="77777777" w:rsidR="008E5CA0" w:rsidRPr="00F4214A" w:rsidRDefault="008E5CA0" w:rsidP="004E0DFF">
            <w:pPr>
              <w:pStyle w:val="Tabletext"/>
              <w:rPr>
                <w:rFonts w:eastAsia="Calibri" w:cs="Arial"/>
                <w:i/>
                <w:iCs/>
                <w:color w:val="000000" w:themeColor="text1"/>
                <w:kern w:val="24"/>
                <w:szCs w:val="20"/>
              </w:rPr>
            </w:pPr>
            <w:r w:rsidRPr="00412532">
              <w:t>I felt that my views and worries were taken seriously</w:t>
            </w:r>
          </w:p>
        </w:tc>
        <w:tc>
          <w:tcPr>
            <w:tcW w:w="910" w:type="pct"/>
            <w:tcBorders>
              <w:top w:val="single" w:sz="4" w:space="0" w:color="00338D"/>
              <w:bottom w:val="single" w:sz="4" w:space="0" w:color="00338D"/>
            </w:tcBorders>
            <w:vAlign w:val="center"/>
          </w:tcPr>
          <w:p w14:paraId="5C571239" w14:textId="785AE60A" w:rsidR="008E5CA0" w:rsidRPr="00581D07" w:rsidRDefault="009F50F5" w:rsidP="004E0DFF">
            <w:pPr>
              <w:pStyle w:val="Tabletext"/>
              <w:jc w:val="center"/>
            </w:pPr>
            <w:r w:rsidRPr="00581D07">
              <w:t>88</w:t>
            </w:r>
            <w:r w:rsidR="008C248E" w:rsidRPr="00581D07">
              <w:t>.5%</w:t>
            </w:r>
          </w:p>
        </w:tc>
        <w:tc>
          <w:tcPr>
            <w:tcW w:w="910" w:type="pct"/>
            <w:tcBorders>
              <w:top w:val="single" w:sz="4" w:space="0" w:color="00338D"/>
              <w:bottom w:val="single" w:sz="4" w:space="0" w:color="00338D"/>
            </w:tcBorders>
            <w:vAlign w:val="center"/>
          </w:tcPr>
          <w:p w14:paraId="136308ED" w14:textId="3158CD25" w:rsidR="008E5CA0" w:rsidRPr="00581D07" w:rsidRDefault="009F50F5" w:rsidP="004E0DFF">
            <w:pPr>
              <w:pStyle w:val="Tabletext"/>
              <w:jc w:val="center"/>
            </w:pPr>
            <w:r w:rsidRPr="00581D07">
              <w:t>88</w:t>
            </w:r>
            <w:r w:rsidR="003219E9" w:rsidRPr="00581D07">
              <w:t>.</w:t>
            </w:r>
            <w:r w:rsidRPr="00581D07">
              <w:t>4</w:t>
            </w:r>
            <w:r w:rsidR="003219E9" w:rsidRPr="00581D07">
              <w:t>%</w:t>
            </w:r>
          </w:p>
        </w:tc>
        <w:tc>
          <w:tcPr>
            <w:tcW w:w="910" w:type="pct"/>
            <w:tcBorders>
              <w:top w:val="single" w:sz="4" w:space="0" w:color="00338D"/>
              <w:bottom w:val="single" w:sz="4" w:space="0" w:color="00338D"/>
            </w:tcBorders>
            <w:vAlign w:val="center"/>
          </w:tcPr>
          <w:p w14:paraId="595A1502" w14:textId="677458FD" w:rsidR="008E5CA0" w:rsidRPr="00581D07" w:rsidRDefault="009F50F5" w:rsidP="004E0DFF">
            <w:pPr>
              <w:pStyle w:val="Tabletext"/>
              <w:jc w:val="center"/>
            </w:pPr>
            <w:r w:rsidRPr="00581D07">
              <w:t>86</w:t>
            </w:r>
            <w:r w:rsidR="003219E9" w:rsidRPr="00581D07">
              <w:t>.9%</w:t>
            </w:r>
            <w:r w:rsidR="008C248E" w:rsidRPr="00581D07">
              <w:t>*</w:t>
            </w:r>
          </w:p>
        </w:tc>
        <w:tc>
          <w:tcPr>
            <w:tcW w:w="910" w:type="pct"/>
            <w:tcBorders>
              <w:top w:val="single" w:sz="4" w:space="0" w:color="00338D"/>
              <w:bottom w:val="single" w:sz="4" w:space="0" w:color="00338D"/>
            </w:tcBorders>
            <w:vAlign w:val="center"/>
          </w:tcPr>
          <w:p w14:paraId="6FE4CE4E" w14:textId="612BC6BE" w:rsidR="008E5CA0" w:rsidRPr="00581D07" w:rsidRDefault="009F50F5" w:rsidP="004E0DFF">
            <w:pPr>
              <w:pStyle w:val="Tabletext"/>
              <w:jc w:val="center"/>
            </w:pPr>
            <w:r w:rsidRPr="00581D07">
              <w:t>85</w:t>
            </w:r>
            <w:r w:rsidR="003219E9" w:rsidRPr="00581D07">
              <w:t>.</w:t>
            </w:r>
            <w:r w:rsidRPr="00581D07">
              <w:t>3</w:t>
            </w:r>
            <w:r w:rsidR="003219E9" w:rsidRPr="00581D07">
              <w:t>%</w:t>
            </w:r>
            <w:r w:rsidR="008C248E" w:rsidRPr="00581D07">
              <w:t>*</w:t>
            </w:r>
          </w:p>
        </w:tc>
      </w:tr>
      <w:tr w:rsidR="008E5CA0" w14:paraId="064D1662" w14:textId="77777777" w:rsidTr="004E0DFF">
        <w:tc>
          <w:tcPr>
            <w:tcW w:w="1360" w:type="pct"/>
            <w:tcBorders>
              <w:top w:val="single" w:sz="4" w:space="0" w:color="00338D"/>
              <w:bottom w:val="single" w:sz="4" w:space="0" w:color="00338D"/>
            </w:tcBorders>
          </w:tcPr>
          <w:p w14:paraId="16BB84E2" w14:textId="77777777" w:rsidR="008E5CA0" w:rsidRPr="00F4214A" w:rsidRDefault="008E5CA0" w:rsidP="004E0DFF">
            <w:pPr>
              <w:pStyle w:val="Tabletext"/>
              <w:rPr>
                <w:rFonts w:eastAsia="Calibri" w:cs="Arial"/>
                <w:i/>
                <w:iCs/>
                <w:color w:val="000000" w:themeColor="text1"/>
                <w:kern w:val="24"/>
                <w:szCs w:val="20"/>
              </w:rPr>
            </w:pPr>
            <w:r w:rsidRPr="00412532">
              <w:t>I felt that I was able to raise any concerns that I had</w:t>
            </w:r>
          </w:p>
        </w:tc>
        <w:tc>
          <w:tcPr>
            <w:tcW w:w="910" w:type="pct"/>
            <w:tcBorders>
              <w:top w:val="single" w:sz="4" w:space="0" w:color="00338D"/>
              <w:bottom w:val="single" w:sz="4" w:space="0" w:color="00338D"/>
            </w:tcBorders>
            <w:vAlign w:val="center"/>
          </w:tcPr>
          <w:p w14:paraId="32E59BAF" w14:textId="58BF211B" w:rsidR="008E5CA0" w:rsidRPr="00581D07" w:rsidRDefault="004D0EE6" w:rsidP="004E0DFF">
            <w:pPr>
              <w:pStyle w:val="Tabletext"/>
              <w:jc w:val="center"/>
            </w:pPr>
            <w:r w:rsidRPr="00581D07">
              <w:t>85</w:t>
            </w:r>
            <w:r w:rsidR="00F25A48" w:rsidRPr="00581D07">
              <w:t>.</w:t>
            </w:r>
            <w:r w:rsidRPr="00581D07">
              <w:t>2%</w:t>
            </w:r>
          </w:p>
        </w:tc>
        <w:tc>
          <w:tcPr>
            <w:tcW w:w="910" w:type="pct"/>
            <w:tcBorders>
              <w:top w:val="single" w:sz="4" w:space="0" w:color="00338D"/>
              <w:bottom w:val="single" w:sz="4" w:space="0" w:color="00338D"/>
            </w:tcBorders>
            <w:vAlign w:val="center"/>
          </w:tcPr>
          <w:p w14:paraId="2D924A4A" w14:textId="70B165D1" w:rsidR="008E5CA0" w:rsidRPr="00581D07" w:rsidRDefault="00F25A48" w:rsidP="004E0DFF">
            <w:pPr>
              <w:pStyle w:val="Tabletext"/>
              <w:jc w:val="center"/>
            </w:pPr>
            <w:r w:rsidRPr="00581D07">
              <w:t>84.4%*</w:t>
            </w:r>
          </w:p>
        </w:tc>
        <w:tc>
          <w:tcPr>
            <w:tcW w:w="910" w:type="pct"/>
            <w:tcBorders>
              <w:top w:val="single" w:sz="4" w:space="0" w:color="00338D"/>
              <w:bottom w:val="single" w:sz="4" w:space="0" w:color="00338D"/>
            </w:tcBorders>
            <w:vAlign w:val="center"/>
          </w:tcPr>
          <w:p w14:paraId="6038B7D2" w14:textId="0696A96F" w:rsidR="008E5CA0" w:rsidRPr="00581D07" w:rsidRDefault="00F25A48" w:rsidP="004E0DFF">
            <w:pPr>
              <w:pStyle w:val="Tabletext"/>
              <w:jc w:val="center"/>
            </w:pPr>
            <w:r w:rsidRPr="00581D07">
              <w:t>83.5%*</w:t>
            </w:r>
          </w:p>
        </w:tc>
        <w:tc>
          <w:tcPr>
            <w:tcW w:w="910" w:type="pct"/>
            <w:tcBorders>
              <w:top w:val="single" w:sz="4" w:space="0" w:color="00338D"/>
              <w:bottom w:val="single" w:sz="4" w:space="0" w:color="00338D"/>
            </w:tcBorders>
            <w:vAlign w:val="center"/>
          </w:tcPr>
          <w:p w14:paraId="7AF0E34E" w14:textId="507FD0B4" w:rsidR="008E5CA0" w:rsidRPr="00581D07" w:rsidRDefault="00F25A48" w:rsidP="004E0DFF">
            <w:pPr>
              <w:pStyle w:val="Tabletext"/>
              <w:jc w:val="center"/>
            </w:pPr>
            <w:r w:rsidRPr="00581D07">
              <w:t>81.9%*</w:t>
            </w:r>
          </w:p>
        </w:tc>
      </w:tr>
      <w:tr w:rsidR="008E5CA0" w14:paraId="736AA729" w14:textId="77777777" w:rsidTr="004E0DFF">
        <w:tc>
          <w:tcPr>
            <w:tcW w:w="1360" w:type="pct"/>
            <w:tcBorders>
              <w:top w:val="single" w:sz="4" w:space="0" w:color="00338D"/>
              <w:bottom w:val="single" w:sz="4" w:space="0" w:color="00338D"/>
            </w:tcBorders>
          </w:tcPr>
          <w:p w14:paraId="56606892" w14:textId="77777777" w:rsidR="008E5CA0" w:rsidRPr="00F02D55" w:rsidRDefault="008E5CA0" w:rsidP="004E0DFF">
            <w:pPr>
              <w:pStyle w:val="Tabletext"/>
              <w:rPr>
                <w:rFonts w:eastAsia="Calibri" w:cs="Arial"/>
                <w:b/>
                <w:bCs/>
                <w:color w:val="000000" w:themeColor="text1"/>
                <w:kern w:val="24"/>
                <w:szCs w:val="20"/>
              </w:rPr>
            </w:pPr>
            <w:r w:rsidRPr="00412532">
              <w:t>I feel that my mental health improved because of my contact with headspace</w:t>
            </w:r>
          </w:p>
        </w:tc>
        <w:tc>
          <w:tcPr>
            <w:tcW w:w="910" w:type="pct"/>
            <w:tcBorders>
              <w:top w:val="single" w:sz="4" w:space="0" w:color="00338D"/>
              <w:bottom w:val="single" w:sz="4" w:space="0" w:color="00338D"/>
            </w:tcBorders>
            <w:vAlign w:val="center"/>
          </w:tcPr>
          <w:p w14:paraId="4B988101" w14:textId="4D1C0DC2" w:rsidR="008E5CA0" w:rsidRPr="00581D07" w:rsidRDefault="00BD35B7" w:rsidP="004E0DFF">
            <w:pPr>
              <w:pStyle w:val="Tabletext"/>
              <w:jc w:val="center"/>
            </w:pPr>
            <w:r w:rsidRPr="00581D07">
              <w:t>63</w:t>
            </w:r>
            <w:r w:rsidR="004C4CD8" w:rsidRPr="00581D07">
              <w:t>.</w:t>
            </w:r>
            <w:r w:rsidRPr="00581D07">
              <w:t>5</w:t>
            </w:r>
            <w:r w:rsidR="004C4CD8" w:rsidRPr="00581D07">
              <w:t>%</w:t>
            </w:r>
          </w:p>
        </w:tc>
        <w:tc>
          <w:tcPr>
            <w:tcW w:w="910" w:type="pct"/>
            <w:tcBorders>
              <w:top w:val="single" w:sz="4" w:space="0" w:color="00338D"/>
              <w:bottom w:val="single" w:sz="4" w:space="0" w:color="00338D"/>
            </w:tcBorders>
            <w:vAlign w:val="center"/>
          </w:tcPr>
          <w:p w14:paraId="3499E6A5" w14:textId="13A597B4" w:rsidR="008E5CA0" w:rsidRPr="00876BB2" w:rsidRDefault="00E54F77" w:rsidP="004E0DFF">
            <w:pPr>
              <w:pStyle w:val="Tabletext"/>
              <w:jc w:val="center"/>
            </w:pPr>
            <w:r w:rsidRPr="00581D07">
              <w:t>62</w:t>
            </w:r>
            <w:r w:rsidR="004C4CD8" w:rsidRPr="00581D07">
              <w:t>.3%*</w:t>
            </w:r>
          </w:p>
        </w:tc>
        <w:tc>
          <w:tcPr>
            <w:tcW w:w="910" w:type="pct"/>
            <w:tcBorders>
              <w:top w:val="single" w:sz="4" w:space="0" w:color="00338D"/>
              <w:bottom w:val="single" w:sz="4" w:space="0" w:color="00338D"/>
            </w:tcBorders>
            <w:vAlign w:val="center"/>
          </w:tcPr>
          <w:p w14:paraId="0F321545" w14:textId="1FEE8B99" w:rsidR="008E5CA0" w:rsidRPr="00876BB2" w:rsidRDefault="004C4CD8" w:rsidP="004E0DFF">
            <w:pPr>
              <w:pStyle w:val="Tabletext"/>
              <w:jc w:val="center"/>
            </w:pPr>
            <w:r w:rsidRPr="00581D07">
              <w:t>63.5%</w:t>
            </w:r>
          </w:p>
        </w:tc>
        <w:tc>
          <w:tcPr>
            <w:tcW w:w="910" w:type="pct"/>
            <w:tcBorders>
              <w:top w:val="single" w:sz="4" w:space="0" w:color="00338D"/>
              <w:bottom w:val="single" w:sz="4" w:space="0" w:color="00338D"/>
            </w:tcBorders>
            <w:vAlign w:val="center"/>
          </w:tcPr>
          <w:p w14:paraId="0F66BCEE" w14:textId="18FD6E19" w:rsidR="008E5CA0" w:rsidRPr="00876BB2" w:rsidRDefault="004C4CD8" w:rsidP="004E0DFF">
            <w:pPr>
              <w:pStyle w:val="Tabletext"/>
              <w:jc w:val="center"/>
            </w:pPr>
            <w:r w:rsidRPr="00581D07">
              <w:t>62.5%</w:t>
            </w:r>
          </w:p>
        </w:tc>
      </w:tr>
      <w:tr w:rsidR="008E5CA0" w14:paraId="61A1B27C" w14:textId="77777777" w:rsidTr="004E0DFF">
        <w:tc>
          <w:tcPr>
            <w:tcW w:w="1360" w:type="pct"/>
            <w:tcBorders>
              <w:top w:val="single" w:sz="4" w:space="0" w:color="00338D"/>
              <w:bottom w:val="single" w:sz="4" w:space="0" w:color="00338D"/>
            </w:tcBorders>
          </w:tcPr>
          <w:p w14:paraId="5D9BD2A5" w14:textId="77777777" w:rsidR="008E5CA0" w:rsidRPr="00F02D55" w:rsidRDefault="008E5CA0" w:rsidP="004E0DFF">
            <w:pPr>
              <w:pStyle w:val="Tabletext"/>
              <w:rPr>
                <w:rFonts w:eastAsia="Calibri" w:cs="Arial"/>
                <w:i/>
                <w:iCs/>
                <w:color w:val="000000" w:themeColor="text1"/>
                <w:kern w:val="24"/>
                <w:szCs w:val="20"/>
              </w:rPr>
            </w:pPr>
            <w:r w:rsidRPr="00412532">
              <w:t>I feel that other aspects of my life improved because of my contact with headspace</w:t>
            </w:r>
          </w:p>
        </w:tc>
        <w:tc>
          <w:tcPr>
            <w:tcW w:w="910" w:type="pct"/>
            <w:tcBorders>
              <w:top w:val="single" w:sz="4" w:space="0" w:color="00338D"/>
              <w:bottom w:val="single" w:sz="4" w:space="0" w:color="00338D"/>
            </w:tcBorders>
            <w:vAlign w:val="center"/>
          </w:tcPr>
          <w:p w14:paraId="3DECDC6F" w14:textId="633C86B5" w:rsidR="008E5CA0" w:rsidRPr="00581D07" w:rsidRDefault="00087AD4" w:rsidP="004E0DFF">
            <w:pPr>
              <w:pStyle w:val="Tabletext"/>
              <w:jc w:val="center"/>
            </w:pPr>
            <w:r w:rsidRPr="00581D07">
              <w:t>61.6%</w:t>
            </w:r>
          </w:p>
        </w:tc>
        <w:tc>
          <w:tcPr>
            <w:tcW w:w="910" w:type="pct"/>
            <w:tcBorders>
              <w:top w:val="single" w:sz="4" w:space="0" w:color="00338D"/>
              <w:bottom w:val="single" w:sz="4" w:space="0" w:color="00338D"/>
            </w:tcBorders>
            <w:vAlign w:val="center"/>
          </w:tcPr>
          <w:p w14:paraId="42D155A8" w14:textId="5900B2E0" w:rsidR="008E5CA0" w:rsidRPr="00581D07" w:rsidRDefault="00087AD4" w:rsidP="004E0DFF">
            <w:pPr>
              <w:pStyle w:val="Tabletext"/>
              <w:jc w:val="center"/>
            </w:pPr>
            <w:r w:rsidRPr="00581D07">
              <w:t>59.9%*</w:t>
            </w:r>
          </w:p>
        </w:tc>
        <w:tc>
          <w:tcPr>
            <w:tcW w:w="910" w:type="pct"/>
            <w:tcBorders>
              <w:top w:val="single" w:sz="4" w:space="0" w:color="00338D"/>
              <w:bottom w:val="single" w:sz="4" w:space="0" w:color="00338D"/>
            </w:tcBorders>
            <w:vAlign w:val="center"/>
          </w:tcPr>
          <w:p w14:paraId="73CFE4DF" w14:textId="4506A4E3" w:rsidR="008E5CA0" w:rsidRPr="00581D07" w:rsidRDefault="00087AD4" w:rsidP="004E0DFF">
            <w:pPr>
              <w:pStyle w:val="Tabletext"/>
              <w:jc w:val="center"/>
            </w:pPr>
            <w:r w:rsidRPr="00581D07">
              <w:t>60.8%</w:t>
            </w:r>
          </w:p>
        </w:tc>
        <w:tc>
          <w:tcPr>
            <w:tcW w:w="910" w:type="pct"/>
            <w:tcBorders>
              <w:top w:val="single" w:sz="4" w:space="0" w:color="00338D"/>
              <w:bottom w:val="single" w:sz="4" w:space="0" w:color="00338D"/>
            </w:tcBorders>
            <w:vAlign w:val="center"/>
          </w:tcPr>
          <w:p w14:paraId="098C2CDC" w14:textId="7469C8BA" w:rsidR="008E5CA0" w:rsidRPr="00581D07" w:rsidRDefault="00087AD4" w:rsidP="004E0DFF">
            <w:pPr>
              <w:pStyle w:val="Tabletext"/>
              <w:jc w:val="center"/>
            </w:pPr>
            <w:r w:rsidRPr="00581D07">
              <w:t>61.8%</w:t>
            </w:r>
          </w:p>
        </w:tc>
      </w:tr>
      <w:tr w:rsidR="008E5CA0" w14:paraId="749C5810" w14:textId="77777777" w:rsidTr="004E0DFF">
        <w:tc>
          <w:tcPr>
            <w:tcW w:w="1360" w:type="pct"/>
            <w:tcBorders>
              <w:top w:val="single" w:sz="4" w:space="0" w:color="00338D"/>
              <w:bottom w:val="single" w:sz="4" w:space="0" w:color="00338D"/>
            </w:tcBorders>
          </w:tcPr>
          <w:p w14:paraId="13493297" w14:textId="77777777" w:rsidR="008E5CA0" w:rsidRPr="00F02D55" w:rsidRDefault="008E5CA0" w:rsidP="004E0DFF">
            <w:pPr>
              <w:pStyle w:val="Tabletext"/>
              <w:rPr>
                <w:rFonts w:eastAsia="Calibri" w:cs="Arial"/>
                <w:i/>
                <w:iCs/>
                <w:color w:val="000000" w:themeColor="text1"/>
                <w:kern w:val="24"/>
                <w:szCs w:val="20"/>
              </w:rPr>
            </w:pPr>
            <w:r w:rsidRPr="00412532">
              <w:t>I feel that I can deal more effectively with my problems because of attending headspace</w:t>
            </w:r>
          </w:p>
        </w:tc>
        <w:tc>
          <w:tcPr>
            <w:tcW w:w="910" w:type="pct"/>
            <w:tcBorders>
              <w:top w:val="single" w:sz="4" w:space="0" w:color="00338D"/>
              <w:bottom w:val="single" w:sz="4" w:space="0" w:color="00338D"/>
            </w:tcBorders>
            <w:vAlign w:val="center"/>
          </w:tcPr>
          <w:p w14:paraId="7A2681C6" w14:textId="75CFE043" w:rsidR="008E5CA0" w:rsidRPr="00581D07" w:rsidRDefault="00926019" w:rsidP="004E0DFF">
            <w:pPr>
              <w:pStyle w:val="Tabletext"/>
              <w:jc w:val="center"/>
            </w:pPr>
            <w:r w:rsidRPr="00581D07">
              <w:t>63</w:t>
            </w:r>
            <w:r w:rsidR="004917A9" w:rsidRPr="00581D07">
              <w:t>.</w:t>
            </w:r>
            <w:r w:rsidRPr="00581D07">
              <w:t>5</w:t>
            </w:r>
            <w:r w:rsidR="004917A9" w:rsidRPr="00581D07">
              <w:t>%</w:t>
            </w:r>
          </w:p>
        </w:tc>
        <w:tc>
          <w:tcPr>
            <w:tcW w:w="910" w:type="pct"/>
            <w:tcBorders>
              <w:top w:val="single" w:sz="4" w:space="0" w:color="00338D"/>
              <w:bottom w:val="single" w:sz="4" w:space="0" w:color="00338D"/>
            </w:tcBorders>
            <w:vAlign w:val="center"/>
          </w:tcPr>
          <w:p w14:paraId="324D8E9A" w14:textId="3B764DBA" w:rsidR="008E5CA0" w:rsidRPr="00581D07" w:rsidRDefault="004917A9" w:rsidP="004E0DFF">
            <w:pPr>
              <w:pStyle w:val="Tabletext"/>
              <w:jc w:val="center"/>
            </w:pPr>
            <w:r w:rsidRPr="00581D07">
              <w:t>62.3%*</w:t>
            </w:r>
          </w:p>
        </w:tc>
        <w:tc>
          <w:tcPr>
            <w:tcW w:w="910" w:type="pct"/>
            <w:tcBorders>
              <w:top w:val="single" w:sz="4" w:space="0" w:color="00338D"/>
              <w:bottom w:val="single" w:sz="4" w:space="0" w:color="00338D"/>
            </w:tcBorders>
            <w:vAlign w:val="center"/>
          </w:tcPr>
          <w:p w14:paraId="64648595" w14:textId="78AFEC8A" w:rsidR="008E5CA0" w:rsidRPr="00581D07" w:rsidRDefault="004917A9" w:rsidP="004E0DFF">
            <w:pPr>
              <w:pStyle w:val="Tabletext"/>
              <w:jc w:val="center"/>
            </w:pPr>
            <w:r w:rsidRPr="00581D07">
              <w:t>63.3%</w:t>
            </w:r>
          </w:p>
        </w:tc>
        <w:tc>
          <w:tcPr>
            <w:tcW w:w="910" w:type="pct"/>
            <w:tcBorders>
              <w:top w:val="single" w:sz="4" w:space="0" w:color="00338D"/>
              <w:bottom w:val="single" w:sz="4" w:space="0" w:color="00338D"/>
            </w:tcBorders>
            <w:vAlign w:val="center"/>
          </w:tcPr>
          <w:p w14:paraId="7F658496" w14:textId="2CF6EB4F" w:rsidR="008E5CA0" w:rsidRPr="00581D07" w:rsidRDefault="004917A9" w:rsidP="004E0DFF">
            <w:pPr>
              <w:pStyle w:val="Tabletext"/>
              <w:jc w:val="center"/>
            </w:pPr>
            <w:r w:rsidRPr="00581D07">
              <w:t>62.5%*</w:t>
            </w:r>
          </w:p>
        </w:tc>
      </w:tr>
      <w:tr w:rsidR="008E5CA0" w14:paraId="2013C321" w14:textId="77777777" w:rsidTr="004E0DFF">
        <w:tc>
          <w:tcPr>
            <w:tcW w:w="1360" w:type="pct"/>
            <w:tcBorders>
              <w:top w:val="single" w:sz="4" w:space="0" w:color="00338D"/>
              <w:bottom w:val="single" w:sz="4" w:space="0" w:color="00338D"/>
            </w:tcBorders>
          </w:tcPr>
          <w:p w14:paraId="2CEB5B78" w14:textId="77777777" w:rsidR="008E5CA0" w:rsidRPr="000452B3" w:rsidRDefault="008E5CA0" w:rsidP="004E0DFF">
            <w:pPr>
              <w:pStyle w:val="Tabletext"/>
              <w:rPr>
                <w:rFonts w:eastAsia="Calibri" w:cs="Arial"/>
                <w:b/>
                <w:bCs/>
                <w:color w:val="000000" w:themeColor="text1"/>
                <w:kern w:val="24"/>
                <w:szCs w:val="20"/>
              </w:rPr>
            </w:pPr>
            <w:r w:rsidRPr="00412532">
              <w:t>I feel that I know more about mental health problems in general because of attending headspace</w:t>
            </w:r>
          </w:p>
        </w:tc>
        <w:tc>
          <w:tcPr>
            <w:tcW w:w="910" w:type="pct"/>
            <w:tcBorders>
              <w:top w:val="single" w:sz="4" w:space="0" w:color="00338D"/>
              <w:bottom w:val="single" w:sz="4" w:space="0" w:color="00338D"/>
            </w:tcBorders>
            <w:vAlign w:val="center"/>
          </w:tcPr>
          <w:p w14:paraId="5C20D598" w14:textId="51A6A6A3" w:rsidR="008E5CA0" w:rsidRPr="00581D07" w:rsidRDefault="005174F4" w:rsidP="004E0DFF">
            <w:pPr>
              <w:pStyle w:val="Tabletext"/>
              <w:jc w:val="center"/>
            </w:pPr>
            <w:r w:rsidRPr="00581D07">
              <w:t>66</w:t>
            </w:r>
            <w:r w:rsidR="00CA1197" w:rsidRPr="00581D07">
              <w:t>.</w:t>
            </w:r>
            <w:r w:rsidRPr="00581D07">
              <w:t>5</w:t>
            </w:r>
            <w:r w:rsidR="00CA1197" w:rsidRPr="00581D07">
              <w:t>%</w:t>
            </w:r>
          </w:p>
        </w:tc>
        <w:tc>
          <w:tcPr>
            <w:tcW w:w="910" w:type="pct"/>
            <w:tcBorders>
              <w:top w:val="single" w:sz="4" w:space="0" w:color="00338D"/>
              <w:bottom w:val="single" w:sz="4" w:space="0" w:color="00338D"/>
            </w:tcBorders>
            <w:vAlign w:val="center"/>
          </w:tcPr>
          <w:p w14:paraId="72AF219A" w14:textId="14EA4FB1" w:rsidR="008E5CA0" w:rsidRPr="00876BB2" w:rsidRDefault="005174F4" w:rsidP="004E0DFF">
            <w:pPr>
              <w:pStyle w:val="Tabletext"/>
              <w:jc w:val="center"/>
            </w:pPr>
            <w:r w:rsidRPr="00581D07">
              <w:t>66</w:t>
            </w:r>
            <w:r w:rsidR="00CA1197" w:rsidRPr="00581D07">
              <w:t>.2%</w:t>
            </w:r>
          </w:p>
        </w:tc>
        <w:tc>
          <w:tcPr>
            <w:tcW w:w="910" w:type="pct"/>
            <w:tcBorders>
              <w:top w:val="single" w:sz="4" w:space="0" w:color="00338D"/>
              <w:bottom w:val="single" w:sz="4" w:space="0" w:color="00338D"/>
            </w:tcBorders>
            <w:vAlign w:val="center"/>
          </w:tcPr>
          <w:p w14:paraId="43A8F4AD" w14:textId="3390E819" w:rsidR="008E5CA0" w:rsidRPr="00876BB2" w:rsidRDefault="005174F4" w:rsidP="004E0DFF">
            <w:pPr>
              <w:pStyle w:val="Tabletext"/>
              <w:jc w:val="center"/>
            </w:pPr>
            <w:r w:rsidRPr="00581D07">
              <w:t>67</w:t>
            </w:r>
            <w:r w:rsidR="00CA1197" w:rsidRPr="00581D07">
              <w:t>.</w:t>
            </w:r>
            <w:r w:rsidRPr="00581D07">
              <w:t>0</w:t>
            </w:r>
            <w:r w:rsidR="00CA1197" w:rsidRPr="00581D07">
              <w:t>%</w:t>
            </w:r>
          </w:p>
        </w:tc>
        <w:tc>
          <w:tcPr>
            <w:tcW w:w="910" w:type="pct"/>
            <w:tcBorders>
              <w:top w:val="single" w:sz="4" w:space="0" w:color="00338D"/>
              <w:bottom w:val="single" w:sz="4" w:space="0" w:color="00338D"/>
            </w:tcBorders>
            <w:vAlign w:val="center"/>
          </w:tcPr>
          <w:p w14:paraId="43BF61B2" w14:textId="66DDFEF5" w:rsidR="008E5CA0" w:rsidRPr="00876BB2" w:rsidRDefault="00CA1197" w:rsidP="004E0DFF">
            <w:pPr>
              <w:pStyle w:val="Tabletext"/>
              <w:jc w:val="center"/>
            </w:pPr>
            <w:r w:rsidRPr="00581D07">
              <w:t>64.8%*</w:t>
            </w:r>
          </w:p>
        </w:tc>
      </w:tr>
      <w:tr w:rsidR="008E5CA0" w14:paraId="53372F25" w14:textId="77777777" w:rsidTr="004E0DFF">
        <w:tc>
          <w:tcPr>
            <w:tcW w:w="1360" w:type="pct"/>
            <w:tcBorders>
              <w:top w:val="single" w:sz="4" w:space="0" w:color="00338D"/>
              <w:bottom w:val="single" w:sz="4" w:space="0" w:color="00338D"/>
            </w:tcBorders>
          </w:tcPr>
          <w:p w14:paraId="31319E2F" w14:textId="77777777" w:rsidR="008E5CA0" w:rsidRPr="000452B3" w:rsidRDefault="008E5CA0" w:rsidP="004E0DFF">
            <w:pPr>
              <w:pStyle w:val="Tabletext"/>
              <w:rPr>
                <w:rFonts w:eastAsia="Calibri" w:cs="Arial"/>
                <w:b/>
                <w:bCs/>
                <w:color w:val="000000" w:themeColor="text1"/>
                <w:kern w:val="24"/>
                <w:szCs w:val="20"/>
              </w:rPr>
            </w:pPr>
            <w:r w:rsidRPr="00412532">
              <w:t>I was generally satisfied with headspace</w:t>
            </w:r>
          </w:p>
        </w:tc>
        <w:tc>
          <w:tcPr>
            <w:tcW w:w="910" w:type="pct"/>
            <w:tcBorders>
              <w:top w:val="single" w:sz="4" w:space="0" w:color="00338D"/>
              <w:bottom w:val="single" w:sz="4" w:space="0" w:color="00338D"/>
            </w:tcBorders>
            <w:vAlign w:val="center"/>
          </w:tcPr>
          <w:p w14:paraId="578E38B4" w14:textId="0FEDD89D" w:rsidR="008E5CA0" w:rsidRPr="00581D07" w:rsidRDefault="00732F51" w:rsidP="004E0DFF">
            <w:pPr>
              <w:pStyle w:val="Tabletext"/>
              <w:jc w:val="center"/>
            </w:pPr>
            <w:r w:rsidRPr="00581D07">
              <w:t>86.6%</w:t>
            </w:r>
          </w:p>
        </w:tc>
        <w:tc>
          <w:tcPr>
            <w:tcW w:w="910" w:type="pct"/>
            <w:tcBorders>
              <w:top w:val="single" w:sz="4" w:space="0" w:color="00338D"/>
              <w:bottom w:val="single" w:sz="4" w:space="0" w:color="00338D"/>
            </w:tcBorders>
            <w:vAlign w:val="center"/>
          </w:tcPr>
          <w:p w14:paraId="0622441C" w14:textId="398C21CC" w:rsidR="008E5CA0" w:rsidRPr="00876BB2" w:rsidRDefault="00732F51" w:rsidP="004E0DFF">
            <w:pPr>
              <w:pStyle w:val="Tabletext"/>
              <w:jc w:val="center"/>
            </w:pPr>
            <w:r w:rsidRPr="00581D07">
              <w:t>87.6%*</w:t>
            </w:r>
          </w:p>
        </w:tc>
        <w:tc>
          <w:tcPr>
            <w:tcW w:w="910" w:type="pct"/>
            <w:tcBorders>
              <w:top w:val="single" w:sz="4" w:space="0" w:color="00338D"/>
              <w:bottom w:val="single" w:sz="4" w:space="0" w:color="00338D"/>
            </w:tcBorders>
            <w:vAlign w:val="center"/>
          </w:tcPr>
          <w:p w14:paraId="6B9B9D2B" w14:textId="702FD166" w:rsidR="008E5CA0" w:rsidRPr="00876BB2" w:rsidRDefault="00732F51" w:rsidP="004E0DFF">
            <w:pPr>
              <w:pStyle w:val="Tabletext"/>
              <w:jc w:val="center"/>
            </w:pPr>
            <w:r w:rsidRPr="00581D07">
              <w:t>84.9%*</w:t>
            </w:r>
          </w:p>
        </w:tc>
        <w:tc>
          <w:tcPr>
            <w:tcW w:w="910" w:type="pct"/>
            <w:tcBorders>
              <w:top w:val="single" w:sz="4" w:space="0" w:color="00338D"/>
              <w:bottom w:val="single" w:sz="4" w:space="0" w:color="00338D"/>
            </w:tcBorders>
            <w:vAlign w:val="center"/>
          </w:tcPr>
          <w:p w14:paraId="4BE960E6" w14:textId="26DDDCFB" w:rsidR="008E5CA0" w:rsidRPr="00876BB2" w:rsidRDefault="00732F51" w:rsidP="004E0DFF">
            <w:pPr>
              <w:pStyle w:val="Tabletext"/>
              <w:jc w:val="center"/>
            </w:pPr>
            <w:r w:rsidRPr="00581D07">
              <w:t>83.5%*</w:t>
            </w:r>
          </w:p>
        </w:tc>
      </w:tr>
      <w:tr w:rsidR="008E5CA0" w14:paraId="5D636679" w14:textId="77777777" w:rsidTr="004E0DFF">
        <w:tc>
          <w:tcPr>
            <w:tcW w:w="1360" w:type="pct"/>
            <w:tcBorders>
              <w:top w:val="single" w:sz="4" w:space="0" w:color="00338D"/>
              <w:bottom w:val="single" w:sz="4" w:space="0" w:color="00338D"/>
            </w:tcBorders>
          </w:tcPr>
          <w:p w14:paraId="0718853F" w14:textId="77777777" w:rsidR="008E5CA0" w:rsidRPr="00412532" w:rsidRDefault="008E5CA0" w:rsidP="004E0DFF">
            <w:pPr>
              <w:pStyle w:val="Tabletext"/>
            </w:pPr>
            <w:r w:rsidRPr="002715C3">
              <w:t>I got help for the things I wanted to get help with</w:t>
            </w:r>
          </w:p>
        </w:tc>
        <w:tc>
          <w:tcPr>
            <w:tcW w:w="910" w:type="pct"/>
            <w:tcBorders>
              <w:top w:val="single" w:sz="4" w:space="0" w:color="00338D"/>
              <w:bottom w:val="single" w:sz="4" w:space="0" w:color="00338D"/>
            </w:tcBorders>
            <w:vAlign w:val="center"/>
          </w:tcPr>
          <w:p w14:paraId="52BC7D74" w14:textId="0AFD5246" w:rsidR="008E5CA0" w:rsidRPr="00581D07" w:rsidRDefault="00606A33" w:rsidP="004E0DFF">
            <w:pPr>
              <w:pStyle w:val="Tabletext"/>
              <w:jc w:val="center"/>
            </w:pPr>
            <w:r w:rsidRPr="00581D07">
              <w:t>75.6%</w:t>
            </w:r>
          </w:p>
        </w:tc>
        <w:tc>
          <w:tcPr>
            <w:tcW w:w="910" w:type="pct"/>
            <w:tcBorders>
              <w:top w:val="single" w:sz="4" w:space="0" w:color="00338D"/>
              <w:bottom w:val="single" w:sz="4" w:space="0" w:color="00338D"/>
            </w:tcBorders>
            <w:vAlign w:val="center"/>
          </w:tcPr>
          <w:p w14:paraId="2425B47E" w14:textId="73BBAD18" w:rsidR="008E5CA0" w:rsidRPr="00876BB2" w:rsidRDefault="00606A33" w:rsidP="004E0DFF">
            <w:pPr>
              <w:pStyle w:val="Tabletext"/>
              <w:jc w:val="center"/>
            </w:pPr>
            <w:r w:rsidRPr="00581D07">
              <w:t>75.2%</w:t>
            </w:r>
          </w:p>
        </w:tc>
        <w:tc>
          <w:tcPr>
            <w:tcW w:w="910" w:type="pct"/>
            <w:tcBorders>
              <w:top w:val="single" w:sz="4" w:space="0" w:color="00338D"/>
              <w:bottom w:val="single" w:sz="4" w:space="0" w:color="00338D"/>
            </w:tcBorders>
            <w:vAlign w:val="center"/>
          </w:tcPr>
          <w:p w14:paraId="558A0816" w14:textId="6AC33380" w:rsidR="008E5CA0" w:rsidRPr="00876BB2" w:rsidRDefault="00606A33" w:rsidP="004E0DFF">
            <w:pPr>
              <w:pStyle w:val="Tabletext"/>
              <w:jc w:val="center"/>
            </w:pPr>
            <w:r w:rsidRPr="00581D07">
              <w:t>73.1%*</w:t>
            </w:r>
          </w:p>
        </w:tc>
        <w:tc>
          <w:tcPr>
            <w:tcW w:w="910" w:type="pct"/>
            <w:tcBorders>
              <w:top w:val="single" w:sz="4" w:space="0" w:color="00338D"/>
              <w:bottom w:val="single" w:sz="4" w:space="0" w:color="00338D"/>
            </w:tcBorders>
            <w:vAlign w:val="center"/>
          </w:tcPr>
          <w:p w14:paraId="2B650451" w14:textId="4D6182FD" w:rsidR="008E5CA0" w:rsidRPr="00876BB2" w:rsidRDefault="00606A33" w:rsidP="004E0DFF">
            <w:pPr>
              <w:pStyle w:val="Tabletext"/>
              <w:jc w:val="center"/>
            </w:pPr>
            <w:r w:rsidRPr="00581D07">
              <w:t>73.4%*</w:t>
            </w:r>
          </w:p>
        </w:tc>
      </w:tr>
      <w:tr w:rsidR="008E5CA0" w14:paraId="633841A4" w14:textId="77777777" w:rsidTr="004E0DFF">
        <w:tc>
          <w:tcPr>
            <w:tcW w:w="1360" w:type="pct"/>
            <w:tcBorders>
              <w:top w:val="single" w:sz="4" w:space="0" w:color="00338D"/>
              <w:bottom w:val="single" w:sz="4" w:space="0" w:color="00338D"/>
            </w:tcBorders>
          </w:tcPr>
          <w:p w14:paraId="495F21FF" w14:textId="77777777" w:rsidR="008E5CA0" w:rsidRPr="00412532" w:rsidRDefault="008E5CA0" w:rsidP="004E0DFF">
            <w:pPr>
              <w:pStyle w:val="Tabletext"/>
            </w:pPr>
            <w:r w:rsidRPr="002715C3">
              <w:t>If a friend needed this sort of help, I would suggest headspace</w:t>
            </w:r>
          </w:p>
        </w:tc>
        <w:tc>
          <w:tcPr>
            <w:tcW w:w="910" w:type="pct"/>
            <w:tcBorders>
              <w:top w:val="single" w:sz="4" w:space="0" w:color="00338D"/>
              <w:bottom w:val="single" w:sz="4" w:space="0" w:color="00338D"/>
            </w:tcBorders>
            <w:vAlign w:val="center"/>
          </w:tcPr>
          <w:p w14:paraId="61A81F02" w14:textId="02D0F352" w:rsidR="008E5CA0" w:rsidRPr="00581D07" w:rsidRDefault="00D85588" w:rsidP="004E0DFF">
            <w:pPr>
              <w:pStyle w:val="Tabletext"/>
              <w:jc w:val="center"/>
            </w:pPr>
            <w:r w:rsidRPr="00581D07">
              <w:t>88.7%</w:t>
            </w:r>
          </w:p>
        </w:tc>
        <w:tc>
          <w:tcPr>
            <w:tcW w:w="910" w:type="pct"/>
            <w:tcBorders>
              <w:top w:val="single" w:sz="4" w:space="0" w:color="00338D"/>
              <w:bottom w:val="single" w:sz="4" w:space="0" w:color="00338D"/>
            </w:tcBorders>
            <w:vAlign w:val="center"/>
          </w:tcPr>
          <w:p w14:paraId="09BA74BC" w14:textId="727B87FB" w:rsidR="008E5CA0" w:rsidRPr="00876BB2" w:rsidRDefault="00D85588" w:rsidP="004E0DFF">
            <w:pPr>
              <w:pStyle w:val="Tabletext"/>
              <w:jc w:val="center"/>
            </w:pPr>
            <w:r w:rsidRPr="00581D07">
              <w:t>89.9%*</w:t>
            </w:r>
          </w:p>
        </w:tc>
        <w:tc>
          <w:tcPr>
            <w:tcW w:w="910" w:type="pct"/>
            <w:tcBorders>
              <w:top w:val="single" w:sz="4" w:space="0" w:color="00338D"/>
              <w:bottom w:val="single" w:sz="4" w:space="0" w:color="00338D"/>
            </w:tcBorders>
            <w:vAlign w:val="center"/>
          </w:tcPr>
          <w:p w14:paraId="511CFE14" w14:textId="7FDF8DC3" w:rsidR="008E5CA0" w:rsidRPr="00876BB2" w:rsidRDefault="00D85588" w:rsidP="004E0DFF">
            <w:pPr>
              <w:pStyle w:val="Tabletext"/>
              <w:jc w:val="center"/>
            </w:pPr>
            <w:r w:rsidRPr="00581D07">
              <w:t>87.5%*</w:t>
            </w:r>
          </w:p>
        </w:tc>
        <w:tc>
          <w:tcPr>
            <w:tcW w:w="910" w:type="pct"/>
            <w:tcBorders>
              <w:top w:val="single" w:sz="4" w:space="0" w:color="00338D"/>
              <w:bottom w:val="single" w:sz="4" w:space="0" w:color="00338D"/>
            </w:tcBorders>
            <w:vAlign w:val="center"/>
          </w:tcPr>
          <w:p w14:paraId="604C1E6E" w14:textId="5418DDEB" w:rsidR="008E5CA0" w:rsidRPr="00876BB2" w:rsidRDefault="00D85588" w:rsidP="004E0DFF">
            <w:pPr>
              <w:pStyle w:val="Tabletext"/>
              <w:jc w:val="center"/>
            </w:pPr>
            <w:r w:rsidRPr="00581D07">
              <w:t>86.9%*</w:t>
            </w:r>
          </w:p>
        </w:tc>
      </w:tr>
    </w:tbl>
    <w:p w14:paraId="003B2F10" w14:textId="4975DE0D" w:rsidR="008E5CA0" w:rsidRPr="007C384E" w:rsidRDefault="008E5CA0" w:rsidP="008E5CA0">
      <w:pPr>
        <w:pStyle w:val="Source"/>
        <w:rPr>
          <w:szCs w:val="16"/>
        </w:rPr>
      </w:pPr>
      <w:r w:rsidRPr="00216287" w:rsidDel="00624964">
        <w:rPr>
          <w:szCs w:val="16"/>
        </w:rPr>
        <w:t xml:space="preserve">Source: KPMG analysis of </w:t>
      </w:r>
      <w:r w:rsidRPr="00216287">
        <w:rPr>
          <w:szCs w:val="16"/>
        </w:rPr>
        <w:t xml:space="preserve">hMDS of episodes created within 2015-16 to </w:t>
      </w:r>
      <w:r w:rsidRPr="009A62BE">
        <w:rPr>
          <w:szCs w:val="16"/>
        </w:rPr>
        <w:t>2019-20.</w:t>
      </w:r>
      <w:r w:rsidRPr="006F76DD">
        <w:rPr>
          <w:szCs w:val="16"/>
        </w:rPr>
        <w:t xml:space="preserve"> Sample includes 379,130 episodes.</w:t>
      </w:r>
    </w:p>
    <w:p w14:paraId="79891D4D" w14:textId="490D12AA" w:rsidR="008E5CA0" w:rsidRPr="00042A89" w:rsidRDefault="008E5CA0" w:rsidP="008E5CA0">
      <w:pPr>
        <w:pStyle w:val="Source"/>
        <w:rPr>
          <w:szCs w:val="16"/>
        </w:rPr>
      </w:pPr>
      <w:r w:rsidRPr="003E6A90">
        <w:rPr>
          <w:szCs w:val="16"/>
        </w:rPr>
        <w:t>Notes:</w:t>
      </w:r>
      <w:r w:rsidRPr="00330A7A">
        <w:rPr>
          <w:szCs w:val="16"/>
        </w:rPr>
        <w:t xml:space="preserve"> Stati</w:t>
      </w:r>
      <w:r w:rsidRPr="00637E84">
        <w:rPr>
          <w:szCs w:val="16"/>
        </w:rPr>
        <w:t xml:space="preserve">stics are </w:t>
      </w:r>
      <w:r w:rsidR="00876BB2">
        <w:rPr>
          <w:szCs w:val="16"/>
        </w:rPr>
        <w:t>based on the episode’s</w:t>
      </w:r>
      <w:r w:rsidRPr="00637E84">
        <w:rPr>
          <w:szCs w:val="16"/>
        </w:rPr>
        <w:t xml:space="preserve"> last observed response</w:t>
      </w:r>
      <w:r w:rsidRPr="0000542D">
        <w:rPr>
          <w:szCs w:val="16"/>
        </w:rPr>
        <w:t>.</w:t>
      </w:r>
    </w:p>
    <w:p w14:paraId="1C35FE6C" w14:textId="77777777" w:rsidR="008E5CA0" w:rsidRPr="00683AD4" w:rsidRDefault="008E5CA0" w:rsidP="008E5CA0">
      <w:pPr>
        <w:pStyle w:val="Source"/>
        <w:rPr>
          <w:szCs w:val="16"/>
        </w:rPr>
      </w:pPr>
      <w:r w:rsidRPr="00683AD4">
        <w:t>*</w:t>
      </w:r>
      <w:r w:rsidRPr="00683AD4">
        <w:rPr>
          <w:szCs w:val="16"/>
        </w:rPr>
        <w:t>: Significantly different from baseline at 5 per cent.</w:t>
      </w:r>
    </w:p>
    <w:p w14:paraId="5E6E493A" w14:textId="25862528" w:rsidR="008E5CA0" w:rsidRDefault="008E5CA0" w:rsidP="008E5CA0">
      <w:pPr>
        <w:pStyle w:val="BodyText"/>
      </w:pPr>
      <w:r>
        <w:t>Responses for each statement indicate that headspace is an appropriate and inclusive service for the general population of young people (responses range from neutral to strongly agree), and for a number of indicators this was particularly the case for LGBTQIA+</w:t>
      </w:r>
      <w:r w:rsidR="003D1632">
        <w:t xml:space="preserve"> young people</w:t>
      </w:r>
      <w:r w:rsidR="009D63CE">
        <w:t xml:space="preserve">, Culturally and Linguistically Diverse </w:t>
      </w:r>
      <w:r w:rsidR="00314592">
        <w:t>cohorts</w:t>
      </w:r>
      <w:r w:rsidR="009D63CE">
        <w:t xml:space="preserve"> and Aboriginal and Torres Strait Is</w:t>
      </w:r>
      <w:r w:rsidR="00EE3518">
        <w:t>l</w:t>
      </w:r>
      <w:r w:rsidR="009D63CE">
        <w:t>ander</w:t>
      </w:r>
      <w:r>
        <w:t xml:space="preserve"> young people as well, with</w:t>
      </w:r>
      <w:r w:rsidR="003A1259">
        <w:t xml:space="preserve"> predictive probabilities of scoring ‘agree’ or ‘strongly agree</w:t>
      </w:r>
      <w:r w:rsidR="00575478">
        <w:t>’</w:t>
      </w:r>
      <w:r w:rsidR="003A1259">
        <w:t xml:space="preserve"> being similar to the general </w:t>
      </w:r>
      <w:r w:rsidR="00575478">
        <w:t>population of young people</w:t>
      </w:r>
      <w:r w:rsidR="003A1259">
        <w:t xml:space="preserve"> across all indicators.</w:t>
      </w:r>
      <w:r>
        <w:t xml:space="preserve"> </w:t>
      </w:r>
    </w:p>
    <w:p w14:paraId="47FC27A9" w14:textId="2238DC33" w:rsidR="008E5CA0" w:rsidRDefault="008E5CA0" w:rsidP="008E5CA0">
      <w:pPr>
        <w:pStyle w:val="BodyText"/>
      </w:pPr>
      <w:r>
        <w:t>To explore this domain further, young people completing the survey as part of this evaluation were asked to reflect on the service they had received over the previous 12 months and rate on a five</w:t>
      </w:r>
      <w:r w:rsidR="001A7BE3">
        <w:t>-</w:t>
      </w:r>
      <w:r>
        <w:t>point scale, from ‘always’ to ‘never’ how they felt about five statements:</w:t>
      </w:r>
    </w:p>
    <w:p w14:paraId="2F8A6652" w14:textId="0BC6601A" w:rsidR="008E5CA0" w:rsidRDefault="008E5CA0" w:rsidP="008E5CA0">
      <w:pPr>
        <w:pStyle w:val="Caption"/>
      </w:pPr>
      <w:bookmarkStart w:id="278" w:name="_Ref97750445"/>
      <w:bookmarkStart w:id="279" w:name="_Toc108109235"/>
      <w:r>
        <w:t xml:space="preserve">Figure </w:t>
      </w:r>
      <w:r>
        <w:fldChar w:fldCharType="begin"/>
      </w:r>
      <w:r>
        <w:instrText>SEQ Figure \* ARABIC</w:instrText>
      </w:r>
      <w:r>
        <w:fldChar w:fldCharType="separate"/>
      </w:r>
      <w:r w:rsidR="00CC0438">
        <w:rPr>
          <w:noProof/>
        </w:rPr>
        <w:t>50</w:t>
      </w:r>
      <w:r>
        <w:fldChar w:fldCharType="end"/>
      </w:r>
      <w:bookmarkEnd w:id="278"/>
      <w:r>
        <w:t xml:space="preserve">: Summary statistics on </w:t>
      </w:r>
      <w:r w:rsidR="00FA10F9">
        <w:t>young people’</w:t>
      </w:r>
      <w:r>
        <w:t>s ratings of service at headspace</w:t>
      </w:r>
      <w:bookmarkEnd w:id="279"/>
    </w:p>
    <w:p w14:paraId="6B842F27" w14:textId="75BE47F5" w:rsidR="008E5CA0" w:rsidRDefault="00BA3036" w:rsidP="003006A8">
      <w:pPr>
        <w:pStyle w:val="BodyText"/>
      </w:pPr>
      <w:r w:rsidRPr="00BA3036">
        <w:t xml:space="preserve"> </w:t>
      </w:r>
      <w:r>
        <w:rPr>
          <w:noProof/>
        </w:rPr>
        <w:drawing>
          <wp:inline distT="0" distB="0" distL="0" distR="0" wp14:anchorId="75EC81F4" wp14:editId="7F598CB2">
            <wp:extent cx="5036185" cy="5036185"/>
            <wp:effectExtent l="0" t="0" r="0" b="0"/>
            <wp:docPr id="50" name="Picture 50" descr="Figure 50 is a stacked bar chart summarising young people’s ratings of service received at headspace.&#10;77% of young people indicated staff showed respect for how they were feeling, compared to 16% who said usually, 5% who said sometimes, and 1% who each said rarely or never&#10;66% of young people indicated staff made an effort to see them when they wanted, compared to 20% who said usually, 8% who said sometimes, 4% who said rarely, and 2% who said never&#10;62% of young people indicated staff discussed treatment options and progress with them, compared to 19% who said usually, 10% who said sometimes, 6% who said rarely, and 4% who said never&#10;85% of young people indicated their individuality and values were respected, compared to 11% who said usually, 3% who said sometimes, and 1% who each said rarely or never&#10;76% of young people indicated they felt welcome at their headspace service, compared to 17% who said usually, 5% who said sometimes, and 1% who each said rarely or ne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50 is a stacked bar chart summarising young people’s ratings of service received at headspace.&#10;77% of young people indicated staff showed respect for how they were feeling, compared to 16% who said usually, 5% who said sometimes, and 1% who each said rarely or never&#10;66% of young people indicated staff made an effort to see them when they wanted, compared to 20% who said usually, 8% who said sometimes, 4% who said rarely, and 2% who said never&#10;62% of young people indicated staff discussed treatment options and progress with them, compared to 19% who said usually, 10% who said sometimes, 6% who said rarely, and 4% who said never&#10;85% of young people indicated their individuality and values were respected, compared to 11% who said usually, 3% who said sometimes, and 1% who each said rarely or never&#10;76% of young people indicated they felt welcome at their headspace service, compared to 17% who said usually, 5% who said sometimes, and 1% who each said rarely or never&#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6185" cy="5036185"/>
                    </a:xfrm>
                    <a:prstGeom prst="rect">
                      <a:avLst/>
                    </a:prstGeom>
                    <a:noFill/>
                    <a:ln>
                      <a:noFill/>
                    </a:ln>
                  </pic:spPr>
                </pic:pic>
              </a:graphicData>
            </a:graphic>
          </wp:inline>
        </w:drawing>
      </w:r>
    </w:p>
    <w:p w14:paraId="018CCF86" w14:textId="795FED36" w:rsidR="00924137" w:rsidRDefault="008E5CA0" w:rsidP="001268EC">
      <w:pPr>
        <w:pStyle w:val="Source"/>
        <w:rPr>
          <w:szCs w:val="16"/>
        </w:rPr>
      </w:pPr>
      <w:r w:rsidRPr="0045284B">
        <w:t>Source: KPMG analys</w:t>
      </w:r>
      <w:r w:rsidRPr="0045284B">
        <w:rPr>
          <w:szCs w:val="16"/>
        </w:rPr>
        <w:t>is of Young person survey. Total number of finished surveys: 3</w:t>
      </w:r>
      <w:r>
        <w:rPr>
          <w:szCs w:val="16"/>
        </w:rPr>
        <w:t>,</w:t>
      </w:r>
      <w:r w:rsidRPr="1B72837E">
        <w:rPr>
          <w:szCs w:val="16"/>
        </w:rPr>
        <w:t>004</w:t>
      </w:r>
      <w:r w:rsidRPr="0045284B">
        <w:rPr>
          <w:szCs w:val="16"/>
        </w:rPr>
        <w:t xml:space="preserve">. Response rate to the analysed questions: </w:t>
      </w:r>
      <w:r w:rsidRPr="1B72837E">
        <w:rPr>
          <w:szCs w:val="16"/>
        </w:rPr>
        <w:t>36</w:t>
      </w:r>
      <w:r w:rsidR="00FB2FE6">
        <w:rPr>
          <w:szCs w:val="16"/>
        </w:rPr>
        <w:t xml:space="preserve"> per cent</w:t>
      </w:r>
      <w:r w:rsidRPr="0045284B">
        <w:rPr>
          <w:szCs w:val="16"/>
        </w:rPr>
        <w:t>.</w:t>
      </w:r>
      <w:r w:rsidR="00442D71">
        <w:rPr>
          <w:szCs w:val="16"/>
        </w:rPr>
        <w:t xml:space="preserve"> </w:t>
      </w:r>
    </w:p>
    <w:p w14:paraId="4E4EBAF7" w14:textId="1C3E0B48" w:rsidR="008E5CA0" w:rsidRPr="009327FA" w:rsidRDefault="008E5CA0" w:rsidP="008E5CA0">
      <w:pPr>
        <w:pStyle w:val="BodyText"/>
      </w:pPr>
      <w:r>
        <w:t xml:space="preserve">As can be seen in </w:t>
      </w:r>
      <w:r w:rsidR="00344A92">
        <w:fldChar w:fldCharType="begin" w:fldLock="1"/>
      </w:r>
      <w:r w:rsidR="00344A92">
        <w:instrText xml:space="preserve"> REF _Ref97750445 \h </w:instrText>
      </w:r>
      <w:r w:rsidR="00344A92">
        <w:fldChar w:fldCharType="separate"/>
      </w:r>
      <w:r w:rsidR="00222470">
        <w:t xml:space="preserve">Figure </w:t>
      </w:r>
      <w:r w:rsidR="00222470">
        <w:rPr>
          <w:noProof/>
        </w:rPr>
        <w:t>50</w:t>
      </w:r>
      <w:r w:rsidR="00344A92">
        <w:fldChar w:fldCharType="end"/>
      </w:r>
      <w:r>
        <w:t>, results indicate that young people responding to this survey had positive experiences with headspace, with the large majority indicating ‘always’ in response to the indicator statements. When analysed for any differences between young people from Aboriginal or Torres Strait Islander backgrounds, young people identifying as LGBTQIA+ or as speaking a language other than Eng</w:t>
      </w:r>
      <w:r w:rsidRPr="00F97540">
        <w:t>lish at home, results were similarly high, with no significant difference between groups.</w:t>
      </w:r>
      <w:r w:rsidRPr="002E793D">
        <w:rPr>
          <w:color w:val="000000" w:themeColor="text1"/>
        </w:rPr>
        <w:t xml:space="preserve"> </w:t>
      </w:r>
    </w:p>
    <w:p w14:paraId="3D6784ED" w14:textId="216EDA5D" w:rsidR="008E5CA0" w:rsidRPr="00520E87" w:rsidRDefault="008E5CA0" w:rsidP="008E5CA0">
      <w:pPr>
        <w:pStyle w:val="BodyText"/>
      </w:pPr>
      <w:r>
        <w:t>In interviews and focus groups, h</w:t>
      </w:r>
      <w:r w:rsidRPr="00520E87">
        <w:t xml:space="preserve">eadspace users indicated that cultural diversity of staff was important to them (this was mentioned most often by </w:t>
      </w:r>
      <w:r>
        <w:t>culturally and linguistically diverse</w:t>
      </w:r>
      <w:r w:rsidRPr="00520E87">
        <w:t xml:space="preserve"> </w:t>
      </w:r>
      <w:r w:rsidR="00314592">
        <w:t>young people</w:t>
      </w:r>
      <w:r w:rsidRPr="00520E87">
        <w:t>)</w:t>
      </w:r>
      <w:r>
        <w:t>:</w:t>
      </w:r>
    </w:p>
    <w:p w14:paraId="476340DA" w14:textId="77777777" w:rsidR="008E5CA0" w:rsidRPr="00520E87" w:rsidRDefault="008E5CA0" w:rsidP="008E5CA0">
      <w:pPr>
        <w:pStyle w:val="Quote"/>
        <w:rPr>
          <w:lang w:val="en-US"/>
        </w:rPr>
      </w:pPr>
      <w:r w:rsidRPr="00520E87">
        <w:rPr>
          <w:lang w:val="en-US"/>
        </w:rPr>
        <w:t>“So I think it's a lack of cultural diversity in headspace and especially because I'm ethnic I'd specifically asked for an ethnic person and then they said that there wasn't any.</w:t>
      </w:r>
      <w:r>
        <w:rPr>
          <w:lang w:val="en-US"/>
        </w:rPr>
        <w:t xml:space="preserve"> </w:t>
      </w:r>
      <w:r w:rsidRPr="00520E87">
        <w:rPr>
          <w:lang w:val="en-US"/>
        </w:rPr>
        <w:t>At least in my area.</w:t>
      </w:r>
      <w:r>
        <w:rPr>
          <w:lang w:val="en-US"/>
        </w:rPr>
        <w:t xml:space="preserve"> </w:t>
      </w:r>
      <w:r w:rsidRPr="00520E87">
        <w:rPr>
          <w:lang w:val="en-US"/>
        </w:rPr>
        <w:t>Just the advice that they give is very tailored to white Australians kind of thing.</w:t>
      </w:r>
      <w:r>
        <w:rPr>
          <w:lang w:val="en-US"/>
        </w:rPr>
        <w:t xml:space="preserve"> </w:t>
      </w:r>
      <w:r w:rsidRPr="00520E87">
        <w:rPr>
          <w:lang w:val="en-US"/>
        </w:rPr>
        <w:t>There's no kind of perspective when it comes to ethnic clients and what their home life might be like.</w:t>
      </w:r>
      <w:r w:rsidRPr="00751CCD">
        <w:rPr>
          <w:lang w:val="en-US"/>
        </w:rPr>
        <w:t>”</w:t>
      </w:r>
    </w:p>
    <w:p w14:paraId="45BBD358" w14:textId="77777777" w:rsidR="008E5CA0" w:rsidRPr="00520E87" w:rsidRDefault="008E5CA0" w:rsidP="008E5CA0">
      <w:pPr>
        <w:pStyle w:val="BodyText"/>
      </w:pPr>
      <w:r w:rsidRPr="00520E87">
        <w:t>and</w:t>
      </w:r>
    </w:p>
    <w:p w14:paraId="51A7C33D" w14:textId="77777777" w:rsidR="008E5CA0" w:rsidRPr="00307671" w:rsidRDefault="008E5CA0" w:rsidP="008E5CA0">
      <w:pPr>
        <w:pStyle w:val="Quote"/>
        <w:rPr>
          <w:lang w:val="en-US"/>
        </w:rPr>
      </w:pPr>
      <w:r w:rsidRPr="00520E87">
        <w:rPr>
          <w:lang w:val="en-US"/>
        </w:rPr>
        <w:t>“And when I think about appropriate cultural competency, I think of someone or a counsellor understanding the culture, the taboos, stigmas, values.</w:t>
      </w:r>
      <w:r>
        <w:rPr>
          <w:lang w:val="en-US"/>
        </w:rPr>
        <w:t xml:space="preserve"> </w:t>
      </w:r>
      <w:r w:rsidRPr="00520E87">
        <w:rPr>
          <w:lang w:val="en-US"/>
        </w:rPr>
        <w:t>And also, ideally someone from that background, from a cultural and linguistic background, which I didn't find from the counsellors…so there was a bit of a hesitancy for me because we have such unique values and there's a lot of fear involved, but eventually got over that hurdle, conversated [sic], and it wasn't that bad.”</w:t>
      </w:r>
    </w:p>
    <w:p w14:paraId="2BF9E70F" w14:textId="77777777" w:rsidR="008E5CA0" w:rsidRPr="00D0363B" w:rsidRDefault="008E5CA0" w:rsidP="003006A8">
      <w:pPr>
        <w:pStyle w:val="BodyText"/>
      </w:pPr>
      <w:r w:rsidRPr="00D0363B">
        <w:t>Someti</w:t>
      </w:r>
      <w:r>
        <w:t>m</w:t>
      </w:r>
      <w:r w:rsidRPr="00D0363B">
        <w:t>es there was a gender preference also, based on cultural considerations (for example, for</w:t>
      </w:r>
      <w:r>
        <w:t xml:space="preserve"> </w:t>
      </w:r>
      <w:r w:rsidRPr="00D0363B">
        <w:t>female to see a female counsellor)</w:t>
      </w:r>
      <w:r>
        <w:t>:</w:t>
      </w:r>
    </w:p>
    <w:p w14:paraId="2D21F381" w14:textId="77777777" w:rsidR="008E5CA0" w:rsidRPr="00D0363B" w:rsidRDefault="008E5CA0" w:rsidP="008E5CA0">
      <w:pPr>
        <w:pStyle w:val="Quote"/>
      </w:pPr>
      <w:r w:rsidRPr="00D0363B">
        <w:rPr>
          <w:lang w:val="en-US"/>
        </w:rPr>
        <w:t>“Look, I just want to talk to someone from the same religion and a woman if that's okay." Then I was happily given to a woman and she was from the same religion and it was so welcome then, it was so good.</w:t>
      </w:r>
      <w:r>
        <w:rPr>
          <w:lang w:val="en-US"/>
        </w:rPr>
        <w:t xml:space="preserve"> </w:t>
      </w:r>
      <w:r w:rsidRPr="00D0363B">
        <w:rPr>
          <w:lang w:val="en-US"/>
        </w:rPr>
        <w:t>Like she understood everything that I went through because she went through it once.”</w:t>
      </w:r>
    </w:p>
    <w:p w14:paraId="0A877987" w14:textId="1CE41331" w:rsidR="008E5CA0" w:rsidRPr="00D0363B" w:rsidRDefault="00CE3579" w:rsidP="008E5CA0">
      <w:pPr>
        <w:pStyle w:val="BodyText"/>
      </w:pPr>
      <w:r>
        <w:t xml:space="preserve">There are </w:t>
      </w:r>
      <w:r w:rsidR="008E5CA0" w:rsidRPr="00D0363B">
        <w:t xml:space="preserve">Aboriginal and Torres Strait Islander young people </w:t>
      </w:r>
      <w:r>
        <w:t>who use headspace</w:t>
      </w:r>
      <w:r w:rsidRPr="00D0363B">
        <w:t xml:space="preserve"> </w:t>
      </w:r>
      <w:r w:rsidR="00B40103">
        <w:t>services, however they</w:t>
      </w:r>
      <w:r w:rsidR="008E5CA0" w:rsidRPr="00D0363B">
        <w:t xml:space="preserve"> may benefit fr</w:t>
      </w:r>
      <w:r w:rsidR="008E5CA0">
        <w:t>o</w:t>
      </w:r>
      <w:r w:rsidR="008E5CA0" w:rsidRPr="00D0363B">
        <w:t>m more First Nations staff.</w:t>
      </w:r>
    </w:p>
    <w:p w14:paraId="0A4DE578" w14:textId="4FAE832B" w:rsidR="008E5CA0" w:rsidRPr="005024BA" w:rsidRDefault="008E5CA0" w:rsidP="003006A8">
      <w:pPr>
        <w:pStyle w:val="BodyText"/>
        <w:rPr>
          <w:shd w:val="clear" w:color="auto" w:fill="FFFFFF"/>
        </w:rPr>
      </w:pPr>
      <w:r w:rsidRPr="005024BA">
        <w:rPr>
          <w:shd w:val="clear" w:color="auto" w:fill="FFFFFF"/>
        </w:rPr>
        <w:t xml:space="preserve">Members of </w:t>
      </w:r>
      <w:r w:rsidR="001F058F">
        <w:rPr>
          <w:shd w:val="clear" w:color="auto" w:fill="FFFFFF"/>
        </w:rPr>
        <w:t>Y</w:t>
      </w:r>
      <w:r>
        <w:rPr>
          <w:shd w:val="clear" w:color="auto" w:fill="FFFFFF"/>
        </w:rPr>
        <w:t>outh</w:t>
      </w:r>
      <w:r w:rsidRPr="005024BA">
        <w:rPr>
          <w:shd w:val="clear" w:color="auto" w:fill="FFFFFF"/>
        </w:rPr>
        <w:t xml:space="preserve"> </w:t>
      </w:r>
      <w:r w:rsidR="001F058F">
        <w:rPr>
          <w:shd w:val="clear" w:color="auto" w:fill="FFFFFF"/>
        </w:rPr>
        <w:t>R</w:t>
      </w:r>
      <w:r w:rsidRPr="005024BA">
        <w:rPr>
          <w:shd w:val="clear" w:color="auto" w:fill="FFFFFF"/>
        </w:rPr>
        <w:t xml:space="preserve">eference </w:t>
      </w:r>
      <w:r w:rsidR="001F058F">
        <w:rPr>
          <w:shd w:val="clear" w:color="auto" w:fill="FFFFFF"/>
        </w:rPr>
        <w:t>G</w:t>
      </w:r>
      <w:r w:rsidRPr="005024BA">
        <w:rPr>
          <w:shd w:val="clear" w:color="auto" w:fill="FFFFFF"/>
        </w:rPr>
        <w:t>roups noted that headspace offered a range of supports for diverse groups. They commented that headspace provided inclusive s</w:t>
      </w:r>
      <w:r>
        <w:rPr>
          <w:shd w:val="clear" w:color="auto" w:fill="FFFFFF"/>
        </w:rPr>
        <w:t>ervices</w:t>
      </w:r>
      <w:r w:rsidRPr="005024BA">
        <w:rPr>
          <w:shd w:val="clear" w:color="auto" w:fill="FFFFFF"/>
        </w:rPr>
        <w:t xml:space="preserve"> particularly for </w:t>
      </w:r>
      <w:r w:rsidRPr="005024BA">
        <w:t>LGBT</w:t>
      </w:r>
      <w:r>
        <w:t>QIA+</w:t>
      </w:r>
      <w:r w:rsidRPr="005024BA">
        <w:t xml:space="preserve"> young </w:t>
      </w:r>
      <w:r w:rsidRPr="005024BA">
        <w:rPr>
          <w:shd w:val="clear" w:color="auto" w:fill="FFFFFF"/>
        </w:rPr>
        <w:t>people</w:t>
      </w:r>
      <w:r>
        <w:rPr>
          <w:shd w:val="clear" w:color="auto" w:fill="FFFFFF"/>
        </w:rPr>
        <w:t>:</w:t>
      </w:r>
    </w:p>
    <w:p w14:paraId="6968F3A0" w14:textId="77777777" w:rsidR="008E5CA0" w:rsidRPr="0009675F" w:rsidRDefault="008E5CA0" w:rsidP="008E5CA0">
      <w:pPr>
        <w:pStyle w:val="Quote"/>
      </w:pPr>
      <w:r>
        <w:t>“I would see pamphlets around. Sometimes when they had the booths around I would see that. But one day I got curious, and I came round and there was a LGBT group.”</w:t>
      </w:r>
    </w:p>
    <w:p w14:paraId="7A572274" w14:textId="35A9DECE" w:rsidR="008E5CA0" w:rsidRPr="005024BA" w:rsidRDefault="008E5CA0" w:rsidP="003006A8">
      <w:pPr>
        <w:pStyle w:val="BodyText"/>
      </w:pPr>
      <w:r>
        <w:t xml:space="preserve">There were some concerns from </w:t>
      </w:r>
      <w:r w:rsidR="001F058F">
        <w:t>Y</w:t>
      </w:r>
      <w:r>
        <w:t xml:space="preserve">outh </w:t>
      </w:r>
      <w:r w:rsidR="001F058F">
        <w:t>R</w:t>
      </w:r>
      <w:r>
        <w:t xml:space="preserve">eference </w:t>
      </w:r>
      <w:r w:rsidR="001F058F">
        <w:t>G</w:t>
      </w:r>
      <w:r>
        <w:t xml:space="preserve">roup participants that young people who fell outside the age ranges of 12 to 25 fell through service gaps: </w:t>
      </w:r>
    </w:p>
    <w:p w14:paraId="7BD1BA77" w14:textId="77777777" w:rsidR="008E5CA0" w:rsidRPr="0009675F" w:rsidRDefault="008E5CA0" w:rsidP="008E5CA0">
      <w:pPr>
        <w:pStyle w:val="Quote"/>
      </w:pPr>
      <w:r>
        <w:t>“But age wise, because it’s between 12 and 25 if someone calls up and they’re not in that age range I don’t think very much support’s given, they just say sorry, we can’t cater to you. Yeah, I’m not sure what happens with that but I’m pretty sure different issues or concerns that’s supported but if you don’t fit in that age category I don’t think there’s much headspace would do.”</w:t>
      </w:r>
    </w:p>
    <w:p w14:paraId="4140CA51" w14:textId="77777777" w:rsidR="00B82DA8" w:rsidRDefault="008E5CA0" w:rsidP="00B82DA8">
      <w:pPr>
        <w:pStyle w:val="Heading5"/>
      </w:pPr>
      <w:r>
        <w:t xml:space="preserve">Perspectives of </w:t>
      </w:r>
      <w:r w:rsidR="00B82DA8">
        <w:t>young people who do not use headspace</w:t>
      </w:r>
    </w:p>
    <w:p w14:paraId="6D9E5BF7" w14:textId="3E47F7C0" w:rsidR="00B82DA8" w:rsidRDefault="00B82DA8" w:rsidP="00B82DA8">
      <w:pPr>
        <w:pStyle w:val="BodyText"/>
      </w:pPr>
      <w:r>
        <w:t xml:space="preserve">Interviews and focus groups found there is recognition amongst non-headspace users that headspace services appear to cater well to the LGBTQIA+ </w:t>
      </w:r>
      <w:r w:rsidR="00ED4662">
        <w:t xml:space="preserve">young people in the </w:t>
      </w:r>
      <w:r>
        <w:t xml:space="preserve">community, and have knowledge of issues affecting these young people. There was also some indication from non-headspace users from culturally and linguistically diverse </w:t>
      </w:r>
      <w:r w:rsidR="00EB4618">
        <w:t>cohorts</w:t>
      </w:r>
      <w:r>
        <w:t xml:space="preserve"> that they would consider using headspace services, as they are able to assess the service without parental consent, especially where they encounter cultural stigma related to mental health support. A key caveat here was the importance of appropriate staff members, for example that young Muslim women need a female worker, and that the mix of </w:t>
      </w:r>
      <w:r w:rsidR="0050072E">
        <w:t>service</w:t>
      </w:r>
      <w:r>
        <w:t xml:space="preserve"> staff may not always provide the right support.</w:t>
      </w:r>
    </w:p>
    <w:p w14:paraId="6F3B0B10" w14:textId="77777777" w:rsidR="00B82DA8" w:rsidRDefault="00B82DA8" w:rsidP="00B82DA8">
      <w:pPr>
        <w:pStyle w:val="BodyText"/>
      </w:pPr>
      <w:r>
        <w:t xml:space="preserve">Aboriginal and Torres Strait Islander young people who do not use headspace indicated that they thought there was some variation in the appropriateness of services between locations. </w:t>
      </w:r>
    </w:p>
    <w:p w14:paraId="47245A3A" w14:textId="77777777" w:rsidR="00B82DA8" w:rsidRDefault="00B82DA8" w:rsidP="00B82DA8">
      <w:pPr>
        <w:pStyle w:val="BodyText"/>
      </w:pPr>
      <w:r>
        <w:t>Neurodivergent young people who have not used headspace indicated in interviews and focus groups that they did not necessarily identify with the service. The neurodiverse flag is not present, and their interactions with headspace staff did improve their level of trust in the service.</w:t>
      </w:r>
    </w:p>
    <w:p w14:paraId="58A62ED2" w14:textId="7534417E" w:rsidR="00B82DA8" w:rsidRDefault="00B82DA8" w:rsidP="00B82DA8">
      <w:pPr>
        <w:pStyle w:val="BodyText"/>
      </w:pPr>
      <w:r>
        <w:t>There was also some indication from non-users that they identified with the brand more when they were younger (high school age), with this dropping off as they got older.</w:t>
      </w:r>
      <w:r>
        <w:tab/>
        <w:t xml:space="preserve">Amongst non-headspace users, there was also very inconsistent understanding of what age groups were eligible for support from headspace </w:t>
      </w:r>
      <w:r w:rsidR="0050072E">
        <w:t>service</w:t>
      </w:r>
      <w:r>
        <w:t>s</w:t>
      </w:r>
    </w:p>
    <w:p w14:paraId="37EB7106" w14:textId="585CF3EA" w:rsidR="008E5CA0" w:rsidRDefault="008E5CA0" w:rsidP="008E5CA0">
      <w:pPr>
        <w:pStyle w:val="Heading5"/>
      </w:pPr>
      <w:r>
        <w:t xml:space="preserve">Perspectives of </w:t>
      </w:r>
      <w:r w:rsidR="00B82DA8">
        <w:t xml:space="preserve">other </w:t>
      </w:r>
      <w:r w:rsidR="00392BEB">
        <w:t>external stakeholders including school and university counsellors, GPs and PHNs</w:t>
      </w:r>
    </w:p>
    <w:p w14:paraId="5E5BCE84" w14:textId="4A7BCB34" w:rsidR="008E5CA0" w:rsidRDefault="008E5CA0" w:rsidP="008E5CA0">
      <w:pPr>
        <w:pStyle w:val="BodyText"/>
      </w:pPr>
      <w:r>
        <w:t xml:space="preserve">School and university counsellors identified that in some communities, they saw beneficial impacts for Aboriginal and Torres Strait Islander young people through informal community outreach to remote communities by headspace services. The extent to which this was seen as happening varied between </w:t>
      </w:r>
      <w:r w:rsidR="0050072E">
        <w:t>service</w:t>
      </w:r>
      <w:r>
        <w:t>s.</w:t>
      </w:r>
    </w:p>
    <w:p w14:paraId="030E87E8" w14:textId="593F7584" w:rsidR="008E5CA0" w:rsidRDefault="008E5CA0" w:rsidP="008E5CA0">
      <w:pPr>
        <w:pStyle w:val="BodyText"/>
      </w:pPr>
      <w:r>
        <w:t xml:space="preserve">Key staff from PHNs discussed how some </w:t>
      </w:r>
      <w:r w:rsidR="0050072E">
        <w:t>service</w:t>
      </w:r>
      <w:r>
        <w:t>s did not provide much outreach as they favoured centre-based services as part of the hMIF. There was broad agreement that there would be benefit in greater flexibility in services (for example being provided through the local AMS rather than in the headspace centre, as this is where some young people feel more comfortable accessing services).</w:t>
      </w:r>
    </w:p>
    <w:p w14:paraId="0CFA3A88" w14:textId="77777777" w:rsidR="008E5CA0" w:rsidRDefault="008E5CA0" w:rsidP="008E5CA0">
      <w:pPr>
        <w:pStyle w:val="Heading4"/>
      </w:pPr>
      <w:r>
        <w:t xml:space="preserve">The </w:t>
      </w:r>
      <w:r w:rsidRPr="001B7058">
        <w:t>extent</w:t>
      </w:r>
      <w:r>
        <w:t xml:space="preserve"> to which </w:t>
      </w:r>
      <w:r w:rsidRPr="001B7058">
        <w:t>headspace provide</w:t>
      </w:r>
      <w:r>
        <w:t>s</w:t>
      </w:r>
      <w:r w:rsidRPr="001B7058">
        <w:t xml:space="preserve"> a culturally appropriate and inclusive service for young people and their friends and families, including for vulnerable and diverse population groups and different age groups</w:t>
      </w:r>
    </w:p>
    <w:p w14:paraId="76A426CE" w14:textId="77777777" w:rsidR="008E5CA0" w:rsidRDefault="008E5CA0" w:rsidP="008E5CA0">
      <w:pPr>
        <w:pStyle w:val="BodyText"/>
      </w:pPr>
      <w:r>
        <w:t>Responses indicate that headspace is an appropriate and inclusive service for the general population of young people (responses range from neutral to strongly agree), and for a number of indicators this was particularly the case for LGBTQIA+ young people as well, with scores significantly higher than the general population on six indicators. In contrast, average ratings made by Aboriginal and Torres Strait Islander young people were statistically significantly lower across all 14 indicators than the satisfaction levels of the general population of young people accessing headspace.</w:t>
      </w:r>
    </w:p>
    <w:p w14:paraId="12719DE8" w14:textId="254D38E0" w:rsidR="008E5CA0" w:rsidRPr="00173F16" w:rsidRDefault="008E5CA0" w:rsidP="008E5CA0">
      <w:pPr>
        <w:pStyle w:val="BodyText"/>
        <w:rPr>
          <w:highlight w:val="yellow"/>
        </w:rPr>
      </w:pPr>
      <w:r>
        <w:t xml:space="preserve">Data from a range of sources indicates that headspace is broadly effective in providing culturally appropriate and inclusive services for the general population of young people, and for </w:t>
      </w:r>
      <w:r w:rsidR="004500D5">
        <w:t xml:space="preserve">LGBTQIA+ </w:t>
      </w:r>
      <w:r>
        <w:t xml:space="preserve">young people. However, user satisfaction is significantly lower for culturally and linguistically diverse young people and for Aboriginal and Torres Strait Islander young people. In contrast, measures of satisfaction undertaken for this evaluation, including of how welcome young people felt and how respectful services were of a young person’s culture, gender or faith identity were all positive and in line with results for the general population of young people using headspace. </w:t>
      </w:r>
    </w:p>
    <w:p w14:paraId="2BC38481" w14:textId="07E40461" w:rsidR="003D6D8E" w:rsidRDefault="008E5CA0" w:rsidP="003D6D8E">
      <w:pPr>
        <w:pStyle w:val="BodyText"/>
      </w:pPr>
      <w:r>
        <w:t xml:space="preserve">At the same time, discussions with young people and other stakeholders again highlighted the need for staff with particular cultural backgrounds as a key mechanism to providing culturally appropriate care for young people from that culture. There were also differences between the age when young people felt headspace was appropriate for them, with young people more likely to see it as a service where they feel included. </w:t>
      </w:r>
      <w:r w:rsidRPr="00061A70">
        <w:t xml:space="preserve">At the same time there remain some </w:t>
      </w:r>
      <w:r>
        <w:t xml:space="preserve">potential </w:t>
      </w:r>
      <w:r w:rsidRPr="00061A70">
        <w:t>misconceptio</w:t>
      </w:r>
      <w:r>
        <w:t xml:space="preserve">ns </w:t>
      </w:r>
      <w:r w:rsidR="00DE57A7">
        <w:t xml:space="preserve">about the age groups welcome at the service, </w:t>
      </w:r>
      <w:r w:rsidR="005573F0">
        <w:t>with non-headspace users consistently sharing in focus groups that they were unsure what age groups headspace services supported</w:t>
      </w:r>
      <w:r w:rsidR="00DE57A7">
        <w:t xml:space="preserve">, </w:t>
      </w:r>
      <w:r>
        <w:t xml:space="preserve">and hesitation from non-users of headspace about how welcoming and appropriate it is for them. </w:t>
      </w:r>
    </w:p>
    <w:p w14:paraId="5188B223" w14:textId="21E36E0C" w:rsidR="003C6D7F" w:rsidRPr="003D6D8E" w:rsidRDefault="003C6D7F" w:rsidP="003D6D8E">
      <w:pPr>
        <w:pStyle w:val="BodyText"/>
      </w:pPr>
      <w:r w:rsidRPr="003C6D7F">
        <w:t>Overall, there are mixed results from the data and insights gathered through this evaluation about how well the headspace model effectively provides a culturally appropriate and inclusive model for young people and their families, with strong satisfaction from the general population and LGBTQIA+ young people, but significantly lower satisfaction levels on relevant measures from culturally and linguistically diverse and Aboriginal and Torres Strait Islander young people.</w:t>
      </w:r>
    </w:p>
    <w:p w14:paraId="4A63F987" w14:textId="5D930091" w:rsidR="008E5CA0" w:rsidRDefault="00F02DD0" w:rsidP="00350B4D">
      <w:pPr>
        <w:pStyle w:val="AppendixHeading2"/>
      </w:pPr>
      <w:bookmarkStart w:id="280" w:name="_Ref98326424"/>
      <w:r>
        <w:t>E</w:t>
      </w:r>
      <w:r w:rsidR="008E5CA0" w:rsidRPr="00540E05">
        <w:t>nabl</w:t>
      </w:r>
      <w:r>
        <w:t>ing</w:t>
      </w:r>
      <w:r w:rsidR="008E5CA0" w:rsidRPr="00540E05">
        <w:t xml:space="preserve"> young people and their families to access support where, when and how they want it</w:t>
      </w:r>
      <w:bookmarkEnd w:id="280"/>
    </w:p>
    <w:p w14:paraId="78688BAD" w14:textId="77777777" w:rsidR="008E5CA0" w:rsidRPr="00C52AE4" w:rsidRDefault="008E5CA0" w:rsidP="00514C63">
      <w:pPr>
        <w:pStyle w:val="AppendixHeading3"/>
      </w:pPr>
      <w:r>
        <w:t>Appropriate, accessible and youth friendly support</w:t>
      </w:r>
    </w:p>
    <w:p w14:paraId="0C863F98" w14:textId="491C9330" w:rsidR="00553674" w:rsidRDefault="00553674" w:rsidP="00553674">
      <w:pPr>
        <w:pStyle w:val="Caption"/>
      </w:pPr>
      <w:bookmarkStart w:id="281" w:name="_Toc108109007"/>
      <w:r>
        <w:t xml:space="preserve">Table </w:t>
      </w:r>
      <w:fldSimple w:instr=" SEQ Table \* ARABIC ">
        <w:r w:rsidR="00CC0438">
          <w:rPr>
            <w:noProof/>
          </w:rPr>
          <w:t>57</w:t>
        </w:r>
      </w:fldSimple>
      <w:r>
        <w:t xml:space="preserve"> </w:t>
      </w:r>
      <w:r w:rsidRPr="00DF1FB2">
        <w:t>Overview of objectives of headspace for appropriate, accessible and youth friendly support</w:t>
      </w:r>
      <w:bookmarkEnd w:id="281"/>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objectives of headspace for appropriate, accessible and youth friendly support"/>
        <w:tblDescription w:val="Table 58 has 3 columns and summarises the objectives of headspace services with respect to appropriate, accessible and youth friendly support. Column 1 outlines the objective. Column 2 summarises the short-term impacts expected. Column 3 summarises the medium-term impacts expected."/>
      </w:tblPr>
      <w:tblGrid>
        <w:gridCol w:w="2127"/>
        <w:gridCol w:w="3543"/>
        <w:gridCol w:w="3543"/>
      </w:tblGrid>
      <w:tr w:rsidR="008E5CA0" w:rsidRPr="001D6913" w14:paraId="5607D2D8" w14:textId="77777777" w:rsidTr="004E0DFF">
        <w:trPr>
          <w:tblHeader/>
        </w:trPr>
        <w:tc>
          <w:tcPr>
            <w:tcW w:w="1154" w:type="pct"/>
            <w:tcBorders>
              <w:bottom w:val="single" w:sz="4" w:space="0" w:color="00338D"/>
            </w:tcBorders>
            <w:shd w:val="clear" w:color="auto" w:fill="00338D"/>
          </w:tcPr>
          <w:p w14:paraId="5DC371AB" w14:textId="77777777" w:rsidR="008E5CA0" w:rsidRPr="001D6913" w:rsidRDefault="008E5CA0" w:rsidP="004E0DFF">
            <w:pPr>
              <w:pStyle w:val="Tableheading"/>
            </w:pPr>
            <w:r w:rsidRPr="001D6913">
              <w:t>Objective</w:t>
            </w:r>
          </w:p>
        </w:tc>
        <w:tc>
          <w:tcPr>
            <w:tcW w:w="1923" w:type="pct"/>
            <w:tcBorders>
              <w:bottom w:val="single" w:sz="4" w:space="0" w:color="00338D"/>
            </w:tcBorders>
            <w:shd w:val="clear" w:color="auto" w:fill="00338D"/>
          </w:tcPr>
          <w:p w14:paraId="2DEC96D9" w14:textId="77777777" w:rsidR="008E5CA0" w:rsidRPr="001D6913" w:rsidRDefault="008E5CA0" w:rsidP="004E0DFF">
            <w:pPr>
              <w:pStyle w:val="Tableheading"/>
            </w:pPr>
            <w:r w:rsidRPr="001D6913">
              <w:t>Short term impacts</w:t>
            </w:r>
          </w:p>
        </w:tc>
        <w:tc>
          <w:tcPr>
            <w:tcW w:w="1923" w:type="pct"/>
            <w:tcBorders>
              <w:bottom w:val="single" w:sz="4" w:space="0" w:color="00338D"/>
            </w:tcBorders>
            <w:shd w:val="clear" w:color="auto" w:fill="00338D"/>
          </w:tcPr>
          <w:p w14:paraId="6863C19F" w14:textId="77777777" w:rsidR="008E5CA0" w:rsidRPr="001D6913" w:rsidRDefault="008E5CA0" w:rsidP="004E0DFF">
            <w:pPr>
              <w:pStyle w:val="Tableheading"/>
            </w:pPr>
            <w:r w:rsidRPr="001D6913">
              <w:t>Medium term impacts</w:t>
            </w:r>
          </w:p>
        </w:tc>
      </w:tr>
      <w:tr w:rsidR="008E5CA0" w:rsidRPr="001D6913" w14:paraId="07D59F95" w14:textId="77777777" w:rsidTr="004E0DFF">
        <w:tc>
          <w:tcPr>
            <w:tcW w:w="1154" w:type="pct"/>
            <w:tcBorders>
              <w:top w:val="single" w:sz="2" w:space="0" w:color="808080" w:themeColor="background1" w:themeShade="80"/>
              <w:bottom w:val="single" w:sz="2" w:space="0" w:color="808080" w:themeColor="background1" w:themeShade="80"/>
            </w:tcBorders>
          </w:tcPr>
          <w:p w14:paraId="05307965" w14:textId="77777777" w:rsidR="008E5CA0" w:rsidRPr="001D6913" w:rsidRDefault="008E5CA0" w:rsidP="004E0DFF">
            <w:pPr>
              <w:pStyle w:val="Tabletext"/>
            </w:pPr>
            <w:r w:rsidRPr="001D6913">
              <w:t>Ensuring young people can access the help they need in an appropriate, accessible and youth friendly way</w:t>
            </w:r>
          </w:p>
        </w:tc>
        <w:tc>
          <w:tcPr>
            <w:tcW w:w="1923" w:type="pct"/>
            <w:tcBorders>
              <w:top w:val="single" w:sz="2" w:space="0" w:color="808080" w:themeColor="background1" w:themeShade="80"/>
              <w:bottom w:val="single" w:sz="2" w:space="0" w:color="808080" w:themeColor="background1" w:themeShade="80"/>
            </w:tcBorders>
          </w:tcPr>
          <w:p w14:paraId="2FADD1C3" w14:textId="77777777" w:rsidR="008E5CA0" w:rsidRPr="001D6913" w:rsidRDefault="008E5CA0" w:rsidP="00FB2FE6">
            <w:pPr>
              <w:pStyle w:val="TableBullet1"/>
            </w:pPr>
            <w:r w:rsidRPr="001D6913">
              <w:t>Young people feel listened to and involved in decision-making</w:t>
            </w:r>
          </w:p>
          <w:p w14:paraId="3A54F6EA" w14:textId="77777777" w:rsidR="008E5CA0" w:rsidRPr="001D6913" w:rsidRDefault="008E5CA0" w:rsidP="00FB2FE6">
            <w:pPr>
              <w:pStyle w:val="TableBullet1"/>
            </w:pPr>
            <w:r w:rsidRPr="001D6913">
              <w:t>Young people and families feel their needs and interests are understood and reflected in their local headspace service (participation outcomes)</w:t>
            </w:r>
          </w:p>
          <w:p w14:paraId="68913703" w14:textId="03A19266" w:rsidR="008E5CA0" w:rsidRPr="001D6913" w:rsidRDefault="008E5CA0" w:rsidP="00FB2FE6">
            <w:pPr>
              <w:pStyle w:val="TableBullet1"/>
            </w:pPr>
            <w:r w:rsidRPr="001D6913">
              <w:t xml:space="preserve">headspace services meet the expectations of their friends and family and </w:t>
            </w:r>
            <w:r w:rsidR="001F058F">
              <w:t>Y</w:t>
            </w:r>
            <w:r w:rsidRPr="001D6913">
              <w:t xml:space="preserve">outh </w:t>
            </w:r>
            <w:r w:rsidR="001F058F">
              <w:t>R</w:t>
            </w:r>
            <w:r w:rsidRPr="001D6913">
              <w:t xml:space="preserve">eference </w:t>
            </w:r>
            <w:r w:rsidR="001F058F">
              <w:t>G</w:t>
            </w:r>
            <w:r w:rsidRPr="001D6913">
              <w:t>roup.</w:t>
            </w:r>
          </w:p>
        </w:tc>
        <w:tc>
          <w:tcPr>
            <w:tcW w:w="1923" w:type="pct"/>
            <w:tcBorders>
              <w:top w:val="single" w:sz="2" w:space="0" w:color="808080" w:themeColor="background1" w:themeShade="80"/>
              <w:bottom w:val="single" w:sz="2" w:space="0" w:color="808080" w:themeColor="background1" w:themeShade="80"/>
            </w:tcBorders>
          </w:tcPr>
          <w:p w14:paraId="25F85D49" w14:textId="77777777" w:rsidR="008E5CA0" w:rsidRPr="001D6913" w:rsidRDefault="008E5CA0" w:rsidP="00FB2FE6">
            <w:pPr>
              <w:pStyle w:val="TableBullet1"/>
            </w:pPr>
            <w:r w:rsidRPr="001D6913">
              <w:t>headspace services operate flexibly as appropriate to the community needs and profile</w:t>
            </w:r>
          </w:p>
          <w:p w14:paraId="441F8246" w14:textId="77777777" w:rsidR="008E5CA0" w:rsidRPr="001D6913" w:rsidRDefault="008E5CA0" w:rsidP="00FB2FE6">
            <w:pPr>
              <w:pStyle w:val="TableBullet1"/>
            </w:pPr>
            <w:r w:rsidRPr="001D6913">
              <w:t>Local service system provides more youth-friendly, accessible and inclusive services as a result of learning through partnerships, shared professional development etc</w:t>
            </w:r>
          </w:p>
        </w:tc>
      </w:tr>
    </w:tbl>
    <w:p w14:paraId="2957DD0A" w14:textId="77777777" w:rsidR="008E5CA0" w:rsidRDefault="008E5CA0" w:rsidP="003C6D7F">
      <w:pPr>
        <w:pStyle w:val="BodyText"/>
      </w:pPr>
      <w:r>
        <w:t xml:space="preserve">A key element of the headspace program logic is that the services provided are appropriate for young people. Through providing a positive experience of service, by ensuring young people feel that their needs </w:t>
      </w:r>
      <w:r w:rsidRPr="003C6D7F">
        <w:t>and</w:t>
      </w:r>
      <w:r>
        <w:t xml:space="preserve"> interests are reflected in the services on offer, and that the services adapt to the needs of young people the overall objectives of the model are supported. </w:t>
      </w:r>
    </w:p>
    <w:p w14:paraId="2AC78E2B" w14:textId="0FCCCA0C" w:rsidR="008E5CA0" w:rsidRDefault="008E5CA0" w:rsidP="008E5CA0">
      <w:pPr>
        <w:pStyle w:val="BodyText"/>
      </w:pPr>
      <w:r>
        <w:t xml:space="preserve">This evaluation examines a range of data and evidence regarding the extent to which headspace is successful in these domains. </w:t>
      </w:r>
      <w:r w:rsidRPr="009F626C">
        <w:t xml:space="preserve">Feedback from young people using headspace collected through hAPI surveys, as well as direct consultation with young people, </w:t>
      </w:r>
      <w:r w:rsidR="001F058F">
        <w:t>Y</w:t>
      </w:r>
      <w:r w:rsidRPr="009F626C">
        <w:t xml:space="preserve">outh </w:t>
      </w:r>
      <w:r w:rsidR="001F058F">
        <w:t>R</w:t>
      </w:r>
      <w:r w:rsidRPr="009F626C">
        <w:t xml:space="preserve">eference </w:t>
      </w:r>
      <w:r w:rsidR="001F058F">
        <w:t>G</w:t>
      </w:r>
      <w:r w:rsidRPr="009F626C">
        <w:t>roup members and staff and other stakeholders provide evidence of relevance to this evaluation question.</w:t>
      </w:r>
    </w:p>
    <w:p w14:paraId="44A5D0AD" w14:textId="77777777" w:rsidR="008E5CA0" w:rsidRDefault="008E5CA0" w:rsidP="008E5CA0">
      <w:pPr>
        <w:pStyle w:val="Heading4"/>
      </w:pPr>
      <w:r>
        <w:t>Evidence of the effectiveness of headspace in providing appropriate, accessible and youth friendly support</w:t>
      </w:r>
    </w:p>
    <w:p w14:paraId="28435A83" w14:textId="77777777" w:rsidR="008E5CA0" w:rsidRDefault="008E5CA0" w:rsidP="008E5CA0">
      <w:pPr>
        <w:pStyle w:val="Heading5"/>
      </w:pPr>
      <w:r>
        <w:t>Perspectives of young people who use headspace</w:t>
      </w:r>
    </w:p>
    <w:p w14:paraId="3AF40904" w14:textId="1E8BB1FC" w:rsidR="008E5CA0" w:rsidRDefault="008E5CA0" w:rsidP="008E5CA0">
      <w:pPr>
        <w:pStyle w:val="BodyText"/>
      </w:pPr>
      <w:r>
        <w:t>Young people were asked in the evaluation survey about their experiences with headspace services over the previous 12 months. Sixty-six per cent of headspace users responding to the survey indicated that headspace centres ‘</w:t>
      </w:r>
      <w:r w:rsidR="00491ACD">
        <w:t>a</w:t>
      </w:r>
      <w:r>
        <w:t xml:space="preserve">lways’ made an effort to see them when they wanted. </w:t>
      </w:r>
    </w:p>
    <w:p w14:paraId="3F0AA57C" w14:textId="232FF51D" w:rsidR="008E5CA0" w:rsidRDefault="008E5CA0" w:rsidP="008E5CA0">
      <w:pPr>
        <w:pStyle w:val="BodyText"/>
      </w:pPr>
      <w:r>
        <w:t xml:space="preserve">This result varied with the number of </w:t>
      </w:r>
      <w:r w:rsidR="007B2863">
        <w:t>OOS</w:t>
      </w:r>
      <w:r>
        <w:t xml:space="preserve">, with the fewer the number of </w:t>
      </w:r>
      <w:r w:rsidR="007B2863">
        <w:t>OOS</w:t>
      </w:r>
      <w:r>
        <w:t xml:space="preserve"> the young person had, the more likely they were to indicate an answer other than ‘</w:t>
      </w:r>
      <w:r w:rsidR="00491ACD">
        <w:t>a</w:t>
      </w:r>
      <w:r>
        <w:t>lways'.</w:t>
      </w:r>
    </w:p>
    <w:p w14:paraId="167B6762" w14:textId="77777777" w:rsidR="008E5CA0" w:rsidRDefault="008E5CA0" w:rsidP="008E5CA0">
      <w:pPr>
        <w:pStyle w:val="BodyText"/>
      </w:pPr>
      <w:r>
        <w:t>Young people using headspace described in focus groups and interviews that they found headspace staff e</w:t>
      </w:r>
      <w:r w:rsidRPr="00F9279F">
        <w:t>asy to talk to, non-judgmental</w:t>
      </w:r>
      <w:r>
        <w:t xml:space="preserve"> and</w:t>
      </w:r>
      <w:r w:rsidRPr="00F9279F">
        <w:t xml:space="preserve"> relatable</w:t>
      </w:r>
      <w:r>
        <w:t>, and appreciate that the people who work at headspace can be quite</w:t>
      </w:r>
      <w:r w:rsidRPr="00F9279F">
        <w:t xml:space="preserve"> young </w:t>
      </w:r>
      <w:r>
        <w:t>but still qualified and</w:t>
      </w:r>
      <w:r w:rsidRPr="00F9279F">
        <w:t xml:space="preserve"> experienced. </w:t>
      </w:r>
    </w:p>
    <w:p w14:paraId="1739CC35" w14:textId="05FA0D98" w:rsidR="008E5CA0" w:rsidRDefault="008E5CA0" w:rsidP="008E5CA0">
      <w:pPr>
        <w:pStyle w:val="BodyText"/>
      </w:pPr>
      <w:r>
        <w:t>headspace u</w:t>
      </w:r>
      <w:r w:rsidRPr="00DA3289">
        <w:t>sers</w:t>
      </w:r>
      <w:r>
        <w:t xml:space="preserve"> interviewed described that they </w:t>
      </w:r>
      <w:r w:rsidRPr="00DA3289">
        <w:t xml:space="preserve">accessed support either face to face by going to a </w:t>
      </w:r>
      <w:r w:rsidR="0050072E">
        <w:t>service</w:t>
      </w:r>
      <w:r w:rsidRPr="00DA3289">
        <w:t>, which were well-located and near public transport, or online (mainly due to the pandemic, or distance)</w:t>
      </w:r>
      <w:r>
        <w:t>:</w:t>
      </w:r>
    </w:p>
    <w:p w14:paraId="1F5BCA2C" w14:textId="77777777" w:rsidR="008E5CA0" w:rsidRDefault="008E5CA0" w:rsidP="008E5CA0">
      <w:pPr>
        <w:pStyle w:val="Quote"/>
        <w:rPr>
          <w:i w:val="0"/>
          <w:iCs w:val="0"/>
          <w:color w:val="000000" w:themeColor="text1"/>
        </w:rPr>
      </w:pPr>
      <w:r>
        <w:t>“</w:t>
      </w:r>
      <w:r w:rsidRPr="00DA3289">
        <w:rPr>
          <w:color w:val="000000" w:themeColor="text1"/>
        </w:rPr>
        <w:t>It was very flexible</w:t>
      </w:r>
      <w:r>
        <w:rPr>
          <w:color w:val="000000" w:themeColor="text1"/>
        </w:rPr>
        <w:t>”</w:t>
      </w:r>
    </w:p>
    <w:p w14:paraId="1F67C750" w14:textId="77777777" w:rsidR="008E5CA0" w:rsidRPr="00E83942" w:rsidRDefault="008E5CA0" w:rsidP="003006A8">
      <w:pPr>
        <w:pStyle w:val="BodyText"/>
      </w:pPr>
      <w:r w:rsidRPr="00E83942">
        <w:t>and</w:t>
      </w:r>
    </w:p>
    <w:p w14:paraId="6B560CEB" w14:textId="77777777" w:rsidR="008E5CA0" w:rsidRPr="00DA3289" w:rsidRDefault="008E5CA0" w:rsidP="008E5CA0">
      <w:pPr>
        <w:pStyle w:val="Quote"/>
        <w:rPr>
          <w:i w:val="0"/>
          <w:iCs w:val="0"/>
          <w:color w:val="000000" w:themeColor="text1"/>
          <w:lang w:val="en-US"/>
        </w:rPr>
      </w:pPr>
      <w:r>
        <w:rPr>
          <w:lang w:val="en-US"/>
        </w:rPr>
        <w:t>“</w:t>
      </w:r>
      <w:r w:rsidRPr="00DA3289">
        <w:rPr>
          <w:color w:val="000000" w:themeColor="text1"/>
          <w:lang w:val="en-US"/>
        </w:rPr>
        <w:t>When I was filling out the forms, there were a lot of different options…</w:t>
      </w:r>
      <w:r>
        <w:rPr>
          <w:color w:val="000000" w:themeColor="text1"/>
          <w:lang w:val="en-US"/>
        </w:rPr>
        <w:t>”</w:t>
      </w:r>
    </w:p>
    <w:p w14:paraId="5F3A90CD" w14:textId="77777777" w:rsidR="008E5CA0" w:rsidRPr="00DA3289" w:rsidRDefault="008E5CA0" w:rsidP="008E5CA0">
      <w:pPr>
        <w:pStyle w:val="BodyText"/>
        <w:rPr>
          <w:i/>
        </w:rPr>
      </w:pPr>
      <w:r w:rsidRPr="00DA3289">
        <w:t>Some users talked about wanting some online resources while waiting for their first appointment (or between appointments). There is a US meditation app called ‘headspace’ often mistaken for the work of headspace Australia that at least one user referred to as ‘their’ app (it is not – but indicates that such an app might be useful)</w:t>
      </w:r>
      <w:r>
        <w:t>:</w:t>
      </w:r>
    </w:p>
    <w:p w14:paraId="64D1E502" w14:textId="77777777" w:rsidR="008E5CA0" w:rsidRPr="00DA3289" w:rsidRDefault="008E5CA0" w:rsidP="008E5CA0">
      <w:pPr>
        <w:pStyle w:val="Quote"/>
        <w:rPr>
          <w:i w:val="0"/>
          <w:iCs w:val="0"/>
          <w:color w:val="000000" w:themeColor="text1"/>
          <w:lang w:val="en-US"/>
        </w:rPr>
      </w:pPr>
      <w:r>
        <w:rPr>
          <w:lang w:val="en-US"/>
        </w:rPr>
        <w:t>“</w:t>
      </w:r>
      <w:r w:rsidRPr="00DA3289">
        <w:rPr>
          <w:color w:val="000000" w:themeColor="text1"/>
          <w:lang w:val="en-US"/>
        </w:rPr>
        <w:t>But the counselling side of it, I don't access them as much anymore, but I do use their app a lot.</w:t>
      </w:r>
      <w:r>
        <w:rPr>
          <w:color w:val="000000" w:themeColor="text1"/>
          <w:lang w:val="en-US"/>
        </w:rPr>
        <w:t xml:space="preserve"> </w:t>
      </w:r>
      <w:r w:rsidRPr="00DA3289">
        <w:rPr>
          <w:color w:val="000000" w:themeColor="text1"/>
          <w:lang w:val="en-US"/>
        </w:rPr>
        <w:t>The meditation one, that's a massive proponent of my life to this very day. [Note: this person was referring to the US Headspace app – guided meditation and mindfulness]</w:t>
      </w:r>
      <w:r>
        <w:rPr>
          <w:color w:val="000000" w:themeColor="text1"/>
          <w:lang w:val="en-US"/>
        </w:rPr>
        <w:t>”</w:t>
      </w:r>
    </w:p>
    <w:p w14:paraId="634B6414" w14:textId="77777777" w:rsidR="008E5CA0" w:rsidRPr="00DA3289" w:rsidRDefault="008E5CA0" w:rsidP="003006A8">
      <w:pPr>
        <w:pStyle w:val="BodyText"/>
      </w:pPr>
      <w:r w:rsidRPr="00DA3289">
        <w:t>Some wanted more online resources:</w:t>
      </w:r>
    </w:p>
    <w:p w14:paraId="5E4B31C0" w14:textId="77777777" w:rsidR="008E5CA0" w:rsidRPr="00DA3289" w:rsidRDefault="008E5CA0" w:rsidP="008E5CA0">
      <w:pPr>
        <w:pStyle w:val="Quote"/>
        <w:rPr>
          <w:color w:val="000000" w:themeColor="text1"/>
        </w:rPr>
      </w:pPr>
      <w:r>
        <w:rPr>
          <w:lang w:val="en-US"/>
        </w:rPr>
        <w:t>“</w:t>
      </w:r>
      <w:r w:rsidRPr="00DA3289">
        <w:rPr>
          <w:color w:val="000000" w:themeColor="text1"/>
          <w:lang w:val="en-US"/>
        </w:rPr>
        <w:t>Maybe they could make a website and have maybe a course you could do in the meantime I guess between the sessions, like an online course or something.</w:t>
      </w:r>
      <w:r>
        <w:rPr>
          <w:color w:val="000000" w:themeColor="text1"/>
          <w:lang w:val="en-US"/>
        </w:rPr>
        <w:t>”</w:t>
      </w:r>
    </w:p>
    <w:p w14:paraId="05C06E77" w14:textId="77777777" w:rsidR="008E5CA0" w:rsidRPr="00DA3289" w:rsidRDefault="008E5CA0" w:rsidP="008E5CA0">
      <w:pPr>
        <w:pStyle w:val="BodyText"/>
      </w:pPr>
      <w:r w:rsidRPr="00DA3289">
        <w:t xml:space="preserve">Barriers included opening hours (as users in their 20s were more likely to be at work during the day), being able to move to another counsellor if they were not the right ‘match’ with the headspace staff member, the cultural or gender characteristics of the staff member being too different so that they could not relate, however the actual logistics of appointments were not a problem for the vast majority of headspace users. </w:t>
      </w:r>
    </w:p>
    <w:p w14:paraId="425A8B4B" w14:textId="77777777" w:rsidR="008E5CA0" w:rsidRDefault="008E5CA0" w:rsidP="008E5CA0">
      <w:pPr>
        <w:pStyle w:val="BodyText"/>
      </w:pPr>
      <w:r w:rsidRPr="00DA3289">
        <w:t xml:space="preserve">Quite a few interviewees had been to headspace and then to a clinical psychologist later, and the majority much preferred the therapeutic relationship </w:t>
      </w:r>
      <w:r>
        <w:t>w</w:t>
      </w:r>
      <w:r w:rsidRPr="00DA3289">
        <w:t>ith the psychologist in private practice, while also acknowledging that headspace has been useful at the time or pointed them in the right direction.</w:t>
      </w:r>
      <w:r>
        <w:t xml:space="preserve"> </w:t>
      </w:r>
      <w:r w:rsidRPr="00DA3289">
        <w:t xml:space="preserve">A minority felt headspace had been of very little use to them and were glad they had ‘moved on’. </w:t>
      </w:r>
    </w:p>
    <w:p w14:paraId="269EA1B3" w14:textId="4D9D0CCC" w:rsidR="008E5CA0" w:rsidRDefault="008E5CA0" w:rsidP="000244E4">
      <w:pPr>
        <w:pStyle w:val="BodyText"/>
        <w:rPr>
          <w:rFonts w:cstheme="minorHAnsi"/>
          <w:shd w:val="clear" w:color="auto" w:fill="FFFFFF"/>
        </w:rPr>
      </w:pPr>
      <w:r>
        <w:t xml:space="preserve">In interviews with </w:t>
      </w:r>
      <w:r w:rsidR="001F058F">
        <w:t>Y</w:t>
      </w:r>
      <w:r>
        <w:t xml:space="preserve">outh </w:t>
      </w:r>
      <w:r w:rsidR="001F058F">
        <w:t>R</w:t>
      </w:r>
      <w:r>
        <w:t xml:space="preserve">eference </w:t>
      </w:r>
      <w:r w:rsidR="001F058F">
        <w:t>G</w:t>
      </w:r>
      <w:r>
        <w:t>roups, y</w:t>
      </w:r>
      <w:r>
        <w:rPr>
          <w:rFonts w:cstheme="minorHAnsi"/>
          <w:shd w:val="clear" w:color="auto" w:fill="FFFFFF"/>
        </w:rPr>
        <w:t xml:space="preserve">oung people noted that accessible locations, the high recognition of the headspace brand for example on social media, outreach activities in schools and the community and the youth friendly approach to providing help and advocacy contributed to enabling young people to access services. </w:t>
      </w:r>
    </w:p>
    <w:p w14:paraId="2EAE279F" w14:textId="77777777" w:rsidR="008E5CA0" w:rsidRDefault="008E5CA0" w:rsidP="003006A8">
      <w:pPr>
        <w:pStyle w:val="BodyText"/>
        <w:rPr>
          <w:rFonts w:cstheme="minorHAnsi"/>
          <w:shd w:val="clear" w:color="auto" w:fill="FFFFFF"/>
        </w:rPr>
      </w:pPr>
      <w:r>
        <w:rPr>
          <w:rFonts w:cstheme="minorHAnsi"/>
          <w:shd w:val="clear" w:color="auto" w:fill="FFFFFF"/>
        </w:rPr>
        <w:t>Youth reference group participants identified several barriers to accessing support: waiting lists, staffing shortages, and resourcing:</w:t>
      </w:r>
    </w:p>
    <w:p w14:paraId="6A32BF33" w14:textId="77777777" w:rsidR="008E5CA0" w:rsidRPr="00521D25" w:rsidRDefault="008E5CA0" w:rsidP="008E5CA0">
      <w:pPr>
        <w:pStyle w:val="Quote"/>
        <w:rPr>
          <w:szCs w:val="20"/>
        </w:rPr>
      </w:pPr>
      <w:r>
        <w:rPr>
          <w:szCs w:val="20"/>
        </w:rPr>
        <w:t>“</w:t>
      </w:r>
      <w:r w:rsidRPr="00521D25">
        <w:rPr>
          <w:szCs w:val="20"/>
        </w:rPr>
        <w:t>Sometimes you can get yourself to a point you need help right now but if you've got to wait three months you're just not going to be motivated enough and you're probably just going to go downhill even more.</w:t>
      </w:r>
      <w:r>
        <w:rPr>
          <w:szCs w:val="20"/>
        </w:rPr>
        <w:t>”</w:t>
      </w:r>
    </w:p>
    <w:p w14:paraId="37DDE976" w14:textId="77777777" w:rsidR="008E5CA0" w:rsidRPr="00D43897" w:rsidRDefault="008E5CA0" w:rsidP="003006A8">
      <w:pPr>
        <w:pStyle w:val="BodyText"/>
      </w:pPr>
      <w:r>
        <w:t>and</w:t>
      </w:r>
    </w:p>
    <w:p w14:paraId="575216DA" w14:textId="77777777" w:rsidR="008E5CA0" w:rsidRPr="00521D25" w:rsidRDefault="008E5CA0" w:rsidP="008E5CA0">
      <w:pPr>
        <w:pStyle w:val="Quote"/>
        <w:rPr>
          <w:szCs w:val="20"/>
        </w:rPr>
      </w:pPr>
      <w:r>
        <w:rPr>
          <w:szCs w:val="20"/>
        </w:rPr>
        <w:t>“</w:t>
      </w:r>
      <w:r w:rsidRPr="00521D25">
        <w:rPr>
          <w:szCs w:val="20"/>
        </w:rPr>
        <w:t>biggest issue is staff, I feel like it’s just completely understaffed</w:t>
      </w:r>
      <w:r>
        <w:rPr>
          <w:szCs w:val="20"/>
        </w:rPr>
        <w:t>”</w:t>
      </w:r>
    </w:p>
    <w:p w14:paraId="034391E0" w14:textId="77777777" w:rsidR="008E5CA0" w:rsidRPr="00D43897" w:rsidRDefault="008E5CA0" w:rsidP="003006A8">
      <w:pPr>
        <w:pStyle w:val="BodyText"/>
      </w:pPr>
      <w:r>
        <w:t>and</w:t>
      </w:r>
    </w:p>
    <w:p w14:paraId="523FE856" w14:textId="77777777" w:rsidR="008E5CA0" w:rsidRPr="00521D25" w:rsidRDefault="008E5CA0" w:rsidP="008E5CA0">
      <w:pPr>
        <w:pStyle w:val="Quote"/>
        <w:rPr>
          <w:szCs w:val="20"/>
        </w:rPr>
      </w:pPr>
      <w:r>
        <w:rPr>
          <w:szCs w:val="20"/>
        </w:rPr>
        <w:t>“</w:t>
      </w:r>
      <w:r w:rsidRPr="00521D25">
        <w:rPr>
          <w:szCs w:val="20"/>
        </w:rPr>
        <w:t>I personally think the staff here are great but I don’t think there is enough again. It all comes with being in the remote area</w:t>
      </w:r>
      <w:r>
        <w:rPr>
          <w:szCs w:val="20"/>
        </w:rPr>
        <w:t>”</w:t>
      </w:r>
    </w:p>
    <w:p w14:paraId="78C0FA4A" w14:textId="77777777" w:rsidR="008E5CA0" w:rsidRPr="00D43897" w:rsidRDefault="008E5CA0" w:rsidP="003006A8">
      <w:pPr>
        <w:pStyle w:val="BodyText"/>
      </w:pPr>
      <w:r>
        <w:t>and</w:t>
      </w:r>
    </w:p>
    <w:p w14:paraId="1E4EF1EE" w14:textId="77777777" w:rsidR="008E5CA0" w:rsidRPr="00821B04" w:rsidRDefault="008E5CA0" w:rsidP="008E5CA0">
      <w:pPr>
        <w:pStyle w:val="Quote"/>
      </w:pPr>
      <w:r>
        <w:rPr>
          <w:szCs w:val="20"/>
        </w:rPr>
        <w:t>“</w:t>
      </w:r>
      <w:r w:rsidRPr="00521D25">
        <w:rPr>
          <w:szCs w:val="20"/>
        </w:rPr>
        <w:t>The amount of sessions can be a bit of a barrier as well, like you know, you have to decide whether or not you want to – like if you’re going through something you have to decide whether or not you’re going to see someone soon or you want to push it back a bit so that you have enough sessions for the end of the year.</w:t>
      </w:r>
      <w:r>
        <w:rPr>
          <w:szCs w:val="20"/>
        </w:rPr>
        <w:t>”</w:t>
      </w:r>
    </w:p>
    <w:p w14:paraId="55A3F37A" w14:textId="77777777" w:rsidR="008E5CA0" w:rsidRDefault="008E5CA0" w:rsidP="008E5CA0">
      <w:pPr>
        <w:pStyle w:val="Heading5"/>
      </w:pPr>
      <w:r>
        <w:t>Perspectives of young people who do not use headspace</w:t>
      </w:r>
    </w:p>
    <w:p w14:paraId="0DC07C1F" w14:textId="77777777" w:rsidR="008E5CA0" w:rsidRPr="00086B66" w:rsidRDefault="008E5CA0" w:rsidP="008E5CA0">
      <w:pPr>
        <w:pStyle w:val="BodyText"/>
      </w:pPr>
      <w:r w:rsidRPr="00E91345">
        <w:t>Feedback from non-headspace users that opening hours predominantly in business hours did not support young people with full time study and workloads to access services.</w:t>
      </w:r>
      <w:r w:rsidRPr="00086B66">
        <w:t xml:space="preserve"> The views of young people who do not use headspace were explored in interviews and focus groups, to understand how appropriate and accessible they see headspace services to be.</w:t>
      </w:r>
      <w:r>
        <w:t xml:space="preserve"> </w:t>
      </w:r>
    </w:p>
    <w:p w14:paraId="2C665AD9" w14:textId="1EFBDC75" w:rsidR="008E5CA0" w:rsidRDefault="008E5CA0" w:rsidP="008E5CA0">
      <w:pPr>
        <w:pStyle w:val="BodyText"/>
      </w:pPr>
      <w:r>
        <w:t>There was p</w:t>
      </w:r>
      <w:r w:rsidRPr="000D017A">
        <w:t>ositive feedback from non-headspace users who have accessed website resources from headspace</w:t>
      </w:r>
      <w:r>
        <w:t xml:space="preserve">. </w:t>
      </w:r>
      <w:r w:rsidRPr="000D017A">
        <w:t xml:space="preserve">Some non-headspace users also recognised that headspace also has online and phone counselling services through eheadspace for those who can’t </w:t>
      </w:r>
      <w:r w:rsidR="0050072E">
        <w:t>access</w:t>
      </w:r>
      <w:r w:rsidRPr="000D017A">
        <w:t xml:space="preserve"> a </w:t>
      </w:r>
      <w:r w:rsidR="0050072E">
        <w:t>service</w:t>
      </w:r>
      <w:r w:rsidRPr="000D017A">
        <w:t xml:space="preserve"> in person.</w:t>
      </w:r>
      <w:r>
        <w:t xml:space="preserve"> N</w:t>
      </w:r>
      <w:r w:rsidRPr="000D017A">
        <w:t xml:space="preserve">on-headspace users </w:t>
      </w:r>
      <w:r>
        <w:t xml:space="preserve">saw these examples of </w:t>
      </w:r>
      <w:r w:rsidRPr="000D017A">
        <w:t>telehealth</w:t>
      </w:r>
      <w:r>
        <w:t xml:space="preserve"> services as</w:t>
      </w:r>
      <w:r w:rsidRPr="000D017A">
        <w:t xml:space="preserve"> important for those who can’t make it to a physical </w:t>
      </w:r>
      <w:r w:rsidR="0050072E">
        <w:t>service</w:t>
      </w:r>
      <w:r w:rsidRPr="000D017A">
        <w:t>.</w:t>
      </w:r>
    </w:p>
    <w:p w14:paraId="6DB80967" w14:textId="5630DB85" w:rsidR="008E5CA0" w:rsidRPr="001B2AA1" w:rsidRDefault="008E5CA0" w:rsidP="008E5CA0">
      <w:pPr>
        <w:pStyle w:val="BodyText"/>
      </w:pPr>
      <w:r w:rsidRPr="00F77052">
        <w:t xml:space="preserve">Non-users of headspace also discussed the location and accessibility of the physical headspace </w:t>
      </w:r>
      <w:r w:rsidR="0050072E">
        <w:t>service</w:t>
      </w:r>
      <w:r w:rsidRPr="00F77052">
        <w:t xml:space="preserve">s near them. Many non-headspace users knew where their local </w:t>
      </w:r>
      <w:r w:rsidR="0050072E">
        <w:t>service</w:t>
      </w:r>
      <w:r w:rsidRPr="00F77052">
        <w:t xml:space="preserve"> was, but highlighted that this was sometimes not accessible from local communities due to travel durations and lack of public transport. In these discussions, young people identified greater flexibility for outreach services as being potentially beneficial.</w:t>
      </w:r>
      <w:r w:rsidRPr="001B2AA1">
        <w:t xml:space="preserve"> </w:t>
      </w:r>
    </w:p>
    <w:p w14:paraId="484D94B3" w14:textId="78E6F1FB" w:rsidR="008E5CA0" w:rsidRPr="001B2AA1" w:rsidRDefault="008E5CA0" w:rsidP="008E5CA0">
      <w:pPr>
        <w:pStyle w:val="BodyText"/>
      </w:pPr>
      <w:r>
        <w:t>There was s</w:t>
      </w:r>
      <w:r w:rsidRPr="001B2AA1">
        <w:t>ome hesitancy</w:t>
      </w:r>
      <w:r>
        <w:t xml:space="preserve"> from the group around</w:t>
      </w:r>
      <w:r w:rsidRPr="001B2AA1">
        <w:t xml:space="preserve"> us</w:t>
      </w:r>
      <w:r>
        <w:t>ing</w:t>
      </w:r>
      <w:r w:rsidRPr="001B2AA1">
        <w:t xml:space="preserve"> the service from the public setting of a </w:t>
      </w:r>
      <w:r w:rsidR="0050072E">
        <w:t>service</w:t>
      </w:r>
      <w:r>
        <w:t xml:space="preserve">, as they </w:t>
      </w:r>
      <w:r w:rsidRPr="001B2AA1">
        <w:t>didn’t want to be seen walking through the door</w:t>
      </w:r>
      <w:r>
        <w:t>. These young people thought the p</w:t>
      </w:r>
      <w:r w:rsidRPr="001B2AA1">
        <w:t>resentation of the building would draw unwanted attention, and in small communities, young people were concerned about their privacy</w:t>
      </w:r>
      <w:r>
        <w:t>.</w:t>
      </w:r>
    </w:p>
    <w:p w14:paraId="634E8099" w14:textId="77777777" w:rsidR="008E5CA0" w:rsidRPr="001B2AA1" w:rsidRDefault="008E5CA0" w:rsidP="008E5CA0">
      <w:pPr>
        <w:pStyle w:val="BodyText"/>
      </w:pPr>
      <w:r>
        <w:t>In contrast, other non-users spoke positively about the b</w:t>
      </w:r>
      <w:r w:rsidRPr="001B2AA1">
        <w:t>right</w:t>
      </w:r>
      <w:r>
        <w:t xml:space="preserve"> and </w:t>
      </w:r>
      <w:r w:rsidRPr="001B2AA1">
        <w:t>vibrant brand</w:t>
      </w:r>
      <w:r>
        <w:t xml:space="preserve"> of the headspace service and though this looked welcoming and </w:t>
      </w:r>
      <w:r w:rsidRPr="001B2AA1">
        <w:t>inviting</w:t>
      </w:r>
      <w:r>
        <w:t>.</w:t>
      </w:r>
    </w:p>
    <w:p w14:paraId="55A86B29" w14:textId="77777777" w:rsidR="008E5CA0" w:rsidRDefault="008E5CA0" w:rsidP="008E5CA0">
      <w:pPr>
        <w:pStyle w:val="BodyText"/>
        <w:rPr>
          <w:rFonts w:eastAsiaTheme="minorEastAsia"/>
          <w:szCs w:val="20"/>
        </w:rPr>
      </w:pPr>
      <w:r w:rsidRPr="000D017A">
        <w:t xml:space="preserve">Feedback from non-headspace users </w:t>
      </w:r>
      <w:r>
        <w:t xml:space="preserve">was </w:t>
      </w:r>
      <w:r w:rsidRPr="000D017A">
        <w:t xml:space="preserve">that </w:t>
      </w:r>
      <w:r>
        <w:t xml:space="preserve">they thought </w:t>
      </w:r>
      <w:r w:rsidRPr="000D017A">
        <w:t>opening hours</w:t>
      </w:r>
      <w:r>
        <w:t xml:space="preserve"> were</w:t>
      </w:r>
      <w:r w:rsidRPr="000D017A">
        <w:t xml:space="preserve"> predominantly in business hours</w:t>
      </w:r>
      <w:r>
        <w:t>, and that this</w:t>
      </w:r>
      <w:r w:rsidRPr="000D017A">
        <w:t xml:space="preserve"> d</w:t>
      </w:r>
      <w:r>
        <w:t xml:space="preserve">oes </w:t>
      </w:r>
      <w:r w:rsidRPr="000D017A">
        <w:t>not support young people with full time study and workloads to access services.</w:t>
      </w:r>
      <w:r w:rsidRPr="004B6E58">
        <w:rPr>
          <w:rFonts w:eastAsiaTheme="minorEastAsia"/>
          <w:szCs w:val="20"/>
        </w:rPr>
        <w:t xml:space="preserve"> </w:t>
      </w:r>
    </w:p>
    <w:p w14:paraId="3923EE38" w14:textId="77777777" w:rsidR="008E5CA0" w:rsidRDefault="008E5CA0" w:rsidP="008E5CA0">
      <w:pPr>
        <w:pStyle w:val="BodyText"/>
      </w:pPr>
      <w:r>
        <w:t>When discussing accessibility of headspace, non-users also highlighted that they thought that providing s</w:t>
      </w:r>
      <w:r w:rsidRPr="001B2AA1">
        <w:t>ervice</w:t>
      </w:r>
      <w:r>
        <w:t xml:space="preserve">s without cost was an important benefit of the headspace model. </w:t>
      </w:r>
    </w:p>
    <w:p w14:paraId="3276AA85" w14:textId="77777777" w:rsidR="008E5CA0" w:rsidRDefault="008E5CA0" w:rsidP="008E5CA0">
      <w:pPr>
        <w:pStyle w:val="Heading5"/>
      </w:pPr>
      <w:r>
        <w:t>Perspectives of headspace service providers</w:t>
      </w:r>
    </w:p>
    <w:p w14:paraId="0D78716F" w14:textId="71CD14B8" w:rsidR="008E5CA0" w:rsidRPr="0014076C" w:rsidRDefault="008E5CA0" w:rsidP="008E5CA0">
      <w:pPr>
        <w:pStyle w:val="BodyText"/>
      </w:pPr>
      <w:r>
        <w:t xml:space="preserve">Survey responses from </w:t>
      </w:r>
      <w:r w:rsidR="008C0500">
        <w:t>service</w:t>
      </w:r>
      <w:r>
        <w:t xml:space="preserve"> and lead agency staff indicate that the majority of people working within headspace services </w:t>
      </w:r>
      <w:r w:rsidR="003A5D90">
        <w:t>believe</w:t>
      </w:r>
      <w:r>
        <w:t xml:space="preserve"> that their </w:t>
      </w:r>
      <w:r w:rsidR="008C0500">
        <w:t>service</w:t>
      </w:r>
      <w:r>
        <w:t xml:space="preserve"> provides services that are youth friendly, appropriate and accessible with </w:t>
      </w:r>
      <w:r w:rsidR="00217836">
        <w:t>90</w:t>
      </w:r>
      <w:r>
        <w:t xml:space="preserve"> per cent of respondents indicating either ‘very well’ or ‘well’ on this domain.</w:t>
      </w:r>
    </w:p>
    <w:p w14:paraId="60A45CE1" w14:textId="0D5CBFEA" w:rsidR="0099589C" w:rsidRPr="0099589C" w:rsidRDefault="008E5CA0" w:rsidP="0099589C">
      <w:pPr>
        <w:pStyle w:val="Caption"/>
      </w:pPr>
      <w:bookmarkStart w:id="282" w:name="_Toc108109236"/>
      <w:r>
        <w:t xml:space="preserve">Figure </w:t>
      </w:r>
      <w:r>
        <w:fldChar w:fldCharType="begin"/>
      </w:r>
      <w:r>
        <w:instrText>SEQ Figure \* ARABIC</w:instrText>
      </w:r>
      <w:r>
        <w:fldChar w:fldCharType="separate"/>
      </w:r>
      <w:r w:rsidR="00CC0438">
        <w:rPr>
          <w:noProof/>
        </w:rPr>
        <w:t>51</w:t>
      </w:r>
      <w:r>
        <w:fldChar w:fldCharType="end"/>
      </w:r>
      <w:r>
        <w:t xml:space="preserve">: Responses from </w:t>
      </w:r>
      <w:r w:rsidR="00646540">
        <w:t>service</w:t>
      </w:r>
      <w:r>
        <w:t xml:space="preserve"> and lead agency </w:t>
      </w:r>
      <w:r w:rsidR="00646540">
        <w:t>survey</w:t>
      </w:r>
      <w:r>
        <w:t>: how well does your centre provide services that are youth friendly, appropriate and accessible</w:t>
      </w:r>
      <w:bookmarkEnd w:id="282"/>
    </w:p>
    <w:p w14:paraId="28376580" w14:textId="577637A8" w:rsidR="005F5087" w:rsidRPr="005F5087" w:rsidRDefault="005F5087" w:rsidP="005F5087">
      <w:r>
        <w:rPr>
          <w:noProof/>
        </w:rPr>
        <w:drawing>
          <wp:inline distT="0" distB="0" distL="0" distR="0" wp14:anchorId="16CC8236" wp14:editId="6F09B515">
            <wp:extent cx="5041900" cy="3108960"/>
            <wp:effectExtent l="0" t="0" r="0" b="0"/>
            <wp:docPr id="17" name="Picture 17" descr="Figure 51 is a pie chart presenting responses from lead agency and headspace service survey respondents about the effectiveness of headspace services in providing youth friendly, appropriate and accessible services. &#10;37% of respondents said very well&#10;53% of respondents said well&#10;8% of respondents said neutral&#10;2% of respondents said not we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51 is a pie chart presenting responses from lead agency and headspace service survey respondents about the effectiveness of headspace services in providing youth friendly, appropriate and accessible services. &#10;37% of respondents said very well&#10;53% of respondents said well&#10;8% of respondents said neutral&#10;2% of respondents said not well&#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1900" cy="3108960"/>
                    </a:xfrm>
                    <a:prstGeom prst="rect">
                      <a:avLst/>
                    </a:prstGeom>
                    <a:noFill/>
                  </pic:spPr>
                </pic:pic>
              </a:graphicData>
            </a:graphic>
          </wp:inline>
        </w:drawing>
      </w:r>
    </w:p>
    <w:p w14:paraId="440FCB78" w14:textId="77777777" w:rsidR="008E5CA0" w:rsidRPr="005607C2" w:rsidRDefault="008E5CA0" w:rsidP="008E5CA0">
      <w:pPr>
        <w:pStyle w:val="Source"/>
        <w:rPr>
          <w:szCs w:val="16"/>
        </w:rPr>
      </w:pPr>
      <w:r w:rsidRPr="005607C2">
        <w:t>S</w:t>
      </w:r>
      <w:r w:rsidRPr="005607C2">
        <w:rPr>
          <w:szCs w:val="16"/>
        </w:rPr>
        <w:t>ource:</w:t>
      </w:r>
      <w:r>
        <w:rPr>
          <w:szCs w:val="16"/>
        </w:rPr>
        <w:t xml:space="preserve"> KPMG analysis of headspace service and lead agency survey</w:t>
      </w:r>
    </w:p>
    <w:p w14:paraId="2CFD9196" w14:textId="416AA457" w:rsidR="008E5CA0" w:rsidRPr="005607C2" w:rsidRDefault="008E5CA0" w:rsidP="008E5CA0">
      <w:pPr>
        <w:pStyle w:val="Source"/>
        <w:rPr>
          <w:szCs w:val="16"/>
        </w:rPr>
      </w:pPr>
      <w:r w:rsidRPr="005607C2">
        <w:t>Notes:</w:t>
      </w:r>
      <w:r>
        <w:rPr>
          <w:szCs w:val="16"/>
        </w:rPr>
        <w:t xml:space="preserve"> A total of 60 responses were received for this question</w:t>
      </w:r>
      <w:r w:rsidR="00FB2FE6">
        <w:rPr>
          <w:szCs w:val="16"/>
        </w:rPr>
        <w:t>.</w:t>
      </w:r>
    </w:p>
    <w:p w14:paraId="16C6FCEA" w14:textId="367DDD0C" w:rsidR="008E5CA0" w:rsidRDefault="008E5CA0" w:rsidP="008E5CA0">
      <w:pPr>
        <w:pStyle w:val="BodyText"/>
      </w:pPr>
      <w:r>
        <w:t xml:space="preserve">When asked to describe enablers and barriers to their service providing youth friendly, appropriate and accessible services, respondents provided a range of responses. Some identified the youthful, friendly and welcoming service design as a key enabler, others that the physical site is important, needing to be accessible for young people, and big enough to support engaging private providers. The flexible </w:t>
      </w:r>
      <w:r w:rsidR="001F2443">
        <w:t>model</w:t>
      </w:r>
      <w:r>
        <w:t xml:space="preserve"> with centre-based and some outreach services, as well as having multiple referral pathways, strong staff knowledge and relationships with the local service system and a ‘no wrong door’ approach that aim to meet the needs of young people were also highlighted.</w:t>
      </w:r>
      <w:r w:rsidRPr="007D711D">
        <w:t xml:space="preserve"> </w:t>
      </w:r>
    </w:p>
    <w:p w14:paraId="6AE1532E" w14:textId="3C4946EC" w:rsidR="008E5CA0" w:rsidRDefault="008E5CA0" w:rsidP="008E5CA0">
      <w:pPr>
        <w:pStyle w:val="BodyText"/>
      </w:pPr>
      <w:r>
        <w:t xml:space="preserve">The role of </w:t>
      </w:r>
      <w:r w:rsidR="001F058F">
        <w:t>Y</w:t>
      </w:r>
      <w:r>
        <w:t xml:space="preserve">outh </w:t>
      </w:r>
      <w:r w:rsidR="001F058F">
        <w:t>R</w:t>
      </w:r>
      <w:r>
        <w:t xml:space="preserve">eference </w:t>
      </w:r>
      <w:r w:rsidR="001F058F">
        <w:t>G</w:t>
      </w:r>
      <w:r>
        <w:t xml:space="preserve">roups in service design was also identified as a key enabler, with services designed by young people for young people and including youth friendly approaches such as ‘walk and talk’ sessions, sessions held outdoors and experiential learning approaches. Similarly, services noted that they try to employ younger staff to help make the </w:t>
      </w:r>
      <w:r w:rsidR="0050072E">
        <w:t>service</w:t>
      </w:r>
      <w:r>
        <w:t xml:space="preserve"> more ‘youth friendly’. </w:t>
      </w:r>
    </w:p>
    <w:p w14:paraId="6140F210" w14:textId="4A7CFBCB" w:rsidR="008E5CA0" w:rsidRDefault="008E5CA0" w:rsidP="008E5CA0">
      <w:pPr>
        <w:pStyle w:val="BodyText"/>
      </w:pPr>
      <w:r>
        <w:t xml:space="preserve">Many of the barriers service providers described in response to this question are related to the key enablers, highlighting the ongoing challenges they face with limited referral pathways in some communities, waitlists for tertiary mental health services where young people have more complex or acute needs, and headspace </w:t>
      </w:r>
      <w:r w:rsidR="0050072E">
        <w:t>service</w:t>
      </w:r>
      <w:r>
        <w:t xml:space="preserve"> waitlists impacting accessibility as well. In regional areas, the distance between towns and the lack of public transport were also raised as barriers to access.</w:t>
      </w:r>
    </w:p>
    <w:p w14:paraId="13932E73" w14:textId="01DB309B" w:rsidR="008E5CA0" w:rsidRDefault="008E5CA0" w:rsidP="000244E4">
      <w:pPr>
        <w:pStyle w:val="BodyText"/>
      </w:pPr>
      <w:r>
        <w:t xml:space="preserve">As described in </w:t>
      </w:r>
      <w:r w:rsidR="002C21C4">
        <w:t>appendix</w:t>
      </w:r>
      <w:r>
        <w:t xml:space="preserve"> </w:t>
      </w:r>
      <w:r w:rsidR="002C21C4">
        <w:fldChar w:fldCharType="begin" w:fldLock="1"/>
      </w:r>
      <w:r w:rsidR="002C21C4">
        <w:instrText xml:space="preserve"> REF _Ref98326316 \r \h </w:instrText>
      </w:r>
      <w:r w:rsidR="002C21C4">
        <w:fldChar w:fldCharType="separate"/>
      </w:r>
      <w:r w:rsidR="00AE4D34">
        <w:t>D.4</w:t>
      </w:r>
      <w:r w:rsidR="002C21C4">
        <w:fldChar w:fldCharType="end"/>
      </w:r>
      <w:r>
        <w:t xml:space="preserve">, above, when asked whether responses to this question changed when considering young people from ‘hard to reach’ groups, providers felt that their headspace service was less able to support access rates of young people with disability, </w:t>
      </w:r>
      <w:r w:rsidR="00EB4618">
        <w:t>young people</w:t>
      </w:r>
      <w:r>
        <w:t xml:space="preserve"> from culturally and linguistically diverse backgrounds and Aboriginal and Torres Strait Islander young people.</w:t>
      </w:r>
      <w:r w:rsidRPr="00B0593E">
        <w:t xml:space="preserve"> </w:t>
      </w:r>
    </w:p>
    <w:p w14:paraId="1069B511" w14:textId="10B9B528" w:rsidR="008E5CA0" w:rsidRDefault="008E5CA0" w:rsidP="008E5CA0">
      <w:pPr>
        <w:pStyle w:val="Caption"/>
      </w:pPr>
      <w:bookmarkStart w:id="283" w:name="_Toc108109237"/>
      <w:r>
        <w:t xml:space="preserve">Figure </w:t>
      </w:r>
      <w:r>
        <w:fldChar w:fldCharType="begin"/>
      </w:r>
      <w:r>
        <w:instrText>SEQ Figure \* ARABIC</w:instrText>
      </w:r>
      <w:r>
        <w:fldChar w:fldCharType="separate"/>
      </w:r>
      <w:r w:rsidR="00CC0438">
        <w:rPr>
          <w:noProof/>
        </w:rPr>
        <w:t>52</w:t>
      </w:r>
      <w:r>
        <w:fldChar w:fldCharType="end"/>
      </w:r>
      <w:r>
        <w:t xml:space="preserve">: Responses from </w:t>
      </w:r>
      <w:r w:rsidR="00646540">
        <w:t>service</w:t>
      </w:r>
      <w:r>
        <w:t xml:space="preserve"> and lead agency </w:t>
      </w:r>
      <w:r w:rsidR="00646540">
        <w:t>survey</w:t>
      </w:r>
      <w:r>
        <w:t>: how well does your centre provide services that are youth friendly, appropriate and accessible</w:t>
      </w:r>
      <w:bookmarkEnd w:id="283"/>
    </w:p>
    <w:p w14:paraId="3CA129C3" w14:textId="5FEBE973" w:rsidR="00B27114" w:rsidRPr="00B27114" w:rsidRDefault="00B27114" w:rsidP="00441C67">
      <w:r>
        <w:rPr>
          <w:noProof/>
        </w:rPr>
        <w:drawing>
          <wp:inline distT="0" distB="0" distL="0" distR="0" wp14:anchorId="7BA6633C" wp14:editId="74C152CE">
            <wp:extent cx="5037455" cy="3234055"/>
            <wp:effectExtent l="0" t="0" r="0" b="4445"/>
            <wp:docPr id="108" name="Picture 108" descr="Figure 52 summarises average responses from the lead agency and headspace service survey respondents about how well their service provides services that are youth friendly, appropriate and accessible for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40. For LGBTQIA+ young people, the average score was 56. For culturally and linguistically diverse young people, the average score was 40. For Aboriginal and Torres Strait Islander young people, the average score wa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igure 52 summarises average responses from the lead agency and headspace service survey respondents about how well their service provides services that are youth friendly, appropriate and accessible for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40. For LGBTQIA+ young people, the average score was 56. For culturally and linguistically diverse young people, the average score was 40. For Aboriginal and Torres Strait Islander young people, the average score was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2C5090D7" w14:textId="605A4A08" w:rsidR="008E5CA0" w:rsidRPr="005607C2" w:rsidRDefault="008E5CA0" w:rsidP="00441C67">
      <w:pPr>
        <w:pStyle w:val="Source"/>
      </w:pPr>
      <w:r w:rsidRPr="005607C2">
        <w:t>Source:</w:t>
      </w:r>
      <w:r>
        <w:t xml:space="preserve"> KPMG analysis of headspace service and lead agency survey</w:t>
      </w:r>
    </w:p>
    <w:p w14:paraId="29D158A8" w14:textId="332F646A" w:rsidR="008E5CA0" w:rsidRPr="005607C2" w:rsidRDefault="008E5CA0" w:rsidP="008E5CA0">
      <w:pPr>
        <w:pStyle w:val="Source"/>
        <w:rPr>
          <w:szCs w:val="16"/>
        </w:rPr>
      </w:pPr>
      <w:r w:rsidRPr="005607C2">
        <w:t>Notes:</w:t>
      </w:r>
      <w:r>
        <w:rPr>
          <w:szCs w:val="16"/>
        </w:rPr>
        <w:t xml:space="preserve"> A total of 60 responses were received for this question</w:t>
      </w:r>
      <w:r w:rsidR="00FB2FE6">
        <w:rPr>
          <w:szCs w:val="16"/>
        </w:rPr>
        <w:t>.</w:t>
      </w:r>
    </w:p>
    <w:p w14:paraId="23FCD371" w14:textId="63A0B82C" w:rsidR="008E5CA0" w:rsidRDefault="008E5CA0" w:rsidP="008E5CA0">
      <w:pPr>
        <w:pStyle w:val="Heading5"/>
      </w:pPr>
      <w:r>
        <w:t xml:space="preserve">Perspectives of </w:t>
      </w:r>
      <w:r w:rsidR="00B82DA8">
        <w:t xml:space="preserve">other </w:t>
      </w:r>
      <w:r>
        <w:t xml:space="preserve">external stakeholders </w:t>
      </w:r>
      <w:r w:rsidR="00B82DA8">
        <w:t xml:space="preserve">including school and university counsellors, GPs and PHNs </w:t>
      </w:r>
    </w:p>
    <w:p w14:paraId="35485C2F" w14:textId="6AD763B1" w:rsidR="008E5CA0" w:rsidRPr="00E91345" w:rsidRDefault="008E5CA0" w:rsidP="008E5CA0">
      <w:pPr>
        <w:pStyle w:val="BodyText"/>
      </w:pPr>
      <w:r w:rsidRPr="00E91345">
        <w:t xml:space="preserve">School counsellors identified that the branding and youthful energy of </w:t>
      </w:r>
      <w:r w:rsidR="0050072E">
        <w:t>service</w:t>
      </w:r>
      <w:r w:rsidRPr="00E91345">
        <w:t>s, as well as headspace’s social media presence worked to destigmatise use of headspace services. They thought this made it less intimidating for young people to access headspace compared to other clinical services.</w:t>
      </w:r>
    </w:p>
    <w:p w14:paraId="34055184" w14:textId="2DC6895F" w:rsidR="008E5CA0" w:rsidRDefault="008E5CA0" w:rsidP="008E5CA0">
      <w:pPr>
        <w:pStyle w:val="BodyText"/>
      </w:pPr>
      <w:r w:rsidRPr="00E91345">
        <w:t>There was consistent feedback from school and university counsellors that often, young people prefer face-to-face supports when they’re seeking the type of counselling and psychology headspace services provide. School and university counsellors also identified alternative service formats as being helpful. Drop</w:t>
      </w:r>
      <w:r>
        <w:t>-</w:t>
      </w:r>
      <w:r w:rsidRPr="00E91345">
        <w:t xml:space="preserve">in centres and sessions, outreach into schools where a young person can attend a session with a headspace clinician at school, and social groups were seen as important services, particularly for </w:t>
      </w:r>
      <w:r w:rsidR="00BD29DF">
        <w:t>‘</w:t>
      </w:r>
      <w:r w:rsidRPr="00E91345">
        <w:t xml:space="preserve">hard to </w:t>
      </w:r>
      <w:r w:rsidR="00BD29DF">
        <w:t>reach’</w:t>
      </w:r>
      <w:r w:rsidRPr="00E91345">
        <w:t xml:space="preserve"> groups.</w:t>
      </w:r>
    </w:p>
    <w:p w14:paraId="4B14F1A5" w14:textId="165AB710" w:rsidR="008E5CA0" w:rsidRPr="00E91345" w:rsidRDefault="008E5CA0" w:rsidP="008E5CA0">
      <w:pPr>
        <w:pStyle w:val="BodyText"/>
      </w:pPr>
      <w:r w:rsidRPr="00E91345">
        <w:t xml:space="preserve">School and university counsellors identified that </w:t>
      </w:r>
      <w:r w:rsidR="0050072E">
        <w:t>service</w:t>
      </w:r>
      <w:r w:rsidRPr="00E91345">
        <w:t xml:space="preserve"> location was an important aspect of accessibility, with some indicating they did not refer to headspace as they knew the closest </w:t>
      </w:r>
      <w:r w:rsidR="0050072E">
        <w:t>service</w:t>
      </w:r>
      <w:r w:rsidRPr="00E91345">
        <w:t xml:space="preserve"> was not accessible for high school students who can’t drive. They also noted that where there is a distance to a </w:t>
      </w:r>
      <w:r w:rsidR="0050072E">
        <w:t>service</w:t>
      </w:r>
      <w:r w:rsidRPr="00E91345">
        <w:t xml:space="preserve">, access requires parental support, which isn’t always what the young person wants, or parents may be unsupportive. </w:t>
      </w:r>
    </w:p>
    <w:p w14:paraId="7D8725B9" w14:textId="77777777" w:rsidR="008E5CA0" w:rsidRDefault="008E5CA0" w:rsidP="008E5CA0">
      <w:pPr>
        <w:pStyle w:val="Heading4"/>
      </w:pPr>
      <w:r>
        <w:t>The</w:t>
      </w:r>
      <w:r w:rsidRPr="00436089">
        <w:t xml:space="preserve"> extent </w:t>
      </w:r>
      <w:r>
        <w:t>to which</w:t>
      </w:r>
      <w:r w:rsidRPr="00436089">
        <w:t xml:space="preserve"> headspace </w:t>
      </w:r>
      <w:r>
        <w:t xml:space="preserve">provides appropriate, accessible and youth friendly support </w:t>
      </w:r>
    </w:p>
    <w:p w14:paraId="44BF21CB" w14:textId="77777777" w:rsidR="008E5CA0" w:rsidRPr="000021E0" w:rsidRDefault="008E5CA0" w:rsidP="008E5CA0">
      <w:pPr>
        <w:pStyle w:val="BodyText"/>
      </w:pPr>
      <w:r w:rsidRPr="000021E0">
        <w:t>Overall, a range of perspectives</w:t>
      </w:r>
      <w:r>
        <w:t xml:space="preserve"> from a range of stakeholders</w:t>
      </w:r>
      <w:r w:rsidRPr="000021E0">
        <w:t xml:space="preserve"> indicate that headspace provides appropriate, accessible and youth friendly supports, with strong positive responses from young people in surveys and interviews for these domains.</w:t>
      </w:r>
      <w:r>
        <w:t xml:space="preserve"> </w:t>
      </w:r>
      <w:r w:rsidRPr="000021E0">
        <w:t xml:space="preserve">The more contact young people had had with their headspace service, the more likely they were to rate the experience highly, which is a further positive reflection on the appropriateness, accessibility and youth friendliness of the headspace model. </w:t>
      </w:r>
    </w:p>
    <w:p w14:paraId="73803EB0" w14:textId="3E8A3671" w:rsidR="008E5CA0" w:rsidRPr="000021E0" w:rsidRDefault="008E5CA0" w:rsidP="008E5CA0">
      <w:pPr>
        <w:pStyle w:val="BodyText"/>
      </w:pPr>
      <w:r w:rsidRPr="000021E0">
        <w:t xml:space="preserve">Qualitative insights indicate that young people value the rapport built with headspace staff, and the easily accessed location of their local headspace </w:t>
      </w:r>
      <w:r w:rsidR="0050072E">
        <w:t>service</w:t>
      </w:r>
      <w:r w:rsidRPr="000021E0">
        <w:t xml:space="preserve">. </w:t>
      </w:r>
      <w:r>
        <w:t>At the same time, for those not accessing headspace, fear of being stigmatised arose in relation to the central location of headspace service sites and being seen by others seeking mental health support, while the need to be close to public transport was again highlighted. B</w:t>
      </w:r>
      <w:r w:rsidRPr="000021E0">
        <w:t xml:space="preserve">arriers to accessibility </w:t>
      </w:r>
      <w:r>
        <w:t>were raised by users and non-users, including</w:t>
      </w:r>
      <w:r w:rsidRPr="000021E0">
        <w:t xml:space="preserve"> waiting times and the centre's opening hours. A lack of flexibility to change counsellors within headspace if they were not the right ‘match’ with the young person was </w:t>
      </w:r>
      <w:r>
        <w:t xml:space="preserve">also </w:t>
      </w:r>
      <w:r w:rsidRPr="000021E0">
        <w:t xml:space="preserve">raised as an area where headspace could be more 'youth friendly'. Cultural and gender characteristics of the staff member were again very important for a young person to feel comfortable. </w:t>
      </w:r>
    </w:p>
    <w:p w14:paraId="19F1CCE4" w14:textId="08B05E64" w:rsidR="005A44B3" w:rsidRDefault="008E5CA0" w:rsidP="005A44B3">
      <w:pPr>
        <w:pStyle w:val="BodyText"/>
      </w:pPr>
      <w:r>
        <w:t>Other s</w:t>
      </w:r>
      <w:r w:rsidRPr="000021E0">
        <w:t>takeholders had positive views of the youth friendly, appropriate and accessible nature of the services, with drop</w:t>
      </w:r>
      <w:r w:rsidR="004D1498" w:rsidRPr="000021E0">
        <w:t>-</w:t>
      </w:r>
      <w:r w:rsidRPr="000021E0">
        <w:t>in sessions and outreach highlighted as key enablers.</w:t>
      </w:r>
    </w:p>
    <w:p w14:paraId="7121DFC4" w14:textId="3C85FBFA" w:rsidR="003C6D7F" w:rsidRPr="005A44B3" w:rsidRDefault="003C6D7F" w:rsidP="005A44B3">
      <w:pPr>
        <w:pStyle w:val="BodyText"/>
      </w:pPr>
      <w:r w:rsidRPr="003C6D7F">
        <w:t>Evaluation results suggest that headspace is effective in enabling young people to access support where, when and how they want it, and that it is generally appropriate, youth friendly and accessible, with some issues around opening hours and waiting times proving a challenge.</w:t>
      </w:r>
    </w:p>
    <w:p w14:paraId="09DB2DBB" w14:textId="7804F53F" w:rsidR="008E5CA0" w:rsidRDefault="00BD3FF0" w:rsidP="00350B4D">
      <w:pPr>
        <w:pStyle w:val="AppendixHeading2"/>
      </w:pPr>
      <w:bookmarkStart w:id="284" w:name="_Ref98326436"/>
      <w:r>
        <w:t>Participation of</w:t>
      </w:r>
      <w:r w:rsidR="008E5CA0" w:rsidRPr="00C0590E">
        <w:t xml:space="preserve"> young people in the design and delivery of</w:t>
      </w:r>
      <w:bookmarkEnd w:id="284"/>
      <w:r w:rsidR="008E5CA0" w:rsidRPr="00C0590E">
        <w:t xml:space="preserve"> headspace</w:t>
      </w:r>
    </w:p>
    <w:p w14:paraId="387619E7" w14:textId="77777777" w:rsidR="008E5CA0" w:rsidRPr="00602FA7" w:rsidRDefault="008E5CA0" w:rsidP="00514C63">
      <w:pPr>
        <w:pStyle w:val="AppendixHeading3"/>
      </w:pPr>
      <w:r>
        <w:t>Participation in the design and delivery of services</w:t>
      </w:r>
    </w:p>
    <w:p w14:paraId="68AF6234" w14:textId="46DAD42D" w:rsidR="000C5240" w:rsidRDefault="000C5240" w:rsidP="000C5240">
      <w:pPr>
        <w:pStyle w:val="Caption"/>
      </w:pPr>
      <w:bookmarkStart w:id="285" w:name="_Toc108109008"/>
      <w:r>
        <w:t xml:space="preserve">Table </w:t>
      </w:r>
      <w:fldSimple w:instr=" SEQ Table \* ARABIC ">
        <w:r w:rsidR="00CC0438">
          <w:rPr>
            <w:noProof/>
          </w:rPr>
          <w:t>58</w:t>
        </w:r>
      </w:fldSimple>
      <w:r>
        <w:t xml:space="preserve"> </w:t>
      </w:r>
      <w:r w:rsidRPr="00F716A9">
        <w:t>Overview of objectives of headspace for young people’s participation in the design and delivery of services</w:t>
      </w:r>
      <w:bookmarkEnd w:id="285"/>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objectives of headspace for young people’s participation in the design and delivery of services"/>
        <w:tblDescription w:val="Table has 3 columns and summarises the objectives of headspace services with respect to young people participating in the design and delivery of services. Column 1 outlines the objective. Column 2 summarises the short-term impacts expected. Column 3 summarises the medium-term impacts expected."/>
      </w:tblPr>
      <w:tblGrid>
        <w:gridCol w:w="2127"/>
        <w:gridCol w:w="3543"/>
        <w:gridCol w:w="3543"/>
      </w:tblGrid>
      <w:tr w:rsidR="008E5CA0" w:rsidRPr="001D6913" w14:paraId="2A95B652" w14:textId="77777777" w:rsidTr="004E0DFF">
        <w:trPr>
          <w:tblHeader/>
        </w:trPr>
        <w:tc>
          <w:tcPr>
            <w:tcW w:w="1154" w:type="pct"/>
            <w:tcBorders>
              <w:bottom w:val="single" w:sz="4" w:space="0" w:color="00338D"/>
            </w:tcBorders>
            <w:shd w:val="clear" w:color="auto" w:fill="00338D"/>
          </w:tcPr>
          <w:p w14:paraId="25CC8AE3" w14:textId="77777777" w:rsidR="008E5CA0" w:rsidRPr="001D6913" w:rsidRDefault="008E5CA0" w:rsidP="004E0DFF">
            <w:pPr>
              <w:pStyle w:val="Tableheading"/>
            </w:pPr>
            <w:r w:rsidRPr="001D6913">
              <w:t>Objective</w:t>
            </w:r>
          </w:p>
        </w:tc>
        <w:tc>
          <w:tcPr>
            <w:tcW w:w="1923" w:type="pct"/>
            <w:tcBorders>
              <w:bottom w:val="single" w:sz="4" w:space="0" w:color="00338D"/>
            </w:tcBorders>
            <w:shd w:val="clear" w:color="auto" w:fill="00338D"/>
          </w:tcPr>
          <w:p w14:paraId="32F8E362" w14:textId="77777777" w:rsidR="008E5CA0" w:rsidRPr="001D6913" w:rsidRDefault="008E5CA0" w:rsidP="004E0DFF">
            <w:pPr>
              <w:pStyle w:val="Tableheading"/>
            </w:pPr>
            <w:r w:rsidRPr="001D6913">
              <w:t>Short term impacts</w:t>
            </w:r>
          </w:p>
        </w:tc>
        <w:tc>
          <w:tcPr>
            <w:tcW w:w="1923" w:type="pct"/>
            <w:tcBorders>
              <w:bottom w:val="single" w:sz="4" w:space="0" w:color="00338D"/>
            </w:tcBorders>
            <w:shd w:val="clear" w:color="auto" w:fill="00338D"/>
          </w:tcPr>
          <w:p w14:paraId="1137F3EE" w14:textId="77777777" w:rsidR="008E5CA0" w:rsidRPr="001D6913" w:rsidRDefault="008E5CA0" w:rsidP="004E0DFF">
            <w:pPr>
              <w:pStyle w:val="Tableheading"/>
            </w:pPr>
            <w:r w:rsidRPr="001D6913">
              <w:t>Medium term impacts</w:t>
            </w:r>
          </w:p>
        </w:tc>
      </w:tr>
      <w:tr w:rsidR="008E5CA0" w:rsidRPr="001D6913" w14:paraId="65F14784" w14:textId="77777777" w:rsidTr="004E0DFF">
        <w:tc>
          <w:tcPr>
            <w:tcW w:w="1154" w:type="pct"/>
            <w:tcBorders>
              <w:top w:val="single" w:sz="2" w:space="0" w:color="808080" w:themeColor="background1" w:themeShade="80"/>
              <w:bottom w:val="single" w:sz="2" w:space="0" w:color="808080" w:themeColor="background1" w:themeShade="80"/>
            </w:tcBorders>
          </w:tcPr>
          <w:p w14:paraId="4C803EDB" w14:textId="77777777" w:rsidR="008E5CA0" w:rsidRPr="001D6913" w:rsidRDefault="008E5CA0" w:rsidP="004E0DFF">
            <w:pPr>
              <w:pStyle w:val="Tabletext"/>
            </w:pPr>
            <w:r w:rsidRPr="001D6913">
              <w:t>Ensuring young people can access the help they need in an appropriate, accessible and youth friendly way</w:t>
            </w:r>
          </w:p>
        </w:tc>
        <w:tc>
          <w:tcPr>
            <w:tcW w:w="1923" w:type="pct"/>
            <w:tcBorders>
              <w:top w:val="single" w:sz="2" w:space="0" w:color="808080" w:themeColor="background1" w:themeShade="80"/>
              <w:bottom w:val="single" w:sz="2" w:space="0" w:color="808080" w:themeColor="background1" w:themeShade="80"/>
            </w:tcBorders>
          </w:tcPr>
          <w:p w14:paraId="6EF833F1" w14:textId="77777777" w:rsidR="008E5CA0" w:rsidRPr="001D6913" w:rsidRDefault="008E5CA0" w:rsidP="00FB2FE6">
            <w:pPr>
              <w:pStyle w:val="TableBullet1"/>
            </w:pPr>
            <w:r w:rsidRPr="001D6913">
              <w:t>Young people feel listened to and involved in decision-making</w:t>
            </w:r>
          </w:p>
          <w:p w14:paraId="42EDA354" w14:textId="77777777" w:rsidR="008E5CA0" w:rsidRPr="001D6913" w:rsidRDefault="008E5CA0" w:rsidP="00FB2FE6">
            <w:pPr>
              <w:pStyle w:val="TableBullet1"/>
            </w:pPr>
            <w:r w:rsidRPr="001D6913">
              <w:t>Young people and families feel their needs and interests are understood and reflected in their local headspace service (participation outcomes)</w:t>
            </w:r>
          </w:p>
          <w:p w14:paraId="319FB43E" w14:textId="77777777" w:rsidR="008E5CA0" w:rsidRPr="001D6913" w:rsidRDefault="008E5CA0" w:rsidP="0018659D">
            <w:pPr>
              <w:pStyle w:val="TableBullet1"/>
              <w:numPr>
                <w:ilvl w:val="0"/>
                <w:numId w:val="0"/>
              </w:numPr>
              <w:ind w:left="357"/>
            </w:pPr>
          </w:p>
        </w:tc>
        <w:tc>
          <w:tcPr>
            <w:tcW w:w="1923" w:type="pct"/>
            <w:tcBorders>
              <w:top w:val="single" w:sz="2" w:space="0" w:color="808080" w:themeColor="background1" w:themeShade="80"/>
              <w:bottom w:val="single" w:sz="2" w:space="0" w:color="808080" w:themeColor="background1" w:themeShade="80"/>
            </w:tcBorders>
          </w:tcPr>
          <w:p w14:paraId="56D2897C" w14:textId="77777777" w:rsidR="008E5CA0" w:rsidRPr="001D6913" w:rsidRDefault="008E5CA0" w:rsidP="00FB2FE6">
            <w:pPr>
              <w:pStyle w:val="TableBullet1"/>
            </w:pPr>
            <w:r w:rsidRPr="001D6913">
              <w:t>Local service system provides more youth-friendly, accessible and inclusive services as a result of learning through partnerships, shared professional development etc</w:t>
            </w:r>
          </w:p>
        </w:tc>
      </w:tr>
    </w:tbl>
    <w:p w14:paraId="74517B40" w14:textId="77777777" w:rsidR="008E5CA0" w:rsidRDefault="008E5CA0" w:rsidP="000244E4">
      <w:pPr>
        <w:pStyle w:val="BodyText"/>
      </w:pPr>
      <w:r>
        <w:t xml:space="preserve">Ensuring young people are actively engaged in the design and delivery of the services they receive is another key element of the headspace program logic. Through providing a positive experience of service by ensuring young people feel listened to and involved in decision making the overall objectives of the model are supported. </w:t>
      </w:r>
    </w:p>
    <w:p w14:paraId="74F24075" w14:textId="4C386A12" w:rsidR="008E5CA0" w:rsidRPr="003F675D" w:rsidRDefault="008E5CA0" w:rsidP="008E5CA0">
      <w:pPr>
        <w:pStyle w:val="BodyText"/>
      </w:pPr>
      <w:r>
        <w:t xml:space="preserve">To examine the extent to which young people are participating in the design and delivery of services, and how this relates to their experience of headspace, user satisfaction data was analysed, along with interviews with headspace users and </w:t>
      </w:r>
      <w:r w:rsidR="001F058F">
        <w:t>Y</w:t>
      </w:r>
      <w:r>
        <w:t xml:space="preserve">outh </w:t>
      </w:r>
      <w:r w:rsidR="001F058F">
        <w:t>R</w:t>
      </w:r>
      <w:r>
        <w:t xml:space="preserve">eference </w:t>
      </w:r>
      <w:r w:rsidR="001F058F">
        <w:t>G</w:t>
      </w:r>
      <w:r>
        <w:t>roup members. Stakeholder consultation as part of deep dive fieldwork provided additional data and insight as to the perceived success of headspace in these domains.</w:t>
      </w:r>
    </w:p>
    <w:p w14:paraId="0C9FAC3D" w14:textId="77777777" w:rsidR="008E5CA0" w:rsidRDefault="008E5CA0" w:rsidP="008E5CA0">
      <w:pPr>
        <w:pStyle w:val="Heading4"/>
      </w:pPr>
      <w:r>
        <w:t>Evidence of the effectiveness of headspace in ensuring young people participate in the design and delivery of headspace</w:t>
      </w:r>
    </w:p>
    <w:p w14:paraId="649F4AA5" w14:textId="77777777" w:rsidR="008E5CA0" w:rsidRDefault="008E5CA0" w:rsidP="008E5CA0">
      <w:pPr>
        <w:pStyle w:val="Heading5"/>
      </w:pPr>
      <w:r>
        <w:t>Perspectives of young people using headspace</w:t>
      </w:r>
    </w:p>
    <w:p w14:paraId="4DFF7568" w14:textId="5266F987" w:rsidR="008E5CA0" w:rsidRDefault="00592BA3" w:rsidP="008E5CA0">
      <w:pPr>
        <w:pStyle w:val="BodyText"/>
      </w:pPr>
      <w:r>
        <w:t>T</w:t>
      </w:r>
      <w:r w:rsidR="008E5CA0">
        <w:t xml:space="preserve">he views of young people captured in the hMDS young person satisfaction matrix indicate </w:t>
      </w:r>
      <w:r w:rsidR="008E5CA0" w:rsidRPr="005850DF">
        <w:t xml:space="preserve">that most </w:t>
      </w:r>
      <w:r w:rsidR="008E5CA0">
        <w:t xml:space="preserve">are very satisfied with their experience of being involved in the design and delivery of headspace, with the majority selecting </w:t>
      </w:r>
      <w:r w:rsidR="008E5CA0" w:rsidRPr="005850DF">
        <w:t>‘</w:t>
      </w:r>
      <w:r w:rsidR="008E5CA0" w:rsidRPr="00062563">
        <w:t xml:space="preserve">strongly agree’ </w:t>
      </w:r>
      <w:r w:rsidR="008E5CA0">
        <w:t xml:space="preserve">or ‘agree’ for the statements: </w:t>
      </w:r>
    </w:p>
    <w:p w14:paraId="5C47EBF9" w14:textId="73F6E059" w:rsidR="008E5CA0" w:rsidRDefault="008E5CA0" w:rsidP="008E5CA0">
      <w:pPr>
        <w:pStyle w:val="Caption"/>
      </w:pPr>
      <w:bookmarkStart w:id="286" w:name="_Toc108109238"/>
      <w:r>
        <w:t xml:space="preserve">Figure </w:t>
      </w:r>
      <w:r>
        <w:fldChar w:fldCharType="begin"/>
      </w:r>
      <w:r>
        <w:instrText>SEQ Figure \* ARABIC</w:instrText>
      </w:r>
      <w:r>
        <w:fldChar w:fldCharType="separate"/>
      </w:r>
      <w:r w:rsidR="00CC0438">
        <w:rPr>
          <w:noProof/>
        </w:rPr>
        <w:t>53</w:t>
      </w:r>
      <w:r>
        <w:fldChar w:fldCharType="end"/>
      </w:r>
      <w:r>
        <w:t>: Young people’s experience of being at headspace, interaction with the staff and the service received</w:t>
      </w:r>
      <w:bookmarkEnd w:id="286"/>
    </w:p>
    <w:p w14:paraId="4E349D74" w14:textId="7A2DBF23" w:rsidR="008E5CA0" w:rsidRPr="002814A6" w:rsidRDefault="00FF5E47" w:rsidP="000244E4">
      <w:pPr>
        <w:pStyle w:val="BodyText"/>
      </w:pPr>
      <w:r w:rsidRPr="00FF5E47">
        <w:t xml:space="preserve"> </w:t>
      </w:r>
      <w:r>
        <w:rPr>
          <w:noProof/>
        </w:rPr>
        <w:drawing>
          <wp:inline distT="0" distB="0" distL="0" distR="0" wp14:anchorId="44B57007" wp14:editId="180AA622">
            <wp:extent cx="5037455" cy="5037455"/>
            <wp:effectExtent l="0" t="0" r="0" b="0"/>
            <wp:docPr id="28" name="Picture 28" descr="Figure 53 is a bar chart summarising young people’s experiences of using headspace services.&#10;44% of young people strongly agreed that they felt headspace staff listened to them, while 47% agreed, 8% neither agreed nor disagreed, and 1% strongly disagreed.&#10;35% of young people strongly agreed that they felt headspace staff involved them in decision making about what would happen next, while 47% agree, 15% neither agreed nor disagreed, 1% disagreed and 1% strongly disagreed.&#10;42% of young people strongly that they felt their views and worries were taken seriously, while 46% agreed, 10% neither agreed nor disagreed, 1% disagreed and 1% strongly dis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53 is a bar chart summarising young people’s experiences of using headspace services.&#10;44% of young people strongly agreed that they felt headspace staff listened to them, while 47% agreed, 8% neither agreed nor disagreed, and 1% strongly disagreed.&#10;35% of young people strongly agreed that they felt headspace staff involved them in decision making about what would happen next, while 47% agree, 15% neither agreed nor disagreed, 1% disagreed and 1% strongly disagreed.&#10;42% of young people strongly that they felt their views and worries were taken seriously, while 46% agreed, 10% neither agreed nor disagreed, 1% disagreed and 1% strongly disagreed.&#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37455" cy="5037455"/>
                    </a:xfrm>
                    <a:prstGeom prst="rect">
                      <a:avLst/>
                    </a:prstGeom>
                    <a:noFill/>
                    <a:ln>
                      <a:noFill/>
                    </a:ln>
                  </pic:spPr>
                </pic:pic>
              </a:graphicData>
            </a:graphic>
          </wp:inline>
        </w:drawing>
      </w:r>
    </w:p>
    <w:p w14:paraId="5389377E" w14:textId="2283030D" w:rsidR="008E5CA0" w:rsidRPr="005607C2" w:rsidRDefault="008E5CA0" w:rsidP="008E5CA0">
      <w:pPr>
        <w:pStyle w:val="Source"/>
        <w:rPr>
          <w:szCs w:val="16"/>
        </w:rPr>
      </w:pPr>
      <w:r w:rsidRPr="005607C2">
        <w:t>S</w:t>
      </w:r>
      <w:r w:rsidRPr="005607C2">
        <w:rPr>
          <w:szCs w:val="16"/>
        </w:rPr>
        <w:t>ource:</w:t>
      </w:r>
      <w:r>
        <w:rPr>
          <w:szCs w:val="16"/>
        </w:rPr>
        <w:t xml:space="preserve"> </w:t>
      </w:r>
      <w:r w:rsidRPr="00216287" w:rsidDel="00624964">
        <w:rPr>
          <w:szCs w:val="16"/>
        </w:rPr>
        <w:t xml:space="preserve">KPMG analysis of </w:t>
      </w:r>
      <w:r w:rsidRPr="00216287">
        <w:rPr>
          <w:szCs w:val="16"/>
        </w:rPr>
        <w:t xml:space="preserve">hMDS of episodes created within 2015-16 to </w:t>
      </w:r>
      <w:r w:rsidRPr="009A62BE">
        <w:rPr>
          <w:szCs w:val="16"/>
        </w:rPr>
        <w:t>2019-20</w:t>
      </w:r>
    </w:p>
    <w:p w14:paraId="5222BA22" w14:textId="2FB89A8E" w:rsidR="008E5CA0" w:rsidRPr="005607C2" w:rsidRDefault="008E5CA0" w:rsidP="008E5CA0">
      <w:pPr>
        <w:pStyle w:val="Source"/>
        <w:rPr>
          <w:szCs w:val="16"/>
        </w:rPr>
      </w:pPr>
      <w:r w:rsidRPr="005607C2">
        <w:t>Notes:</w:t>
      </w:r>
      <w:r>
        <w:rPr>
          <w:szCs w:val="16"/>
        </w:rPr>
        <w:t xml:space="preserve"> </w:t>
      </w:r>
      <w:r w:rsidRPr="006F76DD">
        <w:rPr>
          <w:szCs w:val="16"/>
        </w:rPr>
        <w:t>Sample includes 379,130 episodes.</w:t>
      </w:r>
      <w:r>
        <w:rPr>
          <w:szCs w:val="16"/>
        </w:rPr>
        <w:t xml:space="preserve"> However, on</w:t>
      </w:r>
      <w:r w:rsidR="00EA7D94">
        <w:rPr>
          <w:szCs w:val="16"/>
        </w:rPr>
        <w:t>l</w:t>
      </w:r>
      <w:r>
        <w:rPr>
          <w:szCs w:val="16"/>
        </w:rPr>
        <w:t xml:space="preserve">y </w:t>
      </w:r>
      <w:r w:rsidRPr="005C75A5">
        <w:rPr>
          <w:szCs w:val="16"/>
        </w:rPr>
        <w:t>136</w:t>
      </w:r>
      <w:r>
        <w:rPr>
          <w:szCs w:val="16"/>
        </w:rPr>
        <w:t>,</w:t>
      </w:r>
      <w:r w:rsidRPr="005C75A5">
        <w:rPr>
          <w:szCs w:val="16"/>
        </w:rPr>
        <w:t>362</w:t>
      </w:r>
      <w:r>
        <w:rPr>
          <w:szCs w:val="16"/>
        </w:rPr>
        <w:t xml:space="preserve"> episodes had sufficient data summarising the young person’s experience of being involved in headspace.</w:t>
      </w:r>
    </w:p>
    <w:p w14:paraId="194B90A2" w14:textId="77777777" w:rsidR="008E5CA0" w:rsidRPr="008B2185" w:rsidRDefault="008E5CA0" w:rsidP="008E5CA0">
      <w:pPr>
        <w:pStyle w:val="BodyText"/>
      </w:pPr>
      <w:r w:rsidRPr="008B2185">
        <w:t>Reference groups discussed a variety of activities and influences they had on headspace practice. Young people in the reference group spoke about the relaxed and flexible approach of headspace staff that supports and guides them to make their decisions about how to deal with their mental health issues</w:t>
      </w:r>
      <w:r>
        <w:t>:</w:t>
      </w:r>
    </w:p>
    <w:p w14:paraId="02F84802" w14:textId="77777777" w:rsidR="008E5CA0" w:rsidRPr="00521D25" w:rsidRDefault="008E5CA0" w:rsidP="008E5CA0">
      <w:pPr>
        <w:pStyle w:val="Quote"/>
      </w:pPr>
      <w:r>
        <w:t>“</w:t>
      </w:r>
      <w:r w:rsidRPr="00521D25">
        <w:t xml:space="preserve">Being your kind of guide in a way of navigating it…They also have like an informal kind of approach as well, </w:t>
      </w:r>
      <w:r w:rsidRPr="00607488">
        <w:t>like</w:t>
      </w:r>
      <w:r w:rsidRPr="00521D25">
        <w:t xml:space="preserve"> my experiences with the IPS have been like we’ve met for a cup of coffee, it’s kind of relaxed and you’re not in the office talking about what you’re doing with your life, they’re not just like straight to the point necessarily, like they’re more open-ended towards what your main goals are and they’ve always been advocating for if you wanted to change your mind about what kind of – you know, they’ve assumed that you’re thinking more for yourself, they’re very supportive of…</w:t>
      </w:r>
      <w:r>
        <w:t>”</w:t>
      </w:r>
    </w:p>
    <w:p w14:paraId="08699317" w14:textId="3AAADF8C" w:rsidR="003C6D7F" w:rsidRDefault="003C6D7F" w:rsidP="003C6D7F">
      <w:pPr>
        <w:pStyle w:val="BodyText"/>
      </w:pPr>
      <w:r w:rsidRPr="003C6D7F">
        <w:t>Reference group members in one area participated in a review of the forms young people filled out when they first presented to headspace. They suggested changes to the forms to ‘make it as easy and straightforward to fill out as possible’. Making the process simple was especially important for young people who attended headspace alone:</w:t>
      </w:r>
    </w:p>
    <w:p w14:paraId="37CC1A38" w14:textId="051B6E78" w:rsidR="008E5CA0" w:rsidRPr="00521D25" w:rsidRDefault="008E5CA0" w:rsidP="008E5CA0">
      <w:pPr>
        <w:pStyle w:val="Quote"/>
      </w:pPr>
      <w:r>
        <w:t>“</w:t>
      </w:r>
      <w:r w:rsidRPr="00521D25">
        <w:t>when you walk in, as much as it’s a bright and friendly environment, it’s still a reception area that’s just the same as a doctor or the dentist or whatever, sometimes I think that can be quite daunting, especially if you’re coming by yourself, like if you haven’t brought mum and dad and they usually fill out the forms for you.</w:t>
      </w:r>
      <w:r>
        <w:t>“</w:t>
      </w:r>
      <w:r w:rsidRPr="00521D25">
        <w:t xml:space="preserve"> </w:t>
      </w:r>
    </w:p>
    <w:p w14:paraId="2C16AFF3" w14:textId="77777777" w:rsidR="008E5CA0" w:rsidRPr="003C6D7F" w:rsidRDefault="008E5CA0" w:rsidP="008E5CA0">
      <w:pPr>
        <w:pStyle w:val="BodyText"/>
      </w:pPr>
      <w:r w:rsidRPr="003C6D7F">
        <w:t xml:space="preserve">Members of another reference group helped to facilitate groups of likeminded people around issues they felt strongly about, to the support young people on the headspace waiting list in their area. The young people hoped to start a climate group: </w:t>
      </w:r>
    </w:p>
    <w:p w14:paraId="7D68D11E" w14:textId="77777777" w:rsidR="008E5CA0" w:rsidRPr="00521D25" w:rsidRDefault="008E5CA0" w:rsidP="008E5CA0">
      <w:pPr>
        <w:pStyle w:val="Quote"/>
      </w:pPr>
      <w:r>
        <w:t>“</w:t>
      </w:r>
      <w:r w:rsidRPr="00521D25">
        <w:t>There’s quite a committed presence of people – young people and people of all ages ..who are dedicated to climate action. When you feel connected to them about an issue the weight of the issue doesn’t seem so heavy…that’s a positive kind of outcome of being involved with headspace.</w:t>
      </w:r>
      <w:r>
        <w:t>”</w:t>
      </w:r>
    </w:p>
    <w:p w14:paraId="392B75EB" w14:textId="50E46055" w:rsidR="008E5CA0" w:rsidRPr="00FB2D3C" w:rsidRDefault="008E5CA0" w:rsidP="008E5CA0">
      <w:pPr>
        <w:pStyle w:val="BodyText"/>
      </w:pPr>
      <w:r>
        <w:t xml:space="preserve">The inclusion of young people in the design and delivery of headspace services is designed to improve the service experience of the young person and, where relevant, their families. While the hMDS collects satisfaction data directly from young people it does not survey family members participating in family and friend focussed </w:t>
      </w:r>
      <w:r w:rsidR="007B2863">
        <w:t>OOS</w:t>
      </w:r>
      <w:r>
        <w:t>. This</w:t>
      </w:r>
      <w:r w:rsidR="006668ED">
        <w:t xml:space="preserve"> prevents analysis of</w:t>
      </w:r>
      <w:r>
        <w:t xml:space="preserve"> the extent to which including young people in design and decision making is associated with improved service experience for families.</w:t>
      </w:r>
    </w:p>
    <w:p w14:paraId="53578253" w14:textId="77777777" w:rsidR="008E5CA0" w:rsidRPr="002E086F" w:rsidRDefault="008E5CA0" w:rsidP="008E5CA0">
      <w:pPr>
        <w:pStyle w:val="Heading4"/>
      </w:pPr>
      <w:r>
        <w:t>The</w:t>
      </w:r>
      <w:r w:rsidRPr="00913D83">
        <w:t xml:space="preserve"> extent </w:t>
      </w:r>
      <w:r>
        <w:t xml:space="preserve">to which </w:t>
      </w:r>
      <w:r w:rsidRPr="00913D83">
        <w:t>young people participate in the design and delivery of headspace, and how this influence</w:t>
      </w:r>
      <w:r>
        <w:t>s</w:t>
      </w:r>
      <w:r w:rsidRPr="00913D83">
        <w:t xml:space="preserve"> young people and their families’ experience of headspace</w:t>
      </w:r>
    </w:p>
    <w:p w14:paraId="5F2F8EB4" w14:textId="6C6FC546" w:rsidR="002B3414" w:rsidRDefault="008E5CA0" w:rsidP="002B3414">
      <w:pPr>
        <w:pStyle w:val="BodyText"/>
      </w:pPr>
      <w:r>
        <w:t>Young people recognise and value the extent to which they are invited to co</w:t>
      </w:r>
      <w:r w:rsidR="00DC50F7">
        <w:noBreakHyphen/>
      </w:r>
      <w:r>
        <w:t>design their service experience, and rated this highly in satisfaction surveys. The extent to which this translates to improved experience of headspace for their families is unclear, however, as satisfaction of families attending family focused sessions is not measured.</w:t>
      </w:r>
    </w:p>
    <w:p w14:paraId="306CDBAB" w14:textId="4FABDFA4" w:rsidR="008E5CA0" w:rsidRDefault="003C6D7F" w:rsidP="008E5CA0">
      <w:pPr>
        <w:pStyle w:val="BodyText"/>
      </w:pPr>
      <w:r w:rsidRPr="003C6D7F">
        <w:t>Evaluation evidence suggests that the headspace model effectively enables young people to participate in the design and delivery of headspace, and this is associated with positive experiences of headspace for young people.</w:t>
      </w:r>
    </w:p>
    <w:p w14:paraId="2B841621" w14:textId="0FE99CC9" w:rsidR="007F00F3" w:rsidRPr="007F00F3" w:rsidRDefault="00350B4D" w:rsidP="007F00F3">
      <w:pPr>
        <w:pStyle w:val="Appendixheading"/>
      </w:pPr>
      <w:bookmarkStart w:id="287" w:name="_Ref98325053"/>
      <w:bookmarkStart w:id="288" w:name="_Ref98326443"/>
      <w:bookmarkStart w:id="289" w:name="_Ref98402852"/>
      <w:bookmarkStart w:id="290" w:name="_Ref98402859"/>
      <w:bookmarkStart w:id="291" w:name="_Toc108173998"/>
      <w:r>
        <w:t>:</w:t>
      </w:r>
      <w:r w:rsidR="00656353">
        <w:t xml:space="preserve"> Effectiveness in improving mental health and wellbeing outcomes</w:t>
      </w:r>
      <w:bookmarkEnd w:id="287"/>
      <w:bookmarkEnd w:id="288"/>
      <w:bookmarkEnd w:id="289"/>
      <w:bookmarkEnd w:id="290"/>
      <w:bookmarkEnd w:id="291"/>
    </w:p>
    <w:p w14:paraId="54F857E5" w14:textId="082A62DE" w:rsidR="002A6A78" w:rsidRPr="003542F9" w:rsidRDefault="002A6A78" w:rsidP="00350B4D">
      <w:pPr>
        <w:pStyle w:val="AppendixHeading2"/>
      </w:pPr>
      <w:r>
        <w:t xml:space="preserve">Overview of effectiveness analysis completed </w:t>
      </w:r>
    </w:p>
    <w:p w14:paraId="5650D264" w14:textId="6450754B" w:rsidR="002A6A78" w:rsidRPr="007852BF" w:rsidRDefault="002A6A78" w:rsidP="002A6A78">
      <w:pPr>
        <w:pStyle w:val="BodyText"/>
      </w:pPr>
      <w:r>
        <w:t xml:space="preserve">The analysis of headspace’s effectiveness in improving mental health and wellbeing outcomes are a critical part of this evaluation. This section of the report provides a high level, plain English summary of the analysis undertaken and corresponding results, before the detailed, technical analysis is provided in sections </w:t>
      </w:r>
      <w:r w:rsidR="007A7801">
        <w:fldChar w:fldCharType="begin" w:fldLock="1"/>
      </w:r>
      <w:r w:rsidR="007A7801">
        <w:instrText xml:space="preserve"> REF _Ref106462485 \w \h </w:instrText>
      </w:r>
      <w:r w:rsidR="007A7801">
        <w:fldChar w:fldCharType="separate"/>
      </w:r>
      <w:r w:rsidR="007A7801">
        <w:t>E.3</w:t>
      </w:r>
      <w:r w:rsidR="007A7801">
        <w:fldChar w:fldCharType="end"/>
      </w:r>
      <w:r>
        <w:t xml:space="preserve"> through to </w:t>
      </w:r>
      <w:r w:rsidR="0092219C" w:rsidRPr="00352601">
        <w:fldChar w:fldCharType="begin" w:fldLock="1"/>
      </w:r>
      <w:r w:rsidR="0092219C" w:rsidRPr="00352601">
        <w:instrText xml:space="preserve"> REF _Ref98255015 \r \h </w:instrText>
      </w:r>
      <w:r w:rsidR="00352601">
        <w:instrText xml:space="preserve"> \* MERGEFORMAT </w:instrText>
      </w:r>
      <w:r w:rsidR="0092219C" w:rsidRPr="00352601">
        <w:fldChar w:fldCharType="separate"/>
      </w:r>
      <w:r w:rsidR="00AE4D34">
        <w:t>E.8</w:t>
      </w:r>
      <w:r w:rsidR="0092219C" w:rsidRPr="00352601">
        <w:fldChar w:fldCharType="end"/>
      </w:r>
      <w:r>
        <w:t xml:space="preserve">. </w:t>
      </w:r>
    </w:p>
    <w:p w14:paraId="75A43D3D" w14:textId="77777777" w:rsidR="002A6A78" w:rsidRDefault="002A6A78" w:rsidP="00514C63">
      <w:pPr>
        <w:pStyle w:val="AppendixHeading3"/>
      </w:pPr>
      <w:r>
        <w:t>Overview of effectiveness methodology</w:t>
      </w:r>
    </w:p>
    <w:p w14:paraId="38CE311E" w14:textId="77777777" w:rsidR="002A6A78" w:rsidRDefault="002A6A78" w:rsidP="002A6A78">
      <w:pPr>
        <w:pStyle w:val="BodyText"/>
      </w:pPr>
      <w:r>
        <w:t>The analysis of improvement in outcomes for young people accessing headspace services is based on a comparison of clinical scores on intake to headspace service, before any support is received, with the last clinical score captured for the young person (often at the end of their episode of care).</w:t>
      </w:r>
    </w:p>
    <w:p w14:paraId="593F0B5D" w14:textId="3E8825FA" w:rsidR="002A6A78" w:rsidRDefault="002A6A78" w:rsidP="002A6A78">
      <w:pPr>
        <w:pStyle w:val="BodyText"/>
      </w:pPr>
      <w:r>
        <w:t xml:space="preserve">There are three different clinical outcome measures used in the evaluation to determine the impact of headspace services. These are known as the K10, SOFAS and MLT. A description of each is contained in section </w:t>
      </w:r>
      <w:r w:rsidR="00E10DC1">
        <w:rPr>
          <w:highlight w:val="yellow"/>
        </w:rPr>
        <w:fldChar w:fldCharType="begin" w:fldLock="1"/>
      </w:r>
      <w:r w:rsidR="00E10DC1">
        <w:instrText xml:space="preserve"> REF _Ref98010464 \r \h </w:instrText>
      </w:r>
      <w:r w:rsidR="00E10DC1">
        <w:rPr>
          <w:highlight w:val="yellow"/>
        </w:rPr>
      </w:r>
      <w:r w:rsidR="00E10DC1">
        <w:rPr>
          <w:highlight w:val="yellow"/>
        </w:rPr>
        <w:fldChar w:fldCharType="separate"/>
      </w:r>
      <w:r w:rsidR="00AE4D34">
        <w:t>E.2</w:t>
      </w:r>
      <w:r w:rsidR="00E10DC1">
        <w:rPr>
          <w:highlight w:val="yellow"/>
        </w:rPr>
        <w:fldChar w:fldCharType="end"/>
      </w:r>
      <w:r w:rsidR="00E10DC1">
        <w:t xml:space="preserve"> </w:t>
      </w:r>
      <w:r>
        <w:t>below.</w:t>
      </w:r>
    </w:p>
    <w:p w14:paraId="62A3C2DA" w14:textId="5A104CF6" w:rsidR="002A6A78" w:rsidRDefault="002A6A78" w:rsidP="002A6A78">
      <w:pPr>
        <w:pStyle w:val="BodyText"/>
      </w:pPr>
      <w:r>
        <w:t xml:space="preserve">The analysis of these outcome measures was also adjusted to make sure that any improvement noted in outcomes could be attributed to headspace services. There is a method for this, known as ‘regression to the mean’ or RTM. This method estimates the improvements that would have occurred in outcomes for a young person, without treatment or support from headspace services. </w:t>
      </w:r>
    </w:p>
    <w:p w14:paraId="3F771DC1" w14:textId="7DB0BBF9" w:rsidR="002A6A78" w:rsidRPr="005E6F72" w:rsidRDefault="002A6A78" w:rsidP="002A6A78">
      <w:pPr>
        <w:pStyle w:val="BodyText"/>
      </w:pPr>
      <w:r>
        <w:t xml:space="preserve">Analysis was conducted on episodes of care, where the primary issue on intake for young people was either mental health-related, or situational. The episodes of care also needed to have a minimum of two </w:t>
      </w:r>
      <w:r w:rsidR="007B2863">
        <w:t>OOS</w:t>
      </w:r>
      <w:r>
        <w:t xml:space="preserve"> completed in them, to ensure there were clinical scores record at two points in time, to enable comparison.</w:t>
      </w:r>
    </w:p>
    <w:p w14:paraId="57BD58EB" w14:textId="77777777" w:rsidR="002A6A78" w:rsidRDefault="002A6A78" w:rsidP="00514C63">
      <w:pPr>
        <w:pStyle w:val="AppendixHeading3"/>
      </w:pPr>
      <w:r>
        <w:t>Overview of effectiveness results</w:t>
      </w:r>
    </w:p>
    <w:p w14:paraId="1609071D" w14:textId="77777777" w:rsidR="002A6A78" w:rsidRDefault="002A6A78" w:rsidP="002A6A78">
      <w:pPr>
        <w:pStyle w:val="BodyText"/>
      </w:pPr>
      <w:r>
        <w:t>There are a number of key findings across this analysis undertaken:</w:t>
      </w:r>
    </w:p>
    <w:p w14:paraId="7362B1E8" w14:textId="77777777" w:rsidR="002A6A78" w:rsidRDefault="002A6A78" w:rsidP="00350B4D">
      <w:pPr>
        <w:pStyle w:val="Bullet1stlevel"/>
      </w:pPr>
      <w:r>
        <w:t>For all three outcome measures, improvement in scores were noted for young people using headspace, both based on observed scores, and also once adjusted for RTM.</w:t>
      </w:r>
    </w:p>
    <w:p w14:paraId="2C501156" w14:textId="002837B9" w:rsidR="002A6A78" w:rsidRDefault="002A6A78" w:rsidP="00350B4D">
      <w:pPr>
        <w:pStyle w:val="Bullet1stlevel"/>
      </w:pPr>
      <w:r>
        <w:t xml:space="preserve">For all outcome measures, there was greater improvement in outcomes for young people the more </w:t>
      </w:r>
      <w:r w:rsidR="007B2863">
        <w:t>OOS</w:t>
      </w:r>
      <w:r>
        <w:t xml:space="preserve"> they had within their episode of care.</w:t>
      </w:r>
    </w:p>
    <w:p w14:paraId="16B5D40E" w14:textId="0724E50E" w:rsidR="002A6A78" w:rsidRDefault="002A6A78" w:rsidP="00350B4D">
      <w:pPr>
        <w:pStyle w:val="Bullet1stlevel"/>
      </w:pPr>
      <w:r>
        <w:t>Once analysis was undertaken to determine if the improvements in outcomes were clinically significant, it was noted that similar to the previous evaluation of headspace, the majority of young people do not see a clinically significant change to their outcomes.</w:t>
      </w:r>
    </w:p>
    <w:p w14:paraId="5894DF52" w14:textId="77777777" w:rsidR="002A6A78" w:rsidRDefault="002A6A78" w:rsidP="002A6A78">
      <w:pPr>
        <w:pStyle w:val="Bullet2ndlevel"/>
      </w:pPr>
      <w:r>
        <w:t>17.2 per cent of young people have a clinically significant change in their K10 scores.</w:t>
      </w:r>
    </w:p>
    <w:p w14:paraId="62483C81" w14:textId="77777777" w:rsidR="002A6A78" w:rsidRDefault="002A6A78" w:rsidP="005874D4">
      <w:pPr>
        <w:pStyle w:val="Bullet2ndlevel"/>
      </w:pPr>
      <w:r>
        <w:t>43.6 per cent of young people have a clinically significant change in their SOFAS scores.</w:t>
      </w:r>
    </w:p>
    <w:p w14:paraId="08461A67" w14:textId="77777777" w:rsidR="002A6A78" w:rsidRDefault="002A6A78" w:rsidP="00370CE4">
      <w:pPr>
        <w:pStyle w:val="Bullet2ndlevel"/>
      </w:pPr>
      <w:r>
        <w:t>31 per cent of young people have a clinically significant change in their MLT scores.</w:t>
      </w:r>
    </w:p>
    <w:p w14:paraId="046F865D" w14:textId="4F605507" w:rsidR="002A6A78" w:rsidRDefault="002A6A78" w:rsidP="00350B4D">
      <w:pPr>
        <w:pStyle w:val="Bullet1stlevel"/>
      </w:pPr>
      <w:r>
        <w:t xml:space="preserve">There are also a range of other factors that influence the extent to which young people experience positive mental health outcomes. These include things such as age, whether the person identifies as part of a </w:t>
      </w:r>
      <w:r w:rsidR="00BD29DF">
        <w:t>‘</w:t>
      </w:r>
      <w:r>
        <w:t xml:space="preserve">hard to </w:t>
      </w:r>
      <w:r w:rsidR="00BD29DF">
        <w:t>reach’</w:t>
      </w:r>
      <w:r>
        <w:t xml:space="preserve"> cohort, such as being from a culturally and linguistically diverse background. However, the biggest drivers for young people’s outcomes were the number of </w:t>
      </w:r>
      <w:r w:rsidR="007B2863">
        <w:t>OOS</w:t>
      </w:r>
      <w:r>
        <w:t xml:space="preserve"> they received, and their initial level of psychological distress on intake to headspace. </w:t>
      </w:r>
      <w:r w:rsidR="0059530B">
        <w:t xml:space="preserve">For those who attended </w:t>
      </w:r>
      <w:r w:rsidR="007A7801">
        <w:t>two</w:t>
      </w:r>
      <w:r w:rsidR="0059530B">
        <w:t xml:space="preserve"> or more sessions, t</w:t>
      </w:r>
      <w:r>
        <w:t xml:space="preserve">he greater the level of distress, the greater the improvement recorded in outcomes. </w:t>
      </w:r>
    </w:p>
    <w:p w14:paraId="45823FF4" w14:textId="77777777" w:rsidR="002A6A78" w:rsidRDefault="002A6A78" w:rsidP="00350B4D">
      <w:pPr>
        <w:pStyle w:val="Bullet1stlevel"/>
      </w:pPr>
      <w:r>
        <w:t xml:space="preserve">In addition, individual service factors also contributed to differences in outcomes. However, how this occurs for each of the three outcomes measures differs, and there are no clear patterns in which individual service factors are associated with headspace services delivering above-average clinical outcomes for young people. </w:t>
      </w:r>
    </w:p>
    <w:p w14:paraId="30DC46E3" w14:textId="77777777" w:rsidR="002A6A78" w:rsidRDefault="002A6A78" w:rsidP="00E47883">
      <w:pPr>
        <w:pStyle w:val="Heading4"/>
      </w:pPr>
      <w:r>
        <w:t>Effectiveness of headspace services over time</w:t>
      </w:r>
    </w:p>
    <w:p w14:paraId="0D9844BD" w14:textId="3DAAC4AF" w:rsidR="002A6A78" w:rsidRDefault="002A6A78" w:rsidP="002A6A78">
      <w:pPr>
        <w:pStyle w:val="BodyText"/>
      </w:pPr>
      <w:r>
        <w:t>The analysis also considered the extent to which outcomes are sustained over time. To understand this, headspace provides a follow</w:t>
      </w:r>
      <w:r w:rsidR="00156585">
        <w:t xml:space="preserve"> </w:t>
      </w:r>
      <w:r>
        <w:t>up survey to young people three months after their episode of care ended. These surveys focus on K10 outcomes only. It should be noted that the response rate for this survey was only 4.6 per</w:t>
      </w:r>
      <w:r w:rsidR="00A37527">
        <w:t xml:space="preserve"> </w:t>
      </w:r>
      <w:r>
        <w:t>cent from all surveys delivered between 2015-16 and 2019-20.</w:t>
      </w:r>
    </w:p>
    <w:p w14:paraId="2D42AF54" w14:textId="0EC89C54" w:rsidR="00437349" w:rsidRDefault="002A6A78" w:rsidP="002A6A78">
      <w:pPr>
        <w:pStyle w:val="BodyText"/>
      </w:pPr>
      <w:r>
        <w:t xml:space="preserve">The </w:t>
      </w:r>
      <w:r w:rsidRPr="00F92461">
        <w:t>follow</w:t>
      </w:r>
      <w:r w:rsidR="00156585">
        <w:t xml:space="preserve"> </w:t>
      </w:r>
      <w:r w:rsidRPr="00F92461">
        <w:t xml:space="preserve">up survey highlights that outcomes achieved during a headspace episode </w:t>
      </w:r>
      <w:r>
        <w:t xml:space="preserve">of care </w:t>
      </w:r>
      <w:r w:rsidRPr="00F92461">
        <w:t>are sustained over the following 90 days. However, the follow</w:t>
      </w:r>
      <w:r w:rsidR="00156585">
        <w:t xml:space="preserve"> </w:t>
      </w:r>
      <w:r w:rsidRPr="00F92461">
        <w:t xml:space="preserve">up survey response rate is low and </w:t>
      </w:r>
      <w:r w:rsidR="00C2021F">
        <w:t xml:space="preserve">likely suffers from </w:t>
      </w:r>
      <w:r w:rsidR="00D46839">
        <w:t>non-response</w:t>
      </w:r>
      <w:r w:rsidR="00C2021F">
        <w:t xml:space="preserve"> bias</w:t>
      </w:r>
      <w:r w:rsidR="00CC0438">
        <w:rPr>
          <w:rFonts w:ascii="ZWAdobeF" w:hAnsi="ZWAdobeF" w:cs="ZWAdobeF"/>
          <w:sz w:val="2"/>
          <w:szCs w:val="2"/>
        </w:rPr>
        <w:t>203F</w:t>
      </w:r>
      <w:r w:rsidR="00B02DB5">
        <w:rPr>
          <w:rStyle w:val="FootnoteReference"/>
        </w:rPr>
        <w:footnoteReference w:id="205"/>
      </w:r>
      <w:r w:rsidR="007A7801">
        <w:t>.</w:t>
      </w:r>
      <w:r w:rsidRPr="00F92461">
        <w:t xml:space="preserve"> </w:t>
      </w:r>
      <w:r w:rsidR="00135B2D">
        <w:t>This bias arises</w:t>
      </w:r>
      <w:r w:rsidR="007E09C1">
        <w:t xml:space="preserve"> when young people who </w:t>
      </w:r>
      <w:r w:rsidR="00F77278">
        <w:t>did not respond to</w:t>
      </w:r>
      <w:r w:rsidRPr="00F92461">
        <w:t xml:space="preserve"> the </w:t>
      </w:r>
      <w:r w:rsidR="00F77278">
        <w:t xml:space="preserve">follow-up survey </w:t>
      </w:r>
      <w:r w:rsidR="00AF58D2">
        <w:t>are systematically different from those who did respond.</w:t>
      </w:r>
      <w:r w:rsidR="00BA474B">
        <w:t xml:space="preserve"> Further, non-response bias becomes a critical issue </w:t>
      </w:r>
      <w:r w:rsidR="008E55FA">
        <w:t>when response rates fall below 70 per</w:t>
      </w:r>
      <w:r w:rsidR="003B7EB2">
        <w:t xml:space="preserve"> </w:t>
      </w:r>
      <w:r w:rsidR="008E55FA">
        <w:t>cent</w:t>
      </w:r>
      <w:r w:rsidR="00CC0438">
        <w:rPr>
          <w:rFonts w:ascii="ZWAdobeF" w:hAnsi="ZWAdobeF" w:cs="ZWAdobeF"/>
          <w:sz w:val="2"/>
          <w:szCs w:val="2"/>
        </w:rPr>
        <w:t>204F</w:t>
      </w:r>
      <w:r w:rsidR="008E55FA">
        <w:rPr>
          <w:rStyle w:val="FootnoteReference"/>
        </w:rPr>
        <w:footnoteReference w:id="206"/>
      </w:r>
      <w:r w:rsidR="007A7801">
        <w:t>.</w:t>
      </w:r>
      <w:r w:rsidR="00135B2D" w:rsidDel="0063200C">
        <w:t xml:space="preserve"> </w:t>
      </w:r>
      <w:r w:rsidR="00437349">
        <w:fldChar w:fldCharType="begin" w:fldLock="1"/>
      </w:r>
      <w:r w:rsidR="00437349">
        <w:instrText xml:space="preserve"> REF _Ref93922339 \r \h </w:instrText>
      </w:r>
      <w:r w:rsidR="00437349">
        <w:fldChar w:fldCharType="separate"/>
      </w:r>
      <w:r w:rsidR="00437349">
        <w:t>Appendix H</w:t>
      </w:r>
      <w:r w:rsidR="00437349">
        <w:fldChar w:fldCharType="end"/>
      </w:r>
      <w:r w:rsidR="00437349">
        <w:t xml:space="preserve"> show that completion of the follow</w:t>
      </w:r>
      <w:r w:rsidR="00156585">
        <w:t xml:space="preserve"> </w:t>
      </w:r>
      <w:r w:rsidR="00437349">
        <w:t>up survey was not random.</w:t>
      </w:r>
      <w:r w:rsidR="009A0012">
        <w:t xml:space="preserve"> </w:t>
      </w:r>
      <w:r w:rsidR="00B516C1">
        <w:t>For example, 15</w:t>
      </w:r>
      <w:r w:rsidR="009A0012">
        <w:t xml:space="preserve"> to 19 year old young persons were more likely to complete the survey than their younger counterparts</w:t>
      </w:r>
      <w:r w:rsidR="00BB403B">
        <w:t xml:space="preserve">. Further, the </w:t>
      </w:r>
      <w:r w:rsidR="00984B58">
        <w:t xml:space="preserve">young persons with </w:t>
      </w:r>
      <w:r w:rsidR="00BB403B">
        <w:t xml:space="preserve">relatively </w:t>
      </w:r>
      <w:r w:rsidR="00984B58">
        <w:t xml:space="preserve">higher initial K10 </w:t>
      </w:r>
      <w:r w:rsidR="00BB403B">
        <w:t>outcomes and relatively lower K10 outcomes are more likely to complete the follow</w:t>
      </w:r>
      <w:r w:rsidR="00156585">
        <w:t xml:space="preserve"> </w:t>
      </w:r>
      <w:r w:rsidR="00BB403B">
        <w:t>up survey.</w:t>
      </w:r>
      <w:r w:rsidR="00B516C1">
        <w:t xml:space="preserve"> It is </w:t>
      </w:r>
      <w:r w:rsidR="00B516C1" w:rsidRPr="000765E4">
        <w:t>likely</w:t>
      </w:r>
      <w:r w:rsidR="00B516C1">
        <w:t xml:space="preserve"> responses from the survey are provided by young people </w:t>
      </w:r>
      <w:r w:rsidR="007A7801">
        <w:t xml:space="preserve">who </w:t>
      </w:r>
      <w:r w:rsidR="00B516C1">
        <w:t xml:space="preserve">had a significant impact after accessing a headspace service. </w:t>
      </w:r>
      <w:r w:rsidR="00B516C1" w:rsidRPr="00F92461">
        <w:t>Further follow</w:t>
      </w:r>
      <w:r w:rsidR="00156585">
        <w:t xml:space="preserve"> </w:t>
      </w:r>
      <w:r w:rsidR="00B516C1" w:rsidRPr="00F92461">
        <w:t>up would improve the reliability of this finding.</w:t>
      </w:r>
    </w:p>
    <w:p w14:paraId="65284528" w14:textId="6E378E5D" w:rsidR="002A6A78" w:rsidRDefault="002A6A78" w:rsidP="00514C63">
      <w:pPr>
        <w:pStyle w:val="AppendixHeading3"/>
      </w:pPr>
      <w:r>
        <w:t xml:space="preserve">Overview of effectiveness at an </w:t>
      </w:r>
      <w:r w:rsidR="00F56055">
        <w:t>area-level</w:t>
      </w:r>
    </w:p>
    <w:p w14:paraId="54F204A5" w14:textId="77777777" w:rsidR="002A6A78" w:rsidRDefault="002A6A78" w:rsidP="002A6A78">
      <w:pPr>
        <w:pStyle w:val="BodyText"/>
      </w:pPr>
      <w:r>
        <w:t>Analysis was also undertaken of the impact of headspace services at the ‘area-level’ – or at the PHN level. There were three ways in which the impacts of headspace services were measured:</w:t>
      </w:r>
    </w:p>
    <w:p w14:paraId="6376E14B" w14:textId="77777777" w:rsidR="007944D0" w:rsidRDefault="007944D0" w:rsidP="007944D0">
      <w:pPr>
        <w:pStyle w:val="Bullet1stlevel"/>
      </w:pPr>
      <w:r>
        <w:t>based on the number of headspace services in the area;</w:t>
      </w:r>
    </w:p>
    <w:p w14:paraId="62ADE278" w14:textId="77777777" w:rsidR="007944D0" w:rsidRDefault="007944D0" w:rsidP="007944D0">
      <w:pPr>
        <w:pStyle w:val="Bullet1stlevel"/>
      </w:pPr>
      <w:r>
        <w:t>based on the number of headspace clients per 1,000 young people in the area; and</w:t>
      </w:r>
    </w:p>
    <w:p w14:paraId="028D95B6" w14:textId="3FEA2ACB" w:rsidR="007944D0" w:rsidRDefault="007944D0" w:rsidP="007944D0">
      <w:pPr>
        <w:pStyle w:val="Bullet1stlevel"/>
      </w:pPr>
      <w:r>
        <w:t>based on the ratio of headspace OOS to MBS-funded mental health services in the area.</w:t>
      </w:r>
    </w:p>
    <w:p w14:paraId="7ECB4891" w14:textId="55283532" w:rsidR="002A6A78" w:rsidRDefault="002A6A78" w:rsidP="002A6A78">
      <w:r>
        <w:t>The impact of these factors w</w:t>
      </w:r>
      <w:r w:rsidR="006377D1">
        <w:t>as</w:t>
      </w:r>
      <w:r>
        <w:t xml:space="preserve"> considered for:</w:t>
      </w:r>
    </w:p>
    <w:p w14:paraId="57ABE7F9" w14:textId="10AE2B4A" w:rsidR="002A6A78" w:rsidRDefault="002A6A78" w:rsidP="00350B4D">
      <w:pPr>
        <w:pStyle w:val="Bullet1stlevel"/>
      </w:pPr>
      <w:r>
        <w:t>mental health related hospitalisations</w:t>
      </w:r>
      <w:r w:rsidR="007A7801">
        <w:t>;</w:t>
      </w:r>
    </w:p>
    <w:p w14:paraId="78EF1AB0" w14:textId="04BF8263" w:rsidR="002A6A78" w:rsidRDefault="002A6A78" w:rsidP="00350B4D">
      <w:pPr>
        <w:pStyle w:val="Bullet1stlevel"/>
      </w:pPr>
      <w:r>
        <w:t>self-harm hospitalisations</w:t>
      </w:r>
      <w:r w:rsidR="007A7801">
        <w:t>;</w:t>
      </w:r>
    </w:p>
    <w:p w14:paraId="07DFCCF9" w14:textId="41F9D4E6" w:rsidR="002A6A78" w:rsidRDefault="002A6A78" w:rsidP="00350B4D">
      <w:pPr>
        <w:pStyle w:val="Bullet1stlevel"/>
      </w:pPr>
      <w:r>
        <w:t>substance abuse hospitalisations</w:t>
      </w:r>
      <w:r w:rsidR="007A7801">
        <w:t>;</w:t>
      </w:r>
    </w:p>
    <w:p w14:paraId="2FC729D3" w14:textId="28695997" w:rsidR="002A6A78" w:rsidRDefault="002A6A78" w:rsidP="00350B4D">
      <w:pPr>
        <w:pStyle w:val="Bullet1stlevel"/>
      </w:pPr>
      <w:r>
        <w:t>suicide deaths</w:t>
      </w:r>
      <w:r w:rsidR="007A7801">
        <w:t>;</w:t>
      </w:r>
    </w:p>
    <w:p w14:paraId="069C546E" w14:textId="0B55C39C" w:rsidR="002A6A78" w:rsidRDefault="002A6A78" w:rsidP="00350B4D">
      <w:pPr>
        <w:pStyle w:val="Bullet1stlevel"/>
      </w:pPr>
      <w:r>
        <w:t>MBS mental health services accessed</w:t>
      </w:r>
      <w:r w:rsidR="007A7801">
        <w:t>; and</w:t>
      </w:r>
    </w:p>
    <w:p w14:paraId="365FAC18" w14:textId="743DF675" w:rsidR="002A6A78" w:rsidRDefault="002A6A78" w:rsidP="00350B4D">
      <w:pPr>
        <w:pStyle w:val="Bullet1stlevel"/>
      </w:pPr>
      <w:r>
        <w:t>Mental health related emergency department presentations</w:t>
      </w:r>
      <w:r w:rsidR="007A7801">
        <w:t>.</w:t>
      </w:r>
    </w:p>
    <w:p w14:paraId="0CDD33F0" w14:textId="7390C527" w:rsidR="009C0057" w:rsidRDefault="002A6A78" w:rsidP="002A6A78">
      <w:pPr>
        <w:pStyle w:val="BodyText"/>
      </w:pPr>
      <w:r w:rsidRPr="004B7FBE">
        <w:t xml:space="preserve">The effectiveness of headspace in improving </w:t>
      </w:r>
      <w:r w:rsidR="00F56055">
        <w:t>area-level</w:t>
      </w:r>
      <w:r w:rsidRPr="004B7FBE">
        <w:t xml:space="preserve"> outcomes is inconclusive. There is some evidence that headspace has an effect on some outcomes but the impacts are typically lagged and inconsistent over time. For example, there is a meaningful improvement in self harm hospitalisations in local areas, however this is only seen three years after a new headspace service is established. </w:t>
      </w:r>
      <w:r w:rsidR="003C5FB1">
        <w:t xml:space="preserve">Further, this improvement is only observed when measuring headspace exposure with number of active services and ratio of headspace occasion of services to </w:t>
      </w:r>
      <w:r w:rsidR="007A7801">
        <w:t>MBS</w:t>
      </w:r>
      <w:r w:rsidR="003C5FB1">
        <w:t>-subsidised mental health services. When measuring exposure with number of young person clients per 1,000 young persons, this impact disappears.</w:t>
      </w:r>
      <w:r w:rsidRPr="004B7FBE">
        <w:t xml:space="preserve"> </w:t>
      </w:r>
    </w:p>
    <w:p w14:paraId="0F59EE09" w14:textId="645469DB" w:rsidR="002A6A78" w:rsidRPr="004B7FBE" w:rsidRDefault="009C0057" w:rsidP="002A6A78">
      <w:pPr>
        <w:pStyle w:val="BodyText"/>
      </w:pPr>
      <w:r>
        <w:t>Also</w:t>
      </w:r>
      <w:r w:rsidR="002A6A78" w:rsidRPr="004B7FBE">
        <w:t>, the introduction of a new headspace service does not have a statistically significant impact on mental health related hospitalisations, suicide deaths, MBS-subsidised mental health services, and mental health emergency department presentations</w:t>
      </w:r>
      <w:r w:rsidR="003C5FB1">
        <w:t>.</w:t>
      </w:r>
    </w:p>
    <w:p w14:paraId="080D9688" w14:textId="249566E1" w:rsidR="002A6A78" w:rsidRDefault="002A6A78" w:rsidP="00350B4D">
      <w:pPr>
        <w:pStyle w:val="AppendixHeading2"/>
        <w:rPr>
          <w:lang w:eastAsia="en-AU"/>
        </w:rPr>
      </w:pPr>
      <w:bookmarkStart w:id="292" w:name="_Ref98010464"/>
      <w:r w:rsidRPr="00D653A2">
        <w:rPr>
          <w:lang w:eastAsia="en-AU"/>
        </w:rPr>
        <w:t>How effective is headspace in improving mental health and wellbeing outcomes</w:t>
      </w:r>
      <w:r>
        <w:rPr>
          <w:lang w:eastAsia="en-AU"/>
        </w:rPr>
        <w:t>?</w:t>
      </w:r>
      <w:bookmarkEnd w:id="292"/>
      <w:r w:rsidRPr="00792B3F">
        <w:rPr>
          <w:lang w:eastAsia="en-AU"/>
        </w:rPr>
        <w:t xml:space="preserve"> </w:t>
      </w:r>
    </w:p>
    <w:p w14:paraId="03D5A62C" w14:textId="1CA3C44D" w:rsidR="00510040" w:rsidRDefault="00510040" w:rsidP="00510040">
      <w:pPr>
        <w:pStyle w:val="Caption"/>
      </w:pPr>
      <w:bookmarkStart w:id="293" w:name="_Toc108109009"/>
      <w:r>
        <w:t xml:space="preserve">Table </w:t>
      </w:r>
      <w:fldSimple w:instr=" SEQ Table \* ARABIC ">
        <w:r w:rsidR="00CC0438">
          <w:rPr>
            <w:noProof/>
          </w:rPr>
          <w:t>59</w:t>
        </w:r>
      </w:fldSimple>
      <w:r>
        <w:t xml:space="preserve"> </w:t>
      </w:r>
      <w:r w:rsidRPr="00DF2A45">
        <w:t>Overview of mental health and wellbeing objectives of headspace</w:t>
      </w:r>
      <w:bookmarkEnd w:id="293"/>
    </w:p>
    <w:tbl>
      <w:tblPr>
        <w:tblStyle w:val="TableGrid"/>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verview of mental health and wellbeing objectives of headspace"/>
        <w:tblDescription w:val="Table has 3 columns and summarises the objectives of headspace services with respect to mental health and wellbeing. Column 1 outlines the objective. Column 2 summarises the short-term impacts expected. Column 3 summarises the medium-term impacts expected."/>
      </w:tblPr>
      <w:tblGrid>
        <w:gridCol w:w="2127"/>
        <w:gridCol w:w="3543"/>
        <w:gridCol w:w="3543"/>
      </w:tblGrid>
      <w:tr w:rsidR="002A6A78" w:rsidRPr="001D6913" w14:paraId="1834FF0D" w14:textId="77777777" w:rsidTr="00F27C38">
        <w:trPr>
          <w:tblHeader/>
        </w:trPr>
        <w:tc>
          <w:tcPr>
            <w:tcW w:w="1154" w:type="pct"/>
            <w:tcBorders>
              <w:bottom w:val="single" w:sz="4" w:space="0" w:color="00338D"/>
            </w:tcBorders>
            <w:shd w:val="clear" w:color="auto" w:fill="00338D"/>
          </w:tcPr>
          <w:p w14:paraId="0C5488EC" w14:textId="77777777" w:rsidR="002A6A78" w:rsidRPr="001D6913" w:rsidRDefault="002A6A78" w:rsidP="00F27C38">
            <w:pPr>
              <w:pStyle w:val="Tableheading"/>
            </w:pPr>
            <w:r w:rsidRPr="001D6913">
              <w:t>Objective</w:t>
            </w:r>
          </w:p>
        </w:tc>
        <w:tc>
          <w:tcPr>
            <w:tcW w:w="1923" w:type="pct"/>
            <w:tcBorders>
              <w:bottom w:val="single" w:sz="4" w:space="0" w:color="00338D"/>
            </w:tcBorders>
            <w:shd w:val="clear" w:color="auto" w:fill="00338D"/>
          </w:tcPr>
          <w:p w14:paraId="22156AFA" w14:textId="77777777" w:rsidR="002A6A78" w:rsidRPr="001D6913" w:rsidRDefault="002A6A78" w:rsidP="00F27C38">
            <w:pPr>
              <w:pStyle w:val="Tableheading"/>
            </w:pPr>
            <w:r w:rsidRPr="001D6913">
              <w:t>Short term impacts</w:t>
            </w:r>
          </w:p>
        </w:tc>
        <w:tc>
          <w:tcPr>
            <w:tcW w:w="1923" w:type="pct"/>
            <w:tcBorders>
              <w:bottom w:val="single" w:sz="4" w:space="0" w:color="00338D"/>
            </w:tcBorders>
            <w:shd w:val="clear" w:color="auto" w:fill="00338D"/>
          </w:tcPr>
          <w:p w14:paraId="2AB5B6DD" w14:textId="77777777" w:rsidR="002A6A78" w:rsidRPr="001D6913" w:rsidRDefault="002A6A78" w:rsidP="00F27C38">
            <w:pPr>
              <w:pStyle w:val="Tableheading"/>
            </w:pPr>
            <w:r w:rsidRPr="001D6913">
              <w:t>Medium term impacts</w:t>
            </w:r>
          </w:p>
        </w:tc>
      </w:tr>
      <w:tr w:rsidR="002A6A78" w:rsidRPr="001D6913" w14:paraId="16883399" w14:textId="77777777" w:rsidTr="00F27C38">
        <w:tc>
          <w:tcPr>
            <w:tcW w:w="1154" w:type="pct"/>
            <w:tcBorders>
              <w:top w:val="single" w:sz="2" w:space="0" w:color="808080" w:themeColor="background1" w:themeShade="80"/>
              <w:bottom w:val="single" w:sz="2" w:space="0" w:color="808080" w:themeColor="background1" w:themeShade="80"/>
            </w:tcBorders>
          </w:tcPr>
          <w:p w14:paraId="44294321" w14:textId="32BAB8D7" w:rsidR="002A6A78" w:rsidRPr="009F58F3" w:rsidRDefault="002A6A78" w:rsidP="00F27C38">
            <w:pPr>
              <w:pStyle w:val="Tabletext"/>
              <w:rPr>
                <w:b/>
                <w:bCs/>
              </w:rPr>
            </w:pPr>
            <w:r w:rsidRPr="009F58F3">
              <w:rPr>
                <w:b/>
                <w:bCs/>
              </w:rPr>
              <w:t>Improving mental health and wellbeing outcomes for young people aged 12</w:t>
            </w:r>
            <w:r w:rsidR="007E76A0">
              <w:rPr>
                <w:b/>
                <w:bCs/>
              </w:rPr>
              <w:t xml:space="preserve"> to </w:t>
            </w:r>
            <w:r w:rsidRPr="009F58F3">
              <w:rPr>
                <w:b/>
                <w:bCs/>
              </w:rPr>
              <w:t>25 years</w:t>
            </w:r>
            <w:r>
              <w:rPr>
                <w:b/>
                <w:bCs/>
              </w:rPr>
              <w:t xml:space="preserve"> </w:t>
            </w:r>
            <w:r w:rsidRPr="00C629AE">
              <w:t>-</w:t>
            </w:r>
            <w:r>
              <w:t>improvements in K10 SOFAS and MLT outcome measures</w:t>
            </w:r>
          </w:p>
        </w:tc>
        <w:tc>
          <w:tcPr>
            <w:tcW w:w="1923" w:type="pct"/>
            <w:tcBorders>
              <w:top w:val="single" w:sz="2" w:space="0" w:color="808080" w:themeColor="background1" w:themeShade="80"/>
              <w:bottom w:val="single" w:sz="2" w:space="0" w:color="808080" w:themeColor="background1" w:themeShade="80"/>
            </w:tcBorders>
          </w:tcPr>
          <w:p w14:paraId="7E0125AC" w14:textId="77777777" w:rsidR="002A6A78" w:rsidRPr="001D6913" w:rsidRDefault="002A6A78" w:rsidP="00846682">
            <w:pPr>
              <w:pStyle w:val="TableBullet1"/>
            </w:pPr>
            <w:r w:rsidRPr="001D6913">
              <w:t>Young people accessing headspace services feel more hopeful for the future</w:t>
            </w:r>
          </w:p>
          <w:p w14:paraId="0D0F2BC7" w14:textId="77777777" w:rsidR="002A6A78" w:rsidRPr="001D6913" w:rsidRDefault="002A6A78" w:rsidP="00846682">
            <w:pPr>
              <w:pStyle w:val="TableBullet1"/>
            </w:pPr>
            <w:r w:rsidRPr="001D6913">
              <w:t>Young people accessing headspace services feel better able to cope</w:t>
            </w:r>
          </w:p>
          <w:p w14:paraId="1A0F212D" w14:textId="77777777" w:rsidR="002A6A78" w:rsidRPr="001D6913" w:rsidRDefault="002A6A78" w:rsidP="00846682">
            <w:pPr>
              <w:pStyle w:val="TableBullet1"/>
            </w:pPr>
            <w:r w:rsidRPr="001D6913">
              <w:t>Young people accessing headspace services gain skills to better manage their mental health and wellbeing issues</w:t>
            </w:r>
          </w:p>
          <w:p w14:paraId="51787172" w14:textId="77777777" w:rsidR="002A6A78" w:rsidRPr="001D6913" w:rsidRDefault="002A6A78" w:rsidP="00846682">
            <w:pPr>
              <w:pStyle w:val="TableBullet1"/>
            </w:pPr>
            <w:r w:rsidRPr="001D6913">
              <w:t>Young people accessing headspace services experience reduction in symptoms and levels of psychological distress and increased wellbeing</w:t>
            </w:r>
          </w:p>
          <w:p w14:paraId="14A501CD" w14:textId="77777777" w:rsidR="002A6A78" w:rsidRPr="001D6913" w:rsidRDefault="002A6A78" w:rsidP="00846682">
            <w:pPr>
              <w:pStyle w:val="TableBullet1"/>
            </w:pPr>
            <w:r w:rsidRPr="001D6913">
              <w:t>Young people accessing headspace services start to experience improvement to their day to day lives</w:t>
            </w:r>
          </w:p>
          <w:p w14:paraId="1942D1B8" w14:textId="77777777" w:rsidR="002A6A78" w:rsidRPr="001D6913" w:rsidRDefault="002A6A78" w:rsidP="00846682">
            <w:pPr>
              <w:pStyle w:val="TableBullet1"/>
            </w:pPr>
            <w:r w:rsidRPr="001D6913">
              <w:t>Young people accessing headspace services receive appropriate support for physical health, alcohol and substance use and work and study needs</w:t>
            </w:r>
          </w:p>
          <w:p w14:paraId="337434D2" w14:textId="77777777" w:rsidR="002A6A78" w:rsidRPr="001D6913" w:rsidRDefault="002A6A78" w:rsidP="00846682">
            <w:pPr>
              <w:pStyle w:val="TableBullet1"/>
            </w:pPr>
            <w:r w:rsidRPr="001D6913">
              <w:t>Young people who receive work/study, alcohol or other drug and/or physical health assistance, gain skills to better manage these aspects of their lives</w:t>
            </w:r>
          </w:p>
        </w:tc>
        <w:tc>
          <w:tcPr>
            <w:tcW w:w="1923" w:type="pct"/>
            <w:tcBorders>
              <w:top w:val="single" w:sz="2" w:space="0" w:color="808080" w:themeColor="background1" w:themeShade="80"/>
              <w:bottom w:val="single" w:sz="2" w:space="0" w:color="808080" w:themeColor="background1" w:themeShade="80"/>
            </w:tcBorders>
          </w:tcPr>
          <w:p w14:paraId="0C1B1FE1" w14:textId="77777777" w:rsidR="002A6A78" w:rsidRPr="001D6913" w:rsidRDefault="002A6A78" w:rsidP="00846682">
            <w:pPr>
              <w:pStyle w:val="TableBullet1"/>
            </w:pPr>
            <w:r w:rsidRPr="001D6913">
              <w:t>Young people accessing headspace services experience improvements (or stability) in social and occupational functioning</w:t>
            </w:r>
          </w:p>
          <w:p w14:paraId="07A2A813" w14:textId="77777777" w:rsidR="002A6A78" w:rsidRPr="001D6913" w:rsidRDefault="002A6A78" w:rsidP="00846682">
            <w:pPr>
              <w:pStyle w:val="TableBullet1"/>
            </w:pPr>
            <w:r w:rsidRPr="001D6913">
              <w:t>Young people accessing headspace services experience improvements in their quality of life and wellbeing</w:t>
            </w:r>
          </w:p>
          <w:p w14:paraId="06169043" w14:textId="77777777" w:rsidR="002A6A78" w:rsidRPr="001D6913" w:rsidRDefault="002A6A78" w:rsidP="00846682">
            <w:pPr>
              <w:pStyle w:val="TableBullet1"/>
            </w:pPr>
            <w:r w:rsidRPr="001D6913">
              <w:t>Family and friends accessing headspace services have increased capacity to support their young person</w:t>
            </w:r>
          </w:p>
          <w:p w14:paraId="2AA90606" w14:textId="77777777" w:rsidR="002A6A78" w:rsidRPr="001D6913" w:rsidRDefault="002A6A78" w:rsidP="00846682">
            <w:pPr>
              <w:pStyle w:val="TableBullet1"/>
            </w:pPr>
            <w:r w:rsidRPr="001D6913">
              <w:t>Young people report sustained improvements in mental health</w:t>
            </w:r>
          </w:p>
          <w:p w14:paraId="3158EA0C" w14:textId="77777777" w:rsidR="002A6A78" w:rsidRPr="001D6913" w:rsidRDefault="002A6A78" w:rsidP="00846682">
            <w:pPr>
              <w:pStyle w:val="TableBullet1"/>
            </w:pPr>
            <w:r w:rsidRPr="001D6913">
              <w:t>Young people who receive work/study, alcohol or other drug, and/or physical health assistance are better able to manage these aspects of their life in the medium</w:t>
            </w:r>
            <w:r>
              <w:t xml:space="preserve">- to </w:t>
            </w:r>
            <w:r w:rsidRPr="001D6913">
              <w:t>long</w:t>
            </w:r>
            <w:r>
              <w:t>-</w:t>
            </w:r>
            <w:r w:rsidRPr="001D6913">
              <w:t>term</w:t>
            </w:r>
          </w:p>
          <w:p w14:paraId="3B17AE58" w14:textId="77777777" w:rsidR="002A6A78" w:rsidRPr="001D6913" w:rsidRDefault="002A6A78" w:rsidP="00F27C38">
            <w:pPr>
              <w:pStyle w:val="Tabletext"/>
            </w:pPr>
          </w:p>
        </w:tc>
      </w:tr>
    </w:tbl>
    <w:p w14:paraId="02302EF5" w14:textId="77777777" w:rsidR="002A6A78" w:rsidRDefault="002A6A78" w:rsidP="007F7999">
      <w:pPr>
        <w:pStyle w:val="AppendixHeading3"/>
        <w:jc w:val="left"/>
      </w:pPr>
      <w:r>
        <w:t>Extent to which young people accessing headspace achieve improvements in mental health and wellbeing</w:t>
      </w:r>
    </w:p>
    <w:p w14:paraId="0D860D3A" w14:textId="77777777" w:rsidR="002A6A78" w:rsidRDefault="002A6A78" w:rsidP="003006A8">
      <w:pPr>
        <w:pStyle w:val="BodyText"/>
      </w:pPr>
      <w:r>
        <w:t>To evaluate the effectiveness of the headspace program in improving outcomes, three factors were considered:</w:t>
      </w:r>
    </w:p>
    <w:p w14:paraId="6AB62198" w14:textId="77777777" w:rsidR="002A6A78" w:rsidRDefault="002A6A78" w:rsidP="00350B4D">
      <w:pPr>
        <w:pStyle w:val="Bullet1stlevel"/>
      </w:pPr>
      <w:r w:rsidRPr="00413EB3">
        <w:rPr>
          <w:b/>
          <w:bCs/>
        </w:rPr>
        <w:t>Primary issue on intake</w:t>
      </w:r>
      <w:r>
        <w:t xml:space="preserve">: what is the primary issue when a young person attends a headspace service? An improvement in mental health outcomes may not be an appropriate goal for those presenting with non-mental health issues. </w:t>
      </w:r>
    </w:p>
    <w:p w14:paraId="6833A58C" w14:textId="4121EDAD" w:rsidR="002A6A78" w:rsidRDefault="002A6A78" w:rsidP="00350B4D">
      <w:pPr>
        <w:pStyle w:val="Bullet1stlevel"/>
      </w:pPr>
      <w:r w:rsidRPr="00413EB3">
        <w:rPr>
          <w:b/>
          <w:bCs/>
        </w:rPr>
        <w:t>Occasions of service</w:t>
      </w:r>
      <w:r>
        <w:t xml:space="preserve">: how many </w:t>
      </w:r>
      <w:r w:rsidR="007B2863">
        <w:t>OOS</w:t>
      </w:r>
      <w:r>
        <w:t xml:space="preserve"> did a young person receive during an episode of care with a headspace service? Improvement in mental health outcomes has been found to be positively associated with number of </w:t>
      </w:r>
      <w:r w:rsidR="007B2863">
        <w:t>OOS</w:t>
      </w:r>
      <w:r>
        <w:t xml:space="preserve"> attended by a young person</w:t>
      </w:r>
      <w:r w:rsidR="00CC0438">
        <w:rPr>
          <w:rFonts w:ascii="ZWAdobeF" w:hAnsi="ZWAdobeF" w:cs="ZWAdobeF"/>
          <w:sz w:val="2"/>
          <w:szCs w:val="2"/>
        </w:rPr>
        <w:t>205F</w:t>
      </w:r>
      <w:r>
        <w:rPr>
          <w:rStyle w:val="FootnoteReference"/>
        </w:rPr>
        <w:footnoteReference w:id="207"/>
      </w:r>
      <w:r w:rsidR="00B02A34">
        <w:t>.</w:t>
      </w:r>
    </w:p>
    <w:p w14:paraId="2062EA31" w14:textId="77777777" w:rsidR="002A6A78" w:rsidRPr="00975F15" w:rsidRDefault="002A6A78" w:rsidP="00350B4D">
      <w:pPr>
        <w:pStyle w:val="Bullet1stlevel"/>
      </w:pPr>
      <w:r w:rsidRPr="006A7BAA">
        <w:rPr>
          <w:b/>
          <w:bCs/>
        </w:rPr>
        <w:t>Improvement in outcomes</w:t>
      </w:r>
      <w:r>
        <w:t>: did the young person experience any improvement in their mental health and wellbeing outcomes? If so, was it a clinically meaningful improvement? Without a control group, how much of an improvement can be attributed to headspace?</w:t>
      </w:r>
    </w:p>
    <w:p w14:paraId="0DBF16B9" w14:textId="67AAD9BE" w:rsidR="002A6A78" w:rsidRDefault="002A6A78" w:rsidP="002A6A78">
      <w:pPr>
        <w:pStyle w:val="BodyText"/>
      </w:pPr>
      <w:r>
        <w:t xml:space="preserve">These issues are examined below using episodes created during 2019-20 and closed before December 2020. Full details of the dataset used in the subsequent sections, including exclusion criteria, are provided in </w:t>
      </w:r>
      <w:r>
        <w:fldChar w:fldCharType="begin" w:fldLock="1"/>
      </w:r>
      <w:r>
        <w:instrText xml:space="preserve"> REF start \h </w:instrText>
      </w:r>
      <w:r>
        <w:fldChar w:fldCharType="end"/>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t>.</w:t>
      </w:r>
    </w:p>
    <w:p w14:paraId="76D75E2B" w14:textId="77777777" w:rsidR="002A6A78" w:rsidRDefault="002A6A78" w:rsidP="00E47883">
      <w:pPr>
        <w:pStyle w:val="Heading4"/>
      </w:pPr>
      <w:r>
        <w:t>Primary issue on intake</w:t>
      </w:r>
    </w:p>
    <w:p w14:paraId="3F4482D8" w14:textId="60721292" w:rsidR="002A6A78" w:rsidRDefault="00344A92" w:rsidP="002A6A78">
      <w:pPr>
        <w:pStyle w:val="BodyText"/>
      </w:pPr>
      <w:r>
        <w:fldChar w:fldCharType="begin" w:fldLock="1"/>
      </w:r>
      <w:r>
        <w:instrText xml:space="preserve"> REF _Ref97750480 \h </w:instrText>
      </w:r>
      <w:r>
        <w:fldChar w:fldCharType="separate"/>
      </w:r>
      <w:r w:rsidR="000C245D" w:rsidRPr="00F1206A">
        <w:t xml:space="preserve">Figure </w:t>
      </w:r>
      <w:r w:rsidR="000C245D">
        <w:rPr>
          <w:noProof/>
        </w:rPr>
        <w:t>54</w:t>
      </w:r>
      <w:r>
        <w:fldChar w:fldCharType="end"/>
      </w:r>
      <w:r w:rsidR="002A6A78">
        <w:t xml:space="preserve"> shows that during 2019-20, around two thirds of episodes had “Mental health and behaviour” as the young person’s primary issue when accessing headspace. The subsequent analysis of the effectiveness of headspace focuses on these episodes, i.e</w:t>
      </w:r>
      <w:r w:rsidR="007E76A0">
        <w:t>.,</w:t>
      </w:r>
      <w:r w:rsidR="002A6A78">
        <w:t xml:space="preserve"> episodes with a ‘mental health and behaviour’ or ‘situational’ primary issue during initial presentation. </w:t>
      </w:r>
      <w:r w:rsidR="00A31346">
        <w:t xml:space="preserve">It should be noted that </w:t>
      </w:r>
      <w:r w:rsidR="00E72F86">
        <w:t xml:space="preserve">hMDS data collection only allows </w:t>
      </w:r>
      <w:r w:rsidR="00A275A2">
        <w:t xml:space="preserve">for </w:t>
      </w:r>
      <w:r w:rsidR="0000728B">
        <w:t>selection</w:t>
      </w:r>
      <w:r w:rsidR="00A275A2">
        <w:t xml:space="preserve"> of a limited number of presenting issues, which impacts the </w:t>
      </w:r>
      <w:r w:rsidR="0000728B">
        <w:t>completeness of this data.</w:t>
      </w:r>
    </w:p>
    <w:p w14:paraId="425C6F9C" w14:textId="24059D97" w:rsidR="002A6A78" w:rsidRPr="00446C3E" w:rsidRDefault="002A6A78" w:rsidP="002A6A78">
      <w:pPr>
        <w:pStyle w:val="Caption"/>
      </w:pPr>
      <w:bookmarkStart w:id="294" w:name="_Ref97750480"/>
      <w:bookmarkStart w:id="295" w:name="_Toc108109239"/>
      <w:r w:rsidRPr="00F1206A">
        <w:t xml:space="preserve">Figure </w:t>
      </w:r>
      <w:r>
        <w:fldChar w:fldCharType="begin"/>
      </w:r>
      <w:r>
        <w:instrText>SEQ Figure \* ARABIC</w:instrText>
      </w:r>
      <w:r>
        <w:fldChar w:fldCharType="separate"/>
      </w:r>
      <w:r w:rsidR="00CC0438">
        <w:rPr>
          <w:noProof/>
        </w:rPr>
        <w:t>54</w:t>
      </w:r>
      <w:r>
        <w:fldChar w:fldCharType="end"/>
      </w:r>
      <w:bookmarkEnd w:id="294"/>
      <w:r w:rsidRPr="00446C3E">
        <w:t>: Primary issue during initial presentation per episode during 2019-20</w:t>
      </w:r>
      <w:bookmarkEnd w:id="295"/>
    </w:p>
    <w:p w14:paraId="6F329706" w14:textId="3A4BDE4B" w:rsidR="002A6A78" w:rsidRPr="00D4544A" w:rsidRDefault="008F7F0F" w:rsidP="003006A8">
      <w:pPr>
        <w:pStyle w:val="BodyText"/>
        <w:rPr>
          <w:highlight w:val="yellow"/>
        </w:rPr>
      </w:pPr>
      <w:r w:rsidRPr="008F7F0F">
        <w:t xml:space="preserve"> </w:t>
      </w:r>
      <w:r w:rsidR="00FD0CC9">
        <w:rPr>
          <w:noProof/>
        </w:rPr>
        <w:drawing>
          <wp:inline distT="0" distB="0" distL="0" distR="0" wp14:anchorId="03D37AF9" wp14:editId="75953482">
            <wp:extent cx="5039995" cy="3232785"/>
            <wp:effectExtent l="0" t="0" r="8255" b="5715"/>
            <wp:docPr id="38" name="Picture 38" descr="Figure 54 is a bar chart summarising the proportion of young people presenting with different primary issues in 2019-20.&#10;67% of episodes of care had mental health and behaviour as the primary issue&#10;14% of episodes of care had situational factors as the primary issue&#10;10% of episodes of care had missing data&#10;3% of episodes of care had sexual and reproductive health as the primary issue&#10;2% of episodes of care had alcohol and other drugs as the primary issue&#10;1% of episodes of care had other primary issues&#10;1% of episodes of care had physical health as the primary issue&#10;1% of episodes of care had vocational assistance as the primary iss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54 is a bar chart summarising the proportion of young people presenting with different primary issues in 2019-20.&#10;67% of episodes of care had mental health and behaviour as the primary issue&#10;14% of episodes of care had situational factors as the primary issue&#10;10% of episodes of care had missing data&#10;3% of episodes of care had sexual and reproductive health as the primary issue&#10;2% of episodes of care had alcohol and other drugs as the primary issue&#10;1% of episodes of care had other primary issues&#10;1% of episodes of care had physical health as the primary issue&#10;1% of episodes of care had vocational assistance as the primary issue&#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9995" cy="3232785"/>
                    </a:xfrm>
                    <a:prstGeom prst="rect">
                      <a:avLst/>
                    </a:prstGeom>
                    <a:noFill/>
                    <a:ln>
                      <a:noFill/>
                    </a:ln>
                  </pic:spPr>
                </pic:pic>
              </a:graphicData>
            </a:graphic>
          </wp:inline>
        </w:drawing>
      </w:r>
    </w:p>
    <w:p w14:paraId="02D8BBD7" w14:textId="48981116" w:rsidR="002A6A78" w:rsidRPr="009D75AC" w:rsidRDefault="002A6A78" w:rsidP="002A6A78">
      <w:pPr>
        <w:pStyle w:val="Source"/>
        <w:rPr>
          <w:szCs w:val="16"/>
        </w:rPr>
      </w:pPr>
      <w:r w:rsidRPr="00A7396B">
        <w:rPr>
          <w:szCs w:val="16"/>
        </w:rPr>
        <w:t xml:space="preserve">Source: </w:t>
      </w:r>
      <w:r>
        <w:rPr>
          <w:szCs w:val="16"/>
        </w:rPr>
        <w:t>KPMG analysis of</w:t>
      </w:r>
      <w:r w:rsidRPr="00A7396B">
        <w:rPr>
          <w:szCs w:val="16"/>
        </w:rPr>
        <w:t xml:space="preserve"> KPMG master dataset </w:t>
      </w:r>
      <w:r w:rsidRPr="00DF012C">
        <w:rPr>
          <w:szCs w:val="16"/>
        </w:rPr>
        <w:t>– closed episodes</w:t>
      </w:r>
      <w:r w:rsidRPr="00B215D6">
        <w:rPr>
          <w:szCs w:val="16"/>
        </w:rPr>
        <w:t xml:space="preserve"> </w:t>
      </w:r>
    </w:p>
    <w:p w14:paraId="4FAAE7EB" w14:textId="18144D01" w:rsidR="002A6A78" w:rsidRPr="009D614B" w:rsidRDefault="002A6A78" w:rsidP="002A6A78">
      <w:pPr>
        <w:pStyle w:val="Source"/>
      </w:pPr>
      <w:r w:rsidRPr="00446C3E">
        <w:t xml:space="preserve">Notes: </w:t>
      </w:r>
      <w:r w:rsidRPr="00CA51CD">
        <w:rPr>
          <w:szCs w:val="16"/>
        </w:rPr>
        <w:t xml:space="preserve">See </w:t>
      </w:r>
      <w:r w:rsidR="007D6C2C">
        <w:rPr>
          <w:szCs w:val="16"/>
        </w:rPr>
        <w:fldChar w:fldCharType="begin" w:fldLock="1"/>
      </w:r>
      <w:r w:rsidR="007D6C2C">
        <w:rPr>
          <w:szCs w:val="16"/>
        </w:rPr>
        <w:instrText xml:space="preserve"> REF _Ref98402466 \r \h </w:instrText>
      </w:r>
      <w:r w:rsidR="007D6C2C">
        <w:rPr>
          <w:szCs w:val="16"/>
        </w:rPr>
      </w:r>
      <w:r w:rsidR="007D6C2C">
        <w:rPr>
          <w:szCs w:val="16"/>
        </w:rPr>
        <w:fldChar w:fldCharType="separate"/>
      </w:r>
      <w:r w:rsidR="00AE4D34">
        <w:rPr>
          <w:szCs w:val="16"/>
        </w:rPr>
        <w:t>Appendix F</w:t>
      </w:r>
      <w:r w:rsidR="007D6C2C">
        <w:rPr>
          <w:szCs w:val="16"/>
        </w:rPr>
        <w:fldChar w:fldCharType="end"/>
      </w:r>
      <w:r w:rsidRPr="00CA51CD">
        <w:rPr>
          <w:szCs w:val="16"/>
        </w:rPr>
        <w:t xml:space="preserve"> </w:t>
      </w:r>
      <w:r w:rsidRPr="00A7396B">
        <w:rPr>
          <w:szCs w:val="16"/>
        </w:rPr>
        <w:t xml:space="preserve">for detailed </w:t>
      </w:r>
      <w:r w:rsidRPr="00695D0C">
        <w:rPr>
          <w:szCs w:val="16"/>
        </w:rPr>
        <w:t>ex</w:t>
      </w:r>
      <w:r w:rsidRPr="00CA51CD">
        <w:rPr>
          <w:szCs w:val="16"/>
        </w:rPr>
        <w:t>cl</w:t>
      </w:r>
      <w:r w:rsidRPr="007755D8">
        <w:rPr>
          <w:szCs w:val="16"/>
        </w:rPr>
        <w:t>usion</w:t>
      </w:r>
      <w:r w:rsidRPr="00020FF9">
        <w:rPr>
          <w:szCs w:val="16"/>
        </w:rPr>
        <w:t xml:space="preserve"> criteria.</w:t>
      </w:r>
      <w:r w:rsidRPr="00907903">
        <w:rPr>
          <w:szCs w:val="16"/>
        </w:rPr>
        <w:t xml:space="preserve"> </w:t>
      </w:r>
      <w:r w:rsidRPr="00CA51CD">
        <w:rPr>
          <w:szCs w:val="16"/>
        </w:rPr>
        <w:t>Number of episodes: 61,911</w:t>
      </w:r>
      <w:r>
        <w:rPr>
          <w:szCs w:val="16"/>
        </w:rPr>
        <w:t xml:space="preserve">; </w:t>
      </w:r>
      <w:r w:rsidRPr="00321F7A">
        <w:t>Habitual behaviour issues refer to addictions other than a</w:t>
      </w:r>
      <w:r w:rsidRPr="00360CA4">
        <w:t>lcohol and drugs. These include technology use (e.g</w:t>
      </w:r>
      <w:r w:rsidR="004D1498" w:rsidRPr="00360CA4">
        <w:t>.,</w:t>
      </w:r>
      <w:r w:rsidRPr="00360CA4">
        <w:t xml:space="preserve"> social media and gaming), gambling and</w:t>
      </w:r>
      <w:r w:rsidRPr="00D62D60">
        <w:t xml:space="preserve"> pornography.</w:t>
      </w:r>
      <w:r w:rsidRPr="004B7538">
        <w:t xml:space="preserve"> </w:t>
      </w:r>
    </w:p>
    <w:p w14:paraId="6A9000C8" w14:textId="77777777" w:rsidR="002A6A78" w:rsidRDefault="002A6A78" w:rsidP="00E47883">
      <w:pPr>
        <w:pStyle w:val="Heading4"/>
      </w:pPr>
      <w:r>
        <w:t>Occasions of service</w:t>
      </w:r>
    </w:p>
    <w:p w14:paraId="317AE468" w14:textId="109BC580" w:rsidR="002A6A78" w:rsidRDefault="00344A92" w:rsidP="002A6A78">
      <w:pPr>
        <w:pStyle w:val="BodyText"/>
      </w:pPr>
      <w:r>
        <w:fldChar w:fldCharType="begin" w:fldLock="1"/>
      </w:r>
      <w:r>
        <w:instrText xml:space="preserve"> REF _Ref97750501 \h </w:instrText>
      </w:r>
      <w:r>
        <w:fldChar w:fldCharType="separate"/>
      </w:r>
      <w:r w:rsidR="000C245D" w:rsidRPr="00090875">
        <w:t xml:space="preserve">Figure </w:t>
      </w:r>
      <w:r w:rsidR="000C245D">
        <w:rPr>
          <w:noProof/>
        </w:rPr>
        <w:t>55</w:t>
      </w:r>
      <w:r>
        <w:fldChar w:fldCharType="end"/>
      </w:r>
      <w:r w:rsidR="002A6A78">
        <w:t xml:space="preserve"> summarises the distribution of the </w:t>
      </w:r>
      <w:r w:rsidR="009C028B">
        <w:t>OOS</w:t>
      </w:r>
      <w:r w:rsidR="002A6A78">
        <w:t xml:space="preserve"> per episode during 2019-20. </w:t>
      </w:r>
      <w:r w:rsidR="008F44A5">
        <w:t>Thirty</w:t>
      </w:r>
      <w:r w:rsidR="006A11A5">
        <w:t>-</w:t>
      </w:r>
      <w:r w:rsidR="008F44A5">
        <w:t xml:space="preserve">six </w:t>
      </w:r>
      <w:r w:rsidR="002A6A78">
        <w:t xml:space="preserve">per cent of all episodes had one </w:t>
      </w:r>
      <w:r w:rsidR="009C028B">
        <w:t>OOS</w:t>
      </w:r>
      <w:r w:rsidR="002A6A78">
        <w:t xml:space="preserve">. By contrast, </w:t>
      </w:r>
      <w:r w:rsidR="000B20E3">
        <w:t>sixty four</w:t>
      </w:r>
      <w:r w:rsidR="002A6A78">
        <w:t xml:space="preserve"> per cent had at least two </w:t>
      </w:r>
      <w:r w:rsidR="007B2863">
        <w:t>OOS</w:t>
      </w:r>
      <w:r w:rsidR="002A6A78">
        <w:t xml:space="preserve">. This </w:t>
      </w:r>
      <w:r w:rsidR="0056557B">
        <w:t>distribution</w:t>
      </w:r>
      <w:r w:rsidR="002A6A78">
        <w:t xml:space="preserve"> has been relatively consistent over the last five years.</w:t>
      </w:r>
    </w:p>
    <w:p w14:paraId="529924E6" w14:textId="036F46AE" w:rsidR="002A6A78" w:rsidRPr="00090875" w:rsidRDefault="002A6A78" w:rsidP="002A6A78">
      <w:pPr>
        <w:pStyle w:val="Caption"/>
      </w:pPr>
      <w:bookmarkStart w:id="296" w:name="_Ref97750501"/>
      <w:bookmarkStart w:id="297" w:name="_Toc108109240"/>
      <w:r w:rsidRPr="00090875">
        <w:t xml:space="preserve">Figure </w:t>
      </w:r>
      <w:r>
        <w:fldChar w:fldCharType="begin"/>
      </w:r>
      <w:r>
        <w:instrText>SEQ Figure \* ARABIC</w:instrText>
      </w:r>
      <w:r>
        <w:fldChar w:fldCharType="separate"/>
      </w:r>
      <w:r w:rsidR="00CC0438">
        <w:rPr>
          <w:noProof/>
        </w:rPr>
        <w:t>55</w:t>
      </w:r>
      <w:r>
        <w:fldChar w:fldCharType="end"/>
      </w:r>
      <w:bookmarkEnd w:id="296"/>
      <w:r w:rsidRPr="00090875">
        <w:t xml:space="preserve">: Distribution of </w:t>
      </w:r>
      <w:r w:rsidR="007B2863">
        <w:t>OOS</w:t>
      </w:r>
      <w:r w:rsidRPr="00090875">
        <w:t xml:space="preserve"> per episode during 2019-20</w:t>
      </w:r>
      <w:bookmarkEnd w:id="297"/>
    </w:p>
    <w:p w14:paraId="58297175" w14:textId="0E4CBB58" w:rsidR="002A6A78" w:rsidRPr="00CB46B0" w:rsidRDefault="007654D9" w:rsidP="003006A8">
      <w:pPr>
        <w:pStyle w:val="BodyText"/>
        <w:rPr>
          <w:highlight w:val="yellow"/>
        </w:rPr>
      </w:pPr>
      <w:r>
        <w:rPr>
          <w:noProof/>
        </w:rPr>
        <w:drawing>
          <wp:inline distT="0" distB="0" distL="0" distR="0" wp14:anchorId="09F47EC6" wp14:editId="16F71B99">
            <wp:extent cx="5039995" cy="3232785"/>
            <wp:effectExtent l="0" t="0" r="8255" b="5715"/>
            <wp:docPr id="39" name="Picture 39" descr="Figure 55 is a bar chart summarising the proportion of episodes of care which had different numbers of occasions of service in 2019-20&#10;36% of episodes of care had 1 occasion of service&#10;19% of episodes of care had 2 occasions of service&#10;11% of episodes of care had 3 occasions of service&#10;8% of episodes of care had 4 occasions of service&#10;6% of episodes of care had 5 occasions of service&#10;5% of episodes of care had 6 occasions of service&#10;4% of episodes of care had 7 occasions of service&#10;3% of episodes of care had 8 occasions of service&#10;2% of episodes of care had 9 occasions of service&#10;1% of episodes of care had 10 occasions of service&#10;1% of episodes of care had 11 occasions of service&#10;4% of episodes of care had 12 or more occasions of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55 is a bar chart summarising the proportion of episodes of care which had different numbers of occasions of service in 2019-20&#10;36% of episodes of care had 1 occasion of service&#10;19% of episodes of care had 2 occasions of service&#10;11% of episodes of care had 3 occasions of service&#10;8% of episodes of care had 4 occasions of service&#10;6% of episodes of care had 5 occasions of service&#10;5% of episodes of care had 6 occasions of service&#10;4% of episodes of care had 7 occasions of service&#10;3% of episodes of care had 8 occasions of service&#10;2% of episodes of care had 9 occasions of service&#10;1% of episodes of care had 10 occasions of service&#10;1% of episodes of care had 11 occasions of service&#10;4% of episodes of care had 12 or more occasions of service&#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9995" cy="3232785"/>
                    </a:xfrm>
                    <a:prstGeom prst="rect">
                      <a:avLst/>
                    </a:prstGeom>
                    <a:noFill/>
                    <a:ln>
                      <a:noFill/>
                    </a:ln>
                  </pic:spPr>
                </pic:pic>
              </a:graphicData>
            </a:graphic>
          </wp:inline>
        </w:drawing>
      </w:r>
    </w:p>
    <w:p w14:paraId="48F2708B" w14:textId="47D6AE6C" w:rsidR="002A6A78" w:rsidRPr="00090875" w:rsidRDefault="002A6A78" w:rsidP="002A6A78">
      <w:pPr>
        <w:pStyle w:val="Source"/>
      </w:pPr>
      <w:r w:rsidRPr="00F942CB">
        <w:rPr>
          <w:szCs w:val="16"/>
        </w:rPr>
        <w:t xml:space="preserve">Source: </w:t>
      </w:r>
      <w:r>
        <w:rPr>
          <w:szCs w:val="16"/>
        </w:rPr>
        <w:t>KPMG analysis of</w:t>
      </w:r>
      <w:r w:rsidRPr="00A7396B">
        <w:rPr>
          <w:szCs w:val="16"/>
        </w:rPr>
        <w:t xml:space="preserve"> KPMG </w:t>
      </w:r>
      <w:r w:rsidRPr="00CF2E3E">
        <w:rPr>
          <w:szCs w:val="16"/>
        </w:rPr>
        <w:t>master dataset – closed episodes</w:t>
      </w:r>
    </w:p>
    <w:p w14:paraId="17D45293" w14:textId="3BEECDD4" w:rsidR="002A6A78" w:rsidRPr="007F4953" w:rsidRDefault="002A6A78" w:rsidP="002A6A78">
      <w:pPr>
        <w:pStyle w:val="Source"/>
      </w:pPr>
      <w:r w:rsidRPr="00090875">
        <w:t xml:space="preserve">Notes: </w:t>
      </w:r>
      <w:r w:rsidRPr="00F942CB">
        <w:rPr>
          <w:szCs w:val="16"/>
        </w:rPr>
        <w:t xml:space="preserve">See </w:t>
      </w:r>
      <w:r w:rsidR="00A660C7">
        <w:rPr>
          <w:szCs w:val="16"/>
        </w:rPr>
        <w:fldChar w:fldCharType="begin" w:fldLock="1"/>
      </w:r>
      <w:r w:rsidR="00A660C7">
        <w:rPr>
          <w:szCs w:val="16"/>
        </w:rPr>
        <w:instrText xml:space="preserve"> REF _Ref98402466 \r \h </w:instrText>
      </w:r>
      <w:r w:rsidR="00A660C7">
        <w:rPr>
          <w:szCs w:val="16"/>
        </w:rPr>
      </w:r>
      <w:r w:rsidR="00A660C7">
        <w:rPr>
          <w:szCs w:val="16"/>
        </w:rPr>
        <w:fldChar w:fldCharType="separate"/>
      </w:r>
      <w:r w:rsidR="00AE4D34">
        <w:rPr>
          <w:szCs w:val="16"/>
        </w:rPr>
        <w:t>Appendix F</w:t>
      </w:r>
      <w:r w:rsidR="00A660C7">
        <w:rPr>
          <w:szCs w:val="16"/>
        </w:rPr>
        <w:fldChar w:fldCharType="end"/>
      </w:r>
      <w:r w:rsidRPr="00F942CB">
        <w:rPr>
          <w:szCs w:val="16"/>
        </w:rPr>
        <w:t xml:space="preserve"> for detailed exclusion criteria.</w:t>
      </w:r>
      <w:r>
        <w:rPr>
          <w:szCs w:val="16"/>
        </w:rPr>
        <w:t xml:space="preserve"> </w:t>
      </w:r>
      <w:r w:rsidRPr="00F942CB">
        <w:rPr>
          <w:szCs w:val="16"/>
        </w:rPr>
        <w:t>Number of episodes: 61,911.</w:t>
      </w:r>
      <w:r w:rsidR="00927D54">
        <w:rPr>
          <w:szCs w:val="16"/>
        </w:rPr>
        <w:t xml:space="preserve"> </w:t>
      </w:r>
      <w:r>
        <w:t xml:space="preserve">Some further episodes of care were not completed in time to be included in this report, and they likely would have two or more </w:t>
      </w:r>
      <w:r w:rsidR="007B2863">
        <w:t>OOS</w:t>
      </w:r>
      <w:r>
        <w:t xml:space="preserve">. </w:t>
      </w:r>
    </w:p>
    <w:p w14:paraId="47708F38" w14:textId="77777777" w:rsidR="002A6A78" w:rsidRDefault="002A6A78" w:rsidP="00E47883">
      <w:pPr>
        <w:pStyle w:val="Heading4"/>
      </w:pPr>
      <w:r>
        <w:t>Analysis of outcomes</w:t>
      </w:r>
    </w:p>
    <w:p w14:paraId="44332B90" w14:textId="79430945" w:rsidR="002A6A78" w:rsidRPr="00A62F71" w:rsidRDefault="002A6A78" w:rsidP="002A6A78">
      <w:pPr>
        <w:pStyle w:val="BodyText"/>
      </w:pPr>
      <w:r>
        <w:t xml:space="preserve">The evaluation adopts a pre-post quasi-experimental methodology for the analysis of improvement in outcomes at the episode level. Young person outcomes are recorded at intake into headspace and before multiple </w:t>
      </w:r>
      <w:r w:rsidR="007B2863">
        <w:t>OOS</w:t>
      </w:r>
      <w:r>
        <w:t xml:space="preserve"> across an episode. Intake</w:t>
      </w:r>
      <w:r w:rsidDel="000069E1">
        <w:t xml:space="preserve"> </w:t>
      </w:r>
      <w:r>
        <w:t>measures are considered the pre</w:t>
      </w:r>
      <w:r>
        <w:noBreakHyphen/>
        <w:t xml:space="preserve">treatment measures; the last observed outcome measure within an episode is considered the post-treatment outcome measure. A minimum of two </w:t>
      </w:r>
      <w:r w:rsidR="007B2863">
        <w:t>OOS</w:t>
      </w:r>
      <w:r>
        <w:t xml:space="preserve"> are required for a pre</w:t>
      </w:r>
      <w:r w:rsidR="007A7801">
        <w:noBreakHyphen/>
      </w:r>
      <w:r>
        <w:t xml:space="preserve">post comparison to be made. See </w:t>
      </w:r>
      <w:r w:rsidR="00323B3F">
        <w:fldChar w:fldCharType="begin" w:fldLock="1"/>
      </w:r>
      <w:r w:rsidR="00323B3F">
        <w:instrText xml:space="preserve"> REF _Ref98402466 \r \h </w:instrText>
      </w:r>
      <w:r w:rsidR="00323B3F">
        <w:fldChar w:fldCharType="separate"/>
      </w:r>
      <w:r w:rsidR="00AE4D34">
        <w:t>Appendix F</w:t>
      </w:r>
      <w:r w:rsidR="00323B3F">
        <w:fldChar w:fldCharType="end"/>
      </w:r>
      <w:r>
        <w:t xml:space="preserve"> for a description of how the dataset was derived.</w:t>
      </w:r>
      <w:r w:rsidDel="00076877">
        <w:t xml:space="preserve"> </w:t>
      </w:r>
    </w:p>
    <w:p w14:paraId="7A1B1371" w14:textId="3A52D68B" w:rsidR="002A6A78" w:rsidRDefault="002A6A78" w:rsidP="003006A8">
      <w:pPr>
        <w:pStyle w:val="BodyText"/>
      </w:pPr>
      <w:r>
        <w:t xml:space="preserve">As per </w:t>
      </w:r>
      <w:hyperlink w:anchor="Outcomemeasures" w:history="1">
        <w:r w:rsidRPr="0065310F">
          <w:rPr>
            <w:rStyle w:val="Hyperlink"/>
            <w:u w:val="none"/>
          </w:rPr>
          <w:t>Section</w:t>
        </w:r>
      </w:hyperlink>
      <w:r>
        <w:rPr>
          <w:rStyle w:val="Hyperlink"/>
          <w:u w:val="none"/>
        </w:rPr>
        <w:t xml:space="preserve"> </w:t>
      </w:r>
      <w:r w:rsidR="00A52084">
        <w:rPr>
          <w:rStyle w:val="Hyperlink"/>
          <w:u w:val="none"/>
        </w:rPr>
        <w:fldChar w:fldCharType="begin" w:fldLock="1"/>
      </w:r>
      <w:r w:rsidR="00A52084">
        <w:rPr>
          <w:rStyle w:val="Hyperlink"/>
          <w:u w:val="none"/>
        </w:rPr>
        <w:instrText xml:space="preserve"> REF _Ref98445151 \r \h </w:instrText>
      </w:r>
      <w:r w:rsidR="00A52084">
        <w:rPr>
          <w:rStyle w:val="Hyperlink"/>
          <w:u w:val="none"/>
        </w:rPr>
      </w:r>
      <w:r w:rsidR="00A52084">
        <w:rPr>
          <w:rStyle w:val="Hyperlink"/>
          <w:u w:val="none"/>
        </w:rPr>
        <w:fldChar w:fldCharType="separate"/>
      </w:r>
      <w:r w:rsidR="00AE4D34">
        <w:rPr>
          <w:rStyle w:val="Hyperlink"/>
          <w:u w:val="none"/>
        </w:rPr>
        <w:t>2.2.3</w:t>
      </w:r>
      <w:r w:rsidR="00A52084">
        <w:rPr>
          <w:rStyle w:val="Hyperlink"/>
          <w:u w:val="none"/>
        </w:rPr>
        <w:fldChar w:fldCharType="end"/>
      </w:r>
      <w:r>
        <w:t xml:space="preserve"> , this evaluation considered three outcomes available within the hMDS: </w:t>
      </w:r>
    </w:p>
    <w:p w14:paraId="7BC5D7F9" w14:textId="4DA7D14D" w:rsidR="002A6A78" w:rsidRDefault="002A6A78" w:rsidP="00A33A8D">
      <w:pPr>
        <w:pStyle w:val="BodyText"/>
        <w:numPr>
          <w:ilvl w:val="0"/>
          <w:numId w:val="8"/>
        </w:numPr>
      </w:pPr>
      <w:r>
        <w:t>The Kessler Psychological Distress Scale (K10). The K10 is a 10-item questionnaire intended to yield a global measure of distress based on questions about anxiety and depressive symptoms that a person has experienced in the most recent four-week period</w:t>
      </w:r>
      <w:r w:rsidR="00CC0438">
        <w:rPr>
          <w:rFonts w:ascii="ZWAdobeF" w:hAnsi="ZWAdobeF" w:cs="ZWAdobeF"/>
          <w:sz w:val="2"/>
          <w:szCs w:val="2"/>
        </w:rPr>
        <w:t>206F</w:t>
      </w:r>
      <w:r>
        <w:rPr>
          <w:rStyle w:val="FootnoteReference"/>
        </w:rPr>
        <w:footnoteReference w:id="208"/>
      </w:r>
      <w:r w:rsidR="007A7801">
        <w:t>.</w:t>
      </w:r>
      <w:r>
        <w:t xml:space="preserve"> The K10 measure is a sum of all responses to the ten items, producing a value ranging from 10 to 50, with values indicating higher levels of distress.</w:t>
      </w:r>
    </w:p>
    <w:p w14:paraId="6FFB6A75" w14:textId="3A154D71" w:rsidR="002A6A78" w:rsidRDefault="002A6A78" w:rsidP="00A33A8D">
      <w:pPr>
        <w:pStyle w:val="BodyText"/>
        <w:numPr>
          <w:ilvl w:val="0"/>
          <w:numId w:val="8"/>
        </w:numPr>
      </w:pPr>
      <w:r>
        <w:t>The Social and Occupational Functioning Assessment Scale (SOFAS). The SOFAS is a global rating of current social and occupational functioning from zero to 100, with lower values representing lower functioning. It is a single-item assessment of current functioning, independent of the severity of the young person’s psychological symptoms</w:t>
      </w:r>
      <w:r w:rsidR="00CC0438">
        <w:rPr>
          <w:rFonts w:ascii="ZWAdobeF" w:hAnsi="ZWAdobeF" w:cs="ZWAdobeF"/>
          <w:sz w:val="2"/>
          <w:szCs w:val="2"/>
        </w:rPr>
        <w:t>207F</w:t>
      </w:r>
      <w:r>
        <w:rPr>
          <w:rStyle w:val="FootnoteReference"/>
        </w:rPr>
        <w:footnoteReference w:id="209"/>
      </w:r>
      <w:r w:rsidR="00846682">
        <w:t>.</w:t>
      </w:r>
      <w:r>
        <w:t xml:space="preserve"> </w:t>
      </w:r>
    </w:p>
    <w:p w14:paraId="1B300637" w14:textId="5E48B30D" w:rsidR="002A6A78" w:rsidRPr="00935BC5" w:rsidRDefault="002A6A78" w:rsidP="00A33A8D">
      <w:pPr>
        <w:pStyle w:val="BodyText"/>
        <w:numPr>
          <w:ilvl w:val="0"/>
          <w:numId w:val="8"/>
        </w:numPr>
      </w:pPr>
      <w:r>
        <w:t xml:space="preserve">My Life Tracker (MLT). MLT was developed specifically for use in headspace with the purpose of providing a quality of life measure that better reflected the important areas of life for </w:t>
      </w:r>
      <w:r w:rsidDel="00C177F6">
        <w:t xml:space="preserve">young </w:t>
      </w:r>
      <w:r>
        <w:t>people. The MLT is a five-item measure, where each item is rated on a zero to 100 scale, with 100 representing the highest level of wellbeing in that domain. The MLT takes the average of the five responses</w:t>
      </w:r>
      <w:r w:rsidR="00CC0438">
        <w:rPr>
          <w:rFonts w:ascii="ZWAdobeF" w:hAnsi="ZWAdobeF" w:cs="ZWAdobeF"/>
          <w:sz w:val="2"/>
          <w:szCs w:val="2"/>
        </w:rPr>
        <w:t>208F</w:t>
      </w:r>
      <w:r>
        <w:rPr>
          <w:rStyle w:val="FootnoteReference"/>
        </w:rPr>
        <w:footnoteReference w:id="210"/>
      </w:r>
      <w:r w:rsidR="00846682">
        <w:t>.</w:t>
      </w:r>
    </w:p>
    <w:p w14:paraId="1C6B1B43" w14:textId="77777777" w:rsidR="002A6A78" w:rsidRDefault="002A6A78" w:rsidP="00E47883">
      <w:pPr>
        <w:pStyle w:val="Heading4"/>
      </w:pPr>
      <w:r>
        <w:t>Adjusting for regression to the mean</w:t>
      </w:r>
    </w:p>
    <w:p w14:paraId="1E5DB89F" w14:textId="66C03689" w:rsidR="00614E15" w:rsidRDefault="002A6A78" w:rsidP="002A6A78">
      <w:pPr>
        <w:pStyle w:val="BodyText"/>
      </w:pPr>
      <w:r>
        <w:t>Pre-post evaluations can suffer from a statistical phenomenon called regression to the mean (RTM)</w:t>
      </w:r>
      <w:r w:rsidR="00CC0438">
        <w:rPr>
          <w:rFonts w:ascii="ZWAdobeF" w:hAnsi="ZWAdobeF" w:cs="ZWAdobeF"/>
          <w:sz w:val="2"/>
          <w:szCs w:val="2"/>
        </w:rPr>
        <w:t>209F</w:t>
      </w:r>
      <w:r>
        <w:rPr>
          <w:rStyle w:val="FootnoteReference"/>
        </w:rPr>
        <w:footnoteReference w:id="211"/>
      </w:r>
      <w:r w:rsidR="00D2198F">
        <w:t>.</w:t>
      </w:r>
      <w:r>
        <w:t xml:space="preserve"> RTM</w:t>
      </w:r>
      <w:r w:rsidDel="004E35DA">
        <w:t xml:space="preserve"> </w:t>
      </w:r>
      <w:r>
        <w:t>occurs when a high measurement at one point in time is followed by a</w:t>
      </w:r>
      <w:r w:rsidDel="000A384B">
        <w:t xml:space="preserve"> </w:t>
      </w:r>
      <w:r>
        <w:t>lower value on re</w:t>
      </w:r>
      <w:r w:rsidR="007A7801">
        <w:noBreakHyphen/>
      </w:r>
      <w:r>
        <w:t>measurement, even in the absence of</w:t>
      </w:r>
      <w:r w:rsidDel="009079E3">
        <w:t xml:space="preserve"> </w:t>
      </w:r>
      <w:r>
        <w:t>an intervention. It also accounts for low measures observed during entry into headspace and adjustment to the mean in the post-measure. Failing to account for RTM risks overestimating the treatment effect of headspace</w:t>
      </w:r>
      <w:r w:rsidR="00CC0438">
        <w:rPr>
          <w:rFonts w:ascii="ZWAdobeF" w:hAnsi="ZWAdobeF" w:cs="ZWAdobeF"/>
          <w:sz w:val="2"/>
          <w:szCs w:val="2"/>
        </w:rPr>
        <w:t>210F</w:t>
      </w:r>
      <w:r>
        <w:rPr>
          <w:rStyle w:val="FootnoteReference"/>
        </w:rPr>
        <w:footnoteReference w:id="212"/>
      </w:r>
      <w:r w:rsidR="00846682">
        <w:t>.</w:t>
      </w:r>
      <w:r>
        <w:t xml:space="preserve"> </w:t>
      </w:r>
    </w:p>
    <w:p w14:paraId="6CFE8D22" w14:textId="5EA85757" w:rsidR="00614E15" w:rsidRDefault="002A6A78" w:rsidP="002A6A78">
      <w:pPr>
        <w:pStyle w:val="BodyText"/>
      </w:pPr>
      <w:r>
        <w:t xml:space="preserve">This evaluation accounts for RTM by explicitly calculating an RTM effect using the variation in outcomes observed between measurement at intake and measurement before the second </w:t>
      </w:r>
      <w:r w:rsidR="009C028B">
        <w:t>OOS</w:t>
      </w:r>
      <w:r>
        <w:t xml:space="preserve">. In most cases, the first </w:t>
      </w:r>
      <w:r w:rsidR="009C028B">
        <w:t>OOS</w:t>
      </w:r>
      <w:r>
        <w:t xml:space="preserve"> is an intake assessment rather than an explicit treatment, and as such the first and second measurements capture natural variation in the outcome measure. </w:t>
      </w:r>
    </w:p>
    <w:p w14:paraId="5401A46B" w14:textId="76F91CE7" w:rsidR="00243E1A" w:rsidRPr="00243E1A" w:rsidRDefault="002A6A78" w:rsidP="00243E1A">
      <w:pPr>
        <w:pStyle w:val="BodyText"/>
      </w:pPr>
      <w:r>
        <w:t>The RTM effect is interpreted as the ‘expected’ change due to natural variation as opposed to change due to headspace, and is used to adjust the ‘pre’ measure in the pre</w:t>
      </w:r>
      <w:r>
        <w:noBreakHyphen/>
        <w:t>post evaluation. It is acknowledged that this methodology provides only a proxy of the likely RTM, and that there may be some treatment effect associated with the intake assessment. A secondary check of the magnitude of the RTM effect was also completed using the RTMCI Stata command by Ariel Linden</w:t>
      </w:r>
      <w:r w:rsidR="00CC0438">
        <w:rPr>
          <w:rFonts w:ascii="ZWAdobeF" w:hAnsi="ZWAdobeF" w:cs="ZWAdobeF"/>
          <w:sz w:val="2"/>
          <w:szCs w:val="2"/>
        </w:rPr>
        <w:t>211F</w:t>
      </w:r>
      <w:r>
        <w:rPr>
          <w:rStyle w:val="FootnoteReference"/>
        </w:rPr>
        <w:footnoteReference w:id="213"/>
      </w:r>
      <w:r w:rsidR="00846682">
        <w:t>.</w:t>
      </w:r>
      <w:r>
        <w:t xml:space="preserve"> </w:t>
      </w:r>
    </w:p>
    <w:p w14:paraId="349CF105" w14:textId="77777777" w:rsidR="00614E15" w:rsidRDefault="00614E15" w:rsidP="00614E15">
      <w:pPr>
        <w:pStyle w:val="BodyText"/>
      </w:pPr>
      <w:r>
        <w:t xml:space="preserve">RTM can occur both positively and negatively: young people with initially low levels of psychological distress can regress to worse levels, independent of headspace, just as young people with high initial levels of psychological distress can regress to improved levels. To incorporate this, the RTM adjustment factor is estimated for each quintile of initial outcome measures. This approach captures that observed worsening of psychological distress for young people with low levels of psychological distress on intake is more likely a result of RTM than headspace. </w:t>
      </w:r>
    </w:p>
    <w:p w14:paraId="03D7278F" w14:textId="323BE87C" w:rsidR="00614E15" w:rsidRDefault="00352601" w:rsidP="00614E15">
      <w:pPr>
        <w:pStyle w:val="BodyText"/>
      </w:pPr>
      <w:r>
        <w:fldChar w:fldCharType="begin" w:fldLock="1"/>
      </w:r>
      <w:r>
        <w:instrText xml:space="preserve"> REF _Ref98255109 \h </w:instrText>
      </w:r>
      <w:r>
        <w:fldChar w:fldCharType="separate"/>
      </w:r>
      <w:r w:rsidR="00092284">
        <w:t xml:space="preserve">Table </w:t>
      </w:r>
      <w:r w:rsidR="00092284">
        <w:rPr>
          <w:noProof/>
        </w:rPr>
        <w:t>60</w:t>
      </w:r>
      <w:r>
        <w:fldChar w:fldCharType="end"/>
      </w:r>
      <w:r w:rsidR="00614E15">
        <w:t xml:space="preserve"> summarises the magnitude of the RTM effect by initial outcome quintile. As expected, the RTM effect is largest for young people in worst quintiles on intake. For example, the RTM effect for those young people in the highest quintile of psychological distress on intake (mean K10 of 42), is estimated to be 2.9 points.</w:t>
      </w:r>
    </w:p>
    <w:p w14:paraId="70154B26" w14:textId="34115B88" w:rsidR="00614E15" w:rsidRDefault="00614E15" w:rsidP="00614E15">
      <w:pPr>
        <w:pStyle w:val="Caption"/>
      </w:pPr>
      <w:bookmarkStart w:id="298" w:name="_Ref98255109"/>
      <w:bookmarkStart w:id="299" w:name="_Toc108109010"/>
      <w:r>
        <w:t xml:space="preserve">Table </w:t>
      </w:r>
      <w:r>
        <w:fldChar w:fldCharType="begin"/>
      </w:r>
      <w:r>
        <w:instrText>SEQ Table \* ARABIC</w:instrText>
      </w:r>
      <w:r>
        <w:fldChar w:fldCharType="separate"/>
      </w:r>
      <w:r w:rsidR="00CC0438">
        <w:rPr>
          <w:noProof/>
        </w:rPr>
        <w:t>60</w:t>
      </w:r>
      <w:r>
        <w:fldChar w:fldCharType="end"/>
      </w:r>
      <w:bookmarkEnd w:id="298"/>
      <w:r>
        <w:t>: Regression to the mean effect by outcome measure</w:t>
      </w:r>
      <w:bookmarkEnd w:id="29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gression to the mean effect by outcome measure"/>
        <w:tblDescription w:val="Table has 4 columns and summarises the regression to the mean impact for each outcome measure. Column 1 includes the initial level of distress a young person presents with. Column 2 summarises the regression to the mean effect and standard error for K10 outcomes. Column 3 summarises the regression to the mean effect and standard error for SOFAS outcomes. Column 4 summarises the regression to the mean effect and standard error for My Life Tracker outcomes.&#10;"/>
      </w:tblPr>
      <w:tblGrid>
        <w:gridCol w:w="2267"/>
        <w:gridCol w:w="2267"/>
        <w:gridCol w:w="2268"/>
        <w:gridCol w:w="2268"/>
      </w:tblGrid>
      <w:tr w:rsidR="00614E15" w:rsidRPr="00D65A2D" w14:paraId="07120A9A" w14:textId="77777777" w:rsidTr="00D15EC1">
        <w:trPr>
          <w:tblHeader/>
        </w:trPr>
        <w:tc>
          <w:tcPr>
            <w:tcW w:w="1250" w:type="pct"/>
            <w:tcBorders>
              <w:bottom w:val="single" w:sz="4" w:space="0" w:color="00338D"/>
            </w:tcBorders>
            <w:shd w:val="clear" w:color="auto" w:fill="00338D"/>
          </w:tcPr>
          <w:p w14:paraId="7BF0E577" w14:textId="77777777" w:rsidR="00614E15" w:rsidRDefault="00614E15" w:rsidP="00D15EC1">
            <w:pPr>
              <w:pStyle w:val="Tableheading"/>
            </w:pPr>
            <w:r>
              <w:t>Quintiles of Initial level of distress</w:t>
            </w:r>
            <w:r w:rsidRPr="00442A01">
              <w:rPr>
                <w:sz w:val="22"/>
                <w:szCs w:val="22"/>
                <w:vertAlign w:val="superscript"/>
              </w:rPr>
              <w:t>1</w:t>
            </w:r>
          </w:p>
        </w:tc>
        <w:tc>
          <w:tcPr>
            <w:tcW w:w="1250" w:type="pct"/>
            <w:tcBorders>
              <w:bottom w:val="single" w:sz="4" w:space="0" w:color="00338D"/>
            </w:tcBorders>
            <w:shd w:val="clear" w:color="auto" w:fill="00338D"/>
          </w:tcPr>
          <w:p w14:paraId="639FFF63" w14:textId="77777777" w:rsidR="00614E15" w:rsidRDefault="00614E15" w:rsidP="00D15EC1">
            <w:pPr>
              <w:pStyle w:val="Tableheading"/>
              <w:jc w:val="right"/>
            </w:pPr>
            <w:r>
              <w:t>K10 RTM effect</w:t>
            </w:r>
            <w:r>
              <w:br/>
              <w:t>(SE)</w:t>
            </w:r>
          </w:p>
        </w:tc>
        <w:tc>
          <w:tcPr>
            <w:tcW w:w="1250" w:type="pct"/>
            <w:tcBorders>
              <w:bottom w:val="single" w:sz="4" w:space="0" w:color="00338D"/>
            </w:tcBorders>
            <w:shd w:val="clear" w:color="auto" w:fill="00338D"/>
          </w:tcPr>
          <w:p w14:paraId="0C156E3B" w14:textId="77777777" w:rsidR="00614E15" w:rsidRDefault="00614E15" w:rsidP="00D15EC1">
            <w:pPr>
              <w:pStyle w:val="Tableheading"/>
              <w:jc w:val="right"/>
            </w:pPr>
            <w:r>
              <w:t>SOFAS RTM effect</w:t>
            </w:r>
            <w:r>
              <w:br/>
              <w:t>(SE)</w:t>
            </w:r>
          </w:p>
        </w:tc>
        <w:tc>
          <w:tcPr>
            <w:tcW w:w="1250" w:type="pct"/>
            <w:tcBorders>
              <w:bottom w:val="single" w:sz="4" w:space="0" w:color="00338D"/>
            </w:tcBorders>
            <w:shd w:val="clear" w:color="auto" w:fill="00338D"/>
          </w:tcPr>
          <w:p w14:paraId="2D328B2D" w14:textId="77777777" w:rsidR="00614E15" w:rsidRDefault="00614E15" w:rsidP="00D15EC1">
            <w:pPr>
              <w:pStyle w:val="Tableheading"/>
              <w:jc w:val="right"/>
            </w:pPr>
            <w:r>
              <w:t>MLT RTM effect</w:t>
            </w:r>
            <w:r>
              <w:br/>
              <w:t>(SE)</w:t>
            </w:r>
          </w:p>
        </w:tc>
      </w:tr>
      <w:tr w:rsidR="00F403DC" w14:paraId="21A6C42A" w14:textId="77777777" w:rsidTr="00F403DC">
        <w:tc>
          <w:tcPr>
            <w:tcW w:w="1250" w:type="pct"/>
            <w:tcBorders>
              <w:top w:val="single" w:sz="4" w:space="0" w:color="00338D"/>
            </w:tcBorders>
            <w:vAlign w:val="center"/>
          </w:tcPr>
          <w:p w14:paraId="5A2D73D6" w14:textId="77777777" w:rsidR="00F403DC" w:rsidRPr="00E9488D" w:rsidRDefault="00F403DC" w:rsidP="00F403DC">
            <w:pPr>
              <w:pStyle w:val="Tabletext"/>
            </w:pPr>
            <w:r>
              <w:t>First</w:t>
            </w:r>
            <w:r w:rsidRPr="00E0534F">
              <w:t xml:space="preserve"> </w:t>
            </w:r>
          </w:p>
        </w:tc>
        <w:tc>
          <w:tcPr>
            <w:tcW w:w="1250" w:type="pct"/>
            <w:tcBorders>
              <w:top w:val="single" w:sz="4" w:space="0" w:color="00338D"/>
              <w:bottom w:val="single" w:sz="2" w:space="0" w:color="808080" w:themeColor="background1" w:themeShade="80"/>
            </w:tcBorders>
          </w:tcPr>
          <w:p w14:paraId="76326FDA" w14:textId="77777777" w:rsidR="00F403DC" w:rsidRDefault="00F403DC" w:rsidP="00D15EC1">
            <w:pPr>
              <w:pStyle w:val="Tabletext"/>
              <w:jc w:val="right"/>
            </w:pPr>
            <w:r w:rsidRPr="00A477C3">
              <w:t>0.8</w:t>
            </w:r>
            <w:r>
              <w:t>*</w:t>
            </w:r>
          </w:p>
          <w:p w14:paraId="1CC1B3EF" w14:textId="1DF2D527" w:rsidR="001B77D6" w:rsidRDefault="001B77D6" w:rsidP="00D15EC1">
            <w:pPr>
              <w:pStyle w:val="Tabletext"/>
              <w:jc w:val="right"/>
            </w:pPr>
            <w:r>
              <w:t>(0.02)</w:t>
            </w:r>
          </w:p>
        </w:tc>
        <w:tc>
          <w:tcPr>
            <w:tcW w:w="1250" w:type="pct"/>
            <w:tcBorders>
              <w:top w:val="single" w:sz="4" w:space="0" w:color="00338D"/>
              <w:bottom w:val="single" w:sz="2" w:space="0" w:color="808080" w:themeColor="background1" w:themeShade="80"/>
            </w:tcBorders>
          </w:tcPr>
          <w:p w14:paraId="679F256A" w14:textId="77777777" w:rsidR="00F403DC" w:rsidRDefault="00F403DC" w:rsidP="00D15EC1">
            <w:pPr>
              <w:pStyle w:val="Tabletext"/>
              <w:jc w:val="right"/>
            </w:pPr>
            <w:r w:rsidRPr="00A477C3">
              <w:t>6.5</w:t>
            </w:r>
            <w:r>
              <w:t>*</w:t>
            </w:r>
          </w:p>
          <w:p w14:paraId="4E208D79" w14:textId="4D87FDA2" w:rsidR="001B77D6" w:rsidRPr="00D56DDF" w:rsidRDefault="001B77D6" w:rsidP="00D15EC1">
            <w:pPr>
              <w:pStyle w:val="Tabletext"/>
              <w:jc w:val="right"/>
            </w:pPr>
            <w:r>
              <w:t>(0.05)</w:t>
            </w:r>
          </w:p>
        </w:tc>
        <w:tc>
          <w:tcPr>
            <w:tcW w:w="1250" w:type="pct"/>
            <w:tcBorders>
              <w:top w:val="single" w:sz="4" w:space="0" w:color="00338D"/>
              <w:bottom w:val="single" w:sz="2" w:space="0" w:color="808080" w:themeColor="background1" w:themeShade="80"/>
            </w:tcBorders>
          </w:tcPr>
          <w:p w14:paraId="04514D33" w14:textId="77777777" w:rsidR="00F403DC" w:rsidRDefault="00F403DC" w:rsidP="00D15EC1">
            <w:pPr>
              <w:pStyle w:val="Tabletext"/>
              <w:jc w:val="right"/>
            </w:pPr>
            <w:r w:rsidRPr="00A477C3">
              <w:t>6.9</w:t>
            </w:r>
            <w:r>
              <w:t>*</w:t>
            </w:r>
          </w:p>
          <w:p w14:paraId="51E036E5" w14:textId="7509009E" w:rsidR="001B77D6" w:rsidRPr="001B5C98" w:rsidRDefault="001B77D6" w:rsidP="00D15EC1">
            <w:pPr>
              <w:pStyle w:val="Tabletext"/>
              <w:jc w:val="right"/>
            </w:pPr>
            <w:r>
              <w:t>(0.06)</w:t>
            </w:r>
          </w:p>
        </w:tc>
      </w:tr>
      <w:tr w:rsidR="001B77D6" w14:paraId="1B94BDCC" w14:textId="77777777" w:rsidTr="00DE1E51">
        <w:trPr>
          <w:trHeight w:val="647"/>
        </w:trPr>
        <w:tc>
          <w:tcPr>
            <w:tcW w:w="1250" w:type="pct"/>
            <w:tcBorders>
              <w:top w:val="single" w:sz="2" w:space="0" w:color="808080" w:themeColor="background1" w:themeShade="80"/>
            </w:tcBorders>
            <w:vAlign w:val="center"/>
          </w:tcPr>
          <w:p w14:paraId="09565FFE" w14:textId="77777777" w:rsidR="001B77D6" w:rsidRPr="00796DE5" w:rsidRDefault="001B77D6" w:rsidP="00F403DC">
            <w:pPr>
              <w:pStyle w:val="Tabletext"/>
            </w:pPr>
            <w:r>
              <w:t>Second</w:t>
            </w:r>
          </w:p>
        </w:tc>
        <w:tc>
          <w:tcPr>
            <w:tcW w:w="1250" w:type="pct"/>
            <w:tcBorders>
              <w:top w:val="single" w:sz="2" w:space="0" w:color="808080" w:themeColor="background1" w:themeShade="80"/>
            </w:tcBorders>
          </w:tcPr>
          <w:p w14:paraId="6B91B813" w14:textId="77777777" w:rsidR="001B77D6" w:rsidRDefault="001B77D6" w:rsidP="00D15EC1">
            <w:pPr>
              <w:pStyle w:val="Tabletext"/>
              <w:jc w:val="right"/>
            </w:pPr>
            <w:r w:rsidRPr="00A477C3">
              <w:t>-0.3</w:t>
            </w:r>
            <w:r>
              <w:t>*</w:t>
            </w:r>
          </w:p>
          <w:p w14:paraId="51AD3B0F" w14:textId="504F9AB3" w:rsidR="001B77D6" w:rsidRDefault="001B77D6" w:rsidP="00D15EC1">
            <w:pPr>
              <w:pStyle w:val="Tabletext"/>
              <w:jc w:val="right"/>
            </w:pPr>
            <w:r>
              <w:t>(</w:t>
            </w:r>
            <w:r w:rsidRPr="00A477C3">
              <w:t>0.02</w:t>
            </w:r>
            <w:r>
              <w:t>)</w:t>
            </w:r>
          </w:p>
        </w:tc>
        <w:tc>
          <w:tcPr>
            <w:tcW w:w="1250" w:type="pct"/>
            <w:tcBorders>
              <w:top w:val="single" w:sz="2" w:space="0" w:color="808080" w:themeColor="background1" w:themeShade="80"/>
            </w:tcBorders>
          </w:tcPr>
          <w:p w14:paraId="535EE4D9" w14:textId="77777777" w:rsidR="001B77D6" w:rsidRDefault="001B77D6" w:rsidP="00D15EC1">
            <w:pPr>
              <w:pStyle w:val="Tabletext"/>
              <w:jc w:val="right"/>
            </w:pPr>
            <w:r w:rsidRPr="00A477C3">
              <w:t>2.4</w:t>
            </w:r>
            <w:r>
              <w:t>*</w:t>
            </w:r>
          </w:p>
          <w:p w14:paraId="7DBF9998" w14:textId="7A7E4AA5" w:rsidR="001B77D6" w:rsidRDefault="001B77D6" w:rsidP="00D15EC1">
            <w:pPr>
              <w:pStyle w:val="Tabletext"/>
              <w:jc w:val="right"/>
            </w:pPr>
            <w:r>
              <w:t>(</w:t>
            </w:r>
            <w:r w:rsidRPr="00A477C3">
              <w:t>0.04</w:t>
            </w:r>
            <w:r>
              <w:t>)</w:t>
            </w:r>
          </w:p>
        </w:tc>
        <w:tc>
          <w:tcPr>
            <w:tcW w:w="1250" w:type="pct"/>
            <w:tcBorders>
              <w:top w:val="single" w:sz="2" w:space="0" w:color="808080" w:themeColor="background1" w:themeShade="80"/>
            </w:tcBorders>
          </w:tcPr>
          <w:p w14:paraId="621FA92B" w14:textId="77777777" w:rsidR="001B77D6" w:rsidRDefault="001B77D6" w:rsidP="00D15EC1">
            <w:pPr>
              <w:pStyle w:val="Tabletext"/>
              <w:jc w:val="right"/>
            </w:pPr>
            <w:r w:rsidRPr="00A477C3">
              <w:t>4.1</w:t>
            </w:r>
            <w:r>
              <w:t>*</w:t>
            </w:r>
          </w:p>
          <w:p w14:paraId="3A7452AE" w14:textId="73A9D373" w:rsidR="001B77D6" w:rsidRDefault="001B77D6" w:rsidP="00D15EC1">
            <w:pPr>
              <w:pStyle w:val="Tabletext"/>
              <w:jc w:val="right"/>
            </w:pPr>
            <w:r>
              <w:t>(</w:t>
            </w:r>
            <w:r w:rsidRPr="00A477C3">
              <w:t>0.06</w:t>
            </w:r>
            <w:r>
              <w:t>)</w:t>
            </w:r>
          </w:p>
        </w:tc>
      </w:tr>
      <w:tr w:rsidR="001B77D6" w14:paraId="75B5E000" w14:textId="77777777" w:rsidTr="00300795">
        <w:trPr>
          <w:trHeight w:val="647"/>
        </w:trPr>
        <w:tc>
          <w:tcPr>
            <w:tcW w:w="1250" w:type="pct"/>
            <w:tcBorders>
              <w:top w:val="single" w:sz="2" w:space="0" w:color="808080" w:themeColor="background1" w:themeShade="80"/>
            </w:tcBorders>
            <w:vAlign w:val="center"/>
          </w:tcPr>
          <w:p w14:paraId="6D20066A" w14:textId="77777777" w:rsidR="001B77D6" w:rsidRPr="00DD0CA3" w:rsidRDefault="001B77D6" w:rsidP="00F403DC">
            <w:pPr>
              <w:pStyle w:val="Tabletext"/>
            </w:pPr>
            <w:r>
              <w:t>Third</w:t>
            </w:r>
          </w:p>
        </w:tc>
        <w:tc>
          <w:tcPr>
            <w:tcW w:w="1250" w:type="pct"/>
            <w:tcBorders>
              <w:top w:val="single" w:sz="2" w:space="0" w:color="808080" w:themeColor="background1" w:themeShade="80"/>
            </w:tcBorders>
          </w:tcPr>
          <w:p w14:paraId="3D1FF412" w14:textId="77777777" w:rsidR="001B77D6" w:rsidRDefault="001B77D6" w:rsidP="00D15EC1">
            <w:pPr>
              <w:pStyle w:val="Tabletext"/>
              <w:jc w:val="right"/>
            </w:pPr>
            <w:r w:rsidRPr="00A477C3">
              <w:t>-1.1</w:t>
            </w:r>
            <w:r>
              <w:t>*</w:t>
            </w:r>
          </w:p>
          <w:p w14:paraId="00A2FF8E" w14:textId="0DE33720" w:rsidR="001B77D6" w:rsidRDefault="001B77D6" w:rsidP="00D15EC1">
            <w:pPr>
              <w:pStyle w:val="Tabletext"/>
              <w:jc w:val="right"/>
            </w:pPr>
            <w:r>
              <w:t>(</w:t>
            </w:r>
            <w:r w:rsidRPr="00A477C3">
              <w:t>0.02</w:t>
            </w:r>
            <w:r>
              <w:t>)</w:t>
            </w:r>
          </w:p>
        </w:tc>
        <w:tc>
          <w:tcPr>
            <w:tcW w:w="1250" w:type="pct"/>
            <w:tcBorders>
              <w:top w:val="single" w:sz="2" w:space="0" w:color="808080" w:themeColor="background1" w:themeShade="80"/>
            </w:tcBorders>
          </w:tcPr>
          <w:p w14:paraId="1967D1E0" w14:textId="77777777" w:rsidR="001B77D6" w:rsidRDefault="001B77D6" w:rsidP="00D15EC1">
            <w:pPr>
              <w:pStyle w:val="Tabletext"/>
              <w:jc w:val="right"/>
            </w:pPr>
            <w:r w:rsidRPr="00A477C3">
              <w:t>0.3</w:t>
            </w:r>
            <w:r>
              <w:t>*</w:t>
            </w:r>
          </w:p>
          <w:p w14:paraId="0832A58F" w14:textId="3EEB2DCE" w:rsidR="001B77D6" w:rsidRDefault="001B77D6" w:rsidP="00D15EC1">
            <w:pPr>
              <w:pStyle w:val="Tabletext"/>
              <w:jc w:val="right"/>
            </w:pPr>
            <w:r>
              <w:t>(</w:t>
            </w:r>
            <w:r w:rsidRPr="00A477C3">
              <w:t>0.04</w:t>
            </w:r>
            <w:r>
              <w:t>)</w:t>
            </w:r>
          </w:p>
        </w:tc>
        <w:tc>
          <w:tcPr>
            <w:tcW w:w="1250" w:type="pct"/>
            <w:tcBorders>
              <w:top w:val="single" w:sz="2" w:space="0" w:color="808080" w:themeColor="background1" w:themeShade="80"/>
            </w:tcBorders>
          </w:tcPr>
          <w:p w14:paraId="2613D6CA" w14:textId="77777777" w:rsidR="001B77D6" w:rsidRDefault="001B77D6" w:rsidP="00D15EC1">
            <w:pPr>
              <w:pStyle w:val="Tabletext"/>
              <w:jc w:val="right"/>
            </w:pPr>
            <w:r w:rsidRPr="00A477C3">
              <w:t>2.3</w:t>
            </w:r>
            <w:r>
              <w:t>*</w:t>
            </w:r>
          </w:p>
          <w:p w14:paraId="1A06108E" w14:textId="6223D02F" w:rsidR="001B77D6" w:rsidRDefault="001B77D6" w:rsidP="00D15EC1">
            <w:pPr>
              <w:pStyle w:val="Tabletext"/>
              <w:jc w:val="right"/>
            </w:pPr>
            <w:r>
              <w:t>(</w:t>
            </w:r>
            <w:r w:rsidRPr="00A477C3">
              <w:t>0.06</w:t>
            </w:r>
            <w:r>
              <w:t>)</w:t>
            </w:r>
          </w:p>
        </w:tc>
      </w:tr>
      <w:tr w:rsidR="00213580" w14:paraId="0E31E485" w14:textId="77777777" w:rsidTr="009452EC">
        <w:trPr>
          <w:trHeight w:val="647"/>
        </w:trPr>
        <w:tc>
          <w:tcPr>
            <w:tcW w:w="1250" w:type="pct"/>
            <w:tcBorders>
              <w:top w:val="single" w:sz="2" w:space="0" w:color="808080" w:themeColor="background1" w:themeShade="80"/>
            </w:tcBorders>
            <w:vAlign w:val="center"/>
          </w:tcPr>
          <w:p w14:paraId="035913AB" w14:textId="77777777" w:rsidR="00213580" w:rsidRPr="005A529C" w:rsidRDefault="00213580" w:rsidP="00F403DC">
            <w:pPr>
              <w:pStyle w:val="Tabletext"/>
            </w:pPr>
            <w:r>
              <w:t>Fourth</w:t>
            </w:r>
            <w:r w:rsidRPr="00E0534F">
              <w:t xml:space="preserve"> </w:t>
            </w:r>
          </w:p>
        </w:tc>
        <w:tc>
          <w:tcPr>
            <w:tcW w:w="1250" w:type="pct"/>
            <w:tcBorders>
              <w:top w:val="single" w:sz="2" w:space="0" w:color="808080" w:themeColor="background1" w:themeShade="80"/>
            </w:tcBorders>
          </w:tcPr>
          <w:p w14:paraId="5BE82BD6" w14:textId="77777777" w:rsidR="00213580" w:rsidRDefault="00213580" w:rsidP="00D15EC1">
            <w:pPr>
              <w:pStyle w:val="Tabletext"/>
              <w:jc w:val="right"/>
            </w:pPr>
            <w:r w:rsidRPr="00A477C3">
              <w:t>-1.8</w:t>
            </w:r>
            <w:r>
              <w:t>*</w:t>
            </w:r>
          </w:p>
          <w:p w14:paraId="0B54332F" w14:textId="74E687CE" w:rsidR="00213580" w:rsidRDefault="00213580" w:rsidP="00D15EC1">
            <w:pPr>
              <w:pStyle w:val="Tabletext"/>
              <w:jc w:val="right"/>
            </w:pPr>
            <w:r>
              <w:t>(</w:t>
            </w:r>
            <w:r w:rsidRPr="00A477C3">
              <w:t>0.02</w:t>
            </w:r>
            <w:r>
              <w:t>)</w:t>
            </w:r>
          </w:p>
        </w:tc>
        <w:tc>
          <w:tcPr>
            <w:tcW w:w="1250" w:type="pct"/>
            <w:tcBorders>
              <w:top w:val="single" w:sz="2" w:space="0" w:color="808080" w:themeColor="background1" w:themeShade="80"/>
            </w:tcBorders>
          </w:tcPr>
          <w:p w14:paraId="76E34946" w14:textId="77777777" w:rsidR="00213580" w:rsidRDefault="00213580" w:rsidP="00D15EC1">
            <w:pPr>
              <w:pStyle w:val="Tabletext"/>
              <w:jc w:val="right"/>
            </w:pPr>
            <w:r w:rsidRPr="00A477C3">
              <w:t>-2.1</w:t>
            </w:r>
            <w:r>
              <w:t>*</w:t>
            </w:r>
          </w:p>
          <w:p w14:paraId="383C3E0F" w14:textId="087EE7A9" w:rsidR="00213580" w:rsidRDefault="00213580" w:rsidP="00D15EC1">
            <w:pPr>
              <w:pStyle w:val="Tabletext"/>
              <w:jc w:val="right"/>
            </w:pPr>
            <w:r>
              <w:t>(</w:t>
            </w:r>
            <w:r w:rsidRPr="00A477C3">
              <w:t>0.04</w:t>
            </w:r>
            <w:r>
              <w:t>)</w:t>
            </w:r>
          </w:p>
        </w:tc>
        <w:tc>
          <w:tcPr>
            <w:tcW w:w="1250" w:type="pct"/>
            <w:tcBorders>
              <w:top w:val="single" w:sz="2" w:space="0" w:color="808080" w:themeColor="background1" w:themeShade="80"/>
            </w:tcBorders>
          </w:tcPr>
          <w:p w14:paraId="2A4622F3" w14:textId="77777777" w:rsidR="00213580" w:rsidRDefault="00213580" w:rsidP="00D15EC1">
            <w:pPr>
              <w:pStyle w:val="Tabletext"/>
              <w:keepNext/>
              <w:jc w:val="right"/>
            </w:pPr>
            <w:r w:rsidRPr="00A477C3">
              <w:t>0.5</w:t>
            </w:r>
            <w:r>
              <w:t>*</w:t>
            </w:r>
          </w:p>
          <w:p w14:paraId="7A2590D3" w14:textId="5FB79CEA" w:rsidR="00213580" w:rsidRDefault="00213580" w:rsidP="00D15EC1">
            <w:pPr>
              <w:pStyle w:val="Tabletext"/>
              <w:keepNext/>
              <w:jc w:val="right"/>
            </w:pPr>
            <w:r>
              <w:t>(</w:t>
            </w:r>
            <w:r w:rsidRPr="00A477C3">
              <w:t>0.06</w:t>
            </w:r>
            <w:r>
              <w:t>)</w:t>
            </w:r>
          </w:p>
        </w:tc>
      </w:tr>
      <w:tr w:rsidR="00213580" w14:paraId="7613B507" w14:textId="77777777" w:rsidTr="00D87857">
        <w:trPr>
          <w:trHeight w:val="647"/>
        </w:trPr>
        <w:tc>
          <w:tcPr>
            <w:tcW w:w="1250" w:type="pct"/>
            <w:tcBorders>
              <w:top w:val="single" w:sz="2" w:space="0" w:color="808080" w:themeColor="background1" w:themeShade="80"/>
            </w:tcBorders>
            <w:vAlign w:val="center"/>
          </w:tcPr>
          <w:p w14:paraId="2BC2F93A" w14:textId="77777777" w:rsidR="00213580" w:rsidRPr="00E0534F" w:rsidRDefault="00213580" w:rsidP="00F403DC">
            <w:pPr>
              <w:pStyle w:val="Tabletext"/>
            </w:pPr>
            <w:r>
              <w:t>Fifth</w:t>
            </w:r>
          </w:p>
        </w:tc>
        <w:tc>
          <w:tcPr>
            <w:tcW w:w="1250" w:type="pct"/>
            <w:tcBorders>
              <w:top w:val="single" w:sz="2" w:space="0" w:color="808080" w:themeColor="background1" w:themeShade="80"/>
            </w:tcBorders>
          </w:tcPr>
          <w:p w14:paraId="430F9D53" w14:textId="77777777" w:rsidR="00213580" w:rsidRDefault="00213580" w:rsidP="00D15EC1">
            <w:pPr>
              <w:pStyle w:val="Tabletext"/>
              <w:jc w:val="right"/>
            </w:pPr>
            <w:r w:rsidRPr="00A477C3">
              <w:t>-2.9</w:t>
            </w:r>
            <w:r>
              <w:t>*</w:t>
            </w:r>
          </w:p>
          <w:p w14:paraId="71DFE322" w14:textId="49135D08" w:rsidR="00213580" w:rsidRDefault="00213580" w:rsidP="00D15EC1">
            <w:pPr>
              <w:pStyle w:val="Tabletext"/>
              <w:jc w:val="right"/>
            </w:pPr>
            <w:r>
              <w:t>(</w:t>
            </w:r>
            <w:r w:rsidRPr="00A477C3">
              <w:t>0.03</w:t>
            </w:r>
            <w:r>
              <w:t>)</w:t>
            </w:r>
          </w:p>
        </w:tc>
        <w:tc>
          <w:tcPr>
            <w:tcW w:w="1250" w:type="pct"/>
            <w:tcBorders>
              <w:top w:val="single" w:sz="2" w:space="0" w:color="808080" w:themeColor="background1" w:themeShade="80"/>
            </w:tcBorders>
          </w:tcPr>
          <w:p w14:paraId="3D976E7E" w14:textId="77777777" w:rsidR="00213580" w:rsidRDefault="00213580" w:rsidP="00D15EC1">
            <w:pPr>
              <w:pStyle w:val="Tabletext"/>
              <w:jc w:val="right"/>
            </w:pPr>
            <w:r w:rsidRPr="00A477C3">
              <w:t>-6.1</w:t>
            </w:r>
            <w:r>
              <w:t>*</w:t>
            </w:r>
          </w:p>
          <w:p w14:paraId="351990FA" w14:textId="75769A88" w:rsidR="00213580" w:rsidRDefault="00213580" w:rsidP="00D15EC1">
            <w:pPr>
              <w:pStyle w:val="Tabletext"/>
              <w:jc w:val="right"/>
            </w:pPr>
            <w:r>
              <w:t>(</w:t>
            </w:r>
            <w:r w:rsidRPr="00A477C3">
              <w:t>0.06</w:t>
            </w:r>
            <w:r>
              <w:t>)</w:t>
            </w:r>
          </w:p>
        </w:tc>
        <w:tc>
          <w:tcPr>
            <w:tcW w:w="1250" w:type="pct"/>
            <w:tcBorders>
              <w:top w:val="single" w:sz="2" w:space="0" w:color="808080" w:themeColor="background1" w:themeShade="80"/>
            </w:tcBorders>
          </w:tcPr>
          <w:p w14:paraId="58D0F3D6" w14:textId="77777777" w:rsidR="00213580" w:rsidRDefault="00213580" w:rsidP="00D15EC1">
            <w:pPr>
              <w:pStyle w:val="Tabletext"/>
              <w:jc w:val="right"/>
            </w:pPr>
            <w:r w:rsidRPr="00A477C3">
              <w:t>-2.6</w:t>
            </w:r>
            <w:r>
              <w:t>*</w:t>
            </w:r>
          </w:p>
          <w:p w14:paraId="30DBA9F4" w14:textId="63274A68" w:rsidR="00213580" w:rsidRDefault="00213580" w:rsidP="00D15EC1">
            <w:pPr>
              <w:pStyle w:val="Tabletext"/>
              <w:jc w:val="right"/>
            </w:pPr>
            <w:r>
              <w:t>(</w:t>
            </w:r>
            <w:r w:rsidRPr="00A477C3">
              <w:t>0.06</w:t>
            </w:r>
            <w:r>
              <w:t>)</w:t>
            </w:r>
          </w:p>
        </w:tc>
      </w:tr>
    </w:tbl>
    <w:p w14:paraId="6D8D6C61" w14:textId="0614FF27" w:rsidR="00614E15" w:rsidRPr="00C92A4F" w:rsidRDefault="00614E15" w:rsidP="00614E15">
      <w:pPr>
        <w:pStyle w:val="Source"/>
        <w:rPr>
          <w:szCs w:val="16"/>
        </w:rPr>
      </w:pPr>
      <w:r>
        <w:t xml:space="preserve">Source: </w:t>
      </w:r>
      <w:r w:rsidRPr="00F10793">
        <w:t xml:space="preserve">KPMG analysis of the </w:t>
      </w:r>
      <w:r w:rsidR="003E2C1A">
        <w:t xml:space="preserve">hMDS </w:t>
      </w:r>
      <w:r>
        <w:t>w</w:t>
      </w:r>
      <w:r w:rsidRPr="00C92A4F">
        <w:rPr>
          <w:szCs w:val="16"/>
        </w:rPr>
        <w:t>ith closed episodes created between 2015-16 to 2019-20</w:t>
      </w:r>
    </w:p>
    <w:p w14:paraId="6583AFC9" w14:textId="4EF4E935" w:rsidR="00614E15" w:rsidRPr="00BF3855" w:rsidRDefault="00614E15" w:rsidP="00614E15">
      <w:pPr>
        <w:pStyle w:val="Source"/>
      </w:pPr>
      <w:r w:rsidRPr="00C92A4F">
        <w:t xml:space="preserve">Notes: </w:t>
      </w:r>
      <w:r w:rsidRPr="00E83942">
        <w:t xml:space="preserve">* Signification at 5 </w:t>
      </w:r>
      <w:r>
        <w:t>per cent</w:t>
      </w:r>
      <w:r w:rsidRPr="002033D8">
        <w:t>.</w:t>
      </w:r>
      <w:r>
        <w:t xml:space="preserve"> T</w:t>
      </w:r>
      <w:r w:rsidRPr="00F76264">
        <w:t xml:space="preserve">he sample also must have a minimum of two </w:t>
      </w:r>
      <w:r w:rsidR="007B2863">
        <w:t>OOS</w:t>
      </w:r>
      <w:r w:rsidRPr="00F76264">
        <w:t xml:space="preserve"> in order to estimate the RTM effects for the K10, SOFAS, and MLT measures. Further, the sample must include an intake measure, a measure observed during their second occasion of service, and a final measurement by the end of the episode of care. Th</w:t>
      </w:r>
      <w:r w:rsidR="009556F2">
        <w:t>ere are</w:t>
      </w:r>
      <w:r w:rsidRPr="00F76264">
        <w:t xml:space="preserve"> 215,578 episodes to estimate the K10 RTM effects, 220,964 episodes to estimate the SOFAS RTM effects, and 215,264 episodes to estimate the MLT RTM effects.</w:t>
      </w:r>
      <w:r>
        <w:t xml:space="preserve"> </w:t>
      </w:r>
      <w:r w:rsidRPr="00433062">
        <w:t>RTM: Regression to the mean</w:t>
      </w:r>
      <w:r>
        <w:t>. SE: Standard errors.</w:t>
      </w:r>
    </w:p>
    <w:p w14:paraId="5E0D76DC" w14:textId="77777777" w:rsidR="002A6A78" w:rsidRPr="008C236D" w:rsidRDefault="002A6A78" w:rsidP="007F7999">
      <w:pPr>
        <w:pStyle w:val="Heading4"/>
      </w:pPr>
      <w:r>
        <w:t>Average improvement in accessing headspace</w:t>
      </w:r>
    </w:p>
    <w:p w14:paraId="4595B588" w14:textId="460E2619" w:rsidR="002A6A78" w:rsidRPr="001E1EB4" w:rsidRDefault="00072CB6" w:rsidP="002A6A78">
      <w:pPr>
        <w:pStyle w:val="BodyText"/>
      </w:pPr>
      <w:r>
        <w:rPr>
          <w:i/>
          <w:iCs/>
        </w:rPr>
        <w:fldChar w:fldCharType="begin" w:fldLock="1"/>
      </w:r>
      <w:r>
        <w:instrText xml:space="preserve"> REF _Ref97749459 \h </w:instrText>
      </w:r>
      <w:r>
        <w:rPr>
          <w:i/>
          <w:iCs/>
        </w:rPr>
      </w:r>
      <w:r>
        <w:rPr>
          <w:i/>
          <w:iCs/>
        </w:rPr>
        <w:fldChar w:fldCharType="separate"/>
      </w:r>
      <w:r w:rsidR="0084350B">
        <w:t xml:space="preserve">Table </w:t>
      </w:r>
      <w:r w:rsidR="0084350B">
        <w:rPr>
          <w:noProof/>
        </w:rPr>
        <w:t>61</w:t>
      </w:r>
      <w:r>
        <w:rPr>
          <w:i/>
          <w:iCs/>
        </w:rPr>
        <w:fldChar w:fldCharType="end"/>
      </w:r>
      <w:r w:rsidR="002A6A78">
        <w:rPr>
          <w:i/>
          <w:iCs/>
        </w:rPr>
        <w:t xml:space="preserve"> </w:t>
      </w:r>
      <w:r w:rsidR="002A6A78">
        <w:t xml:space="preserve">summarises the average changes in the K10 outcome measures by the number of </w:t>
      </w:r>
      <w:r w:rsidR="007B2863">
        <w:t>OOS</w:t>
      </w:r>
      <w:r w:rsidR="002A6A78" w:rsidDel="00D95A7A">
        <w:t xml:space="preserve"> </w:t>
      </w:r>
      <w:r w:rsidR="002A6A78">
        <w:t xml:space="preserve">as observed, and after adjusting for RTM. Improvements in outcomes increased with the number of </w:t>
      </w:r>
      <w:r w:rsidR="007B2863">
        <w:t>OOS</w:t>
      </w:r>
      <w:r w:rsidR="002A6A78">
        <w:t>, even after adjusted for RTM.</w:t>
      </w:r>
    </w:p>
    <w:p w14:paraId="01F7CF3C" w14:textId="37E178CD" w:rsidR="009E0B78" w:rsidRDefault="00196E8E" w:rsidP="009E0B78">
      <w:pPr>
        <w:pStyle w:val="BodyText"/>
      </w:pPr>
      <w:r>
        <w:t xml:space="preserve">Two </w:t>
      </w:r>
      <w:r w:rsidR="002A6A78">
        <w:t>meta analys</w:t>
      </w:r>
      <w:r>
        <w:t>e</w:t>
      </w:r>
      <w:r w:rsidR="002A6A78">
        <w:t>s suggest</w:t>
      </w:r>
      <w:r>
        <w:t>ed</w:t>
      </w:r>
      <w:r w:rsidR="002A6A78">
        <w:t xml:space="preserve"> that the average treatment effect after eight to </w:t>
      </w:r>
      <w:r w:rsidR="00A13BF9">
        <w:t>twelve</w:t>
      </w:r>
      <w:r w:rsidR="002A6A78">
        <w:t xml:space="preserve"> psychotherapy sessions is a K10 improvement of around three, which is similar to what is achieved by young people accessing headspace (see </w:t>
      </w:r>
      <w:r w:rsidR="00072CB6">
        <w:rPr>
          <w:i/>
          <w:iCs/>
        </w:rPr>
        <w:fldChar w:fldCharType="begin" w:fldLock="1"/>
      </w:r>
      <w:r w:rsidR="00072CB6">
        <w:instrText xml:space="preserve"> REF _Ref97749459 \h </w:instrText>
      </w:r>
      <w:r w:rsidR="00072CB6">
        <w:rPr>
          <w:i/>
          <w:iCs/>
        </w:rPr>
      </w:r>
      <w:r w:rsidR="00072CB6">
        <w:rPr>
          <w:i/>
          <w:iCs/>
        </w:rPr>
        <w:fldChar w:fldCharType="separate"/>
      </w:r>
      <w:r w:rsidR="0084350B">
        <w:t xml:space="preserve">Table </w:t>
      </w:r>
      <w:r w:rsidR="0084350B">
        <w:rPr>
          <w:noProof/>
        </w:rPr>
        <w:t>61</w:t>
      </w:r>
      <w:r w:rsidR="00072CB6">
        <w:rPr>
          <w:i/>
          <w:iCs/>
        </w:rPr>
        <w:fldChar w:fldCharType="end"/>
      </w:r>
      <w:r w:rsidR="002A6A78" w:rsidRPr="00CA2D65">
        <w:t>)</w:t>
      </w:r>
      <w:r w:rsidR="002772CF">
        <w:t>.</w:t>
      </w:r>
      <w:r w:rsidR="00CC0438">
        <w:rPr>
          <w:rFonts w:ascii="ZWAdobeF" w:hAnsi="ZWAdobeF" w:cs="ZWAdobeF"/>
          <w:sz w:val="2"/>
          <w:szCs w:val="2"/>
        </w:rPr>
        <w:t>212F</w:t>
      </w:r>
      <w:r w:rsidR="002A6A78">
        <w:rPr>
          <w:rStyle w:val="FootnoteReference"/>
        </w:rPr>
        <w:footnoteReference w:id="214"/>
      </w:r>
      <w:r w:rsidR="006B2574">
        <w:t xml:space="preserve"> </w:t>
      </w:r>
      <w:r w:rsidR="00FD1128">
        <w:t xml:space="preserve">The meta analysis reported a </w:t>
      </w:r>
      <w:r w:rsidR="001B0305">
        <w:t>standardised mean difference</w:t>
      </w:r>
      <w:r w:rsidR="000E796A">
        <w:t xml:space="preserve"> (SMD) of </w:t>
      </w:r>
      <w:r w:rsidR="004C0665">
        <w:t>0.37</w:t>
      </w:r>
      <w:r w:rsidR="00C561FE">
        <w:t xml:space="preserve"> for using psychotherapy.</w:t>
      </w:r>
      <w:r w:rsidR="009E0B78">
        <w:t xml:space="preserve"> The SMD can be rescaled into the K10 by multiplying the SMD with the standard deviation of individuals seeking psychological treatment</w:t>
      </w:r>
      <w:r w:rsidR="00CC0438">
        <w:rPr>
          <w:rFonts w:ascii="ZWAdobeF" w:hAnsi="ZWAdobeF" w:cs="ZWAdobeF"/>
          <w:sz w:val="2"/>
          <w:szCs w:val="2"/>
        </w:rPr>
        <w:t>213F</w:t>
      </w:r>
      <w:r w:rsidR="00DC4DA1" w:rsidRPr="005A0144">
        <w:rPr>
          <w:rStyle w:val="FootnoteReference"/>
        </w:rPr>
        <w:footnoteReference w:id="215"/>
      </w:r>
      <w:r w:rsidR="007A7801">
        <w:t>.</w:t>
      </w:r>
      <w:r w:rsidR="00DC4DA1" w:rsidRPr="005A0144">
        <w:t xml:space="preserve"> </w:t>
      </w:r>
      <w:r w:rsidR="009E0B78">
        <w:t>This estimate can be cited from a representative observation study such as the one conducted by NovoPsych</w:t>
      </w:r>
      <w:r w:rsidR="00CC0438">
        <w:rPr>
          <w:rFonts w:ascii="ZWAdobeF" w:hAnsi="ZWAdobeF" w:cs="ZWAdobeF"/>
          <w:sz w:val="2"/>
          <w:szCs w:val="2"/>
        </w:rPr>
        <w:t>214F</w:t>
      </w:r>
      <w:r w:rsidR="00D90B28" w:rsidRPr="005A0144">
        <w:rPr>
          <w:rStyle w:val="FootnoteReference"/>
        </w:rPr>
        <w:footnoteReference w:id="216"/>
      </w:r>
      <w:r w:rsidR="007A7801">
        <w:t>.</w:t>
      </w:r>
      <w:r w:rsidR="00E81608">
        <w:t xml:space="preserve"> NovoPsych reported that the standard deviation of</w:t>
      </w:r>
      <w:r w:rsidR="000A6D0A">
        <w:t xml:space="preserve"> </w:t>
      </w:r>
      <w:r w:rsidR="00CE3474">
        <w:t xml:space="preserve">the </w:t>
      </w:r>
      <w:r w:rsidR="00546509">
        <w:t>K10 score for someone seeking psychological treatment in Australia is 9.1</w:t>
      </w:r>
      <w:r w:rsidR="00DC4DA1">
        <w:t xml:space="preserve">. Thus, the change in K10 is calculated as </w:t>
      </w:r>
      <w:r w:rsidR="00D33049">
        <w:t>3.</w:t>
      </w:r>
      <w:r w:rsidR="00753A86">
        <w:t>37.</w:t>
      </w:r>
      <w:r w:rsidR="0080603D">
        <w:t xml:space="preserve"> </w:t>
      </w:r>
    </w:p>
    <w:p w14:paraId="17C95D90" w14:textId="2978E399" w:rsidR="002A6A78" w:rsidRDefault="002A6A78" w:rsidP="002A6A78">
      <w:pPr>
        <w:pStyle w:val="Caption"/>
      </w:pPr>
      <w:bookmarkStart w:id="300" w:name="_Ref97749459"/>
      <w:bookmarkStart w:id="301" w:name="_Toc108109011"/>
      <w:r>
        <w:t xml:space="preserve">Table </w:t>
      </w:r>
      <w:r>
        <w:fldChar w:fldCharType="begin"/>
      </w:r>
      <w:r>
        <w:instrText>SEQ Table \* ARABIC</w:instrText>
      </w:r>
      <w:r>
        <w:fldChar w:fldCharType="separate"/>
      </w:r>
      <w:r w:rsidR="00CC0438">
        <w:rPr>
          <w:noProof/>
        </w:rPr>
        <w:t>61</w:t>
      </w:r>
      <w:r>
        <w:fldChar w:fldCharType="end"/>
      </w:r>
      <w:bookmarkEnd w:id="300"/>
      <w:r>
        <w:t>: Average intake, final and change in K10 measurements in young people accessing headspace</w:t>
      </w:r>
      <w:bookmarkEnd w:id="30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verage intake, final and change in K10 measurement in young people accessing headspace"/>
        <w:tblDescription w:val="Table has 6 columns summarising changes in K10 outcome measurements for young people. Column 1 lists the number of occasions of service received in the episode of care. Column 2 indicates the number of episodes of care with the corresponding number of occasions of service. Column 3 summarises the average score on intake. Column 4 summarises the average final measurement. Column 5 summarises the average improvement observed in young people. Column 6 summarises the average improvement, with regression to the mean applied. &#10;Each result also has the standard deviation presented in brackets.&#10;"/>
      </w:tblPr>
      <w:tblGrid>
        <w:gridCol w:w="1820"/>
        <w:gridCol w:w="946"/>
        <w:gridCol w:w="1574"/>
        <w:gridCol w:w="1488"/>
        <w:gridCol w:w="1754"/>
        <w:gridCol w:w="1488"/>
      </w:tblGrid>
      <w:tr w:rsidR="002A6A78" w:rsidRPr="00D65A2D" w14:paraId="78DB436D" w14:textId="77777777" w:rsidTr="00F27C38">
        <w:tc>
          <w:tcPr>
            <w:tcW w:w="1014" w:type="pct"/>
            <w:tcBorders>
              <w:bottom w:val="single" w:sz="4" w:space="0" w:color="00338D"/>
            </w:tcBorders>
            <w:shd w:val="clear" w:color="auto" w:fill="00338D"/>
          </w:tcPr>
          <w:p w14:paraId="23172206" w14:textId="77777777" w:rsidR="002A6A78" w:rsidRDefault="002A6A78" w:rsidP="00F27C38">
            <w:pPr>
              <w:pStyle w:val="Tableheading"/>
            </w:pPr>
            <w:r>
              <w:t>Occasions of service per episode</w:t>
            </w:r>
          </w:p>
        </w:tc>
        <w:tc>
          <w:tcPr>
            <w:tcW w:w="470" w:type="pct"/>
            <w:tcBorders>
              <w:bottom w:val="single" w:sz="4" w:space="0" w:color="00338D"/>
            </w:tcBorders>
            <w:shd w:val="clear" w:color="auto" w:fill="00338D"/>
          </w:tcPr>
          <w:p w14:paraId="4981094F" w14:textId="77777777" w:rsidR="002A6A78" w:rsidRDefault="002A6A78" w:rsidP="00F27C38">
            <w:pPr>
              <w:pStyle w:val="Tableheading"/>
              <w:jc w:val="center"/>
            </w:pPr>
            <w:r>
              <w:t>Episodes</w:t>
            </w:r>
          </w:p>
        </w:tc>
        <w:tc>
          <w:tcPr>
            <w:tcW w:w="878" w:type="pct"/>
            <w:tcBorders>
              <w:bottom w:val="single" w:sz="4" w:space="0" w:color="00338D"/>
            </w:tcBorders>
            <w:shd w:val="clear" w:color="auto" w:fill="00338D"/>
          </w:tcPr>
          <w:p w14:paraId="764F0053" w14:textId="77777777" w:rsidR="002A6A78" w:rsidRDefault="002A6A78" w:rsidP="00F27C38">
            <w:pPr>
              <w:pStyle w:val="Tableheading"/>
              <w:jc w:val="center"/>
            </w:pPr>
            <w:r>
              <w:t>Average intake measure (SD)</w:t>
            </w:r>
          </w:p>
        </w:tc>
        <w:tc>
          <w:tcPr>
            <w:tcW w:w="830" w:type="pct"/>
            <w:tcBorders>
              <w:bottom w:val="single" w:sz="4" w:space="0" w:color="00338D"/>
            </w:tcBorders>
            <w:shd w:val="clear" w:color="auto" w:fill="00338D"/>
          </w:tcPr>
          <w:p w14:paraId="4FCC6E2E" w14:textId="77777777" w:rsidR="002A6A78" w:rsidRPr="00D65A2D" w:rsidRDefault="002A6A78" w:rsidP="00F27C38">
            <w:pPr>
              <w:pStyle w:val="Tableheading"/>
              <w:jc w:val="center"/>
            </w:pPr>
            <w:r>
              <w:t>Average final measure (SD)</w:t>
            </w:r>
          </w:p>
        </w:tc>
        <w:tc>
          <w:tcPr>
            <w:tcW w:w="977" w:type="pct"/>
            <w:tcBorders>
              <w:bottom w:val="single" w:sz="4" w:space="0" w:color="00338D"/>
            </w:tcBorders>
            <w:shd w:val="clear" w:color="auto" w:fill="00338D"/>
          </w:tcPr>
          <w:p w14:paraId="70ABC8A1" w14:textId="77777777" w:rsidR="002A6A78" w:rsidRDefault="002A6A78" w:rsidP="00F27C38">
            <w:pPr>
              <w:pStyle w:val="Tableheading"/>
              <w:jc w:val="center"/>
            </w:pPr>
            <w:r>
              <w:t>Average improvement – observed (SD)</w:t>
            </w:r>
          </w:p>
        </w:tc>
        <w:tc>
          <w:tcPr>
            <w:tcW w:w="830" w:type="pct"/>
            <w:tcBorders>
              <w:bottom w:val="single" w:sz="4" w:space="0" w:color="00338D"/>
            </w:tcBorders>
            <w:shd w:val="clear" w:color="auto" w:fill="00338D"/>
          </w:tcPr>
          <w:p w14:paraId="093CB43D" w14:textId="77777777" w:rsidR="002A6A78" w:rsidRDefault="002A6A78" w:rsidP="00F27C38">
            <w:pPr>
              <w:pStyle w:val="Tableheading"/>
              <w:jc w:val="center"/>
            </w:pPr>
            <w:r>
              <w:t xml:space="preserve">Average improvement – RTM adjusted (SD) </w:t>
            </w:r>
          </w:p>
        </w:tc>
      </w:tr>
      <w:tr w:rsidR="002A6A78" w14:paraId="3ECEA938" w14:textId="77777777" w:rsidTr="00F27C38">
        <w:tc>
          <w:tcPr>
            <w:tcW w:w="1014" w:type="pct"/>
            <w:tcBorders>
              <w:top w:val="single" w:sz="4" w:space="0" w:color="00338D"/>
              <w:bottom w:val="single" w:sz="4" w:space="0" w:color="00338D"/>
            </w:tcBorders>
            <w:vAlign w:val="center"/>
          </w:tcPr>
          <w:p w14:paraId="0EB6A071" w14:textId="77777777" w:rsidR="002A6A78" w:rsidRDefault="002A6A78" w:rsidP="00F27C38">
            <w:pPr>
              <w:pStyle w:val="Tabletext"/>
            </w:pPr>
            <w:r>
              <w:t>1</w:t>
            </w:r>
          </w:p>
        </w:tc>
        <w:tc>
          <w:tcPr>
            <w:tcW w:w="470" w:type="pct"/>
            <w:tcBorders>
              <w:top w:val="single" w:sz="4" w:space="0" w:color="00338D"/>
              <w:bottom w:val="single" w:sz="4" w:space="0" w:color="00338D"/>
            </w:tcBorders>
            <w:vAlign w:val="center"/>
          </w:tcPr>
          <w:p w14:paraId="0F35BBA3" w14:textId="6646C99A" w:rsidR="002A6A78" w:rsidRPr="0045336F" w:rsidDel="00E74A70" w:rsidRDefault="002A6A78" w:rsidP="00F27C38">
            <w:pPr>
              <w:pStyle w:val="Tabletext"/>
              <w:jc w:val="center"/>
            </w:pPr>
            <w:r w:rsidRPr="00FC3B70">
              <w:t>11</w:t>
            </w:r>
            <w:r>
              <w:t>,</w:t>
            </w:r>
            <w:r w:rsidRPr="00FC3B70">
              <w:t>7</w:t>
            </w:r>
            <w:r w:rsidR="00435A98">
              <w:t>76</w:t>
            </w:r>
          </w:p>
        </w:tc>
        <w:tc>
          <w:tcPr>
            <w:tcW w:w="878" w:type="pct"/>
            <w:tcBorders>
              <w:top w:val="single" w:sz="4" w:space="0" w:color="00338D"/>
              <w:bottom w:val="single" w:sz="4" w:space="0" w:color="00338D"/>
            </w:tcBorders>
            <w:vAlign w:val="center"/>
          </w:tcPr>
          <w:p w14:paraId="1B6C129E" w14:textId="77777777" w:rsidR="002A6A78" w:rsidRDefault="002A6A78" w:rsidP="00F27C38">
            <w:pPr>
              <w:pStyle w:val="Tabletext"/>
              <w:jc w:val="center"/>
            </w:pPr>
            <w:r w:rsidRPr="00595D34">
              <w:t>29.4</w:t>
            </w:r>
          </w:p>
          <w:p w14:paraId="1C12E5EE" w14:textId="77777777" w:rsidR="002A6A78" w:rsidRPr="0045336F" w:rsidDel="00E74A70" w:rsidRDefault="002A6A78" w:rsidP="00F27C38">
            <w:pPr>
              <w:pStyle w:val="Tabletext"/>
              <w:jc w:val="center"/>
            </w:pPr>
            <w:r>
              <w:t>(</w:t>
            </w:r>
            <w:r w:rsidRPr="00F24D5F">
              <w:t>8.6</w:t>
            </w:r>
            <w:r>
              <w:t>)</w:t>
            </w:r>
          </w:p>
        </w:tc>
        <w:tc>
          <w:tcPr>
            <w:tcW w:w="830" w:type="pct"/>
            <w:tcBorders>
              <w:top w:val="single" w:sz="4" w:space="0" w:color="00338D"/>
              <w:bottom w:val="single" w:sz="4" w:space="0" w:color="00338D"/>
            </w:tcBorders>
            <w:shd w:val="clear" w:color="auto" w:fill="D9D9D9" w:themeFill="background1" w:themeFillShade="D9"/>
            <w:vAlign w:val="center"/>
          </w:tcPr>
          <w:p w14:paraId="1C0BAD96" w14:textId="77777777" w:rsidR="002A6A78" w:rsidRPr="005044A7" w:rsidRDefault="002A6A78" w:rsidP="00F27C38">
            <w:pPr>
              <w:pStyle w:val="Tabletext"/>
              <w:jc w:val="center"/>
            </w:pPr>
          </w:p>
        </w:tc>
        <w:tc>
          <w:tcPr>
            <w:tcW w:w="977" w:type="pct"/>
            <w:tcBorders>
              <w:top w:val="single" w:sz="4" w:space="0" w:color="00338D"/>
              <w:bottom w:val="single" w:sz="4" w:space="0" w:color="00338D"/>
            </w:tcBorders>
            <w:shd w:val="clear" w:color="auto" w:fill="D9D9D9" w:themeFill="background1" w:themeFillShade="D9"/>
            <w:vAlign w:val="center"/>
          </w:tcPr>
          <w:p w14:paraId="070F09F8" w14:textId="77777777" w:rsidR="002A6A78" w:rsidRDefault="002A6A78" w:rsidP="00F27C38">
            <w:pPr>
              <w:pStyle w:val="Tabletext"/>
              <w:jc w:val="center"/>
            </w:pPr>
          </w:p>
        </w:tc>
        <w:tc>
          <w:tcPr>
            <w:tcW w:w="830" w:type="pct"/>
            <w:tcBorders>
              <w:top w:val="single" w:sz="4" w:space="0" w:color="00338D"/>
              <w:bottom w:val="single" w:sz="4" w:space="0" w:color="00338D"/>
            </w:tcBorders>
            <w:shd w:val="clear" w:color="auto" w:fill="D9D9D9" w:themeFill="background1" w:themeFillShade="D9"/>
            <w:vAlign w:val="center"/>
          </w:tcPr>
          <w:p w14:paraId="66FE2497" w14:textId="77777777" w:rsidR="002A6A78" w:rsidRDefault="002A6A78" w:rsidP="00F27C38">
            <w:pPr>
              <w:pStyle w:val="Tabletext"/>
              <w:jc w:val="center"/>
            </w:pPr>
          </w:p>
        </w:tc>
      </w:tr>
      <w:tr w:rsidR="002A6A78" w14:paraId="083D3B8C" w14:textId="77777777" w:rsidTr="00F27C38">
        <w:tc>
          <w:tcPr>
            <w:tcW w:w="1014" w:type="pct"/>
            <w:tcBorders>
              <w:top w:val="single" w:sz="4" w:space="0" w:color="00338D"/>
              <w:bottom w:val="single" w:sz="4" w:space="0" w:color="00338D"/>
            </w:tcBorders>
            <w:vAlign w:val="center"/>
          </w:tcPr>
          <w:p w14:paraId="193EA68F" w14:textId="77777777" w:rsidR="002A6A78" w:rsidRDefault="002A6A78" w:rsidP="00F27C38">
            <w:pPr>
              <w:pStyle w:val="Tabletext"/>
            </w:pPr>
            <w:r>
              <w:t>2</w:t>
            </w:r>
          </w:p>
        </w:tc>
        <w:tc>
          <w:tcPr>
            <w:tcW w:w="470" w:type="pct"/>
            <w:tcBorders>
              <w:top w:val="single" w:sz="4" w:space="0" w:color="00338D"/>
              <w:bottom w:val="single" w:sz="4" w:space="0" w:color="00338D"/>
            </w:tcBorders>
            <w:vAlign w:val="center"/>
          </w:tcPr>
          <w:p w14:paraId="13886DEE" w14:textId="7F4E408B" w:rsidR="002A6A78" w:rsidRPr="0045336F" w:rsidDel="00E74A70" w:rsidRDefault="00B55564" w:rsidP="00F27C38">
            <w:pPr>
              <w:pStyle w:val="Tabletext"/>
              <w:jc w:val="center"/>
            </w:pPr>
            <w:r>
              <w:t>5,724</w:t>
            </w:r>
          </w:p>
        </w:tc>
        <w:tc>
          <w:tcPr>
            <w:tcW w:w="878" w:type="pct"/>
            <w:tcBorders>
              <w:top w:val="single" w:sz="4" w:space="0" w:color="00338D"/>
              <w:bottom w:val="single" w:sz="4" w:space="0" w:color="00338D"/>
            </w:tcBorders>
            <w:vAlign w:val="center"/>
          </w:tcPr>
          <w:p w14:paraId="7D2BF0D6" w14:textId="77777777" w:rsidR="002A6A78" w:rsidRDefault="00DD7AED" w:rsidP="00F27C38">
            <w:pPr>
              <w:pStyle w:val="Tabletext"/>
              <w:jc w:val="center"/>
            </w:pPr>
            <w:r>
              <w:t>29.4</w:t>
            </w:r>
          </w:p>
          <w:p w14:paraId="0C0A3CA5" w14:textId="3BBD5567" w:rsidR="00DD7AED" w:rsidRPr="0045336F" w:rsidDel="00E74A70" w:rsidRDefault="00DD7AED" w:rsidP="00F27C38">
            <w:pPr>
              <w:pStyle w:val="Tabletext"/>
              <w:jc w:val="center"/>
            </w:pPr>
            <w:r>
              <w:t>(</w:t>
            </w:r>
            <w:r w:rsidR="00AE6A8F">
              <w:t>8.5</w:t>
            </w:r>
            <w:r>
              <w:t>)</w:t>
            </w:r>
          </w:p>
        </w:tc>
        <w:tc>
          <w:tcPr>
            <w:tcW w:w="830" w:type="pct"/>
            <w:tcBorders>
              <w:top w:val="single" w:sz="4" w:space="0" w:color="00338D"/>
              <w:bottom w:val="single" w:sz="4" w:space="0" w:color="00338D"/>
            </w:tcBorders>
          </w:tcPr>
          <w:p w14:paraId="6DDEEDF0" w14:textId="2B96AE26" w:rsidR="002A6A78" w:rsidRDefault="0043575C" w:rsidP="00F27C38">
            <w:pPr>
              <w:pStyle w:val="Tabletext"/>
              <w:jc w:val="center"/>
            </w:pPr>
            <w:r w:rsidRPr="0043575C">
              <w:t>28.</w:t>
            </w:r>
            <w:r w:rsidR="00421990">
              <w:t>3</w:t>
            </w:r>
          </w:p>
          <w:p w14:paraId="4F1E2E2D" w14:textId="62B17F61" w:rsidR="0043575C" w:rsidRPr="0045336F" w:rsidDel="00E74A70" w:rsidRDefault="0043575C" w:rsidP="00F27C38">
            <w:pPr>
              <w:pStyle w:val="Tabletext"/>
              <w:jc w:val="center"/>
            </w:pPr>
            <w:r>
              <w:t>(</w:t>
            </w:r>
            <w:r w:rsidRPr="0043575C">
              <w:t>8.7</w:t>
            </w:r>
            <w:r>
              <w:t>)</w:t>
            </w:r>
          </w:p>
        </w:tc>
        <w:tc>
          <w:tcPr>
            <w:tcW w:w="977" w:type="pct"/>
            <w:tcBorders>
              <w:top w:val="single" w:sz="4" w:space="0" w:color="00338D"/>
              <w:bottom w:val="single" w:sz="4" w:space="0" w:color="00338D"/>
            </w:tcBorders>
          </w:tcPr>
          <w:p w14:paraId="7EF411A8" w14:textId="4830BAAD" w:rsidR="002A6A78" w:rsidRDefault="00F24177" w:rsidP="00F27C38">
            <w:pPr>
              <w:pStyle w:val="Tabletext"/>
              <w:jc w:val="center"/>
            </w:pPr>
            <w:r w:rsidRPr="00F24177">
              <w:t>-1</w:t>
            </w:r>
            <w:r w:rsidR="00690EC9">
              <w:t>.2</w:t>
            </w:r>
          </w:p>
          <w:p w14:paraId="13FCC702" w14:textId="19AFEBAC" w:rsidR="00F24177" w:rsidRPr="0045336F" w:rsidDel="00E74A70" w:rsidRDefault="00F24177" w:rsidP="00F27C38">
            <w:pPr>
              <w:pStyle w:val="Tabletext"/>
              <w:jc w:val="center"/>
            </w:pPr>
            <w:r>
              <w:t>(</w:t>
            </w:r>
            <w:r w:rsidRPr="00F24177">
              <w:t>4.7</w:t>
            </w:r>
            <w:r>
              <w:t>)</w:t>
            </w:r>
          </w:p>
        </w:tc>
        <w:tc>
          <w:tcPr>
            <w:tcW w:w="830" w:type="pct"/>
            <w:tcBorders>
              <w:top w:val="single" w:sz="4" w:space="0" w:color="00338D"/>
              <w:bottom w:val="single" w:sz="4" w:space="0" w:color="00338D"/>
            </w:tcBorders>
          </w:tcPr>
          <w:p w14:paraId="792BEE56" w14:textId="264FF440" w:rsidR="002A6A78" w:rsidRDefault="00D17CEE" w:rsidP="00F27C38">
            <w:pPr>
              <w:pStyle w:val="Tabletext"/>
              <w:jc w:val="center"/>
            </w:pPr>
            <w:r w:rsidRPr="00D17CEE">
              <w:t>-</w:t>
            </w:r>
            <w:r w:rsidR="009109EA">
              <w:t>0</w:t>
            </w:r>
            <w:r w:rsidRPr="00D17CEE">
              <w:t>.1</w:t>
            </w:r>
          </w:p>
          <w:p w14:paraId="25E61EED" w14:textId="3C399934" w:rsidR="00D17CEE" w:rsidRPr="0045336F" w:rsidDel="00E74A70" w:rsidRDefault="00D17CEE" w:rsidP="00F27C38">
            <w:pPr>
              <w:pStyle w:val="Tabletext"/>
              <w:jc w:val="center"/>
            </w:pPr>
            <w:r>
              <w:t>(</w:t>
            </w:r>
            <w:r w:rsidRPr="00D17CEE">
              <w:t>4.6</w:t>
            </w:r>
            <w:r>
              <w:t>)</w:t>
            </w:r>
          </w:p>
        </w:tc>
      </w:tr>
      <w:tr w:rsidR="002A6A78" w14:paraId="300A318A" w14:textId="77777777" w:rsidTr="00F27C38">
        <w:tc>
          <w:tcPr>
            <w:tcW w:w="1014" w:type="pct"/>
            <w:tcBorders>
              <w:top w:val="single" w:sz="4" w:space="0" w:color="00338D"/>
              <w:bottom w:val="single" w:sz="4" w:space="0" w:color="00338D"/>
            </w:tcBorders>
            <w:vAlign w:val="center"/>
          </w:tcPr>
          <w:p w14:paraId="30222E58" w14:textId="77777777" w:rsidR="002A6A78" w:rsidRDefault="002A6A78" w:rsidP="00F27C38">
            <w:pPr>
              <w:pStyle w:val="Tabletext"/>
            </w:pPr>
            <w:r>
              <w:t>3-5</w:t>
            </w:r>
          </w:p>
        </w:tc>
        <w:tc>
          <w:tcPr>
            <w:tcW w:w="470" w:type="pct"/>
            <w:tcBorders>
              <w:top w:val="single" w:sz="4" w:space="0" w:color="00338D"/>
              <w:bottom w:val="single" w:sz="4" w:space="0" w:color="00338D"/>
            </w:tcBorders>
            <w:vAlign w:val="center"/>
          </w:tcPr>
          <w:p w14:paraId="2A58C08F" w14:textId="6ABEF5F8" w:rsidR="002A6A78" w:rsidRPr="0045336F" w:rsidDel="00E74A70" w:rsidRDefault="00B55564" w:rsidP="00F27C38">
            <w:pPr>
              <w:pStyle w:val="Tabletext"/>
              <w:jc w:val="center"/>
            </w:pPr>
            <w:r>
              <w:t>11,978</w:t>
            </w:r>
          </w:p>
        </w:tc>
        <w:tc>
          <w:tcPr>
            <w:tcW w:w="878" w:type="pct"/>
            <w:tcBorders>
              <w:top w:val="single" w:sz="4" w:space="0" w:color="00338D"/>
              <w:bottom w:val="single" w:sz="4" w:space="0" w:color="00338D"/>
            </w:tcBorders>
            <w:vAlign w:val="center"/>
          </w:tcPr>
          <w:p w14:paraId="6A5C11AB" w14:textId="77777777" w:rsidR="002A6A78" w:rsidRDefault="00AE6A8F" w:rsidP="00F27C38">
            <w:pPr>
              <w:pStyle w:val="Tabletext"/>
              <w:jc w:val="center"/>
            </w:pPr>
            <w:r>
              <w:t>29.3</w:t>
            </w:r>
          </w:p>
          <w:p w14:paraId="10501C50" w14:textId="5DC16C25" w:rsidR="00AE6A8F" w:rsidRPr="0045336F" w:rsidDel="00E74A70" w:rsidRDefault="00AE6A8F" w:rsidP="00F27C38">
            <w:pPr>
              <w:pStyle w:val="Tabletext"/>
              <w:jc w:val="center"/>
            </w:pPr>
            <w:r>
              <w:t>(8.2)</w:t>
            </w:r>
          </w:p>
        </w:tc>
        <w:tc>
          <w:tcPr>
            <w:tcW w:w="830" w:type="pct"/>
            <w:tcBorders>
              <w:top w:val="single" w:sz="4" w:space="0" w:color="00338D"/>
              <w:bottom w:val="single" w:sz="4" w:space="0" w:color="00338D"/>
            </w:tcBorders>
          </w:tcPr>
          <w:p w14:paraId="3171A379" w14:textId="15B62347" w:rsidR="002A6A78" w:rsidRDefault="0043575C" w:rsidP="00F27C38">
            <w:pPr>
              <w:pStyle w:val="Tabletext"/>
              <w:jc w:val="center"/>
            </w:pPr>
            <w:r w:rsidRPr="0043575C">
              <w:t>26.</w:t>
            </w:r>
            <w:r w:rsidR="00421990">
              <w:t>9</w:t>
            </w:r>
          </w:p>
          <w:p w14:paraId="739D9962" w14:textId="6139ED7E" w:rsidR="0043575C" w:rsidRPr="0045336F" w:rsidDel="00E74A70" w:rsidRDefault="0043575C" w:rsidP="00F27C38">
            <w:pPr>
              <w:pStyle w:val="Tabletext"/>
              <w:jc w:val="center"/>
            </w:pPr>
            <w:r>
              <w:t>(</w:t>
            </w:r>
            <w:r w:rsidR="006674DE" w:rsidRPr="006674DE">
              <w:t>8.</w:t>
            </w:r>
            <w:r w:rsidR="00421990">
              <w:t>8</w:t>
            </w:r>
            <w:r>
              <w:t>)</w:t>
            </w:r>
          </w:p>
        </w:tc>
        <w:tc>
          <w:tcPr>
            <w:tcW w:w="977" w:type="pct"/>
            <w:tcBorders>
              <w:top w:val="single" w:sz="4" w:space="0" w:color="00338D"/>
              <w:bottom w:val="single" w:sz="4" w:space="0" w:color="00338D"/>
            </w:tcBorders>
          </w:tcPr>
          <w:p w14:paraId="0B0A5175" w14:textId="0C7CC196" w:rsidR="002A6A78" w:rsidRDefault="00F24177" w:rsidP="00F27C38">
            <w:pPr>
              <w:pStyle w:val="Tabletext"/>
              <w:jc w:val="center"/>
            </w:pPr>
            <w:r w:rsidRPr="00F24177">
              <w:t>-2.</w:t>
            </w:r>
            <w:r w:rsidR="00690EC9">
              <w:t>5</w:t>
            </w:r>
          </w:p>
          <w:p w14:paraId="53B354F3" w14:textId="29E5C821" w:rsidR="00F24177" w:rsidRPr="0045336F" w:rsidDel="00E74A70" w:rsidRDefault="00F24177" w:rsidP="00F27C38">
            <w:pPr>
              <w:pStyle w:val="Tabletext"/>
              <w:jc w:val="center"/>
            </w:pPr>
            <w:r>
              <w:t>(</w:t>
            </w:r>
            <w:r w:rsidR="00690EC9">
              <w:t>6.0</w:t>
            </w:r>
            <w:r>
              <w:t>)</w:t>
            </w:r>
          </w:p>
        </w:tc>
        <w:tc>
          <w:tcPr>
            <w:tcW w:w="830" w:type="pct"/>
            <w:tcBorders>
              <w:top w:val="single" w:sz="4" w:space="0" w:color="00338D"/>
              <w:bottom w:val="single" w:sz="4" w:space="0" w:color="00338D"/>
            </w:tcBorders>
          </w:tcPr>
          <w:p w14:paraId="6C320C7E" w14:textId="756CD706" w:rsidR="002A6A78" w:rsidRDefault="00D17CEE" w:rsidP="00F27C38">
            <w:pPr>
              <w:pStyle w:val="Tabletext"/>
              <w:jc w:val="center"/>
            </w:pPr>
            <w:r w:rsidRPr="00D17CEE">
              <w:t>-1.</w:t>
            </w:r>
            <w:r w:rsidR="009109EA">
              <w:t>5</w:t>
            </w:r>
          </w:p>
          <w:p w14:paraId="16DCCF52" w14:textId="48403C55" w:rsidR="00D17CEE" w:rsidRPr="0045336F" w:rsidDel="00E74A70" w:rsidRDefault="00D17CEE" w:rsidP="00F27C38">
            <w:pPr>
              <w:pStyle w:val="Tabletext"/>
              <w:jc w:val="center"/>
            </w:pPr>
            <w:r>
              <w:t>(</w:t>
            </w:r>
            <w:r w:rsidR="00FA1130" w:rsidRPr="00FA1130">
              <w:t>5.</w:t>
            </w:r>
            <w:r w:rsidR="009109EA">
              <w:t>8</w:t>
            </w:r>
            <w:r>
              <w:t>)</w:t>
            </w:r>
          </w:p>
        </w:tc>
      </w:tr>
      <w:tr w:rsidR="002A6A78" w14:paraId="182FEC5F" w14:textId="77777777" w:rsidTr="00F27C38">
        <w:tc>
          <w:tcPr>
            <w:tcW w:w="1014" w:type="pct"/>
            <w:tcBorders>
              <w:top w:val="single" w:sz="4" w:space="0" w:color="00338D"/>
              <w:bottom w:val="single" w:sz="4" w:space="0" w:color="00338D"/>
            </w:tcBorders>
            <w:vAlign w:val="center"/>
          </w:tcPr>
          <w:p w14:paraId="121B502E" w14:textId="77777777" w:rsidR="002A6A78" w:rsidRDefault="002A6A78" w:rsidP="00F27C38">
            <w:pPr>
              <w:pStyle w:val="Tabletext"/>
            </w:pPr>
            <w:r>
              <w:t>6-9</w:t>
            </w:r>
          </w:p>
        </w:tc>
        <w:tc>
          <w:tcPr>
            <w:tcW w:w="470" w:type="pct"/>
            <w:tcBorders>
              <w:top w:val="single" w:sz="4" w:space="0" w:color="00338D"/>
              <w:bottom w:val="single" w:sz="4" w:space="0" w:color="00338D"/>
            </w:tcBorders>
            <w:vAlign w:val="center"/>
          </w:tcPr>
          <w:p w14:paraId="3CDFAE68" w14:textId="399CB91D" w:rsidR="002A6A78" w:rsidRPr="0045336F" w:rsidDel="00E74A70" w:rsidRDefault="000165EF" w:rsidP="00F27C38">
            <w:pPr>
              <w:pStyle w:val="Tabletext"/>
              <w:jc w:val="center"/>
            </w:pPr>
            <w:r>
              <w:t>6,921</w:t>
            </w:r>
          </w:p>
        </w:tc>
        <w:tc>
          <w:tcPr>
            <w:tcW w:w="878" w:type="pct"/>
            <w:tcBorders>
              <w:top w:val="single" w:sz="4" w:space="0" w:color="00338D"/>
              <w:bottom w:val="single" w:sz="4" w:space="0" w:color="00338D"/>
            </w:tcBorders>
            <w:vAlign w:val="center"/>
          </w:tcPr>
          <w:p w14:paraId="5AF2C0CB" w14:textId="77777777" w:rsidR="002A6A78" w:rsidRDefault="00AE6A8F" w:rsidP="00F27C38">
            <w:pPr>
              <w:pStyle w:val="Tabletext"/>
              <w:jc w:val="center"/>
            </w:pPr>
            <w:r>
              <w:t>29.9</w:t>
            </w:r>
          </w:p>
          <w:p w14:paraId="6D3F5F7C" w14:textId="1FD44AC1" w:rsidR="00AE6A8F" w:rsidRPr="0045336F" w:rsidDel="00E74A70" w:rsidRDefault="00AE6A8F" w:rsidP="00F27C38">
            <w:pPr>
              <w:pStyle w:val="Tabletext"/>
              <w:jc w:val="center"/>
            </w:pPr>
            <w:r>
              <w:t>(</w:t>
            </w:r>
            <w:r w:rsidR="00707AB0">
              <w:t>7.8</w:t>
            </w:r>
            <w:r>
              <w:t>)</w:t>
            </w:r>
          </w:p>
        </w:tc>
        <w:tc>
          <w:tcPr>
            <w:tcW w:w="830" w:type="pct"/>
            <w:tcBorders>
              <w:top w:val="single" w:sz="4" w:space="0" w:color="00338D"/>
              <w:bottom w:val="single" w:sz="4" w:space="0" w:color="00338D"/>
            </w:tcBorders>
          </w:tcPr>
          <w:p w14:paraId="0C4F9FDF" w14:textId="29B44CEF" w:rsidR="002A6A78" w:rsidRDefault="006674DE" w:rsidP="00F27C38">
            <w:pPr>
              <w:pStyle w:val="Tabletext"/>
              <w:jc w:val="center"/>
            </w:pPr>
            <w:r w:rsidRPr="006674DE">
              <w:t>26.</w:t>
            </w:r>
            <w:r w:rsidR="00421990">
              <w:t>7</w:t>
            </w:r>
          </w:p>
          <w:p w14:paraId="13BDC197" w14:textId="45CE4922" w:rsidR="006674DE" w:rsidRPr="0045336F" w:rsidDel="00E74A70" w:rsidRDefault="006674DE" w:rsidP="00F27C38">
            <w:pPr>
              <w:pStyle w:val="Tabletext"/>
              <w:jc w:val="center"/>
            </w:pPr>
            <w:r>
              <w:t>(</w:t>
            </w:r>
            <w:r w:rsidRPr="006674DE">
              <w:t>8.</w:t>
            </w:r>
            <w:r w:rsidR="00421990">
              <w:t>7</w:t>
            </w:r>
            <w:r>
              <w:t>)</w:t>
            </w:r>
          </w:p>
        </w:tc>
        <w:tc>
          <w:tcPr>
            <w:tcW w:w="977" w:type="pct"/>
            <w:tcBorders>
              <w:top w:val="single" w:sz="4" w:space="0" w:color="00338D"/>
              <w:bottom w:val="single" w:sz="4" w:space="0" w:color="00338D"/>
            </w:tcBorders>
          </w:tcPr>
          <w:p w14:paraId="590D9BCA" w14:textId="49A945F6" w:rsidR="002A6A78" w:rsidRDefault="00740C51" w:rsidP="00F27C38">
            <w:pPr>
              <w:pStyle w:val="Tabletext"/>
              <w:jc w:val="center"/>
            </w:pPr>
            <w:r w:rsidRPr="00740C51">
              <w:t>-3.2</w:t>
            </w:r>
          </w:p>
          <w:p w14:paraId="4D422BA5" w14:textId="2BD6FC00" w:rsidR="00740C51" w:rsidRPr="0045336F" w:rsidDel="00E74A70" w:rsidRDefault="00740C51" w:rsidP="00F27C38">
            <w:pPr>
              <w:pStyle w:val="Tabletext"/>
              <w:jc w:val="center"/>
            </w:pPr>
            <w:r>
              <w:t>(</w:t>
            </w:r>
            <w:r w:rsidRPr="00740C51">
              <w:t>6.5</w:t>
            </w:r>
            <w:r>
              <w:t>)</w:t>
            </w:r>
          </w:p>
        </w:tc>
        <w:tc>
          <w:tcPr>
            <w:tcW w:w="830" w:type="pct"/>
            <w:tcBorders>
              <w:top w:val="single" w:sz="4" w:space="0" w:color="00338D"/>
              <w:bottom w:val="single" w:sz="4" w:space="0" w:color="00338D"/>
            </w:tcBorders>
          </w:tcPr>
          <w:p w14:paraId="090FD8C1" w14:textId="21CF2D74" w:rsidR="002A6A78" w:rsidRDefault="00E92970" w:rsidP="00F27C38">
            <w:pPr>
              <w:pStyle w:val="Tabletext"/>
              <w:jc w:val="center"/>
            </w:pPr>
            <w:r w:rsidRPr="00E92970">
              <w:t>-2.</w:t>
            </w:r>
            <w:r w:rsidR="009109EA">
              <w:t>2</w:t>
            </w:r>
          </w:p>
          <w:p w14:paraId="220E4313" w14:textId="2D3748F9" w:rsidR="00E92970" w:rsidRPr="0045336F" w:rsidDel="00E74A70" w:rsidRDefault="00E92970" w:rsidP="00F27C38">
            <w:pPr>
              <w:pStyle w:val="Tabletext"/>
              <w:jc w:val="center"/>
            </w:pPr>
            <w:r>
              <w:t>(</w:t>
            </w:r>
            <w:r w:rsidR="00A14B6A" w:rsidRPr="00A14B6A">
              <w:t>6.3</w:t>
            </w:r>
            <w:r>
              <w:t>)</w:t>
            </w:r>
          </w:p>
        </w:tc>
      </w:tr>
      <w:tr w:rsidR="002A6A78" w14:paraId="6F029807" w14:textId="77777777" w:rsidTr="00F27C38">
        <w:tc>
          <w:tcPr>
            <w:tcW w:w="1014" w:type="pct"/>
            <w:tcBorders>
              <w:top w:val="single" w:sz="4" w:space="0" w:color="00338D"/>
              <w:bottom w:val="single" w:sz="2" w:space="0" w:color="808080" w:themeColor="background1" w:themeShade="80"/>
            </w:tcBorders>
            <w:vAlign w:val="center"/>
          </w:tcPr>
          <w:p w14:paraId="018BC265" w14:textId="77777777" w:rsidR="002A6A78" w:rsidRDefault="002A6A78" w:rsidP="00F27C38">
            <w:pPr>
              <w:pStyle w:val="Tabletext"/>
            </w:pPr>
            <w:r>
              <w:t>10+</w:t>
            </w:r>
          </w:p>
        </w:tc>
        <w:tc>
          <w:tcPr>
            <w:tcW w:w="470" w:type="pct"/>
            <w:tcBorders>
              <w:top w:val="single" w:sz="4" w:space="0" w:color="00338D"/>
              <w:bottom w:val="single" w:sz="2" w:space="0" w:color="808080" w:themeColor="background1" w:themeShade="80"/>
            </w:tcBorders>
            <w:vAlign w:val="center"/>
          </w:tcPr>
          <w:p w14:paraId="69AD53E9" w14:textId="3472B0D7" w:rsidR="002A6A78" w:rsidRPr="0045336F" w:rsidDel="00E74A70" w:rsidRDefault="000165EF" w:rsidP="00F27C38">
            <w:pPr>
              <w:pStyle w:val="Tabletext"/>
              <w:jc w:val="center"/>
            </w:pPr>
            <w:r>
              <w:t>3,244</w:t>
            </w:r>
          </w:p>
        </w:tc>
        <w:tc>
          <w:tcPr>
            <w:tcW w:w="878" w:type="pct"/>
            <w:tcBorders>
              <w:top w:val="single" w:sz="4" w:space="0" w:color="00338D"/>
              <w:bottom w:val="single" w:sz="2" w:space="0" w:color="808080" w:themeColor="background1" w:themeShade="80"/>
            </w:tcBorders>
            <w:vAlign w:val="center"/>
          </w:tcPr>
          <w:p w14:paraId="5BFA6E07" w14:textId="77777777" w:rsidR="002A6A78" w:rsidRDefault="008E60ED" w:rsidP="00F27C38">
            <w:pPr>
              <w:pStyle w:val="Tabletext"/>
              <w:jc w:val="center"/>
            </w:pPr>
            <w:r>
              <w:t>31.0</w:t>
            </w:r>
          </w:p>
          <w:p w14:paraId="73EDF7A1" w14:textId="3D1DAA6C" w:rsidR="008E60ED" w:rsidRPr="0045336F" w:rsidDel="00E74A70" w:rsidRDefault="008E60ED" w:rsidP="00F27C38">
            <w:pPr>
              <w:pStyle w:val="Tabletext"/>
              <w:jc w:val="center"/>
            </w:pPr>
            <w:r>
              <w:t>(</w:t>
            </w:r>
            <w:r w:rsidR="00C806F2">
              <w:t>7.7</w:t>
            </w:r>
            <w:r>
              <w:t>)</w:t>
            </w:r>
          </w:p>
        </w:tc>
        <w:tc>
          <w:tcPr>
            <w:tcW w:w="830" w:type="pct"/>
            <w:tcBorders>
              <w:top w:val="single" w:sz="4" w:space="0" w:color="00338D"/>
              <w:bottom w:val="single" w:sz="2" w:space="0" w:color="808080" w:themeColor="background1" w:themeShade="80"/>
            </w:tcBorders>
          </w:tcPr>
          <w:p w14:paraId="209BFE81" w14:textId="620FC756" w:rsidR="002A6A78" w:rsidRDefault="00965460" w:rsidP="00F27C38">
            <w:pPr>
              <w:pStyle w:val="Tabletext"/>
              <w:jc w:val="center"/>
            </w:pPr>
            <w:r w:rsidRPr="00965460">
              <w:t>27.6</w:t>
            </w:r>
          </w:p>
          <w:p w14:paraId="78736899" w14:textId="11D02506" w:rsidR="00965460" w:rsidRPr="0045336F" w:rsidDel="00E74A70" w:rsidRDefault="00965460" w:rsidP="00F27C38">
            <w:pPr>
              <w:pStyle w:val="Tabletext"/>
              <w:jc w:val="center"/>
            </w:pPr>
            <w:r>
              <w:t>(8.7)</w:t>
            </w:r>
          </w:p>
        </w:tc>
        <w:tc>
          <w:tcPr>
            <w:tcW w:w="977" w:type="pct"/>
            <w:tcBorders>
              <w:top w:val="single" w:sz="4" w:space="0" w:color="00338D"/>
              <w:bottom w:val="single" w:sz="2" w:space="0" w:color="808080" w:themeColor="background1" w:themeShade="80"/>
            </w:tcBorders>
          </w:tcPr>
          <w:p w14:paraId="4EA84A2A" w14:textId="7235901D" w:rsidR="002A6A78" w:rsidRDefault="00740C51" w:rsidP="00F27C38">
            <w:pPr>
              <w:pStyle w:val="Tabletext"/>
              <w:jc w:val="center"/>
            </w:pPr>
            <w:r w:rsidRPr="00740C51">
              <w:t>-3.</w:t>
            </w:r>
            <w:r w:rsidR="00690EC9">
              <w:t>4</w:t>
            </w:r>
          </w:p>
          <w:p w14:paraId="27AE75AB" w14:textId="4FBED469" w:rsidR="00740C51" w:rsidRPr="0045336F" w:rsidDel="00E74A70" w:rsidRDefault="00740C51" w:rsidP="00F27C38">
            <w:pPr>
              <w:pStyle w:val="Tabletext"/>
              <w:jc w:val="center"/>
            </w:pPr>
            <w:r>
              <w:t>(</w:t>
            </w:r>
            <w:r w:rsidR="00BF24C1" w:rsidRPr="00BF24C1">
              <w:t>7.2</w:t>
            </w:r>
            <w:r>
              <w:t>)</w:t>
            </w:r>
          </w:p>
        </w:tc>
        <w:tc>
          <w:tcPr>
            <w:tcW w:w="830" w:type="pct"/>
            <w:tcBorders>
              <w:top w:val="single" w:sz="4" w:space="0" w:color="00338D"/>
              <w:bottom w:val="single" w:sz="2" w:space="0" w:color="808080" w:themeColor="background1" w:themeShade="80"/>
            </w:tcBorders>
          </w:tcPr>
          <w:p w14:paraId="6A3872C9" w14:textId="57C15611" w:rsidR="002A6A78" w:rsidRDefault="008F3C9E" w:rsidP="00F27C38">
            <w:pPr>
              <w:pStyle w:val="Tabletext"/>
              <w:jc w:val="center"/>
            </w:pPr>
            <w:r w:rsidRPr="008F3C9E">
              <w:t>-2.1</w:t>
            </w:r>
          </w:p>
          <w:p w14:paraId="685DBC02" w14:textId="15810254" w:rsidR="008F3C9E" w:rsidRPr="0045336F" w:rsidDel="00E74A70" w:rsidRDefault="008F3C9E" w:rsidP="00F27C38">
            <w:pPr>
              <w:pStyle w:val="Tabletext"/>
              <w:jc w:val="center"/>
            </w:pPr>
            <w:r>
              <w:t>(</w:t>
            </w:r>
            <w:r w:rsidR="00647B8C" w:rsidRPr="00647B8C">
              <w:t>6.9</w:t>
            </w:r>
            <w:r>
              <w:t>)</w:t>
            </w:r>
          </w:p>
        </w:tc>
      </w:tr>
    </w:tbl>
    <w:p w14:paraId="518F35AF" w14:textId="4A4FAD8F" w:rsidR="002A6A78" w:rsidRPr="00D3026B" w:rsidRDefault="002A6A78" w:rsidP="002A6A78">
      <w:pPr>
        <w:pStyle w:val="Source"/>
      </w:pPr>
      <w:r w:rsidRPr="00A7396B">
        <w:rPr>
          <w:szCs w:val="16"/>
        </w:rPr>
        <w:t xml:space="preserve">Source: </w:t>
      </w:r>
      <w:r>
        <w:rPr>
          <w:szCs w:val="16"/>
        </w:rPr>
        <w:t>KPMG analysis of</w:t>
      </w:r>
      <w:r w:rsidRPr="00A7396B">
        <w:rPr>
          <w:szCs w:val="16"/>
        </w:rPr>
        <w:t xml:space="preserve"> KPMG </w:t>
      </w:r>
      <w:r w:rsidRPr="00CF2E3E">
        <w:rPr>
          <w:szCs w:val="16"/>
        </w:rPr>
        <w:t xml:space="preserve">master dataset – </w:t>
      </w:r>
      <w:r>
        <w:rPr>
          <w:szCs w:val="16"/>
        </w:rPr>
        <w:t>Episodes with non-missing services and issue data</w:t>
      </w:r>
    </w:p>
    <w:p w14:paraId="7E0B5F33" w14:textId="2EC6148E" w:rsidR="002A6A78" w:rsidRDefault="002A6A78" w:rsidP="00F403DC">
      <w:pPr>
        <w:pStyle w:val="Source"/>
      </w:pPr>
      <w:r>
        <w:t xml:space="preserve">Notes: </w:t>
      </w:r>
      <w:r w:rsidRPr="00CF2E3E">
        <w:t xml:space="preserve">See </w:t>
      </w:r>
      <w:r w:rsidR="009B1C27">
        <w:fldChar w:fldCharType="begin" w:fldLock="1"/>
      </w:r>
      <w:r w:rsidR="009B1C27">
        <w:instrText xml:space="preserve"> REF _Ref98402466 \r \h </w:instrText>
      </w:r>
      <w:r w:rsidR="009B1C27">
        <w:fldChar w:fldCharType="separate"/>
      </w:r>
      <w:r w:rsidR="00522C8A">
        <w:t>Appendix F</w:t>
      </w:r>
      <w:r w:rsidR="009B1C27">
        <w:fldChar w:fldCharType="end"/>
      </w:r>
      <w:r w:rsidRPr="00A7396B">
        <w:t xml:space="preserve"> for </w:t>
      </w:r>
      <w:r w:rsidRPr="00CF2E3E">
        <w:t>detailed exclusion criteria.</w:t>
      </w:r>
      <w:r>
        <w:t xml:space="preserve"> Number of episodes: 39,652 including episodes with non</w:t>
      </w:r>
      <w:r w:rsidR="004D1498">
        <w:t>-</w:t>
      </w:r>
      <w:r>
        <w:t>missing intake and/or final K10 measurements. Improvement is measured by</w:t>
      </w:r>
      <w:r w:rsidRPr="00C4306D">
        <w:t xml:space="preserve"> the di</w:t>
      </w:r>
      <w:r w:rsidRPr="00CF2E3E">
        <w:t xml:space="preserve">fference between the last observed </w:t>
      </w:r>
      <w:r>
        <w:t>measure</w:t>
      </w:r>
      <w:r w:rsidRPr="00CF2E3E">
        <w:t xml:space="preserve"> and the initially observed </w:t>
      </w:r>
      <w:r>
        <w:t>measurement</w:t>
      </w:r>
      <w:r w:rsidRPr="00CF2E3E">
        <w:t xml:space="preserve">. </w:t>
      </w:r>
      <w:r>
        <w:t>Where indicated, outcome measurements</w:t>
      </w:r>
      <w:r w:rsidRPr="00CF2E3E">
        <w:t xml:space="preserve"> have been adjusted for regression to the mean effects.</w:t>
      </w:r>
      <w:r>
        <w:t xml:space="preserve"> A negative change between the final K10 and initial K10 outcome measure indicate better mental health outcomes. </w:t>
      </w:r>
      <w:r w:rsidRPr="004A0D96">
        <w:t>SD:</w:t>
      </w:r>
      <w:r w:rsidR="005F08B0">
        <w:t> </w:t>
      </w:r>
      <w:r w:rsidRPr="004A0D96">
        <w:t>Standard deviation.</w:t>
      </w:r>
    </w:p>
    <w:p w14:paraId="1550258F" w14:textId="469E5193" w:rsidR="002A6A78" w:rsidRPr="001E1EB4" w:rsidRDefault="00072CB6" w:rsidP="002A6A78">
      <w:pPr>
        <w:pStyle w:val="BodyText"/>
      </w:pPr>
      <w:r>
        <w:rPr>
          <w:i/>
          <w:iCs/>
        </w:rPr>
        <w:fldChar w:fldCharType="begin" w:fldLock="1"/>
      </w:r>
      <w:r>
        <w:rPr>
          <w:i/>
          <w:iCs/>
        </w:rPr>
        <w:instrText xml:space="preserve"> REF _Ref97749503 \h </w:instrText>
      </w:r>
      <w:r>
        <w:rPr>
          <w:i/>
          <w:iCs/>
        </w:rPr>
      </w:r>
      <w:r>
        <w:rPr>
          <w:i/>
          <w:iCs/>
        </w:rPr>
        <w:fldChar w:fldCharType="separate"/>
      </w:r>
      <w:r w:rsidR="0084350B">
        <w:t xml:space="preserve">Table </w:t>
      </w:r>
      <w:r w:rsidR="0084350B">
        <w:rPr>
          <w:noProof/>
        </w:rPr>
        <w:t>62</w:t>
      </w:r>
      <w:r>
        <w:rPr>
          <w:i/>
          <w:iCs/>
        </w:rPr>
        <w:fldChar w:fldCharType="end"/>
      </w:r>
      <w:r w:rsidR="002A6A78">
        <w:rPr>
          <w:i/>
          <w:iCs/>
        </w:rPr>
        <w:t xml:space="preserve"> </w:t>
      </w:r>
      <w:r w:rsidR="002A6A78">
        <w:t xml:space="preserve">summarises the average changes in the SOFAS outcome measure by the number of </w:t>
      </w:r>
      <w:r w:rsidR="007B2863">
        <w:t>OOS</w:t>
      </w:r>
      <w:r w:rsidR="002A6A78">
        <w:t xml:space="preserve"> as observed, and after adjusting for RTM. Similar to the K10 outcomes, average improvements in the SOFAS outcome measure increased with the number of </w:t>
      </w:r>
      <w:r w:rsidR="007B2863">
        <w:t>OOS</w:t>
      </w:r>
      <w:r w:rsidR="002A6A78">
        <w:t>, even after adjusting for RTM.</w:t>
      </w:r>
    </w:p>
    <w:p w14:paraId="3EBDA682" w14:textId="31F49D59" w:rsidR="002A6A78" w:rsidRDefault="002A6A78" w:rsidP="002A6A78">
      <w:pPr>
        <w:pStyle w:val="Caption"/>
      </w:pPr>
      <w:bookmarkStart w:id="302" w:name="_Ref97749503"/>
      <w:bookmarkStart w:id="303" w:name="_Toc108109012"/>
      <w:r>
        <w:t xml:space="preserve">Table </w:t>
      </w:r>
      <w:r>
        <w:fldChar w:fldCharType="begin"/>
      </w:r>
      <w:r>
        <w:instrText>SEQ Table \* ARABIC</w:instrText>
      </w:r>
      <w:r>
        <w:fldChar w:fldCharType="separate"/>
      </w:r>
      <w:r w:rsidR="00CC0438">
        <w:rPr>
          <w:noProof/>
        </w:rPr>
        <w:t>62</w:t>
      </w:r>
      <w:r>
        <w:fldChar w:fldCharType="end"/>
      </w:r>
      <w:bookmarkEnd w:id="302"/>
      <w:r>
        <w:t>: Average intake, final and change in SOFAS</w:t>
      </w:r>
      <w:r w:rsidDel="0078702D">
        <w:t xml:space="preserve"> </w:t>
      </w:r>
      <w:r>
        <w:t>measurements in young people accessing headspace</w:t>
      </w:r>
      <w:bookmarkEnd w:id="30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verage intake, final and change in SOFAS measurement in young people accessing headspace"/>
        <w:tblDescription w:val="Table has 6 columns summarising changes in SOFAS outcome measurements for young people. Column 1 lists the number of occasions of service received in the episode of care. Column 2 indicates the number of episodes of care with the corresponding number of occasions of service. Column 3 summarises the average score on intake. Column 4 summarises the average final measurement. Column 5 summarises the average improvement observed in young people. Column 6 summarises the average improvement, with regression to the mean applied. &#10;Each result also has the standard deviation presented in brackets.&#10;"/>
      </w:tblPr>
      <w:tblGrid>
        <w:gridCol w:w="1820"/>
        <w:gridCol w:w="946"/>
        <w:gridCol w:w="1574"/>
        <w:gridCol w:w="1488"/>
        <w:gridCol w:w="1754"/>
        <w:gridCol w:w="1488"/>
      </w:tblGrid>
      <w:tr w:rsidR="002A6A78" w:rsidRPr="00D65A2D" w14:paraId="72F564CA" w14:textId="77777777" w:rsidTr="00350B4D">
        <w:trPr>
          <w:tblHeader/>
        </w:trPr>
        <w:tc>
          <w:tcPr>
            <w:tcW w:w="1014" w:type="pct"/>
            <w:tcBorders>
              <w:bottom w:val="single" w:sz="4" w:space="0" w:color="00338D"/>
            </w:tcBorders>
            <w:shd w:val="clear" w:color="auto" w:fill="00338D"/>
          </w:tcPr>
          <w:p w14:paraId="0CA98E9D" w14:textId="77777777" w:rsidR="002A6A78" w:rsidRDefault="002A6A78" w:rsidP="00F27C38">
            <w:pPr>
              <w:pStyle w:val="Tableheading"/>
            </w:pPr>
            <w:r>
              <w:t>Occasions of service per episode</w:t>
            </w:r>
          </w:p>
        </w:tc>
        <w:tc>
          <w:tcPr>
            <w:tcW w:w="470" w:type="pct"/>
            <w:tcBorders>
              <w:bottom w:val="single" w:sz="4" w:space="0" w:color="00338D"/>
            </w:tcBorders>
            <w:shd w:val="clear" w:color="auto" w:fill="00338D"/>
          </w:tcPr>
          <w:p w14:paraId="5FD0D827" w14:textId="77777777" w:rsidR="002A6A78" w:rsidRDefault="002A6A78" w:rsidP="00F27C38">
            <w:pPr>
              <w:pStyle w:val="Tableheading"/>
              <w:jc w:val="center"/>
            </w:pPr>
            <w:r>
              <w:t>Episodes</w:t>
            </w:r>
          </w:p>
        </w:tc>
        <w:tc>
          <w:tcPr>
            <w:tcW w:w="878" w:type="pct"/>
            <w:tcBorders>
              <w:bottom w:val="single" w:sz="4" w:space="0" w:color="00338D"/>
            </w:tcBorders>
            <w:shd w:val="clear" w:color="auto" w:fill="00338D"/>
          </w:tcPr>
          <w:p w14:paraId="6A013611" w14:textId="77777777" w:rsidR="002A6A78" w:rsidRDefault="002A6A78" w:rsidP="00F27C38">
            <w:pPr>
              <w:pStyle w:val="Tableheading"/>
              <w:jc w:val="center"/>
            </w:pPr>
            <w:r>
              <w:t>Average intake measurement (SD)</w:t>
            </w:r>
          </w:p>
        </w:tc>
        <w:tc>
          <w:tcPr>
            <w:tcW w:w="830" w:type="pct"/>
            <w:tcBorders>
              <w:bottom w:val="single" w:sz="4" w:space="0" w:color="00338D"/>
            </w:tcBorders>
            <w:shd w:val="clear" w:color="auto" w:fill="00338D"/>
          </w:tcPr>
          <w:p w14:paraId="4B842B94" w14:textId="77777777" w:rsidR="002A6A78" w:rsidRPr="00D65A2D" w:rsidRDefault="002A6A78" w:rsidP="00F27C38">
            <w:pPr>
              <w:pStyle w:val="Tableheading"/>
              <w:jc w:val="center"/>
            </w:pPr>
            <w:r>
              <w:t>Average final measurement (SD)</w:t>
            </w:r>
          </w:p>
        </w:tc>
        <w:tc>
          <w:tcPr>
            <w:tcW w:w="977" w:type="pct"/>
            <w:tcBorders>
              <w:bottom w:val="single" w:sz="4" w:space="0" w:color="00338D"/>
            </w:tcBorders>
            <w:shd w:val="clear" w:color="auto" w:fill="00338D"/>
          </w:tcPr>
          <w:p w14:paraId="28889AD8" w14:textId="77777777" w:rsidR="002A6A78" w:rsidRDefault="002A6A78" w:rsidP="00F27C38">
            <w:pPr>
              <w:pStyle w:val="Tableheading"/>
              <w:jc w:val="center"/>
            </w:pPr>
            <w:r>
              <w:t>Average improvement – observed</w:t>
            </w:r>
          </w:p>
          <w:p w14:paraId="1BA90E4A" w14:textId="77777777" w:rsidR="002A6A78" w:rsidRDefault="002A6A78" w:rsidP="00F27C38">
            <w:pPr>
              <w:pStyle w:val="Tableheading"/>
              <w:jc w:val="center"/>
            </w:pPr>
            <w:r>
              <w:t>(SD)</w:t>
            </w:r>
          </w:p>
        </w:tc>
        <w:tc>
          <w:tcPr>
            <w:tcW w:w="830" w:type="pct"/>
            <w:tcBorders>
              <w:bottom w:val="single" w:sz="4" w:space="0" w:color="00338D"/>
            </w:tcBorders>
            <w:shd w:val="clear" w:color="auto" w:fill="00338D"/>
          </w:tcPr>
          <w:p w14:paraId="3F95DABD" w14:textId="77777777" w:rsidR="002A6A78" w:rsidRDefault="002A6A78" w:rsidP="00F27C38">
            <w:pPr>
              <w:pStyle w:val="Tableheading"/>
              <w:jc w:val="center"/>
            </w:pPr>
            <w:r>
              <w:t xml:space="preserve">Average improvement – RTM adjusted (SD) </w:t>
            </w:r>
          </w:p>
        </w:tc>
      </w:tr>
      <w:tr w:rsidR="002A6A78" w14:paraId="1E80A8DD" w14:textId="77777777" w:rsidTr="00F27C38">
        <w:tc>
          <w:tcPr>
            <w:tcW w:w="1014" w:type="pct"/>
            <w:tcBorders>
              <w:top w:val="single" w:sz="4" w:space="0" w:color="00338D"/>
              <w:bottom w:val="single" w:sz="4" w:space="0" w:color="00338D"/>
            </w:tcBorders>
            <w:vAlign w:val="center"/>
          </w:tcPr>
          <w:p w14:paraId="4B289B4F" w14:textId="77777777" w:rsidR="002A6A78" w:rsidRDefault="002A6A78" w:rsidP="00F27C38">
            <w:pPr>
              <w:pStyle w:val="Tabletext"/>
            </w:pPr>
            <w:r>
              <w:t>1</w:t>
            </w:r>
          </w:p>
        </w:tc>
        <w:tc>
          <w:tcPr>
            <w:tcW w:w="470" w:type="pct"/>
            <w:tcBorders>
              <w:top w:val="single" w:sz="4" w:space="0" w:color="00338D"/>
              <w:bottom w:val="single" w:sz="4" w:space="0" w:color="00338D"/>
            </w:tcBorders>
            <w:vAlign w:val="center"/>
          </w:tcPr>
          <w:p w14:paraId="6FDAFE56" w14:textId="5ADBC6B0" w:rsidR="002A6A78" w:rsidRPr="0045336F" w:rsidDel="00E74A70" w:rsidRDefault="007C027C" w:rsidP="00F27C38">
            <w:pPr>
              <w:pStyle w:val="Tabletext"/>
              <w:jc w:val="center"/>
            </w:pPr>
            <w:r w:rsidRPr="007C027C">
              <w:t>15</w:t>
            </w:r>
            <w:r>
              <w:t>,</w:t>
            </w:r>
            <w:r w:rsidRPr="007C027C">
              <w:t>890</w:t>
            </w:r>
          </w:p>
        </w:tc>
        <w:tc>
          <w:tcPr>
            <w:tcW w:w="878" w:type="pct"/>
            <w:tcBorders>
              <w:top w:val="single" w:sz="4" w:space="0" w:color="00338D"/>
              <w:bottom w:val="single" w:sz="4" w:space="0" w:color="00338D"/>
            </w:tcBorders>
            <w:vAlign w:val="center"/>
          </w:tcPr>
          <w:p w14:paraId="3F5C24E0" w14:textId="77777777" w:rsidR="002A6A78" w:rsidRDefault="002A6A78" w:rsidP="00F27C38">
            <w:pPr>
              <w:pStyle w:val="Tabletext"/>
              <w:jc w:val="center"/>
            </w:pPr>
            <w:r w:rsidRPr="00C63877">
              <w:t>63.9</w:t>
            </w:r>
          </w:p>
          <w:p w14:paraId="4CFF7420" w14:textId="77777777" w:rsidR="002A6A78" w:rsidRPr="0045336F" w:rsidDel="00E74A70" w:rsidRDefault="002A6A78" w:rsidP="00F27C38">
            <w:pPr>
              <w:pStyle w:val="Tabletext"/>
              <w:jc w:val="center"/>
            </w:pPr>
            <w:r>
              <w:t>(</w:t>
            </w:r>
            <w:r w:rsidRPr="008F40BD">
              <w:t>12</w:t>
            </w:r>
            <w:r w:rsidRPr="00595D34">
              <w:t>.4</w:t>
            </w:r>
            <w:r>
              <w:t>)</w:t>
            </w:r>
          </w:p>
        </w:tc>
        <w:tc>
          <w:tcPr>
            <w:tcW w:w="830" w:type="pct"/>
            <w:tcBorders>
              <w:top w:val="single" w:sz="4" w:space="0" w:color="00338D"/>
              <w:bottom w:val="single" w:sz="4" w:space="0" w:color="00338D"/>
            </w:tcBorders>
            <w:vAlign w:val="center"/>
          </w:tcPr>
          <w:p w14:paraId="7F16C5CA" w14:textId="77777777" w:rsidR="002A6A78" w:rsidRPr="005044A7" w:rsidRDefault="002A6A78" w:rsidP="00F27C38">
            <w:pPr>
              <w:pStyle w:val="Tabletext"/>
              <w:jc w:val="center"/>
            </w:pPr>
          </w:p>
        </w:tc>
        <w:tc>
          <w:tcPr>
            <w:tcW w:w="977" w:type="pct"/>
            <w:tcBorders>
              <w:top w:val="single" w:sz="4" w:space="0" w:color="00338D"/>
              <w:bottom w:val="single" w:sz="4" w:space="0" w:color="00338D"/>
            </w:tcBorders>
            <w:vAlign w:val="center"/>
          </w:tcPr>
          <w:p w14:paraId="27AED23E" w14:textId="77777777" w:rsidR="002A6A78" w:rsidRDefault="002A6A78" w:rsidP="00F27C38">
            <w:pPr>
              <w:pStyle w:val="Tabletext"/>
              <w:jc w:val="center"/>
            </w:pPr>
          </w:p>
        </w:tc>
        <w:tc>
          <w:tcPr>
            <w:tcW w:w="830" w:type="pct"/>
            <w:tcBorders>
              <w:top w:val="single" w:sz="4" w:space="0" w:color="00338D"/>
              <w:bottom w:val="single" w:sz="4" w:space="0" w:color="00338D"/>
            </w:tcBorders>
            <w:vAlign w:val="center"/>
          </w:tcPr>
          <w:p w14:paraId="78C451BD" w14:textId="77777777" w:rsidR="002A6A78" w:rsidRDefault="002A6A78" w:rsidP="00F27C38">
            <w:pPr>
              <w:pStyle w:val="Tabletext"/>
              <w:jc w:val="center"/>
            </w:pPr>
          </w:p>
        </w:tc>
      </w:tr>
      <w:tr w:rsidR="002A6A78" w14:paraId="677B707C" w14:textId="77777777" w:rsidTr="00F27C38">
        <w:tc>
          <w:tcPr>
            <w:tcW w:w="1014" w:type="pct"/>
            <w:tcBorders>
              <w:top w:val="single" w:sz="4" w:space="0" w:color="00338D"/>
              <w:bottom w:val="single" w:sz="4" w:space="0" w:color="00338D"/>
            </w:tcBorders>
            <w:vAlign w:val="center"/>
          </w:tcPr>
          <w:p w14:paraId="48DADAA9" w14:textId="77777777" w:rsidR="002A6A78" w:rsidRDefault="002A6A78" w:rsidP="00F27C38">
            <w:pPr>
              <w:pStyle w:val="Tabletext"/>
            </w:pPr>
            <w:r>
              <w:t>2</w:t>
            </w:r>
          </w:p>
        </w:tc>
        <w:tc>
          <w:tcPr>
            <w:tcW w:w="470" w:type="pct"/>
            <w:tcBorders>
              <w:top w:val="single" w:sz="4" w:space="0" w:color="00338D"/>
              <w:bottom w:val="single" w:sz="4" w:space="0" w:color="00338D"/>
            </w:tcBorders>
            <w:vAlign w:val="center"/>
          </w:tcPr>
          <w:p w14:paraId="0F035DF7" w14:textId="77777777" w:rsidR="002A6A78" w:rsidRPr="0045336F" w:rsidDel="00E74A70" w:rsidRDefault="002A6A78" w:rsidP="00F27C38">
            <w:pPr>
              <w:pStyle w:val="Tabletext"/>
              <w:jc w:val="center"/>
            </w:pPr>
            <w:r w:rsidRPr="00CC6651">
              <w:t>6,597</w:t>
            </w:r>
          </w:p>
        </w:tc>
        <w:tc>
          <w:tcPr>
            <w:tcW w:w="878" w:type="pct"/>
            <w:tcBorders>
              <w:top w:val="single" w:sz="4" w:space="0" w:color="00338D"/>
              <w:bottom w:val="single" w:sz="4" w:space="0" w:color="00338D"/>
            </w:tcBorders>
            <w:vAlign w:val="center"/>
          </w:tcPr>
          <w:p w14:paraId="0F3874AC" w14:textId="77777777" w:rsidR="002A6A78" w:rsidRDefault="002A6A78" w:rsidP="00F27C38">
            <w:pPr>
              <w:pStyle w:val="Tabletext"/>
              <w:jc w:val="center"/>
            </w:pPr>
            <w:r w:rsidRPr="00C63877">
              <w:t>64.4</w:t>
            </w:r>
          </w:p>
          <w:p w14:paraId="03E096D9" w14:textId="77777777" w:rsidR="002A6A78" w:rsidRPr="0045336F" w:rsidDel="00E74A70" w:rsidRDefault="002A6A78" w:rsidP="00F27C38">
            <w:pPr>
              <w:pStyle w:val="Tabletext"/>
              <w:jc w:val="center"/>
            </w:pPr>
            <w:r>
              <w:t>(</w:t>
            </w:r>
            <w:r w:rsidRPr="008F40BD">
              <w:t>11.7</w:t>
            </w:r>
            <w:r>
              <w:t>)</w:t>
            </w:r>
          </w:p>
        </w:tc>
        <w:tc>
          <w:tcPr>
            <w:tcW w:w="830" w:type="pct"/>
            <w:tcBorders>
              <w:top w:val="single" w:sz="4" w:space="0" w:color="00338D"/>
              <w:bottom w:val="single" w:sz="4" w:space="0" w:color="00338D"/>
            </w:tcBorders>
            <w:vAlign w:val="center"/>
          </w:tcPr>
          <w:p w14:paraId="08466561" w14:textId="77777777" w:rsidR="002A6A78" w:rsidRDefault="002A6A78" w:rsidP="00F27C38">
            <w:pPr>
              <w:pStyle w:val="Tabletext"/>
              <w:jc w:val="center"/>
            </w:pPr>
            <w:r w:rsidRPr="00BA6729">
              <w:t>65.6</w:t>
            </w:r>
          </w:p>
          <w:p w14:paraId="5A07A453" w14:textId="2FA255AE" w:rsidR="00642915" w:rsidRPr="0045336F" w:rsidDel="00E74A70" w:rsidRDefault="00642915" w:rsidP="00F27C38">
            <w:pPr>
              <w:pStyle w:val="Tabletext"/>
              <w:jc w:val="center"/>
            </w:pPr>
            <w:r>
              <w:t>(</w:t>
            </w:r>
            <w:r w:rsidR="00F71595">
              <w:t>12.4</w:t>
            </w:r>
            <w:r>
              <w:t>)</w:t>
            </w:r>
          </w:p>
        </w:tc>
        <w:tc>
          <w:tcPr>
            <w:tcW w:w="977" w:type="pct"/>
            <w:tcBorders>
              <w:top w:val="single" w:sz="4" w:space="0" w:color="00338D"/>
              <w:bottom w:val="single" w:sz="4" w:space="0" w:color="00338D"/>
            </w:tcBorders>
            <w:vAlign w:val="center"/>
          </w:tcPr>
          <w:p w14:paraId="7237E568" w14:textId="77777777" w:rsidR="002A6A78" w:rsidRDefault="002A6A78" w:rsidP="00F27C38">
            <w:pPr>
              <w:pStyle w:val="Tabletext"/>
              <w:jc w:val="center"/>
            </w:pPr>
            <w:r w:rsidRPr="00342099">
              <w:t>1.2</w:t>
            </w:r>
          </w:p>
          <w:p w14:paraId="6568BE24" w14:textId="77777777" w:rsidR="002A6A78" w:rsidRPr="0045336F" w:rsidDel="00E74A70" w:rsidRDefault="002A6A78" w:rsidP="00F27C38">
            <w:pPr>
              <w:pStyle w:val="Tabletext"/>
              <w:jc w:val="center"/>
            </w:pPr>
            <w:r>
              <w:t>(</w:t>
            </w:r>
            <w:r w:rsidRPr="003D41DA">
              <w:t>10.1</w:t>
            </w:r>
            <w:r>
              <w:t>)</w:t>
            </w:r>
          </w:p>
        </w:tc>
        <w:tc>
          <w:tcPr>
            <w:tcW w:w="830" w:type="pct"/>
            <w:tcBorders>
              <w:top w:val="single" w:sz="4" w:space="0" w:color="00338D"/>
              <w:bottom w:val="single" w:sz="4" w:space="0" w:color="00338D"/>
            </w:tcBorders>
            <w:vAlign w:val="center"/>
          </w:tcPr>
          <w:p w14:paraId="7E53528D" w14:textId="77777777" w:rsidR="002A6A78" w:rsidRDefault="002A6A78" w:rsidP="00F27C38">
            <w:pPr>
              <w:pStyle w:val="Tabletext"/>
              <w:jc w:val="center"/>
            </w:pPr>
            <w:r w:rsidRPr="006D73E3">
              <w:t>0.5</w:t>
            </w:r>
          </w:p>
          <w:p w14:paraId="5D92E581" w14:textId="77777777" w:rsidR="002A6A78" w:rsidRPr="0045336F" w:rsidDel="00E74A70" w:rsidRDefault="002A6A78" w:rsidP="00F27C38">
            <w:pPr>
              <w:pStyle w:val="Tabletext"/>
              <w:jc w:val="center"/>
            </w:pPr>
            <w:r>
              <w:t>(</w:t>
            </w:r>
            <w:r w:rsidRPr="0052761A">
              <w:t>9.5</w:t>
            </w:r>
            <w:r>
              <w:t>)</w:t>
            </w:r>
          </w:p>
        </w:tc>
      </w:tr>
      <w:tr w:rsidR="002A6A78" w14:paraId="668AB70D" w14:textId="77777777" w:rsidTr="00F27C38">
        <w:tc>
          <w:tcPr>
            <w:tcW w:w="1014" w:type="pct"/>
            <w:tcBorders>
              <w:top w:val="single" w:sz="4" w:space="0" w:color="00338D"/>
              <w:bottom w:val="single" w:sz="4" w:space="0" w:color="00338D"/>
            </w:tcBorders>
            <w:vAlign w:val="center"/>
          </w:tcPr>
          <w:p w14:paraId="05973119" w14:textId="77777777" w:rsidR="002A6A78" w:rsidRDefault="002A6A78" w:rsidP="00F27C38">
            <w:pPr>
              <w:pStyle w:val="Tabletext"/>
            </w:pPr>
            <w:r>
              <w:t>3-5</w:t>
            </w:r>
          </w:p>
        </w:tc>
        <w:tc>
          <w:tcPr>
            <w:tcW w:w="470" w:type="pct"/>
            <w:tcBorders>
              <w:top w:val="single" w:sz="4" w:space="0" w:color="00338D"/>
              <w:bottom w:val="single" w:sz="4" w:space="0" w:color="00338D"/>
            </w:tcBorders>
            <w:vAlign w:val="center"/>
          </w:tcPr>
          <w:p w14:paraId="14433CB7" w14:textId="77777777" w:rsidR="002A6A78" w:rsidRPr="0045336F" w:rsidDel="00E74A70" w:rsidRDefault="002A6A78" w:rsidP="00F27C38">
            <w:pPr>
              <w:pStyle w:val="Tabletext"/>
              <w:jc w:val="center"/>
            </w:pPr>
            <w:r w:rsidRPr="00CC6651">
              <w:t>13,186</w:t>
            </w:r>
          </w:p>
        </w:tc>
        <w:tc>
          <w:tcPr>
            <w:tcW w:w="878" w:type="pct"/>
            <w:tcBorders>
              <w:top w:val="single" w:sz="4" w:space="0" w:color="00338D"/>
              <w:bottom w:val="single" w:sz="4" w:space="0" w:color="00338D"/>
            </w:tcBorders>
            <w:vAlign w:val="center"/>
          </w:tcPr>
          <w:p w14:paraId="727CE788" w14:textId="77777777" w:rsidR="002A6A78" w:rsidRDefault="002A6A78" w:rsidP="00F27C38">
            <w:pPr>
              <w:pStyle w:val="Tabletext"/>
              <w:jc w:val="center"/>
            </w:pPr>
            <w:r w:rsidRPr="00C63877">
              <w:t>65.0</w:t>
            </w:r>
          </w:p>
          <w:p w14:paraId="3CCB4F4E" w14:textId="77777777" w:rsidR="002A6A78" w:rsidRPr="0045336F" w:rsidDel="00E74A70" w:rsidRDefault="002A6A78" w:rsidP="00F27C38">
            <w:pPr>
              <w:pStyle w:val="Tabletext"/>
              <w:jc w:val="center"/>
            </w:pPr>
            <w:r>
              <w:t>(</w:t>
            </w:r>
            <w:r w:rsidRPr="00070D1D">
              <w:t>11</w:t>
            </w:r>
            <w:r w:rsidRPr="00372524">
              <w:t>.2</w:t>
            </w:r>
            <w:r>
              <w:t>)</w:t>
            </w:r>
          </w:p>
        </w:tc>
        <w:tc>
          <w:tcPr>
            <w:tcW w:w="830" w:type="pct"/>
            <w:tcBorders>
              <w:top w:val="single" w:sz="4" w:space="0" w:color="00338D"/>
              <w:bottom w:val="single" w:sz="4" w:space="0" w:color="00338D"/>
            </w:tcBorders>
            <w:vAlign w:val="center"/>
          </w:tcPr>
          <w:p w14:paraId="5EAE49C3" w14:textId="77777777" w:rsidR="002A6A78" w:rsidRDefault="002A6A78" w:rsidP="00F27C38">
            <w:pPr>
              <w:pStyle w:val="Tabletext"/>
              <w:jc w:val="center"/>
            </w:pPr>
            <w:r w:rsidRPr="00BA6729">
              <w:t>68.2</w:t>
            </w:r>
          </w:p>
          <w:p w14:paraId="5F50A34B" w14:textId="77777777" w:rsidR="002A6A78" w:rsidRPr="0045336F" w:rsidDel="00E74A70" w:rsidRDefault="002A6A78" w:rsidP="00F27C38">
            <w:pPr>
              <w:pStyle w:val="Tabletext"/>
              <w:jc w:val="center"/>
            </w:pPr>
            <w:r>
              <w:t>(</w:t>
            </w:r>
            <w:r w:rsidRPr="005A47A7">
              <w:t>11</w:t>
            </w:r>
            <w:r w:rsidRPr="00372524">
              <w:t>.8</w:t>
            </w:r>
            <w:r>
              <w:t>)</w:t>
            </w:r>
          </w:p>
        </w:tc>
        <w:tc>
          <w:tcPr>
            <w:tcW w:w="977" w:type="pct"/>
            <w:tcBorders>
              <w:top w:val="single" w:sz="4" w:space="0" w:color="00338D"/>
              <w:bottom w:val="single" w:sz="4" w:space="0" w:color="00338D"/>
            </w:tcBorders>
            <w:vAlign w:val="center"/>
          </w:tcPr>
          <w:p w14:paraId="33954BD7" w14:textId="77777777" w:rsidR="002A6A78" w:rsidRDefault="002A6A78" w:rsidP="00F27C38">
            <w:pPr>
              <w:pStyle w:val="Tabletext"/>
              <w:jc w:val="center"/>
            </w:pPr>
            <w:r w:rsidRPr="00342099">
              <w:t>3.2</w:t>
            </w:r>
          </w:p>
          <w:p w14:paraId="018B378C" w14:textId="77777777" w:rsidR="002A6A78" w:rsidRPr="0045336F" w:rsidDel="00E74A70" w:rsidRDefault="002A6A78" w:rsidP="00F27C38">
            <w:pPr>
              <w:pStyle w:val="Tabletext"/>
              <w:jc w:val="center"/>
            </w:pPr>
            <w:r>
              <w:t>(</w:t>
            </w:r>
            <w:r w:rsidRPr="0052761A">
              <w:t>11.3</w:t>
            </w:r>
            <w:r>
              <w:t>)</w:t>
            </w:r>
          </w:p>
        </w:tc>
        <w:tc>
          <w:tcPr>
            <w:tcW w:w="830" w:type="pct"/>
            <w:tcBorders>
              <w:top w:val="single" w:sz="4" w:space="0" w:color="00338D"/>
              <w:bottom w:val="single" w:sz="4" w:space="0" w:color="00338D"/>
            </w:tcBorders>
            <w:vAlign w:val="center"/>
          </w:tcPr>
          <w:p w14:paraId="54DEB16D" w14:textId="77777777" w:rsidR="002A6A78" w:rsidRDefault="002A6A78" w:rsidP="00F27C38">
            <w:pPr>
              <w:pStyle w:val="Tabletext"/>
              <w:jc w:val="center"/>
            </w:pPr>
            <w:r w:rsidRPr="006D73E3">
              <w:t>2.7</w:t>
            </w:r>
          </w:p>
          <w:p w14:paraId="7E498BF2" w14:textId="77777777" w:rsidR="002A6A78" w:rsidRPr="0045336F" w:rsidDel="00E74A70" w:rsidRDefault="002A6A78" w:rsidP="00F27C38">
            <w:pPr>
              <w:pStyle w:val="Tabletext"/>
              <w:jc w:val="center"/>
            </w:pPr>
            <w:r>
              <w:t>(</w:t>
            </w:r>
            <w:r w:rsidRPr="00BB3D40">
              <w:t>10.3</w:t>
            </w:r>
            <w:r>
              <w:t>)</w:t>
            </w:r>
          </w:p>
        </w:tc>
      </w:tr>
      <w:tr w:rsidR="002A6A78" w14:paraId="28767A37" w14:textId="77777777" w:rsidTr="00F27C38">
        <w:tc>
          <w:tcPr>
            <w:tcW w:w="1014" w:type="pct"/>
            <w:tcBorders>
              <w:top w:val="single" w:sz="4" w:space="0" w:color="00338D"/>
              <w:bottom w:val="single" w:sz="4" w:space="0" w:color="00338D"/>
            </w:tcBorders>
            <w:vAlign w:val="center"/>
          </w:tcPr>
          <w:p w14:paraId="729D5C8A" w14:textId="77777777" w:rsidR="002A6A78" w:rsidRDefault="002A6A78" w:rsidP="00F27C38">
            <w:pPr>
              <w:pStyle w:val="Tabletext"/>
            </w:pPr>
            <w:r>
              <w:t>6-9</w:t>
            </w:r>
          </w:p>
        </w:tc>
        <w:tc>
          <w:tcPr>
            <w:tcW w:w="470" w:type="pct"/>
            <w:tcBorders>
              <w:top w:val="single" w:sz="4" w:space="0" w:color="00338D"/>
              <w:bottom w:val="single" w:sz="4" w:space="0" w:color="00338D"/>
            </w:tcBorders>
            <w:vAlign w:val="center"/>
          </w:tcPr>
          <w:p w14:paraId="19F40CC7" w14:textId="77777777" w:rsidR="002A6A78" w:rsidRPr="0045336F" w:rsidDel="00E74A70" w:rsidRDefault="002A6A78" w:rsidP="00F27C38">
            <w:pPr>
              <w:pStyle w:val="Tabletext"/>
              <w:jc w:val="center"/>
            </w:pPr>
            <w:r w:rsidRPr="00CC6651">
              <w:t>7,219</w:t>
            </w:r>
          </w:p>
        </w:tc>
        <w:tc>
          <w:tcPr>
            <w:tcW w:w="878" w:type="pct"/>
            <w:tcBorders>
              <w:top w:val="single" w:sz="4" w:space="0" w:color="00338D"/>
              <w:bottom w:val="single" w:sz="4" w:space="0" w:color="00338D"/>
            </w:tcBorders>
            <w:vAlign w:val="center"/>
          </w:tcPr>
          <w:p w14:paraId="429ADE79" w14:textId="77777777" w:rsidR="002A6A78" w:rsidRDefault="002A6A78" w:rsidP="00F27C38">
            <w:pPr>
              <w:pStyle w:val="Tabletext"/>
              <w:jc w:val="center"/>
            </w:pPr>
            <w:r w:rsidRPr="00C63877">
              <w:t>64.9</w:t>
            </w:r>
          </w:p>
          <w:p w14:paraId="4A5599EE" w14:textId="77777777" w:rsidR="002A6A78" w:rsidRPr="0045336F" w:rsidDel="00E74A70" w:rsidRDefault="002A6A78" w:rsidP="00F27C38">
            <w:pPr>
              <w:pStyle w:val="Tabletext"/>
              <w:jc w:val="center"/>
            </w:pPr>
            <w:r>
              <w:t>(</w:t>
            </w:r>
            <w:r w:rsidRPr="00070D1D">
              <w:t>10.6</w:t>
            </w:r>
            <w:r>
              <w:t>)</w:t>
            </w:r>
          </w:p>
        </w:tc>
        <w:tc>
          <w:tcPr>
            <w:tcW w:w="830" w:type="pct"/>
            <w:tcBorders>
              <w:top w:val="single" w:sz="4" w:space="0" w:color="00338D"/>
              <w:bottom w:val="single" w:sz="4" w:space="0" w:color="00338D"/>
            </w:tcBorders>
            <w:vAlign w:val="center"/>
          </w:tcPr>
          <w:p w14:paraId="50FF0E5C" w14:textId="77777777" w:rsidR="002A6A78" w:rsidRDefault="002A6A78" w:rsidP="00F27C38">
            <w:pPr>
              <w:pStyle w:val="Tabletext"/>
              <w:jc w:val="center"/>
            </w:pPr>
            <w:r w:rsidRPr="00BA6729">
              <w:t>70.4</w:t>
            </w:r>
          </w:p>
          <w:p w14:paraId="63D6C386" w14:textId="77777777" w:rsidR="002A6A78" w:rsidRPr="0045336F" w:rsidDel="00E74A70" w:rsidRDefault="002A6A78" w:rsidP="00F27C38">
            <w:pPr>
              <w:pStyle w:val="Tabletext"/>
              <w:jc w:val="center"/>
            </w:pPr>
            <w:r>
              <w:t>(</w:t>
            </w:r>
            <w:r w:rsidRPr="00190A14">
              <w:t>11.</w:t>
            </w:r>
            <w:r w:rsidRPr="00372524">
              <w:t>8</w:t>
            </w:r>
            <w:r>
              <w:t>)</w:t>
            </w:r>
          </w:p>
        </w:tc>
        <w:tc>
          <w:tcPr>
            <w:tcW w:w="977" w:type="pct"/>
            <w:tcBorders>
              <w:top w:val="single" w:sz="4" w:space="0" w:color="00338D"/>
              <w:bottom w:val="single" w:sz="4" w:space="0" w:color="00338D"/>
            </w:tcBorders>
            <w:vAlign w:val="center"/>
          </w:tcPr>
          <w:p w14:paraId="4117DF4B" w14:textId="77777777" w:rsidR="002A6A78" w:rsidRDefault="002A6A78" w:rsidP="00F27C38">
            <w:pPr>
              <w:pStyle w:val="Tabletext"/>
              <w:jc w:val="center"/>
            </w:pPr>
            <w:r w:rsidRPr="00342099">
              <w:t>5.5</w:t>
            </w:r>
          </w:p>
          <w:p w14:paraId="4BDE2480" w14:textId="77777777" w:rsidR="002A6A78" w:rsidRPr="0045336F" w:rsidDel="00E74A70" w:rsidRDefault="002A6A78" w:rsidP="00F27C38">
            <w:pPr>
              <w:pStyle w:val="Tabletext"/>
              <w:jc w:val="center"/>
            </w:pPr>
            <w:r>
              <w:t>(</w:t>
            </w:r>
            <w:r w:rsidRPr="0052761A">
              <w:t>12.</w:t>
            </w:r>
            <w:r w:rsidRPr="002E5679">
              <w:t>3</w:t>
            </w:r>
            <w:r>
              <w:t>)</w:t>
            </w:r>
          </w:p>
        </w:tc>
        <w:tc>
          <w:tcPr>
            <w:tcW w:w="830" w:type="pct"/>
            <w:tcBorders>
              <w:top w:val="single" w:sz="4" w:space="0" w:color="00338D"/>
              <w:bottom w:val="single" w:sz="4" w:space="0" w:color="00338D"/>
            </w:tcBorders>
            <w:vAlign w:val="center"/>
          </w:tcPr>
          <w:p w14:paraId="242B1DB1" w14:textId="77777777" w:rsidR="002A6A78" w:rsidRDefault="002A6A78" w:rsidP="00F27C38">
            <w:pPr>
              <w:pStyle w:val="Tabletext"/>
              <w:jc w:val="center"/>
            </w:pPr>
            <w:r w:rsidRPr="006D73E3">
              <w:t>5.0</w:t>
            </w:r>
          </w:p>
          <w:p w14:paraId="251EC4F4" w14:textId="77777777" w:rsidR="002A6A78" w:rsidRPr="0045336F" w:rsidDel="00E74A70" w:rsidRDefault="002A6A78" w:rsidP="00F27C38">
            <w:pPr>
              <w:pStyle w:val="Tabletext"/>
              <w:jc w:val="center"/>
            </w:pPr>
            <w:r>
              <w:t>(</w:t>
            </w:r>
            <w:r w:rsidRPr="00BB3D40">
              <w:t>11.</w:t>
            </w:r>
            <w:r w:rsidRPr="00454BCC">
              <w:t>2</w:t>
            </w:r>
            <w:r>
              <w:t>)</w:t>
            </w:r>
          </w:p>
        </w:tc>
      </w:tr>
      <w:tr w:rsidR="002A6A78" w14:paraId="11FABDB4" w14:textId="77777777" w:rsidTr="00F27C38">
        <w:tc>
          <w:tcPr>
            <w:tcW w:w="1014" w:type="pct"/>
            <w:tcBorders>
              <w:top w:val="single" w:sz="4" w:space="0" w:color="00338D"/>
              <w:bottom w:val="single" w:sz="2" w:space="0" w:color="808080" w:themeColor="background1" w:themeShade="80"/>
            </w:tcBorders>
            <w:vAlign w:val="center"/>
          </w:tcPr>
          <w:p w14:paraId="643B64F3" w14:textId="77777777" w:rsidR="002A6A78" w:rsidRDefault="002A6A78" w:rsidP="00F27C38">
            <w:pPr>
              <w:pStyle w:val="Tabletext"/>
            </w:pPr>
            <w:r>
              <w:t>10+</w:t>
            </w:r>
          </w:p>
        </w:tc>
        <w:tc>
          <w:tcPr>
            <w:tcW w:w="470" w:type="pct"/>
            <w:tcBorders>
              <w:top w:val="single" w:sz="4" w:space="0" w:color="00338D"/>
              <w:bottom w:val="single" w:sz="2" w:space="0" w:color="808080" w:themeColor="background1" w:themeShade="80"/>
            </w:tcBorders>
            <w:vAlign w:val="center"/>
          </w:tcPr>
          <w:p w14:paraId="559C975E" w14:textId="77777777" w:rsidR="002A6A78" w:rsidRPr="0045336F" w:rsidDel="00E74A70" w:rsidRDefault="002A6A78" w:rsidP="00F27C38">
            <w:pPr>
              <w:pStyle w:val="Tabletext"/>
              <w:jc w:val="center"/>
            </w:pPr>
            <w:r w:rsidRPr="00FF5DDC">
              <w:t>3,</w:t>
            </w:r>
            <w:r w:rsidRPr="00CC6651">
              <w:t>349</w:t>
            </w:r>
          </w:p>
        </w:tc>
        <w:tc>
          <w:tcPr>
            <w:tcW w:w="878" w:type="pct"/>
            <w:tcBorders>
              <w:top w:val="single" w:sz="4" w:space="0" w:color="00338D"/>
              <w:bottom w:val="single" w:sz="2" w:space="0" w:color="808080" w:themeColor="background1" w:themeShade="80"/>
            </w:tcBorders>
            <w:vAlign w:val="center"/>
          </w:tcPr>
          <w:p w14:paraId="7367C9DC" w14:textId="77777777" w:rsidR="002A6A78" w:rsidRDefault="002A6A78" w:rsidP="00F27C38">
            <w:pPr>
              <w:pStyle w:val="Tabletext"/>
              <w:jc w:val="center"/>
            </w:pPr>
            <w:r w:rsidRPr="00C63877">
              <w:t>63.6</w:t>
            </w:r>
          </w:p>
          <w:p w14:paraId="6FB7FF85" w14:textId="77777777" w:rsidR="002A6A78" w:rsidRPr="0045336F" w:rsidDel="00E74A70" w:rsidRDefault="002A6A78" w:rsidP="00F27C38">
            <w:pPr>
              <w:pStyle w:val="Tabletext"/>
              <w:jc w:val="center"/>
            </w:pPr>
            <w:r>
              <w:t>(</w:t>
            </w:r>
            <w:r w:rsidRPr="00070D1D">
              <w:t>11</w:t>
            </w:r>
            <w:r w:rsidRPr="00595D34">
              <w:t>.0</w:t>
            </w:r>
            <w:r>
              <w:t>)</w:t>
            </w:r>
          </w:p>
        </w:tc>
        <w:tc>
          <w:tcPr>
            <w:tcW w:w="830" w:type="pct"/>
            <w:tcBorders>
              <w:top w:val="single" w:sz="4" w:space="0" w:color="00338D"/>
              <w:bottom w:val="single" w:sz="2" w:space="0" w:color="808080" w:themeColor="background1" w:themeShade="80"/>
            </w:tcBorders>
            <w:vAlign w:val="center"/>
          </w:tcPr>
          <w:p w14:paraId="00D2823D" w14:textId="77777777" w:rsidR="002A6A78" w:rsidRDefault="002A6A78" w:rsidP="00F27C38">
            <w:pPr>
              <w:pStyle w:val="Tabletext"/>
              <w:jc w:val="center"/>
            </w:pPr>
            <w:r w:rsidRPr="00BA6729">
              <w:t>70.1</w:t>
            </w:r>
          </w:p>
          <w:p w14:paraId="26DB0773" w14:textId="77777777" w:rsidR="002A6A78" w:rsidRPr="0045336F" w:rsidDel="00E74A70" w:rsidRDefault="002A6A78" w:rsidP="00F27C38">
            <w:pPr>
              <w:pStyle w:val="Tabletext"/>
              <w:jc w:val="center"/>
            </w:pPr>
            <w:r>
              <w:t>(</w:t>
            </w:r>
            <w:r w:rsidRPr="00190A14">
              <w:t>12.0</w:t>
            </w:r>
            <w:r>
              <w:t>)</w:t>
            </w:r>
          </w:p>
        </w:tc>
        <w:tc>
          <w:tcPr>
            <w:tcW w:w="977" w:type="pct"/>
            <w:tcBorders>
              <w:top w:val="single" w:sz="4" w:space="0" w:color="00338D"/>
              <w:bottom w:val="single" w:sz="2" w:space="0" w:color="808080" w:themeColor="background1" w:themeShade="80"/>
            </w:tcBorders>
            <w:vAlign w:val="center"/>
          </w:tcPr>
          <w:p w14:paraId="3BB97D7A" w14:textId="77777777" w:rsidR="002A6A78" w:rsidRDefault="002A6A78" w:rsidP="00F27C38">
            <w:pPr>
              <w:pStyle w:val="Tabletext"/>
              <w:jc w:val="center"/>
            </w:pPr>
            <w:r w:rsidRPr="00342099">
              <w:t>6.5</w:t>
            </w:r>
          </w:p>
          <w:p w14:paraId="560F8739" w14:textId="77777777" w:rsidR="002A6A78" w:rsidRPr="0045336F" w:rsidDel="00E74A70" w:rsidRDefault="002A6A78" w:rsidP="00F27C38">
            <w:pPr>
              <w:pStyle w:val="Tabletext"/>
              <w:jc w:val="center"/>
            </w:pPr>
            <w:r>
              <w:t>(</w:t>
            </w:r>
            <w:r w:rsidRPr="0052761A">
              <w:t>13</w:t>
            </w:r>
            <w:r w:rsidRPr="002E5679">
              <w:t>.4</w:t>
            </w:r>
            <w:r>
              <w:t>)</w:t>
            </w:r>
          </w:p>
        </w:tc>
        <w:tc>
          <w:tcPr>
            <w:tcW w:w="830" w:type="pct"/>
            <w:tcBorders>
              <w:top w:val="single" w:sz="4" w:space="0" w:color="00338D"/>
              <w:bottom w:val="single" w:sz="2" w:space="0" w:color="808080" w:themeColor="background1" w:themeShade="80"/>
            </w:tcBorders>
            <w:vAlign w:val="center"/>
          </w:tcPr>
          <w:p w14:paraId="2CC38C65" w14:textId="77777777" w:rsidR="002A6A78" w:rsidRDefault="002A6A78" w:rsidP="00F27C38">
            <w:pPr>
              <w:pStyle w:val="Tabletext"/>
              <w:jc w:val="center"/>
            </w:pPr>
            <w:r w:rsidRPr="006D73E3">
              <w:t>5.5</w:t>
            </w:r>
          </w:p>
          <w:p w14:paraId="64EDCDBD" w14:textId="77777777" w:rsidR="002A6A78" w:rsidRPr="0045336F" w:rsidDel="00E74A70" w:rsidRDefault="002A6A78" w:rsidP="00F27C38">
            <w:pPr>
              <w:pStyle w:val="Tabletext"/>
              <w:jc w:val="center"/>
            </w:pPr>
            <w:r>
              <w:t>(</w:t>
            </w:r>
            <w:r w:rsidRPr="00BB3D40">
              <w:t>11</w:t>
            </w:r>
            <w:r w:rsidRPr="00246E64">
              <w:t>.9</w:t>
            </w:r>
            <w:r>
              <w:t>)</w:t>
            </w:r>
          </w:p>
        </w:tc>
      </w:tr>
    </w:tbl>
    <w:p w14:paraId="5B4C6766" w14:textId="46DCE3B7" w:rsidR="002A6A78" w:rsidRDefault="002A6A78" w:rsidP="002A6A78">
      <w:pPr>
        <w:pStyle w:val="Source"/>
      </w:pPr>
      <w:r w:rsidRPr="00A7396B">
        <w:t xml:space="preserve">Source: </w:t>
      </w:r>
      <w:r>
        <w:t>KPMG analysis of</w:t>
      </w:r>
      <w:r w:rsidRPr="00A7396B">
        <w:t xml:space="preserve"> KPMG </w:t>
      </w:r>
      <w:r w:rsidRPr="00CF2E3E">
        <w:t xml:space="preserve">master dataset – </w:t>
      </w:r>
      <w:r>
        <w:t>Episodes with non-missing services and issue data</w:t>
      </w:r>
    </w:p>
    <w:p w14:paraId="1327A899" w14:textId="0FFD5E4E" w:rsidR="002A6A78" w:rsidRDefault="002A6A78" w:rsidP="00E73D1F">
      <w:pPr>
        <w:pStyle w:val="Source"/>
        <w:rPr>
          <w:szCs w:val="16"/>
        </w:rPr>
      </w:pPr>
      <w:r w:rsidRPr="00257C3D">
        <w:t xml:space="preserve">Notes: See </w:t>
      </w:r>
      <w:r w:rsidR="009B1C27">
        <w:fldChar w:fldCharType="begin" w:fldLock="1"/>
      </w:r>
      <w:r w:rsidR="009B1C27">
        <w:instrText xml:space="preserve"> REF _Ref98402466 \r \h </w:instrText>
      </w:r>
      <w:r w:rsidR="009B1C27">
        <w:fldChar w:fldCharType="separate"/>
      </w:r>
      <w:r w:rsidR="00AE4D34">
        <w:t>Appendix F</w:t>
      </w:r>
      <w:r w:rsidR="009B1C27">
        <w:fldChar w:fldCharType="end"/>
      </w:r>
      <w:r w:rsidRPr="00257C3D">
        <w:t xml:space="preserve"> for detailed exclusion criteria. Number of episodes: 46,241 including episodes with non missing intake and/or final SOFAS </w:t>
      </w:r>
      <w:r>
        <w:t>outcome measures</w:t>
      </w:r>
      <w:r w:rsidRPr="00257C3D">
        <w:t>.</w:t>
      </w:r>
      <w:r w:rsidRPr="00511479">
        <w:t xml:space="preserve"> </w:t>
      </w:r>
      <w:r>
        <w:t xml:space="preserve">Improvement is measured by </w:t>
      </w:r>
      <w:r w:rsidRPr="00C4306D">
        <w:t>the di</w:t>
      </w:r>
      <w:r w:rsidRPr="00CF2E3E">
        <w:t xml:space="preserve">fference between the last observed </w:t>
      </w:r>
      <w:r>
        <w:t>measure</w:t>
      </w:r>
      <w:r w:rsidRPr="00CF2E3E">
        <w:t xml:space="preserve"> and the initially observed </w:t>
      </w:r>
      <w:r>
        <w:t>measurement</w:t>
      </w:r>
      <w:r w:rsidRPr="00CF2E3E">
        <w:t xml:space="preserve">. </w:t>
      </w:r>
      <w:r>
        <w:t>Where indicated, outcome measurements</w:t>
      </w:r>
      <w:r w:rsidRPr="00CF2E3E">
        <w:t xml:space="preserve"> have been adjusted for regression to the mean effects.</w:t>
      </w:r>
      <w:r>
        <w:t xml:space="preserve"> </w:t>
      </w:r>
      <w:r w:rsidRPr="004A0D96">
        <w:rPr>
          <w:szCs w:val="16"/>
        </w:rPr>
        <w:t>SD: Standard deviation.</w:t>
      </w:r>
    </w:p>
    <w:p w14:paraId="737BA861" w14:textId="1362B68A" w:rsidR="002A6A78" w:rsidRDefault="00072CB6" w:rsidP="002A6A78">
      <w:pPr>
        <w:pStyle w:val="BodyText"/>
      </w:pPr>
      <w:r>
        <w:rPr>
          <w:i/>
          <w:iCs/>
        </w:rPr>
        <w:fldChar w:fldCharType="begin" w:fldLock="1"/>
      </w:r>
      <w:r>
        <w:instrText xml:space="preserve"> REF _Ref97749532 \h </w:instrText>
      </w:r>
      <w:r>
        <w:rPr>
          <w:i/>
          <w:iCs/>
        </w:rPr>
      </w:r>
      <w:r>
        <w:rPr>
          <w:i/>
          <w:iCs/>
        </w:rPr>
        <w:fldChar w:fldCharType="separate"/>
      </w:r>
      <w:r w:rsidR="00073E45">
        <w:t xml:space="preserve">Table </w:t>
      </w:r>
      <w:r w:rsidR="00073E45">
        <w:rPr>
          <w:noProof/>
        </w:rPr>
        <w:t>63</w:t>
      </w:r>
      <w:r>
        <w:rPr>
          <w:i/>
          <w:iCs/>
        </w:rPr>
        <w:fldChar w:fldCharType="end"/>
      </w:r>
      <w:r w:rsidR="002A6A78">
        <w:rPr>
          <w:i/>
          <w:iCs/>
        </w:rPr>
        <w:t xml:space="preserve"> </w:t>
      </w:r>
      <w:r w:rsidR="002A6A78">
        <w:t xml:space="preserve">summarises the average changes in the MLT outcome measures by the number of </w:t>
      </w:r>
      <w:r w:rsidR="007B2863">
        <w:t>OOS</w:t>
      </w:r>
      <w:r w:rsidR="002A6A78">
        <w:t xml:space="preserve"> as observed, and after adjusting for RTM. Like the K10s and SOFAS, average improvements in the MLT outcome measure increased with the number of </w:t>
      </w:r>
      <w:r w:rsidR="009C028B">
        <w:t>OOS</w:t>
      </w:r>
      <w:r w:rsidR="002A6A78">
        <w:t>, even after adjusting for RTM.</w:t>
      </w:r>
    </w:p>
    <w:p w14:paraId="69F79748" w14:textId="208CD427" w:rsidR="002A6A78" w:rsidRDefault="002A6A78" w:rsidP="002A6A78">
      <w:pPr>
        <w:pStyle w:val="Caption"/>
      </w:pPr>
      <w:bookmarkStart w:id="304" w:name="_Ref97749532"/>
      <w:bookmarkStart w:id="305" w:name="_Toc108109013"/>
      <w:r>
        <w:t xml:space="preserve">Table </w:t>
      </w:r>
      <w:r>
        <w:fldChar w:fldCharType="begin"/>
      </w:r>
      <w:r>
        <w:instrText>SEQ Table \* ARABIC</w:instrText>
      </w:r>
      <w:r>
        <w:fldChar w:fldCharType="separate"/>
      </w:r>
      <w:r w:rsidR="00CC0438">
        <w:rPr>
          <w:noProof/>
        </w:rPr>
        <w:t>63</w:t>
      </w:r>
      <w:r>
        <w:fldChar w:fldCharType="end"/>
      </w:r>
      <w:bookmarkEnd w:id="304"/>
      <w:r>
        <w:t>: Average intake, final and change in MLT measurements in young people accessing headspace</w:t>
      </w:r>
      <w:bookmarkEnd w:id="30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verage intake, final and change in MLT measurement in young people accessing headspace"/>
        <w:tblDescription w:val="Table has 6 columns summarising changes in MLT outcome measurements for young people. Column 1 lists the number of occasions of service received in the episode of care. Column 2 indicates the number of episodes of care with the corresponding number of occasions of service. Column 3 summarises the average score on intake. Column 4 summarises the average final measurement. Column 5 summarises the average improvement observed in young people. Column 6 summarises the average improvement, with regression to the mean applied. &#10;Each result also has the standard deviation presented in brackets.&#10;&#10;"/>
      </w:tblPr>
      <w:tblGrid>
        <w:gridCol w:w="1820"/>
        <w:gridCol w:w="946"/>
        <w:gridCol w:w="1574"/>
        <w:gridCol w:w="1488"/>
        <w:gridCol w:w="1754"/>
        <w:gridCol w:w="1488"/>
      </w:tblGrid>
      <w:tr w:rsidR="002A6A78" w:rsidRPr="00D65A2D" w14:paraId="79093E9C" w14:textId="77777777" w:rsidTr="00740EE1">
        <w:trPr>
          <w:tblHeader/>
        </w:trPr>
        <w:tc>
          <w:tcPr>
            <w:tcW w:w="1014" w:type="pct"/>
            <w:tcBorders>
              <w:bottom w:val="single" w:sz="4" w:space="0" w:color="00338D"/>
            </w:tcBorders>
            <w:shd w:val="clear" w:color="auto" w:fill="00338D"/>
          </w:tcPr>
          <w:p w14:paraId="5A73A3B5" w14:textId="77777777" w:rsidR="002A6A78" w:rsidRDefault="002A6A78" w:rsidP="00F27C38">
            <w:pPr>
              <w:pStyle w:val="Tableheading"/>
            </w:pPr>
            <w:r>
              <w:t>Occasions of service per episode</w:t>
            </w:r>
          </w:p>
        </w:tc>
        <w:tc>
          <w:tcPr>
            <w:tcW w:w="470" w:type="pct"/>
            <w:tcBorders>
              <w:bottom w:val="single" w:sz="4" w:space="0" w:color="00338D"/>
            </w:tcBorders>
            <w:shd w:val="clear" w:color="auto" w:fill="00338D"/>
          </w:tcPr>
          <w:p w14:paraId="215C4EF1" w14:textId="77777777" w:rsidR="002A6A78" w:rsidRDefault="002A6A78" w:rsidP="00F27C38">
            <w:pPr>
              <w:pStyle w:val="Tableheading"/>
              <w:jc w:val="center"/>
            </w:pPr>
            <w:r>
              <w:t>Episodes</w:t>
            </w:r>
          </w:p>
        </w:tc>
        <w:tc>
          <w:tcPr>
            <w:tcW w:w="878" w:type="pct"/>
            <w:tcBorders>
              <w:bottom w:val="single" w:sz="4" w:space="0" w:color="00338D"/>
            </w:tcBorders>
            <w:shd w:val="clear" w:color="auto" w:fill="00338D"/>
          </w:tcPr>
          <w:p w14:paraId="6D4D3483" w14:textId="77777777" w:rsidR="002A6A78" w:rsidRDefault="002A6A78" w:rsidP="00F27C38">
            <w:pPr>
              <w:pStyle w:val="Tableheading"/>
              <w:jc w:val="center"/>
            </w:pPr>
            <w:r>
              <w:t>Average intake measures (SD)</w:t>
            </w:r>
          </w:p>
        </w:tc>
        <w:tc>
          <w:tcPr>
            <w:tcW w:w="830" w:type="pct"/>
            <w:tcBorders>
              <w:bottom w:val="single" w:sz="4" w:space="0" w:color="00338D"/>
            </w:tcBorders>
            <w:shd w:val="clear" w:color="auto" w:fill="00338D"/>
          </w:tcPr>
          <w:p w14:paraId="45E471F0" w14:textId="77777777" w:rsidR="002A6A78" w:rsidRPr="00D65A2D" w:rsidRDefault="002A6A78" w:rsidP="00F27C38">
            <w:pPr>
              <w:pStyle w:val="Tableheading"/>
              <w:jc w:val="center"/>
            </w:pPr>
            <w:r>
              <w:t>Average final measures (SD)</w:t>
            </w:r>
          </w:p>
        </w:tc>
        <w:tc>
          <w:tcPr>
            <w:tcW w:w="977" w:type="pct"/>
            <w:tcBorders>
              <w:bottom w:val="single" w:sz="4" w:space="0" w:color="00338D"/>
            </w:tcBorders>
            <w:shd w:val="clear" w:color="auto" w:fill="00338D"/>
          </w:tcPr>
          <w:p w14:paraId="67F3D0D6" w14:textId="77777777" w:rsidR="002A6A78" w:rsidRDefault="002A6A78" w:rsidP="00F27C38">
            <w:pPr>
              <w:pStyle w:val="Tableheading"/>
              <w:jc w:val="center"/>
            </w:pPr>
            <w:r>
              <w:t>Average improvement – observed (SD)</w:t>
            </w:r>
          </w:p>
        </w:tc>
        <w:tc>
          <w:tcPr>
            <w:tcW w:w="830" w:type="pct"/>
            <w:tcBorders>
              <w:bottom w:val="single" w:sz="4" w:space="0" w:color="00338D"/>
            </w:tcBorders>
            <w:shd w:val="clear" w:color="auto" w:fill="00338D"/>
          </w:tcPr>
          <w:p w14:paraId="0F9F9AFB" w14:textId="77777777" w:rsidR="002A6A78" w:rsidRDefault="002A6A78" w:rsidP="00F27C38">
            <w:pPr>
              <w:pStyle w:val="Tableheading"/>
              <w:jc w:val="center"/>
            </w:pPr>
            <w:r>
              <w:t xml:space="preserve">Average improvement – RTM adjusted (SD) </w:t>
            </w:r>
          </w:p>
        </w:tc>
      </w:tr>
      <w:tr w:rsidR="002A6A78" w14:paraId="2C4BE9E7" w14:textId="77777777" w:rsidTr="00F27C38">
        <w:tc>
          <w:tcPr>
            <w:tcW w:w="1014" w:type="pct"/>
            <w:tcBorders>
              <w:top w:val="single" w:sz="4" w:space="0" w:color="00338D"/>
              <w:bottom w:val="single" w:sz="4" w:space="0" w:color="00338D"/>
            </w:tcBorders>
            <w:vAlign w:val="center"/>
          </w:tcPr>
          <w:p w14:paraId="72B3E60C" w14:textId="77777777" w:rsidR="002A6A78" w:rsidRDefault="002A6A78" w:rsidP="00F27C38">
            <w:pPr>
              <w:pStyle w:val="Tabletext"/>
            </w:pPr>
            <w:r>
              <w:t>1</w:t>
            </w:r>
          </w:p>
        </w:tc>
        <w:tc>
          <w:tcPr>
            <w:tcW w:w="470" w:type="pct"/>
            <w:tcBorders>
              <w:top w:val="single" w:sz="4" w:space="0" w:color="00338D"/>
              <w:bottom w:val="single" w:sz="4" w:space="0" w:color="00338D"/>
            </w:tcBorders>
          </w:tcPr>
          <w:p w14:paraId="7A8D5277" w14:textId="77777777" w:rsidR="002A6A78" w:rsidRPr="0045336F" w:rsidDel="00E74A70" w:rsidRDefault="002A6A78" w:rsidP="00F27C38">
            <w:pPr>
              <w:pStyle w:val="Tabletext"/>
              <w:jc w:val="center"/>
            </w:pPr>
            <w:r w:rsidRPr="00FF5DDC">
              <w:t>11,</w:t>
            </w:r>
            <w:r w:rsidRPr="00D82D03">
              <w:t xml:space="preserve">862 </w:t>
            </w:r>
          </w:p>
        </w:tc>
        <w:tc>
          <w:tcPr>
            <w:tcW w:w="878" w:type="pct"/>
            <w:tcBorders>
              <w:top w:val="single" w:sz="4" w:space="0" w:color="00338D"/>
              <w:bottom w:val="single" w:sz="4" w:space="0" w:color="00338D"/>
            </w:tcBorders>
          </w:tcPr>
          <w:p w14:paraId="1AA1A607" w14:textId="77777777" w:rsidR="002A6A78" w:rsidRDefault="002A6A78" w:rsidP="00F27C38">
            <w:pPr>
              <w:pStyle w:val="Tabletext"/>
              <w:jc w:val="center"/>
            </w:pPr>
            <w:r w:rsidRPr="00DE00F1">
              <w:t>48.8</w:t>
            </w:r>
          </w:p>
          <w:p w14:paraId="466B2BB1" w14:textId="77777777" w:rsidR="002A6A78" w:rsidRPr="0045336F" w:rsidDel="00E74A70" w:rsidRDefault="002A6A78" w:rsidP="00F27C38">
            <w:pPr>
              <w:pStyle w:val="Tabletext"/>
              <w:jc w:val="center"/>
            </w:pPr>
            <w:r>
              <w:t>(</w:t>
            </w:r>
            <w:r w:rsidRPr="00C469FA">
              <w:t>21</w:t>
            </w:r>
            <w:r w:rsidRPr="00595D34">
              <w:t>.4</w:t>
            </w:r>
            <w:r>
              <w:t>)</w:t>
            </w:r>
          </w:p>
        </w:tc>
        <w:tc>
          <w:tcPr>
            <w:tcW w:w="830" w:type="pct"/>
            <w:tcBorders>
              <w:top w:val="single" w:sz="4" w:space="0" w:color="00338D"/>
              <w:bottom w:val="single" w:sz="4" w:space="0" w:color="00338D"/>
            </w:tcBorders>
            <w:vAlign w:val="center"/>
          </w:tcPr>
          <w:p w14:paraId="1877F447" w14:textId="77777777" w:rsidR="002A6A78" w:rsidRPr="005044A7" w:rsidRDefault="002A6A78" w:rsidP="00F27C38">
            <w:pPr>
              <w:pStyle w:val="Tabletext"/>
              <w:jc w:val="center"/>
            </w:pPr>
          </w:p>
        </w:tc>
        <w:tc>
          <w:tcPr>
            <w:tcW w:w="977" w:type="pct"/>
            <w:tcBorders>
              <w:top w:val="single" w:sz="4" w:space="0" w:color="00338D"/>
              <w:bottom w:val="single" w:sz="4" w:space="0" w:color="00338D"/>
            </w:tcBorders>
            <w:vAlign w:val="center"/>
          </w:tcPr>
          <w:p w14:paraId="4CE30C80" w14:textId="77777777" w:rsidR="002A6A78" w:rsidRDefault="002A6A78" w:rsidP="00F27C38">
            <w:pPr>
              <w:pStyle w:val="Tabletext"/>
              <w:jc w:val="center"/>
            </w:pPr>
          </w:p>
        </w:tc>
        <w:tc>
          <w:tcPr>
            <w:tcW w:w="830" w:type="pct"/>
            <w:tcBorders>
              <w:top w:val="single" w:sz="4" w:space="0" w:color="00338D"/>
              <w:bottom w:val="single" w:sz="4" w:space="0" w:color="00338D"/>
            </w:tcBorders>
            <w:vAlign w:val="center"/>
          </w:tcPr>
          <w:p w14:paraId="3D6379FE" w14:textId="77777777" w:rsidR="002A6A78" w:rsidRDefault="002A6A78" w:rsidP="00F27C38">
            <w:pPr>
              <w:pStyle w:val="Tabletext"/>
              <w:jc w:val="center"/>
            </w:pPr>
          </w:p>
        </w:tc>
      </w:tr>
      <w:tr w:rsidR="002A6A78" w14:paraId="4F380D07" w14:textId="77777777" w:rsidTr="00F27C38">
        <w:tc>
          <w:tcPr>
            <w:tcW w:w="1014" w:type="pct"/>
            <w:tcBorders>
              <w:top w:val="single" w:sz="4" w:space="0" w:color="00338D"/>
              <w:bottom w:val="single" w:sz="4" w:space="0" w:color="00338D"/>
            </w:tcBorders>
            <w:vAlign w:val="center"/>
          </w:tcPr>
          <w:p w14:paraId="77591A95" w14:textId="77777777" w:rsidR="002A6A78" w:rsidRDefault="002A6A78" w:rsidP="00F27C38">
            <w:pPr>
              <w:pStyle w:val="Tabletext"/>
            </w:pPr>
            <w:r>
              <w:t>2</w:t>
            </w:r>
          </w:p>
        </w:tc>
        <w:tc>
          <w:tcPr>
            <w:tcW w:w="470" w:type="pct"/>
            <w:tcBorders>
              <w:top w:val="single" w:sz="4" w:space="0" w:color="00338D"/>
              <w:bottom w:val="single" w:sz="4" w:space="0" w:color="00338D"/>
            </w:tcBorders>
          </w:tcPr>
          <w:p w14:paraId="305DB3E6" w14:textId="77777777" w:rsidR="002A6A78" w:rsidRPr="0045336F" w:rsidDel="00E74A70" w:rsidRDefault="002A6A78" w:rsidP="00F27C38">
            <w:pPr>
              <w:pStyle w:val="Tabletext"/>
              <w:jc w:val="center"/>
            </w:pPr>
            <w:r w:rsidRPr="00FF5DDC">
              <w:t>5,</w:t>
            </w:r>
            <w:r w:rsidRPr="00D82D03">
              <w:t xml:space="preserve">752 </w:t>
            </w:r>
          </w:p>
        </w:tc>
        <w:tc>
          <w:tcPr>
            <w:tcW w:w="878" w:type="pct"/>
            <w:tcBorders>
              <w:top w:val="single" w:sz="4" w:space="0" w:color="00338D"/>
              <w:bottom w:val="single" w:sz="4" w:space="0" w:color="00338D"/>
            </w:tcBorders>
          </w:tcPr>
          <w:p w14:paraId="15CB5C71" w14:textId="77777777" w:rsidR="002A6A78" w:rsidRDefault="002A6A78" w:rsidP="00F27C38">
            <w:pPr>
              <w:pStyle w:val="Tabletext"/>
              <w:jc w:val="center"/>
            </w:pPr>
            <w:r w:rsidRPr="00DE00F1">
              <w:t>49.0</w:t>
            </w:r>
          </w:p>
          <w:p w14:paraId="35A62561" w14:textId="77777777" w:rsidR="002A6A78" w:rsidRPr="0045336F" w:rsidDel="00E74A70" w:rsidRDefault="002A6A78" w:rsidP="00F27C38">
            <w:pPr>
              <w:pStyle w:val="Tabletext"/>
              <w:jc w:val="center"/>
            </w:pPr>
            <w:r>
              <w:t>(</w:t>
            </w:r>
            <w:r w:rsidRPr="00C469FA">
              <w:t>21.2</w:t>
            </w:r>
            <w:r>
              <w:t>)</w:t>
            </w:r>
          </w:p>
        </w:tc>
        <w:tc>
          <w:tcPr>
            <w:tcW w:w="830" w:type="pct"/>
            <w:tcBorders>
              <w:top w:val="single" w:sz="4" w:space="0" w:color="00338D"/>
              <w:bottom w:val="single" w:sz="4" w:space="0" w:color="00338D"/>
            </w:tcBorders>
          </w:tcPr>
          <w:p w14:paraId="41F4DB45" w14:textId="77777777" w:rsidR="002A6A78" w:rsidRDefault="002A6A78" w:rsidP="00F27C38">
            <w:pPr>
              <w:pStyle w:val="Tabletext"/>
              <w:jc w:val="center"/>
            </w:pPr>
            <w:r w:rsidRPr="005F5073">
              <w:t>53.2</w:t>
            </w:r>
          </w:p>
          <w:p w14:paraId="698CC885" w14:textId="77777777" w:rsidR="002A6A78" w:rsidRPr="0045336F" w:rsidDel="00E74A70" w:rsidRDefault="002A6A78" w:rsidP="00F27C38">
            <w:pPr>
              <w:pStyle w:val="Tabletext"/>
              <w:jc w:val="center"/>
            </w:pPr>
            <w:r>
              <w:t>(</w:t>
            </w:r>
            <w:r w:rsidRPr="006212D8">
              <w:t>21.9</w:t>
            </w:r>
            <w:r>
              <w:t>)</w:t>
            </w:r>
          </w:p>
        </w:tc>
        <w:tc>
          <w:tcPr>
            <w:tcW w:w="977" w:type="pct"/>
            <w:tcBorders>
              <w:top w:val="single" w:sz="4" w:space="0" w:color="00338D"/>
              <w:bottom w:val="single" w:sz="4" w:space="0" w:color="00338D"/>
            </w:tcBorders>
          </w:tcPr>
          <w:p w14:paraId="58F58A14" w14:textId="77777777" w:rsidR="002A6A78" w:rsidRDefault="002A6A78" w:rsidP="00F27C38">
            <w:pPr>
              <w:pStyle w:val="Tabletext"/>
              <w:jc w:val="center"/>
            </w:pPr>
            <w:r w:rsidRPr="00246E64">
              <w:t>4.</w:t>
            </w:r>
            <w:r w:rsidRPr="00CD5221">
              <w:t>2</w:t>
            </w:r>
          </w:p>
          <w:p w14:paraId="5EBF1374" w14:textId="77777777" w:rsidR="002A6A78" w:rsidRPr="0045336F" w:rsidDel="00E74A70" w:rsidRDefault="002A6A78" w:rsidP="00F27C38">
            <w:pPr>
              <w:pStyle w:val="Tabletext"/>
              <w:jc w:val="center"/>
            </w:pPr>
            <w:r>
              <w:t>(</w:t>
            </w:r>
            <w:r w:rsidRPr="00AA33C0">
              <w:t>13.</w:t>
            </w:r>
            <w:r w:rsidRPr="00246E64">
              <w:t>7</w:t>
            </w:r>
            <w:r>
              <w:t>)</w:t>
            </w:r>
          </w:p>
        </w:tc>
        <w:tc>
          <w:tcPr>
            <w:tcW w:w="830" w:type="pct"/>
            <w:tcBorders>
              <w:top w:val="single" w:sz="4" w:space="0" w:color="00338D"/>
              <w:bottom w:val="single" w:sz="4" w:space="0" w:color="00338D"/>
            </w:tcBorders>
          </w:tcPr>
          <w:p w14:paraId="635A4273" w14:textId="77777777" w:rsidR="002A6A78" w:rsidRDefault="002A6A78" w:rsidP="00F27C38">
            <w:pPr>
              <w:pStyle w:val="Tabletext"/>
              <w:jc w:val="center"/>
            </w:pPr>
            <w:r w:rsidRPr="00FD18EF">
              <w:t>2.1</w:t>
            </w:r>
          </w:p>
          <w:p w14:paraId="18B4128B" w14:textId="77777777" w:rsidR="002A6A78" w:rsidRPr="0045336F" w:rsidDel="00E74A70" w:rsidRDefault="002A6A78" w:rsidP="00F27C38">
            <w:pPr>
              <w:pStyle w:val="Tabletext"/>
              <w:jc w:val="center"/>
            </w:pPr>
            <w:r>
              <w:t>(</w:t>
            </w:r>
            <w:r w:rsidRPr="00C91F75">
              <w:t>13.3</w:t>
            </w:r>
            <w:r>
              <w:t>)</w:t>
            </w:r>
          </w:p>
        </w:tc>
      </w:tr>
      <w:tr w:rsidR="002A6A78" w14:paraId="656680CE" w14:textId="77777777" w:rsidTr="00F27C38">
        <w:tc>
          <w:tcPr>
            <w:tcW w:w="1014" w:type="pct"/>
            <w:tcBorders>
              <w:top w:val="single" w:sz="4" w:space="0" w:color="00338D"/>
              <w:bottom w:val="single" w:sz="4" w:space="0" w:color="00338D"/>
            </w:tcBorders>
            <w:vAlign w:val="center"/>
          </w:tcPr>
          <w:p w14:paraId="345897AA" w14:textId="77777777" w:rsidR="002A6A78" w:rsidRDefault="002A6A78" w:rsidP="00F27C38">
            <w:pPr>
              <w:pStyle w:val="Tabletext"/>
            </w:pPr>
            <w:r>
              <w:t>3-5</w:t>
            </w:r>
          </w:p>
        </w:tc>
        <w:tc>
          <w:tcPr>
            <w:tcW w:w="470" w:type="pct"/>
            <w:tcBorders>
              <w:top w:val="single" w:sz="4" w:space="0" w:color="00338D"/>
              <w:bottom w:val="single" w:sz="4" w:space="0" w:color="00338D"/>
            </w:tcBorders>
          </w:tcPr>
          <w:p w14:paraId="45BF3198" w14:textId="77777777" w:rsidR="002A6A78" w:rsidRPr="0045336F" w:rsidDel="00E74A70" w:rsidRDefault="002A6A78" w:rsidP="00F27C38">
            <w:pPr>
              <w:pStyle w:val="Tabletext"/>
              <w:jc w:val="center"/>
            </w:pPr>
            <w:r w:rsidRPr="00D82D03">
              <w:t xml:space="preserve">12,015 </w:t>
            </w:r>
          </w:p>
        </w:tc>
        <w:tc>
          <w:tcPr>
            <w:tcW w:w="878" w:type="pct"/>
            <w:tcBorders>
              <w:top w:val="single" w:sz="4" w:space="0" w:color="00338D"/>
              <w:bottom w:val="single" w:sz="4" w:space="0" w:color="00338D"/>
            </w:tcBorders>
          </w:tcPr>
          <w:p w14:paraId="52DE7014" w14:textId="77777777" w:rsidR="002A6A78" w:rsidRDefault="002A6A78" w:rsidP="00F27C38">
            <w:pPr>
              <w:pStyle w:val="Tabletext"/>
              <w:jc w:val="center"/>
            </w:pPr>
            <w:r w:rsidRPr="00DE00F1">
              <w:t>49.6</w:t>
            </w:r>
          </w:p>
          <w:p w14:paraId="3A7EA3A1" w14:textId="77777777" w:rsidR="002A6A78" w:rsidRPr="0045336F" w:rsidDel="00E74A70" w:rsidRDefault="002A6A78" w:rsidP="00F27C38">
            <w:pPr>
              <w:pStyle w:val="Tabletext"/>
              <w:jc w:val="center"/>
            </w:pPr>
            <w:r>
              <w:t>(</w:t>
            </w:r>
            <w:r w:rsidRPr="00C469FA">
              <w:t>20</w:t>
            </w:r>
            <w:r w:rsidRPr="00595D34">
              <w:t>.3</w:t>
            </w:r>
            <w:r>
              <w:t>)</w:t>
            </w:r>
          </w:p>
        </w:tc>
        <w:tc>
          <w:tcPr>
            <w:tcW w:w="830" w:type="pct"/>
            <w:tcBorders>
              <w:top w:val="single" w:sz="4" w:space="0" w:color="00338D"/>
              <w:bottom w:val="single" w:sz="4" w:space="0" w:color="00338D"/>
            </w:tcBorders>
          </w:tcPr>
          <w:p w14:paraId="275834B3" w14:textId="77777777" w:rsidR="002A6A78" w:rsidRDefault="002A6A78" w:rsidP="00F27C38">
            <w:pPr>
              <w:pStyle w:val="Tabletext"/>
              <w:jc w:val="center"/>
            </w:pPr>
            <w:r w:rsidRPr="005F5073">
              <w:t>57.9</w:t>
            </w:r>
          </w:p>
          <w:p w14:paraId="7DEA8F5D" w14:textId="77777777" w:rsidR="002A6A78" w:rsidRPr="0045336F" w:rsidDel="00E74A70" w:rsidRDefault="002A6A78" w:rsidP="00F27C38">
            <w:pPr>
              <w:pStyle w:val="Tabletext"/>
              <w:jc w:val="center"/>
            </w:pPr>
            <w:r>
              <w:t>(</w:t>
            </w:r>
            <w:r w:rsidRPr="006212D8">
              <w:t>21</w:t>
            </w:r>
            <w:r w:rsidRPr="00372524">
              <w:t>.8</w:t>
            </w:r>
            <w:r>
              <w:t>)</w:t>
            </w:r>
          </w:p>
        </w:tc>
        <w:tc>
          <w:tcPr>
            <w:tcW w:w="977" w:type="pct"/>
            <w:tcBorders>
              <w:top w:val="single" w:sz="4" w:space="0" w:color="00338D"/>
              <w:bottom w:val="single" w:sz="4" w:space="0" w:color="00338D"/>
            </w:tcBorders>
          </w:tcPr>
          <w:p w14:paraId="2A8AE8E9" w14:textId="77777777" w:rsidR="002A6A78" w:rsidRDefault="002A6A78" w:rsidP="00F27C38">
            <w:pPr>
              <w:pStyle w:val="Tabletext"/>
              <w:jc w:val="center"/>
            </w:pPr>
            <w:r w:rsidRPr="00CD5221">
              <w:t>8.4</w:t>
            </w:r>
          </w:p>
          <w:p w14:paraId="2E15EB84" w14:textId="77777777" w:rsidR="002A6A78" w:rsidRPr="0045336F" w:rsidDel="00E74A70" w:rsidRDefault="002A6A78" w:rsidP="00F27C38">
            <w:pPr>
              <w:pStyle w:val="Tabletext"/>
              <w:jc w:val="center"/>
            </w:pPr>
            <w:r>
              <w:t>(</w:t>
            </w:r>
            <w:r w:rsidRPr="00AA33C0">
              <w:t>17.4</w:t>
            </w:r>
            <w:r>
              <w:t>)</w:t>
            </w:r>
          </w:p>
        </w:tc>
        <w:tc>
          <w:tcPr>
            <w:tcW w:w="830" w:type="pct"/>
            <w:tcBorders>
              <w:top w:val="single" w:sz="4" w:space="0" w:color="00338D"/>
              <w:bottom w:val="single" w:sz="4" w:space="0" w:color="00338D"/>
            </w:tcBorders>
          </w:tcPr>
          <w:p w14:paraId="19F8FBA0" w14:textId="77777777" w:rsidR="002A6A78" w:rsidRDefault="002A6A78" w:rsidP="00F27C38">
            <w:pPr>
              <w:pStyle w:val="Tabletext"/>
              <w:jc w:val="center"/>
            </w:pPr>
            <w:r w:rsidRPr="00FD18EF">
              <w:t>6.4</w:t>
            </w:r>
          </w:p>
          <w:p w14:paraId="7FD9E656" w14:textId="77777777" w:rsidR="002A6A78" w:rsidRPr="0045336F" w:rsidDel="00E74A70" w:rsidRDefault="002A6A78" w:rsidP="00F27C38">
            <w:pPr>
              <w:pStyle w:val="Tabletext"/>
              <w:jc w:val="center"/>
            </w:pPr>
            <w:r>
              <w:t>(</w:t>
            </w:r>
            <w:r w:rsidRPr="00C91F75">
              <w:t>16.6</w:t>
            </w:r>
            <w:r>
              <w:t>)</w:t>
            </w:r>
          </w:p>
        </w:tc>
      </w:tr>
      <w:tr w:rsidR="002A6A78" w14:paraId="12909B9C" w14:textId="77777777" w:rsidTr="00F27C38">
        <w:tc>
          <w:tcPr>
            <w:tcW w:w="1014" w:type="pct"/>
            <w:tcBorders>
              <w:top w:val="single" w:sz="4" w:space="0" w:color="00338D"/>
              <w:bottom w:val="single" w:sz="4" w:space="0" w:color="00338D"/>
            </w:tcBorders>
            <w:vAlign w:val="center"/>
          </w:tcPr>
          <w:p w14:paraId="28683993" w14:textId="77777777" w:rsidR="002A6A78" w:rsidRDefault="002A6A78" w:rsidP="00F27C38">
            <w:pPr>
              <w:pStyle w:val="Tabletext"/>
            </w:pPr>
            <w:r>
              <w:t>6-9</w:t>
            </w:r>
          </w:p>
        </w:tc>
        <w:tc>
          <w:tcPr>
            <w:tcW w:w="470" w:type="pct"/>
            <w:tcBorders>
              <w:top w:val="single" w:sz="4" w:space="0" w:color="00338D"/>
              <w:bottom w:val="single" w:sz="4" w:space="0" w:color="00338D"/>
            </w:tcBorders>
          </w:tcPr>
          <w:p w14:paraId="417594F8" w14:textId="77777777" w:rsidR="002A6A78" w:rsidRPr="0045336F" w:rsidDel="00E74A70" w:rsidRDefault="002A6A78" w:rsidP="00F27C38">
            <w:pPr>
              <w:pStyle w:val="Tabletext"/>
              <w:jc w:val="center"/>
            </w:pPr>
            <w:r w:rsidRPr="00FF5DDC">
              <w:t>6,</w:t>
            </w:r>
            <w:r w:rsidRPr="00D82D03">
              <w:t xml:space="preserve">934 </w:t>
            </w:r>
          </w:p>
        </w:tc>
        <w:tc>
          <w:tcPr>
            <w:tcW w:w="878" w:type="pct"/>
            <w:tcBorders>
              <w:top w:val="single" w:sz="4" w:space="0" w:color="00338D"/>
              <w:bottom w:val="single" w:sz="4" w:space="0" w:color="00338D"/>
            </w:tcBorders>
          </w:tcPr>
          <w:p w14:paraId="56E0BC65" w14:textId="77777777" w:rsidR="002A6A78" w:rsidRDefault="002A6A78" w:rsidP="00F27C38">
            <w:pPr>
              <w:pStyle w:val="Tabletext"/>
              <w:jc w:val="center"/>
            </w:pPr>
            <w:r w:rsidRPr="00DE00F1">
              <w:t>48.4</w:t>
            </w:r>
          </w:p>
          <w:p w14:paraId="06A8416B" w14:textId="77777777" w:rsidR="002A6A78" w:rsidRPr="0045336F" w:rsidDel="00E74A70" w:rsidRDefault="002A6A78" w:rsidP="00F27C38">
            <w:pPr>
              <w:pStyle w:val="Tabletext"/>
              <w:jc w:val="center"/>
            </w:pPr>
            <w:r>
              <w:t>(</w:t>
            </w:r>
            <w:r w:rsidRPr="001F4636">
              <w:t>19.3</w:t>
            </w:r>
            <w:r>
              <w:t>)</w:t>
            </w:r>
          </w:p>
        </w:tc>
        <w:tc>
          <w:tcPr>
            <w:tcW w:w="830" w:type="pct"/>
            <w:tcBorders>
              <w:top w:val="single" w:sz="4" w:space="0" w:color="00338D"/>
              <w:bottom w:val="single" w:sz="4" w:space="0" w:color="00338D"/>
            </w:tcBorders>
          </w:tcPr>
          <w:p w14:paraId="7FE2475C" w14:textId="77777777" w:rsidR="002A6A78" w:rsidRDefault="002A6A78" w:rsidP="00F27C38">
            <w:pPr>
              <w:pStyle w:val="Tabletext"/>
              <w:jc w:val="center"/>
            </w:pPr>
            <w:r w:rsidRPr="005F5073">
              <w:t>61.5</w:t>
            </w:r>
          </w:p>
          <w:p w14:paraId="26D89C0B" w14:textId="77777777" w:rsidR="002A6A78" w:rsidRPr="0045336F" w:rsidDel="00E74A70" w:rsidRDefault="002A6A78" w:rsidP="00F27C38">
            <w:pPr>
              <w:pStyle w:val="Tabletext"/>
              <w:jc w:val="center"/>
            </w:pPr>
            <w:r>
              <w:t>(</w:t>
            </w:r>
            <w:r w:rsidRPr="00AA33C0">
              <w:t>22.0</w:t>
            </w:r>
            <w:r>
              <w:t>)</w:t>
            </w:r>
          </w:p>
        </w:tc>
        <w:tc>
          <w:tcPr>
            <w:tcW w:w="977" w:type="pct"/>
            <w:tcBorders>
              <w:top w:val="single" w:sz="4" w:space="0" w:color="00338D"/>
              <w:bottom w:val="single" w:sz="4" w:space="0" w:color="00338D"/>
            </w:tcBorders>
          </w:tcPr>
          <w:p w14:paraId="5EE72324" w14:textId="77777777" w:rsidR="002A6A78" w:rsidRDefault="002A6A78" w:rsidP="00F27C38">
            <w:pPr>
              <w:pStyle w:val="Tabletext"/>
              <w:jc w:val="center"/>
            </w:pPr>
            <w:r w:rsidRPr="00CD5221">
              <w:t>13.1</w:t>
            </w:r>
          </w:p>
          <w:p w14:paraId="643C116A" w14:textId="77777777" w:rsidR="002A6A78" w:rsidRPr="0045336F" w:rsidDel="00E74A70" w:rsidRDefault="002A6A78" w:rsidP="00F27C38">
            <w:pPr>
              <w:pStyle w:val="Tabletext"/>
              <w:jc w:val="center"/>
            </w:pPr>
            <w:r>
              <w:t>(</w:t>
            </w:r>
            <w:r w:rsidRPr="00C91F75">
              <w:t>19.8</w:t>
            </w:r>
            <w:r>
              <w:t>)</w:t>
            </w:r>
          </w:p>
        </w:tc>
        <w:tc>
          <w:tcPr>
            <w:tcW w:w="830" w:type="pct"/>
            <w:tcBorders>
              <w:top w:val="single" w:sz="4" w:space="0" w:color="00338D"/>
              <w:bottom w:val="single" w:sz="4" w:space="0" w:color="00338D"/>
            </w:tcBorders>
          </w:tcPr>
          <w:p w14:paraId="6F74FA94" w14:textId="77777777" w:rsidR="002A6A78" w:rsidRDefault="002A6A78" w:rsidP="00F27C38">
            <w:pPr>
              <w:pStyle w:val="Tabletext"/>
              <w:jc w:val="center"/>
            </w:pPr>
            <w:r w:rsidRPr="00FD18EF">
              <w:t>11.0</w:t>
            </w:r>
          </w:p>
          <w:p w14:paraId="75BDEF42" w14:textId="77777777" w:rsidR="002A6A78" w:rsidRPr="0045336F" w:rsidDel="00E74A70" w:rsidRDefault="002A6A78" w:rsidP="00F27C38">
            <w:pPr>
              <w:pStyle w:val="Tabletext"/>
              <w:jc w:val="center"/>
            </w:pPr>
            <w:r>
              <w:t>(</w:t>
            </w:r>
            <w:r w:rsidRPr="00C91F75">
              <w:t>18.9</w:t>
            </w:r>
            <w:r>
              <w:t>)</w:t>
            </w:r>
          </w:p>
        </w:tc>
      </w:tr>
      <w:tr w:rsidR="002A6A78" w14:paraId="487AF9FD" w14:textId="77777777" w:rsidTr="00F27C38">
        <w:tc>
          <w:tcPr>
            <w:tcW w:w="1014" w:type="pct"/>
            <w:tcBorders>
              <w:top w:val="single" w:sz="4" w:space="0" w:color="00338D"/>
              <w:bottom w:val="single" w:sz="2" w:space="0" w:color="808080" w:themeColor="background1" w:themeShade="80"/>
            </w:tcBorders>
            <w:vAlign w:val="center"/>
          </w:tcPr>
          <w:p w14:paraId="50AE610D" w14:textId="77777777" w:rsidR="002A6A78" w:rsidRDefault="002A6A78" w:rsidP="00F27C38">
            <w:pPr>
              <w:pStyle w:val="Tabletext"/>
            </w:pPr>
            <w:r>
              <w:t>10+</w:t>
            </w:r>
          </w:p>
        </w:tc>
        <w:tc>
          <w:tcPr>
            <w:tcW w:w="470" w:type="pct"/>
            <w:tcBorders>
              <w:top w:val="single" w:sz="4" w:space="0" w:color="00338D"/>
              <w:bottom w:val="single" w:sz="2" w:space="0" w:color="808080" w:themeColor="background1" w:themeShade="80"/>
            </w:tcBorders>
          </w:tcPr>
          <w:p w14:paraId="4CCDFE19" w14:textId="77777777" w:rsidR="002A6A78" w:rsidRPr="0045336F" w:rsidDel="00E74A70" w:rsidRDefault="002A6A78" w:rsidP="00F27C38">
            <w:pPr>
              <w:pStyle w:val="Tabletext"/>
              <w:jc w:val="center"/>
            </w:pPr>
            <w:r w:rsidRPr="00FF5DDC">
              <w:t>3,</w:t>
            </w:r>
            <w:r w:rsidRPr="00D82D03">
              <w:t xml:space="preserve">256 </w:t>
            </w:r>
          </w:p>
        </w:tc>
        <w:tc>
          <w:tcPr>
            <w:tcW w:w="878" w:type="pct"/>
            <w:tcBorders>
              <w:top w:val="single" w:sz="4" w:space="0" w:color="00338D"/>
              <w:bottom w:val="single" w:sz="2" w:space="0" w:color="808080" w:themeColor="background1" w:themeShade="80"/>
            </w:tcBorders>
          </w:tcPr>
          <w:p w14:paraId="1599DEC6" w14:textId="77777777" w:rsidR="002A6A78" w:rsidRDefault="002A6A78" w:rsidP="00F27C38">
            <w:pPr>
              <w:pStyle w:val="Tabletext"/>
              <w:jc w:val="center"/>
            </w:pPr>
            <w:r w:rsidRPr="00DE00F1">
              <w:t>45.9</w:t>
            </w:r>
          </w:p>
          <w:p w14:paraId="4B0415AA" w14:textId="77777777" w:rsidR="002A6A78" w:rsidRPr="0045336F" w:rsidDel="00E74A70" w:rsidRDefault="002A6A78" w:rsidP="00F27C38">
            <w:pPr>
              <w:pStyle w:val="Tabletext"/>
              <w:jc w:val="center"/>
            </w:pPr>
            <w:r>
              <w:t>(</w:t>
            </w:r>
            <w:r w:rsidRPr="001F4636">
              <w:t>18.9</w:t>
            </w:r>
            <w:r>
              <w:t>)</w:t>
            </w:r>
          </w:p>
        </w:tc>
        <w:tc>
          <w:tcPr>
            <w:tcW w:w="830" w:type="pct"/>
            <w:tcBorders>
              <w:top w:val="single" w:sz="4" w:space="0" w:color="00338D"/>
              <w:bottom w:val="single" w:sz="2" w:space="0" w:color="808080" w:themeColor="background1" w:themeShade="80"/>
            </w:tcBorders>
          </w:tcPr>
          <w:p w14:paraId="76BFFC63" w14:textId="77777777" w:rsidR="002A6A78" w:rsidRDefault="002A6A78" w:rsidP="00F27C38">
            <w:pPr>
              <w:pStyle w:val="Tabletext"/>
              <w:jc w:val="center"/>
            </w:pPr>
            <w:r w:rsidRPr="005F5073">
              <w:t>61.0</w:t>
            </w:r>
          </w:p>
          <w:p w14:paraId="3E4255CE" w14:textId="77777777" w:rsidR="002A6A78" w:rsidRPr="0045336F" w:rsidDel="00E74A70" w:rsidRDefault="002A6A78" w:rsidP="00F27C38">
            <w:pPr>
              <w:pStyle w:val="Tabletext"/>
              <w:jc w:val="center"/>
            </w:pPr>
            <w:r>
              <w:t>(</w:t>
            </w:r>
            <w:r w:rsidRPr="00AA33C0">
              <w:t>22.4</w:t>
            </w:r>
            <w:r>
              <w:t>)</w:t>
            </w:r>
          </w:p>
        </w:tc>
        <w:tc>
          <w:tcPr>
            <w:tcW w:w="977" w:type="pct"/>
            <w:tcBorders>
              <w:top w:val="single" w:sz="4" w:space="0" w:color="00338D"/>
              <w:bottom w:val="single" w:sz="2" w:space="0" w:color="808080" w:themeColor="background1" w:themeShade="80"/>
            </w:tcBorders>
          </w:tcPr>
          <w:p w14:paraId="11E292C9" w14:textId="77777777" w:rsidR="002A6A78" w:rsidRDefault="002A6A78" w:rsidP="00F27C38">
            <w:pPr>
              <w:pStyle w:val="Tabletext"/>
              <w:jc w:val="center"/>
            </w:pPr>
            <w:r w:rsidRPr="00CD5221">
              <w:t>15.1</w:t>
            </w:r>
          </w:p>
          <w:p w14:paraId="3C25DF6B" w14:textId="77777777" w:rsidR="002A6A78" w:rsidRPr="0045336F" w:rsidDel="00E74A70" w:rsidRDefault="002A6A78" w:rsidP="00F27C38">
            <w:pPr>
              <w:pStyle w:val="Tabletext"/>
              <w:jc w:val="center"/>
            </w:pPr>
            <w:r>
              <w:t>(</w:t>
            </w:r>
            <w:r w:rsidRPr="00C91F75">
              <w:t>21.1</w:t>
            </w:r>
            <w:r>
              <w:t>)</w:t>
            </w:r>
          </w:p>
        </w:tc>
        <w:tc>
          <w:tcPr>
            <w:tcW w:w="830" w:type="pct"/>
            <w:tcBorders>
              <w:top w:val="single" w:sz="4" w:space="0" w:color="00338D"/>
              <w:bottom w:val="single" w:sz="2" w:space="0" w:color="808080" w:themeColor="background1" w:themeShade="80"/>
            </w:tcBorders>
          </w:tcPr>
          <w:p w14:paraId="13F8E0C5" w14:textId="77777777" w:rsidR="002A6A78" w:rsidRDefault="002A6A78" w:rsidP="00F27C38">
            <w:pPr>
              <w:pStyle w:val="Tabletext"/>
              <w:jc w:val="center"/>
            </w:pPr>
            <w:r w:rsidRPr="00FD18EF">
              <w:t>12.5</w:t>
            </w:r>
          </w:p>
          <w:p w14:paraId="4DD39153" w14:textId="77777777" w:rsidR="002A6A78" w:rsidRPr="0045336F" w:rsidDel="00E74A70" w:rsidRDefault="002A6A78" w:rsidP="00F27C38">
            <w:pPr>
              <w:pStyle w:val="Tabletext"/>
              <w:jc w:val="center"/>
            </w:pPr>
            <w:r>
              <w:t>(</w:t>
            </w:r>
            <w:r w:rsidRPr="00C91F75">
              <w:t>20.</w:t>
            </w:r>
            <w:r w:rsidRPr="00454BCC">
              <w:t>2</w:t>
            </w:r>
            <w:r>
              <w:t>)</w:t>
            </w:r>
          </w:p>
        </w:tc>
      </w:tr>
    </w:tbl>
    <w:p w14:paraId="30D53AC6" w14:textId="054979CE" w:rsidR="002A6A78" w:rsidRDefault="002A6A78" w:rsidP="002A6A78">
      <w:pPr>
        <w:pStyle w:val="Source-Notes"/>
        <w:rPr>
          <w:szCs w:val="16"/>
        </w:rPr>
      </w:pPr>
      <w:r w:rsidRPr="00A7396B">
        <w:rPr>
          <w:szCs w:val="16"/>
        </w:rPr>
        <w:t xml:space="preserve">Source: </w:t>
      </w:r>
      <w:r>
        <w:rPr>
          <w:szCs w:val="16"/>
        </w:rPr>
        <w:t>KPMG analysis of</w:t>
      </w:r>
      <w:r w:rsidRPr="00A7396B">
        <w:rPr>
          <w:szCs w:val="16"/>
        </w:rPr>
        <w:t xml:space="preserve"> KPMG </w:t>
      </w:r>
      <w:r w:rsidRPr="00CF2E3E">
        <w:rPr>
          <w:szCs w:val="16"/>
        </w:rPr>
        <w:t xml:space="preserve">master dataset – </w:t>
      </w:r>
      <w:r>
        <w:rPr>
          <w:szCs w:val="16"/>
        </w:rPr>
        <w:t>Episodes with non-missing services and issue data</w:t>
      </w:r>
    </w:p>
    <w:p w14:paraId="50D106AC" w14:textId="53611E94" w:rsidR="002A6A78" w:rsidRPr="00C4756B" w:rsidRDefault="002A6A78" w:rsidP="00F403DC">
      <w:pPr>
        <w:pStyle w:val="Source"/>
      </w:pPr>
      <w:r w:rsidRPr="001E1EB4">
        <w:t xml:space="preserve">Notes: </w:t>
      </w:r>
      <w:r w:rsidRPr="00CF2E3E">
        <w:t xml:space="preserve">See </w:t>
      </w:r>
      <w:r w:rsidR="009B1C27">
        <w:fldChar w:fldCharType="begin" w:fldLock="1"/>
      </w:r>
      <w:r w:rsidR="009B1C27">
        <w:instrText xml:space="preserve"> REF _Ref98402466 \r \h </w:instrText>
      </w:r>
      <w:r w:rsidR="00F403DC">
        <w:instrText xml:space="preserve"> \* MERGEFORMAT </w:instrText>
      </w:r>
      <w:r w:rsidR="009B1C27">
        <w:fldChar w:fldCharType="separate"/>
      </w:r>
      <w:r w:rsidR="00AE4D34">
        <w:t>Appendix F</w:t>
      </w:r>
      <w:r w:rsidR="009B1C27">
        <w:fldChar w:fldCharType="end"/>
      </w:r>
      <w:r w:rsidRPr="00A7396B">
        <w:t xml:space="preserve"> for </w:t>
      </w:r>
      <w:r w:rsidRPr="00CF2E3E">
        <w:t>detailed exclusion criteria.</w:t>
      </w:r>
      <w:r>
        <w:t xml:space="preserve"> Number of episodes: 39,819 including episodes with non missing intake and/or final MLT measurements. Improvement is measured by </w:t>
      </w:r>
      <w:r w:rsidRPr="00C4306D">
        <w:t>the di</w:t>
      </w:r>
      <w:r w:rsidRPr="00CF2E3E">
        <w:t xml:space="preserve">fference between the last observed </w:t>
      </w:r>
      <w:r>
        <w:t>measure</w:t>
      </w:r>
      <w:r w:rsidRPr="00CF2E3E">
        <w:t xml:space="preserve"> and the initially observed </w:t>
      </w:r>
      <w:r>
        <w:t>measurement</w:t>
      </w:r>
      <w:r w:rsidRPr="00CF2E3E">
        <w:t xml:space="preserve">. </w:t>
      </w:r>
      <w:r>
        <w:t>Where indicated, outcome measurements</w:t>
      </w:r>
      <w:r w:rsidRPr="00CF2E3E">
        <w:t xml:space="preserve"> have been adjusted for regression to the mean effects.</w:t>
      </w:r>
      <w:r w:rsidR="00E73D1F">
        <w:t xml:space="preserve"> </w:t>
      </w:r>
      <w:r w:rsidRPr="004A0D96">
        <w:t>SD: Standard deviation.</w:t>
      </w:r>
    </w:p>
    <w:p w14:paraId="7DF9CCD2" w14:textId="77777777" w:rsidR="002A6A78" w:rsidRDefault="002A6A78" w:rsidP="007F7999">
      <w:pPr>
        <w:pStyle w:val="Heading4"/>
      </w:pPr>
      <w:r>
        <w:t>Reliable change and clinically significant change</w:t>
      </w:r>
    </w:p>
    <w:p w14:paraId="73339A68" w14:textId="5FE41C39" w:rsidR="007B606F" w:rsidRPr="007B606F" w:rsidRDefault="002A6A78" w:rsidP="007B606F">
      <w:pPr>
        <w:pStyle w:val="BodyText"/>
      </w:pPr>
      <w:r>
        <w:t>Reliable change occurs when the change in the outcome measure meets or exceeds the reliable change index (RCI) as determined by the Jacobson and Truax method</w:t>
      </w:r>
      <w:r w:rsidR="00CC0438">
        <w:rPr>
          <w:rFonts w:ascii="ZWAdobeF" w:hAnsi="ZWAdobeF" w:cs="ZWAdobeF"/>
          <w:sz w:val="2"/>
          <w:szCs w:val="2"/>
        </w:rPr>
        <w:t>215F</w:t>
      </w:r>
      <w:r>
        <w:rPr>
          <w:rStyle w:val="FootnoteReference"/>
        </w:rPr>
        <w:footnoteReference w:id="217"/>
      </w:r>
      <w:r w:rsidR="007A7801">
        <w:t>.</w:t>
      </w:r>
      <w:r>
        <w:t xml:space="preserve"> Reliable change is a criterion used to evaluate whether a change over time of an episode outcome measure (i.e</w:t>
      </w:r>
      <w:r w:rsidR="004D1498">
        <w:t>.,</w:t>
      </w:r>
      <w:r>
        <w:t xml:space="preserve"> the difference between the initial and last observed K10, SOFAS or MLT outcome measure) is considered statistically significantly greater than a difference that could have occurred due to random measurement error alone. The RCIs for the K10, SOFAS and MLT indicators are summarised below in </w:t>
      </w:r>
      <w:r w:rsidR="00072CB6">
        <w:fldChar w:fldCharType="begin" w:fldLock="1"/>
      </w:r>
      <w:r w:rsidR="00072CB6">
        <w:instrText xml:space="preserve"> REF _Ref97749547 \h </w:instrText>
      </w:r>
      <w:r w:rsidR="00072CB6">
        <w:fldChar w:fldCharType="separate"/>
      </w:r>
      <w:r w:rsidR="00073E45">
        <w:t xml:space="preserve">Table </w:t>
      </w:r>
      <w:r w:rsidR="00073E45">
        <w:rPr>
          <w:noProof/>
        </w:rPr>
        <w:t>64</w:t>
      </w:r>
      <w:r w:rsidR="00072CB6">
        <w:fldChar w:fldCharType="end"/>
      </w:r>
      <w:r>
        <w:t>.</w:t>
      </w:r>
    </w:p>
    <w:p w14:paraId="1DB78D61" w14:textId="1FB9F64C" w:rsidR="002A6A78" w:rsidRDefault="002A6A78" w:rsidP="002A6A78">
      <w:pPr>
        <w:pStyle w:val="Caption"/>
      </w:pPr>
      <w:bookmarkStart w:id="306" w:name="_Ref97749547"/>
      <w:bookmarkStart w:id="307" w:name="_Toc108109014"/>
      <w:r>
        <w:t xml:space="preserve">Table </w:t>
      </w:r>
      <w:r>
        <w:fldChar w:fldCharType="begin"/>
      </w:r>
      <w:r>
        <w:instrText>SEQ Table \* ARABIC</w:instrText>
      </w:r>
      <w:r>
        <w:fldChar w:fldCharType="separate"/>
      </w:r>
      <w:r w:rsidR="00CC0438">
        <w:rPr>
          <w:noProof/>
        </w:rPr>
        <w:t>64</w:t>
      </w:r>
      <w:r>
        <w:fldChar w:fldCharType="end"/>
      </w:r>
      <w:bookmarkEnd w:id="306"/>
      <w:r>
        <w:t>: Reliable significant change index by outcome measure</w:t>
      </w:r>
      <w:bookmarkEnd w:id="30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Reliable significant change index by outcome measure"/>
        <w:tblDescription w:val="Table has 4 columns and summarises the reliable significant change index for each outcome measure. Columns 1 and 2 indicate that young people of all ages and genders are included in the analysis. Column 3 includes the reliable change index for the K10 measure. Column 4 includes the reliable change index for the SOFAS measure. Column 5 includes the reliable change index for the My Life Tracker measure.&#10;"/>
      </w:tblPr>
      <w:tblGrid>
        <w:gridCol w:w="992"/>
        <w:gridCol w:w="3260"/>
        <w:gridCol w:w="709"/>
        <w:gridCol w:w="2206"/>
        <w:gridCol w:w="1903"/>
      </w:tblGrid>
      <w:tr w:rsidR="00F403DC" w:rsidRPr="00D65A2D" w14:paraId="38E99A34" w14:textId="77777777" w:rsidTr="006479FE">
        <w:tc>
          <w:tcPr>
            <w:tcW w:w="547" w:type="pct"/>
            <w:vMerge w:val="restart"/>
            <w:shd w:val="clear" w:color="auto" w:fill="00338D"/>
          </w:tcPr>
          <w:p w14:paraId="25B796FC" w14:textId="77777777" w:rsidR="00F403DC" w:rsidRPr="00D65A2D" w:rsidRDefault="00F403DC" w:rsidP="00F27C38">
            <w:pPr>
              <w:pStyle w:val="Tableheading"/>
            </w:pPr>
            <w:r>
              <w:t>Gender</w:t>
            </w:r>
          </w:p>
        </w:tc>
        <w:tc>
          <w:tcPr>
            <w:tcW w:w="1797" w:type="pct"/>
            <w:vMerge w:val="restart"/>
            <w:shd w:val="clear" w:color="auto" w:fill="00338D"/>
          </w:tcPr>
          <w:p w14:paraId="0F2805BC" w14:textId="77777777" w:rsidR="00F403DC" w:rsidRDefault="00F403DC" w:rsidP="00F27C38">
            <w:pPr>
              <w:pStyle w:val="Tableheading"/>
            </w:pPr>
            <w:r>
              <w:t>Age</w:t>
            </w:r>
          </w:p>
        </w:tc>
        <w:tc>
          <w:tcPr>
            <w:tcW w:w="2656" w:type="pct"/>
            <w:gridSpan w:val="3"/>
            <w:tcBorders>
              <w:bottom w:val="single" w:sz="4" w:space="0" w:color="00338D"/>
            </w:tcBorders>
            <w:shd w:val="clear" w:color="auto" w:fill="00338D"/>
          </w:tcPr>
          <w:p w14:paraId="0D70BC04" w14:textId="77777777" w:rsidR="00F403DC" w:rsidRDefault="00F403DC" w:rsidP="00F27C38">
            <w:pPr>
              <w:pStyle w:val="Tableheading"/>
            </w:pPr>
            <w:r>
              <w:t>Reliable change index</w:t>
            </w:r>
          </w:p>
        </w:tc>
      </w:tr>
      <w:tr w:rsidR="00F403DC" w:rsidRPr="00D65A2D" w14:paraId="5583BA85" w14:textId="77777777" w:rsidTr="00F27C38">
        <w:tc>
          <w:tcPr>
            <w:tcW w:w="547" w:type="pct"/>
            <w:vMerge/>
            <w:tcBorders>
              <w:bottom w:val="single" w:sz="4" w:space="0" w:color="00338D"/>
            </w:tcBorders>
            <w:shd w:val="clear" w:color="auto" w:fill="00338D"/>
          </w:tcPr>
          <w:p w14:paraId="74CD91EE" w14:textId="77777777" w:rsidR="00F403DC" w:rsidRDefault="00F403DC" w:rsidP="00F27C38">
            <w:pPr>
              <w:pStyle w:val="Tableheading"/>
            </w:pPr>
          </w:p>
        </w:tc>
        <w:tc>
          <w:tcPr>
            <w:tcW w:w="1797" w:type="pct"/>
            <w:vMerge/>
            <w:tcBorders>
              <w:bottom w:val="single" w:sz="4" w:space="0" w:color="00338D"/>
            </w:tcBorders>
            <w:shd w:val="clear" w:color="auto" w:fill="00338D"/>
          </w:tcPr>
          <w:p w14:paraId="0D645DE3" w14:textId="77777777" w:rsidR="00F403DC" w:rsidRDefault="00F403DC" w:rsidP="00F27C38">
            <w:pPr>
              <w:pStyle w:val="Tableheading"/>
            </w:pPr>
          </w:p>
        </w:tc>
        <w:tc>
          <w:tcPr>
            <w:tcW w:w="391" w:type="pct"/>
            <w:tcBorders>
              <w:bottom w:val="single" w:sz="4" w:space="0" w:color="00338D"/>
            </w:tcBorders>
            <w:shd w:val="clear" w:color="auto" w:fill="00338D"/>
          </w:tcPr>
          <w:p w14:paraId="5E727BD8" w14:textId="77777777" w:rsidR="00F403DC" w:rsidRDefault="00F403DC" w:rsidP="00F27C38">
            <w:pPr>
              <w:pStyle w:val="Tableheading"/>
              <w:jc w:val="right"/>
            </w:pPr>
            <w:r>
              <w:t>K10</w:t>
            </w:r>
          </w:p>
        </w:tc>
        <w:tc>
          <w:tcPr>
            <w:tcW w:w="1216" w:type="pct"/>
            <w:tcBorders>
              <w:bottom w:val="single" w:sz="4" w:space="0" w:color="00338D"/>
            </w:tcBorders>
            <w:shd w:val="clear" w:color="auto" w:fill="00338D"/>
          </w:tcPr>
          <w:p w14:paraId="6905F804" w14:textId="77777777" w:rsidR="00F403DC" w:rsidRDefault="00F403DC" w:rsidP="00F27C38">
            <w:pPr>
              <w:pStyle w:val="Tableheading"/>
              <w:jc w:val="right"/>
            </w:pPr>
            <w:r>
              <w:t>SOFAS</w:t>
            </w:r>
          </w:p>
        </w:tc>
        <w:tc>
          <w:tcPr>
            <w:tcW w:w="1049" w:type="pct"/>
            <w:tcBorders>
              <w:bottom w:val="single" w:sz="4" w:space="0" w:color="00338D"/>
            </w:tcBorders>
            <w:shd w:val="clear" w:color="auto" w:fill="00338D"/>
          </w:tcPr>
          <w:p w14:paraId="25089689" w14:textId="77777777" w:rsidR="00F403DC" w:rsidRDefault="00F403DC" w:rsidP="00F27C38">
            <w:pPr>
              <w:pStyle w:val="Tableheading"/>
              <w:jc w:val="right"/>
            </w:pPr>
            <w:r>
              <w:t>MLT</w:t>
            </w:r>
          </w:p>
        </w:tc>
      </w:tr>
      <w:tr w:rsidR="002A6A78" w14:paraId="18957BEB" w14:textId="77777777" w:rsidTr="00F27C38">
        <w:tc>
          <w:tcPr>
            <w:tcW w:w="547" w:type="pct"/>
            <w:tcBorders>
              <w:top w:val="single" w:sz="4" w:space="0" w:color="00338D"/>
              <w:bottom w:val="single" w:sz="2" w:space="0" w:color="808080" w:themeColor="background1" w:themeShade="80"/>
            </w:tcBorders>
          </w:tcPr>
          <w:p w14:paraId="3997555C" w14:textId="77777777" w:rsidR="002A6A78" w:rsidRDefault="002A6A78" w:rsidP="00F27C38">
            <w:pPr>
              <w:pStyle w:val="Tabletext"/>
            </w:pPr>
            <w:r>
              <w:t>All</w:t>
            </w:r>
          </w:p>
        </w:tc>
        <w:tc>
          <w:tcPr>
            <w:tcW w:w="1797" w:type="pct"/>
            <w:tcBorders>
              <w:top w:val="single" w:sz="4" w:space="0" w:color="00338D"/>
              <w:bottom w:val="single" w:sz="2" w:space="0" w:color="808080" w:themeColor="background1" w:themeShade="80"/>
            </w:tcBorders>
          </w:tcPr>
          <w:p w14:paraId="7DB28A7A" w14:textId="77777777" w:rsidR="002A6A78" w:rsidRDefault="002A6A78" w:rsidP="00F27C38">
            <w:pPr>
              <w:pStyle w:val="Tabletext"/>
            </w:pPr>
            <w:r>
              <w:t>All</w:t>
            </w:r>
          </w:p>
        </w:tc>
        <w:tc>
          <w:tcPr>
            <w:tcW w:w="391" w:type="pct"/>
            <w:tcBorders>
              <w:top w:val="single" w:sz="4" w:space="0" w:color="00338D"/>
              <w:bottom w:val="single" w:sz="2" w:space="0" w:color="808080" w:themeColor="background1" w:themeShade="80"/>
            </w:tcBorders>
          </w:tcPr>
          <w:p w14:paraId="45776547" w14:textId="77777777" w:rsidR="002A6A78" w:rsidRDefault="002A6A78" w:rsidP="00F27C38">
            <w:pPr>
              <w:pStyle w:val="Tabletext"/>
              <w:jc w:val="right"/>
            </w:pPr>
            <w:r>
              <w:t>7</w:t>
            </w:r>
          </w:p>
        </w:tc>
        <w:tc>
          <w:tcPr>
            <w:tcW w:w="1216" w:type="pct"/>
            <w:tcBorders>
              <w:top w:val="single" w:sz="4" w:space="0" w:color="00338D"/>
              <w:bottom w:val="single" w:sz="2" w:space="0" w:color="808080" w:themeColor="background1" w:themeShade="80"/>
            </w:tcBorders>
          </w:tcPr>
          <w:p w14:paraId="1075317C" w14:textId="77777777" w:rsidR="002A6A78" w:rsidRDefault="002A6A78" w:rsidP="00F27C38">
            <w:pPr>
              <w:pStyle w:val="Tabletext"/>
              <w:jc w:val="right"/>
            </w:pPr>
            <w:r>
              <w:t>10</w:t>
            </w:r>
          </w:p>
        </w:tc>
        <w:tc>
          <w:tcPr>
            <w:tcW w:w="1049" w:type="pct"/>
            <w:tcBorders>
              <w:top w:val="single" w:sz="4" w:space="0" w:color="00338D"/>
              <w:bottom w:val="single" w:sz="2" w:space="0" w:color="808080" w:themeColor="background1" w:themeShade="80"/>
            </w:tcBorders>
          </w:tcPr>
          <w:p w14:paraId="7AF8099B" w14:textId="77777777" w:rsidR="002A6A78" w:rsidRDefault="002A6A78" w:rsidP="00F27C38">
            <w:pPr>
              <w:pStyle w:val="Tabletext"/>
              <w:keepNext/>
              <w:jc w:val="right"/>
            </w:pPr>
            <w:r>
              <w:t>18</w:t>
            </w:r>
          </w:p>
        </w:tc>
      </w:tr>
    </w:tbl>
    <w:p w14:paraId="39BF9C8C" w14:textId="2A95A90B" w:rsidR="002A6A78" w:rsidRDefault="002A6A78" w:rsidP="002A6A78">
      <w:pPr>
        <w:pStyle w:val="Source"/>
      </w:pPr>
      <w:r>
        <w:t xml:space="preserve">Source: </w:t>
      </w:r>
      <w:r w:rsidRPr="003A4C47">
        <w:t>Rickwood et al. (2015)</w:t>
      </w:r>
      <w:r w:rsidRPr="00BF45BE">
        <w:rPr>
          <w:rStyle w:val="FootnoteReference"/>
          <w:szCs w:val="16"/>
        </w:rPr>
        <w:t xml:space="preserve"> </w:t>
      </w:r>
      <w:r w:rsidR="00CC0438">
        <w:rPr>
          <w:rFonts w:ascii="ZWAdobeF" w:hAnsi="ZWAdobeF" w:cs="ZWAdobeF"/>
          <w:sz w:val="2"/>
          <w:szCs w:val="2"/>
        </w:rPr>
        <w:t>216F</w:t>
      </w:r>
      <w:r>
        <w:rPr>
          <w:rStyle w:val="FootnoteReference"/>
          <w:szCs w:val="16"/>
        </w:rPr>
        <w:footnoteReference w:id="218"/>
      </w:r>
      <w:r w:rsidRPr="003A4C47">
        <w:t>; Kwan et al. (2018)</w:t>
      </w:r>
      <w:r w:rsidRPr="00BF45BE">
        <w:rPr>
          <w:rStyle w:val="FootnoteReference"/>
          <w:szCs w:val="16"/>
        </w:rPr>
        <w:t xml:space="preserve"> </w:t>
      </w:r>
      <w:r w:rsidR="00CC0438">
        <w:rPr>
          <w:rFonts w:ascii="ZWAdobeF" w:hAnsi="ZWAdobeF" w:cs="ZWAdobeF"/>
          <w:sz w:val="2"/>
          <w:szCs w:val="2"/>
        </w:rPr>
        <w:t>217F</w:t>
      </w:r>
      <w:r>
        <w:rPr>
          <w:rStyle w:val="FootnoteReference"/>
          <w:szCs w:val="16"/>
        </w:rPr>
        <w:footnoteReference w:id="219"/>
      </w:r>
      <w:r w:rsidRPr="003A4C47">
        <w:t>; Kwan &amp; Rickwood (2020)</w:t>
      </w:r>
      <w:r w:rsidRPr="00BF45BE">
        <w:rPr>
          <w:rStyle w:val="FootnoteReference"/>
          <w:szCs w:val="16"/>
        </w:rPr>
        <w:t xml:space="preserve"> </w:t>
      </w:r>
      <w:r w:rsidR="00CC0438">
        <w:rPr>
          <w:rFonts w:ascii="ZWAdobeF" w:hAnsi="ZWAdobeF" w:cs="ZWAdobeF"/>
          <w:sz w:val="2"/>
          <w:szCs w:val="2"/>
        </w:rPr>
        <w:t>218F</w:t>
      </w:r>
      <w:r>
        <w:rPr>
          <w:rStyle w:val="FootnoteReference"/>
          <w:szCs w:val="16"/>
        </w:rPr>
        <w:footnoteReference w:id="220"/>
      </w:r>
    </w:p>
    <w:p w14:paraId="06E566DA" w14:textId="19F0BEA9" w:rsidR="002A6A78" w:rsidRPr="002A7734" w:rsidRDefault="002A6A78" w:rsidP="002A6A78">
      <w:pPr>
        <w:pStyle w:val="BodyText"/>
        <w:rPr>
          <w:strike/>
        </w:rPr>
      </w:pPr>
      <w:r>
        <w:t xml:space="preserve">Clinically significant change occurs when the </w:t>
      </w:r>
      <w:r w:rsidDel="00C177F6">
        <w:t xml:space="preserve">young </w:t>
      </w:r>
      <w:r>
        <w:t>people with an outcome measure within the clinical range when they present to headspace and who mental health improves so that they are no longer in the clinical range when they closed their treatment episode. The cut-off point separating the two populations is known as the clinically significant index (CSI) and is also determined by the Jacobson and Truax method</w:t>
      </w:r>
      <w:r w:rsidR="00CC0438">
        <w:rPr>
          <w:rFonts w:ascii="ZWAdobeF" w:hAnsi="ZWAdobeF" w:cs="ZWAdobeF"/>
          <w:sz w:val="2"/>
          <w:szCs w:val="2"/>
        </w:rPr>
        <w:t>219F</w:t>
      </w:r>
      <w:r>
        <w:rPr>
          <w:rStyle w:val="FootnoteReference"/>
        </w:rPr>
        <w:footnoteReference w:id="221"/>
      </w:r>
      <w:r w:rsidR="00143D07">
        <w:t>.</w:t>
      </w:r>
      <w:r>
        <w:t xml:space="preserve"> The CSI cut-off points for the K10, SOFAS and MLT indicators are summarised below in </w:t>
      </w:r>
      <w:r w:rsidR="00072CB6">
        <w:fldChar w:fldCharType="begin" w:fldLock="1"/>
      </w:r>
      <w:r w:rsidR="00072CB6">
        <w:instrText xml:space="preserve"> REF _Ref97749561 \h </w:instrText>
      </w:r>
      <w:r w:rsidR="00072CB6">
        <w:fldChar w:fldCharType="separate"/>
      </w:r>
      <w:r w:rsidR="00073E45">
        <w:t xml:space="preserve">Table </w:t>
      </w:r>
      <w:r w:rsidR="00073E45">
        <w:rPr>
          <w:noProof/>
        </w:rPr>
        <w:t>65</w:t>
      </w:r>
      <w:r w:rsidR="00072CB6">
        <w:fldChar w:fldCharType="end"/>
      </w:r>
      <w:r>
        <w:t>. In this analysis, the cut-off points only differ by age and gender for the MLT indicator based on recent literature</w:t>
      </w:r>
      <w:r w:rsidR="00CC0438">
        <w:rPr>
          <w:rFonts w:ascii="ZWAdobeF" w:hAnsi="ZWAdobeF" w:cs="ZWAdobeF"/>
          <w:sz w:val="2"/>
          <w:szCs w:val="2"/>
        </w:rPr>
        <w:t>220F</w:t>
      </w:r>
      <w:r>
        <w:rPr>
          <w:rStyle w:val="FootnoteReference"/>
          <w:szCs w:val="16"/>
        </w:rPr>
        <w:footnoteReference w:id="222"/>
      </w:r>
      <w:r w:rsidR="00143D07">
        <w:t>.</w:t>
      </w:r>
    </w:p>
    <w:p w14:paraId="29A77151" w14:textId="75CC8DB8" w:rsidR="002A6A78" w:rsidRDefault="002A6A78" w:rsidP="002A6A78">
      <w:pPr>
        <w:pStyle w:val="Caption"/>
      </w:pPr>
      <w:bookmarkStart w:id="308" w:name="_Ref97749561"/>
      <w:bookmarkStart w:id="309" w:name="_Toc108109015"/>
      <w:r>
        <w:t xml:space="preserve">Table </w:t>
      </w:r>
      <w:r>
        <w:fldChar w:fldCharType="begin"/>
      </w:r>
      <w:r>
        <w:instrText>SEQ Table \* ARABIC</w:instrText>
      </w:r>
      <w:r>
        <w:fldChar w:fldCharType="separate"/>
      </w:r>
      <w:r w:rsidR="00CC0438">
        <w:rPr>
          <w:noProof/>
        </w:rPr>
        <w:t>65</w:t>
      </w:r>
      <w:r>
        <w:fldChar w:fldCharType="end"/>
      </w:r>
      <w:bookmarkEnd w:id="308"/>
      <w:r>
        <w:t>: Clinically significant change index by gender and age</w:t>
      </w:r>
      <w:bookmarkEnd w:id="30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nically significant change index by gender and age"/>
        <w:tblDescription w:val="Table has 5 columns and summarises the clinically significant change index for each outcome measure, by gender and age. Column 1 indicates young people’s gender. Column 2 indicates young people’s age range. Column 3 indicates the clinically significant change index for the K10 measure. Column 4 indicates the clinically significant change index for the SOFAS measure. Column 5 indicates the clinically significant change index for the My Life Tracker measure.&#10;"/>
      </w:tblPr>
      <w:tblGrid>
        <w:gridCol w:w="918"/>
        <w:gridCol w:w="1995"/>
        <w:gridCol w:w="2055"/>
        <w:gridCol w:w="2052"/>
        <w:gridCol w:w="2050"/>
      </w:tblGrid>
      <w:tr w:rsidR="00F403DC" w:rsidRPr="00D65A2D" w14:paraId="25316400" w14:textId="77777777" w:rsidTr="002A4C8F">
        <w:tc>
          <w:tcPr>
            <w:tcW w:w="506" w:type="pct"/>
            <w:vMerge w:val="restart"/>
            <w:shd w:val="clear" w:color="auto" w:fill="00338D"/>
          </w:tcPr>
          <w:p w14:paraId="17B30C24" w14:textId="77777777" w:rsidR="00F403DC" w:rsidRDefault="00F403DC" w:rsidP="00F27C38">
            <w:pPr>
              <w:pStyle w:val="Tableheading"/>
            </w:pPr>
            <w:r>
              <w:t>Gender</w:t>
            </w:r>
          </w:p>
        </w:tc>
        <w:tc>
          <w:tcPr>
            <w:tcW w:w="1100" w:type="pct"/>
            <w:vMerge w:val="restart"/>
            <w:shd w:val="clear" w:color="auto" w:fill="00338D"/>
          </w:tcPr>
          <w:p w14:paraId="4AE58124" w14:textId="77777777" w:rsidR="00F403DC" w:rsidRDefault="00F403DC" w:rsidP="00F27C38">
            <w:pPr>
              <w:pStyle w:val="Tableheading"/>
            </w:pPr>
            <w:r>
              <w:t>Age</w:t>
            </w:r>
          </w:p>
        </w:tc>
        <w:tc>
          <w:tcPr>
            <w:tcW w:w="3394" w:type="pct"/>
            <w:gridSpan w:val="3"/>
            <w:tcBorders>
              <w:bottom w:val="single" w:sz="4" w:space="0" w:color="00338D"/>
            </w:tcBorders>
            <w:shd w:val="clear" w:color="auto" w:fill="00338D"/>
            <w:vAlign w:val="center"/>
          </w:tcPr>
          <w:p w14:paraId="61982788" w14:textId="77777777" w:rsidR="00F403DC" w:rsidRDefault="00F403DC" w:rsidP="00F27C38">
            <w:pPr>
              <w:pStyle w:val="Tableheading"/>
              <w:jc w:val="center"/>
            </w:pPr>
            <w:r>
              <w:t>Clinically significant change index</w:t>
            </w:r>
          </w:p>
        </w:tc>
      </w:tr>
      <w:tr w:rsidR="00F403DC" w:rsidRPr="00D65A2D" w14:paraId="5A57BFB5" w14:textId="77777777" w:rsidTr="00F27C38">
        <w:tc>
          <w:tcPr>
            <w:tcW w:w="506" w:type="pct"/>
            <w:vMerge/>
            <w:tcBorders>
              <w:bottom w:val="single" w:sz="4" w:space="0" w:color="00338D"/>
            </w:tcBorders>
            <w:shd w:val="clear" w:color="auto" w:fill="00338D"/>
          </w:tcPr>
          <w:p w14:paraId="72D61470" w14:textId="77777777" w:rsidR="00F403DC" w:rsidRPr="00D65A2D" w:rsidRDefault="00F403DC" w:rsidP="00F27C38">
            <w:pPr>
              <w:pStyle w:val="Tableheading"/>
            </w:pPr>
          </w:p>
        </w:tc>
        <w:tc>
          <w:tcPr>
            <w:tcW w:w="1100" w:type="pct"/>
            <w:vMerge/>
            <w:tcBorders>
              <w:bottom w:val="single" w:sz="4" w:space="0" w:color="00338D"/>
            </w:tcBorders>
            <w:shd w:val="clear" w:color="auto" w:fill="00338D"/>
          </w:tcPr>
          <w:p w14:paraId="19DAEE9F" w14:textId="77777777" w:rsidR="00F403DC" w:rsidRDefault="00F403DC" w:rsidP="00F27C38">
            <w:pPr>
              <w:pStyle w:val="Tableheading"/>
            </w:pPr>
          </w:p>
        </w:tc>
        <w:tc>
          <w:tcPr>
            <w:tcW w:w="1133" w:type="pct"/>
            <w:tcBorders>
              <w:bottom w:val="single" w:sz="4" w:space="0" w:color="00338D"/>
            </w:tcBorders>
            <w:shd w:val="clear" w:color="auto" w:fill="00338D"/>
          </w:tcPr>
          <w:p w14:paraId="7F010CD2" w14:textId="77777777" w:rsidR="00F403DC" w:rsidRDefault="00F403DC" w:rsidP="00F27C38">
            <w:pPr>
              <w:pStyle w:val="Tableheading"/>
              <w:jc w:val="right"/>
            </w:pPr>
            <w:r>
              <w:t xml:space="preserve">K10 </w:t>
            </w:r>
          </w:p>
        </w:tc>
        <w:tc>
          <w:tcPr>
            <w:tcW w:w="1131" w:type="pct"/>
            <w:tcBorders>
              <w:bottom w:val="single" w:sz="4" w:space="0" w:color="00338D"/>
            </w:tcBorders>
            <w:shd w:val="clear" w:color="auto" w:fill="00338D"/>
          </w:tcPr>
          <w:p w14:paraId="6655C3EE" w14:textId="77777777" w:rsidR="00F403DC" w:rsidRDefault="00F403DC" w:rsidP="00F27C38">
            <w:pPr>
              <w:pStyle w:val="Tableheading"/>
              <w:jc w:val="right"/>
            </w:pPr>
            <w:r>
              <w:t>SOFAS</w:t>
            </w:r>
          </w:p>
        </w:tc>
        <w:tc>
          <w:tcPr>
            <w:tcW w:w="1130" w:type="pct"/>
            <w:tcBorders>
              <w:bottom w:val="single" w:sz="4" w:space="0" w:color="00338D"/>
            </w:tcBorders>
            <w:shd w:val="clear" w:color="auto" w:fill="00338D"/>
          </w:tcPr>
          <w:p w14:paraId="034A742E" w14:textId="77777777" w:rsidR="00F403DC" w:rsidRDefault="00F403DC" w:rsidP="00F27C38">
            <w:pPr>
              <w:pStyle w:val="Tableheading"/>
              <w:jc w:val="right"/>
            </w:pPr>
            <w:r>
              <w:t>MLT</w:t>
            </w:r>
          </w:p>
        </w:tc>
      </w:tr>
      <w:tr w:rsidR="00F403DC" w14:paraId="5B3946AD" w14:textId="77777777" w:rsidTr="007E0A7A">
        <w:tc>
          <w:tcPr>
            <w:tcW w:w="506" w:type="pct"/>
            <w:vMerge w:val="restart"/>
            <w:tcBorders>
              <w:top w:val="single" w:sz="4" w:space="0" w:color="00338D"/>
            </w:tcBorders>
          </w:tcPr>
          <w:p w14:paraId="73626908" w14:textId="77777777" w:rsidR="00F403DC" w:rsidRDefault="00F403DC" w:rsidP="00F27C38">
            <w:pPr>
              <w:pStyle w:val="Tabletext"/>
            </w:pPr>
            <w:r>
              <w:t xml:space="preserve">Male </w:t>
            </w:r>
          </w:p>
        </w:tc>
        <w:tc>
          <w:tcPr>
            <w:tcW w:w="1100" w:type="pct"/>
            <w:tcBorders>
              <w:top w:val="single" w:sz="4" w:space="0" w:color="00338D"/>
              <w:bottom w:val="single" w:sz="2" w:space="0" w:color="808080" w:themeColor="background1" w:themeShade="80"/>
            </w:tcBorders>
            <w:vAlign w:val="center"/>
          </w:tcPr>
          <w:p w14:paraId="2164466D" w14:textId="77777777" w:rsidR="00F403DC" w:rsidRDefault="00F403DC" w:rsidP="00F27C38">
            <w:pPr>
              <w:pStyle w:val="Tabletext"/>
            </w:pPr>
            <w:r>
              <w:t xml:space="preserve">Less than 14 years </w:t>
            </w:r>
          </w:p>
        </w:tc>
        <w:tc>
          <w:tcPr>
            <w:tcW w:w="1133" w:type="pct"/>
            <w:tcBorders>
              <w:top w:val="single" w:sz="4" w:space="0" w:color="00338D"/>
              <w:bottom w:val="single" w:sz="2" w:space="0" w:color="808080" w:themeColor="background1" w:themeShade="80"/>
            </w:tcBorders>
          </w:tcPr>
          <w:p w14:paraId="1EEE9A71" w14:textId="77777777" w:rsidR="00F403DC" w:rsidRDefault="00F403DC" w:rsidP="00F27C38">
            <w:pPr>
              <w:pStyle w:val="Tabletext"/>
              <w:jc w:val="right"/>
            </w:pPr>
            <w:r>
              <w:t>23.0</w:t>
            </w:r>
          </w:p>
        </w:tc>
        <w:tc>
          <w:tcPr>
            <w:tcW w:w="1131" w:type="pct"/>
            <w:tcBorders>
              <w:top w:val="single" w:sz="4" w:space="0" w:color="00338D"/>
              <w:bottom w:val="single" w:sz="2" w:space="0" w:color="808080" w:themeColor="background1" w:themeShade="80"/>
            </w:tcBorders>
          </w:tcPr>
          <w:p w14:paraId="42A7A888" w14:textId="77777777" w:rsidR="00F403DC" w:rsidRDefault="00F403DC" w:rsidP="00F27C38">
            <w:pPr>
              <w:pStyle w:val="Tabletext"/>
              <w:jc w:val="right"/>
            </w:pPr>
            <w:r>
              <w:t>69.0</w:t>
            </w:r>
          </w:p>
        </w:tc>
        <w:tc>
          <w:tcPr>
            <w:tcW w:w="1130" w:type="pct"/>
            <w:tcBorders>
              <w:top w:val="single" w:sz="4" w:space="0" w:color="00338D"/>
              <w:bottom w:val="single" w:sz="2" w:space="0" w:color="808080" w:themeColor="background1" w:themeShade="80"/>
            </w:tcBorders>
          </w:tcPr>
          <w:p w14:paraId="34F94E30" w14:textId="77777777" w:rsidR="00F403DC" w:rsidRDefault="00F403DC" w:rsidP="00F27C38">
            <w:pPr>
              <w:pStyle w:val="Tabletext"/>
              <w:jc w:val="right"/>
            </w:pPr>
            <w:r>
              <w:t>75.5</w:t>
            </w:r>
          </w:p>
        </w:tc>
      </w:tr>
      <w:tr w:rsidR="00F403DC" w14:paraId="2393C16D" w14:textId="77777777" w:rsidTr="007E0A7A">
        <w:tc>
          <w:tcPr>
            <w:tcW w:w="506" w:type="pct"/>
            <w:vMerge/>
          </w:tcPr>
          <w:p w14:paraId="3F594060" w14:textId="77777777" w:rsidR="00F403DC" w:rsidRDefault="00F403DC" w:rsidP="00F27C38">
            <w:pPr>
              <w:pStyle w:val="Tabletext"/>
            </w:pPr>
          </w:p>
        </w:tc>
        <w:tc>
          <w:tcPr>
            <w:tcW w:w="1100" w:type="pct"/>
            <w:tcBorders>
              <w:top w:val="single" w:sz="4" w:space="0" w:color="00338D"/>
              <w:bottom w:val="single" w:sz="4" w:space="0" w:color="00338D"/>
            </w:tcBorders>
          </w:tcPr>
          <w:p w14:paraId="5E07816F" w14:textId="77777777" w:rsidR="00F403DC" w:rsidRDefault="00F403DC" w:rsidP="00F27C38">
            <w:pPr>
              <w:pStyle w:val="Tabletext"/>
            </w:pPr>
            <w:r>
              <w:t>15 to 17 years</w:t>
            </w:r>
          </w:p>
        </w:tc>
        <w:tc>
          <w:tcPr>
            <w:tcW w:w="1133" w:type="pct"/>
            <w:tcBorders>
              <w:top w:val="single" w:sz="4" w:space="0" w:color="00338D"/>
              <w:bottom w:val="single" w:sz="4" w:space="0" w:color="00338D"/>
            </w:tcBorders>
          </w:tcPr>
          <w:p w14:paraId="60FD6201" w14:textId="77777777" w:rsidR="00F403DC" w:rsidRDefault="00F403DC" w:rsidP="00F27C38">
            <w:pPr>
              <w:pStyle w:val="Tabletext"/>
              <w:jc w:val="right"/>
            </w:pPr>
            <w:r>
              <w:t>23.0</w:t>
            </w:r>
          </w:p>
        </w:tc>
        <w:tc>
          <w:tcPr>
            <w:tcW w:w="1131" w:type="pct"/>
            <w:tcBorders>
              <w:top w:val="single" w:sz="4" w:space="0" w:color="00338D"/>
              <w:bottom w:val="single" w:sz="4" w:space="0" w:color="00338D"/>
            </w:tcBorders>
          </w:tcPr>
          <w:p w14:paraId="73A5A2AB" w14:textId="77777777" w:rsidR="00F403DC" w:rsidRDefault="00F403DC" w:rsidP="00F27C38">
            <w:pPr>
              <w:pStyle w:val="Tabletext"/>
              <w:jc w:val="right"/>
            </w:pPr>
            <w:r>
              <w:t>69.0</w:t>
            </w:r>
          </w:p>
        </w:tc>
        <w:tc>
          <w:tcPr>
            <w:tcW w:w="1130" w:type="pct"/>
            <w:tcBorders>
              <w:top w:val="single" w:sz="4" w:space="0" w:color="00338D"/>
              <w:bottom w:val="single" w:sz="4" w:space="0" w:color="00338D"/>
            </w:tcBorders>
          </w:tcPr>
          <w:p w14:paraId="345E5FF3" w14:textId="77777777" w:rsidR="00F403DC" w:rsidRDefault="00F403DC" w:rsidP="00F27C38">
            <w:pPr>
              <w:pStyle w:val="Tabletext"/>
              <w:jc w:val="right"/>
            </w:pPr>
            <w:r>
              <w:t>68.8</w:t>
            </w:r>
          </w:p>
        </w:tc>
      </w:tr>
      <w:tr w:rsidR="00F403DC" w14:paraId="0AC31EB8" w14:textId="77777777" w:rsidTr="007E0A7A">
        <w:tc>
          <w:tcPr>
            <w:tcW w:w="506" w:type="pct"/>
            <w:vMerge/>
          </w:tcPr>
          <w:p w14:paraId="76702565" w14:textId="77777777" w:rsidR="00F403DC" w:rsidRDefault="00F403DC" w:rsidP="00F27C38">
            <w:pPr>
              <w:pStyle w:val="Tabletext"/>
            </w:pPr>
          </w:p>
        </w:tc>
        <w:tc>
          <w:tcPr>
            <w:tcW w:w="1100" w:type="pct"/>
            <w:tcBorders>
              <w:top w:val="single" w:sz="4" w:space="0" w:color="00338D"/>
              <w:bottom w:val="single" w:sz="4" w:space="0" w:color="00338D"/>
            </w:tcBorders>
          </w:tcPr>
          <w:p w14:paraId="475799BD" w14:textId="77777777" w:rsidR="00F403DC" w:rsidRDefault="00F403DC" w:rsidP="00F27C38">
            <w:pPr>
              <w:pStyle w:val="Tabletext"/>
            </w:pPr>
            <w:r>
              <w:t>18 to 21 years</w:t>
            </w:r>
          </w:p>
        </w:tc>
        <w:tc>
          <w:tcPr>
            <w:tcW w:w="1133" w:type="pct"/>
            <w:tcBorders>
              <w:top w:val="single" w:sz="4" w:space="0" w:color="00338D"/>
              <w:bottom w:val="single" w:sz="4" w:space="0" w:color="00338D"/>
            </w:tcBorders>
          </w:tcPr>
          <w:p w14:paraId="06B1BFDB" w14:textId="77777777" w:rsidR="00F403DC" w:rsidRDefault="00F403DC" w:rsidP="00F27C38">
            <w:pPr>
              <w:pStyle w:val="Tabletext"/>
              <w:jc w:val="right"/>
            </w:pPr>
            <w:r>
              <w:t>23.0</w:t>
            </w:r>
          </w:p>
        </w:tc>
        <w:tc>
          <w:tcPr>
            <w:tcW w:w="1131" w:type="pct"/>
            <w:tcBorders>
              <w:top w:val="single" w:sz="4" w:space="0" w:color="00338D"/>
              <w:bottom w:val="single" w:sz="4" w:space="0" w:color="00338D"/>
            </w:tcBorders>
          </w:tcPr>
          <w:p w14:paraId="6C19E004" w14:textId="77777777" w:rsidR="00F403DC" w:rsidRDefault="00F403DC" w:rsidP="00F27C38">
            <w:pPr>
              <w:pStyle w:val="Tabletext"/>
              <w:jc w:val="right"/>
            </w:pPr>
            <w:r>
              <w:t>69.0</w:t>
            </w:r>
          </w:p>
        </w:tc>
        <w:tc>
          <w:tcPr>
            <w:tcW w:w="1130" w:type="pct"/>
            <w:tcBorders>
              <w:top w:val="single" w:sz="4" w:space="0" w:color="00338D"/>
              <w:bottom w:val="single" w:sz="4" w:space="0" w:color="00338D"/>
            </w:tcBorders>
          </w:tcPr>
          <w:p w14:paraId="37B3E0C8" w14:textId="77777777" w:rsidR="00F403DC" w:rsidRDefault="00F403DC" w:rsidP="00F27C38">
            <w:pPr>
              <w:pStyle w:val="Tabletext"/>
              <w:jc w:val="right"/>
            </w:pPr>
            <w:r>
              <w:t>61.6</w:t>
            </w:r>
          </w:p>
        </w:tc>
      </w:tr>
      <w:tr w:rsidR="00F403DC" w14:paraId="57CB4E13" w14:textId="77777777" w:rsidTr="007E0A7A">
        <w:tc>
          <w:tcPr>
            <w:tcW w:w="506" w:type="pct"/>
            <w:vMerge/>
            <w:tcBorders>
              <w:bottom w:val="single" w:sz="4" w:space="0" w:color="00338D"/>
            </w:tcBorders>
          </w:tcPr>
          <w:p w14:paraId="7A7E25F3" w14:textId="77777777" w:rsidR="00F403DC" w:rsidRDefault="00F403DC" w:rsidP="00F27C38">
            <w:pPr>
              <w:pStyle w:val="Tabletext"/>
            </w:pPr>
          </w:p>
        </w:tc>
        <w:tc>
          <w:tcPr>
            <w:tcW w:w="1100" w:type="pct"/>
            <w:tcBorders>
              <w:top w:val="single" w:sz="4" w:space="0" w:color="00338D"/>
              <w:bottom w:val="single" w:sz="4" w:space="0" w:color="00338D"/>
            </w:tcBorders>
          </w:tcPr>
          <w:p w14:paraId="5482C274" w14:textId="77777777" w:rsidR="00F403DC" w:rsidRDefault="00F403DC" w:rsidP="00F27C38">
            <w:pPr>
              <w:pStyle w:val="Tabletext"/>
            </w:pPr>
            <w:r>
              <w:t>22 years and older</w:t>
            </w:r>
          </w:p>
        </w:tc>
        <w:tc>
          <w:tcPr>
            <w:tcW w:w="1133" w:type="pct"/>
            <w:tcBorders>
              <w:top w:val="single" w:sz="4" w:space="0" w:color="00338D"/>
              <w:bottom w:val="single" w:sz="4" w:space="0" w:color="00338D"/>
            </w:tcBorders>
          </w:tcPr>
          <w:p w14:paraId="376ABAA0" w14:textId="77777777" w:rsidR="00F403DC" w:rsidRDefault="00F403DC" w:rsidP="00F27C38">
            <w:pPr>
              <w:pStyle w:val="Tabletext"/>
              <w:jc w:val="right"/>
            </w:pPr>
            <w:r>
              <w:t>23.0</w:t>
            </w:r>
          </w:p>
        </w:tc>
        <w:tc>
          <w:tcPr>
            <w:tcW w:w="1131" w:type="pct"/>
            <w:tcBorders>
              <w:top w:val="single" w:sz="4" w:space="0" w:color="00338D"/>
              <w:bottom w:val="single" w:sz="4" w:space="0" w:color="00338D"/>
            </w:tcBorders>
          </w:tcPr>
          <w:p w14:paraId="148667D7" w14:textId="77777777" w:rsidR="00F403DC" w:rsidRDefault="00F403DC" w:rsidP="00F27C38">
            <w:pPr>
              <w:pStyle w:val="Tabletext"/>
              <w:jc w:val="right"/>
            </w:pPr>
            <w:r>
              <w:t>69.0</w:t>
            </w:r>
          </w:p>
        </w:tc>
        <w:tc>
          <w:tcPr>
            <w:tcW w:w="1130" w:type="pct"/>
            <w:tcBorders>
              <w:top w:val="single" w:sz="4" w:space="0" w:color="00338D"/>
              <w:bottom w:val="single" w:sz="4" w:space="0" w:color="00338D"/>
            </w:tcBorders>
          </w:tcPr>
          <w:p w14:paraId="034A632C" w14:textId="77777777" w:rsidR="00F403DC" w:rsidRDefault="00F403DC" w:rsidP="00F27C38">
            <w:pPr>
              <w:pStyle w:val="Tabletext"/>
              <w:jc w:val="right"/>
            </w:pPr>
            <w:r>
              <w:t>61.7</w:t>
            </w:r>
          </w:p>
        </w:tc>
      </w:tr>
      <w:tr w:rsidR="00F403DC" w14:paraId="48F9D7EC" w14:textId="77777777" w:rsidTr="000525AD">
        <w:tc>
          <w:tcPr>
            <w:tcW w:w="506" w:type="pct"/>
            <w:vMerge w:val="restart"/>
            <w:tcBorders>
              <w:top w:val="single" w:sz="4" w:space="0" w:color="00338D"/>
            </w:tcBorders>
          </w:tcPr>
          <w:p w14:paraId="2D7F067F" w14:textId="77777777" w:rsidR="00F403DC" w:rsidRDefault="00F403DC" w:rsidP="00F27C38">
            <w:pPr>
              <w:pStyle w:val="Tabletext"/>
            </w:pPr>
            <w:r>
              <w:t xml:space="preserve">Female </w:t>
            </w:r>
          </w:p>
        </w:tc>
        <w:tc>
          <w:tcPr>
            <w:tcW w:w="1100" w:type="pct"/>
            <w:tcBorders>
              <w:top w:val="single" w:sz="4" w:space="0" w:color="00338D"/>
              <w:bottom w:val="single" w:sz="4" w:space="0" w:color="00338D"/>
            </w:tcBorders>
            <w:vAlign w:val="center"/>
          </w:tcPr>
          <w:p w14:paraId="7D290D93" w14:textId="77777777" w:rsidR="00F403DC" w:rsidRDefault="00F403DC" w:rsidP="00F27C38">
            <w:pPr>
              <w:pStyle w:val="Tabletext"/>
            </w:pPr>
            <w:r>
              <w:t xml:space="preserve">Less than 14 years </w:t>
            </w:r>
          </w:p>
        </w:tc>
        <w:tc>
          <w:tcPr>
            <w:tcW w:w="1133" w:type="pct"/>
            <w:tcBorders>
              <w:top w:val="single" w:sz="4" w:space="0" w:color="00338D"/>
              <w:bottom w:val="single" w:sz="4" w:space="0" w:color="00338D"/>
            </w:tcBorders>
          </w:tcPr>
          <w:p w14:paraId="2AFABFA2" w14:textId="77777777" w:rsidR="00F403DC" w:rsidRDefault="00F403DC" w:rsidP="00F27C38">
            <w:pPr>
              <w:pStyle w:val="Tabletext"/>
              <w:jc w:val="right"/>
            </w:pPr>
            <w:r>
              <w:t>23.0</w:t>
            </w:r>
          </w:p>
        </w:tc>
        <w:tc>
          <w:tcPr>
            <w:tcW w:w="1131" w:type="pct"/>
            <w:tcBorders>
              <w:top w:val="single" w:sz="4" w:space="0" w:color="00338D"/>
              <w:bottom w:val="single" w:sz="4" w:space="0" w:color="00338D"/>
            </w:tcBorders>
          </w:tcPr>
          <w:p w14:paraId="70966DCF" w14:textId="77777777" w:rsidR="00F403DC" w:rsidRDefault="00F403DC" w:rsidP="00F27C38">
            <w:pPr>
              <w:pStyle w:val="Tabletext"/>
              <w:jc w:val="right"/>
            </w:pPr>
            <w:r>
              <w:t>69.0</w:t>
            </w:r>
          </w:p>
        </w:tc>
        <w:tc>
          <w:tcPr>
            <w:tcW w:w="1130" w:type="pct"/>
            <w:tcBorders>
              <w:top w:val="single" w:sz="4" w:space="0" w:color="00338D"/>
              <w:bottom w:val="single" w:sz="4" w:space="0" w:color="00338D"/>
            </w:tcBorders>
          </w:tcPr>
          <w:p w14:paraId="55FF94BC" w14:textId="77777777" w:rsidR="00F403DC" w:rsidRDefault="00F403DC" w:rsidP="00F27C38">
            <w:pPr>
              <w:pStyle w:val="Tabletext"/>
              <w:jc w:val="right"/>
            </w:pPr>
            <w:r>
              <w:t>68.3</w:t>
            </w:r>
          </w:p>
        </w:tc>
      </w:tr>
      <w:tr w:rsidR="00F403DC" w14:paraId="1F8D5216" w14:textId="77777777" w:rsidTr="000525AD">
        <w:tc>
          <w:tcPr>
            <w:tcW w:w="506" w:type="pct"/>
            <w:vMerge/>
          </w:tcPr>
          <w:p w14:paraId="33DD5A97" w14:textId="77777777" w:rsidR="00F403DC" w:rsidRDefault="00F403DC" w:rsidP="00F27C38">
            <w:pPr>
              <w:pStyle w:val="Tabletext"/>
            </w:pPr>
          </w:p>
        </w:tc>
        <w:tc>
          <w:tcPr>
            <w:tcW w:w="1100" w:type="pct"/>
            <w:tcBorders>
              <w:top w:val="single" w:sz="4" w:space="0" w:color="00338D"/>
              <w:bottom w:val="single" w:sz="4" w:space="0" w:color="00338D"/>
            </w:tcBorders>
          </w:tcPr>
          <w:p w14:paraId="4DE9353C" w14:textId="77777777" w:rsidR="00F403DC" w:rsidRDefault="00F403DC" w:rsidP="00F27C38">
            <w:pPr>
              <w:pStyle w:val="Tabletext"/>
            </w:pPr>
            <w:r>
              <w:t>15 to 17 years</w:t>
            </w:r>
          </w:p>
        </w:tc>
        <w:tc>
          <w:tcPr>
            <w:tcW w:w="1133" w:type="pct"/>
            <w:tcBorders>
              <w:top w:val="single" w:sz="4" w:space="0" w:color="00338D"/>
              <w:bottom w:val="single" w:sz="4" w:space="0" w:color="00338D"/>
            </w:tcBorders>
          </w:tcPr>
          <w:p w14:paraId="06AC2B99" w14:textId="77777777" w:rsidR="00F403DC" w:rsidRDefault="00F403DC" w:rsidP="00F27C38">
            <w:pPr>
              <w:pStyle w:val="Tabletext"/>
              <w:jc w:val="right"/>
            </w:pPr>
            <w:r>
              <w:t>23.0</w:t>
            </w:r>
          </w:p>
        </w:tc>
        <w:tc>
          <w:tcPr>
            <w:tcW w:w="1131" w:type="pct"/>
            <w:tcBorders>
              <w:top w:val="single" w:sz="4" w:space="0" w:color="00338D"/>
              <w:bottom w:val="single" w:sz="4" w:space="0" w:color="00338D"/>
            </w:tcBorders>
          </w:tcPr>
          <w:p w14:paraId="1611362C" w14:textId="77777777" w:rsidR="00F403DC" w:rsidRDefault="00F403DC" w:rsidP="00F27C38">
            <w:pPr>
              <w:pStyle w:val="Tabletext"/>
              <w:jc w:val="right"/>
            </w:pPr>
            <w:r>
              <w:t>69.0</w:t>
            </w:r>
          </w:p>
        </w:tc>
        <w:tc>
          <w:tcPr>
            <w:tcW w:w="1130" w:type="pct"/>
            <w:tcBorders>
              <w:top w:val="single" w:sz="4" w:space="0" w:color="00338D"/>
              <w:bottom w:val="single" w:sz="4" w:space="0" w:color="00338D"/>
            </w:tcBorders>
          </w:tcPr>
          <w:p w14:paraId="2D57E232" w14:textId="77777777" w:rsidR="00F403DC" w:rsidRDefault="00F403DC" w:rsidP="00F27C38">
            <w:pPr>
              <w:pStyle w:val="Tabletext"/>
              <w:jc w:val="right"/>
            </w:pPr>
            <w:r>
              <w:t>58.3</w:t>
            </w:r>
          </w:p>
        </w:tc>
      </w:tr>
      <w:tr w:rsidR="00F403DC" w14:paraId="6344186A" w14:textId="77777777" w:rsidTr="000525AD">
        <w:tc>
          <w:tcPr>
            <w:tcW w:w="506" w:type="pct"/>
            <w:vMerge/>
          </w:tcPr>
          <w:p w14:paraId="0B92D922" w14:textId="77777777" w:rsidR="00F403DC" w:rsidRDefault="00F403DC" w:rsidP="00F27C38">
            <w:pPr>
              <w:pStyle w:val="Tabletext"/>
            </w:pPr>
          </w:p>
        </w:tc>
        <w:tc>
          <w:tcPr>
            <w:tcW w:w="1100" w:type="pct"/>
            <w:tcBorders>
              <w:top w:val="single" w:sz="4" w:space="0" w:color="00338D"/>
              <w:bottom w:val="single" w:sz="4" w:space="0" w:color="00338D"/>
            </w:tcBorders>
          </w:tcPr>
          <w:p w14:paraId="1BA0973D" w14:textId="77777777" w:rsidR="00F403DC" w:rsidRDefault="00F403DC" w:rsidP="00F27C38">
            <w:pPr>
              <w:pStyle w:val="Tabletext"/>
            </w:pPr>
            <w:r>
              <w:t>18 to 21 years</w:t>
            </w:r>
          </w:p>
        </w:tc>
        <w:tc>
          <w:tcPr>
            <w:tcW w:w="1133" w:type="pct"/>
            <w:tcBorders>
              <w:top w:val="single" w:sz="4" w:space="0" w:color="00338D"/>
              <w:bottom w:val="single" w:sz="4" w:space="0" w:color="00338D"/>
            </w:tcBorders>
          </w:tcPr>
          <w:p w14:paraId="7AD6C73D" w14:textId="77777777" w:rsidR="00F403DC" w:rsidRDefault="00F403DC" w:rsidP="00F27C38">
            <w:pPr>
              <w:pStyle w:val="Tabletext"/>
              <w:jc w:val="right"/>
            </w:pPr>
            <w:r>
              <w:t>23.0</w:t>
            </w:r>
          </w:p>
        </w:tc>
        <w:tc>
          <w:tcPr>
            <w:tcW w:w="1131" w:type="pct"/>
            <w:tcBorders>
              <w:top w:val="single" w:sz="4" w:space="0" w:color="00338D"/>
              <w:bottom w:val="single" w:sz="4" w:space="0" w:color="00338D"/>
            </w:tcBorders>
          </w:tcPr>
          <w:p w14:paraId="1CA66553" w14:textId="77777777" w:rsidR="00F403DC" w:rsidRDefault="00F403DC" w:rsidP="00F27C38">
            <w:pPr>
              <w:pStyle w:val="Tabletext"/>
              <w:jc w:val="right"/>
            </w:pPr>
            <w:r>
              <w:t>69.0</w:t>
            </w:r>
          </w:p>
        </w:tc>
        <w:tc>
          <w:tcPr>
            <w:tcW w:w="1130" w:type="pct"/>
            <w:tcBorders>
              <w:top w:val="single" w:sz="4" w:space="0" w:color="00338D"/>
              <w:bottom w:val="single" w:sz="4" w:space="0" w:color="00338D"/>
            </w:tcBorders>
          </w:tcPr>
          <w:p w14:paraId="3689E5DD" w14:textId="77777777" w:rsidR="00F403DC" w:rsidRDefault="00F403DC" w:rsidP="00F27C38">
            <w:pPr>
              <w:pStyle w:val="Tabletext"/>
              <w:jc w:val="right"/>
            </w:pPr>
            <w:r>
              <w:t>57.2</w:t>
            </w:r>
          </w:p>
        </w:tc>
      </w:tr>
      <w:tr w:rsidR="00F403DC" w14:paraId="6571A9ED" w14:textId="77777777" w:rsidTr="000525AD">
        <w:tc>
          <w:tcPr>
            <w:tcW w:w="506" w:type="pct"/>
            <w:vMerge/>
            <w:tcBorders>
              <w:bottom w:val="single" w:sz="4" w:space="0" w:color="00338D"/>
            </w:tcBorders>
          </w:tcPr>
          <w:p w14:paraId="46697F23" w14:textId="77777777" w:rsidR="00F403DC" w:rsidRDefault="00F403DC" w:rsidP="00F27C38">
            <w:pPr>
              <w:pStyle w:val="Tabletext"/>
            </w:pPr>
          </w:p>
        </w:tc>
        <w:tc>
          <w:tcPr>
            <w:tcW w:w="1100" w:type="pct"/>
            <w:tcBorders>
              <w:top w:val="single" w:sz="4" w:space="0" w:color="00338D"/>
              <w:bottom w:val="single" w:sz="4" w:space="0" w:color="00338D"/>
            </w:tcBorders>
          </w:tcPr>
          <w:p w14:paraId="583F3961" w14:textId="77777777" w:rsidR="00F403DC" w:rsidRDefault="00F403DC" w:rsidP="00F27C38">
            <w:pPr>
              <w:pStyle w:val="Tabletext"/>
            </w:pPr>
            <w:r>
              <w:t>22 years and older</w:t>
            </w:r>
          </w:p>
        </w:tc>
        <w:tc>
          <w:tcPr>
            <w:tcW w:w="1133" w:type="pct"/>
            <w:tcBorders>
              <w:top w:val="single" w:sz="4" w:space="0" w:color="00338D"/>
              <w:bottom w:val="single" w:sz="4" w:space="0" w:color="00338D"/>
            </w:tcBorders>
          </w:tcPr>
          <w:p w14:paraId="0C892C03" w14:textId="77777777" w:rsidR="00F403DC" w:rsidRDefault="00F403DC" w:rsidP="00F27C38">
            <w:pPr>
              <w:pStyle w:val="Tabletext"/>
              <w:jc w:val="right"/>
            </w:pPr>
            <w:r>
              <w:t>23.0</w:t>
            </w:r>
          </w:p>
        </w:tc>
        <w:tc>
          <w:tcPr>
            <w:tcW w:w="1131" w:type="pct"/>
            <w:tcBorders>
              <w:top w:val="single" w:sz="4" w:space="0" w:color="00338D"/>
              <w:bottom w:val="single" w:sz="4" w:space="0" w:color="00338D"/>
            </w:tcBorders>
          </w:tcPr>
          <w:p w14:paraId="056A268A" w14:textId="77777777" w:rsidR="00F403DC" w:rsidRDefault="00F403DC" w:rsidP="00F27C38">
            <w:pPr>
              <w:pStyle w:val="Tabletext"/>
              <w:jc w:val="right"/>
            </w:pPr>
            <w:r>
              <w:t>69.0</w:t>
            </w:r>
          </w:p>
        </w:tc>
        <w:tc>
          <w:tcPr>
            <w:tcW w:w="1130" w:type="pct"/>
            <w:tcBorders>
              <w:top w:val="single" w:sz="4" w:space="0" w:color="00338D"/>
              <w:bottom w:val="single" w:sz="4" w:space="0" w:color="00338D"/>
            </w:tcBorders>
          </w:tcPr>
          <w:p w14:paraId="54553F7E" w14:textId="77777777" w:rsidR="00F403DC" w:rsidRDefault="00F403DC" w:rsidP="00F27C38">
            <w:pPr>
              <w:pStyle w:val="Tabletext"/>
              <w:keepNext/>
              <w:jc w:val="right"/>
            </w:pPr>
            <w:r>
              <w:t>59.3</w:t>
            </w:r>
          </w:p>
        </w:tc>
      </w:tr>
    </w:tbl>
    <w:p w14:paraId="5490CB2E" w14:textId="7933586C" w:rsidR="002A6A78" w:rsidRDefault="002A6A78" w:rsidP="002A6A78">
      <w:pPr>
        <w:pStyle w:val="Source"/>
      </w:pPr>
      <w:r>
        <w:t xml:space="preserve">Source: </w:t>
      </w:r>
      <w:r w:rsidRPr="003A4C47">
        <w:t>Rickwood et al. (2015)</w:t>
      </w:r>
      <w:r w:rsidRPr="00BF45BE">
        <w:rPr>
          <w:rStyle w:val="FootnoteReference"/>
          <w:szCs w:val="16"/>
        </w:rPr>
        <w:t xml:space="preserve"> </w:t>
      </w:r>
      <w:r w:rsidR="00CC0438">
        <w:rPr>
          <w:rFonts w:ascii="ZWAdobeF" w:hAnsi="ZWAdobeF" w:cs="ZWAdobeF"/>
          <w:sz w:val="2"/>
          <w:szCs w:val="2"/>
        </w:rPr>
        <w:t>221F</w:t>
      </w:r>
      <w:r>
        <w:rPr>
          <w:rStyle w:val="FootnoteReference"/>
          <w:szCs w:val="16"/>
        </w:rPr>
        <w:footnoteReference w:id="223"/>
      </w:r>
      <w:r w:rsidRPr="003A4C47">
        <w:t>; Kwan &amp; Rickwood (2020)</w:t>
      </w:r>
      <w:r w:rsidRPr="00BF45BE">
        <w:rPr>
          <w:rStyle w:val="FootnoteReference"/>
          <w:szCs w:val="16"/>
        </w:rPr>
        <w:t xml:space="preserve"> </w:t>
      </w:r>
      <w:r w:rsidR="00CC0438">
        <w:rPr>
          <w:rFonts w:ascii="ZWAdobeF" w:hAnsi="ZWAdobeF" w:cs="ZWAdobeF"/>
          <w:sz w:val="2"/>
          <w:szCs w:val="2"/>
        </w:rPr>
        <w:t>222F</w:t>
      </w:r>
      <w:r>
        <w:rPr>
          <w:rStyle w:val="FootnoteReference"/>
          <w:szCs w:val="16"/>
        </w:rPr>
        <w:footnoteReference w:id="224"/>
      </w:r>
    </w:p>
    <w:p w14:paraId="51CF74A2" w14:textId="227A4618" w:rsidR="002A6A78" w:rsidRDefault="00072CB6" w:rsidP="003006A8">
      <w:pPr>
        <w:pStyle w:val="BodyText"/>
      </w:pPr>
      <w:r>
        <w:fldChar w:fldCharType="begin" w:fldLock="1"/>
      </w:r>
      <w:r>
        <w:instrText xml:space="preserve"> REF _Ref97749584 \h </w:instrText>
      </w:r>
      <w:r>
        <w:fldChar w:fldCharType="separate"/>
      </w:r>
      <w:r w:rsidR="00073E45">
        <w:t>Table 66</w:t>
      </w:r>
      <w:r>
        <w:fldChar w:fldCharType="end"/>
      </w:r>
      <w:r w:rsidR="002A6A78">
        <w:t xml:space="preserve"> shows the proportion of closed episodes within the effectiveness analysis dataset that experienced a reliable change and clinically significant change. </w:t>
      </w:r>
    </w:p>
    <w:p w14:paraId="1EBA4B49" w14:textId="6A9CB465" w:rsidR="002A6A78" w:rsidRDefault="002A6A78" w:rsidP="00A84B44">
      <w:pPr>
        <w:pStyle w:val="Bullet1stlevel"/>
      </w:pPr>
      <w:r>
        <w:t xml:space="preserve">Reliable change was observed in 16, 23 and 25 per cent of episodes using the K10, SOFAS and MLT outcome measures, respectively. That is, 16, 23 and 25 per </w:t>
      </w:r>
      <w:r w:rsidR="00D977A4">
        <w:t xml:space="preserve">cent </w:t>
      </w:r>
      <w:r>
        <w:t>of episodes experienced changes in the K10, SOFAS and MLT, respectively, that are unlikely to be due to simple measurement unreliability.</w:t>
      </w:r>
    </w:p>
    <w:p w14:paraId="4ECE9855" w14:textId="41D41EBF" w:rsidR="005F6A5D" w:rsidRDefault="002A6A78" w:rsidP="00A30DC0">
      <w:pPr>
        <w:pStyle w:val="Bullet1stlevel"/>
      </w:pPr>
      <w:r>
        <w:t>Clinically significant change was observed in 17, 44 and 31 per cent of episodes using the K10, SOFAS and MLT outcome measures, respectively. Note that it is not possible to assess the clinical improvement in young people who were in the non-clinical population at intake to headspace, and as a result these episodes were excluded from the clinically significant change analysis. Consistent with previous evaluations, a</w:t>
      </w:r>
      <w:r w:rsidDel="006903C4">
        <w:t xml:space="preserve"> majority of young </w:t>
      </w:r>
      <w:r>
        <w:t xml:space="preserve">people within the clinical population did not achieve </w:t>
      </w:r>
      <w:r w:rsidR="00D4539D">
        <w:t>a reliable change or a clinically significant change</w:t>
      </w:r>
      <w:r>
        <w:t xml:space="preserve"> in their mental health outcomes, based on the three outcome measures considered</w:t>
      </w:r>
      <w:r w:rsidR="00CC0438">
        <w:rPr>
          <w:rFonts w:ascii="ZWAdobeF" w:hAnsi="ZWAdobeF" w:cs="ZWAdobeF"/>
          <w:sz w:val="2"/>
          <w:szCs w:val="2"/>
        </w:rPr>
        <w:t>223F</w:t>
      </w:r>
      <w:r>
        <w:rPr>
          <w:rStyle w:val="FootnoteReference"/>
        </w:rPr>
        <w:footnoteReference w:id="225"/>
      </w:r>
      <w:r w:rsidR="00AE7B77">
        <w:t>.</w:t>
      </w:r>
    </w:p>
    <w:p w14:paraId="180E8F3A" w14:textId="52CFDDCB" w:rsidR="002A6A78" w:rsidRDefault="002A6A78" w:rsidP="002A6A78">
      <w:pPr>
        <w:pStyle w:val="Caption"/>
      </w:pPr>
      <w:bookmarkStart w:id="310" w:name="_Ref97749584"/>
      <w:bookmarkStart w:id="311" w:name="_Toc108109016"/>
      <w:r>
        <w:t xml:space="preserve">Table </w:t>
      </w:r>
      <w:r>
        <w:fldChar w:fldCharType="begin"/>
      </w:r>
      <w:r>
        <w:instrText>SEQ Table \* ARABIC</w:instrText>
      </w:r>
      <w:r>
        <w:fldChar w:fldCharType="separate"/>
      </w:r>
      <w:r w:rsidR="00CC0438">
        <w:rPr>
          <w:noProof/>
        </w:rPr>
        <w:t>66</w:t>
      </w:r>
      <w:r>
        <w:fldChar w:fldCharType="end"/>
      </w:r>
      <w:bookmarkEnd w:id="310"/>
      <w:r>
        <w:t>: Improvement in average outcome measures in young people accessing headspace (per completed episode)</w:t>
      </w:r>
      <w:bookmarkEnd w:id="311"/>
    </w:p>
    <w:tbl>
      <w:tblPr>
        <w:tblStyle w:val="TableGrid"/>
        <w:tblW w:w="49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mprovement in mean outcome scores in young people accessing headspace (per completed episode)"/>
        <w:tblDescription w:val="Table has 4 columns and summarises the improvement in mean outcome scores in young people accessing headspace. Column 1 indicates the method, either reliable change or clinically significant change. Column 2 indicates the improvement in mean scores for the K10 measure. Column 4 indicates the improvement in mean scores for the SOFAS measure. Column 5 indicates the improvement in mean scores for the My Life Tracker measure.&#10;"/>
      </w:tblPr>
      <w:tblGrid>
        <w:gridCol w:w="3118"/>
        <w:gridCol w:w="1964"/>
        <w:gridCol w:w="1964"/>
        <w:gridCol w:w="1964"/>
      </w:tblGrid>
      <w:tr w:rsidR="002A6A78" w14:paraId="5E6E2617" w14:textId="77777777" w:rsidTr="00531679">
        <w:tc>
          <w:tcPr>
            <w:tcW w:w="1730" w:type="pct"/>
            <w:tcBorders>
              <w:bottom w:val="single" w:sz="4" w:space="0" w:color="00338D"/>
            </w:tcBorders>
            <w:shd w:val="clear" w:color="auto" w:fill="00338D"/>
          </w:tcPr>
          <w:p w14:paraId="01996CFB" w14:textId="77777777" w:rsidR="002A6A78" w:rsidRDefault="002A6A78" w:rsidP="00F27C38">
            <w:pPr>
              <w:pStyle w:val="Tableheading"/>
            </w:pPr>
            <w:r>
              <w:t>Method</w:t>
            </w:r>
          </w:p>
        </w:tc>
        <w:tc>
          <w:tcPr>
            <w:tcW w:w="1090" w:type="pct"/>
            <w:tcBorders>
              <w:bottom w:val="single" w:sz="4" w:space="0" w:color="00338D"/>
            </w:tcBorders>
            <w:shd w:val="clear" w:color="auto" w:fill="00338D"/>
          </w:tcPr>
          <w:p w14:paraId="75F6828B" w14:textId="77777777" w:rsidR="002A6A78" w:rsidRDefault="002A6A78" w:rsidP="00F27C38">
            <w:pPr>
              <w:pStyle w:val="Tableheading"/>
              <w:jc w:val="right"/>
            </w:pPr>
            <w:r>
              <w:t>K10</w:t>
            </w:r>
          </w:p>
          <w:p w14:paraId="0CFAF288" w14:textId="77777777" w:rsidR="002A6A78" w:rsidRDefault="002A6A78" w:rsidP="00F27C38">
            <w:pPr>
              <w:pStyle w:val="Tableheading"/>
              <w:jc w:val="right"/>
            </w:pPr>
            <w:r>
              <w:t>(No. of episodes)</w:t>
            </w:r>
          </w:p>
        </w:tc>
        <w:tc>
          <w:tcPr>
            <w:tcW w:w="1090" w:type="pct"/>
            <w:tcBorders>
              <w:bottom w:val="single" w:sz="4" w:space="0" w:color="00338D"/>
            </w:tcBorders>
            <w:shd w:val="clear" w:color="auto" w:fill="00338D"/>
          </w:tcPr>
          <w:p w14:paraId="1236F6F1" w14:textId="77777777" w:rsidR="002A6A78" w:rsidRDefault="002A6A78" w:rsidP="00F27C38">
            <w:pPr>
              <w:pStyle w:val="Tableheading"/>
              <w:jc w:val="right"/>
            </w:pPr>
            <w:r>
              <w:t>SOFAS</w:t>
            </w:r>
          </w:p>
          <w:p w14:paraId="61AC437B" w14:textId="77777777" w:rsidR="002A6A78" w:rsidRDefault="002A6A78" w:rsidP="00F27C38">
            <w:pPr>
              <w:pStyle w:val="Tableheading"/>
              <w:jc w:val="right"/>
            </w:pPr>
            <w:r>
              <w:t>(No. of episodes)</w:t>
            </w:r>
          </w:p>
        </w:tc>
        <w:tc>
          <w:tcPr>
            <w:tcW w:w="1090" w:type="pct"/>
            <w:tcBorders>
              <w:bottom w:val="single" w:sz="4" w:space="0" w:color="00338D"/>
            </w:tcBorders>
            <w:shd w:val="clear" w:color="auto" w:fill="00338D"/>
          </w:tcPr>
          <w:p w14:paraId="28A5ADE9" w14:textId="77777777" w:rsidR="002A6A78" w:rsidRDefault="002A6A78" w:rsidP="00F27C38">
            <w:pPr>
              <w:pStyle w:val="Tableheading"/>
              <w:jc w:val="right"/>
            </w:pPr>
            <w:r>
              <w:t>MLT</w:t>
            </w:r>
          </w:p>
          <w:p w14:paraId="770D9085" w14:textId="77777777" w:rsidR="002A6A78" w:rsidRDefault="002A6A78" w:rsidP="00F27C38">
            <w:pPr>
              <w:pStyle w:val="Tableheading"/>
              <w:jc w:val="right"/>
            </w:pPr>
            <w:r>
              <w:t>(No. of episodes)</w:t>
            </w:r>
          </w:p>
        </w:tc>
      </w:tr>
      <w:tr w:rsidR="002A6A78" w14:paraId="722058F9" w14:textId="77777777" w:rsidTr="00531679">
        <w:tc>
          <w:tcPr>
            <w:tcW w:w="1730" w:type="pct"/>
            <w:tcBorders>
              <w:top w:val="single" w:sz="4" w:space="0" w:color="00338D"/>
              <w:bottom w:val="single" w:sz="4" w:space="0" w:color="00338D"/>
            </w:tcBorders>
          </w:tcPr>
          <w:p w14:paraId="42B83039" w14:textId="77777777" w:rsidR="002A6A78" w:rsidRDefault="002A6A78" w:rsidP="00F27C38">
            <w:pPr>
              <w:pStyle w:val="Tabletext"/>
            </w:pPr>
            <w:r>
              <w:t>Reliable change</w:t>
            </w:r>
          </w:p>
        </w:tc>
        <w:tc>
          <w:tcPr>
            <w:tcW w:w="1090" w:type="pct"/>
            <w:tcBorders>
              <w:top w:val="single" w:sz="4" w:space="0" w:color="00338D"/>
              <w:bottom w:val="single" w:sz="4" w:space="0" w:color="00338D"/>
            </w:tcBorders>
          </w:tcPr>
          <w:p w14:paraId="2F1EDBD1" w14:textId="77777777" w:rsidR="002A6A78" w:rsidRDefault="002A6A78" w:rsidP="00F27C38">
            <w:pPr>
              <w:pStyle w:val="Tabletext"/>
              <w:jc w:val="right"/>
            </w:pPr>
            <w:r w:rsidRPr="008932A6">
              <w:t>15.5%</w:t>
            </w:r>
          </w:p>
          <w:p w14:paraId="4DE3A3FC" w14:textId="77777777" w:rsidR="002A6A78" w:rsidRDefault="002A6A78" w:rsidP="00F27C38">
            <w:pPr>
              <w:pStyle w:val="Tabletext"/>
              <w:jc w:val="right"/>
            </w:pPr>
            <w:r>
              <w:t>(27,867)</w:t>
            </w:r>
          </w:p>
        </w:tc>
        <w:tc>
          <w:tcPr>
            <w:tcW w:w="1090" w:type="pct"/>
            <w:tcBorders>
              <w:top w:val="single" w:sz="4" w:space="0" w:color="00338D"/>
              <w:bottom w:val="single" w:sz="4" w:space="0" w:color="00338D"/>
            </w:tcBorders>
          </w:tcPr>
          <w:p w14:paraId="3116EA31" w14:textId="77777777" w:rsidR="002A6A78" w:rsidRDefault="002A6A78" w:rsidP="00F27C38">
            <w:pPr>
              <w:pStyle w:val="Tabletext"/>
              <w:jc w:val="right"/>
            </w:pPr>
            <w:r w:rsidRPr="00597015">
              <w:t>22.5%</w:t>
            </w:r>
          </w:p>
          <w:p w14:paraId="57232600" w14:textId="77777777" w:rsidR="002A6A78" w:rsidRDefault="002A6A78" w:rsidP="00F27C38">
            <w:pPr>
              <w:pStyle w:val="Tabletext"/>
              <w:jc w:val="right"/>
            </w:pPr>
            <w:r>
              <w:t>(</w:t>
            </w:r>
            <w:r w:rsidRPr="00C92138">
              <w:t>30,351</w:t>
            </w:r>
            <w:r>
              <w:t>)</w:t>
            </w:r>
          </w:p>
        </w:tc>
        <w:tc>
          <w:tcPr>
            <w:tcW w:w="1090" w:type="pct"/>
            <w:tcBorders>
              <w:top w:val="single" w:sz="4" w:space="0" w:color="00338D"/>
              <w:bottom w:val="single" w:sz="4" w:space="0" w:color="00338D"/>
            </w:tcBorders>
          </w:tcPr>
          <w:p w14:paraId="7A75C3C9" w14:textId="77777777" w:rsidR="002A6A78" w:rsidRDefault="002A6A78" w:rsidP="00F27C38">
            <w:pPr>
              <w:pStyle w:val="Tabletext"/>
              <w:jc w:val="right"/>
            </w:pPr>
            <w:r w:rsidRPr="006F612D">
              <w:t>24.6%</w:t>
            </w:r>
          </w:p>
          <w:p w14:paraId="12E4E48B" w14:textId="77777777" w:rsidR="002A6A78" w:rsidRDefault="002A6A78" w:rsidP="00F27C38">
            <w:pPr>
              <w:pStyle w:val="Tabletext"/>
              <w:jc w:val="right"/>
            </w:pPr>
            <w:r>
              <w:t>(</w:t>
            </w:r>
            <w:r w:rsidRPr="00C92138">
              <w:t>27,957</w:t>
            </w:r>
            <w:r>
              <w:t>)</w:t>
            </w:r>
          </w:p>
        </w:tc>
      </w:tr>
      <w:tr w:rsidR="002A6A78" w14:paraId="4A354C6B" w14:textId="77777777" w:rsidTr="00531679">
        <w:tc>
          <w:tcPr>
            <w:tcW w:w="1730" w:type="pct"/>
            <w:tcBorders>
              <w:top w:val="single" w:sz="4" w:space="0" w:color="00338D"/>
              <w:bottom w:val="single" w:sz="4" w:space="0" w:color="00338D"/>
            </w:tcBorders>
          </w:tcPr>
          <w:p w14:paraId="5E02364D" w14:textId="77777777" w:rsidR="002A6A78" w:rsidRDefault="002A6A78" w:rsidP="00F27C38">
            <w:pPr>
              <w:pStyle w:val="Tabletext"/>
            </w:pPr>
            <w:r>
              <w:t>Clinically significant change</w:t>
            </w:r>
          </w:p>
        </w:tc>
        <w:tc>
          <w:tcPr>
            <w:tcW w:w="1090" w:type="pct"/>
            <w:tcBorders>
              <w:top w:val="single" w:sz="4" w:space="0" w:color="00338D"/>
              <w:bottom w:val="single" w:sz="4" w:space="0" w:color="00338D"/>
            </w:tcBorders>
          </w:tcPr>
          <w:p w14:paraId="15EA0CE7" w14:textId="77777777" w:rsidR="002A6A78" w:rsidRDefault="002A6A78" w:rsidP="00F27C38">
            <w:pPr>
              <w:pStyle w:val="Tabletext"/>
              <w:jc w:val="right"/>
            </w:pPr>
            <w:r w:rsidRPr="008932A6">
              <w:t>17.2%</w:t>
            </w:r>
          </w:p>
          <w:p w14:paraId="4EFDC718" w14:textId="77777777" w:rsidR="002A6A78" w:rsidRPr="00E85BE0" w:rsidRDefault="002A6A78" w:rsidP="00F27C38">
            <w:pPr>
              <w:pStyle w:val="Tabletext"/>
              <w:jc w:val="right"/>
            </w:pPr>
            <w:r>
              <w:t>(21,477)</w:t>
            </w:r>
          </w:p>
        </w:tc>
        <w:tc>
          <w:tcPr>
            <w:tcW w:w="1090" w:type="pct"/>
            <w:tcBorders>
              <w:top w:val="single" w:sz="4" w:space="0" w:color="00338D"/>
              <w:bottom w:val="single" w:sz="4" w:space="0" w:color="00338D"/>
            </w:tcBorders>
          </w:tcPr>
          <w:p w14:paraId="78CBC100" w14:textId="77777777" w:rsidR="002A6A78" w:rsidRDefault="002A6A78" w:rsidP="00F27C38">
            <w:pPr>
              <w:pStyle w:val="Tabletext"/>
              <w:jc w:val="right"/>
            </w:pPr>
            <w:r w:rsidRPr="00597015">
              <w:t>43.6%</w:t>
            </w:r>
          </w:p>
          <w:p w14:paraId="3BB822AC" w14:textId="77777777" w:rsidR="002A6A78" w:rsidRDefault="002A6A78" w:rsidP="00F27C38">
            <w:pPr>
              <w:pStyle w:val="Tabletext"/>
              <w:jc w:val="right"/>
            </w:pPr>
            <w:r>
              <w:t>(23,569)</w:t>
            </w:r>
          </w:p>
        </w:tc>
        <w:tc>
          <w:tcPr>
            <w:tcW w:w="1090" w:type="pct"/>
            <w:tcBorders>
              <w:top w:val="single" w:sz="4" w:space="0" w:color="00338D"/>
              <w:bottom w:val="single" w:sz="4" w:space="0" w:color="00338D"/>
            </w:tcBorders>
          </w:tcPr>
          <w:p w14:paraId="2216FC20" w14:textId="77777777" w:rsidR="002A6A78" w:rsidRDefault="002A6A78" w:rsidP="00F27C38">
            <w:pPr>
              <w:pStyle w:val="Tabletext"/>
              <w:keepNext/>
              <w:jc w:val="right"/>
            </w:pPr>
            <w:r w:rsidRPr="006F612D">
              <w:t>31.0%</w:t>
            </w:r>
          </w:p>
          <w:p w14:paraId="66D310B8" w14:textId="77777777" w:rsidR="002A6A78" w:rsidRDefault="002A6A78" w:rsidP="00F27C38">
            <w:pPr>
              <w:pStyle w:val="Tabletext"/>
              <w:keepNext/>
              <w:jc w:val="right"/>
            </w:pPr>
            <w:r>
              <w:t>(21,786)</w:t>
            </w:r>
          </w:p>
        </w:tc>
      </w:tr>
    </w:tbl>
    <w:p w14:paraId="79C17C16" w14:textId="6ED27C4B" w:rsidR="002A6A78" w:rsidRPr="009C0F60" w:rsidRDefault="002A6A78" w:rsidP="002523DC">
      <w:pPr>
        <w:pStyle w:val="Source-Notes"/>
      </w:pPr>
      <w:r w:rsidRPr="00A7396B">
        <w:t>Source:</w:t>
      </w:r>
      <w:r>
        <w:t xml:space="preserve"> KPMG analysis of effectiveness analysis</w:t>
      </w:r>
      <w:r w:rsidRPr="00CF2E3E">
        <w:t xml:space="preserve"> dataset </w:t>
      </w:r>
      <w:r>
        <w:t>with non-missing outcome measures</w:t>
      </w:r>
      <w:r w:rsidRPr="00CF2E3E">
        <w:t xml:space="preserve"> </w:t>
      </w:r>
    </w:p>
    <w:p w14:paraId="0EC24252" w14:textId="1F73C13B" w:rsidR="00386E34" w:rsidRPr="00FB2FE6" w:rsidRDefault="002A6A78" w:rsidP="002523DC">
      <w:pPr>
        <w:pStyle w:val="Source-Notes"/>
      </w:pPr>
      <w:r w:rsidRPr="00FB1318">
        <w:t xml:space="preserve">Notes: </w:t>
      </w:r>
      <w:r w:rsidRPr="00CF2E3E">
        <w:t xml:space="preserve">See </w:t>
      </w:r>
      <w:r w:rsidR="009B1C27">
        <w:fldChar w:fldCharType="begin" w:fldLock="1"/>
      </w:r>
      <w:r w:rsidR="009B1C27">
        <w:instrText xml:space="preserve"> REF _Ref98402466 \r \h </w:instrText>
      </w:r>
      <w:r w:rsidR="009B1C27">
        <w:fldChar w:fldCharType="separate"/>
      </w:r>
      <w:r w:rsidR="00AE4D34">
        <w:t>Appendix F</w:t>
      </w:r>
      <w:r w:rsidR="009B1C27">
        <w:fldChar w:fldCharType="end"/>
      </w:r>
      <w:r w:rsidRPr="00A7396B">
        <w:t xml:space="preserve"> for </w:t>
      </w:r>
      <w:r w:rsidRPr="00CF2E3E">
        <w:t>detailed exclusion criteria.</w:t>
      </w:r>
      <w:r w:rsidRPr="00C92A4F">
        <w:t xml:space="preserve"> </w:t>
      </w:r>
    </w:p>
    <w:p w14:paraId="441B57C1" w14:textId="77777777" w:rsidR="00A809D6" w:rsidRPr="00A809D6" w:rsidRDefault="00A809D6" w:rsidP="000244E4">
      <w:pPr>
        <w:pStyle w:val="BodyText"/>
      </w:pPr>
    </w:p>
    <w:p w14:paraId="738C5255" w14:textId="395B2228" w:rsidR="00BA706B" w:rsidRDefault="00740EE1" w:rsidP="00BA706B">
      <w:pPr>
        <w:pStyle w:val="BodyText"/>
      </w:pPr>
      <w:r>
        <w:fldChar w:fldCharType="begin" w:fldLock="1"/>
      </w:r>
      <w:r>
        <w:instrText xml:space="preserve"> REF _Ref98474063 \h </w:instrText>
      </w:r>
      <w:r>
        <w:fldChar w:fldCharType="separate"/>
      </w:r>
      <w:r w:rsidR="00440F5D">
        <w:t xml:space="preserve">Table </w:t>
      </w:r>
      <w:r w:rsidR="00440F5D">
        <w:rPr>
          <w:noProof/>
        </w:rPr>
        <w:t>67</w:t>
      </w:r>
      <w:r>
        <w:fldChar w:fldCharType="end"/>
      </w:r>
      <w:r w:rsidR="00BA706B">
        <w:t xml:space="preserve"> presents the proportion of episodes that experienced a reliable change or a clinically significant change based on raw unadjusted K10, SOFAS and MLT outcome measures. </w:t>
      </w:r>
    </w:p>
    <w:p w14:paraId="693F8342" w14:textId="1F8F57E4" w:rsidR="00BA706B" w:rsidRDefault="00BA706B" w:rsidP="00BA706B">
      <w:pPr>
        <w:pStyle w:val="Caption"/>
      </w:pPr>
      <w:bookmarkStart w:id="312" w:name="_Ref98474063"/>
      <w:bookmarkStart w:id="313" w:name="_Toc108109017"/>
      <w:r>
        <w:t xml:space="preserve">Table </w:t>
      </w:r>
      <w:r>
        <w:fldChar w:fldCharType="begin"/>
      </w:r>
      <w:r>
        <w:instrText>SEQ Table \* ARABIC</w:instrText>
      </w:r>
      <w:r>
        <w:fldChar w:fldCharType="separate"/>
      </w:r>
      <w:r w:rsidR="00CC0438">
        <w:rPr>
          <w:noProof/>
        </w:rPr>
        <w:t>67</w:t>
      </w:r>
      <w:r>
        <w:fldChar w:fldCharType="end"/>
      </w:r>
      <w:bookmarkEnd w:id="312"/>
      <w:r>
        <w:t>: Average Improvement in raw outcome measures in young people accessing headspace (per completed episode)</w:t>
      </w:r>
      <w:bookmarkEnd w:id="31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mprovement in mean outcome scores in young people accessing headspace (per completed episode)"/>
        <w:tblDescription w:val="Table has 4 columns and summarises the improvement in mean outcome scores in young people accessing headspace. Column 1 indicates the method, either reliable change or clinically significant change. Column 2 indicates the improvement in mean scores for the K10 measure. Column 4 indicates the improvement in mean scores for the SOFAS measure. Column 5 indicates the improvement in mean scores for the My Life Tracker measure.&#10;"/>
      </w:tblPr>
      <w:tblGrid>
        <w:gridCol w:w="2833"/>
        <w:gridCol w:w="2079"/>
        <w:gridCol w:w="2079"/>
        <w:gridCol w:w="2079"/>
      </w:tblGrid>
      <w:tr w:rsidR="00BA706B" w14:paraId="5FC3A904" w14:textId="77777777" w:rsidTr="00531679">
        <w:tc>
          <w:tcPr>
            <w:tcW w:w="1562" w:type="pct"/>
            <w:tcBorders>
              <w:bottom w:val="single" w:sz="4" w:space="0" w:color="00338D"/>
            </w:tcBorders>
            <w:shd w:val="clear" w:color="auto" w:fill="00338D"/>
          </w:tcPr>
          <w:p w14:paraId="449B68E5" w14:textId="77777777" w:rsidR="00BA706B" w:rsidRDefault="00BA706B" w:rsidP="00BA706B">
            <w:pPr>
              <w:pStyle w:val="Tableheading"/>
            </w:pPr>
            <w:r>
              <w:t>Method</w:t>
            </w:r>
          </w:p>
        </w:tc>
        <w:tc>
          <w:tcPr>
            <w:tcW w:w="1146" w:type="pct"/>
            <w:tcBorders>
              <w:bottom w:val="single" w:sz="4" w:space="0" w:color="00338D"/>
            </w:tcBorders>
            <w:shd w:val="clear" w:color="auto" w:fill="00338D"/>
          </w:tcPr>
          <w:p w14:paraId="191404F1" w14:textId="77777777" w:rsidR="00BA706B" w:rsidRDefault="00BA706B" w:rsidP="00BA706B">
            <w:pPr>
              <w:pStyle w:val="Tableheading"/>
              <w:jc w:val="right"/>
            </w:pPr>
            <w:r>
              <w:t>K10</w:t>
            </w:r>
          </w:p>
          <w:p w14:paraId="300E4CAC" w14:textId="77777777" w:rsidR="00BA706B" w:rsidRDefault="00BA706B" w:rsidP="00BA706B">
            <w:pPr>
              <w:pStyle w:val="Tableheading"/>
              <w:jc w:val="right"/>
            </w:pPr>
            <w:r>
              <w:t>(No. of episodes)</w:t>
            </w:r>
          </w:p>
        </w:tc>
        <w:tc>
          <w:tcPr>
            <w:tcW w:w="1146" w:type="pct"/>
            <w:tcBorders>
              <w:bottom w:val="single" w:sz="4" w:space="0" w:color="00338D"/>
            </w:tcBorders>
            <w:shd w:val="clear" w:color="auto" w:fill="00338D"/>
          </w:tcPr>
          <w:p w14:paraId="2FA02206" w14:textId="77777777" w:rsidR="00BA706B" w:rsidRDefault="00BA706B" w:rsidP="00BA706B">
            <w:pPr>
              <w:pStyle w:val="Tableheading"/>
              <w:jc w:val="right"/>
            </w:pPr>
            <w:r>
              <w:t>SOFAS</w:t>
            </w:r>
          </w:p>
          <w:p w14:paraId="2D461B38" w14:textId="77777777" w:rsidR="00BA706B" w:rsidRDefault="00BA706B" w:rsidP="00BA706B">
            <w:pPr>
              <w:pStyle w:val="Tableheading"/>
              <w:jc w:val="right"/>
            </w:pPr>
            <w:r>
              <w:t>(No. of episodes)</w:t>
            </w:r>
          </w:p>
        </w:tc>
        <w:tc>
          <w:tcPr>
            <w:tcW w:w="1146" w:type="pct"/>
            <w:tcBorders>
              <w:bottom w:val="single" w:sz="4" w:space="0" w:color="00338D"/>
            </w:tcBorders>
            <w:shd w:val="clear" w:color="auto" w:fill="00338D"/>
          </w:tcPr>
          <w:p w14:paraId="758F016B" w14:textId="77777777" w:rsidR="00BA706B" w:rsidRDefault="00BA706B" w:rsidP="00BA706B">
            <w:pPr>
              <w:pStyle w:val="Tableheading"/>
              <w:jc w:val="right"/>
            </w:pPr>
            <w:r>
              <w:t>MLT</w:t>
            </w:r>
          </w:p>
          <w:p w14:paraId="0A364A0E" w14:textId="77777777" w:rsidR="00BA706B" w:rsidRDefault="00BA706B" w:rsidP="00BA706B">
            <w:pPr>
              <w:pStyle w:val="Tableheading"/>
              <w:jc w:val="right"/>
            </w:pPr>
            <w:r>
              <w:t>(No. of episodes)</w:t>
            </w:r>
          </w:p>
        </w:tc>
      </w:tr>
      <w:tr w:rsidR="00BA706B" w14:paraId="2100E2DB" w14:textId="77777777" w:rsidTr="00531679">
        <w:tc>
          <w:tcPr>
            <w:tcW w:w="1562" w:type="pct"/>
            <w:tcBorders>
              <w:top w:val="single" w:sz="4" w:space="0" w:color="00338D"/>
              <w:bottom w:val="single" w:sz="4" w:space="0" w:color="00338D"/>
            </w:tcBorders>
          </w:tcPr>
          <w:p w14:paraId="7037E58D" w14:textId="77777777" w:rsidR="00BA706B" w:rsidRDefault="00BA706B" w:rsidP="00BA706B">
            <w:pPr>
              <w:pStyle w:val="Tabletext"/>
            </w:pPr>
            <w:r>
              <w:t>Reliable change</w:t>
            </w:r>
          </w:p>
        </w:tc>
        <w:tc>
          <w:tcPr>
            <w:tcW w:w="1146" w:type="pct"/>
            <w:tcBorders>
              <w:top w:val="single" w:sz="4" w:space="0" w:color="00338D"/>
              <w:bottom w:val="single" w:sz="4" w:space="0" w:color="00338D"/>
            </w:tcBorders>
          </w:tcPr>
          <w:p w14:paraId="2B6E5007" w14:textId="77777777" w:rsidR="00BA706B" w:rsidRDefault="00BA706B" w:rsidP="00BA706B">
            <w:pPr>
              <w:pStyle w:val="Tabletext"/>
              <w:jc w:val="right"/>
            </w:pPr>
            <w:r>
              <w:t>21</w:t>
            </w:r>
            <w:r w:rsidRPr="008932A6">
              <w:t>.</w:t>
            </w:r>
            <w:r>
              <w:t>7</w:t>
            </w:r>
            <w:r w:rsidRPr="008932A6">
              <w:t>%</w:t>
            </w:r>
          </w:p>
          <w:p w14:paraId="4200F57C" w14:textId="77777777" w:rsidR="00BA706B" w:rsidRDefault="00BA706B" w:rsidP="00BA706B">
            <w:pPr>
              <w:pStyle w:val="Tabletext"/>
              <w:jc w:val="right"/>
            </w:pPr>
            <w:r>
              <w:t>(27,867)</w:t>
            </w:r>
          </w:p>
        </w:tc>
        <w:tc>
          <w:tcPr>
            <w:tcW w:w="1146" w:type="pct"/>
            <w:tcBorders>
              <w:top w:val="single" w:sz="4" w:space="0" w:color="00338D"/>
              <w:bottom w:val="single" w:sz="4" w:space="0" w:color="00338D"/>
            </w:tcBorders>
          </w:tcPr>
          <w:p w14:paraId="39D660D3" w14:textId="77777777" w:rsidR="00BA706B" w:rsidRDefault="00BA706B" w:rsidP="00BA706B">
            <w:pPr>
              <w:pStyle w:val="Tabletext"/>
              <w:jc w:val="right"/>
            </w:pPr>
            <w:r>
              <w:t>28.8%</w:t>
            </w:r>
          </w:p>
          <w:p w14:paraId="704D6321" w14:textId="77777777" w:rsidR="00BA706B" w:rsidRDefault="00BA706B" w:rsidP="00BA706B">
            <w:pPr>
              <w:pStyle w:val="Tabletext"/>
              <w:jc w:val="right"/>
            </w:pPr>
            <w:r>
              <w:t>(</w:t>
            </w:r>
            <w:r w:rsidRPr="00C92138">
              <w:t>30,351</w:t>
            </w:r>
            <w:r>
              <w:t>)</w:t>
            </w:r>
          </w:p>
        </w:tc>
        <w:tc>
          <w:tcPr>
            <w:tcW w:w="1146" w:type="pct"/>
            <w:tcBorders>
              <w:top w:val="single" w:sz="4" w:space="0" w:color="00338D"/>
              <w:bottom w:val="single" w:sz="4" w:space="0" w:color="00338D"/>
            </w:tcBorders>
          </w:tcPr>
          <w:p w14:paraId="63E0D914" w14:textId="77777777" w:rsidR="00BA706B" w:rsidRDefault="00BA706B" w:rsidP="00BA706B">
            <w:pPr>
              <w:pStyle w:val="Tabletext"/>
              <w:jc w:val="right"/>
            </w:pPr>
            <w:r>
              <w:t>28.1%</w:t>
            </w:r>
          </w:p>
          <w:p w14:paraId="43F4CA47" w14:textId="77777777" w:rsidR="00BA706B" w:rsidRDefault="00BA706B" w:rsidP="00BA706B">
            <w:pPr>
              <w:pStyle w:val="Tabletext"/>
              <w:jc w:val="right"/>
            </w:pPr>
            <w:r>
              <w:t>(</w:t>
            </w:r>
            <w:r w:rsidRPr="00C92138">
              <w:t>27,957</w:t>
            </w:r>
            <w:r>
              <w:t>)</w:t>
            </w:r>
          </w:p>
        </w:tc>
      </w:tr>
      <w:tr w:rsidR="00BA706B" w14:paraId="44625DEA" w14:textId="77777777" w:rsidTr="00531679">
        <w:tc>
          <w:tcPr>
            <w:tcW w:w="1562" w:type="pct"/>
            <w:tcBorders>
              <w:top w:val="single" w:sz="4" w:space="0" w:color="00338D"/>
              <w:bottom w:val="single" w:sz="4" w:space="0" w:color="00338D"/>
            </w:tcBorders>
          </w:tcPr>
          <w:p w14:paraId="3A0BB5F7" w14:textId="77777777" w:rsidR="00BA706B" w:rsidRDefault="00BA706B" w:rsidP="00BA706B">
            <w:pPr>
              <w:pStyle w:val="Tabletext"/>
            </w:pPr>
            <w:r>
              <w:t>Clinically significant change</w:t>
            </w:r>
          </w:p>
        </w:tc>
        <w:tc>
          <w:tcPr>
            <w:tcW w:w="1146" w:type="pct"/>
            <w:tcBorders>
              <w:top w:val="single" w:sz="4" w:space="0" w:color="00338D"/>
              <w:bottom w:val="single" w:sz="4" w:space="0" w:color="00338D"/>
            </w:tcBorders>
          </w:tcPr>
          <w:p w14:paraId="6E50865D" w14:textId="77777777" w:rsidR="00BA706B" w:rsidRDefault="00BA706B" w:rsidP="00BA706B">
            <w:pPr>
              <w:pStyle w:val="Tabletext"/>
              <w:jc w:val="right"/>
            </w:pPr>
            <w:r w:rsidRPr="008932A6">
              <w:t>1</w:t>
            </w:r>
            <w:r>
              <w:t>8</w:t>
            </w:r>
            <w:r w:rsidRPr="008932A6">
              <w:t>.</w:t>
            </w:r>
            <w:r>
              <w:t>4</w:t>
            </w:r>
            <w:r w:rsidRPr="008932A6">
              <w:t>%</w:t>
            </w:r>
          </w:p>
          <w:p w14:paraId="223FA27C" w14:textId="77777777" w:rsidR="00BA706B" w:rsidRPr="00E85BE0" w:rsidRDefault="00BA706B" w:rsidP="00BA706B">
            <w:pPr>
              <w:pStyle w:val="Tabletext"/>
              <w:jc w:val="right"/>
            </w:pPr>
            <w:r>
              <w:t>(22,312)</w:t>
            </w:r>
          </w:p>
        </w:tc>
        <w:tc>
          <w:tcPr>
            <w:tcW w:w="1146" w:type="pct"/>
            <w:tcBorders>
              <w:top w:val="single" w:sz="4" w:space="0" w:color="00338D"/>
              <w:bottom w:val="single" w:sz="4" w:space="0" w:color="00338D"/>
            </w:tcBorders>
          </w:tcPr>
          <w:p w14:paraId="7E493CE5" w14:textId="77777777" w:rsidR="00BA706B" w:rsidRDefault="00BA706B" w:rsidP="00BA706B">
            <w:pPr>
              <w:pStyle w:val="Tabletext"/>
              <w:jc w:val="right"/>
            </w:pPr>
            <w:r>
              <w:t>36.4%</w:t>
            </w:r>
          </w:p>
          <w:p w14:paraId="5AB212D4" w14:textId="77777777" w:rsidR="00BA706B" w:rsidRDefault="00BA706B" w:rsidP="00BA706B">
            <w:pPr>
              <w:pStyle w:val="Tabletext"/>
              <w:jc w:val="right"/>
            </w:pPr>
            <w:r>
              <w:t>(18,649)</w:t>
            </w:r>
          </w:p>
        </w:tc>
        <w:tc>
          <w:tcPr>
            <w:tcW w:w="1146" w:type="pct"/>
            <w:tcBorders>
              <w:top w:val="single" w:sz="4" w:space="0" w:color="00338D"/>
              <w:bottom w:val="single" w:sz="4" w:space="0" w:color="00338D"/>
            </w:tcBorders>
          </w:tcPr>
          <w:p w14:paraId="7C892FBF" w14:textId="77777777" w:rsidR="00BA706B" w:rsidRDefault="00BA706B" w:rsidP="00BA706B">
            <w:pPr>
              <w:pStyle w:val="Tabletext"/>
              <w:keepNext/>
              <w:jc w:val="right"/>
            </w:pPr>
            <w:r>
              <w:t>30.5%</w:t>
            </w:r>
          </w:p>
          <w:p w14:paraId="35F99F55" w14:textId="77777777" w:rsidR="00BA706B" w:rsidRDefault="00BA706B" w:rsidP="00BA706B">
            <w:pPr>
              <w:pStyle w:val="Tabletext"/>
              <w:keepNext/>
              <w:jc w:val="right"/>
            </w:pPr>
            <w:r>
              <w:t>(21,553)</w:t>
            </w:r>
          </w:p>
        </w:tc>
      </w:tr>
    </w:tbl>
    <w:p w14:paraId="0CB9B247" w14:textId="79480CD5" w:rsidR="00BA706B" w:rsidRPr="00CF2E3E" w:rsidRDefault="00BA706B" w:rsidP="001268EC">
      <w:pPr>
        <w:pStyle w:val="Source"/>
        <w:rPr>
          <w:szCs w:val="16"/>
        </w:rPr>
      </w:pPr>
      <w:r w:rsidRPr="00CF2E3E">
        <w:t>Sourc</w:t>
      </w:r>
      <w:r w:rsidRPr="00CF2E3E">
        <w:rPr>
          <w:szCs w:val="16"/>
        </w:rPr>
        <w:t>e: KPMG analysis of effectiveness analysis dataset with non-missing outcome measures</w:t>
      </w:r>
    </w:p>
    <w:p w14:paraId="4AF90038" w14:textId="1BC42D60" w:rsidR="00BA706B" w:rsidRDefault="00BA706B" w:rsidP="00BA706B">
      <w:pPr>
        <w:pStyle w:val="Source"/>
      </w:pPr>
      <w:r w:rsidRPr="00257C3D">
        <w:t xml:space="preserve">Notes: </w:t>
      </w:r>
      <w:r w:rsidRPr="00CA51CD">
        <w:rPr>
          <w:szCs w:val="16"/>
        </w:rPr>
        <w:t xml:space="preserve">See </w:t>
      </w:r>
      <w:r w:rsidR="009B1C27">
        <w:rPr>
          <w:szCs w:val="16"/>
        </w:rPr>
        <w:fldChar w:fldCharType="begin" w:fldLock="1"/>
      </w:r>
      <w:r w:rsidR="009B1C27">
        <w:rPr>
          <w:szCs w:val="16"/>
        </w:rPr>
        <w:instrText xml:space="preserve"> REF _Ref98402466 \r \h </w:instrText>
      </w:r>
      <w:r w:rsidR="009B1C27">
        <w:rPr>
          <w:szCs w:val="16"/>
        </w:rPr>
      </w:r>
      <w:r w:rsidR="009B1C27">
        <w:rPr>
          <w:szCs w:val="16"/>
        </w:rPr>
        <w:fldChar w:fldCharType="separate"/>
      </w:r>
      <w:r w:rsidR="00AE4D34">
        <w:rPr>
          <w:szCs w:val="16"/>
        </w:rPr>
        <w:t>Appendix F</w:t>
      </w:r>
      <w:r w:rsidR="009B1C27">
        <w:rPr>
          <w:szCs w:val="16"/>
        </w:rPr>
        <w:fldChar w:fldCharType="end"/>
      </w:r>
      <w:r w:rsidRPr="00CA51CD">
        <w:rPr>
          <w:szCs w:val="16"/>
        </w:rPr>
        <w:t xml:space="preserve"> </w:t>
      </w:r>
      <w:r w:rsidRPr="00A7396B">
        <w:rPr>
          <w:szCs w:val="16"/>
        </w:rPr>
        <w:t xml:space="preserve">for detailed </w:t>
      </w:r>
      <w:r w:rsidRPr="00695D0C">
        <w:rPr>
          <w:szCs w:val="16"/>
        </w:rPr>
        <w:t>ex</w:t>
      </w:r>
      <w:r w:rsidRPr="00CA51CD">
        <w:rPr>
          <w:szCs w:val="16"/>
        </w:rPr>
        <w:t>cl</w:t>
      </w:r>
      <w:r w:rsidRPr="007755D8">
        <w:rPr>
          <w:szCs w:val="16"/>
        </w:rPr>
        <w:t>usion</w:t>
      </w:r>
      <w:r w:rsidRPr="00020FF9">
        <w:rPr>
          <w:szCs w:val="16"/>
        </w:rPr>
        <w:t xml:space="preserve"> criteria</w:t>
      </w:r>
      <w:r w:rsidRPr="00257C3D">
        <w:t xml:space="preserve">. </w:t>
      </w:r>
      <w:r>
        <w:t>Improvement</w:t>
      </w:r>
      <w:r w:rsidRPr="00257C3D">
        <w:t xml:space="preserve"> is the difference between the last observed </w:t>
      </w:r>
      <w:r>
        <w:t>outcome measure</w:t>
      </w:r>
      <w:r w:rsidRPr="00257C3D">
        <w:t xml:space="preserve"> and the initially observed </w:t>
      </w:r>
      <w:r>
        <w:t>measure</w:t>
      </w:r>
      <w:r w:rsidRPr="00257C3D">
        <w:t>.</w:t>
      </w:r>
      <w:r>
        <w:t xml:space="preserve"> Measures are based on raw observed outcome measures.</w:t>
      </w:r>
    </w:p>
    <w:p w14:paraId="4D76EDAC" w14:textId="77777777" w:rsidR="002A6A78" w:rsidRDefault="002A6A78" w:rsidP="007F7999">
      <w:pPr>
        <w:pStyle w:val="AppendixHeading3"/>
      </w:pPr>
      <w:r w:rsidRPr="003071A9">
        <w:t xml:space="preserve">Effectiveness of headspace in improving </w:t>
      </w:r>
      <w:r>
        <w:t>outcomes</w:t>
      </w:r>
    </w:p>
    <w:p w14:paraId="6688CDED" w14:textId="580DF41B" w:rsidR="00FC7B8C" w:rsidRPr="00FC7B8C" w:rsidRDefault="002A6A78" w:rsidP="00FC7B8C">
      <w:pPr>
        <w:pStyle w:val="BodyText"/>
      </w:pPr>
      <w:r>
        <w:t xml:space="preserve">Approximately 36 per cent of closed episodes during 2019-20 consisted of one single </w:t>
      </w:r>
      <w:r w:rsidR="009C028B">
        <w:t>OOS</w:t>
      </w:r>
      <w:r>
        <w:t xml:space="preserve">. For those episodes with at least two </w:t>
      </w:r>
      <w:r w:rsidR="007B2863">
        <w:t>OOS</w:t>
      </w:r>
      <w:r>
        <w:t xml:space="preserve">, a clinically significant change in the K10 outcome measure was reported in 17 per cent of cases. A higher proportion of improvement was recorded when using the broader SOFAS and MLT outcome measures which look at holistic </w:t>
      </w:r>
      <w:r w:rsidR="004C50C0">
        <w:t>psychosocial</w:t>
      </w:r>
      <w:r>
        <w:t xml:space="preserve"> functioning, with 44 and 31 per cent of episodes achieving a clinically significant change, respectively. </w:t>
      </w:r>
    </w:p>
    <w:p w14:paraId="2950F343" w14:textId="30C19F90" w:rsidR="002A6A78" w:rsidRDefault="002A6A78" w:rsidP="002A6A78">
      <w:pPr>
        <w:pStyle w:val="BodyText"/>
      </w:pPr>
      <w:r>
        <w:t xml:space="preserve">Overall, data from the hMDS shows that more engagement and treatment through headspace is associated with greater improvements in mental health and wellbeing. The improvement in young persons accessing six or more headspace sessions is </w:t>
      </w:r>
      <w:r w:rsidR="00BA09F3">
        <w:t xml:space="preserve">on par </w:t>
      </w:r>
      <w:r>
        <w:t>to that observed from psychotherapy treatments</w:t>
      </w:r>
      <w:r w:rsidR="00BA09F3">
        <w:t xml:space="preserve"> in the literature</w:t>
      </w:r>
      <w:r>
        <w:t>. For comparison, a meta analysis within the RAZNCR clinical practice guidelines suggested that the average treatment effect after eight to 12</w:t>
      </w:r>
      <w:r w:rsidR="005F6A5D">
        <w:t> </w:t>
      </w:r>
      <w:r>
        <w:t xml:space="preserve">psychotherapy sessions for depression is a K10 improvement of around three, which is similar to what is achieved by young people accessing headspace with at least six </w:t>
      </w:r>
      <w:r w:rsidR="009C028B">
        <w:t>OOS</w:t>
      </w:r>
      <w:r>
        <w:t>. The challenge remains to increase the share of young persons accessing a greater number of headspace services.</w:t>
      </w:r>
      <w:r w:rsidDel="001A5014">
        <w:t xml:space="preserve"> </w:t>
      </w:r>
    </w:p>
    <w:p w14:paraId="219115FA" w14:textId="42384435" w:rsidR="002A6A78" w:rsidRPr="008F661F" w:rsidRDefault="002A6A78" w:rsidP="000244E4">
      <w:pPr>
        <w:pStyle w:val="BodyText"/>
        <w:rPr>
          <w:rStyle w:val="IntenseEmphasis"/>
          <w:i w:val="0"/>
          <w:color w:val="auto"/>
        </w:rPr>
      </w:pPr>
      <w:r w:rsidRPr="008F661F">
        <w:rPr>
          <w:rStyle w:val="IntenseEmphasis"/>
          <w:i w:val="0"/>
          <w:color w:val="auto"/>
        </w:rPr>
        <w:t xml:space="preserve">Overall, headspace is </w:t>
      </w:r>
      <w:r w:rsidRPr="00F411F0">
        <w:rPr>
          <w:rStyle w:val="IntenseEmphasis"/>
          <w:i w:val="0"/>
          <w:color w:val="auto"/>
        </w:rPr>
        <w:t>effective</w:t>
      </w:r>
      <w:r w:rsidRPr="008F661F">
        <w:rPr>
          <w:rStyle w:val="IntenseEmphasis"/>
          <w:i w:val="0"/>
          <w:color w:val="auto"/>
        </w:rPr>
        <w:t xml:space="preserve"> at improving outcomes for young people. When young people access six or more headspace sessions, effectiveness improves. </w:t>
      </w:r>
    </w:p>
    <w:p w14:paraId="5CDEAE15" w14:textId="773A872D" w:rsidR="00DE7B09" w:rsidRDefault="00DE7B09" w:rsidP="00DE7B09">
      <w:pPr>
        <w:pStyle w:val="AppendixHeading2"/>
        <w:rPr>
          <w:lang w:eastAsia="en-AU"/>
        </w:rPr>
      </w:pPr>
      <w:bookmarkStart w:id="314" w:name="_Ref106462485"/>
      <w:r w:rsidRPr="00DE7B09">
        <w:rPr>
          <w:lang w:eastAsia="en-AU"/>
        </w:rPr>
        <w:t>Factors associated with the number of occasions of service per episode</w:t>
      </w:r>
      <w:bookmarkEnd w:id="314"/>
    </w:p>
    <w:p w14:paraId="29AF23D9" w14:textId="0F1317D4" w:rsidR="00DE7B09" w:rsidRDefault="00DE7B09" w:rsidP="00DE7B09">
      <w:pPr>
        <w:pStyle w:val="BodyText"/>
      </w:pPr>
      <w:r>
        <w:t xml:space="preserve">Before evaluating the factors associated with mental health improvements, this reported estimated a multivariate logistic regression to analyse the variation in probability of a young person receiving two or more </w:t>
      </w:r>
      <w:r w:rsidR="007B2863">
        <w:t>OOS</w:t>
      </w:r>
      <w:r>
        <w:t>. This is done to better understand the determinants of an episode</w:t>
      </w:r>
      <w:r w:rsidR="001A67A9">
        <w:t xml:space="preserve"> going beyond the first occasion of service.</w:t>
      </w:r>
      <w:r w:rsidR="00A82E21">
        <w:t xml:space="preserve"> </w:t>
      </w:r>
      <w:r>
        <w:t xml:space="preserve">This analysis focuses on 49,925 closed episodes, created during 2019-20, from the ‘Episodes with only MH/situational primary issues’ dataset as described in </w:t>
      </w:r>
      <w:r w:rsidR="00CC29B1">
        <w:rPr>
          <w:szCs w:val="16"/>
        </w:rPr>
        <w:fldChar w:fldCharType="begin" w:fldLock="1"/>
      </w:r>
      <w:r w:rsidR="00CC29B1">
        <w:rPr>
          <w:szCs w:val="16"/>
        </w:rPr>
        <w:instrText xml:space="preserve"> REF _Ref98402466 \r \h </w:instrText>
      </w:r>
      <w:r w:rsidR="00CC29B1">
        <w:rPr>
          <w:szCs w:val="16"/>
        </w:rPr>
      </w:r>
      <w:r w:rsidR="00CC29B1">
        <w:rPr>
          <w:szCs w:val="16"/>
        </w:rPr>
        <w:fldChar w:fldCharType="separate"/>
      </w:r>
      <w:r w:rsidR="00AE4D34">
        <w:rPr>
          <w:szCs w:val="16"/>
        </w:rPr>
        <w:t>Appendix F</w:t>
      </w:r>
      <w:r w:rsidR="00CC29B1">
        <w:rPr>
          <w:szCs w:val="16"/>
        </w:rPr>
        <w:fldChar w:fldCharType="end"/>
      </w:r>
      <w:r w:rsidR="004E3B9E">
        <w:t>.</w:t>
      </w:r>
      <w:r>
        <w:t xml:space="preserve"> </w:t>
      </w:r>
    </w:p>
    <w:p w14:paraId="3EFEF7A0" w14:textId="77777777" w:rsidR="00DE7B09" w:rsidRDefault="00DE7B09" w:rsidP="00DE7B09">
      <w:pPr>
        <w:pStyle w:val="BodyText"/>
      </w:pPr>
      <w:r>
        <w:t>This is done by estimating the following logistic regression:</w:t>
      </w:r>
    </w:p>
    <w:p w14:paraId="566E8D04" w14:textId="77777777" w:rsidR="00DE7B09" w:rsidRDefault="0079169C" w:rsidP="00DE7B09">
      <w:pPr>
        <w:pStyle w:val="BodyText"/>
      </w:pPr>
      <m:oMathPara>
        <m:oMath>
          <m:r>
            <w:rPr>
              <w:rFonts w:ascii="Cambria Math" w:hAnsi="Cambria Math"/>
            </w:rPr>
            <m:t>Prob</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=1</m:t>
              </m:r>
            </m:e>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rPr>
                      </m:ctrlPr>
                    </m:sSupPr>
                    <m:e>
                      <m:r>
                        <m:rPr>
                          <m:sty m:val="p"/>
                        </m:rPr>
                        <w:rPr>
                          <w:rFonts w:ascii="Cambria Math" w:hAnsi="Cambria Math"/>
                        </w:rPr>
                        <m:t>λ</m:t>
                      </m:r>
                    </m:e>
                    <m:sup>
                      <m:r>
                        <w:rPr>
                          <w:rFonts w:ascii="Cambria Math" w:hAnsi="Cambria Math"/>
                        </w:rPr>
                        <m:t>'</m:t>
                      </m:r>
                    </m:sup>
                  </m:sSup>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m:t>
                      </m:r>
                    </m:sup>
                  </m:sSup>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i</m:t>
                      </m:r>
                    </m:sub>
                  </m:sSub>
                  <m:r>
                    <w:rPr>
                      <w:rFonts w:ascii="Cambria Math" w:hAnsi="Cambria Math"/>
                    </w:rPr>
                    <m:t>)</m:t>
                  </m:r>
                </m:sup>
              </m:sSup>
            </m:den>
          </m:f>
        </m:oMath>
      </m:oMathPara>
    </w:p>
    <w:p w14:paraId="6A24AEC3" w14:textId="77777777" w:rsidR="00DE7B09" w:rsidRDefault="00DE7B09" w:rsidP="00DE7B09">
      <w:pPr>
        <w:pStyle w:val="BodyText"/>
      </w:pPr>
    </w:p>
    <w:p w14:paraId="1C5166A7" w14:textId="77777777" w:rsidR="00DE7B09" w:rsidRDefault="00DE7B09" w:rsidP="003006A8">
      <w:pPr>
        <w:pStyle w:val="BodyText"/>
      </w:pPr>
      <w:r>
        <w:t>where:</w:t>
      </w:r>
    </w:p>
    <w:p w14:paraId="79DBD926" w14:textId="6A85E28D" w:rsidR="00DE7B09" w:rsidRDefault="00F333C3" w:rsidP="002523DC">
      <w:pPr>
        <w:pStyle w:val="Bullet1stlevelkeepwithnext"/>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DE7B09">
        <w:t xml:space="preserve"> represents an indicator variable if the episode had two or more </w:t>
      </w:r>
      <w:r w:rsidR="009C028B">
        <w:t>OOS</w:t>
      </w:r>
      <w:r w:rsidR="00DE7B09">
        <w:t>;</w:t>
      </w:r>
    </w:p>
    <w:p w14:paraId="022687C3" w14:textId="77777777" w:rsidR="00DE7B09" w:rsidRDefault="00F333C3" w:rsidP="00DE7B09">
      <w:pPr>
        <w:pStyle w:val="Bullet1stlevel"/>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DE7B09" w:rsidRPr="00255937">
        <w:t xml:space="preserve"> represents a numerical constant;</w:t>
      </w:r>
    </w:p>
    <w:p w14:paraId="1B32E82F" w14:textId="77777777" w:rsidR="00DE7B09" w:rsidRDefault="00F333C3" w:rsidP="00DE7B09">
      <w:pPr>
        <w:pStyle w:val="Bullet1stlevel"/>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DE7B09" w:rsidRPr="00255937">
        <w:t xml:space="preserve"> represents </w:t>
      </w:r>
      <w:r w:rsidR="00DE7B09">
        <w:t>a vector</w:t>
      </w:r>
      <w:r w:rsidR="00DE7B09" w:rsidRPr="00255937">
        <w:t xml:space="preserve"> of </w:t>
      </w:r>
      <w:r w:rsidR="00DE7B09">
        <w:t>the young person’s characteristics. including age, gender, initial level of mental distress, Aboriginal and Torres Strait Islander status, culturally and linguistically diverse status and regionality.</w:t>
      </w:r>
    </w:p>
    <w:p w14:paraId="0B020A3A" w14:textId="77777777" w:rsidR="00DE7B09" w:rsidRDefault="0079169C" w:rsidP="00DE7B09">
      <w:pPr>
        <w:pStyle w:val="Bullet1stlevel"/>
        <w:numPr>
          <w:ilvl w:val="0"/>
          <w:numId w:val="0"/>
        </w:numPr>
        <w:ind w:left="357"/>
      </w:pPr>
      <m:oMath>
        <m:r>
          <w:rPr>
            <w:rFonts w:ascii="Cambria Math" w:hAnsi="Cambria Math"/>
          </w:rPr>
          <m:t>β</m:t>
        </m:r>
      </m:oMath>
      <w:r w:rsidR="00DE7B09" w:rsidRPr="00255937">
        <w:t xml:space="preserve"> </w:t>
      </w:r>
      <w:r w:rsidR="00DE7B09">
        <w:t xml:space="preserve">represents the relevant </w:t>
      </w:r>
      <w:r w:rsidR="00DE7B09" w:rsidRPr="00255937">
        <w:t>coefficient estimates</w:t>
      </w:r>
      <w:r w:rsidR="00DE7B09">
        <w:t>;</w:t>
      </w:r>
    </w:p>
    <w:p w14:paraId="684F118F" w14:textId="27412EFE" w:rsidR="00DE7B09" w:rsidRDefault="00F333C3" w:rsidP="00DE7B09">
      <w:pPr>
        <w:pStyle w:val="Bullet1stlevel"/>
      </w:pP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DE7B09" w:rsidRPr="00255937">
        <w:t xml:space="preserve"> represents the</w:t>
      </w:r>
      <w:r w:rsidR="00DE7B09">
        <w:t xml:space="preserve"> type of services received. </w:t>
      </w:r>
      <m:oMath>
        <m:r>
          <m:rPr>
            <m:sty m:val="p"/>
          </m:rPr>
          <w:rPr>
            <w:rFonts w:ascii="Cambria Math" w:hAnsi="Cambria Math"/>
          </w:rPr>
          <m:t>λ</m:t>
        </m:r>
      </m:oMath>
      <w:r w:rsidR="00DE7B09" w:rsidRPr="00255937">
        <w:t xml:space="preserve"> </w:t>
      </w:r>
      <w:r w:rsidR="00DE7B09">
        <w:t xml:space="preserve">represents the relevant </w:t>
      </w:r>
      <w:r w:rsidR="00DE7B09" w:rsidRPr="00255937">
        <w:t>coefficient estimates</w:t>
      </w:r>
      <w:r w:rsidR="00DE7B09">
        <w:t>;</w:t>
      </w:r>
    </w:p>
    <w:p w14:paraId="3C618785" w14:textId="77777777" w:rsidR="00DE7B09" w:rsidRDefault="00DE7B09" w:rsidP="00DE7B09">
      <w:pPr>
        <w:pStyle w:val="Bullet1stlevel"/>
      </w:pPr>
      <w:r w:rsidRPr="00255937">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t xml:space="preserve"> represents a vector of dummy variables indicating the service where the episode of care was held at.</w:t>
      </w:r>
      <m:oMath>
        <m:r>
          <w:rPr>
            <w:rFonts w:ascii="Cambria Math" w:hAnsi="Cambria Math"/>
          </w:rPr>
          <m:t xml:space="preserve"> γ</m:t>
        </m:r>
      </m:oMath>
      <w:r w:rsidRPr="00255937">
        <w:t xml:space="preserve"> </w:t>
      </w:r>
      <w:r>
        <w:t>represents the relevant service fixed effects; and</w:t>
      </w:r>
    </w:p>
    <w:p w14:paraId="0498DABA" w14:textId="77777777" w:rsidR="00DE7B09" w:rsidRDefault="00F333C3" w:rsidP="00DE7B09">
      <w:pPr>
        <w:pStyle w:val="Bullet1stlevel"/>
      </w:pPr>
      <m:oMath>
        <m:sSub>
          <m:sSubPr>
            <m:ctrlPr>
              <w:rPr>
                <w:rFonts w:ascii="Cambria Math" w:hAnsi="Cambria Math"/>
              </w:rPr>
            </m:ctrlPr>
          </m:sSubPr>
          <m:e>
            <m:r>
              <m:rPr>
                <m:sty m:val="p"/>
              </m:rPr>
              <w:rPr>
                <w:rFonts w:ascii="Cambria Math" w:hAnsi="Cambria Math"/>
              </w:rPr>
              <m:t>ϵ</m:t>
            </m:r>
          </m:e>
          <m:sub>
            <m:r>
              <m:rPr>
                <m:sty m:val="p"/>
              </m:rPr>
              <w:rPr>
                <w:rFonts w:ascii="Cambria Math" w:hAnsi="Cambria Math"/>
              </w:rPr>
              <m:t>i</m:t>
            </m:r>
          </m:sub>
        </m:sSub>
      </m:oMath>
      <w:r w:rsidR="00DE7B09" w:rsidRPr="00255937">
        <w:t xml:space="preserve"> represents an error component. </w:t>
      </w:r>
    </w:p>
    <w:p w14:paraId="770BCA23" w14:textId="77777777" w:rsidR="00DE7B09" w:rsidRDefault="00DE7B09" w:rsidP="00DE7B09">
      <w:pPr>
        <w:pStyle w:val="BodyText"/>
      </w:pPr>
      <w:r>
        <w:t>A range of potential explanatory factors are considered:</w:t>
      </w:r>
    </w:p>
    <w:p w14:paraId="1A56A63D" w14:textId="77777777" w:rsidR="00DE7B09" w:rsidRDefault="00DE7B09" w:rsidP="00DE7B09">
      <w:pPr>
        <w:pStyle w:val="Bullet1stlevel"/>
        <w:rPr>
          <w:bCs/>
          <w:i/>
        </w:rPr>
      </w:pPr>
      <w:r>
        <w:t>Young person socio-demographics such as their age, gender, Aboriginal and Torres Strait Islander status, culturally and linguistically diverse status, rurality and as well as their initial mental distress on intake.</w:t>
      </w:r>
    </w:p>
    <w:p w14:paraId="09344004" w14:textId="77777777" w:rsidR="00DE7B09" w:rsidRDefault="00DE7B09" w:rsidP="00DE7B09">
      <w:pPr>
        <w:pStyle w:val="Bullet1stlevel"/>
      </w:pPr>
      <w:r>
        <w:t>The main services the young person received at headspace site.</w:t>
      </w:r>
    </w:p>
    <w:p w14:paraId="3488825D" w14:textId="77777777" w:rsidR="00DE7B09" w:rsidRDefault="00DE7B09" w:rsidP="00DE7B09">
      <w:pPr>
        <w:pStyle w:val="Bullet1stlevel"/>
      </w:pPr>
      <w:r>
        <w:t>Site specific factors</w:t>
      </w:r>
      <w:r>
        <w:rPr>
          <w:bCs/>
          <w:i/>
        </w:rPr>
        <w:t xml:space="preserve">. </w:t>
      </w:r>
      <w:r>
        <w:t xml:space="preserve">The young persons’ mental health outcome can be influenced by the site they accessed. This could be because of heterogenous service quality across headspace services, the staff availability and locally specific unobservable factors affecting mental health wellbeing. </w:t>
      </w:r>
    </w:p>
    <w:p w14:paraId="73FE0A5D" w14:textId="77777777" w:rsidR="00DE7B09" w:rsidRDefault="00DE7B09" w:rsidP="00DE7B09">
      <w:pPr>
        <w:pStyle w:val="Bullet1stlevel"/>
      </w:pPr>
      <w:r>
        <w:t>The regionality of the episode.</w:t>
      </w:r>
    </w:p>
    <w:p w14:paraId="73E09728" w14:textId="36481B5D" w:rsidR="00DE7B09" w:rsidRDefault="00DE7B09" w:rsidP="00DE7B09">
      <w:pPr>
        <w:pStyle w:val="BodyText2"/>
      </w:pPr>
      <w:r>
        <w:t xml:space="preserve">The results of the multivariate logistic regression are illustrated in </w:t>
      </w:r>
      <w:r w:rsidR="00740EE1">
        <w:fldChar w:fldCharType="begin" w:fldLock="1"/>
      </w:r>
      <w:r w:rsidR="00740EE1">
        <w:instrText xml:space="preserve"> REF _Ref98474086 \h </w:instrText>
      </w:r>
      <w:r w:rsidR="00740EE1">
        <w:fldChar w:fldCharType="separate"/>
      </w:r>
      <w:r w:rsidR="00440F5D">
        <w:t xml:space="preserve">Table </w:t>
      </w:r>
      <w:r w:rsidR="00440F5D">
        <w:rPr>
          <w:noProof/>
        </w:rPr>
        <w:t>68</w:t>
      </w:r>
      <w:r w:rsidR="00740EE1">
        <w:fldChar w:fldCharType="end"/>
      </w:r>
      <w:r w:rsidR="00843E1C">
        <w:t xml:space="preserve"> and discussed below</w:t>
      </w:r>
      <w:r w:rsidR="00942BC6">
        <w:t>.</w:t>
      </w:r>
    </w:p>
    <w:p w14:paraId="0A13BFAA" w14:textId="77777777" w:rsidR="00DE7B09" w:rsidRDefault="00DE7B09" w:rsidP="007F7999">
      <w:pPr>
        <w:pStyle w:val="AppendixHeading3"/>
      </w:pPr>
      <w:r>
        <w:t>Age</w:t>
      </w:r>
    </w:p>
    <w:p w14:paraId="32AC800D" w14:textId="2D512074" w:rsidR="00DE7B09" w:rsidRDefault="00A66713" w:rsidP="00DE7B09">
      <w:pPr>
        <w:pStyle w:val="BodyText"/>
      </w:pPr>
      <w:r>
        <w:t xml:space="preserve">Holding all other factors being equal, </w:t>
      </w:r>
      <w:r w:rsidR="007A1957">
        <w:t>y</w:t>
      </w:r>
      <w:r w:rsidR="00DE7B09">
        <w:t xml:space="preserve">oung persons younger than 15 years are most likely to receive two </w:t>
      </w:r>
      <w:r w:rsidR="009C028B">
        <w:t>OOS</w:t>
      </w:r>
      <w:r w:rsidR="00DE7B09">
        <w:t xml:space="preserve"> or more. Young people aged older than 24 years are least likely to receive two occasions or more.</w:t>
      </w:r>
    </w:p>
    <w:p w14:paraId="1EB93B68" w14:textId="77777777" w:rsidR="00DE7B09" w:rsidRDefault="00DE7B09" w:rsidP="007F7999">
      <w:pPr>
        <w:pStyle w:val="AppendixHeading3"/>
      </w:pPr>
      <w:r>
        <w:t>Gender</w:t>
      </w:r>
    </w:p>
    <w:p w14:paraId="4328BF9A" w14:textId="1C56C4D4" w:rsidR="00DE7B09" w:rsidRDefault="002520E8" w:rsidP="00DE7B09">
      <w:pPr>
        <w:pStyle w:val="BodyText"/>
      </w:pPr>
      <w:r>
        <w:t>Holding all other factors being equal, t</w:t>
      </w:r>
      <w:r w:rsidR="00DE7B09">
        <w:t xml:space="preserve">here are no statistically significant differences in the probability of receiving two </w:t>
      </w:r>
      <w:r w:rsidR="009C028B">
        <w:t>OOS</w:t>
      </w:r>
      <w:r w:rsidR="00DE7B09">
        <w:t xml:space="preserve"> or more between gender groups.</w:t>
      </w:r>
    </w:p>
    <w:p w14:paraId="0D4B40FA" w14:textId="77777777" w:rsidR="00DE7B09" w:rsidRDefault="00DE7B09" w:rsidP="007F7999">
      <w:pPr>
        <w:pStyle w:val="AppendixHeading3"/>
      </w:pPr>
      <w:r>
        <w:t>Priority cohorts</w:t>
      </w:r>
    </w:p>
    <w:p w14:paraId="1B087BFB" w14:textId="47C9C5D1" w:rsidR="00DE7B09" w:rsidRDefault="0010187E" w:rsidP="00DE7B09">
      <w:pPr>
        <w:pStyle w:val="BodyText"/>
      </w:pPr>
      <w:r>
        <w:t xml:space="preserve">Holding all other factors being equal, </w:t>
      </w:r>
      <w:r w:rsidR="00DE7B09">
        <w:t xml:space="preserve">Aboriginal and Torres Strait Islander, culturally and linguistically diverse and LGBTQIA+ </w:t>
      </w:r>
      <w:r w:rsidR="001604EA">
        <w:t xml:space="preserve">cohort </w:t>
      </w:r>
      <w:r w:rsidR="00DE7B09">
        <w:t xml:space="preserve">status appear to have no meaningful impact of receiving two </w:t>
      </w:r>
      <w:r w:rsidR="009C028B">
        <w:t>OOS</w:t>
      </w:r>
      <w:r w:rsidR="00DE7B09">
        <w:t xml:space="preserve"> or more.</w:t>
      </w:r>
    </w:p>
    <w:p w14:paraId="2F8918C3" w14:textId="77777777" w:rsidR="00DE7B09" w:rsidRDefault="00DE7B09" w:rsidP="007F7999">
      <w:pPr>
        <w:pStyle w:val="AppendixHeading3"/>
      </w:pPr>
      <w:r>
        <w:t>Initial severity</w:t>
      </w:r>
    </w:p>
    <w:p w14:paraId="631C9BCE" w14:textId="587FD0D9" w:rsidR="00B71CA3" w:rsidRDefault="008A6CF7" w:rsidP="00DE7B09">
      <w:pPr>
        <w:pStyle w:val="BodyText"/>
      </w:pPr>
      <w:r>
        <w:t>This report hypothesise</w:t>
      </w:r>
      <w:r w:rsidR="005B1AB5">
        <w:t>s</w:t>
      </w:r>
      <w:r>
        <w:t xml:space="preserve"> that the initial severity of the young persons mental health status </w:t>
      </w:r>
      <w:r w:rsidR="00B71CA3">
        <w:t xml:space="preserve">has an in impact on their need for mental health services, and the potential range of improvement that treatment can deliver. </w:t>
      </w:r>
      <w:r w:rsidR="00C23D36">
        <w:t>If a young person accesse</w:t>
      </w:r>
      <w:r w:rsidR="00D40BE4">
        <w:t>s</w:t>
      </w:r>
      <w:r w:rsidR="00C23D36">
        <w:t xml:space="preserve"> headspace with very high levels of mental distress, it is likely they </w:t>
      </w:r>
      <w:r w:rsidR="00D40BE4">
        <w:t xml:space="preserve">will </w:t>
      </w:r>
      <w:r w:rsidR="00C23D36">
        <w:t xml:space="preserve">require multiple </w:t>
      </w:r>
      <w:r w:rsidR="007B2863">
        <w:t>OOS</w:t>
      </w:r>
      <w:r w:rsidR="00C23D36">
        <w:t xml:space="preserve"> for adequate treatment</w:t>
      </w:r>
      <w:r w:rsidR="00B06188">
        <w:t>.</w:t>
      </w:r>
    </w:p>
    <w:p w14:paraId="3987BCBE" w14:textId="3F7D2E49" w:rsidR="00DE7B09" w:rsidRDefault="0010187E" w:rsidP="00DE7B09">
      <w:pPr>
        <w:pStyle w:val="BodyText"/>
      </w:pPr>
      <w:r>
        <w:t xml:space="preserve">Holding all other factors being equal, </w:t>
      </w:r>
      <w:r w:rsidR="00B71CA3">
        <w:t xml:space="preserve">the results show that </w:t>
      </w:r>
      <w:r>
        <w:t>y</w:t>
      </w:r>
      <w:r w:rsidR="00DE7B09">
        <w:t xml:space="preserve">oung persons </w:t>
      </w:r>
      <w:r w:rsidR="00B71CA3">
        <w:t>accessing</w:t>
      </w:r>
      <w:r w:rsidR="00DE7B09">
        <w:t xml:space="preserve"> headspace with low initial mental distress are least likely to access two or more </w:t>
      </w:r>
      <w:r w:rsidR="009C028B">
        <w:t>OOS</w:t>
      </w:r>
      <w:r w:rsidR="00DE7B09">
        <w:t xml:space="preserve">. Young persons with high or very high mental distress have the highest probability of receiving two or more </w:t>
      </w:r>
      <w:r w:rsidR="009C028B">
        <w:t>OOS</w:t>
      </w:r>
      <w:r w:rsidR="00DE7B09">
        <w:t>.</w:t>
      </w:r>
    </w:p>
    <w:p w14:paraId="27609EF0" w14:textId="77777777" w:rsidR="00DE7B09" w:rsidRDefault="00DE7B09" w:rsidP="007F7999">
      <w:pPr>
        <w:pStyle w:val="AppendixHeading3"/>
      </w:pPr>
      <w:r>
        <w:t>Main services provided</w:t>
      </w:r>
    </w:p>
    <w:p w14:paraId="40BE35D4" w14:textId="40658408" w:rsidR="00DE7B09" w:rsidRDefault="0071440B" w:rsidP="00DE7B09">
      <w:pPr>
        <w:pStyle w:val="BodyText"/>
      </w:pPr>
      <w:r>
        <w:t>Holding all other factors being equal, t</w:t>
      </w:r>
      <w:r w:rsidR="00DE7B09">
        <w:t xml:space="preserve">hose receiving non-mental health services or only intake/assessment have relatively lower probabilities of receiving more than two </w:t>
      </w:r>
      <w:r w:rsidR="009C028B">
        <w:t>OOS</w:t>
      </w:r>
      <w:r w:rsidR="00DE7B09">
        <w:t>.</w:t>
      </w:r>
    </w:p>
    <w:p w14:paraId="5C23DB48" w14:textId="77777777" w:rsidR="00DE7B09" w:rsidRDefault="00DE7B09" w:rsidP="007F7999">
      <w:pPr>
        <w:pStyle w:val="AppendixHeading3"/>
      </w:pPr>
      <w:r>
        <w:t>Rurality</w:t>
      </w:r>
    </w:p>
    <w:p w14:paraId="66A04E1E" w14:textId="1186F4C3" w:rsidR="00DE7B09" w:rsidRDefault="0071440B" w:rsidP="00DE7B09">
      <w:pPr>
        <w:pStyle w:val="BodyText"/>
      </w:pPr>
      <w:r>
        <w:t xml:space="preserve">Holding all other factors being equal, </w:t>
      </w:r>
      <w:r w:rsidR="005B17E9">
        <w:t>y</w:t>
      </w:r>
      <w:r w:rsidR="00DE7B09">
        <w:t xml:space="preserve">oung people residing in major cities are more likely than other young persons to have two or more </w:t>
      </w:r>
      <w:r w:rsidR="009C028B">
        <w:t>OOS</w:t>
      </w:r>
      <w:r w:rsidR="00DE7B09">
        <w:t xml:space="preserve"> than young people residing in inner or outer regional areas. There </w:t>
      </w:r>
      <w:r w:rsidR="00A82E21">
        <w:t>are</w:t>
      </w:r>
      <w:r w:rsidR="00DE7B09">
        <w:t xml:space="preserve"> no statistically significant differences between young people in major cities and their counter parts in very remote or remote areas.</w:t>
      </w:r>
    </w:p>
    <w:p w14:paraId="2EE1C37E" w14:textId="681639AB" w:rsidR="00DE7B09" w:rsidRDefault="00DE7B09" w:rsidP="00DE7B09">
      <w:pPr>
        <w:pStyle w:val="Caption"/>
      </w:pPr>
      <w:bookmarkStart w:id="315" w:name="_Ref98474086"/>
      <w:bookmarkStart w:id="316" w:name="_Toc108109018"/>
      <w:r>
        <w:t xml:space="preserve">Table </w:t>
      </w:r>
      <w:r>
        <w:fldChar w:fldCharType="begin"/>
      </w:r>
      <w:r>
        <w:instrText>SEQ Table \* ARABIC</w:instrText>
      </w:r>
      <w:r>
        <w:fldChar w:fldCharType="separate"/>
      </w:r>
      <w:r w:rsidR="00CC0438">
        <w:rPr>
          <w:noProof/>
        </w:rPr>
        <w:t>68</w:t>
      </w:r>
      <w:r>
        <w:fldChar w:fldCharType="end"/>
      </w:r>
      <w:bookmarkEnd w:id="315"/>
      <w:r>
        <w:t xml:space="preserve">: Logit regression of receiving two or more </w:t>
      </w:r>
      <w:r w:rsidR="009C028B">
        <w:t>OOS</w:t>
      </w:r>
      <w:bookmarkEnd w:id="316"/>
    </w:p>
    <w:tbl>
      <w:tblPr>
        <w:tblW w:w="4923" w:type="pct"/>
        <w:tblLook w:val="04A0" w:firstRow="1" w:lastRow="0" w:firstColumn="1" w:lastColumn="0" w:noHBand="0" w:noVBand="1"/>
        <w:tblCaption w:val="Logit regression of receiving two or more occasions of service"/>
        <w:tblDescription w:val="Table has 2 columns, and summarises the logit regression of young people receiving two or more occasions of service. Column 1 includes the independent variables analysed. Column 2 lists the probability of receiving two or more occasions of service."/>
      </w:tblPr>
      <w:tblGrid>
        <w:gridCol w:w="4111"/>
        <w:gridCol w:w="4819"/>
      </w:tblGrid>
      <w:tr w:rsidR="00DE7B09" w:rsidRPr="00D65A2D" w14:paraId="4E0B0B36" w14:textId="77777777" w:rsidTr="00135B02">
        <w:trPr>
          <w:tblHeader/>
        </w:trPr>
        <w:tc>
          <w:tcPr>
            <w:tcW w:w="2302" w:type="pct"/>
            <w:tcBorders>
              <w:bottom w:val="single" w:sz="4" w:space="0" w:color="00338D"/>
            </w:tcBorders>
            <w:shd w:val="clear" w:color="auto" w:fill="00338D"/>
          </w:tcPr>
          <w:p w14:paraId="26159683" w14:textId="77777777" w:rsidR="00DE7B09" w:rsidRDefault="00DE7B09" w:rsidP="0079169C">
            <w:pPr>
              <w:pStyle w:val="Tableheading"/>
            </w:pPr>
            <w:r>
              <w:t>Independent variables</w:t>
            </w:r>
          </w:p>
        </w:tc>
        <w:tc>
          <w:tcPr>
            <w:tcW w:w="2698" w:type="pct"/>
            <w:tcBorders>
              <w:bottom w:val="single" w:sz="4" w:space="0" w:color="00338D"/>
            </w:tcBorders>
            <w:shd w:val="clear" w:color="auto" w:fill="00338D"/>
          </w:tcPr>
          <w:p w14:paraId="253BDBFC" w14:textId="21DFF756" w:rsidR="00DE7B09" w:rsidRDefault="00DE7B09" w:rsidP="0079169C">
            <w:pPr>
              <w:pStyle w:val="Tableheading"/>
              <w:jc w:val="center"/>
            </w:pPr>
            <w:r>
              <w:t>Probability of receiving two or more O</w:t>
            </w:r>
            <w:r w:rsidR="003C1E68">
              <w:t>O</w:t>
            </w:r>
            <w:r>
              <w:t>S</w:t>
            </w:r>
          </w:p>
          <w:p w14:paraId="04731576" w14:textId="77777777" w:rsidR="00DE7B09" w:rsidRPr="005F2AC1" w:rsidRDefault="00DE7B09" w:rsidP="0079169C">
            <w:pPr>
              <w:pStyle w:val="Tableheading"/>
              <w:jc w:val="center"/>
            </w:pPr>
            <w:r>
              <w:t>(1)</w:t>
            </w:r>
          </w:p>
        </w:tc>
      </w:tr>
      <w:tr w:rsidR="00DE7B09" w14:paraId="2F7B937D" w14:textId="77777777" w:rsidTr="00135B02">
        <w:tc>
          <w:tcPr>
            <w:tcW w:w="5000" w:type="pct"/>
            <w:gridSpan w:val="2"/>
            <w:tcBorders>
              <w:top w:val="single" w:sz="4" w:space="0" w:color="00338D"/>
              <w:bottom w:val="single" w:sz="4" w:space="0" w:color="00338D"/>
            </w:tcBorders>
          </w:tcPr>
          <w:p w14:paraId="18B9EB10" w14:textId="77777777" w:rsidR="00DE7B09" w:rsidRPr="007F7999" w:rsidRDefault="00DE7B09" w:rsidP="007F7999">
            <w:pPr>
              <w:pStyle w:val="Tabletext"/>
              <w:rPr>
                <w:b/>
                <w:bCs/>
              </w:rPr>
            </w:pPr>
            <w:r w:rsidRPr="007F7999">
              <w:rPr>
                <w:b/>
                <w:bCs/>
              </w:rPr>
              <w:t>Age categories (ref = younger than 15 years)</w:t>
            </w:r>
          </w:p>
        </w:tc>
      </w:tr>
      <w:tr w:rsidR="007F7999" w14:paraId="03C41EA7" w14:textId="77777777" w:rsidTr="00EF6578">
        <w:tc>
          <w:tcPr>
            <w:tcW w:w="2302" w:type="pct"/>
            <w:vMerge w:val="restart"/>
            <w:tcBorders>
              <w:top w:val="single" w:sz="4" w:space="0" w:color="00338D"/>
            </w:tcBorders>
            <w:vAlign w:val="center"/>
          </w:tcPr>
          <w:p w14:paraId="32D5F19C" w14:textId="77777777" w:rsidR="007F7999" w:rsidRPr="001F67CF" w:rsidRDefault="007F7999" w:rsidP="00EF6578">
            <w:pPr>
              <w:pStyle w:val="Tabletext"/>
            </w:pPr>
            <w:r w:rsidRPr="001F67CF">
              <w:t>15 to 19 years old</w:t>
            </w:r>
          </w:p>
        </w:tc>
        <w:tc>
          <w:tcPr>
            <w:tcW w:w="2698" w:type="pct"/>
            <w:tcBorders>
              <w:top w:val="single" w:sz="4" w:space="0" w:color="00338D"/>
            </w:tcBorders>
          </w:tcPr>
          <w:p w14:paraId="54A2C749" w14:textId="77777777" w:rsidR="007F7999" w:rsidRPr="006D013D" w:rsidRDefault="007F7999" w:rsidP="007F7999">
            <w:pPr>
              <w:pStyle w:val="Tabletext"/>
              <w:jc w:val="center"/>
            </w:pPr>
            <w:r w:rsidRPr="00216063">
              <w:t>0.7**</w:t>
            </w:r>
          </w:p>
        </w:tc>
      </w:tr>
      <w:tr w:rsidR="007F7999" w14:paraId="1D7C5F8B" w14:textId="77777777" w:rsidTr="00EF6578">
        <w:tc>
          <w:tcPr>
            <w:tcW w:w="2302" w:type="pct"/>
            <w:vMerge/>
            <w:tcBorders>
              <w:bottom w:val="single" w:sz="4" w:space="0" w:color="00338D"/>
            </w:tcBorders>
            <w:vAlign w:val="center"/>
          </w:tcPr>
          <w:p w14:paraId="15D8AC0F" w14:textId="77777777" w:rsidR="007F7999" w:rsidRPr="001F67CF" w:rsidRDefault="007F7999" w:rsidP="00EF6578">
            <w:pPr>
              <w:pStyle w:val="Tabletext"/>
            </w:pPr>
          </w:p>
        </w:tc>
        <w:tc>
          <w:tcPr>
            <w:tcW w:w="2698" w:type="pct"/>
            <w:tcBorders>
              <w:bottom w:val="single" w:sz="4" w:space="0" w:color="00338D"/>
            </w:tcBorders>
          </w:tcPr>
          <w:p w14:paraId="344D888D" w14:textId="77777777" w:rsidR="007F7999" w:rsidRPr="006D013D" w:rsidRDefault="007F7999" w:rsidP="007F7999">
            <w:pPr>
              <w:pStyle w:val="Tabletext"/>
              <w:jc w:val="center"/>
            </w:pPr>
            <w:r w:rsidRPr="00216063">
              <w:t>(0.03)</w:t>
            </w:r>
          </w:p>
        </w:tc>
      </w:tr>
      <w:tr w:rsidR="007F7999" w14:paraId="622CF161" w14:textId="77777777" w:rsidTr="00EF6578">
        <w:tc>
          <w:tcPr>
            <w:tcW w:w="2302" w:type="pct"/>
            <w:vMerge w:val="restart"/>
            <w:tcBorders>
              <w:top w:val="single" w:sz="4" w:space="0" w:color="00338D"/>
            </w:tcBorders>
            <w:vAlign w:val="center"/>
          </w:tcPr>
          <w:p w14:paraId="476A1490" w14:textId="77777777" w:rsidR="007F7999" w:rsidRPr="001F67CF" w:rsidRDefault="007F7999" w:rsidP="00EF6578">
            <w:pPr>
              <w:pStyle w:val="Tabletext"/>
            </w:pPr>
            <w:r w:rsidRPr="001F67CF">
              <w:t>20 to 24 years old</w:t>
            </w:r>
          </w:p>
        </w:tc>
        <w:tc>
          <w:tcPr>
            <w:tcW w:w="2698" w:type="pct"/>
            <w:tcBorders>
              <w:top w:val="single" w:sz="4" w:space="0" w:color="00338D"/>
            </w:tcBorders>
          </w:tcPr>
          <w:p w14:paraId="4BA3B393" w14:textId="77777777" w:rsidR="007F7999" w:rsidRPr="006D013D" w:rsidRDefault="007F7999" w:rsidP="007F7999">
            <w:pPr>
              <w:pStyle w:val="Tabletext"/>
              <w:jc w:val="center"/>
            </w:pPr>
            <w:r w:rsidRPr="00216063">
              <w:t>0.</w:t>
            </w:r>
            <w:r w:rsidRPr="00E2539B">
              <w:t>6</w:t>
            </w:r>
            <w:r w:rsidRPr="00216063">
              <w:t>**</w:t>
            </w:r>
          </w:p>
        </w:tc>
      </w:tr>
      <w:tr w:rsidR="007F7999" w14:paraId="3BF66DA0" w14:textId="77777777" w:rsidTr="00EF6578">
        <w:tc>
          <w:tcPr>
            <w:tcW w:w="2302" w:type="pct"/>
            <w:vMerge/>
            <w:tcBorders>
              <w:bottom w:val="single" w:sz="4" w:space="0" w:color="00338D"/>
            </w:tcBorders>
            <w:vAlign w:val="center"/>
          </w:tcPr>
          <w:p w14:paraId="7135146A" w14:textId="77777777" w:rsidR="007F7999" w:rsidRPr="001F67CF" w:rsidRDefault="007F7999" w:rsidP="00EF6578">
            <w:pPr>
              <w:pStyle w:val="Tabletext"/>
            </w:pPr>
          </w:p>
        </w:tc>
        <w:tc>
          <w:tcPr>
            <w:tcW w:w="2698" w:type="pct"/>
            <w:tcBorders>
              <w:bottom w:val="single" w:sz="4" w:space="0" w:color="00338D"/>
            </w:tcBorders>
          </w:tcPr>
          <w:p w14:paraId="1C5D2238" w14:textId="77777777" w:rsidR="007F7999" w:rsidRPr="006D013D" w:rsidRDefault="007F7999" w:rsidP="007F7999">
            <w:pPr>
              <w:pStyle w:val="Tabletext"/>
              <w:jc w:val="center"/>
            </w:pPr>
            <w:r w:rsidRPr="00216063">
              <w:t>(0.04)</w:t>
            </w:r>
          </w:p>
        </w:tc>
      </w:tr>
      <w:tr w:rsidR="007F7999" w14:paraId="7A4DF96B" w14:textId="77777777" w:rsidTr="00EF6578">
        <w:tc>
          <w:tcPr>
            <w:tcW w:w="2302" w:type="pct"/>
            <w:vMerge w:val="restart"/>
            <w:tcBorders>
              <w:top w:val="single" w:sz="4" w:space="0" w:color="00338D"/>
            </w:tcBorders>
            <w:vAlign w:val="center"/>
          </w:tcPr>
          <w:p w14:paraId="77D85E33" w14:textId="77777777" w:rsidR="007F7999" w:rsidRPr="001F67CF" w:rsidRDefault="007F7999" w:rsidP="00EF6578">
            <w:pPr>
              <w:pStyle w:val="Tabletext"/>
            </w:pPr>
            <w:r w:rsidRPr="001F67CF">
              <w:t>Older than 24 years</w:t>
            </w:r>
          </w:p>
        </w:tc>
        <w:tc>
          <w:tcPr>
            <w:tcW w:w="2698" w:type="pct"/>
            <w:tcBorders>
              <w:top w:val="single" w:sz="4" w:space="0" w:color="00338D"/>
            </w:tcBorders>
          </w:tcPr>
          <w:p w14:paraId="42A2CAE1" w14:textId="77777777" w:rsidR="007F7999" w:rsidRPr="006D013D" w:rsidRDefault="007F7999" w:rsidP="007F7999">
            <w:pPr>
              <w:pStyle w:val="Tabletext"/>
              <w:jc w:val="center"/>
            </w:pPr>
            <w:r w:rsidRPr="00216063">
              <w:t>0.</w:t>
            </w:r>
            <w:r w:rsidRPr="00E2539B">
              <w:t>4</w:t>
            </w:r>
            <w:r w:rsidRPr="00216063">
              <w:t>**</w:t>
            </w:r>
          </w:p>
        </w:tc>
      </w:tr>
      <w:tr w:rsidR="007F7999" w14:paraId="543B0D4E" w14:textId="77777777" w:rsidTr="00135B02">
        <w:tc>
          <w:tcPr>
            <w:tcW w:w="2302" w:type="pct"/>
            <w:vMerge/>
          </w:tcPr>
          <w:p w14:paraId="1C667C5A" w14:textId="77777777" w:rsidR="007F7999" w:rsidRPr="001F67CF" w:rsidRDefault="007F7999" w:rsidP="007F7999">
            <w:pPr>
              <w:pStyle w:val="Tabletext"/>
            </w:pPr>
          </w:p>
        </w:tc>
        <w:tc>
          <w:tcPr>
            <w:tcW w:w="2698" w:type="pct"/>
          </w:tcPr>
          <w:p w14:paraId="22BD538D" w14:textId="77777777" w:rsidR="007F7999" w:rsidRPr="006D013D" w:rsidRDefault="007F7999" w:rsidP="007F7999">
            <w:pPr>
              <w:pStyle w:val="Tabletext"/>
              <w:jc w:val="center"/>
            </w:pPr>
            <w:r w:rsidRPr="00216063">
              <w:t>(0.</w:t>
            </w:r>
            <w:r w:rsidRPr="00E2539B">
              <w:t>07</w:t>
            </w:r>
            <w:r w:rsidRPr="00216063">
              <w:t>)</w:t>
            </w:r>
          </w:p>
        </w:tc>
      </w:tr>
      <w:tr w:rsidR="007F7999" w14:paraId="6F8E9DBE" w14:textId="77777777" w:rsidTr="007F7999">
        <w:tc>
          <w:tcPr>
            <w:tcW w:w="5000" w:type="pct"/>
            <w:gridSpan w:val="2"/>
            <w:tcBorders>
              <w:top w:val="single" w:sz="4" w:space="0" w:color="00338D"/>
              <w:bottom w:val="single" w:sz="2" w:space="0" w:color="808080" w:themeColor="background1" w:themeShade="80"/>
            </w:tcBorders>
          </w:tcPr>
          <w:p w14:paraId="082787BA" w14:textId="35F477D7" w:rsidR="007F7999" w:rsidRPr="006D013D" w:rsidRDefault="007F7999" w:rsidP="007F7999">
            <w:pPr>
              <w:pStyle w:val="Tabletext"/>
            </w:pPr>
            <w:r w:rsidRPr="001F67CF">
              <w:rPr>
                <w:b/>
                <w:bCs/>
              </w:rPr>
              <w:t>Gender (ref = Male)</w:t>
            </w:r>
          </w:p>
        </w:tc>
      </w:tr>
      <w:tr w:rsidR="007F7999" w14:paraId="362830C4" w14:textId="77777777" w:rsidTr="00EF6578">
        <w:tc>
          <w:tcPr>
            <w:tcW w:w="2302" w:type="pct"/>
            <w:vMerge w:val="restart"/>
            <w:tcBorders>
              <w:top w:val="single" w:sz="2" w:space="0" w:color="808080" w:themeColor="background1" w:themeShade="80"/>
            </w:tcBorders>
            <w:vAlign w:val="center"/>
          </w:tcPr>
          <w:p w14:paraId="4D46848C" w14:textId="77777777" w:rsidR="007F7999" w:rsidRPr="001F67CF" w:rsidRDefault="007F7999" w:rsidP="00EF6578">
            <w:pPr>
              <w:pStyle w:val="Tabletext"/>
            </w:pPr>
            <w:r w:rsidRPr="001F67CF">
              <w:t>Female</w:t>
            </w:r>
          </w:p>
        </w:tc>
        <w:tc>
          <w:tcPr>
            <w:tcW w:w="2698" w:type="pct"/>
            <w:tcBorders>
              <w:top w:val="single" w:sz="2" w:space="0" w:color="808080" w:themeColor="background1" w:themeShade="80"/>
            </w:tcBorders>
            <w:vAlign w:val="center"/>
          </w:tcPr>
          <w:p w14:paraId="2557D8E3" w14:textId="77777777" w:rsidR="007F7999" w:rsidRPr="006D013D" w:rsidRDefault="007F7999" w:rsidP="007F7999">
            <w:pPr>
              <w:pStyle w:val="Tabletext"/>
              <w:jc w:val="center"/>
            </w:pPr>
            <w:r w:rsidRPr="00B44CE3">
              <w:t>1.0</w:t>
            </w:r>
          </w:p>
        </w:tc>
      </w:tr>
      <w:tr w:rsidR="007F7999" w14:paraId="3E54E58A" w14:textId="77777777" w:rsidTr="00EF6578">
        <w:tc>
          <w:tcPr>
            <w:tcW w:w="2302" w:type="pct"/>
            <w:vMerge/>
            <w:tcBorders>
              <w:bottom w:val="single" w:sz="2" w:space="0" w:color="808080" w:themeColor="background1" w:themeShade="80"/>
            </w:tcBorders>
            <w:vAlign w:val="center"/>
          </w:tcPr>
          <w:p w14:paraId="3EE3A0CD" w14:textId="77777777" w:rsidR="007F7999" w:rsidRPr="001F67CF" w:rsidRDefault="007F7999" w:rsidP="00EF6578">
            <w:pPr>
              <w:pStyle w:val="Tabletext"/>
            </w:pPr>
          </w:p>
        </w:tc>
        <w:tc>
          <w:tcPr>
            <w:tcW w:w="2698" w:type="pct"/>
            <w:tcBorders>
              <w:bottom w:val="single" w:sz="2" w:space="0" w:color="808080" w:themeColor="background1" w:themeShade="80"/>
            </w:tcBorders>
          </w:tcPr>
          <w:p w14:paraId="3D9CAAE5" w14:textId="77777777" w:rsidR="007F7999" w:rsidRPr="006D013D" w:rsidRDefault="007F7999" w:rsidP="007F7999">
            <w:pPr>
              <w:pStyle w:val="Tabletext"/>
              <w:jc w:val="center"/>
            </w:pPr>
            <w:r w:rsidRPr="00B44CE3">
              <w:t>(0.</w:t>
            </w:r>
            <w:r w:rsidRPr="00D25B24">
              <w:t>04</w:t>
            </w:r>
            <w:r w:rsidRPr="00B44CE3">
              <w:t>)</w:t>
            </w:r>
          </w:p>
        </w:tc>
      </w:tr>
      <w:tr w:rsidR="007F7999" w14:paraId="5ACCC87A" w14:textId="77777777" w:rsidTr="00EF6578">
        <w:tc>
          <w:tcPr>
            <w:tcW w:w="2302" w:type="pct"/>
            <w:vMerge w:val="restart"/>
            <w:tcBorders>
              <w:top w:val="single" w:sz="2" w:space="0" w:color="808080" w:themeColor="background1" w:themeShade="80"/>
            </w:tcBorders>
            <w:vAlign w:val="center"/>
          </w:tcPr>
          <w:p w14:paraId="59F6AA82" w14:textId="77777777" w:rsidR="007F7999" w:rsidRPr="001F67CF" w:rsidRDefault="007F7999" w:rsidP="00EF6578">
            <w:pPr>
              <w:pStyle w:val="Tabletext"/>
            </w:pPr>
            <w:r w:rsidRPr="001F67CF">
              <w:t>Other</w:t>
            </w:r>
          </w:p>
        </w:tc>
        <w:tc>
          <w:tcPr>
            <w:tcW w:w="2698" w:type="pct"/>
            <w:tcBorders>
              <w:top w:val="single" w:sz="2" w:space="0" w:color="808080" w:themeColor="background1" w:themeShade="80"/>
            </w:tcBorders>
          </w:tcPr>
          <w:p w14:paraId="66F83316" w14:textId="77777777" w:rsidR="007F7999" w:rsidRPr="006D013D" w:rsidRDefault="007F7999" w:rsidP="007F7999">
            <w:pPr>
              <w:pStyle w:val="Tabletext"/>
              <w:jc w:val="center"/>
            </w:pPr>
            <w:r w:rsidRPr="00B44CE3">
              <w:t>1.1</w:t>
            </w:r>
          </w:p>
        </w:tc>
      </w:tr>
      <w:tr w:rsidR="007F7999" w14:paraId="33C19EBB" w14:textId="77777777" w:rsidTr="00EF6578">
        <w:tc>
          <w:tcPr>
            <w:tcW w:w="2302" w:type="pct"/>
            <w:vMerge/>
            <w:tcBorders>
              <w:bottom w:val="single" w:sz="2" w:space="0" w:color="808080" w:themeColor="background1" w:themeShade="80"/>
            </w:tcBorders>
            <w:vAlign w:val="center"/>
          </w:tcPr>
          <w:p w14:paraId="7D33E953" w14:textId="77777777" w:rsidR="007F7999" w:rsidRPr="001F67CF" w:rsidRDefault="007F7999" w:rsidP="00EF6578">
            <w:pPr>
              <w:pStyle w:val="Tabletext"/>
            </w:pPr>
          </w:p>
        </w:tc>
        <w:tc>
          <w:tcPr>
            <w:tcW w:w="2698" w:type="pct"/>
            <w:tcBorders>
              <w:bottom w:val="single" w:sz="2" w:space="0" w:color="808080" w:themeColor="background1" w:themeShade="80"/>
            </w:tcBorders>
          </w:tcPr>
          <w:p w14:paraId="4B8B22C4" w14:textId="77777777" w:rsidR="007F7999" w:rsidRPr="006D013D" w:rsidRDefault="007F7999" w:rsidP="007F7999">
            <w:pPr>
              <w:pStyle w:val="Tabletext"/>
              <w:jc w:val="center"/>
            </w:pPr>
            <w:r w:rsidRPr="00B44CE3">
              <w:t>(0.</w:t>
            </w:r>
            <w:r w:rsidRPr="00D25B24">
              <w:t>18</w:t>
            </w:r>
            <w:r w:rsidRPr="00B44CE3">
              <w:t>)</w:t>
            </w:r>
          </w:p>
        </w:tc>
      </w:tr>
      <w:tr w:rsidR="00DE7B09" w14:paraId="4C679272" w14:textId="77777777" w:rsidTr="00EF6578">
        <w:tc>
          <w:tcPr>
            <w:tcW w:w="2302" w:type="pct"/>
            <w:tcBorders>
              <w:top w:val="single" w:sz="2" w:space="0" w:color="808080" w:themeColor="background1" w:themeShade="80"/>
            </w:tcBorders>
            <w:vAlign w:val="center"/>
          </w:tcPr>
          <w:p w14:paraId="25F34A7F" w14:textId="77777777" w:rsidR="00DE7B09" w:rsidRPr="001F67CF" w:rsidRDefault="00DE7B09" w:rsidP="00EF6578">
            <w:pPr>
              <w:pStyle w:val="Tabletext"/>
            </w:pPr>
            <w:r w:rsidRPr="001F67CF">
              <w:t xml:space="preserve">Aboriginal and Torres </w:t>
            </w:r>
          </w:p>
        </w:tc>
        <w:tc>
          <w:tcPr>
            <w:tcW w:w="2698" w:type="pct"/>
            <w:tcBorders>
              <w:top w:val="single" w:sz="2" w:space="0" w:color="808080" w:themeColor="background1" w:themeShade="80"/>
            </w:tcBorders>
          </w:tcPr>
          <w:p w14:paraId="017DA675" w14:textId="77777777" w:rsidR="00DE7B09" w:rsidRPr="006D013D" w:rsidRDefault="00DE7B09" w:rsidP="007F7999">
            <w:pPr>
              <w:pStyle w:val="Tabletext"/>
              <w:jc w:val="center"/>
            </w:pPr>
            <w:r w:rsidRPr="007C2C02">
              <w:t>1.0</w:t>
            </w:r>
          </w:p>
        </w:tc>
      </w:tr>
      <w:tr w:rsidR="00DE7B09" w14:paraId="2C4738A1" w14:textId="77777777" w:rsidTr="00EF6578">
        <w:tc>
          <w:tcPr>
            <w:tcW w:w="2302" w:type="pct"/>
            <w:tcBorders>
              <w:bottom w:val="single" w:sz="2" w:space="0" w:color="808080" w:themeColor="background1" w:themeShade="80"/>
            </w:tcBorders>
            <w:vAlign w:val="center"/>
          </w:tcPr>
          <w:p w14:paraId="3C6A053E" w14:textId="39EFFC97" w:rsidR="00DE7B09" w:rsidRPr="001F67CF" w:rsidRDefault="00DE7B09" w:rsidP="00EF6578">
            <w:pPr>
              <w:pStyle w:val="Tabletext"/>
            </w:pPr>
            <w:r w:rsidRPr="001F67CF">
              <w:t xml:space="preserve">Strait Islander </w:t>
            </w:r>
            <w:r w:rsidR="00292991">
              <w:t xml:space="preserve">cohort </w:t>
            </w:r>
            <w:r w:rsidRPr="001F67CF">
              <w:t>status</w:t>
            </w:r>
          </w:p>
        </w:tc>
        <w:tc>
          <w:tcPr>
            <w:tcW w:w="2698" w:type="pct"/>
            <w:tcBorders>
              <w:bottom w:val="single" w:sz="2" w:space="0" w:color="808080" w:themeColor="background1" w:themeShade="80"/>
            </w:tcBorders>
          </w:tcPr>
          <w:p w14:paraId="4A57FB0F" w14:textId="77777777" w:rsidR="00DE7B09" w:rsidRPr="006D013D" w:rsidRDefault="00DE7B09" w:rsidP="007F7999">
            <w:pPr>
              <w:pStyle w:val="Tabletext"/>
              <w:jc w:val="center"/>
            </w:pPr>
            <w:r w:rsidRPr="00C47F9F">
              <w:t>(0.0</w:t>
            </w:r>
            <w:r>
              <w:t>5</w:t>
            </w:r>
            <w:r w:rsidRPr="00C47F9F">
              <w:t>)</w:t>
            </w:r>
          </w:p>
        </w:tc>
      </w:tr>
      <w:tr w:rsidR="007F7999" w14:paraId="3FBBFAAB" w14:textId="77777777" w:rsidTr="00EF6578">
        <w:tc>
          <w:tcPr>
            <w:tcW w:w="2302" w:type="pct"/>
            <w:vMerge w:val="restart"/>
            <w:tcBorders>
              <w:top w:val="single" w:sz="2" w:space="0" w:color="808080" w:themeColor="background1" w:themeShade="80"/>
            </w:tcBorders>
            <w:vAlign w:val="center"/>
          </w:tcPr>
          <w:p w14:paraId="43544B95" w14:textId="67A39DC2" w:rsidR="007F7999" w:rsidRPr="001F67CF" w:rsidRDefault="007F7999" w:rsidP="00EF6578">
            <w:pPr>
              <w:pStyle w:val="Tabletext"/>
            </w:pPr>
            <w:r w:rsidRPr="001F67CF">
              <w:t xml:space="preserve">LGBTQIA+ </w:t>
            </w:r>
            <w:r>
              <w:t xml:space="preserve">cohort </w:t>
            </w:r>
            <w:r w:rsidRPr="001F67CF">
              <w:t>status</w:t>
            </w:r>
          </w:p>
        </w:tc>
        <w:tc>
          <w:tcPr>
            <w:tcW w:w="2698" w:type="pct"/>
            <w:tcBorders>
              <w:top w:val="single" w:sz="2" w:space="0" w:color="808080" w:themeColor="background1" w:themeShade="80"/>
            </w:tcBorders>
          </w:tcPr>
          <w:p w14:paraId="13E47DD4" w14:textId="77777777" w:rsidR="007F7999" w:rsidRPr="00C47F9F" w:rsidRDefault="007F7999" w:rsidP="007F7999">
            <w:pPr>
              <w:pStyle w:val="Tabletext"/>
              <w:jc w:val="center"/>
            </w:pPr>
            <w:r w:rsidRPr="001A532B">
              <w:t>1.</w:t>
            </w:r>
            <w:r w:rsidRPr="007C2C02">
              <w:t>0</w:t>
            </w:r>
          </w:p>
        </w:tc>
      </w:tr>
      <w:tr w:rsidR="007F7999" w14:paraId="74065730" w14:textId="77777777" w:rsidTr="00EF6578">
        <w:tc>
          <w:tcPr>
            <w:tcW w:w="2302" w:type="pct"/>
            <w:vMerge/>
            <w:tcBorders>
              <w:bottom w:val="single" w:sz="2" w:space="0" w:color="808080" w:themeColor="background1" w:themeShade="80"/>
            </w:tcBorders>
            <w:vAlign w:val="center"/>
          </w:tcPr>
          <w:p w14:paraId="298C44FE" w14:textId="77777777" w:rsidR="007F7999" w:rsidRPr="001F67CF" w:rsidRDefault="007F7999" w:rsidP="00EF6578">
            <w:pPr>
              <w:pStyle w:val="Tabletext"/>
            </w:pPr>
          </w:p>
        </w:tc>
        <w:tc>
          <w:tcPr>
            <w:tcW w:w="2698" w:type="pct"/>
            <w:tcBorders>
              <w:bottom w:val="single" w:sz="2" w:space="0" w:color="808080" w:themeColor="background1" w:themeShade="80"/>
            </w:tcBorders>
          </w:tcPr>
          <w:p w14:paraId="053F9A12" w14:textId="77777777" w:rsidR="007F7999" w:rsidRPr="00C47F9F" w:rsidRDefault="007F7999" w:rsidP="007F7999">
            <w:pPr>
              <w:pStyle w:val="Tabletext"/>
              <w:jc w:val="center"/>
            </w:pPr>
            <w:r w:rsidRPr="001A532B">
              <w:t>(0.</w:t>
            </w:r>
            <w:r w:rsidRPr="007C2C02">
              <w:t>05</w:t>
            </w:r>
            <w:r w:rsidRPr="001A532B">
              <w:t>)</w:t>
            </w:r>
          </w:p>
        </w:tc>
      </w:tr>
      <w:tr w:rsidR="007F7999" w14:paraId="26178152" w14:textId="77777777" w:rsidTr="00EF6578">
        <w:tc>
          <w:tcPr>
            <w:tcW w:w="2302" w:type="pct"/>
            <w:vMerge w:val="restart"/>
            <w:tcBorders>
              <w:top w:val="single" w:sz="2" w:space="0" w:color="808080" w:themeColor="background1" w:themeShade="80"/>
            </w:tcBorders>
            <w:vAlign w:val="center"/>
          </w:tcPr>
          <w:p w14:paraId="324BC48C" w14:textId="3D0029F0" w:rsidR="007F7999" w:rsidRPr="001F67CF" w:rsidRDefault="007F7999" w:rsidP="00EF6578">
            <w:pPr>
              <w:pStyle w:val="Tabletext"/>
            </w:pPr>
            <w:r>
              <w:t>Culturally and linguistically diverse</w:t>
            </w:r>
            <w:r w:rsidRPr="001F67CF">
              <w:t xml:space="preserve"> </w:t>
            </w:r>
            <w:r>
              <w:t xml:space="preserve">cohort </w:t>
            </w:r>
            <w:r w:rsidRPr="001F67CF">
              <w:t>status</w:t>
            </w:r>
          </w:p>
        </w:tc>
        <w:tc>
          <w:tcPr>
            <w:tcW w:w="2698" w:type="pct"/>
            <w:tcBorders>
              <w:top w:val="single" w:sz="2" w:space="0" w:color="808080" w:themeColor="background1" w:themeShade="80"/>
            </w:tcBorders>
          </w:tcPr>
          <w:p w14:paraId="1FC00F4B" w14:textId="77777777" w:rsidR="007F7999" w:rsidRPr="00C47F9F" w:rsidRDefault="007F7999" w:rsidP="007F7999">
            <w:pPr>
              <w:pStyle w:val="Tabletext"/>
              <w:jc w:val="center"/>
            </w:pPr>
            <w:r w:rsidRPr="001A532B">
              <w:t>1.0</w:t>
            </w:r>
          </w:p>
        </w:tc>
      </w:tr>
      <w:tr w:rsidR="007F7999" w14:paraId="4EC5764E" w14:textId="77777777" w:rsidTr="00135B02">
        <w:tc>
          <w:tcPr>
            <w:tcW w:w="2302" w:type="pct"/>
            <w:vMerge/>
            <w:tcBorders>
              <w:bottom w:val="single" w:sz="2" w:space="0" w:color="808080" w:themeColor="background1" w:themeShade="80"/>
            </w:tcBorders>
          </w:tcPr>
          <w:p w14:paraId="6EC8EECB" w14:textId="77777777" w:rsidR="007F7999" w:rsidRPr="001F67CF" w:rsidRDefault="007F7999" w:rsidP="007F7999">
            <w:pPr>
              <w:pStyle w:val="Tabletext"/>
            </w:pPr>
          </w:p>
        </w:tc>
        <w:tc>
          <w:tcPr>
            <w:tcW w:w="2698" w:type="pct"/>
            <w:tcBorders>
              <w:bottom w:val="single" w:sz="2" w:space="0" w:color="808080" w:themeColor="background1" w:themeShade="80"/>
            </w:tcBorders>
          </w:tcPr>
          <w:p w14:paraId="2D7DD0F1" w14:textId="77777777" w:rsidR="007F7999" w:rsidRPr="00C47F9F" w:rsidRDefault="007F7999" w:rsidP="007F7999">
            <w:pPr>
              <w:pStyle w:val="Tabletext"/>
              <w:jc w:val="center"/>
            </w:pPr>
            <w:r w:rsidRPr="001A532B">
              <w:t>(0.</w:t>
            </w:r>
            <w:r w:rsidRPr="007C2C02">
              <w:t>07</w:t>
            </w:r>
            <w:r w:rsidRPr="001A532B">
              <w:t>)</w:t>
            </w:r>
          </w:p>
        </w:tc>
      </w:tr>
      <w:tr w:rsidR="00DE7B09" w14:paraId="44C65F51" w14:textId="77777777" w:rsidTr="00135B02">
        <w:tc>
          <w:tcPr>
            <w:tcW w:w="5000" w:type="pct"/>
            <w:gridSpan w:val="2"/>
            <w:tcBorders>
              <w:top w:val="single" w:sz="2" w:space="0" w:color="808080" w:themeColor="background1" w:themeShade="80"/>
              <w:bottom w:val="single" w:sz="2" w:space="0" w:color="808080" w:themeColor="background1" w:themeShade="80"/>
            </w:tcBorders>
          </w:tcPr>
          <w:p w14:paraId="0858767D" w14:textId="77777777" w:rsidR="00DE7B09" w:rsidRPr="006D013D" w:rsidRDefault="00DE7B09" w:rsidP="007F7999">
            <w:pPr>
              <w:pStyle w:val="Tabletext"/>
              <w:rPr>
                <w:rFonts w:cs="Calibri"/>
                <w:color w:val="000000"/>
              </w:rPr>
            </w:pPr>
            <w:r w:rsidRPr="006D013D">
              <w:rPr>
                <w:b/>
                <w:bCs/>
              </w:rPr>
              <w:t>Rurality (ref = Major cities)</w:t>
            </w:r>
          </w:p>
        </w:tc>
      </w:tr>
      <w:tr w:rsidR="007F7999" w14:paraId="488C25EA" w14:textId="77777777" w:rsidTr="00EF6578">
        <w:tc>
          <w:tcPr>
            <w:tcW w:w="2302" w:type="pct"/>
            <w:vMerge w:val="restart"/>
            <w:tcBorders>
              <w:top w:val="single" w:sz="2" w:space="0" w:color="808080" w:themeColor="background1" w:themeShade="80"/>
            </w:tcBorders>
            <w:vAlign w:val="center"/>
          </w:tcPr>
          <w:p w14:paraId="09439254" w14:textId="77777777" w:rsidR="007F7999" w:rsidRPr="001F67CF" w:rsidRDefault="007F7999" w:rsidP="00EF6578">
            <w:pPr>
              <w:pStyle w:val="Tabletext"/>
            </w:pPr>
            <w:r>
              <w:t>Inner regional</w:t>
            </w:r>
          </w:p>
        </w:tc>
        <w:tc>
          <w:tcPr>
            <w:tcW w:w="2698" w:type="pct"/>
            <w:tcBorders>
              <w:top w:val="single" w:sz="2" w:space="0" w:color="808080" w:themeColor="background1" w:themeShade="80"/>
            </w:tcBorders>
            <w:vAlign w:val="center"/>
          </w:tcPr>
          <w:p w14:paraId="00514336" w14:textId="77777777" w:rsidR="007F7999" w:rsidRPr="006D013D" w:rsidRDefault="007F7999" w:rsidP="007F7999">
            <w:pPr>
              <w:pStyle w:val="Tabletext"/>
              <w:jc w:val="center"/>
              <w:rPr>
                <w:rFonts w:cs="Calibri"/>
                <w:color w:val="000000"/>
              </w:rPr>
            </w:pPr>
            <w:r w:rsidRPr="002E4600">
              <w:t>0.</w:t>
            </w:r>
            <w:r w:rsidRPr="00BD27F5">
              <w:t>8*</w:t>
            </w:r>
          </w:p>
        </w:tc>
      </w:tr>
      <w:tr w:rsidR="007F7999" w14:paraId="1FB08795" w14:textId="77777777" w:rsidTr="00EF6578">
        <w:tc>
          <w:tcPr>
            <w:tcW w:w="2302" w:type="pct"/>
            <w:vMerge/>
            <w:tcBorders>
              <w:bottom w:val="single" w:sz="2" w:space="0" w:color="808080" w:themeColor="background1" w:themeShade="80"/>
            </w:tcBorders>
            <w:vAlign w:val="center"/>
          </w:tcPr>
          <w:p w14:paraId="43975DCC" w14:textId="77777777" w:rsidR="007F7999" w:rsidRDefault="007F7999" w:rsidP="00EF6578">
            <w:pPr>
              <w:pStyle w:val="Tabletext"/>
            </w:pPr>
          </w:p>
        </w:tc>
        <w:tc>
          <w:tcPr>
            <w:tcW w:w="2698" w:type="pct"/>
            <w:tcBorders>
              <w:bottom w:val="single" w:sz="2" w:space="0" w:color="808080" w:themeColor="background1" w:themeShade="80"/>
            </w:tcBorders>
            <w:vAlign w:val="center"/>
          </w:tcPr>
          <w:p w14:paraId="20F63088" w14:textId="77777777" w:rsidR="007F7999" w:rsidRPr="006D013D" w:rsidRDefault="007F7999" w:rsidP="007F7999">
            <w:pPr>
              <w:pStyle w:val="Tabletext"/>
              <w:jc w:val="center"/>
              <w:rPr>
                <w:rFonts w:cs="Calibri"/>
                <w:color w:val="000000"/>
              </w:rPr>
            </w:pPr>
            <w:r w:rsidRPr="002E4600">
              <w:t>(0.</w:t>
            </w:r>
            <w:r w:rsidRPr="00BD27F5">
              <w:t>08</w:t>
            </w:r>
            <w:r w:rsidRPr="002E4600">
              <w:t>)</w:t>
            </w:r>
          </w:p>
        </w:tc>
      </w:tr>
      <w:tr w:rsidR="007F7999" w14:paraId="7171AB50" w14:textId="77777777" w:rsidTr="00EF6578">
        <w:tc>
          <w:tcPr>
            <w:tcW w:w="2302" w:type="pct"/>
            <w:vMerge w:val="restart"/>
            <w:tcBorders>
              <w:top w:val="single" w:sz="2" w:space="0" w:color="808080" w:themeColor="background1" w:themeShade="80"/>
            </w:tcBorders>
            <w:vAlign w:val="center"/>
          </w:tcPr>
          <w:p w14:paraId="524E1F1E" w14:textId="77777777" w:rsidR="007F7999" w:rsidRPr="001F67CF" w:rsidRDefault="007F7999" w:rsidP="00EF6578">
            <w:pPr>
              <w:pStyle w:val="Tabletext"/>
            </w:pPr>
            <w:r>
              <w:t>Outer regional</w:t>
            </w:r>
          </w:p>
        </w:tc>
        <w:tc>
          <w:tcPr>
            <w:tcW w:w="2698" w:type="pct"/>
            <w:tcBorders>
              <w:top w:val="single" w:sz="2" w:space="0" w:color="808080" w:themeColor="background1" w:themeShade="80"/>
            </w:tcBorders>
            <w:vAlign w:val="center"/>
          </w:tcPr>
          <w:p w14:paraId="1A0CA063" w14:textId="77777777" w:rsidR="007F7999" w:rsidRPr="006D013D" w:rsidRDefault="007F7999" w:rsidP="007F7999">
            <w:pPr>
              <w:pStyle w:val="Tabletext"/>
              <w:jc w:val="center"/>
              <w:rPr>
                <w:rFonts w:cs="Calibri"/>
                <w:color w:val="000000"/>
              </w:rPr>
            </w:pPr>
            <w:r w:rsidRPr="002E4600">
              <w:t>0.8</w:t>
            </w:r>
            <w:r>
              <w:t>**</w:t>
            </w:r>
          </w:p>
        </w:tc>
      </w:tr>
      <w:tr w:rsidR="007F7999" w14:paraId="205F87C0" w14:textId="77777777" w:rsidTr="00EF6578">
        <w:tc>
          <w:tcPr>
            <w:tcW w:w="2302" w:type="pct"/>
            <w:vMerge/>
            <w:tcBorders>
              <w:bottom w:val="single" w:sz="2" w:space="0" w:color="808080" w:themeColor="background1" w:themeShade="80"/>
            </w:tcBorders>
            <w:vAlign w:val="center"/>
          </w:tcPr>
          <w:p w14:paraId="30C6027E" w14:textId="77777777" w:rsidR="007F7999" w:rsidRDefault="007F7999" w:rsidP="00EF6578">
            <w:pPr>
              <w:pStyle w:val="Tabletext"/>
            </w:pPr>
          </w:p>
        </w:tc>
        <w:tc>
          <w:tcPr>
            <w:tcW w:w="2698" w:type="pct"/>
            <w:tcBorders>
              <w:bottom w:val="single" w:sz="2" w:space="0" w:color="808080" w:themeColor="background1" w:themeShade="80"/>
            </w:tcBorders>
            <w:vAlign w:val="center"/>
          </w:tcPr>
          <w:p w14:paraId="375A5AF0" w14:textId="77777777" w:rsidR="007F7999" w:rsidRPr="006D013D" w:rsidRDefault="007F7999" w:rsidP="007F7999">
            <w:pPr>
              <w:pStyle w:val="Tabletext"/>
              <w:jc w:val="center"/>
              <w:rPr>
                <w:rFonts w:cs="Calibri"/>
                <w:color w:val="000000"/>
              </w:rPr>
            </w:pPr>
            <w:r w:rsidRPr="002E4600">
              <w:t>(0.</w:t>
            </w:r>
            <w:r w:rsidRPr="00BD27F5">
              <w:t>09</w:t>
            </w:r>
            <w:r w:rsidRPr="002E4600">
              <w:t>)</w:t>
            </w:r>
          </w:p>
        </w:tc>
      </w:tr>
      <w:tr w:rsidR="007F7999" w14:paraId="38F4FF83" w14:textId="77777777" w:rsidTr="00EF6578">
        <w:tc>
          <w:tcPr>
            <w:tcW w:w="2302" w:type="pct"/>
            <w:vMerge w:val="restart"/>
            <w:tcBorders>
              <w:top w:val="single" w:sz="2" w:space="0" w:color="808080" w:themeColor="background1" w:themeShade="80"/>
            </w:tcBorders>
            <w:vAlign w:val="center"/>
          </w:tcPr>
          <w:p w14:paraId="0BE78D12" w14:textId="77777777" w:rsidR="007F7999" w:rsidRPr="001F67CF" w:rsidRDefault="007F7999" w:rsidP="00EF6578">
            <w:pPr>
              <w:pStyle w:val="Tabletext"/>
            </w:pPr>
            <w:r>
              <w:t>Remote or very remote</w:t>
            </w:r>
          </w:p>
        </w:tc>
        <w:tc>
          <w:tcPr>
            <w:tcW w:w="2698" w:type="pct"/>
            <w:tcBorders>
              <w:top w:val="single" w:sz="2" w:space="0" w:color="808080" w:themeColor="background1" w:themeShade="80"/>
            </w:tcBorders>
            <w:vAlign w:val="center"/>
          </w:tcPr>
          <w:p w14:paraId="4D1BA77B" w14:textId="77777777" w:rsidR="007F7999" w:rsidRPr="006D013D" w:rsidRDefault="007F7999" w:rsidP="007F7999">
            <w:pPr>
              <w:pStyle w:val="Tabletext"/>
              <w:jc w:val="center"/>
              <w:rPr>
                <w:rFonts w:cs="Calibri"/>
                <w:color w:val="000000"/>
              </w:rPr>
            </w:pPr>
            <w:r w:rsidRPr="00BD27F5">
              <w:t>1.1</w:t>
            </w:r>
          </w:p>
        </w:tc>
      </w:tr>
      <w:tr w:rsidR="007F7999" w14:paraId="605ACDA9" w14:textId="77777777" w:rsidTr="007F7999">
        <w:tc>
          <w:tcPr>
            <w:tcW w:w="2302" w:type="pct"/>
            <w:vMerge/>
            <w:tcBorders>
              <w:bottom w:val="single" w:sz="2" w:space="0" w:color="808080" w:themeColor="background1" w:themeShade="80"/>
            </w:tcBorders>
          </w:tcPr>
          <w:p w14:paraId="29FB18A9" w14:textId="77777777" w:rsidR="007F7999" w:rsidRDefault="007F7999" w:rsidP="007F7999">
            <w:pPr>
              <w:pStyle w:val="Tabletext"/>
            </w:pPr>
          </w:p>
        </w:tc>
        <w:tc>
          <w:tcPr>
            <w:tcW w:w="2698" w:type="pct"/>
            <w:tcBorders>
              <w:bottom w:val="single" w:sz="2" w:space="0" w:color="808080" w:themeColor="background1" w:themeShade="80"/>
            </w:tcBorders>
            <w:vAlign w:val="center"/>
          </w:tcPr>
          <w:p w14:paraId="20EDDD98" w14:textId="77777777" w:rsidR="007F7999" w:rsidRPr="006D013D" w:rsidRDefault="007F7999" w:rsidP="007F7999">
            <w:pPr>
              <w:pStyle w:val="Tabletext"/>
              <w:jc w:val="center"/>
              <w:rPr>
                <w:rFonts w:cs="Calibri"/>
                <w:color w:val="000000"/>
              </w:rPr>
            </w:pPr>
            <w:r w:rsidRPr="002E4600">
              <w:t>(0.</w:t>
            </w:r>
            <w:r w:rsidRPr="00BD27F5">
              <w:t>40</w:t>
            </w:r>
            <w:r w:rsidRPr="002E4600">
              <w:t>)</w:t>
            </w:r>
          </w:p>
        </w:tc>
      </w:tr>
      <w:tr w:rsidR="00DE7B09" w14:paraId="45F5A117" w14:textId="77777777" w:rsidTr="00135B02">
        <w:tc>
          <w:tcPr>
            <w:tcW w:w="5000" w:type="pct"/>
            <w:gridSpan w:val="2"/>
            <w:tcBorders>
              <w:top w:val="single" w:sz="2" w:space="0" w:color="808080" w:themeColor="background1" w:themeShade="80"/>
              <w:bottom w:val="single" w:sz="4" w:space="0" w:color="7F7F7F" w:themeColor="text1" w:themeTint="80"/>
            </w:tcBorders>
          </w:tcPr>
          <w:p w14:paraId="1690A423" w14:textId="77777777" w:rsidR="00DE7B09" w:rsidRPr="006D013D" w:rsidRDefault="00DE7B09" w:rsidP="007F7999">
            <w:pPr>
              <w:pStyle w:val="Tabletext"/>
            </w:pPr>
            <w:r w:rsidRPr="006D013D">
              <w:rPr>
                <w:b/>
                <w:bCs/>
              </w:rPr>
              <w:t>Initial distress categories (ref = Low distress)</w:t>
            </w:r>
          </w:p>
        </w:tc>
      </w:tr>
      <w:tr w:rsidR="007F7999" w14:paraId="0B369B5B" w14:textId="77777777" w:rsidTr="007F7999">
        <w:tc>
          <w:tcPr>
            <w:tcW w:w="2302" w:type="pct"/>
            <w:vMerge w:val="restart"/>
            <w:tcBorders>
              <w:top w:val="single" w:sz="4" w:space="0" w:color="7F7F7F" w:themeColor="text1" w:themeTint="80"/>
            </w:tcBorders>
            <w:vAlign w:val="center"/>
          </w:tcPr>
          <w:p w14:paraId="7B31C90B" w14:textId="77777777" w:rsidR="007F7999" w:rsidRPr="007F7999" w:rsidRDefault="007F7999" w:rsidP="007F7999">
            <w:pPr>
              <w:pStyle w:val="Tabletext"/>
            </w:pPr>
            <w:r w:rsidRPr="007F7999">
              <w:t>Moderate distress</w:t>
            </w:r>
          </w:p>
        </w:tc>
        <w:tc>
          <w:tcPr>
            <w:tcW w:w="2698" w:type="pct"/>
            <w:tcBorders>
              <w:top w:val="single" w:sz="4" w:space="0" w:color="7F7F7F" w:themeColor="text1" w:themeTint="80"/>
            </w:tcBorders>
            <w:vAlign w:val="center"/>
          </w:tcPr>
          <w:p w14:paraId="3FFA9518" w14:textId="77777777" w:rsidR="007F7999" w:rsidRPr="006D013D" w:rsidRDefault="007F7999" w:rsidP="007F7999">
            <w:pPr>
              <w:pStyle w:val="Tabletext"/>
              <w:jc w:val="center"/>
            </w:pPr>
            <w:r w:rsidRPr="00B62B24">
              <w:t>1.</w:t>
            </w:r>
            <w:r w:rsidRPr="002F2595">
              <w:t>2*</w:t>
            </w:r>
          </w:p>
        </w:tc>
      </w:tr>
      <w:tr w:rsidR="007F7999" w14:paraId="5B636A7B" w14:textId="77777777" w:rsidTr="007F7999">
        <w:tc>
          <w:tcPr>
            <w:tcW w:w="2302" w:type="pct"/>
            <w:vMerge/>
            <w:tcBorders>
              <w:bottom w:val="single" w:sz="4" w:space="0" w:color="7F7F7F" w:themeColor="text1" w:themeTint="80"/>
            </w:tcBorders>
          </w:tcPr>
          <w:p w14:paraId="48F2992C" w14:textId="77777777" w:rsidR="007F7999" w:rsidRPr="007F7999" w:rsidRDefault="007F7999" w:rsidP="007F7999">
            <w:pPr>
              <w:pStyle w:val="Tabletext"/>
            </w:pPr>
          </w:p>
        </w:tc>
        <w:tc>
          <w:tcPr>
            <w:tcW w:w="2698" w:type="pct"/>
            <w:tcBorders>
              <w:bottom w:val="single" w:sz="2" w:space="0" w:color="808080" w:themeColor="background1" w:themeShade="80"/>
            </w:tcBorders>
            <w:vAlign w:val="center"/>
          </w:tcPr>
          <w:p w14:paraId="1DEAFFC8" w14:textId="77777777" w:rsidR="007F7999" w:rsidRPr="006D013D" w:rsidRDefault="007F7999" w:rsidP="007F7999">
            <w:pPr>
              <w:pStyle w:val="Tabletext"/>
              <w:jc w:val="center"/>
            </w:pPr>
            <w:r w:rsidRPr="008B67D1" w:rsidDel="00D80580">
              <w:t>(0.11)</w:t>
            </w:r>
          </w:p>
        </w:tc>
      </w:tr>
      <w:tr w:rsidR="007F7999" w14:paraId="39C4B146" w14:textId="77777777" w:rsidTr="007F7999">
        <w:tc>
          <w:tcPr>
            <w:tcW w:w="2302" w:type="pct"/>
            <w:vMerge w:val="restart"/>
            <w:tcBorders>
              <w:top w:val="single" w:sz="4" w:space="0" w:color="7F7F7F" w:themeColor="text1" w:themeTint="80"/>
            </w:tcBorders>
            <w:vAlign w:val="center"/>
          </w:tcPr>
          <w:p w14:paraId="0FF8CDD3" w14:textId="77777777" w:rsidR="007F7999" w:rsidRPr="007F7999" w:rsidRDefault="007F7999" w:rsidP="007F7999">
            <w:pPr>
              <w:pStyle w:val="Tabletext"/>
            </w:pPr>
            <w:r w:rsidRPr="007F7999">
              <w:t>High distress</w:t>
            </w:r>
          </w:p>
        </w:tc>
        <w:tc>
          <w:tcPr>
            <w:tcW w:w="2698" w:type="pct"/>
            <w:tcBorders>
              <w:top w:val="single" w:sz="2" w:space="0" w:color="808080" w:themeColor="background1" w:themeShade="80"/>
            </w:tcBorders>
            <w:vAlign w:val="center"/>
          </w:tcPr>
          <w:p w14:paraId="56FCC2A9" w14:textId="77777777" w:rsidR="007F7999" w:rsidRPr="006D013D" w:rsidRDefault="007F7999" w:rsidP="007F7999">
            <w:pPr>
              <w:pStyle w:val="Tabletext"/>
              <w:jc w:val="center"/>
            </w:pPr>
            <w:r w:rsidRPr="008B67D1" w:rsidDel="00D80580">
              <w:t>1.</w:t>
            </w:r>
            <w:r w:rsidRPr="002F2595">
              <w:t>6</w:t>
            </w:r>
            <w:r w:rsidRPr="008B67D1" w:rsidDel="00D80580">
              <w:t>**</w:t>
            </w:r>
          </w:p>
        </w:tc>
      </w:tr>
      <w:tr w:rsidR="007F7999" w14:paraId="7A115AF1" w14:textId="77777777" w:rsidTr="007F7999">
        <w:tc>
          <w:tcPr>
            <w:tcW w:w="2302" w:type="pct"/>
            <w:vMerge/>
            <w:tcBorders>
              <w:bottom w:val="single" w:sz="4" w:space="0" w:color="7F7F7F" w:themeColor="text1" w:themeTint="80"/>
            </w:tcBorders>
          </w:tcPr>
          <w:p w14:paraId="49D1A924" w14:textId="77777777" w:rsidR="007F7999" w:rsidRPr="007F7999" w:rsidRDefault="007F7999" w:rsidP="007F7999">
            <w:pPr>
              <w:pStyle w:val="Tabletext"/>
            </w:pPr>
          </w:p>
        </w:tc>
        <w:tc>
          <w:tcPr>
            <w:tcW w:w="2698" w:type="pct"/>
            <w:tcBorders>
              <w:bottom w:val="single" w:sz="2" w:space="0" w:color="808080" w:themeColor="background1" w:themeShade="80"/>
            </w:tcBorders>
            <w:vAlign w:val="center"/>
          </w:tcPr>
          <w:p w14:paraId="0B529456" w14:textId="77777777" w:rsidR="007F7999" w:rsidRPr="006D013D" w:rsidRDefault="007F7999" w:rsidP="007F7999">
            <w:pPr>
              <w:pStyle w:val="Tabletext"/>
              <w:jc w:val="center"/>
            </w:pPr>
            <w:r w:rsidRPr="008B67D1" w:rsidDel="00D80580">
              <w:t>(0.</w:t>
            </w:r>
            <w:r w:rsidRPr="002F2595">
              <w:t>15</w:t>
            </w:r>
            <w:r w:rsidRPr="008B67D1" w:rsidDel="00D80580">
              <w:t>)</w:t>
            </w:r>
          </w:p>
        </w:tc>
      </w:tr>
      <w:tr w:rsidR="007F7999" w14:paraId="36F391AC" w14:textId="77777777" w:rsidTr="007F7999">
        <w:tc>
          <w:tcPr>
            <w:tcW w:w="2302" w:type="pct"/>
            <w:vMerge w:val="restart"/>
            <w:tcBorders>
              <w:top w:val="single" w:sz="4" w:space="0" w:color="7F7F7F" w:themeColor="text1" w:themeTint="80"/>
            </w:tcBorders>
            <w:vAlign w:val="center"/>
          </w:tcPr>
          <w:p w14:paraId="06DAB622" w14:textId="77777777" w:rsidR="007F7999" w:rsidRPr="007F7999" w:rsidRDefault="007F7999" w:rsidP="007F7999">
            <w:pPr>
              <w:pStyle w:val="Tabletext"/>
            </w:pPr>
            <w:r w:rsidRPr="007F7999">
              <w:t>Very high distress</w:t>
            </w:r>
          </w:p>
        </w:tc>
        <w:tc>
          <w:tcPr>
            <w:tcW w:w="2698" w:type="pct"/>
            <w:tcBorders>
              <w:top w:val="single" w:sz="2" w:space="0" w:color="808080" w:themeColor="background1" w:themeShade="80"/>
            </w:tcBorders>
            <w:vAlign w:val="center"/>
          </w:tcPr>
          <w:p w14:paraId="0F89DD18" w14:textId="77777777" w:rsidR="007F7999" w:rsidRPr="006D013D" w:rsidRDefault="007F7999" w:rsidP="007F7999">
            <w:pPr>
              <w:pStyle w:val="Tabletext"/>
              <w:jc w:val="center"/>
            </w:pPr>
            <w:r w:rsidRPr="002F2595">
              <w:t>1.8</w:t>
            </w:r>
            <w:r w:rsidRPr="00B62B24">
              <w:t>**</w:t>
            </w:r>
          </w:p>
        </w:tc>
      </w:tr>
      <w:tr w:rsidR="007F7999" w14:paraId="6AB17C0B" w14:textId="77777777" w:rsidTr="007F7999">
        <w:tc>
          <w:tcPr>
            <w:tcW w:w="2302" w:type="pct"/>
            <w:vMerge/>
            <w:tcBorders>
              <w:bottom w:val="single" w:sz="4" w:space="0" w:color="7F7F7F" w:themeColor="text1" w:themeTint="80"/>
            </w:tcBorders>
          </w:tcPr>
          <w:p w14:paraId="392856EA" w14:textId="77777777" w:rsidR="007F7999" w:rsidRPr="001F67CF" w:rsidRDefault="007F7999" w:rsidP="007F7999">
            <w:pPr>
              <w:pStyle w:val="Tabletext"/>
              <w:rPr>
                <w:b/>
              </w:rPr>
            </w:pPr>
          </w:p>
        </w:tc>
        <w:tc>
          <w:tcPr>
            <w:tcW w:w="2698" w:type="pct"/>
            <w:tcBorders>
              <w:bottom w:val="single" w:sz="4" w:space="0" w:color="7F7F7F" w:themeColor="text1" w:themeTint="80"/>
            </w:tcBorders>
            <w:vAlign w:val="center"/>
          </w:tcPr>
          <w:p w14:paraId="5B9B2A45" w14:textId="77777777" w:rsidR="007F7999" w:rsidRPr="006D013D" w:rsidRDefault="007F7999" w:rsidP="007F7999">
            <w:pPr>
              <w:pStyle w:val="Tabletext"/>
              <w:jc w:val="center"/>
            </w:pPr>
            <w:r w:rsidRPr="00B62B24">
              <w:t>(0.</w:t>
            </w:r>
            <w:r w:rsidRPr="002F2595">
              <w:t>16</w:t>
            </w:r>
            <w:r w:rsidRPr="008B67D1" w:rsidDel="00D80580">
              <w:t>)</w:t>
            </w:r>
          </w:p>
        </w:tc>
      </w:tr>
      <w:tr w:rsidR="00DE7B09" w14:paraId="6DA383B0" w14:textId="77777777" w:rsidTr="00135B02">
        <w:tc>
          <w:tcPr>
            <w:tcW w:w="5000" w:type="pct"/>
            <w:gridSpan w:val="2"/>
            <w:tcBorders>
              <w:top w:val="single" w:sz="2" w:space="0" w:color="808080" w:themeColor="background1" w:themeShade="80"/>
            </w:tcBorders>
          </w:tcPr>
          <w:p w14:paraId="35F0B02D" w14:textId="77777777" w:rsidR="00DE7B09" w:rsidRPr="000C77EA" w:rsidRDefault="00DE7B09" w:rsidP="007F7999">
            <w:pPr>
              <w:pStyle w:val="Tabletext"/>
              <w:rPr>
                <w:rFonts w:cs="Calibri"/>
                <w:b/>
                <w:bCs/>
                <w:color w:val="000000"/>
              </w:rPr>
            </w:pPr>
            <w:r w:rsidRPr="000C77EA">
              <w:rPr>
                <w:rFonts w:cs="Calibri"/>
                <w:b/>
                <w:bCs/>
                <w:color w:val="000000"/>
              </w:rPr>
              <w:t xml:space="preserve">Main services provided (ref = </w:t>
            </w:r>
            <w:r>
              <w:rPr>
                <w:rFonts w:cs="Calibri"/>
                <w:b/>
                <w:bCs/>
                <w:color w:val="000000"/>
              </w:rPr>
              <w:t>I</w:t>
            </w:r>
            <w:r w:rsidRPr="000C77EA">
              <w:rPr>
                <w:rFonts w:cs="Calibri"/>
                <w:b/>
                <w:bCs/>
                <w:color w:val="000000"/>
              </w:rPr>
              <w:t>ntake</w:t>
            </w:r>
            <w:r>
              <w:rPr>
                <w:rFonts w:cs="Calibri"/>
                <w:b/>
                <w:bCs/>
                <w:color w:val="000000"/>
              </w:rPr>
              <w:t>/</w:t>
            </w:r>
            <w:r w:rsidRPr="000C77EA">
              <w:rPr>
                <w:rFonts w:cs="Calibri"/>
                <w:b/>
                <w:bCs/>
                <w:color w:val="000000"/>
              </w:rPr>
              <w:t>assessment)</w:t>
            </w:r>
          </w:p>
        </w:tc>
      </w:tr>
      <w:tr w:rsidR="007F7999" w14:paraId="7677581C" w14:textId="77777777" w:rsidTr="007F7999">
        <w:tc>
          <w:tcPr>
            <w:tcW w:w="2302" w:type="pct"/>
            <w:vMerge w:val="restart"/>
            <w:tcBorders>
              <w:top w:val="single" w:sz="2" w:space="0" w:color="808080" w:themeColor="background1" w:themeShade="80"/>
            </w:tcBorders>
            <w:vAlign w:val="center"/>
          </w:tcPr>
          <w:p w14:paraId="34FFF2DF" w14:textId="77777777" w:rsidR="007F7999" w:rsidRPr="007F7999" w:rsidRDefault="007F7999" w:rsidP="007F7999">
            <w:pPr>
              <w:pStyle w:val="Tabletext"/>
            </w:pPr>
            <w:r w:rsidRPr="007F7999">
              <w:t>Non-MH services</w:t>
            </w:r>
          </w:p>
        </w:tc>
        <w:tc>
          <w:tcPr>
            <w:tcW w:w="2698" w:type="pct"/>
            <w:tcBorders>
              <w:top w:val="single" w:sz="2" w:space="0" w:color="808080" w:themeColor="background1" w:themeShade="80"/>
            </w:tcBorders>
            <w:vAlign w:val="center"/>
          </w:tcPr>
          <w:p w14:paraId="5A151945" w14:textId="77777777" w:rsidR="007F7999" w:rsidRPr="006D013D" w:rsidRDefault="007F7999" w:rsidP="007F7999">
            <w:pPr>
              <w:pStyle w:val="Tabletext"/>
              <w:jc w:val="center"/>
            </w:pPr>
            <w:r w:rsidRPr="00335474">
              <w:t>21.8</w:t>
            </w:r>
            <w:r w:rsidRPr="00F76D5B">
              <w:t>**</w:t>
            </w:r>
          </w:p>
        </w:tc>
      </w:tr>
      <w:tr w:rsidR="007F7999" w14:paraId="74C9DA45" w14:textId="77777777" w:rsidTr="007F7999">
        <w:tc>
          <w:tcPr>
            <w:tcW w:w="2302" w:type="pct"/>
            <w:vMerge/>
            <w:tcBorders>
              <w:bottom w:val="single" w:sz="2" w:space="0" w:color="808080" w:themeColor="background1" w:themeShade="80"/>
            </w:tcBorders>
          </w:tcPr>
          <w:p w14:paraId="5B7C2787" w14:textId="77777777" w:rsidR="007F7999" w:rsidRPr="007F7999" w:rsidRDefault="007F7999" w:rsidP="007F7999">
            <w:pPr>
              <w:pStyle w:val="Tabletext"/>
            </w:pPr>
          </w:p>
        </w:tc>
        <w:tc>
          <w:tcPr>
            <w:tcW w:w="2698" w:type="pct"/>
            <w:tcBorders>
              <w:bottom w:val="single" w:sz="2" w:space="0" w:color="808080" w:themeColor="background1" w:themeShade="80"/>
            </w:tcBorders>
            <w:vAlign w:val="center"/>
          </w:tcPr>
          <w:p w14:paraId="45053B89" w14:textId="77777777" w:rsidR="007F7999" w:rsidRPr="006D013D" w:rsidRDefault="007F7999" w:rsidP="007F7999">
            <w:pPr>
              <w:pStyle w:val="Tabletext"/>
              <w:jc w:val="center"/>
            </w:pPr>
            <w:r w:rsidRPr="00F76D5B">
              <w:t>(</w:t>
            </w:r>
            <w:r w:rsidRPr="00335474">
              <w:t>3.76</w:t>
            </w:r>
            <w:r w:rsidRPr="00EE235D" w:rsidDel="00735000">
              <w:t>)</w:t>
            </w:r>
          </w:p>
        </w:tc>
      </w:tr>
      <w:tr w:rsidR="007F7999" w14:paraId="332378C0" w14:textId="77777777" w:rsidTr="007F7999">
        <w:tc>
          <w:tcPr>
            <w:tcW w:w="2302" w:type="pct"/>
            <w:vMerge w:val="restart"/>
            <w:tcBorders>
              <w:top w:val="single" w:sz="4" w:space="0" w:color="7F7F7F" w:themeColor="text1" w:themeTint="80"/>
            </w:tcBorders>
            <w:vAlign w:val="center"/>
          </w:tcPr>
          <w:p w14:paraId="7EC791A8" w14:textId="77777777" w:rsidR="007F7999" w:rsidRPr="007F7999" w:rsidRDefault="007F7999" w:rsidP="007F7999">
            <w:pPr>
              <w:pStyle w:val="Tabletext"/>
            </w:pPr>
            <w:r w:rsidRPr="007F7999">
              <w:t>MH services</w:t>
            </w:r>
          </w:p>
        </w:tc>
        <w:tc>
          <w:tcPr>
            <w:tcW w:w="2698" w:type="pct"/>
            <w:tcBorders>
              <w:top w:val="single" w:sz="4" w:space="0" w:color="7F7F7F" w:themeColor="text1" w:themeTint="80"/>
            </w:tcBorders>
            <w:vAlign w:val="center"/>
          </w:tcPr>
          <w:p w14:paraId="492BDF54" w14:textId="77777777" w:rsidR="007F7999" w:rsidRPr="006D013D" w:rsidRDefault="007F7999" w:rsidP="007F7999">
            <w:pPr>
              <w:pStyle w:val="Tabletext"/>
              <w:jc w:val="center"/>
              <w:rPr>
                <w:rFonts w:cs="Calibri"/>
                <w:color w:val="000000"/>
              </w:rPr>
            </w:pPr>
            <w:r w:rsidRPr="00335474">
              <w:t>46.0</w:t>
            </w:r>
            <w:r w:rsidRPr="00F76D5B">
              <w:t>**</w:t>
            </w:r>
          </w:p>
        </w:tc>
      </w:tr>
      <w:tr w:rsidR="007F7999" w14:paraId="4D75230D" w14:textId="77777777" w:rsidTr="007F7999">
        <w:tc>
          <w:tcPr>
            <w:tcW w:w="2302" w:type="pct"/>
            <w:vMerge/>
            <w:tcBorders>
              <w:bottom w:val="single" w:sz="4" w:space="0" w:color="7F7F7F" w:themeColor="text1" w:themeTint="80"/>
            </w:tcBorders>
          </w:tcPr>
          <w:p w14:paraId="72DC326B" w14:textId="77777777" w:rsidR="007F7999" w:rsidRPr="001F67CF" w:rsidRDefault="007F7999" w:rsidP="007F7999">
            <w:pPr>
              <w:pStyle w:val="Tabletext"/>
            </w:pPr>
          </w:p>
        </w:tc>
        <w:tc>
          <w:tcPr>
            <w:tcW w:w="2698" w:type="pct"/>
            <w:tcBorders>
              <w:bottom w:val="single" w:sz="4" w:space="0" w:color="7F7F7F" w:themeColor="text1" w:themeTint="80"/>
            </w:tcBorders>
            <w:vAlign w:val="center"/>
          </w:tcPr>
          <w:p w14:paraId="04871674" w14:textId="77777777" w:rsidR="007F7999" w:rsidRPr="006D013D" w:rsidRDefault="007F7999" w:rsidP="007F7999">
            <w:pPr>
              <w:pStyle w:val="Tabletext"/>
              <w:jc w:val="center"/>
              <w:rPr>
                <w:rFonts w:cs="Calibri"/>
                <w:color w:val="000000"/>
              </w:rPr>
            </w:pPr>
            <w:r w:rsidRPr="00F76D5B">
              <w:t>(</w:t>
            </w:r>
            <w:r w:rsidRPr="00335474">
              <w:t>5.01</w:t>
            </w:r>
            <w:r w:rsidRPr="00EE235D" w:rsidDel="00735000">
              <w:t>)</w:t>
            </w:r>
          </w:p>
        </w:tc>
      </w:tr>
      <w:tr w:rsidR="00DE7B09" w14:paraId="0B6C9776" w14:textId="77777777" w:rsidTr="007F7999">
        <w:tc>
          <w:tcPr>
            <w:tcW w:w="2302" w:type="pct"/>
            <w:tcBorders>
              <w:top w:val="single" w:sz="2" w:space="0" w:color="808080" w:themeColor="background1" w:themeShade="80"/>
            </w:tcBorders>
          </w:tcPr>
          <w:p w14:paraId="21CE8B6E" w14:textId="77777777" w:rsidR="00DE7B09" w:rsidRPr="001F67CF" w:rsidRDefault="00DE7B09" w:rsidP="007F7999">
            <w:pPr>
              <w:pStyle w:val="Tabletext"/>
            </w:pPr>
            <w:r>
              <w:t>No. of episodes</w:t>
            </w:r>
            <w:r w:rsidRPr="001F67CF">
              <w:tab/>
            </w:r>
          </w:p>
        </w:tc>
        <w:tc>
          <w:tcPr>
            <w:tcW w:w="2698" w:type="pct"/>
            <w:tcBorders>
              <w:top w:val="single" w:sz="2" w:space="0" w:color="808080" w:themeColor="background1" w:themeShade="80"/>
            </w:tcBorders>
            <w:vAlign w:val="center"/>
          </w:tcPr>
          <w:p w14:paraId="0BC7CF69" w14:textId="77777777" w:rsidR="00DE7B09" w:rsidRPr="006D013D" w:rsidRDefault="00DE7B09" w:rsidP="007F7999">
            <w:pPr>
              <w:pStyle w:val="Tabletext"/>
              <w:jc w:val="center"/>
              <w:rPr>
                <w:rFonts w:cs="Calibri"/>
                <w:color w:val="000000"/>
              </w:rPr>
            </w:pPr>
            <w:r w:rsidRPr="002263CD">
              <w:rPr>
                <w:rFonts w:cs="Calibri"/>
                <w:color w:val="000000"/>
              </w:rPr>
              <w:t>29</w:t>
            </w:r>
            <w:r>
              <w:rPr>
                <w:rFonts w:cs="Calibri"/>
                <w:color w:val="000000"/>
              </w:rPr>
              <w:t>,</w:t>
            </w:r>
            <w:r w:rsidRPr="002263CD">
              <w:rPr>
                <w:rFonts w:cs="Calibri"/>
                <w:color w:val="000000"/>
              </w:rPr>
              <w:t>298</w:t>
            </w:r>
          </w:p>
        </w:tc>
      </w:tr>
      <w:tr w:rsidR="00DE7B09" w14:paraId="7FFAF27D" w14:textId="77777777" w:rsidTr="007F7999">
        <w:tc>
          <w:tcPr>
            <w:tcW w:w="2302" w:type="pct"/>
            <w:tcBorders>
              <w:bottom w:val="single" w:sz="2" w:space="0" w:color="808080"/>
            </w:tcBorders>
          </w:tcPr>
          <w:p w14:paraId="5FFB32B4" w14:textId="4EE30C7F" w:rsidR="00DE7B09" w:rsidRPr="001F67CF" w:rsidRDefault="00DE7B09" w:rsidP="007F7999">
            <w:pPr>
              <w:pStyle w:val="Tabletext"/>
            </w:pPr>
            <w:r>
              <w:t>Ps</w:t>
            </w:r>
            <w:r w:rsidR="00A82E21">
              <w:t>eu</w:t>
            </w:r>
            <w:r>
              <w:t xml:space="preserve">do </w:t>
            </w:r>
            <w:r w:rsidRPr="001F67CF">
              <w:t>R2</w:t>
            </w:r>
          </w:p>
        </w:tc>
        <w:tc>
          <w:tcPr>
            <w:tcW w:w="2698" w:type="pct"/>
            <w:tcBorders>
              <w:bottom w:val="single" w:sz="2" w:space="0" w:color="808080"/>
            </w:tcBorders>
            <w:vAlign w:val="center"/>
          </w:tcPr>
          <w:p w14:paraId="42D4FD01" w14:textId="6AC7FD78" w:rsidR="00DE7B09" w:rsidRPr="006D013D" w:rsidRDefault="00DA4C5F" w:rsidP="007F7999">
            <w:pPr>
              <w:pStyle w:val="Tabletext"/>
              <w:jc w:val="center"/>
            </w:pPr>
            <w:r>
              <w:rPr>
                <w:rFonts w:cs="Calibri"/>
                <w:color w:val="000000"/>
              </w:rPr>
              <w:t>0.</w:t>
            </w:r>
            <w:r w:rsidR="00DE7B09">
              <w:rPr>
                <w:rFonts w:cs="Calibri"/>
                <w:color w:val="000000"/>
              </w:rPr>
              <w:t>43</w:t>
            </w:r>
          </w:p>
        </w:tc>
      </w:tr>
    </w:tbl>
    <w:p w14:paraId="5935B186" w14:textId="5C21323A" w:rsidR="00DE7B09" w:rsidRPr="00C92A4F" w:rsidRDefault="00DE7B09" w:rsidP="00DE7B09">
      <w:pPr>
        <w:pStyle w:val="Source"/>
        <w:rPr>
          <w:szCs w:val="16"/>
        </w:rPr>
      </w:pPr>
      <w:r w:rsidRPr="0095378E">
        <w:rPr>
          <w:szCs w:val="16"/>
        </w:rPr>
        <w:t>Source: KPM</w:t>
      </w:r>
      <w:r w:rsidRPr="007C3DC2">
        <w:rPr>
          <w:szCs w:val="16"/>
        </w:rPr>
        <w:t>G</w:t>
      </w:r>
      <w:r w:rsidRPr="00C92A4F">
        <w:rPr>
          <w:szCs w:val="16"/>
        </w:rPr>
        <w:t xml:space="preserve"> analysis of </w:t>
      </w:r>
      <w:r>
        <w:t>the ‘</w:t>
      </w:r>
      <w:r w:rsidRPr="004417C9">
        <w:t>Episodes with only MH/situational primary issues</w:t>
      </w:r>
      <w:r>
        <w:t>’ dataset</w:t>
      </w:r>
    </w:p>
    <w:p w14:paraId="7BE8554A" w14:textId="091AC177" w:rsidR="00DE7B09" w:rsidRDefault="00DE7B09" w:rsidP="007F7999">
      <w:pPr>
        <w:pStyle w:val="Source"/>
      </w:pPr>
      <w:r w:rsidRPr="00C92A4F">
        <w:t>Notes: See</w:t>
      </w:r>
      <w:r w:rsidRPr="0095378E">
        <w:t xml:space="preserve"> </w:t>
      </w:r>
      <w:r w:rsidR="0099442F">
        <w:fldChar w:fldCharType="begin" w:fldLock="1"/>
      </w:r>
      <w:r w:rsidR="0099442F">
        <w:instrText xml:space="preserve"> REF _Ref98402466 \r \h </w:instrText>
      </w:r>
      <w:r w:rsidR="0099442F">
        <w:fldChar w:fldCharType="separate"/>
      </w:r>
      <w:r w:rsidR="00AE4D34">
        <w:t>Appendix F</w:t>
      </w:r>
      <w:r w:rsidR="0099442F">
        <w:fldChar w:fldCharType="end"/>
      </w:r>
      <w:r w:rsidRPr="0095378E">
        <w:t xml:space="preserve"> for detailed </w:t>
      </w:r>
      <w:r w:rsidRPr="007C3DC2">
        <w:t>ex</w:t>
      </w:r>
      <w:r w:rsidRPr="00C92A4F">
        <w:t xml:space="preserve">clusion criteria. Number of episodes: </w:t>
      </w:r>
      <w:r>
        <w:t>29,298</w:t>
      </w:r>
      <w:r w:rsidRPr="00C92A4F">
        <w:t xml:space="preserve">, where </w:t>
      </w:r>
      <w:r>
        <w:t>20</w:t>
      </w:r>
      <w:r w:rsidRPr="00C92A4F">
        <w:t>,</w:t>
      </w:r>
      <w:r>
        <w:t>627</w:t>
      </w:r>
      <w:r w:rsidRPr="00C92A4F">
        <w:t xml:space="preserve"> episodes were excluded due to missing young persons characteristics. Coefficients reported are odds ratios. Standard errors in parentheses. For brevity, this report did not include the site’s coefficient estimates</w:t>
      </w:r>
      <w:r>
        <w:t xml:space="preserve"> </w:t>
      </w:r>
      <w:r w:rsidRPr="00C92A4F">
        <w:t>*: Significant at 10 p</w:t>
      </w:r>
      <w:r>
        <w:t xml:space="preserve">er cent; **: Significant at 5 per cent. </w:t>
      </w:r>
      <w:r w:rsidRPr="00C92A4F">
        <w:t>MH: Mental health.</w:t>
      </w:r>
    </w:p>
    <w:p w14:paraId="5604D9FB" w14:textId="710F99F8" w:rsidR="002A6A78" w:rsidRDefault="002A6A78" w:rsidP="00A84B44">
      <w:pPr>
        <w:pStyle w:val="AppendixHeading2"/>
        <w:rPr>
          <w:lang w:eastAsia="en-AU"/>
        </w:rPr>
      </w:pPr>
      <w:r>
        <w:rPr>
          <w:lang w:eastAsia="en-AU"/>
        </w:rPr>
        <w:t>How do outcomes vary by service?</w:t>
      </w:r>
    </w:p>
    <w:p w14:paraId="132B5AF0" w14:textId="1B1ECE55" w:rsidR="002A6A78" w:rsidRDefault="002A6A78" w:rsidP="002A6A78">
      <w:pPr>
        <w:pStyle w:val="BodyText"/>
        <w:rPr>
          <w:lang w:eastAsia="en-AU"/>
        </w:rPr>
      </w:pPr>
      <w:r>
        <w:rPr>
          <w:lang w:eastAsia="en-AU"/>
        </w:rPr>
        <w:t xml:space="preserve">The analyses below highlight the variation in the outcomes across services, based on the same data </w:t>
      </w:r>
      <w:r w:rsidR="00240FF6">
        <w:rPr>
          <w:lang w:eastAsia="en-AU"/>
        </w:rPr>
        <w:t xml:space="preserve">used in Section </w:t>
      </w:r>
      <w:r w:rsidR="007D6C2C">
        <w:rPr>
          <w:lang w:eastAsia="en-AU"/>
        </w:rPr>
        <w:fldChar w:fldCharType="begin" w:fldLock="1"/>
      </w:r>
      <w:r w:rsidR="007D6C2C">
        <w:rPr>
          <w:lang w:eastAsia="en-AU"/>
        </w:rPr>
        <w:instrText xml:space="preserve"> REF _Ref98010464 \r \h </w:instrText>
      </w:r>
      <w:r w:rsidR="007D6C2C">
        <w:rPr>
          <w:lang w:eastAsia="en-AU"/>
        </w:rPr>
      </w:r>
      <w:r w:rsidR="007D6C2C">
        <w:rPr>
          <w:lang w:eastAsia="en-AU"/>
        </w:rPr>
        <w:fldChar w:fldCharType="separate"/>
      </w:r>
      <w:r w:rsidR="00AE4D34">
        <w:rPr>
          <w:lang w:eastAsia="en-AU"/>
        </w:rPr>
        <w:t>E.2</w:t>
      </w:r>
      <w:r w:rsidR="007D6C2C">
        <w:rPr>
          <w:lang w:eastAsia="en-AU"/>
        </w:rPr>
        <w:fldChar w:fldCharType="end"/>
      </w:r>
      <w:r>
        <w:rPr>
          <w:lang w:eastAsia="en-AU"/>
        </w:rPr>
        <w:t xml:space="preserve"> (see </w:t>
      </w:r>
      <w:r w:rsidR="00997F30">
        <w:fldChar w:fldCharType="begin" w:fldLock="1"/>
      </w:r>
      <w:r w:rsidR="00997F30">
        <w:rPr>
          <w:lang w:eastAsia="en-AU"/>
        </w:rPr>
        <w:instrText xml:space="preserve"> REF _Ref98402466 \r \h </w:instrText>
      </w:r>
      <w:r w:rsidR="00997F30">
        <w:fldChar w:fldCharType="separate"/>
      </w:r>
      <w:r w:rsidR="00AE4D34">
        <w:rPr>
          <w:lang w:eastAsia="en-AU"/>
        </w:rPr>
        <w:t>Appendix F</w:t>
      </w:r>
      <w:r w:rsidR="00997F30">
        <w:fldChar w:fldCharType="end"/>
      </w:r>
      <w:r>
        <w:rPr>
          <w:lang w:eastAsia="en-AU"/>
        </w:rPr>
        <w:t xml:space="preserve"> for full details), and without accounting for </w:t>
      </w:r>
      <w:r>
        <w:t>differences in young person’s demographic characteristics, the type or number of services received at a headspace service or their initial level of mental distress.</w:t>
      </w:r>
    </w:p>
    <w:p w14:paraId="014C5A1F" w14:textId="6977AC8C" w:rsidR="002A6A78" w:rsidRDefault="00344A92" w:rsidP="002A6A78">
      <w:pPr>
        <w:pStyle w:val="BodyText"/>
      </w:pPr>
      <w:r>
        <w:fldChar w:fldCharType="begin" w:fldLock="1"/>
      </w:r>
      <w:r>
        <w:instrText xml:space="preserve"> REF _Ref97750516 \h </w:instrText>
      </w:r>
      <w:r>
        <w:fldChar w:fldCharType="separate"/>
      </w:r>
      <w:r w:rsidR="000C245D">
        <w:t xml:space="preserve">Figure </w:t>
      </w:r>
      <w:r w:rsidR="000C245D">
        <w:rPr>
          <w:noProof/>
        </w:rPr>
        <w:t>56</w:t>
      </w:r>
      <w:r>
        <w:fldChar w:fldCharType="end"/>
      </w:r>
      <w:r w:rsidR="002A6A78">
        <w:t xml:space="preserve"> shows that 90 out of 117 headspace services delivered a statistically significant improvement in the K10 outcome measure, on average, with the remainder reporting an average measure that is statistically insignificantly different from zero. Five services delivered average improvements greater than three K10 points, more than double the national average. </w:t>
      </w:r>
    </w:p>
    <w:p w14:paraId="6929FBD3" w14:textId="2C5D8B8F" w:rsidR="002A6A78" w:rsidRPr="001064DA" w:rsidRDefault="002A6A78" w:rsidP="002A6A78">
      <w:pPr>
        <w:pStyle w:val="Caption"/>
      </w:pPr>
      <w:bookmarkStart w:id="317" w:name="_Ref97750516"/>
      <w:bookmarkStart w:id="318" w:name="_Ref97883336"/>
      <w:bookmarkStart w:id="319" w:name="_Toc108109241"/>
      <w:r>
        <w:t xml:space="preserve">Figure </w:t>
      </w:r>
      <w:r>
        <w:fldChar w:fldCharType="begin"/>
      </w:r>
      <w:r>
        <w:instrText>SEQ Figure \* ARABIC</w:instrText>
      </w:r>
      <w:r>
        <w:fldChar w:fldCharType="separate"/>
      </w:r>
      <w:r w:rsidR="00CC0438">
        <w:rPr>
          <w:noProof/>
        </w:rPr>
        <w:t>56</w:t>
      </w:r>
      <w:r>
        <w:fldChar w:fldCharType="end"/>
      </w:r>
      <w:bookmarkEnd w:id="317"/>
      <w:r>
        <w:t>: Distribution of K10 improvements by</w:t>
      </w:r>
      <w:r w:rsidR="008F60F7">
        <w:t xml:space="preserve"> headspace</w:t>
      </w:r>
      <w:r>
        <w:t xml:space="preserve"> service</w:t>
      </w:r>
      <w:bookmarkEnd w:id="318"/>
      <w:bookmarkEnd w:id="319"/>
    </w:p>
    <w:p w14:paraId="0AAEC013" w14:textId="00945B04" w:rsidR="002A6A78" w:rsidRDefault="00E84632" w:rsidP="003006A8">
      <w:pPr>
        <w:pStyle w:val="BodyText"/>
      </w:pPr>
      <w:r>
        <w:rPr>
          <w:noProof/>
        </w:rPr>
        <w:drawing>
          <wp:inline distT="0" distB="0" distL="0" distR="0" wp14:anchorId="431EFC7A" wp14:editId="21DF9B3D">
            <wp:extent cx="5038725" cy="3238500"/>
            <wp:effectExtent l="0" t="0" r="9525" b="0"/>
            <wp:docPr id="20" name="Picture 20" descr="Figure 56 shows the distribution of average K10 improvements, adjusted for regression to the mean, for each headspace service. The average K10 improvement is 1.4.&#10;Centres typically range from improvements of minus 0.5 to 3.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56 shows the distribution of average K10 improvements, adjusted for regression to the mean, for each headspace service. The average K10 improvement is 1.4.&#10;Centres typically range from improvements of minus 0.5 to 3.5.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14:paraId="6D0B3F7D" w14:textId="4AED78F9" w:rsidR="002A6A78" w:rsidRPr="002A7734" w:rsidRDefault="002A6A78" w:rsidP="007F7999">
      <w:pPr>
        <w:pStyle w:val="Source"/>
      </w:pPr>
      <w:r w:rsidRPr="00A7396B">
        <w:t>Source:</w:t>
      </w:r>
      <w:r>
        <w:t xml:space="preserve"> KPMG analysis of effectiveness analysis dataset with non-missing outcome measures – K10 analysis</w:t>
      </w:r>
    </w:p>
    <w:p w14:paraId="638F8D27" w14:textId="4A6CBE9B" w:rsidR="002A6A78" w:rsidRDefault="002A6A78" w:rsidP="007F7999">
      <w:pPr>
        <w:pStyle w:val="Source"/>
      </w:pPr>
      <w:r w:rsidRPr="001E1EB4">
        <w:t xml:space="preserve">Notes: </w:t>
      </w:r>
      <w:r w:rsidRPr="00CF2E3E">
        <w:t xml:space="preserve">See </w:t>
      </w:r>
      <w:r w:rsidR="007D6C2C">
        <w:fldChar w:fldCharType="begin" w:fldLock="1"/>
      </w:r>
      <w:r w:rsidR="007D6C2C">
        <w:instrText xml:space="preserve"> REF _Ref98402466 \r \h </w:instrText>
      </w:r>
      <w:r w:rsidR="007F7999">
        <w:instrText xml:space="preserve"> \* MERGEFORMAT </w:instrText>
      </w:r>
      <w:r w:rsidR="007D6C2C">
        <w:fldChar w:fldCharType="separate"/>
      </w:r>
      <w:r w:rsidR="00AE4D34">
        <w:t>Appendix F</w:t>
      </w:r>
      <w:r w:rsidR="007D6C2C">
        <w:fldChar w:fldCharType="end"/>
      </w:r>
      <w:r w:rsidRPr="00A7396B">
        <w:t xml:space="preserve"> for </w:t>
      </w:r>
      <w:r w:rsidRPr="00CF2E3E">
        <w:t>detailed exclusion criteria.</w:t>
      </w:r>
      <w:r>
        <w:t xml:space="preserve"> Number of episodes: 27,867.</w:t>
      </w:r>
      <w:r w:rsidRPr="001E1EB4">
        <w:t xml:space="preserve"> </w:t>
      </w:r>
      <w:r>
        <w:t xml:space="preserve">Improvement is measured by </w:t>
      </w:r>
      <w:r w:rsidRPr="00C4306D">
        <w:t>the di</w:t>
      </w:r>
      <w:r w:rsidRPr="00CF2E3E">
        <w:t xml:space="preserve">fference between the last observed </w:t>
      </w:r>
      <w:r>
        <w:t>measure</w:t>
      </w:r>
      <w:r w:rsidRPr="00CF2E3E">
        <w:t xml:space="preserve"> and the initially observed </w:t>
      </w:r>
      <w:r>
        <w:t>measurement</w:t>
      </w:r>
      <w:r w:rsidRPr="00CF2E3E">
        <w:t xml:space="preserve">. </w:t>
      </w:r>
      <w:r>
        <w:t>Outcome measurements</w:t>
      </w:r>
      <w:r w:rsidRPr="00CF2E3E">
        <w:t xml:space="preserve"> have been adjusted for regression to the mean effects.</w:t>
      </w:r>
      <w:r>
        <w:t xml:space="preserve"> Positive values indicate an improvement in K10 outcomes. There are 117 services with complete initial and final K10 outcome measures. </w:t>
      </w:r>
    </w:p>
    <w:p w14:paraId="1526FCFE" w14:textId="11909A11" w:rsidR="002A6A78" w:rsidRDefault="00344A92" w:rsidP="002A6A78">
      <w:pPr>
        <w:pStyle w:val="BodyText"/>
      </w:pPr>
      <w:r>
        <w:fldChar w:fldCharType="begin" w:fldLock="1"/>
      </w:r>
      <w:r>
        <w:instrText xml:space="preserve"> REF _Ref97750527 \h </w:instrText>
      </w:r>
      <w:r>
        <w:fldChar w:fldCharType="separate"/>
      </w:r>
      <w:r w:rsidR="000C245D">
        <w:t xml:space="preserve">Figure </w:t>
      </w:r>
      <w:r w:rsidR="000C245D">
        <w:rPr>
          <w:noProof/>
        </w:rPr>
        <w:t>57</w:t>
      </w:r>
      <w:r>
        <w:fldChar w:fldCharType="end"/>
      </w:r>
      <w:r w:rsidR="002A6A78">
        <w:t xml:space="preserve"> shows that 97 out of 118 headspace services delivered a statistically significant improvement in the SOFAS outcome measure, with two reporting average outcomes statistically significantly below zero.</w:t>
      </w:r>
    </w:p>
    <w:p w14:paraId="13C45E5D" w14:textId="3F51EED5" w:rsidR="002A6A78" w:rsidRPr="00440126" w:rsidRDefault="002A6A78" w:rsidP="002A6A78">
      <w:pPr>
        <w:pStyle w:val="Caption"/>
      </w:pPr>
      <w:bookmarkStart w:id="320" w:name="_Ref97750527"/>
      <w:bookmarkStart w:id="321" w:name="_Ref97883337"/>
      <w:bookmarkStart w:id="322" w:name="_Toc108109242"/>
      <w:r>
        <w:t xml:space="preserve">Figure </w:t>
      </w:r>
      <w:r>
        <w:fldChar w:fldCharType="begin"/>
      </w:r>
      <w:r>
        <w:instrText>SEQ Figure \* ARABIC</w:instrText>
      </w:r>
      <w:r>
        <w:fldChar w:fldCharType="separate"/>
      </w:r>
      <w:r w:rsidR="00CC0438">
        <w:rPr>
          <w:noProof/>
        </w:rPr>
        <w:t>57</w:t>
      </w:r>
      <w:r>
        <w:fldChar w:fldCharType="end"/>
      </w:r>
      <w:bookmarkEnd w:id="320"/>
      <w:r>
        <w:t xml:space="preserve">: </w:t>
      </w:r>
      <w:r w:rsidRPr="00401E69">
        <w:t xml:space="preserve">Distribution of </w:t>
      </w:r>
      <w:r>
        <w:t xml:space="preserve">SOFAS improvements </w:t>
      </w:r>
      <w:bookmarkEnd w:id="321"/>
      <w:r w:rsidR="008F60F7">
        <w:t>by headspace service</w:t>
      </w:r>
      <w:bookmarkEnd w:id="322"/>
      <w:r>
        <w:t xml:space="preserve"> </w:t>
      </w:r>
    </w:p>
    <w:p w14:paraId="6F64D133" w14:textId="56745017" w:rsidR="002A6A78" w:rsidRPr="00A34EC1" w:rsidRDefault="00D272AE" w:rsidP="003006A8">
      <w:pPr>
        <w:pStyle w:val="BodyText"/>
      </w:pPr>
      <w:r>
        <w:rPr>
          <w:noProof/>
        </w:rPr>
        <w:drawing>
          <wp:inline distT="0" distB="0" distL="0" distR="0" wp14:anchorId="6FAB97B9" wp14:editId="46F7A60B">
            <wp:extent cx="5038725" cy="3238500"/>
            <wp:effectExtent l="0" t="0" r="9525" b="0"/>
            <wp:docPr id="22" name="Picture 22" descr="Figure 57 shows the distribution of average SOFAS improvements, adjusted for regression to the mean, for each headspace service. The average SOFAS improvement is 3.1.&#10;Centres typically range from improvements of minus 1 to 7.0. Three outliers have improvements of minus 2, minus 8 and minu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57 shows the distribution of average SOFAS improvements, adjusted for regression to the mean, for each headspace service. The average SOFAS improvement is 3.1.&#10;Centres typically range from improvements of minus 1 to 7.0. Three outliers have improvements of minus 2, minus 8 and minus 10.&#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14:paraId="09BA934F" w14:textId="1DC3A1D5" w:rsidR="002A6A78" w:rsidRPr="002A7734" w:rsidRDefault="002A6A78" w:rsidP="007154ED">
      <w:pPr>
        <w:pStyle w:val="Source-Notes"/>
      </w:pPr>
      <w:r w:rsidRPr="00A7396B">
        <w:rPr>
          <w:szCs w:val="16"/>
        </w:rPr>
        <w:t>Source:</w:t>
      </w:r>
      <w:r>
        <w:rPr>
          <w:szCs w:val="16"/>
        </w:rPr>
        <w:t xml:space="preserve"> KPMG analysis of effectiveness analysis dataset with non-missing outcome measures – SOFAS analysis</w:t>
      </w:r>
    </w:p>
    <w:p w14:paraId="55B1E1E3" w14:textId="136DB27C" w:rsidR="002A6A78" w:rsidRPr="00B72ECD" w:rsidRDefault="002A6A78" w:rsidP="007F7999">
      <w:pPr>
        <w:pStyle w:val="Source"/>
      </w:pPr>
      <w:r w:rsidRPr="001E1EB4">
        <w:t xml:space="preserve">Notes: </w:t>
      </w:r>
      <w:r w:rsidRPr="00CF2E3E">
        <w:t xml:space="preserve">See </w:t>
      </w:r>
      <w:r w:rsidR="0099442F">
        <w:fldChar w:fldCharType="begin" w:fldLock="1"/>
      </w:r>
      <w:r w:rsidR="0099442F">
        <w:instrText xml:space="preserve"> REF _Ref98402466 \r \h </w:instrText>
      </w:r>
      <w:r w:rsidR="0099442F">
        <w:fldChar w:fldCharType="separate"/>
      </w:r>
      <w:r w:rsidR="00AE4D34">
        <w:t>Appendix F</w:t>
      </w:r>
      <w:r w:rsidR="0099442F">
        <w:fldChar w:fldCharType="end"/>
      </w:r>
      <w:r w:rsidRPr="00A7396B">
        <w:t xml:space="preserve"> for </w:t>
      </w:r>
      <w:r w:rsidRPr="00CF2E3E">
        <w:t>detailed exclusion criteria.</w:t>
      </w:r>
      <w:r>
        <w:t xml:space="preserve"> Number of episodes: 30,351.</w:t>
      </w:r>
      <w:r w:rsidRPr="001E1EB4">
        <w:t xml:space="preserve"> </w:t>
      </w:r>
      <w:r>
        <w:t>Improvement is measured by</w:t>
      </w:r>
      <w:r w:rsidRPr="001E1EB4">
        <w:t xml:space="preserve"> </w:t>
      </w:r>
      <w:r>
        <w:t>the difference between the last observed measure and the initially observed measurement</w:t>
      </w:r>
      <w:r w:rsidRPr="00CF2E3E">
        <w:t xml:space="preserve">. </w:t>
      </w:r>
      <w:r>
        <w:t>Outcome measurements</w:t>
      </w:r>
      <w:r w:rsidRPr="00CF2E3E">
        <w:t xml:space="preserve"> have been adjusted for </w:t>
      </w:r>
      <w:r>
        <w:t>RTM</w:t>
      </w:r>
      <w:r w:rsidRPr="00CF2E3E">
        <w:t xml:space="preserve"> effects.</w:t>
      </w:r>
      <w:r>
        <w:t xml:space="preserve"> Positive values indicate an improvement in SOFAS outcomes. There are 118 services with complete initial and final SOFAS outcome measure.</w:t>
      </w:r>
    </w:p>
    <w:p w14:paraId="2433B767" w14:textId="11C2DAE2" w:rsidR="002A6A78" w:rsidRPr="00C8759F" w:rsidRDefault="00344A92" w:rsidP="002A6A78">
      <w:pPr>
        <w:pStyle w:val="BodyText"/>
      </w:pPr>
      <w:r>
        <w:fldChar w:fldCharType="begin" w:fldLock="1"/>
      </w:r>
      <w:r>
        <w:instrText xml:space="preserve"> REF _Ref97750539 \h </w:instrText>
      </w:r>
      <w:r>
        <w:fldChar w:fldCharType="separate"/>
      </w:r>
      <w:r w:rsidR="000C245D">
        <w:t xml:space="preserve">Figure </w:t>
      </w:r>
      <w:r w:rsidR="000C245D">
        <w:rPr>
          <w:noProof/>
        </w:rPr>
        <w:t>58</w:t>
      </w:r>
      <w:r>
        <w:fldChar w:fldCharType="end"/>
      </w:r>
      <w:r w:rsidR="002A6A78">
        <w:t xml:space="preserve"> shows that 109 out of 117 headspace services delivered a statistically significant improvement in the MLT outcome measure, with eight services reporting average changes in the MLT outcome measure that are statistically similar to zero.</w:t>
      </w:r>
    </w:p>
    <w:p w14:paraId="6F0FC082" w14:textId="33EBF1A5" w:rsidR="002A6A78" w:rsidRDefault="002A6A78" w:rsidP="002A6A78">
      <w:pPr>
        <w:pStyle w:val="Caption"/>
      </w:pPr>
      <w:bookmarkStart w:id="323" w:name="_Ref97750539"/>
      <w:bookmarkStart w:id="324" w:name="_Toc108109243"/>
      <w:r>
        <w:t xml:space="preserve">Figure </w:t>
      </w:r>
      <w:r>
        <w:fldChar w:fldCharType="begin"/>
      </w:r>
      <w:r>
        <w:instrText>SEQ Figure \* ARABIC</w:instrText>
      </w:r>
      <w:r>
        <w:fldChar w:fldCharType="separate"/>
      </w:r>
      <w:r w:rsidR="00CC0438">
        <w:rPr>
          <w:noProof/>
        </w:rPr>
        <w:t>58</w:t>
      </w:r>
      <w:r>
        <w:fldChar w:fldCharType="end"/>
      </w:r>
      <w:bookmarkEnd w:id="323"/>
      <w:r>
        <w:t xml:space="preserve">: </w:t>
      </w:r>
      <w:r w:rsidRPr="00401E69">
        <w:t xml:space="preserve">Distribution of </w:t>
      </w:r>
      <w:r>
        <w:t>MLT improvements by</w:t>
      </w:r>
      <w:r w:rsidRPr="00401E69">
        <w:t xml:space="preserve"> </w:t>
      </w:r>
      <w:r w:rsidR="008F60F7">
        <w:t>headspace service</w:t>
      </w:r>
      <w:bookmarkEnd w:id="324"/>
    </w:p>
    <w:p w14:paraId="4A59301D" w14:textId="47315F91" w:rsidR="002A6A78" w:rsidRPr="00A34EC1" w:rsidRDefault="002A6A78" w:rsidP="003006A8">
      <w:pPr>
        <w:pStyle w:val="BodyText"/>
      </w:pPr>
      <w:r>
        <w:t xml:space="preserve"> </w:t>
      </w:r>
      <w:r w:rsidR="00CB5459">
        <w:rPr>
          <w:noProof/>
        </w:rPr>
        <w:drawing>
          <wp:inline distT="0" distB="0" distL="0" distR="0" wp14:anchorId="0C0D7D3E" wp14:editId="1D11C699">
            <wp:extent cx="5038725" cy="3238500"/>
            <wp:effectExtent l="0" t="0" r="9525" b="0"/>
            <wp:docPr id="29" name="Picture 29" descr="Figure 58 shows the distribution of average MLT improvements, adjusted for regression to the mean, for each headspace service. The average MLT improvement is 7.4.&#10;Centres typically range from 2.0 improvements to 14.0 improvements. Two outliers had MLT improvements of 0 to minu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58 shows the distribution of average MLT improvements, adjusted for regression to the mean, for each headspace service. The average MLT improvement is 7.4.&#10;Centres typically range from 2.0 improvements to 14.0 improvements. Two outliers had MLT improvements of 0 to minus 1.&#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14:paraId="5A97B029" w14:textId="09FEFC2D" w:rsidR="002A6A78" w:rsidRDefault="002A6A78" w:rsidP="002A6A78">
      <w:pPr>
        <w:pStyle w:val="Source-Notes"/>
      </w:pPr>
      <w:r w:rsidRPr="0056348D">
        <w:t>Source:</w:t>
      </w:r>
      <w:r w:rsidRPr="00E13979">
        <w:t xml:space="preserve"> KPMG analysis of effectiveness analysis dataset with non-missing outcome measures – MLT analysis</w:t>
      </w:r>
    </w:p>
    <w:p w14:paraId="084DF6C1" w14:textId="6AD7EB7F" w:rsidR="002A6A78" w:rsidRPr="00FA4D39" w:rsidRDefault="002A6A78" w:rsidP="007F7999">
      <w:pPr>
        <w:pStyle w:val="Source"/>
      </w:pPr>
      <w:r w:rsidRPr="0056348D">
        <w:t xml:space="preserve">Notes: </w:t>
      </w:r>
      <w:r w:rsidRPr="00CA51CD">
        <w:rPr>
          <w:szCs w:val="16"/>
        </w:rPr>
        <w:t xml:space="preserve">See </w:t>
      </w:r>
      <w:r w:rsidR="0099442F">
        <w:rPr>
          <w:szCs w:val="16"/>
        </w:rPr>
        <w:fldChar w:fldCharType="begin" w:fldLock="1"/>
      </w:r>
      <w:r w:rsidR="0099442F">
        <w:rPr>
          <w:szCs w:val="16"/>
        </w:rPr>
        <w:instrText xml:space="preserve"> REF _Ref98402466 \r \h </w:instrText>
      </w:r>
      <w:r w:rsidR="0099442F">
        <w:rPr>
          <w:szCs w:val="16"/>
        </w:rPr>
      </w:r>
      <w:r w:rsidR="0099442F">
        <w:rPr>
          <w:szCs w:val="16"/>
        </w:rPr>
        <w:fldChar w:fldCharType="separate"/>
      </w:r>
      <w:r w:rsidR="00AE4D34">
        <w:rPr>
          <w:szCs w:val="16"/>
        </w:rPr>
        <w:t>Appendix F</w:t>
      </w:r>
      <w:r w:rsidR="0099442F">
        <w:rPr>
          <w:szCs w:val="16"/>
        </w:rPr>
        <w:fldChar w:fldCharType="end"/>
      </w:r>
      <w:r w:rsidRPr="00CA51CD">
        <w:rPr>
          <w:szCs w:val="16"/>
        </w:rPr>
        <w:t xml:space="preserve"> </w:t>
      </w:r>
      <w:r w:rsidRPr="00A7396B">
        <w:rPr>
          <w:szCs w:val="16"/>
        </w:rPr>
        <w:t xml:space="preserve">for detailed </w:t>
      </w:r>
      <w:r w:rsidRPr="00695D0C">
        <w:rPr>
          <w:szCs w:val="16"/>
        </w:rPr>
        <w:t>ex</w:t>
      </w:r>
      <w:r w:rsidRPr="00CA51CD">
        <w:rPr>
          <w:szCs w:val="16"/>
        </w:rPr>
        <w:t>cl</w:t>
      </w:r>
      <w:r w:rsidRPr="007755D8">
        <w:rPr>
          <w:szCs w:val="16"/>
        </w:rPr>
        <w:t>usion</w:t>
      </w:r>
      <w:r w:rsidRPr="00020FF9">
        <w:rPr>
          <w:szCs w:val="16"/>
        </w:rPr>
        <w:t xml:space="preserve"> criteria</w:t>
      </w:r>
      <w:r w:rsidRPr="007B7099">
        <w:t xml:space="preserve">. Number of episodes: 27,957. </w:t>
      </w:r>
      <w:r>
        <w:t xml:space="preserve">Improvement </w:t>
      </w:r>
      <w:r w:rsidRPr="007B7099">
        <w:t xml:space="preserve">is </w:t>
      </w:r>
      <w:r w:rsidRPr="008B2185">
        <w:t xml:space="preserve">the difference between the last observed </w:t>
      </w:r>
      <w:r w:rsidRPr="00535F76">
        <w:t xml:space="preserve">and the initially observed </w:t>
      </w:r>
      <w:r>
        <w:t>outcome measure</w:t>
      </w:r>
      <w:r w:rsidRPr="00535F76">
        <w:t xml:space="preserve">. </w:t>
      </w:r>
      <w:r>
        <w:rPr>
          <w:szCs w:val="16"/>
        </w:rPr>
        <w:t>Positive values indicate an improvement in MLT outcomes.</w:t>
      </w:r>
      <w:r w:rsidRPr="00535F76">
        <w:t xml:space="preserve"> </w:t>
      </w:r>
      <w:r>
        <w:rPr>
          <w:szCs w:val="16"/>
        </w:rPr>
        <w:t>Outcome measurements</w:t>
      </w:r>
      <w:r w:rsidRPr="00535F76">
        <w:t xml:space="preserve"> have been adjusted for </w:t>
      </w:r>
      <w:r>
        <w:rPr>
          <w:szCs w:val="16"/>
        </w:rPr>
        <w:t>RTM</w:t>
      </w:r>
      <w:r w:rsidRPr="00535F76">
        <w:t xml:space="preserve"> effects. </w:t>
      </w:r>
      <w:r w:rsidRPr="00FA4D39">
        <w:t xml:space="preserve">There are 117 services with complete initial and final MLT </w:t>
      </w:r>
      <w:r>
        <w:t>outcome measures</w:t>
      </w:r>
      <w:r w:rsidRPr="00FA4D39">
        <w:t xml:space="preserve">. </w:t>
      </w:r>
    </w:p>
    <w:p w14:paraId="32000622" w14:textId="77777777" w:rsidR="002A6A78" w:rsidRDefault="002A6A78" w:rsidP="007F7999">
      <w:pPr>
        <w:pStyle w:val="AppendixHeading3"/>
      </w:pPr>
      <w:r>
        <w:t>Variation in outcomes by service</w:t>
      </w:r>
    </w:p>
    <w:p w14:paraId="45F80CC9" w14:textId="0126E80D" w:rsidR="002A6A78" w:rsidRDefault="008215DF" w:rsidP="002A6A78">
      <w:pPr>
        <w:pStyle w:val="BodyText"/>
      </w:pPr>
      <w:r>
        <w:fldChar w:fldCharType="begin" w:fldLock="1"/>
      </w:r>
      <w:r>
        <w:instrText xml:space="preserve"> REF _Ref97750516 \h </w:instrText>
      </w:r>
      <w:r>
        <w:fldChar w:fldCharType="separate"/>
      </w:r>
      <w:r w:rsidR="00222470">
        <w:t xml:space="preserve">Figure </w:t>
      </w:r>
      <w:r w:rsidR="00222470">
        <w:rPr>
          <w:noProof/>
        </w:rPr>
        <w:t>56</w:t>
      </w:r>
      <w:r>
        <w:fldChar w:fldCharType="end"/>
      </w:r>
      <w:r w:rsidR="002A6A78">
        <w:t xml:space="preserve">, </w:t>
      </w:r>
      <w:r>
        <w:fldChar w:fldCharType="begin" w:fldLock="1"/>
      </w:r>
      <w:r>
        <w:instrText xml:space="preserve"> REF _Ref97750527 \h </w:instrText>
      </w:r>
      <w:r>
        <w:fldChar w:fldCharType="separate"/>
      </w:r>
      <w:r w:rsidR="00222470">
        <w:t xml:space="preserve">Figure </w:t>
      </w:r>
      <w:r w:rsidR="00222470">
        <w:rPr>
          <w:noProof/>
        </w:rPr>
        <w:t>57</w:t>
      </w:r>
      <w:r>
        <w:fldChar w:fldCharType="end"/>
      </w:r>
      <w:r w:rsidR="002A6A78">
        <w:t xml:space="preserve"> and </w:t>
      </w:r>
      <w:r>
        <w:fldChar w:fldCharType="begin" w:fldLock="1"/>
      </w:r>
      <w:r>
        <w:instrText xml:space="preserve"> REF _Ref97750539 \h </w:instrText>
      </w:r>
      <w:r>
        <w:fldChar w:fldCharType="separate"/>
      </w:r>
      <w:r w:rsidR="00222470">
        <w:t xml:space="preserve">Figure </w:t>
      </w:r>
      <w:r w:rsidR="00222470">
        <w:rPr>
          <w:noProof/>
        </w:rPr>
        <w:t>58</w:t>
      </w:r>
      <w:r>
        <w:fldChar w:fldCharType="end"/>
      </w:r>
      <w:r w:rsidR="002A6A78">
        <w:t xml:space="preserve"> showed that the majority of headspace services delivered a statistically significant and positive mental health outcome among the sampled episodes. Across all outcome measures, there are a small proportion of services that deliver either significantly better or worse results than average. However, it is not clear if these outcomes are a result of the services themselves or are confounded by additional factors such as the young person’s demographic characteristics, the type or number of services received at a headspace service or their initial level of mental distress. This is explored in</w:t>
      </w:r>
      <w:r w:rsidR="00D139DB">
        <w:t xml:space="preserve"> Appendix</w:t>
      </w:r>
      <w:r w:rsidR="002A6A78">
        <w:t xml:space="preserve"> </w:t>
      </w:r>
      <w:r w:rsidR="00D139DB">
        <w:fldChar w:fldCharType="begin" w:fldLock="1"/>
      </w:r>
      <w:r w:rsidR="00D139DB">
        <w:instrText xml:space="preserve"> REF _Ref97883390 \r \h </w:instrText>
      </w:r>
      <w:r w:rsidR="00D139DB">
        <w:fldChar w:fldCharType="separate"/>
      </w:r>
      <w:r w:rsidR="00AE4D34">
        <w:t>E.5</w:t>
      </w:r>
      <w:r w:rsidR="00D139DB">
        <w:fldChar w:fldCharType="end"/>
      </w:r>
      <w:r w:rsidR="002A6A78">
        <w:t xml:space="preserve"> in which a</w:t>
      </w:r>
      <w:r w:rsidR="002A6A78" w:rsidRPr="003C5119">
        <w:t xml:space="preserve"> multivariate</w:t>
      </w:r>
      <w:r w:rsidR="002A6A78">
        <w:t xml:space="preserve"> multi-level</w:t>
      </w:r>
      <w:r w:rsidR="002A6A78" w:rsidRPr="003C5119">
        <w:t xml:space="preserve"> linear regression </w:t>
      </w:r>
      <w:r w:rsidR="002A6A78">
        <w:t>is used to analyse variation in outcomes to better understand why some episodes of care, and some services, experienced better outcomes than others.</w:t>
      </w:r>
    </w:p>
    <w:p w14:paraId="580F4AF8" w14:textId="77777777" w:rsidR="002A6A78" w:rsidRPr="00983F99" w:rsidRDefault="002A6A78" w:rsidP="000244E4">
      <w:pPr>
        <w:pStyle w:val="BodyText"/>
        <w:rPr>
          <w:rStyle w:val="IntenseEmphasis"/>
          <w:i w:val="0"/>
          <w:color w:val="auto"/>
        </w:rPr>
      </w:pPr>
      <w:r w:rsidRPr="00EA2406">
        <w:rPr>
          <w:rStyle w:val="IntenseEmphasis"/>
          <w:i w:val="0"/>
          <w:color w:val="auto"/>
        </w:rPr>
        <w:t>Analysis of variation suggests that t</w:t>
      </w:r>
      <w:r w:rsidRPr="00983F99">
        <w:rPr>
          <w:rStyle w:val="IntenseEmphasis"/>
          <w:i w:val="0"/>
          <w:color w:val="auto"/>
        </w:rPr>
        <w:t>he majority of headspace services deliver a positive and statistically significant improvement in mental health and broader outcomes as measured by the K10, SOFAS and MLT outcome measures.</w:t>
      </w:r>
    </w:p>
    <w:p w14:paraId="5DBBDEAA" w14:textId="594CDDBA" w:rsidR="002A6A78" w:rsidRDefault="002A6A78" w:rsidP="00A84B44">
      <w:pPr>
        <w:pStyle w:val="AppendixHeading2"/>
        <w:rPr>
          <w:lang w:eastAsia="en-AU"/>
        </w:rPr>
      </w:pPr>
      <w:bookmarkStart w:id="325" w:name="_Ref97883390"/>
      <w:r w:rsidRPr="003C19B1">
        <w:rPr>
          <w:lang w:eastAsia="en-AU"/>
        </w:rPr>
        <w:t>What factors are associated with positive outcomes</w:t>
      </w:r>
      <w:r>
        <w:rPr>
          <w:lang w:eastAsia="en-AU"/>
        </w:rPr>
        <w:t>?</w:t>
      </w:r>
      <w:bookmarkEnd w:id="325"/>
    </w:p>
    <w:p w14:paraId="0B5A000B" w14:textId="50337D4C" w:rsidR="002A6A78" w:rsidRDefault="002A6A78" w:rsidP="003006A8">
      <w:pPr>
        <w:pStyle w:val="BodyText"/>
      </w:pPr>
      <w:r>
        <w:t>A</w:t>
      </w:r>
      <w:r w:rsidRPr="003C5119">
        <w:t xml:space="preserve"> multivariate</w:t>
      </w:r>
      <w:r>
        <w:t xml:space="preserve"> multi-level</w:t>
      </w:r>
      <w:r w:rsidRPr="003C5119">
        <w:t xml:space="preserve"> linear regression </w:t>
      </w:r>
      <w:r>
        <w:t>was used to analyse variation in outcomes to better understand why some young people experience better outcomes than others, and why on average, some services delivered a larger improvement in outcomes. A range of explanatory factors were considered:</w:t>
      </w:r>
    </w:p>
    <w:p w14:paraId="16C06922" w14:textId="77777777" w:rsidR="002A6A78" w:rsidRPr="00A84B44" w:rsidRDefault="002A6A78" w:rsidP="00A84B44">
      <w:pPr>
        <w:pStyle w:val="Bullet1stlevel"/>
      </w:pPr>
      <w:r w:rsidRPr="00541C79">
        <w:t>Young person</w:t>
      </w:r>
      <w:r>
        <w:t xml:space="preserve"> factors </w:t>
      </w:r>
      <w:r w:rsidRPr="00A84B44">
        <w:t>–</w:t>
      </w:r>
      <w:r w:rsidRPr="00541C79">
        <w:t xml:space="preserve"> socio-demographics such as their age, gender, Aboriginal and Torres Strait Islander status, culturally and linguistically diverse status, as well as their initial </w:t>
      </w:r>
      <w:r>
        <w:t xml:space="preserve">psychological </w:t>
      </w:r>
      <w:r w:rsidRPr="00541C79">
        <w:t>distress on intake</w:t>
      </w:r>
      <w:r>
        <w:t xml:space="preserve"> as measured by the K10.</w:t>
      </w:r>
    </w:p>
    <w:p w14:paraId="6E8E0D99" w14:textId="77777777" w:rsidR="002A6A78" w:rsidRDefault="002A6A78" w:rsidP="00A84B44">
      <w:pPr>
        <w:pStyle w:val="Bullet1stlevel"/>
      </w:pPr>
      <w:r>
        <w:t xml:space="preserve">Occasion of service factors </w:t>
      </w:r>
      <w:r w:rsidRPr="00A84B44">
        <w:t>–</w:t>
      </w:r>
      <w:r>
        <w:t xml:space="preserve"> t</w:t>
      </w:r>
      <w:r w:rsidRPr="00541C79">
        <w:t>he number and type of services received during their episode</w:t>
      </w:r>
      <w:r w:rsidRPr="00A84B44">
        <w:t xml:space="preserve">. </w:t>
      </w:r>
      <w:r>
        <w:t xml:space="preserve">During an episode, a young person can receive mental health only services; non-mental health only services (such as vocational services); or any mixture of mental health and non-mental health services. </w:t>
      </w:r>
    </w:p>
    <w:p w14:paraId="5AAC9506" w14:textId="77777777" w:rsidR="00DE39C2" w:rsidRPr="00DE39C2" w:rsidRDefault="002A6A78" w:rsidP="00DE39C2">
      <w:pPr>
        <w:pStyle w:val="Bullet1stlevel"/>
      </w:pPr>
      <w:r>
        <w:t>Service</w:t>
      </w:r>
      <w:r w:rsidRPr="00541C79">
        <w:t xml:space="preserve"> specific factors</w:t>
      </w:r>
      <w:r w:rsidRPr="00A84B44">
        <w:t xml:space="preserve"> – </w:t>
      </w:r>
      <w:r>
        <w:t>a young person’s</w:t>
      </w:r>
      <w:r w:rsidRPr="00541C79">
        <w:t xml:space="preserve"> mental health outcome can be influenced by the </w:t>
      </w:r>
      <w:r>
        <w:t>headspace service</w:t>
      </w:r>
      <w:r w:rsidRPr="00541C79">
        <w:t xml:space="preserve"> they accessed. This could be because of heterogenous service quality across </w:t>
      </w:r>
      <w:r>
        <w:t>headspace services</w:t>
      </w:r>
      <w:r w:rsidRPr="00541C79">
        <w:t xml:space="preserve">, the staff availability and locally </w:t>
      </w:r>
      <w:r w:rsidRPr="00BF45BE">
        <w:t>specific</w:t>
      </w:r>
      <w:r w:rsidRPr="00541C79">
        <w:t xml:space="preserve"> unobservable factors affecting mental health wellbeing</w:t>
      </w:r>
      <w:r>
        <w:t xml:space="preserve">. </w:t>
      </w:r>
    </w:p>
    <w:p w14:paraId="6178F9A9" w14:textId="77777777" w:rsidR="00187010" w:rsidRDefault="00187010" w:rsidP="00187010">
      <w:pPr>
        <w:pStyle w:val="BodyText"/>
      </w:pPr>
      <w:r>
        <w:t>This is done by estimating the following regression:</w:t>
      </w:r>
    </w:p>
    <w:p w14:paraId="790EBC9B" w14:textId="77777777" w:rsidR="00187010" w:rsidRDefault="00F333C3" w:rsidP="00187010">
      <w:pPr>
        <w:pStyle w:val="BodyText"/>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rPr>
              </m:ctrlPr>
            </m:sSupPr>
            <m:e>
              <m:r>
                <m:rPr>
                  <m:sty m:val="p"/>
                </m:rPr>
                <w:rPr>
                  <w:rFonts w:ascii="Cambria Math" w:hAnsi="Cambria Math"/>
                </w:rPr>
                <m:t>λ</m:t>
              </m:r>
            </m:e>
            <m:sup>
              <m:r>
                <w:rPr>
                  <w:rFonts w:ascii="Cambria Math" w:hAnsi="Cambria Math"/>
                </w:rPr>
                <m:t>'</m:t>
              </m:r>
            </m:sup>
          </m:sSup>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m:t>
              </m:r>
            </m:sup>
          </m:sSup>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i</m:t>
              </m:r>
            </m:sub>
          </m:sSub>
        </m:oMath>
      </m:oMathPara>
    </w:p>
    <w:p w14:paraId="45667BF2" w14:textId="77777777" w:rsidR="00187010" w:rsidRDefault="00187010" w:rsidP="003006A8">
      <w:pPr>
        <w:pStyle w:val="BodyText"/>
      </w:pPr>
      <w:r>
        <w:t>where:</w:t>
      </w:r>
    </w:p>
    <w:p w14:paraId="07ADD3A6" w14:textId="77777777" w:rsidR="00187010" w:rsidRDefault="00F333C3" w:rsidP="00187010">
      <w:pPr>
        <w:pStyle w:val="Bullet1stlevel"/>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187010">
        <w:t xml:space="preserve"> represents the change between the final and initial K10, SOFAS or MLT outcome measures for an episode </w:t>
      </w:r>
      <m:oMath>
        <m:r>
          <w:rPr>
            <w:rFonts w:ascii="Cambria Math" w:hAnsi="Cambria Math"/>
          </w:rPr>
          <m:t>i</m:t>
        </m:r>
      </m:oMath>
      <w:r w:rsidR="00187010">
        <w:t>. T</w:t>
      </w:r>
      <w:r w:rsidR="00187010" w:rsidRPr="00255937">
        <w:t>he change between the initial and final observed outcome measures have been adjusted for RTM;</w:t>
      </w:r>
    </w:p>
    <w:p w14:paraId="329D4DE3" w14:textId="77777777" w:rsidR="00187010" w:rsidRDefault="00F333C3" w:rsidP="00187010">
      <w:pPr>
        <w:pStyle w:val="Bullet1stlevel"/>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187010" w:rsidRPr="00255937">
        <w:t xml:space="preserve"> represents a numerical constant;</w:t>
      </w:r>
    </w:p>
    <w:p w14:paraId="57C1DB59" w14:textId="77777777" w:rsidR="00187010" w:rsidRPr="005E48D7" w:rsidRDefault="00F333C3" w:rsidP="00187010">
      <w:pPr>
        <w:pStyle w:val="Bullet1stlevel"/>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187010" w:rsidRPr="00255937">
        <w:t xml:space="preserve"> represents </w:t>
      </w:r>
      <w:r w:rsidR="00187010">
        <w:t xml:space="preserve">a vector of the young person’s characteristics including age, gender, initial level of mental distress, Aboriginal and Torres Strait Islander status, culturally and linguistically diverse status and regionality. </w:t>
      </w:r>
    </w:p>
    <w:p w14:paraId="4308D606" w14:textId="77777777" w:rsidR="00187010" w:rsidRDefault="00187010" w:rsidP="00187010">
      <w:pPr>
        <w:pStyle w:val="Bullet1stlevel"/>
        <w:numPr>
          <w:ilvl w:val="0"/>
          <w:numId w:val="0"/>
        </w:numPr>
        <w:ind w:left="357"/>
      </w:pPr>
      <m:oMath>
        <m:r>
          <w:rPr>
            <w:rFonts w:ascii="Cambria Math" w:hAnsi="Cambria Math"/>
          </w:rPr>
          <m:t>β</m:t>
        </m:r>
      </m:oMath>
      <w:r w:rsidRPr="00255937">
        <w:t xml:space="preserve"> </w:t>
      </w:r>
      <w:r>
        <w:t xml:space="preserve">represents the relevant </w:t>
      </w:r>
      <w:r w:rsidRPr="00255937">
        <w:t>coefficient estimates</w:t>
      </w:r>
      <w:r>
        <w:t>;</w:t>
      </w:r>
    </w:p>
    <w:p w14:paraId="45078536" w14:textId="282056E4" w:rsidR="00187010" w:rsidRPr="005E48D7" w:rsidRDefault="00F333C3" w:rsidP="00187010">
      <w:pPr>
        <w:pStyle w:val="Bullet1stlevel"/>
      </w:pP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187010" w:rsidRPr="00255937">
        <w:t xml:space="preserve"> represents </w:t>
      </w:r>
      <w:r w:rsidR="00187010">
        <w:t xml:space="preserve">a vector of variables including </w:t>
      </w:r>
      <w:r w:rsidR="00187010" w:rsidRPr="00255937">
        <w:t>the</w:t>
      </w:r>
      <w:r w:rsidR="00187010">
        <w:t xml:space="preserve"> episode’s number of </w:t>
      </w:r>
      <w:r w:rsidR="009C028B">
        <w:t>OOS</w:t>
      </w:r>
      <w:r w:rsidR="00187010">
        <w:t xml:space="preserve"> and the type of services received. </w:t>
      </w:r>
    </w:p>
    <w:p w14:paraId="4C8E4B13" w14:textId="77777777" w:rsidR="00187010" w:rsidRDefault="00187010" w:rsidP="00187010">
      <w:pPr>
        <w:pStyle w:val="Bullet1stlevel"/>
        <w:numPr>
          <w:ilvl w:val="0"/>
          <w:numId w:val="0"/>
        </w:numPr>
        <w:ind w:left="357"/>
      </w:pPr>
      <m:oMath>
        <m:r>
          <m:rPr>
            <m:sty m:val="p"/>
          </m:rPr>
          <w:rPr>
            <w:rFonts w:ascii="Cambria Math" w:hAnsi="Cambria Math"/>
          </w:rPr>
          <m:t>λ</m:t>
        </m:r>
      </m:oMath>
      <w:r w:rsidRPr="00255937">
        <w:t xml:space="preserve"> </w:t>
      </w:r>
      <w:r>
        <w:t xml:space="preserve">represents the relevant </w:t>
      </w:r>
      <w:r w:rsidRPr="00255937">
        <w:t>coefficient estimates</w:t>
      </w:r>
      <w:r>
        <w:t>;</w:t>
      </w:r>
    </w:p>
    <w:p w14:paraId="09E2E54F" w14:textId="00534150" w:rsidR="00187010" w:rsidRPr="005E48D7" w:rsidRDefault="00F333C3" w:rsidP="00E16606">
      <w:pPr>
        <w:pStyle w:val="Bullet1stlevel"/>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187010">
        <w:t xml:space="preserve"> represents a vector of dummy variables indicating the service where the episode of care was held at.</w:t>
      </w:r>
      <m:oMath>
        <m:r>
          <w:rPr>
            <w:rFonts w:ascii="Cambria Math" w:hAnsi="Cambria Math"/>
          </w:rPr>
          <m:t xml:space="preserve"> </m:t>
        </m:r>
      </m:oMath>
    </w:p>
    <w:p w14:paraId="6083AD29" w14:textId="77777777" w:rsidR="00187010" w:rsidRDefault="00187010" w:rsidP="00187010">
      <w:pPr>
        <w:pStyle w:val="Bullet1stlevel"/>
        <w:numPr>
          <w:ilvl w:val="0"/>
          <w:numId w:val="0"/>
        </w:numPr>
        <w:ind w:left="357"/>
      </w:pPr>
      <m:oMath>
        <m:r>
          <w:rPr>
            <w:rFonts w:ascii="Cambria Math" w:hAnsi="Cambria Math"/>
          </w:rPr>
          <m:t>γ</m:t>
        </m:r>
      </m:oMath>
      <w:r w:rsidRPr="00255937">
        <w:t xml:space="preserve"> </w:t>
      </w:r>
      <w:r>
        <w:t>represents the relevant service fixed effects; and</w:t>
      </w:r>
    </w:p>
    <w:p w14:paraId="779D7EA8" w14:textId="19AAFC3A" w:rsidR="00187010" w:rsidRDefault="00F333C3" w:rsidP="002A6A78">
      <w:pPr>
        <w:pStyle w:val="Bullet1stlevel"/>
      </w:pPr>
      <m:oMath>
        <m:sSub>
          <m:sSubPr>
            <m:ctrlPr>
              <w:rPr>
                <w:rFonts w:ascii="Cambria Math" w:hAnsi="Cambria Math"/>
              </w:rPr>
            </m:ctrlPr>
          </m:sSubPr>
          <m:e>
            <m:r>
              <m:rPr>
                <m:sty m:val="p"/>
              </m:rPr>
              <w:rPr>
                <w:rFonts w:ascii="Cambria Math" w:hAnsi="Cambria Math"/>
              </w:rPr>
              <m:t>ϵ</m:t>
            </m:r>
          </m:e>
          <m:sub>
            <m:r>
              <m:rPr>
                <m:sty m:val="p"/>
              </m:rPr>
              <w:rPr>
                <w:rFonts w:ascii="Cambria Math" w:hAnsi="Cambria Math"/>
              </w:rPr>
              <m:t>i</m:t>
            </m:r>
          </m:sub>
        </m:sSub>
      </m:oMath>
      <w:r w:rsidR="00187010" w:rsidRPr="00255937">
        <w:t xml:space="preserve"> represents an error component. </w:t>
      </w:r>
    </w:p>
    <w:p w14:paraId="6380D651" w14:textId="77777777" w:rsidR="00187010" w:rsidRDefault="00187010" w:rsidP="00187010">
      <w:pPr>
        <w:pStyle w:val="BodyText"/>
      </w:pPr>
      <w:r>
        <w:rPr>
          <w:rFonts w:eastAsiaTheme="minorEastAsia"/>
        </w:rPr>
        <w:t>Although the effectiveness analysis dataset includes 33,394 episodes, only 27,867 episodes had non</w:t>
      </w:r>
      <w:r>
        <w:rPr>
          <w:rFonts w:eastAsiaTheme="minorEastAsia"/>
        </w:rPr>
        <w:noBreakHyphen/>
        <w:t xml:space="preserve">missing initial and final K10 outcome measure. The regression further dropped episodes with missing explanatory factors leading to a final sample of </w:t>
      </w:r>
      <w:r>
        <w:t>22,348 episodes for the K10 regression.</w:t>
      </w:r>
    </w:p>
    <w:p w14:paraId="60AADACF" w14:textId="77777777" w:rsidR="00187010" w:rsidRPr="0075520A" w:rsidRDefault="00187010" w:rsidP="00187010">
      <w:pPr>
        <w:pStyle w:val="BodyText"/>
      </w:pPr>
      <w:r>
        <w:t xml:space="preserve">For the SOFAS improvement regression, only </w:t>
      </w:r>
      <w:r>
        <w:rPr>
          <w:rFonts w:eastAsiaTheme="minorEastAsia"/>
        </w:rPr>
        <w:t xml:space="preserve">30,351 episodes had non-missing initial and final SOFAS outcome measure. The SOFAS regression further dropped episodes with missing explanatory factors leading to a final sample of </w:t>
      </w:r>
      <w:r>
        <w:t>22,254 episodes for analysis.</w:t>
      </w:r>
    </w:p>
    <w:p w14:paraId="15991AEF" w14:textId="77777777" w:rsidR="00187010" w:rsidRDefault="00187010" w:rsidP="00187010">
      <w:pPr>
        <w:pStyle w:val="BodyText"/>
      </w:pPr>
      <w:r>
        <w:t xml:space="preserve">For the MLT improvement regression, only </w:t>
      </w:r>
      <w:r>
        <w:rPr>
          <w:rFonts w:eastAsiaTheme="minorEastAsia"/>
        </w:rPr>
        <w:t xml:space="preserve">27,957 episodes had non-missing initial and final MLT outcome measures. The </w:t>
      </w:r>
      <w:r>
        <w:t xml:space="preserve">MLT </w:t>
      </w:r>
      <w:r>
        <w:rPr>
          <w:rFonts w:eastAsiaTheme="minorEastAsia"/>
        </w:rPr>
        <w:t xml:space="preserve">regression further dropped episodes with missing explanatory factors leading to a final sample of </w:t>
      </w:r>
      <w:r>
        <w:t>22,333 episodes for analysis.</w:t>
      </w:r>
    </w:p>
    <w:p w14:paraId="7743FC36" w14:textId="7F8642A6" w:rsidR="00CB2788" w:rsidRDefault="00862874" w:rsidP="00175DF2">
      <w:pPr>
        <w:pStyle w:val="BodyText"/>
      </w:pPr>
      <w:r>
        <w:fldChar w:fldCharType="begin" w:fldLock="1"/>
      </w:r>
      <w:r>
        <w:instrText xml:space="preserve"> REF _Ref98402720 \h </w:instrText>
      </w:r>
      <w:r>
        <w:fldChar w:fldCharType="separate"/>
      </w:r>
      <w:r w:rsidR="00440F5D">
        <w:t xml:space="preserve">Table </w:t>
      </w:r>
      <w:r w:rsidR="00440F5D">
        <w:rPr>
          <w:noProof/>
        </w:rPr>
        <w:t>69</w:t>
      </w:r>
      <w:r>
        <w:fldChar w:fldCharType="end"/>
      </w:r>
      <w:r>
        <w:t xml:space="preserve"> </w:t>
      </w:r>
      <w:r w:rsidR="00187010">
        <w:t>below summaries the impact each explanatory variable had on the RTM adjusted changes in the K10, SOFAS and MLT outcome measures.</w:t>
      </w:r>
      <w:r w:rsidR="00175DF2">
        <w:t xml:space="preserve"> </w:t>
      </w:r>
      <w:r w:rsidR="00962A20">
        <w:t>Each coefficient represent</w:t>
      </w:r>
      <w:r w:rsidR="00CB2788">
        <w:t>s</w:t>
      </w:r>
      <w:r w:rsidR="00962A20">
        <w:t xml:space="preserve"> </w:t>
      </w:r>
      <w:r w:rsidR="00CB2788">
        <w:t xml:space="preserve">the impact the variable had, holding all other factors being equal, on </w:t>
      </w:r>
      <w:r w:rsidR="00A90FD0">
        <w:t>unit</w:t>
      </w:r>
      <w:r w:rsidR="00CB2788">
        <w:t xml:space="preserve"> changes in the K10, SOFAS or MLT outcome measure. For example, </w:t>
      </w:r>
      <w:r w:rsidR="00640BB9">
        <w:t>holding all other factors equal, a young person aged 15 to 19 years would have a K10 improvement</w:t>
      </w:r>
      <w:r w:rsidR="00A90FD0">
        <w:t xml:space="preserve"> that is 0.2 smaller than their counterparts aged </w:t>
      </w:r>
      <w:r w:rsidR="002249A6">
        <w:t>younger than 15 years.</w:t>
      </w:r>
    </w:p>
    <w:p w14:paraId="173F844C" w14:textId="6E9036E1" w:rsidR="00175DF2" w:rsidRDefault="00175DF2" w:rsidP="00175DF2">
      <w:pPr>
        <w:pStyle w:val="BodyText"/>
      </w:pPr>
      <w:r>
        <w:t xml:space="preserve">Key results of the regression analysis are presented in </w:t>
      </w:r>
      <w:r w:rsidR="00487003">
        <w:fldChar w:fldCharType="begin" w:fldLock="1"/>
      </w:r>
      <w:r w:rsidR="00487003">
        <w:instrText xml:space="preserve"> REF _Ref97750416 \h </w:instrText>
      </w:r>
      <w:r w:rsidR="00487003">
        <w:fldChar w:fldCharType="separate"/>
      </w:r>
      <w:r w:rsidR="000C245D">
        <w:t xml:space="preserve">Figure </w:t>
      </w:r>
      <w:r w:rsidR="000C245D">
        <w:rPr>
          <w:noProof/>
        </w:rPr>
        <w:t>60</w:t>
      </w:r>
      <w:r w:rsidR="00487003">
        <w:fldChar w:fldCharType="end"/>
      </w:r>
      <w:r>
        <w:t xml:space="preserve">, </w:t>
      </w:r>
      <w:r w:rsidR="00487003">
        <w:fldChar w:fldCharType="begin" w:fldLock="1"/>
      </w:r>
      <w:r w:rsidR="00487003">
        <w:instrText xml:space="preserve"> REF _Ref97889600 \h </w:instrText>
      </w:r>
      <w:r w:rsidR="00487003">
        <w:fldChar w:fldCharType="separate"/>
      </w:r>
      <w:r w:rsidR="000C245D">
        <w:t xml:space="preserve">Figure </w:t>
      </w:r>
      <w:r w:rsidR="000C245D">
        <w:rPr>
          <w:noProof/>
        </w:rPr>
        <w:t>61</w:t>
      </w:r>
      <w:r w:rsidR="00487003">
        <w:fldChar w:fldCharType="end"/>
      </w:r>
      <w:r>
        <w:t xml:space="preserve"> and </w:t>
      </w:r>
      <w:r w:rsidR="00487003">
        <w:fldChar w:fldCharType="begin" w:fldLock="1"/>
      </w:r>
      <w:r w:rsidR="00487003">
        <w:instrText xml:space="preserve"> REF _Ref97889602 \h </w:instrText>
      </w:r>
      <w:r w:rsidR="00487003">
        <w:fldChar w:fldCharType="separate"/>
      </w:r>
      <w:r w:rsidR="000C245D">
        <w:t xml:space="preserve">Figure </w:t>
      </w:r>
      <w:r w:rsidR="000C245D">
        <w:rPr>
          <w:noProof/>
        </w:rPr>
        <w:t>62</w:t>
      </w:r>
      <w:r w:rsidR="00487003">
        <w:fldChar w:fldCharType="end"/>
      </w:r>
      <w:r w:rsidR="00487003">
        <w:t>,</w:t>
      </w:r>
      <w:r>
        <w:t xml:space="preserve"> and discussed below</w:t>
      </w:r>
      <w:r w:rsidR="00487003">
        <w:t>.</w:t>
      </w:r>
      <w:r w:rsidR="0054438B">
        <w:t xml:space="preserve"> </w:t>
      </w:r>
      <w:r w:rsidR="00344547">
        <w:fldChar w:fldCharType="begin" w:fldLock="1"/>
      </w:r>
      <w:r w:rsidR="00344547">
        <w:instrText xml:space="preserve"> REF _Ref97750416 \h </w:instrText>
      </w:r>
      <w:r w:rsidR="00344547">
        <w:fldChar w:fldCharType="separate"/>
      </w:r>
      <w:r w:rsidR="000C245D">
        <w:t xml:space="preserve">Figure </w:t>
      </w:r>
      <w:r w:rsidR="000C245D">
        <w:rPr>
          <w:noProof/>
        </w:rPr>
        <w:t>60</w:t>
      </w:r>
      <w:r w:rsidR="00344547">
        <w:fldChar w:fldCharType="end"/>
      </w:r>
      <w:r w:rsidR="00344547">
        <w:t xml:space="preserve">, </w:t>
      </w:r>
      <w:r w:rsidR="00344547">
        <w:fldChar w:fldCharType="begin" w:fldLock="1"/>
      </w:r>
      <w:r w:rsidR="00344547">
        <w:instrText xml:space="preserve"> REF _Ref97889600 \h </w:instrText>
      </w:r>
      <w:r w:rsidR="00344547">
        <w:fldChar w:fldCharType="separate"/>
      </w:r>
      <w:r w:rsidR="000C245D">
        <w:t xml:space="preserve">Figure </w:t>
      </w:r>
      <w:r w:rsidR="000C245D">
        <w:rPr>
          <w:noProof/>
        </w:rPr>
        <w:t>61</w:t>
      </w:r>
      <w:r w:rsidR="00344547">
        <w:fldChar w:fldCharType="end"/>
      </w:r>
      <w:r w:rsidR="00344547">
        <w:t xml:space="preserve"> and </w:t>
      </w:r>
      <w:r w:rsidR="00344547">
        <w:fldChar w:fldCharType="begin" w:fldLock="1"/>
      </w:r>
      <w:r w:rsidR="00344547">
        <w:instrText xml:space="preserve"> REF _Ref97889602 \h </w:instrText>
      </w:r>
      <w:r w:rsidR="00344547">
        <w:fldChar w:fldCharType="separate"/>
      </w:r>
      <w:r w:rsidR="000C245D">
        <w:t xml:space="preserve">Figure </w:t>
      </w:r>
      <w:r w:rsidR="000C245D">
        <w:rPr>
          <w:noProof/>
        </w:rPr>
        <w:t>62</w:t>
      </w:r>
      <w:r w:rsidR="00344547">
        <w:fldChar w:fldCharType="end"/>
      </w:r>
      <w:r w:rsidR="00344547">
        <w:t xml:space="preserve"> present the average improvements in the K10, SOFAS and MLT outcome measure, respectively, for each cohort group.</w:t>
      </w:r>
    </w:p>
    <w:p w14:paraId="59554A91" w14:textId="16AD73B3" w:rsidR="00187010" w:rsidRDefault="00187010" w:rsidP="00187010">
      <w:pPr>
        <w:pStyle w:val="Caption"/>
      </w:pPr>
      <w:bookmarkStart w:id="326" w:name="_Ref98402720"/>
      <w:bookmarkStart w:id="327" w:name="_Toc108109019"/>
      <w:r>
        <w:t xml:space="preserve">Table </w:t>
      </w:r>
      <w:r>
        <w:fldChar w:fldCharType="begin"/>
      </w:r>
      <w:r>
        <w:instrText>SEQ Table \* ARABIC</w:instrText>
      </w:r>
      <w:r>
        <w:fldChar w:fldCharType="separate"/>
      </w:r>
      <w:r w:rsidR="00CC0438">
        <w:rPr>
          <w:noProof/>
        </w:rPr>
        <w:t>69</w:t>
      </w:r>
      <w:r>
        <w:fldChar w:fldCharType="end"/>
      </w:r>
      <w:bookmarkEnd w:id="326"/>
      <w:r>
        <w:t>: Linear regression of mental health improvements</w:t>
      </w:r>
      <w:bookmarkEnd w:id="327"/>
    </w:p>
    <w:tbl>
      <w:tblPr>
        <w:tblW w:w="5000" w:type="pct"/>
        <w:tblLook w:val="04A0" w:firstRow="1" w:lastRow="0" w:firstColumn="1" w:lastColumn="0" w:noHBand="0" w:noVBand="1"/>
        <w:tblCaption w:val="Linear regression of mental health improvements"/>
        <w:tblDescription w:val="Table has 4 columns and summarises the linear regression of mental health improvements. Column 1 includes the independent variables analysed. Column 2 indicates the change in K10 scores for each variable. Column 3 indicates the change in SOFAS scores for each variable. Column 4 indicates the changes in My Life Tracker scores for each variable."/>
      </w:tblPr>
      <w:tblGrid>
        <w:gridCol w:w="2500"/>
        <w:gridCol w:w="2336"/>
        <w:gridCol w:w="1997"/>
        <w:gridCol w:w="2237"/>
      </w:tblGrid>
      <w:tr w:rsidR="007F7999" w:rsidRPr="007F7999" w14:paraId="2ED5D314" w14:textId="77777777" w:rsidTr="007F7999">
        <w:trPr>
          <w:tblHeader/>
        </w:trPr>
        <w:tc>
          <w:tcPr>
            <w:tcW w:w="1378" w:type="pct"/>
            <w:vMerge w:val="restart"/>
            <w:shd w:val="clear" w:color="auto" w:fill="00338D"/>
            <w:vAlign w:val="bottom"/>
          </w:tcPr>
          <w:p w14:paraId="381A92EA" w14:textId="77777777" w:rsidR="007F7999" w:rsidRPr="007F7999" w:rsidRDefault="007F7999" w:rsidP="007F7999">
            <w:pPr>
              <w:pStyle w:val="Tableheading"/>
            </w:pPr>
            <w:r w:rsidRPr="007F7999">
              <w:t>Independent variables</w:t>
            </w:r>
          </w:p>
        </w:tc>
        <w:tc>
          <w:tcPr>
            <w:tcW w:w="3622" w:type="pct"/>
            <w:gridSpan w:val="3"/>
            <w:tcBorders>
              <w:bottom w:val="single" w:sz="4" w:space="0" w:color="00338D"/>
            </w:tcBorders>
            <w:shd w:val="clear" w:color="auto" w:fill="00338D"/>
          </w:tcPr>
          <w:p w14:paraId="6E82E69C" w14:textId="77777777" w:rsidR="007F7999" w:rsidRPr="007F7999" w:rsidRDefault="007F7999" w:rsidP="00187010">
            <w:pPr>
              <w:pStyle w:val="Tableheading"/>
              <w:jc w:val="center"/>
              <w:rPr>
                <w:i/>
                <w:iCs/>
              </w:rPr>
            </w:pPr>
            <w:r w:rsidRPr="007F7999">
              <w:rPr>
                <w:i/>
                <w:iCs/>
              </w:rPr>
              <w:t>Dependent variable</w:t>
            </w:r>
          </w:p>
        </w:tc>
      </w:tr>
      <w:tr w:rsidR="007F7999" w:rsidRPr="007F7999" w14:paraId="4161F84E" w14:textId="77777777" w:rsidTr="00187010">
        <w:trPr>
          <w:tblHeader/>
        </w:trPr>
        <w:tc>
          <w:tcPr>
            <w:tcW w:w="1378" w:type="pct"/>
            <w:vMerge/>
            <w:tcBorders>
              <w:bottom w:val="single" w:sz="4" w:space="0" w:color="00338D"/>
            </w:tcBorders>
            <w:shd w:val="clear" w:color="auto" w:fill="00338D"/>
          </w:tcPr>
          <w:p w14:paraId="5C0F6906" w14:textId="77777777" w:rsidR="007F7999" w:rsidRPr="007F7999" w:rsidRDefault="007F7999" w:rsidP="00187010">
            <w:pPr>
              <w:pStyle w:val="Tableheading"/>
            </w:pPr>
          </w:p>
        </w:tc>
        <w:tc>
          <w:tcPr>
            <w:tcW w:w="1288" w:type="pct"/>
            <w:tcBorders>
              <w:bottom w:val="single" w:sz="4" w:space="0" w:color="00338D"/>
            </w:tcBorders>
            <w:shd w:val="clear" w:color="auto" w:fill="00338D"/>
          </w:tcPr>
          <w:p w14:paraId="563D0550" w14:textId="77777777" w:rsidR="007F7999" w:rsidRPr="007F7999" w:rsidRDefault="007F7999" w:rsidP="00187010">
            <w:pPr>
              <w:pStyle w:val="Tableheading"/>
              <w:jc w:val="center"/>
            </w:pPr>
            <w:r w:rsidRPr="007F7999">
              <w:t>K10 improvement</w:t>
            </w:r>
          </w:p>
          <w:p w14:paraId="7E01AABF" w14:textId="77777777" w:rsidR="007F7999" w:rsidRPr="007F7999" w:rsidRDefault="007F7999" w:rsidP="00187010">
            <w:pPr>
              <w:pStyle w:val="Tableheading"/>
              <w:jc w:val="center"/>
            </w:pPr>
            <w:r w:rsidRPr="007F7999">
              <w:t>(1)</w:t>
            </w:r>
          </w:p>
        </w:tc>
        <w:tc>
          <w:tcPr>
            <w:tcW w:w="1101" w:type="pct"/>
            <w:tcBorders>
              <w:bottom w:val="single" w:sz="4" w:space="0" w:color="00338D"/>
            </w:tcBorders>
            <w:shd w:val="clear" w:color="auto" w:fill="00338D"/>
          </w:tcPr>
          <w:p w14:paraId="210055AD" w14:textId="77777777" w:rsidR="007F7999" w:rsidRPr="007F7999" w:rsidRDefault="007F7999" w:rsidP="00187010">
            <w:pPr>
              <w:pStyle w:val="Tableheading"/>
              <w:jc w:val="center"/>
            </w:pPr>
            <w:r w:rsidRPr="007F7999">
              <w:t>SOFAS improvement</w:t>
            </w:r>
          </w:p>
          <w:p w14:paraId="24E3A418" w14:textId="77777777" w:rsidR="007F7999" w:rsidRPr="007F7999" w:rsidRDefault="007F7999" w:rsidP="00187010">
            <w:pPr>
              <w:pStyle w:val="Tableheading"/>
              <w:jc w:val="center"/>
            </w:pPr>
            <w:r w:rsidRPr="007F7999">
              <w:t>(2)</w:t>
            </w:r>
          </w:p>
        </w:tc>
        <w:tc>
          <w:tcPr>
            <w:tcW w:w="1233" w:type="pct"/>
            <w:tcBorders>
              <w:bottom w:val="single" w:sz="4" w:space="0" w:color="00338D"/>
            </w:tcBorders>
            <w:shd w:val="clear" w:color="auto" w:fill="00338D"/>
          </w:tcPr>
          <w:p w14:paraId="4C1AE2D1" w14:textId="77777777" w:rsidR="007F7999" w:rsidRPr="007F7999" w:rsidRDefault="007F7999" w:rsidP="00187010">
            <w:pPr>
              <w:pStyle w:val="Tableheading"/>
              <w:jc w:val="center"/>
            </w:pPr>
            <w:r w:rsidRPr="007F7999">
              <w:t xml:space="preserve">MLT improvement </w:t>
            </w:r>
          </w:p>
          <w:p w14:paraId="3E7C4B4F" w14:textId="77777777" w:rsidR="007F7999" w:rsidRPr="007F7999" w:rsidRDefault="007F7999" w:rsidP="00187010">
            <w:pPr>
              <w:pStyle w:val="Tableheading"/>
              <w:jc w:val="center"/>
            </w:pPr>
            <w:r w:rsidRPr="007F7999">
              <w:t>(3)</w:t>
            </w:r>
          </w:p>
        </w:tc>
      </w:tr>
      <w:tr w:rsidR="007F7999" w:rsidRPr="007F7999" w14:paraId="166BD28A" w14:textId="77777777" w:rsidTr="007F7999">
        <w:tc>
          <w:tcPr>
            <w:tcW w:w="5000" w:type="pct"/>
            <w:gridSpan w:val="4"/>
            <w:tcBorders>
              <w:top w:val="single" w:sz="4" w:space="0" w:color="00338D"/>
              <w:bottom w:val="single" w:sz="4" w:space="0" w:color="00338D"/>
            </w:tcBorders>
            <w:vAlign w:val="center"/>
          </w:tcPr>
          <w:p w14:paraId="08D96106" w14:textId="60E7A83F" w:rsidR="007F7999" w:rsidRPr="007F7999" w:rsidRDefault="007F7999" w:rsidP="007F7999">
            <w:pPr>
              <w:pStyle w:val="Tabletext"/>
              <w:rPr>
                <w:szCs w:val="20"/>
              </w:rPr>
            </w:pPr>
            <w:r w:rsidRPr="007F7999">
              <w:rPr>
                <w:b/>
                <w:bCs/>
                <w:szCs w:val="20"/>
              </w:rPr>
              <w:t>Age categories (ref = younger than 15 years)</w:t>
            </w:r>
          </w:p>
        </w:tc>
      </w:tr>
      <w:tr w:rsidR="007F7999" w:rsidRPr="007F7999" w14:paraId="510CAEAE" w14:textId="77777777" w:rsidTr="00E40E80">
        <w:trPr>
          <w:trHeight w:val="170"/>
        </w:trPr>
        <w:tc>
          <w:tcPr>
            <w:tcW w:w="1378" w:type="pct"/>
            <w:vMerge w:val="restart"/>
            <w:tcBorders>
              <w:top w:val="single" w:sz="4" w:space="0" w:color="00338D"/>
            </w:tcBorders>
            <w:vAlign w:val="center"/>
          </w:tcPr>
          <w:p w14:paraId="4178A3D1" w14:textId="77777777" w:rsidR="007F7999" w:rsidRPr="007F7999" w:rsidRDefault="007F7999" w:rsidP="00E40E80">
            <w:pPr>
              <w:pStyle w:val="Tabletext"/>
            </w:pPr>
            <w:r w:rsidRPr="007F7999">
              <w:t>15 to 19 years old</w:t>
            </w:r>
          </w:p>
        </w:tc>
        <w:tc>
          <w:tcPr>
            <w:tcW w:w="1288" w:type="pct"/>
            <w:tcBorders>
              <w:top w:val="single" w:sz="4" w:space="0" w:color="00338D"/>
            </w:tcBorders>
          </w:tcPr>
          <w:p w14:paraId="4C315ECB" w14:textId="77777777" w:rsidR="007F7999" w:rsidRPr="007F7999" w:rsidRDefault="007F7999" w:rsidP="00187010">
            <w:pPr>
              <w:pStyle w:val="Tabletext"/>
              <w:jc w:val="center"/>
              <w:rPr>
                <w:szCs w:val="20"/>
              </w:rPr>
            </w:pPr>
            <w:r w:rsidRPr="007F7999">
              <w:rPr>
                <w:szCs w:val="20"/>
              </w:rPr>
              <w:t>-0.2**</w:t>
            </w:r>
          </w:p>
        </w:tc>
        <w:tc>
          <w:tcPr>
            <w:tcW w:w="1101" w:type="pct"/>
            <w:tcBorders>
              <w:top w:val="single" w:sz="4" w:space="0" w:color="00338D"/>
            </w:tcBorders>
          </w:tcPr>
          <w:p w14:paraId="1D0E71BB" w14:textId="77777777" w:rsidR="007F7999" w:rsidRPr="007F7999" w:rsidRDefault="007F7999" w:rsidP="00187010">
            <w:pPr>
              <w:pStyle w:val="Tabletext"/>
              <w:jc w:val="center"/>
              <w:rPr>
                <w:szCs w:val="20"/>
              </w:rPr>
            </w:pPr>
            <w:r w:rsidRPr="007F7999">
              <w:rPr>
                <w:szCs w:val="20"/>
              </w:rPr>
              <w:t>0.3</w:t>
            </w:r>
          </w:p>
        </w:tc>
        <w:tc>
          <w:tcPr>
            <w:tcW w:w="1233" w:type="pct"/>
            <w:tcBorders>
              <w:top w:val="single" w:sz="4" w:space="0" w:color="00338D"/>
            </w:tcBorders>
          </w:tcPr>
          <w:p w14:paraId="4E2DE08F" w14:textId="77777777" w:rsidR="007F7999" w:rsidRPr="007F7999" w:rsidRDefault="007F7999" w:rsidP="00187010">
            <w:pPr>
              <w:pStyle w:val="Tabletext"/>
              <w:jc w:val="center"/>
              <w:rPr>
                <w:szCs w:val="20"/>
              </w:rPr>
            </w:pPr>
            <w:r w:rsidRPr="007F7999">
              <w:rPr>
                <w:szCs w:val="20"/>
              </w:rPr>
              <w:t>-0.6**</w:t>
            </w:r>
          </w:p>
        </w:tc>
      </w:tr>
      <w:tr w:rsidR="007F7999" w:rsidRPr="007F7999" w14:paraId="799E184B" w14:textId="77777777" w:rsidTr="00E40E80">
        <w:trPr>
          <w:trHeight w:val="170"/>
        </w:trPr>
        <w:tc>
          <w:tcPr>
            <w:tcW w:w="1378" w:type="pct"/>
            <w:vMerge/>
            <w:tcBorders>
              <w:bottom w:val="single" w:sz="4" w:space="0" w:color="00338D"/>
            </w:tcBorders>
            <w:vAlign w:val="center"/>
          </w:tcPr>
          <w:p w14:paraId="6E963627" w14:textId="77777777" w:rsidR="007F7999" w:rsidRPr="007F7999" w:rsidRDefault="007F7999" w:rsidP="00E40E80">
            <w:pPr>
              <w:pStyle w:val="Tabletext"/>
            </w:pPr>
          </w:p>
        </w:tc>
        <w:tc>
          <w:tcPr>
            <w:tcW w:w="1288" w:type="pct"/>
            <w:tcBorders>
              <w:bottom w:val="single" w:sz="4" w:space="0" w:color="00338D"/>
            </w:tcBorders>
          </w:tcPr>
          <w:p w14:paraId="13A87A6B" w14:textId="77777777" w:rsidR="007F7999" w:rsidRPr="007F7999" w:rsidRDefault="007F7999" w:rsidP="00187010">
            <w:pPr>
              <w:pStyle w:val="Tabletext"/>
              <w:jc w:val="center"/>
              <w:rPr>
                <w:szCs w:val="20"/>
              </w:rPr>
            </w:pPr>
            <w:r w:rsidRPr="007F7999">
              <w:rPr>
                <w:szCs w:val="20"/>
              </w:rPr>
              <w:t>(0.10)</w:t>
            </w:r>
          </w:p>
        </w:tc>
        <w:tc>
          <w:tcPr>
            <w:tcW w:w="1101" w:type="pct"/>
            <w:tcBorders>
              <w:bottom w:val="single" w:sz="4" w:space="0" w:color="00338D"/>
            </w:tcBorders>
          </w:tcPr>
          <w:p w14:paraId="416D2546" w14:textId="77777777" w:rsidR="007F7999" w:rsidRPr="007F7999" w:rsidRDefault="007F7999" w:rsidP="00187010">
            <w:pPr>
              <w:pStyle w:val="Tabletext"/>
              <w:jc w:val="center"/>
              <w:rPr>
                <w:szCs w:val="20"/>
              </w:rPr>
            </w:pPr>
            <w:r w:rsidRPr="007F7999">
              <w:rPr>
                <w:szCs w:val="20"/>
              </w:rPr>
              <w:t>(0.18)</w:t>
            </w:r>
          </w:p>
        </w:tc>
        <w:tc>
          <w:tcPr>
            <w:tcW w:w="1233" w:type="pct"/>
            <w:tcBorders>
              <w:bottom w:val="single" w:sz="4" w:space="0" w:color="00338D"/>
            </w:tcBorders>
          </w:tcPr>
          <w:p w14:paraId="133BD66F" w14:textId="77777777" w:rsidR="007F7999" w:rsidRPr="007F7999" w:rsidRDefault="007F7999" w:rsidP="00187010">
            <w:pPr>
              <w:pStyle w:val="Tabletext"/>
              <w:jc w:val="center"/>
              <w:rPr>
                <w:szCs w:val="20"/>
              </w:rPr>
            </w:pPr>
            <w:r w:rsidRPr="007F7999">
              <w:rPr>
                <w:szCs w:val="20"/>
              </w:rPr>
              <w:t>(0.29)</w:t>
            </w:r>
          </w:p>
        </w:tc>
      </w:tr>
      <w:tr w:rsidR="007F7999" w:rsidRPr="007F7999" w14:paraId="0C252496" w14:textId="77777777" w:rsidTr="00E40E80">
        <w:trPr>
          <w:trHeight w:val="170"/>
        </w:trPr>
        <w:tc>
          <w:tcPr>
            <w:tcW w:w="1378" w:type="pct"/>
            <w:vMerge w:val="restart"/>
            <w:tcBorders>
              <w:top w:val="single" w:sz="4" w:space="0" w:color="00338D"/>
            </w:tcBorders>
            <w:vAlign w:val="center"/>
          </w:tcPr>
          <w:p w14:paraId="4116E963" w14:textId="77777777" w:rsidR="007F7999" w:rsidRPr="007F7999" w:rsidRDefault="007F7999" w:rsidP="00E40E80">
            <w:pPr>
              <w:pStyle w:val="Tabletext"/>
            </w:pPr>
            <w:r w:rsidRPr="007F7999">
              <w:t>20 to 24 years old</w:t>
            </w:r>
          </w:p>
        </w:tc>
        <w:tc>
          <w:tcPr>
            <w:tcW w:w="1288" w:type="pct"/>
            <w:tcBorders>
              <w:top w:val="single" w:sz="4" w:space="0" w:color="00338D"/>
            </w:tcBorders>
          </w:tcPr>
          <w:p w14:paraId="2704436C" w14:textId="77777777" w:rsidR="007F7999" w:rsidRPr="007F7999" w:rsidRDefault="007F7999" w:rsidP="00187010">
            <w:pPr>
              <w:pStyle w:val="Tabletext"/>
              <w:jc w:val="center"/>
              <w:rPr>
                <w:szCs w:val="20"/>
              </w:rPr>
            </w:pPr>
            <w:r w:rsidRPr="007F7999">
              <w:rPr>
                <w:szCs w:val="20"/>
              </w:rPr>
              <w:t>0.2</w:t>
            </w:r>
          </w:p>
        </w:tc>
        <w:tc>
          <w:tcPr>
            <w:tcW w:w="1101" w:type="pct"/>
            <w:tcBorders>
              <w:top w:val="single" w:sz="4" w:space="0" w:color="00338D"/>
            </w:tcBorders>
          </w:tcPr>
          <w:p w14:paraId="699B5282" w14:textId="77777777" w:rsidR="007F7999" w:rsidRPr="007F7999" w:rsidRDefault="007F7999" w:rsidP="00187010">
            <w:pPr>
              <w:pStyle w:val="Tabletext"/>
              <w:jc w:val="center"/>
              <w:rPr>
                <w:szCs w:val="20"/>
              </w:rPr>
            </w:pPr>
            <w:r w:rsidRPr="007F7999">
              <w:rPr>
                <w:szCs w:val="20"/>
              </w:rPr>
              <w:t>0.9**</w:t>
            </w:r>
          </w:p>
        </w:tc>
        <w:tc>
          <w:tcPr>
            <w:tcW w:w="1233" w:type="pct"/>
            <w:tcBorders>
              <w:top w:val="single" w:sz="4" w:space="0" w:color="00338D"/>
            </w:tcBorders>
          </w:tcPr>
          <w:p w14:paraId="06B941FC" w14:textId="77777777" w:rsidR="007F7999" w:rsidRPr="007F7999" w:rsidRDefault="007F7999" w:rsidP="00187010">
            <w:pPr>
              <w:pStyle w:val="Tabletext"/>
              <w:jc w:val="center"/>
              <w:rPr>
                <w:szCs w:val="20"/>
              </w:rPr>
            </w:pPr>
            <w:r w:rsidRPr="007F7999">
              <w:rPr>
                <w:szCs w:val="20"/>
              </w:rPr>
              <w:t>0.4</w:t>
            </w:r>
          </w:p>
        </w:tc>
      </w:tr>
      <w:tr w:rsidR="007F7999" w:rsidRPr="007F7999" w14:paraId="78C288C0" w14:textId="77777777" w:rsidTr="00E40E80">
        <w:trPr>
          <w:trHeight w:val="170"/>
        </w:trPr>
        <w:tc>
          <w:tcPr>
            <w:tcW w:w="1378" w:type="pct"/>
            <w:vMerge/>
            <w:tcBorders>
              <w:bottom w:val="single" w:sz="4" w:space="0" w:color="00338D"/>
            </w:tcBorders>
            <w:vAlign w:val="center"/>
          </w:tcPr>
          <w:p w14:paraId="07F93F46" w14:textId="77777777" w:rsidR="007F7999" w:rsidRPr="007F7999" w:rsidRDefault="007F7999" w:rsidP="00E40E80">
            <w:pPr>
              <w:pStyle w:val="Tabletext"/>
            </w:pPr>
          </w:p>
        </w:tc>
        <w:tc>
          <w:tcPr>
            <w:tcW w:w="1288" w:type="pct"/>
            <w:tcBorders>
              <w:bottom w:val="single" w:sz="4" w:space="0" w:color="00338D"/>
            </w:tcBorders>
          </w:tcPr>
          <w:p w14:paraId="7FFD1D6B" w14:textId="77777777" w:rsidR="007F7999" w:rsidRPr="007F7999" w:rsidRDefault="007F7999" w:rsidP="00187010">
            <w:pPr>
              <w:pStyle w:val="Tabletext"/>
              <w:jc w:val="center"/>
              <w:rPr>
                <w:szCs w:val="20"/>
              </w:rPr>
            </w:pPr>
            <w:r w:rsidRPr="007F7999">
              <w:rPr>
                <w:szCs w:val="20"/>
              </w:rPr>
              <w:t>(0.11)</w:t>
            </w:r>
          </w:p>
        </w:tc>
        <w:tc>
          <w:tcPr>
            <w:tcW w:w="1101" w:type="pct"/>
            <w:tcBorders>
              <w:bottom w:val="single" w:sz="4" w:space="0" w:color="00338D"/>
            </w:tcBorders>
          </w:tcPr>
          <w:p w14:paraId="2C5E8C88" w14:textId="77777777" w:rsidR="007F7999" w:rsidRPr="007F7999" w:rsidRDefault="007F7999" w:rsidP="00187010">
            <w:pPr>
              <w:pStyle w:val="Tabletext"/>
              <w:jc w:val="center"/>
              <w:rPr>
                <w:szCs w:val="20"/>
              </w:rPr>
            </w:pPr>
            <w:r w:rsidRPr="007F7999">
              <w:rPr>
                <w:szCs w:val="20"/>
              </w:rPr>
              <w:t>(0.20)</w:t>
            </w:r>
          </w:p>
        </w:tc>
        <w:tc>
          <w:tcPr>
            <w:tcW w:w="1233" w:type="pct"/>
            <w:tcBorders>
              <w:bottom w:val="single" w:sz="4" w:space="0" w:color="00338D"/>
            </w:tcBorders>
          </w:tcPr>
          <w:p w14:paraId="4241FE38" w14:textId="77777777" w:rsidR="007F7999" w:rsidRPr="007F7999" w:rsidRDefault="007F7999" w:rsidP="00187010">
            <w:pPr>
              <w:pStyle w:val="Tabletext"/>
              <w:jc w:val="center"/>
              <w:rPr>
                <w:szCs w:val="20"/>
              </w:rPr>
            </w:pPr>
            <w:r w:rsidRPr="007F7999">
              <w:rPr>
                <w:szCs w:val="20"/>
              </w:rPr>
              <w:t>(0.33)</w:t>
            </w:r>
          </w:p>
        </w:tc>
      </w:tr>
      <w:tr w:rsidR="007F7999" w:rsidRPr="007F7999" w14:paraId="0D1F1A04" w14:textId="77777777" w:rsidTr="00E40E80">
        <w:trPr>
          <w:trHeight w:val="170"/>
        </w:trPr>
        <w:tc>
          <w:tcPr>
            <w:tcW w:w="1378" w:type="pct"/>
            <w:vMerge w:val="restart"/>
            <w:tcBorders>
              <w:top w:val="single" w:sz="4" w:space="0" w:color="00338D"/>
            </w:tcBorders>
            <w:vAlign w:val="center"/>
          </w:tcPr>
          <w:p w14:paraId="5A0528DB" w14:textId="77777777" w:rsidR="007F7999" w:rsidRPr="007F7999" w:rsidRDefault="007F7999" w:rsidP="00E40E80">
            <w:pPr>
              <w:pStyle w:val="Tabletext"/>
            </w:pPr>
            <w:r w:rsidRPr="007F7999">
              <w:t>Older than 24 years</w:t>
            </w:r>
          </w:p>
        </w:tc>
        <w:tc>
          <w:tcPr>
            <w:tcW w:w="1288" w:type="pct"/>
            <w:tcBorders>
              <w:top w:val="single" w:sz="4" w:space="0" w:color="00338D"/>
            </w:tcBorders>
          </w:tcPr>
          <w:p w14:paraId="12FD442F" w14:textId="77777777" w:rsidR="007F7999" w:rsidRPr="007F7999" w:rsidRDefault="007F7999" w:rsidP="00187010">
            <w:pPr>
              <w:pStyle w:val="Tabletext"/>
              <w:jc w:val="center"/>
              <w:rPr>
                <w:szCs w:val="20"/>
              </w:rPr>
            </w:pPr>
            <w:r w:rsidRPr="007F7999">
              <w:rPr>
                <w:szCs w:val="20"/>
              </w:rPr>
              <w:t>0.4</w:t>
            </w:r>
          </w:p>
        </w:tc>
        <w:tc>
          <w:tcPr>
            <w:tcW w:w="1101" w:type="pct"/>
            <w:tcBorders>
              <w:top w:val="single" w:sz="4" w:space="0" w:color="00338D"/>
            </w:tcBorders>
          </w:tcPr>
          <w:p w14:paraId="192D84C3" w14:textId="77777777" w:rsidR="007F7999" w:rsidRPr="007F7999" w:rsidRDefault="007F7999" w:rsidP="00187010">
            <w:pPr>
              <w:pStyle w:val="Tabletext"/>
              <w:jc w:val="center"/>
              <w:rPr>
                <w:szCs w:val="20"/>
              </w:rPr>
            </w:pPr>
            <w:r w:rsidRPr="007F7999">
              <w:rPr>
                <w:szCs w:val="20"/>
              </w:rPr>
              <w:t>1.3**</w:t>
            </w:r>
          </w:p>
        </w:tc>
        <w:tc>
          <w:tcPr>
            <w:tcW w:w="1233" w:type="pct"/>
            <w:tcBorders>
              <w:top w:val="single" w:sz="4" w:space="0" w:color="00338D"/>
            </w:tcBorders>
          </w:tcPr>
          <w:p w14:paraId="024ADD79" w14:textId="77777777" w:rsidR="007F7999" w:rsidRPr="007F7999" w:rsidRDefault="007F7999" w:rsidP="00187010">
            <w:pPr>
              <w:pStyle w:val="Tabletext"/>
              <w:jc w:val="center"/>
              <w:rPr>
                <w:szCs w:val="20"/>
              </w:rPr>
            </w:pPr>
            <w:r w:rsidRPr="007F7999">
              <w:rPr>
                <w:szCs w:val="20"/>
              </w:rPr>
              <w:t>-0.1</w:t>
            </w:r>
          </w:p>
        </w:tc>
      </w:tr>
      <w:tr w:rsidR="007F7999" w:rsidRPr="007F7999" w14:paraId="756BE0B0" w14:textId="77777777" w:rsidTr="00187010">
        <w:trPr>
          <w:trHeight w:val="170"/>
        </w:trPr>
        <w:tc>
          <w:tcPr>
            <w:tcW w:w="1378" w:type="pct"/>
            <w:vMerge/>
          </w:tcPr>
          <w:p w14:paraId="7D35C1A0" w14:textId="77777777" w:rsidR="007F7999" w:rsidRPr="007F7999" w:rsidRDefault="007F7999" w:rsidP="00187010">
            <w:pPr>
              <w:pStyle w:val="Tabletext"/>
              <w:ind w:left="177"/>
              <w:rPr>
                <w:szCs w:val="20"/>
              </w:rPr>
            </w:pPr>
          </w:p>
        </w:tc>
        <w:tc>
          <w:tcPr>
            <w:tcW w:w="1288" w:type="pct"/>
          </w:tcPr>
          <w:p w14:paraId="12521479" w14:textId="77777777" w:rsidR="007F7999" w:rsidRPr="007F7999" w:rsidRDefault="007F7999" w:rsidP="00187010">
            <w:pPr>
              <w:pStyle w:val="Tabletext"/>
              <w:jc w:val="center"/>
              <w:rPr>
                <w:szCs w:val="20"/>
              </w:rPr>
            </w:pPr>
            <w:r w:rsidRPr="007F7999">
              <w:rPr>
                <w:szCs w:val="20"/>
              </w:rPr>
              <w:t>(0.34)</w:t>
            </w:r>
          </w:p>
        </w:tc>
        <w:tc>
          <w:tcPr>
            <w:tcW w:w="1101" w:type="pct"/>
          </w:tcPr>
          <w:p w14:paraId="71E82C2A" w14:textId="77777777" w:rsidR="007F7999" w:rsidRPr="007F7999" w:rsidRDefault="007F7999" w:rsidP="00187010">
            <w:pPr>
              <w:pStyle w:val="Tabletext"/>
              <w:jc w:val="center"/>
              <w:rPr>
                <w:szCs w:val="20"/>
              </w:rPr>
            </w:pPr>
            <w:r w:rsidRPr="007F7999">
              <w:rPr>
                <w:szCs w:val="20"/>
              </w:rPr>
              <w:t>(0.60)</w:t>
            </w:r>
          </w:p>
        </w:tc>
        <w:tc>
          <w:tcPr>
            <w:tcW w:w="1233" w:type="pct"/>
          </w:tcPr>
          <w:p w14:paraId="72F328A9" w14:textId="77777777" w:rsidR="007F7999" w:rsidRPr="007F7999" w:rsidRDefault="007F7999" w:rsidP="00187010">
            <w:pPr>
              <w:pStyle w:val="Tabletext"/>
              <w:jc w:val="center"/>
              <w:rPr>
                <w:szCs w:val="20"/>
              </w:rPr>
            </w:pPr>
            <w:r w:rsidRPr="007F7999">
              <w:rPr>
                <w:szCs w:val="20"/>
              </w:rPr>
              <w:t>(0.98)</w:t>
            </w:r>
          </w:p>
        </w:tc>
      </w:tr>
      <w:tr w:rsidR="007F7999" w:rsidRPr="007F7999" w14:paraId="278F8ADC" w14:textId="77777777" w:rsidTr="007F7999">
        <w:tc>
          <w:tcPr>
            <w:tcW w:w="5000" w:type="pct"/>
            <w:gridSpan w:val="4"/>
            <w:tcBorders>
              <w:top w:val="single" w:sz="4" w:space="0" w:color="00338D"/>
              <w:bottom w:val="single" w:sz="2" w:space="0" w:color="808080" w:themeColor="background1" w:themeShade="80"/>
            </w:tcBorders>
            <w:vAlign w:val="center"/>
          </w:tcPr>
          <w:p w14:paraId="2EA914CB" w14:textId="468634F9" w:rsidR="007F7999" w:rsidRPr="007F7999" w:rsidRDefault="007F7999" w:rsidP="007F7999">
            <w:pPr>
              <w:pStyle w:val="Tabletext"/>
              <w:rPr>
                <w:szCs w:val="20"/>
              </w:rPr>
            </w:pPr>
            <w:r w:rsidRPr="007F7999">
              <w:rPr>
                <w:b/>
                <w:bCs/>
                <w:szCs w:val="20"/>
              </w:rPr>
              <w:t>Gender (ref = Male)</w:t>
            </w:r>
          </w:p>
        </w:tc>
      </w:tr>
      <w:tr w:rsidR="007F7999" w:rsidRPr="007F7999" w14:paraId="4F06EE48" w14:textId="77777777" w:rsidTr="00E40E80">
        <w:tc>
          <w:tcPr>
            <w:tcW w:w="1378" w:type="pct"/>
            <w:vMerge w:val="restart"/>
            <w:tcBorders>
              <w:top w:val="single" w:sz="2" w:space="0" w:color="808080" w:themeColor="background1" w:themeShade="80"/>
            </w:tcBorders>
            <w:vAlign w:val="center"/>
          </w:tcPr>
          <w:p w14:paraId="48CEEEF7" w14:textId="77777777" w:rsidR="007F7999" w:rsidRPr="007F7999" w:rsidRDefault="007F7999" w:rsidP="00E40E80">
            <w:pPr>
              <w:pStyle w:val="Tabletext"/>
            </w:pPr>
            <w:r w:rsidRPr="007F7999">
              <w:t>Female</w:t>
            </w:r>
          </w:p>
        </w:tc>
        <w:tc>
          <w:tcPr>
            <w:tcW w:w="1288" w:type="pct"/>
            <w:tcBorders>
              <w:top w:val="single" w:sz="2" w:space="0" w:color="808080" w:themeColor="background1" w:themeShade="80"/>
            </w:tcBorders>
          </w:tcPr>
          <w:p w14:paraId="45B259CA" w14:textId="77777777" w:rsidR="007F7999" w:rsidRPr="007F7999" w:rsidRDefault="007F7999" w:rsidP="00187010">
            <w:pPr>
              <w:pStyle w:val="Tabletext"/>
              <w:jc w:val="center"/>
              <w:rPr>
                <w:szCs w:val="20"/>
              </w:rPr>
            </w:pPr>
            <w:r w:rsidRPr="007F7999">
              <w:rPr>
                <w:szCs w:val="20"/>
              </w:rPr>
              <w:t>-0.6**</w:t>
            </w:r>
          </w:p>
        </w:tc>
        <w:tc>
          <w:tcPr>
            <w:tcW w:w="1101" w:type="pct"/>
            <w:tcBorders>
              <w:top w:val="single" w:sz="2" w:space="0" w:color="808080" w:themeColor="background1" w:themeShade="80"/>
            </w:tcBorders>
          </w:tcPr>
          <w:p w14:paraId="662B6EFA" w14:textId="77777777" w:rsidR="007F7999" w:rsidRPr="007F7999" w:rsidRDefault="007F7999" w:rsidP="00187010">
            <w:pPr>
              <w:pStyle w:val="Tabletext"/>
              <w:jc w:val="center"/>
              <w:rPr>
                <w:szCs w:val="20"/>
              </w:rPr>
            </w:pPr>
            <w:r w:rsidRPr="007F7999">
              <w:rPr>
                <w:szCs w:val="20"/>
              </w:rPr>
              <w:t>-0.0</w:t>
            </w:r>
          </w:p>
        </w:tc>
        <w:tc>
          <w:tcPr>
            <w:tcW w:w="1233" w:type="pct"/>
            <w:tcBorders>
              <w:top w:val="single" w:sz="2" w:space="0" w:color="808080" w:themeColor="background1" w:themeShade="80"/>
            </w:tcBorders>
          </w:tcPr>
          <w:p w14:paraId="2B4D496F" w14:textId="77777777" w:rsidR="007F7999" w:rsidRPr="007F7999" w:rsidRDefault="007F7999" w:rsidP="00187010">
            <w:pPr>
              <w:pStyle w:val="Tabletext"/>
              <w:jc w:val="center"/>
              <w:rPr>
                <w:szCs w:val="20"/>
              </w:rPr>
            </w:pPr>
            <w:r w:rsidRPr="007F7999">
              <w:rPr>
                <w:szCs w:val="20"/>
              </w:rPr>
              <w:t>-1.1**</w:t>
            </w:r>
          </w:p>
        </w:tc>
      </w:tr>
      <w:tr w:rsidR="007F7999" w:rsidRPr="007F7999" w14:paraId="5B950477" w14:textId="77777777" w:rsidTr="00E40E80">
        <w:tc>
          <w:tcPr>
            <w:tcW w:w="1378" w:type="pct"/>
            <w:vMerge/>
            <w:tcBorders>
              <w:bottom w:val="single" w:sz="2" w:space="0" w:color="808080" w:themeColor="background1" w:themeShade="80"/>
            </w:tcBorders>
            <w:vAlign w:val="center"/>
          </w:tcPr>
          <w:p w14:paraId="57F01A85" w14:textId="77777777" w:rsidR="007F7999" w:rsidRPr="007F7999" w:rsidRDefault="007F7999" w:rsidP="00E40E80">
            <w:pPr>
              <w:pStyle w:val="Tabletext"/>
            </w:pPr>
          </w:p>
        </w:tc>
        <w:tc>
          <w:tcPr>
            <w:tcW w:w="1288" w:type="pct"/>
            <w:tcBorders>
              <w:bottom w:val="single" w:sz="2" w:space="0" w:color="808080" w:themeColor="background1" w:themeShade="80"/>
            </w:tcBorders>
          </w:tcPr>
          <w:p w14:paraId="31363C68" w14:textId="77777777" w:rsidR="007F7999" w:rsidRPr="007F7999" w:rsidRDefault="007F7999" w:rsidP="00187010">
            <w:pPr>
              <w:pStyle w:val="Tabletext"/>
              <w:jc w:val="center"/>
              <w:rPr>
                <w:szCs w:val="20"/>
              </w:rPr>
            </w:pPr>
            <w:r w:rsidRPr="007F7999">
              <w:rPr>
                <w:szCs w:val="20"/>
              </w:rPr>
              <w:t>(0.08)</w:t>
            </w:r>
          </w:p>
        </w:tc>
        <w:tc>
          <w:tcPr>
            <w:tcW w:w="1101" w:type="pct"/>
            <w:tcBorders>
              <w:bottom w:val="single" w:sz="2" w:space="0" w:color="808080" w:themeColor="background1" w:themeShade="80"/>
            </w:tcBorders>
          </w:tcPr>
          <w:p w14:paraId="08B81E54" w14:textId="77777777" w:rsidR="007F7999" w:rsidRPr="007F7999" w:rsidRDefault="007F7999" w:rsidP="00187010">
            <w:pPr>
              <w:pStyle w:val="Tabletext"/>
              <w:jc w:val="center"/>
              <w:rPr>
                <w:szCs w:val="20"/>
              </w:rPr>
            </w:pPr>
            <w:r w:rsidRPr="007F7999">
              <w:rPr>
                <w:szCs w:val="20"/>
              </w:rPr>
              <w:t>(0.15)</w:t>
            </w:r>
          </w:p>
        </w:tc>
        <w:tc>
          <w:tcPr>
            <w:tcW w:w="1233" w:type="pct"/>
            <w:tcBorders>
              <w:bottom w:val="single" w:sz="2" w:space="0" w:color="808080" w:themeColor="background1" w:themeShade="80"/>
            </w:tcBorders>
          </w:tcPr>
          <w:p w14:paraId="1A702701" w14:textId="77777777" w:rsidR="007F7999" w:rsidRPr="007F7999" w:rsidRDefault="007F7999" w:rsidP="00187010">
            <w:pPr>
              <w:pStyle w:val="Tabletext"/>
              <w:jc w:val="center"/>
              <w:rPr>
                <w:szCs w:val="20"/>
              </w:rPr>
            </w:pPr>
            <w:r w:rsidRPr="007F7999">
              <w:rPr>
                <w:szCs w:val="20"/>
              </w:rPr>
              <w:t>(0.25)</w:t>
            </w:r>
          </w:p>
        </w:tc>
      </w:tr>
      <w:tr w:rsidR="007F7999" w:rsidRPr="007F7999" w14:paraId="0D020585" w14:textId="77777777" w:rsidTr="00E40E80">
        <w:tc>
          <w:tcPr>
            <w:tcW w:w="1378" w:type="pct"/>
            <w:vMerge w:val="restart"/>
            <w:tcBorders>
              <w:top w:val="single" w:sz="2" w:space="0" w:color="808080" w:themeColor="background1" w:themeShade="80"/>
            </w:tcBorders>
            <w:vAlign w:val="center"/>
          </w:tcPr>
          <w:p w14:paraId="7ED91E6C" w14:textId="77777777" w:rsidR="007F7999" w:rsidRPr="007F7999" w:rsidRDefault="007F7999" w:rsidP="00E40E80">
            <w:pPr>
              <w:pStyle w:val="Tabletext"/>
            </w:pPr>
            <w:r w:rsidRPr="007F7999">
              <w:t>Other</w:t>
            </w:r>
          </w:p>
        </w:tc>
        <w:tc>
          <w:tcPr>
            <w:tcW w:w="1288" w:type="pct"/>
            <w:tcBorders>
              <w:top w:val="single" w:sz="2" w:space="0" w:color="808080" w:themeColor="background1" w:themeShade="80"/>
            </w:tcBorders>
          </w:tcPr>
          <w:p w14:paraId="6A71033A" w14:textId="77777777" w:rsidR="007F7999" w:rsidRPr="007F7999" w:rsidRDefault="007F7999" w:rsidP="00187010">
            <w:pPr>
              <w:pStyle w:val="Tabletext"/>
              <w:jc w:val="center"/>
              <w:rPr>
                <w:szCs w:val="20"/>
              </w:rPr>
            </w:pPr>
            <w:r w:rsidRPr="007F7999">
              <w:rPr>
                <w:szCs w:val="20"/>
              </w:rPr>
              <w:t>-0.8**</w:t>
            </w:r>
          </w:p>
        </w:tc>
        <w:tc>
          <w:tcPr>
            <w:tcW w:w="1101" w:type="pct"/>
            <w:tcBorders>
              <w:top w:val="single" w:sz="2" w:space="0" w:color="808080" w:themeColor="background1" w:themeShade="80"/>
            </w:tcBorders>
          </w:tcPr>
          <w:p w14:paraId="0C95BACA" w14:textId="77777777" w:rsidR="007F7999" w:rsidRPr="007F7999" w:rsidRDefault="007F7999" w:rsidP="00187010">
            <w:pPr>
              <w:pStyle w:val="Tabletext"/>
              <w:jc w:val="center"/>
              <w:rPr>
                <w:szCs w:val="20"/>
              </w:rPr>
            </w:pPr>
            <w:r w:rsidRPr="007F7999">
              <w:rPr>
                <w:szCs w:val="20"/>
              </w:rPr>
              <w:t>-1.9**</w:t>
            </w:r>
          </w:p>
        </w:tc>
        <w:tc>
          <w:tcPr>
            <w:tcW w:w="1233" w:type="pct"/>
            <w:tcBorders>
              <w:top w:val="single" w:sz="2" w:space="0" w:color="808080" w:themeColor="background1" w:themeShade="80"/>
            </w:tcBorders>
          </w:tcPr>
          <w:p w14:paraId="672B8E61" w14:textId="77777777" w:rsidR="007F7999" w:rsidRPr="007F7999" w:rsidRDefault="007F7999" w:rsidP="00187010">
            <w:pPr>
              <w:pStyle w:val="Tabletext"/>
              <w:jc w:val="center"/>
              <w:rPr>
                <w:szCs w:val="20"/>
              </w:rPr>
            </w:pPr>
            <w:r w:rsidRPr="007F7999">
              <w:rPr>
                <w:szCs w:val="20"/>
              </w:rPr>
              <w:t>-3.1**</w:t>
            </w:r>
          </w:p>
        </w:tc>
      </w:tr>
      <w:tr w:rsidR="007F7999" w:rsidRPr="007F7999" w14:paraId="2D019EFE" w14:textId="77777777" w:rsidTr="00187010">
        <w:tc>
          <w:tcPr>
            <w:tcW w:w="1378" w:type="pct"/>
            <w:vMerge/>
            <w:tcBorders>
              <w:bottom w:val="single" w:sz="2" w:space="0" w:color="808080" w:themeColor="background1" w:themeShade="80"/>
            </w:tcBorders>
          </w:tcPr>
          <w:p w14:paraId="219A7079" w14:textId="77777777" w:rsidR="007F7999" w:rsidRPr="007F7999" w:rsidRDefault="007F7999" w:rsidP="00187010">
            <w:pPr>
              <w:pStyle w:val="Tabletext"/>
              <w:rPr>
                <w:szCs w:val="20"/>
              </w:rPr>
            </w:pPr>
          </w:p>
        </w:tc>
        <w:tc>
          <w:tcPr>
            <w:tcW w:w="1288" w:type="pct"/>
            <w:tcBorders>
              <w:bottom w:val="single" w:sz="2" w:space="0" w:color="808080" w:themeColor="background1" w:themeShade="80"/>
            </w:tcBorders>
          </w:tcPr>
          <w:p w14:paraId="3CD98B6D" w14:textId="77777777" w:rsidR="007F7999" w:rsidRPr="007F7999" w:rsidRDefault="007F7999" w:rsidP="00187010">
            <w:pPr>
              <w:pStyle w:val="Tabletext"/>
              <w:jc w:val="center"/>
              <w:rPr>
                <w:szCs w:val="20"/>
              </w:rPr>
            </w:pPr>
            <w:r w:rsidRPr="007F7999">
              <w:rPr>
                <w:szCs w:val="20"/>
              </w:rPr>
              <w:t>(0.31)</w:t>
            </w:r>
          </w:p>
        </w:tc>
        <w:tc>
          <w:tcPr>
            <w:tcW w:w="1101" w:type="pct"/>
            <w:tcBorders>
              <w:bottom w:val="single" w:sz="2" w:space="0" w:color="808080" w:themeColor="background1" w:themeShade="80"/>
            </w:tcBorders>
          </w:tcPr>
          <w:p w14:paraId="00C6BAA7" w14:textId="77777777" w:rsidR="007F7999" w:rsidRPr="007F7999" w:rsidRDefault="007F7999" w:rsidP="00187010">
            <w:pPr>
              <w:pStyle w:val="Tabletext"/>
              <w:jc w:val="center"/>
              <w:rPr>
                <w:szCs w:val="20"/>
              </w:rPr>
            </w:pPr>
            <w:r w:rsidRPr="007F7999">
              <w:rPr>
                <w:szCs w:val="20"/>
              </w:rPr>
              <w:t>(0.56)</w:t>
            </w:r>
          </w:p>
        </w:tc>
        <w:tc>
          <w:tcPr>
            <w:tcW w:w="1233" w:type="pct"/>
            <w:tcBorders>
              <w:bottom w:val="single" w:sz="2" w:space="0" w:color="808080" w:themeColor="background1" w:themeShade="80"/>
            </w:tcBorders>
          </w:tcPr>
          <w:p w14:paraId="62F35B47" w14:textId="77777777" w:rsidR="007F7999" w:rsidRPr="007F7999" w:rsidRDefault="007F7999" w:rsidP="00187010">
            <w:pPr>
              <w:pStyle w:val="Tabletext"/>
              <w:jc w:val="center"/>
              <w:rPr>
                <w:szCs w:val="20"/>
              </w:rPr>
            </w:pPr>
            <w:r w:rsidRPr="007F7999">
              <w:rPr>
                <w:szCs w:val="20"/>
              </w:rPr>
              <w:t>(0.91)</w:t>
            </w:r>
          </w:p>
        </w:tc>
      </w:tr>
      <w:tr w:rsidR="007F7999" w:rsidRPr="007F7999" w14:paraId="23329E55" w14:textId="77777777" w:rsidTr="007F7999">
        <w:tc>
          <w:tcPr>
            <w:tcW w:w="5000" w:type="pct"/>
            <w:gridSpan w:val="4"/>
            <w:tcBorders>
              <w:top w:val="single" w:sz="2" w:space="0" w:color="808080" w:themeColor="background1" w:themeShade="80"/>
            </w:tcBorders>
            <w:vAlign w:val="center"/>
          </w:tcPr>
          <w:p w14:paraId="63F75988" w14:textId="0662D50A" w:rsidR="007F7999" w:rsidRPr="007F7999" w:rsidRDefault="007F7999" w:rsidP="007F7999">
            <w:pPr>
              <w:pStyle w:val="Tabletext"/>
              <w:rPr>
                <w:szCs w:val="20"/>
              </w:rPr>
            </w:pPr>
            <w:r w:rsidRPr="007F7999">
              <w:rPr>
                <w:b/>
                <w:bCs/>
                <w:szCs w:val="20"/>
              </w:rPr>
              <w:t>Priority cohorts</w:t>
            </w:r>
          </w:p>
        </w:tc>
      </w:tr>
      <w:tr w:rsidR="00E40E80" w:rsidRPr="007F7999" w14:paraId="4A04E5BD" w14:textId="77777777" w:rsidTr="00E40E80">
        <w:tc>
          <w:tcPr>
            <w:tcW w:w="1378" w:type="pct"/>
            <w:vMerge w:val="restart"/>
            <w:tcBorders>
              <w:top w:val="single" w:sz="2" w:space="0" w:color="808080" w:themeColor="background1" w:themeShade="80"/>
            </w:tcBorders>
            <w:vAlign w:val="center"/>
          </w:tcPr>
          <w:p w14:paraId="056DBACE" w14:textId="77777777" w:rsidR="00E40E80" w:rsidRPr="007F7999" w:rsidRDefault="00E40E80" w:rsidP="00E40E80">
            <w:pPr>
              <w:pStyle w:val="Tabletext"/>
            </w:pPr>
            <w:r w:rsidRPr="007F7999">
              <w:t xml:space="preserve">Aboriginal and Torres </w:t>
            </w:r>
          </w:p>
          <w:p w14:paraId="67F0FA3E" w14:textId="5DA4139A" w:rsidR="00E40E80" w:rsidRPr="007F7999" w:rsidRDefault="00E40E80" w:rsidP="00E40E80">
            <w:pPr>
              <w:pStyle w:val="Tabletext"/>
            </w:pPr>
            <w:r w:rsidRPr="007F7999">
              <w:t>Strait Islander cohort status</w:t>
            </w:r>
          </w:p>
        </w:tc>
        <w:tc>
          <w:tcPr>
            <w:tcW w:w="1288" w:type="pct"/>
            <w:tcBorders>
              <w:top w:val="single" w:sz="2" w:space="0" w:color="808080" w:themeColor="background1" w:themeShade="80"/>
            </w:tcBorders>
          </w:tcPr>
          <w:p w14:paraId="22BD14C9" w14:textId="77777777" w:rsidR="00E40E80" w:rsidRPr="007F7999" w:rsidRDefault="00E40E80" w:rsidP="00187010">
            <w:pPr>
              <w:pStyle w:val="Tabletext"/>
              <w:jc w:val="center"/>
              <w:rPr>
                <w:szCs w:val="20"/>
              </w:rPr>
            </w:pPr>
            <w:r w:rsidRPr="007F7999">
              <w:rPr>
                <w:szCs w:val="20"/>
              </w:rPr>
              <w:t>-0.3*</w:t>
            </w:r>
          </w:p>
        </w:tc>
        <w:tc>
          <w:tcPr>
            <w:tcW w:w="1101" w:type="pct"/>
            <w:tcBorders>
              <w:top w:val="single" w:sz="2" w:space="0" w:color="808080" w:themeColor="background1" w:themeShade="80"/>
            </w:tcBorders>
          </w:tcPr>
          <w:p w14:paraId="4AD32AF3" w14:textId="77777777" w:rsidR="00E40E80" w:rsidRPr="007F7999" w:rsidRDefault="00E40E80" w:rsidP="00187010">
            <w:pPr>
              <w:pStyle w:val="Tabletext"/>
              <w:jc w:val="center"/>
              <w:rPr>
                <w:szCs w:val="20"/>
              </w:rPr>
            </w:pPr>
            <w:r w:rsidRPr="007F7999">
              <w:rPr>
                <w:szCs w:val="20"/>
              </w:rPr>
              <w:t>-1.0**</w:t>
            </w:r>
          </w:p>
        </w:tc>
        <w:tc>
          <w:tcPr>
            <w:tcW w:w="1233" w:type="pct"/>
            <w:tcBorders>
              <w:top w:val="single" w:sz="2" w:space="0" w:color="808080" w:themeColor="background1" w:themeShade="80"/>
            </w:tcBorders>
          </w:tcPr>
          <w:p w14:paraId="22239481" w14:textId="77777777" w:rsidR="00E40E80" w:rsidRPr="007F7999" w:rsidRDefault="00E40E80" w:rsidP="00187010">
            <w:pPr>
              <w:pStyle w:val="Tabletext"/>
              <w:jc w:val="center"/>
              <w:rPr>
                <w:szCs w:val="20"/>
              </w:rPr>
            </w:pPr>
            <w:r w:rsidRPr="007F7999">
              <w:rPr>
                <w:szCs w:val="20"/>
              </w:rPr>
              <w:t>-1.3**</w:t>
            </w:r>
          </w:p>
        </w:tc>
      </w:tr>
      <w:tr w:rsidR="00E40E80" w:rsidRPr="007F7999" w14:paraId="43699ED5" w14:textId="77777777" w:rsidTr="00E40E80">
        <w:tc>
          <w:tcPr>
            <w:tcW w:w="1378" w:type="pct"/>
            <w:vMerge/>
            <w:tcBorders>
              <w:bottom w:val="single" w:sz="2" w:space="0" w:color="808080" w:themeColor="background1" w:themeShade="80"/>
            </w:tcBorders>
            <w:vAlign w:val="center"/>
          </w:tcPr>
          <w:p w14:paraId="38EE6B70" w14:textId="206D68E3" w:rsidR="00E40E80" w:rsidRPr="007F7999" w:rsidRDefault="00E40E80" w:rsidP="00E40E80">
            <w:pPr>
              <w:pStyle w:val="Tabletext"/>
            </w:pPr>
          </w:p>
        </w:tc>
        <w:tc>
          <w:tcPr>
            <w:tcW w:w="1288" w:type="pct"/>
            <w:tcBorders>
              <w:bottom w:val="single" w:sz="2" w:space="0" w:color="808080" w:themeColor="background1" w:themeShade="80"/>
            </w:tcBorders>
          </w:tcPr>
          <w:p w14:paraId="2D9C711E" w14:textId="77777777" w:rsidR="00E40E80" w:rsidRPr="007F7999" w:rsidRDefault="00E40E80" w:rsidP="00187010">
            <w:pPr>
              <w:pStyle w:val="Tabletext"/>
              <w:jc w:val="center"/>
              <w:rPr>
                <w:szCs w:val="20"/>
              </w:rPr>
            </w:pPr>
            <w:r w:rsidRPr="007F7999">
              <w:rPr>
                <w:szCs w:val="20"/>
              </w:rPr>
              <w:t>(0.15)</w:t>
            </w:r>
          </w:p>
        </w:tc>
        <w:tc>
          <w:tcPr>
            <w:tcW w:w="1101" w:type="pct"/>
            <w:tcBorders>
              <w:bottom w:val="single" w:sz="2" w:space="0" w:color="808080" w:themeColor="background1" w:themeShade="80"/>
            </w:tcBorders>
          </w:tcPr>
          <w:p w14:paraId="65AC6609" w14:textId="77777777" w:rsidR="00E40E80" w:rsidRPr="007F7999" w:rsidRDefault="00E40E80" w:rsidP="00187010">
            <w:pPr>
              <w:pStyle w:val="Tabletext"/>
              <w:jc w:val="center"/>
              <w:rPr>
                <w:szCs w:val="20"/>
              </w:rPr>
            </w:pPr>
            <w:r w:rsidRPr="007F7999">
              <w:rPr>
                <w:szCs w:val="20"/>
              </w:rPr>
              <w:t>(0.26)</w:t>
            </w:r>
          </w:p>
        </w:tc>
        <w:tc>
          <w:tcPr>
            <w:tcW w:w="1233" w:type="pct"/>
            <w:tcBorders>
              <w:bottom w:val="single" w:sz="2" w:space="0" w:color="808080" w:themeColor="background1" w:themeShade="80"/>
            </w:tcBorders>
          </w:tcPr>
          <w:p w14:paraId="21D354D1" w14:textId="77777777" w:rsidR="00E40E80" w:rsidRPr="007F7999" w:rsidRDefault="00E40E80" w:rsidP="00187010">
            <w:pPr>
              <w:pStyle w:val="Tabletext"/>
              <w:jc w:val="center"/>
              <w:rPr>
                <w:szCs w:val="20"/>
              </w:rPr>
            </w:pPr>
            <w:r w:rsidRPr="007F7999">
              <w:rPr>
                <w:szCs w:val="20"/>
              </w:rPr>
              <w:t>(0.43)</w:t>
            </w:r>
          </w:p>
        </w:tc>
      </w:tr>
      <w:tr w:rsidR="007F7999" w:rsidRPr="007F7999" w14:paraId="34388C9A" w14:textId="77777777" w:rsidTr="00E40E80">
        <w:tc>
          <w:tcPr>
            <w:tcW w:w="1378" w:type="pct"/>
            <w:vMerge w:val="restart"/>
            <w:tcBorders>
              <w:top w:val="single" w:sz="2" w:space="0" w:color="808080" w:themeColor="background1" w:themeShade="80"/>
            </w:tcBorders>
            <w:vAlign w:val="center"/>
          </w:tcPr>
          <w:p w14:paraId="45FF211A" w14:textId="430840F9" w:rsidR="007F7999" w:rsidRPr="007F7999" w:rsidRDefault="007F7999" w:rsidP="00E40E80">
            <w:pPr>
              <w:pStyle w:val="Tabletext"/>
            </w:pPr>
            <w:r w:rsidRPr="007F7999">
              <w:t>LGBTQIA+ cohort status</w:t>
            </w:r>
          </w:p>
        </w:tc>
        <w:tc>
          <w:tcPr>
            <w:tcW w:w="1288" w:type="pct"/>
            <w:tcBorders>
              <w:top w:val="single" w:sz="2" w:space="0" w:color="808080" w:themeColor="background1" w:themeShade="80"/>
            </w:tcBorders>
          </w:tcPr>
          <w:p w14:paraId="67A5C679" w14:textId="77777777" w:rsidR="007F7999" w:rsidRPr="007F7999" w:rsidRDefault="007F7999" w:rsidP="00187010">
            <w:pPr>
              <w:pStyle w:val="Tabletext"/>
              <w:jc w:val="center"/>
              <w:rPr>
                <w:rFonts w:cs="Calibri"/>
                <w:color w:val="000000"/>
                <w:szCs w:val="20"/>
              </w:rPr>
            </w:pPr>
            <w:r w:rsidRPr="007F7999">
              <w:rPr>
                <w:szCs w:val="20"/>
              </w:rPr>
              <w:t>-0.7**</w:t>
            </w:r>
          </w:p>
        </w:tc>
        <w:tc>
          <w:tcPr>
            <w:tcW w:w="1101" w:type="pct"/>
            <w:tcBorders>
              <w:top w:val="single" w:sz="2" w:space="0" w:color="808080" w:themeColor="background1" w:themeShade="80"/>
            </w:tcBorders>
          </w:tcPr>
          <w:p w14:paraId="5DBBFC9A" w14:textId="77777777" w:rsidR="007F7999" w:rsidRPr="007F7999" w:rsidRDefault="007F7999" w:rsidP="00187010">
            <w:pPr>
              <w:pStyle w:val="Tabletext"/>
              <w:jc w:val="center"/>
              <w:rPr>
                <w:rFonts w:cs="Calibri"/>
                <w:color w:val="000000"/>
                <w:szCs w:val="20"/>
              </w:rPr>
            </w:pPr>
            <w:r w:rsidRPr="007F7999">
              <w:rPr>
                <w:szCs w:val="20"/>
              </w:rPr>
              <w:t>-0.7**</w:t>
            </w:r>
          </w:p>
        </w:tc>
        <w:tc>
          <w:tcPr>
            <w:tcW w:w="1233" w:type="pct"/>
            <w:tcBorders>
              <w:top w:val="single" w:sz="2" w:space="0" w:color="808080" w:themeColor="background1" w:themeShade="80"/>
            </w:tcBorders>
          </w:tcPr>
          <w:p w14:paraId="0FD68853" w14:textId="77777777" w:rsidR="007F7999" w:rsidRPr="007F7999" w:rsidRDefault="007F7999" w:rsidP="00187010">
            <w:pPr>
              <w:pStyle w:val="Tabletext"/>
              <w:jc w:val="center"/>
              <w:rPr>
                <w:rFonts w:cs="Calibri"/>
                <w:color w:val="000000"/>
                <w:szCs w:val="20"/>
              </w:rPr>
            </w:pPr>
            <w:r w:rsidRPr="007F7999">
              <w:rPr>
                <w:szCs w:val="20"/>
              </w:rPr>
              <w:t>-1.7**</w:t>
            </w:r>
          </w:p>
        </w:tc>
      </w:tr>
      <w:tr w:rsidR="007F7999" w:rsidRPr="007F7999" w14:paraId="0E6BBA16" w14:textId="77777777" w:rsidTr="00E40E80">
        <w:tc>
          <w:tcPr>
            <w:tcW w:w="1378" w:type="pct"/>
            <w:vMerge/>
            <w:tcBorders>
              <w:bottom w:val="single" w:sz="2" w:space="0" w:color="808080" w:themeColor="background1" w:themeShade="80"/>
            </w:tcBorders>
            <w:vAlign w:val="center"/>
          </w:tcPr>
          <w:p w14:paraId="7876CF7A" w14:textId="77777777" w:rsidR="007F7999" w:rsidRPr="007F7999" w:rsidRDefault="007F7999" w:rsidP="00E40E80">
            <w:pPr>
              <w:pStyle w:val="Tabletext"/>
            </w:pPr>
          </w:p>
        </w:tc>
        <w:tc>
          <w:tcPr>
            <w:tcW w:w="1288" w:type="pct"/>
            <w:tcBorders>
              <w:bottom w:val="single" w:sz="2" w:space="0" w:color="808080" w:themeColor="background1" w:themeShade="80"/>
            </w:tcBorders>
          </w:tcPr>
          <w:p w14:paraId="01026BDE" w14:textId="77777777" w:rsidR="007F7999" w:rsidRPr="007F7999" w:rsidRDefault="007F7999" w:rsidP="00187010">
            <w:pPr>
              <w:pStyle w:val="Tabletext"/>
              <w:jc w:val="center"/>
              <w:rPr>
                <w:rFonts w:cs="Calibri"/>
                <w:color w:val="000000"/>
                <w:szCs w:val="20"/>
              </w:rPr>
            </w:pPr>
            <w:r w:rsidRPr="007F7999">
              <w:rPr>
                <w:szCs w:val="20"/>
              </w:rPr>
              <w:t>(0.10)</w:t>
            </w:r>
          </w:p>
        </w:tc>
        <w:tc>
          <w:tcPr>
            <w:tcW w:w="1101" w:type="pct"/>
            <w:tcBorders>
              <w:bottom w:val="single" w:sz="2" w:space="0" w:color="808080" w:themeColor="background1" w:themeShade="80"/>
            </w:tcBorders>
          </w:tcPr>
          <w:p w14:paraId="54F0D088" w14:textId="77777777" w:rsidR="007F7999" w:rsidRPr="007F7999" w:rsidRDefault="007F7999" w:rsidP="00187010">
            <w:pPr>
              <w:pStyle w:val="Tabletext"/>
              <w:jc w:val="center"/>
              <w:rPr>
                <w:rFonts w:cs="Calibri"/>
                <w:color w:val="000000"/>
                <w:szCs w:val="20"/>
              </w:rPr>
            </w:pPr>
            <w:r w:rsidRPr="007F7999">
              <w:rPr>
                <w:szCs w:val="20"/>
              </w:rPr>
              <w:t>(0.18)</w:t>
            </w:r>
          </w:p>
        </w:tc>
        <w:tc>
          <w:tcPr>
            <w:tcW w:w="1233" w:type="pct"/>
            <w:tcBorders>
              <w:bottom w:val="single" w:sz="2" w:space="0" w:color="808080" w:themeColor="background1" w:themeShade="80"/>
            </w:tcBorders>
          </w:tcPr>
          <w:p w14:paraId="357CC3AE" w14:textId="77777777" w:rsidR="007F7999" w:rsidRPr="007F7999" w:rsidRDefault="007F7999" w:rsidP="00187010">
            <w:pPr>
              <w:pStyle w:val="Tabletext"/>
              <w:jc w:val="center"/>
              <w:rPr>
                <w:rFonts w:cs="Calibri"/>
                <w:color w:val="000000"/>
                <w:szCs w:val="20"/>
              </w:rPr>
            </w:pPr>
            <w:r w:rsidRPr="007F7999">
              <w:rPr>
                <w:szCs w:val="20"/>
              </w:rPr>
              <w:t>(0.29)</w:t>
            </w:r>
          </w:p>
        </w:tc>
      </w:tr>
      <w:tr w:rsidR="007F7999" w:rsidRPr="007F7999" w14:paraId="4BD21E5A" w14:textId="77777777" w:rsidTr="00E40E80">
        <w:tc>
          <w:tcPr>
            <w:tcW w:w="1378" w:type="pct"/>
            <w:vMerge w:val="restart"/>
            <w:tcBorders>
              <w:top w:val="single" w:sz="2" w:space="0" w:color="808080" w:themeColor="background1" w:themeShade="80"/>
            </w:tcBorders>
            <w:vAlign w:val="center"/>
          </w:tcPr>
          <w:p w14:paraId="55CEA998" w14:textId="1BF16720" w:rsidR="007F7999" w:rsidRPr="007F7999" w:rsidRDefault="007F7999" w:rsidP="00E40E80">
            <w:pPr>
              <w:pStyle w:val="Tabletext"/>
            </w:pPr>
            <w:r w:rsidRPr="007F7999">
              <w:t>Culturally and linguistically diverse cohort status</w:t>
            </w:r>
          </w:p>
        </w:tc>
        <w:tc>
          <w:tcPr>
            <w:tcW w:w="1288" w:type="pct"/>
            <w:tcBorders>
              <w:top w:val="single" w:sz="2" w:space="0" w:color="808080" w:themeColor="background1" w:themeShade="80"/>
            </w:tcBorders>
          </w:tcPr>
          <w:p w14:paraId="744D109F" w14:textId="77777777" w:rsidR="007F7999" w:rsidRPr="007F7999" w:rsidRDefault="007F7999" w:rsidP="00187010">
            <w:pPr>
              <w:pStyle w:val="Tabletext"/>
              <w:jc w:val="center"/>
              <w:rPr>
                <w:rFonts w:cs="Calibri"/>
                <w:color w:val="000000"/>
                <w:szCs w:val="20"/>
              </w:rPr>
            </w:pPr>
            <w:r w:rsidRPr="007F7999">
              <w:rPr>
                <w:szCs w:val="20"/>
              </w:rPr>
              <w:t>0.1</w:t>
            </w:r>
          </w:p>
        </w:tc>
        <w:tc>
          <w:tcPr>
            <w:tcW w:w="1101" w:type="pct"/>
            <w:tcBorders>
              <w:top w:val="single" w:sz="2" w:space="0" w:color="808080" w:themeColor="background1" w:themeShade="80"/>
            </w:tcBorders>
          </w:tcPr>
          <w:p w14:paraId="4B838CE3" w14:textId="77777777" w:rsidR="007F7999" w:rsidRPr="007F7999" w:rsidRDefault="007F7999" w:rsidP="00187010">
            <w:pPr>
              <w:pStyle w:val="Tabletext"/>
              <w:jc w:val="center"/>
              <w:rPr>
                <w:rFonts w:cs="Calibri"/>
                <w:color w:val="000000"/>
                <w:szCs w:val="20"/>
              </w:rPr>
            </w:pPr>
            <w:r w:rsidRPr="007F7999">
              <w:rPr>
                <w:szCs w:val="20"/>
              </w:rPr>
              <w:t>-0.2</w:t>
            </w:r>
          </w:p>
        </w:tc>
        <w:tc>
          <w:tcPr>
            <w:tcW w:w="1233" w:type="pct"/>
            <w:tcBorders>
              <w:top w:val="single" w:sz="2" w:space="0" w:color="808080" w:themeColor="background1" w:themeShade="80"/>
            </w:tcBorders>
          </w:tcPr>
          <w:p w14:paraId="10C0B450" w14:textId="77777777" w:rsidR="007F7999" w:rsidRPr="007F7999" w:rsidRDefault="007F7999" w:rsidP="00187010">
            <w:pPr>
              <w:pStyle w:val="Tabletext"/>
              <w:jc w:val="center"/>
              <w:rPr>
                <w:rFonts w:cs="Calibri"/>
                <w:color w:val="000000"/>
                <w:szCs w:val="20"/>
              </w:rPr>
            </w:pPr>
            <w:r w:rsidRPr="007F7999">
              <w:rPr>
                <w:szCs w:val="20"/>
              </w:rPr>
              <w:t>-0.3</w:t>
            </w:r>
          </w:p>
        </w:tc>
      </w:tr>
      <w:tr w:rsidR="007F7999" w:rsidRPr="007F7999" w14:paraId="620E8D81" w14:textId="77777777" w:rsidTr="00187010">
        <w:tc>
          <w:tcPr>
            <w:tcW w:w="1378" w:type="pct"/>
            <w:vMerge/>
            <w:tcBorders>
              <w:bottom w:val="single" w:sz="2" w:space="0" w:color="808080" w:themeColor="background1" w:themeShade="80"/>
            </w:tcBorders>
          </w:tcPr>
          <w:p w14:paraId="56E352DD" w14:textId="77777777" w:rsidR="007F7999" w:rsidRPr="007F7999" w:rsidRDefault="007F7999" w:rsidP="00187010">
            <w:pPr>
              <w:pStyle w:val="Tabletext"/>
              <w:rPr>
                <w:szCs w:val="20"/>
              </w:rPr>
            </w:pPr>
          </w:p>
        </w:tc>
        <w:tc>
          <w:tcPr>
            <w:tcW w:w="1288" w:type="pct"/>
            <w:tcBorders>
              <w:bottom w:val="single" w:sz="2" w:space="0" w:color="808080" w:themeColor="background1" w:themeShade="80"/>
            </w:tcBorders>
          </w:tcPr>
          <w:p w14:paraId="69EEBEE6" w14:textId="77777777" w:rsidR="007F7999" w:rsidRPr="007F7999" w:rsidRDefault="007F7999" w:rsidP="00187010">
            <w:pPr>
              <w:pStyle w:val="Tabletext"/>
              <w:jc w:val="center"/>
              <w:rPr>
                <w:rFonts w:cs="Calibri"/>
                <w:color w:val="000000"/>
                <w:szCs w:val="20"/>
              </w:rPr>
            </w:pPr>
            <w:r w:rsidRPr="007F7999">
              <w:rPr>
                <w:szCs w:val="20"/>
              </w:rPr>
              <w:t>(0.13)</w:t>
            </w:r>
          </w:p>
        </w:tc>
        <w:tc>
          <w:tcPr>
            <w:tcW w:w="1101" w:type="pct"/>
            <w:tcBorders>
              <w:bottom w:val="single" w:sz="2" w:space="0" w:color="808080" w:themeColor="background1" w:themeShade="80"/>
            </w:tcBorders>
          </w:tcPr>
          <w:p w14:paraId="071E7CDD" w14:textId="77777777" w:rsidR="007F7999" w:rsidRPr="007F7999" w:rsidRDefault="007F7999" w:rsidP="00187010">
            <w:pPr>
              <w:pStyle w:val="Tabletext"/>
              <w:jc w:val="center"/>
              <w:rPr>
                <w:rFonts w:cs="Calibri"/>
                <w:color w:val="000000"/>
                <w:szCs w:val="20"/>
              </w:rPr>
            </w:pPr>
            <w:r w:rsidRPr="007F7999">
              <w:rPr>
                <w:szCs w:val="20"/>
              </w:rPr>
              <w:t>(0.24)</w:t>
            </w:r>
          </w:p>
        </w:tc>
        <w:tc>
          <w:tcPr>
            <w:tcW w:w="1233" w:type="pct"/>
            <w:tcBorders>
              <w:bottom w:val="single" w:sz="2" w:space="0" w:color="808080" w:themeColor="background1" w:themeShade="80"/>
            </w:tcBorders>
          </w:tcPr>
          <w:p w14:paraId="37A8CEB3" w14:textId="77777777" w:rsidR="007F7999" w:rsidRPr="007F7999" w:rsidRDefault="007F7999" w:rsidP="00187010">
            <w:pPr>
              <w:pStyle w:val="Tabletext"/>
              <w:jc w:val="center"/>
              <w:rPr>
                <w:rFonts w:cs="Calibri"/>
                <w:color w:val="000000"/>
                <w:szCs w:val="20"/>
              </w:rPr>
            </w:pPr>
            <w:r w:rsidRPr="007F7999">
              <w:rPr>
                <w:szCs w:val="20"/>
              </w:rPr>
              <w:t>(0.39)</w:t>
            </w:r>
          </w:p>
        </w:tc>
      </w:tr>
      <w:tr w:rsidR="007F7999" w:rsidRPr="007F7999" w14:paraId="4CCBEE56" w14:textId="77777777" w:rsidTr="007F7999">
        <w:tc>
          <w:tcPr>
            <w:tcW w:w="5000" w:type="pct"/>
            <w:gridSpan w:val="4"/>
            <w:tcBorders>
              <w:top w:val="single" w:sz="2" w:space="0" w:color="808080" w:themeColor="background1" w:themeShade="80"/>
              <w:bottom w:val="single" w:sz="2" w:space="0" w:color="808080" w:themeColor="background1" w:themeShade="80"/>
            </w:tcBorders>
            <w:vAlign w:val="center"/>
          </w:tcPr>
          <w:p w14:paraId="3001B6BB" w14:textId="6598B293" w:rsidR="007F7999" w:rsidRPr="007F7999" w:rsidRDefault="007F7999" w:rsidP="007F7999">
            <w:pPr>
              <w:pStyle w:val="Tabletext"/>
              <w:rPr>
                <w:szCs w:val="20"/>
              </w:rPr>
            </w:pPr>
            <w:r w:rsidRPr="007F7999">
              <w:rPr>
                <w:b/>
                <w:bCs/>
                <w:szCs w:val="20"/>
              </w:rPr>
              <w:t>Rurality (ref = Major cities)</w:t>
            </w:r>
          </w:p>
        </w:tc>
      </w:tr>
      <w:tr w:rsidR="007F7999" w:rsidRPr="007F7999" w14:paraId="44DD76A8" w14:textId="77777777" w:rsidTr="00E40E80">
        <w:tc>
          <w:tcPr>
            <w:tcW w:w="1378" w:type="pct"/>
            <w:vMerge w:val="restart"/>
            <w:tcBorders>
              <w:top w:val="single" w:sz="2" w:space="0" w:color="808080" w:themeColor="background1" w:themeShade="80"/>
            </w:tcBorders>
            <w:vAlign w:val="center"/>
          </w:tcPr>
          <w:p w14:paraId="4683413E" w14:textId="77777777" w:rsidR="007F7999" w:rsidRPr="007F7999" w:rsidRDefault="007F7999" w:rsidP="00E40E80">
            <w:pPr>
              <w:pStyle w:val="Tabletext"/>
            </w:pPr>
            <w:r w:rsidRPr="007F7999">
              <w:t>Inner regional</w:t>
            </w:r>
          </w:p>
        </w:tc>
        <w:tc>
          <w:tcPr>
            <w:tcW w:w="1288" w:type="pct"/>
            <w:tcBorders>
              <w:top w:val="single" w:sz="2" w:space="0" w:color="808080" w:themeColor="background1" w:themeShade="80"/>
            </w:tcBorders>
            <w:vAlign w:val="bottom"/>
          </w:tcPr>
          <w:p w14:paraId="346AC5DC" w14:textId="77777777" w:rsidR="007F7999" w:rsidRPr="007F7999" w:rsidRDefault="007F7999" w:rsidP="00187010">
            <w:pPr>
              <w:pStyle w:val="Tabletext"/>
              <w:jc w:val="center"/>
              <w:rPr>
                <w:rFonts w:cs="Calibri"/>
                <w:color w:val="000000"/>
                <w:szCs w:val="20"/>
              </w:rPr>
            </w:pPr>
            <w:r w:rsidRPr="007F7999">
              <w:rPr>
                <w:rFonts w:cs="Calibri"/>
                <w:color w:val="000000"/>
                <w:szCs w:val="20"/>
              </w:rPr>
              <w:t>-0.09</w:t>
            </w:r>
          </w:p>
        </w:tc>
        <w:tc>
          <w:tcPr>
            <w:tcW w:w="1101" w:type="pct"/>
            <w:tcBorders>
              <w:top w:val="single" w:sz="2" w:space="0" w:color="808080" w:themeColor="background1" w:themeShade="80"/>
            </w:tcBorders>
            <w:vAlign w:val="bottom"/>
          </w:tcPr>
          <w:p w14:paraId="7F3556B2" w14:textId="77777777" w:rsidR="007F7999" w:rsidRPr="007F7999" w:rsidRDefault="007F7999" w:rsidP="00187010">
            <w:pPr>
              <w:pStyle w:val="Tabletext"/>
              <w:jc w:val="center"/>
              <w:rPr>
                <w:szCs w:val="20"/>
              </w:rPr>
            </w:pPr>
            <w:r w:rsidRPr="007F7999">
              <w:rPr>
                <w:rFonts w:cs="Calibri"/>
                <w:color w:val="000000"/>
                <w:szCs w:val="20"/>
              </w:rPr>
              <w:t>-0.22</w:t>
            </w:r>
          </w:p>
        </w:tc>
        <w:tc>
          <w:tcPr>
            <w:tcW w:w="1233" w:type="pct"/>
            <w:tcBorders>
              <w:top w:val="single" w:sz="2" w:space="0" w:color="808080" w:themeColor="background1" w:themeShade="80"/>
            </w:tcBorders>
            <w:vAlign w:val="bottom"/>
          </w:tcPr>
          <w:p w14:paraId="3C4BD955" w14:textId="77777777" w:rsidR="007F7999" w:rsidRPr="007F7999" w:rsidRDefault="007F7999" w:rsidP="00187010">
            <w:pPr>
              <w:pStyle w:val="Tabletext"/>
              <w:jc w:val="center"/>
              <w:rPr>
                <w:szCs w:val="20"/>
              </w:rPr>
            </w:pPr>
            <w:r w:rsidRPr="007F7999">
              <w:rPr>
                <w:rFonts w:cs="Calibri"/>
                <w:color w:val="000000"/>
                <w:szCs w:val="20"/>
              </w:rPr>
              <w:t>-0.01</w:t>
            </w:r>
          </w:p>
        </w:tc>
      </w:tr>
      <w:tr w:rsidR="007F7999" w:rsidRPr="007F7999" w14:paraId="611C60BA" w14:textId="77777777" w:rsidTr="00E40E80">
        <w:tc>
          <w:tcPr>
            <w:tcW w:w="1378" w:type="pct"/>
            <w:vMerge/>
            <w:tcBorders>
              <w:bottom w:val="single" w:sz="2" w:space="0" w:color="808080" w:themeColor="background1" w:themeShade="80"/>
            </w:tcBorders>
            <w:vAlign w:val="center"/>
          </w:tcPr>
          <w:p w14:paraId="7F1DF0A1" w14:textId="77777777" w:rsidR="007F7999" w:rsidRPr="007F7999" w:rsidRDefault="007F7999" w:rsidP="00E40E80">
            <w:pPr>
              <w:pStyle w:val="Tabletext"/>
            </w:pPr>
          </w:p>
        </w:tc>
        <w:tc>
          <w:tcPr>
            <w:tcW w:w="1288" w:type="pct"/>
            <w:tcBorders>
              <w:bottom w:val="single" w:sz="2" w:space="0" w:color="808080" w:themeColor="background1" w:themeShade="80"/>
            </w:tcBorders>
            <w:vAlign w:val="bottom"/>
          </w:tcPr>
          <w:p w14:paraId="3AA55C61" w14:textId="77777777" w:rsidR="007F7999" w:rsidRPr="007F7999" w:rsidRDefault="007F7999" w:rsidP="00187010">
            <w:pPr>
              <w:pStyle w:val="Tabletext"/>
              <w:jc w:val="center"/>
              <w:rPr>
                <w:rFonts w:cs="Calibri"/>
                <w:color w:val="000000"/>
                <w:szCs w:val="20"/>
              </w:rPr>
            </w:pPr>
            <w:r w:rsidRPr="007F7999">
              <w:rPr>
                <w:rFonts w:cs="Calibri"/>
                <w:color w:val="000000"/>
                <w:szCs w:val="20"/>
              </w:rPr>
              <w:t>(0.10)</w:t>
            </w:r>
          </w:p>
        </w:tc>
        <w:tc>
          <w:tcPr>
            <w:tcW w:w="1101" w:type="pct"/>
            <w:tcBorders>
              <w:bottom w:val="single" w:sz="2" w:space="0" w:color="808080" w:themeColor="background1" w:themeShade="80"/>
            </w:tcBorders>
            <w:vAlign w:val="bottom"/>
          </w:tcPr>
          <w:p w14:paraId="74D5D3DF" w14:textId="77777777" w:rsidR="007F7999" w:rsidRPr="007F7999" w:rsidRDefault="007F7999" w:rsidP="00187010">
            <w:pPr>
              <w:pStyle w:val="Tabletext"/>
              <w:jc w:val="center"/>
              <w:rPr>
                <w:szCs w:val="20"/>
              </w:rPr>
            </w:pPr>
            <w:r w:rsidRPr="007F7999">
              <w:rPr>
                <w:rFonts w:cs="Calibri"/>
                <w:color w:val="000000"/>
                <w:szCs w:val="20"/>
              </w:rPr>
              <w:t>(0.26)</w:t>
            </w:r>
          </w:p>
        </w:tc>
        <w:tc>
          <w:tcPr>
            <w:tcW w:w="1233" w:type="pct"/>
            <w:tcBorders>
              <w:bottom w:val="single" w:sz="2" w:space="0" w:color="808080" w:themeColor="background1" w:themeShade="80"/>
            </w:tcBorders>
            <w:vAlign w:val="bottom"/>
          </w:tcPr>
          <w:p w14:paraId="4A2DFBA9" w14:textId="77777777" w:rsidR="007F7999" w:rsidRPr="007F7999" w:rsidRDefault="007F7999" w:rsidP="00187010">
            <w:pPr>
              <w:pStyle w:val="Tabletext"/>
              <w:jc w:val="center"/>
              <w:rPr>
                <w:szCs w:val="20"/>
              </w:rPr>
            </w:pPr>
            <w:r w:rsidRPr="007F7999">
              <w:rPr>
                <w:rFonts w:cs="Calibri"/>
                <w:color w:val="000000"/>
                <w:szCs w:val="20"/>
              </w:rPr>
              <w:t>(0.23)</w:t>
            </w:r>
          </w:p>
        </w:tc>
      </w:tr>
      <w:tr w:rsidR="007F7999" w:rsidRPr="007F7999" w14:paraId="7D191702" w14:textId="77777777" w:rsidTr="00E40E80">
        <w:tc>
          <w:tcPr>
            <w:tcW w:w="1378" w:type="pct"/>
            <w:vMerge w:val="restart"/>
            <w:tcBorders>
              <w:top w:val="single" w:sz="2" w:space="0" w:color="808080" w:themeColor="background1" w:themeShade="80"/>
            </w:tcBorders>
            <w:vAlign w:val="center"/>
          </w:tcPr>
          <w:p w14:paraId="18B7B3B6" w14:textId="77777777" w:rsidR="007F7999" w:rsidRPr="007F7999" w:rsidRDefault="007F7999" w:rsidP="00E40E80">
            <w:pPr>
              <w:pStyle w:val="Tabletext"/>
            </w:pPr>
            <w:r w:rsidRPr="007F7999">
              <w:t>Outer regional</w:t>
            </w:r>
          </w:p>
        </w:tc>
        <w:tc>
          <w:tcPr>
            <w:tcW w:w="1288" w:type="pct"/>
            <w:tcBorders>
              <w:top w:val="single" w:sz="2" w:space="0" w:color="808080" w:themeColor="background1" w:themeShade="80"/>
            </w:tcBorders>
          </w:tcPr>
          <w:p w14:paraId="5A76156C" w14:textId="77777777" w:rsidR="007F7999" w:rsidRPr="007F7999" w:rsidRDefault="007F7999" w:rsidP="00187010">
            <w:pPr>
              <w:pStyle w:val="Tabletext"/>
              <w:jc w:val="center"/>
              <w:rPr>
                <w:rFonts w:cs="Calibri"/>
                <w:color w:val="000000"/>
                <w:szCs w:val="20"/>
              </w:rPr>
            </w:pPr>
            <w:r w:rsidRPr="007F7999">
              <w:rPr>
                <w:szCs w:val="20"/>
              </w:rPr>
              <w:t>-0.3</w:t>
            </w:r>
          </w:p>
        </w:tc>
        <w:tc>
          <w:tcPr>
            <w:tcW w:w="1101" w:type="pct"/>
            <w:tcBorders>
              <w:top w:val="single" w:sz="2" w:space="0" w:color="808080" w:themeColor="background1" w:themeShade="80"/>
            </w:tcBorders>
          </w:tcPr>
          <w:p w14:paraId="7F20B4EF" w14:textId="77777777" w:rsidR="007F7999" w:rsidRPr="007F7999" w:rsidRDefault="007F7999" w:rsidP="00187010">
            <w:pPr>
              <w:pStyle w:val="Tabletext"/>
              <w:jc w:val="center"/>
              <w:rPr>
                <w:szCs w:val="20"/>
              </w:rPr>
            </w:pPr>
            <w:r w:rsidRPr="007F7999">
              <w:rPr>
                <w:szCs w:val="20"/>
              </w:rPr>
              <w:t>-0.2</w:t>
            </w:r>
          </w:p>
        </w:tc>
        <w:tc>
          <w:tcPr>
            <w:tcW w:w="1233" w:type="pct"/>
            <w:tcBorders>
              <w:top w:val="single" w:sz="2" w:space="0" w:color="808080" w:themeColor="background1" w:themeShade="80"/>
            </w:tcBorders>
          </w:tcPr>
          <w:p w14:paraId="24CA39D3" w14:textId="77777777" w:rsidR="007F7999" w:rsidRPr="007F7999" w:rsidRDefault="007F7999" w:rsidP="00187010">
            <w:pPr>
              <w:pStyle w:val="Tabletext"/>
              <w:jc w:val="center"/>
              <w:rPr>
                <w:szCs w:val="20"/>
              </w:rPr>
            </w:pPr>
            <w:r w:rsidRPr="007F7999">
              <w:rPr>
                <w:szCs w:val="20"/>
              </w:rPr>
              <w:t>-1.1</w:t>
            </w:r>
          </w:p>
        </w:tc>
      </w:tr>
      <w:tr w:rsidR="007F7999" w:rsidRPr="007F7999" w14:paraId="4379D334" w14:textId="77777777" w:rsidTr="00E40E80">
        <w:tc>
          <w:tcPr>
            <w:tcW w:w="1378" w:type="pct"/>
            <w:vMerge/>
            <w:tcBorders>
              <w:bottom w:val="single" w:sz="2" w:space="0" w:color="808080" w:themeColor="background1" w:themeShade="80"/>
            </w:tcBorders>
            <w:vAlign w:val="center"/>
          </w:tcPr>
          <w:p w14:paraId="4694B33E" w14:textId="77777777" w:rsidR="007F7999" w:rsidRPr="007F7999" w:rsidRDefault="007F7999" w:rsidP="00E40E80">
            <w:pPr>
              <w:pStyle w:val="Tabletext"/>
            </w:pPr>
          </w:p>
        </w:tc>
        <w:tc>
          <w:tcPr>
            <w:tcW w:w="1288" w:type="pct"/>
            <w:tcBorders>
              <w:bottom w:val="single" w:sz="2" w:space="0" w:color="808080" w:themeColor="background1" w:themeShade="80"/>
            </w:tcBorders>
          </w:tcPr>
          <w:p w14:paraId="51AD33C1" w14:textId="77777777" w:rsidR="007F7999" w:rsidRPr="007F7999" w:rsidRDefault="007F7999" w:rsidP="00187010">
            <w:pPr>
              <w:pStyle w:val="Tabletext"/>
              <w:jc w:val="center"/>
              <w:rPr>
                <w:rFonts w:cs="Calibri"/>
                <w:color w:val="000000"/>
                <w:szCs w:val="20"/>
              </w:rPr>
            </w:pPr>
            <w:r w:rsidRPr="007F7999">
              <w:rPr>
                <w:szCs w:val="20"/>
              </w:rPr>
              <w:t>(0.24)</w:t>
            </w:r>
          </w:p>
        </w:tc>
        <w:tc>
          <w:tcPr>
            <w:tcW w:w="1101" w:type="pct"/>
            <w:tcBorders>
              <w:bottom w:val="single" w:sz="2" w:space="0" w:color="808080" w:themeColor="background1" w:themeShade="80"/>
            </w:tcBorders>
          </w:tcPr>
          <w:p w14:paraId="7CA751F8" w14:textId="77777777" w:rsidR="007F7999" w:rsidRPr="007F7999" w:rsidRDefault="007F7999" w:rsidP="00187010">
            <w:pPr>
              <w:pStyle w:val="Tabletext"/>
              <w:jc w:val="center"/>
              <w:rPr>
                <w:szCs w:val="20"/>
              </w:rPr>
            </w:pPr>
            <w:r w:rsidRPr="007F7999">
              <w:rPr>
                <w:szCs w:val="20"/>
              </w:rPr>
              <w:t>(0.43)</w:t>
            </w:r>
          </w:p>
        </w:tc>
        <w:tc>
          <w:tcPr>
            <w:tcW w:w="1233" w:type="pct"/>
            <w:tcBorders>
              <w:bottom w:val="single" w:sz="2" w:space="0" w:color="808080" w:themeColor="background1" w:themeShade="80"/>
            </w:tcBorders>
          </w:tcPr>
          <w:p w14:paraId="3A0095A6" w14:textId="77777777" w:rsidR="007F7999" w:rsidRPr="007F7999" w:rsidRDefault="007F7999" w:rsidP="00187010">
            <w:pPr>
              <w:pStyle w:val="Tabletext"/>
              <w:jc w:val="center"/>
              <w:rPr>
                <w:szCs w:val="20"/>
              </w:rPr>
            </w:pPr>
            <w:r w:rsidRPr="007F7999">
              <w:rPr>
                <w:szCs w:val="20"/>
              </w:rPr>
              <w:t>(0.70)</w:t>
            </w:r>
          </w:p>
        </w:tc>
      </w:tr>
      <w:tr w:rsidR="007F7999" w:rsidRPr="007F7999" w14:paraId="2FE94E2D" w14:textId="77777777" w:rsidTr="00E40E80">
        <w:tc>
          <w:tcPr>
            <w:tcW w:w="1378" w:type="pct"/>
            <w:vMerge w:val="restart"/>
            <w:tcBorders>
              <w:top w:val="single" w:sz="2" w:space="0" w:color="808080" w:themeColor="background1" w:themeShade="80"/>
            </w:tcBorders>
            <w:vAlign w:val="center"/>
          </w:tcPr>
          <w:p w14:paraId="33A839D3" w14:textId="77777777" w:rsidR="007F7999" w:rsidRPr="007F7999" w:rsidRDefault="007F7999" w:rsidP="00E40E80">
            <w:pPr>
              <w:pStyle w:val="Tabletext"/>
            </w:pPr>
            <w:r w:rsidRPr="007F7999">
              <w:t>Remote or very remote</w:t>
            </w:r>
          </w:p>
        </w:tc>
        <w:tc>
          <w:tcPr>
            <w:tcW w:w="1288" w:type="pct"/>
            <w:tcBorders>
              <w:top w:val="single" w:sz="2" w:space="0" w:color="808080" w:themeColor="background1" w:themeShade="80"/>
            </w:tcBorders>
          </w:tcPr>
          <w:p w14:paraId="57BF1583" w14:textId="77777777" w:rsidR="007F7999" w:rsidRPr="007F7999" w:rsidRDefault="007F7999" w:rsidP="00187010">
            <w:pPr>
              <w:pStyle w:val="Tabletext"/>
              <w:jc w:val="center"/>
              <w:rPr>
                <w:rFonts w:cs="Calibri"/>
                <w:color w:val="000000"/>
                <w:szCs w:val="20"/>
              </w:rPr>
            </w:pPr>
            <w:r w:rsidRPr="007F7999">
              <w:rPr>
                <w:szCs w:val="20"/>
              </w:rPr>
              <w:t>0.3</w:t>
            </w:r>
          </w:p>
        </w:tc>
        <w:tc>
          <w:tcPr>
            <w:tcW w:w="1101" w:type="pct"/>
            <w:tcBorders>
              <w:top w:val="single" w:sz="2" w:space="0" w:color="808080" w:themeColor="background1" w:themeShade="80"/>
            </w:tcBorders>
          </w:tcPr>
          <w:p w14:paraId="58A935D4" w14:textId="77777777" w:rsidR="007F7999" w:rsidRPr="007F7999" w:rsidRDefault="007F7999" w:rsidP="00187010">
            <w:pPr>
              <w:pStyle w:val="Tabletext"/>
              <w:jc w:val="center"/>
              <w:rPr>
                <w:szCs w:val="20"/>
              </w:rPr>
            </w:pPr>
            <w:r w:rsidRPr="007F7999">
              <w:rPr>
                <w:szCs w:val="20"/>
              </w:rPr>
              <w:t>0.5</w:t>
            </w:r>
          </w:p>
        </w:tc>
        <w:tc>
          <w:tcPr>
            <w:tcW w:w="1233" w:type="pct"/>
            <w:tcBorders>
              <w:top w:val="single" w:sz="2" w:space="0" w:color="808080" w:themeColor="background1" w:themeShade="80"/>
            </w:tcBorders>
          </w:tcPr>
          <w:p w14:paraId="6E82EDCA" w14:textId="77777777" w:rsidR="007F7999" w:rsidRPr="007F7999" w:rsidRDefault="007F7999" w:rsidP="00187010">
            <w:pPr>
              <w:pStyle w:val="Tabletext"/>
              <w:jc w:val="center"/>
              <w:rPr>
                <w:szCs w:val="20"/>
              </w:rPr>
            </w:pPr>
            <w:r w:rsidRPr="007F7999">
              <w:rPr>
                <w:szCs w:val="20"/>
              </w:rPr>
              <w:t>-0.8</w:t>
            </w:r>
          </w:p>
        </w:tc>
      </w:tr>
      <w:tr w:rsidR="007F7999" w:rsidRPr="007F7999" w14:paraId="0A57715D" w14:textId="77777777" w:rsidTr="00187010">
        <w:tc>
          <w:tcPr>
            <w:tcW w:w="1378" w:type="pct"/>
            <w:vMerge/>
            <w:tcBorders>
              <w:bottom w:val="single" w:sz="2" w:space="0" w:color="808080" w:themeColor="background1" w:themeShade="80"/>
            </w:tcBorders>
          </w:tcPr>
          <w:p w14:paraId="2468EE7D" w14:textId="77777777" w:rsidR="007F7999" w:rsidRPr="007F7999" w:rsidRDefault="007F7999" w:rsidP="00187010">
            <w:pPr>
              <w:pStyle w:val="Tabletext"/>
              <w:ind w:left="176"/>
              <w:rPr>
                <w:szCs w:val="20"/>
              </w:rPr>
            </w:pPr>
          </w:p>
        </w:tc>
        <w:tc>
          <w:tcPr>
            <w:tcW w:w="1288" w:type="pct"/>
            <w:tcBorders>
              <w:bottom w:val="single" w:sz="2" w:space="0" w:color="808080" w:themeColor="background1" w:themeShade="80"/>
            </w:tcBorders>
          </w:tcPr>
          <w:p w14:paraId="6891F897" w14:textId="77777777" w:rsidR="007F7999" w:rsidRPr="007F7999" w:rsidRDefault="007F7999" w:rsidP="00187010">
            <w:pPr>
              <w:pStyle w:val="Tabletext"/>
              <w:jc w:val="center"/>
              <w:rPr>
                <w:rFonts w:cs="Calibri"/>
                <w:color w:val="000000"/>
                <w:szCs w:val="20"/>
              </w:rPr>
            </w:pPr>
            <w:r w:rsidRPr="007F7999">
              <w:rPr>
                <w:szCs w:val="20"/>
              </w:rPr>
              <w:t>(0.37)</w:t>
            </w:r>
          </w:p>
        </w:tc>
        <w:tc>
          <w:tcPr>
            <w:tcW w:w="1101" w:type="pct"/>
            <w:tcBorders>
              <w:bottom w:val="single" w:sz="2" w:space="0" w:color="808080" w:themeColor="background1" w:themeShade="80"/>
            </w:tcBorders>
          </w:tcPr>
          <w:p w14:paraId="42FAA820" w14:textId="77777777" w:rsidR="007F7999" w:rsidRPr="007F7999" w:rsidRDefault="007F7999" w:rsidP="00187010">
            <w:pPr>
              <w:pStyle w:val="Tabletext"/>
              <w:jc w:val="center"/>
              <w:rPr>
                <w:szCs w:val="20"/>
              </w:rPr>
            </w:pPr>
            <w:r w:rsidRPr="007F7999">
              <w:rPr>
                <w:szCs w:val="20"/>
              </w:rPr>
              <w:t>(0.66)</w:t>
            </w:r>
          </w:p>
        </w:tc>
        <w:tc>
          <w:tcPr>
            <w:tcW w:w="1233" w:type="pct"/>
            <w:tcBorders>
              <w:bottom w:val="single" w:sz="2" w:space="0" w:color="808080" w:themeColor="background1" w:themeShade="80"/>
            </w:tcBorders>
          </w:tcPr>
          <w:p w14:paraId="2510A35A" w14:textId="77777777" w:rsidR="007F7999" w:rsidRPr="007F7999" w:rsidRDefault="007F7999" w:rsidP="00187010">
            <w:pPr>
              <w:pStyle w:val="Tabletext"/>
              <w:jc w:val="center"/>
              <w:rPr>
                <w:szCs w:val="20"/>
              </w:rPr>
            </w:pPr>
            <w:r w:rsidRPr="007F7999">
              <w:rPr>
                <w:szCs w:val="20"/>
              </w:rPr>
              <w:t>(1.08)</w:t>
            </w:r>
          </w:p>
        </w:tc>
      </w:tr>
      <w:tr w:rsidR="007F7999" w:rsidRPr="007F7999" w14:paraId="5D24A7CD" w14:textId="77777777" w:rsidTr="007F7999">
        <w:tc>
          <w:tcPr>
            <w:tcW w:w="5000" w:type="pct"/>
            <w:gridSpan w:val="4"/>
            <w:tcBorders>
              <w:top w:val="single" w:sz="2" w:space="0" w:color="808080" w:themeColor="background1" w:themeShade="80"/>
              <w:bottom w:val="single" w:sz="4" w:space="0" w:color="7F7F7F" w:themeColor="text1" w:themeTint="80"/>
            </w:tcBorders>
            <w:vAlign w:val="center"/>
          </w:tcPr>
          <w:p w14:paraId="2C4B3B0A" w14:textId="34203BFC" w:rsidR="007F7999" w:rsidRPr="007F7999" w:rsidRDefault="007F7999" w:rsidP="007F7999">
            <w:pPr>
              <w:pStyle w:val="Tabletext"/>
              <w:rPr>
                <w:szCs w:val="20"/>
              </w:rPr>
            </w:pPr>
            <w:r w:rsidRPr="007F7999">
              <w:rPr>
                <w:b/>
                <w:bCs/>
                <w:szCs w:val="20"/>
              </w:rPr>
              <w:t>Initial distress categories (ref = Low distress)</w:t>
            </w:r>
          </w:p>
        </w:tc>
      </w:tr>
      <w:tr w:rsidR="00E40E80" w:rsidRPr="007F7999" w14:paraId="48B675D1" w14:textId="77777777" w:rsidTr="00E40E80">
        <w:tc>
          <w:tcPr>
            <w:tcW w:w="1378" w:type="pct"/>
            <w:vMerge w:val="restart"/>
            <w:tcBorders>
              <w:top w:val="single" w:sz="4" w:space="0" w:color="7F7F7F" w:themeColor="text1" w:themeTint="80"/>
            </w:tcBorders>
            <w:vAlign w:val="center"/>
          </w:tcPr>
          <w:p w14:paraId="62465403" w14:textId="77777777" w:rsidR="00E40E80" w:rsidRPr="00E40E80" w:rsidRDefault="00E40E80" w:rsidP="00E40E80">
            <w:pPr>
              <w:pStyle w:val="Tabletext"/>
            </w:pPr>
            <w:r w:rsidRPr="00E40E80">
              <w:t>Moderate distress</w:t>
            </w:r>
          </w:p>
        </w:tc>
        <w:tc>
          <w:tcPr>
            <w:tcW w:w="1288" w:type="pct"/>
            <w:tcBorders>
              <w:top w:val="single" w:sz="4" w:space="0" w:color="7F7F7F" w:themeColor="text1" w:themeTint="80"/>
            </w:tcBorders>
          </w:tcPr>
          <w:p w14:paraId="3F11F08D" w14:textId="77777777" w:rsidR="00E40E80" w:rsidRPr="007F7999" w:rsidRDefault="00E40E80" w:rsidP="00187010">
            <w:pPr>
              <w:pStyle w:val="Tabletext"/>
              <w:jc w:val="center"/>
              <w:rPr>
                <w:szCs w:val="20"/>
              </w:rPr>
            </w:pPr>
            <w:r w:rsidRPr="007F7999">
              <w:rPr>
                <w:szCs w:val="20"/>
              </w:rPr>
              <w:t>1.9**</w:t>
            </w:r>
          </w:p>
        </w:tc>
        <w:tc>
          <w:tcPr>
            <w:tcW w:w="1101" w:type="pct"/>
            <w:tcBorders>
              <w:top w:val="single" w:sz="2" w:space="0" w:color="808080" w:themeColor="background1" w:themeShade="80"/>
            </w:tcBorders>
          </w:tcPr>
          <w:p w14:paraId="2E46158F" w14:textId="77777777" w:rsidR="00E40E80" w:rsidRPr="007F7999" w:rsidRDefault="00E40E80" w:rsidP="00187010">
            <w:pPr>
              <w:pStyle w:val="Tabletext"/>
              <w:jc w:val="center"/>
              <w:rPr>
                <w:szCs w:val="20"/>
              </w:rPr>
            </w:pPr>
            <w:r w:rsidRPr="007F7999">
              <w:rPr>
                <w:szCs w:val="20"/>
              </w:rPr>
              <w:t>-0.2</w:t>
            </w:r>
          </w:p>
        </w:tc>
        <w:tc>
          <w:tcPr>
            <w:tcW w:w="1233" w:type="pct"/>
            <w:tcBorders>
              <w:top w:val="single" w:sz="2" w:space="0" w:color="808080" w:themeColor="background1" w:themeShade="80"/>
            </w:tcBorders>
          </w:tcPr>
          <w:p w14:paraId="51B5DB9A" w14:textId="77777777" w:rsidR="00E40E80" w:rsidRPr="007F7999" w:rsidRDefault="00E40E80" w:rsidP="00187010">
            <w:pPr>
              <w:pStyle w:val="Tabletext"/>
              <w:jc w:val="center"/>
              <w:rPr>
                <w:szCs w:val="20"/>
              </w:rPr>
            </w:pPr>
            <w:r w:rsidRPr="007F7999">
              <w:rPr>
                <w:szCs w:val="20"/>
              </w:rPr>
              <w:t>1.5**</w:t>
            </w:r>
          </w:p>
        </w:tc>
      </w:tr>
      <w:tr w:rsidR="00E40E80" w:rsidRPr="007F7999" w14:paraId="3E68C8CA" w14:textId="77777777" w:rsidTr="00E40E80">
        <w:tc>
          <w:tcPr>
            <w:tcW w:w="1378" w:type="pct"/>
            <w:vMerge/>
            <w:tcBorders>
              <w:bottom w:val="single" w:sz="4" w:space="0" w:color="7F7F7F" w:themeColor="text1" w:themeTint="80"/>
            </w:tcBorders>
            <w:vAlign w:val="center"/>
          </w:tcPr>
          <w:p w14:paraId="1AD2A8B9" w14:textId="77777777" w:rsidR="00E40E80" w:rsidRPr="00E40E80" w:rsidRDefault="00E40E80" w:rsidP="00E40E80">
            <w:pPr>
              <w:pStyle w:val="Tabletext"/>
            </w:pPr>
          </w:p>
        </w:tc>
        <w:tc>
          <w:tcPr>
            <w:tcW w:w="1288" w:type="pct"/>
            <w:tcBorders>
              <w:bottom w:val="single" w:sz="2" w:space="0" w:color="808080" w:themeColor="background1" w:themeShade="80"/>
            </w:tcBorders>
          </w:tcPr>
          <w:p w14:paraId="1E9F73DC" w14:textId="77777777" w:rsidR="00E40E80" w:rsidRPr="007F7999" w:rsidRDefault="00E40E80" w:rsidP="00187010">
            <w:pPr>
              <w:pStyle w:val="Tabletext"/>
              <w:jc w:val="center"/>
              <w:rPr>
                <w:szCs w:val="20"/>
              </w:rPr>
            </w:pPr>
            <w:r w:rsidRPr="007F7999">
              <w:rPr>
                <w:szCs w:val="20"/>
              </w:rPr>
              <w:t>(0.23)</w:t>
            </w:r>
          </w:p>
        </w:tc>
        <w:tc>
          <w:tcPr>
            <w:tcW w:w="1101" w:type="pct"/>
            <w:tcBorders>
              <w:bottom w:val="single" w:sz="2" w:space="0" w:color="808080" w:themeColor="background1" w:themeShade="80"/>
            </w:tcBorders>
          </w:tcPr>
          <w:p w14:paraId="662C90AB" w14:textId="77777777" w:rsidR="00E40E80" w:rsidRPr="007F7999" w:rsidRDefault="00E40E80" w:rsidP="00187010">
            <w:pPr>
              <w:pStyle w:val="Tabletext"/>
              <w:jc w:val="center"/>
              <w:rPr>
                <w:szCs w:val="20"/>
              </w:rPr>
            </w:pPr>
            <w:r w:rsidRPr="007F7999">
              <w:rPr>
                <w:szCs w:val="20"/>
              </w:rPr>
              <w:t>(0.41)</w:t>
            </w:r>
          </w:p>
        </w:tc>
        <w:tc>
          <w:tcPr>
            <w:tcW w:w="1233" w:type="pct"/>
            <w:tcBorders>
              <w:bottom w:val="single" w:sz="2" w:space="0" w:color="808080" w:themeColor="background1" w:themeShade="80"/>
            </w:tcBorders>
          </w:tcPr>
          <w:p w14:paraId="56B6D07A" w14:textId="77777777" w:rsidR="00E40E80" w:rsidRPr="007F7999" w:rsidRDefault="00E40E80" w:rsidP="00187010">
            <w:pPr>
              <w:pStyle w:val="Tabletext"/>
              <w:jc w:val="center"/>
              <w:rPr>
                <w:szCs w:val="20"/>
              </w:rPr>
            </w:pPr>
            <w:r w:rsidRPr="007F7999">
              <w:rPr>
                <w:szCs w:val="20"/>
              </w:rPr>
              <w:t>(0.66)</w:t>
            </w:r>
          </w:p>
        </w:tc>
      </w:tr>
      <w:tr w:rsidR="00E40E80" w:rsidRPr="007F7999" w14:paraId="70A5AE72" w14:textId="77777777" w:rsidTr="00E40E80">
        <w:tc>
          <w:tcPr>
            <w:tcW w:w="1378" w:type="pct"/>
            <w:vMerge w:val="restart"/>
            <w:tcBorders>
              <w:top w:val="single" w:sz="4" w:space="0" w:color="7F7F7F" w:themeColor="text1" w:themeTint="80"/>
            </w:tcBorders>
            <w:vAlign w:val="center"/>
          </w:tcPr>
          <w:p w14:paraId="54EBB982" w14:textId="77777777" w:rsidR="00E40E80" w:rsidRPr="00E40E80" w:rsidRDefault="00E40E80" w:rsidP="00E40E80">
            <w:pPr>
              <w:pStyle w:val="Tabletext"/>
            </w:pPr>
            <w:r w:rsidRPr="00E40E80">
              <w:t>High distress</w:t>
            </w:r>
          </w:p>
        </w:tc>
        <w:tc>
          <w:tcPr>
            <w:tcW w:w="1288" w:type="pct"/>
            <w:tcBorders>
              <w:top w:val="single" w:sz="2" w:space="0" w:color="808080" w:themeColor="background1" w:themeShade="80"/>
            </w:tcBorders>
          </w:tcPr>
          <w:p w14:paraId="72389F0B" w14:textId="77777777" w:rsidR="00E40E80" w:rsidRPr="007F7999" w:rsidRDefault="00E40E80" w:rsidP="00187010">
            <w:pPr>
              <w:pStyle w:val="Tabletext"/>
              <w:jc w:val="center"/>
              <w:rPr>
                <w:szCs w:val="20"/>
              </w:rPr>
            </w:pPr>
            <w:r w:rsidRPr="007F7999">
              <w:rPr>
                <w:szCs w:val="20"/>
              </w:rPr>
              <w:t>2.1**</w:t>
            </w:r>
          </w:p>
        </w:tc>
        <w:tc>
          <w:tcPr>
            <w:tcW w:w="1101" w:type="pct"/>
            <w:tcBorders>
              <w:top w:val="single" w:sz="2" w:space="0" w:color="808080" w:themeColor="background1" w:themeShade="80"/>
            </w:tcBorders>
          </w:tcPr>
          <w:p w14:paraId="013A5BA4" w14:textId="77777777" w:rsidR="00E40E80" w:rsidRPr="007F7999" w:rsidRDefault="00E40E80" w:rsidP="00187010">
            <w:pPr>
              <w:pStyle w:val="Tabletext"/>
              <w:jc w:val="center"/>
              <w:rPr>
                <w:szCs w:val="20"/>
              </w:rPr>
            </w:pPr>
            <w:r w:rsidRPr="007F7999">
              <w:rPr>
                <w:szCs w:val="20"/>
              </w:rPr>
              <w:t>-1.1**</w:t>
            </w:r>
          </w:p>
        </w:tc>
        <w:tc>
          <w:tcPr>
            <w:tcW w:w="1233" w:type="pct"/>
            <w:tcBorders>
              <w:top w:val="single" w:sz="2" w:space="0" w:color="808080" w:themeColor="background1" w:themeShade="80"/>
            </w:tcBorders>
          </w:tcPr>
          <w:p w14:paraId="36DA52C2" w14:textId="77777777" w:rsidR="00E40E80" w:rsidRPr="007F7999" w:rsidRDefault="00E40E80" w:rsidP="00187010">
            <w:pPr>
              <w:pStyle w:val="Tabletext"/>
              <w:jc w:val="center"/>
              <w:rPr>
                <w:szCs w:val="20"/>
              </w:rPr>
            </w:pPr>
            <w:r w:rsidRPr="007F7999">
              <w:rPr>
                <w:szCs w:val="20"/>
              </w:rPr>
              <w:t>2.4**</w:t>
            </w:r>
          </w:p>
        </w:tc>
      </w:tr>
      <w:tr w:rsidR="00E40E80" w:rsidRPr="007F7999" w14:paraId="1F7F37AF" w14:textId="77777777" w:rsidTr="00E40E80">
        <w:tc>
          <w:tcPr>
            <w:tcW w:w="1378" w:type="pct"/>
            <w:vMerge/>
            <w:tcBorders>
              <w:bottom w:val="single" w:sz="4" w:space="0" w:color="7F7F7F" w:themeColor="text1" w:themeTint="80"/>
            </w:tcBorders>
            <w:vAlign w:val="center"/>
          </w:tcPr>
          <w:p w14:paraId="1F224C25" w14:textId="77777777" w:rsidR="00E40E80" w:rsidRPr="00E40E80" w:rsidRDefault="00E40E80" w:rsidP="00E40E80">
            <w:pPr>
              <w:pStyle w:val="Tabletext"/>
            </w:pPr>
          </w:p>
        </w:tc>
        <w:tc>
          <w:tcPr>
            <w:tcW w:w="1288" w:type="pct"/>
            <w:tcBorders>
              <w:bottom w:val="single" w:sz="2" w:space="0" w:color="808080" w:themeColor="background1" w:themeShade="80"/>
            </w:tcBorders>
          </w:tcPr>
          <w:p w14:paraId="01CFDD52" w14:textId="77777777" w:rsidR="00E40E80" w:rsidRPr="007F7999" w:rsidRDefault="00E40E80" w:rsidP="00187010">
            <w:pPr>
              <w:pStyle w:val="Tabletext"/>
              <w:jc w:val="center"/>
              <w:rPr>
                <w:szCs w:val="20"/>
              </w:rPr>
            </w:pPr>
            <w:r w:rsidRPr="007F7999">
              <w:rPr>
                <w:szCs w:val="20"/>
              </w:rPr>
              <w:t>(0.20)</w:t>
            </w:r>
          </w:p>
        </w:tc>
        <w:tc>
          <w:tcPr>
            <w:tcW w:w="1101" w:type="pct"/>
            <w:tcBorders>
              <w:bottom w:val="single" w:sz="2" w:space="0" w:color="808080" w:themeColor="background1" w:themeShade="80"/>
            </w:tcBorders>
          </w:tcPr>
          <w:p w14:paraId="1E6A36E8" w14:textId="77777777" w:rsidR="00E40E80" w:rsidRPr="007F7999" w:rsidRDefault="00E40E80" w:rsidP="00187010">
            <w:pPr>
              <w:pStyle w:val="Tabletext"/>
              <w:jc w:val="center"/>
              <w:rPr>
                <w:szCs w:val="20"/>
              </w:rPr>
            </w:pPr>
            <w:r w:rsidRPr="007F7999">
              <w:rPr>
                <w:szCs w:val="20"/>
              </w:rPr>
              <w:t>(0.37)</w:t>
            </w:r>
          </w:p>
        </w:tc>
        <w:tc>
          <w:tcPr>
            <w:tcW w:w="1233" w:type="pct"/>
            <w:tcBorders>
              <w:bottom w:val="single" w:sz="2" w:space="0" w:color="808080" w:themeColor="background1" w:themeShade="80"/>
            </w:tcBorders>
          </w:tcPr>
          <w:p w14:paraId="6BC92AE3" w14:textId="77777777" w:rsidR="00E40E80" w:rsidRPr="007F7999" w:rsidRDefault="00E40E80" w:rsidP="00187010">
            <w:pPr>
              <w:pStyle w:val="Tabletext"/>
              <w:jc w:val="center"/>
              <w:rPr>
                <w:szCs w:val="20"/>
              </w:rPr>
            </w:pPr>
            <w:r w:rsidRPr="007F7999">
              <w:rPr>
                <w:szCs w:val="20"/>
              </w:rPr>
              <w:t>(0.60)</w:t>
            </w:r>
          </w:p>
        </w:tc>
      </w:tr>
      <w:tr w:rsidR="00E40E80" w:rsidRPr="007F7999" w14:paraId="449C3B0C" w14:textId="77777777" w:rsidTr="00E40E80">
        <w:tc>
          <w:tcPr>
            <w:tcW w:w="1378" w:type="pct"/>
            <w:vMerge w:val="restart"/>
            <w:tcBorders>
              <w:top w:val="single" w:sz="4" w:space="0" w:color="7F7F7F" w:themeColor="text1" w:themeTint="80"/>
            </w:tcBorders>
            <w:vAlign w:val="center"/>
          </w:tcPr>
          <w:p w14:paraId="6E87F9BB" w14:textId="77777777" w:rsidR="00E40E80" w:rsidRPr="00E40E80" w:rsidRDefault="00E40E80" w:rsidP="00E40E80">
            <w:pPr>
              <w:pStyle w:val="Tabletext"/>
            </w:pPr>
            <w:r w:rsidRPr="00E40E80">
              <w:t>Very high distress</w:t>
            </w:r>
          </w:p>
        </w:tc>
        <w:tc>
          <w:tcPr>
            <w:tcW w:w="1288" w:type="pct"/>
            <w:tcBorders>
              <w:top w:val="single" w:sz="2" w:space="0" w:color="808080" w:themeColor="background1" w:themeShade="80"/>
            </w:tcBorders>
          </w:tcPr>
          <w:p w14:paraId="71846DDF" w14:textId="77777777" w:rsidR="00E40E80" w:rsidRPr="007F7999" w:rsidRDefault="00E40E80" w:rsidP="00187010">
            <w:pPr>
              <w:pStyle w:val="Tabletext"/>
              <w:jc w:val="center"/>
              <w:rPr>
                <w:szCs w:val="20"/>
              </w:rPr>
            </w:pPr>
            <w:r w:rsidRPr="007F7999">
              <w:rPr>
                <w:szCs w:val="20"/>
              </w:rPr>
              <w:t>2.8**</w:t>
            </w:r>
          </w:p>
        </w:tc>
        <w:tc>
          <w:tcPr>
            <w:tcW w:w="1101" w:type="pct"/>
            <w:tcBorders>
              <w:top w:val="single" w:sz="2" w:space="0" w:color="808080" w:themeColor="background1" w:themeShade="80"/>
            </w:tcBorders>
          </w:tcPr>
          <w:p w14:paraId="0077F66E" w14:textId="77777777" w:rsidR="00E40E80" w:rsidRPr="007F7999" w:rsidRDefault="00E40E80" w:rsidP="00187010">
            <w:pPr>
              <w:pStyle w:val="Tabletext"/>
              <w:jc w:val="center"/>
              <w:rPr>
                <w:szCs w:val="20"/>
              </w:rPr>
            </w:pPr>
            <w:r w:rsidRPr="007F7999">
              <w:rPr>
                <w:szCs w:val="20"/>
              </w:rPr>
              <w:t>-2.1**</w:t>
            </w:r>
          </w:p>
        </w:tc>
        <w:tc>
          <w:tcPr>
            <w:tcW w:w="1233" w:type="pct"/>
            <w:tcBorders>
              <w:top w:val="single" w:sz="2" w:space="0" w:color="808080" w:themeColor="background1" w:themeShade="80"/>
            </w:tcBorders>
          </w:tcPr>
          <w:p w14:paraId="15359B87" w14:textId="77777777" w:rsidR="00E40E80" w:rsidRPr="007F7999" w:rsidRDefault="00E40E80" w:rsidP="00187010">
            <w:pPr>
              <w:pStyle w:val="Tabletext"/>
              <w:jc w:val="center"/>
              <w:rPr>
                <w:szCs w:val="20"/>
              </w:rPr>
            </w:pPr>
            <w:r w:rsidRPr="007F7999">
              <w:rPr>
                <w:szCs w:val="20"/>
              </w:rPr>
              <w:t>3.2**</w:t>
            </w:r>
          </w:p>
        </w:tc>
      </w:tr>
      <w:tr w:rsidR="00E40E80" w:rsidRPr="007F7999" w14:paraId="1A7D4077" w14:textId="77777777" w:rsidTr="00187010">
        <w:tc>
          <w:tcPr>
            <w:tcW w:w="1378" w:type="pct"/>
            <w:vMerge/>
            <w:tcBorders>
              <w:bottom w:val="single" w:sz="4" w:space="0" w:color="7F7F7F" w:themeColor="text1" w:themeTint="80"/>
            </w:tcBorders>
          </w:tcPr>
          <w:p w14:paraId="389218C2" w14:textId="77777777" w:rsidR="00E40E80" w:rsidRPr="007F7999" w:rsidRDefault="00E40E80" w:rsidP="00187010">
            <w:pPr>
              <w:pStyle w:val="Tabletext"/>
              <w:jc w:val="center"/>
              <w:rPr>
                <w:b/>
                <w:szCs w:val="20"/>
              </w:rPr>
            </w:pPr>
          </w:p>
        </w:tc>
        <w:tc>
          <w:tcPr>
            <w:tcW w:w="1288" w:type="pct"/>
            <w:tcBorders>
              <w:bottom w:val="single" w:sz="4" w:space="0" w:color="7F7F7F" w:themeColor="text1" w:themeTint="80"/>
            </w:tcBorders>
          </w:tcPr>
          <w:p w14:paraId="57CCA118" w14:textId="77777777" w:rsidR="00E40E80" w:rsidRPr="007F7999" w:rsidRDefault="00E40E80" w:rsidP="00187010">
            <w:pPr>
              <w:pStyle w:val="Tabletext"/>
              <w:jc w:val="center"/>
              <w:rPr>
                <w:szCs w:val="20"/>
              </w:rPr>
            </w:pPr>
            <w:r w:rsidRPr="007F7999">
              <w:rPr>
                <w:szCs w:val="20"/>
              </w:rPr>
              <w:t>(0.20)</w:t>
            </w:r>
          </w:p>
        </w:tc>
        <w:tc>
          <w:tcPr>
            <w:tcW w:w="1101" w:type="pct"/>
            <w:tcBorders>
              <w:bottom w:val="single" w:sz="4" w:space="0" w:color="7F7F7F" w:themeColor="text1" w:themeTint="80"/>
            </w:tcBorders>
          </w:tcPr>
          <w:p w14:paraId="604CEEA8" w14:textId="77777777" w:rsidR="00E40E80" w:rsidRPr="007F7999" w:rsidRDefault="00E40E80" w:rsidP="00187010">
            <w:pPr>
              <w:pStyle w:val="Tabletext"/>
              <w:jc w:val="center"/>
              <w:rPr>
                <w:szCs w:val="20"/>
              </w:rPr>
            </w:pPr>
            <w:r w:rsidRPr="007F7999">
              <w:rPr>
                <w:szCs w:val="20"/>
              </w:rPr>
              <w:t>(0.37)</w:t>
            </w:r>
          </w:p>
        </w:tc>
        <w:tc>
          <w:tcPr>
            <w:tcW w:w="1233" w:type="pct"/>
            <w:tcBorders>
              <w:bottom w:val="single" w:sz="2" w:space="0" w:color="808080" w:themeColor="background1" w:themeShade="80"/>
            </w:tcBorders>
          </w:tcPr>
          <w:p w14:paraId="026C942D" w14:textId="77777777" w:rsidR="00E40E80" w:rsidRPr="007F7999" w:rsidRDefault="00E40E80" w:rsidP="00187010">
            <w:pPr>
              <w:pStyle w:val="Tabletext"/>
              <w:jc w:val="center"/>
              <w:rPr>
                <w:szCs w:val="20"/>
              </w:rPr>
            </w:pPr>
            <w:r w:rsidRPr="007F7999">
              <w:rPr>
                <w:szCs w:val="20"/>
              </w:rPr>
              <w:t>(0.60)</w:t>
            </w:r>
          </w:p>
        </w:tc>
      </w:tr>
      <w:tr w:rsidR="007F7999" w:rsidRPr="007F7999" w14:paraId="455C15D0" w14:textId="77777777" w:rsidTr="007F7999">
        <w:tc>
          <w:tcPr>
            <w:tcW w:w="5000" w:type="pct"/>
            <w:gridSpan w:val="4"/>
            <w:tcBorders>
              <w:top w:val="single" w:sz="4" w:space="0" w:color="7F7F7F" w:themeColor="text1" w:themeTint="80"/>
              <w:bottom w:val="single" w:sz="4" w:space="0" w:color="A6A6A6" w:themeColor="background1" w:themeShade="A6"/>
            </w:tcBorders>
            <w:vAlign w:val="center"/>
          </w:tcPr>
          <w:p w14:paraId="055C6A06" w14:textId="63462CFB" w:rsidR="007F7999" w:rsidRPr="007F7999" w:rsidRDefault="007F7999" w:rsidP="007F7999">
            <w:pPr>
              <w:pStyle w:val="Tabletext"/>
              <w:rPr>
                <w:szCs w:val="20"/>
              </w:rPr>
            </w:pPr>
            <w:r w:rsidRPr="007F7999">
              <w:rPr>
                <w:b/>
                <w:bCs/>
                <w:szCs w:val="20"/>
              </w:rPr>
              <w:t>Number of occasions of service (ref = 1 OOS)</w:t>
            </w:r>
          </w:p>
        </w:tc>
      </w:tr>
      <w:tr w:rsidR="00E40E80" w:rsidRPr="007F7999" w14:paraId="0B3EF6BA" w14:textId="77777777" w:rsidTr="00187010">
        <w:tc>
          <w:tcPr>
            <w:tcW w:w="1378" w:type="pct"/>
            <w:vMerge w:val="restart"/>
            <w:tcBorders>
              <w:top w:val="single" w:sz="4" w:space="0" w:color="A6A6A6" w:themeColor="background1" w:themeShade="A6"/>
            </w:tcBorders>
            <w:vAlign w:val="center"/>
          </w:tcPr>
          <w:p w14:paraId="78BD97CA" w14:textId="7E8554F1" w:rsidR="00E40E80" w:rsidRPr="00E40E80" w:rsidRDefault="00E40E80" w:rsidP="00E40E80">
            <w:pPr>
              <w:pStyle w:val="Tabletext"/>
            </w:pPr>
            <w:r w:rsidRPr="00E40E80">
              <w:t>2 OOS</w:t>
            </w:r>
          </w:p>
        </w:tc>
        <w:tc>
          <w:tcPr>
            <w:tcW w:w="1288" w:type="pct"/>
            <w:tcBorders>
              <w:top w:val="single" w:sz="2" w:space="0" w:color="808080" w:themeColor="background1" w:themeShade="80"/>
            </w:tcBorders>
          </w:tcPr>
          <w:p w14:paraId="1C750850" w14:textId="77777777" w:rsidR="00E40E80" w:rsidRPr="007F7999" w:rsidRDefault="00E40E80" w:rsidP="00187010">
            <w:pPr>
              <w:pStyle w:val="Tabletext"/>
              <w:jc w:val="center"/>
              <w:rPr>
                <w:szCs w:val="20"/>
              </w:rPr>
            </w:pPr>
            <w:r w:rsidRPr="007F7999">
              <w:rPr>
                <w:szCs w:val="20"/>
              </w:rPr>
              <w:t>0.7**</w:t>
            </w:r>
          </w:p>
        </w:tc>
        <w:tc>
          <w:tcPr>
            <w:tcW w:w="1101" w:type="pct"/>
            <w:tcBorders>
              <w:top w:val="single" w:sz="2" w:space="0" w:color="808080" w:themeColor="background1" w:themeShade="80"/>
            </w:tcBorders>
          </w:tcPr>
          <w:p w14:paraId="50CC9624" w14:textId="77777777" w:rsidR="00E40E80" w:rsidRPr="007F7999" w:rsidRDefault="00E40E80" w:rsidP="00187010">
            <w:pPr>
              <w:pStyle w:val="Tabletext"/>
              <w:jc w:val="center"/>
              <w:rPr>
                <w:szCs w:val="20"/>
              </w:rPr>
            </w:pPr>
            <w:r w:rsidRPr="007F7999">
              <w:rPr>
                <w:szCs w:val="20"/>
              </w:rPr>
              <w:t>0.9**</w:t>
            </w:r>
          </w:p>
        </w:tc>
        <w:tc>
          <w:tcPr>
            <w:tcW w:w="1233" w:type="pct"/>
            <w:tcBorders>
              <w:top w:val="single" w:sz="2" w:space="0" w:color="808080" w:themeColor="background1" w:themeShade="80"/>
            </w:tcBorders>
          </w:tcPr>
          <w:p w14:paraId="53A8BBF1" w14:textId="77777777" w:rsidR="00E40E80" w:rsidRPr="007F7999" w:rsidRDefault="00E40E80" w:rsidP="00187010">
            <w:pPr>
              <w:pStyle w:val="Tabletext"/>
              <w:jc w:val="center"/>
              <w:rPr>
                <w:szCs w:val="20"/>
              </w:rPr>
            </w:pPr>
            <w:r w:rsidRPr="007F7999">
              <w:rPr>
                <w:szCs w:val="20"/>
              </w:rPr>
              <w:t>2.2**</w:t>
            </w:r>
          </w:p>
        </w:tc>
      </w:tr>
      <w:tr w:rsidR="00E40E80" w:rsidRPr="007F7999" w14:paraId="1AD5A930" w14:textId="77777777" w:rsidTr="00187010">
        <w:tc>
          <w:tcPr>
            <w:tcW w:w="1378" w:type="pct"/>
            <w:vMerge/>
            <w:tcBorders>
              <w:bottom w:val="single" w:sz="4" w:space="0" w:color="A6A6A6" w:themeColor="background1" w:themeShade="A6"/>
            </w:tcBorders>
            <w:vAlign w:val="center"/>
          </w:tcPr>
          <w:p w14:paraId="098BFFD0" w14:textId="77777777" w:rsidR="00E40E80" w:rsidRPr="00E40E80" w:rsidRDefault="00E40E80" w:rsidP="00E40E80">
            <w:pPr>
              <w:pStyle w:val="Tabletext"/>
            </w:pPr>
          </w:p>
        </w:tc>
        <w:tc>
          <w:tcPr>
            <w:tcW w:w="1288" w:type="pct"/>
            <w:tcBorders>
              <w:bottom w:val="single" w:sz="4" w:space="0" w:color="A6A6A6" w:themeColor="background1" w:themeShade="A6"/>
            </w:tcBorders>
          </w:tcPr>
          <w:p w14:paraId="5AE1718D" w14:textId="77777777" w:rsidR="00E40E80" w:rsidRPr="007F7999" w:rsidRDefault="00E40E80" w:rsidP="00187010">
            <w:pPr>
              <w:pStyle w:val="Tabletext"/>
              <w:jc w:val="center"/>
              <w:rPr>
                <w:szCs w:val="20"/>
              </w:rPr>
            </w:pPr>
            <w:r w:rsidRPr="007F7999">
              <w:rPr>
                <w:szCs w:val="20"/>
              </w:rPr>
              <w:t>(0.13)</w:t>
            </w:r>
          </w:p>
        </w:tc>
        <w:tc>
          <w:tcPr>
            <w:tcW w:w="1101" w:type="pct"/>
            <w:tcBorders>
              <w:bottom w:val="single" w:sz="4" w:space="0" w:color="A6A6A6" w:themeColor="background1" w:themeShade="A6"/>
            </w:tcBorders>
          </w:tcPr>
          <w:p w14:paraId="15CE27C2" w14:textId="77777777" w:rsidR="00E40E80" w:rsidRPr="007F7999" w:rsidRDefault="00E40E80" w:rsidP="00187010">
            <w:pPr>
              <w:pStyle w:val="Tabletext"/>
              <w:jc w:val="center"/>
              <w:rPr>
                <w:szCs w:val="20"/>
              </w:rPr>
            </w:pPr>
            <w:r w:rsidRPr="007F7999">
              <w:rPr>
                <w:szCs w:val="20"/>
              </w:rPr>
              <w:t>(0.23)</w:t>
            </w:r>
          </w:p>
        </w:tc>
        <w:tc>
          <w:tcPr>
            <w:tcW w:w="1233" w:type="pct"/>
            <w:tcBorders>
              <w:bottom w:val="single" w:sz="4" w:space="0" w:color="A6A6A6" w:themeColor="background1" w:themeShade="A6"/>
            </w:tcBorders>
          </w:tcPr>
          <w:p w14:paraId="20D808C8" w14:textId="77777777" w:rsidR="00E40E80" w:rsidRPr="007F7999" w:rsidRDefault="00E40E80" w:rsidP="00187010">
            <w:pPr>
              <w:pStyle w:val="Tabletext"/>
              <w:jc w:val="center"/>
              <w:rPr>
                <w:szCs w:val="20"/>
              </w:rPr>
            </w:pPr>
            <w:r w:rsidRPr="007F7999">
              <w:rPr>
                <w:szCs w:val="20"/>
              </w:rPr>
              <w:t>(0.38)</w:t>
            </w:r>
          </w:p>
        </w:tc>
      </w:tr>
      <w:tr w:rsidR="00E40E80" w:rsidRPr="007F7999" w14:paraId="573A8131" w14:textId="77777777" w:rsidTr="00187010">
        <w:tc>
          <w:tcPr>
            <w:tcW w:w="1378" w:type="pct"/>
            <w:vMerge w:val="restart"/>
            <w:tcBorders>
              <w:top w:val="single" w:sz="4" w:space="0" w:color="A6A6A6" w:themeColor="background1" w:themeShade="A6"/>
            </w:tcBorders>
            <w:vAlign w:val="center"/>
          </w:tcPr>
          <w:p w14:paraId="11C869B0" w14:textId="5C18B070" w:rsidR="00E40E80" w:rsidRPr="00E40E80" w:rsidRDefault="00E40E80" w:rsidP="00E40E80">
            <w:pPr>
              <w:pStyle w:val="Tabletext"/>
            </w:pPr>
            <w:r w:rsidRPr="00E40E80">
              <w:t>3 to 5 OOS</w:t>
            </w:r>
          </w:p>
        </w:tc>
        <w:tc>
          <w:tcPr>
            <w:tcW w:w="1288" w:type="pct"/>
            <w:tcBorders>
              <w:top w:val="single" w:sz="4" w:space="0" w:color="A6A6A6" w:themeColor="background1" w:themeShade="A6"/>
            </w:tcBorders>
          </w:tcPr>
          <w:p w14:paraId="508B30D8" w14:textId="77777777" w:rsidR="00E40E80" w:rsidRPr="007F7999" w:rsidRDefault="00E40E80" w:rsidP="00187010">
            <w:pPr>
              <w:pStyle w:val="Tabletext"/>
              <w:jc w:val="center"/>
              <w:rPr>
                <w:szCs w:val="20"/>
              </w:rPr>
            </w:pPr>
            <w:r w:rsidRPr="007F7999">
              <w:rPr>
                <w:szCs w:val="20"/>
              </w:rPr>
              <w:t>1.6**</w:t>
            </w:r>
          </w:p>
        </w:tc>
        <w:tc>
          <w:tcPr>
            <w:tcW w:w="1101" w:type="pct"/>
            <w:tcBorders>
              <w:top w:val="single" w:sz="4" w:space="0" w:color="A6A6A6" w:themeColor="background1" w:themeShade="A6"/>
            </w:tcBorders>
          </w:tcPr>
          <w:p w14:paraId="06DDB93F" w14:textId="77777777" w:rsidR="00E40E80" w:rsidRPr="007F7999" w:rsidRDefault="00E40E80" w:rsidP="00187010">
            <w:pPr>
              <w:pStyle w:val="Tabletext"/>
              <w:jc w:val="center"/>
              <w:rPr>
                <w:szCs w:val="20"/>
              </w:rPr>
            </w:pPr>
            <w:r w:rsidRPr="007F7999">
              <w:rPr>
                <w:szCs w:val="20"/>
              </w:rPr>
              <w:t>2.7**</w:t>
            </w:r>
          </w:p>
        </w:tc>
        <w:tc>
          <w:tcPr>
            <w:tcW w:w="1233" w:type="pct"/>
            <w:tcBorders>
              <w:top w:val="single" w:sz="4" w:space="0" w:color="A6A6A6" w:themeColor="background1" w:themeShade="A6"/>
            </w:tcBorders>
          </w:tcPr>
          <w:p w14:paraId="03185326" w14:textId="77777777" w:rsidR="00E40E80" w:rsidRPr="007F7999" w:rsidRDefault="00E40E80" w:rsidP="00187010">
            <w:pPr>
              <w:pStyle w:val="Tabletext"/>
              <w:jc w:val="center"/>
              <w:rPr>
                <w:szCs w:val="20"/>
              </w:rPr>
            </w:pPr>
            <w:r w:rsidRPr="007F7999">
              <w:rPr>
                <w:szCs w:val="20"/>
              </w:rPr>
              <w:t>6.1**</w:t>
            </w:r>
          </w:p>
        </w:tc>
      </w:tr>
      <w:tr w:rsidR="00E40E80" w:rsidRPr="007F7999" w14:paraId="57EA33C1" w14:textId="77777777" w:rsidTr="00187010">
        <w:tc>
          <w:tcPr>
            <w:tcW w:w="1378" w:type="pct"/>
            <w:vMerge/>
            <w:tcBorders>
              <w:bottom w:val="single" w:sz="2" w:space="0" w:color="808080" w:themeColor="background1" w:themeShade="80"/>
            </w:tcBorders>
            <w:vAlign w:val="center"/>
          </w:tcPr>
          <w:p w14:paraId="7A7B0AF8" w14:textId="77777777" w:rsidR="00E40E80" w:rsidRPr="00E40E80" w:rsidRDefault="00E40E80" w:rsidP="00E40E80">
            <w:pPr>
              <w:pStyle w:val="Tabletext"/>
            </w:pPr>
          </w:p>
        </w:tc>
        <w:tc>
          <w:tcPr>
            <w:tcW w:w="1288" w:type="pct"/>
            <w:tcBorders>
              <w:bottom w:val="single" w:sz="2" w:space="0" w:color="808080" w:themeColor="background1" w:themeShade="80"/>
            </w:tcBorders>
          </w:tcPr>
          <w:p w14:paraId="5D60B897" w14:textId="77777777" w:rsidR="00E40E80" w:rsidRPr="007F7999" w:rsidRDefault="00E40E80" w:rsidP="00187010">
            <w:pPr>
              <w:pStyle w:val="Tabletext"/>
              <w:jc w:val="center"/>
              <w:rPr>
                <w:szCs w:val="20"/>
              </w:rPr>
            </w:pPr>
            <w:r w:rsidRPr="007F7999">
              <w:rPr>
                <w:szCs w:val="20"/>
              </w:rPr>
              <w:t>(0.12)</w:t>
            </w:r>
          </w:p>
        </w:tc>
        <w:tc>
          <w:tcPr>
            <w:tcW w:w="1101" w:type="pct"/>
            <w:tcBorders>
              <w:bottom w:val="single" w:sz="2" w:space="0" w:color="808080" w:themeColor="background1" w:themeShade="80"/>
            </w:tcBorders>
          </w:tcPr>
          <w:p w14:paraId="6296534B" w14:textId="77777777" w:rsidR="00E40E80" w:rsidRPr="007F7999" w:rsidRDefault="00E40E80" w:rsidP="00187010">
            <w:pPr>
              <w:pStyle w:val="Tabletext"/>
              <w:jc w:val="center"/>
              <w:rPr>
                <w:szCs w:val="20"/>
              </w:rPr>
            </w:pPr>
            <w:r w:rsidRPr="007F7999">
              <w:rPr>
                <w:szCs w:val="20"/>
              </w:rPr>
              <w:t>(0.21)</w:t>
            </w:r>
          </w:p>
        </w:tc>
        <w:tc>
          <w:tcPr>
            <w:tcW w:w="1233" w:type="pct"/>
            <w:tcBorders>
              <w:bottom w:val="single" w:sz="2" w:space="0" w:color="808080" w:themeColor="background1" w:themeShade="80"/>
            </w:tcBorders>
          </w:tcPr>
          <w:p w14:paraId="3C06474D" w14:textId="77777777" w:rsidR="00E40E80" w:rsidRPr="007F7999" w:rsidRDefault="00E40E80" w:rsidP="00187010">
            <w:pPr>
              <w:pStyle w:val="Tabletext"/>
              <w:jc w:val="center"/>
              <w:rPr>
                <w:szCs w:val="20"/>
              </w:rPr>
            </w:pPr>
            <w:r w:rsidRPr="007F7999">
              <w:rPr>
                <w:szCs w:val="20"/>
              </w:rPr>
              <w:t>(0.34)</w:t>
            </w:r>
          </w:p>
        </w:tc>
      </w:tr>
      <w:tr w:rsidR="00E40E80" w:rsidRPr="007F7999" w14:paraId="07474B65" w14:textId="77777777" w:rsidTr="00187010">
        <w:trPr>
          <w:trHeight w:val="68"/>
        </w:trPr>
        <w:tc>
          <w:tcPr>
            <w:tcW w:w="1378" w:type="pct"/>
            <w:vMerge w:val="restart"/>
            <w:tcBorders>
              <w:top w:val="single" w:sz="2" w:space="0" w:color="808080" w:themeColor="background1" w:themeShade="80"/>
            </w:tcBorders>
            <w:vAlign w:val="center"/>
          </w:tcPr>
          <w:p w14:paraId="4ED06AB3" w14:textId="3A35A183" w:rsidR="00E40E80" w:rsidRPr="00E40E80" w:rsidRDefault="00E40E80" w:rsidP="00E40E80">
            <w:pPr>
              <w:pStyle w:val="Tabletext"/>
            </w:pPr>
            <w:r w:rsidRPr="00E40E80">
              <w:t>6 to 8 OOS</w:t>
            </w:r>
          </w:p>
        </w:tc>
        <w:tc>
          <w:tcPr>
            <w:tcW w:w="1288" w:type="pct"/>
            <w:tcBorders>
              <w:top w:val="single" w:sz="2" w:space="0" w:color="808080" w:themeColor="background1" w:themeShade="80"/>
            </w:tcBorders>
          </w:tcPr>
          <w:p w14:paraId="2C9A2AF9" w14:textId="77777777" w:rsidR="00E40E80" w:rsidRPr="007F7999" w:rsidRDefault="00E40E80" w:rsidP="00187010">
            <w:pPr>
              <w:pStyle w:val="Tabletext"/>
              <w:jc w:val="center"/>
              <w:rPr>
                <w:szCs w:val="20"/>
              </w:rPr>
            </w:pPr>
            <w:r w:rsidRPr="007F7999">
              <w:rPr>
                <w:szCs w:val="20"/>
              </w:rPr>
              <w:t>2.0**</w:t>
            </w:r>
          </w:p>
        </w:tc>
        <w:tc>
          <w:tcPr>
            <w:tcW w:w="1101" w:type="pct"/>
            <w:tcBorders>
              <w:top w:val="single" w:sz="2" w:space="0" w:color="808080" w:themeColor="background1" w:themeShade="80"/>
            </w:tcBorders>
          </w:tcPr>
          <w:p w14:paraId="316F530C" w14:textId="77777777" w:rsidR="00E40E80" w:rsidRPr="007F7999" w:rsidRDefault="00E40E80" w:rsidP="00187010">
            <w:pPr>
              <w:pStyle w:val="Tabletext"/>
              <w:jc w:val="center"/>
              <w:rPr>
                <w:szCs w:val="20"/>
              </w:rPr>
            </w:pPr>
            <w:r w:rsidRPr="007F7999">
              <w:rPr>
                <w:szCs w:val="20"/>
              </w:rPr>
              <w:t>3.8**</w:t>
            </w:r>
          </w:p>
        </w:tc>
        <w:tc>
          <w:tcPr>
            <w:tcW w:w="1233" w:type="pct"/>
            <w:tcBorders>
              <w:top w:val="single" w:sz="2" w:space="0" w:color="808080" w:themeColor="background1" w:themeShade="80"/>
            </w:tcBorders>
          </w:tcPr>
          <w:p w14:paraId="16D1BCDE" w14:textId="77777777" w:rsidR="00E40E80" w:rsidRPr="007F7999" w:rsidRDefault="00E40E80" w:rsidP="00187010">
            <w:pPr>
              <w:pStyle w:val="Tabletext"/>
              <w:jc w:val="center"/>
              <w:rPr>
                <w:szCs w:val="20"/>
              </w:rPr>
            </w:pPr>
            <w:r w:rsidRPr="007F7999">
              <w:rPr>
                <w:szCs w:val="20"/>
              </w:rPr>
              <w:t>9.4**</w:t>
            </w:r>
          </w:p>
        </w:tc>
      </w:tr>
      <w:tr w:rsidR="00E40E80" w:rsidRPr="007F7999" w14:paraId="4CDCE08E" w14:textId="77777777" w:rsidTr="00187010">
        <w:tc>
          <w:tcPr>
            <w:tcW w:w="1378" w:type="pct"/>
            <w:vMerge/>
            <w:tcBorders>
              <w:bottom w:val="single" w:sz="2" w:space="0" w:color="808080" w:themeColor="background1" w:themeShade="80"/>
            </w:tcBorders>
            <w:vAlign w:val="center"/>
          </w:tcPr>
          <w:p w14:paraId="552424C0" w14:textId="77777777" w:rsidR="00E40E80" w:rsidRPr="00E40E80" w:rsidRDefault="00E40E80" w:rsidP="00E40E80">
            <w:pPr>
              <w:pStyle w:val="Tabletext"/>
            </w:pPr>
          </w:p>
        </w:tc>
        <w:tc>
          <w:tcPr>
            <w:tcW w:w="1288" w:type="pct"/>
            <w:tcBorders>
              <w:bottom w:val="single" w:sz="2" w:space="0" w:color="808080" w:themeColor="background1" w:themeShade="80"/>
            </w:tcBorders>
          </w:tcPr>
          <w:p w14:paraId="66A2C964" w14:textId="77777777" w:rsidR="00E40E80" w:rsidRPr="007F7999" w:rsidRDefault="00E40E80" w:rsidP="00187010">
            <w:pPr>
              <w:pStyle w:val="Tabletext"/>
              <w:jc w:val="center"/>
              <w:rPr>
                <w:szCs w:val="20"/>
              </w:rPr>
            </w:pPr>
            <w:r w:rsidRPr="007F7999">
              <w:rPr>
                <w:szCs w:val="20"/>
              </w:rPr>
              <w:t>(0.14)</w:t>
            </w:r>
          </w:p>
        </w:tc>
        <w:tc>
          <w:tcPr>
            <w:tcW w:w="1101" w:type="pct"/>
            <w:tcBorders>
              <w:bottom w:val="single" w:sz="2" w:space="0" w:color="808080" w:themeColor="background1" w:themeShade="80"/>
            </w:tcBorders>
          </w:tcPr>
          <w:p w14:paraId="0E14F3E6" w14:textId="77777777" w:rsidR="00E40E80" w:rsidRPr="007F7999" w:rsidRDefault="00E40E80" w:rsidP="00187010">
            <w:pPr>
              <w:pStyle w:val="Tabletext"/>
              <w:jc w:val="center"/>
              <w:rPr>
                <w:szCs w:val="20"/>
              </w:rPr>
            </w:pPr>
            <w:r w:rsidRPr="007F7999">
              <w:rPr>
                <w:szCs w:val="20"/>
              </w:rPr>
              <w:t>(0.25)</w:t>
            </w:r>
          </w:p>
        </w:tc>
        <w:tc>
          <w:tcPr>
            <w:tcW w:w="1233" w:type="pct"/>
            <w:tcBorders>
              <w:bottom w:val="single" w:sz="2" w:space="0" w:color="808080" w:themeColor="background1" w:themeShade="80"/>
            </w:tcBorders>
          </w:tcPr>
          <w:p w14:paraId="54DD679D" w14:textId="77777777" w:rsidR="00E40E80" w:rsidRPr="007F7999" w:rsidRDefault="00E40E80" w:rsidP="00187010">
            <w:pPr>
              <w:pStyle w:val="Tabletext"/>
              <w:jc w:val="center"/>
              <w:rPr>
                <w:szCs w:val="20"/>
              </w:rPr>
            </w:pPr>
            <w:r w:rsidRPr="007F7999">
              <w:rPr>
                <w:szCs w:val="20"/>
              </w:rPr>
              <w:t>(0.41)</w:t>
            </w:r>
          </w:p>
        </w:tc>
      </w:tr>
      <w:tr w:rsidR="00E40E80" w:rsidRPr="007F7999" w14:paraId="2BFD55A2" w14:textId="77777777" w:rsidTr="00187010">
        <w:tc>
          <w:tcPr>
            <w:tcW w:w="1378" w:type="pct"/>
            <w:vMerge w:val="restart"/>
            <w:tcBorders>
              <w:top w:val="single" w:sz="2" w:space="0" w:color="808080" w:themeColor="background1" w:themeShade="80"/>
            </w:tcBorders>
            <w:vAlign w:val="center"/>
          </w:tcPr>
          <w:p w14:paraId="509F7E5A" w14:textId="3681FCDA" w:rsidR="00E40E80" w:rsidRPr="00E40E80" w:rsidRDefault="00E40E80" w:rsidP="00E40E80">
            <w:pPr>
              <w:pStyle w:val="Tabletext"/>
            </w:pPr>
            <w:r w:rsidRPr="00E40E80">
              <w:t>9 to 13 OOS</w:t>
            </w:r>
          </w:p>
        </w:tc>
        <w:tc>
          <w:tcPr>
            <w:tcW w:w="1288" w:type="pct"/>
            <w:tcBorders>
              <w:top w:val="single" w:sz="2" w:space="0" w:color="808080" w:themeColor="background1" w:themeShade="80"/>
            </w:tcBorders>
          </w:tcPr>
          <w:p w14:paraId="11BF2993" w14:textId="77777777" w:rsidR="00E40E80" w:rsidRPr="007F7999" w:rsidRDefault="00E40E80" w:rsidP="00187010">
            <w:pPr>
              <w:pStyle w:val="Tabletext"/>
              <w:jc w:val="center"/>
              <w:rPr>
                <w:rFonts w:cs="Calibri"/>
                <w:color w:val="000000"/>
                <w:szCs w:val="20"/>
              </w:rPr>
            </w:pPr>
            <w:r w:rsidRPr="007F7999">
              <w:rPr>
                <w:szCs w:val="20"/>
              </w:rPr>
              <w:t>1.9**</w:t>
            </w:r>
          </w:p>
        </w:tc>
        <w:tc>
          <w:tcPr>
            <w:tcW w:w="1101" w:type="pct"/>
            <w:tcBorders>
              <w:top w:val="single" w:sz="2" w:space="0" w:color="808080" w:themeColor="background1" w:themeShade="80"/>
            </w:tcBorders>
          </w:tcPr>
          <w:p w14:paraId="6DAAAEF0" w14:textId="77777777" w:rsidR="00E40E80" w:rsidRPr="007F7999" w:rsidRDefault="00E40E80" w:rsidP="00187010">
            <w:pPr>
              <w:pStyle w:val="Tabletext"/>
              <w:jc w:val="center"/>
              <w:rPr>
                <w:rFonts w:cs="Calibri"/>
                <w:color w:val="000000"/>
                <w:szCs w:val="20"/>
              </w:rPr>
            </w:pPr>
            <w:r w:rsidRPr="007F7999">
              <w:rPr>
                <w:szCs w:val="20"/>
              </w:rPr>
              <w:t>4.6**</w:t>
            </w:r>
          </w:p>
        </w:tc>
        <w:tc>
          <w:tcPr>
            <w:tcW w:w="1233" w:type="pct"/>
            <w:tcBorders>
              <w:top w:val="single" w:sz="2" w:space="0" w:color="808080" w:themeColor="background1" w:themeShade="80"/>
            </w:tcBorders>
          </w:tcPr>
          <w:p w14:paraId="4806126A" w14:textId="77777777" w:rsidR="00E40E80" w:rsidRPr="007F7999" w:rsidRDefault="00E40E80" w:rsidP="00187010">
            <w:pPr>
              <w:pStyle w:val="Tabletext"/>
              <w:jc w:val="center"/>
              <w:rPr>
                <w:rFonts w:cs="Calibri"/>
                <w:color w:val="000000"/>
                <w:szCs w:val="20"/>
              </w:rPr>
            </w:pPr>
            <w:r w:rsidRPr="007F7999">
              <w:rPr>
                <w:szCs w:val="20"/>
              </w:rPr>
              <w:t>10.5**</w:t>
            </w:r>
          </w:p>
        </w:tc>
      </w:tr>
      <w:tr w:rsidR="00E40E80" w:rsidRPr="007F7999" w14:paraId="317AC250" w14:textId="77777777" w:rsidTr="00187010">
        <w:tc>
          <w:tcPr>
            <w:tcW w:w="1378" w:type="pct"/>
            <w:vMerge/>
            <w:tcBorders>
              <w:bottom w:val="single" w:sz="2" w:space="0" w:color="808080" w:themeColor="background1" w:themeShade="80"/>
            </w:tcBorders>
            <w:vAlign w:val="center"/>
          </w:tcPr>
          <w:p w14:paraId="30CAFB9F" w14:textId="77777777" w:rsidR="00E40E80" w:rsidRPr="00E40E80" w:rsidRDefault="00E40E80" w:rsidP="00E40E80">
            <w:pPr>
              <w:pStyle w:val="Tabletext"/>
            </w:pPr>
          </w:p>
        </w:tc>
        <w:tc>
          <w:tcPr>
            <w:tcW w:w="1288" w:type="pct"/>
            <w:tcBorders>
              <w:bottom w:val="single" w:sz="2" w:space="0" w:color="808080" w:themeColor="background1" w:themeShade="80"/>
            </w:tcBorders>
          </w:tcPr>
          <w:p w14:paraId="7623DF72" w14:textId="77777777" w:rsidR="00E40E80" w:rsidRPr="007F7999" w:rsidRDefault="00E40E80" w:rsidP="00187010">
            <w:pPr>
              <w:pStyle w:val="Tabletext"/>
              <w:jc w:val="center"/>
              <w:rPr>
                <w:rFonts w:cs="Calibri"/>
                <w:color w:val="000000"/>
                <w:szCs w:val="20"/>
              </w:rPr>
            </w:pPr>
            <w:r w:rsidRPr="007F7999">
              <w:rPr>
                <w:szCs w:val="20"/>
              </w:rPr>
              <w:t>(0.17)</w:t>
            </w:r>
          </w:p>
        </w:tc>
        <w:tc>
          <w:tcPr>
            <w:tcW w:w="1101" w:type="pct"/>
            <w:tcBorders>
              <w:bottom w:val="single" w:sz="2" w:space="0" w:color="808080" w:themeColor="background1" w:themeShade="80"/>
            </w:tcBorders>
          </w:tcPr>
          <w:p w14:paraId="59400CB4" w14:textId="77777777" w:rsidR="00E40E80" w:rsidRPr="007F7999" w:rsidRDefault="00E40E80" w:rsidP="00187010">
            <w:pPr>
              <w:pStyle w:val="Tabletext"/>
              <w:jc w:val="center"/>
              <w:rPr>
                <w:rFonts w:cs="Calibri"/>
                <w:color w:val="000000"/>
                <w:szCs w:val="20"/>
              </w:rPr>
            </w:pPr>
            <w:r w:rsidRPr="007F7999">
              <w:rPr>
                <w:szCs w:val="20"/>
              </w:rPr>
              <w:t>(0.30)</w:t>
            </w:r>
          </w:p>
        </w:tc>
        <w:tc>
          <w:tcPr>
            <w:tcW w:w="1233" w:type="pct"/>
            <w:tcBorders>
              <w:bottom w:val="single" w:sz="2" w:space="0" w:color="808080" w:themeColor="background1" w:themeShade="80"/>
            </w:tcBorders>
          </w:tcPr>
          <w:p w14:paraId="09342BA3" w14:textId="77777777" w:rsidR="00E40E80" w:rsidRPr="007F7999" w:rsidRDefault="00E40E80" w:rsidP="00187010">
            <w:pPr>
              <w:pStyle w:val="Tabletext"/>
              <w:jc w:val="center"/>
              <w:rPr>
                <w:rFonts w:cs="Calibri"/>
                <w:color w:val="000000"/>
                <w:szCs w:val="20"/>
              </w:rPr>
            </w:pPr>
            <w:r w:rsidRPr="007F7999">
              <w:rPr>
                <w:szCs w:val="20"/>
              </w:rPr>
              <w:t>(0.49)</w:t>
            </w:r>
          </w:p>
        </w:tc>
      </w:tr>
      <w:tr w:rsidR="00E40E80" w:rsidRPr="007F7999" w14:paraId="720E8DBE" w14:textId="77777777" w:rsidTr="00187010">
        <w:tc>
          <w:tcPr>
            <w:tcW w:w="1378" w:type="pct"/>
            <w:vMerge w:val="restart"/>
            <w:tcBorders>
              <w:top w:val="single" w:sz="2" w:space="0" w:color="808080" w:themeColor="background1" w:themeShade="80"/>
            </w:tcBorders>
            <w:vAlign w:val="center"/>
          </w:tcPr>
          <w:p w14:paraId="4D7D5672" w14:textId="33CDFE01" w:rsidR="00E40E80" w:rsidRPr="00E40E80" w:rsidRDefault="00E40E80" w:rsidP="00E40E80">
            <w:pPr>
              <w:pStyle w:val="Tabletext"/>
            </w:pPr>
            <w:r w:rsidRPr="00E40E80">
              <w:t>More than 14 OOS</w:t>
            </w:r>
          </w:p>
        </w:tc>
        <w:tc>
          <w:tcPr>
            <w:tcW w:w="1288" w:type="pct"/>
            <w:tcBorders>
              <w:top w:val="single" w:sz="2" w:space="0" w:color="808080" w:themeColor="background1" w:themeShade="80"/>
            </w:tcBorders>
          </w:tcPr>
          <w:p w14:paraId="5C6A3605" w14:textId="77777777" w:rsidR="00E40E80" w:rsidRPr="007F7999" w:rsidRDefault="00E40E80" w:rsidP="00187010">
            <w:pPr>
              <w:pStyle w:val="Tabletext"/>
              <w:jc w:val="center"/>
              <w:rPr>
                <w:rFonts w:cs="Calibri"/>
                <w:color w:val="000000"/>
                <w:szCs w:val="20"/>
              </w:rPr>
            </w:pPr>
            <w:r w:rsidRPr="007F7999">
              <w:rPr>
                <w:szCs w:val="20"/>
              </w:rPr>
              <w:t>2.2**</w:t>
            </w:r>
          </w:p>
        </w:tc>
        <w:tc>
          <w:tcPr>
            <w:tcW w:w="1101" w:type="pct"/>
            <w:tcBorders>
              <w:top w:val="single" w:sz="2" w:space="0" w:color="808080" w:themeColor="background1" w:themeShade="80"/>
            </w:tcBorders>
          </w:tcPr>
          <w:p w14:paraId="71A73927" w14:textId="77777777" w:rsidR="00E40E80" w:rsidRPr="007F7999" w:rsidRDefault="00E40E80" w:rsidP="00187010">
            <w:pPr>
              <w:pStyle w:val="Tabletext"/>
              <w:jc w:val="center"/>
              <w:rPr>
                <w:rFonts w:cs="Calibri"/>
                <w:color w:val="000000"/>
                <w:szCs w:val="20"/>
              </w:rPr>
            </w:pPr>
            <w:r w:rsidRPr="007F7999">
              <w:rPr>
                <w:szCs w:val="20"/>
              </w:rPr>
              <w:t>4.8**</w:t>
            </w:r>
          </w:p>
        </w:tc>
        <w:tc>
          <w:tcPr>
            <w:tcW w:w="1233" w:type="pct"/>
            <w:tcBorders>
              <w:top w:val="single" w:sz="2" w:space="0" w:color="808080" w:themeColor="background1" w:themeShade="80"/>
            </w:tcBorders>
          </w:tcPr>
          <w:p w14:paraId="3748771E" w14:textId="77777777" w:rsidR="00E40E80" w:rsidRPr="007F7999" w:rsidRDefault="00E40E80" w:rsidP="00187010">
            <w:pPr>
              <w:pStyle w:val="Tabletext"/>
              <w:jc w:val="center"/>
              <w:rPr>
                <w:rFonts w:cs="Calibri"/>
                <w:color w:val="000000"/>
                <w:szCs w:val="20"/>
              </w:rPr>
            </w:pPr>
            <w:r w:rsidRPr="007F7999">
              <w:rPr>
                <w:szCs w:val="20"/>
              </w:rPr>
              <w:t>10.9**</w:t>
            </w:r>
          </w:p>
        </w:tc>
      </w:tr>
      <w:tr w:rsidR="00E40E80" w:rsidRPr="007F7999" w14:paraId="77733EDD" w14:textId="77777777" w:rsidTr="00187010">
        <w:tc>
          <w:tcPr>
            <w:tcW w:w="1378" w:type="pct"/>
            <w:vMerge/>
            <w:tcBorders>
              <w:bottom w:val="single" w:sz="2" w:space="0" w:color="808080" w:themeColor="background1" w:themeShade="80"/>
            </w:tcBorders>
            <w:vAlign w:val="center"/>
          </w:tcPr>
          <w:p w14:paraId="336095AE" w14:textId="77777777" w:rsidR="00E40E80" w:rsidRPr="007F7999" w:rsidRDefault="00E40E80" w:rsidP="00187010">
            <w:pPr>
              <w:pStyle w:val="Tabletext"/>
              <w:rPr>
                <w:szCs w:val="20"/>
              </w:rPr>
            </w:pPr>
          </w:p>
        </w:tc>
        <w:tc>
          <w:tcPr>
            <w:tcW w:w="1288" w:type="pct"/>
            <w:tcBorders>
              <w:bottom w:val="single" w:sz="2" w:space="0" w:color="808080" w:themeColor="background1" w:themeShade="80"/>
            </w:tcBorders>
          </w:tcPr>
          <w:p w14:paraId="1B5AFE2B" w14:textId="77777777" w:rsidR="00E40E80" w:rsidRPr="007F7999" w:rsidRDefault="00E40E80" w:rsidP="00187010">
            <w:pPr>
              <w:pStyle w:val="Tabletext"/>
              <w:jc w:val="center"/>
              <w:rPr>
                <w:rFonts w:cs="Calibri"/>
                <w:color w:val="000000"/>
                <w:szCs w:val="20"/>
              </w:rPr>
            </w:pPr>
            <w:r w:rsidRPr="007F7999">
              <w:rPr>
                <w:szCs w:val="20"/>
              </w:rPr>
              <w:t>(0.26)</w:t>
            </w:r>
          </w:p>
        </w:tc>
        <w:tc>
          <w:tcPr>
            <w:tcW w:w="1101" w:type="pct"/>
            <w:tcBorders>
              <w:bottom w:val="single" w:sz="2" w:space="0" w:color="808080" w:themeColor="background1" w:themeShade="80"/>
            </w:tcBorders>
          </w:tcPr>
          <w:p w14:paraId="0CD575D1" w14:textId="77777777" w:rsidR="00E40E80" w:rsidRPr="007F7999" w:rsidRDefault="00E40E80" w:rsidP="00187010">
            <w:pPr>
              <w:pStyle w:val="Tabletext"/>
              <w:jc w:val="center"/>
              <w:rPr>
                <w:rFonts w:cs="Calibri"/>
                <w:color w:val="000000"/>
                <w:szCs w:val="20"/>
              </w:rPr>
            </w:pPr>
            <w:r w:rsidRPr="007F7999">
              <w:rPr>
                <w:szCs w:val="20"/>
              </w:rPr>
              <w:t>(0.46)</w:t>
            </w:r>
          </w:p>
        </w:tc>
        <w:tc>
          <w:tcPr>
            <w:tcW w:w="1233" w:type="pct"/>
            <w:tcBorders>
              <w:bottom w:val="single" w:sz="2" w:space="0" w:color="808080" w:themeColor="background1" w:themeShade="80"/>
            </w:tcBorders>
          </w:tcPr>
          <w:p w14:paraId="74157D42" w14:textId="77777777" w:rsidR="00E40E80" w:rsidRPr="007F7999" w:rsidRDefault="00E40E80" w:rsidP="00187010">
            <w:pPr>
              <w:pStyle w:val="Tabletext"/>
              <w:jc w:val="center"/>
              <w:rPr>
                <w:rFonts w:cs="Calibri"/>
                <w:color w:val="000000"/>
                <w:szCs w:val="20"/>
              </w:rPr>
            </w:pPr>
            <w:r w:rsidRPr="007F7999">
              <w:rPr>
                <w:szCs w:val="20"/>
              </w:rPr>
              <w:t>(0.75)</w:t>
            </w:r>
          </w:p>
        </w:tc>
      </w:tr>
      <w:tr w:rsidR="007F7999" w:rsidRPr="007F7999" w14:paraId="0EB6B6A5" w14:textId="77777777" w:rsidTr="007F7999">
        <w:tc>
          <w:tcPr>
            <w:tcW w:w="5000" w:type="pct"/>
            <w:gridSpan w:val="4"/>
            <w:tcBorders>
              <w:top w:val="single" w:sz="2" w:space="0" w:color="808080" w:themeColor="background1" w:themeShade="80"/>
              <w:bottom w:val="single" w:sz="2" w:space="0" w:color="808080" w:themeColor="background1" w:themeShade="80"/>
            </w:tcBorders>
            <w:vAlign w:val="center"/>
          </w:tcPr>
          <w:p w14:paraId="74201AF2" w14:textId="05BBAAB5" w:rsidR="007F7999" w:rsidRPr="007F7999" w:rsidRDefault="007F7999" w:rsidP="007F7999">
            <w:pPr>
              <w:pStyle w:val="Tabletext"/>
              <w:rPr>
                <w:szCs w:val="20"/>
              </w:rPr>
            </w:pPr>
            <w:r w:rsidRPr="007F7999">
              <w:rPr>
                <w:b/>
                <w:bCs/>
                <w:szCs w:val="20"/>
              </w:rPr>
              <w:t>Main services provided (ref = Intake/assessment)</w:t>
            </w:r>
          </w:p>
        </w:tc>
      </w:tr>
      <w:tr w:rsidR="00E40E80" w:rsidRPr="007F7999" w14:paraId="18B219DD" w14:textId="77777777" w:rsidTr="00B32EFC">
        <w:tc>
          <w:tcPr>
            <w:tcW w:w="1378" w:type="pct"/>
            <w:vMerge w:val="restart"/>
            <w:tcBorders>
              <w:top w:val="single" w:sz="2" w:space="0" w:color="808080" w:themeColor="background1" w:themeShade="80"/>
            </w:tcBorders>
            <w:vAlign w:val="center"/>
          </w:tcPr>
          <w:p w14:paraId="12898DD1" w14:textId="77777777" w:rsidR="00E40E80" w:rsidRPr="00B32EFC" w:rsidRDefault="00E40E80" w:rsidP="00B32EFC">
            <w:pPr>
              <w:pStyle w:val="Tabletext"/>
            </w:pPr>
            <w:r w:rsidRPr="00B32EFC">
              <w:t>Non-MH services</w:t>
            </w:r>
          </w:p>
        </w:tc>
        <w:tc>
          <w:tcPr>
            <w:tcW w:w="1288" w:type="pct"/>
            <w:tcBorders>
              <w:top w:val="single" w:sz="2" w:space="0" w:color="808080" w:themeColor="background1" w:themeShade="80"/>
            </w:tcBorders>
          </w:tcPr>
          <w:p w14:paraId="42125568" w14:textId="77777777" w:rsidR="00E40E80" w:rsidRPr="007F7999" w:rsidRDefault="00E40E80" w:rsidP="00187010">
            <w:pPr>
              <w:pStyle w:val="Tabletext"/>
              <w:jc w:val="center"/>
              <w:rPr>
                <w:szCs w:val="20"/>
              </w:rPr>
            </w:pPr>
            <w:r w:rsidRPr="007F7999">
              <w:rPr>
                <w:szCs w:val="20"/>
              </w:rPr>
              <w:t>0.2</w:t>
            </w:r>
          </w:p>
        </w:tc>
        <w:tc>
          <w:tcPr>
            <w:tcW w:w="1101" w:type="pct"/>
            <w:tcBorders>
              <w:top w:val="single" w:sz="2" w:space="0" w:color="808080" w:themeColor="background1" w:themeShade="80"/>
            </w:tcBorders>
          </w:tcPr>
          <w:p w14:paraId="54633F63" w14:textId="77777777" w:rsidR="00E40E80" w:rsidRPr="007F7999" w:rsidRDefault="00E40E80" w:rsidP="00187010">
            <w:pPr>
              <w:pStyle w:val="Tabletext"/>
              <w:jc w:val="center"/>
              <w:rPr>
                <w:szCs w:val="20"/>
              </w:rPr>
            </w:pPr>
            <w:r w:rsidRPr="007F7999">
              <w:rPr>
                <w:szCs w:val="20"/>
              </w:rPr>
              <w:t>2.9**</w:t>
            </w:r>
          </w:p>
        </w:tc>
        <w:tc>
          <w:tcPr>
            <w:tcW w:w="1233" w:type="pct"/>
            <w:tcBorders>
              <w:top w:val="single" w:sz="2" w:space="0" w:color="808080" w:themeColor="background1" w:themeShade="80"/>
            </w:tcBorders>
          </w:tcPr>
          <w:p w14:paraId="7E83932D" w14:textId="77777777" w:rsidR="00E40E80" w:rsidRPr="007F7999" w:rsidRDefault="00E40E80" w:rsidP="00187010">
            <w:pPr>
              <w:pStyle w:val="Tabletext"/>
              <w:jc w:val="center"/>
              <w:rPr>
                <w:szCs w:val="20"/>
              </w:rPr>
            </w:pPr>
            <w:r w:rsidRPr="007F7999">
              <w:rPr>
                <w:szCs w:val="20"/>
              </w:rPr>
              <w:t>0.3</w:t>
            </w:r>
          </w:p>
        </w:tc>
      </w:tr>
      <w:tr w:rsidR="00E40E80" w:rsidRPr="007F7999" w14:paraId="49025681" w14:textId="77777777" w:rsidTr="00B32EFC">
        <w:tc>
          <w:tcPr>
            <w:tcW w:w="1378" w:type="pct"/>
            <w:vMerge/>
            <w:tcBorders>
              <w:bottom w:val="single" w:sz="2" w:space="0" w:color="808080" w:themeColor="background1" w:themeShade="80"/>
            </w:tcBorders>
            <w:vAlign w:val="center"/>
          </w:tcPr>
          <w:p w14:paraId="0396F826" w14:textId="77777777" w:rsidR="00E40E80" w:rsidRPr="00B32EFC" w:rsidRDefault="00E40E80" w:rsidP="00B32EFC">
            <w:pPr>
              <w:pStyle w:val="Tabletext"/>
            </w:pPr>
          </w:p>
        </w:tc>
        <w:tc>
          <w:tcPr>
            <w:tcW w:w="1288" w:type="pct"/>
            <w:tcBorders>
              <w:bottom w:val="single" w:sz="2" w:space="0" w:color="808080" w:themeColor="background1" w:themeShade="80"/>
            </w:tcBorders>
          </w:tcPr>
          <w:p w14:paraId="51BA7A82" w14:textId="77777777" w:rsidR="00E40E80" w:rsidRPr="007F7999" w:rsidRDefault="00E40E80" w:rsidP="00187010">
            <w:pPr>
              <w:pStyle w:val="Tabletext"/>
              <w:jc w:val="center"/>
              <w:rPr>
                <w:szCs w:val="20"/>
              </w:rPr>
            </w:pPr>
            <w:r w:rsidRPr="007F7999">
              <w:rPr>
                <w:szCs w:val="20"/>
              </w:rPr>
              <w:t>(0.24)</w:t>
            </w:r>
          </w:p>
        </w:tc>
        <w:tc>
          <w:tcPr>
            <w:tcW w:w="1101" w:type="pct"/>
            <w:tcBorders>
              <w:bottom w:val="single" w:sz="2" w:space="0" w:color="808080" w:themeColor="background1" w:themeShade="80"/>
            </w:tcBorders>
          </w:tcPr>
          <w:p w14:paraId="79FAA99C" w14:textId="77777777" w:rsidR="00E40E80" w:rsidRPr="007F7999" w:rsidRDefault="00E40E80" w:rsidP="00187010">
            <w:pPr>
              <w:pStyle w:val="Tabletext"/>
              <w:jc w:val="center"/>
              <w:rPr>
                <w:szCs w:val="20"/>
              </w:rPr>
            </w:pPr>
            <w:r w:rsidRPr="007F7999">
              <w:rPr>
                <w:szCs w:val="20"/>
              </w:rPr>
              <w:t>(0.43)</w:t>
            </w:r>
          </w:p>
        </w:tc>
        <w:tc>
          <w:tcPr>
            <w:tcW w:w="1233" w:type="pct"/>
            <w:tcBorders>
              <w:bottom w:val="single" w:sz="2" w:space="0" w:color="808080" w:themeColor="background1" w:themeShade="80"/>
            </w:tcBorders>
          </w:tcPr>
          <w:p w14:paraId="2049C474" w14:textId="77777777" w:rsidR="00E40E80" w:rsidRPr="007F7999" w:rsidRDefault="00E40E80" w:rsidP="00187010">
            <w:pPr>
              <w:pStyle w:val="Tabletext"/>
              <w:jc w:val="center"/>
              <w:rPr>
                <w:szCs w:val="20"/>
              </w:rPr>
            </w:pPr>
            <w:r w:rsidRPr="007F7999">
              <w:rPr>
                <w:szCs w:val="20"/>
              </w:rPr>
              <w:t>(0.70)</w:t>
            </w:r>
          </w:p>
        </w:tc>
      </w:tr>
      <w:tr w:rsidR="00E40E80" w:rsidRPr="007F7999" w14:paraId="5CEC61F2" w14:textId="77777777" w:rsidTr="00B32EFC">
        <w:tc>
          <w:tcPr>
            <w:tcW w:w="1378" w:type="pct"/>
            <w:vMerge w:val="restart"/>
            <w:tcBorders>
              <w:top w:val="single" w:sz="2" w:space="0" w:color="808080" w:themeColor="background1" w:themeShade="80"/>
            </w:tcBorders>
            <w:vAlign w:val="center"/>
          </w:tcPr>
          <w:p w14:paraId="79BD6DD3" w14:textId="77777777" w:rsidR="00E40E80" w:rsidRPr="00B32EFC" w:rsidRDefault="00E40E80" w:rsidP="00B32EFC">
            <w:pPr>
              <w:pStyle w:val="Tabletext"/>
            </w:pPr>
            <w:r w:rsidRPr="00B32EFC">
              <w:t>MH and non-MH services</w:t>
            </w:r>
          </w:p>
        </w:tc>
        <w:tc>
          <w:tcPr>
            <w:tcW w:w="1288" w:type="pct"/>
            <w:tcBorders>
              <w:top w:val="single" w:sz="2" w:space="0" w:color="808080" w:themeColor="background1" w:themeShade="80"/>
            </w:tcBorders>
          </w:tcPr>
          <w:p w14:paraId="732B251F" w14:textId="77777777" w:rsidR="00E40E80" w:rsidRPr="007F7999" w:rsidRDefault="00E40E80" w:rsidP="00187010">
            <w:pPr>
              <w:pStyle w:val="Tabletext"/>
              <w:jc w:val="center"/>
              <w:rPr>
                <w:szCs w:val="20"/>
              </w:rPr>
            </w:pPr>
            <w:r w:rsidRPr="007F7999">
              <w:rPr>
                <w:szCs w:val="20"/>
              </w:rPr>
              <w:t>0.2</w:t>
            </w:r>
          </w:p>
        </w:tc>
        <w:tc>
          <w:tcPr>
            <w:tcW w:w="1101" w:type="pct"/>
            <w:tcBorders>
              <w:top w:val="single" w:sz="2" w:space="0" w:color="808080" w:themeColor="background1" w:themeShade="80"/>
            </w:tcBorders>
          </w:tcPr>
          <w:p w14:paraId="593BFEA3" w14:textId="77777777" w:rsidR="00E40E80" w:rsidRPr="007F7999" w:rsidRDefault="00E40E80" w:rsidP="00187010">
            <w:pPr>
              <w:pStyle w:val="Tabletext"/>
              <w:jc w:val="center"/>
              <w:rPr>
                <w:szCs w:val="20"/>
              </w:rPr>
            </w:pPr>
            <w:r w:rsidRPr="007F7999">
              <w:rPr>
                <w:szCs w:val="20"/>
              </w:rPr>
              <w:t>2.0**</w:t>
            </w:r>
          </w:p>
        </w:tc>
        <w:tc>
          <w:tcPr>
            <w:tcW w:w="1233" w:type="pct"/>
            <w:tcBorders>
              <w:top w:val="single" w:sz="2" w:space="0" w:color="808080" w:themeColor="background1" w:themeShade="80"/>
            </w:tcBorders>
          </w:tcPr>
          <w:p w14:paraId="6DA48E1A" w14:textId="77777777" w:rsidR="00E40E80" w:rsidRPr="007F7999" w:rsidRDefault="00E40E80" w:rsidP="00187010">
            <w:pPr>
              <w:pStyle w:val="Tabletext"/>
              <w:jc w:val="center"/>
              <w:rPr>
                <w:szCs w:val="20"/>
              </w:rPr>
            </w:pPr>
            <w:r w:rsidRPr="007F7999">
              <w:rPr>
                <w:szCs w:val="20"/>
              </w:rPr>
              <w:t>0.3</w:t>
            </w:r>
          </w:p>
        </w:tc>
      </w:tr>
      <w:tr w:rsidR="00E40E80" w:rsidRPr="007F7999" w14:paraId="1B75848F" w14:textId="77777777" w:rsidTr="00B32EFC">
        <w:tc>
          <w:tcPr>
            <w:tcW w:w="1378" w:type="pct"/>
            <w:vMerge/>
            <w:tcBorders>
              <w:bottom w:val="single" w:sz="4" w:space="0" w:color="7F7F7F" w:themeColor="text1" w:themeTint="80"/>
            </w:tcBorders>
            <w:vAlign w:val="center"/>
          </w:tcPr>
          <w:p w14:paraId="73766D55" w14:textId="77777777" w:rsidR="00E40E80" w:rsidRPr="00B32EFC" w:rsidRDefault="00E40E80" w:rsidP="00B32EFC">
            <w:pPr>
              <w:pStyle w:val="Tabletext"/>
            </w:pPr>
          </w:p>
        </w:tc>
        <w:tc>
          <w:tcPr>
            <w:tcW w:w="1288" w:type="pct"/>
            <w:tcBorders>
              <w:bottom w:val="single" w:sz="4" w:space="0" w:color="7F7F7F" w:themeColor="text1" w:themeTint="80"/>
            </w:tcBorders>
          </w:tcPr>
          <w:p w14:paraId="214D4FB7" w14:textId="77777777" w:rsidR="00E40E80" w:rsidRPr="007F7999" w:rsidRDefault="00E40E80" w:rsidP="00187010">
            <w:pPr>
              <w:pStyle w:val="Tabletext"/>
              <w:jc w:val="center"/>
              <w:rPr>
                <w:szCs w:val="20"/>
              </w:rPr>
            </w:pPr>
            <w:r w:rsidRPr="007F7999">
              <w:rPr>
                <w:szCs w:val="20"/>
              </w:rPr>
              <w:t>(0.19)</w:t>
            </w:r>
          </w:p>
        </w:tc>
        <w:tc>
          <w:tcPr>
            <w:tcW w:w="1101" w:type="pct"/>
            <w:tcBorders>
              <w:bottom w:val="single" w:sz="4" w:space="0" w:color="7F7F7F" w:themeColor="text1" w:themeTint="80"/>
            </w:tcBorders>
          </w:tcPr>
          <w:p w14:paraId="2DF7E072" w14:textId="77777777" w:rsidR="00E40E80" w:rsidRPr="007F7999" w:rsidRDefault="00E40E80" w:rsidP="00187010">
            <w:pPr>
              <w:pStyle w:val="Tabletext"/>
              <w:jc w:val="center"/>
              <w:rPr>
                <w:szCs w:val="20"/>
              </w:rPr>
            </w:pPr>
            <w:r w:rsidRPr="007F7999">
              <w:rPr>
                <w:szCs w:val="20"/>
              </w:rPr>
              <w:t>(0.33)</w:t>
            </w:r>
          </w:p>
        </w:tc>
        <w:tc>
          <w:tcPr>
            <w:tcW w:w="1233" w:type="pct"/>
            <w:tcBorders>
              <w:bottom w:val="single" w:sz="4" w:space="0" w:color="7F7F7F" w:themeColor="text1" w:themeTint="80"/>
            </w:tcBorders>
          </w:tcPr>
          <w:p w14:paraId="196A3B66" w14:textId="77777777" w:rsidR="00E40E80" w:rsidRPr="007F7999" w:rsidRDefault="00E40E80" w:rsidP="00187010">
            <w:pPr>
              <w:pStyle w:val="Tabletext"/>
              <w:jc w:val="center"/>
              <w:rPr>
                <w:szCs w:val="20"/>
              </w:rPr>
            </w:pPr>
            <w:r w:rsidRPr="007F7999">
              <w:rPr>
                <w:szCs w:val="20"/>
              </w:rPr>
              <w:t>(0.54)</w:t>
            </w:r>
          </w:p>
        </w:tc>
      </w:tr>
      <w:tr w:rsidR="00E40E80" w:rsidRPr="007F7999" w14:paraId="17E3ACAA" w14:textId="77777777" w:rsidTr="00B32EFC">
        <w:tc>
          <w:tcPr>
            <w:tcW w:w="1378" w:type="pct"/>
            <w:vMerge w:val="restart"/>
            <w:tcBorders>
              <w:top w:val="single" w:sz="4" w:space="0" w:color="7F7F7F" w:themeColor="text1" w:themeTint="80"/>
            </w:tcBorders>
            <w:vAlign w:val="center"/>
          </w:tcPr>
          <w:p w14:paraId="066B26E3" w14:textId="77777777" w:rsidR="00E40E80" w:rsidRPr="00B32EFC" w:rsidRDefault="00E40E80" w:rsidP="00B32EFC">
            <w:pPr>
              <w:pStyle w:val="Tabletext"/>
            </w:pPr>
            <w:r w:rsidRPr="00B32EFC">
              <w:t>MH only services</w:t>
            </w:r>
          </w:p>
        </w:tc>
        <w:tc>
          <w:tcPr>
            <w:tcW w:w="1288" w:type="pct"/>
            <w:tcBorders>
              <w:top w:val="single" w:sz="4" w:space="0" w:color="7F7F7F" w:themeColor="text1" w:themeTint="80"/>
            </w:tcBorders>
          </w:tcPr>
          <w:p w14:paraId="57BF8A23" w14:textId="77777777" w:rsidR="00E40E80" w:rsidRPr="007F7999" w:rsidRDefault="00E40E80" w:rsidP="00187010">
            <w:pPr>
              <w:pStyle w:val="Tabletext"/>
              <w:jc w:val="center"/>
              <w:rPr>
                <w:rFonts w:cs="Calibri"/>
                <w:color w:val="000000"/>
                <w:szCs w:val="20"/>
              </w:rPr>
            </w:pPr>
            <w:r w:rsidRPr="007F7999">
              <w:rPr>
                <w:szCs w:val="20"/>
              </w:rPr>
              <w:t>0.4**</w:t>
            </w:r>
          </w:p>
        </w:tc>
        <w:tc>
          <w:tcPr>
            <w:tcW w:w="1101" w:type="pct"/>
            <w:tcBorders>
              <w:top w:val="single" w:sz="4" w:space="0" w:color="7F7F7F" w:themeColor="text1" w:themeTint="80"/>
            </w:tcBorders>
          </w:tcPr>
          <w:p w14:paraId="6A2338FA" w14:textId="77777777" w:rsidR="00E40E80" w:rsidRPr="007F7999" w:rsidRDefault="00E40E80" w:rsidP="00187010">
            <w:pPr>
              <w:pStyle w:val="Tabletext"/>
              <w:jc w:val="center"/>
              <w:rPr>
                <w:rFonts w:cs="Calibri"/>
                <w:color w:val="000000"/>
                <w:szCs w:val="20"/>
              </w:rPr>
            </w:pPr>
            <w:r w:rsidRPr="007F7999">
              <w:rPr>
                <w:szCs w:val="20"/>
              </w:rPr>
              <w:t>2.0**</w:t>
            </w:r>
          </w:p>
        </w:tc>
        <w:tc>
          <w:tcPr>
            <w:tcW w:w="1233" w:type="pct"/>
            <w:tcBorders>
              <w:top w:val="single" w:sz="4" w:space="0" w:color="7F7F7F" w:themeColor="text1" w:themeTint="80"/>
            </w:tcBorders>
          </w:tcPr>
          <w:p w14:paraId="644DCDF9" w14:textId="77777777" w:rsidR="00E40E80" w:rsidRPr="007F7999" w:rsidRDefault="00E40E80" w:rsidP="00187010">
            <w:pPr>
              <w:pStyle w:val="Tabletext"/>
              <w:jc w:val="center"/>
              <w:rPr>
                <w:rFonts w:cs="Calibri"/>
                <w:color w:val="000000"/>
                <w:szCs w:val="20"/>
              </w:rPr>
            </w:pPr>
            <w:r w:rsidRPr="007F7999">
              <w:rPr>
                <w:szCs w:val="20"/>
              </w:rPr>
              <w:t>0.8*</w:t>
            </w:r>
          </w:p>
        </w:tc>
      </w:tr>
      <w:tr w:rsidR="00E40E80" w:rsidRPr="007F7999" w14:paraId="4A9C9DAB" w14:textId="77777777" w:rsidTr="00B32EFC">
        <w:tc>
          <w:tcPr>
            <w:tcW w:w="1378" w:type="pct"/>
            <w:vMerge/>
            <w:tcBorders>
              <w:bottom w:val="single" w:sz="4" w:space="0" w:color="7F7F7F" w:themeColor="text1" w:themeTint="80"/>
            </w:tcBorders>
            <w:vAlign w:val="center"/>
          </w:tcPr>
          <w:p w14:paraId="1463BC1E" w14:textId="77777777" w:rsidR="00E40E80" w:rsidRPr="00B32EFC" w:rsidRDefault="00E40E80" w:rsidP="00B32EFC">
            <w:pPr>
              <w:pStyle w:val="Tabletext"/>
            </w:pPr>
          </w:p>
        </w:tc>
        <w:tc>
          <w:tcPr>
            <w:tcW w:w="1288" w:type="pct"/>
            <w:tcBorders>
              <w:bottom w:val="single" w:sz="4" w:space="0" w:color="7F7F7F" w:themeColor="text1" w:themeTint="80"/>
            </w:tcBorders>
          </w:tcPr>
          <w:p w14:paraId="513493E1" w14:textId="77777777" w:rsidR="00E40E80" w:rsidRPr="007F7999" w:rsidRDefault="00E40E80" w:rsidP="00187010">
            <w:pPr>
              <w:pStyle w:val="Tabletext"/>
              <w:jc w:val="center"/>
              <w:rPr>
                <w:rFonts w:cs="Calibri"/>
                <w:color w:val="000000"/>
                <w:szCs w:val="20"/>
              </w:rPr>
            </w:pPr>
            <w:r w:rsidRPr="007F7999">
              <w:rPr>
                <w:szCs w:val="20"/>
              </w:rPr>
              <w:t>(0.14)</w:t>
            </w:r>
          </w:p>
        </w:tc>
        <w:tc>
          <w:tcPr>
            <w:tcW w:w="1101" w:type="pct"/>
            <w:tcBorders>
              <w:bottom w:val="single" w:sz="4" w:space="0" w:color="7F7F7F" w:themeColor="text1" w:themeTint="80"/>
            </w:tcBorders>
          </w:tcPr>
          <w:p w14:paraId="6919F56E" w14:textId="77777777" w:rsidR="00E40E80" w:rsidRPr="007F7999" w:rsidRDefault="00E40E80" w:rsidP="00187010">
            <w:pPr>
              <w:pStyle w:val="Tabletext"/>
              <w:jc w:val="center"/>
              <w:rPr>
                <w:rFonts w:cs="Calibri"/>
                <w:color w:val="000000"/>
                <w:szCs w:val="20"/>
              </w:rPr>
            </w:pPr>
            <w:r w:rsidRPr="007F7999">
              <w:rPr>
                <w:szCs w:val="20"/>
              </w:rPr>
              <w:t>(0.25)</w:t>
            </w:r>
          </w:p>
        </w:tc>
        <w:tc>
          <w:tcPr>
            <w:tcW w:w="1233" w:type="pct"/>
            <w:tcBorders>
              <w:bottom w:val="single" w:sz="4" w:space="0" w:color="7F7F7F" w:themeColor="text1" w:themeTint="80"/>
            </w:tcBorders>
          </w:tcPr>
          <w:p w14:paraId="23E95CDF" w14:textId="77777777" w:rsidR="00E40E80" w:rsidRPr="007F7999" w:rsidRDefault="00E40E80" w:rsidP="00187010">
            <w:pPr>
              <w:pStyle w:val="Tabletext"/>
              <w:jc w:val="center"/>
              <w:rPr>
                <w:rFonts w:cs="Calibri"/>
                <w:color w:val="000000"/>
                <w:szCs w:val="20"/>
              </w:rPr>
            </w:pPr>
            <w:r w:rsidRPr="007F7999">
              <w:rPr>
                <w:szCs w:val="20"/>
              </w:rPr>
              <w:t>(0.40)</w:t>
            </w:r>
          </w:p>
        </w:tc>
      </w:tr>
      <w:tr w:rsidR="00187010" w:rsidRPr="007F7999" w14:paraId="187B48AB" w14:textId="77777777" w:rsidTr="00B32EFC">
        <w:tc>
          <w:tcPr>
            <w:tcW w:w="1378" w:type="pct"/>
            <w:tcBorders>
              <w:top w:val="single" w:sz="2" w:space="0" w:color="808080" w:themeColor="background1" w:themeShade="80"/>
            </w:tcBorders>
            <w:vAlign w:val="center"/>
          </w:tcPr>
          <w:p w14:paraId="75598DF9" w14:textId="77777777" w:rsidR="00187010" w:rsidRPr="00B32EFC" w:rsidRDefault="00187010" w:rsidP="00B32EFC">
            <w:pPr>
              <w:pStyle w:val="Tabletext"/>
            </w:pPr>
            <w:r w:rsidRPr="00B32EFC">
              <w:t>Observations</w:t>
            </w:r>
            <w:r w:rsidRPr="00B32EFC">
              <w:tab/>
            </w:r>
          </w:p>
        </w:tc>
        <w:tc>
          <w:tcPr>
            <w:tcW w:w="1288" w:type="pct"/>
            <w:tcBorders>
              <w:top w:val="single" w:sz="2" w:space="0" w:color="808080" w:themeColor="background1" w:themeShade="80"/>
            </w:tcBorders>
            <w:vAlign w:val="bottom"/>
          </w:tcPr>
          <w:p w14:paraId="07A87608" w14:textId="77777777" w:rsidR="00187010" w:rsidRPr="007F7999" w:rsidRDefault="00187010" w:rsidP="00187010">
            <w:pPr>
              <w:spacing w:before="0" w:after="0"/>
              <w:jc w:val="center"/>
              <w:rPr>
                <w:rFonts w:cs="Calibri"/>
                <w:color w:val="000000"/>
                <w:szCs w:val="20"/>
              </w:rPr>
            </w:pPr>
            <w:r w:rsidRPr="007F7999">
              <w:rPr>
                <w:rFonts w:cs="Calibri"/>
                <w:color w:val="000000"/>
                <w:szCs w:val="20"/>
              </w:rPr>
              <w:t>22,348</w:t>
            </w:r>
          </w:p>
        </w:tc>
        <w:tc>
          <w:tcPr>
            <w:tcW w:w="1101" w:type="pct"/>
            <w:tcBorders>
              <w:top w:val="single" w:sz="2" w:space="0" w:color="808080" w:themeColor="background1" w:themeShade="80"/>
            </w:tcBorders>
          </w:tcPr>
          <w:p w14:paraId="64C4CC06" w14:textId="77777777" w:rsidR="00187010" w:rsidRPr="007F7999" w:rsidRDefault="00187010" w:rsidP="00187010">
            <w:pPr>
              <w:pStyle w:val="Tabletext"/>
              <w:jc w:val="center"/>
              <w:rPr>
                <w:szCs w:val="20"/>
              </w:rPr>
            </w:pPr>
            <w:r w:rsidRPr="007F7999">
              <w:rPr>
                <w:szCs w:val="20"/>
              </w:rPr>
              <w:t>22,254</w:t>
            </w:r>
          </w:p>
        </w:tc>
        <w:tc>
          <w:tcPr>
            <w:tcW w:w="1233" w:type="pct"/>
            <w:tcBorders>
              <w:top w:val="single" w:sz="2" w:space="0" w:color="808080" w:themeColor="background1" w:themeShade="80"/>
            </w:tcBorders>
          </w:tcPr>
          <w:p w14:paraId="6CD3E814" w14:textId="77777777" w:rsidR="00187010" w:rsidRPr="007F7999" w:rsidRDefault="00187010" w:rsidP="00187010">
            <w:pPr>
              <w:pStyle w:val="Tabletext"/>
              <w:jc w:val="center"/>
              <w:rPr>
                <w:szCs w:val="20"/>
              </w:rPr>
            </w:pPr>
            <w:r w:rsidRPr="007F7999">
              <w:rPr>
                <w:szCs w:val="20"/>
              </w:rPr>
              <w:t>22,333</w:t>
            </w:r>
          </w:p>
        </w:tc>
      </w:tr>
      <w:tr w:rsidR="00187010" w:rsidRPr="007F7999" w14:paraId="288E44F9" w14:textId="77777777" w:rsidTr="00B32EFC">
        <w:tc>
          <w:tcPr>
            <w:tcW w:w="1378" w:type="pct"/>
            <w:vAlign w:val="center"/>
          </w:tcPr>
          <w:p w14:paraId="4C9F9645" w14:textId="77777777" w:rsidR="00187010" w:rsidRPr="00B32EFC" w:rsidRDefault="00187010" w:rsidP="00B32EFC">
            <w:pPr>
              <w:pStyle w:val="Tabletext"/>
            </w:pPr>
            <w:r w:rsidRPr="00B32EFC">
              <w:t>R2</w:t>
            </w:r>
          </w:p>
        </w:tc>
        <w:tc>
          <w:tcPr>
            <w:tcW w:w="1288" w:type="pct"/>
          </w:tcPr>
          <w:p w14:paraId="2154C037" w14:textId="77777777" w:rsidR="00187010" w:rsidRPr="007F7999" w:rsidRDefault="00187010" w:rsidP="00187010">
            <w:pPr>
              <w:pStyle w:val="Tabletext"/>
              <w:jc w:val="center"/>
              <w:rPr>
                <w:szCs w:val="20"/>
              </w:rPr>
            </w:pPr>
            <w:r w:rsidRPr="007F7999">
              <w:rPr>
                <w:szCs w:val="20"/>
              </w:rPr>
              <w:t>0.05</w:t>
            </w:r>
          </w:p>
        </w:tc>
        <w:tc>
          <w:tcPr>
            <w:tcW w:w="1101" w:type="pct"/>
          </w:tcPr>
          <w:p w14:paraId="4B5ECE14" w14:textId="77777777" w:rsidR="00187010" w:rsidRPr="007F7999" w:rsidRDefault="00187010" w:rsidP="00187010">
            <w:pPr>
              <w:pStyle w:val="Tabletext"/>
              <w:jc w:val="center"/>
              <w:rPr>
                <w:szCs w:val="20"/>
              </w:rPr>
            </w:pPr>
            <w:r w:rsidRPr="007F7999">
              <w:rPr>
                <w:szCs w:val="20"/>
              </w:rPr>
              <w:t>0.07</w:t>
            </w:r>
          </w:p>
        </w:tc>
        <w:tc>
          <w:tcPr>
            <w:tcW w:w="1233" w:type="pct"/>
          </w:tcPr>
          <w:p w14:paraId="0F14B5C7" w14:textId="77777777" w:rsidR="00187010" w:rsidRPr="007F7999" w:rsidRDefault="00187010" w:rsidP="00187010">
            <w:pPr>
              <w:pStyle w:val="Tabletext"/>
              <w:jc w:val="center"/>
              <w:rPr>
                <w:szCs w:val="20"/>
              </w:rPr>
            </w:pPr>
            <w:r w:rsidRPr="007F7999">
              <w:rPr>
                <w:szCs w:val="20"/>
              </w:rPr>
              <w:t>0.07</w:t>
            </w:r>
          </w:p>
        </w:tc>
      </w:tr>
      <w:tr w:rsidR="00187010" w:rsidRPr="007F7999" w14:paraId="28A24985" w14:textId="77777777" w:rsidTr="00B32EFC">
        <w:tc>
          <w:tcPr>
            <w:tcW w:w="1378" w:type="pct"/>
            <w:tcBorders>
              <w:bottom w:val="single" w:sz="2" w:space="0" w:color="808080" w:themeColor="background1" w:themeShade="80"/>
            </w:tcBorders>
            <w:vAlign w:val="center"/>
          </w:tcPr>
          <w:p w14:paraId="74F8C857" w14:textId="77777777" w:rsidR="00187010" w:rsidRPr="00B32EFC" w:rsidRDefault="00187010" w:rsidP="00B32EFC">
            <w:pPr>
              <w:pStyle w:val="Tabletext"/>
            </w:pPr>
            <w:r w:rsidRPr="00B32EFC">
              <w:t>Adjusted R2</w:t>
            </w:r>
          </w:p>
        </w:tc>
        <w:tc>
          <w:tcPr>
            <w:tcW w:w="1288" w:type="pct"/>
            <w:tcBorders>
              <w:bottom w:val="single" w:sz="2" w:space="0" w:color="808080" w:themeColor="background1" w:themeShade="80"/>
            </w:tcBorders>
          </w:tcPr>
          <w:p w14:paraId="072AA12D" w14:textId="77777777" w:rsidR="00187010" w:rsidRPr="007F7999" w:rsidRDefault="00187010" w:rsidP="00187010">
            <w:pPr>
              <w:pStyle w:val="Tabletext"/>
              <w:jc w:val="center"/>
              <w:rPr>
                <w:szCs w:val="20"/>
              </w:rPr>
            </w:pPr>
            <w:r w:rsidRPr="007F7999">
              <w:rPr>
                <w:szCs w:val="20"/>
              </w:rPr>
              <w:t>0.04</w:t>
            </w:r>
          </w:p>
        </w:tc>
        <w:tc>
          <w:tcPr>
            <w:tcW w:w="1101" w:type="pct"/>
            <w:tcBorders>
              <w:bottom w:val="single" w:sz="2" w:space="0" w:color="808080" w:themeColor="background1" w:themeShade="80"/>
            </w:tcBorders>
          </w:tcPr>
          <w:p w14:paraId="097600A9" w14:textId="77777777" w:rsidR="00187010" w:rsidRPr="007F7999" w:rsidRDefault="00187010" w:rsidP="00187010">
            <w:pPr>
              <w:pStyle w:val="Tabletext"/>
              <w:jc w:val="center"/>
              <w:rPr>
                <w:szCs w:val="20"/>
              </w:rPr>
            </w:pPr>
            <w:r w:rsidRPr="007F7999">
              <w:rPr>
                <w:szCs w:val="20"/>
              </w:rPr>
              <w:t>0.06</w:t>
            </w:r>
          </w:p>
        </w:tc>
        <w:tc>
          <w:tcPr>
            <w:tcW w:w="1233" w:type="pct"/>
            <w:tcBorders>
              <w:bottom w:val="single" w:sz="2" w:space="0" w:color="808080" w:themeColor="background1" w:themeShade="80"/>
            </w:tcBorders>
          </w:tcPr>
          <w:p w14:paraId="0F04078C" w14:textId="77777777" w:rsidR="00187010" w:rsidRPr="007F7999" w:rsidRDefault="00187010" w:rsidP="00187010">
            <w:pPr>
              <w:pStyle w:val="Tabletext"/>
              <w:keepNext/>
              <w:jc w:val="center"/>
              <w:rPr>
                <w:szCs w:val="20"/>
              </w:rPr>
            </w:pPr>
            <w:r w:rsidRPr="007F7999">
              <w:rPr>
                <w:szCs w:val="20"/>
              </w:rPr>
              <w:t>0.07</w:t>
            </w:r>
          </w:p>
        </w:tc>
      </w:tr>
    </w:tbl>
    <w:p w14:paraId="74EB4DFA" w14:textId="71C0D3A2" w:rsidR="00187010" w:rsidRPr="00C92A4F" w:rsidRDefault="00187010" w:rsidP="00187010">
      <w:pPr>
        <w:pStyle w:val="Source"/>
        <w:rPr>
          <w:szCs w:val="16"/>
        </w:rPr>
      </w:pPr>
      <w:r w:rsidRPr="0095378E">
        <w:rPr>
          <w:szCs w:val="16"/>
        </w:rPr>
        <w:t>Source: KPMG analysis of</w:t>
      </w:r>
      <w:r>
        <w:rPr>
          <w:szCs w:val="16"/>
        </w:rPr>
        <w:t xml:space="preserve"> the</w:t>
      </w:r>
      <w:r w:rsidRPr="0095378E">
        <w:rPr>
          <w:szCs w:val="16"/>
        </w:rPr>
        <w:t xml:space="preserve"> </w:t>
      </w:r>
      <w:r>
        <w:rPr>
          <w:szCs w:val="16"/>
        </w:rPr>
        <w:t>‘</w:t>
      </w:r>
      <w:r w:rsidRPr="0095378E">
        <w:rPr>
          <w:szCs w:val="16"/>
        </w:rPr>
        <w:t>K10 analysis</w:t>
      </w:r>
      <w:r>
        <w:rPr>
          <w:szCs w:val="16"/>
        </w:rPr>
        <w:t>’ dataset</w:t>
      </w:r>
      <w:r w:rsidRPr="007C3DC2">
        <w:rPr>
          <w:szCs w:val="16"/>
        </w:rPr>
        <w:t xml:space="preserve">, </w:t>
      </w:r>
      <w:r>
        <w:rPr>
          <w:szCs w:val="16"/>
        </w:rPr>
        <w:t>‘</w:t>
      </w:r>
      <w:r w:rsidRPr="007C3DC2">
        <w:rPr>
          <w:szCs w:val="16"/>
        </w:rPr>
        <w:t>SOFAS analysis</w:t>
      </w:r>
      <w:r>
        <w:rPr>
          <w:szCs w:val="16"/>
        </w:rPr>
        <w:t xml:space="preserve">’ dataset </w:t>
      </w:r>
      <w:r w:rsidRPr="007C3DC2">
        <w:rPr>
          <w:szCs w:val="16"/>
        </w:rPr>
        <w:t xml:space="preserve">and </w:t>
      </w:r>
      <w:r>
        <w:rPr>
          <w:szCs w:val="16"/>
        </w:rPr>
        <w:t>‘</w:t>
      </w:r>
      <w:r w:rsidRPr="007C3DC2">
        <w:rPr>
          <w:szCs w:val="16"/>
        </w:rPr>
        <w:t>M</w:t>
      </w:r>
      <w:r w:rsidRPr="00C92A4F">
        <w:rPr>
          <w:szCs w:val="16"/>
        </w:rPr>
        <w:t>LT analysis</w:t>
      </w:r>
      <w:r>
        <w:rPr>
          <w:szCs w:val="16"/>
        </w:rPr>
        <w:t>’ dataset</w:t>
      </w:r>
    </w:p>
    <w:p w14:paraId="54AC03EF" w14:textId="009638CB" w:rsidR="001268EC" w:rsidRDefault="00187010" w:rsidP="00187010">
      <w:pPr>
        <w:pStyle w:val="Source"/>
      </w:pPr>
      <w:r w:rsidRPr="00E83942">
        <w:t xml:space="preserve">Notes: See </w:t>
      </w:r>
      <w:r w:rsidR="00862874">
        <w:fldChar w:fldCharType="begin" w:fldLock="1"/>
      </w:r>
      <w:r w:rsidR="00862874">
        <w:instrText xml:space="preserve"> REF _Ref98402466 \r \h </w:instrText>
      </w:r>
      <w:r w:rsidR="00862874">
        <w:fldChar w:fldCharType="separate"/>
      </w:r>
      <w:r w:rsidR="00AE4D34">
        <w:t>Appendix F</w:t>
      </w:r>
      <w:r w:rsidR="00862874">
        <w:fldChar w:fldCharType="end"/>
      </w:r>
      <w:r w:rsidRPr="00E83942">
        <w:t xml:space="preserve"> for detailed exclusion criteria. Number of episodes are subject to missing data on initial and final outcomes and young persons’ characteristics. </w:t>
      </w:r>
      <w:r>
        <w:t>Improvement</w:t>
      </w:r>
      <w:r w:rsidRPr="00E83942">
        <w:t xml:space="preserve"> is the difference between the last observed and the initially observed </w:t>
      </w:r>
      <w:r>
        <w:t>outcome measure</w:t>
      </w:r>
      <w:r w:rsidRPr="00E83942">
        <w:t xml:space="preserve">. Standard errors in parentheses. For brevity, this report did not include the site’s coefficient estimates. </w:t>
      </w:r>
      <w:r>
        <w:t>Improvements</w:t>
      </w:r>
      <w:r w:rsidRPr="00E83942">
        <w:t xml:space="preserve"> have been adjusted for regression to the mean.</w:t>
      </w:r>
      <w:r>
        <w:t xml:space="preserve"> </w:t>
      </w:r>
      <w:r w:rsidRPr="00E83942">
        <w:t>*: Significant at 10 per cent; **: Significant at 5 per cent.</w:t>
      </w:r>
      <w:r>
        <w:t xml:space="preserve"> </w:t>
      </w:r>
      <w:r w:rsidR="009C028B">
        <w:t>OOS</w:t>
      </w:r>
      <w:r w:rsidRPr="00E83942">
        <w:t>: Occasions of service; MH: Mental health.</w:t>
      </w:r>
    </w:p>
    <w:p w14:paraId="6F7A18B5" w14:textId="77777777" w:rsidR="001268EC" w:rsidRDefault="001268EC" w:rsidP="00187010">
      <w:pPr>
        <w:pStyle w:val="Source"/>
      </w:pPr>
    </w:p>
    <w:p w14:paraId="021B67C9" w14:textId="661FDD4F" w:rsidR="00187010" w:rsidRPr="00E83942" w:rsidRDefault="00795840" w:rsidP="00187010">
      <w:pPr>
        <w:pStyle w:val="Source"/>
      </w:pPr>
      <w:r>
        <w:br w:type="page"/>
      </w:r>
    </w:p>
    <w:p w14:paraId="44529D58" w14:textId="77777777" w:rsidR="002A6A78" w:rsidRDefault="002A6A78" w:rsidP="00B32EFC">
      <w:pPr>
        <w:pStyle w:val="AppendixHeading3"/>
      </w:pPr>
      <w:r>
        <w:t>Young person factors</w:t>
      </w:r>
    </w:p>
    <w:p w14:paraId="306B1941" w14:textId="77777777" w:rsidR="002A6A78" w:rsidRDefault="002A6A78" w:rsidP="00B32EFC">
      <w:pPr>
        <w:pStyle w:val="Heading4"/>
      </w:pPr>
      <w:r>
        <w:t>Age</w:t>
      </w:r>
    </w:p>
    <w:p w14:paraId="17B495C0" w14:textId="1E0D81B7" w:rsidR="002A6A78" w:rsidRDefault="002A6A78" w:rsidP="002A6A78">
      <w:pPr>
        <w:pStyle w:val="BodyText"/>
      </w:pPr>
      <w:r>
        <w:t xml:space="preserve">The impact of age on mental health and wellbeing is dependent on the choice of the outcome measures. Every age cohort experienced positive improvements in their mental health outcomes, but the improvement varies across the cohorts. Young people within the 15 to 19 year old age group had the lowest improvement compared to their younger or older counterparts. The 20 to 24 year old age group had a statistically larger improvement in K10 outcomes. </w:t>
      </w:r>
      <w:r w:rsidR="00B7319B">
        <w:t>The results suggest there is a non</w:t>
      </w:r>
      <w:r w:rsidR="007A7801">
        <w:noBreakHyphen/>
      </w:r>
      <w:r w:rsidR="00B7319B">
        <w:t xml:space="preserve">linear relationship between the young person’s age and their </w:t>
      </w:r>
      <w:r w:rsidR="00A305AC">
        <w:t>mental health outcomes.</w:t>
      </w:r>
      <w:r w:rsidR="00414250">
        <w:t xml:space="preserve"> </w:t>
      </w:r>
    </w:p>
    <w:p w14:paraId="05E1B701" w14:textId="77777777" w:rsidR="002A6A78" w:rsidRDefault="002A6A78" w:rsidP="00B32EFC">
      <w:pPr>
        <w:pStyle w:val="Heading4"/>
      </w:pPr>
      <w:r>
        <w:t>Gender</w:t>
      </w:r>
    </w:p>
    <w:p w14:paraId="3F364315" w14:textId="77777777" w:rsidR="002A6A78" w:rsidRDefault="002A6A78" w:rsidP="002A6A78">
      <w:pPr>
        <w:pStyle w:val="BodyText"/>
      </w:pPr>
      <w:r>
        <w:t xml:space="preserve">Males had a statistically larger improvement in K10 and MLT outcomes than female or the non-binary groups. There was no significant difference between genders in SOFAS outcomes. </w:t>
      </w:r>
    </w:p>
    <w:p w14:paraId="1FB84C6E" w14:textId="77777777" w:rsidR="002A6A78" w:rsidRDefault="002A6A78" w:rsidP="00B32EFC">
      <w:pPr>
        <w:pStyle w:val="Heading4"/>
      </w:pPr>
      <w:r>
        <w:t>Priority cohorts</w:t>
      </w:r>
    </w:p>
    <w:p w14:paraId="7C58DC98" w14:textId="2F18D913" w:rsidR="002A6A78" w:rsidRDefault="002A6A78" w:rsidP="002A6A78">
      <w:pPr>
        <w:pStyle w:val="BodyText"/>
      </w:pPr>
      <w:r>
        <w:t xml:space="preserve">LGBTQIA+ young people experienced lower improvements than young people </w:t>
      </w:r>
      <w:r w:rsidR="0013682A">
        <w:t xml:space="preserve">who did not identify as LGBTQIA+ </w:t>
      </w:r>
      <w:r>
        <w:t xml:space="preserve">across all measures. By contrast culturally and linguistically diverse cohorts achieved statistically similar improvements as non-culturally and linguistically diverse cohorts. Improvements in the SOFAS and MLT outcome measures were statistically significantly lower than the average improvements in the outcome measure among the Aboriginal and Torres Strait Islander </w:t>
      </w:r>
      <w:r w:rsidR="00B13D04">
        <w:t>cohort</w:t>
      </w:r>
      <w:r>
        <w:t xml:space="preserve">. K10 improvements among the Aboriginal and Torres Strait Islander </w:t>
      </w:r>
      <w:r w:rsidR="00B13D04">
        <w:t>cohort</w:t>
      </w:r>
      <w:r>
        <w:t xml:space="preserve"> were statistically similar to the sample average.</w:t>
      </w:r>
    </w:p>
    <w:p w14:paraId="78139BBE" w14:textId="4CE283B8" w:rsidR="002A6A78" w:rsidRDefault="002A6A78" w:rsidP="002A6A78">
      <w:pPr>
        <w:pStyle w:val="BodyText"/>
      </w:pPr>
      <w:r>
        <w:t xml:space="preserve">This is in contrast to the observations of headspace service providers, who indicated in the </w:t>
      </w:r>
      <w:r w:rsidR="0050072E">
        <w:t>service</w:t>
      </w:r>
      <w:r>
        <w:t xml:space="preserve"> and lead agency survey that they thought outcomes would be worse for culturally and linguistically diverse young people, and they thought that LGBTQIA+ young people would experience higher improvements than young people from the broader population attending heads</w:t>
      </w:r>
      <w:r w:rsidR="006E6A56">
        <w:t>pa</w:t>
      </w:r>
      <w:r>
        <w:t>ce. Providers successfully predicted that improvements would be significantly lower for Aboriginal and Torres Strait Islander young people</w:t>
      </w:r>
      <w:r w:rsidR="004119F0">
        <w:t>, according to the SOFAS and MLT scores</w:t>
      </w:r>
      <w:r w:rsidR="006E5C0B">
        <w:t>.</w:t>
      </w:r>
    </w:p>
    <w:p w14:paraId="234AB0DA" w14:textId="6D417515" w:rsidR="002A6A78" w:rsidRDefault="002A6A78" w:rsidP="002A6A78">
      <w:pPr>
        <w:pStyle w:val="Caption"/>
      </w:pPr>
      <w:bookmarkStart w:id="328" w:name="_Ref97889593"/>
      <w:bookmarkStart w:id="329" w:name="_Toc108109244"/>
      <w:r>
        <w:t xml:space="preserve">Figure </w:t>
      </w:r>
      <w:r>
        <w:fldChar w:fldCharType="begin"/>
      </w:r>
      <w:r>
        <w:instrText>SEQ Figure \* ARABIC</w:instrText>
      </w:r>
      <w:r>
        <w:fldChar w:fldCharType="separate"/>
      </w:r>
      <w:r w:rsidR="00CC0438">
        <w:rPr>
          <w:noProof/>
        </w:rPr>
        <w:t>59</w:t>
      </w:r>
      <w:r>
        <w:fldChar w:fldCharType="end"/>
      </w:r>
      <w:bookmarkEnd w:id="328"/>
      <w:r>
        <w:t xml:space="preserve">: Responses from </w:t>
      </w:r>
      <w:r w:rsidR="00646540">
        <w:t>service</w:t>
      </w:r>
      <w:r>
        <w:t xml:space="preserve"> and lead agency </w:t>
      </w:r>
      <w:r w:rsidR="00646540">
        <w:t>survey</w:t>
      </w:r>
      <w:r>
        <w:t>: how well does your centre provide services that improve the mental health and wellbeing of young people?</w:t>
      </w:r>
      <w:bookmarkEnd w:id="329"/>
    </w:p>
    <w:p w14:paraId="036F532C" w14:textId="401049EA" w:rsidR="002A6A78" w:rsidRDefault="004315D8" w:rsidP="00B32EFC">
      <w:r>
        <w:rPr>
          <w:noProof/>
        </w:rPr>
        <w:drawing>
          <wp:inline distT="0" distB="0" distL="0" distR="0" wp14:anchorId="47C784FF" wp14:editId="091B9244">
            <wp:extent cx="5037455" cy="3234055"/>
            <wp:effectExtent l="0" t="0" r="0" b="4445"/>
            <wp:docPr id="59" name="Picture 59" descr="Figure 59 summarises average responses from the lead agency and headspace service survey respondents about how well their service provides services that improve the mental health and wellbeing of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40. For LGBTQIA+ young people, the average score was 56. For culturally and linguistically diverse young people, the average score was 40. For Aboriginal and Torres Strait Islander young people, the average score wa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59 summarises average responses from the lead agency and headspace service survey respondents about how well their service provides services that improve the mental health and wellbeing of hard to reach cohorts. An average score of 0 means on average headspace services indicated they support hard to reach groups much worse than the general population of young people.  An average score of 50 means on average headspace services indicated they support hard to reach groups similarly to the general population of young people. An average score of 100 means on average headspace services indicated they support hard to reach groups much better than the general population of young people. For young people with disability, the average score was 40. For LGBTQIA+ young people, the average score was 56. For culturally and linguistically diverse young people, the average score was 40. For Aboriginal and Torres Strait Islander young people, the average score was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60D66665" w14:textId="0D83D1BC" w:rsidR="002A6A78" w:rsidRPr="00B32EFC" w:rsidRDefault="002A6A78" w:rsidP="00B32EFC">
      <w:pPr>
        <w:pStyle w:val="Source"/>
      </w:pPr>
      <w:r w:rsidRPr="005607C2">
        <w:t>Source:</w:t>
      </w:r>
      <w:r>
        <w:t xml:space="preserve"> </w:t>
      </w:r>
      <w:r w:rsidRPr="00B32EFC">
        <w:t>KPMG analysis of headspace service and lead agency survey</w:t>
      </w:r>
    </w:p>
    <w:p w14:paraId="1C231F5D" w14:textId="77777777" w:rsidR="002A6A78" w:rsidRPr="005607C2" w:rsidRDefault="002A6A78" w:rsidP="00B32EFC">
      <w:pPr>
        <w:pStyle w:val="Source"/>
      </w:pPr>
      <w:r w:rsidRPr="00B32EFC">
        <w:t>Notes: A total</w:t>
      </w:r>
      <w:r>
        <w:t xml:space="preserve"> of 60 responses were received for this question.</w:t>
      </w:r>
    </w:p>
    <w:p w14:paraId="0A76F121" w14:textId="77777777" w:rsidR="002A6A78" w:rsidRDefault="002A6A78" w:rsidP="00B32EFC">
      <w:pPr>
        <w:pStyle w:val="Heading4"/>
      </w:pPr>
      <w:r>
        <w:t>Initial severity (measured by the K10)</w:t>
      </w:r>
    </w:p>
    <w:p w14:paraId="72020A51" w14:textId="44E5D80B" w:rsidR="00B06188" w:rsidRDefault="00B06188" w:rsidP="002A6A78">
      <w:pPr>
        <w:pStyle w:val="BodyText"/>
      </w:pPr>
      <w:r>
        <w:t>This report hypothesise that the initial severity of the young persons mental health status has an in impact on their need for mental health services, and the potential range of improvement that treatment can deliver. If a young person accesse</w:t>
      </w:r>
      <w:r w:rsidR="00D40BE4">
        <w:t>s</w:t>
      </w:r>
      <w:r>
        <w:t xml:space="preserve"> headspace with very high levels of mental distress and if treatment is successful, then the young person will experience a significant larger improvement in mental health than a young person accessing headspace with low or mild levels of mental distress.</w:t>
      </w:r>
    </w:p>
    <w:p w14:paraId="100D3743" w14:textId="01AC5471" w:rsidR="002A6A78" w:rsidRDefault="00B06188" w:rsidP="002A6A78">
      <w:pPr>
        <w:pStyle w:val="BodyText"/>
      </w:pPr>
      <w:r>
        <w:t>The results show that i</w:t>
      </w:r>
      <w:r w:rsidR="002A6A78">
        <w:t>mprovements in K10 and MLT outcomes were largest among young people presenting to a headspace service with initially very high levels of mental distress. Of all factors, the initial severity of psychological distress had the largest impact on the magnitude of the improvement achieved</w:t>
      </w:r>
      <w:r w:rsidR="00CC0438">
        <w:rPr>
          <w:rFonts w:ascii="ZWAdobeF" w:hAnsi="ZWAdobeF" w:cs="ZWAdobeF"/>
          <w:sz w:val="2"/>
          <w:szCs w:val="2"/>
        </w:rPr>
        <w:t>224F</w:t>
      </w:r>
      <w:r w:rsidR="002A6A78">
        <w:rPr>
          <w:rStyle w:val="FootnoteReference"/>
        </w:rPr>
        <w:footnoteReference w:id="226"/>
      </w:r>
      <w:r w:rsidR="00297F47">
        <w:t>.</w:t>
      </w:r>
      <w:r w:rsidR="002A6A78">
        <w:t xml:space="preserve"> By contrast, improvements in the SOFAS were highest among young people entering headspace with low levels of mental distress and lowest among the cohort with the highest level of mental distress. This is likely explained by weak correlation between the K10 and SOFAS measures (which is explored later in </w:t>
      </w:r>
      <w:r w:rsidR="00072CB6">
        <w:fldChar w:fldCharType="begin" w:fldLock="1"/>
      </w:r>
      <w:r w:rsidR="00072CB6">
        <w:instrText xml:space="preserve"> REF _Ref97749641 \h </w:instrText>
      </w:r>
      <w:r w:rsidR="00072CB6">
        <w:fldChar w:fldCharType="separate"/>
      </w:r>
      <w:r w:rsidR="00440F5D">
        <w:t xml:space="preserve">Table </w:t>
      </w:r>
      <w:r w:rsidR="00440F5D">
        <w:rPr>
          <w:noProof/>
        </w:rPr>
        <w:t>71</w:t>
      </w:r>
      <w:r w:rsidR="00072CB6">
        <w:fldChar w:fldCharType="end"/>
      </w:r>
      <w:r w:rsidR="002A6A78">
        <w:t>) and the RTM adjustment. A separate model using only observed changes in the SOFAS outcome measure show no statistically significantly differences in outcomes by initial levels of mental distress.</w:t>
      </w:r>
    </w:p>
    <w:p w14:paraId="660DC8A0" w14:textId="77777777" w:rsidR="002A6A78" w:rsidRDefault="002A6A78" w:rsidP="00B32EFC">
      <w:pPr>
        <w:pStyle w:val="AppendixHeading3"/>
      </w:pPr>
      <w:r>
        <w:t>Service factors</w:t>
      </w:r>
    </w:p>
    <w:p w14:paraId="39D68050" w14:textId="77777777" w:rsidR="002A6A78" w:rsidRDefault="002A6A78" w:rsidP="00B32EFC">
      <w:pPr>
        <w:pStyle w:val="Heading4"/>
      </w:pPr>
      <w:r>
        <w:t>Types of services provided</w:t>
      </w:r>
    </w:p>
    <w:p w14:paraId="75053CE6" w14:textId="77777777" w:rsidR="002A6A78" w:rsidRDefault="002A6A78" w:rsidP="002A6A78">
      <w:pPr>
        <w:pStyle w:val="BodyText"/>
      </w:pPr>
      <w:r>
        <w:t>After controlling for variation in young people’s characteristics, and the headspace service, episodes treated with only mental health services experienced the largest improvement in the K10 and MLT while those receiving only intake/assessment services experienced the lowest but still positive improvement.</w:t>
      </w:r>
    </w:p>
    <w:p w14:paraId="64FE3A77" w14:textId="77777777" w:rsidR="002A6A78" w:rsidRDefault="002A6A78" w:rsidP="00B32EFC">
      <w:pPr>
        <w:pStyle w:val="Heading4"/>
      </w:pPr>
      <w:r>
        <w:t>Occasions of service</w:t>
      </w:r>
    </w:p>
    <w:p w14:paraId="0815CB43" w14:textId="6A93135A" w:rsidR="002A6A78" w:rsidRDefault="002A6A78" w:rsidP="002A6A78">
      <w:pPr>
        <w:pStyle w:val="BodyText"/>
      </w:pPr>
      <w:r>
        <w:t xml:space="preserve">After controlling for variation in young people’s characteristics, and the headspace service, there was a clear relationship between outcomes and the </w:t>
      </w:r>
      <w:r w:rsidR="007B2863">
        <w:t>OOS</w:t>
      </w:r>
      <w:r>
        <w:t xml:space="preserve"> attended, with young people attending more than six and services achieving better outcomes than those attending five or less; and those attending nine or more achieving better outcomes again. </w:t>
      </w:r>
    </w:p>
    <w:p w14:paraId="47238F9F" w14:textId="77777777" w:rsidR="002A6A78" w:rsidRDefault="002A6A78" w:rsidP="00B32EFC">
      <w:pPr>
        <w:pStyle w:val="AppendixHeading3"/>
      </w:pPr>
      <w:r>
        <w:t>Service-specific factors</w:t>
      </w:r>
    </w:p>
    <w:p w14:paraId="3A49AF23" w14:textId="77777777" w:rsidR="002A6A78" w:rsidRDefault="002A6A78" w:rsidP="00B32EFC">
      <w:pPr>
        <w:pStyle w:val="Heading4"/>
      </w:pPr>
      <w:r>
        <w:t>Individual service factors</w:t>
      </w:r>
    </w:p>
    <w:p w14:paraId="37D0AC87" w14:textId="77777777" w:rsidR="002A6A78" w:rsidRPr="00CB05B8" w:rsidRDefault="002A6A78" w:rsidP="002A6A78">
      <w:pPr>
        <w:pStyle w:val="BodyText"/>
      </w:pPr>
      <w:r>
        <w:t>The individual service’s contribution was estimated within the analysis using a fixed effects approach. Further analysis and results are discussed in the subsequent sections below.</w:t>
      </w:r>
    </w:p>
    <w:p w14:paraId="5B779693" w14:textId="77777777" w:rsidR="002A6A78" w:rsidRDefault="002A6A78" w:rsidP="00B32EFC">
      <w:pPr>
        <w:pStyle w:val="AppendixHeading3"/>
      </w:pPr>
      <w:r>
        <w:t>Contribution to variation</w:t>
      </w:r>
    </w:p>
    <w:p w14:paraId="15D875F3" w14:textId="4B30185D" w:rsidR="002A6A78" w:rsidRDefault="002A6A78" w:rsidP="002A6A78">
      <w:pPr>
        <w:pStyle w:val="BodyText"/>
      </w:pPr>
      <w:r>
        <w:t xml:space="preserve">Shaply decomposition was used to assess the relative contributions of young person, </w:t>
      </w:r>
      <w:r w:rsidR="007B2863">
        <w:t>OOS</w:t>
      </w:r>
      <w:r>
        <w:t xml:space="preserve"> and service factors to the observed variation in outcomes</w:t>
      </w:r>
      <w:r w:rsidR="00CC0438">
        <w:rPr>
          <w:rFonts w:ascii="ZWAdobeF" w:hAnsi="ZWAdobeF" w:cs="ZWAdobeF"/>
          <w:sz w:val="2"/>
          <w:szCs w:val="2"/>
        </w:rPr>
        <w:t>225F</w:t>
      </w:r>
      <w:r>
        <w:rPr>
          <w:rStyle w:val="FootnoteReference"/>
        </w:rPr>
        <w:footnoteReference w:id="227"/>
      </w:r>
      <w:r w:rsidR="00297F47">
        <w:t>.</w:t>
      </w:r>
    </w:p>
    <w:p w14:paraId="2C319803" w14:textId="23D9A0BA" w:rsidR="002A6A78" w:rsidRDefault="00072CB6" w:rsidP="002A6A78">
      <w:pPr>
        <w:pStyle w:val="BodyText"/>
      </w:pPr>
      <w:r>
        <w:fldChar w:fldCharType="begin" w:fldLock="1"/>
      </w:r>
      <w:r>
        <w:instrText xml:space="preserve"> REF _Ref97749618 \h </w:instrText>
      </w:r>
      <w:r>
        <w:fldChar w:fldCharType="separate"/>
      </w:r>
      <w:r w:rsidR="00440F5D">
        <w:t xml:space="preserve">Table </w:t>
      </w:r>
      <w:r w:rsidR="00440F5D">
        <w:rPr>
          <w:noProof/>
        </w:rPr>
        <w:t>70</w:t>
      </w:r>
      <w:r>
        <w:fldChar w:fldCharType="end"/>
      </w:r>
      <w:r w:rsidR="002A6A78">
        <w:t xml:space="preserve"> </w:t>
      </w:r>
      <w:r w:rsidR="002A6A78" w:rsidRPr="00AA387A">
        <w:t>suggests</w:t>
      </w:r>
      <w:r w:rsidR="002A6A78">
        <w:t xml:space="preserve"> that the </w:t>
      </w:r>
      <w:r w:rsidR="007B2863">
        <w:t>OOS</w:t>
      </w:r>
      <w:r w:rsidR="002A6A78">
        <w:t xml:space="preserve"> factors (i.e</w:t>
      </w:r>
      <w:r w:rsidR="004D1498">
        <w:t>.,</w:t>
      </w:r>
      <w:r w:rsidR="002A6A78">
        <w:t xml:space="preserve"> the number of </w:t>
      </w:r>
      <w:r w:rsidR="007B2863">
        <w:t>OOS</w:t>
      </w:r>
      <w:r w:rsidR="002A6A78">
        <w:t xml:space="preserve"> and the type of services provided) were the most important factors in explaining the variance in the young persons’ outcomes, accounting for between 40 and 65 per cent of variation, depending on outcome. Service factors were next most important (and marginally most important for the SOFAS), accounting for between 27 and 45 per cent of variation. Young person factors contributed least to variation in outcomes, particularly for the SOFAS and MLT outcomes.</w:t>
      </w:r>
    </w:p>
    <w:p w14:paraId="05A16F6E" w14:textId="42AFC6B9" w:rsidR="002A6A78" w:rsidRDefault="002A6A78" w:rsidP="002A6A78">
      <w:pPr>
        <w:pStyle w:val="BodyText"/>
      </w:pPr>
      <w:r>
        <w:t xml:space="preserve">Within these factor groupings, the number of </w:t>
      </w:r>
      <w:r w:rsidR="007B2863">
        <w:t>OOS</w:t>
      </w:r>
      <w:r>
        <w:t xml:space="preserve">, the individual service itself and the initial levels of mental distress (as measured by the K10) were the most important sub-factors explaining variation in outcomes. </w:t>
      </w:r>
    </w:p>
    <w:p w14:paraId="1D3C7540" w14:textId="6A2969C9" w:rsidR="002A6A78" w:rsidRDefault="002A6A78" w:rsidP="002A6A78">
      <w:pPr>
        <w:pStyle w:val="BodyText"/>
      </w:pPr>
      <w:r>
        <w:t xml:space="preserve">There is evidence that headspace is delivering meaningful improvements but these are </w:t>
      </w:r>
      <w:r w:rsidR="00352A92">
        <w:t>concentrated</w:t>
      </w:r>
      <w:r>
        <w:t xml:space="preserve"> episodes with </w:t>
      </w:r>
      <w:r w:rsidR="00726494">
        <w:t>at least six</w:t>
      </w:r>
      <w:r>
        <w:t xml:space="preserve"> </w:t>
      </w:r>
      <w:r w:rsidR="007B2863">
        <w:t>OOS</w:t>
      </w:r>
      <w:r w:rsidR="00304A51">
        <w:t xml:space="preserve"> based on the results presented in </w:t>
      </w:r>
      <w:r w:rsidR="00304A51">
        <w:fldChar w:fldCharType="begin" w:fldLock="1"/>
      </w:r>
      <w:r w:rsidR="00304A51">
        <w:instrText xml:space="preserve"> REF _Ref97750416 \h </w:instrText>
      </w:r>
      <w:r w:rsidR="00304A51">
        <w:fldChar w:fldCharType="separate"/>
      </w:r>
      <w:r w:rsidR="000C245D">
        <w:t xml:space="preserve">Figure </w:t>
      </w:r>
      <w:r w:rsidR="000C245D">
        <w:rPr>
          <w:noProof/>
        </w:rPr>
        <w:t>60</w:t>
      </w:r>
      <w:r w:rsidR="00304A51">
        <w:fldChar w:fldCharType="end"/>
      </w:r>
      <w:r w:rsidR="00304A51">
        <w:t xml:space="preserve">, </w:t>
      </w:r>
      <w:r w:rsidR="00304A51">
        <w:fldChar w:fldCharType="begin" w:fldLock="1"/>
      </w:r>
      <w:r w:rsidR="00304A51">
        <w:instrText xml:space="preserve"> REF _Ref97889600 \h </w:instrText>
      </w:r>
      <w:r w:rsidR="00304A51">
        <w:fldChar w:fldCharType="separate"/>
      </w:r>
      <w:r w:rsidR="000C245D">
        <w:t xml:space="preserve">Figure </w:t>
      </w:r>
      <w:r w:rsidR="000C245D">
        <w:rPr>
          <w:noProof/>
        </w:rPr>
        <w:t>61</w:t>
      </w:r>
      <w:r w:rsidR="00304A51">
        <w:fldChar w:fldCharType="end"/>
      </w:r>
      <w:r w:rsidR="004351AD">
        <w:t xml:space="preserve">, </w:t>
      </w:r>
      <w:r w:rsidR="00304A51">
        <w:fldChar w:fldCharType="begin" w:fldLock="1"/>
      </w:r>
      <w:r w:rsidR="00304A51">
        <w:instrText xml:space="preserve"> REF _Ref97889602 \h </w:instrText>
      </w:r>
      <w:r w:rsidR="00304A51">
        <w:fldChar w:fldCharType="separate"/>
      </w:r>
      <w:r w:rsidR="000C245D">
        <w:t xml:space="preserve">Figure </w:t>
      </w:r>
      <w:r w:rsidR="000C245D">
        <w:rPr>
          <w:noProof/>
        </w:rPr>
        <w:t>62</w:t>
      </w:r>
      <w:r w:rsidR="00304A51">
        <w:fldChar w:fldCharType="end"/>
      </w:r>
      <w:r w:rsidR="00304A51">
        <w:t xml:space="preserve"> </w:t>
      </w:r>
      <w:r w:rsidR="004351AD">
        <w:t xml:space="preserve">and </w:t>
      </w:r>
      <w:r w:rsidR="004351AD">
        <w:fldChar w:fldCharType="begin" w:fldLock="1"/>
      </w:r>
      <w:r w:rsidR="004351AD">
        <w:instrText xml:space="preserve"> REF _Ref97749618 \h </w:instrText>
      </w:r>
      <w:r w:rsidR="004351AD">
        <w:fldChar w:fldCharType="separate"/>
      </w:r>
      <w:r w:rsidR="00F33476">
        <w:t xml:space="preserve">Table </w:t>
      </w:r>
      <w:r w:rsidR="00F33476">
        <w:rPr>
          <w:noProof/>
        </w:rPr>
        <w:t>70</w:t>
      </w:r>
      <w:r w:rsidR="004351AD">
        <w:fldChar w:fldCharType="end"/>
      </w:r>
      <w:r>
        <w:t>.</w:t>
      </w:r>
      <w:r w:rsidR="00566C3E">
        <w:t xml:space="preserve"> </w:t>
      </w:r>
      <w:r w:rsidR="001F2200">
        <w:t xml:space="preserve">headspace stands to maximise mental health improvements for young people </w:t>
      </w:r>
      <w:r w:rsidR="008C4E74">
        <w:t xml:space="preserve">by ensuring they </w:t>
      </w:r>
      <w:r w:rsidR="004E545A">
        <w:t>do not drop out with only one occasion of service</w:t>
      </w:r>
      <w:r w:rsidR="00D84E10">
        <w:t xml:space="preserve"> and </w:t>
      </w:r>
      <w:r w:rsidR="00B777BC">
        <w:t xml:space="preserve">continue with at least six consecutive </w:t>
      </w:r>
      <w:r w:rsidR="007B2863">
        <w:t>OOS</w:t>
      </w:r>
      <w:r w:rsidR="00B777BC">
        <w:t>.</w:t>
      </w:r>
      <w:r w:rsidR="00566C3E">
        <w:t xml:space="preserve"> </w:t>
      </w:r>
    </w:p>
    <w:p w14:paraId="336AEB1F" w14:textId="4B09FDB9" w:rsidR="002A6A78" w:rsidRDefault="002A6A78" w:rsidP="002A6A78">
      <w:pPr>
        <w:pStyle w:val="Caption"/>
      </w:pPr>
      <w:bookmarkStart w:id="330" w:name="_Ref97749618"/>
      <w:bookmarkStart w:id="331" w:name="_Toc108109020"/>
      <w:r>
        <w:t xml:space="preserve">Table </w:t>
      </w:r>
      <w:r>
        <w:fldChar w:fldCharType="begin"/>
      </w:r>
      <w:r>
        <w:instrText>SEQ Table \* ARABIC</w:instrText>
      </w:r>
      <w:r>
        <w:fldChar w:fldCharType="separate"/>
      </w:r>
      <w:r w:rsidR="00CC0438">
        <w:rPr>
          <w:noProof/>
        </w:rPr>
        <w:t>70</w:t>
      </w:r>
      <w:r>
        <w:fldChar w:fldCharType="end"/>
      </w:r>
      <w:bookmarkEnd w:id="330"/>
      <w:r>
        <w:t>: Shaply decomposition by patient, service, regional components</w:t>
      </w:r>
      <w:bookmarkEnd w:id="331"/>
    </w:p>
    <w:tbl>
      <w:tblPr>
        <w:tblW w:w="5000" w:type="pct"/>
        <w:tblLook w:val="04A0" w:firstRow="1" w:lastRow="0" w:firstColumn="1" w:lastColumn="0" w:noHBand="0" w:noVBand="1"/>
        <w:tblCaption w:val="Shaply decomposition by patient, service, regional components"/>
        <w:tblDescription w:val="Table has 4 columns and summarises shaply decomposition results. Column 1 lists the specific components considered. Column 2 lists the shaply decomposition results for K10 outcomes. Column 3 lists the shaply decomposition results for SOFAS outcomes. Column 4 lists the shaply decomposition results for MLT outcomes."/>
      </w:tblPr>
      <w:tblGrid>
        <w:gridCol w:w="2930"/>
        <w:gridCol w:w="2046"/>
        <w:gridCol w:w="2046"/>
        <w:gridCol w:w="2048"/>
      </w:tblGrid>
      <w:tr w:rsidR="002A6A78" w14:paraId="16A2AA00" w14:textId="77777777" w:rsidTr="00F27C38">
        <w:tc>
          <w:tcPr>
            <w:tcW w:w="1615" w:type="pct"/>
            <w:tcBorders>
              <w:bottom w:val="single" w:sz="4" w:space="0" w:color="00338D"/>
            </w:tcBorders>
            <w:shd w:val="clear" w:color="auto" w:fill="00338D"/>
          </w:tcPr>
          <w:p w14:paraId="27CADA0E" w14:textId="77777777" w:rsidR="002A6A78" w:rsidRDefault="002A6A78" w:rsidP="00F27C38">
            <w:pPr>
              <w:pStyle w:val="Tableheading"/>
            </w:pPr>
            <w:r>
              <w:t>Component</w:t>
            </w:r>
          </w:p>
        </w:tc>
        <w:tc>
          <w:tcPr>
            <w:tcW w:w="1128" w:type="pct"/>
            <w:tcBorders>
              <w:bottom w:val="single" w:sz="4" w:space="0" w:color="00338D"/>
            </w:tcBorders>
            <w:shd w:val="clear" w:color="auto" w:fill="00338D"/>
            <w:vAlign w:val="center"/>
          </w:tcPr>
          <w:p w14:paraId="2C1C241A" w14:textId="77777777" w:rsidR="002A6A78" w:rsidRDefault="002A6A78" w:rsidP="00F27C38">
            <w:pPr>
              <w:pStyle w:val="Tableheading"/>
              <w:jc w:val="right"/>
            </w:pPr>
            <w:r>
              <w:t>K10</w:t>
            </w:r>
          </w:p>
        </w:tc>
        <w:tc>
          <w:tcPr>
            <w:tcW w:w="1128" w:type="pct"/>
            <w:tcBorders>
              <w:bottom w:val="single" w:sz="4" w:space="0" w:color="00338D"/>
            </w:tcBorders>
            <w:shd w:val="clear" w:color="auto" w:fill="00338D"/>
            <w:vAlign w:val="center"/>
          </w:tcPr>
          <w:p w14:paraId="4EA1CB31" w14:textId="77777777" w:rsidR="002A6A78" w:rsidRDefault="002A6A78" w:rsidP="00F27C38">
            <w:pPr>
              <w:pStyle w:val="Tableheading"/>
              <w:jc w:val="right"/>
            </w:pPr>
            <w:r>
              <w:t>SOFAS</w:t>
            </w:r>
          </w:p>
        </w:tc>
        <w:tc>
          <w:tcPr>
            <w:tcW w:w="1129" w:type="pct"/>
            <w:tcBorders>
              <w:bottom w:val="single" w:sz="4" w:space="0" w:color="00338D"/>
            </w:tcBorders>
            <w:shd w:val="clear" w:color="auto" w:fill="00338D"/>
            <w:vAlign w:val="center"/>
          </w:tcPr>
          <w:p w14:paraId="2FFCF729" w14:textId="77777777" w:rsidR="002A6A78" w:rsidRDefault="002A6A78" w:rsidP="00F27C38">
            <w:pPr>
              <w:pStyle w:val="Tableheading"/>
              <w:jc w:val="right"/>
            </w:pPr>
            <w:r>
              <w:t>MLT</w:t>
            </w:r>
          </w:p>
        </w:tc>
      </w:tr>
      <w:tr w:rsidR="002A6A78" w14:paraId="56937F97" w14:textId="77777777" w:rsidTr="00F27C38">
        <w:tc>
          <w:tcPr>
            <w:tcW w:w="1615" w:type="pct"/>
            <w:tcBorders>
              <w:top w:val="single" w:sz="4" w:space="0" w:color="00338D"/>
              <w:bottom w:val="single" w:sz="4" w:space="0" w:color="00338D"/>
            </w:tcBorders>
            <w:vAlign w:val="center"/>
          </w:tcPr>
          <w:p w14:paraId="79608E20" w14:textId="77777777" w:rsidR="002A6A78" w:rsidRPr="00F4214A" w:rsidRDefault="002A6A78" w:rsidP="00F27C38">
            <w:pPr>
              <w:pStyle w:val="Tabletext"/>
              <w:rPr>
                <w:b/>
                <w:bCs/>
              </w:rPr>
            </w:pPr>
            <w:r w:rsidRPr="00F4214A">
              <w:rPr>
                <w:b/>
                <w:bCs/>
              </w:rPr>
              <w:t>Young person factor</w:t>
            </w:r>
            <w:r>
              <w:rPr>
                <w:b/>
                <w:bCs/>
              </w:rPr>
              <w:t>s</w:t>
            </w:r>
          </w:p>
        </w:tc>
        <w:tc>
          <w:tcPr>
            <w:tcW w:w="1128" w:type="pct"/>
            <w:tcBorders>
              <w:top w:val="single" w:sz="4" w:space="0" w:color="00338D"/>
              <w:bottom w:val="single" w:sz="4" w:space="0" w:color="00338D"/>
            </w:tcBorders>
          </w:tcPr>
          <w:p w14:paraId="08395073" w14:textId="77777777" w:rsidR="002A6A78" w:rsidRPr="0075055C" w:rsidRDefault="002A6A78" w:rsidP="00F27C38">
            <w:pPr>
              <w:pStyle w:val="Tabletext"/>
              <w:jc w:val="right"/>
              <w:rPr>
                <w:b/>
              </w:rPr>
            </w:pPr>
            <w:r w:rsidRPr="0075055C">
              <w:rPr>
                <w:b/>
              </w:rPr>
              <w:t>29.4%</w:t>
            </w:r>
          </w:p>
        </w:tc>
        <w:tc>
          <w:tcPr>
            <w:tcW w:w="1128" w:type="pct"/>
            <w:tcBorders>
              <w:top w:val="single" w:sz="4" w:space="0" w:color="00338D"/>
              <w:bottom w:val="single" w:sz="4" w:space="0" w:color="00338D"/>
            </w:tcBorders>
          </w:tcPr>
          <w:p w14:paraId="19CFF1C5" w14:textId="77777777" w:rsidR="002A6A78" w:rsidRPr="0075055C" w:rsidRDefault="002A6A78" w:rsidP="00F27C38">
            <w:pPr>
              <w:pStyle w:val="Tabletext"/>
              <w:jc w:val="right"/>
              <w:rPr>
                <w:b/>
              </w:rPr>
            </w:pPr>
            <w:r w:rsidRPr="0075055C">
              <w:rPr>
                <w:b/>
              </w:rPr>
              <w:t>10.5%</w:t>
            </w:r>
          </w:p>
        </w:tc>
        <w:tc>
          <w:tcPr>
            <w:tcW w:w="1129" w:type="pct"/>
            <w:tcBorders>
              <w:top w:val="single" w:sz="4" w:space="0" w:color="00338D"/>
              <w:bottom w:val="single" w:sz="4" w:space="0" w:color="00338D"/>
            </w:tcBorders>
          </w:tcPr>
          <w:p w14:paraId="597AC990" w14:textId="77777777" w:rsidR="002A6A78" w:rsidRPr="0075055C" w:rsidRDefault="002A6A78" w:rsidP="00F27C38">
            <w:pPr>
              <w:pStyle w:val="Tabletext"/>
              <w:jc w:val="right"/>
              <w:rPr>
                <w:b/>
              </w:rPr>
            </w:pPr>
            <w:r w:rsidRPr="0075055C">
              <w:rPr>
                <w:b/>
              </w:rPr>
              <w:t>8.4%</w:t>
            </w:r>
          </w:p>
        </w:tc>
      </w:tr>
      <w:tr w:rsidR="002A6A78" w14:paraId="58860078" w14:textId="77777777" w:rsidTr="00F27C38">
        <w:tc>
          <w:tcPr>
            <w:tcW w:w="1615" w:type="pct"/>
            <w:tcBorders>
              <w:top w:val="single" w:sz="4" w:space="0" w:color="00338D"/>
              <w:bottom w:val="single" w:sz="4" w:space="0" w:color="00338D"/>
            </w:tcBorders>
            <w:vAlign w:val="center"/>
          </w:tcPr>
          <w:p w14:paraId="73929B5E" w14:textId="77777777" w:rsidR="002A6A78" w:rsidRPr="00B32EFC" w:rsidRDefault="002A6A78" w:rsidP="00B32EFC">
            <w:pPr>
              <w:pStyle w:val="Tabletext"/>
              <w:rPr>
                <w:i/>
                <w:iCs/>
              </w:rPr>
            </w:pPr>
            <w:r w:rsidRPr="00B32EFC">
              <w:rPr>
                <w:i/>
                <w:iCs/>
              </w:rPr>
              <w:t>Age</w:t>
            </w:r>
          </w:p>
        </w:tc>
        <w:tc>
          <w:tcPr>
            <w:tcW w:w="1128" w:type="pct"/>
            <w:tcBorders>
              <w:top w:val="single" w:sz="4" w:space="0" w:color="00338D"/>
              <w:bottom w:val="single" w:sz="4" w:space="0" w:color="00338D"/>
            </w:tcBorders>
          </w:tcPr>
          <w:p w14:paraId="5A5F6B58" w14:textId="77777777" w:rsidR="002A6A78" w:rsidRPr="00F4214A" w:rsidRDefault="002A6A78" w:rsidP="00F27C38">
            <w:pPr>
              <w:pStyle w:val="Tabletext"/>
              <w:jc w:val="right"/>
              <w:rPr>
                <w:i/>
                <w:iCs/>
              </w:rPr>
            </w:pPr>
            <w:r w:rsidRPr="0075055C">
              <w:rPr>
                <w:i/>
              </w:rPr>
              <w:t>1.9%</w:t>
            </w:r>
          </w:p>
        </w:tc>
        <w:tc>
          <w:tcPr>
            <w:tcW w:w="1128" w:type="pct"/>
            <w:tcBorders>
              <w:top w:val="single" w:sz="4" w:space="0" w:color="00338D"/>
              <w:bottom w:val="single" w:sz="4" w:space="0" w:color="00338D"/>
            </w:tcBorders>
          </w:tcPr>
          <w:p w14:paraId="19A5F519" w14:textId="77777777" w:rsidR="002A6A78" w:rsidRPr="00F4214A" w:rsidRDefault="002A6A78" w:rsidP="00F27C38">
            <w:pPr>
              <w:pStyle w:val="Tabletext"/>
              <w:jc w:val="right"/>
              <w:rPr>
                <w:i/>
                <w:iCs/>
              </w:rPr>
            </w:pPr>
            <w:r w:rsidRPr="0075055C">
              <w:rPr>
                <w:i/>
              </w:rPr>
              <w:t>1.1%</w:t>
            </w:r>
          </w:p>
        </w:tc>
        <w:tc>
          <w:tcPr>
            <w:tcW w:w="1129" w:type="pct"/>
            <w:tcBorders>
              <w:top w:val="single" w:sz="4" w:space="0" w:color="00338D"/>
              <w:bottom w:val="single" w:sz="4" w:space="0" w:color="00338D"/>
            </w:tcBorders>
          </w:tcPr>
          <w:p w14:paraId="0EB889AA" w14:textId="77777777" w:rsidR="002A6A78" w:rsidRPr="00F4214A" w:rsidRDefault="002A6A78" w:rsidP="00F27C38">
            <w:pPr>
              <w:pStyle w:val="Tabletext"/>
              <w:jc w:val="right"/>
              <w:rPr>
                <w:i/>
                <w:iCs/>
              </w:rPr>
            </w:pPr>
            <w:r w:rsidRPr="0075055C">
              <w:rPr>
                <w:i/>
              </w:rPr>
              <w:t>1.1%</w:t>
            </w:r>
          </w:p>
        </w:tc>
      </w:tr>
      <w:tr w:rsidR="002A6A78" w14:paraId="4BF4AE84" w14:textId="77777777" w:rsidTr="00F27C38">
        <w:tc>
          <w:tcPr>
            <w:tcW w:w="1615" w:type="pct"/>
            <w:tcBorders>
              <w:top w:val="single" w:sz="4" w:space="0" w:color="00338D"/>
              <w:bottom w:val="single" w:sz="4" w:space="0" w:color="00338D"/>
            </w:tcBorders>
            <w:vAlign w:val="center"/>
          </w:tcPr>
          <w:p w14:paraId="27CCE0E6" w14:textId="77777777" w:rsidR="002A6A78" w:rsidRPr="00B32EFC" w:rsidRDefault="002A6A78" w:rsidP="00B32EFC">
            <w:pPr>
              <w:pStyle w:val="Tabletext"/>
              <w:rPr>
                <w:i/>
                <w:iCs/>
              </w:rPr>
            </w:pPr>
            <w:r w:rsidRPr="00B32EFC">
              <w:rPr>
                <w:i/>
                <w:iCs/>
              </w:rPr>
              <w:t>Gender</w:t>
            </w:r>
          </w:p>
        </w:tc>
        <w:tc>
          <w:tcPr>
            <w:tcW w:w="1128" w:type="pct"/>
            <w:tcBorders>
              <w:top w:val="single" w:sz="4" w:space="0" w:color="00338D"/>
              <w:bottom w:val="single" w:sz="4" w:space="0" w:color="00338D"/>
            </w:tcBorders>
          </w:tcPr>
          <w:p w14:paraId="79DCA135" w14:textId="77777777" w:rsidR="002A6A78" w:rsidRPr="00F4214A" w:rsidRDefault="002A6A78" w:rsidP="00F27C38">
            <w:pPr>
              <w:pStyle w:val="Tabletext"/>
              <w:jc w:val="right"/>
              <w:rPr>
                <w:i/>
                <w:iCs/>
              </w:rPr>
            </w:pPr>
            <w:r w:rsidRPr="0075055C">
              <w:rPr>
                <w:i/>
              </w:rPr>
              <w:t>4.4%</w:t>
            </w:r>
          </w:p>
        </w:tc>
        <w:tc>
          <w:tcPr>
            <w:tcW w:w="1128" w:type="pct"/>
            <w:tcBorders>
              <w:top w:val="single" w:sz="4" w:space="0" w:color="00338D"/>
              <w:bottom w:val="single" w:sz="4" w:space="0" w:color="00338D"/>
            </w:tcBorders>
          </w:tcPr>
          <w:p w14:paraId="20215D4D" w14:textId="77777777" w:rsidR="002A6A78" w:rsidRPr="00F4214A" w:rsidRDefault="002A6A78" w:rsidP="00F27C38">
            <w:pPr>
              <w:pStyle w:val="Tabletext"/>
              <w:jc w:val="right"/>
              <w:rPr>
                <w:i/>
                <w:iCs/>
              </w:rPr>
            </w:pPr>
            <w:r w:rsidRPr="0075055C">
              <w:rPr>
                <w:i/>
              </w:rPr>
              <w:t>1.1%</w:t>
            </w:r>
          </w:p>
        </w:tc>
        <w:tc>
          <w:tcPr>
            <w:tcW w:w="1129" w:type="pct"/>
            <w:tcBorders>
              <w:top w:val="single" w:sz="4" w:space="0" w:color="00338D"/>
              <w:bottom w:val="single" w:sz="4" w:space="0" w:color="00338D"/>
            </w:tcBorders>
          </w:tcPr>
          <w:p w14:paraId="3B050DF1" w14:textId="77777777" w:rsidR="002A6A78" w:rsidRPr="00F4214A" w:rsidRDefault="002A6A78" w:rsidP="00F27C38">
            <w:pPr>
              <w:pStyle w:val="Tabletext"/>
              <w:jc w:val="right"/>
              <w:rPr>
                <w:i/>
                <w:iCs/>
              </w:rPr>
            </w:pPr>
            <w:r w:rsidRPr="0075055C">
              <w:rPr>
                <w:i/>
              </w:rPr>
              <w:t>2.0%</w:t>
            </w:r>
          </w:p>
        </w:tc>
      </w:tr>
      <w:tr w:rsidR="002A6A78" w14:paraId="166828ED" w14:textId="77777777" w:rsidTr="00F27C38">
        <w:tc>
          <w:tcPr>
            <w:tcW w:w="1615" w:type="pct"/>
            <w:tcBorders>
              <w:top w:val="single" w:sz="4" w:space="0" w:color="00338D"/>
              <w:bottom w:val="single" w:sz="4" w:space="0" w:color="00338D"/>
            </w:tcBorders>
            <w:vAlign w:val="center"/>
          </w:tcPr>
          <w:p w14:paraId="04D7E13D" w14:textId="7AC6FEC4" w:rsidR="002A6A78" w:rsidRPr="00B32EFC" w:rsidRDefault="002A6A78" w:rsidP="00B32EFC">
            <w:pPr>
              <w:pStyle w:val="Tabletext"/>
              <w:rPr>
                <w:i/>
                <w:iCs/>
              </w:rPr>
            </w:pPr>
            <w:r w:rsidRPr="00B32EFC">
              <w:rPr>
                <w:i/>
                <w:iCs/>
              </w:rPr>
              <w:t xml:space="preserve">Aboriginal and Torres Strait Islander </w:t>
            </w:r>
            <w:r w:rsidR="007236AF" w:rsidRPr="00B32EFC">
              <w:rPr>
                <w:i/>
                <w:iCs/>
              </w:rPr>
              <w:t>young person</w:t>
            </w:r>
          </w:p>
        </w:tc>
        <w:tc>
          <w:tcPr>
            <w:tcW w:w="1128" w:type="pct"/>
            <w:tcBorders>
              <w:top w:val="single" w:sz="4" w:space="0" w:color="00338D"/>
              <w:bottom w:val="single" w:sz="4" w:space="0" w:color="00338D"/>
            </w:tcBorders>
          </w:tcPr>
          <w:p w14:paraId="68E8881F" w14:textId="77777777" w:rsidR="002A6A78" w:rsidRPr="00F4214A" w:rsidRDefault="002A6A78" w:rsidP="00F27C38">
            <w:pPr>
              <w:pStyle w:val="Tabletext"/>
              <w:jc w:val="right"/>
              <w:rPr>
                <w:i/>
                <w:iCs/>
              </w:rPr>
            </w:pPr>
            <w:r w:rsidRPr="0075055C">
              <w:rPr>
                <w:i/>
              </w:rPr>
              <w:t>0.3%</w:t>
            </w:r>
          </w:p>
        </w:tc>
        <w:tc>
          <w:tcPr>
            <w:tcW w:w="1128" w:type="pct"/>
            <w:tcBorders>
              <w:top w:val="single" w:sz="4" w:space="0" w:color="00338D"/>
              <w:bottom w:val="single" w:sz="4" w:space="0" w:color="00338D"/>
            </w:tcBorders>
          </w:tcPr>
          <w:p w14:paraId="3BBAF87C" w14:textId="77777777" w:rsidR="002A6A78" w:rsidRPr="00F4214A" w:rsidRDefault="002A6A78" w:rsidP="00F27C38">
            <w:pPr>
              <w:pStyle w:val="Tabletext"/>
              <w:jc w:val="right"/>
              <w:rPr>
                <w:i/>
                <w:iCs/>
              </w:rPr>
            </w:pPr>
            <w:r w:rsidRPr="0075055C">
              <w:rPr>
                <w:i/>
              </w:rPr>
              <w:t>1.1%</w:t>
            </w:r>
          </w:p>
        </w:tc>
        <w:tc>
          <w:tcPr>
            <w:tcW w:w="1129" w:type="pct"/>
            <w:tcBorders>
              <w:top w:val="single" w:sz="4" w:space="0" w:color="00338D"/>
              <w:bottom w:val="single" w:sz="4" w:space="0" w:color="00338D"/>
            </w:tcBorders>
          </w:tcPr>
          <w:p w14:paraId="0EDB841E" w14:textId="77777777" w:rsidR="002A6A78" w:rsidRPr="00F4214A" w:rsidRDefault="002A6A78" w:rsidP="00F27C38">
            <w:pPr>
              <w:pStyle w:val="Tabletext"/>
              <w:jc w:val="right"/>
              <w:rPr>
                <w:i/>
                <w:iCs/>
              </w:rPr>
            </w:pPr>
            <w:r w:rsidRPr="0075055C">
              <w:rPr>
                <w:i/>
              </w:rPr>
              <w:t>0.5%</w:t>
            </w:r>
          </w:p>
        </w:tc>
      </w:tr>
      <w:tr w:rsidR="002A6A78" w14:paraId="2AD09E71" w14:textId="77777777" w:rsidTr="00F27C38">
        <w:tc>
          <w:tcPr>
            <w:tcW w:w="1615" w:type="pct"/>
            <w:tcBorders>
              <w:top w:val="single" w:sz="4" w:space="0" w:color="00338D"/>
              <w:bottom w:val="single" w:sz="4" w:space="0" w:color="00338D"/>
            </w:tcBorders>
            <w:vAlign w:val="center"/>
          </w:tcPr>
          <w:p w14:paraId="34F6BE27" w14:textId="646DAF07" w:rsidR="002A6A78" w:rsidRPr="00B32EFC" w:rsidRDefault="002A6A78" w:rsidP="00B32EFC">
            <w:pPr>
              <w:pStyle w:val="Tabletext"/>
              <w:rPr>
                <w:i/>
                <w:iCs/>
              </w:rPr>
            </w:pPr>
            <w:r w:rsidRPr="00B32EFC">
              <w:rPr>
                <w:i/>
                <w:iCs/>
              </w:rPr>
              <w:t>LGBTQIA+</w:t>
            </w:r>
            <w:r w:rsidR="00B132BB" w:rsidRPr="00B32EFC">
              <w:rPr>
                <w:i/>
                <w:iCs/>
              </w:rPr>
              <w:t xml:space="preserve"> young person</w:t>
            </w:r>
          </w:p>
        </w:tc>
        <w:tc>
          <w:tcPr>
            <w:tcW w:w="1128" w:type="pct"/>
            <w:tcBorders>
              <w:top w:val="single" w:sz="4" w:space="0" w:color="00338D"/>
              <w:bottom w:val="single" w:sz="4" w:space="0" w:color="00338D"/>
            </w:tcBorders>
          </w:tcPr>
          <w:p w14:paraId="78E99E87" w14:textId="77777777" w:rsidR="002A6A78" w:rsidRPr="00F4214A" w:rsidRDefault="002A6A78" w:rsidP="00F27C38">
            <w:pPr>
              <w:pStyle w:val="Tabletext"/>
              <w:jc w:val="right"/>
              <w:rPr>
                <w:i/>
                <w:iCs/>
              </w:rPr>
            </w:pPr>
            <w:r w:rsidRPr="0075055C">
              <w:rPr>
                <w:i/>
              </w:rPr>
              <w:t>4.3%</w:t>
            </w:r>
          </w:p>
        </w:tc>
        <w:tc>
          <w:tcPr>
            <w:tcW w:w="1128" w:type="pct"/>
            <w:tcBorders>
              <w:top w:val="single" w:sz="4" w:space="0" w:color="00338D"/>
              <w:bottom w:val="single" w:sz="4" w:space="0" w:color="00338D"/>
            </w:tcBorders>
          </w:tcPr>
          <w:p w14:paraId="3573A25F" w14:textId="77777777" w:rsidR="002A6A78" w:rsidRPr="00F4214A" w:rsidRDefault="002A6A78" w:rsidP="00F27C38">
            <w:pPr>
              <w:pStyle w:val="Tabletext"/>
              <w:jc w:val="right"/>
              <w:rPr>
                <w:i/>
                <w:iCs/>
              </w:rPr>
            </w:pPr>
            <w:r w:rsidRPr="0075055C">
              <w:rPr>
                <w:i/>
              </w:rPr>
              <w:t>1.3%</w:t>
            </w:r>
          </w:p>
        </w:tc>
        <w:tc>
          <w:tcPr>
            <w:tcW w:w="1129" w:type="pct"/>
            <w:tcBorders>
              <w:top w:val="single" w:sz="4" w:space="0" w:color="00338D"/>
              <w:bottom w:val="single" w:sz="4" w:space="0" w:color="00338D"/>
            </w:tcBorders>
          </w:tcPr>
          <w:p w14:paraId="3028DDC5" w14:textId="77777777" w:rsidR="002A6A78" w:rsidRPr="00F4214A" w:rsidRDefault="002A6A78" w:rsidP="00F27C38">
            <w:pPr>
              <w:pStyle w:val="Tabletext"/>
              <w:jc w:val="right"/>
              <w:rPr>
                <w:i/>
                <w:iCs/>
              </w:rPr>
            </w:pPr>
            <w:r w:rsidRPr="0075055C">
              <w:rPr>
                <w:i/>
              </w:rPr>
              <w:t>2.3%</w:t>
            </w:r>
          </w:p>
        </w:tc>
      </w:tr>
      <w:tr w:rsidR="002A6A78" w14:paraId="7DC37ABA" w14:textId="77777777" w:rsidTr="00F27C38">
        <w:tc>
          <w:tcPr>
            <w:tcW w:w="1615" w:type="pct"/>
            <w:tcBorders>
              <w:top w:val="single" w:sz="4" w:space="0" w:color="00338D"/>
              <w:bottom w:val="single" w:sz="4" w:space="0" w:color="00338D"/>
            </w:tcBorders>
            <w:vAlign w:val="center"/>
          </w:tcPr>
          <w:p w14:paraId="205B20A8" w14:textId="412961D5" w:rsidR="002A6A78" w:rsidRPr="00B32EFC" w:rsidRDefault="002A6A78" w:rsidP="00B32EFC">
            <w:pPr>
              <w:pStyle w:val="Tabletext"/>
              <w:rPr>
                <w:i/>
                <w:iCs/>
              </w:rPr>
            </w:pPr>
            <w:r w:rsidRPr="00B32EFC">
              <w:rPr>
                <w:i/>
                <w:iCs/>
              </w:rPr>
              <w:t>culturally and linguistically diverse</w:t>
            </w:r>
            <w:r w:rsidR="007236AF" w:rsidRPr="00B32EFC">
              <w:rPr>
                <w:i/>
                <w:iCs/>
              </w:rPr>
              <w:t xml:space="preserve"> young person</w:t>
            </w:r>
          </w:p>
        </w:tc>
        <w:tc>
          <w:tcPr>
            <w:tcW w:w="1128" w:type="pct"/>
            <w:tcBorders>
              <w:top w:val="single" w:sz="4" w:space="0" w:color="00338D"/>
              <w:bottom w:val="single" w:sz="4" w:space="0" w:color="00338D"/>
            </w:tcBorders>
          </w:tcPr>
          <w:p w14:paraId="63008B12" w14:textId="77777777" w:rsidR="002A6A78" w:rsidRPr="00F4214A" w:rsidRDefault="002A6A78" w:rsidP="00F27C38">
            <w:pPr>
              <w:pStyle w:val="Tabletext"/>
              <w:jc w:val="right"/>
              <w:rPr>
                <w:i/>
                <w:iCs/>
              </w:rPr>
            </w:pPr>
            <w:r w:rsidRPr="0075055C">
              <w:rPr>
                <w:i/>
              </w:rPr>
              <w:t>0.1%</w:t>
            </w:r>
          </w:p>
        </w:tc>
        <w:tc>
          <w:tcPr>
            <w:tcW w:w="1128" w:type="pct"/>
            <w:tcBorders>
              <w:top w:val="single" w:sz="4" w:space="0" w:color="00338D"/>
              <w:bottom w:val="single" w:sz="4" w:space="0" w:color="00338D"/>
            </w:tcBorders>
          </w:tcPr>
          <w:p w14:paraId="26E41AAA" w14:textId="77777777" w:rsidR="002A6A78" w:rsidRPr="00F4214A" w:rsidRDefault="002A6A78" w:rsidP="00F27C38">
            <w:pPr>
              <w:pStyle w:val="Tabletext"/>
              <w:jc w:val="right"/>
              <w:rPr>
                <w:i/>
                <w:iCs/>
              </w:rPr>
            </w:pPr>
            <w:r w:rsidRPr="0075055C">
              <w:rPr>
                <w:i/>
              </w:rPr>
              <w:t>0.1%</w:t>
            </w:r>
          </w:p>
        </w:tc>
        <w:tc>
          <w:tcPr>
            <w:tcW w:w="1129" w:type="pct"/>
            <w:tcBorders>
              <w:top w:val="single" w:sz="4" w:space="0" w:color="00338D"/>
              <w:bottom w:val="single" w:sz="4" w:space="0" w:color="00338D"/>
            </w:tcBorders>
          </w:tcPr>
          <w:p w14:paraId="17DFBF88" w14:textId="77777777" w:rsidR="002A6A78" w:rsidRPr="00F4214A" w:rsidRDefault="002A6A78" w:rsidP="00F27C38">
            <w:pPr>
              <w:pStyle w:val="Tabletext"/>
              <w:jc w:val="right"/>
              <w:rPr>
                <w:i/>
                <w:iCs/>
              </w:rPr>
            </w:pPr>
            <w:r w:rsidRPr="0075055C">
              <w:rPr>
                <w:i/>
              </w:rPr>
              <w:t>0.1%</w:t>
            </w:r>
          </w:p>
        </w:tc>
      </w:tr>
      <w:tr w:rsidR="002A6A78" w14:paraId="7425D7AC" w14:textId="77777777" w:rsidTr="00F27C38">
        <w:tc>
          <w:tcPr>
            <w:tcW w:w="1615" w:type="pct"/>
            <w:tcBorders>
              <w:top w:val="single" w:sz="4" w:space="0" w:color="00338D"/>
              <w:bottom w:val="single" w:sz="4" w:space="0" w:color="00338D"/>
            </w:tcBorders>
            <w:vAlign w:val="center"/>
          </w:tcPr>
          <w:p w14:paraId="4F4825DC" w14:textId="77777777" w:rsidR="002A6A78" w:rsidRPr="00B32EFC" w:rsidRDefault="002A6A78" w:rsidP="00B32EFC">
            <w:pPr>
              <w:pStyle w:val="Tabletext"/>
              <w:rPr>
                <w:i/>
                <w:iCs/>
              </w:rPr>
            </w:pPr>
            <w:r w:rsidRPr="00B32EFC">
              <w:rPr>
                <w:i/>
                <w:iCs/>
              </w:rPr>
              <w:t>Initial level of mental distress</w:t>
            </w:r>
          </w:p>
        </w:tc>
        <w:tc>
          <w:tcPr>
            <w:tcW w:w="1128" w:type="pct"/>
            <w:tcBorders>
              <w:top w:val="single" w:sz="4" w:space="0" w:color="00338D"/>
              <w:bottom w:val="single" w:sz="4" w:space="0" w:color="00338D"/>
            </w:tcBorders>
          </w:tcPr>
          <w:p w14:paraId="1DE13F2B" w14:textId="77777777" w:rsidR="002A6A78" w:rsidRPr="00F4214A" w:rsidRDefault="002A6A78" w:rsidP="00F27C38">
            <w:pPr>
              <w:pStyle w:val="Tabletext"/>
              <w:jc w:val="right"/>
              <w:rPr>
                <w:i/>
                <w:iCs/>
              </w:rPr>
            </w:pPr>
            <w:r w:rsidRPr="0075055C">
              <w:rPr>
                <w:i/>
              </w:rPr>
              <w:t>18.4%</w:t>
            </w:r>
          </w:p>
        </w:tc>
        <w:tc>
          <w:tcPr>
            <w:tcW w:w="1128" w:type="pct"/>
            <w:tcBorders>
              <w:top w:val="single" w:sz="4" w:space="0" w:color="00338D"/>
              <w:bottom w:val="single" w:sz="4" w:space="0" w:color="00338D"/>
            </w:tcBorders>
          </w:tcPr>
          <w:p w14:paraId="65410AB8" w14:textId="77777777" w:rsidR="002A6A78" w:rsidRPr="00F4214A" w:rsidRDefault="002A6A78" w:rsidP="00F27C38">
            <w:pPr>
              <w:pStyle w:val="Tabletext"/>
              <w:jc w:val="right"/>
              <w:rPr>
                <w:i/>
                <w:iCs/>
              </w:rPr>
            </w:pPr>
            <w:r w:rsidRPr="0075055C">
              <w:rPr>
                <w:i/>
              </w:rPr>
              <w:t>5.8%</w:t>
            </w:r>
          </w:p>
        </w:tc>
        <w:tc>
          <w:tcPr>
            <w:tcW w:w="1129" w:type="pct"/>
            <w:tcBorders>
              <w:top w:val="single" w:sz="4" w:space="0" w:color="00338D"/>
              <w:bottom w:val="single" w:sz="4" w:space="0" w:color="00338D"/>
            </w:tcBorders>
          </w:tcPr>
          <w:p w14:paraId="0B45143B" w14:textId="77777777" w:rsidR="002A6A78" w:rsidRPr="00F4214A" w:rsidRDefault="002A6A78" w:rsidP="00F27C38">
            <w:pPr>
              <w:pStyle w:val="Tabletext"/>
              <w:jc w:val="right"/>
              <w:rPr>
                <w:i/>
                <w:iCs/>
              </w:rPr>
            </w:pPr>
            <w:r w:rsidRPr="0075055C">
              <w:rPr>
                <w:i/>
              </w:rPr>
              <w:t>2.6%</w:t>
            </w:r>
          </w:p>
        </w:tc>
      </w:tr>
      <w:tr w:rsidR="002A6A78" w14:paraId="7BFCECDB" w14:textId="77777777" w:rsidTr="00F27C38">
        <w:tc>
          <w:tcPr>
            <w:tcW w:w="1615" w:type="pct"/>
            <w:tcBorders>
              <w:top w:val="single" w:sz="4" w:space="0" w:color="00338D"/>
              <w:bottom w:val="single" w:sz="4" w:space="0" w:color="00338D"/>
            </w:tcBorders>
            <w:vAlign w:val="center"/>
          </w:tcPr>
          <w:p w14:paraId="6ACFE32F" w14:textId="77777777" w:rsidR="002A6A78" w:rsidRPr="00F02D55" w:rsidRDefault="002A6A78" w:rsidP="00F27C38">
            <w:pPr>
              <w:pStyle w:val="Tabletext"/>
              <w:rPr>
                <w:rFonts w:eastAsia="Calibri" w:cs="Arial"/>
                <w:b/>
                <w:bCs/>
                <w:color w:val="000000" w:themeColor="text1"/>
                <w:kern w:val="24"/>
                <w:szCs w:val="20"/>
              </w:rPr>
            </w:pPr>
            <w:r w:rsidRPr="00F02D55">
              <w:rPr>
                <w:rFonts w:eastAsia="Calibri" w:cs="Arial"/>
                <w:b/>
                <w:bCs/>
                <w:color w:val="000000" w:themeColor="text1"/>
                <w:kern w:val="24"/>
                <w:szCs w:val="20"/>
              </w:rPr>
              <w:t>Occasions of service factors</w:t>
            </w:r>
          </w:p>
        </w:tc>
        <w:tc>
          <w:tcPr>
            <w:tcW w:w="1128" w:type="pct"/>
            <w:tcBorders>
              <w:top w:val="single" w:sz="4" w:space="0" w:color="00338D"/>
              <w:bottom w:val="single" w:sz="4" w:space="0" w:color="00338D"/>
            </w:tcBorders>
          </w:tcPr>
          <w:p w14:paraId="444B6C19" w14:textId="77777777" w:rsidR="002A6A78" w:rsidRPr="0075055C" w:rsidRDefault="002A6A78" w:rsidP="00F27C38">
            <w:pPr>
              <w:pStyle w:val="Tabletext"/>
              <w:jc w:val="right"/>
              <w:rPr>
                <w:b/>
              </w:rPr>
            </w:pPr>
            <w:r w:rsidRPr="0075055C">
              <w:rPr>
                <w:b/>
              </w:rPr>
              <w:t>40.3%</w:t>
            </w:r>
          </w:p>
        </w:tc>
        <w:tc>
          <w:tcPr>
            <w:tcW w:w="1128" w:type="pct"/>
            <w:tcBorders>
              <w:top w:val="single" w:sz="4" w:space="0" w:color="00338D"/>
              <w:bottom w:val="single" w:sz="4" w:space="0" w:color="00338D"/>
            </w:tcBorders>
          </w:tcPr>
          <w:p w14:paraId="1C7ED5D3" w14:textId="77777777" w:rsidR="002A6A78" w:rsidRPr="0075055C" w:rsidRDefault="002A6A78" w:rsidP="00F27C38">
            <w:pPr>
              <w:pStyle w:val="Tabletext"/>
              <w:jc w:val="right"/>
              <w:rPr>
                <w:b/>
              </w:rPr>
            </w:pPr>
            <w:r w:rsidRPr="0075055C">
              <w:rPr>
                <w:b/>
              </w:rPr>
              <w:t>44.2%</w:t>
            </w:r>
          </w:p>
        </w:tc>
        <w:tc>
          <w:tcPr>
            <w:tcW w:w="1129" w:type="pct"/>
            <w:tcBorders>
              <w:top w:val="single" w:sz="4" w:space="0" w:color="00338D"/>
              <w:bottom w:val="single" w:sz="4" w:space="0" w:color="00338D"/>
            </w:tcBorders>
          </w:tcPr>
          <w:p w14:paraId="48DDB1DB" w14:textId="46B9014D" w:rsidR="002A6A78" w:rsidRPr="0075055C" w:rsidRDefault="002A6A78" w:rsidP="00F27C38">
            <w:pPr>
              <w:pStyle w:val="Tabletext"/>
              <w:jc w:val="right"/>
              <w:rPr>
                <w:b/>
              </w:rPr>
            </w:pPr>
            <w:r w:rsidRPr="0075055C">
              <w:rPr>
                <w:b/>
              </w:rPr>
              <w:t>64.5%</w:t>
            </w:r>
          </w:p>
        </w:tc>
      </w:tr>
      <w:tr w:rsidR="002A6A78" w14:paraId="1ACE53A9" w14:textId="77777777" w:rsidTr="00F27C38">
        <w:tc>
          <w:tcPr>
            <w:tcW w:w="1615" w:type="pct"/>
            <w:tcBorders>
              <w:top w:val="single" w:sz="4" w:space="0" w:color="00338D"/>
              <w:bottom w:val="single" w:sz="4" w:space="0" w:color="00338D"/>
            </w:tcBorders>
            <w:vAlign w:val="center"/>
          </w:tcPr>
          <w:p w14:paraId="311786A5" w14:textId="77777777" w:rsidR="002A6A78" w:rsidRPr="00B32EFC" w:rsidRDefault="002A6A78" w:rsidP="00B32EFC">
            <w:pPr>
              <w:pStyle w:val="Tabletext"/>
              <w:rPr>
                <w:i/>
                <w:iCs/>
              </w:rPr>
            </w:pPr>
            <w:r w:rsidRPr="00B32EFC">
              <w:rPr>
                <w:i/>
                <w:iCs/>
              </w:rPr>
              <w:t>No. of occasions of service</w:t>
            </w:r>
          </w:p>
        </w:tc>
        <w:tc>
          <w:tcPr>
            <w:tcW w:w="1128" w:type="pct"/>
            <w:tcBorders>
              <w:top w:val="single" w:sz="4" w:space="0" w:color="00338D"/>
              <w:bottom w:val="single" w:sz="4" w:space="0" w:color="00338D"/>
            </w:tcBorders>
          </w:tcPr>
          <w:p w14:paraId="6E952FCC" w14:textId="77777777" w:rsidR="002A6A78" w:rsidRPr="00F02D55" w:rsidRDefault="002A6A78" w:rsidP="00F27C38">
            <w:pPr>
              <w:pStyle w:val="Tabletext"/>
              <w:jc w:val="right"/>
              <w:rPr>
                <w:i/>
                <w:iCs/>
              </w:rPr>
            </w:pPr>
            <w:r w:rsidRPr="0075055C">
              <w:rPr>
                <w:i/>
              </w:rPr>
              <w:t>34.6%</w:t>
            </w:r>
          </w:p>
        </w:tc>
        <w:tc>
          <w:tcPr>
            <w:tcW w:w="1128" w:type="pct"/>
            <w:tcBorders>
              <w:top w:val="single" w:sz="4" w:space="0" w:color="00338D"/>
              <w:bottom w:val="single" w:sz="4" w:space="0" w:color="00338D"/>
            </w:tcBorders>
          </w:tcPr>
          <w:p w14:paraId="6C57865D" w14:textId="77777777" w:rsidR="002A6A78" w:rsidRPr="00F02D55" w:rsidRDefault="002A6A78" w:rsidP="00F27C38">
            <w:pPr>
              <w:pStyle w:val="Tabletext"/>
              <w:jc w:val="right"/>
              <w:rPr>
                <w:i/>
                <w:iCs/>
              </w:rPr>
            </w:pPr>
            <w:r w:rsidRPr="0075055C">
              <w:rPr>
                <w:i/>
              </w:rPr>
              <w:t>31.9%</w:t>
            </w:r>
          </w:p>
        </w:tc>
        <w:tc>
          <w:tcPr>
            <w:tcW w:w="1129" w:type="pct"/>
            <w:tcBorders>
              <w:top w:val="single" w:sz="4" w:space="0" w:color="00338D"/>
              <w:bottom w:val="single" w:sz="4" w:space="0" w:color="00338D"/>
            </w:tcBorders>
          </w:tcPr>
          <w:p w14:paraId="74CA954B" w14:textId="77777777" w:rsidR="002A6A78" w:rsidRPr="00F02D55" w:rsidRDefault="002A6A78" w:rsidP="00F27C38">
            <w:pPr>
              <w:pStyle w:val="Tabletext"/>
              <w:jc w:val="right"/>
              <w:rPr>
                <w:i/>
                <w:iCs/>
              </w:rPr>
            </w:pPr>
            <w:r w:rsidRPr="0075055C">
              <w:rPr>
                <w:i/>
              </w:rPr>
              <w:t>57.9%</w:t>
            </w:r>
          </w:p>
        </w:tc>
      </w:tr>
      <w:tr w:rsidR="002A6A78" w14:paraId="4A9AC1F6" w14:textId="77777777" w:rsidTr="00F27C38">
        <w:tc>
          <w:tcPr>
            <w:tcW w:w="1615" w:type="pct"/>
            <w:tcBorders>
              <w:top w:val="single" w:sz="4" w:space="0" w:color="00338D"/>
              <w:bottom w:val="single" w:sz="4" w:space="0" w:color="00338D"/>
            </w:tcBorders>
            <w:vAlign w:val="center"/>
          </w:tcPr>
          <w:p w14:paraId="786C4625" w14:textId="77777777" w:rsidR="002A6A78" w:rsidRPr="00B32EFC" w:rsidRDefault="002A6A78" w:rsidP="00B32EFC">
            <w:pPr>
              <w:pStyle w:val="Tabletext"/>
              <w:rPr>
                <w:i/>
                <w:iCs/>
              </w:rPr>
            </w:pPr>
            <w:r w:rsidRPr="00B32EFC">
              <w:rPr>
                <w:i/>
                <w:iCs/>
              </w:rPr>
              <w:t>Type of services received</w:t>
            </w:r>
          </w:p>
        </w:tc>
        <w:tc>
          <w:tcPr>
            <w:tcW w:w="1128" w:type="pct"/>
            <w:tcBorders>
              <w:top w:val="single" w:sz="4" w:space="0" w:color="00338D"/>
              <w:bottom w:val="single" w:sz="4" w:space="0" w:color="00338D"/>
            </w:tcBorders>
          </w:tcPr>
          <w:p w14:paraId="6CCBEBC8" w14:textId="77777777" w:rsidR="002A6A78" w:rsidRPr="00F02D55" w:rsidRDefault="002A6A78" w:rsidP="00F27C38">
            <w:pPr>
              <w:pStyle w:val="Tabletext"/>
              <w:jc w:val="right"/>
              <w:rPr>
                <w:i/>
                <w:iCs/>
              </w:rPr>
            </w:pPr>
            <w:r w:rsidRPr="0075055C">
              <w:rPr>
                <w:i/>
              </w:rPr>
              <w:t>5.7%</w:t>
            </w:r>
          </w:p>
        </w:tc>
        <w:tc>
          <w:tcPr>
            <w:tcW w:w="1128" w:type="pct"/>
            <w:tcBorders>
              <w:top w:val="single" w:sz="4" w:space="0" w:color="00338D"/>
              <w:bottom w:val="single" w:sz="4" w:space="0" w:color="00338D"/>
            </w:tcBorders>
          </w:tcPr>
          <w:p w14:paraId="662138B0" w14:textId="77777777" w:rsidR="002A6A78" w:rsidRPr="00F02D55" w:rsidRDefault="002A6A78" w:rsidP="00F27C38">
            <w:pPr>
              <w:pStyle w:val="Tabletext"/>
              <w:jc w:val="right"/>
              <w:rPr>
                <w:i/>
                <w:iCs/>
              </w:rPr>
            </w:pPr>
            <w:r w:rsidRPr="0075055C">
              <w:rPr>
                <w:i/>
              </w:rPr>
              <w:t>12.3%</w:t>
            </w:r>
          </w:p>
        </w:tc>
        <w:tc>
          <w:tcPr>
            <w:tcW w:w="1129" w:type="pct"/>
            <w:tcBorders>
              <w:top w:val="single" w:sz="4" w:space="0" w:color="00338D"/>
              <w:bottom w:val="single" w:sz="4" w:space="0" w:color="00338D"/>
            </w:tcBorders>
          </w:tcPr>
          <w:p w14:paraId="23889A78" w14:textId="77777777" w:rsidR="002A6A78" w:rsidRPr="00F02D55" w:rsidRDefault="002A6A78" w:rsidP="00F27C38">
            <w:pPr>
              <w:pStyle w:val="Tabletext"/>
              <w:jc w:val="right"/>
              <w:rPr>
                <w:i/>
                <w:iCs/>
              </w:rPr>
            </w:pPr>
            <w:r w:rsidRPr="0075055C">
              <w:rPr>
                <w:i/>
              </w:rPr>
              <w:t>6.6%</w:t>
            </w:r>
          </w:p>
        </w:tc>
      </w:tr>
      <w:tr w:rsidR="002A6A78" w14:paraId="30650699" w14:textId="77777777" w:rsidTr="00F27C38">
        <w:tc>
          <w:tcPr>
            <w:tcW w:w="1615" w:type="pct"/>
            <w:tcBorders>
              <w:top w:val="single" w:sz="4" w:space="0" w:color="00338D"/>
              <w:bottom w:val="single" w:sz="4" w:space="0" w:color="00338D"/>
            </w:tcBorders>
            <w:vAlign w:val="center"/>
          </w:tcPr>
          <w:p w14:paraId="2E0FE870" w14:textId="77777777" w:rsidR="002A6A78" w:rsidRPr="000452B3" w:rsidRDefault="002A6A78" w:rsidP="00F27C38">
            <w:pPr>
              <w:pStyle w:val="Tabletext"/>
              <w:rPr>
                <w:rFonts w:eastAsia="Calibri" w:cs="Arial"/>
                <w:b/>
                <w:bCs/>
                <w:color w:val="000000" w:themeColor="text1"/>
                <w:kern w:val="24"/>
                <w:szCs w:val="20"/>
              </w:rPr>
            </w:pPr>
            <w:r w:rsidRPr="000452B3">
              <w:rPr>
                <w:rFonts w:eastAsia="Calibri" w:cs="Arial"/>
                <w:b/>
                <w:bCs/>
                <w:color w:val="000000" w:themeColor="text1"/>
                <w:kern w:val="24"/>
                <w:szCs w:val="20"/>
              </w:rPr>
              <w:t>Service-level factors</w:t>
            </w:r>
          </w:p>
        </w:tc>
        <w:tc>
          <w:tcPr>
            <w:tcW w:w="1128" w:type="pct"/>
            <w:tcBorders>
              <w:top w:val="single" w:sz="4" w:space="0" w:color="00338D"/>
              <w:bottom w:val="single" w:sz="4" w:space="0" w:color="00338D"/>
            </w:tcBorders>
          </w:tcPr>
          <w:p w14:paraId="3354E402" w14:textId="77777777" w:rsidR="002A6A78" w:rsidRPr="000452B3" w:rsidRDefault="002A6A78" w:rsidP="00F27C38">
            <w:pPr>
              <w:pStyle w:val="Tabletext"/>
              <w:jc w:val="right"/>
              <w:rPr>
                <w:b/>
                <w:bCs/>
              </w:rPr>
            </w:pPr>
            <w:r w:rsidRPr="0075055C">
              <w:rPr>
                <w:b/>
              </w:rPr>
              <w:t>30.3%</w:t>
            </w:r>
          </w:p>
        </w:tc>
        <w:tc>
          <w:tcPr>
            <w:tcW w:w="1128" w:type="pct"/>
            <w:tcBorders>
              <w:top w:val="single" w:sz="4" w:space="0" w:color="00338D"/>
              <w:bottom w:val="single" w:sz="4" w:space="0" w:color="00338D"/>
            </w:tcBorders>
          </w:tcPr>
          <w:p w14:paraId="5ABBF9F7" w14:textId="77777777" w:rsidR="002A6A78" w:rsidRPr="000452B3" w:rsidRDefault="002A6A78" w:rsidP="00F27C38">
            <w:pPr>
              <w:pStyle w:val="Tabletext"/>
              <w:jc w:val="right"/>
              <w:rPr>
                <w:b/>
                <w:bCs/>
              </w:rPr>
            </w:pPr>
            <w:r w:rsidRPr="0075055C">
              <w:rPr>
                <w:b/>
              </w:rPr>
              <w:t>45.3%</w:t>
            </w:r>
          </w:p>
        </w:tc>
        <w:tc>
          <w:tcPr>
            <w:tcW w:w="1129" w:type="pct"/>
            <w:tcBorders>
              <w:top w:val="single" w:sz="4" w:space="0" w:color="00338D"/>
              <w:bottom w:val="single" w:sz="4" w:space="0" w:color="00338D"/>
            </w:tcBorders>
          </w:tcPr>
          <w:p w14:paraId="78715F61" w14:textId="77777777" w:rsidR="002A6A78" w:rsidRPr="000452B3" w:rsidRDefault="002A6A78" w:rsidP="00F27C38">
            <w:pPr>
              <w:pStyle w:val="Tabletext"/>
              <w:jc w:val="right"/>
              <w:rPr>
                <w:b/>
                <w:bCs/>
              </w:rPr>
            </w:pPr>
            <w:r w:rsidRPr="0075055C">
              <w:rPr>
                <w:b/>
              </w:rPr>
              <w:t>27.1%</w:t>
            </w:r>
          </w:p>
        </w:tc>
      </w:tr>
      <w:tr w:rsidR="002A6A78" w14:paraId="7D51EA48" w14:textId="77777777" w:rsidTr="00F27C38">
        <w:tc>
          <w:tcPr>
            <w:tcW w:w="1615" w:type="pct"/>
            <w:tcBorders>
              <w:top w:val="single" w:sz="4" w:space="0" w:color="00338D"/>
              <w:bottom w:val="single" w:sz="4" w:space="0" w:color="00338D"/>
            </w:tcBorders>
            <w:vAlign w:val="center"/>
          </w:tcPr>
          <w:p w14:paraId="2EBAE6E3" w14:textId="77777777" w:rsidR="002A6A78" w:rsidRPr="000452B3" w:rsidRDefault="002A6A78" w:rsidP="00F27C38">
            <w:pPr>
              <w:pStyle w:val="Tabletext"/>
              <w:rPr>
                <w:rFonts w:eastAsia="Calibri" w:cs="Arial"/>
                <w:b/>
                <w:bCs/>
                <w:color w:val="000000" w:themeColor="text1"/>
                <w:kern w:val="24"/>
                <w:szCs w:val="20"/>
              </w:rPr>
            </w:pPr>
            <w:r w:rsidRPr="000452B3">
              <w:rPr>
                <w:rFonts w:eastAsia="Calibri" w:cs="Arial"/>
                <w:b/>
                <w:bCs/>
                <w:color w:val="000000" w:themeColor="text1"/>
                <w:kern w:val="24"/>
                <w:szCs w:val="20"/>
              </w:rPr>
              <w:t>Total</w:t>
            </w:r>
          </w:p>
        </w:tc>
        <w:tc>
          <w:tcPr>
            <w:tcW w:w="1128" w:type="pct"/>
            <w:tcBorders>
              <w:top w:val="single" w:sz="4" w:space="0" w:color="00338D"/>
              <w:bottom w:val="single" w:sz="4" w:space="0" w:color="00338D"/>
            </w:tcBorders>
            <w:vAlign w:val="center"/>
          </w:tcPr>
          <w:p w14:paraId="53385AFF" w14:textId="77777777" w:rsidR="002A6A78" w:rsidRPr="000452B3" w:rsidRDefault="002A6A78" w:rsidP="00F27C38">
            <w:pPr>
              <w:pStyle w:val="Tabletext"/>
              <w:jc w:val="right"/>
              <w:rPr>
                <w:b/>
                <w:bCs/>
              </w:rPr>
            </w:pPr>
            <w:r w:rsidRPr="000452B3">
              <w:rPr>
                <w:b/>
                <w:bCs/>
              </w:rPr>
              <w:t>100%</w:t>
            </w:r>
          </w:p>
        </w:tc>
        <w:tc>
          <w:tcPr>
            <w:tcW w:w="1128" w:type="pct"/>
            <w:tcBorders>
              <w:top w:val="single" w:sz="4" w:space="0" w:color="00338D"/>
              <w:bottom w:val="single" w:sz="4" w:space="0" w:color="00338D"/>
            </w:tcBorders>
            <w:vAlign w:val="center"/>
          </w:tcPr>
          <w:p w14:paraId="3407BBE2" w14:textId="77777777" w:rsidR="002A6A78" w:rsidRPr="000452B3" w:rsidRDefault="002A6A78" w:rsidP="00F27C38">
            <w:pPr>
              <w:pStyle w:val="Tabletext"/>
              <w:jc w:val="right"/>
              <w:rPr>
                <w:b/>
                <w:bCs/>
              </w:rPr>
            </w:pPr>
            <w:r w:rsidRPr="000452B3">
              <w:rPr>
                <w:b/>
                <w:bCs/>
              </w:rPr>
              <w:t>100%</w:t>
            </w:r>
          </w:p>
        </w:tc>
        <w:tc>
          <w:tcPr>
            <w:tcW w:w="1129" w:type="pct"/>
            <w:tcBorders>
              <w:top w:val="single" w:sz="4" w:space="0" w:color="00338D"/>
              <w:bottom w:val="single" w:sz="4" w:space="0" w:color="00338D"/>
            </w:tcBorders>
            <w:vAlign w:val="center"/>
          </w:tcPr>
          <w:p w14:paraId="27BF9F60" w14:textId="77777777" w:rsidR="002A6A78" w:rsidRPr="000452B3" w:rsidRDefault="002A6A78" w:rsidP="00F27C38">
            <w:pPr>
              <w:pStyle w:val="Tabletext"/>
              <w:jc w:val="right"/>
              <w:rPr>
                <w:b/>
                <w:bCs/>
              </w:rPr>
            </w:pPr>
            <w:r w:rsidRPr="000452B3">
              <w:rPr>
                <w:b/>
                <w:bCs/>
              </w:rPr>
              <w:t>100%</w:t>
            </w:r>
          </w:p>
        </w:tc>
      </w:tr>
    </w:tbl>
    <w:p w14:paraId="4A95C624" w14:textId="67A75110" w:rsidR="002A6A78" w:rsidRDefault="002A6A78" w:rsidP="00297F47">
      <w:pPr>
        <w:pStyle w:val="Source"/>
      </w:pPr>
      <w:r w:rsidDel="00624964">
        <w:t xml:space="preserve">Source: </w:t>
      </w:r>
      <w:r w:rsidRPr="006142F6" w:rsidDel="00624964">
        <w:t xml:space="preserve">KPMG analysis of </w:t>
      </w:r>
      <w:r w:rsidRPr="00624964">
        <w:t>effectiveness analysis dataset with non-missing outcome measures – K10 analysis</w:t>
      </w:r>
      <w:r>
        <w:t>, SOFAS analysis and MLT analysis</w:t>
      </w:r>
    </w:p>
    <w:p w14:paraId="6EDF21D3" w14:textId="1718C72B" w:rsidR="002A6A78" w:rsidRDefault="002A6A78" w:rsidP="002A6A78">
      <w:pPr>
        <w:pStyle w:val="Source"/>
        <w:rPr>
          <w:szCs w:val="16"/>
        </w:rPr>
      </w:pPr>
      <w:r>
        <w:t xml:space="preserve">Notes: </w:t>
      </w:r>
      <w:r w:rsidRPr="00624964">
        <w:t xml:space="preserve">See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rsidR="00815908">
        <w:t xml:space="preserve"> </w:t>
      </w:r>
      <w:r w:rsidRPr="00624964">
        <w:t xml:space="preserve">for detailed exclusion criteria. </w:t>
      </w:r>
      <w:r>
        <w:t xml:space="preserve">Sample includes closed episodes that were created during 2019-20; presented with a mental health or situational primary issue; had no missing main services data; had at least two </w:t>
      </w:r>
      <w:r w:rsidR="009C028B">
        <w:t>OOS</w:t>
      </w:r>
      <w:r>
        <w:t xml:space="preserve"> observations; and had an initial and final outcome measure.</w:t>
      </w:r>
      <w:r w:rsidRPr="00624964">
        <w:t xml:space="preserve"> Number of episodes: 27,867</w:t>
      </w:r>
      <w:r>
        <w:t xml:space="preserve"> (K10), 30,351 (SOFAS) and 27,957 (MLT). </w:t>
      </w:r>
      <w:r>
        <w:rPr>
          <w:szCs w:val="16"/>
        </w:rPr>
        <w:t>Improvement</w:t>
      </w:r>
      <w:r w:rsidRPr="001E1EB4">
        <w:rPr>
          <w:szCs w:val="16"/>
        </w:rPr>
        <w:t xml:space="preserve"> is </w:t>
      </w:r>
      <w:r>
        <w:rPr>
          <w:szCs w:val="16"/>
        </w:rPr>
        <w:t>the difference between the last observed and the initially observed outcome measure. Improvements across the K10, SOFAS and MLT measures have been adjusted for RTM.</w:t>
      </w:r>
    </w:p>
    <w:p w14:paraId="01219830" w14:textId="703E4210" w:rsidR="002A6A78" w:rsidRDefault="002A6A78" w:rsidP="002A6A78">
      <w:pPr>
        <w:pStyle w:val="Caption"/>
      </w:pPr>
      <w:bookmarkStart w:id="332" w:name="_Ref97750416"/>
      <w:bookmarkStart w:id="333" w:name="_Toc108109245"/>
      <w:r>
        <w:t xml:space="preserve">Figure </w:t>
      </w:r>
      <w:r>
        <w:fldChar w:fldCharType="begin"/>
      </w:r>
      <w:r>
        <w:instrText>SEQ Figure \* ARABIC</w:instrText>
      </w:r>
      <w:r>
        <w:fldChar w:fldCharType="separate"/>
      </w:r>
      <w:r w:rsidR="00CC0438">
        <w:rPr>
          <w:noProof/>
        </w:rPr>
        <w:t>60</w:t>
      </w:r>
      <w:r>
        <w:fldChar w:fldCharType="end"/>
      </w:r>
      <w:bookmarkEnd w:id="332"/>
      <w:r>
        <w:t xml:space="preserve">: Average improvement in the K10 by young person, </w:t>
      </w:r>
      <w:r w:rsidR="00525ED1">
        <w:t>OOS</w:t>
      </w:r>
      <w:r>
        <w:t xml:space="preserve"> and service-level factors</w:t>
      </w:r>
      <w:bookmarkEnd w:id="333"/>
    </w:p>
    <w:p w14:paraId="7B0FF84F" w14:textId="55D4A8F3" w:rsidR="008970C3" w:rsidRPr="008970C3" w:rsidRDefault="008970C3" w:rsidP="005B5C6F">
      <w:r>
        <w:rPr>
          <w:noProof/>
        </w:rPr>
        <w:drawing>
          <wp:inline distT="0" distB="0" distL="0" distR="0" wp14:anchorId="67F7E533" wp14:editId="6CC324C2">
            <wp:extent cx="4891184" cy="7686675"/>
            <wp:effectExtent l="0" t="0" r="5080" b="0"/>
            <wp:docPr id="54" name="Picture 54" descr="Figure 60 is a bar chart and summarises the average K10 improvements for different factors, including young person characteristics, and occasion of service and service level factors.&#10;The average K10 improvement was 1.5.&#10;All age groups had improvements above the average, except young people aged 15-19 who were below the average.&#10;Male headspace users had improvements above the average. Improvements for female and non-binary headspace users were below the average.&#10;Improvements for Aboriginal and Torres Strait Islander young people were below the average. Improvements for young people who were not Aboriginal and Torres Strait Islander were above the average. &#10;Improvements for all young people, regardless of whether they identify as culturally and linguistically diverse were above the average.&#10;Improvements for LGBTQIA+ young people were below the average. Improvements for non-LGBTQIA+ young people were above the average. &#10;Improvements for young people with very high levels of initial distress were above the average. Improvements for other levels of distress were above the average, with young people presenting with low levels of distress well below the average.&#10;Improvements for young people receiving 1-2 occasions of service were well below the average. Young people receiving 3-5 occasions of service were above the average. Young people with 6 or more occasions of service were well above the average. &#10;Episodes of care where only mental health services were received had improvements above the average. Other episodes of care had improvements below the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Figure 60 is a bar chart and summarises the average K10 improvements for different factors, including young person characteristics, and occasion of service and service level factors.&#10;The average K10 improvement was 1.5.&#10;All age groups had improvements above the average, except young people aged 15-19 who were below the average.&#10;Male headspace users had improvements above the average. Improvements for female and non-binary headspace users were below the average.&#10;Improvements for Aboriginal and Torres Strait Islander young people were below the average. Improvements for young people who were not Aboriginal and Torres Strait Islander were above the average. &#10;Improvements for all young people, regardless of whether they identify as culturally and linguistically diverse were above the average.&#10;Improvements for LGBTQIA+ young people were below the average. Improvements for non-LGBTQIA+ young people were above the average. &#10;Improvements for young people with very high levels of initial distress were above the average. Improvements for other levels of distress were above the average, with young people presenting with low levels of distress well below the average.&#10;Improvements for young people receiving 1-2 occasions of service were well below the average. Young people receiving 3-5 occasions of service were above the average. Young people with 6 or more occasions of service were well above the average. &#10;Episodes of care where only mental health services were received had improvements above the average. Other episodes of care had improvements below the average.&#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6588" cy="7695168"/>
                    </a:xfrm>
                    <a:prstGeom prst="rect">
                      <a:avLst/>
                    </a:prstGeom>
                    <a:noFill/>
                    <a:ln>
                      <a:noFill/>
                    </a:ln>
                  </pic:spPr>
                </pic:pic>
              </a:graphicData>
            </a:graphic>
          </wp:inline>
        </w:drawing>
      </w:r>
    </w:p>
    <w:p w14:paraId="7D3915EB" w14:textId="690DE743" w:rsidR="002A6A78" w:rsidRPr="007B7099" w:rsidRDefault="002A6A78" w:rsidP="005B5C6F">
      <w:pPr>
        <w:pStyle w:val="Source"/>
      </w:pPr>
      <w:r w:rsidRPr="0056348D">
        <w:t>Source: KPMG a</w:t>
      </w:r>
      <w:r w:rsidRPr="00E13979">
        <w:t>nalysis of effectiveness analy</w:t>
      </w:r>
      <w:r w:rsidRPr="00643194">
        <w:t>sis dataset with non-missing outcome measures – K10 analysis</w:t>
      </w:r>
    </w:p>
    <w:p w14:paraId="120AE43A" w14:textId="2C9D6E00" w:rsidR="002A6A78" w:rsidRDefault="002A6A78" w:rsidP="002A6A78">
      <w:pPr>
        <w:pStyle w:val="Source"/>
        <w:rPr>
          <w:szCs w:val="16"/>
        </w:rPr>
      </w:pPr>
      <w:r>
        <w:t xml:space="preserve">Notes: </w:t>
      </w:r>
      <w:r w:rsidRPr="00624964">
        <w:t xml:space="preserve">See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rsidRPr="00624964">
        <w:t xml:space="preserve"> for detailed exclusion criteria.</w:t>
      </w:r>
      <w:r>
        <w:t xml:space="preserve"> Sample includes closed episodes that were created during 2019-20; presented with a mental health or situational primary issue; had no missing main services data; had at least two </w:t>
      </w:r>
      <w:r w:rsidR="009C028B">
        <w:t>OOS</w:t>
      </w:r>
      <w:r>
        <w:t xml:space="preserve"> observations; and had an initial and final outcome measures.</w:t>
      </w:r>
      <w:r w:rsidRPr="00624964">
        <w:t xml:space="preserve"> </w:t>
      </w:r>
      <w:r w:rsidRPr="00B878DE">
        <w:rPr>
          <w:szCs w:val="16"/>
        </w:rPr>
        <w:t xml:space="preserve">Number of episodes: </w:t>
      </w:r>
      <w:r w:rsidRPr="00283C1B">
        <w:rPr>
          <w:szCs w:val="16"/>
        </w:rPr>
        <w:t>22</w:t>
      </w:r>
      <w:r w:rsidRPr="002804DF">
        <w:rPr>
          <w:szCs w:val="16"/>
        </w:rPr>
        <w:t>,</w:t>
      </w:r>
      <w:r w:rsidRPr="00535F76">
        <w:rPr>
          <w:szCs w:val="16"/>
        </w:rPr>
        <w:t xml:space="preserve">348, where 5,519 out of </w:t>
      </w:r>
      <w:r w:rsidRPr="0062055A">
        <w:rPr>
          <w:szCs w:val="16"/>
        </w:rPr>
        <w:t>27,867</w:t>
      </w:r>
      <w:r w:rsidRPr="00312B43">
        <w:rPr>
          <w:szCs w:val="16"/>
        </w:rPr>
        <w:t xml:space="preserve"> </w:t>
      </w:r>
      <w:r w:rsidRPr="0056348D">
        <w:rPr>
          <w:szCs w:val="16"/>
        </w:rPr>
        <w:t xml:space="preserve">episodes were </w:t>
      </w:r>
      <w:r w:rsidRPr="007B7099">
        <w:rPr>
          <w:szCs w:val="16"/>
        </w:rPr>
        <w:t>excluded</w:t>
      </w:r>
      <w:r w:rsidRPr="008B2185">
        <w:rPr>
          <w:szCs w:val="16"/>
        </w:rPr>
        <w:t xml:space="preserve"> </w:t>
      </w:r>
      <w:r w:rsidRPr="00B878DE">
        <w:rPr>
          <w:szCs w:val="16"/>
        </w:rPr>
        <w:t>due to missing young person</w:t>
      </w:r>
      <w:r w:rsidRPr="00582CFA">
        <w:rPr>
          <w:szCs w:val="16"/>
        </w:rPr>
        <w:t>s characteristics</w:t>
      </w:r>
      <w:r>
        <w:t xml:space="preserve">. </w:t>
      </w:r>
      <w:r>
        <w:rPr>
          <w:szCs w:val="16"/>
        </w:rPr>
        <w:t>Improvement</w:t>
      </w:r>
      <w:r w:rsidRPr="001E1EB4">
        <w:rPr>
          <w:szCs w:val="16"/>
        </w:rPr>
        <w:t xml:space="preserve"> is </w:t>
      </w:r>
      <w:r>
        <w:rPr>
          <w:szCs w:val="16"/>
        </w:rPr>
        <w:t>the difference between the last observed and the initially observed outcome measures. Positive values indicate an improvement in K10 outcomes. K10 outcomes have been adjusted for RTM.</w:t>
      </w:r>
    </w:p>
    <w:p w14:paraId="46E23600" w14:textId="510FB330" w:rsidR="002A6A78" w:rsidRDefault="002A6A78" w:rsidP="002A6A78">
      <w:pPr>
        <w:pStyle w:val="Caption"/>
      </w:pPr>
      <w:bookmarkStart w:id="334" w:name="_Ref97889600"/>
      <w:bookmarkStart w:id="335" w:name="_Toc108109246"/>
      <w:r>
        <w:t xml:space="preserve">Figure </w:t>
      </w:r>
      <w:r>
        <w:fldChar w:fldCharType="begin"/>
      </w:r>
      <w:r>
        <w:instrText>SEQ Figure \* ARABIC</w:instrText>
      </w:r>
      <w:r>
        <w:fldChar w:fldCharType="separate"/>
      </w:r>
      <w:r w:rsidR="00CC0438">
        <w:rPr>
          <w:noProof/>
        </w:rPr>
        <w:t>61</w:t>
      </w:r>
      <w:r>
        <w:fldChar w:fldCharType="end"/>
      </w:r>
      <w:bookmarkEnd w:id="334"/>
      <w:r>
        <w:t xml:space="preserve">: Average improvement in the SOFAS by young person, </w:t>
      </w:r>
      <w:r w:rsidR="009C028B">
        <w:t>OOS</w:t>
      </w:r>
      <w:r>
        <w:t xml:space="preserve"> and service-level factors</w:t>
      </w:r>
      <w:bookmarkEnd w:id="335"/>
    </w:p>
    <w:p w14:paraId="1A12161B" w14:textId="779C11EA" w:rsidR="001D3175" w:rsidRPr="001D3175" w:rsidRDefault="001D3175" w:rsidP="005B5C6F">
      <w:r>
        <w:rPr>
          <w:noProof/>
        </w:rPr>
        <w:drawing>
          <wp:inline distT="0" distB="0" distL="0" distR="0" wp14:anchorId="2D4FE2A3" wp14:editId="0F5BCA2D">
            <wp:extent cx="4891184" cy="7686675"/>
            <wp:effectExtent l="0" t="0" r="5080" b="0"/>
            <wp:docPr id="36" name="Picture 36" descr="Figure 61 is a bar chart and summarises the average SOFAS improvements for different factors, including young person characteristics, and occasion of service and service level factors.&#10;The average SOFAS improvement was 3.2.&#10;Young people aged 20 or older had improvements above the average, young people aged 19 or under had improvements below the average.&#10;Male and female headspace users had improvements just above the average. Improvements for non-binary headspace users were well below the average.&#10;Improvements for Aboriginal and Torres Strait Islander young people were below the average. Improvements for young people who were not Aboriginal and Torres Strait Islander were above the average. &#10;Improvements for culturally and linguistically diverse young people were just below the average. Improvements for young people who are not culturally and linguistically diverse were just above the average.&#10;Improvements for LGBTQIA+ young people were below the average. Improvements for non-LGBTQIA+ young people were above the average. &#10;Improvements for young people with very high levels of initial distress were below the average. Improvements for other levels of distress were above the average.&#10;Improvements for young people receiving 1-2 occasions of service were well below the average. Young people receiving 3-5 occasions of service were above the average. Young people with 6 or more occasions of service were well above the average. &#10;Episodes of care where any combination of mental health and non-mental health services were received had improvements above the average. Episodes of care with only intake and assessment services had improvements well below the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61 is a bar chart and summarises the average SOFAS improvements for different factors, including young person characteristics, and occasion of service and service level factors.&#10;The average SOFAS improvement was 3.2.&#10;Young people aged 20 or older had improvements above the average, young people aged 19 or under had improvements below the average.&#10;Male and female headspace users had improvements just above the average. Improvements for non-binary headspace users were well below the average.&#10;Improvements for Aboriginal and Torres Strait Islander young people were below the average. Improvements for young people who were not Aboriginal and Torres Strait Islander were above the average. &#10;Improvements for culturally and linguistically diverse young people were just below the average. Improvements for young people who are not culturally and linguistically diverse were just above the average.&#10;Improvements for LGBTQIA+ young people were below the average. Improvements for non-LGBTQIA+ young people were above the average. &#10;Improvements for young people with very high levels of initial distress were below the average. Improvements for other levels of distress were above the average.&#10;Improvements for young people receiving 1-2 occasions of service were well below the average. Young people receiving 3-5 occasions of service were above the average. Young people with 6 or more occasions of service were well above the average. &#10;Episodes of care where any combination of mental health and non-mental health services were received had improvements above the average. Episodes of care with only intake and assessment services had improvements well below the average.&#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7193" cy="7696118"/>
                    </a:xfrm>
                    <a:prstGeom prst="rect">
                      <a:avLst/>
                    </a:prstGeom>
                    <a:noFill/>
                    <a:ln>
                      <a:noFill/>
                    </a:ln>
                  </pic:spPr>
                </pic:pic>
              </a:graphicData>
            </a:graphic>
          </wp:inline>
        </w:drawing>
      </w:r>
    </w:p>
    <w:p w14:paraId="484C3E83" w14:textId="10293023" w:rsidR="002A6A78" w:rsidRPr="007B2872" w:rsidRDefault="002A6A78" w:rsidP="002A6A78">
      <w:pPr>
        <w:pStyle w:val="Source"/>
      </w:pPr>
      <w:r w:rsidRPr="0056348D">
        <w:rPr>
          <w:szCs w:val="16"/>
        </w:rPr>
        <w:t xml:space="preserve">Source: </w:t>
      </w:r>
      <w:r w:rsidRPr="004960AD">
        <w:rPr>
          <w:szCs w:val="16"/>
        </w:rPr>
        <w:t>KPMG analysis of effectiveness analysis dataset with non-missing ou</w:t>
      </w:r>
      <w:r w:rsidRPr="006A0F47">
        <w:rPr>
          <w:szCs w:val="16"/>
        </w:rPr>
        <w:t>tcome measures –</w:t>
      </w:r>
      <w:r w:rsidRPr="007B7099">
        <w:rPr>
          <w:szCs w:val="16"/>
        </w:rPr>
        <w:t xml:space="preserve"> SOFAS</w:t>
      </w:r>
      <w:r>
        <w:rPr>
          <w:szCs w:val="16"/>
        </w:rPr>
        <w:t xml:space="preserve"> analysis</w:t>
      </w:r>
    </w:p>
    <w:p w14:paraId="30070F84" w14:textId="2E91C460" w:rsidR="002A6A78" w:rsidRDefault="002A6A78" w:rsidP="002A6A78">
      <w:pPr>
        <w:pStyle w:val="Source"/>
        <w:rPr>
          <w:szCs w:val="16"/>
        </w:rPr>
      </w:pPr>
      <w:r w:rsidRPr="0056348D">
        <w:rPr>
          <w:szCs w:val="16"/>
        </w:rPr>
        <w:t>Notes</w:t>
      </w:r>
      <w:r w:rsidRPr="004960AD">
        <w:rPr>
          <w:szCs w:val="16"/>
        </w:rPr>
        <w:t>:</w:t>
      </w:r>
      <w:r>
        <w:t xml:space="preserve"> </w:t>
      </w:r>
      <w:r w:rsidRPr="00624964">
        <w:t xml:space="preserve">See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rsidRPr="00624964">
        <w:t xml:space="preserve"> for detailed exclusion criteria.</w:t>
      </w:r>
      <w:r>
        <w:t xml:space="preserve"> Sample includes closed episodes that were created during 2019-20; presented with a mental health or situational primary issue; had no missing main services data; had at least two </w:t>
      </w:r>
      <w:r w:rsidR="009C028B">
        <w:t>OOS</w:t>
      </w:r>
      <w:r>
        <w:t xml:space="preserve"> observations; and had an initial and final outcome measure.</w:t>
      </w:r>
      <w:r w:rsidRPr="00624964">
        <w:t xml:space="preserve"> </w:t>
      </w:r>
      <w:r w:rsidRPr="006A0F47">
        <w:rPr>
          <w:szCs w:val="16"/>
        </w:rPr>
        <w:t xml:space="preserve">Number of episodes: </w:t>
      </w:r>
      <w:r w:rsidRPr="009E73EB">
        <w:rPr>
          <w:szCs w:val="16"/>
        </w:rPr>
        <w:t>22,254 episodes, where 8,097 out of 30,351</w:t>
      </w:r>
      <w:r w:rsidR="007A7801">
        <w:rPr>
          <w:szCs w:val="16"/>
        </w:rPr>
        <w:t> </w:t>
      </w:r>
      <w:r w:rsidRPr="009E73EB">
        <w:rPr>
          <w:szCs w:val="16"/>
        </w:rPr>
        <w:t xml:space="preserve">episodes were </w:t>
      </w:r>
      <w:r w:rsidRPr="00C933F8">
        <w:rPr>
          <w:szCs w:val="16"/>
        </w:rPr>
        <w:t xml:space="preserve">excluded </w:t>
      </w:r>
      <w:r w:rsidRPr="009E73EB">
        <w:rPr>
          <w:szCs w:val="16"/>
        </w:rPr>
        <w:t>due to missing young persons characteristics.</w:t>
      </w:r>
      <w:r>
        <w:t xml:space="preserve"> </w:t>
      </w:r>
      <w:r>
        <w:rPr>
          <w:szCs w:val="16"/>
        </w:rPr>
        <w:t>Improvement</w:t>
      </w:r>
      <w:r w:rsidRPr="001E1EB4">
        <w:rPr>
          <w:szCs w:val="16"/>
        </w:rPr>
        <w:t xml:space="preserve"> is </w:t>
      </w:r>
      <w:r>
        <w:rPr>
          <w:szCs w:val="16"/>
        </w:rPr>
        <w:t>the difference between the last observed and the initially observed outcome measures. Positive values indicate an improvement in SOFAS outcomes. SOFAS outcomes have been adjusted for RTM.</w:t>
      </w:r>
    </w:p>
    <w:p w14:paraId="19EB1252" w14:textId="53170D74" w:rsidR="002A6A78" w:rsidRDefault="002A6A78" w:rsidP="002A6A78">
      <w:pPr>
        <w:pStyle w:val="Caption"/>
      </w:pPr>
      <w:bookmarkStart w:id="336" w:name="_Ref97889602"/>
      <w:bookmarkStart w:id="337" w:name="_Toc108109247"/>
      <w:r>
        <w:t xml:space="preserve">Figure </w:t>
      </w:r>
      <w:r>
        <w:fldChar w:fldCharType="begin"/>
      </w:r>
      <w:r>
        <w:instrText>SEQ Figure \* ARABIC</w:instrText>
      </w:r>
      <w:r>
        <w:fldChar w:fldCharType="separate"/>
      </w:r>
      <w:r w:rsidR="00CC0438">
        <w:rPr>
          <w:noProof/>
        </w:rPr>
        <w:t>62</w:t>
      </w:r>
      <w:r>
        <w:fldChar w:fldCharType="end"/>
      </w:r>
      <w:bookmarkEnd w:id="336"/>
      <w:r>
        <w:t xml:space="preserve">: Average improvement in the MLT by young person, </w:t>
      </w:r>
      <w:r w:rsidR="00525ED1">
        <w:t>OOS</w:t>
      </w:r>
      <w:r>
        <w:t xml:space="preserve"> and service-level factors</w:t>
      </w:r>
      <w:bookmarkEnd w:id="337"/>
    </w:p>
    <w:p w14:paraId="2118DDB4" w14:textId="04357EF5" w:rsidR="00A747CB" w:rsidRPr="00A747CB" w:rsidRDefault="007C235B" w:rsidP="005B5C6F">
      <w:r>
        <w:rPr>
          <w:noProof/>
        </w:rPr>
        <w:drawing>
          <wp:inline distT="0" distB="0" distL="0" distR="0" wp14:anchorId="64226FE0" wp14:editId="62F047FE">
            <wp:extent cx="5037455" cy="7560945"/>
            <wp:effectExtent l="0" t="0" r="0" b="1905"/>
            <wp:docPr id="35" name="Picture 35" descr="Figure 62 is a bar chart and summarises the average MLT improvements for different factors, including young person characteristics, and occasion of service and service level factors.&#10;The average MLT improvement was 7.4.&#10;All age groups had improvements above the average, except young people aged 15-19 who were below the average.&#10;Male headspace users had improvements above the average. Improvements for female and non-binary headspace users were below the average.&#10;Improvements for Aboriginal and Torres Strait Islander young people were below the average. Improvements for young people who were not Aboriginal and Torres Strait Islander were above the average. &#10;Improvements for culturally and linguistically diverse young people were just below the average. Improvements for young people who are not culturally and linguistically diverse were just above the average.&#10;Improvements for LGBTQIA+ young people were below the average. Improvements for non-LGBTQIA+ young people were above the average. &#10;Improvements for young people with very high levels of initial distress were above the average. Improvements for other levels of distress were below the average.&#10;Improvements for young people receiving 1-2 occasions of service were well below the average. Young people receiving 3-5 occasions of service were above the average. Young people with 6 or more occasions of service were well above the average. &#10;Episodes of care where only mental health services were received had improvements above the average. Other episodes of care had improvements below the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62 is a bar chart and summarises the average MLT improvements for different factors, including young person characteristics, and occasion of service and service level factors.&#10;The average MLT improvement was 7.4.&#10;All age groups had improvements above the average, except young people aged 15-19 who were below the average.&#10;Male headspace users had improvements above the average. Improvements for female and non-binary headspace users were below the average.&#10;Improvements for Aboriginal and Torres Strait Islander young people were below the average. Improvements for young people who were not Aboriginal and Torres Strait Islander were above the average. &#10;Improvements for culturally and linguistically diverse young people were just below the average. Improvements for young people who are not culturally and linguistically diverse were just above the average.&#10;Improvements for LGBTQIA+ young people were below the average. Improvements for non-LGBTQIA+ young people were above the average. &#10;Improvements for young people with very high levels of initial distress were above the average. Improvements for other levels of distress were below the average.&#10;Improvements for young people receiving 1-2 occasions of service were well below the average. Young people receiving 3-5 occasions of service were above the average. Young people with 6 or more occasions of service were well above the average. &#10;Episodes of care where only mental health services were received had improvements above the average. Other episodes of care had improvements below the average.&#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37455" cy="7560945"/>
                    </a:xfrm>
                    <a:prstGeom prst="rect">
                      <a:avLst/>
                    </a:prstGeom>
                    <a:noFill/>
                    <a:ln>
                      <a:noFill/>
                    </a:ln>
                  </pic:spPr>
                </pic:pic>
              </a:graphicData>
            </a:graphic>
          </wp:inline>
        </w:drawing>
      </w:r>
    </w:p>
    <w:p w14:paraId="012318DF" w14:textId="05A1A894" w:rsidR="002A6A78" w:rsidRPr="00D82489" w:rsidRDefault="002A6A78" w:rsidP="002A6A78">
      <w:pPr>
        <w:pStyle w:val="Source"/>
        <w:rPr>
          <w:szCs w:val="16"/>
        </w:rPr>
      </w:pPr>
      <w:r w:rsidRPr="0056348D">
        <w:rPr>
          <w:szCs w:val="16"/>
        </w:rPr>
        <w:t>Source: KP</w:t>
      </w:r>
      <w:r w:rsidRPr="00152641">
        <w:rPr>
          <w:szCs w:val="16"/>
        </w:rPr>
        <w:t>MG analysis of effectiveness analysis dataset with non-missing ou</w:t>
      </w:r>
      <w:r w:rsidRPr="006A0F47">
        <w:rPr>
          <w:szCs w:val="16"/>
        </w:rPr>
        <w:t xml:space="preserve">tcome measures – </w:t>
      </w:r>
      <w:r w:rsidRPr="001E6FA6">
        <w:rPr>
          <w:szCs w:val="16"/>
        </w:rPr>
        <w:t>M</w:t>
      </w:r>
      <w:r w:rsidRPr="007B7099">
        <w:rPr>
          <w:szCs w:val="16"/>
        </w:rPr>
        <w:t>LT analysis</w:t>
      </w:r>
    </w:p>
    <w:p w14:paraId="3A7DE4E0" w14:textId="29277091" w:rsidR="002A6A78" w:rsidRDefault="002A6A78" w:rsidP="002A6A78">
      <w:pPr>
        <w:pStyle w:val="Source"/>
        <w:rPr>
          <w:szCs w:val="16"/>
        </w:rPr>
      </w:pPr>
      <w:r w:rsidRPr="0056348D">
        <w:rPr>
          <w:szCs w:val="16"/>
        </w:rPr>
        <w:t>Notes:</w:t>
      </w:r>
      <w:r>
        <w:t xml:space="preserve"> </w:t>
      </w:r>
      <w:r w:rsidRPr="00624964">
        <w:t xml:space="preserve">See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rsidR="00815908">
        <w:t xml:space="preserve"> </w:t>
      </w:r>
      <w:r w:rsidRPr="00624964">
        <w:t>for detailed exclusion criteria.</w:t>
      </w:r>
      <w:r>
        <w:t xml:space="preserve"> Sample includes closed episodes that were created during 2019-20; presented with a mental health or situational primary issue; had no missing main services data; had at least two </w:t>
      </w:r>
      <w:r w:rsidR="009C028B">
        <w:t>OOS</w:t>
      </w:r>
      <w:r>
        <w:t xml:space="preserve"> observations; and had an initial and final outcome measures.</w:t>
      </w:r>
      <w:r w:rsidRPr="00624964">
        <w:t xml:space="preserve"> </w:t>
      </w:r>
      <w:r w:rsidRPr="00B878DE">
        <w:rPr>
          <w:szCs w:val="16"/>
        </w:rPr>
        <w:t xml:space="preserve">Number of episodes: </w:t>
      </w:r>
      <w:r w:rsidRPr="009E73EB">
        <w:rPr>
          <w:szCs w:val="16"/>
        </w:rPr>
        <w:t xml:space="preserve">22,348, where 5,609 out of 27,957 episodes were </w:t>
      </w:r>
      <w:r w:rsidRPr="00C933F8">
        <w:rPr>
          <w:szCs w:val="16"/>
        </w:rPr>
        <w:t xml:space="preserve">excluded </w:t>
      </w:r>
      <w:r w:rsidRPr="009E73EB">
        <w:rPr>
          <w:szCs w:val="16"/>
        </w:rPr>
        <w:t>due to missing young persons characteristics.</w:t>
      </w:r>
      <w:r>
        <w:t xml:space="preserve"> </w:t>
      </w:r>
      <w:r>
        <w:rPr>
          <w:szCs w:val="16"/>
        </w:rPr>
        <w:t>Improvement</w:t>
      </w:r>
      <w:r w:rsidRPr="001E1EB4">
        <w:rPr>
          <w:szCs w:val="16"/>
        </w:rPr>
        <w:t xml:space="preserve"> is </w:t>
      </w:r>
      <w:r>
        <w:rPr>
          <w:szCs w:val="16"/>
        </w:rPr>
        <w:t>the difference between the last observed and the initially observed outcome measures. Positive values indicate an improvement in MLT outcomes. MLT outcomes have been adjusted for RTM.</w:t>
      </w:r>
    </w:p>
    <w:p w14:paraId="570EB47D" w14:textId="77777777" w:rsidR="002A6A78" w:rsidRDefault="002A6A78" w:rsidP="00B32EFC">
      <w:pPr>
        <w:pStyle w:val="AppendixHeading3"/>
      </w:pPr>
      <w:r>
        <w:t xml:space="preserve">Service factors – detailed analysis of variation associated with individual services </w:t>
      </w:r>
    </w:p>
    <w:p w14:paraId="08CD505F" w14:textId="0F23932A" w:rsidR="00C43BF4" w:rsidRDefault="00815908" w:rsidP="002A6A78">
      <w:pPr>
        <w:pStyle w:val="BodyText"/>
      </w:pPr>
      <w:r>
        <w:fldChar w:fldCharType="begin" w:fldLock="1"/>
      </w:r>
      <w:r>
        <w:instrText xml:space="preserve"> REF _Ref98402720 \h </w:instrText>
      </w:r>
      <w:r>
        <w:fldChar w:fldCharType="separate"/>
      </w:r>
      <w:r w:rsidR="00F33476">
        <w:t xml:space="preserve">Table </w:t>
      </w:r>
      <w:r w:rsidR="00F33476">
        <w:rPr>
          <w:noProof/>
        </w:rPr>
        <w:t>69</w:t>
      </w:r>
      <w:r>
        <w:fldChar w:fldCharType="end"/>
      </w:r>
      <w:r>
        <w:t xml:space="preserve"> </w:t>
      </w:r>
      <w:r w:rsidR="00A435BB">
        <w:t xml:space="preserve">summarises the impact of young person specific factors and episode specific factors on </w:t>
      </w:r>
      <w:r w:rsidR="002D3B01">
        <w:t>an episode’s mental health outcome</w:t>
      </w:r>
      <w:r w:rsidR="00796091">
        <w:t>, but omitted the average impact a headspace service had on an episodes outcome measure.</w:t>
      </w:r>
      <w:r w:rsidR="002D3B01">
        <w:t xml:space="preserve"> </w:t>
      </w:r>
      <w:r w:rsidR="002D3B01">
        <w:fldChar w:fldCharType="begin" w:fldLock="1"/>
      </w:r>
      <w:r w:rsidR="002D3B01">
        <w:instrText xml:space="preserve"> REF _Ref97750664 \h </w:instrText>
      </w:r>
      <w:r w:rsidR="002D3B01">
        <w:fldChar w:fldCharType="separate"/>
      </w:r>
      <w:r w:rsidR="000C245D">
        <w:t xml:space="preserve">Figure </w:t>
      </w:r>
      <w:r w:rsidR="000C245D">
        <w:rPr>
          <w:noProof/>
        </w:rPr>
        <w:t>63</w:t>
      </w:r>
      <w:r w:rsidR="002D3B01">
        <w:fldChar w:fldCharType="end"/>
      </w:r>
      <w:r w:rsidR="002D3B01">
        <w:t xml:space="preserve">, </w:t>
      </w:r>
      <w:r w:rsidR="002D3B01">
        <w:fldChar w:fldCharType="begin" w:fldLock="1"/>
      </w:r>
      <w:r w:rsidR="002D3B01">
        <w:instrText xml:space="preserve"> REF _Ref97750688 \h </w:instrText>
      </w:r>
      <w:r w:rsidR="002D3B01">
        <w:fldChar w:fldCharType="separate"/>
      </w:r>
      <w:r w:rsidR="000C245D">
        <w:t xml:space="preserve">Figure </w:t>
      </w:r>
      <w:r w:rsidR="000C245D">
        <w:rPr>
          <w:noProof/>
        </w:rPr>
        <w:t>64</w:t>
      </w:r>
      <w:r w:rsidR="002D3B01">
        <w:fldChar w:fldCharType="end"/>
      </w:r>
      <w:r w:rsidR="002D3B01">
        <w:t xml:space="preserve">and </w:t>
      </w:r>
      <w:r w:rsidR="002D3B01">
        <w:fldChar w:fldCharType="begin" w:fldLock="1"/>
      </w:r>
      <w:r w:rsidR="002D3B01">
        <w:instrText xml:space="preserve"> REF _Ref97750694 \h </w:instrText>
      </w:r>
      <w:r w:rsidR="002D3B01">
        <w:fldChar w:fldCharType="separate"/>
      </w:r>
      <w:r w:rsidR="000C245D">
        <w:t xml:space="preserve">Figure </w:t>
      </w:r>
      <w:r w:rsidR="000C245D">
        <w:rPr>
          <w:noProof/>
        </w:rPr>
        <w:t>65</w:t>
      </w:r>
      <w:r w:rsidR="002D3B01">
        <w:fldChar w:fldCharType="end"/>
      </w:r>
      <w:r w:rsidR="002D3B01">
        <w:t xml:space="preserve"> below summarise the impact each </w:t>
      </w:r>
      <w:r w:rsidR="00C43BF4">
        <w:t>of the 117</w:t>
      </w:r>
      <w:r w:rsidR="00CC0438">
        <w:rPr>
          <w:rFonts w:ascii="ZWAdobeF" w:hAnsi="ZWAdobeF" w:cs="ZWAdobeF"/>
          <w:sz w:val="2"/>
          <w:szCs w:val="2"/>
        </w:rPr>
        <w:t>226F</w:t>
      </w:r>
      <w:r w:rsidR="00C43BF4">
        <w:rPr>
          <w:rStyle w:val="FootnoteReference"/>
        </w:rPr>
        <w:footnoteReference w:id="228"/>
      </w:r>
      <w:r w:rsidR="00C43BF4">
        <w:t xml:space="preserve"> headspace services within our estimable sample </w:t>
      </w:r>
      <w:r w:rsidR="002D3B01">
        <w:t>headspace service had</w:t>
      </w:r>
      <w:r w:rsidR="00E0108D">
        <w:t xml:space="preserve"> on an episode’s mental health </w:t>
      </w:r>
      <w:r w:rsidR="00E9293B">
        <w:t>improvement in the K10, SOFAS and MLT outcome</w:t>
      </w:r>
      <w:r w:rsidR="00862914">
        <w:t xml:space="preserve">, after adjusting for young person and occasion of service differences. </w:t>
      </w:r>
    </w:p>
    <w:p w14:paraId="6A2F072F" w14:textId="62D16189" w:rsidR="002A6A78" w:rsidRDefault="00C43BF4" w:rsidP="002A6A78">
      <w:pPr>
        <w:pStyle w:val="BodyText"/>
      </w:pPr>
      <w:r>
        <w:t xml:space="preserve">This is done to examine if the services are delivering consistent outcomes, but </w:t>
      </w:r>
      <w:r>
        <w:fldChar w:fldCharType="begin" w:fldLock="1"/>
      </w:r>
      <w:r>
        <w:instrText xml:space="preserve"> REF _Ref97750664 \h </w:instrText>
      </w:r>
      <w:r>
        <w:fldChar w:fldCharType="separate"/>
      </w:r>
      <w:r w:rsidR="000C245D">
        <w:t xml:space="preserve">Figure </w:t>
      </w:r>
      <w:r w:rsidR="000C245D">
        <w:rPr>
          <w:noProof/>
        </w:rPr>
        <w:t>63</w:t>
      </w:r>
      <w:r>
        <w:fldChar w:fldCharType="end"/>
      </w:r>
      <w:r>
        <w:t xml:space="preserve">, </w:t>
      </w:r>
      <w:r>
        <w:fldChar w:fldCharType="begin" w:fldLock="1"/>
      </w:r>
      <w:r>
        <w:instrText xml:space="preserve"> REF _Ref97750688 \h </w:instrText>
      </w:r>
      <w:r>
        <w:fldChar w:fldCharType="separate"/>
      </w:r>
      <w:r w:rsidR="000C245D">
        <w:t xml:space="preserve">Figure </w:t>
      </w:r>
      <w:r w:rsidR="000C245D">
        <w:rPr>
          <w:noProof/>
        </w:rPr>
        <w:t>64</w:t>
      </w:r>
      <w:r>
        <w:fldChar w:fldCharType="end"/>
      </w:r>
      <w:r>
        <w:t xml:space="preserve">and </w:t>
      </w:r>
      <w:r>
        <w:fldChar w:fldCharType="begin" w:fldLock="1"/>
      </w:r>
      <w:r>
        <w:instrText xml:space="preserve"> REF _Ref97750694 \h </w:instrText>
      </w:r>
      <w:r>
        <w:fldChar w:fldCharType="separate"/>
      </w:r>
      <w:r w:rsidR="000C245D">
        <w:t xml:space="preserve">Figure </w:t>
      </w:r>
      <w:r w:rsidR="000C245D">
        <w:rPr>
          <w:noProof/>
        </w:rPr>
        <w:t>65</w:t>
      </w:r>
      <w:r>
        <w:fldChar w:fldCharType="end"/>
      </w:r>
      <w:r>
        <w:t xml:space="preserve"> suggests there are significantly variations in impacts </w:t>
      </w:r>
      <w:r w:rsidR="00C601FE">
        <w:t>associated with each</w:t>
      </w:r>
      <w:r>
        <w:t xml:space="preserve"> headspace service. </w:t>
      </w:r>
      <w:r w:rsidR="00862914">
        <w:t>The average K10, SOFAS and MLT improvements across all headspace services was 1.5,</w:t>
      </w:r>
      <w:r w:rsidR="00CC0438">
        <w:rPr>
          <w:rFonts w:ascii="ZWAdobeF" w:hAnsi="ZWAdobeF" w:cs="ZWAdobeF"/>
          <w:sz w:val="2"/>
          <w:szCs w:val="2"/>
        </w:rPr>
        <w:t>227F</w:t>
      </w:r>
      <w:r w:rsidR="00862914">
        <w:rPr>
          <w:rStyle w:val="FootnoteReference"/>
        </w:rPr>
        <w:footnoteReference w:id="229"/>
      </w:r>
      <w:r w:rsidR="00862914">
        <w:t xml:space="preserve"> 3.2 and 7.4 points, respectively.</w:t>
      </w:r>
    </w:p>
    <w:p w14:paraId="293385DE" w14:textId="321145B7" w:rsidR="002A6A78" w:rsidRPr="002804DF" w:rsidRDefault="002A6A78" w:rsidP="002A6A78">
      <w:pPr>
        <w:pStyle w:val="Caption"/>
      </w:pPr>
      <w:bookmarkStart w:id="338" w:name="_Ref97750664"/>
      <w:bookmarkStart w:id="339" w:name="_Toc108109248"/>
      <w:r>
        <w:t xml:space="preserve">Figure </w:t>
      </w:r>
      <w:r>
        <w:fldChar w:fldCharType="begin"/>
      </w:r>
      <w:r>
        <w:instrText>SEQ Figure \* ARABIC</w:instrText>
      </w:r>
      <w:r>
        <w:fldChar w:fldCharType="separate"/>
      </w:r>
      <w:r w:rsidR="00CC0438">
        <w:rPr>
          <w:noProof/>
        </w:rPr>
        <w:t>63</w:t>
      </w:r>
      <w:r>
        <w:fldChar w:fldCharType="end"/>
      </w:r>
      <w:bookmarkEnd w:id="338"/>
      <w:r>
        <w:t>: Distribution of the K10 fixed effects</w:t>
      </w:r>
      <w:bookmarkEnd w:id="339"/>
    </w:p>
    <w:p w14:paraId="38A36FCA" w14:textId="11D9818B" w:rsidR="002A6A78" w:rsidRPr="002804DF" w:rsidRDefault="00F02AED" w:rsidP="003006A8">
      <w:pPr>
        <w:pStyle w:val="BodyText"/>
      </w:pPr>
      <w:r>
        <w:rPr>
          <w:noProof/>
        </w:rPr>
        <w:drawing>
          <wp:inline distT="0" distB="0" distL="0" distR="0" wp14:anchorId="028CB2D9" wp14:editId="7D4023C7">
            <wp:extent cx="5038725" cy="3238500"/>
            <wp:effectExtent l="0" t="0" r="9525" b="0"/>
            <wp:docPr id="80" name="Picture 80" descr="Figure 63 shows the distribution of average K10 improvements for each headspace service. The average K10 improvement is 1.5.&#10;Centres typically range from improvements of 0 to 3. Three outliers have improvements of minus 1 and minus 3. An additional outlier has an improvement of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63 shows the distribution of average K10 improvements for each headspace service. The average K10 improvement is 1.5.&#10;Centres typically range from improvements of 0 to 3. Three outliers have improvements of minus 1 and minus 3. An additional outlier has an improvement of 4.5.&#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14:paraId="71045F90" w14:textId="3F1198BC" w:rsidR="002A6A78" w:rsidRPr="007B7099" w:rsidRDefault="002A6A78" w:rsidP="002A6A78">
      <w:pPr>
        <w:pStyle w:val="Source"/>
        <w:rPr>
          <w:szCs w:val="16"/>
        </w:rPr>
      </w:pPr>
      <w:r w:rsidRPr="0056348D">
        <w:rPr>
          <w:szCs w:val="16"/>
        </w:rPr>
        <w:t>Source: KPMG a</w:t>
      </w:r>
      <w:r w:rsidRPr="00E13979">
        <w:rPr>
          <w:szCs w:val="16"/>
        </w:rPr>
        <w:t>nalysis of effectiveness analy</w:t>
      </w:r>
      <w:r w:rsidRPr="00643194">
        <w:rPr>
          <w:szCs w:val="16"/>
        </w:rPr>
        <w:t>sis dataset with non-missing outcome measures – K10 analysis</w:t>
      </w:r>
    </w:p>
    <w:p w14:paraId="4FD30695" w14:textId="69162E69" w:rsidR="002A6A78" w:rsidRDefault="002A6A78" w:rsidP="002A6A78">
      <w:pPr>
        <w:pStyle w:val="Source"/>
      </w:pPr>
      <w:r w:rsidRPr="008B2185">
        <w:rPr>
          <w:szCs w:val="16"/>
        </w:rPr>
        <w:t xml:space="preserve">Notes: </w:t>
      </w:r>
      <w:r w:rsidRPr="00624964">
        <w:t xml:space="preserve">See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rsidRPr="00624964">
        <w:t xml:space="preserve"> for detailed exclusion criteria.</w:t>
      </w:r>
      <w:r>
        <w:t xml:space="preserve"> Sample includes closed episodes that were created during 2019-20; presented with a mental health or situational primary issue; had no missing main services data; had at least two </w:t>
      </w:r>
      <w:r w:rsidR="009C028B">
        <w:t>OOS</w:t>
      </w:r>
      <w:r>
        <w:t xml:space="preserve"> observations; and had an initial and final outcome measures.</w:t>
      </w:r>
      <w:r w:rsidRPr="00624964">
        <w:t xml:space="preserve"> </w:t>
      </w:r>
      <w:r w:rsidRPr="00CF2E3E">
        <w:rPr>
          <w:szCs w:val="16"/>
        </w:rPr>
        <w:t xml:space="preserve">Number of episodes: 22,348, where 5,519 out of 27,867 episodes were </w:t>
      </w:r>
      <w:r>
        <w:rPr>
          <w:szCs w:val="16"/>
        </w:rPr>
        <w:t>excluded</w:t>
      </w:r>
      <w:r w:rsidRPr="00CF2E3E">
        <w:rPr>
          <w:szCs w:val="16"/>
        </w:rPr>
        <w:t xml:space="preserve"> due to missing young persons characteristics</w:t>
      </w:r>
      <w:r>
        <w:t xml:space="preserve">. </w:t>
      </w:r>
      <w:r>
        <w:rPr>
          <w:szCs w:val="16"/>
        </w:rPr>
        <w:t>Improvement</w:t>
      </w:r>
      <w:r w:rsidRPr="001E1EB4">
        <w:rPr>
          <w:szCs w:val="16"/>
        </w:rPr>
        <w:t xml:space="preserve"> is </w:t>
      </w:r>
      <w:r>
        <w:rPr>
          <w:szCs w:val="16"/>
        </w:rPr>
        <w:t xml:space="preserve">the difference between the last observed and the initially observed outcome measures. Positive values indicate an improvement in K10 outcomes. Improvement has been adjusted for RTM. </w:t>
      </w:r>
      <w:r>
        <w:t>For services with large confidence intervals (where the upper bounds exceed 5 or the lower bound exceed 3) the sample size range from 2 to 35 episodes.</w:t>
      </w:r>
    </w:p>
    <w:p w14:paraId="6DB051ED" w14:textId="52FB2EC8" w:rsidR="002A6A78" w:rsidRPr="00F34291" w:rsidRDefault="002A6A78" w:rsidP="002A6A78">
      <w:pPr>
        <w:pStyle w:val="Caption"/>
      </w:pPr>
      <w:bookmarkStart w:id="340" w:name="_Ref97750688"/>
      <w:bookmarkStart w:id="341" w:name="_Toc108109249"/>
      <w:r>
        <w:t xml:space="preserve">Figure </w:t>
      </w:r>
      <w:r>
        <w:fldChar w:fldCharType="begin"/>
      </w:r>
      <w:r>
        <w:instrText>SEQ Figure \* ARABIC</w:instrText>
      </w:r>
      <w:r>
        <w:fldChar w:fldCharType="separate"/>
      </w:r>
      <w:r w:rsidR="00CC0438">
        <w:rPr>
          <w:noProof/>
        </w:rPr>
        <w:t>64</w:t>
      </w:r>
      <w:r>
        <w:fldChar w:fldCharType="end"/>
      </w:r>
      <w:bookmarkEnd w:id="340"/>
      <w:r>
        <w:t xml:space="preserve">: </w:t>
      </w:r>
      <w:r w:rsidRPr="00401E69">
        <w:t xml:space="preserve">Distribution of the </w:t>
      </w:r>
      <w:r>
        <w:t>SOFAS</w:t>
      </w:r>
      <w:r w:rsidRPr="00401E69">
        <w:t xml:space="preserve"> fixed effects</w:t>
      </w:r>
      <w:bookmarkEnd w:id="341"/>
    </w:p>
    <w:p w14:paraId="2043DC19" w14:textId="604B6CC3" w:rsidR="002A6A78" w:rsidRDefault="00707514" w:rsidP="003006A8">
      <w:pPr>
        <w:pStyle w:val="BodyText"/>
      </w:pPr>
      <w:r>
        <w:rPr>
          <w:noProof/>
        </w:rPr>
        <w:drawing>
          <wp:inline distT="0" distB="0" distL="0" distR="0" wp14:anchorId="088AE745" wp14:editId="454FEDC5">
            <wp:extent cx="4752975" cy="3054842"/>
            <wp:effectExtent l="0" t="0" r="0" b="0"/>
            <wp:docPr id="81" name="Picture 81" descr="Figure 64 shows the distribution of average SOFAS improvements for each headspace service. The average SOFAS improvement is 3.2.&#10;Centres typically range from 1improvements of minus 1 to 7.0. Two outliers have improvements of minus 3 and minus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Figure 64 shows the distribution of average SOFAS improvements for each headspace service. The average SOFAS improvement is 3.2.&#10;Centres typically range from 1improvements of minus 1 to 7.0. Two outliers have improvements of minus 3 and minus 8.&#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59775" cy="3059213"/>
                    </a:xfrm>
                    <a:prstGeom prst="rect">
                      <a:avLst/>
                    </a:prstGeom>
                    <a:noFill/>
                    <a:ln>
                      <a:noFill/>
                    </a:ln>
                  </pic:spPr>
                </pic:pic>
              </a:graphicData>
            </a:graphic>
          </wp:inline>
        </w:drawing>
      </w:r>
    </w:p>
    <w:p w14:paraId="665F6D3E" w14:textId="773F34E8" w:rsidR="002A6A78" w:rsidRPr="00CF2E3E" w:rsidRDefault="002A6A78" w:rsidP="001268EC">
      <w:pPr>
        <w:pStyle w:val="Source"/>
        <w:rPr>
          <w:szCs w:val="16"/>
        </w:rPr>
      </w:pPr>
      <w:r w:rsidRPr="00CF2E3E">
        <w:t>Source: KPMG analysis of effectiveness analysis dataset with non-missing outcome me</w:t>
      </w:r>
      <w:r w:rsidRPr="00CF2E3E">
        <w:rPr>
          <w:szCs w:val="16"/>
        </w:rPr>
        <w:t>asures – SOFAS</w:t>
      </w:r>
      <w:r>
        <w:rPr>
          <w:szCs w:val="16"/>
        </w:rPr>
        <w:t xml:space="preserve"> analysis</w:t>
      </w:r>
    </w:p>
    <w:p w14:paraId="75EECC45" w14:textId="12FF53C7" w:rsidR="002A6A78" w:rsidRDefault="002A6A78" w:rsidP="001268EC">
      <w:pPr>
        <w:pStyle w:val="Source"/>
      </w:pPr>
      <w:r w:rsidRPr="00CF2E3E">
        <w:t>Notes:</w:t>
      </w:r>
      <w:r>
        <w:t xml:space="preserve"> </w:t>
      </w:r>
      <w:r w:rsidRPr="00624964">
        <w:t xml:space="preserve">See </w:t>
      </w:r>
      <w:r w:rsidR="00815908">
        <w:fldChar w:fldCharType="begin" w:fldLock="1"/>
      </w:r>
      <w:r w:rsidR="00815908">
        <w:instrText xml:space="preserve"> REF _Ref98402466 \r \h </w:instrText>
      </w:r>
      <w:r w:rsidR="001268EC">
        <w:instrText xml:space="preserve"> \* MERGEFORMAT </w:instrText>
      </w:r>
      <w:r w:rsidR="00815908">
        <w:fldChar w:fldCharType="separate"/>
      </w:r>
      <w:r w:rsidR="00AE4D34">
        <w:t>Appendix F</w:t>
      </w:r>
      <w:r w:rsidR="00815908">
        <w:fldChar w:fldCharType="end"/>
      </w:r>
      <w:r w:rsidRPr="00624964">
        <w:t xml:space="preserve"> for detailed exclusion criteria.</w:t>
      </w:r>
      <w:r>
        <w:t xml:space="preserve"> Sample includes closed episodes that were created during 2019-20; presented with a mental health or situational primary issue; had no missing main services data; had at least two </w:t>
      </w:r>
      <w:r w:rsidR="009C028B">
        <w:t>OOS</w:t>
      </w:r>
      <w:r>
        <w:t xml:space="preserve"> observations; and had an initial and final outcome measure.</w:t>
      </w:r>
      <w:r w:rsidRPr="00624964">
        <w:t xml:space="preserve"> </w:t>
      </w:r>
      <w:r w:rsidRPr="00CF2E3E">
        <w:t>Number of episodes: 22,254 episodes, where 8,097 out of 30,351</w:t>
      </w:r>
      <w:r w:rsidR="007A7801">
        <w:t> </w:t>
      </w:r>
      <w:r w:rsidRPr="00CF2E3E">
        <w:t xml:space="preserve">episodes were </w:t>
      </w:r>
      <w:r>
        <w:t>excluded</w:t>
      </w:r>
      <w:r w:rsidRPr="00CF2E3E">
        <w:t xml:space="preserve"> due to missing young persons characteristics.</w:t>
      </w:r>
      <w:r>
        <w:t xml:space="preserve"> Positive values indicate an improvement in SOFAS outcomes. Improvement has been adjusted for RTM. For services with large confidence intervals (where the upper bounds exceed 10 or the lower bound exceed 10) the sample size range from 2 to 68 episodes.</w:t>
      </w:r>
    </w:p>
    <w:p w14:paraId="651F70B8" w14:textId="42B7E2E2" w:rsidR="002A6A78" w:rsidRPr="00F34291" w:rsidRDefault="002A6A78" w:rsidP="00317A7B">
      <w:pPr>
        <w:pStyle w:val="Caption"/>
        <w:keepLines/>
      </w:pPr>
      <w:bookmarkStart w:id="342" w:name="_Ref97750694"/>
      <w:bookmarkStart w:id="343" w:name="_Toc108109250"/>
      <w:r>
        <w:t xml:space="preserve">Figure </w:t>
      </w:r>
      <w:r>
        <w:fldChar w:fldCharType="begin"/>
      </w:r>
      <w:r>
        <w:instrText>SEQ Figure \* ARABIC</w:instrText>
      </w:r>
      <w:r>
        <w:fldChar w:fldCharType="separate"/>
      </w:r>
      <w:r w:rsidR="00CC0438">
        <w:rPr>
          <w:noProof/>
        </w:rPr>
        <w:t>65</w:t>
      </w:r>
      <w:r>
        <w:fldChar w:fldCharType="end"/>
      </w:r>
      <w:bookmarkEnd w:id="342"/>
      <w:r>
        <w:t xml:space="preserve">: </w:t>
      </w:r>
      <w:r w:rsidRPr="00401E69">
        <w:t xml:space="preserve">Distribution of the </w:t>
      </w:r>
      <w:r>
        <w:t>MLT</w:t>
      </w:r>
      <w:r w:rsidRPr="00401E69">
        <w:t xml:space="preserve"> fixed effects</w:t>
      </w:r>
      <w:bookmarkEnd w:id="343"/>
    </w:p>
    <w:p w14:paraId="02343437" w14:textId="489868AE" w:rsidR="002A6A78" w:rsidRDefault="00A56817" w:rsidP="003006A8">
      <w:pPr>
        <w:pStyle w:val="BodyText"/>
      </w:pPr>
      <w:r>
        <w:rPr>
          <w:noProof/>
        </w:rPr>
        <w:drawing>
          <wp:inline distT="0" distB="0" distL="0" distR="0" wp14:anchorId="4CCF88C2" wp14:editId="0C716F13">
            <wp:extent cx="4800600" cy="3085452"/>
            <wp:effectExtent l="0" t="0" r="0" b="1270"/>
            <wp:docPr id="87" name="Picture 87" descr="Figure 65 shows the distribution of average MLT improvements for each headspace service. The average MLT improvement is 7.4.&#10;Centres typically range from 1.0 improvements to 14.0 improvements. Two outliers had MLT improvements of minus 0.3 to minus 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Figure 65 shows the distribution of average MLT improvements for each headspace service. The average MLT improvement is 7.4.&#10;Centres typically range from 1.0 improvements to 14.0 improvements. Two outliers had MLT improvements of minus 0.3 to minus 0.4.&#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07601" cy="3089952"/>
                    </a:xfrm>
                    <a:prstGeom prst="rect">
                      <a:avLst/>
                    </a:prstGeom>
                    <a:noFill/>
                    <a:ln>
                      <a:noFill/>
                    </a:ln>
                  </pic:spPr>
                </pic:pic>
              </a:graphicData>
            </a:graphic>
          </wp:inline>
        </w:drawing>
      </w:r>
    </w:p>
    <w:p w14:paraId="27C3CEA4" w14:textId="24C9DA82" w:rsidR="002A6A78" w:rsidRPr="00643194" w:rsidRDefault="002A6A78" w:rsidP="00317A7B">
      <w:pPr>
        <w:pStyle w:val="Source"/>
        <w:keepNext/>
        <w:keepLines/>
        <w:rPr>
          <w:szCs w:val="16"/>
        </w:rPr>
      </w:pPr>
      <w:r w:rsidRPr="0056348D">
        <w:t>Source: KP</w:t>
      </w:r>
      <w:r w:rsidRPr="00643194">
        <w:rPr>
          <w:szCs w:val="16"/>
        </w:rPr>
        <w:t>MG analysis of effectiveness analysis dataset with non-missing outcome measures – MLT analysis</w:t>
      </w:r>
    </w:p>
    <w:p w14:paraId="1DDB26F3" w14:textId="683DC6C4" w:rsidR="002A6A78" w:rsidRPr="009E73EB" w:rsidRDefault="002A6A78" w:rsidP="00317A7B">
      <w:pPr>
        <w:pStyle w:val="Source"/>
        <w:keepNext/>
        <w:keepLines/>
        <w:rPr>
          <w:szCs w:val="16"/>
        </w:rPr>
      </w:pPr>
      <w:r w:rsidRPr="007B7099">
        <w:rPr>
          <w:szCs w:val="16"/>
        </w:rPr>
        <w:t>Notes:</w:t>
      </w:r>
      <w:r>
        <w:t xml:space="preserve"> </w:t>
      </w:r>
      <w:r w:rsidRPr="00624964">
        <w:t xml:space="preserve">See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rsidRPr="00624964">
        <w:t xml:space="preserve"> for detailed exclusion criteria.</w:t>
      </w:r>
      <w:r>
        <w:t xml:space="preserve"> Sample includes closed episodes that were created during 2019-20; presented with a mental health or situational primary issue; had no missing main services data; had at least two </w:t>
      </w:r>
      <w:r w:rsidR="009C028B">
        <w:t>OOS</w:t>
      </w:r>
      <w:r>
        <w:t xml:space="preserve"> observations; and had an initial and final outcome measure.</w:t>
      </w:r>
      <w:r w:rsidRPr="00624964">
        <w:t xml:space="preserve"> </w:t>
      </w:r>
      <w:r w:rsidRPr="007B7099">
        <w:rPr>
          <w:szCs w:val="16"/>
        </w:rPr>
        <w:t>N</w:t>
      </w:r>
      <w:r w:rsidRPr="008B2185">
        <w:rPr>
          <w:szCs w:val="16"/>
        </w:rPr>
        <w:t>umber of episodes</w:t>
      </w:r>
      <w:r w:rsidRPr="00B878DE">
        <w:rPr>
          <w:szCs w:val="16"/>
        </w:rPr>
        <w:t xml:space="preserve">: </w:t>
      </w:r>
      <w:r w:rsidRPr="00283C1B">
        <w:rPr>
          <w:szCs w:val="16"/>
        </w:rPr>
        <w:t>22</w:t>
      </w:r>
      <w:r w:rsidRPr="002804DF">
        <w:rPr>
          <w:szCs w:val="16"/>
        </w:rPr>
        <w:t>,348, where 5,609 out of 27,957 episodes were</w:t>
      </w:r>
      <w:r w:rsidRPr="00535F76">
        <w:rPr>
          <w:szCs w:val="16"/>
        </w:rPr>
        <w:t xml:space="preserve"> </w:t>
      </w:r>
      <w:r w:rsidRPr="009A71F2">
        <w:rPr>
          <w:szCs w:val="16"/>
        </w:rPr>
        <w:t>excluded due to missing young persons characteristics</w:t>
      </w:r>
      <w:r>
        <w:rPr>
          <w:szCs w:val="16"/>
        </w:rPr>
        <w:t>.</w:t>
      </w:r>
      <w:r w:rsidRPr="009E73EB">
        <w:rPr>
          <w:szCs w:val="16"/>
        </w:rPr>
        <w:t xml:space="preserve"> </w:t>
      </w:r>
      <w:r>
        <w:rPr>
          <w:szCs w:val="16"/>
        </w:rPr>
        <w:t>Positive values indicate an improvement in MLT outcomes. Improvement has been adjusted for RTM. Improvement has been adjusted for RTM.</w:t>
      </w:r>
      <w:r w:rsidRPr="009E73EB">
        <w:rPr>
          <w:szCs w:val="16"/>
        </w:rPr>
        <w:t xml:space="preserve"> For services with large confidence intervals (where the upper bounds exceed 10 or the lower bound exceed -10) the sample size range from 2 to 68 episodes.</w:t>
      </w:r>
    </w:p>
    <w:p w14:paraId="201562D4" w14:textId="77777777" w:rsidR="00B32EFC" w:rsidRDefault="00B32EFC" w:rsidP="002A6A78">
      <w:pPr>
        <w:pStyle w:val="BodyText"/>
      </w:pPr>
    </w:p>
    <w:p w14:paraId="7B71F9B0" w14:textId="2F0CFB67" w:rsidR="002A6A78" w:rsidRDefault="00B07AD7" w:rsidP="002A6A78">
      <w:pPr>
        <w:pStyle w:val="BodyText"/>
      </w:pPr>
      <w:r>
        <w:fldChar w:fldCharType="begin" w:fldLock="1"/>
      </w:r>
      <w:r>
        <w:instrText xml:space="preserve"> REF _Ref97750664 \h </w:instrText>
      </w:r>
      <w:r>
        <w:fldChar w:fldCharType="separate"/>
      </w:r>
      <w:r w:rsidR="00222470">
        <w:t xml:space="preserve">Figure </w:t>
      </w:r>
      <w:r w:rsidR="00222470">
        <w:rPr>
          <w:noProof/>
        </w:rPr>
        <w:t>63</w:t>
      </w:r>
      <w:r>
        <w:fldChar w:fldCharType="end"/>
      </w:r>
      <w:r>
        <w:t xml:space="preserve"> </w:t>
      </w:r>
      <w:r w:rsidR="002A6A78">
        <w:t xml:space="preserve">shows that there were 13 headspace services with statistically significantly higher improvements than the average improvement of 1.5, and there were ten headspace services with improvements that were statistically significantly lower than the average. </w:t>
      </w:r>
      <w:r>
        <w:fldChar w:fldCharType="begin" w:fldLock="1"/>
      </w:r>
      <w:r>
        <w:instrText xml:space="preserve"> REF _Ref97750688 \h </w:instrText>
      </w:r>
      <w:r>
        <w:fldChar w:fldCharType="separate"/>
      </w:r>
      <w:r w:rsidR="00222470">
        <w:t xml:space="preserve">Figure </w:t>
      </w:r>
      <w:r w:rsidR="00222470">
        <w:rPr>
          <w:noProof/>
        </w:rPr>
        <w:t>64</w:t>
      </w:r>
      <w:r>
        <w:fldChar w:fldCharType="end"/>
      </w:r>
      <w:r w:rsidR="002A6A78">
        <w:t xml:space="preserve">, shows only five out of the 13 services had a SOFAS improvement above the average of 3.2, with one service with an improvement below the average. In </w:t>
      </w:r>
      <w:r>
        <w:fldChar w:fldCharType="begin" w:fldLock="1"/>
      </w:r>
      <w:r>
        <w:instrText xml:space="preserve"> REF _Ref97750694 \h </w:instrText>
      </w:r>
      <w:r>
        <w:fldChar w:fldCharType="separate"/>
      </w:r>
      <w:r w:rsidR="00222470">
        <w:t xml:space="preserve">Figure </w:t>
      </w:r>
      <w:r w:rsidR="00222470">
        <w:rPr>
          <w:noProof/>
        </w:rPr>
        <w:t>65</w:t>
      </w:r>
      <w:r>
        <w:fldChar w:fldCharType="end"/>
      </w:r>
      <w:r w:rsidR="00484569">
        <w:t xml:space="preserve">, </w:t>
      </w:r>
      <w:r w:rsidR="002A6A78">
        <w:t xml:space="preserve">eight out of the 13 headspace services had MLT improvements higher than the average improvement of 7.4. </w:t>
      </w:r>
      <w:r w:rsidR="009556F2">
        <w:t>T</w:t>
      </w:r>
      <w:r w:rsidR="002A6A78">
        <w:t>he correlation between the service performance across the three outcome measures</w:t>
      </w:r>
      <w:r w:rsidR="009556F2">
        <w:t xml:space="preserve"> is summarised</w:t>
      </w:r>
      <w:r w:rsidR="002A6A78">
        <w:t xml:space="preserve"> in </w:t>
      </w:r>
      <w:r w:rsidR="00072CB6">
        <w:fldChar w:fldCharType="begin" w:fldLock="1"/>
      </w:r>
      <w:r w:rsidR="00072CB6">
        <w:instrText xml:space="preserve"> REF _Ref97749641 \h </w:instrText>
      </w:r>
      <w:r w:rsidR="00072CB6">
        <w:fldChar w:fldCharType="separate"/>
      </w:r>
      <w:r w:rsidR="00F33476">
        <w:t xml:space="preserve">Table </w:t>
      </w:r>
      <w:r w:rsidR="00F33476">
        <w:rPr>
          <w:noProof/>
        </w:rPr>
        <w:t>71</w:t>
      </w:r>
      <w:r w:rsidR="00072CB6">
        <w:fldChar w:fldCharType="end"/>
      </w:r>
      <w:r w:rsidR="002A6A78">
        <w:t xml:space="preserve">. </w:t>
      </w:r>
      <w:r w:rsidR="009556F2">
        <w:t>T</w:t>
      </w:r>
      <w:r w:rsidR="002A6A78">
        <w:t>here is a strong positive correlation between service performance in the K10 and MLT improvements, with a value of 0.7, suggesting services that deliver above average improvements in the K10 also deliver above average improvements in the MLT. By contrast, the correlation is weak between service performance on the K10 and SOFAS improvements, and the SOFAS and MLT improvements.</w:t>
      </w:r>
    </w:p>
    <w:p w14:paraId="5E84C4BB" w14:textId="4BBB241B" w:rsidR="002A6A78" w:rsidRDefault="002A6A78" w:rsidP="002A6A78">
      <w:pPr>
        <w:pStyle w:val="Caption"/>
      </w:pPr>
      <w:bookmarkStart w:id="344" w:name="_Ref97749641"/>
      <w:bookmarkStart w:id="345" w:name="_Toc108109021"/>
      <w:r>
        <w:t xml:space="preserve">Table </w:t>
      </w:r>
      <w:r>
        <w:fldChar w:fldCharType="begin"/>
      </w:r>
      <w:r>
        <w:instrText>SEQ Table \* ARABIC</w:instrText>
      </w:r>
      <w:r>
        <w:fldChar w:fldCharType="separate"/>
      </w:r>
      <w:r w:rsidR="00CC0438">
        <w:rPr>
          <w:noProof/>
        </w:rPr>
        <w:t>71</w:t>
      </w:r>
      <w:r>
        <w:fldChar w:fldCharType="end"/>
      </w:r>
      <w:bookmarkEnd w:id="344"/>
      <w:r>
        <w:t>: Correlation matrix between services fixed effects</w:t>
      </w:r>
      <w:bookmarkEnd w:id="345"/>
    </w:p>
    <w:tbl>
      <w:tblPr>
        <w:tblW w:w="5000" w:type="pct"/>
        <w:tblLook w:val="04A0" w:firstRow="1" w:lastRow="0" w:firstColumn="1" w:lastColumn="0" w:noHBand="0" w:noVBand="1"/>
        <w:tblCaption w:val="Correlation matric between service fixed effects"/>
        <w:tblDescription w:val="Table 72 has 4 columns and summarises the correlation between outcomes achieved for each of the outcome measures. Column 1 lists each of the outcome measures considered – K10, SOFAS, and MLT. Column 2 shows K10 correlation, Column 2 shows SOFAS correlation, and column 3 shows MLT correlation."/>
      </w:tblPr>
      <w:tblGrid>
        <w:gridCol w:w="2407"/>
        <w:gridCol w:w="2367"/>
        <w:gridCol w:w="2028"/>
        <w:gridCol w:w="2268"/>
      </w:tblGrid>
      <w:tr w:rsidR="002A6A78" w:rsidRPr="00D65A2D" w14:paraId="7DD8865C" w14:textId="77777777" w:rsidTr="00F27C38">
        <w:trPr>
          <w:tblHeader/>
        </w:trPr>
        <w:tc>
          <w:tcPr>
            <w:tcW w:w="1327" w:type="pct"/>
            <w:tcBorders>
              <w:bottom w:val="single" w:sz="4" w:space="0" w:color="00338D"/>
            </w:tcBorders>
            <w:shd w:val="clear" w:color="auto" w:fill="00338D"/>
          </w:tcPr>
          <w:p w14:paraId="267C1413" w14:textId="77777777" w:rsidR="002A6A78" w:rsidRDefault="002A6A78" w:rsidP="00F27C38">
            <w:pPr>
              <w:pStyle w:val="Tableheading"/>
            </w:pPr>
          </w:p>
        </w:tc>
        <w:tc>
          <w:tcPr>
            <w:tcW w:w="1305" w:type="pct"/>
            <w:tcBorders>
              <w:bottom w:val="single" w:sz="4" w:space="0" w:color="00338D"/>
            </w:tcBorders>
            <w:shd w:val="clear" w:color="auto" w:fill="00338D"/>
          </w:tcPr>
          <w:p w14:paraId="011AE417" w14:textId="77777777" w:rsidR="002A6A78" w:rsidRPr="005F2AC1" w:rsidRDefault="002A6A78" w:rsidP="00F27C38">
            <w:pPr>
              <w:pStyle w:val="Tableheading"/>
              <w:jc w:val="center"/>
            </w:pPr>
            <w:r>
              <w:t>K10</w:t>
            </w:r>
          </w:p>
        </w:tc>
        <w:tc>
          <w:tcPr>
            <w:tcW w:w="1118" w:type="pct"/>
            <w:tcBorders>
              <w:bottom w:val="single" w:sz="4" w:space="0" w:color="00338D"/>
            </w:tcBorders>
            <w:shd w:val="clear" w:color="auto" w:fill="00338D"/>
          </w:tcPr>
          <w:p w14:paraId="7FACE8E5" w14:textId="77777777" w:rsidR="002A6A78" w:rsidRPr="005F2AC1" w:rsidRDefault="002A6A78" w:rsidP="00F27C38">
            <w:pPr>
              <w:pStyle w:val="Tableheading"/>
              <w:jc w:val="center"/>
            </w:pPr>
            <w:r>
              <w:t>SOFAS</w:t>
            </w:r>
          </w:p>
        </w:tc>
        <w:tc>
          <w:tcPr>
            <w:tcW w:w="1250" w:type="pct"/>
            <w:tcBorders>
              <w:bottom w:val="single" w:sz="4" w:space="0" w:color="00338D"/>
            </w:tcBorders>
            <w:shd w:val="clear" w:color="auto" w:fill="00338D"/>
          </w:tcPr>
          <w:p w14:paraId="276F8F48" w14:textId="77777777" w:rsidR="002A6A78" w:rsidRDefault="002A6A78" w:rsidP="00F27C38">
            <w:pPr>
              <w:pStyle w:val="Tableheading"/>
              <w:jc w:val="center"/>
            </w:pPr>
            <w:r>
              <w:t>MLT</w:t>
            </w:r>
          </w:p>
        </w:tc>
      </w:tr>
      <w:tr w:rsidR="00145A5C" w14:paraId="73AD67BD" w14:textId="77777777" w:rsidTr="0032183B">
        <w:trPr>
          <w:trHeight w:val="454"/>
        </w:trPr>
        <w:tc>
          <w:tcPr>
            <w:tcW w:w="1327" w:type="pct"/>
            <w:tcBorders>
              <w:top w:val="single" w:sz="4" w:space="0" w:color="00338D"/>
            </w:tcBorders>
            <w:vAlign w:val="center"/>
          </w:tcPr>
          <w:p w14:paraId="76A76304" w14:textId="77777777" w:rsidR="00145A5C" w:rsidRPr="00145A5C" w:rsidRDefault="00145A5C" w:rsidP="00145A5C">
            <w:pPr>
              <w:pStyle w:val="Tabletext"/>
            </w:pPr>
            <w:r w:rsidRPr="00145A5C">
              <w:t>K10</w:t>
            </w:r>
          </w:p>
        </w:tc>
        <w:tc>
          <w:tcPr>
            <w:tcW w:w="1305" w:type="pct"/>
            <w:tcBorders>
              <w:top w:val="single" w:sz="4" w:space="0" w:color="00338D"/>
            </w:tcBorders>
            <w:vAlign w:val="center"/>
          </w:tcPr>
          <w:p w14:paraId="0E8E8A5D" w14:textId="77777777" w:rsidR="00145A5C" w:rsidRPr="00145A5C" w:rsidRDefault="00145A5C" w:rsidP="00145A5C">
            <w:pPr>
              <w:pStyle w:val="Tabletext"/>
              <w:jc w:val="center"/>
            </w:pPr>
            <w:r w:rsidRPr="00145A5C">
              <w:t>1.0</w:t>
            </w:r>
          </w:p>
        </w:tc>
        <w:tc>
          <w:tcPr>
            <w:tcW w:w="1118" w:type="pct"/>
            <w:tcBorders>
              <w:top w:val="single" w:sz="4" w:space="0" w:color="00338D"/>
            </w:tcBorders>
            <w:shd w:val="clear" w:color="auto" w:fill="D9D9D9" w:themeFill="background1" w:themeFillShade="D9"/>
            <w:vAlign w:val="center"/>
          </w:tcPr>
          <w:p w14:paraId="0D5ED9A5" w14:textId="77777777" w:rsidR="00145A5C" w:rsidRPr="00145A5C" w:rsidRDefault="00145A5C" w:rsidP="00145A5C">
            <w:pPr>
              <w:pStyle w:val="Tabletext"/>
              <w:jc w:val="center"/>
            </w:pPr>
          </w:p>
        </w:tc>
        <w:tc>
          <w:tcPr>
            <w:tcW w:w="1250" w:type="pct"/>
            <w:tcBorders>
              <w:top w:val="single" w:sz="4" w:space="0" w:color="00338D"/>
            </w:tcBorders>
            <w:shd w:val="clear" w:color="auto" w:fill="D9D9D9" w:themeFill="background1" w:themeFillShade="D9"/>
            <w:vAlign w:val="center"/>
          </w:tcPr>
          <w:p w14:paraId="0AD049D7" w14:textId="77777777" w:rsidR="00145A5C" w:rsidRPr="00145A5C" w:rsidRDefault="00145A5C" w:rsidP="00145A5C">
            <w:pPr>
              <w:pStyle w:val="Tabletext"/>
              <w:jc w:val="center"/>
            </w:pPr>
          </w:p>
        </w:tc>
      </w:tr>
      <w:tr w:rsidR="00145A5C" w14:paraId="3A73C02C" w14:textId="77777777" w:rsidTr="0032183B">
        <w:trPr>
          <w:trHeight w:val="454"/>
        </w:trPr>
        <w:tc>
          <w:tcPr>
            <w:tcW w:w="1327" w:type="pct"/>
            <w:tcBorders>
              <w:top w:val="single" w:sz="4" w:space="0" w:color="00338D"/>
            </w:tcBorders>
            <w:vAlign w:val="center"/>
          </w:tcPr>
          <w:p w14:paraId="61148492" w14:textId="77777777" w:rsidR="00145A5C" w:rsidRPr="00145A5C" w:rsidRDefault="00145A5C" w:rsidP="00145A5C">
            <w:pPr>
              <w:pStyle w:val="Tabletext"/>
            </w:pPr>
            <w:r w:rsidRPr="00145A5C">
              <w:t>SOFAS</w:t>
            </w:r>
          </w:p>
        </w:tc>
        <w:tc>
          <w:tcPr>
            <w:tcW w:w="1305" w:type="pct"/>
            <w:tcBorders>
              <w:top w:val="single" w:sz="4" w:space="0" w:color="00338D"/>
            </w:tcBorders>
            <w:vAlign w:val="center"/>
          </w:tcPr>
          <w:p w14:paraId="6B2EAFB3" w14:textId="77777777" w:rsidR="00145A5C" w:rsidRPr="00145A5C" w:rsidRDefault="00145A5C" w:rsidP="00145A5C">
            <w:pPr>
              <w:pStyle w:val="Tabletext"/>
              <w:jc w:val="center"/>
            </w:pPr>
            <w:r w:rsidRPr="00145A5C">
              <w:t>-0.1</w:t>
            </w:r>
          </w:p>
        </w:tc>
        <w:tc>
          <w:tcPr>
            <w:tcW w:w="1118" w:type="pct"/>
            <w:tcBorders>
              <w:top w:val="single" w:sz="4" w:space="0" w:color="00338D"/>
            </w:tcBorders>
            <w:vAlign w:val="center"/>
          </w:tcPr>
          <w:p w14:paraId="79175DFC" w14:textId="77777777" w:rsidR="00145A5C" w:rsidRPr="00145A5C" w:rsidRDefault="00145A5C" w:rsidP="00145A5C">
            <w:pPr>
              <w:pStyle w:val="Tabletext"/>
              <w:jc w:val="center"/>
            </w:pPr>
            <w:r w:rsidRPr="00145A5C">
              <w:t>1.0</w:t>
            </w:r>
          </w:p>
        </w:tc>
        <w:tc>
          <w:tcPr>
            <w:tcW w:w="1250" w:type="pct"/>
            <w:tcBorders>
              <w:top w:val="single" w:sz="4" w:space="0" w:color="00338D"/>
            </w:tcBorders>
            <w:shd w:val="clear" w:color="auto" w:fill="D9D9D9" w:themeFill="background1" w:themeFillShade="D9"/>
            <w:vAlign w:val="center"/>
          </w:tcPr>
          <w:p w14:paraId="107D8569" w14:textId="77777777" w:rsidR="00145A5C" w:rsidRPr="00145A5C" w:rsidRDefault="00145A5C" w:rsidP="00145A5C">
            <w:pPr>
              <w:pStyle w:val="Tabletext"/>
              <w:jc w:val="center"/>
            </w:pPr>
          </w:p>
        </w:tc>
      </w:tr>
      <w:tr w:rsidR="00145A5C" w14:paraId="4851A353" w14:textId="77777777" w:rsidTr="0032183B">
        <w:trPr>
          <w:trHeight w:val="454"/>
        </w:trPr>
        <w:tc>
          <w:tcPr>
            <w:tcW w:w="1327" w:type="pct"/>
            <w:tcBorders>
              <w:top w:val="single" w:sz="4" w:space="0" w:color="00338D"/>
            </w:tcBorders>
            <w:vAlign w:val="center"/>
          </w:tcPr>
          <w:p w14:paraId="2E4D5AA1" w14:textId="77777777" w:rsidR="00145A5C" w:rsidRPr="00145A5C" w:rsidRDefault="00145A5C" w:rsidP="00145A5C">
            <w:pPr>
              <w:pStyle w:val="Tabletext"/>
            </w:pPr>
            <w:r w:rsidRPr="00145A5C">
              <w:t>MLT</w:t>
            </w:r>
          </w:p>
        </w:tc>
        <w:tc>
          <w:tcPr>
            <w:tcW w:w="1305" w:type="pct"/>
            <w:tcBorders>
              <w:top w:val="single" w:sz="4" w:space="0" w:color="00338D"/>
            </w:tcBorders>
            <w:vAlign w:val="center"/>
          </w:tcPr>
          <w:p w14:paraId="689A9E50" w14:textId="77777777" w:rsidR="00145A5C" w:rsidRPr="00145A5C" w:rsidRDefault="00145A5C" w:rsidP="00145A5C">
            <w:pPr>
              <w:pStyle w:val="Tabletext"/>
              <w:jc w:val="center"/>
            </w:pPr>
            <w:r w:rsidRPr="00145A5C">
              <w:t>0.7</w:t>
            </w:r>
          </w:p>
        </w:tc>
        <w:tc>
          <w:tcPr>
            <w:tcW w:w="1118" w:type="pct"/>
            <w:tcBorders>
              <w:top w:val="single" w:sz="4" w:space="0" w:color="00338D"/>
            </w:tcBorders>
            <w:vAlign w:val="center"/>
          </w:tcPr>
          <w:p w14:paraId="0EB85C60" w14:textId="77777777" w:rsidR="00145A5C" w:rsidRPr="00145A5C" w:rsidRDefault="00145A5C" w:rsidP="00145A5C">
            <w:pPr>
              <w:pStyle w:val="Tabletext"/>
              <w:jc w:val="center"/>
            </w:pPr>
            <w:r w:rsidRPr="00145A5C">
              <w:t>0.1</w:t>
            </w:r>
          </w:p>
        </w:tc>
        <w:tc>
          <w:tcPr>
            <w:tcW w:w="1250" w:type="pct"/>
            <w:tcBorders>
              <w:top w:val="single" w:sz="4" w:space="0" w:color="00338D"/>
            </w:tcBorders>
            <w:vAlign w:val="center"/>
          </w:tcPr>
          <w:p w14:paraId="51BC8546" w14:textId="77777777" w:rsidR="00145A5C" w:rsidRPr="00145A5C" w:rsidRDefault="00145A5C" w:rsidP="00145A5C">
            <w:pPr>
              <w:pStyle w:val="Tabletext"/>
              <w:jc w:val="center"/>
            </w:pPr>
            <w:r w:rsidRPr="00145A5C">
              <w:t>1.0</w:t>
            </w:r>
          </w:p>
        </w:tc>
      </w:tr>
    </w:tbl>
    <w:p w14:paraId="0F99DBA8" w14:textId="4DDAEB61" w:rsidR="002A6A78" w:rsidRDefault="002A6A78" w:rsidP="008C0D6B">
      <w:pPr>
        <w:pStyle w:val="Source"/>
      </w:pPr>
      <w:r w:rsidRPr="00624964">
        <w:t>Source: KPMG analysis of effectiveness analysis dataset with non-missing outcome measures – K10 analysis</w:t>
      </w:r>
      <w:r>
        <w:t>, SOFAS analysis and MLT analysis</w:t>
      </w:r>
    </w:p>
    <w:p w14:paraId="1C8C84F0" w14:textId="24FF465D" w:rsidR="002A6A78" w:rsidRPr="0051153D" w:rsidRDefault="002A6A78" w:rsidP="008C0D6B">
      <w:pPr>
        <w:pStyle w:val="Source"/>
        <w:rPr>
          <w:szCs w:val="16"/>
        </w:rPr>
      </w:pPr>
      <w:r>
        <w:t xml:space="preserve">Notes: </w:t>
      </w:r>
      <w:r w:rsidRPr="00624964">
        <w:t xml:space="preserve">See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rsidRPr="00624964">
        <w:t xml:space="preserve"> for detailed exclusion criteria.</w:t>
      </w:r>
      <w:r>
        <w:t xml:space="preserve"> Sample includes closed episodes that were created during 2019-20; presented with a mental health or situational primary issue; had no missing main services data; had at least two </w:t>
      </w:r>
      <w:r w:rsidR="009C028B">
        <w:t>OOS</w:t>
      </w:r>
      <w:r>
        <w:t xml:space="preserve"> observations; and had an initial and final outcome measure.</w:t>
      </w:r>
      <w:r w:rsidRPr="00624964">
        <w:t xml:space="preserve"> Number of episodes: 27,867</w:t>
      </w:r>
      <w:r>
        <w:t xml:space="preserve"> (K10), 30,351 (SOFAS) and 27,957</w:t>
      </w:r>
      <w:r w:rsidR="00F337C2">
        <w:t> </w:t>
      </w:r>
      <w:r>
        <w:t xml:space="preserve">(MLT). </w:t>
      </w:r>
      <w:r>
        <w:rPr>
          <w:szCs w:val="16"/>
        </w:rPr>
        <w:t>Improvement</w:t>
      </w:r>
      <w:r w:rsidRPr="001E1EB4">
        <w:rPr>
          <w:szCs w:val="16"/>
        </w:rPr>
        <w:t xml:space="preserve"> is </w:t>
      </w:r>
      <w:r>
        <w:rPr>
          <w:szCs w:val="16"/>
        </w:rPr>
        <w:t xml:space="preserve">the difference between the last observed and the initially observed outcome measure. </w:t>
      </w:r>
      <w:r w:rsidR="008C0D6B">
        <w:rPr>
          <w:szCs w:val="16"/>
        </w:rPr>
        <w:t>Improvements across the K10, SOFAS and MLT measures have</w:t>
      </w:r>
      <w:r>
        <w:rPr>
          <w:szCs w:val="16"/>
        </w:rPr>
        <w:t xml:space="preserve"> been adjusted for RTM.</w:t>
      </w:r>
    </w:p>
    <w:p w14:paraId="19191DD5" w14:textId="77777777" w:rsidR="002A6A78" w:rsidRDefault="002A6A78" w:rsidP="0032183B">
      <w:pPr>
        <w:pStyle w:val="AppendixHeading3"/>
      </w:pPr>
      <w:r>
        <w:t>Factors associated with positive outcomes</w:t>
      </w:r>
    </w:p>
    <w:p w14:paraId="739A393C" w14:textId="6453A5A0" w:rsidR="002A6A78" w:rsidRDefault="002A6A78" w:rsidP="002A6A78">
      <w:pPr>
        <w:pStyle w:val="BodyText"/>
      </w:pPr>
      <w:r>
        <w:t>T</w:t>
      </w:r>
      <w:r w:rsidRPr="00452282">
        <w:t xml:space="preserve">he number of </w:t>
      </w:r>
      <w:r w:rsidR="007B2863">
        <w:t>OOS</w:t>
      </w:r>
      <w:r>
        <w:t xml:space="preserve"> is a key factor associated with positive outcomes. This finding reiterates the importance of ensuring young people access the requisite number of sessions in order to maximise the benefit from attending headspace.</w:t>
      </w:r>
    </w:p>
    <w:p w14:paraId="7E92B039" w14:textId="77777777" w:rsidR="002A6A78" w:rsidRDefault="002A6A78" w:rsidP="002A6A78">
      <w:pPr>
        <w:pStyle w:val="BodyText"/>
      </w:pPr>
      <w:r>
        <w:t xml:space="preserve">A young person’s initial level of mental distress, as measured by the K10, was also an important factor in explaining variation in outcomes, with those with worse initial distress likely to experience a greater improvement. While this finding reflects the greater potential for improvement in this cohort, it does highlight that headspace can be effective at improving outcomes for young people with more severe levels of distress. </w:t>
      </w:r>
    </w:p>
    <w:p w14:paraId="5C7F7D9B" w14:textId="12FA52FE" w:rsidR="002A6A78" w:rsidRDefault="002A6A78" w:rsidP="002A6A78">
      <w:pPr>
        <w:pStyle w:val="BodyText"/>
      </w:pPr>
      <w:r>
        <w:t xml:space="preserve">Other young person attributes were not a major driver of variation in outcomes, which highlights that headspace, in general, makes positive improvements to all young person cohorts. Nonetheless, LGBTQIA+ and Aboriginal and Torres Strait Islander young people consistently experienced smaller improvements than </w:t>
      </w:r>
      <w:r w:rsidR="0058510C" w:rsidRPr="00424359">
        <w:t>young people who do not identify</w:t>
      </w:r>
      <w:r w:rsidR="0058510C">
        <w:t xml:space="preserve"> as</w:t>
      </w:r>
      <w:r w:rsidR="0058510C" w:rsidRPr="00424359">
        <w:t xml:space="preserve"> </w:t>
      </w:r>
      <w:r>
        <w:t xml:space="preserve">LGBTQIA+ and </w:t>
      </w:r>
      <w:r w:rsidR="0058510C" w:rsidRPr="00424359">
        <w:t xml:space="preserve">young people who do not identify </w:t>
      </w:r>
      <w:r w:rsidR="0058510C">
        <w:t>as</w:t>
      </w:r>
      <w:r w:rsidR="00B132BB">
        <w:t xml:space="preserve"> </w:t>
      </w:r>
      <w:r>
        <w:t xml:space="preserve">Aboriginal and Torres Strait Islander cohorts respectively, which suggests there is potential for further improvement in maximising outcomes for priority cohorts. </w:t>
      </w:r>
    </w:p>
    <w:p w14:paraId="220289BD" w14:textId="77777777" w:rsidR="002A6A78" w:rsidRDefault="002A6A78" w:rsidP="002A6A78">
      <w:pPr>
        <w:pStyle w:val="BodyText"/>
      </w:pPr>
      <w:r>
        <w:t xml:space="preserve">Individual services factors also make a sizeable contribution to the K10, MLT and SOFAS outcomes, with services that deliver above average results in the K10 also likely to deliver above average results in the MLT. The specific service factors associated with above average services are investigated in the next section. </w:t>
      </w:r>
    </w:p>
    <w:p w14:paraId="34ADAB5E" w14:textId="5DB72D14" w:rsidR="003368FD" w:rsidRDefault="003368FD" w:rsidP="0032183B">
      <w:pPr>
        <w:pStyle w:val="AppendixHeading3"/>
      </w:pPr>
      <w:r>
        <w:t>Factors associated with negative or zero outcomes</w:t>
      </w:r>
    </w:p>
    <w:p w14:paraId="0ECF27A9" w14:textId="0704C8B2" w:rsidR="00087B16" w:rsidRDefault="00A61C85" w:rsidP="002A6A78">
      <w:pPr>
        <w:pStyle w:val="BodyText"/>
      </w:pPr>
      <w:r w:rsidRPr="00753154">
        <w:t xml:space="preserve">Not every </w:t>
      </w:r>
      <w:r w:rsidR="00C27DC8" w:rsidRPr="00753154">
        <w:t>sampled episode experienced a positive improvement by the closure of their episode of care. Around 55</w:t>
      </w:r>
      <w:r w:rsidR="007B3761" w:rsidRPr="00753154">
        <w:t>, 38 and 37</w:t>
      </w:r>
      <w:r w:rsidR="00C27DC8" w:rsidRPr="00753154">
        <w:t xml:space="preserve"> per</w:t>
      </w:r>
      <w:r w:rsidR="00A37527">
        <w:t xml:space="preserve"> </w:t>
      </w:r>
      <w:r w:rsidR="00C27DC8" w:rsidRPr="00753154">
        <w:t xml:space="preserve">cent of closed episodes created after June 2019 had </w:t>
      </w:r>
      <w:r w:rsidR="007B3761" w:rsidRPr="00753154">
        <w:t xml:space="preserve">a zero or negative mental health improvement </w:t>
      </w:r>
      <w:r w:rsidR="008C570E" w:rsidRPr="00753154">
        <w:t>according to the K10, SOFAS and MLT outcome measures, respectively.</w:t>
      </w:r>
    </w:p>
    <w:p w14:paraId="5F237D68" w14:textId="7805E242" w:rsidR="009234BF" w:rsidRDefault="00FE74B4" w:rsidP="002A6A78">
      <w:pPr>
        <w:pStyle w:val="BodyText"/>
      </w:pPr>
      <w:r>
        <w:t>As highlighted above</w:t>
      </w:r>
      <w:r w:rsidR="00FB2585">
        <w:t xml:space="preserve">, episodes with at least six </w:t>
      </w:r>
      <w:r w:rsidR="007B2863">
        <w:t>OOS</w:t>
      </w:r>
      <w:r w:rsidR="00FB2585">
        <w:t xml:space="preserve"> experienced the highest </w:t>
      </w:r>
      <w:r w:rsidR="009F64C4">
        <w:t>improvement in their mental health outcomes</w:t>
      </w:r>
      <w:r w:rsidR="00232787">
        <w:t>. Further higher levels of initial distress (as measured by the K10) is positively correlated with improvements in the K10, SOFAS and MLT ou</w:t>
      </w:r>
      <w:r w:rsidR="002958CF">
        <w:t>t</w:t>
      </w:r>
      <w:r w:rsidR="00232787">
        <w:t xml:space="preserve">comes. </w:t>
      </w:r>
    </w:p>
    <w:p w14:paraId="33F25E28" w14:textId="3D92B7F8" w:rsidR="00623CE1" w:rsidRDefault="00D832DC" w:rsidP="002A6A78">
      <w:pPr>
        <w:pStyle w:val="BodyText"/>
      </w:pPr>
      <w:r>
        <w:t>Around 20</w:t>
      </w:r>
      <w:r w:rsidR="00605954">
        <w:t xml:space="preserve"> per</w:t>
      </w:r>
      <w:r w:rsidR="00A37527">
        <w:t xml:space="preserve"> </w:t>
      </w:r>
      <w:r w:rsidR="00605954">
        <w:t xml:space="preserve">cent of the sampled episodes with </w:t>
      </w:r>
      <w:r w:rsidR="00267199">
        <w:t>non-positive</w:t>
      </w:r>
      <w:r w:rsidR="00605954">
        <w:t xml:space="preserve"> K10 outcomes</w:t>
      </w:r>
      <w:r w:rsidR="00AB1AB9">
        <w:t xml:space="preserve"> entered headspace with high or very high mental distress and received more than six </w:t>
      </w:r>
      <w:r w:rsidR="007B2863">
        <w:t>OOS</w:t>
      </w:r>
      <w:r w:rsidR="00AB1AB9">
        <w:t xml:space="preserve">. For episodes with </w:t>
      </w:r>
      <w:r w:rsidR="00267199">
        <w:t>non-positive</w:t>
      </w:r>
      <w:r w:rsidR="00AB1AB9">
        <w:t xml:space="preserve"> SOFAS </w:t>
      </w:r>
      <w:r w:rsidR="00AD131D">
        <w:t>or MLT outcomes</w:t>
      </w:r>
      <w:r w:rsidR="00AB1AB9">
        <w:t xml:space="preserve">, </w:t>
      </w:r>
      <w:r w:rsidR="00AD131D">
        <w:t>the proportions are 20 and 18 per</w:t>
      </w:r>
      <w:r w:rsidR="00A37527">
        <w:t xml:space="preserve"> </w:t>
      </w:r>
      <w:r w:rsidR="00AD131D">
        <w:t xml:space="preserve">cent, respectively. </w:t>
      </w:r>
      <w:r w:rsidR="00267199">
        <w:t>These episodes are a minority of episodes with reported non-positive outcomes</w:t>
      </w:r>
      <w:r w:rsidR="00CB65AB">
        <w:t>.</w:t>
      </w:r>
    </w:p>
    <w:p w14:paraId="40A87D23" w14:textId="602D7564" w:rsidR="0032183B" w:rsidRDefault="0032183B" w:rsidP="002A6A78">
      <w:pPr>
        <w:pStyle w:val="BodyText"/>
      </w:pPr>
      <w:r w:rsidRPr="0032183B">
        <w:t>The number of OOS, and the individual service itself, are the key drivers of variation in outcomes. Young people who go on to access at least six to eight OOS achieve the greatest improvement in outcomes.</w:t>
      </w:r>
    </w:p>
    <w:p w14:paraId="5BBD5B57" w14:textId="77777777" w:rsidR="002A6A78" w:rsidDel="003A71A2" w:rsidRDefault="002A6A78" w:rsidP="00A84B44">
      <w:pPr>
        <w:pStyle w:val="AppendixHeading2"/>
        <w:rPr>
          <w:lang w:eastAsia="en-AU"/>
        </w:rPr>
      </w:pPr>
      <w:bookmarkStart w:id="346" w:name="_Ref98326486"/>
      <w:r w:rsidRPr="003C19B1" w:rsidDel="003A71A2">
        <w:rPr>
          <w:lang w:eastAsia="en-AU"/>
        </w:rPr>
        <w:t xml:space="preserve">What factors are associated with </w:t>
      </w:r>
      <w:r>
        <w:rPr>
          <w:lang w:eastAsia="en-AU"/>
        </w:rPr>
        <w:t>above average headspace services?</w:t>
      </w:r>
      <w:bookmarkEnd w:id="346"/>
    </w:p>
    <w:p w14:paraId="0A65FF69" w14:textId="6A5D653C" w:rsidR="002A6A78" w:rsidRDefault="00695E0B" w:rsidP="002A6A78">
      <w:pPr>
        <w:pStyle w:val="BodyText"/>
      </w:pPr>
      <w:r>
        <w:t>The effectiveness analysis is followed up by second level regression to analyse the relationship between the service fixed effects and service-level factors.</w:t>
      </w:r>
      <w:r w:rsidR="001A5BA1">
        <w:t xml:space="preserve"> These fixed effects </w:t>
      </w:r>
      <w:r w:rsidR="00920528">
        <w:t xml:space="preserve">represent the average K10, SOFAS and MLT improvements delivered </w:t>
      </w:r>
      <w:r w:rsidR="002803C4">
        <w:t xml:space="preserve">for each service as estimated with the coefficients listed under </w:t>
      </w:r>
      <w:r w:rsidR="002803C4">
        <w:fldChar w:fldCharType="begin" w:fldLock="1"/>
      </w:r>
      <w:r w:rsidR="002803C4">
        <w:instrText xml:space="preserve"> REF _Ref98251425 \h </w:instrText>
      </w:r>
      <w:r w:rsidR="002803C4">
        <w:fldChar w:fldCharType="separate"/>
      </w:r>
      <w:r w:rsidR="00F33476">
        <w:t xml:space="preserve">Table </w:t>
      </w:r>
      <w:r w:rsidR="00F33476">
        <w:rPr>
          <w:noProof/>
        </w:rPr>
        <w:t>72</w:t>
      </w:r>
      <w:r w:rsidR="002803C4">
        <w:fldChar w:fldCharType="end"/>
      </w:r>
      <w:r w:rsidR="002803C4">
        <w:t>.</w:t>
      </w:r>
      <w:r w:rsidR="00870B30">
        <w:t xml:space="preserve"> This report estimated</w:t>
      </w:r>
      <w:r w:rsidR="002A6A78">
        <w:t xml:space="preserve"> another multivariate linear regression to analyse drivers of variation across headspace services. A range of explanatory factors were considered below</w:t>
      </w:r>
      <w:r w:rsidR="00A97146">
        <w:t>:</w:t>
      </w:r>
    </w:p>
    <w:p w14:paraId="06041AB7" w14:textId="40114821" w:rsidR="002A6A78" w:rsidRPr="00082DD5" w:rsidRDefault="002A6A78" w:rsidP="00072CB6">
      <w:pPr>
        <w:pStyle w:val="Bullet1stlevel"/>
        <w:rPr>
          <w:i/>
        </w:rPr>
      </w:pPr>
      <w:r>
        <w:rPr>
          <w:bCs/>
          <w:iCs/>
        </w:rPr>
        <w:t xml:space="preserve">Service-specific factors such as </w:t>
      </w:r>
      <w:r w:rsidRPr="00EF062D">
        <w:rPr>
          <w:bCs/>
          <w:iCs/>
        </w:rPr>
        <w:t>maturity</w:t>
      </w:r>
      <w:r>
        <w:rPr>
          <w:bCs/>
          <w:iCs/>
        </w:rPr>
        <w:t xml:space="preserve"> and size (as measured by service volumes), share of </w:t>
      </w:r>
      <w:r w:rsidR="007B2863">
        <w:rPr>
          <w:bCs/>
          <w:iCs/>
        </w:rPr>
        <w:t>OOS</w:t>
      </w:r>
      <w:r>
        <w:rPr>
          <w:bCs/>
          <w:iCs/>
        </w:rPr>
        <w:t xml:space="preserve"> funded through the MBS, that are mental health services, and if the headspace service is a </w:t>
      </w:r>
      <w:r w:rsidR="006817F2">
        <w:rPr>
          <w:bCs/>
          <w:iCs/>
        </w:rPr>
        <w:t>headspace</w:t>
      </w:r>
      <w:r>
        <w:rPr>
          <w:bCs/>
          <w:iCs/>
        </w:rPr>
        <w:t xml:space="preserve"> centre or satellite service. </w:t>
      </w:r>
    </w:p>
    <w:p w14:paraId="6681A177" w14:textId="77777777" w:rsidR="002A6A78" w:rsidRPr="00082DD5" w:rsidRDefault="002A6A78" w:rsidP="00072CB6">
      <w:pPr>
        <w:pStyle w:val="Bullet1stlevel"/>
        <w:rPr>
          <w:i/>
        </w:rPr>
      </w:pPr>
      <w:r>
        <w:rPr>
          <w:bCs/>
          <w:iCs/>
        </w:rPr>
        <w:t xml:space="preserve">Geographic factors such as rurality and state of the headspace service, to account for regional differences. </w:t>
      </w:r>
    </w:p>
    <w:p w14:paraId="26F47B0D" w14:textId="4F162ED6" w:rsidR="00184B96" w:rsidRDefault="00184B96" w:rsidP="003006A8">
      <w:pPr>
        <w:pStyle w:val="BodyText"/>
      </w:pPr>
      <w:r>
        <w:t>The regression is as follows:</w:t>
      </w:r>
    </w:p>
    <w:p w14:paraId="0C217B1E" w14:textId="77777777" w:rsidR="00184B96" w:rsidRPr="00E23D1A" w:rsidRDefault="00F333C3" w:rsidP="00184B96">
      <w:pPr>
        <w:pStyle w:val="BodyText"/>
        <w:jc w:val="center"/>
        <w:rPr>
          <w:rFonts w:ascii="Cambria Math" w:hAnsi="Cambria Math"/>
          <w:oMath/>
        </w:rPr>
      </w:pPr>
      <m:oMathPara>
        <m:oMath>
          <m:sSub>
            <m:sSubPr>
              <m:ctrlPr>
                <w:rPr>
                  <w:rFonts w:ascii="Cambria Math" w:hAnsi="Cambria Math"/>
                  <w:i/>
                </w:rPr>
              </m:ctrlPr>
            </m:sSubPr>
            <m:e>
              <m:r>
                <w:rPr>
                  <w:rFonts w:ascii="Cambria Math" w:hAnsi="Cambria Math"/>
                </w:rPr>
                <m:t>γ</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s</m:t>
              </m:r>
            </m:sub>
          </m:sSub>
        </m:oMath>
      </m:oMathPara>
    </w:p>
    <w:p w14:paraId="7B7CD5C2" w14:textId="77777777" w:rsidR="00184B96" w:rsidRDefault="00184B96" w:rsidP="003006A8">
      <w:pPr>
        <w:pStyle w:val="BodyText"/>
      </w:pPr>
      <w:r>
        <w:t>where:</w:t>
      </w:r>
    </w:p>
    <w:p w14:paraId="7F216597" w14:textId="7061FB4F" w:rsidR="00184B96" w:rsidRDefault="00F333C3" w:rsidP="00184B96">
      <w:pPr>
        <w:pStyle w:val="Bullet1stlevel"/>
      </w:pPr>
      <m:oMath>
        <m:sSub>
          <m:sSubPr>
            <m:ctrlPr>
              <w:rPr>
                <w:rFonts w:ascii="Cambria Math" w:hAnsi="Cambria Math"/>
                <w:i/>
              </w:rPr>
            </m:ctrlPr>
          </m:sSubPr>
          <m:e>
            <m:r>
              <w:rPr>
                <w:rFonts w:ascii="Cambria Math" w:hAnsi="Cambria Math"/>
              </w:rPr>
              <m:t>γ</m:t>
            </m:r>
          </m:e>
          <m:sub>
            <m:r>
              <w:rPr>
                <w:rFonts w:ascii="Cambria Math" w:hAnsi="Cambria Math"/>
              </w:rPr>
              <m:t>s</m:t>
            </m:r>
          </m:sub>
        </m:sSub>
      </m:oMath>
      <w:r w:rsidR="00184B96">
        <w:rPr>
          <w:rFonts w:eastAsiaTheme="minorEastAsia"/>
        </w:rPr>
        <w:t xml:space="preserve"> </w:t>
      </w:r>
      <w:r w:rsidR="00184B96">
        <w:t xml:space="preserve">represents the K10, SOFAS or MLT fixed effects for service </w:t>
      </w:r>
      <m:oMath>
        <m:r>
          <w:rPr>
            <w:rFonts w:ascii="Cambria Math" w:hAnsi="Cambria Math"/>
          </w:rPr>
          <m:t>s</m:t>
        </m:r>
      </m:oMath>
      <w:r w:rsidR="00184B96">
        <w:rPr>
          <w:rFonts w:eastAsiaTheme="minorEastAsia"/>
        </w:rPr>
        <w:t>;</w:t>
      </w:r>
    </w:p>
    <w:p w14:paraId="3F434445" w14:textId="77777777" w:rsidR="00184B96" w:rsidRDefault="00F333C3" w:rsidP="00184B96">
      <w:pPr>
        <w:pStyle w:val="Bullet1stlevel"/>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184B96" w:rsidRPr="00255937">
        <w:t xml:space="preserve"> represents a numerical constant;</w:t>
      </w:r>
    </w:p>
    <w:p w14:paraId="129EF2FF" w14:textId="74842429" w:rsidR="00184B96" w:rsidRPr="00A31B59" w:rsidRDefault="00F333C3" w:rsidP="00184B96">
      <w:pPr>
        <w:pStyle w:val="Bullet1stlevel"/>
      </w:pP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00184B96" w:rsidRPr="00255937">
        <w:t xml:space="preserve"> represents </w:t>
      </w:r>
      <w:r w:rsidR="00184B96">
        <w:t>a vector</w:t>
      </w:r>
      <w:r w:rsidR="00184B96" w:rsidRPr="00255937">
        <w:t xml:space="preserve"> of </w:t>
      </w:r>
      <w:r w:rsidR="00184B96">
        <w:t xml:space="preserve">service-level explanatory factors including the service’s maturity (in number of years), the service size (log of </w:t>
      </w:r>
      <w:r w:rsidR="009C028B">
        <w:t>OOS</w:t>
      </w:r>
      <w:r w:rsidR="00184B96">
        <w:t xml:space="preserve">), the percentage of </w:t>
      </w:r>
      <w:r w:rsidR="009C028B">
        <w:t>OOS</w:t>
      </w:r>
      <w:r w:rsidR="00184B96">
        <w:t xml:space="preserve"> funded by the MBS, the percentage of </w:t>
      </w:r>
      <w:r w:rsidR="009C028B">
        <w:t>OOS</w:t>
      </w:r>
      <w:r w:rsidR="00184B96">
        <w:t xml:space="preserve"> that is a mental health service, lead agency type, whether the service is a centre, the service’s state and territory, and the service’s regionality. </w:t>
      </w:r>
    </w:p>
    <w:p w14:paraId="76DCD1A3" w14:textId="77777777" w:rsidR="00184B96" w:rsidRDefault="00184B96" w:rsidP="00184B96">
      <w:pPr>
        <w:pStyle w:val="Bullet1stlevel"/>
        <w:numPr>
          <w:ilvl w:val="0"/>
          <w:numId w:val="0"/>
        </w:numPr>
        <w:ind w:left="357"/>
      </w:pPr>
      <m:oMath>
        <m:r>
          <w:rPr>
            <w:rFonts w:ascii="Cambria Math" w:hAnsi="Cambria Math"/>
          </w:rPr>
          <m:t>β</m:t>
        </m:r>
      </m:oMath>
      <w:r w:rsidRPr="00255937">
        <w:t xml:space="preserve"> </w:t>
      </w:r>
      <w:r>
        <w:t xml:space="preserve">represents the relevant </w:t>
      </w:r>
      <w:r w:rsidRPr="00255937">
        <w:t>coefficient estimates</w:t>
      </w:r>
      <w:r>
        <w:t>; and</w:t>
      </w:r>
    </w:p>
    <w:p w14:paraId="1063527A" w14:textId="77777777" w:rsidR="00184B96" w:rsidRPr="005A43F7" w:rsidRDefault="00F333C3" w:rsidP="00184B96">
      <w:pPr>
        <w:pStyle w:val="Bullet1stlevel"/>
      </w:pPr>
      <m:oMath>
        <m:sSub>
          <m:sSubPr>
            <m:ctrlPr>
              <w:rPr>
                <w:rFonts w:ascii="Cambria Math" w:hAnsi="Cambria Math"/>
              </w:rPr>
            </m:ctrlPr>
          </m:sSubPr>
          <m:e>
            <m:r>
              <m:rPr>
                <m:sty m:val="p"/>
              </m:rPr>
              <w:rPr>
                <w:rFonts w:ascii="Cambria Math" w:hAnsi="Cambria Math"/>
              </w:rPr>
              <m:t>ϵ</m:t>
            </m:r>
          </m:e>
          <m:sub>
            <m:r>
              <m:rPr>
                <m:sty m:val="p"/>
              </m:rPr>
              <w:rPr>
                <w:rFonts w:ascii="Cambria Math" w:hAnsi="Cambria Math"/>
              </w:rPr>
              <m:t>i</m:t>
            </m:r>
          </m:sub>
        </m:sSub>
      </m:oMath>
      <w:r w:rsidR="00184B96" w:rsidRPr="00255937">
        <w:t xml:space="preserve"> represents an error component. </w:t>
      </w:r>
    </w:p>
    <w:p w14:paraId="437C82A6" w14:textId="026549E3" w:rsidR="00A97146" w:rsidRDefault="00184B96" w:rsidP="00184B96">
      <w:pPr>
        <w:pStyle w:val="BodyText2"/>
      </w:pPr>
      <w:r>
        <w:t xml:space="preserve">The </w:t>
      </w:r>
      <w:r w:rsidR="006C7A31">
        <w:t>coefficient estimates for</w:t>
      </w:r>
      <w:r>
        <w:t xml:space="preserve"> this regression are summarised under </w:t>
      </w:r>
      <w:r w:rsidR="006C7A31">
        <w:fldChar w:fldCharType="begin" w:fldLock="1"/>
      </w:r>
      <w:r w:rsidR="006C7A31">
        <w:instrText xml:space="preserve"> REF _Ref98251425 \h </w:instrText>
      </w:r>
      <w:r w:rsidR="006C7A31">
        <w:fldChar w:fldCharType="separate"/>
      </w:r>
      <w:r w:rsidR="00F33476">
        <w:t xml:space="preserve">Table </w:t>
      </w:r>
      <w:r w:rsidR="00F33476">
        <w:rPr>
          <w:noProof/>
        </w:rPr>
        <w:t>72</w:t>
      </w:r>
      <w:r w:rsidR="006C7A31">
        <w:fldChar w:fldCharType="end"/>
      </w:r>
      <w:r w:rsidR="006C7A31">
        <w:t xml:space="preserve">. The coefficient estimates </w:t>
      </w:r>
      <w:r w:rsidR="006C7A31" w:rsidRPr="0032183B">
        <w:rPr>
          <w:rStyle w:val="BodyTextChar"/>
        </w:rPr>
        <w:t>are interpr</w:t>
      </w:r>
      <w:r w:rsidR="00097F46" w:rsidRPr="0032183B">
        <w:rPr>
          <w:rStyle w:val="BodyTextChar"/>
        </w:rPr>
        <w:t>e</w:t>
      </w:r>
      <w:r w:rsidR="006C7A31" w:rsidRPr="0032183B">
        <w:rPr>
          <w:rStyle w:val="BodyTextChar"/>
        </w:rPr>
        <w:t xml:space="preserve">ted as the factor’s impact, holding all other factors constant, </w:t>
      </w:r>
      <w:r w:rsidR="00133AC5" w:rsidRPr="0032183B">
        <w:rPr>
          <w:rStyle w:val="BodyTextChar"/>
        </w:rPr>
        <w:t>on the service’s influence on mental health improvements.</w:t>
      </w:r>
    </w:p>
    <w:p w14:paraId="48AC39E7" w14:textId="3973694B" w:rsidR="00BC5FF4" w:rsidRPr="00BC5FF4" w:rsidRDefault="00A97146" w:rsidP="00BC5FF4">
      <w:pPr>
        <w:pStyle w:val="BodyText"/>
      </w:pPr>
      <w:r>
        <w:t xml:space="preserve">Summary results are reported in </w:t>
      </w:r>
      <w:r w:rsidR="00BC6035">
        <w:fldChar w:fldCharType="begin" w:fldLock="1"/>
      </w:r>
      <w:r w:rsidR="00BC6035">
        <w:instrText xml:space="preserve"> REF _Ref97750778 \h </w:instrText>
      </w:r>
      <w:r w:rsidR="00BC6035">
        <w:fldChar w:fldCharType="separate"/>
      </w:r>
      <w:r w:rsidR="000C245D">
        <w:t xml:space="preserve">Figure </w:t>
      </w:r>
      <w:r w:rsidR="000C245D">
        <w:rPr>
          <w:noProof/>
        </w:rPr>
        <w:t>66</w:t>
      </w:r>
      <w:r w:rsidR="00BC6035">
        <w:fldChar w:fldCharType="end"/>
      </w:r>
      <w:r w:rsidR="00BC6035">
        <w:t xml:space="preserve">, </w:t>
      </w:r>
      <w:r w:rsidR="00BC6035">
        <w:fldChar w:fldCharType="begin" w:fldLock="1"/>
      </w:r>
      <w:r w:rsidR="00BC6035">
        <w:instrText xml:space="preserve"> REF _Ref97750795 \h </w:instrText>
      </w:r>
      <w:r w:rsidR="00BC6035">
        <w:fldChar w:fldCharType="separate"/>
      </w:r>
      <w:r w:rsidR="000C245D">
        <w:t xml:space="preserve">Figure </w:t>
      </w:r>
      <w:r w:rsidR="000C245D">
        <w:rPr>
          <w:noProof/>
        </w:rPr>
        <w:t>67</w:t>
      </w:r>
      <w:r w:rsidR="00BC6035">
        <w:fldChar w:fldCharType="end"/>
      </w:r>
      <w:r w:rsidR="00BC6035">
        <w:t xml:space="preserve"> and </w:t>
      </w:r>
      <w:r w:rsidR="00BC6035">
        <w:fldChar w:fldCharType="begin" w:fldLock="1"/>
      </w:r>
      <w:r w:rsidR="00BC6035">
        <w:instrText xml:space="preserve"> REF _Ref97750810 \h </w:instrText>
      </w:r>
      <w:r w:rsidR="00BC6035">
        <w:fldChar w:fldCharType="separate"/>
      </w:r>
      <w:r w:rsidR="000C245D">
        <w:t xml:space="preserve">Figure </w:t>
      </w:r>
      <w:r w:rsidR="000C245D">
        <w:rPr>
          <w:noProof/>
        </w:rPr>
        <w:t>68</w:t>
      </w:r>
      <w:r w:rsidR="00BC6035">
        <w:fldChar w:fldCharType="end"/>
      </w:r>
      <w:r>
        <w:t xml:space="preserve"> below </w:t>
      </w:r>
      <w:r w:rsidR="00FA094D">
        <w:t xml:space="preserve">along with a discussion </w:t>
      </w:r>
      <w:r>
        <w:t>highlight</w:t>
      </w:r>
      <w:r w:rsidR="00FA094D">
        <w:t>ing</w:t>
      </w:r>
      <w:r>
        <w:t xml:space="preserve"> how a service’s average improvement varies depending on the service-specific and geographic factors. </w:t>
      </w:r>
      <w:r w:rsidR="000F5757">
        <w:t xml:space="preserve">The estimates presented </w:t>
      </w:r>
      <w:r w:rsidR="00A7319F">
        <w:fldChar w:fldCharType="begin" w:fldLock="1"/>
      </w:r>
      <w:r w:rsidR="00A7319F">
        <w:instrText xml:space="preserve"> REF _Ref97750778 \h </w:instrText>
      </w:r>
      <w:r w:rsidR="00A7319F">
        <w:fldChar w:fldCharType="separate"/>
      </w:r>
      <w:r w:rsidR="000C245D">
        <w:t xml:space="preserve">Figure </w:t>
      </w:r>
      <w:r w:rsidR="000C245D">
        <w:rPr>
          <w:noProof/>
        </w:rPr>
        <w:t>66</w:t>
      </w:r>
      <w:r w:rsidR="00A7319F">
        <w:fldChar w:fldCharType="end"/>
      </w:r>
      <w:r w:rsidR="00A7319F">
        <w:t xml:space="preserve">, </w:t>
      </w:r>
      <w:r w:rsidR="00A7319F">
        <w:fldChar w:fldCharType="begin" w:fldLock="1"/>
      </w:r>
      <w:r w:rsidR="00A7319F">
        <w:instrText xml:space="preserve"> REF _Ref97750795 \h </w:instrText>
      </w:r>
      <w:r w:rsidR="00A7319F">
        <w:fldChar w:fldCharType="separate"/>
      </w:r>
      <w:r w:rsidR="000C245D">
        <w:t xml:space="preserve">Figure </w:t>
      </w:r>
      <w:r w:rsidR="000C245D">
        <w:rPr>
          <w:noProof/>
        </w:rPr>
        <w:t>67</w:t>
      </w:r>
      <w:r w:rsidR="00A7319F">
        <w:fldChar w:fldCharType="end"/>
      </w:r>
      <w:r w:rsidR="00A7319F">
        <w:t xml:space="preserve"> and </w:t>
      </w:r>
      <w:r w:rsidR="00A7319F">
        <w:fldChar w:fldCharType="begin" w:fldLock="1"/>
      </w:r>
      <w:r w:rsidR="00A7319F">
        <w:instrText xml:space="preserve"> REF _Ref97750810 \h </w:instrText>
      </w:r>
      <w:r w:rsidR="00A7319F">
        <w:fldChar w:fldCharType="separate"/>
      </w:r>
      <w:r w:rsidR="000C245D">
        <w:t xml:space="preserve">Figure </w:t>
      </w:r>
      <w:r w:rsidR="000C245D">
        <w:rPr>
          <w:noProof/>
        </w:rPr>
        <w:t>68</w:t>
      </w:r>
      <w:r w:rsidR="00A7319F">
        <w:fldChar w:fldCharType="end"/>
      </w:r>
      <w:r w:rsidR="00A7319F">
        <w:t xml:space="preserve"> </w:t>
      </w:r>
      <w:r w:rsidR="000F5757">
        <w:t>highlight the average mental health improvement delivered by a specific service type.</w:t>
      </w:r>
    </w:p>
    <w:p w14:paraId="619FCC16" w14:textId="52F5249D" w:rsidR="00C84F62" w:rsidRPr="00C84F62" w:rsidRDefault="00184B96" w:rsidP="00C84F62">
      <w:pPr>
        <w:pStyle w:val="Caption"/>
      </w:pPr>
      <w:bookmarkStart w:id="347" w:name="_Ref98251425"/>
      <w:bookmarkStart w:id="348" w:name="_Toc108109022"/>
      <w:r>
        <w:t xml:space="preserve">Table </w:t>
      </w:r>
      <w:r>
        <w:fldChar w:fldCharType="begin"/>
      </w:r>
      <w:r>
        <w:instrText>SEQ Table \* ARABIC</w:instrText>
      </w:r>
      <w:r>
        <w:fldChar w:fldCharType="separate"/>
      </w:r>
      <w:r w:rsidR="00CC0438">
        <w:rPr>
          <w:noProof/>
        </w:rPr>
        <w:t>72</w:t>
      </w:r>
      <w:r>
        <w:fldChar w:fldCharType="end"/>
      </w:r>
      <w:bookmarkEnd w:id="347"/>
      <w:r>
        <w:t>: Linear regression of service-specific components on service fixed effects.</w:t>
      </w:r>
      <w:bookmarkEnd w:id="348"/>
    </w:p>
    <w:tbl>
      <w:tblPr>
        <w:tblW w:w="5000" w:type="pct"/>
        <w:tblLook w:val="04A0" w:firstRow="1" w:lastRow="0" w:firstColumn="1" w:lastColumn="0" w:noHBand="0" w:noVBand="1"/>
        <w:tblCaption w:val="Linear regression of service-specific components on service fixed effects"/>
        <w:tblDescription w:val="Table has 4 columns, and presents results from the linear regression undertaken for service specific factors for outcomes achieved through headspace services. Column 1 provides the independent variables considered. Column 2 shows the results for the K10 measure. Column 3 shows the results for the SOFAS measure. Column 4 shows the results for the MLT measure."/>
      </w:tblPr>
      <w:tblGrid>
        <w:gridCol w:w="2407"/>
        <w:gridCol w:w="2367"/>
        <w:gridCol w:w="2028"/>
        <w:gridCol w:w="2268"/>
      </w:tblGrid>
      <w:tr w:rsidR="0032183B" w:rsidRPr="0032183B" w14:paraId="7CA9E91E" w14:textId="77777777" w:rsidTr="0032183B">
        <w:trPr>
          <w:tblHeader/>
        </w:trPr>
        <w:tc>
          <w:tcPr>
            <w:tcW w:w="1327" w:type="pct"/>
            <w:vMerge w:val="restart"/>
            <w:shd w:val="clear" w:color="auto" w:fill="00338D"/>
            <w:vAlign w:val="bottom"/>
          </w:tcPr>
          <w:p w14:paraId="4A655038" w14:textId="77777777" w:rsidR="0032183B" w:rsidRPr="0032183B" w:rsidRDefault="0032183B" w:rsidP="0032183B">
            <w:pPr>
              <w:pStyle w:val="Tableheading"/>
            </w:pPr>
            <w:r w:rsidRPr="0032183B">
              <w:t>Independent variables</w:t>
            </w:r>
          </w:p>
        </w:tc>
        <w:tc>
          <w:tcPr>
            <w:tcW w:w="3673" w:type="pct"/>
            <w:gridSpan w:val="3"/>
            <w:tcBorders>
              <w:bottom w:val="single" w:sz="4" w:space="0" w:color="00338D"/>
            </w:tcBorders>
            <w:shd w:val="clear" w:color="auto" w:fill="00338D"/>
          </w:tcPr>
          <w:p w14:paraId="2BC34139" w14:textId="77777777" w:rsidR="0032183B" w:rsidRPr="0032183B" w:rsidRDefault="0032183B" w:rsidP="00184B96">
            <w:pPr>
              <w:pStyle w:val="Tableheading"/>
              <w:jc w:val="center"/>
              <w:rPr>
                <w:i/>
                <w:iCs/>
              </w:rPr>
            </w:pPr>
            <w:r w:rsidRPr="0032183B">
              <w:t>Service fixed effects on</w:t>
            </w:r>
            <w:r w:rsidRPr="0032183B">
              <w:rPr>
                <w:i/>
                <w:iCs/>
              </w:rPr>
              <w:t>:</w:t>
            </w:r>
          </w:p>
        </w:tc>
      </w:tr>
      <w:tr w:rsidR="0032183B" w:rsidRPr="0032183B" w14:paraId="3DA33B61" w14:textId="77777777" w:rsidTr="00184B96">
        <w:trPr>
          <w:tblHeader/>
        </w:trPr>
        <w:tc>
          <w:tcPr>
            <w:tcW w:w="1327" w:type="pct"/>
            <w:vMerge/>
            <w:tcBorders>
              <w:bottom w:val="single" w:sz="4" w:space="0" w:color="00338D"/>
            </w:tcBorders>
            <w:shd w:val="clear" w:color="auto" w:fill="00338D"/>
          </w:tcPr>
          <w:p w14:paraId="1D6113B2" w14:textId="77777777" w:rsidR="0032183B" w:rsidRPr="0032183B" w:rsidRDefault="0032183B" w:rsidP="00184B96">
            <w:pPr>
              <w:pStyle w:val="Tableheading"/>
            </w:pPr>
          </w:p>
        </w:tc>
        <w:tc>
          <w:tcPr>
            <w:tcW w:w="1305" w:type="pct"/>
            <w:tcBorders>
              <w:bottom w:val="single" w:sz="4" w:space="0" w:color="00338D"/>
            </w:tcBorders>
            <w:shd w:val="clear" w:color="auto" w:fill="00338D"/>
          </w:tcPr>
          <w:p w14:paraId="303D4771" w14:textId="77777777" w:rsidR="0032183B" w:rsidRPr="0032183B" w:rsidRDefault="0032183B" w:rsidP="00184B96">
            <w:pPr>
              <w:pStyle w:val="Tableheading"/>
              <w:jc w:val="center"/>
            </w:pPr>
            <w:r w:rsidRPr="0032183B">
              <w:t xml:space="preserve">K10 </w:t>
            </w:r>
          </w:p>
          <w:p w14:paraId="39EA813C" w14:textId="77777777" w:rsidR="0032183B" w:rsidRPr="0032183B" w:rsidRDefault="0032183B" w:rsidP="00184B96">
            <w:pPr>
              <w:pStyle w:val="Tableheading"/>
              <w:jc w:val="center"/>
            </w:pPr>
            <w:r w:rsidRPr="0032183B">
              <w:t>(1)</w:t>
            </w:r>
          </w:p>
        </w:tc>
        <w:tc>
          <w:tcPr>
            <w:tcW w:w="1118" w:type="pct"/>
            <w:tcBorders>
              <w:bottom w:val="single" w:sz="4" w:space="0" w:color="00338D"/>
            </w:tcBorders>
            <w:shd w:val="clear" w:color="auto" w:fill="00338D"/>
          </w:tcPr>
          <w:p w14:paraId="746CA3B3" w14:textId="77777777" w:rsidR="0032183B" w:rsidRPr="0032183B" w:rsidRDefault="0032183B" w:rsidP="00184B96">
            <w:pPr>
              <w:pStyle w:val="Tableheading"/>
              <w:jc w:val="center"/>
            </w:pPr>
            <w:r w:rsidRPr="0032183B">
              <w:t>SOFAS</w:t>
            </w:r>
          </w:p>
          <w:p w14:paraId="06D1001E" w14:textId="77777777" w:rsidR="0032183B" w:rsidRPr="0032183B" w:rsidRDefault="0032183B" w:rsidP="00184B96">
            <w:pPr>
              <w:pStyle w:val="Tableheading"/>
              <w:jc w:val="center"/>
            </w:pPr>
            <w:r w:rsidRPr="0032183B">
              <w:t>(2)</w:t>
            </w:r>
          </w:p>
        </w:tc>
        <w:tc>
          <w:tcPr>
            <w:tcW w:w="1250" w:type="pct"/>
            <w:tcBorders>
              <w:bottom w:val="single" w:sz="4" w:space="0" w:color="00338D"/>
            </w:tcBorders>
            <w:shd w:val="clear" w:color="auto" w:fill="00338D"/>
          </w:tcPr>
          <w:p w14:paraId="1AFE3C91" w14:textId="77777777" w:rsidR="0032183B" w:rsidRPr="0032183B" w:rsidRDefault="0032183B" w:rsidP="00184B96">
            <w:pPr>
              <w:pStyle w:val="Tableheading"/>
              <w:jc w:val="center"/>
            </w:pPr>
            <w:r w:rsidRPr="0032183B">
              <w:t xml:space="preserve">MLT </w:t>
            </w:r>
          </w:p>
          <w:p w14:paraId="26664CF6" w14:textId="77777777" w:rsidR="0032183B" w:rsidRPr="0032183B" w:rsidRDefault="0032183B" w:rsidP="00184B96">
            <w:pPr>
              <w:pStyle w:val="Tableheading"/>
              <w:jc w:val="center"/>
            </w:pPr>
            <w:r w:rsidRPr="0032183B">
              <w:t>(3)</w:t>
            </w:r>
          </w:p>
        </w:tc>
      </w:tr>
      <w:tr w:rsidR="0032183B" w:rsidRPr="0032183B" w14:paraId="72AF8C90" w14:textId="77777777" w:rsidTr="0032183B">
        <w:trPr>
          <w:trHeight w:val="170"/>
        </w:trPr>
        <w:tc>
          <w:tcPr>
            <w:tcW w:w="1327" w:type="pct"/>
            <w:vMerge w:val="restart"/>
            <w:tcBorders>
              <w:top w:val="single" w:sz="4" w:space="0" w:color="00338D"/>
            </w:tcBorders>
            <w:vAlign w:val="center"/>
          </w:tcPr>
          <w:p w14:paraId="3A29D30D" w14:textId="77777777" w:rsidR="0032183B" w:rsidRPr="0032183B" w:rsidRDefault="0032183B" w:rsidP="0032183B">
            <w:pPr>
              <w:pStyle w:val="Tabletext"/>
              <w:rPr>
                <w:szCs w:val="20"/>
              </w:rPr>
            </w:pPr>
            <w:r w:rsidRPr="0032183B">
              <w:rPr>
                <w:szCs w:val="20"/>
              </w:rPr>
              <w:t>Service maturity (year)</w:t>
            </w:r>
          </w:p>
        </w:tc>
        <w:tc>
          <w:tcPr>
            <w:tcW w:w="1305" w:type="pct"/>
            <w:tcBorders>
              <w:top w:val="single" w:sz="4" w:space="0" w:color="00338D"/>
            </w:tcBorders>
          </w:tcPr>
          <w:p w14:paraId="71927941" w14:textId="77777777" w:rsidR="0032183B" w:rsidRPr="0032183B" w:rsidRDefault="0032183B" w:rsidP="00184B96">
            <w:pPr>
              <w:pStyle w:val="Tabletext"/>
              <w:jc w:val="center"/>
              <w:rPr>
                <w:szCs w:val="20"/>
              </w:rPr>
            </w:pPr>
            <w:r w:rsidRPr="0032183B">
              <w:rPr>
                <w:szCs w:val="20"/>
              </w:rPr>
              <w:t>0.003</w:t>
            </w:r>
          </w:p>
        </w:tc>
        <w:tc>
          <w:tcPr>
            <w:tcW w:w="1118" w:type="pct"/>
            <w:tcBorders>
              <w:top w:val="single" w:sz="4" w:space="0" w:color="00338D"/>
            </w:tcBorders>
          </w:tcPr>
          <w:p w14:paraId="1B42A328" w14:textId="77777777" w:rsidR="0032183B" w:rsidRPr="0032183B" w:rsidRDefault="0032183B" w:rsidP="00184B96">
            <w:pPr>
              <w:pStyle w:val="Tabletext"/>
              <w:jc w:val="center"/>
              <w:rPr>
                <w:szCs w:val="20"/>
              </w:rPr>
            </w:pPr>
            <w:r w:rsidRPr="0032183B">
              <w:rPr>
                <w:szCs w:val="20"/>
              </w:rPr>
              <w:t>-0.05</w:t>
            </w:r>
          </w:p>
        </w:tc>
        <w:tc>
          <w:tcPr>
            <w:tcW w:w="1250" w:type="pct"/>
            <w:tcBorders>
              <w:top w:val="single" w:sz="4" w:space="0" w:color="00338D"/>
            </w:tcBorders>
          </w:tcPr>
          <w:p w14:paraId="667A08C6" w14:textId="77777777" w:rsidR="0032183B" w:rsidRPr="0032183B" w:rsidRDefault="0032183B" w:rsidP="00184B96">
            <w:pPr>
              <w:pStyle w:val="Tabletext"/>
              <w:jc w:val="center"/>
              <w:rPr>
                <w:szCs w:val="20"/>
              </w:rPr>
            </w:pPr>
            <w:r w:rsidRPr="0032183B">
              <w:rPr>
                <w:szCs w:val="20"/>
              </w:rPr>
              <w:t>0.02</w:t>
            </w:r>
          </w:p>
        </w:tc>
      </w:tr>
      <w:tr w:rsidR="0032183B" w:rsidRPr="0032183B" w14:paraId="3EC0FB22" w14:textId="77777777" w:rsidTr="00184B96">
        <w:trPr>
          <w:trHeight w:val="170"/>
        </w:trPr>
        <w:tc>
          <w:tcPr>
            <w:tcW w:w="1327" w:type="pct"/>
            <w:vMerge/>
            <w:tcBorders>
              <w:bottom w:val="single" w:sz="4" w:space="0" w:color="00338D"/>
            </w:tcBorders>
          </w:tcPr>
          <w:p w14:paraId="53B05B16" w14:textId="77777777" w:rsidR="0032183B" w:rsidRPr="0032183B" w:rsidRDefault="0032183B" w:rsidP="00184B96">
            <w:pPr>
              <w:pStyle w:val="Tabletext"/>
              <w:ind w:left="177"/>
              <w:jc w:val="center"/>
              <w:rPr>
                <w:szCs w:val="20"/>
              </w:rPr>
            </w:pPr>
          </w:p>
        </w:tc>
        <w:tc>
          <w:tcPr>
            <w:tcW w:w="1305" w:type="pct"/>
            <w:tcBorders>
              <w:bottom w:val="single" w:sz="4" w:space="0" w:color="00338D"/>
            </w:tcBorders>
          </w:tcPr>
          <w:p w14:paraId="2FA32EB0" w14:textId="77777777" w:rsidR="0032183B" w:rsidRPr="0032183B" w:rsidRDefault="0032183B" w:rsidP="00184B96">
            <w:pPr>
              <w:pStyle w:val="Tabletext"/>
              <w:jc w:val="center"/>
              <w:rPr>
                <w:szCs w:val="20"/>
              </w:rPr>
            </w:pPr>
            <w:r w:rsidRPr="0032183B">
              <w:rPr>
                <w:szCs w:val="20"/>
              </w:rPr>
              <w:t>(0.03)</w:t>
            </w:r>
          </w:p>
        </w:tc>
        <w:tc>
          <w:tcPr>
            <w:tcW w:w="1118" w:type="pct"/>
            <w:tcBorders>
              <w:bottom w:val="single" w:sz="4" w:space="0" w:color="00338D"/>
            </w:tcBorders>
          </w:tcPr>
          <w:p w14:paraId="2242EBA8" w14:textId="77777777" w:rsidR="0032183B" w:rsidRPr="0032183B" w:rsidRDefault="0032183B" w:rsidP="00184B96">
            <w:pPr>
              <w:pStyle w:val="Tabletext"/>
              <w:jc w:val="center"/>
              <w:rPr>
                <w:szCs w:val="20"/>
              </w:rPr>
            </w:pPr>
            <w:r w:rsidRPr="0032183B">
              <w:rPr>
                <w:szCs w:val="20"/>
              </w:rPr>
              <w:t>(0.07)</w:t>
            </w:r>
          </w:p>
        </w:tc>
        <w:tc>
          <w:tcPr>
            <w:tcW w:w="1250" w:type="pct"/>
            <w:tcBorders>
              <w:bottom w:val="single" w:sz="4" w:space="0" w:color="00338D"/>
            </w:tcBorders>
          </w:tcPr>
          <w:p w14:paraId="7C575E13" w14:textId="77777777" w:rsidR="0032183B" w:rsidRPr="0032183B" w:rsidRDefault="0032183B" w:rsidP="00184B96">
            <w:pPr>
              <w:pStyle w:val="Tabletext"/>
              <w:jc w:val="center"/>
              <w:rPr>
                <w:szCs w:val="20"/>
              </w:rPr>
            </w:pPr>
            <w:r w:rsidRPr="0032183B">
              <w:rPr>
                <w:szCs w:val="20"/>
              </w:rPr>
              <w:t>(0.09)</w:t>
            </w:r>
          </w:p>
        </w:tc>
      </w:tr>
      <w:tr w:rsidR="0032183B" w:rsidRPr="0032183B" w14:paraId="00CFC9B4" w14:textId="77777777" w:rsidTr="0032183B">
        <w:trPr>
          <w:trHeight w:val="170"/>
        </w:trPr>
        <w:tc>
          <w:tcPr>
            <w:tcW w:w="1327" w:type="pct"/>
            <w:vMerge w:val="restart"/>
            <w:tcBorders>
              <w:top w:val="single" w:sz="4" w:space="0" w:color="00338D"/>
            </w:tcBorders>
            <w:vAlign w:val="center"/>
          </w:tcPr>
          <w:p w14:paraId="0C6F277D" w14:textId="77777777" w:rsidR="0032183B" w:rsidRPr="0032183B" w:rsidRDefault="0032183B" w:rsidP="0032183B">
            <w:pPr>
              <w:pStyle w:val="Tabletext"/>
              <w:rPr>
                <w:szCs w:val="20"/>
              </w:rPr>
            </w:pPr>
            <w:r w:rsidRPr="0032183B">
              <w:rPr>
                <w:szCs w:val="20"/>
              </w:rPr>
              <w:t>Log (Service size)</w:t>
            </w:r>
          </w:p>
        </w:tc>
        <w:tc>
          <w:tcPr>
            <w:tcW w:w="1305" w:type="pct"/>
            <w:tcBorders>
              <w:top w:val="single" w:sz="4" w:space="0" w:color="00338D"/>
            </w:tcBorders>
          </w:tcPr>
          <w:p w14:paraId="1F4A9B9D" w14:textId="77777777" w:rsidR="0032183B" w:rsidRPr="0032183B" w:rsidRDefault="0032183B" w:rsidP="00184B96">
            <w:pPr>
              <w:pStyle w:val="Tabletext"/>
              <w:jc w:val="center"/>
              <w:rPr>
                <w:szCs w:val="20"/>
              </w:rPr>
            </w:pPr>
            <w:r w:rsidRPr="0032183B">
              <w:rPr>
                <w:szCs w:val="20"/>
              </w:rPr>
              <w:t>-0.3</w:t>
            </w:r>
          </w:p>
        </w:tc>
        <w:tc>
          <w:tcPr>
            <w:tcW w:w="1118" w:type="pct"/>
            <w:tcBorders>
              <w:top w:val="single" w:sz="4" w:space="0" w:color="00338D"/>
            </w:tcBorders>
          </w:tcPr>
          <w:p w14:paraId="0C40882A" w14:textId="77777777" w:rsidR="0032183B" w:rsidRPr="0032183B" w:rsidRDefault="0032183B" w:rsidP="00184B96">
            <w:pPr>
              <w:pStyle w:val="Tabletext"/>
              <w:jc w:val="center"/>
              <w:rPr>
                <w:szCs w:val="20"/>
              </w:rPr>
            </w:pPr>
            <w:r w:rsidRPr="0032183B">
              <w:rPr>
                <w:szCs w:val="20"/>
              </w:rPr>
              <w:t>1.0**</w:t>
            </w:r>
          </w:p>
        </w:tc>
        <w:tc>
          <w:tcPr>
            <w:tcW w:w="1250" w:type="pct"/>
            <w:tcBorders>
              <w:top w:val="single" w:sz="4" w:space="0" w:color="00338D"/>
            </w:tcBorders>
          </w:tcPr>
          <w:p w14:paraId="22B47A97" w14:textId="77777777" w:rsidR="0032183B" w:rsidRPr="0032183B" w:rsidRDefault="0032183B" w:rsidP="00184B96">
            <w:pPr>
              <w:pStyle w:val="Tabletext"/>
              <w:jc w:val="center"/>
              <w:rPr>
                <w:szCs w:val="20"/>
              </w:rPr>
            </w:pPr>
            <w:r w:rsidRPr="0032183B">
              <w:rPr>
                <w:szCs w:val="20"/>
              </w:rPr>
              <w:t>-0.9</w:t>
            </w:r>
          </w:p>
        </w:tc>
      </w:tr>
      <w:tr w:rsidR="0032183B" w:rsidRPr="0032183B" w14:paraId="232602CF" w14:textId="77777777" w:rsidTr="00184B96">
        <w:trPr>
          <w:trHeight w:val="170"/>
        </w:trPr>
        <w:tc>
          <w:tcPr>
            <w:tcW w:w="1327" w:type="pct"/>
            <w:vMerge/>
            <w:tcBorders>
              <w:bottom w:val="single" w:sz="4" w:space="0" w:color="00338D"/>
            </w:tcBorders>
          </w:tcPr>
          <w:p w14:paraId="3E799F82" w14:textId="77777777" w:rsidR="0032183B" w:rsidRPr="0032183B" w:rsidRDefault="0032183B" w:rsidP="00184B96">
            <w:pPr>
              <w:pStyle w:val="Tabletext"/>
              <w:ind w:left="177"/>
              <w:rPr>
                <w:szCs w:val="20"/>
              </w:rPr>
            </w:pPr>
          </w:p>
        </w:tc>
        <w:tc>
          <w:tcPr>
            <w:tcW w:w="1305" w:type="pct"/>
            <w:tcBorders>
              <w:bottom w:val="single" w:sz="4" w:space="0" w:color="00338D"/>
            </w:tcBorders>
          </w:tcPr>
          <w:p w14:paraId="5AE92301" w14:textId="77777777" w:rsidR="0032183B" w:rsidRPr="0032183B" w:rsidRDefault="0032183B" w:rsidP="00184B96">
            <w:pPr>
              <w:pStyle w:val="Tabletext"/>
              <w:jc w:val="center"/>
              <w:rPr>
                <w:szCs w:val="20"/>
              </w:rPr>
            </w:pPr>
            <w:r w:rsidRPr="0032183B">
              <w:rPr>
                <w:szCs w:val="20"/>
              </w:rPr>
              <w:t>(0.19)</w:t>
            </w:r>
          </w:p>
        </w:tc>
        <w:tc>
          <w:tcPr>
            <w:tcW w:w="1118" w:type="pct"/>
            <w:tcBorders>
              <w:bottom w:val="single" w:sz="4" w:space="0" w:color="00338D"/>
            </w:tcBorders>
          </w:tcPr>
          <w:p w14:paraId="3CF0CE6E" w14:textId="77777777" w:rsidR="0032183B" w:rsidRPr="0032183B" w:rsidRDefault="0032183B" w:rsidP="00184B96">
            <w:pPr>
              <w:pStyle w:val="Tabletext"/>
              <w:jc w:val="center"/>
              <w:rPr>
                <w:szCs w:val="20"/>
              </w:rPr>
            </w:pPr>
            <w:r w:rsidRPr="0032183B">
              <w:rPr>
                <w:szCs w:val="20"/>
              </w:rPr>
              <w:t>(0.46)</w:t>
            </w:r>
          </w:p>
        </w:tc>
        <w:tc>
          <w:tcPr>
            <w:tcW w:w="1250" w:type="pct"/>
            <w:tcBorders>
              <w:bottom w:val="single" w:sz="4" w:space="0" w:color="00338D"/>
            </w:tcBorders>
          </w:tcPr>
          <w:p w14:paraId="7D2C2F78" w14:textId="77777777" w:rsidR="0032183B" w:rsidRPr="0032183B" w:rsidRDefault="0032183B" w:rsidP="00184B96">
            <w:pPr>
              <w:pStyle w:val="Tabletext"/>
              <w:jc w:val="center"/>
              <w:rPr>
                <w:szCs w:val="20"/>
              </w:rPr>
            </w:pPr>
            <w:r w:rsidRPr="0032183B">
              <w:rPr>
                <w:szCs w:val="20"/>
              </w:rPr>
              <w:t>(0.57)</w:t>
            </w:r>
          </w:p>
        </w:tc>
      </w:tr>
      <w:tr w:rsidR="0032183B" w:rsidRPr="0032183B" w14:paraId="7BD47E33" w14:textId="77777777" w:rsidTr="0032183B">
        <w:trPr>
          <w:trHeight w:val="170"/>
        </w:trPr>
        <w:tc>
          <w:tcPr>
            <w:tcW w:w="1327" w:type="pct"/>
            <w:vMerge w:val="restart"/>
            <w:tcBorders>
              <w:top w:val="single" w:sz="4" w:space="0" w:color="00338D"/>
            </w:tcBorders>
            <w:vAlign w:val="center"/>
          </w:tcPr>
          <w:p w14:paraId="0F6B8A54" w14:textId="77777777" w:rsidR="0032183B" w:rsidRPr="00D558FC" w:rsidRDefault="0032183B" w:rsidP="00D558FC">
            <w:pPr>
              <w:pStyle w:val="Tabletext"/>
            </w:pPr>
            <w:r w:rsidRPr="00D558FC">
              <w:t xml:space="preserve">% of OOS funded by </w:t>
            </w:r>
          </w:p>
          <w:p w14:paraId="04468E8D" w14:textId="2BA6688C" w:rsidR="0032183B" w:rsidRPr="00D558FC" w:rsidRDefault="0032183B" w:rsidP="00D558FC">
            <w:pPr>
              <w:pStyle w:val="Tabletext"/>
            </w:pPr>
            <w:r w:rsidRPr="00D558FC">
              <w:t>MBS</w:t>
            </w:r>
          </w:p>
        </w:tc>
        <w:tc>
          <w:tcPr>
            <w:tcW w:w="1305" w:type="pct"/>
            <w:tcBorders>
              <w:top w:val="single" w:sz="4" w:space="0" w:color="00338D"/>
            </w:tcBorders>
          </w:tcPr>
          <w:p w14:paraId="21D7786A" w14:textId="77777777" w:rsidR="0032183B" w:rsidRPr="0032183B" w:rsidRDefault="0032183B" w:rsidP="00184B96">
            <w:pPr>
              <w:pStyle w:val="Tabletext"/>
              <w:jc w:val="center"/>
              <w:rPr>
                <w:szCs w:val="20"/>
              </w:rPr>
            </w:pPr>
            <w:r w:rsidRPr="0032183B">
              <w:rPr>
                <w:szCs w:val="20"/>
              </w:rPr>
              <w:t>-0.01</w:t>
            </w:r>
          </w:p>
        </w:tc>
        <w:tc>
          <w:tcPr>
            <w:tcW w:w="1118" w:type="pct"/>
            <w:tcBorders>
              <w:top w:val="single" w:sz="4" w:space="0" w:color="00338D"/>
            </w:tcBorders>
          </w:tcPr>
          <w:p w14:paraId="62332F08" w14:textId="77777777" w:rsidR="0032183B" w:rsidRPr="0032183B" w:rsidRDefault="0032183B" w:rsidP="00184B96">
            <w:pPr>
              <w:pStyle w:val="Tabletext"/>
              <w:jc w:val="center"/>
              <w:rPr>
                <w:szCs w:val="20"/>
              </w:rPr>
            </w:pPr>
            <w:r w:rsidRPr="0032183B">
              <w:rPr>
                <w:szCs w:val="20"/>
              </w:rPr>
              <w:t>-0.05**</w:t>
            </w:r>
          </w:p>
        </w:tc>
        <w:tc>
          <w:tcPr>
            <w:tcW w:w="1250" w:type="pct"/>
            <w:tcBorders>
              <w:top w:val="single" w:sz="4" w:space="0" w:color="00338D"/>
            </w:tcBorders>
          </w:tcPr>
          <w:p w14:paraId="60A02C68" w14:textId="77777777" w:rsidR="0032183B" w:rsidRPr="0032183B" w:rsidRDefault="0032183B" w:rsidP="00184B96">
            <w:pPr>
              <w:pStyle w:val="Tabletext"/>
              <w:jc w:val="center"/>
              <w:rPr>
                <w:szCs w:val="20"/>
              </w:rPr>
            </w:pPr>
            <w:r w:rsidRPr="0032183B">
              <w:rPr>
                <w:szCs w:val="20"/>
              </w:rPr>
              <w:t>-0.03</w:t>
            </w:r>
          </w:p>
        </w:tc>
      </w:tr>
      <w:tr w:rsidR="0032183B" w:rsidRPr="0032183B" w14:paraId="2EC7CC68" w14:textId="77777777" w:rsidTr="00184B96">
        <w:trPr>
          <w:trHeight w:val="170"/>
        </w:trPr>
        <w:tc>
          <w:tcPr>
            <w:tcW w:w="1327" w:type="pct"/>
            <w:vMerge/>
            <w:tcBorders>
              <w:bottom w:val="single" w:sz="4" w:space="0" w:color="auto"/>
            </w:tcBorders>
          </w:tcPr>
          <w:p w14:paraId="21FA645D" w14:textId="604BCAD7" w:rsidR="0032183B" w:rsidRPr="00D558FC" w:rsidRDefault="0032183B" w:rsidP="00D558FC">
            <w:pPr>
              <w:pStyle w:val="Tabletext"/>
            </w:pPr>
          </w:p>
        </w:tc>
        <w:tc>
          <w:tcPr>
            <w:tcW w:w="1305" w:type="pct"/>
            <w:tcBorders>
              <w:bottom w:val="single" w:sz="4" w:space="0" w:color="auto"/>
            </w:tcBorders>
          </w:tcPr>
          <w:p w14:paraId="1DE904C0" w14:textId="77777777" w:rsidR="0032183B" w:rsidRPr="0032183B" w:rsidRDefault="0032183B" w:rsidP="00184B96">
            <w:pPr>
              <w:pStyle w:val="Tabletext"/>
              <w:jc w:val="center"/>
              <w:rPr>
                <w:szCs w:val="20"/>
              </w:rPr>
            </w:pPr>
            <w:r w:rsidRPr="0032183B">
              <w:rPr>
                <w:szCs w:val="20"/>
              </w:rPr>
              <w:t>(0.01)</w:t>
            </w:r>
          </w:p>
        </w:tc>
        <w:tc>
          <w:tcPr>
            <w:tcW w:w="1118" w:type="pct"/>
            <w:tcBorders>
              <w:bottom w:val="single" w:sz="4" w:space="0" w:color="auto"/>
            </w:tcBorders>
          </w:tcPr>
          <w:p w14:paraId="0F67FFBC" w14:textId="77777777" w:rsidR="0032183B" w:rsidRPr="0032183B" w:rsidRDefault="0032183B" w:rsidP="00184B96">
            <w:pPr>
              <w:pStyle w:val="Tabletext"/>
              <w:jc w:val="center"/>
              <w:rPr>
                <w:szCs w:val="20"/>
              </w:rPr>
            </w:pPr>
            <w:r w:rsidRPr="0032183B">
              <w:rPr>
                <w:szCs w:val="20"/>
              </w:rPr>
              <w:t>(0.01)</w:t>
            </w:r>
          </w:p>
        </w:tc>
        <w:tc>
          <w:tcPr>
            <w:tcW w:w="1250" w:type="pct"/>
            <w:tcBorders>
              <w:bottom w:val="single" w:sz="4" w:space="0" w:color="auto"/>
            </w:tcBorders>
          </w:tcPr>
          <w:p w14:paraId="23CA9BCD" w14:textId="77777777" w:rsidR="0032183B" w:rsidRPr="0032183B" w:rsidRDefault="0032183B" w:rsidP="00184B96">
            <w:pPr>
              <w:pStyle w:val="Tabletext"/>
              <w:jc w:val="center"/>
              <w:rPr>
                <w:szCs w:val="20"/>
              </w:rPr>
            </w:pPr>
            <w:r w:rsidRPr="0032183B">
              <w:rPr>
                <w:szCs w:val="20"/>
              </w:rPr>
              <w:t>(0.02)</w:t>
            </w:r>
          </w:p>
        </w:tc>
      </w:tr>
      <w:tr w:rsidR="0032183B" w:rsidRPr="0032183B" w14:paraId="02CB612D" w14:textId="77777777" w:rsidTr="00184B96">
        <w:trPr>
          <w:trHeight w:val="170"/>
        </w:trPr>
        <w:tc>
          <w:tcPr>
            <w:tcW w:w="1327" w:type="pct"/>
            <w:vMerge w:val="restart"/>
            <w:tcBorders>
              <w:top w:val="single" w:sz="4" w:space="0" w:color="auto"/>
            </w:tcBorders>
          </w:tcPr>
          <w:p w14:paraId="41F98FD1" w14:textId="74A4A466" w:rsidR="0032183B" w:rsidRPr="00D558FC" w:rsidRDefault="0032183B" w:rsidP="00D558FC">
            <w:pPr>
              <w:pStyle w:val="Tabletext"/>
            </w:pPr>
            <w:r w:rsidRPr="00D558FC">
              <w:t>% of OOS that is a mental health service</w:t>
            </w:r>
          </w:p>
        </w:tc>
        <w:tc>
          <w:tcPr>
            <w:tcW w:w="1305" w:type="pct"/>
            <w:tcBorders>
              <w:top w:val="single" w:sz="4" w:space="0" w:color="auto"/>
            </w:tcBorders>
          </w:tcPr>
          <w:p w14:paraId="1E0F1D32" w14:textId="77777777" w:rsidR="0032183B" w:rsidRPr="0032183B" w:rsidRDefault="0032183B" w:rsidP="00184B96">
            <w:pPr>
              <w:pStyle w:val="Tabletext"/>
              <w:jc w:val="center"/>
              <w:rPr>
                <w:rFonts w:cs="Calibri"/>
                <w:color w:val="000000"/>
                <w:szCs w:val="20"/>
              </w:rPr>
            </w:pPr>
            <w:r w:rsidRPr="0032183B">
              <w:rPr>
                <w:szCs w:val="20"/>
              </w:rPr>
              <w:t>0.02**</w:t>
            </w:r>
          </w:p>
        </w:tc>
        <w:tc>
          <w:tcPr>
            <w:tcW w:w="1118" w:type="pct"/>
            <w:tcBorders>
              <w:top w:val="single" w:sz="4" w:space="0" w:color="auto"/>
            </w:tcBorders>
          </w:tcPr>
          <w:p w14:paraId="44DFB997" w14:textId="77777777" w:rsidR="0032183B" w:rsidRPr="0032183B" w:rsidRDefault="0032183B" w:rsidP="00184B96">
            <w:pPr>
              <w:pStyle w:val="Tabletext"/>
              <w:jc w:val="center"/>
              <w:rPr>
                <w:rFonts w:cs="Calibri"/>
                <w:color w:val="000000"/>
                <w:szCs w:val="20"/>
              </w:rPr>
            </w:pPr>
            <w:r w:rsidRPr="0032183B">
              <w:rPr>
                <w:szCs w:val="20"/>
              </w:rPr>
              <w:t>0.04</w:t>
            </w:r>
          </w:p>
        </w:tc>
        <w:tc>
          <w:tcPr>
            <w:tcW w:w="1250" w:type="pct"/>
            <w:tcBorders>
              <w:top w:val="single" w:sz="4" w:space="0" w:color="auto"/>
            </w:tcBorders>
          </w:tcPr>
          <w:p w14:paraId="55DFB90F" w14:textId="77777777" w:rsidR="0032183B" w:rsidRPr="0032183B" w:rsidRDefault="0032183B" w:rsidP="00184B96">
            <w:pPr>
              <w:pStyle w:val="Tabletext"/>
              <w:jc w:val="center"/>
              <w:rPr>
                <w:rFonts w:cs="Calibri"/>
                <w:color w:val="000000"/>
                <w:szCs w:val="20"/>
              </w:rPr>
            </w:pPr>
            <w:r w:rsidRPr="0032183B">
              <w:rPr>
                <w:szCs w:val="20"/>
              </w:rPr>
              <w:t>0.07**</w:t>
            </w:r>
          </w:p>
        </w:tc>
      </w:tr>
      <w:tr w:rsidR="0032183B" w:rsidRPr="0032183B" w14:paraId="4478A085" w14:textId="77777777" w:rsidTr="00184B96">
        <w:trPr>
          <w:trHeight w:val="170"/>
        </w:trPr>
        <w:tc>
          <w:tcPr>
            <w:tcW w:w="1327" w:type="pct"/>
            <w:vMerge/>
          </w:tcPr>
          <w:p w14:paraId="4F5B9DF7" w14:textId="0D6B21E9" w:rsidR="0032183B" w:rsidRPr="0032183B" w:rsidRDefault="0032183B" w:rsidP="00184B96">
            <w:pPr>
              <w:pStyle w:val="Tabletext"/>
              <w:rPr>
                <w:szCs w:val="20"/>
              </w:rPr>
            </w:pPr>
          </w:p>
        </w:tc>
        <w:tc>
          <w:tcPr>
            <w:tcW w:w="1305" w:type="pct"/>
          </w:tcPr>
          <w:p w14:paraId="08C7E36E" w14:textId="77777777" w:rsidR="0032183B" w:rsidRPr="0032183B" w:rsidRDefault="0032183B" w:rsidP="00184B96">
            <w:pPr>
              <w:pStyle w:val="Tabletext"/>
              <w:jc w:val="center"/>
              <w:rPr>
                <w:rFonts w:cs="Calibri"/>
                <w:color w:val="000000"/>
                <w:szCs w:val="20"/>
              </w:rPr>
            </w:pPr>
            <w:r w:rsidRPr="0032183B">
              <w:rPr>
                <w:szCs w:val="20"/>
              </w:rPr>
              <w:t>(0.01)</w:t>
            </w:r>
          </w:p>
        </w:tc>
        <w:tc>
          <w:tcPr>
            <w:tcW w:w="1118" w:type="pct"/>
          </w:tcPr>
          <w:p w14:paraId="776C9D24" w14:textId="77777777" w:rsidR="0032183B" w:rsidRPr="0032183B" w:rsidRDefault="0032183B" w:rsidP="00184B96">
            <w:pPr>
              <w:pStyle w:val="Tabletext"/>
              <w:jc w:val="center"/>
              <w:rPr>
                <w:rFonts w:cs="Calibri"/>
                <w:color w:val="000000"/>
                <w:szCs w:val="20"/>
              </w:rPr>
            </w:pPr>
            <w:r w:rsidRPr="0032183B">
              <w:rPr>
                <w:szCs w:val="20"/>
              </w:rPr>
              <w:t>(0.03)</w:t>
            </w:r>
          </w:p>
        </w:tc>
        <w:tc>
          <w:tcPr>
            <w:tcW w:w="1250" w:type="pct"/>
          </w:tcPr>
          <w:p w14:paraId="1CD57866" w14:textId="77777777" w:rsidR="0032183B" w:rsidRPr="0032183B" w:rsidRDefault="0032183B" w:rsidP="00184B96">
            <w:pPr>
              <w:pStyle w:val="Tabletext"/>
              <w:jc w:val="center"/>
              <w:rPr>
                <w:rFonts w:cs="Calibri"/>
                <w:color w:val="000000"/>
                <w:szCs w:val="20"/>
              </w:rPr>
            </w:pPr>
            <w:r w:rsidRPr="0032183B">
              <w:rPr>
                <w:szCs w:val="20"/>
              </w:rPr>
              <w:t>(0.03)</w:t>
            </w:r>
          </w:p>
        </w:tc>
      </w:tr>
      <w:tr w:rsidR="00D558FC" w:rsidRPr="0032183B" w14:paraId="440EE4C5" w14:textId="77777777" w:rsidTr="00D558FC">
        <w:tc>
          <w:tcPr>
            <w:tcW w:w="5000" w:type="pct"/>
            <w:gridSpan w:val="4"/>
            <w:tcBorders>
              <w:top w:val="single" w:sz="2" w:space="0" w:color="808080" w:themeColor="background1" w:themeShade="80"/>
            </w:tcBorders>
            <w:vAlign w:val="center"/>
          </w:tcPr>
          <w:p w14:paraId="3C5C82B3" w14:textId="4D0EED63" w:rsidR="00D558FC" w:rsidRPr="0032183B" w:rsidRDefault="00D558FC" w:rsidP="00D558FC">
            <w:pPr>
              <w:pStyle w:val="Tabletext"/>
              <w:rPr>
                <w:szCs w:val="20"/>
              </w:rPr>
            </w:pPr>
            <w:r w:rsidRPr="0032183B">
              <w:rPr>
                <w:b/>
                <w:szCs w:val="20"/>
              </w:rPr>
              <w:t>Lead agency type (ref = Other)</w:t>
            </w:r>
          </w:p>
        </w:tc>
      </w:tr>
      <w:tr w:rsidR="0032183B" w:rsidRPr="0032183B" w14:paraId="2E676726" w14:textId="77777777" w:rsidTr="0032183B">
        <w:tc>
          <w:tcPr>
            <w:tcW w:w="1327" w:type="pct"/>
            <w:vMerge w:val="restart"/>
            <w:tcBorders>
              <w:top w:val="single" w:sz="2" w:space="0" w:color="808080" w:themeColor="background1" w:themeShade="80"/>
            </w:tcBorders>
            <w:vAlign w:val="center"/>
          </w:tcPr>
          <w:p w14:paraId="0A6B27F2" w14:textId="77777777" w:rsidR="0032183B" w:rsidRPr="00D558FC" w:rsidRDefault="0032183B" w:rsidP="00D558FC">
            <w:pPr>
              <w:pStyle w:val="Tabletext"/>
            </w:pPr>
            <w:r w:rsidRPr="00D558FC">
              <w:t xml:space="preserve">Clinical MH service </w:t>
            </w:r>
          </w:p>
        </w:tc>
        <w:tc>
          <w:tcPr>
            <w:tcW w:w="1305" w:type="pct"/>
            <w:tcBorders>
              <w:top w:val="single" w:sz="2" w:space="0" w:color="808080" w:themeColor="background1" w:themeShade="80"/>
            </w:tcBorders>
          </w:tcPr>
          <w:p w14:paraId="4BE8223D" w14:textId="77777777" w:rsidR="0032183B" w:rsidRPr="0032183B" w:rsidRDefault="0032183B" w:rsidP="00184B96">
            <w:pPr>
              <w:pStyle w:val="Tabletext"/>
              <w:jc w:val="center"/>
              <w:rPr>
                <w:szCs w:val="20"/>
              </w:rPr>
            </w:pPr>
            <w:r w:rsidRPr="0032183B">
              <w:rPr>
                <w:szCs w:val="20"/>
              </w:rPr>
              <w:t>-0.4</w:t>
            </w:r>
          </w:p>
        </w:tc>
        <w:tc>
          <w:tcPr>
            <w:tcW w:w="1118" w:type="pct"/>
            <w:tcBorders>
              <w:top w:val="single" w:sz="2" w:space="0" w:color="808080" w:themeColor="background1" w:themeShade="80"/>
            </w:tcBorders>
          </w:tcPr>
          <w:p w14:paraId="23766843" w14:textId="77777777" w:rsidR="0032183B" w:rsidRPr="0032183B" w:rsidRDefault="0032183B" w:rsidP="00184B96">
            <w:pPr>
              <w:pStyle w:val="Tabletext"/>
              <w:jc w:val="center"/>
              <w:rPr>
                <w:szCs w:val="20"/>
              </w:rPr>
            </w:pPr>
            <w:r w:rsidRPr="0032183B">
              <w:rPr>
                <w:szCs w:val="20"/>
              </w:rPr>
              <w:t>0.3</w:t>
            </w:r>
          </w:p>
        </w:tc>
        <w:tc>
          <w:tcPr>
            <w:tcW w:w="1250" w:type="pct"/>
            <w:tcBorders>
              <w:top w:val="single" w:sz="2" w:space="0" w:color="808080" w:themeColor="background1" w:themeShade="80"/>
            </w:tcBorders>
          </w:tcPr>
          <w:p w14:paraId="108A8D9D" w14:textId="77777777" w:rsidR="0032183B" w:rsidRPr="0032183B" w:rsidRDefault="0032183B" w:rsidP="00184B96">
            <w:pPr>
              <w:pStyle w:val="Tabletext"/>
              <w:jc w:val="center"/>
              <w:rPr>
                <w:szCs w:val="20"/>
              </w:rPr>
            </w:pPr>
            <w:r w:rsidRPr="0032183B">
              <w:rPr>
                <w:szCs w:val="20"/>
              </w:rPr>
              <w:t>-1.5</w:t>
            </w:r>
          </w:p>
        </w:tc>
      </w:tr>
      <w:tr w:rsidR="0032183B" w:rsidRPr="0032183B" w14:paraId="6816F9B8" w14:textId="77777777" w:rsidTr="00184B96">
        <w:tc>
          <w:tcPr>
            <w:tcW w:w="1327" w:type="pct"/>
            <w:vMerge/>
            <w:tcBorders>
              <w:bottom w:val="single" w:sz="2" w:space="0" w:color="808080" w:themeColor="background1" w:themeShade="80"/>
            </w:tcBorders>
          </w:tcPr>
          <w:p w14:paraId="4FECEF9A" w14:textId="77777777" w:rsidR="0032183B" w:rsidRPr="00D558FC" w:rsidRDefault="0032183B" w:rsidP="00D558FC">
            <w:pPr>
              <w:pStyle w:val="Tabletext"/>
            </w:pPr>
          </w:p>
        </w:tc>
        <w:tc>
          <w:tcPr>
            <w:tcW w:w="1305" w:type="pct"/>
            <w:tcBorders>
              <w:bottom w:val="single" w:sz="2" w:space="0" w:color="808080" w:themeColor="background1" w:themeShade="80"/>
            </w:tcBorders>
          </w:tcPr>
          <w:p w14:paraId="4FB0B5C5" w14:textId="77777777" w:rsidR="0032183B" w:rsidRPr="0032183B" w:rsidRDefault="0032183B" w:rsidP="00184B96">
            <w:pPr>
              <w:pStyle w:val="Tabletext"/>
              <w:jc w:val="center"/>
              <w:rPr>
                <w:szCs w:val="20"/>
              </w:rPr>
            </w:pPr>
            <w:r w:rsidRPr="0032183B">
              <w:rPr>
                <w:szCs w:val="20"/>
              </w:rPr>
              <w:t>(0.40)</w:t>
            </w:r>
          </w:p>
        </w:tc>
        <w:tc>
          <w:tcPr>
            <w:tcW w:w="1118" w:type="pct"/>
            <w:tcBorders>
              <w:bottom w:val="single" w:sz="2" w:space="0" w:color="808080" w:themeColor="background1" w:themeShade="80"/>
            </w:tcBorders>
          </w:tcPr>
          <w:p w14:paraId="493A23B4" w14:textId="77777777" w:rsidR="0032183B" w:rsidRPr="0032183B" w:rsidRDefault="0032183B" w:rsidP="00184B96">
            <w:pPr>
              <w:pStyle w:val="Tabletext"/>
              <w:jc w:val="center"/>
              <w:rPr>
                <w:szCs w:val="20"/>
              </w:rPr>
            </w:pPr>
            <w:r w:rsidRPr="0032183B">
              <w:rPr>
                <w:szCs w:val="20"/>
              </w:rPr>
              <w:t>(0.96)</w:t>
            </w:r>
          </w:p>
        </w:tc>
        <w:tc>
          <w:tcPr>
            <w:tcW w:w="1250" w:type="pct"/>
            <w:tcBorders>
              <w:bottom w:val="single" w:sz="2" w:space="0" w:color="808080" w:themeColor="background1" w:themeShade="80"/>
            </w:tcBorders>
          </w:tcPr>
          <w:p w14:paraId="567881C3" w14:textId="77777777" w:rsidR="0032183B" w:rsidRPr="0032183B" w:rsidRDefault="0032183B" w:rsidP="00184B96">
            <w:pPr>
              <w:pStyle w:val="Tabletext"/>
              <w:jc w:val="center"/>
              <w:rPr>
                <w:szCs w:val="20"/>
              </w:rPr>
            </w:pPr>
            <w:r w:rsidRPr="0032183B">
              <w:rPr>
                <w:szCs w:val="20"/>
              </w:rPr>
              <w:t>(1.20)</w:t>
            </w:r>
          </w:p>
        </w:tc>
      </w:tr>
      <w:tr w:rsidR="0032183B" w:rsidRPr="0032183B" w14:paraId="0E6C664C" w14:textId="77777777" w:rsidTr="0032183B">
        <w:tc>
          <w:tcPr>
            <w:tcW w:w="1327" w:type="pct"/>
            <w:vMerge w:val="restart"/>
            <w:tcBorders>
              <w:top w:val="single" w:sz="2" w:space="0" w:color="808080" w:themeColor="background1" w:themeShade="80"/>
            </w:tcBorders>
            <w:vAlign w:val="center"/>
          </w:tcPr>
          <w:p w14:paraId="72896CD5" w14:textId="77777777" w:rsidR="0032183B" w:rsidRPr="00D558FC" w:rsidRDefault="0032183B" w:rsidP="00D558FC">
            <w:pPr>
              <w:pStyle w:val="Tabletext"/>
            </w:pPr>
            <w:r w:rsidRPr="00D558FC">
              <w:t xml:space="preserve">General NGO </w:t>
            </w:r>
          </w:p>
          <w:p w14:paraId="5476E68D" w14:textId="1D212004" w:rsidR="0032183B" w:rsidRPr="00D558FC" w:rsidRDefault="0032183B" w:rsidP="00D558FC">
            <w:pPr>
              <w:pStyle w:val="Tabletext"/>
            </w:pPr>
            <w:r w:rsidRPr="00D558FC">
              <w:t>occasions of service</w:t>
            </w:r>
          </w:p>
        </w:tc>
        <w:tc>
          <w:tcPr>
            <w:tcW w:w="1305" w:type="pct"/>
            <w:tcBorders>
              <w:top w:val="single" w:sz="2" w:space="0" w:color="808080" w:themeColor="background1" w:themeShade="80"/>
            </w:tcBorders>
          </w:tcPr>
          <w:p w14:paraId="70779FD6" w14:textId="77777777" w:rsidR="0032183B" w:rsidRPr="0032183B" w:rsidRDefault="0032183B" w:rsidP="00184B96">
            <w:pPr>
              <w:pStyle w:val="Tabletext"/>
              <w:jc w:val="center"/>
              <w:rPr>
                <w:szCs w:val="20"/>
              </w:rPr>
            </w:pPr>
            <w:r w:rsidRPr="0032183B">
              <w:rPr>
                <w:szCs w:val="20"/>
              </w:rPr>
              <w:t>-0.3</w:t>
            </w:r>
          </w:p>
        </w:tc>
        <w:tc>
          <w:tcPr>
            <w:tcW w:w="1118" w:type="pct"/>
            <w:tcBorders>
              <w:top w:val="single" w:sz="2" w:space="0" w:color="808080" w:themeColor="background1" w:themeShade="80"/>
            </w:tcBorders>
          </w:tcPr>
          <w:p w14:paraId="383BD52C" w14:textId="77777777" w:rsidR="0032183B" w:rsidRPr="0032183B" w:rsidRDefault="0032183B" w:rsidP="00184B96">
            <w:pPr>
              <w:pStyle w:val="Tabletext"/>
              <w:jc w:val="center"/>
              <w:rPr>
                <w:szCs w:val="20"/>
              </w:rPr>
            </w:pPr>
            <w:r w:rsidRPr="0032183B">
              <w:rPr>
                <w:szCs w:val="20"/>
              </w:rPr>
              <w:t>-0.4</w:t>
            </w:r>
          </w:p>
        </w:tc>
        <w:tc>
          <w:tcPr>
            <w:tcW w:w="1250" w:type="pct"/>
            <w:tcBorders>
              <w:top w:val="single" w:sz="2" w:space="0" w:color="808080" w:themeColor="background1" w:themeShade="80"/>
            </w:tcBorders>
          </w:tcPr>
          <w:p w14:paraId="6A6DB958" w14:textId="77777777" w:rsidR="0032183B" w:rsidRPr="0032183B" w:rsidRDefault="0032183B" w:rsidP="00184B96">
            <w:pPr>
              <w:pStyle w:val="Tabletext"/>
              <w:jc w:val="center"/>
              <w:rPr>
                <w:szCs w:val="20"/>
              </w:rPr>
            </w:pPr>
            <w:r w:rsidRPr="0032183B">
              <w:rPr>
                <w:szCs w:val="20"/>
              </w:rPr>
              <w:t>-1.1</w:t>
            </w:r>
          </w:p>
        </w:tc>
      </w:tr>
      <w:tr w:rsidR="0032183B" w:rsidRPr="0032183B" w14:paraId="7FEABA47" w14:textId="77777777" w:rsidTr="00184B96">
        <w:tc>
          <w:tcPr>
            <w:tcW w:w="1327" w:type="pct"/>
            <w:vMerge/>
            <w:tcBorders>
              <w:bottom w:val="single" w:sz="2" w:space="0" w:color="808080" w:themeColor="background1" w:themeShade="80"/>
            </w:tcBorders>
          </w:tcPr>
          <w:p w14:paraId="6F9D38B7" w14:textId="27AE89FD" w:rsidR="0032183B" w:rsidRPr="00D558FC" w:rsidRDefault="0032183B" w:rsidP="00D558FC">
            <w:pPr>
              <w:pStyle w:val="Tabletext"/>
            </w:pPr>
          </w:p>
        </w:tc>
        <w:tc>
          <w:tcPr>
            <w:tcW w:w="1305" w:type="pct"/>
            <w:tcBorders>
              <w:bottom w:val="single" w:sz="2" w:space="0" w:color="808080" w:themeColor="background1" w:themeShade="80"/>
            </w:tcBorders>
          </w:tcPr>
          <w:p w14:paraId="7D95ACC7" w14:textId="77777777" w:rsidR="0032183B" w:rsidRPr="0032183B" w:rsidRDefault="0032183B" w:rsidP="00184B96">
            <w:pPr>
              <w:pStyle w:val="Tabletext"/>
              <w:jc w:val="center"/>
              <w:rPr>
                <w:szCs w:val="20"/>
              </w:rPr>
            </w:pPr>
            <w:r w:rsidRPr="0032183B">
              <w:rPr>
                <w:szCs w:val="20"/>
              </w:rPr>
              <w:t>(0.40)</w:t>
            </w:r>
          </w:p>
        </w:tc>
        <w:tc>
          <w:tcPr>
            <w:tcW w:w="1118" w:type="pct"/>
            <w:tcBorders>
              <w:bottom w:val="single" w:sz="2" w:space="0" w:color="808080" w:themeColor="background1" w:themeShade="80"/>
            </w:tcBorders>
          </w:tcPr>
          <w:p w14:paraId="72124880" w14:textId="77777777" w:rsidR="0032183B" w:rsidRPr="0032183B" w:rsidRDefault="0032183B" w:rsidP="00184B96">
            <w:pPr>
              <w:pStyle w:val="Tabletext"/>
              <w:jc w:val="center"/>
              <w:rPr>
                <w:szCs w:val="20"/>
              </w:rPr>
            </w:pPr>
            <w:r w:rsidRPr="0032183B">
              <w:rPr>
                <w:szCs w:val="20"/>
              </w:rPr>
              <w:t>(0.95)</w:t>
            </w:r>
          </w:p>
        </w:tc>
        <w:tc>
          <w:tcPr>
            <w:tcW w:w="1250" w:type="pct"/>
            <w:tcBorders>
              <w:bottom w:val="single" w:sz="2" w:space="0" w:color="808080" w:themeColor="background1" w:themeShade="80"/>
            </w:tcBorders>
          </w:tcPr>
          <w:p w14:paraId="42743A3B" w14:textId="77777777" w:rsidR="0032183B" w:rsidRPr="0032183B" w:rsidRDefault="0032183B" w:rsidP="00184B96">
            <w:pPr>
              <w:pStyle w:val="Tabletext"/>
              <w:jc w:val="center"/>
              <w:rPr>
                <w:szCs w:val="20"/>
              </w:rPr>
            </w:pPr>
            <w:r w:rsidRPr="0032183B">
              <w:rPr>
                <w:szCs w:val="20"/>
              </w:rPr>
              <w:t>(1.19)</w:t>
            </w:r>
          </w:p>
        </w:tc>
      </w:tr>
      <w:tr w:rsidR="0032183B" w:rsidRPr="0032183B" w14:paraId="35A0B247" w14:textId="77777777" w:rsidTr="0032183B">
        <w:tc>
          <w:tcPr>
            <w:tcW w:w="1327" w:type="pct"/>
            <w:vMerge w:val="restart"/>
            <w:tcBorders>
              <w:top w:val="single" w:sz="2" w:space="0" w:color="808080" w:themeColor="background1" w:themeShade="80"/>
            </w:tcBorders>
            <w:vAlign w:val="center"/>
          </w:tcPr>
          <w:p w14:paraId="6AF9359E" w14:textId="77777777" w:rsidR="0032183B" w:rsidRPr="00D558FC" w:rsidRDefault="0032183B" w:rsidP="00D558FC">
            <w:pPr>
              <w:pStyle w:val="Tabletext"/>
            </w:pPr>
            <w:r w:rsidRPr="00D558FC">
              <w:t>Service is a centre</w:t>
            </w:r>
          </w:p>
        </w:tc>
        <w:tc>
          <w:tcPr>
            <w:tcW w:w="1305" w:type="pct"/>
            <w:tcBorders>
              <w:top w:val="single" w:sz="2" w:space="0" w:color="808080" w:themeColor="background1" w:themeShade="80"/>
            </w:tcBorders>
          </w:tcPr>
          <w:p w14:paraId="758AEA1A" w14:textId="77777777" w:rsidR="0032183B" w:rsidRPr="0032183B" w:rsidRDefault="0032183B" w:rsidP="00184B96">
            <w:pPr>
              <w:pStyle w:val="Tabletext"/>
              <w:jc w:val="center"/>
              <w:rPr>
                <w:rFonts w:cs="Calibri"/>
                <w:color w:val="000000"/>
                <w:szCs w:val="20"/>
              </w:rPr>
            </w:pPr>
            <w:r w:rsidRPr="0032183B">
              <w:rPr>
                <w:szCs w:val="20"/>
              </w:rPr>
              <w:t>0.9*</w:t>
            </w:r>
          </w:p>
        </w:tc>
        <w:tc>
          <w:tcPr>
            <w:tcW w:w="1118" w:type="pct"/>
            <w:tcBorders>
              <w:top w:val="single" w:sz="2" w:space="0" w:color="808080" w:themeColor="background1" w:themeShade="80"/>
            </w:tcBorders>
          </w:tcPr>
          <w:p w14:paraId="6D43E373" w14:textId="77777777" w:rsidR="0032183B" w:rsidRPr="0032183B" w:rsidRDefault="0032183B" w:rsidP="00184B96">
            <w:pPr>
              <w:pStyle w:val="Tabletext"/>
              <w:jc w:val="center"/>
              <w:rPr>
                <w:rFonts w:cs="Calibri"/>
                <w:color w:val="000000"/>
                <w:szCs w:val="20"/>
              </w:rPr>
            </w:pPr>
            <w:r w:rsidRPr="0032183B">
              <w:rPr>
                <w:szCs w:val="20"/>
              </w:rPr>
              <w:t>-0.8</w:t>
            </w:r>
          </w:p>
        </w:tc>
        <w:tc>
          <w:tcPr>
            <w:tcW w:w="1250" w:type="pct"/>
            <w:tcBorders>
              <w:top w:val="single" w:sz="2" w:space="0" w:color="808080" w:themeColor="background1" w:themeShade="80"/>
            </w:tcBorders>
          </w:tcPr>
          <w:p w14:paraId="6079A44B" w14:textId="77777777" w:rsidR="0032183B" w:rsidRPr="0032183B" w:rsidRDefault="0032183B" w:rsidP="00184B96">
            <w:pPr>
              <w:pStyle w:val="Tabletext"/>
              <w:jc w:val="center"/>
              <w:rPr>
                <w:rFonts w:cs="Calibri"/>
                <w:color w:val="000000"/>
                <w:szCs w:val="20"/>
              </w:rPr>
            </w:pPr>
            <w:r w:rsidRPr="0032183B">
              <w:rPr>
                <w:szCs w:val="20"/>
              </w:rPr>
              <w:t>3.5**</w:t>
            </w:r>
          </w:p>
        </w:tc>
      </w:tr>
      <w:tr w:rsidR="0032183B" w:rsidRPr="0032183B" w14:paraId="7454E126" w14:textId="77777777" w:rsidTr="00184B96">
        <w:tc>
          <w:tcPr>
            <w:tcW w:w="1327" w:type="pct"/>
            <w:vMerge/>
            <w:tcBorders>
              <w:bottom w:val="single" w:sz="2" w:space="0" w:color="808080" w:themeColor="background1" w:themeShade="80"/>
            </w:tcBorders>
          </w:tcPr>
          <w:p w14:paraId="70E4303F" w14:textId="77777777" w:rsidR="0032183B" w:rsidRPr="0032183B" w:rsidRDefault="0032183B" w:rsidP="00184B96">
            <w:pPr>
              <w:pStyle w:val="Tabletext"/>
              <w:rPr>
                <w:szCs w:val="20"/>
              </w:rPr>
            </w:pPr>
          </w:p>
        </w:tc>
        <w:tc>
          <w:tcPr>
            <w:tcW w:w="1305" w:type="pct"/>
            <w:tcBorders>
              <w:bottom w:val="single" w:sz="2" w:space="0" w:color="808080" w:themeColor="background1" w:themeShade="80"/>
            </w:tcBorders>
          </w:tcPr>
          <w:p w14:paraId="7D1BD4A6" w14:textId="77777777" w:rsidR="0032183B" w:rsidRPr="0032183B" w:rsidRDefault="0032183B" w:rsidP="00184B96">
            <w:pPr>
              <w:pStyle w:val="Tabletext"/>
              <w:jc w:val="center"/>
              <w:rPr>
                <w:rFonts w:cs="Calibri"/>
                <w:color w:val="000000"/>
                <w:szCs w:val="20"/>
              </w:rPr>
            </w:pPr>
            <w:r w:rsidRPr="0032183B">
              <w:rPr>
                <w:szCs w:val="20"/>
              </w:rPr>
              <w:t>(0.48)</w:t>
            </w:r>
          </w:p>
        </w:tc>
        <w:tc>
          <w:tcPr>
            <w:tcW w:w="1118" w:type="pct"/>
            <w:tcBorders>
              <w:bottom w:val="single" w:sz="2" w:space="0" w:color="808080" w:themeColor="background1" w:themeShade="80"/>
            </w:tcBorders>
          </w:tcPr>
          <w:p w14:paraId="2FB9D692" w14:textId="77777777" w:rsidR="0032183B" w:rsidRPr="0032183B" w:rsidRDefault="0032183B" w:rsidP="00184B96">
            <w:pPr>
              <w:pStyle w:val="Tabletext"/>
              <w:jc w:val="center"/>
              <w:rPr>
                <w:rFonts w:cs="Calibri"/>
                <w:color w:val="000000"/>
                <w:szCs w:val="20"/>
              </w:rPr>
            </w:pPr>
            <w:r w:rsidRPr="0032183B">
              <w:rPr>
                <w:szCs w:val="20"/>
              </w:rPr>
              <w:t>(1.16)</w:t>
            </w:r>
          </w:p>
        </w:tc>
        <w:tc>
          <w:tcPr>
            <w:tcW w:w="1250" w:type="pct"/>
            <w:tcBorders>
              <w:bottom w:val="single" w:sz="2" w:space="0" w:color="808080" w:themeColor="background1" w:themeShade="80"/>
            </w:tcBorders>
          </w:tcPr>
          <w:p w14:paraId="07697908" w14:textId="77777777" w:rsidR="0032183B" w:rsidRPr="0032183B" w:rsidRDefault="0032183B" w:rsidP="00184B96">
            <w:pPr>
              <w:pStyle w:val="Tabletext"/>
              <w:jc w:val="center"/>
              <w:rPr>
                <w:rFonts w:cs="Calibri"/>
                <w:color w:val="000000"/>
                <w:szCs w:val="20"/>
              </w:rPr>
            </w:pPr>
            <w:r w:rsidRPr="0032183B">
              <w:rPr>
                <w:szCs w:val="20"/>
              </w:rPr>
              <w:t>(1.45)</w:t>
            </w:r>
          </w:p>
        </w:tc>
      </w:tr>
      <w:tr w:rsidR="00D558FC" w:rsidRPr="0032183B" w14:paraId="77C9E8E0" w14:textId="77777777" w:rsidTr="00D558FC">
        <w:tc>
          <w:tcPr>
            <w:tcW w:w="5000" w:type="pct"/>
            <w:gridSpan w:val="4"/>
            <w:tcBorders>
              <w:top w:val="single" w:sz="2" w:space="0" w:color="808080" w:themeColor="background1" w:themeShade="80"/>
              <w:bottom w:val="single" w:sz="4" w:space="0" w:color="7F7F7F" w:themeColor="text1" w:themeTint="80"/>
            </w:tcBorders>
            <w:vAlign w:val="center"/>
          </w:tcPr>
          <w:p w14:paraId="4EF71412" w14:textId="6C4B677A" w:rsidR="00D558FC" w:rsidRPr="0032183B" w:rsidRDefault="00D558FC" w:rsidP="00D558FC">
            <w:pPr>
              <w:pStyle w:val="Tabletext"/>
              <w:rPr>
                <w:szCs w:val="20"/>
              </w:rPr>
            </w:pPr>
            <w:r w:rsidRPr="0032183B">
              <w:rPr>
                <w:b/>
                <w:szCs w:val="20"/>
              </w:rPr>
              <w:t>State (ref = ACT)</w:t>
            </w:r>
          </w:p>
        </w:tc>
      </w:tr>
      <w:tr w:rsidR="0032183B" w:rsidRPr="0032183B" w14:paraId="3912E16A" w14:textId="77777777" w:rsidTr="00D558FC">
        <w:tc>
          <w:tcPr>
            <w:tcW w:w="1327" w:type="pct"/>
            <w:vMerge w:val="restart"/>
            <w:tcBorders>
              <w:top w:val="single" w:sz="4" w:space="0" w:color="7F7F7F" w:themeColor="text1" w:themeTint="80"/>
            </w:tcBorders>
            <w:vAlign w:val="center"/>
          </w:tcPr>
          <w:p w14:paraId="17F7E0A0" w14:textId="77777777" w:rsidR="0032183B" w:rsidRPr="00D558FC" w:rsidRDefault="0032183B" w:rsidP="00D558FC">
            <w:pPr>
              <w:pStyle w:val="Tabletext"/>
            </w:pPr>
            <w:r w:rsidRPr="00D558FC">
              <w:t>NSW</w:t>
            </w:r>
          </w:p>
        </w:tc>
        <w:tc>
          <w:tcPr>
            <w:tcW w:w="1305" w:type="pct"/>
            <w:tcBorders>
              <w:top w:val="single" w:sz="4" w:space="0" w:color="7F7F7F" w:themeColor="text1" w:themeTint="80"/>
            </w:tcBorders>
          </w:tcPr>
          <w:p w14:paraId="1B71085C" w14:textId="77777777" w:rsidR="0032183B" w:rsidRPr="0032183B" w:rsidRDefault="0032183B" w:rsidP="00184B96">
            <w:pPr>
              <w:pStyle w:val="Tabletext"/>
              <w:jc w:val="center"/>
              <w:rPr>
                <w:szCs w:val="20"/>
              </w:rPr>
            </w:pPr>
            <w:r w:rsidRPr="0032183B">
              <w:rPr>
                <w:szCs w:val="20"/>
              </w:rPr>
              <w:t>1.2</w:t>
            </w:r>
          </w:p>
        </w:tc>
        <w:tc>
          <w:tcPr>
            <w:tcW w:w="1118" w:type="pct"/>
            <w:tcBorders>
              <w:top w:val="single" w:sz="2" w:space="0" w:color="808080" w:themeColor="background1" w:themeShade="80"/>
            </w:tcBorders>
          </w:tcPr>
          <w:p w14:paraId="5A5A67AB" w14:textId="77777777" w:rsidR="0032183B" w:rsidRPr="0032183B" w:rsidRDefault="0032183B" w:rsidP="00184B96">
            <w:pPr>
              <w:pStyle w:val="Tabletext"/>
              <w:jc w:val="center"/>
              <w:rPr>
                <w:szCs w:val="20"/>
              </w:rPr>
            </w:pPr>
            <w:r w:rsidRPr="0032183B">
              <w:rPr>
                <w:szCs w:val="20"/>
              </w:rPr>
              <w:t>0.2</w:t>
            </w:r>
          </w:p>
        </w:tc>
        <w:tc>
          <w:tcPr>
            <w:tcW w:w="1250" w:type="pct"/>
            <w:tcBorders>
              <w:top w:val="single" w:sz="2" w:space="0" w:color="808080" w:themeColor="background1" w:themeShade="80"/>
            </w:tcBorders>
          </w:tcPr>
          <w:p w14:paraId="5947F871" w14:textId="77777777" w:rsidR="0032183B" w:rsidRPr="0032183B" w:rsidRDefault="0032183B" w:rsidP="00184B96">
            <w:pPr>
              <w:pStyle w:val="Tabletext"/>
              <w:jc w:val="center"/>
              <w:rPr>
                <w:szCs w:val="20"/>
              </w:rPr>
            </w:pPr>
            <w:r w:rsidRPr="0032183B">
              <w:rPr>
                <w:szCs w:val="20"/>
              </w:rPr>
              <w:t>5.0*</w:t>
            </w:r>
          </w:p>
        </w:tc>
      </w:tr>
      <w:tr w:rsidR="0032183B" w:rsidRPr="0032183B" w14:paraId="4AC16C6D" w14:textId="77777777" w:rsidTr="00D558FC">
        <w:tc>
          <w:tcPr>
            <w:tcW w:w="1327" w:type="pct"/>
            <w:vMerge/>
            <w:tcBorders>
              <w:bottom w:val="single" w:sz="4" w:space="0" w:color="7F7F7F" w:themeColor="text1" w:themeTint="80"/>
            </w:tcBorders>
            <w:vAlign w:val="center"/>
          </w:tcPr>
          <w:p w14:paraId="245E7B99" w14:textId="77777777" w:rsidR="0032183B" w:rsidRPr="00D558FC" w:rsidRDefault="0032183B" w:rsidP="00D558FC">
            <w:pPr>
              <w:pStyle w:val="Tabletext"/>
            </w:pPr>
          </w:p>
        </w:tc>
        <w:tc>
          <w:tcPr>
            <w:tcW w:w="1305" w:type="pct"/>
            <w:tcBorders>
              <w:bottom w:val="single" w:sz="2" w:space="0" w:color="808080" w:themeColor="background1" w:themeShade="80"/>
            </w:tcBorders>
          </w:tcPr>
          <w:p w14:paraId="57B8591F" w14:textId="77777777" w:rsidR="0032183B" w:rsidRPr="0032183B" w:rsidRDefault="0032183B" w:rsidP="00184B96">
            <w:pPr>
              <w:pStyle w:val="Tabletext"/>
              <w:jc w:val="center"/>
              <w:rPr>
                <w:szCs w:val="20"/>
              </w:rPr>
            </w:pPr>
            <w:r w:rsidRPr="0032183B">
              <w:rPr>
                <w:szCs w:val="20"/>
              </w:rPr>
              <w:t>(0.92)</w:t>
            </w:r>
          </w:p>
        </w:tc>
        <w:tc>
          <w:tcPr>
            <w:tcW w:w="1118" w:type="pct"/>
            <w:tcBorders>
              <w:bottom w:val="single" w:sz="2" w:space="0" w:color="808080" w:themeColor="background1" w:themeShade="80"/>
            </w:tcBorders>
          </w:tcPr>
          <w:p w14:paraId="563FF179" w14:textId="77777777" w:rsidR="0032183B" w:rsidRPr="0032183B" w:rsidRDefault="0032183B" w:rsidP="00184B96">
            <w:pPr>
              <w:pStyle w:val="Tabletext"/>
              <w:jc w:val="center"/>
              <w:rPr>
                <w:szCs w:val="20"/>
              </w:rPr>
            </w:pPr>
            <w:r w:rsidRPr="0032183B">
              <w:rPr>
                <w:szCs w:val="20"/>
              </w:rPr>
              <w:t>(2.22)</w:t>
            </w:r>
          </w:p>
        </w:tc>
        <w:tc>
          <w:tcPr>
            <w:tcW w:w="1250" w:type="pct"/>
            <w:tcBorders>
              <w:bottom w:val="single" w:sz="2" w:space="0" w:color="808080" w:themeColor="background1" w:themeShade="80"/>
            </w:tcBorders>
          </w:tcPr>
          <w:p w14:paraId="6E1F886B" w14:textId="77777777" w:rsidR="0032183B" w:rsidRPr="0032183B" w:rsidRDefault="0032183B" w:rsidP="00184B96">
            <w:pPr>
              <w:pStyle w:val="Tabletext"/>
              <w:jc w:val="center"/>
              <w:rPr>
                <w:szCs w:val="20"/>
              </w:rPr>
            </w:pPr>
            <w:r w:rsidRPr="0032183B">
              <w:rPr>
                <w:szCs w:val="20"/>
              </w:rPr>
              <w:t>(2.78)</w:t>
            </w:r>
          </w:p>
        </w:tc>
      </w:tr>
      <w:tr w:rsidR="0032183B" w:rsidRPr="0032183B" w14:paraId="4D423AC3" w14:textId="77777777" w:rsidTr="00D558FC">
        <w:tc>
          <w:tcPr>
            <w:tcW w:w="1327" w:type="pct"/>
            <w:vMerge w:val="restart"/>
            <w:tcBorders>
              <w:top w:val="single" w:sz="4" w:space="0" w:color="7F7F7F" w:themeColor="text1" w:themeTint="80"/>
            </w:tcBorders>
            <w:vAlign w:val="center"/>
          </w:tcPr>
          <w:p w14:paraId="79697FAA" w14:textId="77777777" w:rsidR="0032183B" w:rsidRPr="00D558FC" w:rsidRDefault="0032183B" w:rsidP="00D558FC">
            <w:pPr>
              <w:pStyle w:val="Tabletext"/>
            </w:pPr>
            <w:r w:rsidRPr="00D558FC">
              <w:t>NT</w:t>
            </w:r>
          </w:p>
        </w:tc>
        <w:tc>
          <w:tcPr>
            <w:tcW w:w="1305" w:type="pct"/>
            <w:tcBorders>
              <w:top w:val="single" w:sz="2" w:space="0" w:color="808080" w:themeColor="background1" w:themeShade="80"/>
            </w:tcBorders>
          </w:tcPr>
          <w:p w14:paraId="5F539671" w14:textId="77777777" w:rsidR="0032183B" w:rsidRPr="0032183B" w:rsidRDefault="0032183B" w:rsidP="00184B96">
            <w:pPr>
              <w:pStyle w:val="Tabletext"/>
              <w:jc w:val="center"/>
              <w:rPr>
                <w:szCs w:val="20"/>
              </w:rPr>
            </w:pPr>
            <w:r w:rsidRPr="0032183B">
              <w:rPr>
                <w:szCs w:val="20"/>
              </w:rPr>
              <w:t>0.7</w:t>
            </w:r>
          </w:p>
        </w:tc>
        <w:tc>
          <w:tcPr>
            <w:tcW w:w="1118" w:type="pct"/>
            <w:tcBorders>
              <w:top w:val="single" w:sz="2" w:space="0" w:color="808080" w:themeColor="background1" w:themeShade="80"/>
            </w:tcBorders>
          </w:tcPr>
          <w:p w14:paraId="24BF464B" w14:textId="77777777" w:rsidR="0032183B" w:rsidRPr="0032183B" w:rsidRDefault="0032183B" w:rsidP="00184B96">
            <w:pPr>
              <w:pStyle w:val="Tabletext"/>
              <w:jc w:val="center"/>
              <w:rPr>
                <w:szCs w:val="20"/>
              </w:rPr>
            </w:pPr>
            <w:r w:rsidRPr="0032183B">
              <w:rPr>
                <w:szCs w:val="20"/>
              </w:rPr>
              <w:t>0.6</w:t>
            </w:r>
          </w:p>
        </w:tc>
        <w:tc>
          <w:tcPr>
            <w:tcW w:w="1250" w:type="pct"/>
            <w:tcBorders>
              <w:top w:val="single" w:sz="2" w:space="0" w:color="808080" w:themeColor="background1" w:themeShade="80"/>
            </w:tcBorders>
          </w:tcPr>
          <w:p w14:paraId="58F86B89" w14:textId="77777777" w:rsidR="0032183B" w:rsidRPr="0032183B" w:rsidRDefault="0032183B" w:rsidP="00184B96">
            <w:pPr>
              <w:pStyle w:val="Tabletext"/>
              <w:jc w:val="center"/>
              <w:rPr>
                <w:szCs w:val="20"/>
              </w:rPr>
            </w:pPr>
            <w:r w:rsidRPr="0032183B">
              <w:rPr>
                <w:szCs w:val="20"/>
              </w:rPr>
              <w:t>3.3</w:t>
            </w:r>
          </w:p>
        </w:tc>
      </w:tr>
      <w:tr w:rsidR="0032183B" w:rsidRPr="0032183B" w14:paraId="03BD2EE0" w14:textId="77777777" w:rsidTr="00D558FC">
        <w:tc>
          <w:tcPr>
            <w:tcW w:w="1327" w:type="pct"/>
            <w:vMerge/>
            <w:tcBorders>
              <w:bottom w:val="single" w:sz="4" w:space="0" w:color="7F7F7F" w:themeColor="text1" w:themeTint="80"/>
            </w:tcBorders>
            <w:vAlign w:val="center"/>
          </w:tcPr>
          <w:p w14:paraId="00D53C6F" w14:textId="77777777" w:rsidR="0032183B" w:rsidRPr="00D558FC" w:rsidRDefault="0032183B" w:rsidP="00D558FC">
            <w:pPr>
              <w:pStyle w:val="Tabletext"/>
            </w:pPr>
          </w:p>
        </w:tc>
        <w:tc>
          <w:tcPr>
            <w:tcW w:w="1305" w:type="pct"/>
            <w:tcBorders>
              <w:bottom w:val="single" w:sz="2" w:space="0" w:color="808080" w:themeColor="background1" w:themeShade="80"/>
            </w:tcBorders>
          </w:tcPr>
          <w:p w14:paraId="0F7C2FE4" w14:textId="77777777" w:rsidR="0032183B" w:rsidRPr="0032183B" w:rsidRDefault="0032183B" w:rsidP="00184B96">
            <w:pPr>
              <w:pStyle w:val="Tabletext"/>
              <w:jc w:val="center"/>
              <w:rPr>
                <w:szCs w:val="20"/>
              </w:rPr>
            </w:pPr>
            <w:r w:rsidRPr="0032183B">
              <w:rPr>
                <w:szCs w:val="20"/>
              </w:rPr>
              <w:t>(1.09)</w:t>
            </w:r>
          </w:p>
        </w:tc>
        <w:tc>
          <w:tcPr>
            <w:tcW w:w="1118" w:type="pct"/>
            <w:tcBorders>
              <w:bottom w:val="single" w:sz="2" w:space="0" w:color="808080" w:themeColor="background1" w:themeShade="80"/>
            </w:tcBorders>
          </w:tcPr>
          <w:p w14:paraId="2A45EED6" w14:textId="77777777" w:rsidR="0032183B" w:rsidRPr="0032183B" w:rsidRDefault="0032183B" w:rsidP="00184B96">
            <w:pPr>
              <w:pStyle w:val="Tabletext"/>
              <w:jc w:val="center"/>
              <w:rPr>
                <w:szCs w:val="20"/>
              </w:rPr>
            </w:pPr>
            <w:r w:rsidRPr="0032183B">
              <w:rPr>
                <w:szCs w:val="20"/>
              </w:rPr>
              <w:t>(2.63)</w:t>
            </w:r>
          </w:p>
        </w:tc>
        <w:tc>
          <w:tcPr>
            <w:tcW w:w="1250" w:type="pct"/>
            <w:tcBorders>
              <w:bottom w:val="single" w:sz="2" w:space="0" w:color="808080" w:themeColor="background1" w:themeShade="80"/>
            </w:tcBorders>
          </w:tcPr>
          <w:p w14:paraId="57E83EC7" w14:textId="77777777" w:rsidR="0032183B" w:rsidRPr="0032183B" w:rsidRDefault="0032183B" w:rsidP="00184B96">
            <w:pPr>
              <w:pStyle w:val="Tabletext"/>
              <w:jc w:val="center"/>
              <w:rPr>
                <w:szCs w:val="20"/>
              </w:rPr>
            </w:pPr>
            <w:r w:rsidRPr="0032183B">
              <w:rPr>
                <w:szCs w:val="20"/>
              </w:rPr>
              <w:t>(3.29)</w:t>
            </w:r>
          </w:p>
        </w:tc>
      </w:tr>
      <w:tr w:rsidR="0032183B" w:rsidRPr="0032183B" w14:paraId="28BF8C5E" w14:textId="77777777" w:rsidTr="00D558FC">
        <w:tc>
          <w:tcPr>
            <w:tcW w:w="1327" w:type="pct"/>
            <w:vMerge w:val="restart"/>
            <w:tcBorders>
              <w:top w:val="single" w:sz="4" w:space="0" w:color="7F7F7F" w:themeColor="text1" w:themeTint="80"/>
            </w:tcBorders>
            <w:vAlign w:val="center"/>
          </w:tcPr>
          <w:p w14:paraId="0BBC099D" w14:textId="77777777" w:rsidR="0032183B" w:rsidRPr="00D558FC" w:rsidRDefault="0032183B" w:rsidP="00D558FC">
            <w:pPr>
              <w:pStyle w:val="Tabletext"/>
            </w:pPr>
            <w:r w:rsidRPr="00D558FC">
              <w:t>QLD</w:t>
            </w:r>
          </w:p>
        </w:tc>
        <w:tc>
          <w:tcPr>
            <w:tcW w:w="1305" w:type="pct"/>
            <w:tcBorders>
              <w:top w:val="single" w:sz="2" w:space="0" w:color="808080" w:themeColor="background1" w:themeShade="80"/>
            </w:tcBorders>
          </w:tcPr>
          <w:p w14:paraId="47C99564" w14:textId="77777777" w:rsidR="0032183B" w:rsidRPr="0032183B" w:rsidRDefault="0032183B" w:rsidP="00184B96">
            <w:pPr>
              <w:pStyle w:val="Tabletext"/>
              <w:jc w:val="center"/>
              <w:rPr>
                <w:szCs w:val="20"/>
              </w:rPr>
            </w:pPr>
            <w:r w:rsidRPr="0032183B">
              <w:rPr>
                <w:szCs w:val="20"/>
              </w:rPr>
              <w:t>0.9</w:t>
            </w:r>
          </w:p>
        </w:tc>
        <w:tc>
          <w:tcPr>
            <w:tcW w:w="1118" w:type="pct"/>
            <w:tcBorders>
              <w:top w:val="single" w:sz="2" w:space="0" w:color="808080" w:themeColor="background1" w:themeShade="80"/>
            </w:tcBorders>
          </w:tcPr>
          <w:p w14:paraId="1B74F080" w14:textId="77777777" w:rsidR="0032183B" w:rsidRPr="0032183B" w:rsidRDefault="0032183B" w:rsidP="00184B96">
            <w:pPr>
              <w:pStyle w:val="Tabletext"/>
              <w:jc w:val="center"/>
              <w:rPr>
                <w:szCs w:val="20"/>
              </w:rPr>
            </w:pPr>
            <w:r w:rsidRPr="0032183B">
              <w:rPr>
                <w:szCs w:val="20"/>
              </w:rPr>
              <w:t>0.4</w:t>
            </w:r>
          </w:p>
        </w:tc>
        <w:tc>
          <w:tcPr>
            <w:tcW w:w="1250" w:type="pct"/>
            <w:tcBorders>
              <w:top w:val="single" w:sz="2" w:space="0" w:color="808080" w:themeColor="background1" w:themeShade="80"/>
            </w:tcBorders>
          </w:tcPr>
          <w:p w14:paraId="703B29CD" w14:textId="77777777" w:rsidR="0032183B" w:rsidRPr="0032183B" w:rsidRDefault="0032183B" w:rsidP="00184B96">
            <w:pPr>
              <w:pStyle w:val="Tabletext"/>
              <w:jc w:val="center"/>
              <w:rPr>
                <w:szCs w:val="20"/>
              </w:rPr>
            </w:pPr>
            <w:r w:rsidRPr="0032183B">
              <w:rPr>
                <w:szCs w:val="20"/>
              </w:rPr>
              <w:t>4.4</w:t>
            </w:r>
          </w:p>
        </w:tc>
      </w:tr>
      <w:tr w:rsidR="0032183B" w:rsidRPr="0032183B" w14:paraId="12DB9AC8" w14:textId="77777777" w:rsidTr="00D558FC">
        <w:tc>
          <w:tcPr>
            <w:tcW w:w="1327" w:type="pct"/>
            <w:vMerge/>
            <w:tcBorders>
              <w:bottom w:val="single" w:sz="4" w:space="0" w:color="7F7F7F" w:themeColor="text1" w:themeTint="80"/>
            </w:tcBorders>
            <w:vAlign w:val="center"/>
          </w:tcPr>
          <w:p w14:paraId="5778C565" w14:textId="77777777" w:rsidR="0032183B" w:rsidRPr="00D558FC" w:rsidRDefault="0032183B" w:rsidP="00D558FC">
            <w:pPr>
              <w:pStyle w:val="Tabletext"/>
            </w:pPr>
          </w:p>
        </w:tc>
        <w:tc>
          <w:tcPr>
            <w:tcW w:w="1305" w:type="pct"/>
            <w:tcBorders>
              <w:bottom w:val="single" w:sz="4" w:space="0" w:color="7F7F7F" w:themeColor="text1" w:themeTint="80"/>
            </w:tcBorders>
          </w:tcPr>
          <w:p w14:paraId="4F3985F6" w14:textId="77777777" w:rsidR="0032183B" w:rsidRPr="0032183B" w:rsidRDefault="0032183B" w:rsidP="00184B96">
            <w:pPr>
              <w:pStyle w:val="Tabletext"/>
              <w:jc w:val="center"/>
              <w:rPr>
                <w:szCs w:val="20"/>
              </w:rPr>
            </w:pPr>
            <w:r w:rsidRPr="0032183B">
              <w:rPr>
                <w:szCs w:val="20"/>
              </w:rPr>
              <w:t>(0.94)</w:t>
            </w:r>
          </w:p>
        </w:tc>
        <w:tc>
          <w:tcPr>
            <w:tcW w:w="1118" w:type="pct"/>
            <w:tcBorders>
              <w:bottom w:val="single" w:sz="4" w:space="0" w:color="7F7F7F" w:themeColor="text1" w:themeTint="80"/>
            </w:tcBorders>
          </w:tcPr>
          <w:p w14:paraId="6CD51923" w14:textId="77777777" w:rsidR="0032183B" w:rsidRPr="0032183B" w:rsidRDefault="0032183B" w:rsidP="00184B96">
            <w:pPr>
              <w:pStyle w:val="Tabletext"/>
              <w:jc w:val="center"/>
              <w:rPr>
                <w:szCs w:val="20"/>
              </w:rPr>
            </w:pPr>
            <w:r w:rsidRPr="0032183B">
              <w:rPr>
                <w:szCs w:val="20"/>
              </w:rPr>
              <w:t>(2.26)</w:t>
            </w:r>
          </w:p>
        </w:tc>
        <w:tc>
          <w:tcPr>
            <w:tcW w:w="1250" w:type="pct"/>
            <w:tcBorders>
              <w:bottom w:val="single" w:sz="2" w:space="0" w:color="808080" w:themeColor="background1" w:themeShade="80"/>
            </w:tcBorders>
          </w:tcPr>
          <w:p w14:paraId="46324DB3" w14:textId="77777777" w:rsidR="0032183B" w:rsidRPr="0032183B" w:rsidRDefault="0032183B" w:rsidP="00184B96">
            <w:pPr>
              <w:pStyle w:val="Tabletext"/>
              <w:jc w:val="center"/>
              <w:rPr>
                <w:szCs w:val="20"/>
              </w:rPr>
            </w:pPr>
            <w:r w:rsidRPr="0032183B">
              <w:rPr>
                <w:szCs w:val="20"/>
              </w:rPr>
              <w:t>(2.82)</w:t>
            </w:r>
          </w:p>
        </w:tc>
      </w:tr>
      <w:tr w:rsidR="0032183B" w:rsidRPr="0032183B" w14:paraId="6048DD60" w14:textId="77777777" w:rsidTr="00D558FC">
        <w:tc>
          <w:tcPr>
            <w:tcW w:w="1327" w:type="pct"/>
            <w:vMerge w:val="restart"/>
            <w:vAlign w:val="center"/>
          </w:tcPr>
          <w:p w14:paraId="0DCD9A77" w14:textId="77777777" w:rsidR="0032183B" w:rsidRPr="00D558FC" w:rsidRDefault="0032183B" w:rsidP="00D558FC">
            <w:pPr>
              <w:pStyle w:val="Tabletext"/>
            </w:pPr>
            <w:r w:rsidRPr="00D558FC">
              <w:t>SA</w:t>
            </w:r>
          </w:p>
        </w:tc>
        <w:tc>
          <w:tcPr>
            <w:tcW w:w="1305" w:type="pct"/>
          </w:tcPr>
          <w:p w14:paraId="23AB765D" w14:textId="77777777" w:rsidR="0032183B" w:rsidRPr="0032183B" w:rsidRDefault="0032183B" w:rsidP="00184B96">
            <w:pPr>
              <w:pStyle w:val="Tabletext"/>
              <w:jc w:val="center"/>
              <w:rPr>
                <w:rFonts w:cs="Calibri"/>
                <w:color w:val="000000"/>
                <w:szCs w:val="20"/>
              </w:rPr>
            </w:pPr>
            <w:r w:rsidRPr="0032183B">
              <w:rPr>
                <w:szCs w:val="20"/>
              </w:rPr>
              <w:t>0.4</w:t>
            </w:r>
          </w:p>
        </w:tc>
        <w:tc>
          <w:tcPr>
            <w:tcW w:w="1118" w:type="pct"/>
          </w:tcPr>
          <w:p w14:paraId="03E88AEE" w14:textId="77777777" w:rsidR="0032183B" w:rsidRPr="0032183B" w:rsidRDefault="0032183B" w:rsidP="00184B96">
            <w:pPr>
              <w:pStyle w:val="Tabletext"/>
              <w:jc w:val="center"/>
              <w:rPr>
                <w:szCs w:val="20"/>
              </w:rPr>
            </w:pPr>
            <w:r w:rsidRPr="0032183B">
              <w:rPr>
                <w:szCs w:val="20"/>
              </w:rPr>
              <w:t>-0.0</w:t>
            </w:r>
          </w:p>
        </w:tc>
        <w:tc>
          <w:tcPr>
            <w:tcW w:w="1250" w:type="pct"/>
          </w:tcPr>
          <w:p w14:paraId="0B268855" w14:textId="77777777" w:rsidR="0032183B" w:rsidRPr="0032183B" w:rsidRDefault="0032183B" w:rsidP="00184B96">
            <w:pPr>
              <w:pStyle w:val="Tabletext"/>
              <w:jc w:val="center"/>
              <w:rPr>
                <w:szCs w:val="20"/>
              </w:rPr>
            </w:pPr>
            <w:r w:rsidRPr="0032183B">
              <w:rPr>
                <w:szCs w:val="20"/>
              </w:rPr>
              <w:t>0.9</w:t>
            </w:r>
          </w:p>
        </w:tc>
      </w:tr>
      <w:tr w:rsidR="0032183B" w:rsidRPr="0032183B" w14:paraId="1B4C97FC" w14:textId="77777777" w:rsidTr="00D558FC">
        <w:tc>
          <w:tcPr>
            <w:tcW w:w="1327" w:type="pct"/>
            <w:vMerge/>
            <w:tcBorders>
              <w:bottom w:val="single" w:sz="4" w:space="0" w:color="7F7F7F" w:themeColor="text1" w:themeTint="80"/>
            </w:tcBorders>
            <w:vAlign w:val="center"/>
          </w:tcPr>
          <w:p w14:paraId="66618410" w14:textId="77777777" w:rsidR="0032183B" w:rsidRPr="00D558FC" w:rsidRDefault="0032183B" w:rsidP="00D558FC">
            <w:pPr>
              <w:pStyle w:val="Tabletext"/>
            </w:pPr>
          </w:p>
        </w:tc>
        <w:tc>
          <w:tcPr>
            <w:tcW w:w="1305" w:type="pct"/>
            <w:tcBorders>
              <w:bottom w:val="single" w:sz="4" w:space="0" w:color="7F7F7F" w:themeColor="text1" w:themeTint="80"/>
            </w:tcBorders>
          </w:tcPr>
          <w:p w14:paraId="461451FF" w14:textId="77777777" w:rsidR="0032183B" w:rsidRPr="0032183B" w:rsidRDefault="0032183B" w:rsidP="00184B96">
            <w:pPr>
              <w:pStyle w:val="Tabletext"/>
              <w:jc w:val="center"/>
              <w:rPr>
                <w:rFonts w:cs="Calibri"/>
                <w:color w:val="000000"/>
                <w:szCs w:val="20"/>
              </w:rPr>
            </w:pPr>
            <w:r w:rsidRPr="0032183B">
              <w:rPr>
                <w:szCs w:val="20"/>
              </w:rPr>
              <w:t>(0.95)</w:t>
            </w:r>
          </w:p>
        </w:tc>
        <w:tc>
          <w:tcPr>
            <w:tcW w:w="1118" w:type="pct"/>
            <w:tcBorders>
              <w:bottom w:val="single" w:sz="4" w:space="0" w:color="7F7F7F" w:themeColor="text1" w:themeTint="80"/>
            </w:tcBorders>
          </w:tcPr>
          <w:p w14:paraId="149A8AF7" w14:textId="77777777" w:rsidR="0032183B" w:rsidRPr="0032183B" w:rsidRDefault="0032183B" w:rsidP="00184B96">
            <w:pPr>
              <w:pStyle w:val="Tabletext"/>
              <w:jc w:val="center"/>
              <w:rPr>
                <w:szCs w:val="20"/>
              </w:rPr>
            </w:pPr>
            <w:r w:rsidRPr="0032183B">
              <w:rPr>
                <w:szCs w:val="20"/>
              </w:rPr>
              <w:t>(2.28)</w:t>
            </w:r>
          </w:p>
        </w:tc>
        <w:tc>
          <w:tcPr>
            <w:tcW w:w="1250" w:type="pct"/>
            <w:tcBorders>
              <w:bottom w:val="single" w:sz="2" w:space="0" w:color="808080" w:themeColor="background1" w:themeShade="80"/>
            </w:tcBorders>
          </w:tcPr>
          <w:p w14:paraId="07D1EBB8" w14:textId="77777777" w:rsidR="0032183B" w:rsidRPr="0032183B" w:rsidRDefault="0032183B" w:rsidP="00184B96">
            <w:pPr>
              <w:pStyle w:val="Tabletext"/>
              <w:jc w:val="center"/>
              <w:rPr>
                <w:szCs w:val="20"/>
              </w:rPr>
            </w:pPr>
            <w:r w:rsidRPr="0032183B">
              <w:rPr>
                <w:szCs w:val="20"/>
              </w:rPr>
              <w:t>(2.85)</w:t>
            </w:r>
          </w:p>
        </w:tc>
      </w:tr>
      <w:tr w:rsidR="0032183B" w:rsidRPr="0032183B" w14:paraId="455AB492" w14:textId="77777777" w:rsidTr="00D558FC">
        <w:tc>
          <w:tcPr>
            <w:tcW w:w="1327" w:type="pct"/>
            <w:vMerge w:val="restart"/>
            <w:vAlign w:val="center"/>
          </w:tcPr>
          <w:p w14:paraId="646F637B" w14:textId="77777777" w:rsidR="0032183B" w:rsidRPr="00D558FC" w:rsidRDefault="0032183B" w:rsidP="00D558FC">
            <w:pPr>
              <w:pStyle w:val="Tabletext"/>
            </w:pPr>
            <w:r w:rsidRPr="00D558FC">
              <w:t>TA</w:t>
            </w:r>
          </w:p>
        </w:tc>
        <w:tc>
          <w:tcPr>
            <w:tcW w:w="1305" w:type="pct"/>
          </w:tcPr>
          <w:p w14:paraId="204843B9" w14:textId="77777777" w:rsidR="0032183B" w:rsidRPr="0032183B" w:rsidRDefault="0032183B" w:rsidP="00184B96">
            <w:pPr>
              <w:pStyle w:val="Tabletext"/>
              <w:jc w:val="center"/>
              <w:rPr>
                <w:rFonts w:cs="Calibri"/>
                <w:color w:val="000000"/>
                <w:szCs w:val="20"/>
              </w:rPr>
            </w:pPr>
            <w:r w:rsidRPr="0032183B">
              <w:rPr>
                <w:szCs w:val="20"/>
              </w:rPr>
              <w:t>-0.1</w:t>
            </w:r>
          </w:p>
        </w:tc>
        <w:tc>
          <w:tcPr>
            <w:tcW w:w="1118" w:type="pct"/>
          </w:tcPr>
          <w:p w14:paraId="0F5AC21D" w14:textId="77777777" w:rsidR="0032183B" w:rsidRPr="0032183B" w:rsidRDefault="0032183B" w:rsidP="00184B96">
            <w:pPr>
              <w:pStyle w:val="Tabletext"/>
              <w:jc w:val="center"/>
              <w:rPr>
                <w:szCs w:val="20"/>
              </w:rPr>
            </w:pPr>
            <w:r w:rsidRPr="0032183B">
              <w:rPr>
                <w:szCs w:val="20"/>
              </w:rPr>
              <w:t>1.2</w:t>
            </w:r>
          </w:p>
        </w:tc>
        <w:tc>
          <w:tcPr>
            <w:tcW w:w="1250" w:type="pct"/>
          </w:tcPr>
          <w:p w14:paraId="27D584F7" w14:textId="77777777" w:rsidR="0032183B" w:rsidRPr="0032183B" w:rsidRDefault="0032183B" w:rsidP="00184B96">
            <w:pPr>
              <w:pStyle w:val="Tabletext"/>
              <w:jc w:val="center"/>
              <w:rPr>
                <w:szCs w:val="20"/>
              </w:rPr>
            </w:pPr>
            <w:r w:rsidRPr="0032183B">
              <w:rPr>
                <w:szCs w:val="20"/>
              </w:rPr>
              <w:t>0.4</w:t>
            </w:r>
          </w:p>
        </w:tc>
      </w:tr>
      <w:tr w:rsidR="0032183B" w:rsidRPr="0032183B" w14:paraId="54FC0C60" w14:textId="77777777" w:rsidTr="00D558FC">
        <w:tc>
          <w:tcPr>
            <w:tcW w:w="1327" w:type="pct"/>
            <w:vMerge/>
            <w:tcBorders>
              <w:bottom w:val="single" w:sz="4" w:space="0" w:color="7F7F7F" w:themeColor="text1" w:themeTint="80"/>
            </w:tcBorders>
            <w:vAlign w:val="center"/>
          </w:tcPr>
          <w:p w14:paraId="43CE31C3" w14:textId="77777777" w:rsidR="0032183B" w:rsidRPr="00D558FC" w:rsidRDefault="0032183B" w:rsidP="00D558FC">
            <w:pPr>
              <w:pStyle w:val="Tabletext"/>
            </w:pPr>
          </w:p>
        </w:tc>
        <w:tc>
          <w:tcPr>
            <w:tcW w:w="1305" w:type="pct"/>
            <w:tcBorders>
              <w:bottom w:val="single" w:sz="4" w:space="0" w:color="7F7F7F" w:themeColor="text1" w:themeTint="80"/>
            </w:tcBorders>
          </w:tcPr>
          <w:p w14:paraId="5857CED2" w14:textId="77777777" w:rsidR="0032183B" w:rsidRPr="0032183B" w:rsidRDefault="0032183B" w:rsidP="00184B96">
            <w:pPr>
              <w:pStyle w:val="Tabletext"/>
              <w:jc w:val="center"/>
              <w:rPr>
                <w:rFonts w:cs="Calibri"/>
                <w:color w:val="000000"/>
                <w:szCs w:val="20"/>
              </w:rPr>
            </w:pPr>
            <w:r w:rsidRPr="0032183B">
              <w:rPr>
                <w:szCs w:val="20"/>
              </w:rPr>
              <w:t>(1.09)</w:t>
            </w:r>
          </w:p>
        </w:tc>
        <w:tc>
          <w:tcPr>
            <w:tcW w:w="1118" w:type="pct"/>
            <w:tcBorders>
              <w:bottom w:val="single" w:sz="4" w:space="0" w:color="7F7F7F" w:themeColor="text1" w:themeTint="80"/>
            </w:tcBorders>
          </w:tcPr>
          <w:p w14:paraId="3BA624FB" w14:textId="77777777" w:rsidR="0032183B" w:rsidRPr="0032183B" w:rsidRDefault="0032183B" w:rsidP="00184B96">
            <w:pPr>
              <w:pStyle w:val="Tabletext"/>
              <w:jc w:val="center"/>
              <w:rPr>
                <w:szCs w:val="20"/>
              </w:rPr>
            </w:pPr>
            <w:r w:rsidRPr="0032183B">
              <w:rPr>
                <w:szCs w:val="20"/>
              </w:rPr>
              <w:t>(2.61)</w:t>
            </w:r>
          </w:p>
        </w:tc>
        <w:tc>
          <w:tcPr>
            <w:tcW w:w="1250" w:type="pct"/>
            <w:tcBorders>
              <w:bottom w:val="single" w:sz="2" w:space="0" w:color="808080" w:themeColor="background1" w:themeShade="80"/>
            </w:tcBorders>
          </w:tcPr>
          <w:p w14:paraId="6FE59117" w14:textId="77777777" w:rsidR="0032183B" w:rsidRPr="0032183B" w:rsidRDefault="0032183B" w:rsidP="00184B96">
            <w:pPr>
              <w:pStyle w:val="Tabletext"/>
              <w:jc w:val="center"/>
              <w:rPr>
                <w:szCs w:val="20"/>
              </w:rPr>
            </w:pPr>
            <w:r w:rsidRPr="0032183B">
              <w:rPr>
                <w:szCs w:val="20"/>
              </w:rPr>
              <w:t>(3.27)</w:t>
            </w:r>
          </w:p>
        </w:tc>
      </w:tr>
      <w:tr w:rsidR="0032183B" w:rsidRPr="0032183B" w14:paraId="14821FB7" w14:textId="77777777" w:rsidTr="00D558FC">
        <w:tc>
          <w:tcPr>
            <w:tcW w:w="1327" w:type="pct"/>
            <w:vMerge w:val="restart"/>
            <w:vAlign w:val="center"/>
          </w:tcPr>
          <w:p w14:paraId="6473A3CD" w14:textId="77777777" w:rsidR="0032183B" w:rsidRPr="00D558FC" w:rsidRDefault="0032183B" w:rsidP="00D558FC">
            <w:pPr>
              <w:pStyle w:val="Tabletext"/>
            </w:pPr>
            <w:r w:rsidRPr="00D558FC">
              <w:t>VIC</w:t>
            </w:r>
          </w:p>
        </w:tc>
        <w:tc>
          <w:tcPr>
            <w:tcW w:w="1305" w:type="pct"/>
          </w:tcPr>
          <w:p w14:paraId="435FE303" w14:textId="77777777" w:rsidR="0032183B" w:rsidRPr="0032183B" w:rsidRDefault="0032183B" w:rsidP="00184B96">
            <w:pPr>
              <w:pStyle w:val="Tabletext"/>
              <w:jc w:val="center"/>
              <w:rPr>
                <w:rFonts w:cs="Calibri"/>
                <w:color w:val="000000"/>
                <w:szCs w:val="20"/>
              </w:rPr>
            </w:pPr>
            <w:r w:rsidRPr="0032183B">
              <w:rPr>
                <w:szCs w:val="20"/>
              </w:rPr>
              <w:t>0.4</w:t>
            </w:r>
          </w:p>
        </w:tc>
        <w:tc>
          <w:tcPr>
            <w:tcW w:w="1118" w:type="pct"/>
          </w:tcPr>
          <w:p w14:paraId="5094C760" w14:textId="77777777" w:rsidR="0032183B" w:rsidRPr="0032183B" w:rsidRDefault="0032183B" w:rsidP="00184B96">
            <w:pPr>
              <w:pStyle w:val="Tabletext"/>
              <w:jc w:val="center"/>
              <w:rPr>
                <w:szCs w:val="20"/>
              </w:rPr>
            </w:pPr>
            <w:r w:rsidRPr="0032183B">
              <w:rPr>
                <w:szCs w:val="20"/>
              </w:rPr>
              <w:t>-0.4</w:t>
            </w:r>
          </w:p>
        </w:tc>
        <w:tc>
          <w:tcPr>
            <w:tcW w:w="1250" w:type="pct"/>
          </w:tcPr>
          <w:p w14:paraId="76B18D2E" w14:textId="77777777" w:rsidR="0032183B" w:rsidRPr="0032183B" w:rsidRDefault="0032183B" w:rsidP="00184B96">
            <w:pPr>
              <w:pStyle w:val="Tabletext"/>
              <w:jc w:val="center"/>
              <w:rPr>
                <w:szCs w:val="20"/>
              </w:rPr>
            </w:pPr>
            <w:r w:rsidRPr="0032183B">
              <w:rPr>
                <w:szCs w:val="20"/>
              </w:rPr>
              <w:t>2.2</w:t>
            </w:r>
          </w:p>
        </w:tc>
      </w:tr>
      <w:tr w:rsidR="0032183B" w:rsidRPr="0032183B" w14:paraId="770C9BC2" w14:textId="77777777" w:rsidTr="00D558FC">
        <w:tc>
          <w:tcPr>
            <w:tcW w:w="1327" w:type="pct"/>
            <w:vMerge/>
            <w:tcBorders>
              <w:bottom w:val="single" w:sz="4" w:space="0" w:color="7F7F7F" w:themeColor="text1" w:themeTint="80"/>
            </w:tcBorders>
            <w:vAlign w:val="center"/>
          </w:tcPr>
          <w:p w14:paraId="5F0768A6" w14:textId="77777777" w:rsidR="0032183B" w:rsidRPr="00D558FC" w:rsidRDefault="0032183B" w:rsidP="00D558FC">
            <w:pPr>
              <w:pStyle w:val="Tabletext"/>
            </w:pPr>
          </w:p>
        </w:tc>
        <w:tc>
          <w:tcPr>
            <w:tcW w:w="1305" w:type="pct"/>
            <w:tcBorders>
              <w:bottom w:val="single" w:sz="4" w:space="0" w:color="7F7F7F" w:themeColor="text1" w:themeTint="80"/>
            </w:tcBorders>
          </w:tcPr>
          <w:p w14:paraId="3A4698D9" w14:textId="77777777" w:rsidR="0032183B" w:rsidRPr="0032183B" w:rsidRDefault="0032183B" w:rsidP="00184B96">
            <w:pPr>
              <w:pStyle w:val="Tabletext"/>
              <w:jc w:val="center"/>
              <w:rPr>
                <w:rFonts w:cs="Calibri"/>
                <w:color w:val="000000"/>
                <w:szCs w:val="20"/>
              </w:rPr>
            </w:pPr>
            <w:r w:rsidRPr="0032183B">
              <w:rPr>
                <w:szCs w:val="20"/>
              </w:rPr>
              <w:t>(0.93)</w:t>
            </w:r>
          </w:p>
        </w:tc>
        <w:tc>
          <w:tcPr>
            <w:tcW w:w="1118" w:type="pct"/>
            <w:tcBorders>
              <w:bottom w:val="single" w:sz="4" w:space="0" w:color="7F7F7F" w:themeColor="text1" w:themeTint="80"/>
            </w:tcBorders>
          </w:tcPr>
          <w:p w14:paraId="41628FEE" w14:textId="77777777" w:rsidR="0032183B" w:rsidRPr="0032183B" w:rsidRDefault="0032183B" w:rsidP="00184B96">
            <w:pPr>
              <w:pStyle w:val="Tabletext"/>
              <w:jc w:val="center"/>
              <w:rPr>
                <w:szCs w:val="20"/>
              </w:rPr>
            </w:pPr>
            <w:r w:rsidRPr="0032183B">
              <w:rPr>
                <w:szCs w:val="20"/>
              </w:rPr>
              <w:t>(2.23)</w:t>
            </w:r>
          </w:p>
        </w:tc>
        <w:tc>
          <w:tcPr>
            <w:tcW w:w="1250" w:type="pct"/>
            <w:tcBorders>
              <w:bottom w:val="single" w:sz="2" w:space="0" w:color="808080" w:themeColor="background1" w:themeShade="80"/>
            </w:tcBorders>
          </w:tcPr>
          <w:p w14:paraId="7D3861CB" w14:textId="77777777" w:rsidR="0032183B" w:rsidRPr="0032183B" w:rsidRDefault="0032183B" w:rsidP="00184B96">
            <w:pPr>
              <w:pStyle w:val="Tabletext"/>
              <w:jc w:val="center"/>
              <w:rPr>
                <w:szCs w:val="20"/>
              </w:rPr>
            </w:pPr>
            <w:r w:rsidRPr="0032183B">
              <w:rPr>
                <w:szCs w:val="20"/>
              </w:rPr>
              <w:t>(2.79)</w:t>
            </w:r>
          </w:p>
        </w:tc>
      </w:tr>
      <w:tr w:rsidR="00D558FC" w:rsidRPr="0032183B" w14:paraId="2BEFFA02" w14:textId="77777777" w:rsidTr="00D558FC">
        <w:tc>
          <w:tcPr>
            <w:tcW w:w="1327" w:type="pct"/>
            <w:vMerge w:val="restart"/>
            <w:vAlign w:val="center"/>
          </w:tcPr>
          <w:p w14:paraId="39C05AC9" w14:textId="77777777" w:rsidR="00D558FC" w:rsidRPr="00D558FC" w:rsidRDefault="00D558FC" w:rsidP="00D558FC">
            <w:pPr>
              <w:pStyle w:val="Tabletext"/>
            </w:pPr>
            <w:r w:rsidRPr="00D558FC">
              <w:t>WA</w:t>
            </w:r>
          </w:p>
        </w:tc>
        <w:tc>
          <w:tcPr>
            <w:tcW w:w="1305" w:type="pct"/>
          </w:tcPr>
          <w:p w14:paraId="2367ADDC" w14:textId="77777777" w:rsidR="00D558FC" w:rsidRPr="0032183B" w:rsidRDefault="00D558FC" w:rsidP="00184B96">
            <w:pPr>
              <w:pStyle w:val="Tabletext"/>
              <w:jc w:val="center"/>
              <w:rPr>
                <w:rFonts w:cs="Calibri"/>
                <w:color w:val="000000"/>
                <w:szCs w:val="20"/>
              </w:rPr>
            </w:pPr>
            <w:r w:rsidRPr="0032183B">
              <w:rPr>
                <w:szCs w:val="20"/>
              </w:rPr>
              <w:t>0.7</w:t>
            </w:r>
          </w:p>
        </w:tc>
        <w:tc>
          <w:tcPr>
            <w:tcW w:w="1118" w:type="pct"/>
          </w:tcPr>
          <w:p w14:paraId="5B85866B" w14:textId="77777777" w:rsidR="00D558FC" w:rsidRPr="0032183B" w:rsidRDefault="00D558FC" w:rsidP="00184B96">
            <w:pPr>
              <w:pStyle w:val="Tabletext"/>
              <w:jc w:val="center"/>
              <w:rPr>
                <w:szCs w:val="20"/>
              </w:rPr>
            </w:pPr>
            <w:r w:rsidRPr="0032183B">
              <w:rPr>
                <w:szCs w:val="20"/>
              </w:rPr>
              <w:t>0.7</w:t>
            </w:r>
          </w:p>
        </w:tc>
        <w:tc>
          <w:tcPr>
            <w:tcW w:w="1250" w:type="pct"/>
          </w:tcPr>
          <w:p w14:paraId="2C82AB3C" w14:textId="77777777" w:rsidR="00D558FC" w:rsidRPr="0032183B" w:rsidRDefault="00D558FC" w:rsidP="00184B96">
            <w:pPr>
              <w:pStyle w:val="Tabletext"/>
              <w:jc w:val="center"/>
              <w:rPr>
                <w:szCs w:val="20"/>
              </w:rPr>
            </w:pPr>
            <w:r w:rsidRPr="0032183B">
              <w:rPr>
                <w:szCs w:val="20"/>
              </w:rPr>
              <w:t>3.7</w:t>
            </w:r>
          </w:p>
        </w:tc>
      </w:tr>
      <w:tr w:rsidR="00D558FC" w:rsidRPr="0032183B" w14:paraId="0366C0B3" w14:textId="77777777" w:rsidTr="00184B96">
        <w:tc>
          <w:tcPr>
            <w:tcW w:w="1327" w:type="pct"/>
            <w:vMerge/>
            <w:tcBorders>
              <w:bottom w:val="single" w:sz="4" w:space="0" w:color="7F7F7F" w:themeColor="text1" w:themeTint="80"/>
            </w:tcBorders>
          </w:tcPr>
          <w:p w14:paraId="3056F711" w14:textId="77777777" w:rsidR="00D558FC" w:rsidRPr="0032183B" w:rsidRDefault="00D558FC" w:rsidP="00184B96">
            <w:pPr>
              <w:pStyle w:val="Tabletext"/>
              <w:jc w:val="center"/>
              <w:rPr>
                <w:b/>
                <w:szCs w:val="20"/>
              </w:rPr>
            </w:pPr>
          </w:p>
        </w:tc>
        <w:tc>
          <w:tcPr>
            <w:tcW w:w="1305" w:type="pct"/>
            <w:tcBorders>
              <w:bottom w:val="single" w:sz="4" w:space="0" w:color="7F7F7F" w:themeColor="text1" w:themeTint="80"/>
            </w:tcBorders>
          </w:tcPr>
          <w:p w14:paraId="135126F0" w14:textId="77777777" w:rsidR="00D558FC" w:rsidRPr="0032183B" w:rsidRDefault="00D558FC" w:rsidP="00184B96">
            <w:pPr>
              <w:pStyle w:val="Tabletext"/>
              <w:jc w:val="center"/>
              <w:rPr>
                <w:rFonts w:cs="Calibri"/>
                <w:color w:val="000000"/>
                <w:szCs w:val="20"/>
              </w:rPr>
            </w:pPr>
            <w:r w:rsidRPr="0032183B">
              <w:rPr>
                <w:szCs w:val="20"/>
              </w:rPr>
              <w:t>(0.95)</w:t>
            </w:r>
          </w:p>
        </w:tc>
        <w:tc>
          <w:tcPr>
            <w:tcW w:w="1118" w:type="pct"/>
            <w:tcBorders>
              <w:bottom w:val="single" w:sz="4" w:space="0" w:color="7F7F7F" w:themeColor="text1" w:themeTint="80"/>
            </w:tcBorders>
          </w:tcPr>
          <w:p w14:paraId="2B4F7DE9" w14:textId="77777777" w:rsidR="00D558FC" w:rsidRPr="0032183B" w:rsidRDefault="00D558FC" w:rsidP="00184B96">
            <w:pPr>
              <w:pStyle w:val="Tabletext"/>
              <w:jc w:val="center"/>
              <w:rPr>
                <w:szCs w:val="20"/>
              </w:rPr>
            </w:pPr>
            <w:r w:rsidRPr="0032183B">
              <w:rPr>
                <w:szCs w:val="20"/>
              </w:rPr>
              <w:t>(2.30)</w:t>
            </w:r>
          </w:p>
        </w:tc>
        <w:tc>
          <w:tcPr>
            <w:tcW w:w="1250" w:type="pct"/>
            <w:tcBorders>
              <w:bottom w:val="single" w:sz="2" w:space="0" w:color="808080" w:themeColor="background1" w:themeShade="80"/>
            </w:tcBorders>
          </w:tcPr>
          <w:p w14:paraId="239E1A61" w14:textId="77777777" w:rsidR="00D558FC" w:rsidRPr="0032183B" w:rsidRDefault="00D558FC" w:rsidP="00184B96">
            <w:pPr>
              <w:pStyle w:val="Tabletext"/>
              <w:jc w:val="center"/>
              <w:rPr>
                <w:szCs w:val="20"/>
              </w:rPr>
            </w:pPr>
            <w:r w:rsidRPr="0032183B">
              <w:rPr>
                <w:szCs w:val="20"/>
              </w:rPr>
              <w:t>(2.87)</w:t>
            </w:r>
          </w:p>
        </w:tc>
      </w:tr>
      <w:tr w:rsidR="00D558FC" w:rsidRPr="0032183B" w14:paraId="4C0DCDD6" w14:textId="77777777" w:rsidTr="00D558FC">
        <w:tc>
          <w:tcPr>
            <w:tcW w:w="5000" w:type="pct"/>
            <w:gridSpan w:val="4"/>
            <w:tcBorders>
              <w:top w:val="single" w:sz="4" w:space="0" w:color="7F7F7F" w:themeColor="text1" w:themeTint="80"/>
              <w:bottom w:val="single" w:sz="4" w:space="0" w:color="A6A6A6" w:themeColor="background1" w:themeShade="A6"/>
            </w:tcBorders>
            <w:vAlign w:val="center"/>
          </w:tcPr>
          <w:p w14:paraId="1FFD1B52" w14:textId="47497455" w:rsidR="00D558FC" w:rsidRPr="0032183B" w:rsidRDefault="00D558FC" w:rsidP="00D558FC">
            <w:pPr>
              <w:pStyle w:val="Tabletext"/>
              <w:rPr>
                <w:szCs w:val="20"/>
              </w:rPr>
            </w:pPr>
            <w:r w:rsidRPr="0032183B">
              <w:rPr>
                <w:b/>
                <w:szCs w:val="20"/>
              </w:rPr>
              <w:t>Regionality (ref = Major cities)</w:t>
            </w:r>
          </w:p>
        </w:tc>
      </w:tr>
      <w:tr w:rsidR="00D558FC" w:rsidRPr="0032183B" w14:paraId="72BF9411" w14:textId="77777777" w:rsidTr="00184B96">
        <w:tc>
          <w:tcPr>
            <w:tcW w:w="1327" w:type="pct"/>
            <w:vMerge w:val="restart"/>
            <w:tcBorders>
              <w:top w:val="single" w:sz="4" w:space="0" w:color="A6A6A6" w:themeColor="background1" w:themeShade="A6"/>
            </w:tcBorders>
            <w:vAlign w:val="center"/>
          </w:tcPr>
          <w:p w14:paraId="489E7BA9" w14:textId="77777777" w:rsidR="00D558FC" w:rsidRPr="00D558FC" w:rsidRDefault="00D558FC" w:rsidP="00D558FC">
            <w:pPr>
              <w:pStyle w:val="Tabletext"/>
            </w:pPr>
            <w:r w:rsidRPr="00D558FC">
              <w:t>Inner regional</w:t>
            </w:r>
          </w:p>
        </w:tc>
        <w:tc>
          <w:tcPr>
            <w:tcW w:w="1305" w:type="pct"/>
            <w:tcBorders>
              <w:top w:val="single" w:sz="2" w:space="0" w:color="808080" w:themeColor="background1" w:themeShade="80"/>
            </w:tcBorders>
          </w:tcPr>
          <w:p w14:paraId="02FAD1F9" w14:textId="77777777" w:rsidR="00D558FC" w:rsidRPr="0032183B" w:rsidRDefault="00D558FC" w:rsidP="00184B96">
            <w:pPr>
              <w:pStyle w:val="Tabletext"/>
              <w:jc w:val="center"/>
              <w:rPr>
                <w:szCs w:val="20"/>
              </w:rPr>
            </w:pPr>
            <w:r w:rsidRPr="0032183B">
              <w:rPr>
                <w:szCs w:val="20"/>
              </w:rPr>
              <w:t>0.3</w:t>
            </w:r>
          </w:p>
        </w:tc>
        <w:tc>
          <w:tcPr>
            <w:tcW w:w="1118" w:type="pct"/>
            <w:tcBorders>
              <w:top w:val="single" w:sz="2" w:space="0" w:color="808080" w:themeColor="background1" w:themeShade="80"/>
            </w:tcBorders>
          </w:tcPr>
          <w:p w14:paraId="6B55ED2F" w14:textId="77777777" w:rsidR="00D558FC" w:rsidRPr="0032183B" w:rsidRDefault="00D558FC" w:rsidP="00184B96">
            <w:pPr>
              <w:pStyle w:val="Tabletext"/>
              <w:jc w:val="center"/>
              <w:rPr>
                <w:szCs w:val="20"/>
              </w:rPr>
            </w:pPr>
            <w:r w:rsidRPr="0032183B">
              <w:rPr>
                <w:szCs w:val="20"/>
              </w:rPr>
              <w:t>0.1</w:t>
            </w:r>
          </w:p>
        </w:tc>
        <w:tc>
          <w:tcPr>
            <w:tcW w:w="1250" w:type="pct"/>
            <w:tcBorders>
              <w:top w:val="single" w:sz="2" w:space="0" w:color="808080" w:themeColor="background1" w:themeShade="80"/>
            </w:tcBorders>
          </w:tcPr>
          <w:p w14:paraId="5A7918F7" w14:textId="77777777" w:rsidR="00D558FC" w:rsidRPr="0032183B" w:rsidRDefault="00D558FC" w:rsidP="00184B96">
            <w:pPr>
              <w:pStyle w:val="Tabletext"/>
              <w:jc w:val="center"/>
              <w:rPr>
                <w:szCs w:val="20"/>
              </w:rPr>
            </w:pPr>
            <w:r w:rsidRPr="0032183B">
              <w:rPr>
                <w:szCs w:val="20"/>
              </w:rPr>
              <w:t>1.4**</w:t>
            </w:r>
          </w:p>
        </w:tc>
      </w:tr>
      <w:tr w:rsidR="00D558FC" w:rsidRPr="0032183B" w14:paraId="64680B72" w14:textId="77777777" w:rsidTr="00184B96">
        <w:tc>
          <w:tcPr>
            <w:tcW w:w="1327" w:type="pct"/>
            <w:vMerge/>
            <w:tcBorders>
              <w:bottom w:val="single" w:sz="4" w:space="0" w:color="A6A6A6" w:themeColor="background1" w:themeShade="A6"/>
            </w:tcBorders>
            <w:vAlign w:val="center"/>
          </w:tcPr>
          <w:p w14:paraId="3AA0564C" w14:textId="77777777" w:rsidR="00D558FC" w:rsidRPr="00D558FC" w:rsidRDefault="00D558FC" w:rsidP="00D558FC">
            <w:pPr>
              <w:pStyle w:val="Tabletext"/>
            </w:pPr>
          </w:p>
        </w:tc>
        <w:tc>
          <w:tcPr>
            <w:tcW w:w="1305" w:type="pct"/>
            <w:tcBorders>
              <w:bottom w:val="single" w:sz="4" w:space="0" w:color="A6A6A6" w:themeColor="background1" w:themeShade="A6"/>
            </w:tcBorders>
          </w:tcPr>
          <w:p w14:paraId="341B80D8" w14:textId="77777777" w:rsidR="00D558FC" w:rsidRPr="0032183B" w:rsidRDefault="00D558FC" w:rsidP="00184B96">
            <w:pPr>
              <w:pStyle w:val="Tabletext"/>
              <w:jc w:val="center"/>
              <w:rPr>
                <w:szCs w:val="20"/>
              </w:rPr>
            </w:pPr>
            <w:r w:rsidRPr="0032183B">
              <w:rPr>
                <w:szCs w:val="20"/>
              </w:rPr>
              <w:t>(0.22)</w:t>
            </w:r>
          </w:p>
        </w:tc>
        <w:tc>
          <w:tcPr>
            <w:tcW w:w="1118" w:type="pct"/>
            <w:tcBorders>
              <w:bottom w:val="single" w:sz="4" w:space="0" w:color="A6A6A6" w:themeColor="background1" w:themeShade="A6"/>
            </w:tcBorders>
          </w:tcPr>
          <w:p w14:paraId="1E2AB324" w14:textId="77777777" w:rsidR="00D558FC" w:rsidRPr="0032183B" w:rsidRDefault="00D558FC" w:rsidP="00184B96">
            <w:pPr>
              <w:pStyle w:val="Tabletext"/>
              <w:jc w:val="center"/>
              <w:rPr>
                <w:szCs w:val="20"/>
              </w:rPr>
            </w:pPr>
            <w:r w:rsidRPr="0032183B">
              <w:rPr>
                <w:szCs w:val="20"/>
              </w:rPr>
              <w:t>(0.52)</w:t>
            </w:r>
          </w:p>
        </w:tc>
        <w:tc>
          <w:tcPr>
            <w:tcW w:w="1250" w:type="pct"/>
            <w:tcBorders>
              <w:bottom w:val="single" w:sz="4" w:space="0" w:color="A6A6A6" w:themeColor="background1" w:themeShade="A6"/>
            </w:tcBorders>
          </w:tcPr>
          <w:p w14:paraId="6727294B" w14:textId="77777777" w:rsidR="00D558FC" w:rsidRPr="0032183B" w:rsidRDefault="00D558FC" w:rsidP="00184B96">
            <w:pPr>
              <w:pStyle w:val="Tabletext"/>
              <w:jc w:val="center"/>
              <w:rPr>
                <w:szCs w:val="20"/>
              </w:rPr>
            </w:pPr>
            <w:r w:rsidRPr="0032183B">
              <w:rPr>
                <w:szCs w:val="20"/>
              </w:rPr>
              <w:t>(0.65)</w:t>
            </w:r>
          </w:p>
        </w:tc>
      </w:tr>
      <w:tr w:rsidR="00D558FC" w:rsidRPr="0032183B" w14:paraId="15981132" w14:textId="77777777" w:rsidTr="00184B96">
        <w:tc>
          <w:tcPr>
            <w:tcW w:w="1327" w:type="pct"/>
            <w:vMerge w:val="restart"/>
            <w:tcBorders>
              <w:top w:val="single" w:sz="4" w:space="0" w:color="A6A6A6" w:themeColor="background1" w:themeShade="A6"/>
            </w:tcBorders>
            <w:vAlign w:val="center"/>
          </w:tcPr>
          <w:p w14:paraId="068BEF28" w14:textId="77777777" w:rsidR="00D558FC" w:rsidRPr="00D558FC" w:rsidRDefault="00D558FC" w:rsidP="00D558FC">
            <w:pPr>
              <w:pStyle w:val="Tabletext"/>
            </w:pPr>
            <w:r w:rsidRPr="00D558FC">
              <w:t>Outer regional</w:t>
            </w:r>
          </w:p>
        </w:tc>
        <w:tc>
          <w:tcPr>
            <w:tcW w:w="1305" w:type="pct"/>
            <w:tcBorders>
              <w:top w:val="single" w:sz="4" w:space="0" w:color="A6A6A6" w:themeColor="background1" w:themeShade="A6"/>
            </w:tcBorders>
          </w:tcPr>
          <w:p w14:paraId="416283BC" w14:textId="77777777" w:rsidR="00D558FC" w:rsidRPr="0032183B" w:rsidRDefault="00D558FC" w:rsidP="00184B96">
            <w:pPr>
              <w:pStyle w:val="Tabletext"/>
              <w:jc w:val="center"/>
              <w:rPr>
                <w:szCs w:val="20"/>
              </w:rPr>
            </w:pPr>
            <w:r w:rsidRPr="0032183B">
              <w:rPr>
                <w:szCs w:val="20"/>
              </w:rPr>
              <w:t>0.2</w:t>
            </w:r>
          </w:p>
        </w:tc>
        <w:tc>
          <w:tcPr>
            <w:tcW w:w="1118" w:type="pct"/>
            <w:tcBorders>
              <w:top w:val="single" w:sz="4" w:space="0" w:color="A6A6A6" w:themeColor="background1" w:themeShade="A6"/>
            </w:tcBorders>
          </w:tcPr>
          <w:p w14:paraId="7B649198" w14:textId="77777777" w:rsidR="00D558FC" w:rsidRPr="0032183B" w:rsidRDefault="00D558FC" w:rsidP="00184B96">
            <w:pPr>
              <w:pStyle w:val="Tabletext"/>
              <w:jc w:val="center"/>
              <w:rPr>
                <w:szCs w:val="20"/>
              </w:rPr>
            </w:pPr>
            <w:r w:rsidRPr="0032183B">
              <w:rPr>
                <w:szCs w:val="20"/>
              </w:rPr>
              <w:t>-0.0</w:t>
            </w:r>
          </w:p>
        </w:tc>
        <w:tc>
          <w:tcPr>
            <w:tcW w:w="1250" w:type="pct"/>
            <w:tcBorders>
              <w:top w:val="single" w:sz="4" w:space="0" w:color="A6A6A6" w:themeColor="background1" w:themeShade="A6"/>
            </w:tcBorders>
          </w:tcPr>
          <w:p w14:paraId="5C326D4D" w14:textId="77777777" w:rsidR="00D558FC" w:rsidRPr="0032183B" w:rsidRDefault="00D558FC" w:rsidP="00184B96">
            <w:pPr>
              <w:pStyle w:val="Tabletext"/>
              <w:jc w:val="center"/>
              <w:rPr>
                <w:szCs w:val="20"/>
              </w:rPr>
            </w:pPr>
            <w:r w:rsidRPr="0032183B">
              <w:rPr>
                <w:szCs w:val="20"/>
              </w:rPr>
              <w:t>1.2</w:t>
            </w:r>
          </w:p>
        </w:tc>
      </w:tr>
      <w:tr w:rsidR="00D558FC" w:rsidRPr="0032183B" w14:paraId="0AC0D81F" w14:textId="77777777" w:rsidTr="00184B96">
        <w:tc>
          <w:tcPr>
            <w:tcW w:w="1327" w:type="pct"/>
            <w:vMerge/>
            <w:tcBorders>
              <w:bottom w:val="single" w:sz="2" w:space="0" w:color="808080" w:themeColor="background1" w:themeShade="80"/>
            </w:tcBorders>
            <w:vAlign w:val="center"/>
          </w:tcPr>
          <w:p w14:paraId="05D86610" w14:textId="77777777" w:rsidR="00D558FC" w:rsidRPr="00D558FC" w:rsidRDefault="00D558FC" w:rsidP="00D558FC">
            <w:pPr>
              <w:pStyle w:val="Tabletext"/>
            </w:pPr>
          </w:p>
        </w:tc>
        <w:tc>
          <w:tcPr>
            <w:tcW w:w="1305" w:type="pct"/>
            <w:tcBorders>
              <w:bottom w:val="single" w:sz="2" w:space="0" w:color="808080" w:themeColor="background1" w:themeShade="80"/>
            </w:tcBorders>
          </w:tcPr>
          <w:p w14:paraId="59D01E72" w14:textId="77777777" w:rsidR="00D558FC" w:rsidRPr="0032183B" w:rsidRDefault="00D558FC" w:rsidP="00184B96">
            <w:pPr>
              <w:pStyle w:val="Tabletext"/>
              <w:jc w:val="center"/>
              <w:rPr>
                <w:szCs w:val="20"/>
              </w:rPr>
            </w:pPr>
            <w:r w:rsidRPr="0032183B">
              <w:rPr>
                <w:szCs w:val="20"/>
              </w:rPr>
              <w:t>(0.29)</w:t>
            </w:r>
          </w:p>
        </w:tc>
        <w:tc>
          <w:tcPr>
            <w:tcW w:w="1118" w:type="pct"/>
            <w:tcBorders>
              <w:bottom w:val="single" w:sz="2" w:space="0" w:color="808080" w:themeColor="background1" w:themeShade="80"/>
            </w:tcBorders>
          </w:tcPr>
          <w:p w14:paraId="202CE2D1" w14:textId="77777777" w:rsidR="00D558FC" w:rsidRPr="0032183B" w:rsidRDefault="00D558FC" w:rsidP="00184B96">
            <w:pPr>
              <w:pStyle w:val="Tabletext"/>
              <w:jc w:val="center"/>
              <w:rPr>
                <w:szCs w:val="20"/>
              </w:rPr>
            </w:pPr>
            <w:r w:rsidRPr="0032183B">
              <w:rPr>
                <w:szCs w:val="20"/>
              </w:rPr>
              <w:t>(0.70)</w:t>
            </w:r>
          </w:p>
        </w:tc>
        <w:tc>
          <w:tcPr>
            <w:tcW w:w="1250" w:type="pct"/>
            <w:tcBorders>
              <w:bottom w:val="single" w:sz="2" w:space="0" w:color="808080" w:themeColor="background1" w:themeShade="80"/>
            </w:tcBorders>
          </w:tcPr>
          <w:p w14:paraId="750638E0" w14:textId="77777777" w:rsidR="00D558FC" w:rsidRPr="0032183B" w:rsidRDefault="00D558FC" w:rsidP="00184B96">
            <w:pPr>
              <w:pStyle w:val="Tabletext"/>
              <w:jc w:val="center"/>
              <w:rPr>
                <w:szCs w:val="20"/>
              </w:rPr>
            </w:pPr>
            <w:r w:rsidRPr="0032183B">
              <w:rPr>
                <w:szCs w:val="20"/>
              </w:rPr>
              <w:t>(0.88)</w:t>
            </w:r>
          </w:p>
        </w:tc>
      </w:tr>
      <w:tr w:rsidR="00D558FC" w:rsidRPr="0032183B" w14:paraId="7C468C6D" w14:textId="77777777" w:rsidTr="00184B96">
        <w:tc>
          <w:tcPr>
            <w:tcW w:w="1327" w:type="pct"/>
            <w:vMerge w:val="restart"/>
            <w:tcBorders>
              <w:top w:val="single" w:sz="2" w:space="0" w:color="808080" w:themeColor="background1" w:themeShade="80"/>
            </w:tcBorders>
            <w:vAlign w:val="center"/>
          </w:tcPr>
          <w:p w14:paraId="232FE2B9" w14:textId="77777777" w:rsidR="00D558FC" w:rsidRPr="00D558FC" w:rsidRDefault="00D558FC" w:rsidP="00D558FC">
            <w:pPr>
              <w:pStyle w:val="Tabletext"/>
            </w:pPr>
            <w:r w:rsidRPr="00D558FC">
              <w:t>Remote or very remote</w:t>
            </w:r>
          </w:p>
        </w:tc>
        <w:tc>
          <w:tcPr>
            <w:tcW w:w="1305" w:type="pct"/>
            <w:tcBorders>
              <w:top w:val="single" w:sz="2" w:space="0" w:color="808080" w:themeColor="background1" w:themeShade="80"/>
            </w:tcBorders>
          </w:tcPr>
          <w:p w14:paraId="7F19954A" w14:textId="77777777" w:rsidR="00D558FC" w:rsidRPr="0032183B" w:rsidRDefault="00D558FC" w:rsidP="00184B96">
            <w:pPr>
              <w:pStyle w:val="Tabletext"/>
              <w:jc w:val="center"/>
              <w:rPr>
                <w:rFonts w:cs="Calibri"/>
                <w:color w:val="000000"/>
                <w:szCs w:val="20"/>
              </w:rPr>
            </w:pPr>
            <w:r w:rsidRPr="0032183B">
              <w:rPr>
                <w:szCs w:val="20"/>
              </w:rPr>
              <w:t>0.2</w:t>
            </w:r>
          </w:p>
        </w:tc>
        <w:tc>
          <w:tcPr>
            <w:tcW w:w="1118" w:type="pct"/>
            <w:tcBorders>
              <w:top w:val="single" w:sz="2" w:space="0" w:color="808080" w:themeColor="background1" w:themeShade="80"/>
            </w:tcBorders>
          </w:tcPr>
          <w:p w14:paraId="13814008" w14:textId="77777777" w:rsidR="00D558FC" w:rsidRPr="0032183B" w:rsidRDefault="00D558FC" w:rsidP="00184B96">
            <w:pPr>
              <w:pStyle w:val="Tabletext"/>
              <w:jc w:val="center"/>
              <w:rPr>
                <w:szCs w:val="20"/>
              </w:rPr>
            </w:pPr>
            <w:r w:rsidRPr="0032183B">
              <w:rPr>
                <w:szCs w:val="20"/>
              </w:rPr>
              <w:t>4.6**</w:t>
            </w:r>
          </w:p>
        </w:tc>
        <w:tc>
          <w:tcPr>
            <w:tcW w:w="1250" w:type="pct"/>
            <w:tcBorders>
              <w:top w:val="single" w:sz="2" w:space="0" w:color="808080" w:themeColor="background1" w:themeShade="80"/>
            </w:tcBorders>
          </w:tcPr>
          <w:p w14:paraId="60822807" w14:textId="77777777" w:rsidR="00D558FC" w:rsidRPr="0032183B" w:rsidRDefault="00D558FC" w:rsidP="00184B96">
            <w:pPr>
              <w:pStyle w:val="Tabletext"/>
              <w:jc w:val="center"/>
              <w:rPr>
                <w:szCs w:val="20"/>
              </w:rPr>
            </w:pPr>
            <w:r w:rsidRPr="0032183B">
              <w:rPr>
                <w:szCs w:val="20"/>
              </w:rPr>
              <w:t>3.4**</w:t>
            </w:r>
          </w:p>
        </w:tc>
      </w:tr>
      <w:tr w:rsidR="00D558FC" w:rsidRPr="0032183B" w14:paraId="77B73B6A" w14:textId="77777777" w:rsidTr="00184B96">
        <w:tc>
          <w:tcPr>
            <w:tcW w:w="1327" w:type="pct"/>
            <w:vMerge/>
            <w:tcBorders>
              <w:bottom w:val="single" w:sz="2" w:space="0" w:color="808080" w:themeColor="background1" w:themeShade="80"/>
            </w:tcBorders>
            <w:vAlign w:val="center"/>
          </w:tcPr>
          <w:p w14:paraId="3986236A" w14:textId="77777777" w:rsidR="00D558FC" w:rsidRPr="0032183B" w:rsidRDefault="00D558FC" w:rsidP="00184B96">
            <w:pPr>
              <w:pStyle w:val="Tabletext"/>
              <w:ind w:left="176"/>
              <w:rPr>
                <w:szCs w:val="20"/>
              </w:rPr>
            </w:pPr>
          </w:p>
        </w:tc>
        <w:tc>
          <w:tcPr>
            <w:tcW w:w="1305" w:type="pct"/>
            <w:tcBorders>
              <w:bottom w:val="single" w:sz="2" w:space="0" w:color="808080" w:themeColor="background1" w:themeShade="80"/>
            </w:tcBorders>
          </w:tcPr>
          <w:p w14:paraId="6A09700C" w14:textId="77777777" w:rsidR="00D558FC" w:rsidRPr="0032183B" w:rsidRDefault="00D558FC" w:rsidP="00184B96">
            <w:pPr>
              <w:pStyle w:val="Tabletext"/>
              <w:jc w:val="center"/>
              <w:rPr>
                <w:rFonts w:cs="Calibri"/>
                <w:color w:val="000000"/>
                <w:szCs w:val="20"/>
              </w:rPr>
            </w:pPr>
            <w:r w:rsidRPr="0032183B">
              <w:rPr>
                <w:szCs w:val="20"/>
              </w:rPr>
              <w:t>(0.55)</w:t>
            </w:r>
          </w:p>
        </w:tc>
        <w:tc>
          <w:tcPr>
            <w:tcW w:w="1118" w:type="pct"/>
            <w:tcBorders>
              <w:bottom w:val="single" w:sz="2" w:space="0" w:color="808080" w:themeColor="background1" w:themeShade="80"/>
            </w:tcBorders>
          </w:tcPr>
          <w:p w14:paraId="071C74B3" w14:textId="77777777" w:rsidR="00D558FC" w:rsidRPr="0032183B" w:rsidRDefault="00D558FC" w:rsidP="00184B96">
            <w:pPr>
              <w:pStyle w:val="Tabletext"/>
              <w:jc w:val="center"/>
              <w:rPr>
                <w:szCs w:val="20"/>
              </w:rPr>
            </w:pPr>
            <w:r w:rsidRPr="0032183B">
              <w:rPr>
                <w:szCs w:val="20"/>
              </w:rPr>
              <w:t>(1.33)</w:t>
            </w:r>
          </w:p>
        </w:tc>
        <w:tc>
          <w:tcPr>
            <w:tcW w:w="1250" w:type="pct"/>
            <w:tcBorders>
              <w:bottom w:val="single" w:sz="2" w:space="0" w:color="808080" w:themeColor="background1" w:themeShade="80"/>
            </w:tcBorders>
          </w:tcPr>
          <w:p w14:paraId="69B59F90" w14:textId="77777777" w:rsidR="00D558FC" w:rsidRPr="0032183B" w:rsidRDefault="00D558FC" w:rsidP="00184B96">
            <w:pPr>
              <w:pStyle w:val="Tabletext"/>
              <w:jc w:val="center"/>
              <w:rPr>
                <w:szCs w:val="20"/>
              </w:rPr>
            </w:pPr>
            <w:r w:rsidRPr="0032183B">
              <w:rPr>
                <w:szCs w:val="20"/>
              </w:rPr>
              <w:t>(1.66)</w:t>
            </w:r>
          </w:p>
        </w:tc>
      </w:tr>
      <w:tr w:rsidR="00184B96" w:rsidRPr="0032183B" w14:paraId="4B95387F" w14:textId="77777777" w:rsidTr="00D558FC">
        <w:tc>
          <w:tcPr>
            <w:tcW w:w="1327" w:type="pct"/>
            <w:tcBorders>
              <w:top w:val="single" w:sz="2" w:space="0" w:color="808080" w:themeColor="background1" w:themeShade="80"/>
            </w:tcBorders>
            <w:vAlign w:val="center"/>
          </w:tcPr>
          <w:p w14:paraId="4B6F451F" w14:textId="77777777" w:rsidR="00184B96" w:rsidRPr="00D558FC" w:rsidRDefault="00184B96" w:rsidP="00D558FC">
            <w:pPr>
              <w:pStyle w:val="Tabletext"/>
            </w:pPr>
            <w:r w:rsidRPr="00D558FC">
              <w:t>Observations</w:t>
            </w:r>
            <w:r w:rsidRPr="00D558FC">
              <w:tab/>
            </w:r>
          </w:p>
        </w:tc>
        <w:tc>
          <w:tcPr>
            <w:tcW w:w="1305" w:type="pct"/>
            <w:tcBorders>
              <w:top w:val="single" w:sz="2" w:space="0" w:color="808080" w:themeColor="background1" w:themeShade="80"/>
            </w:tcBorders>
            <w:vAlign w:val="bottom"/>
          </w:tcPr>
          <w:p w14:paraId="06BB9A98" w14:textId="77777777" w:rsidR="00184B96" w:rsidRPr="0032183B" w:rsidRDefault="00184B96" w:rsidP="00184B96">
            <w:pPr>
              <w:spacing w:before="0" w:after="0"/>
              <w:jc w:val="center"/>
              <w:rPr>
                <w:rFonts w:cs="Calibri"/>
                <w:color w:val="000000"/>
                <w:szCs w:val="20"/>
              </w:rPr>
            </w:pPr>
            <w:r w:rsidRPr="0032183B">
              <w:rPr>
                <w:rFonts w:cs="Calibri"/>
                <w:color w:val="000000"/>
                <w:szCs w:val="20"/>
              </w:rPr>
              <w:t>117</w:t>
            </w:r>
          </w:p>
        </w:tc>
        <w:tc>
          <w:tcPr>
            <w:tcW w:w="1118" w:type="pct"/>
            <w:tcBorders>
              <w:top w:val="single" w:sz="2" w:space="0" w:color="808080" w:themeColor="background1" w:themeShade="80"/>
            </w:tcBorders>
            <w:vAlign w:val="bottom"/>
          </w:tcPr>
          <w:p w14:paraId="66267502" w14:textId="77777777" w:rsidR="00184B96" w:rsidRPr="0032183B" w:rsidRDefault="00184B96" w:rsidP="00184B96">
            <w:pPr>
              <w:pStyle w:val="Tabletext"/>
              <w:jc w:val="center"/>
              <w:rPr>
                <w:szCs w:val="20"/>
              </w:rPr>
            </w:pPr>
            <w:r w:rsidRPr="0032183B">
              <w:rPr>
                <w:rFonts w:cs="Calibri"/>
                <w:color w:val="000000"/>
                <w:szCs w:val="20"/>
              </w:rPr>
              <w:t>117</w:t>
            </w:r>
          </w:p>
        </w:tc>
        <w:tc>
          <w:tcPr>
            <w:tcW w:w="1250" w:type="pct"/>
            <w:tcBorders>
              <w:top w:val="single" w:sz="2" w:space="0" w:color="808080" w:themeColor="background1" w:themeShade="80"/>
            </w:tcBorders>
            <w:vAlign w:val="bottom"/>
          </w:tcPr>
          <w:p w14:paraId="6C63CBFA" w14:textId="77777777" w:rsidR="00184B96" w:rsidRPr="0032183B" w:rsidRDefault="00184B96" w:rsidP="00184B96">
            <w:pPr>
              <w:pStyle w:val="Tabletext"/>
              <w:jc w:val="center"/>
              <w:rPr>
                <w:szCs w:val="20"/>
              </w:rPr>
            </w:pPr>
            <w:r w:rsidRPr="0032183B">
              <w:rPr>
                <w:rFonts w:cs="Calibri"/>
                <w:color w:val="000000"/>
                <w:szCs w:val="20"/>
              </w:rPr>
              <w:t>117</w:t>
            </w:r>
          </w:p>
        </w:tc>
      </w:tr>
      <w:tr w:rsidR="00184B96" w:rsidRPr="0032183B" w14:paraId="7D70E057" w14:textId="77777777" w:rsidTr="00D558FC">
        <w:tc>
          <w:tcPr>
            <w:tcW w:w="1327" w:type="pct"/>
            <w:vAlign w:val="center"/>
          </w:tcPr>
          <w:p w14:paraId="36A53196" w14:textId="77777777" w:rsidR="00184B96" w:rsidRPr="00D558FC" w:rsidRDefault="00184B96" w:rsidP="00D558FC">
            <w:pPr>
              <w:pStyle w:val="Tabletext"/>
            </w:pPr>
            <w:r w:rsidRPr="00D558FC">
              <w:t>R2</w:t>
            </w:r>
          </w:p>
        </w:tc>
        <w:tc>
          <w:tcPr>
            <w:tcW w:w="1305" w:type="pct"/>
            <w:vAlign w:val="bottom"/>
          </w:tcPr>
          <w:p w14:paraId="7A6C0BF9" w14:textId="77777777" w:rsidR="00184B96" w:rsidRPr="0032183B" w:rsidRDefault="00184B96" w:rsidP="00184B96">
            <w:pPr>
              <w:pStyle w:val="Tabletext"/>
              <w:jc w:val="center"/>
              <w:rPr>
                <w:szCs w:val="20"/>
              </w:rPr>
            </w:pPr>
            <w:r w:rsidRPr="0032183B">
              <w:rPr>
                <w:rFonts w:cs="Calibri"/>
                <w:color w:val="000000"/>
                <w:szCs w:val="20"/>
              </w:rPr>
              <w:t>0.3</w:t>
            </w:r>
          </w:p>
        </w:tc>
        <w:tc>
          <w:tcPr>
            <w:tcW w:w="1118" w:type="pct"/>
            <w:vAlign w:val="bottom"/>
          </w:tcPr>
          <w:p w14:paraId="1E145069" w14:textId="77777777" w:rsidR="00184B96" w:rsidRPr="0032183B" w:rsidRDefault="00184B96" w:rsidP="00184B96">
            <w:pPr>
              <w:pStyle w:val="Tabletext"/>
              <w:jc w:val="center"/>
              <w:rPr>
                <w:szCs w:val="20"/>
              </w:rPr>
            </w:pPr>
            <w:r w:rsidRPr="0032183B">
              <w:rPr>
                <w:rFonts w:cs="Calibri"/>
                <w:color w:val="000000"/>
                <w:szCs w:val="20"/>
              </w:rPr>
              <w:t>0.3</w:t>
            </w:r>
          </w:p>
        </w:tc>
        <w:tc>
          <w:tcPr>
            <w:tcW w:w="1250" w:type="pct"/>
            <w:vAlign w:val="bottom"/>
          </w:tcPr>
          <w:p w14:paraId="0C5D96DA" w14:textId="77777777" w:rsidR="00184B96" w:rsidRPr="0032183B" w:rsidRDefault="00184B96" w:rsidP="00184B96">
            <w:pPr>
              <w:pStyle w:val="Tabletext"/>
              <w:jc w:val="center"/>
              <w:rPr>
                <w:szCs w:val="20"/>
              </w:rPr>
            </w:pPr>
            <w:r w:rsidRPr="0032183B">
              <w:rPr>
                <w:rFonts w:cs="Calibri"/>
                <w:color w:val="000000"/>
                <w:szCs w:val="20"/>
              </w:rPr>
              <w:t>0.4</w:t>
            </w:r>
          </w:p>
        </w:tc>
      </w:tr>
      <w:tr w:rsidR="00184B96" w:rsidRPr="0032183B" w14:paraId="56F418BF" w14:textId="77777777" w:rsidTr="00D558FC">
        <w:tc>
          <w:tcPr>
            <w:tcW w:w="1327" w:type="pct"/>
            <w:tcBorders>
              <w:bottom w:val="single" w:sz="2" w:space="0" w:color="808080" w:themeColor="background1" w:themeShade="80"/>
            </w:tcBorders>
            <w:vAlign w:val="center"/>
          </w:tcPr>
          <w:p w14:paraId="6E5B5DD1" w14:textId="77777777" w:rsidR="00184B96" w:rsidRPr="00D558FC" w:rsidRDefault="00184B96" w:rsidP="00D558FC">
            <w:pPr>
              <w:pStyle w:val="Tabletext"/>
            </w:pPr>
            <w:r w:rsidRPr="00D558FC">
              <w:t>Adjusted R2</w:t>
            </w:r>
          </w:p>
        </w:tc>
        <w:tc>
          <w:tcPr>
            <w:tcW w:w="1305" w:type="pct"/>
            <w:tcBorders>
              <w:bottom w:val="single" w:sz="2" w:space="0" w:color="808080" w:themeColor="background1" w:themeShade="80"/>
            </w:tcBorders>
            <w:vAlign w:val="bottom"/>
          </w:tcPr>
          <w:p w14:paraId="422B10A3" w14:textId="77777777" w:rsidR="00184B96" w:rsidRPr="0032183B" w:rsidRDefault="00184B96" w:rsidP="00184B96">
            <w:pPr>
              <w:pStyle w:val="Tabletext"/>
              <w:jc w:val="center"/>
              <w:rPr>
                <w:szCs w:val="20"/>
              </w:rPr>
            </w:pPr>
            <w:r w:rsidRPr="0032183B">
              <w:rPr>
                <w:rFonts w:cs="Calibri"/>
                <w:color w:val="000000"/>
                <w:szCs w:val="20"/>
              </w:rPr>
              <w:t>0.1</w:t>
            </w:r>
          </w:p>
        </w:tc>
        <w:tc>
          <w:tcPr>
            <w:tcW w:w="1118" w:type="pct"/>
            <w:tcBorders>
              <w:bottom w:val="single" w:sz="2" w:space="0" w:color="808080" w:themeColor="background1" w:themeShade="80"/>
            </w:tcBorders>
            <w:vAlign w:val="bottom"/>
          </w:tcPr>
          <w:p w14:paraId="092A24D8" w14:textId="77777777" w:rsidR="00184B96" w:rsidRPr="0032183B" w:rsidRDefault="00184B96" w:rsidP="00184B96">
            <w:pPr>
              <w:pStyle w:val="Tabletext"/>
              <w:jc w:val="center"/>
              <w:rPr>
                <w:szCs w:val="20"/>
              </w:rPr>
            </w:pPr>
            <w:r w:rsidRPr="0032183B">
              <w:rPr>
                <w:rFonts w:cs="Calibri"/>
                <w:color w:val="000000"/>
                <w:szCs w:val="20"/>
              </w:rPr>
              <w:t>0.1</w:t>
            </w:r>
          </w:p>
        </w:tc>
        <w:tc>
          <w:tcPr>
            <w:tcW w:w="1250" w:type="pct"/>
            <w:tcBorders>
              <w:bottom w:val="single" w:sz="2" w:space="0" w:color="808080" w:themeColor="background1" w:themeShade="80"/>
            </w:tcBorders>
            <w:vAlign w:val="bottom"/>
          </w:tcPr>
          <w:p w14:paraId="30D42DF7" w14:textId="77777777" w:rsidR="00184B96" w:rsidRPr="0032183B" w:rsidRDefault="00184B96" w:rsidP="00184B96">
            <w:pPr>
              <w:pStyle w:val="Tabletext"/>
              <w:keepNext/>
              <w:jc w:val="center"/>
              <w:rPr>
                <w:szCs w:val="20"/>
              </w:rPr>
            </w:pPr>
            <w:r w:rsidRPr="0032183B">
              <w:rPr>
                <w:rFonts w:cs="Calibri"/>
                <w:color w:val="000000"/>
                <w:szCs w:val="20"/>
              </w:rPr>
              <w:t>0.3</w:t>
            </w:r>
          </w:p>
        </w:tc>
      </w:tr>
    </w:tbl>
    <w:p w14:paraId="6D66442E" w14:textId="6284B57D" w:rsidR="00184B96" w:rsidRPr="00C92A4F" w:rsidRDefault="00184B96" w:rsidP="00184B96">
      <w:pPr>
        <w:pStyle w:val="Source"/>
        <w:rPr>
          <w:szCs w:val="16"/>
        </w:rPr>
      </w:pPr>
      <w:r w:rsidRPr="0095378E">
        <w:rPr>
          <w:szCs w:val="16"/>
        </w:rPr>
        <w:t>Source: KPMG analysis of</w:t>
      </w:r>
      <w:r>
        <w:rPr>
          <w:szCs w:val="16"/>
        </w:rPr>
        <w:t xml:space="preserve"> the</w:t>
      </w:r>
      <w:r w:rsidRPr="0095378E">
        <w:rPr>
          <w:szCs w:val="16"/>
        </w:rPr>
        <w:t xml:space="preserve"> </w:t>
      </w:r>
      <w:r>
        <w:rPr>
          <w:szCs w:val="16"/>
        </w:rPr>
        <w:t>‘</w:t>
      </w:r>
      <w:r w:rsidRPr="0095378E">
        <w:rPr>
          <w:szCs w:val="16"/>
        </w:rPr>
        <w:t>K10 analysis</w:t>
      </w:r>
      <w:r>
        <w:rPr>
          <w:szCs w:val="16"/>
        </w:rPr>
        <w:t>’ dataset</w:t>
      </w:r>
      <w:r w:rsidRPr="007C3DC2">
        <w:rPr>
          <w:szCs w:val="16"/>
        </w:rPr>
        <w:t xml:space="preserve">, </w:t>
      </w:r>
      <w:r>
        <w:rPr>
          <w:szCs w:val="16"/>
        </w:rPr>
        <w:t>‘</w:t>
      </w:r>
      <w:r w:rsidRPr="007C3DC2">
        <w:rPr>
          <w:szCs w:val="16"/>
        </w:rPr>
        <w:t>SOFAS analysis</w:t>
      </w:r>
      <w:r>
        <w:rPr>
          <w:szCs w:val="16"/>
        </w:rPr>
        <w:t xml:space="preserve">’ dataset </w:t>
      </w:r>
      <w:r w:rsidRPr="007C3DC2">
        <w:rPr>
          <w:szCs w:val="16"/>
        </w:rPr>
        <w:t xml:space="preserve">and </w:t>
      </w:r>
      <w:r>
        <w:rPr>
          <w:szCs w:val="16"/>
        </w:rPr>
        <w:t>‘</w:t>
      </w:r>
      <w:r w:rsidRPr="007C3DC2">
        <w:rPr>
          <w:szCs w:val="16"/>
        </w:rPr>
        <w:t>M</w:t>
      </w:r>
      <w:r w:rsidRPr="00C92A4F">
        <w:rPr>
          <w:szCs w:val="16"/>
        </w:rPr>
        <w:t>LT analysis</w:t>
      </w:r>
      <w:r>
        <w:rPr>
          <w:szCs w:val="16"/>
        </w:rPr>
        <w:t>’ dataset</w:t>
      </w:r>
    </w:p>
    <w:p w14:paraId="07528F07" w14:textId="7FC2E1DA" w:rsidR="00184B96" w:rsidRPr="00BC225F" w:rsidRDefault="00184B96" w:rsidP="00184B96">
      <w:pPr>
        <w:pStyle w:val="Source"/>
      </w:pPr>
      <w:r w:rsidRPr="00C92A4F">
        <w:t xml:space="preserve">Notes: See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rsidRPr="00C92A4F">
        <w:t xml:space="preserve"> for detailed exclusion criteria. Number of </w:t>
      </w:r>
      <w:r>
        <w:t>observations: 117 services</w:t>
      </w:r>
      <w:r w:rsidRPr="0095378E">
        <w:t xml:space="preserve">. </w:t>
      </w:r>
      <w:r>
        <w:t>Improvement</w:t>
      </w:r>
      <w:r w:rsidRPr="0095378E">
        <w:t xml:space="preserve"> is the difference between the last observed and the initially observed </w:t>
      </w:r>
      <w:r>
        <w:t>outcome measures</w:t>
      </w:r>
      <w:r w:rsidRPr="0095378E">
        <w:t xml:space="preserve">. Standard errors in parentheses. For brevity, this report did not include the site’s coefficient estimates. </w:t>
      </w:r>
      <w:r>
        <w:t>Improvements</w:t>
      </w:r>
      <w:r w:rsidRPr="0095378E">
        <w:t xml:space="preserve"> have been adjusted for </w:t>
      </w:r>
      <w:r>
        <w:t>RTM</w:t>
      </w:r>
      <w:r w:rsidRPr="0095378E">
        <w:t>.</w:t>
      </w:r>
      <w:r>
        <w:t xml:space="preserve"> </w:t>
      </w:r>
      <w:r w:rsidRPr="00C92A4F">
        <w:t>*: Significant at 10 per cent; **: Significant at 5 per cent.</w:t>
      </w:r>
      <w:r>
        <w:t xml:space="preserve"> </w:t>
      </w:r>
      <w:r w:rsidR="009C028B">
        <w:t>OOS</w:t>
      </w:r>
      <w:r w:rsidRPr="00C92A4F">
        <w:t>: Occasions of service; MH: Mental health.</w:t>
      </w:r>
    </w:p>
    <w:p w14:paraId="540CA69A" w14:textId="77777777" w:rsidR="002A6A78" w:rsidRDefault="002A6A78" w:rsidP="00D558FC">
      <w:pPr>
        <w:pStyle w:val="AppendixHeading3"/>
      </w:pPr>
      <w:r>
        <w:t>Service factors</w:t>
      </w:r>
    </w:p>
    <w:p w14:paraId="0460575D" w14:textId="77777777" w:rsidR="002A6A78" w:rsidRPr="0050307E" w:rsidRDefault="002A6A78" w:rsidP="00D558FC">
      <w:pPr>
        <w:pStyle w:val="Heading4"/>
      </w:pPr>
      <w:r>
        <w:t>Service</w:t>
      </w:r>
      <w:r w:rsidRPr="0050307E">
        <w:t xml:space="preserve"> maturity</w:t>
      </w:r>
      <w:r>
        <w:t xml:space="preserve"> and size</w:t>
      </w:r>
    </w:p>
    <w:p w14:paraId="7F043019" w14:textId="13E1F4B0" w:rsidR="002A6A78" w:rsidRDefault="002A6A78" w:rsidP="002A6A78">
      <w:pPr>
        <w:pStyle w:val="BodyText"/>
      </w:pPr>
      <w:r>
        <w:t>Across all outcome measures</w:t>
      </w:r>
      <w:r w:rsidRPr="0050307E">
        <w:t xml:space="preserve">, </w:t>
      </w:r>
      <w:r>
        <w:t>service</w:t>
      </w:r>
      <w:r w:rsidRPr="0050307E">
        <w:t xml:space="preserve"> maturity</w:t>
      </w:r>
      <w:r>
        <w:t xml:space="preserve"> and size</w:t>
      </w:r>
      <w:r w:rsidRPr="0050307E">
        <w:t xml:space="preserve"> ha</w:t>
      </w:r>
      <w:r>
        <w:t>ve</w:t>
      </w:r>
      <w:r w:rsidRPr="0050307E">
        <w:t xml:space="preserve"> no statistically significant impact on the </w:t>
      </w:r>
      <w:r>
        <w:t>service</w:t>
      </w:r>
      <w:r w:rsidRPr="0050307E">
        <w:t>-specific chang</w:t>
      </w:r>
      <w:r>
        <w:t xml:space="preserve">e </w:t>
      </w:r>
      <w:r w:rsidRPr="0050307E">
        <w:t xml:space="preserve">in the </w:t>
      </w:r>
      <w:r>
        <w:t>outcome</w:t>
      </w:r>
      <w:r w:rsidRPr="0050307E">
        <w:t xml:space="preserve">. </w:t>
      </w:r>
      <w:r>
        <w:t xml:space="preserve">The only exception is that bigger services are associated with better improvements </w:t>
      </w:r>
      <w:r w:rsidR="00AB7ECE">
        <w:t>in</w:t>
      </w:r>
      <w:r>
        <w:t xml:space="preserve"> the SOFAS. </w:t>
      </w:r>
    </w:p>
    <w:p w14:paraId="5EB61A74" w14:textId="77777777" w:rsidR="002A6A78" w:rsidRPr="0050307E" w:rsidRDefault="002A6A78" w:rsidP="00D558FC">
      <w:pPr>
        <w:pStyle w:val="Heading4"/>
      </w:pPr>
      <w:r>
        <w:t>Percentage of occasions of service funded by the MBS</w:t>
      </w:r>
    </w:p>
    <w:p w14:paraId="0B21B939" w14:textId="725F7821" w:rsidR="002A6A78" w:rsidRPr="0050307E" w:rsidRDefault="002A6A78" w:rsidP="002A6A78">
      <w:pPr>
        <w:pStyle w:val="BodyText"/>
      </w:pPr>
      <w:r>
        <w:t xml:space="preserve">For the SOFAS, a ten percentage point increase in the proportion of </w:t>
      </w:r>
      <w:r w:rsidR="009C028B">
        <w:t>OOS</w:t>
      </w:r>
      <w:r>
        <w:t xml:space="preserve"> funded by the MBS statistically significantly reduced the SOFAS outcome measure by five points. The more services funded by the MBS, the lower the SOFAS improvements.</w:t>
      </w:r>
    </w:p>
    <w:p w14:paraId="27CB7475" w14:textId="77777777" w:rsidR="002A6A78" w:rsidRPr="0050307E" w:rsidRDefault="002A6A78" w:rsidP="00D558FC">
      <w:pPr>
        <w:pStyle w:val="Heading4"/>
      </w:pPr>
      <w:r>
        <w:t>Percentage of occasions of service that are a mental health service</w:t>
      </w:r>
    </w:p>
    <w:p w14:paraId="433F818C" w14:textId="57813D4A" w:rsidR="002A6A78" w:rsidRDefault="002A6A78" w:rsidP="002A6A78">
      <w:pPr>
        <w:pStyle w:val="BodyText"/>
      </w:pPr>
      <w:r>
        <w:t>With the K10 and the MLT outcome measures, a ten percentage point increase in the proportion of occasions that are mental health services statistically significantly increased the outcome measures by two and seven points, respectively.</w:t>
      </w:r>
      <w:r w:rsidR="00A375E9">
        <w:t xml:space="preserve"> </w:t>
      </w:r>
      <w:r w:rsidR="00A472DA">
        <w:t>h</w:t>
      </w:r>
      <w:r w:rsidR="00B85799">
        <w:t>eadspace s</w:t>
      </w:r>
      <w:r w:rsidR="00A375E9">
        <w:t xml:space="preserve">ervices </w:t>
      </w:r>
      <w:r w:rsidR="00B85799">
        <w:t>with a relatively heavier focus on providing mental health services are associated with delivering better mental health outcomes.</w:t>
      </w:r>
    </w:p>
    <w:p w14:paraId="7659B7EA" w14:textId="128F09F0" w:rsidR="002A6A78" w:rsidRDefault="002A6A78" w:rsidP="002A6A78">
      <w:pPr>
        <w:pStyle w:val="BodyText"/>
      </w:pPr>
      <w:r>
        <w:t xml:space="preserve">For the SOFAS, there is no statistically significant relationship between the outcome measure and the proportion of </w:t>
      </w:r>
      <w:r w:rsidR="007B2863">
        <w:t>OOS</w:t>
      </w:r>
      <w:r>
        <w:t xml:space="preserve"> that are mental health services.</w:t>
      </w:r>
    </w:p>
    <w:p w14:paraId="6AF186F6" w14:textId="77777777" w:rsidR="002A6A78" w:rsidRPr="0050307E" w:rsidRDefault="002A6A78" w:rsidP="00D558FC">
      <w:pPr>
        <w:pStyle w:val="Heading4"/>
      </w:pPr>
      <w:r>
        <w:t>Lead agency type and service type</w:t>
      </w:r>
    </w:p>
    <w:p w14:paraId="4ED38E6B" w14:textId="7AC4D34E" w:rsidR="002A6A78" w:rsidRDefault="00BD79D2" w:rsidP="002A6A78">
      <w:pPr>
        <w:pStyle w:val="BodyText"/>
      </w:pPr>
      <w:r w:rsidRPr="00BD79D2">
        <w:fldChar w:fldCharType="begin" w:fldLock="1"/>
      </w:r>
      <w:r w:rsidRPr="00BD79D2">
        <w:instrText xml:space="preserve"> REF _Ref97750778 \h </w:instrText>
      </w:r>
      <w:r>
        <w:instrText xml:space="preserve"> \* MERGEFORMAT </w:instrText>
      </w:r>
      <w:r w:rsidRPr="00BD79D2">
        <w:fldChar w:fldCharType="separate"/>
      </w:r>
      <w:r w:rsidR="000C245D">
        <w:t xml:space="preserve">Figure </w:t>
      </w:r>
      <w:r w:rsidR="000C245D">
        <w:rPr>
          <w:noProof/>
        </w:rPr>
        <w:t>66</w:t>
      </w:r>
      <w:r w:rsidRPr="00BD79D2">
        <w:fldChar w:fldCharType="end"/>
      </w:r>
      <w:r w:rsidR="002A6A78" w:rsidRPr="00BD79D2">
        <w:t xml:space="preserve">, </w:t>
      </w:r>
      <w:r w:rsidRPr="00BD79D2">
        <w:fldChar w:fldCharType="begin" w:fldLock="1"/>
      </w:r>
      <w:r w:rsidRPr="00BD79D2">
        <w:instrText xml:space="preserve"> REF _Ref97750795 \h </w:instrText>
      </w:r>
      <w:r>
        <w:instrText xml:space="preserve"> \* MERGEFORMAT </w:instrText>
      </w:r>
      <w:r w:rsidRPr="00BD79D2">
        <w:fldChar w:fldCharType="separate"/>
      </w:r>
      <w:r w:rsidR="000C245D">
        <w:t xml:space="preserve">Figure </w:t>
      </w:r>
      <w:r w:rsidR="000C245D">
        <w:rPr>
          <w:noProof/>
        </w:rPr>
        <w:t>67</w:t>
      </w:r>
      <w:r w:rsidRPr="00BD79D2">
        <w:fldChar w:fldCharType="end"/>
      </w:r>
      <w:r w:rsidR="002A6A78">
        <w:t xml:space="preserve"> and </w:t>
      </w:r>
      <w:r>
        <w:rPr>
          <w:highlight w:val="yellow"/>
        </w:rPr>
        <w:fldChar w:fldCharType="begin" w:fldLock="1"/>
      </w:r>
      <w:r>
        <w:rPr>
          <w:highlight w:val="yellow"/>
        </w:rPr>
        <w:instrText xml:space="preserve"> REF _Ref97750810 \h </w:instrText>
      </w:r>
      <w:r>
        <w:rPr>
          <w:highlight w:val="yellow"/>
        </w:rPr>
      </w:r>
      <w:r>
        <w:rPr>
          <w:highlight w:val="yellow"/>
        </w:rPr>
        <w:fldChar w:fldCharType="separate"/>
      </w:r>
      <w:r w:rsidR="000C245D">
        <w:t xml:space="preserve">Figure </w:t>
      </w:r>
      <w:r w:rsidR="000C245D">
        <w:rPr>
          <w:noProof/>
        </w:rPr>
        <w:t>68</w:t>
      </w:r>
      <w:r>
        <w:rPr>
          <w:highlight w:val="yellow"/>
        </w:rPr>
        <w:fldChar w:fldCharType="end"/>
      </w:r>
      <w:r w:rsidR="002A6A78">
        <w:t xml:space="preserve"> show that the lead agency type has no significant and statistical impact on changes in the outcome measures.</w:t>
      </w:r>
    </w:p>
    <w:p w14:paraId="250B6CE0" w14:textId="62033A01" w:rsidR="002A6A78" w:rsidRPr="0050307E" w:rsidRDefault="00467837" w:rsidP="002A6A78">
      <w:pPr>
        <w:pStyle w:val="BodyText"/>
      </w:pPr>
      <w:r w:rsidRPr="00BD79D2">
        <w:fldChar w:fldCharType="begin" w:fldLock="1"/>
      </w:r>
      <w:r w:rsidRPr="00BD79D2">
        <w:instrText xml:space="preserve"> REF _Ref97750778 \h </w:instrText>
      </w:r>
      <w:r>
        <w:instrText xml:space="preserve"> \* MERGEFORMAT </w:instrText>
      </w:r>
      <w:r w:rsidRPr="00BD79D2">
        <w:fldChar w:fldCharType="separate"/>
      </w:r>
      <w:r w:rsidR="000C245D">
        <w:t xml:space="preserve">Figure </w:t>
      </w:r>
      <w:r w:rsidR="000C245D">
        <w:rPr>
          <w:noProof/>
        </w:rPr>
        <w:t>66</w:t>
      </w:r>
      <w:r w:rsidRPr="00BD79D2">
        <w:fldChar w:fldCharType="end"/>
      </w:r>
      <w:r w:rsidR="002A6A78">
        <w:t xml:space="preserve"> and</w:t>
      </w:r>
      <w:r w:rsidR="002A6A78" w:rsidRPr="00BD79D2">
        <w:t xml:space="preserve"> </w:t>
      </w:r>
      <w:r w:rsidRPr="00BD79D2">
        <w:fldChar w:fldCharType="begin" w:fldLock="1"/>
      </w:r>
      <w:r w:rsidRPr="00BD79D2">
        <w:instrText xml:space="preserve"> REF _Ref97750795 \h </w:instrText>
      </w:r>
      <w:r>
        <w:instrText xml:space="preserve"> \* MERGEFORMAT </w:instrText>
      </w:r>
      <w:r w:rsidRPr="00BD79D2">
        <w:fldChar w:fldCharType="separate"/>
      </w:r>
      <w:r w:rsidR="000C245D">
        <w:t xml:space="preserve">Figure </w:t>
      </w:r>
      <w:r w:rsidR="000C245D">
        <w:rPr>
          <w:noProof/>
        </w:rPr>
        <w:t>67</w:t>
      </w:r>
      <w:r w:rsidRPr="00BD79D2">
        <w:fldChar w:fldCharType="end"/>
      </w:r>
      <w:r w:rsidR="00F64302" w:rsidRPr="00C5282E">
        <w:t xml:space="preserve"> show that there are </w:t>
      </w:r>
      <w:r w:rsidR="008F2335" w:rsidRPr="00C5282E">
        <w:t>no</w:t>
      </w:r>
      <w:r w:rsidR="00F64302" w:rsidRPr="00C5282E">
        <w:t xml:space="preserve"> statistically significantly differences in K10 and SOFAS improvements between headspace centres and s</w:t>
      </w:r>
      <w:r w:rsidR="00373A21" w:rsidRPr="00C5282E">
        <w:t xml:space="preserve">atellites. However, </w:t>
      </w:r>
      <w:r w:rsidRPr="00BD79D2">
        <w:fldChar w:fldCharType="begin" w:fldLock="1"/>
      </w:r>
      <w:r w:rsidRPr="00BD79D2">
        <w:instrText xml:space="preserve"> REF _Ref97750778 \h </w:instrText>
      </w:r>
      <w:r>
        <w:instrText xml:space="preserve"> \* MERGEFORMAT </w:instrText>
      </w:r>
      <w:r w:rsidRPr="00BD79D2">
        <w:fldChar w:fldCharType="separate"/>
      </w:r>
      <w:r w:rsidR="000C245D">
        <w:t xml:space="preserve">Figure </w:t>
      </w:r>
      <w:r w:rsidR="000C245D">
        <w:rPr>
          <w:noProof/>
        </w:rPr>
        <w:t>66</w:t>
      </w:r>
      <w:r w:rsidRPr="00BD79D2">
        <w:fldChar w:fldCharType="end"/>
      </w:r>
      <w:r w:rsidR="002A6A78">
        <w:t xml:space="preserve"> show that centres have statistically significantly higher MLT improvements than their satellite counterparts. </w:t>
      </w:r>
      <w:r w:rsidR="00CE2D20">
        <w:t xml:space="preserve">This report cannot conclusively determine if centres and </w:t>
      </w:r>
      <w:r w:rsidR="00B54D2A">
        <w:t xml:space="preserve">satellites deliver different mental health outcomes. </w:t>
      </w:r>
      <w:r w:rsidR="00524374">
        <w:t>I</w:t>
      </w:r>
      <w:r w:rsidR="00CE2D20">
        <w:t xml:space="preserve">n the sections below, </w:t>
      </w:r>
      <w:r w:rsidR="00B54D2A">
        <w:t>this report</w:t>
      </w:r>
      <w:r w:rsidR="00CE2D20">
        <w:t xml:space="preserve"> </w:t>
      </w:r>
      <w:r w:rsidR="00B54D2A">
        <w:t>will later show</w:t>
      </w:r>
      <w:r w:rsidR="00CE2D20">
        <w:t xml:space="preserve"> that the </w:t>
      </w:r>
      <w:r w:rsidR="00B54D2A">
        <w:t xml:space="preserve">type of headspace services </w:t>
      </w:r>
      <w:r w:rsidR="001B5ED8">
        <w:t>explained a minor</w:t>
      </w:r>
      <w:r w:rsidR="00097F46">
        <w:t>i</w:t>
      </w:r>
      <w:r w:rsidR="001B5ED8">
        <w:t>ty of the variation in mental health outcomes.</w:t>
      </w:r>
    </w:p>
    <w:p w14:paraId="425C8439" w14:textId="77777777" w:rsidR="002A6A78" w:rsidRDefault="002A6A78" w:rsidP="00D558FC">
      <w:pPr>
        <w:pStyle w:val="AppendixHeading3"/>
      </w:pPr>
      <w:r>
        <w:t>Geographic factors</w:t>
      </w:r>
    </w:p>
    <w:p w14:paraId="7249570B" w14:textId="77777777" w:rsidR="002A6A78" w:rsidRPr="0050307E" w:rsidRDefault="002A6A78" w:rsidP="00D558FC">
      <w:pPr>
        <w:pStyle w:val="Heading4"/>
      </w:pPr>
      <w:r>
        <w:t>Service state or territory</w:t>
      </w:r>
    </w:p>
    <w:p w14:paraId="029D471F" w14:textId="73359642" w:rsidR="002A6A78" w:rsidRPr="0050307E" w:rsidRDefault="00F9198A" w:rsidP="002A6A78">
      <w:pPr>
        <w:pStyle w:val="BodyText"/>
      </w:pPr>
      <w:r>
        <w:fldChar w:fldCharType="begin" w:fldLock="1"/>
      </w:r>
      <w:r>
        <w:instrText xml:space="preserve"> REF _Ref97750778 \h </w:instrText>
      </w:r>
      <w:r>
        <w:fldChar w:fldCharType="separate"/>
      </w:r>
      <w:r w:rsidR="000C245D">
        <w:t xml:space="preserve">Figure </w:t>
      </w:r>
      <w:r w:rsidR="000C245D">
        <w:rPr>
          <w:noProof/>
        </w:rPr>
        <w:t>66</w:t>
      </w:r>
      <w:r>
        <w:fldChar w:fldCharType="end"/>
      </w:r>
      <w:r w:rsidR="002A6A78">
        <w:t xml:space="preserve"> and </w:t>
      </w:r>
      <w:r>
        <w:fldChar w:fldCharType="begin" w:fldLock="1"/>
      </w:r>
      <w:r>
        <w:instrText xml:space="preserve"> REF _Ref97750795 \h </w:instrText>
      </w:r>
      <w:r>
        <w:fldChar w:fldCharType="separate"/>
      </w:r>
      <w:r w:rsidR="000C245D">
        <w:t xml:space="preserve">Figure </w:t>
      </w:r>
      <w:r w:rsidR="000C245D">
        <w:rPr>
          <w:noProof/>
        </w:rPr>
        <w:t>67</w:t>
      </w:r>
      <w:r>
        <w:fldChar w:fldCharType="end"/>
      </w:r>
      <w:r w:rsidR="002A6A78">
        <w:t xml:space="preserve"> show that t</w:t>
      </w:r>
      <w:r w:rsidR="002A6A78" w:rsidRPr="0050307E">
        <w:t xml:space="preserve">he </w:t>
      </w:r>
      <w:r w:rsidR="002A6A78">
        <w:t>state or territory the service was based in</w:t>
      </w:r>
      <w:r w:rsidR="002A6A78" w:rsidRPr="0050307E">
        <w:t xml:space="preserve"> had no statistically significant impact on the </w:t>
      </w:r>
      <w:r w:rsidR="002A6A78">
        <w:t>service</w:t>
      </w:r>
      <w:r w:rsidR="002A6A78" w:rsidRPr="0050307E">
        <w:t>-specific change in the K10</w:t>
      </w:r>
      <w:r w:rsidR="002A6A78">
        <w:t xml:space="preserve"> or SOFAS outcome measures. The only exception is </w:t>
      </w:r>
      <w:r>
        <w:fldChar w:fldCharType="begin" w:fldLock="1"/>
      </w:r>
      <w:r>
        <w:instrText xml:space="preserve"> REF _Ref97750810 \h </w:instrText>
      </w:r>
      <w:r>
        <w:fldChar w:fldCharType="separate"/>
      </w:r>
      <w:r w:rsidR="000C245D">
        <w:t xml:space="preserve">Figure </w:t>
      </w:r>
      <w:r w:rsidR="000C245D">
        <w:rPr>
          <w:noProof/>
        </w:rPr>
        <w:t>68</w:t>
      </w:r>
      <w:r>
        <w:fldChar w:fldCharType="end"/>
      </w:r>
      <w:r w:rsidR="002A6A78">
        <w:t xml:space="preserve"> which shows that, with the MLT outcome measure, services in New South Wales have MLT improvements that are statistically significantly higher than average, while services in Victoria and South Australia have lower than average improvements.</w:t>
      </w:r>
    </w:p>
    <w:p w14:paraId="66BE2921" w14:textId="77777777" w:rsidR="002A6A78" w:rsidRPr="0050307E" w:rsidRDefault="002A6A78" w:rsidP="00D558FC">
      <w:pPr>
        <w:pStyle w:val="Heading4"/>
      </w:pPr>
      <w:r>
        <w:t>Regionality</w:t>
      </w:r>
    </w:p>
    <w:p w14:paraId="283CD206" w14:textId="77777777" w:rsidR="002A6A78" w:rsidRPr="0050307E" w:rsidRDefault="002A6A78" w:rsidP="003006A8">
      <w:pPr>
        <w:pStyle w:val="BodyText"/>
      </w:pPr>
      <w:r w:rsidRPr="0050307E">
        <w:t xml:space="preserve">The impact of </w:t>
      </w:r>
      <w:r>
        <w:t xml:space="preserve">the service’s state or territory </w:t>
      </w:r>
      <w:r w:rsidRPr="0050307E">
        <w:t xml:space="preserve">on the </w:t>
      </w:r>
      <w:r>
        <w:t>service’s</w:t>
      </w:r>
      <w:r w:rsidRPr="0050307E">
        <w:t xml:space="preserve"> fixed effects is dependent on the choice of the outcome measures. </w:t>
      </w:r>
    </w:p>
    <w:p w14:paraId="40520466" w14:textId="7C6DC269" w:rsidR="002A6A78" w:rsidRDefault="002A6A78" w:rsidP="00A84B44">
      <w:pPr>
        <w:pStyle w:val="Bullet1stlevel"/>
      </w:pPr>
      <w:r w:rsidRPr="0050307E">
        <w:t xml:space="preserve">According to </w:t>
      </w:r>
      <w:r w:rsidR="00B630C2" w:rsidRPr="009F78CA">
        <w:fldChar w:fldCharType="begin" w:fldLock="1"/>
      </w:r>
      <w:r w:rsidR="00B630C2" w:rsidRPr="009F78CA">
        <w:instrText xml:space="preserve"> REF _Ref97750778 \h </w:instrText>
      </w:r>
      <w:r w:rsidR="009F78CA">
        <w:instrText xml:space="preserve"> \* MERGEFORMAT </w:instrText>
      </w:r>
      <w:r w:rsidR="00B630C2" w:rsidRPr="009F78CA">
        <w:fldChar w:fldCharType="separate"/>
      </w:r>
      <w:r w:rsidR="000C245D">
        <w:t>Figure 66</w:t>
      </w:r>
      <w:r w:rsidR="00B630C2" w:rsidRPr="009F78CA">
        <w:fldChar w:fldCharType="end"/>
      </w:r>
      <w:r>
        <w:t>, the service’s region has no statistically significant impact on K10 improvements.</w:t>
      </w:r>
    </w:p>
    <w:p w14:paraId="257F9D31" w14:textId="526A4DF1" w:rsidR="002A6A78" w:rsidRDefault="00B630C2" w:rsidP="009F78CA">
      <w:pPr>
        <w:pStyle w:val="Bullet1stlevel"/>
      </w:pPr>
      <w:r w:rsidRPr="009F78CA">
        <w:fldChar w:fldCharType="begin" w:fldLock="1"/>
      </w:r>
      <w:r w:rsidRPr="009F78CA">
        <w:instrText xml:space="preserve"> REF _Ref97750795 \h </w:instrText>
      </w:r>
      <w:r w:rsidR="009F78CA">
        <w:instrText xml:space="preserve"> \* MERGEFORMAT </w:instrText>
      </w:r>
      <w:r w:rsidRPr="009F78CA">
        <w:fldChar w:fldCharType="separate"/>
      </w:r>
      <w:r w:rsidR="000C245D">
        <w:t>Figure 67</w:t>
      </w:r>
      <w:r w:rsidRPr="009F78CA">
        <w:fldChar w:fldCharType="end"/>
      </w:r>
      <w:r w:rsidR="002A6A78">
        <w:t xml:space="preserve"> shows that services</w:t>
      </w:r>
      <w:r w:rsidR="002A6A78" w:rsidRPr="00136D24">
        <w:t xml:space="preserve"> located in remote areas have </w:t>
      </w:r>
      <w:r w:rsidR="002A6A78">
        <w:t xml:space="preserve">the </w:t>
      </w:r>
      <w:r w:rsidR="002A6A78" w:rsidRPr="00136D24">
        <w:t>highe</w:t>
      </w:r>
      <w:r w:rsidR="002A6A78">
        <w:t>st</w:t>
      </w:r>
      <w:r w:rsidR="002A6A78" w:rsidRPr="00136D24">
        <w:t xml:space="preserve"> effect on changes in the SOFAS </w:t>
      </w:r>
      <w:r w:rsidR="002A6A78">
        <w:t>outcome measure.</w:t>
      </w:r>
    </w:p>
    <w:p w14:paraId="2BBE1600" w14:textId="54900CB8" w:rsidR="002A6A78" w:rsidRPr="007B2366" w:rsidRDefault="00B630C2" w:rsidP="00A84B44">
      <w:pPr>
        <w:pStyle w:val="Bullet1stlevel"/>
      </w:pPr>
      <w:r w:rsidRPr="009F78CA">
        <w:fldChar w:fldCharType="begin" w:fldLock="1"/>
      </w:r>
      <w:r w:rsidRPr="009F78CA">
        <w:instrText xml:space="preserve"> REF _Ref97750810 \h </w:instrText>
      </w:r>
      <w:r w:rsidR="009F78CA">
        <w:instrText xml:space="preserve"> \* MERGEFORMAT </w:instrText>
      </w:r>
      <w:r w:rsidRPr="009F78CA">
        <w:fldChar w:fldCharType="separate"/>
      </w:r>
      <w:r w:rsidR="000C245D">
        <w:t>Figure 68</w:t>
      </w:r>
      <w:r w:rsidRPr="009F78CA">
        <w:fldChar w:fldCharType="end"/>
      </w:r>
      <w:r w:rsidR="002A6A78">
        <w:t xml:space="preserve"> shows that MLT</w:t>
      </w:r>
      <w:r w:rsidR="002A6A78" w:rsidRPr="0050307E">
        <w:t xml:space="preserve"> </w:t>
      </w:r>
      <w:r w:rsidR="002A6A78">
        <w:t>improvements were highest among services located in remote areas followed services in inner regional areas.</w:t>
      </w:r>
    </w:p>
    <w:p w14:paraId="365ED67E" w14:textId="77777777" w:rsidR="002A6A78" w:rsidRPr="0050307E" w:rsidRDefault="002A6A78" w:rsidP="002A6A78">
      <w:pPr>
        <w:pStyle w:val="BodyText"/>
      </w:pPr>
    </w:p>
    <w:p w14:paraId="6F57671A" w14:textId="4D6E4B78" w:rsidR="002A6A78" w:rsidRDefault="002A6A78" w:rsidP="002A6A78">
      <w:pPr>
        <w:pStyle w:val="Caption"/>
        <w:jc w:val="both"/>
      </w:pPr>
      <w:bookmarkStart w:id="349" w:name="_Ref97750778"/>
      <w:bookmarkStart w:id="350" w:name="_Toc108109251"/>
      <w:r>
        <w:t xml:space="preserve">Figure </w:t>
      </w:r>
      <w:r>
        <w:fldChar w:fldCharType="begin"/>
      </w:r>
      <w:r>
        <w:instrText>SEQ Figure \* ARABIC</w:instrText>
      </w:r>
      <w:r>
        <w:fldChar w:fldCharType="separate"/>
      </w:r>
      <w:r w:rsidR="00CC0438">
        <w:rPr>
          <w:noProof/>
        </w:rPr>
        <w:t>66</w:t>
      </w:r>
      <w:r>
        <w:fldChar w:fldCharType="end"/>
      </w:r>
      <w:bookmarkEnd w:id="349"/>
      <w:r>
        <w:t xml:space="preserve">: </w:t>
      </w:r>
      <w:r w:rsidRPr="00A36D03">
        <w:t>Average</w:t>
      </w:r>
      <w:r>
        <w:t xml:space="preserve"> K10</w:t>
      </w:r>
      <w:r w:rsidRPr="00A36D03">
        <w:t xml:space="preserve"> improvement by service-level factors</w:t>
      </w:r>
      <w:bookmarkEnd w:id="350"/>
    </w:p>
    <w:p w14:paraId="071B4DA7" w14:textId="19F4AE02" w:rsidR="002A6A78" w:rsidRDefault="000941EF" w:rsidP="003006A8">
      <w:pPr>
        <w:pStyle w:val="BodyText"/>
      </w:pPr>
      <w:r>
        <w:rPr>
          <w:noProof/>
        </w:rPr>
        <w:drawing>
          <wp:inline distT="0" distB="0" distL="0" distR="0" wp14:anchorId="13A5C915" wp14:editId="09C2F058">
            <wp:extent cx="5038725" cy="7915275"/>
            <wp:effectExtent l="0" t="0" r="9525" b="9525"/>
            <wp:docPr id="92" name="Picture 92" descr="Figure 68 shows the average K10 improvement based on headspace service-level factors.&#10;The Average K10 improvement was 1.4&#10;Headspace services with lead agencies who were classified as clinical mental health services had an MLT improvement below the average. Other headspace lead agency types had improvements above the average.&#10;Satellite services had MLT improvements well below the average. Centres had improvements just over the average. &#10;Services in ACT and Tasmania had improvements well below the average. Victoria, WA and SA had improvements below the average. Services in the NT had an improvement on the average. QLD and NSW had MLT improvements above the average.&#10;Services in major cities had MLT improvements below the average. Inner and outer regional and remote services had changes above the aver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68 shows the average K10 improvement based on headspace service-level factors.&#10;The Average K10 improvement was 1.4&#10;Headspace services with lead agencies who were classified as clinical mental health services had an MLT improvement below the average. Other headspace lead agency types had improvements above the average.&#10;Satellite services had MLT improvements well below the average. Centres had improvements just over the average. &#10;Services in ACT and Tasmania had improvements well below the average. Victoria, WA and SA had improvements below the average. Services in the NT had an improvement on the average. QLD and NSW had MLT improvements above the average.&#10;Services in major cities had MLT improvements below the average. Inner and outer regional and remote services had changes above the averag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8725" cy="7915275"/>
                    </a:xfrm>
                    <a:prstGeom prst="rect">
                      <a:avLst/>
                    </a:prstGeom>
                    <a:noFill/>
                    <a:ln>
                      <a:noFill/>
                    </a:ln>
                  </pic:spPr>
                </pic:pic>
              </a:graphicData>
            </a:graphic>
          </wp:inline>
        </w:drawing>
      </w:r>
    </w:p>
    <w:p w14:paraId="3D7EC73A" w14:textId="3D81E01C" w:rsidR="002A6A78" w:rsidRPr="007B7099" w:rsidRDefault="002A6A78" w:rsidP="002A6A78">
      <w:pPr>
        <w:pStyle w:val="Source"/>
      </w:pPr>
      <w:r w:rsidRPr="0056348D">
        <w:t>Source: KPMG a</w:t>
      </w:r>
      <w:r w:rsidRPr="00E13979">
        <w:t xml:space="preserve">nalysis of </w:t>
      </w:r>
      <w:r w:rsidRPr="00643194">
        <w:t xml:space="preserve">K10 </w:t>
      </w:r>
      <w:r>
        <w:t xml:space="preserve">service-fixed effects derived from section </w:t>
      </w:r>
      <w:r w:rsidR="002F2250">
        <w:rPr>
          <w:highlight w:val="yellow"/>
        </w:rPr>
        <w:fldChar w:fldCharType="begin" w:fldLock="1"/>
      </w:r>
      <w:r w:rsidR="002F2250">
        <w:instrText xml:space="preserve"> REF _Ref97883390 \r \h </w:instrText>
      </w:r>
      <w:r w:rsidR="002F2250">
        <w:rPr>
          <w:highlight w:val="yellow"/>
        </w:rPr>
      </w:r>
      <w:r w:rsidR="002F2250">
        <w:rPr>
          <w:highlight w:val="yellow"/>
        </w:rPr>
        <w:fldChar w:fldCharType="separate"/>
      </w:r>
      <w:r w:rsidR="00AE4D34">
        <w:t>E.5</w:t>
      </w:r>
      <w:r w:rsidR="002F2250">
        <w:rPr>
          <w:highlight w:val="yellow"/>
        </w:rPr>
        <w:fldChar w:fldCharType="end"/>
      </w:r>
    </w:p>
    <w:p w14:paraId="43ADC174" w14:textId="4FA2762A" w:rsidR="002A6A78" w:rsidRDefault="002A6A78" w:rsidP="00D558FC">
      <w:pPr>
        <w:pStyle w:val="Source"/>
        <w:rPr>
          <w:szCs w:val="16"/>
        </w:rPr>
      </w:pPr>
      <w:r>
        <w:t xml:space="preserve">Notes: </w:t>
      </w:r>
      <w:r w:rsidRPr="00624964">
        <w:t xml:space="preserve">See </w:t>
      </w:r>
      <w:r w:rsidR="009C7C87">
        <w:t>Appendix</w:t>
      </w:r>
      <w:r>
        <w:t xml:space="preserve"> </w:t>
      </w:r>
      <w:r w:rsidR="002F2250">
        <w:rPr>
          <w:highlight w:val="yellow"/>
        </w:rPr>
        <w:fldChar w:fldCharType="begin" w:fldLock="1"/>
      </w:r>
      <w:r w:rsidR="002F2250">
        <w:instrText xml:space="preserve"> REF _Ref97883390 \r \h </w:instrText>
      </w:r>
      <w:r w:rsidR="002F2250">
        <w:rPr>
          <w:highlight w:val="yellow"/>
        </w:rPr>
      </w:r>
      <w:r w:rsidR="002F2250">
        <w:rPr>
          <w:highlight w:val="yellow"/>
        </w:rPr>
        <w:fldChar w:fldCharType="separate"/>
      </w:r>
      <w:r w:rsidR="00AE4D34">
        <w:t>E.5</w:t>
      </w:r>
      <w:r w:rsidR="002F2250">
        <w:rPr>
          <w:highlight w:val="yellow"/>
        </w:rPr>
        <w:fldChar w:fldCharType="end"/>
      </w:r>
      <w:r w:rsidRPr="00624964">
        <w:t xml:space="preserve"> for </w:t>
      </w:r>
      <w:r>
        <w:t>an explanation on service fixed effects, i.e</w:t>
      </w:r>
      <w:r w:rsidR="007E76A0">
        <w:t>.,</w:t>
      </w:r>
      <w:r>
        <w:t xml:space="preserve"> improvements attributed to the service. Sample includes 117 services. </w:t>
      </w:r>
      <w:r>
        <w:rPr>
          <w:szCs w:val="16"/>
        </w:rPr>
        <w:t>K10 improvement</w:t>
      </w:r>
      <w:r w:rsidRPr="001E1EB4">
        <w:rPr>
          <w:szCs w:val="16"/>
        </w:rPr>
        <w:t xml:space="preserve"> is </w:t>
      </w:r>
      <w:r>
        <w:rPr>
          <w:szCs w:val="16"/>
        </w:rPr>
        <w:t>the difference between the last observed and the initially observed outcome measure. K10 improvement has been adjusted for RTM.</w:t>
      </w:r>
    </w:p>
    <w:p w14:paraId="7BE3609E" w14:textId="2A3BB9DD" w:rsidR="002A6A78" w:rsidRDefault="002A6A78" w:rsidP="002A6A78">
      <w:pPr>
        <w:pStyle w:val="Caption"/>
        <w:jc w:val="both"/>
      </w:pPr>
      <w:bookmarkStart w:id="351" w:name="_Ref97750795"/>
      <w:bookmarkStart w:id="352" w:name="_Toc108109252"/>
      <w:r>
        <w:t xml:space="preserve">Figure </w:t>
      </w:r>
      <w:r>
        <w:fldChar w:fldCharType="begin"/>
      </w:r>
      <w:r>
        <w:instrText>SEQ Figure \* ARABIC</w:instrText>
      </w:r>
      <w:r>
        <w:fldChar w:fldCharType="separate"/>
      </w:r>
      <w:r w:rsidR="00CC0438">
        <w:rPr>
          <w:noProof/>
        </w:rPr>
        <w:t>67</w:t>
      </w:r>
      <w:r>
        <w:fldChar w:fldCharType="end"/>
      </w:r>
      <w:bookmarkEnd w:id="351"/>
      <w:r>
        <w:t>:</w:t>
      </w:r>
      <w:r w:rsidRPr="00EE4912">
        <w:t xml:space="preserve"> Average </w:t>
      </w:r>
      <w:r>
        <w:t>SOFAS</w:t>
      </w:r>
      <w:r w:rsidRPr="00EE4912">
        <w:t xml:space="preserve"> improvement by service-level factors</w:t>
      </w:r>
      <w:bookmarkEnd w:id="352"/>
    </w:p>
    <w:p w14:paraId="5CFE99AA" w14:textId="5AC4518D" w:rsidR="002A6A78" w:rsidRPr="005F699D" w:rsidRDefault="00194A8D" w:rsidP="003006A8">
      <w:pPr>
        <w:pStyle w:val="BodyText"/>
      </w:pPr>
      <w:r>
        <w:rPr>
          <w:noProof/>
        </w:rPr>
        <w:drawing>
          <wp:inline distT="0" distB="0" distL="0" distR="0" wp14:anchorId="1D12B32F" wp14:editId="25BFD486">
            <wp:extent cx="5038725" cy="7915275"/>
            <wp:effectExtent l="0" t="0" r="9525" b="9525"/>
            <wp:docPr id="106" name="Picture 106" descr="Figure 67 shows the average SOFAS improvement based on headspace service-level factors.&#10;The Average SOFAS improvement was 3.3&#10;Headspace services with lead agencies who were classified as clinical mental health services or ‘other’ had a SOFAS improvement above the average. Headspace services with general non-government organisations as their lead agency had improvements below the average.&#10;Satellite services had MLT improvements above the average. Centres had improvements on the average. &#10;Services in ACT, Victoria and SA had improvements below the average. Services in all other states had improvements above the average.&#10;Services in major cities, Inner and outer regional areas had changes just below the average. Remote services had MLT improvements more than twice the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Figure 67 shows the average SOFAS improvement based on headspace service-level factors.&#10;The Average SOFAS improvement was 3.3&#10;Headspace services with lead agencies who were classified as clinical mental health services or ‘other’ had a SOFAS improvement above the average. Headspace services with general non-government organisations as their lead agency had improvements below the average.&#10;Satellite services had MLT improvements above the average. Centres had improvements on the average. &#10;Services in ACT, Victoria and SA had improvements below the average. Services in all other states had improvements above the average.&#10;Services in major cities, Inner and outer regional areas had changes just below the average. Remote services had MLT improvements more than twice the average.&#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38725" cy="7915275"/>
                    </a:xfrm>
                    <a:prstGeom prst="rect">
                      <a:avLst/>
                    </a:prstGeom>
                    <a:noFill/>
                    <a:ln>
                      <a:noFill/>
                    </a:ln>
                  </pic:spPr>
                </pic:pic>
              </a:graphicData>
            </a:graphic>
          </wp:inline>
        </w:drawing>
      </w:r>
    </w:p>
    <w:p w14:paraId="2E59E9CC" w14:textId="474FEF8C" w:rsidR="002A6A78" w:rsidRPr="007B7099" w:rsidRDefault="002A6A78" w:rsidP="00D558FC">
      <w:pPr>
        <w:pStyle w:val="Source"/>
      </w:pPr>
      <w:r w:rsidRPr="0056348D">
        <w:t>Source: KPMG a</w:t>
      </w:r>
      <w:r w:rsidRPr="00E13979">
        <w:t xml:space="preserve">nalysis of </w:t>
      </w:r>
      <w:r>
        <w:t>SOFAS</w:t>
      </w:r>
      <w:r w:rsidRPr="00643194">
        <w:t xml:space="preserve"> </w:t>
      </w:r>
      <w:r>
        <w:t xml:space="preserve">service-fixed effects derived from section </w:t>
      </w:r>
      <w:r w:rsidR="00F26915">
        <w:rPr>
          <w:highlight w:val="yellow"/>
        </w:rPr>
        <w:fldChar w:fldCharType="begin" w:fldLock="1"/>
      </w:r>
      <w:r w:rsidR="00F26915">
        <w:instrText xml:space="preserve"> REF _Ref97883390 \r \h </w:instrText>
      </w:r>
      <w:r w:rsidR="00D558FC">
        <w:rPr>
          <w:highlight w:val="yellow"/>
        </w:rPr>
        <w:instrText xml:space="preserve"> \* MERGEFORMAT </w:instrText>
      </w:r>
      <w:r w:rsidR="00F26915">
        <w:rPr>
          <w:highlight w:val="yellow"/>
        </w:rPr>
      </w:r>
      <w:r w:rsidR="00F26915">
        <w:rPr>
          <w:highlight w:val="yellow"/>
        </w:rPr>
        <w:fldChar w:fldCharType="separate"/>
      </w:r>
      <w:r w:rsidR="00AE4D34">
        <w:t>E.5</w:t>
      </w:r>
      <w:r w:rsidR="00F26915">
        <w:rPr>
          <w:highlight w:val="yellow"/>
        </w:rPr>
        <w:fldChar w:fldCharType="end"/>
      </w:r>
    </w:p>
    <w:p w14:paraId="4A6B052F" w14:textId="60A5AE97" w:rsidR="002A6A78" w:rsidRDefault="002A6A78" w:rsidP="00D558FC">
      <w:pPr>
        <w:pStyle w:val="Source"/>
        <w:rPr>
          <w:szCs w:val="16"/>
        </w:rPr>
      </w:pPr>
      <w:r>
        <w:t xml:space="preserve">Notes: </w:t>
      </w:r>
      <w:r w:rsidRPr="00624964">
        <w:t xml:space="preserve">See </w:t>
      </w:r>
      <w:r w:rsidR="009C7C87">
        <w:rPr>
          <w:szCs w:val="16"/>
        </w:rPr>
        <w:t>Appendix</w:t>
      </w:r>
      <w:r>
        <w:t xml:space="preserve"> </w:t>
      </w:r>
      <w:r w:rsidR="00F26915">
        <w:rPr>
          <w:highlight w:val="yellow"/>
        </w:rPr>
        <w:fldChar w:fldCharType="begin" w:fldLock="1"/>
      </w:r>
      <w:r w:rsidR="00F26915">
        <w:instrText xml:space="preserve"> REF _Ref97883390 \r \h </w:instrText>
      </w:r>
      <w:r w:rsidR="00D558FC">
        <w:rPr>
          <w:highlight w:val="yellow"/>
        </w:rPr>
        <w:instrText xml:space="preserve"> \* MERGEFORMAT </w:instrText>
      </w:r>
      <w:r w:rsidR="00F26915">
        <w:rPr>
          <w:highlight w:val="yellow"/>
        </w:rPr>
      </w:r>
      <w:r w:rsidR="00F26915">
        <w:rPr>
          <w:highlight w:val="yellow"/>
        </w:rPr>
        <w:fldChar w:fldCharType="separate"/>
      </w:r>
      <w:r w:rsidR="00AE4D34">
        <w:t>E.5</w:t>
      </w:r>
      <w:r w:rsidR="00F26915">
        <w:rPr>
          <w:highlight w:val="yellow"/>
        </w:rPr>
        <w:fldChar w:fldCharType="end"/>
      </w:r>
      <w:r>
        <w:t xml:space="preserve"> </w:t>
      </w:r>
      <w:r w:rsidRPr="00624964">
        <w:t xml:space="preserve">for </w:t>
      </w:r>
      <w:r>
        <w:t>an explanation on service fixed effects, i.e</w:t>
      </w:r>
      <w:r w:rsidR="004D1498">
        <w:t>.,</w:t>
      </w:r>
      <w:r>
        <w:t xml:space="preserve"> improvements attributed to the service.</w:t>
      </w:r>
      <w:r w:rsidRPr="00624964">
        <w:t xml:space="preserve"> </w:t>
      </w:r>
      <w:r>
        <w:t xml:space="preserve">Sample includes 117 services. </w:t>
      </w:r>
      <w:r>
        <w:rPr>
          <w:szCs w:val="16"/>
        </w:rPr>
        <w:t>SOFAS improvement</w:t>
      </w:r>
      <w:r w:rsidRPr="001E1EB4">
        <w:rPr>
          <w:szCs w:val="16"/>
        </w:rPr>
        <w:t xml:space="preserve"> is </w:t>
      </w:r>
      <w:r>
        <w:rPr>
          <w:szCs w:val="16"/>
        </w:rPr>
        <w:t>the difference between the last observed and the initially observed outcome measure. SOFAS improvement has been adjusted for RTM.</w:t>
      </w:r>
    </w:p>
    <w:p w14:paraId="128651D6" w14:textId="26859BED" w:rsidR="002A6A78" w:rsidRDefault="002A6A78" w:rsidP="003E01A4">
      <w:pPr>
        <w:pStyle w:val="Caption"/>
        <w:keepLines/>
        <w:jc w:val="both"/>
      </w:pPr>
      <w:bookmarkStart w:id="353" w:name="_Ref97750810"/>
      <w:bookmarkStart w:id="354" w:name="_Toc108109253"/>
      <w:r>
        <w:t xml:space="preserve">Figure </w:t>
      </w:r>
      <w:r>
        <w:fldChar w:fldCharType="begin"/>
      </w:r>
      <w:r>
        <w:instrText>SEQ Figure \* ARABIC</w:instrText>
      </w:r>
      <w:r>
        <w:fldChar w:fldCharType="separate"/>
      </w:r>
      <w:r w:rsidR="00CC0438">
        <w:rPr>
          <w:noProof/>
        </w:rPr>
        <w:t>68</w:t>
      </w:r>
      <w:r>
        <w:fldChar w:fldCharType="end"/>
      </w:r>
      <w:bookmarkEnd w:id="353"/>
      <w:r>
        <w:t xml:space="preserve">: </w:t>
      </w:r>
      <w:r w:rsidRPr="00EE4912">
        <w:t xml:space="preserve">Average </w:t>
      </w:r>
      <w:r>
        <w:t>MLT</w:t>
      </w:r>
      <w:r w:rsidRPr="00EE4912">
        <w:t xml:space="preserve"> improvement by service-level factors</w:t>
      </w:r>
      <w:bookmarkEnd w:id="354"/>
    </w:p>
    <w:p w14:paraId="45FE3883" w14:textId="38796B5C" w:rsidR="002A6A78" w:rsidRPr="005F699D" w:rsidRDefault="003E01A4" w:rsidP="003006A8">
      <w:pPr>
        <w:pStyle w:val="BodyText"/>
      </w:pPr>
      <w:r>
        <w:rPr>
          <w:noProof/>
        </w:rPr>
        <w:drawing>
          <wp:inline distT="0" distB="0" distL="0" distR="0" wp14:anchorId="039DFDEB" wp14:editId="341E35F0">
            <wp:extent cx="4935646" cy="7753350"/>
            <wp:effectExtent l="0" t="0" r="0" b="0"/>
            <wp:docPr id="107" name="Picture 107" descr="Figure 68 shows the average MLT improvement based on headspace service-level factors.&#10;The Average MLT improvement was 7.3&#10;Headspace services with lead agencies who were classified as clinical mental health services had an MLT improvement below the average. Other headspace lead agency types had improvements above the average.&#10;Satellite services had MLT improvements well below the average. Centres had improvements just over the average. &#10;Services in ACT, Tasmania and SA had improvements well below the average. Victoria and NT had improvements below the average. WA, QLD and NSW had MLT improvements above the average.&#10;Services in major cities had MLT improvements below the average. Inner and outer regional services had changes above the average. Remote services had MLT improvements well above the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68 shows the average MLT improvement based on headspace service-level factors.&#10;The Average MLT improvement was 7.3&#10;Headspace services with lead agencies who were classified as clinical mental health services had an MLT improvement below the average. Other headspace lead agency types had improvements above the average.&#10;Satellite services had MLT improvements well below the average. Centres had improvements just over the average. &#10;Services in ACT, Tasmania and SA had improvements well below the average. Victoria and NT had improvements below the average. WA, QLD and NSW had MLT improvements above the average.&#10;Services in major cities had MLT improvements below the average. Inner and outer regional services had changes above the average. Remote services had MLT improvements well above the average.&#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41903" cy="7763178"/>
                    </a:xfrm>
                    <a:prstGeom prst="rect">
                      <a:avLst/>
                    </a:prstGeom>
                    <a:noFill/>
                    <a:ln>
                      <a:noFill/>
                    </a:ln>
                  </pic:spPr>
                </pic:pic>
              </a:graphicData>
            </a:graphic>
          </wp:inline>
        </w:drawing>
      </w:r>
    </w:p>
    <w:p w14:paraId="44CAD527" w14:textId="59AB7D6A" w:rsidR="002A6A78" w:rsidRPr="007B7099" w:rsidRDefault="002A6A78" w:rsidP="003E01A4">
      <w:pPr>
        <w:pStyle w:val="Source"/>
        <w:keepNext/>
        <w:keepLines/>
      </w:pPr>
      <w:r w:rsidRPr="0056348D">
        <w:t>Source: KPMG a</w:t>
      </w:r>
      <w:r w:rsidRPr="00E13979">
        <w:t xml:space="preserve">nalysis of </w:t>
      </w:r>
      <w:r>
        <w:t>MLT</w:t>
      </w:r>
      <w:r w:rsidRPr="00643194">
        <w:t xml:space="preserve"> </w:t>
      </w:r>
      <w:r>
        <w:t xml:space="preserve">service-fixed effects derived from section </w:t>
      </w:r>
      <w:r w:rsidR="00BD79D2">
        <w:rPr>
          <w:highlight w:val="yellow"/>
        </w:rPr>
        <w:fldChar w:fldCharType="begin" w:fldLock="1"/>
      </w:r>
      <w:r w:rsidR="00BD79D2">
        <w:instrText xml:space="preserve"> REF _Ref97883390 \r \h </w:instrText>
      </w:r>
      <w:r w:rsidR="00BD79D2">
        <w:rPr>
          <w:highlight w:val="yellow"/>
        </w:rPr>
      </w:r>
      <w:r w:rsidR="00BD79D2">
        <w:rPr>
          <w:highlight w:val="yellow"/>
        </w:rPr>
        <w:fldChar w:fldCharType="separate"/>
      </w:r>
      <w:r w:rsidR="00AE4D34">
        <w:t>E.5</w:t>
      </w:r>
      <w:r w:rsidR="00BD79D2">
        <w:rPr>
          <w:highlight w:val="yellow"/>
        </w:rPr>
        <w:fldChar w:fldCharType="end"/>
      </w:r>
    </w:p>
    <w:p w14:paraId="7C4CC35F" w14:textId="61EC03D9" w:rsidR="00D558FC" w:rsidRPr="0016295B" w:rsidRDefault="002A6A78" w:rsidP="0016295B">
      <w:pPr>
        <w:pStyle w:val="Source"/>
        <w:rPr>
          <w:szCs w:val="16"/>
        </w:rPr>
      </w:pPr>
      <w:r>
        <w:t xml:space="preserve">Notes: </w:t>
      </w:r>
      <w:r w:rsidRPr="00624964">
        <w:t xml:space="preserve">See </w:t>
      </w:r>
      <w:r w:rsidR="009C7C87">
        <w:rPr>
          <w:szCs w:val="16"/>
        </w:rPr>
        <w:t>Appendix</w:t>
      </w:r>
      <w:r>
        <w:t xml:space="preserve"> </w:t>
      </w:r>
      <w:r w:rsidR="00BD79D2">
        <w:rPr>
          <w:highlight w:val="yellow"/>
        </w:rPr>
        <w:fldChar w:fldCharType="begin" w:fldLock="1"/>
      </w:r>
      <w:r w:rsidR="00BD79D2">
        <w:instrText xml:space="preserve"> REF _Ref97883390 \r \h </w:instrText>
      </w:r>
      <w:r w:rsidR="00D558FC">
        <w:rPr>
          <w:highlight w:val="yellow"/>
        </w:rPr>
        <w:instrText xml:space="preserve"> \* MERGEFORMAT </w:instrText>
      </w:r>
      <w:r w:rsidR="00BD79D2">
        <w:rPr>
          <w:highlight w:val="yellow"/>
        </w:rPr>
      </w:r>
      <w:r w:rsidR="00BD79D2">
        <w:rPr>
          <w:highlight w:val="yellow"/>
        </w:rPr>
        <w:fldChar w:fldCharType="separate"/>
      </w:r>
      <w:r w:rsidR="00AE4D34">
        <w:t>E.5</w:t>
      </w:r>
      <w:r w:rsidR="00BD79D2">
        <w:rPr>
          <w:highlight w:val="yellow"/>
        </w:rPr>
        <w:fldChar w:fldCharType="end"/>
      </w:r>
      <w:r>
        <w:t xml:space="preserve"> </w:t>
      </w:r>
      <w:r w:rsidRPr="00624964">
        <w:t xml:space="preserve">for </w:t>
      </w:r>
      <w:r>
        <w:t>an explanation on service fixed effects, i.e</w:t>
      </w:r>
      <w:r w:rsidR="004D1498">
        <w:t>.,</w:t>
      </w:r>
      <w:r>
        <w:t xml:space="preserve"> improvements attributed to the service.</w:t>
      </w:r>
      <w:r w:rsidRPr="00624964">
        <w:t xml:space="preserve"> </w:t>
      </w:r>
      <w:r>
        <w:t xml:space="preserve">Sample includes 117 services. </w:t>
      </w:r>
      <w:r>
        <w:rPr>
          <w:szCs w:val="16"/>
        </w:rPr>
        <w:t>MLT improvement</w:t>
      </w:r>
      <w:r w:rsidRPr="001E1EB4">
        <w:rPr>
          <w:szCs w:val="16"/>
        </w:rPr>
        <w:t xml:space="preserve"> is </w:t>
      </w:r>
      <w:r>
        <w:rPr>
          <w:szCs w:val="16"/>
        </w:rPr>
        <w:t>the difference between the last observed and the initially observed outcome measure. MLT improvement has been adjusted for RTM.</w:t>
      </w:r>
    </w:p>
    <w:p w14:paraId="649247B9" w14:textId="0608024C" w:rsidR="002A6A78" w:rsidRDefault="002A6A78" w:rsidP="002A6A78">
      <w:pPr>
        <w:pStyle w:val="BodyText"/>
      </w:pPr>
      <w:r>
        <w:t>The report uses Shaply decomposition to assess the relative contributions of service-level, state-level, or regionality factors on the service’s impacts on improving mental health.</w:t>
      </w:r>
    </w:p>
    <w:p w14:paraId="5AD68169" w14:textId="50CC1C3A" w:rsidR="002A6A78" w:rsidRDefault="00072CB6" w:rsidP="002A6A78">
      <w:pPr>
        <w:pStyle w:val="BodyText"/>
      </w:pPr>
      <w:r>
        <w:rPr>
          <w:b/>
          <w:bCs/>
        </w:rPr>
        <w:fldChar w:fldCharType="begin" w:fldLock="1"/>
      </w:r>
      <w:r>
        <w:rPr>
          <w:b/>
          <w:bCs/>
        </w:rPr>
        <w:instrText xml:space="preserve"> REF _Ref97749698 \h </w:instrText>
      </w:r>
      <w:r>
        <w:rPr>
          <w:b/>
          <w:bCs/>
        </w:rPr>
      </w:r>
      <w:r>
        <w:rPr>
          <w:b/>
          <w:bCs/>
        </w:rPr>
        <w:fldChar w:fldCharType="separate"/>
      </w:r>
      <w:r w:rsidR="00F33476">
        <w:t xml:space="preserve">Table </w:t>
      </w:r>
      <w:r w:rsidR="00F33476">
        <w:rPr>
          <w:noProof/>
        </w:rPr>
        <w:t>73</w:t>
      </w:r>
      <w:r>
        <w:rPr>
          <w:b/>
          <w:bCs/>
        </w:rPr>
        <w:fldChar w:fldCharType="end"/>
      </w:r>
      <w:r w:rsidR="002A6A78" w:rsidRPr="00740EE1">
        <w:t xml:space="preserve"> </w:t>
      </w:r>
      <w:r w:rsidR="006F599D">
        <w:t>that the state or territory dummy variables are</w:t>
      </w:r>
      <w:r w:rsidR="00B30548">
        <w:t xml:space="preserve"> </w:t>
      </w:r>
      <w:r w:rsidR="002A6A78">
        <w:t>most important in explaining the variance on the average impact the service had on the K10 and MLT outcome measures. This is followed by the service’s characteristics explaining from 29 to 36 per cent of the variance.</w:t>
      </w:r>
    </w:p>
    <w:p w14:paraId="722F86FD" w14:textId="77777777" w:rsidR="002A6A78" w:rsidRPr="002616C9" w:rsidRDefault="002A6A78" w:rsidP="002A6A78">
      <w:pPr>
        <w:pStyle w:val="BodyText"/>
      </w:pPr>
      <w:r>
        <w:t>However, state-level factors became less important among the SOFAS measure where it only explained around 18 per cent of variance of the services’ improvement in the SOFAS measure. With the SOFAS, service characteristics and service regionality explain around 45 per cent and 37 per cent of the SOFAS variance, respectively.</w:t>
      </w:r>
    </w:p>
    <w:p w14:paraId="245A7CB1" w14:textId="1E116E55" w:rsidR="002A6A78" w:rsidRDefault="002A6A78" w:rsidP="002A6A78">
      <w:pPr>
        <w:pStyle w:val="Caption"/>
      </w:pPr>
      <w:bookmarkStart w:id="355" w:name="_Ref97749698"/>
      <w:bookmarkStart w:id="356" w:name="_Toc108109023"/>
      <w:r>
        <w:t xml:space="preserve">Table </w:t>
      </w:r>
      <w:r>
        <w:fldChar w:fldCharType="begin"/>
      </w:r>
      <w:r>
        <w:instrText>SEQ Table \* ARABIC</w:instrText>
      </w:r>
      <w:r>
        <w:fldChar w:fldCharType="separate"/>
      </w:r>
      <w:r w:rsidR="00CC0438">
        <w:rPr>
          <w:noProof/>
        </w:rPr>
        <w:t>73</w:t>
      </w:r>
      <w:r>
        <w:fldChar w:fldCharType="end"/>
      </w:r>
      <w:bookmarkEnd w:id="355"/>
      <w:r>
        <w:t>: Shaply decomposition by service and regional components</w:t>
      </w:r>
      <w:bookmarkEnd w:id="356"/>
    </w:p>
    <w:tbl>
      <w:tblPr>
        <w:tblW w:w="5000" w:type="pct"/>
        <w:tblLook w:val="04A0" w:firstRow="1" w:lastRow="0" w:firstColumn="1" w:lastColumn="0" w:noHBand="0" w:noVBand="1"/>
        <w:tblCaption w:val="Shaply decomposition by service and regional components"/>
        <w:tblDescription w:val="Table has 4 columns and summarises shaply decomposition results. Column 1 lists the specific service-level and geographical components considered. Column 2 lists the shaply decomposition results for K10 outcomes. Column 3 lists the shaply decomposition results for SOFAS outcomes. Column 4 lists the shaply decomposition results for MLT outcomes."/>
      </w:tblPr>
      <w:tblGrid>
        <w:gridCol w:w="2930"/>
        <w:gridCol w:w="2046"/>
        <w:gridCol w:w="2046"/>
        <w:gridCol w:w="2048"/>
      </w:tblGrid>
      <w:tr w:rsidR="002A6A78" w14:paraId="52134377" w14:textId="77777777" w:rsidTr="00F27C38">
        <w:tc>
          <w:tcPr>
            <w:tcW w:w="1615" w:type="pct"/>
            <w:tcBorders>
              <w:bottom w:val="single" w:sz="4" w:space="0" w:color="00338D"/>
            </w:tcBorders>
            <w:shd w:val="clear" w:color="auto" w:fill="00338D"/>
          </w:tcPr>
          <w:p w14:paraId="3E6E519E" w14:textId="77777777" w:rsidR="002A6A78" w:rsidRDefault="002A6A78" w:rsidP="00F27C38">
            <w:pPr>
              <w:pStyle w:val="Tableheading"/>
            </w:pPr>
            <w:r>
              <w:t>Component</w:t>
            </w:r>
          </w:p>
        </w:tc>
        <w:tc>
          <w:tcPr>
            <w:tcW w:w="1128" w:type="pct"/>
            <w:tcBorders>
              <w:bottom w:val="single" w:sz="4" w:space="0" w:color="00338D"/>
            </w:tcBorders>
            <w:shd w:val="clear" w:color="auto" w:fill="00338D"/>
          </w:tcPr>
          <w:p w14:paraId="293DE088" w14:textId="77777777" w:rsidR="002A6A78" w:rsidRDefault="002A6A78" w:rsidP="00F27C38">
            <w:pPr>
              <w:pStyle w:val="Tableheading"/>
              <w:jc w:val="right"/>
            </w:pPr>
            <w:r>
              <w:t>K10</w:t>
            </w:r>
          </w:p>
        </w:tc>
        <w:tc>
          <w:tcPr>
            <w:tcW w:w="1128" w:type="pct"/>
            <w:tcBorders>
              <w:bottom w:val="single" w:sz="4" w:space="0" w:color="00338D"/>
            </w:tcBorders>
            <w:shd w:val="clear" w:color="auto" w:fill="00338D"/>
          </w:tcPr>
          <w:p w14:paraId="45DB9BD8" w14:textId="77777777" w:rsidR="002A6A78" w:rsidRDefault="002A6A78" w:rsidP="00F27C38">
            <w:pPr>
              <w:pStyle w:val="Tableheading"/>
              <w:jc w:val="right"/>
            </w:pPr>
            <w:r>
              <w:t>SOFAS</w:t>
            </w:r>
          </w:p>
        </w:tc>
        <w:tc>
          <w:tcPr>
            <w:tcW w:w="1129" w:type="pct"/>
            <w:tcBorders>
              <w:bottom w:val="single" w:sz="4" w:space="0" w:color="00338D"/>
            </w:tcBorders>
            <w:shd w:val="clear" w:color="auto" w:fill="00338D"/>
          </w:tcPr>
          <w:p w14:paraId="14F69087" w14:textId="77777777" w:rsidR="002A6A78" w:rsidRDefault="002A6A78" w:rsidP="00F27C38">
            <w:pPr>
              <w:pStyle w:val="Tableheading"/>
              <w:jc w:val="right"/>
            </w:pPr>
            <w:r>
              <w:t>MLT</w:t>
            </w:r>
          </w:p>
        </w:tc>
      </w:tr>
      <w:tr w:rsidR="002A6A78" w14:paraId="68D9C1F5" w14:textId="77777777" w:rsidTr="00F27C38">
        <w:tc>
          <w:tcPr>
            <w:tcW w:w="1615" w:type="pct"/>
            <w:tcBorders>
              <w:top w:val="single" w:sz="4" w:space="0" w:color="00338D"/>
              <w:bottom w:val="single" w:sz="4" w:space="0" w:color="00338D"/>
            </w:tcBorders>
            <w:vAlign w:val="center"/>
          </w:tcPr>
          <w:p w14:paraId="480FFD74" w14:textId="77777777" w:rsidR="002A6A78" w:rsidRPr="00C41171" w:rsidRDefault="002A6A78" w:rsidP="00F27C38">
            <w:pPr>
              <w:pStyle w:val="Tabletext"/>
              <w:rPr>
                <w:b/>
                <w:bCs/>
              </w:rPr>
            </w:pPr>
            <w:r w:rsidRPr="00C41171">
              <w:rPr>
                <w:b/>
                <w:bCs/>
              </w:rPr>
              <w:t>Service – level factors</w:t>
            </w:r>
          </w:p>
        </w:tc>
        <w:tc>
          <w:tcPr>
            <w:tcW w:w="1128" w:type="pct"/>
            <w:tcBorders>
              <w:top w:val="single" w:sz="4" w:space="0" w:color="00338D"/>
              <w:bottom w:val="single" w:sz="4" w:space="0" w:color="00338D"/>
            </w:tcBorders>
            <w:vAlign w:val="center"/>
          </w:tcPr>
          <w:p w14:paraId="287B2116" w14:textId="77777777" w:rsidR="002A6A78" w:rsidRDefault="002A6A78" w:rsidP="00F27C38">
            <w:pPr>
              <w:pStyle w:val="Tabletext"/>
              <w:jc w:val="right"/>
            </w:pPr>
            <w:r>
              <w:rPr>
                <w:rFonts w:cs="Calibri"/>
                <w:b/>
                <w:bCs/>
                <w:color w:val="000000"/>
                <w:szCs w:val="20"/>
              </w:rPr>
              <w:t>35.6%</w:t>
            </w:r>
          </w:p>
        </w:tc>
        <w:tc>
          <w:tcPr>
            <w:tcW w:w="1128" w:type="pct"/>
            <w:tcBorders>
              <w:top w:val="single" w:sz="4" w:space="0" w:color="00338D"/>
              <w:bottom w:val="single" w:sz="4" w:space="0" w:color="00338D"/>
            </w:tcBorders>
            <w:vAlign w:val="center"/>
          </w:tcPr>
          <w:p w14:paraId="16B10995" w14:textId="77777777" w:rsidR="002A6A78" w:rsidRDefault="002A6A78" w:rsidP="00F27C38">
            <w:pPr>
              <w:pStyle w:val="Tabletext"/>
              <w:jc w:val="right"/>
            </w:pPr>
            <w:r>
              <w:rPr>
                <w:rFonts w:cs="Calibri"/>
                <w:b/>
                <w:bCs/>
                <w:color w:val="000000"/>
                <w:szCs w:val="20"/>
              </w:rPr>
              <w:t>45.9%</w:t>
            </w:r>
          </w:p>
        </w:tc>
        <w:tc>
          <w:tcPr>
            <w:tcW w:w="1129" w:type="pct"/>
            <w:tcBorders>
              <w:top w:val="single" w:sz="4" w:space="0" w:color="00338D"/>
              <w:bottom w:val="single" w:sz="4" w:space="0" w:color="00338D"/>
            </w:tcBorders>
            <w:vAlign w:val="center"/>
          </w:tcPr>
          <w:p w14:paraId="20C962A3" w14:textId="77777777" w:rsidR="002A6A78" w:rsidRDefault="002A6A78" w:rsidP="00F27C38">
            <w:pPr>
              <w:pStyle w:val="Tabletext"/>
              <w:jc w:val="right"/>
            </w:pPr>
            <w:r>
              <w:rPr>
                <w:rFonts w:cs="Calibri"/>
                <w:b/>
                <w:bCs/>
                <w:color w:val="000000"/>
                <w:szCs w:val="20"/>
              </w:rPr>
              <w:t>28.7%</w:t>
            </w:r>
          </w:p>
        </w:tc>
      </w:tr>
      <w:tr w:rsidR="002A6A78" w14:paraId="181800AB" w14:textId="77777777" w:rsidTr="00F27C38">
        <w:tc>
          <w:tcPr>
            <w:tcW w:w="1615" w:type="pct"/>
            <w:tcBorders>
              <w:top w:val="single" w:sz="4" w:space="0" w:color="00338D"/>
              <w:bottom w:val="single" w:sz="4" w:space="0" w:color="00338D"/>
            </w:tcBorders>
            <w:vAlign w:val="center"/>
          </w:tcPr>
          <w:p w14:paraId="04F2BD6F" w14:textId="77777777" w:rsidR="002A6A78" w:rsidRPr="00D558FC" w:rsidRDefault="002A6A78" w:rsidP="00D558FC">
            <w:pPr>
              <w:pStyle w:val="Tabletext"/>
            </w:pPr>
            <w:r w:rsidRPr="00D558FC">
              <w:t>Maturity</w:t>
            </w:r>
          </w:p>
        </w:tc>
        <w:tc>
          <w:tcPr>
            <w:tcW w:w="1128" w:type="pct"/>
            <w:tcBorders>
              <w:top w:val="single" w:sz="4" w:space="0" w:color="00338D"/>
              <w:bottom w:val="single" w:sz="4" w:space="0" w:color="00338D"/>
            </w:tcBorders>
          </w:tcPr>
          <w:p w14:paraId="6F59EE3D" w14:textId="77777777" w:rsidR="002A6A78" w:rsidRPr="00C41171" w:rsidRDefault="002A6A78" w:rsidP="00F27C38">
            <w:pPr>
              <w:pStyle w:val="Tabletext"/>
              <w:jc w:val="right"/>
              <w:rPr>
                <w:i/>
                <w:iCs/>
              </w:rPr>
            </w:pPr>
            <w:r w:rsidRPr="00C41171">
              <w:rPr>
                <w:i/>
                <w:iCs/>
              </w:rPr>
              <w:t>1.3%</w:t>
            </w:r>
          </w:p>
        </w:tc>
        <w:tc>
          <w:tcPr>
            <w:tcW w:w="1128" w:type="pct"/>
            <w:tcBorders>
              <w:top w:val="single" w:sz="4" w:space="0" w:color="00338D"/>
              <w:bottom w:val="single" w:sz="4" w:space="0" w:color="00338D"/>
            </w:tcBorders>
          </w:tcPr>
          <w:p w14:paraId="68158CB9" w14:textId="77777777" w:rsidR="002A6A78" w:rsidRPr="00C41171" w:rsidRDefault="002A6A78" w:rsidP="00F27C38">
            <w:pPr>
              <w:pStyle w:val="Tabletext"/>
              <w:jc w:val="right"/>
              <w:rPr>
                <w:i/>
                <w:iCs/>
              </w:rPr>
            </w:pPr>
            <w:r w:rsidRPr="00C41171">
              <w:rPr>
                <w:i/>
                <w:iCs/>
              </w:rPr>
              <w:t>2.5%</w:t>
            </w:r>
          </w:p>
        </w:tc>
        <w:tc>
          <w:tcPr>
            <w:tcW w:w="1129" w:type="pct"/>
            <w:tcBorders>
              <w:top w:val="single" w:sz="4" w:space="0" w:color="00338D"/>
              <w:bottom w:val="single" w:sz="4" w:space="0" w:color="00338D"/>
            </w:tcBorders>
          </w:tcPr>
          <w:p w14:paraId="1DC48B12" w14:textId="77777777" w:rsidR="002A6A78" w:rsidRPr="00C41171" w:rsidRDefault="002A6A78" w:rsidP="00F27C38">
            <w:pPr>
              <w:pStyle w:val="Tabletext"/>
              <w:jc w:val="right"/>
              <w:rPr>
                <w:i/>
                <w:iCs/>
              </w:rPr>
            </w:pPr>
            <w:r w:rsidRPr="00C41171">
              <w:rPr>
                <w:i/>
                <w:iCs/>
              </w:rPr>
              <w:t>0.9%</w:t>
            </w:r>
          </w:p>
        </w:tc>
      </w:tr>
      <w:tr w:rsidR="002A6A78" w14:paraId="1C552DF8" w14:textId="77777777" w:rsidTr="00F27C38">
        <w:tc>
          <w:tcPr>
            <w:tcW w:w="1615" w:type="pct"/>
            <w:tcBorders>
              <w:top w:val="single" w:sz="4" w:space="0" w:color="00338D"/>
              <w:bottom w:val="single" w:sz="4" w:space="0" w:color="00338D"/>
            </w:tcBorders>
            <w:vAlign w:val="center"/>
          </w:tcPr>
          <w:p w14:paraId="6BDE4C67" w14:textId="77777777" w:rsidR="002A6A78" w:rsidRPr="00D558FC" w:rsidRDefault="002A6A78" w:rsidP="00D558FC">
            <w:pPr>
              <w:pStyle w:val="Tabletext"/>
            </w:pPr>
            <w:r w:rsidRPr="00D558FC">
              <w:t>Size</w:t>
            </w:r>
          </w:p>
        </w:tc>
        <w:tc>
          <w:tcPr>
            <w:tcW w:w="1128" w:type="pct"/>
            <w:tcBorders>
              <w:top w:val="single" w:sz="4" w:space="0" w:color="00338D"/>
              <w:bottom w:val="single" w:sz="4" w:space="0" w:color="00338D"/>
            </w:tcBorders>
          </w:tcPr>
          <w:p w14:paraId="4A25F2AB" w14:textId="77777777" w:rsidR="002A6A78" w:rsidRPr="00C41171" w:rsidRDefault="002A6A78" w:rsidP="00F27C38">
            <w:pPr>
              <w:pStyle w:val="Tabletext"/>
              <w:jc w:val="right"/>
              <w:rPr>
                <w:i/>
                <w:iCs/>
              </w:rPr>
            </w:pPr>
            <w:r w:rsidRPr="00C41171">
              <w:rPr>
                <w:i/>
                <w:iCs/>
              </w:rPr>
              <w:t>3.3%</w:t>
            </w:r>
          </w:p>
        </w:tc>
        <w:tc>
          <w:tcPr>
            <w:tcW w:w="1128" w:type="pct"/>
            <w:tcBorders>
              <w:top w:val="single" w:sz="4" w:space="0" w:color="00338D"/>
              <w:bottom w:val="single" w:sz="4" w:space="0" w:color="00338D"/>
            </w:tcBorders>
          </w:tcPr>
          <w:p w14:paraId="2CDB6FA7" w14:textId="77777777" w:rsidR="002A6A78" w:rsidRPr="00C41171" w:rsidRDefault="002A6A78" w:rsidP="00F27C38">
            <w:pPr>
              <w:pStyle w:val="Tabletext"/>
              <w:jc w:val="right"/>
              <w:rPr>
                <w:i/>
                <w:iCs/>
              </w:rPr>
            </w:pPr>
            <w:r w:rsidRPr="00C41171">
              <w:rPr>
                <w:i/>
                <w:iCs/>
              </w:rPr>
              <w:t>8.8%</w:t>
            </w:r>
          </w:p>
        </w:tc>
        <w:tc>
          <w:tcPr>
            <w:tcW w:w="1129" w:type="pct"/>
            <w:tcBorders>
              <w:top w:val="single" w:sz="4" w:space="0" w:color="00338D"/>
              <w:bottom w:val="single" w:sz="4" w:space="0" w:color="00338D"/>
            </w:tcBorders>
          </w:tcPr>
          <w:p w14:paraId="795711DC" w14:textId="77777777" w:rsidR="002A6A78" w:rsidRPr="00C41171" w:rsidRDefault="002A6A78" w:rsidP="00F27C38">
            <w:pPr>
              <w:pStyle w:val="Tabletext"/>
              <w:jc w:val="right"/>
              <w:rPr>
                <w:i/>
                <w:iCs/>
              </w:rPr>
            </w:pPr>
            <w:r w:rsidRPr="00C41171">
              <w:rPr>
                <w:i/>
                <w:iCs/>
              </w:rPr>
              <w:t>2.4%</w:t>
            </w:r>
          </w:p>
        </w:tc>
      </w:tr>
      <w:tr w:rsidR="002A6A78" w14:paraId="60F6821B" w14:textId="77777777" w:rsidTr="00F27C38">
        <w:tc>
          <w:tcPr>
            <w:tcW w:w="1615" w:type="pct"/>
            <w:tcBorders>
              <w:top w:val="single" w:sz="4" w:space="0" w:color="00338D"/>
              <w:bottom w:val="single" w:sz="4" w:space="0" w:color="00338D"/>
            </w:tcBorders>
            <w:vAlign w:val="center"/>
          </w:tcPr>
          <w:p w14:paraId="0AD13F1D" w14:textId="77777777" w:rsidR="002A6A78" w:rsidRPr="00D558FC" w:rsidRDefault="002A6A78" w:rsidP="00D558FC">
            <w:pPr>
              <w:pStyle w:val="Tabletext"/>
            </w:pPr>
            <w:r w:rsidRPr="00D558FC">
              <w:t>MBS funded</w:t>
            </w:r>
          </w:p>
        </w:tc>
        <w:tc>
          <w:tcPr>
            <w:tcW w:w="1128" w:type="pct"/>
            <w:tcBorders>
              <w:top w:val="single" w:sz="4" w:space="0" w:color="00338D"/>
              <w:bottom w:val="single" w:sz="4" w:space="0" w:color="00338D"/>
            </w:tcBorders>
          </w:tcPr>
          <w:p w14:paraId="186F01F8" w14:textId="77777777" w:rsidR="002A6A78" w:rsidRPr="00C41171" w:rsidRDefault="002A6A78" w:rsidP="00F27C38">
            <w:pPr>
              <w:pStyle w:val="Tabletext"/>
              <w:jc w:val="right"/>
              <w:rPr>
                <w:i/>
                <w:iCs/>
              </w:rPr>
            </w:pPr>
            <w:r w:rsidRPr="00C41171">
              <w:rPr>
                <w:i/>
                <w:iCs/>
              </w:rPr>
              <w:t>6.3%</w:t>
            </w:r>
          </w:p>
        </w:tc>
        <w:tc>
          <w:tcPr>
            <w:tcW w:w="1128" w:type="pct"/>
            <w:tcBorders>
              <w:top w:val="single" w:sz="4" w:space="0" w:color="00338D"/>
              <w:bottom w:val="single" w:sz="4" w:space="0" w:color="00338D"/>
            </w:tcBorders>
          </w:tcPr>
          <w:p w14:paraId="75AB570A" w14:textId="77777777" w:rsidR="002A6A78" w:rsidRPr="00C41171" w:rsidRDefault="002A6A78" w:rsidP="00F27C38">
            <w:pPr>
              <w:pStyle w:val="Tabletext"/>
              <w:jc w:val="right"/>
              <w:rPr>
                <w:i/>
                <w:iCs/>
              </w:rPr>
            </w:pPr>
            <w:r w:rsidRPr="00C41171">
              <w:rPr>
                <w:i/>
                <w:iCs/>
              </w:rPr>
              <w:t>22.5%</w:t>
            </w:r>
          </w:p>
        </w:tc>
        <w:tc>
          <w:tcPr>
            <w:tcW w:w="1129" w:type="pct"/>
            <w:tcBorders>
              <w:top w:val="single" w:sz="4" w:space="0" w:color="00338D"/>
              <w:bottom w:val="single" w:sz="4" w:space="0" w:color="00338D"/>
            </w:tcBorders>
          </w:tcPr>
          <w:p w14:paraId="49371391" w14:textId="77777777" w:rsidR="002A6A78" w:rsidRPr="00C41171" w:rsidRDefault="002A6A78" w:rsidP="00F27C38">
            <w:pPr>
              <w:pStyle w:val="Tabletext"/>
              <w:jc w:val="right"/>
              <w:rPr>
                <w:i/>
                <w:iCs/>
              </w:rPr>
            </w:pPr>
            <w:r w:rsidRPr="00C41171">
              <w:rPr>
                <w:i/>
                <w:iCs/>
              </w:rPr>
              <w:t>6.2%</w:t>
            </w:r>
          </w:p>
        </w:tc>
      </w:tr>
      <w:tr w:rsidR="002A6A78" w14:paraId="6D66A7DD" w14:textId="77777777" w:rsidTr="00F27C38">
        <w:tc>
          <w:tcPr>
            <w:tcW w:w="1615" w:type="pct"/>
            <w:tcBorders>
              <w:top w:val="single" w:sz="4" w:space="0" w:color="00338D"/>
              <w:bottom w:val="single" w:sz="4" w:space="0" w:color="00338D"/>
            </w:tcBorders>
            <w:vAlign w:val="center"/>
          </w:tcPr>
          <w:p w14:paraId="6BEA3D3E" w14:textId="147CF98F" w:rsidR="002A6A78" w:rsidRPr="00D558FC" w:rsidRDefault="002A6A78" w:rsidP="00D558FC">
            <w:pPr>
              <w:pStyle w:val="Tabletext"/>
            </w:pPr>
            <w:r w:rsidRPr="00D558FC">
              <w:t xml:space="preserve">Main service </w:t>
            </w:r>
            <w:r w:rsidR="009C028B" w:rsidRPr="00D558FC">
              <w:t>OOS</w:t>
            </w:r>
          </w:p>
        </w:tc>
        <w:tc>
          <w:tcPr>
            <w:tcW w:w="1128" w:type="pct"/>
            <w:tcBorders>
              <w:top w:val="single" w:sz="4" w:space="0" w:color="00338D"/>
              <w:bottom w:val="single" w:sz="4" w:space="0" w:color="00338D"/>
            </w:tcBorders>
          </w:tcPr>
          <w:p w14:paraId="143C61E5" w14:textId="77777777" w:rsidR="002A6A78" w:rsidRPr="00C41171" w:rsidRDefault="002A6A78" w:rsidP="00F27C38">
            <w:pPr>
              <w:pStyle w:val="Tabletext"/>
              <w:jc w:val="right"/>
              <w:rPr>
                <w:i/>
                <w:iCs/>
              </w:rPr>
            </w:pPr>
            <w:r w:rsidRPr="00C41171">
              <w:rPr>
                <w:i/>
                <w:iCs/>
              </w:rPr>
              <w:t>12.2%</w:t>
            </w:r>
          </w:p>
        </w:tc>
        <w:tc>
          <w:tcPr>
            <w:tcW w:w="1128" w:type="pct"/>
            <w:tcBorders>
              <w:top w:val="single" w:sz="4" w:space="0" w:color="00338D"/>
              <w:bottom w:val="single" w:sz="4" w:space="0" w:color="00338D"/>
            </w:tcBorders>
          </w:tcPr>
          <w:p w14:paraId="6B845718" w14:textId="77777777" w:rsidR="002A6A78" w:rsidRPr="00C41171" w:rsidRDefault="002A6A78" w:rsidP="00F27C38">
            <w:pPr>
              <w:pStyle w:val="Tabletext"/>
              <w:jc w:val="right"/>
              <w:rPr>
                <w:i/>
                <w:iCs/>
              </w:rPr>
            </w:pPr>
            <w:r w:rsidRPr="00C41171">
              <w:rPr>
                <w:i/>
                <w:iCs/>
              </w:rPr>
              <w:t>5.3%</w:t>
            </w:r>
          </w:p>
        </w:tc>
        <w:tc>
          <w:tcPr>
            <w:tcW w:w="1129" w:type="pct"/>
            <w:tcBorders>
              <w:top w:val="single" w:sz="4" w:space="0" w:color="00338D"/>
              <w:bottom w:val="single" w:sz="4" w:space="0" w:color="00338D"/>
            </w:tcBorders>
          </w:tcPr>
          <w:p w14:paraId="4F0E29CE" w14:textId="77777777" w:rsidR="002A6A78" w:rsidRPr="00C41171" w:rsidRDefault="002A6A78" w:rsidP="00F27C38">
            <w:pPr>
              <w:pStyle w:val="Tabletext"/>
              <w:jc w:val="right"/>
              <w:rPr>
                <w:i/>
                <w:iCs/>
              </w:rPr>
            </w:pPr>
            <w:r w:rsidRPr="00C41171">
              <w:rPr>
                <w:i/>
                <w:iCs/>
              </w:rPr>
              <w:t>5.1%</w:t>
            </w:r>
          </w:p>
        </w:tc>
      </w:tr>
      <w:tr w:rsidR="002A6A78" w14:paraId="16A925ED" w14:textId="77777777" w:rsidTr="00F27C38">
        <w:tc>
          <w:tcPr>
            <w:tcW w:w="1615" w:type="pct"/>
            <w:tcBorders>
              <w:top w:val="single" w:sz="4" w:space="0" w:color="00338D"/>
              <w:bottom w:val="single" w:sz="4" w:space="0" w:color="00338D"/>
            </w:tcBorders>
            <w:vAlign w:val="center"/>
          </w:tcPr>
          <w:p w14:paraId="1642B5EF" w14:textId="77777777" w:rsidR="002A6A78" w:rsidRPr="00D558FC" w:rsidRDefault="002A6A78" w:rsidP="00D558FC">
            <w:pPr>
              <w:pStyle w:val="Tabletext"/>
            </w:pPr>
            <w:r w:rsidRPr="00D558FC">
              <w:t>Lead agency type</w:t>
            </w:r>
          </w:p>
        </w:tc>
        <w:tc>
          <w:tcPr>
            <w:tcW w:w="1128" w:type="pct"/>
            <w:tcBorders>
              <w:top w:val="single" w:sz="4" w:space="0" w:color="00338D"/>
              <w:bottom w:val="single" w:sz="4" w:space="0" w:color="00338D"/>
            </w:tcBorders>
          </w:tcPr>
          <w:p w14:paraId="184A53FD" w14:textId="77777777" w:rsidR="002A6A78" w:rsidRPr="00C41171" w:rsidRDefault="002A6A78" w:rsidP="00F27C38">
            <w:pPr>
              <w:pStyle w:val="Tabletext"/>
              <w:jc w:val="right"/>
              <w:rPr>
                <w:i/>
                <w:iCs/>
              </w:rPr>
            </w:pPr>
            <w:r w:rsidRPr="00C41171">
              <w:rPr>
                <w:i/>
                <w:iCs/>
              </w:rPr>
              <w:t>3.9%</w:t>
            </w:r>
          </w:p>
        </w:tc>
        <w:tc>
          <w:tcPr>
            <w:tcW w:w="1128" w:type="pct"/>
            <w:tcBorders>
              <w:top w:val="single" w:sz="4" w:space="0" w:color="00338D"/>
              <w:bottom w:val="single" w:sz="4" w:space="0" w:color="00338D"/>
            </w:tcBorders>
          </w:tcPr>
          <w:p w14:paraId="7684D34B" w14:textId="77777777" w:rsidR="002A6A78" w:rsidRPr="00C41171" w:rsidRDefault="002A6A78" w:rsidP="00F27C38">
            <w:pPr>
              <w:pStyle w:val="Tabletext"/>
              <w:jc w:val="right"/>
              <w:rPr>
                <w:i/>
                <w:iCs/>
              </w:rPr>
            </w:pPr>
            <w:r w:rsidRPr="00C41171">
              <w:rPr>
                <w:i/>
                <w:iCs/>
              </w:rPr>
              <w:t>4.3%</w:t>
            </w:r>
          </w:p>
        </w:tc>
        <w:tc>
          <w:tcPr>
            <w:tcW w:w="1129" w:type="pct"/>
            <w:tcBorders>
              <w:top w:val="single" w:sz="4" w:space="0" w:color="00338D"/>
              <w:bottom w:val="single" w:sz="4" w:space="0" w:color="00338D"/>
            </w:tcBorders>
          </w:tcPr>
          <w:p w14:paraId="60AAE1E6" w14:textId="77777777" w:rsidR="002A6A78" w:rsidRPr="00C41171" w:rsidRDefault="002A6A78" w:rsidP="00F27C38">
            <w:pPr>
              <w:pStyle w:val="Tabletext"/>
              <w:jc w:val="right"/>
              <w:rPr>
                <w:i/>
                <w:iCs/>
              </w:rPr>
            </w:pPr>
            <w:r w:rsidRPr="00C41171">
              <w:rPr>
                <w:i/>
                <w:iCs/>
              </w:rPr>
              <w:t>4.2%</w:t>
            </w:r>
          </w:p>
        </w:tc>
      </w:tr>
      <w:tr w:rsidR="002A6A78" w14:paraId="27CAEF2C" w14:textId="77777777" w:rsidTr="00F27C38">
        <w:tc>
          <w:tcPr>
            <w:tcW w:w="1615" w:type="pct"/>
            <w:tcBorders>
              <w:top w:val="single" w:sz="4" w:space="0" w:color="00338D"/>
              <w:bottom w:val="single" w:sz="4" w:space="0" w:color="00338D"/>
            </w:tcBorders>
            <w:vAlign w:val="center"/>
          </w:tcPr>
          <w:p w14:paraId="7220A1C1" w14:textId="77777777" w:rsidR="002A6A78" w:rsidRPr="00D558FC" w:rsidRDefault="002A6A78" w:rsidP="00D558FC">
            <w:pPr>
              <w:pStyle w:val="Tabletext"/>
            </w:pPr>
            <w:r w:rsidRPr="00D558FC">
              <w:t>Service type</w:t>
            </w:r>
          </w:p>
        </w:tc>
        <w:tc>
          <w:tcPr>
            <w:tcW w:w="1128" w:type="pct"/>
            <w:tcBorders>
              <w:top w:val="single" w:sz="4" w:space="0" w:color="00338D"/>
              <w:bottom w:val="single" w:sz="4" w:space="0" w:color="00338D"/>
            </w:tcBorders>
          </w:tcPr>
          <w:p w14:paraId="68EA4CD7" w14:textId="77777777" w:rsidR="002A6A78" w:rsidRPr="00C41171" w:rsidRDefault="002A6A78" w:rsidP="00F27C38">
            <w:pPr>
              <w:pStyle w:val="Tabletext"/>
              <w:jc w:val="right"/>
              <w:rPr>
                <w:i/>
                <w:iCs/>
              </w:rPr>
            </w:pPr>
            <w:r w:rsidRPr="00C41171">
              <w:rPr>
                <w:i/>
                <w:iCs/>
              </w:rPr>
              <w:t>8.6%</w:t>
            </w:r>
          </w:p>
        </w:tc>
        <w:tc>
          <w:tcPr>
            <w:tcW w:w="1128" w:type="pct"/>
            <w:tcBorders>
              <w:top w:val="single" w:sz="4" w:space="0" w:color="00338D"/>
              <w:bottom w:val="single" w:sz="4" w:space="0" w:color="00338D"/>
            </w:tcBorders>
          </w:tcPr>
          <w:p w14:paraId="7F92CB50" w14:textId="77777777" w:rsidR="002A6A78" w:rsidRPr="00C41171" w:rsidRDefault="002A6A78" w:rsidP="00F27C38">
            <w:pPr>
              <w:pStyle w:val="Tabletext"/>
              <w:jc w:val="right"/>
              <w:rPr>
                <w:i/>
                <w:iCs/>
              </w:rPr>
            </w:pPr>
            <w:r w:rsidRPr="00C41171">
              <w:rPr>
                <w:i/>
                <w:iCs/>
              </w:rPr>
              <w:t>2.5%</w:t>
            </w:r>
          </w:p>
        </w:tc>
        <w:tc>
          <w:tcPr>
            <w:tcW w:w="1129" w:type="pct"/>
            <w:tcBorders>
              <w:top w:val="single" w:sz="4" w:space="0" w:color="00338D"/>
              <w:bottom w:val="single" w:sz="4" w:space="0" w:color="00338D"/>
            </w:tcBorders>
          </w:tcPr>
          <w:p w14:paraId="3D8EBBE4" w14:textId="77777777" w:rsidR="002A6A78" w:rsidRPr="00C41171" w:rsidRDefault="002A6A78" w:rsidP="00F27C38">
            <w:pPr>
              <w:pStyle w:val="Tabletext"/>
              <w:jc w:val="right"/>
              <w:rPr>
                <w:i/>
                <w:iCs/>
              </w:rPr>
            </w:pPr>
            <w:r w:rsidRPr="00C41171">
              <w:rPr>
                <w:i/>
                <w:iCs/>
              </w:rPr>
              <w:t>10.0%</w:t>
            </w:r>
          </w:p>
        </w:tc>
      </w:tr>
      <w:tr w:rsidR="002A6A78" w14:paraId="50736FED" w14:textId="77777777" w:rsidTr="00F27C38">
        <w:tc>
          <w:tcPr>
            <w:tcW w:w="1615" w:type="pct"/>
            <w:tcBorders>
              <w:top w:val="single" w:sz="4" w:space="0" w:color="00338D"/>
              <w:bottom w:val="single" w:sz="4" w:space="0" w:color="00338D"/>
            </w:tcBorders>
            <w:vAlign w:val="center"/>
          </w:tcPr>
          <w:p w14:paraId="2F46408E" w14:textId="77777777" w:rsidR="002A6A78" w:rsidRPr="00D558FC" w:rsidRDefault="002A6A78" w:rsidP="00D558FC">
            <w:pPr>
              <w:pStyle w:val="Tabletext"/>
              <w:rPr>
                <w:b/>
                <w:bCs/>
              </w:rPr>
            </w:pPr>
            <w:r w:rsidRPr="00D558FC">
              <w:rPr>
                <w:b/>
                <w:bCs/>
              </w:rPr>
              <w:t>Geographic factors</w:t>
            </w:r>
          </w:p>
        </w:tc>
        <w:tc>
          <w:tcPr>
            <w:tcW w:w="1128" w:type="pct"/>
            <w:tcBorders>
              <w:top w:val="single" w:sz="4" w:space="0" w:color="00338D"/>
              <w:bottom w:val="single" w:sz="4" w:space="0" w:color="00338D"/>
            </w:tcBorders>
          </w:tcPr>
          <w:p w14:paraId="35274BB2" w14:textId="77777777" w:rsidR="002A6A78" w:rsidRPr="009A7E59" w:rsidRDefault="002A6A78" w:rsidP="00F27C38">
            <w:pPr>
              <w:pStyle w:val="Tabletext"/>
              <w:jc w:val="right"/>
              <w:rPr>
                <w:b/>
                <w:bCs/>
              </w:rPr>
            </w:pPr>
            <w:r>
              <w:rPr>
                <w:b/>
                <w:bCs/>
              </w:rPr>
              <w:t>64.4%</w:t>
            </w:r>
          </w:p>
        </w:tc>
        <w:tc>
          <w:tcPr>
            <w:tcW w:w="1128" w:type="pct"/>
            <w:tcBorders>
              <w:top w:val="single" w:sz="4" w:space="0" w:color="00338D"/>
              <w:bottom w:val="single" w:sz="4" w:space="0" w:color="00338D"/>
            </w:tcBorders>
          </w:tcPr>
          <w:p w14:paraId="3F8FC9C6" w14:textId="77777777" w:rsidR="002A6A78" w:rsidRPr="009A7E59" w:rsidRDefault="002A6A78" w:rsidP="00F27C38">
            <w:pPr>
              <w:pStyle w:val="Tabletext"/>
              <w:jc w:val="right"/>
              <w:rPr>
                <w:b/>
                <w:bCs/>
              </w:rPr>
            </w:pPr>
            <w:r>
              <w:rPr>
                <w:b/>
                <w:bCs/>
              </w:rPr>
              <w:t>54.1%</w:t>
            </w:r>
          </w:p>
        </w:tc>
        <w:tc>
          <w:tcPr>
            <w:tcW w:w="1129" w:type="pct"/>
            <w:tcBorders>
              <w:top w:val="single" w:sz="4" w:space="0" w:color="00338D"/>
              <w:bottom w:val="single" w:sz="4" w:space="0" w:color="00338D"/>
            </w:tcBorders>
          </w:tcPr>
          <w:p w14:paraId="0A3C902B" w14:textId="77777777" w:rsidR="002A6A78" w:rsidRPr="009A7E59" w:rsidRDefault="002A6A78" w:rsidP="00F27C38">
            <w:pPr>
              <w:pStyle w:val="Tabletext"/>
              <w:jc w:val="right"/>
              <w:rPr>
                <w:b/>
                <w:bCs/>
              </w:rPr>
            </w:pPr>
            <w:r>
              <w:rPr>
                <w:b/>
                <w:bCs/>
              </w:rPr>
              <w:t>71.4%</w:t>
            </w:r>
          </w:p>
        </w:tc>
      </w:tr>
      <w:tr w:rsidR="002A6A78" w14:paraId="0EABB09C" w14:textId="77777777" w:rsidTr="00F27C38">
        <w:tc>
          <w:tcPr>
            <w:tcW w:w="1615" w:type="pct"/>
            <w:tcBorders>
              <w:top w:val="single" w:sz="4" w:space="0" w:color="00338D"/>
              <w:bottom w:val="single" w:sz="4" w:space="0" w:color="00338D"/>
            </w:tcBorders>
            <w:vAlign w:val="center"/>
          </w:tcPr>
          <w:p w14:paraId="7799BAAD" w14:textId="7CE8E01A" w:rsidR="002A6A78" w:rsidRPr="00D558FC" w:rsidRDefault="002A6A78" w:rsidP="00D558FC">
            <w:pPr>
              <w:pStyle w:val="Tabletext"/>
            </w:pPr>
            <w:r w:rsidRPr="00D558FC">
              <w:t xml:space="preserve"> State</w:t>
            </w:r>
            <w:r w:rsidR="002B0B62" w:rsidRPr="00D558FC">
              <w:t>/territory</w:t>
            </w:r>
            <w:r w:rsidRPr="00D558FC">
              <w:t xml:space="preserve"> factors</w:t>
            </w:r>
          </w:p>
        </w:tc>
        <w:tc>
          <w:tcPr>
            <w:tcW w:w="1128" w:type="pct"/>
            <w:tcBorders>
              <w:top w:val="single" w:sz="4" w:space="0" w:color="00338D"/>
              <w:bottom w:val="single" w:sz="4" w:space="0" w:color="00338D"/>
            </w:tcBorders>
          </w:tcPr>
          <w:p w14:paraId="5F9B680C" w14:textId="77777777" w:rsidR="002A6A78" w:rsidRPr="009A7E59" w:rsidRDefault="002A6A78" w:rsidP="00F27C38">
            <w:pPr>
              <w:pStyle w:val="Tabletext"/>
              <w:jc w:val="right"/>
              <w:rPr>
                <w:i/>
              </w:rPr>
            </w:pPr>
            <w:r w:rsidRPr="009A7E59">
              <w:rPr>
                <w:i/>
              </w:rPr>
              <w:t>53.1%</w:t>
            </w:r>
          </w:p>
        </w:tc>
        <w:tc>
          <w:tcPr>
            <w:tcW w:w="1128" w:type="pct"/>
            <w:tcBorders>
              <w:top w:val="single" w:sz="4" w:space="0" w:color="00338D"/>
              <w:bottom w:val="single" w:sz="4" w:space="0" w:color="00338D"/>
            </w:tcBorders>
          </w:tcPr>
          <w:p w14:paraId="67F36F18" w14:textId="77777777" w:rsidR="002A6A78" w:rsidRPr="009A7E59" w:rsidRDefault="002A6A78" w:rsidP="00F27C38">
            <w:pPr>
              <w:pStyle w:val="Tabletext"/>
              <w:jc w:val="right"/>
              <w:rPr>
                <w:i/>
              </w:rPr>
            </w:pPr>
            <w:r w:rsidRPr="009A7E59">
              <w:rPr>
                <w:i/>
              </w:rPr>
              <w:t>18.2%</w:t>
            </w:r>
          </w:p>
        </w:tc>
        <w:tc>
          <w:tcPr>
            <w:tcW w:w="1129" w:type="pct"/>
            <w:tcBorders>
              <w:top w:val="single" w:sz="4" w:space="0" w:color="00338D"/>
              <w:bottom w:val="single" w:sz="4" w:space="0" w:color="00338D"/>
            </w:tcBorders>
          </w:tcPr>
          <w:p w14:paraId="00F9EAA7" w14:textId="77777777" w:rsidR="002A6A78" w:rsidRPr="009A7E59" w:rsidRDefault="002A6A78" w:rsidP="00F27C38">
            <w:pPr>
              <w:pStyle w:val="Tabletext"/>
              <w:jc w:val="right"/>
              <w:rPr>
                <w:i/>
              </w:rPr>
            </w:pPr>
            <w:r w:rsidRPr="009A7E59">
              <w:rPr>
                <w:i/>
              </w:rPr>
              <w:t>50.9%</w:t>
            </w:r>
          </w:p>
        </w:tc>
      </w:tr>
      <w:tr w:rsidR="002A6A78" w14:paraId="28D1C5A1" w14:textId="77777777" w:rsidTr="00F27C38">
        <w:tc>
          <w:tcPr>
            <w:tcW w:w="1615" w:type="pct"/>
            <w:tcBorders>
              <w:top w:val="single" w:sz="4" w:space="0" w:color="00338D"/>
              <w:bottom w:val="single" w:sz="4" w:space="0" w:color="00338D"/>
            </w:tcBorders>
            <w:vAlign w:val="center"/>
          </w:tcPr>
          <w:p w14:paraId="6BA2FD07" w14:textId="77777777" w:rsidR="002A6A78" w:rsidRPr="00D558FC" w:rsidRDefault="002A6A78" w:rsidP="00D558FC">
            <w:pPr>
              <w:pStyle w:val="Tabletext"/>
            </w:pPr>
            <w:r w:rsidRPr="00D558FC">
              <w:t xml:space="preserve"> Regionality factors</w:t>
            </w:r>
          </w:p>
        </w:tc>
        <w:tc>
          <w:tcPr>
            <w:tcW w:w="1128" w:type="pct"/>
            <w:tcBorders>
              <w:top w:val="single" w:sz="4" w:space="0" w:color="00338D"/>
              <w:bottom w:val="single" w:sz="4" w:space="0" w:color="00338D"/>
            </w:tcBorders>
          </w:tcPr>
          <w:p w14:paraId="66D1EF43" w14:textId="77777777" w:rsidR="002A6A78" w:rsidRPr="009A7E59" w:rsidRDefault="002A6A78" w:rsidP="00F27C38">
            <w:pPr>
              <w:pStyle w:val="Tabletext"/>
              <w:jc w:val="right"/>
              <w:rPr>
                <w:i/>
              </w:rPr>
            </w:pPr>
            <w:r w:rsidRPr="009A7E59">
              <w:rPr>
                <w:i/>
              </w:rPr>
              <w:t>11.3%</w:t>
            </w:r>
          </w:p>
        </w:tc>
        <w:tc>
          <w:tcPr>
            <w:tcW w:w="1128" w:type="pct"/>
            <w:tcBorders>
              <w:top w:val="single" w:sz="4" w:space="0" w:color="00338D"/>
              <w:bottom w:val="single" w:sz="4" w:space="0" w:color="00338D"/>
            </w:tcBorders>
          </w:tcPr>
          <w:p w14:paraId="1ED4CD5C" w14:textId="77777777" w:rsidR="002A6A78" w:rsidRPr="009A7E59" w:rsidRDefault="002A6A78" w:rsidP="00F27C38">
            <w:pPr>
              <w:pStyle w:val="Tabletext"/>
              <w:jc w:val="right"/>
              <w:rPr>
                <w:i/>
              </w:rPr>
            </w:pPr>
            <w:r w:rsidRPr="009A7E59">
              <w:rPr>
                <w:i/>
              </w:rPr>
              <w:t>35.9%</w:t>
            </w:r>
          </w:p>
        </w:tc>
        <w:tc>
          <w:tcPr>
            <w:tcW w:w="1129" w:type="pct"/>
            <w:tcBorders>
              <w:top w:val="single" w:sz="4" w:space="0" w:color="00338D"/>
              <w:bottom w:val="single" w:sz="4" w:space="0" w:color="00338D"/>
            </w:tcBorders>
          </w:tcPr>
          <w:p w14:paraId="64D70B1A" w14:textId="77777777" w:rsidR="002A6A78" w:rsidRPr="009A7E59" w:rsidRDefault="002A6A78" w:rsidP="00F27C38">
            <w:pPr>
              <w:pStyle w:val="Tabletext"/>
              <w:jc w:val="right"/>
              <w:rPr>
                <w:i/>
              </w:rPr>
            </w:pPr>
            <w:r w:rsidRPr="009A7E59">
              <w:rPr>
                <w:i/>
              </w:rPr>
              <w:t>20.5%</w:t>
            </w:r>
          </w:p>
        </w:tc>
      </w:tr>
      <w:tr w:rsidR="002A6A78" w14:paraId="450A576B" w14:textId="77777777" w:rsidTr="00F27C38">
        <w:tc>
          <w:tcPr>
            <w:tcW w:w="1615" w:type="pct"/>
            <w:tcBorders>
              <w:top w:val="single" w:sz="4" w:space="0" w:color="00338D"/>
              <w:bottom w:val="single" w:sz="4" w:space="0" w:color="00338D"/>
            </w:tcBorders>
            <w:vAlign w:val="center"/>
          </w:tcPr>
          <w:p w14:paraId="12977B85" w14:textId="77777777" w:rsidR="002A6A78" w:rsidRPr="00C41171" w:rsidRDefault="002A6A78" w:rsidP="00F27C38">
            <w:pPr>
              <w:pStyle w:val="Tabletext"/>
              <w:rPr>
                <w:rFonts w:cs="Calibri"/>
                <w:b/>
                <w:bCs/>
                <w:color w:val="000000"/>
                <w:szCs w:val="20"/>
              </w:rPr>
            </w:pPr>
            <w:r>
              <w:rPr>
                <w:rFonts w:cs="Calibri"/>
                <w:b/>
                <w:bCs/>
                <w:color w:val="000000"/>
                <w:szCs w:val="20"/>
              </w:rPr>
              <w:t>Total</w:t>
            </w:r>
          </w:p>
        </w:tc>
        <w:tc>
          <w:tcPr>
            <w:tcW w:w="1128" w:type="pct"/>
            <w:tcBorders>
              <w:top w:val="single" w:sz="4" w:space="0" w:color="00338D"/>
              <w:bottom w:val="single" w:sz="4" w:space="0" w:color="00338D"/>
            </w:tcBorders>
          </w:tcPr>
          <w:p w14:paraId="586A6279" w14:textId="77777777" w:rsidR="002A6A78" w:rsidRPr="00C41171" w:rsidRDefault="002A6A78" w:rsidP="00F27C38">
            <w:pPr>
              <w:pStyle w:val="Tabletext"/>
              <w:jc w:val="right"/>
              <w:rPr>
                <w:b/>
                <w:bCs/>
              </w:rPr>
            </w:pPr>
            <w:r>
              <w:rPr>
                <w:b/>
                <w:bCs/>
              </w:rPr>
              <w:t>100%</w:t>
            </w:r>
          </w:p>
        </w:tc>
        <w:tc>
          <w:tcPr>
            <w:tcW w:w="1128" w:type="pct"/>
            <w:tcBorders>
              <w:top w:val="single" w:sz="4" w:space="0" w:color="00338D"/>
              <w:bottom w:val="single" w:sz="4" w:space="0" w:color="00338D"/>
            </w:tcBorders>
          </w:tcPr>
          <w:p w14:paraId="0450AEE7" w14:textId="77777777" w:rsidR="002A6A78" w:rsidRPr="00C41171" w:rsidRDefault="002A6A78" w:rsidP="00F27C38">
            <w:pPr>
              <w:pStyle w:val="Tabletext"/>
              <w:jc w:val="right"/>
              <w:rPr>
                <w:b/>
                <w:bCs/>
              </w:rPr>
            </w:pPr>
            <w:r w:rsidRPr="0001561A">
              <w:rPr>
                <w:b/>
                <w:bCs/>
              </w:rPr>
              <w:t>100%</w:t>
            </w:r>
          </w:p>
        </w:tc>
        <w:tc>
          <w:tcPr>
            <w:tcW w:w="1129" w:type="pct"/>
            <w:tcBorders>
              <w:top w:val="single" w:sz="4" w:space="0" w:color="00338D"/>
              <w:bottom w:val="single" w:sz="4" w:space="0" w:color="00338D"/>
            </w:tcBorders>
          </w:tcPr>
          <w:p w14:paraId="26527975" w14:textId="77777777" w:rsidR="002A6A78" w:rsidRPr="00C41171" w:rsidRDefault="002A6A78" w:rsidP="00F27C38">
            <w:pPr>
              <w:pStyle w:val="Tabletext"/>
              <w:jc w:val="right"/>
              <w:rPr>
                <w:b/>
                <w:bCs/>
              </w:rPr>
            </w:pPr>
            <w:r w:rsidRPr="0001561A">
              <w:rPr>
                <w:b/>
                <w:bCs/>
              </w:rPr>
              <w:t>100%</w:t>
            </w:r>
          </w:p>
        </w:tc>
      </w:tr>
    </w:tbl>
    <w:p w14:paraId="38C87C83" w14:textId="4BBF7709" w:rsidR="002A6A78" w:rsidRDefault="002A6A78" w:rsidP="002A6A78">
      <w:pPr>
        <w:pStyle w:val="Source"/>
      </w:pPr>
      <w:r w:rsidRPr="00624964">
        <w:t>Source: KPMG analysis of effectiveness analysis dataset with non-missing outcome measures – K10 analysis</w:t>
      </w:r>
      <w:r>
        <w:t>, SOFAS analysis and MLT analysis</w:t>
      </w:r>
    </w:p>
    <w:p w14:paraId="7E5D82DB" w14:textId="251A95B7" w:rsidR="002A6A78" w:rsidRPr="00DA67E6" w:rsidRDefault="002A6A78" w:rsidP="002A6A78">
      <w:pPr>
        <w:pStyle w:val="Source"/>
      </w:pPr>
      <w:r>
        <w:t xml:space="preserve">Notes: </w:t>
      </w:r>
      <w:r w:rsidRPr="00624964">
        <w:t xml:space="preserve">See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bookmarkStart w:id="357" w:name="_Ref93585723"/>
      <w:r w:rsidRPr="00624964">
        <w:t xml:space="preserve"> for detailed exclusion criteria. Number of episodes: 27,867</w:t>
      </w:r>
      <w:r>
        <w:t xml:space="preserve"> (K10), 30,351 (SOFAS) and 27,957 (MLT). </w:t>
      </w:r>
      <w:r>
        <w:rPr>
          <w:szCs w:val="16"/>
        </w:rPr>
        <w:t>Improvement</w:t>
      </w:r>
      <w:r w:rsidRPr="001E1EB4">
        <w:rPr>
          <w:szCs w:val="16"/>
        </w:rPr>
        <w:t xml:space="preserve"> is </w:t>
      </w:r>
      <w:r>
        <w:rPr>
          <w:szCs w:val="16"/>
        </w:rPr>
        <w:t>the difference between the last observed measure and the initially observed measure. Outcome measurements</w:t>
      </w:r>
      <w:r w:rsidRPr="00CF2E3E">
        <w:rPr>
          <w:szCs w:val="16"/>
        </w:rPr>
        <w:t xml:space="preserve"> have been adjusted for regression to the mean effects</w:t>
      </w:r>
      <w:r w:rsidRPr="00DA67E6">
        <w:rPr>
          <w:sz w:val="14"/>
        </w:rPr>
        <w:t>.</w:t>
      </w:r>
    </w:p>
    <w:p w14:paraId="64720085" w14:textId="77777777" w:rsidR="002A6A78" w:rsidRDefault="002A6A78" w:rsidP="00D558FC">
      <w:pPr>
        <w:pStyle w:val="AppendixHeading3"/>
      </w:pPr>
      <w:r>
        <w:t>Factors associated with above average services</w:t>
      </w:r>
    </w:p>
    <w:p w14:paraId="048ADCFD" w14:textId="77777777" w:rsidR="002A6A78" w:rsidRDefault="002A6A78" w:rsidP="002A6A78">
      <w:pPr>
        <w:pStyle w:val="BodyText"/>
      </w:pPr>
      <w:r>
        <w:t>From this quantitative analysis, there is little clear evidence of what factors are associated with above average services. Service size and maturity, type of lead agency, as well as geographic factors, were tested, however there were few consistent findings. There does appear to be relatively large variation in service outcomes by state, but these differences were typically not statistically significant, potentially due to the relatively small sample of services in the analysis.</w:t>
      </w:r>
    </w:p>
    <w:p w14:paraId="5E4C9440" w14:textId="21712B02" w:rsidR="002A6A78" w:rsidRPr="001D587F" w:rsidRDefault="002A6A78" w:rsidP="000244E4">
      <w:pPr>
        <w:pStyle w:val="BodyText"/>
        <w:rPr>
          <w:rStyle w:val="IntenseEmphasis"/>
          <w:i w:val="0"/>
          <w:color w:val="auto"/>
        </w:rPr>
      </w:pPr>
      <w:r w:rsidRPr="001D587F">
        <w:rPr>
          <w:rStyle w:val="IntenseEmphasis"/>
          <w:i w:val="0"/>
          <w:color w:val="auto"/>
        </w:rPr>
        <w:t>There were no clear factors associated with above average services</w:t>
      </w:r>
      <w:r w:rsidR="00A639F2" w:rsidRPr="001D587F">
        <w:rPr>
          <w:rStyle w:val="IntenseEmphasis"/>
          <w:i w:val="0"/>
          <w:color w:val="auto"/>
        </w:rPr>
        <w:t xml:space="preserve"> other than the proportion of </w:t>
      </w:r>
      <w:r w:rsidR="007B2863">
        <w:rPr>
          <w:rStyle w:val="IntenseEmphasis"/>
          <w:i w:val="0"/>
          <w:color w:val="auto"/>
        </w:rPr>
        <w:t>OOS</w:t>
      </w:r>
      <w:r w:rsidR="00A639F2" w:rsidRPr="001D587F">
        <w:rPr>
          <w:rStyle w:val="IntenseEmphasis"/>
          <w:i w:val="0"/>
          <w:color w:val="auto"/>
        </w:rPr>
        <w:t xml:space="preserve"> that are mental health services.</w:t>
      </w:r>
      <w:r w:rsidR="00184FD7" w:rsidRPr="001D587F">
        <w:rPr>
          <w:rStyle w:val="IntenseEmphasis"/>
          <w:i w:val="0"/>
          <w:color w:val="auto"/>
        </w:rPr>
        <w:t xml:space="preserve"> </w:t>
      </w:r>
    </w:p>
    <w:p w14:paraId="47197CC0" w14:textId="77777777" w:rsidR="002A6A78" w:rsidRPr="00536A44" w:rsidRDefault="002A6A78" w:rsidP="00A84B44">
      <w:pPr>
        <w:pStyle w:val="AppendixHeading2"/>
      </w:pPr>
      <w:bookmarkStart w:id="358" w:name="_Ref98010063"/>
      <w:r w:rsidRPr="00660D07">
        <w:rPr>
          <w:lang w:eastAsia="en-AU"/>
        </w:rPr>
        <w:t>To what extent are outcomes sustained over time?</w:t>
      </w:r>
      <w:bookmarkEnd w:id="358"/>
      <w:r w:rsidRPr="003C19B1">
        <w:t xml:space="preserve"> </w:t>
      </w:r>
    </w:p>
    <w:p w14:paraId="37D3AFF0" w14:textId="1597B637" w:rsidR="002A6A78" w:rsidRDefault="002A6A78" w:rsidP="002A6A78">
      <w:pPr>
        <w:pStyle w:val="BodyText"/>
      </w:pPr>
      <w:r>
        <w:t>To track outcomes over time, headspace sends a follow</w:t>
      </w:r>
      <w:r w:rsidR="00156585">
        <w:t xml:space="preserve"> </w:t>
      </w:r>
      <w:r>
        <w:t>up survey three months after an episode of care ends. Within the 2015</w:t>
      </w:r>
      <w:r w:rsidR="005B7501">
        <w:t>-16 to 2019</w:t>
      </w:r>
      <w:r>
        <w:t xml:space="preserve">-20 dataset (see </w:t>
      </w:r>
      <w:r w:rsidR="00D50D57">
        <w:fldChar w:fldCharType="begin" w:fldLock="1"/>
      </w:r>
      <w:r w:rsidR="00D50D57">
        <w:instrText xml:space="preserve"> REF _Ref98402466 \r \h </w:instrText>
      </w:r>
      <w:r w:rsidR="00D50D57">
        <w:fldChar w:fldCharType="separate"/>
      </w:r>
      <w:r w:rsidR="00AE4D34">
        <w:t>Appendix F</w:t>
      </w:r>
      <w:r w:rsidR="00D50D57">
        <w:fldChar w:fldCharType="end"/>
      </w:r>
      <w:r>
        <w:t xml:space="preserve"> for details), most of the surveys were collected within 100 days after the last occasion of service as shown in </w:t>
      </w:r>
      <w:r w:rsidR="00D50D57">
        <w:fldChar w:fldCharType="begin" w:fldLock="1"/>
      </w:r>
      <w:r w:rsidR="00D50D57">
        <w:instrText xml:space="preserve"> REF _Ref98506251 \h </w:instrText>
      </w:r>
      <w:r w:rsidR="00D50D57">
        <w:fldChar w:fldCharType="separate"/>
      </w:r>
      <w:r w:rsidR="000C245D">
        <w:t xml:space="preserve">Figure </w:t>
      </w:r>
      <w:r w:rsidR="000C245D">
        <w:rPr>
          <w:noProof/>
        </w:rPr>
        <w:t>69</w:t>
      </w:r>
      <w:r w:rsidR="00D50D57">
        <w:fldChar w:fldCharType="end"/>
      </w:r>
      <w:r>
        <w:t>. Only the K10 measure was available as an outcome measure in the follow</w:t>
      </w:r>
      <w:r w:rsidR="00156585">
        <w:t xml:space="preserve"> </w:t>
      </w:r>
      <w:r>
        <w:t>up survey</w:t>
      </w:r>
      <w:r w:rsidR="00CC0438">
        <w:rPr>
          <w:rFonts w:ascii="ZWAdobeF" w:hAnsi="ZWAdobeF" w:cs="ZWAdobeF"/>
          <w:sz w:val="2"/>
          <w:szCs w:val="2"/>
        </w:rPr>
        <w:t>228F</w:t>
      </w:r>
      <w:r>
        <w:rPr>
          <w:rStyle w:val="FootnoteReference"/>
        </w:rPr>
        <w:footnoteReference w:id="230"/>
      </w:r>
      <w:r w:rsidR="00FD7943">
        <w:t>.</w:t>
      </w:r>
    </w:p>
    <w:p w14:paraId="4F114A07" w14:textId="36833EE1" w:rsidR="002A6A78" w:rsidRPr="002D26C4" w:rsidRDefault="002A6A78" w:rsidP="002A6A78">
      <w:pPr>
        <w:pStyle w:val="Caption"/>
      </w:pPr>
      <w:bookmarkStart w:id="359" w:name="_Ref98506251"/>
      <w:bookmarkStart w:id="360" w:name="_Toc108109254"/>
      <w:r>
        <w:t xml:space="preserve">Figure </w:t>
      </w:r>
      <w:r>
        <w:fldChar w:fldCharType="begin"/>
      </w:r>
      <w:r>
        <w:instrText>SEQ Figure \* ARABIC</w:instrText>
      </w:r>
      <w:r>
        <w:fldChar w:fldCharType="separate"/>
      </w:r>
      <w:r w:rsidR="00CC0438">
        <w:rPr>
          <w:noProof/>
        </w:rPr>
        <w:t>69</w:t>
      </w:r>
      <w:r>
        <w:fldChar w:fldCharType="end"/>
      </w:r>
      <w:bookmarkEnd w:id="359"/>
      <w:r>
        <w:t>: Distribution of follow</w:t>
      </w:r>
      <w:r w:rsidR="00156585">
        <w:t xml:space="preserve"> </w:t>
      </w:r>
      <w:r>
        <w:t>up survey completion time</w:t>
      </w:r>
      <w:bookmarkEnd w:id="360"/>
    </w:p>
    <w:p w14:paraId="6551BF17" w14:textId="66B9CC8A" w:rsidR="002A6A78" w:rsidRPr="004C21C1" w:rsidRDefault="00751431" w:rsidP="003006A8">
      <w:pPr>
        <w:pStyle w:val="BodyText"/>
      </w:pPr>
      <w:r w:rsidRPr="00751431">
        <w:t xml:space="preserve"> </w:t>
      </w:r>
      <w:r w:rsidR="00007D0E">
        <w:rPr>
          <w:noProof/>
        </w:rPr>
        <w:drawing>
          <wp:inline distT="0" distB="0" distL="0" distR="0" wp14:anchorId="7EC2433C" wp14:editId="0A0E7E95">
            <wp:extent cx="5036820" cy="3238500"/>
            <wp:effectExtent l="0" t="0" r="0" b="0"/>
            <wp:docPr id="77" name="Picture 77" descr="Figure 69 summarises the distribution of when follow up surveys are completed by young people. &#10;3875 episodes had a follow up survey completed 80-90 days following the last occasion of service.&#10;8690 episodes had a follow up survey completed 90-100 days following the last occasion of service.&#10;1099 episodes had a follow up survey completed 100-110 days following the last occasion of service.&#10;717 episodes had a follow up survey completed 110-120 days following the last occasion of service.&#10;314 episodes had a follow up survey completed 120-130 days following the last occasion of service.&#10;262 episodes had a follow up survey completed 130-140 days following the last occasion of service.&#10;175 episodes had a follow up survey completed 140-150 days following the last occasion of service.&#10;116 episodes had a follow up survey completed 150-160 days following the last occasion of service.&#10;110 episodes had a follow up survey completed 160-170 days following the last occasion of serv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69 summarises the distribution of when follow up surveys are completed by young people. &#10;3875 episodes had a follow up survey completed 80-90 days following the last occasion of service.&#10;8690 episodes had a follow up survey completed 90-100 days following the last occasion of service.&#10;1099 episodes had a follow up survey completed 100-110 days following the last occasion of service.&#10;717 episodes had a follow up survey completed 110-120 days following the last occasion of service.&#10;314 episodes had a follow up survey completed 120-130 days following the last occasion of service.&#10;262 episodes had a follow up survey completed 130-140 days following the last occasion of service.&#10;175 episodes had a follow up survey completed 140-150 days following the last occasion of service.&#10;116 episodes had a follow up survey completed 150-160 days following the last occasion of service.&#10;110 episodes had a follow up survey completed 160-170 days following the last occasion of service.&#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36820" cy="3238500"/>
                    </a:xfrm>
                    <a:prstGeom prst="rect">
                      <a:avLst/>
                    </a:prstGeom>
                    <a:noFill/>
                    <a:ln>
                      <a:noFill/>
                    </a:ln>
                  </pic:spPr>
                </pic:pic>
              </a:graphicData>
            </a:graphic>
          </wp:inline>
        </w:drawing>
      </w:r>
    </w:p>
    <w:p w14:paraId="0C1CB950" w14:textId="331CF534" w:rsidR="002A6A78" w:rsidRPr="008B2185" w:rsidRDefault="002A6A78" w:rsidP="002A6A78">
      <w:pPr>
        <w:pStyle w:val="Source"/>
      </w:pPr>
      <w:r w:rsidRPr="00581D94">
        <w:t>Source: KPMG analysis of the follow</w:t>
      </w:r>
      <w:r w:rsidR="00156585">
        <w:t xml:space="preserve"> </w:t>
      </w:r>
      <w:r w:rsidRPr="00581D94">
        <w:t xml:space="preserve">up </w:t>
      </w:r>
      <w:r>
        <w:t>analysis dataset</w:t>
      </w:r>
      <w:r w:rsidRPr="00581D94">
        <w:t xml:space="preserve"> </w:t>
      </w:r>
    </w:p>
    <w:p w14:paraId="44FDF160" w14:textId="16FA0001" w:rsidR="002A6A78" w:rsidRPr="00B878DE" w:rsidRDefault="002A6A78" w:rsidP="002A6A78">
      <w:pPr>
        <w:pStyle w:val="Source"/>
      </w:pPr>
      <w:r>
        <w:t xml:space="preserve">Notes: </w:t>
      </w:r>
      <w:r w:rsidRPr="00624964">
        <w:t xml:space="preserve">See </w:t>
      </w:r>
      <w:r w:rsidR="00984A53">
        <w:fldChar w:fldCharType="begin" w:fldLock="1"/>
      </w:r>
      <w:r w:rsidR="00984A53">
        <w:instrText xml:space="preserve"> REF _Ref98402466 \r \h </w:instrText>
      </w:r>
      <w:r w:rsidR="00984A53">
        <w:fldChar w:fldCharType="separate"/>
      </w:r>
      <w:r w:rsidR="00AE4D34">
        <w:t>Appendix F</w:t>
      </w:r>
      <w:r w:rsidR="00984A53">
        <w:fldChar w:fldCharType="end"/>
      </w:r>
      <w:r w:rsidRPr="00624964">
        <w:t xml:space="preserve"> for detailed exclusion criteria. Number of episodes: </w:t>
      </w:r>
      <w:r w:rsidRPr="00581D94">
        <w:t>13,839</w:t>
      </w:r>
    </w:p>
    <w:p w14:paraId="5D21DC5F" w14:textId="6B5D33EA" w:rsidR="007F00F3" w:rsidRPr="007F00F3" w:rsidRDefault="002E6067" w:rsidP="007F00F3">
      <w:pPr>
        <w:pStyle w:val="BodyText"/>
      </w:pPr>
      <w:r>
        <w:fldChar w:fldCharType="begin" w:fldLock="1"/>
      </w:r>
      <w:r>
        <w:instrText xml:space="preserve"> REF _Ref97749738 \h </w:instrText>
      </w:r>
      <w:r>
        <w:fldChar w:fldCharType="separate"/>
      </w:r>
      <w:r w:rsidR="00F33476">
        <w:t xml:space="preserve">Table </w:t>
      </w:r>
      <w:r w:rsidR="00F33476">
        <w:rPr>
          <w:noProof/>
        </w:rPr>
        <w:t>74</w:t>
      </w:r>
      <w:r>
        <w:fldChar w:fldCharType="end"/>
      </w:r>
      <w:r w:rsidR="002A6A78">
        <w:t xml:space="preserve"> summarises the average K10 outcome measure observed during the start of an episode, the closure of an episode and the outcome recorded within the follow</w:t>
      </w:r>
      <w:r w:rsidR="00156585">
        <w:t xml:space="preserve"> </w:t>
      </w:r>
      <w:r w:rsidR="002A6A78">
        <w:t xml:space="preserve">up survey. Column six of </w:t>
      </w:r>
      <w:r>
        <w:fldChar w:fldCharType="begin" w:fldLock="1"/>
      </w:r>
      <w:r>
        <w:instrText xml:space="preserve"> REF _Ref97749738 \h </w:instrText>
      </w:r>
      <w:r>
        <w:fldChar w:fldCharType="separate"/>
      </w:r>
      <w:r w:rsidR="00F33476">
        <w:t xml:space="preserve">Table </w:t>
      </w:r>
      <w:r w:rsidR="00F33476">
        <w:rPr>
          <w:noProof/>
        </w:rPr>
        <w:t>74</w:t>
      </w:r>
      <w:r>
        <w:fldChar w:fldCharType="end"/>
      </w:r>
      <w:r w:rsidR="002A6A78">
        <w:t xml:space="preserve"> shows the observed differences in the K10 outcome measures between the final occasion and the follow</w:t>
      </w:r>
      <w:r w:rsidR="00156585">
        <w:t xml:space="preserve"> </w:t>
      </w:r>
      <w:r w:rsidR="002A6A78">
        <w:t xml:space="preserve">up. Young people continued to experience improvements three months post episode closure, implying a sustained treatment effect on young people’s mental health condition. </w:t>
      </w:r>
      <w:r>
        <w:fldChar w:fldCharType="begin" w:fldLock="1"/>
      </w:r>
      <w:r>
        <w:instrText xml:space="preserve"> REF _Ref97749738 \h </w:instrText>
      </w:r>
      <w:r>
        <w:fldChar w:fldCharType="separate"/>
      </w:r>
      <w:r w:rsidR="00F33476">
        <w:t xml:space="preserve">Table </w:t>
      </w:r>
      <w:r w:rsidR="00F33476">
        <w:rPr>
          <w:noProof/>
        </w:rPr>
        <w:t>74</w:t>
      </w:r>
      <w:r>
        <w:fldChar w:fldCharType="end"/>
      </w:r>
      <w:r w:rsidR="002A6A78">
        <w:t xml:space="preserve"> shows the improvement is lowest in recent years. This may be because recently created episodes would not have been closed by the end of the observational period. </w:t>
      </w:r>
    </w:p>
    <w:p w14:paraId="771002F2" w14:textId="5C403B9C" w:rsidR="002A6A78" w:rsidRDefault="002A6A78" w:rsidP="002A6A78">
      <w:pPr>
        <w:pStyle w:val="Caption"/>
      </w:pPr>
      <w:bookmarkStart w:id="361" w:name="_Ref97749738"/>
      <w:bookmarkStart w:id="362" w:name="_Toc108109024"/>
      <w:r>
        <w:t xml:space="preserve">Table </w:t>
      </w:r>
      <w:r>
        <w:fldChar w:fldCharType="begin"/>
      </w:r>
      <w:r>
        <w:instrText>SEQ Table \* ARABIC</w:instrText>
      </w:r>
      <w:r>
        <w:fldChar w:fldCharType="separate"/>
      </w:r>
      <w:r w:rsidR="00CC0438">
        <w:rPr>
          <w:noProof/>
        </w:rPr>
        <w:t>74</w:t>
      </w:r>
      <w:r>
        <w:fldChar w:fldCharType="end"/>
      </w:r>
      <w:bookmarkEnd w:id="361"/>
      <w:r>
        <w:t>: Average improvement in K10 outcome measures in young people completing the follow</w:t>
      </w:r>
      <w:r w:rsidR="00156585">
        <w:t xml:space="preserve"> </w:t>
      </w:r>
      <w:r>
        <w:t>up survey</w:t>
      </w:r>
      <w:bookmarkEnd w:id="362"/>
    </w:p>
    <w:tbl>
      <w:tblPr>
        <w:tblStyle w:val="TableGrid"/>
        <w:tblW w:w="49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verage improvement in K10 outcomes for young people completing the follow up survey"/>
        <w:tblDescription w:val="Table has 6 columns summarising the average K10 outcome measure observed for young people at the start of an episode of care, at the closure of the episode, and the outocoe recorded within he follow-up survey. Column 1 lists the years analysed. Column 2 lists the number of occasions of service received in the episode of care. Column 3 summarises the average score on intake. Column 4 summarises the average final measurement. Column 5 summarises the average score from the follow-up survey. Column 6 summarises the average improvement observed in young people between closure of the episode, and the follow-up survey.&#10;Each result also has the standard deviation presented in brackets.&#10;"/>
      </w:tblPr>
      <w:tblGrid>
        <w:gridCol w:w="1134"/>
        <w:gridCol w:w="850"/>
        <w:gridCol w:w="1422"/>
        <w:gridCol w:w="1416"/>
        <w:gridCol w:w="1556"/>
        <w:gridCol w:w="2552"/>
      </w:tblGrid>
      <w:tr w:rsidR="002A6A78" w:rsidRPr="00D65A2D" w14:paraId="7D8A7BE0" w14:textId="77777777" w:rsidTr="007E0FFE">
        <w:trPr>
          <w:trHeight w:val="838"/>
          <w:tblHeader/>
        </w:trPr>
        <w:tc>
          <w:tcPr>
            <w:tcW w:w="635" w:type="pct"/>
            <w:shd w:val="clear" w:color="auto" w:fill="00338D"/>
          </w:tcPr>
          <w:p w14:paraId="5112C26E" w14:textId="77777777" w:rsidR="002A6A78" w:rsidRDefault="00D77F80" w:rsidP="00F27C38">
            <w:pPr>
              <w:pStyle w:val="Tableheading"/>
            </w:pPr>
            <w:r>
              <w:t>Financial year</w:t>
            </w:r>
          </w:p>
          <w:p w14:paraId="3C4E0755" w14:textId="132BE2BB" w:rsidR="00175B67" w:rsidRDefault="00175B67" w:rsidP="00F27C38">
            <w:pPr>
              <w:pStyle w:val="Tableheading"/>
            </w:pPr>
            <w:r>
              <w:t>(1)</w:t>
            </w:r>
          </w:p>
        </w:tc>
        <w:tc>
          <w:tcPr>
            <w:tcW w:w="476" w:type="pct"/>
            <w:shd w:val="clear" w:color="auto" w:fill="00338D"/>
          </w:tcPr>
          <w:p w14:paraId="1904CE48" w14:textId="0859D137" w:rsidR="002A6A78" w:rsidRDefault="00175B67" w:rsidP="00F27C38">
            <w:pPr>
              <w:pStyle w:val="Tableheading"/>
              <w:jc w:val="center"/>
            </w:pPr>
            <w:r>
              <w:t>n</w:t>
            </w:r>
          </w:p>
          <w:p w14:paraId="187C26D1" w14:textId="4C7EAB87" w:rsidR="00175B67" w:rsidRDefault="00175B67" w:rsidP="00F27C38">
            <w:pPr>
              <w:pStyle w:val="Tableheading"/>
              <w:jc w:val="center"/>
            </w:pPr>
            <w:r>
              <w:t>(2)</w:t>
            </w:r>
          </w:p>
        </w:tc>
        <w:tc>
          <w:tcPr>
            <w:tcW w:w="796" w:type="pct"/>
            <w:shd w:val="clear" w:color="auto" w:fill="00338D"/>
          </w:tcPr>
          <w:p w14:paraId="5C7147BB" w14:textId="77777777" w:rsidR="002A6A78" w:rsidRDefault="002A6A78" w:rsidP="00F27C38">
            <w:pPr>
              <w:pStyle w:val="Tableheading"/>
              <w:jc w:val="center"/>
            </w:pPr>
            <w:r>
              <w:t>Average intake measure (SD)</w:t>
            </w:r>
          </w:p>
          <w:p w14:paraId="6DE9D8B8" w14:textId="1C5B69DA" w:rsidR="00175B67" w:rsidRDefault="00175B67" w:rsidP="00F27C38">
            <w:pPr>
              <w:pStyle w:val="Tableheading"/>
              <w:jc w:val="center"/>
            </w:pPr>
            <w:r>
              <w:t>(3)</w:t>
            </w:r>
          </w:p>
        </w:tc>
        <w:tc>
          <w:tcPr>
            <w:tcW w:w="793" w:type="pct"/>
            <w:shd w:val="clear" w:color="auto" w:fill="00338D"/>
          </w:tcPr>
          <w:p w14:paraId="505E5272" w14:textId="77777777" w:rsidR="002A6A78" w:rsidRDefault="002A6A78" w:rsidP="00F27C38">
            <w:pPr>
              <w:pStyle w:val="Tableheading"/>
              <w:jc w:val="center"/>
            </w:pPr>
            <w:r>
              <w:t>Average final measure (SD)</w:t>
            </w:r>
          </w:p>
          <w:p w14:paraId="3F2BFEE8" w14:textId="5C2CC609" w:rsidR="00175B67" w:rsidRPr="00D65A2D" w:rsidRDefault="00175B67" w:rsidP="00F27C38">
            <w:pPr>
              <w:pStyle w:val="Tableheading"/>
              <w:jc w:val="center"/>
            </w:pPr>
            <w:r>
              <w:t>(4)</w:t>
            </w:r>
          </w:p>
        </w:tc>
        <w:tc>
          <w:tcPr>
            <w:tcW w:w="871" w:type="pct"/>
            <w:shd w:val="clear" w:color="auto" w:fill="00338D"/>
          </w:tcPr>
          <w:p w14:paraId="6A739EB1" w14:textId="77777777" w:rsidR="002A6A78" w:rsidRDefault="002A6A78" w:rsidP="00F27C38">
            <w:pPr>
              <w:pStyle w:val="Tableheading"/>
              <w:jc w:val="center"/>
            </w:pPr>
            <w:r>
              <w:t>Average follow</w:t>
            </w:r>
            <w:r w:rsidR="00156585">
              <w:t xml:space="preserve"> </w:t>
            </w:r>
            <w:r>
              <w:t>up measure (SD)</w:t>
            </w:r>
          </w:p>
          <w:p w14:paraId="15DEF20F" w14:textId="1C1AEFAF" w:rsidR="002234E2" w:rsidRDefault="002234E2" w:rsidP="00F27C38">
            <w:pPr>
              <w:pStyle w:val="Tableheading"/>
              <w:jc w:val="center"/>
            </w:pPr>
            <w:r>
              <w:t>(5)</w:t>
            </w:r>
          </w:p>
        </w:tc>
        <w:tc>
          <w:tcPr>
            <w:tcW w:w="1429" w:type="pct"/>
            <w:shd w:val="clear" w:color="auto" w:fill="00338D"/>
          </w:tcPr>
          <w:p w14:paraId="07D3780A" w14:textId="77777777" w:rsidR="002A6A78" w:rsidRDefault="002A6A78" w:rsidP="00F27C38">
            <w:pPr>
              <w:pStyle w:val="Tableheading"/>
              <w:jc w:val="center"/>
            </w:pPr>
            <w:r>
              <w:t xml:space="preserve">Average improvement from closure – observed (SD) </w:t>
            </w:r>
          </w:p>
          <w:p w14:paraId="24F8F2E2" w14:textId="748FE3E0" w:rsidR="002234E2" w:rsidRDefault="002234E2" w:rsidP="00F27C38">
            <w:pPr>
              <w:pStyle w:val="Tableheading"/>
              <w:jc w:val="center"/>
            </w:pPr>
            <w:r>
              <w:t>(6)</w:t>
            </w:r>
          </w:p>
        </w:tc>
      </w:tr>
      <w:tr w:rsidR="007E0FFE" w14:paraId="5621A3C6" w14:textId="77777777" w:rsidTr="007E0FFE">
        <w:trPr>
          <w:trHeight w:val="328"/>
        </w:trPr>
        <w:tc>
          <w:tcPr>
            <w:tcW w:w="635" w:type="pct"/>
            <w:vMerge w:val="restart"/>
          </w:tcPr>
          <w:p w14:paraId="01BA22BF" w14:textId="77777777" w:rsidR="007E0FFE" w:rsidRDefault="007E0FFE" w:rsidP="00F27C38">
            <w:pPr>
              <w:pStyle w:val="Tabletext"/>
            </w:pPr>
            <w:r w:rsidRPr="00946338">
              <w:t>2016</w:t>
            </w:r>
          </w:p>
        </w:tc>
        <w:tc>
          <w:tcPr>
            <w:tcW w:w="476" w:type="pct"/>
            <w:vMerge w:val="restart"/>
          </w:tcPr>
          <w:p w14:paraId="5CD39D80" w14:textId="77777777" w:rsidR="007E0FFE" w:rsidRPr="0045336F" w:rsidDel="00E74A70" w:rsidRDefault="007E0FFE" w:rsidP="00F27C38">
            <w:pPr>
              <w:pStyle w:val="Tabletext"/>
              <w:jc w:val="center"/>
            </w:pPr>
            <w:r w:rsidRPr="00946338">
              <w:t xml:space="preserve"> 3,026 </w:t>
            </w:r>
          </w:p>
        </w:tc>
        <w:tc>
          <w:tcPr>
            <w:tcW w:w="796" w:type="pct"/>
          </w:tcPr>
          <w:p w14:paraId="3D4E2679" w14:textId="77777777" w:rsidR="007E0FFE" w:rsidRPr="0045336F" w:rsidDel="00E74A70" w:rsidRDefault="007E0FFE" w:rsidP="00F27C38">
            <w:pPr>
              <w:pStyle w:val="Tabletext"/>
              <w:jc w:val="center"/>
            </w:pPr>
            <w:r w:rsidRPr="00BD4C85">
              <w:t xml:space="preserve"> </w:t>
            </w:r>
            <w:r w:rsidRPr="00595D34">
              <w:t>29.</w:t>
            </w:r>
            <w:r w:rsidRPr="00BD4C85">
              <w:t xml:space="preserve">84 </w:t>
            </w:r>
          </w:p>
        </w:tc>
        <w:tc>
          <w:tcPr>
            <w:tcW w:w="793" w:type="pct"/>
          </w:tcPr>
          <w:p w14:paraId="7A26BACF" w14:textId="77777777" w:rsidR="007E0FFE" w:rsidRPr="005044A7" w:rsidRDefault="007E0FFE" w:rsidP="00F27C38">
            <w:pPr>
              <w:pStyle w:val="Tabletext"/>
              <w:jc w:val="center"/>
            </w:pPr>
            <w:r w:rsidRPr="00BD4C85">
              <w:t xml:space="preserve"> 26.60 </w:t>
            </w:r>
          </w:p>
        </w:tc>
        <w:tc>
          <w:tcPr>
            <w:tcW w:w="871" w:type="pct"/>
          </w:tcPr>
          <w:p w14:paraId="3AD982A6" w14:textId="77777777" w:rsidR="007E0FFE" w:rsidRDefault="007E0FFE" w:rsidP="00F27C38">
            <w:pPr>
              <w:pStyle w:val="Tabletext"/>
              <w:jc w:val="center"/>
            </w:pPr>
            <w:r w:rsidRPr="00BD4C85">
              <w:t xml:space="preserve"> 24.99 </w:t>
            </w:r>
          </w:p>
        </w:tc>
        <w:tc>
          <w:tcPr>
            <w:tcW w:w="1429" w:type="pct"/>
          </w:tcPr>
          <w:p w14:paraId="4575E010" w14:textId="77777777" w:rsidR="007E0FFE" w:rsidRDefault="007E0FFE" w:rsidP="00F27C38">
            <w:pPr>
              <w:pStyle w:val="Tabletext"/>
              <w:jc w:val="center"/>
            </w:pPr>
            <w:r w:rsidRPr="00001ABF">
              <w:t>-</w:t>
            </w:r>
            <w:r w:rsidRPr="003F7BB2">
              <w:t>1.61</w:t>
            </w:r>
            <w:r w:rsidRPr="00001ABF">
              <w:t xml:space="preserve"> </w:t>
            </w:r>
          </w:p>
        </w:tc>
      </w:tr>
      <w:tr w:rsidR="007E0FFE" w14:paraId="7DD4F5DF" w14:textId="77777777" w:rsidTr="007E0FFE">
        <w:trPr>
          <w:trHeight w:val="328"/>
        </w:trPr>
        <w:tc>
          <w:tcPr>
            <w:tcW w:w="635" w:type="pct"/>
            <w:vMerge/>
            <w:tcBorders>
              <w:bottom w:val="single" w:sz="4" w:space="0" w:color="auto"/>
            </w:tcBorders>
          </w:tcPr>
          <w:p w14:paraId="6394B43A" w14:textId="77777777" w:rsidR="007E0FFE" w:rsidRPr="00946338" w:rsidRDefault="007E0FFE" w:rsidP="00F27C38">
            <w:pPr>
              <w:pStyle w:val="Tabletext"/>
            </w:pPr>
          </w:p>
        </w:tc>
        <w:tc>
          <w:tcPr>
            <w:tcW w:w="476" w:type="pct"/>
            <w:vMerge/>
            <w:tcBorders>
              <w:bottom w:val="single" w:sz="4" w:space="0" w:color="auto"/>
            </w:tcBorders>
          </w:tcPr>
          <w:p w14:paraId="5AD2F1FB" w14:textId="77777777" w:rsidR="007E0FFE" w:rsidRPr="00946338" w:rsidRDefault="007E0FFE" w:rsidP="00F27C38">
            <w:pPr>
              <w:pStyle w:val="Tabletext"/>
              <w:jc w:val="center"/>
            </w:pPr>
          </w:p>
        </w:tc>
        <w:tc>
          <w:tcPr>
            <w:tcW w:w="796" w:type="pct"/>
            <w:tcBorders>
              <w:bottom w:val="single" w:sz="4" w:space="0" w:color="auto"/>
            </w:tcBorders>
          </w:tcPr>
          <w:p w14:paraId="699A0D03" w14:textId="77777777" w:rsidR="007E0FFE" w:rsidRPr="005C1F6A" w:rsidRDefault="007E0FFE" w:rsidP="00F27C38">
            <w:pPr>
              <w:pStyle w:val="Tabletext"/>
              <w:jc w:val="center"/>
            </w:pPr>
            <w:r w:rsidRPr="00BD4C85">
              <w:t>(8.32)</w:t>
            </w:r>
          </w:p>
        </w:tc>
        <w:tc>
          <w:tcPr>
            <w:tcW w:w="793" w:type="pct"/>
            <w:tcBorders>
              <w:bottom w:val="single" w:sz="4" w:space="0" w:color="auto"/>
            </w:tcBorders>
          </w:tcPr>
          <w:p w14:paraId="55F21C55" w14:textId="77777777" w:rsidR="007E0FFE" w:rsidRPr="005C1F6A" w:rsidRDefault="007E0FFE" w:rsidP="00F27C38">
            <w:pPr>
              <w:pStyle w:val="Tabletext"/>
              <w:jc w:val="center"/>
            </w:pPr>
            <w:r w:rsidRPr="00BD4C85">
              <w:t>(8.9)</w:t>
            </w:r>
          </w:p>
        </w:tc>
        <w:tc>
          <w:tcPr>
            <w:tcW w:w="871" w:type="pct"/>
            <w:tcBorders>
              <w:bottom w:val="single" w:sz="4" w:space="0" w:color="auto"/>
            </w:tcBorders>
          </w:tcPr>
          <w:p w14:paraId="4435C677" w14:textId="77777777" w:rsidR="007E0FFE" w:rsidRPr="005C1F6A" w:rsidRDefault="007E0FFE" w:rsidP="00F27C38">
            <w:pPr>
              <w:pStyle w:val="Tabletext"/>
              <w:jc w:val="center"/>
            </w:pPr>
            <w:r w:rsidRPr="00BD4C85">
              <w:t>(9.88)</w:t>
            </w:r>
          </w:p>
        </w:tc>
        <w:tc>
          <w:tcPr>
            <w:tcW w:w="1429" w:type="pct"/>
            <w:tcBorders>
              <w:bottom w:val="single" w:sz="4" w:space="0" w:color="auto"/>
            </w:tcBorders>
          </w:tcPr>
          <w:p w14:paraId="5E0B980C" w14:textId="77777777" w:rsidR="007E0FFE" w:rsidRDefault="007E0FFE" w:rsidP="00F27C38">
            <w:pPr>
              <w:pStyle w:val="Tabletext"/>
              <w:jc w:val="center"/>
            </w:pPr>
            <w:r w:rsidRPr="00001ABF">
              <w:t>(0.</w:t>
            </w:r>
            <w:r w:rsidRPr="003F7BB2">
              <w:t>24</w:t>
            </w:r>
            <w:r w:rsidRPr="00001ABF">
              <w:t>)</w:t>
            </w:r>
          </w:p>
        </w:tc>
      </w:tr>
      <w:tr w:rsidR="007E0FFE" w14:paraId="603EF578" w14:textId="77777777" w:rsidTr="007E0FFE">
        <w:trPr>
          <w:trHeight w:val="328"/>
        </w:trPr>
        <w:tc>
          <w:tcPr>
            <w:tcW w:w="635" w:type="pct"/>
            <w:vMerge w:val="restart"/>
            <w:tcBorders>
              <w:top w:val="single" w:sz="4" w:space="0" w:color="auto"/>
            </w:tcBorders>
          </w:tcPr>
          <w:p w14:paraId="6DE97354" w14:textId="77777777" w:rsidR="007E0FFE" w:rsidRDefault="007E0FFE" w:rsidP="00F27C38">
            <w:pPr>
              <w:pStyle w:val="Tabletext"/>
            </w:pPr>
            <w:r w:rsidRPr="00946338">
              <w:t>2017</w:t>
            </w:r>
          </w:p>
        </w:tc>
        <w:tc>
          <w:tcPr>
            <w:tcW w:w="476" w:type="pct"/>
            <w:vMerge w:val="restart"/>
            <w:tcBorders>
              <w:top w:val="single" w:sz="4" w:space="0" w:color="auto"/>
            </w:tcBorders>
          </w:tcPr>
          <w:p w14:paraId="2FFA5F84" w14:textId="77777777" w:rsidR="007E0FFE" w:rsidRPr="0045336F" w:rsidDel="00E74A70" w:rsidRDefault="007E0FFE" w:rsidP="00F27C38">
            <w:pPr>
              <w:pStyle w:val="Tabletext"/>
              <w:jc w:val="center"/>
            </w:pPr>
            <w:r w:rsidRPr="00946338">
              <w:t xml:space="preserve"> 3,447 </w:t>
            </w:r>
          </w:p>
        </w:tc>
        <w:tc>
          <w:tcPr>
            <w:tcW w:w="796" w:type="pct"/>
            <w:tcBorders>
              <w:top w:val="single" w:sz="4" w:space="0" w:color="auto"/>
            </w:tcBorders>
          </w:tcPr>
          <w:p w14:paraId="332F2A7D" w14:textId="77777777" w:rsidR="007E0FFE" w:rsidRPr="0045336F" w:rsidDel="00E74A70" w:rsidRDefault="007E0FFE" w:rsidP="00F27C38">
            <w:pPr>
              <w:pStyle w:val="Tabletext"/>
              <w:jc w:val="center"/>
            </w:pPr>
            <w:r w:rsidRPr="00BD4C85">
              <w:t xml:space="preserve"> </w:t>
            </w:r>
            <w:r w:rsidRPr="00595D34">
              <w:t>29.</w:t>
            </w:r>
            <w:r w:rsidRPr="00BD4C85">
              <w:t xml:space="preserve">70 </w:t>
            </w:r>
          </w:p>
        </w:tc>
        <w:tc>
          <w:tcPr>
            <w:tcW w:w="793" w:type="pct"/>
            <w:tcBorders>
              <w:top w:val="single" w:sz="4" w:space="0" w:color="auto"/>
            </w:tcBorders>
          </w:tcPr>
          <w:p w14:paraId="337DC797" w14:textId="77777777" w:rsidR="007E0FFE" w:rsidRPr="0045336F" w:rsidDel="00E74A70" w:rsidRDefault="007E0FFE" w:rsidP="00F27C38">
            <w:pPr>
              <w:pStyle w:val="Tabletext"/>
              <w:jc w:val="center"/>
            </w:pPr>
            <w:r w:rsidRPr="00BD4C85">
              <w:t xml:space="preserve"> 26.44 </w:t>
            </w:r>
          </w:p>
        </w:tc>
        <w:tc>
          <w:tcPr>
            <w:tcW w:w="871" w:type="pct"/>
            <w:tcBorders>
              <w:top w:val="single" w:sz="4" w:space="0" w:color="auto"/>
            </w:tcBorders>
          </w:tcPr>
          <w:p w14:paraId="7B5EBEF3" w14:textId="77777777" w:rsidR="007E0FFE" w:rsidRPr="0045336F" w:rsidDel="00E74A70" w:rsidRDefault="007E0FFE" w:rsidP="00F27C38">
            <w:pPr>
              <w:pStyle w:val="Tabletext"/>
              <w:jc w:val="center"/>
            </w:pPr>
            <w:r w:rsidRPr="00BD4C85">
              <w:t xml:space="preserve"> 25.07 </w:t>
            </w:r>
          </w:p>
        </w:tc>
        <w:tc>
          <w:tcPr>
            <w:tcW w:w="1429" w:type="pct"/>
            <w:tcBorders>
              <w:top w:val="single" w:sz="4" w:space="0" w:color="auto"/>
            </w:tcBorders>
          </w:tcPr>
          <w:p w14:paraId="7CD05AF9" w14:textId="77777777" w:rsidR="007E0FFE" w:rsidRPr="0045336F" w:rsidDel="00E74A70" w:rsidRDefault="007E0FFE" w:rsidP="00F27C38">
            <w:pPr>
              <w:pStyle w:val="Tabletext"/>
              <w:jc w:val="center"/>
            </w:pPr>
            <w:r w:rsidRPr="00454BCC">
              <w:t>-</w:t>
            </w:r>
            <w:r w:rsidRPr="003F7BB2">
              <w:t>1.37</w:t>
            </w:r>
            <w:r w:rsidRPr="00001ABF">
              <w:t xml:space="preserve"> </w:t>
            </w:r>
          </w:p>
        </w:tc>
      </w:tr>
      <w:tr w:rsidR="007E0FFE" w14:paraId="76BB69F4" w14:textId="77777777" w:rsidTr="007E0FFE">
        <w:trPr>
          <w:trHeight w:val="328"/>
        </w:trPr>
        <w:tc>
          <w:tcPr>
            <w:tcW w:w="635" w:type="pct"/>
            <w:vMerge/>
            <w:tcBorders>
              <w:bottom w:val="single" w:sz="4" w:space="0" w:color="auto"/>
            </w:tcBorders>
          </w:tcPr>
          <w:p w14:paraId="6A5BF5E7" w14:textId="77777777" w:rsidR="007E0FFE" w:rsidRPr="00946338" w:rsidRDefault="007E0FFE" w:rsidP="00F27C38">
            <w:pPr>
              <w:pStyle w:val="Tabletext"/>
            </w:pPr>
          </w:p>
        </w:tc>
        <w:tc>
          <w:tcPr>
            <w:tcW w:w="476" w:type="pct"/>
            <w:vMerge/>
            <w:tcBorders>
              <w:bottom w:val="single" w:sz="4" w:space="0" w:color="auto"/>
            </w:tcBorders>
          </w:tcPr>
          <w:p w14:paraId="64F57BAD" w14:textId="77777777" w:rsidR="007E0FFE" w:rsidRPr="00946338" w:rsidRDefault="007E0FFE" w:rsidP="00F27C38">
            <w:pPr>
              <w:pStyle w:val="Tabletext"/>
              <w:jc w:val="center"/>
            </w:pPr>
          </w:p>
        </w:tc>
        <w:tc>
          <w:tcPr>
            <w:tcW w:w="796" w:type="pct"/>
            <w:tcBorders>
              <w:bottom w:val="single" w:sz="4" w:space="0" w:color="auto"/>
            </w:tcBorders>
          </w:tcPr>
          <w:p w14:paraId="3896971B" w14:textId="77777777" w:rsidR="007E0FFE" w:rsidRPr="005C1F6A" w:rsidRDefault="007E0FFE" w:rsidP="00F27C38">
            <w:pPr>
              <w:pStyle w:val="Tabletext"/>
              <w:jc w:val="center"/>
            </w:pPr>
            <w:r w:rsidRPr="00BD4C85">
              <w:t>(8.29)</w:t>
            </w:r>
          </w:p>
        </w:tc>
        <w:tc>
          <w:tcPr>
            <w:tcW w:w="793" w:type="pct"/>
            <w:tcBorders>
              <w:bottom w:val="single" w:sz="4" w:space="0" w:color="auto"/>
            </w:tcBorders>
          </w:tcPr>
          <w:p w14:paraId="042FB8EF" w14:textId="77777777" w:rsidR="007E0FFE" w:rsidRPr="005C1F6A" w:rsidRDefault="007E0FFE" w:rsidP="00F27C38">
            <w:pPr>
              <w:pStyle w:val="Tabletext"/>
              <w:jc w:val="center"/>
            </w:pPr>
            <w:r w:rsidRPr="00BD4C85">
              <w:t>(9.01)</w:t>
            </w:r>
          </w:p>
        </w:tc>
        <w:tc>
          <w:tcPr>
            <w:tcW w:w="871" w:type="pct"/>
            <w:tcBorders>
              <w:bottom w:val="single" w:sz="4" w:space="0" w:color="auto"/>
            </w:tcBorders>
          </w:tcPr>
          <w:p w14:paraId="35D65F4C" w14:textId="77777777" w:rsidR="007E0FFE" w:rsidRPr="005C1F6A" w:rsidRDefault="007E0FFE" w:rsidP="00F27C38">
            <w:pPr>
              <w:pStyle w:val="Tabletext"/>
              <w:jc w:val="center"/>
            </w:pPr>
            <w:r w:rsidRPr="00BD4C85">
              <w:t>(9.86)</w:t>
            </w:r>
          </w:p>
        </w:tc>
        <w:tc>
          <w:tcPr>
            <w:tcW w:w="1429" w:type="pct"/>
            <w:tcBorders>
              <w:bottom w:val="single" w:sz="4" w:space="0" w:color="auto"/>
            </w:tcBorders>
          </w:tcPr>
          <w:p w14:paraId="7C12C278" w14:textId="77777777" w:rsidR="007E0FFE" w:rsidRPr="0045336F" w:rsidDel="00E74A70" w:rsidRDefault="007E0FFE" w:rsidP="00F27C38">
            <w:pPr>
              <w:pStyle w:val="Tabletext"/>
              <w:jc w:val="center"/>
            </w:pPr>
            <w:r w:rsidRPr="00001ABF">
              <w:t>(0.</w:t>
            </w:r>
            <w:r w:rsidRPr="003F7BB2">
              <w:t>23</w:t>
            </w:r>
            <w:r w:rsidRPr="00001ABF">
              <w:t>)</w:t>
            </w:r>
          </w:p>
        </w:tc>
      </w:tr>
      <w:tr w:rsidR="007E0FFE" w14:paraId="72791459" w14:textId="77777777" w:rsidTr="007E0FFE">
        <w:trPr>
          <w:trHeight w:val="328"/>
        </w:trPr>
        <w:tc>
          <w:tcPr>
            <w:tcW w:w="635" w:type="pct"/>
            <w:vMerge w:val="restart"/>
            <w:tcBorders>
              <w:top w:val="single" w:sz="4" w:space="0" w:color="auto"/>
            </w:tcBorders>
          </w:tcPr>
          <w:p w14:paraId="0EDCB94B" w14:textId="77777777" w:rsidR="007E0FFE" w:rsidRDefault="007E0FFE" w:rsidP="00F27C38">
            <w:pPr>
              <w:pStyle w:val="Tabletext"/>
            </w:pPr>
            <w:r w:rsidRPr="00946338">
              <w:t>2018</w:t>
            </w:r>
          </w:p>
        </w:tc>
        <w:tc>
          <w:tcPr>
            <w:tcW w:w="476" w:type="pct"/>
            <w:vMerge w:val="restart"/>
            <w:tcBorders>
              <w:top w:val="single" w:sz="4" w:space="0" w:color="auto"/>
            </w:tcBorders>
          </w:tcPr>
          <w:p w14:paraId="44BD2B44" w14:textId="77777777" w:rsidR="007E0FFE" w:rsidRPr="0045336F" w:rsidDel="00E74A70" w:rsidRDefault="007E0FFE" w:rsidP="00F27C38">
            <w:pPr>
              <w:pStyle w:val="Tabletext"/>
              <w:jc w:val="center"/>
            </w:pPr>
            <w:r w:rsidRPr="00946338">
              <w:t xml:space="preserve"> 3,892 </w:t>
            </w:r>
          </w:p>
        </w:tc>
        <w:tc>
          <w:tcPr>
            <w:tcW w:w="796" w:type="pct"/>
            <w:tcBorders>
              <w:top w:val="single" w:sz="4" w:space="0" w:color="auto"/>
            </w:tcBorders>
          </w:tcPr>
          <w:p w14:paraId="2831B24F" w14:textId="77777777" w:rsidR="007E0FFE" w:rsidRPr="0045336F" w:rsidDel="00E74A70" w:rsidRDefault="007E0FFE" w:rsidP="00F27C38">
            <w:pPr>
              <w:pStyle w:val="Tabletext"/>
              <w:jc w:val="center"/>
            </w:pPr>
            <w:r w:rsidRPr="00BD4C85">
              <w:t xml:space="preserve"> </w:t>
            </w:r>
            <w:r w:rsidRPr="00595D34">
              <w:t>29.</w:t>
            </w:r>
            <w:r w:rsidRPr="00BD4C85">
              <w:t xml:space="preserve">99 </w:t>
            </w:r>
          </w:p>
        </w:tc>
        <w:tc>
          <w:tcPr>
            <w:tcW w:w="793" w:type="pct"/>
            <w:tcBorders>
              <w:top w:val="single" w:sz="4" w:space="0" w:color="auto"/>
            </w:tcBorders>
          </w:tcPr>
          <w:p w14:paraId="15925C0A" w14:textId="77777777" w:rsidR="007E0FFE" w:rsidRPr="0045336F" w:rsidDel="00E74A70" w:rsidRDefault="007E0FFE" w:rsidP="00F27C38">
            <w:pPr>
              <w:pStyle w:val="Tabletext"/>
              <w:jc w:val="center"/>
            </w:pPr>
            <w:r w:rsidRPr="00BD4C85">
              <w:t xml:space="preserve"> </w:t>
            </w:r>
            <w:r w:rsidRPr="00A2186B">
              <w:t>26.</w:t>
            </w:r>
            <w:r w:rsidRPr="00BD4C85">
              <w:t xml:space="preserve">75 </w:t>
            </w:r>
          </w:p>
        </w:tc>
        <w:tc>
          <w:tcPr>
            <w:tcW w:w="871" w:type="pct"/>
            <w:tcBorders>
              <w:top w:val="single" w:sz="4" w:space="0" w:color="auto"/>
            </w:tcBorders>
          </w:tcPr>
          <w:p w14:paraId="2AE1AF38" w14:textId="77777777" w:rsidR="007E0FFE" w:rsidRPr="0045336F" w:rsidDel="00E74A70" w:rsidRDefault="007E0FFE" w:rsidP="00F27C38">
            <w:pPr>
              <w:pStyle w:val="Tabletext"/>
              <w:jc w:val="center"/>
            </w:pPr>
            <w:r w:rsidRPr="00BD4C85">
              <w:t xml:space="preserve"> 25.78 </w:t>
            </w:r>
          </w:p>
        </w:tc>
        <w:tc>
          <w:tcPr>
            <w:tcW w:w="1429" w:type="pct"/>
            <w:tcBorders>
              <w:top w:val="single" w:sz="4" w:space="0" w:color="auto"/>
            </w:tcBorders>
          </w:tcPr>
          <w:p w14:paraId="2F0BCB0A" w14:textId="77777777" w:rsidR="007E0FFE" w:rsidRPr="0045336F" w:rsidDel="00E74A70" w:rsidRDefault="007E0FFE" w:rsidP="00F27C38">
            <w:pPr>
              <w:pStyle w:val="Tabletext"/>
              <w:jc w:val="center"/>
            </w:pPr>
            <w:r w:rsidRPr="00001ABF">
              <w:t>-</w:t>
            </w:r>
            <w:r w:rsidRPr="003F7BB2">
              <w:t>0.97</w:t>
            </w:r>
            <w:r w:rsidRPr="00001ABF">
              <w:t xml:space="preserve"> </w:t>
            </w:r>
          </w:p>
        </w:tc>
      </w:tr>
      <w:tr w:rsidR="007E0FFE" w14:paraId="61F4A277" w14:textId="77777777" w:rsidTr="007E0FFE">
        <w:trPr>
          <w:trHeight w:val="328"/>
        </w:trPr>
        <w:tc>
          <w:tcPr>
            <w:tcW w:w="635" w:type="pct"/>
            <w:vMerge/>
            <w:tcBorders>
              <w:bottom w:val="single" w:sz="4" w:space="0" w:color="auto"/>
            </w:tcBorders>
          </w:tcPr>
          <w:p w14:paraId="2A0E92BE" w14:textId="77777777" w:rsidR="007E0FFE" w:rsidRPr="00946338" w:rsidRDefault="007E0FFE" w:rsidP="00F27C38">
            <w:pPr>
              <w:pStyle w:val="Tabletext"/>
            </w:pPr>
          </w:p>
        </w:tc>
        <w:tc>
          <w:tcPr>
            <w:tcW w:w="476" w:type="pct"/>
            <w:vMerge/>
            <w:tcBorders>
              <w:bottom w:val="single" w:sz="4" w:space="0" w:color="auto"/>
            </w:tcBorders>
          </w:tcPr>
          <w:p w14:paraId="0C2058F8" w14:textId="77777777" w:rsidR="007E0FFE" w:rsidRPr="00946338" w:rsidRDefault="007E0FFE" w:rsidP="00F27C38">
            <w:pPr>
              <w:pStyle w:val="Tabletext"/>
              <w:jc w:val="center"/>
            </w:pPr>
          </w:p>
        </w:tc>
        <w:tc>
          <w:tcPr>
            <w:tcW w:w="796" w:type="pct"/>
            <w:tcBorders>
              <w:bottom w:val="single" w:sz="4" w:space="0" w:color="auto"/>
            </w:tcBorders>
          </w:tcPr>
          <w:p w14:paraId="5001E2AE" w14:textId="77777777" w:rsidR="007E0FFE" w:rsidRPr="005C1F6A" w:rsidRDefault="007E0FFE" w:rsidP="00F27C38">
            <w:pPr>
              <w:pStyle w:val="Tabletext"/>
              <w:jc w:val="center"/>
            </w:pPr>
            <w:r w:rsidRPr="00BD4C85">
              <w:t>(8.32)</w:t>
            </w:r>
          </w:p>
        </w:tc>
        <w:tc>
          <w:tcPr>
            <w:tcW w:w="793" w:type="pct"/>
            <w:tcBorders>
              <w:bottom w:val="single" w:sz="4" w:space="0" w:color="auto"/>
            </w:tcBorders>
          </w:tcPr>
          <w:p w14:paraId="73621D13" w14:textId="77777777" w:rsidR="007E0FFE" w:rsidRPr="005C1F6A" w:rsidRDefault="007E0FFE" w:rsidP="00F27C38">
            <w:pPr>
              <w:pStyle w:val="Tabletext"/>
              <w:jc w:val="center"/>
            </w:pPr>
            <w:r w:rsidRPr="00BD4C85">
              <w:t>(8.83)</w:t>
            </w:r>
          </w:p>
        </w:tc>
        <w:tc>
          <w:tcPr>
            <w:tcW w:w="871" w:type="pct"/>
            <w:tcBorders>
              <w:bottom w:val="single" w:sz="4" w:space="0" w:color="auto"/>
            </w:tcBorders>
          </w:tcPr>
          <w:p w14:paraId="16026960" w14:textId="77777777" w:rsidR="007E0FFE" w:rsidRPr="005C1F6A" w:rsidRDefault="007E0FFE" w:rsidP="00F27C38">
            <w:pPr>
              <w:pStyle w:val="Tabletext"/>
              <w:jc w:val="center"/>
            </w:pPr>
            <w:r w:rsidRPr="00BD4C85">
              <w:t>(9.93)</w:t>
            </w:r>
          </w:p>
        </w:tc>
        <w:tc>
          <w:tcPr>
            <w:tcW w:w="1429" w:type="pct"/>
            <w:tcBorders>
              <w:bottom w:val="single" w:sz="4" w:space="0" w:color="auto"/>
            </w:tcBorders>
          </w:tcPr>
          <w:p w14:paraId="75914AEF" w14:textId="77777777" w:rsidR="007E0FFE" w:rsidRPr="0045336F" w:rsidDel="00E74A70" w:rsidRDefault="007E0FFE" w:rsidP="00F27C38">
            <w:pPr>
              <w:pStyle w:val="Tabletext"/>
              <w:jc w:val="center"/>
            </w:pPr>
            <w:r w:rsidRPr="00001ABF">
              <w:t>(0.21)</w:t>
            </w:r>
          </w:p>
        </w:tc>
      </w:tr>
      <w:tr w:rsidR="007E0FFE" w14:paraId="2AFF2D4F" w14:textId="77777777" w:rsidTr="007E0FFE">
        <w:trPr>
          <w:trHeight w:val="328"/>
        </w:trPr>
        <w:tc>
          <w:tcPr>
            <w:tcW w:w="635" w:type="pct"/>
            <w:vMerge w:val="restart"/>
            <w:tcBorders>
              <w:top w:val="single" w:sz="4" w:space="0" w:color="auto"/>
            </w:tcBorders>
          </w:tcPr>
          <w:p w14:paraId="0109A1F3" w14:textId="77777777" w:rsidR="007E0FFE" w:rsidRDefault="007E0FFE" w:rsidP="00F27C38">
            <w:pPr>
              <w:pStyle w:val="Tabletext"/>
            </w:pPr>
            <w:r w:rsidRPr="00946338">
              <w:t>2019</w:t>
            </w:r>
          </w:p>
        </w:tc>
        <w:tc>
          <w:tcPr>
            <w:tcW w:w="476" w:type="pct"/>
            <w:vMerge w:val="restart"/>
            <w:tcBorders>
              <w:top w:val="single" w:sz="4" w:space="0" w:color="auto"/>
            </w:tcBorders>
          </w:tcPr>
          <w:p w14:paraId="69969E46" w14:textId="77777777" w:rsidR="007E0FFE" w:rsidRPr="0045336F" w:rsidDel="00E74A70" w:rsidRDefault="007E0FFE" w:rsidP="00F27C38">
            <w:pPr>
              <w:pStyle w:val="Tabletext"/>
              <w:jc w:val="center"/>
            </w:pPr>
            <w:r w:rsidRPr="00946338">
              <w:t xml:space="preserve"> 1,845 </w:t>
            </w:r>
          </w:p>
        </w:tc>
        <w:tc>
          <w:tcPr>
            <w:tcW w:w="796" w:type="pct"/>
            <w:tcBorders>
              <w:top w:val="single" w:sz="4" w:space="0" w:color="auto"/>
            </w:tcBorders>
          </w:tcPr>
          <w:p w14:paraId="5242C9B5" w14:textId="77777777" w:rsidR="007E0FFE" w:rsidRPr="0045336F" w:rsidDel="00E74A70" w:rsidRDefault="007E0FFE" w:rsidP="00F27C38">
            <w:pPr>
              <w:pStyle w:val="Tabletext"/>
              <w:jc w:val="center"/>
            </w:pPr>
            <w:r w:rsidRPr="00BD4C85">
              <w:t xml:space="preserve"> 30.38 </w:t>
            </w:r>
          </w:p>
        </w:tc>
        <w:tc>
          <w:tcPr>
            <w:tcW w:w="793" w:type="pct"/>
            <w:tcBorders>
              <w:top w:val="single" w:sz="4" w:space="0" w:color="auto"/>
            </w:tcBorders>
          </w:tcPr>
          <w:p w14:paraId="674107BB" w14:textId="77777777" w:rsidR="007E0FFE" w:rsidRPr="0045336F" w:rsidDel="00E74A70" w:rsidRDefault="007E0FFE" w:rsidP="00F27C38">
            <w:pPr>
              <w:pStyle w:val="Tabletext"/>
              <w:jc w:val="center"/>
            </w:pPr>
            <w:r w:rsidRPr="00BD4C85">
              <w:t xml:space="preserve"> 27.51 </w:t>
            </w:r>
          </w:p>
        </w:tc>
        <w:tc>
          <w:tcPr>
            <w:tcW w:w="871" w:type="pct"/>
            <w:tcBorders>
              <w:top w:val="single" w:sz="4" w:space="0" w:color="auto"/>
            </w:tcBorders>
          </w:tcPr>
          <w:p w14:paraId="44D28F1D" w14:textId="77777777" w:rsidR="007E0FFE" w:rsidRPr="0045336F" w:rsidDel="00E74A70" w:rsidRDefault="007E0FFE" w:rsidP="00F27C38">
            <w:pPr>
              <w:pStyle w:val="Tabletext"/>
              <w:jc w:val="center"/>
            </w:pPr>
            <w:r w:rsidRPr="00BD4C85">
              <w:t xml:space="preserve"> 26.36 </w:t>
            </w:r>
          </w:p>
        </w:tc>
        <w:tc>
          <w:tcPr>
            <w:tcW w:w="1429" w:type="pct"/>
            <w:tcBorders>
              <w:top w:val="single" w:sz="4" w:space="0" w:color="auto"/>
            </w:tcBorders>
          </w:tcPr>
          <w:p w14:paraId="5CC920E1" w14:textId="77777777" w:rsidR="007E0FFE" w:rsidRPr="0045336F" w:rsidDel="00E74A70" w:rsidRDefault="007E0FFE" w:rsidP="00F27C38">
            <w:pPr>
              <w:pStyle w:val="Tabletext"/>
              <w:jc w:val="center"/>
            </w:pPr>
            <w:r w:rsidRPr="00001ABF">
              <w:t>-</w:t>
            </w:r>
            <w:r w:rsidRPr="003F7BB2">
              <w:t>1.15</w:t>
            </w:r>
            <w:r w:rsidRPr="00001ABF">
              <w:t xml:space="preserve"> </w:t>
            </w:r>
          </w:p>
        </w:tc>
      </w:tr>
      <w:tr w:rsidR="007E0FFE" w14:paraId="68AE69ED" w14:textId="77777777" w:rsidTr="007E0FFE">
        <w:trPr>
          <w:trHeight w:val="328"/>
        </w:trPr>
        <w:tc>
          <w:tcPr>
            <w:tcW w:w="635" w:type="pct"/>
            <w:vMerge/>
            <w:tcBorders>
              <w:bottom w:val="single" w:sz="4" w:space="0" w:color="auto"/>
            </w:tcBorders>
          </w:tcPr>
          <w:p w14:paraId="1A79F3D0" w14:textId="77777777" w:rsidR="007E0FFE" w:rsidRPr="00946338" w:rsidRDefault="007E0FFE" w:rsidP="00F27C38">
            <w:pPr>
              <w:pStyle w:val="Tabletext"/>
            </w:pPr>
          </w:p>
        </w:tc>
        <w:tc>
          <w:tcPr>
            <w:tcW w:w="476" w:type="pct"/>
            <w:vMerge/>
            <w:tcBorders>
              <w:bottom w:val="single" w:sz="4" w:space="0" w:color="auto"/>
            </w:tcBorders>
          </w:tcPr>
          <w:p w14:paraId="538B2A4F" w14:textId="77777777" w:rsidR="007E0FFE" w:rsidRPr="00946338" w:rsidRDefault="007E0FFE" w:rsidP="00F27C38">
            <w:pPr>
              <w:pStyle w:val="Tabletext"/>
              <w:jc w:val="center"/>
            </w:pPr>
          </w:p>
        </w:tc>
        <w:tc>
          <w:tcPr>
            <w:tcW w:w="796" w:type="pct"/>
            <w:tcBorders>
              <w:bottom w:val="single" w:sz="4" w:space="0" w:color="auto"/>
            </w:tcBorders>
          </w:tcPr>
          <w:p w14:paraId="1CE2F7EF" w14:textId="77777777" w:rsidR="007E0FFE" w:rsidRPr="005C1F6A" w:rsidRDefault="007E0FFE" w:rsidP="00F27C38">
            <w:pPr>
              <w:pStyle w:val="Tabletext"/>
              <w:jc w:val="center"/>
            </w:pPr>
            <w:r w:rsidRPr="00BD4C85">
              <w:t>(8.32)</w:t>
            </w:r>
          </w:p>
        </w:tc>
        <w:tc>
          <w:tcPr>
            <w:tcW w:w="793" w:type="pct"/>
            <w:tcBorders>
              <w:bottom w:val="single" w:sz="4" w:space="0" w:color="auto"/>
            </w:tcBorders>
          </w:tcPr>
          <w:p w14:paraId="4A4E607E" w14:textId="77777777" w:rsidR="007E0FFE" w:rsidRPr="005C1F6A" w:rsidRDefault="007E0FFE" w:rsidP="00F27C38">
            <w:pPr>
              <w:pStyle w:val="Tabletext"/>
              <w:jc w:val="center"/>
            </w:pPr>
            <w:r w:rsidRPr="00BD4C85">
              <w:t>(8.9)</w:t>
            </w:r>
          </w:p>
        </w:tc>
        <w:tc>
          <w:tcPr>
            <w:tcW w:w="871" w:type="pct"/>
            <w:tcBorders>
              <w:bottom w:val="single" w:sz="4" w:space="0" w:color="auto"/>
            </w:tcBorders>
          </w:tcPr>
          <w:p w14:paraId="3BD8A55B" w14:textId="77777777" w:rsidR="007E0FFE" w:rsidRPr="005C1F6A" w:rsidRDefault="007E0FFE" w:rsidP="00F27C38">
            <w:pPr>
              <w:pStyle w:val="Tabletext"/>
              <w:jc w:val="center"/>
            </w:pPr>
            <w:r w:rsidRPr="00BD4C85">
              <w:t>(9.81)</w:t>
            </w:r>
          </w:p>
        </w:tc>
        <w:tc>
          <w:tcPr>
            <w:tcW w:w="1429" w:type="pct"/>
            <w:tcBorders>
              <w:bottom w:val="single" w:sz="4" w:space="0" w:color="auto"/>
            </w:tcBorders>
          </w:tcPr>
          <w:p w14:paraId="014C56E6" w14:textId="77777777" w:rsidR="007E0FFE" w:rsidRPr="0045336F" w:rsidDel="00E74A70" w:rsidRDefault="007E0FFE" w:rsidP="00F27C38">
            <w:pPr>
              <w:pStyle w:val="Tabletext"/>
              <w:jc w:val="center"/>
            </w:pPr>
            <w:r w:rsidRPr="00001ABF">
              <w:t>(0.</w:t>
            </w:r>
            <w:r w:rsidRPr="003F7BB2">
              <w:t>31</w:t>
            </w:r>
            <w:r w:rsidRPr="00001ABF">
              <w:t>)</w:t>
            </w:r>
          </w:p>
        </w:tc>
      </w:tr>
      <w:tr w:rsidR="007E0FFE" w14:paraId="5BCEAB07" w14:textId="77777777" w:rsidTr="007E0FFE">
        <w:trPr>
          <w:trHeight w:val="328"/>
        </w:trPr>
        <w:tc>
          <w:tcPr>
            <w:tcW w:w="635" w:type="pct"/>
            <w:vMerge w:val="restart"/>
            <w:tcBorders>
              <w:top w:val="single" w:sz="4" w:space="0" w:color="auto"/>
            </w:tcBorders>
          </w:tcPr>
          <w:p w14:paraId="0622A808" w14:textId="77777777" w:rsidR="007E0FFE" w:rsidRDefault="007E0FFE" w:rsidP="00F27C38">
            <w:pPr>
              <w:pStyle w:val="Tabletext"/>
            </w:pPr>
            <w:r w:rsidRPr="00946338">
              <w:t>2020</w:t>
            </w:r>
          </w:p>
        </w:tc>
        <w:tc>
          <w:tcPr>
            <w:tcW w:w="476" w:type="pct"/>
            <w:vMerge w:val="restart"/>
            <w:tcBorders>
              <w:top w:val="single" w:sz="4" w:space="0" w:color="auto"/>
            </w:tcBorders>
          </w:tcPr>
          <w:p w14:paraId="7A94EE4E" w14:textId="77777777" w:rsidR="007E0FFE" w:rsidRPr="0045336F" w:rsidDel="00E74A70" w:rsidRDefault="007E0FFE" w:rsidP="00F27C38">
            <w:pPr>
              <w:pStyle w:val="Tabletext"/>
              <w:jc w:val="center"/>
            </w:pPr>
            <w:r w:rsidRPr="00946338">
              <w:t xml:space="preserve"> 1,629 </w:t>
            </w:r>
          </w:p>
        </w:tc>
        <w:tc>
          <w:tcPr>
            <w:tcW w:w="796" w:type="pct"/>
            <w:tcBorders>
              <w:top w:val="single" w:sz="4" w:space="0" w:color="auto"/>
            </w:tcBorders>
          </w:tcPr>
          <w:p w14:paraId="3E871767" w14:textId="77777777" w:rsidR="007E0FFE" w:rsidRPr="0045336F" w:rsidDel="00E74A70" w:rsidRDefault="007E0FFE" w:rsidP="00F27C38">
            <w:pPr>
              <w:pStyle w:val="Tabletext"/>
              <w:jc w:val="center"/>
            </w:pPr>
            <w:r w:rsidRPr="00BD4C85">
              <w:t xml:space="preserve"> 30.34 </w:t>
            </w:r>
          </w:p>
        </w:tc>
        <w:tc>
          <w:tcPr>
            <w:tcW w:w="793" w:type="pct"/>
            <w:tcBorders>
              <w:top w:val="single" w:sz="4" w:space="0" w:color="auto"/>
            </w:tcBorders>
          </w:tcPr>
          <w:p w14:paraId="5F99A800" w14:textId="77777777" w:rsidR="007E0FFE" w:rsidRPr="0045336F" w:rsidDel="00E74A70" w:rsidRDefault="007E0FFE" w:rsidP="00F27C38">
            <w:pPr>
              <w:pStyle w:val="Tabletext"/>
              <w:jc w:val="center"/>
            </w:pPr>
            <w:r w:rsidRPr="00BD4C85">
              <w:t xml:space="preserve"> </w:t>
            </w:r>
            <w:r w:rsidRPr="00A2186B">
              <w:t>27.</w:t>
            </w:r>
            <w:r w:rsidRPr="00BD4C85">
              <w:t xml:space="preserve">40 </w:t>
            </w:r>
          </w:p>
        </w:tc>
        <w:tc>
          <w:tcPr>
            <w:tcW w:w="871" w:type="pct"/>
            <w:tcBorders>
              <w:top w:val="single" w:sz="4" w:space="0" w:color="auto"/>
            </w:tcBorders>
          </w:tcPr>
          <w:p w14:paraId="24CF032F" w14:textId="77777777" w:rsidR="007E0FFE" w:rsidRPr="0045336F" w:rsidDel="00E74A70" w:rsidRDefault="007E0FFE" w:rsidP="00F27C38">
            <w:pPr>
              <w:pStyle w:val="Tabletext"/>
              <w:jc w:val="center"/>
            </w:pPr>
            <w:r w:rsidRPr="00BD4C85">
              <w:t xml:space="preserve"> 26.26 </w:t>
            </w:r>
          </w:p>
        </w:tc>
        <w:tc>
          <w:tcPr>
            <w:tcW w:w="1429" w:type="pct"/>
            <w:tcBorders>
              <w:top w:val="single" w:sz="4" w:space="0" w:color="auto"/>
            </w:tcBorders>
          </w:tcPr>
          <w:p w14:paraId="34B9ED3A" w14:textId="77777777" w:rsidR="007E0FFE" w:rsidRPr="0045336F" w:rsidDel="00E74A70" w:rsidRDefault="007E0FFE" w:rsidP="00F27C38">
            <w:pPr>
              <w:pStyle w:val="Tabletext"/>
              <w:jc w:val="center"/>
            </w:pPr>
            <w:r w:rsidRPr="00001ABF">
              <w:t>-</w:t>
            </w:r>
            <w:r w:rsidRPr="003F7BB2">
              <w:t>1.13</w:t>
            </w:r>
            <w:r w:rsidRPr="00001ABF">
              <w:t xml:space="preserve"> </w:t>
            </w:r>
          </w:p>
        </w:tc>
      </w:tr>
      <w:tr w:rsidR="007E0FFE" w14:paraId="46CC9216" w14:textId="77777777" w:rsidTr="007E0FFE">
        <w:trPr>
          <w:trHeight w:val="328"/>
        </w:trPr>
        <w:tc>
          <w:tcPr>
            <w:tcW w:w="635" w:type="pct"/>
            <w:vMerge/>
            <w:tcBorders>
              <w:bottom w:val="single" w:sz="4" w:space="0" w:color="auto"/>
            </w:tcBorders>
          </w:tcPr>
          <w:p w14:paraId="22840708" w14:textId="77777777" w:rsidR="007E0FFE" w:rsidRPr="00946338" w:rsidRDefault="007E0FFE" w:rsidP="00F27C38">
            <w:pPr>
              <w:pStyle w:val="Tabletext"/>
            </w:pPr>
          </w:p>
        </w:tc>
        <w:tc>
          <w:tcPr>
            <w:tcW w:w="476" w:type="pct"/>
            <w:vMerge/>
            <w:tcBorders>
              <w:bottom w:val="single" w:sz="4" w:space="0" w:color="auto"/>
            </w:tcBorders>
          </w:tcPr>
          <w:p w14:paraId="3E0E8F6E" w14:textId="77777777" w:rsidR="007E0FFE" w:rsidRPr="00946338" w:rsidRDefault="007E0FFE" w:rsidP="00F27C38">
            <w:pPr>
              <w:pStyle w:val="Tabletext"/>
              <w:jc w:val="center"/>
            </w:pPr>
          </w:p>
        </w:tc>
        <w:tc>
          <w:tcPr>
            <w:tcW w:w="796" w:type="pct"/>
            <w:tcBorders>
              <w:bottom w:val="single" w:sz="4" w:space="0" w:color="auto"/>
            </w:tcBorders>
          </w:tcPr>
          <w:p w14:paraId="4FA13A6A" w14:textId="77777777" w:rsidR="007E0FFE" w:rsidRPr="005C1F6A" w:rsidRDefault="007E0FFE" w:rsidP="00F27C38">
            <w:pPr>
              <w:pStyle w:val="Tabletext"/>
              <w:jc w:val="center"/>
            </w:pPr>
            <w:r w:rsidRPr="00BD4C85">
              <w:t>(7.64)</w:t>
            </w:r>
          </w:p>
        </w:tc>
        <w:tc>
          <w:tcPr>
            <w:tcW w:w="793" w:type="pct"/>
            <w:tcBorders>
              <w:bottom w:val="single" w:sz="4" w:space="0" w:color="auto"/>
            </w:tcBorders>
          </w:tcPr>
          <w:p w14:paraId="774ACAF9" w14:textId="77777777" w:rsidR="007E0FFE" w:rsidRPr="005C1F6A" w:rsidRDefault="007E0FFE" w:rsidP="00F27C38">
            <w:pPr>
              <w:pStyle w:val="Tabletext"/>
              <w:jc w:val="center"/>
            </w:pPr>
            <w:r w:rsidRPr="00BD4C85">
              <w:t>(8.64)</w:t>
            </w:r>
          </w:p>
        </w:tc>
        <w:tc>
          <w:tcPr>
            <w:tcW w:w="871" w:type="pct"/>
            <w:tcBorders>
              <w:bottom w:val="single" w:sz="4" w:space="0" w:color="auto"/>
            </w:tcBorders>
          </w:tcPr>
          <w:p w14:paraId="0B59A3D4" w14:textId="77777777" w:rsidR="007E0FFE" w:rsidRPr="005C1F6A" w:rsidRDefault="007E0FFE" w:rsidP="00F27C38">
            <w:pPr>
              <w:pStyle w:val="Tabletext"/>
              <w:jc w:val="center"/>
            </w:pPr>
            <w:r w:rsidRPr="00BD4C85">
              <w:t>(9.12)</w:t>
            </w:r>
          </w:p>
        </w:tc>
        <w:tc>
          <w:tcPr>
            <w:tcW w:w="1429" w:type="pct"/>
            <w:tcBorders>
              <w:bottom w:val="single" w:sz="4" w:space="0" w:color="auto"/>
            </w:tcBorders>
          </w:tcPr>
          <w:p w14:paraId="08EEA8C0" w14:textId="77777777" w:rsidR="007E0FFE" w:rsidRPr="0045336F" w:rsidDel="00E74A70" w:rsidRDefault="007E0FFE" w:rsidP="00F27C38">
            <w:pPr>
              <w:pStyle w:val="Tabletext"/>
              <w:jc w:val="center"/>
            </w:pPr>
            <w:r w:rsidRPr="00001ABF">
              <w:t>(0.</w:t>
            </w:r>
            <w:r w:rsidRPr="003F7BB2">
              <w:t>31</w:t>
            </w:r>
            <w:r w:rsidRPr="00001ABF">
              <w:t>)</w:t>
            </w:r>
          </w:p>
        </w:tc>
      </w:tr>
    </w:tbl>
    <w:p w14:paraId="310D22A5" w14:textId="34D85279" w:rsidR="002A6A78" w:rsidRPr="002E1A77" w:rsidRDefault="002A6A78" w:rsidP="007E0FFE">
      <w:pPr>
        <w:pStyle w:val="Source"/>
      </w:pPr>
      <w:r w:rsidRPr="00055013">
        <w:t>Source: KPMG analysi</w:t>
      </w:r>
      <w:r w:rsidRPr="009F2EC6">
        <w:t>s of the follow</w:t>
      </w:r>
      <w:r w:rsidR="00156585">
        <w:t xml:space="preserve"> </w:t>
      </w:r>
      <w:r w:rsidRPr="009F2EC6">
        <w:t>up</w:t>
      </w:r>
      <w:r w:rsidRPr="000E2826">
        <w:t xml:space="preserve"> analysis dataset</w:t>
      </w:r>
      <w:r w:rsidRPr="002E1A77">
        <w:t xml:space="preserve"> </w:t>
      </w:r>
    </w:p>
    <w:p w14:paraId="5FF6E6CF" w14:textId="69E0C51F" w:rsidR="002A6A78" w:rsidRPr="00055013" w:rsidRDefault="002A6A78" w:rsidP="007E0FFE">
      <w:pPr>
        <w:pStyle w:val="Source"/>
      </w:pPr>
      <w:r w:rsidRPr="00E83942">
        <w:t xml:space="preserve">Notes: See </w:t>
      </w:r>
      <w:r w:rsidR="004C42A9" w:rsidRPr="004C42A9">
        <w:fldChar w:fldCharType="begin" w:fldLock="1"/>
      </w:r>
      <w:r w:rsidR="004C42A9" w:rsidRPr="004C42A9">
        <w:instrText xml:space="preserve"> REF _Ref98402466 \r \h </w:instrText>
      </w:r>
      <w:r w:rsidR="004C42A9">
        <w:instrText xml:space="preserve"> \* MERGEFORMAT </w:instrText>
      </w:r>
      <w:r w:rsidR="004C42A9" w:rsidRPr="004C42A9">
        <w:fldChar w:fldCharType="separate"/>
      </w:r>
      <w:r w:rsidR="00AE4D34">
        <w:t>Appendix F</w:t>
      </w:r>
      <w:r w:rsidR="004C42A9" w:rsidRPr="004C42A9">
        <w:fldChar w:fldCharType="end"/>
      </w:r>
      <w:r w:rsidRPr="00E83942">
        <w:t xml:space="preserve"> for detailed exclusion criteria. Number of episodes: 13,839</w:t>
      </w:r>
      <w:r w:rsidRPr="00055013">
        <w:t xml:space="preserve">. </w:t>
      </w:r>
      <w:r w:rsidRPr="009F2EC6">
        <w:t>Col</w:t>
      </w:r>
      <w:r w:rsidRPr="000E2826">
        <w:t xml:space="preserve">umn </w:t>
      </w:r>
      <w:r w:rsidRPr="002E1A77">
        <w:t>six represents</w:t>
      </w:r>
      <w:r w:rsidRPr="00444541">
        <w:t xml:space="preserve"> the </w:t>
      </w:r>
      <w:r w:rsidRPr="00055013">
        <w:t>observed difference between the follow</w:t>
      </w:r>
      <w:r w:rsidR="00156585">
        <w:t xml:space="preserve"> </w:t>
      </w:r>
      <w:r w:rsidRPr="00055013">
        <w:t xml:space="preserve">up K10 and the final K10 </w:t>
      </w:r>
      <w:r>
        <w:t>outcome measures</w:t>
      </w:r>
      <w:r w:rsidRPr="00055013">
        <w:t xml:space="preserve">. A negative change indicates better mental health outcomes. SD: Standard deviation. </w:t>
      </w:r>
    </w:p>
    <w:p w14:paraId="1E018F5C" w14:textId="78360F9A" w:rsidR="002A6A78" w:rsidRDefault="002A6A78" w:rsidP="002A6A78">
      <w:pPr>
        <w:pStyle w:val="BodyText"/>
      </w:pPr>
      <w:r>
        <w:t xml:space="preserve">A limitation of the survey is the low response rate. </w:t>
      </w:r>
      <w:r w:rsidR="002E6067">
        <w:fldChar w:fldCharType="begin" w:fldLock="1"/>
      </w:r>
      <w:r w:rsidR="002E6067">
        <w:instrText xml:space="preserve"> REF _Ref97749779 \h </w:instrText>
      </w:r>
      <w:r w:rsidR="002E6067">
        <w:fldChar w:fldCharType="separate"/>
      </w:r>
      <w:r w:rsidR="00383E5A">
        <w:t xml:space="preserve">Table </w:t>
      </w:r>
      <w:r w:rsidR="00383E5A">
        <w:rPr>
          <w:noProof/>
        </w:rPr>
        <w:t>75</w:t>
      </w:r>
      <w:r w:rsidR="002E6067">
        <w:fldChar w:fldCharType="end"/>
      </w:r>
      <w:r>
        <w:t xml:space="preserve"> shows that under five per cent of all closed episodes, created within 2015-16 to 2019-20, have returned a follow</w:t>
      </w:r>
      <w:r w:rsidR="00156585">
        <w:t xml:space="preserve"> </w:t>
      </w:r>
      <w:r>
        <w:t>up survey. Survey completion depended on the young person’s characteristics such as their age, gender, education level, regionality and the K10 outcome measure at the start and at the completion of their episode of car</w:t>
      </w:r>
      <w:r w:rsidR="00CC0438">
        <w:rPr>
          <w:rFonts w:ascii="ZWAdobeF" w:hAnsi="ZWAdobeF" w:cs="ZWAdobeF"/>
          <w:sz w:val="2"/>
          <w:szCs w:val="2"/>
        </w:rPr>
        <w:t>229F</w:t>
      </w:r>
      <w:r>
        <w:rPr>
          <w:rStyle w:val="FootnoteReference"/>
        </w:rPr>
        <w:footnoteReference w:id="231"/>
      </w:r>
      <w:r w:rsidR="00FD7943">
        <w:t>.</w:t>
      </w:r>
      <w:r>
        <w:t xml:space="preserve"> Young persons with a higher intake K10 outcome measure and a lower final one were more likely to respond to and complete the follow</w:t>
      </w:r>
      <w:r w:rsidR="00156585">
        <w:t xml:space="preserve"> </w:t>
      </w:r>
      <w:r>
        <w:t>up survey. This suggests that the follow</w:t>
      </w:r>
      <w:r w:rsidR="00F01FA5">
        <w:t xml:space="preserve"> </w:t>
      </w:r>
      <w:r>
        <w:t>up response is biased towards young people who benefited the most from their headspace episode.</w:t>
      </w:r>
    </w:p>
    <w:p w14:paraId="3CE56F13" w14:textId="03C231C8" w:rsidR="002A6A78" w:rsidRDefault="002A6A78" w:rsidP="002A6A78">
      <w:pPr>
        <w:pStyle w:val="Caption"/>
      </w:pPr>
      <w:bookmarkStart w:id="363" w:name="_Ref97749779"/>
      <w:bookmarkStart w:id="364" w:name="_Toc108109025"/>
      <w:r>
        <w:t xml:space="preserve">Table </w:t>
      </w:r>
      <w:r>
        <w:fldChar w:fldCharType="begin"/>
      </w:r>
      <w:r>
        <w:instrText>SEQ Table \* ARABIC</w:instrText>
      </w:r>
      <w:r>
        <w:fldChar w:fldCharType="separate"/>
      </w:r>
      <w:r w:rsidR="00CC0438">
        <w:rPr>
          <w:noProof/>
        </w:rPr>
        <w:t>75</w:t>
      </w:r>
      <w:r>
        <w:fldChar w:fldCharType="end"/>
      </w:r>
      <w:bookmarkEnd w:id="363"/>
      <w:r>
        <w:t>: Number of follow</w:t>
      </w:r>
      <w:r w:rsidR="00156585">
        <w:t xml:space="preserve"> </w:t>
      </w:r>
      <w:r>
        <w:t>up survey responses</w:t>
      </w:r>
      <w:bookmarkEnd w:id="364"/>
    </w:p>
    <w:tbl>
      <w:tblPr>
        <w:tblW w:w="4993" w:type="pct"/>
        <w:tblLook w:val="04A0" w:firstRow="1" w:lastRow="0" w:firstColumn="1" w:lastColumn="0" w:noHBand="0" w:noVBand="1"/>
        <w:tblCaption w:val="Number of follow up survey responses"/>
        <w:tblDescription w:val="Table has 3 columns and summarises the number of follow up survey responses received by headspace. Column 1 lists the number of episodes of care completed for whom the follow up survey was appliable. Column 2 lists the number of follow-up survey responses received. Column 3 lists the corresponding response rate as a percentage."/>
      </w:tblPr>
      <w:tblGrid>
        <w:gridCol w:w="2268"/>
        <w:gridCol w:w="4293"/>
        <w:gridCol w:w="2496"/>
      </w:tblGrid>
      <w:tr w:rsidR="002A6A78" w14:paraId="5E80F269" w14:textId="77777777" w:rsidTr="00F27C38">
        <w:trPr>
          <w:trHeight w:val="368"/>
        </w:trPr>
        <w:tc>
          <w:tcPr>
            <w:tcW w:w="1252" w:type="pct"/>
            <w:tcBorders>
              <w:bottom w:val="single" w:sz="4" w:space="0" w:color="00338D"/>
            </w:tcBorders>
            <w:shd w:val="clear" w:color="auto" w:fill="00338D"/>
          </w:tcPr>
          <w:p w14:paraId="48E2FDA6" w14:textId="77777777" w:rsidR="002A6A78" w:rsidRPr="00AB5F33" w:rsidRDefault="002A6A78" w:rsidP="00F27C38">
            <w:pPr>
              <w:pStyle w:val="Tableheading"/>
              <w:jc w:val="center"/>
              <w:rPr>
                <w:vertAlign w:val="superscript"/>
              </w:rPr>
            </w:pPr>
            <w:r>
              <w:t>Number of episodes</w:t>
            </w:r>
            <w:r>
              <w:rPr>
                <w:vertAlign w:val="superscript"/>
              </w:rPr>
              <w:t>1</w:t>
            </w:r>
          </w:p>
        </w:tc>
        <w:tc>
          <w:tcPr>
            <w:tcW w:w="2370" w:type="pct"/>
            <w:tcBorders>
              <w:bottom w:val="single" w:sz="4" w:space="0" w:color="00338D"/>
            </w:tcBorders>
            <w:shd w:val="clear" w:color="auto" w:fill="00338D"/>
          </w:tcPr>
          <w:p w14:paraId="4729A9AA" w14:textId="24C488DC" w:rsidR="002A6A78" w:rsidRPr="00D65A2D" w:rsidRDefault="002A6A78" w:rsidP="00F27C38">
            <w:pPr>
              <w:pStyle w:val="Tableheading"/>
              <w:jc w:val="center"/>
            </w:pPr>
            <w:r>
              <w:t>Number of responses to follow</w:t>
            </w:r>
            <w:r w:rsidR="00156585">
              <w:t xml:space="preserve"> </w:t>
            </w:r>
            <w:r>
              <w:t>up survey</w:t>
            </w:r>
          </w:p>
        </w:tc>
        <w:tc>
          <w:tcPr>
            <w:tcW w:w="1378" w:type="pct"/>
            <w:tcBorders>
              <w:bottom w:val="single" w:sz="4" w:space="0" w:color="00338D"/>
            </w:tcBorders>
            <w:shd w:val="clear" w:color="auto" w:fill="00338D"/>
          </w:tcPr>
          <w:p w14:paraId="245EA8DD" w14:textId="77777777" w:rsidR="002A6A78" w:rsidRDefault="002A6A78" w:rsidP="00F27C38">
            <w:pPr>
              <w:pStyle w:val="Tableheading"/>
              <w:jc w:val="center"/>
            </w:pPr>
            <w:r>
              <w:t>Response rate</w:t>
            </w:r>
          </w:p>
        </w:tc>
      </w:tr>
      <w:tr w:rsidR="002A6A78" w14:paraId="05B8544D" w14:textId="77777777" w:rsidTr="00F27C38">
        <w:trPr>
          <w:trHeight w:val="390"/>
        </w:trPr>
        <w:tc>
          <w:tcPr>
            <w:tcW w:w="1252" w:type="pct"/>
            <w:tcBorders>
              <w:top w:val="single" w:sz="4" w:space="0" w:color="00338D"/>
              <w:bottom w:val="single" w:sz="2" w:space="0" w:color="808080" w:themeColor="background1" w:themeShade="80"/>
            </w:tcBorders>
            <w:vAlign w:val="center"/>
          </w:tcPr>
          <w:p w14:paraId="13E094F7" w14:textId="77777777" w:rsidR="002A6A78" w:rsidRPr="001E2ADD" w:rsidRDefault="002A6A78" w:rsidP="00F27C38">
            <w:pPr>
              <w:pStyle w:val="Tabletext"/>
              <w:jc w:val="center"/>
            </w:pPr>
            <w:r w:rsidRPr="001E2ADD">
              <w:t>302,861</w:t>
            </w:r>
          </w:p>
        </w:tc>
        <w:tc>
          <w:tcPr>
            <w:tcW w:w="2370" w:type="pct"/>
            <w:tcBorders>
              <w:top w:val="single" w:sz="4" w:space="0" w:color="00338D"/>
              <w:bottom w:val="single" w:sz="2" w:space="0" w:color="808080" w:themeColor="background1" w:themeShade="80"/>
            </w:tcBorders>
          </w:tcPr>
          <w:p w14:paraId="29BF9402" w14:textId="77777777" w:rsidR="002A6A78" w:rsidRPr="001E2ADD" w:rsidRDefault="002A6A78" w:rsidP="00F27C38">
            <w:pPr>
              <w:pStyle w:val="Tabletext"/>
              <w:jc w:val="center"/>
            </w:pPr>
            <w:r w:rsidRPr="001E2ADD">
              <w:t>13,</w:t>
            </w:r>
            <w:r>
              <w:t>839</w:t>
            </w:r>
          </w:p>
        </w:tc>
        <w:tc>
          <w:tcPr>
            <w:tcW w:w="1378" w:type="pct"/>
            <w:tcBorders>
              <w:top w:val="single" w:sz="4" w:space="0" w:color="00338D"/>
              <w:bottom w:val="single" w:sz="2" w:space="0" w:color="808080" w:themeColor="background1" w:themeShade="80"/>
            </w:tcBorders>
          </w:tcPr>
          <w:p w14:paraId="359DE71F" w14:textId="77777777" w:rsidR="002A6A78" w:rsidRPr="001E2ADD" w:rsidRDefault="002A6A78" w:rsidP="00F27C38">
            <w:pPr>
              <w:pStyle w:val="Tabletext"/>
              <w:jc w:val="center"/>
            </w:pPr>
            <w:r w:rsidRPr="001E2ADD">
              <w:t>4.</w:t>
            </w:r>
            <w:r>
              <w:t>6</w:t>
            </w:r>
            <w:r w:rsidRPr="001E2ADD">
              <w:t>%</w:t>
            </w:r>
          </w:p>
        </w:tc>
      </w:tr>
    </w:tbl>
    <w:p w14:paraId="0B86BEC1" w14:textId="22C31785" w:rsidR="002A6A78" w:rsidRPr="00EB2974" w:rsidRDefault="002A6A78" w:rsidP="002A6A78">
      <w:pPr>
        <w:pStyle w:val="Source"/>
        <w:rPr>
          <w:szCs w:val="16"/>
        </w:rPr>
      </w:pPr>
      <w:r w:rsidRPr="00055013">
        <w:rPr>
          <w:szCs w:val="16"/>
        </w:rPr>
        <w:t>Source: KPMG analysi</w:t>
      </w:r>
      <w:r w:rsidRPr="00360F67">
        <w:rPr>
          <w:szCs w:val="16"/>
        </w:rPr>
        <w:t>s of the follow</w:t>
      </w:r>
      <w:r w:rsidR="00156585">
        <w:rPr>
          <w:szCs w:val="16"/>
        </w:rPr>
        <w:t xml:space="preserve"> </w:t>
      </w:r>
      <w:r w:rsidRPr="00360F67">
        <w:rPr>
          <w:szCs w:val="16"/>
        </w:rPr>
        <w:t>up</w:t>
      </w:r>
      <w:r w:rsidRPr="000B0048">
        <w:rPr>
          <w:szCs w:val="16"/>
        </w:rPr>
        <w:t xml:space="preserve"> analysis dataset</w:t>
      </w:r>
    </w:p>
    <w:p w14:paraId="715A731A" w14:textId="6F1FBCA3" w:rsidR="002A6A78" w:rsidRPr="00E248E3" w:rsidRDefault="002A6A78" w:rsidP="007E0FFE">
      <w:pPr>
        <w:pStyle w:val="Source"/>
      </w:pPr>
      <w:r w:rsidRPr="00EB2974">
        <w:t xml:space="preserve">Notes: See </w:t>
      </w:r>
      <w:r w:rsidRPr="00360F67">
        <w:fldChar w:fldCharType="begin" w:fldLock="1"/>
      </w:r>
      <w:r w:rsidRPr="00EB2974">
        <w:instrText xml:space="preserve"> REF _Ref94023795 \h </w:instrText>
      </w:r>
      <w:r>
        <w:instrText xml:space="preserve"> \* MERGEFORMAT </w:instrText>
      </w:r>
      <w:r w:rsidRPr="00360F67">
        <w:fldChar w:fldCharType="separate"/>
      </w:r>
      <w:r w:rsidR="00383E5A" w:rsidRPr="00383E5A">
        <w:t>Table 80</w:t>
      </w:r>
      <w:r w:rsidRPr="00360F67">
        <w:fldChar w:fldCharType="end"/>
      </w:r>
      <w:r w:rsidR="002E6067" w:rsidRPr="00EB2974">
        <w:t xml:space="preserve"> </w:t>
      </w:r>
      <w:r w:rsidRPr="00CF2E3E">
        <w:t xml:space="preserve">under </w:t>
      </w:r>
      <w:r w:rsidR="00AC57FC">
        <w:fldChar w:fldCharType="begin" w:fldLock="1"/>
      </w:r>
      <w:r w:rsidR="00AC57FC">
        <w:instrText xml:space="preserve"> REF _Ref98402466 \r \h </w:instrText>
      </w:r>
      <w:r w:rsidR="00AC57FC">
        <w:fldChar w:fldCharType="separate"/>
      </w:r>
      <w:r w:rsidR="00AE4D34">
        <w:t>Appendix F</w:t>
      </w:r>
      <w:r w:rsidR="00AC57FC">
        <w:fldChar w:fldCharType="end"/>
      </w:r>
      <w:r w:rsidRPr="00624964">
        <w:t xml:space="preserve"> for </w:t>
      </w:r>
      <w:r w:rsidR="00AC57FC" w:rsidRPr="00624964">
        <w:t>detailed exclusion criteria</w:t>
      </w:r>
      <w:r w:rsidRPr="00E83942">
        <w:rPr>
          <w:i/>
        </w:rPr>
        <w:t>.</w:t>
      </w:r>
      <w:r w:rsidRPr="00E83942">
        <w:rPr>
          <w:vertAlign w:val="superscript"/>
        </w:rPr>
        <w:t>1</w:t>
      </w:r>
      <w:r w:rsidRPr="00EB2974">
        <w:t>This includes all closed episodes with mental health/situational primary issues during entry from</w:t>
      </w:r>
      <w:r>
        <w:t xml:space="preserve"> </w:t>
      </w:r>
      <w:r w:rsidRPr="00EB2974">
        <w:t>2015-16 to 2019-20.</w:t>
      </w:r>
    </w:p>
    <w:p w14:paraId="35FE938C" w14:textId="77777777" w:rsidR="002A6A78" w:rsidRDefault="002A6A78" w:rsidP="007E0FFE">
      <w:pPr>
        <w:pStyle w:val="AppendixHeading3"/>
      </w:pPr>
      <w:r>
        <w:t xml:space="preserve">The extent to which outcomes are sustained </w:t>
      </w:r>
    </w:p>
    <w:p w14:paraId="026F394E" w14:textId="659B87BE" w:rsidR="002A6A78" w:rsidRPr="005714B0" w:rsidRDefault="002A6A78" w:rsidP="002A6A78">
      <w:pPr>
        <w:pStyle w:val="BodyText"/>
      </w:pPr>
      <w:r>
        <w:t>The follow</w:t>
      </w:r>
      <w:r w:rsidR="00156585">
        <w:t xml:space="preserve"> </w:t>
      </w:r>
      <w:r>
        <w:t>up survey highlights that outcomes achieved during a headspace episode are sustained over the following 90 days. However, the follow</w:t>
      </w:r>
      <w:r w:rsidR="00621ACD">
        <w:t xml:space="preserve"> </w:t>
      </w:r>
      <w:r>
        <w:t>up survey response rate is low and the sample is likely biased towards young people that benefited the most from the headspace program. Further follow</w:t>
      </w:r>
      <w:r w:rsidR="00156585">
        <w:t xml:space="preserve"> </w:t>
      </w:r>
      <w:r>
        <w:t>up would improve the reliability of this finding.</w:t>
      </w:r>
    </w:p>
    <w:p w14:paraId="1EFD56EC" w14:textId="33B8CD9F" w:rsidR="002A6A78" w:rsidRPr="007E0FFE" w:rsidRDefault="002A6A78" w:rsidP="002A6A78">
      <w:pPr>
        <w:pStyle w:val="BodyText"/>
        <w:rPr>
          <w:iCs/>
        </w:rPr>
      </w:pPr>
      <w:r w:rsidRPr="005E1B9B">
        <w:rPr>
          <w:rStyle w:val="IntenseEmphasis"/>
          <w:i w:val="0"/>
          <w:color w:val="auto"/>
        </w:rPr>
        <w:t>The follow</w:t>
      </w:r>
      <w:r w:rsidR="00156585">
        <w:rPr>
          <w:rStyle w:val="IntenseEmphasis"/>
          <w:i w:val="0"/>
          <w:color w:val="auto"/>
        </w:rPr>
        <w:t xml:space="preserve"> </w:t>
      </w:r>
      <w:r w:rsidRPr="005E1B9B">
        <w:rPr>
          <w:rStyle w:val="IntenseEmphasis"/>
          <w:i w:val="0"/>
          <w:color w:val="auto"/>
        </w:rPr>
        <w:t xml:space="preserve">up survey suggests that outcomes achieved during a headspace episode are sustained over the following 90 days. </w:t>
      </w:r>
    </w:p>
    <w:p w14:paraId="77FC4E9C" w14:textId="77777777" w:rsidR="002A6A78" w:rsidRDefault="002A6A78" w:rsidP="00A84B44">
      <w:pPr>
        <w:pStyle w:val="AppendixHeading2"/>
        <w:rPr>
          <w:lang w:eastAsia="en-AU"/>
        </w:rPr>
      </w:pPr>
      <w:bookmarkStart w:id="365" w:name="_Ref98255015"/>
      <w:r w:rsidRPr="00D653A2">
        <w:rPr>
          <w:lang w:eastAsia="en-AU"/>
        </w:rPr>
        <w:t>How effective is headspace in improving mental health and wellbeing outcomes</w:t>
      </w:r>
      <w:r>
        <w:rPr>
          <w:lang w:eastAsia="en-AU"/>
        </w:rPr>
        <w:t xml:space="preserve"> at an area-level?</w:t>
      </w:r>
      <w:bookmarkEnd w:id="365"/>
    </w:p>
    <w:p w14:paraId="25609D53" w14:textId="77777777" w:rsidR="002A6A78" w:rsidRDefault="002A6A78" w:rsidP="007E0FFE">
      <w:pPr>
        <w:pStyle w:val="AppendixHeading3"/>
      </w:pPr>
      <w:r>
        <w:t>Overview of area-level analysis</w:t>
      </w:r>
    </w:p>
    <w:p w14:paraId="06804D4D" w14:textId="4D018CEB" w:rsidR="002A6A78" w:rsidRDefault="002A6A78" w:rsidP="002A6A78">
      <w:pPr>
        <w:pStyle w:val="BodyText"/>
      </w:pPr>
      <w:r>
        <w:t xml:space="preserve">The previous sections of the report have evaluated the impact of headspace at the young person episode level using a pre-post quasi-experimental methodology. Limitations of that analysis include the lack of a control group, and potential to miss some of the broader population-level benefits of headspace. In this section, another form of a quasi-experimental methodology known as </w:t>
      </w:r>
      <w:r w:rsidR="0056424E">
        <w:t>Di</w:t>
      </w:r>
      <w:r>
        <w:t>fference-in-</w:t>
      </w:r>
      <w:r w:rsidR="0056424E">
        <w:t>Di</w:t>
      </w:r>
      <w:r>
        <w:t>fferences (DID) is applied to further evaluate the impact of headspace in the location, or area in which it operates, rather than individual level</w:t>
      </w:r>
      <w:r w:rsidR="00CC0438">
        <w:rPr>
          <w:rFonts w:ascii="ZWAdobeF" w:hAnsi="ZWAdobeF" w:cs="ZWAdobeF"/>
          <w:sz w:val="2"/>
          <w:szCs w:val="2"/>
        </w:rPr>
        <w:t>230F</w:t>
      </w:r>
      <w:r>
        <w:rPr>
          <w:rStyle w:val="FootnoteReference"/>
        </w:rPr>
        <w:footnoteReference w:id="232"/>
      </w:r>
      <w:r w:rsidR="00FD7943">
        <w:t>.</w:t>
      </w:r>
      <w:r>
        <w:t xml:space="preserve"> DID design makes use of longitudinal data to estimate the effect of headspace by comparing the changes in outcomes over time between areas. The hypotheses are that areas that have experienced an increase in headspace services will have a </w:t>
      </w:r>
      <w:r w:rsidRPr="00D07A5D">
        <w:t>reduction</w:t>
      </w:r>
      <w:r>
        <w:t xml:space="preserve"> in the number of mental health, self-harm and substance-abuse related hospitalisations and the number of suicides; and an increase in the number of Medicare-subsidised mental health-specific services as increasing exposure to headspace can de-stigmatize the need to seek mental health care, especially outside the headspace program.</w:t>
      </w:r>
    </w:p>
    <w:p w14:paraId="032235C7" w14:textId="3A6243DD" w:rsidR="002A6A78" w:rsidRDefault="008216B7" w:rsidP="002A6A78">
      <w:pPr>
        <w:pStyle w:val="BodyText"/>
      </w:pPr>
      <w:r>
        <w:t>A</w:t>
      </w:r>
      <w:r w:rsidR="002A6A78">
        <w:t xml:space="preserve"> detailed explanation of the methodology and data used to perform the area-level analysis</w:t>
      </w:r>
      <w:r>
        <w:t xml:space="preserve"> is provided below</w:t>
      </w:r>
      <w:r w:rsidR="002A6A78">
        <w:t>, but key points:</w:t>
      </w:r>
    </w:p>
    <w:p w14:paraId="5275CC9D" w14:textId="55C61731" w:rsidR="002A6A78" w:rsidRDefault="002A6A78" w:rsidP="00A84B44">
      <w:pPr>
        <w:pStyle w:val="Bullet1stlevel"/>
      </w:pPr>
      <w:r>
        <w:t xml:space="preserve">Outcome measures are the rate of mental-health related hospitalisations; intentional self-harm hospitalisations related hospitalisations; illicit drug and alcohol-related hospitalisations; deaths from intentional self-harm; and Medicare-subsidised mental health-specific services among 12 to 25 year olds at the PHN </w:t>
      </w:r>
      <w:r w:rsidR="00F56055">
        <w:t>area-level</w:t>
      </w:r>
      <w:r>
        <w:t>, obtained from the Australian Institute of Health and Welfare (AIHW) and Services Australia (SA).</w:t>
      </w:r>
    </w:p>
    <w:p w14:paraId="0C377B28" w14:textId="104B658C" w:rsidR="00A63A43" w:rsidRPr="00A63A43" w:rsidRDefault="002A6A78" w:rsidP="00A63A43">
      <w:pPr>
        <w:pStyle w:val="Bullet1stlevel"/>
      </w:pPr>
      <w:r>
        <w:t xml:space="preserve">Three headspace metrics were considered for each PHN: the number of headspace services; the number of headspace clients per 1,000 young person, and the ratio of headspace </w:t>
      </w:r>
      <w:r w:rsidR="007B2863">
        <w:t>OOS</w:t>
      </w:r>
      <w:r>
        <w:t xml:space="preserve"> to MBS-funded mental health services. A lagged effect of these metrics was also considered for up to three years. </w:t>
      </w:r>
    </w:p>
    <w:p w14:paraId="5CBE8242" w14:textId="001AB4F4" w:rsidR="00A67F39" w:rsidRDefault="00A67F39" w:rsidP="006B2785">
      <w:pPr>
        <w:pStyle w:val="AppendixHeading3"/>
      </w:pPr>
      <w:r>
        <w:t>Difference-in-</w:t>
      </w:r>
      <w:r w:rsidR="0056424E">
        <w:t>D</w:t>
      </w:r>
      <w:r>
        <w:t>ifferences methodology</w:t>
      </w:r>
    </w:p>
    <w:p w14:paraId="13980455" w14:textId="4F87E485" w:rsidR="00A67F39" w:rsidRDefault="00A67F39" w:rsidP="003006A8">
      <w:pPr>
        <w:pStyle w:val="BodyText"/>
      </w:pPr>
      <w:r>
        <w:t>The DID approach</w:t>
      </w:r>
      <w:r w:rsidDel="00774866">
        <w:t xml:space="preserve"> </w:t>
      </w:r>
      <w:r>
        <w:t>studies how the variation in exposure to headspace across the PHNs influence their outcomes. This approach can also inform this evaluation of the effect of changes in headspace exposure (e.g</w:t>
      </w:r>
      <w:r w:rsidR="007E76A0">
        <w:t>.,</w:t>
      </w:r>
      <w:r>
        <w:t xml:space="preserve"> more headspace services or more headspace clients) rather than just the effect of the existence of headspace</w:t>
      </w:r>
      <w:r w:rsidR="00CC0438">
        <w:rPr>
          <w:rFonts w:ascii="ZWAdobeF" w:hAnsi="ZWAdobeF" w:cs="ZWAdobeF"/>
          <w:sz w:val="2"/>
          <w:szCs w:val="2"/>
        </w:rPr>
        <w:t>231F</w:t>
      </w:r>
      <w:r>
        <w:rPr>
          <w:rStyle w:val="FootnoteReference"/>
        </w:rPr>
        <w:footnoteReference w:id="233"/>
      </w:r>
      <w:r w:rsidR="00FD7943">
        <w:t>.</w:t>
      </w:r>
      <w:r>
        <w:t xml:space="preserve"> </w:t>
      </w:r>
    </w:p>
    <w:p w14:paraId="49EAE900" w14:textId="77777777" w:rsidR="00A67F39" w:rsidRPr="004970F0" w:rsidRDefault="00A67F39" w:rsidP="003006A8">
      <w:pPr>
        <w:pStyle w:val="BodyText"/>
      </w:pPr>
      <w:r>
        <w:t xml:space="preserve">This report used the STATA code xtregress to estimate the average treatment effect on the treated PHNs from observational data by difference in differences (DID) for panel data. The average treatment effect of a </w:t>
      </w:r>
      <w:r w:rsidRPr="00880516">
        <w:t>continuous</w:t>
      </w:r>
      <w:r>
        <w:t xml:space="preserve"> treatment on a </w:t>
      </w:r>
      <w:r w:rsidRPr="00880516">
        <w:t>continuous</w:t>
      </w:r>
      <w:r>
        <w:t xml:space="preserve"> outcome is estimated by fitting a linear model with time and PHN (panel) fixed effects.</w:t>
      </w:r>
    </w:p>
    <w:p w14:paraId="53F980B6" w14:textId="77777777" w:rsidR="00A67F39" w:rsidRPr="00946F87" w:rsidRDefault="00A67F39" w:rsidP="003006A8">
      <w:pPr>
        <w:pStyle w:val="BodyText"/>
      </w:pPr>
      <w:r>
        <w:t xml:space="preserve">These effects represent time-specific impacts on the </w:t>
      </w:r>
      <w:r w:rsidRPr="00880516">
        <w:t>continuous</w:t>
      </w:r>
      <w:r>
        <w:t xml:space="preserve"> outcome measures and unobserved PHN-level characteristics, respectively. The equation used to estimate the regression is as follows:</w:t>
      </w:r>
    </w:p>
    <w:p w14:paraId="25CBAC8C" w14:textId="77777777" w:rsidR="00A67F39" w:rsidRDefault="00F333C3" w:rsidP="00A67F39">
      <w:pPr>
        <w:pStyle w:val="BodyText"/>
      </w:pPr>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β'X</m:t>
              </m:r>
            </m:e>
            <m:sub>
              <m:r>
                <w:rPr>
                  <w:rFonts w:ascii="Cambria Math" w:hAnsi="Cambria Math"/>
                </w:rPr>
                <m:t>i,t</m:t>
              </m:r>
            </m:sub>
          </m:sSub>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m:t>
              </m:r>
            </m:sup>
          </m:sSup>
          <m:sSub>
            <m:sSubPr>
              <m:ctrlPr>
                <w:rPr>
                  <w:rFonts w:ascii="Cambria Math" w:hAnsi="Cambria Math"/>
                  <w:i/>
                </w:rPr>
              </m:ctrlPr>
            </m:sSubPr>
            <m:e>
              <m:r>
                <w:rPr>
                  <w:rFonts w:ascii="Cambria Math" w:hAnsi="Cambria Math"/>
                </w:rPr>
                <m:t>Z</m:t>
              </m:r>
            </m:e>
            <m:sub>
              <m:r>
                <w:rPr>
                  <w:rFonts w:ascii="Cambria Math" w:hAnsi="Cambria Math"/>
                </w:rPr>
                <m:t>i,t</m:t>
              </m:r>
            </m:sub>
          </m:sSub>
          <m:r>
            <w:rPr>
              <w:rFonts w:ascii="Cambria Math" w:hAnsi="Cambria Math"/>
            </w:rPr>
            <m:t>+</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i,t</m:t>
              </m:r>
            </m:sub>
          </m:sSub>
        </m:oMath>
      </m:oMathPara>
    </w:p>
    <w:p w14:paraId="11A735F4" w14:textId="77777777" w:rsidR="00A67F39" w:rsidRDefault="00A67F39" w:rsidP="003006A8">
      <w:pPr>
        <w:pStyle w:val="BodyText"/>
      </w:pPr>
      <w:r>
        <w:t>where:</w:t>
      </w:r>
    </w:p>
    <w:p w14:paraId="56CD82DE" w14:textId="77777777" w:rsidR="00A67F39" w:rsidRPr="001E00DA" w:rsidRDefault="00F333C3" w:rsidP="00A67F39">
      <w:pPr>
        <w:pStyle w:val="Bullet1stlevel"/>
      </w:pPr>
      <m:oMath>
        <m:sSub>
          <m:sSubPr>
            <m:ctrlPr>
              <w:rPr>
                <w:rFonts w:ascii="Cambria Math" w:hAnsi="Cambria Math"/>
                <w:i/>
              </w:rPr>
            </m:ctrlPr>
          </m:sSubPr>
          <m:e>
            <m:r>
              <w:rPr>
                <w:rFonts w:ascii="Cambria Math" w:hAnsi="Cambria Math"/>
              </w:rPr>
              <m:t>Y</m:t>
            </m:r>
          </m:e>
          <m:sub>
            <m:r>
              <w:rPr>
                <w:rFonts w:ascii="Cambria Math" w:hAnsi="Cambria Math"/>
              </w:rPr>
              <m:t>i,t</m:t>
            </m:r>
          </m:sub>
        </m:sSub>
      </m:oMath>
      <w:r w:rsidR="00A67F39">
        <w:rPr>
          <w:rFonts w:eastAsiaTheme="minorEastAsia"/>
        </w:rPr>
        <w:t xml:space="preserve"> represents the PHN-level outcome measure of interest during financial year </w:t>
      </w:r>
      <m:oMath>
        <m:r>
          <w:rPr>
            <w:rFonts w:ascii="Cambria Math" w:eastAsiaTheme="minorEastAsia" w:hAnsi="Cambria Math"/>
          </w:rPr>
          <m:t>t</m:t>
        </m:r>
      </m:oMath>
      <w:r w:rsidR="00A67F39">
        <w:rPr>
          <w:rFonts w:eastAsiaTheme="minorEastAsia"/>
        </w:rPr>
        <w:t xml:space="preserve"> for PHN </w:t>
      </w:r>
      <m:oMath>
        <m:r>
          <w:rPr>
            <w:rFonts w:ascii="Cambria Math" w:eastAsiaTheme="minorEastAsia" w:hAnsi="Cambria Math"/>
          </w:rPr>
          <m:t>i</m:t>
        </m:r>
      </m:oMath>
      <w:r w:rsidR="00A67F39">
        <w:rPr>
          <w:rFonts w:eastAsiaTheme="minorEastAsia"/>
        </w:rPr>
        <w:t>. These are described further in detail in the section below;</w:t>
      </w:r>
    </w:p>
    <w:p w14:paraId="25226574" w14:textId="77777777" w:rsidR="00A67F39" w:rsidRPr="00F649F4" w:rsidRDefault="00F333C3" w:rsidP="00A67F39">
      <w:pPr>
        <w:pStyle w:val="Bullet1stlevel"/>
      </w:pP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00A67F39">
        <w:rPr>
          <w:rFonts w:eastAsiaTheme="minorEastAsia"/>
        </w:rPr>
        <w:t xml:space="preserve"> represents an unobserved time-invariant individual effect for PHN;</w:t>
      </w:r>
    </w:p>
    <w:p w14:paraId="339ACEB6" w14:textId="77777777" w:rsidR="00A67F39" w:rsidRPr="006235BA" w:rsidRDefault="00F333C3" w:rsidP="00A67F39">
      <w:pPr>
        <w:pStyle w:val="Bullet1stlevel"/>
      </w:pP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00A67F39" w:rsidRPr="00255937">
        <w:t xml:space="preserve"> </w:t>
      </w:r>
      <w:r w:rsidR="00A67F39">
        <w:rPr>
          <w:rFonts w:eastAsiaTheme="minorEastAsia"/>
        </w:rPr>
        <w:t xml:space="preserve">represents the intervention variable (described further in detail below) observed during financial year </w:t>
      </w:r>
      <m:oMath>
        <m:r>
          <w:rPr>
            <w:rFonts w:ascii="Cambria Math" w:eastAsiaTheme="minorEastAsia" w:hAnsi="Cambria Math"/>
          </w:rPr>
          <m:t>t</m:t>
        </m:r>
      </m:oMath>
      <w:r w:rsidR="00A67F39">
        <w:rPr>
          <w:rFonts w:eastAsiaTheme="minorEastAsia"/>
        </w:rPr>
        <w:t xml:space="preserve"> for PHN </w:t>
      </w:r>
      <m:oMath>
        <m:r>
          <w:rPr>
            <w:rFonts w:ascii="Cambria Math" w:eastAsiaTheme="minorEastAsia" w:hAnsi="Cambria Math"/>
          </w:rPr>
          <m:t>i</m:t>
        </m:r>
      </m:oMath>
      <w:r w:rsidR="00A67F39">
        <w:rPr>
          <w:rFonts w:eastAsiaTheme="minorEastAsia"/>
        </w:rPr>
        <w:t xml:space="preserve">. </w:t>
      </w:r>
      <m:oMath>
        <m:r>
          <w:rPr>
            <w:rFonts w:ascii="Cambria Math" w:hAnsi="Cambria Math"/>
          </w:rPr>
          <m:t>β</m:t>
        </m:r>
      </m:oMath>
      <w:r w:rsidR="00A67F39">
        <w:rPr>
          <w:rFonts w:eastAsiaTheme="minorEastAsia"/>
        </w:rPr>
        <w:t xml:space="preserve"> represent the associated coefficient estimates</w:t>
      </w:r>
      <w:r w:rsidR="00A67F39">
        <w:t>.</w:t>
      </w:r>
    </w:p>
    <w:p w14:paraId="54F8DF1A" w14:textId="77777777" w:rsidR="00A67F39" w:rsidRPr="00D21965" w:rsidRDefault="00F333C3" w:rsidP="00A67F39">
      <w:pPr>
        <w:pStyle w:val="Bullet1stlevel"/>
        <w:rPr>
          <w:rFonts w:eastAsiaTheme="minorEastAsia"/>
        </w:rPr>
      </w:pPr>
      <m:oMath>
        <m:sSub>
          <m:sSubPr>
            <m:ctrlPr>
              <w:rPr>
                <w:rFonts w:ascii="Cambria Math" w:hAnsi="Cambria Math"/>
                <w:i/>
              </w:rPr>
            </m:ctrlPr>
          </m:sSubPr>
          <m:e>
            <m:r>
              <w:rPr>
                <w:rFonts w:ascii="Cambria Math" w:hAnsi="Cambria Math"/>
              </w:rPr>
              <m:t>Z</m:t>
            </m:r>
          </m:e>
          <m:sub>
            <m:r>
              <w:rPr>
                <w:rFonts w:ascii="Cambria Math" w:hAnsi="Cambria Math"/>
              </w:rPr>
              <m:t>i,t</m:t>
            </m:r>
          </m:sub>
        </m:sSub>
      </m:oMath>
      <w:r w:rsidR="00A67F39" w:rsidRPr="00D21965">
        <w:rPr>
          <w:rFonts w:eastAsiaTheme="minorEastAsia"/>
        </w:rPr>
        <w:t xml:space="preserve"> represents a vector of dummy variables indicating the financial year observed. </w:t>
      </w:r>
      <m:oMath>
        <m:r>
          <w:rPr>
            <w:rFonts w:ascii="Cambria Math" w:hAnsi="Cambria Math"/>
          </w:rPr>
          <m:t>γ</m:t>
        </m:r>
      </m:oMath>
      <w:r w:rsidR="00A67F39" w:rsidRPr="00255937">
        <w:t xml:space="preserve"> </w:t>
      </w:r>
      <w:r w:rsidR="00A67F39">
        <w:t>represents the relevant year fixed effects; and</w:t>
      </w:r>
    </w:p>
    <w:p w14:paraId="6A93D11E" w14:textId="77777777" w:rsidR="00A67F39" w:rsidRDefault="00F333C3" w:rsidP="00A67F39">
      <w:pPr>
        <w:pStyle w:val="Bullet1stlevel"/>
        <w:rPr>
          <w:rFonts w:eastAsiaTheme="minorEastAsia"/>
        </w:rPr>
      </w:pPr>
      <m:oMath>
        <m:sSub>
          <m:sSubPr>
            <m:ctrlPr>
              <w:rPr>
                <w:rFonts w:ascii="Cambria Math" w:hAnsi="Cambria Math"/>
              </w:rPr>
            </m:ctrlPr>
          </m:sSubPr>
          <m:e>
            <m:r>
              <m:rPr>
                <m:sty m:val="p"/>
              </m:rPr>
              <w:rPr>
                <w:rFonts w:ascii="Cambria Math" w:hAnsi="Cambria Math"/>
              </w:rPr>
              <m:t>ϵ</m:t>
            </m:r>
          </m:e>
          <m:sub>
            <m:r>
              <m:rPr>
                <m:sty m:val="p"/>
              </m:rPr>
              <w:rPr>
                <w:rFonts w:ascii="Cambria Math" w:hAnsi="Cambria Math"/>
              </w:rPr>
              <m:t>i,t</m:t>
            </m:r>
          </m:sub>
        </m:sSub>
      </m:oMath>
      <w:r w:rsidR="00A67F39">
        <w:rPr>
          <w:rFonts w:eastAsiaTheme="minorEastAsia"/>
        </w:rPr>
        <w:t xml:space="preserve"> represents an unobserved random error component. </w:t>
      </w:r>
    </w:p>
    <w:p w14:paraId="43CA6296" w14:textId="77777777" w:rsidR="00A67F39" w:rsidRDefault="00A67F39" w:rsidP="006B2785">
      <w:pPr>
        <w:pStyle w:val="AppendixHeading3"/>
      </w:pPr>
      <w:r>
        <w:t>Data</w:t>
      </w:r>
    </w:p>
    <w:p w14:paraId="4634E38B" w14:textId="77777777" w:rsidR="00A67F39" w:rsidRPr="00094D31" w:rsidRDefault="00A67F39" w:rsidP="006B2785">
      <w:pPr>
        <w:pStyle w:val="Heading4"/>
      </w:pPr>
      <w:r>
        <w:t>PHN-level outcome measures</w:t>
      </w:r>
    </w:p>
    <w:p w14:paraId="760A172C" w14:textId="77777777" w:rsidR="00A67F39" w:rsidRDefault="00A67F39" w:rsidP="00A67F39">
      <w:pPr>
        <w:pStyle w:val="BodyText"/>
      </w:pPr>
      <w:r>
        <w:t>To examine how a variation in headspace exposure influenced area-level outcomes over time, outcome measures, aggregated by PHNs, were obtained from the Australian Institute of Health and Welfare (AIHW) and Services Australia (SA). These data included the population of 12 to 25 year olds from 2008-09 to 2018-19 and the number of:</w:t>
      </w:r>
    </w:p>
    <w:p w14:paraId="7C27DE5A" w14:textId="77777777" w:rsidR="00A67F39" w:rsidRDefault="00A67F39" w:rsidP="0045704A">
      <w:pPr>
        <w:pStyle w:val="Bullet1stlevel"/>
      </w:pPr>
      <w:r>
        <w:t xml:space="preserve">mental-health related hospitalisations; </w:t>
      </w:r>
    </w:p>
    <w:p w14:paraId="208A2E24" w14:textId="77777777" w:rsidR="00A67F39" w:rsidRDefault="00A67F39" w:rsidP="0045704A">
      <w:pPr>
        <w:pStyle w:val="Bullet1stlevel"/>
      </w:pPr>
      <w:r>
        <w:t xml:space="preserve">intentional self-harm hospitalisations related hospitalisations; </w:t>
      </w:r>
    </w:p>
    <w:p w14:paraId="7018CFE6" w14:textId="77777777" w:rsidR="00A67F39" w:rsidRDefault="00A67F39" w:rsidP="0045704A">
      <w:pPr>
        <w:pStyle w:val="Bullet1stlevel"/>
      </w:pPr>
      <w:r>
        <w:t xml:space="preserve">illicit drug and alcohol-related hospitalisations; </w:t>
      </w:r>
    </w:p>
    <w:p w14:paraId="02ECACEF" w14:textId="77777777" w:rsidR="00A67F39" w:rsidRDefault="00A67F39" w:rsidP="0045704A">
      <w:pPr>
        <w:pStyle w:val="Bullet1stlevel"/>
      </w:pPr>
      <w:r>
        <w:t xml:space="preserve">deaths from intentional self-harm; and </w:t>
      </w:r>
    </w:p>
    <w:p w14:paraId="4CB30266" w14:textId="77777777" w:rsidR="00A67F39" w:rsidRDefault="00A67F39" w:rsidP="0045704A">
      <w:pPr>
        <w:pStyle w:val="Bullet1stlevel"/>
      </w:pPr>
      <w:r>
        <w:t xml:space="preserve">Medicare-subsidised mental health-specific services among 12 to 25 year olds. </w:t>
      </w:r>
    </w:p>
    <w:p w14:paraId="0A6FD808" w14:textId="73F68BD4" w:rsidR="00A67F39" w:rsidRDefault="00A67F39" w:rsidP="006B2785">
      <w:pPr>
        <w:pStyle w:val="BodyText"/>
      </w:pPr>
      <w:r>
        <w:t xml:space="preserve">The outcome variables are summarised in </w:t>
      </w:r>
      <w:r>
        <w:fldChar w:fldCharType="begin" w:fldLock="1"/>
      </w:r>
      <w:r>
        <w:instrText xml:space="preserve"> REF _Ref92788303 \h  \* MERGEFORMAT </w:instrText>
      </w:r>
      <w:r>
        <w:fldChar w:fldCharType="separate"/>
      </w:r>
      <w:r w:rsidR="00383E5A">
        <w:t xml:space="preserve">Table </w:t>
      </w:r>
      <w:r w:rsidR="00383E5A">
        <w:rPr>
          <w:noProof/>
        </w:rPr>
        <w:t>76</w:t>
      </w:r>
      <w:r>
        <w:fldChar w:fldCharType="end"/>
      </w:r>
      <w:r>
        <w:t xml:space="preserve"> below.</w:t>
      </w:r>
    </w:p>
    <w:p w14:paraId="692AA314" w14:textId="7DE38189" w:rsidR="00A67F39" w:rsidRDefault="00A67F39" w:rsidP="00A67F39">
      <w:pPr>
        <w:pStyle w:val="Caption"/>
      </w:pPr>
      <w:bookmarkStart w:id="366" w:name="_Ref92788303"/>
      <w:bookmarkStart w:id="367" w:name="_Toc108109026"/>
      <w:r>
        <w:t xml:space="preserve">Table </w:t>
      </w:r>
      <w:r>
        <w:fldChar w:fldCharType="begin"/>
      </w:r>
      <w:r>
        <w:instrText>SEQ Table \* ARABIC</w:instrText>
      </w:r>
      <w:r>
        <w:fldChar w:fldCharType="separate"/>
      </w:r>
      <w:r w:rsidR="00CC0438">
        <w:rPr>
          <w:noProof/>
        </w:rPr>
        <w:t>76</w:t>
      </w:r>
      <w:r>
        <w:fldChar w:fldCharType="end"/>
      </w:r>
      <w:bookmarkEnd w:id="366"/>
      <w:r>
        <w:t>: Outcome measures</w:t>
      </w:r>
      <w:bookmarkEnd w:id="367"/>
    </w:p>
    <w:tbl>
      <w:tblPr>
        <w:tblW w:w="4923" w:type="pct"/>
        <w:tblLook w:val="04A0" w:firstRow="1" w:lastRow="0" w:firstColumn="1" w:lastColumn="0" w:noHBand="0" w:noVBand="1"/>
        <w:tblCaption w:val="Outcome measures"/>
        <w:tblDescription w:val="Table has 4 columns, and summarises the PHN-level outcome variables considered in the area level analysis. Column 1 lists the outcome variables considered. Column 2 lists the unit considered in the analysis of that variable. Column 3 lists the periods covered in the analysis. Column 4 lists the data source used for analysis of the specific variable. "/>
      </w:tblPr>
      <w:tblGrid>
        <w:gridCol w:w="2117"/>
        <w:gridCol w:w="1443"/>
        <w:gridCol w:w="1400"/>
        <w:gridCol w:w="3970"/>
      </w:tblGrid>
      <w:tr w:rsidR="00A67F39" w14:paraId="6B5335EB" w14:textId="77777777" w:rsidTr="00F95AAC">
        <w:trPr>
          <w:tblHeader/>
        </w:trPr>
        <w:tc>
          <w:tcPr>
            <w:tcW w:w="1185" w:type="pct"/>
            <w:tcBorders>
              <w:top w:val="nil"/>
              <w:left w:val="nil"/>
              <w:bottom w:val="single" w:sz="4" w:space="0" w:color="00338D" w:themeColor="background2"/>
              <w:right w:val="nil"/>
            </w:tcBorders>
            <w:shd w:val="clear" w:color="auto" w:fill="00338D" w:themeFill="background2"/>
            <w:hideMark/>
          </w:tcPr>
          <w:p w14:paraId="23BF1367" w14:textId="77777777" w:rsidR="00A67F39" w:rsidRPr="001E381A" w:rsidRDefault="00A67F39" w:rsidP="00F95AAC">
            <w:pPr>
              <w:pStyle w:val="Tableheading"/>
              <w:spacing w:line="256" w:lineRule="auto"/>
            </w:pPr>
            <w:r w:rsidRPr="001E381A">
              <w:t>Outcomes</w:t>
            </w:r>
          </w:p>
        </w:tc>
        <w:tc>
          <w:tcPr>
            <w:tcW w:w="808" w:type="pct"/>
            <w:tcBorders>
              <w:top w:val="nil"/>
              <w:left w:val="nil"/>
              <w:bottom w:val="single" w:sz="4" w:space="0" w:color="00338D" w:themeColor="background2"/>
              <w:right w:val="nil"/>
            </w:tcBorders>
            <w:shd w:val="clear" w:color="auto" w:fill="00338D" w:themeFill="background2"/>
            <w:hideMark/>
          </w:tcPr>
          <w:p w14:paraId="745827CA" w14:textId="77777777" w:rsidR="00A67F39" w:rsidRPr="001E381A" w:rsidRDefault="00A67F39" w:rsidP="00F95AAC">
            <w:pPr>
              <w:pStyle w:val="Tableheading"/>
              <w:spacing w:line="256" w:lineRule="auto"/>
              <w:jc w:val="center"/>
            </w:pPr>
            <w:r w:rsidRPr="001E381A">
              <w:t>Unit</w:t>
            </w:r>
          </w:p>
        </w:tc>
        <w:tc>
          <w:tcPr>
            <w:tcW w:w="784" w:type="pct"/>
            <w:tcBorders>
              <w:top w:val="nil"/>
              <w:left w:val="nil"/>
              <w:bottom w:val="single" w:sz="4" w:space="0" w:color="00338D" w:themeColor="background2"/>
              <w:right w:val="nil"/>
            </w:tcBorders>
            <w:shd w:val="clear" w:color="auto" w:fill="00338D" w:themeFill="background2"/>
            <w:hideMark/>
          </w:tcPr>
          <w:p w14:paraId="74FB5442" w14:textId="77777777" w:rsidR="00A67F39" w:rsidRPr="001E381A" w:rsidRDefault="00A67F39" w:rsidP="00F95AAC">
            <w:pPr>
              <w:pStyle w:val="Tableheading"/>
              <w:spacing w:line="256" w:lineRule="auto"/>
              <w:jc w:val="center"/>
            </w:pPr>
            <w:r w:rsidRPr="001E381A">
              <w:t>Periods covered</w:t>
            </w:r>
          </w:p>
        </w:tc>
        <w:tc>
          <w:tcPr>
            <w:tcW w:w="2223" w:type="pct"/>
            <w:tcBorders>
              <w:top w:val="nil"/>
              <w:left w:val="nil"/>
              <w:bottom w:val="single" w:sz="4" w:space="0" w:color="00338D" w:themeColor="background2"/>
              <w:right w:val="nil"/>
            </w:tcBorders>
            <w:shd w:val="clear" w:color="auto" w:fill="00338D" w:themeFill="background2"/>
            <w:hideMark/>
          </w:tcPr>
          <w:p w14:paraId="68DC6D1F" w14:textId="77777777" w:rsidR="00A67F39" w:rsidRPr="001E381A" w:rsidRDefault="00A67F39" w:rsidP="00F95AAC">
            <w:pPr>
              <w:pStyle w:val="Tableheading"/>
              <w:spacing w:line="256" w:lineRule="auto"/>
              <w:jc w:val="center"/>
            </w:pPr>
            <w:r w:rsidRPr="001E381A">
              <w:t>Source</w:t>
            </w:r>
          </w:p>
        </w:tc>
      </w:tr>
      <w:tr w:rsidR="00A67F39" w14:paraId="37EACBBB" w14:textId="77777777" w:rsidTr="00F95AAC">
        <w:trPr>
          <w:trHeight w:val="170"/>
        </w:trPr>
        <w:tc>
          <w:tcPr>
            <w:tcW w:w="1185" w:type="pct"/>
            <w:tcBorders>
              <w:top w:val="single" w:sz="4" w:space="0" w:color="00338D" w:themeColor="background2"/>
              <w:left w:val="nil"/>
              <w:bottom w:val="single" w:sz="4" w:space="0" w:color="00338D" w:themeColor="background2"/>
              <w:right w:val="nil"/>
            </w:tcBorders>
            <w:hideMark/>
          </w:tcPr>
          <w:p w14:paraId="72487BA5" w14:textId="77777777" w:rsidR="00A67F39" w:rsidRPr="001E381A" w:rsidRDefault="00A67F39" w:rsidP="00F95AAC">
            <w:pPr>
              <w:pStyle w:val="Tabletext"/>
              <w:spacing w:line="256" w:lineRule="auto"/>
              <w:rPr>
                <w:i/>
                <w:szCs w:val="20"/>
              </w:rPr>
            </w:pPr>
            <w:r w:rsidRPr="001E381A">
              <w:rPr>
                <w:i/>
                <w:szCs w:val="20"/>
              </w:rPr>
              <w:t>Mental-health related hospitalisations</w:t>
            </w:r>
          </w:p>
        </w:tc>
        <w:tc>
          <w:tcPr>
            <w:tcW w:w="808" w:type="pct"/>
            <w:tcBorders>
              <w:top w:val="single" w:sz="4" w:space="0" w:color="00338D" w:themeColor="background2"/>
              <w:left w:val="nil"/>
              <w:bottom w:val="single" w:sz="4" w:space="0" w:color="00338D" w:themeColor="background2"/>
              <w:right w:val="nil"/>
            </w:tcBorders>
            <w:hideMark/>
          </w:tcPr>
          <w:p w14:paraId="61BC4BC5" w14:textId="77777777" w:rsidR="00A67F39" w:rsidRPr="001E381A" w:rsidRDefault="00A67F39" w:rsidP="006B2785">
            <w:pPr>
              <w:pStyle w:val="Tabletext"/>
            </w:pPr>
            <w:r w:rsidRPr="001E381A">
              <w:t>Per 100,000 12 to 25 year olds</w:t>
            </w:r>
          </w:p>
        </w:tc>
        <w:tc>
          <w:tcPr>
            <w:tcW w:w="784" w:type="pct"/>
            <w:tcBorders>
              <w:top w:val="single" w:sz="4" w:space="0" w:color="00338D" w:themeColor="background2"/>
              <w:left w:val="nil"/>
              <w:bottom w:val="single" w:sz="4" w:space="0" w:color="00338D" w:themeColor="background2"/>
              <w:right w:val="nil"/>
            </w:tcBorders>
            <w:hideMark/>
          </w:tcPr>
          <w:p w14:paraId="0FB3B4E3" w14:textId="77777777" w:rsidR="00A67F39" w:rsidRPr="001E381A" w:rsidRDefault="00A67F39" w:rsidP="006B2785">
            <w:pPr>
              <w:pStyle w:val="Tabletext"/>
            </w:pPr>
            <w:r w:rsidRPr="001E381A">
              <w:t>2008-09 to 2018-19</w:t>
            </w:r>
          </w:p>
        </w:tc>
        <w:tc>
          <w:tcPr>
            <w:tcW w:w="2223" w:type="pct"/>
            <w:tcBorders>
              <w:top w:val="single" w:sz="4" w:space="0" w:color="00338D" w:themeColor="background2"/>
              <w:left w:val="nil"/>
              <w:bottom w:val="single" w:sz="4" w:space="0" w:color="00338D" w:themeColor="background2"/>
              <w:right w:val="nil"/>
            </w:tcBorders>
            <w:hideMark/>
          </w:tcPr>
          <w:p w14:paraId="7C2F26A7" w14:textId="2B56914B" w:rsidR="00A67F39" w:rsidRDefault="00D43159" w:rsidP="006B2785">
            <w:pPr>
              <w:pStyle w:val="Tabletext"/>
            </w:pPr>
            <w:r w:rsidRPr="00DA7421">
              <w:t xml:space="preserve">AIHW </w:t>
            </w:r>
            <w:r w:rsidR="00A67F39" w:rsidRPr="001E381A">
              <w:t>National Hospital Morbidity Database</w:t>
            </w:r>
            <w:r w:rsidR="00CC0438">
              <w:rPr>
                <w:rFonts w:ascii="ZWAdobeF" w:hAnsi="ZWAdobeF" w:cs="ZWAdobeF"/>
                <w:sz w:val="2"/>
                <w:szCs w:val="2"/>
              </w:rPr>
              <w:t>232F</w:t>
            </w:r>
            <w:r w:rsidR="00A67F39" w:rsidRPr="001E381A">
              <w:rPr>
                <w:rStyle w:val="FootnoteReference"/>
              </w:rPr>
              <w:footnoteReference w:id="234"/>
            </w:r>
            <w:r w:rsidR="008B571D">
              <w:t>.</w:t>
            </w:r>
            <w:r w:rsidR="00A67F39" w:rsidRPr="001E381A">
              <w:t xml:space="preserve"> </w:t>
            </w:r>
          </w:p>
        </w:tc>
      </w:tr>
      <w:tr w:rsidR="00A67F39" w14:paraId="6A8DC03C" w14:textId="77777777" w:rsidTr="00F95AAC">
        <w:trPr>
          <w:trHeight w:val="170"/>
        </w:trPr>
        <w:tc>
          <w:tcPr>
            <w:tcW w:w="1185" w:type="pct"/>
            <w:tcBorders>
              <w:top w:val="single" w:sz="4" w:space="0" w:color="00338D" w:themeColor="background2"/>
              <w:left w:val="nil"/>
              <w:bottom w:val="nil"/>
              <w:right w:val="nil"/>
            </w:tcBorders>
            <w:vAlign w:val="center"/>
            <w:hideMark/>
          </w:tcPr>
          <w:p w14:paraId="45969089" w14:textId="3310AEF5" w:rsidR="00A67F39" w:rsidRPr="001E381A" w:rsidRDefault="00A67F39" w:rsidP="00F95AAC">
            <w:pPr>
              <w:pStyle w:val="Tabletext"/>
              <w:spacing w:line="256" w:lineRule="auto"/>
              <w:rPr>
                <w:i/>
              </w:rPr>
            </w:pPr>
            <w:r w:rsidRPr="7D53CD41">
              <w:rPr>
                <w:i/>
              </w:rPr>
              <w:t>Intentional self-harm hospitalisations</w:t>
            </w:r>
            <w:r w:rsidR="00CC0438">
              <w:rPr>
                <w:rFonts w:ascii="ZWAdobeF" w:hAnsi="ZWAdobeF" w:cs="ZWAdobeF"/>
                <w:sz w:val="2"/>
                <w:szCs w:val="2"/>
              </w:rPr>
              <w:t>233F</w:t>
            </w:r>
            <w:r>
              <w:rPr>
                <w:rStyle w:val="FootnoteReference"/>
              </w:rPr>
              <w:footnoteReference w:id="235"/>
            </w:r>
            <w:r w:rsidRPr="7D53CD41">
              <w:rPr>
                <w:i/>
              </w:rPr>
              <w:t xml:space="preserve"> </w:t>
            </w:r>
            <w:r w:rsidRPr="7D53CD41">
              <w:t xml:space="preserve">(for brevity, </w:t>
            </w:r>
            <w:r w:rsidR="094F8A77">
              <w:t>referred</w:t>
            </w:r>
            <w:r w:rsidRPr="7D53CD41">
              <w:t xml:space="preserve"> to</w:t>
            </w:r>
            <w:r w:rsidDel="009556F2">
              <w:t xml:space="preserve"> </w:t>
            </w:r>
            <w:r w:rsidRPr="7D53CD41">
              <w:t xml:space="preserve">as </w:t>
            </w:r>
            <w:r w:rsidRPr="7D53CD41">
              <w:rPr>
                <w:i/>
              </w:rPr>
              <w:t>self-harm hospitalisations</w:t>
            </w:r>
            <w:r w:rsidRPr="001E381A">
              <w:rPr>
                <w:szCs w:val="20"/>
              </w:rPr>
              <w:t>).</w:t>
            </w:r>
          </w:p>
        </w:tc>
        <w:tc>
          <w:tcPr>
            <w:tcW w:w="808" w:type="pct"/>
            <w:tcBorders>
              <w:top w:val="single" w:sz="4" w:space="0" w:color="00338D" w:themeColor="background2"/>
              <w:left w:val="nil"/>
              <w:bottom w:val="nil"/>
              <w:right w:val="nil"/>
            </w:tcBorders>
            <w:vAlign w:val="center"/>
            <w:hideMark/>
          </w:tcPr>
          <w:p w14:paraId="3C33BC2D" w14:textId="77777777" w:rsidR="00A67F39" w:rsidRPr="001E381A" w:rsidRDefault="00A67F39" w:rsidP="006B2785">
            <w:pPr>
              <w:pStyle w:val="Tabletext"/>
              <w:rPr>
                <w:b/>
              </w:rPr>
            </w:pPr>
            <w:r w:rsidRPr="001E381A">
              <w:t>Per 100,000 12 to 25 year olds</w:t>
            </w:r>
          </w:p>
        </w:tc>
        <w:tc>
          <w:tcPr>
            <w:tcW w:w="784" w:type="pct"/>
            <w:tcBorders>
              <w:top w:val="single" w:sz="4" w:space="0" w:color="00338D" w:themeColor="background2"/>
              <w:left w:val="nil"/>
              <w:bottom w:val="nil"/>
              <w:right w:val="nil"/>
            </w:tcBorders>
            <w:vAlign w:val="center"/>
            <w:hideMark/>
          </w:tcPr>
          <w:p w14:paraId="27C6CD1C" w14:textId="77777777" w:rsidR="00A67F39" w:rsidRPr="001E381A" w:rsidRDefault="00A67F39" w:rsidP="006B2785">
            <w:pPr>
              <w:pStyle w:val="Tabletext"/>
              <w:rPr>
                <w:b/>
              </w:rPr>
            </w:pPr>
            <w:r w:rsidRPr="001E381A">
              <w:t>2008-09 to 2018-19</w:t>
            </w:r>
          </w:p>
        </w:tc>
        <w:tc>
          <w:tcPr>
            <w:tcW w:w="2223" w:type="pct"/>
            <w:tcBorders>
              <w:top w:val="single" w:sz="4" w:space="0" w:color="00338D" w:themeColor="background2"/>
              <w:left w:val="nil"/>
              <w:bottom w:val="nil"/>
              <w:right w:val="nil"/>
            </w:tcBorders>
            <w:vAlign w:val="center"/>
            <w:hideMark/>
          </w:tcPr>
          <w:p w14:paraId="10B77EF2" w14:textId="2214B623" w:rsidR="00A67F39" w:rsidRPr="001E381A" w:rsidRDefault="00D43159" w:rsidP="006B2785">
            <w:pPr>
              <w:pStyle w:val="Tabletext"/>
            </w:pPr>
            <w:r w:rsidRPr="00DA7421">
              <w:t xml:space="preserve">AIHW </w:t>
            </w:r>
            <w:r w:rsidR="00A67F39" w:rsidRPr="001E381A">
              <w:t>National Hospital Morbidity Database</w:t>
            </w:r>
            <w:r w:rsidR="00CC0438">
              <w:rPr>
                <w:rFonts w:ascii="ZWAdobeF" w:hAnsi="ZWAdobeF" w:cs="ZWAdobeF"/>
                <w:sz w:val="2"/>
                <w:szCs w:val="2"/>
              </w:rPr>
              <w:t>234F</w:t>
            </w:r>
            <w:r w:rsidR="00A67F39" w:rsidRPr="001E381A">
              <w:rPr>
                <w:rStyle w:val="FootnoteReference"/>
                <w:szCs w:val="20"/>
              </w:rPr>
              <w:footnoteReference w:id="236"/>
            </w:r>
            <w:r w:rsidR="008B571D">
              <w:t>.</w:t>
            </w:r>
          </w:p>
        </w:tc>
      </w:tr>
      <w:tr w:rsidR="00A67F39" w14:paraId="76CFA919" w14:textId="77777777" w:rsidTr="00F95AAC">
        <w:trPr>
          <w:trHeight w:val="170"/>
        </w:trPr>
        <w:tc>
          <w:tcPr>
            <w:tcW w:w="1185" w:type="pct"/>
            <w:tcBorders>
              <w:top w:val="single" w:sz="4" w:space="0" w:color="00338D" w:themeColor="background2"/>
              <w:left w:val="nil"/>
              <w:bottom w:val="nil"/>
              <w:right w:val="nil"/>
            </w:tcBorders>
            <w:vAlign w:val="center"/>
            <w:hideMark/>
          </w:tcPr>
          <w:p w14:paraId="5B14B216" w14:textId="4979904E" w:rsidR="00A67F39" w:rsidRPr="001E381A" w:rsidRDefault="00A67F39" w:rsidP="00F95AAC">
            <w:pPr>
              <w:pStyle w:val="Tabletext"/>
              <w:spacing w:line="256" w:lineRule="auto"/>
              <w:rPr>
                <w:i/>
              </w:rPr>
            </w:pPr>
            <w:r w:rsidRPr="7D53CD41">
              <w:rPr>
                <w:i/>
              </w:rPr>
              <w:t xml:space="preserve">Illicit drug and alcohol related hospitalisations </w:t>
            </w:r>
            <w:r>
              <w:t xml:space="preserve">(for brevity, </w:t>
            </w:r>
            <w:r w:rsidR="029E4F34">
              <w:t>referred</w:t>
            </w:r>
            <w:r>
              <w:t xml:space="preserve"> to</w:t>
            </w:r>
            <w:r w:rsidDel="00AC58B6">
              <w:t xml:space="preserve"> </w:t>
            </w:r>
            <w:r>
              <w:t>as</w:t>
            </w:r>
            <w:r w:rsidRPr="7D53CD41">
              <w:rPr>
                <w:i/>
              </w:rPr>
              <w:t xml:space="preserve"> substance abuse hospitalisations</w:t>
            </w:r>
            <w:r>
              <w:t>)</w:t>
            </w:r>
          </w:p>
        </w:tc>
        <w:tc>
          <w:tcPr>
            <w:tcW w:w="808" w:type="pct"/>
            <w:tcBorders>
              <w:top w:val="single" w:sz="4" w:space="0" w:color="00338D" w:themeColor="background2"/>
              <w:left w:val="nil"/>
              <w:bottom w:val="nil"/>
              <w:right w:val="nil"/>
            </w:tcBorders>
            <w:vAlign w:val="center"/>
            <w:hideMark/>
          </w:tcPr>
          <w:p w14:paraId="4400CC3C" w14:textId="77777777" w:rsidR="00A67F39" w:rsidRPr="001E381A" w:rsidRDefault="00A67F39" w:rsidP="006B2785">
            <w:pPr>
              <w:pStyle w:val="Tabletext"/>
              <w:rPr>
                <w:b/>
              </w:rPr>
            </w:pPr>
            <w:r w:rsidRPr="001E381A">
              <w:t>Per 100,000 12 to 25 year olds</w:t>
            </w:r>
          </w:p>
        </w:tc>
        <w:tc>
          <w:tcPr>
            <w:tcW w:w="784" w:type="pct"/>
            <w:tcBorders>
              <w:top w:val="single" w:sz="4" w:space="0" w:color="00338D" w:themeColor="background2"/>
              <w:left w:val="nil"/>
              <w:bottom w:val="nil"/>
              <w:right w:val="nil"/>
            </w:tcBorders>
            <w:vAlign w:val="center"/>
            <w:hideMark/>
          </w:tcPr>
          <w:p w14:paraId="6DA7F642" w14:textId="77777777" w:rsidR="00A67F39" w:rsidRPr="001E381A" w:rsidRDefault="00A67F39" w:rsidP="006B2785">
            <w:pPr>
              <w:pStyle w:val="Tabletext"/>
              <w:rPr>
                <w:b/>
              </w:rPr>
            </w:pPr>
            <w:r w:rsidRPr="001E381A">
              <w:t>2008-09 to 2018-19</w:t>
            </w:r>
          </w:p>
        </w:tc>
        <w:tc>
          <w:tcPr>
            <w:tcW w:w="2223" w:type="pct"/>
            <w:tcBorders>
              <w:top w:val="single" w:sz="4" w:space="0" w:color="00338D" w:themeColor="background2"/>
              <w:left w:val="nil"/>
              <w:bottom w:val="nil"/>
              <w:right w:val="nil"/>
            </w:tcBorders>
            <w:vAlign w:val="center"/>
            <w:hideMark/>
          </w:tcPr>
          <w:p w14:paraId="5F9F215C" w14:textId="0F9C1AFC" w:rsidR="00A67F39" w:rsidRPr="001E381A" w:rsidRDefault="00D43159" w:rsidP="006B2785">
            <w:pPr>
              <w:pStyle w:val="Tabletext"/>
              <w:rPr>
                <w:b/>
              </w:rPr>
            </w:pPr>
            <w:r w:rsidRPr="00DA7421">
              <w:t xml:space="preserve">AIHW </w:t>
            </w:r>
            <w:r w:rsidR="00A67F39" w:rsidRPr="001E381A">
              <w:t>National Hospital Morbidity Database</w:t>
            </w:r>
            <w:r w:rsidR="00CC0438">
              <w:rPr>
                <w:rFonts w:ascii="ZWAdobeF" w:hAnsi="ZWAdobeF" w:cs="ZWAdobeF"/>
                <w:sz w:val="2"/>
                <w:szCs w:val="2"/>
              </w:rPr>
              <w:t>235F</w:t>
            </w:r>
            <w:r w:rsidR="00A67F39" w:rsidRPr="001E381A">
              <w:rPr>
                <w:rStyle w:val="FootnoteReference"/>
                <w:szCs w:val="20"/>
              </w:rPr>
              <w:footnoteReference w:id="237"/>
            </w:r>
            <w:r w:rsidR="004C2E8A">
              <w:t>.</w:t>
            </w:r>
          </w:p>
        </w:tc>
      </w:tr>
      <w:tr w:rsidR="00A67F39" w14:paraId="24F15DFE" w14:textId="77777777" w:rsidTr="00F95AAC">
        <w:trPr>
          <w:trHeight w:val="170"/>
        </w:trPr>
        <w:tc>
          <w:tcPr>
            <w:tcW w:w="1185" w:type="pct"/>
            <w:tcBorders>
              <w:top w:val="single" w:sz="4" w:space="0" w:color="00338D" w:themeColor="background2"/>
              <w:left w:val="nil"/>
              <w:bottom w:val="nil"/>
              <w:right w:val="nil"/>
            </w:tcBorders>
            <w:vAlign w:val="center"/>
            <w:hideMark/>
          </w:tcPr>
          <w:p w14:paraId="17972CC1" w14:textId="751FCAA8" w:rsidR="00A67F39" w:rsidRPr="001E381A" w:rsidRDefault="00A67F39" w:rsidP="00F95AAC">
            <w:pPr>
              <w:pStyle w:val="Tabletext"/>
              <w:spacing w:line="256" w:lineRule="auto"/>
              <w:rPr>
                <w:i/>
                <w:szCs w:val="20"/>
              </w:rPr>
            </w:pPr>
            <w:r w:rsidRPr="001E381A">
              <w:rPr>
                <w:i/>
                <w:szCs w:val="20"/>
              </w:rPr>
              <w:t xml:space="preserve">Deaths from intentional self-harm </w:t>
            </w:r>
            <w:r w:rsidRPr="001E381A">
              <w:rPr>
                <w:szCs w:val="20"/>
              </w:rPr>
              <w:t>(for brevity, refe</w:t>
            </w:r>
            <w:r w:rsidR="004D1498">
              <w:rPr>
                <w:szCs w:val="20"/>
              </w:rPr>
              <w:t>r</w:t>
            </w:r>
            <w:r w:rsidRPr="001E381A">
              <w:rPr>
                <w:szCs w:val="20"/>
              </w:rPr>
              <w:t>r</w:t>
            </w:r>
            <w:r w:rsidR="00AC58B6">
              <w:rPr>
                <w:szCs w:val="20"/>
              </w:rPr>
              <w:t>ed</w:t>
            </w:r>
            <w:r w:rsidRPr="001E381A">
              <w:rPr>
                <w:szCs w:val="20"/>
              </w:rPr>
              <w:t xml:space="preserve"> to</w:t>
            </w:r>
            <w:r w:rsidRPr="001E381A" w:rsidDel="00AC58B6">
              <w:rPr>
                <w:szCs w:val="20"/>
              </w:rPr>
              <w:t xml:space="preserve"> </w:t>
            </w:r>
            <w:r w:rsidRPr="001E381A">
              <w:rPr>
                <w:szCs w:val="20"/>
              </w:rPr>
              <w:t>as</w:t>
            </w:r>
            <w:r w:rsidRPr="001E381A">
              <w:rPr>
                <w:i/>
                <w:szCs w:val="20"/>
              </w:rPr>
              <w:t xml:space="preserve"> suicides)</w:t>
            </w:r>
          </w:p>
        </w:tc>
        <w:tc>
          <w:tcPr>
            <w:tcW w:w="808" w:type="pct"/>
            <w:tcBorders>
              <w:top w:val="single" w:sz="4" w:space="0" w:color="00338D" w:themeColor="background2"/>
              <w:left w:val="nil"/>
              <w:bottom w:val="nil"/>
              <w:right w:val="nil"/>
            </w:tcBorders>
            <w:vAlign w:val="center"/>
            <w:hideMark/>
          </w:tcPr>
          <w:p w14:paraId="1D9CA794" w14:textId="77777777" w:rsidR="00A67F39" w:rsidRPr="001E381A" w:rsidRDefault="00A67F39" w:rsidP="006B2785">
            <w:pPr>
              <w:pStyle w:val="Tabletext"/>
              <w:rPr>
                <w:b/>
              </w:rPr>
            </w:pPr>
            <w:r w:rsidRPr="001E381A">
              <w:t>Per 100,000 12 to 25 year olds</w:t>
            </w:r>
          </w:p>
        </w:tc>
        <w:tc>
          <w:tcPr>
            <w:tcW w:w="784" w:type="pct"/>
            <w:tcBorders>
              <w:top w:val="single" w:sz="4" w:space="0" w:color="00338D" w:themeColor="background2"/>
              <w:left w:val="nil"/>
              <w:bottom w:val="nil"/>
              <w:right w:val="nil"/>
            </w:tcBorders>
            <w:vAlign w:val="center"/>
            <w:hideMark/>
          </w:tcPr>
          <w:p w14:paraId="1DD5ACD6" w14:textId="77777777" w:rsidR="00A67F39" w:rsidRPr="001E381A" w:rsidRDefault="00A67F39" w:rsidP="006B2785">
            <w:pPr>
              <w:pStyle w:val="Tabletext"/>
              <w:rPr>
                <w:b/>
              </w:rPr>
            </w:pPr>
            <w:r w:rsidRPr="001E381A">
              <w:t>2008-09 to 2018-19</w:t>
            </w:r>
          </w:p>
        </w:tc>
        <w:tc>
          <w:tcPr>
            <w:tcW w:w="2223" w:type="pct"/>
            <w:tcBorders>
              <w:top w:val="single" w:sz="4" w:space="0" w:color="00338D" w:themeColor="background2"/>
              <w:left w:val="nil"/>
              <w:bottom w:val="nil"/>
              <w:right w:val="nil"/>
            </w:tcBorders>
            <w:vAlign w:val="center"/>
            <w:hideMark/>
          </w:tcPr>
          <w:p w14:paraId="2D3B21CC" w14:textId="3420A372" w:rsidR="003739B0" w:rsidRDefault="00DA7421" w:rsidP="006B2785">
            <w:pPr>
              <w:pStyle w:val="Tabletext"/>
            </w:pPr>
            <w:r w:rsidRPr="00DA7421">
              <w:t>Deaths data are from AIHW National Mortality Database.</w:t>
            </w:r>
            <w:r w:rsidR="003739B0">
              <w:t xml:space="preserve"> </w:t>
            </w:r>
          </w:p>
          <w:p w14:paraId="29545FF1" w14:textId="72C3E6D9" w:rsidR="00A67F39" w:rsidRPr="003739B0" w:rsidRDefault="006A1453" w:rsidP="006B2785">
            <w:pPr>
              <w:pStyle w:val="Tabletext"/>
            </w:pPr>
            <w:r>
              <w:t xml:space="preserve">The </w:t>
            </w:r>
            <w:r w:rsidR="0001511E">
              <w:t>C</w:t>
            </w:r>
            <w:r w:rsidR="003739B0" w:rsidRPr="003739B0">
              <w:t>ause of Death Unit Record File data are provided to the AIHW by the Registries of Births, Deaths and Marriages and the National Coronial Information System (managed by the Victorian Department of Justice) and include cause of death coded by the Australian Bureau of Statistics (ABS). The data are maintained by the AIHW in the National Mortality Database.</w:t>
            </w:r>
            <w:r w:rsidR="003739B0">
              <w:t xml:space="preserve"> </w:t>
            </w:r>
            <w:r w:rsidR="00CC0438">
              <w:rPr>
                <w:rFonts w:ascii="ZWAdobeF" w:hAnsi="ZWAdobeF" w:cs="ZWAdobeF"/>
                <w:sz w:val="2"/>
                <w:szCs w:val="2"/>
              </w:rPr>
              <w:t>236F</w:t>
            </w:r>
            <w:r w:rsidR="00A67F39" w:rsidRPr="001E381A">
              <w:rPr>
                <w:rStyle w:val="FootnoteReference"/>
                <w:szCs w:val="20"/>
              </w:rPr>
              <w:footnoteReference w:id="238"/>
            </w:r>
            <w:r w:rsidR="004C2E8A">
              <w:t>.</w:t>
            </w:r>
          </w:p>
        </w:tc>
      </w:tr>
      <w:tr w:rsidR="00A67F39" w14:paraId="4B5EA60B" w14:textId="77777777" w:rsidTr="00F95AAC">
        <w:trPr>
          <w:trHeight w:val="170"/>
        </w:trPr>
        <w:tc>
          <w:tcPr>
            <w:tcW w:w="1185" w:type="pct"/>
            <w:tcBorders>
              <w:top w:val="single" w:sz="4" w:space="0" w:color="00338D" w:themeColor="background2"/>
              <w:left w:val="nil"/>
              <w:bottom w:val="single" w:sz="4" w:space="0" w:color="00338D" w:themeColor="background2"/>
              <w:right w:val="nil"/>
            </w:tcBorders>
            <w:vAlign w:val="center"/>
            <w:hideMark/>
          </w:tcPr>
          <w:p w14:paraId="5AAFB103" w14:textId="2EEF8646" w:rsidR="00A67F39" w:rsidRPr="001E381A" w:rsidRDefault="00A67F39" w:rsidP="00F95AAC">
            <w:pPr>
              <w:pStyle w:val="Tabletext"/>
              <w:spacing w:line="256" w:lineRule="auto"/>
              <w:rPr>
                <w:i/>
                <w:szCs w:val="20"/>
              </w:rPr>
            </w:pPr>
            <w:r w:rsidRPr="001E381A">
              <w:rPr>
                <w:i/>
                <w:szCs w:val="20"/>
              </w:rPr>
              <w:t>Mental health emergency department presen</w:t>
            </w:r>
            <w:r w:rsidR="002D72F8">
              <w:rPr>
                <w:i/>
                <w:szCs w:val="20"/>
              </w:rPr>
              <w:t>ta</w:t>
            </w:r>
            <w:r w:rsidRPr="001E381A">
              <w:rPr>
                <w:i/>
                <w:szCs w:val="20"/>
              </w:rPr>
              <w:t>tions</w:t>
            </w:r>
          </w:p>
        </w:tc>
        <w:tc>
          <w:tcPr>
            <w:tcW w:w="808" w:type="pct"/>
            <w:tcBorders>
              <w:top w:val="single" w:sz="4" w:space="0" w:color="00338D" w:themeColor="background2"/>
              <w:left w:val="nil"/>
              <w:bottom w:val="single" w:sz="4" w:space="0" w:color="00338D" w:themeColor="background2"/>
              <w:right w:val="nil"/>
            </w:tcBorders>
            <w:vAlign w:val="center"/>
            <w:hideMark/>
          </w:tcPr>
          <w:p w14:paraId="2126B4D5" w14:textId="77777777" w:rsidR="00A67F39" w:rsidRPr="001E381A" w:rsidRDefault="00A67F39" w:rsidP="00F95AAC">
            <w:pPr>
              <w:pStyle w:val="Tabletext"/>
              <w:spacing w:line="256" w:lineRule="auto"/>
              <w:rPr>
                <w:szCs w:val="20"/>
              </w:rPr>
            </w:pPr>
            <w:r w:rsidRPr="001E381A">
              <w:rPr>
                <w:szCs w:val="20"/>
              </w:rPr>
              <w:t>Per 100,000 12 to 25 year olds</w:t>
            </w:r>
          </w:p>
        </w:tc>
        <w:tc>
          <w:tcPr>
            <w:tcW w:w="784" w:type="pct"/>
            <w:tcBorders>
              <w:top w:val="single" w:sz="4" w:space="0" w:color="00338D" w:themeColor="background2"/>
              <w:left w:val="nil"/>
              <w:bottom w:val="single" w:sz="4" w:space="0" w:color="00338D" w:themeColor="background2"/>
              <w:right w:val="nil"/>
            </w:tcBorders>
            <w:vAlign w:val="center"/>
            <w:hideMark/>
          </w:tcPr>
          <w:p w14:paraId="64F402B4" w14:textId="77777777" w:rsidR="00A67F39" w:rsidRPr="001E381A" w:rsidRDefault="00A67F39" w:rsidP="00F95AAC">
            <w:pPr>
              <w:pStyle w:val="Tabletext"/>
              <w:spacing w:line="256" w:lineRule="auto"/>
              <w:rPr>
                <w:szCs w:val="20"/>
              </w:rPr>
            </w:pPr>
            <w:r w:rsidRPr="001E381A">
              <w:rPr>
                <w:szCs w:val="20"/>
              </w:rPr>
              <w:t>2013-14 to 2018-19</w:t>
            </w:r>
          </w:p>
        </w:tc>
        <w:tc>
          <w:tcPr>
            <w:tcW w:w="2223" w:type="pct"/>
            <w:tcBorders>
              <w:top w:val="single" w:sz="4" w:space="0" w:color="00338D" w:themeColor="background2"/>
              <w:left w:val="nil"/>
              <w:bottom w:val="single" w:sz="4" w:space="0" w:color="00338D" w:themeColor="background2"/>
              <w:right w:val="nil"/>
            </w:tcBorders>
            <w:vAlign w:val="center"/>
            <w:hideMark/>
          </w:tcPr>
          <w:p w14:paraId="00189D7E" w14:textId="34337B38" w:rsidR="00A67F39" w:rsidRPr="001E381A" w:rsidRDefault="00A67F39" w:rsidP="001636C8">
            <w:pPr>
              <w:pStyle w:val="Tabletext"/>
            </w:pPr>
            <w:r w:rsidRPr="001E381A">
              <w:t>AIHW</w:t>
            </w:r>
            <w:r w:rsidR="006A032E">
              <w:t>.</w:t>
            </w:r>
          </w:p>
        </w:tc>
      </w:tr>
      <w:tr w:rsidR="00A67F39" w14:paraId="317D692C" w14:textId="77777777" w:rsidTr="00F95AAC">
        <w:trPr>
          <w:trHeight w:val="170"/>
        </w:trPr>
        <w:tc>
          <w:tcPr>
            <w:tcW w:w="1185" w:type="pct"/>
            <w:tcBorders>
              <w:top w:val="single" w:sz="4" w:space="0" w:color="00338D" w:themeColor="background2"/>
              <w:left w:val="nil"/>
              <w:bottom w:val="single" w:sz="4" w:space="0" w:color="00338D" w:themeColor="background2"/>
              <w:right w:val="nil"/>
            </w:tcBorders>
            <w:vAlign w:val="center"/>
            <w:hideMark/>
          </w:tcPr>
          <w:p w14:paraId="0914C17A" w14:textId="607C009A" w:rsidR="00A67F39" w:rsidRPr="001E381A" w:rsidRDefault="00A67F39" w:rsidP="00F95AAC">
            <w:pPr>
              <w:pStyle w:val="Tabletext"/>
              <w:spacing w:line="256" w:lineRule="auto"/>
              <w:rPr>
                <w:i/>
                <w:szCs w:val="20"/>
              </w:rPr>
            </w:pPr>
            <w:r w:rsidRPr="001E381A">
              <w:rPr>
                <w:i/>
                <w:szCs w:val="20"/>
              </w:rPr>
              <w:t>Medicare-subsidised mental health specific services</w:t>
            </w:r>
            <w:r w:rsidR="00CC0438">
              <w:rPr>
                <w:rFonts w:ascii="ZWAdobeF" w:hAnsi="ZWAdobeF" w:cs="ZWAdobeF"/>
                <w:sz w:val="2"/>
                <w:szCs w:val="2"/>
              </w:rPr>
              <w:t>237F</w:t>
            </w:r>
            <w:r w:rsidRPr="001E381A">
              <w:rPr>
                <w:rStyle w:val="FootnoteReference"/>
                <w:i/>
                <w:szCs w:val="20"/>
              </w:rPr>
              <w:footnoteReference w:id="239"/>
            </w:r>
            <w:r w:rsidRPr="001E381A">
              <w:rPr>
                <w:i/>
                <w:szCs w:val="20"/>
              </w:rPr>
              <w:t xml:space="preserve"> </w:t>
            </w:r>
          </w:p>
        </w:tc>
        <w:tc>
          <w:tcPr>
            <w:tcW w:w="808" w:type="pct"/>
            <w:tcBorders>
              <w:top w:val="single" w:sz="4" w:space="0" w:color="00338D" w:themeColor="background2"/>
              <w:left w:val="nil"/>
              <w:bottom w:val="single" w:sz="4" w:space="0" w:color="00338D" w:themeColor="background2"/>
              <w:right w:val="nil"/>
            </w:tcBorders>
            <w:vAlign w:val="center"/>
            <w:hideMark/>
          </w:tcPr>
          <w:p w14:paraId="7C4F1F63" w14:textId="77777777" w:rsidR="00A67F39" w:rsidRPr="001E381A" w:rsidRDefault="00A67F39" w:rsidP="00F95AAC">
            <w:pPr>
              <w:pStyle w:val="Tabletext"/>
              <w:spacing w:line="256" w:lineRule="auto"/>
              <w:rPr>
                <w:szCs w:val="20"/>
              </w:rPr>
            </w:pPr>
            <w:r w:rsidRPr="001E381A">
              <w:rPr>
                <w:szCs w:val="20"/>
              </w:rPr>
              <w:t>Per 100,000 12 to 25 year olds</w:t>
            </w:r>
          </w:p>
        </w:tc>
        <w:tc>
          <w:tcPr>
            <w:tcW w:w="784" w:type="pct"/>
            <w:tcBorders>
              <w:top w:val="single" w:sz="4" w:space="0" w:color="00338D" w:themeColor="background2"/>
              <w:left w:val="nil"/>
              <w:bottom w:val="single" w:sz="4" w:space="0" w:color="00338D" w:themeColor="background2"/>
              <w:right w:val="nil"/>
            </w:tcBorders>
            <w:vAlign w:val="center"/>
            <w:hideMark/>
          </w:tcPr>
          <w:p w14:paraId="02741068" w14:textId="77777777" w:rsidR="00A67F39" w:rsidRPr="001E381A" w:rsidRDefault="00A67F39" w:rsidP="00F95AAC">
            <w:pPr>
              <w:pStyle w:val="Tabletext"/>
              <w:spacing w:line="256" w:lineRule="auto"/>
              <w:rPr>
                <w:szCs w:val="20"/>
              </w:rPr>
            </w:pPr>
            <w:r w:rsidRPr="001E381A">
              <w:rPr>
                <w:szCs w:val="20"/>
              </w:rPr>
              <w:t>2008-09 to 2018-19</w:t>
            </w:r>
          </w:p>
        </w:tc>
        <w:tc>
          <w:tcPr>
            <w:tcW w:w="2223" w:type="pct"/>
            <w:tcBorders>
              <w:top w:val="single" w:sz="4" w:space="0" w:color="00338D" w:themeColor="background2"/>
              <w:left w:val="nil"/>
              <w:bottom w:val="single" w:sz="4" w:space="0" w:color="00338D" w:themeColor="background2"/>
              <w:right w:val="nil"/>
            </w:tcBorders>
            <w:vAlign w:val="center"/>
          </w:tcPr>
          <w:p w14:paraId="39A60793" w14:textId="77777777" w:rsidR="00A67F39" w:rsidRPr="001E381A" w:rsidRDefault="00A67F39" w:rsidP="001636C8">
            <w:pPr>
              <w:pStyle w:val="Tabletext"/>
            </w:pPr>
            <w:r w:rsidRPr="001E381A">
              <w:t>Services Australia.</w:t>
            </w:r>
          </w:p>
        </w:tc>
      </w:tr>
    </w:tbl>
    <w:p w14:paraId="6A8BA547" w14:textId="77777777" w:rsidR="00EA2406" w:rsidRDefault="00EA2406" w:rsidP="001268EC">
      <w:pPr>
        <w:pStyle w:val="Source"/>
      </w:pPr>
      <w:r w:rsidRPr="00055013">
        <w:t>Source: KPMG</w:t>
      </w:r>
      <w:r>
        <w:t xml:space="preserve"> 2022</w:t>
      </w:r>
    </w:p>
    <w:p w14:paraId="1CA5D256" w14:textId="41409CC4" w:rsidR="00A67F39" w:rsidRDefault="00A67F39" w:rsidP="00A67F39">
      <w:pPr>
        <w:pStyle w:val="BodyText"/>
      </w:pPr>
      <w:r>
        <w:t xml:space="preserve">This analysis adjusted the </w:t>
      </w:r>
      <w:r>
        <w:rPr>
          <w:i/>
          <w:iCs/>
        </w:rPr>
        <w:t>Medicare-subsidised mental health specific-services</w:t>
      </w:r>
      <w:r>
        <w:t xml:space="preserve"> variable by subtracting the number of Medicare-subsidised mental health-specific services provided by headspace. This is done to examine the impact of headspace on mental health-specific services outside the headspace </w:t>
      </w:r>
      <w:r w:rsidRPr="00E10218">
        <w:t>program</w:t>
      </w:r>
      <w:r>
        <w:t>. However, the estimated number of headspace provided Medicare-subsidised mental health</w:t>
      </w:r>
      <w:r w:rsidR="004C2E8A">
        <w:noBreakHyphen/>
      </w:r>
      <w:r>
        <w:t xml:space="preserve">specific services are only available for 2013-14 to 2018-19. </w:t>
      </w:r>
    </w:p>
    <w:p w14:paraId="2082ECEF" w14:textId="77777777" w:rsidR="00A67F39" w:rsidRDefault="00A67F39" w:rsidP="001636C8">
      <w:pPr>
        <w:pStyle w:val="Heading4"/>
      </w:pPr>
      <w:r>
        <w:t>headspace services</w:t>
      </w:r>
    </w:p>
    <w:p w14:paraId="59C84F6F" w14:textId="77777777" w:rsidR="00A67F39" w:rsidRDefault="00A67F39" w:rsidP="003006A8">
      <w:pPr>
        <w:pStyle w:val="BodyText"/>
      </w:pPr>
      <w:r>
        <w:t xml:space="preserve">The DID analysis requires an intervention variable to represent the causal link between the headspace intervention and area-level outcomes. For this analysis, three options are considered: </w:t>
      </w:r>
    </w:p>
    <w:p w14:paraId="749C4185" w14:textId="77777777" w:rsidR="00A67F39" w:rsidRDefault="00A67F39" w:rsidP="00A72CC4">
      <w:pPr>
        <w:pStyle w:val="Number1stlevel0"/>
        <w:keepNext/>
        <w:numPr>
          <w:ilvl w:val="0"/>
          <w:numId w:val="10"/>
        </w:numPr>
        <w:ind w:left="714" w:hanging="357"/>
      </w:pPr>
      <w:r>
        <w:t>Number of headspace services.</w:t>
      </w:r>
    </w:p>
    <w:p w14:paraId="298A703F" w14:textId="77777777" w:rsidR="00A67F39" w:rsidRPr="00EF2B58" w:rsidRDefault="00A67F39" w:rsidP="00A72CC4">
      <w:pPr>
        <w:pStyle w:val="Number1stlevel0"/>
        <w:keepNext/>
        <w:numPr>
          <w:ilvl w:val="0"/>
          <w:numId w:val="10"/>
        </w:numPr>
        <w:ind w:left="714" w:hanging="357"/>
      </w:pPr>
      <w:r w:rsidRPr="00B43D06">
        <w:t>Number of headspace clients per 1,000 young p</w:t>
      </w:r>
      <w:r w:rsidRPr="00EF74A7">
        <w:t>ersons</w:t>
      </w:r>
      <w:r w:rsidRPr="00EF2B58">
        <w:t>.</w:t>
      </w:r>
    </w:p>
    <w:p w14:paraId="3F00EE23" w14:textId="77777777" w:rsidR="00A67F39" w:rsidRPr="00C260A3" w:rsidRDefault="00A67F39" w:rsidP="00A72CC4">
      <w:pPr>
        <w:pStyle w:val="Number1stlevel0"/>
        <w:numPr>
          <w:ilvl w:val="0"/>
          <w:numId w:val="10"/>
        </w:numPr>
        <w:ind w:left="714" w:hanging="357"/>
      </w:pPr>
      <w:r w:rsidRPr="00441439">
        <w:t>Ratio</w:t>
      </w:r>
      <w:r w:rsidRPr="00C260A3">
        <w:t xml:space="preserve"> of headspace services to MBS-funded mental health services.</w:t>
      </w:r>
    </w:p>
    <w:p w14:paraId="21BC98F9" w14:textId="77777777" w:rsidR="00A67F39" w:rsidRDefault="00A67F39" w:rsidP="00A67F39">
      <w:pPr>
        <w:pStyle w:val="BodyText"/>
      </w:pPr>
      <w:r>
        <w:t>As the benefits from headspace may not be realised immediately, a lagged impact of up to three years for each of the intervention levers is also considered.</w:t>
      </w:r>
    </w:p>
    <w:p w14:paraId="477C6906" w14:textId="77777777" w:rsidR="002A6A78" w:rsidRDefault="002A6A78" w:rsidP="001636C8">
      <w:pPr>
        <w:pStyle w:val="AppendixHeading3"/>
      </w:pPr>
      <w:r>
        <w:t>Results</w:t>
      </w:r>
    </w:p>
    <w:p w14:paraId="0AD5ED90" w14:textId="77777777" w:rsidR="002A6A78" w:rsidRDefault="002A6A78" w:rsidP="001636C8">
      <w:pPr>
        <w:pStyle w:val="Heading4"/>
      </w:pPr>
      <w:r>
        <w:t>Number of headspace services</w:t>
      </w:r>
    </w:p>
    <w:p w14:paraId="4C0773BF" w14:textId="2A5A8454" w:rsidR="002A6A78" w:rsidRDefault="002E6067" w:rsidP="003006A8">
      <w:pPr>
        <w:pStyle w:val="BodyText"/>
      </w:pPr>
      <w:r>
        <w:fldChar w:fldCharType="begin" w:fldLock="1"/>
      </w:r>
      <w:r>
        <w:instrText xml:space="preserve"> REF _Ref97749840 \h </w:instrText>
      </w:r>
      <w:r>
        <w:fldChar w:fldCharType="separate"/>
      </w:r>
      <w:r w:rsidR="00383E5A">
        <w:t>Table 77</w:t>
      </w:r>
      <w:r>
        <w:fldChar w:fldCharType="end"/>
      </w:r>
      <w:r w:rsidR="002A6A78">
        <w:t xml:space="preserve"> summarises the impact a new headspace service, and the lagged effect of a new headspace service one, two and three years ago, had on the outcome measures. There is evidence of a three year lagged effect of a new service on self-harm hospitalisations within a PHN, with each new service associated with a lagged reduction in the number of self-harm hospitalisations by 14.1 per 100,000 young persons. Given the average annual growth in self-harm hospitalisations over the study period was 7 per 100,000 per annum, this is a meaningful impact.</w:t>
      </w:r>
      <w:r w:rsidR="00586C6E">
        <w:t xml:space="preserve"> Unfortunately, as this report shows later on, this result is not </w:t>
      </w:r>
      <w:r w:rsidR="0030681F">
        <w:t>consistently derived when using</w:t>
      </w:r>
      <w:r w:rsidR="00586C6E">
        <w:t xml:space="preserve"> </w:t>
      </w:r>
      <w:r w:rsidR="00C7239E" w:rsidDel="0030681F">
        <w:t>alternative</w:t>
      </w:r>
      <w:r w:rsidR="00586C6E">
        <w:t xml:space="preserve"> </w:t>
      </w:r>
      <w:r w:rsidR="00FB3F7D">
        <w:t xml:space="preserve">measures of </w:t>
      </w:r>
      <w:r w:rsidR="0030681F">
        <w:t>the headspace treatment effect</w:t>
      </w:r>
      <w:r w:rsidR="00586C6E">
        <w:t>.</w:t>
      </w:r>
    </w:p>
    <w:p w14:paraId="54F03656" w14:textId="4B469CF9" w:rsidR="002A6A78" w:rsidRDefault="002A6A78" w:rsidP="002A6A78">
      <w:pPr>
        <w:pStyle w:val="BodyText"/>
      </w:pPr>
      <w:r>
        <w:t>The analysis also suggests that each new headspace service is associated with an immediate and lagged impact on the number of substance abuse hospitalisations. Each new service reduced the number of hospitalisations by 30 per 100,000 young persons in three years, and by 36 during the current financial year. This is a meaningful reduction when compared to an average annual growth rate of 9.1 substance abuse hospitalisations per 100,000 young persons.</w:t>
      </w:r>
      <w:r w:rsidR="00A840CE">
        <w:t xml:space="preserve"> However, as above, this result is not consistently derived when using alternat</w:t>
      </w:r>
      <w:r w:rsidR="00D62786">
        <w:t>iv</w:t>
      </w:r>
      <w:r w:rsidR="00A840CE">
        <w:t>e measures of the headspace treatment effect.</w:t>
      </w:r>
    </w:p>
    <w:p w14:paraId="1E6153D1" w14:textId="00A0BADD" w:rsidR="00D74628" w:rsidRDefault="002A6A78" w:rsidP="002A6A78">
      <w:pPr>
        <w:pStyle w:val="BodyText"/>
      </w:pPr>
      <w:r>
        <w:t>There were no statistically significant impacts observed from a new headspace service on the PHN’s number of mental health related hospitalisations, suicide deaths, MBS-subsidised mental health services, and mental health emergency department presentations.</w:t>
      </w:r>
    </w:p>
    <w:p w14:paraId="312D5D05" w14:textId="77777777" w:rsidR="00D74628" w:rsidRDefault="00D74628">
      <w:pPr>
        <w:spacing w:before="0" w:after="160" w:line="259" w:lineRule="auto"/>
      </w:pPr>
      <w:r>
        <w:br w:type="page"/>
      </w:r>
    </w:p>
    <w:p w14:paraId="16D932D9" w14:textId="106A6720" w:rsidR="002A6A78" w:rsidRDefault="002A6A78" w:rsidP="002A6A78">
      <w:pPr>
        <w:pStyle w:val="Caption"/>
      </w:pPr>
      <w:bookmarkStart w:id="368" w:name="_Ref97749840"/>
      <w:bookmarkStart w:id="369" w:name="_Toc108109027"/>
      <w:r>
        <w:t xml:space="preserve">Table </w:t>
      </w:r>
      <w:r>
        <w:fldChar w:fldCharType="begin"/>
      </w:r>
      <w:r>
        <w:instrText>SEQ Table \* ARABIC</w:instrText>
      </w:r>
      <w:r>
        <w:fldChar w:fldCharType="separate"/>
      </w:r>
      <w:r w:rsidR="00CC0438">
        <w:rPr>
          <w:noProof/>
        </w:rPr>
        <w:t>77</w:t>
      </w:r>
      <w:r>
        <w:fldChar w:fldCharType="end"/>
      </w:r>
      <w:bookmarkEnd w:id="368"/>
      <w:r>
        <w:t>: Difference-in-Difference analysis of the impact of number of headspace services on area-level measures of mental health</w:t>
      </w:r>
      <w:bookmarkEnd w:id="369"/>
    </w:p>
    <w:tbl>
      <w:tblPr>
        <w:tblW w:w="5001" w:type="pct"/>
        <w:tblLook w:val="04A0" w:firstRow="1" w:lastRow="0" w:firstColumn="1" w:lastColumn="0" w:noHBand="0" w:noVBand="1"/>
        <w:tblCaption w:val="Difference-in-difference analysis of the impact of the number of headspace services on area-level measures of mental health."/>
        <w:tblDescription w:val="Table has 7 columns and summarises the impact a new headspace service, and the lagged impact of a new headspace service 1, 2 and 3 years ago has on area levels measures of mental health. Column 1 lists the independent variables considered. Column 2 lists the results for mental health-related hospitalisations. Column 3 lists the results for self-harm related hospitalisations. Column 4 lists the results for substance abuse hospitalisations. Column 5 lists the results for suicide deaths. Column 6 lists the results for MBS-based mental health services. Column 7 lists the results for mental health emergency department presentations."/>
      </w:tblPr>
      <w:tblGrid>
        <w:gridCol w:w="1626"/>
        <w:gridCol w:w="1227"/>
        <w:gridCol w:w="1216"/>
        <w:gridCol w:w="1217"/>
        <w:gridCol w:w="1070"/>
        <w:gridCol w:w="1116"/>
        <w:gridCol w:w="1600"/>
      </w:tblGrid>
      <w:tr w:rsidR="009A7314" w:rsidRPr="001636C8" w14:paraId="4AE75985" w14:textId="77777777" w:rsidTr="009A7314">
        <w:trPr>
          <w:tblHeader/>
        </w:trPr>
        <w:tc>
          <w:tcPr>
            <w:tcW w:w="896" w:type="pct"/>
            <w:vMerge w:val="restart"/>
            <w:tcBorders>
              <w:top w:val="nil"/>
              <w:left w:val="nil"/>
              <w:right w:val="nil"/>
            </w:tcBorders>
            <w:shd w:val="clear" w:color="auto" w:fill="00338D"/>
            <w:vAlign w:val="bottom"/>
            <w:hideMark/>
          </w:tcPr>
          <w:p w14:paraId="258071F8" w14:textId="77777777" w:rsidR="009A7314" w:rsidRPr="001636C8" w:rsidRDefault="009A7314" w:rsidP="001636C8">
            <w:pPr>
              <w:pStyle w:val="Tableheading"/>
              <w:spacing w:line="256" w:lineRule="auto"/>
            </w:pPr>
            <w:r w:rsidRPr="001636C8">
              <w:t>Independent variables</w:t>
            </w:r>
          </w:p>
        </w:tc>
        <w:tc>
          <w:tcPr>
            <w:tcW w:w="4104" w:type="pct"/>
            <w:gridSpan w:val="6"/>
            <w:tcBorders>
              <w:top w:val="nil"/>
              <w:left w:val="nil"/>
              <w:bottom w:val="single" w:sz="4" w:space="0" w:color="00338D"/>
              <w:right w:val="nil"/>
            </w:tcBorders>
            <w:shd w:val="clear" w:color="auto" w:fill="00338D"/>
            <w:hideMark/>
          </w:tcPr>
          <w:p w14:paraId="7BA3830C" w14:textId="52F13EAA" w:rsidR="009A7314" w:rsidRPr="001636C8" w:rsidRDefault="009A7314" w:rsidP="00F27C38">
            <w:pPr>
              <w:pStyle w:val="Tableheading"/>
              <w:spacing w:line="256" w:lineRule="auto"/>
              <w:jc w:val="center"/>
              <w:rPr>
                <w:i/>
                <w:iCs/>
              </w:rPr>
            </w:pPr>
            <w:r w:rsidRPr="001636C8">
              <w:rPr>
                <w:i/>
                <w:iCs/>
              </w:rPr>
              <w:t>Dependent variable</w:t>
            </w:r>
            <w:r>
              <w:rPr>
                <w:i/>
                <w:iCs/>
              </w:rPr>
              <w:t>s</w:t>
            </w:r>
          </w:p>
        </w:tc>
      </w:tr>
      <w:tr w:rsidR="00AD703D" w:rsidRPr="001636C8" w14:paraId="5D114600" w14:textId="77777777" w:rsidTr="005C0F37">
        <w:trPr>
          <w:trHeight w:val="1123"/>
          <w:tblHeader/>
        </w:trPr>
        <w:tc>
          <w:tcPr>
            <w:tcW w:w="896" w:type="pct"/>
            <w:vMerge/>
            <w:tcBorders>
              <w:left w:val="nil"/>
              <w:right w:val="nil"/>
            </w:tcBorders>
            <w:shd w:val="clear" w:color="auto" w:fill="00338D"/>
          </w:tcPr>
          <w:p w14:paraId="28622E64" w14:textId="77777777" w:rsidR="00AD703D" w:rsidRPr="001636C8" w:rsidRDefault="00AD703D" w:rsidP="00F27C38">
            <w:pPr>
              <w:pStyle w:val="Tableheading"/>
              <w:spacing w:line="256" w:lineRule="auto"/>
            </w:pPr>
          </w:p>
        </w:tc>
        <w:tc>
          <w:tcPr>
            <w:tcW w:w="676" w:type="pct"/>
            <w:tcBorders>
              <w:top w:val="nil"/>
              <w:left w:val="nil"/>
              <w:right w:val="nil"/>
            </w:tcBorders>
            <w:shd w:val="clear" w:color="auto" w:fill="00338D"/>
            <w:hideMark/>
          </w:tcPr>
          <w:p w14:paraId="53DE2C48" w14:textId="77777777" w:rsidR="00AD703D" w:rsidRPr="001636C8" w:rsidRDefault="00AD703D" w:rsidP="00F27C38">
            <w:pPr>
              <w:pStyle w:val="Tableheading"/>
              <w:spacing w:line="256" w:lineRule="auto"/>
              <w:jc w:val="center"/>
            </w:pPr>
            <w:r w:rsidRPr="001636C8">
              <w:t>MH related hosp.</w:t>
            </w:r>
          </w:p>
          <w:p w14:paraId="599A7B75" w14:textId="0D559C07" w:rsidR="00AD703D" w:rsidRPr="001636C8" w:rsidRDefault="00AD703D" w:rsidP="00F27C38">
            <w:pPr>
              <w:pStyle w:val="Tableheading"/>
              <w:spacing w:line="256" w:lineRule="auto"/>
              <w:jc w:val="center"/>
            </w:pPr>
            <w:r w:rsidRPr="001636C8">
              <w:t>(1)</w:t>
            </w:r>
          </w:p>
        </w:tc>
        <w:tc>
          <w:tcPr>
            <w:tcW w:w="670" w:type="pct"/>
            <w:tcBorders>
              <w:top w:val="nil"/>
              <w:left w:val="nil"/>
              <w:right w:val="nil"/>
            </w:tcBorders>
            <w:shd w:val="clear" w:color="auto" w:fill="00338D"/>
            <w:hideMark/>
          </w:tcPr>
          <w:p w14:paraId="714D9F06" w14:textId="77777777" w:rsidR="00AD703D" w:rsidRPr="001636C8" w:rsidRDefault="00AD703D" w:rsidP="00F27C38">
            <w:pPr>
              <w:pStyle w:val="Tableheading"/>
              <w:spacing w:line="256" w:lineRule="auto"/>
              <w:jc w:val="center"/>
            </w:pPr>
            <w:r w:rsidRPr="001636C8">
              <w:t xml:space="preserve">Self-harm hosp. </w:t>
            </w:r>
          </w:p>
          <w:p w14:paraId="167F1C23" w14:textId="49DA9394" w:rsidR="00AD703D" w:rsidRPr="001636C8" w:rsidRDefault="00AD703D" w:rsidP="00F27C38">
            <w:pPr>
              <w:pStyle w:val="Tableheading"/>
              <w:spacing w:line="256" w:lineRule="auto"/>
              <w:jc w:val="center"/>
            </w:pPr>
            <w:r w:rsidRPr="001636C8">
              <w:t>(2)</w:t>
            </w:r>
          </w:p>
        </w:tc>
        <w:tc>
          <w:tcPr>
            <w:tcW w:w="671" w:type="pct"/>
            <w:tcBorders>
              <w:top w:val="nil"/>
              <w:left w:val="nil"/>
              <w:right w:val="nil"/>
            </w:tcBorders>
            <w:shd w:val="clear" w:color="auto" w:fill="00338D"/>
            <w:hideMark/>
          </w:tcPr>
          <w:p w14:paraId="30097B18" w14:textId="77777777" w:rsidR="00AD703D" w:rsidRPr="001636C8" w:rsidRDefault="00AD703D" w:rsidP="00F27C38">
            <w:pPr>
              <w:pStyle w:val="Tableheading"/>
              <w:spacing w:line="256" w:lineRule="auto"/>
              <w:jc w:val="center"/>
            </w:pPr>
            <w:r w:rsidRPr="001636C8">
              <w:t>Substance abuse hosp.</w:t>
            </w:r>
            <w:r w:rsidRPr="001636C8">
              <w:rPr>
                <w:vertAlign w:val="superscript"/>
              </w:rPr>
              <w:t>1</w:t>
            </w:r>
          </w:p>
          <w:p w14:paraId="25671C05" w14:textId="76C4175D" w:rsidR="00AD703D" w:rsidRPr="001636C8" w:rsidRDefault="00AD703D" w:rsidP="00F27C38">
            <w:pPr>
              <w:pStyle w:val="Tableheading"/>
              <w:spacing w:line="256" w:lineRule="auto"/>
              <w:jc w:val="center"/>
            </w:pPr>
            <w:r w:rsidRPr="001636C8">
              <w:t>(3)</w:t>
            </w:r>
          </w:p>
        </w:tc>
        <w:tc>
          <w:tcPr>
            <w:tcW w:w="590" w:type="pct"/>
            <w:tcBorders>
              <w:top w:val="nil"/>
              <w:left w:val="nil"/>
              <w:right w:val="nil"/>
            </w:tcBorders>
            <w:shd w:val="clear" w:color="auto" w:fill="00338D"/>
            <w:hideMark/>
          </w:tcPr>
          <w:p w14:paraId="317C08E7" w14:textId="77777777" w:rsidR="00AD703D" w:rsidRPr="001636C8" w:rsidRDefault="00AD703D" w:rsidP="00F27C38">
            <w:pPr>
              <w:pStyle w:val="Tableheading"/>
              <w:spacing w:line="256" w:lineRule="auto"/>
              <w:jc w:val="center"/>
            </w:pPr>
            <w:r w:rsidRPr="001636C8">
              <w:t>Suicide deaths</w:t>
            </w:r>
            <w:r w:rsidRPr="001636C8">
              <w:rPr>
                <w:vertAlign w:val="superscript"/>
              </w:rPr>
              <w:t>2</w:t>
            </w:r>
          </w:p>
          <w:p w14:paraId="7FAAB338" w14:textId="7E6E4E12" w:rsidR="00AD703D" w:rsidRPr="001636C8" w:rsidRDefault="00AD703D" w:rsidP="00F27C38">
            <w:pPr>
              <w:pStyle w:val="Tableheading"/>
              <w:spacing w:line="256" w:lineRule="auto"/>
              <w:jc w:val="center"/>
            </w:pPr>
            <w:r w:rsidRPr="001636C8">
              <w:t>(4)</w:t>
            </w:r>
          </w:p>
        </w:tc>
        <w:tc>
          <w:tcPr>
            <w:tcW w:w="615" w:type="pct"/>
            <w:tcBorders>
              <w:top w:val="nil"/>
              <w:left w:val="nil"/>
              <w:right w:val="nil"/>
            </w:tcBorders>
            <w:shd w:val="clear" w:color="auto" w:fill="00338D"/>
            <w:hideMark/>
          </w:tcPr>
          <w:p w14:paraId="7AEABCD0" w14:textId="77777777" w:rsidR="00AD703D" w:rsidRPr="001636C8" w:rsidRDefault="00AD703D" w:rsidP="00F27C38">
            <w:pPr>
              <w:pStyle w:val="Tableheading"/>
              <w:spacing w:line="256" w:lineRule="auto"/>
              <w:jc w:val="center"/>
            </w:pPr>
            <w:r w:rsidRPr="001636C8">
              <w:t>MBS MH services</w:t>
            </w:r>
          </w:p>
          <w:p w14:paraId="52AA6F84" w14:textId="1A5A72BF" w:rsidR="00AD703D" w:rsidRPr="001636C8" w:rsidRDefault="00AD703D" w:rsidP="00F27C38">
            <w:pPr>
              <w:pStyle w:val="Tableheading"/>
              <w:spacing w:line="256" w:lineRule="auto"/>
              <w:jc w:val="center"/>
            </w:pPr>
            <w:r w:rsidRPr="001636C8">
              <w:t>(5)</w:t>
            </w:r>
          </w:p>
        </w:tc>
        <w:tc>
          <w:tcPr>
            <w:tcW w:w="882" w:type="pct"/>
            <w:tcBorders>
              <w:top w:val="nil"/>
              <w:left w:val="nil"/>
              <w:right w:val="nil"/>
            </w:tcBorders>
            <w:shd w:val="clear" w:color="auto" w:fill="00338D"/>
            <w:hideMark/>
          </w:tcPr>
          <w:p w14:paraId="4F1373BB" w14:textId="77777777" w:rsidR="00AD703D" w:rsidRPr="001636C8" w:rsidRDefault="00AD703D" w:rsidP="00F27C38">
            <w:pPr>
              <w:pStyle w:val="Tableheading"/>
              <w:spacing w:line="256" w:lineRule="auto"/>
              <w:jc w:val="center"/>
            </w:pPr>
            <w:r w:rsidRPr="001636C8">
              <w:t>MH ED presentations</w:t>
            </w:r>
            <w:r w:rsidRPr="001636C8">
              <w:rPr>
                <w:vertAlign w:val="superscript"/>
              </w:rPr>
              <w:t>3</w:t>
            </w:r>
          </w:p>
          <w:p w14:paraId="6F8504AD" w14:textId="384BA9C5" w:rsidR="00AD703D" w:rsidRPr="001636C8" w:rsidRDefault="00AD703D" w:rsidP="00F27C38">
            <w:pPr>
              <w:pStyle w:val="Tableheading"/>
              <w:spacing w:line="256" w:lineRule="auto"/>
              <w:jc w:val="center"/>
            </w:pPr>
            <w:r w:rsidRPr="001636C8">
              <w:t>(6)</w:t>
            </w:r>
          </w:p>
        </w:tc>
      </w:tr>
      <w:tr w:rsidR="001636C8" w:rsidRPr="001636C8" w14:paraId="5AA12DB3" w14:textId="77777777" w:rsidTr="001636C8">
        <w:trPr>
          <w:trHeight w:val="170"/>
        </w:trPr>
        <w:tc>
          <w:tcPr>
            <w:tcW w:w="5000" w:type="pct"/>
            <w:gridSpan w:val="7"/>
            <w:tcBorders>
              <w:top w:val="single" w:sz="4" w:space="0" w:color="00338D"/>
              <w:left w:val="nil"/>
              <w:bottom w:val="single" w:sz="4" w:space="0" w:color="00338D"/>
              <w:right w:val="nil"/>
            </w:tcBorders>
            <w:vAlign w:val="center"/>
            <w:hideMark/>
          </w:tcPr>
          <w:p w14:paraId="19187730" w14:textId="5D2C128B" w:rsidR="001636C8" w:rsidRPr="001636C8" w:rsidRDefault="001636C8" w:rsidP="001636C8">
            <w:pPr>
              <w:pStyle w:val="Tabletext"/>
              <w:spacing w:line="256" w:lineRule="auto"/>
              <w:rPr>
                <w:b/>
                <w:bCs/>
                <w:szCs w:val="20"/>
              </w:rPr>
            </w:pPr>
            <w:r w:rsidRPr="001636C8">
              <w:rPr>
                <w:b/>
                <w:bCs/>
                <w:i/>
                <w:iCs/>
                <w:szCs w:val="20"/>
              </w:rPr>
              <w:t>Summary statistics</w:t>
            </w:r>
          </w:p>
        </w:tc>
      </w:tr>
      <w:tr w:rsidR="002A6A78" w:rsidRPr="001636C8" w14:paraId="19D2B45F" w14:textId="77777777" w:rsidTr="001636C8">
        <w:trPr>
          <w:trHeight w:val="170"/>
        </w:trPr>
        <w:tc>
          <w:tcPr>
            <w:tcW w:w="896" w:type="pct"/>
            <w:tcBorders>
              <w:top w:val="single" w:sz="4" w:space="0" w:color="00338D"/>
              <w:left w:val="nil"/>
              <w:bottom w:val="single" w:sz="4" w:space="0" w:color="00338D"/>
              <w:right w:val="nil"/>
            </w:tcBorders>
            <w:hideMark/>
          </w:tcPr>
          <w:p w14:paraId="74630DE1" w14:textId="77777777" w:rsidR="002A6A78" w:rsidRPr="002A2827" w:rsidRDefault="002A6A78" w:rsidP="002A2827">
            <w:pPr>
              <w:pStyle w:val="Tabletext"/>
            </w:pPr>
            <w:r w:rsidRPr="002A2827">
              <w:t>Average in 2018-19</w:t>
            </w:r>
          </w:p>
        </w:tc>
        <w:tc>
          <w:tcPr>
            <w:tcW w:w="676" w:type="pct"/>
            <w:tcBorders>
              <w:top w:val="single" w:sz="4" w:space="0" w:color="00338D"/>
              <w:left w:val="nil"/>
              <w:bottom w:val="single" w:sz="4" w:space="0" w:color="00338D"/>
              <w:right w:val="nil"/>
            </w:tcBorders>
            <w:vAlign w:val="center"/>
          </w:tcPr>
          <w:p w14:paraId="1718797C" w14:textId="77777777" w:rsidR="002A6A78" w:rsidRPr="001636C8" w:rsidRDefault="002A6A78" w:rsidP="00F27C38">
            <w:pPr>
              <w:pStyle w:val="Tabletext"/>
              <w:spacing w:line="256" w:lineRule="auto"/>
              <w:jc w:val="center"/>
              <w:rPr>
                <w:b/>
                <w:bCs/>
                <w:szCs w:val="20"/>
              </w:rPr>
            </w:pPr>
            <w:r w:rsidRPr="001636C8">
              <w:rPr>
                <w:b/>
                <w:bCs/>
                <w:szCs w:val="20"/>
              </w:rPr>
              <w:t>1,618</w:t>
            </w:r>
          </w:p>
        </w:tc>
        <w:tc>
          <w:tcPr>
            <w:tcW w:w="670" w:type="pct"/>
            <w:tcBorders>
              <w:top w:val="single" w:sz="4" w:space="0" w:color="00338D"/>
              <w:left w:val="nil"/>
              <w:bottom w:val="single" w:sz="4" w:space="0" w:color="00338D"/>
              <w:right w:val="nil"/>
            </w:tcBorders>
            <w:vAlign w:val="center"/>
          </w:tcPr>
          <w:p w14:paraId="20F9508E" w14:textId="77777777" w:rsidR="002A6A78" w:rsidRPr="001636C8" w:rsidRDefault="002A6A78" w:rsidP="00F27C38">
            <w:pPr>
              <w:pStyle w:val="Tabletext"/>
              <w:spacing w:line="256" w:lineRule="auto"/>
              <w:jc w:val="center"/>
              <w:rPr>
                <w:b/>
                <w:bCs/>
                <w:szCs w:val="20"/>
              </w:rPr>
            </w:pPr>
            <w:r w:rsidRPr="001636C8">
              <w:rPr>
                <w:b/>
                <w:bCs/>
                <w:szCs w:val="20"/>
              </w:rPr>
              <w:t>267</w:t>
            </w:r>
          </w:p>
        </w:tc>
        <w:tc>
          <w:tcPr>
            <w:tcW w:w="671" w:type="pct"/>
            <w:tcBorders>
              <w:top w:val="single" w:sz="4" w:space="0" w:color="00338D"/>
              <w:left w:val="nil"/>
              <w:bottom w:val="single" w:sz="4" w:space="0" w:color="00338D"/>
              <w:right w:val="nil"/>
            </w:tcBorders>
            <w:vAlign w:val="center"/>
          </w:tcPr>
          <w:p w14:paraId="17942E81" w14:textId="77777777" w:rsidR="002A6A78" w:rsidRPr="001636C8" w:rsidRDefault="002A6A78" w:rsidP="00F27C38">
            <w:pPr>
              <w:pStyle w:val="Tabletext"/>
              <w:spacing w:line="256" w:lineRule="auto"/>
              <w:jc w:val="center"/>
              <w:rPr>
                <w:b/>
                <w:bCs/>
                <w:szCs w:val="20"/>
              </w:rPr>
            </w:pPr>
            <w:r w:rsidRPr="001636C8">
              <w:rPr>
                <w:b/>
                <w:bCs/>
                <w:szCs w:val="20"/>
              </w:rPr>
              <w:t>503</w:t>
            </w:r>
          </w:p>
        </w:tc>
        <w:tc>
          <w:tcPr>
            <w:tcW w:w="590" w:type="pct"/>
            <w:tcBorders>
              <w:top w:val="single" w:sz="4" w:space="0" w:color="00338D"/>
              <w:left w:val="nil"/>
              <w:bottom w:val="single" w:sz="4" w:space="0" w:color="00338D"/>
              <w:right w:val="nil"/>
            </w:tcBorders>
            <w:vAlign w:val="center"/>
          </w:tcPr>
          <w:p w14:paraId="2AC8D951" w14:textId="77777777" w:rsidR="002A6A78" w:rsidRPr="001636C8" w:rsidRDefault="002A6A78" w:rsidP="00F27C38">
            <w:pPr>
              <w:pStyle w:val="Tabletext"/>
              <w:spacing w:line="256" w:lineRule="auto"/>
              <w:jc w:val="center"/>
              <w:rPr>
                <w:b/>
                <w:bCs/>
                <w:szCs w:val="20"/>
              </w:rPr>
            </w:pPr>
            <w:r w:rsidRPr="001636C8">
              <w:rPr>
                <w:b/>
                <w:bCs/>
                <w:szCs w:val="20"/>
              </w:rPr>
              <w:t>15</w:t>
            </w:r>
          </w:p>
        </w:tc>
        <w:tc>
          <w:tcPr>
            <w:tcW w:w="615" w:type="pct"/>
            <w:tcBorders>
              <w:top w:val="single" w:sz="4" w:space="0" w:color="00338D"/>
              <w:left w:val="nil"/>
              <w:bottom w:val="single" w:sz="4" w:space="0" w:color="00338D"/>
              <w:right w:val="nil"/>
            </w:tcBorders>
            <w:vAlign w:val="center"/>
          </w:tcPr>
          <w:p w14:paraId="7645B2B8" w14:textId="77777777" w:rsidR="002A6A78" w:rsidRPr="001636C8" w:rsidRDefault="002A6A78" w:rsidP="00F27C38">
            <w:pPr>
              <w:pStyle w:val="Tabletext"/>
              <w:spacing w:line="256" w:lineRule="auto"/>
              <w:jc w:val="center"/>
              <w:rPr>
                <w:b/>
                <w:bCs/>
                <w:szCs w:val="20"/>
              </w:rPr>
            </w:pPr>
            <w:r w:rsidRPr="001636C8">
              <w:rPr>
                <w:b/>
                <w:bCs/>
                <w:szCs w:val="20"/>
              </w:rPr>
              <w:t>55,009</w:t>
            </w:r>
          </w:p>
        </w:tc>
        <w:tc>
          <w:tcPr>
            <w:tcW w:w="882" w:type="pct"/>
            <w:tcBorders>
              <w:top w:val="single" w:sz="4" w:space="0" w:color="00338D"/>
              <w:left w:val="nil"/>
              <w:bottom w:val="single" w:sz="4" w:space="0" w:color="00338D"/>
              <w:right w:val="nil"/>
            </w:tcBorders>
            <w:vAlign w:val="center"/>
          </w:tcPr>
          <w:p w14:paraId="6AE622D2" w14:textId="77777777" w:rsidR="002A6A78" w:rsidRPr="001636C8" w:rsidRDefault="002A6A78" w:rsidP="00F27C38">
            <w:pPr>
              <w:pStyle w:val="Tabletext"/>
              <w:spacing w:line="256" w:lineRule="auto"/>
              <w:jc w:val="center"/>
              <w:rPr>
                <w:rFonts w:cs="Arial"/>
                <w:b/>
                <w:bCs/>
                <w:color w:val="000000"/>
                <w:kern w:val="24"/>
                <w:szCs w:val="20"/>
              </w:rPr>
            </w:pPr>
            <w:r w:rsidRPr="001636C8">
              <w:rPr>
                <w:rFonts w:cs="Arial"/>
                <w:b/>
                <w:bCs/>
                <w:color w:val="000000"/>
                <w:kern w:val="24"/>
                <w:szCs w:val="20"/>
              </w:rPr>
              <w:t>1,998</w:t>
            </w:r>
          </w:p>
        </w:tc>
      </w:tr>
      <w:tr w:rsidR="002A6A78" w:rsidRPr="001636C8" w14:paraId="07F2F3F3" w14:textId="77777777" w:rsidTr="001636C8">
        <w:trPr>
          <w:trHeight w:val="170"/>
        </w:trPr>
        <w:tc>
          <w:tcPr>
            <w:tcW w:w="896" w:type="pct"/>
            <w:tcBorders>
              <w:top w:val="single" w:sz="4" w:space="0" w:color="00338D"/>
              <w:left w:val="nil"/>
              <w:bottom w:val="single" w:sz="4" w:space="0" w:color="00338D"/>
              <w:right w:val="nil"/>
            </w:tcBorders>
            <w:hideMark/>
          </w:tcPr>
          <w:p w14:paraId="435E7182" w14:textId="77777777" w:rsidR="002A6A78" w:rsidRPr="002A2827" w:rsidRDefault="002A6A78" w:rsidP="002A2827">
            <w:pPr>
              <w:pStyle w:val="Tabletext"/>
            </w:pPr>
            <w:r w:rsidRPr="002A2827">
              <w:t>Annual growth</w:t>
            </w:r>
          </w:p>
        </w:tc>
        <w:tc>
          <w:tcPr>
            <w:tcW w:w="676" w:type="pct"/>
            <w:tcBorders>
              <w:top w:val="single" w:sz="4" w:space="0" w:color="00338D"/>
              <w:left w:val="nil"/>
              <w:bottom w:val="single" w:sz="4" w:space="0" w:color="00338D"/>
              <w:right w:val="nil"/>
            </w:tcBorders>
            <w:vAlign w:val="center"/>
          </w:tcPr>
          <w:p w14:paraId="19356FA1" w14:textId="77777777" w:rsidR="002A6A78" w:rsidRPr="001636C8" w:rsidRDefault="002A6A78" w:rsidP="00F27C38">
            <w:pPr>
              <w:pStyle w:val="Tabletext"/>
              <w:spacing w:line="256" w:lineRule="auto"/>
              <w:jc w:val="center"/>
              <w:rPr>
                <w:b/>
                <w:bCs/>
                <w:color w:val="000000" w:themeColor="text1"/>
                <w:szCs w:val="20"/>
              </w:rPr>
            </w:pPr>
            <w:r w:rsidRPr="001636C8">
              <w:rPr>
                <w:b/>
                <w:bCs/>
                <w:color w:val="000000" w:themeColor="text1"/>
                <w:szCs w:val="20"/>
              </w:rPr>
              <w:t>46</w:t>
            </w:r>
          </w:p>
        </w:tc>
        <w:tc>
          <w:tcPr>
            <w:tcW w:w="670" w:type="pct"/>
            <w:tcBorders>
              <w:top w:val="single" w:sz="4" w:space="0" w:color="00338D"/>
              <w:left w:val="nil"/>
              <w:bottom w:val="single" w:sz="4" w:space="0" w:color="00338D"/>
              <w:right w:val="nil"/>
            </w:tcBorders>
            <w:vAlign w:val="center"/>
          </w:tcPr>
          <w:p w14:paraId="32084071" w14:textId="77777777" w:rsidR="002A6A78" w:rsidRPr="001636C8" w:rsidRDefault="002A6A78" w:rsidP="00F27C38">
            <w:pPr>
              <w:pStyle w:val="Tabletext"/>
              <w:spacing w:line="256" w:lineRule="auto"/>
              <w:jc w:val="center"/>
              <w:rPr>
                <w:b/>
                <w:bCs/>
                <w:color w:val="000000" w:themeColor="text1"/>
                <w:szCs w:val="20"/>
              </w:rPr>
            </w:pPr>
            <w:r w:rsidRPr="001636C8">
              <w:rPr>
                <w:b/>
                <w:bCs/>
                <w:color w:val="000000" w:themeColor="text1"/>
                <w:szCs w:val="20"/>
              </w:rPr>
              <w:t>7</w:t>
            </w:r>
          </w:p>
        </w:tc>
        <w:tc>
          <w:tcPr>
            <w:tcW w:w="671" w:type="pct"/>
            <w:tcBorders>
              <w:top w:val="single" w:sz="4" w:space="0" w:color="00338D"/>
              <w:left w:val="nil"/>
              <w:bottom w:val="single" w:sz="4" w:space="0" w:color="00338D"/>
              <w:right w:val="nil"/>
            </w:tcBorders>
            <w:vAlign w:val="center"/>
          </w:tcPr>
          <w:p w14:paraId="019CF770" w14:textId="77777777" w:rsidR="002A6A78" w:rsidRPr="001636C8" w:rsidRDefault="002A6A78" w:rsidP="00F27C38">
            <w:pPr>
              <w:pStyle w:val="Tabletext"/>
              <w:spacing w:line="256" w:lineRule="auto"/>
              <w:jc w:val="center"/>
              <w:rPr>
                <w:b/>
                <w:bCs/>
                <w:color w:val="000000" w:themeColor="text1"/>
                <w:szCs w:val="20"/>
              </w:rPr>
            </w:pPr>
            <w:r w:rsidRPr="001636C8">
              <w:rPr>
                <w:b/>
                <w:bCs/>
                <w:color w:val="000000" w:themeColor="text1"/>
                <w:szCs w:val="20"/>
              </w:rPr>
              <w:t>9</w:t>
            </w:r>
          </w:p>
        </w:tc>
        <w:tc>
          <w:tcPr>
            <w:tcW w:w="590" w:type="pct"/>
            <w:tcBorders>
              <w:top w:val="single" w:sz="4" w:space="0" w:color="00338D"/>
              <w:left w:val="nil"/>
              <w:bottom w:val="single" w:sz="4" w:space="0" w:color="00338D"/>
              <w:right w:val="nil"/>
            </w:tcBorders>
            <w:vAlign w:val="center"/>
          </w:tcPr>
          <w:p w14:paraId="7DCD22A1" w14:textId="77777777" w:rsidR="002A6A78" w:rsidRPr="001636C8" w:rsidRDefault="002A6A78" w:rsidP="00F27C38">
            <w:pPr>
              <w:pStyle w:val="Tabletext"/>
              <w:spacing w:line="256" w:lineRule="auto"/>
              <w:jc w:val="center"/>
              <w:rPr>
                <w:b/>
                <w:bCs/>
                <w:color w:val="000000" w:themeColor="text1"/>
                <w:szCs w:val="20"/>
              </w:rPr>
            </w:pPr>
            <w:r w:rsidRPr="001636C8">
              <w:rPr>
                <w:b/>
                <w:bCs/>
                <w:color w:val="000000" w:themeColor="text1"/>
                <w:szCs w:val="20"/>
              </w:rPr>
              <w:t>0.4</w:t>
            </w:r>
          </w:p>
        </w:tc>
        <w:tc>
          <w:tcPr>
            <w:tcW w:w="615" w:type="pct"/>
            <w:tcBorders>
              <w:top w:val="single" w:sz="4" w:space="0" w:color="00338D"/>
              <w:left w:val="nil"/>
              <w:bottom w:val="single" w:sz="4" w:space="0" w:color="00338D"/>
              <w:right w:val="nil"/>
            </w:tcBorders>
            <w:vAlign w:val="center"/>
          </w:tcPr>
          <w:p w14:paraId="41B67B5E" w14:textId="77777777" w:rsidR="002A6A78" w:rsidRPr="001636C8" w:rsidRDefault="002A6A78" w:rsidP="00F27C38">
            <w:pPr>
              <w:pStyle w:val="Tabletext"/>
              <w:spacing w:line="256" w:lineRule="auto"/>
              <w:jc w:val="center"/>
              <w:rPr>
                <w:b/>
                <w:bCs/>
                <w:color w:val="000000" w:themeColor="text1"/>
                <w:szCs w:val="20"/>
              </w:rPr>
            </w:pPr>
            <w:r w:rsidRPr="001636C8">
              <w:rPr>
                <w:b/>
                <w:bCs/>
                <w:color w:val="000000" w:themeColor="text1"/>
                <w:szCs w:val="20"/>
              </w:rPr>
              <w:t>2,688</w:t>
            </w:r>
          </w:p>
        </w:tc>
        <w:tc>
          <w:tcPr>
            <w:tcW w:w="882" w:type="pct"/>
            <w:tcBorders>
              <w:top w:val="single" w:sz="4" w:space="0" w:color="00338D"/>
              <w:left w:val="nil"/>
              <w:bottom w:val="single" w:sz="4" w:space="0" w:color="00338D"/>
              <w:right w:val="nil"/>
            </w:tcBorders>
            <w:vAlign w:val="center"/>
          </w:tcPr>
          <w:p w14:paraId="10A7945A" w14:textId="77777777" w:rsidR="002A6A78" w:rsidRPr="001636C8" w:rsidRDefault="002A6A78" w:rsidP="00F27C38">
            <w:pPr>
              <w:pStyle w:val="Tabletext"/>
              <w:spacing w:line="256" w:lineRule="auto"/>
              <w:jc w:val="center"/>
              <w:rPr>
                <w:rFonts w:cs="Arial"/>
                <w:b/>
                <w:bCs/>
                <w:color w:val="000000" w:themeColor="text1"/>
                <w:kern w:val="24"/>
                <w:szCs w:val="20"/>
              </w:rPr>
            </w:pPr>
            <w:r w:rsidRPr="001636C8">
              <w:rPr>
                <w:rFonts w:cs="Arial"/>
                <w:b/>
                <w:bCs/>
                <w:color w:val="000000" w:themeColor="text1"/>
                <w:kern w:val="24"/>
                <w:szCs w:val="20"/>
              </w:rPr>
              <w:t>69</w:t>
            </w:r>
          </w:p>
        </w:tc>
      </w:tr>
      <w:tr w:rsidR="001636C8" w:rsidRPr="001636C8" w14:paraId="5A168271" w14:textId="77777777" w:rsidTr="001636C8">
        <w:trPr>
          <w:trHeight w:val="170"/>
        </w:trPr>
        <w:tc>
          <w:tcPr>
            <w:tcW w:w="5000" w:type="pct"/>
            <w:gridSpan w:val="7"/>
            <w:tcBorders>
              <w:top w:val="single" w:sz="4" w:space="0" w:color="00338D"/>
              <w:left w:val="nil"/>
              <w:bottom w:val="single" w:sz="4" w:space="0" w:color="00338D"/>
              <w:right w:val="nil"/>
            </w:tcBorders>
            <w:vAlign w:val="center"/>
            <w:hideMark/>
          </w:tcPr>
          <w:p w14:paraId="3B08C265" w14:textId="1C73BFF5" w:rsidR="001636C8" w:rsidRPr="001636C8" w:rsidRDefault="001636C8" w:rsidP="001636C8">
            <w:pPr>
              <w:pStyle w:val="Tabletext"/>
              <w:spacing w:line="256" w:lineRule="auto"/>
              <w:rPr>
                <w:b/>
                <w:bCs/>
                <w:szCs w:val="20"/>
              </w:rPr>
            </w:pPr>
            <w:r w:rsidRPr="001636C8">
              <w:rPr>
                <w:b/>
                <w:bCs/>
                <w:i/>
                <w:iCs/>
                <w:szCs w:val="20"/>
              </w:rPr>
              <w:t>No. of services</w:t>
            </w:r>
          </w:p>
        </w:tc>
      </w:tr>
      <w:tr w:rsidR="002A2827" w:rsidRPr="001636C8" w14:paraId="5928C9CF" w14:textId="77777777" w:rsidTr="003C070D">
        <w:trPr>
          <w:trHeight w:val="170"/>
        </w:trPr>
        <w:tc>
          <w:tcPr>
            <w:tcW w:w="896" w:type="pct"/>
            <w:vMerge w:val="restart"/>
            <w:tcBorders>
              <w:top w:val="single" w:sz="4" w:space="0" w:color="00338D"/>
              <w:left w:val="nil"/>
              <w:right w:val="nil"/>
            </w:tcBorders>
            <w:hideMark/>
          </w:tcPr>
          <w:p w14:paraId="2C971C84" w14:textId="176064FE" w:rsidR="002A2827" w:rsidRPr="002A2827" w:rsidRDefault="002A2827" w:rsidP="002A2827">
            <w:pPr>
              <w:pStyle w:val="Tabletext"/>
            </w:pPr>
            <w:r w:rsidRPr="002A2827">
              <w:t>Services opened this year</w:t>
            </w:r>
          </w:p>
        </w:tc>
        <w:tc>
          <w:tcPr>
            <w:tcW w:w="676" w:type="pct"/>
            <w:tcBorders>
              <w:top w:val="single" w:sz="4" w:space="0" w:color="00338D"/>
              <w:left w:val="nil"/>
              <w:bottom w:val="nil"/>
              <w:right w:val="nil"/>
            </w:tcBorders>
            <w:hideMark/>
          </w:tcPr>
          <w:p w14:paraId="3C2DCA45" w14:textId="77777777" w:rsidR="002A2827" w:rsidRPr="001636C8" w:rsidRDefault="002A2827" w:rsidP="00F27C38">
            <w:pPr>
              <w:pStyle w:val="Tabletext"/>
              <w:spacing w:line="256" w:lineRule="auto"/>
              <w:jc w:val="center"/>
              <w:rPr>
                <w:b/>
                <w:bCs/>
                <w:szCs w:val="20"/>
              </w:rPr>
            </w:pPr>
            <w:r w:rsidRPr="001636C8">
              <w:rPr>
                <w:szCs w:val="20"/>
              </w:rPr>
              <w:t>-36.2</w:t>
            </w:r>
          </w:p>
        </w:tc>
        <w:tc>
          <w:tcPr>
            <w:tcW w:w="670" w:type="pct"/>
            <w:tcBorders>
              <w:top w:val="single" w:sz="4" w:space="0" w:color="00338D"/>
              <w:left w:val="nil"/>
              <w:bottom w:val="nil"/>
              <w:right w:val="nil"/>
            </w:tcBorders>
            <w:hideMark/>
          </w:tcPr>
          <w:p w14:paraId="43B59C7F" w14:textId="77777777" w:rsidR="002A2827" w:rsidRPr="001636C8" w:rsidRDefault="002A2827" w:rsidP="00F27C38">
            <w:pPr>
              <w:pStyle w:val="Tabletext"/>
              <w:spacing w:line="256" w:lineRule="auto"/>
              <w:jc w:val="center"/>
              <w:rPr>
                <w:b/>
                <w:bCs/>
                <w:szCs w:val="20"/>
              </w:rPr>
            </w:pPr>
            <w:r w:rsidRPr="001636C8">
              <w:rPr>
                <w:szCs w:val="20"/>
              </w:rPr>
              <w:t>-8.9</w:t>
            </w:r>
          </w:p>
        </w:tc>
        <w:tc>
          <w:tcPr>
            <w:tcW w:w="671" w:type="pct"/>
            <w:tcBorders>
              <w:top w:val="single" w:sz="4" w:space="0" w:color="00338D"/>
              <w:left w:val="nil"/>
              <w:bottom w:val="nil"/>
              <w:right w:val="nil"/>
            </w:tcBorders>
            <w:hideMark/>
          </w:tcPr>
          <w:p w14:paraId="29418F67" w14:textId="77777777" w:rsidR="002A2827" w:rsidRPr="001636C8" w:rsidRDefault="002A2827" w:rsidP="00F27C38">
            <w:pPr>
              <w:pStyle w:val="Tabletext"/>
              <w:spacing w:line="256" w:lineRule="auto"/>
              <w:jc w:val="center"/>
              <w:rPr>
                <w:b/>
                <w:bCs/>
                <w:szCs w:val="20"/>
              </w:rPr>
            </w:pPr>
            <w:r w:rsidRPr="001636C8">
              <w:rPr>
                <w:szCs w:val="20"/>
              </w:rPr>
              <w:t>-36.2**</w:t>
            </w:r>
          </w:p>
        </w:tc>
        <w:tc>
          <w:tcPr>
            <w:tcW w:w="590" w:type="pct"/>
            <w:tcBorders>
              <w:top w:val="single" w:sz="4" w:space="0" w:color="00338D"/>
              <w:left w:val="nil"/>
              <w:bottom w:val="nil"/>
              <w:right w:val="nil"/>
            </w:tcBorders>
            <w:hideMark/>
          </w:tcPr>
          <w:p w14:paraId="53271F09" w14:textId="77777777" w:rsidR="002A2827" w:rsidRPr="001636C8" w:rsidRDefault="002A2827" w:rsidP="00F27C38">
            <w:pPr>
              <w:pStyle w:val="Tabletext"/>
              <w:spacing w:line="256" w:lineRule="auto"/>
              <w:jc w:val="center"/>
              <w:rPr>
                <w:b/>
                <w:bCs/>
                <w:szCs w:val="20"/>
              </w:rPr>
            </w:pPr>
            <w:r w:rsidRPr="001636C8">
              <w:rPr>
                <w:szCs w:val="20"/>
              </w:rPr>
              <w:t>0.2</w:t>
            </w:r>
          </w:p>
        </w:tc>
        <w:tc>
          <w:tcPr>
            <w:tcW w:w="615" w:type="pct"/>
            <w:tcBorders>
              <w:top w:val="single" w:sz="4" w:space="0" w:color="00338D"/>
              <w:left w:val="nil"/>
              <w:bottom w:val="nil"/>
              <w:right w:val="nil"/>
            </w:tcBorders>
            <w:hideMark/>
          </w:tcPr>
          <w:p w14:paraId="1EDE7416" w14:textId="77777777" w:rsidR="002A2827" w:rsidRPr="001636C8" w:rsidRDefault="002A2827" w:rsidP="00F27C38">
            <w:pPr>
              <w:pStyle w:val="Tabletext"/>
              <w:spacing w:line="256" w:lineRule="auto"/>
              <w:jc w:val="center"/>
              <w:rPr>
                <w:b/>
                <w:bCs/>
                <w:szCs w:val="20"/>
              </w:rPr>
            </w:pPr>
            <w:r w:rsidRPr="001636C8">
              <w:rPr>
                <w:szCs w:val="20"/>
              </w:rPr>
              <w:t>364.1</w:t>
            </w:r>
          </w:p>
        </w:tc>
        <w:tc>
          <w:tcPr>
            <w:tcW w:w="882" w:type="pct"/>
            <w:tcBorders>
              <w:top w:val="single" w:sz="4" w:space="0" w:color="00338D"/>
              <w:left w:val="nil"/>
              <w:bottom w:val="nil"/>
              <w:right w:val="nil"/>
            </w:tcBorders>
            <w:hideMark/>
          </w:tcPr>
          <w:p w14:paraId="57184556" w14:textId="77777777" w:rsidR="002A2827" w:rsidRPr="001636C8" w:rsidRDefault="002A2827" w:rsidP="00F27C38">
            <w:pPr>
              <w:pStyle w:val="Tabletext"/>
              <w:spacing w:line="256" w:lineRule="auto"/>
              <w:jc w:val="center"/>
              <w:rPr>
                <w:rFonts w:cs="Calibri"/>
                <w:color w:val="000000"/>
                <w:szCs w:val="20"/>
              </w:rPr>
            </w:pPr>
            <w:r w:rsidRPr="001636C8">
              <w:rPr>
                <w:szCs w:val="20"/>
              </w:rPr>
              <w:t>142.7</w:t>
            </w:r>
          </w:p>
        </w:tc>
      </w:tr>
      <w:tr w:rsidR="002A2827" w:rsidRPr="001636C8" w14:paraId="3233ED3B" w14:textId="77777777" w:rsidTr="003C070D">
        <w:trPr>
          <w:trHeight w:val="170"/>
        </w:trPr>
        <w:tc>
          <w:tcPr>
            <w:tcW w:w="896" w:type="pct"/>
            <w:vMerge/>
            <w:tcBorders>
              <w:left w:val="nil"/>
              <w:bottom w:val="single" w:sz="4" w:space="0" w:color="00338D"/>
              <w:right w:val="nil"/>
            </w:tcBorders>
            <w:hideMark/>
          </w:tcPr>
          <w:p w14:paraId="0CD2F4AD" w14:textId="42DBA62D" w:rsidR="002A2827" w:rsidRPr="002A2827" w:rsidRDefault="002A2827" w:rsidP="002A2827">
            <w:pPr>
              <w:pStyle w:val="Tabletext"/>
            </w:pPr>
          </w:p>
        </w:tc>
        <w:tc>
          <w:tcPr>
            <w:tcW w:w="676" w:type="pct"/>
            <w:tcBorders>
              <w:top w:val="nil"/>
              <w:left w:val="nil"/>
              <w:bottom w:val="single" w:sz="4" w:space="0" w:color="00338D"/>
              <w:right w:val="nil"/>
            </w:tcBorders>
            <w:hideMark/>
          </w:tcPr>
          <w:p w14:paraId="14014899" w14:textId="77777777" w:rsidR="002A2827" w:rsidRPr="001636C8" w:rsidRDefault="002A2827" w:rsidP="00F27C38">
            <w:pPr>
              <w:pStyle w:val="Tabletext"/>
              <w:spacing w:line="256" w:lineRule="auto"/>
              <w:jc w:val="center"/>
              <w:rPr>
                <w:b/>
                <w:bCs/>
                <w:szCs w:val="20"/>
              </w:rPr>
            </w:pPr>
            <w:r w:rsidRPr="001636C8">
              <w:rPr>
                <w:szCs w:val="20"/>
              </w:rPr>
              <w:t>(42.3)</w:t>
            </w:r>
          </w:p>
        </w:tc>
        <w:tc>
          <w:tcPr>
            <w:tcW w:w="670" w:type="pct"/>
            <w:tcBorders>
              <w:top w:val="nil"/>
              <w:left w:val="nil"/>
              <w:bottom w:val="single" w:sz="4" w:space="0" w:color="00338D"/>
              <w:right w:val="nil"/>
            </w:tcBorders>
            <w:hideMark/>
          </w:tcPr>
          <w:p w14:paraId="104ACE75" w14:textId="77777777" w:rsidR="002A2827" w:rsidRPr="001636C8" w:rsidRDefault="002A2827" w:rsidP="00F27C38">
            <w:pPr>
              <w:pStyle w:val="Tabletext"/>
              <w:spacing w:line="256" w:lineRule="auto"/>
              <w:jc w:val="center"/>
              <w:rPr>
                <w:b/>
                <w:bCs/>
                <w:szCs w:val="20"/>
              </w:rPr>
            </w:pPr>
            <w:r w:rsidRPr="001636C8">
              <w:rPr>
                <w:szCs w:val="20"/>
              </w:rPr>
              <w:t>(8.3)</w:t>
            </w:r>
          </w:p>
        </w:tc>
        <w:tc>
          <w:tcPr>
            <w:tcW w:w="671" w:type="pct"/>
            <w:tcBorders>
              <w:top w:val="nil"/>
              <w:left w:val="nil"/>
              <w:bottom w:val="single" w:sz="4" w:space="0" w:color="00338D"/>
              <w:right w:val="nil"/>
            </w:tcBorders>
            <w:hideMark/>
          </w:tcPr>
          <w:p w14:paraId="20DF0CD0" w14:textId="77777777" w:rsidR="002A2827" w:rsidRPr="001636C8" w:rsidRDefault="002A2827" w:rsidP="00F27C38">
            <w:pPr>
              <w:pStyle w:val="Tabletext"/>
              <w:spacing w:line="256" w:lineRule="auto"/>
              <w:jc w:val="center"/>
              <w:rPr>
                <w:b/>
                <w:bCs/>
                <w:szCs w:val="20"/>
              </w:rPr>
            </w:pPr>
            <w:r w:rsidRPr="001636C8">
              <w:rPr>
                <w:szCs w:val="20"/>
              </w:rPr>
              <w:t>(15.9)</w:t>
            </w:r>
          </w:p>
        </w:tc>
        <w:tc>
          <w:tcPr>
            <w:tcW w:w="590" w:type="pct"/>
            <w:tcBorders>
              <w:top w:val="nil"/>
              <w:left w:val="nil"/>
              <w:bottom w:val="single" w:sz="4" w:space="0" w:color="00338D"/>
              <w:right w:val="nil"/>
            </w:tcBorders>
            <w:hideMark/>
          </w:tcPr>
          <w:p w14:paraId="27FB44C8" w14:textId="77777777" w:rsidR="002A2827" w:rsidRPr="001636C8" w:rsidRDefault="002A2827" w:rsidP="00F27C38">
            <w:pPr>
              <w:pStyle w:val="Tabletext"/>
              <w:spacing w:line="256" w:lineRule="auto"/>
              <w:jc w:val="center"/>
              <w:rPr>
                <w:b/>
                <w:bCs/>
                <w:szCs w:val="20"/>
              </w:rPr>
            </w:pPr>
            <w:r w:rsidRPr="001636C8">
              <w:rPr>
                <w:szCs w:val="20"/>
              </w:rPr>
              <w:t>(0.4)</w:t>
            </w:r>
          </w:p>
        </w:tc>
        <w:tc>
          <w:tcPr>
            <w:tcW w:w="615" w:type="pct"/>
            <w:tcBorders>
              <w:top w:val="nil"/>
              <w:left w:val="nil"/>
              <w:bottom w:val="single" w:sz="4" w:space="0" w:color="00338D"/>
              <w:right w:val="nil"/>
            </w:tcBorders>
            <w:hideMark/>
          </w:tcPr>
          <w:p w14:paraId="6D8A6F7D" w14:textId="77777777" w:rsidR="002A2827" w:rsidRPr="001636C8" w:rsidRDefault="002A2827" w:rsidP="00F27C38">
            <w:pPr>
              <w:pStyle w:val="Tabletext"/>
              <w:spacing w:line="256" w:lineRule="auto"/>
              <w:jc w:val="center"/>
              <w:rPr>
                <w:b/>
                <w:bCs/>
                <w:szCs w:val="20"/>
              </w:rPr>
            </w:pPr>
            <w:r w:rsidRPr="001636C8">
              <w:rPr>
                <w:szCs w:val="20"/>
              </w:rPr>
              <w:t>(606.8)</w:t>
            </w:r>
          </w:p>
        </w:tc>
        <w:tc>
          <w:tcPr>
            <w:tcW w:w="882" w:type="pct"/>
            <w:tcBorders>
              <w:top w:val="nil"/>
              <w:left w:val="nil"/>
              <w:bottom w:val="single" w:sz="4" w:space="0" w:color="00338D"/>
              <w:right w:val="nil"/>
            </w:tcBorders>
            <w:hideMark/>
          </w:tcPr>
          <w:p w14:paraId="72E40F82" w14:textId="77777777" w:rsidR="002A2827" w:rsidRPr="001636C8" w:rsidRDefault="002A2827" w:rsidP="00F27C38">
            <w:pPr>
              <w:pStyle w:val="Tabletext"/>
              <w:spacing w:line="256" w:lineRule="auto"/>
              <w:jc w:val="center"/>
              <w:rPr>
                <w:rFonts w:cs="Calibri"/>
                <w:color w:val="000000"/>
                <w:szCs w:val="20"/>
              </w:rPr>
            </w:pPr>
            <w:r w:rsidRPr="001636C8">
              <w:rPr>
                <w:szCs w:val="20"/>
              </w:rPr>
              <w:t>(90.0)</w:t>
            </w:r>
          </w:p>
        </w:tc>
      </w:tr>
      <w:tr w:rsidR="002A2827" w:rsidRPr="001636C8" w14:paraId="3BA92186" w14:textId="77777777" w:rsidTr="005D3301">
        <w:trPr>
          <w:trHeight w:val="170"/>
        </w:trPr>
        <w:tc>
          <w:tcPr>
            <w:tcW w:w="896" w:type="pct"/>
            <w:vMerge w:val="restart"/>
            <w:tcBorders>
              <w:top w:val="single" w:sz="4" w:space="0" w:color="00338D"/>
              <w:left w:val="nil"/>
              <w:right w:val="nil"/>
            </w:tcBorders>
            <w:hideMark/>
          </w:tcPr>
          <w:p w14:paraId="0D20C5C8" w14:textId="54005DF0" w:rsidR="002A2827" w:rsidRPr="002A2827" w:rsidRDefault="002A2827" w:rsidP="002A2827">
            <w:pPr>
              <w:pStyle w:val="Tabletext"/>
            </w:pPr>
            <w:r w:rsidRPr="002A2827">
              <w:t>Services opened 1 year ago</w:t>
            </w:r>
          </w:p>
        </w:tc>
        <w:tc>
          <w:tcPr>
            <w:tcW w:w="676" w:type="pct"/>
            <w:tcBorders>
              <w:top w:val="single" w:sz="4" w:space="0" w:color="00338D"/>
              <w:left w:val="nil"/>
              <w:bottom w:val="nil"/>
              <w:right w:val="nil"/>
            </w:tcBorders>
          </w:tcPr>
          <w:p w14:paraId="3D5038DD" w14:textId="77777777" w:rsidR="002A2827" w:rsidRPr="001636C8" w:rsidRDefault="002A2827" w:rsidP="00F27C38">
            <w:pPr>
              <w:pStyle w:val="Tabletext"/>
              <w:spacing w:line="256" w:lineRule="auto"/>
              <w:jc w:val="center"/>
              <w:rPr>
                <w:b/>
                <w:bCs/>
                <w:szCs w:val="20"/>
              </w:rPr>
            </w:pPr>
            <w:r w:rsidRPr="001636C8">
              <w:rPr>
                <w:szCs w:val="20"/>
              </w:rPr>
              <w:t>-39.0</w:t>
            </w:r>
          </w:p>
        </w:tc>
        <w:tc>
          <w:tcPr>
            <w:tcW w:w="670" w:type="pct"/>
            <w:tcBorders>
              <w:top w:val="single" w:sz="4" w:space="0" w:color="00338D"/>
              <w:left w:val="nil"/>
              <w:bottom w:val="nil"/>
              <w:right w:val="nil"/>
            </w:tcBorders>
          </w:tcPr>
          <w:p w14:paraId="49A23A65" w14:textId="77777777" w:rsidR="002A2827" w:rsidRPr="001636C8" w:rsidRDefault="002A2827" w:rsidP="00F27C38">
            <w:pPr>
              <w:pStyle w:val="Tabletext"/>
              <w:spacing w:line="256" w:lineRule="auto"/>
              <w:jc w:val="center"/>
              <w:rPr>
                <w:b/>
                <w:bCs/>
                <w:szCs w:val="20"/>
              </w:rPr>
            </w:pPr>
            <w:r w:rsidRPr="001636C8">
              <w:rPr>
                <w:szCs w:val="20"/>
              </w:rPr>
              <w:t>-10.2</w:t>
            </w:r>
          </w:p>
        </w:tc>
        <w:tc>
          <w:tcPr>
            <w:tcW w:w="671" w:type="pct"/>
            <w:tcBorders>
              <w:top w:val="single" w:sz="4" w:space="0" w:color="00338D"/>
              <w:left w:val="nil"/>
              <w:bottom w:val="nil"/>
              <w:right w:val="nil"/>
            </w:tcBorders>
          </w:tcPr>
          <w:p w14:paraId="6FA712CC" w14:textId="77777777" w:rsidR="002A2827" w:rsidRPr="001636C8" w:rsidRDefault="002A2827" w:rsidP="00F27C38">
            <w:pPr>
              <w:pStyle w:val="Tabletext"/>
              <w:spacing w:line="256" w:lineRule="auto"/>
              <w:jc w:val="center"/>
              <w:rPr>
                <w:b/>
                <w:bCs/>
                <w:szCs w:val="20"/>
              </w:rPr>
            </w:pPr>
            <w:r w:rsidRPr="001636C8">
              <w:rPr>
                <w:szCs w:val="20"/>
              </w:rPr>
              <w:t>-35.8**</w:t>
            </w:r>
          </w:p>
        </w:tc>
        <w:tc>
          <w:tcPr>
            <w:tcW w:w="590" w:type="pct"/>
            <w:tcBorders>
              <w:top w:val="single" w:sz="4" w:space="0" w:color="00338D"/>
              <w:left w:val="nil"/>
              <w:bottom w:val="nil"/>
              <w:right w:val="nil"/>
            </w:tcBorders>
          </w:tcPr>
          <w:p w14:paraId="778921B4" w14:textId="77777777" w:rsidR="002A2827" w:rsidRPr="001636C8" w:rsidRDefault="002A2827" w:rsidP="00F27C38">
            <w:pPr>
              <w:pStyle w:val="Tabletext"/>
              <w:spacing w:line="256" w:lineRule="auto"/>
              <w:jc w:val="center"/>
              <w:rPr>
                <w:b/>
                <w:bCs/>
                <w:szCs w:val="20"/>
              </w:rPr>
            </w:pPr>
            <w:r w:rsidRPr="001636C8">
              <w:rPr>
                <w:szCs w:val="20"/>
              </w:rPr>
              <w:t>0.6</w:t>
            </w:r>
          </w:p>
        </w:tc>
        <w:tc>
          <w:tcPr>
            <w:tcW w:w="615" w:type="pct"/>
            <w:tcBorders>
              <w:top w:val="single" w:sz="4" w:space="0" w:color="00338D"/>
              <w:left w:val="nil"/>
              <w:bottom w:val="nil"/>
              <w:right w:val="nil"/>
            </w:tcBorders>
          </w:tcPr>
          <w:p w14:paraId="62DEF17F" w14:textId="77777777" w:rsidR="002A2827" w:rsidRPr="001636C8" w:rsidRDefault="002A2827" w:rsidP="00F27C38">
            <w:pPr>
              <w:pStyle w:val="Tabletext"/>
              <w:spacing w:line="256" w:lineRule="auto"/>
              <w:jc w:val="center"/>
              <w:rPr>
                <w:b/>
                <w:bCs/>
                <w:szCs w:val="20"/>
              </w:rPr>
            </w:pPr>
            <w:r w:rsidRPr="001636C8">
              <w:rPr>
                <w:szCs w:val="20"/>
              </w:rPr>
              <w:t>-180.3</w:t>
            </w:r>
          </w:p>
        </w:tc>
        <w:tc>
          <w:tcPr>
            <w:tcW w:w="882" w:type="pct"/>
            <w:tcBorders>
              <w:top w:val="single" w:sz="4" w:space="0" w:color="00338D"/>
              <w:left w:val="nil"/>
              <w:bottom w:val="nil"/>
              <w:right w:val="nil"/>
            </w:tcBorders>
          </w:tcPr>
          <w:p w14:paraId="1DE37FC3" w14:textId="77777777" w:rsidR="002A2827" w:rsidRPr="001636C8" w:rsidRDefault="002A2827" w:rsidP="00F27C38">
            <w:pPr>
              <w:pStyle w:val="Tabletext"/>
              <w:spacing w:line="256" w:lineRule="auto"/>
              <w:jc w:val="center"/>
              <w:rPr>
                <w:rFonts w:cs="Calibri"/>
                <w:color w:val="000000"/>
                <w:szCs w:val="20"/>
              </w:rPr>
            </w:pPr>
            <w:r w:rsidRPr="001636C8">
              <w:rPr>
                <w:szCs w:val="20"/>
              </w:rPr>
              <w:t>75.2</w:t>
            </w:r>
          </w:p>
        </w:tc>
      </w:tr>
      <w:tr w:rsidR="002A2827" w:rsidRPr="001636C8" w14:paraId="5AA0DF3D" w14:textId="77777777" w:rsidTr="005D3301">
        <w:trPr>
          <w:trHeight w:val="170"/>
        </w:trPr>
        <w:tc>
          <w:tcPr>
            <w:tcW w:w="896" w:type="pct"/>
            <w:vMerge/>
            <w:tcBorders>
              <w:left w:val="nil"/>
              <w:bottom w:val="single" w:sz="4" w:space="0" w:color="00338D"/>
              <w:right w:val="nil"/>
            </w:tcBorders>
            <w:hideMark/>
          </w:tcPr>
          <w:p w14:paraId="6277E8AB" w14:textId="5BA75A63" w:rsidR="002A2827" w:rsidRPr="002A2827" w:rsidRDefault="002A2827" w:rsidP="002A2827">
            <w:pPr>
              <w:pStyle w:val="Tabletext"/>
            </w:pPr>
          </w:p>
        </w:tc>
        <w:tc>
          <w:tcPr>
            <w:tcW w:w="676" w:type="pct"/>
            <w:tcBorders>
              <w:top w:val="nil"/>
              <w:left w:val="nil"/>
              <w:bottom w:val="single" w:sz="4" w:space="0" w:color="00338D"/>
              <w:right w:val="nil"/>
            </w:tcBorders>
          </w:tcPr>
          <w:p w14:paraId="2D25E3E7" w14:textId="77777777" w:rsidR="002A2827" w:rsidRPr="001636C8" w:rsidRDefault="002A2827" w:rsidP="00F27C38">
            <w:pPr>
              <w:pStyle w:val="Tabletext"/>
              <w:spacing w:line="256" w:lineRule="auto"/>
              <w:jc w:val="center"/>
              <w:rPr>
                <w:b/>
                <w:bCs/>
                <w:szCs w:val="20"/>
              </w:rPr>
            </w:pPr>
            <w:r w:rsidRPr="001636C8">
              <w:rPr>
                <w:szCs w:val="20"/>
              </w:rPr>
              <w:t>(39.0)</w:t>
            </w:r>
          </w:p>
        </w:tc>
        <w:tc>
          <w:tcPr>
            <w:tcW w:w="670" w:type="pct"/>
            <w:tcBorders>
              <w:top w:val="nil"/>
              <w:left w:val="nil"/>
              <w:bottom w:val="single" w:sz="4" w:space="0" w:color="00338D"/>
              <w:right w:val="nil"/>
            </w:tcBorders>
          </w:tcPr>
          <w:p w14:paraId="21A4F175" w14:textId="77777777" w:rsidR="002A2827" w:rsidRPr="001636C8" w:rsidRDefault="002A2827" w:rsidP="00F27C38">
            <w:pPr>
              <w:pStyle w:val="Tabletext"/>
              <w:spacing w:line="256" w:lineRule="auto"/>
              <w:jc w:val="center"/>
              <w:rPr>
                <w:b/>
                <w:bCs/>
                <w:szCs w:val="20"/>
              </w:rPr>
            </w:pPr>
            <w:r w:rsidRPr="001636C8">
              <w:rPr>
                <w:szCs w:val="20"/>
              </w:rPr>
              <w:t>(8.7)</w:t>
            </w:r>
          </w:p>
        </w:tc>
        <w:tc>
          <w:tcPr>
            <w:tcW w:w="671" w:type="pct"/>
            <w:tcBorders>
              <w:top w:val="nil"/>
              <w:left w:val="nil"/>
              <w:bottom w:val="single" w:sz="4" w:space="0" w:color="00338D"/>
              <w:right w:val="nil"/>
            </w:tcBorders>
          </w:tcPr>
          <w:p w14:paraId="4FCFD57E" w14:textId="77777777" w:rsidR="002A2827" w:rsidRPr="001636C8" w:rsidRDefault="002A2827" w:rsidP="00F27C38">
            <w:pPr>
              <w:pStyle w:val="Tabletext"/>
              <w:spacing w:line="256" w:lineRule="auto"/>
              <w:jc w:val="center"/>
              <w:rPr>
                <w:b/>
                <w:bCs/>
                <w:szCs w:val="20"/>
              </w:rPr>
            </w:pPr>
            <w:r w:rsidRPr="001636C8">
              <w:rPr>
                <w:szCs w:val="20"/>
              </w:rPr>
              <w:t>(16.0)</w:t>
            </w:r>
          </w:p>
        </w:tc>
        <w:tc>
          <w:tcPr>
            <w:tcW w:w="590" w:type="pct"/>
            <w:tcBorders>
              <w:top w:val="nil"/>
              <w:left w:val="nil"/>
              <w:bottom w:val="single" w:sz="4" w:space="0" w:color="00338D"/>
              <w:right w:val="nil"/>
            </w:tcBorders>
          </w:tcPr>
          <w:p w14:paraId="733E2141" w14:textId="77777777" w:rsidR="002A2827" w:rsidRPr="001636C8" w:rsidRDefault="002A2827" w:rsidP="00F27C38">
            <w:pPr>
              <w:pStyle w:val="Tabletext"/>
              <w:spacing w:line="256" w:lineRule="auto"/>
              <w:jc w:val="center"/>
              <w:rPr>
                <w:b/>
                <w:bCs/>
                <w:szCs w:val="20"/>
              </w:rPr>
            </w:pPr>
            <w:r w:rsidRPr="001636C8">
              <w:rPr>
                <w:szCs w:val="20"/>
              </w:rPr>
              <w:t>(0.4)</w:t>
            </w:r>
          </w:p>
        </w:tc>
        <w:tc>
          <w:tcPr>
            <w:tcW w:w="615" w:type="pct"/>
            <w:tcBorders>
              <w:top w:val="nil"/>
              <w:left w:val="nil"/>
              <w:bottom w:val="single" w:sz="4" w:space="0" w:color="00338D"/>
              <w:right w:val="nil"/>
            </w:tcBorders>
          </w:tcPr>
          <w:p w14:paraId="318EBCB1" w14:textId="77777777" w:rsidR="002A2827" w:rsidRPr="001636C8" w:rsidRDefault="002A2827" w:rsidP="00F27C38">
            <w:pPr>
              <w:pStyle w:val="Tabletext"/>
              <w:spacing w:line="256" w:lineRule="auto"/>
              <w:jc w:val="center"/>
              <w:rPr>
                <w:b/>
                <w:bCs/>
                <w:szCs w:val="20"/>
              </w:rPr>
            </w:pPr>
            <w:r w:rsidRPr="001636C8">
              <w:rPr>
                <w:szCs w:val="20"/>
              </w:rPr>
              <w:t>(566.7)</w:t>
            </w:r>
          </w:p>
        </w:tc>
        <w:tc>
          <w:tcPr>
            <w:tcW w:w="882" w:type="pct"/>
            <w:tcBorders>
              <w:top w:val="nil"/>
              <w:left w:val="nil"/>
              <w:bottom w:val="single" w:sz="4" w:space="0" w:color="00338D"/>
              <w:right w:val="nil"/>
            </w:tcBorders>
          </w:tcPr>
          <w:p w14:paraId="4BE9925D" w14:textId="77777777" w:rsidR="002A2827" w:rsidRPr="001636C8" w:rsidRDefault="002A2827" w:rsidP="00F27C38">
            <w:pPr>
              <w:pStyle w:val="Tabletext"/>
              <w:spacing w:line="256" w:lineRule="auto"/>
              <w:jc w:val="center"/>
              <w:rPr>
                <w:rFonts w:cs="Calibri"/>
                <w:color w:val="000000"/>
                <w:szCs w:val="20"/>
              </w:rPr>
            </w:pPr>
            <w:r w:rsidRPr="001636C8">
              <w:rPr>
                <w:szCs w:val="20"/>
              </w:rPr>
              <w:t>(71.0)</w:t>
            </w:r>
          </w:p>
        </w:tc>
      </w:tr>
      <w:tr w:rsidR="002A2827" w:rsidRPr="001636C8" w14:paraId="529DFEB6" w14:textId="77777777" w:rsidTr="0066688B">
        <w:trPr>
          <w:trHeight w:val="170"/>
        </w:trPr>
        <w:tc>
          <w:tcPr>
            <w:tcW w:w="896" w:type="pct"/>
            <w:vMerge w:val="restart"/>
            <w:tcBorders>
              <w:top w:val="single" w:sz="4" w:space="0" w:color="00338D"/>
              <w:left w:val="nil"/>
              <w:right w:val="nil"/>
            </w:tcBorders>
            <w:hideMark/>
          </w:tcPr>
          <w:p w14:paraId="68A0FEC0" w14:textId="608FDF3E" w:rsidR="002A2827" w:rsidRPr="002A2827" w:rsidRDefault="002A2827" w:rsidP="002A2827">
            <w:pPr>
              <w:pStyle w:val="Tabletext"/>
            </w:pPr>
            <w:r w:rsidRPr="002A2827">
              <w:t>Services opened 2 years ago</w:t>
            </w:r>
          </w:p>
        </w:tc>
        <w:tc>
          <w:tcPr>
            <w:tcW w:w="676" w:type="pct"/>
            <w:tcBorders>
              <w:top w:val="single" w:sz="4" w:space="0" w:color="00338D"/>
              <w:left w:val="nil"/>
              <w:bottom w:val="nil"/>
              <w:right w:val="nil"/>
            </w:tcBorders>
          </w:tcPr>
          <w:p w14:paraId="0359F28E" w14:textId="77777777" w:rsidR="002A2827" w:rsidRPr="001636C8" w:rsidRDefault="002A2827" w:rsidP="00F27C38">
            <w:pPr>
              <w:pStyle w:val="Tabletext"/>
              <w:spacing w:line="256" w:lineRule="auto"/>
              <w:jc w:val="center"/>
              <w:rPr>
                <w:b/>
                <w:bCs/>
                <w:szCs w:val="20"/>
              </w:rPr>
            </w:pPr>
            <w:r w:rsidRPr="001636C8">
              <w:rPr>
                <w:szCs w:val="20"/>
              </w:rPr>
              <w:t>-42.2</w:t>
            </w:r>
          </w:p>
        </w:tc>
        <w:tc>
          <w:tcPr>
            <w:tcW w:w="670" w:type="pct"/>
            <w:tcBorders>
              <w:top w:val="single" w:sz="4" w:space="0" w:color="00338D"/>
              <w:left w:val="nil"/>
              <w:bottom w:val="nil"/>
              <w:right w:val="nil"/>
            </w:tcBorders>
          </w:tcPr>
          <w:p w14:paraId="2CBAED28" w14:textId="77777777" w:rsidR="002A2827" w:rsidRPr="001636C8" w:rsidRDefault="002A2827" w:rsidP="00F27C38">
            <w:pPr>
              <w:pStyle w:val="Tabletext"/>
              <w:spacing w:line="256" w:lineRule="auto"/>
              <w:jc w:val="center"/>
              <w:rPr>
                <w:b/>
                <w:bCs/>
                <w:szCs w:val="20"/>
              </w:rPr>
            </w:pPr>
            <w:r w:rsidRPr="001636C8">
              <w:rPr>
                <w:szCs w:val="20"/>
              </w:rPr>
              <w:t>-10.1</w:t>
            </w:r>
          </w:p>
        </w:tc>
        <w:tc>
          <w:tcPr>
            <w:tcW w:w="671" w:type="pct"/>
            <w:tcBorders>
              <w:top w:val="single" w:sz="4" w:space="0" w:color="00338D"/>
              <w:left w:val="nil"/>
              <w:bottom w:val="nil"/>
              <w:right w:val="nil"/>
            </w:tcBorders>
          </w:tcPr>
          <w:p w14:paraId="1A28DA85" w14:textId="77777777" w:rsidR="002A2827" w:rsidRPr="001636C8" w:rsidRDefault="002A2827" w:rsidP="00F27C38">
            <w:pPr>
              <w:pStyle w:val="Tabletext"/>
              <w:spacing w:line="256" w:lineRule="auto"/>
              <w:jc w:val="center"/>
              <w:rPr>
                <w:b/>
                <w:bCs/>
                <w:szCs w:val="20"/>
              </w:rPr>
            </w:pPr>
            <w:r w:rsidRPr="001636C8">
              <w:rPr>
                <w:szCs w:val="20"/>
              </w:rPr>
              <w:t>-30.6**</w:t>
            </w:r>
          </w:p>
        </w:tc>
        <w:tc>
          <w:tcPr>
            <w:tcW w:w="590" w:type="pct"/>
            <w:tcBorders>
              <w:top w:val="single" w:sz="4" w:space="0" w:color="00338D"/>
              <w:left w:val="nil"/>
              <w:bottom w:val="nil"/>
              <w:right w:val="nil"/>
            </w:tcBorders>
          </w:tcPr>
          <w:p w14:paraId="2C53E2A1" w14:textId="77777777" w:rsidR="002A2827" w:rsidRPr="001636C8" w:rsidRDefault="002A2827" w:rsidP="00F27C38">
            <w:pPr>
              <w:pStyle w:val="Tabletext"/>
              <w:spacing w:line="256" w:lineRule="auto"/>
              <w:jc w:val="center"/>
              <w:rPr>
                <w:b/>
                <w:bCs/>
                <w:szCs w:val="20"/>
              </w:rPr>
            </w:pPr>
            <w:r w:rsidRPr="001636C8">
              <w:rPr>
                <w:szCs w:val="20"/>
              </w:rPr>
              <w:t>0.8</w:t>
            </w:r>
          </w:p>
        </w:tc>
        <w:tc>
          <w:tcPr>
            <w:tcW w:w="615" w:type="pct"/>
            <w:tcBorders>
              <w:top w:val="single" w:sz="4" w:space="0" w:color="00338D"/>
              <w:left w:val="nil"/>
              <w:bottom w:val="nil"/>
              <w:right w:val="nil"/>
            </w:tcBorders>
          </w:tcPr>
          <w:p w14:paraId="292A0AD0" w14:textId="77777777" w:rsidR="002A2827" w:rsidRPr="001636C8" w:rsidRDefault="002A2827" w:rsidP="00F27C38">
            <w:pPr>
              <w:pStyle w:val="Tabletext"/>
              <w:spacing w:line="256" w:lineRule="auto"/>
              <w:jc w:val="center"/>
              <w:rPr>
                <w:b/>
                <w:bCs/>
                <w:szCs w:val="20"/>
              </w:rPr>
            </w:pPr>
            <w:r w:rsidRPr="001636C8">
              <w:rPr>
                <w:szCs w:val="20"/>
              </w:rPr>
              <w:t>-148.7</w:t>
            </w:r>
          </w:p>
        </w:tc>
        <w:tc>
          <w:tcPr>
            <w:tcW w:w="882" w:type="pct"/>
            <w:tcBorders>
              <w:top w:val="single" w:sz="4" w:space="0" w:color="00338D"/>
              <w:left w:val="nil"/>
              <w:bottom w:val="nil"/>
              <w:right w:val="nil"/>
            </w:tcBorders>
          </w:tcPr>
          <w:p w14:paraId="4CED9C9D" w14:textId="77777777" w:rsidR="002A2827" w:rsidRPr="001636C8" w:rsidRDefault="002A2827" w:rsidP="00F27C38">
            <w:pPr>
              <w:pStyle w:val="Tabletext"/>
              <w:spacing w:line="256" w:lineRule="auto"/>
              <w:jc w:val="center"/>
              <w:rPr>
                <w:rFonts w:cs="Calibri"/>
                <w:color w:val="000000"/>
                <w:szCs w:val="20"/>
              </w:rPr>
            </w:pPr>
            <w:r w:rsidRPr="001636C8">
              <w:rPr>
                <w:szCs w:val="20"/>
              </w:rPr>
              <w:t>13.7</w:t>
            </w:r>
          </w:p>
        </w:tc>
      </w:tr>
      <w:tr w:rsidR="002A2827" w:rsidRPr="001636C8" w14:paraId="62390CE0" w14:textId="77777777" w:rsidTr="0066688B">
        <w:trPr>
          <w:trHeight w:val="170"/>
        </w:trPr>
        <w:tc>
          <w:tcPr>
            <w:tcW w:w="896" w:type="pct"/>
            <w:vMerge/>
            <w:tcBorders>
              <w:left w:val="nil"/>
              <w:bottom w:val="single" w:sz="4" w:space="0" w:color="00338D"/>
              <w:right w:val="nil"/>
            </w:tcBorders>
            <w:hideMark/>
          </w:tcPr>
          <w:p w14:paraId="1241777E" w14:textId="3A825335" w:rsidR="002A2827" w:rsidRPr="002A2827" w:rsidRDefault="002A2827" w:rsidP="002A2827">
            <w:pPr>
              <w:pStyle w:val="Tabletext"/>
            </w:pPr>
          </w:p>
        </w:tc>
        <w:tc>
          <w:tcPr>
            <w:tcW w:w="676" w:type="pct"/>
            <w:tcBorders>
              <w:top w:val="nil"/>
              <w:left w:val="nil"/>
              <w:bottom w:val="single" w:sz="4" w:space="0" w:color="00338D"/>
              <w:right w:val="nil"/>
            </w:tcBorders>
          </w:tcPr>
          <w:p w14:paraId="7491DB69" w14:textId="77777777" w:rsidR="002A2827" w:rsidRPr="001636C8" w:rsidRDefault="002A2827" w:rsidP="00F27C38">
            <w:pPr>
              <w:pStyle w:val="Tabletext"/>
              <w:spacing w:line="256" w:lineRule="auto"/>
              <w:jc w:val="center"/>
              <w:rPr>
                <w:b/>
                <w:bCs/>
                <w:szCs w:val="20"/>
              </w:rPr>
            </w:pPr>
            <w:r w:rsidRPr="001636C8">
              <w:rPr>
                <w:szCs w:val="20"/>
              </w:rPr>
              <w:t>(35.2)</w:t>
            </w:r>
          </w:p>
        </w:tc>
        <w:tc>
          <w:tcPr>
            <w:tcW w:w="670" w:type="pct"/>
            <w:tcBorders>
              <w:top w:val="nil"/>
              <w:left w:val="nil"/>
              <w:bottom w:val="single" w:sz="4" w:space="0" w:color="00338D"/>
              <w:right w:val="nil"/>
            </w:tcBorders>
          </w:tcPr>
          <w:p w14:paraId="1A9B45A8" w14:textId="77777777" w:rsidR="002A2827" w:rsidRPr="001636C8" w:rsidRDefault="002A2827" w:rsidP="00F27C38">
            <w:pPr>
              <w:pStyle w:val="Tabletext"/>
              <w:spacing w:line="256" w:lineRule="auto"/>
              <w:jc w:val="center"/>
              <w:rPr>
                <w:b/>
                <w:bCs/>
                <w:szCs w:val="20"/>
              </w:rPr>
            </w:pPr>
            <w:r w:rsidRPr="001636C8">
              <w:rPr>
                <w:szCs w:val="20"/>
              </w:rPr>
              <w:t>(8.1)</w:t>
            </w:r>
          </w:p>
        </w:tc>
        <w:tc>
          <w:tcPr>
            <w:tcW w:w="671" w:type="pct"/>
            <w:tcBorders>
              <w:top w:val="nil"/>
              <w:left w:val="nil"/>
              <w:bottom w:val="single" w:sz="4" w:space="0" w:color="00338D"/>
              <w:right w:val="nil"/>
            </w:tcBorders>
          </w:tcPr>
          <w:p w14:paraId="51CBF0E8" w14:textId="77777777" w:rsidR="002A2827" w:rsidRPr="001636C8" w:rsidRDefault="002A2827" w:rsidP="00F27C38">
            <w:pPr>
              <w:pStyle w:val="Tabletext"/>
              <w:spacing w:line="256" w:lineRule="auto"/>
              <w:jc w:val="center"/>
              <w:rPr>
                <w:b/>
                <w:bCs/>
                <w:szCs w:val="20"/>
              </w:rPr>
            </w:pPr>
            <w:r w:rsidRPr="001636C8">
              <w:rPr>
                <w:szCs w:val="20"/>
              </w:rPr>
              <w:t>(14.5)</w:t>
            </w:r>
          </w:p>
        </w:tc>
        <w:tc>
          <w:tcPr>
            <w:tcW w:w="590" w:type="pct"/>
            <w:tcBorders>
              <w:top w:val="nil"/>
              <w:left w:val="nil"/>
              <w:bottom w:val="single" w:sz="4" w:space="0" w:color="00338D"/>
              <w:right w:val="nil"/>
            </w:tcBorders>
          </w:tcPr>
          <w:p w14:paraId="17E5DAF0" w14:textId="77777777" w:rsidR="002A2827" w:rsidRPr="001636C8" w:rsidRDefault="002A2827" w:rsidP="00F27C38">
            <w:pPr>
              <w:pStyle w:val="Tabletext"/>
              <w:spacing w:line="256" w:lineRule="auto"/>
              <w:jc w:val="center"/>
              <w:rPr>
                <w:b/>
                <w:bCs/>
                <w:szCs w:val="20"/>
              </w:rPr>
            </w:pPr>
            <w:r w:rsidRPr="001636C8">
              <w:rPr>
                <w:szCs w:val="20"/>
              </w:rPr>
              <w:t>(0.5)</w:t>
            </w:r>
          </w:p>
        </w:tc>
        <w:tc>
          <w:tcPr>
            <w:tcW w:w="615" w:type="pct"/>
            <w:tcBorders>
              <w:top w:val="nil"/>
              <w:left w:val="nil"/>
              <w:bottom w:val="single" w:sz="4" w:space="0" w:color="00338D"/>
              <w:right w:val="nil"/>
            </w:tcBorders>
          </w:tcPr>
          <w:p w14:paraId="680CD6D1" w14:textId="77777777" w:rsidR="002A2827" w:rsidRPr="001636C8" w:rsidRDefault="002A2827" w:rsidP="00F27C38">
            <w:pPr>
              <w:pStyle w:val="Tabletext"/>
              <w:spacing w:line="256" w:lineRule="auto"/>
              <w:jc w:val="center"/>
              <w:rPr>
                <w:b/>
                <w:bCs/>
                <w:szCs w:val="20"/>
              </w:rPr>
            </w:pPr>
            <w:r w:rsidRPr="001636C8">
              <w:rPr>
                <w:szCs w:val="20"/>
              </w:rPr>
              <w:t>(449.7)</w:t>
            </w:r>
          </w:p>
        </w:tc>
        <w:tc>
          <w:tcPr>
            <w:tcW w:w="882" w:type="pct"/>
            <w:tcBorders>
              <w:top w:val="nil"/>
              <w:left w:val="nil"/>
              <w:bottom w:val="single" w:sz="4" w:space="0" w:color="00338D"/>
              <w:right w:val="nil"/>
            </w:tcBorders>
          </w:tcPr>
          <w:p w14:paraId="4F9A0184" w14:textId="77777777" w:rsidR="002A2827" w:rsidRPr="001636C8" w:rsidRDefault="002A2827" w:rsidP="00F27C38">
            <w:pPr>
              <w:pStyle w:val="Tabletext"/>
              <w:spacing w:line="256" w:lineRule="auto"/>
              <w:jc w:val="center"/>
              <w:rPr>
                <w:rFonts w:cs="Calibri"/>
                <w:color w:val="000000"/>
                <w:szCs w:val="20"/>
              </w:rPr>
            </w:pPr>
            <w:r w:rsidRPr="001636C8">
              <w:rPr>
                <w:szCs w:val="20"/>
              </w:rPr>
              <w:t>(66.0)</w:t>
            </w:r>
          </w:p>
        </w:tc>
      </w:tr>
      <w:tr w:rsidR="002A2827" w:rsidRPr="001636C8" w14:paraId="58AA0C15" w14:textId="77777777" w:rsidTr="00F67E89">
        <w:trPr>
          <w:trHeight w:val="170"/>
        </w:trPr>
        <w:tc>
          <w:tcPr>
            <w:tcW w:w="896" w:type="pct"/>
            <w:vMerge w:val="restart"/>
            <w:tcBorders>
              <w:top w:val="single" w:sz="4" w:space="0" w:color="00338D"/>
              <w:left w:val="nil"/>
              <w:right w:val="nil"/>
            </w:tcBorders>
            <w:hideMark/>
          </w:tcPr>
          <w:p w14:paraId="41AFEB1B" w14:textId="30A6E039" w:rsidR="002A2827" w:rsidRPr="002A2827" w:rsidRDefault="002A2827" w:rsidP="002A2827">
            <w:pPr>
              <w:pStyle w:val="Tabletext"/>
            </w:pPr>
            <w:r w:rsidRPr="002A2827">
              <w:t>Services opened 3 years ago</w:t>
            </w:r>
          </w:p>
        </w:tc>
        <w:tc>
          <w:tcPr>
            <w:tcW w:w="676" w:type="pct"/>
            <w:tcBorders>
              <w:top w:val="single" w:sz="4" w:space="0" w:color="00338D"/>
              <w:left w:val="nil"/>
              <w:bottom w:val="nil"/>
              <w:right w:val="nil"/>
            </w:tcBorders>
          </w:tcPr>
          <w:p w14:paraId="14DB3CB5" w14:textId="77777777" w:rsidR="002A2827" w:rsidRPr="001636C8" w:rsidRDefault="002A2827" w:rsidP="00F27C38">
            <w:pPr>
              <w:pStyle w:val="Tabletext"/>
              <w:spacing w:line="256" w:lineRule="auto"/>
              <w:jc w:val="center"/>
              <w:rPr>
                <w:b/>
                <w:bCs/>
                <w:szCs w:val="20"/>
              </w:rPr>
            </w:pPr>
            <w:r w:rsidRPr="001636C8">
              <w:rPr>
                <w:szCs w:val="20"/>
              </w:rPr>
              <w:t>-34.2</w:t>
            </w:r>
          </w:p>
        </w:tc>
        <w:tc>
          <w:tcPr>
            <w:tcW w:w="670" w:type="pct"/>
            <w:tcBorders>
              <w:top w:val="single" w:sz="4" w:space="0" w:color="00338D"/>
              <w:left w:val="nil"/>
              <w:bottom w:val="nil"/>
              <w:right w:val="nil"/>
            </w:tcBorders>
          </w:tcPr>
          <w:p w14:paraId="39B4B3B0" w14:textId="77777777" w:rsidR="002A2827" w:rsidRPr="001636C8" w:rsidRDefault="002A2827" w:rsidP="00F27C38">
            <w:pPr>
              <w:pStyle w:val="Tabletext"/>
              <w:spacing w:line="256" w:lineRule="auto"/>
              <w:jc w:val="center"/>
              <w:rPr>
                <w:b/>
                <w:bCs/>
                <w:szCs w:val="20"/>
              </w:rPr>
            </w:pPr>
            <w:r w:rsidRPr="001636C8">
              <w:rPr>
                <w:szCs w:val="20"/>
              </w:rPr>
              <w:t>-14.1*</w:t>
            </w:r>
          </w:p>
        </w:tc>
        <w:tc>
          <w:tcPr>
            <w:tcW w:w="671" w:type="pct"/>
            <w:tcBorders>
              <w:top w:val="single" w:sz="4" w:space="0" w:color="00338D"/>
              <w:left w:val="nil"/>
              <w:bottom w:val="nil"/>
              <w:right w:val="nil"/>
            </w:tcBorders>
          </w:tcPr>
          <w:p w14:paraId="645E28CC" w14:textId="77777777" w:rsidR="002A2827" w:rsidRPr="001636C8" w:rsidRDefault="002A2827" w:rsidP="00F27C38">
            <w:pPr>
              <w:pStyle w:val="Tabletext"/>
              <w:spacing w:line="256" w:lineRule="auto"/>
              <w:jc w:val="center"/>
              <w:rPr>
                <w:b/>
                <w:bCs/>
                <w:szCs w:val="20"/>
              </w:rPr>
            </w:pPr>
            <w:r w:rsidRPr="001636C8">
              <w:rPr>
                <w:szCs w:val="20"/>
              </w:rPr>
              <w:t>-30.0**</w:t>
            </w:r>
          </w:p>
        </w:tc>
        <w:tc>
          <w:tcPr>
            <w:tcW w:w="590" w:type="pct"/>
            <w:tcBorders>
              <w:top w:val="single" w:sz="4" w:space="0" w:color="00338D"/>
              <w:left w:val="nil"/>
              <w:bottom w:val="nil"/>
              <w:right w:val="nil"/>
            </w:tcBorders>
          </w:tcPr>
          <w:p w14:paraId="0B500D5A" w14:textId="77777777" w:rsidR="002A2827" w:rsidRPr="001636C8" w:rsidRDefault="002A2827" w:rsidP="00F27C38">
            <w:pPr>
              <w:pStyle w:val="Tabletext"/>
              <w:spacing w:line="256" w:lineRule="auto"/>
              <w:jc w:val="center"/>
              <w:rPr>
                <w:b/>
                <w:bCs/>
                <w:szCs w:val="20"/>
              </w:rPr>
            </w:pPr>
            <w:r w:rsidRPr="001636C8">
              <w:rPr>
                <w:szCs w:val="20"/>
              </w:rPr>
              <w:t>0.4</w:t>
            </w:r>
          </w:p>
        </w:tc>
        <w:tc>
          <w:tcPr>
            <w:tcW w:w="615" w:type="pct"/>
            <w:tcBorders>
              <w:top w:val="single" w:sz="4" w:space="0" w:color="00338D"/>
              <w:left w:val="nil"/>
              <w:bottom w:val="nil"/>
              <w:right w:val="nil"/>
            </w:tcBorders>
          </w:tcPr>
          <w:p w14:paraId="191CF71C" w14:textId="77777777" w:rsidR="002A2827" w:rsidRPr="001636C8" w:rsidRDefault="002A2827" w:rsidP="00F27C38">
            <w:pPr>
              <w:pStyle w:val="Tabletext"/>
              <w:spacing w:line="256" w:lineRule="auto"/>
              <w:jc w:val="center"/>
              <w:rPr>
                <w:b/>
                <w:bCs/>
                <w:szCs w:val="20"/>
              </w:rPr>
            </w:pPr>
            <w:r w:rsidRPr="001636C8">
              <w:rPr>
                <w:szCs w:val="20"/>
              </w:rPr>
              <w:t>33.1</w:t>
            </w:r>
          </w:p>
        </w:tc>
        <w:tc>
          <w:tcPr>
            <w:tcW w:w="882" w:type="pct"/>
            <w:tcBorders>
              <w:top w:val="single" w:sz="4" w:space="0" w:color="00338D"/>
              <w:left w:val="nil"/>
              <w:bottom w:val="nil"/>
              <w:right w:val="nil"/>
            </w:tcBorders>
          </w:tcPr>
          <w:p w14:paraId="0740B69B" w14:textId="77777777" w:rsidR="002A2827" w:rsidRPr="001636C8" w:rsidRDefault="002A2827" w:rsidP="00F27C38">
            <w:pPr>
              <w:pStyle w:val="Tabletext"/>
              <w:spacing w:line="256" w:lineRule="auto"/>
              <w:jc w:val="center"/>
              <w:rPr>
                <w:rFonts w:cs="Calibri"/>
                <w:color w:val="000000"/>
                <w:szCs w:val="20"/>
              </w:rPr>
            </w:pPr>
            <w:r w:rsidRPr="001636C8">
              <w:rPr>
                <w:szCs w:val="20"/>
              </w:rPr>
              <w:t>-34.2</w:t>
            </w:r>
          </w:p>
        </w:tc>
      </w:tr>
      <w:tr w:rsidR="002A2827" w:rsidRPr="001636C8" w14:paraId="7C42687D" w14:textId="77777777" w:rsidTr="001636C8">
        <w:trPr>
          <w:trHeight w:val="170"/>
        </w:trPr>
        <w:tc>
          <w:tcPr>
            <w:tcW w:w="896" w:type="pct"/>
            <w:vMerge/>
            <w:hideMark/>
          </w:tcPr>
          <w:p w14:paraId="0E9E6F2D" w14:textId="6BCAFD66" w:rsidR="002A2827" w:rsidRPr="001636C8" w:rsidRDefault="002A2827" w:rsidP="00F27C38">
            <w:pPr>
              <w:pStyle w:val="Tabletext"/>
              <w:spacing w:line="256" w:lineRule="auto"/>
              <w:ind w:left="176"/>
              <w:rPr>
                <w:szCs w:val="20"/>
              </w:rPr>
            </w:pPr>
          </w:p>
        </w:tc>
        <w:tc>
          <w:tcPr>
            <w:tcW w:w="676" w:type="pct"/>
          </w:tcPr>
          <w:p w14:paraId="6F1BDA40" w14:textId="77777777" w:rsidR="002A2827" w:rsidRPr="001636C8" w:rsidRDefault="002A2827" w:rsidP="00F27C38">
            <w:pPr>
              <w:pStyle w:val="Tabletext"/>
              <w:spacing w:line="256" w:lineRule="auto"/>
              <w:jc w:val="center"/>
              <w:rPr>
                <w:b/>
                <w:bCs/>
                <w:szCs w:val="20"/>
              </w:rPr>
            </w:pPr>
            <w:r w:rsidRPr="001636C8">
              <w:rPr>
                <w:szCs w:val="20"/>
              </w:rPr>
              <w:t>(33.8)</w:t>
            </w:r>
          </w:p>
        </w:tc>
        <w:tc>
          <w:tcPr>
            <w:tcW w:w="670" w:type="pct"/>
          </w:tcPr>
          <w:p w14:paraId="1A90BF57" w14:textId="77777777" w:rsidR="002A2827" w:rsidRPr="001636C8" w:rsidRDefault="002A2827" w:rsidP="00F27C38">
            <w:pPr>
              <w:pStyle w:val="Tabletext"/>
              <w:spacing w:line="256" w:lineRule="auto"/>
              <w:jc w:val="center"/>
              <w:rPr>
                <w:b/>
                <w:bCs/>
                <w:szCs w:val="20"/>
              </w:rPr>
            </w:pPr>
            <w:r w:rsidRPr="001636C8">
              <w:rPr>
                <w:szCs w:val="20"/>
              </w:rPr>
              <w:t>(7.3)</w:t>
            </w:r>
          </w:p>
        </w:tc>
        <w:tc>
          <w:tcPr>
            <w:tcW w:w="671" w:type="pct"/>
          </w:tcPr>
          <w:p w14:paraId="3E092A46" w14:textId="77777777" w:rsidR="002A2827" w:rsidRPr="001636C8" w:rsidRDefault="002A2827" w:rsidP="00F27C38">
            <w:pPr>
              <w:pStyle w:val="Tabletext"/>
              <w:spacing w:line="256" w:lineRule="auto"/>
              <w:jc w:val="center"/>
              <w:rPr>
                <w:b/>
                <w:bCs/>
                <w:szCs w:val="20"/>
              </w:rPr>
            </w:pPr>
            <w:r w:rsidRPr="001636C8">
              <w:rPr>
                <w:szCs w:val="20"/>
              </w:rPr>
              <w:t>(14.3)</w:t>
            </w:r>
          </w:p>
        </w:tc>
        <w:tc>
          <w:tcPr>
            <w:tcW w:w="590" w:type="pct"/>
          </w:tcPr>
          <w:p w14:paraId="00A785B7" w14:textId="77777777" w:rsidR="002A2827" w:rsidRPr="001636C8" w:rsidRDefault="002A2827" w:rsidP="00F27C38">
            <w:pPr>
              <w:pStyle w:val="Tabletext"/>
              <w:spacing w:line="256" w:lineRule="auto"/>
              <w:jc w:val="center"/>
              <w:rPr>
                <w:b/>
                <w:bCs/>
                <w:szCs w:val="20"/>
              </w:rPr>
            </w:pPr>
            <w:r w:rsidRPr="001636C8">
              <w:rPr>
                <w:szCs w:val="20"/>
              </w:rPr>
              <w:t>(0.5)</w:t>
            </w:r>
          </w:p>
        </w:tc>
        <w:tc>
          <w:tcPr>
            <w:tcW w:w="615" w:type="pct"/>
          </w:tcPr>
          <w:p w14:paraId="35C17F7E" w14:textId="77777777" w:rsidR="002A2827" w:rsidRPr="001636C8" w:rsidRDefault="002A2827" w:rsidP="00F27C38">
            <w:pPr>
              <w:pStyle w:val="Tabletext"/>
              <w:spacing w:line="256" w:lineRule="auto"/>
              <w:jc w:val="center"/>
              <w:rPr>
                <w:b/>
                <w:bCs/>
                <w:szCs w:val="20"/>
              </w:rPr>
            </w:pPr>
            <w:r w:rsidRPr="001636C8">
              <w:rPr>
                <w:szCs w:val="20"/>
              </w:rPr>
              <w:t>(44.2)</w:t>
            </w:r>
          </w:p>
        </w:tc>
        <w:tc>
          <w:tcPr>
            <w:tcW w:w="882" w:type="pct"/>
          </w:tcPr>
          <w:p w14:paraId="5B44DF96" w14:textId="77777777" w:rsidR="002A2827" w:rsidRPr="001636C8" w:rsidRDefault="002A2827" w:rsidP="00F27C38">
            <w:pPr>
              <w:pStyle w:val="Tabletext"/>
              <w:spacing w:line="256" w:lineRule="auto"/>
              <w:jc w:val="center"/>
              <w:rPr>
                <w:rFonts w:cs="Calibri"/>
                <w:color w:val="000000"/>
                <w:szCs w:val="20"/>
              </w:rPr>
            </w:pPr>
            <w:r w:rsidRPr="001636C8">
              <w:rPr>
                <w:szCs w:val="20"/>
              </w:rPr>
              <w:t>(33.8)</w:t>
            </w:r>
          </w:p>
        </w:tc>
      </w:tr>
      <w:tr w:rsidR="002A6A78" w:rsidRPr="001636C8" w14:paraId="399FB53F" w14:textId="77777777" w:rsidTr="001636C8">
        <w:tc>
          <w:tcPr>
            <w:tcW w:w="896" w:type="pct"/>
            <w:tcBorders>
              <w:top w:val="single" w:sz="2" w:space="0" w:color="808080" w:themeColor="background1" w:themeShade="80"/>
              <w:left w:val="nil"/>
              <w:bottom w:val="single" w:sz="4" w:space="0" w:color="auto"/>
              <w:right w:val="nil"/>
            </w:tcBorders>
            <w:hideMark/>
          </w:tcPr>
          <w:p w14:paraId="1AAF6BF0" w14:textId="77777777" w:rsidR="002A6A78" w:rsidRPr="001636C8" w:rsidRDefault="002A6A78" w:rsidP="00F27C38">
            <w:pPr>
              <w:pStyle w:val="Tabletext"/>
              <w:spacing w:line="256" w:lineRule="auto"/>
              <w:rPr>
                <w:szCs w:val="20"/>
              </w:rPr>
            </w:pPr>
            <w:r w:rsidRPr="001636C8">
              <w:rPr>
                <w:szCs w:val="20"/>
              </w:rPr>
              <w:t>No. of PHNs</w:t>
            </w:r>
          </w:p>
        </w:tc>
        <w:tc>
          <w:tcPr>
            <w:tcW w:w="676" w:type="pct"/>
            <w:tcBorders>
              <w:top w:val="single" w:sz="2" w:space="0" w:color="808080" w:themeColor="background1" w:themeShade="80"/>
              <w:left w:val="nil"/>
              <w:bottom w:val="single" w:sz="4" w:space="0" w:color="auto"/>
              <w:right w:val="nil"/>
            </w:tcBorders>
            <w:vAlign w:val="center"/>
            <w:hideMark/>
          </w:tcPr>
          <w:p w14:paraId="56CC98A6" w14:textId="77777777" w:rsidR="002A6A78" w:rsidRPr="001636C8" w:rsidRDefault="002A6A78" w:rsidP="00F27C38">
            <w:pPr>
              <w:pStyle w:val="Tabletext"/>
              <w:spacing w:line="256" w:lineRule="auto"/>
              <w:jc w:val="center"/>
              <w:rPr>
                <w:szCs w:val="20"/>
              </w:rPr>
            </w:pPr>
            <w:r w:rsidRPr="001636C8">
              <w:rPr>
                <w:rFonts w:cs="Arial"/>
                <w:color w:val="000000"/>
                <w:kern w:val="24"/>
                <w:szCs w:val="20"/>
              </w:rPr>
              <w:t xml:space="preserve"> 31 </w:t>
            </w:r>
          </w:p>
        </w:tc>
        <w:tc>
          <w:tcPr>
            <w:tcW w:w="670" w:type="pct"/>
            <w:tcBorders>
              <w:top w:val="single" w:sz="2" w:space="0" w:color="808080" w:themeColor="background1" w:themeShade="80"/>
              <w:left w:val="nil"/>
              <w:bottom w:val="single" w:sz="4" w:space="0" w:color="auto"/>
              <w:right w:val="nil"/>
            </w:tcBorders>
            <w:vAlign w:val="center"/>
            <w:hideMark/>
          </w:tcPr>
          <w:p w14:paraId="0208F692" w14:textId="77777777" w:rsidR="002A6A78" w:rsidRPr="001636C8" w:rsidRDefault="002A6A78" w:rsidP="00F27C38">
            <w:pPr>
              <w:pStyle w:val="Tabletext"/>
              <w:spacing w:line="256" w:lineRule="auto"/>
              <w:jc w:val="center"/>
              <w:rPr>
                <w:szCs w:val="20"/>
              </w:rPr>
            </w:pPr>
            <w:r w:rsidRPr="001636C8">
              <w:rPr>
                <w:rFonts w:cs="Arial"/>
                <w:color w:val="000000"/>
                <w:kern w:val="24"/>
                <w:szCs w:val="20"/>
              </w:rPr>
              <w:t xml:space="preserve"> 31 </w:t>
            </w:r>
          </w:p>
        </w:tc>
        <w:tc>
          <w:tcPr>
            <w:tcW w:w="671" w:type="pct"/>
            <w:tcBorders>
              <w:top w:val="single" w:sz="2" w:space="0" w:color="808080" w:themeColor="background1" w:themeShade="80"/>
              <w:left w:val="nil"/>
              <w:bottom w:val="single" w:sz="4" w:space="0" w:color="auto"/>
              <w:right w:val="nil"/>
            </w:tcBorders>
            <w:vAlign w:val="center"/>
            <w:hideMark/>
          </w:tcPr>
          <w:p w14:paraId="2CE7DF7C" w14:textId="77777777" w:rsidR="002A6A78" w:rsidRPr="001636C8" w:rsidRDefault="002A6A78" w:rsidP="00F27C38">
            <w:pPr>
              <w:pStyle w:val="Tabletext"/>
              <w:spacing w:line="256" w:lineRule="auto"/>
              <w:jc w:val="center"/>
              <w:rPr>
                <w:szCs w:val="20"/>
              </w:rPr>
            </w:pPr>
            <w:r w:rsidRPr="001636C8">
              <w:rPr>
                <w:rFonts w:cs="Arial"/>
                <w:color w:val="000000"/>
                <w:kern w:val="24"/>
                <w:szCs w:val="20"/>
              </w:rPr>
              <w:t xml:space="preserve"> 31 </w:t>
            </w:r>
          </w:p>
        </w:tc>
        <w:tc>
          <w:tcPr>
            <w:tcW w:w="590" w:type="pct"/>
            <w:tcBorders>
              <w:top w:val="single" w:sz="2" w:space="0" w:color="808080" w:themeColor="background1" w:themeShade="80"/>
              <w:left w:val="nil"/>
              <w:bottom w:val="single" w:sz="4" w:space="0" w:color="auto"/>
              <w:right w:val="nil"/>
            </w:tcBorders>
            <w:vAlign w:val="center"/>
            <w:hideMark/>
          </w:tcPr>
          <w:p w14:paraId="5675647A" w14:textId="77777777" w:rsidR="002A6A78" w:rsidRPr="001636C8" w:rsidRDefault="002A6A78" w:rsidP="00F27C38">
            <w:pPr>
              <w:pStyle w:val="Tabletext"/>
              <w:spacing w:line="256" w:lineRule="auto"/>
              <w:jc w:val="center"/>
              <w:rPr>
                <w:szCs w:val="20"/>
              </w:rPr>
            </w:pPr>
            <w:r w:rsidRPr="001636C8">
              <w:rPr>
                <w:rFonts w:cs="Arial"/>
                <w:color w:val="000000"/>
                <w:kern w:val="24"/>
                <w:szCs w:val="20"/>
              </w:rPr>
              <w:t xml:space="preserve"> 31 </w:t>
            </w:r>
          </w:p>
        </w:tc>
        <w:tc>
          <w:tcPr>
            <w:tcW w:w="615" w:type="pct"/>
            <w:tcBorders>
              <w:top w:val="single" w:sz="2" w:space="0" w:color="808080" w:themeColor="background1" w:themeShade="80"/>
              <w:left w:val="nil"/>
              <w:bottom w:val="single" w:sz="4" w:space="0" w:color="auto"/>
              <w:right w:val="nil"/>
            </w:tcBorders>
            <w:vAlign w:val="center"/>
            <w:hideMark/>
          </w:tcPr>
          <w:p w14:paraId="709C7149" w14:textId="77777777" w:rsidR="002A6A78" w:rsidRPr="001636C8" w:rsidRDefault="002A6A78" w:rsidP="00F27C38">
            <w:pPr>
              <w:pStyle w:val="Tabletext"/>
              <w:spacing w:line="256" w:lineRule="auto"/>
              <w:jc w:val="center"/>
              <w:rPr>
                <w:szCs w:val="20"/>
              </w:rPr>
            </w:pPr>
            <w:r w:rsidRPr="001636C8">
              <w:rPr>
                <w:rFonts w:cs="Arial"/>
                <w:color w:val="000000"/>
                <w:kern w:val="24"/>
                <w:szCs w:val="20"/>
              </w:rPr>
              <w:t xml:space="preserve"> 31 </w:t>
            </w:r>
          </w:p>
        </w:tc>
        <w:tc>
          <w:tcPr>
            <w:tcW w:w="882" w:type="pct"/>
            <w:tcBorders>
              <w:top w:val="single" w:sz="2" w:space="0" w:color="808080" w:themeColor="background1" w:themeShade="80"/>
              <w:left w:val="nil"/>
              <w:bottom w:val="single" w:sz="4" w:space="0" w:color="auto"/>
              <w:right w:val="nil"/>
            </w:tcBorders>
            <w:hideMark/>
          </w:tcPr>
          <w:p w14:paraId="3CB2FCF9" w14:textId="77777777" w:rsidR="002A6A78" w:rsidRPr="001636C8" w:rsidRDefault="002A6A78" w:rsidP="00F27C38">
            <w:pPr>
              <w:pStyle w:val="Tabletext"/>
              <w:spacing w:line="256" w:lineRule="auto"/>
              <w:jc w:val="center"/>
              <w:rPr>
                <w:rFonts w:cs="Arial"/>
                <w:color w:val="000000"/>
                <w:kern w:val="24"/>
                <w:szCs w:val="20"/>
              </w:rPr>
            </w:pPr>
            <w:r w:rsidRPr="001636C8">
              <w:rPr>
                <w:rFonts w:cs="Arial"/>
                <w:color w:val="000000"/>
                <w:kern w:val="24"/>
                <w:szCs w:val="20"/>
              </w:rPr>
              <w:t>31</w:t>
            </w:r>
          </w:p>
        </w:tc>
      </w:tr>
    </w:tbl>
    <w:p w14:paraId="3EF91518" w14:textId="77777777" w:rsidR="002A6A78" w:rsidRPr="008F35E8" w:rsidRDefault="002A6A78" w:rsidP="002A6A78">
      <w:pPr>
        <w:pStyle w:val="Source"/>
      </w:pPr>
      <w:r>
        <w:t xml:space="preserve">Source: KPMG analysis of </w:t>
      </w:r>
      <w:r w:rsidRPr="008F35E8">
        <w:t xml:space="preserve">PHN-level hospitalisations and Medicare-subsidised MH specific services provided by the AIHW and SA. No. of </w:t>
      </w:r>
      <w:r>
        <w:t>services</w:t>
      </w:r>
      <w:r w:rsidRPr="008F35E8">
        <w:t xml:space="preserve"> opened estimated with opening dates provided by headspace National.</w:t>
      </w:r>
    </w:p>
    <w:p w14:paraId="74AB0013" w14:textId="564131FC" w:rsidR="002A6A78" w:rsidRPr="008F35E8" w:rsidRDefault="002A6A78" w:rsidP="002A6A78">
      <w:pPr>
        <w:pStyle w:val="Source-Notes"/>
      </w:pPr>
      <w:r w:rsidRPr="008F35E8">
        <w:t xml:space="preserve">Notes: * Significant at 10 </w:t>
      </w:r>
      <w:r>
        <w:t>per cent</w:t>
      </w:r>
      <w:r w:rsidRPr="008F35E8">
        <w:t xml:space="preserve">. ** Signification at 5 </w:t>
      </w:r>
      <w:r>
        <w:t>per cent</w:t>
      </w:r>
      <w:r w:rsidRPr="008F35E8">
        <w:t>; Dependent variables are measured at per 100,000 young persons. Fixed year effects are estimated but omitted from this table.</w:t>
      </w:r>
      <w:r>
        <w:t xml:space="preserve"> </w:t>
      </w:r>
      <w:r w:rsidRPr="008F35E8">
        <w:t>SH: Self</w:t>
      </w:r>
      <w:r w:rsidRPr="008F35E8">
        <w:rPr>
          <w:szCs w:val="16"/>
        </w:rPr>
        <w:t>-harm.</w:t>
      </w:r>
      <w:r>
        <w:rPr>
          <w:szCs w:val="16"/>
        </w:rPr>
        <w:t xml:space="preserve"> </w:t>
      </w:r>
      <w:r w:rsidRPr="008F35E8">
        <w:t>MH: Mental</w:t>
      </w:r>
      <w:r w:rsidR="004D1498" w:rsidRPr="008F35E8">
        <w:t xml:space="preserve"> </w:t>
      </w:r>
      <w:r w:rsidRPr="008F35E8">
        <w:t>hea</w:t>
      </w:r>
      <w:r w:rsidRPr="008F35E8">
        <w:rPr>
          <w:szCs w:val="16"/>
        </w:rPr>
        <w:t>lth.</w:t>
      </w:r>
      <w:r>
        <w:rPr>
          <w:szCs w:val="16"/>
        </w:rPr>
        <w:t xml:space="preserve"> </w:t>
      </w:r>
      <w:r w:rsidRPr="008F35E8">
        <w:t>MBS: Medicar</w:t>
      </w:r>
      <w:r w:rsidRPr="008F35E8">
        <w:rPr>
          <w:szCs w:val="16"/>
        </w:rPr>
        <w:t>e Benefits Schedule (MBS).</w:t>
      </w:r>
    </w:p>
    <w:p w14:paraId="5F2EC83F" w14:textId="77777777" w:rsidR="002A6A78" w:rsidRPr="008F35E8" w:rsidRDefault="002A6A78" w:rsidP="002A6A78">
      <w:pPr>
        <w:pStyle w:val="Source-Notes"/>
        <w:rPr>
          <w:szCs w:val="16"/>
        </w:rPr>
      </w:pPr>
      <w:r w:rsidRPr="00E83942">
        <w:rPr>
          <w:vertAlign w:val="superscript"/>
        </w:rPr>
        <w:t>1</w:t>
      </w:r>
      <w:r w:rsidRPr="008F35E8">
        <w:rPr>
          <w:szCs w:val="16"/>
        </w:rPr>
        <w:t xml:space="preserve"> </w:t>
      </w:r>
      <w:r>
        <w:rPr>
          <w:szCs w:val="16"/>
        </w:rPr>
        <w:t>A</w:t>
      </w:r>
      <w:r w:rsidRPr="008F35E8">
        <w:rPr>
          <w:szCs w:val="16"/>
        </w:rPr>
        <w:t>lso known as ‘illicit drug and alcohol related hospitalisations per 100,000’.</w:t>
      </w:r>
    </w:p>
    <w:p w14:paraId="20C4EFBB" w14:textId="77777777" w:rsidR="002A6A78" w:rsidRPr="008F35E8" w:rsidRDefault="002A6A78" w:rsidP="002A6A78">
      <w:pPr>
        <w:pStyle w:val="Source-Notes"/>
        <w:rPr>
          <w:szCs w:val="16"/>
        </w:rPr>
      </w:pPr>
      <w:r w:rsidRPr="00E83942">
        <w:rPr>
          <w:vertAlign w:val="superscript"/>
        </w:rPr>
        <w:t>2</w:t>
      </w:r>
      <w:r w:rsidRPr="008F35E8">
        <w:t xml:space="preserve"> Also known as ‘deaths from intentional self-harm per 100,000’.</w:t>
      </w:r>
    </w:p>
    <w:p w14:paraId="3E2DA06A" w14:textId="77777777" w:rsidR="002A6A78" w:rsidRPr="008F35E8" w:rsidRDefault="002A6A78" w:rsidP="002A6A78">
      <w:pPr>
        <w:pStyle w:val="Source-Notes"/>
        <w:rPr>
          <w:szCs w:val="16"/>
        </w:rPr>
      </w:pPr>
      <w:r w:rsidRPr="00E83942">
        <w:rPr>
          <w:vertAlign w:val="superscript"/>
        </w:rPr>
        <w:t>3</w:t>
      </w:r>
      <w:r w:rsidRPr="008F35E8">
        <w:t xml:space="preserve"> Mental health emergency department presentations are only available</w:t>
      </w:r>
      <w:r w:rsidRPr="008F35E8">
        <w:rPr>
          <w:szCs w:val="16"/>
        </w:rPr>
        <w:t xml:space="preserve"> from 2013-14 to 2018-19.</w:t>
      </w:r>
    </w:p>
    <w:p w14:paraId="776FE749" w14:textId="77777777" w:rsidR="002A6A78" w:rsidRDefault="002A6A78" w:rsidP="009B78D1">
      <w:pPr>
        <w:pStyle w:val="Heading4"/>
      </w:pPr>
      <w:r>
        <w:t>Number of headspace clients per 1,000 young people</w:t>
      </w:r>
    </w:p>
    <w:p w14:paraId="1B08C120" w14:textId="47834841" w:rsidR="00455AD8" w:rsidRDefault="002E6067" w:rsidP="007F00F3">
      <w:pPr>
        <w:pStyle w:val="BodyText"/>
      </w:pPr>
      <w:r>
        <w:fldChar w:fldCharType="begin" w:fldLock="1"/>
      </w:r>
      <w:r>
        <w:instrText xml:space="preserve"> REF _Ref97749858 \h </w:instrText>
      </w:r>
      <w:r>
        <w:fldChar w:fldCharType="separate"/>
      </w:r>
      <w:r w:rsidR="00383E5A">
        <w:t xml:space="preserve">Table </w:t>
      </w:r>
      <w:r w:rsidR="00383E5A">
        <w:rPr>
          <w:noProof/>
        </w:rPr>
        <w:t>78</w:t>
      </w:r>
      <w:r>
        <w:fldChar w:fldCharType="end"/>
      </w:r>
      <w:r w:rsidR="002A6A78">
        <w:t xml:space="preserve"> summarises the impact of the number of headspace clients per 1,000 young people in a PHN on outcomes. There is some evidence that increasing the number of headspace clients is associated with a reduction in the rate of mental health-related hospitalisations but the association is only significant when lagged by a year. There is also some evidence of a positive association with the number of headspace clients and the rate of suicides and mental-health ED presentations but this is potentially reverse causality: high rates have led to an increase in headspace services. For the remainder of the outcome measures, there does not seem to be any significant impact of increasing the share of headspace clients as per young person population.</w:t>
      </w:r>
    </w:p>
    <w:p w14:paraId="1277B198" w14:textId="77777777" w:rsidR="00455AD8" w:rsidRDefault="00455AD8">
      <w:pPr>
        <w:spacing w:before="0" w:after="160" w:line="259" w:lineRule="auto"/>
      </w:pPr>
      <w:r>
        <w:br w:type="page"/>
      </w:r>
    </w:p>
    <w:p w14:paraId="39E5A7CA" w14:textId="616E08B1" w:rsidR="002A6A78" w:rsidRDefault="002A6A78" w:rsidP="002A6A78">
      <w:pPr>
        <w:pStyle w:val="Caption"/>
      </w:pPr>
      <w:bookmarkStart w:id="370" w:name="_Ref97749858"/>
      <w:bookmarkStart w:id="371" w:name="_Toc108109028"/>
      <w:r>
        <w:t xml:space="preserve">Table </w:t>
      </w:r>
      <w:r>
        <w:fldChar w:fldCharType="begin"/>
      </w:r>
      <w:r>
        <w:instrText>SEQ Table \* ARABIC</w:instrText>
      </w:r>
      <w:r>
        <w:fldChar w:fldCharType="separate"/>
      </w:r>
      <w:r w:rsidR="00CC0438">
        <w:rPr>
          <w:noProof/>
        </w:rPr>
        <w:t>78</w:t>
      </w:r>
      <w:r>
        <w:fldChar w:fldCharType="end"/>
      </w:r>
      <w:bookmarkEnd w:id="370"/>
      <w:r>
        <w:t>: Difference-in-Difference analysis of the number of headspace clients per 1,000 young people on area-level measures of mental health</w:t>
      </w:r>
      <w:bookmarkEnd w:id="371"/>
    </w:p>
    <w:tbl>
      <w:tblPr>
        <w:tblW w:w="5001" w:type="pct"/>
        <w:tblLook w:val="04A0" w:firstRow="1" w:lastRow="0" w:firstColumn="1" w:lastColumn="0" w:noHBand="0" w:noVBand="1"/>
        <w:tblCaption w:val="Difference-in-difference analysis of the number of headspace clients per 1,000 young people on area-level measures of mental health"/>
        <w:tblDescription w:val="Table 78 has 7 columns and summarises the impact a new headspace service, and the lagged impact of a new headspace service 1, 2 and 3 years ago has on area levels measures of mental health. Column 1 lists the independent variables considered. Column 2 lists the results for mental health-related hospitalisations. Column 3 lists the results for self-harm related hospitalisations. Column 4 lists the results for substance abuse hospitalisations. Column 5 lists the results for suicide deaths. Column 6 lists the results for MBS-based mental health services. Column 7 lists the results for mental health emergency department presentations."/>
      </w:tblPr>
      <w:tblGrid>
        <w:gridCol w:w="1628"/>
        <w:gridCol w:w="1227"/>
        <w:gridCol w:w="1214"/>
        <w:gridCol w:w="1217"/>
        <w:gridCol w:w="1067"/>
        <w:gridCol w:w="1121"/>
        <w:gridCol w:w="1598"/>
      </w:tblGrid>
      <w:tr w:rsidR="00AD703D" w:rsidRPr="009B78D1" w14:paraId="50DA737D" w14:textId="77777777" w:rsidTr="00AD703D">
        <w:trPr>
          <w:tblHeader/>
        </w:trPr>
        <w:tc>
          <w:tcPr>
            <w:tcW w:w="897" w:type="pct"/>
            <w:vMerge w:val="restart"/>
            <w:tcBorders>
              <w:top w:val="nil"/>
              <w:left w:val="nil"/>
              <w:right w:val="nil"/>
            </w:tcBorders>
            <w:shd w:val="clear" w:color="auto" w:fill="00338D"/>
            <w:vAlign w:val="bottom"/>
            <w:hideMark/>
          </w:tcPr>
          <w:p w14:paraId="3A62CEF1" w14:textId="77777777" w:rsidR="00AD703D" w:rsidRPr="009B78D1" w:rsidRDefault="00AD703D" w:rsidP="009B78D1">
            <w:pPr>
              <w:pStyle w:val="Tableheading"/>
              <w:spacing w:line="256" w:lineRule="auto"/>
            </w:pPr>
            <w:r w:rsidRPr="009B78D1">
              <w:t>Independent variables</w:t>
            </w:r>
          </w:p>
        </w:tc>
        <w:tc>
          <w:tcPr>
            <w:tcW w:w="4103" w:type="pct"/>
            <w:gridSpan w:val="6"/>
            <w:tcBorders>
              <w:top w:val="nil"/>
              <w:left w:val="nil"/>
              <w:bottom w:val="single" w:sz="4" w:space="0" w:color="00338D"/>
              <w:right w:val="nil"/>
            </w:tcBorders>
            <w:shd w:val="clear" w:color="auto" w:fill="00338D"/>
            <w:hideMark/>
          </w:tcPr>
          <w:p w14:paraId="3D8C77BD" w14:textId="4E176FFE" w:rsidR="00AD703D" w:rsidRPr="009B78D1" w:rsidRDefault="00AD703D" w:rsidP="00F27C38">
            <w:pPr>
              <w:pStyle w:val="Tableheading"/>
              <w:spacing w:line="256" w:lineRule="auto"/>
              <w:jc w:val="center"/>
              <w:rPr>
                <w:i/>
                <w:iCs/>
              </w:rPr>
            </w:pPr>
            <w:r w:rsidRPr="009B78D1">
              <w:rPr>
                <w:i/>
                <w:iCs/>
              </w:rPr>
              <w:t>Dependent variable:</w:t>
            </w:r>
          </w:p>
        </w:tc>
      </w:tr>
      <w:tr w:rsidR="00AD703D" w:rsidRPr="009B78D1" w14:paraId="44497B94" w14:textId="77777777" w:rsidTr="00CF2A15">
        <w:trPr>
          <w:trHeight w:val="1123"/>
          <w:tblHeader/>
        </w:trPr>
        <w:tc>
          <w:tcPr>
            <w:tcW w:w="897" w:type="pct"/>
            <w:vMerge/>
            <w:tcBorders>
              <w:left w:val="nil"/>
              <w:right w:val="nil"/>
            </w:tcBorders>
            <w:shd w:val="clear" w:color="auto" w:fill="00338D"/>
          </w:tcPr>
          <w:p w14:paraId="678D567A" w14:textId="77777777" w:rsidR="00AD703D" w:rsidRPr="009B78D1" w:rsidRDefault="00AD703D" w:rsidP="00F27C38">
            <w:pPr>
              <w:pStyle w:val="Tableheading"/>
              <w:spacing w:line="256" w:lineRule="auto"/>
            </w:pPr>
          </w:p>
        </w:tc>
        <w:tc>
          <w:tcPr>
            <w:tcW w:w="676" w:type="pct"/>
            <w:tcBorders>
              <w:top w:val="nil"/>
              <w:left w:val="nil"/>
              <w:right w:val="nil"/>
            </w:tcBorders>
            <w:shd w:val="clear" w:color="auto" w:fill="00338D"/>
            <w:hideMark/>
          </w:tcPr>
          <w:p w14:paraId="3B342557" w14:textId="77777777" w:rsidR="00AD703D" w:rsidRPr="009B78D1" w:rsidRDefault="00AD703D" w:rsidP="00F27C38">
            <w:pPr>
              <w:pStyle w:val="Tableheading"/>
              <w:spacing w:line="256" w:lineRule="auto"/>
              <w:jc w:val="center"/>
            </w:pPr>
            <w:r w:rsidRPr="009B78D1">
              <w:t>MH related hosp.</w:t>
            </w:r>
          </w:p>
          <w:p w14:paraId="343B7EE2" w14:textId="5A8943A9" w:rsidR="00AD703D" w:rsidRPr="009B78D1" w:rsidRDefault="00AD703D" w:rsidP="00F27C38">
            <w:pPr>
              <w:pStyle w:val="Tableheading"/>
              <w:spacing w:line="256" w:lineRule="auto"/>
              <w:jc w:val="center"/>
            </w:pPr>
            <w:r w:rsidRPr="009B78D1">
              <w:t>(1)</w:t>
            </w:r>
          </w:p>
        </w:tc>
        <w:tc>
          <w:tcPr>
            <w:tcW w:w="669" w:type="pct"/>
            <w:tcBorders>
              <w:top w:val="nil"/>
              <w:left w:val="nil"/>
              <w:right w:val="nil"/>
            </w:tcBorders>
            <w:shd w:val="clear" w:color="auto" w:fill="00338D"/>
            <w:hideMark/>
          </w:tcPr>
          <w:p w14:paraId="43D8E74F" w14:textId="77777777" w:rsidR="00AD703D" w:rsidRPr="009B78D1" w:rsidRDefault="00AD703D" w:rsidP="00F27C38">
            <w:pPr>
              <w:pStyle w:val="Tableheading"/>
              <w:spacing w:line="256" w:lineRule="auto"/>
              <w:jc w:val="center"/>
            </w:pPr>
            <w:r w:rsidRPr="009B78D1">
              <w:t xml:space="preserve">Self-harm hosp. </w:t>
            </w:r>
          </w:p>
          <w:p w14:paraId="697F618A" w14:textId="732EA0DB" w:rsidR="00AD703D" w:rsidRPr="009B78D1" w:rsidRDefault="00AD703D" w:rsidP="00F27C38">
            <w:pPr>
              <w:pStyle w:val="Tableheading"/>
              <w:spacing w:line="256" w:lineRule="auto"/>
              <w:jc w:val="center"/>
            </w:pPr>
            <w:r w:rsidRPr="009B78D1">
              <w:t>(2)</w:t>
            </w:r>
          </w:p>
        </w:tc>
        <w:tc>
          <w:tcPr>
            <w:tcW w:w="671" w:type="pct"/>
            <w:tcBorders>
              <w:top w:val="nil"/>
              <w:left w:val="nil"/>
              <w:right w:val="nil"/>
            </w:tcBorders>
            <w:shd w:val="clear" w:color="auto" w:fill="00338D"/>
            <w:hideMark/>
          </w:tcPr>
          <w:p w14:paraId="01C3D08A" w14:textId="77777777" w:rsidR="00AD703D" w:rsidRPr="009B78D1" w:rsidRDefault="00AD703D" w:rsidP="00F27C38">
            <w:pPr>
              <w:pStyle w:val="Tableheading"/>
              <w:spacing w:line="256" w:lineRule="auto"/>
              <w:jc w:val="center"/>
            </w:pPr>
            <w:r w:rsidRPr="009B78D1">
              <w:t>Substance abuse hosp.</w:t>
            </w:r>
            <w:r w:rsidRPr="009B78D1">
              <w:rPr>
                <w:vertAlign w:val="superscript"/>
              </w:rPr>
              <w:t>1</w:t>
            </w:r>
          </w:p>
          <w:p w14:paraId="56CDE93C" w14:textId="5023F68E" w:rsidR="00AD703D" w:rsidRPr="009B78D1" w:rsidRDefault="00AD703D" w:rsidP="00F27C38">
            <w:pPr>
              <w:pStyle w:val="Tableheading"/>
              <w:spacing w:line="256" w:lineRule="auto"/>
              <w:jc w:val="center"/>
            </w:pPr>
            <w:r w:rsidRPr="009B78D1">
              <w:t>(3)</w:t>
            </w:r>
          </w:p>
        </w:tc>
        <w:tc>
          <w:tcPr>
            <w:tcW w:w="588" w:type="pct"/>
            <w:tcBorders>
              <w:top w:val="nil"/>
              <w:left w:val="nil"/>
              <w:right w:val="nil"/>
            </w:tcBorders>
            <w:shd w:val="clear" w:color="auto" w:fill="00338D"/>
            <w:hideMark/>
          </w:tcPr>
          <w:p w14:paraId="04756466" w14:textId="77777777" w:rsidR="00AD703D" w:rsidRPr="009B78D1" w:rsidRDefault="00AD703D" w:rsidP="00F27C38">
            <w:pPr>
              <w:pStyle w:val="Tableheading"/>
              <w:spacing w:line="256" w:lineRule="auto"/>
              <w:jc w:val="center"/>
            </w:pPr>
            <w:r w:rsidRPr="009B78D1">
              <w:t>Suicide deaths</w:t>
            </w:r>
            <w:r w:rsidRPr="009B78D1">
              <w:rPr>
                <w:vertAlign w:val="superscript"/>
              </w:rPr>
              <w:t>2</w:t>
            </w:r>
          </w:p>
          <w:p w14:paraId="34799789" w14:textId="269953E7" w:rsidR="00AD703D" w:rsidRPr="009B78D1" w:rsidRDefault="00AD703D" w:rsidP="00F27C38">
            <w:pPr>
              <w:pStyle w:val="Tableheading"/>
              <w:spacing w:line="256" w:lineRule="auto"/>
              <w:jc w:val="center"/>
            </w:pPr>
            <w:r w:rsidRPr="009B78D1">
              <w:t>(4)</w:t>
            </w:r>
          </w:p>
        </w:tc>
        <w:tc>
          <w:tcPr>
            <w:tcW w:w="618" w:type="pct"/>
            <w:tcBorders>
              <w:top w:val="nil"/>
              <w:left w:val="nil"/>
              <w:right w:val="nil"/>
            </w:tcBorders>
            <w:shd w:val="clear" w:color="auto" w:fill="00338D"/>
            <w:hideMark/>
          </w:tcPr>
          <w:p w14:paraId="79E396D7" w14:textId="77777777" w:rsidR="00AD703D" w:rsidRPr="009B78D1" w:rsidRDefault="00AD703D" w:rsidP="00F27C38">
            <w:pPr>
              <w:pStyle w:val="Tableheading"/>
              <w:spacing w:line="256" w:lineRule="auto"/>
              <w:jc w:val="center"/>
            </w:pPr>
            <w:r w:rsidRPr="009B78D1">
              <w:t>MBS MH services</w:t>
            </w:r>
          </w:p>
          <w:p w14:paraId="37B73C76" w14:textId="2B1EA719" w:rsidR="00AD703D" w:rsidRPr="009B78D1" w:rsidRDefault="00AD703D" w:rsidP="00F27C38">
            <w:pPr>
              <w:pStyle w:val="Tableheading"/>
              <w:spacing w:line="256" w:lineRule="auto"/>
              <w:jc w:val="center"/>
            </w:pPr>
            <w:r w:rsidRPr="009B78D1">
              <w:t>(5)</w:t>
            </w:r>
          </w:p>
        </w:tc>
        <w:tc>
          <w:tcPr>
            <w:tcW w:w="882" w:type="pct"/>
            <w:tcBorders>
              <w:top w:val="nil"/>
              <w:left w:val="nil"/>
              <w:right w:val="nil"/>
            </w:tcBorders>
            <w:shd w:val="clear" w:color="auto" w:fill="00338D"/>
            <w:hideMark/>
          </w:tcPr>
          <w:p w14:paraId="3544342B" w14:textId="77777777" w:rsidR="00AD703D" w:rsidRPr="009B78D1" w:rsidRDefault="00AD703D" w:rsidP="00F27C38">
            <w:pPr>
              <w:pStyle w:val="Tableheading"/>
              <w:spacing w:line="256" w:lineRule="auto"/>
              <w:jc w:val="center"/>
            </w:pPr>
            <w:r w:rsidRPr="009B78D1">
              <w:t>MH ED presentations</w:t>
            </w:r>
            <w:r w:rsidRPr="009B78D1">
              <w:rPr>
                <w:vertAlign w:val="superscript"/>
              </w:rPr>
              <w:t>3</w:t>
            </w:r>
          </w:p>
          <w:p w14:paraId="0B973E9B" w14:textId="14923741" w:rsidR="00AD703D" w:rsidRPr="009B78D1" w:rsidRDefault="00AD703D" w:rsidP="00F27C38">
            <w:pPr>
              <w:pStyle w:val="Tableheading"/>
              <w:spacing w:line="256" w:lineRule="auto"/>
              <w:jc w:val="center"/>
            </w:pPr>
            <w:r w:rsidRPr="009B78D1">
              <w:t>(6)</w:t>
            </w:r>
          </w:p>
        </w:tc>
      </w:tr>
      <w:tr w:rsidR="00AD703D" w:rsidRPr="009B78D1" w14:paraId="4E49186D" w14:textId="77777777" w:rsidTr="00AD703D">
        <w:trPr>
          <w:trHeight w:val="170"/>
        </w:trPr>
        <w:tc>
          <w:tcPr>
            <w:tcW w:w="5000" w:type="pct"/>
            <w:gridSpan w:val="7"/>
            <w:tcBorders>
              <w:top w:val="single" w:sz="4" w:space="0" w:color="00338D"/>
              <w:left w:val="nil"/>
              <w:bottom w:val="single" w:sz="4" w:space="0" w:color="00338D"/>
              <w:right w:val="nil"/>
            </w:tcBorders>
            <w:vAlign w:val="center"/>
            <w:hideMark/>
          </w:tcPr>
          <w:p w14:paraId="1BFCDA22" w14:textId="385671D7" w:rsidR="00AD703D" w:rsidRPr="009B78D1" w:rsidRDefault="00AD703D" w:rsidP="00AD703D">
            <w:pPr>
              <w:pStyle w:val="Tabletext"/>
              <w:spacing w:line="256" w:lineRule="auto"/>
              <w:rPr>
                <w:b/>
                <w:bCs/>
                <w:szCs w:val="20"/>
              </w:rPr>
            </w:pPr>
            <w:r w:rsidRPr="009B78D1">
              <w:rPr>
                <w:b/>
                <w:bCs/>
                <w:i/>
                <w:iCs/>
                <w:szCs w:val="20"/>
              </w:rPr>
              <w:t>Summary statistics</w:t>
            </w:r>
          </w:p>
        </w:tc>
      </w:tr>
      <w:tr w:rsidR="002A6A78" w:rsidRPr="009B78D1" w14:paraId="73A3F0FB" w14:textId="77777777" w:rsidTr="00AD703D">
        <w:trPr>
          <w:trHeight w:val="170"/>
        </w:trPr>
        <w:tc>
          <w:tcPr>
            <w:tcW w:w="897" w:type="pct"/>
            <w:tcBorders>
              <w:top w:val="single" w:sz="4" w:space="0" w:color="00338D"/>
              <w:left w:val="nil"/>
              <w:bottom w:val="single" w:sz="4" w:space="0" w:color="00338D"/>
              <w:right w:val="nil"/>
            </w:tcBorders>
            <w:hideMark/>
          </w:tcPr>
          <w:p w14:paraId="653AF1C6" w14:textId="77777777" w:rsidR="002A6A78" w:rsidRPr="00AD703D" w:rsidRDefault="002A6A78" w:rsidP="00AD703D">
            <w:pPr>
              <w:pStyle w:val="Tabletext"/>
            </w:pPr>
            <w:r w:rsidRPr="00AD703D">
              <w:t>Average in 2018-19</w:t>
            </w:r>
          </w:p>
        </w:tc>
        <w:tc>
          <w:tcPr>
            <w:tcW w:w="676" w:type="pct"/>
            <w:tcBorders>
              <w:top w:val="single" w:sz="4" w:space="0" w:color="00338D"/>
              <w:left w:val="nil"/>
              <w:bottom w:val="single" w:sz="4" w:space="0" w:color="00338D"/>
              <w:right w:val="nil"/>
            </w:tcBorders>
            <w:vAlign w:val="center"/>
            <w:hideMark/>
          </w:tcPr>
          <w:p w14:paraId="215A3384" w14:textId="77777777" w:rsidR="002A6A78" w:rsidRPr="009B78D1" w:rsidRDefault="002A6A78" w:rsidP="00F27C38">
            <w:pPr>
              <w:pStyle w:val="Tabletext"/>
              <w:spacing w:line="256" w:lineRule="auto"/>
              <w:jc w:val="center"/>
              <w:rPr>
                <w:b/>
                <w:bCs/>
                <w:szCs w:val="20"/>
              </w:rPr>
            </w:pPr>
            <w:r w:rsidRPr="009B78D1">
              <w:rPr>
                <w:b/>
                <w:bCs/>
                <w:szCs w:val="20"/>
              </w:rPr>
              <w:t>1,618</w:t>
            </w:r>
          </w:p>
        </w:tc>
        <w:tc>
          <w:tcPr>
            <w:tcW w:w="669" w:type="pct"/>
            <w:tcBorders>
              <w:top w:val="single" w:sz="4" w:space="0" w:color="00338D"/>
              <w:left w:val="nil"/>
              <w:bottom w:val="single" w:sz="4" w:space="0" w:color="00338D"/>
              <w:right w:val="nil"/>
            </w:tcBorders>
            <w:vAlign w:val="center"/>
            <w:hideMark/>
          </w:tcPr>
          <w:p w14:paraId="1C7708BA" w14:textId="77777777" w:rsidR="002A6A78" w:rsidRPr="009B78D1" w:rsidRDefault="002A6A78" w:rsidP="00F27C38">
            <w:pPr>
              <w:pStyle w:val="Tabletext"/>
              <w:spacing w:line="256" w:lineRule="auto"/>
              <w:jc w:val="center"/>
              <w:rPr>
                <w:szCs w:val="20"/>
              </w:rPr>
            </w:pPr>
            <w:r w:rsidRPr="009B78D1">
              <w:rPr>
                <w:b/>
                <w:bCs/>
                <w:szCs w:val="20"/>
              </w:rPr>
              <w:t>267</w:t>
            </w:r>
          </w:p>
        </w:tc>
        <w:tc>
          <w:tcPr>
            <w:tcW w:w="671" w:type="pct"/>
            <w:tcBorders>
              <w:top w:val="single" w:sz="4" w:space="0" w:color="00338D"/>
              <w:left w:val="nil"/>
              <w:bottom w:val="single" w:sz="4" w:space="0" w:color="00338D"/>
              <w:right w:val="nil"/>
            </w:tcBorders>
            <w:vAlign w:val="center"/>
            <w:hideMark/>
          </w:tcPr>
          <w:p w14:paraId="1D967CC6" w14:textId="77777777" w:rsidR="002A6A78" w:rsidRPr="009B78D1" w:rsidRDefault="002A6A78" w:rsidP="00F27C38">
            <w:pPr>
              <w:pStyle w:val="Tabletext"/>
              <w:spacing w:line="256" w:lineRule="auto"/>
              <w:jc w:val="center"/>
              <w:rPr>
                <w:b/>
                <w:bCs/>
                <w:szCs w:val="20"/>
              </w:rPr>
            </w:pPr>
            <w:r w:rsidRPr="009B78D1">
              <w:rPr>
                <w:b/>
                <w:bCs/>
                <w:szCs w:val="20"/>
              </w:rPr>
              <w:t>503</w:t>
            </w:r>
          </w:p>
        </w:tc>
        <w:tc>
          <w:tcPr>
            <w:tcW w:w="588" w:type="pct"/>
            <w:tcBorders>
              <w:top w:val="single" w:sz="4" w:space="0" w:color="00338D"/>
              <w:left w:val="nil"/>
              <w:bottom w:val="single" w:sz="4" w:space="0" w:color="00338D"/>
              <w:right w:val="nil"/>
            </w:tcBorders>
            <w:vAlign w:val="center"/>
            <w:hideMark/>
          </w:tcPr>
          <w:p w14:paraId="313D6A0F" w14:textId="77777777" w:rsidR="002A6A78" w:rsidRPr="009B78D1" w:rsidRDefault="002A6A78" w:rsidP="00F27C38">
            <w:pPr>
              <w:pStyle w:val="Tabletext"/>
              <w:spacing w:line="256" w:lineRule="auto"/>
              <w:jc w:val="center"/>
              <w:rPr>
                <w:b/>
                <w:bCs/>
                <w:szCs w:val="20"/>
              </w:rPr>
            </w:pPr>
            <w:r w:rsidRPr="009B78D1">
              <w:rPr>
                <w:b/>
                <w:bCs/>
                <w:szCs w:val="20"/>
              </w:rPr>
              <w:t>15</w:t>
            </w:r>
          </w:p>
        </w:tc>
        <w:tc>
          <w:tcPr>
            <w:tcW w:w="618" w:type="pct"/>
            <w:tcBorders>
              <w:top w:val="single" w:sz="4" w:space="0" w:color="00338D"/>
              <w:left w:val="nil"/>
              <w:bottom w:val="single" w:sz="4" w:space="0" w:color="00338D"/>
              <w:right w:val="nil"/>
            </w:tcBorders>
            <w:vAlign w:val="center"/>
            <w:hideMark/>
          </w:tcPr>
          <w:p w14:paraId="1C1A88C9" w14:textId="77777777" w:rsidR="002A6A78" w:rsidRPr="009B78D1" w:rsidRDefault="002A6A78" w:rsidP="00F27C38">
            <w:pPr>
              <w:pStyle w:val="Tabletext"/>
              <w:spacing w:line="256" w:lineRule="auto"/>
              <w:jc w:val="center"/>
              <w:rPr>
                <w:b/>
                <w:bCs/>
                <w:szCs w:val="20"/>
              </w:rPr>
            </w:pPr>
            <w:r w:rsidRPr="009B78D1">
              <w:rPr>
                <w:b/>
                <w:bCs/>
                <w:szCs w:val="20"/>
              </w:rPr>
              <w:t>55,009</w:t>
            </w:r>
          </w:p>
        </w:tc>
        <w:tc>
          <w:tcPr>
            <w:tcW w:w="882" w:type="pct"/>
            <w:tcBorders>
              <w:top w:val="single" w:sz="4" w:space="0" w:color="00338D"/>
              <w:left w:val="nil"/>
              <w:bottom w:val="single" w:sz="4" w:space="0" w:color="00338D"/>
              <w:right w:val="nil"/>
            </w:tcBorders>
            <w:vAlign w:val="center"/>
            <w:hideMark/>
          </w:tcPr>
          <w:p w14:paraId="40FE3780" w14:textId="77777777" w:rsidR="002A6A78" w:rsidRPr="009B78D1" w:rsidRDefault="002A6A78" w:rsidP="00F27C38">
            <w:pPr>
              <w:pStyle w:val="Tabletext"/>
              <w:spacing w:line="256" w:lineRule="auto"/>
              <w:jc w:val="center"/>
              <w:rPr>
                <w:rFonts w:cs="Arial"/>
                <w:color w:val="000000"/>
                <w:kern w:val="24"/>
                <w:szCs w:val="20"/>
              </w:rPr>
            </w:pPr>
            <w:r w:rsidRPr="009B78D1">
              <w:rPr>
                <w:rFonts w:cs="Arial"/>
                <w:b/>
                <w:bCs/>
                <w:color w:val="000000"/>
                <w:kern w:val="24"/>
                <w:szCs w:val="20"/>
              </w:rPr>
              <w:t>1,998</w:t>
            </w:r>
          </w:p>
        </w:tc>
      </w:tr>
      <w:tr w:rsidR="002A6A78" w:rsidRPr="009B78D1" w14:paraId="2FD45CBC" w14:textId="77777777" w:rsidTr="00AD703D">
        <w:trPr>
          <w:trHeight w:val="170"/>
        </w:trPr>
        <w:tc>
          <w:tcPr>
            <w:tcW w:w="897" w:type="pct"/>
            <w:tcBorders>
              <w:top w:val="single" w:sz="4" w:space="0" w:color="00338D"/>
              <w:left w:val="nil"/>
              <w:bottom w:val="single" w:sz="4" w:space="0" w:color="00338D"/>
              <w:right w:val="nil"/>
            </w:tcBorders>
            <w:hideMark/>
          </w:tcPr>
          <w:p w14:paraId="7360B1F6" w14:textId="77777777" w:rsidR="002A6A78" w:rsidRPr="009B78D1" w:rsidRDefault="002A6A78" w:rsidP="00AD703D">
            <w:pPr>
              <w:pStyle w:val="Tabletext"/>
            </w:pPr>
            <w:r w:rsidRPr="009B78D1">
              <w:t xml:space="preserve">Annual </w:t>
            </w:r>
            <w:r w:rsidRPr="00AD703D">
              <w:t>growth</w:t>
            </w:r>
          </w:p>
        </w:tc>
        <w:tc>
          <w:tcPr>
            <w:tcW w:w="676" w:type="pct"/>
            <w:tcBorders>
              <w:top w:val="single" w:sz="4" w:space="0" w:color="00338D"/>
              <w:left w:val="nil"/>
              <w:bottom w:val="single" w:sz="4" w:space="0" w:color="00338D"/>
              <w:right w:val="nil"/>
            </w:tcBorders>
            <w:vAlign w:val="center"/>
            <w:hideMark/>
          </w:tcPr>
          <w:p w14:paraId="5F98100B" w14:textId="77777777" w:rsidR="002A6A78" w:rsidRPr="009B78D1" w:rsidRDefault="002A6A78" w:rsidP="00F27C38">
            <w:pPr>
              <w:pStyle w:val="Tabletext"/>
              <w:spacing w:line="256" w:lineRule="auto"/>
              <w:jc w:val="center"/>
              <w:rPr>
                <w:color w:val="000000" w:themeColor="text1"/>
                <w:szCs w:val="20"/>
              </w:rPr>
            </w:pPr>
            <w:r w:rsidRPr="009B78D1">
              <w:rPr>
                <w:b/>
                <w:bCs/>
                <w:color w:val="000000" w:themeColor="text1"/>
                <w:szCs w:val="20"/>
              </w:rPr>
              <w:t>46</w:t>
            </w:r>
          </w:p>
        </w:tc>
        <w:tc>
          <w:tcPr>
            <w:tcW w:w="669" w:type="pct"/>
            <w:tcBorders>
              <w:top w:val="single" w:sz="4" w:space="0" w:color="00338D"/>
              <w:left w:val="nil"/>
              <w:bottom w:val="single" w:sz="4" w:space="0" w:color="00338D"/>
              <w:right w:val="nil"/>
            </w:tcBorders>
            <w:vAlign w:val="center"/>
            <w:hideMark/>
          </w:tcPr>
          <w:p w14:paraId="67AC6291" w14:textId="77777777" w:rsidR="002A6A78" w:rsidRPr="009B78D1" w:rsidRDefault="002A6A78" w:rsidP="00F27C38">
            <w:pPr>
              <w:pStyle w:val="Tabletext"/>
              <w:spacing w:line="256" w:lineRule="auto"/>
              <w:jc w:val="center"/>
              <w:rPr>
                <w:color w:val="000000" w:themeColor="text1"/>
                <w:szCs w:val="20"/>
              </w:rPr>
            </w:pPr>
            <w:r w:rsidRPr="009B78D1">
              <w:rPr>
                <w:b/>
                <w:bCs/>
                <w:color w:val="000000" w:themeColor="text1"/>
                <w:szCs w:val="20"/>
              </w:rPr>
              <w:t>7</w:t>
            </w:r>
          </w:p>
        </w:tc>
        <w:tc>
          <w:tcPr>
            <w:tcW w:w="671" w:type="pct"/>
            <w:tcBorders>
              <w:top w:val="single" w:sz="4" w:space="0" w:color="00338D"/>
              <w:left w:val="nil"/>
              <w:bottom w:val="single" w:sz="4" w:space="0" w:color="00338D"/>
              <w:right w:val="nil"/>
            </w:tcBorders>
            <w:vAlign w:val="center"/>
            <w:hideMark/>
          </w:tcPr>
          <w:p w14:paraId="5B4E3615" w14:textId="77777777" w:rsidR="002A6A78" w:rsidRPr="009B78D1" w:rsidRDefault="002A6A78" w:rsidP="00F27C38">
            <w:pPr>
              <w:pStyle w:val="Tabletext"/>
              <w:spacing w:line="256" w:lineRule="auto"/>
              <w:jc w:val="center"/>
              <w:rPr>
                <w:color w:val="000000" w:themeColor="text1"/>
                <w:szCs w:val="20"/>
              </w:rPr>
            </w:pPr>
            <w:r w:rsidRPr="009B78D1">
              <w:rPr>
                <w:b/>
                <w:bCs/>
                <w:color w:val="000000" w:themeColor="text1"/>
                <w:szCs w:val="20"/>
              </w:rPr>
              <w:t>9</w:t>
            </w:r>
          </w:p>
        </w:tc>
        <w:tc>
          <w:tcPr>
            <w:tcW w:w="588" w:type="pct"/>
            <w:tcBorders>
              <w:top w:val="single" w:sz="4" w:space="0" w:color="00338D"/>
              <w:left w:val="nil"/>
              <w:bottom w:val="single" w:sz="4" w:space="0" w:color="00338D"/>
              <w:right w:val="nil"/>
            </w:tcBorders>
            <w:vAlign w:val="center"/>
            <w:hideMark/>
          </w:tcPr>
          <w:p w14:paraId="627DA290" w14:textId="77777777" w:rsidR="002A6A78" w:rsidRPr="009B78D1" w:rsidRDefault="002A6A78" w:rsidP="00F27C38">
            <w:pPr>
              <w:pStyle w:val="Tabletext"/>
              <w:spacing w:line="256" w:lineRule="auto"/>
              <w:jc w:val="center"/>
              <w:rPr>
                <w:color w:val="000000" w:themeColor="text1"/>
                <w:szCs w:val="20"/>
              </w:rPr>
            </w:pPr>
            <w:r w:rsidRPr="009B78D1">
              <w:rPr>
                <w:b/>
                <w:bCs/>
                <w:color w:val="000000" w:themeColor="text1"/>
                <w:szCs w:val="20"/>
              </w:rPr>
              <w:t>0.4</w:t>
            </w:r>
          </w:p>
        </w:tc>
        <w:tc>
          <w:tcPr>
            <w:tcW w:w="618" w:type="pct"/>
            <w:tcBorders>
              <w:top w:val="single" w:sz="4" w:space="0" w:color="00338D"/>
              <w:left w:val="nil"/>
              <w:bottom w:val="single" w:sz="4" w:space="0" w:color="00338D"/>
              <w:right w:val="nil"/>
            </w:tcBorders>
            <w:vAlign w:val="center"/>
            <w:hideMark/>
          </w:tcPr>
          <w:p w14:paraId="08D24D7A" w14:textId="77777777" w:rsidR="002A6A78" w:rsidRPr="009B78D1" w:rsidRDefault="002A6A78" w:rsidP="00F27C38">
            <w:pPr>
              <w:pStyle w:val="Tabletext"/>
              <w:spacing w:line="256" w:lineRule="auto"/>
              <w:jc w:val="center"/>
              <w:rPr>
                <w:color w:val="000000" w:themeColor="text1"/>
                <w:szCs w:val="20"/>
              </w:rPr>
            </w:pPr>
            <w:r w:rsidRPr="009B78D1">
              <w:rPr>
                <w:b/>
                <w:bCs/>
                <w:color w:val="000000" w:themeColor="text1"/>
                <w:szCs w:val="20"/>
              </w:rPr>
              <w:t>2,688</w:t>
            </w:r>
          </w:p>
        </w:tc>
        <w:tc>
          <w:tcPr>
            <w:tcW w:w="882" w:type="pct"/>
            <w:tcBorders>
              <w:top w:val="single" w:sz="4" w:space="0" w:color="00338D"/>
              <w:left w:val="nil"/>
              <w:bottom w:val="single" w:sz="4" w:space="0" w:color="00338D"/>
              <w:right w:val="nil"/>
            </w:tcBorders>
            <w:vAlign w:val="center"/>
            <w:hideMark/>
          </w:tcPr>
          <w:p w14:paraId="06F2E8A9" w14:textId="77777777" w:rsidR="002A6A78" w:rsidRPr="009B78D1" w:rsidRDefault="002A6A78" w:rsidP="00F27C38">
            <w:pPr>
              <w:pStyle w:val="Tabletext"/>
              <w:spacing w:line="256" w:lineRule="auto"/>
              <w:jc w:val="center"/>
              <w:rPr>
                <w:rFonts w:cs="Arial"/>
                <w:color w:val="000000" w:themeColor="text1"/>
                <w:kern w:val="24"/>
                <w:szCs w:val="20"/>
              </w:rPr>
            </w:pPr>
            <w:r w:rsidRPr="009B78D1">
              <w:rPr>
                <w:rFonts w:cs="Arial"/>
                <w:b/>
                <w:bCs/>
                <w:color w:val="000000" w:themeColor="text1"/>
                <w:kern w:val="24"/>
                <w:szCs w:val="20"/>
              </w:rPr>
              <w:t>69</w:t>
            </w:r>
          </w:p>
        </w:tc>
      </w:tr>
      <w:tr w:rsidR="00AD703D" w:rsidRPr="009B78D1" w14:paraId="7ED48602" w14:textId="77777777" w:rsidTr="00AD703D">
        <w:trPr>
          <w:trHeight w:val="170"/>
        </w:trPr>
        <w:tc>
          <w:tcPr>
            <w:tcW w:w="5000" w:type="pct"/>
            <w:gridSpan w:val="7"/>
            <w:tcBorders>
              <w:top w:val="single" w:sz="4" w:space="0" w:color="00338D"/>
              <w:left w:val="nil"/>
              <w:bottom w:val="single" w:sz="4" w:space="0" w:color="00338D"/>
              <w:right w:val="nil"/>
            </w:tcBorders>
            <w:vAlign w:val="center"/>
            <w:hideMark/>
          </w:tcPr>
          <w:p w14:paraId="2408C0AE" w14:textId="3F4998E5" w:rsidR="00AD703D" w:rsidRPr="009B78D1" w:rsidRDefault="00AD703D" w:rsidP="00AD703D">
            <w:pPr>
              <w:pStyle w:val="Tabletext"/>
              <w:spacing w:line="256" w:lineRule="auto"/>
              <w:rPr>
                <w:b/>
                <w:bCs/>
                <w:szCs w:val="20"/>
              </w:rPr>
            </w:pPr>
            <w:r w:rsidRPr="009B78D1">
              <w:rPr>
                <w:b/>
                <w:bCs/>
                <w:i/>
                <w:iCs/>
                <w:szCs w:val="20"/>
              </w:rPr>
              <w:t>No. of clients per 1,000 young people</w:t>
            </w:r>
          </w:p>
        </w:tc>
      </w:tr>
      <w:tr w:rsidR="00AD703D" w:rsidRPr="009B78D1" w14:paraId="49A4F54A" w14:textId="77777777" w:rsidTr="001B6ADE">
        <w:trPr>
          <w:trHeight w:val="170"/>
        </w:trPr>
        <w:tc>
          <w:tcPr>
            <w:tcW w:w="897" w:type="pct"/>
            <w:vMerge w:val="restart"/>
            <w:tcBorders>
              <w:top w:val="single" w:sz="4" w:space="0" w:color="00338D"/>
              <w:left w:val="nil"/>
              <w:right w:val="nil"/>
            </w:tcBorders>
            <w:hideMark/>
          </w:tcPr>
          <w:p w14:paraId="3A2600C6" w14:textId="4B71965E" w:rsidR="00AD703D" w:rsidRPr="00AD703D" w:rsidRDefault="00AD703D" w:rsidP="00AD703D">
            <w:pPr>
              <w:pStyle w:val="Tabletext"/>
            </w:pPr>
            <w:r w:rsidRPr="00AD703D">
              <w:t>No. of clients this year</w:t>
            </w:r>
          </w:p>
        </w:tc>
        <w:tc>
          <w:tcPr>
            <w:tcW w:w="676" w:type="pct"/>
            <w:tcBorders>
              <w:top w:val="single" w:sz="4" w:space="0" w:color="00338D"/>
              <w:left w:val="nil"/>
              <w:bottom w:val="nil"/>
              <w:right w:val="nil"/>
            </w:tcBorders>
            <w:vAlign w:val="bottom"/>
            <w:hideMark/>
          </w:tcPr>
          <w:p w14:paraId="5EF8841E"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-8.2</w:t>
            </w:r>
          </w:p>
        </w:tc>
        <w:tc>
          <w:tcPr>
            <w:tcW w:w="669" w:type="pct"/>
            <w:tcBorders>
              <w:top w:val="single" w:sz="4" w:space="0" w:color="00338D"/>
              <w:left w:val="nil"/>
              <w:bottom w:val="nil"/>
              <w:right w:val="nil"/>
            </w:tcBorders>
            <w:vAlign w:val="bottom"/>
            <w:hideMark/>
          </w:tcPr>
          <w:p w14:paraId="7EF16B14"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-0.2</w:t>
            </w:r>
          </w:p>
        </w:tc>
        <w:tc>
          <w:tcPr>
            <w:tcW w:w="671" w:type="pct"/>
            <w:tcBorders>
              <w:top w:val="single" w:sz="4" w:space="0" w:color="00338D"/>
              <w:left w:val="nil"/>
              <w:bottom w:val="nil"/>
              <w:right w:val="nil"/>
            </w:tcBorders>
            <w:vAlign w:val="bottom"/>
            <w:hideMark/>
          </w:tcPr>
          <w:p w14:paraId="0EA5EBF5"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-1.5</w:t>
            </w:r>
          </w:p>
        </w:tc>
        <w:tc>
          <w:tcPr>
            <w:tcW w:w="588" w:type="pct"/>
            <w:tcBorders>
              <w:top w:val="single" w:sz="4" w:space="0" w:color="00338D"/>
              <w:left w:val="nil"/>
              <w:bottom w:val="nil"/>
              <w:right w:val="nil"/>
            </w:tcBorders>
            <w:vAlign w:val="bottom"/>
            <w:hideMark/>
          </w:tcPr>
          <w:p w14:paraId="0E59DC11"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0.2*</w:t>
            </w:r>
          </w:p>
        </w:tc>
        <w:tc>
          <w:tcPr>
            <w:tcW w:w="618" w:type="pct"/>
            <w:tcBorders>
              <w:top w:val="single" w:sz="4" w:space="0" w:color="00338D"/>
              <w:left w:val="nil"/>
              <w:bottom w:val="nil"/>
              <w:right w:val="nil"/>
            </w:tcBorders>
            <w:vAlign w:val="bottom"/>
            <w:hideMark/>
          </w:tcPr>
          <w:p w14:paraId="285C2549"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-89.9</w:t>
            </w:r>
          </w:p>
        </w:tc>
        <w:tc>
          <w:tcPr>
            <w:tcW w:w="882" w:type="pct"/>
            <w:tcBorders>
              <w:top w:val="single" w:sz="4" w:space="0" w:color="00338D"/>
              <w:left w:val="nil"/>
              <w:bottom w:val="nil"/>
              <w:right w:val="nil"/>
            </w:tcBorders>
            <w:vAlign w:val="bottom"/>
            <w:hideMark/>
          </w:tcPr>
          <w:p w14:paraId="720F2254" w14:textId="77777777" w:rsidR="00AD703D" w:rsidRPr="009B78D1" w:rsidRDefault="00AD703D" w:rsidP="00F27C38">
            <w:pPr>
              <w:pStyle w:val="Tabletext"/>
              <w:spacing w:line="256" w:lineRule="auto"/>
              <w:jc w:val="center"/>
              <w:rPr>
                <w:rFonts w:cs="Calibri"/>
                <w:color w:val="000000"/>
                <w:szCs w:val="20"/>
              </w:rPr>
            </w:pPr>
            <w:r w:rsidRPr="009B78D1">
              <w:rPr>
                <w:rFonts w:cs="Calibri"/>
                <w:color w:val="000000"/>
                <w:szCs w:val="20"/>
              </w:rPr>
              <w:t>25.6*</w:t>
            </w:r>
          </w:p>
        </w:tc>
      </w:tr>
      <w:tr w:rsidR="00AD703D" w:rsidRPr="009B78D1" w14:paraId="2FFC29D0" w14:textId="77777777" w:rsidTr="001B6ADE">
        <w:trPr>
          <w:trHeight w:val="170"/>
        </w:trPr>
        <w:tc>
          <w:tcPr>
            <w:tcW w:w="897" w:type="pct"/>
            <w:vMerge/>
            <w:tcBorders>
              <w:left w:val="nil"/>
              <w:bottom w:val="single" w:sz="4" w:space="0" w:color="00338D"/>
              <w:right w:val="nil"/>
            </w:tcBorders>
            <w:hideMark/>
          </w:tcPr>
          <w:p w14:paraId="5862ECA0" w14:textId="145D9C1B" w:rsidR="00AD703D" w:rsidRPr="00AD703D" w:rsidRDefault="00AD703D" w:rsidP="00AD703D">
            <w:pPr>
              <w:pStyle w:val="Tabletext"/>
            </w:pPr>
          </w:p>
        </w:tc>
        <w:tc>
          <w:tcPr>
            <w:tcW w:w="676" w:type="pct"/>
            <w:tcBorders>
              <w:top w:val="nil"/>
              <w:left w:val="nil"/>
              <w:bottom w:val="single" w:sz="4" w:space="0" w:color="00338D"/>
              <w:right w:val="nil"/>
            </w:tcBorders>
            <w:vAlign w:val="bottom"/>
            <w:hideMark/>
          </w:tcPr>
          <w:p w14:paraId="661CA0AC"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(4.9)</w:t>
            </w:r>
          </w:p>
        </w:tc>
        <w:tc>
          <w:tcPr>
            <w:tcW w:w="669" w:type="pct"/>
            <w:tcBorders>
              <w:top w:val="nil"/>
              <w:left w:val="nil"/>
              <w:bottom w:val="single" w:sz="4" w:space="0" w:color="00338D"/>
              <w:right w:val="nil"/>
            </w:tcBorders>
            <w:vAlign w:val="bottom"/>
            <w:hideMark/>
          </w:tcPr>
          <w:p w14:paraId="734CCB8F"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(1.4)</w:t>
            </w:r>
          </w:p>
        </w:tc>
        <w:tc>
          <w:tcPr>
            <w:tcW w:w="671" w:type="pct"/>
            <w:tcBorders>
              <w:top w:val="nil"/>
              <w:left w:val="nil"/>
              <w:bottom w:val="single" w:sz="4" w:space="0" w:color="00338D"/>
              <w:right w:val="nil"/>
            </w:tcBorders>
            <w:vAlign w:val="bottom"/>
            <w:hideMark/>
          </w:tcPr>
          <w:p w14:paraId="642A2E6C"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(2.6)</w:t>
            </w:r>
          </w:p>
        </w:tc>
        <w:tc>
          <w:tcPr>
            <w:tcW w:w="588" w:type="pct"/>
            <w:tcBorders>
              <w:top w:val="nil"/>
              <w:left w:val="nil"/>
              <w:bottom w:val="single" w:sz="4" w:space="0" w:color="00338D"/>
              <w:right w:val="nil"/>
            </w:tcBorders>
            <w:vAlign w:val="bottom"/>
            <w:hideMark/>
          </w:tcPr>
          <w:p w14:paraId="4143E0A4"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(0.1)</w:t>
            </w:r>
          </w:p>
        </w:tc>
        <w:tc>
          <w:tcPr>
            <w:tcW w:w="618" w:type="pct"/>
            <w:tcBorders>
              <w:top w:val="nil"/>
              <w:left w:val="nil"/>
              <w:bottom w:val="single" w:sz="4" w:space="0" w:color="00338D"/>
              <w:right w:val="nil"/>
            </w:tcBorders>
            <w:vAlign w:val="bottom"/>
            <w:hideMark/>
          </w:tcPr>
          <w:p w14:paraId="640DD3A2"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(66.7)</w:t>
            </w:r>
          </w:p>
        </w:tc>
        <w:tc>
          <w:tcPr>
            <w:tcW w:w="882" w:type="pct"/>
            <w:tcBorders>
              <w:top w:val="nil"/>
              <w:left w:val="nil"/>
              <w:bottom w:val="single" w:sz="4" w:space="0" w:color="00338D"/>
              <w:right w:val="nil"/>
            </w:tcBorders>
            <w:vAlign w:val="bottom"/>
            <w:hideMark/>
          </w:tcPr>
          <w:p w14:paraId="017CE8D0" w14:textId="77777777" w:rsidR="00AD703D" w:rsidRPr="009B78D1" w:rsidRDefault="00AD703D" w:rsidP="00F27C38">
            <w:pPr>
              <w:pStyle w:val="Tabletext"/>
              <w:spacing w:line="256" w:lineRule="auto"/>
              <w:jc w:val="center"/>
              <w:rPr>
                <w:rFonts w:cs="Calibri"/>
                <w:color w:val="000000"/>
                <w:szCs w:val="20"/>
              </w:rPr>
            </w:pPr>
            <w:r w:rsidRPr="009B78D1">
              <w:rPr>
                <w:rFonts w:cs="Calibri"/>
                <w:color w:val="000000"/>
                <w:szCs w:val="20"/>
              </w:rPr>
              <w:t>(13.1)</w:t>
            </w:r>
          </w:p>
        </w:tc>
      </w:tr>
      <w:tr w:rsidR="00AD703D" w:rsidRPr="009B78D1" w14:paraId="223F08B6" w14:textId="77777777" w:rsidTr="00E51B3C">
        <w:trPr>
          <w:trHeight w:val="170"/>
        </w:trPr>
        <w:tc>
          <w:tcPr>
            <w:tcW w:w="897" w:type="pct"/>
            <w:vMerge w:val="restart"/>
            <w:tcBorders>
              <w:top w:val="single" w:sz="4" w:space="0" w:color="00338D"/>
              <w:left w:val="nil"/>
              <w:right w:val="nil"/>
            </w:tcBorders>
            <w:hideMark/>
          </w:tcPr>
          <w:p w14:paraId="77DCD785" w14:textId="4231AA0E" w:rsidR="00AD703D" w:rsidRPr="00AD703D" w:rsidRDefault="00AD703D" w:rsidP="00AD703D">
            <w:pPr>
              <w:pStyle w:val="Tabletext"/>
            </w:pPr>
            <w:r w:rsidRPr="00AD703D">
              <w:t>No. of clients 1 year ago</w:t>
            </w:r>
          </w:p>
        </w:tc>
        <w:tc>
          <w:tcPr>
            <w:tcW w:w="676" w:type="pct"/>
            <w:tcBorders>
              <w:top w:val="single" w:sz="4" w:space="0" w:color="00338D"/>
              <w:left w:val="nil"/>
              <w:bottom w:val="nil"/>
              <w:right w:val="nil"/>
            </w:tcBorders>
            <w:vAlign w:val="bottom"/>
            <w:hideMark/>
          </w:tcPr>
          <w:p w14:paraId="6E44EF2E"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-12.7***</w:t>
            </w:r>
          </w:p>
        </w:tc>
        <w:tc>
          <w:tcPr>
            <w:tcW w:w="669" w:type="pct"/>
            <w:tcBorders>
              <w:top w:val="single" w:sz="4" w:space="0" w:color="00338D"/>
              <w:left w:val="nil"/>
              <w:bottom w:val="nil"/>
              <w:right w:val="nil"/>
            </w:tcBorders>
            <w:vAlign w:val="bottom"/>
            <w:hideMark/>
          </w:tcPr>
          <w:p w14:paraId="6598A27B"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0.4</w:t>
            </w:r>
          </w:p>
        </w:tc>
        <w:tc>
          <w:tcPr>
            <w:tcW w:w="671" w:type="pct"/>
            <w:tcBorders>
              <w:top w:val="single" w:sz="4" w:space="0" w:color="00338D"/>
              <w:left w:val="nil"/>
              <w:bottom w:val="nil"/>
              <w:right w:val="nil"/>
            </w:tcBorders>
            <w:vAlign w:val="bottom"/>
            <w:hideMark/>
          </w:tcPr>
          <w:p w14:paraId="2B9E42BE"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-0.6</w:t>
            </w:r>
          </w:p>
        </w:tc>
        <w:tc>
          <w:tcPr>
            <w:tcW w:w="588" w:type="pct"/>
            <w:tcBorders>
              <w:top w:val="single" w:sz="4" w:space="0" w:color="00338D"/>
              <w:left w:val="nil"/>
              <w:bottom w:val="nil"/>
              <w:right w:val="nil"/>
            </w:tcBorders>
            <w:vAlign w:val="bottom"/>
            <w:hideMark/>
          </w:tcPr>
          <w:p w14:paraId="717348BD"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0.2</w:t>
            </w:r>
          </w:p>
        </w:tc>
        <w:tc>
          <w:tcPr>
            <w:tcW w:w="618" w:type="pct"/>
            <w:tcBorders>
              <w:top w:val="single" w:sz="4" w:space="0" w:color="00338D"/>
              <w:left w:val="nil"/>
              <w:bottom w:val="nil"/>
              <w:right w:val="nil"/>
            </w:tcBorders>
            <w:vAlign w:val="bottom"/>
            <w:hideMark/>
          </w:tcPr>
          <w:p w14:paraId="6EBA7311"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53.1</w:t>
            </w:r>
          </w:p>
        </w:tc>
        <w:tc>
          <w:tcPr>
            <w:tcW w:w="882" w:type="pct"/>
            <w:tcBorders>
              <w:top w:val="single" w:sz="4" w:space="0" w:color="00338D"/>
              <w:left w:val="nil"/>
              <w:bottom w:val="nil"/>
              <w:right w:val="nil"/>
            </w:tcBorders>
            <w:vAlign w:val="bottom"/>
            <w:hideMark/>
          </w:tcPr>
          <w:p w14:paraId="01DD4F7C" w14:textId="77777777" w:rsidR="00AD703D" w:rsidRPr="009B78D1" w:rsidRDefault="00AD703D" w:rsidP="00F27C38">
            <w:pPr>
              <w:pStyle w:val="Tabletext"/>
              <w:spacing w:line="256" w:lineRule="auto"/>
              <w:jc w:val="center"/>
              <w:rPr>
                <w:rFonts w:cs="Calibri"/>
                <w:color w:val="000000"/>
                <w:szCs w:val="20"/>
              </w:rPr>
            </w:pPr>
            <w:r w:rsidRPr="009B78D1">
              <w:rPr>
                <w:rFonts w:cs="Calibri"/>
                <w:color w:val="000000"/>
                <w:szCs w:val="20"/>
              </w:rPr>
              <w:t>5.8</w:t>
            </w:r>
          </w:p>
        </w:tc>
      </w:tr>
      <w:tr w:rsidR="00AD703D" w:rsidRPr="009B78D1" w14:paraId="0F7CD96E" w14:textId="77777777" w:rsidTr="00E51B3C">
        <w:trPr>
          <w:trHeight w:val="170"/>
        </w:trPr>
        <w:tc>
          <w:tcPr>
            <w:tcW w:w="897" w:type="pct"/>
            <w:vMerge/>
            <w:tcBorders>
              <w:left w:val="nil"/>
              <w:bottom w:val="single" w:sz="4" w:space="0" w:color="00338D"/>
              <w:right w:val="nil"/>
            </w:tcBorders>
            <w:hideMark/>
          </w:tcPr>
          <w:p w14:paraId="673DFE97" w14:textId="6933E316" w:rsidR="00AD703D" w:rsidRPr="00AD703D" w:rsidRDefault="00AD703D" w:rsidP="00AD703D">
            <w:pPr>
              <w:pStyle w:val="Tabletext"/>
            </w:pPr>
          </w:p>
        </w:tc>
        <w:tc>
          <w:tcPr>
            <w:tcW w:w="676" w:type="pct"/>
            <w:tcBorders>
              <w:top w:val="nil"/>
              <w:left w:val="nil"/>
              <w:bottom w:val="single" w:sz="4" w:space="0" w:color="00338D"/>
              <w:right w:val="nil"/>
            </w:tcBorders>
            <w:vAlign w:val="bottom"/>
            <w:hideMark/>
          </w:tcPr>
          <w:p w14:paraId="505CDAD8"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(4.3)</w:t>
            </w:r>
          </w:p>
        </w:tc>
        <w:tc>
          <w:tcPr>
            <w:tcW w:w="669" w:type="pct"/>
            <w:tcBorders>
              <w:top w:val="nil"/>
              <w:left w:val="nil"/>
              <w:bottom w:val="single" w:sz="4" w:space="0" w:color="00338D"/>
              <w:right w:val="nil"/>
            </w:tcBorders>
            <w:vAlign w:val="bottom"/>
            <w:hideMark/>
          </w:tcPr>
          <w:p w14:paraId="15447134"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(1.8)</w:t>
            </w:r>
          </w:p>
        </w:tc>
        <w:tc>
          <w:tcPr>
            <w:tcW w:w="671" w:type="pct"/>
            <w:tcBorders>
              <w:top w:val="nil"/>
              <w:left w:val="nil"/>
              <w:bottom w:val="single" w:sz="4" w:space="0" w:color="00338D"/>
              <w:right w:val="nil"/>
            </w:tcBorders>
            <w:vAlign w:val="bottom"/>
            <w:hideMark/>
          </w:tcPr>
          <w:p w14:paraId="7DB79E78"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(2.6)</w:t>
            </w:r>
          </w:p>
        </w:tc>
        <w:tc>
          <w:tcPr>
            <w:tcW w:w="588" w:type="pct"/>
            <w:tcBorders>
              <w:top w:val="nil"/>
              <w:left w:val="nil"/>
              <w:bottom w:val="single" w:sz="4" w:space="0" w:color="00338D"/>
              <w:right w:val="nil"/>
            </w:tcBorders>
            <w:vAlign w:val="bottom"/>
            <w:hideMark/>
          </w:tcPr>
          <w:p w14:paraId="084765D9"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(0.1)</w:t>
            </w:r>
          </w:p>
        </w:tc>
        <w:tc>
          <w:tcPr>
            <w:tcW w:w="618" w:type="pct"/>
            <w:tcBorders>
              <w:top w:val="nil"/>
              <w:left w:val="nil"/>
              <w:bottom w:val="single" w:sz="4" w:space="0" w:color="00338D"/>
              <w:right w:val="nil"/>
            </w:tcBorders>
            <w:vAlign w:val="bottom"/>
            <w:hideMark/>
          </w:tcPr>
          <w:p w14:paraId="361AD9E0"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(50.8)</w:t>
            </w:r>
          </w:p>
        </w:tc>
        <w:tc>
          <w:tcPr>
            <w:tcW w:w="882" w:type="pct"/>
            <w:tcBorders>
              <w:top w:val="nil"/>
              <w:left w:val="nil"/>
              <w:bottom w:val="single" w:sz="4" w:space="0" w:color="00338D"/>
              <w:right w:val="nil"/>
            </w:tcBorders>
            <w:vAlign w:val="bottom"/>
            <w:hideMark/>
          </w:tcPr>
          <w:p w14:paraId="3F252803" w14:textId="77777777" w:rsidR="00AD703D" w:rsidRPr="009B78D1" w:rsidRDefault="00AD703D" w:rsidP="00F27C38">
            <w:pPr>
              <w:pStyle w:val="Tabletext"/>
              <w:spacing w:line="256" w:lineRule="auto"/>
              <w:jc w:val="center"/>
              <w:rPr>
                <w:rFonts w:cs="Calibri"/>
                <w:color w:val="000000"/>
                <w:szCs w:val="20"/>
              </w:rPr>
            </w:pPr>
            <w:r w:rsidRPr="009B78D1">
              <w:rPr>
                <w:rFonts w:cs="Calibri"/>
                <w:color w:val="000000"/>
                <w:szCs w:val="20"/>
              </w:rPr>
              <w:t>(14.0)</w:t>
            </w:r>
          </w:p>
        </w:tc>
      </w:tr>
      <w:tr w:rsidR="00AD703D" w:rsidRPr="009B78D1" w14:paraId="6A463B64" w14:textId="77777777" w:rsidTr="0060665C">
        <w:trPr>
          <w:trHeight w:val="170"/>
        </w:trPr>
        <w:tc>
          <w:tcPr>
            <w:tcW w:w="897" w:type="pct"/>
            <w:vMerge w:val="restart"/>
            <w:tcBorders>
              <w:top w:val="single" w:sz="4" w:space="0" w:color="00338D"/>
              <w:left w:val="nil"/>
              <w:right w:val="nil"/>
            </w:tcBorders>
            <w:hideMark/>
          </w:tcPr>
          <w:p w14:paraId="43ADF860" w14:textId="2D5F69EC" w:rsidR="00AD703D" w:rsidRPr="00AD703D" w:rsidRDefault="00AD703D" w:rsidP="00AD703D">
            <w:pPr>
              <w:pStyle w:val="Tabletext"/>
            </w:pPr>
            <w:r w:rsidRPr="00AD703D">
              <w:t>No. of clients 2 years ago</w:t>
            </w:r>
          </w:p>
        </w:tc>
        <w:tc>
          <w:tcPr>
            <w:tcW w:w="676" w:type="pct"/>
            <w:tcBorders>
              <w:top w:val="single" w:sz="4" w:space="0" w:color="00338D"/>
              <w:left w:val="nil"/>
              <w:bottom w:val="nil"/>
              <w:right w:val="nil"/>
            </w:tcBorders>
            <w:vAlign w:val="bottom"/>
            <w:hideMark/>
          </w:tcPr>
          <w:p w14:paraId="041E432F"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-9.1</w:t>
            </w:r>
          </w:p>
        </w:tc>
        <w:tc>
          <w:tcPr>
            <w:tcW w:w="669" w:type="pct"/>
            <w:tcBorders>
              <w:top w:val="single" w:sz="4" w:space="0" w:color="00338D"/>
              <w:left w:val="nil"/>
              <w:bottom w:val="nil"/>
              <w:right w:val="nil"/>
            </w:tcBorders>
            <w:vAlign w:val="bottom"/>
            <w:hideMark/>
          </w:tcPr>
          <w:p w14:paraId="1804206B"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-2.4</w:t>
            </w:r>
          </w:p>
        </w:tc>
        <w:tc>
          <w:tcPr>
            <w:tcW w:w="671" w:type="pct"/>
            <w:tcBorders>
              <w:top w:val="single" w:sz="4" w:space="0" w:color="00338D"/>
              <w:left w:val="nil"/>
              <w:bottom w:val="nil"/>
              <w:right w:val="nil"/>
            </w:tcBorders>
            <w:vAlign w:val="bottom"/>
            <w:hideMark/>
          </w:tcPr>
          <w:p w14:paraId="715C6124"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-2.7</w:t>
            </w:r>
          </w:p>
        </w:tc>
        <w:tc>
          <w:tcPr>
            <w:tcW w:w="588" w:type="pct"/>
            <w:tcBorders>
              <w:top w:val="single" w:sz="4" w:space="0" w:color="00338D"/>
              <w:left w:val="nil"/>
              <w:bottom w:val="nil"/>
              <w:right w:val="nil"/>
            </w:tcBorders>
            <w:vAlign w:val="bottom"/>
            <w:hideMark/>
          </w:tcPr>
          <w:p w14:paraId="00078BBB"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0.0</w:t>
            </w:r>
          </w:p>
        </w:tc>
        <w:tc>
          <w:tcPr>
            <w:tcW w:w="618" w:type="pct"/>
            <w:tcBorders>
              <w:top w:val="single" w:sz="4" w:space="0" w:color="00338D"/>
              <w:left w:val="nil"/>
              <w:bottom w:val="nil"/>
              <w:right w:val="nil"/>
            </w:tcBorders>
            <w:vAlign w:val="bottom"/>
            <w:hideMark/>
          </w:tcPr>
          <w:p w14:paraId="3C883CE8"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106.6</w:t>
            </w:r>
          </w:p>
        </w:tc>
        <w:tc>
          <w:tcPr>
            <w:tcW w:w="882" w:type="pct"/>
            <w:tcBorders>
              <w:top w:val="single" w:sz="4" w:space="0" w:color="00338D"/>
              <w:left w:val="nil"/>
              <w:bottom w:val="nil"/>
              <w:right w:val="nil"/>
            </w:tcBorders>
            <w:vAlign w:val="bottom"/>
            <w:hideMark/>
          </w:tcPr>
          <w:p w14:paraId="51955E0F" w14:textId="77777777" w:rsidR="00AD703D" w:rsidRPr="009B78D1" w:rsidRDefault="00AD703D" w:rsidP="00F27C38">
            <w:pPr>
              <w:pStyle w:val="Tabletext"/>
              <w:spacing w:line="256" w:lineRule="auto"/>
              <w:jc w:val="center"/>
              <w:rPr>
                <w:rFonts w:cs="Calibri"/>
                <w:color w:val="000000"/>
                <w:szCs w:val="20"/>
              </w:rPr>
            </w:pPr>
            <w:r w:rsidRPr="009B78D1">
              <w:rPr>
                <w:rFonts w:cs="Calibri"/>
                <w:color w:val="000000"/>
                <w:szCs w:val="20"/>
              </w:rPr>
              <w:t>-4.7</w:t>
            </w:r>
          </w:p>
        </w:tc>
      </w:tr>
      <w:tr w:rsidR="00AD703D" w:rsidRPr="009B78D1" w14:paraId="0D7D346D" w14:textId="77777777" w:rsidTr="0060665C">
        <w:trPr>
          <w:trHeight w:val="170"/>
        </w:trPr>
        <w:tc>
          <w:tcPr>
            <w:tcW w:w="897" w:type="pct"/>
            <w:vMerge/>
            <w:tcBorders>
              <w:left w:val="nil"/>
              <w:bottom w:val="single" w:sz="4" w:space="0" w:color="00338D"/>
              <w:right w:val="nil"/>
            </w:tcBorders>
            <w:hideMark/>
          </w:tcPr>
          <w:p w14:paraId="23615248" w14:textId="5587BE0F" w:rsidR="00AD703D" w:rsidRPr="009B78D1" w:rsidRDefault="00AD703D" w:rsidP="00F27C38">
            <w:pPr>
              <w:pStyle w:val="Tabletext"/>
              <w:spacing w:line="256" w:lineRule="auto"/>
              <w:ind w:left="176"/>
              <w:rPr>
                <w:szCs w:val="20"/>
              </w:rPr>
            </w:pPr>
          </w:p>
        </w:tc>
        <w:tc>
          <w:tcPr>
            <w:tcW w:w="676" w:type="pct"/>
            <w:tcBorders>
              <w:top w:val="nil"/>
              <w:left w:val="nil"/>
              <w:bottom w:val="single" w:sz="4" w:space="0" w:color="00338D"/>
              <w:right w:val="nil"/>
            </w:tcBorders>
            <w:vAlign w:val="bottom"/>
            <w:hideMark/>
          </w:tcPr>
          <w:p w14:paraId="679E5DA9"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(5.5)</w:t>
            </w:r>
          </w:p>
        </w:tc>
        <w:tc>
          <w:tcPr>
            <w:tcW w:w="669" w:type="pct"/>
            <w:tcBorders>
              <w:top w:val="nil"/>
              <w:left w:val="nil"/>
              <w:bottom w:val="single" w:sz="4" w:space="0" w:color="00338D"/>
              <w:right w:val="nil"/>
            </w:tcBorders>
            <w:vAlign w:val="bottom"/>
            <w:hideMark/>
          </w:tcPr>
          <w:p w14:paraId="417BFD80"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(1.7)</w:t>
            </w:r>
          </w:p>
        </w:tc>
        <w:tc>
          <w:tcPr>
            <w:tcW w:w="671" w:type="pct"/>
            <w:tcBorders>
              <w:top w:val="nil"/>
              <w:left w:val="nil"/>
              <w:bottom w:val="single" w:sz="4" w:space="0" w:color="00338D"/>
              <w:right w:val="nil"/>
            </w:tcBorders>
            <w:vAlign w:val="bottom"/>
            <w:hideMark/>
          </w:tcPr>
          <w:p w14:paraId="4CB900EC"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(2.4)</w:t>
            </w:r>
          </w:p>
        </w:tc>
        <w:tc>
          <w:tcPr>
            <w:tcW w:w="588" w:type="pct"/>
            <w:tcBorders>
              <w:top w:val="nil"/>
              <w:left w:val="nil"/>
              <w:bottom w:val="single" w:sz="4" w:space="0" w:color="00338D"/>
              <w:right w:val="nil"/>
            </w:tcBorders>
            <w:vAlign w:val="bottom"/>
            <w:hideMark/>
          </w:tcPr>
          <w:p w14:paraId="70654D60"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(0.1)</w:t>
            </w:r>
          </w:p>
        </w:tc>
        <w:tc>
          <w:tcPr>
            <w:tcW w:w="618" w:type="pct"/>
            <w:tcBorders>
              <w:top w:val="nil"/>
              <w:left w:val="nil"/>
              <w:bottom w:val="single" w:sz="4" w:space="0" w:color="00338D"/>
              <w:right w:val="nil"/>
            </w:tcBorders>
            <w:vAlign w:val="bottom"/>
            <w:hideMark/>
          </w:tcPr>
          <w:p w14:paraId="79564E70" w14:textId="77777777" w:rsidR="00AD703D" w:rsidRPr="009B78D1" w:rsidRDefault="00AD703D" w:rsidP="00F27C38">
            <w:pPr>
              <w:pStyle w:val="Tabletext"/>
              <w:spacing w:line="256" w:lineRule="auto"/>
              <w:jc w:val="center"/>
              <w:rPr>
                <w:b/>
                <w:bCs/>
                <w:szCs w:val="20"/>
              </w:rPr>
            </w:pPr>
            <w:r w:rsidRPr="009B78D1">
              <w:rPr>
                <w:rFonts w:cs="Calibri"/>
                <w:color w:val="000000"/>
                <w:szCs w:val="20"/>
              </w:rPr>
              <w:t>(76.2)</w:t>
            </w:r>
          </w:p>
        </w:tc>
        <w:tc>
          <w:tcPr>
            <w:tcW w:w="882" w:type="pct"/>
            <w:tcBorders>
              <w:top w:val="nil"/>
              <w:left w:val="nil"/>
              <w:bottom w:val="single" w:sz="4" w:space="0" w:color="00338D"/>
              <w:right w:val="nil"/>
            </w:tcBorders>
            <w:vAlign w:val="bottom"/>
            <w:hideMark/>
          </w:tcPr>
          <w:p w14:paraId="7F0C148C" w14:textId="77777777" w:rsidR="00AD703D" w:rsidRPr="009B78D1" w:rsidRDefault="00AD703D" w:rsidP="00F27C38">
            <w:pPr>
              <w:pStyle w:val="Tabletext"/>
              <w:spacing w:line="256" w:lineRule="auto"/>
              <w:jc w:val="center"/>
              <w:rPr>
                <w:rFonts w:cs="Calibri"/>
                <w:color w:val="000000"/>
                <w:szCs w:val="20"/>
              </w:rPr>
            </w:pPr>
            <w:r w:rsidRPr="009B78D1">
              <w:rPr>
                <w:rFonts w:cs="Calibri"/>
                <w:color w:val="000000"/>
                <w:szCs w:val="20"/>
              </w:rPr>
              <w:t>(20.5)</w:t>
            </w:r>
          </w:p>
        </w:tc>
      </w:tr>
      <w:tr w:rsidR="002A6A78" w:rsidRPr="009B78D1" w14:paraId="3B1D231E" w14:textId="77777777" w:rsidTr="00AD703D">
        <w:tc>
          <w:tcPr>
            <w:tcW w:w="897" w:type="pct"/>
            <w:tcBorders>
              <w:top w:val="single" w:sz="2" w:space="0" w:color="808080" w:themeColor="background1" w:themeShade="80"/>
              <w:left w:val="nil"/>
              <w:bottom w:val="single" w:sz="4" w:space="0" w:color="auto"/>
              <w:right w:val="nil"/>
            </w:tcBorders>
            <w:hideMark/>
          </w:tcPr>
          <w:p w14:paraId="1750ECED" w14:textId="77777777" w:rsidR="002A6A78" w:rsidRPr="00AD703D" w:rsidRDefault="002A6A78" w:rsidP="00AD703D">
            <w:pPr>
              <w:pStyle w:val="Tabletext"/>
            </w:pPr>
            <w:r w:rsidRPr="00AD703D">
              <w:t>No. of PHNs</w:t>
            </w:r>
          </w:p>
        </w:tc>
        <w:tc>
          <w:tcPr>
            <w:tcW w:w="676" w:type="pct"/>
            <w:tcBorders>
              <w:top w:val="single" w:sz="2" w:space="0" w:color="808080" w:themeColor="background1" w:themeShade="80"/>
              <w:left w:val="nil"/>
              <w:bottom w:val="single" w:sz="4" w:space="0" w:color="auto"/>
              <w:right w:val="nil"/>
            </w:tcBorders>
            <w:vAlign w:val="center"/>
            <w:hideMark/>
          </w:tcPr>
          <w:p w14:paraId="169E03D6" w14:textId="77777777" w:rsidR="002A6A78" w:rsidRPr="009B78D1" w:rsidRDefault="002A6A78" w:rsidP="00F27C38">
            <w:pPr>
              <w:pStyle w:val="Tabletext"/>
              <w:spacing w:line="256" w:lineRule="auto"/>
              <w:jc w:val="center"/>
              <w:rPr>
                <w:szCs w:val="20"/>
              </w:rPr>
            </w:pPr>
            <w:r w:rsidRPr="009B78D1">
              <w:rPr>
                <w:rFonts w:cs="Arial"/>
                <w:color w:val="000000"/>
                <w:kern w:val="24"/>
                <w:szCs w:val="20"/>
              </w:rPr>
              <w:t xml:space="preserve"> 31 </w:t>
            </w:r>
          </w:p>
        </w:tc>
        <w:tc>
          <w:tcPr>
            <w:tcW w:w="669" w:type="pct"/>
            <w:tcBorders>
              <w:top w:val="single" w:sz="2" w:space="0" w:color="808080" w:themeColor="background1" w:themeShade="80"/>
              <w:left w:val="nil"/>
              <w:bottom w:val="single" w:sz="4" w:space="0" w:color="auto"/>
              <w:right w:val="nil"/>
            </w:tcBorders>
            <w:vAlign w:val="center"/>
            <w:hideMark/>
          </w:tcPr>
          <w:p w14:paraId="4705E403" w14:textId="77777777" w:rsidR="002A6A78" w:rsidRPr="009B78D1" w:rsidRDefault="002A6A78" w:rsidP="00F27C38">
            <w:pPr>
              <w:pStyle w:val="Tabletext"/>
              <w:spacing w:line="256" w:lineRule="auto"/>
              <w:jc w:val="center"/>
              <w:rPr>
                <w:szCs w:val="20"/>
              </w:rPr>
            </w:pPr>
            <w:r w:rsidRPr="009B78D1">
              <w:rPr>
                <w:rFonts w:cs="Arial"/>
                <w:color w:val="000000"/>
                <w:kern w:val="24"/>
                <w:szCs w:val="20"/>
              </w:rPr>
              <w:t xml:space="preserve"> 31 </w:t>
            </w:r>
          </w:p>
        </w:tc>
        <w:tc>
          <w:tcPr>
            <w:tcW w:w="671" w:type="pct"/>
            <w:tcBorders>
              <w:top w:val="single" w:sz="2" w:space="0" w:color="808080" w:themeColor="background1" w:themeShade="80"/>
              <w:left w:val="nil"/>
              <w:bottom w:val="single" w:sz="4" w:space="0" w:color="auto"/>
              <w:right w:val="nil"/>
            </w:tcBorders>
            <w:vAlign w:val="center"/>
            <w:hideMark/>
          </w:tcPr>
          <w:p w14:paraId="48091491" w14:textId="77777777" w:rsidR="002A6A78" w:rsidRPr="009B78D1" w:rsidRDefault="002A6A78" w:rsidP="00F27C38">
            <w:pPr>
              <w:pStyle w:val="Tabletext"/>
              <w:spacing w:line="256" w:lineRule="auto"/>
              <w:jc w:val="center"/>
              <w:rPr>
                <w:szCs w:val="20"/>
              </w:rPr>
            </w:pPr>
            <w:r w:rsidRPr="009B78D1">
              <w:rPr>
                <w:rFonts w:cs="Arial"/>
                <w:color w:val="000000"/>
                <w:kern w:val="24"/>
                <w:szCs w:val="20"/>
              </w:rPr>
              <w:t xml:space="preserve"> 31 </w:t>
            </w:r>
          </w:p>
        </w:tc>
        <w:tc>
          <w:tcPr>
            <w:tcW w:w="588" w:type="pct"/>
            <w:tcBorders>
              <w:top w:val="single" w:sz="2" w:space="0" w:color="808080" w:themeColor="background1" w:themeShade="80"/>
              <w:left w:val="nil"/>
              <w:bottom w:val="single" w:sz="4" w:space="0" w:color="auto"/>
              <w:right w:val="nil"/>
            </w:tcBorders>
            <w:vAlign w:val="center"/>
            <w:hideMark/>
          </w:tcPr>
          <w:p w14:paraId="1F66D179" w14:textId="77777777" w:rsidR="002A6A78" w:rsidRPr="009B78D1" w:rsidRDefault="002A6A78" w:rsidP="00F27C38">
            <w:pPr>
              <w:pStyle w:val="Tabletext"/>
              <w:spacing w:line="256" w:lineRule="auto"/>
              <w:jc w:val="center"/>
              <w:rPr>
                <w:szCs w:val="20"/>
              </w:rPr>
            </w:pPr>
            <w:r w:rsidRPr="009B78D1">
              <w:rPr>
                <w:rFonts w:cs="Arial"/>
                <w:color w:val="000000"/>
                <w:kern w:val="24"/>
                <w:szCs w:val="20"/>
              </w:rPr>
              <w:t xml:space="preserve"> 31 </w:t>
            </w:r>
          </w:p>
        </w:tc>
        <w:tc>
          <w:tcPr>
            <w:tcW w:w="618" w:type="pct"/>
            <w:tcBorders>
              <w:top w:val="single" w:sz="2" w:space="0" w:color="808080" w:themeColor="background1" w:themeShade="80"/>
              <w:left w:val="nil"/>
              <w:bottom w:val="single" w:sz="4" w:space="0" w:color="auto"/>
              <w:right w:val="nil"/>
            </w:tcBorders>
            <w:vAlign w:val="center"/>
            <w:hideMark/>
          </w:tcPr>
          <w:p w14:paraId="467EDDC8" w14:textId="77777777" w:rsidR="002A6A78" w:rsidRPr="009B78D1" w:rsidRDefault="002A6A78" w:rsidP="00F27C38">
            <w:pPr>
              <w:pStyle w:val="Tabletext"/>
              <w:spacing w:line="256" w:lineRule="auto"/>
              <w:jc w:val="center"/>
              <w:rPr>
                <w:szCs w:val="20"/>
              </w:rPr>
            </w:pPr>
            <w:r w:rsidRPr="009B78D1">
              <w:rPr>
                <w:rFonts w:cs="Arial"/>
                <w:color w:val="000000"/>
                <w:kern w:val="24"/>
                <w:szCs w:val="20"/>
              </w:rPr>
              <w:t xml:space="preserve"> 31 </w:t>
            </w:r>
          </w:p>
        </w:tc>
        <w:tc>
          <w:tcPr>
            <w:tcW w:w="882" w:type="pct"/>
            <w:tcBorders>
              <w:top w:val="single" w:sz="2" w:space="0" w:color="808080" w:themeColor="background1" w:themeShade="80"/>
              <w:left w:val="nil"/>
              <w:bottom w:val="single" w:sz="4" w:space="0" w:color="auto"/>
              <w:right w:val="nil"/>
            </w:tcBorders>
            <w:hideMark/>
          </w:tcPr>
          <w:p w14:paraId="0C0F1ECC" w14:textId="77777777" w:rsidR="002A6A78" w:rsidRPr="009B78D1" w:rsidRDefault="002A6A78" w:rsidP="00F27C38">
            <w:pPr>
              <w:pStyle w:val="Tabletext"/>
              <w:spacing w:line="256" w:lineRule="auto"/>
              <w:jc w:val="center"/>
              <w:rPr>
                <w:rFonts w:cs="Arial"/>
                <w:color w:val="000000"/>
                <w:kern w:val="24"/>
                <w:szCs w:val="20"/>
              </w:rPr>
            </w:pPr>
            <w:r w:rsidRPr="009B78D1">
              <w:rPr>
                <w:rFonts w:cs="Arial"/>
                <w:color w:val="000000"/>
                <w:kern w:val="24"/>
                <w:szCs w:val="20"/>
              </w:rPr>
              <w:t>31</w:t>
            </w:r>
          </w:p>
        </w:tc>
      </w:tr>
    </w:tbl>
    <w:p w14:paraId="67D919C7" w14:textId="77777777" w:rsidR="002A6A78" w:rsidRPr="008F35E8" w:rsidRDefault="002A6A78" w:rsidP="00AD703D">
      <w:pPr>
        <w:pStyle w:val="Source"/>
      </w:pPr>
      <w:r>
        <w:t>Source: KPMG analysis of PHN-level hospitalisations and Medicare-subsidised MH specific services provided by the AIHW and SA. No. of services opened estimated with opening dates provided by headspace National.</w:t>
      </w:r>
    </w:p>
    <w:p w14:paraId="0EBEC601" w14:textId="2C229DA3" w:rsidR="002A6A78" w:rsidRPr="008F35E8" w:rsidRDefault="002A6A78" w:rsidP="00AD703D">
      <w:pPr>
        <w:pStyle w:val="Source"/>
        <w:rPr>
          <w:szCs w:val="16"/>
        </w:rPr>
      </w:pPr>
      <w:r w:rsidRPr="008F35E8">
        <w:t xml:space="preserve">Notes: * Significant at 10 </w:t>
      </w:r>
      <w:r>
        <w:t>per cent</w:t>
      </w:r>
      <w:r w:rsidRPr="008F35E8">
        <w:t xml:space="preserve">. ** Signification at 5 </w:t>
      </w:r>
      <w:r>
        <w:t>per cent</w:t>
      </w:r>
      <w:r w:rsidRPr="008F35E8">
        <w:t>; Dependent variables are measured at per 100,000 young persons. Fixed year effects are estimated but omitted from this table.</w:t>
      </w:r>
      <w:r>
        <w:t xml:space="preserve"> </w:t>
      </w:r>
      <w:r w:rsidRPr="008F35E8">
        <w:t>SH: Self</w:t>
      </w:r>
      <w:r w:rsidRPr="008F35E8">
        <w:rPr>
          <w:szCs w:val="16"/>
        </w:rPr>
        <w:t>-harm.</w:t>
      </w:r>
      <w:r>
        <w:rPr>
          <w:szCs w:val="16"/>
        </w:rPr>
        <w:t xml:space="preserve"> </w:t>
      </w:r>
      <w:r w:rsidRPr="008F35E8">
        <w:t>MH: Mental</w:t>
      </w:r>
      <w:r w:rsidR="004D1498" w:rsidRPr="008F35E8">
        <w:t xml:space="preserve"> </w:t>
      </w:r>
      <w:r w:rsidRPr="008F35E8">
        <w:t>hea</w:t>
      </w:r>
      <w:r w:rsidRPr="008F35E8">
        <w:rPr>
          <w:szCs w:val="16"/>
        </w:rPr>
        <w:t>lth.</w:t>
      </w:r>
      <w:r>
        <w:rPr>
          <w:szCs w:val="16"/>
        </w:rPr>
        <w:t xml:space="preserve"> </w:t>
      </w:r>
      <w:r w:rsidRPr="008F35E8">
        <w:t>MBS: Medicar</w:t>
      </w:r>
      <w:r w:rsidRPr="008F35E8">
        <w:rPr>
          <w:szCs w:val="16"/>
        </w:rPr>
        <w:t>e Benefits Schedule (MBS).</w:t>
      </w:r>
    </w:p>
    <w:p w14:paraId="47BEDE9E" w14:textId="77777777" w:rsidR="002A6A78" w:rsidRPr="008F35E8" w:rsidRDefault="002A6A78" w:rsidP="00AD703D">
      <w:pPr>
        <w:pStyle w:val="Source"/>
        <w:rPr>
          <w:szCs w:val="16"/>
        </w:rPr>
      </w:pPr>
      <w:r w:rsidRPr="00CF2E3E">
        <w:rPr>
          <w:vertAlign w:val="superscript"/>
        </w:rPr>
        <w:t>1</w:t>
      </w:r>
      <w:r w:rsidRPr="008F35E8">
        <w:rPr>
          <w:szCs w:val="16"/>
        </w:rPr>
        <w:t xml:space="preserve"> </w:t>
      </w:r>
      <w:r>
        <w:rPr>
          <w:szCs w:val="16"/>
        </w:rPr>
        <w:t>A</w:t>
      </w:r>
      <w:r w:rsidRPr="008F35E8">
        <w:rPr>
          <w:szCs w:val="16"/>
        </w:rPr>
        <w:t>lso known as ‘illicit drug and alcohol related hospitalisations per 100,000’.</w:t>
      </w:r>
    </w:p>
    <w:p w14:paraId="006F2D77" w14:textId="77777777" w:rsidR="002A6A78" w:rsidRPr="008F35E8" w:rsidRDefault="002A6A78" w:rsidP="00AD703D">
      <w:pPr>
        <w:pStyle w:val="Source"/>
        <w:rPr>
          <w:szCs w:val="16"/>
        </w:rPr>
      </w:pPr>
      <w:r w:rsidRPr="00CF2E3E">
        <w:rPr>
          <w:vertAlign w:val="superscript"/>
        </w:rPr>
        <w:t>2</w:t>
      </w:r>
      <w:r w:rsidRPr="008F35E8">
        <w:t xml:space="preserve"> Also known as ‘deaths from intentional self-harm per 100,000’.</w:t>
      </w:r>
    </w:p>
    <w:p w14:paraId="442FEE72" w14:textId="77777777" w:rsidR="002A6A78" w:rsidRPr="008F35E8" w:rsidRDefault="002A6A78" w:rsidP="00AD703D">
      <w:pPr>
        <w:pStyle w:val="Source"/>
        <w:rPr>
          <w:szCs w:val="16"/>
        </w:rPr>
      </w:pPr>
      <w:r w:rsidRPr="00CF2E3E">
        <w:rPr>
          <w:vertAlign w:val="superscript"/>
        </w:rPr>
        <w:t>3</w:t>
      </w:r>
      <w:r w:rsidRPr="008F35E8">
        <w:t xml:space="preserve"> Mental health emergency department presentations are only available</w:t>
      </w:r>
      <w:r w:rsidRPr="008F35E8">
        <w:rPr>
          <w:szCs w:val="16"/>
        </w:rPr>
        <w:t xml:space="preserve"> from 2013-14 to 2018-19.</w:t>
      </w:r>
    </w:p>
    <w:p w14:paraId="7DDB5870" w14:textId="77777777" w:rsidR="002A6A78" w:rsidRDefault="002A6A78" w:rsidP="00AD703D">
      <w:pPr>
        <w:pStyle w:val="Heading4"/>
      </w:pPr>
      <w:r>
        <w:t>Ratio of headspace services to MBS mental health services</w:t>
      </w:r>
    </w:p>
    <w:p w14:paraId="62DCC1DD" w14:textId="1A8CA35B" w:rsidR="00455AD8" w:rsidRDefault="002E6067" w:rsidP="002A6A78">
      <w:pPr>
        <w:pStyle w:val="BodyText"/>
      </w:pPr>
      <w:r>
        <w:fldChar w:fldCharType="begin" w:fldLock="1"/>
      </w:r>
      <w:r>
        <w:instrText xml:space="preserve"> REF _Ref97749871 \h </w:instrText>
      </w:r>
      <w:r>
        <w:fldChar w:fldCharType="separate"/>
      </w:r>
      <w:r w:rsidR="00383E5A">
        <w:t xml:space="preserve">Table </w:t>
      </w:r>
      <w:r w:rsidR="00383E5A">
        <w:rPr>
          <w:noProof/>
        </w:rPr>
        <w:t>79</w:t>
      </w:r>
      <w:r>
        <w:fldChar w:fldCharType="end"/>
      </w:r>
      <w:r w:rsidR="002A6A78">
        <w:t xml:space="preserve"> summarises the impact of the increasing the number of headspace services as a ratio of the number of MBS mental health services accessed within the PHN. The results show that there is an immediate and lagged effect of a higher ratio on the rate of mental health related hospitalisations. There is also a lagged effect on the rate of self-harm hospitalisations and substance abuse hospitalisations per 100,000 young persons by </w:t>
      </w:r>
      <w:r w:rsidR="000D4B66">
        <w:t>five</w:t>
      </w:r>
      <w:r w:rsidR="002A6A78">
        <w:t xml:space="preserve"> and </w:t>
      </w:r>
      <w:r w:rsidR="000D4B66">
        <w:t>six</w:t>
      </w:r>
      <w:r w:rsidR="002A6A78">
        <w:t>, respectively. A higher ratio is also associated with an increase in the number of MBS subsidised mental health services by 83 per 100,000 young persons suggesting a potential de-stigm</w:t>
      </w:r>
      <w:r w:rsidR="00E52AE2">
        <w:t>ati</w:t>
      </w:r>
      <w:r w:rsidR="002A6A78">
        <w:t xml:space="preserve">sation effect. </w:t>
      </w:r>
    </w:p>
    <w:p w14:paraId="2063A524" w14:textId="77777777" w:rsidR="00455AD8" w:rsidRDefault="00455AD8">
      <w:pPr>
        <w:spacing w:before="0" w:after="160" w:line="259" w:lineRule="auto"/>
      </w:pPr>
      <w:r>
        <w:br w:type="page"/>
      </w:r>
    </w:p>
    <w:p w14:paraId="4A061AD2" w14:textId="076FBDE5" w:rsidR="002A6A78" w:rsidRDefault="002A6A78" w:rsidP="002A6A78">
      <w:pPr>
        <w:pStyle w:val="Caption"/>
      </w:pPr>
      <w:bookmarkStart w:id="372" w:name="_Ref97749871"/>
      <w:bookmarkStart w:id="373" w:name="_Toc108109029"/>
      <w:r>
        <w:t xml:space="preserve">Table </w:t>
      </w:r>
      <w:r>
        <w:fldChar w:fldCharType="begin"/>
      </w:r>
      <w:r>
        <w:instrText>SEQ Table \* ARABIC</w:instrText>
      </w:r>
      <w:r>
        <w:fldChar w:fldCharType="separate"/>
      </w:r>
      <w:r w:rsidR="00CC0438">
        <w:rPr>
          <w:noProof/>
        </w:rPr>
        <w:t>79</w:t>
      </w:r>
      <w:r>
        <w:fldChar w:fldCharType="end"/>
      </w:r>
      <w:bookmarkEnd w:id="372"/>
      <w:r>
        <w:t>: Difference-in-Difference analysis of headspace intensity on area-level measures of mental health</w:t>
      </w:r>
      <w:bookmarkEnd w:id="373"/>
    </w:p>
    <w:tbl>
      <w:tblPr>
        <w:tblW w:w="5001" w:type="pct"/>
        <w:tblLook w:val="04A0" w:firstRow="1" w:lastRow="0" w:firstColumn="1" w:lastColumn="0" w:noHBand="0" w:noVBand="1"/>
        <w:tblCaption w:val="Difference-in-difference analysis of headspace intensity on area-level measures of mental health."/>
        <w:tblDescription w:val="Table has 7 columns and summarises the impact a new headspace service, and the lagged impact of a new headspace service 1, 2 and 3 years ago has on area levels measures of mental health. Column 1 lists the independent variables considered. Column 2 lists the results for mental health-related hospitalisations. Column 3 lists the results for self-harm related hospitalisations. Column 4 lists the results for substance abuse hospitalisations. Column 5 lists the results for suicide deaths. Column 6 lists the results for MBS-based mental health services. Column 7 lists the results for mental health emergency department presentations."/>
      </w:tblPr>
      <w:tblGrid>
        <w:gridCol w:w="1628"/>
        <w:gridCol w:w="1227"/>
        <w:gridCol w:w="1214"/>
        <w:gridCol w:w="1217"/>
        <w:gridCol w:w="1067"/>
        <w:gridCol w:w="1121"/>
        <w:gridCol w:w="1598"/>
      </w:tblGrid>
      <w:tr w:rsidR="00AA1E14" w:rsidRPr="00AA1E14" w14:paraId="2D8B5DDE" w14:textId="77777777" w:rsidTr="00AA1E14">
        <w:trPr>
          <w:tblHeader/>
        </w:trPr>
        <w:tc>
          <w:tcPr>
            <w:tcW w:w="897" w:type="pct"/>
            <w:vMerge w:val="restart"/>
            <w:tcBorders>
              <w:top w:val="nil"/>
              <w:left w:val="nil"/>
              <w:right w:val="nil"/>
            </w:tcBorders>
            <w:shd w:val="clear" w:color="auto" w:fill="00338D"/>
            <w:vAlign w:val="bottom"/>
            <w:hideMark/>
          </w:tcPr>
          <w:p w14:paraId="673FB477" w14:textId="77777777" w:rsidR="00AA1E14" w:rsidRPr="00AA1E14" w:rsidRDefault="00AA1E14" w:rsidP="00AA1E14">
            <w:pPr>
              <w:pStyle w:val="Tableheading"/>
              <w:spacing w:line="256" w:lineRule="auto"/>
            </w:pPr>
            <w:r w:rsidRPr="00AA1E14">
              <w:t>Independent variables</w:t>
            </w:r>
          </w:p>
        </w:tc>
        <w:tc>
          <w:tcPr>
            <w:tcW w:w="3221" w:type="pct"/>
            <w:gridSpan w:val="5"/>
            <w:tcBorders>
              <w:top w:val="nil"/>
              <w:left w:val="nil"/>
              <w:bottom w:val="single" w:sz="4" w:space="0" w:color="00338D"/>
              <w:right w:val="nil"/>
            </w:tcBorders>
            <w:shd w:val="clear" w:color="auto" w:fill="00338D"/>
            <w:hideMark/>
          </w:tcPr>
          <w:p w14:paraId="11FB32B1" w14:textId="77777777" w:rsidR="00AA1E14" w:rsidRPr="00AA1E14" w:rsidRDefault="00AA1E14" w:rsidP="00F27C38">
            <w:pPr>
              <w:pStyle w:val="Tableheading"/>
              <w:spacing w:line="256" w:lineRule="auto"/>
              <w:jc w:val="center"/>
              <w:rPr>
                <w:i/>
                <w:iCs/>
              </w:rPr>
            </w:pPr>
            <w:r w:rsidRPr="00AA1E14">
              <w:rPr>
                <w:i/>
                <w:iCs/>
              </w:rPr>
              <w:t>Dependent variable:</w:t>
            </w:r>
          </w:p>
        </w:tc>
        <w:tc>
          <w:tcPr>
            <w:tcW w:w="882" w:type="pct"/>
            <w:tcBorders>
              <w:top w:val="nil"/>
              <w:left w:val="nil"/>
              <w:bottom w:val="single" w:sz="4" w:space="0" w:color="00338D"/>
              <w:right w:val="nil"/>
            </w:tcBorders>
            <w:shd w:val="clear" w:color="auto" w:fill="00338D"/>
          </w:tcPr>
          <w:p w14:paraId="6CD474A2" w14:textId="77777777" w:rsidR="00AA1E14" w:rsidRPr="00AA1E14" w:rsidRDefault="00AA1E14" w:rsidP="00F27C38">
            <w:pPr>
              <w:pStyle w:val="Tableheading"/>
              <w:spacing w:line="256" w:lineRule="auto"/>
              <w:jc w:val="center"/>
              <w:rPr>
                <w:i/>
                <w:iCs/>
              </w:rPr>
            </w:pPr>
          </w:p>
        </w:tc>
      </w:tr>
      <w:tr w:rsidR="00AA1E14" w:rsidRPr="00AA1E14" w14:paraId="2A22587A" w14:textId="77777777" w:rsidTr="00151800">
        <w:trPr>
          <w:trHeight w:val="1123"/>
          <w:tblHeader/>
        </w:trPr>
        <w:tc>
          <w:tcPr>
            <w:tcW w:w="897" w:type="pct"/>
            <w:vMerge/>
            <w:tcBorders>
              <w:left w:val="nil"/>
              <w:right w:val="nil"/>
            </w:tcBorders>
            <w:shd w:val="clear" w:color="auto" w:fill="00338D"/>
          </w:tcPr>
          <w:p w14:paraId="569CE098" w14:textId="77777777" w:rsidR="00AA1E14" w:rsidRPr="00AA1E14" w:rsidRDefault="00AA1E14" w:rsidP="00F27C38">
            <w:pPr>
              <w:pStyle w:val="Tableheading"/>
              <w:spacing w:line="256" w:lineRule="auto"/>
            </w:pPr>
          </w:p>
        </w:tc>
        <w:tc>
          <w:tcPr>
            <w:tcW w:w="676" w:type="pct"/>
            <w:tcBorders>
              <w:top w:val="nil"/>
              <w:left w:val="nil"/>
              <w:right w:val="nil"/>
            </w:tcBorders>
            <w:shd w:val="clear" w:color="auto" w:fill="00338D"/>
            <w:hideMark/>
          </w:tcPr>
          <w:p w14:paraId="02DA20B7" w14:textId="77777777" w:rsidR="00AA1E14" w:rsidRPr="00AA1E14" w:rsidRDefault="00AA1E14" w:rsidP="00F27C38">
            <w:pPr>
              <w:pStyle w:val="Tableheading"/>
              <w:spacing w:line="256" w:lineRule="auto"/>
              <w:jc w:val="center"/>
            </w:pPr>
            <w:r w:rsidRPr="00AA1E14">
              <w:t>MH related hosp.</w:t>
            </w:r>
          </w:p>
          <w:p w14:paraId="5B6103FB" w14:textId="0525C26F" w:rsidR="00AA1E14" w:rsidRPr="00AA1E14" w:rsidRDefault="00AA1E14" w:rsidP="00F27C38">
            <w:pPr>
              <w:pStyle w:val="Tableheading"/>
              <w:spacing w:line="256" w:lineRule="auto"/>
              <w:jc w:val="center"/>
            </w:pPr>
            <w:r w:rsidRPr="00AA1E14">
              <w:t>(1)</w:t>
            </w:r>
          </w:p>
        </w:tc>
        <w:tc>
          <w:tcPr>
            <w:tcW w:w="669" w:type="pct"/>
            <w:tcBorders>
              <w:top w:val="nil"/>
              <w:left w:val="nil"/>
              <w:right w:val="nil"/>
            </w:tcBorders>
            <w:shd w:val="clear" w:color="auto" w:fill="00338D"/>
            <w:hideMark/>
          </w:tcPr>
          <w:p w14:paraId="46C961AF" w14:textId="77777777" w:rsidR="00AA1E14" w:rsidRPr="00AA1E14" w:rsidRDefault="00AA1E14" w:rsidP="00F27C38">
            <w:pPr>
              <w:pStyle w:val="Tableheading"/>
              <w:spacing w:line="256" w:lineRule="auto"/>
              <w:jc w:val="center"/>
            </w:pPr>
            <w:r w:rsidRPr="00AA1E14">
              <w:t xml:space="preserve">Self-harm hosp. </w:t>
            </w:r>
          </w:p>
          <w:p w14:paraId="33E28914" w14:textId="36B560D3" w:rsidR="00AA1E14" w:rsidRPr="00AA1E14" w:rsidRDefault="00AA1E14" w:rsidP="00F27C38">
            <w:pPr>
              <w:pStyle w:val="Tableheading"/>
              <w:spacing w:line="256" w:lineRule="auto"/>
              <w:jc w:val="center"/>
            </w:pPr>
            <w:r w:rsidRPr="00AA1E14">
              <w:t>(2)</w:t>
            </w:r>
          </w:p>
        </w:tc>
        <w:tc>
          <w:tcPr>
            <w:tcW w:w="671" w:type="pct"/>
            <w:tcBorders>
              <w:top w:val="nil"/>
              <w:left w:val="nil"/>
              <w:right w:val="nil"/>
            </w:tcBorders>
            <w:shd w:val="clear" w:color="auto" w:fill="00338D"/>
            <w:hideMark/>
          </w:tcPr>
          <w:p w14:paraId="00DF7D06" w14:textId="77777777" w:rsidR="00AA1E14" w:rsidRPr="00AA1E14" w:rsidRDefault="00AA1E14" w:rsidP="00F27C38">
            <w:pPr>
              <w:pStyle w:val="Tableheading"/>
              <w:spacing w:line="256" w:lineRule="auto"/>
              <w:jc w:val="center"/>
            </w:pPr>
            <w:r w:rsidRPr="00AA1E14">
              <w:t>Substance abuse hosp.</w:t>
            </w:r>
            <w:r w:rsidRPr="00AA1E14">
              <w:rPr>
                <w:vertAlign w:val="superscript"/>
              </w:rPr>
              <w:t>1</w:t>
            </w:r>
          </w:p>
          <w:p w14:paraId="14B19664" w14:textId="18CBFA7E" w:rsidR="00AA1E14" w:rsidRPr="00AA1E14" w:rsidRDefault="00AA1E14" w:rsidP="00F27C38">
            <w:pPr>
              <w:pStyle w:val="Tableheading"/>
              <w:spacing w:line="256" w:lineRule="auto"/>
              <w:jc w:val="center"/>
            </w:pPr>
            <w:r w:rsidRPr="00AA1E14">
              <w:t>(3)</w:t>
            </w:r>
          </w:p>
        </w:tc>
        <w:tc>
          <w:tcPr>
            <w:tcW w:w="588" w:type="pct"/>
            <w:tcBorders>
              <w:top w:val="nil"/>
              <w:left w:val="nil"/>
              <w:right w:val="nil"/>
            </w:tcBorders>
            <w:shd w:val="clear" w:color="auto" w:fill="00338D"/>
            <w:hideMark/>
          </w:tcPr>
          <w:p w14:paraId="59F4BEA4" w14:textId="77777777" w:rsidR="00AA1E14" w:rsidRPr="00AA1E14" w:rsidRDefault="00AA1E14" w:rsidP="00F27C38">
            <w:pPr>
              <w:pStyle w:val="Tableheading"/>
              <w:spacing w:line="256" w:lineRule="auto"/>
              <w:jc w:val="center"/>
            </w:pPr>
            <w:r w:rsidRPr="00AA1E14">
              <w:t>Suicide deaths</w:t>
            </w:r>
            <w:r w:rsidRPr="00AA1E14">
              <w:rPr>
                <w:vertAlign w:val="superscript"/>
              </w:rPr>
              <w:t>2</w:t>
            </w:r>
          </w:p>
          <w:p w14:paraId="7BE330CC" w14:textId="1D426E53" w:rsidR="00AA1E14" w:rsidRPr="00AA1E14" w:rsidRDefault="00AA1E14" w:rsidP="00F27C38">
            <w:pPr>
              <w:pStyle w:val="Tableheading"/>
              <w:spacing w:line="256" w:lineRule="auto"/>
              <w:jc w:val="center"/>
            </w:pPr>
            <w:r w:rsidRPr="00AA1E14">
              <w:t>(4)</w:t>
            </w:r>
          </w:p>
        </w:tc>
        <w:tc>
          <w:tcPr>
            <w:tcW w:w="618" w:type="pct"/>
            <w:tcBorders>
              <w:top w:val="nil"/>
              <w:left w:val="nil"/>
              <w:right w:val="nil"/>
            </w:tcBorders>
            <w:shd w:val="clear" w:color="auto" w:fill="00338D"/>
            <w:hideMark/>
          </w:tcPr>
          <w:p w14:paraId="19DC78AC" w14:textId="77777777" w:rsidR="00AA1E14" w:rsidRPr="00AA1E14" w:rsidRDefault="00AA1E14" w:rsidP="00F27C38">
            <w:pPr>
              <w:pStyle w:val="Tableheading"/>
              <w:spacing w:line="256" w:lineRule="auto"/>
              <w:jc w:val="center"/>
            </w:pPr>
            <w:r w:rsidRPr="00AA1E14">
              <w:t>MBS MH services</w:t>
            </w:r>
          </w:p>
          <w:p w14:paraId="55D40455" w14:textId="3A0E1269" w:rsidR="00AA1E14" w:rsidRPr="00AA1E14" w:rsidRDefault="00AA1E14" w:rsidP="00F27C38">
            <w:pPr>
              <w:pStyle w:val="Tableheading"/>
              <w:spacing w:line="256" w:lineRule="auto"/>
              <w:jc w:val="center"/>
            </w:pPr>
            <w:r w:rsidRPr="00AA1E14">
              <w:t>(5)</w:t>
            </w:r>
          </w:p>
        </w:tc>
        <w:tc>
          <w:tcPr>
            <w:tcW w:w="882" w:type="pct"/>
            <w:tcBorders>
              <w:top w:val="nil"/>
              <w:left w:val="nil"/>
              <w:right w:val="nil"/>
            </w:tcBorders>
            <w:shd w:val="clear" w:color="auto" w:fill="00338D"/>
            <w:hideMark/>
          </w:tcPr>
          <w:p w14:paraId="02A9A3F0" w14:textId="77777777" w:rsidR="00AA1E14" w:rsidRPr="00AA1E14" w:rsidRDefault="00AA1E14" w:rsidP="00F27C38">
            <w:pPr>
              <w:pStyle w:val="Tableheading"/>
              <w:spacing w:line="256" w:lineRule="auto"/>
              <w:jc w:val="center"/>
            </w:pPr>
            <w:r w:rsidRPr="00AA1E14">
              <w:t>MH ED presentations</w:t>
            </w:r>
            <w:r w:rsidRPr="00AA1E14">
              <w:rPr>
                <w:vertAlign w:val="superscript"/>
              </w:rPr>
              <w:t>3</w:t>
            </w:r>
          </w:p>
          <w:p w14:paraId="41B72565" w14:textId="4102EA94" w:rsidR="00AA1E14" w:rsidRPr="00AA1E14" w:rsidRDefault="00AA1E14" w:rsidP="00F27C38">
            <w:pPr>
              <w:pStyle w:val="Tableheading"/>
              <w:spacing w:line="256" w:lineRule="auto"/>
              <w:jc w:val="center"/>
            </w:pPr>
            <w:r w:rsidRPr="00AA1E14">
              <w:t>(6)</w:t>
            </w:r>
          </w:p>
        </w:tc>
      </w:tr>
      <w:tr w:rsidR="00AA1E14" w:rsidRPr="00AA1E14" w14:paraId="0803F67D" w14:textId="77777777" w:rsidTr="00AA1E14">
        <w:trPr>
          <w:trHeight w:val="170"/>
        </w:trPr>
        <w:tc>
          <w:tcPr>
            <w:tcW w:w="5000" w:type="pct"/>
            <w:gridSpan w:val="7"/>
            <w:tcBorders>
              <w:top w:val="single" w:sz="4" w:space="0" w:color="00338D"/>
              <w:left w:val="nil"/>
              <w:bottom w:val="single" w:sz="4" w:space="0" w:color="00338D"/>
              <w:right w:val="nil"/>
            </w:tcBorders>
            <w:vAlign w:val="center"/>
            <w:hideMark/>
          </w:tcPr>
          <w:p w14:paraId="0BAD0776" w14:textId="3A99211D" w:rsidR="00AA1E14" w:rsidRPr="00AA1E14" w:rsidRDefault="00AA1E14" w:rsidP="00AA1E14">
            <w:pPr>
              <w:pStyle w:val="Tabletext"/>
              <w:spacing w:line="256" w:lineRule="auto"/>
              <w:rPr>
                <w:b/>
                <w:bCs/>
                <w:szCs w:val="20"/>
              </w:rPr>
            </w:pPr>
            <w:r w:rsidRPr="00AA1E14">
              <w:rPr>
                <w:b/>
                <w:bCs/>
                <w:i/>
                <w:iCs/>
                <w:szCs w:val="20"/>
              </w:rPr>
              <w:t>Summary statistics</w:t>
            </w:r>
          </w:p>
        </w:tc>
      </w:tr>
      <w:tr w:rsidR="002A6A78" w:rsidRPr="00AA1E14" w14:paraId="10A2CC1B" w14:textId="77777777" w:rsidTr="00AA1E14">
        <w:trPr>
          <w:trHeight w:val="170"/>
        </w:trPr>
        <w:tc>
          <w:tcPr>
            <w:tcW w:w="897" w:type="pct"/>
            <w:tcBorders>
              <w:top w:val="single" w:sz="4" w:space="0" w:color="00338D"/>
              <w:left w:val="nil"/>
              <w:bottom w:val="single" w:sz="4" w:space="0" w:color="00338D"/>
              <w:right w:val="nil"/>
            </w:tcBorders>
            <w:hideMark/>
          </w:tcPr>
          <w:p w14:paraId="1B13CADE" w14:textId="77777777" w:rsidR="002A6A78" w:rsidRPr="00AA1E14" w:rsidRDefault="002A6A78" w:rsidP="00F27C38">
            <w:pPr>
              <w:pStyle w:val="Tabletext"/>
              <w:spacing w:line="256" w:lineRule="auto"/>
              <w:ind w:left="176"/>
              <w:rPr>
                <w:szCs w:val="20"/>
              </w:rPr>
            </w:pPr>
            <w:r w:rsidRPr="00AA1E14">
              <w:rPr>
                <w:szCs w:val="20"/>
              </w:rPr>
              <w:t>Average in 2018-19</w:t>
            </w:r>
          </w:p>
        </w:tc>
        <w:tc>
          <w:tcPr>
            <w:tcW w:w="676" w:type="pct"/>
            <w:tcBorders>
              <w:top w:val="single" w:sz="4" w:space="0" w:color="00338D"/>
              <w:left w:val="nil"/>
              <w:bottom w:val="single" w:sz="4" w:space="0" w:color="00338D"/>
              <w:right w:val="nil"/>
            </w:tcBorders>
            <w:vAlign w:val="center"/>
            <w:hideMark/>
          </w:tcPr>
          <w:p w14:paraId="615A55A0" w14:textId="77777777" w:rsidR="002A6A78" w:rsidRPr="00AA1E14" w:rsidRDefault="002A6A78" w:rsidP="00F27C38">
            <w:pPr>
              <w:pStyle w:val="Tabletext"/>
              <w:spacing w:line="256" w:lineRule="auto"/>
              <w:jc w:val="center"/>
              <w:rPr>
                <w:b/>
                <w:bCs/>
                <w:szCs w:val="20"/>
              </w:rPr>
            </w:pPr>
            <w:r w:rsidRPr="00AA1E14">
              <w:rPr>
                <w:b/>
                <w:bCs/>
                <w:szCs w:val="20"/>
              </w:rPr>
              <w:t>1,618</w:t>
            </w:r>
          </w:p>
        </w:tc>
        <w:tc>
          <w:tcPr>
            <w:tcW w:w="669" w:type="pct"/>
            <w:tcBorders>
              <w:top w:val="single" w:sz="4" w:space="0" w:color="00338D"/>
              <w:left w:val="nil"/>
              <w:bottom w:val="single" w:sz="4" w:space="0" w:color="00338D"/>
              <w:right w:val="nil"/>
            </w:tcBorders>
            <w:vAlign w:val="center"/>
            <w:hideMark/>
          </w:tcPr>
          <w:p w14:paraId="6193D70E" w14:textId="77777777" w:rsidR="002A6A78" w:rsidRPr="00AA1E14" w:rsidRDefault="002A6A78" w:rsidP="00F27C38">
            <w:pPr>
              <w:pStyle w:val="Tabletext"/>
              <w:spacing w:line="256" w:lineRule="auto"/>
              <w:jc w:val="center"/>
              <w:rPr>
                <w:szCs w:val="20"/>
              </w:rPr>
            </w:pPr>
            <w:r w:rsidRPr="00AA1E14">
              <w:rPr>
                <w:b/>
                <w:bCs/>
                <w:szCs w:val="20"/>
              </w:rPr>
              <w:t>267</w:t>
            </w:r>
          </w:p>
        </w:tc>
        <w:tc>
          <w:tcPr>
            <w:tcW w:w="671" w:type="pct"/>
            <w:tcBorders>
              <w:top w:val="single" w:sz="4" w:space="0" w:color="00338D"/>
              <w:left w:val="nil"/>
              <w:bottom w:val="single" w:sz="4" w:space="0" w:color="00338D"/>
              <w:right w:val="nil"/>
            </w:tcBorders>
            <w:vAlign w:val="center"/>
            <w:hideMark/>
          </w:tcPr>
          <w:p w14:paraId="7FAE1E8E" w14:textId="77777777" w:rsidR="002A6A78" w:rsidRPr="00AA1E14" w:rsidRDefault="002A6A78" w:rsidP="00F27C38">
            <w:pPr>
              <w:pStyle w:val="Tabletext"/>
              <w:spacing w:line="256" w:lineRule="auto"/>
              <w:jc w:val="center"/>
              <w:rPr>
                <w:b/>
                <w:bCs/>
                <w:szCs w:val="20"/>
              </w:rPr>
            </w:pPr>
            <w:r w:rsidRPr="00AA1E14">
              <w:rPr>
                <w:b/>
                <w:bCs/>
                <w:szCs w:val="20"/>
              </w:rPr>
              <w:t>503</w:t>
            </w:r>
          </w:p>
        </w:tc>
        <w:tc>
          <w:tcPr>
            <w:tcW w:w="588" w:type="pct"/>
            <w:tcBorders>
              <w:top w:val="single" w:sz="4" w:space="0" w:color="00338D"/>
              <w:left w:val="nil"/>
              <w:bottom w:val="single" w:sz="4" w:space="0" w:color="00338D"/>
              <w:right w:val="nil"/>
            </w:tcBorders>
            <w:vAlign w:val="center"/>
            <w:hideMark/>
          </w:tcPr>
          <w:p w14:paraId="55D7320F" w14:textId="77777777" w:rsidR="002A6A78" w:rsidRPr="00AA1E14" w:rsidRDefault="002A6A78" w:rsidP="00F27C38">
            <w:pPr>
              <w:pStyle w:val="Tabletext"/>
              <w:spacing w:line="256" w:lineRule="auto"/>
              <w:jc w:val="center"/>
              <w:rPr>
                <w:b/>
                <w:bCs/>
                <w:szCs w:val="20"/>
              </w:rPr>
            </w:pPr>
            <w:r w:rsidRPr="00AA1E14">
              <w:rPr>
                <w:b/>
                <w:bCs/>
                <w:szCs w:val="20"/>
              </w:rPr>
              <w:t>15</w:t>
            </w:r>
          </w:p>
        </w:tc>
        <w:tc>
          <w:tcPr>
            <w:tcW w:w="618" w:type="pct"/>
            <w:tcBorders>
              <w:top w:val="single" w:sz="4" w:space="0" w:color="00338D"/>
              <w:left w:val="nil"/>
              <w:bottom w:val="single" w:sz="4" w:space="0" w:color="00338D"/>
              <w:right w:val="nil"/>
            </w:tcBorders>
            <w:vAlign w:val="center"/>
            <w:hideMark/>
          </w:tcPr>
          <w:p w14:paraId="3BA848AF" w14:textId="77777777" w:rsidR="002A6A78" w:rsidRPr="00AA1E14" w:rsidRDefault="002A6A78" w:rsidP="00F27C38">
            <w:pPr>
              <w:pStyle w:val="Tabletext"/>
              <w:spacing w:line="256" w:lineRule="auto"/>
              <w:jc w:val="center"/>
              <w:rPr>
                <w:b/>
                <w:bCs/>
                <w:szCs w:val="20"/>
              </w:rPr>
            </w:pPr>
            <w:r w:rsidRPr="00AA1E14">
              <w:rPr>
                <w:b/>
                <w:bCs/>
                <w:szCs w:val="20"/>
              </w:rPr>
              <w:t>55,009</w:t>
            </w:r>
          </w:p>
        </w:tc>
        <w:tc>
          <w:tcPr>
            <w:tcW w:w="882" w:type="pct"/>
            <w:tcBorders>
              <w:top w:val="single" w:sz="4" w:space="0" w:color="00338D"/>
              <w:left w:val="nil"/>
              <w:bottom w:val="single" w:sz="4" w:space="0" w:color="00338D"/>
              <w:right w:val="nil"/>
            </w:tcBorders>
            <w:vAlign w:val="center"/>
            <w:hideMark/>
          </w:tcPr>
          <w:p w14:paraId="41F9363E" w14:textId="77777777" w:rsidR="002A6A78" w:rsidRPr="00AA1E14" w:rsidRDefault="002A6A78" w:rsidP="00F27C38">
            <w:pPr>
              <w:pStyle w:val="Tabletext"/>
              <w:spacing w:line="256" w:lineRule="auto"/>
              <w:jc w:val="center"/>
              <w:rPr>
                <w:rFonts w:cs="Arial"/>
                <w:color w:val="000000"/>
                <w:kern w:val="24"/>
                <w:szCs w:val="20"/>
              </w:rPr>
            </w:pPr>
            <w:r w:rsidRPr="00AA1E14">
              <w:rPr>
                <w:rFonts w:cs="Arial"/>
                <w:b/>
                <w:bCs/>
                <w:color w:val="000000"/>
                <w:kern w:val="24"/>
                <w:szCs w:val="20"/>
              </w:rPr>
              <w:t>1,998</w:t>
            </w:r>
          </w:p>
        </w:tc>
      </w:tr>
      <w:tr w:rsidR="002A6A78" w:rsidRPr="00AA1E14" w14:paraId="6CE72AA1" w14:textId="77777777" w:rsidTr="00055089">
        <w:trPr>
          <w:trHeight w:val="170"/>
        </w:trPr>
        <w:tc>
          <w:tcPr>
            <w:tcW w:w="897" w:type="pct"/>
            <w:tcBorders>
              <w:top w:val="single" w:sz="4" w:space="0" w:color="00338D"/>
              <w:left w:val="nil"/>
              <w:bottom w:val="single" w:sz="4" w:space="0" w:color="00338D"/>
              <w:right w:val="nil"/>
            </w:tcBorders>
            <w:hideMark/>
          </w:tcPr>
          <w:p w14:paraId="61726295" w14:textId="77777777" w:rsidR="002A6A78" w:rsidRDefault="002A6A78" w:rsidP="00F27C38">
            <w:pPr>
              <w:pStyle w:val="Tabletext"/>
              <w:spacing w:line="256" w:lineRule="auto"/>
              <w:ind w:left="176"/>
              <w:rPr>
                <w:szCs w:val="20"/>
              </w:rPr>
            </w:pPr>
            <w:r w:rsidRPr="00AA1E14">
              <w:rPr>
                <w:szCs w:val="20"/>
              </w:rPr>
              <w:t>Annual growth</w:t>
            </w:r>
          </w:p>
          <w:p w14:paraId="507CEAA5" w14:textId="76421D7E" w:rsidR="00055089" w:rsidRPr="00AA1E14" w:rsidRDefault="00055089" w:rsidP="00F27C38">
            <w:pPr>
              <w:pStyle w:val="Tabletext"/>
              <w:spacing w:line="256" w:lineRule="auto"/>
              <w:ind w:left="176"/>
              <w:rPr>
                <w:szCs w:val="20"/>
              </w:rPr>
            </w:pPr>
          </w:p>
        </w:tc>
        <w:tc>
          <w:tcPr>
            <w:tcW w:w="676" w:type="pct"/>
            <w:tcBorders>
              <w:top w:val="single" w:sz="4" w:space="0" w:color="00338D"/>
              <w:left w:val="nil"/>
              <w:bottom w:val="single" w:sz="4" w:space="0" w:color="00338D"/>
              <w:right w:val="nil"/>
            </w:tcBorders>
            <w:hideMark/>
          </w:tcPr>
          <w:p w14:paraId="634296AE" w14:textId="77777777" w:rsidR="002A6A78" w:rsidRPr="00AA1E14" w:rsidRDefault="002A6A78" w:rsidP="00055089">
            <w:pPr>
              <w:pStyle w:val="Tabletext"/>
              <w:spacing w:line="256" w:lineRule="auto"/>
              <w:jc w:val="center"/>
              <w:rPr>
                <w:color w:val="000000" w:themeColor="text1"/>
                <w:szCs w:val="20"/>
              </w:rPr>
            </w:pPr>
            <w:r w:rsidRPr="00AA1E14">
              <w:rPr>
                <w:b/>
                <w:bCs/>
                <w:color w:val="000000" w:themeColor="text1"/>
                <w:szCs w:val="20"/>
              </w:rPr>
              <w:t>46</w:t>
            </w:r>
          </w:p>
        </w:tc>
        <w:tc>
          <w:tcPr>
            <w:tcW w:w="669" w:type="pct"/>
            <w:tcBorders>
              <w:top w:val="single" w:sz="4" w:space="0" w:color="00338D"/>
              <w:left w:val="nil"/>
              <w:bottom w:val="single" w:sz="4" w:space="0" w:color="00338D"/>
              <w:right w:val="nil"/>
            </w:tcBorders>
            <w:hideMark/>
          </w:tcPr>
          <w:p w14:paraId="0C9B69C8" w14:textId="77777777" w:rsidR="002A6A78" w:rsidRPr="00AA1E14" w:rsidRDefault="002A6A78" w:rsidP="00055089">
            <w:pPr>
              <w:pStyle w:val="Tabletext"/>
              <w:spacing w:line="256" w:lineRule="auto"/>
              <w:jc w:val="center"/>
              <w:rPr>
                <w:color w:val="000000" w:themeColor="text1"/>
                <w:szCs w:val="20"/>
              </w:rPr>
            </w:pPr>
            <w:r w:rsidRPr="00AA1E14">
              <w:rPr>
                <w:b/>
                <w:bCs/>
                <w:color w:val="000000" w:themeColor="text1"/>
                <w:szCs w:val="20"/>
              </w:rPr>
              <w:t>7</w:t>
            </w:r>
          </w:p>
        </w:tc>
        <w:tc>
          <w:tcPr>
            <w:tcW w:w="671" w:type="pct"/>
            <w:tcBorders>
              <w:top w:val="single" w:sz="4" w:space="0" w:color="00338D"/>
              <w:left w:val="nil"/>
              <w:bottom w:val="single" w:sz="4" w:space="0" w:color="00338D"/>
              <w:right w:val="nil"/>
            </w:tcBorders>
            <w:hideMark/>
          </w:tcPr>
          <w:p w14:paraId="4135C598" w14:textId="77777777" w:rsidR="002A6A78" w:rsidRPr="00AA1E14" w:rsidRDefault="002A6A78" w:rsidP="00055089">
            <w:pPr>
              <w:pStyle w:val="Tabletext"/>
              <w:spacing w:line="256" w:lineRule="auto"/>
              <w:jc w:val="center"/>
              <w:rPr>
                <w:color w:val="000000" w:themeColor="text1"/>
                <w:szCs w:val="20"/>
              </w:rPr>
            </w:pPr>
            <w:r w:rsidRPr="00AA1E14">
              <w:rPr>
                <w:b/>
                <w:bCs/>
                <w:color w:val="000000" w:themeColor="text1"/>
                <w:szCs w:val="20"/>
              </w:rPr>
              <w:t>9</w:t>
            </w:r>
          </w:p>
        </w:tc>
        <w:tc>
          <w:tcPr>
            <w:tcW w:w="588" w:type="pct"/>
            <w:tcBorders>
              <w:top w:val="single" w:sz="4" w:space="0" w:color="00338D"/>
              <w:left w:val="nil"/>
              <w:bottom w:val="single" w:sz="4" w:space="0" w:color="00338D"/>
              <w:right w:val="nil"/>
            </w:tcBorders>
            <w:hideMark/>
          </w:tcPr>
          <w:p w14:paraId="46EA2AF1" w14:textId="77777777" w:rsidR="002A6A78" w:rsidRPr="00AA1E14" w:rsidRDefault="002A6A78" w:rsidP="00055089">
            <w:pPr>
              <w:pStyle w:val="Tabletext"/>
              <w:spacing w:line="256" w:lineRule="auto"/>
              <w:jc w:val="center"/>
              <w:rPr>
                <w:color w:val="000000" w:themeColor="text1"/>
                <w:szCs w:val="20"/>
              </w:rPr>
            </w:pPr>
            <w:r w:rsidRPr="00AA1E14">
              <w:rPr>
                <w:b/>
                <w:bCs/>
                <w:color w:val="000000" w:themeColor="text1"/>
                <w:szCs w:val="20"/>
              </w:rPr>
              <w:t>0.4</w:t>
            </w:r>
          </w:p>
        </w:tc>
        <w:tc>
          <w:tcPr>
            <w:tcW w:w="618" w:type="pct"/>
            <w:tcBorders>
              <w:top w:val="single" w:sz="4" w:space="0" w:color="00338D"/>
              <w:left w:val="nil"/>
              <w:bottom w:val="single" w:sz="4" w:space="0" w:color="00338D"/>
              <w:right w:val="nil"/>
            </w:tcBorders>
            <w:hideMark/>
          </w:tcPr>
          <w:p w14:paraId="207E2769" w14:textId="77777777" w:rsidR="002A6A78" w:rsidRPr="00AA1E14" w:rsidRDefault="002A6A78" w:rsidP="00055089">
            <w:pPr>
              <w:pStyle w:val="Tabletext"/>
              <w:spacing w:line="256" w:lineRule="auto"/>
              <w:jc w:val="center"/>
              <w:rPr>
                <w:color w:val="000000" w:themeColor="text1"/>
                <w:szCs w:val="20"/>
              </w:rPr>
            </w:pPr>
            <w:r w:rsidRPr="00AA1E14">
              <w:rPr>
                <w:b/>
                <w:bCs/>
                <w:color w:val="000000" w:themeColor="text1"/>
                <w:szCs w:val="20"/>
              </w:rPr>
              <w:t>2,688</w:t>
            </w:r>
          </w:p>
        </w:tc>
        <w:tc>
          <w:tcPr>
            <w:tcW w:w="882" w:type="pct"/>
            <w:tcBorders>
              <w:top w:val="single" w:sz="4" w:space="0" w:color="00338D"/>
              <w:left w:val="nil"/>
              <w:bottom w:val="single" w:sz="4" w:space="0" w:color="00338D"/>
              <w:right w:val="nil"/>
            </w:tcBorders>
            <w:hideMark/>
          </w:tcPr>
          <w:p w14:paraId="22BAA20A" w14:textId="77777777" w:rsidR="002A6A78" w:rsidRPr="00AA1E14" w:rsidRDefault="002A6A78" w:rsidP="00055089">
            <w:pPr>
              <w:pStyle w:val="Tabletext"/>
              <w:spacing w:line="256" w:lineRule="auto"/>
              <w:jc w:val="center"/>
              <w:rPr>
                <w:rFonts w:cs="Arial"/>
                <w:color w:val="000000" w:themeColor="text1"/>
                <w:kern w:val="24"/>
                <w:szCs w:val="20"/>
              </w:rPr>
            </w:pPr>
            <w:r w:rsidRPr="00AA1E14">
              <w:rPr>
                <w:rFonts w:cs="Arial"/>
                <w:b/>
                <w:bCs/>
                <w:color w:val="000000" w:themeColor="text1"/>
                <w:kern w:val="24"/>
                <w:szCs w:val="20"/>
              </w:rPr>
              <w:t>69</w:t>
            </w:r>
          </w:p>
        </w:tc>
      </w:tr>
      <w:tr w:rsidR="00AA1E14" w:rsidRPr="00AA1E14" w14:paraId="1F2669A8" w14:textId="77777777" w:rsidTr="00AA1E14">
        <w:trPr>
          <w:trHeight w:val="170"/>
        </w:trPr>
        <w:tc>
          <w:tcPr>
            <w:tcW w:w="5000" w:type="pct"/>
            <w:gridSpan w:val="7"/>
            <w:tcBorders>
              <w:top w:val="single" w:sz="4" w:space="0" w:color="00338D"/>
              <w:left w:val="nil"/>
              <w:bottom w:val="single" w:sz="4" w:space="0" w:color="00338D"/>
              <w:right w:val="nil"/>
            </w:tcBorders>
            <w:vAlign w:val="center"/>
            <w:hideMark/>
          </w:tcPr>
          <w:p w14:paraId="2FFD2FFA" w14:textId="77777777" w:rsidR="00AA1E14" w:rsidRPr="00AA1E14" w:rsidRDefault="00AA1E14" w:rsidP="00AA1E14">
            <w:pPr>
              <w:pStyle w:val="Tabletext"/>
              <w:spacing w:line="256" w:lineRule="auto"/>
              <w:rPr>
                <w:b/>
                <w:bCs/>
                <w:szCs w:val="20"/>
              </w:rPr>
            </w:pPr>
            <w:r w:rsidRPr="00AA1E14">
              <w:rPr>
                <w:b/>
                <w:bCs/>
                <w:i/>
                <w:iCs/>
                <w:szCs w:val="20"/>
              </w:rPr>
              <w:t>Ratio of headspace services to MBS items</w:t>
            </w:r>
          </w:p>
        </w:tc>
      </w:tr>
      <w:tr w:rsidR="00AA1E14" w:rsidRPr="00AA1E14" w14:paraId="230ED98A" w14:textId="77777777" w:rsidTr="00DF510E">
        <w:trPr>
          <w:trHeight w:val="170"/>
        </w:trPr>
        <w:tc>
          <w:tcPr>
            <w:tcW w:w="897" w:type="pct"/>
            <w:vMerge w:val="restart"/>
            <w:tcBorders>
              <w:top w:val="single" w:sz="4" w:space="0" w:color="00338D"/>
              <w:left w:val="nil"/>
              <w:right w:val="nil"/>
            </w:tcBorders>
            <w:hideMark/>
          </w:tcPr>
          <w:p w14:paraId="731A089E" w14:textId="77777777" w:rsidR="00AA1E14" w:rsidRPr="00AA1E14" w:rsidRDefault="00AA1E14" w:rsidP="00AA1E14">
            <w:pPr>
              <w:pStyle w:val="Tabletext"/>
            </w:pPr>
            <w:r w:rsidRPr="00AA1E14">
              <w:t>Ratio</w:t>
            </w:r>
          </w:p>
          <w:p w14:paraId="1FB011B9" w14:textId="48C9953A" w:rsidR="00AA1E14" w:rsidRPr="00AA1E14" w:rsidRDefault="00AA1E14" w:rsidP="00AA1E14">
            <w:pPr>
              <w:pStyle w:val="Tabletext"/>
            </w:pPr>
            <w:r w:rsidRPr="00AA1E14">
              <w:t>this year</w:t>
            </w:r>
          </w:p>
        </w:tc>
        <w:tc>
          <w:tcPr>
            <w:tcW w:w="676" w:type="pct"/>
            <w:tcBorders>
              <w:top w:val="single" w:sz="4" w:space="0" w:color="00338D"/>
              <w:left w:val="nil"/>
              <w:bottom w:val="nil"/>
              <w:right w:val="nil"/>
            </w:tcBorders>
            <w:vAlign w:val="bottom"/>
          </w:tcPr>
          <w:p w14:paraId="40A4A8D2"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-7.9*</w:t>
            </w:r>
          </w:p>
        </w:tc>
        <w:tc>
          <w:tcPr>
            <w:tcW w:w="669" w:type="pct"/>
            <w:tcBorders>
              <w:top w:val="single" w:sz="4" w:space="0" w:color="00338D"/>
              <w:left w:val="nil"/>
              <w:bottom w:val="nil"/>
              <w:right w:val="nil"/>
            </w:tcBorders>
            <w:vAlign w:val="bottom"/>
          </w:tcPr>
          <w:p w14:paraId="07ED4620"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0.2</w:t>
            </w:r>
          </w:p>
        </w:tc>
        <w:tc>
          <w:tcPr>
            <w:tcW w:w="671" w:type="pct"/>
            <w:tcBorders>
              <w:top w:val="single" w:sz="4" w:space="0" w:color="00338D"/>
              <w:left w:val="nil"/>
              <w:bottom w:val="nil"/>
              <w:right w:val="nil"/>
            </w:tcBorders>
            <w:vAlign w:val="bottom"/>
          </w:tcPr>
          <w:p w14:paraId="34A7F831"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-1.0</w:t>
            </w:r>
          </w:p>
        </w:tc>
        <w:tc>
          <w:tcPr>
            <w:tcW w:w="588" w:type="pct"/>
            <w:tcBorders>
              <w:top w:val="single" w:sz="4" w:space="0" w:color="00338D"/>
              <w:left w:val="nil"/>
              <w:bottom w:val="nil"/>
              <w:right w:val="nil"/>
            </w:tcBorders>
            <w:vAlign w:val="bottom"/>
          </w:tcPr>
          <w:p w14:paraId="2AE93CFB"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-0.2</w:t>
            </w:r>
          </w:p>
        </w:tc>
        <w:tc>
          <w:tcPr>
            <w:tcW w:w="618" w:type="pct"/>
            <w:tcBorders>
              <w:top w:val="single" w:sz="4" w:space="0" w:color="00338D"/>
              <w:left w:val="nil"/>
              <w:bottom w:val="nil"/>
              <w:right w:val="nil"/>
            </w:tcBorders>
            <w:vAlign w:val="bottom"/>
          </w:tcPr>
          <w:p w14:paraId="50D5201B"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-111.9*</w:t>
            </w:r>
          </w:p>
        </w:tc>
        <w:tc>
          <w:tcPr>
            <w:tcW w:w="882" w:type="pct"/>
            <w:tcBorders>
              <w:top w:val="single" w:sz="4" w:space="0" w:color="00338D"/>
              <w:left w:val="nil"/>
              <w:bottom w:val="nil"/>
              <w:right w:val="nil"/>
            </w:tcBorders>
            <w:vAlign w:val="bottom"/>
          </w:tcPr>
          <w:p w14:paraId="1B3D8B1F" w14:textId="77777777" w:rsidR="00AA1E14" w:rsidRPr="00AA1E14" w:rsidRDefault="00AA1E14" w:rsidP="00F27C38">
            <w:pPr>
              <w:pStyle w:val="Tabletext"/>
              <w:spacing w:line="256" w:lineRule="auto"/>
              <w:jc w:val="center"/>
              <w:rPr>
                <w:rFonts w:cs="Calibri"/>
                <w:color w:val="000000"/>
                <w:szCs w:val="20"/>
              </w:rPr>
            </w:pPr>
            <w:r w:rsidRPr="00AA1E14">
              <w:rPr>
                <w:rFonts w:cs="Calibri"/>
                <w:color w:val="000000"/>
                <w:szCs w:val="20"/>
              </w:rPr>
              <w:t>16.5</w:t>
            </w:r>
          </w:p>
        </w:tc>
      </w:tr>
      <w:tr w:rsidR="00AA1E14" w:rsidRPr="00AA1E14" w14:paraId="2CD27570" w14:textId="77777777" w:rsidTr="00DF510E">
        <w:trPr>
          <w:trHeight w:val="170"/>
        </w:trPr>
        <w:tc>
          <w:tcPr>
            <w:tcW w:w="897" w:type="pct"/>
            <w:vMerge/>
            <w:tcBorders>
              <w:left w:val="nil"/>
              <w:bottom w:val="single" w:sz="4" w:space="0" w:color="00338D"/>
              <w:right w:val="nil"/>
            </w:tcBorders>
            <w:hideMark/>
          </w:tcPr>
          <w:p w14:paraId="0BBC3C3B" w14:textId="561682D8" w:rsidR="00AA1E14" w:rsidRPr="00AA1E14" w:rsidRDefault="00AA1E14" w:rsidP="00AA1E14">
            <w:pPr>
              <w:pStyle w:val="Tabletext"/>
            </w:pPr>
          </w:p>
        </w:tc>
        <w:tc>
          <w:tcPr>
            <w:tcW w:w="676" w:type="pct"/>
            <w:tcBorders>
              <w:top w:val="nil"/>
              <w:left w:val="nil"/>
              <w:bottom w:val="single" w:sz="4" w:space="0" w:color="00338D"/>
              <w:right w:val="nil"/>
            </w:tcBorders>
            <w:vAlign w:val="bottom"/>
          </w:tcPr>
          <w:p w14:paraId="4F5F66A5"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(4.4)</w:t>
            </w:r>
          </w:p>
        </w:tc>
        <w:tc>
          <w:tcPr>
            <w:tcW w:w="669" w:type="pct"/>
            <w:tcBorders>
              <w:top w:val="nil"/>
              <w:left w:val="nil"/>
              <w:bottom w:val="single" w:sz="4" w:space="0" w:color="00338D"/>
              <w:right w:val="nil"/>
            </w:tcBorders>
            <w:vAlign w:val="bottom"/>
          </w:tcPr>
          <w:p w14:paraId="19F19F29"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(0.9)</w:t>
            </w:r>
          </w:p>
        </w:tc>
        <w:tc>
          <w:tcPr>
            <w:tcW w:w="671" w:type="pct"/>
            <w:tcBorders>
              <w:top w:val="nil"/>
              <w:left w:val="nil"/>
              <w:bottom w:val="single" w:sz="4" w:space="0" w:color="00338D"/>
              <w:right w:val="nil"/>
            </w:tcBorders>
            <w:vAlign w:val="bottom"/>
          </w:tcPr>
          <w:p w14:paraId="6573ABDA"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(1.8)</w:t>
            </w:r>
          </w:p>
        </w:tc>
        <w:tc>
          <w:tcPr>
            <w:tcW w:w="588" w:type="pct"/>
            <w:tcBorders>
              <w:top w:val="nil"/>
              <w:left w:val="nil"/>
              <w:bottom w:val="single" w:sz="4" w:space="0" w:color="00338D"/>
              <w:right w:val="nil"/>
            </w:tcBorders>
            <w:vAlign w:val="bottom"/>
          </w:tcPr>
          <w:p w14:paraId="2194C0BC"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(0.1)</w:t>
            </w:r>
          </w:p>
        </w:tc>
        <w:tc>
          <w:tcPr>
            <w:tcW w:w="618" w:type="pct"/>
            <w:tcBorders>
              <w:top w:val="nil"/>
              <w:left w:val="nil"/>
              <w:bottom w:val="single" w:sz="4" w:space="0" w:color="00338D"/>
              <w:right w:val="nil"/>
            </w:tcBorders>
            <w:vAlign w:val="bottom"/>
          </w:tcPr>
          <w:p w14:paraId="62B2AD68"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(58.0)</w:t>
            </w:r>
          </w:p>
        </w:tc>
        <w:tc>
          <w:tcPr>
            <w:tcW w:w="882" w:type="pct"/>
            <w:tcBorders>
              <w:top w:val="nil"/>
              <w:left w:val="nil"/>
              <w:bottom w:val="single" w:sz="4" w:space="0" w:color="00338D"/>
              <w:right w:val="nil"/>
            </w:tcBorders>
            <w:vAlign w:val="bottom"/>
          </w:tcPr>
          <w:p w14:paraId="7BB36910" w14:textId="77777777" w:rsidR="00AA1E14" w:rsidRPr="00AA1E14" w:rsidRDefault="00AA1E14" w:rsidP="00F27C38">
            <w:pPr>
              <w:pStyle w:val="Tabletext"/>
              <w:spacing w:line="256" w:lineRule="auto"/>
              <w:jc w:val="center"/>
              <w:rPr>
                <w:rFonts w:cs="Calibri"/>
                <w:color w:val="000000"/>
                <w:szCs w:val="20"/>
              </w:rPr>
            </w:pPr>
            <w:r w:rsidRPr="00AA1E14">
              <w:rPr>
                <w:rFonts w:cs="Calibri"/>
                <w:color w:val="000000"/>
                <w:szCs w:val="20"/>
              </w:rPr>
              <w:t>(14.9)</w:t>
            </w:r>
          </w:p>
        </w:tc>
      </w:tr>
      <w:tr w:rsidR="00AA1E14" w:rsidRPr="00AA1E14" w14:paraId="76B0B916" w14:textId="77777777" w:rsidTr="000E0AC3">
        <w:trPr>
          <w:trHeight w:val="170"/>
        </w:trPr>
        <w:tc>
          <w:tcPr>
            <w:tcW w:w="897" w:type="pct"/>
            <w:vMerge w:val="restart"/>
            <w:tcBorders>
              <w:top w:val="single" w:sz="4" w:space="0" w:color="00338D"/>
              <w:left w:val="nil"/>
              <w:right w:val="nil"/>
            </w:tcBorders>
            <w:hideMark/>
          </w:tcPr>
          <w:p w14:paraId="105DB119" w14:textId="77777777" w:rsidR="00AA1E14" w:rsidRPr="00AA1E14" w:rsidRDefault="00AA1E14" w:rsidP="00AA1E14">
            <w:pPr>
              <w:pStyle w:val="Tabletext"/>
            </w:pPr>
            <w:r w:rsidRPr="00AA1E14">
              <w:t>Ratio</w:t>
            </w:r>
          </w:p>
          <w:p w14:paraId="20F00F73" w14:textId="755FD210" w:rsidR="00AA1E14" w:rsidRPr="00AA1E14" w:rsidRDefault="00AA1E14" w:rsidP="00AA1E14">
            <w:pPr>
              <w:pStyle w:val="Tabletext"/>
            </w:pPr>
            <w:r w:rsidRPr="00AA1E14">
              <w:t>1 year ago</w:t>
            </w:r>
          </w:p>
        </w:tc>
        <w:tc>
          <w:tcPr>
            <w:tcW w:w="676" w:type="pct"/>
            <w:tcBorders>
              <w:top w:val="single" w:sz="4" w:space="0" w:color="00338D"/>
              <w:left w:val="nil"/>
              <w:bottom w:val="nil"/>
              <w:right w:val="nil"/>
            </w:tcBorders>
            <w:vAlign w:val="bottom"/>
          </w:tcPr>
          <w:p w14:paraId="348D6660"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-6.0</w:t>
            </w:r>
          </w:p>
        </w:tc>
        <w:tc>
          <w:tcPr>
            <w:tcW w:w="669" w:type="pct"/>
            <w:tcBorders>
              <w:top w:val="single" w:sz="4" w:space="0" w:color="00338D"/>
              <w:left w:val="nil"/>
              <w:bottom w:val="nil"/>
              <w:right w:val="nil"/>
            </w:tcBorders>
            <w:vAlign w:val="bottom"/>
          </w:tcPr>
          <w:p w14:paraId="2F9D422C"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-3.4</w:t>
            </w:r>
          </w:p>
        </w:tc>
        <w:tc>
          <w:tcPr>
            <w:tcW w:w="671" w:type="pct"/>
            <w:tcBorders>
              <w:top w:val="single" w:sz="4" w:space="0" w:color="00338D"/>
              <w:left w:val="nil"/>
              <w:bottom w:val="nil"/>
              <w:right w:val="nil"/>
            </w:tcBorders>
            <w:vAlign w:val="bottom"/>
          </w:tcPr>
          <w:p w14:paraId="3F006EE5"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-0.7</w:t>
            </w:r>
          </w:p>
        </w:tc>
        <w:tc>
          <w:tcPr>
            <w:tcW w:w="588" w:type="pct"/>
            <w:tcBorders>
              <w:top w:val="single" w:sz="4" w:space="0" w:color="00338D"/>
              <w:left w:val="nil"/>
              <w:bottom w:val="nil"/>
              <w:right w:val="nil"/>
            </w:tcBorders>
            <w:vAlign w:val="bottom"/>
          </w:tcPr>
          <w:p w14:paraId="0EAB2A06"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0.4</w:t>
            </w:r>
          </w:p>
        </w:tc>
        <w:tc>
          <w:tcPr>
            <w:tcW w:w="618" w:type="pct"/>
            <w:tcBorders>
              <w:top w:val="single" w:sz="4" w:space="0" w:color="00338D"/>
              <w:left w:val="nil"/>
              <w:bottom w:val="nil"/>
              <w:right w:val="nil"/>
            </w:tcBorders>
            <w:vAlign w:val="bottom"/>
          </w:tcPr>
          <w:p w14:paraId="5777F20F"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34.1</w:t>
            </w:r>
          </w:p>
        </w:tc>
        <w:tc>
          <w:tcPr>
            <w:tcW w:w="882" w:type="pct"/>
            <w:tcBorders>
              <w:top w:val="single" w:sz="4" w:space="0" w:color="00338D"/>
              <w:left w:val="nil"/>
              <w:bottom w:val="nil"/>
              <w:right w:val="nil"/>
            </w:tcBorders>
            <w:vAlign w:val="bottom"/>
          </w:tcPr>
          <w:p w14:paraId="2F8E0709" w14:textId="77777777" w:rsidR="00AA1E14" w:rsidRPr="00AA1E14" w:rsidRDefault="00AA1E14" w:rsidP="00F27C38">
            <w:pPr>
              <w:pStyle w:val="Tabletext"/>
              <w:spacing w:line="256" w:lineRule="auto"/>
              <w:jc w:val="center"/>
              <w:rPr>
                <w:rFonts w:cs="Calibri"/>
                <w:color w:val="000000"/>
                <w:szCs w:val="20"/>
              </w:rPr>
            </w:pPr>
            <w:r w:rsidRPr="00AA1E14">
              <w:rPr>
                <w:rFonts w:cs="Calibri"/>
                <w:color w:val="000000"/>
                <w:szCs w:val="20"/>
              </w:rPr>
              <w:t>10.1</w:t>
            </w:r>
          </w:p>
        </w:tc>
      </w:tr>
      <w:tr w:rsidR="00AA1E14" w:rsidRPr="00AA1E14" w14:paraId="1280D2A5" w14:textId="77777777" w:rsidTr="000E0AC3">
        <w:trPr>
          <w:trHeight w:val="170"/>
        </w:trPr>
        <w:tc>
          <w:tcPr>
            <w:tcW w:w="897" w:type="pct"/>
            <w:vMerge/>
            <w:tcBorders>
              <w:left w:val="nil"/>
              <w:bottom w:val="single" w:sz="4" w:space="0" w:color="00338D"/>
              <w:right w:val="nil"/>
            </w:tcBorders>
            <w:hideMark/>
          </w:tcPr>
          <w:p w14:paraId="74B97281" w14:textId="4B626E9A" w:rsidR="00AA1E14" w:rsidRPr="00AA1E14" w:rsidRDefault="00AA1E14" w:rsidP="00AA1E14">
            <w:pPr>
              <w:pStyle w:val="Tabletext"/>
            </w:pPr>
          </w:p>
        </w:tc>
        <w:tc>
          <w:tcPr>
            <w:tcW w:w="676" w:type="pct"/>
            <w:tcBorders>
              <w:top w:val="nil"/>
              <w:left w:val="nil"/>
              <w:bottom w:val="single" w:sz="4" w:space="0" w:color="00338D"/>
              <w:right w:val="nil"/>
            </w:tcBorders>
            <w:vAlign w:val="bottom"/>
          </w:tcPr>
          <w:p w14:paraId="096AC643"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(4.9)</w:t>
            </w:r>
          </w:p>
        </w:tc>
        <w:tc>
          <w:tcPr>
            <w:tcW w:w="669" w:type="pct"/>
            <w:tcBorders>
              <w:top w:val="nil"/>
              <w:left w:val="nil"/>
              <w:bottom w:val="single" w:sz="4" w:space="0" w:color="00338D"/>
              <w:right w:val="nil"/>
            </w:tcBorders>
            <w:vAlign w:val="bottom"/>
          </w:tcPr>
          <w:p w14:paraId="6044B481"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(3.5)</w:t>
            </w:r>
          </w:p>
        </w:tc>
        <w:tc>
          <w:tcPr>
            <w:tcW w:w="671" w:type="pct"/>
            <w:tcBorders>
              <w:top w:val="nil"/>
              <w:left w:val="nil"/>
              <w:bottom w:val="single" w:sz="4" w:space="0" w:color="00338D"/>
              <w:right w:val="nil"/>
            </w:tcBorders>
            <w:vAlign w:val="bottom"/>
          </w:tcPr>
          <w:p w14:paraId="46CDB399"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(2.3)</w:t>
            </w:r>
          </w:p>
        </w:tc>
        <w:tc>
          <w:tcPr>
            <w:tcW w:w="588" w:type="pct"/>
            <w:tcBorders>
              <w:top w:val="nil"/>
              <w:left w:val="nil"/>
              <w:bottom w:val="single" w:sz="4" w:space="0" w:color="00338D"/>
              <w:right w:val="nil"/>
            </w:tcBorders>
            <w:vAlign w:val="bottom"/>
          </w:tcPr>
          <w:p w14:paraId="5C6FBC49"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(0.4)</w:t>
            </w:r>
          </w:p>
        </w:tc>
        <w:tc>
          <w:tcPr>
            <w:tcW w:w="618" w:type="pct"/>
            <w:tcBorders>
              <w:top w:val="nil"/>
              <w:left w:val="nil"/>
              <w:bottom w:val="single" w:sz="4" w:space="0" w:color="00338D"/>
              <w:right w:val="nil"/>
            </w:tcBorders>
            <w:vAlign w:val="bottom"/>
          </w:tcPr>
          <w:p w14:paraId="45973634"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(40.4)</w:t>
            </w:r>
          </w:p>
        </w:tc>
        <w:tc>
          <w:tcPr>
            <w:tcW w:w="882" w:type="pct"/>
            <w:tcBorders>
              <w:top w:val="nil"/>
              <w:left w:val="nil"/>
              <w:bottom w:val="single" w:sz="4" w:space="0" w:color="00338D"/>
              <w:right w:val="nil"/>
            </w:tcBorders>
            <w:vAlign w:val="bottom"/>
          </w:tcPr>
          <w:p w14:paraId="55074221" w14:textId="77777777" w:rsidR="00AA1E14" w:rsidRPr="00AA1E14" w:rsidRDefault="00AA1E14" w:rsidP="00F27C38">
            <w:pPr>
              <w:pStyle w:val="Tabletext"/>
              <w:spacing w:line="256" w:lineRule="auto"/>
              <w:jc w:val="center"/>
              <w:rPr>
                <w:rFonts w:cs="Calibri"/>
                <w:color w:val="000000"/>
                <w:szCs w:val="20"/>
              </w:rPr>
            </w:pPr>
            <w:r w:rsidRPr="00AA1E14">
              <w:rPr>
                <w:rFonts w:cs="Calibri"/>
                <w:color w:val="000000"/>
                <w:szCs w:val="20"/>
              </w:rPr>
              <w:t>(8.5)</w:t>
            </w:r>
          </w:p>
        </w:tc>
      </w:tr>
      <w:tr w:rsidR="00AA1E14" w:rsidRPr="00AA1E14" w14:paraId="6592987A" w14:textId="77777777" w:rsidTr="000E7090">
        <w:trPr>
          <w:trHeight w:val="170"/>
        </w:trPr>
        <w:tc>
          <w:tcPr>
            <w:tcW w:w="897" w:type="pct"/>
            <w:vMerge w:val="restart"/>
            <w:tcBorders>
              <w:top w:val="single" w:sz="4" w:space="0" w:color="00338D"/>
              <w:left w:val="nil"/>
              <w:right w:val="nil"/>
            </w:tcBorders>
            <w:hideMark/>
          </w:tcPr>
          <w:p w14:paraId="2B3F7B4C" w14:textId="77777777" w:rsidR="00AA1E14" w:rsidRPr="00AA1E14" w:rsidRDefault="00AA1E14" w:rsidP="00AA1E14">
            <w:pPr>
              <w:pStyle w:val="Tabletext"/>
            </w:pPr>
            <w:r w:rsidRPr="00AA1E14">
              <w:t>Ratio</w:t>
            </w:r>
          </w:p>
          <w:p w14:paraId="731DB192" w14:textId="3D69CE54" w:rsidR="00AA1E14" w:rsidRPr="00AA1E14" w:rsidRDefault="00AA1E14" w:rsidP="00AA1E14">
            <w:pPr>
              <w:pStyle w:val="Tabletext"/>
            </w:pPr>
            <w:r w:rsidRPr="00AA1E14">
              <w:t>2 years ago</w:t>
            </w:r>
          </w:p>
        </w:tc>
        <w:tc>
          <w:tcPr>
            <w:tcW w:w="676" w:type="pct"/>
            <w:tcBorders>
              <w:top w:val="single" w:sz="4" w:space="0" w:color="00338D"/>
              <w:left w:val="nil"/>
              <w:bottom w:val="nil"/>
              <w:right w:val="nil"/>
            </w:tcBorders>
            <w:vAlign w:val="bottom"/>
          </w:tcPr>
          <w:p w14:paraId="55321FA1"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-13.0***</w:t>
            </w:r>
          </w:p>
        </w:tc>
        <w:tc>
          <w:tcPr>
            <w:tcW w:w="669" w:type="pct"/>
            <w:tcBorders>
              <w:top w:val="single" w:sz="4" w:space="0" w:color="00338D"/>
              <w:left w:val="nil"/>
              <w:bottom w:val="nil"/>
              <w:right w:val="nil"/>
            </w:tcBorders>
            <w:vAlign w:val="bottom"/>
          </w:tcPr>
          <w:p w14:paraId="7EF44B69"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-4.5***</w:t>
            </w:r>
          </w:p>
        </w:tc>
        <w:tc>
          <w:tcPr>
            <w:tcW w:w="671" w:type="pct"/>
            <w:tcBorders>
              <w:top w:val="single" w:sz="4" w:space="0" w:color="00338D"/>
              <w:left w:val="nil"/>
              <w:bottom w:val="nil"/>
              <w:right w:val="nil"/>
            </w:tcBorders>
            <w:vAlign w:val="bottom"/>
          </w:tcPr>
          <w:p w14:paraId="7CFDF8DF"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-6.4**</w:t>
            </w:r>
          </w:p>
        </w:tc>
        <w:tc>
          <w:tcPr>
            <w:tcW w:w="588" w:type="pct"/>
            <w:tcBorders>
              <w:top w:val="single" w:sz="4" w:space="0" w:color="00338D"/>
              <w:left w:val="nil"/>
              <w:bottom w:val="nil"/>
              <w:right w:val="nil"/>
            </w:tcBorders>
            <w:vAlign w:val="bottom"/>
          </w:tcPr>
          <w:p w14:paraId="36417B6C"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0.2</w:t>
            </w:r>
          </w:p>
        </w:tc>
        <w:tc>
          <w:tcPr>
            <w:tcW w:w="618" w:type="pct"/>
            <w:tcBorders>
              <w:top w:val="single" w:sz="4" w:space="0" w:color="00338D"/>
              <w:left w:val="nil"/>
              <w:bottom w:val="nil"/>
              <w:right w:val="nil"/>
            </w:tcBorders>
            <w:vAlign w:val="bottom"/>
          </w:tcPr>
          <w:p w14:paraId="0928B42E"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83.2**</w:t>
            </w:r>
          </w:p>
        </w:tc>
        <w:tc>
          <w:tcPr>
            <w:tcW w:w="882" w:type="pct"/>
            <w:tcBorders>
              <w:top w:val="single" w:sz="4" w:space="0" w:color="00338D"/>
              <w:left w:val="nil"/>
              <w:bottom w:val="nil"/>
              <w:right w:val="nil"/>
            </w:tcBorders>
            <w:vAlign w:val="bottom"/>
          </w:tcPr>
          <w:p w14:paraId="7995094C" w14:textId="77777777" w:rsidR="00AA1E14" w:rsidRPr="00AA1E14" w:rsidRDefault="00AA1E14" w:rsidP="00F27C38">
            <w:pPr>
              <w:pStyle w:val="Tabletext"/>
              <w:spacing w:line="256" w:lineRule="auto"/>
              <w:jc w:val="center"/>
              <w:rPr>
                <w:rFonts w:cs="Calibri"/>
                <w:color w:val="000000"/>
                <w:szCs w:val="20"/>
              </w:rPr>
            </w:pPr>
            <w:r w:rsidRPr="00AA1E14">
              <w:rPr>
                <w:rFonts w:cs="Calibri"/>
                <w:color w:val="000000"/>
                <w:szCs w:val="20"/>
              </w:rPr>
              <w:t>13.7</w:t>
            </w:r>
          </w:p>
        </w:tc>
      </w:tr>
      <w:tr w:rsidR="00AA1E14" w:rsidRPr="00AA1E14" w14:paraId="5D281762" w14:textId="77777777" w:rsidTr="000E7090">
        <w:trPr>
          <w:trHeight w:val="170"/>
        </w:trPr>
        <w:tc>
          <w:tcPr>
            <w:tcW w:w="897" w:type="pct"/>
            <w:vMerge/>
            <w:tcBorders>
              <w:left w:val="nil"/>
              <w:bottom w:val="single" w:sz="4" w:space="0" w:color="00338D"/>
              <w:right w:val="nil"/>
            </w:tcBorders>
            <w:hideMark/>
          </w:tcPr>
          <w:p w14:paraId="43F06181" w14:textId="7783CC47" w:rsidR="00AA1E14" w:rsidRPr="00AA1E14" w:rsidRDefault="00AA1E14" w:rsidP="00F27C38">
            <w:pPr>
              <w:pStyle w:val="Tabletext"/>
              <w:spacing w:line="256" w:lineRule="auto"/>
              <w:ind w:left="176"/>
              <w:rPr>
                <w:szCs w:val="20"/>
              </w:rPr>
            </w:pPr>
          </w:p>
        </w:tc>
        <w:tc>
          <w:tcPr>
            <w:tcW w:w="676" w:type="pct"/>
            <w:tcBorders>
              <w:top w:val="nil"/>
              <w:left w:val="nil"/>
              <w:bottom w:val="single" w:sz="4" w:space="0" w:color="00338D"/>
              <w:right w:val="nil"/>
            </w:tcBorders>
            <w:vAlign w:val="bottom"/>
          </w:tcPr>
          <w:p w14:paraId="77D95BE4"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(2.9)</w:t>
            </w:r>
          </w:p>
        </w:tc>
        <w:tc>
          <w:tcPr>
            <w:tcW w:w="669" w:type="pct"/>
            <w:tcBorders>
              <w:top w:val="nil"/>
              <w:left w:val="nil"/>
              <w:bottom w:val="single" w:sz="4" w:space="0" w:color="00338D"/>
              <w:right w:val="nil"/>
            </w:tcBorders>
            <w:vAlign w:val="bottom"/>
          </w:tcPr>
          <w:p w14:paraId="68A72559"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(1.3)</w:t>
            </w:r>
          </w:p>
        </w:tc>
        <w:tc>
          <w:tcPr>
            <w:tcW w:w="671" w:type="pct"/>
            <w:tcBorders>
              <w:top w:val="nil"/>
              <w:left w:val="nil"/>
              <w:bottom w:val="single" w:sz="4" w:space="0" w:color="00338D"/>
              <w:right w:val="nil"/>
            </w:tcBorders>
            <w:vAlign w:val="bottom"/>
          </w:tcPr>
          <w:p w14:paraId="6F50BA58"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(2.8)</w:t>
            </w:r>
          </w:p>
        </w:tc>
        <w:tc>
          <w:tcPr>
            <w:tcW w:w="588" w:type="pct"/>
            <w:tcBorders>
              <w:top w:val="nil"/>
              <w:left w:val="nil"/>
              <w:bottom w:val="single" w:sz="4" w:space="0" w:color="00338D"/>
              <w:right w:val="nil"/>
            </w:tcBorders>
            <w:vAlign w:val="bottom"/>
          </w:tcPr>
          <w:p w14:paraId="0709BB35"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(0.1)</w:t>
            </w:r>
          </w:p>
        </w:tc>
        <w:tc>
          <w:tcPr>
            <w:tcW w:w="618" w:type="pct"/>
            <w:tcBorders>
              <w:top w:val="nil"/>
              <w:left w:val="nil"/>
              <w:bottom w:val="single" w:sz="4" w:space="0" w:color="00338D"/>
              <w:right w:val="nil"/>
            </w:tcBorders>
            <w:vAlign w:val="bottom"/>
          </w:tcPr>
          <w:p w14:paraId="1B5F8FD6" w14:textId="77777777" w:rsidR="00AA1E14" w:rsidRPr="00AA1E14" w:rsidRDefault="00AA1E14" w:rsidP="00F27C38">
            <w:pPr>
              <w:pStyle w:val="Tabletext"/>
              <w:spacing w:line="256" w:lineRule="auto"/>
              <w:jc w:val="center"/>
              <w:rPr>
                <w:b/>
                <w:bCs/>
                <w:szCs w:val="20"/>
              </w:rPr>
            </w:pPr>
            <w:r w:rsidRPr="00AA1E14">
              <w:rPr>
                <w:rFonts w:cs="Calibri"/>
                <w:color w:val="000000"/>
                <w:szCs w:val="20"/>
              </w:rPr>
              <w:t>(39.1)</w:t>
            </w:r>
          </w:p>
        </w:tc>
        <w:tc>
          <w:tcPr>
            <w:tcW w:w="882" w:type="pct"/>
            <w:tcBorders>
              <w:top w:val="nil"/>
              <w:left w:val="nil"/>
              <w:bottom w:val="single" w:sz="4" w:space="0" w:color="00338D"/>
              <w:right w:val="nil"/>
            </w:tcBorders>
            <w:vAlign w:val="bottom"/>
          </w:tcPr>
          <w:p w14:paraId="3C1DC555" w14:textId="77777777" w:rsidR="00AA1E14" w:rsidRPr="00AA1E14" w:rsidRDefault="00AA1E14" w:rsidP="00F27C38">
            <w:pPr>
              <w:pStyle w:val="Tabletext"/>
              <w:spacing w:line="256" w:lineRule="auto"/>
              <w:jc w:val="center"/>
              <w:rPr>
                <w:rFonts w:cs="Calibri"/>
                <w:color w:val="000000"/>
                <w:szCs w:val="20"/>
              </w:rPr>
            </w:pPr>
            <w:r w:rsidRPr="00AA1E14">
              <w:rPr>
                <w:rFonts w:cs="Calibri"/>
                <w:color w:val="000000"/>
                <w:szCs w:val="20"/>
              </w:rPr>
              <w:t>(17.5)</w:t>
            </w:r>
          </w:p>
        </w:tc>
      </w:tr>
      <w:tr w:rsidR="002A6A78" w:rsidRPr="00AA1E14" w14:paraId="4AECFDF4" w14:textId="77777777" w:rsidTr="00AA1E14">
        <w:tc>
          <w:tcPr>
            <w:tcW w:w="897" w:type="pct"/>
            <w:tcBorders>
              <w:top w:val="single" w:sz="2" w:space="0" w:color="808080" w:themeColor="background1" w:themeShade="80"/>
              <w:left w:val="nil"/>
              <w:bottom w:val="single" w:sz="4" w:space="0" w:color="auto"/>
              <w:right w:val="nil"/>
            </w:tcBorders>
            <w:hideMark/>
          </w:tcPr>
          <w:p w14:paraId="6615EBB5" w14:textId="77777777" w:rsidR="002A6A78" w:rsidRPr="00AA1E14" w:rsidRDefault="002A6A78" w:rsidP="00F27C38">
            <w:pPr>
              <w:pStyle w:val="Tabletext"/>
              <w:spacing w:line="256" w:lineRule="auto"/>
              <w:rPr>
                <w:szCs w:val="20"/>
              </w:rPr>
            </w:pPr>
            <w:r w:rsidRPr="00AA1E14">
              <w:rPr>
                <w:szCs w:val="20"/>
              </w:rPr>
              <w:t>No. of PHNs</w:t>
            </w:r>
          </w:p>
        </w:tc>
        <w:tc>
          <w:tcPr>
            <w:tcW w:w="676" w:type="pct"/>
            <w:tcBorders>
              <w:top w:val="single" w:sz="2" w:space="0" w:color="808080" w:themeColor="background1" w:themeShade="80"/>
              <w:left w:val="nil"/>
              <w:bottom w:val="single" w:sz="4" w:space="0" w:color="auto"/>
              <w:right w:val="nil"/>
            </w:tcBorders>
            <w:vAlign w:val="center"/>
            <w:hideMark/>
          </w:tcPr>
          <w:p w14:paraId="7200682D" w14:textId="77777777" w:rsidR="002A6A78" w:rsidRPr="00AA1E14" w:rsidRDefault="002A6A78" w:rsidP="00F27C38">
            <w:pPr>
              <w:pStyle w:val="Tabletext"/>
              <w:spacing w:line="256" w:lineRule="auto"/>
              <w:jc w:val="center"/>
              <w:rPr>
                <w:szCs w:val="20"/>
              </w:rPr>
            </w:pPr>
            <w:r w:rsidRPr="00AA1E14">
              <w:rPr>
                <w:rFonts w:cs="Arial"/>
                <w:color w:val="000000"/>
                <w:kern w:val="24"/>
                <w:szCs w:val="20"/>
              </w:rPr>
              <w:t xml:space="preserve"> 31 </w:t>
            </w:r>
          </w:p>
        </w:tc>
        <w:tc>
          <w:tcPr>
            <w:tcW w:w="669" w:type="pct"/>
            <w:tcBorders>
              <w:top w:val="single" w:sz="2" w:space="0" w:color="808080" w:themeColor="background1" w:themeShade="80"/>
              <w:left w:val="nil"/>
              <w:bottom w:val="single" w:sz="4" w:space="0" w:color="auto"/>
              <w:right w:val="nil"/>
            </w:tcBorders>
            <w:vAlign w:val="center"/>
            <w:hideMark/>
          </w:tcPr>
          <w:p w14:paraId="14A975FE" w14:textId="77777777" w:rsidR="002A6A78" w:rsidRPr="00AA1E14" w:rsidRDefault="002A6A78" w:rsidP="00F27C38">
            <w:pPr>
              <w:pStyle w:val="Tabletext"/>
              <w:spacing w:line="256" w:lineRule="auto"/>
              <w:jc w:val="center"/>
              <w:rPr>
                <w:szCs w:val="20"/>
              </w:rPr>
            </w:pPr>
            <w:r w:rsidRPr="00AA1E14">
              <w:rPr>
                <w:rFonts w:cs="Arial"/>
                <w:color w:val="000000"/>
                <w:kern w:val="24"/>
                <w:szCs w:val="20"/>
              </w:rPr>
              <w:t xml:space="preserve"> 31 </w:t>
            </w:r>
          </w:p>
        </w:tc>
        <w:tc>
          <w:tcPr>
            <w:tcW w:w="671" w:type="pct"/>
            <w:tcBorders>
              <w:top w:val="single" w:sz="2" w:space="0" w:color="808080" w:themeColor="background1" w:themeShade="80"/>
              <w:left w:val="nil"/>
              <w:bottom w:val="single" w:sz="4" w:space="0" w:color="auto"/>
              <w:right w:val="nil"/>
            </w:tcBorders>
            <w:vAlign w:val="center"/>
            <w:hideMark/>
          </w:tcPr>
          <w:p w14:paraId="44205DA0" w14:textId="77777777" w:rsidR="002A6A78" w:rsidRPr="00AA1E14" w:rsidRDefault="002A6A78" w:rsidP="00F27C38">
            <w:pPr>
              <w:pStyle w:val="Tabletext"/>
              <w:spacing w:line="256" w:lineRule="auto"/>
              <w:jc w:val="center"/>
              <w:rPr>
                <w:szCs w:val="20"/>
              </w:rPr>
            </w:pPr>
            <w:r w:rsidRPr="00AA1E14">
              <w:rPr>
                <w:rFonts w:cs="Arial"/>
                <w:color w:val="000000"/>
                <w:kern w:val="24"/>
                <w:szCs w:val="20"/>
              </w:rPr>
              <w:t xml:space="preserve"> 31 </w:t>
            </w:r>
          </w:p>
        </w:tc>
        <w:tc>
          <w:tcPr>
            <w:tcW w:w="588" w:type="pct"/>
            <w:tcBorders>
              <w:top w:val="single" w:sz="2" w:space="0" w:color="808080" w:themeColor="background1" w:themeShade="80"/>
              <w:left w:val="nil"/>
              <w:bottom w:val="single" w:sz="4" w:space="0" w:color="auto"/>
              <w:right w:val="nil"/>
            </w:tcBorders>
            <w:vAlign w:val="center"/>
            <w:hideMark/>
          </w:tcPr>
          <w:p w14:paraId="28B4A07D" w14:textId="77777777" w:rsidR="002A6A78" w:rsidRPr="00AA1E14" w:rsidRDefault="002A6A78" w:rsidP="00F27C38">
            <w:pPr>
              <w:pStyle w:val="Tabletext"/>
              <w:spacing w:line="256" w:lineRule="auto"/>
              <w:jc w:val="center"/>
              <w:rPr>
                <w:szCs w:val="20"/>
              </w:rPr>
            </w:pPr>
            <w:r w:rsidRPr="00AA1E14">
              <w:rPr>
                <w:rFonts w:cs="Arial"/>
                <w:color w:val="000000"/>
                <w:kern w:val="24"/>
                <w:szCs w:val="20"/>
              </w:rPr>
              <w:t xml:space="preserve"> 31 </w:t>
            </w:r>
          </w:p>
        </w:tc>
        <w:tc>
          <w:tcPr>
            <w:tcW w:w="618" w:type="pct"/>
            <w:tcBorders>
              <w:top w:val="single" w:sz="2" w:space="0" w:color="808080" w:themeColor="background1" w:themeShade="80"/>
              <w:left w:val="nil"/>
              <w:bottom w:val="single" w:sz="4" w:space="0" w:color="auto"/>
              <w:right w:val="nil"/>
            </w:tcBorders>
            <w:vAlign w:val="center"/>
            <w:hideMark/>
          </w:tcPr>
          <w:p w14:paraId="347D9B53" w14:textId="77777777" w:rsidR="002A6A78" w:rsidRPr="00AA1E14" w:rsidRDefault="002A6A78" w:rsidP="00F27C38">
            <w:pPr>
              <w:pStyle w:val="Tabletext"/>
              <w:spacing w:line="256" w:lineRule="auto"/>
              <w:jc w:val="center"/>
              <w:rPr>
                <w:szCs w:val="20"/>
              </w:rPr>
            </w:pPr>
            <w:r w:rsidRPr="00AA1E14">
              <w:rPr>
                <w:rFonts w:cs="Arial"/>
                <w:color w:val="000000"/>
                <w:kern w:val="24"/>
                <w:szCs w:val="20"/>
              </w:rPr>
              <w:t xml:space="preserve"> 31 </w:t>
            </w:r>
          </w:p>
        </w:tc>
        <w:tc>
          <w:tcPr>
            <w:tcW w:w="882" w:type="pct"/>
            <w:tcBorders>
              <w:top w:val="single" w:sz="2" w:space="0" w:color="808080" w:themeColor="background1" w:themeShade="80"/>
              <w:left w:val="nil"/>
              <w:bottom w:val="single" w:sz="4" w:space="0" w:color="auto"/>
              <w:right w:val="nil"/>
            </w:tcBorders>
            <w:hideMark/>
          </w:tcPr>
          <w:p w14:paraId="51BC96AB" w14:textId="77777777" w:rsidR="002A6A78" w:rsidRPr="00AA1E14" w:rsidRDefault="002A6A78" w:rsidP="00F27C38">
            <w:pPr>
              <w:pStyle w:val="Tabletext"/>
              <w:spacing w:line="256" w:lineRule="auto"/>
              <w:jc w:val="center"/>
              <w:rPr>
                <w:rFonts w:cs="Arial"/>
                <w:color w:val="000000"/>
                <w:kern w:val="24"/>
                <w:szCs w:val="20"/>
              </w:rPr>
            </w:pPr>
            <w:r w:rsidRPr="00AA1E14">
              <w:rPr>
                <w:rFonts w:cs="Arial"/>
                <w:color w:val="000000"/>
                <w:kern w:val="24"/>
                <w:szCs w:val="20"/>
              </w:rPr>
              <w:t>31</w:t>
            </w:r>
          </w:p>
        </w:tc>
      </w:tr>
    </w:tbl>
    <w:p w14:paraId="00D75FB2" w14:textId="77777777" w:rsidR="002A6A78" w:rsidRDefault="002A6A78" w:rsidP="002A6A78">
      <w:pPr>
        <w:pStyle w:val="Source"/>
      </w:pPr>
      <w:r>
        <w:t>Source: PHN-level hospitalisations and Medicare-subsidised MH specific services provided by the AIHW and SA. No. of services opened estimated with opening dates provided by headspace National.</w:t>
      </w:r>
    </w:p>
    <w:p w14:paraId="617EF246" w14:textId="577F232A" w:rsidR="002A6A78" w:rsidRDefault="002A6A78" w:rsidP="00055089">
      <w:pPr>
        <w:pStyle w:val="Source"/>
      </w:pPr>
      <w:r>
        <w:t>Notes: * Significant at 10 per cent. ** Signification at 5 per cent; Dependent variables are measured at per 100,000 young persons. Fixed year effects are estimated but omitted from this table. SH: Self-harm. MH: Mental</w:t>
      </w:r>
      <w:r w:rsidR="004D1498">
        <w:t xml:space="preserve"> </w:t>
      </w:r>
      <w:r>
        <w:t>health. MBS: Medicare Benefits Schedule (MBS).</w:t>
      </w:r>
    </w:p>
    <w:p w14:paraId="5E2153A0" w14:textId="77777777" w:rsidR="002A6A78" w:rsidRPr="008F35E8" w:rsidRDefault="002A6A78" w:rsidP="00055089">
      <w:pPr>
        <w:pStyle w:val="Source"/>
        <w:rPr>
          <w:szCs w:val="16"/>
        </w:rPr>
      </w:pPr>
      <w:r w:rsidRPr="00CF2E3E">
        <w:rPr>
          <w:vertAlign w:val="superscript"/>
        </w:rPr>
        <w:t>1</w:t>
      </w:r>
      <w:r w:rsidRPr="008F35E8">
        <w:rPr>
          <w:szCs w:val="16"/>
        </w:rPr>
        <w:t xml:space="preserve"> </w:t>
      </w:r>
      <w:r>
        <w:rPr>
          <w:szCs w:val="16"/>
        </w:rPr>
        <w:t>A</w:t>
      </w:r>
      <w:r w:rsidRPr="008F35E8">
        <w:rPr>
          <w:szCs w:val="16"/>
        </w:rPr>
        <w:t>lso known as ‘illicit drug and alcohol related hospitalisations per 100,000’.</w:t>
      </w:r>
    </w:p>
    <w:p w14:paraId="3F921185" w14:textId="77777777" w:rsidR="002A6A78" w:rsidRPr="008F35E8" w:rsidRDefault="002A6A78" w:rsidP="00055089">
      <w:pPr>
        <w:pStyle w:val="Source"/>
        <w:rPr>
          <w:szCs w:val="16"/>
        </w:rPr>
      </w:pPr>
      <w:r w:rsidRPr="00CF2E3E">
        <w:rPr>
          <w:vertAlign w:val="superscript"/>
        </w:rPr>
        <w:t>2</w:t>
      </w:r>
      <w:r w:rsidRPr="008F35E8">
        <w:t xml:space="preserve"> Also known as ‘deaths from intentional self-harm per 100,000’.</w:t>
      </w:r>
    </w:p>
    <w:p w14:paraId="61B6E079" w14:textId="77777777" w:rsidR="002A6A78" w:rsidRPr="008F35E8" w:rsidRDefault="002A6A78" w:rsidP="00055089">
      <w:pPr>
        <w:pStyle w:val="Source"/>
        <w:rPr>
          <w:szCs w:val="16"/>
        </w:rPr>
      </w:pPr>
      <w:r w:rsidRPr="00CF2E3E">
        <w:rPr>
          <w:vertAlign w:val="superscript"/>
        </w:rPr>
        <w:t>3</w:t>
      </w:r>
      <w:r w:rsidRPr="008F35E8">
        <w:t xml:space="preserve"> Mental health emergency department presentations are only available</w:t>
      </w:r>
      <w:r w:rsidRPr="008F35E8">
        <w:rPr>
          <w:szCs w:val="16"/>
        </w:rPr>
        <w:t xml:space="preserve"> from 2013-14 to 2018-19.</w:t>
      </w:r>
    </w:p>
    <w:p w14:paraId="3FCE74E6" w14:textId="3318CC2C" w:rsidR="002A6A78" w:rsidRDefault="002A6A78" w:rsidP="00055089">
      <w:pPr>
        <w:pStyle w:val="AppendixHeading3"/>
      </w:pPr>
      <w:r>
        <w:t xml:space="preserve">The effectiveness of headspace in improving </w:t>
      </w:r>
      <w:r w:rsidR="00F56055">
        <w:t>area-level</w:t>
      </w:r>
      <w:r>
        <w:t xml:space="preserve"> outcomes </w:t>
      </w:r>
    </w:p>
    <w:p w14:paraId="6E676774" w14:textId="04E62E7E" w:rsidR="002A6A78" w:rsidRDefault="002A6A78" w:rsidP="002A6A78">
      <w:pPr>
        <w:pStyle w:val="BodyText"/>
      </w:pPr>
      <w:r>
        <w:t xml:space="preserve">The analyses presented above offers inconclusive evidence that headspace is effective at improving outcomes at a PHN level. There is some evidence that headspace has an effect on some outcomes but the results are typically lagged and inconsistent over time. In some instances, this is to be expected. For example, suicide deaths occur in small numbers and are volatile at the PHN level, and headspace plays only a small part in wider suicide prevention. By contrast, it is reasonable to expect that headspace services would help to lower mental health hospitalisations. Updating this analysis over time would help to strengthen the conclusions. </w:t>
      </w:r>
    </w:p>
    <w:p w14:paraId="0D925225" w14:textId="72172BDA" w:rsidR="00055089" w:rsidRPr="005714B0" w:rsidRDefault="00055089" w:rsidP="002A6A78">
      <w:pPr>
        <w:pStyle w:val="BodyText"/>
      </w:pPr>
      <w:r w:rsidRPr="00055089">
        <w:t xml:space="preserve">The effectiveness of headspace in improving </w:t>
      </w:r>
      <w:r w:rsidR="00F56055">
        <w:t>area-level</w:t>
      </w:r>
      <w:r w:rsidRPr="00055089">
        <w:t xml:space="preserve"> outcomes is inconclusive. There is some evidence that headspace has an effect on some outcomes but the impacts are typically lagged, as expected, but inconsistent over time.</w:t>
      </w:r>
    </w:p>
    <w:p w14:paraId="1EBCBAE6" w14:textId="5FA63233" w:rsidR="004B48F1" w:rsidRPr="006B7096" w:rsidRDefault="004B48F1" w:rsidP="004B48F1">
      <w:pPr>
        <w:pStyle w:val="AppendixHeading2"/>
      </w:pPr>
      <w:bookmarkStart w:id="374" w:name="_Ref98326475"/>
      <w:bookmarkStart w:id="375" w:name="_Ref98009849"/>
      <w:bookmarkStart w:id="376" w:name="_Ref98009886"/>
      <w:bookmarkStart w:id="377" w:name="_Ref98009924"/>
      <w:bookmarkStart w:id="378" w:name="_Ref98009995"/>
      <w:bookmarkStart w:id="379" w:name="_Ref98010207"/>
      <w:bookmarkStart w:id="380" w:name="_Ref98065786"/>
      <w:bookmarkStart w:id="381" w:name="_Ref98226030"/>
      <w:bookmarkStart w:id="382" w:name="_Ref98228555"/>
      <w:r w:rsidRPr="00E01B5F">
        <w:t>How is the establishment of alternative service delivery models assisting headspace to meet its program outcomes?</w:t>
      </w:r>
      <w:bookmarkEnd w:id="374"/>
    </w:p>
    <w:p w14:paraId="495AC965" w14:textId="51287E6E" w:rsidR="004B48F1" w:rsidRDefault="004B48F1" w:rsidP="000244E4">
      <w:pPr>
        <w:pStyle w:val="BodyText"/>
      </w:pPr>
      <w:bookmarkStart w:id="383" w:name="_Hlk98192223"/>
      <w:r>
        <w:t xml:space="preserve">As outlined in Section </w:t>
      </w:r>
      <w:r w:rsidR="00CE5A01">
        <w:fldChar w:fldCharType="begin" w:fldLock="1"/>
      </w:r>
      <w:r w:rsidR="00CE5A01">
        <w:instrText xml:space="preserve"> REF _Ref98322131 \r \h </w:instrText>
      </w:r>
      <w:r w:rsidR="00CE5A01">
        <w:fldChar w:fldCharType="separate"/>
      </w:r>
      <w:r w:rsidR="00AE4D34">
        <w:t>2.3.4</w:t>
      </w:r>
      <w:r w:rsidR="00CE5A01">
        <w:fldChar w:fldCharType="end"/>
      </w:r>
      <w:r>
        <w:t xml:space="preserve"> above, there are a range of different headspace services now present within communities across Australia, and increasing emphasis is being placed on diversifying the headspace model by the Commonwealth Government. Additional satellite services have been funded to support young people in smaller communities surrounding </w:t>
      </w:r>
      <w:r w:rsidR="006817F2">
        <w:t>headspace</w:t>
      </w:r>
      <w:r>
        <w:t xml:space="preserve"> centres to offer them face-to-face services mental health and counselling support. </w:t>
      </w:r>
    </w:p>
    <w:p w14:paraId="3AECF83D" w14:textId="139490BF" w:rsidR="004B48F1" w:rsidRDefault="004B48F1" w:rsidP="000244E4">
      <w:pPr>
        <w:pStyle w:val="BodyText"/>
      </w:pPr>
      <w:r>
        <w:t xml:space="preserve">As intended, the types of services delivered by these alternative models differs to those offered by headspace centres. The predominant focus of supports is on mental health and counselling, with only two of the three other core services required to be provided by a satellite </w:t>
      </w:r>
      <w:r w:rsidR="006817F2">
        <w:t>service</w:t>
      </w:r>
      <w:r>
        <w:t>, either directly by staff, or through linkages with local providers of those supports. This is further explored in Sections</w:t>
      </w:r>
      <w:r w:rsidR="00CE5A01">
        <w:t xml:space="preserve"> </w:t>
      </w:r>
      <w:r>
        <w:fldChar w:fldCharType="begin" w:fldLock="1"/>
      </w:r>
      <w:r>
        <w:instrText xml:space="preserve"> REF _Ref95039690 \r \h </w:instrText>
      </w:r>
      <w:r>
        <w:fldChar w:fldCharType="separate"/>
      </w:r>
      <w:r w:rsidR="00AE4D34">
        <w:t>2.5.2</w:t>
      </w:r>
      <w:r>
        <w:fldChar w:fldCharType="end"/>
      </w:r>
      <w:r>
        <w:t xml:space="preserve"> and </w:t>
      </w:r>
      <w:r>
        <w:fldChar w:fldCharType="begin" w:fldLock="1"/>
      </w:r>
      <w:r>
        <w:instrText xml:space="preserve"> REF _Ref95039707 \r \h </w:instrText>
      </w:r>
      <w:r>
        <w:fldChar w:fldCharType="separate"/>
      </w:r>
      <w:r w:rsidR="00AE4D34">
        <w:t>2.6.2</w:t>
      </w:r>
      <w:r>
        <w:fldChar w:fldCharType="end"/>
      </w:r>
      <w:r>
        <w:t xml:space="preserve"> above.</w:t>
      </w:r>
    </w:p>
    <w:p w14:paraId="2FFC201E" w14:textId="524E986B" w:rsidR="004B48F1" w:rsidRDefault="004B48F1" w:rsidP="000244E4">
      <w:pPr>
        <w:pStyle w:val="BodyText"/>
      </w:pPr>
      <w:r>
        <w:t xml:space="preserve">There are mixed views from across stakeholders involved in delivering, or working with headspace services as to the impact of satellite </w:t>
      </w:r>
      <w:r w:rsidR="006817F2">
        <w:t>service</w:t>
      </w:r>
      <w:r>
        <w:t xml:space="preserve">s. As outlined in this report, there is significant positive regard for headspace services, and communities and stakeholders view any headspace services as a positive addition to achieving core objectives. </w:t>
      </w:r>
    </w:p>
    <w:p w14:paraId="7668DE36" w14:textId="515F09DC" w:rsidR="004B48F1" w:rsidRDefault="004B48F1" w:rsidP="000244E4">
      <w:pPr>
        <w:pStyle w:val="BodyText"/>
      </w:pPr>
      <w:r>
        <w:t xml:space="preserve">Deep dive stakeholders linked to satellite services either directly or as a parent centre recognised the value of the work they were undertaking and the contribution headspace, in any form, makes to communities. However, these stakeholders also indicate that the level of need in their local community warranted a </w:t>
      </w:r>
      <w:r w:rsidR="006817F2">
        <w:t>headspace</w:t>
      </w:r>
      <w:r>
        <w:t xml:space="preserve"> centre, </w:t>
      </w:r>
      <w:r w:rsidR="00D7095F">
        <w:t>with increased funding levels and longer services hours to support young people</w:t>
      </w:r>
      <w:r>
        <w:t>, and that being able to implement the full headspace model would make the most difference for young people locally.</w:t>
      </w:r>
    </w:p>
    <w:p w14:paraId="3021AA1D" w14:textId="500D9C86" w:rsidR="004B48F1" w:rsidRDefault="004B48F1" w:rsidP="000244E4">
      <w:pPr>
        <w:pStyle w:val="BodyText"/>
      </w:pPr>
      <w:r>
        <w:t xml:space="preserve">Of the six responses received to the headspace service and lead agency survey from satellite or outreach service respondents, there were no discernible differences in responses received to enablers and barriers identified, or how well these services are able to support headspace’s objectives. These respondents indicated similar challenges recruiting appropriate staff, managing wait times for young people, and challenges with perceived complexity of presenting need. One satellite </w:t>
      </w:r>
      <w:r w:rsidR="006817F2">
        <w:t>service</w:t>
      </w:r>
      <w:r>
        <w:t xml:space="preserve"> respondent indicated that the small funding amount received by headspace satellites meant they were only able to employ a single clinician, and for this service in particular, this contributed to wait times.</w:t>
      </w:r>
    </w:p>
    <w:p w14:paraId="1687F4FA" w14:textId="053D6C92" w:rsidR="004B48F1" w:rsidRDefault="004B48F1" w:rsidP="004B48F1">
      <w:pPr>
        <w:pStyle w:val="BodyText"/>
      </w:pPr>
      <w:r>
        <w:t xml:space="preserve">Similarly, PHNs as commissioners of services indicated a preference for </w:t>
      </w:r>
      <w:r w:rsidR="006817F2">
        <w:t xml:space="preserve">headspace </w:t>
      </w:r>
      <w:r>
        <w:t>centres to better meet the needs of local young people through the holistic headspace model.</w:t>
      </w:r>
    </w:p>
    <w:p w14:paraId="78CDD782" w14:textId="1B938FF7" w:rsidR="004B48F1" w:rsidRDefault="004B48F1" w:rsidP="004B48F1">
      <w:pPr>
        <w:pStyle w:val="BodyText"/>
      </w:pPr>
      <w:r>
        <w:t xml:space="preserve">With respect to clinical outcomes, only a small number (less than five) of alternative models were able to be analysed in line with criteria established for this analysis. Services were typically excluded from analysis if they had not been open long enough to move past their establishment phase. </w:t>
      </w:r>
      <w:r w:rsidR="009D0E8C">
        <w:t>This was assumed to be 12 months for the purposes of this evaluation.</w:t>
      </w:r>
      <w:r>
        <w:t xml:space="preserve"> Of the services that were able to be analysed in comparison to headspace centres, there was some indication that improvements in K10 and MyLifeTracker outcomes were better for young people accessing headspace </w:t>
      </w:r>
      <w:r w:rsidR="00480A20">
        <w:t>centres</w:t>
      </w:r>
      <w:r>
        <w:t>, while there was limited difference between outcomes for young people based on the SOFAS outcome measure</w:t>
      </w:r>
      <w:r w:rsidR="007119C7">
        <w:t xml:space="preserve"> (see </w:t>
      </w:r>
      <w:r w:rsidR="001268EC">
        <w:fldChar w:fldCharType="begin" w:fldLock="1"/>
      </w:r>
      <w:r w:rsidR="001268EC">
        <w:instrText xml:space="preserve"> REF _Ref98325053 \w \h </w:instrText>
      </w:r>
      <w:r w:rsidR="001268EC">
        <w:fldChar w:fldCharType="separate"/>
      </w:r>
      <w:r w:rsidR="00AE4D34">
        <w:t>Appendix E</w:t>
      </w:r>
      <w:r w:rsidR="001268EC">
        <w:fldChar w:fldCharType="end"/>
      </w:r>
      <w:r w:rsidR="007119C7">
        <w:t>)</w:t>
      </w:r>
      <w:r>
        <w:t xml:space="preserve">. </w:t>
      </w:r>
    </w:p>
    <w:p w14:paraId="0BD19B61" w14:textId="77777777" w:rsidR="004B48F1" w:rsidRDefault="004B48F1" w:rsidP="00055089">
      <w:pPr>
        <w:pStyle w:val="AppendixHeading3"/>
      </w:pPr>
      <w:r>
        <w:t>How the establishment of other service delivery models delivers on headspace program outcomes</w:t>
      </w:r>
    </w:p>
    <w:p w14:paraId="0342832D" w14:textId="0E85EF25" w:rsidR="004B48F1" w:rsidRDefault="004B48F1" w:rsidP="004B48F1">
      <w:pPr>
        <w:pStyle w:val="BodyText"/>
        <w:rPr>
          <w:iCs/>
        </w:rPr>
      </w:pPr>
      <w:r>
        <w:rPr>
          <w:iCs/>
        </w:rPr>
        <w:t xml:space="preserve">The benefits of access to headspace services, in any form, are consistently recognised by all stakeholders. However, there were mixed views as to the utility of satellites as a </w:t>
      </w:r>
      <w:r w:rsidR="00F8396B">
        <w:rPr>
          <w:iCs/>
        </w:rPr>
        <w:t xml:space="preserve">type of headspace service </w:t>
      </w:r>
      <w:r>
        <w:rPr>
          <w:iCs/>
        </w:rPr>
        <w:t>without access to the full headspace model, including the four core service pillars. Initial observations able to be made about the impact of service types on outcomes for young people also indicates that for two of the three outcome measures used within this evaluation, headspace centres provided better outcomes.</w:t>
      </w:r>
    </w:p>
    <w:p w14:paraId="29AF0BE6" w14:textId="135DABA6" w:rsidR="004B48F1" w:rsidRDefault="004B48F1" w:rsidP="004B48F1">
      <w:pPr>
        <w:pStyle w:val="BodyText"/>
        <w:rPr>
          <w:iCs/>
        </w:rPr>
      </w:pPr>
      <w:r w:rsidRPr="001C241B">
        <w:rPr>
          <w:iCs/>
        </w:rPr>
        <w:t xml:space="preserve">However, it should be noted that the number of satellite services that were able to be analysed </w:t>
      </w:r>
      <w:r>
        <w:rPr>
          <w:iCs/>
        </w:rPr>
        <w:t xml:space="preserve">within the data period for </w:t>
      </w:r>
      <w:r w:rsidRPr="001C241B">
        <w:rPr>
          <w:iCs/>
        </w:rPr>
        <w:t>this evaluation</w:t>
      </w:r>
      <w:r>
        <w:rPr>
          <w:iCs/>
        </w:rPr>
        <w:t xml:space="preserve"> </w:t>
      </w:r>
      <w:r w:rsidRPr="001C241B">
        <w:rPr>
          <w:iCs/>
        </w:rPr>
        <w:t>was limited. A number of satellite services have since opened, but were unable to be evaluated at this time, due to their short time in operation. Further evaluation of any differences in outcomes for young people accessing headspace satellites and other models should be undertaken once more services have reached full establishment</w:t>
      </w:r>
      <w:r w:rsidR="009D0E8C">
        <w:rPr>
          <w:iCs/>
        </w:rPr>
        <w:t xml:space="preserve">, at least 12 months after they have </w:t>
      </w:r>
      <w:r w:rsidR="00F8396B">
        <w:rPr>
          <w:iCs/>
        </w:rPr>
        <w:t>commenced operations</w:t>
      </w:r>
      <w:r w:rsidRPr="001C241B">
        <w:rPr>
          <w:iCs/>
        </w:rPr>
        <w:t xml:space="preserve">. </w:t>
      </w:r>
    </w:p>
    <w:p w14:paraId="277A4E10" w14:textId="3ACA38D9" w:rsidR="004B48F1" w:rsidRPr="00055089" w:rsidRDefault="00055089" w:rsidP="004B48F1">
      <w:pPr>
        <w:pStyle w:val="BodyText"/>
        <w:rPr>
          <w:iCs/>
        </w:rPr>
      </w:pPr>
      <w:r w:rsidRPr="00055089">
        <w:rPr>
          <w:iCs/>
        </w:rPr>
        <w:t>The expansion of headspace services into new communities assists headspace to meet its objectives by supporting a greater number of young people. However, there is recognition amongst stakeholders that the full headspace model is preferred over satellite services, and this is supported by clinical outcomes for young people based on the small number of satellite services able to be observed in this evaluation.</w:t>
      </w:r>
    </w:p>
    <w:p w14:paraId="68780A09" w14:textId="6080939F" w:rsidR="00D77BF3" w:rsidRPr="00D77BF3" w:rsidRDefault="00F94673" w:rsidP="00A1783E">
      <w:pPr>
        <w:pStyle w:val="Appendixheading"/>
      </w:pPr>
      <w:bookmarkStart w:id="384" w:name="_Ref98402466"/>
      <w:bookmarkStart w:id="385" w:name="_Toc108173999"/>
      <w:bookmarkEnd w:id="383"/>
      <w:r>
        <w:t>:</w:t>
      </w:r>
      <w:r w:rsidR="00D26B9A">
        <w:t xml:space="preserve"> </w:t>
      </w:r>
      <w:r w:rsidR="00CE1E79">
        <w:t>Inclusion</w:t>
      </w:r>
      <w:r>
        <w:t xml:space="preserve"> </w:t>
      </w:r>
      <w:r w:rsidR="00D26B9A">
        <w:t>and exclusion criteria</w:t>
      </w:r>
      <w:bookmarkEnd w:id="357"/>
      <w:bookmarkEnd w:id="375"/>
      <w:bookmarkEnd w:id="376"/>
      <w:bookmarkEnd w:id="377"/>
      <w:bookmarkEnd w:id="378"/>
      <w:bookmarkEnd w:id="379"/>
      <w:bookmarkEnd w:id="380"/>
      <w:bookmarkEnd w:id="381"/>
      <w:bookmarkEnd w:id="382"/>
      <w:bookmarkEnd w:id="384"/>
      <w:bookmarkEnd w:id="385"/>
    </w:p>
    <w:p w14:paraId="07495B32" w14:textId="57E3BA58" w:rsidR="00746262" w:rsidRPr="00F24A63" w:rsidRDefault="00746262" w:rsidP="00BC225F">
      <w:pPr>
        <w:pStyle w:val="BodyText"/>
      </w:pPr>
      <w:r w:rsidRPr="002F1899">
        <w:t xml:space="preserve">This section </w:t>
      </w:r>
      <w:r w:rsidR="000540C0" w:rsidRPr="002F1899">
        <w:t>describes data and</w:t>
      </w:r>
      <w:r w:rsidRPr="00F24A63">
        <w:t xml:space="preserve"> the inclusion and exclusion criteria</w:t>
      </w:r>
      <w:r w:rsidR="00E442D4" w:rsidRPr="00F24A63">
        <w:t xml:space="preserve"> for samples used in </w:t>
      </w:r>
      <w:r w:rsidR="000540C0" w:rsidRPr="00F24A63">
        <w:t>this report.</w:t>
      </w:r>
    </w:p>
    <w:p w14:paraId="0109C4B1" w14:textId="3ADB1991" w:rsidR="001F25A6" w:rsidRDefault="00746262" w:rsidP="00514C63">
      <w:pPr>
        <w:pStyle w:val="AppendixHeading2"/>
      </w:pPr>
      <w:bookmarkStart w:id="386" w:name="Exclusioncriteria_usethis"/>
      <w:bookmarkStart w:id="387" w:name="_Ref92899751"/>
      <w:bookmarkEnd w:id="386"/>
      <w:r>
        <w:t xml:space="preserve">Effectiveness </w:t>
      </w:r>
      <w:r w:rsidR="00293BFB">
        <w:t xml:space="preserve">in improving mental health and </w:t>
      </w:r>
      <w:r w:rsidR="00DC34F7">
        <w:t>well</w:t>
      </w:r>
      <w:r w:rsidR="005F068A">
        <w:t>being outcomes</w:t>
      </w:r>
    </w:p>
    <w:p w14:paraId="3EFFDA44" w14:textId="69B83429" w:rsidR="008306CD" w:rsidRDefault="00D37622" w:rsidP="00BC225F">
      <w:pPr>
        <w:pStyle w:val="BodyText"/>
      </w:pPr>
      <w:r w:rsidRPr="00D37622">
        <w:t xml:space="preserve">For the evaluation, this report combined </w:t>
      </w:r>
      <w:r w:rsidR="009C028B">
        <w:t>OOS</w:t>
      </w:r>
      <w:r w:rsidRPr="00D37622">
        <w:t xml:space="preserve"> reported between </w:t>
      </w:r>
      <w:r w:rsidR="00DC6215">
        <w:t>1</w:t>
      </w:r>
      <w:r w:rsidR="0023569B">
        <w:t xml:space="preserve"> </w:t>
      </w:r>
      <w:r w:rsidR="00515E91">
        <w:t>July 2019</w:t>
      </w:r>
      <w:r w:rsidRPr="00D37622">
        <w:t xml:space="preserve"> to </w:t>
      </w:r>
      <w:r w:rsidR="00515E91">
        <w:t>30 June 2020</w:t>
      </w:r>
      <w:r w:rsidRPr="00D37622">
        <w:t xml:space="preserve"> from the hMDS main extract, the family and friends survey and the phone intake survey to form the </w:t>
      </w:r>
      <w:r w:rsidR="00101901">
        <w:t xml:space="preserve">KPMG </w:t>
      </w:r>
      <w:r w:rsidRPr="00D37622">
        <w:t>master dataset</w:t>
      </w:r>
      <w:r w:rsidR="00B4707C">
        <w:t xml:space="preserve"> as labelled in</w:t>
      </w:r>
      <w:r w:rsidRPr="00D37622">
        <w:t xml:space="preserve"> </w:t>
      </w:r>
      <w:r w:rsidR="009D32B1">
        <w:rPr>
          <w:highlight w:val="yellow"/>
        </w:rPr>
        <w:fldChar w:fldCharType="begin" w:fldLock="1"/>
      </w:r>
      <w:r w:rsidR="009D32B1">
        <w:instrText xml:space="preserve"> REF _Ref94856337 \h </w:instrText>
      </w:r>
      <w:r w:rsidR="009D32B1">
        <w:rPr>
          <w:highlight w:val="yellow"/>
        </w:rPr>
      </w:r>
      <w:r w:rsidR="009D32B1">
        <w:rPr>
          <w:highlight w:val="yellow"/>
        </w:rPr>
        <w:fldChar w:fldCharType="separate"/>
      </w:r>
      <w:r w:rsidR="000C245D">
        <w:t xml:space="preserve">Figure </w:t>
      </w:r>
      <w:r w:rsidR="000C245D">
        <w:rPr>
          <w:noProof/>
        </w:rPr>
        <w:t>70</w:t>
      </w:r>
      <w:r w:rsidR="009D32B1">
        <w:rPr>
          <w:highlight w:val="yellow"/>
        </w:rPr>
        <w:fldChar w:fldCharType="end"/>
      </w:r>
      <w:r w:rsidR="006A26F7">
        <w:t xml:space="preserve"> below</w:t>
      </w:r>
      <w:r w:rsidR="001352E8">
        <w:t>.</w:t>
      </w:r>
    </w:p>
    <w:p w14:paraId="45031678" w14:textId="75015EB1" w:rsidR="00B72768" w:rsidRDefault="00ED4658" w:rsidP="00BC225F">
      <w:pPr>
        <w:pStyle w:val="BodyText"/>
      </w:pPr>
      <w:r>
        <w:t xml:space="preserve">Ongoing </w:t>
      </w:r>
      <w:r w:rsidR="004D1498">
        <w:t>episodes</w:t>
      </w:r>
      <w:r>
        <w:t xml:space="preserve"> of care were omitted,</w:t>
      </w:r>
      <w:r w:rsidR="009601BE">
        <w:t xml:space="preserve"> and the master dataset </w:t>
      </w:r>
      <w:r>
        <w:t>filtered</w:t>
      </w:r>
      <w:r w:rsidR="009601BE">
        <w:t xml:space="preserve"> to only include episodes that were created during 2019</w:t>
      </w:r>
      <w:r w:rsidR="00516D15">
        <w:t>-20</w:t>
      </w:r>
      <w:r w:rsidR="000D079F">
        <w:t xml:space="preserve"> and closed by December 2020</w:t>
      </w:r>
      <w:r w:rsidR="008564BA">
        <w:t>.</w:t>
      </w:r>
      <w:r w:rsidR="008C1E2D">
        <w:t xml:space="preserve"> </w:t>
      </w:r>
      <w:r w:rsidR="000152BC">
        <w:t xml:space="preserve">This forms the ‘Closed Episodes’ dataset labelled in </w:t>
      </w:r>
      <w:r w:rsidR="009D32B1">
        <w:rPr>
          <w:highlight w:val="yellow"/>
        </w:rPr>
        <w:fldChar w:fldCharType="begin" w:fldLock="1"/>
      </w:r>
      <w:r w:rsidR="009D32B1">
        <w:instrText xml:space="preserve"> REF _Ref94856337 \h </w:instrText>
      </w:r>
      <w:r w:rsidR="009D32B1">
        <w:rPr>
          <w:highlight w:val="yellow"/>
        </w:rPr>
      </w:r>
      <w:r w:rsidR="009D32B1">
        <w:rPr>
          <w:highlight w:val="yellow"/>
        </w:rPr>
        <w:fldChar w:fldCharType="separate"/>
      </w:r>
      <w:r w:rsidR="000C245D">
        <w:t xml:space="preserve">Figure </w:t>
      </w:r>
      <w:r w:rsidR="000C245D">
        <w:rPr>
          <w:noProof/>
        </w:rPr>
        <w:t>70</w:t>
      </w:r>
      <w:r w:rsidR="009D32B1">
        <w:rPr>
          <w:highlight w:val="yellow"/>
        </w:rPr>
        <w:fldChar w:fldCharType="end"/>
      </w:r>
      <w:r w:rsidR="000152BC">
        <w:t xml:space="preserve"> below. </w:t>
      </w:r>
      <w:r w:rsidR="0087070E">
        <w:t xml:space="preserve">Around 85 per cent of episodes created during 2019-20 </w:t>
      </w:r>
      <w:r w:rsidR="00D37278">
        <w:t xml:space="preserve">were </w:t>
      </w:r>
      <w:r w:rsidR="0087070E">
        <w:t xml:space="preserve">completed by December 2020. This is slightly less than </w:t>
      </w:r>
      <w:r w:rsidR="001A4722">
        <w:t xml:space="preserve">earlier financial years where around 87 per cent of </w:t>
      </w:r>
      <w:r w:rsidR="007828D3">
        <w:t xml:space="preserve">new </w:t>
      </w:r>
      <w:r w:rsidR="001A4722">
        <w:t>episodes created</w:t>
      </w:r>
      <w:r w:rsidR="00C93A1E">
        <w:t xml:space="preserve"> during</w:t>
      </w:r>
      <w:r w:rsidR="001A4722">
        <w:t xml:space="preserve"> each</w:t>
      </w:r>
      <w:r w:rsidR="00C93A1E">
        <w:t xml:space="preserve"> financial year completed by December.</w:t>
      </w:r>
    </w:p>
    <w:p w14:paraId="44272A41" w14:textId="44936FBA" w:rsidR="000722CD" w:rsidRDefault="00D0364C" w:rsidP="00BC225F">
      <w:pPr>
        <w:pStyle w:val="BodyText"/>
      </w:pPr>
      <w:r>
        <w:t xml:space="preserve">Episodes with missing main services and primary issues data are dropped. </w:t>
      </w:r>
      <w:r w:rsidR="00AC58B6">
        <w:t>E</w:t>
      </w:r>
      <w:r w:rsidR="008C1E2D">
        <w:t xml:space="preserve">pisodes with missing main services and primary issues </w:t>
      </w:r>
      <w:r w:rsidR="005D1D7E">
        <w:t>data</w:t>
      </w:r>
      <w:r w:rsidR="00AC58B6">
        <w:t xml:space="preserve"> </w:t>
      </w:r>
      <w:r w:rsidR="006847D8">
        <w:t>we</w:t>
      </w:r>
      <w:r w:rsidR="002E154C">
        <w:t>re</w:t>
      </w:r>
      <w:r w:rsidR="00AC58B6">
        <w:t xml:space="preserve"> dropped</w:t>
      </w:r>
      <w:r w:rsidR="005D1D7E">
        <w:t>. This</w:t>
      </w:r>
      <w:r w:rsidR="000152BC">
        <w:t xml:space="preserve"> forms the ‘Episodes with non-missing services</w:t>
      </w:r>
      <w:r w:rsidR="00157128">
        <w:t xml:space="preserve"> and </w:t>
      </w:r>
      <w:r w:rsidR="000152BC">
        <w:t>issue</w:t>
      </w:r>
      <w:r w:rsidR="00FA4932">
        <w:t xml:space="preserve"> dataset’ in </w:t>
      </w:r>
      <w:r w:rsidR="009D32B1">
        <w:rPr>
          <w:highlight w:val="yellow"/>
        </w:rPr>
        <w:fldChar w:fldCharType="begin" w:fldLock="1"/>
      </w:r>
      <w:r w:rsidR="009D32B1">
        <w:instrText xml:space="preserve"> REF _Ref94856337 \h </w:instrText>
      </w:r>
      <w:r w:rsidR="009D32B1">
        <w:rPr>
          <w:highlight w:val="yellow"/>
        </w:rPr>
      </w:r>
      <w:r w:rsidR="009D32B1">
        <w:rPr>
          <w:highlight w:val="yellow"/>
        </w:rPr>
        <w:fldChar w:fldCharType="separate"/>
      </w:r>
      <w:r w:rsidR="000C245D">
        <w:t xml:space="preserve">Figure </w:t>
      </w:r>
      <w:r w:rsidR="000C245D">
        <w:rPr>
          <w:noProof/>
        </w:rPr>
        <w:t>70</w:t>
      </w:r>
      <w:r w:rsidR="009D32B1">
        <w:rPr>
          <w:highlight w:val="yellow"/>
        </w:rPr>
        <w:fldChar w:fldCharType="end"/>
      </w:r>
      <w:r w:rsidR="00FA4932">
        <w:t xml:space="preserve"> below.</w:t>
      </w:r>
      <w:r w:rsidR="00427EF7">
        <w:t xml:space="preserve"> </w:t>
      </w:r>
    </w:p>
    <w:p w14:paraId="3B15B565" w14:textId="7F9A2148" w:rsidR="000152BC" w:rsidRDefault="00427EF7" w:rsidP="00BC225F">
      <w:pPr>
        <w:pStyle w:val="BodyText"/>
      </w:pPr>
      <w:r>
        <w:t xml:space="preserve">Episodes </w:t>
      </w:r>
      <w:r w:rsidR="000722CD">
        <w:t xml:space="preserve">that had an initial </w:t>
      </w:r>
      <w:r w:rsidR="00157128">
        <w:t xml:space="preserve">primary issue </w:t>
      </w:r>
      <w:r w:rsidR="000722CD">
        <w:t>other than</w:t>
      </w:r>
      <w:r w:rsidR="00157128">
        <w:t xml:space="preserve"> mental health or situational </w:t>
      </w:r>
      <w:r w:rsidR="000722CD">
        <w:t>are dropped to form the ‘Episodes with only MH/situational primary issues</w:t>
      </w:r>
      <w:r w:rsidR="00E72F27">
        <w:t>’ dataset</w:t>
      </w:r>
      <w:r w:rsidR="001D0CFA">
        <w:t xml:space="preserve"> in </w:t>
      </w:r>
      <w:r w:rsidR="00D827BE">
        <w:rPr>
          <w:highlight w:val="yellow"/>
        </w:rPr>
        <w:fldChar w:fldCharType="begin" w:fldLock="1"/>
      </w:r>
      <w:r w:rsidR="00D827BE">
        <w:instrText xml:space="preserve"> REF _Ref94856337 \h </w:instrText>
      </w:r>
      <w:r w:rsidR="00D827BE">
        <w:rPr>
          <w:highlight w:val="yellow"/>
        </w:rPr>
      </w:r>
      <w:r w:rsidR="00D827BE">
        <w:rPr>
          <w:highlight w:val="yellow"/>
        </w:rPr>
        <w:fldChar w:fldCharType="separate"/>
      </w:r>
      <w:r w:rsidR="000C245D">
        <w:t xml:space="preserve">Figure </w:t>
      </w:r>
      <w:r w:rsidR="000C245D">
        <w:rPr>
          <w:noProof/>
        </w:rPr>
        <w:t>70</w:t>
      </w:r>
      <w:r w:rsidR="00D827BE">
        <w:rPr>
          <w:highlight w:val="yellow"/>
        </w:rPr>
        <w:fldChar w:fldCharType="end"/>
      </w:r>
      <w:r w:rsidR="001D0CFA">
        <w:t>.</w:t>
      </w:r>
    </w:p>
    <w:p w14:paraId="14ECC1E9" w14:textId="042DA476" w:rsidR="00101901" w:rsidRDefault="00D0364C" w:rsidP="00BC225F">
      <w:pPr>
        <w:pStyle w:val="BodyText"/>
      </w:pPr>
      <w:r>
        <w:t xml:space="preserve">Last, episodes with only one OOS are dropped to create the ‘Effectiveness analysis’ dataset labelled below in </w:t>
      </w:r>
      <w:r>
        <w:rPr>
          <w:highlight w:val="yellow"/>
        </w:rPr>
        <w:fldChar w:fldCharType="begin" w:fldLock="1"/>
      </w:r>
      <w:r>
        <w:instrText xml:space="preserve"> REF _Ref94856337 \h </w:instrText>
      </w:r>
      <w:r>
        <w:rPr>
          <w:highlight w:val="yellow"/>
        </w:rPr>
      </w:r>
      <w:r>
        <w:rPr>
          <w:highlight w:val="yellow"/>
        </w:rPr>
        <w:fldChar w:fldCharType="separate"/>
      </w:r>
      <w:r w:rsidR="00E47883">
        <w:t xml:space="preserve">Figure </w:t>
      </w:r>
      <w:r w:rsidR="00E47883">
        <w:rPr>
          <w:noProof/>
        </w:rPr>
        <w:t>70</w:t>
      </w:r>
      <w:r>
        <w:rPr>
          <w:highlight w:val="yellow"/>
        </w:rPr>
        <w:fldChar w:fldCharType="end"/>
      </w:r>
      <w:r>
        <w:t xml:space="preserve"> and the data used within Section </w:t>
      </w:r>
      <w:r>
        <w:rPr>
          <w:highlight w:val="yellow"/>
        </w:rPr>
        <w:fldChar w:fldCharType="begin" w:fldLock="1"/>
      </w:r>
      <w:r>
        <w:instrText xml:space="preserve"> REF _Ref98494673 \w \h </w:instrText>
      </w:r>
      <w:r>
        <w:rPr>
          <w:highlight w:val="yellow"/>
        </w:rPr>
      </w:r>
      <w:r>
        <w:rPr>
          <w:highlight w:val="yellow"/>
        </w:rPr>
        <w:fldChar w:fldCharType="separate"/>
      </w:r>
      <w:r w:rsidR="00E47883">
        <w:t>3.2.4</w:t>
      </w:r>
      <w:r>
        <w:rPr>
          <w:highlight w:val="yellow"/>
        </w:rPr>
        <w:fldChar w:fldCharType="end"/>
      </w:r>
      <w:r>
        <w:t xml:space="preserve">. </w:t>
      </w:r>
      <w:r w:rsidR="001037B7">
        <w:t xml:space="preserve">Last, </w:t>
      </w:r>
      <w:r w:rsidR="00333B8A">
        <w:t xml:space="preserve">episodes with only one </w:t>
      </w:r>
      <w:r w:rsidR="007B2863">
        <w:t>OOS</w:t>
      </w:r>
      <w:r w:rsidR="00333B8A">
        <w:t xml:space="preserve"> </w:t>
      </w:r>
      <w:r w:rsidR="00807713">
        <w:t>were</w:t>
      </w:r>
      <w:r w:rsidR="002E154C">
        <w:t xml:space="preserve"> dropped </w:t>
      </w:r>
      <w:r w:rsidR="00333B8A">
        <w:t>to create</w:t>
      </w:r>
      <w:r w:rsidR="001037B7">
        <w:t xml:space="preserve"> the </w:t>
      </w:r>
      <w:r w:rsidR="00C64AE7">
        <w:t>‘E</w:t>
      </w:r>
      <w:r w:rsidR="00C85260">
        <w:t xml:space="preserve">ffectiveness </w:t>
      </w:r>
      <w:r w:rsidR="001037B7">
        <w:t>analysis</w:t>
      </w:r>
      <w:r w:rsidR="00C64AE7">
        <w:t>’</w:t>
      </w:r>
      <w:r w:rsidR="001037B7">
        <w:t xml:space="preserve"> dataset </w:t>
      </w:r>
      <w:r w:rsidR="00C64AE7">
        <w:t>labelled below in</w:t>
      </w:r>
      <w:r w:rsidR="001037B7">
        <w:t xml:space="preserve"> </w:t>
      </w:r>
      <w:r w:rsidR="009D32B1">
        <w:rPr>
          <w:highlight w:val="yellow"/>
        </w:rPr>
        <w:fldChar w:fldCharType="begin" w:fldLock="1"/>
      </w:r>
      <w:r w:rsidR="009D32B1">
        <w:instrText xml:space="preserve"> REF _Ref94856337 \h </w:instrText>
      </w:r>
      <w:r w:rsidR="009D32B1">
        <w:rPr>
          <w:highlight w:val="yellow"/>
        </w:rPr>
      </w:r>
      <w:r w:rsidR="009D32B1">
        <w:rPr>
          <w:highlight w:val="yellow"/>
        </w:rPr>
        <w:fldChar w:fldCharType="separate"/>
      </w:r>
      <w:r w:rsidR="000C245D">
        <w:t xml:space="preserve">Figure </w:t>
      </w:r>
      <w:r w:rsidR="000C245D">
        <w:rPr>
          <w:noProof/>
        </w:rPr>
        <w:t>70</w:t>
      </w:r>
      <w:r w:rsidR="009D32B1">
        <w:rPr>
          <w:highlight w:val="yellow"/>
        </w:rPr>
        <w:fldChar w:fldCharType="end"/>
      </w:r>
      <w:r w:rsidR="00C64AE7">
        <w:t xml:space="preserve"> and the data</w:t>
      </w:r>
      <w:r w:rsidR="001037B7">
        <w:t xml:space="preserve"> used within Section </w:t>
      </w:r>
      <w:r w:rsidR="000E5D24">
        <w:rPr>
          <w:highlight w:val="yellow"/>
        </w:rPr>
        <w:fldChar w:fldCharType="begin" w:fldLock="1"/>
      </w:r>
      <w:r w:rsidR="000E5D24">
        <w:instrText xml:space="preserve"> REF _Ref98494673 \w \h </w:instrText>
      </w:r>
      <w:r w:rsidR="000E5D24">
        <w:rPr>
          <w:highlight w:val="yellow"/>
        </w:rPr>
      </w:r>
      <w:r w:rsidR="000E5D24">
        <w:rPr>
          <w:highlight w:val="yellow"/>
        </w:rPr>
        <w:fldChar w:fldCharType="separate"/>
      </w:r>
      <w:r w:rsidR="00E47883">
        <w:t>3.2.4</w:t>
      </w:r>
      <w:r w:rsidR="000E5D24">
        <w:rPr>
          <w:highlight w:val="yellow"/>
        </w:rPr>
        <w:fldChar w:fldCharType="end"/>
      </w:r>
      <w:r w:rsidR="0071124C">
        <w:t>.</w:t>
      </w:r>
      <w:r w:rsidR="00ED5C90">
        <w:t xml:space="preserve"> Further, </w:t>
      </w:r>
      <w:r w:rsidR="00795D01">
        <w:t xml:space="preserve">additional episodes are dropped if they have missing </w:t>
      </w:r>
      <w:r w:rsidR="00C85260">
        <w:t xml:space="preserve">initial and final </w:t>
      </w:r>
      <w:r w:rsidR="00795D01">
        <w:t xml:space="preserve">K10, SOFAS and MLT </w:t>
      </w:r>
      <w:r w:rsidR="00120327">
        <w:t>outcome measures</w:t>
      </w:r>
      <w:r w:rsidR="00C85260">
        <w:t xml:space="preserve"> </w:t>
      </w:r>
      <w:r w:rsidR="00795D01">
        <w:t>for their respective analysis</w:t>
      </w:r>
      <w:r w:rsidR="0071124C">
        <w:t>.</w:t>
      </w:r>
      <w:r w:rsidR="00215A3A">
        <w:t xml:space="preserve"> These split off into ‘K10 analysis’, ‘SOFAS analysis’ and ‘MLT analysis’ datasets, respectively, in </w:t>
      </w:r>
      <w:r w:rsidR="009D32B1">
        <w:rPr>
          <w:highlight w:val="yellow"/>
        </w:rPr>
        <w:fldChar w:fldCharType="begin" w:fldLock="1"/>
      </w:r>
      <w:r w:rsidR="009D32B1">
        <w:instrText xml:space="preserve"> REF _Ref94856337 \h </w:instrText>
      </w:r>
      <w:r w:rsidR="009D32B1">
        <w:rPr>
          <w:highlight w:val="yellow"/>
        </w:rPr>
      </w:r>
      <w:r w:rsidR="009D32B1">
        <w:rPr>
          <w:highlight w:val="yellow"/>
        </w:rPr>
        <w:fldChar w:fldCharType="separate"/>
      </w:r>
      <w:r w:rsidR="000C245D">
        <w:t xml:space="preserve">Figure </w:t>
      </w:r>
      <w:r w:rsidR="000C245D">
        <w:rPr>
          <w:noProof/>
        </w:rPr>
        <w:t>70</w:t>
      </w:r>
      <w:r w:rsidR="009D32B1">
        <w:rPr>
          <w:highlight w:val="yellow"/>
        </w:rPr>
        <w:fldChar w:fldCharType="end"/>
      </w:r>
      <w:r w:rsidR="009D32B1">
        <w:t>.</w:t>
      </w:r>
    </w:p>
    <w:p w14:paraId="70F45544" w14:textId="2DE6C28E" w:rsidR="00D47FB2" w:rsidRPr="00D47FB2" w:rsidRDefault="00BF1887" w:rsidP="00BC225F">
      <w:pPr>
        <w:pStyle w:val="BodyText"/>
      </w:pPr>
      <w:r>
        <w:fldChar w:fldCharType="begin" w:fldLock="1"/>
      </w:r>
      <w:r>
        <w:instrText xml:space="preserve"> REF Exclusioncriteria2 \h </w:instrText>
      </w:r>
      <w:r>
        <w:fldChar w:fldCharType="end"/>
      </w:r>
    </w:p>
    <w:p w14:paraId="6E1B8783" w14:textId="09B58001" w:rsidR="00284AD2" w:rsidRDefault="001352E8" w:rsidP="00284AD2">
      <w:pPr>
        <w:pStyle w:val="Caption"/>
      </w:pPr>
      <w:bookmarkStart w:id="388" w:name="_Ref92899768"/>
      <w:bookmarkStart w:id="389" w:name="_Ref94856337"/>
      <w:bookmarkStart w:id="390" w:name="_Toc108109255"/>
      <w:r>
        <w:t xml:space="preserve">Figure </w:t>
      </w:r>
      <w:bookmarkEnd w:id="387"/>
      <w:bookmarkEnd w:id="388"/>
      <w:r w:rsidR="00A8008D">
        <w:fldChar w:fldCharType="begin"/>
      </w:r>
      <w:r w:rsidR="00A8008D">
        <w:instrText xml:space="preserve"> SEQ Figure \* ARABIC </w:instrText>
      </w:r>
      <w:r w:rsidR="00A8008D">
        <w:fldChar w:fldCharType="separate"/>
      </w:r>
      <w:r w:rsidR="00CC0438">
        <w:rPr>
          <w:noProof/>
        </w:rPr>
        <w:t>70</w:t>
      </w:r>
      <w:r w:rsidR="00A8008D">
        <w:fldChar w:fldCharType="end"/>
      </w:r>
      <w:bookmarkEnd w:id="389"/>
      <w:r>
        <w:t>: Exclusion pathways</w:t>
      </w:r>
      <w:bookmarkEnd w:id="390"/>
    </w:p>
    <w:p w14:paraId="3D735416" w14:textId="167A54FF" w:rsidR="00284AD2" w:rsidRPr="00284AD2" w:rsidRDefault="00284AD2" w:rsidP="00284AD2">
      <w:r>
        <w:rPr>
          <w:noProof/>
        </w:rPr>
        <w:drawing>
          <wp:inline distT="0" distB="0" distL="0" distR="0" wp14:anchorId="5DCE9680" wp14:editId="52B5A36C">
            <wp:extent cx="5879761" cy="7515225"/>
            <wp:effectExtent l="0" t="0" r="6985" b="0"/>
            <wp:docPr id="1025" name="Picture 1025" descr="Figure 70 shows how hMDS data was prepared for outcomes analysis, and which episodes of care were excluded from analysis for specific reasons. The master dataset contained 403,497 occasions of service. Episodes of care that were still open at the time data was extracted were excluded. Occasions of service with main services provided missing were excluded. Occasions of service without a mental health or situational primary issue were excluded. Episodes of care with less than two occasions of service were excluded. Occasions of service with missing outcome measures were excluded from analysis of the relevant outcome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descr="Figure 70 shows how hMDS data was prepared for outcomes analysis, and which episodes of care were excluded from analysis for specific reasons. The master dataset contained 403,497 occasions of service. Episodes of care that were still open at the time data was extracted were excluded. Occasions of service with main services provided missing were excluded. Occasions of service without a mental health or situational primary issue were excluded. Episodes of care with less than two occasions of service were excluded. Occasions of service with missing outcome measures were excluded from analysis of the relevant outcome measure."/>
                    <pic:cNvPicPr>
                      <a:picLocks noChangeAspect="1" noChangeArrowheads="1"/>
                    </pic:cNvPicPr>
                  </pic:nvPicPr>
                  <pic:blipFill rotWithShape="1">
                    <a:blip r:embed="rId89">
                      <a:extLst>
                        <a:ext uri="{28A0092B-C50C-407E-A947-70E740481C1C}">
                          <a14:useLocalDpi xmlns:a14="http://schemas.microsoft.com/office/drawing/2010/main" val="0"/>
                        </a:ext>
                      </a:extLst>
                    </a:blip>
                    <a:srcRect l="-249"/>
                    <a:stretch/>
                  </pic:blipFill>
                  <pic:spPr bwMode="auto">
                    <a:xfrm>
                      <a:off x="0" y="0"/>
                      <a:ext cx="5921209" cy="7568202"/>
                    </a:xfrm>
                    <a:prstGeom prst="rect">
                      <a:avLst/>
                    </a:prstGeom>
                    <a:noFill/>
                    <a:ln>
                      <a:noFill/>
                    </a:ln>
                    <a:extLst>
                      <a:ext uri="{53640926-AAD7-44D8-BBD7-CCE9431645EC}">
                        <a14:shadowObscured xmlns:a14="http://schemas.microsoft.com/office/drawing/2010/main"/>
                      </a:ext>
                    </a:extLst>
                  </pic:spPr>
                </pic:pic>
              </a:graphicData>
            </a:graphic>
          </wp:inline>
        </w:drawing>
      </w:r>
    </w:p>
    <w:p w14:paraId="12B50700" w14:textId="3F29F79C" w:rsidR="00075369" w:rsidRDefault="00075369" w:rsidP="00B102C0">
      <w:pPr>
        <w:pStyle w:val="Source"/>
      </w:pPr>
      <w:r w:rsidRPr="00055013">
        <w:t>Source: KPMG</w:t>
      </w:r>
      <w:r>
        <w:t xml:space="preserve"> 2022</w:t>
      </w:r>
    </w:p>
    <w:p w14:paraId="36ECCB3B" w14:textId="121C4E7E" w:rsidR="00D31FA4" w:rsidRDefault="00D31FA4" w:rsidP="009A196D">
      <w:pPr>
        <w:pStyle w:val="BodyText2"/>
      </w:pPr>
      <w:r>
        <w:br w:type="page"/>
      </w:r>
    </w:p>
    <w:p w14:paraId="28EB35B2" w14:textId="152F7C7B" w:rsidR="00394AE3" w:rsidRDefault="0079505C" w:rsidP="00514C63">
      <w:pPr>
        <w:pStyle w:val="AppendixHeading3"/>
      </w:pPr>
      <w:r>
        <w:t>To what extent</w:t>
      </w:r>
      <w:r w:rsidR="00394AE3">
        <w:t xml:space="preserve"> </w:t>
      </w:r>
      <w:r w:rsidR="000535B5">
        <w:t>are outcomes sustained over time?</w:t>
      </w:r>
    </w:p>
    <w:p w14:paraId="174B96DA" w14:textId="703B2C9B" w:rsidR="000E3D5A" w:rsidRDefault="00CC3F75" w:rsidP="00BC225F">
      <w:pPr>
        <w:pStyle w:val="BodyText"/>
      </w:pPr>
      <w:bookmarkStart w:id="391" w:name="_Ref94881411"/>
      <w:r>
        <w:t>headspace sends a follow</w:t>
      </w:r>
      <w:r w:rsidR="00156585">
        <w:t xml:space="preserve"> </w:t>
      </w:r>
      <w:r>
        <w:t>up survey three months after an episode of care ended</w:t>
      </w:r>
      <w:r w:rsidR="00F900F5">
        <w:t xml:space="preserve"> to track outcomes over time</w:t>
      </w:r>
      <w:r w:rsidR="004B77A4">
        <w:t>.</w:t>
      </w:r>
      <w:r w:rsidR="00A33A5D">
        <w:t xml:space="preserve"> </w:t>
      </w:r>
      <w:r w:rsidR="00375C6E">
        <w:t>Appendix</w:t>
      </w:r>
      <w:r w:rsidR="00A33A5D">
        <w:t xml:space="preserve"> </w:t>
      </w:r>
      <w:r w:rsidR="006626DB">
        <w:fldChar w:fldCharType="begin" w:fldLock="1"/>
      </w:r>
      <w:r w:rsidR="006626DB">
        <w:instrText xml:space="preserve"> REF _Ref98010063 \r \h </w:instrText>
      </w:r>
      <w:r w:rsidR="006626DB">
        <w:fldChar w:fldCharType="separate"/>
      </w:r>
      <w:r w:rsidR="00AE4D34">
        <w:t>E.7</w:t>
      </w:r>
      <w:r w:rsidR="006626DB">
        <w:fldChar w:fldCharType="end"/>
      </w:r>
      <w:r w:rsidR="00F900F5">
        <w:t xml:space="preserve"> uses data from </w:t>
      </w:r>
      <w:r w:rsidR="00DC0FDF">
        <w:t>this</w:t>
      </w:r>
      <w:r w:rsidR="00F900F5">
        <w:t xml:space="preserve"> survey</w:t>
      </w:r>
      <w:r w:rsidR="00DC0FDF">
        <w:t xml:space="preserve"> to study the sustained impacts of headspace treatment</w:t>
      </w:r>
      <w:r w:rsidR="00F900F5">
        <w:t xml:space="preserve">. </w:t>
      </w:r>
      <w:r w:rsidR="00BE7C63">
        <w:t xml:space="preserve">Due to the low </w:t>
      </w:r>
      <w:r w:rsidR="00994933">
        <w:t>response rate</w:t>
      </w:r>
      <w:r w:rsidR="00231A92">
        <w:t xml:space="preserve">, </w:t>
      </w:r>
      <w:r w:rsidR="00561998">
        <w:t xml:space="preserve">the analysis in this section uses all data </w:t>
      </w:r>
      <w:r w:rsidR="00BF7AAC">
        <w:t>from the follow</w:t>
      </w:r>
      <w:r w:rsidR="00156585">
        <w:t xml:space="preserve"> </w:t>
      </w:r>
      <w:r w:rsidR="00E52F7C">
        <w:t>up survey</w:t>
      </w:r>
      <w:r w:rsidR="004742DC">
        <w:t>s</w:t>
      </w:r>
      <w:r w:rsidR="00E52F7C">
        <w:t xml:space="preserve"> </w:t>
      </w:r>
      <w:r w:rsidR="00561998">
        <w:t>during 2015</w:t>
      </w:r>
      <w:r w:rsidR="00AB5CD8">
        <w:t>-16 to 2019-</w:t>
      </w:r>
      <w:r w:rsidR="00561998">
        <w:t>2020</w:t>
      </w:r>
      <w:r w:rsidR="0030704F">
        <w:t>.</w:t>
      </w:r>
      <w:r w:rsidR="005D1A1B">
        <w:t xml:space="preserve"> </w:t>
      </w:r>
      <w:r w:rsidR="008665DC">
        <w:fldChar w:fldCharType="begin" w:fldLock="1"/>
      </w:r>
      <w:r w:rsidR="008665DC">
        <w:instrText xml:space="preserve"> REF _Ref94881436 \h </w:instrText>
      </w:r>
      <w:r w:rsidR="008665DC">
        <w:fldChar w:fldCharType="separate"/>
      </w:r>
      <w:r w:rsidR="000C245D">
        <w:t xml:space="preserve">Figure </w:t>
      </w:r>
      <w:r w:rsidR="000C245D">
        <w:rPr>
          <w:noProof/>
        </w:rPr>
        <w:t>71</w:t>
      </w:r>
      <w:r w:rsidR="008665DC">
        <w:fldChar w:fldCharType="end"/>
      </w:r>
      <w:r w:rsidR="009D7D2C">
        <w:t xml:space="preserve"> shows the inclusion criteria </w:t>
      </w:r>
      <w:r w:rsidR="00757B3A">
        <w:t xml:space="preserve">for the </w:t>
      </w:r>
      <w:r w:rsidR="00411578">
        <w:t>sample in this section</w:t>
      </w:r>
      <w:r w:rsidR="003C04EB">
        <w:t>.</w:t>
      </w:r>
    </w:p>
    <w:p w14:paraId="4C000884" w14:textId="455F251D" w:rsidR="006328BD" w:rsidRDefault="000E3D5A" w:rsidP="000E3D5A">
      <w:pPr>
        <w:pStyle w:val="Caption"/>
      </w:pPr>
      <w:bookmarkStart w:id="392" w:name="_Ref94702111"/>
      <w:bookmarkStart w:id="393" w:name="_Ref94023706"/>
      <w:bookmarkStart w:id="394" w:name="_Ref94881436"/>
      <w:bookmarkStart w:id="395" w:name="_Toc108109256"/>
      <w:r>
        <w:t>Figure</w:t>
      </w:r>
      <w:bookmarkEnd w:id="392"/>
      <w:r>
        <w:t xml:space="preserve"> </w:t>
      </w:r>
      <w:bookmarkEnd w:id="393"/>
      <w:r w:rsidR="00A8008D">
        <w:fldChar w:fldCharType="begin"/>
      </w:r>
      <w:r w:rsidR="00A8008D">
        <w:instrText xml:space="preserve"> SEQ Figure \* ARABIC </w:instrText>
      </w:r>
      <w:r w:rsidR="00A8008D">
        <w:fldChar w:fldCharType="separate"/>
      </w:r>
      <w:r w:rsidR="00CC0438">
        <w:rPr>
          <w:noProof/>
        </w:rPr>
        <w:t>71</w:t>
      </w:r>
      <w:r w:rsidR="00A8008D">
        <w:fldChar w:fldCharType="end"/>
      </w:r>
      <w:bookmarkEnd w:id="391"/>
      <w:bookmarkEnd w:id="394"/>
      <w:r>
        <w:t>: Exclusion criteria for sustained outcome analysis</w:t>
      </w:r>
      <w:bookmarkEnd w:id="395"/>
    </w:p>
    <w:p w14:paraId="312F074A" w14:textId="634D7F19" w:rsidR="00DC607B" w:rsidRDefault="00FE5557" w:rsidP="001268EC">
      <w:pPr>
        <w:pStyle w:val="Source"/>
      </w:pPr>
      <w:r>
        <w:rPr>
          <w:noProof/>
        </w:rPr>
        <w:drawing>
          <wp:inline distT="0" distB="0" distL="0" distR="0" wp14:anchorId="100373A6" wp14:editId="0D31F85D">
            <wp:extent cx="5638800" cy="2668547"/>
            <wp:effectExtent l="0" t="0" r="0" b="0"/>
            <wp:docPr id="1034" name="Picture 1034" descr="Figure 71 shows the exclusion criteria for sustained outcomes analysis.&#10;The Follow up survey included 16,776 episodes of care. Episodes where main service provided data was missing, leaving 13,839 episodes of care fo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Figure 71 shows the exclusion criteria for sustained outcomes analysis.&#10;The Follow up survey included 16,776 episodes of care. Episodes where main service provided data was missing, leaving 13,839 episodes of care for analysi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9493" cy="2697270"/>
                    </a:xfrm>
                    <a:prstGeom prst="rect">
                      <a:avLst/>
                    </a:prstGeom>
                    <a:noFill/>
                  </pic:spPr>
                </pic:pic>
              </a:graphicData>
            </a:graphic>
          </wp:inline>
        </w:drawing>
      </w:r>
    </w:p>
    <w:p w14:paraId="642AD6FE" w14:textId="5E45A746" w:rsidR="00075369" w:rsidRDefault="00075369" w:rsidP="001268EC">
      <w:pPr>
        <w:pStyle w:val="Source"/>
      </w:pPr>
      <w:r w:rsidRPr="00055013">
        <w:t>Source: KPMG</w:t>
      </w:r>
      <w:r>
        <w:t xml:space="preserve"> 2022</w:t>
      </w:r>
    </w:p>
    <w:p w14:paraId="56D8662F" w14:textId="540837C3" w:rsidR="00CB3FAB" w:rsidRDefault="00411578" w:rsidP="00CB3FAB">
      <w:pPr>
        <w:pStyle w:val="BodyText"/>
      </w:pPr>
      <w:r>
        <w:fldChar w:fldCharType="begin" w:fldLock="1"/>
      </w:r>
      <w:r>
        <w:instrText xml:space="preserve"> REF _Ref94023795 \h </w:instrText>
      </w:r>
      <w:r>
        <w:fldChar w:fldCharType="separate"/>
      </w:r>
      <w:r w:rsidR="00383E5A">
        <w:t xml:space="preserve">Table </w:t>
      </w:r>
      <w:r w:rsidR="00383E5A">
        <w:rPr>
          <w:noProof/>
        </w:rPr>
        <w:t>80</w:t>
      </w:r>
      <w:r>
        <w:fldChar w:fldCharType="end"/>
      </w:r>
      <w:r>
        <w:t xml:space="preserve"> shows the response rate of follow</w:t>
      </w:r>
      <w:r w:rsidR="00F01FA5">
        <w:t xml:space="preserve"> </w:t>
      </w:r>
      <w:r>
        <w:t xml:space="preserve">up survey </w:t>
      </w:r>
      <w:r w:rsidR="00686F10">
        <w:t xml:space="preserve">from </w:t>
      </w:r>
      <w:r>
        <w:t>2015</w:t>
      </w:r>
      <w:r w:rsidR="008665DC">
        <w:t>-</w:t>
      </w:r>
      <w:r w:rsidR="00686F10">
        <w:t>16 to 2019</w:t>
      </w:r>
      <w:r w:rsidR="008665DC">
        <w:t>-</w:t>
      </w:r>
      <w:r>
        <w:t>20</w:t>
      </w:r>
      <w:r w:rsidR="008665DC">
        <w:t>.</w:t>
      </w:r>
    </w:p>
    <w:p w14:paraId="2478B605" w14:textId="18D1E62B" w:rsidR="00411578" w:rsidRDefault="00411578" w:rsidP="004840A5">
      <w:pPr>
        <w:pStyle w:val="Caption"/>
      </w:pPr>
      <w:bookmarkStart w:id="396" w:name="_Ref94023795"/>
      <w:bookmarkStart w:id="397" w:name="_Ref98491280"/>
      <w:bookmarkStart w:id="398" w:name="_Toc108109030"/>
      <w:r>
        <w:t xml:space="preserve">Table </w:t>
      </w:r>
      <w:r>
        <w:fldChar w:fldCharType="begin"/>
      </w:r>
      <w:r>
        <w:instrText>SEQ Table \* ARABIC</w:instrText>
      </w:r>
      <w:r>
        <w:fldChar w:fldCharType="separate"/>
      </w:r>
      <w:r w:rsidR="00CC0438">
        <w:rPr>
          <w:noProof/>
        </w:rPr>
        <w:t>80</w:t>
      </w:r>
      <w:r>
        <w:fldChar w:fldCharType="end"/>
      </w:r>
      <w:bookmarkEnd w:id="396"/>
      <w:r>
        <w:t>: Follow</w:t>
      </w:r>
      <w:r w:rsidR="00F01FA5">
        <w:t xml:space="preserve"> </w:t>
      </w:r>
      <w:r>
        <w:t xml:space="preserve">up survey responses </w:t>
      </w:r>
      <w:r w:rsidR="0091553B">
        <w:t xml:space="preserve">from </w:t>
      </w:r>
      <w:r>
        <w:t>2015</w:t>
      </w:r>
      <w:r w:rsidR="00C12B40">
        <w:t>-</w:t>
      </w:r>
      <w:r w:rsidR="0091553B">
        <w:t>16 to 2019-</w:t>
      </w:r>
      <w:r>
        <w:t>20</w:t>
      </w:r>
      <w:r w:rsidR="0091553B">
        <w:t>.</w:t>
      </w:r>
      <w:bookmarkEnd w:id="397"/>
      <w:bookmarkEnd w:id="39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llow up survey responses from 2015-16 to 2019-20"/>
        <w:tblDescription w:val="Table has 4 columns and shows the number of follow-up survey responses received by year. Column 1 lists the relevant financial year. Column 2 lists the number of follow-up surveys received. Column 3 lists the number of closed episodes of care for the year. Column 4 lists the corresponding response rate as a percentage.&#10;"/>
      </w:tblPr>
      <w:tblGrid>
        <w:gridCol w:w="1008"/>
        <w:gridCol w:w="2688"/>
        <w:gridCol w:w="2687"/>
        <w:gridCol w:w="2687"/>
      </w:tblGrid>
      <w:tr w:rsidR="00807762" w:rsidRPr="00D65A2D" w14:paraId="7DFE66E7" w14:textId="5C5A0027" w:rsidTr="004840A5">
        <w:trPr>
          <w:trHeight w:val="403"/>
        </w:trPr>
        <w:tc>
          <w:tcPr>
            <w:tcW w:w="556" w:type="pct"/>
            <w:tcBorders>
              <w:bottom w:val="single" w:sz="4" w:space="0" w:color="00338D"/>
            </w:tcBorders>
            <w:shd w:val="clear" w:color="auto" w:fill="00338D"/>
          </w:tcPr>
          <w:p w14:paraId="49EC6C6F" w14:textId="63B25E5B" w:rsidR="00807762" w:rsidRDefault="00D77F80" w:rsidP="005D72CB">
            <w:pPr>
              <w:pStyle w:val="Tableheading"/>
            </w:pPr>
            <w:r>
              <w:t>Financial year</w:t>
            </w:r>
          </w:p>
        </w:tc>
        <w:tc>
          <w:tcPr>
            <w:tcW w:w="1482" w:type="pct"/>
            <w:tcBorders>
              <w:bottom w:val="single" w:sz="4" w:space="0" w:color="00338D"/>
            </w:tcBorders>
            <w:shd w:val="clear" w:color="auto" w:fill="00338D"/>
          </w:tcPr>
          <w:p w14:paraId="0E08ADC0" w14:textId="1CC6D8BA" w:rsidR="00807762" w:rsidRDefault="00807762" w:rsidP="004840A5">
            <w:pPr>
              <w:pStyle w:val="Tableheading"/>
              <w:ind w:left="-2004" w:firstLine="2004"/>
              <w:jc w:val="right"/>
            </w:pPr>
            <w:r>
              <w:t>Number of follow</w:t>
            </w:r>
            <w:r w:rsidR="00F01FA5">
              <w:t xml:space="preserve"> </w:t>
            </w:r>
            <w:r>
              <w:t>up response</w:t>
            </w:r>
          </w:p>
        </w:tc>
        <w:tc>
          <w:tcPr>
            <w:tcW w:w="1481" w:type="pct"/>
            <w:tcBorders>
              <w:bottom w:val="single" w:sz="4" w:space="0" w:color="00338D"/>
            </w:tcBorders>
            <w:shd w:val="clear" w:color="auto" w:fill="00338D"/>
          </w:tcPr>
          <w:p w14:paraId="1102D6BD" w14:textId="0162BF9A" w:rsidR="00807762" w:rsidRDefault="00807762" w:rsidP="005D72CB">
            <w:pPr>
              <w:pStyle w:val="Tableheading"/>
              <w:jc w:val="right"/>
            </w:pPr>
            <w:r>
              <w:t>Number of closed episodes</w:t>
            </w:r>
          </w:p>
        </w:tc>
        <w:tc>
          <w:tcPr>
            <w:tcW w:w="1481" w:type="pct"/>
            <w:tcBorders>
              <w:bottom w:val="single" w:sz="4" w:space="0" w:color="00338D"/>
            </w:tcBorders>
            <w:shd w:val="clear" w:color="auto" w:fill="00338D"/>
          </w:tcPr>
          <w:p w14:paraId="03C4AD24" w14:textId="2F86F27C" w:rsidR="00807762" w:rsidRDefault="00DB2E5E" w:rsidP="005D72CB">
            <w:pPr>
              <w:pStyle w:val="Tableheading"/>
              <w:jc w:val="right"/>
            </w:pPr>
            <w:r>
              <w:t>Response rate</w:t>
            </w:r>
          </w:p>
        </w:tc>
      </w:tr>
      <w:tr w:rsidR="00DB2E5E" w14:paraId="087C5E71" w14:textId="0D5BE876" w:rsidTr="004840A5">
        <w:trPr>
          <w:trHeight w:val="364"/>
        </w:trPr>
        <w:tc>
          <w:tcPr>
            <w:tcW w:w="556" w:type="pct"/>
            <w:tcBorders>
              <w:top w:val="single" w:sz="4" w:space="0" w:color="00338D"/>
              <w:bottom w:val="single" w:sz="2" w:space="0" w:color="808080" w:themeColor="background1" w:themeShade="80"/>
            </w:tcBorders>
          </w:tcPr>
          <w:p w14:paraId="23BEA90D" w14:textId="1162F45A" w:rsidR="00DB2E5E" w:rsidRPr="00E9488D" w:rsidRDefault="00AA5421" w:rsidP="00DB2E5E">
            <w:pPr>
              <w:pStyle w:val="Tabletext"/>
            </w:pPr>
            <w:r>
              <w:t>2015-</w:t>
            </w:r>
            <w:r w:rsidR="00DB2E5E" w:rsidRPr="00494277">
              <w:t>16</w:t>
            </w:r>
          </w:p>
        </w:tc>
        <w:tc>
          <w:tcPr>
            <w:tcW w:w="1482" w:type="pct"/>
            <w:tcBorders>
              <w:top w:val="single" w:sz="4" w:space="0" w:color="00338D"/>
              <w:bottom w:val="single" w:sz="2" w:space="0" w:color="808080" w:themeColor="background1" w:themeShade="80"/>
            </w:tcBorders>
          </w:tcPr>
          <w:p w14:paraId="64681862" w14:textId="708177E0" w:rsidR="00DB2E5E" w:rsidRDefault="00DB2E5E" w:rsidP="00DB2E5E">
            <w:pPr>
              <w:pStyle w:val="Tabletext"/>
              <w:jc w:val="right"/>
            </w:pPr>
            <w:r w:rsidRPr="00667660">
              <w:t xml:space="preserve"> 3,026 </w:t>
            </w:r>
          </w:p>
        </w:tc>
        <w:tc>
          <w:tcPr>
            <w:tcW w:w="1481" w:type="pct"/>
            <w:tcBorders>
              <w:top w:val="single" w:sz="4" w:space="0" w:color="00338D"/>
              <w:bottom w:val="single" w:sz="2" w:space="0" w:color="808080" w:themeColor="background1" w:themeShade="80"/>
            </w:tcBorders>
          </w:tcPr>
          <w:p w14:paraId="5F85FF07" w14:textId="1421490A" w:rsidR="00DB2E5E" w:rsidRPr="00494277" w:rsidRDefault="00DB2E5E" w:rsidP="00DB2E5E">
            <w:pPr>
              <w:pStyle w:val="Tabletext"/>
              <w:jc w:val="right"/>
            </w:pPr>
            <w:r w:rsidRPr="00667660">
              <w:t xml:space="preserve"> 55,277 </w:t>
            </w:r>
          </w:p>
        </w:tc>
        <w:tc>
          <w:tcPr>
            <w:tcW w:w="1481" w:type="pct"/>
            <w:tcBorders>
              <w:top w:val="single" w:sz="4" w:space="0" w:color="00338D"/>
              <w:bottom w:val="single" w:sz="2" w:space="0" w:color="808080" w:themeColor="background1" w:themeShade="80"/>
            </w:tcBorders>
          </w:tcPr>
          <w:p w14:paraId="19F1C159" w14:textId="5BFBB76F" w:rsidR="00DB2E5E" w:rsidRPr="003C4F2F" w:rsidRDefault="00DB2E5E" w:rsidP="00DB2E5E">
            <w:pPr>
              <w:pStyle w:val="Tabletext"/>
              <w:jc w:val="right"/>
            </w:pPr>
            <w:r w:rsidRPr="00667660">
              <w:t>5.5%</w:t>
            </w:r>
          </w:p>
        </w:tc>
      </w:tr>
      <w:tr w:rsidR="00DB2E5E" w14:paraId="4C3B0947" w14:textId="20067D92" w:rsidTr="004840A5">
        <w:trPr>
          <w:trHeight w:val="380"/>
        </w:trPr>
        <w:tc>
          <w:tcPr>
            <w:tcW w:w="556" w:type="pct"/>
            <w:tcBorders>
              <w:top w:val="single" w:sz="2" w:space="0" w:color="808080" w:themeColor="background1" w:themeShade="80"/>
              <w:bottom w:val="single" w:sz="2" w:space="0" w:color="808080" w:themeColor="background1" w:themeShade="80"/>
            </w:tcBorders>
          </w:tcPr>
          <w:p w14:paraId="263FCBAD" w14:textId="1331B7B5" w:rsidR="00DB2E5E" w:rsidRPr="00796DE5" w:rsidRDefault="00AA5421" w:rsidP="00DB2E5E">
            <w:pPr>
              <w:pStyle w:val="Tabletext"/>
            </w:pPr>
            <w:r>
              <w:t>2016-</w:t>
            </w:r>
            <w:r w:rsidR="00DB2E5E" w:rsidRPr="00494277">
              <w:t>17</w:t>
            </w:r>
          </w:p>
        </w:tc>
        <w:tc>
          <w:tcPr>
            <w:tcW w:w="1482" w:type="pct"/>
            <w:tcBorders>
              <w:top w:val="single" w:sz="2" w:space="0" w:color="808080" w:themeColor="background1" w:themeShade="80"/>
              <w:bottom w:val="single" w:sz="2" w:space="0" w:color="808080" w:themeColor="background1" w:themeShade="80"/>
            </w:tcBorders>
          </w:tcPr>
          <w:p w14:paraId="78756F48" w14:textId="6DCF0DD7" w:rsidR="00DB2E5E" w:rsidRDefault="00DB2E5E" w:rsidP="00DB2E5E">
            <w:pPr>
              <w:pStyle w:val="Tabletext"/>
              <w:jc w:val="right"/>
            </w:pPr>
            <w:r w:rsidRPr="00667660">
              <w:t xml:space="preserve"> 3,447 </w:t>
            </w:r>
          </w:p>
        </w:tc>
        <w:tc>
          <w:tcPr>
            <w:tcW w:w="1481" w:type="pct"/>
            <w:tcBorders>
              <w:top w:val="single" w:sz="2" w:space="0" w:color="808080" w:themeColor="background1" w:themeShade="80"/>
              <w:bottom w:val="single" w:sz="2" w:space="0" w:color="808080" w:themeColor="background1" w:themeShade="80"/>
            </w:tcBorders>
          </w:tcPr>
          <w:p w14:paraId="182C12EC" w14:textId="75C14F4F" w:rsidR="00DB2E5E" w:rsidRPr="00494277" w:rsidRDefault="00DB2E5E" w:rsidP="00DB2E5E">
            <w:pPr>
              <w:pStyle w:val="Tabletext"/>
              <w:jc w:val="right"/>
            </w:pPr>
            <w:r w:rsidRPr="00667660">
              <w:t xml:space="preserve"> 59,981 </w:t>
            </w:r>
          </w:p>
        </w:tc>
        <w:tc>
          <w:tcPr>
            <w:tcW w:w="1481" w:type="pct"/>
            <w:tcBorders>
              <w:top w:val="single" w:sz="2" w:space="0" w:color="808080" w:themeColor="background1" w:themeShade="80"/>
              <w:bottom w:val="single" w:sz="2" w:space="0" w:color="808080" w:themeColor="background1" w:themeShade="80"/>
            </w:tcBorders>
          </w:tcPr>
          <w:p w14:paraId="340C0ED3" w14:textId="140C7CA4" w:rsidR="00DB2E5E" w:rsidRPr="003C4F2F" w:rsidRDefault="00DB2E5E" w:rsidP="00DB2E5E">
            <w:pPr>
              <w:pStyle w:val="Tabletext"/>
              <w:jc w:val="right"/>
            </w:pPr>
            <w:r w:rsidRPr="00667660">
              <w:t>5.7%</w:t>
            </w:r>
          </w:p>
        </w:tc>
      </w:tr>
      <w:tr w:rsidR="00DB2E5E" w14:paraId="7F7B21F1" w14:textId="5620AE04" w:rsidTr="004840A5">
        <w:trPr>
          <w:trHeight w:val="380"/>
        </w:trPr>
        <w:tc>
          <w:tcPr>
            <w:tcW w:w="556" w:type="pct"/>
            <w:tcBorders>
              <w:top w:val="single" w:sz="2" w:space="0" w:color="808080" w:themeColor="background1" w:themeShade="80"/>
              <w:bottom w:val="single" w:sz="2" w:space="0" w:color="808080" w:themeColor="background1" w:themeShade="80"/>
            </w:tcBorders>
          </w:tcPr>
          <w:p w14:paraId="0FDFC6D5" w14:textId="53986003" w:rsidR="00DB2E5E" w:rsidRPr="00DD0CA3" w:rsidRDefault="00AA5421" w:rsidP="00DB2E5E">
            <w:pPr>
              <w:pStyle w:val="Tabletext"/>
            </w:pPr>
            <w:r>
              <w:t>2017-</w:t>
            </w:r>
            <w:r w:rsidR="00DB2E5E" w:rsidRPr="00494277">
              <w:t>18</w:t>
            </w:r>
          </w:p>
        </w:tc>
        <w:tc>
          <w:tcPr>
            <w:tcW w:w="1482" w:type="pct"/>
            <w:tcBorders>
              <w:top w:val="single" w:sz="2" w:space="0" w:color="808080" w:themeColor="background1" w:themeShade="80"/>
              <w:bottom w:val="single" w:sz="2" w:space="0" w:color="808080" w:themeColor="background1" w:themeShade="80"/>
            </w:tcBorders>
          </w:tcPr>
          <w:p w14:paraId="16DB8B49" w14:textId="7D2BE756" w:rsidR="00DB2E5E" w:rsidRDefault="00DB2E5E" w:rsidP="00DB2E5E">
            <w:pPr>
              <w:pStyle w:val="Tabletext"/>
              <w:jc w:val="right"/>
            </w:pPr>
            <w:r w:rsidRPr="00667660">
              <w:t xml:space="preserve"> 3,892 </w:t>
            </w:r>
          </w:p>
        </w:tc>
        <w:tc>
          <w:tcPr>
            <w:tcW w:w="1481" w:type="pct"/>
            <w:tcBorders>
              <w:top w:val="single" w:sz="2" w:space="0" w:color="808080" w:themeColor="background1" w:themeShade="80"/>
              <w:bottom w:val="single" w:sz="2" w:space="0" w:color="808080" w:themeColor="background1" w:themeShade="80"/>
            </w:tcBorders>
          </w:tcPr>
          <w:p w14:paraId="5F51F2A8" w14:textId="53D08D74" w:rsidR="00DB2E5E" w:rsidRPr="00494277" w:rsidRDefault="00DB2E5E" w:rsidP="00DB2E5E">
            <w:pPr>
              <w:pStyle w:val="Tabletext"/>
              <w:jc w:val="right"/>
            </w:pPr>
            <w:r w:rsidRPr="00667660">
              <w:t xml:space="preserve"> 65,568 </w:t>
            </w:r>
          </w:p>
        </w:tc>
        <w:tc>
          <w:tcPr>
            <w:tcW w:w="1481" w:type="pct"/>
            <w:tcBorders>
              <w:top w:val="single" w:sz="2" w:space="0" w:color="808080" w:themeColor="background1" w:themeShade="80"/>
              <w:bottom w:val="single" w:sz="2" w:space="0" w:color="808080" w:themeColor="background1" w:themeShade="80"/>
            </w:tcBorders>
          </w:tcPr>
          <w:p w14:paraId="3EC0B9B4" w14:textId="02CF9008" w:rsidR="00DB2E5E" w:rsidRPr="003C4F2F" w:rsidRDefault="00DB2E5E" w:rsidP="00DB2E5E">
            <w:pPr>
              <w:pStyle w:val="Tabletext"/>
              <w:jc w:val="right"/>
            </w:pPr>
            <w:r w:rsidRPr="00667660">
              <w:t>5.9%</w:t>
            </w:r>
          </w:p>
        </w:tc>
      </w:tr>
      <w:tr w:rsidR="00DB2E5E" w14:paraId="24ECBFBE" w14:textId="734CBE78" w:rsidTr="004840A5">
        <w:trPr>
          <w:trHeight w:val="380"/>
        </w:trPr>
        <w:tc>
          <w:tcPr>
            <w:tcW w:w="556" w:type="pct"/>
            <w:tcBorders>
              <w:top w:val="single" w:sz="2" w:space="0" w:color="808080" w:themeColor="background1" w:themeShade="80"/>
              <w:bottom w:val="single" w:sz="2" w:space="0" w:color="808080" w:themeColor="background1" w:themeShade="80"/>
            </w:tcBorders>
          </w:tcPr>
          <w:p w14:paraId="31D2241F" w14:textId="45E123D0" w:rsidR="00DB2E5E" w:rsidRPr="005A529C" w:rsidRDefault="00AA5421" w:rsidP="00DB2E5E">
            <w:pPr>
              <w:pStyle w:val="Tabletext"/>
            </w:pPr>
            <w:r>
              <w:t>2018-</w:t>
            </w:r>
            <w:r w:rsidR="00DB2E5E" w:rsidRPr="00494277">
              <w:t>19</w:t>
            </w:r>
          </w:p>
        </w:tc>
        <w:tc>
          <w:tcPr>
            <w:tcW w:w="1482" w:type="pct"/>
            <w:tcBorders>
              <w:top w:val="single" w:sz="2" w:space="0" w:color="808080" w:themeColor="background1" w:themeShade="80"/>
              <w:bottom w:val="single" w:sz="2" w:space="0" w:color="808080" w:themeColor="background1" w:themeShade="80"/>
            </w:tcBorders>
          </w:tcPr>
          <w:p w14:paraId="65C07F9E" w14:textId="63A5077A" w:rsidR="00DB2E5E" w:rsidRDefault="00DB2E5E" w:rsidP="00DB2E5E">
            <w:pPr>
              <w:pStyle w:val="Tabletext"/>
              <w:jc w:val="right"/>
            </w:pPr>
            <w:r w:rsidRPr="00667660">
              <w:t xml:space="preserve"> 1,845 </w:t>
            </w:r>
          </w:p>
        </w:tc>
        <w:tc>
          <w:tcPr>
            <w:tcW w:w="1481" w:type="pct"/>
            <w:tcBorders>
              <w:top w:val="single" w:sz="2" w:space="0" w:color="808080" w:themeColor="background1" w:themeShade="80"/>
              <w:bottom w:val="single" w:sz="2" w:space="0" w:color="808080" w:themeColor="background1" w:themeShade="80"/>
            </w:tcBorders>
          </w:tcPr>
          <w:p w14:paraId="5BFFD8A8" w14:textId="64E8D8FD" w:rsidR="00DB2E5E" w:rsidRPr="00494277" w:rsidRDefault="00DB2E5E" w:rsidP="00DB2E5E">
            <w:pPr>
              <w:pStyle w:val="Tabletext"/>
              <w:jc w:val="right"/>
            </w:pPr>
            <w:r w:rsidRPr="00667660">
              <w:t xml:space="preserve"> 72,110 </w:t>
            </w:r>
          </w:p>
        </w:tc>
        <w:tc>
          <w:tcPr>
            <w:tcW w:w="1481" w:type="pct"/>
            <w:tcBorders>
              <w:top w:val="single" w:sz="2" w:space="0" w:color="808080" w:themeColor="background1" w:themeShade="80"/>
              <w:bottom w:val="single" w:sz="2" w:space="0" w:color="808080" w:themeColor="background1" w:themeShade="80"/>
            </w:tcBorders>
          </w:tcPr>
          <w:p w14:paraId="623406BD" w14:textId="53D954ED" w:rsidR="00DB2E5E" w:rsidRPr="003C4F2F" w:rsidRDefault="00DB2E5E" w:rsidP="00DB2E5E">
            <w:pPr>
              <w:pStyle w:val="Tabletext"/>
              <w:jc w:val="right"/>
            </w:pPr>
            <w:r w:rsidRPr="00667660">
              <w:t>2.6%</w:t>
            </w:r>
          </w:p>
        </w:tc>
      </w:tr>
      <w:tr w:rsidR="00DB2E5E" w14:paraId="75EF24E1" w14:textId="35AFBBDC" w:rsidTr="004840A5">
        <w:trPr>
          <w:trHeight w:val="396"/>
        </w:trPr>
        <w:tc>
          <w:tcPr>
            <w:tcW w:w="556" w:type="pct"/>
            <w:tcBorders>
              <w:top w:val="single" w:sz="2" w:space="0" w:color="808080" w:themeColor="background1" w:themeShade="80"/>
              <w:bottom w:val="single" w:sz="2" w:space="0" w:color="808080" w:themeColor="background1" w:themeShade="80"/>
            </w:tcBorders>
          </w:tcPr>
          <w:p w14:paraId="3067213D" w14:textId="7E52D5C5" w:rsidR="00DB2E5E" w:rsidRPr="00E0534F" w:rsidRDefault="00AA5421" w:rsidP="00DB2E5E">
            <w:pPr>
              <w:pStyle w:val="Tabletext"/>
            </w:pPr>
            <w:r>
              <w:t>2019-</w:t>
            </w:r>
            <w:r w:rsidR="00DB2E5E" w:rsidRPr="00494277">
              <w:t>20</w:t>
            </w:r>
          </w:p>
        </w:tc>
        <w:tc>
          <w:tcPr>
            <w:tcW w:w="1482" w:type="pct"/>
            <w:tcBorders>
              <w:top w:val="single" w:sz="2" w:space="0" w:color="808080" w:themeColor="background1" w:themeShade="80"/>
              <w:bottom w:val="single" w:sz="2" w:space="0" w:color="808080" w:themeColor="background1" w:themeShade="80"/>
            </w:tcBorders>
          </w:tcPr>
          <w:p w14:paraId="7F72E604" w14:textId="1D2C31E4" w:rsidR="00DB2E5E" w:rsidRDefault="00DB2E5E" w:rsidP="00DB2E5E">
            <w:pPr>
              <w:pStyle w:val="Tabletext"/>
              <w:jc w:val="right"/>
            </w:pPr>
            <w:r w:rsidRPr="00667660">
              <w:t xml:space="preserve"> 1,629 </w:t>
            </w:r>
          </w:p>
        </w:tc>
        <w:tc>
          <w:tcPr>
            <w:tcW w:w="1481" w:type="pct"/>
            <w:tcBorders>
              <w:top w:val="single" w:sz="2" w:space="0" w:color="808080" w:themeColor="background1" w:themeShade="80"/>
              <w:bottom w:val="single" w:sz="2" w:space="0" w:color="808080" w:themeColor="background1" w:themeShade="80"/>
            </w:tcBorders>
          </w:tcPr>
          <w:p w14:paraId="685E43F6" w14:textId="06D3026F" w:rsidR="00DB2E5E" w:rsidRPr="00494277" w:rsidRDefault="00DB2E5E" w:rsidP="00DB2E5E">
            <w:pPr>
              <w:pStyle w:val="Tabletext"/>
              <w:jc w:val="right"/>
            </w:pPr>
            <w:r w:rsidRPr="00667660">
              <w:t xml:space="preserve"> 49,925 </w:t>
            </w:r>
          </w:p>
        </w:tc>
        <w:tc>
          <w:tcPr>
            <w:tcW w:w="1481" w:type="pct"/>
            <w:tcBorders>
              <w:top w:val="single" w:sz="2" w:space="0" w:color="808080" w:themeColor="background1" w:themeShade="80"/>
              <w:bottom w:val="single" w:sz="2" w:space="0" w:color="808080" w:themeColor="background1" w:themeShade="80"/>
            </w:tcBorders>
          </w:tcPr>
          <w:p w14:paraId="31C6BC4E" w14:textId="68111651" w:rsidR="00DB2E5E" w:rsidRPr="003C4F2F" w:rsidRDefault="00DB2E5E" w:rsidP="00DB2E5E">
            <w:pPr>
              <w:pStyle w:val="Tabletext"/>
              <w:jc w:val="right"/>
            </w:pPr>
            <w:r w:rsidRPr="00667660">
              <w:t>3.3%</w:t>
            </w:r>
          </w:p>
        </w:tc>
      </w:tr>
      <w:tr w:rsidR="001F61AE" w14:paraId="4A7389D5" w14:textId="77777777" w:rsidTr="00807762">
        <w:trPr>
          <w:trHeight w:val="396"/>
        </w:trPr>
        <w:tc>
          <w:tcPr>
            <w:tcW w:w="556" w:type="pct"/>
            <w:tcBorders>
              <w:top w:val="single" w:sz="2" w:space="0" w:color="808080" w:themeColor="background1" w:themeShade="80"/>
              <w:bottom w:val="single" w:sz="2" w:space="0" w:color="808080" w:themeColor="background1" w:themeShade="80"/>
            </w:tcBorders>
          </w:tcPr>
          <w:p w14:paraId="5D2E0686" w14:textId="3F1B2395" w:rsidR="001F61AE" w:rsidRPr="004840A5" w:rsidRDefault="001F61AE" w:rsidP="001F61AE">
            <w:pPr>
              <w:pStyle w:val="Tabletext"/>
              <w:rPr>
                <w:b/>
                <w:bCs/>
              </w:rPr>
            </w:pPr>
            <w:r w:rsidRPr="004840A5">
              <w:rPr>
                <w:b/>
                <w:bCs/>
              </w:rPr>
              <w:t>Total</w:t>
            </w:r>
          </w:p>
        </w:tc>
        <w:tc>
          <w:tcPr>
            <w:tcW w:w="1482" w:type="pct"/>
            <w:tcBorders>
              <w:top w:val="single" w:sz="2" w:space="0" w:color="808080" w:themeColor="background1" w:themeShade="80"/>
              <w:bottom w:val="single" w:sz="2" w:space="0" w:color="808080" w:themeColor="background1" w:themeShade="80"/>
            </w:tcBorders>
          </w:tcPr>
          <w:p w14:paraId="49BD310C" w14:textId="506B8D07" w:rsidR="001F61AE" w:rsidRPr="004840A5" w:rsidRDefault="001F61AE" w:rsidP="001F61AE">
            <w:pPr>
              <w:pStyle w:val="Tabletext"/>
              <w:jc w:val="right"/>
              <w:rPr>
                <w:b/>
                <w:bCs/>
              </w:rPr>
            </w:pPr>
            <w:r w:rsidRPr="004840A5">
              <w:rPr>
                <w:b/>
                <w:bCs/>
              </w:rPr>
              <w:t xml:space="preserve"> 13,839 </w:t>
            </w:r>
          </w:p>
        </w:tc>
        <w:tc>
          <w:tcPr>
            <w:tcW w:w="1481" w:type="pct"/>
            <w:tcBorders>
              <w:top w:val="single" w:sz="2" w:space="0" w:color="808080" w:themeColor="background1" w:themeShade="80"/>
              <w:bottom w:val="single" w:sz="2" w:space="0" w:color="808080" w:themeColor="background1" w:themeShade="80"/>
            </w:tcBorders>
          </w:tcPr>
          <w:p w14:paraId="7A0F888D" w14:textId="490E2A2C" w:rsidR="001F61AE" w:rsidRPr="004840A5" w:rsidRDefault="001F61AE" w:rsidP="001F61AE">
            <w:pPr>
              <w:pStyle w:val="Tabletext"/>
              <w:jc w:val="right"/>
              <w:rPr>
                <w:b/>
                <w:bCs/>
              </w:rPr>
            </w:pPr>
            <w:r w:rsidRPr="004840A5">
              <w:rPr>
                <w:b/>
                <w:bCs/>
              </w:rPr>
              <w:t xml:space="preserve"> 302,861 </w:t>
            </w:r>
          </w:p>
        </w:tc>
        <w:tc>
          <w:tcPr>
            <w:tcW w:w="1481" w:type="pct"/>
            <w:tcBorders>
              <w:top w:val="single" w:sz="2" w:space="0" w:color="808080" w:themeColor="background1" w:themeShade="80"/>
              <w:bottom w:val="single" w:sz="2" w:space="0" w:color="808080" w:themeColor="background1" w:themeShade="80"/>
            </w:tcBorders>
          </w:tcPr>
          <w:p w14:paraId="40F67857" w14:textId="3F74B1A7" w:rsidR="001F61AE" w:rsidRPr="004840A5" w:rsidRDefault="001F61AE" w:rsidP="001F61AE">
            <w:pPr>
              <w:pStyle w:val="Tabletext"/>
              <w:jc w:val="right"/>
              <w:rPr>
                <w:b/>
                <w:bCs/>
              </w:rPr>
            </w:pPr>
            <w:r w:rsidRPr="004840A5">
              <w:rPr>
                <w:b/>
                <w:bCs/>
              </w:rPr>
              <w:t>4.6%</w:t>
            </w:r>
          </w:p>
        </w:tc>
      </w:tr>
    </w:tbl>
    <w:p w14:paraId="7ED48915" w14:textId="137514F1" w:rsidR="0073571A" w:rsidRPr="002E1A77" w:rsidRDefault="0073571A" w:rsidP="0073571A">
      <w:pPr>
        <w:pStyle w:val="Source"/>
        <w:rPr>
          <w:szCs w:val="16"/>
        </w:rPr>
      </w:pPr>
      <w:r w:rsidRPr="00055013">
        <w:rPr>
          <w:szCs w:val="16"/>
        </w:rPr>
        <w:t>Source: KPMG analysi</w:t>
      </w:r>
      <w:r w:rsidRPr="009F2EC6">
        <w:rPr>
          <w:szCs w:val="16"/>
        </w:rPr>
        <w:t>s of the follow</w:t>
      </w:r>
      <w:r w:rsidR="00F01FA5">
        <w:rPr>
          <w:szCs w:val="16"/>
        </w:rPr>
        <w:t xml:space="preserve"> </w:t>
      </w:r>
      <w:r w:rsidRPr="009F2EC6">
        <w:rPr>
          <w:szCs w:val="16"/>
        </w:rPr>
        <w:t>up</w:t>
      </w:r>
      <w:r w:rsidRPr="000E2826">
        <w:rPr>
          <w:szCs w:val="16"/>
        </w:rPr>
        <w:t xml:space="preserve"> analysis dataset</w:t>
      </w:r>
      <w:r w:rsidR="003B146F">
        <w:rPr>
          <w:szCs w:val="16"/>
        </w:rPr>
        <w:t xml:space="preserve"> and KPMG master dataset</w:t>
      </w:r>
    </w:p>
    <w:p w14:paraId="3AF1DDAA" w14:textId="77777777" w:rsidR="00686882" w:rsidRDefault="00686882">
      <w:pPr>
        <w:spacing w:before="0" w:after="160" w:line="259" w:lineRule="auto"/>
        <w:rPr>
          <w:rFonts w:eastAsia="SimSun"/>
          <w:iCs/>
          <w:color w:val="000000" w:themeColor="text1"/>
          <w:szCs w:val="20"/>
        </w:rPr>
      </w:pPr>
      <w:r>
        <w:rPr>
          <w:rFonts w:eastAsia="SimSun"/>
          <w:i/>
          <w:color w:val="000000" w:themeColor="text1"/>
          <w:szCs w:val="20"/>
        </w:rPr>
        <w:br w:type="page"/>
      </w:r>
    </w:p>
    <w:p w14:paraId="0D28C6CE" w14:textId="116FB467" w:rsidR="00321F7A" w:rsidRPr="004D3FF2" w:rsidRDefault="00E91E8F" w:rsidP="00514C63">
      <w:pPr>
        <w:pStyle w:val="AppendixHeading3"/>
        <w:rPr>
          <w:rStyle w:val="Bullet1stlevelChar"/>
          <w:rFonts w:eastAsia="SimSun"/>
        </w:rPr>
      </w:pPr>
      <w:r>
        <w:t>Cost-effectiveness</w:t>
      </w:r>
      <w:r w:rsidR="0064748B">
        <w:t xml:space="preserve"> analysis</w:t>
      </w:r>
    </w:p>
    <w:p w14:paraId="69631337" w14:textId="102FF1D5" w:rsidR="006D5E80" w:rsidRDefault="00D4791D" w:rsidP="000C6D31">
      <w:pPr>
        <w:pStyle w:val="BodyText"/>
      </w:pPr>
      <w:r>
        <w:fldChar w:fldCharType="begin" w:fldLock="1"/>
      </w:r>
      <w:r>
        <w:instrText xml:space="preserve"> REF _Ref94800458 \h  \* MERGEFORMAT </w:instrText>
      </w:r>
      <w:r>
        <w:fldChar w:fldCharType="separate"/>
      </w:r>
      <w:r w:rsidR="000C245D">
        <w:t>Figure 72</w:t>
      </w:r>
      <w:r>
        <w:fldChar w:fldCharType="end"/>
      </w:r>
      <w:r>
        <w:t xml:space="preserve"> </w:t>
      </w:r>
      <w:r w:rsidR="004F7836" w:rsidRPr="00852AEC">
        <w:rPr>
          <w:rFonts w:eastAsia="SimSun"/>
          <w:iCs/>
          <w:color w:val="000000" w:themeColor="text1"/>
          <w:szCs w:val="20"/>
        </w:rPr>
        <w:t xml:space="preserve">shows additional exclusion criteria for </w:t>
      </w:r>
      <w:r w:rsidR="001F062B" w:rsidRPr="00852AEC">
        <w:rPr>
          <w:rFonts w:eastAsia="SimSun"/>
          <w:iCs/>
          <w:color w:val="000000" w:themeColor="text1"/>
          <w:szCs w:val="20"/>
        </w:rPr>
        <w:t>Section</w:t>
      </w:r>
      <w:r w:rsidR="00A34E56">
        <w:rPr>
          <w:rFonts w:eastAsia="SimSun"/>
          <w:iCs/>
          <w:color w:val="000000" w:themeColor="text1"/>
          <w:szCs w:val="20"/>
        </w:rPr>
        <w:t xml:space="preserve"> </w:t>
      </w:r>
      <w:r w:rsidR="00A34E56">
        <w:rPr>
          <w:rFonts w:eastAsia="SimSun"/>
          <w:iCs/>
          <w:color w:val="000000" w:themeColor="text1"/>
          <w:szCs w:val="20"/>
        </w:rPr>
        <w:fldChar w:fldCharType="begin" w:fldLock="1"/>
      </w:r>
      <w:r w:rsidR="00A34E56">
        <w:rPr>
          <w:rFonts w:eastAsia="SimSun"/>
          <w:iCs/>
          <w:color w:val="000000" w:themeColor="text1"/>
          <w:szCs w:val="20"/>
        </w:rPr>
        <w:instrText xml:space="preserve"> REF _Ref80734546 \r \h </w:instrText>
      </w:r>
      <w:r w:rsidR="00A34E56">
        <w:rPr>
          <w:rFonts w:eastAsia="SimSun"/>
          <w:iCs/>
          <w:color w:val="000000" w:themeColor="text1"/>
          <w:szCs w:val="20"/>
        </w:rPr>
      </w:r>
      <w:r w:rsidR="00A34E56">
        <w:rPr>
          <w:rFonts w:eastAsia="SimSun"/>
          <w:iCs/>
          <w:color w:val="000000" w:themeColor="text1"/>
          <w:szCs w:val="20"/>
        </w:rPr>
        <w:fldChar w:fldCharType="separate"/>
      </w:r>
      <w:r w:rsidR="00AE4D34">
        <w:rPr>
          <w:rFonts w:eastAsia="SimSun"/>
          <w:iCs/>
          <w:color w:val="000000" w:themeColor="text1"/>
          <w:szCs w:val="20"/>
        </w:rPr>
        <w:t>4</w:t>
      </w:r>
      <w:r w:rsidR="00A34E56">
        <w:rPr>
          <w:rFonts w:eastAsia="SimSun"/>
          <w:iCs/>
          <w:color w:val="000000" w:themeColor="text1"/>
          <w:szCs w:val="20"/>
        </w:rPr>
        <w:fldChar w:fldCharType="end"/>
      </w:r>
      <w:r w:rsidR="00EC3283" w:rsidRPr="00852AEC">
        <w:rPr>
          <w:rFonts w:eastAsia="SimSun"/>
          <w:iCs/>
          <w:color w:val="000000" w:themeColor="text1"/>
          <w:szCs w:val="20"/>
        </w:rPr>
        <w:t>.</w:t>
      </w:r>
      <w:r w:rsidR="00AF2814" w:rsidRPr="00852AEC">
        <w:rPr>
          <w:rFonts w:eastAsia="SimSun"/>
          <w:iCs/>
          <w:color w:val="000000" w:themeColor="text1"/>
          <w:szCs w:val="20"/>
        </w:rPr>
        <w:t xml:space="preserve"> In this section, </w:t>
      </w:r>
      <w:r w:rsidR="00EC182B" w:rsidRPr="00852AEC">
        <w:rPr>
          <w:rFonts w:eastAsia="SimSun"/>
          <w:iCs/>
          <w:color w:val="000000" w:themeColor="text1"/>
          <w:szCs w:val="20"/>
        </w:rPr>
        <w:t>th</w:t>
      </w:r>
      <w:r w:rsidR="00CD64F0" w:rsidRPr="00852AEC">
        <w:rPr>
          <w:rFonts w:eastAsia="SimSun"/>
          <w:iCs/>
          <w:color w:val="000000" w:themeColor="text1"/>
          <w:szCs w:val="20"/>
        </w:rPr>
        <w:t xml:space="preserve">e analysis includes </w:t>
      </w:r>
      <w:r w:rsidR="00F1069B" w:rsidRPr="00852AEC">
        <w:rPr>
          <w:rFonts w:eastAsia="SimSun"/>
          <w:iCs/>
          <w:color w:val="000000" w:themeColor="text1"/>
          <w:szCs w:val="20"/>
        </w:rPr>
        <w:t>112sites</w:t>
      </w:r>
      <w:r w:rsidR="00872C05" w:rsidRPr="00852AEC">
        <w:rPr>
          <w:rFonts w:eastAsia="SimSun"/>
          <w:iCs/>
          <w:color w:val="000000" w:themeColor="text1"/>
          <w:szCs w:val="20"/>
        </w:rPr>
        <w:t xml:space="preserve"> that have been opened on or before</w:t>
      </w:r>
      <w:r w:rsidR="00C63355" w:rsidRPr="00852AEC">
        <w:rPr>
          <w:rFonts w:eastAsia="SimSun"/>
          <w:iCs/>
          <w:color w:val="000000" w:themeColor="text1"/>
          <w:szCs w:val="20"/>
        </w:rPr>
        <w:t xml:space="preserve"> the 30 June 2019</w:t>
      </w:r>
      <w:r w:rsidR="00872C05" w:rsidRPr="00852AEC">
        <w:rPr>
          <w:rFonts w:eastAsia="SimSun"/>
          <w:iCs/>
          <w:color w:val="000000" w:themeColor="text1"/>
          <w:szCs w:val="20"/>
        </w:rPr>
        <w:t>.</w:t>
      </w:r>
      <w:r w:rsidR="00B234C2" w:rsidRPr="00852AEC">
        <w:rPr>
          <w:rFonts w:eastAsia="SimSun"/>
          <w:iCs/>
          <w:color w:val="000000" w:themeColor="text1"/>
          <w:szCs w:val="20"/>
        </w:rPr>
        <w:t xml:space="preserve"> </w:t>
      </w:r>
      <w:r w:rsidR="00037BCF">
        <w:t xml:space="preserve">During 2019-20, there were 401,325 </w:t>
      </w:r>
      <w:r w:rsidR="009C028B">
        <w:t>OOS</w:t>
      </w:r>
      <w:r w:rsidR="00037BCF">
        <w:t xml:space="preserve"> delivered in 112 headspace services. The total cost</w:t>
      </w:r>
      <w:r w:rsidR="00CC0438">
        <w:rPr>
          <w:rFonts w:ascii="ZWAdobeF" w:hAnsi="ZWAdobeF" w:cs="ZWAdobeF"/>
          <w:sz w:val="2"/>
          <w:szCs w:val="2"/>
        </w:rPr>
        <w:t>238F</w:t>
      </w:r>
      <w:r w:rsidR="00037BCF">
        <w:rPr>
          <w:rStyle w:val="FootnoteReference"/>
        </w:rPr>
        <w:footnoteReference w:id="240"/>
      </w:r>
      <w:r w:rsidR="00037BCF">
        <w:t xml:space="preserve"> was $123</w:t>
      </w:r>
      <w:r w:rsidR="006D1F4D">
        <w:t>.3 million</w:t>
      </w:r>
      <w:r w:rsidR="00037BCF">
        <w:t xml:space="preserve">, so the average cost per </w:t>
      </w:r>
      <w:r w:rsidR="009C028B">
        <w:t>OOS</w:t>
      </w:r>
      <w:r w:rsidR="00037BCF">
        <w:t xml:space="preserve"> was $307. </w:t>
      </w:r>
    </w:p>
    <w:p w14:paraId="27FE0ACA" w14:textId="1A5D42B6" w:rsidR="00037BCF" w:rsidRDefault="000C6D31" w:rsidP="000C6D31">
      <w:pPr>
        <w:pStyle w:val="BodyText"/>
      </w:pPr>
      <w:r w:rsidRPr="00852AEC">
        <w:rPr>
          <w:rFonts w:eastAsia="SimSun"/>
          <w:iCs/>
          <w:color w:val="000000" w:themeColor="text1"/>
          <w:szCs w:val="20"/>
        </w:rPr>
        <w:t xml:space="preserve">The QALY gain is calculated for closed episodes created in 2019-20 with non-missing main provider and with an </w:t>
      </w:r>
      <w:r w:rsidRPr="00852AEC">
        <w:rPr>
          <w:rStyle w:val="BodyTextChar2"/>
          <w:iCs/>
        </w:rPr>
        <w:t>initial mental health or situational primary issue</w:t>
      </w:r>
      <w:r w:rsidR="00D444A3">
        <w:rPr>
          <w:rStyle w:val="BodyTextChar2"/>
          <w:iCs/>
        </w:rPr>
        <w:t xml:space="preserve"> due to the availability of outcome measures</w:t>
      </w:r>
      <w:r w:rsidRPr="00852AEC">
        <w:rPr>
          <w:rStyle w:val="BodyTextChar2"/>
          <w:iCs/>
        </w:rPr>
        <w:t>. This is the ‘Cost utility’ dataset labelled below</w:t>
      </w:r>
      <w:r>
        <w:rPr>
          <w:rStyle w:val="BodyTextChar2"/>
          <w:iCs/>
        </w:rPr>
        <w:t xml:space="preserve"> in</w:t>
      </w:r>
      <w:r w:rsidRPr="00852AEC">
        <w:rPr>
          <w:rStyle w:val="BodyTextChar2"/>
          <w:iCs/>
        </w:rPr>
        <w:t xml:space="preserve"> </w:t>
      </w:r>
      <w:r w:rsidRPr="00852AEC">
        <w:rPr>
          <w:rStyle w:val="BodyTextChar2"/>
          <w:iCs/>
        </w:rPr>
        <w:fldChar w:fldCharType="begin" w:fldLock="1"/>
      </w:r>
      <w:r w:rsidRPr="00852AEC">
        <w:rPr>
          <w:rStyle w:val="BodyTextChar2"/>
          <w:iCs/>
        </w:rPr>
        <w:instrText xml:space="preserve"> REF _Ref94800458 \h  \* MERGEFORMAT </w:instrText>
      </w:r>
      <w:r w:rsidRPr="00852AEC">
        <w:rPr>
          <w:rStyle w:val="BodyTextChar2"/>
          <w:iCs/>
        </w:rPr>
      </w:r>
      <w:r w:rsidRPr="00852AEC">
        <w:rPr>
          <w:rStyle w:val="BodyTextChar2"/>
          <w:iCs/>
        </w:rPr>
        <w:fldChar w:fldCharType="separate"/>
      </w:r>
      <w:r w:rsidR="000C245D" w:rsidRPr="000C245D">
        <w:rPr>
          <w:rStyle w:val="BodyTextChar2"/>
          <w:iCs/>
        </w:rPr>
        <w:t>Figure 72</w:t>
      </w:r>
      <w:r w:rsidRPr="00852AEC">
        <w:rPr>
          <w:rStyle w:val="BodyTextChar2"/>
          <w:iCs/>
        </w:rPr>
        <w:fldChar w:fldCharType="end"/>
      </w:r>
      <w:r>
        <w:rPr>
          <w:rStyle w:val="BodyTextChar2"/>
          <w:iCs/>
        </w:rPr>
        <w:t>. There were</w:t>
      </w:r>
      <w:r w:rsidR="00037BCF">
        <w:t xml:space="preserve"> 39,634 closed episodes with 181,269 </w:t>
      </w:r>
      <w:r w:rsidR="009C028B">
        <w:t>OOS</w:t>
      </w:r>
      <w:r w:rsidR="00903393">
        <w:t xml:space="preserve">, accounting for 45 per cent of the total </w:t>
      </w:r>
      <w:r w:rsidR="009C028B">
        <w:t>OOS</w:t>
      </w:r>
      <w:r w:rsidR="00903393">
        <w:t xml:space="preserve"> delivered in 2019</w:t>
      </w:r>
      <w:r w:rsidR="00FF37AC">
        <w:noBreakHyphen/>
      </w:r>
      <w:r w:rsidR="00903393">
        <w:t>20</w:t>
      </w:r>
      <w:r w:rsidR="00037BCF">
        <w:t xml:space="preserve">. </w:t>
      </w:r>
      <w:r w:rsidR="006D1F4D">
        <w:t xml:space="preserve">Therefore, the total cost included in the </w:t>
      </w:r>
      <w:r w:rsidR="00E91E8F">
        <w:t>cost-effectiveness</w:t>
      </w:r>
      <w:r w:rsidR="006D1F4D">
        <w:t xml:space="preserve"> analysis is $</w:t>
      </w:r>
      <w:r w:rsidR="001D002C">
        <w:t>41.8</w:t>
      </w:r>
      <w:r w:rsidR="006D1F4D">
        <w:t xml:space="preserve"> million</w:t>
      </w:r>
      <w:r w:rsidR="00CC0438">
        <w:rPr>
          <w:rFonts w:ascii="ZWAdobeF" w:hAnsi="ZWAdobeF" w:cs="ZWAdobeF"/>
          <w:sz w:val="2"/>
          <w:szCs w:val="2"/>
        </w:rPr>
        <w:t>239F</w:t>
      </w:r>
      <w:r w:rsidR="00872100">
        <w:rPr>
          <w:rStyle w:val="FootnoteReference"/>
        </w:rPr>
        <w:footnoteReference w:id="241"/>
      </w:r>
      <w:r w:rsidR="00037BCF">
        <w:t xml:space="preserve">. </w:t>
      </w:r>
    </w:p>
    <w:p w14:paraId="39801694" w14:textId="37CF6510" w:rsidR="00774699" w:rsidRPr="00774699" w:rsidRDefault="007022C3" w:rsidP="00774699">
      <w:pPr>
        <w:pStyle w:val="Caption"/>
        <w:jc w:val="both"/>
      </w:pPr>
      <w:bookmarkStart w:id="399" w:name="_Ref93477061"/>
      <w:bookmarkStart w:id="400" w:name="_Ref94800458"/>
      <w:bookmarkStart w:id="401" w:name="_Ref97910378"/>
      <w:bookmarkStart w:id="402" w:name="_Toc108109257"/>
      <w:r>
        <w:t xml:space="preserve">Figure </w:t>
      </w:r>
      <w:bookmarkEnd w:id="399"/>
      <w:r w:rsidR="00A8008D">
        <w:fldChar w:fldCharType="begin"/>
      </w:r>
      <w:r w:rsidR="00A8008D">
        <w:instrText xml:space="preserve"> SEQ Figure \* ARABIC </w:instrText>
      </w:r>
      <w:r w:rsidR="00A8008D">
        <w:fldChar w:fldCharType="separate"/>
      </w:r>
      <w:r w:rsidR="00CC0438">
        <w:rPr>
          <w:noProof/>
        </w:rPr>
        <w:t>72</w:t>
      </w:r>
      <w:r w:rsidR="00A8008D">
        <w:fldChar w:fldCharType="end"/>
      </w:r>
      <w:bookmarkEnd w:id="400"/>
      <w:r>
        <w:t xml:space="preserve">: Additional exclusion criteria for </w:t>
      </w:r>
      <w:r w:rsidR="00E91E8F">
        <w:t>cost-effectiveness</w:t>
      </w:r>
      <w:r>
        <w:t xml:space="preserve"> analysis</w:t>
      </w:r>
      <w:bookmarkEnd w:id="401"/>
      <w:bookmarkEnd w:id="402"/>
    </w:p>
    <w:p w14:paraId="4B7FE1D6" w14:textId="55E2B54A" w:rsidR="00D415AD" w:rsidRDefault="006636B3" w:rsidP="002C2EDF">
      <w:pPr>
        <w:pStyle w:val="Source-Notes"/>
      </w:pPr>
      <w:r>
        <w:rPr>
          <w:noProof/>
        </w:rPr>
        <w:drawing>
          <wp:inline distT="0" distB="0" distL="0" distR="0" wp14:anchorId="4A5D037B" wp14:editId="40144A38">
            <wp:extent cx="4867275" cy="6244013"/>
            <wp:effectExtent l="0" t="0" r="0" b="4445"/>
            <wp:docPr id="1059" name="Picture 1059" descr="Figure 72 shows additional exclusion criteria for Section 4. In this section, the analysis includes 112 sites that have been opened on or before the 30 June 2019. During 2019-20, there were 401,325 OOS delivered in 112 headspace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Figure 72 shows additional exclusion criteria for Section 4. In this section, the analysis includes 112 sites that have been opened on or before the 30 June 2019. During 2019-20, there were 401,325 OOS delivered in 112 headspace services.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2269" cy="6250420"/>
                    </a:xfrm>
                    <a:prstGeom prst="rect">
                      <a:avLst/>
                    </a:prstGeom>
                    <a:noFill/>
                  </pic:spPr>
                </pic:pic>
              </a:graphicData>
            </a:graphic>
          </wp:inline>
        </w:drawing>
      </w:r>
    </w:p>
    <w:p w14:paraId="004D1444" w14:textId="3FD78E6E" w:rsidR="00075369" w:rsidRDefault="00075369" w:rsidP="002C2EDF">
      <w:pPr>
        <w:pStyle w:val="Source-Notes"/>
      </w:pPr>
      <w:r w:rsidRPr="00055013">
        <w:t>Source: KPMG</w:t>
      </w:r>
      <w:r>
        <w:t xml:space="preserve"> 2022</w:t>
      </w:r>
    </w:p>
    <w:p w14:paraId="2A3D8FA3" w14:textId="288CB700" w:rsidR="000E0D9E" w:rsidRDefault="000E0D9E" w:rsidP="000E0D9E">
      <w:pPr>
        <w:pStyle w:val="Appendixheading"/>
      </w:pPr>
      <w:bookmarkStart w:id="403" w:name="_Ref81294392"/>
      <w:bookmarkStart w:id="404" w:name="_Ref93613007"/>
      <w:bookmarkStart w:id="405" w:name="_Toc108174000"/>
      <w:r>
        <w:t xml:space="preserve">: Definitions of </w:t>
      </w:r>
      <w:r w:rsidR="00E053B1">
        <w:t xml:space="preserve">K10 </w:t>
      </w:r>
      <w:r>
        <w:t>distress levels</w:t>
      </w:r>
      <w:bookmarkEnd w:id="403"/>
      <w:bookmarkEnd w:id="404"/>
      <w:bookmarkEnd w:id="405"/>
    </w:p>
    <w:p w14:paraId="495D52B0" w14:textId="7CE79651" w:rsidR="000E0D9E" w:rsidRPr="00C667DF" w:rsidRDefault="00C20F3B" w:rsidP="006A2570">
      <w:pPr>
        <w:pStyle w:val="BodyText"/>
      </w:pPr>
      <w:r>
        <w:t>T</w:t>
      </w:r>
      <w:r w:rsidR="000E0D9E" w:rsidRPr="2B57095F">
        <w:t xml:space="preserve">he following thresholds </w:t>
      </w:r>
      <w:r>
        <w:t>are used</w:t>
      </w:r>
      <w:r w:rsidR="000E0D9E" w:rsidRPr="2B57095F">
        <w:t xml:space="preserve"> to define the four levels of distress by outcome score. For the K10’s, the ABS K10 </w:t>
      </w:r>
      <w:r w:rsidR="003F4D2F">
        <w:t>outcome</w:t>
      </w:r>
      <w:r w:rsidR="003F4D2F" w:rsidRPr="2B57095F">
        <w:t xml:space="preserve"> </w:t>
      </w:r>
      <w:r w:rsidR="000E0D9E" w:rsidRPr="2B57095F">
        <w:t>groupings and categorisation</w:t>
      </w:r>
      <w:r>
        <w:t xml:space="preserve"> are used</w:t>
      </w:r>
      <w:r w:rsidR="000E0D9E" w:rsidRPr="2B57095F">
        <w:t>.</w:t>
      </w:r>
      <w:r w:rsidR="000E0D9E" w:rsidRPr="000F5672">
        <w:rPr>
          <w:vertAlign w:val="superscript"/>
        </w:rPr>
        <w:t xml:space="preserve"> </w:t>
      </w:r>
    </w:p>
    <w:p w14:paraId="1C39FB76" w14:textId="791B0115" w:rsidR="000E0D9E" w:rsidRDefault="000E0D9E" w:rsidP="000E0D9E">
      <w:pPr>
        <w:pStyle w:val="Caption"/>
      </w:pPr>
      <w:bookmarkStart w:id="406" w:name="_Ref81316927"/>
      <w:bookmarkStart w:id="407" w:name="_Toc108109031"/>
      <w:r>
        <w:t xml:space="preserve">Table </w:t>
      </w:r>
      <w:r>
        <w:fldChar w:fldCharType="begin"/>
      </w:r>
      <w:r>
        <w:instrText>SEQ Table \* ARABIC</w:instrText>
      </w:r>
      <w:r>
        <w:fldChar w:fldCharType="separate"/>
      </w:r>
      <w:r w:rsidR="00CC0438">
        <w:rPr>
          <w:noProof/>
        </w:rPr>
        <w:t>81</w:t>
      </w:r>
      <w:r>
        <w:fldChar w:fldCharType="end"/>
      </w:r>
      <w:bookmarkEnd w:id="406"/>
      <w:r>
        <w:t xml:space="preserve">: Definitions of </w:t>
      </w:r>
      <w:r w:rsidR="00E053B1">
        <w:t>K10</w:t>
      </w:r>
      <w:r>
        <w:t xml:space="preserve"> distress</w:t>
      </w:r>
      <w:r w:rsidR="00E053B1">
        <w:t xml:space="preserve"> </w:t>
      </w:r>
      <w:r>
        <w:t>level</w:t>
      </w:r>
      <w:bookmarkEnd w:id="407"/>
      <w:r>
        <w:t xml:space="preserve"> </w:t>
      </w:r>
    </w:p>
    <w:tbl>
      <w:tblPr>
        <w:tblStyle w:val="TableGrid"/>
        <w:tblW w:w="24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tions of K10 levels of distress"/>
        <w:tblDescription w:val="Table has 2 columns and summarises the definitions of level of distress for the K10 outcome measure Column 1 indicates the initial level of distress category. Column 2 summaries the definition of K10 levels of distress as a score range.&#10;"/>
      </w:tblPr>
      <w:tblGrid>
        <w:gridCol w:w="2266"/>
        <w:gridCol w:w="2267"/>
      </w:tblGrid>
      <w:tr w:rsidR="000E0D9E" w:rsidRPr="00D65A2D" w14:paraId="2A4F6967" w14:textId="77777777" w:rsidTr="007349DA">
        <w:tc>
          <w:tcPr>
            <w:tcW w:w="2500" w:type="pct"/>
            <w:tcBorders>
              <w:bottom w:val="single" w:sz="4" w:space="0" w:color="00338D"/>
            </w:tcBorders>
            <w:shd w:val="clear" w:color="auto" w:fill="00338D"/>
          </w:tcPr>
          <w:p w14:paraId="7770A951" w14:textId="77777777" w:rsidR="000E0D9E" w:rsidRDefault="000E0D9E" w:rsidP="002530E4">
            <w:pPr>
              <w:pStyle w:val="Tableheading"/>
            </w:pPr>
            <w:r>
              <w:t>Initial level of distress</w:t>
            </w:r>
          </w:p>
        </w:tc>
        <w:tc>
          <w:tcPr>
            <w:tcW w:w="2500" w:type="pct"/>
            <w:tcBorders>
              <w:bottom w:val="single" w:sz="4" w:space="0" w:color="00338D"/>
            </w:tcBorders>
            <w:shd w:val="clear" w:color="auto" w:fill="00338D"/>
          </w:tcPr>
          <w:p w14:paraId="381C8542" w14:textId="77777777" w:rsidR="000E0D9E" w:rsidRDefault="000E0D9E" w:rsidP="002530E4">
            <w:pPr>
              <w:pStyle w:val="Tableheading"/>
              <w:jc w:val="right"/>
            </w:pPr>
            <w:r>
              <w:t xml:space="preserve">K10 </w:t>
            </w:r>
          </w:p>
        </w:tc>
      </w:tr>
      <w:tr w:rsidR="000E0D9E" w14:paraId="18087EA0" w14:textId="77777777" w:rsidTr="007349DA">
        <w:tc>
          <w:tcPr>
            <w:tcW w:w="2500" w:type="pct"/>
            <w:tcBorders>
              <w:top w:val="single" w:sz="4" w:space="0" w:color="00338D"/>
              <w:bottom w:val="single" w:sz="2" w:space="0" w:color="808080" w:themeColor="background1" w:themeShade="80"/>
            </w:tcBorders>
          </w:tcPr>
          <w:p w14:paraId="438B65F1" w14:textId="77777777" w:rsidR="000E0D9E" w:rsidRPr="00E9488D" w:rsidRDefault="000E0D9E" w:rsidP="002530E4">
            <w:pPr>
              <w:pStyle w:val="Tabletext"/>
            </w:pPr>
            <w:r w:rsidRPr="00E0534F">
              <w:t xml:space="preserve">Low </w:t>
            </w:r>
          </w:p>
        </w:tc>
        <w:tc>
          <w:tcPr>
            <w:tcW w:w="2500" w:type="pct"/>
            <w:tcBorders>
              <w:top w:val="single" w:sz="4" w:space="0" w:color="00338D"/>
              <w:bottom w:val="single" w:sz="2" w:space="0" w:color="808080" w:themeColor="background1" w:themeShade="80"/>
            </w:tcBorders>
          </w:tcPr>
          <w:p w14:paraId="55D29A01" w14:textId="77777777" w:rsidR="000E0D9E" w:rsidRDefault="000E0D9E" w:rsidP="002530E4">
            <w:pPr>
              <w:pStyle w:val="Tabletext"/>
              <w:jc w:val="right"/>
            </w:pPr>
            <w:r>
              <w:t>10 to 15</w:t>
            </w:r>
          </w:p>
        </w:tc>
      </w:tr>
      <w:tr w:rsidR="000E0D9E" w14:paraId="06B2B223" w14:textId="77777777" w:rsidTr="007349DA">
        <w:tc>
          <w:tcPr>
            <w:tcW w:w="2500" w:type="pct"/>
            <w:tcBorders>
              <w:top w:val="single" w:sz="2" w:space="0" w:color="808080" w:themeColor="background1" w:themeShade="80"/>
              <w:bottom w:val="single" w:sz="2" w:space="0" w:color="808080" w:themeColor="background1" w:themeShade="80"/>
            </w:tcBorders>
          </w:tcPr>
          <w:p w14:paraId="18EE7D7E" w14:textId="77777777" w:rsidR="000E0D9E" w:rsidRPr="00796DE5" w:rsidRDefault="000E0D9E" w:rsidP="002530E4">
            <w:pPr>
              <w:pStyle w:val="Tabletext"/>
            </w:pPr>
            <w:r w:rsidRPr="00E0534F">
              <w:t xml:space="preserve">Moderate </w:t>
            </w:r>
          </w:p>
        </w:tc>
        <w:tc>
          <w:tcPr>
            <w:tcW w:w="2500" w:type="pct"/>
            <w:tcBorders>
              <w:top w:val="single" w:sz="2" w:space="0" w:color="808080" w:themeColor="background1" w:themeShade="80"/>
              <w:bottom w:val="single" w:sz="2" w:space="0" w:color="808080" w:themeColor="background1" w:themeShade="80"/>
            </w:tcBorders>
          </w:tcPr>
          <w:p w14:paraId="10511B8D" w14:textId="77777777" w:rsidR="000E0D9E" w:rsidRDefault="000E0D9E" w:rsidP="002530E4">
            <w:pPr>
              <w:pStyle w:val="Tabletext"/>
              <w:jc w:val="right"/>
            </w:pPr>
            <w:r>
              <w:t>16 to 21</w:t>
            </w:r>
          </w:p>
        </w:tc>
      </w:tr>
      <w:tr w:rsidR="000E0D9E" w14:paraId="61A3A5A0" w14:textId="77777777" w:rsidTr="007349DA">
        <w:tc>
          <w:tcPr>
            <w:tcW w:w="2500" w:type="pct"/>
            <w:tcBorders>
              <w:top w:val="single" w:sz="2" w:space="0" w:color="808080" w:themeColor="background1" w:themeShade="80"/>
              <w:bottom w:val="single" w:sz="2" w:space="0" w:color="808080" w:themeColor="background1" w:themeShade="80"/>
            </w:tcBorders>
          </w:tcPr>
          <w:p w14:paraId="1068923A" w14:textId="77777777" w:rsidR="000E0D9E" w:rsidRPr="00DD0CA3" w:rsidRDefault="000E0D9E" w:rsidP="002530E4">
            <w:pPr>
              <w:pStyle w:val="Tabletext"/>
            </w:pPr>
            <w:r w:rsidRPr="00E0534F">
              <w:t xml:space="preserve">High </w:t>
            </w:r>
          </w:p>
        </w:tc>
        <w:tc>
          <w:tcPr>
            <w:tcW w:w="2500" w:type="pct"/>
            <w:tcBorders>
              <w:top w:val="single" w:sz="2" w:space="0" w:color="808080" w:themeColor="background1" w:themeShade="80"/>
              <w:bottom w:val="single" w:sz="2" w:space="0" w:color="808080" w:themeColor="background1" w:themeShade="80"/>
            </w:tcBorders>
          </w:tcPr>
          <w:p w14:paraId="16BE86AD" w14:textId="77777777" w:rsidR="000E0D9E" w:rsidRDefault="000E0D9E" w:rsidP="002530E4">
            <w:pPr>
              <w:pStyle w:val="Tabletext"/>
              <w:jc w:val="right"/>
            </w:pPr>
            <w:r>
              <w:t>22 to 29</w:t>
            </w:r>
          </w:p>
        </w:tc>
      </w:tr>
      <w:tr w:rsidR="000E0D9E" w14:paraId="70997585" w14:textId="77777777" w:rsidTr="007349DA">
        <w:tc>
          <w:tcPr>
            <w:tcW w:w="2500" w:type="pct"/>
            <w:tcBorders>
              <w:top w:val="single" w:sz="2" w:space="0" w:color="808080" w:themeColor="background1" w:themeShade="80"/>
              <w:bottom w:val="single" w:sz="2" w:space="0" w:color="808080" w:themeColor="background1" w:themeShade="80"/>
            </w:tcBorders>
          </w:tcPr>
          <w:p w14:paraId="5E15C7CF" w14:textId="77777777" w:rsidR="000E0D9E" w:rsidRPr="005A529C" w:rsidRDefault="000E0D9E" w:rsidP="002530E4">
            <w:pPr>
              <w:pStyle w:val="Tabletext"/>
            </w:pPr>
            <w:r w:rsidRPr="00E0534F">
              <w:t xml:space="preserve">Very high </w:t>
            </w:r>
          </w:p>
        </w:tc>
        <w:tc>
          <w:tcPr>
            <w:tcW w:w="2500" w:type="pct"/>
            <w:tcBorders>
              <w:top w:val="single" w:sz="2" w:space="0" w:color="808080" w:themeColor="background1" w:themeShade="80"/>
              <w:bottom w:val="single" w:sz="2" w:space="0" w:color="808080" w:themeColor="background1" w:themeShade="80"/>
            </w:tcBorders>
          </w:tcPr>
          <w:p w14:paraId="049F447E" w14:textId="77777777" w:rsidR="000E0D9E" w:rsidRDefault="000E0D9E" w:rsidP="002530E4">
            <w:pPr>
              <w:pStyle w:val="Tabletext"/>
              <w:jc w:val="right"/>
            </w:pPr>
            <w:r>
              <w:t>30 to 50</w:t>
            </w:r>
          </w:p>
        </w:tc>
      </w:tr>
    </w:tbl>
    <w:p w14:paraId="4A3E5FDC" w14:textId="06D4FACA" w:rsidR="000E0D9E" w:rsidRPr="00CA2732" w:rsidRDefault="000E0D9E" w:rsidP="009B5E9A">
      <w:pPr>
        <w:pStyle w:val="Source"/>
      </w:pPr>
      <w:r w:rsidRPr="00CA2732">
        <w:t>Source: ABS</w:t>
      </w:r>
      <w:r>
        <w:t xml:space="preserve"> </w:t>
      </w:r>
      <w:r w:rsidRPr="00CA2732">
        <w:t>(</w:t>
      </w:r>
      <w:r>
        <w:t>2012</w:t>
      </w:r>
      <w:r w:rsidRPr="00CA2732">
        <w:t>)</w:t>
      </w:r>
      <w:r w:rsidR="00CC0438">
        <w:rPr>
          <w:rFonts w:ascii="ZWAdobeF" w:hAnsi="ZWAdobeF" w:cs="ZWAdobeF"/>
          <w:sz w:val="2"/>
          <w:szCs w:val="2"/>
        </w:rPr>
        <w:t>240F</w:t>
      </w:r>
      <w:r w:rsidR="00713208" w:rsidRPr="000F5672">
        <w:rPr>
          <w:rStyle w:val="FootnoteReference"/>
          <w:sz w:val="20"/>
        </w:rPr>
        <w:footnoteReference w:id="242"/>
      </w:r>
    </w:p>
    <w:p w14:paraId="7EA4302F" w14:textId="59895570" w:rsidR="002227E6" w:rsidRPr="002227E6" w:rsidRDefault="002227E6" w:rsidP="006A2570">
      <w:pPr>
        <w:pStyle w:val="BodyText"/>
      </w:pPr>
    </w:p>
    <w:p w14:paraId="671BEDE8" w14:textId="5B7E90EB" w:rsidR="004C6B02" w:rsidRDefault="004C6B02" w:rsidP="004C6B02">
      <w:pPr>
        <w:pStyle w:val="Appendixheading"/>
      </w:pPr>
      <w:bookmarkStart w:id="408" w:name="_Ref93922339"/>
      <w:bookmarkStart w:id="409" w:name="_Toc108174001"/>
      <w:r>
        <w:t xml:space="preserve">: </w:t>
      </w:r>
      <w:r w:rsidR="00834600">
        <w:t>Factors affect</w:t>
      </w:r>
      <w:r w:rsidR="00A77D69">
        <w:t>ing</w:t>
      </w:r>
      <w:r w:rsidR="00834600">
        <w:t xml:space="preserve"> the likelihood </w:t>
      </w:r>
      <w:r w:rsidR="00C44484">
        <w:t>of completing</w:t>
      </w:r>
      <w:r w:rsidR="00834600">
        <w:t xml:space="preserve"> the follow</w:t>
      </w:r>
      <w:r w:rsidR="00F01FA5">
        <w:t xml:space="preserve"> </w:t>
      </w:r>
      <w:r w:rsidR="00834600">
        <w:t>up survey</w:t>
      </w:r>
      <w:bookmarkEnd w:id="408"/>
      <w:bookmarkEnd w:id="409"/>
    </w:p>
    <w:p w14:paraId="4F333B37" w14:textId="49DCCFF9" w:rsidR="00902E5E" w:rsidRDefault="004C7757" w:rsidP="00902E5E">
      <w:pPr>
        <w:pStyle w:val="BodyText"/>
      </w:pPr>
      <w:r>
        <w:t>A multivariate logistic regression is estimated to analyse the probability of a young person</w:t>
      </w:r>
      <w:r w:rsidR="003B2A62">
        <w:t xml:space="preserve"> completing the follow</w:t>
      </w:r>
      <w:r w:rsidR="00F01FA5">
        <w:t xml:space="preserve"> </w:t>
      </w:r>
      <w:r w:rsidR="003B2A62">
        <w:t>up survey</w:t>
      </w:r>
      <w:r w:rsidR="00CA7AFB">
        <w:t>.</w:t>
      </w:r>
      <w:r w:rsidR="002A6C20">
        <w:t xml:space="preserve"> This analysis focuses on </w:t>
      </w:r>
      <w:r w:rsidR="00902E5E">
        <w:t>302,861</w:t>
      </w:r>
      <w:r w:rsidR="002A6C20">
        <w:t xml:space="preserve"> closed episodes, created </w:t>
      </w:r>
      <w:r w:rsidR="00902E5E">
        <w:t>from 2015-16 to 2019-20</w:t>
      </w:r>
      <w:r w:rsidR="002A6C20">
        <w:t xml:space="preserve">, from the ‘Episodes with only MH/situational primary issues’ dataset as illustrated in </w:t>
      </w:r>
      <w:r w:rsidR="00F51F96">
        <w:fldChar w:fldCharType="begin" w:fldLock="1"/>
      </w:r>
      <w:r w:rsidR="00F51F96">
        <w:instrText xml:space="preserve"> REF _Ref94023795 \h </w:instrText>
      </w:r>
      <w:r w:rsidR="00F51F96">
        <w:fldChar w:fldCharType="separate"/>
      </w:r>
      <w:r w:rsidR="00383E5A">
        <w:t xml:space="preserve">Table </w:t>
      </w:r>
      <w:r w:rsidR="00383E5A">
        <w:rPr>
          <w:noProof/>
        </w:rPr>
        <w:t>80</w:t>
      </w:r>
      <w:r w:rsidR="00F51F96">
        <w:fldChar w:fldCharType="end"/>
      </w:r>
      <w:r w:rsidR="002C7A4B">
        <w:t xml:space="preserve"> in </w:t>
      </w:r>
      <w:r w:rsidR="008715BB">
        <w:fldChar w:fldCharType="begin" w:fldLock="1"/>
      </w:r>
      <w:r w:rsidR="008715BB">
        <w:instrText xml:space="preserve"> REF _Ref98402466 \n \h </w:instrText>
      </w:r>
      <w:r w:rsidR="008715BB">
        <w:fldChar w:fldCharType="separate"/>
      </w:r>
      <w:r w:rsidR="00AE4D34">
        <w:t>Appendix F</w:t>
      </w:r>
      <w:r w:rsidR="008715BB">
        <w:fldChar w:fldCharType="end"/>
      </w:r>
      <w:r w:rsidR="002C7A4B">
        <w:t>.</w:t>
      </w:r>
      <w:r w:rsidR="00455917">
        <w:t xml:space="preserve"> Due to </w:t>
      </w:r>
      <w:r w:rsidR="00C82227">
        <w:t xml:space="preserve">missing data </w:t>
      </w:r>
      <w:r w:rsidR="00304CE6">
        <w:t xml:space="preserve">on young person’s characteristics, the sample size is </w:t>
      </w:r>
      <w:r w:rsidR="002A227E">
        <w:t>243,224</w:t>
      </w:r>
      <w:r w:rsidR="00146E3F">
        <w:t xml:space="preserve"> episodes.</w:t>
      </w:r>
      <w:r w:rsidR="00902E5E">
        <w:t xml:space="preserve"> This is done by estimating the following logistic regression:</w:t>
      </w:r>
    </w:p>
    <w:p w14:paraId="20ACBD1A" w14:textId="49B0B112" w:rsidR="00902E5E" w:rsidRDefault="00001BFC" w:rsidP="00902E5E">
      <w:pPr>
        <w:pStyle w:val="BodyText"/>
      </w:pPr>
      <m:oMathPara>
        <m:oMath>
          <m:r>
            <w:rPr>
              <w:rFonts w:ascii="Cambria Math" w:hAnsi="Cambria Math"/>
            </w:rPr>
            <m:t>Prob</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=1</m:t>
              </m:r>
            </m:e>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rPr>
                      </m:ctrlPr>
                    </m:sSupPr>
                    <m:e>
                      <m:r>
                        <m:rPr>
                          <m:sty m:val="p"/>
                        </m:rPr>
                        <w:rPr>
                          <w:rFonts w:ascii="Cambria Math" w:hAnsi="Cambria Math"/>
                        </w:rPr>
                        <m:t>λ</m:t>
                      </m:r>
                    </m:e>
                    <m:sup>
                      <m:r>
                        <w:rPr>
                          <w:rFonts w:ascii="Cambria Math" w:hAnsi="Cambria Math"/>
                        </w:rPr>
                        <m:t>'</m:t>
                      </m:r>
                    </m:sup>
                  </m:sSup>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i</m:t>
                      </m:r>
                    </m:sub>
                  </m:sSub>
                  <m:r>
                    <w:rPr>
                      <w:rFonts w:ascii="Cambria Math" w:hAnsi="Cambria Math"/>
                    </w:rPr>
                    <m:t>)</m:t>
                  </m:r>
                </m:sup>
              </m:sSup>
            </m:den>
          </m:f>
        </m:oMath>
      </m:oMathPara>
    </w:p>
    <w:p w14:paraId="1DDF5B66" w14:textId="77777777" w:rsidR="00902E5E" w:rsidRDefault="00902E5E" w:rsidP="00902E5E">
      <w:pPr>
        <w:pStyle w:val="BodyText"/>
      </w:pPr>
    </w:p>
    <w:p w14:paraId="5E632DFF" w14:textId="77777777" w:rsidR="00902E5E" w:rsidRDefault="00902E5E" w:rsidP="00902E5E">
      <w:pPr>
        <w:pStyle w:val="BodyText"/>
        <w:rPr>
          <w:rFonts w:eastAsiaTheme="minorEastAsia"/>
        </w:rPr>
      </w:pPr>
      <w:r>
        <w:rPr>
          <w:rFonts w:eastAsiaTheme="minorEastAsia"/>
        </w:rPr>
        <w:t>where:</w:t>
      </w:r>
    </w:p>
    <w:p w14:paraId="1DE86A27" w14:textId="5C24AEDD" w:rsidR="00902E5E" w:rsidRDefault="00F333C3" w:rsidP="00902E5E">
      <w:pPr>
        <w:pStyle w:val="Bullet1stlevel"/>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902E5E">
        <w:t xml:space="preserve"> represents an indicator variable if </w:t>
      </w:r>
      <w:r w:rsidR="00791C7D">
        <w:t xml:space="preserve">young person </w:t>
      </w:r>
      <w:r w:rsidR="00791C7D">
        <w:rPr>
          <w:i/>
          <w:iCs/>
        </w:rPr>
        <w:t>i</w:t>
      </w:r>
      <w:r w:rsidR="00791C7D">
        <w:t xml:space="preserve"> completed the follow</w:t>
      </w:r>
      <w:r w:rsidR="00F01FA5">
        <w:t xml:space="preserve"> </w:t>
      </w:r>
      <w:r w:rsidR="00791C7D">
        <w:t>up survey</w:t>
      </w:r>
    </w:p>
    <w:p w14:paraId="5BAE28AD" w14:textId="42A60B9B" w:rsidR="00902E5E" w:rsidRDefault="00F333C3" w:rsidP="006B2A8C">
      <w:pPr>
        <w:pStyle w:val="Bullet1stlevel"/>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902E5E" w:rsidRPr="00255937">
        <w:t xml:space="preserve"> represents a numerical constant;</w:t>
      </w:r>
    </w:p>
    <w:p w14:paraId="70DFF345" w14:textId="592B3D4A" w:rsidR="00840750" w:rsidRDefault="00F333C3" w:rsidP="00902E5E">
      <w:pPr>
        <w:pStyle w:val="Bullet1stlevel"/>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902E5E" w:rsidRPr="00255937">
        <w:t xml:space="preserve"> represents </w:t>
      </w:r>
      <w:r w:rsidR="00C414A3">
        <w:t>a vector</w:t>
      </w:r>
      <w:r w:rsidR="00902E5E" w:rsidRPr="00255937">
        <w:t xml:space="preserve"> of </w:t>
      </w:r>
      <w:r w:rsidR="00902E5E">
        <w:t>the young person’s demographic characteristics</w:t>
      </w:r>
      <w:r w:rsidR="00F4195D">
        <w:t xml:space="preserve"> including age, gender, Aboriginal and Torres Strait Islander status, culturally and linguistically diverse status, education level, rurality and main services the young person received at headspace</w:t>
      </w:r>
      <w:r w:rsidR="00902E5E">
        <w:t xml:space="preserve">. </w:t>
      </w:r>
    </w:p>
    <w:p w14:paraId="435B6CF5" w14:textId="77180E0D" w:rsidR="00902E5E" w:rsidRDefault="00001BFC" w:rsidP="00840750">
      <w:pPr>
        <w:pStyle w:val="Bullet1stlevel"/>
        <w:numPr>
          <w:ilvl w:val="0"/>
          <w:numId w:val="0"/>
        </w:numPr>
        <w:ind w:left="357"/>
      </w:pPr>
      <m:oMath>
        <m:r>
          <w:rPr>
            <w:rFonts w:ascii="Cambria Math" w:hAnsi="Cambria Math"/>
          </w:rPr>
          <m:t>β</m:t>
        </m:r>
      </m:oMath>
      <w:r w:rsidR="00902E5E" w:rsidRPr="00255937">
        <w:t xml:space="preserve"> </w:t>
      </w:r>
      <w:r w:rsidR="00902E5E">
        <w:t xml:space="preserve">represents the relevant </w:t>
      </w:r>
      <w:r w:rsidR="00902E5E" w:rsidRPr="00255937">
        <w:t>coefficient estimates</w:t>
      </w:r>
      <w:r w:rsidR="00902E5E">
        <w:t>;</w:t>
      </w:r>
    </w:p>
    <w:p w14:paraId="28ADBD5F" w14:textId="74066C67" w:rsidR="00840750" w:rsidRDefault="00F333C3" w:rsidP="00902E5E">
      <w:pPr>
        <w:pStyle w:val="Bullet1stlevel"/>
      </w:pP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902E5E" w:rsidRPr="00255937">
        <w:t xml:space="preserve"> represents </w:t>
      </w:r>
      <w:r w:rsidR="00C414A3">
        <w:t xml:space="preserve">a vector of </w:t>
      </w:r>
      <w:r w:rsidR="00902E5E" w:rsidRPr="00255937">
        <w:t>the</w:t>
      </w:r>
      <w:r w:rsidR="00902E5E">
        <w:t xml:space="preserve"> </w:t>
      </w:r>
      <w:r w:rsidR="0025749B">
        <w:t xml:space="preserve">intake and the final K10 </w:t>
      </w:r>
      <w:r w:rsidR="00FB381D">
        <w:t>measures</w:t>
      </w:r>
      <w:r w:rsidR="00902E5E">
        <w:t>.</w:t>
      </w:r>
    </w:p>
    <w:p w14:paraId="256FD35D" w14:textId="2C46B948" w:rsidR="00902E5E" w:rsidRDefault="00001BFC" w:rsidP="00840750">
      <w:pPr>
        <w:pStyle w:val="Bullet1stlevel"/>
        <w:numPr>
          <w:ilvl w:val="0"/>
          <w:numId w:val="0"/>
        </w:numPr>
        <w:ind w:left="357"/>
      </w:pPr>
      <m:oMath>
        <m:r>
          <m:rPr>
            <m:sty m:val="p"/>
          </m:rPr>
          <w:rPr>
            <w:rFonts w:ascii="Cambria Math" w:hAnsi="Cambria Math"/>
          </w:rPr>
          <m:t>λ</m:t>
        </m:r>
      </m:oMath>
      <w:r w:rsidR="00902E5E" w:rsidRPr="00255937">
        <w:t xml:space="preserve"> </w:t>
      </w:r>
      <w:r w:rsidR="00902E5E">
        <w:t xml:space="preserve">represents the relevant </w:t>
      </w:r>
      <w:r w:rsidR="00902E5E" w:rsidRPr="00255937">
        <w:t>coefficient estimates</w:t>
      </w:r>
      <w:r w:rsidR="00902E5E">
        <w:t>;</w:t>
      </w:r>
    </w:p>
    <w:p w14:paraId="4BEDD6F4" w14:textId="77777777" w:rsidR="00902E5E" w:rsidRDefault="00F333C3" w:rsidP="00902E5E">
      <w:pPr>
        <w:pStyle w:val="Bullet1stlevel"/>
      </w:pPr>
      <m:oMath>
        <m:sSub>
          <m:sSubPr>
            <m:ctrlPr>
              <w:rPr>
                <w:rFonts w:ascii="Cambria Math" w:hAnsi="Cambria Math"/>
              </w:rPr>
            </m:ctrlPr>
          </m:sSubPr>
          <m:e>
            <m:r>
              <m:rPr>
                <m:sty m:val="p"/>
              </m:rPr>
              <w:rPr>
                <w:rFonts w:ascii="Cambria Math" w:hAnsi="Cambria Math"/>
              </w:rPr>
              <m:t>ϵ</m:t>
            </m:r>
          </m:e>
          <m:sub>
            <m:r>
              <m:rPr>
                <m:sty m:val="p"/>
              </m:rPr>
              <w:rPr>
                <w:rFonts w:ascii="Cambria Math" w:hAnsi="Cambria Math"/>
              </w:rPr>
              <m:t>i</m:t>
            </m:r>
          </m:sub>
        </m:sSub>
      </m:oMath>
      <w:r w:rsidR="00902E5E" w:rsidRPr="00255937">
        <w:t xml:space="preserve"> represents an error component. </w:t>
      </w:r>
    </w:p>
    <w:p w14:paraId="44AF5D5F" w14:textId="4AF3CD9C" w:rsidR="00233436" w:rsidRDefault="00B769CA" w:rsidP="006A2570">
      <w:pPr>
        <w:pStyle w:val="BodyText"/>
      </w:pPr>
      <w:r>
        <w:t xml:space="preserve">The results show that </w:t>
      </w:r>
      <w:r w:rsidR="00EA69DB">
        <w:t>the completion of the follow</w:t>
      </w:r>
      <w:r w:rsidR="00F01FA5">
        <w:t xml:space="preserve"> </w:t>
      </w:r>
      <w:r w:rsidR="00EA69DB">
        <w:t xml:space="preserve">up survey </w:t>
      </w:r>
      <w:r w:rsidR="003262B2">
        <w:t>was</w:t>
      </w:r>
      <w:r w:rsidR="00EA69DB">
        <w:t xml:space="preserve"> not random</w:t>
      </w:r>
      <w:r w:rsidR="003262B2">
        <w:t xml:space="preserve">, </w:t>
      </w:r>
      <w:r w:rsidR="00B00F44">
        <w:t xml:space="preserve">but </w:t>
      </w:r>
      <w:r w:rsidR="004D473C">
        <w:t xml:space="preserve">dependent on </w:t>
      </w:r>
      <w:r w:rsidR="00BD7842">
        <w:t>young person’s characteristics,</w:t>
      </w:r>
      <w:r w:rsidR="0049540F">
        <w:t xml:space="preserve"> the main service provided and their </w:t>
      </w:r>
      <w:r w:rsidR="00727E38">
        <w:t>intake</w:t>
      </w:r>
      <w:r w:rsidR="0049540F">
        <w:t xml:space="preserve"> and final K10 </w:t>
      </w:r>
      <w:r w:rsidR="000A2C4E">
        <w:t>outcome measure</w:t>
      </w:r>
      <w:r w:rsidR="0049540F">
        <w:t xml:space="preserve">. The coefficients reported in </w:t>
      </w:r>
      <w:r w:rsidR="0049540F">
        <w:fldChar w:fldCharType="begin" w:fldLock="1"/>
      </w:r>
      <w:r w:rsidR="0049540F">
        <w:instrText xml:space="preserve"> REF _Ref94181131 \h </w:instrText>
      </w:r>
      <w:r w:rsidR="000A2C4E">
        <w:instrText xml:space="preserve"> \* MERGEFORMAT </w:instrText>
      </w:r>
      <w:r w:rsidR="0049540F">
        <w:fldChar w:fldCharType="separate"/>
      </w:r>
      <w:r w:rsidR="00383E5A">
        <w:t>Table 82</w:t>
      </w:r>
      <w:r w:rsidR="0049540F">
        <w:fldChar w:fldCharType="end"/>
      </w:r>
      <w:r w:rsidR="0049540F">
        <w:t xml:space="preserve"> are odd ratios.</w:t>
      </w:r>
      <w:r w:rsidR="00362A61">
        <w:t xml:space="preserve"> </w:t>
      </w:r>
      <w:r w:rsidR="000759E5">
        <w:t xml:space="preserve">Each coefficient implies the odds of </w:t>
      </w:r>
      <w:r w:rsidR="009D7F75">
        <w:t>completing the follow</w:t>
      </w:r>
      <w:r w:rsidR="00F01FA5">
        <w:t xml:space="preserve"> </w:t>
      </w:r>
      <w:r w:rsidR="009D7F75">
        <w:t xml:space="preserve">up survey compared to the reference group. </w:t>
      </w:r>
      <w:r w:rsidR="00A97803">
        <w:t xml:space="preserve">A </w:t>
      </w:r>
      <w:r w:rsidR="007C3F3F">
        <w:t xml:space="preserve">coefficient with the magnitude greater than one implies that </w:t>
      </w:r>
      <w:r w:rsidR="00C165F3">
        <w:t>the an</w:t>
      </w:r>
      <w:r w:rsidR="00397888">
        <w:t xml:space="preserve">alysed group is more likely to complete the survey </w:t>
      </w:r>
      <w:r w:rsidR="00B41104">
        <w:t>than the reference group.</w:t>
      </w:r>
      <w:r w:rsidR="00A97803">
        <w:t xml:space="preserve"> </w:t>
      </w:r>
      <w:r w:rsidR="009D7F75">
        <w:t>For example, the odd</w:t>
      </w:r>
      <w:r w:rsidR="00C654C4">
        <w:t>s of completing the follow</w:t>
      </w:r>
      <w:r w:rsidR="00F01FA5">
        <w:t xml:space="preserve"> </w:t>
      </w:r>
      <w:r w:rsidR="00C654C4">
        <w:t xml:space="preserve">up survey </w:t>
      </w:r>
      <w:r w:rsidR="00DA5B18">
        <w:t xml:space="preserve">for young persons aged 15 to 19 years old </w:t>
      </w:r>
      <w:r w:rsidR="004A63CD">
        <w:t>w</w:t>
      </w:r>
      <w:r w:rsidR="00C365CC">
        <w:t>ere</w:t>
      </w:r>
      <w:r w:rsidR="00DA5B18">
        <w:t xml:space="preserve"> 1.337 times th</w:t>
      </w:r>
      <w:r w:rsidR="00C22F3E">
        <w:t xml:space="preserve">ose </w:t>
      </w:r>
      <w:r w:rsidR="00DA5B18">
        <w:t xml:space="preserve">of </w:t>
      </w:r>
      <w:r w:rsidR="006D00DE">
        <w:t>young person aged under 15 years old</w:t>
      </w:r>
      <w:r w:rsidR="00052F9D">
        <w:t xml:space="preserve">. </w:t>
      </w:r>
      <w:r w:rsidR="00246A51">
        <w:t xml:space="preserve">Regarding the impacts of </w:t>
      </w:r>
      <w:r w:rsidR="000E0637">
        <w:t xml:space="preserve">the </w:t>
      </w:r>
      <w:r w:rsidR="00246A51">
        <w:t xml:space="preserve">K10 </w:t>
      </w:r>
      <w:r w:rsidR="000E0637">
        <w:t>outcome measure</w:t>
      </w:r>
      <w:r w:rsidR="00246A51">
        <w:t xml:space="preserve">, </w:t>
      </w:r>
      <w:r w:rsidR="00434789">
        <w:t>the odd</w:t>
      </w:r>
      <w:r w:rsidR="00F26863">
        <w:t xml:space="preserve">s ratio </w:t>
      </w:r>
      <w:r w:rsidR="0027420C">
        <w:t xml:space="preserve">for the </w:t>
      </w:r>
      <w:r w:rsidR="00727E38">
        <w:t>intake</w:t>
      </w:r>
      <w:r w:rsidR="0027420C">
        <w:t xml:space="preserve"> K10 </w:t>
      </w:r>
      <w:r w:rsidR="00364DA6">
        <w:t>was</w:t>
      </w:r>
      <w:r w:rsidR="0027420C">
        <w:t xml:space="preserve"> larger than 1 while the odds ratio for the final K10 </w:t>
      </w:r>
      <w:r w:rsidR="00674DCB">
        <w:t xml:space="preserve">and </w:t>
      </w:r>
      <w:r w:rsidR="004A71F2">
        <w:t xml:space="preserve">change </w:t>
      </w:r>
      <w:r w:rsidR="00674DCB">
        <w:t>in K10</w:t>
      </w:r>
      <w:r w:rsidR="0027420C">
        <w:t xml:space="preserve"> </w:t>
      </w:r>
      <w:r w:rsidR="00674DCB">
        <w:t xml:space="preserve">(Final K10– Intake K10) </w:t>
      </w:r>
      <w:r w:rsidR="009B1D72">
        <w:t>was</w:t>
      </w:r>
      <w:r w:rsidR="0027420C">
        <w:t xml:space="preserve"> smaller than 1. </w:t>
      </w:r>
      <w:r w:rsidR="000E0637">
        <w:t>Young</w:t>
      </w:r>
      <w:r w:rsidR="0027420C">
        <w:t xml:space="preserve"> persons with higher </w:t>
      </w:r>
      <w:r w:rsidR="00727E38">
        <w:t>intake</w:t>
      </w:r>
      <w:r w:rsidR="0027420C">
        <w:t xml:space="preserve"> </w:t>
      </w:r>
      <w:r w:rsidR="000E0637">
        <w:t>measure</w:t>
      </w:r>
      <w:r w:rsidR="00A32FBA">
        <w:t xml:space="preserve"> and lower final </w:t>
      </w:r>
      <w:r w:rsidR="000E0637">
        <w:t xml:space="preserve">outcome </w:t>
      </w:r>
      <w:r w:rsidR="00D366A1">
        <w:t xml:space="preserve">or more </w:t>
      </w:r>
      <w:r w:rsidR="00AB513E">
        <w:t>decrease in K10</w:t>
      </w:r>
      <w:r w:rsidR="000E0637">
        <w:t xml:space="preserve"> measure</w:t>
      </w:r>
      <w:r w:rsidR="0027420C">
        <w:t xml:space="preserve"> </w:t>
      </w:r>
      <w:r w:rsidR="00AC144F">
        <w:t>were</w:t>
      </w:r>
      <w:r w:rsidR="0027420C">
        <w:t xml:space="preserve"> more likely to </w:t>
      </w:r>
      <w:r w:rsidR="00A32FBA">
        <w:t>complete the survey.</w:t>
      </w:r>
    </w:p>
    <w:p w14:paraId="2C6F985D" w14:textId="77777777" w:rsidR="00840750" w:rsidRDefault="00840750">
      <w:pPr>
        <w:spacing w:before="0" w:after="160" w:line="259" w:lineRule="auto"/>
      </w:pPr>
      <w:r>
        <w:br w:type="page"/>
      </w:r>
    </w:p>
    <w:p w14:paraId="40915CC0" w14:textId="1551F27C" w:rsidR="00233436" w:rsidRPr="004C7757" w:rsidRDefault="00E26F0A" w:rsidP="00E26F0A">
      <w:pPr>
        <w:pStyle w:val="Caption"/>
      </w:pPr>
      <w:bookmarkStart w:id="410" w:name="_Ref94181131"/>
      <w:bookmarkStart w:id="411" w:name="_Toc108109032"/>
      <w:r>
        <w:t xml:space="preserve">Table </w:t>
      </w:r>
      <w:r>
        <w:fldChar w:fldCharType="begin"/>
      </w:r>
      <w:r>
        <w:instrText>SEQ Table \* ARABIC</w:instrText>
      </w:r>
      <w:r>
        <w:fldChar w:fldCharType="separate"/>
      </w:r>
      <w:r w:rsidR="00CC0438">
        <w:rPr>
          <w:noProof/>
        </w:rPr>
        <w:t>82</w:t>
      </w:r>
      <w:r>
        <w:fldChar w:fldCharType="end"/>
      </w:r>
      <w:bookmarkEnd w:id="410"/>
      <w:r>
        <w:t>: Logit regression of completing the follow</w:t>
      </w:r>
      <w:r w:rsidR="00F01FA5">
        <w:t xml:space="preserve"> </w:t>
      </w:r>
      <w:r>
        <w:t>up survey</w:t>
      </w:r>
      <w:bookmarkEnd w:id="411"/>
    </w:p>
    <w:tbl>
      <w:tblPr>
        <w:tblW w:w="5038" w:type="pct"/>
        <w:tblLook w:val="04A0" w:firstRow="1" w:lastRow="0" w:firstColumn="1" w:lastColumn="0" w:noHBand="0" w:noVBand="1"/>
        <w:tblCaption w:val="Logit regression of completing the follow up survey"/>
        <w:tblDescription w:val="Table has 3 columns and summarises the logit regression of young people completing the follow-up survey. Column 1 includes the independent variables analysed. Column 2 lists the probability of receiving two or more occasions of service."/>
      </w:tblPr>
      <w:tblGrid>
        <w:gridCol w:w="2766"/>
        <w:gridCol w:w="71"/>
        <w:gridCol w:w="3082"/>
        <w:gridCol w:w="3151"/>
        <w:gridCol w:w="69"/>
      </w:tblGrid>
      <w:tr w:rsidR="008E7E23" w:rsidRPr="008B4FEC" w14:paraId="56670285" w14:textId="63DCAC16" w:rsidTr="00BE0AC4">
        <w:trPr>
          <w:tblHeader/>
        </w:trPr>
        <w:tc>
          <w:tcPr>
            <w:tcW w:w="1552" w:type="pct"/>
            <w:gridSpan w:val="2"/>
            <w:tcBorders>
              <w:bottom w:val="single" w:sz="4" w:space="0" w:color="00338D"/>
            </w:tcBorders>
            <w:shd w:val="clear" w:color="auto" w:fill="00338D"/>
          </w:tcPr>
          <w:p w14:paraId="3819B44B" w14:textId="77777777" w:rsidR="008E7E23" w:rsidRDefault="008E7E23" w:rsidP="00D20ABA">
            <w:pPr>
              <w:pStyle w:val="Tableheading"/>
            </w:pPr>
          </w:p>
        </w:tc>
        <w:tc>
          <w:tcPr>
            <w:tcW w:w="3448" w:type="pct"/>
            <w:gridSpan w:val="3"/>
            <w:tcBorders>
              <w:bottom w:val="single" w:sz="4" w:space="0" w:color="00338D"/>
            </w:tcBorders>
            <w:shd w:val="clear" w:color="auto" w:fill="00338D"/>
          </w:tcPr>
          <w:p w14:paraId="3BF5CCE0" w14:textId="3707F33E" w:rsidR="00247A3A" w:rsidRPr="008B4FEC" w:rsidRDefault="00BE0AC4" w:rsidP="00BE0AC4">
            <w:pPr>
              <w:pStyle w:val="Tableheading"/>
              <w:ind w:hanging="175"/>
              <w:jc w:val="center"/>
              <w:rPr>
                <w:rFonts w:eastAsia="Times New Roman"/>
              </w:rPr>
            </w:pPr>
            <w:r w:rsidRPr="008B4FEC">
              <w:rPr>
                <w:rFonts w:eastAsia="Times New Roman"/>
              </w:rPr>
              <w:t xml:space="preserve">Probability </w:t>
            </w:r>
            <w:r>
              <w:rPr>
                <w:rFonts w:eastAsia="Times New Roman"/>
              </w:rPr>
              <w:t>of completing</w:t>
            </w:r>
            <w:r w:rsidRPr="008B4FEC">
              <w:rPr>
                <w:rFonts w:eastAsia="Times New Roman"/>
              </w:rPr>
              <w:t xml:space="preserve"> the follow</w:t>
            </w:r>
            <w:r w:rsidR="00F01FA5">
              <w:rPr>
                <w:rFonts w:eastAsia="Times New Roman"/>
              </w:rPr>
              <w:t xml:space="preserve"> </w:t>
            </w:r>
            <w:r w:rsidRPr="008B4FEC">
              <w:rPr>
                <w:rFonts w:eastAsia="Times New Roman"/>
              </w:rPr>
              <w:t>up survey</w:t>
            </w:r>
          </w:p>
        </w:tc>
      </w:tr>
      <w:tr w:rsidR="00266DCE" w:rsidRPr="001F67CF" w14:paraId="35D7E0C3" w14:textId="766CCC27" w:rsidTr="00266DCE">
        <w:trPr>
          <w:gridAfter w:val="1"/>
          <w:wAfter w:w="38" w:type="pct"/>
        </w:trPr>
        <w:tc>
          <w:tcPr>
            <w:tcW w:w="4962" w:type="pct"/>
            <w:gridSpan w:val="4"/>
            <w:tcBorders>
              <w:top w:val="single" w:sz="4" w:space="0" w:color="00338D"/>
              <w:bottom w:val="single" w:sz="4" w:space="0" w:color="auto"/>
            </w:tcBorders>
          </w:tcPr>
          <w:p w14:paraId="4764F5A1" w14:textId="7647122C" w:rsidR="00266DCE" w:rsidRPr="0058277D" w:rsidRDefault="00266DCE" w:rsidP="00266DCE">
            <w:pPr>
              <w:pStyle w:val="Tabletext"/>
              <w:rPr>
                <w:b/>
                <w:szCs w:val="20"/>
              </w:rPr>
            </w:pPr>
            <w:bookmarkStart w:id="412" w:name="_Hlk95132201"/>
            <w:r w:rsidRPr="0058277D">
              <w:rPr>
                <w:b/>
                <w:szCs w:val="20"/>
              </w:rPr>
              <w:t>Age categories (ref = younger than 15 years)</w:t>
            </w:r>
          </w:p>
        </w:tc>
      </w:tr>
      <w:tr w:rsidR="007012D1" w:rsidRPr="006D013D" w14:paraId="3252134B" w14:textId="1B9D1B80" w:rsidTr="00D77971">
        <w:trPr>
          <w:gridAfter w:val="1"/>
          <w:wAfter w:w="38" w:type="pct"/>
          <w:trHeight w:val="170"/>
        </w:trPr>
        <w:tc>
          <w:tcPr>
            <w:tcW w:w="1513" w:type="pct"/>
            <w:vMerge w:val="restart"/>
            <w:tcBorders>
              <w:top w:val="single" w:sz="4" w:space="0" w:color="auto"/>
              <w:bottom w:val="single" w:sz="4" w:space="0" w:color="auto"/>
            </w:tcBorders>
            <w:vAlign w:val="center"/>
          </w:tcPr>
          <w:p w14:paraId="35D6784D" w14:textId="5E1D8063" w:rsidR="007012D1" w:rsidRPr="00CE5AED" w:rsidRDefault="007012D1" w:rsidP="00D77971">
            <w:pPr>
              <w:pStyle w:val="Tabletext"/>
            </w:pPr>
            <w:r w:rsidRPr="00CE5AED">
              <w:t>15 to 19 years old</w:t>
            </w:r>
          </w:p>
        </w:tc>
        <w:tc>
          <w:tcPr>
            <w:tcW w:w="1725" w:type="pct"/>
            <w:gridSpan w:val="2"/>
            <w:tcBorders>
              <w:top w:val="single" w:sz="4" w:space="0" w:color="auto"/>
            </w:tcBorders>
          </w:tcPr>
          <w:p w14:paraId="7FD1E52E" w14:textId="5D45F7E6" w:rsidR="007012D1" w:rsidRPr="00CE5AED" w:rsidRDefault="00247A3A" w:rsidP="00CE5AED">
            <w:pPr>
              <w:pStyle w:val="Tabletext"/>
              <w:jc w:val="center"/>
            </w:pPr>
            <w:r w:rsidRPr="00CE5AED">
              <w:t>1.3**</w:t>
            </w:r>
          </w:p>
        </w:tc>
        <w:tc>
          <w:tcPr>
            <w:tcW w:w="1724" w:type="pct"/>
            <w:tcBorders>
              <w:top w:val="single" w:sz="4" w:space="0" w:color="auto"/>
            </w:tcBorders>
            <w:vAlign w:val="bottom"/>
          </w:tcPr>
          <w:p w14:paraId="3F971FC3" w14:textId="18A66A14" w:rsidR="00247A3A" w:rsidRPr="00CE5AED" w:rsidRDefault="00247A3A" w:rsidP="00CE5AED">
            <w:pPr>
              <w:pStyle w:val="Tabletext"/>
              <w:jc w:val="center"/>
            </w:pPr>
            <w:r w:rsidRPr="00CE5AED">
              <w:t>1.3976**</w:t>
            </w:r>
          </w:p>
        </w:tc>
      </w:tr>
      <w:tr w:rsidR="007012D1" w:rsidRPr="006D013D" w14:paraId="1405EB5C" w14:textId="55DB5F0C" w:rsidTr="00D77971">
        <w:trPr>
          <w:gridAfter w:val="1"/>
          <w:wAfter w:w="38" w:type="pct"/>
          <w:trHeight w:val="170"/>
        </w:trPr>
        <w:tc>
          <w:tcPr>
            <w:tcW w:w="1513" w:type="pct"/>
            <w:vMerge/>
            <w:tcBorders>
              <w:bottom w:val="single" w:sz="4" w:space="0" w:color="auto"/>
            </w:tcBorders>
            <w:vAlign w:val="center"/>
          </w:tcPr>
          <w:p w14:paraId="247B18ED" w14:textId="77777777" w:rsidR="007012D1" w:rsidRPr="00CE5AED" w:rsidRDefault="007012D1" w:rsidP="00D77971">
            <w:pPr>
              <w:pStyle w:val="Tabletext"/>
            </w:pPr>
          </w:p>
        </w:tc>
        <w:tc>
          <w:tcPr>
            <w:tcW w:w="1725" w:type="pct"/>
            <w:gridSpan w:val="2"/>
            <w:tcBorders>
              <w:bottom w:val="single" w:sz="4" w:space="0" w:color="auto"/>
            </w:tcBorders>
          </w:tcPr>
          <w:p w14:paraId="21780288" w14:textId="6FBC5CDB" w:rsidR="007012D1" w:rsidRPr="00CE5AED" w:rsidRDefault="007012D1" w:rsidP="00CE5AED">
            <w:pPr>
              <w:pStyle w:val="Tabletext"/>
              <w:jc w:val="center"/>
            </w:pPr>
            <w:r w:rsidRPr="00CE5AED">
              <w:t>(0.0</w:t>
            </w:r>
            <w:r w:rsidR="000A079F" w:rsidRPr="00CE5AED">
              <w:t>4</w:t>
            </w:r>
            <w:r w:rsidRPr="00CE5AED">
              <w:t>)</w:t>
            </w:r>
          </w:p>
        </w:tc>
        <w:tc>
          <w:tcPr>
            <w:tcW w:w="1724" w:type="pct"/>
            <w:tcBorders>
              <w:bottom w:val="single" w:sz="4" w:space="0" w:color="auto"/>
            </w:tcBorders>
            <w:vAlign w:val="bottom"/>
          </w:tcPr>
          <w:p w14:paraId="403F7E10" w14:textId="43404DB1" w:rsidR="00247A3A" w:rsidRPr="00CE5AED" w:rsidRDefault="00247A3A" w:rsidP="00CE5AED">
            <w:pPr>
              <w:pStyle w:val="Tabletext"/>
              <w:jc w:val="center"/>
            </w:pPr>
            <w:r w:rsidRPr="00CE5AED">
              <w:t>(0.0414)</w:t>
            </w:r>
          </w:p>
        </w:tc>
      </w:tr>
      <w:tr w:rsidR="007012D1" w:rsidRPr="006D013D" w14:paraId="522EC4D5" w14:textId="577F3849" w:rsidTr="00D77971">
        <w:trPr>
          <w:gridAfter w:val="1"/>
          <w:wAfter w:w="38" w:type="pct"/>
          <w:trHeight w:val="170"/>
        </w:trPr>
        <w:tc>
          <w:tcPr>
            <w:tcW w:w="1513" w:type="pct"/>
            <w:vMerge w:val="restart"/>
            <w:tcBorders>
              <w:top w:val="single" w:sz="4" w:space="0" w:color="auto"/>
              <w:bottom w:val="single" w:sz="4" w:space="0" w:color="auto"/>
            </w:tcBorders>
            <w:vAlign w:val="center"/>
          </w:tcPr>
          <w:p w14:paraId="647F6EC5" w14:textId="2CD34E3A" w:rsidR="007012D1" w:rsidRPr="00CE5AED" w:rsidRDefault="007012D1" w:rsidP="00D77971">
            <w:pPr>
              <w:pStyle w:val="Tabletext"/>
            </w:pPr>
            <w:r w:rsidRPr="00CE5AED">
              <w:t>20 to 24 years old</w:t>
            </w:r>
          </w:p>
        </w:tc>
        <w:tc>
          <w:tcPr>
            <w:tcW w:w="1725" w:type="pct"/>
            <w:gridSpan w:val="2"/>
            <w:tcBorders>
              <w:top w:val="single" w:sz="4" w:space="0" w:color="auto"/>
            </w:tcBorders>
          </w:tcPr>
          <w:p w14:paraId="07C95782" w14:textId="747DDD38" w:rsidR="007012D1" w:rsidRPr="00CE5AED" w:rsidRDefault="000A079F" w:rsidP="00CE5AED">
            <w:pPr>
              <w:pStyle w:val="Tabletext"/>
              <w:jc w:val="center"/>
            </w:pPr>
            <w:r w:rsidRPr="00CE5AED">
              <w:t>1</w:t>
            </w:r>
            <w:r w:rsidR="007012D1" w:rsidRPr="00CE5AED">
              <w:t>.</w:t>
            </w:r>
            <w:r w:rsidRPr="00CE5AED">
              <w:t>0</w:t>
            </w:r>
          </w:p>
        </w:tc>
        <w:tc>
          <w:tcPr>
            <w:tcW w:w="1724" w:type="pct"/>
            <w:tcBorders>
              <w:top w:val="single" w:sz="4" w:space="0" w:color="auto"/>
            </w:tcBorders>
            <w:vAlign w:val="bottom"/>
          </w:tcPr>
          <w:p w14:paraId="2E59CD73" w14:textId="14F163A2" w:rsidR="00247A3A" w:rsidRPr="00CE5AED" w:rsidRDefault="00247A3A" w:rsidP="00CE5AED">
            <w:pPr>
              <w:pStyle w:val="Tabletext"/>
              <w:jc w:val="center"/>
            </w:pPr>
            <w:r w:rsidRPr="00CE5AED">
              <w:t>1.0497</w:t>
            </w:r>
          </w:p>
        </w:tc>
      </w:tr>
      <w:tr w:rsidR="007012D1" w:rsidRPr="006D013D" w14:paraId="19D6A476" w14:textId="2A5DE642" w:rsidTr="00D77971">
        <w:trPr>
          <w:gridAfter w:val="1"/>
          <w:wAfter w:w="38" w:type="pct"/>
          <w:trHeight w:val="170"/>
        </w:trPr>
        <w:tc>
          <w:tcPr>
            <w:tcW w:w="1513" w:type="pct"/>
            <w:vMerge/>
            <w:tcBorders>
              <w:bottom w:val="single" w:sz="4" w:space="0" w:color="auto"/>
            </w:tcBorders>
            <w:vAlign w:val="center"/>
          </w:tcPr>
          <w:p w14:paraId="4D30F736" w14:textId="77777777" w:rsidR="007012D1" w:rsidRPr="00CE5AED" w:rsidRDefault="007012D1" w:rsidP="00D77971">
            <w:pPr>
              <w:pStyle w:val="Tabletext"/>
            </w:pPr>
          </w:p>
        </w:tc>
        <w:tc>
          <w:tcPr>
            <w:tcW w:w="1725" w:type="pct"/>
            <w:gridSpan w:val="2"/>
            <w:tcBorders>
              <w:bottom w:val="single" w:sz="4" w:space="0" w:color="auto"/>
            </w:tcBorders>
          </w:tcPr>
          <w:p w14:paraId="6A88B6B8" w14:textId="135B73C3" w:rsidR="007012D1" w:rsidRPr="00CE5AED" w:rsidRDefault="007012D1" w:rsidP="00CE5AED">
            <w:pPr>
              <w:pStyle w:val="Tabletext"/>
              <w:jc w:val="center"/>
            </w:pPr>
            <w:r w:rsidRPr="00CE5AED">
              <w:t>(0.0</w:t>
            </w:r>
            <w:r w:rsidR="000A079F" w:rsidRPr="00CE5AED">
              <w:t>4</w:t>
            </w:r>
            <w:r w:rsidRPr="00CE5AED">
              <w:t>)</w:t>
            </w:r>
          </w:p>
        </w:tc>
        <w:tc>
          <w:tcPr>
            <w:tcW w:w="1724" w:type="pct"/>
            <w:tcBorders>
              <w:bottom w:val="single" w:sz="4" w:space="0" w:color="auto"/>
            </w:tcBorders>
            <w:vAlign w:val="bottom"/>
          </w:tcPr>
          <w:p w14:paraId="46AD6EF4" w14:textId="0B87F9A6" w:rsidR="00247A3A" w:rsidRPr="00CE5AED" w:rsidRDefault="00247A3A" w:rsidP="00CE5AED">
            <w:pPr>
              <w:pStyle w:val="Tabletext"/>
              <w:jc w:val="center"/>
            </w:pPr>
            <w:r w:rsidRPr="00CE5AED">
              <w:t>(0.0387)</w:t>
            </w:r>
          </w:p>
        </w:tc>
      </w:tr>
      <w:tr w:rsidR="007012D1" w:rsidRPr="006D013D" w14:paraId="2328DDE2" w14:textId="0F93C931" w:rsidTr="00D77971">
        <w:trPr>
          <w:gridAfter w:val="1"/>
          <w:wAfter w:w="38" w:type="pct"/>
          <w:trHeight w:val="170"/>
        </w:trPr>
        <w:tc>
          <w:tcPr>
            <w:tcW w:w="1513" w:type="pct"/>
            <w:vMerge w:val="restart"/>
            <w:tcBorders>
              <w:top w:val="single" w:sz="4" w:space="0" w:color="auto"/>
            </w:tcBorders>
            <w:vAlign w:val="center"/>
          </w:tcPr>
          <w:p w14:paraId="78AEAA64" w14:textId="416CCF00" w:rsidR="007012D1" w:rsidRPr="00CE5AED" w:rsidRDefault="007012D1" w:rsidP="00D77971">
            <w:pPr>
              <w:pStyle w:val="Tabletext"/>
            </w:pPr>
            <w:r w:rsidRPr="00CE5AED">
              <w:t>Older than 24 years</w:t>
            </w:r>
          </w:p>
        </w:tc>
        <w:tc>
          <w:tcPr>
            <w:tcW w:w="1725" w:type="pct"/>
            <w:gridSpan w:val="2"/>
            <w:tcBorders>
              <w:top w:val="single" w:sz="4" w:space="0" w:color="auto"/>
            </w:tcBorders>
          </w:tcPr>
          <w:p w14:paraId="5FCBA940" w14:textId="794B5062" w:rsidR="007012D1" w:rsidRPr="00CE5AED" w:rsidRDefault="007012D1" w:rsidP="00CE5AED">
            <w:pPr>
              <w:pStyle w:val="Tabletext"/>
              <w:jc w:val="center"/>
            </w:pPr>
            <w:r w:rsidRPr="00CE5AED">
              <w:t>0.</w:t>
            </w:r>
            <w:r w:rsidR="000A079F" w:rsidRPr="00CE5AED">
              <w:t>8</w:t>
            </w:r>
            <w:r w:rsidRPr="00CE5AED">
              <w:t>**</w:t>
            </w:r>
          </w:p>
        </w:tc>
        <w:tc>
          <w:tcPr>
            <w:tcW w:w="1724" w:type="pct"/>
            <w:tcBorders>
              <w:top w:val="single" w:sz="4" w:space="0" w:color="auto"/>
            </w:tcBorders>
            <w:vAlign w:val="bottom"/>
          </w:tcPr>
          <w:p w14:paraId="7997F205" w14:textId="7A8106D4" w:rsidR="00247A3A" w:rsidRPr="00CE5AED" w:rsidRDefault="00247A3A" w:rsidP="00CE5AED">
            <w:pPr>
              <w:pStyle w:val="Tabletext"/>
              <w:jc w:val="center"/>
            </w:pPr>
            <w:r w:rsidRPr="00CE5AED">
              <w:t>0.8969</w:t>
            </w:r>
          </w:p>
        </w:tc>
      </w:tr>
      <w:tr w:rsidR="007012D1" w:rsidRPr="006D013D" w14:paraId="16B7CFA9" w14:textId="18C8AE5F" w:rsidTr="0048214F">
        <w:trPr>
          <w:gridAfter w:val="1"/>
          <w:wAfter w:w="38" w:type="pct"/>
          <w:trHeight w:val="170"/>
        </w:trPr>
        <w:tc>
          <w:tcPr>
            <w:tcW w:w="1513" w:type="pct"/>
            <w:vMerge/>
            <w:tcBorders>
              <w:bottom w:val="single" w:sz="4" w:space="0" w:color="auto"/>
            </w:tcBorders>
          </w:tcPr>
          <w:p w14:paraId="78D99EEC" w14:textId="72A2A45A" w:rsidR="007012D1" w:rsidRPr="00CE5AED" w:rsidRDefault="007012D1" w:rsidP="00CE5AED">
            <w:pPr>
              <w:pStyle w:val="Tabletext"/>
            </w:pPr>
          </w:p>
        </w:tc>
        <w:tc>
          <w:tcPr>
            <w:tcW w:w="1725" w:type="pct"/>
            <w:gridSpan w:val="2"/>
            <w:tcBorders>
              <w:bottom w:val="single" w:sz="4" w:space="0" w:color="auto"/>
            </w:tcBorders>
          </w:tcPr>
          <w:p w14:paraId="4FB2BADF" w14:textId="53ADDCB2" w:rsidR="007012D1" w:rsidRPr="00CE5AED" w:rsidRDefault="007012D1" w:rsidP="00CE5AED">
            <w:pPr>
              <w:pStyle w:val="Tabletext"/>
              <w:jc w:val="center"/>
            </w:pPr>
            <w:r w:rsidRPr="00CE5AED">
              <w:t>(0.0</w:t>
            </w:r>
            <w:r w:rsidR="000A079F" w:rsidRPr="00CE5AED">
              <w:t>7</w:t>
            </w:r>
            <w:r w:rsidRPr="00CE5AED">
              <w:t>)</w:t>
            </w:r>
          </w:p>
        </w:tc>
        <w:tc>
          <w:tcPr>
            <w:tcW w:w="1724" w:type="pct"/>
            <w:tcBorders>
              <w:bottom w:val="single" w:sz="4" w:space="0" w:color="auto"/>
            </w:tcBorders>
            <w:vAlign w:val="bottom"/>
          </w:tcPr>
          <w:p w14:paraId="66361B7E" w14:textId="2476A8E2" w:rsidR="00247A3A" w:rsidRPr="00CE5AED" w:rsidRDefault="00247A3A" w:rsidP="00CE5AED">
            <w:pPr>
              <w:pStyle w:val="Tabletext"/>
              <w:jc w:val="center"/>
            </w:pPr>
            <w:r w:rsidRPr="00CE5AED">
              <w:t>(0.0777)</w:t>
            </w:r>
          </w:p>
        </w:tc>
      </w:tr>
      <w:bookmarkEnd w:id="412"/>
      <w:tr w:rsidR="00266DCE" w:rsidRPr="006D013D" w14:paraId="2ACDC9DE" w14:textId="1D6D9579" w:rsidTr="00266DCE">
        <w:trPr>
          <w:gridAfter w:val="1"/>
          <w:wAfter w:w="38" w:type="pct"/>
          <w:trHeight w:val="170"/>
        </w:trPr>
        <w:tc>
          <w:tcPr>
            <w:tcW w:w="4962" w:type="pct"/>
            <w:gridSpan w:val="4"/>
            <w:tcBorders>
              <w:top w:val="single" w:sz="4" w:space="0" w:color="auto"/>
              <w:bottom w:val="single" w:sz="4" w:space="0" w:color="auto"/>
            </w:tcBorders>
            <w:vAlign w:val="center"/>
          </w:tcPr>
          <w:p w14:paraId="3C0C7EDD" w14:textId="22BE8CD9" w:rsidR="00266DCE" w:rsidRPr="0058277D" w:rsidRDefault="00266DCE" w:rsidP="00266DCE">
            <w:pPr>
              <w:pStyle w:val="Tabletext"/>
              <w:rPr>
                <w:szCs w:val="20"/>
              </w:rPr>
            </w:pPr>
            <w:r w:rsidRPr="0058277D">
              <w:rPr>
                <w:b/>
                <w:szCs w:val="20"/>
              </w:rPr>
              <w:t>Gender (ref = Male)</w:t>
            </w:r>
          </w:p>
        </w:tc>
      </w:tr>
      <w:tr w:rsidR="00266DCE" w:rsidRPr="006D013D" w14:paraId="2211C4AE" w14:textId="0A89F79B" w:rsidTr="0048214F">
        <w:trPr>
          <w:gridAfter w:val="1"/>
          <w:wAfter w:w="38" w:type="pct"/>
          <w:trHeight w:val="170"/>
        </w:trPr>
        <w:tc>
          <w:tcPr>
            <w:tcW w:w="1513" w:type="pct"/>
            <w:vMerge w:val="restart"/>
            <w:tcBorders>
              <w:top w:val="single" w:sz="4" w:space="0" w:color="auto"/>
            </w:tcBorders>
            <w:vAlign w:val="center"/>
          </w:tcPr>
          <w:p w14:paraId="4577E311" w14:textId="270A5D2C" w:rsidR="00266DCE" w:rsidRPr="009C046C" w:rsidRDefault="00266DCE" w:rsidP="009C046C">
            <w:pPr>
              <w:pStyle w:val="Tabletext"/>
            </w:pPr>
            <w:r w:rsidRPr="009C046C">
              <w:t>Female</w:t>
            </w:r>
          </w:p>
        </w:tc>
        <w:tc>
          <w:tcPr>
            <w:tcW w:w="1725" w:type="pct"/>
            <w:gridSpan w:val="2"/>
            <w:tcBorders>
              <w:top w:val="single" w:sz="4" w:space="0" w:color="auto"/>
            </w:tcBorders>
          </w:tcPr>
          <w:p w14:paraId="234ED36D" w14:textId="0D4CE280" w:rsidR="00266DCE" w:rsidRPr="0058277D" w:rsidRDefault="00266DCE" w:rsidP="0048214F">
            <w:pPr>
              <w:pStyle w:val="Tabletext"/>
              <w:ind w:firstLine="35"/>
              <w:jc w:val="center"/>
              <w:rPr>
                <w:szCs w:val="20"/>
              </w:rPr>
            </w:pPr>
            <w:r w:rsidRPr="0058277D">
              <w:rPr>
                <w:szCs w:val="20"/>
              </w:rPr>
              <w:t>1.8**</w:t>
            </w:r>
          </w:p>
        </w:tc>
        <w:tc>
          <w:tcPr>
            <w:tcW w:w="1724" w:type="pct"/>
            <w:tcBorders>
              <w:top w:val="single" w:sz="4" w:space="0" w:color="auto"/>
            </w:tcBorders>
            <w:vAlign w:val="bottom"/>
          </w:tcPr>
          <w:p w14:paraId="6A9B7087" w14:textId="1A818416" w:rsidR="00266DCE" w:rsidRPr="00CE5AED" w:rsidRDefault="00266DCE" w:rsidP="00CE5AED">
            <w:pPr>
              <w:pStyle w:val="Tabletext"/>
              <w:jc w:val="center"/>
            </w:pPr>
            <w:r w:rsidRPr="00CE5AED">
              <w:t>1.8250**</w:t>
            </w:r>
          </w:p>
        </w:tc>
      </w:tr>
      <w:tr w:rsidR="00266DCE" w:rsidRPr="006D013D" w14:paraId="07558214" w14:textId="42CB1E20" w:rsidTr="0048214F">
        <w:trPr>
          <w:gridAfter w:val="1"/>
          <w:wAfter w:w="38" w:type="pct"/>
          <w:trHeight w:val="170"/>
        </w:trPr>
        <w:tc>
          <w:tcPr>
            <w:tcW w:w="1513" w:type="pct"/>
            <w:vMerge/>
            <w:tcBorders>
              <w:bottom w:val="single" w:sz="4" w:space="0" w:color="000000"/>
            </w:tcBorders>
            <w:vAlign w:val="center"/>
          </w:tcPr>
          <w:p w14:paraId="11BAE836" w14:textId="77777777" w:rsidR="00266DCE" w:rsidRPr="009C046C" w:rsidRDefault="00266DCE" w:rsidP="009C046C">
            <w:pPr>
              <w:pStyle w:val="Tabletext"/>
            </w:pPr>
          </w:p>
        </w:tc>
        <w:tc>
          <w:tcPr>
            <w:tcW w:w="1725" w:type="pct"/>
            <w:gridSpan w:val="2"/>
            <w:tcBorders>
              <w:bottom w:val="single" w:sz="4" w:space="0" w:color="000000"/>
            </w:tcBorders>
          </w:tcPr>
          <w:p w14:paraId="4A6B096D" w14:textId="40873061" w:rsidR="00266DCE" w:rsidRPr="0058277D" w:rsidRDefault="00266DCE" w:rsidP="0048214F">
            <w:pPr>
              <w:pStyle w:val="Tabletext"/>
              <w:ind w:firstLine="35"/>
              <w:jc w:val="center"/>
              <w:rPr>
                <w:szCs w:val="20"/>
              </w:rPr>
            </w:pPr>
            <w:r w:rsidRPr="0058277D">
              <w:rPr>
                <w:szCs w:val="20"/>
              </w:rPr>
              <w:t>(0.0</w:t>
            </w:r>
            <w:r>
              <w:rPr>
                <w:szCs w:val="20"/>
              </w:rPr>
              <w:t>4</w:t>
            </w:r>
            <w:r w:rsidRPr="0058277D">
              <w:rPr>
                <w:szCs w:val="20"/>
              </w:rPr>
              <w:t>)</w:t>
            </w:r>
          </w:p>
        </w:tc>
        <w:tc>
          <w:tcPr>
            <w:tcW w:w="1724" w:type="pct"/>
            <w:tcBorders>
              <w:bottom w:val="single" w:sz="4" w:space="0" w:color="000000"/>
            </w:tcBorders>
            <w:vAlign w:val="bottom"/>
          </w:tcPr>
          <w:p w14:paraId="109BCAF3" w14:textId="75B4FD35" w:rsidR="00266DCE" w:rsidRPr="00CE5AED" w:rsidRDefault="00266DCE" w:rsidP="00CE5AED">
            <w:pPr>
              <w:pStyle w:val="Tabletext"/>
              <w:jc w:val="center"/>
            </w:pPr>
            <w:r w:rsidRPr="00CE5AED">
              <w:t>(0.0394)</w:t>
            </w:r>
          </w:p>
        </w:tc>
      </w:tr>
      <w:tr w:rsidR="00266DCE" w:rsidRPr="006D013D" w14:paraId="4E6106C4" w14:textId="4458AF5C" w:rsidTr="0048214F">
        <w:trPr>
          <w:gridAfter w:val="1"/>
          <w:wAfter w:w="38" w:type="pct"/>
          <w:trHeight w:val="170"/>
        </w:trPr>
        <w:tc>
          <w:tcPr>
            <w:tcW w:w="1513" w:type="pct"/>
            <w:vMerge w:val="restart"/>
            <w:tcBorders>
              <w:top w:val="single" w:sz="4" w:space="0" w:color="000000"/>
            </w:tcBorders>
            <w:vAlign w:val="center"/>
          </w:tcPr>
          <w:p w14:paraId="766BE6D2" w14:textId="40AE431A" w:rsidR="00266DCE" w:rsidRPr="009C046C" w:rsidRDefault="00266DCE" w:rsidP="009C046C">
            <w:pPr>
              <w:pStyle w:val="Tabletext"/>
            </w:pPr>
            <w:r w:rsidRPr="009C046C">
              <w:t>Non - Binary</w:t>
            </w:r>
          </w:p>
        </w:tc>
        <w:tc>
          <w:tcPr>
            <w:tcW w:w="1725" w:type="pct"/>
            <w:gridSpan w:val="2"/>
            <w:tcBorders>
              <w:top w:val="single" w:sz="4" w:space="0" w:color="000000"/>
            </w:tcBorders>
          </w:tcPr>
          <w:p w14:paraId="2482F0EA" w14:textId="49FF54D5" w:rsidR="00266DCE" w:rsidRPr="0058277D" w:rsidRDefault="00266DCE" w:rsidP="0048214F">
            <w:pPr>
              <w:pStyle w:val="Tabletext"/>
              <w:ind w:firstLine="35"/>
              <w:jc w:val="center"/>
              <w:rPr>
                <w:rFonts w:eastAsia="Times New Roman"/>
                <w:szCs w:val="20"/>
              </w:rPr>
            </w:pPr>
            <w:r w:rsidRPr="0058277D">
              <w:rPr>
                <w:szCs w:val="20"/>
              </w:rPr>
              <w:t>2.2**</w:t>
            </w:r>
          </w:p>
        </w:tc>
        <w:tc>
          <w:tcPr>
            <w:tcW w:w="1724" w:type="pct"/>
            <w:tcBorders>
              <w:top w:val="single" w:sz="4" w:space="0" w:color="000000"/>
            </w:tcBorders>
            <w:vAlign w:val="bottom"/>
          </w:tcPr>
          <w:p w14:paraId="5A1BC32E" w14:textId="3B62C374" w:rsidR="00266DCE" w:rsidRPr="00CE5AED" w:rsidRDefault="00266DCE" w:rsidP="00CE5AED">
            <w:pPr>
              <w:pStyle w:val="Tabletext"/>
              <w:jc w:val="center"/>
            </w:pPr>
            <w:r w:rsidRPr="00CE5AED">
              <w:t>2.2468**</w:t>
            </w:r>
          </w:p>
        </w:tc>
      </w:tr>
      <w:tr w:rsidR="00266DCE" w:rsidRPr="006D013D" w14:paraId="14035393" w14:textId="24BC723F" w:rsidTr="0048214F">
        <w:trPr>
          <w:gridAfter w:val="1"/>
          <w:wAfter w:w="38" w:type="pct"/>
          <w:trHeight w:val="170"/>
        </w:trPr>
        <w:tc>
          <w:tcPr>
            <w:tcW w:w="1513" w:type="pct"/>
            <w:vMerge/>
            <w:tcBorders>
              <w:bottom w:val="single" w:sz="4" w:space="0" w:color="00338D"/>
            </w:tcBorders>
            <w:vAlign w:val="center"/>
          </w:tcPr>
          <w:p w14:paraId="7B4D6B29" w14:textId="77777777" w:rsidR="00266DCE" w:rsidRPr="009C046C" w:rsidRDefault="00266DCE" w:rsidP="009C046C">
            <w:pPr>
              <w:pStyle w:val="Tabletext"/>
            </w:pPr>
          </w:p>
        </w:tc>
        <w:tc>
          <w:tcPr>
            <w:tcW w:w="1725" w:type="pct"/>
            <w:gridSpan w:val="2"/>
            <w:tcBorders>
              <w:bottom w:val="single" w:sz="4" w:space="0" w:color="00338D"/>
            </w:tcBorders>
          </w:tcPr>
          <w:p w14:paraId="6414FB8E" w14:textId="636651E8" w:rsidR="00266DCE" w:rsidRPr="0058277D" w:rsidRDefault="00266DCE" w:rsidP="0048214F">
            <w:pPr>
              <w:pStyle w:val="Tabletext"/>
              <w:ind w:firstLine="35"/>
              <w:jc w:val="center"/>
              <w:rPr>
                <w:rFonts w:eastAsia="Times New Roman"/>
                <w:szCs w:val="20"/>
              </w:rPr>
            </w:pPr>
            <w:r w:rsidRPr="0058277D">
              <w:rPr>
                <w:szCs w:val="20"/>
              </w:rPr>
              <w:t>(0.14)</w:t>
            </w:r>
          </w:p>
        </w:tc>
        <w:tc>
          <w:tcPr>
            <w:tcW w:w="1724" w:type="pct"/>
            <w:tcBorders>
              <w:bottom w:val="single" w:sz="4" w:space="0" w:color="00338D"/>
            </w:tcBorders>
            <w:vAlign w:val="bottom"/>
          </w:tcPr>
          <w:p w14:paraId="5154AAAC" w14:textId="56F113E1" w:rsidR="00266DCE" w:rsidRPr="00CE5AED" w:rsidRDefault="00266DCE" w:rsidP="00CE5AED">
            <w:pPr>
              <w:pStyle w:val="Tabletext"/>
              <w:jc w:val="center"/>
            </w:pPr>
            <w:r w:rsidRPr="00CE5AED">
              <w:t>(0.1457)</w:t>
            </w:r>
          </w:p>
        </w:tc>
      </w:tr>
      <w:tr w:rsidR="008E7E23" w:rsidRPr="006D013D" w14:paraId="38AF8ADD" w14:textId="6FC2F019" w:rsidTr="00BE0AC4">
        <w:trPr>
          <w:gridAfter w:val="1"/>
          <w:wAfter w:w="38" w:type="pct"/>
          <w:trHeight w:val="170"/>
        </w:trPr>
        <w:tc>
          <w:tcPr>
            <w:tcW w:w="4962" w:type="pct"/>
            <w:gridSpan w:val="4"/>
            <w:tcBorders>
              <w:bottom w:val="single" w:sz="4" w:space="0" w:color="000000"/>
            </w:tcBorders>
            <w:vAlign w:val="center"/>
          </w:tcPr>
          <w:p w14:paraId="59FA5853" w14:textId="470B5449" w:rsidR="00247A3A" w:rsidRDefault="00BE0AC4" w:rsidP="00BE0AC4">
            <w:pPr>
              <w:pStyle w:val="Tabletext"/>
              <w:ind w:firstLine="35"/>
              <w:rPr>
                <w:b/>
                <w:szCs w:val="20"/>
              </w:rPr>
            </w:pPr>
            <w:r>
              <w:rPr>
                <w:b/>
                <w:szCs w:val="20"/>
              </w:rPr>
              <w:t>Culturally and linguistically diverse</w:t>
            </w:r>
            <w:r w:rsidRPr="0058277D">
              <w:rPr>
                <w:b/>
                <w:szCs w:val="20"/>
              </w:rPr>
              <w:t xml:space="preserve"> status (ref = </w:t>
            </w:r>
            <w:r w:rsidR="003B03A9">
              <w:rPr>
                <w:b/>
                <w:szCs w:val="20"/>
              </w:rPr>
              <w:t>young people who are not</w:t>
            </w:r>
            <w:r w:rsidRPr="0058277D">
              <w:rPr>
                <w:b/>
                <w:szCs w:val="20"/>
              </w:rPr>
              <w:t xml:space="preserve"> </w:t>
            </w:r>
            <w:r>
              <w:rPr>
                <w:b/>
                <w:szCs w:val="20"/>
              </w:rPr>
              <w:t>culturally and linguistically diverse</w:t>
            </w:r>
            <w:r w:rsidRPr="0058277D">
              <w:rPr>
                <w:b/>
                <w:szCs w:val="20"/>
              </w:rPr>
              <w:t>)</w:t>
            </w:r>
          </w:p>
        </w:tc>
      </w:tr>
      <w:tr w:rsidR="008E7E23" w:rsidRPr="006D013D" w14:paraId="0B5A6FFD" w14:textId="68122797" w:rsidTr="0028619C">
        <w:trPr>
          <w:gridAfter w:val="1"/>
          <w:wAfter w:w="38" w:type="pct"/>
          <w:trHeight w:val="170"/>
        </w:trPr>
        <w:tc>
          <w:tcPr>
            <w:tcW w:w="1513" w:type="pct"/>
            <w:vMerge w:val="restart"/>
            <w:tcBorders>
              <w:top w:val="single" w:sz="4" w:space="0" w:color="000000"/>
            </w:tcBorders>
            <w:vAlign w:val="center"/>
          </w:tcPr>
          <w:p w14:paraId="416F1E3F" w14:textId="08B8106E" w:rsidR="008E7E23" w:rsidRPr="0058277D" w:rsidRDefault="000D67CA" w:rsidP="00266DCE">
            <w:pPr>
              <w:pStyle w:val="Tabletext"/>
            </w:pPr>
            <w:r>
              <w:t>Culturally and linguistically diverse</w:t>
            </w:r>
          </w:p>
        </w:tc>
        <w:tc>
          <w:tcPr>
            <w:tcW w:w="1725" w:type="pct"/>
            <w:gridSpan w:val="2"/>
            <w:tcBorders>
              <w:top w:val="single" w:sz="4" w:space="0" w:color="000000"/>
            </w:tcBorders>
          </w:tcPr>
          <w:p w14:paraId="5EE8282F" w14:textId="722D3438" w:rsidR="008E7E23" w:rsidRPr="0058277D" w:rsidRDefault="00331A16" w:rsidP="0048214F">
            <w:pPr>
              <w:pStyle w:val="Tabletext"/>
              <w:ind w:firstLine="35"/>
              <w:jc w:val="center"/>
              <w:rPr>
                <w:rFonts w:eastAsia="Times New Roman"/>
                <w:szCs w:val="20"/>
              </w:rPr>
            </w:pPr>
            <w:r w:rsidRPr="0058277D">
              <w:rPr>
                <w:szCs w:val="20"/>
              </w:rPr>
              <w:t>1.0</w:t>
            </w:r>
          </w:p>
        </w:tc>
        <w:tc>
          <w:tcPr>
            <w:tcW w:w="1724" w:type="pct"/>
            <w:tcBorders>
              <w:top w:val="single" w:sz="4" w:space="0" w:color="000000"/>
            </w:tcBorders>
            <w:vAlign w:val="bottom"/>
          </w:tcPr>
          <w:p w14:paraId="2BAEE3D5" w14:textId="7CC4232E" w:rsidR="00247A3A" w:rsidRPr="00CE5AED" w:rsidRDefault="00097984" w:rsidP="00CE5AED">
            <w:pPr>
              <w:pStyle w:val="Tabletext"/>
              <w:jc w:val="center"/>
            </w:pPr>
            <w:r w:rsidRPr="00CE5AED">
              <w:t>1.0093</w:t>
            </w:r>
          </w:p>
        </w:tc>
      </w:tr>
      <w:tr w:rsidR="008E7E23" w:rsidRPr="006D013D" w14:paraId="781F047B" w14:textId="3A75270C" w:rsidTr="0028619C">
        <w:trPr>
          <w:gridAfter w:val="1"/>
          <w:wAfter w:w="38" w:type="pct"/>
          <w:trHeight w:val="170"/>
        </w:trPr>
        <w:tc>
          <w:tcPr>
            <w:tcW w:w="1513" w:type="pct"/>
            <w:vMerge/>
            <w:tcBorders>
              <w:bottom w:val="single" w:sz="4" w:space="0" w:color="00338D"/>
            </w:tcBorders>
            <w:vAlign w:val="center"/>
          </w:tcPr>
          <w:p w14:paraId="2786F961" w14:textId="77777777" w:rsidR="008E7E23" w:rsidRPr="0058277D" w:rsidRDefault="008E7E23" w:rsidP="0048214F">
            <w:pPr>
              <w:pStyle w:val="Tabletext"/>
              <w:ind w:left="177" w:firstLine="35"/>
              <w:rPr>
                <w:szCs w:val="20"/>
              </w:rPr>
            </w:pPr>
          </w:p>
        </w:tc>
        <w:tc>
          <w:tcPr>
            <w:tcW w:w="1725" w:type="pct"/>
            <w:gridSpan w:val="2"/>
            <w:tcBorders>
              <w:bottom w:val="single" w:sz="4" w:space="0" w:color="00338D"/>
            </w:tcBorders>
          </w:tcPr>
          <w:p w14:paraId="0019C81F" w14:textId="4B392EFF" w:rsidR="008E7E23" w:rsidRPr="0058277D" w:rsidRDefault="008E7E23" w:rsidP="0048214F">
            <w:pPr>
              <w:pStyle w:val="Tabletext"/>
              <w:ind w:firstLine="35"/>
              <w:jc w:val="center"/>
              <w:rPr>
                <w:rFonts w:eastAsia="Times New Roman"/>
                <w:szCs w:val="20"/>
              </w:rPr>
            </w:pPr>
            <w:r w:rsidRPr="0058277D">
              <w:rPr>
                <w:szCs w:val="20"/>
              </w:rPr>
              <w:t>(0.</w:t>
            </w:r>
            <w:r w:rsidR="00331A16" w:rsidRPr="0058277D">
              <w:rPr>
                <w:szCs w:val="20"/>
              </w:rPr>
              <w:t>03</w:t>
            </w:r>
            <w:r w:rsidRPr="0058277D">
              <w:rPr>
                <w:szCs w:val="20"/>
              </w:rPr>
              <w:t>)</w:t>
            </w:r>
          </w:p>
        </w:tc>
        <w:tc>
          <w:tcPr>
            <w:tcW w:w="1724" w:type="pct"/>
            <w:tcBorders>
              <w:bottom w:val="single" w:sz="4" w:space="0" w:color="00338D"/>
            </w:tcBorders>
            <w:vAlign w:val="bottom"/>
          </w:tcPr>
          <w:p w14:paraId="242CB590" w14:textId="0B869FF7" w:rsidR="00247A3A" w:rsidRPr="00CE5AED" w:rsidRDefault="00097984" w:rsidP="00CE5AED">
            <w:pPr>
              <w:pStyle w:val="Tabletext"/>
              <w:jc w:val="center"/>
            </w:pPr>
            <w:r w:rsidRPr="00CE5AED">
              <w:t>(0.0315)</w:t>
            </w:r>
          </w:p>
        </w:tc>
      </w:tr>
      <w:tr w:rsidR="008E7E23" w:rsidRPr="006D013D" w14:paraId="517B6696" w14:textId="7451AA63" w:rsidTr="00BE0AC4">
        <w:trPr>
          <w:gridAfter w:val="1"/>
          <w:wAfter w:w="38" w:type="pct"/>
          <w:trHeight w:val="170"/>
        </w:trPr>
        <w:tc>
          <w:tcPr>
            <w:tcW w:w="4962" w:type="pct"/>
            <w:gridSpan w:val="4"/>
            <w:tcBorders>
              <w:bottom w:val="single" w:sz="4" w:space="0" w:color="000000"/>
            </w:tcBorders>
            <w:vAlign w:val="center"/>
          </w:tcPr>
          <w:p w14:paraId="3C7B13F0" w14:textId="18AD484B" w:rsidR="00247A3A" w:rsidRPr="00F4195D" w:rsidRDefault="00BE0AC4" w:rsidP="00BE0AC4">
            <w:pPr>
              <w:pStyle w:val="Tabletext"/>
              <w:ind w:firstLine="35"/>
              <w:rPr>
                <w:b/>
                <w:bCs/>
              </w:rPr>
            </w:pPr>
            <w:r w:rsidRPr="00F4195D">
              <w:rPr>
                <w:b/>
                <w:bCs/>
              </w:rPr>
              <w:t>Aboriginal and Torres Strait Islander status</w:t>
            </w:r>
            <w:r w:rsidRPr="0058277D">
              <w:rPr>
                <w:b/>
                <w:szCs w:val="20"/>
              </w:rPr>
              <w:t xml:space="preserve"> (ref = </w:t>
            </w:r>
            <w:r w:rsidR="003B03A9">
              <w:rPr>
                <w:b/>
                <w:szCs w:val="20"/>
              </w:rPr>
              <w:t>young people who are not</w:t>
            </w:r>
            <w:r w:rsidRPr="0058277D">
              <w:rPr>
                <w:b/>
                <w:szCs w:val="20"/>
              </w:rPr>
              <w:t xml:space="preserve"> </w:t>
            </w:r>
            <w:r w:rsidRPr="00F4195D">
              <w:rPr>
                <w:b/>
                <w:bCs/>
              </w:rPr>
              <w:t>Aboriginal and Torres Strait Islander</w:t>
            </w:r>
            <w:r w:rsidRPr="0058277D">
              <w:rPr>
                <w:b/>
                <w:szCs w:val="20"/>
              </w:rPr>
              <w:t>)</w:t>
            </w:r>
          </w:p>
        </w:tc>
      </w:tr>
      <w:tr w:rsidR="00266DCE" w:rsidRPr="006D013D" w14:paraId="46A600D9" w14:textId="27E258D6" w:rsidTr="00266DCE">
        <w:trPr>
          <w:gridAfter w:val="1"/>
          <w:wAfter w:w="38" w:type="pct"/>
          <w:trHeight w:val="80"/>
        </w:trPr>
        <w:tc>
          <w:tcPr>
            <w:tcW w:w="1513" w:type="pct"/>
            <w:tcBorders>
              <w:bottom w:val="single" w:sz="4" w:space="0" w:color="00338D"/>
            </w:tcBorders>
            <w:vAlign w:val="center"/>
          </w:tcPr>
          <w:p w14:paraId="4CCFA62B" w14:textId="4029FBD0" w:rsidR="00266DCE" w:rsidRPr="0058277D" w:rsidRDefault="00266DCE" w:rsidP="00266DCE">
            <w:pPr>
              <w:pStyle w:val="Tabletext"/>
              <w:rPr>
                <w:szCs w:val="20"/>
              </w:rPr>
            </w:pPr>
            <w:r w:rsidRPr="009C046C">
              <w:t>Aboriginal</w:t>
            </w:r>
            <w:r w:rsidRPr="0058277D">
              <w:t xml:space="preserve"> and/or Torres Strait Islander</w:t>
            </w:r>
          </w:p>
        </w:tc>
        <w:tc>
          <w:tcPr>
            <w:tcW w:w="1725" w:type="pct"/>
            <w:gridSpan w:val="2"/>
            <w:tcBorders>
              <w:bottom w:val="single" w:sz="4" w:space="0" w:color="00338D"/>
            </w:tcBorders>
          </w:tcPr>
          <w:p w14:paraId="25AE3EBE" w14:textId="77777777" w:rsidR="00266DCE" w:rsidRPr="00266DCE" w:rsidRDefault="00266DCE" w:rsidP="00266DCE">
            <w:pPr>
              <w:pStyle w:val="Tabletext"/>
              <w:jc w:val="center"/>
            </w:pPr>
            <w:r w:rsidRPr="00266DCE">
              <w:t>0.7**</w:t>
            </w:r>
          </w:p>
          <w:p w14:paraId="5526A573" w14:textId="28A9D33F" w:rsidR="00266DCE" w:rsidRPr="00266DCE" w:rsidRDefault="00266DCE" w:rsidP="00266DCE">
            <w:pPr>
              <w:pStyle w:val="Tabletext"/>
              <w:jc w:val="center"/>
            </w:pPr>
            <w:r w:rsidRPr="00266DCE">
              <w:t>(0.06)</w:t>
            </w:r>
          </w:p>
        </w:tc>
        <w:tc>
          <w:tcPr>
            <w:tcW w:w="1724" w:type="pct"/>
            <w:tcBorders>
              <w:bottom w:val="single" w:sz="4" w:space="0" w:color="00338D"/>
            </w:tcBorders>
            <w:vAlign w:val="bottom"/>
          </w:tcPr>
          <w:p w14:paraId="1619D1A9" w14:textId="77777777" w:rsidR="00266DCE" w:rsidRPr="00CE5AED" w:rsidRDefault="00266DCE" w:rsidP="00266DCE">
            <w:pPr>
              <w:pStyle w:val="Tabletext"/>
              <w:jc w:val="center"/>
            </w:pPr>
            <w:r w:rsidRPr="00CE5AED">
              <w:t>0.7265**</w:t>
            </w:r>
          </w:p>
          <w:p w14:paraId="51F84E5B" w14:textId="778CF597" w:rsidR="00266DCE" w:rsidRPr="00CE5AED" w:rsidRDefault="00266DCE" w:rsidP="00266DCE">
            <w:pPr>
              <w:pStyle w:val="Tabletext"/>
              <w:jc w:val="center"/>
            </w:pPr>
            <w:r w:rsidRPr="00CE5AED">
              <w:t>(0.0595)</w:t>
            </w:r>
          </w:p>
        </w:tc>
      </w:tr>
      <w:tr w:rsidR="008E7E23" w:rsidRPr="006D013D" w14:paraId="4ADCAD13" w14:textId="74368A14" w:rsidTr="00BE0AC4">
        <w:trPr>
          <w:gridAfter w:val="1"/>
          <w:wAfter w:w="38" w:type="pct"/>
          <w:trHeight w:val="170"/>
        </w:trPr>
        <w:tc>
          <w:tcPr>
            <w:tcW w:w="4962" w:type="pct"/>
            <w:gridSpan w:val="4"/>
            <w:tcBorders>
              <w:bottom w:val="single" w:sz="4" w:space="0" w:color="000000"/>
            </w:tcBorders>
            <w:vAlign w:val="center"/>
          </w:tcPr>
          <w:p w14:paraId="3CD68FCA" w14:textId="4776D3FC" w:rsidR="00247A3A" w:rsidRPr="0058277D" w:rsidRDefault="00BE0AC4" w:rsidP="00BE0AC4">
            <w:pPr>
              <w:pStyle w:val="Tabletext"/>
              <w:ind w:firstLine="35"/>
              <w:rPr>
                <w:b/>
                <w:szCs w:val="20"/>
              </w:rPr>
            </w:pPr>
            <w:r w:rsidRPr="0058277D">
              <w:rPr>
                <w:b/>
                <w:szCs w:val="20"/>
              </w:rPr>
              <w:t>Education level (ref = None)</w:t>
            </w:r>
          </w:p>
        </w:tc>
      </w:tr>
      <w:tr w:rsidR="00266DCE" w:rsidRPr="006D013D" w14:paraId="4A4241C8" w14:textId="1BEDD5FF" w:rsidTr="0048214F">
        <w:trPr>
          <w:gridAfter w:val="1"/>
          <w:wAfter w:w="38" w:type="pct"/>
          <w:trHeight w:val="170"/>
        </w:trPr>
        <w:tc>
          <w:tcPr>
            <w:tcW w:w="1513" w:type="pct"/>
            <w:vMerge w:val="restart"/>
            <w:tcBorders>
              <w:top w:val="single" w:sz="4" w:space="0" w:color="000000"/>
            </w:tcBorders>
            <w:vAlign w:val="center"/>
          </w:tcPr>
          <w:p w14:paraId="0EE88048" w14:textId="77777777" w:rsidR="00266DCE" w:rsidRPr="00266DCE" w:rsidRDefault="00266DCE" w:rsidP="00266DCE">
            <w:pPr>
              <w:pStyle w:val="Tabletext"/>
            </w:pPr>
            <w:r w:rsidRPr="00266DCE">
              <w:t>Year 10 or below</w:t>
            </w:r>
          </w:p>
        </w:tc>
        <w:tc>
          <w:tcPr>
            <w:tcW w:w="1725" w:type="pct"/>
            <w:gridSpan w:val="2"/>
            <w:tcBorders>
              <w:top w:val="single" w:sz="4" w:space="0" w:color="000000"/>
            </w:tcBorders>
          </w:tcPr>
          <w:p w14:paraId="088DFD7C" w14:textId="04D981FD" w:rsidR="00266DCE" w:rsidRPr="0058277D" w:rsidRDefault="00266DCE" w:rsidP="0048214F">
            <w:pPr>
              <w:pStyle w:val="Tabletext"/>
              <w:ind w:hanging="175"/>
              <w:jc w:val="center"/>
              <w:rPr>
                <w:rFonts w:eastAsia="Times New Roman"/>
                <w:szCs w:val="20"/>
              </w:rPr>
            </w:pPr>
            <w:r w:rsidRPr="0058277D">
              <w:rPr>
                <w:szCs w:val="20"/>
              </w:rPr>
              <w:t>1.4**</w:t>
            </w:r>
          </w:p>
        </w:tc>
        <w:tc>
          <w:tcPr>
            <w:tcW w:w="1724" w:type="pct"/>
            <w:tcBorders>
              <w:top w:val="single" w:sz="4" w:space="0" w:color="000000"/>
            </w:tcBorders>
            <w:vAlign w:val="bottom"/>
          </w:tcPr>
          <w:p w14:paraId="152DBB0C" w14:textId="656DDB8D" w:rsidR="00266DCE" w:rsidRPr="00CE5AED" w:rsidRDefault="00266DCE" w:rsidP="00CE5AED">
            <w:pPr>
              <w:pStyle w:val="Tabletext"/>
              <w:jc w:val="center"/>
            </w:pPr>
            <w:r w:rsidRPr="00CE5AED">
              <w:t>1.4364**</w:t>
            </w:r>
          </w:p>
        </w:tc>
      </w:tr>
      <w:tr w:rsidR="00266DCE" w:rsidRPr="006D013D" w14:paraId="654ADF5E" w14:textId="77724FFF" w:rsidTr="0048214F">
        <w:trPr>
          <w:gridAfter w:val="1"/>
          <w:wAfter w:w="38" w:type="pct"/>
          <w:trHeight w:val="170"/>
        </w:trPr>
        <w:tc>
          <w:tcPr>
            <w:tcW w:w="1513" w:type="pct"/>
            <w:vMerge/>
            <w:tcBorders>
              <w:bottom w:val="single" w:sz="4" w:space="0" w:color="000000"/>
            </w:tcBorders>
            <w:vAlign w:val="center"/>
          </w:tcPr>
          <w:p w14:paraId="6AE27749" w14:textId="77777777" w:rsidR="00266DCE" w:rsidRPr="00266DCE" w:rsidRDefault="00266DCE" w:rsidP="00266DCE">
            <w:pPr>
              <w:pStyle w:val="Tabletext"/>
            </w:pPr>
          </w:p>
        </w:tc>
        <w:tc>
          <w:tcPr>
            <w:tcW w:w="1725" w:type="pct"/>
            <w:gridSpan w:val="2"/>
            <w:tcBorders>
              <w:bottom w:val="single" w:sz="4" w:space="0" w:color="000000"/>
            </w:tcBorders>
          </w:tcPr>
          <w:p w14:paraId="0D071F5D" w14:textId="275C8541" w:rsidR="00266DCE" w:rsidRPr="0058277D" w:rsidRDefault="00266DCE" w:rsidP="0048214F">
            <w:pPr>
              <w:pStyle w:val="Tabletext"/>
              <w:ind w:hanging="175"/>
              <w:jc w:val="center"/>
              <w:rPr>
                <w:rFonts w:eastAsia="Times New Roman"/>
                <w:szCs w:val="20"/>
              </w:rPr>
            </w:pPr>
            <w:r w:rsidRPr="0058277D">
              <w:rPr>
                <w:szCs w:val="20"/>
              </w:rPr>
              <w:t>(0.20)</w:t>
            </w:r>
          </w:p>
        </w:tc>
        <w:tc>
          <w:tcPr>
            <w:tcW w:w="1724" w:type="pct"/>
            <w:tcBorders>
              <w:bottom w:val="single" w:sz="4" w:space="0" w:color="000000"/>
            </w:tcBorders>
            <w:vAlign w:val="bottom"/>
          </w:tcPr>
          <w:p w14:paraId="3243BD8B" w14:textId="428CA244" w:rsidR="00266DCE" w:rsidRPr="00CE5AED" w:rsidRDefault="00266DCE" w:rsidP="00CE5AED">
            <w:pPr>
              <w:pStyle w:val="Tabletext"/>
              <w:jc w:val="center"/>
            </w:pPr>
            <w:r w:rsidRPr="00CE5AED">
              <w:t>(0.2087)</w:t>
            </w:r>
          </w:p>
        </w:tc>
      </w:tr>
      <w:tr w:rsidR="00266DCE" w:rsidRPr="006D013D" w14:paraId="12544042" w14:textId="4FF614F9" w:rsidTr="0048214F">
        <w:trPr>
          <w:gridAfter w:val="1"/>
          <w:wAfter w:w="38" w:type="pct"/>
          <w:trHeight w:val="170"/>
        </w:trPr>
        <w:tc>
          <w:tcPr>
            <w:tcW w:w="1513" w:type="pct"/>
            <w:vMerge w:val="restart"/>
            <w:tcBorders>
              <w:top w:val="single" w:sz="4" w:space="0" w:color="000000"/>
            </w:tcBorders>
            <w:vAlign w:val="center"/>
          </w:tcPr>
          <w:p w14:paraId="0467F5EA" w14:textId="77777777" w:rsidR="00266DCE" w:rsidRPr="00266DCE" w:rsidRDefault="00266DCE" w:rsidP="00266DCE">
            <w:pPr>
              <w:pStyle w:val="Tabletext"/>
            </w:pPr>
            <w:r w:rsidRPr="00266DCE">
              <w:t>Year 11</w:t>
            </w:r>
          </w:p>
        </w:tc>
        <w:tc>
          <w:tcPr>
            <w:tcW w:w="1725" w:type="pct"/>
            <w:gridSpan w:val="2"/>
            <w:tcBorders>
              <w:top w:val="single" w:sz="4" w:space="0" w:color="000000"/>
            </w:tcBorders>
          </w:tcPr>
          <w:p w14:paraId="2351C08A" w14:textId="388AB5C0" w:rsidR="00266DCE" w:rsidRPr="0058277D" w:rsidRDefault="00266DCE" w:rsidP="0048214F">
            <w:pPr>
              <w:pStyle w:val="Tabletext"/>
              <w:ind w:hanging="175"/>
              <w:jc w:val="center"/>
              <w:rPr>
                <w:rFonts w:eastAsia="Times New Roman"/>
                <w:szCs w:val="20"/>
              </w:rPr>
            </w:pPr>
            <w:r w:rsidRPr="0058277D">
              <w:rPr>
                <w:szCs w:val="20"/>
              </w:rPr>
              <w:t>1.8**</w:t>
            </w:r>
          </w:p>
        </w:tc>
        <w:tc>
          <w:tcPr>
            <w:tcW w:w="1724" w:type="pct"/>
            <w:tcBorders>
              <w:top w:val="single" w:sz="4" w:space="0" w:color="000000"/>
            </w:tcBorders>
            <w:vAlign w:val="bottom"/>
          </w:tcPr>
          <w:p w14:paraId="3D793F23" w14:textId="2839CFB7" w:rsidR="00266DCE" w:rsidRPr="00CE5AED" w:rsidRDefault="00266DCE" w:rsidP="00CE5AED">
            <w:pPr>
              <w:pStyle w:val="Tabletext"/>
              <w:jc w:val="center"/>
            </w:pPr>
            <w:r w:rsidRPr="00CE5AED">
              <w:t>1.8813**</w:t>
            </w:r>
          </w:p>
        </w:tc>
      </w:tr>
      <w:tr w:rsidR="00266DCE" w:rsidRPr="006D013D" w14:paraId="3493E694" w14:textId="4432E1F1" w:rsidTr="0048214F">
        <w:trPr>
          <w:gridAfter w:val="1"/>
          <w:wAfter w:w="38" w:type="pct"/>
          <w:trHeight w:val="170"/>
        </w:trPr>
        <w:tc>
          <w:tcPr>
            <w:tcW w:w="1513" w:type="pct"/>
            <w:vMerge/>
            <w:tcBorders>
              <w:bottom w:val="single" w:sz="4" w:space="0" w:color="000000"/>
            </w:tcBorders>
            <w:vAlign w:val="center"/>
          </w:tcPr>
          <w:p w14:paraId="4531DA73" w14:textId="77777777" w:rsidR="00266DCE" w:rsidRPr="00266DCE" w:rsidRDefault="00266DCE" w:rsidP="00266DCE">
            <w:pPr>
              <w:pStyle w:val="Tabletext"/>
            </w:pPr>
          </w:p>
        </w:tc>
        <w:tc>
          <w:tcPr>
            <w:tcW w:w="1725" w:type="pct"/>
            <w:gridSpan w:val="2"/>
            <w:tcBorders>
              <w:bottom w:val="single" w:sz="4" w:space="0" w:color="000000"/>
            </w:tcBorders>
          </w:tcPr>
          <w:p w14:paraId="249649A4" w14:textId="3C6B64EF" w:rsidR="00266DCE" w:rsidRPr="0058277D" w:rsidRDefault="00266DCE" w:rsidP="0048214F">
            <w:pPr>
              <w:pStyle w:val="Tabletext"/>
              <w:ind w:hanging="175"/>
              <w:jc w:val="center"/>
              <w:rPr>
                <w:rFonts w:eastAsia="Times New Roman"/>
                <w:szCs w:val="20"/>
              </w:rPr>
            </w:pPr>
            <w:r w:rsidRPr="0058277D">
              <w:rPr>
                <w:szCs w:val="20"/>
              </w:rPr>
              <w:t>(0.27)</w:t>
            </w:r>
          </w:p>
        </w:tc>
        <w:tc>
          <w:tcPr>
            <w:tcW w:w="1724" w:type="pct"/>
            <w:tcBorders>
              <w:bottom w:val="single" w:sz="4" w:space="0" w:color="000000"/>
            </w:tcBorders>
            <w:vAlign w:val="bottom"/>
          </w:tcPr>
          <w:p w14:paraId="26D78B3D" w14:textId="4CE25E1F" w:rsidR="00266DCE" w:rsidRPr="00CE5AED" w:rsidRDefault="00266DCE" w:rsidP="00CE5AED">
            <w:pPr>
              <w:pStyle w:val="Tabletext"/>
              <w:jc w:val="center"/>
            </w:pPr>
            <w:r w:rsidRPr="00CE5AED">
              <w:t>(0.2777)</w:t>
            </w:r>
          </w:p>
        </w:tc>
      </w:tr>
      <w:tr w:rsidR="00266DCE" w:rsidRPr="006D013D" w14:paraId="3B8C0FA7" w14:textId="25B913CE" w:rsidTr="0048214F">
        <w:trPr>
          <w:gridAfter w:val="1"/>
          <w:wAfter w:w="38" w:type="pct"/>
          <w:trHeight w:val="170"/>
        </w:trPr>
        <w:tc>
          <w:tcPr>
            <w:tcW w:w="1513" w:type="pct"/>
            <w:vMerge w:val="restart"/>
            <w:tcBorders>
              <w:top w:val="single" w:sz="4" w:space="0" w:color="000000"/>
            </w:tcBorders>
            <w:vAlign w:val="center"/>
          </w:tcPr>
          <w:p w14:paraId="290198FA" w14:textId="77777777" w:rsidR="00266DCE" w:rsidRPr="00266DCE" w:rsidRDefault="00266DCE" w:rsidP="00266DCE">
            <w:pPr>
              <w:pStyle w:val="Tabletext"/>
            </w:pPr>
            <w:r w:rsidRPr="00266DCE">
              <w:t>Year 12</w:t>
            </w:r>
          </w:p>
        </w:tc>
        <w:tc>
          <w:tcPr>
            <w:tcW w:w="1725" w:type="pct"/>
            <w:gridSpan w:val="2"/>
            <w:tcBorders>
              <w:top w:val="single" w:sz="4" w:space="0" w:color="000000"/>
            </w:tcBorders>
          </w:tcPr>
          <w:p w14:paraId="3D568729" w14:textId="0C0FDC18" w:rsidR="00266DCE" w:rsidRPr="0058277D" w:rsidRDefault="00266DCE" w:rsidP="0048214F">
            <w:pPr>
              <w:pStyle w:val="Tabletext"/>
              <w:ind w:hanging="175"/>
              <w:jc w:val="center"/>
              <w:rPr>
                <w:rFonts w:eastAsia="Times New Roman"/>
                <w:szCs w:val="20"/>
              </w:rPr>
            </w:pPr>
            <w:r w:rsidRPr="0058277D">
              <w:rPr>
                <w:szCs w:val="20"/>
              </w:rPr>
              <w:t>2.2**</w:t>
            </w:r>
          </w:p>
        </w:tc>
        <w:tc>
          <w:tcPr>
            <w:tcW w:w="1724" w:type="pct"/>
            <w:tcBorders>
              <w:top w:val="single" w:sz="4" w:space="0" w:color="000000"/>
            </w:tcBorders>
            <w:vAlign w:val="bottom"/>
          </w:tcPr>
          <w:p w14:paraId="312F5D27" w14:textId="23419F69" w:rsidR="00266DCE" w:rsidRPr="00CE5AED" w:rsidRDefault="00266DCE" w:rsidP="00CE5AED">
            <w:pPr>
              <w:pStyle w:val="Tabletext"/>
              <w:jc w:val="center"/>
            </w:pPr>
            <w:r w:rsidRPr="00CE5AED">
              <w:t>2.2949**</w:t>
            </w:r>
          </w:p>
        </w:tc>
      </w:tr>
      <w:tr w:rsidR="00266DCE" w:rsidRPr="006D013D" w14:paraId="42050C4A" w14:textId="55A6A0B0" w:rsidTr="0048214F">
        <w:trPr>
          <w:gridAfter w:val="1"/>
          <w:wAfter w:w="38" w:type="pct"/>
          <w:trHeight w:val="170"/>
        </w:trPr>
        <w:tc>
          <w:tcPr>
            <w:tcW w:w="1513" w:type="pct"/>
            <w:vMerge/>
            <w:tcBorders>
              <w:bottom w:val="single" w:sz="4" w:space="0" w:color="000000"/>
            </w:tcBorders>
            <w:vAlign w:val="center"/>
          </w:tcPr>
          <w:p w14:paraId="074158C1" w14:textId="77777777" w:rsidR="00266DCE" w:rsidRPr="00266DCE" w:rsidRDefault="00266DCE" w:rsidP="00266DCE">
            <w:pPr>
              <w:pStyle w:val="Tabletext"/>
            </w:pPr>
          </w:p>
        </w:tc>
        <w:tc>
          <w:tcPr>
            <w:tcW w:w="1725" w:type="pct"/>
            <w:gridSpan w:val="2"/>
            <w:tcBorders>
              <w:bottom w:val="single" w:sz="4" w:space="0" w:color="000000"/>
            </w:tcBorders>
          </w:tcPr>
          <w:p w14:paraId="70F6AAD8" w14:textId="7AC6D742" w:rsidR="00266DCE" w:rsidRPr="0058277D" w:rsidRDefault="00266DCE" w:rsidP="0048214F">
            <w:pPr>
              <w:pStyle w:val="Tabletext"/>
              <w:ind w:hanging="175"/>
              <w:jc w:val="center"/>
              <w:rPr>
                <w:rFonts w:eastAsia="Times New Roman"/>
                <w:szCs w:val="20"/>
              </w:rPr>
            </w:pPr>
            <w:r w:rsidRPr="0058277D">
              <w:rPr>
                <w:szCs w:val="20"/>
              </w:rPr>
              <w:t>(0.3</w:t>
            </w:r>
            <w:r>
              <w:rPr>
                <w:szCs w:val="20"/>
              </w:rPr>
              <w:t>3</w:t>
            </w:r>
            <w:r w:rsidRPr="0058277D">
              <w:rPr>
                <w:szCs w:val="20"/>
              </w:rPr>
              <w:t>)</w:t>
            </w:r>
          </w:p>
        </w:tc>
        <w:tc>
          <w:tcPr>
            <w:tcW w:w="1724" w:type="pct"/>
            <w:tcBorders>
              <w:bottom w:val="single" w:sz="4" w:space="0" w:color="000000"/>
            </w:tcBorders>
            <w:vAlign w:val="bottom"/>
          </w:tcPr>
          <w:p w14:paraId="5DA269E6" w14:textId="278D31F3" w:rsidR="00266DCE" w:rsidRPr="00CE5AED" w:rsidRDefault="00266DCE" w:rsidP="00CE5AED">
            <w:pPr>
              <w:pStyle w:val="Tabletext"/>
              <w:jc w:val="center"/>
            </w:pPr>
            <w:r w:rsidRPr="00CE5AED">
              <w:t>(0.3368)</w:t>
            </w:r>
          </w:p>
        </w:tc>
      </w:tr>
      <w:tr w:rsidR="00266DCE" w:rsidRPr="006D013D" w14:paraId="0CC271B3" w14:textId="30B9286F" w:rsidTr="0048214F">
        <w:trPr>
          <w:gridAfter w:val="1"/>
          <w:wAfter w:w="38" w:type="pct"/>
          <w:trHeight w:val="170"/>
        </w:trPr>
        <w:tc>
          <w:tcPr>
            <w:tcW w:w="1513" w:type="pct"/>
            <w:vMerge w:val="restart"/>
            <w:tcBorders>
              <w:top w:val="single" w:sz="4" w:space="0" w:color="000000"/>
            </w:tcBorders>
            <w:vAlign w:val="center"/>
          </w:tcPr>
          <w:p w14:paraId="56B55B68" w14:textId="77777777" w:rsidR="00266DCE" w:rsidRPr="00266DCE" w:rsidRDefault="00266DCE" w:rsidP="00266DCE">
            <w:pPr>
              <w:pStyle w:val="Tabletext"/>
            </w:pPr>
            <w:r w:rsidRPr="00266DCE">
              <w:t>Certificate</w:t>
            </w:r>
          </w:p>
        </w:tc>
        <w:tc>
          <w:tcPr>
            <w:tcW w:w="1725" w:type="pct"/>
            <w:gridSpan w:val="2"/>
            <w:tcBorders>
              <w:top w:val="single" w:sz="4" w:space="0" w:color="000000"/>
            </w:tcBorders>
          </w:tcPr>
          <w:p w14:paraId="06808D89" w14:textId="743BB7B3" w:rsidR="00266DCE" w:rsidRPr="0058277D" w:rsidRDefault="00266DCE" w:rsidP="0048214F">
            <w:pPr>
              <w:pStyle w:val="Tabletext"/>
              <w:ind w:hanging="175"/>
              <w:jc w:val="center"/>
              <w:rPr>
                <w:rFonts w:eastAsia="Times New Roman"/>
                <w:szCs w:val="20"/>
              </w:rPr>
            </w:pPr>
            <w:r w:rsidRPr="0058277D">
              <w:rPr>
                <w:szCs w:val="20"/>
              </w:rPr>
              <w:t>2.1**</w:t>
            </w:r>
          </w:p>
        </w:tc>
        <w:tc>
          <w:tcPr>
            <w:tcW w:w="1724" w:type="pct"/>
            <w:tcBorders>
              <w:top w:val="single" w:sz="4" w:space="0" w:color="000000"/>
            </w:tcBorders>
            <w:vAlign w:val="bottom"/>
          </w:tcPr>
          <w:p w14:paraId="1E010B27" w14:textId="6EC1F098" w:rsidR="00266DCE" w:rsidRPr="00CE5AED" w:rsidRDefault="00266DCE" w:rsidP="00CE5AED">
            <w:pPr>
              <w:pStyle w:val="Tabletext"/>
              <w:jc w:val="center"/>
            </w:pPr>
            <w:r w:rsidRPr="00CE5AED">
              <w:t>2.1900**</w:t>
            </w:r>
          </w:p>
        </w:tc>
      </w:tr>
      <w:tr w:rsidR="00266DCE" w:rsidRPr="006D013D" w14:paraId="549511F0" w14:textId="48E7FD90" w:rsidTr="0048214F">
        <w:trPr>
          <w:gridAfter w:val="1"/>
          <w:wAfter w:w="38" w:type="pct"/>
          <w:trHeight w:val="170"/>
        </w:trPr>
        <w:tc>
          <w:tcPr>
            <w:tcW w:w="1513" w:type="pct"/>
            <w:vMerge/>
            <w:tcBorders>
              <w:bottom w:val="single" w:sz="4" w:space="0" w:color="000000"/>
            </w:tcBorders>
            <w:vAlign w:val="center"/>
          </w:tcPr>
          <w:p w14:paraId="1A90AAF5" w14:textId="77777777" w:rsidR="00266DCE" w:rsidRPr="00266DCE" w:rsidRDefault="00266DCE" w:rsidP="00266DCE">
            <w:pPr>
              <w:pStyle w:val="Tabletext"/>
            </w:pPr>
          </w:p>
        </w:tc>
        <w:tc>
          <w:tcPr>
            <w:tcW w:w="1725" w:type="pct"/>
            <w:gridSpan w:val="2"/>
            <w:tcBorders>
              <w:bottom w:val="single" w:sz="4" w:space="0" w:color="000000"/>
            </w:tcBorders>
          </w:tcPr>
          <w:p w14:paraId="3AFB450F" w14:textId="08BCD4CB" w:rsidR="00266DCE" w:rsidRPr="0058277D" w:rsidRDefault="00266DCE" w:rsidP="0048214F">
            <w:pPr>
              <w:pStyle w:val="Tabletext"/>
              <w:ind w:hanging="175"/>
              <w:jc w:val="center"/>
              <w:rPr>
                <w:rFonts w:eastAsia="Times New Roman"/>
                <w:szCs w:val="20"/>
              </w:rPr>
            </w:pPr>
            <w:r w:rsidRPr="0058277D">
              <w:rPr>
                <w:szCs w:val="20"/>
              </w:rPr>
              <w:t>(0.3</w:t>
            </w:r>
            <w:r>
              <w:rPr>
                <w:szCs w:val="20"/>
              </w:rPr>
              <w:t>2</w:t>
            </w:r>
            <w:r w:rsidRPr="0058277D">
              <w:rPr>
                <w:szCs w:val="20"/>
              </w:rPr>
              <w:t>)</w:t>
            </w:r>
          </w:p>
        </w:tc>
        <w:tc>
          <w:tcPr>
            <w:tcW w:w="1724" w:type="pct"/>
            <w:tcBorders>
              <w:bottom w:val="single" w:sz="4" w:space="0" w:color="000000"/>
            </w:tcBorders>
            <w:vAlign w:val="bottom"/>
          </w:tcPr>
          <w:p w14:paraId="7BC9808B" w14:textId="2137F5B3" w:rsidR="00266DCE" w:rsidRPr="00CE5AED" w:rsidRDefault="00266DCE" w:rsidP="00CE5AED">
            <w:pPr>
              <w:pStyle w:val="Tabletext"/>
              <w:jc w:val="center"/>
            </w:pPr>
            <w:r w:rsidRPr="00CE5AED">
              <w:t>(0.3270)</w:t>
            </w:r>
          </w:p>
        </w:tc>
      </w:tr>
      <w:tr w:rsidR="00266DCE" w:rsidRPr="006D013D" w14:paraId="293D0D26" w14:textId="7D2CA900" w:rsidTr="0048214F">
        <w:trPr>
          <w:gridAfter w:val="1"/>
          <w:wAfter w:w="38" w:type="pct"/>
          <w:trHeight w:val="170"/>
        </w:trPr>
        <w:tc>
          <w:tcPr>
            <w:tcW w:w="1513" w:type="pct"/>
            <w:vMerge w:val="restart"/>
            <w:tcBorders>
              <w:top w:val="single" w:sz="4" w:space="0" w:color="000000"/>
            </w:tcBorders>
            <w:vAlign w:val="center"/>
          </w:tcPr>
          <w:p w14:paraId="75DDF495" w14:textId="77777777" w:rsidR="00266DCE" w:rsidRPr="00266DCE" w:rsidRDefault="00266DCE" w:rsidP="00266DCE">
            <w:pPr>
              <w:pStyle w:val="Tabletext"/>
            </w:pPr>
            <w:r w:rsidRPr="00266DCE">
              <w:t>Diploma or advanced diploma</w:t>
            </w:r>
          </w:p>
        </w:tc>
        <w:tc>
          <w:tcPr>
            <w:tcW w:w="1725" w:type="pct"/>
            <w:gridSpan w:val="2"/>
            <w:tcBorders>
              <w:top w:val="single" w:sz="4" w:space="0" w:color="000000"/>
            </w:tcBorders>
          </w:tcPr>
          <w:p w14:paraId="5EFCF482" w14:textId="7B384189" w:rsidR="00266DCE" w:rsidRPr="0058277D" w:rsidRDefault="00266DCE" w:rsidP="0048214F">
            <w:pPr>
              <w:pStyle w:val="Tabletext"/>
              <w:ind w:hanging="175"/>
              <w:jc w:val="center"/>
              <w:rPr>
                <w:rFonts w:eastAsia="Times New Roman"/>
                <w:szCs w:val="20"/>
              </w:rPr>
            </w:pPr>
            <w:r w:rsidRPr="0058277D">
              <w:rPr>
                <w:szCs w:val="20"/>
              </w:rPr>
              <w:t>2.</w:t>
            </w:r>
            <w:r>
              <w:rPr>
                <w:szCs w:val="20"/>
              </w:rPr>
              <w:t>4</w:t>
            </w:r>
            <w:r w:rsidRPr="0058277D">
              <w:rPr>
                <w:szCs w:val="20"/>
              </w:rPr>
              <w:t>**</w:t>
            </w:r>
          </w:p>
        </w:tc>
        <w:tc>
          <w:tcPr>
            <w:tcW w:w="1724" w:type="pct"/>
            <w:tcBorders>
              <w:top w:val="single" w:sz="4" w:space="0" w:color="000000"/>
            </w:tcBorders>
            <w:vAlign w:val="bottom"/>
          </w:tcPr>
          <w:p w14:paraId="6C2A5FE3" w14:textId="7AD99EE1" w:rsidR="00266DCE" w:rsidRPr="00CE5AED" w:rsidRDefault="00266DCE" w:rsidP="00CE5AED">
            <w:pPr>
              <w:pStyle w:val="Tabletext"/>
              <w:jc w:val="center"/>
            </w:pPr>
            <w:r w:rsidRPr="00CE5AED">
              <w:t>2.4386**</w:t>
            </w:r>
          </w:p>
        </w:tc>
      </w:tr>
      <w:tr w:rsidR="00266DCE" w:rsidRPr="006D013D" w14:paraId="4FDA5746" w14:textId="717FF4B2" w:rsidTr="0048214F">
        <w:trPr>
          <w:gridAfter w:val="1"/>
          <w:wAfter w:w="38" w:type="pct"/>
          <w:trHeight w:val="170"/>
        </w:trPr>
        <w:tc>
          <w:tcPr>
            <w:tcW w:w="1513" w:type="pct"/>
            <w:vMerge/>
            <w:tcBorders>
              <w:bottom w:val="single" w:sz="4" w:space="0" w:color="000000"/>
            </w:tcBorders>
            <w:vAlign w:val="center"/>
          </w:tcPr>
          <w:p w14:paraId="262E3031" w14:textId="77777777" w:rsidR="00266DCE" w:rsidRPr="00266DCE" w:rsidRDefault="00266DCE" w:rsidP="00266DCE">
            <w:pPr>
              <w:pStyle w:val="Tabletext"/>
            </w:pPr>
          </w:p>
        </w:tc>
        <w:tc>
          <w:tcPr>
            <w:tcW w:w="1725" w:type="pct"/>
            <w:gridSpan w:val="2"/>
            <w:tcBorders>
              <w:bottom w:val="single" w:sz="4" w:space="0" w:color="000000"/>
            </w:tcBorders>
          </w:tcPr>
          <w:p w14:paraId="54FB82EB" w14:textId="26424B98" w:rsidR="00266DCE" w:rsidRPr="0058277D" w:rsidRDefault="00266DCE" w:rsidP="0048214F">
            <w:pPr>
              <w:pStyle w:val="Tabletext"/>
              <w:ind w:hanging="175"/>
              <w:jc w:val="center"/>
              <w:rPr>
                <w:rFonts w:eastAsia="Times New Roman"/>
                <w:szCs w:val="20"/>
              </w:rPr>
            </w:pPr>
            <w:r w:rsidRPr="0058277D">
              <w:rPr>
                <w:szCs w:val="20"/>
              </w:rPr>
              <w:t>(0.3</w:t>
            </w:r>
            <w:r>
              <w:rPr>
                <w:szCs w:val="20"/>
              </w:rPr>
              <w:t>7</w:t>
            </w:r>
            <w:r w:rsidRPr="0058277D">
              <w:rPr>
                <w:szCs w:val="20"/>
              </w:rPr>
              <w:t>)</w:t>
            </w:r>
          </w:p>
        </w:tc>
        <w:tc>
          <w:tcPr>
            <w:tcW w:w="1724" w:type="pct"/>
            <w:tcBorders>
              <w:bottom w:val="single" w:sz="4" w:space="0" w:color="000000"/>
            </w:tcBorders>
            <w:vAlign w:val="bottom"/>
          </w:tcPr>
          <w:p w14:paraId="06CF0AB1" w14:textId="09B10930" w:rsidR="00266DCE" w:rsidRPr="00CE5AED" w:rsidRDefault="00266DCE" w:rsidP="00CE5AED">
            <w:pPr>
              <w:pStyle w:val="Tabletext"/>
              <w:jc w:val="center"/>
            </w:pPr>
            <w:r w:rsidRPr="00CE5AED">
              <w:t>(0.3738)</w:t>
            </w:r>
          </w:p>
        </w:tc>
      </w:tr>
      <w:tr w:rsidR="00266DCE" w:rsidRPr="006D013D" w14:paraId="08B3544E" w14:textId="44A32F0E" w:rsidTr="0048214F">
        <w:trPr>
          <w:gridAfter w:val="1"/>
          <w:wAfter w:w="38" w:type="pct"/>
          <w:trHeight w:val="170"/>
        </w:trPr>
        <w:tc>
          <w:tcPr>
            <w:tcW w:w="1513" w:type="pct"/>
            <w:vMerge w:val="restart"/>
            <w:tcBorders>
              <w:top w:val="single" w:sz="4" w:space="0" w:color="000000"/>
            </w:tcBorders>
            <w:vAlign w:val="center"/>
          </w:tcPr>
          <w:p w14:paraId="0652F379" w14:textId="259EE270" w:rsidR="00266DCE" w:rsidRPr="00266DCE" w:rsidRDefault="00266DCE" w:rsidP="00266DCE">
            <w:pPr>
              <w:pStyle w:val="Tabletext"/>
            </w:pPr>
            <w:r w:rsidRPr="00266DCE">
              <w:t>Bachelor’s degree</w:t>
            </w:r>
          </w:p>
        </w:tc>
        <w:tc>
          <w:tcPr>
            <w:tcW w:w="1725" w:type="pct"/>
            <w:gridSpan w:val="2"/>
            <w:tcBorders>
              <w:top w:val="single" w:sz="4" w:space="0" w:color="000000"/>
            </w:tcBorders>
          </w:tcPr>
          <w:p w14:paraId="375310AB" w14:textId="2BB531C9" w:rsidR="00266DCE" w:rsidRPr="0058277D" w:rsidRDefault="00266DCE" w:rsidP="0048214F">
            <w:pPr>
              <w:pStyle w:val="Tabletext"/>
              <w:ind w:hanging="175"/>
              <w:jc w:val="center"/>
              <w:rPr>
                <w:rFonts w:eastAsia="Times New Roman"/>
                <w:szCs w:val="20"/>
              </w:rPr>
            </w:pPr>
            <w:r w:rsidRPr="0058277D">
              <w:rPr>
                <w:szCs w:val="20"/>
              </w:rPr>
              <w:t>2.9**</w:t>
            </w:r>
          </w:p>
        </w:tc>
        <w:tc>
          <w:tcPr>
            <w:tcW w:w="1724" w:type="pct"/>
            <w:tcBorders>
              <w:top w:val="single" w:sz="4" w:space="0" w:color="000000"/>
            </w:tcBorders>
            <w:vAlign w:val="bottom"/>
          </w:tcPr>
          <w:p w14:paraId="3D071146" w14:textId="67BA3C32" w:rsidR="00266DCE" w:rsidRPr="00CE5AED" w:rsidRDefault="00266DCE" w:rsidP="00CE5AED">
            <w:pPr>
              <w:pStyle w:val="Tabletext"/>
              <w:jc w:val="center"/>
            </w:pPr>
            <w:r w:rsidRPr="00CE5AED">
              <w:t>2.9370**</w:t>
            </w:r>
          </w:p>
        </w:tc>
      </w:tr>
      <w:tr w:rsidR="00266DCE" w:rsidRPr="006D013D" w14:paraId="585B1963" w14:textId="63BDCFD8" w:rsidTr="0048214F">
        <w:trPr>
          <w:gridAfter w:val="1"/>
          <w:wAfter w:w="38" w:type="pct"/>
          <w:trHeight w:val="170"/>
        </w:trPr>
        <w:tc>
          <w:tcPr>
            <w:tcW w:w="1513" w:type="pct"/>
            <w:vMerge/>
            <w:tcBorders>
              <w:bottom w:val="single" w:sz="4" w:space="0" w:color="000000"/>
            </w:tcBorders>
            <w:vAlign w:val="center"/>
          </w:tcPr>
          <w:p w14:paraId="62B5E231" w14:textId="77777777" w:rsidR="00266DCE" w:rsidRPr="00266DCE" w:rsidRDefault="00266DCE" w:rsidP="00266DCE">
            <w:pPr>
              <w:pStyle w:val="Tabletext"/>
            </w:pPr>
          </w:p>
        </w:tc>
        <w:tc>
          <w:tcPr>
            <w:tcW w:w="1725" w:type="pct"/>
            <w:gridSpan w:val="2"/>
            <w:tcBorders>
              <w:bottom w:val="single" w:sz="4" w:space="0" w:color="000000"/>
            </w:tcBorders>
          </w:tcPr>
          <w:p w14:paraId="76B351EE" w14:textId="5AAE50C8" w:rsidR="00266DCE" w:rsidRPr="0058277D" w:rsidRDefault="00266DCE" w:rsidP="0048214F">
            <w:pPr>
              <w:pStyle w:val="Tabletext"/>
              <w:ind w:hanging="175"/>
              <w:jc w:val="center"/>
              <w:rPr>
                <w:rFonts w:eastAsia="Times New Roman"/>
                <w:szCs w:val="20"/>
              </w:rPr>
            </w:pPr>
            <w:r w:rsidRPr="0058277D">
              <w:rPr>
                <w:szCs w:val="20"/>
              </w:rPr>
              <w:t>(0.445)</w:t>
            </w:r>
          </w:p>
        </w:tc>
        <w:tc>
          <w:tcPr>
            <w:tcW w:w="1724" w:type="pct"/>
            <w:tcBorders>
              <w:bottom w:val="single" w:sz="4" w:space="0" w:color="000000"/>
            </w:tcBorders>
            <w:vAlign w:val="bottom"/>
          </w:tcPr>
          <w:p w14:paraId="412F1478" w14:textId="6EA4281F" w:rsidR="00266DCE" w:rsidRPr="00CE5AED" w:rsidRDefault="00266DCE" w:rsidP="00CE5AED">
            <w:pPr>
              <w:pStyle w:val="Tabletext"/>
              <w:jc w:val="center"/>
            </w:pPr>
            <w:r w:rsidRPr="00CE5AED">
              <w:t>(0.4465)</w:t>
            </w:r>
          </w:p>
        </w:tc>
      </w:tr>
      <w:tr w:rsidR="00266DCE" w:rsidRPr="006D013D" w14:paraId="5BF78A5D" w14:textId="1228CC3D" w:rsidTr="0048214F">
        <w:trPr>
          <w:gridAfter w:val="1"/>
          <w:wAfter w:w="38" w:type="pct"/>
          <w:trHeight w:val="170"/>
        </w:trPr>
        <w:tc>
          <w:tcPr>
            <w:tcW w:w="1513" w:type="pct"/>
            <w:vMerge w:val="restart"/>
            <w:tcBorders>
              <w:top w:val="single" w:sz="4" w:space="0" w:color="000000"/>
            </w:tcBorders>
            <w:vAlign w:val="center"/>
          </w:tcPr>
          <w:p w14:paraId="39E9C39B" w14:textId="77777777" w:rsidR="00266DCE" w:rsidRPr="00266DCE" w:rsidRDefault="00266DCE" w:rsidP="00266DCE">
            <w:pPr>
              <w:pStyle w:val="Tabletext"/>
            </w:pPr>
            <w:r w:rsidRPr="00266DCE">
              <w:t>Postgraduate degree</w:t>
            </w:r>
          </w:p>
        </w:tc>
        <w:tc>
          <w:tcPr>
            <w:tcW w:w="1725" w:type="pct"/>
            <w:gridSpan w:val="2"/>
            <w:tcBorders>
              <w:top w:val="single" w:sz="4" w:space="0" w:color="000000"/>
            </w:tcBorders>
          </w:tcPr>
          <w:p w14:paraId="5801E693" w14:textId="687C372B" w:rsidR="00266DCE" w:rsidRPr="0058277D" w:rsidRDefault="00266DCE" w:rsidP="0048214F">
            <w:pPr>
              <w:pStyle w:val="Tabletext"/>
              <w:ind w:hanging="175"/>
              <w:jc w:val="center"/>
              <w:rPr>
                <w:rFonts w:eastAsia="Times New Roman"/>
                <w:szCs w:val="20"/>
              </w:rPr>
            </w:pPr>
            <w:r w:rsidRPr="0058277D">
              <w:rPr>
                <w:szCs w:val="20"/>
              </w:rPr>
              <w:t>2.403**</w:t>
            </w:r>
          </w:p>
        </w:tc>
        <w:tc>
          <w:tcPr>
            <w:tcW w:w="1724" w:type="pct"/>
            <w:tcBorders>
              <w:top w:val="single" w:sz="4" w:space="0" w:color="000000"/>
            </w:tcBorders>
            <w:vAlign w:val="bottom"/>
          </w:tcPr>
          <w:p w14:paraId="19E318D6" w14:textId="2AA424ED" w:rsidR="00266DCE" w:rsidRPr="00CE5AED" w:rsidRDefault="00266DCE" w:rsidP="00CE5AED">
            <w:pPr>
              <w:pStyle w:val="Tabletext"/>
              <w:jc w:val="center"/>
            </w:pPr>
            <w:r w:rsidRPr="00CE5AED">
              <w:t>2.3981**</w:t>
            </w:r>
          </w:p>
        </w:tc>
      </w:tr>
      <w:tr w:rsidR="00266DCE" w:rsidRPr="006D013D" w14:paraId="32EE4137" w14:textId="00BD2C84" w:rsidTr="0048214F">
        <w:trPr>
          <w:gridAfter w:val="1"/>
          <w:wAfter w:w="38" w:type="pct"/>
          <w:trHeight w:val="170"/>
        </w:trPr>
        <w:tc>
          <w:tcPr>
            <w:tcW w:w="1513" w:type="pct"/>
            <w:vMerge/>
            <w:tcBorders>
              <w:bottom w:val="single" w:sz="4" w:space="0" w:color="auto"/>
            </w:tcBorders>
            <w:vAlign w:val="center"/>
          </w:tcPr>
          <w:p w14:paraId="42840061" w14:textId="77777777" w:rsidR="00266DCE" w:rsidRPr="00266DCE" w:rsidRDefault="00266DCE" w:rsidP="00266DCE">
            <w:pPr>
              <w:pStyle w:val="Tabletext"/>
            </w:pPr>
          </w:p>
        </w:tc>
        <w:tc>
          <w:tcPr>
            <w:tcW w:w="1725" w:type="pct"/>
            <w:gridSpan w:val="2"/>
            <w:tcBorders>
              <w:bottom w:val="single" w:sz="4" w:space="0" w:color="auto"/>
            </w:tcBorders>
          </w:tcPr>
          <w:p w14:paraId="5D0F66F9" w14:textId="19E2BAD0" w:rsidR="00266DCE" w:rsidRPr="0058277D" w:rsidRDefault="00266DCE" w:rsidP="0048214F">
            <w:pPr>
              <w:pStyle w:val="Tabletext"/>
              <w:ind w:hanging="175"/>
              <w:jc w:val="center"/>
              <w:rPr>
                <w:rFonts w:eastAsia="Times New Roman"/>
                <w:szCs w:val="20"/>
              </w:rPr>
            </w:pPr>
            <w:r w:rsidRPr="0058277D">
              <w:rPr>
                <w:szCs w:val="20"/>
              </w:rPr>
              <w:t>(0.522)</w:t>
            </w:r>
          </w:p>
        </w:tc>
        <w:tc>
          <w:tcPr>
            <w:tcW w:w="1724" w:type="pct"/>
            <w:tcBorders>
              <w:bottom w:val="single" w:sz="4" w:space="0" w:color="auto"/>
            </w:tcBorders>
            <w:vAlign w:val="bottom"/>
          </w:tcPr>
          <w:p w14:paraId="63506B47" w14:textId="76294EB8" w:rsidR="00266DCE" w:rsidRPr="00CE5AED" w:rsidRDefault="00266DCE" w:rsidP="00CE5AED">
            <w:pPr>
              <w:pStyle w:val="Tabletext"/>
              <w:jc w:val="center"/>
            </w:pPr>
            <w:r w:rsidRPr="00CE5AED">
              <w:t>(0.5262)</w:t>
            </w:r>
          </w:p>
        </w:tc>
      </w:tr>
      <w:tr w:rsidR="00266DCE" w:rsidRPr="006D013D" w14:paraId="5BEAC3F5" w14:textId="06477761" w:rsidTr="00266DCE">
        <w:trPr>
          <w:gridAfter w:val="1"/>
          <w:wAfter w:w="38" w:type="pct"/>
          <w:trHeight w:val="170"/>
        </w:trPr>
        <w:tc>
          <w:tcPr>
            <w:tcW w:w="4962" w:type="pct"/>
            <w:gridSpan w:val="4"/>
            <w:tcBorders>
              <w:top w:val="single" w:sz="4" w:space="0" w:color="auto"/>
              <w:bottom w:val="single" w:sz="4" w:space="0" w:color="auto"/>
            </w:tcBorders>
            <w:vAlign w:val="center"/>
          </w:tcPr>
          <w:p w14:paraId="5AA4FCD9" w14:textId="6FCB34E5" w:rsidR="00266DCE" w:rsidRPr="0058277D" w:rsidRDefault="00266DCE" w:rsidP="00266DCE">
            <w:pPr>
              <w:pStyle w:val="Tabletext"/>
              <w:rPr>
                <w:rFonts w:cs="Calibri"/>
                <w:b/>
                <w:color w:val="000000"/>
                <w:szCs w:val="20"/>
              </w:rPr>
            </w:pPr>
            <w:bookmarkStart w:id="413" w:name="_Hlk95132442"/>
            <w:r w:rsidRPr="00266DCE">
              <w:rPr>
                <w:b/>
                <w:bCs/>
              </w:rPr>
              <w:t>Main services provided (ref = Intake/assessment)</w:t>
            </w:r>
          </w:p>
        </w:tc>
      </w:tr>
      <w:tr w:rsidR="001924BF" w:rsidRPr="006D013D" w14:paraId="6EB988A1" w14:textId="1B7D4B1A" w:rsidTr="00D77971">
        <w:trPr>
          <w:gridAfter w:val="1"/>
          <w:wAfter w:w="38" w:type="pct"/>
          <w:trHeight w:val="170"/>
        </w:trPr>
        <w:tc>
          <w:tcPr>
            <w:tcW w:w="1513" w:type="pct"/>
            <w:vMerge w:val="restart"/>
            <w:tcBorders>
              <w:top w:val="single" w:sz="4" w:space="0" w:color="auto"/>
              <w:bottom w:val="single" w:sz="4" w:space="0" w:color="auto"/>
            </w:tcBorders>
            <w:vAlign w:val="center"/>
          </w:tcPr>
          <w:p w14:paraId="60060D70" w14:textId="39934207" w:rsidR="001924BF" w:rsidRPr="00266DCE" w:rsidRDefault="001924BF" w:rsidP="00D77971">
            <w:pPr>
              <w:pStyle w:val="Tabletext"/>
            </w:pPr>
            <w:r w:rsidRPr="00266DCE">
              <w:t>Non-MH services</w:t>
            </w:r>
          </w:p>
        </w:tc>
        <w:tc>
          <w:tcPr>
            <w:tcW w:w="1725" w:type="pct"/>
            <w:gridSpan w:val="2"/>
            <w:tcBorders>
              <w:top w:val="single" w:sz="4" w:space="0" w:color="auto"/>
            </w:tcBorders>
          </w:tcPr>
          <w:p w14:paraId="633E791F" w14:textId="380CE0AD" w:rsidR="001924BF" w:rsidRPr="0058277D" w:rsidRDefault="001924BF" w:rsidP="0048214F">
            <w:pPr>
              <w:pStyle w:val="Tabletext"/>
              <w:ind w:hanging="175"/>
              <w:jc w:val="center"/>
              <w:rPr>
                <w:rFonts w:eastAsia="Times New Roman"/>
                <w:szCs w:val="20"/>
              </w:rPr>
            </w:pPr>
            <w:r w:rsidRPr="0058277D">
              <w:rPr>
                <w:szCs w:val="20"/>
              </w:rPr>
              <w:t>3.730**</w:t>
            </w:r>
          </w:p>
        </w:tc>
        <w:tc>
          <w:tcPr>
            <w:tcW w:w="1724" w:type="pct"/>
            <w:tcBorders>
              <w:top w:val="single" w:sz="4" w:space="0" w:color="auto"/>
            </w:tcBorders>
            <w:vAlign w:val="bottom"/>
          </w:tcPr>
          <w:p w14:paraId="049D9CB5" w14:textId="41A85394" w:rsidR="00247A3A" w:rsidRPr="00CE5AED" w:rsidRDefault="00097984" w:rsidP="00CE5AED">
            <w:pPr>
              <w:pStyle w:val="Tabletext"/>
              <w:jc w:val="center"/>
            </w:pPr>
            <w:r w:rsidRPr="00CE5AED">
              <w:t>0.9542</w:t>
            </w:r>
          </w:p>
        </w:tc>
      </w:tr>
      <w:tr w:rsidR="001924BF" w:rsidRPr="006D013D" w14:paraId="116F2571" w14:textId="4D9B0D9B" w:rsidTr="00D77971">
        <w:trPr>
          <w:gridAfter w:val="1"/>
          <w:wAfter w:w="38" w:type="pct"/>
          <w:trHeight w:val="170"/>
        </w:trPr>
        <w:tc>
          <w:tcPr>
            <w:tcW w:w="1513" w:type="pct"/>
            <w:vMerge/>
            <w:tcBorders>
              <w:bottom w:val="single" w:sz="4" w:space="0" w:color="auto"/>
            </w:tcBorders>
            <w:vAlign w:val="center"/>
          </w:tcPr>
          <w:p w14:paraId="539CA7AA" w14:textId="77777777" w:rsidR="001924BF" w:rsidRPr="00266DCE" w:rsidRDefault="001924BF" w:rsidP="00D77971">
            <w:pPr>
              <w:pStyle w:val="Tabletext"/>
            </w:pPr>
          </w:p>
        </w:tc>
        <w:tc>
          <w:tcPr>
            <w:tcW w:w="1725" w:type="pct"/>
            <w:gridSpan w:val="2"/>
            <w:tcBorders>
              <w:bottom w:val="single" w:sz="4" w:space="0" w:color="auto"/>
            </w:tcBorders>
          </w:tcPr>
          <w:p w14:paraId="3BD91108" w14:textId="5A59DF6C" w:rsidR="001924BF" w:rsidRPr="0058277D" w:rsidRDefault="001924BF" w:rsidP="0048214F">
            <w:pPr>
              <w:pStyle w:val="Tabletext"/>
              <w:ind w:hanging="175"/>
              <w:jc w:val="center"/>
              <w:rPr>
                <w:rFonts w:eastAsia="Times New Roman"/>
                <w:szCs w:val="20"/>
              </w:rPr>
            </w:pPr>
            <w:r w:rsidRPr="0058277D">
              <w:rPr>
                <w:szCs w:val="20"/>
              </w:rPr>
              <w:t>(0.283)</w:t>
            </w:r>
          </w:p>
        </w:tc>
        <w:tc>
          <w:tcPr>
            <w:tcW w:w="1724" w:type="pct"/>
            <w:tcBorders>
              <w:bottom w:val="single" w:sz="4" w:space="0" w:color="auto"/>
            </w:tcBorders>
            <w:vAlign w:val="bottom"/>
          </w:tcPr>
          <w:p w14:paraId="2445A256" w14:textId="719B1F2B" w:rsidR="00247A3A" w:rsidRPr="00CE5AED" w:rsidRDefault="00097984" w:rsidP="00CE5AED">
            <w:pPr>
              <w:pStyle w:val="Tabletext"/>
              <w:jc w:val="center"/>
            </w:pPr>
            <w:r w:rsidRPr="00CE5AED">
              <w:t>(0.0732)</w:t>
            </w:r>
          </w:p>
        </w:tc>
      </w:tr>
      <w:tr w:rsidR="001924BF" w:rsidRPr="006D013D" w14:paraId="26DAAEF7" w14:textId="587BA570" w:rsidTr="00D77971">
        <w:trPr>
          <w:gridAfter w:val="1"/>
          <w:wAfter w:w="38" w:type="pct"/>
          <w:trHeight w:val="170"/>
        </w:trPr>
        <w:tc>
          <w:tcPr>
            <w:tcW w:w="1513" w:type="pct"/>
            <w:vMerge w:val="restart"/>
            <w:tcBorders>
              <w:bottom w:val="single" w:sz="4" w:space="0" w:color="auto"/>
            </w:tcBorders>
            <w:vAlign w:val="center"/>
          </w:tcPr>
          <w:p w14:paraId="211AAD88" w14:textId="6158D90A" w:rsidR="001924BF" w:rsidRPr="00266DCE" w:rsidRDefault="001924BF" w:rsidP="00D77971">
            <w:pPr>
              <w:pStyle w:val="Tabletext"/>
            </w:pPr>
            <w:r w:rsidRPr="00266DCE">
              <w:t>MH and non-MH services</w:t>
            </w:r>
          </w:p>
        </w:tc>
        <w:tc>
          <w:tcPr>
            <w:tcW w:w="1725" w:type="pct"/>
            <w:gridSpan w:val="2"/>
            <w:tcBorders>
              <w:top w:val="single" w:sz="4" w:space="0" w:color="auto"/>
            </w:tcBorders>
          </w:tcPr>
          <w:p w14:paraId="17800F61" w14:textId="71866B28" w:rsidR="001924BF" w:rsidRPr="0058277D" w:rsidRDefault="001924BF" w:rsidP="0048214F">
            <w:pPr>
              <w:pStyle w:val="Tabletext"/>
              <w:ind w:hanging="175"/>
              <w:jc w:val="center"/>
              <w:rPr>
                <w:rFonts w:eastAsia="Times New Roman"/>
                <w:szCs w:val="20"/>
              </w:rPr>
            </w:pPr>
            <w:r w:rsidRPr="0058277D">
              <w:rPr>
                <w:szCs w:val="20"/>
              </w:rPr>
              <w:t>5.186**</w:t>
            </w:r>
          </w:p>
        </w:tc>
        <w:tc>
          <w:tcPr>
            <w:tcW w:w="1724" w:type="pct"/>
            <w:tcBorders>
              <w:top w:val="single" w:sz="4" w:space="0" w:color="auto"/>
            </w:tcBorders>
            <w:vAlign w:val="bottom"/>
          </w:tcPr>
          <w:p w14:paraId="5FEB8379" w14:textId="67079C9F" w:rsidR="00247A3A" w:rsidRPr="00CE5AED" w:rsidRDefault="00097984" w:rsidP="00CE5AED">
            <w:pPr>
              <w:pStyle w:val="Tabletext"/>
              <w:jc w:val="center"/>
            </w:pPr>
            <w:r w:rsidRPr="00CE5AED">
              <w:t>1.1360**</w:t>
            </w:r>
          </w:p>
        </w:tc>
      </w:tr>
      <w:tr w:rsidR="001924BF" w:rsidRPr="006D013D" w14:paraId="003E685D" w14:textId="55EA7C1D" w:rsidTr="0048214F">
        <w:trPr>
          <w:gridAfter w:val="1"/>
          <w:wAfter w:w="38" w:type="pct"/>
          <w:trHeight w:val="170"/>
        </w:trPr>
        <w:tc>
          <w:tcPr>
            <w:tcW w:w="1513" w:type="pct"/>
            <w:vMerge/>
            <w:tcBorders>
              <w:bottom w:val="single" w:sz="4" w:space="0" w:color="auto"/>
            </w:tcBorders>
          </w:tcPr>
          <w:p w14:paraId="38938026" w14:textId="77777777" w:rsidR="001924BF" w:rsidRPr="00266DCE" w:rsidRDefault="001924BF" w:rsidP="00266DCE">
            <w:pPr>
              <w:pStyle w:val="Tabletext"/>
            </w:pPr>
          </w:p>
        </w:tc>
        <w:tc>
          <w:tcPr>
            <w:tcW w:w="1725" w:type="pct"/>
            <w:gridSpan w:val="2"/>
            <w:tcBorders>
              <w:bottom w:val="single" w:sz="4" w:space="0" w:color="auto"/>
            </w:tcBorders>
          </w:tcPr>
          <w:p w14:paraId="0DA7FA6A" w14:textId="72C8BB08" w:rsidR="001924BF" w:rsidRPr="0058277D" w:rsidRDefault="001924BF" w:rsidP="0048214F">
            <w:pPr>
              <w:pStyle w:val="Tabletext"/>
              <w:ind w:hanging="175"/>
              <w:jc w:val="center"/>
              <w:rPr>
                <w:rFonts w:eastAsia="Times New Roman"/>
                <w:szCs w:val="20"/>
              </w:rPr>
            </w:pPr>
            <w:r w:rsidRPr="0058277D">
              <w:rPr>
                <w:szCs w:val="20"/>
              </w:rPr>
              <w:t>(0.225)</w:t>
            </w:r>
          </w:p>
        </w:tc>
        <w:tc>
          <w:tcPr>
            <w:tcW w:w="1724" w:type="pct"/>
            <w:tcBorders>
              <w:bottom w:val="single" w:sz="4" w:space="0" w:color="auto"/>
            </w:tcBorders>
            <w:vAlign w:val="bottom"/>
          </w:tcPr>
          <w:p w14:paraId="75AAEF0E" w14:textId="2A105E19" w:rsidR="00247A3A" w:rsidRPr="00CE5AED" w:rsidRDefault="00097984" w:rsidP="00CE5AED">
            <w:pPr>
              <w:pStyle w:val="Tabletext"/>
              <w:jc w:val="center"/>
            </w:pPr>
            <w:r w:rsidRPr="00CE5AED">
              <w:t>(0.0503)</w:t>
            </w:r>
          </w:p>
        </w:tc>
      </w:tr>
    </w:tbl>
    <w:p w14:paraId="2AC90CDF" w14:textId="77777777" w:rsidR="00266DCE" w:rsidRDefault="00266DCE">
      <w:r>
        <w:br w:type="page"/>
      </w:r>
    </w:p>
    <w:tbl>
      <w:tblPr>
        <w:tblW w:w="5000" w:type="pct"/>
        <w:tblLook w:val="04A0" w:firstRow="1" w:lastRow="0" w:firstColumn="1" w:lastColumn="0" w:noHBand="0" w:noVBand="1"/>
        <w:tblCaption w:val="Logit regression of completing the follow up survey"/>
        <w:tblDescription w:val="Table has 3 columns and summarises the logit regression of young people completing the follow-up survey. Column 1 includes the independent variables analysed. Column 2 lists the probability of receiving two or more occasions of service."/>
      </w:tblPr>
      <w:tblGrid>
        <w:gridCol w:w="2766"/>
        <w:gridCol w:w="3153"/>
        <w:gridCol w:w="3151"/>
      </w:tblGrid>
      <w:tr w:rsidR="001924BF" w:rsidRPr="006D013D" w14:paraId="339602D8" w14:textId="3F3F8AF1" w:rsidTr="00266DCE">
        <w:trPr>
          <w:trHeight w:val="170"/>
        </w:trPr>
        <w:tc>
          <w:tcPr>
            <w:tcW w:w="1525" w:type="pct"/>
            <w:vMerge w:val="restart"/>
            <w:tcBorders>
              <w:bottom w:val="single" w:sz="4" w:space="0" w:color="auto"/>
            </w:tcBorders>
          </w:tcPr>
          <w:p w14:paraId="2DD3C2EC" w14:textId="3609A343" w:rsidR="001924BF" w:rsidRPr="00266DCE" w:rsidRDefault="001924BF" w:rsidP="00266DCE">
            <w:pPr>
              <w:pStyle w:val="Tabletext"/>
            </w:pPr>
            <w:r w:rsidRPr="00266DCE">
              <w:t>MH only services</w:t>
            </w:r>
          </w:p>
        </w:tc>
        <w:tc>
          <w:tcPr>
            <w:tcW w:w="1738" w:type="pct"/>
            <w:tcBorders>
              <w:top w:val="single" w:sz="4" w:space="0" w:color="auto"/>
            </w:tcBorders>
          </w:tcPr>
          <w:p w14:paraId="2FE9B373" w14:textId="5DBDE8A6" w:rsidR="001924BF" w:rsidRPr="0058277D" w:rsidRDefault="001924BF" w:rsidP="0048214F">
            <w:pPr>
              <w:pStyle w:val="Tabletext"/>
              <w:ind w:hanging="175"/>
              <w:jc w:val="center"/>
              <w:rPr>
                <w:rFonts w:eastAsia="Times New Roman"/>
                <w:szCs w:val="20"/>
              </w:rPr>
            </w:pPr>
            <w:r w:rsidRPr="0058277D">
              <w:rPr>
                <w:szCs w:val="20"/>
              </w:rPr>
              <w:t>5.646**</w:t>
            </w:r>
          </w:p>
        </w:tc>
        <w:tc>
          <w:tcPr>
            <w:tcW w:w="1737" w:type="pct"/>
            <w:tcBorders>
              <w:top w:val="single" w:sz="4" w:space="0" w:color="auto"/>
            </w:tcBorders>
            <w:vAlign w:val="bottom"/>
          </w:tcPr>
          <w:p w14:paraId="11083CD9" w14:textId="50F6B2DB" w:rsidR="00247A3A" w:rsidRPr="00CE5AED" w:rsidRDefault="00097984" w:rsidP="00CE5AED">
            <w:pPr>
              <w:pStyle w:val="Tabletext"/>
              <w:jc w:val="center"/>
            </w:pPr>
            <w:r w:rsidRPr="00CE5AED">
              <w:t>1.3505**</w:t>
            </w:r>
          </w:p>
        </w:tc>
      </w:tr>
      <w:tr w:rsidR="001924BF" w:rsidRPr="006D013D" w14:paraId="24529377" w14:textId="73942F95" w:rsidTr="00266DCE">
        <w:trPr>
          <w:trHeight w:val="170"/>
        </w:trPr>
        <w:tc>
          <w:tcPr>
            <w:tcW w:w="1525" w:type="pct"/>
            <w:vMerge/>
            <w:tcBorders>
              <w:bottom w:val="single" w:sz="4" w:space="0" w:color="auto"/>
            </w:tcBorders>
          </w:tcPr>
          <w:p w14:paraId="2E2574F0" w14:textId="7C782606" w:rsidR="001924BF" w:rsidRPr="0058277D" w:rsidRDefault="001924BF" w:rsidP="0007724F">
            <w:pPr>
              <w:pStyle w:val="Tabletext"/>
              <w:ind w:left="177"/>
              <w:rPr>
                <w:rFonts w:eastAsia="Times New Roman"/>
                <w:szCs w:val="20"/>
              </w:rPr>
            </w:pPr>
          </w:p>
        </w:tc>
        <w:tc>
          <w:tcPr>
            <w:tcW w:w="1738" w:type="pct"/>
            <w:tcBorders>
              <w:bottom w:val="single" w:sz="4" w:space="0" w:color="000000"/>
            </w:tcBorders>
          </w:tcPr>
          <w:p w14:paraId="6E03D6C1" w14:textId="7AE81307" w:rsidR="001924BF" w:rsidRPr="0058277D" w:rsidRDefault="001924BF" w:rsidP="0048214F">
            <w:pPr>
              <w:pStyle w:val="Tabletext"/>
              <w:ind w:hanging="175"/>
              <w:jc w:val="center"/>
              <w:rPr>
                <w:rFonts w:eastAsia="Times New Roman"/>
                <w:szCs w:val="20"/>
              </w:rPr>
            </w:pPr>
            <w:r w:rsidRPr="0058277D">
              <w:rPr>
                <w:szCs w:val="20"/>
              </w:rPr>
              <w:t>(0.201)</w:t>
            </w:r>
          </w:p>
        </w:tc>
        <w:tc>
          <w:tcPr>
            <w:tcW w:w="1737" w:type="pct"/>
            <w:tcBorders>
              <w:bottom w:val="single" w:sz="4" w:space="0" w:color="000000"/>
            </w:tcBorders>
            <w:vAlign w:val="bottom"/>
          </w:tcPr>
          <w:p w14:paraId="2B2342DD" w14:textId="23386A3B" w:rsidR="00247A3A" w:rsidRPr="00CE5AED" w:rsidRDefault="00097984" w:rsidP="00CE5AED">
            <w:pPr>
              <w:pStyle w:val="Tabletext"/>
              <w:jc w:val="center"/>
            </w:pPr>
            <w:r w:rsidRPr="00CE5AED">
              <w:t>(0.0496)</w:t>
            </w:r>
          </w:p>
        </w:tc>
      </w:tr>
      <w:bookmarkEnd w:id="413"/>
      <w:tr w:rsidR="00266DCE" w:rsidRPr="006D013D" w14:paraId="6FECFD36" w14:textId="221A1BC5" w:rsidTr="00266DCE">
        <w:trPr>
          <w:trHeight w:val="170"/>
        </w:trPr>
        <w:tc>
          <w:tcPr>
            <w:tcW w:w="5000" w:type="pct"/>
            <w:gridSpan w:val="3"/>
            <w:tcBorders>
              <w:top w:val="single" w:sz="4" w:space="0" w:color="auto"/>
              <w:bottom w:val="single" w:sz="4" w:space="0" w:color="000000"/>
            </w:tcBorders>
            <w:vAlign w:val="center"/>
          </w:tcPr>
          <w:p w14:paraId="052327F1" w14:textId="23582CE1" w:rsidR="00266DCE" w:rsidRPr="0058277D" w:rsidRDefault="00266DCE" w:rsidP="00266DCE">
            <w:pPr>
              <w:pStyle w:val="Tabletext"/>
              <w:rPr>
                <w:rFonts w:eastAsia="Times New Roman"/>
                <w:szCs w:val="20"/>
              </w:rPr>
            </w:pPr>
            <w:r w:rsidRPr="0058277D">
              <w:rPr>
                <w:b/>
                <w:szCs w:val="20"/>
              </w:rPr>
              <w:t>Rurality (ref = Major cities)</w:t>
            </w:r>
          </w:p>
        </w:tc>
      </w:tr>
      <w:tr w:rsidR="00266DCE" w:rsidRPr="006D013D" w14:paraId="273EE3E3" w14:textId="14AB5AA8" w:rsidTr="00266DCE">
        <w:trPr>
          <w:trHeight w:val="170"/>
        </w:trPr>
        <w:tc>
          <w:tcPr>
            <w:tcW w:w="1525" w:type="pct"/>
            <w:vMerge w:val="restart"/>
            <w:tcBorders>
              <w:top w:val="single" w:sz="4" w:space="0" w:color="000000"/>
            </w:tcBorders>
            <w:vAlign w:val="center"/>
          </w:tcPr>
          <w:p w14:paraId="71BAF5BA" w14:textId="77777777" w:rsidR="00266DCE" w:rsidRPr="00266DCE" w:rsidRDefault="00266DCE" w:rsidP="00266DCE">
            <w:pPr>
              <w:pStyle w:val="Tabletext"/>
            </w:pPr>
            <w:r w:rsidRPr="00266DCE">
              <w:t>Inner regional Australia</w:t>
            </w:r>
          </w:p>
        </w:tc>
        <w:tc>
          <w:tcPr>
            <w:tcW w:w="1738" w:type="pct"/>
            <w:tcBorders>
              <w:top w:val="single" w:sz="4" w:space="0" w:color="000000"/>
            </w:tcBorders>
          </w:tcPr>
          <w:p w14:paraId="2C71DD2D" w14:textId="26B1F331" w:rsidR="00266DCE" w:rsidRPr="0058277D" w:rsidRDefault="00266DCE" w:rsidP="0048214F">
            <w:pPr>
              <w:pStyle w:val="Tabletext"/>
              <w:ind w:hanging="175"/>
              <w:jc w:val="center"/>
              <w:rPr>
                <w:rFonts w:eastAsia="Times New Roman"/>
                <w:szCs w:val="20"/>
              </w:rPr>
            </w:pPr>
            <w:r w:rsidRPr="0058277D">
              <w:rPr>
                <w:szCs w:val="20"/>
              </w:rPr>
              <w:t>0.761**</w:t>
            </w:r>
          </w:p>
        </w:tc>
        <w:tc>
          <w:tcPr>
            <w:tcW w:w="1737" w:type="pct"/>
            <w:tcBorders>
              <w:top w:val="single" w:sz="4" w:space="0" w:color="000000"/>
            </w:tcBorders>
            <w:vAlign w:val="bottom"/>
          </w:tcPr>
          <w:p w14:paraId="4FDFA70E" w14:textId="0308A35D" w:rsidR="00266DCE" w:rsidRPr="00CE5AED" w:rsidRDefault="00266DCE" w:rsidP="00CE5AED">
            <w:pPr>
              <w:pStyle w:val="Tabletext"/>
              <w:jc w:val="center"/>
            </w:pPr>
            <w:r w:rsidRPr="00CE5AED">
              <w:t>0.7771**</w:t>
            </w:r>
          </w:p>
        </w:tc>
      </w:tr>
      <w:tr w:rsidR="00266DCE" w:rsidRPr="006D013D" w14:paraId="0BA068D7" w14:textId="7F2594D2" w:rsidTr="00266DCE">
        <w:trPr>
          <w:trHeight w:val="170"/>
        </w:trPr>
        <w:tc>
          <w:tcPr>
            <w:tcW w:w="1525" w:type="pct"/>
            <w:vMerge/>
            <w:tcBorders>
              <w:bottom w:val="single" w:sz="4" w:space="0" w:color="000000"/>
            </w:tcBorders>
            <w:vAlign w:val="center"/>
          </w:tcPr>
          <w:p w14:paraId="32B93B74" w14:textId="77777777" w:rsidR="00266DCE" w:rsidRPr="00266DCE" w:rsidRDefault="00266DCE" w:rsidP="00266DCE">
            <w:pPr>
              <w:pStyle w:val="Tabletext"/>
            </w:pPr>
          </w:p>
        </w:tc>
        <w:tc>
          <w:tcPr>
            <w:tcW w:w="1738" w:type="pct"/>
            <w:tcBorders>
              <w:bottom w:val="single" w:sz="4" w:space="0" w:color="000000"/>
            </w:tcBorders>
          </w:tcPr>
          <w:p w14:paraId="072AAFA1" w14:textId="7EB22AD3" w:rsidR="00266DCE" w:rsidRPr="0058277D" w:rsidRDefault="00266DCE" w:rsidP="0048214F">
            <w:pPr>
              <w:pStyle w:val="Tabletext"/>
              <w:ind w:hanging="175"/>
              <w:jc w:val="center"/>
              <w:rPr>
                <w:rFonts w:eastAsia="Times New Roman"/>
                <w:szCs w:val="20"/>
              </w:rPr>
            </w:pPr>
            <w:r w:rsidRPr="0058277D">
              <w:rPr>
                <w:szCs w:val="20"/>
              </w:rPr>
              <w:t>(0.017)</w:t>
            </w:r>
          </w:p>
        </w:tc>
        <w:tc>
          <w:tcPr>
            <w:tcW w:w="1737" w:type="pct"/>
            <w:tcBorders>
              <w:bottom w:val="single" w:sz="4" w:space="0" w:color="000000"/>
            </w:tcBorders>
            <w:vAlign w:val="bottom"/>
          </w:tcPr>
          <w:p w14:paraId="7300B122" w14:textId="7D6FDBFB" w:rsidR="00266DCE" w:rsidRPr="00CE5AED" w:rsidRDefault="00266DCE" w:rsidP="00CE5AED">
            <w:pPr>
              <w:pStyle w:val="Tabletext"/>
              <w:jc w:val="center"/>
            </w:pPr>
            <w:r w:rsidRPr="00CE5AED">
              <w:t>(0.0178)</w:t>
            </w:r>
          </w:p>
        </w:tc>
      </w:tr>
      <w:tr w:rsidR="00266DCE" w:rsidRPr="006D013D" w14:paraId="24C90B7F" w14:textId="3D20C286" w:rsidTr="00266DCE">
        <w:trPr>
          <w:trHeight w:val="170"/>
        </w:trPr>
        <w:tc>
          <w:tcPr>
            <w:tcW w:w="1525" w:type="pct"/>
            <w:vMerge w:val="restart"/>
            <w:tcBorders>
              <w:top w:val="single" w:sz="4" w:space="0" w:color="000000"/>
            </w:tcBorders>
            <w:vAlign w:val="center"/>
          </w:tcPr>
          <w:p w14:paraId="23E2C02C" w14:textId="77777777" w:rsidR="00266DCE" w:rsidRPr="00266DCE" w:rsidRDefault="00266DCE" w:rsidP="00266DCE">
            <w:pPr>
              <w:pStyle w:val="Tabletext"/>
            </w:pPr>
            <w:r w:rsidRPr="00266DCE">
              <w:t>Outer regional Australia</w:t>
            </w:r>
          </w:p>
        </w:tc>
        <w:tc>
          <w:tcPr>
            <w:tcW w:w="1738" w:type="pct"/>
            <w:tcBorders>
              <w:top w:val="single" w:sz="4" w:space="0" w:color="000000"/>
            </w:tcBorders>
          </w:tcPr>
          <w:p w14:paraId="4CF31713" w14:textId="7445D183" w:rsidR="00266DCE" w:rsidRPr="0058277D" w:rsidRDefault="00266DCE" w:rsidP="0048214F">
            <w:pPr>
              <w:pStyle w:val="Tabletext"/>
              <w:ind w:hanging="175"/>
              <w:jc w:val="center"/>
              <w:rPr>
                <w:rFonts w:eastAsia="Times New Roman"/>
                <w:szCs w:val="20"/>
              </w:rPr>
            </w:pPr>
            <w:r w:rsidRPr="0058277D">
              <w:rPr>
                <w:szCs w:val="20"/>
              </w:rPr>
              <w:t>0.822**</w:t>
            </w:r>
          </w:p>
        </w:tc>
        <w:tc>
          <w:tcPr>
            <w:tcW w:w="1737" w:type="pct"/>
            <w:tcBorders>
              <w:top w:val="single" w:sz="4" w:space="0" w:color="000000"/>
            </w:tcBorders>
            <w:vAlign w:val="bottom"/>
          </w:tcPr>
          <w:p w14:paraId="66245093" w14:textId="47572B0A" w:rsidR="00266DCE" w:rsidRPr="00CE5AED" w:rsidRDefault="00266DCE" w:rsidP="00CE5AED">
            <w:pPr>
              <w:pStyle w:val="Tabletext"/>
              <w:jc w:val="center"/>
            </w:pPr>
            <w:r w:rsidRPr="00CE5AED">
              <w:t>0.8277**</w:t>
            </w:r>
          </w:p>
        </w:tc>
      </w:tr>
      <w:tr w:rsidR="00266DCE" w:rsidRPr="006D013D" w14:paraId="797F8A3A" w14:textId="2D564DBD" w:rsidTr="00266DCE">
        <w:trPr>
          <w:trHeight w:val="170"/>
        </w:trPr>
        <w:tc>
          <w:tcPr>
            <w:tcW w:w="1525" w:type="pct"/>
            <w:vMerge/>
            <w:tcBorders>
              <w:bottom w:val="single" w:sz="4" w:space="0" w:color="000000"/>
            </w:tcBorders>
            <w:vAlign w:val="center"/>
          </w:tcPr>
          <w:p w14:paraId="4FCAC793" w14:textId="77777777" w:rsidR="00266DCE" w:rsidRPr="00266DCE" w:rsidRDefault="00266DCE" w:rsidP="00266DCE">
            <w:pPr>
              <w:pStyle w:val="Tabletext"/>
            </w:pPr>
          </w:p>
        </w:tc>
        <w:tc>
          <w:tcPr>
            <w:tcW w:w="1738" w:type="pct"/>
            <w:tcBorders>
              <w:bottom w:val="single" w:sz="4" w:space="0" w:color="000000"/>
            </w:tcBorders>
          </w:tcPr>
          <w:p w14:paraId="31573456" w14:textId="0ED9A3CF" w:rsidR="00266DCE" w:rsidRPr="0058277D" w:rsidRDefault="00266DCE" w:rsidP="0048214F">
            <w:pPr>
              <w:pStyle w:val="Tabletext"/>
              <w:ind w:hanging="175"/>
              <w:jc w:val="center"/>
              <w:rPr>
                <w:rFonts w:eastAsia="Times New Roman"/>
                <w:szCs w:val="20"/>
              </w:rPr>
            </w:pPr>
            <w:r w:rsidRPr="0058277D">
              <w:rPr>
                <w:szCs w:val="20"/>
              </w:rPr>
              <w:t>(0.027)</w:t>
            </w:r>
          </w:p>
        </w:tc>
        <w:tc>
          <w:tcPr>
            <w:tcW w:w="1737" w:type="pct"/>
            <w:tcBorders>
              <w:bottom w:val="single" w:sz="4" w:space="0" w:color="000000"/>
            </w:tcBorders>
            <w:vAlign w:val="bottom"/>
          </w:tcPr>
          <w:p w14:paraId="4E9F2B90" w14:textId="761AFCF7" w:rsidR="00266DCE" w:rsidRPr="00CE5AED" w:rsidRDefault="00266DCE" w:rsidP="00CE5AED">
            <w:pPr>
              <w:pStyle w:val="Tabletext"/>
              <w:jc w:val="center"/>
            </w:pPr>
            <w:r w:rsidRPr="00CE5AED">
              <w:t>(0.0270)</w:t>
            </w:r>
          </w:p>
        </w:tc>
      </w:tr>
      <w:tr w:rsidR="00266DCE" w:rsidRPr="006D013D" w14:paraId="3DEA1B0A" w14:textId="40665AB2" w:rsidTr="00266DCE">
        <w:trPr>
          <w:trHeight w:val="170"/>
        </w:trPr>
        <w:tc>
          <w:tcPr>
            <w:tcW w:w="1525" w:type="pct"/>
            <w:vMerge w:val="restart"/>
            <w:tcBorders>
              <w:top w:val="single" w:sz="4" w:space="0" w:color="000000"/>
            </w:tcBorders>
            <w:vAlign w:val="center"/>
          </w:tcPr>
          <w:p w14:paraId="2CE6BBBF" w14:textId="77777777" w:rsidR="00266DCE" w:rsidRPr="00266DCE" w:rsidRDefault="00266DCE" w:rsidP="00266DCE">
            <w:pPr>
              <w:pStyle w:val="Tabletext"/>
            </w:pPr>
            <w:r w:rsidRPr="00266DCE">
              <w:t>Remote Australia</w:t>
            </w:r>
          </w:p>
        </w:tc>
        <w:tc>
          <w:tcPr>
            <w:tcW w:w="1738" w:type="pct"/>
            <w:tcBorders>
              <w:top w:val="single" w:sz="4" w:space="0" w:color="000000"/>
            </w:tcBorders>
          </w:tcPr>
          <w:p w14:paraId="2ABD5EC9" w14:textId="6CFA95B6" w:rsidR="00266DCE" w:rsidRPr="0058277D" w:rsidRDefault="00266DCE" w:rsidP="0048214F">
            <w:pPr>
              <w:pStyle w:val="Tabletext"/>
              <w:ind w:hanging="175"/>
              <w:jc w:val="center"/>
              <w:rPr>
                <w:rFonts w:eastAsia="Times New Roman"/>
                <w:szCs w:val="20"/>
              </w:rPr>
            </w:pPr>
            <w:r w:rsidRPr="0058277D">
              <w:rPr>
                <w:szCs w:val="20"/>
              </w:rPr>
              <w:t>0.477**</w:t>
            </w:r>
          </w:p>
        </w:tc>
        <w:tc>
          <w:tcPr>
            <w:tcW w:w="1737" w:type="pct"/>
            <w:tcBorders>
              <w:top w:val="single" w:sz="4" w:space="0" w:color="000000"/>
            </w:tcBorders>
            <w:vAlign w:val="bottom"/>
          </w:tcPr>
          <w:p w14:paraId="516BE2BA" w14:textId="046783E0" w:rsidR="00266DCE" w:rsidRPr="00CE5AED" w:rsidRDefault="00266DCE" w:rsidP="00CE5AED">
            <w:pPr>
              <w:pStyle w:val="Tabletext"/>
              <w:jc w:val="center"/>
            </w:pPr>
            <w:r w:rsidRPr="00CE5AED">
              <w:t>0.4973**</w:t>
            </w:r>
          </w:p>
        </w:tc>
      </w:tr>
      <w:tr w:rsidR="00266DCE" w:rsidRPr="006D013D" w14:paraId="0AFBBB8F" w14:textId="6BE1D2BE" w:rsidTr="00266DCE">
        <w:trPr>
          <w:trHeight w:val="170"/>
        </w:trPr>
        <w:tc>
          <w:tcPr>
            <w:tcW w:w="1525" w:type="pct"/>
            <w:vMerge/>
            <w:tcBorders>
              <w:bottom w:val="single" w:sz="4" w:space="0" w:color="000000"/>
            </w:tcBorders>
            <w:vAlign w:val="center"/>
          </w:tcPr>
          <w:p w14:paraId="591C1630" w14:textId="77777777" w:rsidR="00266DCE" w:rsidRPr="00266DCE" w:rsidRDefault="00266DCE" w:rsidP="00266DCE">
            <w:pPr>
              <w:pStyle w:val="Tabletext"/>
            </w:pPr>
          </w:p>
        </w:tc>
        <w:tc>
          <w:tcPr>
            <w:tcW w:w="1738" w:type="pct"/>
            <w:tcBorders>
              <w:bottom w:val="single" w:sz="4" w:space="0" w:color="000000"/>
            </w:tcBorders>
          </w:tcPr>
          <w:p w14:paraId="258C1B30" w14:textId="2E406D93" w:rsidR="00266DCE" w:rsidRPr="0058277D" w:rsidRDefault="00266DCE" w:rsidP="0048214F">
            <w:pPr>
              <w:pStyle w:val="Tabletext"/>
              <w:ind w:hanging="175"/>
              <w:jc w:val="center"/>
              <w:rPr>
                <w:rFonts w:eastAsia="Times New Roman"/>
                <w:szCs w:val="20"/>
              </w:rPr>
            </w:pPr>
            <w:r w:rsidRPr="0058277D">
              <w:rPr>
                <w:szCs w:val="20"/>
              </w:rPr>
              <w:t>(0.061)</w:t>
            </w:r>
          </w:p>
        </w:tc>
        <w:tc>
          <w:tcPr>
            <w:tcW w:w="1737" w:type="pct"/>
            <w:tcBorders>
              <w:bottom w:val="single" w:sz="4" w:space="0" w:color="000000"/>
            </w:tcBorders>
            <w:vAlign w:val="bottom"/>
          </w:tcPr>
          <w:p w14:paraId="67D7829A" w14:textId="123ACA78" w:rsidR="00266DCE" w:rsidRPr="00CE5AED" w:rsidRDefault="00266DCE" w:rsidP="00CE5AED">
            <w:pPr>
              <w:pStyle w:val="Tabletext"/>
              <w:jc w:val="center"/>
            </w:pPr>
            <w:r w:rsidRPr="00CE5AED">
              <w:t>(0.0641)</w:t>
            </w:r>
          </w:p>
        </w:tc>
      </w:tr>
      <w:tr w:rsidR="00266DCE" w:rsidRPr="006D013D" w14:paraId="43EC83ED" w14:textId="32CD2877" w:rsidTr="00266DCE">
        <w:trPr>
          <w:trHeight w:val="170"/>
        </w:trPr>
        <w:tc>
          <w:tcPr>
            <w:tcW w:w="1525" w:type="pct"/>
            <w:vMerge w:val="restart"/>
            <w:tcBorders>
              <w:top w:val="single" w:sz="4" w:space="0" w:color="000000"/>
            </w:tcBorders>
            <w:vAlign w:val="center"/>
          </w:tcPr>
          <w:p w14:paraId="76571C7C" w14:textId="77777777" w:rsidR="00266DCE" w:rsidRPr="00266DCE" w:rsidRDefault="00266DCE" w:rsidP="00266DCE">
            <w:pPr>
              <w:pStyle w:val="Tabletext"/>
            </w:pPr>
            <w:r w:rsidRPr="00266DCE">
              <w:t>Very remote Australia</w:t>
            </w:r>
          </w:p>
        </w:tc>
        <w:tc>
          <w:tcPr>
            <w:tcW w:w="1738" w:type="pct"/>
            <w:tcBorders>
              <w:top w:val="single" w:sz="4" w:space="0" w:color="000000"/>
            </w:tcBorders>
          </w:tcPr>
          <w:p w14:paraId="06ECC274" w14:textId="579E150C" w:rsidR="00266DCE" w:rsidRPr="0058277D" w:rsidRDefault="00266DCE" w:rsidP="0048214F">
            <w:pPr>
              <w:pStyle w:val="Tabletext"/>
              <w:ind w:hanging="175"/>
              <w:jc w:val="center"/>
              <w:rPr>
                <w:rFonts w:eastAsia="Times New Roman"/>
                <w:szCs w:val="20"/>
              </w:rPr>
            </w:pPr>
            <w:r w:rsidRPr="0058277D">
              <w:rPr>
                <w:szCs w:val="20"/>
              </w:rPr>
              <w:t>1.113</w:t>
            </w:r>
          </w:p>
        </w:tc>
        <w:tc>
          <w:tcPr>
            <w:tcW w:w="1737" w:type="pct"/>
            <w:tcBorders>
              <w:top w:val="single" w:sz="4" w:space="0" w:color="000000"/>
            </w:tcBorders>
            <w:vAlign w:val="bottom"/>
          </w:tcPr>
          <w:p w14:paraId="63611E24" w14:textId="747629DE" w:rsidR="00266DCE" w:rsidRPr="00CE5AED" w:rsidRDefault="00266DCE" w:rsidP="00CE5AED">
            <w:pPr>
              <w:pStyle w:val="Tabletext"/>
              <w:jc w:val="center"/>
            </w:pPr>
            <w:r w:rsidRPr="00CE5AED">
              <w:t>1.1281</w:t>
            </w:r>
          </w:p>
        </w:tc>
      </w:tr>
      <w:tr w:rsidR="00266DCE" w:rsidRPr="006D013D" w14:paraId="3EB89A0E" w14:textId="611DCA75" w:rsidTr="00266DCE">
        <w:trPr>
          <w:trHeight w:val="170"/>
        </w:trPr>
        <w:tc>
          <w:tcPr>
            <w:tcW w:w="1525" w:type="pct"/>
            <w:vMerge/>
            <w:tcBorders>
              <w:bottom w:val="single" w:sz="4" w:space="0" w:color="000000"/>
            </w:tcBorders>
            <w:vAlign w:val="center"/>
          </w:tcPr>
          <w:p w14:paraId="638E063E" w14:textId="77777777" w:rsidR="00266DCE" w:rsidRPr="0058277D" w:rsidRDefault="00266DCE" w:rsidP="00D20ABA">
            <w:pPr>
              <w:pStyle w:val="Tabletext"/>
              <w:ind w:left="177"/>
              <w:rPr>
                <w:rFonts w:eastAsia="Times New Roman"/>
                <w:szCs w:val="20"/>
              </w:rPr>
            </w:pPr>
          </w:p>
        </w:tc>
        <w:tc>
          <w:tcPr>
            <w:tcW w:w="1738" w:type="pct"/>
            <w:tcBorders>
              <w:bottom w:val="single" w:sz="4" w:space="0" w:color="000000"/>
            </w:tcBorders>
          </w:tcPr>
          <w:p w14:paraId="5A926EFC" w14:textId="4B9853EF" w:rsidR="00266DCE" w:rsidRPr="0058277D" w:rsidRDefault="00266DCE" w:rsidP="0048214F">
            <w:pPr>
              <w:pStyle w:val="Tabletext"/>
              <w:ind w:hanging="175"/>
              <w:jc w:val="center"/>
              <w:rPr>
                <w:rFonts w:eastAsia="Times New Roman"/>
                <w:szCs w:val="20"/>
              </w:rPr>
            </w:pPr>
            <w:r w:rsidRPr="0058277D">
              <w:rPr>
                <w:szCs w:val="20"/>
              </w:rPr>
              <w:t>(0.413)</w:t>
            </w:r>
          </w:p>
        </w:tc>
        <w:tc>
          <w:tcPr>
            <w:tcW w:w="1737" w:type="pct"/>
            <w:tcBorders>
              <w:bottom w:val="single" w:sz="4" w:space="0" w:color="000000"/>
            </w:tcBorders>
            <w:vAlign w:val="bottom"/>
          </w:tcPr>
          <w:p w14:paraId="69D79B94" w14:textId="74312667" w:rsidR="00266DCE" w:rsidRPr="00CE5AED" w:rsidRDefault="00266DCE" w:rsidP="00CE5AED">
            <w:pPr>
              <w:pStyle w:val="Tabletext"/>
              <w:jc w:val="center"/>
            </w:pPr>
            <w:r w:rsidRPr="00CE5AED">
              <w:t>(0.4211)</w:t>
            </w:r>
          </w:p>
        </w:tc>
      </w:tr>
      <w:tr w:rsidR="00266DCE" w:rsidRPr="006D013D" w14:paraId="070E5695" w14:textId="02B363FF" w:rsidTr="00266DCE">
        <w:trPr>
          <w:trHeight w:val="170"/>
        </w:trPr>
        <w:tc>
          <w:tcPr>
            <w:tcW w:w="5000" w:type="pct"/>
            <w:gridSpan w:val="3"/>
            <w:tcBorders>
              <w:top w:val="single" w:sz="4" w:space="0" w:color="000000"/>
              <w:bottom w:val="single" w:sz="4" w:space="0" w:color="000000"/>
            </w:tcBorders>
            <w:vAlign w:val="center"/>
          </w:tcPr>
          <w:p w14:paraId="4A8EB2EA" w14:textId="3FB4D86E" w:rsidR="00266DCE" w:rsidRPr="0058277D" w:rsidRDefault="00266DCE" w:rsidP="00266DCE">
            <w:pPr>
              <w:pStyle w:val="Tabletext"/>
              <w:rPr>
                <w:rFonts w:eastAsia="Times New Roman"/>
                <w:szCs w:val="20"/>
              </w:rPr>
            </w:pPr>
            <w:r w:rsidRPr="0058277D">
              <w:rPr>
                <w:b/>
                <w:szCs w:val="20"/>
              </w:rPr>
              <w:t>K10 outcome measures</w:t>
            </w:r>
          </w:p>
        </w:tc>
      </w:tr>
      <w:tr w:rsidR="00266DCE" w:rsidRPr="006D013D" w14:paraId="043FAAAA" w14:textId="522ABAF9" w:rsidTr="00266DCE">
        <w:trPr>
          <w:trHeight w:val="170"/>
        </w:trPr>
        <w:tc>
          <w:tcPr>
            <w:tcW w:w="1525" w:type="pct"/>
            <w:vMerge w:val="restart"/>
            <w:tcBorders>
              <w:top w:val="single" w:sz="4" w:space="0" w:color="000000"/>
            </w:tcBorders>
            <w:vAlign w:val="center"/>
          </w:tcPr>
          <w:p w14:paraId="4C1C575D" w14:textId="27983FBD" w:rsidR="00266DCE" w:rsidRPr="00266DCE" w:rsidRDefault="00266DCE" w:rsidP="00266DCE">
            <w:pPr>
              <w:pStyle w:val="Tabletext"/>
            </w:pPr>
            <w:r w:rsidRPr="00266DCE">
              <w:t>Intake K10 measure</w:t>
            </w:r>
          </w:p>
        </w:tc>
        <w:tc>
          <w:tcPr>
            <w:tcW w:w="1738" w:type="pct"/>
            <w:tcBorders>
              <w:top w:val="single" w:sz="4" w:space="0" w:color="000000"/>
            </w:tcBorders>
          </w:tcPr>
          <w:p w14:paraId="76505E54" w14:textId="77051DDF" w:rsidR="00266DCE" w:rsidRPr="0058277D" w:rsidRDefault="00266DCE" w:rsidP="0048214F">
            <w:pPr>
              <w:pStyle w:val="Tabletext"/>
              <w:ind w:hanging="175"/>
              <w:jc w:val="center"/>
              <w:rPr>
                <w:rFonts w:eastAsia="Times New Roman"/>
                <w:szCs w:val="20"/>
              </w:rPr>
            </w:pPr>
            <w:r w:rsidRPr="0058277D">
              <w:rPr>
                <w:szCs w:val="20"/>
              </w:rPr>
              <w:t>1.019**</w:t>
            </w:r>
          </w:p>
        </w:tc>
        <w:tc>
          <w:tcPr>
            <w:tcW w:w="1737" w:type="pct"/>
            <w:tcBorders>
              <w:top w:val="single" w:sz="4" w:space="0" w:color="000000"/>
            </w:tcBorders>
            <w:vAlign w:val="bottom"/>
          </w:tcPr>
          <w:p w14:paraId="3982365D" w14:textId="329024C4" w:rsidR="00266DCE" w:rsidRPr="0058277D" w:rsidRDefault="00266DCE" w:rsidP="00BE0AC4">
            <w:pPr>
              <w:pStyle w:val="Tabletext"/>
              <w:ind w:hanging="175"/>
              <w:jc w:val="center"/>
              <w:rPr>
                <w:szCs w:val="20"/>
              </w:rPr>
            </w:pPr>
          </w:p>
        </w:tc>
      </w:tr>
      <w:tr w:rsidR="00266DCE" w:rsidRPr="006D013D" w14:paraId="2438FE1C" w14:textId="68E23685" w:rsidTr="00266DCE">
        <w:trPr>
          <w:trHeight w:val="170"/>
        </w:trPr>
        <w:tc>
          <w:tcPr>
            <w:tcW w:w="1525" w:type="pct"/>
            <w:vMerge/>
            <w:tcBorders>
              <w:bottom w:val="single" w:sz="4" w:space="0" w:color="000000"/>
            </w:tcBorders>
            <w:vAlign w:val="center"/>
          </w:tcPr>
          <w:p w14:paraId="1982EFD6" w14:textId="77777777" w:rsidR="00266DCE" w:rsidRPr="00266DCE" w:rsidRDefault="00266DCE" w:rsidP="00266DCE">
            <w:pPr>
              <w:pStyle w:val="Tabletext"/>
            </w:pPr>
          </w:p>
        </w:tc>
        <w:tc>
          <w:tcPr>
            <w:tcW w:w="1738" w:type="pct"/>
            <w:tcBorders>
              <w:bottom w:val="single" w:sz="4" w:space="0" w:color="000000"/>
            </w:tcBorders>
          </w:tcPr>
          <w:p w14:paraId="4F37A16F" w14:textId="39BF850F" w:rsidR="00266DCE" w:rsidRPr="0058277D" w:rsidRDefault="00266DCE" w:rsidP="0048214F">
            <w:pPr>
              <w:pStyle w:val="Tabletext"/>
              <w:ind w:hanging="175"/>
              <w:jc w:val="center"/>
              <w:rPr>
                <w:rFonts w:eastAsia="Times New Roman"/>
                <w:szCs w:val="20"/>
              </w:rPr>
            </w:pPr>
            <w:r w:rsidRPr="0058277D">
              <w:rPr>
                <w:szCs w:val="20"/>
              </w:rPr>
              <w:t>(0.002)</w:t>
            </w:r>
          </w:p>
        </w:tc>
        <w:tc>
          <w:tcPr>
            <w:tcW w:w="1737" w:type="pct"/>
            <w:tcBorders>
              <w:bottom w:val="single" w:sz="4" w:space="0" w:color="000000"/>
            </w:tcBorders>
            <w:vAlign w:val="bottom"/>
          </w:tcPr>
          <w:p w14:paraId="4D1E1D49" w14:textId="5EDF33B7" w:rsidR="00266DCE" w:rsidRPr="0058277D" w:rsidRDefault="00266DCE" w:rsidP="00BE0AC4">
            <w:pPr>
              <w:pStyle w:val="Tabletext"/>
              <w:ind w:hanging="175"/>
              <w:jc w:val="center"/>
              <w:rPr>
                <w:szCs w:val="20"/>
              </w:rPr>
            </w:pPr>
          </w:p>
        </w:tc>
      </w:tr>
      <w:tr w:rsidR="00266DCE" w:rsidRPr="006D013D" w14:paraId="3D3D96CE" w14:textId="1D77BF58" w:rsidTr="00266DCE">
        <w:trPr>
          <w:trHeight w:val="170"/>
        </w:trPr>
        <w:tc>
          <w:tcPr>
            <w:tcW w:w="1525" w:type="pct"/>
            <w:vMerge w:val="restart"/>
            <w:tcBorders>
              <w:top w:val="single" w:sz="4" w:space="0" w:color="000000"/>
            </w:tcBorders>
            <w:vAlign w:val="center"/>
          </w:tcPr>
          <w:p w14:paraId="39794965" w14:textId="350D8FCB" w:rsidR="00266DCE" w:rsidRPr="00266DCE" w:rsidRDefault="00266DCE" w:rsidP="00266DCE">
            <w:pPr>
              <w:pStyle w:val="Tabletext"/>
            </w:pPr>
            <w:r w:rsidRPr="00266DCE">
              <w:t>Final K10 measure</w:t>
            </w:r>
          </w:p>
        </w:tc>
        <w:tc>
          <w:tcPr>
            <w:tcW w:w="1738" w:type="pct"/>
            <w:tcBorders>
              <w:top w:val="single" w:sz="4" w:space="0" w:color="000000"/>
            </w:tcBorders>
          </w:tcPr>
          <w:p w14:paraId="7D017DA1" w14:textId="22596765" w:rsidR="00266DCE" w:rsidRPr="0058277D" w:rsidRDefault="00266DCE" w:rsidP="0048214F">
            <w:pPr>
              <w:pStyle w:val="Tabletext"/>
              <w:ind w:hanging="175"/>
              <w:jc w:val="center"/>
              <w:rPr>
                <w:rFonts w:eastAsia="Times New Roman"/>
                <w:szCs w:val="20"/>
              </w:rPr>
            </w:pPr>
            <w:r w:rsidRPr="0058277D">
              <w:rPr>
                <w:szCs w:val="20"/>
              </w:rPr>
              <w:t>0.981**</w:t>
            </w:r>
          </w:p>
        </w:tc>
        <w:tc>
          <w:tcPr>
            <w:tcW w:w="1737" w:type="pct"/>
            <w:tcBorders>
              <w:top w:val="single" w:sz="4" w:space="0" w:color="000000"/>
            </w:tcBorders>
          </w:tcPr>
          <w:p w14:paraId="44E87D2C" w14:textId="312F4C5C" w:rsidR="00266DCE" w:rsidRPr="00CE5AED" w:rsidRDefault="00266DCE" w:rsidP="00CE5AED">
            <w:pPr>
              <w:pStyle w:val="Tabletext"/>
              <w:jc w:val="center"/>
            </w:pPr>
            <w:r w:rsidRPr="00CE5AED">
              <w:t>0.9981*</w:t>
            </w:r>
          </w:p>
        </w:tc>
      </w:tr>
      <w:tr w:rsidR="00266DCE" w:rsidRPr="006D013D" w14:paraId="028DDB7A" w14:textId="21E0ED78" w:rsidTr="00266DCE">
        <w:trPr>
          <w:trHeight w:val="170"/>
        </w:trPr>
        <w:tc>
          <w:tcPr>
            <w:tcW w:w="1525" w:type="pct"/>
            <w:vMerge/>
            <w:tcBorders>
              <w:bottom w:val="single" w:sz="4" w:space="0" w:color="auto"/>
            </w:tcBorders>
            <w:vAlign w:val="center"/>
          </w:tcPr>
          <w:p w14:paraId="7ECF267D" w14:textId="77777777" w:rsidR="00266DCE" w:rsidRPr="00266DCE" w:rsidRDefault="00266DCE" w:rsidP="00266DCE">
            <w:pPr>
              <w:pStyle w:val="Tabletext"/>
            </w:pPr>
          </w:p>
        </w:tc>
        <w:tc>
          <w:tcPr>
            <w:tcW w:w="1738" w:type="pct"/>
            <w:tcBorders>
              <w:bottom w:val="single" w:sz="4" w:space="0" w:color="auto"/>
            </w:tcBorders>
          </w:tcPr>
          <w:p w14:paraId="6C047874" w14:textId="6D9D41D3" w:rsidR="00266DCE" w:rsidRPr="0058277D" w:rsidRDefault="00266DCE" w:rsidP="0048214F">
            <w:pPr>
              <w:pStyle w:val="Tabletext"/>
              <w:ind w:hanging="175"/>
              <w:jc w:val="center"/>
              <w:rPr>
                <w:rFonts w:eastAsia="Times New Roman"/>
                <w:szCs w:val="20"/>
              </w:rPr>
            </w:pPr>
            <w:r w:rsidRPr="0058277D">
              <w:rPr>
                <w:szCs w:val="20"/>
              </w:rPr>
              <w:t>(0.001)</w:t>
            </w:r>
          </w:p>
        </w:tc>
        <w:tc>
          <w:tcPr>
            <w:tcW w:w="1737" w:type="pct"/>
            <w:tcBorders>
              <w:bottom w:val="single" w:sz="4" w:space="0" w:color="auto"/>
            </w:tcBorders>
          </w:tcPr>
          <w:p w14:paraId="2A5061CC" w14:textId="7F419BA3" w:rsidR="00266DCE" w:rsidRPr="00CE5AED" w:rsidRDefault="00266DCE" w:rsidP="00CE5AED">
            <w:pPr>
              <w:pStyle w:val="Tabletext"/>
              <w:jc w:val="center"/>
            </w:pPr>
            <w:r w:rsidRPr="00CE5AED">
              <w:t>(0.001)</w:t>
            </w:r>
          </w:p>
        </w:tc>
      </w:tr>
      <w:tr w:rsidR="00BE0AC4" w:rsidRPr="006D013D" w14:paraId="00761894" w14:textId="77777777" w:rsidTr="00266DCE">
        <w:trPr>
          <w:trHeight w:val="170"/>
        </w:trPr>
        <w:tc>
          <w:tcPr>
            <w:tcW w:w="1525" w:type="pct"/>
            <w:vMerge w:val="restart"/>
            <w:tcBorders>
              <w:top w:val="single" w:sz="4" w:space="0" w:color="auto"/>
            </w:tcBorders>
            <w:vAlign w:val="center"/>
          </w:tcPr>
          <w:p w14:paraId="30C30DF9" w14:textId="4C40847A" w:rsidR="00BE0AC4" w:rsidRPr="00266DCE" w:rsidRDefault="00BE0AC4" w:rsidP="00266DCE">
            <w:pPr>
              <w:pStyle w:val="Tabletext"/>
            </w:pPr>
            <w:r w:rsidRPr="00266DCE">
              <w:t>Change in K10 measure (</w:t>
            </w:r>
            <w:r w:rsidR="00010841" w:rsidRPr="00266DCE">
              <w:t>Final</w:t>
            </w:r>
            <w:r w:rsidRPr="00266DCE">
              <w:t xml:space="preserve"> K10 – </w:t>
            </w:r>
            <w:r w:rsidR="000411BF" w:rsidRPr="00266DCE">
              <w:t>Intake</w:t>
            </w:r>
            <w:r w:rsidRPr="00266DCE">
              <w:t xml:space="preserve"> K10)</w:t>
            </w:r>
          </w:p>
        </w:tc>
        <w:tc>
          <w:tcPr>
            <w:tcW w:w="1738" w:type="pct"/>
            <w:tcBorders>
              <w:top w:val="single" w:sz="4" w:space="0" w:color="auto"/>
            </w:tcBorders>
            <w:vAlign w:val="center"/>
          </w:tcPr>
          <w:p w14:paraId="45FBDFD9" w14:textId="77777777" w:rsidR="00BE0AC4" w:rsidRPr="0058277D" w:rsidRDefault="00BE0AC4" w:rsidP="0048214F">
            <w:pPr>
              <w:pStyle w:val="Tabletext"/>
              <w:ind w:hanging="175"/>
              <w:jc w:val="center"/>
              <w:rPr>
                <w:rFonts w:eastAsia="Times New Roman"/>
                <w:szCs w:val="20"/>
              </w:rPr>
            </w:pPr>
          </w:p>
        </w:tc>
        <w:tc>
          <w:tcPr>
            <w:tcW w:w="1737" w:type="pct"/>
            <w:tcBorders>
              <w:top w:val="single" w:sz="4" w:space="0" w:color="auto"/>
            </w:tcBorders>
            <w:vAlign w:val="bottom"/>
          </w:tcPr>
          <w:p w14:paraId="6AC7723A" w14:textId="337A5A27" w:rsidR="00BE0AC4" w:rsidRPr="00CE5AED" w:rsidRDefault="00BE0AC4" w:rsidP="00CE5AED">
            <w:pPr>
              <w:pStyle w:val="Tabletext"/>
              <w:jc w:val="center"/>
            </w:pPr>
            <w:r w:rsidRPr="00CE5AED">
              <w:t>0.98</w:t>
            </w:r>
            <w:r w:rsidR="004A71F2" w:rsidRPr="00CE5AED">
              <w:t>93</w:t>
            </w:r>
            <w:r w:rsidRPr="00CE5AED">
              <w:t>**</w:t>
            </w:r>
          </w:p>
        </w:tc>
      </w:tr>
      <w:tr w:rsidR="00BE0AC4" w:rsidRPr="006D013D" w14:paraId="1D5028F1" w14:textId="77777777" w:rsidTr="00266DCE">
        <w:trPr>
          <w:trHeight w:val="170"/>
        </w:trPr>
        <w:tc>
          <w:tcPr>
            <w:tcW w:w="1525" w:type="pct"/>
            <w:vMerge/>
            <w:tcBorders>
              <w:bottom w:val="single" w:sz="4" w:space="0" w:color="auto"/>
            </w:tcBorders>
            <w:vAlign w:val="center"/>
          </w:tcPr>
          <w:p w14:paraId="694ED735" w14:textId="77777777" w:rsidR="00BE0AC4" w:rsidRPr="0058277D" w:rsidRDefault="00BE0AC4" w:rsidP="00BE0AC4">
            <w:pPr>
              <w:pStyle w:val="Tabletext"/>
              <w:ind w:left="33"/>
              <w:rPr>
                <w:rFonts w:eastAsia="Times New Roman"/>
                <w:b/>
                <w:szCs w:val="20"/>
              </w:rPr>
            </w:pPr>
          </w:p>
        </w:tc>
        <w:tc>
          <w:tcPr>
            <w:tcW w:w="1738" w:type="pct"/>
            <w:tcBorders>
              <w:bottom w:val="single" w:sz="4" w:space="0" w:color="auto"/>
            </w:tcBorders>
            <w:vAlign w:val="center"/>
          </w:tcPr>
          <w:p w14:paraId="10A30BA3" w14:textId="77777777" w:rsidR="00BE0AC4" w:rsidRPr="0058277D" w:rsidRDefault="00BE0AC4" w:rsidP="0048214F">
            <w:pPr>
              <w:pStyle w:val="Tabletext"/>
              <w:ind w:hanging="175"/>
              <w:jc w:val="center"/>
              <w:rPr>
                <w:rFonts w:eastAsia="Times New Roman"/>
                <w:szCs w:val="20"/>
              </w:rPr>
            </w:pPr>
          </w:p>
        </w:tc>
        <w:tc>
          <w:tcPr>
            <w:tcW w:w="1737" w:type="pct"/>
            <w:tcBorders>
              <w:bottom w:val="single" w:sz="4" w:space="0" w:color="auto"/>
            </w:tcBorders>
            <w:vAlign w:val="bottom"/>
          </w:tcPr>
          <w:p w14:paraId="5A021799" w14:textId="77E149C7" w:rsidR="00BE0AC4" w:rsidRPr="00CE5AED" w:rsidRDefault="00BE0AC4" w:rsidP="00CE5AED">
            <w:pPr>
              <w:pStyle w:val="Tabletext"/>
              <w:jc w:val="center"/>
            </w:pPr>
            <w:r w:rsidRPr="00CE5AED">
              <w:t>(0.001)</w:t>
            </w:r>
          </w:p>
        </w:tc>
      </w:tr>
      <w:tr w:rsidR="008E7E23" w:rsidRPr="006D013D" w14:paraId="526012FE" w14:textId="060AE713" w:rsidTr="00266DCE">
        <w:trPr>
          <w:trHeight w:val="170"/>
        </w:trPr>
        <w:tc>
          <w:tcPr>
            <w:tcW w:w="1525" w:type="pct"/>
            <w:tcBorders>
              <w:top w:val="single" w:sz="4" w:space="0" w:color="000000"/>
              <w:bottom w:val="single" w:sz="4" w:space="0" w:color="auto"/>
            </w:tcBorders>
            <w:vAlign w:val="center"/>
          </w:tcPr>
          <w:p w14:paraId="449398BE" w14:textId="77777777" w:rsidR="008E7E23" w:rsidRPr="0058277D" w:rsidRDefault="008E7E23" w:rsidP="007B217D">
            <w:pPr>
              <w:pStyle w:val="Tabletext"/>
              <w:ind w:left="33"/>
              <w:rPr>
                <w:rFonts w:eastAsia="Times New Roman"/>
                <w:b/>
                <w:szCs w:val="20"/>
              </w:rPr>
            </w:pPr>
            <w:r w:rsidRPr="0058277D">
              <w:rPr>
                <w:rFonts w:eastAsia="Times New Roman"/>
                <w:b/>
                <w:szCs w:val="20"/>
              </w:rPr>
              <w:t>Observations</w:t>
            </w:r>
          </w:p>
        </w:tc>
        <w:tc>
          <w:tcPr>
            <w:tcW w:w="1738" w:type="pct"/>
            <w:tcBorders>
              <w:top w:val="single" w:sz="4" w:space="0" w:color="000000"/>
              <w:bottom w:val="single" w:sz="4" w:space="0" w:color="auto"/>
            </w:tcBorders>
            <w:vAlign w:val="center"/>
          </w:tcPr>
          <w:p w14:paraId="6D578A43" w14:textId="0D424DF0" w:rsidR="008E7E23" w:rsidRPr="0058277D" w:rsidRDefault="003406D4" w:rsidP="0048214F">
            <w:pPr>
              <w:pStyle w:val="Tabletext"/>
              <w:ind w:hanging="175"/>
              <w:jc w:val="center"/>
              <w:rPr>
                <w:rFonts w:eastAsia="Times New Roman"/>
                <w:szCs w:val="20"/>
              </w:rPr>
            </w:pPr>
            <w:r w:rsidRPr="0058277D">
              <w:rPr>
                <w:rFonts w:eastAsia="Times New Roman"/>
                <w:szCs w:val="20"/>
              </w:rPr>
              <w:t>243,2</w:t>
            </w:r>
            <w:r w:rsidR="00EE321C" w:rsidRPr="0058277D">
              <w:rPr>
                <w:rFonts w:eastAsia="Times New Roman"/>
                <w:szCs w:val="20"/>
              </w:rPr>
              <w:t>24</w:t>
            </w:r>
          </w:p>
        </w:tc>
        <w:tc>
          <w:tcPr>
            <w:tcW w:w="1737" w:type="pct"/>
            <w:tcBorders>
              <w:top w:val="single" w:sz="4" w:space="0" w:color="000000"/>
              <w:bottom w:val="single" w:sz="4" w:space="0" w:color="auto"/>
            </w:tcBorders>
          </w:tcPr>
          <w:p w14:paraId="229D88CA" w14:textId="77777777" w:rsidR="00247A3A" w:rsidRPr="0058277D" w:rsidRDefault="00247A3A" w:rsidP="00BE0AC4">
            <w:pPr>
              <w:pStyle w:val="Tabletext"/>
              <w:ind w:hanging="175"/>
              <w:jc w:val="center"/>
              <w:rPr>
                <w:rFonts w:eastAsia="Times New Roman"/>
                <w:szCs w:val="20"/>
              </w:rPr>
            </w:pPr>
          </w:p>
        </w:tc>
      </w:tr>
    </w:tbl>
    <w:p w14:paraId="2038C109" w14:textId="4ABB1B92" w:rsidR="00263DEE" w:rsidRPr="00C92A4F" w:rsidRDefault="00263DEE" w:rsidP="00263DEE">
      <w:pPr>
        <w:pStyle w:val="Source"/>
        <w:rPr>
          <w:szCs w:val="16"/>
        </w:rPr>
      </w:pPr>
      <w:r w:rsidRPr="00C92A4F">
        <w:rPr>
          <w:szCs w:val="16"/>
        </w:rPr>
        <w:t>Source: KPMG analysis of the follow</w:t>
      </w:r>
      <w:r w:rsidR="00F01FA5">
        <w:rPr>
          <w:szCs w:val="16"/>
        </w:rPr>
        <w:t xml:space="preserve"> </w:t>
      </w:r>
      <w:r w:rsidRPr="00C92A4F">
        <w:rPr>
          <w:szCs w:val="16"/>
        </w:rPr>
        <w:t>up analysis dataset</w:t>
      </w:r>
    </w:p>
    <w:p w14:paraId="1FD564D5" w14:textId="1D41E626" w:rsidR="00EC3F49" w:rsidRPr="00E83942" w:rsidRDefault="00263DEE" w:rsidP="00E83942">
      <w:pPr>
        <w:pStyle w:val="Source"/>
        <w:rPr>
          <w:sz w:val="14"/>
        </w:rPr>
      </w:pPr>
      <w:r w:rsidRPr="00C92A4F">
        <w:rPr>
          <w:szCs w:val="16"/>
        </w:rPr>
        <w:t xml:space="preserve">Notes: See </w:t>
      </w:r>
      <w:r w:rsidRPr="00C92A4F">
        <w:rPr>
          <w:szCs w:val="16"/>
        </w:rPr>
        <w:fldChar w:fldCharType="begin" w:fldLock="1"/>
      </w:r>
      <w:r w:rsidRPr="00C92A4F">
        <w:rPr>
          <w:szCs w:val="16"/>
        </w:rPr>
        <w:instrText xml:space="preserve"> REF _Ref94023795 \h  \* MERGEFORMAT </w:instrText>
      </w:r>
      <w:r w:rsidRPr="00C92A4F">
        <w:rPr>
          <w:szCs w:val="16"/>
        </w:rPr>
      </w:r>
      <w:r w:rsidRPr="00C92A4F">
        <w:rPr>
          <w:szCs w:val="16"/>
        </w:rPr>
        <w:fldChar w:fldCharType="separate"/>
      </w:r>
      <w:r w:rsidR="00383E5A" w:rsidRPr="00383E5A">
        <w:rPr>
          <w:szCs w:val="16"/>
        </w:rPr>
        <w:t xml:space="preserve">Table </w:t>
      </w:r>
      <w:r w:rsidR="00383E5A" w:rsidRPr="00383E5A">
        <w:rPr>
          <w:noProof/>
          <w:szCs w:val="16"/>
        </w:rPr>
        <w:t>80</w:t>
      </w:r>
      <w:r w:rsidRPr="00C92A4F">
        <w:rPr>
          <w:szCs w:val="16"/>
        </w:rPr>
        <w:fldChar w:fldCharType="end"/>
      </w:r>
      <w:r w:rsidR="002E6067">
        <w:rPr>
          <w:szCs w:val="16"/>
        </w:rPr>
        <w:t xml:space="preserve"> u</w:t>
      </w:r>
      <w:r w:rsidRPr="00C92A4F">
        <w:rPr>
          <w:szCs w:val="16"/>
        </w:rPr>
        <w:t xml:space="preserve">nder </w:t>
      </w:r>
      <w:r w:rsidR="00815908">
        <w:fldChar w:fldCharType="begin" w:fldLock="1"/>
      </w:r>
      <w:r w:rsidR="00815908">
        <w:instrText xml:space="preserve"> REF _Ref98402466 \r \h </w:instrText>
      </w:r>
      <w:r w:rsidR="00815908">
        <w:fldChar w:fldCharType="separate"/>
      </w:r>
      <w:r w:rsidR="00AE4D34">
        <w:t>Appendix F</w:t>
      </w:r>
      <w:r w:rsidR="00815908">
        <w:fldChar w:fldCharType="end"/>
      </w:r>
      <w:r w:rsidR="00815908" w:rsidRPr="00C92A4F" w:rsidDel="00815908">
        <w:rPr>
          <w:szCs w:val="16"/>
        </w:rPr>
        <w:t xml:space="preserve"> </w:t>
      </w:r>
      <w:bookmarkStart w:id="414" w:name="_Ref81293596"/>
      <w:r w:rsidRPr="00C92A4F">
        <w:rPr>
          <w:szCs w:val="16"/>
        </w:rPr>
        <w:t>for details. Number of episodes: 243,224, including all closed episodes with MH/Situational primary issues during entry from 2015-16 to 2019-20. 59,637 episodes were excluded due to missing young persons’ characteristics</w:t>
      </w:r>
      <w:r w:rsidR="00C92A4F" w:rsidRPr="00C92A4F">
        <w:rPr>
          <w:szCs w:val="16"/>
        </w:rPr>
        <w:t xml:space="preserve">. </w:t>
      </w:r>
      <w:r w:rsidR="0095378E" w:rsidRPr="00C92A4F">
        <w:rPr>
          <w:szCs w:val="16"/>
        </w:rPr>
        <w:t>Coefficients reported are odds ratios. Standard errors in parentheses. *: Significant at 10 per cent; **: Significant at 5 per cent.</w:t>
      </w:r>
      <w:r w:rsidR="00C92A4F" w:rsidRPr="00C92A4F">
        <w:rPr>
          <w:szCs w:val="16"/>
        </w:rPr>
        <w:t xml:space="preserve"> </w:t>
      </w:r>
      <w:r w:rsidR="00EC3F49" w:rsidRPr="00C92A4F">
        <w:rPr>
          <w:szCs w:val="16"/>
        </w:rPr>
        <w:t>MH: Mental health.</w:t>
      </w:r>
    </w:p>
    <w:p w14:paraId="1B7B0EAA" w14:textId="071D7DF8" w:rsidR="00F66D18" w:rsidRDefault="00F66D18" w:rsidP="00F66D18">
      <w:pPr>
        <w:pStyle w:val="Appendixheading"/>
      </w:pPr>
      <w:bookmarkStart w:id="415" w:name="_Ref93922362"/>
      <w:bookmarkStart w:id="416" w:name="_Ref97910530"/>
      <w:bookmarkStart w:id="417" w:name="_Ref97910540"/>
      <w:bookmarkStart w:id="418" w:name="_Toc108174002"/>
      <w:r>
        <w:t xml:space="preserve">: Extrapolation of </w:t>
      </w:r>
      <w:r w:rsidR="006767DA">
        <w:t>the follow</w:t>
      </w:r>
      <w:r w:rsidR="00F01FA5">
        <w:t xml:space="preserve"> </w:t>
      </w:r>
      <w:r w:rsidR="006767DA">
        <w:t xml:space="preserve">up K10 </w:t>
      </w:r>
      <w:bookmarkEnd w:id="415"/>
      <w:r w:rsidR="0058277D">
        <w:t>outcome measure</w:t>
      </w:r>
      <w:bookmarkEnd w:id="416"/>
      <w:bookmarkEnd w:id="417"/>
      <w:bookmarkEnd w:id="418"/>
    </w:p>
    <w:p w14:paraId="7E88433A" w14:textId="76C0160B" w:rsidR="002D0CB3" w:rsidRDefault="00003B69" w:rsidP="00C61EAC">
      <w:pPr>
        <w:pStyle w:val="BodyText"/>
      </w:pPr>
      <w:r w:rsidRPr="00C65D70">
        <w:t xml:space="preserve">As discussed in </w:t>
      </w:r>
      <w:r w:rsidR="00375C6E">
        <w:t>appendix</w:t>
      </w:r>
      <w:r w:rsidR="00124A65">
        <w:t xml:space="preserve"> </w:t>
      </w:r>
      <w:r w:rsidR="00124A65">
        <w:fldChar w:fldCharType="begin" w:fldLock="1"/>
      </w:r>
      <w:r w:rsidR="00124A65">
        <w:instrText xml:space="preserve"> REF _Ref98010063 \r \h </w:instrText>
      </w:r>
      <w:r w:rsidR="00C61EAC">
        <w:instrText xml:space="preserve"> \* MERGEFORMAT </w:instrText>
      </w:r>
      <w:r w:rsidR="00124A65">
        <w:fldChar w:fldCharType="separate"/>
      </w:r>
      <w:r w:rsidR="00AE4D34">
        <w:t>E.7</w:t>
      </w:r>
      <w:r w:rsidR="00124A65">
        <w:fldChar w:fldCharType="end"/>
      </w:r>
      <w:r w:rsidRPr="00C65D70">
        <w:t>, findings on sustained outcomes may be biased due to the low completion rate of the follow</w:t>
      </w:r>
      <w:r w:rsidR="00F01FA5">
        <w:t xml:space="preserve"> </w:t>
      </w:r>
      <w:r w:rsidRPr="00C65D70">
        <w:t>up survey. To account for the missingness and bias stemming from the low response rate of the follow</w:t>
      </w:r>
      <w:r w:rsidR="00F01FA5">
        <w:t xml:space="preserve"> </w:t>
      </w:r>
      <w:r w:rsidRPr="00C65D70">
        <w:t xml:space="preserve">up survey, </w:t>
      </w:r>
      <w:r w:rsidR="00AD6402" w:rsidRPr="00C65D70">
        <w:t>the</w:t>
      </w:r>
      <w:r w:rsidRPr="00C65D70">
        <w:t xml:space="preserve"> follow</w:t>
      </w:r>
      <w:r w:rsidR="00F01FA5">
        <w:t xml:space="preserve"> </w:t>
      </w:r>
      <w:r w:rsidRPr="00C65D70">
        <w:t xml:space="preserve">up K10 </w:t>
      </w:r>
      <w:r w:rsidR="00AC3A42">
        <w:t>outcome measures</w:t>
      </w:r>
      <w:r w:rsidRPr="00C65D70">
        <w:t xml:space="preserve"> for closed episodes are estimated based on the intake and the final K10 </w:t>
      </w:r>
      <w:r w:rsidR="00AC3A42">
        <w:t>outcomes</w:t>
      </w:r>
      <w:r w:rsidRPr="00C65D70">
        <w:t xml:space="preserve"> and young person’s characteristics</w:t>
      </w:r>
      <w:r w:rsidR="002D0CB3">
        <w:t xml:space="preserve"> using the following </w:t>
      </w:r>
      <w:r w:rsidR="00FF3BF2">
        <w:t>regression</w:t>
      </w:r>
      <w:r w:rsidR="002D0CB3">
        <w:t>:</w:t>
      </w:r>
    </w:p>
    <w:p w14:paraId="7232331D" w14:textId="5317A79B" w:rsidR="00EA2DD1" w:rsidRDefault="00F333C3" w:rsidP="00EA2DD1">
      <w:pPr>
        <w:pStyle w:val="BodyText"/>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rPr>
              </m:ctrlPr>
            </m:sSupPr>
            <m:e>
              <m:r>
                <m:rPr>
                  <m:sty m:val="p"/>
                </m:rPr>
                <w:rPr>
                  <w:rFonts w:ascii="Cambria Math" w:hAnsi="Cambria Math"/>
                </w:rPr>
                <m:t>λ</m:t>
              </m:r>
            </m:e>
            <m:sup>
              <m:r>
                <w:rPr>
                  <w:rFonts w:ascii="Cambria Math" w:hAnsi="Cambria Math"/>
                </w:rPr>
                <m:t>'</m:t>
              </m:r>
            </m:sup>
          </m:sSup>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i</m:t>
              </m:r>
            </m:sub>
          </m:sSub>
        </m:oMath>
      </m:oMathPara>
    </w:p>
    <w:p w14:paraId="0ADFE6A2" w14:textId="77777777" w:rsidR="00FF3BF2" w:rsidRDefault="00FF3BF2" w:rsidP="00FF3BF2">
      <w:pPr>
        <w:pStyle w:val="BodyText"/>
        <w:rPr>
          <w:rFonts w:eastAsiaTheme="minorEastAsia"/>
        </w:rPr>
      </w:pPr>
      <w:r>
        <w:rPr>
          <w:rFonts w:eastAsiaTheme="minorEastAsia"/>
        </w:rPr>
        <w:t>where:</w:t>
      </w:r>
    </w:p>
    <w:p w14:paraId="674B8E00" w14:textId="78A5A2B8" w:rsidR="00827B97" w:rsidRDefault="00F333C3" w:rsidP="00827B97">
      <w:pPr>
        <w:pStyle w:val="Bullet1stlevel"/>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827B97">
        <w:t xml:space="preserve"> represents the K10 measure at the follow</w:t>
      </w:r>
      <w:r w:rsidR="00F01FA5">
        <w:t xml:space="preserve"> </w:t>
      </w:r>
      <w:r w:rsidR="00827B97">
        <w:t xml:space="preserve">up time for episode </w:t>
      </w:r>
      <w:r w:rsidR="00827B97">
        <w:rPr>
          <w:i/>
          <w:iCs/>
        </w:rPr>
        <w:t>i</w:t>
      </w:r>
    </w:p>
    <w:p w14:paraId="5893850B" w14:textId="77777777" w:rsidR="00827B97" w:rsidRDefault="00F333C3" w:rsidP="00827B97">
      <w:pPr>
        <w:pStyle w:val="Bullet1stlevel"/>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827B97" w:rsidRPr="00255937">
        <w:t xml:space="preserve"> represents a numerical constant;</w:t>
      </w:r>
    </w:p>
    <w:p w14:paraId="2E63D82E" w14:textId="75B0AD45" w:rsidR="00827B97" w:rsidRDefault="00F333C3" w:rsidP="00827B97">
      <w:pPr>
        <w:pStyle w:val="Bullet1stlevel"/>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827B97" w:rsidRPr="00255937">
        <w:t xml:space="preserve"> represents </w:t>
      </w:r>
      <w:r w:rsidR="00C414A3">
        <w:t>a vector</w:t>
      </w:r>
      <w:r w:rsidR="00827B97" w:rsidRPr="00255937">
        <w:t xml:space="preserve"> of </w:t>
      </w:r>
      <w:r w:rsidR="00827B97">
        <w:t xml:space="preserve">the young person’s demographic characteristics including age, gender, Aboriginal and Torres Strait Islander status, culturally and linguistically diverse status, education level, rurality and main services the young person received at headspace. </w:t>
      </w:r>
    </w:p>
    <w:p w14:paraId="476926BD" w14:textId="77777777" w:rsidR="00827B97" w:rsidRDefault="00001BFC" w:rsidP="00827B97">
      <w:pPr>
        <w:pStyle w:val="Bullet1stlevel"/>
        <w:numPr>
          <w:ilvl w:val="0"/>
          <w:numId w:val="0"/>
        </w:numPr>
        <w:ind w:left="357"/>
      </w:pPr>
      <m:oMath>
        <m:r>
          <w:rPr>
            <w:rFonts w:ascii="Cambria Math" w:hAnsi="Cambria Math"/>
          </w:rPr>
          <m:t>β</m:t>
        </m:r>
      </m:oMath>
      <w:r w:rsidR="00827B97" w:rsidRPr="00255937">
        <w:t xml:space="preserve"> </w:t>
      </w:r>
      <w:r w:rsidR="00827B97">
        <w:t xml:space="preserve">represents the relevant </w:t>
      </w:r>
      <w:r w:rsidR="00827B97" w:rsidRPr="00255937">
        <w:t>coefficient estimates</w:t>
      </w:r>
      <w:r w:rsidR="00827B97">
        <w:t>;</w:t>
      </w:r>
    </w:p>
    <w:p w14:paraId="28000C2F" w14:textId="16725FB8" w:rsidR="00827B97" w:rsidRDefault="00F333C3" w:rsidP="00827B97">
      <w:pPr>
        <w:pStyle w:val="Bullet1stlevel"/>
      </w:pP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827B97" w:rsidRPr="00255937">
        <w:t xml:space="preserve"> represents </w:t>
      </w:r>
      <w:r w:rsidR="00C414A3">
        <w:t>a vector of</w:t>
      </w:r>
      <w:r w:rsidR="00827B97">
        <w:t xml:space="preserve"> intake and the final K10 </w:t>
      </w:r>
      <w:r w:rsidR="00FB381D">
        <w:t>measures</w:t>
      </w:r>
      <w:r w:rsidR="00827B97">
        <w:t>.</w:t>
      </w:r>
    </w:p>
    <w:p w14:paraId="24E033A7" w14:textId="77777777" w:rsidR="00827B97" w:rsidRDefault="00001BFC" w:rsidP="00827B97">
      <w:pPr>
        <w:pStyle w:val="Bullet1stlevel"/>
        <w:numPr>
          <w:ilvl w:val="0"/>
          <w:numId w:val="0"/>
        </w:numPr>
        <w:ind w:left="357"/>
      </w:pPr>
      <m:oMath>
        <m:r>
          <m:rPr>
            <m:sty m:val="p"/>
          </m:rPr>
          <w:rPr>
            <w:rFonts w:ascii="Cambria Math" w:hAnsi="Cambria Math"/>
          </w:rPr>
          <m:t>λ</m:t>
        </m:r>
      </m:oMath>
      <w:r w:rsidR="00827B97" w:rsidRPr="00255937">
        <w:t xml:space="preserve"> </w:t>
      </w:r>
      <w:r w:rsidR="00827B97">
        <w:t xml:space="preserve">represents the relevant </w:t>
      </w:r>
      <w:r w:rsidR="00827B97" w:rsidRPr="00255937">
        <w:t>coefficient estimates</w:t>
      </w:r>
      <w:r w:rsidR="00827B97">
        <w:t>;</w:t>
      </w:r>
    </w:p>
    <w:p w14:paraId="57896048" w14:textId="12755561" w:rsidR="002D0CB3" w:rsidRPr="00EA2DD1" w:rsidRDefault="00F333C3" w:rsidP="00827B97">
      <w:pPr>
        <w:pStyle w:val="Bullet1stlevel"/>
      </w:pPr>
      <m:oMath>
        <m:sSub>
          <m:sSubPr>
            <m:ctrlPr>
              <w:rPr>
                <w:rFonts w:ascii="Cambria Math" w:hAnsi="Cambria Math"/>
              </w:rPr>
            </m:ctrlPr>
          </m:sSubPr>
          <m:e>
            <m:r>
              <m:rPr>
                <m:sty m:val="p"/>
              </m:rPr>
              <w:rPr>
                <w:rFonts w:ascii="Cambria Math" w:hAnsi="Cambria Math"/>
              </w:rPr>
              <m:t>ϵ</m:t>
            </m:r>
          </m:e>
          <m:sub>
            <m:r>
              <m:rPr>
                <m:sty m:val="p"/>
              </m:rPr>
              <w:rPr>
                <w:rFonts w:ascii="Cambria Math" w:hAnsi="Cambria Math"/>
              </w:rPr>
              <m:t>i</m:t>
            </m:r>
          </m:sub>
        </m:sSub>
      </m:oMath>
      <w:r w:rsidR="00827B97" w:rsidRPr="00255937">
        <w:t xml:space="preserve"> represents an error component. </w:t>
      </w:r>
    </w:p>
    <w:p w14:paraId="1D77BCCF" w14:textId="056053B0" w:rsidR="00CD0210" w:rsidRPr="00C65D70" w:rsidRDefault="00366452" w:rsidP="004D0767">
      <w:pPr>
        <w:pStyle w:val="BodyText"/>
      </w:pPr>
      <w:r w:rsidRPr="00C65D70">
        <w:t xml:space="preserve">The </w:t>
      </w:r>
      <w:r w:rsidR="00C17CA1" w:rsidRPr="00C65D70">
        <w:t xml:space="preserve">coefficients of the </w:t>
      </w:r>
      <w:r w:rsidRPr="00C65D70">
        <w:t>extrapolation model</w:t>
      </w:r>
      <w:r w:rsidR="00C17CA1" w:rsidRPr="00C65D70">
        <w:t xml:space="preserve"> are presented in the below table.</w:t>
      </w:r>
      <w:r w:rsidR="007F7FEE" w:rsidRPr="00C65D70">
        <w:t xml:space="preserve"> The estimation shows that </w:t>
      </w:r>
      <w:r w:rsidR="00205E3C" w:rsidRPr="00C65D70">
        <w:t xml:space="preserve">gender, </w:t>
      </w:r>
      <w:r w:rsidR="000D67CA">
        <w:t xml:space="preserve">culturally and linguistically </w:t>
      </w:r>
      <w:r w:rsidR="000D67CA" w:rsidRPr="00854092">
        <w:rPr>
          <w:rStyle w:val="BodyTextChar"/>
        </w:rPr>
        <w:t>diverse</w:t>
      </w:r>
      <w:r w:rsidR="00205E3C" w:rsidRPr="00854092">
        <w:rPr>
          <w:rStyle w:val="BodyTextChar"/>
        </w:rPr>
        <w:t xml:space="preserve"> status</w:t>
      </w:r>
      <w:r w:rsidR="002238A0" w:rsidRPr="00854092">
        <w:rPr>
          <w:rStyle w:val="BodyTextChar"/>
        </w:rPr>
        <w:t>, Aboriginal and Torres Strait Islander status</w:t>
      </w:r>
      <w:r w:rsidR="002238A0">
        <w:t xml:space="preserve">, </w:t>
      </w:r>
      <w:r w:rsidR="00205E3C" w:rsidRPr="00C65D70">
        <w:t xml:space="preserve">the </w:t>
      </w:r>
      <w:r w:rsidR="002238A0">
        <w:t xml:space="preserve">intake and final </w:t>
      </w:r>
      <w:r w:rsidR="00205E3C" w:rsidRPr="00C65D70">
        <w:t xml:space="preserve">K10 </w:t>
      </w:r>
      <w:r w:rsidR="002238A0">
        <w:t>measures</w:t>
      </w:r>
      <w:r w:rsidR="004519F8" w:rsidRPr="00C65D70">
        <w:t xml:space="preserve"> significantly determine the K10 </w:t>
      </w:r>
      <w:r w:rsidR="002238A0">
        <w:t>measure</w:t>
      </w:r>
      <w:r w:rsidR="004519F8" w:rsidRPr="00C65D70">
        <w:t xml:space="preserve"> post treatment. In contrast, education level and rurality </w:t>
      </w:r>
      <w:r w:rsidR="002D205F" w:rsidRPr="00C65D70">
        <w:t xml:space="preserve">do not affect the K10 </w:t>
      </w:r>
      <w:r w:rsidR="002238A0">
        <w:t>measure</w:t>
      </w:r>
      <w:r w:rsidR="002D205F" w:rsidRPr="00C65D70">
        <w:t xml:space="preserve"> at the 90-day follow</w:t>
      </w:r>
      <w:r w:rsidR="00F01FA5">
        <w:t xml:space="preserve"> </w:t>
      </w:r>
      <w:r w:rsidR="002D205F" w:rsidRPr="00C65D70">
        <w:t>up.</w:t>
      </w:r>
      <w:r w:rsidR="00205E3C" w:rsidRPr="00C65D70">
        <w:t xml:space="preserve"> </w:t>
      </w:r>
    </w:p>
    <w:p w14:paraId="42E0D61E" w14:textId="1AF8298B" w:rsidR="00C17CA1" w:rsidRPr="00CD0210" w:rsidRDefault="00C17CA1" w:rsidP="00C17CA1">
      <w:pPr>
        <w:pStyle w:val="Caption"/>
      </w:pPr>
      <w:bookmarkStart w:id="419" w:name="_Toc108109033"/>
      <w:r>
        <w:t xml:space="preserve">Table </w:t>
      </w:r>
      <w:r>
        <w:fldChar w:fldCharType="begin"/>
      </w:r>
      <w:r>
        <w:instrText>SEQ Table \* ARABIC</w:instrText>
      </w:r>
      <w:r>
        <w:fldChar w:fldCharType="separate"/>
      </w:r>
      <w:r w:rsidR="00CC0438">
        <w:rPr>
          <w:noProof/>
        </w:rPr>
        <w:t>83</w:t>
      </w:r>
      <w:r>
        <w:fldChar w:fldCharType="end"/>
      </w:r>
      <w:r>
        <w:t>: Extrapolation of the K10 score at the follow</w:t>
      </w:r>
      <w:r w:rsidR="00F01FA5">
        <w:t xml:space="preserve"> </w:t>
      </w:r>
      <w:r>
        <w:t>up</w:t>
      </w:r>
      <w:bookmarkEnd w:id="419"/>
      <w:r>
        <w:t xml:space="preserve"> </w:t>
      </w:r>
    </w:p>
    <w:tbl>
      <w:tblPr>
        <w:tblW w:w="5000" w:type="pct"/>
        <w:tblLook w:val="04A0" w:firstRow="1" w:lastRow="0" w:firstColumn="1" w:lastColumn="0" w:noHBand="0" w:noVBand="1"/>
        <w:tblCaption w:val="Extrapolation of K10 scores at the follow up"/>
        <w:tblDescription w:val="Table has 2 colums summarising K10 outcomes within the follow up survey. The first column lists characteristics of young people. Column 2 lists the K10 score at follow up."/>
      </w:tblPr>
      <w:tblGrid>
        <w:gridCol w:w="4196"/>
        <w:gridCol w:w="4867"/>
        <w:gridCol w:w="7"/>
      </w:tblGrid>
      <w:tr w:rsidR="00584E00" w:rsidRPr="008B4FEC" w14:paraId="60A8B720" w14:textId="77777777" w:rsidTr="00266DCE">
        <w:trPr>
          <w:tblHeader/>
        </w:trPr>
        <w:tc>
          <w:tcPr>
            <w:tcW w:w="2313" w:type="pct"/>
            <w:tcBorders>
              <w:bottom w:val="single" w:sz="4" w:space="0" w:color="00338D"/>
            </w:tcBorders>
            <w:shd w:val="clear" w:color="auto" w:fill="00338D"/>
          </w:tcPr>
          <w:p w14:paraId="0A3A763B" w14:textId="77777777" w:rsidR="00584E00" w:rsidRDefault="00584E00" w:rsidP="00D20ABA">
            <w:pPr>
              <w:pStyle w:val="Tableheading"/>
            </w:pPr>
          </w:p>
        </w:tc>
        <w:tc>
          <w:tcPr>
            <w:tcW w:w="2687" w:type="pct"/>
            <w:gridSpan w:val="2"/>
            <w:tcBorders>
              <w:bottom w:val="single" w:sz="4" w:space="0" w:color="00338D"/>
            </w:tcBorders>
            <w:shd w:val="clear" w:color="auto" w:fill="00338D"/>
          </w:tcPr>
          <w:p w14:paraId="7FD6708C" w14:textId="06E9531E" w:rsidR="00584E00" w:rsidRPr="008B4FEC" w:rsidRDefault="00584E00" w:rsidP="00D20ABA">
            <w:pPr>
              <w:pStyle w:val="Tableheading"/>
              <w:jc w:val="center"/>
            </w:pPr>
            <w:r>
              <w:rPr>
                <w:rFonts w:eastAsia="Times New Roman"/>
              </w:rPr>
              <w:t xml:space="preserve">K10 </w:t>
            </w:r>
            <w:r w:rsidR="00AC3A42">
              <w:rPr>
                <w:rFonts w:eastAsia="Times New Roman"/>
              </w:rPr>
              <w:t xml:space="preserve">measure </w:t>
            </w:r>
            <w:r w:rsidR="00FF3BF2" w:rsidRPr="00FF3BF2">
              <w:rPr>
                <w:rFonts w:eastAsia="Times New Roman"/>
              </w:rPr>
              <w:t>at</w:t>
            </w:r>
            <w:r>
              <w:rPr>
                <w:rFonts w:eastAsia="Times New Roman"/>
              </w:rPr>
              <w:t xml:space="preserve"> follow</w:t>
            </w:r>
            <w:r w:rsidR="00F01FA5">
              <w:rPr>
                <w:rFonts w:eastAsia="Times New Roman"/>
              </w:rPr>
              <w:t xml:space="preserve"> </w:t>
            </w:r>
            <w:r>
              <w:rPr>
                <w:rFonts w:eastAsia="Times New Roman"/>
              </w:rPr>
              <w:t>up</w:t>
            </w:r>
          </w:p>
        </w:tc>
      </w:tr>
      <w:tr w:rsidR="00827B97" w:rsidRPr="0058277D" w14:paraId="3B5728A4" w14:textId="77777777" w:rsidTr="00266DCE">
        <w:trPr>
          <w:gridAfter w:val="1"/>
          <w:wAfter w:w="4" w:type="pct"/>
        </w:trPr>
        <w:tc>
          <w:tcPr>
            <w:tcW w:w="4996" w:type="pct"/>
            <w:gridSpan w:val="2"/>
            <w:tcBorders>
              <w:top w:val="single" w:sz="4" w:space="0" w:color="00338D"/>
              <w:bottom w:val="single" w:sz="4" w:space="0" w:color="auto"/>
            </w:tcBorders>
          </w:tcPr>
          <w:p w14:paraId="2D1936C7" w14:textId="77777777" w:rsidR="00827B97" w:rsidRPr="0058277D" w:rsidRDefault="00827B97" w:rsidP="006B2A8C">
            <w:pPr>
              <w:pStyle w:val="Tabletext"/>
              <w:rPr>
                <w:szCs w:val="20"/>
              </w:rPr>
            </w:pPr>
            <w:r w:rsidRPr="0058277D">
              <w:rPr>
                <w:b/>
                <w:szCs w:val="20"/>
              </w:rPr>
              <w:t>Age categories (ref = younger than 15 years)</w:t>
            </w:r>
          </w:p>
        </w:tc>
      </w:tr>
      <w:tr w:rsidR="00827B97" w:rsidRPr="0058277D" w14:paraId="209233A1" w14:textId="77777777" w:rsidTr="00D77971">
        <w:trPr>
          <w:trHeight w:val="170"/>
        </w:trPr>
        <w:tc>
          <w:tcPr>
            <w:tcW w:w="2313" w:type="pct"/>
            <w:vMerge w:val="restart"/>
            <w:tcBorders>
              <w:top w:val="single" w:sz="4" w:space="0" w:color="auto"/>
              <w:bottom w:val="single" w:sz="4" w:space="0" w:color="auto"/>
            </w:tcBorders>
            <w:vAlign w:val="center"/>
          </w:tcPr>
          <w:p w14:paraId="19BEE5D6" w14:textId="77777777" w:rsidR="00827B97" w:rsidRPr="00266DCE" w:rsidRDefault="00827B97" w:rsidP="00D77971">
            <w:pPr>
              <w:pStyle w:val="Tabletext"/>
            </w:pPr>
            <w:r w:rsidRPr="00266DCE">
              <w:t>15 to 19 years old</w:t>
            </w:r>
          </w:p>
        </w:tc>
        <w:tc>
          <w:tcPr>
            <w:tcW w:w="2687" w:type="pct"/>
            <w:gridSpan w:val="2"/>
            <w:tcBorders>
              <w:top w:val="single" w:sz="4" w:space="0" w:color="auto"/>
            </w:tcBorders>
          </w:tcPr>
          <w:p w14:paraId="4B83F671" w14:textId="0B55A925" w:rsidR="00827B97" w:rsidRPr="0058277D" w:rsidRDefault="00827B97" w:rsidP="006B2A8C">
            <w:pPr>
              <w:pStyle w:val="Tabletext"/>
              <w:jc w:val="center"/>
              <w:rPr>
                <w:szCs w:val="20"/>
              </w:rPr>
            </w:pPr>
            <w:r>
              <w:rPr>
                <w:szCs w:val="20"/>
              </w:rPr>
              <w:t>-0.044</w:t>
            </w:r>
          </w:p>
        </w:tc>
      </w:tr>
      <w:tr w:rsidR="00827B97" w:rsidRPr="0058277D" w14:paraId="16036087" w14:textId="77777777" w:rsidTr="00D77971">
        <w:trPr>
          <w:trHeight w:val="170"/>
        </w:trPr>
        <w:tc>
          <w:tcPr>
            <w:tcW w:w="2313" w:type="pct"/>
            <w:vMerge/>
            <w:tcBorders>
              <w:bottom w:val="single" w:sz="4" w:space="0" w:color="auto"/>
            </w:tcBorders>
            <w:vAlign w:val="center"/>
          </w:tcPr>
          <w:p w14:paraId="23D37484" w14:textId="77777777" w:rsidR="00827B97" w:rsidRPr="00266DCE" w:rsidRDefault="00827B97" w:rsidP="00D77971">
            <w:pPr>
              <w:pStyle w:val="Tabletext"/>
            </w:pPr>
          </w:p>
        </w:tc>
        <w:tc>
          <w:tcPr>
            <w:tcW w:w="2687" w:type="pct"/>
            <w:gridSpan w:val="2"/>
            <w:tcBorders>
              <w:bottom w:val="single" w:sz="4" w:space="0" w:color="auto"/>
            </w:tcBorders>
          </w:tcPr>
          <w:p w14:paraId="0229BB4E" w14:textId="547DFE3A" w:rsidR="00827B97" w:rsidRPr="0058277D" w:rsidRDefault="00827B97" w:rsidP="006B2A8C">
            <w:pPr>
              <w:pStyle w:val="Tabletext"/>
              <w:jc w:val="center"/>
              <w:rPr>
                <w:szCs w:val="20"/>
              </w:rPr>
            </w:pPr>
            <w:r w:rsidRPr="0058277D">
              <w:rPr>
                <w:szCs w:val="20"/>
              </w:rPr>
              <w:t>(0.</w:t>
            </w:r>
            <w:r>
              <w:rPr>
                <w:szCs w:val="20"/>
              </w:rPr>
              <w:t>21</w:t>
            </w:r>
            <w:r w:rsidRPr="0058277D">
              <w:rPr>
                <w:szCs w:val="20"/>
              </w:rPr>
              <w:t>)</w:t>
            </w:r>
          </w:p>
        </w:tc>
      </w:tr>
      <w:tr w:rsidR="00827B97" w:rsidRPr="0058277D" w14:paraId="3D602711" w14:textId="77777777" w:rsidTr="00D77971">
        <w:trPr>
          <w:trHeight w:val="170"/>
        </w:trPr>
        <w:tc>
          <w:tcPr>
            <w:tcW w:w="2313" w:type="pct"/>
            <w:vMerge w:val="restart"/>
            <w:tcBorders>
              <w:top w:val="single" w:sz="4" w:space="0" w:color="auto"/>
              <w:bottom w:val="single" w:sz="4" w:space="0" w:color="auto"/>
            </w:tcBorders>
            <w:vAlign w:val="center"/>
          </w:tcPr>
          <w:p w14:paraId="1A9ACF93" w14:textId="77777777" w:rsidR="00827B97" w:rsidRPr="00266DCE" w:rsidRDefault="00827B97" w:rsidP="00D77971">
            <w:pPr>
              <w:pStyle w:val="Tabletext"/>
            </w:pPr>
            <w:r w:rsidRPr="00266DCE">
              <w:t>20 to 24 years old</w:t>
            </w:r>
          </w:p>
        </w:tc>
        <w:tc>
          <w:tcPr>
            <w:tcW w:w="2687" w:type="pct"/>
            <w:gridSpan w:val="2"/>
            <w:tcBorders>
              <w:top w:val="single" w:sz="4" w:space="0" w:color="auto"/>
            </w:tcBorders>
          </w:tcPr>
          <w:p w14:paraId="4019EB2E" w14:textId="10797544" w:rsidR="00827B97" w:rsidRPr="0058277D" w:rsidRDefault="00827B97" w:rsidP="006B2A8C">
            <w:pPr>
              <w:pStyle w:val="Tabletext"/>
              <w:jc w:val="center"/>
              <w:rPr>
                <w:szCs w:val="20"/>
              </w:rPr>
            </w:pPr>
            <w:r>
              <w:rPr>
                <w:szCs w:val="20"/>
              </w:rPr>
              <w:t>-0.311</w:t>
            </w:r>
          </w:p>
        </w:tc>
      </w:tr>
      <w:tr w:rsidR="00827B97" w:rsidRPr="0058277D" w14:paraId="3A36C11B" w14:textId="77777777" w:rsidTr="00D77971">
        <w:trPr>
          <w:trHeight w:val="170"/>
        </w:trPr>
        <w:tc>
          <w:tcPr>
            <w:tcW w:w="2313" w:type="pct"/>
            <w:vMerge/>
            <w:tcBorders>
              <w:bottom w:val="single" w:sz="4" w:space="0" w:color="auto"/>
            </w:tcBorders>
            <w:vAlign w:val="center"/>
          </w:tcPr>
          <w:p w14:paraId="2CC78B79" w14:textId="77777777" w:rsidR="00827B97" w:rsidRPr="00266DCE" w:rsidRDefault="00827B97" w:rsidP="00D77971">
            <w:pPr>
              <w:pStyle w:val="Tabletext"/>
            </w:pPr>
          </w:p>
        </w:tc>
        <w:tc>
          <w:tcPr>
            <w:tcW w:w="2687" w:type="pct"/>
            <w:gridSpan w:val="2"/>
            <w:tcBorders>
              <w:bottom w:val="single" w:sz="4" w:space="0" w:color="auto"/>
            </w:tcBorders>
          </w:tcPr>
          <w:p w14:paraId="7E3E61B1" w14:textId="616DDEF8" w:rsidR="00827B97" w:rsidRPr="0058277D" w:rsidRDefault="00827B97" w:rsidP="006B2A8C">
            <w:pPr>
              <w:pStyle w:val="Tabletext"/>
              <w:jc w:val="center"/>
              <w:rPr>
                <w:szCs w:val="20"/>
              </w:rPr>
            </w:pPr>
            <w:r w:rsidRPr="0058277D">
              <w:rPr>
                <w:szCs w:val="20"/>
              </w:rPr>
              <w:t>(0.</w:t>
            </w:r>
            <w:r>
              <w:rPr>
                <w:szCs w:val="20"/>
              </w:rPr>
              <w:t>26</w:t>
            </w:r>
            <w:r w:rsidRPr="0058277D">
              <w:rPr>
                <w:szCs w:val="20"/>
              </w:rPr>
              <w:t>)</w:t>
            </w:r>
          </w:p>
        </w:tc>
      </w:tr>
      <w:tr w:rsidR="00827B97" w:rsidRPr="0058277D" w14:paraId="760B3885" w14:textId="77777777" w:rsidTr="00D77971">
        <w:trPr>
          <w:trHeight w:val="170"/>
        </w:trPr>
        <w:tc>
          <w:tcPr>
            <w:tcW w:w="2313" w:type="pct"/>
            <w:vMerge w:val="restart"/>
            <w:tcBorders>
              <w:top w:val="single" w:sz="4" w:space="0" w:color="auto"/>
            </w:tcBorders>
            <w:vAlign w:val="center"/>
          </w:tcPr>
          <w:p w14:paraId="619B01BF" w14:textId="77777777" w:rsidR="00827B97" w:rsidRPr="00266DCE" w:rsidRDefault="00827B97" w:rsidP="00D77971">
            <w:pPr>
              <w:pStyle w:val="Tabletext"/>
            </w:pPr>
            <w:r w:rsidRPr="00266DCE">
              <w:t>Older than 24 years</w:t>
            </w:r>
          </w:p>
        </w:tc>
        <w:tc>
          <w:tcPr>
            <w:tcW w:w="2687" w:type="pct"/>
            <w:gridSpan w:val="2"/>
            <w:tcBorders>
              <w:top w:val="single" w:sz="4" w:space="0" w:color="auto"/>
            </w:tcBorders>
          </w:tcPr>
          <w:p w14:paraId="129EED88" w14:textId="02DEBC03" w:rsidR="00827B97" w:rsidRPr="0058277D" w:rsidRDefault="00827B97" w:rsidP="006B2A8C">
            <w:pPr>
              <w:pStyle w:val="Tabletext"/>
              <w:jc w:val="center"/>
              <w:rPr>
                <w:szCs w:val="20"/>
              </w:rPr>
            </w:pPr>
            <w:r>
              <w:rPr>
                <w:szCs w:val="20"/>
              </w:rPr>
              <w:t>-0.485</w:t>
            </w:r>
          </w:p>
        </w:tc>
      </w:tr>
      <w:tr w:rsidR="00827B97" w:rsidRPr="0058277D" w14:paraId="1DD82DCF" w14:textId="77777777" w:rsidTr="00266DCE">
        <w:trPr>
          <w:trHeight w:val="170"/>
        </w:trPr>
        <w:tc>
          <w:tcPr>
            <w:tcW w:w="2313" w:type="pct"/>
            <w:vMerge/>
            <w:tcBorders>
              <w:bottom w:val="single" w:sz="4" w:space="0" w:color="auto"/>
            </w:tcBorders>
          </w:tcPr>
          <w:p w14:paraId="27843669" w14:textId="77777777" w:rsidR="00827B97" w:rsidRPr="0058277D" w:rsidRDefault="00827B97" w:rsidP="006B2A8C">
            <w:pPr>
              <w:pStyle w:val="Tabletext"/>
              <w:ind w:left="177"/>
              <w:rPr>
                <w:rFonts w:eastAsia="Times New Roman"/>
                <w:szCs w:val="20"/>
              </w:rPr>
            </w:pPr>
          </w:p>
        </w:tc>
        <w:tc>
          <w:tcPr>
            <w:tcW w:w="2687" w:type="pct"/>
            <w:gridSpan w:val="2"/>
            <w:tcBorders>
              <w:bottom w:val="single" w:sz="4" w:space="0" w:color="auto"/>
            </w:tcBorders>
          </w:tcPr>
          <w:p w14:paraId="162829CC" w14:textId="68B87FC2" w:rsidR="00827B97" w:rsidRPr="0058277D" w:rsidRDefault="00827B97" w:rsidP="006B2A8C">
            <w:pPr>
              <w:pStyle w:val="Tabletext"/>
              <w:jc w:val="center"/>
              <w:rPr>
                <w:szCs w:val="20"/>
              </w:rPr>
            </w:pPr>
            <w:r w:rsidRPr="0058277D">
              <w:rPr>
                <w:szCs w:val="20"/>
              </w:rPr>
              <w:t>(</w:t>
            </w:r>
            <w:r>
              <w:rPr>
                <w:szCs w:val="20"/>
              </w:rPr>
              <w:t>0.63</w:t>
            </w:r>
            <w:r w:rsidRPr="0058277D">
              <w:rPr>
                <w:szCs w:val="20"/>
              </w:rPr>
              <w:t>)</w:t>
            </w:r>
          </w:p>
        </w:tc>
      </w:tr>
      <w:tr w:rsidR="00584E00" w:rsidRPr="001F67CF" w14:paraId="0BC644D6" w14:textId="77777777" w:rsidTr="00266DCE">
        <w:trPr>
          <w:gridAfter w:val="1"/>
          <w:wAfter w:w="4" w:type="pct"/>
        </w:trPr>
        <w:tc>
          <w:tcPr>
            <w:tcW w:w="4996" w:type="pct"/>
            <w:gridSpan w:val="2"/>
            <w:tcBorders>
              <w:top w:val="single" w:sz="4" w:space="0" w:color="00338D"/>
              <w:bottom w:val="single" w:sz="4" w:space="0" w:color="00338D"/>
            </w:tcBorders>
          </w:tcPr>
          <w:p w14:paraId="438621AA" w14:textId="77777777" w:rsidR="00584E00" w:rsidRPr="00FF3BF2" w:rsidRDefault="00584E00" w:rsidP="00D20ABA">
            <w:pPr>
              <w:pStyle w:val="Tabletext"/>
              <w:rPr>
                <w:szCs w:val="20"/>
              </w:rPr>
            </w:pPr>
            <w:r w:rsidRPr="00FF3BF2">
              <w:rPr>
                <w:b/>
                <w:szCs w:val="20"/>
              </w:rPr>
              <w:t>Gender (ref = Male)</w:t>
            </w:r>
          </w:p>
        </w:tc>
      </w:tr>
      <w:tr w:rsidR="00266DCE" w:rsidRPr="006D013D" w14:paraId="145226C2" w14:textId="77777777" w:rsidTr="00266DCE">
        <w:trPr>
          <w:trHeight w:val="170"/>
        </w:trPr>
        <w:tc>
          <w:tcPr>
            <w:tcW w:w="2313" w:type="pct"/>
            <w:vMerge w:val="restart"/>
            <w:tcBorders>
              <w:top w:val="single" w:sz="4" w:space="0" w:color="00338D"/>
            </w:tcBorders>
            <w:vAlign w:val="center"/>
          </w:tcPr>
          <w:p w14:paraId="504B838F" w14:textId="77777777" w:rsidR="00266DCE" w:rsidRPr="00266DCE" w:rsidRDefault="00266DCE" w:rsidP="00266DCE">
            <w:pPr>
              <w:pStyle w:val="Tabletext"/>
            </w:pPr>
            <w:r w:rsidRPr="00266DCE">
              <w:t>Female</w:t>
            </w:r>
          </w:p>
        </w:tc>
        <w:tc>
          <w:tcPr>
            <w:tcW w:w="2687" w:type="pct"/>
            <w:gridSpan w:val="2"/>
            <w:tcBorders>
              <w:top w:val="single" w:sz="4" w:space="0" w:color="00338D"/>
            </w:tcBorders>
            <w:vAlign w:val="center"/>
          </w:tcPr>
          <w:p w14:paraId="7C02D92A" w14:textId="40B48DE7" w:rsidR="00266DCE" w:rsidRPr="00FF3BF2" w:rsidRDefault="00266DCE" w:rsidP="00503194">
            <w:pPr>
              <w:pStyle w:val="Tabletext"/>
              <w:jc w:val="center"/>
              <w:rPr>
                <w:szCs w:val="20"/>
              </w:rPr>
            </w:pPr>
            <w:r>
              <w:rPr>
                <w:rFonts w:eastAsia="Times New Roman"/>
              </w:rPr>
              <w:t>1.113</w:t>
            </w:r>
            <w:r>
              <w:rPr>
                <w:rFonts w:eastAsia="Times New Roman"/>
                <w:vertAlign w:val="superscript"/>
              </w:rPr>
              <w:t>***</w:t>
            </w:r>
          </w:p>
        </w:tc>
      </w:tr>
      <w:tr w:rsidR="00266DCE" w:rsidRPr="006D013D" w14:paraId="31B6C8D4" w14:textId="77777777" w:rsidTr="00266DCE">
        <w:trPr>
          <w:trHeight w:val="170"/>
        </w:trPr>
        <w:tc>
          <w:tcPr>
            <w:tcW w:w="2313" w:type="pct"/>
            <w:vMerge/>
            <w:tcBorders>
              <w:bottom w:val="single" w:sz="4" w:space="0" w:color="000000"/>
            </w:tcBorders>
            <w:vAlign w:val="center"/>
          </w:tcPr>
          <w:p w14:paraId="2EA595C1" w14:textId="77777777" w:rsidR="00266DCE" w:rsidRPr="00266DCE" w:rsidRDefault="00266DCE" w:rsidP="00266DCE">
            <w:pPr>
              <w:pStyle w:val="Tabletext"/>
            </w:pPr>
          </w:p>
        </w:tc>
        <w:tc>
          <w:tcPr>
            <w:tcW w:w="2687" w:type="pct"/>
            <w:gridSpan w:val="2"/>
            <w:tcBorders>
              <w:bottom w:val="single" w:sz="4" w:space="0" w:color="000000"/>
            </w:tcBorders>
            <w:vAlign w:val="center"/>
          </w:tcPr>
          <w:p w14:paraId="216EC636" w14:textId="5463AED8" w:rsidR="00266DCE" w:rsidRPr="00FF3BF2" w:rsidRDefault="00266DCE" w:rsidP="00503194">
            <w:pPr>
              <w:pStyle w:val="Tabletext"/>
              <w:jc w:val="center"/>
              <w:rPr>
                <w:szCs w:val="20"/>
              </w:rPr>
            </w:pPr>
            <w:r>
              <w:rPr>
                <w:rFonts w:eastAsia="Times New Roman"/>
              </w:rPr>
              <w:t>(0.157)</w:t>
            </w:r>
          </w:p>
        </w:tc>
      </w:tr>
      <w:tr w:rsidR="00266DCE" w:rsidRPr="006D013D" w14:paraId="72BB63A6" w14:textId="77777777" w:rsidTr="00266DCE">
        <w:trPr>
          <w:trHeight w:val="170"/>
        </w:trPr>
        <w:tc>
          <w:tcPr>
            <w:tcW w:w="2313" w:type="pct"/>
            <w:vMerge w:val="restart"/>
            <w:tcBorders>
              <w:top w:val="single" w:sz="4" w:space="0" w:color="000000"/>
            </w:tcBorders>
            <w:vAlign w:val="center"/>
          </w:tcPr>
          <w:p w14:paraId="4C43443B" w14:textId="0AA38AEA" w:rsidR="00266DCE" w:rsidRPr="00266DCE" w:rsidRDefault="00266DCE" w:rsidP="00266DCE">
            <w:pPr>
              <w:pStyle w:val="Tabletext"/>
            </w:pPr>
            <w:r w:rsidRPr="00266DCE">
              <w:t>Non-binary</w:t>
            </w:r>
          </w:p>
        </w:tc>
        <w:tc>
          <w:tcPr>
            <w:tcW w:w="2687" w:type="pct"/>
            <w:gridSpan w:val="2"/>
            <w:tcBorders>
              <w:top w:val="single" w:sz="4" w:space="0" w:color="000000"/>
            </w:tcBorders>
            <w:vAlign w:val="center"/>
          </w:tcPr>
          <w:p w14:paraId="4B9D75C2" w14:textId="7CAF389C" w:rsidR="00266DCE" w:rsidRPr="008802F6" w:rsidRDefault="00266DCE" w:rsidP="00AE0353">
            <w:pPr>
              <w:pStyle w:val="Tabletext"/>
              <w:jc w:val="center"/>
              <w:rPr>
                <w:rFonts w:eastAsia="Times New Roman"/>
              </w:rPr>
            </w:pPr>
            <w:r>
              <w:rPr>
                <w:rFonts w:eastAsia="Times New Roman"/>
              </w:rPr>
              <w:t>2.605</w:t>
            </w:r>
            <w:r>
              <w:rPr>
                <w:rFonts w:eastAsia="Times New Roman"/>
                <w:vertAlign w:val="superscript"/>
              </w:rPr>
              <w:t>***</w:t>
            </w:r>
          </w:p>
        </w:tc>
      </w:tr>
      <w:tr w:rsidR="00266DCE" w:rsidRPr="006D013D" w14:paraId="3D8F1BE5" w14:textId="77777777" w:rsidTr="00266DCE">
        <w:trPr>
          <w:trHeight w:val="170"/>
        </w:trPr>
        <w:tc>
          <w:tcPr>
            <w:tcW w:w="2313" w:type="pct"/>
            <w:vMerge/>
            <w:tcBorders>
              <w:bottom w:val="single" w:sz="4" w:space="0" w:color="00338D"/>
            </w:tcBorders>
            <w:vAlign w:val="center"/>
          </w:tcPr>
          <w:p w14:paraId="19EABEC9" w14:textId="77777777" w:rsidR="00266DCE" w:rsidRPr="00FF3BF2" w:rsidRDefault="00266DCE" w:rsidP="00AE0353">
            <w:pPr>
              <w:pStyle w:val="Tabletext"/>
              <w:ind w:left="177"/>
              <w:rPr>
                <w:szCs w:val="20"/>
              </w:rPr>
            </w:pPr>
          </w:p>
        </w:tc>
        <w:tc>
          <w:tcPr>
            <w:tcW w:w="2687" w:type="pct"/>
            <w:gridSpan w:val="2"/>
            <w:tcBorders>
              <w:bottom w:val="single" w:sz="4" w:space="0" w:color="00338D"/>
            </w:tcBorders>
            <w:vAlign w:val="center"/>
          </w:tcPr>
          <w:p w14:paraId="5DA5D2A6" w14:textId="65FDCD3A" w:rsidR="00266DCE" w:rsidRPr="008802F6" w:rsidRDefault="00266DCE" w:rsidP="00AE0353">
            <w:pPr>
              <w:pStyle w:val="Tabletext"/>
              <w:jc w:val="center"/>
              <w:rPr>
                <w:rFonts w:eastAsia="Times New Roman"/>
              </w:rPr>
            </w:pPr>
            <w:r>
              <w:rPr>
                <w:rFonts w:eastAsia="Times New Roman"/>
              </w:rPr>
              <w:t>(0.459)</w:t>
            </w:r>
          </w:p>
        </w:tc>
      </w:tr>
      <w:tr w:rsidR="00584E00" w:rsidRPr="006D013D" w14:paraId="1EFA3E44" w14:textId="77777777" w:rsidTr="00266DCE">
        <w:trPr>
          <w:gridAfter w:val="1"/>
          <w:wAfter w:w="4" w:type="pct"/>
          <w:trHeight w:val="170"/>
        </w:trPr>
        <w:tc>
          <w:tcPr>
            <w:tcW w:w="4996" w:type="pct"/>
            <w:gridSpan w:val="2"/>
            <w:tcBorders>
              <w:bottom w:val="single" w:sz="4" w:space="0" w:color="000000"/>
            </w:tcBorders>
            <w:vAlign w:val="center"/>
          </w:tcPr>
          <w:p w14:paraId="362E081E" w14:textId="753FE648" w:rsidR="00584E00" w:rsidRPr="008802F6" w:rsidRDefault="000D67CA" w:rsidP="00D20ABA">
            <w:pPr>
              <w:pStyle w:val="Tabletext"/>
              <w:rPr>
                <w:rFonts w:eastAsia="Times New Roman"/>
              </w:rPr>
            </w:pPr>
            <w:r w:rsidRPr="00FF3BF2">
              <w:rPr>
                <w:b/>
                <w:szCs w:val="20"/>
              </w:rPr>
              <w:t>Culturally and linguistically diverse</w:t>
            </w:r>
            <w:r w:rsidR="00584E00" w:rsidRPr="00FF3BF2">
              <w:rPr>
                <w:b/>
                <w:szCs w:val="20"/>
              </w:rPr>
              <w:t xml:space="preserve"> status (ref = non - </w:t>
            </w:r>
            <w:r w:rsidRPr="00FF3BF2">
              <w:rPr>
                <w:b/>
                <w:szCs w:val="20"/>
              </w:rPr>
              <w:t>culturally and linguistically diverse</w:t>
            </w:r>
            <w:r w:rsidR="00584E00" w:rsidRPr="00FF3BF2">
              <w:rPr>
                <w:b/>
                <w:szCs w:val="20"/>
              </w:rPr>
              <w:t>)</w:t>
            </w:r>
          </w:p>
        </w:tc>
      </w:tr>
      <w:tr w:rsidR="00266DCE" w:rsidRPr="006D013D" w14:paraId="3E94D09A" w14:textId="77777777" w:rsidTr="00266DCE">
        <w:trPr>
          <w:trHeight w:val="170"/>
        </w:trPr>
        <w:tc>
          <w:tcPr>
            <w:tcW w:w="2313" w:type="pct"/>
            <w:vMerge w:val="restart"/>
            <w:tcBorders>
              <w:top w:val="single" w:sz="4" w:space="0" w:color="000000"/>
            </w:tcBorders>
            <w:vAlign w:val="center"/>
          </w:tcPr>
          <w:p w14:paraId="0133889B" w14:textId="47C0A726" w:rsidR="00266DCE" w:rsidRPr="00266DCE" w:rsidRDefault="00266DCE" w:rsidP="00266DCE">
            <w:pPr>
              <w:pStyle w:val="Tabletext"/>
            </w:pPr>
            <w:r>
              <w:t>Culturally and linguistically diverse</w:t>
            </w:r>
          </w:p>
        </w:tc>
        <w:tc>
          <w:tcPr>
            <w:tcW w:w="2687" w:type="pct"/>
            <w:gridSpan w:val="2"/>
            <w:tcBorders>
              <w:top w:val="single" w:sz="4" w:space="0" w:color="000000"/>
            </w:tcBorders>
            <w:vAlign w:val="center"/>
          </w:tcPr>
          <w:p w14:paraId="310C43E1" w14:textId="6CDA6AB4" w:rsidR="00266DCE" w:rsidRPr="008802F6" w:rsidRDefault="00266DCE" w:rsidP="001255BA">
            <w:pPr>
              <w:pStyle w:val="Tabletext"/>
              <w:jc w:val="center"/>
              <w:rPr>
                <w:rFonts w:eastAsia="Times New Roman"/>
              </w:rPr>
            </w:pPr>
            <w:r>
              <w:rPr>
                <w:rFonts w:eastAsia="Times New Roman"/>
              </w:rPr>
              <w:t>-0.787</w:t>
            </w:r>
            <w:r>
              <w:rPr>
                <w:rFonts w:eastAsia="Times New Roman"/>
                <w:vertAlign w:val="superscript"/>
              </w:rPr>
              <w:t>***</w:t>
            </w:r>
          </w:p>
        </w:tc>
      </w:tr>
      <w:tr w:rsidR="00266DCE" w:rsidRPr="006D013D" w14:paraId="069833E4" w14:textId="77777777" w:rsidTr="00266DCE">
        <w:trPr>
          <w:trHeight w:val="170"/>
        </w:trPr>
        <w:tc>
          <w:tcPr>
            <w:tcW w:w="2313" w:type="pct"/>
            <w:vMerge/>
            <w:tcBorders>
              <w:bottom w:val="single" w:sz="4" w:space="0" w:color="00338D"/>
            </w:tcBorders>
            <w:vAlign w:val="center"/>
          </w:tcPr>
          <w:p w14:paraId="6E137C52" w14:textId="77777777" w:rsidR="00266DCE" w:rsidRPr="00FF3BF2" w:rsidRDefault="00266DCE" w:rsidP="001255BA">
            <w:pPr>
              <w:pStyle w:val="Tabletext"/>
              <w:ind w:left="177"/>
              <w:rPr>
                <w:szCs w:val="20"/>
              </w:rPr>
            </w:pPr>
          </w:p>
        </w:tc>
        <w:tc>
          <w:tcPr>
            <w:tcW w:w="2687" w:type="pct"/>
            <w:gridSpan w:val="2"/>
            <w:tcBorders>
              <w:bottom w:val="single" w:sz="4" w:space="0" w:color="00338D"/>
            </w:tcBorders>
            <w:vAlign w:val="center"/>
          </w:tcPr>
          <w:p w14:paraId="7C954C2C" w14:textId="3198736C" w:rsidR="00266DCE" w:rsidRPr="008802F6" w:rsidRDefault="00266DCE" w:rsidP="001255BA">
            <w:pPr>
              <w:pStyle w:val="Tabletext"/>
              <w:jc w:val="center"/>
              <w:rPr>
                <w:rFonts w:eastAsia="Times New Roman"/>
              </w:rPr>
            </w:pPr>
            <w:r>
              <w:rPr>
                <w:rFonts w:eastAsia="Times New Roman"/>
              </w:rPr>
              <w:t>(0.223)</w:t>
            </w:r>
          </w:p>
        </w:tc>
      </w:tr>
      <w:tr w:rsidR="00584E00" w:rsidRPr="006D013D" w14:paraId="08962EE0" w14:textId="77777777" w:rsidTr="00266DCE">
        <w:trPr>
          <w:gridAfter w:val="1"/>
          <w:wAfter w:w="4" w:type="pct"/>
          <w:trHeight w:val="170"/>
        </w:trPr>
        <w:tc>
          <w:tcPr>
            <w:tcW w:w="4996" w:type="pct"/>
            <w:gridSpan w:val="2"/>
            <w:tcBorders>
              <w:bottom w:val="single" w:sz="4" w:space="0" w:color="000000"/>
            </w:tcBorders>
            <w:vAlign w:val="center"/>
          </w:tcPr>
          <w:p w14:paraId="180B67B4" w14:textId="2722029E" w:rsidR="00584E00" w:rsidRPr="008802F6" w:rsidRDefault="00FF3BF2" w:rsidP="00D20ABA">
            <w:pPr>
              <w:pStyle w:val="Tabletext"/>
              <w:rPr>
                <w:rFonts w:eastAsia="Times New Roman"/>
              </w:rPr>
            </w:pPr>
            <w:r w:rsidRPr="00FF3BF2">
              <w:rPr>
                <w:b/>
                <w:bCs/>
                <w:szCs w:val="20"/>
              </w:rPr>
              <w:t>Aboriginal and Torres Strait Islander status</w:t>
            </w:r>
            <w:r w:rsidRPr="00FF3BF2">
              <w:rPr>
                <w:b/>
                <w:szCs w:val="20"/>
              </w:rPr>
              <w:t xml:space="preserve"> (ref = non - </w:t>
            </w:r>
            <w:r w:rsidRPr="00FF3BF2">
              <w:rPr>
                <w:b/>
                <w:bCs/>
                <w:szCs w:val="20"/>
              </w:rPr>
              <w:t>Aboriginal and Torres Strait Islander</w:t>
            </w:r>
            <w:r w:rsidRPr="00FF3BF2">
              <w:rPr>
                <w:b/>
                <w:szCs w:val="20"/>
              </w:rPr>
              <w:t>)</w:t>
            </w:r>
          </w:p>
        </w:tc>
      </w:tr>
      <w:tr w:rsidR="00266DCE" w:rsidRPr="006D013D" w14:paraId="4C3F512F" w14:textId="77777777" w:rsidTr="00266DCE">
        <w:trPr>
          <w:trHeight w:val="170"/>
        </w:trPr>
        <w:tc>
          <w:tcPr>
            <w:tcW w:w="2313" w:type="pct"/>
            <w:vMerge w:val="restart"/>
            <w:tcBorders>
              <w:top w:val="single" w:sz="4" w:space="0" w:color="000000"/>
            </w:tcBorders>
            <w:vAlign w:val="center"/>
          </w:tcPr>
          <w:p w14:paraId="0490E99F" w14:textId="77777777" w:rsidR="00266DCE" w:rsidRPr="00266DCE" w:rsidRDefault="00266DCE" w:rsidP="00266DCE">
            <w:pPr>
              <w:pStyle w:val="Tabletext"/>
            </w:pPr>
            <w:r w:rsidRPr="00266DCE">
              <w:t>Aboriginal</w:t>
            </w:r>
          </w:p>
        </w:tc>
        <w:tc>
          <w:tcPr>
            <w:tcW w:w="2687" w:type="pct"/>
            <w:gridSpan w:val="2"/>
            <w:tcBorders>
              <w:top w:val="single" w:sz="4" w:space="0" w:color="000000"/>
            </w:tcBorders>
            <w:vAlign w:val="center"/>
          </w:tcPr>
          <w:p w14:paraId="465F2C9D" w14:textId="5DF92562" w:rsidR="00266DCE" w:rsidRPr="008802F6" w:rsidRDefault="00266DCE" w:rsidP="005C2505">
            <w:pPr>
              <w:pStyle w:val="Tabletext"/>
              <w:jc w:val="center"/>
              <w:rPr>
                <w:rFonts w:eastAsia="Times New Roman"/>
              </w:rPr>
            </w:pPr>
            <w:r>
              <w:rPr>
                <w:rFonts w:eastAsia="Times New Roman"/>
              </w:rPr>
              <w:t>0.699</w:t>
            </w:r>
            <w:r>
              <w:rPr>
                <w:rFonts w:eastAsia="Times New Roman"/>
                <w:vertAlign w:val="superscript"/>
              </w:rPr>
              <w:t>**</w:t>
            </w:r>
          </w:p>
        </w:tc>
      </w:tr>
      <w:tr w:rsidR="00266DCE" w:rsidRPr="006D013D" w14:paraId="5E182C58" w14:textId="77777777" w:rsidTr="00266DCE">
        <w:trPr>
          <w:trHeight w:val="170"/>
        </w:trPr>
        <w:tc>
          <w:tcPr>
            <w:tcW w:w="2313" w:type="pct"/>
            <w:vMerge/>
            <w:tcBorders>
              <w:bottom w:val="single" w:sz="4" w:space="0" w:color="000000"/>
            </w:tcBorders>
            <w:vAlign w:val="center"/>
          </w:tcPr>
          <w:p w14:paraId="341A6339" w14:textId="77777777" w:rsidR="00266DCE" w:rsidRPr="00266DCE" w:rsidRDefault="00266DCE" w:rsidP="00266DCE">
            <w:pPr>
              <w:pStyle w:val="Tabletext"/>
            </w:pPr>
          </w:p>
        </w:tc>
        <w:tc>
          <w:tcPr>
            <w:tcW w:w="2687" w:type="pct"/>
            <w:gridSpan w:val="2"/>
            <w:tcBorders>
              <w:bottom w:val="single" w:sz="4" w:space="0" w:color="000000"/>
            </w:tcBorders>
            <w:vAlign w:val="center"/>
          </w:tcPr>
          <w:p w14:paraId="735D51CD" w14:textId="62F57E16" w:rsidR="00266DCE" w:rsidRPr="008802F6" w:rsidRDefault="00266DCE" w:rsidP="005C2505">
            <w:pPr>
              <w:pStyle w:val="Tabletext"/>
              <w:jc w:val="center"/>
              <w:rPr>
                <w:rFonts w:eastAsia="Times New Roman"/>
              </w:rPr>
            </w:pPr>
            <w:r>
              <w:rPr>
                <w:rFonts w:eastAsia="Times New Roman"/>
              </w:rPr>
              <w:t>(0.316)</w:t>
            </w:r>
          </w:p>
        </w:tc>
      </w:tr>
      <w:tr w:rsidR="00266DCE" w:rsidRPr="006D013D" w14:paraId="59340206" w14:textId="77777777" w:rsidTr="00266DCE">
        <w:trPr>
          <w:trHeight w:val="170"/>
        </w:trPr>
        <w:tc>
          <w:tcPr>
            <w:tcW w:w="2313" w:type="pct"/>
            <w:vMerge w:val="restart"/>
            <w:tcBorders>
              <w:top w:val="single" w:sz="4" w:space="0" w:color="000000"/>
            </w:tcBorders>
            <w:vAlign w:val="center"/>
          </w:tcPr>
          <w:p w14:paraId="606A0402" w14:textId="77777777" w:rsidR="00266DCE" w:rsidRPr="00266DCE" w:rsidRDefault="00266DCE" w:rsidP="00266DCE">
            <w:pPr>
              <w:pStyle w:val="Tabletext"/>
            </w:pPr>
            <w:r w:rsidRPr="00266DCE">
              <w:t>Torres Strait Islander</w:t>
            </w:r>
          </w:p>
        </w:tc>
        <w:tc>
          <w:tcPr>
            <w:tcW w:w="2687" w:type="pct"/>
            <w:gridSpan w:val="2"/>
            <w:tcBorders>
              <w:top w:val="single" w:sz="4" w:space="0" w:color="000000"/>
            </w:tcBorders>
            <w:vAlign w:val="center"/>
          </w:tcPr>
          <w:p w14:paraId="5E28AAF9" w14:textId="459611F4" w:rsidR="00266DCE" w:rsidRPr="008802F6" w:rsidRDefault="00266DCE" w:rsidP="00745747">
            <w:pPr>
              <w:pStyle w:val="Tabletext"/>
              <w:jc w:val="center"/>
              <w:rPr>
                <w:rFonts w:eastAsia="Times New Roman"/>
              </w:rPr>
            </w:pPr>
            <w:r>
              <w:rPr>
                <w:rFonts w:eastAsia="Times New Roman"/>
              </w:rPr>
              <w:t>0.493</w:t>
            </w:r>
          </w:p>
        </w:tc>
      </w:tr>
      <w:tr w:rsidR="00266DCE" w:rsidRPr="006D013D" w14:paraId="33E313E3" w14:textId="77777777" w:rsidTr="00266DCE">
        <w:trPr>
          <w:trHeight w:val="170"/>
        </w:trPr>
        <w:tc>
          <w:tcPr>
            <w:tcW w:w="2313" w:type="pct"/>
            <w:vMerge/>
            <w:tcBorders>
              <w:bottom w:val="single" w:sz="4" w:space="0" w:color="000000"/>
            </w:tcBorders>
            <w:vAlign w:val="center"/>
          </w:tcPr>
          <w:p w14:paraId="3B3E8BC7" w14:textId="77777777" w:rsidR="00266DCE" w:rsidRPr="00266DCE" w:rsidRDefault="00266DCE" w:rsidP="00266DCE">
            <w:pPr>
              <w:pStyle w:val="Tabletext"/>
            </w:pPr>
          </w:p>
        </w:tc>
        <w:tc>
          <w:tcPr>
            <w:tcW w:w="2687" w:type="pct"/>
            <w:gridSpan w:val="2"/>
            <w:tcBorders>
              <w:bottom w:val="single" w:sz="4" w:space="0" w:color="000000"/>
            </w:tcBorders>
            <w:vAlign w:val="center"/>
          </w:tcPr>
          <w:p w14:paraId="698524D6" w14:textId="6B99F919" w:rsidR="00266DCE" w:rsidRPr="008802F6" w:rsidRDefault="00266DCE" w:rsidP="00745747">
            <w:pPr>
              <w:pStyle w:val="Tabletext"/>
              <w:jc w:val="center"/>
              <w:rPr>
                <w:rFonts w:eastAsia="Times New Roman"/>
              </w:rPr>
            </w:pPr>
            <w:r>
              <w:rPr>
                <w:rFonts w:eastAsia="Times New Roman"/>
              </w:rPr>
              <w:t>(1.317)</w:t>
            </w:r>
          </w:p>
        </w:tc>
      </w:tr>
      <w:tr w:rsidR="00266DCE" w:rsidRPr="006D013D" w14:paraId="52E08876" w14:textId="77777777" w:rsidTr="00266DCE">
        <w:trPr>
          <w:trHeight w:val="170"/>
        </w:trPr>
        <w:tc>
          <w:tcPr>
            <w:tcW w:w="2313" w:type="pct"/>
            <w:vMerge w:val="restart"/>
            <w:tcBorders>
              <w:top w:val="single" w:sz="4" w:space="0" w:color="000000"/>
            </w:tcBorders>
            <w:vAlign w:val="center"/>
          </w:tcPr>
          <w:p w14:paraId="297EC5C1" w14:textId="77777777" w:rsidR="00266DCE" w:rsidRPr="00266DCE" w:rsidRDefault="00266DCE" w:rsidP="00266DCE">
            <w:pPr>
              <w:pStyle w:val="Tabletext"/>
            </w:pPr>
            <w:r w:rsidRPr="00266DCE">
              <w:t>Aboriginal and Torres Strait Islander</w:t>
            </w:r>
          </w:p>
        </w:tc>
        <w:tc>
          <w:tcPr>
            <w:tcW w:w="2687" w:type="pct"/>
            <w:gridSpan w:val="2"/>
            <w:tcBorders>
              <w:top w:val="single" w:sz="4" w:space="0" w:color="000000"/>
            </w:tcBorders>
            <w:vAlign w:val="center"/>
          </w:tcPr>
          <w:p w14:paraId="7F75523A" w14:textId="4D250396" w:rsidR="00266DCE" w:rsidRPr="008802F6" w:rsidRDefault="00266DCE" w:rsidP="00A56D10">
            <w:pPr>
              <w:pStyle w:val="Tabletext"/>
              <w:jc w:val="center"/>
              <w:rPr>
                <w:rFonts w:eastAsia="Times New Roman"/>
              </w:rPr>
            </w:pPr>
            <w:r>
              <w:rPr>
                <w:rFonts w:eastAsia="Times New Roman"/>
              </w:rPr>
              <w:t>3.772</w:t>
            </w:r>
            <w:r>
              <w:rPr>
                <w:rFonts w:eastAsia="Times New Roman"/>
                <w:vertAlign w:val="superscript"/>
              </w:rPr>
              <w:t>**</w:t>
            </w:r>
          </w:p>
        </w:tc>
      </w:tr>
      <w:tr w:rsidR="00266DCE" w:rsidRPr="006D013D" w14:paraId="6A4DE18B" w14:textId="77777777" w:rsidTr="00266DCE">
        <w:trPr>
          <w:trHeight w:val="170"/>
        </w:trPr>
        <w:tc>
          <w:tcPr>
            <w:tcW w:w="2313" w:type="pct"/>
            <w:vMerge/>
            <w:tcBorders>
              <w:bottom w:val="single" w:sz="4" w:space="0" w:color="00338D"/>
            </w:tcBorders>
            <w:vAlign w:val="center"/>
          </w:tcPr>
          <w:p w14:paraId="0ADFE76B" w14:textId="77777777" w:rsidR="00266DCE" w:rsidRPr="00FF3BF2" w:rsidRDefault="00266DCE" w:rsidP="00A56D10">
            <w:pPr>
              <w:pStyle w:val="Tabletext"/>
              <w:ind w:left="177"/>
              <w:rPr>
                <w:szCs w:val="20"/>
              </w:rPr>
            </w:pPr>
          </w:p>
        </w:tc>
        <w:tc>
          <w:tcPr>
            <w:tcW w:w="2687" w:type="pct"/>
            <w:gridSpan w:val="2"/>
            <w:tcBorders>
              <w:bottom w:val="single" w:sz="4" w:space="0" w:color="00338D"/>
            </w:tcBorders>
            <w:vAlign w:val="center"/>
          </w:tcPr>
          <w:p w14:paraId="4ABDB176" w14:textId="5A50EF28" w:rsidR="00266DCE" w:rsidRPr="008802F6" w:rsidRDefault="00266DCE" w:rsidP="00A56D10">
            <w:pPr>
              <w:pStyle w:val="Tabletext"/>
              <w:jc w:val="center"/>
              <w:rPr>
                <w:rFonts w:eastAsia="Times New Roman"/>
              </w:rPr>
            </w:pPr>
            <w:r>
              <w:rPr>
                <w:rFonts w:eastAsia="Times New Roman"/>
              </w:rPr>
              <w:t>(1.782)</w:t>
            </w:r>
          </w:p>
        </w:tc>
      </w:tr>
      <w:tr w:rsidR="00564B54" w:rsidRPr="006D013D" w14:paraId="61F0502C" w14:textId="77777777" w:rsidTr="00564B54">
        <w:trPr>
          <w:trHeight w:val="170"/>
        </w:trPr>
        <w:tc>
          <w:tcPr>
            <w:tcW w:w="5000" w:type="pct"/>
            <w:gridSpan w:val="3"/>
            <w:tcBorders>
              <w:bottom w:val="single" w:sz="4" w:space="0" w:color="000000"/>
            </w:tcBorders>
            <w:vAlign w:val="center"/>
          </w:tcPr>
          <w:p w14:paraId="4E3853B6" w14:textId="247FA5AE" w:rsidR="00564B54" w:rsidRDefault="00564B54" w:rsidP="00564B54">
            <w:pPr>
              <w:pStyle w:val="Tabletext"/>
              <w:rPr>
                <w:rFonts w:eastAsia="Times New Roman"/>
              </w:rPr>
            </w:pPr>
            <w:r w:rsidRPr="00FF3BF2">
              <w:rPr>
                <w:b/>
                <w:szCs w:val="20"/>
              </w:rPr>
              <w:t>Education level (ref = None)</w:t>
            </w:r>
          </w:p>
        </w:tc>
      </w:tr>
      <w:tr w:rsidR="00266DCE" w:rsidRPr="006D013D" w14:paraId="04E78F54" w14:textId="77777777" w:rsidTr="00266DCE">
        <w:trPr>
          <w:trHeight w:val="170"/>
        </w:trPr>
        <w:tc>
          <w:tcPr>
            <w:tcW w:w="2313" w:type="pct"/>
            <w:vMerge w:val="restart"/>
            <w:tcBorders>
              <w:top w:val="single" w:sz="4" w:space="0" w:color="000000"/>
            </w:tcBorders>
            <w:vAlign w:val="center"/>
          </w:tcPr>
          <w:p w14:paraId="5B4086C4" w14:textId="77777777" w:rsidR="00266DCE" w:rsidRPr="00266DCE" w:rsidRDefault="00266DCE" w:rsidP="00266DCE">
            <w:pPr>
              <w:pStyle w:val="Tabletext"/>
            </w:pPr>
            <w:r w:rsidRPr="00266DCE">
              <w:t>Year 10 or below</w:t>
            </w:r>
          </w:p>
        </w:tc>
        <w:tc>
          <w:tcPr>
            <w:tcW w:w="2687" w:type="pct"/>
            <w:gridSpan w:val="2"/>
            <w:tcBorders>
              <w:top w:val="single" w:sz="4" w:space="0" w:color="000000"/>
            </w:tcBorders>
            <w:vAlign w:val="center"/>
          </w:tcPr>
          <w:p w14:paraId="557F04CA" w14:textId="722D6A69" w:rsidR="00266DCE" w:rsidRDefault="00266DCE" w:rsidP="0071035B">
            <w:pPr>
              <w:pStyle w:val="Tabletext"/>
              <w:jc w:val="center"/>
              <w:rPr>
                <w:rFonts w:eastAsia="Times New Roman"/>
              </w:rPr>
            </w:pPr>
            <w:r>
              <w:rPr>
                <w:rFonts w:eastAsia="Times New Roman"/>
              </w:rPr>
              <w:t>1.167</w:t>
            </w:r>
          </w:p>
        </w:tc>
      </w:tr>
      <w:tr w:rsidR="00266DCE" w:rsidRPr="006D013D" w14:paraId="3232592C" w14:textId="77777777" w:rsidTr="00266DCE">
        <w:trPr>
          <w:trHeight w:val="170"/>
        </w:trPr>
        <w:tc>
          <w:tcPr>
            <w:tcW w:w="2313" w:type="pct"/>
            <w:vMerge/>
            <w:tcBorders>
              <w:bottom w:val="single" w:sz="4" w:space="0" w:color="000000"/>
            </w:tcBorders>
            <w:vAlign w:val="center"/>
          </w:tcPr>
          <w:p w14:paraId="42724A1B" w14:textId="77777777" w:rsidR="00266DCE" w:rsidRPr="00266DCE" w:rsidRDefault="00266DCE" w:rsidP="00266DCE">
            <w:pPr>
              <w:pStyle w:val="Tabletext"/>
            </w:pPr>
          </w:p>
        </w:tc>
        <w:tc>
          <w:tcPr>
            <w:tcW w:w="2687" w:type="pct"/>
            <w:gridSpan w:val="2"/>
            <w:tcBorders>
              <w:bottom w:val="single" w:sz="4" w:space="0" w:color="000000"/>
            </w:tcBorders>
            <w:vAlign w:val="center"/>
          </w:tcPr>
          <w:p w14:paraId="3591B750" w14:textId="7979C3CD" w:rsidR="00266DCE" w:rsidRDefault="00266DCE" w:rsidP="0071035B">
            <w:pPr>
              <w:pStyle w:val="Tabletext"/>
              <w:jc w:val="center"/>
              <w:rPr>
                <w:rFonts w:eastAsia="Times New Roman"/>
              </w:rPr>
            </w:pPr>
            <w:r>
              <w:rPr>
                <w:rFonts w:eastAsia="Times New Roman"/>
              </w:rPr>
              <w:t>(1.074)</w:t>
            </w:r>
          </w:p>
        </w:tc>
      </w:tr>
      <w:tr w:rsidR="00266DCE" w:rsidRPr="006D013D" w14:paraId="3674B0C8" w14:textId="77777777" w:rsidTr="00266DCE">
        <w:trPr>
          <w:trHeight w:val="170"/>
        </w:trPr>
        <w:tc>
          <w:tcPr>
            <w:tcW w:w="2313" w:type="pct"/>
            <w:vMerge w:val="restart"/>
            <w:tcBorders>
              <w:top w:val="single" w:sz="4" w:space="0" w:color="000000"/>
            </w:tcBorders>
            <w:vAlign w:val="center"/>
          </w:tcPr>
          <w:p w14:paraId="5093B00B" w14:textId="77777777" w:rsidR="00266DCE" w:rsidRPr="00266DCE" w:rsidRDefault="00266DCE" w:rsidP="00266DCE">
            <w:pPr>
              <w:pStyle w:val="Tabletext"/>
            </w:pPr>
            <w:r w:rsidRPr="00266DCE">
              <w:t>Year 11</w:t>
            </w:r>
          </w:p>
        </w:tc>
        <w:tc>
          <w:tcPr>
            <w:tcW w:w="2687" w:type="pct"/>
            <w:gridSpan w:val="2"/>
            <w:tcBorders>
              <w:top w:val="single" w:sz="4" w:space="0" w:color="000000"/>
            </w:tcBorders>
            <w:vAlign w:val="center"/>
          </w:tcPr>
          <w:p w14:paraId="4CD585A4" w14:textId="124C9A50" w:rsidR="00266DCE" w:rsidRDefault="00266DCE" w:rsidP="0000321C">
            <w:pPr>
              <w:pStyle w:val="Tabletext"/>
              <w:jc w:val="center"/>
              <w:rPr>
                <w:rFonts w:eastAsia="Times New Roman"/>
              </w:rPr>
            </w:pPr>
            <w:r>
              <w:rPr>
                <w:rFonts w:eastAsia="Times New Roman"/>
              </w:rPr>
              <w:t>0.552</w:t>
            </w:r>
          </w:p>
        </w:tc>
      </w:tr>
      <w:tr w:rsidR="00266DCE" w:rsidRPr="006D013D" w14:paraId="392886CA" w14:textId="77777777" w:rsidTr="00266DCE">
        <w:trPr>
          <w:trHeight w:val="170"/>
        </w:trPr>
        <w:tc>
          <w:tcPr>
            <w:tcW w:w="2313" w:type="pct"/>
            <w:vMerge/>
            <w:tcBorders>
              <w:bottom w:val="single" w:sz="4" w:space="0" w:color="000000"/>
            </w:tcBorders>
            <w:vAlign w:val="center"/>
          </w:tcPr>
          <w:p w14:paraId="35AEB815" w14:textId="77777777" w:rsidR="00266DCE" w:rsidRPr="00266DCE" w:rsidRDefault="00266DCE" w:rsidP="00266DCE">
            <w:pPr>
              <w:pStyle w:val="Tabletext"/>
            </w:pPr>
          </w:p>
        </w:tc>
        <w:tc>
          <w:tcPr>
            <w:tcW w:w="2687" w:type="pct"/>
            <w:gridSpan w:val="2"/>
            <w:tcBorders>
              <w:bottom w:val="single" w:sz="4" w:space="0" w:color="000000"/>
            </w:tcBorders>
            <w:vAlign w:val="center"/>
          </w:tcPr>
          <w:p w14:paraId="0AD8C5CA" w14:textId="6F49D737" w:rsidR="00266DCE" w:rsidRDefault="00266DCE" w:rsidP="0000321C">
            <w:pPr>
              <w:pStyle w:val="Tabletext"/>
              <w:jc w:val="center"/>
              <w:rPr>
                <w:rFonts w:eastAsia="Times New Roman"/>
              </w:rPr>
            </w:pPr>
            <w:r>
              <w:rPr>
                <w:rFonts w:eastAsia="Times New Roman"/>
              </w:rPr>
              <w:t>(1.083)</w:t>
            </w:r>
          </w:p>
        </w:tc>
      </w:tr>
      <w:tr w:rsidR="00266DCE" w:rsidRPr="006D013D" w14:paraId="08C6F496" w14:textId="77777777" w:rsidTr="00266DCE">
        <w:trPr>
          <w:trHeight w:val="170"/>
        </w:trPr>
        <w:tc>
          <w:tcPr>
            <w:tcW w:w="2313" w:type="pct"/>
            <w:vMerge w:val="restart"/>
            <w:tcBorders>
              <w:top w:val="single" w:sz="4" w:space="0" w:color="000000"/>
            </w:tcBorders>
            <w:vAlign w:val="center"/>
          </w:tcPr>
          <w:p w14:paraId="62C7B3E5" w14:textId="77777777" w:rsidR="00266DCE" w:rsidRPr="00266DCE" w:rsidRDefault="00266DCE" w:rsidP="00266DCE">
            <w:pPr>
              <w:pStyle w:val="Tabletext"/>
            </w:pPr>
            <w:r w:rsidRPr="00266DCE">
              <w:t>Year 12</w:t>
            </w:r>
          </w:p>
        </w:tc>
        <w:tc>
          <w:tcPr>
            <w:tcW w:w="2687" w:type="pct"/>
            <w:gridSpan w:val="2"/>
            <w:tcBorders>
              <w:top w:val="single" w:sz="4" w:space="0" w:color="000000"/>
            </w:tcBorders>
            <w:vAlign w:val="center"/>
          </w:tcPr>
          <w:p w14:paraId="224D4118" w14:textId="6B58E178" w:rsidR="00266DCE" w:rsidRDefault="00266DCE" w:rsidP="00B4690C">
            <w:pPr>
              <w:pStyle w:val="Tabletext"/>
              <w:jc w:val="center"/>
              <w:rPr>
                <w:rFonts w:eastAsia="Times New Roman"/>
              </w:rPr>
            </w:pPr>
            <w:r>
              <w:rPr>
                <w:rFonts w:eastAsia="Times New Roman"/>
              </w:rPr>
              <w:t>-0.226</w:t>
            </w:r>
          </w:p>
        </w:tc>
      </w:tr>
      <w:tr w:rsidR="00266DCE" w:rsidRPr="006D013D" w14:paraId="69C47865" w14:textId="77777777" w:rsidTr="00266DCE">
        <w:trPr>
          <w:trHeight w:val="170"/>
        </w:trPr>
        <w:tc>
          <w:tcPr>
            <w:tcW w:w="2313" w:type="pct"/>
            <w:vMerge/>
            <w:tcBorders>
              <w:bottom w:val="single" w:sz="4" w:space="0" w:color="000000"/>
            </w:tcBorders>
            <w:vAlign w:val="center"/>
          </w:tcPr>
          <w:p w14:paraId="53A1E12D" w14:textId="77777777" w:rsidR="00266DCE" w:rsidRDefault="00266DCE" w:rsidP="00B4690C">
            <w:pPr>
              <w:pStyle w:val="Tabletext"/>
              <w:ind w:left="177"/>
              <w:rPr>
                <w:rFonts w:eastAsia="Times New Roman"/>
              </w:rPr>
            </w:pPr>
          </w:p>
        </w:tc>
        <w:tc>
          <w:tcPr>
            <w:tcW w:w="2687" w:type="pct"/>
            <w:gridSpan w:val="2"/>
            <w:tcBorders>
              <w:bottom w:val="single" w:sz="4" w:space="0" w:color="000000"/>
            </w:tcBorders>
            <w:vAlign w:val="center"/>
          </w:tcPr>
          <w:p w14:paraId="04486E84" w14:textId="529A698B" w:rsidR="00266DCE" w:rsidRDefault="00266DCE" w:rsidP="00B4690C">
            <w:pPr>
              <w:pStyle w:val="Tabletext"/>
              <w:jc w:val="center"/>
              <w:rPr>
                <w:rFonts w:eastAsia="Times New Roman"/>
              </w:rPr>
            </w:pPr>
            <w:r>
              <w:rPr>
                <w:rFonts w:eastAsia="Times New Roman"/>
              </w:rPr>
              <w:t>(1.075)</w:t>
            </w:r>
          </w:p>
        </w:tc>
      </w:tr>
      <w:tr w:rsidR="00266DCE" w:rsidRPr="006D013D" w14:paraId="3804859B" w14:textId="77777777" w:rsidTr="00266DCE">
        <w:trPr>
          <w:trHeight w:val="170"/>
        </w:trPr>
        <w:tc>
          <w:tcPr>
            <w:tcW w:w="2313" w:type="pct"/>
            <w:vMerge w:val="restart"/>
            <w:tcBorders>
              <w:top w:val="single" w:sz="4" w:space="0" w:color="000000"/>
            </w:tcBorders>
            <w:vAlign w:val="center"/>
          </w:tcPr>
          <w:p w14:paraId="314BAE9B" w14:textId="77777777" w:rsidR="00266DCE" w:rsidRPr="00266DCE" w:rsidRDefault="00266DCE" w:rsidP="00266DCE">
            <w:pPr>
              <w:pStyle w:val="Tabletext"/>
            </w:pPr>
            <w:r w:rsidRPr="00266DCE">
              <w:t>Certificate</w:t>
            </w:r>
          </w:p>
        </w:tc>
        <w:tc>
          <w:tcPr>
            <w:tcW w:w="2687" w:type="pct"/>
            <w:gridSpan w:val="2"/>
            <w:tcBorders>
              <w:top w:val="single" w:sz="4" w:space="0" w:color="000000"/>
            </w:tcBorders>
            <w:vAlign w:val="center"/>
          </w:tcPr>
          <w:p w14:paraId="3F764A13" w14:textId="622D211B" w:rsidR="00266DCE" w:rsidRDefault="00266DCE" w:rsidP="00634E02">
            <w:pPr>
              <w:pStyle w:val="Tabletext"/>
              <w:jc w:val="center"/>
              <w:rPr>
                <w:rFonts w:eastAsia="Times New Roman"/>
              </w:rPr>
            </w:pPr>
            <w:r>
              <w:rPr>
                <w:rFonts w:eastAsia="Times New Roman"/>
              </w:rPr>
              <w:t>0.197</w:t>
            </w:r>
          </w:p>
        </w:tc>
      </w:tr>
      <w:tr w:rsidR="00266DCE" w:rsidRPr="006D013D" w14:paraId="68DB4A5A" w14:textId="77777777" w:rsidTr="00266DCE">
        <w:trPr>
          <w:trHeight w:val="170"/>
        </w:trPr>
        <w:tc>
          <w:tcPr>
            <w:tcW w:w="2313" w:type="pct"/>
            <w:vMerge/>
            <w:tcBorders>
              <w:bottom w:val="single" w:sz="4" w:space="0" w:color="000000"/>
            </w:tcBorders>
            <w:vAlign w:val="center"/>
          </w:tcPr>
          <w:p w14:paraId="208668D2" w14:textId="77777777" w:rsidR="00266DCE" w:rsidRPr="00266DCE" w:rsidRDefault="00266DCE" w:rsidP="00266DCE">
            <w:pPr>
              <w:pStyle w:val="Tabletext"/>
            </w:pPr>
          </w:p>
        </w:tc>
        <w:tc>
          <w:tcPr>
            <w:tcW w:w="2687" w:type="pct"/>
            <w:gridSpan w:val="2"/>
            <w:tcBorders>
              <w:bottom w:val="single" w:sz="4" w:space="0" w:color="000000"/>
            </w:tcBorders>
            <w:vAlign w:val="center"/>
          </w:tcPr>
          <w:p w14:paraId="5F700E23" w14:textId="78326A8D" w:rsidR="00266DCE" w:rsidRDefault="00266DCE" w:rsidP="00634E02">
            <w:pPr>
              <w:pStyle w:val="Tabletext"/>
              <w:jc w:val="center"/>
              <w:rPr>
                <w:rFonts w:eastAsia="Times New Roman"/>
              </w:rPr>
            </w:pPr>
            <w:r>
              <w:rPr>
                <w:rFonts w:eastAsia="Times New Roman"/>
              </w:rPr>
              <w:t>(1.091)</w:t>
            </w:r>
          </w:p>
        </w:tc>
      </w:tr>
      <w:tr w:rsidR="00266DCE" w:rsidRPr="006D013D" w14:paraId="6D764F99" w14:textId="77777777" w:rsidTr="00266DCE">
        <w:trPr>
          <w:trHeight w:val="170"/>
        </w:trPr>
        <w:tc>
          <w:tcPr>
            <w:tcW w:w="2313" w:type="pct"/>
            <w:vMerge w:val="restart"/>
            <w:tcBorders>
              <w:top w:val="single" w:sz="4" w:space="0" w:color="000000"/>
            </w:tcBorders>
            <w:vAlign w:val="center"/>
          </w:tcPr>
          <w:p w14:paraId="3FC03F47" w14:textId="77777777" w:rsidR="00266DCE" w:rsidRPr="00266DCE" w:rsidRDefault="00266DCE" w:rsidP="00266DCE">
            <w:pPr>
              <w:pStyle w:val="Tabletext"/>
            </w:pPr>
            <w:r w:rsidRPr="00266DCE">
              <w:t>Diploma or advanced diploma</w:t>
            </w:r>
          </w:p>
        </w:tc>
        <w:tc>
          <w:tcPr>
            <w:tcW w:w="2687" w:type="pct"/>
            <w:gridSpan w:val="2"/>
            <w:tcBorders>
              <w:top w:val="single" w:sz="4" w:space="0" w:color="000000"/>
            </w:tcBorders>
            <w:vAlign w:val="center"/>
          </w:tcPr>
          <w:p w14:paraId="4D4865CD" w14:textId="40C2429F" w:rsidR="00266DCE" w:rsidRDefault="00266DCE" w:rsidP="00317D31">
            <w:pPr>
              <w:pStyle w:val="Tabletext"/>
              <w:jc w:val="center"/>
              <w:rPr>
                <w:rFonts w:eastAsia="Times New Roman"/>
              </w:rPr>
            </w:pPr>
            <w:r>
              <w:rPr>
                <w:rFonts w:eastAsia="Times New Roman"/>
              </w:rPr>
              <w:t>-0.485</w:t>
            </w:r>
          </w:p>
        </w:tc>
      </w:tr>
      <w:tr w:rsidR="00266DCE" w:rsidRPr="006D013D" w14:paraId="35EC2D3C" w14:textId="77777777" w:rsidTr="00266DCE">
        <w:trPr>
          <w:trHeight w:val="170"/>
        </w:trPr>
        <w:tc>
          <w:tcPr>
            <w:tcW w:w="2313" w:type="pct"/>
            <w:vMerge/>
            <w:tcBorders>
              <w:bottom w:val="single" w:sz="4" w:space="0" w:color="000000"/>
            </w:tcBorders>
            <w:vAlign w:val="center"/>
          </w:tcPr>
          <w:p w14:paraId="6ED89086" w14:textId="77777777" w:rsidR="00266DCE" w:rsidRPr="00266DCE" w:rsidRDefault="00266DCE" w:rsidP="00266DCE">
            <w:pPr>
              <w:pStyle w:val="Tabletext"/>
            </w:pPr>
          </w:p>
        </w:tc>
        <w:tc>
          <w:tcPr>
            <w:tcW w:w="2687" w:type="pct"/>
            <w:gridSpan w:val="2"/>
            <w:tcBorders>
              <w:bottom w:val="single" w:sz="4" w:space="0" w:color="000000"/>
            </w:tcBorders>
            <w:vAlign w:val="center"/>
          </w:tcPr>
          <w:p w14:paraId="052D4CE9" w14:textId="69451D8C" w:rsidR="00266DCE" w:rsidRDefault="00266DCE" w:rsidP="00317D31">
            <w:pPr>
              <w:pStyle w:val="Tabletext"/>
              <w:jc w:val="center"/>
              <w:rPr>
                <w:rFonts w:eastAsia="Times New Roman"/>
              </w:rPr>
            </w:pPr>
            <w:r>
              <w:rPr>
                <w:rFonts w:eastAsia="Times New Roman"/>
              </w:rPr>
              <w:t>(1.117)</w:t>
            </w:r>
          </w:p>
        </w:tc>
      </w:tr>
      <w:tr w:rsidR="00266DCE" w:rsidRPr="006D013D" w14:paraId="1579B355" w14:textId="77777777" w:rsidTr="00266DCE">
        <w:trPr>
          <w:trHeight w:val="170"/>
        </w:trPr>
        <w:tc>
          <w:tcPr>
            <w:tcW w:w="2313" w:type="pct"/>
            <w:vMerge w:val="restart"/>
            <w:tcBorders>
              <w:top w:val="single" w:sz="4" w:space="0" w:color="000000"/>
            </w:tcBorders>
            <w:vAlign w:val="center"/>
          </w:tcPr>
          <w:p w14:paraId="40901F2E" w14:textId="2B63DD59" w:rsidR="00266DCE" w:rsidRPr="00266DCE" w:rsidRDefault="00266DCE" w:rsidP="00266DCE">
            <w:pPr>
              <w:pStyle w:val="Tabletext"/>
            </w:pPr>
            <w:r w:rsidRPr="00266DCE">
              <w:t>Bachelor’s degree</w:t>
            </w:r>
          </w:p>
        </w:tc>
        <w:tc>
          <w:tcPr>
            <w:tcW w:w="2687" w:type="pct"/>
            <w:gridSpan w:val="2"/>
            <w:tcBorders>
              <w:top w:val="single" w:sz="4" w:space="0" w:color="000000"/>
            </w:tcBorders>
            <w:vAlign w:val="center"/>
          </w:tcPr>
          <w:p w14:paraId="7408ED04" w14:textId="4D3250E4" w:rsidR="00266DCE" w:rsidRDefault="00266DCE" w:rsidP="00064B29">
            <w:pPr>
              <w:pStyle w:val="Tabletext"/>
              <w:jc w:val="center"/>
              <w:rPr>
                <w:rFonts w:eastAsia="Times New Roman"/>
              </w:rPr>
            </w:pPr>
            <w:r>
              <w:rPr>
                <w:rFonts w:eastAsia="Times New Roman"/>
              </w:rPr>
              <w:t>-0.898</w:t>
            </w:r>
          </w:p>
        </w:tc>
      </w:tr>
      <w:tr w:rsidR="00266DCE" w:rsidRPr="006D013D" w14:paraId="1347CADC" w14:textId="77777777" w:rsidTr="00266DCE">
        <w:trPr>
          <w:trHeight w:val="170"/>
        </w:trPr>
        <w:tc>
          <w:tcPr>
            <w:tcW w:w="2313" w:type="pct"/>
            <w:vMerge/>
            <w:tcBorders>
              <w:bottom w:val="single" w:sz="4" w:space="0" w:color="000000"/>
            </w:tcBorders>
            <w:vAlign w:val="center"/>
          </w:tcPr>
          <w:p w14:paraId="78E18789" w14:textId="77777777" w:rsidR="00266DCE" w:rsidRPr="00266DCE" w:rsidRDefault="00266DCE" w:rsidP="00266DCE">
            <w:pPr>
              <w:pStyle w:val="Tabletext"/>
            </w:pPr>
          </w:p>
        </w:tc>
        <w:tc>
          <w:tcPr>
            <w:tcW w:w="2687" w:type="pct"/>
            <w:gridSpan w:val="2"/>
            <w:tcBorders>
              <w:bottom w:val="single" w:sz="4" w:space="0" w:color="000000"/>
            </w:tcBorders>
            <w:vAlign w:val="center"/>
          </w:tcPr>
          <w:p w14:paraId="7F1993CB" w14:textId="6580CB85" w:rsidR="00266DCE" w:rsidRDefault="00266DCE" w:rsidP="00064B29">
            <w:pPr>
              <w:pStyle w:val="Tabletext"/>
              <w:jc w:val="center"/>
              <w:rPr>
                <w:rFonts w:eastAsia="Times New Roman"/>
              </w:rPr>
            </w:pPr>
            <w:r>
              <w:rPr>
                <w:rFonts w:eastAsia="Times New Roman"/>
              </w:rPr>
              <w:t>(1.104)</w:t>
            </w:r>
          </w:p>
        </w:tc>
      </w:tr>
      <w:tr w:rsidR="00266DCE" w:rsidRPr="006D013D" w14:paraId="1FBFC657" w14:textId="77777777" w:rsidTr="00266DCE">
        <w:trPr>
          <w:trHeight w:val="170"/>
        </w:trPr>
        <w:tc>
          <w:tcPr>
            <w:tcW w:w="2313" w:type="pct"/>
            <w:vMerge w:val="restart"/>
            <w:tcBorders>
              <w:top w:val="single" w:sz="4" w:space="0" w:color="000000"/>
            </w:tcBorders>
            <w:vAlign w:val="center"/>
          </w:tcPr>
          <w:p w14:paraId="443E13FE" w14:textId="77777777" w:rsidR="00266DCE" w:rsidRPr="00266DCE" w:rsidRDefault="00266DCE" w:rsidP="00266DCE">
            <w:pPr>
              <w:pStyle w:val="Tabletext"/>
            </w:pPr>
            <w:r w:rsidRPr="00266DCE">
              <w:t>Postgraduate degree</w:t>
            </w:r>
          </w:p>
        </w:tc>
        <w:tc>
          <w:tcPr>
            <w:tcW w:w="2687" w:type="pct"/>
            <w:gridSpan w:val="2"/>
            <w:tcBorders>
              <w:top w:val="single" w:sz="4" w:space="0" w:color="000000"/>
            </w:tcBorders>
            <w:vAlign w:val="center"/>
          </w:tcPr>
          <w:p w14:paraId="1C91C859" w14:textId="4A38FFE6" w:rsidR="00266DCE" w:rsidRDefault="00266DCE" w:rsidP="007B5C68">
            <w:pPr>
              <w:pStyle w:val="Tabletext"/>
              <w:jc w:val="center"/>
              <w:rPr>
                <w:rFonts w:eastAsia="Times New Roman"/>
              </w:rPr>
            </w:pPr>
            <w:r>
              <w:rPr>
                <w:rFonts w:eastAsia="Times New Roman"/>
              </w:rPr>
              <w:t>-1.690</w:t>
            </w:r>
          </w:p>
        </w:tc>
      </w:tr>
      <w:tr w:rsidR="00266DCE" w:rsidRPr="006D013D" w14:paraId="01204435" w14:textId="77777777" w:rsidTr="00266DCE">
        <w:trPr>
          <w:trHeight w:val="170"/>
        </w:trPr>
        <w:tc>
          <w:tcPr>
            <w:tcW w:w="2313" w:type="pct"/>
            <w:vMerge/>
            <w:tcBorders>
              <w:bottom w:val="single" w:sz="4" w:space="0" w:color="000000"/>
            </w:tcBorders>
            <w:vAlign w:val="center"/>
          </w:tcPr>
          <w:p w14:paraId="1B28C070" w14:textId="77777777" w:rsidR="00266DCE" w:rsidRDefault="00266DCE" w:rsidP="007B5C68">
            <w:pPr>
              <w:pStyle w:val="Tabletext"/>
              <w:ind w:left="177"/>
              <w:rPr>
                <w:rFonts w:eastAsia="Times New Roman"/>
              </w:rPr>
            </w:pPr>
          </w:p>
        </w:tc>
        <w:tc>
          <w:tcPr>
            <w:tcW w:w="2687" w:type="pct"/>
            <w:gridSpan w:val="2"/>
            <w:tcBorders>
              <w:bottom w:val="single" w:sz="4" w:space="0" w:color="000000"/>
            </w:tcBorders>
            <w:vAlign w:val="center"/>
          </w:tcPr>
          <w:p w14:paraId="056B5172" w14:textId="1D4FD8A0" w:rsidR="00266DCE" w:rsidRDefault="00266DCE" w:rsidP="007B5C68">
            <w:pPr>
              <w:pStyle w:val="Tabletext"/>
              <w:jc w:val="center"/>
              <w:rPr>
                <w:rFonts w:eastAsia="Times New Roman"/>
              </w:rPr>
            </w:pPr>
            <w:r>
              <w:rPr>
                <w:rFonts w:eastAsia="Times New Roman"/>
              </w:rPr>
              <w:t>(1.571)</w:t>
            </w:r>
          </w:p>
        </w:tc>
      </w:tr>
      <w:tr w:rsidR="00827B97" w:rsidRPr="0058277D" w14:paraId="250C13BE" w14:textId="77777777" w:rsidTr="00266DCE">
        <w:trPr>
          <w:gridAfter w:val="1"/>
          <w:wAfter w:w="4" w:type="pct"/>
          <w:trHeight w:val="170"/>
        </w:trPr>
        <w:tc>
          <w:tcPr>
            <w:tcW w:w="4996" w:type="pct"/>
            <w:gridSpan w:val="2"/>
            <w:tcBorders>
              <w:top w:val="single" w:sz="4" w:space="0" w:color="auto"/>
              <w:bottom w:val="single" w:sz="4" w:space="0" w:color="auto"/>
            </w:tcBorders>
            <w:vAlign w:val="center"/>
          </w:tcPr>
          <w:p w14:paraId="160DA8A9" w14:textId="77777777" w:rsidR="00827B97" w:rsidRPr="0058277D" w:rsidRDefault="00827B97" w:rsidP="006B2A8C">
            <w:pPr>
              <w:pStyle w:val="Tabletext"/>
              <w:rPr>
                <w:rFonts w:eastAsia="Times New Roman"/>
                <w:szCs w:val="20"/>
              </w:rPr>
            </w:pPr>
            <w:r w:rsidRPr="0058277D">
              <w:rPr>
                <w:rFonts w:cs="Calibri"/>
                <w:b/>
                <w:color w:val="000000"/>
                <w:szCs w:val="20"/>
              </w:rPr>
              <w:t>Main services provided (ref = Intake/assessment)</w:t>
            </w:r>
          </w:p>
        </w:tc>
      </w:tr>
      <w:tr w:rsidR="00827B97" w:rsidRPr="0058277D" w14:paraId="07351B24" w14:textId="77777777" w:rsidTr="00D77971">
        <w:trPr>
          <w:trHeight w:val="170"/>
        </w:trPr>
        <w:tc>
          <w:tcPr>
            <w:tcW w:w="2313" w:type="pct"/>
            <w:vMerge w:val="restart"/>
            <w:tcBorders>
              <w:top w:val="single" w:sz="4" w:space="0" w:color="auto"/>
              <w:bottom w:val="single" w:sz="4" w:space="0" w:color="auto"/>
            </w:tcBorders>
            <w:vAlign w:val="center"/>
          </w:tcPr>
          <w:p w14:paraId="5B5E2A47" w14:textId="77777777" w:rsidR="00827B97" w:rsidRPr="00266DCE" w:rsidRDefault="00827B97" w:rsidP="00D77971">
            <w:pPr>
              <w:pStyle w:val="Tabletext"/>
            </w:pPr>
            <w:r w:rsidRPr="00266DCE">
              <w:t>Non-MH services</w:t>
            </w:r>
          </w:p>
        </w:tc>
        <w:tc>
          <w:tcPr>
            <w:tcW w:w="2687" w:type="pct"/>
            <w:gridSpan w:val="2"/>
            <w:tcBorders>
              <w:top w:val="single" w:sz="4" w:space="0" w:color="auto"/>
            </w:tcBorders>
          </w:tcPr>
          <w:p w14:paraId="4688BFDB" w14:textId="3F77FE82" w:rsidR="00827B97" w:rsidRPr="0058277D" w:rsidRDefault="00827B97" w:rsidP="006B2A8C">
            <w:pPr>
              <w:pStyle w:val="Tabletext"/>
              <w:jc w:val="center"/>
              <w:rPr>
                <w:rFonts w:eastAsia="Times New Roman"/>
                <w:szCs w:val="20"/>
              </w:rPr>
            </w:pPr>
            <w:r>
              <w:rPr>
                <w:szCs w:val="20"/>
              </w:rPr>
              <w:t>-0.623</w:t>
            </w:r>
          </w:p>
        </w:tc>
      </w:tr>
      <w:tr w:rsidR="00827B97" w:rsidRPr="0058277D" w14:paraId="44357610" w14:textId="77777777" w:rsidTr="00D77971">
        <w:trPr>
          <w:trHeight w:val="170"/>
        </w:trPr>
        <w:tc>
          <w:tcPr>
            <w:tcW w:w="2313" w:type="pct"/>
            <w:vMerge/>
            <w:tcBorders>
              <w:bottom w:val="single" w:sz="4" w:space="0" w:color="auto"/>
            </w:tcBorders>
            <w:vAlign w:val="center"/>
          </w:tcPr>
          <w:p w14:paraId="1B5EDABE" w14:textId="77777777" w:rsidR="00827B97" w:rsidRPr="00266DCE" w:rsidRDefault="00827B97" w:rsidP="00D77971">
            <w:pPr>
              <w:pStyle w:val="Tabletext"/>
            </w:pPr>
          </w:p>
        </w:tc>
        <w:tc>
          <w:tcPr>
            <w:tcW w:w="2687" w:type="pct"/>
            <w:gridSpan w:val="2"/>
            <w:tcBorders>
              <w:bottom w:val="single" w:sz="4" w:space="0" w:color="auto"/>
            </w:tcBorders>
          </w:tcPr>
          <w:p w14:paraId="20FA7A60" w14:textId="6212A2B5" w:rsidR="00827B97" w:rsidRPr="0058277D" w:rsidRDefault="00827B97" w:rsidP="006B2A8C">
            <w:pPr>
              <w:pStyle w:val="Tabletext"/>
              <w:jc w:val="center"/>
              <w:rPr>
                <w:rFonts w:eastAsia="Times New Roman"/>
                <w:szCs w:val="20"/>
              </w:rPr>
            </w:pPr>
            <w:r w:rsidRPr="0058277D">
              <w:rPr>
                <w:szCs w:val="20"/>
              </w:rPr>
              <w:t>(0.</w:t>
            </w:r>
            <w:r>
              <w:rPr>
                <w:szCs w:val="20"/>
              </w:rPr>
              <w:t>559</w:t>
            </w:r>
            <w:r w:rsidRPr="0058277D">
              <w:rPr>
                <w:szCs w:val="20"/>
              </w:rPr>
              <w:t>)</w:t>
            </w:r>
          </w:p>
        </w:tc>
      </w:tr>
      <w:tr w:rsidR="00827B97" w:rsidRPr="0058277D" w14:paraId="7A79EA76" w14:textId="77777777" w:rsidTr="00D77971">
        <w:trPr>
          <w:trHeight w:val="170"/>
        </w:trPr>
        <w:tc>
          <w:tcPr>
            <w:tcW w:w="2313" w:type="pct"/>
            <w:vMerge w:val="restart"/>
            <w:tcBorders>
              <w:bottom w:val="single" w:sz="4" w:space="0" w:color="auto"/>
            </w:tcBorders>
            <w:vAlign w:val="center"/>
          </w:tcPr>
          <w:p w14:paraId="51FF1EB3" w14:textId="77777777" w:rsidR="00827B97" w:rsidRPr="00266DCE" w:rsidRDefault="00827B97" w:rsidP="00D77971">
            <w:pPr>
              <w:pStyle w:val="Tabletext"/>
            </w:pPr>
            <w:r w:rsidRPr="00266DCE">
              <w:t>MH and non-MH services</w:t>
            </w:r>
          </w:p>
        </w:tc>
        <w:tc>
          <w:tcPr>
            <w:tcW w:w="2687" w:type="pct"/>
            <w:gridSpan w:val="2"/>
            <w:tcBorders>
              <w:top w:val="single" w:sz="4" w:space="0" w:color="auto"/>
            </w:tcBorders>
          </w:tcPr>
          <w:p w14:paraId="43499F88" w14:textId="25830B75" w:rsidR="00827B97" w:rsidRPr="0058277D" w:rsidRDefault="00827B97" w:rsidP="006B2A8C">
            <w:pPr>
              <w:pStyle w:val="Tabletext"/>
              <w:jc w:val="center"/>
              <w:rPr>
                <w:rFonts w:eastAsia="Times New Roman"/>
                <w:szCs w:val="20"/>
              </w:rPr>
            </w:pPr>
            <w:r>
              <w:rPr>
                <w:szCs w:val="20"/>
              </w:rPr>
              <w:t>-0.178</w:t>
            </w:r>
          </w:p>
        </w:tc>
      </w:tr>
      <w:tr w:rsidR="00827B97" w:rsidRPr="0058277D" w14:paraId="2470750B" w14:textId="77777777" w:rsidTr="00D77971">
        <w:trPr>
          <w:trHeight w:val="170"/>
        </w:trPr>
        <w:tc>
          <w:tcPr>
            <w:tcW w:w="2313" w:type="pct"/>
            <w:vMerge/>
            <w:tcBorders>
              <w:bottom w:val="single" w:sz="4" w:space="0" w:color="auto"/>
            </w:tcBorders>
            <w:vAlign w:val="center"/>
          </w:tcPr>
          <w:p w14:paraId="3224AAB4" w14:textId="77777777" w:rsidR="00827B97" w:rsidRPr="00266DCE" w:rsidRDefault="00827B97" w:rsidP="00D77971">
            <w:pPr>
              <w:pStyle w:val="Tabletext"/>
            </w:pPr>
          </w:p>
        </w:tc>
        <w:tc>
          <w:tcPr>
            <w:tcW w:w="2687" w:type="pct"/>
            <w:gridSpan w:val="2"/>
            <w:tcBorders>
              <w:bottom w:val="single" w:sz="4" w:space="0" w:color="auto"/>
            </w:tcBorders>
          </w:tcPr>
          <w:p w14:paraId="43B57C5B" w14:textId="7262FA00" w:rsidR="00827B97" w:rsidRPr="0058277D" w:rsidRDefault="00827B97" w:rsidP="006B2A8C">
            <w:pPr>
              <w:pStyle w:val="Tabletext"/>
              <w:jc w:val="center"/>
              <w:rPr>
                <w:rFonts w:eastAsia="Times New Roman"/>
                <w:szCs w:val="20"/>
              </w:rPr>
            </w:pPr>
            <w:r w:rsidRPr="0058277D">
              <w:rPr>
                <w:szCs w:val="20"/>
              </w:rPr>
              <w:t>(</w:t>
            </w:r>
            <w:r>
              <w:rPr>
                <w:szCs w:val="20"/>
              </w:rPr>
              <w:t>0.320</w:t>
            </w:r>
            <w:r w:rsidRPr="0058277D">
              <w:rPr>
                <w:szCs w:val="20"/>
              </w:rPr>
              <w:t>)</w:t>
            </w:r>
          </w:p>
        </w:tc>
      </w:tr>
      <w:tr w:rsidR="00827B97" w:rsidRPr="0058277D" w14:paraId="2AE6925C" w14:textId="77777777" w:rsidTr="00D77971">
        <w:trPr>
          <w:trHeight w:val="170"/>
        </w:trPr>
        <w:tc>
          <w:tcPr>
            <w:tcW w:w="2313" w:type="pct"/>
            <w:vMerge w:val="restart"/>
            <w:tcBorders>
              <w:bottom w:val="single" w:sz="4" w:space="0" w:color="auto"/>
            </w:tcBorders>
            <w:vAlign w:val="center"/>
          </w:tcPr>
          <w:p w14:paraId="0946F380" w14:textId="77777777" w:rsidR="00827B97" w:rsidRPr="00266DCE" w:rsidRDefault="00827B97" w:rsidP="00D77971">
            <w:pPr>
              <w:pStyle w:val="Tabletext"/>
            </w:pPr>
            <w:r w:rsidRPr="00266DCE">
              <w:t>MH only services</w:t>
            </w:r>
          </w:p>
        </w:tc>
        <w:tc>
          <w:tcPr>
            <w:tcW w:w="2687" w:type="pct"/>
            <w:gridSpan w:val="2"/>
            <w:tcBorders>
              <w:top w:val="single" w:sz="4" w:space="0" w:color="auto"/>
            </w:tcBorders>
          </w:tcPr>
          <w:p w14:paraId="01F83A70" w14:textId="1AD1FCC4" w:rsidR="00827B97" w:rsidRPr="0058277D" w:rsidRDefault="00827B97" w:rsidP="006B2A8C">
            <w:pPr>
              <w:pStyle w:val="Tabletext"/>
              <w:jc w:val="center"/>
              <w:rPr>
                <w:rFonts w:eastAsia="Times New Roman"/>
                <w:szCs w:val="20"/>
              </w:rPr>
            </w:pPr>
            <w:r>
              <w:rPr>
                <w:szCs w:val="20"/>
              </w:rPr>
              <w:t>-0.899</w:t>
            </w:r>
            <w:r>
              <w:rPr>
                <w:rFonts w:eastAsia="Times New Roman"/>
                <w:vertAlign w:val="superscript"/>
              </w:rPr>
              <w:t>***</w:t>
            </w:r>
          </w:p>
        </w:tc>
      </w:tr>
      <w:tr w:rsidR="00827B97" w:rsidRPr="0058277D" w14:paraId="2C80D613" w14:textId="77777777" w:rsidTr="00266DCE">
        <w:trPr>
          <w:trHeight w:val="170"/>
        </w:trPr>
        <w:tc>
          <w:tcPr>
            <w:tcW w:w="2313" w:type="pct"/>
            <w:vMerge/>
            <w:tcBorders>
              <w:bottom w:val="single" w:sz="4" w:space="0" w:color="auto"/>
            </w:tcBorders>
          </w:tcPr>
          <w:p w14:paraId="6A89ABB0" w14:textId="77777777" w:rsidR="00827B97" w:rsidRPr="0058277D" w:rsidRDefault="00827B97" w:rsidP="006B2A8C">
            <w:pPr>
              <w:pStyle w:val="Tabletext"/>
              <w:ind w:left="177"/>
              <w:rPr>
                <w:rFonts w:eastAsia="Times New Roman"/>
                <w:szCs w:val="20"/>
              </w:rPr>
            </w:pPr>
          </w:p>
        </w:tc>
        <w:tc>
          <w:tcPr>
            <w:tcW w:w="2687" w:type="pct"/>
            <w:gridSpan w:val="2"/>
            <w:tcBorders>
              <w:bottom w:val="single" w:sz="4" w:space="0" w:color="000000"/>
            </w:tcBorders>
          </w:tcPr>
          <w:p w14:paraId="3E8C6EBB" w14:textId="41539547" w:rsidR="00827B97" w:rsidRPr="0058277D" w:rsidRDefault="00827B97" w:rsidP="006B2A8C">
            <w:pPr>
              <w:pStyle w:val="Tabletext"/>
              <w:jc w:val="center"/>
              <w:rPr>
                <w:rFonts w:eastAsia="Times New Roman"/>
                <w:szCs w:val="20"/>
              </w:rPr>
            </w:pPr>
            <w:r w:rsidRPr="0058277D">
              <w:rPr>
                <w:szCs w:val="20"/>
              </w:rPr>
              <w:t>(0.</w:t>
            </w:r>
            <w:r>
              <w:rPr>
                <w:szCs w:val="20"/>
              </w:rPr>
              <w:t>266</w:t>
            </w:r>
            <w:r w:rsidRPr="0058277D">
              <w:rPr>
                <w:szCs w:val="20"/>
              </w:rPr>
              <w:t>)</w:t>
            </w:r>
          </w:p>
        </w:tc>
      </w:tr>
      <w:tr w:rsidR="00564B54" w:rsidRPr="006D013D" w14:paraId="797402D1" w14:textId="77777777" w:rsidTr="00564B54">
        <w:trPr>
          <w:trHeight w:val="170"/>
        </w:trPr>
        <w:tc>
          <w:tcPr>
            <w:tcW w:w="5000" w:type="pct"/>
            <w:gridSpan w:val="3"/>
            <w:tcBorders>
              <w:top w:val="single" w:sz="4" w:space="0" w:color="000000"/>
              <w:bottom w:val="single" w:sz="4" w:space="0" w:color="000000"/>
            </w:tcBorders>
            <w:vAlign w:val="center"/>
          </w:tcPr>
          <w:p w14:paraId="7C9EF6EE" w14:textId="4E21C0DB" w:rsidR="00564B54" w:rsidRDefault="00564B54" w:rsidP="00564B54">
            <w:pPr>
              <w:pStyle w:val="Tabletext"/>
              <w:rPr>
                <w:rFonts w:eastAsia="Times New Roman"/>
              </w:rPr>
            </w:pPr>
            <w:r w:rsidRPr="00FF3BF2">
              <w:rPr>
                <w:b/>
                <w:bCs/>
                <w:szCs w:val="20"/>
              </w:rPr>
              <w:t>Rurality (ref = Major cities)</w:t>
            </w:r>
          </w:p>
        </w:tc>
      </w:tr>
      <w:tr w:rsidR="00266DCE" w:rsidRPr="006D013D" w14:paraId="704CD808" w14:textId="77777777" w:rsidTr="00266DCE">
        <w:trPr>
          <w:trHeight w:val="170"/>
        </w:trPr>
        <w:tc>
          <w:tcPr>
            <w:tcW w:w="2313" w:type="pct"/>
            <w:vMerge w:val="restart"/>
            <w:tcBorders>
              <w:top w:val="single" w:sz="4" w:space="0" w:color="000000"/>
            </w:tcBorders>
            <w:vAlign w:val="center"/>
          </w:tcPr>
          <w:p w14:paraId="03878589" w14:textId="77777777" w:rsidR="00266DCE" w:rsidRPr="00266DCE" w:rsidRDefault="00266DCE" w:rsidP="00266DCE">
            <w:pPr>
              <w:pStyle w:val="Tabletext"/>
            </w:pPr>
            <w:r w:rsidRPr="00266DCE">
              <w:t>Inner regional Australia</w:t>
            </w:r>
          </w:p>
        </w:tc>
        <w:tc>
          <w:tcPr>
            <w:tcW w:w="2687" w:type="pct"/>
            <w:gridSpan w:val="2"/>
            <w:tcBorders>
              <w:top w:val="single" w:sz="4" w:space="0" w:color="000000"/>
            </w:tcBorders>
            <w:vAlign w:val="center"/>
          </w:tcPr>
          <w:p w14:paraId="011A7D7D" w14:textId="5389300F" w:rsidR="00266DCE" w:rsidRDefault="00266DCE" w:rsidP="00EC3A32">
            <w:pPr>
              <w:pStyle w:val="Tabletext"/>
              <w:jc w:val="center"/>
              <w:rPr>
                <w:rFonts w:eastAsia="Times New Roman"/>
              </w:rPr>
            </w:pPr>
            <w:r>
              <w:rPr>
                <w:rFonts w:eastAsia="Times New Roman"/>
              </w:rPr>
              <w:t>-0.049</w:t>
            </w:r>
          </w:p>
        </w:tc>
      </w:tr>
      <w:tr w:rsidR="00266DCE" w:rsidRPr="006D013D" w14:paraId="2CC31786" w14:textId="77777777" w:rsidTr="00266DCE">
        <w:trPr>
          <w:trHeight w:val="170"/>
        </w:trPr>
        <w:tc>
          <w:tcPr>
            <w:tcW w:w="2313" w:type="pct"/>
            <w:vMerge/>
            <w:tcBorders>
              <w:bottom w:val="single" w:sz="4" w:space="0" w:color="000000"/>
            </w:tcBorders>
            <w:vAlign w:val="center"/>
          </w:tcPr>
          <w:p w14:paraId="4F08B0E1" w14:textId="77777777" w:rsidR="00266DCE" w:rsidRPr="00266DCE" w:rsidRDefault="00266DCE" w:rsidP="00266DCE">
            <w:pPr>
              <w:pStyle w:val="Tabletext"/>
            </w:pPr>
          </w:p>
        </w:tc>
        <w:tc>
          <w:tcPr>
            <w:tcW w:w="2687" w:type="pct"/>
            <w:gridSpan w:val="2"/>
            <w:tcBorders>
              <w:bottom w:val="single" w:sz="4" w:space="0" w:color="000000"/>
            </w:tcBorders>
            <w:vAlign w:val="center"/>
          </w:tcPr>
          <w:p w14:paraId="1B76846D" w14:textId="5E50B7F5" w:rsidR="00266DCE" w:rsidRDefault="00266DCE" w:rsidP="00EC3A32">
            <w:pPr>
              <w:pStyle w:val="Tabletext"/>
              <w:jc w:val="center"/>
              <w:rPr>
                <w:rFonts w:eastAsia="Times New Roman"/>
              </w:rPr>
            </w:pPr>
            <w:r>
              <w:rPr>
                <w:rFonts w:eastAsia="Times New Roman"/>
              </w:rPr>
              <w:t>(0.165)</w:t>
            </w:r>
          </w:p>
        </w:tc>
      </w:tr>
      <w:tr w:rsidR="00266DCE" w:rsidRPr="006D013D" w14:paraId="12969C8D" w14:textId="77777777" w:rsidTr="00266DCE">
        <w:trPr>
          <w:trHeight w:val="170"/>
        </w:trPr>
        <w:tc>
          <w:tcPr>
            <w:tcW w:w="2313" w:type="pct"/>
            <w:vMerge w:val="restart"/>
            <w:tcBorders>
              <w:top w:val="single" w:sz="4" w:space="0" w:color="000000"/>
            </w:tcBorders>
            <w:vAlign w:val="center"/>
          </w:tcPr>
          <w:p w14:paraId="536A45EC" w14:textId="77777777" w:rsidR="00266DCE" w:rsidRPr="00266DCE" w:rsidRDefault="00266DCE" w:rsidP="00266DCE">
            <w:pPr>
              <w:pStyle w:val="Tabletext"/>
            </w:pPr>
            <w:r w:rsidRPr="00266DCE">
              <w:t>Outer regional Australia</w:t>
            </w:r>
          </w:p>
        </w:tc>
        <w:tc>
          <w:tcPr>
            <w:tcW w:w="2687" w:type="pct"/>
            <w:gridSpan w:val="2"/>
            <w:tcBorders>
              <w:top w:val="single" w:sz="4" w:space="0" w:color="000000"/>
            </w:tcBorders>
            <w:vAlign w:val="center"/>
          </w:tcPr>
          <w:p w14:paraId="2F094B32" w14:textId="1223B1A1" w:rsidR="00266DCE" w:rsidRDefault="00266DCE" w:rsidP="00350F2C">
            <w:pPr>
              <w:pStyle w:val="Tabletext"/>
              <w:jc w:val="center"/>
              <w:rPr>
                <w:rFonts w:eastAsia="Times New Roman"/>
              </w:rPr>
            </w:pPr>
            <w:r>
              <w:rPr>
                <w:rFonts w:eastAsia="Times New Roman"/>
              </w:rPr>
              <w:t>-0.370</w:t>
            </w:r>
          </w:p>
        </w:tc>
      </w:tr>
      <w:tr w:rsidR="00266DCE" w:rsidRPr="006D013D" w14:paraId="4EF925A0" w14:textId="77777777" w:rsidTr="00266DCE">
        <w:trPr>
          <w:trHeight w:val="170"/>
        </w:trPr>
        <w:tc>
          <w:tcPr>
            <w:tcW w:w="2313" w:type="pct"/>
            <w:vMerge/>
            <w:tcBorders>
              <w:bottom w:val="single" w:sz="4" w:space="0" w:color="000000"/>
            </w:tcBorders>
            <w:vAlign w:val="center"/>
          </w:tcPr>
          <w:p w14:paraId="37008977" w14:textId="77777777" w:rsidR="00266DCE" w:rsidRPr="00266DCE" w:rsidRDefault="00266DCE" w:rsidP="00266DCE">
            <w:pPr>
              <w:pStyle w:val="Tabletext"/>
            </w:pPr>
          </w:p>
        </w:tc>
        <w:tc>
          <w:tcPr>
            <w:tcW w:w="2687" w:type="pct"/>
            <w:gridSpan w:val="2"/>
            <w:tcBorders>
              <w:bottom w:val="single" w:sz="4" w:space="0" w:color="000000"/>
            </w:tcBorders>
            <w:vAlign w:val="center"/>
          </w:tcPr>
          <w:p w14:paraId="2AA67592" w14:textId="145B43A2" w:rsidR="00266DCE" w:rsidRDefault="00266DCE" w:rsidP="00350F2C">
            <w:pPr>
              <w:pStyle w:val="Tabletext"/>
              <w:jc w:val="center"/>
              <w:rPr>
                <w:rFonts w:eastAsia="Times New Roman"/>
              </w:rPr>
            </w:pPr>
            <w:r>
              <w:rPr>
                <w:rFonts w:eastAsia="Times New Roman"/>
              </w:rPr>
              <w:t>(0.236)</w:t>
            </w:r>
          </w:p>
        </w:tc>
      </w:tr>
      <w:tr w:rsidR="00266DCE" w:rsidRPr="006D013D" w14:paraId="2ABD22C6" w14:textId="77777777" w:rsidTr="00266DCE">
        <w:trPr>
          <w:trHeight w:val="170"/>
        </w:trPr>
        <w:tc>
          <w:tcPr>
            <w:tcW w:w="2313" w:type="pct"/>
            <w:vMerge w:val="restart"/>
            <w:tcBorders>
              <w:top w:val="single" w:sz="4" w:space="0" w:color="000000"/>
            </w:tcBorders>
            <w:vAlign w:val="center"/>
          </w:tcPr>
          <w:p w14:paraId="47253ED2" w14:textId="77777777" w:rsidR="00266DCE" w:rsidRPr="00266DCE" w:rsidRDefault="00266DCE" w:rsidP="00266DCE">
            <w:pPr>
              <w:pStyle w:val="Tabletext"/>
            </w:pPr>
            <w:r w:rsidRPr="00266DCE">
              <w:t>Remote Australia</w:t>
            </w:r>
          </w:p>
        </w:tc>
        <w:tc>
          <w:tcPr>
            <w:tcW w:w="2687" w:type="pct"/>
            <w:gridSpan w:val="2"/>
            <w:tcBorders>
              <w:top w:val="single" w:sz="4" w:space="0" w:color="000000"/>
            </w:tcBorders>
            <w:vAlign w:val="center"/>
          </w:tcPr>
          <w:p w14:paraId="7AE7D401" w14:textId="0B6ECF0E" w:rsidR="00266DCE" w:rsidRDefault="00266DCE" w:rsidP="000B359E">
            <w:pPr>
              <w:pStyle w:val="Tabletext"/>
              <w:jc w:val="center"/>
              <w:rPr>
                <w:rFonts w:eastAsia="Times New Roman"/>
              </w:rPr>
            </w:pPr>
            <w:r>
              <w:rPr>
                <w:rFonts w:eastAsia="Times New Roman"/>
              </w:rPr>
              <w:t>-0.047</w:t>
            </w:r>
          </w:p>
        </w:tc>
      </w:tr>
      <w:tr w:rsidR="00266DCE" w:rsidRPr="006D013D" w14:paraId="6DE92D3C" w14:textId="77777777" w:rsidTr="00266DCE">
        <w:trPr>
          <w:trHeight w:val="170"/>
        </w:trPr>
        <w:tc>
          <w:tcPr>
            <w:tcW w:w="2313" w:type="pct"/>
            <w:vMerge/>
            <w:tcBorders>
              <w:bottom w:val="single" w:sz="4" w:space="0" w:color="000000"/>
            </w:tcBorders>
            <w:vAlign w:val="center"/>
          </w:tcPr>
          <w:p w14:paraId="34EBDBE0" w14:textId="77777777" w:rsidR="00266DCE" w:rsidRPr="00266DCE" w:rsidRDefault="00266DCE" w:rsidP="00266DCE">
            <w:pPr>
              <w:pStyle w:val="Tabletext"/>
            </w:pPr>
          </w:p>
        </w:tc>
        <w:tc>
          <w:tcPr>
            <w:tcW w:w="2687" w:type="pct"/>
            <w:gridSpan w:val="2"/>
            <w:tcBorders>
              <w:bottom w:val="single" w:sz="4" w:space="0" w:color="000000"/>
            </w:tcBorders>
            <w:vAlign w:val="center"/>
          </w:tcPr>
          <w:p w14:paraId="575EE0F6" w14:textId="596AA255" w:rsidR="00266DCE" w:rsidRDefault="00266DCE" w:rsidP="000B359E">
            <w:pPr>
              <w:pStyle w:val="Tabletext"/>
              <w:jc w:val="center"/>
              <w:rPr>
                <w:rFonts w:eastAsia="Times New Roman"/>
              </w:rPr>
            </w:pPr>
            <w:r>
              <w:rPr>
                <w:rFonts w:eastAsia="Times New Roman"/>
              </w:rPr>
              <w:t>(0.948)</w:t>
            </w:r>
          </w:p>
        </w:tc>
      </w:tr>
      <w:tr w:rsidR="00266DCE" w:rsidRPr="006D013D" w14:paraId="7C2F333F" w14:textId="77777777" w:rsidTr="00266DCE">
        <w:trPr>
          <w:trHeight w:val="170"/>
        </w:trPr>
        <w:tc>
          <w:tcPr>
            <w:tcW w:w="2313" w:type="pct"/>
            <w:vMerge w:val="restart"/>
            <w:tcBorders>
              <w:top w:val="single" w:sz="4" w:space="0" w:color="000000"/>
            </w:tcBorders>
            <w:vAlign w:val="center"/>
          </w:tcPr>
          <w:p w14:paraId="257937E8" w14:textId="77777777" w:rsidR="00266DCE" w:rsidRPr="00266DCE" w:rsidRDefault="00266DCE" w:rsidP="00266DCE">
            <w:pPr>
              <w:pStyle w:val="Tabletext"/>
            </w:pPr>
            <w:r w:rsidRPr="00266DCE">
              <w:t>Very remote Australia</w:t>
            </w:r>
          </w:p>
        </w:tc>
        <w:tc>
          <w:tcPr>
            <w:tcW w:w="2687" w:type="pct"/>
            <w:gridSpan w:val="2"/>
            <w:tcBorders>
              <w:top w:val="single" w:sz="4" w:space="0" w:color="000000"/>
            </w:tcBorders>
            <w:vAlign w:val="center"/>
          </w:tcPr>
          <w:p w14:paraId="36628258" w14:textId="2A823053" w:rsidR="00266DCE" w:rsidRDefault="00266DCE" w:rsidP="00AC01B9">
            <w:pPr>
              <w:pStyle w:val="Tabletext"/>
              <w:jc w:val="center"/>
              <w:rPr>
                <w:rFonts w:eastAsia="Times New Roman"/>
              </w:rPr>
            </w:pPr>
            <w:r>
              <w:rPr>
                <w:rFonts w:eastAsia="Times New Roman"/>
              </w:rPr>
              <w:t>4.022</w:t>
            </w:r>
          </w:p>
        </w:tc>
      </w:tr>
      <w:tr w:rsidR="00266DCE" w:rsidRPr="006D013D" w14:paraId="6ED1E9B3" w14:textId="77777777" w:rsidTr="00266DCE">
        <w:trPr>
          <w:trHeight w:val="170"/>
        </w:trPr>
        <w:tc>
          <w:tcPr>
            <w:tcW w:w="2313" w:type="pct"/>
            <w:vMerge/>
            <w:tcBorders>
              <w:bottom w:val="single" w:sz="4" w:space="0" w:color="000000"/>
            </w:tcBorders>
            <w:vAlign w:val="center"/>
          </w:tcPr>
          <w:p w14:paraId="39CDEA74" w14:textId="77777777" w:rsidR="00266DCE" w:rsidRDefault="00266DCE" w:rsidP="00AC01B9">
            <w:pPr>
              <w:pStyle w:val="Tabletext"/>
              <w:ind w:left="177"/>
              <w:rPr>
                <w:rFonts w:eastAsia="Times New Roman"/>
              </w:rPr>
            </w:pPr>
          </w:p>
        </w:tc>
        <w:tc>
          <w:tcPr>
            <w:tcW w:w="2687" w:type="pct"/>
            <w:gridSpan w:val="2"/>
            <w:tcBorders>
              <w:bottom w:val="single" w:sz="4" w:space="0" w:color="000000"/>
            </w:tcBorders>
            <w:vAlign w:val="center"/>
          </w:tcPr>
          <w:p w14:paraId="2BA833A4" w14:textId="77777777" w:rsidR="00266DCE" w:rsidRDefault="00266DCE" w:rsidP="00AC01B9">
            <w:pPr>
              <w:pStyle w:val="Tabletext"/>
              <w:jc w:val="center"/>
              <w:rPr>
                <w:rFonts w:eastAsia="Times New Roman"/>
              </w:rPr>
            </w:pPr>
            <w:r>
              <w:rPr>
                <w:rFonts w:eastAsia="Times New Roman"/>
              </w:rPr>
              <w:t>(2.670)</w:t>
            </w:r>
          </w:p>
        </w:tc>
      </w:tr>
      <w:tr w:rsidR="00564B54" w:rsidRPr="006D013D" w14:paraId="27CDAC91" w14:textId="77777777" w:rsidTr="00564B54">
        <w:trPr>
          <w:trHeight w:val="170"/>
        </w:trPr>
        <w:tc>
          <w:tcPr>
            <w:tcW w:w="5000" w:type="pct"/>
            <w:gridSpan w:val="3"/>
            <w:tcBorders>
              <w:top w:val="single" w:sz="4" w:space="0" w:color="000000"/>
              <w:bottom w:val="single" w:sz="4" w:space="0" w:color="000000"/>
            </w:tcBorders>
            <w:vAlign w:val="center"/>
          </w:tcPr>
          <w:p w14:paraId="33A04D99" w14:textId="2CA90901" w:rsidR="00564B54" w:rsidRDefault="00564B54" w:rsidP="00564B54">
            <w:pPr>
              <w:pStyle w:val="Tabletext"/>
              <w:rPr>
                <w:rFonts w:eastAsia="Times New Roman"/>
              </w:rPr>
            </w:pPr>
            <w:r w:rsidRPr="00FF3BF2">
              <w:rPr>
                <w:b/>
                <w:bCs/>
                <w:szCs w:val="20"/>
              </w:rPr>
              <w:t xml:space="preserve">K10 </w:t>
            </w:r>
            <w:r>
              <w:rPr>
                <w:b/>
                <w:bCs/>
                <w:szCs w:val="20"/>
              </w:rPr>
              <w:t>outcome measures</w:t>
            </w:r>
          </w:p>
        </w:tc>
      </w:tr>
      <w:tr w:rsidR="00266DCE" w:rsidRPr="006D013D" w14:paraId="1A8B57FB" w14:textId="77777777" w:rsidTr="00266DCE">
        <w:trPr>
          <w:trHeight w:val="170"/>
        </w:trPr>
        <w:tc>
          <w:tcPr>
            <w:tcW w:w="2313" w:type="pct"/>
            <w:vMerge w:val="restart"/>
            <w:tcBorders>
              <w:top w:val="single" w:sz="4" w:space="0" w:color="000000"/>
            </w:tcBorders>
            <w:vAlign w:val="center"/>
          </w:tcPr>
          <w:p w14:paraId="1862032E" w14:textId="68955355" w:rsidR="00266DCE" w:rsidRPr="00266DCE" w:rsidRDefault="00266DCE" w:rsidP="00266DCE">
            <w:pPr>
              <w:pStyle w:val="Tabletext"/>
            </w:pPr>
            <w:r w:rsidRPr="00266DCE">
              <w:t>Intake K10 measure</w:t>
            </w:r>
          </w:p>
        </w:tc>
        <w:tc>
          <w:tcPr>
            <w:tcW w:w="2687" w:type="pct"/>
            <w:gridSpan w:val="2"/>
            <w:tcBorders>
              <w:top w:val="single" w:sz="4" w:space="0" w:color="000000"/>
            </w:tcBorders>
            <w:vAlign w:val="center"/>
          </w:tcPr>
          <w:p w14:paraId="0320C0A6" w14:textId="3C03D73C" w:rsidR="00266DCE" w:rsidRDefault="00266DCE" w:rsidP="00C16519">
            <w:pPr>
              <w:pStyle w:val="Tabletext"/>
              <w:jc w:val="center"/>
              <w:rPr>
                <w:rFonts w:eastAsia="Times New Roman"/>
              </w:rPr>
            </w:pPr>
            <w:r>
              <w:rPr>
                <w:rFonts w:eastAsia="Times New Roman"/>
              </w:rPr>
              <w:t>0.173</w:t>
            </w:r>
            <w:r>
              <w:rPr>
                <w:rFonts w:eastAsia="Times New Roman"/>
                <w:vertAlign w:val="superscript"/>
              </w:rPr>
              <w:t>***</w:t>
            </w:r>
          </w:p>
        </w:tc>
      </w:tr>
      <w:tr w:rsidR="00266DCE" w:rsidRPr="006D013D" w14:paraId="5E562228" w14:textId="77777777" w:rsidTr="00266DCE">
        <w:trPr>
          <w:trHeight w:val="170"/>
        </w:trPr>
        <w:tc>
          <w:tcPr>
            <w:tcW w:w="2313" w:type="pct"/>
            <w:vMerge/>
            <w:tcBorders>
              <w:bottom w:val="single" w:sz="4" w:space="0" w:color="000000"/>
            </w:tcBorders>
            <w:vAlign w:val="center"/>
          </w:tcPr>
          <w:p w14:paraId="6EBAEA16" w14:textId="77777777" w:rsidR="00266DCE" w:rsidRPr="00266DCE" w:rsidRDefault="00266DCE" w:rsidP="00266DCE">
            <w:pPr>
              <w:pStyle w:val="Tabletext"/>
            </w:pPr>
          </w:p>
        </w:tc>
        <w:tc>
          <w:tcPr>
            <w:tcW w:w="2687" w:type="pct"/>
            <w:gridSpan w:val="2"/>
            <w:tcBorders>
              <w:bottom w:val="single" w:sz="4" w:space="0" w:color="000000"/>
            </w:tcBorders>
            <w:vAlign w:val="center"/>
          </w:tcPr>
          <w:p w14:paraId="13B33DCA" w14:textId="0E27841B" w:rsidR="00266DCE" w:rsidRDefault="00266DCE" w:rsidP="00C16519">
            <w:pPr>
              <w:pStyle w:val="Tabletext"/>
              <w:jc w:val="center"/>
              <w:rPr>
                <w:rFonts w:eastAsia="Times New Roman"/>
              </w:rPr>
            </w:pPr>
            <w:r>
              <w:rPr>
                <w:rFonts w:eastAsia="Times New Roman"/>
              </w:rPr>
              <w:t>(0.011)</w:t>
            </w:r>
          </w:p>
        </w:tc>
      </w:tr>
      <w:tr w:rsidR="00266DCE" w:rsidRPr="006D013D" w14:paraId="3DD505B5" w14:textId="77777777" w:rsidTr="00266DCE">
        <w:trPr>
          <w:trHeight w:val="170"/>
        </w:trPr>
        <w:tc>
          <w:tcPr>
            <w:tcW w:w="2313" w:type="pct"/>
            <w:vMerge w:val="restart"/>
            <w:tcBorders>
              <w:top w:val="single" w:sz="4" w:space="0" w:color="000000"/>
            </w:tcBorders>
            <w:vAlign w:val="center"/>
          </w:tcPr>
          <w:p w14:paraId="29694614" w14:textId="5BD9894A" w:rsidR="00266DCE" w:rsidRPr="00266DCE" w:rsidRDefault="00266DCE" w:rsidP="00266DCE">
            <w:pPr>
              <w:pStyle w:val="Tabletext"/>
            </w:pPr>
            <w:r w:rsidRPr="00266DCE">
              <w:t>Final K10 measure</w:t>
            </w:r>
          </w:p>
        </w:tc>
        <w:tc>
          <w:tcPr>
            <w:tcW w:w="2687" w:type="pct"/>
            <w:gridSpan w:val="2"/>
            <w:tcBorders>
              <w:top w:val="single" w:sz="4" w:space="0" w:color="000000"/>
            </w:tcBorders>
            <w:vAlign w:val="center"/>
          </w:tcPr>
          <w:p w14:paraId="46B2362C" w14:textId="4AB745B3" w:rsidR="00266DCE" w:rsidRDefault="00266DCE" w:rsidP="00CD1F5D">
            <w:pPr>
              <w:pStyle w:val="Tabletext"/>
              <w:jc w:val="center"/>
              <w:rPr>
                <w:rFonts w:eastAsia="Times New Roman"/>
              </w:rPr>
            </w:pPr>
            <w:r>
              <w:rPr>
                <w:rFonts w:eastAsia="Times New Roman"/>
              </w:rPr>
              <w:t>0.570</w:t>
            </w:r>
            <w:r>
              <w:rPr>
                <w:rFonts w:eastAsia="Times New Roman"/>
                <w:vertAlign w:val="superscript"/>
              </w:rPr>
              <w:t>***</w:t>
            </w:r>
          </w:p>
        </w:tc>
      </w:tr>
      <w:tr w:rsidR="00266DCE" w:rsidRPr="006D013D" w14:paraId="315E1759" w14:textId="77777777" w:rsidTr="00266DCE">
        <w:trPr>
          <w:trHeight w:val="170"/>
        </w:trPr>
        <w:tc>
          <w:tcPr>
            <w:tcW w:w="2313" w:type="pct"/>
            <w:vMerge/>
            <w:tcBorders>
              <w:bottom w:val="single" w:sz="4" w:space="0" w:color="000000"/>
            </w:tcBorders>
            <w:vAlign w:val="center"/>
          </w:tcPr>
          <w:p w14:paraId="3048D4C9" w14:textId="77777777" w:rsidR="00266DCE" w:rsidRPr="00266DCE" w:rsidRDefault="00266DCE" w:rsidP="00266DCE">
            <w:pPr>
              <w:pStyle w:val="Tabletext"/>
            </w:pPr>
          </w:p>
        </w:tc>
        <w:tc>
          <w:tcPr>
            <w:tcW w:w="2687" w:type="pct"/>
            <w:gridSpan w:val="2"/>
            <w:tcBorders>
              <w:bottom w:val="single" w:sz="4" w:space="0" w:color="000000"/>
            </w:tcBorders>
            <w:vAlign w:val="center"/>
          </w:tcPr>
          <w:p w14:paraId="7517E94D" w14:textId="4D497297" w:rsidR="00266DCE" w:rsidRDefault="00266DCE" w:rsidP="00CD1F5D">
            <w:pPr>
              <w:pStyle w:val="Tabletext"/>
              <w:jc w:val="center"/>
              <w:rPr>
                <w:rFonts w:eastAsia="Times New Roman"/>
              </w:rPr>
            </w:pPr>
            <w:r>
              <w:rPr>
                <w:rFonts w:eastAsia="Times New Roman"/>
              </w:rPr>
              <w:t>(0.010)</w:t>
            </w:r>
          </w:p>
        </w:tc>
      </w:tr>
      <w:tr w:rsidR="00266DCE" w:rsidRPr="006D013D" w14:paraId="357118E5" w14:textId="77777777" w:rsidTr="00266DCE">
        <w:trPr>
          <w:trHeight w:val="170"/>
        </w:trPr>
        <w:tc>
          <w:tcPr>
            <w:tcW w:w="2313" w:type="pct"/>
            <w:vMerge w:val="restart"/>
            <w:tcBorders>
              <w:top w:val="single" w:sz="4" w:space="0" w:color="000000"/>
            </w:tcBorders>
            <w:vAlign w:val="center"/>
          </w:tcPr>
          <w:p w14:paraId="01B28C39" w14:textId="77777777" w:rsidR="00266DCE" w:rsidRPr="00266DCE" w:rsidRDefault="00266DCE" w:rsidP="00266DCE">
            <w:pPr>
              <w:pStyle w:val="Tabletext"/>
            </w:pPr>
            <w:r w:rsidRPr="00266DCE">
              <w:t>Constant</w:t>
            </w:r>
          </w:p>
        </w:tc>
        <w:tc>
          <w:tcPr>
            <w:tcW w:w="2687" w:type="pct"/>
            <w:gridSpan w:val="2"/>
            <w:tcBorders>
              <w:top w:val="single" w:sz="4" w:space="0" w:color="000000"/>
            </w:tcBorders>
            <w:vAlign w:val="center"/>
          </w:tcPr>
          <w:p w14:paraId="39BA26D9" w14:textId="4E95E7D0" w:rsidR="00266DCE" w:rsidRDefault="00266DCE" w:rsidP="009177E9">
            <w:pPr>
              <w:pStyle w:val="Tabletext"/>
              <w:jc w:val="center"/>
              <w:rPr>
                <w:rFonts w:eastAsia="Times New Roman"/>
              </w:rPr>
            </w:pPr>
            <w:r>
              <w:rPr>
                <w:rFonts w:eastAsia="Times New Roman"/>
              </w:rPr>
              <w:t>3.883</w:t>
            </w:r>
            <w:r>
              <w:rPr>
                <w:rFonts w:eastAsia="Times New Roman"/>
                <w:vertAlign w:val="superscript"/>
              </w:rPr>
              <w:t>***</w:t>
            </w:r>
          </w:p>
        </w:tc>
      </w:tr>
      <w:tr w:rsidR="00266DCE" w:rsidRPr="006D013D" w14:paraId="05CBC1DE" w14:textId="77777777" w:rsidTr="00266DCE">
        <w:trPr>
          <w:trHeight w:val="170"/>
        </w:trPr>
        <w:tc>
          <w:tcPr>
            <w:tcW w:w="2313" w:type="pct"/>
            <w:vMerge/>
            <w:tcBorders>
              <w:bottom w:val="single" w:sz="4" w:space="0" w:color="000000"/>
            </w:tcBorders>
            <w:vAlign w:val="center"/>
          </w:tcPr>
          <w:p w14:paraId="4ED4CD4D" w14:textId="77777777" w:rsidR="00266DCE" w:rsidRDefault="00266DCE" w:rsidP="009177E9">
            <w:pPr>
              <w:pStyle w:val="Tabletext"/>
              <w:ind w:left="177"/>
              <w:rPr>
                <w:rFonts w:eastAsia="Times New Roman"/>
              </w:rPr>
            </w:pPr>
          </w:p>
        </w:tc>
        <w:tc>
          <w:tcPr>
            <w:tcW w:w="2687" w:type="pct"/>
            <w:gridSpan w:val="2"/>
            <w:tcBorders>
              <w:bottom w:val="single" w:sz="4" w:space="0" w:color="000000"/>
            </w:tcBorders>
            <w:vAlign w:val="center"/>
          </w:tcPr>
          <w:p w14:paraId="54D4E115" w14:textId="3A57B9A0" w:rsidR="00266DCE" w:rsidRDefault="00266DCE" w:rsidP="009177E9">
            <w:pPr>
              <w:pStyle w:val="Tabletext"/>
              <w:jc w:val="center"/>
              <w:rPr>
                <w:rFonts w:eastAsia="Times New Roman"/>
              </w:rPr>
            </w:pPr>
            <w:r>
              <w:rPr>
                <w:rFonts w:eastAsia="Times New Roman"/>
              </w:rPr>
              <w:t>(1.096)</w:t>
            </w:r>
          </w:p>
        </w:tc>
      </w:tr>
      <w:tr w:rsidR="00A66D43" w:rsidRPr="006D013D" w14:paraId="02C4389F" w14:textId="77777777" w:rsidTr="00266DCE">
        <w:trPr>
          <w:trHeight w:val="170"/>
        </w:trPr>
        <w:tc>
          <w:tcPr>
            <w:tcW w:w="2313" w:type="pct"/>
            <w:tcBorders>
              <w:top w:val="single" w:sz="4" w:space="0" w:color="000000"/>
              <w:bottom w:val="single" w:sz="4" w:space="0" w:color="auto"/>
            </w:tcBorders>
            <w:vAlign w:val="center"/>
          </w:tcPr>
          <w:p w14:paraId="74D90FF4" w14:textId="77777777" w:rsidR="00A66D43" w:rsidRPr="007B217D" w:rsidRDefault="00A66D43" w:rsidP="00266DCE">
            <w:pPr>
              <w:pStyle w:val="Tabletext"/>
            </w:pPr>
            <w:r w:rsidRPr="00266DCE">
              <w:rPr>
                <w:b/>
                <w:bCs/>
              </w:rPr>
              <w:t>Observations</w:t>
            </w:r>
          </w:p>
        </w:tc>
        <w:tc>
          <w:tcPr>
            <w:tcW w:w="2687" w:type="pct"/>
            <w:gridSpan w:val="2"/>
            <w:tcBorders>
              <w:top w:val="single" w:sz="4" w:space="0" w:color="000000"/>
              <w:bottom w:val="single" w:sz="4" w:space="0" w:color="auto"/>
            </w:tcBorders>
            <w:vAlign w:val="center"/>
          </w:tcPr>
          <w:p w14:paraId="4645E738" w14:textId="19A47A44" w:rsidR="00A66D43" w:rsidRDefault="00A66D43" w:rsidP="00A66D43">
            <w:pPr>
              <w:pStyle w:val="Tabletext"/>
              <w:jc w:val="center"/>
              <w:rPr>
                <w:rFonts w:eastAsia="Times New Roman"/>
              </w:rPr>
            </w:pPr>
            <w:r>
              <w:rPr>
                <w:rFonts w:eastAsia="Times New Roman"/>
              </w:rPr>
              <w:t>12,9</w:t>
            </w:r>
            <w:r w:rsidR="00827B97">
              <w:rPr>
                <w:rFonts w:eastAsia="Times New Roman"/>
              </w:rPr>
              <w:t>62</w:t>
            </w:r>
          </w:p>
        </w:tc>
      </w:tr>
    </w:tbl>
    <w:p w14:paraId="384E2276" w14:textId="40264F09" w:rsidR="00C92A4F" w:rsidRPr="00B22811" w:rsidRDefault="00C92A4F" w:rsidP="00C92A4F">
      <w:pPr>
        <w:pStyle w:val="Source"/>
        <w:rPr>
          <w:szCs w:val="16"/>
        </w:rPr>
      </w:pPr>
      <w:r w:rsidRPr="00232F30">
        <w:rPr>
          <w:szCs w:val="16"/>
        </w:rPr>
        <w:t>Source: KPMG analysi</w:t>
      </w:r>
      <w:r w:rsidRPr="004D6490">
        <w:rPr>
          <w:szCs w:val="16"/>
        </w:rPr>
        <w:t>s of the follow</w:t>
      </w:r>
      <w:r w:rsidR="00F01FA5">
        <w:rPr>
          <w:szCs w:val="16"/>
        </w:rPr>
        <w:t xml:space="preserve"> </w:t>
      </w:r>
      <w:r w:rsidRPr="004D6490">
        <w:rPr>
          <w:szCs w:val="16"/>
        </w:rPr>
        <w:t>up anal</w:t>
      </w:r>
      <w:r w:rsidRPr="00556ACD">
        <w:rPr>
          <w:szCs w:val="16"/>
        </w:rPr>
        <w:t>ysis dataset</w:t>
      </w:r>
    </w:p>
    <w:p w14:paraId="77C6B432" w14:textId="6A4D5CCB" w:rsidR="00103951" w:rsidRDefault="00C92A4F" w:rsidP="00AC3A42">
      <w:pPr>
        <w:pStyle w:val="Source-Notes"/>
      </w:pPr>
      <w:r w:rsidRPr="00C438B3">
        <w:t xml:space="preserve">Notes: </w:t>
      </w:r>
      <w:r w:rsidRPr="00904568">
        <w:rPr>
          <w:szCs w:val="16"/>
        </w:rPr>
        <w:t xml:space="preserve">See </w:t>
      </w:r>
      <w:r w:rsidR="007B2357">
        <w:rPr>
          <w:szCs w:val="16"/>
        </w:rPr>
        <w:fldChar w:fldCharType="begin" w:fldLock="1"/>
      </w:r>
      <w:r w:rsidR="007B2357">
        <w:rPr>
          <w:szCs w:val="16"/>
        </w:rPr>
        <w:instrText xml:space="preserve"> REF _Ref94881436 \h </w:instrText>
      </w:r>
      <w:r w:rsidR="007B2357">
        <w:rPr>
          <w:szCs w:val="16"/>
        </w:rPr>
      </w:r>
      <w:r w:rsidR="007B2357">
        <w:rPr>
          <w:szCs w:val="16"/>
        </w:rPr>
        <w:fldChar w:fldCharType="separate"/>
      </w:r>
      <w:r w:rsidR="00222470">
        <w:t xml:space="preserve">Figure </w:t>
      </w:r>
      <w:r w:rsidR="00222470">
        <w:rPr>
          <w:noProof/>
        </w:rPr>
        <w:t>71</w:t>
      </w:r>
      <w:r w:rsidR="007B2357">
        <w:rPr>
          <w:szCs w:val="16"/>
        </w:rPr>
        <w:fldChar w:fldCharType="end"/>
      </w:r>
      <w:r w:rsidR="007B2357">
        <w:rPr>
          <w:szCs w:val="16"/>
        </w:rPr>
        <w:t xml:space="preserve"> </w:t>
      </w:r>
      <w:r w:rsidRPr="00232F30">
        <w:rPr>
          <w:szCs w:val="16"/>
        </w:rPr>
        <w:t xml:space="preserve">under </w:t>
      </w:r>
      <w:r w:rsidR="00D50D57">
        <w:rPr>
          <w:szCs w:val="16"/>
        </w:rPr>
        <w:fldChar w:fldCharType="begin" w:fldLock="1"/>
      </w:r>
      <w:r w:rsidR="00D50D57">
        <w:rPr>
          <w:szCs w:val="16"/>
        </w:rPr>
        <w:instrText xml:space="preserve"> REF _Ref98402466 \r \h </w:instrText>
      </w:r>
      <w:r w:rsidR="00D50D57">
        <w:rPr>
          <w:szCs w:val="16"/>
        </w:rPr>
      </w:r>
      <w:r w:rsidR="00D50D57">
        <w:rPr>
          <w:szCs w:val="16"/>
        </w:rPr>
        <w:fldChar w:fldCharType="separate"/>
      </w:r>
      <w:r w:rsidR="00AE4D34">
        <w:rPr>
          <w:szCs w:val="16"/>
        </w:rPr>
        <w:t>Appendix F</w:t>
      </w:r>
      <w:r w:rsidR="00D50D57">
        <w:rPr>
          <w:szCs w:val="16"/>
        </w:rPr>
        <w:fldChar w:fldCharType="end"/>
      </w:r>
      <w:r w:rsidR="00D50D57">
        <w:rPr>
          <w:szCs w:val="16"/>
        </w:rPr>
        <w:t xml:space="preserve"> </w:t>
      </w:r>
      <w:r w:rsidRPr="004D6490">
        <w:rPr>
          <w:szCs w:val="16"/>
        </w:rPr>
        <w:t>for details.</w:t>
      </w:r>
      <w:r w:rsidRPr="00556ACD">
        <w:rPr>
          <w:szCs w:val="16"/>
        </w:rPr>
        <w:t xml:space="preserve"> </w:t>
      </w:r>
      <w:r w:rsidRPr="00A56F0C">
        <w:rPr>
          <w:szCs w:val="16"/>
        </w:rPr>
        <w:t xml:space="preserve">Number of episodes: </w:t>
      </w:r>
      <w:r w:rsidR="00E84F4D" w:rsidRPr="00B22811">
        <w:rPr>
          <w:szCs w:val="16"/>
        </w:rPr>
        <w:t>12,9</w:t>
      </w:r>
      <w:r w:rsidR="00827B97">
        <w:rPr>
          <w:szCs w:val="16"/>
        </w:rPr>
        <w:t>62</w:t>
      </w:r>
      <w:r w:rsidRPr="00C438B3">
        <w:rPr>
          <w:szCs w:val="16"/>
        </w:rPr>
        <w:t xml:space="preserve">, </w:t>
      </w:r>
      <w:r w:rsidR="00513583" w:rsidRPr="00904568">
        <w:rPr>
          <w:szCs w:val="16"/>
        </w:rPr>
        <w:t xml:space="preserve">where </w:t>
      </w:r>
      <w:r w:rsidR="002F2517" w:rsidRPr="00904568">
        <w:rPr>
          <w:szCs w:val="16"/>
        </w:rPr>
        <w:t>8</w:t>
      </w:r>
      <w:r w:rsidR="00827B97">
        <w:rPr>
          <w:szCs w:val="16"/>
        </w:rPr>
        <w:t>77</w:t>
      </w:r>
      <w:r w:rsidRPr="00B410F6">
        <w:rPr>
          <w:szCs w:val="16"/>
        </w:rPr>
        <w:t xml:space="preserve"> </w:t>
      </w:r>
      <w:r w:rsidRPr="000C3CB1">
        <w:rPr>
          <w:szCs w:val="16"/>
        </w:rPr>
        <w:t xml:space="preserve">episodes were </w:t>
      </w:r>
      <w:r w:rsidRPr="00D172DF">
        <w:rPr>
          <w:szCs w:val="16"/>
        </w:rPr>
        <w:t>excluded</w:t>
      </w:r>
      <w:r w:rsidRPr="007B2872">
        <w:rPr>
          <w:szCs w:val="16"/>
        </w:rPr>
        <w:t xml:space="preserve"> due to missing young person</w:t>
      </w:r>
      <w:r w:rsidRPr="007A3D8D">
        <w:rPr>
          <w:szCs w:val="16"/>
        </w:rPr>
        <w:t>s</w:t>
      </w:r>
      <w:r w:rsidRPr="00F56E74">
        <w:rPr>
          <w:szCs w:val="16"/>
        </w:rPr>
        <w:t>’</w:t>
      </w:r>
      <w:r w:rsidRPr="006F512E">
        <w:rPr>
          <w:szCs w:val="16"/>
        </w:rPr>
        <w:t xml:space="preserve"> characteristics</w:t>
      </w:r>
      <w:r w:rsidRPr="004754BC">
        <w:rPr>
          <w:szCs w:val="16"/>
        </w:rPr>
        <w:t xml:space="preserve">. </w:t>
      </w:r>
      <w:r w:rsidRPr="00EB742D">
        <w:rPr>
          <w:szCs w:val="16"/>
        </w:rPr>
        <w:t xml:space="preserve">Standard errors in parentheses. </w:t>
      </w:r>
      <w:r w:rsidRPr="003F34AA">
        <w:rPr>
          <w:szCs w:val="16"/>
        </w:rPr>
        <w:t>*: Significant at 10 p</w:t>
      </w:r>
      <w:r w:rsidRPr="00381E24">
        <w:rPr>
          <w:szCs w:val="16"/>
        </w:rPr>
        <w:t>er cent; **: Significant at 5 per</w:t>
      </w:r>
      <w:r w:rsidRPr="00696CE4">
        <w:rPr>
          <w:szCs w:val="16"/>
        </w:rPr>
        <w:t xml:space="preserve"> cent.</w:t>
      </w:r>
      <w:r w:rsidRPr="0019740F">
        <w:rPr>
          <w:szCs w:val="16"/>
        </w:rPr>
        <w:t xml:space="preserve"> MH: Mental he</w:t>
      </w:r>
      <w:r w:rsidRPr="00950791">
        <w:rPr>
          <w:szCs w:val="16"/>
        </w:rPr>
        <w:t>alth</w:t>
      </w:r>
      <w:r w:rsidR="002F2517" w:rsidRPr="00950791">
        <w:rPr>
          <w:szCs w:val="16"/>
        </w:rPr>
        <w:t>.</w:t>
      </w:r>
    </w:p>
    <w:p w14:paraId="0DDFFA10" w14:textId="77777777" w:rsidR="00E40C9A" w:rsidRPr="000E0D9E" w:rsidRDefault="00E40C9A" w:rsidP="00BC225F">
      <w:pPr>
        <w:pStyle w:val="BodyText"/>
      </w:pPr>
    </w:p>
    <w:p w14:paraId="49FFEFCD" w14:textId="49EAF895" w:rsidR="000E48CE" w:rsidRPr="00503EF7" w:rsidRDefault="000E48CE" w:rsidP="000E48CE">
      <w:pPr>
        <w:pStyle w:val="Appendixheading"/>
      </w:pPr>
      <w:bookmarkStart w:id="420" w:name="_Ref81294409"/>
      <w:bookmarkStart w:id="421" w:name="_Toc108174003"/>
      <w:r>
        <w:t>: Costing assumptions</w:t>
      </w:r>
      <w:bookmarkEnd w:id="414"/>
      <w:bookmarkEnd w:id="420"/>
      <w:bookmarkEnd w:id="421"/>
    </w:p>
    <w:p w14:paraId="0CAEAD4F" w14:textId="33A5D37A" w:rsidR="00CA2EA6" w:rsidRDefault="000E48CE" w:rsidP="006A2570">
      <w:pPr>
        <w:pStyle w:val="BodyText"/>
      </w:pPr>
      <w:r>
        <w:t>The hMDS c</w:t>
      </w:r>
      <w:r w:rsidR="00CA2EA6">
        <w:t>aptures</w:t>
      </w:r>
      <w:r>
        <w:t xml:space="preserve"> the quantity of </w:t>
      </w:r>
      <w:r w:rsidR="007B2863">
        <w:t>OOS</w:t>
      </w:r>
      <w:r>
        <w:t xml:space="preserve"> that are funded by </w:t>
      </w:r>
      <w:r w:rsidR="00CA2EA6">
        <w:t xml:space="preserve">sources other than the </w:t>
      </w:r>
      <w:r w:rsidR="00DD320A">
        <w:t>national headspace grant</w:t>
      </w:r>
      <w:r w:rsidR="00CA2EA6">
        <w:t xml:space="preserve">. The value of these contributions </w:t>
      </w:r>
      <w:r w:rsidR="00523CFA">
        <w:t>was</w:t>
      </w:r>
      <w:r w:rsidR="00CA2EA6">
        <w:t xml:space="preserve"> estimated as a volume-weighted average of the equivalent </w:t>
      </w:r>
      <w:r w:rsidR="00E41FA7">
        <w:t xml:space="preserve">average </w:t>
      </w:r>
      <w:r w:rsidR="00CA2EA6">
        <w:t xml:space="preserve">MBS benefit fees, as shown in the </w:t>
      </w:r>
      <w:r w:rsidR="00523CFA">
        <w:t>t</w:t>
      </w:r>
      <w:r w:rsidR="00CA2EA6">
        <w:t>able below.</w:t>
      </w:r>
      <w:r w:rsidR="00D53F2C">
        <w:t xml:space="preserve"> The average MBS benefit fees were calculated from the AIHW ‘</w:t>
      </w:r>
      <w:bookmarkStart w:id="422" w:name="_Hlk81299509"/>
      <w:r w:rsidR="00D53F2C" w:rsidRPr="00BA63E8">
        <w:t xml:space="preserve">Medicare-subsidised GP, allied health and specialist health care across local areas: </w:t>
      </w:r>
      <w:r w:rsidR="00890EA4">
        <w:t>2013-14</w:t>
      </w:r>
      <w:r w:rsidR="00D53F2C" w:rsidRPr="00BA63E8">
        <w:t xml:space="preserve"> to </w:t>
      </w:r>
      <w:bookmarkEnd w:id="422"/>
      <w:r w:rsidR="00890EA4">
        <w:t>2018-19</w:t>
      </w:r>
      <w:r w:rsidR="00D53F2C">
        <w:t xml:space="preserve">’ data based on </w:t>
      </w:r>
      <w:r w:rsidR="00890EA4">
        <w:t>2018-19</w:t>
      </w:r>
      <w:r w:rsidR="00D53F2C">
        <w:t xml:space="preserve"> rates for 15</w:t>
      </w:r>
      <w:r w:rsidR="00BF6570">
        <w:t xml:space="preserve"> to </w:t>
      </w:r>
      <w:r w:rsidR="00D53F2C">
        <w:t>24 year</w:t>
      </w:r>
      <w:r w:rsidR="006A2570">
        <w:noBreakHyphen/>
      </w:r>
      <w:r w:rsidR="00D53F2C">
        <w:t>o</w:t>
      </w:r>
      <w:r w:rsidR="00BF6570">
        <w:t>ld</w:t>
      </w:r>
      <w:r w:rsidR="00ED73AE">
        <w:t>s</w:t>
      </w:r>
      <w:r w:rsidR="00CC0438">
        <w:rPr>
          <w:rFonts w:ascii="ZWAdobeF" w:hAnsi="ZWAdobeF" w:cs="ZWAdobeF"/>
          <w:sz w:val="2"/>
          <w:szCs w:val="2"/>
        </w:rPr>
        <w:t>241F</w:t>
      </w:r>
      <w:r w:rsidR="00CC1BCF" w:rsidRPr="004D3FF2">
        <w:rPr>
          <w:rStyle w:val="FootnoteReference"/>
          <w:iCs/>
          <w:sz w:val="16"/>
          <w:szCs w:val="16"/>
        </w:rPr>
        <w:footnoteReference w:id="243"/>
      </w:r>
      <w:r w:rsidR="004D3FF2">
        <w:t>.</w:t>
      </w:r>
    </w:p>
    <w:p w14:paraId="28D0DE3C" w14:textId="4A2084D1" w:rsidR="00B83FE9" w:rsidRDefault="00B83FE9" w:rsidP="00B83FE9">
      <w:pPr>
        <w:pStyle w:val="Caption"/>
      </w:pPr>
      <w:bookmarkStart w:id="423" w:name="_Toc108109034"/>
      <w:r>
        <w:t xml:space="preserve">Table </w:t>
      </w:r>
      <w:r>
        <w:fldChar w:fldCharType="begin"/>
      </w:r>
      <w:r>
        <w:instrText>SEQ Table \* ARABIC</w:instrText>
      </w:r>
      <w:r>
        <w:fldChar w:fldCharType="separate"/>
      </w:r>
      <w:r w:rsidR="00CC0438">
        <w:rPr>
          <w:noProof/>
        </w:rPr>
        <w:t>84</w:t>
      </w:r>
      <w:r>
        <w:fldChar w:fldCharType="end"/>
      </w:r>
      <w:r>
        <w:t>: Volume-weight average of equivalent MBS benefit fees</w:t>
      </w:r>
      <w:bookmarkEnd w:id="423"/>
    </w:p>
    <w:tbl>
      <w:tblPr>
        <w:tblStyle w:val="TableGrid"/>
        <w:tblW w:w="50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Volume-weight average of equivalent MBS benefit fees"/>
        <w:tblDescription w:val="Table has 8 columns and summarises the volume weight average of equivalent MBS benefit fees. Column 1 indicates the funding source for each occasion of service. Columns 2 through to 7 indicates the percentage of headspace services funded by different funding sources for each service provider type. Column 8 includes the weighted average cost for each funding source.&#10;"/>
      </w:tblPr>
      <w:tblGrid>
        <w:gridCol w:w="1613"/>
        <w:gridCol w:w="799"/>
        <w:gridCol w:w="1417"/>
        <w:gridCol w:w="1051"/>
        <w:gridCol w:w="1047"/>
        <w:gridCol w:w="1051"/>
        <w:gridCol w:w="930"/>
        <w:gridCol w:w="1213"/>
      </w:tblGrid>
      <w:tr w:rsidR="006324E9" w:rsidRPr="00D65A2D" w14:paraId="1ECDDC82" w14:textId="77777777" w:rsidTr="006324E9">
        <w:trPr>
          <w:trHeight w:val="541"/>
        </w:trPr>
        <w:tc>
          <w:tcPr>
            <w:tcW w:w="884" w:type="pct"/>
            <w:tcBorders>
              <w:bottom w:val="single" w:sz="4" w:space="0" w:color="00338D"/>
            </w:tcBorders>
            <w:shd w:val="clear" w:color="auto" w:fill="00338D"/>
          </w:tcPr>
          <w:p w14:paraId="6FEA5AA4" w14:textId="77777777" w:rsidR="00B83FE9" w:rsidRDefault="00B83FE9" w:rsidP="002530E4">
            <w:pPr>
              <w:pStyle w:val="Tableheading"/>
            </w:pPr>
          </w:p>
        </w:tc>
        <w:tc>
          <w:tcPr>
            <w:tcW w:w="438" w:type="pct"/>
            <w:tcBorders>
              <w:bottom w:val="single" w:sz="4" w:space="0" w:color="00338D"/>
            </w:tcBorders>
            <w:shd w:val="clear" w:color="auto" w:fill="00338D"/>
          </w:tcPr>
          <w:p w14:paraId="0CA44449" w14:textId="77777777" w:rsidR="00B83FE9" w:rsidRDefault="00B83FE9" w:rsidP="002530E4">
            <w:pPr>
              <w:pStyle w:val="Tableheading"/>
              <w:jc w:val="right"/>
            </w:pPr>
            <w:r>
              <w:t xml:space="preserve">GP </w:t>
            </w:r>
          </w:p>
        </w:tc>
        <w:tc>
          <w:tcPr>
            <w:tcW w:w="777" w:type="pct"/>
            <w:tcBorders>
              <w:bottom w:val="single" w:sz="4" w:space="0" w:color="00338D"/>
            </w:tcBorders>
            <w:shd w:val="clear" w:color="auto" w:fill="00338D"/>
          </w:tcPr>
          <w:p w14:paraId="14DC5DFE" w14:textId="77777777" w:rsidR="00B83FE9" w:rsidRDefault="00B83FE9" w:rsidP="002530E4">
            <w:pPr>
              <w:pStyle w:val="Tableheading"/>
              <w:jc w:val="right"/>
            </w:pPr>
            <w:r w:rsidRPr="00401EF9">
              <w:t>Psychiatrist</w:t>
            </w:r>
          </w:p>
        </w:tc>
        <w:tc>
          <w:tcPr>
            <w:tcW w:w="576" w:type="pct"/>
            <w:tcBorders>
              <w:bottom w:val="single" w:sz="4" w:space="0" w:color="00338D"/>
            </w:tcBorders>
            <w:shd w:val="clear" w:color="auto" w:fill="00338D"/>
          </w:tcPr>
          <w:p w14:paraId="650E98F6" w14:textId="5F769EA5" w:rsidR="00B83FE9" w:rsidRDefault="00B83FE9" w:rsidP="002530E4">
            <w:pPr>
              <w:pStyle w:val="Tableheading"/>
              <w:jc w:val="right"/>
            </w:pPr>
            <w:r w:rsidRPr="00401EF9">
              <w:t>Clinical p</w:t>
            </w:r>
            <w:r w:rsidR="001A7E34">
              <w:t>sych</w:t>
            </w:r>
            <w:r w:rsidR="00C71CD5">
              <w:t>.</w:t>
            </w:r>
          </w:p>
        </w:tc>
        <w:tc>
          <w:tcPr>
            <w:tcW w:w="574" w:type="pct"/>
            <w:tcBorders>
              <w:bottom w:val="single" w:sz="4" w:space="0" w:color="00338D"/>
            </w:tcBorders>
            <w:shd w:val="clear" w:color="auto" w:fill="00338D"/>
          </w:tcPr>
          <w:p w14:paraId="7C0EFE57" w14:textId="0B31628B" w:rsidR="00B83FE9" w:rsidRDefault="00B83FE9" w:rsidP="002530E4">
            <w:pPr>
              <w:pStyle w:val="Tableheading"/>
              <w:jc w:val="right"/>
            </w:pPr>
            <w:r w:rsidRPr="00401EF9">
              <w:t>Other psych</w:t>
            </w:r>
            <w:r w:rsidR="00C71CD5">
              <w:t>.</w:t>
            </w:r>
          </w:p>
        </w:tc>
        <w:tc>
          <w:tcPr>
            <w:tcW w:w="576" w:type="pct"/>
            <w:tcBorders>
              <w:bottom w:val="single" w:sz="4" w:space="0" w:color="00338D"/>
            </w:tcBorders>
            <w:shd w:val="clear" w:color="auto" w:fill="00338D"/>
          </w:tcPr>
          <w:p w14:paraId="66403BCD" w14:textId="77777777" w:rsidR="00B83FE9" w:rsidRDefault="00B83FE9" w:rsidP="002530E4">
            <w:pPr>
              <w:pStyle w:val="Tableheading"/>
              <w:jc w:val="right"/>
            </w:pPr>
            <w:r w:rsidRPr="00401EF9">
              <w:t>Allied</w:t>
            </w:r>
            <w:r>
              <w:t xml:space="preserve"> health</w:t>
            </w:r>
          </w:p>
        </w:tc>
        <w:tc>
          <w:tcPr>
            <w:tcW w:w="510" w:type="pct"/>
            <w:tcBorders>
              <w:bottom w:val="single" w:sz="4" w:space="0" w:color="00338D"/>
            </w:tcBorders>
            <w:shd w:val="clear" w:color="auto" w:fill="00338D"/>
          </w:tcPr>
          <w:p w14:paraId="49430C67" w14:textId="77777777" w:rsidR="00B83FE9" w:rsidRDefault="00B83FE9" w:rsidP="002530E4">
            <w:pPr>
              <w:pStyle w:val="Tableheading"/>
              <w:jc w:val="right"/>
            </w:pPr>
            <w:r w:rsidRPr="00401EF9">
              <w:t>Other</w:t>
            </w:r>
          </w:p>
        </w:tc>
        <w:tc>
          <w:tcPr>
            <w:tcW w:w="665" w:type="pct"/>
            <w:tcBorders>
              <w:bottom w:val="single" w:sz="4" w:space="0" w:color="00338D"/>
            </w:tcBorders>
            <w:shd w:val="clear" w:color="auto" w:fill="00338D"/>
          </w:tcPr>
          <w:p w14:paraId="2C3F9898" w14:textId="77777777" w:rsidR="00B83FE9" w:rsidRPr="00401EF9" w:rsidRDefault="00B83FE9" w:rsidP="002530E4">
            <w:pPr>
              <w:pStyle w:val="Tableheading"/>
              <w:jc w:val="right"/>
            </w:pPr>
            <w:r w:rsidRPr="00503567">
              <w:t>Weighted average</w:t>
            </w:r>
          </w:p>
        </w:tc>
      </w:tr>
      <w:tr w:rsidR="006324E9" w14:paraId="5F86CE3C" w14:textId="77777777" w:rsidTr="006324E9">
        <w:trPr>
          <w:trHeight w:val="541"/>
        </w:trPr>
        <w:tc>
          <w:tcPr>
            <w:tcW w:w="884" w:type="pct"/>
            <w:tcBorders>
              <w:top w:val="single" w:sz="4" w:space="0" w:color="00338D"/>
              <w:bottom w:val="single" w:sz="2" w:space="0" w:color="808080" w:themeColor="background1" w:themeShade="80"/>
            </w:tcBorders>
          </w:tcPr>
          <w:p w14:paraId="5A91202C" w14:textId="4261E82C" w:rsidR="00B83FE9" w:rsidRPr="002F6927" w:rsidRDefault="00B83FE9" w:rsidP="002530E4">
            <w:pPr>
              <w:pStyle w:val="Tabletext"/>
              <w:rPr>
                <w:i/>
                <w:iCs/>
              </w:rPr>
            </w:pPr>
            <w:r w:rsidRPr="002F6927">
              <w:rPr>
                <w:i/>
                <w:iCs/>
              </w:rPr>
              <w:t>MBS benefit fees</w:t>
            </w:r>
            <w:r w:rsidR="00F7268C" w:rsidRPr="00F7268C">
              <w:rPr>
                <w:i/>
                <w:iCs/>
                <w:vertAlign w:val="superscript"/>
              </w:rPr>
              <w:t>1</w:t>
            </w:r>
          </w:p>
        </w:tc>
        <w:tc>
          <w:tcPr>
            <w:tcW w:w="438" w:type="pct"/>
            <w:tcBorders>
              <w:top w:val="single" w:sz="4" w:space="0" w:color="00338D"/>
              <w:bottom w:val="single" w:sz="2" w:space="0" w:color="808080" w:themeColor="background1" w:themeShade="80"/>
            </w:tcBorders>
          </w:tcPr>
          <w:p w14:paraId="0C8C13A0" w14:textId="77777777" w:rsidR="00B83FE9" w:rsidRPr="002F6927" w:rsidRDefault="00B83FE9" w:rsidP="002530E4">
            <w:pPr>
              <w:pStyle w:val="Tabletext"/>
              <w:jc w:val="right"/>
              <w:rPr>
                <w:i/>
                <w:iCs/>
              </w:rPr>
            </w:pPr>
            <w:r w:rsidRPr="002F6927">
              <w:rPr>
                <w:i/>
                <w:iCs/>
              </w:rPr>
              <w:t>$83</w:t>
            </w:r>
          </w:p>
        </w:tc>
        <w:tc>
          <w:tcPr>
            <w:tcW w:w="777" w:type="pct"/>
            <w:tcBorders>
              <w:top w:val="single" w:sz="4" w:space="0" w:color="00338D"/>
              <w:bottom w:val="single" w:sz="2" w:space="0" w:color="808080" w:themeColor="background1" w:themeShade="80"/>
            </w:tcBorders>
          </w:tcPr>
          <w:p w14:paraId="74D99A38" w14:textId="77777777" w:rsidR="00B83FE9" w:rsidRPr="002F6927" w:rsidRDefault="00B83FE9" w:rsidP="002530E4">
            <w:pPr>
              <w:pStyle w:val="Tabletext"/>
              <w:jc w:val="right"/>
              <w:rPr>
                <w:i/>
                <w:iCs/>
              </w:rPr>
            </w:pPr>
            <w:r w:rsidRPr="002F6927">
              <w:rPr>
                <w:i/>
                <w:iCs/>
              </w:rPr>
              <w:t>$178</w:t>
            </w:r>
          </w:p>
        </w:tc>
        <w:tc>
          <w:tcPr>
            <w:tcW w:w="576" w:type="pct"/>
            <w:tcBorders>
              <w:top w:val="single" w:sz="4" w:space="0" w:color="00338D"/>
              <w:bottom w:val="single" w:sz="2" w:space="0" w:color="808080" w:themeColor="background1" w:themeShade="80"/>
            </w:tcBorders>
          </w:tcPr>
          <w:p w14:paraId="5AFE3FEB" w14:textId="77777777" w:rsidR="00B83FE9" w:rsidRPr="002F6927" w:rsidRDefault="00B83FE9" w:rsidP="002530E4">
            <w:pPr>
              <w:pStyle w:val="Tabletext"/>
              <w:jc w:val="right"/>
              <w:rPr>
                <w:i/>
                <w:iCs/>
              </w:rPr>
            </w:pPr>
            <w:r w:rsidRPr="002F6927">
              <w:rPr>
                <w:i/>
                <w:iCs/>
              </w:rPr>
              <w:t>$129</w:t>
            </w:r>
          </w:p>
        </w:tc>
        <w:tc>
          <w:tcPr>
            <w:tcW w:w="574" w:type="pct"/>
            <w:tcBorders>
              <w:top w:val="single" w:sz="4" w:space="0" w:color="00338D"/>
              <w:bottom w:val="single" w:sz="2" w:space="0" w:color="808080" w:themeColor="background1" w:themeShade="80"/>
            </w:tcBorders>
          </w:tcPr>
          <w:p w14:paraId="66E6F1A9" w14:textId="77777777" w:rsidR="00B83FE9" w:rsidRPr="002F6927" w:rsidRDefault="00B83FE9" w:rsidP="002530E4">
            <w:pPr>
              <w:pStyle w:val="Tabletext"/>
              <w:jc w:val="right"/>
              <w:rPr>
                <w:i/>
                <w:iCs/>
              </w:rPr>
            </w:pPr>
            <w:r w:rsidRPr="002F6927">
              <w:rPr>
                <w:i/>
                <w:iCs/>
              </w:rPr>
              <w:t>$89</w:t>
            </w:r>
          </w:p>
        </w:tc>
        <w:tc>
          <w:tcPr>
            <w:tcW w:w="576" w:type="pct"/>
            <w:tcBorders>
              <w:top w:val="single" w:sz="4" w:space="0" w:color="00338D"/>
              <w:bottom w:val="single" w:sz="2" w:space="0" w:color="808080" w:themeColor="background1" w:themeShade="80"/>
            </w:tcBorders>
          </w:tcPr>
          <w:p w14:paraId="44D1D1B0" w14:textId="77777777" w:rsidR="00B83FE9" w:rsidRPr="002F6927" w:rsidRDefault="00B83FE9" w:rsidP="002530E4">
            <w:pPr>
              <w:pStyle w:val="Tabletext"/>
              <w:jc w:val="right"/>
              <w:rPr>
                <w:i/>
                <w:iCs/>
              </w:rPr>
            </w:pPr>
            <w:r w:rsidRPr="002F6927">
              <w:rPr>
                <w:i/>
                <w:iCs/>
              </w:rPr>
              <w:t>$104</w:t>
            </w:r>
          </w:p>
        </w:tc>
        <w:tc>
          <w:tcPr>
            <w:tcW w:w="510" w:type="pct"/>
            <w:tcBorders>
              <w:top w:val="single" w:sz="4" w:space="0" w:color="00338D"/>
              <w:bottom w:val="single" w:sz="2" w:space="0" w:color="808080" w:themeColor="background1" w:themeShade="80"/>
            </w:tcBorders>
          </w:tcPr>
          <w:p w14:paraId="406618FD" w14:textId="77777777" w:rsidR="00B83FE9" w:rsidRPr="002F6927" w:rsidRDefault="00B83FE9" w:rsidP="002530E4">
            <w:pPr>
              <w:pStyle w:val="Tabletext"/>
              <w:jc w:val="right"/>
              <w:rPr>
                <w:i/>
                <w:iCs/>
              </w:rPr>
            </w:pPr>
            <w:r w:rsidRPr="002F6927">
              <w:rPr>
                <w:i/>
                <w:iCs/>
              </w:rPr>
              <w:t>$79</w:t>
            </w:r>
          </w:p>
        </w:tc>
        <w:tc>
          <w:tcPr>
            <w:tcW w:w="665" w:type="pct"/>
            <w:tcBorders>
              <w:top w:val="single" w:sz="4" w:space="0" w:color="00338D"/>
              <w:bottom w:val="single" w:sz="2" w:space="0" w:color="808080" w:themeColor="background1" w:themeShade="80"/>
            </w:tcBorders>
          </w:tcPr>
          <w:p w14:paraId="27D989C3" w14:textId="77777777" w:rsidR="00B83FE9" w:rsidRPr="001B5C98" w:rsidRDefault="00B83FE9" w:rsidP="002530E4">
            <w:pPr>
              <w:pStyle w:val="Tabletext"/>
              <w:jc w:val="right"/>
            </w:pPr>
          </w:p>
        </w:tc>
      </w:tr>
      <w:tr w:rsidR="00B83FE9" w14:paraId="167014DA" w14:textId="77777777" w:rsidTr="006324E9">
        <w:trPr>
          <w:trHeight w:val="303"/>
        </w:trPr>
        <w:tc>
          <w:tcPr>
            <w:tcW w:w="5000" w:type="pct"/>
            <w:gridSpan w:val="8"/>
            <w:tcBorders>
              <w:top w:val="single" w:sz="4" w:space="0" w:color="00338D"/>
              <w:bottom w:val="single" w:sz="2" w:space="0" w:color="808080" w:themeColor="background1" w:themeShade="80"/>
            </w:tcBorders>
          </w:tcPr>
          <w:p w14:paraId="0CF7B890" w14:textId="20978457" w:rsidR="00B83FE9" w:rsidRPr="001B5C98" w:rsidRDefault="009C028B" w:rsidP="002D205F">
            <w:pPr>
              <w:pStyle w:val="Tabletext"/>
            </w:pPr>
            <w:r>
              <w:rPr>
                <w:b/>
                <w:bCs/>
                <w:i/>
                <w:iCs/>
              </w:rPr>
              <w:t>OOS</w:t>
            </w:r>
            <w:r w:rsidR="00F32C81" w:rsidRPr="002F6927">
              <w:rPr>
                <w:b/>
                <w:bCs/>
                <w:i/>
                <w:iCs/>
              </w:rPr>
              <w:t xml:space="preserve"> funding source</w:t>
            </w:r>
          </w:p>
        </w:tc>
      </w:tr>
      <w:tr w:rsidR="006324E9" w14:paraId="6B00E01A" w14:textId="77777777" w:rsidTr="006324E9">
        <w:trPr>
          <w:trHeight w:val="303"/>
        </w:trPr>
        <w:tc>
          <w:tcPr>
            <w:tcW w:w="884" w:type="pct"/>
            <w:tcBorders>
              <w:top w:val="single" w:sz="4" w:space="0" w:color="00338D"/>
              <w:bottom w:val="single" w:sz="2" w:space="0" w:color="808080" w:themeColor="background1" w:themeShade="80"/>
            </w:tcBorders>
          </w:tcPr>
          <w:p w14:paraId="64DCACEF" w14:textId="77777777" w:rsidR="00B83FE9" w:rsidRPr="00266DCE" w:rsidRDefault="00B83FE9" w:rsidP="00266DCE">
            <w:pPr>
              <w:pStyle w:val="Tabletext"/>
            </w:pPr>
            <w:r w:rsidRPr="00266DCE">
              <w:t>MBS</w:t>
            </w:r>
          </w:p>
        </w:tc>
        <w:tc>
          <w:tcPr>
            <w:tcW w:w="438" w:type="pct"/>
            <w:tcBorders>
              <w:top w:val="single" w:sz="4" w:space="0" w:color="00338D"/>
              <w:bottom w:val="single" w:sz="2" w:space="0" w:color="808080" w:themeColor="background1" w:themeShade="80"/>
            </w:tcBorders>
          </w:tcPr>
          <w:p w14:paraId="00E34071" w14:textId="45FBC353" w:rsidR="00B83FE9" w:rsidRDefault="00F9420D" w:rsidP="002530E4">
            <w:pPr>
              <w:pStyle w:val="Tabletext"/>
              <w:jc w:val="right"/>
            </w:pPr>
            <w:r w:rsidRPr="00244ABB">
              <w:t>14%</w:t>
            </w:r>
          </w:p>
        </w:tc>
        <w:tc>
          <w:tcPr>
            <w:tcW w:w="777" w:type="pct"/>
            <w:tcBorders>
              <w:top w:val="single" w:sz="4" w:space="0" w:color="00338D"/>
              <w:bottom w:val="single" w:sz="2" w:space="0" w:color="808080" w:themeColor="background1" w:themeShade="80"/>
            </w:tcBorders>
          </w:tcPr>
          <w:p w14:paraId="292BECF1" w14:textId="66812064" w:rsidR="00B83FE9" w:rsidRPr="00D56DDF" w:rsidRDefault="00F9420D" w:rsidP="002530E4">
            <w:pPr>
              <w:pStyle w:val="Tabletext"/>
              <w:jc w:val="right"/>
            </w:pPr>
            <w:r w:rsidRPr="00244ABB">
              <w:t>1%</w:t>
            </w:r>
          </w:p>
        </w:tc>
        <w:tc>
          <w:tcPr>
            <w:tcW w:w="576" w:type="pct"/>
            <w:tcBorders>
              <w:top w:val="single" w:sz="4" w:space="0" w:color="00338D"/>
              <w:bottom w:val="single" w:sz="2" w:space="0" w:color="808080" w:themeColor="background1" w:themeShade="80"/>
            </w:tcBorders>
          </w:tcPr>
          <w:p w14:paraId="152DB4BE" w14:textId="47E1AB2E" w:rsidR="00B83FE9" w:rsidRPr="00D56DDF" w:rsidRDefault="00F9420D" w:rsidP="002D205F">
            <w:pPr>
              <w:pStyle w:val="Tabletext"/>
              <w:tabs>
                <w:tab w:val="right" w:pos="820"/>
              </w:tabs>
              <w:jc w:val="right"/>
            </w:pPr>
            <w:r w:rsidRPr="00244ABB">
              <w:t>29%</w:t>
            </w:r>
          </w:p>
        </w:tc>
        <w:tc>
          <w:tcPr>
            <w:tcW w:w="574" w:type="pct"/>
            <w:tcBorders>
              <w:top w:val="single" w:sz="4" w:space="0" w:color="00338D"/>
              <w:bottom w:val="single" w:sz="2" w:space="0" w:color="808080" w:themeColor="background1" w:themeShade="80"/>
            </w:tcBorders>
          </w:tcPr>
          <w:p w14:paraId="157B9E2D" w14:textId="7DBFCC1D" w:rsidR="00B83FE9" w:rsidRPr="00D56DDF" w:rsidRDefault="00F9420D" w:rsidP="002530E4">
            <w:pPr>
              <w:pStyle w:val="Tabletext"/>
              <w:jc w:val="right"/>
            </w:pPr>
            <w:r w:rsidRPr="00244ABB">
              <w:t>38%</w:t>
            </w:r>
          </w:p>
        </w:tc>
        <w:tc>
          <w:tcPr>
            <w:tcW w:w="576" w:type="pct"/>
            <w:tcBorders>
              <w:top w:val="single" w:sz="4" w:space="0" w:color="00338D"/>
              <w:bottom w:val="single" w:sz="2" w:space="0" w:color="808080" w:themeColor="background1" w:themeShade="80"/>
            </w:tcBorders>
          </w:tcPr>
          <w:p w14:paraId="426FE892" w14:textId="42066933" w:rsidR="00B83FE9" w:rsidRPr="00D56DDF" w:rsidRDefault="00F9420D" w:rsidP="002530E4">
            <w:pPr>
              <w:pStyle w:val="Tabletext"/>
              <w:jc w:val="right"/>
            </w:pPr>
            <w:r w:rsidRPr="00244ABB">
              <w:t>4%</w:t>
            </w:r>
          </w:p>
        </w:tc>
        <w:tc>
          <w:tcPr>
            <w:tcW w:w="510" w:type="pct"/>
            <w:tcBorders>
              <w:top w:val="single" w:sz="4" w:space="0" w:color="00338D"/>
              <w:bottom w:val="single" w:sz="2" w:space="0" w:color="808080" w:themeColor="background1" w:themeShade="80"/>
            </w:tcBorders>
          </w:tcPr>
          <w:p w14:paraId="5A39FE6B" w14:textId="31A655F5" w:rsidR="00B83FE9" w:rsidRPr="001B5C98" w:rsidRDefault="00F9420D" w:rsidP="002530E4">
            <w:pPr>
              <w:pStyle w:val="Tabletext"/>
              <w:jc w:val="right"/>
            </w:pPr>
            <w:r w:rsidRPr="00244ABB">
              <w:t>14%</w:t>
            </w:r>
          </w:p>
        </w:tc>
        <w:tc>
          <w:tcPr>
            <w:tcW w:w="665" w:type="pct"/>
            <w:tcBorders>
              <w:top w:val="single" w:sz="4" w:space="0" w:color="00338D"/>
              <w:bottom w:val="single" w:sz="2" w:space="0" w:color="808080" w:themeColor="background1" w:themeShade="80"/>
            </w:tcBorders>
          </w:tcPr>
          <w:p w14:paraId="7DE23B10" w14:textId="77777777" w:rsidR="00B83FE9" w:rsidRPr="002F6927" w:rsidRDefault="00B83FE9" w:rsidP="002530E4">
            <w:pPr>
              <w:pStyle w:val="Tabletext"/>
              <w:jc w:val="right"/>
              <w:rPr>
                <w:b/>
                <w:bCs/>
              </w:rPr>
            </w:pPr>
            <w:r w:rsidRPr="002F6927">
              <w:rPr>
                <w:b/>
                <w:bCs/>
              </w:rPr>
              <w:t xml:space="preserve"> $100 </w:t>
            </w:r>
          </w:p>
        </w:tc>
      </w:tr>
      <w:tr w:rsidR="006324E9" w14:paraId="58AB80B6" w14:textId="77777777" w:rsidTr="006324E9">
        <w:trPr>
          <w:trHeight w:val="554"/>
        </w:trPr>
        <w:tc>
          <w:tcPr>
            <w:tcW w:w="884" w:type="pct"/>
            <w:tcBorders>
              <w:top w:val="single" w:sz="2" w:space="0" w:color="808080" w:themeColor="background1" w:themeShade="80"/>
              <w:bottom w:val="single" w:sz="2" w:space="0" w:color="808080" w:themeColor="background1" w:themeShade="80"/>
            </w:tcBorders>
          </w:tcPr>
          <w:p w14:paraId="1BA23910" w14:textId="77777777" w:rsidR="00B83FE9" w:rsidRPr="00266DCE" w:rsidRDefault="00B83FE9" w:rsidP="00266DCE">
            <w:pPr>
              <w:pStyle w:val="Tabletext"/>
            </w:pPr>
            <w:r w:rsidRPr="00266DCE">
              <w:t xml:space="preserve">In-kind contribution </w:t>
            </w:r>
          </w:p>
        </w:tc>
        <w:tc>
          <w:tcPr>
            <w:tcW w:w="438" w:type="pct"/>
            <w:tcBorders>
              <w:top w:val="single" w:sz="2" w:space="0" w:color="808080" w:themeColor="background1" w:themeShade="80"/>
              <w:bottom w:val="single" w:sz="2" w:space="0" w:color="808080" w:themeColor="background1" w:themeShade="80"/>
            </w:tcBorders>
          </w:tcPr>
          <w:p w14:paraId="3973D8C7" w14:textId="553C6960" w:rsidR="00B83FE9" w:rsidRDefault="00F9420D" w:rsidP="002530E4">
            <w:pPr>
              <w:pStyle w:val="Tabletext"/>
              <w:jc w:val="right"/>
            </w:pPr>
            <w:r w:rsidRPr="00244ABB">
              <w:t>1%</w:t>
            </w:r>
          </w:p>
        </w:tc>
        <w:tc>
          <w:tcPr>
            <w:tcW w:w="777" w:type="pct"/>
            <w:tcBorders>
              <w:top w:val="single" w:sz="2" w:space="0" w:color="808080" w:themeColor="background1" w:themeShade="80"/>
              <w:bottom w:val="single" w:sz="2" w:space="0" w:color="808080" w:themeColor="background1" w:themeShade="80"/>
            </w:tcBorders>
          </w:tcPr>
          <w:p w14:paraId="2C502C73" w14:textId="09A36BC2" w:rsidR="00B83FE9" w:rsidRDefault="00F9420D" w:rsidP="002530E4">
            <w:pPr>
              <w:pStyle w:val="Tabletext"/>
              <w:jc w:val="right"/>
            </w:pPr>
            <w:r w:rsidRPr="00244ABB">
              <w:t>1%</w:t>
            </w:r>
          </w:p>
        </w:tc>
        <w:tc>
          <w:tcPr>
            <w:tcW w:w="576" w:type="pct"/>
            <w:tcBorders>
              <w:top w:val="single" w:sz="2" w:space="0" w:color="808080" w:themeColor="background1" w:themeShade="80"/>
              <w:bottom w:val="single" w:sz="2" w:space="0" w:color="808080" w:themeColor="background1" w:themeShade="80"/>
            </w:tcBorders>
          </w:tcPr>
          <w:p w14:paraId="1AC60FAC" w14:textId="5D69A9D2" w:rsidR="00B83FE9" w:rsidRDefault="00F9420D" w:rsidP="002530E4">
            <w:pPr>
              <w:pStyle w:val="Tabletext"/>
              <w:jc w:val="right"/>
            </w:pPr>
            <w:r w:rsidRPr="00244ABB">
              <w:t>3%</w:t>
            </w:r>
          </w:p>
        </w:tc>
        <w:tc>
          <w:tcPr>
            <w:tcW w:w="574" w:type="pct"/>
            <w:tcBorders>
              <w:top w:val="single" w:sz="2" w:space="0" w:color="808080" w:themeColor="background1" w:themeShade="80"/>
              <w:bottom w:val="single" w:sz="2" w:space="0" w:color="808080" w:themeColor="background1" w:themeShade="80"/>
            </w:tcBorders>
          </w:tcPr>
          <w:p w14:paraId="3B53EF6F" w14:textId="6D98718B" w:rsidR="00B83FE9" w:rsidRDefault="00F9420D" w:rsidP="002530E4">
            <w:pPr>
              <w:pStyle w:val="Tabletext"/>
              <w:jc w:val="right"/>
            </w:pPr>
            <w:r w:rsidRPr="00244ABB">
              <w:t>28%</w:t>
            </w:r>
          </w:p>
        </w:tc>
        <w:tc>
          <w:tcPr>
            <w:tcW w:w="576" w:type="pct"/>
            <w:tcBorders>
              <w:top w:val="single" w:sz="2" w:space="0" w:color="808080" w:themeColor="background1" w:themeShade="80"/>
              <w:bottom w:val="single" w:sz="2" w:space="0" w:color="808080" w:themeColor="background1" w:themeShade="80"/>
            </w:tcBorders>
          </w:tcPr>
          <w:p w14:paraId="1E1546C6" w14:textId="611BEEE4" w:rsidR="00B83FE9" w:rsidRDefault="00F9420D" w:rsidP="002530E4">
            <w:pPr>
              <w:pStyle w:val="Tabletext"/>
              <w:jc w:val="right"/>
            </w:pPr>
            <w:r w:rsidRPr="00244ABB">
              <w:t>6%</w:t>
            </w:r>
          </w:p>
        </w:tc>
        <w:tc>
          <w:tcPr>
            <w:tcW w:w="510" w:type="pct"/>
            <w:tcBorders>
              <w:top w:val="single" w:sz="2" w:space="0" w:color="808080" w:themeColor="background1" w:themeShade="80"/>
              <w:bottom w:val="single" w:sz="2" w:space="0" w:color="808080" w:themeColor="background1" w:themeShade="80"/>
            </w:tcBorders>
          </w:tcPr>
          <w:p w14:paraId="3148DE6A" w14:textId="5CE43930" w:rsidR="00B83FE9" w:rsidRDefault="00F9420D" w:rsidP="002530E4">
            <w:pPr>
              <w:pStyle w:val="Tabletext"/>
              <w:jc w:val="right"/>
            </w:pPr>
            <w:r w:rsidRPr="00244ABB">
              <w:t>63%</w:t>
            </w:r>
          </w:p>
        </w:tc>
        <w:tc>
          <w:tcPr>
            <w:tcW w:w="665" w:type="pct"/>
            <w:tcBorders>
              <w:top w:val="single" w:sz="2" w:space="0" w:color="808080" w:themeColor="background1" w:themeShade="80"/>
              <w:bottom w:val="single" w:sz="2" w:space="0" w:color="808080" w:themeColor="background1" w:themeShade="80"/>
            </w:tcBorders>
          </w:tcPr>
          <w:p w14:paraId="53896318" w14:textId="77777777" w:rsidR="00B83FE9" w:rsidRPr="002F6927" w:rsidRDefault="00B83FE9" w:rsidP="002530E4">
            <w:pPr>
              <w:pStyle w:val="Tabletext"/>
              <w:jc w:val="right"/>
              <w:rPr>
                <w:b/>
                <w:bCs/>
              </w:rPr>
            </w:pPr>
            <w:r w:rsidRPr="002F6927">
              <w:rPr>
                <w:b/>
                <w:bCs/>
              </w:rPr>
              <w:t xml:space="preserve"> $85 </w:t>
            </w:r>
          </w:p>
        </w:tc>
      </w:tr>
      <w:tr w:rsidR="006324E9" w14:paraId="14337647" w14:textId="77777777" w:rsidTr="006324E9">
        <w:trPr>
          <w:trHeight w:val="554"/>
        </w:trPr>
        <w:tc>
          <w:tcPr>
            <w:tcW w:w="884" w:type="pct"/>
            <w:tcBorders>
              <w:top w:val="single" w:sz="2" w:space="0" w:color="808080" w:themeColor="background1" w:themeShade="80"/>
              <w:bottom w:val="single" w:sz="2" w:space="0" w:color="808080" w:themeColor="background1" w:themeShade="80"/>
            </w:tcBorders>
          </w:tcPr>
          <w:p w14:paraId="46759CA9" w14:textId="77777777" w:rsidR="00B83FE9" w:rsidRPr="00266DCE" w:rsidRDefault="00B83FE9" w:rsidP="00266DCE">
            <w:pPr>
              <w:pStyle w:val="Tabletext"/>
            </w:pPr>
            <w:r w:rsidRPr="00266DCE">
              <w:t>Private payment</w:t>
            </w:r>
          </w:p>
        </w:tc>
        <w:tc>
          <w:tcPr>
            <w:tcW w:w="438" w:type="pct"/>
            <w:tcBorders>
              <w:top w:val="single" w:sz="2" w:space="0" w:color="808080" w:themeColor="background1" w:themeShade="80"/>
              <w:bottom w:val="single" w:sz="2" w:space="0" w:color="808080" w:themeColor="background1" w:themeShade="80"/>
            </w:tcBorders>
          </w:tcPr>
          <w:p w14:paraId="2907D15E" w14:textId="3A72C85F" w:rsidR="00B83FE9" w:rsidRDefault="00F9420D" w:rsidP="002530E4">
            <w:pPr>
              <w:pStyle w:val="Tabletext"/>
              <w:jc w:val="right"/>
            </w:pPr>
            <w:r w:rsidRPr="00244ABB">
              <w:t>1%</w:t>
            </w:r>
          </w:p>
        </w:tc>
        <w:tc>
          <w:tcPr>
            <w:tcW w:w="777" w:type="pct"/>
            <w:tcBorders>
              <w:top w:val="single" w:sz="2" w:space="0" w:color="808080" w:themeColor="background1" w:themeShade="80"/>
              <w:bottom w:val="single" w:sz="2" w:space="0" w:color="808080" w:themeColor="background1" w:themeShade="80"/>
            </w:tcBorders>
          </w:tcPr>
          <w:p w14:paraId="2BF7D20D" w14:textId="607DA77F" w:rsidR="00B83FE9" w:rsidRDefault="00F9420D" w:rsidP="002530E4">
            <w:pPr>
              <w:pStyle w:val="Tabletext"/>
              <w:jc w:val="right"/>
            </w:pPr>
            <w:r w:rsidRPr="00244ABB">
              <w:t>0%</w:t>
            </w:r>
          </w:p>
        </w:tc>
        <w:tc>
          <w:tcPr>
            <w:tcW w:w="576" w:type="pct"/>
            <w:tcBorders>
              <w:top w:val="single" w:sz="2" w:space="0" w:color="808080" w:themeColor="background1" w:themeShade="80"/>
              <w:bottom w:val="single" w:sz="2" w:space="0" w:color="808080" w:themeColor="background1" w:themeShade="80"/>
            </w:tcBorders>
          </w:tcPr>
          <w:p w14:paraId="5D41FA76" w14:textId="239AB584" w:rsidR="00B83FE9" w:rsidRDefault="00F9420D" w:rsidP="002530E4">
            <w:pPr>
              <w:pStyle w:val="Tabletext"/>
              <w:jc w:val="right"/>
            </w:pPr>
            <w:r w:rsidRPr="00244ABB">
              <w:t>33%</w:t>
            </w:r>
          </w:p>
        </w:tc>
        <w:tc>
          <w:tcPr>
            <w:tcW w:w="574" w:type="pct"/>
            <w:tcBorders>
              <w:top w:val="single" w:sz="2" w:space="0" w:color="808080" w:themeColor="background1" w:themeShade="80"/>
              <w:bottom w:val="single" w:sz="2" w:space="0" w:color="808080" w:themeColor="background1" w:themeShade="80"/>
            </w:tcBorders>
          </w:tcPr>
          <w:p w14:paraId="4732747B" w14:textId="3BCCCFED" w:rsidR="00B83FE9" w:rsidRDefault="00F9420D" w:rsidP="002530E4">
            <w:pPr>
              <w:pStyle w:val="Tabletext"/>
              <w:jc w:val="right"/>
            </w:pPr>
            <w:r w:rsidRPr="00244ABB">
              <w:t>43%</w:t>
            </w:r>
          </w:p>
        </w:tc>
        <w:tc>
          <w:tcPr>
            <w:tcW w:w="576" w:type="pct"/>
            <w:tcBorders>
              <w:top w:val="single" w:sz="2" w:space="0" w:color="808080" w:themeColor="background1" w:themeShade="80"/>
              <w:bottom w:val="single" w:sz="2" w:space="0" w:color="808080" w:themeColor="background1" w:themeShade="80"/>
            </w:tcBorders>
          </w:tcPr>
          <w:p w14:paraId="75AB76EF" w14:textId="4410C7DF" w:rsidR="00B83FE9" w:rsidRDefault="00F9420D" w:rsidP="002530E4">
            <w:pPr>
              <w:pStyle w:val="Tabletext"/>
              <w:jc w:val="right"/>
            </w:pPr>
            <w:r w:rsidRPr="00244ABB">
              <w:t>2%</w:t>
            </w:r>
          </w:p>
        </w:tc>
        <w:tc>
          <w:tcPr>
            <w:tcW w:w="510" w:type="pct"/>
            <w:tcBorders>
              <w:top w:val="single" w:sz="2" w:space="0" w:color="808080" w:themeColor="background1" w:themeShade="80"/>
              <w:bottom w:val="single" w:sz="2" w:space="0" w:color="808080" w:themeColor="background1" w:themeShade="80"/>
            </w:tcBorders>
          </w:tcPr>
          <w:p w14:paraId="4DFEB060" w14:textId="52D08F7A" w:rsidR="00B83FE9" w:rsidRDefault="00F9420D" w:rsidP="002530E4">
            <w:pPr>
              <w:pStyle w:val="Tabletext"/>
              <w:jc w:val="right"/>
            </w:pPr>
            <w:r w:rsidRPr="00244ABB">
              <w:t>21%</w:t>
            </w:r>
          </w:p>
        </w:tc>
        <w:tc>
          <w:tcPr>
            <w:tcW w:w="665" w:type="pct"/>
            <w:tcBorders>
              <w:top w:val="single" w:sz="2" w:space="0" w:color="808080" w:themeColor="background1" w:themeShade="80"/>
              <w:bottom w:val="single" w:sz="2" w:space="0" w:color="808080" w:themeColor="background1" w:themeShade="80"/>
            </w:tcBorders>
          </w:tcPr>
          <w:p w14:paraId="3EC12EF6" w14:textId="261D1084" w:rsidR="00B83FE9" w:rsidRPr="002F6927" w:rsidRDefault="00B83FE9" w:rsidP="002530E4">
            <w:pPr>
              <w:pStyle w:val="Tabletext"/>
              <w:jc w:val="right"/>
              <w:rPr>
                <w:b/>
                <w:bCs/>
              </w:rPr>
            </w:pPr>
            <w:r w:rsidRPr="002F6927">
              <w:rPr>
                <w:b/>
                <w:bCs/>
              </w:rPr>
              <w:t xml:space="preserve"> $</w:t>
            </w:r>
            <w:r w:rsidR="00F9420D">
              <w:rPr>
                <w:b/>
                <w:bCs/>
              </w:rPr>
              <w:t>100</w:t>
            </w:r>
            <w:r w:rsidR="00F9420D" w:rsidRPr="002F6927">
              <w:rPr>
                <w:b/>
                <w:bCs/>
              </w:rPr>
              <w:t xml:space="preserve"> </w:t>
            </w:r>
          </w:p>
        </w:tc>
      </w:tr>
      <w:tr w:rsidR="006324E9" w14:paraId="6CFCC514" w14:textId="77777777" w:rsidTr="006324E9">
        <w:trPr>
          <w:trHeight w:val="316"/>
        </w:trPr>
        <w:tc>
          <w:tcPr>
            <w:tcW w:w="884" w:type="pct"/>
            <w:tcBorders>
              <w:top w:val="single" w:sz="2" w:space="0" w:color="808080" w:themeColor="background1" w:themeShade="80"/>
              <w:bottom w:val="single" w:sz="2" w:space="0" w:color="808080" w:themeColor="background1" w:themeShade="80"/>
            </w:tcBorders>
          </w:tcPr>
          <w:p w14:paraId="154D2C48" w14:textId="77777777" w:rsidR="00B83FE9" w:rsidRPr="00266DCE" w:rsidRDefault="00B83FE9" w:rsidP="00266DCE">
            <w:pPr>
              <w:pStyle w:val="Tabletext"/>
            </w:pPr>
            <w:r w:rsidRPr="00266DCE">
              <w:t>PHN funding</w:t>
            </w:r>
          </w:p>
        </w:tc>
        <w:tc>
          <w:tcPr>
            <w:tcW w:w="438" w:type="pct"/>
            <w:tcBorders>
              <w:top w:val="single" w:sz="2" w:space="0" w:color="808080" w:themeColor="background1" w:themeShade="80"/>
              <w:bottom w:val="single" w:sz="2" w:space="0" w:color="808080" w:themeColor="background1" w:themeShade="80"/>
            </w:tcBorders>
          </w:tcPr>
          <w:p w14:paraId="4CA87942" w14:textId="440F5F96" w:rsidR="00B83FE9" w:rsidRDefault="00F9420D" w:rsidP="002530E4">
            <w:pPr>
              <w:pStyle w:val="Tabletext"/>
              <w:jc w:val="right"/>
            </w:pPr>
            <w:r w:rsidRPr="00244ABB">
              <w:t>0%</w:t>
            </w:r>
          </w:p>
        </w:tc>
        <w:tc>
          <w:tcPr>
            <w:tcW w:w="777" w:type="pct"/>
            <w:tcBorders>
              <w:top w:val="single" w:sz="2" w:space="0" w:color="808080" w:themeColor="background1" w:themeShade="80"/>
              <w:bottom w:val="single" w:sz="2" w:space="0" w:color="808080" w:themeColor="background1" w:themeShade="80"/>
            </w:tcBorders>
          </w:tcPr>
          <w:p w14:paraId="7640AE2B" w14:textId="1CD2C9D9" w:rsidR="00B83FE9" w:rsidRDefault="00F9420D" w:rsidP="002530E4">
            <w:pPr>
              <w:pStyle w:val="Tabletext"/>
              <w:jc w:val="right"/>
            </w:pPr>
            <w:r w:rsidRPr="00244ABB">
              <w:t>1%</w:t>
            </w:r>
          </w:p>
        </w:tc>
        <w:tc>
          <w:tcPr>
            <w:tcW w:w="576" w:type="pct"/>
            <w:tcBorders>
              <w:top w:val="single" w:sz="2" w:space="0" w:color="808080" w:themeColor="background1" w:themeShade="80"/>
              <w:bottom w:val="single" w:sz="2" w:space="0" w:color="808080" w:themeColor="background1" w:themeShade="80"/>
            </w:tcBorders>
          </w:tcPr>
          <w:p w14:paraId="2A66959E" w14:textId="5D9640D4" w:rsidR="00B83FE9" w:rsidRDefault="00F9420D" w:rsidP="002530E4">
            <w:pPr>
              <w:pStyle w:val="Tabletext"/>
              <w:jc w:val="right"/>
            </w:pPr>
            <w:r w:rsidRPr="00244ABB">
              <w:t>16%</w:t>
            </w:r>
          </w:p>
        </w:tc>
        <w:tc>
          <w:tcPr>
            <w:tcW w:w="574" w:type="pct"/>
            <w:tcBorders>
              <w:top w:val="single" w:sz="2" w:space="0" w:color="808080" w:themeColor="background1" w:themeShade="80"/>
              <w:bottom w:val="single" w:sz="2" w:space="0" w:color="808080" w:themeColor="background1" w:themeShade="80"/>
            </w:tcBorders>
          </w:tcPr>
          <w:p w14:paraId="3C869AC0" w14:textId="6841EB4A" w:rsidR="00B83FE9" w:rsidRDefault="00F9420D" w:rsidP="002530E4">
            <w:pPr>
              <w:pStyle w:val="Tabletext"/>
              <w:jc w:val="right"/>
            </w:pPr>
            <w:r w:rsidRPr="00244ABB">
              <w:t>25%</w:t>
            </w:r>
          </w:p>
        </w:tc>
        <w:tc>
          <w:tcPr>
            <w:tcW w:w="576" w:type="pct"/>
            <w:tcBorders>
              <w:top w:val="single" w:sz="2" w:space="0" w:color="808080" w:themeColor="background1" w:themeShade="80"/>
              <w:bottom w:val="single" w:sz="2" w:space="0" w:color="808080" w:themeColor="background1" w:themeShade="80"/>
            </w:tcBorders>
          </w:tcPr>
          <w:p w14:paraId="12EB951D" w14:textId="43EC73C3" w:rsidR="00B83FE9" w:rsidRDefault="00F9420D" w:rsidP="002530E4">
            <w:pPr>
              <w:pStyle w:val="Tabletext"/>
              <w:jc w:val="right"/>
            </w:pPr>
            <w:r w:rsidRPr="00244ABB">
              <w:t>11%</w:t>
            </w:r>
          </w:p>
        </w:tc>
        <w:tc>
          <w:tcPr>
            <w:tcW w:w="510" w:type="pct"/>
            <w:tcBorders>
              <w:top w:val="single" w:sz="2" w:space="0" w:color="808080" w:themeColor="background1" w:themeShade="80"/>
              <w:bottom w:val="single" w:sz="2" w:space="0" w:color="808080" w:themeColor="background1" w:themeShade="80"/>
            </w:tcBorders>
          </w:tcPr>
          <w:p w14:paraId="72C43972" w14:textId="6121DFAC" w:rsidR="00B83FE9" w:rsidRDefault="00F9420D" w:rsidP="002530E4">
            <w:pPr>
              <w:pStyle w:val="Tabletext"/>
              <w:jc w:val="right"/>
            </w:pPr>
            <w:r w:rsidRPr="00244ABB">
              <w:t>47%</w:t>
            </w:r>
          </w:p>
        </w:tc>
        <w:tc>
          <w:tcPr>
            <w:tcW w:w="665" w:type="pct"/>
            <w:tcBorders>
              <w:top w:val="single" w:sz="2" w:space="0" w:color="808080" w:themeColor="background1" w:themeShade="80"/>
              <w:bottom w:val="single" w:sz="2" w:space="0" w:color="808080" w:themeColor="background1" w:themeShade="80"/>
            </w:tcBorders>
          </w:tcPr>
          <w:p w14:paraId="6CDCC84B" w14:textId="77777777" w:rsidR="00B83FE9" w:rsidRPr="002F6927" w:rsidRDefault="00B83FE9" w:rsidP="002530E4">
            <w:pPr>
              <w:pStyle w:val="Tabletext"/>
              <w:jc w:val="right"/>
              <w:rPr>
                <w:b/>
                <w:bCs/>
              </w:rPr>
            </w:pPr>
            <w:r w:rsidRPr="002F6927">
              <w:rPr>
                <w:b/>
                <w:bCs/>
              </w:rPr>
              <w:t xml:space="preserve"> $93 </w:t>
            </w:r>
          </w:p>
        </w:tc>
      </w:tr>
      <w:tr w:rsidR="006324E9" w14:paraId="0E10ED23" w14:textId="77777777" w:rsidTr="006324E9">
        <w:trPr>
          <w:trHeight w:val="316"/>
        </w:trPr>
        <w:tc>
          <w:tcPr>
            <w:tcW w:w="884" w:type="pct"/>
            <w:tcBorders>
              <w:top w:val="single" w:sz="2" w:space="0" w:color="808080" w:themeColor="background1" w:themeShade="80"/>
              <w:bottom w:val="single" w:sz="2" w:space="0" w:color="808080" w:themeColor="background1" w:themeShade="80"/>
            </w:tcBorders>
          </w:tcPr>
          <w:p w14:paraId="38217665" w14:textId="77777777" w:rsidR="00B83FE9" w:rsidRPr="00266DCE" w:rsidRDefault="00B83FE9" w:rsidP="00266DCE">
            <w:pPr>
              <w:pStyle w:val="Tabletext"/>
            </w:pPr>
            <w:r w:rsidRPr="00266DCE">
              <w:t>Other federal</w:t>
            </w:r>
          </w:p>
        </w:tc>
        <w:tc>
          <w:tcPr>
            <w:tcW w:w="438" w:type="pct"/>
            <w:tcBorders>
              <w:top w:val="single" w:sz="2" w:space="0" w:color="808080" w:themeColor="background1" w:themeShade="80"/>
              <w:bottom w:val="single" w:sz="2" w:space="0" w:color="808080" w:themeColor="background1" w:themeShade="80"/>
            </w:tcBorders>
          </w:tcPr>
          <w:p w14:paraId="76C7CA58" w14:textId="6B8EAF89" w:rsidR="00B83FE9" w:rsidRDefault="00F9420D" w:rsidP="002530E4">
            <w:pPr>
              <w:pStyle w:val="Tabletext"/>
              <w:jc w:val="right"/>
            </w:pPr>
            <w:r w:rsidRPr="00244ABB">
              <w:t>0%</w:t>
            </w:r>
          </w:p>
        </w:tc>
        <w:tc>
          <w:tcPr>
            <w:tcW w:w="777" w:type="pct"/>
            <w:tcBorders>
              <w:top w:val="single" w:sz="2" w:space="0" w:color="808080" w:themeColor="background1" w:themeShade="80"/>
              <w:bottom w:val="single" w:sz="2" w:space="0" w:color="808080" w:themeColor="background1" w:themeShade="80"/>
            </w:tcBorders>
          </w:tcPr>
          <w:p w14:paraId="69AA8103" w14:textId="48297C4B" w:rsidR="00B83FE9" w:rsidRDefault="00F9420D" w:rsidP="002530E4">
            <w:pPr>
              <w:pStyle w:val="Tabletext"/>
              <w:jc w:val="right"/>
            </w:pPr>
            <w:r w:rsidRPr="00244ABB">
              <w:t>2%</w:t>
            </w:r>
          </w:p>
        </w:tc>
        <w:tc>
          <w:tcPr>
            <w:tcW w:w="576" w:type="pct"/>
            <w:tcBorders>
              <w:top w:val="single" w:sz="2" w:space="0" w:color="808080" w:themeColor="background1" w:themeShade="80"/>
              <w:bottom w:val="single" w:sz="2" w:space="0" w:color="808080" w:themeColor="background1" w:themeShade="80"/>
            </w:tcBorders>
          </w:tcPr>
          <w:p w14:paraId="4D24316C" w14:textId="560D957F" w:rsidR="00B83FE9" w:rsidRDefault="00F9420D" w:rsidP="002530E4">
            <w:pPr>
              <w:pStyle w:val="Tabletext"/>
              <w:jc w:val="right"/>
            </w:pPr>
            <w:r w:rsidRPr="00244ABB">
              <w:t>3%</w:t>
            </w:r>
          </w:p>
        </w:tc>
        <w:tc>
          <w:tcPr>
            <w:tcW w:w="574" w:type="pct"/>
            <w:tcBorders>
              <w:top w:val="single" w:sz="2" w:space="0" w:color="808080" w:themeColor="background1" w:themeShade="80"/>
              <w:bottom w:val="single" w:sz="2" w:space="0" w:color="808080" w:themeColor="background1" w:themeShade="80"/>
            </w:tcBorders>
          </w:tcPr>
          <w:p w14:paraId="0088D434" w14:textId="622D06DF" w:rsidR="00B83FE9" w:rsidRDefault="00F9420D" w:rsidP="002530E4">
            <w:pPr>
              <w:pStyle w:val="Tabletext"/>
              <w:jc w:val="right"/>
            </w:pPr>
            <w:r w:rsidRPr="00244ABB">
              <w:t>10%</w:t>
            </w:r>
          </w:p>
        </w:tc>
        <w:tc>
          <w:tcPr>
            <w:tcW w:w="576" w:type="pct"/>
            <w:tcBorders>
              <w:top w:val="single" w:sz="2" w:space="0" w:color="808080" w:themeColor="background1" w:themeShade="80"/>
              <w:bottom w:val="single" w:sz="2" w:space="0" w:color="808080" w:themeColor="background1" w:themeShade="80"/>
            </w:tcBorders>
          </w:tcPr>
          <w:p w14:paraId="1C418BCF" w14:textId="746D7BC4" w:rsidR="00B83FE9" w:rsidRDefault="00F9420D" w:rsidP="002530E4">
            <w:pPr>
              <w:pStyle w:val="Tabletext"/>
              <w:jc w:val="right"/>
            </w:pPr>
            <w:r w:rsidRPr="00244ABB">
              <w:t>5%</w:t>
            </w:r>
          </w:p>
        </w:tc>
        <w:tc>
          <w:tcPr>
            <w:tcW w:w="510" w:type="pct"/>
            <w:tcBorders>
              <w:top w:val="single" w:sz="2" w:space="0" w:color="808080" w:themeColor="background1" w:themeShade="80"/>
              <w:bottom w:val="single" w:sz="2" w:space="0" w:color="808080" w:themeColor="background1" w:themeShade="80"/>
            </w:tcBorders>
          </w:tcPr>
          <w:p w14:paraId="199D5187" w14:textId="2731F77B" w:rsidR="00B83FE9" w:rsidRDefault="00F9420D" w:rsidP="002530E4">
            <w:pPr>
              <w:pStyle w:val="Tabletext"/>
              <w:jc w:val="right"/>
            </w:pPr>
            <w:r w:rsidRPr="00244ABB">
              <w:t>80%</w:t>
            </w:r>
          </w:p>
        </w:tc>
        <w:tc>
          <w:tcPr>
            <w:tcW w:w="665" w:type="pct"/>
            <w:tcBorders>
              <w:top w:val="single" w:sz="2" w:space="0" w:color="808080" w:themeColor="background1" w:themeShade="80"/>
              <w:bottom w:val="single" w:sz="2" w:space="0" w:color="808080" w:themeColor="background1" w:themeShade="80"/>
            </w:tcBorders>
          </w:tcPr>
          <w:p w14:paraId="434D7867" w14:textId="42EFE51A" w:rsidR="00B83FE9" w:rsidRPr="002F6927" w:rsidRDefault="00B83FE9" w:rsidP="002530E4">
            <w:pPr>
              <w:pStyle w:val="Tabletext"/>
              <w:jc w:val="right"/>
              <w:rPr>
                <w:b/>
                <w:bCs/>
              </w:rPr>
            </w:pPr>
            <w:r w:rsidRPr="002F6927">
              <w:rPr>
                <w:b/>
                <w:bCs/>
              </w:rPr>
              <w:t xml:space="preserve"> $8</w:t>
            </w:r>
            <w:r w:rsidR="00F9420D">
              <w:rPr>
                <w:b/>
                <w:bCs/>
              </w:rPr>
              <w:t>4</w:t>
            </w:r>
            <w:r w:rsidRPr="002F6927">
              <w:rPr>
                <w:b/>
                <w:bCs/>
              </w:rPr>
              <w:t xml:space="preserve"> </w:t>
            </w:r>
          </w:p>
        </w:tc>
      </w:tr>
      <w:tr w:rsidR="006324E9" w14:paraId="3922721E" w14:textId="77777777" w:rsidTr="006324E9">
        <w:trPr>
          <w:trHeight w:val="554"/>
        </w:trPr>
        <w:tc>
          <w:tcPr>
            <w:tcW w:w="884" w:type="pct"/>
            <w:tcBorders>
              <w:top w:val="single" w:sz="2" w:space="0" w:color="808080" w:themeColor="background1" w:themeShade="80"/>
              <w:bottom w:val="single" w:sz="2" w:space="0" w:color="808080" w:themeColor="background1" w:themeShade="80"/>
            </w:tcBorders>
          </w:tcPr>
          <w:p w14:paraId="3A660E1D" w14:textId="77777777" w:rsidR="00B83FE9" w:rsidRPr="00266DCE" w:rsidRDefault="00B83FE9" w:rsidP="00266DCE">
            <w:pPr>
              <w:pStyle w:val="Tabletext"/>
            </w:pPr>
            <w:r w:rsidRPr="00266DCE">
              <w:t>Other state / EMHSS</w:t>
            </w:r>
          </w:p>
        </w:tc>
        <w:tc>
          <w:tcPr>
            <w:tcW w:w="438" w:type="pct"/>
            <w:tcBorders>
              <w:top w:val="single" w:sz="2" w:space="0" w:color="808080" w:themeColor="background1" w:themeShade="80"/>
              <w:bottom w:val="single" w:sz="2" w:space="0" w:color="808080" w:themeColor="background1" w:themeShade="80"/>
            </w:tcBorders>
          </w:tcPr>
          <w:p w14:paraId="7838436D" w14:textId="0834F1DD" w:rsidR="00B83FE9" w:rsidRDefault="00F9420D" w:rsidP="002530E4">
            <w:pPr>
              <w:pStyle w:val="Tabletext"/>
              <w:jc w:val="right"/>
            </w:pPr>
            <w:r w:rsidRPr="00244ABB">
              <w:t>0%</w:t>
            </w:r>
          </w:p>
        </w:tc>
        <w:tc>
          <w:tcPr>
            <w:tcW w:w="777" w:type="pct"/>
            <w:tcBorders>
              <w:top w:val="single" w:sz="2" w:space="0" w:color="808080" w:themeColor="background1" w:themeShade="80"/>
              <w:bottom w:val="single" w:sz="2" w:space="0" w:color="808080" w:themeColor="background1" w:themeShade="80"/>
            </w:tcBorders>
          </w:tcPr>
          <w:p w14:paraId="217FA516" w14:textId="722F4F79" w:rsidR="00B83FE9" w:rsidRDefault="00F9420D" w:rsidP="002530E4">
            <w:pPr>
              <w:pStyle w:val="Tabletext"/>
              <w:jc w:val="right"/>
            </w:pPr>
            <w:r w:rsidRPr="00244ABB">
              <w:t>1%</w:t>
            </w:r>
          </w:p>
        </w:tc>
        <w:tc>
          <w:tcPr>
            <w:tcW w:w="576" w:type="pct"/>
            <w:tcBorders>
              <w:top w:val="single" w:sz="2" w:space="0" w:color="808080" w:themeColor="background1" w:themeShade="80"/>
              <w:bottom w:val="single" w:sz="2" w:space="0" w:color="808080" w:themeColor="background1" w:themeShade="80"/>
            </w:tcBorders>
          </w:tcPr>
          <w:p w14:paraId="38ECF377" w14:textId="311143C9" w:rsidR="00B83FE9" w:rsidRDefault="00F9420D" w:rsidP="002530E4">
            <w:pPr>
              <w:pStyle w:val="Tabletext"/>
              <w:jc w:val="right"/>
            </w:pPr>
            <w:r w:rsidRPr="00244ABB">
              <w:t>20%</w:t>
            </w:r>
          </w:p>
        </w:tc>
        <w:tc>
          <w:tcPr>
            <w:tcW w:w="574" w:type="pct"/>
            <w:tcBorders>
              <w:top w:val="single" w:sz="2" w:space="0" w:color="808080" w:themeColor="background1" w:themeShade="80"/>
              <w:bottom w:val="single" w:sz="2" w:space="0" w:color="808080" w:themeColor="background1" w:themeShade="80"/>
            </w:tcBorders>
          </w:tcPr>
          <w:p w14:paraId="7544F817" w14:textId="7E625566" w:rsidR="00B83FE9" w:rsidRDefault="00F9420D" w:rsidP="002530E4">
            <w:pPr>
              <w:pStyle w:val="Tabletext"/>
              <w:jc w:val="right"/>
            </w:pPr>
            <w:r w:rsidRPr="00244ABB">
              <w:t>37%</w:t>
            </w:r>
          </w:p>
        </w:tc>
        <w:tc>
          <w:tcPr>
            <w:tcW w:w="576" w:type="pct"/>
            <w:tcBorders>
              <w:top w:val="single" w:sz="2" w:space="0" w:color="808080" w:themeColor="background1" w:themeShade="80"/>
              <w:bottom w:val="single" w:sz="2" w:space="0" w:color="808080" w:themeColor="background1" w:themeShade="80"/>
            </w:tcBorders>
          </w:tcPr>
          <w:p w14:paraId="71EE7EB7" w14:textId="1D733307" w:rsidR="00B83FE9" w:rsidRDefault="00F9420D" w:rsidP="002530E4">
            <w:pPr>
              <w:pStyle w:val="Tabletext"/>
              <w:jc w:val="right"/>
            </w:pPr>
            <w:r w:rsidRPr="00244ABB">
              <w:t>7%</w:t>
            </w:r>
          </w:p>
        </w:tc>
        <w:tc>
          <w:tcPr>
            <w:tcW w:w="510" w:type="pct"/>
            <w:tcBorders>
              <w:top w:val="single" w:sz="2" w:space="0" w:color="808080" w:themeColor="background1" w:themeShade="80"/>
              <w:bottom w:val="single" w:sz="2" w:space="0" w:color="808080" w:themeColor="background1" w:themeShade="80"/>
            </w:tcBorders>
          </w:tcPr>
          <w:p w14:paraId="65803621" w14:textId="67794884" w:rsidR="00B83FE9" w:rsidRDefault="00F9420D" w:rsidP="002530E4">
            <w:pPr>
              <w:pStyle w:val="Tabletext"/>
              <w:jc w:val="right"/>
            </w:pPr>
            <w:r w:rsidRPr="00244ABB">
              <w:t>35%</w:t>
            </w:r>
          </w:p>
        </w:tc>
        <w:tc>
          <w:tcPr>
            <w:tcW w:w="665" w:type="pct"/>
            <w:tcBorders>
              <w:top w:val="single" w:sz="2" w:space="0" w:color="808080" w:themeColor="background1" w:themeShade="80"/>
              <w:bottom w:val="single" w:sz="2" w:space="0" w:color="808080" w:themeColor="background1" w:themeShade="80"/>
            </w:tcBorders>
          </w:tcPr>
          <w:p w14:paraId="02A96F60" w14:textId="32DFD9E7" w:rsidR="00B83FE9" w:rsidRPr="002F6927" w:rsidRDefault="00B83FE9" w:rsidP="002530E4">
            <w:pPr>
              <w:pStyle w:val="Tabletext"/>
              <w:jc w:val="right"/>
              <w:rPr>
                <w:b/>
                <w:bCs/>
              </w:rPr>
            </w:pPr>
            <w:r w:rsidRPr="002F6927">
              <w:rPr>
                <w:b/>
                <w:bCs/>
              </w:rPr>
              <w:t xml:space="preserve"> $9</w:t>
            </w:r>
            <w:r w:rsidR="00F9420D">
              <w:rPr>
                <w:b/>
                <w:bCs/>
              </w:rPr>
              <w:t>5</w:t>
            </w:r>
            <w:r w:rsidRPr="002F6927">
              <w:rPr>
                <w:b/>
                <w:bCs/>
              </w:rPr>
              <w:t xml:space="preserve"> </w:t>
            </w:r>
          </w:p>
        </w:tc>
      </w:tr>
      <w:tr w:rsidR="006324E9" w14:paraId="55B99C92" w14:textId="77777777" w:rsidTr="006324E9">
        <w:trPr>
          <w:trHeight w:val="316"/>
        </w:trPr>
        <w:tc>
          <w:tcPr>
            <w:tcW w:w="884" w:type="pct"/>
            <w:tcBorders>
              <w:top w:val="single" w:sz="2" w:space="0" w:color="808080" w:themeColor="background1" w:themeShade="80"/>
              <w:bottom w:val="single" w:sz="2" w:space="0" w:color="808080" w:themeColor="background1" w:themeShade="80"/>
            </w:tcBorders>
          </w:tcPr>
          <w:p w14:paraId="7980C43C" w14:textId="77777777" w:rsidR="00B83FE9" w:rsidRPr="00266DCE" w:rsidRDefault="00B83FE9" w:rsidP="00266DCE">
            <w:pPr>
              <w:pStyle w:val="Tabletext"/>
            </w:pPr>
            <w:r w:rsidRPr="00266DCE">
              <w:t>Other</w:t>
            </w:r>
          </w:p>
        </w:tc>
        <w:tc>
          <w:tcPr>
            <w:tcW w:w="438" w:type="pct"/>
            <w:tcBorders>
              <w:top w:val="single" w:sz="2" w:space="0" w:color="808080" w:themeColor="background1" w:themeShade="80"/>
              <w:bottom w:val="single" w:sz="2" w:space="0" w:color="808080" w:themeColor="background1" w:themeShade="80"/>
            </w:tcBorders>
          </w:tcPr>
          <w:p w14:paraId="5BF532BF" w14:textId="50B7469D" w:rsidR="00B83FE9" w:rsidRDefault="00F9420D" w:rsidP="002530E4">
            <w:pPr>
              <w:pStyle w:val="Tabletext"/>
              <w:jc w:val="right"/>
            </w:pPr>
            <w:r w:rsidRPr="00244ABB">
              <w:t>1%</w:t>
            </w:r>
          </w:p>
        </w:tc>
        <w:tc>
          <w:tcPr>
            <w:tcW w:w="777" w:type="pct"/>
            <w:tcBorders>
              <w:top w:val="single" w:sz="2" w:space="0" w:color="808080" w:themeColor="background1" w:themeShade="80"/>
              <w:bottom w:val="single" w:sz="2" w:space="0" w:color="808080" w:themeColor="background1" w:themeShade="80"/>
            </w:tcBorders>
          </w:tcPr>
          <w:p w14:paraId="68A8BA74" w14:textId="221CCAC1" w:rsidR="00B83FE9" w:rsidRDefault="00F9420D" w:rsidP="002530E4">
            <w:pPr>
              <w:pStyle w:val="Tabletext"/>
              <w:jc w:val="right"/>
            </w:pPr>
            <w:r w:rsidRPr="00244ABB">
              <w:t>3%</w:t>
            </w:r>
          </w:p>
        </w:tc>
        <w:tc>
          <w:tcPr>
            <w:tcW w:w="576" w:type="pct"/>
            <w:tcBorders>
              <w:top w:val="single" w:sz="2" w:space="0" w:color="808080" w:themeColor="background1" w:themeShade="80"/>
              <w:bottom w:val="single" w:sz="2" w:space="0" w:color="808080" w:themeColor="background1" w:themeShade="80"/>
            </w:tcBorders>
          </w:tcPr>
          <w:p w14:paraId="2C05D1A7" w14:textId="459B2029" w:rsidR="00B83FE9" w:rsidRDefault="00F9420D" w:rsidP="002530E4">
            <w:pPr>
              <w:pStyle w:val="Tabletext"/>
              <w:jc w:val="right"/>
            </w:pPr>
            <w:r w:rsidRPr="00244ABB">
              <w:t>5%</w:t>
            </w:r>
          </w:p>
        </w:tc>
        <w:tc>
          <w:tcPr>
            <w:tcW w:w="574" w:type="pct"/>
            <w:tcBorders>
              <w:top w:val="single" w:sz="2" w:space="0" w:color="808080" w:themeColor="background1" w:themeShade="80"/>
              <w:bottom w:val="single" w:sz="2" w:space="0" w:color="808080" w:themeColor="background1" w:themeShade="80"/>
            </w:tcBorders>
          </w:tcPr>
          <w:p w14:paraId="7648C184" w14:textId="6B2D9AC3" w:rsidR="00B83FE9" w:rsidRDefault="00F9420D" w:rsidP="002530E4">
            <w:pPr>
              <w:pStyle w:val="Tabletext"/>
              <w:jc w:val="right"/>
            </w:pPr>
            <w:r w:rsidRPr="00244ABB">
              <w:t>34%</w:t>
            </w:r>
          </w:p>
        </w:tc>
        <w:tc>
          <w:tcPr>
            <w:tcW w:w="576" w:type="pct"/>
            <w:tcBorders>
              <w:top w:val="single" w:sz="2" w:space="0" w:color="808080" w:themeColor="background1" w:themeShade="80"/>
              <w:bottom w:val="single" w:sz="2" w:space="0" w:color="808080" w:themeColor="background1" w:themeShade="80"/>
            </w:tcBorders>
          </w:tcPr>
          <w:p w14:paraId="6034DA97" w14:textId="4F970AD3" w:rsidR="00B83FE9" w:rsidRDefault="00F9420D" w:rsidP="002530E4">
            <w:pPr>
              <w:pStyle w:val="Tabletext"/>
              <w:jc w:val="right"/>
            </w:pPr>
            <w:r w:rsidRPr="00244ABB">
              <w:t>1%</w:t>
            </w:r>
          </w:p>
        </w:tc>
        <w:tc>
          <w:tcPr>
            <w:tcW w:w="510" w:type="pct"/>
            <w:tcBorders>
              <w:top w:val="single" w:sz="2" w:space="0" w:color="808080" w:themeColor="background1" w:themeShade="80"/>
              <w:bottom w:val="single" w:sz="2" w:space="0" w:color="808080" w:themeColor="background1" w:themeShade="80"/>
            </w:tcBorders>
          </w:tcPr>
          <w:p w14:paraId="66B2B396" w14:textId="70870E5A" w:rsidR="00B83FE9" w:rsidRDefault="00F9420D" w:rsidP="002530E4">
            <w:pPr>
              <w:pStyle w:val="Tabletext"/>
              <w:jc w:val="right"/>
            </w:pPr>
            <w:r w:rsidRPr="00244ABB">
              <w:t>55%</w:t>
            </w:r>
          </w:p>
        </w:tc>
        <w:tc>
          <w:tcPr>
            <w:tcW w:w="665" w:type="pct"/>
            <w:tcBorders>
              <w:top w:val="single" w:sz="2" w:space="0" w:color="808080" w:themeColor="background1" w:themeShade="80"/>
              <w:bottom w:val="single" w:sz="2" w:space="0" w:color="808080" w:themeColor="background1" w:themeShade="80"/>
            </w:tcBorders>
          </w:tcPr>
          <w:p w14:paraId="70A06E6F" w14:textId="77777777" w:rsidR="00B83FE9" w:rsidRPr="002F6927" w:rsidRDefault="00B83FE9" w:rsidP="002530E4">
            <w:pPr>
              <w:pStyle w:val="Tabletext"/>
              <w:jc w:val="right"/>
              <w:rPr>
                <w:b/>
                <w:bCs/>
              </w:rPr>
            </w:pPr>
            <w:r w:rsidRPr="002F6927">
              <w:rPr>
                <w:b/>
                <w:bCs/>
              </w:rPr>
              <w:t xml:space="preserve"> $89 </w:t>
            </w:r>
          </w:p>
        </w:tc>
      </w:tr>
      <w:tr w:rsidR="006324E9" w14:paraId="6714FE10" w14:textId="77777777" w:rsidTr="006324E9">
        <w:trPr>
          <w:trHeight w:val="316"/>
        </w:trPr>
        <w:tc>
          <w:tcPr>
            <w:tcW w:w="884" w:type="pct"/>
            <w:tcBorders>
              <w:top w:val="single" w:sz="2" w:space="0" w:color="808080" w:themeColor="background1" w:themeShade="80"/>
              <w:bottom w:val="single" w:sz="2" w:space="0" w:color="808080" w:themeColor="background1" w:themeShade="80"/>
            </w:tcBorders>
          </w:tcPr>
          <w:p w14:paraId="4CB87DCE" w14:textId="77777777" w:rsidR="00B83FE9" w:rsidRPr="00266DCE" w:rsidRDefault="00B83FE9" w:rsidP="00266DCE">
            <w:pPr>
              <w:pStyle w:val="Tabletext"/>
            </w:pPr>
            <w:r w:rsidRPr="00266DCE">
              <w:t>Missing</w:t>
            </w:r>
          </w:p>
        </w:tc>
        <w:tc>
          <w:tcPr>
            <w:tcW w:w="438" w:type="pct"/>
            <w:tcBorders>
              <w:top w:val="single" w:sz="2" w:space="0" w:color="808080" w:themeColor="background1" w:themeShade="80"/>
              <w:bottom w:val="single" w:sz="2" w:space="0" w:color="808080" w:themeColor="background1" w:themeShade="80"/>
            </w:tcBorders>
          </w:tcPr>
          <w:p w14:paraId="5CBF2FD6" w14:textId="083E7A66" w:rsidR="00B83FE9" w:rsidRDefault="00F9420D" w:rsidP="002530E4">
            <w:pPr>
              <w:pStyle w:val="Tabletext"/>
              <w:jc w:val="right"/>
            </w:pPr>
            <w:r w:rsidRPr="00244ABB">
              <w:t>17%</w:t>
            </w:r>
          </w:p>
        </w:tc>
        <w:tc>
          <w:tcPr>
            <w:tcW w:w="777" w:type="pct"/>
            <w:tcBorders>
              <w:top w:val="single" w:sz="2" w:space="0" w:color="808080" w:themeColor="background1" w:themeShade="80"/>
              <w:bottom w:val="single" w:sz="2" w:space="0" w:color="808080" w:themeColor="background1" w:themeShade="80"/>
            </w:tcBorders>
          </w:tcPr>
          <w:p w14:paraId="2D9B0314" w14:textId="5FEA5D84" w:rsidR="00B83FE9" w:rsidRDefault="00F9420D" w:rsidP="002530E4">
            <w:pPr>
              <w:pStyle w:val="Tabletext"/>
              <w:jc w:val="right"/>
            </w:pPr>
            <w:r w:rsidRPr="00244ABB">
              <w:t>2%</w:t>
            </w:r>
          </w:p>
        </w:tc>
        <w:tc>
          <w:tcPr>
            <w:tcW w:w="576" w:type="pct"/>
            <w:tcBorders>
              <w:top w:val="single" w:sz="2" w:space="0" w:color="808080" w:themeColor="background1" w:themeShade="80"/>
              <w:bottom w:val="single" w:sz="2" w:space="0" w:color="808080" w:themeColor="background1" w:themeShade="80"/>
            </w:tcBorders>
          </w:tcPr>
          <w:p w14:paraId="2ED1E40B" w14:textId="3D126F37" w:rsidR="00B83FE9" w:rsidRDefault="00F9420D" w:rsidP="002530E4">
            <w:pPr>
              <w:pStyle w:val="Tabletext"/>
              <w:jc w:val="right"/>
            </w:pPr>
            <w:r w:rsidRPr="00244ABB">
              <w:t>15%</w:t>
            </w:r>
          </w:p>
        </w:tc>
        <w:tc>
          <w:tcPr>
            <w:tcW w:w="574" w:type="pct"/>
            <w:tcBorders>
              <w:top w:val="single" w:sz="2" w:space="0" w:color="808080" w:themeColor="background1" w:themeShade="80"/>
              <w:bottom w:val="single" w:sz="2" w:space="0" w:color="808080" w:themeColor="background1" w:themeShade="80"/>
            </w:tcBorders>
          </w:tcPr>
          <w:p w14:paraId="4526424D" w14:textId="074157CB" w:rsidR="00B83FE9" w:rsidRDefault="00F9420D" w:rsidP="002530E4">
            <w:pPr>
              <w:pStyle w:val="Tabletext"/>
              <w:jc w:val="right"/>
            </w:pPr>
            <w:r w:rsidRPr="00244ABB">
              <w:t>28%</w:t>
            </w:r>
          </w:p>
        </w:tc>
        <w:tc>
          <w:tcPr>
            <w:tcW w:w="576" w:type="pct"/>
            <w:tcBorders>
              <w:top w:val="single" w:sz="2" w:space="0" w:color="808080" w:themeColor="background1" w:themeShade="80"/>
              <w:bottom w:val="single" w:sz="2" w:space="0" w:color="808080" w:themeColor="background1" w:themeShade="80"/>
            </w:tcBorders>
          </w:tcPr>
          <w:p w14:paraId="67CA68AD" w14:textId="70D1ACCF" w:rsidR="00B83FE9" w:rsidRDefault="00F9420D" w:rsidP="002530E4">
            <w:pPr>
              <w:pStyle w:val="Tabletext"/>
              <w:jc w:val="right"/>
            </w:pPr>
            <w:r w:rsidRPr="00244ABB">
              <w:t>2%</w:t>
            </w:r>
          </w:p>
        </w:tc>
        <w:tc>
          <w:tcPr>
            <w:tcW w:w="510" w:type="pct"/>
            <w:tcBorders>
              <w:top w:val="single" w:sz="2" w:space="0" w:color="808080" w:themeColor="background1" w:themeShade="80"/>
              <w:bottom w:val="single" w:sz="2" w:space="0" w:color="808080" w:themeColor="background1" w:themeShade="80"/>
            </w:tcBorders>
          </w:tcPr>
          <w:p w14:paraId="5B1E937B" w14:textId="36DF6587" w:rsidR="00B83FE9" w:rsidRDefault="00F9420D" w:rsidP="002530E4">
            <w:pPr>
              <w:pStyle w:val="Tabletext"/>
              <w:jc w:val="right"/>
            </w:pPr>
            <w:r w:rsidRPr="00244ABB">
              <w:t>36%</w:t>
            </w:r>
          </w:p>
        </w:tc>
        <w:tc>
          <w:tcPr>
            <w:tcW w:w="665" w:type="pct"/>
            <w:tcBorders>
              <w:top w:val="single" w:sz="2" w:space="0" w:color="808080" w:themeColor="background1" w:themeShade="80"/>
              <w:bottom w:val="single" w:sz="2" w:space="0" w:color="808080" w:themeColor="background1" w:themeShade="80"/>
            </w:tcBorders>
          </w:tcPr>
          <w:p w14:paraId="3F0CBF55" w14:textId="3346CE46" w:rsidR="00B83FE9" w:rsidRPr="002F6927" w:rsidRDefault="00B83FE9" w:rsidP="00BF45BE">
            <w:pPr>
              <w:pStyle w:val="Tabletext"/>
              <w:keepNext/>
              <w:jc w:val="right"/>
              <w:rPr>
                <w:b/>
                <w:bCs/>
              </w:rPr>
            </w:pPr>
            <w:r w:rsidRPr="002F6927">
              <w:rPr>
                <w:b/>
                <w:bCs/>
              </w:rPr>
              <w:t xml:space="preserve"> $9</w:t>
            </w:r>
            <w:r w:rsidR="00F9420D">
              <w:rPr>
                <w:b/>
                <w:bCs/>
              </w:rPr>
              <w:t>2</w:t>
            </w:r>
            <w:r w:rsidRPr="002F6927">
              <w:rPr>
                <w:b/>
                <w:bCs/>
              </w:rPr>
              <w:t xml:space="preserve"> </w:t>
            </w:r>
          </w:p>
        </w:tc>
      </w:tr>
    </w:tbl>
    <w:p w14:paraId="1B6207C1" w14:textId="7BAEBCB8" w:rsidR="00FC445F" w:rsidRPr="00E96851" w:rsidRDefault="00BF45BE" w:rsidP="00FC445F">
      <w:pPr>
        <w:pStyle w:val="Source"/>
        <w:rPr>
          <w:iCs/>
          <w:szCs w:val="16"/>
        </w:rPr>
      </w:pPr>
      <w:r w:rsidRPr="00704952">
        <w:t>Source</w:t>
      </w:r>
      <w:r w:rsidR="002235A2" w:rsidRPr="00704952">
        <w:rPr>
          <w:i/>
          <w:szCs w:val="16"/>
        </w:rPr>
        <w:t>:</w:t>
      </w:r>
      <w:r w:rsidRPr="00704952">
        <w:rPr>
          <w:i/>
          <w:szCs w:val="16"/>
        </w:rPr>
        <w:t xml:space="preserve"> </w:t>
      </w:r>
      <w:r w:rsidR="002235A2" w:rsidRPr="00E96851">
        <w:rPr>
          <w:iCs/>
          <w:szCs w:val="16"/>
        </w:rPr>
        <w:t>KPMG</w:t>
      </w:r>
      <w:r w:rsidRPr="00E96851">
        <w:rPr>
          <w:iCs/>
          <w:szCs w:val="16"/>
        </w:rPr>
        <w:t xml:space="preserve"> analysis of the hMDS dataset and Medicare Benefit</w:t>
      </w:r>
      <w:r w:rsidR="00985E84" w:rsidRPr="00E96851">
        <w:rPr>
          <w:iCs/>
          <w:szCs w:val="16"/>
        </w:rPr>
        <w:t>s</w:t>
      </w:r>
      <w:r w:rsidRPr="00E96851">
        <w:rPr>
          <w:iCs/>
          <w:szCs w:val="16"/>
        </w:rPr>
        <w:t xml:space="preserve"> Schedule &amp; AIHW Medicare-subsidised GP, allied health and specialist health care across local areas: 2013–14 to 2018–19</w:t>
      </w:r>
      <w:r w:rsidR="00CC0438">
        <w:rPr>
          <w:rFonts w:ascii="ZWAdobeF" w:hAnsi="ZWAdobeF" w:cs="ZWAdobeF"/>
          <w:iCs/>
          <w:sz w:val="2"/>
          <w:szCs w:val="2"/>
        </w:rPr>
        <w:t>242F</w:t>
      </w:r>
      <w:r w:rsidR="00BE10E1" w:rsidRPr="00E96851">
        <w:rPr>
          <w:rStyle w:val="FootnoteReference"/>
          <w:iCs/>
          <w:szCs w:val="16"/>
        </w:rPr>
        <w:footnoteReference w:id="244"/>
      </w:r>
      <w:r w:rsidR="00AA0474">
        <w:rPr>
          <w:iCs/>
          <w:szCs w:val="16"/>
        </w:rPr>
        <w:t>.</w:t>
      </w:r>
      <w:r w:rsidR="00B2777A" w:rsidRPr="00E96851">
        <w:rPr>
          <w:iCs/>
        </w:rPr>
        <w:t xml:space="preserve"> </w:t>
      </w:r>
      <w:r w:rsidR="007F2BAC" w:rsidRPr="00E96851">
        <w:rPr>
          <w:iCs/>
          <w:szCs w:val="16"/>
        </w:rPr>
        <w:t>Psych: Psychologist.</w:t>
      </w:r>
    </w:p>
    <w:p w14:paraId="023E89F0" w14:textId="2CA5A0AD" w:rsidR="00F7268C" w:rsidRPr="00E96851" w:rsidRDefault="00F7268C" w:rsidP="00F7268C">
      <w:pPr>
        <w:pStyle w:val="Source"/>
        <w:rPr>
          <w:iCs/>
          <w:szCs w:val="16"/>
        </w:rPr>
      </w:pPr>
      <w:r w:rsidRPr="00E96851">
        <w:rPr>
          <w:iCs/>
        </w:rPr>
        <w:t>1</w:t>
      </w:r>
      <w:r w:rsidRPr="00E96851">
        <w:rPr>
          <w:iCs/>
          <w:szCs w:val="16"/>
        </w:rPr>
        <w:t xml:space="preserve">: Estimated from </w:t>
      </w:r>
      <w:r w:rsidR="006C588C" w:rsidRPr="00E96851">
        <w:rPr>
          <w:iCs/>
          <w:szCs w:val="16"/>
        </w:rPr>
        <w:t>the average fees reported in the MBS schedule.</w:t>
      </w:r>
    </w:p>
    <w:p w14:paraId="53EFFC66" w14:textId="51F36A36" w:rsidR="00F7268C" w:rsidRPr="00F7268C" w:rsidRDefault="00F7268C" w:rsidP="000244E4">
      <w:pPr>
        <w:pStyle w:val="BodyText"/>
      </w:pPr>
    </w:p>
    <w:p w14:paraId="7346309B" w14:textId="77777777" w:rsidR="006A7AE2" w:rsidRDefault="006A7AE2" w:rsidP="00BC225F">
      <w:pPr>
        <w:pStyle w:val="BodyText"/>
      </w:pPr>
    </w:p>
    <w:p w14:paraId="30AFAA37" w14:textId="18F3C4CA" w:rsidR="00486E9E" w:rsidRPr="00503EF7" w:rsidRDefault="00486E9E" w:rsidP="00486E9E">
      <w:pPr>
        <w:pStyle w:val="Appendixheading"/>
      </w:pPr>
      <w:bookmarkStart w:id="424" w:name="_Ref93922171"/>
      <w:bookmarkStart w:id="425" w:name="_Ref104971146"/>
      <w:bookmarkStart w:id="426" w:name="_Ref104981758"/>
      <w:bookmarkStart w:id="427" w:name="_Toc108174004"/>
      <w:r>
        <w:t xml:space="preserve">: </w:t>
      </w:r>
      <w:bookmarkEnd w:id="424"/>
      <w:r w:rsidR="001C088F">
        <w:t xml:space="preserve">Economic evaluation </w:t>
      </w:r>
      <w:bookmarkEnd w:id="425"/>
      <w:r w:rsidR="000404DF">
        <w:t>parameters and inputs</w:t>
      </w:r>
      <w:bookmarkEnd w:id="426"/>
      <w:bookmarkEnd w:id="427"/>
      <w:r>
        <w:t xml:space="preserve"> </w:t>
      </w:r>
    </w:p>
    <w:p w14:paraId="0C62B6C9" w14:textId="26F6A073" w:rsidR="00246BF8" w:rsidRDefault="00246BF8" w:rsidP="00246BF8">
      <w:pPr>
        <w:pStyle w:val="BodyText"/>
      </w:pPr>
      <w:r>
        <w:t>This section provides further details and assumptions for the parameters generated for the economic evaluation of headspace.</w:t>
      </w:r>
      <w:r w:rsidR="00A54881">
        <w:t xml:space="preserve"> It also includes a summary of the sensitivity analysis scenarios and the proposed variation to examine how the results change in response.</w:t>
      </w:r>
    </w:p>
    <w:p w14:paraId="4CC2464F" w14:textId="25ECE6E5" w:rsidR="00D1716A" w:rsidRDefault="00D1716A" w:rsidP="00E96851">
      <w:pPr>
        <w:pStyle w:val="AppendixHeading2"/>
      </w:pPr>
      <w:r>
        <w:t>Costs</w:t>
      </w:r>
    </w:p>
    <w:p w14:paraId="278843A9" w14:textId="75F82A0F" w:rsidR="000104F7" w:rsidRDefault="00D1716A" w:rsidP="009815F2">
      <w:pPr>
        <w:pStyle w:val="BodyText"/>
        <w:keepNext/>
        <w:keepLines/>
      </w:pPr>
      <w:r>
        <w:t xml:space="preserve">There are no detailed accounts that </w:t>
      </w:r>
      <w:r w:rsidR="004A542F">
        <w:t>provides specific and detailed estimates of</w:t>
      </w:r>
      <w:r>
        <w:t xml:space="preserve"> the cost of</w:t>
      </w:r>
      <w:r w:rsidR="00286EC5">
        <w:t xml:space="preserve"> directly</w:t>
      </w:r>
      <w:r>
        <w:t xml:space="preserve"> providing mental health services by </w:t>
      </w:r>
      <w:r w:rsidR="004A542F">
        <w:t>headspace</w:t>
      </w:r>
      <w:r w:rsidRPr="009078BB">
        <w:t>.</w:t>
      </w:r>
      <w:r w:rsidR="000104F7">
        <w:t xml:space="preserve"> Instead, this evaluation assumes that, in the base case, 75</w:t>
      </w:r>
      <w:r w:rsidR="00D90707">
        <w:t xml:space="preserve"> per cent</w:t>
      </w:r>
      <w:r w:rsidR="000104F7">
        <w:t xml:space="preserve"> of the headspace budget is dedic</w:t>
      </w:r>
      <w:r w:rsidR="004D1498">
        <w:t>ated</w:t>
      </w:r>
      <w:r w:rsidR="000104F7">
        <w:t xml:space="preserve"> to directly delivering mental health services.</w:t>
      </w:r>
      <w:r w:rsidR="00661132">
        <w:t xml:space="preserve"> This assumption was informed by a deep</w:t>
      </w:r>
      <w:r w:rsidR="009164AC">
        <w:t xml:space="preserve"> </w:t>
      </w:r>
      <w:r w:rsidR="00661132">
        <w:t>dive study of six headspace services and considers that the remaining 25</w:t>
      </w:r>
      <w:r w:rsidR="00D90707">
        <w:t xml:space="preserve"> per cent</w:t>
      </w:r>
      <w:r w:rsidR="00661132">
        <w:t xml:space="preserve"> of resources are used for activities that generate benefits not captured in this evaluation.</w:t>
      </w:r>
      <w:r w:rsidR="0030282B">
        <w:t xml:space="preserve"> This is a major source of uncertainty. To compensate, a plausible range of values were defined </w:t>
      </w:r>
      <w:r w:rsidR="00005080">
        <w:t>to explore how the main results changed over this defined range.</w:t>
      </w:r>
    </w:p>
    <w:p w14:paraId="08D80CAA" w14:textId="4C726ED8" w:rsidR="00D1716A" w:rsidRDefault="00D1716A" w:rsidP="009815F2">
      <w:pPr>
        <w:pStyle w:val="BodyText"/>
      </w:pPr>
      <w:r>
        <w:t>In the base case, it is assumed that 75</w:t>
      </w:r>
      <w:r w:rsidR="00D90707">
        <w:t xml:space="preserve"> per cent</w:t>
      </w:r>
      <w:r>
        <w:t xml:space="preserve"> of the </w:t>
      </w:r>
      <w:r w:rsidR="004C07E6">
        <w:t>headspace</w:t>
      </w:r>
      <w:r>
        <w:t xml:space="preserve"> budget is dedicated to delivering mental health services. The plausible range was defined as 75</w:t>
      </w:r>
      <w:r w:rsidR="00D90707">
        <w:t xml:space="preserve"> per</w:t>
      </w:r>
      <w:r w:rsidR="003B7EB2">
        <w:t xml:space="preserve"> </w:t>
      </w:r>
      <w:r w:rsidR="00D90707">
        <w:t>cent</w:t>
      </w:r>
      <w:r>
        <w:t xml:space="preserve"> </w:t>
      </w:r>
      <w:r>
        <w:rPr>
          <w:rFonts w:cstheme="minorHAnsi"/>
        </w:rPr>
        <w:t>±</w:t>
      </w:r>
      <w:r>
        <w:t>15 percentage points.</w:t>
      </w:r>
    </w:p>
    <w:p w14:paraId="074B098D" w14:textId="325E2DBD" w:rsidR="00D1716A" w:rsidRDefault="00D1716A" w:rsidP="009815F2">
      <w:pPr>
        <w:pStyle w:val="BodyText"/>
      </w:pPr>
      <w:r>
        <w:t xml:space="preserve">To reflect the importance of </w:t>
      </w:r>
      <w:r w:rsidR="004C07E6">
        <w:t>headspace</w:t>
      </w:r>
      <w:r>
        <w:t xml:space="preserve"> providing services free at the point of delivery to the </w:t>
      </w:r>
      <w:r w:rsidR="00A1283E">
        <w:t>young person</w:t>
      </w:r>
      <w:r>
        <w:t xml:space="preserve"> in need, the base case analysis includes the costs that fall on the users of services. This is referred to in </w:t>
      </w:r>
      <w:r w:rsidR="002B45AD">
        <w:fldChar w:fldCharType="begin" w:fldLock="1"/>
      </w:r>
      <w:r w:rsidR="002B45AD">
        <w:instrText xml:space="preserve"> REF _Ref104893661 \h </w:instrText>
      </w:r>
      <w:r w:rsidR="002B45AD">
        <w:fldChar w:fldCharType="separate"/>
      </w:r>
      <w:r w:rsidR="004A7B8F">
        <w:t xml:space="preserve">Table </w:t>
      </w:r>
      <w:r w:rsidR="004A7B8F">
        <w:rPr>
          <w:noProof/>
        </w:rPr>
        <w:t>18</w:t>
      </w:r>
      <w:r w:rsidR="002B45AD">
        <w:fldChar w:fldCharType="end"/>
      </w:r>
      <w:r w:rsidR="002B45AD">
        <w:t xml:space="preserve"> in Section </w:t>
      </w:r>
      <w:r w:rsidR="002B45AD">
        <w:fldChar w:fldCharType="begin" w:fldLock="1"/>
      </w:r>
      <w:r w:rsidR="002B45AD">
        <w:instrText xml:space="preserve"> REF _Ref98316825 \r \h </w:instrText>
      </w:r>
      <w:r w:rsidR="002B45AD">
        <w:fldChar w:fldCharType="separate"/>
      </w:r>
      <w:r w:rsidR="002B45AD">
        <w:t>4.2</w:t>
      </w:r>
      <w:r w:rsidR="002B45AD">
        <w:fldChar w:fldCharType="end"/>
      </w:r>
      <w:r w:rsidR="002B45AD">
        <w:t xml:space="preserve"> </w:t>
      </w:r>
      <w:r>
        <w:t>as the e</w:t>
      </w:r>
      <w:r w:rsidRPr="003627F8">
        <w:t>xtended payer perspective</w:t>
      </w:r>
      <w:r>
        <w:t xml:space="preserve"> accounts </w:t>
      </w:r>
      <w:r w:rsidR="007A2704">
        <w:t>for th</w:t>
      </w:r>
      <w:r>
        <w:t>e costs of the sponsors of care (e.g</w:t>
      </w:r>
      <w:r w:rsidR="007E76A0">
        <w:t>.,</w:t>
      </w:r>
      <w:r>
        <w:t xml:space="preserve"> government, donors) as well as the direct costs of care </w:t>
      </w:r>
      <w:r w:rsidR="007A2704">
        <w:t>incurred by the young person</w:t>
      </w:r>
      <w:r>
        <w:t>.</w:t>
      </w:r>
    </w:p>
    <w:p w14:paraId="5555B8B8" w14:textId="4B1799BD" w:rsidR="00D1716A" w:rsidRPr="009078BB" w:rsidRDefault="00D1716A" w:rsidP="009815F2">
      <w:pPr>
        <w:pStyle w:val="BodyText"/>
      </w:pPr>
      <w:r w:rsidRPr="009078BB">
        <w:t xml:space="preserve">The </w:t>
      </w:r>
      <w:r>
        <w:t>evaluation</w:t>
      </w:r>
      <w:r w:rsidRPr="009078BB">
        <w:t xml:space="preserve"> examines the </w:t>
      </w:r>
      <w:r>
        <w:t xml:space="preserve">costs </w:t>
      </w:r>
      <w:r w:rsidRPr="009078BB">
        <w:t xml:space="preserve">from </w:t>
      </w:r>
      <w:r w:rsidR="00080644">
        <w:t>EOC</w:t>
      </w:r>
      <w:r>
        <w:t xml:space="preserve"> completed </w:t>
      </w:r>
      <w:r w:rsidRPr="009078BB">
        <w:t xml:space="preserve">in 2019-20 </w:t>
      </w:r>
      <w:r>
        <w:t xml:space="preserve">to align costs with </w:t>
      </w:r>
      <w:r w:rsidRPr="009078BB">
        <w:t xml:space="preserve">the availability of outcome data </w:t>
      </w:r>
      <w:r w:rsidRPr="009815F2">
        <w:t>upon</w:t>
      </w:r>
      <w:r w:rsidRPr="009078BB">
        <w:t xml:space="preserve"> treatment completion</w:t>
      </w:r>
      <w:r w:rsidR="00A76709">
        <w:t xml:space="preserve"> or episode closure</w:t>
      </w:r>
      <w:r w:rsidRPr="009078BB">
        <w:t xml:space="preserve">. </w:t>
      </w:r>
      <w:r w:rsidR="00A60A33">
        <w:fldChar w:fldCharType="begin" w:fldLock="1"/>
      </w:r>
      <w:r w:rsidR="00A60A33">
        <w:instrText xml:space="preserve"> REF _Ref104966658 \h </w:instrText>
      </w:r>
      <w:r w:rsidR="00A60A33">
        <w:fldChar w:fldCharType="separate"/>
      </w:r>
      <w:r w:rsidR="004A7B8F">
        <w:t xml:space="preserve">Table </w:t>
      </w:r>
      <w:r w:rsidR="004A7B8F">
        <w:rPr>
          <w:noProof/>
        </w:rPr>
        <w:t>85</w:t>
      </w:r>
      <w:r w:rsidR="00A60A33">
        <w:fldChar w:fldCharType="end"/>
      </w:r>
      <w:r w:rsidRPr="009078BB">
        <w:t xml:space="preserve"> presents the cost calculations for the cost-effectiveness analysis. During 2019-20, there were 401,325 </w:t>
      </w:r>
      <w:r w:rsidR="00525ED1">
        <w:t>OOS</w:t>
      </w:r>
      <w:r w:rsidRPr="009078BB">
        <w:t xml:space="preserve"> delivered in 112 </w:t>
      </w:r>
      <w:r w:rsidR="00FE2100">
        <w:t>headspace</w:t>
      </w:r>
      <w:r w:rsidRPr="009078BB">
        <w:t xml:space="preserve"> services. The average cost </w:t>
      </w:r>
      <w:r>
        <w:t xml:space="preserve">of delivering an </w:t>
      </w:r>
      <w:r w:rsidR="00525ED1">
        <w:t>OOS</w:t>
      </w:r>
      <w:r w:rsidRPr="009078BB">
        <w:t xml:space="preserve"> was </w:t>
      </w:r>
      <w:r>
        <w:t xml:space="preserve">determined as </w:t>
      </w:r>
      <w:r w:rsidRPr="009078BB">
        <w:t>$230 under the assumption that the direct</w:t>
      </w:r>
      <w:r>
        <w:t xml:space="preserve"> and indirect costs of providing treatment </w:t>
      </w:r>
      <w:r w:rsidRPr="009078BB">
        <w:t>service</w:t>
      </w:r>
      <w:r>
        <w:t>s</w:t>
      </w:r>
      <w:r w:rsidRPr="009078BB">
        <w:t xml:space="preserve"> account for 75</w:t>
      </w:r>
      <w:r w:rsidR="00CE08EB">
        <w:t xml:space="preserve"> per cent</w:t>
      </w:r>
      <w:r w:rsidRPr="009078BB">
        <w:t xml:space="preserve"> of the total cost. </w:t>
      </w:r>
    </w:p>
    <w:p w14:paraId="322F451C" w14:textId="73B12363" w:rsidR="00AB6B7A" w:rsidRDefault="00AB6B7A" w:rsidP="00AB6B7A">
      <w:pPr>
        <w:pStyle w:val="Caption"/>
      </w:pPr>
      <w:bookmarkStart w:id="428" w:name="_Ref104966658"/>
      <w:bookmarkStart w:id="429" w:name="_Toc108109035"/>
      <w:r>
        <w:t xml:space="preserve">Table </w:t>
      </w:r>
      <w:r>
        <w:fldChar w:fldCharType="begin"/>
      </w:r>
      <w:r>
        <w:instrText>SEQ Table \* ARABIC</w:instrText>
      </w:r>
      <w:r>
        <w:fldChar w:fldCharType="separate"/>
      </w:r>
      <w:r w:rsidR="00CC0438">
        <w:rPr>
          <w:noProof/>
        </w:rPr>
        <w:t>85</w:t>
      </w:r>
      <w:r>
        <w:fldChar w:fldCharType="end"/>
      </w:r>
      <w:bookmarkEnd w:id="428"/>
      <w:r>
        <w:t xml:space="preserve">: headspace </w:t>
      </w:r>
      <w:r w:rsidR="00525ED1">
        <w:t>OOS</w:t>
      </w:r>
      <w:r>
        <w:t xml:space="preserve"> cost determination</w:t>
      </w:r>
      <w:bookmarkEnd w:id="429"/>
    </w:p>
    <w:tbl>
      <w:tblPr>
        <w:tblStyle w:val="TableGrid"/>
        <w:tblW w:w="8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headspace OOS cost determination"/>
        <w:tblDescription w:val="Table has 2 columns summarising headspace cost analysis inputs. Column 1 lists the inputs, and column 2 summarises the relevant value of the input."/>
      </w:tblPr>
      <w:tblGrid>
        <w:gridCol w:w="5746"/>
        <w:gridCol w:w="2782"/>
      </w:tblGrid>
      <w:tr w:rsidR="0049758E" w:rsidRPr="00B97501" w14:paraId="6539981D" w14:textId="77777777" w:rsidTr="00AB709E">
        <w:trPr>
          <w:trHeight w:val="37"/>
        </w:trPr>
        <w:tc>
          <w:tcPr>
            <w:tcW w:w="5746" w:type="dxa"/>
            <w:shd w:val="clear" w:color="auto" w:fill="00338D" w:themeFill="background2"/>
          </w:tcPr>
          <w:p w14:paraId="3624C408" w14:textId="371316A3" w:rsidR="0049758E" w:rsidRPr="0049758E" w:rsidRDefault="0049758E" w:rsidP="0094293F">
            <w:pPr>
              <w:pStyle w:val="Tableheading"/>
            </w:pPr>
            <w:r w:rsidRPr="0049758E">
              <w:t>Variable</w:t>
            </w:r>
          </w:p>
        </w:tc>
        <w:tc>
          <w:tcPr>
            <w:tcW w:w="2782" w:type="dxa"/>
            <w:shd w:val="clear" w:color="auto" w:fill="00338D" w:themeFill="background2"/>
          </w:tcPr>
          <w:p w14:paraId="3B812A1E" w14:textId="7916411F" w:rsidR="0049758E" w:rsidRPr="0049758E" w:rsidRDefault="0049758E" w:rsidP="0094293F">
            <w:pPr>
              <w:pStyle w:val="Tableheading"/>
            </w:pPr>
            <w:r w:rsidRPr="0049758E">
              <w:t>Value</w:t>
            </w:r>
          </w:p>
        </w:tc>
      </w:tr>
      <w:tr w:rsidR="00D1716A" w:rsidRPr="00B97501" w14:paraId="510BD8DC" w14:textId="77777777" w:rsidTr="00AB709E">
        <w:trPr>
          <w:trHeight w:val="37"/>
        </w:trPr>
        <w:tc>
          <w:tcPr>
            <w:tcW w:w="5746" w:type="dxa"/>
          </w:tcPr>
          <w:p w14:paraId="0D7077CE" w14:textId="77777777" w:rsidR="00D1716A" w:rsidRPr="00B97501" w:rsidRDefault="00D1716A" w:rsidP="0094293F">
            <w:pPr>
              <w:pStyle w:val="Tabletext"/>
            </w:pPr>
            <w:r w:rsidRPr="00B97501">
              <w:t xml:space="preserve">Total cost </w:t>
            </w:r>
          </w:p>
        </w:tc>
        <w:tc>
          <w:tcPr>
            <w:tcW w:w="2782" w:type="dxa"/>
          </w:tcPr>
          <w:p w14:paraId="2EB0D5EE" w14:textId="77777777" w:rsidR="00D1716A" w:rsidRPr="00B97501" w:rsidRDefault="00D1716A" w:rsidP="0094293F">
            <w:pPr>
              <w:pStyle w:val="Tabletext"/>
            </w:pPr>
            <w:r w:rsidRPr="00B97501">
              <w:t>$123,304,645</w:t>
            </w:r>
          </w:p>
        </w:tc>
      </w:tr>
      <w:tr w:rsidR="00D1716A" w:rsidRPr="00B97501" w14:paraId="2D87DC72" w14:textId="77777777" w:rsidTr="00AB709E">
        <w:trPr>
          <w:trHeight w:val="37"/>
        </w:trPr>
        <w:tc>
          <w:tcPr>
            <w:tcW w:w="5746" w:type="dxa"/>
          </w:tcPr>
          <w:p w14:paraId="4E8B621D" w14:textId="77777777" w:rsidR="00D1716A" w:rsidRPr="00B97501" w:rsidRDefault="00D1716A" w:rsidP="0094293F">
            <w:pPr>
              <w:pStyle w:val="Tabletext"/>
            </w:pPr>
            <w:r>
              <w:t>Cost attributed to delivering treatment (75%)</w:t>
            </w:r>
          </w:p>
        </w:tc>
        <w:tc>
          <w:tcPr>
            <w:tcW w:w="2782" w:type="dxa"/>
          </w:tcPr>
          <w:p w14:paraId="543FC57B" w14:textId="77777777" w:rsidR="00D1716A" w:rsidRPr="00B97501" w:rsidRDefault="00D1716A" w:rsidP="0094293F">
            <w:pPr>
              <w:pStyle w:val="Tabletext"/>
            </w:pPr>
            <w:r w:rsidRPr="008C4B85">
              <w:t>$92,478,484</w:t>
            </w:r>
          </w:p>
        </w:tc>
      </w:tr>
      <w:tr w:rsidR="00D1716A" w:rsidRPr="00B97501" w14:paraId="6DD7631F" w14:textId="77777777" w:rsidTr="00AB709E">
        <w:trPr>
          <w:trHeight w:val="37"/>
        </w:trPr>
        <w:tc>
          <w:tcPr>
            <w:tcW w:w="5746" w:type="dxa"/>
          </w:tcPr>
          <w:p w14:paraId="5020D64F" w14:textId="4F1E1124" w:rsidR="00D1716A" w:rsidRPr="00B97501" w:rsidRDefault="00D1716A" w:rsidP="0094293F">
            <w:pPr>
              <w:pStyle w:val="Tabletext"/>
            </w:pPr>
            <w:r w:rsidRPr="00B97501">
              <w:t xml:space="preserve">Number of </w:t>
            </w:r>
            <w:r w:rsidR="006E7DB0">
              <w:t>O</w:t>
            </w:r>
            <w:r w:rsidR="003C1E68">
              <w:t>O</w:t>
            </w:r>
            <w:r w:rsidR="006E7DB0">
              <w:t>S</w:t>
            </w:r>
          </w:p>
        </w:tc>
        <w:tc>
          <w:tcPr>
            <w:tcW w:w="2782" w:type="dxa"/>
          </w:tcPr>
          <w:p w14:paraId="16CA66D3" w14:textId="77777777" w:rsidR="00D1716A" w:rsidRPr="00B97501" w:rsidRDefault="00D1716A" w:rsidP="0094293F">
            <w:pPr>
              <w:pStyle w:val="Tabletext"/>
            </w:pPr>
            <w:r w:rsidRPr="00B97501">
              <w:t>401,325</w:t>
            </w:r>
          </w:p>
        </w:tc>
      </w:tr>
      <w:tr w:rsidR="00D1716A" w:rsidRPr="00B97501" w14:paraId="09A12C2D" w14:textId="77777777" w:rsidTr="00AB709E">
        <w:trPr>
          <w:trHeight w:val="37"/>
        </w:trPr>
        <w:tc>
          <w:tcPr>
            <w:tcW w:w="5746" w:type="dxa"/>
          </w:tcPr>
          <w:p w14:paraId="7B029E7C" w14:textId="126FA24F" w:rsidR="00D1716A" w:rsidRPr="00B97501" w:rsidRDefault="00D1716A" w:rsidP="0094293F">
            <w:pPr>
              <w:pStyle w:val="Tabletext"/>
            </w:pPr>
            <w:r>
              <w:t>C</w:t>
            </w:r>
            <w:r w:rsidRPr="00B97501">
              <w:t xml:space="preserve">osts </w:t>
            </w:r>
            <w:r>
              <w:t xml:space="preserve">of delivering an </w:t>
            </w:r>
            <w:r w:rsidR="006E7DB0">
              <w:t>O</w:t>
            </w:r>
            <w:r w:rsidR="003C1E68">
              <w:t>O</w:t>
            </w:r>
            <w:r w:rsidR="006E7DB0">
              <w:t>S</w:t>
            </w:r>
            <w:r w:rsidR="00CC6C91">
              <w:t xml:space="preserve"> (a)</w:t>
            </w:r>
          </w:p>
        </w:tc>
        <w:tc>
          <w:tcPr>
            <w:tcW w:w="2782" w:type="dxa"/>
          </w:tcPr>
          <w:p w14:paraId="2E86EF90" w14:textId="77777777" w:rsidR="00D1716A" w:rsidRPr="00B97501" w:rsidRDefault="00D1716A" w:rsidP="0060690A">
            <w:pPr>
              <w:pStyle w:val="Tabletext"/>
            </w:pPr>
            <w:r w:rsidRPr="00B97501">
              <w:t>$230</w:t>
            </w:r>
          </w:p>
        </w:tc>
      </w:tr>
      <w:tr w:rsidR="00993A08" w:rsidRPr="00B97501" w14:paraId="34D4C479" w14:textId="77777777" w:rsidTr="00AB709E">
        <w:trPr>
          <w:trHeight w:val="37"/>
        </w:trPr>
        <w:tc>
          <w:tcPr>
            <w:tcW w:w="5746" w:type="dxa"/>
          </w:tcPr>
          <w:p w14:paraId="3B819CCB" w14:textId="5B26F398" w:rsidR="00993A08" w:rsidRDefault="00993A08" w:rsidP="0060690A">
            <w:pPr>
              <w:pStyle w:val="Tabletext"/>
            </w:pPr>
            <w:r>
              <w:t xml:space="preserve">Number of </w:t>
            </w:r>
            <w:r w:rsidR="009C028B">
              <w:t>O</w:t>
            </w:r>
            <w:r w:rsidR="003C1E68">
              <w:t>O</w:t>
            </w:r>
            <w:r w:rsidR="009C028B">
              <w:t>S</w:t>
            </w:r>
            <w:r>
              <w:t xml:space="preserve"> in closed episodes (b)</w:t>
            </w:r>
          </w:p>
        </w:tc>
        <w:tc>
          <w:tcPr>
            <w:tcW w:w="2782" w:type="dxa"/>
          </w:tcPr>
          <w:p w14:paraId="7668FD92" w14:textId="005BF553" w:rsidR="00993A08" w:rsidRPr="00B97501" w:rsidRDefault="00993A08" w:rsidP="0060690A">
            <w:pPr>
              <w:pStyle w:val="Tabletext"/>
            </w:pPr>
            <w:r w:rsidRPr="00FD5026">
              <w:t xml:space="preserve">181,269 </w:t>
            </w:r>
          </w:p>
        </w:tc>
      </w:tr>
      <w:tr w:rsidR="00993A08" w:rsidRPr="00B97501" w14:paraId="5378C4E5" w14:textId="77777777" w:rsidTr="00AB709E">
        <w:trPr>
          <w:trHeight w:val="37"/>
        </w:trPr>
        <w:tc>
          <w:tcPr>
            <w:tcW w:w="5746" w:type="dxa"/>
          </w:tcPr>
          <w:p w14:paraId="66E12FF0" w14:textId="62DF223B" w:rsidR="00993A08" w:rsidRPr="00FD5026" w:rsidRDefault="00993A08" w:rsidP="0060690A">
            <w:pPr>
              <w:pStyle w:val="Tabletext"/>
            </w:pPr>
            <w:r w:rsidRPr="00FD5026">
              <w:t>Included cost (a)x(b)</w:t>
            </w:r>
          </w:p>
        </w:tc>
        <w:tc>
          <w:tcPr>
            <w:tcW w:w="2782" w:type="dxa"/>
          </w:tcPr>
          <w:p w14:paraId="67F8EBBE" w14:textId="25310A4D" w:rsidR="00993A08" w:rsidRPr="00FD5026" w:rsidRDefault="00993A08" w:rsidP="0060690A">
            <w:pPr>
              <w:pStyle w:val="Tabletext"/>
            </w:pPr>
            <w:r w:rsidRPr="00FD5026">
              <w:t xml:space="preserve">$41,770,341 </w:t>
            </w:r>
          </w:p>
        </w:tc>
      </w:tr>
      <w:tr w:rsidR="00993A08" w:rsidRPr="00B97501" w14:paraId="2D0DF3E5" w14:textId="77777777" w:rsidTr="00AB709E">
        <w:trPr>
          <w:trHeight w:val="37"/>
        </w:trPr>
        <w:tc>
          <w:tcPr>
            <w:tcW w:w="5746" w:type="dxa"/>
          </w:tcPr>
          <w:p w14:paraId="1D634CEA" w14:textId="0B526944" w:rsidR="00993A08" w:rsidRPr="00FD5026" w:rsidRDefault="00993A08" w:rsidP="0060690A">
            <w:pPr>
              <w:pStyle w:val="Tabletext"/>
            </w:pPr>
            <w:r>
              <w:t>Number of closed episodes</w:t>
            </w:r>
          </w:p>
        </w:tc>
        <w:tc>
          <w:tcPr>
            <w:tcW w:w="2782" w:type="dxa"/>
          </w:tcPr>
          <w:p w14:paraId="058A7DEF" w14:textId="739D1DB5" w:rsidR="00993A08" w:rsidRPr="00FD5026" w:rsidRDefault="00993A08" w:rsidP="0060690A">
            <w:pPr>
              <w:pStyle w:val="Tabletext"/>
            </w:pPr>
            <w:r>
              <w:t>49,634</w:t>
            </w:r>
          </w:p>
        </w:tc>
      </w:tr>
      <w:tr w:rsidR="00993A08" w:rsidRPr="00B97501" w14:paraId="0F7942D9" w14:textId="77777777" w:rsidTr="00AB709E">
        <w:trPr>
          <w:trHeight w:val="37"/>
        </w:trPr>
        <w:tc>
          <w:tcPr>
            <w:tcW w:w="5746" w:type="dxa"/>
            <w:tcBorders>
              <w:bottom w:val="single" w:sz="4" w:space="0" w:color="auto"/>
            </w:tcBorders>
          </w:tcPr>
          <w:p w14:paraId="08023123" w14:textId="6564FE2B" w:rsidR="00993A08" w:rsidRDefault="00993A08" w:rsidP="0060690A">
            <w:pPr>
              <w:pStyle w:val="Tabletext"/>
            </w:pPr>
            <w:r>
              <w:t>Average cost per closed episodes</w:t>
            </w:r>
          </w:p>
        </w:tc>
        <w:tc>
          <w:tcPr>
            <w:tcW w:w="2782" w:type="dxa"/>
            <w:tcBorders>
              <w:bottom w:val="single" w:sz="4" w:space="0" w:color="auto"/>
            </w:tcBorders>
          </w:tcPr>
          <w:p w14:paraId="5723B23A" w14:textId="1E0F0C7B" w:rsidR="00993A08" w:rsidRDefault="00993A08" w:rsidP="0060690A">
            <w:pPr>
              <w:pStyle w:val="Tabletext"/>
            </w:pPr>
            <w:r>
              <w:t>$842</w:t>
            </w:r>
          </w:p>
        </w:tc>
      </w:tr>
    </w:tbl>
    <w:p w14:paraId="0C579C64" w14:textId="27ABDC89" w:rsidR="00417C16" w:rsidRDefault="00417C16" w:rsidP="00E96851">
      <w:pPr>
        <w:pStyle w:val="Source"/>
      </w:pPr>
      <w:r>
        <w:t xml:space="preserve">Source: </w:t>
      </w:r>
      <w:r w:rsidR="004645C4">
        <w:t>KPMG analysis of the cost-effectiveness dataset.</w:t>
      </w:r>
    </w:p>
    <w:p w14:paraId="07286B0E" w14:textId="7D927C56" w:rsidR="00D1716A" w:rsidRPr="004A4C77" w:rsidRDefault="00D1716A" w:rsidP="00E96851">
      <w:pPr>
        <w:pStyle w:val="Source"/>
        <w:rPr>
          <w:rFonts w:eastAsiaTheme="minorEastAsia"/>
        </w:rPr>
      </w:pPr>
      <w:r w:rsidRPr="004A4C77">
        <w:t xml:space="preserve">Note: </w:t>
      </w:r>
      <w:r w:rsidR="00525ED1">
        <w:t>OOS</w:t>
      </w:r>
      <w:r w:rsidRPr="00997CFC">
        <w:t xml:space="preserve"> occasion of service</w:t>
      </w:r>
      <w:r w:rsidR="00894839">
        <w:t>.</w:t>
      </w:r>
    </w:p>
    <w:p w14:paraId="5D1A3456" w14:textId="77777777" w:rsidR="00191245" w:rsidRPr="00360D11" w:rsidRDefault="00191245" w:rsidP="00E96851">
      <w:pPr>
        <w:pStyle w:val="AppendixHeading2"/>
      </w:pPr>
      <w:r w:rsidRPr="00360D11">
        <w:t>Consequences</w:t>
      </w:r>
    </w:p>
    <w:p w14:paraId="5156C08D" w14:textId="5D821937" w:rsidR="00191245" w:rsidRPr="00C559AF" w:rsidRDefault="00191245" w:rsidP="00191245">
      <w:r>
        <w:t xml:space="preserve">The consequences of not accessing care or accessing receiving a non-MAT </w:t>
      </w:r>
      <w:r w:rsidR="00080644">
        <w:t>EOC</w:t>
      </w:r>
      <w:r>
        <w:t xml:space="preserve"> are based on a weighted average of mental health and substance abuse hospitalisation costs. The weights are based on the number of mental health related hospital separations as recorded by the AIHW (2021)</w:t>
      </w:r>
      <w:r w:rsidR="00CC0438">
        <w:rPr>
          <w:rFonts w:ascii="ZWAdobeF" w:hAnsi="ZWAdobeF" w:cs="ZWAdobeF"/>
          <w:sz w:val="2"/>
          <w:szCs w:val="2"/>
        </w:rPr>
        <w:t>243F</w:t>
      </w:r>
      <w:r>
        <w:rPr>
          <w:rStyle w:val="FootnoteReference"/>
        </w:rPr>
        <w:footnoteReference w:id="245"/>
      </w:r>
      <w:r w:rsidR="00293EAE">
        <w:t>.</w:t>
      </w:r>
      <w:r>
        <w:t xml:space="preserve"> The costs per separated were informed with data provided by the Independent Hospital Pricing Authority (2019)</w:t>
      </w:r>
      <w:r w:rsidR="00CC0438">
        <w:rPr>
          <w:rFonts w:ascii="ZWAdobeF" w:hAnsi="ZWAdobeF" w:cs="ZWAdobeF"/>
          <w:sz w:val="2"/>
          <w:szCs w:val="2"/>
        </w:rPr>
        <w:t>244F</w:t>
      </w:r>
      <w:r>
        <w:rPr>
          <w:rStyle w:val="FootnoteReference"/>
        </w:rPr>
        <w:footnoteReference w:id="246"/>
      </w:r>
      <w:r w:rsidR="00293EAE">
        <w:t>.</w:t>
      </w:r>
      <w:r>
        <w:t xml:space="preserve"> The calculation of this weighted average hospitalisation cost is presented in </w:t>
      </w:r>
      <w:r w:rsidR="004F1DF9">
        <w:fldChar w:fldCharType="begin" w:fldLock="1"/>
      </w:r>
      <w:r w:rsidR="004F1DF9">
        <w:instrText xml:space="preserve"> REF _Ref106916165 \h </w:instrText>
      </w:r>
      <w:r w:rsidR="004F1DF9">
        <w:fldChar w:fldCharType="separate"/>
      </w:r>
      <w:r w:rsidR="004F1DF9">
        <w:t xml:space="preserve">Table </w:t>
      </w:r>
      <w:r w:rsidR="004F1DF9">
        <w:rPr>
          <w:noProof/>
        </w:rPr>
        <w:t>86</w:t>
      </w:r>
      <w:r w:rsidR="004F1DF9">
        <w:fldChar w:fldCharType="end"/>
      </w:r>
      <w:r>
        <w:t xml:space="preserve">. </w:t>
      </w:r>
    </w:p>
    <w:p w14:paraId="0825BDFD" w14:textId="153E685E" w:rsidR="00191245" w:rsidRDefault="00191245" w:rsidP="00191245">
      <w:pPr>
        <w:pStyle w:val="Caption"/>
      </w:pPr>
      <w:bookmarkStart w:id="430" w:name="_Ref106916165"/>
      <w:bookmarkStart w:id="431" w:name="_Ref108106069"/>
      <w:bookmarkStart w:id="432" w:name="_Toc108109036"/>
      <w:r>
        <w:t xml:space="preserve">Table </w:t>
      </w:r>
      <w:r>
        <w:fldChar w:fldCharType="begin"/>
      </w:r>
      <w:r>
        <w:instrText>SEQ Table \* ARABIC</w:instrText>
      </w:r>
      <w:r>
        <w:fldChar w:fldCharType="separate"/>
      </w:r>
      <w:r w:rsidR="00CC0438">
        <w:rPr>
          <w:noProof/>
        </w:rPr>
        <w:t>86</w:t>
      </w:r>
      <w:r>
        <w:fldChar w:fldCharType="end"/>
      </w:r>
      <w:bookmarkEnd w:id="430"/>
      <w:r>
        <w:t>: Determination of mental health and substance abuse hospitalisation costs</w:t>
      </w:r>
      <w:bookmarkEnd w:id="431"/>
      <w:bookmarkEnd w:id="432"/>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Caption w:val="Determination of mental health and substance abuse hospitalisation costs"/>
        <w:tblDescription w:val="Table has 4 columns summarising the weighted average hospitalisation cost. Column 1 lists the diagnosis related categories. Column 2 lists the number of separations within the analysed data. Column 3 lists the percentage of total separations. Column 4 lists the costs per separation."/>
      </w:tblPr>
      <w:tblGrid>
        <w:gridCol w:w="4253"/>
        <w:gridCol w:w="1559"/>
        <w:gridCol w:w="1093"/>
        <w:gridCol w:w="1884"/>
      </w:tblGrid>
      <w:tr w:rsidR="00191245" w:rsidRPr="00534322" w14:paraId="5A1E142B" w14:textId="77777777" w:rsidTr="00745643">
        <w:trPr>
          <w:trHeight w:val="288"/>
        </w:trPr>
        <w:tc>
          <w:tcPr>
            <w:tcW w:w="4253" w:type="dxa"/>
            <w:shd w:val="clear" w:color="auto" w:fill="00338D"/>
            <w:noWrap/>
            <w:hideMark/>
          </w:tcPr>
          <w:p w14:paraId="2AF64171" w14:textId="77777777" w:rsidR="00191245" w:rsidRPr="0029373E" w:rsidRDefault="00191245" w:rsidP="000273C5">
            <w:pPr>
              <w:pStyle w:val="Tableheading"/>
              <w:rPr>
                <w:lang w:eastAsia="en-AU"/>
              </w:rPr>
            </w:pPr>
            <w:r w:rsidRPr="0029373E">
              <w:rPr>
                <w:lang w:eastAsia="en-AU"/>
              </w:rPr>
              <w:t>DRG groups</w:t>
            </w:r>
          </w:p>
        </w:tc>
        <w:tc>
          <w:tcPr>
            <w:tcW w:w="1559" w:type="dxa"/>
            <w:shd w:val="clear" w:color="auto" w:fill="00338D"/>
            <w:noWrap/>
            <w:vAlign w:val="center"/>
            <w:hideMark/>
          </w:tcPr>
          <w:p w14:paraId="44395E2C" w14:textId="77777777" w:rsidR="00191245" w:rsidRPr="0029373E" w:rsidRDefault="00191245" w:rsidP="000273C5">
            <w:pPr>
              <w:pStyle w:val="Tableheading"/>
              <w:rPr>
                <w:lang w:eastAsia="en-AU"/>
              </w:rPr>
            </w:pPr>
            <w:r w:rsidRPr="0029373E">
              <w:rPr>
                <w:lang w:eastAsia="en-AU"/>
              </w:rPr>
              <w:t>No. of separations</w:t>
            </w:r>
          </w:p>
        </w:tc>
        <w:tc>
          <w:tcPr>
            <w:tcW w:w="1093" w:type="dxa"/>
            <w:shd w:val="clear" w:color="auto" w:fill="00338D"/>
            <w:noWrap/>
            <w:vAlign w:val="center"/>
            <w:hideMark/>
          </w:tcPr>
          <w:p w14:paraId="67DE9AD2" w14:textId="77777777" w:rsidR="00191245" w:rsidRPr="0029373E" w:rsidRDefault="00191245" w:rsidP="000273C5">
            <w:pPr>
              <w:pStyle w:val="Tableheading"/>
              <w:rPr>
                <w:lang w:eastAsia="en-AU"/>
              </w:rPr>
            </w:pPr>
            <w:r w:rsidRPr="0029373E">
              <w:rPr>
                <w:lang w:eastAsia="en-AU"/>
              </w:rPr>
              <w:t>%</w:t>
            </w:r>
          </w:p>
        </w:tc>
        <w:tc>
          <w:tcPr>
            <w:tcW w:w="1884" w:type="dxa"/>
            <w:shd w:val="clear" w:color="auto" w:fill="00338D"/>
            <w:noWrap/>
            <w:vAlign w:val="center"/>
            <w:hideMark/>
          </w:tcPr>
          <w:p w14:paraId="61E64626" w14:textId="77777777" w:rsidR="00191245" w:rsidRPr="0029373E" w:rsidRDefault="00191245" w:rsidP="000273C5">
            <w:pPr>
              <w:pStyle w:val="Tableheading"/>
              <w:rPr>
                <w:lang w:eastAsia="en-AU"/>
              </w:rPr>
            </w:pPr>
            <w:r w:rsidRPr="0029373E">
              <w:rPr>
                <w:lang w:eastAsia="en-AU"/>
              </w:rPr>
              <w:t>Cost per separation</w:t>
            </w:r>
          </w:p>
        </w:tc>
      </w:tr>
      <w:tr w:rsidR="00191245" w:rsidRPr="00534322" w14:paraId="7EFFC3A3" w14:textId="77777777" w:rsidTr="00745643">
        <w:trPr>
          <w:trHeight w:val="288"/>
        </w:trPr>
        <w:tc>
          <w:tcPr>
            <w:tcW w:w="4253" w:type="dxa"/>
            <w:noWrap/>
          </w:tcPr>
          <w:p w14:paraId="4EF892D5" w14:textId="77777777" w:rsidR="00191245" w:rsidRPr="00FA441C" w:rsidRDefault="00191245" w:rsidP="000273C5">
            <w:pPr>
              <w:pStyle w:val="Tabletext"/>
              <w:rPr>
                <w:rFonts w:ascii="Calibri" w:eastAsia="Times New Roman" w:hAnsi="Calibri" w:cs="Calibri"/>
                <w:i/>
                <w:color w:val="000000"/>
                <w:lang w:eastAsia="en-AU"/>
              </w:rPr>
            </w:pPr>
            <w:r>
              <w:t>Mental health treatment</w:t>
            </w:r>
          </w:p>
        </w:tc>
        <w:tc>
          <w:tcPr>
            <w:tcW w:w="1559" w:type="dxa"/>
            <w:noWrap/>
            <w:vAlign w:val="center"/>
          </w:tcPr>
          <w:p w14:paraId="3125CDB8" w14:textId="77777777" w:rsidR="00191245" w:rsidRPr="00534322" w:rsidRDefault="00191245" w:rsidP="000273C5">
            <w:pPr>
              <w:pStyle w:val="Tabletext"/>
              <w:rPr>
                <w:rFonts w:ascii="Calibri" w:eastAsia="Times New Roman" w:hAnsi="Calibri" w:cs="Calibri"/>
                <w:color w:val="000000"/>
                <w:lang w:eastAsia="en-AU"/>
              </w:rPr>
            </w:pPr>
            <w:r w:rsidRPr="00A943C5">
              <w:t>21,091</w:t>
            </w:r>
          </w:p>
        </w:tc>
        <w:tc>
          <w:tcPr>
            <w:tcW w:w="1093" w:type="dxa"/>
            <w:noWrap/>
            <w:vAlign w:val="center"/>
          </w:tcPr>
          <w:p w14:paraId="1251EB9B" w14:textId="77777777" w:rsidR="00191245" w:rsidRPr="00534322" w:rsidRDefault="00191245" w:rsidP="000273C5">
            <w:pPr>
              <w:pStyle w:val="Tabletext"/>
              <w:rPr>
                <w:rFonts w:ascii="Calibri" w:eastAsia="Times New Roman" w:hAnsi="Calibri" w:cs="Calibri"/>
                <w:color w:val="000000"/>
                <w:lang w:eastAsia="en-AU"/>
              </w:rPr>
            </w:pPr>
            <w:r w:rsidRPr="00A943C5">
              <w:t>22%</w:t>
            </w:r>
          </w:p>
        </w:tc>
        <w:tc>
          <w:tcPr>
            <w:tcW w:w="1884" w:type="dxa"/>
            <w:noWrap/>
            <w:vAlign w:val="center"/>
          </w:tcPr>
          <w:p w14:paraId="6BC85207" w14:textId="77777777" w:rsidR="00191245" w:rsidRPr="00534322" w:rsidRDefault="00191245" w:rsidP="000273C5">
            <w:pPr>
              <w:pStyle w:val="Tabletext"/>
              <w:rPr>
                <w:rFonts w:ascii="Calibri" w:eastAsia="Times New Roman" w:hAnsi="Calibri" w:cs="Calibri"/>
                <w:color w:val="000000"/>
                <w:lang w:eastAsia="en-AU"/>
              </w:rPr>
            </w:pPr>
            <w:r w:rsidRPr="00A943C5">
              <w:t>$1,291</w:t>
            </w:r>
          </w:p>
        </w:tc>
      </w:tr>
      <w:tr w:rsidR="00191245" w:rsidRPr="00534322" w14:paraId="2C2BB2E4" w14:textId="77777777" w:rsidTr="00745643">
        <w:trPr>
          <w:trHeight w:val="288"/>
        </w:trPr>
        <w:tc>
          <w:tcPr>
            <w:tcW w:w="4253" w:type="dxa"/>
            <w:noWrap/>
          </w:tcPr>
          <w:p w14:paraId="3501300A" w14:textId="77777777" w:rsidR="00191245" w:rsidRPr="00534322" w:rsidRDefault="00191245" w:rsidP="000273C5">
            <w:pPr>
              <w:pStyle w:val="Tabletext"/>
              <w:rPr>
                <w:rFonts w:ascii="Calibri" w:eastAsia="Times New Roman" w:hAnsi="Calibri" w:cs="Calibri"/>
                <w:color w:val="000000"/>
                <w:lang w:eastAsia="en-AU"/>
              </w:rPr>
            </w:pPr>
            <w:r>
              <w:t>Psychotic disorders</w:t>
            </w:r>
          </w:p>
        </w:tc>
        <w:tc>
          <w:tcPr>
            <w:tcW w:w="1559" w:type="dxa"/>
            <w:noWrap/>
            <w:vAlign w:val="center"/>
          </w:tcPr>
          <w:p w14:paraId="099CB1CC" w14:textId="77777777" w:rsidR="00191245" w:rsidRPr="00534322" w:rsidRDefault="00191245" w:rsidP="000273C5">
            <w:pPr>
              <w:pStyle w:val="Tabletext"/>
              <w:rPr>
                <w:rFonts w:ascii="Calibri" w:eastAsia="Times New Roman" w:hAnsi="Calibri" w:cs="Calibri"/>
                <w:color w:val="000000"/>
                <w:lang w:eastAsia="en-AU"/>
              </w:rPr>
            </w:pPr>
            <w:r w:rsidRPr="00A943C5">
              <w:t>4,570</w:t>
            </w:r>
          </w:p>
        </w:tc>
        <w:tc>
          <w:tcPr>
            <w:tcW w:w="1093" w:type="dxa"/>
            <w:noWrap/>
            <w:vAlign w:val="center"/>
          </w:tcPr>
          <w:p w14:paraId="5B5DA17F" w14:textId="77777777" w:rsidR="00191245" w:rsidRPr="00534322" w:rsidRDefault="00191245" w:rsidP="000273C5">
            <w:pPr>
              <w:pStyle w:val="Tabletext"/>
              <w:rPr>
                <w:rFonts w:ascii="Calibri" w:eastAsia="Times New Roman" w:hAnsi="Calibri" w:cs="Calibri"/>
                <w:color w:val="000000"/>
                <w:lang w:eastAsia="en-AU"/>
              </w:rPr>
            </w:pPr>
            <w:r w:rsidRPr="00A943C5">
              <w:t>5%</w:t>
            </w:r>
          </w:p>
        </w:tc>
        <w:tc>
          <w:tcPr>
            <w:tcW w:w="1884" w:type="dxa"/>
            <w:noWrap/>
            <w:vAlign w:val="center"/>
          </w:tcPr>
          <w:p w14:paraId="32095C6E" w14:textId="77777777" w:rsidR="00191245" w:rsidRPr="00534322" w:rsidRDefault="00191245" w:rsidP="000273C5">
            <w:pPr>
              <w:pStyle w:val="Tabletext"/>
              <w:rPr>
                <w:rFonts w:ascii="Calibri" w:eastAsia="Times New Roman" w:hAnsi="Calibri" w:cs="Calibri"/>
                <w:color w:val="000000"/>
                <w:lang w:eastAsia="en-AU"/>
              </w:rPr>
            </w:pPr>
            <w:r w:rsidRPr="00A943C5">
              <w:t>$8,096</w:t>
            </w:r>
          </w:p>
        </w:tc>
      </w:tr>
      <w:tr w:rsidR="00191245" w:rsidRPr="00534322" w14:paraId="6308E968" w14:textId="77777777" w:rsidTr="00745643">
        <w:trPr>
          <w:trHeight w:val="288"/>
        </w:trPr>
        <w:tc>
          <w:tcPr>
            <w:tcW w:w="4253" w:type="dxa"/>
            <w:noWrap/>
          </w:tcPr>
          <w:p w14:paraId="237AA0E2" w14:textId="77777777" w:rsidR="00191245" w:rsidRPr="00534322" w:rsidRDefault="00191245" w:rsidP="000273C5">
            <w:pPr>
              <w:pStyle w:val="Tabletext"/>
              <w:rPr>
                <w:rFonts w:ascii="Calibri" w:eastAsia="Times New Roman" w:hAnsi="Calibri" w:cs="Calibri"/>
                <w:color w:val="000000"/>
                <w:lang w:eastAsia="en-AU"/>
              </w:rPr>
            </w:pPr>
            <w:r>
              <w:t>Affective and somatoform disorders</w:t>
            </w:r>
          </w:p>
        </w:tc>
        <w:tc>
          <w:tcPr>
            <w:tcW w:w="1559" w:type="dxa"/>
            <w:noWrap/>
            <w:vAlign w:val="center"/>
          </w:tcPr>
          <w:p w14:paraId="327ABF97" w14:textId="77777777" w:rsidR="00191245" w:rsidRPr="00534322" w:rsidRDefault="00191245" w:rsidP="000273C5">
            <w:pPr>
              <w:pStyle w:val="Tabletext"/>
              <w:rPr>
                <w:rFonts w:ascii="Calibri" w:eastAsia="Times New Roman" w:hAnsi="Calibri" w:cs="Calibri"/>
                <w:color w:val="000000"/>
                <w:lang w:eastAsia="en-AU"/>
              </w:rPr>
            </w:pPr>
            <w:r w:rsidRPr="00A943C5">
              <w:t>7,551</w:t>
            </w:r>
          </w:p>
        </w:tc>
        <w:tc>
          <w:tcPr>
            <w:tcW w:w="1093" w:type="dxa"/>
            <w:noWrap/>
            <w:vAlign w:val="center"/>
          </w:tcPr>
          <w:p w14:paraId="2A14D441" w14:textId="77777777" w:rsidR="00191245" w:rsidRPr="00534322" w:rsidRDefault="00191245" w:rsidP="000273C5">
            <w:pPr>
              <w:pStyle w:val="Tabletext"/>
              <w:rPr>
                <w:rFonts w:ascii="Calibri" w:eastAsia="Times New Roman" w:hAnsi="Calibri" w:cs="Calibri"/>
                <w:color w:val="000000"/>
                <w:lang w:eastAsia="en-AU"/>
              </w:rPr>
            </w:pPr>
            <w:r w:rsidRPr="00A943C5">
              <w:t>8%</w:t>
            </w:r>
          </w:p>
        </w:tc>
        <w:tc>
          <w:tcPr>
            <w:tcW w:w="1884" w:type="dxa"/>
            <w:noWrap/>
            <w:vAlign w:val="center"/>
          </w:tcPr>
          <w:p w14:paraId="7C1F97A1" w14:textId="77777777" w:rsidR="00191245" w:rsidRPr="00534322" w:rsidRDefault="00191245" w:rsidP="000273C5">
            <w:pPr>
              <w:pStyle w:val="Tabletext"/>
              <w:rPr>
                <w:rFonts w:ascii="Calibri" w:eastAsia="Times New Roman" w:hAnsi="Calibri" w:cs="Calibri"/>
                <w:color w:val="000000"/>
                <w:lang w:eastAsia="en-AU"/>
              </w:rPr>
            </w:pPr>
            <w:r w:rsidRPr="00A943C5">
              <w:t>$7,460</w:t>
            </w:r>
          </w:p>
        </w:tc>
      </w:tr>
      <w:tr w:rsidR="00191245" w:rsidRPr="00534322" w14:paraId="2DFA0611" w14:textId="77777777" w:rsidTr="00745643">
        <w:trPr>
          <w:trHeight w:val="288"/>
        </w:trPr>
        <w:tc>
          <w:tcPr>
            <w:tcW w:w="4253" w:type="dxa"/>
            <w:noWrap/>
          </w:tcPr>
          <w:p w14:paraId="67EF269A" w14:textId="77777777" w:rsidR="00191245" w:rsidRPr="00FA441C" w:rsidRDefault="00191245" w:rsidP="000273C5">
            <w:pPr>
              <w:pStyle w:val="Tabletext"/>
              <w:rPr>
                <w:rFonts w:ascii="Calibri" w:eastAsia="Times New Roman" w:hAnsi="Calibri" w:cs="Calibri"/>
                <w:i/>
                <w:color w:val="000000"/>
                <w:lang w:eastAsia="en-AU"/>
              </w:rPr>
            </w:pPr>
            <w:r>
              <w:t>Anxiety disorders</w:t>
            </w:r>
          </w:p>
        </w:tc>
        <w:tc>
          <w:tcPr>
            <w:tcW w:w="1559" w:type="dxa"/>
            <w:noWrap/>
            <w:vAlign w:val="center"/>
          </w:tcPr>
          <w:p w14:paraId="5CA8CA65" w14:textId="77777777" w:rsidR="00191245" w:rsidRPr="00534322" w:rsidRDefault="00191245" w:rsidP="000273C5">
            <w:pPr>
              <w:pStyle w:val="Tabletext"/>
              <w:rPr>
                <w:rFonts w:ascii="Calibri" w:eastAsia="Times New Roman" w:hAnsi="Calibri" w:cs="Calibri"/>
                <w:color w:val="000000"/>
                <w:lang w:eastAsia="en-AU"/>
              </w:rPr>
            </w:pPr>
            <w:r w:rsidRPr="00A943C5">
              <w:t>7,191</w:t>
            </w:r>
          </w:p>
        </w:tc>
        <w:tc>
          <w:tcPr>
            <w:tcW w:w="1093" w:type="dxa"/>
            <w:noWrap/>
            <w:vAlign w:val="center"/>
          </w:tcPr>
          <w:p w14:paraId="52696679" w14:textId="77777777" w:rsidR="00191245" w:rsidRPr="00534322" w:rsidRDefault="00191245" w:rsidP="000273C5">
            <w:pPr>
              <w:pStyle w:val="Tabletext"/>
              <w:rPr>
                <w:rFonts w:ascii="Calibri" w:eastAsia="Times New Roman" w:hAnsi="Calibri" w:cs="Calibri"/>
                <w:color w:val="000000"/>
                <w:lang w:eastAsia="en-AU"/>
              </w:rPr>
            </w:pPr>
            <w:r w:rsidRPr="00A943C5">
              <w:t>8%</w:t>
            </w:r>
          </w:p>
        </w:tc>
        <w:tc>
          <w:tcPr>
            <w:tcW w:w="1884" w:type="dxa"/>
            <w:noWrap/>
            <w:vAlign w:val="center"/>
          </w:tcPr>
          <w:p w14:paraId="308D0B5F" w14:textId="77777777" w:rsidR="00191245" w:rsidRPr="00534322" w:rsidRDefault="00191245" w:rsidP="000273C5">
            <w:pPr>
              <w:pStyle w:val="Tabletext"/>
              <w:rPr>
                <w:rFonts w:ascii="Calibri" w:eastAsia="Times New Roman" w:hAnsi="Calibri" w:cs="Calibri"/>
                <w:color w:val="000000"/>
                <w:lang w:eastAsia="en-AU"/>
              </w:rPr>
            </w:pPr>
            <w:r w:rsidRPr="00A943C5">
              <w:t>$6,249</w:t>
            </w:r>
          </w:p>
        </w:tc>
      </w:tr>
      <w:tr w:rsidR="00191245" w:rsidRPr="00534322" w14:paraId="2F84EA4E" w14:textId="77777777" w:rsidTr="00745643">
        <w:trPr>
          <w:trHeight w:val="288"/>
        </w:trPr>
        <w:tc>
          <w:tcPr>
            <w:tcW w:w="4253" w:type="dxa"/>
            <w:noWrap/>
          </w:tcPr>
          <w:p w14:paraId="6BC789BF" w14:textId="77777777" w:rsidR="00191245" w:rsidRPr="00534322" w:rsidRDefault="00191245" w:rsidP="000273C5">
            <w:pPr>
              <w:pStyle w:val="Tabletext"/>
              <w:rPr>
                <w:rFonts w:ascii="Calibri" w:eastAsia="Times New Roman" w:hAnsi="Calibri" w:cs="Calibri"/>
                <w:color w:val="000000"/>
                <w:lang w:eastAsia="en-AU"/>
              </w:rPr>
            </w:pPr>
            <w:r>
              <w:t>Behavioural disorders</w:t>
            </w:r>
          </w:p>
        </w:tc>
        <w:tc>
          <w:tcPr>
            <w:tcW w:w="1559" w:type="dxa"/>
            <w:noWrap/>
            <w:vAlign w:val="center"/>
          </w:tcPr>
          <w:p w14:paraId="60FC60D7" w14:textId="77777777" w:rsidR="00191245" w:rsidRPr="00534322" w:rsidRDefault="00191245" w:rsidP="000273C5">
            <w:pPr>
              <w:pStyle w:val="Tabletext"/>
              <w:rPr>
                <w:rFonts w:ascii="Calibri" w:eastAsia="Times New Roman" w:hAnsi="Calibri" w:cs="Calibri"/>
                <w:color w:val="000000"/>
                <w:lang w:eastAsia="en-AU"/>
              </w:rPr>
            </w:pPr>
            <w:r w:rsidRPr="00A943C5">
              <w:t>10,214</w:t>
            </w:r>
          </w:p>
        </w:tc>
        <w:tc>
          <w:tcPr>
            <w:tcW w:w="1093" w:type="dxa"/>
            <w:noWrap/>
            <w:vAlign w:val="center"/>
          </w:tcPr>
          <w:p w14:paraId="4D1C0D11" w14:textId="77777777" w:rsidR="00191245" w:rsidRPr="00534322" w:rsidRDefault="00191245" w:rsidP="000273C5">
            <w:pPr>
              <w:pStyle w:val="Tabletext"/>
              <w:rPr>
                <w:rFonts w:ascii="Calibri" w:eastAsia="Times New Roman" w:hAnsi="Calibri" w:cs="Calibri"/>
                <w:color w:val="000000"/>
                <w:lang w:eastAsia="en-AU"/>
              </w:rPr>
            </w:pPr>
            <w:r w:rsidRPr="00A943C5">
              <w:t>11%</w:t>
            </w:r>
          </w:p>
        </w:tc>
        <w:tc>
          <w:tcPr>
            <w:tcW w:w="1884" w:type="dxa"/>
            <w:noWrap/>
            <w:vAlign w:val="center"/>
          </w:tcPr>
          <w:p w14:paraId="482E33C5" w14:textId="77777777" w:rsidR="00191245" w:rsidRPr="00534322" w:rsidRDefault="00191245" w:rsidP="000273C5">
            <w:pPr>
              <w:pStyle w:val="Tabletext"/>
              <w:rPr>
                <w:rFonts w:ascii="Calibri" w:eastAsia="Times New Roman" w:hAnsi="Calibri" w:cs="Calibri"/>
                <w:color w:val="000000"/>
                <w:lang w:eastAsia="en-AU"/>
              </w:rPr>
            </w:pPr>
            <w:r w:rsidRPr="00A943C5">
              <w:t>$12,677</w:t>
            </w:r>
          </w:p>
        </w:tc>
      </w:tr>
      <w:tr w:rsidR="00191245" w:rsidRPr="00534322" w14:paraId="2C0F3A6C" w14:textId="77777777" w:rsidTr="00745643">
        <w:trPr>
          <w:trHeight w:val="288"/>
        </w:trPr>
        <w:tc>
          <w:tcPr>
            <w:tcW w:w="4253" w:type="dxa"/>
            <w:noWrap/>
          </w:tcPr>
          <w:p w14:paraId="191D6EBB" w14:textId="77777777" w:rsidR="00191245" w:rsidRPr="00534322" w:rsidRDefault="00191245" w:rsidP="000273C5">
            <w:pPr>
              <w:pStyle w:val="Tabletext"/>
              <w:rPr>
                <w:rFonts w:ascii="Calibri" w:eastAsia="Times New Roman" w:hAnsi="Calibri" w:cs="Calibri"/>
                <w:color w:val="000000"/>
                <w:lang w:eastAsia="en-AU"/>
              </w:rPr>
            </w:pPr>
            <w:r>
              <w:t>Alcohol use disorders</w:t>
            </w:r>
          </w:p>
        </w:tc>
        <w:tc>
          <w:tcPr>
            <w:tcW w:w="1559" w:type="dxa"/>
            <w:noWrap/>
            <w:vAlign w:val="center"/>
          </w:tcPr>
          <w:p w14:paraId="192DBED9" w14:textId="77777777" w:rsidR="00191245" w:rsidRPr="00534322" w:rsidRDefault="00191245" w:rsidP="000273C5">
            <w:pPr>
              <w:pStyle w:val="Tabletext"/>
              <w:rPr>
                <w:rFonts w:ascii="Calibri" w:eastAsia="Times New Roman" w:hAnsi="Calibri" w:cs="Calibri"/>
                <w:color w:val="000000"/>
                <w:lang w:eastAsia="en-AU"/>
              </w:rPr>
            </w:pPr>
            <w:r w:rsidRPr="00A943C5">
              <w:t>30,429</w:t>
            </w:r>
          </w:p>
        </w:tc>
        <w:tc>
          <w:tcPr>
            <w:tcW w:w="1093" w:type="dxa"/>
            <w:noWrap/>
            <w:vAlign w:val="center"/>
          </w:tcPr>
          <w:p w14:paraId="0AFF462E" w14:textId="77777777" w:rsidR="00191245" w:rsidRPr="00534322" w:rsidRDefault="00191245" w:rsidP="000273C5">
            <w:pPr>
              <w:pStyle w:val="Tabletext"/>
              <w:rPr>
                <w:rFonts w:ascii="Calibri" w:eastAsia="Times New Roman" w:hAnsi="Calibri" w:cs="Calibri"/>
                <w:color w:val="000000"/>
                <w:lang w:eastAsia="en-AU"/>
              </w:rPr>
            </w:pPr>
            <w:r w:rsidRPr="00A943C5">
              <w:t>32%</w:t>
            </w:r>
          </w:p>
        </w:tc>
        <w:tc>
          <w:tcPr>
            <w:tcW w:w="1884" w:type="dxa"/>
            <w:noWrap/>
            <w:vAlign w:val="center"/>
          </w:tcPr>
          <w:p w14:paraId="7E3400CA" w14:textId="77777777" w:rsidR="00191245" w:rsidRPr="00534322" w:rsidRDefault="00191245" w:rsidP="000273C5">
            <w:pPr>
              <w:pStyle w:val="Tabletext"/>
              <w:rPr>
                <w:rFonts w:ascii="Calibri" w:eastAsia="Times New Roman" w:hAnsi="Calibri" w:cs="Calibri"/>
                <w:color w:val="000000"/>
                <w:lang w:eastAsia="en-AU"/>
              </w:rPr>
            </w:pPr>
            <w:r w:rsidRPr="00A943C5">
              <w:t>$5,060</w:t>
            </w:r>
          </w:p>
        </w:tc>
      </w:tr>
      <w:tr w:rsidR="00191245" w:rsidRPr="00534322" w14:paraId="2A4A468D" w14:textId="77777777" w:rsidTr="00745643">
        <w:trPr>
          <w:trHeight w:val="288"/>
        </w:trPr>
        <w:tc>
          <w:tcPr>
            <w:tcW w:w="4253" w:type="dxa"/>
            <w:tcBorders>
              <w:bottom w:val="single" w:sz="4" w:space="0" w:color="auto"/>
            </w:tcBorders>
            <w:noWrap/>
          </w:tcPr>
          <w:p w14:paraId="5F411095" w14:textId="77777777" w:rsidR="00191245" w:rsidRPr="00FA441C" w:rsidRDefault="00191245" w:rsidP="000273C5">
            <w:pPr>
              <w:pStyle w:val="Tabletext"/>
              <w:rPr>
                <w:rFonts w:ascii="Calibri" w:eastAsia="Times New Roman" w:hAnsi="Calibri" w:cs="Calibri"/>
                <w:i/>
                <w:color w:val="000000"/>
                <w:lang w:eastAsia="en-AU"/>
              </w:rPr>
            </w:pPr>
            <w:r>
              <w:t>Drug use disorders</w:t>
            </w:r>
          </w:p>
        </w:tc>
        <w:tc>
          <w:tcPr>
            <w:tcW w:w="1559" w:type="dxa"/>
            <w:tcBorders>
              <w:bottom w:val="single" w:sz="4" w:space="0" w:color="auto"/>
            </w:tcBorders>
            <w:noWrap/>
            <w:vAlign w:val="center"/>
          </w:tcPr>
          <w:p w14:paraId="5E260BAE" w14:textId="77777777" w:rsidR="00191245" w:rsidRPr="00534322" w:rsidRDefault="00191245" w:rsidP="000273C5">
            <w:pPr>
              <w:pStyle w:val="Tabletext"/>
              <w:rPr>
                <w:rFonts w:ascii="Calibri" w:eastAsia="Times New Roman" w:hAnsi="Calibri" w:cs="Calibri"/>
                <w:color w:val="000000"/>
                <w:lang w:eastAsia="en-AU"/>
              </w:rPr>
            </w:pPr>
            <w:r w:rsidRPr="00A943C5">
              <w:t>14,219</w:t>
            </w:r>
          </w:p>
        </w:tc>
        <w:tc>
          <w:tcPr>
            <w:tcW w:w="1093" w:type="dxa"/>
            <w:tcBorders>
              <w:bottom w:val="single" w:sz="4" w:space="0" w:color="auto"/>
            </w:tcBorders>
            <w:noWrap/>
            <w:vAlign w:val="center"/>
          </w:tcPr>
          <w:p w14:paraId="749AED19" w14:textId="77777777" w:rsidR="00191245" w:rsidRPr="00534322" w:rsidRDefault="00191245" w:rsidP="000273C5">
            <w:pPr>
              <w:pStyle w:val="Tabletext"/>
              <w:rPr>
                <w:rFonts w:ascii="Calibri" w:eastAsia="Times New Roman" w:hAnsi="Calibri" w:cs="Calibri"/>
                <w:color w:val="000000"/>
                <w:lang w:eastAsia="en-AU"/>
              </w:rPr>
            </w:pPr>
            <w:r w:rsidRPr="00A943C5">
              <w:t>15%</w:t>
            </w:r>
          </w:p>
        </w:tc>
        <w:tc>
          <w:tcPr>
            <w:tcW w:w="1884" w:type="dxa"/>
            <w:tcBorders>
              <w:bottom w:val="single" w:sz="4" w:space="0" w:color="auto"/>
            </w:tcBorders>
            <w:noWrap/>
            <w:vAlign w:val="center"/>
          </w:tcPr>
          <w:p w14:paraId="7686BE95" w14:textId="77777777" w:rsidR="00191245" w:rsidRPr="00534322" w:rsidRDefault="00191245" w:rsidP="000273C5">
            <w:pPr>
              <w:pStyle w:val="Tabletext"/>
              <w:rPr>
                <w:rFonts w:ascii="Calibri" w:eastAsia="Times New Roman" w:hAnsi="Calibri" w:cs="Calibri"/>
                <w:color w:val="000000"/>
                <w:lang w:eastAsia="en-AU"/>
              </w:rPr>
            </w:pPr>
            <w:r w:rsidRPr="00A943C5">
              <w:t>$6,919</w:t>
            </w:r>
          </w:p>
        </w:tc>
      </w:tr>
      <w:tr w:rsidR="00191245" w:rsidRPr="00534322" w14:paraId="5306AD8C" w14:textId="77777777" w:rsidTr="00745643">
        <w:trPr>
          <w:trHeight w:val="288"/>
        </w:trPr>
        <w:tc>
          <w:tcPr>
            <w:tcW w:w="4253" w:type="dxa"/>
            <w:tcBorders>
              <w:top w:val="single" w:sz="4" w:space="0" w:color="auto"/>
              <w:bottom w:val="single" w:sz="4" w:space="0" w:color="auto"/>
            </w:tcBorders>
            <w:noWrap/>
          </w:tcPr>
          <w:p w14:paraId="7E8162C4" w14:textId="77777777" w:rsidR="00191245" w:rsidRPr="00E17E92" w:rsidRDefault="00191245" w:rsidP="00E17E92">
            <w:pPr>
              <w:pStyle w:val="Tabletext"/>
              <w:rPr>
                <w:b/>
                <w:bCs/>
              </w:rPr>
            </w:pPr>
            <w:r w:rsidRPr="00E17E92">
              <w:rPr>
                <w:b/>
                <w:bCs/>
              </w:rPr>
              <w:t>Weighted average per separation</w:t>
            </w:r>
          </w:p>
        </w:tc>
        <w:tc>
          <w:tcPr>
            <w:tcW w:w="1559" w:type="dxa"/>
            <w:tcBorders>
              <w:top w:val="single" w:sz="4" w:space="0" w:color="auto"/>
              <w:bottom w:val="single" w:sz="4" w:space="0" w:color="auto"/>
            </w:tcBorders>
            <w:noWrap/>
          </w:tcPr>
          <w:p w14:paraId="44B6E759" w14:textId="77777777" w:rsidR="00191245" w:rsidRPr="0008287E" w:rsidRDefault="00191245" w:rsidP="000273C5">
            <w:pPr>
              <w:pStyle w:val="Tabletext"/>
              <w:rPr>
                <w:b/>
              </w:rPr>
            </w:pPr>
          </w:p>
        </w:tc>
        <w:tc>
          <w:tcPr>
            <w:tcW w:w="1093" w:type="dxa"/>
            <w:tcBorders>
              <w:top w:val="single" w:sz="4" w:space="0" w:color="auto"/>
              <w:bottom w:val="single" w:sz="4" w:space="0" w:color="auto"/>
            </w:tcBorders>
            <w:noWrap/>
          </w:tcPr>
          <w:p w14:paraId="37D61BC5" w14:textId="77777777" w:rsidR="00191245" w:rsidRPr="0008287E" w:rsidRDefault="00191245" w:rsidP="000273C5">
            <w:pPr>
              <w:pStyle w:val="Tabletext"/>
              <w:rPr>
                <w:b/>
              </w:rPr>
            </w:pPr>
          </w:p>
        </w:tc>
        <w:tc>
          <w:tcPr>
            <w:tcW w:w="1884" w:type="dxa"/>
            <w:tcBorders>
              <w:top w:val="single" w:sz="4" w:space="0" w:color="auto"/>
              <w:bottom w:val="single" w:sz="4" w:space="0" w:color="auto"/>
            </w:tcBorders>
            <w:noWrap/>
          </w:tcPr>
          <w:p w14:paraId="2BF437A0" w14:textId="77777777" w:rsidR="00191245" w:rsidRPr="0008287E" w:rsidRDefault="00191245" w:rsidP="000273C5">
            <w:pPr>
              <w:pStyle w:val="Tabletext"/>
              <w:rPr>
                <w:b/>
              </w:rPr>
            </w:pPr>
            <w:r w:rsidRPr="0008287E">
              <w:rPr>
                <w:b/>
                <w:bCs/>
              </w:rPr>
              <w:t>$5,745</w:t>
            </w:r>
          </w:p>
        </w:tc>
      </w:tr>
    </w:tbl>
    <w:p w14:paraId="423CA515" w14:textId="77777777" w:rsidR="00191245" w:rsidRDefault="00191245" w:rsidP="00B942D8">
      <w:pPr>
        <w:pStyle w:val="Source"/>
      </w:pPr>
      <w:r>
        <w:t>Source: IHPA (2019); AIHW (2021).</w:t>
      </w:r>
    </w:p>
    <w:p w14:paraId="2B95EC93" w14:textId="77777777" w:rsidR="00191245" w:rsidRPr="00D4341B" w:rsidRDefault="00191245" w:rsidP="00B942D8">
      <w:pPr>
        <w:pStyle w:val="Source"/>
      </w:pPr>
      <w:r w:rsidRPr="007C4F08">
        <w:t xml:space="preserve">Note: </w:t>
      </w:r>
      <w:r>
        <w:t>DRG Diagnosis related groups.</w:t>
      </w:r>
    </w:p>
    <w:p w14:paraId="31A183FE" w14:textId="77777777" w:rsidR="00191245" w:rsidRDefault="00191245" w:rsidP="00B942D8">
      <w:pPr>
        <w:pStyle w:val="BodyText"/>
      </w:pPr>
      <w:r>
        <w:t>The incremental probability of mental health and substance abuse hospitalisation was determined u</w:t>
      </w:r>
      <w:r w:rsidRPr="00A30FC4">
        <w:t>sing the AIHW area-level data</w:t>
      </w:r>
      <w:r>
        <w:t xml:space="preserve"> described in Appendix </w:t>
      </w:r>
      <w:r>
        <w:fldChar w:fldCharType="begin" w:fldLock="1"/>
      </w:r>
      <w:r>
        <w:instrText xml:space="preserve"> REF _Ref98255015 \r \h </w:instrText>
      </w:r>
      <w:r>
        <w:fldChar w:fldCharType="separate"/>
      </w:r>
      <w:r>
        <w:t>E.8</w:t>
      </w:r>
      <w:r>
        <w:fldChar w:fldCharType="end"/>
      </w:r>
      <w:r>
        <w:t>:</w:t>
      </w:r>
    </w:p>
    <w:p w14:paraId="1C5170C8" w14:textId="0B09EF6F" w:rsidR="00191245" w:rsidRDefault="00191245" w:rsidP="00B942D8">
      <w:pPr>
        <w:pStyle w:val="Bullet1stlevel"/>
      </w:pPr>
      <w:r>
        <w:t xml:space="preserve">There is an estimated reduction of 81 </w:t>
      </w:r>
      <w:r w:rsidRPr="00A25C24">
        <w:t>hospitalisations per 100,000 12 to 25 year olds</w:t>
      </w:r>
      <w:r>
        <w:t xml:space="preserve"> (see </w:t>
      </w:r>
      <w:r>
        <w:fldChar w:fldCharType="begin" w:fldLock="1"/>
      </w:r>
      <w:r>
        <w:instrText xml:space="preserve"> REF _Ref97749840 \h </w:instrText>
      </w:r>
      <w:r w:rsidR="00B942D8">
        <w:instrText xml:space="preserve"> \* MERGEFORMAT </w:instrText>
      </w:r>
      <w:r>
        <w:fldChar w:fldCharType="separate"/>
      </w:r>
      <w:r w:rsidR="004F1DF9">
        <w:t xml:space="preserve">Table </w:t>
      </w:r>
      <w:r w:rsidR="004F1DF9">
        <w:rPr>
          <w:noProof/>
        </w:rPr>
        <w:t>77</w:t>
      </w:r>
      <w:r>
        <w:fldChar w:fldCharType="end"/>
      </w:r>
      <w:r>
        <w:t xml:space="preserve"> in Appendix </w:t>
      </w:r>
      <w:r>
        <w:fldChar w:fldCharType="begin" w:fldLock="1"/>
      </w:r>
      <w:r>
        <w:instrText xml:space="preserve"> REF _Ref98255015 \r \h </w:instrText>
      </w:r>
      <w:r w:rsidR="00B942D8">
        <w:instrText xml:space="preserve"> \* MERGEFORMAT </w:instrText>
      </w:r>
      <w:r>
        <w:fldChar w:fldCharType="separate"/>
      </w:r>
      <w:r>
        <w:t>E.8</w:t>
      </w:r>
      <w:r>
        <w:fldChar w:fldCharType="end"/>
      </w:r>
      <w:r>
        <w:t xml:space="preserve">) relative to the observed incidence rate of 2,279. This suggests the probability of hospitalisation is 3.6 per cent lower among headspace clients compared to the rest of the target population. </w:t>
      </w:r>
    </w:p>
    <w:p w14:paraId="7B606366" w14:textId="6F18DD94" w:rsidR="00191245" w:rsidRPr="00B11776" w:rsidRDefault="00191245" w:rsidP="00B942D8">
      <w:pPr>
        <w:pStyle w:val="Bullet1stlevel"/>
      </w:pPr>
      <w:r>
        <w:t>The estimated probability of 12 to 25 year olds needing hospitalisation is 2.3 per</w:t>
      </w:r>
      <w:r w:rsidR="003B7EB2">
        <w:t xml:space="preserve"> </w:t>
      </w:r>
      <w:r>
        <w:t>cent.</w:t>
      </w:r>
    </w:p>
    <w:p w14:paraId="3BD2297B" w14:textId="77777777" w:rsidR="00191245" w:rsidRPr="00C7385C" w:rsidRDefault="00191245" w:rsidP="00B942D8">
      <w:pPr>
        <w:pStyle w:val="Bullet1stlevel"/>
      </w:pPr>
      <w:r>
        <w:t>The ratio of headspace clients to the population of 12 to 25 year olds is 2.2 per cent.</w:t>
      </w:r>
    </w:p>
    <w:p w14:paraId="088E1D0B" w14:textId="77777777" w:rsidR="00191245" w:rsidRDefault="00191245" w:rsidP="00B942D8">
      <w:pPr>
        <w:pStyle w:val="Bullet1stlevel"/>
      </w:pPr>
      <w:r>
        <w:t xml:space="preserve">The probability of hospitalisation for young persons not accessing headspace calculated as </w:t>
      </w:r>
      <m:oMath>
        <m:f>
          <m:fPr>
            <m:ctrlPr>
              <w:rPr>
                <w:rFonts w:ascii="Cambria Math" w:hAnsi="Cambria Math" w:cstheme="minorHAnsi"/>
                <w:i/>
              </w:rPr>
            </m:ctrlPr>
          </m:fPr>
          <m:num>
            <m:r>
              <m:rPr>
                <m:nor/>
              </m:rPr>
              <w:rPr>
                <w:rFonts w:cstheme="minorHAnsi"/>
              </w:rPr>
              <m:t>2.3%</m:t>
            </m:r>
          </m:num>
          <m:den>
            <m:r>
              <m:rPr>
                <m:nor/>
              </m:rPr>
              <w:rPr>
                <w:rFonts w:cstheme="minorHAnsi"/>
              </w:rPr>
              <m:t>(100%-3.6%)×2.2%+(100%-2.2%)</m:t>
            </m:r>
          </m:den>
        </m:f>
        <m:r>
          <m:rPr>
            <m:nor/>
          </m:rPr>
          <w:rPr>
            <w:rFonts w:cstheme="minorHAnsi"/>
          </w:rPr>
          <m:t>=2.28 per cent</m:t>
        </m:r>
      </m:oMath>
      <w:r>
        <w:rPr>
          <w:rFonts w:eastAsiaTheme="minorEastAsia"/>
        </w:rPr>
        <w:t>.</w:t>
      </w:r>
    </w:p>
    <w:p w14:paraId="4EFCDBCD" w14:textId="77777777" w:rsidR="00191245" w:rsidRPr="008716F1" w:rsidRDefault="00191245" w:rsidP="00B942D8">
      <w:pPr>
        <w:pStyle w:val="Bullet1stlevel"/>
        <w:rPr>
          <w:rFonts w:cstheme="minorHAnsi"/>
          <w:i/>
        </w:rPr>
      </w:pPr>
      <w:r>
        <w:t xml:space="preserve">The probability of hospitalisation for young persons accessing headspace calculated is </w:t>
      </w:r>
      <m:oMath>
        <m:r>
          <m:rPr>
            <m:nor/>
          </m:rPr>
          <w:rPr>
            <w:rFonts w:cstheme="minorHAnsi"/>
          </w:rPr>
          <m:t xml:space="preserve">(100% - 3.6%) </m:t>
        </m:r>
        <m:r>
          <m:rPr>
            <m:nor/>
          </m:rPr>
          <w:rPr>
            <w:rFonts w:eastAsiaTheme="minorEastAsia" w:cstheme="minorHAnsi"/>
          </w:rPr>
          <m:t>× 2.28%=2.20 per cent</m:t>
        </m:r>
      </m:oMath>
      <w:r>
        <w:rPr>
          <w:rFonts w:eastAsiaTheme="minorEastAsia"/>
        </w:rPr>
        <w:t>.</w:t>
      </w:r>
    </w:p>
    <w:p w14:paraId="55893923" w14:textId="77777777" w:rsidR="00191245" w:rsidRDefault="00191245" w:rsidP="00B942D8">
      <w:pPr>
        <w:pStyle w:val="Bullet1stlevel"/>
      </w:pPr>
      <w:r>
        <w:t>Thus, the incremental risk of hospitalisation is 2.28% - 2.20% = 0.08 per cent.</w:t>
      </w:r>
    </w:p>
    <w:p w14:paraId="0C61E29D" w14:textId="6C7E226F" w:rsidR="00191245" w:rsidRDefault="00191245" w:rsidP="00191245">
      <w:pPr>
        <w:pStyle w:val="BodyText"/>
      </w:pPr>
      <w:r>
        <w:t>Young persons that accessed treatment from headspace in the world with headspace, but do not in the world without headspace have a 0.08 per cent higher risk of hospitalisation</w:t>
      </w:r>
      <w:r w:rsidR="00E03C80">
        <w:t xml:space="preserve"> </w:t>
      </w:r>
      <w:r w:rsidR="00BD227E">
        <w:t xml:space="preserve">with </w:t>
      </w:r>
      <w:r w:rsidR="00793892">
        <w:t xml:space="preserve">the </w:t>
      </w:r>
      <w:r w:rsidR="008D7E1C">
        <w:t xml:space="preserve">expected </w:t>
      </w:r>
      <w:r w:rsidR="00793892">
        <w:t>cost</w:t>
      </w:r>
      <w:r w:rsidR="00514367">
        <w:t xml:space="preserve"> increase</w:t>
      </w:r>
      <w:r w:rsidR="00793892">
        <w:t xml:space="preserve"> of </w:t>
      </w:r>
      <w:r w:rsidR="00125BBA">
        <w:t>0.08% * $5,745 =</w:t>
      </w:r>
      <w:r w:rsidR="00E03C80">
        <w:t xml:space="preserve"> </w:t>
      </w:r>
      <w:r w:rsidR="00230AC5">
        <w:t>$4.52</w:t>
      </w:r>
      <w:r w:rsidR="00125BBA">
        <w:t xml:space="preserve"> per </w:t>
      </w:r>
      <w:r w:rsidR="0064395A">
        <w:t>person</w:t>
      </w:r>
      <w:r w:rsidR="00665808">
        <w:t xml:space="preserve"> not accessing treatment</w:t>
      </w:r>
      <w:r>
        <w:t>.</w:t>
      </w:r>
    </w:p>
    <w:p w14:paraId="1B9BE99C" w14:textId="6CEB74B4" w:rsidR="003626DD" w:rsidRDefault="003626DD" w:rsidP="00B942D8">
      <w:pPr>
        <w:pStyle w:val="AppendixHeading2"/>
      </w:pPr>
      <w:r>
        <w:t>Outcomes</w:t>
      </w:r>
    </w:p>
    <w:p w14:paraId="475DCBF4" w14:textId="3340799A" w:rsidR="003626DD" w:rsidRPr="0094525E" w:rsidRDefault="003626DD" w:rsidP="00051AD7">
      <w:pPr>
        <w:pStyle w:val="BodyText"/>
        <w:keepNext/>
        <w:keepLines/>
      </w:pPr>
      <w:r w:rsidRPr="0094525E">
        <w:t xml:space="preserve">Aligning with the aim of producing results that are most readily suitable to support decision making, the evaluation captures costs of </w:t>
      </w:r>
      <w:r w:rsidR="00FE2100">
        <w:t>headspace</w:t>
      </w:r>
      <w:r w:rsidRPr="0094525E">
        <w:t xml:space="preserve"> service provision, and converts mental health outcomes (K10) to </w:t>
      </w:r>
      <w:r w:rsidR="00D06E0C">
        <w:t>QALY</w:t>
      </w:r>
      <w:r w:rsidR="000B79DD">
        <w:t>s</w:t>
      </w:r>
      <w:r w:rsidRPr="0094525E">
        <w:t xml:space="preserve"> for the calculation of an </w:t>
      </w:r>
      <w:r w:rsidR="000B79DD">
        <w:t>ICER</w:t>
      </w:r>
      <w:r w:rsidRPr="0094525E">
        <w:t xml:space="preserve"> which is the standard outcome for expressing value for money of health policies and interventions. The process of estimating the QALY gain from the treatment at </w:t>
      </w:r>
      <w:r w:rsidR="00FE2100">
        <w:t>headspace</w:t>
      </w:r>
      <w:r w:rsidRPr="0094525E">
        <w:t xml:space="preserve"> is outlined below</w:t>
      </w:r>
      <w:r w:rsidR="0094525E">
        <w:t>.</w:t>
      </w:r>
    </w:p>
    <w:p w14:paraId="74663803" w14:textId="3DFBF7BB" w:rsidR="003626DD" w:rsidRPr="004A4C77" w:rsidRDefault="003626DD" w:rsidP="00A72CC4">
      <w:pPr>
        <w:pStyle w:val="ListNumber"/>
        <w:numPr>
          <w:ilvl w:val="0"/>
          <w:numId w:val="22"/>
        </w:numPr>
      </w:pPr>
      <w:r w:rsidRPr="004A4C77">
        <w:t>Calculate the average K10 scores at the start, completion and follow</w:t>
      </w:r>
      <w:r w:rsidR="00F01FA5">
        <w:t xml:space="preserve"> </w:t>
      </w:r>
      <w:r w:rsidRPr="004A4C77">
        <w:t xml:space="preserve">up of an episode. </w:t>
      </w:r>
    </w:p>
    <w:p w14:paraId="107FCC45" w14:textId="77777777" w:rsidR="003626DD" w:rsidRPr="004A4C77" w:rsidRDefault="003626DD" w:rsidP="0094525E">
      <w:pPr>
        <w:pStyle w:val="ListNumber"/>
      </w:pPr>
      <w:r w:rsidRPr="004A4C77">
        <w:t>Convert the average K10 scores into utility score AQoL-8D.</w:t>
      </w:r>
    </w:p>
    <w:p w14:paraId="11CC2C3D" w14:textId="065BA112" w:rsidR="003626DD" w:rsidRPr="004A4C77" w:rsidRDefault="003626DD" w:rsidP="0094525E">
      <w:pPr>
        <w:pStyle w:val="ListNumber"/>
      </w:pPr>
      <w:r w:rsidRPr="004A4C77">
        <w:t xml:space="preserve">Calculate QALY gain per episode by linearly </w:t>
      </w:r>
      <w:r w:rsidR="00415604" w:rsidRPr="004A4C77">
        <w:t>extrapolat</w:t>
      </w:r>
      <w:r w:rsidR="00415604">
        <w:t>ing</w:t>
      </w:r>
      <w:r w:rsidR="00415604" w:rsidRPr="004A4C77">
        <w:t xml:space="preserve"> </w:t>
      </w:r>
      <w:r w:rsidRPr="004A4C77">
        <w:t>between points.</w:t>
      </w:r>
    </w:p>
    <w:p w14:paraId="60C9EA56" w14:textId="77777777" w:rsidR="003626DD" w:rsidRPr="00BA0C66" w:rsidRDefault="003626DD" w:rsidP="00B942D8">
      <w:pPr>
        <w:pStyle w:val="AppendixHeading3"/>
      </w:pPr>
      <w:r w:rsidRPr="00BA0C66">
        <w:t>Change in K10 measure</w:t>
      </w:r>
    </w:p>
    <w:p w14:paraId="411541EE" w14:textId="751E427F" w:rsidR="005E7432" w:rsidRPr="003C2BBA" w:rsidRDefault="006F59CC" w:rsidP="003C2BBA">
      <w:pPr>
        <w:pStyle w:val="BodyText"/>
      </w:pPr>
      <w:r>
        <w:t xml:space="preserve">Improvements in health </w:t>
      </w:r>
      <w:r w:rsidR="005E7432">
        <w:t>outcomes over time are obs</w:t>
      </w:r>
      <w:r w:rsidR="004667AD">
        <w:t xml:space="preserve">erved for young people receiving </w:t>
      </w:r>
      <w:r w:rsidR="00D532B2">
        <w:t xml:space="preserve">treatment </w:t>
      </w:r>
      <w:r w:rsidR="004667AD">
        <w:t>and also for young people not receiving treatment. This is accounted for by estimat</w:t>
      </w:r>
      <w:r w:rsidR="00642444">
        <w:t>ing</w:t>
      </w:r>
      <w:r w:rsidR="004667AD">
        <w:t xml:space="preserve"> the RTM effect as discussed in Appendix</w:t>
      </w:r>
      <w:r w:rsidR="004667AD" w:rsidRPr="004A4C77">
        <w:t xml:space="preserve"> </w:t>
      </w:r>
      <w:r w:rsidR="003626DD" w:rsidRPr="004A4C77">
        <w:rPr>
          <w:highlight w:val="yellow"/>
        </w:rPr>
        <w:fldChar w:fldCharType="begin" w:fldLock="1"/>
      </w:r>
      <w:r w:rsidR="003626DD" w:rsidRPr="004A4C77">
        <w:instrText xml:space="preserve"> REF _Ref98010464 \r \h </w:instrText>
      </w:r>
      <w:r w:rsidR="003626DD" w:rsidRPr="004A4C77">
        <w:rPr>
          <w:highlight w:val="yellow"/>
        </w:rPr>
        <w:instrText xml:space="preserve"> \* MERGEFORMAT </w:instrText>
      </w:r>
      <w:r w:rsidR="003626DD" w:rsidRPr="004A4C77">
        <w:rPr>
          <w:highlight w:val="yellow"/>
        </w:rPr>
      </w:r>
      <w:r w:rsidR="003626DD" w:rsidRPr="004A4C77">
        <w:rPr>
          <w:highlight w:val="yellow"/>
        </w:rPr>
        <w:fldChar w:fldCharType="separate"/>
      </w:r>
      <w:r w:rsidR="003626DD">
        <w:t>E.2</w:t>
      </w:r>
      <w:r w:rsidR="003626DD" w:rsidRPr="004A4C77">
        <w:rPr>
          <w:highlight w:val="yellow"/>
        </w:rPr>
        <w:fldChar w:fldCharType="end"/>
      </w:r>
      <w:r w:rsidR="004667AD">
        <w:t xml:space="preserve">. </w:t>
      </w:r>
      <w:r w:rsidR="004667AD" w:rsidRPr="004A4C77">
        <w:rPr>
          <w:rFonts w:cstheme="minorHAnsi"/>
        </w:rPr>
        <w:t xml:space="preserve">The gains from receiving a treatment are then considered to be health outcomes </w:t>
      </w:r>
      <w:r w:rsidR="004667AD">
        <w:rPr>
          <w:rFonts w:cstheme="minorHAnsi"/>
        </w:rPr>
        <w:t>exceeding</w:t>
      </w:r>
      <w:r w:rsidR="004667AD" w:rsidRPr="004A4C77">
        <w:rPr>
          <w:rFonts w:cstheme="minorHAnsi"/>
        </w:rPr>
        <w:t xml:space="preserve"> the outcomes predicted by the RTM effect as illustrated in </w:t>
      </w:r>
      <w:r w:rsidR="007C07F5">
        <w:rPr>
          <w:rFonts w:cstheme="minorHAnsi"/>
        </w:rPr>
        <w:fldChar w:fldCharType="begin" w:fldLock="1"/>
      </w:r>
      <w:r w:rsidR="007C07F5">
        <w:rPr>
          <w:rFonts w:cstheme="minorHAnsi"/>
        </w:rPr>
        <w:instrText xml:space="preserve"> REF _Ref104916786 \h </w:instrText>
      </w:r>
      <w:r w:rsidR="007C07F5">
        <w:rPr>
          <w:rFonts w:cstheme="minorHAnsi"/>
        </w:rPr>
      </w:r>
      <w:r w:rsidR="007C07F5">
        <w:rPr>
          <w:rFonts w:cstheme="minorHAnsi"/>
        </w:rPr>
        <w:fldChar w:fldCharType="separate"/>
      </w:r>
      <w:r w:rsidR="007C07F5">
        <w:t xml:space="preserve">Figure </w:t>
      </w:r>
      <w:r w:rsidR="007C07F5">
        <w:rPr>
          <w:noProof/>
        </w:rPr>
        <w:t>73</w:t>
      </w:r>
      <w:r w:rsidR="007C07F5">
        <w:rPr>
          <w:rFonts w:cstheme="minorHAnsi"/>
        </w:rPr>
        <w:fldChar w:fldCharType="end"/>
      </w:r>
      <w:r w:rsidR="007C07F5">
        <w:rPr>
          <w:rFonts w:cstheme="minorHAnsi"/>
        </w:rPr>
        <w:t xml:space="preserve">. </w:t>
      </w:r>
      <w:r w:rsidR="004667AD" w:rsidRPr="004A4C77">
        <w:rPr>
          <w:rFonts w:cstheme="minorHAnsi"/>
        </w:rPr>
        <w:t>Further details on this are available in Appendix E.7.</w:t>
      </w:r>
    </w:p>
    <w:p w14:paraId="6A730F01" w14:textId="036F2FC3" w:rsidR="004A4B71" w:rsidRDefault="004A4B71" w:rsidP="004A4B71">
      <w:pPr>
        <w:pStyle w:val="Caption"/>
      </w:pPr>
      <w:bookmarkStart w:id="433" w:name="_Ref104916786"/>
      <w:bookmarkStart w:id="434" w:name="_Toc108109258"/>
      <w:r>
        <w:t xml:space="preserve">Figure </w:t>
      </w:r>
      <w:r>
        <w:fldChar w:fldCharType="begin"/>
      </w:r>
      <w:r>
        <w:instrText>SEQ Figure \* ARABIC</w:instrText>
      </w:r>
      <w:r>
        <w:fldChar w:fldCharType="separate"/>
      </w:r>
      <w:r w:rsidR="00CC0438">
        <w:rPr>
          <w:noProof/>
        </w:rPr>
        <w:t>73</w:t>
      </w:r>
      <w:r>
        <w:fldChar w:fldCharType="end"/>
      </w:r>
      <w:bookmarkEnd w:id="433"/>
      <w:r>
        <w:t xml:space="preserve">: The average K10 outcome measure for episodes with at least three </w:t>
      </w:r>
      <w:r w:rsidR="00525ED1">
        <w:t>OOS</w:t>
      </w:r>
      <w:bookmarkEnd w:id="434"/>
    </w:p>
    <w:p w14:paraId="2BE2D6BC" w14:textId="6CB31262" w:rsidR="0075677C" w:rsidRPr="0075677C" w:rsidRDefault="0075677C" w:rsidP="00E61DB4">
      <w:r>
        <w:rPr>
          <w:noProof/>
        </w:rPr>
        <w:drawing>
          <wp:inline distT="0" distB="0" distL="0" distR="0" wp14:anchorId="4E9A5B52" wp14:editId="67A320C4">
            <wp:extent cx="5037455" cy="3234055"/>
            <wp:effectExtent l="0" t="0" r="0" b="4445"/>
            <wp:docPr id="6" name="Picture 6" descr="Figure 73 summarise the average K10 outcome measure for episodes of care with at least 3 occasions of service. With no intervention, K10 scores are 29.8. The observed treatment effect shows K10 scores improve to 26.9 at the end of the episode of care, and 25.9 at the follow up survey. The RTM adjusted effect shows K10 scores improve to 28.7 at the end of the episode of care, and this remains the same at the follow-up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73 summarise the average K10 outcome measure for episodes of care with at least 3 occasions of service. With no intervention, K10 scores are 29.8. The observed treatment effect shows K10 scores improve to 26.9 at the end of the episode of care, and 25.9 at the follow up survey. The RTM adjusted effect shows K10 scores improve to 28.7 at the end of the episode of care, and this remains the same at the follow-up survey."/>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37455" cy="3234055"/>
                    </a:xfrm>
                    <a:prstGeom prst="rect">
                      <a:avLst/>
                    </a:prstGeom>
                    <a:noFill/>
                    <a:ln>
                      <a:noFill/>
                    </a:ln>
                  </pic:spPr>
                </pic:pic>
              </a:graphicData>
            </a:graphic>
          </wp:inline>
        </w:drawing>
      </w:r>
    </w:p>
    <w:p w14:paraId="3F7F94A7" w14:textId="214048B4" w:rsidR="003626DD" w:rsidRDefault="003626DD" w:rsidP="00E61DB4">
      <w:pPr>
        <w:pStyle w:val="Source"/>
      </w:pPr>
      <w:r w:rsidRPr="004A4C77">
        <w:t>Source: KPMG analysis of the c</w:t>
      </w:r>
      <w:r>
        <w:t>ost</w:t>
      </w:r>
      <w:r w:rsidR="00894839">
        <w:t>-</w:t>
      </w:r>
      <w:r w:rsidR="00030757">
        <w:t>effectiveness</w:t>
      </w:r>
      <w:r>
        <w:t xml:space="preserve"> dataset</w:t>
      </w:r>
      <w:r w:rsidR="00030757">
        <w:t>.</w:t>
      </w:r>
    </w:p>
    <w:p w14:paraId="7E6CC906" w14:textId="155F57C8" w:rsidR="00D365D2" w:rsidRPr="004A4C77" w:rsidRDefault="00D365D2" w:rsidP="007A077F">
      <w:pPr>
        <w:pStyle w:val="Source-Notes"/>
      </w:pPr>
      <w:r>
        <w:t>Notes: RTM Regression to the mean.</w:t>
      </w:r>
    </w:p>
    <w:p w14:paraId="1C76A76F" w14:textId="77777777" w:rsidR="003626DD" w:rsidRPr="00BA0C66" w:rsidRDefault="003626DD" w:rsidP="00B942D8">
      <w:pPr>
        <w:pStyle w:val="Heading4"/>
      </w:pPr>
      <w:r w:rsidRPr="00BA0C66">
        <w:t>K10 conversion</w:t>
      </w:r>
    </w:p>
    <w:p w14:paraId="0F01FBDC" w14:textId="630E2FD1" w:rsidR="003626DD" w:rsidRDefault="003626DD" w:rsidP="003626DD">
      <w:pPr>
        <w:rPr>
          <w:rFonts w:cstheme="minorHAnsi"/>
        </w:rPr>
      </w:pPr>
      <w:r w:rsidRPr="004A4C77">
        <w:rPr>
          <w:rFonts w:cstheme="minorHAnsi"/>
        </w:rPr>
        <w:t>The analysis used the algorithms developed by Mihalopoulos et al. (2014) to convert the K10</w:t>
      </w:r>
      <w:r w:rsidRPr="004A4C77" w:rsidDel="00800FC1">
        <w:rPr>
          <w:rFonts w:cstheme="minorHAnsi"/>
        </w:rPr>
        <w:t xml:space="preserve"> </w:t>
      </w:r>
      <w:r w:rsidRPr="004A4C77">
        <w:rPr>
          <w:rFonts w:cstheme="minorHAnsi"/>
        </w:rPr>
        <w:t>outcome measures into Assessment of Quality of Life – Eight Dimension Scale (AQoL-8D), a multi-attribute utility instrument (MAUI) representing the level of utility at that point in time</w:t>
      </w:r>
      <w:r w:rsidR="00CC0438">
        <w:rPr>
          <w:rFonts w:ascii="ZWAdobeF" w:hAnsi="ZWAdobeF" w:cs="ZWAdobeF"/>
          <w:sz w:val="2"/>
          <w:szCs w:val="2"/>
        </w:rPr>
        <w:t>245F</w:t>
      </w:r>
      <w:r w:rsidR="00BE1E0C">
        <w:rPr>
          <w:rStyle w:val="FootnoteReference"/>
          <w:rFonts w:cstheme="minorHAnsi"/>
        </w:rPr>
        <w:footnoteReference w:id="247"/>
      </w:r>
      <w:r w:rsidR="006A4297">
        <w:rPr>
          <w:rFonts w:cstheme="minorHAnsi"/>
        </w:rPr>
        <w:t>.</w:t>
      </w:r>
      <w:r w:rsidRPr="004A4C77">
        <w:rPr>
          <w:rFonts w:cstheme="minorHAnsi"/>
        </w:rPr>
        <w:t xml:space="preserve"> The AQoL-8D ranges between zero and one, where </w:t>
      </w:r>
      <w:r>
        <w:rPr>
          <w:rFonts w:cstheme="minorHAnsi"/>
        </w:rPr>
        <w:t>one</w:t>
      </w:r>
      <w:r w:rsidRPr="004A4C77">
        <w:rPr>
          <w:rFonts w:cstheme="minorHAnsi"/>
        </w:rPr>
        <w:t xml:space="preserve"> represents perfect health and </w:t>
      </w:r>
      <w:r>
        <w:rPr>
          <w:rFonts w:cstheme="minorHAnsi"/>
        </w:rPr>
        <w:t>zero</w:t>
      </w:r>
      <w:r w:rsidRPr="004A4C77">
        <w:rPr>
          <w:rFonts w:cstheme="minorHAnsi"/>
        </w:rPr>
        <w:t xml:space="preserve"> represents death.</w:t>
      </w:r>
    </w:p>
    <w:p w14:paraId="5A27D2AE" w14:textId="58BB5362" w:rsidR="003626DD" w:rsidRDefault="003626DD" w:rsidP="003626DD">
      <w:pPr>
        <w:rPr>
          <w:rFonts w:cstheme="minorHAnsi"/>
        </w:rPr>
      </w:pPr>
      <w:r w:rsidRPr="004A4C77">
        <w:rPr>
          <w:rFonts w:cstheme="minorHAnsi"/>
        </w:rPr>
        <w:t>The AQoL-8D was constructed from people with moderate to severe mental health problems, aiming to achieve sensitivity to the dimensions that are important to people with mental health problems</w:t>
      </w:r>
      <w:r w:rsidR="00CC0438">
        <w:rPr>
          <w:rFonts w:ascii="ZWAdobeF" w:hAnsi="ZWAdobeF" w:cs="ZWAdobeF"/>
          <w:sz w:val="2"/>
          <w:szCs w:val="2"/>
        </w:rPr>
        <w:t>246F</w:t>
      </w:r>
      <w:r w:rsidRPr="004A4C77">
        <w:rPr>
          <w:rStyle w:val="FootnoteReference"/>
          <w:rFonts w:cstheme="minorHAnsi"/>
        </w:rPr>
        <w:footnoteReference w:id="248"/>
      </w:r>
      <w:r w:rsidR="006A4297">
        <w:rPr>
          <w:rFonts w:cstheme="minorHAnsi"/>
        </w:rPr>
        <w:t>.</w:t>
      </w:r>
      <w:r w:rsidRPr="004A4C77">
        <w:rPr>
          <w:rFonts w:cstheme="minorHAnsi"/>
        </w:rPr>
        <w:t xml:space="preserve"> Given the nature of the service provided by </w:t>
      </w:r>
      <w:r w:rsidR="00FE2100">
        <w:rPr>
          <w:rFonts w:cstheme="minorHAnsi"/>
        </w:rPr>
        <w:t>headspace</w:t>
      </w:r>
      <w:r w:rsidRPr="004A4C77">
        <w:rPr>
          <w:rFonts w:cstheme="minorHAnsi"/>
        </w:rPr>
        <w:t xml:space="preserve"> as well as </w:t>
      </w:r>
      <w:r w:rsidR="00FE2100">
        <w:rPr>
          <w:rFonts w:cstheme="minorHAnsi"/>
        </w:rPr>
        <w:t>headspace</w:t>
      </w:r>
      <w:r w:rsidRPr="004A4C77">
        <w:rPr>
          <w:rFonts w:cstheme="minorHAnsi"/>
        </w:rPr>
        <w:t xml:space="preserve"> clients, AQoL – 8D is a more suitable instrument for the QALY calculation than other more commonly used MAUIs such as EQ-5D and SF-6D</w:t>
      </w:r>
      <w:r w:rsidR="00CC0438">
        <w:rPr>
          <w:rFonts w:ascii="ZWAdobeF" w:hAnsi="ZWAdobeF" w:cs="ZWAdobeF"/>
          <w:sz w:val="2"/>
          <w:szCs w:val="2"/>
        </w:rPr>
        <w:t>247F</w:t>
      </w:r>
      <w:r w:rsidRPr="004A4C77">
        <w:rPr>
          <w:rStyle w:val="FootnoteReference"/>
          <w:rFonts w:cstheme="minorHAnsi"/>
        </w:rPr>
        <w:footnoteReference w:id="249"/>
      </w:r>
      <w:r w:rsidR="006A4297">
        <w:rPr>
          <w:rFonts w:cstheme="minorHAnsi"/>
        </w:rPr>
        <w:t>.</w:t>
      </w:r>
      <w:r w:rsidRPr="004A4C77">
        <w:rPr>
          <w:rFonts w:cstheme="minorHAnsi"/>
        </w:rPr>
        <w:t xml:space="preserve"> It is acknowledged that the conversion of K10 score into MAUI may be subject to the sensitivity of the algorithm, especially when the sample in this study is not a sample of young people. </w:t>
      </w:r>
    </w:p>
    <w:p w14:paraId="44CA3A0C" w14:textId="257AB3D0" w:rsidR="003626DD" w:rsidRPr="004A4C77" w:rsidRDefault="003626DD" w:rsidP="003626DD">
      <w:pPr>
        <w:rPr>
          <w:rFonts w:cstheme="minorHAnsi"/>
        </w:rPr>
      </w:pPr>
      <w:r w:rsidRPr="004A4C77">
        <w:rPr>
          <w:rFonts w:cstheme="minorHAnsi"/>
        </w:rPr>
        <w:t>Hamilton et al (2021</w:t>
      </w:r>
      <w:r w:rsidR="00EC6527">
        <w:rPr>
          <w:rFonts w:cstheme="minorHAnsi"/>
        </w:rPr>
        <w:t>, Preprint</w:t>
      </w:r>
      <w:r w:rsidRPr="004A4C77">
        <w:rPr>
          <w:rFonts w:cstheme="minorHAnsi"/>
        </w:rPr>
        <w:t>) is developing Transfer To Utility (TTU) algorithms using a sample of young people attending Australian primary mental health service</w:t>
      </w:r>
      <w:r w:rsidR="00CC0438">
        <w:rPr>
          <w:rFonts w:ascii="ZWAdobeF" w:hAnsi="ZWAdobeF" w:cs="ZWAdobeF"/>
          <w:sz w:val="2"/>
          <w:szCs w:val="2"/>
        </w:rPr>
        <w:t>248F</w:t>
      </w:r>
      <w:r w:rsidR="00B00C3F" w:rsidRPr="004A4C77">
        <w:rPr>
          <w:rStyle w:val="FootnoteReference"/>
          <w:rFonts w:cstheme="minorHAnsi"/>
        </w:rPr>
        <w:footnoteReference w:id="250"/>
      </w:r>
      <w:r w:rsidR="006A4297" w:rsidRPr="00CA25CB">
        <w:rPr>
          <w:rStyle w:val="FootnoteReference"/>
          <w:rFonts w:cstheme="minorHAnsi"/>
          <w:vertAlign w:val="baseline"/>
        </w:rPr>
        <w:t>.</w:t>
      </w:r>
      <w:r w:rsidRPr="004A4C77">
        <w:rPr>
          <w:rFonts w:cstheme="minorHAnsi"/>
        </w:rPr>
        <w:t xml:space="preserve"> However, the study does not use K10 but converts the K6 measure and the SOFAS measure into AQoL-6D, which are either not fully aligned with outcome measures use</w:t>
      </w:r>
      <w:r w:rsidR="00C20F3B">
        <w:rPr>
          <w:rFonts w:cstheme="minorHAnsi"/>
        </w:rPr>
        <w:t>d</w:t>
      </w:r>
      <w:r w:rsidRPr="004A4C77">
        <w:rPr>
          <w:rFonts w:cstheme="minorHAnsi"/>
        </w:rPr>
        <w:t xml:space="preserve"> in this report (K6) or not collected in the follow</w:t>
      </w:r>
      <w:r w:rsidR="00F01FA5">
        <w:rPr>
          <w:rFonts w:cstheme="minorHAnsi"/>
        </w:rPr>
        <w:t xml:space="preserve"> </w:t>
      </w:r>
      <w:r w:rsidRPr="004A4C77">
        <w:rPr>
          <w:rFonts w:cstheme="minorHAnsi"/>
        </w:rPr>
        <w:t xml:space="preserve">up survey (SOFAS). </w:t>
      </w:r>
    </w:p>
    <w:p w14:paraId="1D21BA39" w14:textId="77777777" w:rsidR="003626DD" w:rsidRPr="002914DE" w:rsidRDefault="003626DD" w:rsidP="00B942D8">
      <w:pPr>
        <w:pStyle w:val="Heading4"/>
      </w:pPr>
      <w:r w:rsidRPr="002914DE">
        <w:t>QALY gain calculation</w:t>
      </w:r>
    </w:p>
    <w:p w14:paraId="0CAE4CD6" w14:textId="4CA22114" w:rsidR="001667C1" w:rsidRDefault="003626DD" w:rsidP="003626DD">
      <w:r w:rsidRPr="004A4C77">
        <w:t xml:space="preserve">QALY gains were calculated as the area beneath the AQOL curve and a line at the ‘pre’ AQOL score at intake. Both the </w:t>
      </w:r>
      <w:r w:rsidR="00210DE1">
        <w:t>raw observed</w:t>
      </w:r>
      <w:r w:rsidRPr="004A4C77">
        <w:t xml:space="preserve"> QALY and the RTM</w:t>
      </w:r>
      <w:r w:rsidR="00414427">
        <w:t>-</w:t>
      </w:r>
      <w:r w:rsidRPr="004A4C77">
        <w:t>adjusted QALY gain</w:t>
      </w:r>
      <w:r w:rsidR="00210DE1">
        <w:t>s</w:t>
      </w:r>
      <w:r w:rsidRPr="004A4C77">
        <w:t xml:space="preserve"> were examined</w:t>
      </w:r>
      <w:r>
        <w:t>. The latter</w:t>
      </w:r>
      <w:r w:rsidR="00210DE1">
        <w:t xml:space="preserve"> measure</w:t>
      </w:r>
      <w:r>
        <w:t xml:space="preserve"> was preferred in the base case due to this approach being conceptually more appropriate</w:t>
      </w:r>
      <w:r w:rsidRPr="004A4C77">
        <w:t xml:space="preserve">. </w:t>
      </w:r>
    </w:p>
    <w:p w14:paraId="5525C5F0" w14:textId="4DC6DD13" w:rsidR="00F53022" w:rsidRDefault="00FA60FE" w:rsidP="00F53022">
      <w:r>
        <w:t xml:space="preserve">The QALY gains accounts the treatment outcome observed at the closure of an </w:t>
      </w:r>
      <w:r w:rsidR="00080644">
        <w:t>EOC</w:t>
      </w:r>
      <w:r>
        <w:t>,</w:t>
      </w:r>
      <w:r w:rsidR="00D1283B">
        <w:t xml:space="preserve"> mental health improvements indicated by responses from the follow</w:t>
      </w:r>
      <w:r w:rsidR="00F01FA5">
        <w:t xml:space="preserve"> </w:t>
      </w:r>
      <w:r w:rsidR="00D1283B">
        <w:t xml:space="preserve">up survey and </w:t>
      </w:r>
      <w:r w:rsidR="00F53022" w:rsidRPr="004A4C77">
        <w:t>benefits</w:t>
      </w:r>
      <w:r w:rsidR="00F53022">
        <w:t xml:space="preserve"> that were extrapolated</w:t>
      </w:r>
      <w:r w:rsidR="00F53022" w:rsidRPr="004A4C77">
        <w:t xml:space="preserve"> beyond</w:t>
      </w:r>
      <w:r w:rsidR="00F53022">
        <w:t xml:space="preserve"> the time periods</w:t>
      </w:r>
      <w:r w:rsidR="00F53022" w:rsidRPr="004A4C77">
        <w:t xml:space="preserve"> </w:t>
      </w:r>
      <w:r w:rsidR="00F53022">
        <w:t>observed within the available data.</w:t>
      </w:r>
    </w:p>
    <w:p w14:paraId="28C5FEF7" w14:textId="77777777" w:rsidR="003626DD" w:rsidRPr="00263000" w:rsidRDefault="003626DD" w:rsidP="00B942D8">
      <w:pPr>
        <w:pStyle w:val="Heading4"/>
      </w:pPr>
      <w:r w:rsidRPr="00263000">
        <w:t>Extrapolation</w:t>
      </w:r>
    </w:p>
    <w:p w14:paraId="4ED32212" w14:textId="6F510AE7" w:rsidR="003626DD" w:rsidRDefault="003626DD" w:rsidP="003626DD">
      <w:r>
        <w:t>The base case reflects mental health benefits of treatment extrapolated over 12 months after the last observed health outcome data point. This</w:t>
      </w:r>
      <w:r w:rsidR="0046415F">
        <w:t xml:space="preserve"> 12-months duration is an</w:t>
      </w:r>
      <w:r>
        <w:t xml:space="preserve"> assumption based on a literature review and meta-analysis </w:t>
      </w:r>
      <w:r w:rsidR="00C152FD">
        <w:t>w</w:t>
      </w:r>
      <w:r w:rsidR="00BF050B">
        <w:t>h</w:t>
      </w:r>
      <w:r w:rsidR="00C152FD">
        <w:t xml:space="preserve">ere a majority of the reviewed studies </w:t>
      </w:r>
      <w:r>
        <w:t>relied on 12-month follow</w:t>
      </w:r>
      <w:r w:rsidR="00F01FA5">
        <w:t xml:space="preserve"> </w:t>
      </w:r>
      <w:r>
        <w:t>up data to capture treatment benefits</w:t>
      </w:r>
      <w:r w:rsidR="00CC0438">
        <w:rPr>
          <w:rFonts w:ascii="ZWAdobeF" w:hAnsi="ZWAdobeF" w:cs="ZWAdobeF"/>
          <w:sz w:val="2"/>
          <w:szCs w:val="2"/>
        </w:rPr>
        <w:t>249F</w:t>
      </w:r>
      <w:r>
        <w:rPr>
          <w:rStyle w:val="FootnoteReference"/>
        </w:rPr>
        <w:footnoteReference w:id="251"/>
      </w:r>
      <w:r w:rsidR="00BC7B5C">
        <w:t>.</w:t>
      </w:r>
      <w:r>
        <w:t xml:space="preserve"> The extrapolation assumes a linear decline of the RTM-adjusted benefit from its last observed value to zero at 12 months. </w:t>
      </w:r>
    </w:p>
    <w:p w14:paraId="14CEEC4D" w14:textId="2F967408" w:rsidR="003626DD" w:rsidRPr="004A4C77" w:rsidRDefault="00305B7D" w:rsidP="003626DD">
      <w:r>
        <w:fldChar w:fldCharType="begin" w:fldLock="1"/>
      </w:r>
      <w:r>
        <w:instrText xml:space="preserve"> REF _Ref104919047 \h </w:instrText>
      </w:r>
      <w:r>
        <w:fldChar w:fldCharType="separate"/>
      </w:r>
      <w:r>
        <w:t xml:space="preserve">Figure </w:t>
      </w:r>
      <w:r>
        <w:rPr>
          <w:noProof/>
        </w:rPr>
        <w:t>74</w:t>
      </w:r>
      <w:r>
        <w:fldChar w:fldCharType="end"/>
      </w:r>
      <w:r w:rsidR="003626DD">
        <w:t xml:space="preserve"> illustrates</w:t>
      </w:r>
      <w:r w:rsidR="003626DD" w:rsidRPr="004A4C77">
        <w:t xml:space="preserve"> how </w:t>
      </w:r>
      <w:r w:rsidR="003626DD">
        <w:t>participation in</w:t>
      </w:r>
      <w:r w:rsidR="003626DD" w:rsidRPr="004A4C77">
        <w:t xml:space="preserve"> </w:t>
      </w:r>
      <w:r w:rsidR="00FE2100">
        <w:t>headspace</w:t>
      </w:r>
      <w:r w:rsidR="003626DD">
        <w:t xml:space="preserve"> treatment</w:t>
      </w:r>
      <w:r w:rsidR="003626DD" w:rsidRPr="004A4C77">
        <w:t xml:space="preserve"> affects </w:t>
      </w:r>
      <w:r w:rsidR="003626DD">
        <w:t xml:space="preserve">the </w:t>
      </w:r>
      <w:r w:rsidR="003626DD" w:rsidRPr="004A4C77">
        <w:t xml:space="preserve">quality </w:t>
      </w:r>
      <w:r w:rsidR="003626DD">
        <w:t xml:space="preserve">of </w:t>
      </w:r>
      <w:r w:rsidR="003626DD" w:rsidRPr="004A4C77">
        <w:t xml:space="preserve">life for young people attending three or more </w:t>
      </w:r>
      <w:r w:rsidR="00525ED1">
        <w:t>OOS</w:t>
      </w:r>
      <w:r w:rsidR="003626DD" w:rsidRPr="004A4C77">
        <w:t>. The outcome components include:</w:t>
      </w:r>
    </w:p>
    <w:p w14:paraId="614BFEB1" w14:textId="77777777" w:rsidR="003626DD" w:rsidRPr="004A4C77" w:rsidRDefault="003626DD" w:rsidP="00A72CC4">
      <w:pPr>
        <w:pStyle w:val="ListNumber"/>
        <w:numPr>
          <w:ilvl w:val="0"/>
          <w:numId w:val="23"/>
        </w:numPr>
      </w:pPr>
      <w:r w:rsidRPr="004A4C77">
        <w:t>QALY gain up to the completion of an episode (green)</w:t>
      </w:r>
      <w:r>
        <w:t>.</w:t>
      </w:r>
    </w:p>
    <w:p w14:paraId="3B76B966" w14:textId="77777777" w:rsidR="003626DD" w:rsidRPr="004A4C77" w:rsidRDefault="003626DD" w:rsidP="00305B7D">
      <w:pPr>
        <w:pStyle w:val="ListNumber"/>
      </w:pPr>
      <w:r w:rsidRPr="004A4C77">
        <w:t>QALY gain three months post treatment (blue)</w:t>
      </w:r>
      <w:r>
        <w:t>.</w:t>
      </w:r>
    </w:p>
    <w:p w14:paraId="7C31E109" w14:textId="39EE1672" w:rsidR="003626DD" w:rsidRPr="00847578" w:rsidRDefault="003626DD" w:rsidP="00847578">
      <w:pPr>
        <w:pStyle w:val="ListNumber"/>
      </w:pPr>
      <w:r w:rsidRPr="004A4C77">
        <w:t>Extrapolated QALY gain 12 months from the follow</w:t>
      </w:r>
      <w:r w:rsidR="00F01FA5">
        <w:t xml:space="preserve"> </w:t>
      </w:r>
      <w:r w:rsidRPr="004A4C77">
        <w:t xml:space="preserve">up (yellow). </w:t>
      </w:r>
    </w:p>
    <w:p w14:paraId="4AAE9B50" w14:textId="148DA5FA" w:rsidR="00305B7D" w:rsidRDefault="00305B7D" w:rsidP="00305B7D">
      <w:pPr>
        <w:pStyle w:val="Caption"/>
      </w:pPr>
      <w:bookmarkStart w:id="435" w:name="_Ref104919047"/>
      <w:bookmarkStart w:id="436" w:name="_Toc108109259"/>
      <w:r>
        <w:t xml:space="preserve">Figure </w:t>
      </w:r>
      <w:r>
        <w:fldChar w:fldCharType="begin"/>
      </w:r>
      <w:r>
        <w:instrText>SEQ Figure \* ARABIC</w:instrText>
      </w:r>
      <w:r>
        <w:fldChar w:fldCharType="separate"/>
      </w:r>
      <w:r w:rsidR="00CC0438">
        <w:rPr>
          <w:noProof/>
        </w:rPr>
        <w:t>74</w:t>
      </w:r>
      <w:r>
        <w:fldChar w:fldCharType="end"/>
      </w:r>
      <w:bookmarkEnd w:id="435"/>
      <w:r>
        <w:t xml:space="preserve">: Mean QALY change for episodes with at least three </w:t>
      </w:r>
      <w:r w:rsidR="00525ED1">
        <w:t>OOS</w:t>
      </w:r>
      <w:bookmarkEnd w:id="436"/>
    </w:p>
    <w:p w14:paraId="7E6973E7" w14:textId="787205BE" w:rsidR="002F69B6" w:rsidRPr="004A0F71" w:rsidRDefault="002F69B6" w:rsidP="0081657B">
      <w:r>
        <w:rPr>
          <w:noProof/>
        </w:rPr>
        <w:drawing>
          <wp:inline distT="0" distB="0" distL="0" distR="0" wp14:anchorId="4C6C7A3E" wp14:editId="2BD77311">
            <wp:extent cx="5038725" cy="3238500"/>
            <wp:effectExtent l="0" t="0" r="9525" b="0"/>
            <wp:docPr id="4" name="Picture 4" descr="Figure 74 summarises the mean QALY changes for episodes of care with at least three occasions of service, over the analysed period. At the start point of 0 months, the QALY change was 0.42. at the end of 3 months, the QALY change was 0.46. At the 6 month follow-up survey point, the change was 0.48. The chart assumes that QALY gains return to 0.42 12 months after follo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74 summarises the mean QALY changes for episodes of care with at least three occasions of service, over the analysed period. At the start point of 0 months, the QALY change was 0.42. at the end of 3 months, the QALY change was 0.46. At the 6 month follow-up survey point, the change was 0.48. The chart assumes that QALY gains return to 0.42 12 months after follow-up"/>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8725" cy="3238500"/>
                    </a:xfrm>
                    <a:prstGeom prst="rect">
                      <a:avLst/>
                    </a:prstGeom>
                    <a:noFill/>
                    <a:ln>
                      <a:noFill/>
                    </a:ln>
                  </pic:spPr>
                </pic:pic>
              </a:graphicData>
            </a:graphic>
          </wp:inline>
        </w:drawing>
      </w:r>
    </w:p>
    <w:p w14:paraId="6035D358" w14:textId="0A4568DC" w:rsidR="003626DD" w:rsidRDefault="003626DD" w:rsidP="00654AF7">
      <w:pPr>
        <w:pStyle w:val="Source"/>
      </w:pPr>
      <w:r w:rsidRPr="009D225C">
        <w:t>Source: KPMG analysis of the cost</w:t>
      </w:r>
      <w:r w:rsidR="00894839">
        <w:t>-</w:t>
      </w:r>
      <w:r w:rsidR="00DF7BC9">
        <w:t>effectiveness</w:t>
      </w:r>
      <w:r w:rsidRPr="009D225C">
        <w:t xml:space="preserve"> dataset</w:t>
      </w:r>
      <w:r w:rsidR="00D365D2">
        <w:t>.</w:t>
      </w:r>
      <w:r>
        <w:br/>
      </w:r>
      <w:r w:rsidRPr="009D225C">
        <w:t xml:space="preserve">Note: QALY quality-adjusted life year; </w:t>
      </w:r>
      <w:r w:rsidR="00525ED1">
        <w:t>OOS</w:t>
      </w:r>
      <w:r w:rsidRPr="009D225C">
        <w:t xml:space="preserve"> occasion of service</w:t>
      </w:r>
      <w:r w:rsidR="00D365D2">
        <w:t>.</w:t>
      </w:r>
    </w:p>
    <w:p w14:paraId="0BF9D3CE" w14:textId="1EFC7ED8" w:rsidR="003626DD" w:rsidRDefault="003626DD" w:rsidP="00654AF7">
      <w:pPr>
        <w:pStyle w:val="BodyText"/>
      </w:pPr>
      <w:r>
        <w:t xml:space="preserve">Treatment effects as a function of the number of </w:t>
      </w:r>
      <w:r w:rsidR="00525ED1">
        <w:t>OOS</w:t>
      </w:r>
      <w:r>
        <w:t xml:space="preserve"> are presented</w:t>
      </w:r>
      <w:r w:rsidR="001253F8">
        <w:t xml:space="preserve"> in Section </w:t>
      </w:r>
      <w:r w:rsidR="001253F8">
        <w:fldChar w:fldCharType="begin" w:fldLock="1"/>
      </w:r>
      <w:r w:rsidR="001253F8">
        <w:instrText xml:space="preserve"> REF _Ref98316825 \r \h </w:instrText>
      </w:r>
      <w:r w:rsidR="001253F8">
        <w:fldChar w:fldCharType="separate"/>
      </w:r>
      <w:r w:rsidR="001253F8">
        <w:t>4.2</w:t>
      </w:r>
      <w:r w:rsidR="001253F8">
        <w:fldChar w:fldCharType="end"/>
      </w:r>
      <w:r>
        <w:t xml:space="preserve">. The methods </w:t>
      </w:r>
      <w:r w:rsidR="001253F8">
        <w:t>used to estimate</w:t>
      </w:r>
      <w:r>
        <w:t xml:space="preserve"> the </w:t>
      </w:r>
      <w:r w:rsidR="001253F8">
        <w:t>change in the K10 outcomes</w:t>
      </w:r>
      <w:r>
        <w:t xml:space="preserve"> and the </w:t>
      </w:r>
      <w:r w:rsidR="00427E54">
        <w:t xml:space="preserve">associated </w:t>
      </w:r>
      <w:r>
        <w:t xml:space="preserve">results are presented in Appendix E.5. </w:t>
      </w:r>
      <w:r w:rsidR="00FC14C6">
        <w:t>The analysis assumes p</w:t>
      </w:r>
      <w:r>
        <w:t xml:space="preserve">atients receiving no treatment </w:t>
      </w:r>
      <w:r w:rsidR="00FC14C6">
        <w:t xml:space="preserve">received zero </w:t>
      </w:r>
      <w:r w:rsidR="0055282B">
        <w:t>gains in mental health outcomes after adjusting for RTM</w:t>
      </w:r>
      <w:r w:rsidR="008B1715">
        <w:t>.</w:t>
      </w:r>
    </w:p>
    <w:p w14:paraId="4EB64691" w14:textId="6CC90D03" w:rsidR="0027794E" w:rsidRDefault="0027794E" w:rsidP="0027794E">
      <w:pPr>
        <w:pStyle w:val="Caption"/>
      </w:pPr>
      <w:bookmarkStart w:id="437" w:name="_Ref94536491"/>
      <w:bookmarkStart w:id="438" w:name="_Toc108109037"/>
      <w:r>
        <w:t xml:space="preserve">Table </w:t>
      </w:r>
      <w:r>
        <w:fldChar w:fldCharType="begin"/>
      </w:r>
      <w:r>
        <w:instrText>SEQ Table \* ARABIC</w:instrText>
      </w:r>
      <w:r>
        <w:fldChar w:fldCharType="separate"/>
      </w:r>
      <w:r w:rsidR="00CC0438">
        <w:rPr>
          <w:noProof/>
        </w:rPr>
        <w:t>87</w:t>
      </w:r>
      <w:r>
        <w:fldChar w:fldCharType="end"/>
      </w:r>
      <w:bookmarkEnd w:id="437"/>
      <w:r>
        <w:t xml:space="preserve">: </w:t>
      </w:r>
      <w:r w:rsidRPr="2837C172">
        <w:rPr>
          <w:rFonts w:eastAsia="Univers 45 Light" w:cs="Univers 45 Light"/>
          <w:iCs w:val="0"/>
        </w:rPr>
        <w:t xml:space="preserve">Average QALY gain for </w:t>
      </w:r>
      <w:r>
        <w:rPr>
          <w:rFonts w:eastAsia="Univers 45 Light" w:cs="Univers 45 Light"/>
          <w:iCs w:val="0"/>
        </w:rPr>
        <w:t xml:space="preserve">closed </w:t>
      </w:r>
      <w:r w:rsidRPr="2837C172">
        <w:rPr>
          <w:rFonts w:eastAsia="Univers 45 Light" w:cs="Univers 45 Light"/>
          <w:iCs w:val="0"/>
        </w:rPr>
        <w:t xml:space="preserve">episodes in </w:t>
      </w:r>
      <w:r w:rsidR="00397AFF">
        <w:rPr>
          <w:rFonts w:eastAsia="Univers 45 Light" w:cs="Univers 45 Light"/>
          <w:iCs w:val="0"/>
        </w:rPr>
        <w:t>2019-20</w:t>
      </w:r>
      <w:bookmarkEnd w:id="438"/>
      <w:r w:rsidRPr="2837C172">
        <w:rPr>
          <w:rFonts w:eastAsia="Univers 45 Light" w:cs="Univers 45 Light"/>
          <w:iCs w:val="0"/>
        </w:rPr>
        <w:t xml:space="preserve"> </w:t>
      </w:r>
    </w:p>
    <w:tbl>
      <w:tblPr>
        <w:tblW w:w="9498" w:type="dxa"/>
        <w:tblLayout w:type="fixed"/>
        <w:tblLook w:val="04A0" w:firstRow="1" w:lastRow="0" w:firstColumn="1" w:lastColumn="0" w:noHBand="0" w:noVBand="1"/>
        <w:tblCaption w:val="Average QALY gain for closed episodes 2019-20"/>
        <w:tblDescription w:val="Table has 3 columns. The first columns lists the number of occasions of service per episode of care. Column 2 lists the number of closed episodes relevant to the number of occasions of service in column 1. Column 3 summarises the average QALY gained per episode of care with benefits up to 12 months after the follow up survey is completed."/>
      </w:tblPr>
      <w:tblGrid>
        <w:gridCol w:w="2835"/>
        <w:gridCol w:w="1728"/>
        <w:gridCol w:w="4935"/>
      </w:tblGrid>
      <w:tr w:rsidR="00B926CD" w14:paraId="7673DB29" w14:textId="77777777" w:rsidTr="40F37273">
        <w:trPr>
          <w:trHeight w:val="454"/>
        </w:trPr>
        <w:tc>
          <w:tcPr>
            <w:tcW w:w="2835" w:type="dxa"/>
            <w:tcBorders>
              <w:top w:val="nil"/>
              <w:left w:val="nil"/>
              <w:bottom w:val="nil"/>
              <w:right w:val="nil"/>
            </w:tcBorders>
            <w:shd w:val="clear" w:color="auto" w:fill="002669" w:themeFill="background2" w:themeFillShade="BF"/>
            <w:vAlign w:val="center"/>
          </w:tcPr>
          <w:p w14:paraId="41BE18FE" w14:textId="2A5ACB9E" w:rsidR="00734435" w:rsidRPr="00AD53BC" w:rsidRDefault="00005843" w:rsidP="000A25FB">
            <w:pPr>
              <w:pStyle w:val="Tableheading"/>
              <w:jc w:val="center"/>
            </w:pPr>
            <w:r>
              <w:t>Episode</w:t>
            </w:r>
          </w:p>
        </w:tc>
        <w:tc>
          <w:tcPr>
            <w:tcW w:w="1728" w:type="dxa"/>
            <w:tcBorders>
              <w:top w:val="nil"/>
              <w:left w:val="nil"/>
              <w:right w:val="nil"/>
            </w:tcBorders>
            <w:shd w:val="clear" w:color="auto" w:fill="002669" w:themeFill="background2" w:themeFillShade="BF"/>
            <w:vAlign w:val="center"/>
          </w:tcPr>
          <w:p w14:paraId="4730F247" w14:textId="4128BFDF" w:rsidR="00734435" w:rsidRPr="00AD53BC" w:rsidRDefault="00734435" w:rsidP="005522AB">
            <w:pPr>
              <w:pStyle w:val="Tableheading"/>
              <w:jc w:val="center"/>
            </w:pPr>
            <w:r>
              <w:t>Number of closed episodes</w:t>
            </w:r>
          </w:p>
        </w:tc>
        <w:tc>
          <w:tcPr>
            <w:tcW w:w="4935" w:type="dxa"/>
            <w:tcBorders>
              <w:top w:val="nil"/>
              <w:left w:val="nil"/>
              <w:right w:val="nil"/>
            </w:tcBorders>
            <w:shd w:val="clear" w:color="auto" w:fill="002669" w:themeFill="background2" w:themeFillShade="BF"/>
            <w:vAlign w:val="center"/>
          </w:tcPr>
          <w:p w14:paraId="31146502" w14:textId="34C8B4CE" w:rsidR="00734435" w:rsidRPr="00AD53BC" w:rsidRDefault="00C969D7" w:rsidP="000A25FB">
            <w:pPr>
              <w:pStyle w:val="Tableheading"/>
              <w:jc w:val="center"/>
            </w:pPr>
            <w:r>
              <w:t>Average QALY gained per episode</w:t>
            </w:r>
            <w:r w:rsidR="00C3323E">
              <w:t xml:space="preserve"> with </w:t>
            </w:r>
            <w:r w:rsidR="007B4BA1">
              <w:t>benefit</w:t>
            </w:r>
            <w:r w:rsidR="00B22468">
              <w:t>s up to 12 months</w:t>
            </w:r>
            <w:r w:rsidR="00E04632">
              <w:t xml:space="preserve"> from the follow</w:t>
            </w:r>
            <w:r w:rsidR="002D6DDC">
              <w:t xml:space="preserve"> </w:t>
            </w:r>
            <w:r w:rsidR="00E04632">
              <w:t>up</w:t>
            </w:r>
          </w:p>
        </w:tc>
      </w:tr>
      <w:tr w:rsidR="00734435" w14:paraId="48EED2CC" w14:textId="77777777" w:rsidTr="00A61F66">
        <w:trPr>
          <w:trHeight w:val="33"/>
        </w:trPr>
        <w:tc>
          <w:tcPr>
            <w:tcW w:w="2835" w:type="dxa"/>
            <w:tcBorders>
              <w:top w:val="single" w:sz="8" w:space="0" w:color="auto"/>
              <w:left w:val="nil"/>
              <w:bottom w:val="single" w:sz="8" w:space="0" w:color="auto"/>
              <w:right w:val="nil"/>
            </w:tcBorders>
            <w:vAlign w:val="center"/>
          </w:tcPr>
          <w:p w14:paraId="4739A737" w14:textId="377E6EF4" w:rsidR="00734435" w:rsidRPr="000E24EA" w:rsidRDefault="60030E33" w:rsidP="00A61F66">
            <w:pPr>
              <w:pStyle w:val="Tabletext"/>
              <w:jc w:val="center"/>
            </w:pPr>
            <w:r>
              <w:t xml:space="preserve">3+ </w:t>
            </w:r>
            <w:r w:rsidR="009C028B">
              <w:t>O</w:t>
            </w:r>
            <w:r w:rsidR="00734435">
              <w:t>O</w:t>
            </w:r>
            <w:r w:rsidR="009C028B">
              <w:t>S</w:t>
            </w:r>
            <w:r w:rsidR="00793892">
              <w:t xml:space="preserve"> (48%)</w:t>
            </w:r>
          </w:p>
        </w:tc>
        <w:tc>
          <w:tcPr>
            <w:tcW w:w="1728" w:type="dxa"/>
            <w:tcBorders>
              <w:top w:val="single" w:sz="8" w:space="0" w:color="auto"/>
              <w:left w:val="nil"/>
              <w:bottom w:val="nil"/>
              <w:right w:val="nil"/>
            </w:tcBorders>
            <w:vAlign w:val="center"/>
          </w:tcPr>
          <w:p w14:paraId="1ABA5519" w14:textId="34999718" w:rsidR="00734435" w:rsidRDefault="00430E04" w:rsidP="00A61F66">
            <w:pPr>
              <w:pStyle w:val="Tabletext"/>
              <w:jc w:val="center"/>
            </w:pPr>
            <w:r>
              <w:t>23,817</w:t>
            </w:r>
          </w:p>
        </w:tc>
        <w:tc>
          <w:tcPr>
            <w:tcW w:w="4935" w:type="dxa"/>
            <w:tcBorders>
              <w:top w:val="single" w:sz="8" w:space="0" w:color="auto"/>
              <w:left w:val="nil"/>
              <w:bottom w:val="nil"/>
              <w:right w:val="nil"/>
            </w:tcBorders>
            <w:vAlign w:val="center"/>
          </w:tcPr>
          <w:p w14:paraId="1902AA95" w14:textId="77777777" w:rsidR="00734435" w:rsidRDefault="00734435" w:rsidP="00A61F66">
            <w:pPr>
              <w:pStyle w:val="Tabletext"/>
              <w:jc w:val="center"/>
            </w:pPr>
            <w:r>
              <w:t>0.039</w:t>
            </w:r>
          </w:p>
          <w:p w14:paraId="4F213B5A" w14:textId="4A246384" w:rsidR="00734435" w:rsidRPr="00953C98" w:rsidRDefault="00734435" w:rsidP="00A61F66">
            <w:pPr>
              <w:pStyle w:val="Tabletext"/>
              <w:jc w:val="center"/>
            </w:pPr>
            <w:r>
              <w:t>(0.0027)</w:t>
            </w:r>
          </w:p>
        </w:tc>
      </w:tr>
      <w:tr w:rsidR="00734435" w14:paraId="27A2B45F" w14:textId="77777777" w:rsidTr="00A61F66">
        <w:trPr>
          <w:trHeight w:val="33"/>
        </w:trPr>
        <w:tc>
          <w:tcPr>
            <w:tcW w:w="2835" w:type="dxa"/>
            <w:tcBorders>
              <w:top w:val="single" w:sz="8" w:space="0" w:color="auto"/>
              <w:left w:val="nil"/>
              <w:bottom w:val="single" w:sz="8" w:space="0" w:color="auto"/>
              <w:right w:val="nil"/>
            </w:tcBorders>
            <w:vAlign w:val="center"/>
          </w:tcPr>
          <w:p w14:paraId="54FD5F37" w14:textId="4D1562AF" w:rsidR="00734435" w:rsidRPr="00AD53BC" w:rsidRDefault="60030E33" w:rsidP="00A61F66">
            <w:pPr>
              <w:pStyle w:val="Tabletext"/>
              <w:jc w:val="center"/>
            </w:pPr>
            <w:r>
              <w:t xml:space="preserve">2 </w:t>
            </w:r>
            <w:r w:rsidR="009C028B">
              <w:t>O</w:t>
            </w:r>
            <w:r w:rsidR="00734435">
              <w:t>O</w:t>
            </w:r>
            <w:r w:rsidR="009C028B">
              <w:t>S</w:t>
            </w:r>
            <w:r w:rsidR="00793892">
              <w:t xml:space="preserve"> (19%)</w:t>
            </w:r>
          </w:p>
        </w:tc>
        <w:tc>
          <w:tcPr>
            <w:tcW w:w="1728" w:type="dxa"/>
            <w:tcBorders>
              <w:top w:val="single" w:sz="8" w:space="0" w:color="auto"/>
              <w:left w:val="nil"/>
              <w:bottom w:val="nil"/>
              <w:right w:val="nil"/>
            </w:tcBorders>
            <w:vAlign w:val="center"/>
          </w:tcPr>
          <w:p w14:paraId="2FC01AE3" w14:textId="616BB173" w:rsidR="00734435" w:rsidRPr="00953C98" w:rsidRDefault="00430E04" w:rsidP="00A61F66">
            <w:pPr>
              <w:pStyle w:val="Tabletext"/>
              <w:jc w:val="center"/>
            </w:pPr>
            <w:r>
              <w:t>9,348</w:t>
            </w:r>
          </w:p>
        </w:tc>
        <w:tc>
          <w:tcPr>
            <w:tcW w:w="4935" w:type="dxa"/>
            <w:tcBorders>
              <w:top w:val="single" w:sz="8" w:space="0" w:color="auto"/>
              <w:left w:val="nil"/>
              <w:bottom w:val="nil"/>
              <w:right w:val="nil"/>
            </w:tcBorders>
            <w:vAlign w:val="center"/>
          </w:tcPr>
          <w:p w14:paraId="1C73F5A0" w14:textId="16956B22" w:rsidR="00734435" w:rsidRPr="00AD53BC" w:rsidRDefault="00734435" w:rsidP="00A61F66">
            <w:pPr>
              <w:pStyle w:val="Tabletext"/>
              <w:jc w:val="center"/>
              <w:rPr>
                <w:szCs w:val="20"/>
              </w:rPr>
            </w:pPr>
            <w:r>
              <w:rPr>
                <w:szCs w:val="20"/>
              </w:rPr>
              <w:t>0</w:t>
            </w:r>
          </w:p>
        </w:tc>
      </w:tr>
      <w:tr w:rsidR="00734435" w14:paraId="63296AAB" w14:textId="77777777" w:rsidTr="00A61F66">
        <w:trPr>
          <w:trHeight w:val="33"/>
        </w:trPr>
        <w:tc>
          <w:tcPr>
            <w:tcW w:w="2835" w:type="dxa"/>
            <w:tcBorders>
              <w:top w:val="single" w:sz="8" w:space="0" w:color="auto"/>
              <w:left w:val="nil"/>
              <w:bottom w:val="single" w:sz="8" w:space="0" w:color="auto"/>
              <w:right w:val="nil"/>
            </w:tcBorders>
            <w:vAlign w:val="center"/>
          </w:tcPr>
          <w:p w14:paraId="27EE71A9" w14:textId="31D1925B" w:rsidR="00734435" w:rsidRPr="00AD53BC" w:rsidRDefault="60030E33" w:rsidP="00A61F66">
            <w:pPr>
              <w:pStyle w:val="Tabletext"/>
              <w:jc w:val="center"/>
              <w:rPr>
                <w:rFonts w:eastAsia="Univers 45 Light" w:cs="Univers 45 Light"/>
              </w:rPr>
            </w:pPr>
            <w:r>
              <w:t xml:space="preserve">1 </w:t>
            </w:r>
            <w:r w:rsidR="009C028B">
              <w:t>O</w:t>
            </w:r>
            <w:r w:rsidR="00734435">
              <w:t>O</w:t>
            </w:r>
            <w:r w:rsidR="009C028B">
              <w:t>S</w:t>
            </w:r>
            <w:r w:rsidR="00793892">
              <w:t xml:space="preserve"> (33%)</w:t>
            </w:r>
          </w:p>
        </w:tc>
        <w:tc>
          <w:tcPr>
            <w:tcW w:w="1728" w:type="dxa"/>
            <w:tcBorders>
              <w:top w:val="single" w:sz="8" w:space="0" w:color="auto"/>
              <w:left w:val="nil"/>
              <w:bottom w:val="single" w:sz="8" w:space="0" w:color="auto"/>
              <w:right w:val="nil"/>
            </w:tcBorders>
            <w:vAlign w:val="center"/>
          </w:tcPr>
          <w:p w14:paraId="55E80C7F" w14:textId="627D9D1F" w:rsidR="00734435" w:rsidRPr="00232607" w:rsidRDefault="00430E04" w:rsidP="00A61F66">
            <w:pPr>
              <w:pStyle w:val="Tabletext"/>
              <w:jc w:val="center"/>
              <w:rPr>
                <w:rFonts w:cs="Calibri"/>
                <w:color w:val="000000"/>
                <w:szCs w:val="20"/>
              </w:rPr>
            </w:pPr>
            <w:r>
              <w:rPr>
                <w:rFonts w:cs="Calibri"/>
                <w:color w:val="000000"/>
                <w:szCs w:val="20"/>
              </w:rPr>
              <w:t>16,469</w:t>
            </w:r>
          </w:p>
        </w:tc>
        <w:tc>
          <w:tcPr>
            <w:tcW w:w="4935" w:type="dxa"/>
            <w:tcBorders>
              <w:top w:val="single" w:sz="8" w:space="0" w:color="auto"/>
              <w:left w:val="nil"/>
              <w:bottom w:val="single" w:sz="8" w:space="0" w:color="auto"/>
              <w:right w:val="nil"/>
            </w:tcBorders>
            <w:vAlign w:val="center"/>
          </w:tcPr>
          <w:p w14:paraId="5B18D828" w14:textId="77777777" w:rsidR="00734435" w:rsidRPr="00AD53BC" w:rsidRDefault="00734435" w:rsidP="00A61F66">
            <w:pPr>
              <w:pStyle w:val="Tabletext"/>
              <w:jc w:val="center"/>
              <w:rPr>
                <w:rFonts w:eastAsia="Calibri" w:cs="Calibri"/>
                <w:szCs w:val="20"/>
              </w:rPr>
            </w:pPr>
            <w:r>
              <w:rPr>
                <w:rFonts w:cs="Calibri"/>
                <w:color w:val="000000"/>
                <w:szCs w:val="20"/>
              </w:rPr>
              <w:t>0</w:t>
            </w:r>
          </w:p>
        </w:tc>
      </w:tr>
      <w:tr w:rsidR="00734435" w14:paraId="19A70CFB" w14:textId="77777777" w:rsidTr="00A61F66">
        <w:trPr>
          <w:trHeight w:val="33"/>
        </w:trPr>
        <w:tc>
          <w:tcPr>
            <w:tcW w:w="2835" w:type="dxa"/>
            <w:tcBorders>
              <w:top w:val="single" w:sz="8" w:space="0" w:color="auto"/>
              <w:left w:val="nil"/>
              <w:bottom w:val="single" w:sz="8" w:space="0" w:color="auto"/>
              <w:right w:val="nil"/>
            </w:tcBorders>
            <w:vAlign w:val="center"/>
          </w:tcPr>
          <w:p w14:paraId="46EE10CA" w14:textId="77777777" w:rsidR="00734435" w:rsidRPr="00AD53BC" w:rsidRDefault="00734435" w:rsidP="00A61F66">
            <w:pPr>
              <w:pStyle w:val="Tabletext"/>
              <w:jc w:val="center"/>
              <w:rPr>
                <w:rFonts w:eastAsia="Univers 45 Light" w:cs="Univers 45 Light"/>
                <w:szCs w:val="20"/>
              </w:rPr>
            </w:pPr>
            <w:r>
              <w:rPr>
                <w:rFonts w:eastAsia="Univers 45 Light" w:cs="Univers 45 Light"/>
                <w:szCs w:val="20"/>
              </w:rPr>
              <w:t>Weighted average for base case</w:t>
            </w:r>
          </w:p>
        </w:tc>
        <w:tc>
          <w:tcPr>
            <w:tcW w:w="1728" w:type="dxa"/>
            <w:tcBorders>
              <w:top w:val="single" w:sz="8" w:space="0" w:color="auto"/>
              <w:left w:val="nil"/>
              <w:bottom w:val="single" w:sz="8" w:space="0" w:color="auto"/>
              <w:right w:val="nil"/>
            </w:tcBorders>
            <w:vAlign w:val="center"/>
          </w:tcPr>
          <w:p w14:paraId="4D1D721C" w14:textId="0F2E6A29" w:rsidR="00734435" w:rsidRPr="00AD53BC" w:rsidRDefault="00430E04" w:rsidP="00A61F66">
            <w:pPr>
              <w:pStyle w:val="Tabletext"/>
              <w:jc w:val="center"/>
              <w:rPr>
                <w:rFonts w:eastAsia="Calibri" w:cs="Calibri"/>
                <w:szCs w:val="20"/>
              </w:rPr>
            </w:pPr>
            <w:r>
              <w:rPr>
                <w:rFonts w:eastAsia="Calibri" w:cs="Calibri"/>
                <w:szCs w:val="20"/>
              </w:rPr>
              <w:t>49,634</w:t>
            </w:r>
          </w:p>
        </w:tc>
        <w:tc>
          <w:tcPr>
            <w:tcW w:w="4935" w:type="dxa"/>
            <w:tcBorders>
              <w:top w:val="single" w:sz="8" w:space="0" w:color="auto"/>
              <w:left w:val="nil"/>
              <w:bottom w:val="single" w:sz="8" w:space="0" w:color="auto"/>
              <w:right w:val="nil"/>
            </w:tcBorders>
            <w:vAlign w:val="center"/>
          </w:tcPr>
          <w:p w14:paraId="6F1D820A" w14:textId="2CE9525B" w:rsidR="00734435" w:rsidRDefault="00005843" w:rsidP="00A61F66">
            <w:pPr>
              <w:pStyle w:val="Tabletext"/>
              <w:jc w:val="center"/>
              <w:rPr>
                <w:rFonts w:eastAsia="Calibri" w:cs="Calibri"/>
                <w:szCs w:val="20"/>
              </w:rPr>
            </w:pPr>
            <w:r w:rsidRPr="00AD53BC">
              <w:rPr>
                <w:rFonts w:eastAsia="Calibri" w:cs="Calibri"/>
                <w:szCs w:val="20"/>
              </w:rPr>
              <w:t>0.01</w:t>
            </w:r>
            <w:r>
              <w:rPr>
                <w:rFonts w:eastAsia="Calibri" w:cs="Calibri"/>
                <w:szCs w:val="20"/>
              </w:rPr>
              <w:t>9</w:t>
            </w:r>
          </w:p>
          <w:p w14:paraId="5A12ADEC" w14:textId="0E09391D" w:rsidR="00734435" w:rsidRPr="00AD53BC" w:rsidRDefault="00734435" w:rsidP="00A61F66">
            <w:pPr>
              <w:pStyle w:val="Tabletext"/>
              <w:jc w:val="center"/>
              <w:rPr>
                <w:rFonts w:eastAsia="Calibri" w:cs="Calibri"/>
                <w:szCs w:val="20"/>
              </w:rPr>
            </w:pPr>
            <w:r w:rsidRPr="00AD53BC">
              <w:rPr>
                <w:rFonts w:eastAsia="Calibri" w:cs="Calibri"/>
                <w:szCs w:val="20"/>
              </w:rPr>
              <w:t>(0.</w:t>
            </w:r>
            <w:r w:rsidR="00005843" w:rsidRPr="00AD53BC">
              <w:rPr>
                <w:rFonts w:eastAsia="Calibri" w:cs="Calibri"/>
                <w:szCs w:val="20"/>
              </w:rPr>
              <w:t>000</w:t>
            </w:r>
            <w:r w:rsidR="00B47CF1">
              <w:rPr>
                <w:rFonts w:eastAsia="Calibri" w:cs="Calibri"/>
                <w:szCs w:val="20"/>
              </w:rPr>
              <w:t>8</w:t>
            </w:r>
            <w:r w:rsidRPr="00AD53BC">
              <w:rPr>
                <w:rFonts w:eastAsia="Calibri" w:cs="Calibri"/>
                <w:szCs w:val="20"/>
              </w:rPr>
              <w:t>)</w:t>
            </w:r>
          </w:p>
        </w:tc>
      </w:tr>
    </w:tbl>
    <w:p w14:paraId="38A9AF48" w14:textId="0211482E" w:rsidR="0027794E" w:rsidRPr="002235A2" w:rsidRDefault="0027794E" w:rsidP="0027794E">
      <w:pPr>
        <w:pStyle w:val="Source"/>
        <w:rPr>
          <w:rFonts w:eastAsiaTheme="minorEastAsia"/>
        </w:rPr>
      </w:pPr>
      <w:r w:rsidRPr="002235A2">
        <w:t xml:space="preserve">Source: </w:t>
      </w:r>
      <w:r w:rsidRPr="002235A2">
        <w:rPr>
          <w:rFonts w:eastAsia="Calibri" w:cs="Calibri"/>
        </w:rPr>
        <w:t xml:space="preserve">KPMG analysis of the </w:t>
      </w:r>
      <w:r w:rsidRPr="002235A2">
        <w:t xml:space="preserve">cost utility dataset as described in </w:t>
      </w:r>
      <w:r w:rsidRPr="002235A2">
        <w:fldChar w:fldCharType="begin" w:fldLock="1"/>
      </w:r>
      <w:r w:rsidRPr="002235A2">
        <w:instrText xml:space="preserve"> REF _Ref93585723 \w \h  \* MERGEFORMAT </w:instrText>
      </w:r>
      <w:r w:rsidRPr="002235A2">
        <w:fldChar w:fldCharType="separate"/>
      </w:r>
      <w:r w:rsidR="002920A7">
        <w:t>0</w:t>
      </w:r>
      <w:r w:rsidRPr="002235A2">
        <w:fldChar w:fldCharType="end"/>
      </w:r>
      <w:r w:rsidRPr="002235A2">
        <w:t xml:space="preserve">. </w:t>
      </w:r>
    </w:p>
    <w:p w14:paraId="60B63C8A" w14:textId="77777777" w:rsidR="0027794E" w:rsidRPr="002235A2" w:rsidRDefault="0027794E" w:rsidP="0027794E">
      <w:pPr>
        <w:pStyle w:val="Source-Notes"/>
        <w:rPr>
          <w:rFonts w:eastAsiaTheme="minorEastAsia"/>
        </w:rPr>
      </w:pPr>
      <w:r>
        <w:rPr>
          <w:lang w:eastAsia="en-AU"/>
        </w:rPr>
        <w:t xml:space="preserve">Notes: </w:t>
      </w:r>
      <w:r w:rsidRPr="002235A2">
        <w:t xml:space="preserve">Standard errors in parentheses  </w:t>
      </w:r>
    </w:p>
    <w:p w14:paraId="15D4C31C" w14:textId="77777777" w:rsidR="007E22B5" w:rsidRDefault="007E22B5" w:rsidP="00B942D8">
      <w:pPr>
        <w:pStyle w:val="AppendixHeading3"/>
        <w:rPr>
          <w:rFonts w:eastAsiaTheme="minorEastAsia"/>
        </w:rPr>
      </w:pPr>
      <w:r w:rsidRPr="00306019">
        <w:t>Comparator</w:t>
      </w:r>
    </w:p>
    <w:p w14:paraId="1E4DB665" w14:textId="00DD66AF" w:rsidR="0091720B" w:rsidRDefault="007E22B5" w:rsidP="00B942D8">
      <w:pPr>
        <w:pStyle w:val="BodyText"/>
      </w:pPr>
      <w:r w:rsidRPr="00684ABC">
        <w:t>The comparator is broadly defined as the state of the world in which headspace is absent</w:t>
      </w:r>
      <w:r>
        <w:t xml:space="preserve"> as discussed in Section 4.2.1. In the base case, it is assumed that 10% of headspace’s closed episodes would seek alternative treatments in the world without headspace. These episodes are assumed to receive similar treatment effects as the effects at headspace and to incur treatment service costs. For 90% of headspace’s closed episodes not receiving treatment in the world without headspace, it is assumed that they would not receive any treatment effect and have higher probability of hospitalisation, hence, incur the cost of consequences as discussed above.</w:t>
      </w:r>
    </w:p>
    <w:p w14:paraId="48B909A9" w14:textId="77777777" w:rsidR="0091720B" w:rsidRDefault="0091720B">
      <w:pPr>
        <w:spacing w:before="0" w:after="160" w:line="259" w:lineRule="auto"/>
      </w:pPr>
      <w:r>
        <w:br w:type="page"/>
      </w:r>
    </w:p>
    <w:p w14:paraId="41F98B06" w14:textId="2222AB94" w:rsidR="00B91792" w:rsidRDefault="00B91792" w:rsidP="00B91792">
      <w:pPr>
        <w:pStyle w:val="Caption"/>
      </w:pPr>
      <w:bookmarkStart w:id="439" w:name="_Ref106916252"/>
      <w:bookmarkStart w:id="440" w:name="_Toc108109038"/>
      <w:r>
        <w:t xml:space="preserve">Table </w:t>
      </w:r>
      <w:r>
        <w:fldChar w:fldCharType="begin"/>
      </w:r>
      <w:r>
        <w:instrText>SEQ Table \* ARABIC</w:instrText>
      </w:r>
      <w:r>
        <w:fldChar w:fldCharType="separate"/>
      </w:r>
      <w:r w:rsidR="00CC0438">
        <w:rPr>
          <w:noProof/>
        </w:rPr>
        <w:t>88</w:t>
      </w:r>
      <w:r>
        <w:fldChar w:fldCharType="end"/>
      </w:r>
      <w:bookmarkEnd w:id="439"/>
      <w:r>
        <w:t xml:space="preserve">: </w:t>
      </w:r>
      <w:r w:rsidRPr="2837C172">
        <w:rPr>
          <w:rFonts w:eastAsia="Univers 45 Light" w:cs="Univers 45 Light"/>
          <w:iCs w:val="0"/>
        </w:rPr>
        <w:t xml:space="preserve">Average </w:t>
      </w:r>
      <w:r>
        <w:rPr>
          <w:rFonts w:eastAsia="Univers 45 Light" w:cs="Univers 45 Light"/>
          <w:iCs w:val="0"/>
        </w:rPr>
        <w:t>costs</w:t>
      </w:r>
      <w:r w:rsidRPr="2837C172">
        <w:rPr>
          <w:rFonts w:eastAsia="Univers 45 Light" w:cs="Univers 45 Light"/>
          <w:iCs w:val="0"/>
        </w:rPr>
        <w:t xml:space="preserve"> </w:t>
      </w:r>
      <w:r w:rsidR="00DA5154">
        <w:rPr>
          <w:rFonts w:eastAsia="Univers 45 Light" w:cs="Univers 45 Light"/>
          <w:iCs w:val="0"/>
        </w:rPr>
        <w:t xml:space="preserve">and QALYs gained </w:t>
      </w:r>
      <w:r w:rsidR="00AB4B4D">
        <w:rPr>
          <w:rFonts w:eastAsia="Univers 45 Light" w:cs="Univers 45 Light"/>
          <w:iCs w:val="0"/>
        </w:rPr>
        <w:t>per episode</w:t>
      </w:r>
      <w:r w:rsidRPr="2837C172">
        <w:rPr>
          <w:rFonts w:eastAsia="Univers 45 Light" w:cs="Univers 45 Light"/>
          <w:iCs w:val="0"/>
        </w:rPr>
        <w:t xml:space="preserve"> </w:t>
      </w:r>
      <w:r w:rsidR="000763CE">
        <w:rPr>
          <w:rFonts w:eastAsia="Univers 45 Light" w:cs="Univers 45 Light"/>
          <w:iCs w:val="0"/>
        </w:rPr>
        <w:t>in the world without headspace</w:t>
      </w:r>
      <w:bookmarkEnd w:id="440"/>
      <w:r w:rsidRPr="2837C172">
        <w:rPr>
          <w:rFonts w:eastAsia="Univers 45 Light" w:cs="Univers 45 Light"/>
          <w:iCs w:val="0"/>
        </w:rPr>
        <w:t xml:space="preserve"> </w:t>
      </w:r>
    </w:p>
    <w:tbl>
      <w:tblPr>
        <w:tblW w:w="9329" w:type="dxa"/>
        <w:tblLayout w:type="fixed"/>
        <w:tblLook w:val="04A0" w:firstRow="1" w:lastRow="0" w:firstColumn="1" w:lastColumn="0" w:noHBand="0" w:noVBand="1"/>
        <w:tblCaption w:val="Average costs and QALYs gained per episode of care in the world without headspace"/>
        <w:tblDescription w:val="Table has 4 columns. Column 1 lists the types of episodes of care considered. Column 2 lists the number of episodes of care for each type. Column 3 summarises the costs per episode of care. Column 4 summarises the QALY gained per episode of care."/>
      </w:tblPr>
      <w:tblGrid>
        <w:gridCol w:w="2835"/>
        <w:gridCol w:w="1728"/>
        <w:gridCol w:w="2383"/>
        <w:gridCol w:w="2383"/>
      </w:tblGrid>
      <w:tr w:rsidR="00B91792" w14:paraId="05BF62C7" w14:textId="14F263EF" w:rsidTr="40F37273">
        <w:trPr>
          <w:trHeight w:val="368"/>
        </w:trPr>
        <w:tc>
          <w:tcPr>
            <w:tcW w:w="2835" w:type="dxa"/>
            <w:tcBorders>
              <w:top w:val="nil"/>
              <w:left w:val="nil"/>
              <w:bottom w:val="nil"/>
              <w:right w:val="nil"/>
            </w:tcBorders>
            <w:shd w:val="clear" w:color="auto" w:fill="002669" w:themeFill="background2" w:themeFillShade="BF"/>
            <w:vAlign w:val="center"/>
          </w:tcPr>
          <w:p w14:paraId="1D574670" w14:textId="1876DE35" w:rsidR="00B91792" w:rsidRPr="00AD53BC" w:rsidRDefault="00B91792" w:rsidP="000E076D">
            <w:pPr>
              <w:pStyle w:val="Tableheading"/>
              <w:jc w:val="center"/>
            </w:pPr>
            <w:r>
              <w:t>Episode</w:t>
            </w:r>
          </w:p>
        </w:tc>
        <w:tc>
          <w:tcPr>
            <w:tcW w:w="1728" w:type="dxa"/>
            <w:tcBorders>
              <w:top w:val="nil"/>
              <w:left w:val="nil"/>
              <w:right w:val="nil"/>
            </w:tcBorders>
            <w:shd w:val="clear" w:color="auto" w:fill="002669" w:themeFill="background2" w:themeFillShade="BF"/>
            <w:vAlign w:val="center"/>
          </w:tcPr>
          <w:p w14:paraId="383607B0" w14:textId="4ABD33C3" w:rsidR="00B91792" w:rsidRPr="00AD53BC" w:rsidRDefault="00B91792" w:rsidP="000E076D">
            <w:pPr>
              <w:pStyle w:val="Tableheading"/>
              <w:jc w:val="center"/>
            </w:pPr>
            <w:r>
              <w:t>Number of episodes</w:t>
            </w:r>
          </w:p>
        </w:tc>
        <w:tc>
          <w:tcPr>
            <w:tcW w:w="2383" w:type="dxa"/>
            <w:tcBorders>
              <w:top w:val="nil"/>
              <w:left w:val="nil"/>
              <w:right w:val="nil"/>
            </w:tcBorders>
            <w:shd w:val="clear" w:color="auto" w:fill="002669" w:themeFill="background2" w:themeFillShade="BF"/>
            <w:vAlign w:val="center"/>
          </w:tcPr>
          <w:p w14:paraId="0BD1ABFB" w14:textId="79F6449B" w:rsidR="00B91792" w:rsidRPr="00AD53BC" w:rsidRDefault="00095EE2" w:rsidP="000E076D">
            <w:pPr>
              <w:pStyle w:val="Tableheading"/>
              <w:jc w:val="center"/>
            </w:pPr>
            <w:r>
              <w:t>Cost</w:t>
            </w:r>
            <w:r w:rsidR="00AB4B4D">
              <w:t xml:space="preserve"> per episode</w:t>
            </w:r>
          </w:p>
        </w:tc>
        <w:tc>
          <w:tcPr>
            <w:tcW w:w="2383" w:type="dxa"/>
            <w:tcBorders>
              <w:top w:val="nil"/>
              <w:left w:val="nil"/>
              <w:right w:val="nil"/>
            </w:tcBorders>
            <w:shd w:val="clear" w:color="auto" w:fill="002669" w:themeFill="background2" w:themeFillShade="BF"/>
          </w:tcPr>
          <w:p w14:paraId="7D794368" w14:textId="23374C61" w:rsidR="008F136B" w:rsidRPr="008F136B" w:rsidRDefault="00920D56" w:rsidP="000E076D">
            <w:pPr>
              <w:pStyle w:val="Tableheading"/>
              <w:jc w:val="center"/>
            </w:pPr>
            <w:r w:rsidRPr="00E40635">
              <w:t>QALY gained per episode</w:t>
            </w:r>
          </w:p>
        </w:tc>
      </w:tr>
      <w:tr w:rsidR="00926341" w14:paraId="33F233F2" w14:textId="11886F50" w:rsidTr="40F37273">
        <w:trPr>
          <w:trHeight w:val="33"/>
        </w:trPr>
        <w:tc>
          <w:tcPr>
            <w:tcW w:w="2835" w:type="dxa"/>
            <w:tcBorders>
              <w:top w:val="single" w:sz="8" w:space="0" w:color="auto"/>
              <w:left w:val="nil"/>
              <w:bottom w:val="single" w:sz="8" w:space="0" w:color="auto"/>
              <w:right w:val="nil"/>
            </w:tcBorders>
          </w:tcPr>
          <w:p w14:paraId="6B45B39E" w14:textId="1742E448" w:rsidR="00926341" w:rsidRDefault="00926341" w:rsidP="000E076D">
            <w:pPr>
              <w:pStyle w:val="Tabletext"/>
              <w:jc w:val="center"/>
            </w:pPr>
            <w:r>
              <w:t>No treatment</w:t>
            </w:r>
            <w:r w:rsidR="00865456">
              <w:t xml:space="preserve"> (90%)</w:t>
            </w:r>
          </w:p>
        </w:tc>
        <w:tc>
          <w:tcPr>
            <w:tcW w:w="1728" w:type="dxa"/>
            <w:tcBorders>
              <w:top w:val="single" w:sz="8" w:space="0" w:color="auto"/>
              <w:left w:val="nil"/>
              <w:bottom w:val="nil"/>
              <w:right w:val="nil"/>
            </w:tcBorders>
          </w:tcPr>
          <w:p w14:paraId="6C08A144" w14:textId="386F44E1" w:rsidR="00926341" w:rsidRDefault="008A3F68" w:rsidP="000E076D">
            <w:pPr>
              <w:pStyle w:val="Tabletext"/>
              <w:jc w:val="center"/>
            </w:pPr>
            <w:r>
              <w:t>44,671</w:t>
            </w:r>
          </w:p>
        </w:tc>
        <w:tc>
          <w:tcPr>
            <w:tcW w:w="2383" w:type="dxa"/>
            <w:tcBorders>
              <w:top w:val="single" w:sz="8" w:space="0" w:color="auto"/>
              <w:left w:val="nil"/>
              <w:bottom w:val="nil"/>
              <w:right w:val="nil"/>
            </w:tcBorders>
          </w:tcPr>
          <w:p w14:paraId="221FAB0F" w14:textId="619C5CA4" w:rsidR="00926341" w:rsidRDefault="00230AC5" w:rsidP="000E076D">
            <w:pPr>
              <w:pStyle w:val="Tabletext"/>
              <w:jc w:val="center"/>
            </w:pPr>
            <w:r>
              <w:t>$4.5</w:t>
            </w:r>
          </w:p>
        </w:tc>
        <w:tc>
          <w:tcPr>
            <w:tcW w:w="2383" w:type="dxa"/>
            <w:tcBorders>
              <w:top w:val="single" w:sz="8" w:space="0" w:color="auto"/>
              <w:left w:val="nil"/>
              <w:bottom w:val="nil"/>
              <w:right w:val="nil"/>
            </w:tcBorders>
          </w:tcPr>
          <w:p w14:paraId="667639E0" w14:textId="0C3D30B6" w:rsidR="008F136B" w:rsidRDefault="001146B3" w:rsidP="000E076D">
            <w:pPr>
              <w:pStyle w:val="Tabletext"/>
              <w:jc w:val="center"/>
            </w:pPr>
            <w:r>
              <w:t>0</w:t>
            </w:r>
          </w:p>
        </w:tc>
      </w:tr>
      <w:tr w:rsidR="000763CE" w14:paraId="39AA4A24" w14:textId="29DBEFF9" w:rsidTr="40F37273">
        <w:trPr>
          <w:trHeight w:val="33"/>
        </w:trPr>
        <w:tc>
          <w:tcPr>
            <w:tcW w:w="2835" w:type="dxa"/>
            <w:tcBorders>
              <w:top w:val="single" w:sz="8" w:space="0" w:color="auto"/>
              <w:left w:val="nil"/>
              <w:bottom w:val="single" w:sz="8" w:space="0" w:color="auto"/>
              <w:right w:val="nil"/>
            </w:tcBorders>
          </w:tcPr>
          <w:p w14:paraId="7508DCA8" w14:textId="3FE0698F" w:rsidR="000763CE" w:rsidRDefault="001146B3" w:rsidP="000E076D">
            <w:pPr>
              <w:pStyle w:val="Tabletext"/>
              <w:jc w:val="center"/>
            </w:pPr>
            <w:r>
              <w:t>Treatment (10%)</w:t>
            </w:r>
          </w:p>
        </w:tc>
        <w:tc>
          <w:tcPr>
            <w:tcW w:w="1728" w:type="dxa"/>
            <w:tcBorders>
              <w:top w:val="single" w:sz="8" w:space="0" w:color="auto"/>
              <w:left w:val="nil"/>
              <w:bottom w:val="nil"/>
              <w:right w:val="nil"/>
            </w:tcBorders>
          </w:tcPr>
          <w:p w14:paraId="70060AB2" w14:textId="77777777" w:rsidR="000763CE" w:rsidRDefault="000763CE" w:rsidP="000E076D">
            <w:pPr>
              <w:pStyle w:val="Tabletext"/>
              <w:jc w:val="center"/>
            </w:pPr>
          </w:p>
        </w:tc>
        <w:tc>
          <w:tcPr>
            <w:tcW w:w="2383" w:type="dxa"/>
            <w:tcBorders>
              <w:top w:val="single" w:sz="8" w:space="0" w:color="auto"/>
              <w:left w:val="nil"/>
              <w:bottom w:val="nil"/>
              <w:right w:val="nil"/>
            </w:tcBorders>
          </w:tcPr>
          <w:p w14:paraId="32D53DA2" w14:textId="77777777" w:rsidR="000763CE" w:rsidRDefault="000763CE" w:rsidP="000E076D">
            <w:pPr>
              <w:pStyle w:val="Tabletext"/>
              <w:jc w:val="center"/>
            </w:pPr>
          </w:p>
        </w:tc>
        <w:tc>
          <w:tcPr>
            <w:tcW w:w="2383" w:type="dxa"/>
            <w:tcBorders>
              <w:top w:val="single" w:sz="8" w:space="0" w:color="auto"/>
              <w:left w:val="nil"/>
              <w:bottom w:val="nil"/>
              <w:right w:val="nil"/>
            </w:tcBorders>
          </w:tcPr>
          <w:p w14:paraId="6551FAD9" w14:textId="77777777" w:rsidR="008F136B" w:rsidRDefault="008F136B" w:rsidP="000E076D">
            <w:pPr>
              <w:pStyle w:val="Tabletext"/>
              <w:jc w:val="center"/>
            </w:pPr>
          </w:p>
        </w:tc>
      </w:tr>
      <w:tr w:rsidR="00B91792" w14:paraId="6EBF7C8D" w14:textId="61A29ED6" w:rsidTr="40F37273">
        <w:trPr>
          <w:trHeight w:val="33"/>
        </w:trPr>
        <w:tc>
          <w:tcPr>
            <w:tcW w:w="2835" w:type="dxa"/>
            <w:tcBorders>
              <w:top w:val="single" w:sz="8" w:space="0" w:color="auto"/>
              <w:left w:val="nil"/>
              <w:bottom w:val="single" w:sz="8" w:space="0" w:color="auto"/>
              <w:right w:val="nil"/>
            </w:tcBorders>
          </w:tcPr>
          <w:p w14:paraId="1A3D0E50" w14:textId="5EAFA51D" w:rsidR="00B91792" w:rsidRPr="000E24EA" w:rsidRDefault="00B91792" w:rsidP="000E076D">
            <w:pPr>
              <w:pStyle w:val="Tabletext"/>
              <w:jc w:val="center"/>
            </w:pPr>
            <w:r>
              <w:t xml:space="preserve">3+ </w:t>
            </w:r>
            <w:r w:rsidR="009C028B">
              <w:t>O</w:t>
            </w:r>
            <w:r>
              <w:t>O</w:t>
            </w:r>
            <w:r w:rsidR="009C028B">
              <w:t>S</w:t>
            </w:r>
            <w:r w:rsidR="00AB4B4D">
              <w:t xml:space="preserve"> (5%)</w:t>
            </w:r>
          </w:p>
        </w:tc>
        <w:tc>
          <w:tcPr>
            <w:tcW w:w="1728" w:type="dxa"/>
            <w:tcBorders>
              <w:top w:val="single" w:sz="8" w:space="0" w:color="auto"/>
              <w:left w:val="nil"/>
              <w:bottom w:val="nil"/>
              <w:right w:val="nil"/>
            </w:tcBorders>
          </w:tcPr>
          <w:p w14:paraId="335AD85F" w14:textId="7C9FBE70" w:rsidR="00B91792" w:rsidRDefault="00DA5154" w:rsidP="000E076D">
            <w:pPr>
              <w:pStyle w:val="Tabletext"/>
              <w:jc w:val="center"/>
            </w:pPr>
            <w:r>
              <w:rPr>
                <w:rFonts w:cs="Calibri"/>
                <w:color w:val="000000"/>
                <w:szCs w:val="20"/>
              </w:rPr>
              <w:t>2,381</w:t>
            </w:r>
          </w:p>
        </w:tc>
        <w:tc>
          <w:tcPr>
            <w:tcW w:w="2383" w:type="dxa"/>
            <w:tcBorders>
              <w:top w:val="single" w:sz="8" w:space="0" w:color="auto"/>
              <w:left w:val="nil"/>
              <w:bottom w:val="nil"/>
              <w:right w:val="nil"/>
            </w:tcBorders>
          </w:tcPr>
          <w:p w14:paraId="051AC335" w14:textId="2EAE6154" w:rsidR="00B91792" w:rsidRPr="00953C98" w:rsidRDefault="003500C9" w:rsidP="000E076D">
            <w:pPr>
              <w:pStyle w:val="Tabletext"/>
              <w:jc w:val="center"/>
            </w:pPr>
            <w:r>
              <w:t>$260</w:t>
            </w:r>
          </w:p>
        </w:tc>
        <w:tc>
          <w:tcPr>
            <w:tcW w:w="2383" w:type="dxa"/>
            <w:tcBorders>
              <w:top w:val="single" w:sz="8" w:space="0" w:color="auto"/>
              <w:left w:val="nil"/>
              <w:bottom w:val="nil"/>
              <w:right w:val="nil"/>
            </w:tcBorders>
          </w:tcPr>
          <w:p w14:paraId="74192F70" w14:textId="23A0BF21" w:rsidR="008F136B" w:rsidRDefault="00920D56" w:rsidP="000E076D">
            <w:pPr>
              <w:pStyle w:val="Tabletext"/>
              <w:jc w:val="center"/>
            </w:pPr>
            <w:r w:rsidRPr="0064514A">
              <w:t>0.039</w:t>
            </w:r>
          </w:p>
        </w:tc>
      </w:tr>
      <w:tr w:rsidR="00B91792" w14:paraId="29803A51" w14:textId="76DBB91B" w:rsidTr="40F37273">
        <w:trPr>
          <w:trHeight w:val="33"/>
        </w:trPr>
        <w:tc>
          <w:tcPr>
            <w:tcW w:w="2835" w:type="dxa"/>
            <w:tcBorders>
              <w:top w:val="single" w:sz="8" w:space="0" w:color="auto"/>
              <w:left w:val="nil"/>
              <w:bottom w:val="single" w:sz="8" w:space="0" w:color="auto"/>
              <w:right w:val="nil"/>
            </w:tcBorders>
          </w:tcPr>
          <w:p w14:paraId="431A252F" w14:textId="1FB63212" w:rsidR="00B91792" w:rsidRPr="00AD53BC" w:rsidRDefault="00B91792" w:rsidP="000E076D">
            <w:pPr>
              <w:pStyle w:val="Tabletext"/>
              <w:jc w:val="center"/>
            </w:pPr>
            <w:r>
              <w:t xml:space="preserve">2 </w:t>
            </w:r>
            <w:r w:rsidR="009C028B">
              <w:t>O</w:t>
            </w:r>
            <w:r>
              <w:t>O</w:t>
            </w:r>
            <w:r w:rsidR="009C028B">
              <w:t>S</w:t>
            </w:r>
            <w:r w:rsidR="00AB4B4D">
              <w:t xml:space="preserve"> (</w:t>
            </w:r>
            <w:r w:rsidR="00793892">
              <w:t>2%)</w:t>
            </w:r>
          </w:p>
        </w:tc>
        <w:tc>
          <w:tcPr>
            <w:tcW w:w="1728" w:type="dxa"/>
            <w:tcBorders>
              <w:top w:val="single" w:sz="8" w:space="0" w:color="auto"/>
              <w:left w:val="nil"/>
              <w:bottom w:val="nil"/>
              <w:right w:val="nil"/>
            </w:tcBorders>
          </w:tcPr>
          <w:p w14:paraId="5D114E92" w14:textId="4D52D1F0" w:rsidR="00B91792" w:rsidRPr="00953C98" w:rsidRDefault="003500C9" w:rsidP="000E076D">
            <w:pPr>
              <w:pStyle w:val="Tabletext"/>
              <w:jc w:val="center"/>
            </w:pPr>
            <w:r>
              <w:t>935</w:t>
            </w:r>
          </w:p>
        </w:tc>
        <w:tc>
          <w:tcPr>
            <w:tcW w:w="2383" w:type="dxa"/>
            <w:tcBorders>
              <w:top w:val="single" w:sz="8" w:space="0" w:color="auto"/>
              <w:left w:val="nil"/>
              <w:bottom w:val="nil"/>
              <w:right w:val="nil"/>
            </w:tcBorders>
          </w:tcPr>
          <w:p w14:paraId="7C00105A" w14:textId="7D1BE0AE" w:rsidR="00B91792" w:rsidRPr="00AD53BC" w:rsidRDefault="003500C9" w:rsidP="000E076D">
            <w:pPr>
              <w:pStyle w:val="Tabletext"/>
              <w:jc w:val="center"/>
              <w:rPr>
                <w:szCs w:val="20"/>
              </w:rPr>
            </w:pPr>
            <w:r>
              <w:rPr>
                <w:szCs w:val="20"/>
              </w:rPr>
              <w:t>$116</w:t>
            </w:r>
          </w:p>
        </w:tc>
        <w:tc>
          <w:tcPr>
            <w:tcW w:w="2383" w:type="dxa"/>
            <w:tcBorders>
              <w:top w:val="single" w:sz="8" w:space="0" w:color="auto"/>
              <w:left w:val="nil"/>
              <w:bottom w:val="nil"/>
              <w:right w:val="nil"/>
            </w:tcBorders>
          </w:tcPr>
          <w:p w14:paraId="701D76F3" w14:textId="2E220938" w:rsidR="008F136B" w:rsidRDefault="008A4E3D" w:rsidP="000E076D">
            <w:pPr>
              <w:pStyle w:val="Tabletext"/>
              <w:jc w:val="center"/>
              <w:rPr>
                <w:szCs w:val="20"/>
              </w:rPr>
            </w:pPr>
            <w:r>
              <w:t>0</w:t>
            </w:r>
          </w:p>
        </w:tc>
      </w:tr>
      <w:tr w:rsidR="00B91792" w14:paraId="583F4D29" w14:textId="0E958189" w:rsidTr="40F37273">
        <w:trPr>
          <w:trHeight w:val="33"/>
        </w:trPr>
        <w:tc>
          <w:tcPr>
            <w:tcW w:w="2835" w:type="dxa"/>
            <w:tcBorders>
              <w:top w:val="single" w:sz="8" w:space="0" w:color="auto"/>
              <w:left w:val="nil"/>
              <w:bottom w:val="single" w:sz="8" w:space="0" w:color="auto"/>
              <w:right w:val="nil"/>
            </w:tcBorders>
          </w:tcPr>
          <w:p w14:paraId="374A0560" w14:textId="7480A46B" w:rsidR="00B91792" w:rsidRPr="00AD53BC" w:rsidRDefault="00B91792" w:rsidP="40F37273">
            <w:pPr>
              <w:pStyle w:val="Tabletext"/>
              <w:jc w:val="center"/>
              <w:rPr>
                <w:rFonts w:eastAsia="Univers 45 Light" w:cs="Univers 45 Light"/>
              </w:rPr>
            </w:pPr>
            <w:r>
              <w:t xml:space="preserve">1 </w:t>
            </w:r>
            <w:r w:rsidR="009C028B">
              <w:t>O</w:t>
            </w:r>
            <w:r>
              <w:t>O</w:t>
            </w:r>
            <w:r w:rsidR="009C028B">
              <w:t>S</w:t>
            </w:r>
            <w:r w:rsidR="00793892">
              <w:t xml:space="preserve"> (3%)</w:t>
            </w:r>
          </w:p>
        </w:tc>
        <w:tc>
          <w:tcPr>
            <w:tcW w:w="1728" w:type="dxa"/>
            <w:tcBorders>
              <w:top w:val="single" w:sz="8" w:space="0" w:color="auto"/>
              <w:left w:val="nil"/>
              <w:bottom w:val="single" w:sz="8" w:space="0" w:color="auto"/>
              <w:right w:val="nil"/>
            </w:tcBorders>
          </w:tcPr>
          <w:p w14:paraId="2DBD0673" w14:textId="1759CED1" w:rsidR="00B91792" w:rsidRPr="00232607" w:rsidRDefault="00DA5154" w:rsidP="000E076D">
            <w:pPr>
              <w:pStyle w:val="Tabletext"/>
              <w:jc w:val="center"/>
              <w:rPr>
                <w:rFonts w:cs="Calibri"/>
                <w:color w:val="000000"/>
                <w:szCs w:val="20"/>
              </w:rPr>
            </w:pPr>
            <w:r>
              <w:t>1,647</w:t>
            </w:r>
          </w:p>
        </w:tc>
        <w:tc>
          <w:tcPr>
            <w:tcW w:w="2383" w:type="dxa"/>
            <w:tcBorders>
              <w:top w:val="single" w:sz="8" w:space="0" w:color="auto"/>
              <w:left w:val="nil"/>
              <w:bottom w:val="single" w:sz="8" w:space="0" w:color="auto"/>
              <w:right w:val="nil"/>
            </w:tcBorders>
          </w:tcPr>
          <w:p w14:paraId="47AD23B2" w14:textId="55B61B7F" w:rsidR="00B91792" w:rsidRPr="00AD53BC" w:rsidRDefault="003500C9" w:rsidP="000E076D">
            <w:pPr>
              <w:pStyle w:val="Tabletext"/>
              <w:jc w:val="center"/>
              <w:rPr>
                <w:rFonts w:eastAsia="Calibri" w:cs="Calibri"/>
                <w:szCs w:val="20"/>
              </w:rPr>
            </w:pPr>
            <w:r>
              <w:rPr>
                <w:rFonts w:cs="Calibri"/>
                <w:color w:val="000000"/>
                <w:szCs w:val="20"/>
              </w:rPr>
              <w:t>$116</w:t>
            </w:r>
          </w:p>
        </w:tc>
        <w:tc>
          <w:tcPr>
            <w:tcW w:w="2383" w:type="dxa"/>
            <w:tcBorders>
              <w:top w:val="single" w:sz="8" w:space="0" w:color="auto"/>
              <w:left w:val="nil"/>
              <w:bottom w:val="single" w:sz="8" w:space="0" w:color="auto"/>
              <w:right w:val="nil"/>
            </w:tcBorders>
          </w:tcPr>
          <w:p w14:paraId="6602DD59" w14:textId="379A5F41" w:rsidR="008F136B" w:rsidRDefault="00920D56" w:rsidP="000E076D">
            <w:pPr>
              <w:pStyle w:val="Tabletext"/>
              <w:jc w:val="center"/>
              <w:rPr>
                <w:rFonts w:cs="Calibri"/>
                <w:color w:val="000000"/>
                <w:szCs w:val="20"/>
              </w:rPr>
            </w:pPr>
            <w:r w:rsidRPr="0064514A">
              <w:t>0</w:t>
            </w:r>
          </w:p>
        </w:tc>
      </w:tr>
      <w:tr w:rsidR="00B91792" w14:paraId="2B3D40E1" w14:textId="0BA97FAD" w:rsidTr="40F37273">
        <w:trPr>
          <w:trHeight w:val="33"/>
        </w:trPr>
        <w:tc>
          <w:tcPr>
            <w:tcW w:w="2835" w:type="dxa"/>
            <w:tcBorders>
              <w:top w:val="single" w:sz="8" w:space="0" w:color="auto"/>
              <w:left w:val="nil"/>
              <w:bottom w:val="single" w:sz="8" w:space="0" w:color="auto"/>
              <w:right w:val="nil"/>
            </w:tcBorders>
            <w:vAlign w:val="center"/>
          </w:tcPr>
          <w:p w14:paraId="0F801482" w14:textId="77777777" w:rsidR="00B91792" w:rsidRPr="00AD53BC" w:rsidRDefault="00B91792" w:rsidP="000E076D">
            <w:pPr>
              <w:pStyle w:val="Tabletext"/>
              <w:jc w:val="center"/>
              <w:rPr>
                <w:rFonts w:eastAsia="Univers 45 Light" w:cs="Univers 45 Light"/>
                <w:szCs w:val="20"/>
              </w:rPr>
            </w:pPr>
            <w:r>
              <w:rPr>
                <w:rFonts w:eastAsia="Univers 45 Light" w:cs="Univers 45 Light"/>
                <w:szCs w:val="20"/>
              </w:rPr>
              <w:t>Weighted average for base case</w:t>
            </w:r>
          </w:p>
        </w:tc>
        <w:tc>
          <w:tcPr>
            <w:tcW w:w="1728" w:type="dxa"/>
            <w:tcBorders>
              <w:top w:val="single" w:sz="8" w:space="0" w:color="auto"/>
              <w:left w:val="nil"/>
              <w:bottom w:val="single" w:sz="8" w:space="0" w:color="auto"/>
              <w:right w:val="nil"/>
            </w:tcBorders>
          </w:tcPr>
          <w:p w14:paraId="3F9F874F" w14:textId="77777777" w:rsidR="00B91792" w:rsidRPr="00AD53BC" w:rsidRDefault="00B91792" w:rsidP="000E076D">
            <w:pPr>
              <w:pStyle w:val="Tabletext"/>
              <w:jc w:val="center"/>
              <w:rPr>
                <w:rFonts w:eastAsia="Calibri" w:cs="Calibri"/>
                <w:szCs w:val="20"/>
              </w:rPr>
            </w:pPr>
            <w:r>
              <w:rPr>
                <w:rFonts w:eastAsia="Calibri" w:cs="Calibri"/>
                <w:szCs w:val="20"/>
              </w:rPr>
              <w:t>49,634</w:t>
            </w:r>
          </w:p>
        </w:tc>
        <w:tc>
          <w:tcPr>
            <w:tcW w:w="2383" w:type="dxa"/>
            <w:tcBorders>
              <w:top w:val="single" w:sz="8" w:space="0" w:color="auto"/>
              <w:left w:val="nil"/>
              <w:bottom w:val="single" w:sz="8" w:space="0" w:color="auto"/>
              <w:right w:val="nil"/>
            </w:tcBorders>
          </w:tcPr>
          <w:p w14:paraId="0FA44023" w14:textId="41904A42" w:rsidR="00B91792" w:rsidRPr="00AD53BC" w:rsidRDefault="008A4E3D" w:rsidP="000E076D">
            <w:pPr>
              <w:pStyle w:val="Tabletext"/>
              <w:jc w:val="center"/>
              <w:rPr>
                <w:rFonts w:eastAsia="Calibri" w:cs="Calibri"/>
                <w:szCs w:val="20"/>
              </w:rPr>
            </w:pPr>
            <w:r>
              <w:rPr>
                <w:rFonts w:eastAsia="Calibri" w:cs="Calibri"/>
                <w:szCs w:val="20"/>
              </w:rPr>
              <w:t>$87</w:t>
            </w:r>
          </w:p>
        </w:tc>
        <w:tc>
          <w:tcPr>
            <w:tcW w:w="2383" w:type="dxa"/>
            <w:tcBorders>
              <w:top w:val="single" w:sz="8" w:space="0" w:color="auto"/>
              <w:left w:val="nil"/>
              <w:bottom w:val="single" w:sz="8" w:space="0" w:color="auto"/>
              <w:right w:val="nil"/>
            </w:tcBorders>
          </w:tcPr>
          <w:p w14:paraId="6556B4CC" w14:textId="37D85820" w:rsidR="008F136B" w:rsidRPr="00AD53BC" w:rsidRDefault="00BC4281" w:rsidP="000E076D">
            <w:pPr>
              <w:pStyle w:val="Tabletext"/>
              <w:jc w:val="center"/>
              <w:rPr>
                <w:rFonts w:eastAsia="Calibri" w:cs="Calibri"/>
                <w:szCs w:val="20"/>
              </w:rPr>
            </w:pPr>
            <w:r>
              <w:t>0.</w:t>
            </w:r>
            <w:r w:rsidR="00940BB2">
              <w:t>002</w:t>
            </w:r>
          </w:p>
        </w:tc>
      </w:tr>
    </w:tbl>
    <w:p w14:paraId="0B06AF58" w14:textId="11F8F58E" w:rsidR="00B565F5" w:rsidRPr="00B565F5" w:rsidRDefault="00B91792" w:rsidP="00B942D8">
      <w:pPr>
        <w:pStyle w:val="Source"/>
        <w:rPr>
          <w:rFonts w:eastAsiaTheme="minorEastAsia"/>
        </w:rPr>
      </w:pPr>
      <w:r w:rsidRPr="002235A2">
        <w:t xml:space="preserve">Source: </w:t>
      </w:r>
      <w:r w:rsidRPr="002235A2">
        <w:rPr>
          <w:rFonts w:eastAsia="Calibri" w:cs="Calibri"/>
        </w:rPr>
        <w:t xml:space="preserve">KPMG analysis of the </w:t>
      </w:r>
      <w:r w:rsidRPr="002235A2">
        <w:t xml:space="preserve">cost utility dataset as described in </w:t>
      </w:r>
      <w:r w:rsidRPr="002235A2">
        <w:fldChar w:fldCharType="begin" w:fldLock="1"/>
      </w:r>
      <w:r w:rsidRPr="002235A2">
        <w:instrText xml:space="preserve"> REF _Ref93585723 \w \h  \* MERGEFORMAT </w:instrText>
      </w:r>
      <w:r w:rsidRPr="002235A2">
        <w:fldChar w:fldCharType="separate"/>
      </w:r>
      <w:r w:rsidR="002920A7">
        <w:t>0</w:t>
      </w:r>
      <w:r w:rsidRPr="002235A2">
        <w:fldChar w:fldCharType="end"/>
      </w:r>
      <w:r w:rsidRPr="002235A2">
        <w:t xml:space="preserve">. </w:t>
      </w:r>
    </w:p>
    <w:p w14:paraId="27AFB8DF" w14:textId="38F80F15" w:rsidR="00125BBA" w:rsidRDefault="00337245" w:rsidP="00125BBA">
      <w:pPr>
        <w:pStyle w:val="BodyText"/>
      </w:pPr>
      <w:r>
        <w:t>Two</w:t>
      </w:r>
      <w:r w:rsidR="00125BBA">
        <w:t xml:space="preserve"> elements are used to define the comparator costs: 1) the scheduled fees for the observed mix of initial appointments; and 2) the </w:t>
      </w:r>
      <w:r w:rsidR="000F4F00" w:rsidRPr="000F4F00">
        <w:t>Australian Psychological Society</w:t>
      </w:r>
      <w:r w:rsidR="000F4F00" w:rsidRPr="000F4F00" w:rsidDel="000F4F00">
        <w:t xml:space="preserve"> </w:t>
      </w:r>
      <w:r w:rsidR="00125BBA">
        <w:t xml:space="preserve">national schedule of recommended fees and item numbers for psychological services for the treatment. It is assumed that for the first and the second </w:t>
      </w:r>
      <w:r w:rsidR="00525ED1">
        <w:t>OOS</w:t>
      </w:r>
      <w:r w:rsidR="00125BBA">
        <w:t xml:space="preserve">, young people in the world without headspace would seek low cost treatments, which are either bulk-billed or with low out-of-pocket cost. The cost of these sessions </w:t>
      </w:r>
      <w:r w:rsidR="004D1498">
        <w:t>is</w:t>
      </w:r>
      <w:r w:rsidR="00125BBA">
        <w:t xml:space="preserve"> estimated to include weighted average MBS schedule fees discussed in Appendix I and 16% out-of-pocket costs to young people</w:t>
      </w:r>
      <w:r w:rsidR="00CC0438">
        <w:rPr>
          <w:rFonts w:ascii="ZWAdobeF" w:hAnsi="ZWAdobeF" w:cs="ZWAdobeF"/>
          <w:sz w:val="2"/>
          <w:szCs w:val="2"/>
        </w:rPr>
        <w:t>250F</w:t>
      </w:r>
      <w:r w:rsidR="00125BBA">
        <w:rPr>
          <w:rStyle w:val="FootnoteReference"/>
        </w:rPr>
        <w:footnoteReference w:id="252"/>
      </w:r>
      <w:r w:rsidR="00CA25CB">
        <w:t>.</w:t>
      </w:r>
      <w:r w:rsidR="00125BBA">
        <w:t xml:space="preserve"> For the third and following sessions, the cost is assumed to be $260, which is the recommended fee for a 46</w:t>
      </w:r>
      <w:r w:rsidR="004D1498">
        <w:t xml:space="preserve"> to </w:t>
      </w:r>
      <w:r w:rsidR="00125BBA">
        <w:t>60 minute consultation</w:t>
      </w:r>
      <w:r w:rsidR="00CC0438">
        <w:rPr>
          <w:rFonts w:ascii="ZWAdobeF" w:hAnsi="ZWAdobeF" w:cs="ZWAdobeF"/>
          <w:sz w:val="2"/>
          <w:szCs w:val="2"/>
        </w:rPr>
        <w:t>251F</w:t>
      </w:r>
      <w:r w:rsidR="00125BBA">
        <w:rPr>
          <w:rStyle w:val="FootnoteReference"/>
        </w:rPr>
        <w:footnoteReference w:id="253"/>
      </w:r>
      <w:r w:rsidR="00BC7B5C">
        <w:t>.</w:t>
      </w:r>
    </w:p>
    <w:p w14:paraId="1B540B78" w14:textId="5C8ED35D" w:rsidR="00125BBA" w:rsidRDefault="0086733F" w:rsidP="00125BBA">
      <w:pPr>
        <w:pStyle w:val="BodyText"/>
      </w:pPr>
      <w:r>
        <w:fldChar w:fldCharType="begin" w:fldLock="1"/>
      </w:r>
      <w:r>
        <w:instrText xml:space="preserve"> REF _Ref106916252 \h </w:instrText>
      </w:r>
      <w:r>
        <w:fldChar w:fldCharType="separate"/>
      </w:r>
      <w:r>
        <w:t xml:space="preserve">Table </w:t>
      </w:r>
      <w:r>
        <w:rPr>
          <w:noProof/>
        </w:rPr>
        <w:t>88</w:t>
      </w:r>
      <w:r>
        <w:fldChar w:fldCharType="end"/>
      </w:r>
      <w:r>
        <w:t xml:space="preserve"> </w:t>
      </w:r>
      <w:r w:rsidR="00125BBA">
        <w:t>presents the weighted average cost and QALY gained per episode for the comparator in the world without headspace.</w:t>
      </w:r>
    </w:p>
    <w:p w14:paraId="2F9D96BD" w14:textId="77777777" w:rsidR="000B15AF" w:rsidRDefault="000B15AF" w:rsidP="00B942D8">
      <w:pPr>
        <w:pStyle w:val="AppendixHeading3"/>
      </w:pPr>
      <w:r>
        <w:t>Other parameters of the evaluation</w:t>
      </w:r>
    </w:p>
    <w:p w14:paraId="4BAC98D1" w14:textId="77777777" w:rsidR="000B15AF" w:rsidRPr="00263000" w:rsidRDefault="000B15AF" w:rsidP="00B942D8">
      <w:pPr>
        <w:pStyle w:val="Heading4"/>
      </w:pPr>
      <w:r w:rsidRPr="00263000">
        <w:t>Time horizon</w:t>
      </w:r>
    </w:p>
    <w:p w14:paraId="1B275DFF" w14:textId="7EDCAD00" w:rsidR="000B15AF" w:rsidRDefault="000B15AF" w:rsidP="000B15AF">
      <w:r>
        <w:t>The time horizon for the evaluation is 18 months. This includes the average treatment duration of three months, the three</w:t>
      </w:r>
      <w:r w:rsidRPr="005705E5">
        <w:t xml:space="preserve"> months follow up</w:t>
      </w:r>
      <w:r>
        <w:t xml:space="preserve"> data that capture the last measured outcome,</w:t>
      </w:r>
      <w:r w:rsidRPr="005705E5">
        <w:t xml:space="preserve"> </w:t>
      </w:r>
      <w:r>
        <w:t xml:space="preserve">and a </w:t>
      </w:r>
      <w:r w:rsidRPr="005705E5">
        <w:t>12</w:t>
      </w:r>
      <w:r w:rsidR="00BC7B5C">
        <w:noBreakHyphen/>
      </w:r>
      <w:r w:rsidRPr="005705E5">
        <w:t>month extrapolation of gains</w:t>
      </w:r>
      <w:r>
        <w:t xml:space="preserve"> in mental health outcomes. </w:t>
      </w:r>
    </w:p>
    <w:p w14:paraId="376F60B2" w14:textId="76ECF015" w:rsidR="000B15AF" w:rsidRDefault="000B15AF" w:rsidP="000B15AF">
      <w:r>
        <w:t xml:space="preserve">The costs captured over this horizon include treatment costs </w:t>
      </w:r>
      <w:r w:rsidR="00AB4CED">
        <w:t xml:space="preserve">for </w:t>
      </w:r>
      <w:r>
        <w:t xml:space="preserve">a variable number of </w:t>
      </w:r>
      <w:r w:rsidR="00525ED1">
        <w:t>OOS</w:t>
      </w:r>
      <w:r>
        <w:t xml:space="preserve"> and cost-consequences in the form of hospital admissions due to mental health needs not being addressed.</w:t>
      </w:r>
    </w:p>
    <w:p w14:paraId="46DD4D2D" w14:textId="77777777" w:rsidR="000B15AF" w:rsidRPr="00263000" w:rsidRDefault="000B15AF" w:rsidP="00B942D8">
      <w:pPr>
        <w:pStyle w:val="Heading4"/>
      </w:pPr>
      <w:r w:rsidRPr="00263000">
        <w:t>Discounting</w:t>
      </w:r>
    </w:p>
    <w:p w14:paraId="7D48F6E0" w14:textId="6D56B776" w:rsidR="00AB4CED" w:rsidRDefault="00AB4CED" w:rsidP="000B15AF">
      <w:r>
        <w:t xml:space="preserve">In the base case analysis, outcomes are not discounted. This </w:t>
      </w:r>
      <w:r w:rsidR="00726133">
        <w:t>is because the 18</w:t>
      </w:r>
      <w:r w:rsidR="000B15AF">
        <w:t xml:space="preserve">-month time horizon does not include substantial long-term costs and effects. </w:t>
      </w:r>
    </w:p>
    <w:p w14:paraId="6F2FA142" w14:textId="7AC35155" w:rsidR="00584BDD" w:rsidRDefault="00946846" w:rsidP="00D530CF">
      <w:r>
        <w:t xml:space="preserve">However, when extrapolating and examining </w:t>
      </w:r>
      <w:r w:rsidR="00186294">
        <w:t>benefits beyond the 18-month time horizon in the sensitivity analyses, a</w:t>
      </w:r>
      <w:r w:rsidR="000B15AF">
        <w:t xml:space="preserve"> 5</w:t>
      </w:r>
      <w:r w:rsidR="00463529">
        <w:t xml:space="preserve"> per cent</w:t>
      </w:r>
      <w:r w:rsidR="000B15AF">
        <w:t xml:space="preserve"> discount rate is applied to benefits</w:t>
      </w:r>
      <w:r w:rsidR="00186294">
        <w:t xml:space="preserve"> accrued.</w:t>
      </w:r>
    </w:p>
    <w:p w14:paraId="0C7AC9E4" w14:textId="77777777" w:rsidR="005E3955" w:rsidRPr="002A4F13" w:rsidRDefault="005E3955" w:rsidP="00B942D8">
      <w:pPr>
        <w:pStyle w:val="AppendixHeading3"/>
      </w:pPr>
      <w:r w:rsidRPr="00E03DE7">
        <w:t>Summary of evaluation inputs</w:t>
      </w:r>
    </w:p>
    <w:p w14:paraId="5D9FE4CD" w14:textId="34453788" w:rsidR="005E3955" w:rsidRPr="00EE0854" w:rsidRDefault="005E3955" w:rsidP="00B942D8">
      <w:pPr>
        <w:pStyle w:val="BodyText"/>
      </w:pPr>
      <w:r>
        <w:fldChar w:fldCharType="begin" w:fldLock="1"/>
      </w:r>
      <w:r>
        <w:instrText xml:space="preserve"> REF _Ref104895603 \h </w:instrText>
      </w:r>
      <w:r w:rsidR="00B942D8">
        <w:instrText xml:space="preserve"> \* MERGEFORMAT </w:instrText>
      </w:r>
      <w:r>
        <w:fldChar w:fldCharType="separate"/>
      </w:r>
      <w:r w:rsidR="0086733F">
        <w:t xml:space="preserve">Table </w:t>
      </w:r>
      <w:r w:rsidR="0086733F">
        <w:rPr>
          <w:noProof/>
        </w:rPr>
        <w:t>89</w:t>
      </w:r>
      <w:r>
        <w:fldChar w:fldCharType="end"/>
      </w:r>
      <w:r>
        <w:t xml:space="preserve"> presents a summary of input values used in the economic evaluation. For each parameter, the point estimate is presented under the ‘Values’ column. The ‘Sensitivity test’ column summarises the range of values used for a sensitivity analysis which </w:t>
      </w:r>
      <w:r w:rsidR="006C2046">
        <w:t xml:space="preserve">was presented in Section </w:t>
      </w:r>
      <w:r w:rsidR="00F9325A">
        <w:fldChar w:fldCharType="begin" w:fldLock="1"/>
      </w:r>
      <w:r w:rsidR="00F9325A">
        <w:instrText xml:space="preserve"> REF _Ref98316825 \r \h </w:instrText>
      </w:r>
      <w:r w:rsidR="00B942D8">
        <w:instrText xml:space="preserve"> \* MERGEFORMAT </w:instrText>
      </w:r>
      <w:r w:rsidR="00F9325A">
        <w:fldChar w:fldCharType="separate"/>
      </w:r>
      <w:r w:rsidR="00F9325A">
        <w:t>4.2</w:t>
      </w:r>
      <w:r w:rsidR="00F9325A">
        <w:fldChar w:fldCharType="end"/>
      </w:r>
      <w:r w:rsidR="009714A3">
        <w:t>.</w:t>
      </w:r>
    </w:p>
    <w:p w14:paraId="5A19766C" w14:textId="5B1EE5F3" w:rsidR="005E3955" w:rsidRDefault="005E3955" w:rsidP="005E3955">
      <w:pPr>
        <w:pStyle w:val="Caption"/>
      </w:pPr>
      <w:bookmarkStart w:id="441" w:name="_Ref104895603"/>
      <w:bookmarkStart w:id="442" w:name="_Toc108109039"/>
      <w:r>
        <w:t xml:space="preserve">Table </w:t>
      </w:r>
      <w:r>
        <w:fldChar w:fldCharType="begin"/>
      </w:r>
      <w:r>
        <w:instrText>SEQ Table \* ARABIC</w:instrText>
      </w:r>
      <w:r>
        <w:fldChar w:fldCharType="separate"/>
      </w:r>
      <w:r w:rsidR="00CC0438">
        <w:rPr>
          <w:noProof/>
        </w:rPr>
        <w:t>89</w:t>
      </w:r>
      <w:r>
        <w:fldChar w:fldCharType="end"/>
      </w:r>
      <w:bookmarkEnd w:id="441"/>
      <w:r>
        <w:t>: Input values used in the economic evaluation</w:t>
      </w:r>
      <w:bookmarkEnd w:id="442"/>
    </w:p>
    <w:tbl>
      <w:tblPr>
        <w:tblStyle w:val="TableGrid"/>
        <w:tblW w:w="0" w:type="auto"/>
        <w:tblLook w:val="04A0" w:firstRow="1" w:lastRow="0" w:firstColumn="1" w:lastColumn="0" w:noHBand="0" w:noVBand="1"/>
        <w:tblCaption w:val="Input values used in the economic evaluation"/>
        <w:tblDescription w:val="Table has 4 colum and summarises inputs into the economic evaluation. Column 1 lists specific evaluation parameters. Column 2 lists the values used. Column 3 lists the sources and assumptions used to derive the values. Column 4 summarises sensitivity testing undertaken. "/>
      </w:tblPr>
      <w:tblGrid>
        <w:gridCol w:w="2254"/>
        <w:gridCol w:w="2254"/>
        <w:gridCol w:w="2294"/>
        <w:gridCol w:w="2254"/>
      </w:tblGrid>
      <w:tr w:rsidR="005E3955" w:rsidRPr="000412A1" w14:paraId="16449DF4" w14:textId="77777777" w:rsidTr="00E40635">
        <w:trPr>
          <w:tblHeader/>
        </w:trPr>
        <w:tc>
          <w:tcPr>
            <w:tcW w:w="2254" w:type="dxa"/>
            <w:tcBorders>
              <w:top w:val="nil"/>
              <w:left w:val="nil"/>
              <w:bottom w:val="nil"/>
              <w:right w:val="nil"/>
            </w:tcBorders>
            <w:shd w:val="clear" w:color="auto" w:fill="00338D"/>
          </w:tcPr>
          <w:p w14:paraId="1DE0E0EF" w14:textId="77777777" w:rsidR="005E3955" w:rsidRPr="00685B46" w:rsidRDefault="005E3955" w:rsidP="000E076D">
            <w:pPr>
              <w:pStyle w:val="Tableheading"/>
            </w:pPr>
            <w:r w:rsidRPr="00685B46">
              <w:t>Parameter</w:t>
            </w:r>
          </w:p>
        </w:tc>
        <w:tc>
          <w:tcPr>
            <w:tcW w:w="2254" w:type="dxa"/>
            <w:tcBorders>
              <w:top w:val="nil"/>
              <w:left w:val="nil"/>
              <w:bottom w:val="nil"/>
              <w:right w:val="nil"/>
            </w:tcBorders>
            <w:shd w:val="clear" w:color="auto" w:fill="00338D"/>
          </w:tcPr>
          <w:p w14:paraId="5721E02E" w14:textId="77777777" w:rsidR="005E3955" w:rsidRPr="00685B46" w:rsidRDefault="005E3955" w:rsidP="000E076D">
            <w:pPr>
              <w:pStyle w:val="Tableheading"/>
            </w:pPr>
            <w:r w:rsidRPr="00685B46">
              <w:t>Values</w:t>
            </w:r>
          </w:p>
        </w:tc>
        <w:tc>
          <w:tcPr>
            <w:tcW w:w="2294" w:type="dxa"/>
            <w:tcBorders>
              <w:top w:val="nil"/>
              <w:left w:val="nil"/>
              <w:bottom w:val="nil"/>
              <w:right w:val="nil"/>
            </w:tcBorders>
            <w:shd w:val="clear" w:color="auto" w:fill="00338D"/>
          </w:tcPr>
          <w:p w14:paraId="49A216C2" w14:textId="77777777" w:rsidR="005E3955" w:rsidRPr="00685B46" w:rsidRDefault="005E3955" w:rsidP="000E076D">
            <w:pPr>
              <w:pStyle w:val="Tableheading"/>
            </w:pPr>
            <w:r w:rsidRPr="00685B46">
              <w:t>Sources/assumptions</w:t>
            </w:r>
          </w:p>
        </w:tc>
        <w:tc>
          <w:tcPr>
            <w:tcW w:w="2254" w:type="dxa"/>
            <w:tcBorders>
              <w:top w:val="nil"/>
              <w:left w:val="nil"/>
              <w:bottom w:val="nil"/>
              <w:right w:val="nil"/>
            </w:tcBorders>
            <w:shd w:val="clear" w:color="auto" w:fill="00338D"/>
          </w:tcPr>
          <w:p w14:paraId="6A4FE658" w14:textId="77777777" w:rsidR="005E3955" w:rsidRPr="00685B46" w:rsidRDefault="005E3955" w:rsidP="000E076D">
            <w:pPr>
              <w:pStyle w:val="Tableheading"/>
            </w:pPr>
            <w:r w:rsidRPr="00685B46">
              <w:t>Sensitivity testing</w:t>
            </w:r>
          </w:p>
        </w:tc>
      </w:tr>
      <w:tr w:rsidR="005E3955" w:rsidRPr="000412A1" w14:paraId="71EEE614" w14:textId="77777777" w:rsidTr="00590487">
        <w:tc>
          <w:tcPr>
            <w:tcW w:w="2254" w:type="dxa"/>
            <w:tcBorders>
              <w:top w:val="nil"/>
              <w:left w:val="nil"/>
              <w:bottom w:val="single" w:sz="4" w:space="0" w:color="auto"/>
              <w:right w:val="nil"/>
            </w:tcBorders>
          </w:tcPr>
          <w:p w14:paraId="616C6744" w14:textId="77777777" w:rsidR="005E3955" w:rsidRPr="000412A1" w:rsidRDefault="005E3955" w:rsidP="000E076D">
            <w:pPr>
              <w:pStyle w:val="Tabletext"/>
            </w:pPr>
            <w:r w:rsidRPr="000412A1">
              <w:t>Proportions continuing treatment</w:t>
            </w:r>
          </w:p>
        </w:tc>
        <w:tc>
          <w:tcPr>
            <w:tcW w:w="2254" w:type="dxa"/>
            <w:tcBorders>
              <w:top w:val="nil"/>
              <w:left w:val="nil"/>
              <w:bottom w:val="single" w:sz="4" w:space="0" w:color="auto"/>
              <w:right w:val="nil"/>
            </w:tcBorders>
          </w:tcPr>
          <w:p w14:paraId="16C27C70" w14:textId="49FE409E" w:rsidR="005E3955" w:rsidRPr="000412A1" w:rsidRDefault="005E3955" w:rsidP="000E076D">
            <w:pPr>
              <w:pStyle w:val="Tabletext"/>
            </w:pPr>
            <w:r w:rsidRPr="000412A1">
              <w:t xml:space="preserve">1 </w:t>
            </w:r>
            <w:r w:rsidR="003C1E68">
              <w:t>OOS</w:t>
            </w:r>
            <w:r w:rsidRPr="000412A1">
              <w:t>: 33%</w:t>
            </w:r>
          </w:p>
          <w:p w14:paraId="3E2C9B45" w14:textId="3A01CE5B" w:rsidR="005E3955" w:rsidRPr="000412A1" w:rsidRDefault="005E3955" w:rsidP="000E076D">
            <w:pPr>
              <w:pStyle w:val="Tabletext"/>
            </w:pPr>
            <w:r w:rsidRPr="000412A1">
              <w:t xml:space="preserve">2 </w:t>
            </w:r>
            <w:r w:rsidR="003C1E68">
              <w:t>OOS</w:t>
            </w:r>
            <w:r w:rsidRPr="000412A1">
              <w:t>: 19%</w:t>
            </w:r>
          </w:p>
          <w:p w14:paraId="504D83F3" w14:textId="7256548B" w:rsidR="005E3955" w:rsidRPr="000412A1" w:rsidRDefault="005E3955" w:rsidP="000E076D">
            <w:pPr>
              <w:pStyle w:val="Tabletext"/>
            </w:pPr>
            <w:r w:rsidRPr="000412A1">
              <w:t xml:space="preserve">3+ </w:t>
            </w:r>
            <w:r w:rsidR="003C1E68">
              <w:t>OOS</w:t>
            </w:r>
            <w:r w:rsidRPr="000412A1">
              <w:t>: 48%</w:t>
            </w:r>
          </w:p>
        </w:tc>
        <w:tc>
          <w:tcPr>
            <w:tcW w:w="2294" w:type="dxa"/>
            <w:tcBorders>
              <w:top w:val="nil"/>
              <w:left w:val="nil"/>
              <w:bottom w:val="single" w:sz="4" w:space="0" w:color="auto"/>
              <w:right w:val="nil"/>
            </w:tcBorders>
          </w:tcPr>
          <w:p w14:paraId="48CBF1F8" w14:textId="58CB6360" w:rsidR="005E3955" w:rsidRPr="000412A1" w:rsidRDefault="005E3955" w:rsidP="000E076D">
            <w:pPr>
              <w:pStyle w:val="Tabletext"/>
            </w:pPr>
            <w:r>
              <w:t>hMDS</w:t>
            </w:r>
            <w:r w:rsidR="00766037">
              <w:t>C</w:t>
            </w:r>
          </w:p>
        </w:tc>
        <w:tc>
          <w:tcPr>
            <w:tcW w:w="2254" w:type="dxa"/>
            <w:tcBorders>
              <w:top w:val="nil"/>
              <w:left w:val="nil"/>
              <w:bottom w:val="single" w:sz="4" w:space="0" w:color="auto"/>
              <w:right w:val="nil"/>
            </w:tcBorders>
          </w:tcPr>
          <w:p w14:paraId="530E9820" w14:textId="77777777" w:rsidR="005E3955" w:rsidRPr="000412A1" w:rsidRDefault="005E3955" w:rsidP="000E076D">
            <w:pPr>
              <w:pStyle w:val="Tabletext"/>
            </w:pPr>
            <w:r w:rsidRPr="000412A1">
              <w:t>NA</w:t>
            </w:r>
          </w:p>
        </w:tc>
      </w:tr>
      <w:tr w:rsidR="005E3955" w:rsidRPr="000412A1" w14:paraId="1729D234" w14:textId="77777777" w:rsidTr="00590487">
        <w:tc>
          <w:tcPr>
            <w:tcW w:w="2254" w:type="dxa"/>
            <w:tcBorders>
              <w:top w:val="single" w:sz="4" w:space="0" w:color="auto"/>
              <w:left w:val="nil"/>
              <w:bottom w:val="single" w:sz="4" w:space="0" w:color="auto"/>
              <w:right w:val="nil"/>
            </w:tcBorders>
          </w:tcPr>
          <w:p w14:paraId="74FD8107" w14:textId="74F65061" w:rsidR="005E3955" w:rsidRPr="000412A1" w:rsidRDefault="005E3955" w:rsidP="000E076D">
            <w:pPr>
              <w:pStyle w:val="Tabletext"/>
            </w:pPr>
            <w:r>
              <w:t xml:space="preserve">Average numbers of </w:t>
            </w:r>
            <w:r w:rsidR="006E7DB0">
              <w:t>O</w:t>
            </w:r>
            <w:r w:rsidR="003C1E68">
              <w:t>O</w:t>
            </w:r>
            <w:r w:rsidR="006E7DB0">
              <w:t>S</w:t>
            </w:r>
          </w:p>
        </w:tc>
        <w:tc>
          <w:tcPr>
            <w:tcW w:w="2254" w:type="dxa"/>
            <w:tcBorders>
              <w:top w:val="single" w:sz="4" w:space="0" w:color="auto"/>
              <w:left w:val="nil"/>
              <w:bottom w:val="single" w:sz="4" w:space="0" w:color="auto"/>
              <w:right w:val="nil"/>
            </w:tcBorders>
          </w:tcPr>
          <w:p w14:paraId="3C4BDBCF" w14:textId="28768B0E" w:rsidR="005E3955" w:rsidRDefault="005E3955" w:rsidP="000E076D">
            <w:pPr>
              <w:pStyle w:val="Tabletext"/>
            </w:pPr>
            <w:r>
              <w:t xml:space="preserve">3+ </w:t>
            </w:r>
            <w:r w:rsidR="003C1E68">
              <w:t>OOS</w:t>
            </w:r>
            <w:r>
              <w:t xml:space="preserve">: </w:t>
            </w:r>
            <w:r w:rsidRPr="00AA67E3">
              <w:t>6.13</w:t>
            </w:r>
          </w:p>
          <w:p w14:paraId="453C6E30" w14:textId="66C16EA0" w:rsidR="005E3955" w:rsidRPr="000412A1" w:rsidRDefault="005E3955" w:rsidP="000E076D">
            <w:pPr>
              <w:pStyle w:val="Tabletext"/>
            </w:pPr>
            <w:r>
              <w:t xml:space="preserve">4+ </w:t>
            </w:r>
            <w:r w:rsidR="003C1E68">
              <w:t>OOS</w:t>
            </w:r>
            <w:r>
              <w:t>: 7.13</w:t>
            </w:r>
          </w:p>
        </w:tc>
        <w:tc>
          <w:tcPr>
            <w:tcW w:w="2294" w:type="dxa"/>
            <w:tcBorders>
              <w:top w:val="single" w:sz="4" w:space="0" w:color="auto"/>
              <w:left w:val="nil"/>
              <w:bottom w:val="single" w:sz="4" w:space="0" w:color="auto"/>
              <w:right w:val="nil"/>
            </w:tcBorders>
          </w:tcPr>
          <w:p w14:paraId="3A5C070C" w14:textId="77777777" w:rsidR="005E3955" w:rsidRPr="000412A1" w:rsidRDefault="005E3955" w:rsidP="000E076D">
            <w:pPr>
              <w:pStyle w:val="Tabletext"/>
            </w:pPr>
            <w:r>
              <w:t>hMDS</w:t>
            </w:r>
          </w:p>
        </w:tc>
        <w:tc>
          <w:tcPr>
            <w:tcW w:w="2254" w:type="dxa"/>
            <w:tcBorders>
              <w:top w:val="single" w:sz="4" w:space="0" w:color="auto"/>
              <w:left w:val="nil"/>
              <w:bottom w:val="single" w:sz="4" w:space="0" w:color="auto"/>
              <w:right w:val="nil"/>
            </w:tcBorders>
          </w:tcPr>
          <w:p w14:paraId="77872881" w14:textId="77777777" w:rsidR="005E3955" w:rsidRPr="000412A1" w:rsidRDefault="005E3955" w:rsidP="000E076D">
            <w:pPr>
              <w:pStyle w:val="Tabletext"/>
            </w:pPr>
            <w:r>
              <w:t>NA</w:t>
            </w:r>
          </w:p>
        </w:tc>
      </w:tr>
      <w:tr w:rsidR="005E3955" w:rsidRPr="000412A1" w14:paraId="32681E53" w14:textId="77777777" w:rsidTr="00590487">
        <w:tc>
          <w:tcPr>
            <w:tcW w:w="2254" w:type="dxa"/>
            <w:tcBorders>
              <w:top w:val="single" w:sz="4" w:space="0" w:color="auto"/>
              <w:left w:val="nil"/>
              <w:bottom w:val="single" w:sz="4" w:space="0" w:color="auto"/>
              <w:right w:val="nil"/>
            </w:tcBorders>
          </w:tcPr>
          <w:p w14:paraId="3A71D9C0" w14:textId="77777777" w:rsidR="005E3955" w:rsidRPr="000412A1" w:rsidRDefault="005E3955" w:rsidP="000E076D">
            <w:pPr>
              <w:pStyle w:val="Tabletext"/>
            </w:pPr>
            <w:r w:rsidRPr="000412A1">
              <w:t xml:space="preserve">Proportions receiving treatment in </w:t>
            </w:r>
            <w:r>
              <w:t>the ‘world without</w:t>
            </w:r>
            <w:r w:rsidRPr="000412A1">
              <w:t xml:space="preserve"> </w:t>
            </w:r>
            <w:r>
              <w:t>headspace’</w:t>
            </w:r>
            <w:r w:rsidRPr="000412A1">
              <w:t xml:space="preserve"> scenario</w:t>
            </w:r>
          </w:p>
        </w:tc>
        <w:tc>
          <w:tcPr>
            <w:tcW w:w="2254" w:type="dxa"/>
            <w:tcBorders>
              <w:top w:val="single" w:sz="4" w:space="0" w:color="auto"/>
              <w:left w:val="nil"/>
              <w:bottom w:val="single" w:sz="4" w:space="0" w:color="auto"/>
              <w:right w:val="nil"/>
            </w:tcBorders>
          </w:tcPr>
          <w:p w14:paraId="3CBB71D1" w14:textId="77777777" w:rsidR="005E3955" w:rsidRPr="000412A1" w:rsidRDefault="005E3955" w:rsidP="000E076D">
            <w:pPr>
              <w:pStyle w:val="Tabletext"/>
            </w:pPr>
            <w:r w:rsidRPr="000412A1">
              <w:t>10%</w:t>
            </w:r>
          </w:p>
        </w:tc>
        <w:tc>
          <w:tcPr>
            <w:tcW w:w="2294" w:type="dxa"/>
            <w:tcBorders>
              <w:top w:val="single" w:sz="4" w:space="0" w:color="auto"/>
              <w:left w:val="nil"/>
              <w:bottom w:val="single" w:sz="4" w:space="0" w:color="auto"/>
              <w:right w:val="nil"/>
            </w:tcBorders>
          </w:tcPr>
          <w:p w14:paraId="7E0A3B4F" w14:textId="77777777" w:rsidR="005E3955" w:rsidRPr="000412A1" w:rsidRDefault="005E3955" w:rsidP="000E076D">
            <w:pPr>
              <w:pStyle w:val="Tabletext"/>
            </w:pPr>
            <w:r>
              <w:t xml:space="preserve">headspace </w:t>
            </w:r>
            <w:r w:rsidRPr="000412A1">
              <w:t>MBS claims data;</w:t>
            </w:r>
          </w:p>
          <w:p w14:paraId="6992447A" w14:textId="77777777" w:rsidR="005E3955" w:rsidRPr="000412A1" w:rsidRDefault="005E3955" w:rsidP="000E076D">
            <w:pPr>
              <w:pStyle w:val="Tabletext"/>
            </w:pPr>
            <w:r>
              <w:t xml:space="preserve">headspace </w:t>
            </w:r>
            <w:r w:rsidRPr="000412A1">
              <w:t>Evaluation Reference Group</w:t>
            </w:r>
            <w:r>
              <w:t xml:space="preserve"> (ERG) </w:t>
            </w:r>
            <w:r w:rsidRPr="000412A1">
              <w:t>consensus</w:t>
            </w:r>
          </w:p>
        </w:tc>
        <w:tc>
          <w:tcPr>
            <w:tcW w:w="2254" w:type="dxa"/>
            <w:tcBorders>
              <w:top w:val="single" w:sz="4" w:space="0" w:color="auto"/>
              <w:left w:val="nil"/>
              <w:bottom w:val="single" w:sz="4" w:space="0" w:color="auto"/>
              <w:right w:val="nil"/>
            </w:tcBorders>
          </w:tcPr>
          <w:p w14:paraId="2B59E30C" w14:textId="77777777" w:rsidR="005E3955" w:rsidRPr="000412A1" w:rsidRDefault="005E3955" w:rsidP="000E076D">
            <w:pPr>
              <w:pStyle w:val="Tabletext"/>
            </w:pPr>
            <w:r w:rsidRPr="000412A1">
              <w:t>0% to 20%</w:t>
            </w:r>
          </w:p>
        </w:tc>
      </w:tr>
      <w:tr w:rsidR="005E3955" w:rsidRPr="000412A1" w14:paraId="7458E4D8" w14:textId="77777777" w:rsidTr="00590487">
        <w:tc>
          <w:tcPr>
            <w:tcW w:w="2254" w:type="dxa"/>
            <w:tcBorders>
              <w:top w:val="single" w:sz="4" w:space="0" w:color="auto"/>
              <w:left w:val="nil"/>
              <w:bottom w:val="single" w:sz="4" w:space="0" w:color="auto"/>
              <w:right w:val="nil"/>
            </w:tcBorders>
          </w:tcPr>
          <w:p w14:paraId="5F601D42" w14:textId="77777777" w:rsidR="005E3955" w:rsidRPr="000412A1" w:rsidRDefault="005E3955" w:rsidP="000E076D">
            <w:pPr>
              <w:pStyle w:val="Tabletext"/>
            </w:pPr>
            <w:r w:rsidRPr="000412A1">
              <w:t>Health gains from treatment</w:t>
            </w:r>
          </w:p>
        </w:tc>
        <w:tc>
          <w:tcPr>
            <w:tcW w:w="2254" w:type="dxa"/>
            <w:tcBorders>
              <w:top w:val="single" w:sz="4" w:space="0" w:color="auto"/>
              <w:left w:val="nil"/>
              <w:bottom w:val="single" w:sz="4" w:space="0" w:color="auto"/>
              <w:right w:val="nil"/>
            </w:tcBorders>
          </w:tcPr>
          <w:p w14:paraId="054F5548" w14:textId="25BDE876" w:rsidR="005E3955" w:rsidRPr="000412A1" w:rsidRDefault="005E3955" w:rsidP="000E076D">
            <w:pPr>
              <w:pStyle w:val="Tabletext"/>
            </w:pPr>
            <w:r w:rsidRPr="000412A1">
              <w:t xml:space="preserve">1 </w:t>
            </w:r>
            <w:r w:rsidR="003C1E68">
              <w:t>OOS</w:t>
            </w:r>
            <w:r w:rsidRPr="000412A1">
              <w:t>: nil</w:t>
            </w:r>
          </w:p>
          <w:p w14:paraId="4F8758A3" w14:textId="018BC5C5" w:rsidR="005E3955" w:rsidRPr="000412A1" w:rsidRDefault="005E3955" w:rsidP="000E076D">
            <w:pPr>
              <w:pStyle w:val="Tabletext"/>
            </w:pPr>
            <w:r w:rsidRPr="000412A1">
              <w:t xml:space="preserve">2 </w:t>
            </w:r>
            <w:r w:rsidR="003C1E68">
              <w:t>OOS</w:t>
            </w:r>
            <w:r w:rsidRPr="000412A1">
              <w:t>: nil</w:t>
            </w:r>
          </w:p>
          <w:p w14:paraId="166048DF" w14:textId="6A2ED44E" w:rsidR="005E3955" w:rsidRPr="000412A1" w:rsidRDefault="005E3955" w:rsidP="000E076D">
            <w:pPr>
              <w:pStyle w:val="Tabletext"/>
            </w:pPr>
            <w:r w:rsidRPr="000412A1">
              <w:t xml:space="preserve">3+ </w:t>
            </w:r>
            <w:r w:rsidR="003C1E68">
              <w:t>OOS</w:t>
            </w:r>
            <w:r w:rsidRPr="000412A1">
              <w:t>: 0.04 QALYs</w:t>
            </w:r>
            <w:r>
              <w:t xml:space="preserve"> (MAT)</w:t>
            </w:r>
          </w:p>
        </w:tc>
        <w:tc>
          <w:tcPr>
            <w:tcW w:w="2294" w:type="dxa"/>
            <w:tcBorders>
              <w:top w:val="single" w:sz="4" w:space="0" w:color="auto"/>
              <w:left w:val="nil"/>
              <w:bottom w:val="single" w:sz="4" w:space="0" w:color="auto"/>
              <w:right w:val="nil"/>
            </w:tcBorders>
          </w:tcPr>
          <w:p w14:paraId="06D85CD2" w14:textId="77777777" w:rsidR="005E3955" w:rsidRPr="000412A1" w:rsidRDefault="005E3955" w:rsidP="000E076D">
            <w:pPr>
              <w:pStyle w:val="Tabletext"/>
            </w:pPr>
            <w:r w:rsidRPr="000412A1">
              <w:t xml:space="preserve">Analysis of </w:t>
            </w:r>
            <w:r>
              <w:t>hMDS</w:t>
            </w:r>
          </w:p>
        </w:tc>
        <w:tc>
          <w:tcPr>
            <w:tcW w:w="2254" w:type="dxa"/>
            <w:tcBorders>
              <w:top w:val="single" w:sz="4" w:space="0" w:color="auto"/>
              <w:left w:val="nil"/>
              <w:bottom w:val="single" w:sz="4" w:space="0" w:color="auto"/>
              <w:right w:val="nil"/>
            </w:tcBorders>
          </w:tcPr>
          <w:p w14:paraId="356D948B" w14:textId="2193A7F4" w:rsidR="005E3955" w:rsidRPr="000412A1" w:rsidRDefault="005E3955" w:rsidP="000E076D">
            <w:pPr>
              <w:pStyle w:val="Tabletext"/>
            </w:pPr>
            <w:r w:rsidRPr="000412A1">
              <w:t xml:space="preserve">2 </w:t>
            </w:r>
            <w:r w:rsidR="003C1E68">
              <w:t>OOS</w:t>
            </w:r>
            <w:r w:rsidRPr="000412A1">
              <w:t xml:space="preserve"> gives partial benefit (0.03 QALYs)</w:t>
            </w:r>
            <w:r>
              <w:t>;</w:t>
            </w:r>
          </w:p>
          <w:p w14:paraId="47E87170" w14:textId="389F04FF" w:rsidR="005E3955" w:rsidRDefault="005E3955" w:rsidP="000E076D">
            <w:pPr>
              <w:pStyle w:val="Tabletext"/>
            </w:pPr>
            <w:r>
              <w:t>MAT</w:t>
            </w:r>
            <w:r w:rsidRPr="000412A1">
              <w:t xml:space="preserve"> </w:t>
            </w:r>
            <w:r>
              <w:t xml:space="preserve">from </w:t>
            </w:r>
            <w:r w:rsidRPr="000412A1">
              <w:t>4</w:t>
            </w:r>
            <w:r>
              <w:t>+</w:t>
            </w:r>
            <w:r w:rsidRPr="000412A1">
              <w:t xml:space="preserve"> </w:t>
            </w:r>
            <w:r w:rsidR="003C1E68">
              <w:t>OOS</w:t>
            </w:r>
            <w:r>
              <w:t xml:space="preserve"> (</w:t>
            </w:r>
            <w:r w:rsidRPr="008146E8">
              <w:t>0.04</w:t>
            </w:r>
            <w:r>
              <w:t xml:space="preserve"> QALYs);</w:t>
            </w:r>
          </w:p>
          <w:p w14:paraId="3B54A077" w14:textId="076C0D8B" w:rsidR="005E3955" w:rsidRDefault="005E3955" w:rsidP="000E076D">
            <w:pPr>
              <w:pStyle w:val="Tabletext"/>
            </w:pPr>
            <w:r>
              <w:t xml:space="preserve">Treatment effect </w:t>
            </w:r>
            <w:r>
              <w:rPr>
                <w:rFonts w:cstheme="minorHAnsi"/>
              </w:rPr>
              <w:t>±</w:t>
            </w:r>
            <w:r>
              <w:t xml:space="preserve">20% in the ‘no </w:t>
            </w:r>
            <w:r w:rsidR="00FE2100">
              <w:t>headspace</w:t>
            </w:r>
            <w:r>
              <w:t>’ scenario;</w:t>
            </w:r>
          </w:p>
          <w:p w14:paraId="389CD9B6" w14:textId="77777777" w:rsidR="005E3955" w:rsidRPr="000412A1" w:rsidRDefault="005E3955" w:rsidP="000E076D">
            <w:pPr>
              <w:pStyle w:val="Tabletext"/>
            </w:pPr>
            <w:r>
              <w:t>Gains from MAT diminish over 5 years (</w:t>
            </w:r>
            <w:r w:rsidRPr="000A1070">
              <w:t>0.09</w:t>
            </w:r>
            <w:r>
              <w:t xml:space="preserve"> QALYs)</w:t>
            </w:r>
          </w:p>
        </w:tc>
      </w:tr>
      <w:tr w:rsidR="005E3955" w:rsidRPr="000412A1" w14:paraId="77EE926E" w14:textId="77777777" w:rsidTr="00590487">
        <w:tc>
          <w:tcPr>
            <w:tcW w:w="2254" w:type="dxa"/>
            <w:tcBorders>
              <w:top w:val="single" w:sz="4" w:space="0" w:color="auto"/>
              <w:left w:val="nil"/>
              <w:bottom w:val="single" w:sz="4" w:space="0" w:color="auto"/>
              <w:right w:val="nil"/>
            </w:tcBorders>
          </w:tcPr>
          <w:p w14:paraId="1150287C" w14:textId="478F7DCF" w:rsidR="005E3955" w:rsidRPr="000412A1" w:rsidRDefault="005E3955" w:rsidP="000E076D">
            <w:pPr>
              <w:pStyle w:val="Tabletext"/>
            </w:pPr>
            <w:r>
              <w:t xml:space="preserve">Cost per </w:t>
            </w:r>
            <w:r w:rsidR="003C1E68">
              <w:t>OOS</w:t>
            </w:r>
          </w:p>
        </w:tc>
        <w:tc>
          <w:tcPr>
            <w:tcW w:w="2254" w:type="dxa"/>
            <w:tcBorders>
              <w:top w:val="single" w:sz="4" w:space="0" w:color="auto"/>
              <w:left w:val="nil"/>
              <w:bottom w:val="single" w:sz="4" w:space="0" w:color="auto"/>
              <w:right w:val="nil"/>
            </w:tcBorders>
          </w:tcPr>
          <w:p w14:paraId="4B2DD3D2" w14:textId="77777777" w:rsidR="005E3955" w:rsidRDefault="005E3955" w:rsidP="000E076D">
            <w:pPr>
              <w:pStyle w:val="Tabletext"/>
            </w:pPr>
            <w:r>
              <w:t>headspace: $230</w:t>
            </w:r>
          </w:p>
          <w:p w14:paraId="3823F0A9" w14:textId="77777777" w:rsidR="005E3955" w:rsidRDefault="005E3955" w:rsidP="000E076D">
            <w:pPr>
              <w:pStyle w:val="Tabletext"/>
            </w:pPr>
            <w:r>
              <w:t>No headspace: $116 (screening)</w:t>
            </w:r>
          </w:p>
          <w:p w14:paraId="55D46746" w14:textId="77777777" w:rsidR="005E3955" w:rsidRPr="000412A1" w:rsidRDefault="005E3955" w:rsidP="000E076D">
            <w:pPr>
              <w:pStyle w:val="Tabletext"/>
            </w:pPr>
            <w:r>
              <w:t>No headspace: $260 (treatment)</w:t>
            </w:r>
          </w:p>
        </w:tc>
        <w:tc>
          <w:tcPr>
            <w:tcW w:w="2294" w:type="dxa"/>
            <w:tcBorders>
              <w:top w:val="single" w:sz="4" w:space="0" w:color="auto"/>
              <w:left w:val="nil"/>
              <w:bottom w:val="single" w:sz="4" w:space="0" w:color="auto"/>
              <w:right w:val="nil"/>
            </w:tcBorders>
          </w:tcPr>
          <w:p w14:paraId="508AC723" w14:textId="77777777" w:rsidR="005E3955" w:rsidRDefault="005E3955" w:rsidP="000E076D">
            <w:pPr>
              <w:pStyle w:val="Tabletext"/>
            </w:pPr>
            <w:r>
              <w:t>Assumed proportion of headspace budget</w:t>
            </w:r>
          </w:p>
          <w:p w14:paraId="77067A54" w14:textId="77777777" w:rsidR="005E3955" w:rsidRDefault="005E3955" w:rsidP="000E076D">
            <w:pPr>
              <w:pStyle w:val="Tabletext"/>
            </w:pPr>
            <w:r>
              <w:t>Analysis of visit types</w:t>
            </w:r>
          </w:p>
          <w:p w14:paraId="4E8FE8F1" w14:textId="1F676D4D" w:rsidR="005E3955" w:rsidRPr="000412A1" w:rsidRDefault="00133DFF" w:rsidP="000E076D">
            <w:pPr>
              <w:pStyle w:val="Tabletext"/>
            </w:pPr>
            <w:r>
              <w:t>A</w:t>
            </w:r>
            <w:r w:rsidR="00FF7E0A">
              <w:t>ustralian Psychological Society</w:t>
            </w:r>
            <w:r w:rsidR="005E3955">
              <w:t xml:space="preserve"> 2020 National Schedule of Recommended Fees and item numbers for psychological services</w:t>
            </w:r>
            <w:r w:rsidR="00CC0438">
              <w:rPr>
                <w:rFonts w:ascii="ZWAdobeF" w:hAnsi="ZWAdobeF" w:cs="ZWAdobeF"/>
                <w:sz w:val="2"/>
                <w:szCs w:val="2"/>
              </w:rPr>
              <w:t>252F</w:t>
            </w:r>
            <w:r w:rsidR="005E3955">
              <w:rPr>
                <w:rStyle w:val="FootnoteReference"/>
                <w:szCs w:val="20"/>
              </w:rPr>
              <w:footnoteReference w:id="254"/>
            </w:r>
            <w:r w:rsidR="00BC7B5C">
              <w:t>.</w:t>
            </w:r>
          </w:p>
        </w:tc>
        <w:tc>
          <w:tcPr>
            <w:tcW w:w="2254" w:type="dxa"/>
            <w:tcBorders>
              <w:top w:val="single" w:sz="4" w:space="0" w:color="auto"/>
              <w:left w:val="nil"/>
              <w:bottom w:val="single" w:sz="4" w:space="0" w:color="auto"/>
              <w:right w:val="nil"/>
            </w:tcBorders>
          </w:tcPr>
          <w:p w14:paraId="01E84C48" w14:textId="77777777" w:rsidR="005E3955" w:rsidRDefault="005E3955" w:rsidP="000E076D">
            <w:pPr>
              <w:pStyle w:val="Tabletext"/>
            </w:pPr>
            <w:r>
              <w:t>headspace: $184, $276</w:t>
            </w:r>
          </w:p>
          <w:p w14:paraId="47C31AC1" w14:textId="77777777" w:rsidR="005E3955" w:rsidRDefault="005E3955" w:rsidP="000E076D">
            <w:pPr>
              <w:pStyle w:val="Tabletext"/>
            </w:pPr>
          </w:p>
          <w:p w14:paraId="22E64B97" w14:textId="77777777" w:rsidR="005E3955" w:rsidRPr="000412A1" w:rsidRDefault="005E3955" w:rsidP="000E076D">
            <w:pPr>
              <w:pStyle w:val="Tabletext"/>
            </w:pPr>
            <w:r>
              <w:t xml:space="preserve">No headspace: </w:t>
            </w:r>
            <w:r w:rsidRPr="0081629A">
              <w:t>$198</w:t>
            </w:r>
            <w:r>
              <w:t xml:space="preserve">, </w:t>
            </w:r>
            <w:r w:rsidRPr="0081629A">
              <w:t>$320</w:t>
            </w:r>
          </w:p>
        </w:tc>
      </w:tr>
      <w:tr w:rsidR="005E3955" w:rsidRPr="000412A1" w14:paraId="74004439" w14:textId="77777777" w:rsidTr="00590487">
        <w:tc>
          <w:tcPr>
            <w:tcW w:w="2254" w:type="dxa"/>
            <w:tcBorders>
              <w:top w:val="single" w:sz="4" w:space="0" w:color="auto"/>
              <w:left w:val="nil"/>
              <w:bottom w:val="single" w:sz="4" w:space="0" w:color="auto"/>
              <w:right w:val="nil"/>
            </w:tcBorders>
          </w:tcPr>
          <w:p w14:paraId="1674771B" w14:textId="77777777" w:rsidR="005E3955" w:rsidRPr="000412A1" w:rsidRDefault="005E3955" w:rsidP="000E076D">
            <w:pPr>
              <w:pStyle w:val="Tabletext"/>
            </w:pPr>
            <w:r>
              <w:t>Increase in probability of hospital admission in case of no MAT</w:t>
            </w:r>
          </w:p>
        </w:tc>
        <w:tc>
          <w:tcPr>
            <w:tcW w:w="2254" w:type="dxa"/>
            <w:tcBorders>
              <w:top w:val="single" w:sz="4" w:space="0" w:color="auto"/>
              <w:left w:val="nil"/>
              <w:bottom w:val="single" w:sz="4" w:space="0" w:color="auto"/>
              <w:right w:val="nil"/>
            </w:tcBorders>
          </w:tcPr>
          <w:p w14:paraId="0D0A0514" w14:textId="77777777" w:rsidR="005E3955" w:rsidRPr="000412A1" w:rsidRDefault="005E3955" w:rsidP="000E076D">
            <w:pPr>
              <w:pStyle w:val="Tabletext"/>
            </w:pPr>
            <w:r w:rsidRPr="00AE75F9">
              <w:t>0.08%</w:t>
            </w:r>
            <w:r>
              <w:t xml:space="preserve"> for those not receiving any treatment</w:t>
            </w:r>
          </w:p>
        </w:tc>
        <w:tc>
          <w:tcPr>
            <w:tcW w:w="2294" w:type="dxa"/>
            <w:tcBorders>
              <w:top w:val="single" w:sz="4" w:space="0" w:color="auto"/>
              <w:left w:val="nil"/>
              <w:bottom w:val="single" w:sz="4" w:space="0" w:color="auto"/>
              <w:right w:val="nil"/>
            </w:tcBorders>
          </w:tcPr>
          <w:p w14:paraId="54718191" w14:textId="3AF677DB" w:rsidR="005E3955" w:rsidRPr="000412A1" w:rsidRDefault="005E3955" w:rsidP="000E076D">
            <w:pPr>
              <w:pStyle w:val="Tabletext"/>
            </w:pPr>
            <w:r>
              <w:t xml:space="preserve">Analysis of </w:t>
            </w:r>
            <w:r w:rsidR="00FE2100">
              <w:t>headspace</w:t>
            </w:r>
            <w:r>
              <w:t xml:space="preserve"> data</w:t>
            </w:r>
          </w:p>
        </w:tc>
        <w:tc>
          <w:tcPr>
            <w:tcW w:w="2254" w:type="dxa"/>
            <w:tcBorders>
              <w:top w:val="single" w:sz="4" w:space="0" w:color="auto"/>
              <w:left w:val="nil"/>
              <w:bottom w:val="single" w:sz="4" w:space="0" w:color="auto"/>
              <w:right w:val="nil"/>
            </w:tcBorders>
          </w:tcPr>
          <w:p w14:paraId="21848573" w14:textId="5CDCD264" w:rsidR="005E3955" w:rsidRPr="000412A1" w:rsidRDefault="005E3955" w:rsidP="000E076D">
            <w:pPr>
              <w:pStyle w:val="Tabletext"/>
            </w:pPr>
            <w:r>
              <w:t xml:space="preserve">Probability also applied to those accessing 1 </w:t>
            </w:r>
            <w:r w:rsidR="003C1E68">
              <w:t>OOS</w:t>
            </w:r>
            <w:r>
              <w:t xml:space="preserve"> or 2 </w:t>
            </w:r>
            <w:r w:rsidR="003C1E68">
              <w:t>OOS</w:t>
            </w:r>
            <w:r>
              <w:t xml:space="preserve"> (not MAT)</w:t>
            </w:r>
          </w:p>
        </w:tc>
      </w:tr>
      <w:tr w:rsidR="005E3955" w:rsidRPr="000412A1" w14:paraId="1E6D5780" w14:textId="77777777" w:rsidTr="00590487">
        <w:tc>
          <w:tcPr>
            <w:tcW w:w="2254" w:type="dxa"/>
            <w:tcBorders>
              <w:top w:val="single" w:sz="4" w:space="0" w:color="auto"/>
              <w:left w:val="nil"/>
              <w:bottom w:val="single" w:sz="4" w:space="0" w:color="auto"/>
              <w:right w:val="nil"/>
            </w:tcBorders>
          </w:tcPr>
          <w:p w14:paraId="4946286E" w14:textId="77777777" w:rsidR="005E3955" w:rsidRPr="000412A1" w:rsidRDefault="005E3955" w:rsidP="000E076D">
            <w:pPr>
              <w:pStyle w:val="Tabletext"/>
            </w:pPr>
            <w:r>
              <w:t>Cost of hospitalisation due to mental health</w:t>
            </w:r>
          </w:p>
        </w:tc>
        <w:tc>
          <w:tcPr>
            <w:tcW w:w="2254" w:type="dxa"/>
            <w:tcBorders>
              <w:top w:val="single" w:sz="4" w:space="0" w:color="auto"/>
              <w:left w:val="nil"/>
              <w:bottom w:val="single" w:sz="4" w:space="0" w:color="auto"/>
              <w:right w:val="nil"/>
            </w:tcBorders>
          </w:tcPr>
          <w:p w14:paraId="2389E931" w14:textId="77777777" w:rsidR="005E3955" w:rsidRPr="000412A1" w:rsidRDefault="005E3955" w:rsidP="000E076D">
            <w:pPr>
              <w:pStyle w:val="Tabletext"/>
            </w:pPr>
            <w:r w:rsidRPr="00C63CF7">
              <w:t>$5,745</w:t>
            </w:r>
          </w:p>
        </w:tc>
        <w:tc>
          <w:tcPr>
            <w:tcW w:w="2294" w:type="dxa"/>
            <w:tcBorders>
              <w:top w:val="single" w:sz="4" w:space="0" w:color="auto"/>
              <w:left w:val="nil"/>
              <w:bottom w:val="single" w:sz="4" w:space="0" w:color="auto"/>
              <w:right w:val="nil"/>
            </w:tcBorders>
          </w:tcPr>
          <w:p w14:paraId="7CC3BF7C" w14:textId="5DD8E030" w:rsidR="005E3955" w:rsidRPr="000412A1" w:rsidRDefault="005E3955" w:rsidP="000E076D">
            <w:pPr>
              <w:pStyle w:val="Tabletext"/>
            </w:pPr>
            <w:r>
              <w:t>Weighted average of admissions data</w:t>
            </w:r>
            <w:r w:rsidR="00CC0438">
              <w:rPr>
                <w:rFonts w:ascii="ZWAdobeF" w:hAnsi="ZWAdobeF" w:cs="ZWAdobeF"/>
                <w:sz w:val="2"/>
                <w:szCs w:val="2"/>
              </w:rPr>
              <w:t>253F</w:t>
            </w:r>
            <w:r>
              <w:rPr>
                <w:rStyle w:val="FootnoteReference"/>
                <w:szCs w:val="20"/>
              </w:rPr>
              <w:footnoteReference w:id="255"/>
            </w:r>
          </w:p>
        </w:tc>
        <w:tc>
          <w:tcPr>
            <w:tcW w:w="2254" w:type="dxa"/>
            <w:tcBorders>
              <w:top w:val="single" w:sz="4" w:space="0" w:color="auto"/>
              <w:left w:val="nil"/>
              <w:bottom w:val="single" w:sz="4" w:space="0" w:color="auto"/>
              <w:right w:val="nil"/>
            </w:tcBorders>
          </w:tcPr>
          <w:p w14:paraId="7C95EB35" w14:textId="77777777" w:rsidR="005E3955" w:rsidRPr="000412A1" w:rsidRDefault="005E3955" w:rsidP="000E076D">
            <w:pPr>
              <w:pStyle w:val="Tabletext"/>
            </w:pPr>
            <w:r>
              <w:t>NA</w:t>
            </w:r>
          </w:p>
        </w:tc>
      </w:tr>
    </w:tbl>
    <w:p w14:paraId="0B0E8C69" w14:textId="5BE1EF46" w:rsidR="005E3955" w:rsidRDefault="005E3955" w:rsidP="00B942D8">
      <w:pPr>
        <w:pStyle w:val="Source"/>
      </w:pPr>
      <w:r w:rsidRPr="005603F9">
        <w:t xml:space="preserve">Note: </w:t>
      </w:r>
      <w:r w:rsidR="007B2863">
        <w:t>OOS</w:t>
      </w:r>
      <w:r w:rsidRPr="005603F9">
        <w:t>; MBS Medicare Benefits Schedule; QALY quality-adjusted life years; MAT minimum adequate treatment</w:t>
      </w:r>
      <w:r>
        <w:t>; NA not available</w:t>
      </w:r>
    </w:p>
    <w:p w14:paraId="207E4BF6" w14:textId="77777777" w:rsidR="0092290D" w:rsidRDefault="0092290D" w:rsidP="00B942D8">
      <w:pPr>
        <w:pStyle w:val="AppendixHeading3"/>
      </w:pPr>
      <w:r>
        <w:t>Sensitivity analyses</w:t>
      </w:r>
    </w:p>
    <w:p w14:paraId="2834E0DA" w14:textId="77777777" w:rsidR="0092290D" w:rsidRDefault="0092290D" w:rsidP="00B942D8">
      <w:pPr>
        <w:pStyle w:val="BodyText"/>
      </w:pPr>
      <w:r>
        <w:t>The economic evaluation included several sensitivity analyses to explore how changes in the value of the key parameters and inputs impact the main results of the cost-effectiveness analysis. This is done in response to the uncertainties related to the imperfect data made available to this evaluation.</w:t>
      </w:r>
    </w:p>
    <w:p w14:paraId="0FA2E5C9" w14:textId="77777777" w:rsidR="0092290D" w:rsidRDefault="0092290D" w:rsidP="00B942D8">
      <w:pPr>
        <w:pStyle w:val="BodyText"/>
      </w:pPr>
      <w:r>
        <w:t>The following model approaches and assumptions are varied in sensitivity analyses to explore their impact on the results of the economic evaluation:</w:t>
      </w:r>
    </w:p>
    <w:p w14:paraId="77561AA5" w14:textId="77777777" w:rsidR="0092290D" w:rsidRDefault="0092290D" w:rsidP="00BC7B5C">
      <w:pPr>
        <w:pStyle w:val="Bullet1stlevel"/>
      </w:pPr>
      <w:r>
        <w:t>The proportion of current headspace patients that would be receiving treatment in the ‘no headspace scenario between zero and 20 per cent. This value was 10 per cent in the base case analysis.</w:t>
      </w:r>
    </w:p>
    <w:p w14:paraId="3D4928D9" w14:textId="4E88C1EE" w:rsidR="0092290D" w:rsidRDefault="0092290D" w:rsidP="00BC7B5C">
      <w:pPr>
        <w:pStyle w:val="Bullet1stlevel"/>
      </w:pPr>
      <w:r>
        <w:t>The p</w:t>
      </w:r>
      <w:r w:rsidRPr="000F374D">
        <w:t xml:space="preserve">roportion of </w:t>
      </w:r>
      <w:r>
        <w:t>headspace</w:t>
      </w:r>
      <w:r w:rsidRPr="000F374D">
        <w:t xml:space="preserve"> budgets attributable to </w:t>
      </w:r>
      <w:r>
        <w:t>treatment</w:t>
      </w:r>
      <w:r w:rsidRPr="000F374D">
        <w:t xml:space="preserve"> provision</w:t>
      </w:r>
      <w:r>
        <w:t xml:space="preserve"> between 60 and 90 per cent. This value was 75 per cent in the base case analysis.</w:t>
      </w:r>
    </w:p>
    <w:p w14:paraId="3AB0DEE1" w14:textId="641D7AA3" w:rsidR="0092290D" w:rsidRDefault="0092290D" w:rsidP="00BC7B5C">
      <w:pPr>
        <w:pStyle w:val="Bullet1stlevel"/>
      </w:pPr>
      <w:r>
        <w:t xml:space="preserve">Extrapolation of treatment benefits over </w:t>
      </w:r>
      <w:r w:rsidR="005567A1">
        <w:t xml:space="preserve">five </w:t>
      </w:r>
      <w:r>
        <w:t>years assuming 50 per cent annual benefit decay rate and applying a discount factor</w:t>
      </w:r>
      <w:r w:rsidR="00CC0438">
        <w:rPr>
          <w:rFonts w:ascii="ZWAdobeF" w:hAnsi="ZWAdobeF" w:cs="ZWAdobeF"/>
          <w:sz w:val="2"/>
          <w:szCs w:val="2"/>
        </w:rPr>
        <w:t>254F</w:t>
      </w:r>
      <w:r>
        <w:rPr>
          <w:rStyle w:val="FootnoteReference"/>
        </w:rPr>
        <w:footnoteReference w:id="256"/>
      </w:r>
      <w:r w:rsidR="00BC7B5C">
        <w:t>.</w:t>
      </w:r>
      <w:r>
        <w:t xml:space="preserve"> This value was 12 months </w:t>
      </w:r>
      <w:r w:rsidR="002B5683">
        <w:t>decreasing linearly</w:t>
      </w:r>
      <w:r>
        <w:t xml:space="preserve"> in the base case analysis.</w:t>
      </w:r>
    </w:p>
    <w:p w14:paraId="2E63339C" w14:textId="59F699F4" w:rsidR="0092290D" w:rsidRDefault="0092290D" w:rsidP="00BC7B5C">
      <w:pPr>
        <w:pStyle w:val="Bullet1stlevel"/>
      </w:pPr>
      <w:r>
        <w:t xml:space="preserve">MAT achieved after four or more </w:t>
      </w:r>
      <w:r w:rsidR="003C1E68">
        <w:t>OOS</w:t>
      </w:r>
      <w:r w:rsidR="00CC0438">
        <w:rPr>
          <w:rFonts w:ascii="ZWAdobeF" w:hAnsi="ZWAdobeF" w:cs="ZWAdobeF"/>
          <w:sz w:val="2"/>
          <w:szCs w:val="2"/>
        </w:rPr>
        <w:t>255F</w:t>
      </w:r>
      <w:r w:rsidRPr="005A0144">
        <w:rPr>
          <w:rStyle w:val="FootnoteReference"/>
        </w:rPr>
        <w:footnoteReference w:id="257"/>
      </w:r>
      <w:r w:rsidR="00BC7B5C" w:rsidRPr="00BC7B5C">
        <w:t>.</w:t>
      </w:r>
      <w:r>
        <w:t xml:space="preserve"> The base case analysis assumed MAT was achieved after three or more </w:t>
      </w:r>
      <w:r w:rsidR="003C1E68">
        <w:t>OOS</w:t>
      </w:r>
      <w:r>
        <w:t>.</w:t>
      </w:r>
    </w:p>
    <w:p w14:paraId="2EBFA14B" w14:textId="77777777" w:rsidR="0092290D" w:rsidRDefault="0092290D" w:rsidP="00BC7B5C">
      <w:pPr>
        <w:pStyle w:val="Bullet1stlevel"/>
      </w:pPr>
      <w:r>
        <w:t>Improvements to mental health outcomes are not adjusted for RTM. In the base case, RTM was accounted for.</w:t>
      </w:r>
    </w:p>
    <w:p w14:paraId="089B87E0" w14:textId="77777777" w:rsidR="0092290D" w:rsidRDefault="0092290D" w:rsidP="00BC7B5C">
      <w:pPr>
        <w:pStyle w:val="Bullet1stlevel"/>
      </w:pPr>
      <w:r>
        <w:t>The effectiveness of services provided outside headspace are assumed to be either 20 per cent more effective or less effective than equivalent headspace services. The base case assumes equal effectiveness.</w:t>
      </w:r>
    </w:p>
    <w:p w14:paraId="51B856BE" w14:textId="07791203" w:rsidR="0092290D" w:rsidRDefault="0092290D" w:rsidP="00BC7B5C">
      <w:pPr>
        <w:pStyle w:val="Bullet1stlevel"/>
      </w:pPr>
      <w:r>
        <w:t xml:space="preserve">An </w:t>
      </w:r>
      <w:r w:rsidR="00080644">
        <w:t>EOC</w:t>
      </w:r>
      <w:r>
        <w:t xml:space="preserve"> with only two </w:t>
      </w:r>
      <w:r w:rsidR="003C1E68">
        <w:t>OOS</w:t>
      </w:r>
      <w:r>
        <w:t xml:space="preserve"> gives a partial improvement to mental health outcomes. The base case assumed there were no benefit.</w:t>
      </w:r>
    </w:p>
    <w:p w14:paraId="27E4A3F9" w14:textId="647CFE34" w:rsidR="0092290D" w:rsidRDefault="0092290D" w:rsidP="00BC7B5C">
      <w:pPr>
        <w:pStyle w:val="Bullet1stlevel"/>
      </w:pPr>
      <w:r>
        <w:t xml:space="preserve">Fees for each </w:t>
      </w:r>
      <w:r w:rsidR="003C1E68">
        <w:t>OOS</w:t>
      </w:r>
      <w:r>
        <w:t xml:space="preserve"> delivered outside of headspace were set higher (at $320 per </w:t>
      </w:r>
      <w:r w:rsidR="003C1E68">
        <w:t>OOS</w:t>
      </w:r>
      <w:r>
        <w:t xml:space="preserve">) or lower ($198 per </w:t>
      </w:r>
      <w:r w:rsidR="003C1E68">
        <w:t>OOS</w:t>
      </w:r>
      <w:r>
        <w:t>). This was based on the 2020 A</w:t>
      </w:r>
      <w:r w:rsidR="00FF7E0A">
        <w:t>ustralian Psychological Society</w:t>
      </w:r>
      <w:r>
        <w:t xml:space="preserve"> national schedule of recommended fees and item numbers for psychological services</w:t>
      </w:r>
      <w:r w:rsidR="00CC0438">
        <w:rPr>
          <w:rFonts w:ascii="ZWAdobeF" w:hAnsi="ZWAdobeF" w:cs="ZWAdobeF"/>
          <w:sz w:val="2"/>
          <w:szCs w:val="2"/>
        </w:rPr>
        <w:t>256F</w:t>
      </w:r>
      <w:r>
        <w:rPr>
          <w:rStyle w:val="FootnoteReference"/>
        </w:rPr>
        <w:footnoteReference w:id="258"/>
      </w:r>
      <w:r w:rsidR="00BC7B5C">
        <w:t>.</w:t>
      </w:r>
      <w:r>
        <w:t xml:space="preserve"> The base case analysis assumed $260 per </w:t>
      </w:r>
      <w:r w:rsidR="003C1E68">
        <w:t>OOS</w:t>
      </w:r>
      <w:r>
        <w:t>.</w:t>
      </w:r>
    </w:p>
    <w:p w14:paraId="09733EFC" w14:textId="77777777" w:rsidR="0092290D" w:rsidRDefault="0092290D" w:rsidP="00BC7B5C">
      <w:pPr>
        <w:pStyle w:val="Bullet1stlevel"/>
      </w:pPr>
      <w:r>
        <w:t>Evaluation from the payer perspective only, excluding patient out-of-pocket costs. In the base case, out-of-pocket costs were included.</w:t>
      </w:r>
    </w:p>
    <w:p w14:paraId="2543ED84" w14:textId="11F4B032" w:rsidR="0092290D" w:rsidRDefault="0092290D" w:rsidP="00BC7B5C">
      <w:pPr>
        <w:pStyle w:val="Bullet1stlevel"/>
      </w:pPr>
      <w:r>
        <w:t xml:space="preserve">Any </w:t>
      </w:r>
      <w:r w:rsidR="00080644">
        <w:t>EOC</w:t>
      </w:r>
      <w:r>
        <w:t xml:space="preserve"> that did not deliver MAT results in an increased risk of hospital admission. In the base case, </w:t>
      </w:r>
      <w:r w:rsidR="00502F3E">
        <w:t xml:space="preserve">only receiving no treatment at all </w:t>
      </w:r>
      <w:r>
        <w:t xml:space="preserve">increased risk of hospital admission. </w:t>
      </w:r>
    </w:p>
    <w:p w14:paraId="58D059F7" w14:textId="0208351A" w:rsidR="003F34AA" w:rsidRDefault="003F34AA" w:rsidP="00E17E92">
      <w:pPr>
        <w:pStyle w:val="AppendixHeading3"/>
      </w:pPr>
      <w:r>
        <w:t>Limitations</w:t>
      </w:r>
    </w:p>
    <w:p w14:paraId="17D1F607" w14:textId="77777777" w:rsidR="00C42CA0" w:rsidRDefault="00C42CA0" w:rsidP="00C42CA0">
      <w:r>
        <w:t>This section identifies the key limitations of the economic evaluation. These limitations centre around the scope of the economic evaluation and the approaches to cost and outcome</w:t>
      </w:r>
      <w:r w:rsidRPr="003C4667">
        <w:t xml:space="preserve"> </w:t>
      </w:r>
      <w:r>
        <w:t xml:space="preserve">estimation. The limitations in evaluation design and methods stem from the imperfect data available to evaluators. Where possible, sensitivity analyses were performed to reduce uncertainties related to this. </w:t>
      </w:r>
    </w:p>
    <w:p w14:paraId="6CD8317F" w14:textId="4CA76666" w:rsidR="00C42CA0" w:rsidRPr="00D1540D" w:rsidRDefault="00C42CA0" w:rsidP="00E17E92">
      <w:pPr>
        <w:pStyle w:val="Heading4"/>
      </w:pPr>
      <w:r>
        <w:t xml:space="preserve">Understanding </w:t>
      </w:r>
      <w:r w:rsidR="00FE2100">
        <w:t>headspace</w:t>
      </w:r>
      <w:r>
        <w:t xml:space="preserve"> funding and costs</w:t>
      </w:r>
    </w:p>
    <w:p w14:paraId="3CEFD5DD" w14:textId="66CE829A" w:rsidR="00C42CA0" w:rsidRDefault="00C42CA0" w:rsidP="00C42CA0">
      <w:r>
        <w:t xml:space="preserve">The hMDS dataset collates information about funding sources such as the </w:t>
      </w:r>
      <w:r w:rsidR="00FE2100">
        <w:t>headspace</w:t>
      </w:r>
      <w:r>
        <w:t xml:space="preserve"> grant, PHN funding agreements, in-kind contributions, and the MBS. However, indirect costs not funded from the national </w:t>
      </w:r>
      <w:r w:rsidR="00FE2100">
        <w:t>headspace</w:t>
      </w:r>
      <w:r>
        <w:t xml:space="preserve"> grant remain undetermined due to the low response rate to cost specific questions of the service survey and the large variation in amounts reported from the responses. Given that, the full cost of delivering </w:t>
      </w:r>
      <w:r w:rsidR="00FE2100">
        <w:t>headspace</w:t>
      </w:r>
      <w:r>
        <w:t xml:space="preserve"> activity may be underestimated.</w:t>
      </w:r>
    </w:p>
    <w:p w14:paraId="57EC5B85" w14:textId="181DE82E" w:rsidR="00C42CA0" w:rsidRDefault="00C42CA0" w:rsidP="00C42CA0">
      <w:r>
        <w:t>There is no definitive source to determine the amount of funding allocated to specific types of activities</w:t>
      </w:r>
      <w:r w:rsidRPr="00B664E3">
        <w:t xml:space="preserve"> </w:t>
      </w:r>
      <w:r>
        <w:t xml:space="preserve">and there are inconsistencies in cost definitions across services. The </w:t>
      </w:r>
      <w:r w:rsidR="00D30CA0">
        <w:t>d</w:t>
      </w:r>
      <w:r>
        <w:t xml:space="preserve">epartment records on the national </w:t>
      </w:r>
      <w:r w:rsidR="00FE2100">
        <w:t>headspace</w:t>
      </w:r>
      <w:r>
        <w:t xml:space="preserve"> grant do not separate service provision and indirect costs. In order to determine the costs of delivering treatment, the evaluation relied on an assumed proportion of the </w:t>
      </w:r>
      <w:r w:rsidR="00FE2100">
        <w:t>headspace</w:t>
      </w:r>
      <w:r>
        <w:t xml:space="preserve"> budgets being allocated to delivering OOS. The assumption was informed by a deep dive analysis of selected </w:t>
      </w:r>
      <w:r w:rsidR="00FE2100">
        <w:t>headspace</w:t>
      </w:r>
      <w:r>
        <w:t xml:space="preserve"> services. </w:t>
      </w:r>
    </w:p>
    <w:p w14:paraId="217FEE29" w14:textId="77777777" w:rsidR="00C42CA0" w:rsidRPr="00D1540D" w:rsidRDefault="00C42CA0" w:rsidP="00E17E92">
      <w:pPr>
        <w:pStyle w:val="Heading4"/>
      </w:pPr>
      <w:r>
        <w:t>E</w:t>
      </w:r>
      <w:r w:rsidRPr="00D1540D">
        <w:t>stimation</w:t>
      </w:r>
      <w:r>
        <w:t xml:space="preserve"> of incremental benefits</w:t>
      </w:r>
    </w:p>
    <w:p w14:paraId="43E06380" w14:textId="4E60F22B" w:rsidR="00C42CA0" w:rsidRDefault="00C42CA0" w:rsidP="00C42CA0">
      <w:r>
        <w:t>QALY was used as the measure of health outcomes in the cost-effectiveness analysis. The main challenges of this approach related the lack of a head-to-head control group, the methods for conversion of K10 scores to QALYs not validated in the youth population (noting that the instrument and method are validated in the adult population) and repeated measures not following up for the full duration of benefit. The evaluation addressed those by adjusting for regression to the mean and extrapolating benefits beyond the observed data based on assumptions of benefit duration. Robust analytical methods were applied to enable this, and sensitivity analyses performed to explore any remaining uncertainty.</w:t>
      </w:r>
    </w:p>
    <w:p w14:paraId="1255FFB7" w14:textId="77777777" w:rsidR="00A97F75" w:rsidRDefault="00A97F75" w:rsidP="00E17E92">
      <w:pPr>
        <w:pStyle w:val="Heading4"/>
      </w:pPr>
      <w:r w:rsidRPr="0000068A">
        <w:t>Wider societal benefits</w:t>
      </w:r>
    </w:p>
    <w:p w14:paraId="083FDDA2" w14:textId="57FA7087" w:rsidR="00C42CA0" w:rsidRPr="00CB0003" w:rsidRDefault="00C42CA0" w:rsidP="00C42CA0">
      <w:r>
        <w:t xml:space="preserve">The evaluation focuses on those activities and outcomes of </w:t>
      </w:r>
      <w:r w:rsidR="00FE2100">
        <w:t>headspace</w:t>
      </w:r>
      <w:r>
        <w:t xml:space="preserve"> activity that were possible to be quantified and modelled. </w:t>
      </w:r>
      <w:r w:rsidRPr="00A72295">
        <w:t xml:space="preserve">It is acknowledged that </w:t>
      </w:r>
      <w:r w:rsidR="00FE2100">
        <w:t>headspace</w:t>
      </w:r>
      <w:r w:rsidRPr="00A72295">
        <w:t>, as an early intervention targeting mental illness</w:t>
      </w:r>
      <w:r>
        <w:t>,</w:t>
      </w:r>
      <w:r w:rsidRPr="00A72295">
        <w:t xml:space="preserve"> may lead to </w:t>
      </w:r>
      <w:r>
        <w:t xml:space="preserve">additional </w:t>
      </w:r>
      <w:r w:rsidRPr="00A72295">
        <w:t>cost</w:t>
      </w:r>
      <w:r>
        <w:t>-</w:t>
      </w:r>
      <w:r w:rsidRPr="00A72295">
        <w:t xml:space="preserve">savings to </w:t>
      </w:r>
      <w:r>
        <w:t>the healthcare system</w:t>
      </w:r>
      <w:r w:rsidRPr="00A72295">
        <w:t xml:space="preserve"> and </w:t>
      </w:r>
      <w:r>
        <w:t xml:space="preserve">benefits to the </w:t>
      </w:r>
      <w:r w:rsidRPr="00A72295">
        <w:t>wider societ</w:t>
      </w:r>
      <w:r>
        <w:t>y</w:t>
      </w:r>
      <w:r w:rsidRPr="00A72295">
        <w:t xml:space="preserve"> </w:t>
      </w:r>
      <w:r>
        <w:t>by providing services other than treatment and promoting mental health wellbeing.</w:t>
      </w:r>
      <w:r w:rsidR="0086326E">
        <w:t xml:space="preserve"> The evaluation addressed this by </w:t>
      </w:r>
      <w:r w:rsidR="007348ED">
        <w:t>providing a clear definition of benefits in scope for the economic evaluation.</w:t>
      </w:r>
    </w:p>
    <w:p w14:paraId="152654A4" w14:textId="77777777" w:rsidR="00C42CA0" w:rsidRPr="009B24EF" w:rsidRDefault="00C42CA0" w:rsidP="00E17E92">
      <w:pPr>
        <w:pStyle w:val="Heading4"/>
      </w:pPr>
      <w:r w:rsidRPr="009B24EF">
        <w:t>Consequences other than hospitalisation</w:t>
      </w:r>
    </w:p>
    <w:p w14:paraId="7A89C14F" w14:textId="77777777" w:rsidR="00C42CA0" w:rsidRDefault="00C42CA0" w:rsidP="00C42CA0">
      <w:r>
        <w:t xml:space="preserve">The evaluation equates the implications of not receiving treatment to the expected cost of consequent hospital admissions. The actual consequences may be broader and include impacts on health and productivity that were not possible to be modelled. </w:t>
      </w:r>
    </w:p>
    <w:p w14:paraId="467D2D05" w14:textId="134EA4D7" w:rsidR="00E02C03" w:rsidRPr="00503EF7" w:rsidRDefault="000652D7" w:rsidP="000652D7">
      <w:pPr>
        <w:pStyle w:val="Appendixheading"/>
      </w:pPr>
      <w:bookmarkStart w:id="443" w:name="_Toc108174005"/>
      <w:r>
        <w:t xml:space="preserve">: </w:t>
      </w:r>
      <w:r w:rsidR="00E464AD">
        <w:t>Reference List</w:t>
      </w:r>
      <w:bookmarkEnd w:id="443"/>
    </w:p>
    <w:p w14:paraId="0F512CF8" w14:textId="1824D873" w:rsidR="00A852CA" w:rsidRPr="005C2DF8" w:rsidRDefault="006E2413" w:rsidP="000F5672">
      <w:pPr>
        <w:pStyle w:val="AppendixHeading2"/>
      </w:pPr>
      <w:r w:rsidRPr="007A7E5F">
        <w:t>Article / report / paper</w:t>
      </w:r>
    </w:p>
    <w:p w14:paraId="09A12E3A" w14:textId="7CBBE5DA" w:rsidR="004220EE" w:rsidRDefault="004220EE" w:rsidP="006E2413">
      <w:pPr>
        <w:pStyle w:val="BodyText"/>
      </w:pPr>
      <w:r w:rsidRPr="004220EE">
        <w:t>Australian Government (2020), Closing the Gap National Agreement Preamble, viewed 4 July 2022, &lt;</w:t>
      </w:r>
      <w:hyperlink r:id="rId94" w:history="1">
        <w:r w:rsidRPr="0091720B">
          <w:rPr>
            <w:rStyle w:val="Hyperlink"/>
          </w:rPr>
          <w:t>https://www.closingthegap.gov.au/national-agreement/national-agreement-closing-the-gap/1-preamble</w:t>
        </w:r>
      </w:hyperlink>
      <w:r w:rsidRPr="004220EE">
        <w:t>&gt;.</w:t>
      </w:r>
    </w:p>
    <w:p w14:paraId="6EC43AD1" w14:textId="0C0DD496" w:rsidR="00121A58" w:rsidRDefault="00121A58" w:rsidP="006E2413">
      <w:pPr>
        <w:pStyle w:val="BodyText"/>
      </w:pPr>
      <w:r>
        <w:t>Australian Government (2020), Closing the Gap Report, viewed 4 July 2022 &lt;</w:t>
      </w:r>
      <w:hyperlink r:id="rId95" w:history="1">
        <w:r w:rsidRPr="006C749C">
          <w:rPr>
            <w:rStyle w:val="Hyperlink"/>
          </w:rPr>
          <w:t>https://ctgreport.niaa.gov.au/sites/default/files/pdf/closing-the-gap-report-2020.pdf</w:t>
        </w:r>
      </w:hyperlink>
      <w:r>
        <w:t>&gt;.</w:t>
      </w:r>
    </w:p>
    <w:p w14:paraId="02E051EE" w14:textId="539B9897" w:rsidR="005417E6" w:rsidRDefault="005417E6" w:rsidP="006E2413">
      <w:pPr>
        <w:pStyle w:val="BodyText"/>
        <w:rPr>
          <w:szCs w:val="20"/>
        </w:rPr>
      </w:pPr>
      <w:r w:rsidRPr="005417E6">
        <w:rPr>
          <w:szCs w:val="20"/>
        </w:rPr>
        <w:t xml:space="preserve">Australian Institute of Health and Welfare (2020). People with disability in Australia, </w:t>
      </w:r>
      <w:r w:rsidR="001C71B6">
        <w:rPr>
          <w:szCs w:val="20"/>
        </w:rPr>
        <w:t>view</w:t>
      </w:r>
      <w:r w:rsidRPr="005417E6">
        <w:rPr>
          <w:szCs w:val="20"/>
        </w:rPr>
        <w:t xml:space="preserve">ed </w:t>
      </w:r>
      <w:r w:rsidR="001C71B6">
        <w:rPr>
          <w:szCs w:val="20"/>
        </w:rPr>
        <w:t xml:space="preserve">4 July </w:t>
      </w:r>
      <w:r w:rsidR="00657BC7">
        <w:rPr>
          <w:szCs w:val="20"/>
        </w:rPr>
        <w:t>2022,</w:t>
      </w:r>
      <w:r w:rsidRPr="005417E6">
        <w:rPr>
          <w:szCs w:val="20"/>
        </w:rPr>
        <w:t xml:space="preserve"> </w:t>
      </w:r>
      <w:r w:rsidR="003D4025">
        <w:rPr>
          <w:szCs w:val="20"/>
        </w:rPr>
        <w:t>&lt;</w:t>
      </w:r>
      <w:hyperlink r:id="rId96" w:history="1">
        <w:r w:rsidR="00F82535" w:rsidRPr="0091720B">
          <w:rPr>
            <w:rStyle w:val="Hyperlink"/>
          </w:rPr>
          <w:t>https://www.aihw.gov.au/reports/disability/people-with-disability-in-australia/contents/health/access-to-health-services</w:t>
        </w:r>
      </w:hyperlink>
      <w:r w:rsidR="003D4025">
        <w:rPr>
          <w:szCs w:val="20"/>
        </w:rPr>
        <w:t>&gt;.</w:t>
      </w:r>
    </w:p>
    <w:p w14:paraId="3836DD51" w14:textId="2A101D6E" w:rsidR="006E2413" w:rsidRPr="001B0E1F" w:rsidRDefault="006E2413" w:rsidP="006E2413">
      <w:pPr>
        <w:pStyle w:val="BodyText"/>
        <w:rPr>
          <w:rStyle w:val="Hyperlink"/>
          <w:szCs w:val="20"/>
          <w:u w:val="none"/>
        </w:rPr>
      </w:pPr>
      <w:r w:rsidRPr="005D3B45">
        <w:rPr>
          <w:szCs w:val="20"/>
        </w:rPr>
        <w:t xml:space="preserve">Barnett, AG, van der Pols, JC &amp; Dobson, AJ 2004, ‘Regression to the mean: what it is and how to deal with it’, </w:t>
      </w:r>
      <w:r w:rsidRPr="005D3B45">
        <w:rPr>
          <w:i/>
          <w:iCs/>
          <w:szCs w:val="20"/>
        </w:rPr>
        <w:t>International Journal of Epidemiology</w:t>
      </w:r>
      <w:r w:rsidRPr="005D3B45">
        <w:rPr>
          <w:szCs w:val="20"/>
        </w:rPr>
        <w:t>, vol. 34, no. 1, pp. 215–220</w:t>
      </w:r>
      <w:r w:rsidR="00E43522">
        <w:rPr>
          <w:szCs w:val="20"/>
        </w:rPr>
        <w:t>.</w:t>
      </w:r>
    </w:p>
    <w:p w14:paraId="348D17AB" w14:textId="6CF466C0" w:rsidR="004052AE" w:rsidRPr="004052AE" w:rsidRDefault="004052AE" w:rsidP="007C0E92">
      <w:pPr>
        <w:pStyle w:val="BodyText"/>
        <w:rPr>
          <w:rFonts w:cs="Calibri"/>
          <w:szCs w:val="20"/>
        </w:rPr>
      </w:pPr>
      <w:r w:rsidRPr="00A04D83">
        <w:rPr>
          <w:rFonts w:cs="Calibri"/>
          <w:szCs w:val="20"/>
        </w:rPr>
        <w:t>Brinckley, MM., Calabria, B., Walker, J. </w:t>
      </w:r>
      <w:r w:rsidRPr="00A04D83">
        <w:rPr>
          <w:rFonts w:cs="Calibri"/>
          <w:i/>
          <w:iCs/>
          <w:color w:val="333333"/>
          <w:szCs w:val="20"/>
          <w:shd w:val="clear" w:color="auto" w:fill="FFFFFF"/>
        </w:rPr>
        <w:t>et al.</w:t>
      </w:r>
      <w:r w:rsidRPr="00A04D83">
        <w:rPr>
          <w:rFonts w:cs="Calibri"/>
          <w:szCs w:val="20"/>
        </w:rPr>
        <w:t> (2021), Reliability, validity, and clinical utility of a culturally modified Kessler scale (MK-K5) in the Aboriginal and Torres Strait Islander population. </w:t>
      </w:r>
      <w:r w:rsidRPr="00A04D83">
        <w:rPr>
          <w:rFonts w:cs="Calibri"/>
          <w:i/>
          <w:iCs/>
          <w:color w:val="333333"/>
          <w:szCs w:val="20"/>
          <w:shd w:val="clear" w:color="auto" w:fill="FFFFFF"/>
        </w:rPr>
        <w:t>BMC Public Health</w:t>
      </w:r>
      <w:r w:rsidRPr="00A04D83">
        <w:rPr>
          <w:rFonts w:cs="Calibri"/>
          <w:szCs w:val="20"/>
        </w:rPr>
        <w:t> </w:t>
      </w:r>
      <w:r w:rsidRPr="002C5E4E">
        <w:rPr>
          <w:rFonts w:cs="Calibri"/>
          <w:color w:val="333333"/>
          <w:szCs w:val="20"/>
          <w:shd w:val="clear" w:color="auto" w:fill="FFFFFF"/>
        </w:rPr>
        <w:t>21,</w:t>
      </w:r>
      <w:r w:rsidRPr="00A04D83">
        <w:rPr>
          <w:rFonts w:cs="Calibri"/>
          <w:b/>
          <w:bCs/>
          <w:color w:val="333333"/>
          <w:szCs w:val="20"/>
          <w:shd w:val="clear" w:color="auto" w:fill="FFFFFF"/>
        </w:rPr>
        <w:t> </w:t>
      </w:r>
      <w:r w:rsidRPr="00A04D83">
        <w:rPr>
          <w:rFonts w:cs="Calibri"/>
          <w:szCs w:val="20"/>
        </w:rPr>
        <w:t>1111.</w:t>
      </w:r>
    </w:p>
    <w:p w14:paraId="2BD5413F" w14:textId="4CFD497D" w:rsidR="007C0E92" w:rsidRDefault="007C0E92" w:rsidP="007C0E92">
      <w:pPr>
        <w:pStyle w:val="BodyText"/>
        <w:rPr>
          <w:szCs w:val="20"/>
        </w:rPr>
      </w:pPr>
      <w:r>
        <w:t xml:space="preserve">Commonwealth of Australia, as represented by the Department of Health 2021, </w:t>
      </w:r>
      <w:r w:rsidRPr="004568F0">
        <w:rPr>
          <w:i/>
          <w:iCs/>
        </w:rPr>
        <w:t xml:space="preserve">Portfolio Budget Statements 2021–22 Budget Related Paper No. 1.7, </w:t>
      </w:r>
      <w:r>
        <w:t>Viewed 6 August 2021,&lt;</w:t>
      </w:r>
      <w:hyperlink r:id="rId97" w:history="1">
        <w:r w:rsidRPr="00972704">
          <w:rPr>
            <w:rStyle w:val="Hyperlink"/>
          </w:rPr>
          <w:t>budget-2021-22-portfolio-budget-statements-budget-2021-22-health-portfolio-budget-statements.pdf</w:t>
        </w:r>
      </w:hyperlink>
      <w:r>
        <w:rPr>
          <w:rStyle w:val="Hyperlink"/>
        </w:rPr>
        <w:t>&gt;</w:t>
      </w:r>
      <w:r w:rsidR="003D4025">
        <w:rPr>
          <w:rStyle w:val="Hyperlink"/>
        </w:rPr>
        <w:t>.</w:t>
      </w:r>
      <w:r w:rsidR="00730B4D">
        <w:rPr>
          <w:rStyle w:val="Hyperlink"/>
          <w:u w:val="none"/>
        </w:rPr>
        <w:t xml:space="preserve"> </w:t>
      </w:r>
    </w:p>
    <w:p w14:paraId="2F34D90B" w14:textId="2BF91E26" w:rsidR="006E2413" w:rsidRPr="008A2492" w:rsidRDefault="006E2413" w:rsidP="006E2413">
      <w:pPr>
        <w:pStyle w:val="BodyText"/>
        <w:rPr>
          <w:rStyle w:val="Hyperlink"/>
          <w:szCs w:val="20"/>
        </w:rPr>
      </w:pPr>
      <w:r w:rsidRPr="008A2492">
        <w:rPr>
          <w:szCs w:val="20"/>
        </w:rPr>
        <w:t>Commonwealth of Australia</w:t>
      </w:r>
      <w:r>
        <w:rPr>
          <w:szCs w:val="20"/>
        </w:rPr>
        <w:t xml:space="preserve"> </w:t>
      </w:r>
      <w:r w:rsidRPr="008A2492">
        <w:rPr>
          <w:szCs w:val="20"/>
        </w:rPr>
        <w:t>2017</w:t>
      </w:r>
      <w:r>
        <w:rPr>
          <w:szCs w:val="20"/>
        </w:rPr>
        <w:t xml:space="preserve">, </w:t>
      </w:r>
      <w:r w:rsidRPr="000D4EFE">
        <w:rPr>
          <w:i/>
          <w:iCs/>
          <w:szCs w:val="20"/>
        </w:rPr>
        <w:t>The Fifth National Mental Health and Suicide Prevention Plan</w:t>
      </w:r>
      <w:r>
        <w:rPr>
          <w:i/>
          <w:iCs/>
          <w:szCs w:val="20"/>
        </w:rPr>
        <w:t>,</w:t>
      </w:r>
      <w:r w:rsidRPr="008A2492">
        <w:rPr>
          <w:szCs w:val="20"/>
        </w:rPr>
        <w:t xml:space="preserve"> </w:t>
      </w:r>
      <w:r>
        <w:rPr>
          <w:szCs w:val="20"/>
        </w:rPr>
        <w:t>Viewed</w:t>
      </w:r>
      <w:r w:rsidRPr="008A2492">
        <w:rPr>
          <w:szCs w:val="20"/>
        </w:rPr>
        <w:t xml:space="preserve"> 6 August </w:t>
      </w:r>
      <w:r w:rsidR="007C0E92" w:rsidRPr="008A2492">
        <w:rPr>
          <w:szCs w:val="20"/>
        </w:rPr>
        <w:t>202</w:t>
      </w:r>
      <w:r>
        <w:rPr>
          <w:szCs w:val="20"/>
        </w:rPr>
        <w:t>,</w:t>
      </w:r>
      <w:r w:rsidRPr="008A2492">
        <w:rPr>
          <w:szCs w:val="20"/>
        </w:rPr>
        <w:t xml:space="preserve"> </w:t>
      </w:r>
      <w:r>
        <w:rPr>
          <w:szCs w:val="20"/>
        </w:rPr>
        <w:t>&lt;</w:t>
      </w:r>
      <w:hyperlink r:id="rId98" w:history="1">
        <w:r w:rsidRPr="008A2492">
          <w:rPr>
            <w:rStyle w:val="Hyperlink"/>
            <w:szCs w:val="20"/>
          </w:rPr>
          <w:t>https://www.mentalhealthcommission.gov.au/getmedia/0209d27b-1873-4245-b6e5-49e770084b81/Fifth-National-Mental-Health-and-Suicide-Prevention-Plan.pdf</w:t>
        </w:r>
      </w:hyperlink>
      <w:r>
        <w:rPr>
          <w:rStyle w:val="Hyperlink"/>
          <w:szCs w:val="20"/>
        </w:rPr>
        <w:t>&gt;</w:t>
      </w:r>
      <w:r w:rsidR="003D4025">
        <w:rPr>
          <w:rStyle w:val="Hyperlink"/>
          <w:szCs w:val="20"/>
        </w:rPr>
        <w:t>.</w:t>
      </w:r>
    </w:p>
    <w:p w14:paraId="08AE4D0E" w14:textId="1ADB397B" w:rsidR="00D400E0" w:rsidRDefault="004F656F" w:rsidP="008D307E">
      <w:pPr>
        <w:pStyle w:val="BodyText"/>
        <w:rPr>
          <w:rStyle w:val="Hyperlink"/>
        </w:rPr>
      </w:pPr>
      <w:r>
        <w:t xml:space="preserve">Department of Health, 2016, </w:t>
      </w:r>
      <w:r>
        <w:rPr>
          <w:i/>
          <w:iCs/>
        </w:rPr>
        <w:t xml:space="preserve">Guidelines for preparing a submission to the Pharmaceutical Benefits Advisory Committee, </w:t>
      </w:r>
      <w:r>
        <w:t xml:space="preserve">Version 5, accessed at </w:t>
      </w:r>
      <w:hyperlink r:id="rId99" w:history="1">
        <w:r w:rsidR="00D400E0" w:rsidRPr="00CE39FB">
          <w:rPr>
            <w:rStyle w:val="Hyperlink"/>
          </w:rPr>
          <w:t>https://pbac.pbs.gov.au/content/information/files/pbac-guidelines-version-5.pdf</w:t>
        </w:r>
      </w:hyperlink>
    </w:p>
    <w:p w14:paraId="6738DE80" w14:textId="0BBCC4E5" w:rsidR="00C648A6" w:rsidRDefault="00C648A6" w:rsidP="008D307E">
      <w:pPr>
        <w:pStyle w:val="BodyText"/>
      </w:pPr>
      <w:r>
        <w:t xml:space="preserve">Department of Health, 2021, </w:t>
      </w:r>
      <w:r>
        <w:rPr>
          <w:i/>
          <w:iCs/>
        </w:rPr>
        <w:t xml:space="preserve">PHN Initial Assessment and Referral (IAR) for Mental Healthcare, </w:t>
      </w:r>
      <w:r>
        <w:t xml:space="preserve">accessed at </w:t>
      </w:r>
      <w:hyperlink r:id="rId100" w:history="1">
        <w:r>
          <w:rPr>
            <w:rStyle w:val="Hyperlink"/>
          </w:rPr>
          <w:t>National IAR State of Play Report 2020 Final.pdf (wqphn.com.au)</w:t>
        </w:r>
      </w:hyperlink>
    </w:p>
    <w:p w14:paraId="19773598" w14:textId="4D2E6A3C" w:rsidR="006624A8" w:rsidRPr="008A2492" w:rsidRDefault="006624A8" w:rsidP="008D307E">
      <w:pPr>
        <w:pStyle w:val="BodyText"/>
        <w:rPr>
          <w:szCs w:val="20"/>
        </w:rPr>
      </w:pPr>
      <w:r w:rsidRPr="008A2492">
        <w:rPr>
          <w:szCs w:val="20"/>
        </w:rPr>
        <w:t xml:space="preserve">Goldman, HH, Skodol, AE &amp; Lave, TR 1992, ‘Revising axis V for DSM-IV: a review of measures of social functioning’, </w:t>
      </w:r>
      <w:r w:rsidRPr="008A2492">
        <w:rPr>
          <w:i/>
          <w:iCs/>
          <w:szCs w:val="20"/>
        </w:rPr>
        <w:t>American Journal of Psychiatry</w:t>
      </w:r>
      <w:r w:rsidRPr="008A2492">
        <w:rPr>
          <w:szCs w:val="20"/>
        </w:rPr>
        <w:t>, vol. 149, no. 9, pp. 1148–1156.</w:t>
      </w:r>
    </w:p>
    <w:p w14:paraId="0D4FBD59" w14:textId="0F065433" w:rsidR="006E2413" w:rsidRPr="008A2492" w:rsidRDefault="006E2413" w:rsidP="006E2413">
      <w:pPr>
        <w:pStyle w:val="BodyText"/>
      </w:pPr>
      <w:r w:rsidRPr="008A2492">
        <w:t xml:space="preserve">headspace National 2020, </w:t>
      </w:r>
      <w:r w:rsidRPr="000D4EFE">
        <w:rPr>
          <w:i/>
          <w:iCs/>
        </w:rPr>
        <w:t>young people’s experience of telehealth during COVID-19</w:t>
      </w:r>
      <w:r w:rsidRPr="008A2492">
        <w:t xml:space="preserve">, </w:t>
      </w:r>
      <w:r>
        <w:t>Viewed</w:t>
      </w:r>
      <w:r w:rsidRPr="008A2492">
        <w:t xml:space="preserve"> 9</w:t>
      </w:r>
      <w:r w:rsidR="003712F0">
        <w:t> </w:t>
      </w:r>
      <w:r w:rsidRPr="008A2492">
        <w:t>Aug</w:t>
      </w:r>
      <w:r>
        <w:t>ust</w:t>
      </w:r>
      <w:r w:rsidRPr="008A2492">
        <w:t xml:space="preserve"> 2021, &lt;</w:t>
      </w:r>
      <w:hyperlink r:id="rId101" w:history="1">
        <w:r w:rsidRPr="008A2492">
          <w:rPr>
            <w:rStyle w:val="Hyperlink"/>
          </w:rPr>
          <w:t>https://headspace.org.au/assets/Uploads/Telehealth-Client-Experience-FINAL-8-10-20.pdf</w:t>
        </w:r>
      </w:hyperlink>
      <w:r w:rsidRPr="008A2492">
        <w:t>,&gt;</w:t>
      </w:r>
      <w:r w:rsidR="003D4025">
        <w:t>.</w:t>
      </w:r>
    </w:p>
    <w:p w14:paraId="471FAA7E" w14:textId="00D8EB71" w:rsidR="006E2413" w:rsidRPr="008A2492" w:rsidRDefault="006E2413" w:rsidP="006E2413">
      <w:pPr>
        <w:pStyle w:val="BodyText"/>
      </w:pPr>
      <w:r w:rsidRPr="008A2492">
        <w:t xml:space="preserve">headspace National 2020, </w:t>
      </w:r>
      <w:r w:rsidRPr="000D4EFE">
        <w:rPr>
          <w:i/>
          <w:iCs/>
        </w:rPr>
        <w:t>headspace staff experience of telehealth during COVID-19</w:t>
      </w:r>
      <w:r w:rsidRPr="008A2492">
        <w:t xml:space="preserve">, </w:t>
      </w:r>
      <w:r>
        <w:t>Viewed</w:t>
      </w:r>
      <w:r w:rsidRPr="008A2492">
        <w:t xml:space="preserve"> 9</w:t>
      </w:r>
      <w:r w:rsidR="007E071A">
        <w:t> </w:t>
      </w:r>
      <w:r w:rsidRPr="008A2492">
        <w:t>Aug</w:t>
      </w:r>
      <w:r>
        <w:t>ust</w:t>
      </w:r>
      <w:r w:rsidRPr="008A2492">
        <w:t xml:space="preserve"> 2021, &lt;</w:t>
      </w:r>
      <w:hyperlink r:id="rId102" w:history="1">
        <w:r w:rsidRPr="008A2492">
          <w:rPr>
            <w:rStyle w:val="Hyperlink"/>
          </w:rPr>
          <w:t>https://headspace.org.au/assets/Uploads/Telehealth-Staff-Experience-FINAL-8-10-20.pdf</w:t>
        </w:r>
      </w:hyperlink>
      <w:r w:rsidRPr="008A2492">
        <w:rPr>
          <w:rStyle w:val="Hyperlink"/>
        </w:rPr>
        <w:t>&gt;</w:t>
      </w:r>
      <w:r w:rsidR="003D4025">
        <w:rPr>
          <w:rStyle w:val="Hyperlink"/>
        </w:rPr>
        <w:t>.</w:t>
      </w:r>
    </w:p>
    <w:p w14:paraId="24DC6F3A" w14:textId="1CCD0965" w:rsidR="006E2413" w:rsidRDefault="006E2413" w:rsidP="006E2413">
      <w:pPr>
        <w:pStyle w:val="BodyText"/>
      </w:pPr>
      <w:r w:rsidRPr="008A2492">
        <w:t>headspace National 2020</w:t>
      </w:r>
      <w:r>
        <w:t>,</w:t>
      </w:r>
      <w:r w:rsidRPr="008A2492">
        <w:t xml:space="preserve"> </w:t>
      </w:r>
      <w:r w:rsidRPr="000D4EFE">
        <w:rPr>
          <w:i/>
          <w:iCs/>
        </w:rPr>
        <w:t>Coping with COVID: the mental health impact on young people accessing headspace services</w:t>
      </w:r>
      <w:r w:rsidRPr="008A2492">
        <w:t xml:space="preserve">, </w:t>
      </w:r>
      <w:r w:rsidR="00ED7AA4">
        <w:t>V</w:t>
      </w:r>
      <w:r w:rsidRPr="008A2492">
        <w:t>iewed 11 Aug</w:t>
      </w:r>
      <w:r>
        <w:t>ust</w:t>
      </w:r>
      <w:r w:rsidRPr="008A2492">
        <w:t xml:space="preserve"> 2021</w:t>
      </w:r>
      <w:r>
        <w:t>, &lt;</w:t>
      </w:r>
      <w:hyperlink r:id="rId103" w:history="1">
        <w:r w:rsidRPr="00176244">
          <w:rPr>
            <w:rStyle w:val="Hyperlink"/>
          </w:rPr>
          <w:t>https://headspace.org.au/assets/Uploads/COVID-Client-Impact-Report-FINAL-11-8-20.pdf</w:t>
        </w:r>
      </w:hyperlink>
      <w:r>
        <w:t>&gt;</w:t>
      </w:r>
      <w:r w:rsidR="003D4025">
        <w:t>.</w:t>
      </w:r>
    </w:p>
    <w:p w14:paraId="37A3DA8A" w14:textId="00EE3C24" w:rsidR="006E2413" w:rsidRPr="008A2492" w:rsidRDefault="006E2413" w:rsidP="006E2413">
      <w:pPr>
        <w:pStyle w:val="BodyText"/>
        <w:rPr>
          <w:szCs w:val="20"/>
        </w:rPr>
      </w:pPr>
      <w:r w:rsidRPr="008A2492">
        <w:rPr>
          <w:szCs w:val="20"/>
        </w:rPr>
        <w:t xml:space="preserve">headspace National 2020, </w:t>
      </w:r>
      <w:r w:rsidRPr="008A2492">
        <w:rPr>
          <w:i/>
          <w:iCs/>
          <w:szCs w:val="20"/>
        </w:rPr>
        <w:t>Annual Report 2019-20</w:t>
      </w:r>
      <w:r w:rsidRPr="008A2492">
        <w:rPr>
          <w:szCs w:val="20"/>
        </w:rPr>
        <w:t xml:space="preserve">, </w:t>
      </w:r>
      <w:r>
        <w:rPr>
          <w:szCs w:val="20"/>
        </w:rPr>
        <w:t>Viewed</w:t>
      </w:r>
      <w:r w:rsidRPr="008A2492">
        <w:rPr>
          <w:szCs w:val="20"/>
        </w:rPr>
        <w:t xml:space="preserve"> </w:t>
      </w:r>
      <w:r w:rsidR="007C0E92" w:rsidRPr="008A2492">
        <w:rPr>
          <w:szCs w:val="20"/>
        </w:rPr>
        <w:t>14</w:t>
      </w:r>
      <w:r w:rsidRPr="008A2492">
        <w:rPr>
          <w:szCs w:val="20"/>
        </w:rPr>
        <w:t xml:space="preserve"> August 2021, &lt;</w:t>
      </w:r>
      <w:hyperlink r:id="rId104" w:history="1">
        <w:r w:rsidRPr="008A2492">
          <w:rPr>
            <w:rStyle w:val="Hyperlink"/>
            <w:szCs w:val="20"/>
          </w:rPr>
          <w:t>https://headspace.org.au/assets/HSP10755_Annual-Report-2020_FA02_DIGI.pdf</w:t>
        </w:r>
      </w:hyperlink>
      <w:r w:rsidRPr="008A2492">
        <w:rPr>
          <w:szCs w:val="20"/>
        </w:rPr>
        <w:t>&gt;</w:t>
      </w:r>
      <w:r w:rsidR="003D4025">
        <w:rPr>
          <w:szCs w:val="20"/>
        </w:rPr>
        <w:t>.</w:t>
      </w:r>
    </w:p>
    <w:p w14:paraId="2403AB23" w14:textId="219797E4" w:rsidR="006E2413" w:rsidRPr="008A2492" w:rsidRDefault="006E2413" w:rsidP="006E2413">
      <w:pPr>
        <w:pStyle w:val="BodyText"/>
        <w:rPr>
          <w:szCs w:val="20"/>
        </w:rPr>
      </w:pPr>
      <w:r w:rsidRPr="008A2492">
        <w:rPr>
          <w:szCs w:val="20"/>
        </w:rPr>
        <w:t>headspace National Youth Mental Health Foundation 2020</w:t>
      </w:r>
      <w:r>
        <w:rPr>
          <w:szCs w:val="20"/>
        </w:rPr>
        <w:t xml:space="preserve">, </w:t>
      </w:r>
      <w:r w:rsidRPr="000D4EFE">
        <w:rPr>
          <w:i/>
          <w:iCs/>
          <w:szCs w:val="20"/>
        </w:rPr>
        <w:t>Response to the Productivity Commission’s Inquiry into the Mental health Draft Report</w:t>
      </w:r>
      <w:r w:rsidRPr="008A2492">
        <w:rPr>
          <w:szCs w:val="20"/>
        </w:rPr>
        <w:t xml:space="preserve">, </w:t>
      </w:r>
      <w:r>
        <w:rPr>
          <w:szCs w:val="20"/>
        </w:rPr>
        <w:t>Viewed</w:t>
      </w:r>
      <w:r w:rsidRPr="008A2492">
        <w:rPr>
          <w:szCs w:val="20"/>
        </w:rPr>
        <w:t xml:space="preserve"> </w:t>
      </w:r>
      <w:r>
        <w:rPr>
          <w:szCs w:val="20"/>
        </w:rPr>
        <w:t xml:space="preserve">11 August 2021 </w:t>
      </w:r>
      <w:hyperlink r:id="rId105" w:history="1">
        <w:r w:rsidR="003D4025" w:rsidRPr="006C749C">
          <w:rPr>
            <w:rStyle w:val="Hyperlink"/>
            <w:szCs w:val="20"/>
          </w:rPr>
          <w:t>https://www.pc.gov.au/__data/assets/pdf_file/0017/251360/sub947-mental-health.pdf</w:t>
        </w:r>
      </w:hyperlink>
      <w:r w:rsidR="003D4025">
        <w:rPr>
          <w:szCs w:val="20"/>
        </w:rPr>
        <w:t>.</w:t>
      </w:r>
    </w:p>
    <w:p w14:paraId="3BC930BC" w14:textId="66AA3371" w:rsidR="006E2413" w:rsidRPr="008A2492" w:rsidRDefault="006E2413" w:rsidP="006E2413">
      <w:pPr>
        <w:pStyle w:val="BodyText"/>
        <w:rPr>
          <w:szCs w:val="20"/>
        </w:rPr>
      </w:pPr>
      <w:r w:rsidRPr="008A2492">
        <w:rPr>
          <w:szCs w:val="20"/>
        </w:rPr>
        <w:t xml:space="preserve">headspace National 2019, </w:t>
      </w:r>
      <w:r w:rsidRPr="000D4EFE">
        <w:rPr>
          <w:i/>
          <w:iCs/>
          <w:szCs w:val="20"/>
        </w:rPr>
        <w:t>headspace centre young person follow up study</w:t>
      </w:r>
      <w:r w:rsidRPr="008A2492">
        <w:rPr>
          <w:szCs w:val="20"/>
        </w:rPr>
        <w:t xml:space="preserve">, </w:t>
      </w:r>
      <w:r>
        <w:rPr>
          <w:szCs w:val="20"/>
        </w:rPr>
        <w:t>Viewed</w:t>
      </w:r>
      <w:r w:rsidRPr="008A2492">
        <w:rPr>
          <w:szCs w:val="20"/>
        </w:rPr>
        <w:t xml:space="preserve"> 11 August 2021, &lt;</w:t>
      </w:r>
      <w:hyperlink r:id="rId106" w:history="1">
        <w:r w:rsidRPr="008A2492">
          <w:rPr>
            <w:rStyle w:val="Hyperlink"/>
            <w:szCs w:val="20"/>
          </w:rPr>
          <w:t>https://headspace.org.au/assets/headspace-centre-young-person-follow-up-study-Sept-2019.PDF</w:t>
        </w:r>
      </w:hyperlink>
      <w:r w:rsidRPr="008A2492">
        <w:rPr>
          <w:szCs w:val="20"/>
        </w:rPr>
        <w:t>&gt;</w:t>
      </w:r>
      <w:r w:rsidR="003D4025">
        <w:rPr>
          <w:szCs w:val="20"/>
        </w:rPr>
        <w:t>.</w:t>
      </w:r>
    </w:p>
    <w:p w14:paraId="305F8007" w14:textId="69C4E385" w:rsidR="006E2413" w:rsidRPr="008A2492" w:rsidRDefault="006E2413" w:rsidP="006E2413">
      <w:pPr>
        <w:pStyle w:val="BodyText"/>
      </w:pPr>
      <w:r w:rsidRPr="008A2492">
        <w:t xml:space="preserve">headspace National 2019, </w:t>
      </w:r>
      <w:r w:rsidRPr="000D4EFE">
        <w:rPr>
          <w:i/>
          <w:iCs/>
        </w:rPr>
        <w:t>Increasing demand in youth mental health – A rising tide of need</w:t>
      </w:r>
      <w:r w:rsidRPr="008A2492">
        <w:t xml:space="preserve">, </w:t>
      </w:r>
      <w:r>
        <w:t>Viewed</w:t>
      </w:r>
      <w:r w:rsidRPr="008A2492">
        <w:t xml:space="preserve"> 23 August 2021, </w:t>
      </w:r>
      <w:hyperlink r:id="rId107" w:history="1">
        <w:r w:rsidR="003D4025" w:rsidRPr="006C749C">
          <w:rPr>
            <w:rStyle w:val="Hyperlink"/>
          </w:rPr>
          <w:t>https://headspace.org.au/assets/Uploads/Increasing-demand-in-youth-mentalh-a-rising-tide-of-need.pdf</w:t>
        </w:r>
      </w:hyperlink>
      <w:r w:rsidR="003D4025">
        <w:t>.</w:t>
      </w:r>
    </w:p>
    <w:p w14:paraId="5ABF5D50" w14:textId="6B334E84" w:rsidR="006E2413" w:rsidRPr="008A2492" w:rsidRDefault="006E2413" w:rsidP="006E2413">
      <w:pPr>
        <w:pStyle w:val="BodyText"/>
      </w:pPr>
      <w:r w:rsidRPr="00733F52">
        <w:t xml:space="preserve">headspace National 2017, </w:t>
      </w:r>
      <w:r w:rsidRPr="00733F52">
        <w:rPr>
          <w:i/>
          <w:iCs/>
        </w:rPr>
        <w:t>headspace Model Integrity Framework – August 2017</w:t>
      </w:r>
      <w:r w:rsidRPr="00733F52">
        <w:t>, Viewed 11 August 2021, &lt;</w:t>
      </w:r>
      <w:hyperlink r:id="rId108" w:history="1">
        <w:r w:rsidRPr="001C6322">
          <w:rPr>
            <w:rStyle w:val="Hyperlink"/>
          </w:rPr>
          <w:t>https://bsphn.org.au/wp-content/uploads/2018/11/headspace-Model-Integrity-Framework-hMIF.pdf</w:t>
        </w:r>
      </w:hyperlink>
      <w:r w:rsidRPr="00733F52">
        <w:t>&gt;</w:t>
      </w:r>
      <w:r w:rsidR="003D4025">
        <w:t>.</w:t>
      </w:r>
    </w:p>
    <w:p w14:paraId="7A6BBEEB" w14:textId="1C17119B" w:rsidR="006E2413" w:rsidRPr="003C34C8" w:rsidRDefault="006E2413" w:rsidP="006E2413">
      <w:pPr>
        <w:pStyle w:val="BodyText"/>
        <w:rPr>
          <w:szCs w:val="20"/>
          <w:u w:val="single"/>
        </w:rPr>
      </w:pPr>
      <w:r w:rsidRPr="008A2492">
        <w:rPr>
          <w:szCs w:val="20"/>
        </w:rPr>
        <w:t xml:space="preserve">headspace National 2015, </w:t>
      </w:r>
      <w:r w:rsidRPr="00981183">
        <w:rPr>
          <w:i/>
          <w:iCs/>
          <w:szCs w:val="20"/>
        </w:rPr>
        <w:t>Service Innovation Project Component 2: Social Inclusion Model Development Study</w:t>
      </w:r>
      <w:r w:rsidRPr="008A2492">
        <w:rPr>
          <w:szCs w:val="20"/>
        </w:rPr>
        <w:t xml:space="preserve">, </w:t>
      </w:r>
      <w:r>
        <w:rPr>
          <w:szCs w:val="20"/>
        </w:rPr>
        <w:t>Viewed</w:t>
      </w:r>
      <w:r w:rsidRPr="008A2492">
        <w:rPr>
          <w:szCs w:val="20"/>
        </w:rPr>
        <w:t xml:space="preserve"> 14 August 2021</w:t>
      </w:r>
      <w:r>
        <w:rPr>
          <w:szCs w:val="20"/>
        </w:rPr>
        <w:t>,</w:t>
      </w:r>
      <w:r w:rsidRPr="008A2492">
        <w:rPr>
          <w:szCs w:val="20"/>
        </w:rPr>
        <w:t xml:space="preserve"> &lt;</w:t>
      </w:r>
      <w:hyperlink r:id="rId109" w:history="1">
        <w:r w:rsidRPr="008A2492">
          <w:rPr>
            <w:rStyle w:val="Hyperlink"/>
            <w:szCs w:val="20"/>
          </w:rPr>
          <w:t>https://headspace.org.au/assets/Uploads/Corporate/Publications-and-research/HSP201-Service-Innovation-Part-2-FA-LR.pdf</w:t>
        </w:r>
      </w:hyperlink>
      <w:r w:rsidRPr="008A2492">
        <w:rPr>
          <w:rStyle w:val="Hyperlink"/>
          <w:szCs w:val="20"/>
        </w:rPr>
        <w:t>&gt;</w:t>
      </w:r>
      <w:r w:rsidR="003D4025">
        <w:rPr>
          <w:rStyle w:val="Hyperlink"/>
          <w:szCs w:val="20"/>
        </w:rPr>
        <w:t>.</w:t>
      </w:r>
    </w:p>
    <w:p w14:paraId="12883D0D" w14:textId="3C0B35D6" w:rsidR="006E2413" w:rsidRDefault="006E2413" w:rsidP="006E2413">
      <w:pPr>
        <w:pStyle w:val="BodyText"/>
        <w:rPr>
          <w:szCs w:val="20"/>
        </w:rPr>
      </w:pPr>
      <w:r>
        <w:rPr>
          <w:szCs w:val="20"/>
        </w:rPr>
        <w:t>headspace National 2013</w:t>
      </w:r>
      <w:r w:rsidRPr="00981183">
        <w:rPr>
          <w:i/>
          <w:iCs/>
          <w:szCs w:val="20"/>
        </w:rPr>
        <w:t>, headspace Psychosocial Assessment for Young People</w:t>
      </w:r>
      <w:r>
        <w:rPr>
          <w:szCs w:val="20"/>
        </w:rPr>
        <w:t>, Viewed 18 August 2021, &lt;</w:t>
      </w:r>
      <w:hyperlink r:id="rId110" w:history="1">
        <w:r w:rsidRPr="00D407B6">
          <w:rPr>
            <w:rStyle w:val="Hyperlink"/>
            <w:szCs w:val="20"/>
          </w:rPr>
          <w:t>https://headspace.org.au/assets/Uploads/headspace-</w:t>
        </w:r>
        <w:r w:rsidR="004C50C0">
          <w:rPr>
            <w:rStyle w:val="Hyperlink"/>
            <w:szCs w:val="20"/>
          </w:rPr>
          <w:t>psycho-</w:t>
        </w:r>
        <w:r w:rsidR="004C50C0">
          <w:rPr>
            <w:rStyle w:val="Hyperlink"/>
            <w:szCs w:val="20"/>
          </w:rPr>
          <w:noBreakHyphen/>
          <w:t>social</w:t>
        </w:r>
        <w:r w:rsidRPr="00D407B6">
          <w:rPr>
            <w:rStyle w:val="Hyperlink"/>
            <w:szCs w:val="20"/>
          </w:rPr>
          <w:t>-assessment.pdf</w:t>
        </w:r>
      </w:hyperlink>
      <w:r>
        <w:rPr>
          <w:szCs w:val="20"/>
        </w:rPr>
        <w:t>&gt;</w:t>
      </w:r>
      <w:r w:rsidR="003D4025">
        <w:rPr>
          <w:szCs w:val="20"/>
        </w:rPr>
        <w:t>.</w:t>
      </w:r>
    </w:p>
    <w:p w14:paraId="0F9AE2FC" w14:textId="7795102E" w:rsidR="006624A8" w:rsidRPr="008A2492" w:rsidRDefault="006624A8" w:rsidP="008D307E">
      <w:pPr>
        <w:pStyle w:val="BodyText"/>
        <w:rPr>
          <w:szCs w:val="20"/>
        </w:rPr>
      </w:pPr>
      <w:r w:rsidRPr="008A2492">
        <w:rPr>
          <w:szCs w:val="20"/>
        </w:rPr>
        <w:t xml:space="preserve">Jacobson, NS &amp; Truax, P 1992, ‘Clinical significance: A statistical approach to defining meaningful change in psychotherapy research.’ </w:t>
      </w:r>
      <w:r w:rsidRPr="008A2492">
        <w:rPr>
          <w:i/>
          <w:iCs/>
          <w:szCs w:val="20"/>
        </w:rPr>
        <w:t>Methodological issues &amp; strategies in clinical research</w:t>
      </w:r>
      <w:r w:rsidRPr="008A2492">
        <w:rPr>
          <w:szCs w:val="20"/>
        </w:rPr>
        <w:t>. pp.</w:t>
      </w:r>
      <w:r w:rsidR="003712F0">
        <w:rPr>
          <w:szCs w:val="20"/>
        </w:rPr>
        <w:t> </w:t>
      </w:r>
      <w:r w:rsidRPr="008A2492">
        <w:rPr>
          <w:szCs w:val="20"/>
        </w:rPr>
        <w:t>631</w:t>
      </w:r>
      <w:r w:rsidR="00692BFC">
        <w:rPr>
          <w:szCs w:val="20"/>
        </w:rPr>
        <w:noBreakHyphen/>
      </w:r>
      <w:r w:rsidRPr="008A2492">
        <w:rPr>
          <w:szCs w:val="20"/>
        </w:rPr>
        <w:t>648.</w:t>
      </w:r>
    </w:p>
    <w:p w14:paraId="3100EEF6" w14:textId="041EFB4A" w:rsidR="001735CD" w:rsidRDefault="001735CD" w:rsidP="001735CD">
      <w:pPr>
        <w:rPr>
          <w:szCs w:val="20"/>
        </w:rPr>
      </w:pPr>
      <w:r w:rsidRPr="00A04D83">
        <w:rPr>
          <w:szCs w:val="20"/>
        </w:rPr>
        <w:t>Kessler, R.C. , Barker, P.R. , Colpe, L.J. , Epstein, J.F. , Gfroerer, J.C. , Hiripi, E. , Howes, M.J. , Normand, S-L.T. , Manderscheid, R.W. , Walters, E.E. , Zaslavsky, A.M. (2007). The Kessler psychological distress scale (K10, K6, K5). Melbourne: Australian Centre for Posttraumatic Mental Health.</w:t>
      </w:r>
    </w:p>
    <w:p w14:paraId="4402870F" w14:textId="348A197F" w:rsidR="006624A8" w:rsidRPr="008A2492" w:rsidRDefault="006624A8" w:rsidP="008D307E">
      <w:pPr>
        <w:pStyle w:val="BodyText"/>
        <w:rPr>
          <w:szCs w:val="20"/>
        </w:rPr>
      </w:pPr>
      <w:r w:rsidRPr="008A2492">
        <w:rPr>
          <w:szCs w:val="20"/>
        </w:rPr>
        <w:t xml:space="preserve">Kessler, R.C., Andrews, G., Colpe, et al 2002, ‘Short screening scales to monitor population prevalences and trends in non-specific psychological distress’, </w:t>
      </w:r>
      <w:r w:rsidRPr="008A2492">
        <w:rPr>
          <w:i/>
          <w:iCs/>
          <w:szCs w:val="20"/>
        </w:rPr>
        <w:t>Psychological Medicine</w:t>
      </w:r>
      <w:r w:rsidRPr="008A2492">
        <w:rPr>
          <w:szCs w:val="20"/>
        </w:rPr>
        <w:t>, 32, 959-956.</w:t>
      </w:r>
    </w:p>
    <w:p w14:paraId="3004160E" w14:textId="77777777" w:rsidR="006E2413" w:rsidRDefault="006E2413" w:rsidP="006E2413">
      <w:pPr>
        <w:pStyle w:val="BodyText"/>
      </w:pPr>
      <w:r>
        <w:t xml:space="preserve">Kwan, B &amp; Rickwood, DJ 2020, ‘A routine outcome measure for youth mental health: Clinically interpreting MyLifeTracker’, </w:t>
      </w:r>
      <w:r w:rsidRPr="003F1CD6">
        <w:rPr>
          <w:i/>
          <w:iCs/>
        </w:rPr>
        <w:t>Early Intervention in Psychiatry</w:t>
      </w:r>
      <w:r>
        <w:t>, vol. 15, no. 4, pp. 807–817.</w:t>
      </w:r>
    </w:p>
    <w:p w14:paraId="27CED521" w14:textId="77777777" w:rsidR="006E2413" w:rsidRPr="008A2492" w:rsidRDefault="006E2413" w:rsidP="006E2413">
      <w:pPr>
        <w:pStyle w:val="BodyText"/>
      </w:pPr>
      <w:r w:rsidRPr="008A2492">
        <w:t>Kwan B, Rickwood D J and Telford, NR 2018, ‘Development and validation of MyLifeTracker: a routine outcome measure for youth mental health’,</w:t>
      </w:r>
      <w:r w:rsidRPr="008A2492">
        <w:rPr>
          <w:i/>
          <w:iCs/>
        </w:rPr>
        <w:t xml:space="preserve"> Psychology Research and Behavior Management</w:t>
      </w:r>
      <w:r w:rsidRPr="008A2492">
        <w:t xml:space="preserve"> 2018:11 67–77</w:t>
      </w:r>
      <w:r>
        <w:t>.</w:t>
      </w:r>
    </w:p>
    <w:p w14:paraId="44D315C0" w14:textId="77777777" w:rsidR="00AE44DF" w:rsidRPr="008A2492" w:rsidRDefault="00AE44DF" w:rsidP="00AE44DF">
      <w:pPr>
        <w:pStyle w:val="BodyText"/>
        <w:rPr>
          <w:szCs w:val="20"/>
        </w:rPr>
      </w:pPr>
      <w:r w:rsidRPr="00E707E9">
        <w:rPr>
          <w:szCs w:val="20"/>
        </w:rPr>
        <w:t xml:space="preserve">Linden, A 2013, ‘Assessing regression to the mean effects in health care initiatives’, </w:t>
      </w:r>
      <w:r w:rsidRPr="001F3EAB">
        <w:rPr>
          <w:i/>
          <w:szCs w:val="20"/>
        </w:rPr>
        <w:t>BMC Medical Research Methodology,</w:t>
      </w:r>
      <w:r w:rsidRPr="00E707E9">
        <w:rPr>
          <w:szCs w:val="20"/>
        </w:rPr>
        <w:t xml:space="preserve"> vol. 13, no. 1.</w:t>
      </w:r>
    </w:p>
    <w:p w14:paraId="70F63A84" w14:textId="151D1402" w:rsidR="007C0E92" w:rsidRPr="00367AD7" w:rsidRDefault="007C0E92" w:rsidP="007C0E92">
      <w:pPr>
        <w:pStyle w:val="BodyText"/>
        <w:rPr>
          <w:szCs w:val="20"/>
        </w:rPr>
      </w:pPr>
      <w:r>
        <w:rPr>
          <w:szCs w:val="20"/>
        </w:rPr>
        <w:t xml:space="preserve">McIntyre, P, on behalf of the World Health Organization 2002, </w:t>
      </w:r>
      <w:r w:rsidRPr="00367AD7">
        <w:rPr>
          <w:i/>
          <w:iCs/>
          <w:szCs w:val="20"/>
        </w:rPr>
        <w:t>Adolescent Friendly Health Services -An Agenda for Change</w:t>
      </w:r>
      <w:r>
        <w:rPr>
          <w:i/>
          <w:iCs/>
          <w:szCs w:val="20"/>
        </w:rPr>
        <w:t xml:space="preserve">, </w:t>
      </w:r>
      <w:r>
        <w:rPr>
          <w:szCs w:val="20"/>
        </w:rPr>
        <w:t>Viewed 6 August 2021,</w:t>
      </w:r>
      <w:r w:rsidR="00730B4D">
        <w:rPr>
          <w:szCs w:val="20"/>
        </w:rPr>
        <w:t xml:space="preserve"> </w:t>
      </w:r>
      <w:r>
        <w:t>&lt;</w:t>
      </w:r>
      <w:hyperlink r:id="rId111" w:history="1">
        <w:r w:rsidRPr="002A0616">
          <w:rPr>
            <w:rStyle w:val="Hyperlink"/>
            <w:szCs w:val="20"/>
          </w:rPr>
          <w:t>https://apps.who.int/iris/bitstream/handle/10665/67923/WHO_FCH_CAH_02.14.pdf?sequence=1&amp;isAllowed=y</w:t>
        </w:r>
      </w:hyperlink>
      <w:r>
        <w:rPr>
          <w:szCs w:val="20"/>
        </w:rPr>
        <w:t>&gt;</w:t>
      </w:r>
      <w:r w:rsidR="003D4025">
        <w:rPr>
          <w:szCs w:val="20"/>
        </w:rPr>
        <w:t>.</w:t>
      </w:r>
    </w:p>
    <w:p w14:paraId="312FDD01" w14:textId="11AD18B1" w:rsidR="006E2413" w:rsidRPr="008A2492" w:rsidRDefault="006E2413" w:rsidP="006E2413">
      <w:pPr>
        <w:pStyle w:val="BodyText"/>
        <w:rPr>
          <w:szCs w:val="20"/>
        </w:rPr>
      </w:pPr>
      <w:r w:rsidRPr="008A2492">
        <w:rPr>
          <w:szCs w:val="20"/>
        </w:rPr>
        <w:t xml:space="preserve">Medical Research Council 2019, </w:t>
      </w:r>
      <w:r w:rsidRPr="008A2492">
        <w:rPr>
          <w:i/>
          <w:iCs/>
          <w:szCs w:val="20"/>
        </w:rPr>
        <w:t>Developing and evaluating complex interventions</w:t>
      </w:r>
      <w:r w:rsidRPr="008A2492">
        <w:rPr>
          <w:szCs w:val="20"/>
        </w:rPr>
        <w:t xml:space="preserve">, </w:t>
      </w:r>
      <w:r>
        <w:rPr>
          <w:szCs w:val="20"/>
        </w:rPr>
        <w:t>Viewed</w:t>
      </w:r>
      <w:r w:rsidRPr="008A2492">
        <w:rPr>
          <w:szCs w:val="20"/>
        </w:rPr>
        <w:t xml:space="preserve"> at &lt; </w:t>
      </w:r>
      <w:hyperlink r:id="rId112" w:history="1">
        <w:r w:rsidRPr="001C6322">
          <w:rPr>
            <w:rStyle w:val="Hyperlink"/>
            <w:szCs w:val="20"/>
          </w:rPr>
          <w:t>https://mrc.ukri.org/documents/pdf/complex-interventions-guidance/</w:t>
        </w:r>
      </w:hyperlink>
      <w:r w:rsidRPr="001B0E1F">
        <w:rPr>
          <w:szCs w:val="20"/>
        </w:rPr>
        <w:t>&gt;</w:t>
      </w:r>
      <w:r w:rsidR="003D4025">
        <w:rPr>
          <w:szCs w:val="20"/>
        </w:rPr>
        <w:t>.</w:t>
      </w:r>
    </w:p>
    <w:p w14:paraId="1E4E27B0" w14:textId="77777777" w:rsidR="005F39D5" w:rsidRDefault="005F39D5" w:rsidP="006E2413">
      <w:pPr>
        <w:pStyle w:val="BodyText"/>
      </w:pPr>
      <w:r w:rsidRPr="00AE4C3D">
        <w:t>Mihalopoulos C, Chen G, Iezzi A, Khan MA, Richardson J. Assessing outcomes for cost-utility analysis in depression: comparison of five multi-attribute utility instruments with two depression-specific outcome measures. Br J Psychiatry. 2014 Nov;205(5):390-7. doi: 10.1192/bjp.bp.113.136036. Epub 2014 Sep 25. PMID: 25257063</w:t>
      </w:r>
      <w:r>
        <w:t xml:space="preserve">, accessed at </w:t>
      </w:r>
      <w:hyperlink r:id="rId113" w:history="1">
        <w:r w:rsidRPr="00AE4C3D">
          <w:rPr>
            <w:rStyle w:val="Hyperlink"/>
          </w:rPr>
          <w:t>https://pubmed.ncbi.nlm.nih.gov/25257063/</w:t>
        </w:r>
      </w:hyperlink>
    </w:p>
    <w:p w14:paraId="143E3D5E" w14:textId="57241533" w:rsidR="006E2413" w:rsidRPr="008A2492" w:rsidRDefault="006E2413" w:rsidP="006E2413">
      <w:pPr>
        <w:pStyle w:val="BodyText"/>
        <w:rPr>
          <w:rStyle w:val="Hyperlink"/>
          <w:szCs w:val="20"/>
        </w:rPr>
      </w:pPr>
      <w:r w:rsidRPr="008A2492">
        <w:rPr>
          <w:szCs w:val="20"/>
        </w:rPr>
        <w:t xml:space="preserve">Orygen and headspace 2019, </w:t>
      </w:r>
      <w:r w:rsidRPr="008A2492">
        <w:rPr>
          <w:i/>
          <w:iCs/>
          <w:szCs w:val="20"/>
        </w:rPr>
        <w:t>Submission to the Productivity Commission’s Inquiry into Mental Health</w:t>
      </w:r>
      <w:r w:rsidRPr="008A2492">
        <w:rPr>
          <w:szCs w:val="20"/>
        </w:rPr>
        <w:t xml:space="preserve">, </w:t>
      </w:r>
      <w:r>
        <w:rPr>
          <w:szCs w:val="20"/>
        </w:rPr>
        <w:t>Viewed</w:t>
      </w:r>
      <w:r w:rsidRPr="008A2492">
        <w:rPr>
          <w:szCs w:val="20"/>
        </w:rPr>
        <w:t xml:space="preserve"> 6 August 2021, &lt;</w:t>
      </w:r>
      <w:hyperlink r:id="rId114" w:history="1">
        <w:r w:rsidRPr="008A2492">
          <w:rPr>
            <w:rStyle w:val="Hyperlink"/>
            <w:szCs w:val="20"/>
          </w:rPr>
          <w:t>https://www.pc.gov.au/inquiries/completed/mental-health/submissions</w:t>
        </w:r>
      </w:hyperlink>
      <w:r w:rsidRPr="008A2492">
        <w:rPr>
          <w:rStyle w:val="Hyperlink"/>
          <w:szCs w:val="20"/>
        </w:rPr>
        <w:t>&gt;</w:t>
      </w:r>
      <w:r w:rsidR="003D4025">
        <w:rPr>
          <w:rStyle w:val="Hyperlink"/>
          <w:szCs w:val="20"/>
        </w:rPr>
        <w:t>.</w:t>
      </w:r>
    </w:p>
    <w:p w14:paraId="32C4F5FF" w14:textId="40DB61D6" w:rsidR="006624A8" w:rsidRPr="008A2492" w:rsidRDefault="006624A8" w:rsidP="008D307E">
      <w:pPr>
        <w:pStyle w:val="BodyText"/>
        <w:rPr>
          <w:szCs w:val="20"/>
        </w:rPr>
      </w:pPr>
      <w:r w:rsidRPr="008A2492">
        <w:rPr>
          <w:szCs w:val="20"/>
        </w:rPr>
        <w:t xml:space="preserve">Rickwood, D., Paraskakis, M., Quin, D., Hobbs, N., Ryall, V., Trethowan, J., McGorry, P. </w:t>
      </w:r>
      <w:r w:rsidR="007C0E92" w:rsidRPr="008A2492">
        <w:rPr>
          <w:szCs w:val="20"/>
        </w:rPr>
        <w:t>2018</w:t>
      </w:r>
      <w:r w:rsidR="007C0E92">
        <w:rPr>
          <w:szCs w:val="20"/>
        </w:rPr>
        <w:t>,</w:t>
      </w:r>
      <w:r w:rsidRPr="008A2492">
        <w:rPr>
          <w:szCs w:val="20"/>
        </w:rPr>
        <w:t xml:space="preserve"> ‘Australia’s innovation in youth mental health care: The headspace centre model’, </w:t>
      </w:r>
      <w:r w:rsidRPr="008A2492">
        <w:rPr>
          <w:i/>
          <w:iCs/>
          <w:szCs w:val="20"/>
        </w:rPr>
        <w:t>Early Intervention in Psychiatry,</w:t>
      </w:r>
      <w:r w:rsidRPr="008A2492">
        <w:rPr>
          <w:szCs w:val="20"/>
        </w:rPr>
        <w:t xml:space="preserve"> Volume 13, Issue 1, p</w:t>
      </w:r>
      <w:r w:rsidR="007E071A">
        <w:rPr>
          <w:szCs w:val="20"/>
        </w:rPr>
        <w:t xml:space="preserve">. </w:t>
      </w:r>
      <w:r w:rsidRPr="008A2492">
        <w:rPr>
          <w:szCs w:val="20"/>
        </w:rPr>
        <w:t>159-166.</w:t>
      </w:r>
    </w:p>
    <w:p w14:paraId="491E0FFA" w14:textId="0E602ED7" w:rsidR="006624A8" w:rsidRPr="008A2492" w:rsidRDefault="006624A8" w:rsidP="008D307E">
      <w:pPr>
        <w:pStyle w:val="BodyText"/>
        <w:rPr>
          <w:szCs w:val="20"/>
        </w:rPr>
      </w:pPr>
      <w:r w:rsidRPr="008A2492">
        <w:rPr>
          <w:szCs w:val="20"/>
        </w:rPr>
        <w:t xml:space="preserve">Rickwood, DJ, Mazzer, KR, Telford, NR, Parker, AG, Tanti, CJ &amp; McGorry, PD 2015, ‘Changes in psychological distress and </w:t>
      </w:r>
      <w:r w:rsidR="004C50C0">
        <w:rPr>
          <w:szCs w:val="20"/>
        </w:rPr>
        <w:t>psychosocial</w:t>
      </w:r>
      <w:r w:rsidRPr="008A2492">
        <w:rPr>
          <w:szCs w:val="20"/>
        </w:rPr>
        <w:t xml:space="preserve"> functioning in young people visiting headspace centres for mental health problems’, </w:t>
      </w:r>
      <w:r w:rsidRPr="008A2492">
        <w:rPr>
          <w:i/>
          <w:iCs/>
          <w:szCs w:val="20"/>
        </w:rPr>
        <w:t>The Medical Journal of Australia</w:t>
      </w:r>
      <w:r w:rsidRPr="008A2492">
        <w:rPr>
          <w:szCs w:val="20"/>
        </w:rPr>
        <w:t>, vol. 202, no. 10, pp. 537–542.</w:t>
      </w:r>
    </w:p>
    <w:p w14:paraId="2157C995" w14:textId="77777777" w:rsidR="006624A8" w:rsidRPr="008A2492" w:rsidRDefault="006624A8" w:rsidP="008D307E">
      <w:pPr>
        <w:pStyle w:val="BodyText"/>
        <w:rPr>
          <w:szCs w:val="20"/>
        </w:rPr>
      </w:pPr>
      <w:r w:rsidRPr="008A2492">
        <w:rPr>
          <w:szCs w:val="20"/>
        </w:rPr>
        <w:t xml:space="preserve">Rickwood D., Telford, N., Parker, A.,Tanti, C., and McGorry, P 2014, ‘headspace — Australia's innovation in youth mental health: who are the clients and why are they presenting?’ </w:t>
      </w:r>
      <w:r w:rsidRPr="008A2492">
        <w:rPr>
          <w:i/>
          <w:iCs/>
          <w:szCs w:val="20"/>
        </w:rPr>
        <w:t>The Medical Journal of Australia</w:t>
      </w:r>
      <w:r w:rsidRPr="008A2492">
        <w:rPr>
          <w:szCs w:val="20"/>
        </w:rPr>
        <w:t xml:space="preserve">, Volume 200, Issue 2, </w:t>
      </w:r>
      <w:r w:rsidR="006E2413" w:rsidRPr="008A2492">
        <w:rPr>
          <w:szCs w:val="20"/>
        </w:rPr>
        <w:t>p</w:t>
      </w:r>
      <w:r w:rsidR="006E2413">
        <w:rPr>
          <w:szCs w:val="20"/>
        </w:rPr>
        <w:t>p.</w:t>
      </w:r>
      <w:r w:rsidRPr="008A2492">
        <w:rPr>
          <w:szCs w:val="20"/>
        </w:rPr>
        <w:t xml:space="preserve"> 108-111</w:t>
      </w:r>
      <w:r w:rsidR="006E2413">
        <w:rPr>
          <w:szCs w:val="20"/>
        </w:rPr>
        <w:t>.</w:t>
      </w:r>
    </w:p>
    <w:p w14:paraId="380ACD33" w14:textId="4885C6EE" w:rsidR="00AC72C1" w:rsidRDefault="00AC72C1" w:rsidP="007C0E92">
      <w:pPr>
        <w:pStyle w:val="BodyText"/>
        <w:rPr>
          <w:szCs w:val="20"/>
        </w:rPr>
      </w:pPr>
      <w:r w:rsidRPr="00AC72C1">
        <w:rPr>
          <w:szCs w:val="20"/>
        </w:rPr>
        <w:t xml:space="preserve">Royal Australian College of General Practitioners (2018), Racism in the healthcare system, Position statement, </w:t>
      </w:r>
      <w:r>
        <w:rPr>
          <w:szCs w:val="20"/>
        </w:rPr>
        <w:t>viewed 4 July 2022,</w:t>
      </w:r>
      <w:r w:rsidRPr="00AC72C1">
        <w:rPr>
          <w:szCs w:val="20"/>
        </w:rPr>
        <w:t xml:space="preserve"> </w:t>
      </w:r>
      <w:r w:rsidR="00DB67DB">
        <w:rPr>
          <w:szCs w:val="20"/>
        </w:rPr>
        <w:t>&lt;</w:t>
      </w:r>
      <w:hyperlink r:id="rId115" w:history="1">
        <w:r w:rsidRPr="006C749C">
          <w:rPr>
            <w:rStyle w:val="Hyperlink"/>
            <w:szCs w:val="20"/>
          </w:rPr>
          <w:t>https://www.racgp.org.au/FSDEDEV/media/documents/RACGP/Position%20statements/Racism-in-the-healthcare-sector.pdf</w:t>
        </w:r>
      </w:hyperlink>
      <w:r w:rsidR="00DB67DB">
        <w:rPr>
          <w:szCs w:val="20"/>
        </w:rPr>
        <w:t>&gt;.</w:t>
      </w:r>
    </w:p>
    <w:p w14:paraId="3FDD11DA" w14:textId="2DA54312" w:rsidR="00F45D6A" w:rsidRPr="00F45D6A" w:rsidRDefault="007C0E92" w:rsidP="00F45D6A">
      <w:pPr>
        <w:pStyle w:val="BodyText"/>
        <w:rPr>
          <w:szCs w:val="20"/>
        </w:rPr>
      </w:pPr>
      <w:r w:rsidRPr="008A2492">
        <w:rPr>
          <w:szCs w:val="20"/>
        </w:rPr>
        <w:t xml:space="preserve">World Health Organization 2012, </w:t>
      </w:r>
      <w:r w:rsidRPr="008F369B">
        <w:rPr>
          <w:i/>
          <w:iCs/>
          <w:szCs w:val="20"/>
        </w:rPr>
        <w:t>Making Health services adolescent friendly: Developing national quality standards for adolescent friendly health services</w:t>
      </w:r>
      <w:r>
        <w:rPr>
          <w:szCs w:val="20"/>
        </w:rPr>
        <w:t xml:space="preserve"> (www.who.int)</w:t>
      </w:r>
      <w:r w:rsidRPr="008A2492">
        <w:rPr>
          <w:szCs w:val="20"/>
        </w:rPr>
        <w:t xml:space="preserve">, </w:t>
      </w:r>
      <w:r>
        <w:rPr>
          <w:szCs w:val="20"/>
        </w:rPr>
        <w:t>Viewed</w:t>
      </w:r>
      <w:r w:rsidRPr="008A2492">
        <w:rPr>
          <w:szCs w:val="20"/>
        </w:rPr>
        <w:t xml:space="preserve"> 9 August 2021, &lt; </w:t>
      </w:r>
      <w:hyperlink r:id="rId116" w:history="1">
        <w:r w:rsidRPr="008A2492">
          <w:rPr>
            <w:rStyle w:val="Hyperlink"/>
            <w:szCs w:val="20"/>
          </w:rPr>
          <w:t>http://apps.who.int/iris/bitstream/handle/10665/75217/9789241503594_eng.pdf;sequence=1</w:t>
        </w:r>
      </w:hyperlink>
      <w:r w:rsidR="00866618">
        <w:rPr>
          <w:szCs w:val="20"/>
        </w:rPr>
        <w:t>&gt;.</w:t>
      </w:r>
    </w:p>
    <w:p w14:paraId="0C4FD015" w14:textId="77777777" w:rsidR="004F656F" w:rsidRDefault="00600502" w:rsidP="005D6F72">
      <w:pPr>
        <w:pStyle w:val="BodyText"/>
      </w:pPr>
      <w:r w:rsidRPr="00600502">
        <w:t xml:space="preserve">The Royal Australian &amp; New Zealand College of Psychiatrists (2021), </w:t>
      </w:r>
      <w:r>
        <w:t xml:space="preserve">Position Statement 83, </w:t>
      </w:r>
      <w:r w:rsidRPr="00600502">
        <w:t>Recognising and addressing the mental health needs of the LGBTIQ+ population</w:t>
      </w:r>
      <w:r>
        <w:t>. Viewed 4 July 2022</w:t>
      </w:r>
      <w:r w:rsidRPr="00600502">
        <w:t>,</w:t>
      </w:r>
      <w:r w:rsidR="00FE5228" w:rsidRPr="00FE5228">
        <w:t xml:space="preserve"> </w:t>
      </w:r>
      <w:r w:rsidR="00E43522">
        <w:t>&lt;</w:t>
      </w:r>
      <w:hyperlink r:id="rId117" w:history="1">
        <w:r w:rsidR="00FE5228" w:rsidRPr="006C749C">
          <w:rPr>
            <w:rStyle w:val="Hyperlink"/>
          </w:rPr>
          <w:t>https://www.ranzcp.org/news-policy/policy-and-advocacy/position-statements/mental-health-needs-lgbtiq</w:t>
        </w:r>
      </w:hyperlink>
      <w:r w:rsidR="00E43522">
        <w:t>&gt;</w:t>
      </w:r>
      <w:r w:rsidR="00866618">
        <w:t>.</w:t>
      </w:r>
    </w:p>
    <w:p w14:paraId="4297D5EB" w14:textId="61BF8B4C" w:rsidR="00A852CA" w:rsidRPr="005C2DF8" w:rsidRDefault="006E2413" w:rsidP="000F5672">
      <w:pPr>
        <w:pStyle w:val="AppendixHeading2"/>
      </w:pPr>
      <w:r w:rsidRPr="006D7271">
        <w:t>Website reference</w:t>
      </w:r>
    </w:p>
    <w:p w14:paraId="55F680D2" w14:textId="670E0FFF" w:rsidR="006E2413" w:rsidRDefault="006E2413" w:rsidP="006E2413">
      <w:pPr>
        <w:pStyle w:val="BodyText"/>
        <w:rPr>
          <w:szCs w:val="20"/>
        </w:rPr>
      </w:pPr>
      <w:r w:rsidRPr="006233C0">
        <w:rPr>
          <w:szCs w:val="20"/>
        </w:rPr>
        <w:t xml:space="preserve">Australian Bureau of Statistics 2020, </w:t>
      </w:r>
      <w:r w:rsidRPr="000D4EFE">
        <w:rPr>
          <w:i/>
          <w:iCs/>
          <w:szCs w:val="20"/>
        </w:rPr>
        <w:t>National, state and territory population, March 2020</w:t>
      </w:r>
      <w:r w:rsidRPr="006233C0">
        <w:rPr>
          <w:szCs w:val="20"/>
        </w:rPr>
        <w:t>,</w:t>
      </w:r>
      <w:r w:rsidRPr="00FE4A29">
        <w:rPr>
          <w:i/>
          <w:iCs/>
          <w:szCs w:val="20"/>
        </w:rPr>
        <w:t xml:space="preserve"> Population </w:t>
      </w:r>
      <w:r>
        <w:rPr>
          <w:i/>
          <w:iCs/>
          <w:szCs w:val="20"/>
        </w:rPr>
        <w:t>–</w:t>
      </w:r>
      <w:r w:rsidRPr="00FE4A29">
        <w:rPr>
          <w:i/>
          <w:iCs/>
          <w:szCs w:val="20"/>
        </w:rPr>
        <w:t xml:space="preserve"> Australia</w:t>
      </w:r>
      <w:r>
        <w:rPr>
          <w:i/>
          <w:iCs/>
          <w:szCs w:val="20"/>
        </w:rPr>
        <w:t xml:space="preserve"> (</w:t>
      </w:r>
      <w:r w:rsidRPr="006233C0">
        <w:rPr>
          <w:szCs w:val="20"/>
        </w:rPr>
        <w:t>www.abs.gov.au</w:t>
      </w:r>
      <w:r>
        <w:rPr>
          <w:szCs w:val="20"/>
        </w:rPr>
        <w:t>)</w:t>
      </w:r>
      <w:r w:rsidRPr="006233C0">
        <w:rPr>
          <w:szCs w:val="20"/>
        </w:rPr>
        <w:t xml:space="preserve">, </w:t>
      </w:r>
      <w:r w:rsidR="00ED7AA4">
        <w:rPr>
          <w:szCs w:val="20"/>
        </w:rPr>
        <w:t>V</w:t>
      </w:r>
      <w:r w:rsidRPr="006233C0">
        <w:rPr>
          <w:szCs w:val="20"/>
        </w:rPr>
        <w:t>iewed 27 August 2021, &lt;</w:t>
      </w:r>
      <w:hyperlink r:id="rId118" w:history="1">
        <w:r w:rsidRPr="001C6322">
          <w:rPr>
            <w:rStyle w:val="Hyperlink"/>
            <w:szCs w:val="20"/>
          </w:rPr>
          <w:t>https://www.abs.gov.au/statistics/people/population/national-state-and-territory-population/latest-release#data-download</w:t>
        </w:r>
      </w:hyperlink>
      <w:r w:rsidRPr="006233C0">
        <w:rPr>
          <w:szCs w:val="20"/>
        </w:rPr>
        <w:t>&gt;.</w:t>
      </w:r>
    </w:p>
    <w:p w14:paraId="6CB8DA11" w14:textId="30FA18BB" w:rsidR="006E2413" w:rsidRPr="006233C0" w:rsidRDefault="006E2413" w:rsidP="006E2413">
      <w:pPr>
        <w:pStyle w:val="BodyText"/>
        <w:rPr>
          <w:szCs w:val="20"/>
        </w:rPr>
      </w:pPr>
      <w:r w:rsidRPr="006233C0">
        <w:rPr>
          <w:szCs w:val="20"/>
        </w:rPr>
        <w:t xml:space="preserve">Australian Bureau of Statistics 2019, </w:t>
      </w:r>
      <w:r w:rsidRPr="000D4EFE">
        <w:rPr>
          <w:i/>
          <w:iCs/>
          <w:szCs w:val="20"/>
        </w:rPr>
        <w:t>Estimates and Projections, Aboriginal and Torres Strait Islander Australians, 2006 - 2031</w:t>
      </w:r>
      <w:r w:rsidRPr="006233C0">
        <w:rPr>
          <w:szCs w:val="20"/>
        </w:rPr>
        <w:t xml:space="preserve">, Table 5.9 </w:t>
      </w:r>
      <w:r>
        <w:rPr>
          <w:szCs w:val="20"/>
        </w:rPr>
        <w:t>(</w:t>
      </w:r>
      <w:r w:rsidRPr="006233C0">
        <w:rPr>
          <w:szCs w:val="20"/>
        </w:rPr>
        <w:t>www.abs.gov.au</w:t>
      </w:r>
      <w:r>
        <w:rPr>
          <w:szCs w:val="20"/>
        </w:rPr>
        <w:t>)</w:t>
      </w:r>
      <w:r w:rsidRPr="006233C0">
        <w:rPr>
          <w:szCs w:val="20"/>
        </w:rPr>
        <w:t xml:space="preserve">, </w:t>
      </w:r>
      <w:r w:rsidR="00ED7AA4">
        <w:rPr>
          <w:szCs w:val="20"/>
        </w:rPr>
        <w:t>V</w:t>
      </w:r>
      <w:r w:rsidRPr="006233C0">
        <w:rPr>
          <w:szCs w:val="20"/>
        </w:rPr>
        <w:t>iewed 27 August 2021, &lt;</w:t>
      </w:r>
      <w:hyperlink r:id="rId119" w:history="1">
        <w:r w:rsidRPr="001C6322">
          <w:rPr>
            <w:rStyle w:val="Hyperlink"/>
            <w:szCs w:val="20"/>
          </w:rPr>
          <w:t>https://www.abs.gov.au/statistics/people/aboriginal-and-torres-strait-islander-peoples/estimates-and-projections-aboriginal-and-torres-strait-islander-australians/2006-2031#data-download</w:t>
        </w:r>
      </w:hyperlink>
      <w:r w:rsidRPr="006233C0">
        <w:rPr>
          <w:szCs w:val="20"/>
        </w:rPr>
        <w:t>&gt;.</w:t>
      </w:r>
    </w:p>
    <w:p w14:paraId="0A92BFF5" w14:textId="72691F90" w:rsidR="007F5F0F" w:rsidRPr="007F5F0F" w:rsidRDefault="006E2413" w:rsidP="007F5F0F">
      <w:pPr>
        <w:pStyle w:val="BodyText"/>
        <w:rPr>
          <w:szCs w:val="20"/>
        </w:rPr>
      </w:pPr>
      <w:r w:rsidRPr="008A2492">
        <w:t xml:space="preserve">Australian Bureau of Statistics 2016, </w:t>
      </w:r>
      <w:r w:rsidRPr="000D4EFE">
        <w:rPr>
          <w:i/>
          <w:iCs/>
        </w:rPr>
        <w:t xml:space="preserve">The Australian Statistical Geography Standard (ASGS) </w:t>
      </w:r>
      <w:r w:rsidRPr="000D4EFE">
        <w:rPr>
          <w:i/>
          <w:iCs/>
          <w:szCs w:val="20"/>
        </w:rPr>
        <w:t>Remoteness Structure</w:t>
      </w:r>
      <w:r w:rsidRPr="006233C0">
        <w:rPr>
          <w:szCs w:val="20"/>
        </w:rPr>
        <w:t xml:space="preserve"> </w:t>
      </w:r>
      <w:r>
        <w:rPr>
          <w:szCs w:val="20"/>
        </w:rPr>
        <w:t>(</w:t>
      </w:r>
      <w:r w:rsidRPr="006233C0">
        <w:rPr>
          <w:szCs w:val="20"/>
        </w:rPr>
        <w:t>Abs.gov.au</w:t>
      </w:r>
      <w:r>
        <w:rPr>
          <w:szCs w:val="20"/>
        </w:rPr>
        <w:t>)</w:t>
      </w:r>
      <w:r w:rsidRPr="006233C0">
        <w:rPr>
          <w:szCs w:val="20"/>
        </w:rPr>
        <w:t xml:space="preserve">, </w:t>
      </w:r>
      <w:r w:rsidR="00ED7AA4">
        <w:rPr>
          <w:szCs w:val="20"/>
        </w:rPr>
        <w:t>V</w:t>
      </w:r>
      <w:r w:rsidRPr="006233C0">
        <w:rPr>
          <w:szCs w:val="20"/>
        </w:rPr>
        <w:t>iewed 25 August 2021, &lt;</w:t>
      </w:r>
      <w:hyperlink r:id="rId120" w:history="1">
        <w:r w:rsidRPr="001C6322">
          <w:rPr>
            <w:rStyle w:val="Hyperlink"/>
            <w:szCs w:val="20"/>
          </w:rPr>
          <w:t>https://www.abs.gov.au/websitedbs/D3310114.nsf/home/remoteness+structure</w:t>
        </w:r>
      </w:hyperlink>
      <w:r w:rsidRPr="006233C0">
        <w:rPr>
          <w:szCs w:val="20"/>
        </w:rPr>
        <w:t>&gt;.</w:t>
      </w:r>
    </w:p>
    <w:p w14:paraId="64E98366" w14:textId="7076C4BF" w:rsidR="00B51163" w:rsidRPr="006233C0" w:rsidRDefault="00B51163" w:rsidP="007C0E92">
      <w:pPr>
        <w:pStyle w:val="BodyText"/>
        <w:rPr>
          <w:szCs w:val="20"/>
        </w:rPr>
      </w:pPr>
      <w:r w:rsidRPr="008A4032">
        <w:t xml:space="preserve">Australian Bureau of Statistics 2012, 4817.0.55.001 - Information Paper: Use of the Kessler Psychological Distress Scale in ABS Health Surveys, Australia, 2007-08, www.abs.gov.au, </w:t>
      </w:r>
      <w:r w:rsidR="00ED7AA4">
        <w:t>V</w:t>
      </w:r>
      <w:r w:rsidRPr="008A4032">
        <w:t>iewed 30</w:t>
      </w:r>
      <w:r w:rsidR="007E071A">
        <w:t> </w:t>
      </w:r>
      <w:r w:rsidRPr="008A4032">
        <w:t>August 2021, &lt;</w:t>
      </w:r>
      <w:r w:rsidRPr="00E17E92">
        <w:rPr>
          <w:rStyle w:val="Hyperlink"/>
        </w:rPr>
        <w:t>https://www.abs.gov.au/ausstats/abs@.nsf/lookup/4817.0.55.001chapter92007-08</w:t>
      </w:r>
      <w:r w:rsidRPr="008A4032">
        <w:t>&gt;.</w:t>
      </w:r>
    </w:p>
    <w:p w14:paraId="3ADABE32" w14:textId="28E45EC5" w:rsidR="007C0E92" w:rsidRPr="000F5672" w:rsidRDefault="007C0E92" w:rsidP="007C0E92">
      <w:pPr>
        <w:pStyle w:val="FootnoteText"/>
        <w:rPr>
          <w:sz w:val="20"/>
          <w:szCs w:val="24"/>
        </w:rPr>
      </w:pPr>
      <w:r w:rsidRPr="000F5672">
        <w:rPr>
          <w:sz w:val="20"/>
          <w:szCs w:val="24"/>
        </w:rPr>
        <w:t xml:space="preserve">Australian Institute of Health and Welfare 2020, </w:t>
      </w:r>
      <w:r w:rsidRPr="000F5672">
        <w:rPr>
          <w:i/>
          <w:sz w:val="20"/>
          <w:szCs w:val="24"/>
        </w:rPr>
        <w:t>Medicare-subsidised GP, allied health and specialist health care across local areas: 2013–14 to 2018–19, Technical information</w:t>
      </w:r>
      <w:r w:rsidRPr="000F5672">
        <w:rPr>
          <w:sz w:val="20"/>
          <w:szCs w:val="24"/>
        </w:rPr>
        <w:t xml:space="preserve"> (https://www.aihw.gov.au/), </w:t>
      </w:r>
      <w:r w:rsidR="00ED7AA4">
        <w:rPr>
          <w:sz w:val="20"/>
          <w:szCs w:val="24"/>
        </w:rPr>
        <w:t>V</w:t>
      </w:r>
      <w:r w:rsidRPr="000F5672">
        <w:rPr>
          <w:sz w:val="20"/>
          <w:szCs w:val="24"/>
        </w:rPr>
        <w:t>iewed 31 August 2021, &lt;</w:t>
      </w:r>
      <w:hyperlink r:id="rId121" w:history="1">
        <w:r w:rsidRPr="001C6322">
          <w:rPr>
            <w:rStyle w:val="Hyperlink"/>
            <w:sz w:val="20"/>
            <w:szCs w:val="28"/>
          </w:rPr>
          <w:t>https://www.aihw.gov.au/reports/primary-health-care/medicare-subsidised-health-local-areas-2019/contents/technical-information</w:t>
        </w:r>
      </w:hyperlink>
      <w:r w:rsidRPr="000F5672">
        <w:rPr>
          <w:sz w:val="20"/>
          <w:szCs w:val="24"/>
        </w:rPr>
        <w:t>&gt;.</w:t>
      </w:r>
    </w:p>
    <w:p w14:paraId="74BF53BC" w14:textId="44C98EE5" w:rsidR="006E2413" w:rsidRPr="008A2492" w:rsidRDefault="006E2413" w:rsidP="006E2413">
      <w:pPr>
        <w:pStyle w:val="BodyText"/>
      </w:pPr>
      <w:r w:rsidRPr="008A2492">
        <w:t xml:space="preserve">Department of Health [2019], </w:t>
      </w:r>
      <w:r w:rsidRPr="000D4EFE">
        <w:rPr>
          <w:i/>
          <w:iCs/>
        </w:rPr>
        <w:t>The Australian health system</w:t>
      </w:r>
      <w:r>
        <w:t xml:space="preserve"> (www.health.gov.au)</w:t>
      </w:r>
      <w:r w:rsidRPr="008A2492">
        <w:t xml:space="preserve">, </w:t>
      </w:r>
      <w:r>
        <w:t>Viewed</w:t>
      </w:r>
      <w:r w:rsidRPr="008A2492">
        <w:t xml:space="preserve"> 6 August 2021, </w:t>
      </w:r>
      <w:hyperlink r:id="rId122" w:anchor="primary-health-networks" w:history="1">
        <w:r w:rsidRPr="008A2492">
          <w:rPr>
            <w:rStyle w:val="Hyperlink"/>
          </w:rPr>
          <w:t>https://www.health.gov.au/about-us/the-australian-health-system#primary-health-networks</w:t>
        </w:r>
      </w:hyperlink>
      <w:r w:rsidRPr="008A2492">
        <w:t xml:space="preserve"> </w:t>
      </w:r>
    </w:p>
    <w:p w14:paraId="6AFC4FC0" w14:textId="037BD201" w:rsidR="006E2413" w:rsidRPr="008A2492" w:rsidRDefault="006E2413" w:rsidP="006E2413">
      <w:pPr>
        <w:pStyle w:val="BodyText"/>
      </w:pPr>
      <w:r w:rsidRPr="008A2492">
        <w:t xml:space="preserve">Department of Health [n.d.], </w:t>
      </w:r>
      <w:r w:rsidRPr="00F91938">
        <w:rPr>
          <w:i/>
          <w:iCs/>
        </w:rPr>
        <w:t>Welcome to the PMHC-MDS - Primary Mental Health Care Minimum Data Set</w:t>
      </w:r>
      <w:r>
        <w:rPr>
          <w:i/>
          <w:iCs/>
        </w:rPr>
        <w:t xml:space="preserve"> </w:t>
      </w:r>
      <w:r>
        <w:t>(pmhc-mds.com)</w:t>
      </w:r>
      <w:r w:rsidRPr="008A2492">
        <w:t xml:space="preserve">, </w:t>
      </w:r>
      <w:r>
        <w:t>Viewed</w:t>
      </w:r>
      <w:r w:rsidRPr="008A2492">
        <w:t xml:space="preserve"> 9 Aug 2021, &lt;</w:t>
      </w:r>
      <w:hyperlink r:id="rId123" w:history="1">
        <w:r w:rsidRPr="008A2492">
          <w:rPr>
            <w:rStyle w:val="Hyperlink"/>
          </w:rPr>
          <w:t>https://pmhc-mds.com/</w:t>
        </w:r>
      </w:hyperlink>
      <w:r w:rsidRPr="008A2492">
        <w:t>&gt;</w:t>
      </w:r>
      <w:r>
        <w:t>.</w:t>
      </w:r>
    </w:p>
    <w:p w14:paraId="6C8C6DB6" w14:textId="66003228" w:rsidR="006E2413" w:rsidRPr="008A2492" w:rsidRDefault="006E2413" w:rsidP="006E2413">
      <w:pPr>
        <w:pStyle w:val="BodyText"/>
        <w:rPr>
          <w:szCs w:val="20"/>
        </w:rPr>
      </w:pPr>
      <w:r w:rsidRPr="008A2492">
        <w:rPr>
          <w:szCs w:val="20"/>
        </w:rPr>
        <w:t xml:space="preserve">headspace National [2021] </w:t>
      </w:r>
      <w:r w:rsidRPr="00F91938">
        <w:rPr>
          <w:i/>
          <w:iCs/>
          <w:szCs w:val="20"/>
        </w:rPr>
        <w:t>headspace Family and Friends Satisfaction Survey</w:t>
      </w:r>
      <w:r>
        <w:rPr>
          <w:szCs w:val="20"/>
        </w:rPr>
        <w:t xml:space="preserve"> (headspace.org</w:t>
      </w:r>
      <w:r w:rsidR="00DC0B95">
        <w:rPr>
          <w:szCs w:val="20"/>
        </w:rPr>
        <w:t>.</w:t>
      </w:r>
      <w:r>
        <w:rPr>
          <w:szCs w:val="20"/>
        </w:rPr>
        <w:t>au)</w:t>
      </w:r>
      <w:r w:rsidRPr="00F91938">
        <w:rPr>
          <w:i/>
          <w:iCs/>
          <w:szCs w:val="20"/>
        </w:rPr>
        <w:t>,</w:t>
      </w:r>
      <w:r w:rsidRPr="008A2492">
        <w:rPr>
          <w:szCs w:val="20"/>
        </w:rPr>
        <w:t xml:space="preserve"> </w:t>
      </w:r>
      <w:r>
        <w:rPr>
          <w:szCs w:val="20"/>
        </w:rPr>
        <w:t>Viewed</w:t>
      </w:r>
      <w:r w:rsidRPr="008A2492">
        <w:rPr>
          <w:szCs w:val="20"/>
        </w:rPr>
        <w:t xml:space="preserve"> 11 August 2021, &lt; </w:t>
      </w:r>
      <w:hyperlink r:id="rId124" w:history="1">
        <w:r w:rsidRPr="008A2492">
          <w:rPr>
            <w:rStyle w:val="Hyperlink"/>
            <w:szCs w:val="20"/>
          </w:rPr>
          <w:t>https://headspace.org.au/friends-and-family/mental-health/</w:t>
        </w:r>
      </w:hyperlink>
      <w:r w:rsidRPr="008A2492">
        <w:rPr>
          <w:szCs w:val="20"/>
        </w:rPr>
        <w:t>&gt;</w:t>
      </w:r>
      <w:r>
        <w:rPr>
          <w:szCs w:val="20"/>
        </w:rPr>
        <w:t>.</w:t>
      </w:r>
      <w:r w:rsidRPr="008A2492">
        <w:rPr>
          <w:szCs w:val="20"/>
        </w:rPr>
        <w:t xml:space="preserve"> </w:t>
      </w:r>
    </w:p>
    <w:p w14:paraId="6259CDC9" w14:textId="46B00133" w:rsidR="006E2413" w:rsidRPr="008A2492" w:rsidRDefault="006E2413" w:rsidP="006E2413">
      <w:pPr>
        <w:pStyle w:val="BodyText"/>
      </w:pPr>
      <w:r w:rsidRPr="008A2492">
        <w:t xml:space="preserve">headspace National [2021] </w:t>
      </w:r>
      <w:r w:rsidRPr="00F91938">
        <w:rPr>
          <w:i/>
          <w:iCs/>
        </w:rPr>
        <w:t>Evaluation, Research and Annual Reports</w:t>
      </w:r>
      <w:r>
        <w:rPr>
          <w:i/>
          <w:iCs/>
        </w:rPr>
        <w:t xml:space="preserve"> </w:t>
      </w:r>
      <w:r>
        <w:rPr>
          <w:szCs w:val="20"/>
        </w:rPr>
        <w:t>(headspace.org</w:t>
      </w:r>
      <w:r w:rsidR="00DC0B95">
        <w:rPr>
          <w:szCs w:val="20"/>
        </w:rPr>
        <w:t>.</w:t>
      </w:r>
      <w:r>
        <w:rPr>
          <w:szCs w:val="20"/>
        </w:rPr>
        <w:t>au)</w:t>
      </w:r>
      <w:r w:rsidRPr="008A2492">
        <w:t xml:space="preserve">, </w:t>
      </w:r>
      <w:r>
        <w:t>Viewed</w:t>
      </w:r>
      <w:r w:rsidRPr="008A2492">
        <w:t xml:space="preserve"> 9</w:t>
      </w:r>
      <w:r w:rsidR="007E071A">
        <w:t> </w:t>
      </w:r>
      <w:r w:rsidRPr="008A2492">
        <w:t>August 2021, &lt;</w:t>
      </w:r>
      <w:hyperlink r:id="rId125" w:history="1">
        <w:r w:rsidRPr="008A2492">
          <w:rPr>
            <w:rStyle w:val="Hyperlink"/>
          </w:rPr>
          <w:t>https://headspace.org.au/about-us/evaluation-research-reports/</w:t>
        </w:r>
      </w:hyperlink>
      <w:r w:rsidRPr="008A2492">
        <w:t>&gt;</w:t>
      </w:r>
      <w:r>
        <w:t>.</w:t>
      </w:r>
    </w:p>
    <w:p w14:paraId="66369F24" w14:textId="30E5D508" w:rsidR="002443AF" w:rsidRDefault="002443AF" w:rsidP="006E2413">
      <w:pPr>
        <w:pStyle w:val="BodyText"/>
      </w:pPr>
      <w:r w:rsidRPr="002443AF">
        <w:t xml:space="preserve">National Mental Health and Suicide Prevention Agreement, 2022, accessed at </w:t>
      </w:r>
      <w:hyperlink r:id="rId126" w:history="1">
        <w:r w:rsidR="001C6322" w:rsidRPr="00BF3D38">
          <w:rPr>
            <w:rStyle w:val="Hyperlink"/>
          </w:rPr>
          <w:t>https://federalfinancialrelations.gov.au/sites/federalfinancialrelations.gov.au/files/2022-05/nmh_suicide_prevention_agreement.pdf</w:t>
        </w:r>
      </w:hyperlink>
      <w:r w:rsidR="001C6322">
        <w:t xml:space="preserve"> </w:t>
      </w:r>
    </w:p>
    <w:p w14:paraId="2A387CCD" w14:textId="0974F062" w:rsidR="006E2413" w:rsidRPr="008A2492" w:rsidRDefault="006E2413" w:rsidP="006E2413">
      <w:pPr>
        <w:pStyle w:val="BodyText"/>
      </w:pPr>
      <w:r w:rsidRPr="008A2492">
        <w:t xml:space="preserve">Orygen [n.d]. </w:t>
      </w:r>
      <w:r w:rsidRPr="00022163">
        <w:rPr>
          <w:i/>
          <w:iCs/>
        </w:rPr>
        <w:t>History - Orygen, Revolution in Mind</w:t>
      </w:r>
      <w:r>
        <w:t xml:space="preserve"> (www.orygen.org.au)</w:t>
      </w:r>
      <w:r w:rsidRPr="008A2492">
        <w:t xml:space="preserve">, </w:t>
      </w:r>
      <w:r>
        <w:t>Viewed</w:t>
      </w:r>
      <w:r w:rsidRPr="008A2492">
        <w:t xml:space="preserve"> 6 August 2021</w:t>
      </w:r>
      <w:r>
        <w:t>,</w:t>
      </w:r>
      <w:r w:rsidRPr="008A2492">
        <w:t xml:space="preserve"> </w:t>
      </w:r>
      <w:r>
        <w:t>&lt;</w:t>
      </w:r>
      <w:hyperlink r:id="rId127" w:history="1">
        <w:r w:rsidRPr="00176244">
          <w:rPr>
            <w:rStyle w:val="Hyperlink"/>
          </w:rPr>
          <w:t>https://www.orygen.org.au/About/History</w:t>
        </w:r>
      </w:hyperlink>
      <w:r>
        <w:rPr>
          <w:rStyle w:val="Hyperlink"/>
        </w:rPr>
        <w:t>&gt;.</w:t>
      </w:r>
    </w:p>
    <w:p w14:paraId="541883B6" w14:textId="786C102A" w:rsidR="006E2413" w:rsidRPr="008A2492" w:rsidRDefault="006E2413" w:rsidP="006E2413">
      <w:pPr>
        <w:pStyle w:val="BodyText"/>
        <w:rPr>
          <w:szCs w:val="20"/>
        </w:rPr>
      </w:pPr>
      <w:r w:rsidRPr="008A2492">
        <w:rPr>
          <w:szCs w:val="20"/>
        </w:rPr>
        <w:t xml:space="preserve">Public Health Information Development Unit 2021, </w:t>
      </w:r>
      <w:r w:rsidRPr="00E40890">
        <w:rPr>
          <w:i/>
          <w:iCs/>
          <w:szCs w:val="20"/>
        </w:rPr>
        <w:t>Social Health Atlas of Australia</w:t>
      </w:r>
      <w:r>
        <w:rPr>
          <w:i/>
          <w:iCs/>
          <w:szCs w:val="20"/>
        </w:rPr>
        <w:t xml:space="preserve"> </w:t>
      </w:r>
      <w:r>
        <w:rPr>
          <w:szCs w:val="20"/>
        </w:rPr>
        <w:t>(</w:t>
      </w:r>
      <w:r w:rsidRPr="008F369B">
        <w:rPr>
          <w:szCs w:val="20"/>
        </w:rPr>
        <w:t>phidu.torrens.edu.au</w:t>
      </w:r>
      <w:r>
        <w:rPr>
          <w:szCs w:val="20"/>
        </w:rPr>
        <w:t>)</w:t>
      </w:r>
      <w:r w:rsidRPr="008A2492">
        <w:rPr>
          <w:szCs w:val="20"/>
        </w:rPr>
        <w:t xml:space="preserve">, </w:t>
      </w:r>
      <w:r w:rsidR="00ED7AA4">
        <w:rPr>
          <w:szCs w:val="20"/>
        </w:rPr>
        <w:t>V</w:t>
      </w:r>
      <w:r w:rsidRPr="008A2492">
        <w:rPr>
          <w:szCs w:val="20"/>
        </w:rPr>
        <w:t>iewed 19 August 2021, &lt;</w:t>
      </w:r>
      <w:hyperlink r:id="rId128" w:history="1">
        <w:r w:rsidRPr="001C6322">
          <w:rPr>
            <w:rStyle w:val="Hyperlink"/>
            <w:szCs w:val="20"/>
          </w:rPr>
          <w:t>https://phidu.torrens.edu.au/social-health-atlases</w:t>
        </w:r>
      </w:hyperlink>
      <w:r w:rsidRPr="008A2492">
        <w:rPr>
          <w:szCs w:val="20"/>
        </w:rPr>
        <w:t>&gt;</w:t>
      </w:r>
      <w:r>
        <w:rPr>
          <w:szCs w:val="20"/>
        </w:rPr>
        <w:t>.</w:t>
      </w:r>
    </w:p>
    <w:p w14:paraId="25FFD362" w14:textId="6F980500" w:rsidR="00B6792F" w:rsidRDefault="00B6792F" w:rsidP="006E2413">
      <w:pPr>
        <w:pStyle w:val="BodyText"/>
        <w:rPr>
          <w:szCs w:val="20"/>
        </w:rPr>
      </w:pPr>
      <w:r w:rsidRPr="00703B56">
        <w:t xml:space="preserve">The Centre of Best Practice in Aboriginal &amp; Torres Strait Islander Suicide Prevention, </w:t>
      </w:r>
      <w:hyperlink r:id="rId129" w:history="1">
        <w:r w:rsidRPr="00A04D83">
          <w:rPr>
            <w:rStyle w:val="Hyperlink"/>
            <w:u w:val="none"/>
          </w:rPr>
          <w:t>Mental Health Assessment - CBPATSISP</w:t>
        </w:r>
      </w:hyperlink>
      <w:r>
        <w:rPr>
          <w:rStyle w:val="Hyperlink"/>
          <w:u w:val="none"/>
        </w:rPr>
        <w:t xml:space="preserve">, Viewed 21 June 2021 </w:t>
      </w:r>
      <w:r w:rsidRPr="00A04D83">
        <w:rPr>
          <w:rStyle w:val="Hyperlink"/>
        </w:rPr>
        <w:t>&lt;</w:t>
      </w:r>
      <w:hyperlink r:id="rId130" w:history="1">
        <w:r w:rsidRPr="001C6322">
          <w:rPr>
            <w:rStyle w:val="Hyperlink"/>
          </w:rPr>
          <w:t>https://cbpatsisp.com.au/clearing-house/best-practice-screening-assessment/mental-health-assessment/</w:t>
        </w:r>
      </w:hyperlink>
      <w:r w:rsidRPr="00A04D83">
        <w:rPr>
          <w:rStyle w:val="Hyperlink"/>
        </w:rPr>
        <w:t>&gt;</w:t>
      </w:r>
    </w:p>
    <w:p w14:paraId="54E94E35" w14:textId="49068CF2" w:rsidR="00FA0542" w:rsidRDefault="00FA0542" w:rsidP="006E2413">
      <w:pPr>
        <w:pStyle w:val="BodyText"/>
        <w:rPr>
          <w:szCs w:val="20"/>
        </w:rPr>
      </w:pPr>
      <w:r>
        <w:rPr>
          <w:szCs w:val="20"/>
        </w:rPr>
        <w:t>Who are we</w:t>
      </w:r>
      <w:r w:rsidR="00961806">
        <w:rPr>
          <w:szCs w:val="20"/>
        </w:rPr>
        <w:t xml:space="preserve">, </w:t>
      </w:r>
      <w:r w:rsidR="007212F1">
        <w:rPr>
          <w:szCs w:val="20"/>
        </w:rPr>
        <w:t>headspace</w:t>
      </w:r>
      <w:r w:rsidR="00961806">
        <w:rPr>
          <w:szCs w:val="20"/>
        </w:rPr>
        <w:t xml:space="preserve">. </w:t>
      </w:r>
      <w:r w:rsidR="007212F1">
        <w:rPr>
          <w:szCs w:val="20"/>
        </w:rPr>
        <w:t>Viewed</w:t>
      </w:r>
      <w:r w:rsidR="00BD26E9">
        <w:rPr>
          <w:szCs w:val="20"/>
        </w:rPr>
        <w:t xml:space="preserve"> 5 June 2022</w:t>
      </w:r>
      <w:r w:rsidR="007212F1">
        <w:rPr>
          <w:szCs w:val="20"/>
        </w:rPr>
        <w:t xml:space="preserve"> &lt;</w:t>
      </w:r>
      <w:hyperlink r:id="rId131" w:history="1">
        <w:r w:rsidRPr="001C6322">
          <w:rPr>
            <w:rStyle w:val="Hyperlink"/>
          </w:rPr>
          <w:t>https://headspace.org.au/our-organisation/who-we-are/</w:t>
        </w:r>
      </w:hyperlink>
      <w:r w:rsidR="007212F1">
        <w:rPr>
          <w:szCs w:val="20"/>
        </w:rPr>
        <w:t>&gt;</w:t>
      </w:r>
    </w:p>
    <w:p w14:paraId="4B81C2A5" w14:textId="112F15E1" w:rsidR="006E2413" w:rsidRPr="008A2492" w:rsidRDefault="006E2413" w:rsidP="006E2413">
      <w:pPr>
        <w:pStyle w:val="BodyText"/>
        <w:rPr>
          <w:szCs w:val="20"/>
        </w:rPr>
      </w:pPr>
      <w:r w:rsidRPr="008A2492">
        <w:rPr>
          <w:szCs w:val="20"/>
        </w:rPr>
        <w:t xml:space="preserve">World Health Organization 2019, </w:t>
      </w:r>
      <w:r w:rsidRPr="008F369B">
        <w:rPr>
          <w:i/>
          <w:iCs/>
          <w:szCs w:val="20"/>
        </w:rPr>
        <w:t>Mental Disorders</w:t>
      </w:r>
      <w:r>
        <w:rPr>
          <w:szCs w:val="20"/>
        </w:rPr>
        <w:t xml:space="preserve"> (www.who.int)</w:t>
      </w:r>
      <w:r w:rsidRPr="008A2492">
        <w:rPr>
          <w:szCs w:val="20"/>
        </w:rPr>
        <w:t xml:space="preserve">, </w:t>
      </w:r>
      <w:r>
        <w:rPr>
          <w:szCs w:val="20"/>
        </w:rPr>
        <w:t>Viewed</w:t>
      </w:r>
      <w:r w:rsidRPr="008A2492">
        <w:rPr>
          <w:szCs w:val="20"/>
        </w:rPr>
        <w:t xml:space="preserve"> </w:t>
      </w:r>
      <w:r>
        <w:rPr>
          <w:szCs w:val="20"/>
        </w:rPr>
        <w:t>13 August 2021</w:t>
      </w:r>
      <w:r w:rsidRPr="008A2492">
        <w:rPr>
          <w:szCs w:val="20"/>
        </w:rPr>
        <w:t xml:space="preserve">, </w:t>
      </w:r>
      <w:r>
        <w:rPr>
          <w:szCs w:val="20"/>
        </w:rPr>
        <w:t>&lt;</w:t>
      </w:r>
      <w:hyperlink r:id="rId132" w:history="1">
        <w:r w:rsidRPr="00D407B6">
          <w:rPr>
            <w:rStyle w:val="Hyperlink"/>
            <w:szCs w:val="20"/>
          </w:rPr>
          <w:t>https://www.who.int/news-room/fact-sheets/detail/mental-disorders</w:t>
        </w:r>
      </w:hyperlink>
      <w:r>
        <w:rPr>
          <w:szCs w:val="20"/>
        </w:rPr>
        <w:t>&gt;.</w:t>
      </w:r>
    </w:p>
    <w:p w14:paraId="4C151280" w14:textId="03E001BE" w:rsidR="006E2413" w:rsidRPr="008A2492" w:rsidRDefault="006E2413" w:rsidP="006E2413">
      <w:pPr>
        <w:pStyle w:val="BodyText"/>
        <w:rPr>
          <w:szCs w:val="20"/>
        </w:rPr>
      </w:pPr>
      <w:r w:rsidRPr="008A2492">
        <w:rPr>
          <w:szCs w:val="20"/>
        </w:rPr>
        <w:t xml:space="preserve">World Health Organization Europe [2021] </w:t>
      </w:r>
      <w:r w:rsidRPr="009227D4">
        <w:rPr>
          <w:i/>
          <w:iCs/>
          <w:szCs w:val="20"/>
        </w:rPr>
        <w:t>Child and adolescent health - 5S Approach</w:t>
      </w:r>
      <w:r>
        <w:rPr>
          <w:i/>
          <w:iCs/>
          <w:szCs w:val="20"/>
        </w:rPr>
        <w:t xml:space="preserve"> </w:t>
      </w:r>
      <w:r>
        <w:rPr>
          <w:szCs w:val="20"/>
        </w:rPr>
        <w:t>(www.euro.who.int)</w:t>
      </w:r>
      <w:r w:rsidRPr="008A2492">
        <w:rPr>
          <w:szCs w:val="20"/>
        </w:rPr>
        <w:t xml:space="preserve">, </w:t>
      </w:r>
      <w:r>
        <w:rPr>
          <w:szCs w:val="20"/>
        </w:rPr>
        <w:t>Viewed</w:t>
      </w:r>
      <w:r w:rsidRPr="008A2492">
        <w:rPr>
          <w:szCs w:val="20"/>
        </w:rPr>
        <w:t xml:space="preserve"> </w:t>
      </w:r>
      <w:r>
        <w:rPr>
          <w:szCs w:val="20"/>
        </w:rPr>
        <w:t>23 August 2021</w:t>
      </w:r>
      <w:r w:rsidRPr="008A2492">
        <w:rPr>
          <w:szCs w:val="20"/>
        </w:rPr>
        <w:t xml:space="preserve"> &lt; </w:t>
      </w:r>
      <w:hyperlink r:id="rId133" w:history="1">
        <w:r w:rsidRPr="008A2492">
          <w:rPr>
            <w:rStyle w:val="Hyperlink"/>
            <w:szCs w:val="20"/>
          </w:rPr>
          <w:t>https://www.euro.who.int/en/health-topics/Life-stages/child-and-adolescent-health/about-child-and-adolescent-health/adolescent-health/5s-approach</w:t>
        </w:r>
      </w:hyperlink>
      <w:r w:rsidRPr="008A2492">
        <w:rPr>
          <w:szCs w:val="20"/>
        </w:rPr>
        <w:t>&gt;</w:t>
      </w:r>
      <w:r>
        <w:rPr>
          <w:szCs w:val="20"/>
        </w:rPr>
        <w:t>.</w:t>
      </w:r>
      <w:r w:rsidRPr="008A2492">
        <w:rPr>
          <w:szCs w:val="20"/>
        </w:rPr>
        <w:t xml:space="preserve"> </w:t>
      </w:r>
    </w:p>
    <w:p w14:paraId="71151604" w14:textId="3B736362" w:rsidR="00A852CA" w:rsidRPr="005C2DF8" w:rsidRDefault="006E2413" w:rsidP="000F5672">
      <w:pPr>
        <w:pStyle w:val="AppendixHeading2"/>
      </w:pPr>
      <w:r w:rsidRPr="006D7271">
        <w:t>Information provided by the department/headspace</w:t>
      </w:r>
    </w:p>
    <w:p w14:paraId="50FA7D48" w14:textId="77777777" w:rsidR="006E2413" w:rsidRPr="008A2492" w:rsidRDefault="006E2413" w:rsidP="006E2413">
      <w:pPr>
        <w:pStyle w:val="BodyText"/>
      </w:pPr>
      <w:r w:rsidRPr="008A2492">
        <w:t xml:space="preserve">headspace Bega 2021, </w:t>
      </w:r>
      <w:r w:rsidRPr="008A2492">
        <w:rPr>
          <w:i/>
          <w:iCs/>
        </w:rPr>
        <w:t xml:space="preserve">Centre Activity Overview Report Q3 Financial Year 2020-21. </w:t>
      </w:r>
      <w:r w:rsidRPr="008A2492">
        <w:t>Provided to KPMG by headspace Bega.</w:t>
      </w:r>
    </w:p>
    <w:p w14:paraId="34A5074D" w14:textId="77777777" w:rsidR="006E2413" w:rsidRPr="008A2492" w:rsidRDefault="006E2413" w:rsidP="006E2413">
      <w:pPr>
        <w:pStyle w:val="BodyText"/>
      </w:pPr>
      <w:r w:rsidRPr="008A2492">
        <w:t xml:space="preserve">headspace Joondalup 2021, </w:t>
      </w:r>
      <w:r w:rsidRPr="008A2492">
        <w:rPr>
          <w:i/>
          <w:iCs/>
        </w:rPr>
        <w:t xml:space="preserve">Centre Activity Overview Report Q4 Financial Year 2020-21. </w:t>
      </w:r>
      <w:r w:rsidRPr="008A2492">
        <w:t>Provided to KPMG by headspace Joondalup.</w:t>
      </w:r>
    </w:p>
    <w:p w14:paraId="3A15EE23" w14:textId="77777777" w:rsidR="006E2413" w:rsidRPr="008A2492" w:rsidRDefault="006E2413" w:rsidP="006E2413">
      <w:pPr>
        <w:pStyle w:val="BodyText"/>
        <w:rPr>
          <w:szCs w:val="20"/>
        </w:rPr>
      </w:pPr>
      <w:r w:rsidRPr="008A2492">
        <w:rPr>
          <w:szCs w:val="20"/>
        </w:rPr>
        <w:t xml:space="preserve">headspace Katherine 2021, </w:t>
      </w:r>
      <w:r w:rsidRPr="008A2492">
        <w:rPr>
          <w:i/>
          <w:iCs/>
          <w:szCs w:val="20"/>
        </w:rPr>
        <w:t>Centre Activity Overview Report Q3 Financial Year 2020-21</w:t>
      </w:r>
      <w:r w:rsidRPr="008A2492">
        <w:rPr>
          <w:szCs w:val="20"/>
        </w:rPr>
        <w:t>. Provided to KPMG by headspace Katherine.</w:t>
      </w:r>
    </w:p>
    <w:p w14:paraId="765D9465" w14:textId="77777777" w:rsidR="007C0E92" w:rsidRPr="00C72CEE" w:rsidRDefault="007C0E92" w:rsidP="007C0E92">
      <w:pPr>
        <w:pStyle w:val="BodyText"/>
        <w:rPr>
          <w:szCs w:val="20"/>
        </w:rPr>
      </w:pPr>
      <w:r>
        <w:rPr>
          <w:szCs w:val="20"/>
        </w:rPr>
        <w:t xml:space="preserve">headspace National 2021, </w:t>
      </w:r>
      <w:r>
        <w:rPr>
          <w:i/>
          <w:iCs/>
          <w:szCs w:val="20"/>
        </w:rPr>
        <w:t>Centre Snapshot – Your centre at a glance</w:t>
      </w:r>
      <w:r>
        <w:rPr>
          <w:szCs w:val="20"/>
        </w:rPr>
        <w:t xml:space="preserve"> </w:t>
      </w:r>
      <w:r w:rsidRPr="00C72CEE">
        <w:rPr>
          <w:i/>
          <w:iCs/>
          <w:szCs w:val="20"/>
        </w:rPr>
        <w:t>(FY2021)</w:t>
      </w:r>
      <w:r>
        <w:rPr>
          <w:i/>
          <w:iCs/>
          <w:szCs w:val="20"/>
        </w:rPr>
        <w:t xml:space="preserve"> – Mount Isa</w:t>
      </w:r>
      <w:r>
        <w:rPr>
          <w:szCs w:val="20"/>
        </w:rPr>
        <w:t>. Provided to KPMG by headspace Mount Isa.</w:t>
      </w:r>
    </w:p>
    <w:p w14:paraId="7F12E52B" w14:textId="77777777" w:rsidR="006E2413" w:rsidRPr="008A2492" w:rsidRDefault="006E2413" w:rsidP="006E2413">
      <w:pPr>
        <w:pStyle w:val="BodyText"/>
        <w:rPr>
          <w:szCs w:val="20"/>
        </w:rPr>
      </w:pPr>
      <w:r w:rsidRPr="008A2492">
        <w:rPr>
          <w:szCs w:val="20"/>
        </w:rPr>
        <w:t xml:space="preserve">headspace National 2021, </w:t>
      </w:r>
      <w:r w:rsidRPr="00F33A9F">
        <w:rPr>
          <w:i/>
          <w:szCs w:val="20"/>
        </w:rPr>
        <w:t>Tableau Dashboards</w:t>
      </w:r>
      <w:r w:rsidRPr="008A2492">
        <w:rPr>
          <w:szCs w:val="20"/>
        </w:rPr>
        <w:t>, Provided to KPMG by headspace National.</w:t>
      </w:r>
    </w:p>
    <w:p w14:paraId="12EE93D7" w14:textId="77777777" w:rsidR="006E2413" w:rsidRPr="008A2492" w:rsidRDefault="006E2413" w:rsidP="006E2413">
      <w:pPr>
        <w:pStyle w:val="BodyText"/>
        <w:rPr>
          <w:szCs w:val="20"/>
        </w:rPr>
      </w:pPr>
      <w:r w:rsidRPr="008A2492">
        <w:rPr>
          <w:szCs w:val="20"/>
        </w:rPr>
        <w:t xml:space="preserve">headspace National 2020, </w:t>
      </w:r>
      <w:r w:rsidRPr="00F33A9F">
        <w:rPr>
          <w:i/>
          <w:szCs w:val="20"/>
        </w:rPr>
        <w:t>headspace Model Integrity Framework (hMIF V2</w:t>
      </w:r>
      <w:r w:rsidRPr="008A2492">
        <w:rPr>
          <w:szCs w:val="20"/>
        </w:rPr>
        <w:t>), Provided to KPMG by headspace National.</w:t>
      </w:r>
    </w:p>
    <w:p w14:paraId="65AA6443" w14:textId="77777777" w:rsidR="006E2413" w:rsidRPr="008A2492" w:rsidRDefault="006E2413" w:rsidP="006E2413">
      <w:pPr>
        <w:pStyle w:val="BodyText"/>
        <w:rPr>
          <w:szCs w:val="20"/>
        </w:rPr>
      </w:pPr>
      <w:r w:rsidRPr="008A2492">
        <w:rPr>
          <w:szCs w:val="20"/>
        </w:rPr>
        <w:t>headspace National 2020</w:t>
      </w:r>
      <w:r>
        <w:rPr>
          <w:szCs w:val="20"/>
        </w:rPr>
        <w:t>,</w:t>
      </w:r>
      <w:r w:rsidRPr="008A2492">
        <w:rPr>
          <w:szCs w:val="20"/>
        </w:rPr>
        <w:t xml:space="preserve"> </w:t>
      </w:r>
      <w:r w:rsidRPr="00F33A9F">
        <w:rPr>
          <w:i/>
          <w:szCs w:val="20"/>
        </w:rPr>
        <w:t>Table of Definitions; headspace Services (DoH Funded) Final</w:t>
      </w:r>
      <w:r w:rsidRPr="008A2492">
        <w:rPr>
          <w:szCs w:val="20"/>
        </w:rPr>
        <w:t>. Provided to KPMG by headspace National.</w:t>
      </w:r>
    </w:p>
    <w:p w14:paraId="54D55147" w14:textId="77777777" w:rsidR="006E2413" w:rsidRPr="008A2492" w:rsidRDefault="006E2413" w:rsidP="006E2413">
      <w:pPr>
        <w:pStyle w:val="BodyText"/>
        <w:rPr>
          <w:szCs w:val="20"/>
        </w:rPr>
      </w:pPr>
      <w:r w:rsidRPr="008A2492">
        <w:rPr>
          <w:szCs w:val="20"/>
        </w:rPr>
        <w:t xml:space="preserve">headspace National 2020, </w:t>
      </w:r>
      <w:r w:rsidRPr="00F33A9F">
        <w:rPr>
          <w:i/>
          <w:szCs w:val="20"/>
        </w:rPr>
        <w:t>headspace centre services program logic model – July 2020</w:t>
      </w:r>
      <w:r w:rsidRPr="008A2492">
        <w:rPr>
          <w:szCs w:val="20"/>
        </w:rPr>
        <w:t>. Provided to KPMG by headspace National.</w:t>
      </w:r>
    </w:p>
    <w:p w14:paraId="169C0310" w14:textId="77777777" w:rsidR="007C0E92" w:rsidRDefault="007C0E92" w:rsidP="007C0E92">
      <w:pPr>
        <w:pStyle w:val="BodyText"/>
        <w:rPr>
          <w:szCs w:val="20"/>
        </w:rPr>
      </w:pPr>
      <w:r>
        <w:rPr>
          <w:szCs w:val="20"/>
        </w:rPr>
        <w:t xml:space="preserve">headspace National 2019, </w:t>
      </w:r>
      <w:r w:rsidRPr="00F33A9F">
        <w:rPr>
          <w:i/>
          <w:iCs/>
          <w:szCs w:val="20"/>
        </w:rPr>
        <w:t>headspace Primary Program Minimum Data Set_Data Dictionary</w:t>
      </w:r>
      <w:r w:rsidRPr="00F33A9F">
        <w:rPr>
          <w:i/>
          <w:iCs/>
          <w:szCs w:val="20"/>
        </w:rPr>
        <w:softHyphen/>
        <w:t>_V 3.1_July 2019</w:t>
      </w:r>
      <w:r>
        <w:rPr>
          <w:szCs w:val="20"/>
        </w:rPr>
        <w:t>.</w:t>
      </w:r>
      <w:r w:rsidRPr="008A2492">
        <w:rPr>
          <w:szCs w:val="20"/>
        </w:rPr>
        <w:t xml:space="preserve"> Provided to KPMG by headspace National.</w:t>
      </w:r>
    </w:p>
    <w:p w14:paraId="7A2E305C" w14:textId="77777777" w:rsidR="007C0E92" w:rsidRPr="00592CF4" w:rsidRDefault="007C0E92" w:rsidP="007C0E92">
      <w:pPr>
        <w:pStyle w:val="BodyText"/>
        <w:rPr>
          <w:szCs w:val="20"/>
        </w:rPr>
      </w:pPr>
      <w:r>
        <w:rPr>
          <w:szCs w:val="20"/>
        </w:rPr>
        <w:t xml:space="preserve">Youturn 2021, </w:t>
      </w:r>
      <w:r>
        <w:rPr>
          <w:i/>
          <w:iCs/>
          <w:szCs w:val="20"/>
        </w:rPr>
        <w:t xml:space="preserve">Gympie headspace Statistics July 2021. </w:t>
      </w:r>
      <w:r>
        <w:rPr>
          <w:szCs w:val="20"/>
        </w:rPr>
        <w:t>Provided to KPMG by Youturn.</w:t>
      </w:r>
    </w:p>
    <w:p w14:paraId="453B82F1" w14:textId="4C4823CA" w:rsidR="00A852CA" w:rsidRPr="005C2DF8" w:rsidRDefault="006E2413" w:rsidP="000F5672">
      <w:pPr>
        <w:pStyle w:val="AppendixHeading2"/>
      </w:pPr>
      <w:r w:rsidRPr="006D7271">
        <w:t xml:space="preserve">Data source provided by </w:t>
      </w:r>
      <w:r w:rsidRPr="003E76C7">
        <w:t>department/headspace</w:t>
      </w:r>
    </w:p>
    <w:p w14:paraId="171B2D1F" w14:textId="76762CDD" w:rsidR="006E2413" w:rsidRDefault="006E2413" w:rsidP="006E2413">
      <w:pPr>
        <w:pStyle w:val="BodyText"/>
      </w:pPr>
      <w:r w:rsidRPr="008A2492">
        <w:rPr>
          <w:szCs w:val="20"/>
        </w:rPr>
        <w:t>headspace Primary Program Minimum Data Set</w:t>
      </w:r>
      <w:r>
        <w:rPr>
          <w:szCs w:val="20"/>
        </w:rPr>
        <w:t xml:space="preserve"> data. Provided to KPMG by headspace National. </w:t>
      </w:r>
      <w:r w:rsidR="00DC708D">
        <w:rPr>
          <w:szCs w:val="20"/>
        </w:rPr>
        <w:t>2021</w:t>
      </w:r>
      <w:r w:rsidR="00A71067">
        <w:rPr>
          <w:szCs w:val="20"/>
        </w:rPr>
        <w:t>.</w:t>
      </w:r>
    </w:p>
    <w:p w14:paraId="1F3688A7" w14:textId="77777777" w:rsidR="009633A2" w:rsidRDefault="00C23190" w:rsidP="007F0B9B">
      <w:pPr>
        <w:pStyle w:val="BodyText"/>
        <w:rPr>
          <w:szCs w:val="20"/>
        </w:rPr>
      </w:pPr>
      <w:r>
        <w:rPr>
          <w:szCs w:val="20"/>
        </w:rPr>
        <w:t>h</w:t>
      </w:r>
      <w:r w:rsidRPr="000F5672">
        <w:rPr>
          <w:szCs w:val="20"/>
        </w:rPr>
        <w:t xml:space="preserve">eadspace </w:t>
      </w:r>
      <w:r>
        <w:rPr>
          <w:szCs w:val="20"/>
        </w:rPr>
        <w:t>funding data. Provided to KPMG by Department of Health.</w:t>
      </w:r>
      <w:r w:rsidR="00DC708D">
        <w:rPr>
          <w:szCs w:val="20"/>
        </w:rPr>
        <w:t xml:space="preserve"> 2021</w:t>
      </w:r>
      <w:r w:rsidR="00A71067">
        <w:rPr>
          <w:szCs w:val="20"/>
        </w:rPr>
        <w:t>.</w:t>
      </w:r>
    </w:p>
    <w:p w14:paraId="3F7A27D3" w14:textId="77777777" w:rsidR="006A2570" w:rsidRDefault="006A2570" w:rsidP="007F0B9B">
      <w:pPr>
        <w:pStyle w:val="BodyText"/>
        <w:rPr>
          <w:szCs w:val="20"/>
        </w:rPr>
      </w:pPr>
    </w:p>
    <w:p w14:paraId="4B34FEF1" w14:textId="30FEF141" w:rsidR="006A2570" w:rsidRPr="001D6913" w:rsidRDefault="006A2570" w:rsidP="007F0B9B">
      <w:pPr>
        <w:pStyle w:val="BodyText"/>
        <w:sectPr w:rsidR="006A2570" w:rsidRPr="001D6913" w:rsidSect="00E02C03">
          <w:pgSz w:w="11906" w:h="16838"/>
          <w:pgMar w:top="1418" w:right="1418" w:bottom="1418" w:left="1418" w:header="709" w:footer="453" w:gutter="0"/>
          <w:cols w:space="708"/>
          <w:docGrid w:linePitch="360"/>
        </w:sectPr>
      </w:pPr>
    </w:p>
    <w:p w14:paraId="7200F0D9" w14:textId="77777777" w:rsidR="00CC7A82" w:rsidRPr="002D1452" w:rsidRDefault="00CC7A82" w:rsidP="00CC7A82">
      <w:pPr>
        <w:pStyle w:val="Contactus"/>
        <w:rPr>
          <w:color w:val="00338D" w:themeColor="background2"/>
        </w:rPr>
      </w:pPr>
      <w:r w:rsidRPr="002D1452">
        <w:rPr>
          <w:color w:val="00338D" w:themeColor="background2"/>
        </w:rPr>
        <w:t>Contact us</w:t>
      </w:r>
    </w:p>
    <w:p w14:paraId="29249A23" w14:textId="77777777" w:rsidR="00CC7A82" w:rsidRPr="002D1452" w:rsidRDefault="00CC7A82" w:rsidP="00182BF3">
      <w:pPr>
        <w:pStyle w:val="backcoverdetails"/>
        <w:rPr>
          <w:color w:val="00338D" w:themeColor="background2"/>
        </w:rPr>
      </w:pPr>
    </w:p>
    <w:p w14:paraId="7C39FA5E" w14:textId="77777777" w:rsidR="00294197" w:rsidRPr="002D1452" w:rsidRDefault="00294197" w:rsidP="00294197">
      <w:pPr>
        <w:pStyle w:val="backcoverdetails"/>
        <w:rPr>
          <w:b/>
          <w:color w:val="00338D" w:themeColor="background2"/>
        </w:rPr>
      </w:pPr>
      <w:r w:rsidRPr="002D1452">
        <w:rPr>
          <w:b/>
          <w:color w:val="00338D" w:themeColor="background2"/>
        </w:rPr>
        <w:t>Trixie Makay</w:t>
      </w:r>
    </w:p>
    <w:p w14:paraId="5746D731" w14:textId="77777777" w:rsidR="00294197" w:rsidRPr="002D1452" w:rsidRDefault="00294197" w:rsidP="00294197">
      <w:pPr>
        <w:pStyle w:val="backcoverdetails"/>
        <w:rPr>
          <w:color w:val="00338D" w:themeColor="background2"/>
        </w:rPr>
      </w:pPr>
      <w:r w:rsidRPr="002D1452">
        <w:rPr>
          <w:color w:val="00338D" w:themeColor="background2"/>
        </w:rPr>
        <w:t>Partner, Health, Ageing and Human Services</w:t>
      </w:r>
    </w:p>
    <w:p w14:paraId="53BA5422" w14:textId="77777777" w:rsidR="00294197" w:rsidRPr="002D1452" w:rsidRDefault="00294197" w:rsidP="00294197">
      <w:pPr>
        <w:pStyle w:val="backcoverdetails"/>
        <w:rPr>
          <w:color w:val="00338D" w:themeColor="background2"/>
        </w:rPr>
      </w:pPr>
      <w:r w:rsidRPr="002D1452">
        <w:rPr>
          <w:color w:val="00338D" w:themeColor="background2"/>
        </w:rPr>
        <w:t>+ 61 411 262 346</w:t>
      </w:r>
    </w:p>
    <w:p w14:paraId="2E3A7452" w14:textId="77777777" w:rsidR="00CC7A82" w:rsidRPr="002D1452" w:rsidRDefault="00294197" w:rsidP="00294197">
      <w:pPr>
        <w:pStyle w:val="backcoverdetails"/>
        <w:rPr>
          <w:color w:val="00338D" w:themeColor="background2"/>
        </w:rPr>
      </w:pPr>
      <w:r w:rsidRPr="002D1452">
        <w:rPr>
          <w:color w:val="00338D" w:themeColor="background2"/>
        </w:rPr>
        <w:t>tmakay@kpmg.com.au</w:t>
      </w:r>
    </w:p>
    <w:p w14:paraId="138D2AB5" w14:textId="77777777" w:rsidR="00CC7A82" w:rsidRPr="002D1452" w:rsidRDefault="00CC7A82" w:rsidP="00CC7A82">
      <w:pPr>
        <w:pStyle w:val="backcoverdetails"/>
        <w:rPr>
          <w:color w:val="00338D" w:themeColor="background2"/>
        </w:rPr>
      </w:pPr>
    </w:p>
    <w:p w14:paraId="29AC2F15" w14:textId="77777777" w:rsidR="00294197" w:rsidRPr="002D1452" w:rsidRDefault="00294197" w:rsidP="00294197">
      <w:pPr>
        <w:pStyle w:val="backcoverdetails"/>
        <w:rPr>
          <w:b/>
          <w:color w:val="00338D" w:themeColor="background2"/>
        </w:rPr>
      </w:pPr>
      <w:r w:rsidRPr="002D1452">
        <w:rPr>
          <w:b/>
          <w:color w:val="00338D" w:themeColor="background2"/>
        </w:rPr>
        <w:t>Andrew Dempster</w:t>
      </w:r>
    </w:p>
    <w:p w14:paraId="4D96FD7D" w14:textId="071CF51E" w:rsidR="00294197" w:rsidRPr="002D1452" w:rsidRDefault="00CB29CF" w:rsidP="00294197">
      <w:pPr>
        <w:pStyle w:val="backcoverdetails"/>
        <w:rPr>
          <w:color w:val="00338D" w:themeColor="background2"/>
        </w:rPr>
      </w:pPr>
      <w:r w:rsidRPr="002D1452">
        <w:rPr>
          <w:color w:val="00338D" w:themeColor="background2"/>
        </w:rPr>
        <w:t xml:space="preserve">Principal </w:t>
      </w:r>
      <w:r w:rsidR="00294197" w:rsidRPr="002D1452">
        <w:rPr>
          <w:color w:val="00338D" w:themeColor="background2"/>
        </w:rPr>
        <w:t>Director, Health, Ageing and Human Services</w:t>
      </w:r>
    </w:p>
    <w:p w14:paraId="34877B7A" w14:textId="77777777" w:rsidR="00294197" w:rsidRPr="002D1452" w:rsidRDefault="00294197" w:rsidP="00294197">
      <w:pPr>
        <w:pStyle w:val="backcoverdetails"/>
        <w:rPr>
          <w:color w:val="00338D" w:themeColor="background2"/>
        </w:rPr>
      </w:pPr>
      <w:r w:rsidRPr="002D1452">
        <w:rPr>
          <w:color w:val="00338D" w:themeColor="background2"/>
        </w:rPr>
        <w:t>+ 61 412 883 667</w:t>
      </w:r>
    </w:p>
    <w:p w14:paraId="4C98D3B5" w14:textId="77777777" w:rsidR="00CC7A82" w:rsidRPr="002D1452" w:rsidRDefault="00294197" w:rsidP="00294197">
      <w:pPr>
        <w:pStyle w:val="backcoverdetails"/>
        <w:rPr>
          <w:color w:val="00338D" w:themeColor="background2"/>
        </w:rPr>
      </w:pPr>
      <w:r w:rsidRPr="002D1452">
        <w:rPr>
          <w:color w:val="00338D" w:themeColor="background2"/>
        </w:rPr>
        <w:t>adempster@kpmg.com.au</w:t>
      </w:r>
    </w:p>
    <w:p w14:paraId="1DFE9F2C" w14:textId="77777777" w:rsidR="00CC7A82" w:rsidRPr="002D1452" w:rsidRDefault="00CC7A82" w:rsidP="00CC7A82">
      <w:pPr>
        <w:pStyle w:val="backcoverdetails"/>
        <w:rPr>
          <w:color w:val="00338D" w:themeColor="background2"/>
        </w:rPr>
      </w:pPr>
    </w:p>
    <w:p w14:paraId="4C2D1B59" w14:textId="77777777" w:rsidR="009633A2" w:rsidRPr="002D1452" w:rsidRDefault="00CC7A82" w:rsidP="00357FF0">
      <w:pPr>
        <w:pStyle w:val="backcoverdetails"/>
        <w:ind w:left="0" w:firstLine="425"/>
        <w:rPr>
          <w:b/>
          <w:color w:val="00338D" w:themeColor="background2"/>
        </w:rPr>
      </w:pPr>
      <w:r w:rsidRPr="002D1452">
        <w:rPr>
          <w:b/>
          <w:color w:val="00338D" w:themeColor="background2"/>
        </w:rPr>
        <w:t>kpmg.com.au</w:t>
      </w:r>
    </w:p>
    <w:sectPr w:rsidR="009633A2" w:rsidRPr="002D1452" w:rsidSect="00CC7A82">
      <w:headerReference w:type="default" r:id="rId134"/>
      <w:footerReference w:type="default" r:id="rId135"/>
      <w:pgSz w:w="11906" w:h="16838"/>
      <w:pgMar w:top="652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DF7BC" w14:textId="77777777" w:rsidR="00F333C3" w:rsidRDefault="00F333C3" w:rsidP="004A3F32">
      <w:pPr>
        <w:spacing w:after="0"/>
      </w:pPr>
      <w:r>
        <w:separator/>
      </w:r>
    </w:p>
  </w:endnote>
  <w:endnote w:type="continuationSeparator" w:id="0">
    <w:p w14:paraId="3F27FEA9" w14:textId="77777777" w:rsidR="00F333C3" w:rsidRDefault="00F333C3" w:rsidP="004A3F32">
      <w:pPr>
        <w:spacing w:after="0"/>
      </w:pPr>
      <w:r>
        <w:continuationSeparator/>
      </w:r>
    </w:p>
  </w:endnote>
  <w:endnote w:type="continuationNotice" w:id="1">
    <w:p w14:paraId="41130A6B" w14:textId="77777777" w:rsidR="00F333C3" w:rsidRDefault="00F333C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9999999">
    <w:altName w:val="Cambria"/>
    <w:panose1 w:val="00000000000000000000"/>
    <w:charset w:val="00"/>
    <w:family w:val="roman"/>
    <w:notTrueType/>
    <w:pitch w:val="default"/>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KPMG Extralight">
    <w:altName w:val="Calibri"/>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KPMG Light">
    <w:altName w:val="Calibri"/>
    <w:charset w:val="00"/>
    <w:family w:val="swiss"/>
    <w:pitch w:val="variable"/>
    <w:sig w:usb0="00000007" w:usb1="00000000" w:usb2="00000000" w:usb3="00000000" w:csb0="00000093" w:csb1="00000000"/>
  </w:font>
  <w:font w:name="Yu Mincho Light">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103355"/>
      <w:docPartObj>
        <w:docPartGallery w:val="Page Numbers (Bottom of Page)"/>
        <w:docPartUnique/>
      </w:docPartObj>
    </w:sdtPr>
    <w:sdtEndPr>
      <w:rPr>
        <w:rFonts w:cs="Cambria Math"/>
        <w:color w:val="auto"/>
        <w:sz w:val="16"/>
        <w:szCs w:val="28"/>
      </w:rPr>
    </w:sdtEndPr>
    <w:sdtContent>
      <w:p w14:paraId="360A4591" w14:textId="54F30F08" w:rsidR="00BD437F" w:rsidRPr="00CE3A66" w:rsidRDefault="00BD437F" w:rsidP="00013847">
        <w:pPr>
          <w:pStyle w:val="Footer"/>
          <w:rPr>
            <w:noProof/>
            <w:color w:val="auto"/>
          </w:rPr>
        </w:pPr>
        <w:r w:rsidRPr="00CE3A66">
          <w:rPr>
            <w:color w:val="auto"/>
          </w:rPr>
          <w:t>KPMG</w:t>
        </w:r>
        <w:r w:rsidR="00730B4D" w:rsidRPr="00CE3A66">
          <w:rPr>
            <w:color w:val="auto"/>
          </w:rPr>
          <w:t xml:space="preserve"> </w:t>
        </w:r>
        <w:r w:rsidRPr="00CE3A66">
          <w:rPr>
            <w:color w:val="auto"/>
          </w:rPr>
          <w:t>|</w:t>
        </w:r>
        <w:r w:rsidR="00730B4D" w:rsidRPr="00CE3A66">
          <w:rPr>
            <w:color w:val="auto"/>
          </w:rPr>
          <w:t xml:space="preserve"> </w:t>
        </w:r>
        <w:r w:rsidRPr="00CE3A66">
          <w:rPr>
            <w:color w:val="auto"/>
          </w:rPr>
          <w:fldChar w:fldCharType="begin"/>
        </w:r>
        <w:r w:rsidRPr="00CE3A66">
          <w:rPr>
            <w:color w:val="auto"/>
          </w:rPr>
          <w:instrText xml:space="preserve"> PAGE   \* MERGEFORMAT </w:instrText>
        </w:r>
        <w:r w:rsidRPr="00CE3A66">
          <w:rPr>
            <w:color w:val="auto"/>
          </w:rPr>
          <w:fldChar w:fldCharType="separate"/>
        </w:r>
        <w:r w:rsidRPr="00CE3A66">
          <w:rPr>
            <w:noProof/>
            <w:color w:val="auto"/>
          </w:rPr>
          <w:t>iii</w:t>
        </w:r>
        <w:r w:rsidRPr="00CE3A66">
          <w:rPr>
            <w:noProof/>
            <w:color w:val="auto"/>
          </w:rPr>
          <w:fldChar w:fldCharType="end"/>
        </w:r>
      </w:p>
      <w:p w14:paraId="161CB0F7" w14:textId="323D3FEA" w:rsidR="00BD437F" w:rsidRPr="00CE3A66" w:rsidRDefault="00BD437F" w:rsidP="00013847">
        <w:pPr>
          <w:pStyle w:val="Footer"/>
          <w:rPr>
            <w:rFonts w:cs="Cambria Math"/>
            <w:color w:val="auto"/>
          </w:rPr>
        </w:pPr>
        <w:r w:rsidRPr="00CE3A66">
          <w:rPr>
            <w:rFonts w:cs="Cambria Math"/>
            <w:color w:val="auto"/>
          </w:rPr>
          <w:t>©202</w:t>
        </w:r>
        <w:r w:rsidR="006C1729" w:rsidRPr="00CE3A66">
          <w:rPr>
            <w:rFonts w:cs="Cambria Math"/>
            <w:color w:val="auto"/>
          </w:rPr>
          <w:t>2</w:t>
        </w:r>
        <w:r w:rsidRPr="00CE3A66">
          <w:rPr>
            <w:rFonts w:cs="Cambria Math"/>
            <w:color w:val="auto"/>
          </w:rPr>
          <w:t xml:space="preserve">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r w:rsidRPr="00CE3A66">
          <w:rPr>
            <w:rFonts w:cs="Cambria Math"/>
            <w:color w:val="auto"/>
            <w:sz w:val="16"/>
            <w:szCs w:val="28"/>
          </w:rPr>
          <w:t>Liability limited by a scheme approved under Professional Standards Legislation.</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940954"/>
      <w:docPartObj>
        <w:docPartGallery w:val="Page Numbers (Bottom of Page)"/>
        <w:docPartUnique/>
      </w:docPartObj>
    </w:sdtPr>
    <w:sdtEndPr>
      <w:rPr>
        <w:color w:val="auto"/>
      </w:rPr>
    </w:sdtEndPr>
    <w:sdtContent>
      <w:p w14:paraId="6E749395" w14:textId="2F1F56BA" w:rsidR="00A5270C" w:rsidRPr="00CE3A66" w:rsidRDefault="00A5270C" w:rsidP="007E23D9">
        <w:pPr>
          <w:pStyle w:val="Footer"/>
          <w:rPr>
            <w:noProof/>
            <w:color w:val="auto"/>
          </w:rPr>
        </w:pPr>
        <w:r w:rsidRPr="00CE3A66">
          <w:rPr>
            <w:color w:val="auto"/>
          </w:rPr>
          <w:t>KPMG</w:t>
        </w:r>
        <w:r w:rsidR="00730B4D" w:rsidRPr="00CE3A66">
          <w:rPr>
            <w:color w:val="auto"/>
          </w:rPr>
          <w:t xml:space="preserve"> </w:t>
        </w:r>
        <w:r w:rsidRPr="00CE3A66">
          <w:rPr>
            <w:color w:val="auto"/>
          </w:rPr>
          <w:t>|</w:t>
        </w:r>
        <w:r w:rsidR="00730B4D" w:rsidRPr="00CE3A66">
          <w:rPr>
            <w:color w:val="auto"/>
          </w:rPr>
          <w:t xml:space="preserve"> </w:t>
        </w:r>
        <w:r w:rsidRPr="00CE3A66">
          <w:rPr>
            <w:color w:val="auto"/>
          </w:rPr>
          <w:fldChar w:fldCharType="begin"/>
        </w:r>
        <w:r w:rsidRPr="00CE3A66">
          <w:rPr>
            <w:color w:val="auto"/>
          </w:rPr>
          <w:instrText xml:space="preserve"> PAGE   \* MERGEFORMAT </w:instrText>
        </w:r>
        <w:r w:rsidRPr="00CE3A66">
          <w:rPr>
            <w:color w:val="auto"/>
          </w:rPr>
          <w:fldChar w:fldCharType="separate"/>
        </w:r>
        <w:r w:rsidRPr="00CE3A66">
          <w:rPr>
            <w:noProof/>
            <w:color w:val="auto"/>
          </w:rPr>
          <w:t>3</w:t>
        </w:r>
        <w:r w:rsidRPr="00CE3A66">
          <w:rPr>
            <w:noProof/>
            <w:color w:val="auto"/>
          </w:rPr>
          <w:fldChar w:fldCharType="end"/>
        </w:r>
      </w:p>
      <w:p w14:paraId="2C58BEEC" w14:textId="58B354BF" w:rsidR="00A5270C" w:rsidRPr="00CE3A66" w:rsidRDefault="00A5270C" w:rsidP="007F4380">
        <w:pPr>
          <w:pStyle w:val="Footer"/>
          <w:rPr>
            <w:rFonts w:cs="Arial"/>
            <w:color w:val="auto"/>
          </w:rPr>
        </w:pPr>
        <w:r w:rsidRPr="00CE3A66">
          <w:rPr>
            <w:rFonts w:cs="Arial"/>
            <w:color w:val="auto"/>
          </w:rPr>
          <w:t>©202</w:t>
        </w:r>
        <w:r w:rsidR="006C1729" w:rsidRPr="00CE3A66">
          <w:rPr>
            <w:rFonts w:cs="Arial"/>
            <w:color w:val="auto"/>
          </w:rPr>
          <w:t>2</w:t>
        </w:r>
        <w:r w:rsidRPr="00CE3A66">
          <w:rPr>
            <w:rFonts w:cs="Arial"/>
            <w:color w:val="auto"/>
          </w:rPr>
          <w:t xml:space="preserve">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r w:rsidRPr="00CE3A66">
          <w:rPr>
            <w:rFonts w:cs="Arial"/>
            <w:color w:val="auto"/>
            <w:sz w:val="16"/>
            <w:szCs w:val="28"/>
          </w:rPr>
          <w:t>Liability limited by a scheme approved under Professional Standards Legislation</w:t>
        </w:r>
        <w:r w:rsidRPr="00CE3A66">
          <w:rPr>
            <w:color w:val="auto"/>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404281"/>
      <w:docPartObj>
        <w:docPartGallery w:val="Page Numbers (Bottom of Page)"/>
        <w:docPartUnique/>
      </w:docPartObj>
    </w:sdtPr>
    <w:sdtEndPr>
      <w:rPr>
        <w:color w:val="auto"/>
      </w:rPr>
    </w:sdtEndPr>
    <w:sdtContent>
      <w:p w14:paraId="320A98A0" w14:textId="2D3CEA9E" w:rsidR="00597F18" w:rsidRPr="00CE3A66" w:rsidRDefault="00597F18" w:rsidP="00292F2A">
        <w:pPr>
          <w:pStyle w:val="Footer"/>
          <w:rPr>
            <w:noProof/>
            <w:color w:val="auto"/>
          </w:rPr>
        </w:pPr>
        <w:r w:rsidRPr="00CE3A66">
          <w:rPr>
            <w:color w:val="auto"/>
          </w:rPr>
          <w:t>KPMG</w:t>
        </w:r>
        <w:r w:rsidR="00730B4D" w:rsidRPr="00CE3A66">
          <w:rPr>
            <w:color w:val="auto"/>
          </w:rPr>
          <w:t xml:space="preserve"> </w:t>
        </w:r>
        <w:r w:rsidRPr="00CE3A66">
          <w:rPr>
            <w:color w:val="auto"/>
          </w:rPr>
          <w:t>|</w:t>
        </w:r>
        <w:r w:rsidR="00730B4D" w:rsidRPr="00CE3A66">
          <w:rPr>
            <w:color w:val="auto"/>
          </w:rPr>
          <w:t xml:space="preserve"> </w:t>
        </w:r>
        <w:r w:rsidRPr="00CE3A66">
          <w:rPr>
            <w:color w:val="auto"/>
          </w:rPr>
          <w:fldChar w:fldCharType="begin"/>
        </w:r>
        <w:r w:rsidRPr="00CE3A66">
          <w:rPr>
            <w:color w:val="auto"/>
          </w:rPr>
          <w:instrText xml:space="preserve"> PAGE   \* MERGEFORMAT </w:instrText>
        </w:r>
        <w:r w:rsidRPr="00CE3A66">
          <w:rPr>
            <w:color w:val="auto"/>
          </w:rPr>
          <w:fldChar w:fldCharType="separate"/>
        </w:r>
        <w:r w:rsidRPr="00CE3A66">
          <w:rPr>
            <w:noProof/>
            <w:color w:val="auto"/>
          </w:rPr>
          <w:t>3</w:t>
        </w:r>
        <w:r w:rsidRPr="00CE3A66">
          <w:rPr>
            <w:noProof/>
            <w:color w:val="auto"/>
          </w:rPr>
          <w:fldChar w:fldCharType="end"/>
        </w:r>
      </w:p>
      <w:p w14:paraId="5B8DFE67" w14:textId="60FD1467" w:rsidR="00597F18" w:rsidRPr="00CE3A66" w:rsidRDefault="00597F18" w:rsidP="007F4380">
        <w:pPr>
          <w:pStyle w:val="Footer"/>
          <w:rPr>
            <w:rFonts w:cs="Arial"/>
            <w:color w:val="auto"/>
          </w:rPr>
        </w:pPr>
        <w:r w:rsidRPr="00CE3A66">
          <w:rPr>
            <w:rFonts w:cs="Arial"/>
            <w:color w:val="auto"/>
          </w:rPr>
          <w:t>©202</w:t>
        </w:r>
        <w:r w:rsidR="006C1729" w:rsidRPr="00CE3A66">
          <w:rPr>
            <w:rFonts w:cs="Arial"/>
            <w:color w:val="auto"/>
          </w:rPr>
          <w:t>2</w:t>
        </w:r>
        <w:r w:rsidRPr="00CE3A66">
          <w:rPr>
            <w:rFonts w:cs="Arial"/>
            <w:color w:val="auto"/>
          </w:rPr>
          <w:t xml:space="preserve">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r w:rsidRPr="00CE3A66">
          <w:rPr>
            <w:rFonts w:cs="Arial"/>
            <w:color w:val="auto"/>
            <w:sz w:val="16"/>
            <w:szCs w:val="28"/>
          </w:rPr>
          <w:t>Liability limited by a scheme approved under Professional Standards Legislation</w:t>
        </w:r>
        <w:r w:rsidRPr="00CE3A66">
          <w:rPr>
            <w:color w:val="auto"/>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764066"/>
      <w:docPartObj>
        <w:docPartGallery w:val="Page Numbers (Bottom of Page)"/>
        <w:docPartUnique/>
      </w:docPartObj>
    </w:sdtPr>
    <w:sdtEndPr>
      <w:rPr>
        <w:color w:val="auto"/>
      </w:rPr>
    </w:sdtEndPr>
    <w:sdtContent>
      <w:p w14:paraId="44B78B6D" w14:textId="7B9C8E6C" w:rsidR="000E27FC" w:rsidRPr="00CE3A66" w:rsidRDefault="000E27FC" w:rsidP="00F4618B">
        <w:pPr>
          <w:pStyle w:val="Footer"/>
          <w:rPr>
            <w:noProof/>
            <w:color w:val="auto"/>
          </w:rPr>
        </w:pPr>
        <w:r w:rsidRPr="00CE3A66">
          <w:rPr>
            <w:color w:val="auto"/>
          </w:rPr>
          <w:t xml:space="preserve">KPMG | </w:t>
        </w:r>
        <w:r w:rsidRPr="00CE3A66">
          <w:rPr>
            <w:color w:val="auto"/>
          </w:rPr>
          <w:fldChar w:fldCharType="begin"/>
        </w:r>
        <w:r w:rsidRPr="00CE3A66">
          <w:rPr>
            <w:color w:val="auto"/>
          </w:rPr>
          <w:instrText xml:space="preserve"> PAGE   \* MERGEFORMAT </w:instrText>
        </w:r>
        <w:r w:rsidRPr="00CE3A66">
          <w:rPr>
            <w:color w:val="auto"/>
          </w:rPr>
          <w:fldChar w:fldCharType="separate"/>
        </w:r>
        <w:r w:rsidRPr="00CE3A66">
          <w:rPr>
            <w:color w:val="auto"/>
          </w:rPr>
          <w:t>15</w:t>
        </w:r>
        <w:r w:rsidRPr="00CE3A66">
          <w:rPr>
            <w:noProof/>
            <w:color w:val="auto"/>
          </w:rPr>
          <w:fldChar w:fldCharType="end"/>
        </w:r>
      </w:p>
      <w:p w14:paraId="506C9E2D" w14:textId="6F67656A" w:rsidR="0018659D" w:rsidRPr="00CE3A66" w:rsidRDefault="000E27FC" w:rsidP="007F4380">
        <w:pPr>
          <w:pStyle w:val="Footer"/>
          <w:rPr>
            <w:rFonts w:cs="Arial"/>
            <w:color w:val="auto"/>
          </w:rPr>
        </w:pPr>
        <w:r w:rsidRPr="00CE3A66">
          <w:rPr>
            <w:rFonts w:cs="Arial"/>
            <w:color w:val="auto"/>
          </w:rPr>
          <w:t xml:space="preserve">©2022 KPMG, an Australian partnership and a member firm of the KPMG global organisation of independent member firms affiliated with KPMG International Limited, a private English company limited by guarantee. All rights reserved. The KPMG name and logo are trademarks used under license by the independent member firms of the KPMG global organisation. </w:t>
        </w:r>
        <w:r w:rsidRPr="00CE3A66">
          <w:rPr>
            <w:rFonts w:cs="Arial"/>
            <w:color w:val="auto"/>
            <w:sz w:val="16"/>
            <w:szCs w:val="28"/>
          </w:rPr>
          <w:t>Liability limited by a scheme approved under Professional Standards Legislation</w:t>
        </w:r>
        <w:r w:rsidRPr="00CE3A66">
          <w:rPr>
            <w:color w:val="auto"/>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C5F2" w14:textId="1AB92E66" w:rsidR="00FD4BA1" w:rsidRPr="00BF36A3" w:rsidRDefault="00FD4BA1" w:rsidP="007F4380">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68306" w14:textId="77777777" w:rsidR="00F333C3" w:rsidRDefault="00F333C3" w:rsidP="004A3F32">
      <w:pPr>
        <w:spacing w:after="0"/>
      </w:pPr>
      <w:r>
        <w:separator/>
      </w:r>
    </w:p>
  </w:footnote>
  <w:footnote w:type="continuationSeparator" w:id="0">
    <w:p w14:paraId="79D2FDB4" w14:textId="77777777" w:rsidR="00F333C3" w:rsidRDefault="00F333C3" w:rsidP="004A3F32">
      <w:pPr>
        <w:spacing w:after="0"/>
      </w:pPr>
      <w:r>
        <w:continuationSeparator/>
      </w:r>
    </w:p>
  </w:footnote>
  <w:footnote w:type="continuationNotice" w:id="1">
    <w:p w14:paraId="165B6F9B" w14:textId="77777777" w:rsidR="00F333C3" w:rsidRDefault="00F333C3">
      <w:pPr>
        <w:spacing w:before="0" w:after="0"/>
      </w:pPr>
    </w:p>
  </w:footnote>
  <w:footnote w:id="2">
    <w:p w14:paraId="506F0EE4" w14:textId="75DB0C1B" w:rsidR="00F0741F" w:rsidRDefault="00F0741F" w:rsidP="00F0741F">
      <w:pPr>
        <w:pStyle w:val="FootnoteText"/>
      </w:pPr>
      <w:r>
        <w:rPr>
          <w:rStyle w:val="FootnoteReference"/>
        </w:rPr>
        <w:footnoteRef/>
      </w:r>
      <w:r>
        <w:t xml:space="preserve"> While young people with disability were specifically considered as part of this evaluation as a </w:t>
      </w:r>
      <w:r w:rsidR="00BD29DF">
        <w:t>‘</w:t>
      </w:r>
      <w:r>
        <w:t xml:space="preserve">hard to </w:t>
      </w:r>
      <w:r w:rsidR="00BD29DF">
        <w:t>reach’</w:t>
      </w:r>
      <w:r>
        <w:t xml:space="preserve"> group, young people with disability are not one of headspace’s ‘priority cohorts’, which include Aboriginal and Torres Strait Islander young people, Culturally and </w:t>
      </w:r>
      <w:r w:rsidR="00B24A04">
        <w:t>Linguistically</w:t>
      </w:r>
      <w:r>
        <w:t xml:space="preserve"> Diverse young people, and young people who identify as LGBTQIA+.</w:t>
      </w:r>
    </w:p>
  </w:footnote>
  <w:footnote w:id="3">
    <w:p w14:paraId="5AC7A230" w14:textId="769CA281" w:rsidR="007D5A98" w:rsidRDefault="007D5A98">
      <w:pPr>
        <w:pStyle w:val="FootnoteText"/>
      </w:pPr>
      <w:r>
        <w:rPr>
          <w:rStyle w:val="FootnoteReference"/>
        </w:rPr>
        <w:footnoteRef/>
      </w:r>
      <w:r>
        <w:t xml:space="preserve"> It should be noted that the </w:t>
      </w:r>
      <w:r w:rsidR="00E45E63">
        <w:t>Commonwealth Government’s</w:t>
      </w:r>
      <w:r>
        <w:t xml:space="preserve"> official count of headspace </w:t>
      </w:r>
      <w:r w:rsidR="00E45E63">
        <w:t xml:space="preserve">services </w:t>
      </w:r>
      <w:r>
        <w:t xml:space="preserve">differs from the total number of headspace </w:t>
      </w:r>
      <w:r w:rsidR="00E45E63">
        <w:t xml:space="preserve">services </w:t>
      </w:r>
      <w:r>
        <w:t xml:space="preserve">open across Australia, as there are a small number of </w:t>
      </w:r>
      <w:r w:rsidR="00E45E63">
        <w:t xml:space="preserve">services </w:t>
      </w:r>
      <w:r>
        <w:t xml:space="preserve">with historical arrangements that mean they are not counted by </w:t>
      </w:r>
      <w:r w:rsidR="00525ED1">
        <w:t>g</w:t>
      </w:r>
      <w:r w:rsidR="00E45E63">
        <w:t>overnment</w:t>
      </w:r>
      <w:r>
        <w:t xml:space="preserve">. The </w:t>
      </w:r>
      <w:r w:rsidR="00525ED1">
        <w:t>g</w:t>
      </w:r>
      <w:r w:rsidR="00E45E63">
        <w:t>overnment</w:t>
      </w:r>
      <w:r>
        <w:t xml:space="preserve">’s official count of </w:t>
      </w:r>
      <w:r w:rsidR="004B4C7A">
        <w:t xml:space="preserve">services </w:t>
      </w:r>
      <w:r w:rsidR="00EB249C">
        <w:t>at 1 May 2022 was 14</w:t>
      </w:r>
      <w:r w:rsidR="005F394C">
        <w:t>9</w:t>
      </w:r>
      <w:r>
        <w:t>.</w:t>
      </w:r>
    </w:p>
  </w:footnote>
  <w:footnote w:id="4">
    <w:p w14:paraId="4D59E273" w14:textId="3BE7377E" w:rsidR="00E47C54" w:rsidRPr="00695587" w:rsidRDefault="00E47C54" w:rsidP="004371B8">
      <w:pPr>
        <w:pStyle w:val="FootnoteText"/>
      </w:pPr>
      <w:r>
        <w:rPr>
          <w:rStyle w:val="FootnoteReference"/>
        </w:rPr>
        <w:footnoteRef/>
      </w:r>
      <w:r>
        <w:t xml:space="preserve"> </w:t>
      </w:r>
      <w:r w:rsidRPr="00695587">
        <w:t>The average cost of a mental health session is estimated to be the total of</w:t>
      </w:r>
      <w:r>
        <w:t xml:space="preserve"> th</w:t>
      </w:r>
      <w:r w:rsidR="001D3C71">
        <w:t xml:space="preserve">e average cost of </w:t>
      </w:r>
      <w:r w:rsidR="00666E6C">
        <w:t xml:space="preserve">the </w:t>
      </w:r>
      <w:r w:rsidRPr="00695587">
        <w:t xml:space="preserve">MBS </w:t>
      </w:r>
      <w:r w:rsidR="001D3C71">
        <w:t xml:space="preserve">rebate to </w:t>
      </w:r>
      <w:r w:rsidR="001142E9">
        <w:t xml:space="preserve">clinicians </w:t>
      </w:r>
      <w:r w:rsidRPr="00695587">
        <w:t>and 16</w:t>
      </w:r>
      <w:r>
        <w:t xml:space="preserve"> per cent</w:t>
      </w:r>
      <w:r w:rsidRPr="00695587">
        <w:t xml:space="preserve"> out-of-pocket costs paid by</w:t>
      </w:r>
      <w:r w:rsidRPr="00695587" w:rsidDel="005805D8">
        <w:t xml:space="preserve"> </w:t>
      </w:r>
      <w:r w:rsidR="00356752">
        <w:t xml:space="preserve">young </w:t>
      </w:r>
      <w:r w:rsidR="005805D8">
        <w:t>Australians</w:t>
      </w:r>
      <w:r w:rsidRPr="00695587">
        <w:t xml:space="preserve"> as recommended by </w:t>
      </w:r>
      <w:hyperlink r:id="rId1" w:anchor="sec013" w:history="1">
        <w:r w:rsidRPr="00695587">
          <w:t>Le et.al. (2021)</w:t>
        </w:r>
      </w:hyperlink>
    </w:p>
  </w:footnote>
  <w:footnote w:id="5">
    <w:p w14:paraId="46920A2E" w14:textId="3048ABE6" w:rsidR="00474C52" w:rsidRDefault="00474C52">
      <w:pPr>
        <w:pStyle w:val="FootnoteText"/>
      </w:pPr>
      <w:r>
        <w:rPr>
          <w:rStyle w:val="FootnoteReference"/>
        </w:rPr>
        <w:footnoteRef/>
      </w:r>
      <w:r>
        <w:t xml:space="preserve"> </w:t>
      </w:r>
      <w:r w:rsidRPr="00474C52">
        <w:t xml:space="preserve">Australian Psychological Society 2020, APS National Schedule of Recommended Fees (not Including GST) and Item numbers* for Psychological Services, </w:t>
      </w:r>
      <w:r w:rsidR="00525ED1">
        <w:t>V</w:t>
      </w:r>
      <w:r w:rsidRPr="00474C52">
        <w:t>iewed 25 May 2022, &lt;https://www.benchmarkpsychology.com.au/wp-content/uploads/APS-Recommended-Fee-Schedule-20-21.pdf&gt;.</w:t>
      </w:r>
    </w:p>
  </w:footnote>
  <w:footnote w:id="6">
    <w:p w14:paraId="38C75773" w14:textId="534491E4" w:rsidR="00246C31" w:rsidRDefault="00246C31" w:rsidP="00246C31">
      <w:pPr>
        <w:pStyle w:val="FootnoteText"/>
      </w:pPr>
      <w:r>
        <w:rPr>
          <w:rStyle w:val="FootnoteReference"/>
        </w:rPr>
        <w:footnoteRef/>
      </w:r>
      <w:r>
        <w:t xml:space="preserve"> </w:t>
      </w:r>
      <w:r w:rsidR="0043233D" w:rsidRPr="0043233D">
        <w:t>Wang, S</w:t>
      </w:r>
      <w:r w:rsidR="0043233D">
        <w:t>.</w:t>
      </w:r>
      <w:r w:rsidR="0043233D" w:rsidRPr="0043233D">
        <w:t>, Gum</w:t>
      </w:r>
      <w:r w:rsidR="009F2EDD">
        <w:t xml:space="preserve"> D.</w:t>
      </w:r>
      <w:r w:rsidR="0043233D" w:rsidRPr="0043233D">
        <w:t>, and Merlin</w:t>
      </w:r>
      <w:r w:rsidR="009F2EDD">
        <w:t xml:space="preserve"> T</w:t>
      </w:r>
      <w:r w:rsidR="0043233D" w:rsidRPr="0043233D">
        <w:t>.</w:t>
      </w:r>
      <w:r w:rsidR="009F2EDD">
        <w:t xml:space="preserve"> 2018.</w:t>
      </w:r>
      <w:r w:rsidR="0043233D" w:rsidRPr="0043233D">
        <w:t xml:space="preserve"> Comparing the ICERs in medicine reimbursement submissions to NICE and PBAC—does the presence of an explicit threshold affect the ICER proposed?. Value in Health</w:t>
      </w:r>
      <w:r w:rsidR="00BE05C5">
        <w:t>,</w:t>
      </w:r>
      <w:r w:rsidR="0043233D" w:rsidRPr="0043233D">
        <w:t xml:space="preserve"> 21</w:t>
      </w:r>
      <w:r w:rsidR="00BE05C5">
        <w:t xml:space="preserve">, </w:t>
      </w:r>
      <w:r w:rsidR="00525ED1">
        <w:t>pp.</w:t>
      </w:r>
      <w:r w:rsidR="00BE05C5">
        <w:t> </w:t>
      </w:r>
      <w:r w:rsidR="0043233D" w:rsidRPr="00C93176">
        <w:t>938</w:t>
      </w:r>
      <w:r w:rsidR="0043233D" w:rsidRPr="0043233D">
        <w:t>-943</w:t>
      </w:r>
      <w:r>
        <w:t>.</w:t>
      </w:r>
    </w:p>
  </w:footnote>
  <w:footnote w:id="7">
    <w:p w14:paraId="6EC6137F" w14:textId="089DA7C8" w:rsidR="00C07758" w:rsidRDefault="00C07758" w:rsidP="00C07758">
      <w:pPr>
        <w:pStyle w:val="FootnoteText"/>
      </w:pPr>
      <w:r>
        <w:rPr>
          <w:rStyle w:val="FootnoteReference"/>
        </w:rPr>
        <w:footnoteRef/>
      </w:r>
      <w:r>
        <w:t xml:space="preserve"> Lee, Y.Y., Le, L.K.D., Lal, A., Engel, L. and Mihalopoulos, C., 2021. The cost-effectiveness of delivering universal psychological interventions in schools to prevent depression among Australian adolescents: a model-based economic evaluation. Mental Health &amp; Prevention, 24, </w:t>
      </w:r>
      <w:r w:rsidR="00525ED1">
        <w:t>pp.</w:t>
      </w:r>
      <w:r>
        <w:t> 200-213.</w:t>
      </w:r>
    </w:p>
  </w:footnote>
  <w:footnote w:id="8">
    <w:p w14:paraId="5319F1D5" w14:textId="233A4FDE" w:rsidR="003B051D" w:rsidRPr="00530130" w:rsidRDefault="003B051D" w:rsidP="003B051D">
      <w:pPr>
        <w:pStyle w:val="FootnoteText"/>
        <w:rPr>
          <w:u w:val="single"/>
        </w:rPr>
      </w:pPr>
      <w:r>
        <w:rPr>
          <w:rStyle w:val="FootnoteReference"/>
        </w:rPr>
        <w:footnoteRef/>
      </w:r>
      <w:r>
        <w:t xml:space="preserve"> Commonwealth of Australia 2017, </w:t>
      </w:r>
      <w:r w:rsidRPr="000D4EFE">
        <w:rPr>
          <w:i/>
        </w:rPr>
        <w:t>The Fifth National Mental Health and Suicide Prevention Plan</w:t>
      </w:r>
      <w:r>
        <w:rPr>
          <w:i/>
        </w:rPr>
        <w:t>,</w:t>
      </w:r>
      <w:r w:rsidRPr="008A2492">
        <w:t xml:space="preserve"> </w:t>
      </w:r>
      <w:r w:rsidR="00525ED1">
        <w:t>v</w:t>
      </w:r>
      <w:r>
        <w:t>iewed 6 August 2021,</w:t>
      </w:r>
      <w:r w:rsidRPr="008A2492">
        <w:t xml:space="preserve"> </w:t>
      </w:r>
      <w:r>
        <w:t>&lt;</w:t>
      </w:r>
      <w:hyperlink r:id="rId2" w:history="1">
        <w:r w:rsidRPr="001B7BD3">
          <w:rPr>
            <w:rStyle w:val="Hyperlink"/>
          </w:rPr>
          <w:t>https://www.mentalhealthcommission.gov.au/getmedia/0209d27b-1873-4245-b6e5-49e770084b81/Fifth-National-Mental-Health-and-Suicide-Prevention-Plan.pdf</w:t>
        </w:r>
      </w:hyperlink>
      <w:r>
        <w:rPr>
          <w:rStyle w:val="Hyperlink"/>
        </w:rPr>
        <w:t>&gt;</w:t>
      </w:r>
    </w:p>
  </w:footnote>
  <w:footnote w:id="9">
    <w:p w14:paraId="31C59AAE" w14:textId="0F16B192" w:rsidR="00482A9D" w:rsidRPr="00482A9D" w:rsidRDefault="002A40FE" w:rsidP="00482A9D">
      <w:pPr>
        <w:pStyle w:val="FootnoteText"/>
      </w:pPr>
      <w:r>
        <w:rPr>
          <w:rStyle w:val="FootnoteReference"/>
        </w:rPr>
        <w:footnoteRef/>
      </w:r>
      <w:r>
        <w:t xml:space="preserve"> </w:t>
      </w:r>
      <w:r w:rsidR="00892DFF" w:rsidRPr="00673384">
        <w:rPr>
          <w:i/>
          <w:iCs/>
        </w:rPr>
        <w:t>The</w:t>
      </w:r>
      <w:r w:rsidR="00513EFE" w:rsidRPr="00673384">
        <w:rPr>
          <w:i/>
          <w:iCs/>
        </w:rPr>
        <w:t xml:space="preserve"> National Me</w:t>
      </w:r>
      <w:r w:rsidR="00513EFE" w:rsidRPr="00C87C58">
        <w:rPr>
          <w:i/>
          <w:iCs/>
        </w:rPr>
        <w:t>ntal Health and Suicide P</w:t>
      </w:r>
      <w:r w:rsidR="00513EFE" w:rsidRPr="00A1718C">
        <w:rPr>
          <w:i/>
          <w:iCs/>
        </w:rPr>
        <w:t xml:space="preserve">revention </w:t>
      </w:r>
      <w:r w:rsidR="00513EFE" w:rsidRPr="00550F05">
        <w:rPr>
          <w:i/>
          <w:iCs/>
        </w:rPr>
        <w:t>Agreement</w:t>
      </w:r>
      <w:r w:rsidR="00892DFF" w:rsidRPr="006059E2">
        <w:rPr>
          <w:i/>
          <w:iCs/>
        </w:rPr>
        <w:t xml:space="preserve"> </w:t>
      </w:r>
      <w:r w:rsidR="00892DFF" w:rsidRPr="002525E7">
        <w:t xml:space="preserve">and associated bilateral agreements with states and territories was completed in early 2022. The </w:t>
      </w:r>
      <w:r w:rsidR="00525ED1">
        <w:t>a</w:t>
      </w:r>
      <w:r w:rsidR="00892DFF" w:rsidRPr="00DC7059">
        <w:t xml:space="preserve">greement and bilateral </w:t>
      </w:r>
      <w:r w:rsidR="00673384" w:rsidRPr="00DC7059">
        <w:t>agreements can be found here</w:t>
      </w:r>
      <w:r w:rsidR="00673384">
        <w:t xml:space="preserve"> &lt;</w:t>
      </w:r>
      <w:hyperlink r:id="rId3" w:history="1">
        <w:r w:rsidR="00041C4F">
          <w:rPr>
            <w:rStyle w:val="Hyperlink"/>
          </w:rPr>
          <w:t>The National Mental Health and Suicide Prevention Agreement | Federal Financial Relations</w:t>
        </w:r>
      </w:hyperlink>
      <w:r w:rsidR="00041C4F">
        <w:t>&gt;</w:t>
      </w:r>
    </w:p>
  </w:footnote>
  <w:footnote w:id="10">
    <w:p w14:paraId="351F7854" w14:textId="3E5E198F" w:rsidR="00F941E3" w:rsidRDefault="00F941E3">
      <w:pPr>
        <w:pStyle w:val="FootnoteText"/>
      </w:pPr>
      <w:r>
        <w:rPr>
          <w:rStyle w:val="FootnoteReference"/>
        </w:rPr>
        <w:footnoteRef/>
      </w:r>
      <w:r w:rsidR="003B143B">
        <w:t xml:space="preserve"> </w:t>
      </w:r>
      <w:r w:rsidR="00D32711">
        <w:t>Australian Institute of Health and Welfare (2020)</w:t>
      </w:r>
      <w:r w:rsidR="0022092C">
        <w:t>. People with disability in Australia</w:t>
      </w:r>
      <w:r w:rsidR="0098499F">
        <w:t xml:space="preserve">, retrieved from </w:t>
      </w:r>
      <w:hyperlink r:id="rId4" w:history="1">
        <w:r w:rsidR="0098499F" w:rsidRPr="006C749C">
          <w:rPr>
            <w:rStyle w:val="Hyperlink"/>
          </w:rPr>
          <w:t>https://www.aihw.gov.au/reports/disability/people-with-disability-in-australia/contents/health/access-to-health-services</w:t>
        </w:r>
      </w:hyperlink>
    </w:p>
  </w:footnote>
  <w:footnote w:id="11">
    <w:p w14:paraId="7FC4BD87" w14:textId="41FF8FB8" w:rsidR="00F941E3" w:rsidRDefault="00F941E3">
      <w:pPr>
        <w:pStyle w:val="FootnoteText"/>
      </w:pPr>
      <w:r>
        <w:rPr>
          <w:rStyle w:val="FootnoteReference"/>
        </w:rPr>
        <w:footnoteRef/>
      </w:r>
      <w:r>
        <w:t xml:space="preserve"> </w:t>
      </w:r>
      <w:r w:rsidR="00262931">
        <w:t>The Royal Australian &amp; New Zealand College of Psychiatrists (</w:t>
      </w:r>
      <w:r w:rsidR="00375679">
        <w:t>2021), Recognising and addressing the mental health needs of the LGBTIQ+</w:t>
      </w:r>
      <w:r w:rsidR="00D2065F">
        <w:t xml:space="preserve"> population</w:t>
      </w:r>
      <w:r w:rsidR="0051625A">
        <w:t xml:space="preserve">, retrieved </w:t>
      </w:r>
      <w:r w:rsidR="00A24C3F">
        <w:t xml:space="preserve">from </w:t>
      </w:r>
      <w:hyperlink r:id="rId5" w:history="1">
        <w:r w:rsidR="00357CBC" w:rsidRPr="006C749C">
          <w:rPr>
            <w:rStyle w:val="Hyperlink"/>
          </w:rPr>
          <w:t>https://www.ranzcp.org/news-policy/policy-and-advocacy/position-statements/mental-health-needs-lgbtiq</w:t>
        </w:r>
      </w:hyperlink>
      <w:r w:rsidR="00DF2B36">
        <w:t>.</w:t>
      </w:r>
    </w:p>
  </w:footnote>
  <w:footnote w:id="12">
    <w:p w14:paraId="48F10CA4" w14:textId="77E6F6D8" w:rsidR="00351141" w:rsidRDefault="00351141" w:rsidP="00351141">
      <w:pPr>
        <w:pStyle w:val="FootnoteText"/>
      </w:pPr>
      <w:r>
        <w:rPr>
          <w:rStyle w:val="FootnoteReference"/>
        </w:rPr>
        <w:footnoteRef/>
      </w:r>
      <w:r>
        <w:t xml:space="preserve"> </w:t>
      </w:r>
      <w:r w:rsidR="005C0B46" w:rsidRPr="003F1149">
        <w:rPr>
          <w:szCs w:val="16"/>
        </w:rPr>
        <w:t xml:space="preserve">Royal Australian College of General Practitioners (2018), Racism in the healthcare system, Position statement, retrieved from </w:t>
      </w:r>
      <w:hyperlink r:id="rId6" w:history="1">
        <w:r w:rsidR="005C0B46" w:rsidRPr="003F1149">
          <w:rPr>
            <w:rStyle w:val="Hyperlink"/>
            <w:szCs w:val="16"/>
          </w:rPr>
          <w:t>https://www.racgp.org.au/FSDEDEV/media/documents/RACGP/Position%20statements/Racism-in-the-healthcare-sector.pdf</w:t>
        </w:r>
      </w:hyperlink>
    </w:p>
  </w:footnote>
  <w:footnote w:id="13">
    <w:p w14:paraId="45E3D96A" w14:textId="5A158F33" w:rsidR="00613C6A" w:rsidRDefault="00613C6A">
      <w:pPr>
        <w:pStyle w:val="FootnoteText"/>
      </w:pPr>
      <w:r>
        <w:rPr>
          <w:rStyle w:val="FootnoteReference"/>
        </w:rPr>
        <w:footnoteRef/>
      </w:r>
      <w:r>
        <w:t xml:space="preserve"> </w:t>
      </w:r>
      <w:r w:rsidR="00566E29">
        <w:t>Australian Government (</w:t>
      </w:r>
      <w:r w:rsidR="00EE51E4">
        <w:t>2020)</w:t>
      </w:r>
      <w:r w:rsidR="004B259D">
        <w:t>, Closing the Gap National Agreement Preamble</w:t>
      </w:r>
      <w:r w:rsidR="002A1E53">
        <w:t xml:space="preserve">, retrieved from </w:t>
      </w:r>
      <w:hyperlink r:id="rId7" w:history="1">
        <w:r w:rsidR="00A24C3F" w:rsidRPr="006C749C">
          <w:rPr>
            <w:rStyle w:val="Hyperlink"/>
          </w:rPr>
          <w:t>https://www.closingthegap.gov.au/national-agreement/national-agreement-closing-the-gap/1-preamble</w:t>
        </w:r>
      </w:hyperlink>
      <w:r w:rsidR="00DF2B36">
        <w:t>.</w:t>
      </w:r>
    </w:p>
  </w:footnote>
  <w:footnote w:id="14">
    <w:p w14:paraId="79F369DA" w14:textId="77777777" w:rsidR="00F50CD8" w:rsidRDefault="00F50CD8" w:rsidP="00F50CD8">
      <w:pPr>
        <w:pStyle w:val="FootnoteText"/>
      </w:pPr>
      <w:r>
        <w:rPr>
          <w:rStyle w:val="FootnoteReference"/>
        </w:rPr>
        <w:footnoteRef/>
      </w:r>
      <w:r>
        <w:t xml:space="preserve"> </w:t>
      </w:r>
      <w:r w:rsidRPr="00866D89">
        <w:rPr>
          <w:szCs w:val="16"/>
        </w:rPr>
        <w:t xml:space="preserve">headspace National 2020, </w:t>
      </w:r>
      <w:r w:rsidRPr="00866D89">
        <w:rPr>
          <w:i/>
          <w:iCs/>
          <w:szCs w:val="16"/>
        </w:rPr>
        <w:t>headspace Model Integrity Framework (hMIF V2</w:t>
      </w:r>
      <w:r w:rsidRPr="00866D89">
        <w:rPr>
          <w:szCs w:val="16"/>
        </w:rPr>
        <w:t>)</w:t>
      </w:r>
      <w:r>
        <w:rPr>
          <w:szCs w:val="16"/>
        </w:rPr>
        <w:t>.</w:t>
      </w:r>
    </w:p>
  </w:footnote>
  <w:footnote w:id="15">
    <w:p w14:paraId="0A30CDB4" w14:textId="77777777" w:rsidR="00F50CD8" w:rsidRPr="0063113B" w:rsidRDefault="00F50CD8" w:rsidP="00F50CD8">
      <w:pPr>
        <w:pStyle w:val="FootnoteText"/>
        <w:rPr>
          <w:i/>
        </w:rPr>
      </w:pPr>
      <w:r>
        <w:rPr>
          <w:rStyle w:val="FootnoteReference"/>
        </w:rPr>
        <w:footnoteRef/>
      </w:r>
      <w:r>
        <w:t xml:space="preserve"> </w:t>
      </w:r>
      <w:r w:rsidRPr="006C200B">
        <w:t>Ibid.</w:t>
      </w:r>
    </w:p>
  </w:footnote>
  <w:footnote w:id="16">
    <w:p w14:paraId="0D502F76" w14:textId="62D4BE89" w:rsidR="00F50CD8" w:rsidRPr="00235710" w:rsidRDefault="00F50CD8" w:rsidP="0067765F">
      <w:pPr>
        <w:pStyle w:val="FootnoteText"/>
      </w:pPr>
      <w:r>
        <w:rPr>
          <w:rStyle w:val="FootnoteReference"/>
        </w:rPr>
        <w:footnoteRef/>
      </w:r>
      <w:r>
        <w:t xml:space="preserve"> </w:t>
      </w:r>
      <w:r w:rsidR="0067765F">
        <w:t>IHME (Institute for Health Metrics and Evaluation) 2019</w:t>
      </w:r>
      <w:r w:rsidR="0067765F" w:rsidRPr="0067765F">
        <w:t>, Global Burden of Disease Results Tool, Global</w:t>
      </w:r>
      <w:r w:rsidR="00525ED1">
        <w:t xml:space="preserve"> </w:t>
      </w:r>
      <w:r w:rsidR="0067765F" w:rsidRPr="00235710">
        <w:t>Health Data Exchange, University of Washington, Seattle</w:t>
      </w:r>
      <w:r w:rsidR="00525ED1">
        <w:t>.</w:t>
      </w:r>
    </w:p>
  </w:footnote>
  <w:footnote w:id="17">
    <w:p w14:paraId="583976C4" w14:textId="74A6F12C" w:rsidR="00F50CD8" w:rsidRDefault="00F50CD8" w:rsidP="00F50CD8">
      <w:pPr>
        <w:pStyle w:val="FootnoteText"/>
      </w:pPr>
      <w:r w:rsidRPr="00235710">
        <w:rPr>
          <w:rStyle w:val="FootnoteReference"/>
        </w:rPr>
        <w:footnoteRef/>
      </w:r>
      <w:r w:rsidRPr="00235710">
        <w:t xml:space="preserve"> </w:t>
      </w:r>
      <w:r w:rsidR="00056040" w:rsidRPr="00235710">
        <w:t>Orygen</w:t>
      </w:r>
      <w:r w:rsidR="002F4338" w:rsidRPr="00235710">
        <w:t>, The National Centre for Excellence in Youth Mental Health and headspace, National Youth Mental Health Foundation</w:t>
      </w:r>
      <w:r w:rsidR="00056040">
        <w:t>,</w:t>
      </w:r>
      <w:r w:rsidR="002F4338">
        <w:t xml:space="preserve"> </w:t>
      </w:r>
      <w:r w:rsidR="002F4338" w:rsidRPr="00235710">
        <w:rPr>
          <w:i/>
          <w:iCs/>
        </w:rPr>
        <w:t>Submission to the Productivity Commission’s Inquiry Into Mental Health</w:t>
      </w:r>
      <w:r w:rsidR="00056040" w:rsidRPr="00235710">
        <w:t>, p</w:t>
      </w:r>
      <w:r w:rsidR="00525ED1">
        <w:t>.</w:t>
      </w:r>
      <w:r w:rsidR="00056040" w:rsidRPr="00235710">
        <w:t xml:space="preserve"> 3</w:t>
      </w:r>
      <w:r w:rsidR="00A011C6" w:rsidRPr="00235710">
        <w:t>.</w:t>
      </w:r>
    </w:p>
  </w:footnote>
  <w:footnote w:id="18">
    <w:p w14:paraId="2F8E202F" w14:textId="56494470" w:rsidR="00F50CD8" w:rsidRDefault="00F50CD8" w:rsidP="00F50CD8">
      <w:pPr>
        <w:pStyle w:val="FootnoteText"/>
      </w:pPr>
      <w:r>
        <w:rPr>
          <w:rStyle w:val="FootnoteReference"/>
        </w:rPr>
        <w:footnoteRef/>
      </w:r>
      <w:r>
        <w:t xml:space="preserve"> Bailey, V., Baker, A-M., Cave, L., Fildes, J., Perrens, B., Plummer, J. and Wearring, A. 2016, Mission Australia’s 2016 Youth Survey Report, Mission Australia</w:t>
      </w:r>
      <w:r w:rsidR="00A011C6">
        <w:t>.</w:t>
      </w:r>
    </w:p>
  </w:footnote>
  <w:footnote w:id="19">
    <w:p w14:paraId="7A7582E3" w14:textId="53D352EE" w:rsidR="00F50CD8" w:rsidRDefault="00F50CD8" w:rsidP="00F50CD8">
      <w:pPr>
        <w:pStyle w:val="FootnoteText"/>
      </w:pPr>
      <w:r>
        <w:rPr>
          <w:rStyle w:val="FootnoteReference"/>
        </w:rPr>
        <w:footnoteRef/>
      </w:r>
      <w:r>
        <w:t xml:space="preserve"> Tiller, E., Greenland, N., Christie, R., Kos, A., Brennan, N., &amp; Di Nicola, K. (2021). Youth Survey Report 2021. Sydney, NSW: Mission Australia</w:t>
      </w:r>
      <w:r w:rsidR="00A011C6">
        <w:t>.</w:t>
      </w:r>
    </w:p>
  </w:footnote>
  <w:footnote w:id="20">
    <w:p w14:paraId="092B3A2D" w14:textId="437F1B99" w:rsidR="00F50CD8" w:rsidRDefault="00F50CD8" w:rsidP="00F50CD8">
      <w:pPr>
        <w:pStyle w:val="FootnoteText"/>
      </w:pPr>
      <w:r>
        <w:rPr>
          <w:rStyle w:val="FootnoteReference"/>
        </w:rPr>
        <w:footnoteRef/>
      </w:r>
      <w:r>
        <w:t xml:space="preserve"> Productivity Commission, Mental Health Inquiry Report, No.95, 30 June 2020, Volume 1, </w:t>
      </w:r>
      <w:r w:rsidR="00525ED1">
        <w:t xml:space="preserve">p. </w:t>
      </w:r>
      <w:r>
        <w:t>94</w:t>
      </w:r>
      <w:r w:rsidR="00A011C6">
        <w:t>.</w:t>
      </w:r>
    </w:p>
  </w:footnote>
  <w:footnote w:id="21">
    <w:p w14:paraId="5A637FA0" w14:textId="7E5284BC" w:rsidR="00F50CD8" w:rsidRDefault="00F50CD8" w:rsidP="00F50CD8">
      <w:pPr>
        <w:pStyle w:val="FootnoteText"/>
      </w:pPr>
      <w:r>
        <w:rPr>
          <w:rStyle w:val="FootnoteReference"/>
        </w:rPr>
        <w:footnoteRef/>
      </w:r>
      <w:r>
        <w:t xml:space="preserve"> </w:t>
      </w:r>
      <w:r w:rsidR="00E82B94">
        <w:t>Australian Bureau of Statistics</w:t>
      </w:r>
      <w:r w:rsidR="00C4580F">
        <w:t>, Microdata: Australian Health Survey, National Health Survey, 2011-12, Cat. No.</w:t>
      </w:r>
      <w:r w:rsidR="00525ED1">
        <w:t> </w:t>
      </w:r>
      <w:r w:rsidR="00C4580F">
        <w:t>4324.0.55.001</w:t>
      </w:r>
      <w:r w:rsidR="00F33D04">
        <w:t>; Microdata: National Health Survey, 2014-15 and 2017-18, cat. No. 4324.0.55.001</w:t>
      </w:r>
      <w:r w:rsidR="00525ED1">
        <w:t>.</w:t>
      </w:r>
    </w:p>
  </w:footnote>
  <w:footnote w:id="22">
    <w:p w14:paraId="36240E91" w14:textId="77777777" w:rsidR="00F50CD8" w:rsidRDefault="00F50CD8" w:rsidP="00F50CD8">
      <w:pPr>
        <w:pStyle w:val="FootnoteText"/>
      </w:pPr>
      <w:r>
        <w:rPr>
          <w:rStyle w:val="FootnoteReference"/>
        </w:rPr>
        <w:footnoteRef/>
      </w:r>
      <w:r>
        <w:t xml:space="preserve"> Australian Bureau of Statistics, First insights from the National Study of Mental Health and Wellbeing, 2021-21, released 8 December 2021.</w:t>
      </w:r>
    </w:p>
  </w:footnote>
  <w:footnote w:id="23">
    <w:p w14:paraId="33B75EA0" w14:textId="54AC8012" w:rsidR="00DC7059" w:rsidRPr="00D97A3D" w:rsidRDefault="00DC7059">
      <w:pPr>
        <w:pStyle w:val="FootnoteText"/>
      </w:pPr>
      <w:r>
        <w:rPr>
          <w:rStyle w:val="FootnoteReference"/>
        </w:rPr>
        <w:footnoteRef/>
      </w:r>
      <w:r>
        <w:t xml:space="preserve"> </w:t>
      </w:r>
      <w:r w:rsidR="00105334">
        <w:t xml:space="preserve">McGorry, P.D., Goldstone, S.D., Parker, A.G., Rickwood, D.J. and Hickie, I.B. 2014, </w:t>
      </w:r>
      <w:r w:rsidR="00105334" w:rsidRPr="00B35E76">
        <w:rPr>
          <w:i/>
          <w:iCs/>
        </w:rPr>
        <w:t>Cultures for mental health care of young people: an Australian blueprint for reform</w:t>
      </w:r>
      <w:r w:rsidR="00105334" w:rsidRPr="00D97A3D">
        <w:t>, The Lancet Psychiatry, vol. 1, no. 7, pp. 559–568.</w:t>
      </w:r>
    </w:p>
  </w:footnote>
  <w:footnote w:id="24">
    <w:p w14:paraId="3E24BB2C" w14:textId="28737C3A" w:rsidR="00DC7059" w:rsidRPr="005A22EF" w:rsidRDefault="00DC7059">
      <w:pPr>
        <w:pStyle w:val="FootnoteText"/>
      </w:pPr>
      <w:r w:rsidRPr="00D97A3D">
        <w:rPr>
          <w:rStyle w:val="FootnoteReference"/>
        </w:rPr>
        <w:footnoteRef/>
      </w:r>
      <w:r w:rsidRPr="00D97A3D">
        <w:t xml:space="preserve"> A</w:t>
      </w:r>
      <w:r w:rsidR="00D97A3D" w:rsidRPr="00B35E76">
        <w:t xml:space="preserve">ustralian </w:t>
      </w:r>
      <w:r w:rsidRPr="00D97A3D">
        <w:t>I</w:t>
      </w:r>
      <w:r w:rsidR="00D97A3D" w:rsidRPr="00B35E76">
        <w:t>nstitute of Health and Welfar</w:t>
      </w:r>
      <w:r w:rsidR="00D97A3D" w:rsidRPr="00D97A3D">
        <w:t xml:space="preserve">e, </w:t>
      </w:r>
      <w:r w:rsidR="00D97A3D" w:rsidRPr="005A22EF">
        <w:t>Young Australians: Their Health and Wellbeing 2011, Cat. no. PHE 140.</w:t>
      </w:r>
    </w:p>
  </w:footnote>
  <w:footnote w:id="25">
    <w:p w14:paraId="204FAAAB" w14:textId="28ABFD35" w:rsidR="00F50CD8" w:rsidRDefault="00F50CD8" w:rsidP="00F50CD8">
      <w:pPr>
        <w:pStyle w:val="FootnoteText"/>
      </w:pPr>
      <w:r w:rsidRPr="00D97A3D">
        <w:rPr>
          <w:rStyle w:val="FootnoteReference"/>
        </w:rPr>
        <w:footnoteRef/>
      </w:r>
      <w:r w:rsidRPr="00D97A3D">
        <w:t xml:space="preserve"> </w:t>
      </w:r>
      <w:r w:rsidR="00DC7059" w:rsidRPr="00B35E76">
        <w:t>A</w:t>
      </w:r>
      <w:r w:rsidR="00285243" w:rsidRPr="00B35E76">
        <w:t>ustralian Bureau of Statistics</w:t>
      </w:r>
      <w:r w:rsidR="00B24A04">
        <w:t xml:space="preserve">, </w:t>
      </w:r>
      <w:r w:rsidR="005A22EF">
        <w:t>Causes of Death Australia 2018, Cat. no. 3303.0, Canberra</w:t>
      </w:r>
      <w:r w:rsidR="00447C00" w:rsidRPr="00285243">
        <w:t>.</w:t>
      </w:r>
    </w:p>
  </w:footnote>
  <w:footnote w:id="26">
    <w:p w14:paraId="2B531B5E" w14:textId="3EBB1D6D" w:rsidR="00F50CD8" w:rsidRDefault="00F50CD8" w:rsidP="00F50CD8">
      <w:pPr>
        <w:pStyle w:val="FootnoteText"/>
      </w:pPr>
      <w:r>
        <w:rPr>
          <w:rStyle w:val="FootnoteReference"/>
        </w:rPr>
        <w:footnoteRef/>
      </w:r>
      <w:r>
        <w:t xml:space="preserve"> Hilferty, F., Cassells, R., Muir, K., Duncan, A., Christensen, D., Mitrou, F., Gao, G., Mavisakalyan, A., Hafekost, K., Tarverdi, Y., Nguyen, H., Wingrove, C. and Katz, I. (2015). </w:t>
      </w:r>
      <w:r w:rsidRPr="00115D26">
        <w:rPr>
          <w:i/>
          <w:iCs/>
        </w:rPr>
        <w:t>Is headspace making a difference to young people’s lives? Final Report of the independent evaluation of the headspace program</w:t>
      </w:r>
      <w:r>
        <w:t xml:space="preserve">. (SPRC Report 08/2015). Sydney: Social Policy Research Centre, UNSW Australia, </w:t>
      </w:r>
      <w:r w:rsidR="00525ED1">
        <w:t xml:space="preserve">p. </w:t>
      </w:r>
      <w:r>
        <w:t>3.</w:t>
      </w:r>
    </w:p>
  </w:footnote>
  <w:footnote w:id="27">
    <w:p w14:paraId="7B2C6D2D" w14:textId="03D1E474" w:rsidR="00E9640C" w:rsidRDefault="00E9640C">
      <w:pPr>
        <w:pStyle w:val="FootnoteText"/>
      </w:pPr>
      <w:r>
        <w:rPr>
          <w:rStyle w:val="FootnoteReference"/>
        </w:rPr>
        <w:footnoteRef/>
      </w:r>
      <w:r>
        <w:t xml:space="preserve"> Australian Bureau of Statistics, </w:t>
      </w:r>
      <w:r w:rsidR="0032518B">
        <w:t xml:space="preserve">2021, </w:t>
      </w:r>
      <w:r w:rsidR="0032518B" w:rsidRPr="0032518B">
        <w:t>Education and Work</w:t>
      </w:r>
      <w:r w:rsidR="0032518B">
        <w:t xml:space="preserve"> Release, Table 6, accessed at &lt;</w:t>
      </w:r>
      <w:r w:rsidR="006E03CB" w:rsidRPr="006E03CB">
        <w:t>https://www.abs.gov.au/statistics/people/education/education-and-work-australia/latest-release</w:t>
      </w:r>
      <w:r w:rsidR="006E03CB">
        <w:t>&gt;</w:t>
      </w:r>
    </w:p>
  </w:footnote>
  <w:footnote w:id="28">
    <w:p w14:paraId="2E4DB64C" w14:textId="2B64C5A0" w:rsidR="00F50CD8" w:rsidRDefault="00F50CD8" w:rsidP="00F50CD8">
      <w:pPr>
        <w:pStyle w:val="FootnoteText"/>
      </w:pPr>
      <w:r>
        <w:rPr>
          <w:rStyle w:val="FootnoteReference"/>
        </w:rPr>
        <w:footnoteRef/>
      </w:r>
      <w:r>
        <w:t xml:space="preserve"> Rickwood, D., Paraskakis, M., Quin, D., Hobbs, N., Ryall, V., </w:t>
      </w:r>
      <w:r w:rsidRPr="008A2492">
        <w:t>Trethowan</w:t>
      </w:r>
      <w:r>
        <w:t>, J., McGorry, P. 2018,</w:t>
      </w:r>
      <w:r w:rsidRPr="008A2492">
        <w:t xml:space="preserve"> ‘</w:t>
      </w:r>
      <w:r>
        <w:t xml:space="preserve">Australia’s innovation in youth mental health care: The headspace centre </w:t>
      </w:r>
      <w:r w:rsidRPr="008A2492">
        <w:t>model’,</w:t>
      </w:r>
      <w:r>
        <w:t xml:space="preserve"> </w:t>
      </w:r>
      <w:r w:rsidRPr="008A2492">
        <w:rPr>
          <w:i/>
        </w:rPr>
        <w:t>Early Intervention in Psychiatry,</w:t>
      </w:r>
      <w:r>
        <w:t xml:space="preserve"> Volume 13, Issue 1</w:t>
      </w:r>
      <w:r w:rsidRPr="008A2492">
        <w:t>,</w:t>
      </w:r>
      <w:r>
        <w:t xml:space="preserve"> </w:t>
      </w:r>
      <w:r w:rsidR="00525ED1">
        <w:t xml:space="preserve">pp. </w:t>
      </w:r>
      <w:r>
        <w:t>159-166.</w:t>
      </w:r>
    </w:p>
  </w:footnote>
  <w:footnote w:id="29">
    <w:p w14:paraId="76575095" w14:textId="77777777" w:rsidR="00F50CD8" w:rsidRPr="00C20184" w:rsidRDefault="00F50CD8" w:rsidP="00F50CD8">
      <w:pPr>
        <w:pStyle w:val="BodyText"/>
        <w:spacing w:before="0" w:after="0"/>
        <w:rPr>
          <w:rStyle w:val="FootnoteTextChar"/>
        </w:rPr>
      </w:pPr>
      <w:r w:rsidRPr="00866D89">
        <w:rPr>
          <w:rStyle w:val="FootnoteReference"/>
          <w:sz w:val="16"/>
          <w:szCs w:val="18"/>
        </w:rPr>
        <w:footnoteRef/>
      </w:r>
      <w:r w:rsidRPr="00866D89">
        <w:rPr>
          <w:sz w:val="16"/>
          <w:szCs w:val="18"/>
        </w:rPr>
        <w:t xml:space="preserve"> </w:t>
      </w:r>
      <w:r w:rsidRPr="00C20184">
        <w:rPr>
          <w:rStyle w:val="FootnoteTextChar"/>
        </w:rPr>
        <w:t xml:space="preserve">headspace National 2020, </w:t>
      </w:r>
      <w:r w:rsidRPr="00C20184">
        <w:rPr>
          <w:rStyle w:val="FootnoteTextChar"/>
          <w:i/>
          <w:iCs/>
        </w:rPr>
        <w:t>headspace Model Integrity Framework</w:t>
      </w:r>
      <w:r w:rsidRPr="00C20184">
        <w:rPr>
          <w:rStyle w:val="FootnoteTextChar"/>
        </w:rPr>
        <w:t xml:space="preserve"> (hMIF V2).</w:t>
      </w:r>
    </w:p>
  </w:footnote>
  <w:footnote w:id="30">
    <w:p w14:paraId="0EBB4F34" w14:textId="39112DDE" w:rsidR="00F50CD8" w:rsidRDefault="00F50CD8" w:rsidP="00F50CD8">
      <w:pPr>
        <w:pStyle w:val="FootnoteText"/>
      </w:pPr>
      <w:r w:rsidRPr="00285243">
        <w:rPr>
          <w:rStyle w:val="FootnoteReference"/>
        </w:rPr>
        <w:footnoteRef/>
      </w:r>
      <w:r w:rsidRPr="00285243">
        <w:t xml:space="preserve"> </w:t>
      </w:r>
      <w:r w:rsidR="00036F9B" w:rsidRPr="00285243">
        <w:t xml:space="preserve">Rosenstreich, G. (2013) </w:t>
      </w:r>
      <w:r w:rsidR="00036F9B" w:rsidRPr="00B35E76">
        <w:rPr>
          <w:i/>
          <w:iCs/>
        </w:rPr>
        <w:t>LGBTI People Mental Health and Suicide</w:t>
      </w:r>
      <w:r w:rsidR="00036F9B" w:rsidRPr="00285243">
        <w:t>. Revised 2nd Edition. National LGBTI Health Alliance. Sydney</w:t>
      </w:r>
      <w:r w:rsidR="00036F9B" w:rsidRPr="00B35E76" w:rsidDel="00DD1952">
        <w:t xml:space="preserve"> </w:t>
      </w:r>
    </w:p>
  </w:footnote>
  <w:footnote w:id="31">
    <w:p w14:paraId="42DA4719" w14:textId="53FE5B99" w:rsidR="00F50CD8" w:rsidRDefault="00F50CD8" w:rsidP="00F50CD8">
      <w:pPr>
        <w:pStyle w:val="FootnoteText"/>
      </w:pPr>
      <w:r>
        <w:rPr>
          <w:rStyle w:val="FootnoteReference"/>
        </w:rPr>
        <w:footnoteRef/>
      </w:r>
      <w:r>
        <w:t xml:space="preserve"> Productivity Commission, Mental Health Inquiry Report, No.95, 30 June 2020, Volume 2, </w:t>
      </w:r>
      <w:r w:rsidR="00525ED1">
        <w:t xml:space="preserve">p. </w:t>
      </w:r>
      <w:r>
        <w:t>142 referencing Strauss, P., Cook, A., Winter, S., Watson, V., Wright Toussaint, D. and Lin, A. 2017, Trans Pathways: the Mental Health Experiences and Care Pathways of Trans Young People - Summary of Results, Telethon Kids Institute, Perth.</w:t>
      </w:r>
    </w:p>
  </w:footnote>
  <w:footnote w:id="32">
    <w:p w14:paraId="4AE64F51" w14:textId="68037979" w:rsidR="00F50CD8" w:rsidRDefault="00F50CD8" w:rsidP="00F50CD8">
      <w:pPr>
        <w:pStyle w:val="FootnoteText"/>
      </w:pPr>
      <w:r>
        <w:rPr>
          <w:rStyle w:val="FootnoteReference"/>
        </w:rPr>
        <w:footnoteRef/>
      </w:r>
      <w:r>
        <w:t xml:space="preserve"> </w:t>
      </w:r>
      <w:r w:rsidRPr="00A3674C">
        <w:t xml:space="preserve">Productivity Commission, Mental Health Inquiry Report, No.95, 30 June 2020, Volume 2, </w:t>
      </w:r>
      <w:r w:rsidR="00525ED1">
        <w:t>p.</w:t>
      </w:r>
      <w:r w:rsidR="00525ED1" w:rsidRPr="00A3674C">
        <w:t xml:space="preserve"> </w:t>
      </w:r>
      <w:r w:rsidRPr="00A3674C">
        <w:t>135.</w:t>
      </w:r>
    </w:p>
  </w:footnote>
  <w:footnote w:id="33">
    <w:p w14:paraId="007DA9FA" w14:textId="137AF43B" w:rsidR="00F50CD8" w:rsidRDefault="00F50CD8" w:rsidP="00F50CD8">
      <w:pPr>
        <w:pStyle w:val="FootnoteText"/>
      </w:pPr>
      <w:r>
        <w:rPr>
          <w:rStyle w:val="FootnoteReference"/>
        </w:rPr>
        <w:footnoteRef/>
      </w:r>
      <w:r>
        <w:t xml:space="preserve"> Productivity Commission, Mental Health Inquiry Report, No.95, 30 June 2020, Volume 2, </w:t>
      </w:r>
      <w:r w:rsidR="00525ED1">
        <w:t xml:space="preserve">p. </w:t>
      </w:r>
      <w:r>
        <w:t>143.</w:t>
      </w:r>
    </w:p>
  </w:footnote>
  <w:footnote w:id="34">
    <w:p w14:paraId="6FEE7D3C" w14:textId="77777777" w:rsidR="00F50CD8" w:rsidRDefault="00F50CD8" w:rsidP="00F50CD8">
      <w:pPr>
        <w:pStyle w:val="FootnoteText"/>
      </w:pPr>
      <w:r>
        <w:rPr>
          <w:rStyle w:val="FootnoteReference"/>
        </w:rPr>
        <w:footnoteRef/>
      </w:r>
      <w:r>
        <w:t xml:space="preserve"> Productivity Commission, Mental Health Inquiry Report, No.95, 30 June 2020, Volume 2, Figure 2.26; referencing AIHW (Australian Institute of Health and Welfare) 2019, Mental Health Services in Australia - State and Territory Community Mental Health Care Services 2017-18 Tables, Canberra.</w:t>
      </w:r>
    </w:p>
  </w:footnote>
  <w:footnote w:id="35">
    <w:p w14:paraId="2B476774" w14:textId="40E4C10F" w:rsidR="00F50CD8" w:rsidRDefault="00F50CD8" w:rsidP="00F50CD8">
      <w:pPr>
        <w:pStyle w:val="FootnoteText"/>
      </w:pPr>
      <w:r>
        <w:rPr>
          <w:rStyle w:val="FootnoteReference"/>
        </w:rPr>
        <w:footnoteRef/>
      </w:r>
      <w:r>
        <w:t xml:space="preserve"> Productivity Commission, Mental Health Inquiry Report, No.95, 30 June 2020, Volume 2, </w:t>
      </w:r>
      <w:r w:rsidR="00525ED1">
        <w:t xml:space="preserve">p. </w:t>
      </w:r>
      <w:r>
        <w:t>146.</w:t>
      </w:r>
    </w:p>
  </w:footnote>
  <w:footnote w:id="36">
    <w:p w14:paraId="6D588782" w14:textId="77777777" w:rsidR="00F50CD8" w:rsidRDefault="00F50CD8" w:rsidP="00F50CD8">
      <w:pPr>
        <w:pStyle w:val="FootnoteText"/>
      </w:pPr>
      <w:r>
        <w:rPr>
          <w:rStyle w:val="FootnoteReference"/>
        </w:rPr>
        <w:footnoteRef/>
      </w:r>
      <w:r>
        <w:t xml:space="preserve"> Ibid.</w:t>
      </w:r>
    </w:p>
  </w:footnote>
  <w:footnote w:id="37">
    <w:p w14:paraId="7853732B" w14:textId="77777777" w:rsidR="00F50CD8" w:rsidRDefault="00F50CD8" w:rsidP="00F50CD8">
      <w:pPr>
        <w:pStyle w:val="FootnoteText"/>
      </w:pPr>
      <w:r>
        <w:rPr>
          <w:rStyle w:val="FootnoteReference"/>
        </w:rPr>
        <w:footnoteRef/>
      </w:r>
      <w:r>
        <w:t xml:space="preserve"> </w:t>
      </w:r>
      <w:r w:rsidRPr="00866D89">
        <w:rPr>
          <w:szCs w:val="16"/>
        </w:rPr>
        <w:t xml:space="preserve">headspace National 2020, </w:t>
      </w:r>
      <w:r w:rsidRPr="00866D89">
        <w:rPr>
          <w:i/>
          <w:iCs/>
          <w:szCs w:val="16"/>
        </w:rPr>
        <w:t>headspace Model Integrity Framework (hMIF V2</w:t>
      </w:r>
      <w:r w:rsidRPr="00866D89">
        <w:rPr>
          <w:szCs w:val="16"/>
        </w:rPr>
        <w:t>)</w:t>
      </w:r>
      <w:r>
        <w:rPr>
          <w:szCs w:val="16"/>
        </w:rPr>
        <w:t>.</w:t>
      </w:r>
    </w:p>
  </w:footnote>
  <w:footnote w:id="38">
    <w:p w14:paraId="34763D05" w14:textId="7EFB5BDB" w:rsidR="00F50CD8" w:rsidRPr="00E908C3" w:rsidRDefault="00F50CD8" w:rsidP="00F50CD8">
      <w:pPr>
        <w:pStyle w:val="BodyText"/>
        <w:spacing w:before="0" w:after="0"/>
        <w:rPr>
          <w:szCs w:val="20"/>
        </w:rPr>
      </w:pPr>
      <w:r w:rsidRPr="00866D89">
        <w:rPr>
          <w:rStyle w:val="FootnoteReference"/>
          <w:sz w:val="16"/>
          <w:szCs w:val="18"/>
        </w:rPr>
        <w:footnoteRef/>
      </w:r>
      <w:r w:rsidRPr="00866D89">
        <w:rPr>
          <w:sz w:val="16"/>
          <w:szCs w:val="18"/>
        </w:rPr>
        <w:t xml:space="preserve"> </w:t>
      </w:r>
      <w:r w:rsidRPr="00C20184">
        <w:rPr>
          <w:rStyle w:val="FootnoteTextChar"/>
        </w:rPr>
        <w:t xml:space="preserve">headspace National 2015, </w:t>
      </w:r>
      <w:r w:rsidRPr="00C20184">
        <w:rPr>
          <w:rStyle w:val="FootnoteTextChar"/>
          <w:i/>
          <w:iCs/>
        </w:rPr>
        <w:t>Service Innovation Project Component 2: Social Inclusion Model Development Study</w:t>
      </w:r>
      <w:r w:rsidRPr="00C20184">
        <w:rPr>
          <w:rStyle w:val="FootnoteTextChar"/>
        </w:rPr>
        <w:t>, Viewed 14 August 2021,</w:t>
      </w:r>
      <w:r w:rsidRPr="00866D89">
        <w:rPr>
          <w:sz w:val="16"/>
          <w:szCs w:val="16"/>
        </w:rPr>
        <w:t xml:space="preserve"> &lt;</w:t>
      </w:r>
      <w:hyperlink r:id="rId8" w:history="1">
        <w:r w:rsidRPr="00866D89">
          <w:rPr>
            <w:rStyle w:val="Hyperlink"/>
            <w:sz w:val="16"/>
            <w:szCs w:val="16"/>
          </w:rPr>
          <w:t>https://headspace.org.au/assets/Uploads/Corporate/Publications-and-research/HSP201-Service-Innovation-Part-2-FA-LR.pdf</w:t>
        </w:r>
      </w:hyperlink>
      <w:r w:rsidRPr="00866D89">
        <w:rPr>
          <w:rStyle w:val="Hyperlink"/>
          <w:sz w:val="16"/>
          <w:szCs w:val="16"/>
        </w:rPr>
        <w:t>&gt;.</w:t>
      </w:r>
    </w:p>
  </w:footnote>
  <w:footnote w:id="39">
    <w:p w14:paraId="4E369A21" w14:textId="3B99F2BE" w:rsidR="007F646A" w:rsidRDefault="007F646A" w:rsidP="007F646A">
      <w:pPr>
        <w:pStyle w:val="FootnoteText"/>
      </w:pPr>
      <w:r>
        <w:rPr>
          <w:rStyle w:val="FootnoteReference"/>
        </w:rPr>
        <w:footnoteRef/>
      </w:r>
      <w:r>
        <w:t xml:space="preserve"> </w:t>
      </w:r>
      <w:r w:rsidRPr="008A2492">
        <w:t xml:space="preserve">Orygen [n.d]. </w:t>
      </w:r>
      <w:r w:rsidRPr="00022163">
        <w:rPr>
          <w:i/>
          <w:iCs/>
        </w:rPr>
        <w:t>History - Orygen, Revolution in Mind</w:t>
      </w:r>
      <w:r>
        <w:t xml:space="preserve"> (</w:t>
      </w:r>
      <w:hyperlink r:id="rId9" w:history="1">
        <w:r w:rsidRPr="00817636">
          <w:rPr>
            <w:rStyle w:val="Hyperlink"/>
          </w:rPr>
          <w:t>www.orygen.org.au</w:t>
        </w:r>
      </w:hyperlink>
      <w:r>
        <w:t>).</w:t>
      </w:r>
    </w:p>
  </w:footnote>
  <w:footnote w:id="40">
    <w:p w14:paraId="1FC3D4E8" w14:textId="77777777" w:rsidR="007F646A" w:rsidRDefault="007F646A" w:rsidP="007F646A">
      <w:pPr>
        <w:pStyle w:val="FootnoteText"/>
      </w:pPr>
      <w:r>
        <w:rPr>
          <w:rStyle w:val="FootnoteReference"/>
        </w:rPr>
        <w:footnoteRef/>
      </w:r>
      <w:r>
        <w:t xml:space="preserve"> Rickwood et al. 2018,</w:t>
      </w:r>
      <w:r w:rsidRPr="008A2492">
        <w:t xml:space="preserve"> ‘</w:t>
      </w:r>
      <w:r>
        <w:t xml:space="preserve">Australia’s innovation in youth mental health care: The headspace centre </w:t>
      </w:r>
      <w:r w:rsidRPr="008A2492">
        <w:t>model’</w:t>
      </w:r>
      <w:r>
        <w:t>.</w:t>
      </w:r>
    </w:p>
  </w:footnote>
  <w:footnote w:id="41">
    <w:p w14:paraId="36CB97DB" w14:textId="18E41C95" w:rsidR="007F646A" w:rsidRDefault="007F646A" w:rsidP="007F646A">
      <w:pPr>
        <w:pStyle w:val="FootnoteText"/>
      </w:pPr>
      <w:r>
        <w:rPr>
          <w:rStyle w:val="FootnoteReference"/>
        </w:rPr>
        <w:footnoteRef/>
      </w:r>
      <w:r>
        <w:t xml:space="preserve"> </w:t>
      </w:r>
      <w:r w:rsidRPr="008A2492">
        <w:t xml:space="preserve">World Health Organization Europe [2021] </w:t>
      </w:r>
      <w:r w:rsidRPr="009227D4">
        <w:rPr>
          <w:i/>
        </w:rPr>
        <w:t>Child and adolescent health - 5S Approach</w:t>
      </w:r>
      <w:r>
        <w:rPr>
          <w:i/>
        </w:rPr>
        <w:t xml:space="preserve"> </w:t>
      </w:r>
      <w:r>
        <w:t>(www.euro.who.int)</w:t>
      </w:r>
      <w:r w:rsidRPr="008A2492">
        <w:t xml:space="preserve">, </w:t>
      </w:r>
      <w:r>
        <w:t>Viewed</w:t>
      </w:r>
      <w:r w:rsidRPr="008A2492">
        <w:t xml:space="preserve"> </w:t>
      </w:r>
      <w:r>
        <w:t>23 August 2021</w:t>
      </w:r>
      <w:r w:rsidRPr="008A2492">
        <w:t xml:space="preserve"> &lt; </w:t>
      </w:r>
      <w:hyperlink r:id="rId10" w:history="1">
        <w:r w:rsidRPr="008A2492">
          <w:rPr>
            <w:rStyle w:val="Hyperlink"/>
          </w:rPr>
          <w:t>https://www.euro.who.int/en/health-topics/Life-stages/child-and-adolescent-health/about-child-and-adolescent-health/adolescent-health/5s-approach</w:t>
        </w:r>
      </w:hyperlink>
      <w:r w:rsidRPr="008A2492">
        <w:t>&gt;</w:t>
      </w:r>
      <w:r w:rsidR="003726FB">
        <w:t>.</w:t>
      </w:r>
    </w:p>
  </w:footnote>
  <w:footnote w:id="42">
    <w:p w14:paraId="3B8D82A7" w14:textId="37D845D2" w:rsidR="007F646A" w:rsidRDefault="007F646A" w:rsidP="007F646A">
      <w:pPr>
        <w:pStyle w:val="FootnoteText"/>
      </w:pPr>
      <w:r>
        <w:rPr>
          <w:rStyle w:val="FootnoteReference"/>
        </w:rPr>
        <w:footnoteRef/>
      </w:r>
      <w:r>
        <w:t xml:space="preserve"> McIntyre, P, on behalf of the World Health Organization 2002, </w:t>
      </w:r>
      <w:r w:rsidRPr="00367AD7">
        <w:rPr>
          <w:i/>
        </w:rPr>
        <w:t>Adolescent Friendly Health Services -An Agenda for Change</w:t>
      </w:r>
      <w:r>
        <w:rPr>
          <w:i/>
        </w:rPr>
        <w:t xml:space="preserve">, </w:t>
      </w:r>
      <w:r>
        <w:t>Viewed 6 August 2021, &lt;</w:t>
      </w:r>
      <w:hyperlink r:id="rId11" w:history="1">
        <w:r w:rsidRPr="002A0616">
          <w:rPr>
            <w:rStyle w:val="Hyperlink"/>
          </w:rPr>
          <w:t>https://apps.who.int/iris/bitstream/handle/10665/67923/WHO_FCH_CAH_02.14.pdf?sequence=1&amp;isAllowed=y</w:t>
        </w:r>
      </w:hyperlink>
      <w:r>
        <w:t xml:space="preserve">&gt;. </w:t>
      </w:r>
    </w:p>
  </w:footnote>
  <w:footnote w:id="43">
    <w:p w14:paraId="3EDA0F31" w14:textId="1978516B" w:rsidR="007F646A" w:rsidRDefault="007F646A" w:rsidP="007F646A">
      <w:pPr>
        <w:pStyle w:val="FootnoteText"/>
      </w:pPr>
      <w:r>
        <w:rPr>
          <w:rStyle w:val="FootnoteReference"/>
        </w:rPr>
        <w:footnoteRef/>
      </w:r>
      <w:r>
        <w:t xml:space="preserve"> </w:t>
      </w:r>
      <w:r w:rsidRPr="008A2492">
        <w:t xml:space="preserve">World Health Organization 2012, </w:t>
      </w:r>
      <w:r w:rsidRPr="008F369B">
        <w:rPr>
          <w:i/>
        </w:rPr>
        <w:t>Making Health services adolescent friendly: Developing national quality standards for adolescent friendly health services</w:t>
      </w:r>
      <w:r>
        <w:t xml:space="preserve"> (www.who.int)</w:t>
      </w:r>
      <w:r w:rsidRPr="008A2492">
        <w:t xml:space="preserve">, </w:t>
      </w:r>
      <w:r>
        <w:t>Viewed</w:t>
      </w:r>
      <w:r w:rsidRPr="008A2492">
        <w:t xml:space="preserve"> 9 August 2021, &lt; </w:t>
      </w:r>
      <w:hyperlink r:id="rId12" w:history="1">
        <w:r w:rsidRPr="008A2492">
          <w:rPr>
            <w:rStyle w:val="Hyperlink"/>
          </w:rPr>
          <w:t>http://apps.who.int/iris/bitstream/handle/10665/75217/9789241503594_eng.pdf;sequence=1</w:t>
        </w:r>
      </w:hyperlink>
      <w:r w:rsidRPr="008A2492">
        <w:t>&gt;</w:t>
      </w:r>
      <w:r>
        <w:t>.</w:t>
      </w:r>
      <w:r w:rsidRPr="008A2492">
        <w:t xml:space="preserve"> </w:t>
      </w:r>
    </w:p>
  </w:footnote>
  <w:footnote w:id="44">
    <w:p w14:paraId="39BCC609" w14:textId="72FDC159" w:rsidR="00877ED0" w:rsidRDefault="00877ED0">
      <w:pPr>
        <w:pStyle w:val="FootnoteText"/>
      </w:pPr>
      <w:r>
        <w:rPr>
          <w:rStyle w:val="FootnoteReference"/>
        </w:rPr>
        <w:footnoteRef/>
      </w:r>
      <w:r>
        <w:t xml:space="preserve"> </w:t>
      </w:r>
      <w:r w:rsidR="00383AEA" w:rsidRPr="00866D89">
        <w:rPr>
          <w:szCs w:val="16"/>
        </w:rPr>
        <w:t xml:space="preserve">headspace National 2020, </w:t>
      </w:r>
      <w:r w:rsidR="00383AEA" w:rsidRPr="00866D89">
        <w:rPr>
          <w:i/>
          <w:iCs/>
          <w:szCs w:val="16"/>
        </w:rPr>
        <w:t>headspace Model Integrity Framework (hMIF V2</w:t>
      </w:r>
      <w:r w:rsidR="00383AEA" w:rsidRPr="00866D89">
        <w:rPr>
          <w:szCs w:val="16"/>
        </w:rPr>
        <w:t>).</w:t>
      </w:r>
    </w:p>
  </w:footnote>
  <w:footnote w:id="45">
    <w:p w14:paraId="370FC128" w14:textId="77777777" w:rsidR="00F50CD8" w:rsidRDefault="00F50CD8" w:rsidP="00F50CD8">
      <w:pPr>
        <w:pStyle w:val="FootnoteText"/>
      </w:pPr>
      <w:r>
        <w:rPr>
          <w:rStyle w:val="FootnoteReference"/>
        </w:rPr>
        <w:footnoteRef/>
      </w:r>
      <w:r>
        <w:t xml:space="preserve"> </w:t>
      </w:r>
      <w:r w:rsidRPr="008A2492">
        <w:t xml:space="preserve">headspace National 2020, </w:t>
      </w:r>
      <w:r w:rsidRPr="00F33A9F">
        <w:rPr>
          <w:i/>
        </w:rPr>
        <w:t>headspace centre services program logic model – July 2020</w:t>
      </w:r>
      <w:r w:rsidRPr="008A2492">
        <w:t>. Provided to KPMG by headspace National.</w:t>
      </w:r>
    </w:p>
  </w:footnote>
  <w:footnote w:id="46">
    <w:p w14:paraId="7271FB49" w14:textId="744FBB2D" w:rsidR="00F50CD8" w:rsidRDefault="00F50CD8" w:rsidP="00F50CD8">
      <w:pPr>
        <w:pStyle w:val="FootnoteText"/>
      </w:pPr>
      <w:r>
        <w:rPr>
          <w:rStyle w:val="FootnoteReference"/>
        </w:rPr>
        <w:footnoteRef/>
      </w:r>
      <w:r>
        <w:t xml:space="preserve"> </w:t>
      </w:r>
      <w:r w:rsidRPr="008A2492">
        <w:t>Kessler, R.C., Andrews, G., Colpe, et al 2002, ‘Short screening scales to monitor population prevalences and trends in non</w:t>
      </w:r>
      <w:r>
        <w:noBreakHyphen/>
      </w:r>
      <w:r w:rsidRPr="008A2492">
        <w:t xml:space="preserve">specific psychological distress’, </w:t>
      </w:r>
      <w:r w:rsidRPr="008A2492">
        <w:rPr>
          <w:i/>
        </w:rPr>
        <w:t>Psychological Medicine</w:t>
      </w:r>
      <w:r w:rsidRPr="008A2492">
        <w:t>, 32, 959-956.</w:t>
      </w:r>
    </w:p>
  </w:footnote>
  <w:footnote w:id="47">
    <w:p w14:paraId="19C224F8" w14:textId="2F638F2C" w:rsidR="00F50CD8" w:rsidRDefault="00F50CD8" w:rsidP="00F50CD8">
      <w:pPr>
        <w:pStyle w:val="FootnoteText"/>
      </w:pPr>
      <w:r>
        <w:rPr>
          <w:rStyle w:val="FootnoteReference"/>
        </w:rPr>
        <w:footnoteRef/>
      </w:r>
      <w:r>
        <w:t xml:space="preserve"> </w:t>
      </w:r>
      <w:hyperlink r:id="rId13" w:history="1">
        <w:r>
          <w:rPr>
            <w:rStyle w:val="Hyperlink"/>
          </w:rPr>
          <w:t>4817.0.55.001 - Information Paper: Use of the Kessler Psychological Distress Scale in ABS Health Surveys, Australia, 2007-08</w:t>
        </w:r>
      </w:hyperlink>
    </w:p>
  </w:footnote>
  <w:footnote w:id="48">
    <w:p w14:paraId="481104E7" w14:textId="67633CD7" w:rsidR="00F50CD8" w:rsidRDefault="00F50CD8" w:rsidP="00F50CD8">
      <w:pPr>
        <w:pStyle w:val="FootnoteText"/>
      </w:pPr>
      <w:r>
        <w:rPr>
          <w:rStyle w:val="FootnoteReference"/>
        </w:rPr>
        <w:footnoteRef/>
      </w:r>
      <w:r>
        <w:t xml:space="preserve"> </w:t>
      </w:r>
      <w:r w:rsidRPr="000F39A6">
        <w:t xml:space="preserve">Goldman, </w:t>
      </w:r>
      <w:r w:rsidR="00525ED1" w:rsidRPr="000F39A6">
        <w:t>H</w:t>
      </w:r>
      <w:r w:rsidR="00525ED1">
        <w:t>.</w:t>
      </w:r>
      <w:r w:rsidR="00525ED1" w:rsidRPr="000F39A6">
        <w:t>H</w:t>
      </w:r>
      <w:r w:rsidR="00525ED1">
        <w:t>.</w:t>
      </w:r>
      <w:r w:rsidR="00525ED1" w:rsidRPr="000F39A6">
        <w:t>,</w:t>
      </w:r>
      <w:r w:rsidRPr="000F39A6">
        <w:t xml:space="preserve"> Skodol, AE &amp; Lave, </w:t>
      </w:r>
      <w:r w:rsidR="00525ED1" w:rsidRPr="000F39A6">
        <w:t>T</w:t>
      </w:r>
      <w:r w:rsidR="00525ED1">
        <w:t>.</w:t>
      </w:r>
      <w:r w:rsidR="00525ED1" w:rsidRPr="000F39A6">
        <w:t>R</w:t>
      </w:r>
      <w:r w:rsidR="00525ED1">
        <w:t>.</w:t>
      </w:r>
      <w:r w:rsidRPr="000F39A6">
        <w:t xml:space="preserve"> 1992, ‘Revising axis V for DSM-IV: a review of measures of social functioning’, </w:t>
      </w:r>
      <w:r w:rsidRPr="004707AE">
        <w:rPr>
          <w:i/>
        </w:rPr>
        <w:t>American Journal of Psychiatry</w:t>
      </w:r>
      <w:r w:rsidRPr="000F39A6">
        <w:t>, vol. 149, no. 9, pp. 1148–1156.</w:t>
      </w:r>
    </w:p>
  </w:footnote>
  <w:footnote w:id="49">
    <w:p w14:paraId="4FF5DE58" w14:textId="77777777" w:rsidR="00F50CD8" w:rsidRDefault="00F50CD8" w:rsidP="00F50CD8">
      <w:pPr>
        <w:pStyle w:val="FootnoteText"/>
      </w:pPr>
      <w:r>
        <w:rPr>
          <w:rStyle w:val="FootnoteReference"/>
        </w:rPr>
        <w:footnoteRef/>
      </w:r>
      <w:r>
        <w:t xml:space="preserve"> Kwan B, Rickwood D J and Telford, NR </w:t>
      </w:r>
      <w:r w:rsidRPr="008A2492">
        <w:t>2018, ‘Development and validation of MyLifeTracker: a routine outcome measure for youth mental health’,</w:t>
      </w:r>
      <w:r w:rsidRPr="008A2492">
        <w:rPr>
          <w:i/>
          <w:iCs/>
        </w:rPr>
        <w:t xml:space="preserve"> Psychology Research and Behavior Management</w:t>
      </w:r>
      <w:r w:rsidRPr="008A2492">
        <w:t xml:space="preserve"> 2018:11 67–77</w:t>
      </w:r>
      <w:r>
        <w:t>.</w:t>
      </w:r>
    </w:p>
  </w:footnote>
  <w:footnote w:id="50">
    <w:p w14:paraId="7BC870B1" w14:textId="77777777" w:rsidR="00EC244A" w:rsidRDefault="00EC244A" w:rsidP="00EC244A">
      <w:pPr>
        <w:pStyle w:val="FootnoteText"/>
      </w:pPr>
      <w:r>
        <w:rPr>
          <w:rStyle w:val="FootnoteReference"/>
        </w:rPr>
        <w:footnoteRef/>
      </w:r>
      <w:r>
        <w:t xml:space="preserve"> Rickwood</w:t>
      </w:r>
      <w:r w:rsidRPr="008A2492">
        <w:t xml:space="preserve"> </w:t>
      </w:r>
      <w:r>
        <w:t>et al.</w:t>
      </w:r>
      <w:r w:rsidRPr="008A2492">
        <w:t xml:space="preserve"> 2018</w:t>
      </w:r>
      <w:r>
        <w:t>,</w:t>
      </w:r>
      <w:r w:rsidRPr="008A2492">
        <w:t xml:space="preserve"> ‘Australia’s innovation in youth mental health care: The headspace centre model’</w:t>
      </w:r>
      <w:r>
        <w:t>.</w:t>
      </w:r>
    </w:p>
  </w:footnote>
  <w:footnote w:id="51">
    <w:p w14:paraId="5F46B56F" w14:textId="77777777" w:rsidR="00845983" w:rsidRPr="00866D89" w:rsidRDefault="00845983" w:rsidP="00845983">
      <w:pPr>
        <w:pStyle w:val="BodyText"/>
        <w:spacing w:before="0" w:after="0"/>
        <w:rPr>
          <w:szCs w:val="20"/>
        </w:rPr>
      </w:pPr>
      <w:r w:rsidRPr="00866D89">
        <w:rPr>
          <w:rStyle w:val="FootnoteReference"/>
          <w:sz w:val="16"/>
          <w:szCs w:val="18"/>
        </w:rPr>
        <w:footnoteRef/>
      </w:r>
      <w:r w:rsidRPr="00866D89">
        <w:rPr>
          <w:sz w:val="16"/>
          <w:szCs w:val="18"/>
        </w:rPr>
        <w:t xml:space="preserve"> </w:t>
      </w:r>
      <w:r w:rsidRPr="00866D89">
        <w:rPr>
          <w:sz w:val="16"/>
          <w:szCs w:val="16"/>
        </w:rPr>
        <w:t xml:space="preserve">headspace National 2020, </w:t>
      </w:r>
      <w:r w:rsidRPr="00866D89">
        <w:rPr>
          <w:i/>
          <w:iCs/>
          <w:sz w:val="16"/>
          <w:szCs w:val="16"/>
        </w:rPr>
        <w:t>headspace Model Integrity Framework (hMIF V2</w:t>
      </w:r>
      <w:r w:rsidRPr="00866D89">
        <w:rPr>
          <w:sz w:val="16"/>
          <w:szCs w:val="16"/>
        </w:rPr>
        <w:t>).</w:t>
      </w:r>
    </w:p>
  </w:footnote>
  <w:footnote w:id="52">
    <w:p w14:paraId="36AB50B8" w14:textId="2E04541A" w:rsidR="00845983" w:rsidRDefault="00845983" w:rsidP="00845983">
      <w:pPr>
        <w:pStyle w:val="FootnoteText"/>
      </w:pPr>
      <w:r>
        <w:rPr>
          <w:rStyle w:val="FootnoteReference"/>
        </w:rPr>
        <w:footnoteRef/>
      </w:r>
      <w:r>
        <w:t xml:space="preserve"> headspace National 2013</w:t>
      </w:r>
      <w:r w:rsidRPr="00981183">
        <w:rPr>
          <w:i/>
        </w:rPr>
        <w:t>, headspace Psychosocial Assessment for Young People</w:t>
      </w:r>
      <w:r>
        <w:t>, Viewed 18 August 2021, &lt;</w:t>
      </w:r>
      <w:hyperlink r:id="rId14" w:history="1">
        <w:r w:rsidR="0009301F" w:rsidRPr="004176E8">
          <w:rPr>
            <w:rStyle w:val="Hyperlink"/>
          </w:rPr>
          <w:t>https://headspace.org.au/assets/Uploads/headspace-psychosocial-assessment.pdf</w:t>
        </w:r>
      </w:hyperlink>
      <w:r>
        <w:t>&gt;.</w:t>
      </w:r>
    </w:p>
  </w:footnote>
  <w:footnote w:id="53">
    <w:p w14:paraId="6544842C" w14:textId="77777777" w:rsidR="00845983" w:rsidRDefault="00845983" w:rsidP="00845983">
      <w:pPr>
        <w:pStyle w:val="FootnoteText"/>
      </w:pPr>
      <w:r>
        <w:rPr>
          <w:rStyle w:val="FootnoteReference"/>
        </w:rPr>
        <w:footnoteRef/>
      </w:r>
      <w:r>
        <w:t xml:space="preserve"> headspace National 2019, </w:t>
      </w:r>
      <w:r w:rsidRPr="005D36A5">
        <w:rPr>
          <w:i/>
        </w:rPr>
        <w:t>headspace Primary Program Minimum Data Set_Data Dictionary</w:t>
      </w:r>
      <w:r w:rsidRPr="005D36A5">
        <w:rPr>
          <w:i/>
        </w:rPr>
        <w:softHyphen/>
        <w:t>_V 3.1_July 2019</w:t>
      </w:r>
      <w:r>
        <w:t>.</w:t>
      </w:r>
      <w:r w:rsidRPr="008A2492">
        <w:t xml:space="preserve"> Provided to KPMG by headspace National.</w:t>
      </w:r>
    </w:p>
  </w:footnote>
  <w:footnote w:id="54">
    <w:p w14:paraId="108F8A51" w14:textId="03BB770A" w:rsidR="00845983" w:rsidRDefault="00845983" w:rsidP="00845983">
      <w:pPr>
        <w:pStyle w:val="FootnoteText"/>
      </w:pPr>
      <w:r>
        <w:rPr>
          <w:rStyle w:val="FootnoteReference"/>
        </w:rPr>
        <w:footnoteRef/>
      </w:r>
      <w:r>
        <w:t xml:space="preserve"> headspace National 2019, </w:t>
      </w:r>
      <w:r w:rsidRPr="005D36A5">
        <w:rPr>
          <w:i/>
        </w:rPr>
        <w:t>headspace Primary Program Minimum Data Set_Data Dictionary</w:t>
      </w:r>
      <w:r w:rsidRPr="005D36A5">
        <w:rPr>
          <w:i/>
        </w:rPr>
        <w:softHyphen/>
        <w:t>_V 3.1_July 2019</w:t>
      </w:r>
      <w:r>
        <w:t>.</w:t>
      </w:r>
      <w:r w:rsidRPr="008A2492">
        <w:t xml:space="preserve"> Provided to KPMG by headspace National</w:t>
      </w:r>
      <w:r w:rsidR="00525ED1">
        <w:t>,</w:t>
      </w:r>
      <w:r>
        <w:t xml:space="preserve"> </w:t>
      </w:r>
      <w:r w:rsidR="00525ED1">
        <w:t xml:space="preserve">p. </w:t>
      </w:r>
      <w:r>
        <w:t>57</w:t>
      </w:r>
      <w:r w:rsidR="007819B8">
        <w:t>.</w:t>
      </w:r>
    </w:p>
  </w:footnote>
  <w:footnote w:id="55">
    <w:p w14:paraId="6DBA0257" w14:textId="77777777" w:rsidR="00845983" w:rsidRDefault="00845983" w:rsidP="00845983">
      <w:pPr>
        <w:pStyle w:val="FootnoteText"/>
      </w:pPr>
      <w:r>
        <w:rPr>
          <w:rStyle w:val="FootnoteReference"/>
        </w:rPr>
        <w:footnoteRef/>
      </w:r>
      <w:r>
        <w:t xml:space="preserve"> </w:t>
      </w:r>
      <w:r w:rsidRPr="00624C46">
        <w:t>Ibid.</w:t>
      </w:r>
    </w:p>
  </w:footnote>
  <w:footnote w:id="56">
    <w:p w14:paraId="13F8B74C" w14:textId="77777777" w:rsidR="00845983" w:rsidRPr="00B655EF" w:rsidRDefault="00845983" w:rsidP="00845983">
      <w:pPr>
        <w:pStyle w:val="FootnoteText"/>
        <w:rPr>
          <w:i/>
        </w:rPr>
      </w:pPr>
      <w:r>
        <w:rPr>
          <w:rStyle w:val="FootnoteReference"/>
        </w:rPr>
        <w:footnoteRef/>
      </w:r>
      <w:r>
        <w:t xml:space="preserve"> </w:t>
      </w:r>
      <w:r w:rsidRPr="00624C46">
        <w:t>Ibid.</w:t>
      </w:r>
    </w:p>
  </w:footnote>
  <w:footnote w:id="57">
    <w:p w14:paraId="479CA378" w14:textId="77777777" w:rsidR="00845983" w:rsidRPr="00B655EF" w:rsidRDefault="00845983" w:rsidP="00845983">
      <w:pPr>
        <w:pStyle w:val="FootnoteText"/>
        <w:rPr>
          <w:i/>
        </w:rPr>
      </w:pPr>
      <w:r>
        <w:rPr>
          <w:rStyle w:val="FootnoteReference"/>
        </w:rPr>
        <w:footnoteRef/>
      </w:r>
      <w:r>
        <w:t xml:space="preserve"> </w:t>
      </w:r>
      <w:r w:rsidRPr="00624C46">
        <w:t>Ibid.</w:t>
      </w:r>
    </w:p>
  </w:footnote>
  <w:footnote w:id="58">
    <w:p w14:paraId="5F3809A9" w14:textId="77777777" w:rsidR="00845983" w:rsidRDefault="00845983" w:rsidP="00845983">
      <w:pPr>
        <w:pStyle w:val="BodyText"/>
      </w:pPr>
      <w:r w:rsidRPr="005D36A5">
        <w:rPr>
          <w:rStyle w:val="FootnoteReference"/>
          <w:sz w:val="16"/>
          <w:szCs w:val="18"/>
        </w:rPr>
        <w:footnoteRef/>
      </w:r>
      <w:r w:rsidRPr="005D36A5">
        <w:rPr>
          <w:sz w:val="16"/>
          <w:szCs w:val="18"/>
        </w:rPr>
        <w:t xml:space="preserve"> headspace National 2020</w:t>
      </w:r>
      <w:r w:rsidRPr="005D36A5">
        <w:rPr>
          <w:sz w:val="16"/>
          <w:szCs w:val="16"/>
        </w:rPr>
        <w:t>,</w:t>
      </w:r>
      <w:r w:rsidRPr="005D36A5">
        <w:rPr>
          <w:sz w:val="16"/>
          <w:szCs w:val="18"/>
        </w:rPr>
        <w:t xml:space="preserve"> </w:t>
      </w:r>
      <w:r w:rsidRPr="005D36A5">
        <w:rPr>
          <w:i/>
          <w:sz w:val="16"/>
          <w:szCs w:val="16"/>
        </w:rPr>
        <w:t>Table of Definitions; headspace Services (DoH Funded) Final</w:t>
      </w:r>
      <w:r w:rsidRPr="005D36A5">
        <w:rPr>
          <w:sz w:val="16"/>
          <w:szCs w:val="18"/>
        </w:rPr>
        <w:t xml:space="preserve">. </w:t>
      </w:r>
      <w:r w:rsidRPr="005D36A5">
        <w:rPr>
          <w:sz w:val="16"/>
          <w:szCs w:val="16"/>
        </w:rPr>
        <w:t>Provided to KPMG by headspace National.</w:t>
      </w:r>
    </w:p>
  </w:footnote>
  <w:footnote w:id="59">
    <w:p w14:paraId="05A667AC" w14:textId="49D271DB" w:rsidR="00C437DC" w:rsidRDefault="00C437DC" w:rsidP="00C437DC">
      <w:pPr>
        <w:pStyle w:val="FootnoteText"/>
      </w:pPr>
      <w:r>
        <w:rPr>
          <w:rStyle w:val="FootnoteReference"/>
        </w:rPr>
        <w:footnoteRef/>
      </w:r>
      <w:r>
        <w:t xml:space="preserve"> Funding provided to headspace services increased from approximately $</w:t>
      </w:r>
      <w:r w:rsidR="00525ED1">
        <w:t>96 million</w:t>
      </w:r>
      <w:r>
        <w:t xml:space="preserve"> in 2018-19 to approximately $</w:t>
      </w:r>
      <w:r w:rsidR="00525ED1">
        <w:t>130 million</w:t>
      </w:r>
      <w:r>
        <w:t xml:space="preserve"> in 2020</w:t>
      </w:r>
      <w:r w:rsidR="00525ED1">
        <w:noBreakHyphen/>
      </w:r>
      <w:r>
        <w:t>21.</w:t>
      </w:r>
    </w:p>
  </w:footnote>
  <w:footnote w:id="60">
    <w:p w14:paraId="51FEC5C2" w14:textId="63FC5B64" w:rsidR="004A6B50" w:rsidRDefault="004A6B50">
      <w:pPr>
        <w:pStyle w:val="FootnoteText"/>
      </w:pPr>
      <w:r>
        <w:rPr>
          <w:rStyle w:val="FootnoteReference"/>
        </w:rPr>
        <w:footnoteRef/>
      </w:r>
      <w:r>
        <w:t xml:space="preserve"> </w:t>
      </w:r>
      <w:r w:rsidR="00215676">
        <w:t xml:space="preserve">It should be noted that the </w:t>
      </w:r>
      <w:r w:rsidR="00773E9E">
        <w:t xml:space="preserve">Commonwealth </w:t>
      </w:r>
      <w:r w:rsidR="00525ED1">
        <w:t>Government’s</w:t>
      </w:r>
      <w:r w:rsidR="00215676">
        <w:t xml:space="preserve"> official count of headspace </w:t>
      </w:r>
      <w:r w:rsidR="00773E9E">
        <w:t>services</w:t>
      </w:r>
      <w:r w:rsidR="00215676">
        <w:t xml:space="preserve"> differs from the total number of headspace </w:t>
      </w:r>
      <w:r w:rsidR="00773E9E">
        <w:t>service</w:t>
      </w:r>
      <w:r w:rsidR="00215676">
        <w:t xml:space="preserve">s open across Australia, as there are a small number of </w:t>
      </w:r>
      <w:r w:rsidR="00773E9E">
        <w:t>services</w:t>
      </w:r>
      <w:r w:rsidR="00215676">
        <w:t xml:space="preserve"> with historical arrangements that mean they are not counted by </w:t>
      </w:r>
      <w:r w:rsidR="00525ED1">
        <w:t>g</w:t>
      </w:r>
      <w:r w:rsidR="00773E9E">
        <w:t>overnment</w:t>
      </w:r>
      <w:r w:rsidR="00215676">
        <w:t xml:space="preserve">. As at 30 June 2020, </w:t>
      </w:r>
      <w:r w:rsidR="00525ED1">
        <w:t>g</w:t>
      </w:r>
      <w:r w:rsidR="00773E9E">
        <w:t>overnment’s</w:t>
      </w:r>
      <w:r w:rsidR="00215676">
        <w:t xml:space="preserve"> official count of </w:t>
      </w:r>
      <w:r w:rsidR="00285785">
        <w:t>service</w:t>
      </w:r>
      <w:r w:rsidR="00215676">
        <w:t xml:space="preserve">s was </w:t>
      </w:r>
      <w:r w:rsidR="005F32A0">
        <w:t>113.</w:t>
      </w:r>
    </w:p>
  </w:footnote>
  <w:footnote w:id="61">
    <w:p w14:paraId="5BE3DBE4" w14:textId="4C578802" w:rsidR="00C437DC" w:rsidRDefault="00C437DC" w:rsidP="00C437DC">
      <w:pPr>
        <w:pStyle w:val="FootnoteText"/>
      </w:pPr>
      <w:r>
        <w:rPr>
          <w:rStyle w:val="FootnoteReference"/>
        </w:rPr>
        <w:footnoteRef/>
      </w:r>
      <w:r>
        <w:t xml:space="preserve"> It should be noted that the </w:t>
      </w:r>
      <w:r w:rsidR="00773E9E">
        <w:t xml:space="preserve">Commonwealth </w:t>
      </w:r>
      <w:r w:rsidR="00525ED1">
        <w:t>Government’s</w:t>
      </w:r>
      <w:r w:rsidR="00773E9E">
        <w:t xml:space="preserve"> </w:t>
      </w:r>
      <w:r>
        <w:t xml:space="preserve">official count of headspace </w:t>
      </w:r>
      <w:r w:rsidR="00773E9E">
        <w:t xml:space="preserve">services </w:t>
      </w:r>
      <w:r>
        <w:t xml:space="preserve">differs from the total number of headspace </w:t>
      </w:r>
      <w:r w:rsidR="00773E9E">
        <w:t xml:space="preserve">services </w:t>
      </w:r>
      <w:r>
        <w:t xml:space="preserve">open across Australia, as there are a small number of </w:t>
      </w:r>
      <w:r w:rsidR="00773E9E">
        <w:t xml:space="preserve">services </w:t>
      </w:r>
      <w:r>
        <w:t xml:space="preserve">with historical arrangements that mean they are not counted by </w:t>
      </w:r>
      <w:r w:rsidR="00525ED1">
        <w:t>g</w:t>
      </w:r>
      <w:r w:rsidR="00773E9E">
        <w:t>overnment</w:t>
      </w:r>
      <w:r>
        <w:t xml:space="preserve">. </w:t>
      </w:r>
      <w:r w:rsidR="00285785">
        <w:t>Government</w:t>
      </w:r>
      <w:r>
        <w:t xml:space="preserve">’s official count of </w:t>
      </w:r>
      <w:r w:rsidR="00285785">
        <w:t xml:space="preserve">services as </w:t>
      </w:r>
      <w:r w:rsidR="007E6404">
        <w:t>at 1 May 2022 was 1</w:t>
      </w:r>
      <w:r w:rsidR="00F23C49">
        <w:t>4</w:t>
      </w:r>
      <w:r w:rsidR="00691F93">
        <w:t>9</w:t>
      </w:r>
      <w:r w:rsidR="00285785">
        <w:t>.</w:t>
      </w:r>
    </w:p>
  </w:footnote>
  <w:footnote w:id="62">
    <w:p w14:paraId="4F77B2B0" w14:textId="5509863F" w:rsidR="00C437DC" w:rsidRDefault="00C437DC" w:rsidP="00C437DC">
      <w:pPr>
        <w:pStyle w:val="FootnoteText"/>
      </w:pPr>
      <w:r>
        <w:rPr>
          <w:rStyle w:val="FootnoteReference"/>
        </w:rPr>
        <w:footnoteRef/>
      </w:r>
      <w:r w:rsidRPr="00972704">
        <w:t xml:space="preserve"> </w:t>
      </w:r>
      <w:r>
        <w:t xml:space="preserve">Commonwealth of Australia, as represented by the Department of Health 2021, </w:t>
      </w:r>
      <w:r w:rsidRPr="00421490">
        <w:rPr>
          <w:i/>
        </w:rPr>
        <w:t>Portfolio Budget Statements 2021–22 Budget Related Paper No. 1.7,</w:t>
      </w:r>
      <w:r>
        <w:t xml:space="preserve"> Viewed 6 August 2021,&lt;</w:t>
      </w:r>
      <w:hyperlink r:id="rId15" w:history="1">
        <w:r w:rsidRPr="00972704">
          <w:rPr>
            <w:rStyle w:val="Hyperlink"/>
          </w:rPr>
          <w:t>budget-2021-22-portfolio-budget-statements-budget-2021-22-health-portfolio-budget-statements.pdf</w:t>
        </w:r>
      </w:hyperlink>
      <w:r>
        <w:rPr>
          <w:rStyle w:val="Hyperlink"/>
        </w:rPr>
        <w:t>&gt;</w:t>
      </w:r>
      <w:r>
        <w:rPr>
          <w:rStyle w:val="Hyperlink"/>
          <w:u w:val="none"/>
        </w:rPr>
        <w:t xml:space="preserve"> </w:t>
      </w:r>
      <w:r w:rsidRPr="00C3549C">
        <w:rPr>
          <w:rStyle w:val="Hyperlink"/>
          <w:u w:val="none"/>
        </w:rPr>
        <w:t xml:space="preserve">- </w:t>
      </w:r>
      <w:r w:rsidRPr="00F2379B">
        <w:t xml:space="preserve">This number does not take into account additional centres not part of the </w:t>
      </w:r>
      <w:r w:rsidR="00525ED1" w:rsidRPr="00F2379B">
        <w:t>d</w:t>
      </w:r>
      <w:r w:rsidRPr="00F2379B">
        <w:t>epartment’s official count. With these centres, the projected number of headspace services is 169.</w:t>
      </w:r>
    </w:p>
  </w:footnote>
  <w:footnote w:id="63">
    <w:p w14:paraId="1F041C60" w14:textId="5247434F" w:rsidR="00DD5CD0" w:rsidRDefault="00DD5CD0">
      <w:pPr>
        <w:pStyle w:val="FootnoteText"/>
      </w:pPr>
      <w:r>
        <w:rPr>
          <w:rStyle w:val="FootnoteReference"/>
        </w:rPr>
        <w:footnoteRef/>
      </w:r>
      <w:r>
        <w:t xml:space="preserve"> This figure includes core headspace grant funding provided to headspace services</w:t>
      </w:r>
      <w:r w:rsidR="00F36E31">
        <w:t xml:space="preserve"> only. It does not include additional funding provided to PHNs to support commissioning and oversight of headspace services, or other one-off funding such as headspace Demand Management</w:t>
      </w:r>
      <w:r w:rsidR="00653354">
        <w:t xml:space="preserve"> and Enhancement</w:t>
      </w:r>
      <w:r w:rsidR="00F36E31">
        <w:t xml:space="preserve"> Program funding.</w:t>
      </w:r>
    </w:p>
  </w:footnote>
  <w:footnote w:id="64">
    <w:p w14:paraId="3E0EE341" w14:textId="44E9EC5F" w:rsidR="00C437DC" w:rsidRDefault="00C437DC" w:rsidP="00C437DC">
      <w:pPr>
        <w:pStyle w:val="FootnoteText"/>
      </w:pPr>
      <w:r w:rsidRPr="00972704">
        <w:rPr>
          <w:rStyle w:val="FootnoteReference"/>
        </w:rPr>
        <w:footnoteRef/>
      </w:r>
      <w:r w:rsidRPr="00972704">
        <w:t xml:space="preserve"> </w:t>
      </w:r>
      <w:r>
        <w:t>headspace</w:t>
      </w:r>
      <w:r w:rsidRPr="008A2492">
        <w:t xml:space="preserve"> National 2020,</w:t>
      </w:r>
      <w:r>
        <w:t xml:space="preserve"> </w:t>
      </w:r>
      <w:r w:rsidRPr="008A2492">
        <w:rPr>
          <w:i/>
        </w:rPr>
        <w:t>Annual Report 2019-20</w:t>
      </w:r>
      <w:r w:rsidRPr="008A2492">
        <w:t xml:space="preserve">, </w:t>
      </w:r>
      <w:r>
        <w:t>Viewed</w:t>
      </w:r>
      <w:r w:rsidRPr="008A2492">
        <w:t xml:space="preserve"> </w:t>
      </w:r>
      <w:r>
        <w:t>6</w:t>
      </w:r>
      <w:r w:rsidRPr="008A2492">
        <w:t xml:space="preserve"> August 2021, &lt;</w:t>
      </w:r>
      <w:hyperlink r:id="rId16" w:history="1">
        <w:r w:rsidRPr="000206C0">
          <w:rPr>
            <w:rStyle w:val="Hyperlink"/>
          </w:rPr>
          <w:t>https://headspace.org.au/assets/HSP10755_Annual-Report-2020_FA02_DIGI.pdf</w:t>
        </w:r>
      </w:hyperlink>
      <w:r w:rsidRPr="008A2492">
        <w:t>&gt;</w:t>
      </w:r>
      <w:r>
        <w:t xml:space="preserve"> - headspace National also received an additional $25.4</w:t>
      </w:r>
      <w:r w:rsidR="009C0ED8">
        <w:t xml:space="preserve"> </w:t>
      </w:r>
      <w:r>
        <w:t>m</w:t>
      </w:r>
      <w:r w:rsidR="00373FE0">
        <w:t>illion</w:t>
      </w:r>
      <w:r>
        <w:t xml:space="preserve"> in grant funding for direct service delivery programs it provides outside of the centre network, including ehaeadspace, headspace work and study, and headspace school support programs. headspace National also provides in-kind funding to headspace services through fundraising and legal entity funds.</w:t>
      </w:r>
    </w:p>
  </w:footnote>
  <w:footnote w:id="65">
    <w:p w14:paraId="2ECAAB6C" w14:textId="77777777" w:rsidR="008676C4" w:rsidRDefault="008676C4" w:rsidP="008676C4">
      <w:pPr>
        <w:pStyle w:val="FootnoteText"/>
      </w:pPr>
      <w:r>
        <w:rPr>
          <w:rStyle w:val="FootnoteReference"/>
        </w:rPr>
        <w:footnoteRef/>
      </w:r>
      <w:r>
        <w:t xml:space="preserve"> headspace National, 2007, </w:t>
      </w:r>
      <w:r w:rsidRPr="00064E52">
        <w:rPr>
          <w:i/>
          <w:iCs/>
        </w:rPr>
        <w:t>headspace Establishment Report</w:t>
      </w:r>
      <w:r>
        <w:t xml:space="preserve">. </w:t>
      </w:r>
    </w:p>
  </w:footnote>
  <w:footnote w:id="66">
    <w:p w14:paraId="5DABE76B" w14:textId="6F1E6AA0" w:rsidR="00BE3FE0" w:rsidRPr="007D76B7" w:rsidRDefault="00BE3FE0" w:rsidP="00BE3FE0">
      <w:pPr>
        <w:pStyle w:val="FootnoteText"/>
        <w:rPr>
          <w:iCs/>
          <w:u w:val="single"/>
        </w:rPr>
      </w:pPr>
      <w:r>
        <w:rPr>
          <w:rStyle w:val="FootnoteReference"/>
        </w:rPr>
        <w:footnoteRef/>
      </w:r>
      <w:r>
        <w:t xml:space="preserve"> </w:t>
      </w:r>
      <w:hyperlink r:id="rId17" w:history="1">
        <w:r w:rsidR="00E70AD9">
          <w:rPr>
            <w:rStyle w:val="Hyperlink"/>
          </w:rPr>
          <w:t>Who we are | headspace</w:t>
        </w:r>
      </w:hyperlink>
      <w:r w:rsidR="00D151D4">
        <w:t xml:space="preserve"> </w:t>
      </w:r>
      <w:r w:rsidR="00D151D4" w:rsidRPr="00D151D4">
        <w:t>https://headspace.org.au/our-organisation/who-we-are/</w:t>
      </w:r>
    </w:p>
  </w:footnote>
  <w:footnote w:id="67">
    <w:p w14:paraId="12E4F724" w14:textId="45685FA2" w:rsidR="0058028A" w:rsidRPr="005346CD" w:rsidRDefault="0058028A" w:rsidP="0058028A">
      <w:pPr>
        <w:pStyle w:val="FootnoteText"/>
        <w:rPr>
          <w:iCs/>
          <w:u w:val="single"/>
        </w:rPr>
      </w:pPr>
      <w:r>
        <w:rPr>
          <w:rStyle w:val="FootnoteReference"/>
        </w:rPr>
        <w:footnoteRef/>
      </w:r>
      <w:r>
        <w:t xml:space="preserve"> Orygen and headspace 2019</w:t>
      </w:r>
      <w:r w:rsidRPr="008A2492">
        <w:t>,</w:t>
      </w:r>
      <w:r>
        <w:t xml:space="preserve"> </w:t>
      </w:r>
      <w:r w:rsidRPr="008A2492">
        <w:rPr>
          <w:i/>
        </w:rPr>
        <w:t>Submission to the Productivity Commission’s Inquiry into Mental Health</w:t>
      </w:r>
      <w:r w:rsidR="007819B8">
        <w:rPr>
          <w:iCs/>
        </w:rPr>
        <w:t>.</w:t>
      </w:r>
    </w:p>
  </w:footnote>
  <w:footnote w:id="68">
    <w:p w14:paraId="574E9ED4" w14:textId="77777777" w:rsidR="00F86E53" w:rsidRDefault="00F86E53" w:rsidP="00F86E53">
      <w:pPr>
        <w:pStyle w:val="BodyText"/>
        <w:spacing w:before="0" w:after="0"/>
        <w:contextualSpacing/>
      </w:pPr>
      <w:r w:rsidRPr="00B0256A">
        <w:rPr>
          <w:sz w:val="12"/>
          <w:szCs w:val="12"/>
          <w:vertAlign w:val="superscript"/>
        </w:rPr>
        <w:footnoteRef/>
      </w:r>
      <w:r w:rsidRPr="0063113B">
        <w:rPr>
          <w:sz w:val="12"/>
          <w:szCs w:val="12"/>
        </w:rPr>
        <w:t xml:space="preserve"> </w:t>
      </w:r>
      <w:r w:rsidRPr="0063113B">
        <w:rPr>
          <w:sz w:val="16"/>
          <w:szCs w:val="20"/>
        </w:rPr>
        <w:t xml:space="preserve">headspace National 2020, </w:t>
      </w:r>
      <w:r w:rsidRPr="0063113B">
        <w:rPr>
          <w:i/>
          <w:iCs/>
          <w:sz w:val="16"/>
          <w:szCs w:val="20"/>
        </w:rPr>
        <w:t>headspace Model Integrity Framework (hMIF V2),</w:t>
      </w:r>
      <w:r w:rsidRPr="0063113B">
        <w:rPr>
          <w:sz w:val="16"/>
          <w:szCs w:val="20"/>
        </w:rPr>
        <w:t xml:space="preserve"> Provided to KPMG by headspace National.</w:t>
      </w:r>
    </w:p>
  </w:footnote>
  <w:footnote w:id="69">
    <w:p w14:paraId="4C24A38A" w14:textId="1A2669EC" w:rsidR="003C35C3" w:rsidRDefault="003C35C3" w:rsidP="003C35C3">
      <w:pPr>
        <w:pStyle w:val="FootnoteText"/>
      </w:pPr>
      <w:r>
        <w:rPr>
          <w:rStyle w:val="FootnoteReference"/>
        </w:rPr>
        <w:footnoteRef/>
      </w:r>
      <w:r>
        <w:t xml:space="preserve"> </w:t>
      </w:r>
      <w:r w:rsidR="00DF2540">
        <w:t>b</w:t>
      </w:r>
      <w:r w:rsidR="00062F63">
        <w:t>e you,</w:t>
      </w:r>
      <w:r w:rsidR="00DF2540">
        <w:t xml:space="preserve"> 2022, </w:t>
      </w:r>
      <w:r w:rsidR="00DF2540" w:rsidRPr="00DF2540">
        <w:t>accessed at</w:t>
      </w:r>
      <w:r w:rsidR="00062F63">
        <w:t xml:space="preserve"> </w:t>
      </w:r>
      <w:hyperlink r:id="rId18" w:history="1">
        <w:r w:rsidR="00062F63" w:rsidRPr="00BF3D38">
          <w:rPr>
            <w:rStyle w:val="Hyperlink"/>
          </w:rPr>
          <w:t>https://beyou.edu.au/</w:t>
        </w:r>
      </w:hyperlink>
    </w:p>
  </w:footnote>
  <w:footnote w:id="70">
    <w:p w14:paraId="2A71CE25" w14:textId="7452303B" w:rsidR="003C35C3" w:rsidRDefault="003C35C3" w:rsidP="003C35C3">
      <w:pPr>
        <w:pStyle w:val="FootnoteText"/>
      </w:pPr>
      <w:r>
        <w:rPr>
          <w:rStyle w:val="FootnoteReference"/>
        </w:rPr>
        <w:footnoteRef/>
      </w:r>
      <w:r>
        <w:t xml:space="preserve"> </w:t>
      </w:r>
      <w:r w:rsidR="00583AB0">
        <w:t xml:space="preserve">batyr, 2022, </w:t>
      </w:r>
      <w:r w:rsidR="00583AB0">
        <w:rPr>
          <w:i/>
          <w:iCs/>
        </w:rPr>
        <w:t xml:space="preserve">What is batyr, </w:t>
      </w:r>
      <w:r w:rsidR="00583AB0">
        <w:t xml:space="preserve">accessed at </w:t>
      </w:r>
      <w:hyperlink r:id="rId19" w:history="1">
        <w:r w:rsidR="00583AB0" w:rsidRPr="00BF3D38">
          <w:rPr>
            <w:rStyle w:val="Hyperlink"/>
          </w:rPr>
          <w:t>https://www.batyr.com.au/what-is-batyr/</w:t>
        </w:r>
      </w:hyperlink>
      <w:r w:rsidR="00583AB0">
        <w:rPr>
          <w:rStyle w:val="Hyperlink"/>
        </w:rPr>
        <w:t xml:space="preserve"> </w:t>
      </w:r>
    </w:p>
  </w:footnote>
  <w:footnote w:id="71">
    <w:p w14:paraId="38161D2D" w14:textId="6EB3E446" w:rsidR="00154085" w:rsidRDefault="00154085">
      <w:pPr>
        <w:pStyle w:val="FootnoteText"/>
      </w:pPr>
      <w:r>
        <w:rPr>
          <w:rStyle w:val="FootnoteReference"/>
        </w:rPr>
        <w:footnoteRef/>
      </w:r>
      <w:r>
        <w:t xml:space="preserve"> </w:t>
      </w:r>
      <w:r w:rsidR="008E098C">
        <w:t xml:space="preserve">Kids Helpline, 2022, accessed at </w:t>
      </w:r>
      <w:hyperlink r:id="rId20" w:history="1">
        <w:r w:rsidR="008E098C" w:rsidRPr="00BF3D38">
          <w:rPr>
            <w:rStyle w:val="Hyperlink"/>
          </w:rPr>
          <w:t>https://kidshelpline.com.au/</w:t>
        </w:r>
      </w:hyperlink>
    </w:p>
  </w:footnote>
  <w:footnote w:id="72">
    <w:p w14:paraId="1234A8BF" w14:textId="651ABC5F" w:rsidR="0076584A" w:rsidRDefault="0076584A">
      <w:pPr>
        <w:pStyle w:val="FootnoteText"/>
      </w:pPr>
      <w:r>
        <w:rPr>
          <w:rStyle w:val="FootnoteReference"/>
        </w:rPr>
        <w:footnoteRef/>
      </w:r>
      <w:r>
        <w:t xml:space="preserve"> </w:t>
      </w:r>
      <w:r w:rsidR="00F32BB7">
        <w:t xml:space="preserve">Lifeline, 2022, accessed at </w:t>
      </w:r>
      <w:hyperlink r:id="rId21" w:history="1">
        <w:r w:rsidR="00F32BB7" w:rsidRPr="00BF3D38">
          <w:rPr>
            <w:rStyle w:val="Hyperlink"/>
          </w:rPr>
          <w:t>https://lifeline.org.au/</w:t>
        </w:r>
      </w:hyperlink>
    </w:p>
  </w:footnote>
  <w:footnote w:id="73">
    <w:p w14:paraId="7DB2A086" w14:textId="694DA4E8" w:rsidR="00CF092F" w:rsidRDefault="00CF092F">
      <w:pPr>
        <w:pStyle w:val="FootnoteText"/>
      </w:pPr>
      <w:r>
        <w:rPr>
          <w:rStyle w:val="FootnoteReference"/>
        </w:rPr>
        <w:footnoteRef/>
      </w:r>
      <w:r>
        <w:t xml:space="preserve"> </w:t>
      </w:r>
      <w:r w:rsidR="0099573F">
        <w:t xml:space="preserve">ReachOut Australia, 2022, accessed at </w:t>
      </w:r>
      <w:hyperlink r:id="rId22" w:history="1">
        <w:r w:rsidR="0099573F" w:rsidRPr="00BF3D38">
          <w:rPr>
            <w:rStyle w:val="Hyperlink"/>
          </w:rPr>
          <w:t>https://au.reachout.com/</w:t>
        </w:r>
      </w:hyperlink>
    </w:p>
  </w:footnote>
  <w:footnote w:id="74">
    <w:p w14:paraId="3FCE0297" w14:textId="648D51E7" w:rsidR="00E86CED" w:rsidRDefault="00E86CED">
      <w:pPr>
        <w:pStyle w:val="FootnoteText"/>
      </w:pPr>
      <w:r>
        <w:rPr>
          <w:rStyle w:val="FootnoteReference"/>
        </w:rPr>
        <w:footnoteRef/>
      </w:r>
      <w:r>
        <w:t xml:space="preserve"> </w:t>
      </w:r>
      <w:r w:rsidR="0092168A">
        <w:t>Productivity Commission, Mental Health Inquiry Report, 30 June 2020, Volume 1</w:t>
      </w:r>
      <w:r w:rsidR="00525ED1">
        <w:t>.</w:t>
      </w:r>
    </w:p>
  </w:footnote>
  <w:footnote w:id="75">
    <w:p w14:paraId="0BEC426E" w14:textId="50E5A7FC" w:rsidR="00596564" w:rsidRDefault="00596564">
      <w:pPr>
        <w:pStyle w:val="FootnoteText"/>
      </w:pPr>
      <w:r>
        <w:rPr>
          <w:rStyle w:val="FootnoteReference"/>
        </w:rPr>
        <w:footnoteRef/>
      </w:r>
      <w:r>
        <w:t xml:space="preserve"> </w:t>
      </w:r>
      <w:r w:rsidR="00082ECB" w:rsidRPr="00082ECB">
        <w:t>Rickwood et al. 2018, ‘Australia’s innovation in youth mental health care: The headspace centre model’.</w:t>
      </w:r>
    </w:p>
  </w:footnote>
  <w:footnote w:id="76">
    <w:p w14:paraId="117BDFA9" w14:textId="087EE1E0" w:rsidR="007240BC" w:rsidRDefault="007240BC" w:rsidP="007240BC">
      <w:pPr>
        <w:pStyle w:val="FootnoteText"/>
      </w:pPr>
      <w:r>
        <w:rPr>
          <w:rStyle w:val="FootnoteReference"/>
        </w:rPr>
        <w:footnoteRef/>
      </w:r>
      <w:r>
        <w:t xml:space="preserve"> It should be noted that the Commonwealth Government’s official count of headspace services differs from the total number of headspace services open across Australia, as there are a small number of services with historical funding arrangements that </w:t>
      </w:r>
      <w:r w:rsidR="00525ED1">
        <w:t>means</w:t>
      </w:r>
      <w:r>
        <w:t xml:space="preserve"> they are not counted by </w:t>
      </w:r>
      <w:r w:rsidR="00525ED1">
        <w:t>g</w:t>
      </w:r>
      <w:r>
        <w:t>overnment. Government’s</w:t>
      </w:r>
      <w:r w:rsidR="00730B4D">
        <w:t xml:space="preserve"> </w:t>
      </w:r>
      <w:r w:rsidR="00C9034C">
        <w:t>o</w:t>
      </w:r>
      <w:r>
        <w:t xml:space="preserve">fficial count of services as at </w:t>
      </w:r>
      <w:r w:rsidR="00225B6B">
        <w:t>1 May 2022 was 1</w:t>
      </w:r>
      <w:r w:rsidR="00FE4318">
        <w:t>49</w:t>
      </w:r>
      <w:r>
        <w:t>.</w:t>
      </w:r>
    </w:p>
  </w:footnote>
  <w:footnote w:id="77">
    <w:p w14:paraId="584002D3" w14:textId="77777777" w:rsidR="007240BC" w:rsidRDefault="007240BC" w:rsidP="007240BC">
      <w:pPr>
        <w:pStyle w:val="FootnoteText"/>
      </w:pPr>
      <w:r>
        <w:rPr>
          <w:rStyle w:val="FootnoteReference"/>
        </w:rPr>
        <w:footnoteRef/>
      </w:r>
      <w:r>
        <w:t xml:space="preserve"> Government’s count of services as at 30 June 2020 was 113.</w:t>
      </w:r>
    </w:p>
  </w:footnote>
  <w:footnote w:id="78">
    <w:p w14:paraId="26EE8CA3" w14:textId="5C373E3D" w:rsidR="00494BB5" w:rsidRDefault="00494BB5">
      <w:pPr>
        <w:pStyle w:val="FootnoteText"/>
      </w:pPr>
      <w:r>
        <w:rPr>
          <w:rStyle w:val="FootnoteReference"/>
        </w:rPr>
        <w:footnoteRef/>
      </w:r>
      <w:r>
        <w:t xml:space="preserve"> </w:t>
      </w:r>
      <w:r w:rsidR="00B52E49">
        <w:t>Australian Bureau of Statistics, Quarterly Population Estimates (ERP), by State/Territory, Sex and Age, 2020-Q2, Catalogue</w:t>
      </w:r>
      <w:r w:rsidR="00797C3A">
        <w:t> </w:t>
      </w:r>
      <w:r w:rsidR="00B52E49">
        <w:t>3101.0</w:t>
      </w:r>
      <w:r w:rsidR="00FC0217">
        <w:t>.</w:t>
      </w:r>
    </w:p>
  </w:footnote>
  <w:footnote w:id="79">
    <w:p w14:paraId="2AB94DD8" w14:textId="06EEAE65" w:rsidR="007240BC" w:rsidRDefault="007240BC" w:rsidP="007240BC">
      <w:pPr>
        <w:pStyle w:val="FootnoteText"/>
      </w:pPr>
      <w:r>
        <w:rPr>
          <w:rStyle w:val="FootnoteReference"/>
        </w:rPr>
        <w:footnoteRef/>
      </w:r>
      <w:r>
        <w:t xml:space="preserve"> </w:t>
      </w:r>
      <w:r w:rsidR="00797C3A">
        <w:t>Throughout this report, r</w:t>
      </w:r>
      <w:r>
        <w:t>emoteness is based on the Australian Standard Geographical Classification (ASGC) of remoteness for each service.</w:t>
      </w:r>
    </w:p>
  </w:footnote>
  <w:footnote w:id="80">
    <w:p w14:paraId="21EC0E3E" w14:textId="06AC145D" w:rsidR="007240BC" w:rsidRDefault="007240BC" w:rsidP="007240BC">
      <w:pPr>
        <w:pStyle w:val="FootnoteText"/>
      </w:pPr>
      <w:r>
        <w:rPr>
          <w:rStyle w:val="FootnoteReference"/>
        </w:rPr>
        <w:footnoteRef/>
      </w:r>
      <w:r w:rsidR="00525ED1">
        <w:t xml:space="preserve"> Appendix</w:t>
      </w:r>
      <w:r>
        <w:t xml:space="preserve"> </w:t>
      </w:r>
      <w:r w:rsidR="00D15437">
        <w:fldChar w:fldCharType="begin" w:fldLock="1"/>
      </w:r>
      <w:r w:rsidR="00D15437">
        <w:instrText xml:space="preserve"> REF _Ref98226030 \r \h </w:instrText>
      </w:r>
      <w:r w:rsidR="00D15437">
        <w:fldChar w:fldCharType="separate"/>
      </w:r>
      <w:r w:rsidR="00AE4D34">
        <w:t>E.9</w:t>
      </w:r>
      <w:r w:rsidR="00D15437">
        <w:fldChar w:fldCharType="end"/>
      </w:r>
      <w:r>
        <w:t xml:space="preserve"> provides a more detailed explanation of how total </w:t>
      </w:r>
      <w:r w:rsidR="000C7FBC">
        <w:t>OOS</w:t>
      </w:r>
      <w:r>
        <w:t xml:space="preserve">, episodes of care and headspace clients in 2019-20 were determined. </w:t>
      </w:r>
    </w:p>
  </w:footnote>
  <w:footnote w:id="81">
    <w:p w14:paraId="77EB31E4" w14:textId="386096EF" w:rsidR="007240BC" w:rsidRDefault="007240BC" w:rsidP="007240BC">
      <w:pPr>
        <w:pStyle w:val="FootnoteText"/>
      </w:pPr>
      <w:r>
        <w:rPr>
          <w:rStyle w:val="FootnoteReference"/>
        </w:rPr>
        <w:footnoteRef/>
      </w:r>
      <w:r>
        <w:t xml:space="preserve"> Services provided within the </w:t>
      </w:r>
      <w:r w:rsidR="00B271C2">
        <w:t>small number of ‘other’ headspace service types (for example, outposts)</w:t>
      </w:r>
      <w:r>
        <w:t xml:space="preserve"> centre open in 2019-20 have not been reported here. This is due to the small number of </w:t>
      </w:r>
      <w:r w:rsidR="00D46609">
        <w:t>OOS</w:t>
      </w:r>
      <w:r>
        <w:t xml:space="preserve"> that would be represented.</w:t>
      </w:r>
    </w:p>
  </w:footnote>
  <w:footnote w:id="82">
    <w:p w14:paraId="14E60213" w14:textId="06E563BC" w:rsidR="007240BC" w:rsidRPr="0022173F" w:rsidRDefault="007240BC" w:rsidP="007240BC">
      <w:pPr>
        <w:pStyle w:val="BodyText"/>
        <w:spacing w:before="0" w:after="0"/>
        <w:rPr>
          <w:szCs w:val="16"/>
        </w:rPr>
      </w:pPr>
      <w:r w:rsidRPr="001D02C2">
        <w:rPr>
          <w:rStyle w:val="FootnoteReference"/>
          <w:sz w:val="16"/>
          <w:szCs w:val="16"/>
        </w:rPr>
        <w:footnoteRef/>
      </w:r>
      <w:r w:rsidRPr="001D02C2">
        <w:rPr>
          <w:sz w:val="16"/>
          <w:szCs w:val="16"/>
        </w:rPr>
        <w:t xml:space="preserve"> headspace National 2017, </w:t>
      </w:r>
      <w:r w:rsidRPr="00770BC1">
        <w:rPr>
          <w:rStyle w:val="FootnoteTextChar"/>
          <w:i/>
          <w:iCs/>
        </w:rPr>
        <w:t>headspace Model Integrity Framework – August 2017</w:t>
      </w:r>
      <w:r w:rsidR="00196511">
        <w:rPr>
          <w:iCs/>
          <w:sz w:val="16"/>
          <w:szCs w:val="16"/>
        </w:rPr>
        <w:t>.</w:t>
      </w:r>
    </w:p>
  </w:footnote>
  <w:footnote w:id="83">
    <w:p w14:paraId="04B1D290" w14:textId="691D9B11" w:rsidR="005A2849" w:rsidRDefault="005A2849">
      <w:pPr>
        <w:pStyle w:val="FootnoteText"/>
      </w:pPr>
      <w:r>
        <w:rPr>
          <w:rStyle w:val="FootnoteReference"/>
        </w:rPr>
        <w:footnoteRef/>
      </w:r>
      <w:r>
        <w:t xml:space="preserve"> The IPS Program has since been expanded</w:t>
      </w:r>
      <w:r w:rsidR="00753B46">
        <w:t xml:space="preserve">, and is provided </w:t>
      </w:r>
      <w:r w:rsidR="00D83974">
        <w:t>within 50 headspace services nationally. The IPS</w:t>
      </w:r>
      <w:r w:rsidR="00525ED1">
        <w:t xml:space="preserve"> Program</w:t>
      </w:r>
      <w:r w:rsidR="00D83974">
        <w:t xml:space="preserve"> was evaluated in 2019, a copy of the evaluation report can be found here - </w:t>
      </w:r>
      <w:r w:rsidR="00D83974" w:rsidRPr="00D83974">
        <w:t>https://www.dss.gov.au/disability-and-carers-programs-services-for-service-providers-individual-placement-and-support-program-ips-program/evaluation-of-the-individual-placement-and-support-june-2019</w:t>
      </w:r>
    </w:p>
  </w:footnote>
  <w:footnote w:id="84">
    <w:p w14:paraId="165E48EC" w14:textId="44F053D1" w:rsidR="00337E47" w:rsidRDefault="00337E47">
      <w:pPr>
        <w:pStyle w:val="FootnoteText"/>
      </w:pPr>
      <w:r>
        <w:rPr>
          <w:rStyle w:val="FootnoteReference"/>
        </w:rPr>
        <w:footnoteRef/>
      </w:r>
      <w:r>
        <w:t xml:space="preserve"> Service mode data was added as a new data collection item in the hMDS in 2019. More historical</w:t>
      </w:r>
      <w:r w:rsidR="00B932A6">
        <w:t xml:space="preserve"> data on service modes for headspace services was not available to support longer</w:t>
      </w:r>
      <w:r w:rsidR="00525ED1">
        <w:t>-</w:t>
      </w:r>
      <w:r w:rsidR="00B932A6">
        <w:t>term analysis.</w:t>
      </w:r>
    </w:p>
  </w:footnote>
  <w:footnote w:id="85">
    <w:p w14:paraId="4AE7D9A4" w14:textId="58CDDBB5" w:rsidR="00C723EB" w:rsidRDefault="00AE7BE3">
      <w:pPr>
        <w:pStyle w:val="FootnoteText"/>
      </w:pPr>
      <w:r>
        <w:rPr>
          <w:rStyle w:val="FootnoteReference"/>
        </w:rPr>
        <w:footnoteRef/>
      </w:r>
      <w:r>
        <w:t xml:space="preserve"> KPMG (2019). Final report for the evaluation of the Individual Placement Support Trial. </w:t>
      </w:r>
      <w:r w:rsidR="00C723EB">
        <w:t xml:space="preserve">Department of Social Services, retrieved from: </w:t>
      </w:r>
      <w:hyperlink r:id="rId23" w:history="1">
        <w:r w:rsidR="00C723EB">
          <w:rPr>
            <w:rStyle w:val="Hyperlink"/>
          </w:rPr>
          <w:t>individual-placement-and-support-trial-evaluation-report-june-2019.pdf (dss.gov.au)</w:t>
        </w:r>
      </w:hyperlink>
    </w:p>
  </w:footnote>
  <w:footnote w:id="86">
    <w:p w14:paraId="55987B78" w14:textId="52CC51B7" w:rsidR="003A7612" w:rsidRDefault="003A7612">
      <w:pPr>
        <w:pStyle w:val="FootnoteText"/>
      </w:pPr>
      <w:r>
        <w:rPr>
          <w:rStyle w:val="FootnoteReference"/>
        </w:rPr>
        <w:footnoteRef/>
      </w:r>
      <w:r>
        <w:t xml:space="preserve"> Percentage of </w:t>
      </w:r>
      <w:r w:rsidR="00D46609">
        <w:t>OOS</w:t>
      </w:r>
      <w:r>
        <w:t xml:space="preserve"> </w:t>
      </w:r>
      <w:r w:rsidR="00CC2AB3">
        <w:t>in 2019-20 reflecting service type</w:t>
      </w:r>
      <w:r w:rsidR="00F227F8">
        <w:t xml:space="preserve"> provided.</w:t>
      </w:r>
    </w:p>
  </w:footnote>
  <w:footnote w:id="87">
    <w:p w14:paraId="44F4E25C" w14:textId="6C45B5A8" w:rsidR="00E73BC9" w:rsidRDefault="00E73BC9">
      <w:pPr>
        <w:pStyle w:val="FootnoteText"/>
      </w:pPr>
      <w:r>
        <w:rPr>
          <w:rStyle w:val="FootnoteReference"/>
        </w:rPr>
        <w:footnoteRef/>
      </w:r>
      <w:r>
        <w:t xml:space="preserve"> </w:t>
      </w:r>
      <w:r w:rsidR="005532FA" w:rsidRPr="00866D89">
        <w:rPr>
          <w:szCs w:val="16"/>
        </w:rPr>
        <w:t xml:space="preserve">headspace National 2020, </w:t>
      </w:r>
      <w:r w:rsidR="005532FA" w:rsidRPr="00866D89">
        <w:rPr>
          <w:i/>
          <w:iCs/>
          <w:szCs w:val="16"/>
        </w:rPr>
        <w:t>headspace Model Integrity Framework (hMIF V2</w:t>
      </w:r>
      <w:r w:rsidR="005532FA" w:rsidRPr="00866D89">
        <w:rPr>
          <w:szCs w:val="16"/>
        </w:rPr>
        <w:t>).</w:t>
      </w:r>
    </w:p>
  </w:footnote>
  <w:footnote w:id="88">
    <w:p w14:paraId="2ECE46BA" w14:textId="0280D88E" w:rsidR="00105A8D" w:rsidRDefault="00105A8D" w:rsidP="00105A8D">
      <w:pPr>
        <w:pStyle w:val="FootnoteText"/>
      </w:pPr>
      <w:r>
        <w:rPr>
          <w:rStyle w:val="FootnoteReference"/>
        </w:rPr>
        <w:footnoteRef/>
      </w:r>
      <w:r>
        <w:t xml:space="preserve"> </w:t>
      </w:r>
      <w:r w:rsidRPr="008A2492">
        <w:t xml:space="preserve">headspace National [2021] </w:t>
      </w:r>
      <w:r w:rsidRPr="00F91938">
        <w:rPr>
          <w:i/>
          <w:iCs/>
        </w:rPr>
        <w:t>Evaluation, Research and Annual Reports</w:t>
      </w:r>
      <w:r>
        <w:rPr>
          <w:i/>
          <w:iCs/>
        </w:rPr>
        <w:t xml:space="preserve"> </w:t>
      </w:r>
      <w:r>
        <w:t>(headspace.org</w:t>
      </w:r>
      <w:r w:rsidR="001F3B61">
        <w:t>.</w:t>
      </w:r>
      <w:r>
        <w:t>au)</w:t>
      </w:r>
      <w:r w:rsidRPr="008A2492">
        <w:t xml:space="preserve">, </w:t>
      </w:r>
      <w:r>
        <w:t>Viewed</w:t>
      </w:r>
      <w:r w:rsidRPr="008A2492">
        <w:t xml:space="preserve"> 9 August 2021, &lt;</w:t>
      </w:r>
      <w:hyperlink r:id="rId24" w:history="1">
        <w:r w:rsidRPr="008A2492">
          <w:rPr>
            <w:rStyle w:val="Hyperlink"/>
          </w:rPr>
          <w:t>https://headspace.org.au/about-us/evaluation-research-reports/</w:t>
        </w:r>
      </w:hyperlink>
      <w:r w:rsidRPr="008A2492">
        <w:t>&gt;</w:t>
      </w:r>
      <w:r w:rsidR="00D616C8">
        <w:t>.</w:t>
      </w:r>
    </w:p>
  </w:footnote>
  <w:footnote w:id="89">
    <w:p w14:paraId="3A7C2876" w14:textId="0367BCB1" w:rsidR="00105A8D" w:rsidRDefault="00105A8D" w:rsidP="00105A8D">
      <w:pPr>
        <w:pStyle w:val="FootnoteText"/>
      </w:pPr>
      <w:r>
        <w:rPr>
          <w:rStyle w:val="FootnoteReference"/>
        </w:rPr>
        <w:footnoteRef/>
      </w:r>
      <w:r>
        <w:t xml:space="preserve"> headspace National 2019, </w:t>
      </w:r>
      <w:r w:rsidRPr="00F33A9F">
        <w:rPr>
          <w:i/>
        </w:rPr>
        <w:t>headspace Primary Program Minimum Data Set</w:t>
      </w:r>
      <w:r w:rsidR="00525ED1">
        <w:rPr>
          <w:i/>
        </w:rPr>
        <w:t>-</w:t>
      </w:r>
      <w:r w:rsidRPr="00F33A9F">
        <w:rPr>
          <w:i/>
        </w:rPr>
        <w:t>Data Dictionary</w:t>
      </w:r>
      <w:r w:rsidR="00D616C8">
        <w:rPr>
          <w:i/>
        </w:rPr>
        <w:t>.</w:t>
      </w:r>
    </w:p>
  </w:footnote>
  <w:footnote w:id="90">
    <w:p w14:paraId="4828F701" w14:textId="77777777" w:rsidR="00105A8D" w:rsidRDefault="00105A8D" w:rsidP="00105A8D">
      <w:pPr>
        <w:pStyle w:val="FootnoteText"/>
      </w:pPr>
      <w:r>
        <w:rPr>
          <w:rStyle w:val="FootnoteReference"/>
        </w:rPr>
        <w:footnoteRef/>
      </w:r>
      <w:r>
        <w:t xml:space="preserve"> </w:t>
      </w:r>
      <w:r w:rsidRPr="00DA614A">
        <w:t>Ibid.</w:t>
      </w:r>
    </w:p>
  </w:footnote>
  <w:footnote w:id="91">
    <w:p w14:paraId="6698CDC8" w14:textId="2B4B0C17" w:rsidR="00105A8D" w:rsidRDefault="00105A8D" w:rsidP="00105A8D">
      <w:pPr>
        <w:pStyle w:val="FootnoteText"/>
      </w:pPr>
      <w:r>
        <w:rPr>
          <w:rStyle w:val="FootnoteReference"/>
        </w:rPr>
        <w:footnoteRef/>
      </w:r>
      <w:r>
        <w:t xml:space="preserve"> </w:t>
      </w:r>
      <w:r w:rsidRPr="00D53229">
        <w:t xml:space="preserve">headspace National 2017, </w:t>
      </w:r>
      <w:r w:rsidRPr="00D53229">
        <w:rPr>
          <w:i/>
          <w:iCs/>
        </w:rPr>
        <w:t>headspace Model Integrity Framework – August 2017</w:t>
      </w:r>
      <w:r w:rsidRPr="00D53229">
        <w:t xml:space="preserve">, </w:t>
      </w:r>
      <w:r>
        <w:t xml:space="preserve">p 40, </w:t>
      </w:r>
      <w:r w:rsidRPr="00D53229">
        <w:t>Viewed 11 August 2021, &lt;</w:t>
      </w:r>
      <w:hyperlink r:id="rId25" w:history="1">
        <w:r w:rsidRPr="00AA09CB">
          <w:rPr>
            <w:rStyle w:val="Hyperlink"/>
          </w:rPr>
          <w:t>https://bsphn.org.au/wp-content/uploads/2018/11/headspace-Model-Integrity-Framework-hMIF.pdf</w:t>
        </w:r>
      </w:hyperlink>
      <w:r w:rsidRPr="00D53229">
        <w:t>&gt;.</w:t>
      </w:r>
    </w:p>
  </w:footnote>
  <w:footnote w:id="92">
    <w:p w14:paraId="0F1B6B7E" w14:textId="2F9B0A79" w:rsidR="00105A8D" w:rsidRDefault="00105A8D" w:rsidP="00105A8D">
      <w:pPr>
        <w:pStyle w:val="FootnoteText"/>
      </w:pPr>
      <w:r>
        <w:rPr>
          <w:rStyle w:val="FootnoteReference"/>
        </w:rPr>
        <w:footnoteRef/>
      </w:r>
      <w:r>
        <w:t xml:space="preserve"> </w:t>
      </w:r>
      <w:r w:rsidRPr="008062C9">
        <w:t xml:space="preserve">headspace National [2021] </w:t>
      </w:r>
      <w:r w:rsidRPr="0030277E">
        <w:rPr>
          <w:i/>
        </w:rPr>
        <w:t>headspace Family and Friends Satisfaction Survey</w:t>
      </w:r>
      <w:r w:rsidRPr="008062C9">
        <w:t xml:space="preserve"> (headspace.org</w:t>
      </w:r>
      <w:r w:rsidR="003A5658">
        <w:t>.</w:t>
      </w:r>
      <w:r w:rsidRPr="008062C9">
        <w:t>au), Viewed 11 August 2021, &lt;</w:t>
      </w:r>
      <w:hyperlink r:id="rId26" w:history="1">
        <w:r w:rsidRPr="00AA09CB">
          <w:rPr>
            <w:rStyle w:val="Hyperlink"/>
          </w:rPr>
          <w:t>https://headspace.org.au/friends-and-family/mental-health/</w:t>
        </w:r>
      </w:hyperlink>
      <w:r w:rsidRPr="008062C9">
        <w:t>&gt;</w:t>
      </w:r>
      <w:r w:rsidR="00D616C8">
        <w:t>.</w:t>
      </w:r>
    </w:p>
  </w:footnote>
  <w:footnote w:id="93">
    <w:p w14:paraId="69A0188B" w14:textId="77777777" w:rsidR="00CF4D85" w:rsidRDefault="00CF4D85" w:rsidP="00CF4D85">
      <w:pPr>
        <w:pStyle w:val="FootnoteText"/>
      </w:pPr>
      <w:r>
        <w:rPr>
          <w:rStyle w:val="FootnoteReference"/>
        </w:rPr>
        <w:footnoteRef/>
      </w:r>
      <w:r>
        <w:t xml:space="preserve"> </w:t>
      </w:r>
      <w:r w:rsidRPr="00683885">
        <w:t xml:space="preserve">headspace National 2021, </w:t>
      </w:r>
      <w:r w:rsidRPr="0030277E">
        <w:rPr>
          <w:i/>
        </w:rPr>
        <w:t>Tableau Dashboards</w:t>
      </w:r>
      <w:r w:rsidRPr="00683885">
        <w:t>, Provided to KPMG by headspace National.</w:t>
      </w:r>
    </w:p>
  </w:footnote>
  <w:footnote w:id="94">
    <w:p w14:paraId="173335E8" w14:textId="1AE9BEA7" w:rsidR="00525ED1" w:rsidRDefault="00525ED1" w:rsidP="00105A8D">
      <w:pPr>
        <w:pStyle w:val="FootnoteText"/>
      </w:pPr>
      <w:r>
        <w:rPr>
          <w:rStyle w:val="FootnoteReference"/>
        </w:rPr>
        <w:footnoteRef/>
      </w:r>
      <w:r>
        <w:t xml:space="preserve"> Department of Health [n.d.], </w:t>
      </w:r>
      <w:r w:rsidRPr="00F91938">
        <w:rPr>
          <w:i/>
          <w:iCs/>
        </w:rPr>
        <w:t>Welcome to the PMHC-MDS - Primary Mental Health Care Minimum Data Set</w:t>
      </w:r>
      <w:r>
        <w:rPr>
          <w:i/>
          <w:iCs/>
        </w:rPr>
        <w:t xml:space="preserve"> </w:t>
      </w:r>
      <w:r>
        <w:t>(pmhc-mds.com)</w:t>
      </w:r>
      <w:r w:rsidRPr="008A2492">
        <w:t xml:space="preserve">, </w:t>
      </w:r>
      <w:r>
        <w:t>Viewed</w:t>
      </w:r>
      <w:r w:rsidRPr="008A2492">
        <w:t xml:space="preserve"> 9 Aug 2021, &lt;</w:t>
      </w:r>
      <w:hyperlink r:id="rId27" w:history="1">
        <w:r w:rsidRPr="00475400">
          <w:rPr>
            <w:rStyle w:val="Hyperlink"/>
          </w:rPr>
          <w:t>https://pmhc-mds.com/</w:t>
        </w:r>
      </w:hyperlink>
      <w:r w:rsidRPr="008A2492">
        <w:t>&gt;</w:t>
      </w:r>
      <w:r>
        <w:t>.</w:t>
      </w:r>
    </w:p>
  </w:footnote>
  <w:footnote w:id="95">
    <w:p w14:paraId="50726A4D" w14:textId="77777777" w:rsidR="00525ED1" w:rsidRDefault="00525ED1" w:rsidP="00105A8D">
      <w:pPr>
        <w:pStyle w:val="FootnoteText"/>
      </w:pPr>
      <w:r>
        <w:rPr>
          <w:rStyle w:val="FootnoteReference"/>
        </w:rPr>
        <w:footnoteRef/>
      </w:r>
      <w:r>
        <w:t xml:space="preserve"> Department of Health [n.d.], </w:t>
      </w:r>
      <w:r w:rsidRPr="00F91938">
        <w:rPr>
          <w:i/>
          <w:iCs/>
        </w:rPr>
        <w:t>Welcome to the PMHC-MDS - Primary Mental Health Care Minimum Data Set</w:t>
      </w:r>
      <w:r>
        <w:rPr>
          <w:i/>
          <w:iCs/>
        </w:rPr>
        <w:t xml:space="preserve"> </w:t>
      </w:r>
      <w:r>
        <w:t>(pmhc-mds.com)</w:t>
      </w:r>
      <w:r w:rsidRPr="008A2492">
        <w:t xml:space="preserve">, </w:t>
      </w:r>
      <w:r>
        <w:t>Viewed</w:t>
      </w:r>
      <w:r w:rsidRPr="008A2492">
        <w:t xml:space="preserve"> 9 Aug 2021, &lt;</w:t>
      </w:r>
      <w:hyperlink r:id="rId28" w:history="1">
        <w:r w:rsidRPr="00475400">
          <w:rPr>
            <w:rStyle w:val="Hyperlink"/>
          </w:rPr>
          <w:t>https://pmhc-mds.com/</w:t>
        </w:r>
      </w:hyperlink>
      <w:r w:rsidRPr="008A2492">
        <w:t>&gt;</w:t>
      </w:r>
      <w:r>
        <w:t>.</w:t>
      </w:r>
    </w:p>
  </w:footnote>
  <w:footnote w:id="96">
    <w:p w14:paraId="22A7B3AA" w14:textId="29BEC066" w:rsidR="00105A8D" w:rsidRDefault="00105A8D" w:rsidP="00105A8D">
      <w:pPr>
        <w:pStyle w:val="FootnoteText"/>
      </w:pPr>
      <w:r>
        <w:rPr>
          <w:rStyle w:val="FootnoteReference"/>
        </w:rPr>
        <w:footnoteRef/>
      </w:r>
      <w:r>
        <w:t xml:space="preserve"> </w:t>
      </w:r>
      <w:r w:rsidRPr="00D97A7C">
        <w:t>Rickwood</w:t>
      </w:r>
      <w:r>
        <w:t xml:space="preserve"> et al.</w:t>
      </w:r>
      <w:r w:rsidRPr="008A2492">
        <w:t xml:space="preserve"> 2018</w:t>
      </w:r>
      <w:r>
        <w:t>,</w:t>
      </w:r>
      <w:r w:rsidRPr="008A2492">
        <w:t xml:space="preserve"> ‘Australia’s innovation in youth mental health care: The headspace centre model’</w:t>
      </w:r>
      <w:r w:rsidR="000933BA">
        <w:t>.</w:t>
      </w:r>
    </w:p>
  </w:footnote>
  <w:footnote w:id="97">
    <w:p w14:paraId="16A444F2" w14:textId="1443C1F2" w:rsidR="00105A8D" w:rsidRDefault="00105A8D" w:rsidP="00105A8D">
      <w:pPr>
        <w:pStyle w:val="FootnoteText"/>
      </w:pPr>
      <w:r>
        <w:rPr>
          <w:rStyle w:val="FootnoteReference"/>
        </w:rPr>
        <w:footnoteRef/>
      </w:r>
      <w:r w:rsidR="00D616C8">
        <w:t xml:space="preserve"> </w:t>
      </w:r>
      <w:r w:rsidRPr="008A2492">
        <w:t xml:space="preserve">headspace National 2020, </w:t>
      </w:r>
      <w:r w:rsidRPr="000D4EFE">
        <w:rPr>
          <w:i/>
          <w:iCs/>
        </w:rPr>
        <w:t>young people’s experience of telehealth during COVID-19</w:t>
      </w:r>
      <w:r w:rsidRPr="008A2492">
        <w:t xml:space="preserve">, </w:t>
      </w:r>
      <w:r>
        <w:t>Viewed</w:t>
      </w:r>
      <w:r w:rsidRPr="008A2492">
        <w:t xml:space="preserve"> 9 Aug</w:t>
      </w:r>
      <w:r>
        <w:t>ust</w:t>
      </w:r>
      <w:r w:rsidRPr="008A2492">
        <w:t xml:space="preserve"> 2021, &lt;</w:t>
      </w:r>
      <w:hyperlink r:id="rId29" w:history="1">
        <w:r w:rsidRPr="008A2492">
          <w:rPr>
            <w:rStyle w:val="Hyperlink"/>
          </w:rPr>
          <w:t>https://headspace.org.au/assets/Uploads/Telehealth-Client-Experience-FINAL-8-10-20.pdf</w:t>
        </w:r>
      </w:hyperlink>
      <w:r w:rsidRPr="008A2492">
        <w:t>,&gt;</w:t>
      </w:r>
      <w:r>
        <w:t xml:space="preserve">; </w:t>
      </w:r>
      <w:r w:rsidRPr="008A2492">
        <w:t xml:space="preserve">headspace National 2020, </w:t>
      </w:r>
      <w:r w:rsidRPr="000D4EFE">
        <w:rPr>
          <w:i/>
          <w:iCs/>
        </w:rPr>
        <w:t>headspace staff experience of telehealth during COVID-19</w:t>
      </w:r>
      <w:r w:rsidRPr="008A2492">
        <w:t xml:space="preserve">, </w:t>
      </w:r>
      <w:r>
        <w:t>Viewed</w:t>
      </w:r>
      <w:r w:rsidRPr="008A2492">
        <w:t xml:space="preserve"> 9 Aug</w:t>
      </w:r>
      <w:r>
        <w:t>ust</w:t>
      </w:r>
      <w:r w:rsidRPr="008A2492">
        <w:t xml:space="preserve"> 2021, &lt;</w:t>
      </w:r>
      <w:hyperlink r:id="rId30" w:history="1">
        <w:r w:rsidRPr="008A2492">
          <w:rPr>
            <w:rStyle w:val="Hyperlink"/>
          </w:rPr>
          <w:t>https://headspace.org.au/assets/Uploads/Telehealth-Staff-Experience-FINAL-8-10-20.pdf</w:t>
        </w:r>
      </w:hyperlink>
      <w:r w:rsidRPr="008A2492">
        <w:rPr>
          <w:rStyle w:val="Hyperlink"/>
        </w:rPr>
        <w:t>&gt;</w:t>
      </w:r>
      <w:r>
        <w:rPr>
          <w:rStyle w:val="Hyperlink"/>
        </w:rPr>
        <w:t>.</w:t>
      </w:r>
    </w:p>
  </w:footnote>
  <w:footnote w:id="98">
    <w:p w14:paraId="36F5B6A1" w14:textId="3DBE724C" w:rsidR="00105A8D" w:rsidRDefault="00105A8D" w:rsidP="00105A8D">
      <w:pPr>
        <w:pStyle w:val="FootnoteText"/>
      </w:pPr>
      <w:r>
        <w:rPr>
          <w:rStyle w:val="FootnoteReference"/>
        </w:rPr>
        <w:footnoteRef/>
      </w:r>
      <w:r>
        <w:t xml:space="preserve"> </w:t>
      </w:r>
      <w:r w:rsidRPr="008A2492">
        <w:t>headspace National 2020</w:t>
      </w:r>
      <w:r>
        <w:t>,</w:t>
      </w:r>
      <w:r w:rsidRPr="008A2492">
        <w:t xml:space="preserve"> </w:t>
      </w:r>
      <w:r w:rsidRPr="000D4EFE">
        <w:rPr>
          <w:i/>
          <w:iCs/>
        </w:rPr>
        <w:t>Coping with COVID: the mental health impact on young people accessing headspace services</w:t>
      </w:r>
      <w:r w:rsidRPr="008A2492">
        <w:t xml:space="preserve">, </w:t>
      </w:r>
      <w:r w:rsidR="00525ED1">
        <w:t>V</w:t>
      </w:r>
      <w:r w:rsidRPr="008A2492">
        <w:t>iewed 11 Aug</w:t>
      </w:r>
      <w:r>
        <w:t>ust</w:t>
      </w:r>
      <w:r w:rsidRPr="008A2492">
        <w:t xml:space="preserve"> 2021</w:t>
      </w:r>
      <w:r>
        <w:t>, &lt;</w:t>
      </w:r>
      <w:hyperlink r:id="rId31" w:history="1">
        <w:r w:rsidRPr="00176244">
          <w:rPr>
            <w:rStyle w:val="Hyperlink"/>
          </w:rPr>
          <w:t>https://headspace.org.au/assets/Uploads/COVID-Client-Impact-Report-FINAL-11-8-20.pdf</w:t>
        </w:r>
      </w:hyperlink>
      <w:r>
        <w:t>&gt;.</w:t>
      </w:r>
    </w:p>
  </w:footnote>
  <w:footnote w:id="99">
    <w:p w14:paraId="0B6C199B" w14:textId="068D2DA1" w:rsidR="00105A8D" w:rsidRDefault="00105A8D" w:rsidP="00105A8D">
      <w:pPr>
        <w:pStyle w:val="FootnoteText"/>
      </w:pPr>
      <w:r>
        <w:rPr>
          <w:rStyle w:val="FootnoteReference"/>
        </w:rPr>
        <w:footnoteRef/>
      </w:r>
      <w:r>
        <w:t xml:space="preserve"> </w:t>
      </w:r>
      <w:r w:rsidRPr="008A2492">
        <w:t>headspace National Youth Mental Health Foundation 2020</w:t>
      </w:r>
      <w:r>
        <w:t xml:space="preserve">, </w:t>
      </w:r>
      <w:r w:rsidRPr="000D4EFE">
        <w:rPr>
          <w:i/>
        </w:rPr>
        <w:t>Response to the Productivity Commission’s Inquiry into the Mental health Draft Report</w:t>
      </w:r>
      <w:r w:rsidRPr="008A2492">
        <w:t xml:space="preserve">, </w:t>
      </w:r>
      <w:r>
        <w:t>Viewed</w:t>
      </w:r>
      <w:r w:rsidRPr="008A2492">
        <w:t xml:space="preserve"> </w:t>
      </w:r>
      <w:r>
        <w:t xml:space="preserve">11 August 2021 </w:t>
      </w:r>
      <w:r w:rsidRPr="008A2492">
        <w:t>&lt;</w:t>
      </w:r>
      <w:hyperlink r:id="rId32" w:history="1">
        <w:r w:rsidRPr="000B425B">
          <w:rPr>
            <w:rStyle w:val="Hyperlink"/>
          </w:rPr>
          <w:t>https://www.pc.gov.au/__data/assets/pdf_file/0017/251360/sub947-mental-health.pdf</w:t>
        </w:r>
      </w:hyperlink>
      <w:r w:rsidRPr="008A2492">
        <w:t>&gt;</w:t>
      </w:r>
      <w:r>
        <w:t>.</w:t>
      </w:r>
    </w:p>
  </w:footnote>
  <w:footnote w:id="100">
    <w:p w14:paraId="4D1EFDFD" w14:textId="4E339697" w:rsidR="00105A8D" w:rsidRDefault="00105A8D" w:rsidP="00105A8D">
      <w:pPr>
        <w:pStyle w:val="FootnoteText"/>
      </w:pPr>
      <w:r>
        <w:rPr>
          <w:rStyle w:val="FootnoteReference"/>
        </w:rPr>
        <w:footnoteRef/>
      </w:r>
      <w:r>
        <w:t xml:space="preserve"> headspace (2019) </w:t>
      </w:r>
      <w:hyperlink r:id="rId33" w:history="1">
        <w:r w:rsidRPr="005975DD">
          <w:rPr>
            <w:rStyle w:val="Hyperlink"/>
          </w:rPr>
          <w:t>https://headspace.org.au/assets/headspace-centre-young-person-follow-up-study-Sept-2019.PDF</w:t>
        </w:r>
      </w:hyperlink>
      <w:r>
        <w:t xml:space="preserve">, </w:t>
      </w:r>
      <w:r w:rsidR="00525ED1">
        <w:t>V</w:t>
      </w:r>
      <w:r>
        <w:t>iewed 11 August 2021</w:t>
      </w:r>
      <w:r w:rsidR="00D616C8">
        <w:t>.</w:t>
      </w:r>
    </w:p>
  </w:footnote>
  <w:footnote w:id="101">
    <w:p w14:paraId="37398F59" w14:textId="457DC6F9" w:rsidR="00D27A28" w:rsidRDefault="00D27A28">
      <w:pPr>
        <w:pStyle w:val="FootnoteText"/>
      </w:pPr>
      <w:r>
        <w:rPr>
          <w:rStyle w:val="FootnoteReference"/>
        </w:rPr>
        <w:footnoteRef/>
      </w:r>
      <w:r>
        <w:t xml:space="preserve"> </w:t>
      </w:r>
      <w:r w:rsidRPr="00D27A28">
        <w:t>Spiegelman, Donna. “Evaluating Public Health Interventions: 2. Stepping up to Routine Public Health Evaluation with the Stepped Wedge Design.” American Journal of Public Health, vol. 106, no. 3, Mar. 2016, pp. 453–457, 10.2105/ajph.2016.303068.</w:t>
      </w:r>
    </w:p>
  </w:footnote>
  <w:footnote w:id="102">
    <w:p w14:paraId="733D40F1" w14:textId="2F16A84D" w:rsidR="00F61719" w:rsidRDefault="00F61719" w:rsidP="00F61719">
      <w:pPr>
        <w:pStyle w:val="FootnoteText"/>
      </w:pPr>
      <w:r>
        <w:rPr>
          <w:rStyle w:val="FootnoteReference"/>
        </w:rPr>
        <w:footnoteRef/>
      </w:r>
      <w:r>
        <w:t xml:space="preserve"> Productivity Commission, Mental Health Inquiry Report, No.95, 30 June 2020</w:t>
      </w:r>
      <w:r w:rsidR="00D616C8">
        <w:t>.</w:t>
      </w:r>
    </w:p>
  </w:footnote>
  <w:footnote w:id="103">
    <w:p w14:paraId="0FF147A8" w14:textId="13436931" w:rsidR="00F61719" w:rsidRDefault="00F61719" w:rsidP="00F61719">
      <w:pPr>
        <w:pStyle w:val="FootnoteText"/>
      </w:pPr>
      <w:r>
        <w:rPr>
          <w:rStyle w:val="FootnoteReference"/>
        </w:rPr>
        <w:footnoteRef/>
      </w:r>
      <w:r>
        <w:t xml:space="preserve"> State of Victoria, Royal Commission into Victoria’s Mental Health System (Final Report, PP No 202, Session 2018-21) vol 1-5</w:t>
      </w:r>
      <w:r w:rsidR="00D616C8">
        <w:t>.</w:t>
      </w:r>
    </w:p>
  </w:footnote>
  <w:footnote w:id="104">
    <w:p w14:paraId="3656A404" w14:textId="754B271A" w:rsidR="00F61719" w:rsidRPr="00B602FE" w:rsidRDefault="00F61719" w:rsidP="00F61719">
      <w:pPr>
        <w:pStyle w:val="FootnoteText"/>
        <w:rPr>
          <w:highlight w:val="yellow"/>
        </w:rPr>
      </w:pPr>
      <w:r>
        <w:rPr>
          <w:rStyle w:val="FootnoteReference"/>
        </w:rPr>
        <w:footnoteRef/>
      </w:r>
      <w:r>
        <w:t xml:space="preserve"> Colmar Brunton, 2020, headspace Community impact research, Report v3</w:t>
      </w:r>
      <w:r w:rsidR="00D616C8">
        <w:t>.</w:t>
      </w:r>
    </w:p>
  </w:footnote>
  <w:footnote w:id="105">
    <w:p w14:paraId="5170ED1D" w14:textId="77777777" w:rsidR="00FE4A22" w:rsidRDefault="00FE4A22" w:rsidP="00FE4A22">
      <w:pPr>
        <w:pStyle w:val="FootnoteText"/>
      </w:pPr>
      <w:r>
        <w:rPr>
          <w:rStyle w:val="FootnoteReference"/>
        </w:rPr>
        <w:footnoteRef/>
      </w:r>
      <w:r>
        <w:t xml:space="preserve"> </w:t>
      </w:r>
      <w:r w:rsidRPr="00866D89">
        <w:rPr>
          <w:szCs w:val="16"/>
        </w:rPr>
        <w:t xml:space="preserve">headspace National 2020, </w:t>
      </w:r>
      <w:r w:rsidRPr="00866D89">
        <w:rPr>
          <w:i/>
          <w:iCs/>
          <w:szCs w:val="16"/>
        </w:rPr>
        <w:t>headspace Model Integrity Framework (hMIF V2</w:t>
      </w:r>
      <w:r w:rsidRPr="00866D89">
        <w:rPr>
          <w:szCs w:val="16"/>
        </w:rPr>
        <w:t>).</w:t>
      </w:r>
    </w:p>
  </w:footnote>
  <w:footnote w:id="106">
    <w:p w14:paraId="74455BA1" w14:textId="74C29198" w:rsidR="00FE4A22" w:rsidRDefault="00FE4A22" w:rsidP="00FE4A22">
      <w:pPr>
        <w:pStyle w:val="FootnoteText"/>
      </w:pPr>
      <w:r>
        <w:rPr>
          <w:rStyle w:val="FootnoteReference"/>
        </w:rPr>
        <w:footnoteRef/>
      </w:r>
      <w:r>
        <w:t xml:space="preserve"> State of Victoria, Royal Commission into Victoria’s Mental Health System (Final Report, PP No 202, Session 2018-21) vol 1-5</w:t>
      </w:r>
      <w:r w:rsidR="00D616C8">
        <w:t>.</w:t>
      </w:r>
    </w:p>
  </w:footnote>
  <w:footnote w:id="107">
    <w:p w14:paraId="23D9377C" w14:textId="67585ED7" w:rsidR="00FE4A22" w:rsidRDefault="00FE4A22" w:rsidP="00FE4A22">
      <w:pPr>
        <w:pStyle w:val="FootnoteText"/>
      </w:pPr>
      <w:r>
        <w:rPr>
          <w:rStyle w:val="FootnoteReference"/>
        </w:rPr>
        <w:footnoteRef/>
      </w:r>
      <w:r>
        <w:t xml:space="preserve"> Productivity Commission, Mental Health Inquiry Report, No.95, 30 June 2020</w:t>
      </w:r>
      <w:r w:rsidR="00D616C8">
        <w:t>.</w:t>
      </w:r>
    </w:p>
  </w:footnote>
  <w:footnote w:id="108">
    <w:p w14:paraId="5F325D99" w14:textId="77777777" w:rsidR="00FE4A22" w:rsidRDefault="00FE4A22" w:rsidP="00FE4A22">
      <w:pPr>
        <w:pStyle w:val="FootnoteText"/>
      </w:pPr>
      <w:r>
        <w:rPr>
          <w:rStyle w:val="FootnoteReference"/>
        </w:rPr>
        <w:footnoteRef/>
      </w:r>
      <w:r>
        <w:t xml:space="preserve"> DoH (Department of Health) 2015, Australian Government Response to Contributing Lives, Thriving Communities - Review of Mental Health Programmes and Services, Canberra.</w:t>
      </w:r>
    </w:p>
  </w:footnote>
  <w:footnote w:id="109">
    <w:p w14:paraId="74939283" w14:textId="443B4A3A" w:rsidR="00753290" w:rsidRDefault="00753290" w:rsidP="00753290">
      <w:pPr>
        <w:pStyle w:val="FootnoteText"/>
      </w:pPr>
      <w:r>
        <w:rPr>
          <w:rStyle w:val="FootnoteReference"/>
        </w:rPr>
        <w:footnoteRef/>
      </w:r>
      <w:r>
        <w:t xml:space="preserve"> State of Victoria, Royal Commission into Victoria’s Mental Health System (Final Report, PP No 202, Session 2018-21) vol 1-5</w:t>
      </w:r>
      <w:r w:rsidR="00D616C8">
        <w:t>.</w:t>
      </w:r>
    </w:p>
  </w:footnote>
  <w:footnote w:id="110">
    <w:p w14:paraId="060ECB80" w14:textId="2FD2B996" w:rsidR="00A3000B" w:rsidRDefault="00A3000B">
      <w:pPr>
        <w:pStyle w:val="FootnoteText"/>
      </w:pPr>
      <w:r>
        <w:rPr>
          <w:rStyle w:val="FootnoteReference"/>
        </w:rPr>
        <w:footnoteRef/>
      </w:r>
      <w:r>
        <w:t xml:space="preserve"> </w:t>
      </w:r>
      <w:r w:rsidR="00A51ECF">
        <w:t xml:space="preserve">While young people with disability were specifically considered as part of this evaluation as a </w:t>
      </w:r>
      <w:r w:rsidR="00BD29DF">
        <w:t>‘</w:t>
      </w:r>
      <w:r w:rsidR="00A51ECF">
        <w:t xml:space="preserve">hard to </w:t>
      </w:r>
      <w:r w:rsidR="00BD29DF">
        <w:t>reach’</w:t>
      </w:r>
      <w:r w:rsidR="00A51ECF">
        <w:t xml:space="preserve"> group, young people with disability are not one of headspace’s ‘priority cohorts’, which include Aboriginal and Torres Strait Islander young people, </w:t>
      </w:r>
      <w:r w:rsidR="00525ED1">
        <w:t>c</w:t>
      </w:r>
      <w:r w:rsidR="00A51ECF">
        <w:t xml:space="preserve">ulturally and </w:t>
      </w:r>
      <w:r w:rsidR="00525ED1">
        <w:t>linguistically d</w:t>
      </w:r>
      <w:r w:rsidR="00A51ECF">
        <w:t>iverse young people, and young people who identify as LGBTQIA+.</w:t>
      </w:r>
    </w:p>
  </w:footnote>
  <w:footnote w:id="111">
    <w:p w14:paraId="61529E2C" w14:textId="02EBA3BC" w:rsidR="00C961EE" w:rsidRDefault="00C961EE">
      <w:pPr>
        <w:pStyle w:val="FootnoteText"/>
      </w:pPr>
      <w:r>
        <w:rPr>
          <w:rStyle w:val="FootnoteReference"/>
        </w:rPr>
        <w:footnoteRef/>
      </w:r>
      <w:r>
        <w:t xml:space="preserve"> Productivity Commission, Mental Health Inquiry Report, No.95, 30 June 2020</w:t>
      </w:r>
      <w:r w:rsidR="00D616C8">
        <w:t>.</w:t>
      </w:r>
    </w:p>
  </w:footnote>
  <w:footnote w:id="112">
    <w:p w14:paraId="0F02C77F" w14:textId="24F518CC" w:rsidR="002175BA" w:rsidRDefault="002175BA">
      <w:pPr>
        <w:pStyle w:val="FootnoteText"/>
      </w:pPr>
      <w:r>
        <w:rPr>
          <w:rStyle w:val="FootnoteReference"/>
        </w:rPr>
        <w:footnoteRef/>
      </w:r>
      <w:r>
        <w:t xml:space="preserve"> Tiller, E., Greenland, N., Christie, R., Kos, A., Brennan, N., &amp; Di Nicola, K. (2021). Youth Survey Report 2021. Sydney, NSW: Mission Australia</w:t>
      </w:r>
      <w:r w:rsidR="00D616C8">
        <w:t>.</w:t>
      </w:r>
    </w:p>
  </w:footnote>
  <w:footnote w:id="113">
    <w:p w14:paraId="7DE6B0C0" w14:textId="50DB6CFF" w:rsidR="007E0BC7" w:rsidRPr="00F82535" w:rsidRDefault="00ED5850">
      <w:pPr>
        <w:pStyle w:val="FootnoteText"/>
        <w:rPr>
          <w:rFonts w:asciiTheme="minorHAnsi" w:hAnsiTheme="minorHAnsi"/>
        </w:rPr>
      </w:pPr>
      <w:r>
        <w:rPr>
          <w:rStyle w:val="FootnoteReference"/>
        </w:rPr>
        <w:footnoteRef/>
      </w:r>
      <w:r>
        <w:t xml:space="preserve"> Australian Institute of Health and Welfare (2020). People with disability in Australia, retrieved from </w:t>
      </w:r>
      <w:hyperlink r:id="rId34" w:history="1">
        <w:r>
          <w:rPr>
            <w:rStyle w:val="Hyperlink"/>
          </w:rPr>
          <w:t>https://www.aihw.gov.au/reports/disability/people-with-disability-in-australia/contents/health/access-to-health-services</w:t>
        </w:r>
      </w:hyperlink>
    </w:p>
  </w:footnote>
  <w:footnote w:id="114">
    <w:p w14:paraId="14914EDE" w14:textId="7BA7D78B" w:rsidR="00ED5850" w:rsidRDefault="00ED5850" w:rsidP="00ED5850">
      <w:pPr>
        <w:pStyle w:val="FootnoteText"/>
      </w:pPr>
      <w:r>
        <w:rPr>
          <w:rStyle w:val="FootnoteReference"/>
        </w:rPr>
        <w:footnoteRef/>
      </w:r>
      <w:r>
        <w:t xml:space="preserve"> The Royal Australian &amp; New Zealand College of Psychiatrists (2021), Recognising and addressing the mental health needs of the LGBTIQ+ population, retrieved </w:t>
      </w:r>
      <w:hyperlink r:id="rId35" w:history="1">
        <w:r w:rsidR="00FE5228" w:rsidRPr="006C749C">
          <w:rPr>
            <w:rStyle w:val="Hyperlink"/>
          </w:rPr>
          <w:t>https://www.ranzcp.org/news-policy/policy-and-advocacy/position-statements/mental-health-needs-lgbtiq</w:t>
        </w:r>
      </w:hyperlink>
      <w:r>
        <w:t>.</w:t>
      </w:r>
    </w:p>
  </w:footnote>
  <w:footnote w:id="115">
    <w:p w14:paraId="474C537A" w14:textId="1CDB9160" w:rsidR="00ED5850" w:rsidRDefault="00ED5850" w:rsidP="00ED5850">
      <w:pPr>
        <w:pStyle w:val="FootnoteText"/>
      </w:pPr>
      <w:r>
        <w:rPr>
          <w:rStyle w:val="FootnoteReference"/>
        </w:rPr>
        <w:footnoteRef/>
      </w:r>
      <w:r>
        <w:t xml:space="preserve"> Truong, M., Allen, D., Chan, J., and Paradies, Y. (2021). Racism complaints in the Australian health system: an overview of existing approaches and some recommendations. Australian Health Review 46(1) 1-4 </w:t>
      </w:r>
      <w:hyperlink r:id="rId36" w:history="1">
        <w:r>
          <w:rPr>
            <w:rStyle w:val="Hyperlink"/>
          </w:rPr>
          <w:t>https://doi.org/10.1071/AH21189</w:t>
        </w:r>
      </w:hyperlink>
      <w:r>
        <w:t>.</w:t>
      </w:r>
    </w:p>
  </w:footnote>
  <w:footnote w:id="116">
    <w:p w14:paraId="4910FD36" w14:textId="67BB9498" w:rsidR="00ED5850" w:rsidRDefault="00ED5850">
      <w:pPr>
        <w:pStyle w:val="FootnoteText"/>
      </w:pPr>
      <w:r>
        <w:rPr>
          <w:rStyle w:val="FootnoteReference"/>
        </w:rPr>
        <w:footnoteRef/>
      </w:r>
      <w:r>
        <w:t xml:space="preserve"> </w:t>
      </w:r>
      <w:r w:rsidRPr="00F738C2">
        <w:rPr>
          <w:szCs w:val="16"/>
        </w:rPr>
        <w:t xml:space="preserve">Australian Government (2020), Closing the Gap National Agreement Preamble, retrieved from </w:t>
      </w:r>
      <w:hyperlink r:id="rId37" w:history="1">
        <w:r w:rsidRPr="00F738C2">
          <w:rPr>
            <w:rStyle w:val="Hyperlink"/>
            <w:szCs w:val="16"/>
          </w:rPr>
          <w:t>https://www.closingthegap.gov.au/national-agreement/national-agreement-closing-the-gap/1-preamble</w:t>
        </w:r>
      </w:hyperlink>
    </w:p>
  </w:footnote>
  <w:footnote w:id="117">
    <w:p w14:paraId="19D1F20E" w14:textId="050E1CD4" w:rsidR="008D3549" w:rsidRDefault="008D3549">
      <w:pPr>
        <w:pStyle w:val="FootnoteText"/>
      </w:pPr>
      <w:r>
        <w:rPr>
          <w:rStyle w:val="FootnoteReference"/>
        </w:rPr>
        <w:footnoteRef/>
      </w:r>
      <w:r>
        <w:t xml:space="preserve"> </w:t>
      </w:r>
      <w:r w:rsidRPr="00E57C61">
        <w:t>McDermott,</w:t>
      </w:r>
      <w:r>
        <w:t xml:space="preserve"> E, et al,</w:t>
      </w:r>
      <w:r w:rsidRPr="00E57C61">
        <w:t xml:space="preserve"> (2018) Norms and normalisation: understanding lesbian, gay, bisexual, transgender and queer youth, suicidality and help</w:t>
      </w:r>
      <w:r w:rsidR="00BD29DF">
        <w:t xml:space="preserve"> </w:t>
      </w:r>
      <w:r w:rsidRPr="00E57C61">
        <w:t>seeking, Culture, Health &amp; Sexuality, 20:2, 156-172</w:t>
      </w:r>
      <w:r>
        <w:t xml:space="preserve">, </w:t>
      </w:r>
      <w:hyperlink r:id="rId38" w:history="1">
        <w:r w:rsidRPr="000B425B">
          <w:rPr>
            <w:rStyle w:val="Hyperlink"/>
          </w:rPr>
          <w:t>https://doi.org/10.1080/13691058.2017.1335435</w:t>
        </w:r>
      </w:hyperlink>
    </w:p>
  </w:footnote>
  <w:footnote w:id="118">
    <w:p w14:paraId="64CBDE69" w14:textId="69C5181C" w:rsidR="009323A7" w:rsidRDefault="009323A7" w:rsidP="009323A7">
      <w:pPr>
        <w:pStyle w:val="FootnoteText"/>
      </w:pPr>
      <w:r>
        <w:rPr>
          <w:rStyle w:val="FootnoteReference"/>
        </w:rPr>
        <w:footnoteRef/>
      </w:r>
      <w:r>
        <w:t xml:space="preserve"> Productivity Commission, Mental Health Inquiry Report, No.95, 30 June 2020</w:t>
      </w:r>
      <w:r w:rsidR="00D616C8">
        <w:t>.</w:t>
      </w:r>
    </w:p>
  </w:footnote>
  <w:footnote w:id="119">
    <w:p w14:paraId="33D08D38" w14:textId="77777777" w:rsidR="009323A7" w:rsidRDefault="009323A7" w:rsidP="009323A7">
      <w:pPr>
        <w:pStyle w:val="FootnoteText"/>
      </w:pPr>
      <w:r>
        <w:rPr>
          <w:rStyle w:val="FootnoteReference"/>
        </w:rPr>
        <w:footnoteRef/>
      </w:r>
      <w:r>
        <w:t xml:space="preserve"> National Surveys of Mental Health Literacy and Stigma and National Survey of Discrimination and Positive Treatment: A report for the Mental Health Commission of NSW. 2015. Mental Health Commission of NSW, Sydney.</w:t>
      </w:r>
    </w:p>
  </w:footnote>
  <w:footnote w:id="120">
    <w:p w14:paraId="5F46F0F8" w14:textId="136FA086" w:rsidR="00F510E6" w:rsidRDefault="00F510E6" w:rsidP="00F510E6">
      <w:pPr>
        <w:pStyle w:val="FootnoteText"/>
      </w:pPr>
      <w:r>
        <w:rPr>
          <w:rStyle w:val="FootnoteReference"/>
        </w:rPr>
        <w:footnoteRef/>
      </w:r>
      <w:r>
        <w:t xml:space="preserve"> Productivity Commission, Mental Health Inquiry Report, No.95, 30 June 2020, Volume 2, Box 15.1, </w:t>
      </w:r>
      <w:r w:rsidR="00525ED1">
        <w:t>p. </w:t>
      </w:r>
      <w:r>
        <w:t>660; citing Bywood, P.T., Brown, L. and Raven, M. 2015, Improving the Integration of Mental Health Services in Primary Health Care at the Macro Level, PHCRIS Policy Issue Review, Primary Health Care Research and Information Service (PHCRIS), Adelaide.</w:t>
      </w:r>
    </w:p>
  </w:footnote>
  <w:footnote w:id="121">
    <w:p w14:paraId="3F9740D2" w14:textId="49D637F2" w:rsidR="00F510E6" w:rsidRDefault="00F510E6" w:rsidP="00F510E6">
      <w:pPr>
        <w:pStyle w:val="FootnoteText"/>
      </w:pPr>
      <w:r>
        <w:rPr>
          <w:rStyle w:val="FootnoteReference"/>
        </w:rPr>
        <w:footnoteRef/>
      </w:r>
      <w:r>
        <w:t xml:space="preserve"> </w:t>
      </w:r>
      <w:r w:rsidRPr="00866D89">
        <w:rPr>
          <w:szCs w:val="16"/>
        </w:rPr>
        <w:t xml:space="preserve">headspace National 2020, </w:t>
      </w:r>
      <w:r w:rsidRPr="00866D89">
        <w:rPr>
          <w:i/>
          <w:iCs/>
          <w:szCs w:val="16"/>
        </w:rPr>
        <w:t>headspace Model Integrity Framework (hMIF V2</w:t>
      </w:r>
      <w:r w:rsidRPr="00866D89">
        <w:rPr>
          <w:szCs w:val="16"/>
        </w:rPr>
        <w:t>)</w:t>
      </w:r>
      <w:r w:rsidR="00D616C8">
        <w:rPr>
          <w:szCs w:val="16"/>
        </w:rPr>
        <w:t>.</w:t>
      </w:r>
    </w:p>
  </w:footnote>
  <w:footnote w:id="122">
    <w:p w14:paraId="289E9341" w14:textId="60926B24" w:rsidR="00F510E6" w:rsidRDefault="00F510E6" w:rsidP="00F510E6">
      <w:pPr>
        <w:pStyle w:val="FootnoteText"/>
      </w:pPr>
      <w:r>
        <w:rPr>
          <w:rStyle w:val="FootnoteReference"/>
        </w:rPr>
        <w:footnoteRef/>
      </w:r>
      <w:r>
        <w:t xml:space="preserve"> Productivity Commission, Mental Health Inquiry Report, No.95, 30 June 2020, Volume 2, Box 15.1, </w:t>
      </w:r>
      <w:r w:rsidR="00525ED1">
        <w:t xml:space="preserve">p. </w:t>
      </w:r>
      <w:r>
        <w:t>660 – citing Oliver</w:t>
      </w:r>
      <w:r w:rsidR="00447C00">
        <w:noBreakHyphen/>
      </w:r>
      <w:r>
        <w:t>Baxter, J., Brown, L. and Bywood, P.T. 2013, Integrated Care: What Policies Support and Influence Integration in Health Care in Australia?, PHCRIS Policy Issue Review, Primary Health Care Research and Information Service (PHCRIS), Adelaide.</w:t>
      </w:r>
    </w:p>
  </w:footnote>
  <w:footnote w:id="123">
    <w:p w14:paraId="6683EBB8" w14:textId="67C5A8DC" w:rsidR="00F510E6" w:rsidRDefault="00F510E6" w:rsidP="00F510E6">
      <w:pPr>
        <w:pStyle w:val="FootnoteText"/>
      </w:pPr>
      <w:r>
        <w:rPr>
          <w:rStyle w:val="FootnoteReference"/>
        </w:rPr>
        <w:footnoteRef/>
      </w:r>
      <w:r>
        <w:t xml:space="preserve"> Productivity Commission, Mental Health Inquiry Report, No.95, 30 June 2020, Volume 2, </w:t>
      </w:r>
      <w:r w:rsidR="00525ED1">
        <w:t xml:space="preserve">p. </w:t>
      </w:r>
      <w:r>
        <w:t>657</w:t>
      </w:r>
      <w:r w:rsidR="00F437F6">
        <w:t>.</w:t>
      </w:r>
    </w:p>
  </w:footnote>
  <w:footnote w:id="124">
    <w:p w14:paraId="0521FC01" w14:textId="52A2311F" w:rsidR="005F06BC" w:rsidRDefault="005F06BC">
      <w:pPr>
        <w:pStyle w:val="FootnoteText"/>
      </w:pPr>
      <w:r>
        <w:rPr>
          <w:rStyle w:val="FootnoteReference"/>
        </w:rPr>
        <w:footnoteRef/>
      </w:r>
      <w:r>
        <w:t xml:space="preserve"> </w:t>
      </w:r>
      <w:r w:rsidRPr="00866D89">
        <w:rPr>
          <w:szCs w:val="16"/>
        </w:rPr>
        <w:t xml:space="preserve">headspace National 2020, </w:t>
      </w:r>
      <w:r w:rsidRPr="00866D89">
        <w:rPr>
          <w:i/>
          <w:iCs/>
          <w:szCs w:val="16"/>
        </w:rPr>
        <w:t>headspace Model Integrity Framework (hMIF V2</w:t>
      </w:r>
      <w:r w:rsidRPr="00866D89">
        <w:rPr>
          <w:szCs w:val="16"/>
        </w:rPr>
        <w:t>).</w:t>
      </w:r>
    </w:p>
  </w:footnote>
  <w:footnote w:id="125">
    <w:p w14:paraId="7D618F08" w14:textId="57DC5E57" w:rsidR="005428F7" w:rsidRDefault="005428F7">
      <w:pPr>
        <w:pStyle w:val="FootnoteText"/>
      </w:pPr>
      <w:r>
        <w:rPr>
          <w:rStyle w:val="FootnoteReference"/>
        </w:rPr>
        <w:footnoteRef/>
      </w:r>
      <w:r>
        <w:t xml:space="preserve"> </w:t>
      </w:r>
      <w:r w:rsidR="00D75ACE">
        <w:t>h</w:t>
      </w:r>
      <w:r w:rsidR="00D746AF">
        <w:t>eadspace staff indicated, and this is supported by hMDS data, that some young people accessing headspace services are under the target age group of 12 to 25 years</w:t>
      </w:r>
      <w:r w:rsidR="00D75ACE">
        <w:t>.</w:t>
      </w:r>
    </w:p>
  </w:footnote>
  <w:footnote w:id="126">
    <w:p w14:paraId="4813B411" w14:textId="19A62656" w:rsidR="00407515" w:rsidRDefault="00407515">
      <w:pPr>
        <w:pStyle w:val="FootnoteText"/>
      </w:pPr>
      <w:r>
        <w:rPr>
          <w:rStyle w:val="FootnoteReference"/>
        </w:rPr>
        <w:footnoteRef/>
      </w:r>
      <w:r>
        <w:t xml:space="preserve"> </w:t>
      </w:r>
      <w:r w:rsidR="00A66809" w:rsidRPr="00866D89">
        <w:rPr>
          <w:szCs w:val="16"/>
        </w:rPr>
        <w:t xml:space="preserve">headspace National 2020, </w:t>
      </w:r>
      <w:r w:rsidR="00A66809" w:rsidRPr="00866D89">
        <w:rPr>
          <w:i/>
          <w:iCs/>
          <w:szCs w:val="16"/>
        </w:rPr>
        <w:t>headspace Model Integrity Framework (hMIF V2</w:t>
      </w:r>
      <w:r w:rsidR="00A66809" w:rsidRPr="00866D89">
        <w:rPr>
          <w:szCs w:val="16"/>
        </w:rPr>
        <w:t>).</w:t>
      </w:r>
    </w:p>
  </w:footnote>
  <w:footnote w:id="127">
    <w:p w14:paraId="5053E6FA" w14:textId="24EBE7B3" w:rsidR="004A7F13" w:rsidRDefault="004A7F13">
      <w:pPr>
        <w:pStyle w:val="FootnoteText"/>
      </w:pPr>
      <w:r>
        <w:rPr>
          <w:rStyle w:val="FootnoteReference"/>
        </w:rPr>
        <w:footnoteRef/>
      </w:r>
      <w:r>
        <w:t xml:space="preserve"> </w:t>
      </w:r>
      <w:r w:rsidRPr="008A4032">
        <w:t xml:space="preserve">Australian Bureau of Statistics 2012, 4817.0.55.001 - Information Paper: Use of the Kessler Psychological Distress Scale in ABS Health Surveys, Australia, 2007-08, www.abs.gov.au, </w:t>
      </w:r>
      <w:r w:rsidR="00525ED1">
        <w:t>V</w:t>
      </w:r>
      <w:r w:rsidRPr="008A4032">
        <w:t>iewed 30 August 2021, &lt;https://www.abs.gov.au/ausstats/abs@.nsf/lookup/4817.0.55.001chapter92007-08&gt;.</w:t>
      </w:r>
    </w:p>
  </w:footnote>
  <w:footnote w:id="128">
    <w:p w14:paraId="05B179A1" w14:textId="168F4D5A" w:rsidR="00922CFD" w:rsidRDefault="00922CFD" w:rsidP="00922CFD">
      <w:pPr>
        <w:pStyle w:val="FootnoteText"/>
      </w:pPr>
      <w:r>
        <w:rPr>
          <w:rStyle w:val="FootnoteReference"/>
        </w:rPr>
        <w:footnoteRef/>
      </w:r>
      <w:r>
        <w:t xml:space="preserve"> </w:t>
      </w:r>
      <w:r w:rsidRPr="008A2492">
        <w:t xml:space="preserve">World Health Organization 2019, </w:t>
      </w:r>
      <w:r w:rsidRPr="008F369B">
        <w:rPr>
          <w:i/>
        </w:rPr>
        <w:t>Mental Disorders</w:t>
      </w:r>
      <w:r>
        <w:t xml:space="preserve"> (www.who.int)</w:t>
      </w:r>
      <w:r w:rsidRPr="008A2492">
        <w:t xml:space="preserve">, </w:t>
      </w:r>
      <w:r>
        <w:t>Viewed</w:t>
      </w:r>
      <w:r w:rsidRPr="008A2492">
        <w:t xml:space="preserve"> </w:t>
      </w:r>
      <w:r>
        <w:t>13 August 2021</w:t>
      </w:r>
      <w:r w:rsidRPr="008A2492">
        <w:t xml:space="preserve">, </w:t>
      </w:r>
      <w:r>
        <w:t>&lt;</w:t>
      </w:r>
      <w:hyperlink r:id="rId39" w:history="1">
        <w:r w:rsidRPr="00D407B6">
          <w:rPr>
            <w:rStyle w:val="Hyperlink"/>
          </w:rPr>
          <w:t>https://www.who.int/news-room/fact-sheets/detail/mental-disorders</w:t>
        </w:r>
      </w:hyperlink>
      <w:r>
        <w:t>&gt;.</w:t>
      </w:r>
    </w:p>
  </w:footnote>
  <w:footnote w:id="129">
    <w:p w14:paraId="16D11C64" w14:textId="77777777" w:rsidR="00F3400C" w:rsidRDefault="00F3400C" w:rsidP="00F3400C">
      <w:pPr>
        <w:pStyle w:val="FootnoteText"/>
      </w:pPr>
      <w:r>
        <w:rPr>
          <w:rStyle w:val="FootnoteReference"/>
        </w:rPr>
        <w:footnoteRef/>
      </w:r>
      <w:r>
        <w:t xml:space="preserve"> </w:t>
      </w:r>
      <w:r w:rsidRPr="008A2492">
        <w:t xml:space="preserve">Rickwood D., Telford, N., Parker, A.,Tanti, C., and McGorry, P 2014, ‘headspace — Australia's innovation in youth mental health: who are the clients and why are they presenting?’ </w:t>
      </w:r>
      <w:r w:rsidRPr="008A2492">
        <w:rPr>
          <w:i/>
        </w:rPr>
        <w:t>The Medical Journal of Australia</w:t>
      </w:r>
      <w:r w:rsidRPr="008A2492">
        <w:t>, Volume 200, Issue 2, p</w:t>
      </w:r>
      <w:r>
        <w:t>p.</w:t>
      </w:r>
      <w:r w:rsidRPr="008A2492">
        <w:t xml:space="preserve"> 108-111</w:t>
      </w:r>
      <w:r>
        <w:t>.</w:t>
      </w:r>
    </w:p>
  </w:footnote>
  <w:footnote w:id="130">
    <w:p w14:paraId="590AA392" w14:textId="4EFF7C3A" w:rsidR="00822DF7" w:rsidRDefault="00822DF7">
      <w:pPr>
        <w:pStyle w:val="FootnoteText"/>
      </w:pPr>
      <w:r>
        <w:rPr>
          <w:rStyle w:val="FootnoteReference"/>
        </w:rPr>
        <w:footnoteRef/>
      </w:r>
      <w:r>
        <w:t xml:space="preserve"> </w:t>
      </w:r>
      <w:r w:rsidRPr="00632B36">
        <w:t>Malhi GS, Bell E, Bassett D, Boyce P, Bryant R, Hazell P, Hopwood M, Lyndon B, Mulder R, Porter R, Singh AB. The 2020 Royal Australian and New Zealand College of Psychiatrists clinical practice guidelines for mood disorders. Australian &amp; New Zealand Journal of Psychiatry. 2021 Jan;55(1):7-117.</w:t>
      </w:r>
    </w:p>
  </w:footnote>
  <w:footnote w:id="131">
    <w:p w14:paraId="1B94184A" w14:textId="1D61572A" w:rsidR="00B8582F" w:rsidRDefault="00B8582F" w:rsidP="00B8582F">
      <w:pPr>
        <w:pStyle w:val="FootnoteText"/>
      </w:pPr>
      <w:r>
        <w:rPr>
          <w:rStyle w:val="FootnoteReference"/>
        </w:rPr>
        <w:footnoteRef/>
      </w:r>
      <w:r>
        <w:t xml:space="preserve"> </w:t>
      </w:r>
      <w:r w:rsidRPr="00FA60D4">
        <w:t>Wing, Coady, et al. “Designing Difference in Difference Studies: Best Practices for Public Health Policy Research.” Annual Review of Public Health, vol. 39, no. 1, Apr. 2018, pp. 453–469, 10.1146/annurev-publhealth-040617-013507.</w:t>
      </w:r>
    </w:p>
  </w:footnote>
  <w:footnote w:id="132">
    <w:p w14:paraId="1B74958B" w14:textId="30252DF8" w:rsidR="00B8582F" w:rsidRDefault="00B8582F" w:rsidP="00B8582F">
      <w:pPr>
        <w:pStyle w:val="FootnoteText"/>
      </w:pPr>
      <w:r>
        <w:rPr>
          <w:rStyle w:val="FootnoteReference"/>
        </w:rPr>
        <w:footnoteRef/>
      </w:r>
      <w:r>
        <w:t xml:space="preserve"> </w:t>
      </w:r>
      <w:r w:rsidRPr="009F6C9B">
        <w:t>Jorm, AF &amp; Kitchener, BA 2020, ‘Increases in youth mental health services in Australia: Have they had an impact on youth population mental health?’, Australian &amp; New Zealand Journal of Psychiatry, vol. 55, no. 5, p. 000486742097686.</w:t>
      </w:r>
    </w:p>
  </w:footnote>
  <w:footnote w:id="133">
    <w:p w14:paraId="6299B3FC" w14:textId="3A281E74" w:rsidR="00B8582F" w:rsidRDefault="00B8582F" w:rsidP="00B8582F">
      <w:pPr>
        <w:pStyle w:val="FootnoteText"/>
      </w:pPr>
      <w:r>
        <w:rPr>
          <w:rStyle w:val="FootnoteReference"/>
        </w:rPr>
        <w:footnoteRef/>
      </w:r>
      <w:r>
        <w:t xml:space="preserve"> Hilferty, F., Cassells, R., Muir, K., Duncan, A., Christensen, D.,Mitrou, F., Gao, G., Mavisakalyan, A., Hafekost, K., Tarverdi,</w:t>
      </w:r>
      <w:r w:rsidR="008921B8">
        <w:t> </w:t>
      </w:r>
      <w:r>
        <w:t>Y., Nguyen, H., Wingrove, C. and Katz, I. (2015). Is headspace making a difference to young people’s lives? Final Report of the independent evaluation of the headspace program. (SPRC Report 08/2015). Sydney: Social Policy Research Centre, UNSW Australia.</w:t>
      </w:r>
    </w:p>
  </w:footnote>
  <w:footnote w:id="134">
    <w:p w14:paraId="30B5400F" w14:textId="01F44437" w:rsidR="00BD437F" w:rsidRDefault="00BD437F">
      <w:pPr>
        <w:pStyle w:val="FootnoteText"/>
      </w:pPr>
      <w:r>
        <w:rPr>
          <w:rStyle w:val="FootnoteReference"/>
        </w:rPr>
        <w:footnoteRef/>
      </w:r>
      <w:r>
        <w:t xml:space="preserve"> See </w:t>
      </w:r>
      <w:r w:rsidR="00525ED1">
        <w:t xml:space="preserve">Appendix </w:t>
      </w:r>
      <w:r w:rsidR="00E35365">
        <w:fldChar w:fldCharType="begin" w:fldLock="1"/>
      </w:r>
      <w:r w:rsidR="00E35365">
        <w:instrText xml:space="preserve"> REF _Ref98226030 \r \h </w:instrText>
      </w:r>
      <w:r w:rsidR="00E35365">
        <w:fldChar w:fldCharType="separate"/>
      </w:r>
      <w:r w:rsidR="00AE4D34">
        <w:t>E.9</w:t>
      </w:r>
      <w:r w:rsidR="00E35365">
        <w:fldChar w:fldCharType="end"/>
      </w:r>
      <w:r>
        <w:t xml:space="preserve"> for details</w:t>
      </w:r>
      <w:r w:rsidR="00E35365">
        <w:t>.</w:t>
      </w:r>
    </w:p>
  </w:footnote>
  <w:footnote w:id="135">
    <w:p w14:paraId="611BA97B" w14:textId="09248776" w:rsidR="00982CFC" w:rsidRDefault="00982CFC" w:rsidP="00982CFC">
      <w:pPr>
        <w:pStyle w:val="FootnoteText"/>
      </w:pPr>
      <w:r>
        <w:rPr>
          <w:rStyle w:val="FootnoteReference"/>
        </w:rPr>
        <w:footnoteRef/>
      </w:r>
      <w:r>
        <w:t xml:space="preserve"> The </w:t>
      </w:r>
      <w:r w:rsidRPr="003755C4">
        <w:t xml:space="preserve">analytical </w:t>
      </w:r>
      <w:r>
        <w:t xml:space="preserve">sample only included headspace centres or satellite services. It is noted that any comparison between headspace centres and satellite services in this section is based on this sample of 112 headspace service including 109 centres and </w:t>
      </w:r>
      <w:r w:rsidR="00525ED1">
        <w:t>three</w:t>
      </w:r>
      <w:r>
        <w:t xml:space="preserve"> satellite services.</w:t>
      </w:r>
    </w:p>
  </w:footnote>
  <w:footnote w:id="136">
    <w:p w14:paraId="392F8FD4" w14:textId="1978B851" w:rsidR="003B1925" w:rsidRDefault="003B1925">
      <w:pPr>
        <w:pStyle w:val="FootnoteText"/>
      </w:pPr>
    </w:p>
  </w:footnote>
  <w:footnote w:id="137">
    <w:p w14:paraId="325963E6" w14:textId="64E70151" w:rsidR="00096777" w:rsidRDefault="00096777" w:rsidP="00096777">
      <w:pPr>
        <w:pStyle w:val="FootnoteText"/>
      </w:pPr>
      <w:r>
        <w:rPr>
          <w:rStyle w:val="FootnoteReference"/>
        </w:rPr>
        <w:footnoteRef/>
      </w:r>
      <w:r>
        <w:t xml:space="preserve"> This is estimated based on a product of average contribution per MBS mental health item and the number MBS funded </w:t>
      </w:r>
      <w:r w:rsidR="00525ED1">
        <w:t>OOS</w:t>
      </w:r>
      <w:r>
        <w:t>.</w:t>
      </w:r>
    </w:p>
  </w:footnote>
  <w:footnote w:id="138">
    <w:p w14:paraId="73B76246" w14:textId="5A5D0FF4" w:rsidR="00BD437F" w:rsidRDefault="00BD437F" w:rsidP="009C4D98">
      <w:pPr>
        <w:pStyle w:val="FootnoteText"/>
      </w:pPr>
      <w:r>
        <w:rPr>
          <w:rStyle w:val="FootnoteReference"/>
        </w:rPr>
        <w:footnoteRef/>
      </w:r>
      <w:r>
        <w:t xml:space="preserve"> Among </w:t>
      </w:r>
      <w:r w:rsidR="00D46609">
        <w:t>OOS</w:t>
      </w:r>
      <w:r>
        <w:t xml:space="preserve"> funded via the MBS, and with non-missing service provider details, there was a change in the distribution of service provider professions treating these occasions between 2019 and 2020. The most significant change was the fall in the share of </w:t>
      </w:r>
      <w:r w:rsidR="00525ED1">
        <w:t>OOS</w:t>
      </w:r>
      <w:r w:rsidR="00D46609">
        <w:t xml:space="preserve"> </w:t>
      </w:r>
      <w:r>
        <w:t xml:space="preserve">treated by clinical psychologists and </w:t>
      </w:r>
      <w:r w:rsidR="00944F83">
        <w:t>GPs</w:t>
      </w:r>
      <w:r>
        <w:t xml:space="preserve"> by four percentage points. The share treated by psychologists increased by four percentage points.</w:t>
      </w:r>
    </w:p>
  </w:footnote>
  <w:footnote w:id="139">
    <w:p w14:paraId="74EC482A" w14:textId="2C794C42" w:rsidR="003D55A0" w:rsidRDefault="003D55A0">
      <w:pPr>
        <w:pStyle w:val="FootnoteText"/>
      </w:pPr>
      <w:r>
        <w:rPr>
          <w:rStyle w:val="FootnoteReference"/>
        </w:rPr>
        <w:footnoteRef/>
      </w:r>
      <w:r>
        <w:t xml:space="preserve"> </w:t>
      </w:r>
      <w:r w:rsidR="00BB540C">
        <w:t xml:space="preserve">It should be noted that this does not include funding provided to headspace services to deliver the IPS </w:t>
      </w:r>
      <w:r w:rsidR="00525ED1">
        <w:t>P</w:t>
      </w:r>
      <w:r w:rsidR="00BB540C">
        <w:t xml:space="preserve">rogram. Vocational services </w:t>
      </w:r>
      <w:r w:rsidR="00452F9A">
        <w:t xml:space="preserve">recorded in the hMDS </w:t>
      </w:r>
      <w:r w:rsidR="00A6247F">
        <w:t>do not differentia</w:t>
      </w:r>
      <w:r w:rsidR="00452F9A">
        <w:t>te between headspace grant funding, and broader IPS funding and</w:t>
      </w:r>
      <w:r w:rsidR="00525ED1">
        <w:t>,</w:t>
      </w:r>
      <w:r w:rsidR="00452F9A">
        <w:t xml:space="preserve"> as a result, it was not possible to determine what additional government funding supports provision of services through this program.</w:t>
      </w:r>
    </w:p>
  </w:footnote>
  <w:footnote w:id="140">
    <w:p w14:paraId="1FBC6090" w14:textId="2BFE3D7A" w:rsidR="00CA74D9" w:rsidRDefault="00CA74D9">
      <w:pPr>
        <w:pStyle w:val="FootnoteText"/>
      </w:pPr>
      <w:r>
        <w:rPr>
          <w:rStyle w:val="FootnoteReference"/>
        </w:rPr>
        <w:footnoteRef/>
      </w:r>
      <w:r>
        <w:t xml:space="preserve"> See </w:t>
      </w:r>
      <w:r w:rsidR="0052407E">
        <w:fldChar w:fldCharType="begin" w:fldLock="1"/>
      </w:r>
      <w:r w:rsidR="0052407E">
        <w:instrText xml:space="preserve"> REF _Ref93922171 \w \h </w:instrText>
      </w:r>
      <w:r w:rsidR="0052407E">
        <w:fldChar w:fldCharType="separate"/>
      </w:r>
      <w:r w:rsidR="00AE4D34">
        <w:t>Appendix K</w:t>
      </w:r>
      <w:r w:rsidR="0052407E">
        <w:fldChar w:fldCharType="end"/>
      </w:r>
      <w:r>
        <w:t xml:space="preserve"> for detailed calculations.</w:t>
      </w:r>
    </w:p>
  </w:footnote>
  <w:footnote w:id="141">
    <w:p w14:paraId="4B8CEF77" w14:textId="374D13B9" w:rsidR="006A33D6" w:rsidRPr="00695587" w:rsidRDefault="006A33D6" w:rsidP="00B81994">
      <w:pPr>
        <w:pStyle w:val="FootnoteText"/>
      </w:pPr>
      <w:r>
        <w:rPr>
          <w:rStyle w:val="FootnoteReference"/>
        </w:rPr>
        <w:footnoteRef/>
      </w:r>
      <w:r w:rsidRPr="00B81994">
        <w:rPr>
          <w:rStyle w:val="FootnoteReference"/>
        </w:rPr>
        <w:t xml:space="preserve"> </w:t>
      </w:r>
      <w:r w:rsidRPr="00431EF4">
        <w:t>The average cost of a mental health ses</w:t>
      </w:r>
      <w:r w:rsidRPr="00191219">
        <w:t xml:space="preserve">sion is estimated to be the total of </w:t>
      </w:r>
      <w:r w:rsidRPr="001C4C18">
        <w:t>the average payment under the MBS and 16</w:t>
      </w:r>
      <w:r w:rsidR="002A61B5" w:rsidRPr="001C4C18">
        <w:t xml:space="preserve"> per cent</w:t>
      </w:r>
      <w:r w:rsidRPr="001C4C18">
        <w:t xml:space="preserve"> out-of-pocket costs paid by </w:t>
      </w:r>
      <w:r w:rsidR="00FF7E0A">
        <w:t>young Australians</w:t>
      </w:r>
      <w:r w:rsidRPr="001C4C18">
        <w:t xml:space="preserve"> as recommended by </w:t>
      </w:r>
      <w:r w:rsidR="00431EF4" w:rsidRPr="00B81994">
        <w:t>Le, LK-D, Shih, S, Richards-Jones, S, Chatterton, ML, Engel, L, Stevenson, C, Lawrence, D, Pepin, G &amp; Mihalopoulos, C 2021, ‘The cost of Medicare-funded medical and pharmaceutical services for mental disorders in children and adolescents in Australia’, in M Kaess (ed.), PLOS ONE, vol. 16, no. 4, p. e0249902.</w:t>
      </w:r>
    </w:p>
  </w:footnote>
  <w:footnote w:id="142">
    <w:p w14:paraId="78CB8F54" w14:textId="0D6FDE6F" w:rsidR="006A33D6" w:rsidRPr="00695587" w:rsidRDefault="006A33D6" w:rsidP="008509A2">
      <w:pPr>
        <w:pStyle w:val="FootnoteText"/>
      </w:pPr>
      <w:r>
        <w:rPr>
          <w:rStyle w:val="FootnoteReference"/>
        </w:rPr>
        <w:footnoteRef/>
      </w:r>
      <w:r>
        <w:t xml:space="preserve"> </w:t>
      </w:r>
      <w:r w:rsidR="00E44999" w:rsidRPr="00474C52">
        <w:t xml:space="preserve">Australian Psychological Society 2020, APS National Schedule of Recommended Fees (not Including GST) and Item numbers* for Psychological Services, </w:t>
      </w:r>
      <w:r w:rsidR="00E44999">
        <w:t>V</w:t>
      </w:r>
      <w:r w:rsidR="00E44999" w:rsidRPr="00474C52">
        <w:t>iewed 25 May 2022, &lt;</w:t>
      </w:r>
      <w:hyperlink r:id="rId40" w:history="1">
        <w:r w:rsidR="00E44999" w:rsidRPr="00792793">
          <w:rPr>
            <w:rStyle w:val="Hyperlink"/>
          </w:rPr>
          <w:t>https://www.benchmarkpsychology.com.au/wp-content/uploads/APS-Recommended-Fee-Schedule-20-21.pdf</w:t>
        </w:r>
      </w:hyperlink>
      <w:r w:rsidR="00E44999" w:rsidRPr="00474C52">
        <w:t>&gt;.</w:t>
      </w:r>
    </w:p>
  </w:footnote>
  <w:footnote w:id="143">
    <w:p w14:paraId="48C8B057" w14:textId="3810E039" w:rsidR="00915F83" w:rsidRPr="00695587" w:rsidRDefault="00915F83" w:rsidP="00E44999">
      <w:pPr>
        <w:pStyle w:val="FootnoteText"/>
      </w:pPr>
      <w:r>
        <w:rPr>
          <w:rStyle w:val="FootnoteReference"/>
        </w:rPr>
        <w:footnoteRef/>
      </w:r>
      <w:r>
        <w:t xml:space="preserve"> </w:t>
      </w:r>
      <w:r w:rsidRPr="00695587">
        <w:t>The average cost of a mental health session is estimated to be the total of</w:t>
      </w:r>
      <w:r>
        <w:t xml:space="preserve"> the</w:t>
      </w:r>
      <w:r w:rsidRPr="00695587">
        <w:t xml:space="preserve"> average payment under the MBS and 16</w:t>
      </w:r>
      <w:r>
        <w:t xml:space="preserve"> per cent</w:t>
      </w:r>
      <w:r w:rsidRPr="00695587">
        <w:t xml:space="preserve"> out-of-pocket costs paid by Australian </w:t>
      </w:r>
      <w:r>
        <w:t>young people</w:t>
      </w:r>
      <w:r w:rsidRPr="00695587">
        <w:t xml:space="preserve"> as recommended by </w:t>
      </w:r>
      <w:hyperlink r:id="rId41" w:anchor="sec013" w:history="1">
        <w:r w:rsidRPr="00695587">
          <w:t>Le et.al. (2021)</w:t>
        </w:r>
      </w:hyperlink>
    </w:p>
  </w:footnote>
  <w:footnote w:id="144">
    <w:p w14:paraId="7C1EE673" w14:textId="40FA9E6D" w:rsidR="00915F83" w:rsidRDefault="00915F83" w:rsidP="00915F83">
      <w:pPr>
        <w:pStyle w:val="FootnoteText"/>
      </w:pPr>
      <w:r>
        <w:rPr>
          <w:rStyle w:val="FootnoteReference"/>
        </w:rPr>
        <w:footnoteRef/>
      </w:r>
      <w:r>
        <w:t xml:space="preserve"> </w:t>
      </w:r>
      <w:r w:rsidRPr="00474C52">
        <w:t xml:space="preserve">Australian Psychological Society 2020, APS National Schedule of Recommended Fees (not Including GST) and Item numbers* for Psychological Services, </w:t>
      </w:r>
      <w:r w:rsidR="00525ED1">
        <w:t>V</w:t>
      </w:r>
      <w:r w:rsidRPr="00474C52">
        <w:t>iewed 25 May 2022, &lt;</w:t>
      </w:r>
      <w:hyperlink r:id="rId42" w:history="1">
        <w:r w:rsidRPr="00792793">
          <w:rPr>
            <w:rStyle w:val="Hyperlink"/>
          </w:rPr>
          <w:t>https://www.benchmarkpsychology.com.au/wp-content/uploads/APS-Recommended-Fee-Schedule-20-21.pdf</w:t>
        </w:r>
      </w:hyperlink>
      <w:r w:rsidRPr="00474C52">
        <w:t>&gt;.</w:t>
      </w:r>
    </w:p>
  </w:footnote>
  <w:footnote w:id="145">
    <w:p w14:paraId="1B05240E" w14:textId="7E413497" w:rsidR="007C0097" w:rsidRDefault="007C0097">
      <w:pPr>
        <w:pStyle w:val="FootnoteText"/>
      </w:pPr>
      <w:r>
        <w:rPr>
          <w:rStyle w:val="FootnoteReference"/>
        </w:rPr>
        <w:footnoteRef/>
      </w:r>
      <w:r>
        <w:t xml:space="preserve"> </w:t>
      </w:r>
      <w:r w:rsidR="00954A10">
        <w:t xml:space="preserve">Department of Health, </w:t>
      </w:r>
      <w:r w:rsidR="004F656F">
        <w:t xml:space="preserve">2016, </w:t>
      </w:r>
      <w:r w:rsidR="00954A10">
        <w:rPr>
          <w:i/>
          <w:iCs/>
        </w:rPr>
        <w:t>Guidelines for preparing a submission to the Pharmaceutical Benefits Advisory Committee</w:t>
      </w:r>
      <w:r w:rsidR="004F656F">
        <w:rPr>
          <w:i/>
          <w:iCs/>
        </w:rPr>
        <w:t xml:space="preserve">, </w:t>
      </w:r>
      <w:r w:rsidR="004F656F">
        <w:t xml:space="preserve">Version 5, </w:t>
      </w:r>
      <w:r w:rsidR="006F5676">
        <w:t xml:space="preserve">p. 65 </w:t>
      </w:r>
      <w:r w:rsidR="004F656F">
        <w:t>accessed at &lt;</w:t>
      </w:r>
      <w:hyperlink r:id="rId43" w:history="1">
        <w:r w:rsidR="00954A10" w:rsidRPr="00792793">
          <w:rPr>
            <w:rStyle w:val="Hyperlink"/>
          </w:rPr>
          <w:t>https://pbac.pbs.gov.au/content/information/files/pbac-guidelines-version-5.pdf</w:t>
        </w:r>
      </w:hyperlink>
      <w:r w:rsidR="004F656F">
        <w:t>&gt;</w:t>
      </w:r>
    </w:p>
  </w:footnote>
  <w:footnote w:id="146">
    <w:p w14:paraId="4A8ACB6E" w14:textId="48737261" w:rsidR="00CF4147" w:rsidRPr="006E33DC" w:rsidRDefault="00CF4147" w:rsidP="00CF4147">
      <w:pPr>
        <w:pStyle w:val="FootnoteText"/>
      </w:pPr>
      <w:r w:rsidRPr="006E33DC">
        <w:rPr>
          <w:rStyle w:val="FootnoteReference"/>
          <w:rFonts w:asciiTheme="minorHAnsi" w:hAnsiTheme="minorHAnsi" w:cstheme="minorHAnsi"/>
          <w:szCs w:val="16"/>
        </w:rPr>
        <w:footnoteRef/>
      </w:r>
      <w:r w:rsidRPr="006E33DC">
        <w:t xml:space="preserve"> Cummings JR, Ji X, Lally C, Druss BG. Racial and ethnic differences in minimally adequate depression care among Medicaid-enrolled youth. Journal of the American Academy of Child &amp; Adolescent Psychiatry. 2019 Jan 1;58(1):128-38</w:t>
      </w:r>
      <w:r>
        <w:t xml:space="preserve">; </w:t>
      </w:r>
      <w:r w:rsidRPr="006E33DC">
        <w:t>Stein BD, Sorbero MJ, Dalton E, Ayers AM, Farmer C, Kogan JN, Goswami U. Predictors of adequate depression treatment among Medicaid-enrolled youth. Social psychiatry and psychiatric epidemiology. 2013 May 1;48(5):757-65.</w:t>
      </w:r>
    </w:p>
  </w:footnote>
  <w:footnote w:id="147">
    <w:p w14:paraId="7D8DBD97" w14:textId="7718D9C4" w:rsidR="00ED01E5" w:rsidRDefault="00ED01E5">
      <w:pPr>
        <w:pStyle w:val="FootnoteText"/>
      </w:pPr>
      <w:r>
        <w:rPr>
          <w:rStyle w:val="FootnoteReference"/>
        </w:rPr>
        <w:footnoteRef/>
      </w:r>
      <w:r>
        <w:t xml:space="preserve"> </w:t>
      </w:r>
      <w:r w:rsidR="00AE4C3D" w:rsidRPr="00AE4C3D">
        <w:t>Mihalopoulos C, Chen G, Iezzi A, Khan MA, Richardson J. Assessing outcomes for cost-utility analysis in depression: comparison of five multi-attribute utility instruments with two depression-specific outcome measures. Br J Psychiatry. 2014 Nov;205(5):390-7. doi: 10.1192/bjp.bp.113.136036. Epub 2014 Sep 25. PMID: 25257063</w:t>
      </w:r>
      <w:r w:rsidR="00AE4C3D">
        <w:t xml:space="preserve">, accessed at </w:t>
      </w:r>
      <w:hyperlink r:id="rId44" w:history="1">
        <w:r w:rsidRPr="00AE4C3D">
          <w:rPr>
            <w:rStyle w:val="Hyperlink"/>
          </w:rPr>
          <w:t>https://pubmed.ncbi.nlm.nih.gov/25257063/</w:t>
        </w:r>
      </w:hyperlink>
    </w:p>
  </w:footnote>
  <w:footnote w:id="148">
    <w:p w14:paraId="050C0EF9" w14:textId="1CFF6396" w:rsidR="00D2520F" w:rsidRPr="006E33DC" w:rsidRDefault="00D2520F" w:rsidP="00D2520F">
      <w:pPr>
        <w:pStyle w:val="FootnoteText"/>
      </w:pPr>
      <w:r w:rsidRPr="006E33DC">
        <w:rPr>
          <w:rStyle w:val="FootnoteReference"/>
          <w:rFonts w:asciiTheme="minorHAnsi" w:hAnsiTheme="minorHAnsi" w:cstheme="minorHAnsi"/>
          <w:szCs w:val="16"/>
        </w:rPr>
        <w:footnoteRef/>
      </w:r>
      <w:r w:rsidRPr="006E33DC">
        <w:t xml:space="preserve"> Australian Psychological Society 2020, APS National Schedule of Recommended Fees (not Including GST) and Item numbers* for Psychological Services, </w:t>
      </w:r>
      <w:r w:rsidR="00525ED1">
        <w:t>V</w:t>
      </w:r>
      <w:r w:rsidRPr="006E33DC">
        <w:t>iewed 25 May 2022, &lt;</w:t>
      </w:r>
      <w:hyperlink r:id="rId45" w:history="1">
        <w:r w:rsidRPr="00F76666">
          <w:rPr>
            <w:rStyle w:val="Hyperlink"/>
          </w:rPr>
          <w:t>https://www.benchmarkpsychology.com.au/wp-content/uploads/APS-Recommended-Fee-Schedule-20-21.pdf</w:t>
        </w:r>
      </w:hyperlink>
      <w:r w:rsidRPr="006E33DC">
        <w:t>&gt;.</w:t>
      </w:r>
    </w:p>
  </w:footnote>
  <w:footnote w:id="149">
    <w:p w14:paraId="36D96B25" w14:textId="25BBD786" w:rsidR="00825A23" w:rsidRPr="006E33DC" w:rsidRDefault="00825A23" w:rsidP="00825A23">
      <w:pPr>
        <w:pStyle w:val="FootnoteText"/>
        <w:rPr>
          <w:szCs w:val="16"/>
        </w:rPr>
      </w:pPr>
      <w:r w:rsidRPr="006E33DC">
        <w:rPr>
          <w:rStyle w:val="FootnoteReference"/>
          <w:szCs w:val="16"/>
        </w:rPr>
        <w:footnoteRef/>
      </w:r>
      <w:r w:rsidRPr="006E33DC">
        <w:rPr>
          <w:szCs w:val="16"/>
        </w:rPr>
        <w:t xml:space="preserve"> Le LK-D, Esturas AC, Mihalopoulos C, Chiotelis O, Bucholc J, Chatterton ML, et al. (2021) Cost-effectiveness evidence of mental health prevention and promotion interventions: A systematic review of economic evaluations. PLoS Med 18(5): e1003606. </w:t>
      </w:r>
      <w:hyperlink r:id="rId46" w:history="1">
        <w:r w:rsidRPr="00341E7A">
          <w:rPr>
            <w:rStyle w:val="Hyperlink"/>
          </w:rPr>
          <w:t>https://doi.org/10.1371/journal.pmed.1003606</w:t>
        </w:r>
      </w:hyperlink>
    </w:p>
  </w:footnote>
  <w:footnote w:id="150">
    <w:p w14:paraId="4BD7BA98" w14:textId="651073C1" w:rsidR="00445D1C" w:rsidRDefault="00445D1C">
      <w:pPr>
        <w:pStyle w:val="FootnoteText"/>
      </w:pPr>
      <w:r>
        <w:rPr>
          <w:rStyle w:val="FootnoteReference"/>
        </w:rPr>
        <w:footnoteRef/>
      </w:r>
      <w:r>
        <w:t xml:space="preserve"> It should be noted that </w:t>
      </w:r>
      <w:r w:rsidR="00F26788">
        <w:t xml:space="preserve">reaching </w:t>
      </w:r>
      <w:r w:rsidR="000A5B38">
        <w:t>the QALY threshold</w:t>
      </w:r>
      <w:r w:rsidR="00C47E75">
        <w:t xml:space="preserve"> </w:t>
      </w:r>
      <w:r w:rsidR="006A5CE0">
        <w:t xml:space="preserve">is one </w:t>
      </w:r>
      <w:r w:rsidR="00D3044B">
        <w:t>of many decision criteria</w:t>
      </w:r>
      <w:r w:rsidR="00A57DBB">
        <w:t xml:space="preserve"> when considering cost-effectiveness</w:t>
      </w:r>
      <w:r w:rsidR="00D3044B">
        <w:t xml:space="preserve"> </w:t>
      </w:r>
      <w:r w:rsidR="006A5CE0">
        <w:t xml:space="preserve">and </w:t>
      </w:r>
      <w:r w:rsidR="0061693D">
        <w:t>does not</w:t>
      </w:r>
      <w:r w:rsidR="000D0A29">
        <w:t xml:space="preserve"> </w:t>
      </w:r>
      <w:r w:rsidR="00D3044B">
        <w:t xml:space="preserve">alone </w:t>
      </w:r>
      <w:r w:rsidR="000D0A29">
        <w:t>mean that a program is worthwhile</w:t>
      </w:r>
      <w:r w:rsidR="00091554">
        <w:t xml:space="preserve"> or should be funded.</w:t>
      </w:r>
      <w:r w:rsidR="00D3044B">
        <w:t xml:space="preserve"> The opposite is also true. </w:t>
      </w:r>
    </w:p>
  </w:footnote>
  <w:footnote w:id="151">
    <w:p w14:paraId="411A0592" w14:textId="260AE78C" w:rsidR="00A66032" w:rsidRPr="00A66032" w:rsidRDefault="009267DE" w:rsidP="00A66032">
      <w:pPr>
        <w:pStyle w:val="FootnoteText"/>
      </w:pPr>
      <w:r>
        <w:rPr>
          <w:rStyle w:val="FootnoteReference"/>
        </w:rPr>
        <w:footnoteRef/>
      </w:r>
      <w:r w:rsidR="00606553">
        <w:t xml:space="preserve">Australian Government (2020), Closing the Gap Report, </w:t>
      </w:r>
      <w:r w:rsidR="00094D3E">
        <w:t xml:space="preserve">viewed 4 July 2022 </w:t>
      </w:r>
      <w:hyperlink r:id="rId47" w:history="1">
        <w:r w:rsidR="00094D3E" w:rsidRPr="006C749C">
          <w:rPr>
            <w:rStyle w:val="Hyperlink"/>
          </w:rPr>
          <w:t>https://ctgreport.niaa.gov.au/sites/default/files/pdf/closing-the-gap-report-2020.pdf</w:t>
        </w:r>
      </w:hyperlink>
    </w:p>
  </w:footnote>
  <w:footnote w:id="152">
    <w:p w14:paraId="68EB070C" w14:textId="3200BFB2" w:rsidR="00F84D4A" w:rsidRDefault="00F84D4A">
      <w:pPr>
        <w:pStyle w:val="FootnoteText"/>
      </w:pPr>
      <w:r>
        <w:rPr>
          <w:rStyle w:val="FootnoteReference"/>
        </w:rPr>
        <w:footnoteRef/>
      </w:r>
      <w:r>
        <w:t xml:space="preserve"> </w:t>
      </w:r>
      <w:r w:rsidR="00E57C61" w:rsidRPr="00E57C61">
        <w:t>McDermott,</w:t>
      </w:r>
      <w:r w:rsidR="00E57C61">
        <w:t xml:space="preserve"> E, et al,</w:t>
      </w:r>
      <w:r w:rsidR="00E57C61" w:rsidRPr="00E57C61">
        <w:t xml:space="preserve"> (2018) Norms and normalisation: understanding lesbian, gay, bisexual, transgender and queer youth, suicidality and help</w:t>
      </w:r>
      <w:r w:rsidR="00BD29DF">
        <w:t xml:space="preserve"> </w:t>
      </w:r>
      <w:r w:rsidR="00E57C61" w:rsidRPr="00E57C61">
        <w:t>seeking, Culture, Health &amp; Sexuality, 20:2, 156-172</w:t>
      </w:r>
      <w:r w:rsidR="00E57C61">
        <w:t xml:space="preserve">, </w:t>
      </w:r>
      <w:r w:rsidR="00233002" w:rsidRPr="00233002">
        <w:t>https://doi.org/10.1080/13691058.2017.1335435</w:t>
      </w:r>
    </w:p>
  </w:footnote>
  <w:footnote w:id="153">
    <w:p w14:paraId="3522DBD7" w14:textId="6E4E12D9" w:rsidR="00456BE2" w:rsidRDefault="00456BE2" w:rsidP="00456BE2">
      <w:pPr>
        <w:pStyle w:val="FootnoteText"/>
        <w:rPr>
          <w:rFonts w:eastAsia="Calibri" w:cs="Arial"/>
          <w:szCs w:val="16"/>
        </w:rPr>
      </w:pPr>
      <w:r>
        <w:rPr>
          <w:rStyle w:val="FootnoteReference"/>
        </w:rPr>
        <w:footnoteRef/>
      </w:r>
      <w:r w:rsidR="7D3DBB3B">
        <w:t xml:space="preserve"> </w:t>
      </w:r>
      <w:r w:rsidR="7D3DBB3B" w:rsidRPr="7D3DBB3B">
        <w:rPr>
          <w:rFonts w:eastAsia="Univers 45 Light" w:cs="Univers 45 Light"/>
          <w:szCs w:val="16"/>
        </w:rPr>
        <w:t xml:space="preserve">The Centre of Best Practice in Aboriginal &amp; Torres Strait Islander Suicide Prevention, </w:t>
      </w:r>
      <w:hyperlink r:id="rId48">
        <w:r w:rsidR="7D3DBB3B" w:rsidRPr="00371101">
          <w:rPr>
            <w:rStyle w:val="Hyperlink"/>
            <w:rFonts w:eastAsia="Univers 45 Light" w:cs="Univers 45 Light"/>
            <w:szCs w:val="16"/>
            <w:u w:val="none"/>
          </w:rPr>
          <w:t>Mental Health Assessment - CBPATSISP</w:t>
        </w:r>
      </w:hyperlink>
      <w:r w:rsidR="7D3DBB3B" w:rsidRPr="00371101">
        <w:rPr>
          <w:rFonts w:eastAsia="Univers 45 Light" w:cs="Univers 45 Light"/>
          <w:szCs w:val="16"/>
        </w:rPr>
        <w:t>,</w:t>
      </w:r>
      <w:r w:rsidR="7D3DBB3B" w:rsidRPr="7D3DBB3B">
        <w:rPr>
          <w:rFonts w:eastAsia="Univers 45 Light" w:cs="Univers 45 Light"/>
          <w:szCs w:val="16"/>
        </w:rPr>
        <w:t xml:space="preserve"> </w:t>
      </w:r>
      <w:hyperlink r:id="rId49" w:history="1">
        <w:r w:rsidR="7D3DBB3B" w:rsidRPr="007A1638">
          <w:rPr>
            <w:rStyle w:val="Hyperlink"/>
          </w:rPr>
          <w:t>https://cbpatsisp.com.au/clearing-house/best-practice-screening-assessment/mental-health-assessment/</w:t>
        </w:r>
      </w:hyperlink>
      <w:r w:rsidR="00DE1963">
        <w:rPr>
          <w:rFonts w:eastAsia="Univers 45 Light" w:cs="Univers 45 Light"/>
          <w:szCs w:val="16"/>
        </w:rPr>
        <w:t>.</w:t>
      </w:r>
    </w:p>
  </w:footnote>
  <w:footnote w:id="154">
    <w:p w14:paraId="7BA63F97" w14:textId="4C4E6F06" w:rsidR="007A2BEA" w:rsidRDefault="007A2BEA" w:rsidP="00B25C5A">
      <w:pPr>
        <w:pStyle w:val="FootnoteText"/>
      </w:pPr>
      <w:r>
        <w:rPr>
          <w:rStyle w:val="FootnoteReference"/>
        </w:rPr>
        <w:footnoteRef/>
      </w:r>
      <w:r w:rsidR="64039ECD">
        <w:t xml:space="preserve"> </w:t>
      </w:r>
      <w:r w:rsidR="64039ECD" w:rsidRPr="00031078">
        <w:t xml:space="preserve">Brinckley, MM., Calabria, B., Walker, J. </w:t>
      </w:r>
      <w:r w:rsidR="64039ECD" w:rsidRPr="001015E8">
        <w:t>et al.</w:t>
      </w:r>
      <w:r w:rsidR="64039ECD" w:rsidRPr="00031078">
        <w:t xml:space="preserve"> (2021), Reliability, validity, and clinical utility of a culturally modified Kessler scale (MK-K5) in the Aboriginal and Torres Strait Islander population. </w:t>
      </w:r>
      <w:r w:rsidR="64039ECD" w:rsidRPr="001015E8">
        <w:t>BMC Public Health</w:t>
      </w:r>
      <w:r w:rsidR="64039ECD" w:rsidRPr="00031078">
        <w:t xml:space="preserve"> </w:t>
      </w:r>
      <w:r w:rsidR="64039ECD" w:rsidRPr="001015E8">
        <w:t xml:space="preserve">21, </w:t>
      </w:r>
      <w:r w:rsidR="64039ECD" w:rsidRPr="00031078">
        <w:t>1111.</w:t>
      </w:r>
    </w:p>
  </w:footnote>
  <w:footnote w:id="155">
    <w:p w14:paraId="619B3613" w14:textId="109FAD51" w:rsidR="008E4C2D" w:rsidRPr="00B22934" w:rsidRDefault="008E4C2D" w:rsidP="00B25C5A">
      <w:pPr>
        <w:pStyle w:val="FootnoteText"/>
        <w:rPr>
          <w:rFonts w:ascii="Calibri" w:hAnsi="Calibri"/>
        </w:rPr>
      </w:pPr>
      <w:r>
        <w:rPr>
          <w:rStyle w:val="FootnoteReference"/>
        </w:rPr>
        <w:footnoteRef/>
      </w:r>
      <w:r>
        <w:t xml:space="preserve"> </w:t>
      </w:r>
      <w:r w:rsidR="00B22934" w:rsidRPr="001C2150">
        <w:t>Kessler, R.C. , Barker, P.R. , Colpe, L.J. , Epstein, J.F. , Gfroerer, J.C. , Hiripi, E. , Howes, M.J. , Normand, S-L.T. , Manderscheid, R.W. , Walters, E.E. , Zaslavsky, A.M. (2007). The Kessler psychological distress scale (K10, K6, K5). Melbourne: Australian Centre for Posttraumatic Mental Health.</w:t>
      </w:r>
    </w:p>
  </w:footnote>
  <w:footnote w:id="156">
    <w:p w14:paraId="710CF3C3" w14:textId="09388FB7" w:rsidR="00EF2264" w:rsidRDefault="00EF2264" w:rsidP="00B25C5A">
      <w:pPr>
        <w:pStyle w:val="FootnoteText"/>
      </w:pPr>
      <w:r>
        <w:rPr>
          <w:rStyle w:val="FootnoteReference"/>
        </w:rPr>
        <w:footnoteRef/>
      </w:r>
      <w:r>
        <w:t xml:space="preserve"> </w:t>
      </w:r>
      <w:r w:rsidR="009D1A24">
        <w:t xml:space="preserve">Australian Government (2020), Closing the Gap Report, viewed 4 July 2022 </w:t>
      </w:r>
      <w:hyperlink r:id="rId50" w:history="1">
        <w:r w:rsidR="009D1A24" w:rsidRPr="006C749C">
          <w:rPr>
            <w:rStyle w:val="Hyperlink"/>
          </w:rPr>
          <w:t>https://ctgreport.niaa.gov.au/sites/default/files/pdf/closing-the-gap-report-2020.pdf</w:t>
        </w:r>
      </w:hyperlink>
    </w:p>
  </w:footnote>
  <w:footnote w:id="157">
    <w:p w14:paraId="510EC25A" w14:textId="2E7773DC" w:rsidR="0021434E" w:rsidRDefault="0021434E" w:rsidP="0021434E">
      <w:pPr>
        <w:pStyle w:val="FootnoteText"/>
      </w:pPr>
      <w:r>
        <w:rPr>
          <w:rStyle w:val="FootnoteReference"/>
        </w:rPr>
        <w:footnoteRef/>
      </w:r>
      <w:r>
        <w:t xml:space="preserve"> </w:t>
      </w:r>
      <w:r w:rsidRPr="00F02E5A">
        <w:t>National Mental Health and Suicide Prevention Agreement</w:t>
      </w:r>
      <w:r w:rsidR="00F02E5A">
        <w:t>, 2022, accessed at</w:t>
      </w:r>
      <w:r w:rsidRPr="00F02E5A">
        <w:t xml:space="preserve"> </w:t>
      </w:r>
      <w:hyperlink r:id="rId51" w:history="1">
        <w:r w:rsidR="00E36972">
          <w:rPr>
            <w:rStyle w:val="Hyperlink"/>
          </w:rPr>
          <w:t>National Mental Health and Suicide Prevention Agreement (federalfinancialrelations.gov.au)</w:t>
        </w:r>
      </w:hyperlink>
    </w:p>
  </w:footnote>
  <w:footnote w:id="158">
    <w:p w14:paraId="3E42D5EE" w14:textId="6F3FABED" w:rsidR="0021434E" w:rsidRDefault="0021434E" w:rsidP="0021434E">
      <w:pPr>
        <w:pStyle w:val="FootnoteText"/>
      </w:pPr>
      <w:r>
        <w:rPr>
          <w:rStyle w:val="FootnoteReference"/>
        </w:rPr>
        <w:footnoteRef/>
      </w:r>
      <w:r>
        <w:t xml:space="preserve"> </w:t>
      </w:r>
      <w:r w:rsidR="00E36972">
        <w:t xml:space="preserve">Department of Health, 2021, </w:t>
      </w:r>
      <w:r w:rsidR="00E36972">
        <w:rPr>
          <w:i/>
          <w:iCs/>
        </w:rPr>
        <w:t xml:space="preserve">PHN Initial Assessment and Referral (IAR) for Mental Healthcare, </w:t>
      </w:r>
      <w:r w:rsidR="00E36972">
        <w:t xml:space="preserve">accessed at </w:t>
      </w:r>
      <w:hyperlink r:id="rId52" w:history="1">
        <w:r w:rsidR="00AD22E7">
          <w:rPr>
            <w:rStyle w:val="Hyperlink"/>
          </w:rPr>
          <w:t>National IAR State of Play Report 2020 Final.pdf (wqphn.com.au)</w:t>
        </w:r>
      </w:hyperlink>
    </w:p>
  </w:footnote>
  <w:footnote w:id="159">
    <w:p w14:paraId="2244C554" w14:textId="0B792506" w:rsidR="003A2021" w:rsidRPr="00530130" w:rsidRDefault="003A2021" w:rsidP="003A2021">
      <w:pPr>
        <w:pStyle w:val="FootnoteText"/>
        <w:rPr>
          <w:u w:val="single"/>
        </w:rPr>
      </w:pPr>
      <w:r>
        <w:rPr>
          <w:rStyle w:val="FootnoteReference"/>
        </w:rPr>
        <w:footnoteRef/>
      </w:r>
      <w:r>
        <w:t xml:space="preserve"> Commonwealth of Australia 2017, </w:t>
      </w:r>
      <w:r w:rsidRPr="000D4EFE">
        <w:rPr>
          <w:i/>
        </w:rPr>
        <w:t>The Fifth National Mental Health and Suicide Prevention Plan</w:t>
      </w:r>
      <w:r>
        <w:rPr>
          <w:i/>
        </w:rPr>
        <w:t>,</w:t>
      </w:r>
      <w:r w:rsidRPr="008A2492">
        <w:t xml:space="preserve"> </w:t>
      </w:r>
      <w:r>
        <w:t>Viewed 6 August 2021,</w:t>
      </w:r>
      <w:r w:rsidRPr="008A2492">
        <w:t xml:space="preserve"> </w:t>
      </w:r>
      <w:r>
        <w:t>&lt;</w:t>
      </w:r>
      <w:hyperlink r:id="rId53" w:history="1">
        <w:r w:rsidR="00AD22E7" w:rsidRPr="00BF3D38">
          <w:rPr>
            <w:rStyle w:val="Hyperlink"/>
          </w:rPr>
          <w:t>https://www.mentalhealthcommission.gov.au/getmedia/0209d27b-1873-4245-b6e5-49e770084b81/Fifth-National-Mental-Health-and-Suicide-Prevention-Plan.pdf</w:t>
        </w:r>
      </w:hyperlink>
      <w:r>
        <w:rPr>
          <w:rStyle w:val="Hyperlink"/>
        </w:rPr>
        <w:t>&gt;.</w:t>
      </w:r>
    </w:p>
  </w:footnote>
  <w:footnote w:id="160">
    <w:p w14:paraId="4352E003" w14:textId="77777777" w:rsidR="003A2021" w:rsidRDefault="003A2021" w:rsidP="003A2021">
      <w:pPr>
        <w:pStyle w:val="FootnoteText"/>
      </w:pPr>
    </w:p>
  </w:footnote>
  <w:footnote w:id="161">
    <w:p w14:paraId="5D68AB47" w14:textId="5045D14C" w:rsidR="003A2021" w:rsidRDefault="003A2021" w:rsidP="003A2021">
      <w:pPr>
        <w:pStyle w:val="FootnoteText"/>
      </w:pPr>
      <w:r>
        <w:rPr>
          <w:rStyle w:val="FootnoteReference"/>
        </w:rPr>
        <w:footnoteRef/>
      </w:r>
      <w:r>
        <w:t xml:space="preserve"> Culturally and linguistically diverse</w:t>
      </w:r>
      <w:r w:rsidRPr="00BF0FA0">
        <w:t xml:space="preserve"> status in the local community is determined based on </w:t>
      </w:r>
      <w:r w:rsidR="00370CE4">
        <w:t xml:space="preserve">the </w:t>
      </w:r>
      <w:r w:rsidRPr="00BF0FA0">
        <w:t>share of people with both parents born overseas. This is a skewed marker for metropolitan WA, as there are a high number of migrants from anglophile countries. In Joondalup, the top four countries for parents born overseas are England, South Africa, New Zealand and Scotland.</w:t>
      </w:r>
    </w:p>
  </w:footnote>
  <w:footnote w:id="162">
    <w:p w14:paraId="5BD7442D" w14:textId="77777777" w:rsidR="003A2021" w:rsidRDefault="0036582D" w:rsidP="003A2021">
      <w:pPr>
        <w:pStyle w:val="FootnoteText"/>
      </w:pPr>
      <w:r>
        <w:rPr>
          <w:rStyle w:val="FootnoteReference"/>
        </w:rPr>
        <w:footnoteRef/>
      </w:r>
      <w:r>
        <w:t xml:space="preserve"> </w:t>
      </w:r>
      <w:r w:rsidRPr="00FA60D4">
        <w:t>Wing, Coady, et al. “Designing Difference in Difference Studies: Best Practices for Public Health Policy Research.” Annual Review of Public Health, vol. 39, no. 1, Apr. 2018, pp. 453–469, 10.1146/annurev-publhealth-040617-013507.</w:t>
      </w:r>
    </w:p>
  </w:footnote>
  <w:footnote w:id="163">
    <w:p w14:paraId="6C5F68A8" w14:textId="590BE35B" w:rsidR="004E0DFF" w:rsidRDefault="0036582D" w:rsidP="0036582D">
      <w:pPr>
        <w:pStyle w:val="FootnoteText"/>
      </w:pPr>
      <w:r>
        <w:rPr>
          <w:rStyle w:val="FootnoteReference"/>
        </w:rPr>
        <w:footnoteRef/>
      </w:r>
      <w:r>
        <w:t xml:space="preserve"> </w:t>
      </w:r>
      <w:r w:rsidRPr="009F6C9B">
        <w:t>Jorm, A</w:t>
      </w:r>
      <w:r w:rsidR="006B344F">
        <w:t>.</w:t>
      </w:r>
      <w:r w:rsidRPr="009F6C9B">
        <w:t>F</w:t>
      </w:r>
      <w:r w:rsidR="006B344F">
        <w:t>.</w:t>
      </w:r>
      <w:r w:rsidRPr="009F6C9B">
        <w:t xml:space="preserve"> &amp; Kitchener, B</w:t>
      </w:r>
      <w:r w:rsidR="006B344F">
        <w:t>.</w:t>
      </w:r>
      <w:r w:rsidRPr="009F6C9B">
        <w:t>A</w:t>
      </w:r>
      <w:r w:rsidR="006B344F">
        <w:t>.</w:t>
      </w:r>
      <w:r w:rsidRPr="009F6C9B">
        <w:t xml:space="preserve"> 2020, ‘Increases in youth mental health services in Australia: Have they had an impact on youth population mental health?’, Australian &amp; New Zealand Journal of Psychiatry, vol. 55, no. 5, p. 000486742097686.</w:t>
      </w:r>
    </w:p>
  </w:footnote>
  <w:footnote w:id="164">
    <w:p w14:paraId="233EEDF8" w14:textId="536EDDE1" w:rsidR="004E0DFF" w:rsidRDefault="0036582D" w:rsidP="0036582D">
      <w:pPr>
        <w:pStyle w:val="FootnoteText"/>
      </w:pPr>
      <w:r>
        <w:rPr>
          <w:rStyle w:val="FootnoteReference"/>
        </w:rPr>
        <w:footnoteRef/>
      </w:r>
      <w:r>
        <w:t xml:space="preserve"> Hilferty, F., Cassells, R., Muir, K., Duncan, A., Christensen, D.,Mitrou, F., Gao, G., Mavisakalyan, A., Hafekost, K., Tarverdi,</w:t>
      </w:r>
      <w:r w:rsidR="009508EF">
        <w:t> </w:t>
      </w:r>
      <w:r>
        <w:t>Y., Nguyen, H., Wingrove, C. and Katz, I. (2015). Is headspace making a difference to young people’s lives? Final Report of the independent evaluation of the headspace program. (SPRC Report 08/2015). Sydney: Social Policy Research Centre, UNSW Australia.</w:t>
      </w:r>
    </w:p>
  </w:footnote>
  <w:footnote w:id="165">
    <w:p w14:paraId="7CD3C230" w14:textId="19F5040C" w:rsidR="00BE69C2" w:rsidRDefault="00BE69C2">
      <w:pPr>
        <w:pStyle w:val="FootnoteText"/>
      </w:pPr>
      <w:r>
        <w:rPr>
          <w:rStyle w:val="FootnoteReference"/>
        </w:rPr>
        <w:footnoteRef/>
      </w:r>
      <w:r>
        <w:t xml:space="preserve"> </w:t>
      </w:r>
      <w:r w:rsidRPr="00BE69C2">
        <w:t>headspace National Youth Mental Health Foundation. QRG - Primary Centre Data. 2021.</w:t>
      </w:r>
    </w:p>
  </w:footnote>
  <w:footnote w:id="166">
    <w:p w14:paraId="1052060F" w14:textId="1734DA37" w:rsidR="004C7FE9" w:rsidRDefault="004C7FE9">
      <w:pPr>
        <w:pStyle w:val="FootnoteText"/>
      </w:pPr>
      <w:r>
        <w:rPr>
          <w:rStyle w:val="FootnoteReference"/>
        </w:rPr>
        <w:footnoteRef/>
      </w:r>
      <w:r>
        <w:t xml:space="preserve"> </w:t>
      </w:r>
      <w:r w:rsidR="00ED00B3">
        <w:t>This includes</w:t>
      </w:r>
      <w:r w:rsidR="00F7326F">
        <w:t xml:space="preserve"> P</w:t>
      </w:r>
      <w:r w:rsidR="007E158F">
        <w:t xml:space="preserve">erth South </w:t>
      </w:r>
      <w:r w:rsidR="00F7326F">
        <w:t>PHN, P</w:t>
      </w:r>
      <w:r w:rsidR="007E158F">
        <w:t xml:space="preserve">erth North </w:t>
      </w:r>
      <w:r w:rsidR="00364112">
        <w:t>PHN and C</w:t>
      </w:r>
      <w:r w:rsidR="007E158F">
        <w:t xml:space="preserve">ountry WA </w:t>
      </w:r>
      <w:r w:rsidR="00364112">
        <w:t>PHN</w:t>
      </w:r>
    </w:p>
  </w:footnote>
  <w:footnote w:id="167">
    <w:p w14:paraId="728610C8" w14:textId="5469D24E" w:rsidR="00D63473" w:rsidRDefault="00D63473" w:rsidP="00D63473">
      <w:pPr>
        <w:pStyle w:val="FootnoteText"/>
      </w:pPr>
      <w:r>
        <w:rPr>
          <w:rStyle w:val="FootnoteReference"/>
        </w:rPr>
        <w:footnoteRef/>
      </w:r>
      <w:r>
        <w:t xml:space="preserve"> Productivity Commission, Mental Health Inquiry Report, No.95, 30 June 2020</w:t>
      </w:r>
      <w:r w:rsidR="00C224D4">
        <w:t>.</w:t>
      </w:r>
    </w:p>
  </w:footnote>
  <w:footnote w:id="168">
    <w:p w14:paraId="1C3EB41B" w14:textId="2B93FFCA" w:rsidR="00D63473" w:rsidRDefault="00D63473" w:rsidP="00D63473">
      <w:pPr>
        <w:pStyle w:val="FootnoteText"/>
      </w:pPr>
      <w:r>
        <w:rPr>
          <w:rStyle w:val="FootnoteReference"/>
        </w:rPr>
        <w:footnoteRef/>
      </w:r>
      <w:r>
        <w:t xml:space="preserve"> State of Victoria, Royal Commission into Victoria’s Mental Health System (Final Report, PP No 202, Session 2018-21) vol 1-5</w:t>
      </w:r>
      <w:r w:rsidR="00C224D4">
        <w:t>.</w:t>
      </w:r>
    </w:p>
  </w:footnote>
  <w:footnote w:id="169">
    <w:p w14:paraId="2C903591" w14:textId="286342F7" w:rsidR="00D63473" w:rsidRPr="00B602FE" w:rsidRDefault="00D63473" w:rsidP="00D63473">
      <w:pPr>
        <w:pStyle w:val="FootnoteText"/>
        <w:rPr>
          <w:highlight w:val="yellow"/>
        </w:rPr>
      </w:pPr>
      <w:r>
        <w:rPr>
          <w:rStyle w:val="FootnoteReference"/>
        </w:rPr>
        <w:footnoteRef/>
      </w:r>
      <w:r>
        <w:t xml:space="preserve"> Colmar Brunton, 2020, headspace Community impact research, Report v3</w:t>
      </w:r>
      <w:r w:rsidR="00C224D4">
        <w:t>.</w:t>
      </w:r>
    </w:p>
  </w:footnote>
  <w:footnote w:id="170">
    <w:p w14:paraId="3363D9A3" w14:textId="77777777" w:rsidR="00D63473" w:rsidRDefault="00D63473" w:rsidP="00D63473">
      <w:pPr>
        <w:pStyle w:val="FootnoteText"/>
      </w:pPr>
      <w:r>
        <w:rPr>
          <w:rStyle w:val="FootnoteReference"/>
        </w:rPr>
        <w:footnoteRef/>
      </w:r>
      <w:r>
        <w:t xml:space="preserve"> </w:t>
      </w:r>
      <w:r w:rsidRPr="00866D89">
        <w:rPr>
          <w:szCs w:val="16"/>
        </w:rPr>
        <w:t xml:space="preserve">headspace National 2020, </w:t>
      </w:r>
      <w:r w:rsidRPr="00866D89">
        <w:rPr>
          <w:i/>
          <w:iCs/>
          <w:szCs w:val="16"/>
        </w:rPr>
        <w:t>headspace Model Integrity Framework (hMIF V2</w:t>
      </w:r>
      <w:r w:rsidRPr="00866D89">
        <w:rPr>
          <w:szCs w:val="16"/>
        </w:rPr>
        <w:t>).</w:t>
      </w:r>
    </w:p>
  </w:footnote>
  <w:footnote w:id="171">
    <w:p w14:paraId="18A11384" w14:textId="67C8B93A" w:rsidR="00D63473" w:rsidRDefault="00D63473" w:rsidP="00D63473">
      <w:pPr>
        <w:pStyle w:val="FootnoteText"/>
      </w:pPr>
      <w:r>
        <w:rPr>
          <w:rStyle w:val="FootnoteReference"/>
        </w:rPr>
        <w:footnoteRef/>
      </w:r>
      <w:r>
        <w:t xml:space="preserve"> State of Victoria, Royal Commission into Victoria’s Mental Health System (Final Report, PP No 202, Session 2018-21) vol 1-5</w:t>
      </w:r>
      <w:r w:rsidR="00C224D4">
        <w:t>.</w:t>
      </w:r>
    </w:p>
  </w:footnote>
  <w:footnote w:id="172">
    <w:p w14:paraId="7676657F" w14:textId="1A76E5E7" w:rsidR="00D63473" w:rsidRDefault="00D63473" w:rsidP="00D63473">
      <w:pPr>
        <w:pStyle w:val="FootnoteText"/>
      </w:pPr>
      <w:r>
        <w:rPr>
          <w:rStyle w:val="FootnoteReference"/>
        </w:rPr>
        <w:footnoteRef/>
      </w:r>
      <w:r>
        <w:t xml:space="preserve"> Productivity Commission, Mental Health Inquiry Report, No.95, 30 June 2020</w:t>
      </w:r>
      <w:r w:rsidR="00C224D4">
        <w:t>.</w:t>
      </w:r>
    </w:p>
  </w:footnote>
  <w:footnote w:id="173">
    <w:p w14:paraId="3720C255" w14:textId="77777777" w:rsidR="00D63473" w:rsidRDefault="00D63473" w:rsidP="00D63473">
      <w:pPr>
        <w:pStyle w:val="FootnoteText"/>
      </w:pPr>
      <w:r>
        <w:rPr>
          <w:rStyle w:val="FootnoteReference"/>
        </w:rPr>
        <w:footnoteRef/>
      </w:r>
      <w:r>
        <w:t xml:space="preserve"> DoH (Department of Health) 2015, Australian Government Response to Contributing Lives, Thriving Communities - Review of Mental Health Programmes and Services, Canberra.</w:t>
      </w:r>
    </w:p>
  </w:footnote>
  <w:footnote w:id="174">
    <w:p w14:paraId="7ECC00D4" w14:textId="77777777" w:rsidR="00D63473" w:rsidRDefault="00D63473" w:rsidP="00D63473">
      <w:pPr>
        <w:pStyle w:val="FootnoteText"/>
      </w:pPr>
      <w:r>
        <w:rPr>
          <w:rStyle w:val="FootnoteReference"/>
        </w:rPr>
        <w:footnoteRef/>
      </w:r>
      <w:r>
        <w:t xml:space="preserve"> headspace National 2019, </w:t>
      </w:r>
      <w:r>
        <w:rPr>
          <w:i/>
        </w:rPr>
        <w:t>headspace Primary Program Minimum Data Set_Data Dictionary</w:t>
      </w:r>
      <w:r>
        <w:rPr>
          <w:i/>
        </w:rPr>
        <w:softHyphen/>
        <w:t>_V 3.1_July 2019</w:t>
      </w:r>
      <w:r>
        <w:t>. Provided to KPMG by headspace National.</w:t>
      </w:r>
    </w:p>
  </w:footnote>
  <w:footnote w:id="175">
    <w:p w14:paraId="7348CFEE" w14:textId="5E5E7DBF" w:rsidR="00D63473" w:rsidRDefault="00D63473" w:rsidP="00D63473">
      <w:pPr>
        <w:pStyle w:val="FootnoteText"/>
      </w:pPr>
      <w:r>
        <w:rPr>
          <w:rStyle w:val="FootnoteReference"/>
        </w:rPr>
        <w:footnoteRef/>
      </w:r>
      <w:r>
        <w:t xml:space="preserve"> State of Victoria, Royal Commission into Victoria’s Mental Health System (Final Report, PP No 202, Session 2018-21) vol 1-5</w:t>
      </w:r>
      <w:r w:rsidR="00C224D4">
        <w:t>.</w:t>
      </w:r>
    </w:p>
  </w:footnote>
  <w:footnote w:id="176">
    <w:p w14:paraId="4B5DD4AC" w14:textId="77777777" w:rsidR="00D63473" w:rsidRDefault="00D63473" w:rsidP="00D63473">
      <w:pPr>
        <w:pStyle w:val="FootnoteText"/>
      </w:pPr>
      <w:r>
        <w:rPr>
          <w:rStyle w:val="FootnoteReference"/>
        </w:rPr>
        <w:footnoteRef/>
      </w:r>
      <w:r>
        <w:t xml:space="preserve"> headspace National 2019, </w:t>
      </w:r>
      <w:r>
        <w:rPr>
          <w:i/>
        </w:rPr>
        <w:t>headspace Primary Program Minimum Data Set_Data Dictionary</w:t>
      </w:r>
      <w:r>
        <w:rPr>
          <w:i/>
        </w:rPr>
        <w:softHyphen/>
        <w:t>_V 3.1_July 2019</w:t>
      </w:r>
      <w:r>
        <w:t>. Provided to KPMG by headspace National.</w:t>
      </w:r>
    </w:p>
  </w:footnote>
  <w:footnote w:id="177">
    <w:p w14:paraId="69B4A405" w14:textId="39BCC6CA" w:rsidR="00D63473" w:rsidRPr="00881604" w:rsidRDefault="00D63473" w:rsidP="00D63473">
      <w:pPr>
        <w:pStyle w:val="FootnoteText"/>
      </w:pPr>
      <w:r>
        <w:rPr>
          <w:rStyle w:val="FootnoteReference"/>
        </w:rPr>
        <w:footnoteRef/>
      </w:r>
      <w:r>
        <w:t xml:space="preserve"> </w:t>
      </w:r>
      <w:r w:rsidRPr="008A2492">
        <w:t xml:space="preserve">headspace National 2019, </w:t>
      </w:r>
      <w:r w:rsidRPr="000D4EFE">
        <w:rPr>
          <w:i/>
          <w:iCs/>
        </w:rPr>
        <w:t>Increasing demand in youth mental health – A rising tide of need</w:t>
      </w:r>
      <w:r w:rsidRPr="008A2492">
        <w:t xml:space="preserve">, </w:t>
      </w:r>
      <w:r>
        <w:t>Viewed</w:t>
      </w:r>
      <w:r w:rsidRPr="008A2492">
        <w:t xml:space="preserve"> 23 August 2021, &lt;</w:t>
      </w:r>
      <w:hyperlink r:id="rId54" w:history="1">
        <w:r w:rsidRPr="008F4350">
          <w:rPr>
            <w:rStyle w:val="Hyperlink"/>
          </w:rPr>
          <w:t>https://headspace.org.au/assets/Uploads/Increasing-demand-in-youth-mentalh-a-rising-tide-of-need.pdf</w:t>
        </w:r>
      </w:hyperlink>
      <w:r w:rsidRPr="008A2492">
        <w:t>&gt;</w:t>
      </w:r>
      <w:r>
        <w:t>.</w:t>
      </w:r>
    </w:p>
  </w:footnote>
  <w:footnote w:id="178">
    <w:p w14:paraId="23137B52" w14:textId="7DAFD592" w:rsidR="00493B32" w:rsidRDefault="00493B32">
      <w:pPr>
        <w:pStyle w:val="FootnoteText"/>
      </w:pPr>
      <w:r>
        <w:rPr>
          <w:rStyle w:val="FootnoteReference"/>
        </w:rPr>
        <w:footnoteRef/>
      </w:r>
      <w:r>
        <w:t xml:space="preserve"> </w:t>
      </w:r>
      <w:r w:rsidR="00E6676E">
        <w:t>Tiller, E., Greenland, N., Christie, R., Kos, A., Brennan, N., &amp; Di Nicola, K. (2021). Youth Survey Report 2021. Sydney, NSW: Mission Australia</w:t>
      </w:r>
      <w:r w:rsidR="00111DCD">
        <w:t>.</w:t>
      </w:r>
    </w:p>
  </w:footnote>
  <w:footnote w:id="179">
    <w:p w14:paraId="22D7580B" w14:textId="77777777" w:rsidR="00194E05" w:rsidRPr="00F738C2" w:rsidRDefault="00194E05" w:rsidP="00194E05">
      <w:pPr>
        <w:pStyle w:val="FootnoteText"/>
        <w:rPr>
          <w:rFonts w:asciiTheme="minorHAnsi" w:hAnsiTheme="minorHAnsi"/>
        </w:rPr>
      </w:pPr>
      <w:r>
        <w:rPr>
          <w:rStyle w:val="FootnoteReference"/>
        </w:rPr>
        <w:footnoteRef/>
      </w:r>
      <w:r>
        <w:t xml:space="preserve"> Australian Institute of Health and Welfare (2020). People with disability in Australia, retrieved from </w:t>
      </w:r>
      <w:hyperlink r:id="rId55" w:history="1">
        <w:r>
          <w:rPr>
            <w:rStyle w:val="Hyperlink"/>
          </w:rPr>
          <w:t>https://www.aihw.gov.au/reports/disability/people-with-disability-in-australia/contents/health/access-to-health-services</w:t>
        </w:r>
      </w:hyperlink>
    </w:p>
  </w:footnote>
  <w:footnote w:id="180">
    <w:p w14:paraId="3A595538" w14:textId="7E16EBE4" w:rsidR="00194E05" w:rsidRDefault="00194E05" w:rsidP="00194E05">
      <w:pPr>
        <w:pStyle w:val="FootnoteText"/>
      </w:pPr>
      <w:r>
        <w:rPr>
          <w:rStyle w:val="FootnoteReference"/>
        </w:rPr>
        <w:footnoteRef/>
      </w:r>
      <w:r>
        <w:t xml:space="preserve"> The Royal Australian &amp; New Zealand College of Psychiatrists (2021), Recognising and addressing the mental health needs of the LGBTIQ+ population, retrieved from</w:t>
      </w:r>
      <w:r w:rsidR="00D93618">
        <w:t xml:space="preserve"> </w:t>
      </w:r>
      <w:hyperlink r:id="rId56" w:history="1">
        <w:r w:rsidR="001762D3" w:rsidRPr="00CE39FB">
          <w:rPr>
            <w:rStyle w:val="Hyperlink"/>
          </w:rPr>
          <w:t>https://www.ranzcp.org/news-policy/policy-and-advocacy/position-statements/mental-health-needs-lgbtiq</w:t>
        </w:r>
      </w:hyperlink>
    </w:p>
  </w:footnote>
  <w:footnote w:id="181">
    <w:p w14:paraId="10271A2A" w14:textId="77777777" w:rsidR="00194E05" w:rsidRDefault="00194E05" w:rsidP="00194E05">
      <w:pPr>
        <w:pStyle w:val="FootnoteText"/>
      </w:pPr>
      <w:r>
        <w:rPr>
          <w:rStyle w:val="FootnoteReference"/>
        </w:rPr>
        <w:footnoteRef/>
      </w:r>
      <w:r>
        <w:t xml:space="preserve"> Truong, M., Allen, D., Chan, J., and Paradies, Y. (2021). Racism complaints in the Australian health system: an overview of existing approaches and some recommendations. Australian Health Review 46(1) 1-4 </w:t>
      </w:r>
      <w:hyperlink r:id="rId57" w:history="1">
        <w:r>
          <w:rPr>
            <w:rStyle w:val="Hyperlink"/>
          </w:rPr>
          <w:t>https://doi.org/10.1071/AH21189</w:t>
        </w:r>
      </w:hyperlink>
      <w:r>
        <w:t>.</w:t>
      </w:r>
    </w:p>
  </w:footnote>
  <w:footnote w:id="182">
    <w:p w14:paraId="47238869" w14:textId="77777777" w:rsidR="00194E05" w:rsidRDefault="00194E05" w:rsidP="00194E05">
      <w:pPr>
        <w:pStyle w:val="FootnoteText"/>
      </w:pPr>
      <w:r>
        <w:rPr>
          <w:rStyle w:val="FootnoteReference"/>
        </w:rPr>
        <w:footnoteRef/>
      </w:r>
      <w:r>
        <w:t xml:space="preserve"> </w:t>
      </w:r>
      <w:r w:rsidRPr="00F738C2">
        <w:rPr>
          <w:szCs w:val="16"/>
        </w:rPr>
        <w:t xml:space="preserve">Australian Government (2020), Closing the Gap National Agreement Preamble, retrieved from </w:t>
      </w:r>
      <w:hyperlink r:id="rId58" w:history="1">
        <w:r w:rsidRPr="00F738C2">
          <w:rPr>
            <w:rStyle w:val="Hyperlink"/>
            <w:szCs w:val="16"/>
          </w:rPr>
          <w:t>https://www.closingthegap.gov.au/national-agreement/national-agreement-closing-the-gap/1-preamble</w:t>
        </w:r>
      </w:hyperlink>
    </w:p>
  </w:footnote>
  <w:footnote w:id="183">
    <w:p w14:paraId="52055657" w14:textId="5DA132E1" w:rsidR="00D63473" w:rsidRDefault="00D63473" w:rsidP="00D63473">
      <w:pPr>
        <w:pStyle w:val="FootnoteText"/>
      </w:pPr>
      <w:r>
        <w:rPr>
          <w:rStyle w:val="FootnoteReference"/>
        </w:rPr>
        <w:footnoteRef/>
      </w:r>
      <w:r>
        <w:t xml:space="preserve"> Productivity Commission, Mental Health Inquiry Report, No.95, 30 June 2020</w:t>
      </w:r>
      <w:r w:rsidR="00111DCD">
        <w:t>.</w:t>
      </w:r>
    </w:p>
  </w:footnote>
  <w:footnote w:id="184">
    <w:p w14:paraId="31CE317B" w14:textId="0C29D0DC" w:rsidR="00D63473" w:rsidRDefault="00D63473" w:rsidP="00D63473">
      <w:pPr>
        <w:pStyle w:val="FootnoteText"/>
      </w:pPr>
      <w:r>
        <w:rPr>
          <w:rStyle w:val="FootnoteReference"/>
        </w:rPr>
        <w:footnoteRef/>
      </w:r>
      <w:r>
        <w:t xml:space="preserve"> State of Victoria, Royal Commission into Victoria’s Mental Health System (Final Report, PP No 202, Session 2018-21) vol 1-5</w:t>
      </w:r>
      <w:r w:rsidR="00111DCD">
        <w:t>.</w:t>
      </w:r>
    </w:p>
  </w:footnote>
  <w:footnote w:id="185">
    <w:p w14:paraId="4E4D0869" w14:textId="3B3E49B6" w:rsidR="00D63473" w:rsidRDefault="00D63473" w:rsidP="00D63473">
      <w:pPr>
        <w:pStyle w:val="FootnoteText"/>
      </w:pPr>
      <w:r w:rsidRPr="00E42FFE">
        <w:rPr>
          <w:rStyle w:val="FootnoteReference"/>
        </w:rPr>
        <w:footnoteRef/>
      </w:r>
      <w:r w:rsidRPr="00E42FFE">
        <w:t xml:space="preserve"> </w:t>
      </w:r>
      <w:r w:rsidRPr="00E42FFE">
        <w:rPr>
          <w:rFonts w:cs="Calibri"/>
          <w:szCs w:val="16"/>
        </w:rPr>
        <w:t>National LGBTI Health Alliance, sub</w:t>
      </w:r>
      <w:r>
        <w:rPr>
          <w:rFonts w:cs="Calibri"/>
          <w:szCs w:val="16"/>
        </w:rPr>
        <w:t>mission</w:t>
      </w:r>
      <w:r w:rsidRPr="00E42FFE">
        <w:rPr>
          <w:rFonts w:cs="Calibri"/>
          <w:szCs w:val="16"/>
        </w:rPr>
        <w:t xml:space="preserve"> 888</w:t>
      </w:r>
      <w:r>
        <w:rPr>
          <w:rFonts w:cs="Calibri"/>
          <w:szCs w:val="16"/>
        </w:rPr>
        <w:t xml:space="preserve"> to the Productivity Commission Mental Health Inquiry</w:t>
      </w:r>
      <w:r w:rsidR="00111DCD">
        <w:rPr>
          <w:rFonts w:cs="Calibri"/>
          <w:szCs w:val="16"/>
        </w:rPr>
        <w:t>.</w:t>
      </w:r>
    </w:p>
  </w:footnote>
  <w:footnote w:id="186">
    <w:p w14:paraId="7C487DFB" w14:textId="77777777" w:rsidR="00D63473" w:rsidRDefault="00D63473" w:rsidP="00D63473">
      <w:pPr>
        <w:pStyle w:val="FootnoteText"/>
      </w:pPr>
      <w:r w:rsidRPr="00A62675">
        <w:rPr>
          <w:rStyle w:val="FootnoteReference"/>
          <w:szCs w:val="16"/>
        </w:rPr>
        <w:footnoteRef/>
      </w:r>
      <w:r w:rsidRPr="00A62675">
        <w:t xml:space="preserve"> Bishop, L., Gardiner, F.W., Gorelik, A., Laverty, M., Quinlan, F., Gale, L. and Gleeson, J. (2021). National mental health literacy survey: Final report. Canberra, The Royal Flying Doctor Service of Australia.</w:t>
      </w:r>
    </w:p>
  </w:footnote>
  <w:footnote w:id="187">
    <w:p w14:paraId="0415FE39" w14:textId="323008E6" w:rsidR="00D63473" w:rsidRDefault="00D63473" w:rsidP="00D63473">
      <w:pPr>
        <w:pStyle w:val="FootnoteText"/>
      </w:pPr>
      <w:r>
        <w:rPr>
          <w:rStyle w:val="FootnoteReference"/>
        </w:rPr>
        <w:footnoteRef/>
      </w:r>
      <w:r>
        <w:t xml:space="preserve"> Australian Bureau of Statistics</w:t>
      </w:r>
      <w:r w:rsidRPr="007D79B8">
        <w:t xml:space="preserve"> 2019, </w:t>
      </w:r>
      <w:r w:rsidRPr="00A70352">
        <w:rPr>
          <w:i/>
          <w:iCs/>
        </w:rPr>
        <w:t>Estimates and Projections, Aboriginal and Torres Strait Islander Australians, 2006 - 2031,</w:t>
      </w:r>
      <w:r>
        <w:rPr>
          <w:i/>
          <w:iCs/>
        </w:rPr>
        <w:t xml:space="preserve"> </w:t>
      </w:r>
      <w:r w:rsidRPr="00A70352">
        <w:rPr>
          <w:i/>
          <w:iCs/>
        </w:rPr>
        <w:t>Table 5.9</w:t>
      </w:r>
      <w:r w:rsidRPr="007D79B8">
        <w:t xml:space="preserve">, www.abs.gov.au, </w:t>
      </w:r>
      <w:r w:rsidR="00525ED1">
        <w:t>V</w:t>
      </w:r>
      <w:r w:rsidRPr="007D79B8">
        <w:t>iewed 27 August 2021, &lt;</w:t>
      </w:r>
      <w:hyperlink r:id="rId59" w:history="1">
        <w:r w:rsidRPr="00022EBD">
          <w:rPr>
            <w:rStyle w:val="Hyperlink"/>
          </w:rPr>
          <w:t>https://www.abs.gov.au/statistics/people/aboriginal-and-torres-strait-islander-peoples/estimates-and-projections-aboriginal-and-torres-strait-islander-australians/2006-2031#data-download</w:t>
        </w:r>
      </w:hyperlink>
      <w:r w:rsidRPr="007D79B8">
        <w:t>&gt;.</w:t>
      </w:r>
    </w:p>
  </w:footnote>
  <w:footnote w:id="188">
    <w:p w14:paraId="5AC683E2" w14:textId="4BBE29A7" w:rsidR="00D63473" w:rsidRDefault="00D63473" w:rsidP="00D63473">
      <w:pPr>
        <w:pStyle w:val="FootnoteText"/>
      </w:pPr>
      <w:r>
        <w:rPr>
          <w:rStyle w:val="FootnoteReference"/>
        </w:rPr>
        <w:footnoteRef/>
      </w:r>
      <w:r>
        <w:t xml:space="preserve"> Australian Bureau of Statistics</w:t>
      </w:r>
      <w:r w:rsidRPr="007D79B8">
        <w:t xml:space="preserve"> </w:t>
      </w:r>
      <w:r w:rsidRPr="006C29CD">
        <w:t xml:space="preserve">2020, </w:t>
      </w:r>
      <w:r w:rsidRPr="00347A65">
        <w:rPr>
          <w:i/>
          <w:iCs/>
        </w:rPr>
        <w:t>National, state and territory population, March 2020, Population - Australia</w:t>
      </w:r>
      <w:r w:rsidRPr="006C29CD">
        <w:t xml:space="preserve">, www.abs.gov.au, </w:t>
      </w:r>
      <w:r w:rsidR="00525ED1">
        <w:t>V</w:t>
      </w:r>
      <w:r w:rsidRPr="006C29CD">
        <w:t>iewed 27 August 2021, &lt;</w:t>
      </w:r>
      <w:hyperlink r:id="rId60" w:history="1">
        <w:r w:rsidRPr="00022EBD">
          <w:rPr>
            <w:rStyle w:val="Hyperlink"/>
          </w:rPr>
          <w:t>https://www.abs.gov.au/statistics/people/population/national-state-and-territory-population/latest-release#data-download</w:t>
        </w:r>
      </w:hyperlink>
      <w:r w:rsidRPr="006C29CD">
        <w:t>&gt;.</w:t>
      </w:r>
    </w:p>
  </w:footnote>
  <w:footnote w:id="189">
    <w:p w14:paraId="0CBE5144" w14:textId="5F9E9106" w:rsidR="00D63473" w:rsidRDefault="00D63473" w:rsidP="00D63473">
      <w:pPr>
        <w:pStyle w:val="FootnoteText"/>
      </w:pPr>
      <w:r>
        <w:rPr>
          <w:rStyle w:val="FootnoteReference"/>
        </w:rPr>
        <w:footnoteRef/>
      </w:r>
      <w:r>
        <w:t xml:space="preserve"> Productivity Commission, Mental Health Inquiry Report, No.95, 30 June 2020</w:t>
      </w:r>
      <w:r w:rsidR="00111DCD">
        <w:t>.</w:t>
      </w:r>
    </w:p>
  </w:footnote>
  <w:footnote w:id="190">
    <w:p w14:paraId="7C406136" w14:textId="77777777" w:rsidR="00D63473" w:rsidRDefault="00D63473" w:rsidP="00D63473">
      <w:pPr>
        <w:pStyle w:val="FootnoteText"/>
      </w:pPr>
      <w:r>
        <w:rPr>
          <w:rStyle w:val="FootnoteReference"/>
        </w:rPr>
        <w:footnoteRef/>
      </w:r>
      <w:r>
        <w:t xml:space="preserve"> National Surveys of Mental Health Literacy and Stigma and National Survey of Discrimination and Positive Treatment: A report for the Mental Health Commission of NSW. 2015. Mental Health Commission of NSW, Sydney.</w:t>
      </w:r>
    </w:p>
  </w:footnote>
  <w:footnote w:id="191">
    <w:p w14:paraId="5E36C534" w14:textId="11D58310" w:rsidR="00A77D9D" w:rsidRDefault="00A77D9D" w:rsidP="00A77D9D">
      <w:pPr>
        <w:pStyle w:val="FootnoteText"/>
      </w:pPr>
      <w:r>
        <w:rPr>
          <w:rStyle w:val="FootnoteReference"/>
        </w:rPr>
        <w:footnoteRef/>
      </w:r>
      <w:r>
        <w:t xml:space="preserve"> Productivity Commission, Mental Health Inquiry Report, No.95, 30 June 2020, Volume 2, Box 15.1, </w:t>
      </w:r>
      <w:r w:rsidR="00525ED1">
        <w:t xml:space="preserve">p. </w:t>
      </w:r>
      <w:r>
        <w:t>660; citing Bywood, P.T., Brown, L. and Raven, M. 2015, Improving the Integration of Mental Health Services in Primary Health Care at the Macro Level, PHCRIS Policy Issue Review, Primary Health Care Research and Information Service (PHCRIS), Adelaide.</w:t>
      </w:r>
    </w:p>
  </w:footnote>
  <w:footnote w:id="192">
    <w:p w14:paraId="76384C7F" w14:textId="612E7F13" w:rsidR="00A77D9D" w:rsidRDefault="00A77D9D" w:rsidP="00A77D9D">
      <w:pPr>
        <w:pStyle w:val="FootnoteText"/>
      </w:pPr>
      <w:r>
        <w:rPr>
          <w:rStyle w:val="FootnoteReference"/>
        </w:rPr>
        <w:footnoteRef/>
      </w:r>
      <w:r>
        <w:t xml:space="preserve"> </w:t>
      </w:r>
      <w:r w:rsidRPr="00866D89">
        <w:rPr>
          <w:szCs w:val="16"/>
        </w:rPr>
        <w:t xml:space="preserve">headspace National 2020, </w:t>
      </w:r>
      <w:r w:rsidRPr="00866D89">
        <w:rPr>
          <w:i/>
          <w:iCs/>
          <w:szCs w:val="16"/>
        </w:rPr>
        <w:t>headspace Model Integrity Framework (hMIF V2</w:t>
      </w:r>
      <w:r w:rsidRPr="00866D89">
        <w:rPr>
          <w:szCs w:val="16"/>
        </w:rPr>
        <w:t>)</w:t>
      </w:r>
      <w:r w:rsidR="00111DCD">
        <w:rPr>
          <w:szCs w:val="16"/>
        </w:rPr>
        <w:t>.</w:t>
      </w:r>
    </w:p>
  </w:footnote>
  <w:footnote w:id="193">
    <w:p w14:paraId="68DB9547" w14:textId="65B7CD47" w:rsidR="00A77D9D" w:rsidRDefault="00A77D9D" w:rsidP="00A77D9D">
      <w:pPr>
        <w:pStyle w:val="FootnoteText"/>
      </w:pPr>
      <w:r>
        <w:rPr>
          <w:rStyle w:val="FootnoteReference"/>
        </w:rPr>
        <w:footnoteRef/>
      </w:r>
      <w:r>
        <w:t xml:space="preserve"> Productivity Commission, Mental Health Inquiry Report, No.95, 30 June 2020, Volume 2, Box 15.1, </w:t>
      </w:r>
      <w:r w:rsidR="00525ED1">
        <w:t xml:space="preserve">p. </w:t>
      </w:r>
      <w:r>
        <w:t>660 – citing Oliver</w:t>
      </w:r>
      <w:r w:rsidR="00525ED1">
        <w:noBreakHyphen/>
      </w:r>
      <w:r>
        <w:t>Baxter, J., Brown, L. and Bywood, P.T. 2013, Integrated Care: What Policies Support and Influence Integration in Health Care in Australia?, PHCRIS Policy Issue Review, Primary Health Care Research and Information Service (PHCRIS), Adelaide.</w:t>
      </w:r>
    </w:p>
  </w:footnote>
  <w:footnote w:id="194">
    <w:p w14:paraId="4AFAA96C" w14:textId="7798B4D3" w:rsidR="00A77D9D" w:rsidRDefault="00A77D9D" w:rsidP="00A77D9D">
      <w:pPr>
        <w:pStyle w:val="FootnoteText"/>
      </w:pPr>
      <w:r>
        <w:rPr>
          <w:rStyle w:val="FootnoteReference"/>
        </w:rPr>
        <w:footnoteRef/>
      </w:r>
      <w:r>
        <w:t xml:space="preserve"> Productivity Commission, Mental Health Inquiry Report, No.95, 30 June 2020, Volume 2, </w:t>
      </w:r>
      <w:r w:rsidR="00525ED1">
        <w:t xml:space="preserve">p. </w:t>
      </w:r>
      <w:r>
        <w:t>657</w:t>
      </w:r>
      <w:r w:rsidR="00111DCD">
        <w:t>.</w:t>
      </w:r>
    </w:p>
  </w:footnote>
  <w:footnote w:id="195">
    <w:p w14:paraId="0D426BE7" w14:textId="29C98673" w:rsidR="00A77D9D" w:rsidRDefault="00A77D9D" w:rsidP="00A77D9D">
      <w:pPr>
        <w:pStyle w:val="FootnoteText"/>
      </w:pPr>
      <w:r>
        <w:rPr>
          <w:rStyle w:val="FootnoteReference"/>
        </w:rPr>
        <w:footnoteRef/>
      </w:r>
      <w:r>
        <w:t xml:space="preserve"> </w:t>
      </w:r>
      <w:r w:rsidRPr="006619FF">
        <w:t>Colmar Brunton, 2020, headspace Community impact research, Report v3</w:t>
      </w:r>
      <w:r w:rsidR="00111DCD">
        <w:t>.</w:t>
      </w:r>
    </w:p>
  </w:footnote>
  <w:footnote w:id="196">
    <w:p w14:paraId="48324453" w14:textId="0647C3D9" w:rsidR="00A77D9D" w:rsidRDefault="00A77D9D" w:rsidP="00A77D9D">
      <w:pPr>
        <w:pStyle w:val="FootnoteText"/>
      </w:pPr>
      <w:r>
        <w:rPr>
          <w:rStyle w:val="FootnoteReference"/>
        </w:rPr>
        <w:footnoteRef/>
      </w:r>
      <w:r>
        <w:t xml:space="preserve"> </w:t>
      </w:r>
      <w:r w:rsidRPr="006619FF">
        <w:t>Colmar Brunton, 2020, headspace Community impact research, Report v3</w:t>
      </w:r>
      <w:r>
        <w:t xml:space="preserve">, </w:t>
      </w:r>
      <w:r w:rsidR="00525ED1">
        <w:t xml:space="preserve">p. </w:t>
      </w:r>
      <w:r>
        <w:t>26</w:t>
      </w:r>
      <w:r w:rsidR="00111DCD">
        <w:t>.</w:t>
      </w:r>
    </w:p>
  </w:footnote>
  <w:footnote w:id="197">
    <w:p w14:paraId="4B7401F6" w14:textId="18306F59" w:rsidR="00A77D9D" w:rsidRDefault="00A77D9D" w:rsidP="00A77D9D">
      <w:pPr>
        <w:pStyle w:val="FootnoteText"/>
      </w:pPr>
      <w:r>
        <w:rPr>
          <w:rStyle w:val="FootnoteReference"/>
        </w:rPr>
        <w:footnoteRef/>
      </w:r>
      <w:r>
        <w:t xml:space="preserve"> </w:t>
      </w:r>
      <w:r w:rsidRPr="006619FF">
        <w:t>Colmar Brunton, 2020, headspace Community impact research, Report v3</w:t>
      </w:r>
      <w:r>
        <w:t xml:space="preserve">, </w:t>
      </w:r>
      <w:r w:rsidR="00525ED1">
        <w:t xml:space="preserve">p. </w:t>
      </w:r>
      <w:r>
        <w:t>50</w:t>
      </w:r>
      <w:r w:rsidR="00111DCD">
        <w:t>.</w:t>
      </w:r>
    </w:p>
  </w:footnote>
  <w:footnote w:id="198">
    <w:p w14:paraId="3C7C2417" w14:textId="61EE6300" w:rsidR="00A77D9D" w:rsidRDefault="00A77D9D" w:rsidP="00A77D9D">
      <w:pPr>
        <w:pStyle w:val="FootnoteText"/>
      </w:pPr>
      <w:r>
        <w:rPr>
          <w:rStyle w:val="FootnoteReference"/>
        </w:rPr>
        <w:footnoteRef/>
      </w:r>
      <w:r>
        <w:t xml:space="preserve"> </w:t>
      </w:r>
      <w:r w:rsidRPr="006619FF">
        <w:t>Colmar Brunton, 2020, headspace Community impact research, Report v3</w:t>
      </w:r>
      <w:r>
        <w:t xml:space="preserve">, </w:t>
      </w:r>
      <w:r w:rsidR="00525ED1">
        <w:t xml:space="preserve">p. </w:t>
      </w:r>
      <w:r>
        <w:t>59</w:t>
      </w:r>
      <w:r w:rsidR="00111DCD">
        <w:t>.</w:t>
      </w:r>
    </w:p>
  </w:footnote>
  <w:footnote w:id="199">
    <w:p w14:paraId="01816B83" w14:textId="17DD7371" w:rsidR="00A77D9D" w:rsidRDefault="00A77D9D" w:rsidP="00A77D9D">
      <w:pPr>
        <w:pStyle w:val="FootnoteText"/>
      </w:pPr>
      <w:r>
        <w:rPr>
          <w:rStyle w:val="FootnoteReference"/>
        </w:rPr>
        <w:footnoteRef/>
      </w:r>
      <w:r>
        <w:t xml:space="preserve"> </w:t>
      </w:r>
      <w:r w:rsidRPr="006619FF">
        <w:t>Colmar Brunton, 2020, headspace Community impact research, Report v3</w:t>
      </w:r>
      <w:r w:rsidRPr="00DB4DCB">
        <w:t xml:space="preserve">, </w:t>
      </w:r>
      <w:r w:rsidR="00525ED1">
        <w:t>p.</w:t>
      </w:r>
      <w:r w:rsidR="00525ED1" w:rsidRPr="00DB4DCB">
        <w:t xml:space="preserve"> </w:t>
      </w:r>
      <w:r w:rsidRPr="00DB4DCB">
        <w:t>38</w:t>
      </w:r>
      <w:r w:rsidR="00111DCD">
        <w:t>.</w:t>
      </w:r>
    </w:p>
  </w:footnote>
  <w:footnote w:id="200">
    <w:p w14:paraId="5D063C4E" w14:textId="66E1A1BC" w:rsidR="00A77D9D" w:rsidRDefault="00A77D9D" w:rsidP="00A77D9D">
      <w:pPr>
        <w:pStyle w:val="FootnoteText"/>
      </w:pPr>
      <w:r>
        <w:rPr>
          <w:rStyle w:val="FootnoteReference"/>
        </w:rPr>
        <w:footnoteRef/>
      </w:r>
      <w:r>
        <w:t xml:space="preserve"> </w:t>
      </w:r>
      <w:r w:rsidRPr="006619FF">
        <w:t>Colmar Brunton, 2020, headspace Community impact research, Report v3</w:t>
      </w:r>
      <w:r>
        <w:t xml:space="preserve">, </w:t>
      </w:r>
      <w:r w:rsidR="00525ED1">
        <w:t>p.</w:t>
      </w:r>
      <w:r w:rsidR="00525ED1" w:rsidRPr="00272056">
        <w:t xml:space="preserve"> </w:t>
      </w:r>
      <w:r w:rsidRPr="00272056">
        <w:t>42</w:t>
      </w:r>
      <w:r w:rsidR="00111DCD">
        <w:t>.</w:t>
      </w:r>
    </w:p>
  </w:footnote>
  <w:footnote w:id="201">
    <w:p w14:paraId="2F3CD6DA" w14:textId="06BB2FDD" w:rsidR="00701176" w:rsidRDefault="00701176">
      <w:pPr>
        <w:pStyle w:val="FootnoteText"/>
      </w:pPr>
      <w:r>
        <w:rPr>
          <w:rStyle w:val="FootnoteReference"/>
        </w:rPr>
        <w:footnoteRef/>
      </w:r>
      <w:r>
        <w:t xml:space="preserve"> </w:t>
      </w:r>
      <w:r w:rsidRPr="00866D89">
        <w:rPr>
          <w:szCs w:val="16"/>
        </w:rPr>
        <w:t xml:space="preserve">headspace National 2020, </w:t>
      </w:r>
      <w:r w:rsidRPr="00866D89">
        <w:rPr>
          <w:i/>
          <w:iCs/>
          <w:szCs w:val="16"/>
        </w:rPr>
        <w:t>headspace Model Integrity Framework (hMIF V2</w:t>
      </w:r>
      <w:r w:rsidRPr="00866D89">
        <w:rPr>
          <w:szCs w:val="16"/>
        </w:rPr>
        <w:t>).</w:t>
      </w:r>
    </w:p>
  </w:footnote>
  <w:footnote w:id="202">
    <w:p w14:paraId="247E0EFD" w14:textId="767A0B93" w:rsidR="002D378C" w:rsidRDefault="002D378C">
      <w:pPr>
        <w:pStyle w:val="FootnoteText"/>
      </w:pPr>
      <w:r>
        <w:rPr>
          <w:rStyle w:val="FootnoteReference"/>
        </w:rPr>
        <w:footnoteRef/>
      </w:r>
      <w:r>
        <w:t xml:space="preserve"> </w:t>
      </w:r>
      <w:r w:rsidRPr="008A2492">
        <w:t xml:space="preserve">World Health Organization 2019, </w:t>
      </w:r>
      <w:r w:rsidRPr="008F369B">
        <w:rPr>
          <w:i/>
        </w:rPr>
        <w:t>Mental Disorders</w:t>
      </w:r>
      <w:r>
        <w:t xml:space="preserve"> (www.who.int)</w:t>
      </w:r>
      <w:r w:rsidRPr="008A2492">
        <w:t xml:space="preserve">, </w:t>
      </w:r>
      <w:r>
        <w:t>Viewed</w:t>
      </w:r>
      <w:r w:rsidRPr="008A2492">
        <w:t xml:space="preserve"> </w:t>
      </w:r>
      <w:r>
        <w:t>13 August 2021</w:t>
      </w:r>
      <w:r w:rsidRPr="008A2492">
        <w:t xml:space="preserve">, </w:t>
      </w:r>
      <w:r>
        <w:t>&lt;</w:t>
      </w:r>
      <w:hyperlink r:id="rId61" w:history="1">
        <w:r w:rsidRPr="00D407B6">
          <w:rPr>
            <w:rStyle w:val="Hyperlink"/>
          </w:rPr>
          <w:t>https://www.who.int/news-room/fact-sheets/detail/mental-disorders</w:t>
        </w:r>
      </w:hyperlink>
      <w:r>
        <w:t>&gt;.</w:t>
      </w:r>
    </w:p>
  </w:footnote>
  <w:footnote w:id="203">
    <w:p w14:paraId="716E134A" w14:textId="532FF83F" w:rsidR="002D378C" w:rsidRDefault="002D378C">
      <w:pPr>
        <w:pStyle w:val="FootnoteText"/>
      </w:pPr>
      <w:r>
        <w:rPr>
          <w:rStyle w:val="FootnoteReference"/>
        </w:rPr>
        <w:footnoteRef/>
      </w:r>
      <w:r>
        <w:t xml:space="preserve"> </w:t>
      </w:r>
      <w:r w:rsidR="003A2395" w:rsidRPr="008A2492">
        <w:t xml:space="preserve">Rickwood D., Telford, N., Parker, A.,Tanti, C., and McGorry, P 2014, ‘headspace — Australia's innovation in youth mental health: who are the clients and why are they presenting?’ </w:t>
      </w:r>
      <w:r w:rsidR="003A2395" w:rsidRPr="008A2492">
        <w:rPr>
          <w:i/>
        </w:rPr>
        <w:t>The Medical Journal of Australia</w:t>
      </w:r>
      <w:r w:rsidR="003A2395" w:rsidRPr="008A2492">
        <w:t>, Volume 200, Issue 2, p</w:t>
      </w:r>
      <w:r w:rsidR="003A2395">
        <w:t>p.</w:t>
      </w:r>
      <w:r w:rsidR="003A2395" w:rsidRPr="008A2492">
        <w:t xml:space="preserve"> 108-111</w:t>
      </w:r>
      <w:r w:rsidR="003A2395">
        <w:t>.</w:t>
      </w:r>
    </w:p>
  </w:footnote>
  <w:footnote w:id="204">
    <w:p w14:paraId="4910BB1E" w14:textId="17B42B9C" w:rsidR="00FF14B8" w:rsidRDefault="00FF14B8">
      <w:pPr>
        <w:pStyle w:val="FootnoteText"/>
      </w:pPr>
      <w:r>
        <w:rPr>
          <w:rStyle w:val="FootnoteReference"/>
        </w:rPr>
        <w:footnoteRef/>
      </w:r>
      <w:r>
        <w:t xml:space="preserve"> </w:t>
      </w:r>
      <w:r w:rsidR="00FD20B7">
        <w:t>Colmar Brunton, 2020, headspace Community impact research, Report v3</w:t>
      </w:r>
      <w:r w:rsidR="00111DCD">
        <w:t>.</w:t>
      </w:r>
    </w:p>
  </w:footnote>
  <w:footnote w:id="205">
    <w:p w14:paraId="547EEB4B" w14:textId="7906884E" w:rsidR="00B02DB5" w:rsidRDefault="00B02DB5">
      <w:pPr>
        <w:pStyle w:val="FootnoteText"/>
      </w:pPr>
      <w:r>
        <w:rPr>
          <w:rStyle w:val="FootnoteReference"/>
        </w:rPr>
        <w:footnoteRef/>
      </w:r>
      <w:r>
        <w:t xml:space="preserve"> </w:t>
      </w:r>
      <w:r w:rsidR="008017E6" w:rsidRPr="008017E6">
        <w:t xml:space="preserve">Cheung, Kei Long, et al. “The Impact of Non-Response Bias due to Sampling in Public Health Studies: A Comparison of Voluntary versus Mandatory Recruitment in a Dutch National Survey on Adolescent Health.” BMC Public Health, vol. 17, no. 1, 23 </w:t>
      </w:r>
      <w:r w:rsidR="00525ED1" w:rsidRPr="008017E6">
        <w:t>Mar</w:t>
      </w:r>
      <w:r w:rsidR="00525ED1">
        <w:t>ch</w:t>
      </w:r>
      <w:r w:rsidR="008017E6" w:rsidRPr="008017E6">
        <w:t xml:space="preserve"> 2017, bmcpublichealth.biomedcentral.com/articles/10.1186/s12889-017-4189-8, 10.1186/s12889-017-4189-8</w:t>
      </w:r>
      <w:r w:rsidR="00794BC0">
        <w:t xml:space="preserve">; </w:t>
      </w:r>
      <w:r w:rsidR="00794BC0" w:rsidRPr="00794BC0">
        <w:t>ScienceDirect. “Nonresponse Bias - an Overview.” Www.sciencedirect.com, 2022, www.sciencedirect.com/topics/nursing-and-health-professions/nonresponse-bias. Accessed 29 Apr. 2022.</w:t>
      </w:r>
    </w:p>
  </w:footnote>
  <w:footnote w:id="206">
    <w:p w14:paraId="6B50D796" w14:textId="5FFF14FE" w:rsidR="00525ED1" w:rsidRDefault="00525ED1" w:rsidP="008E55FA">
      <w:pPr>
        <w:pStyle w:val="FootnoteText"/>
      </w:pPr>
      <w:r>
        <w:rPr>
          <w:rStyle w:val="FootnoteReference"/>
        </w:rPr>
        <w:footnoteRef/>
      </w:r>
      <w:r>
        <w:t xml:space="preserve"> Ibid.</w:t>
      </w:r>
    </w:p>
  </w:footnote>
  <w:footnote w:id="207">
    <w:p w14:paraId="4A29A1A7" w14:textId="086B0D66" w:rsidR="002A6A78" w:rsidRDefault="002A6A78" w:rsidP="002A6A78">
      <w:pPr>
        <w:pStyle w:val="FootnoteText"/>
      </w:pPr>
      <w:r>
        <w:rPr>
          <w:rStyle w:val="FootnoteReference"/>
        </w:rPr>
        <w:footnoteRef/>
      </w:r>
      <w:r>
        <w:t xml:space="preserve"> </w:t>
      </w:r>
      <w:r w:rsidRPr="003D2EA3">
        <w:t xml:space="preserve">Rickwood, D.J., Mazzer, K.R., Telford, N.R., Parker, A.G., Tanti, C.J. and McGorry, P.D., 2015. Changes in psychological distress and </w:t>
      </w:r>
      <w:r w:rsidR="004C50C0">
        <w:t>psychosocial</w:t>
      </w:r>
      <w:r w:rsidRPr="003D2EA3">
        <w:t xml:space="preserve"> functioning in young people visiting headspace centres for mental health problems. Medical journal of Australia, 202(10), pp.537-542.</w:t>
      </w:r>
    </w:p>
  </w:footnote>
  <w:footnote w:id="208">
    <w:p w14:paraId="3A2B6A8C" w14:textId="77777777" w:rsidR="002A6A78" w:rsidRDefault="002A6A78" w:rsidP="002A6A78">
      <w:pPr>
        <w:pStyle w:val="FootnoteText"/>
      </w:pPr>
      <w:r>
        <w:rPr>
          <w:rStyle w:val="FootnoteReference"/>
        </w:rPr>
        <w:footnoteRef/>
      </w:r>
      <w:r>
        <w:t xml:space="preserve"> Kessler et al.2002 ‘Short screening scales to monitor population prevalences and trends in non-specific psychological distress’.</w:t>
      </w:r>
    </w:p>
  </w:footnote>
  <w:footnote w:id="209">
    <w:p w14:paraId="2EA33F66" w14:textId="75F9C0C8" w:rsidR="002A6A78" w:rsidRDefault="002A6A78" w:rsidP="002A6A78">
      <w:pPr>
        <w:pStyle w:val="FootnoteText"/>
      </w:pPr>
      <w:r>
        <w:rPr>
          <w:rStyle w:val="FootnoteReference"/>
        </w:rPr>
        <w:footnoteRef/>
      </w:r>
      <w:r>
        <w:t xml:space="preserve"> </w:t>
      </w:r>
      <w:r w:rsidRPr="000F39A6">
        <w:t xml:space="preserve">Goldman </w:t>
      </w:r>
      <w:r>
        <w:t>et al.</w:t>
      </w:r>
      <w:r w:rsidRPr="000F39A6">
        <w:t xml:space="preserve"> 1992, ‘Revising axis V for DSM-IV: a review of measures of social functioning’</w:t>
      </w:r>
      <w:r w:rsidR="00111DCD">
        <w:t>.</w:t>
      </w:r>
    </w:p>
  </w:footnote>
  <w:footnote w:id="210">
    <w:p w14:paraId="47C3EAEB" w14:textId="0965B2F1" w:rsidR="002A6A78" w:rsidRDefault="002A6A78" w:rsidP="002A6A78">
      <w:pPr>
        <w:pStyle w:val="FootnoteText"/>
      </w:pPr>
      <w:r>
        <w:rPr>
          <w:rStyle w:val="FootnoteReference"/>
        </w:rPr>
        <w:footnoteRef/>
      </w:r>
      <w:r>
        <w:t xml:space="preserve"> </w:t>
      </w:r>
      <w:r w:rsidRPr="008A2492">
        <w:t xml:space="preserve">Kwan </w:t>
      </w:r>
      <w:r>
        <w:t>et al.</w:t>
      </w:r>
      <w:r w:rsidRPr="008A2492">
        <w:t xml:space="preserve"> 2018, ‘Development and validation of MyLifeTracker: a routine outcome measure for youth mental health’</w:t>
      </w:r>
      <w:r w:rsidR="00111DCD">
        <w:t>.</w:t>
      </w:r>
    </w:p>
  </w:footnote>
  <w:footnote w:id="211">
    <w:p w14:paraId="4218226C" w14:textId="77777777" w:rsidR="002A6A78" w:rsidRPr="00AE44DF" w:rsidRDefault="002A6A78" w:rsidP="002A6A78">
      <w:pPr>
        <w:pStyle w:val="FootnoteText"/>
      </w:pPr>
      <w:r>
        <w:rPr>
          <w:rStyle w:val="FootnoteReference"/>
        </w:rPr>
        <w:footnoteRef/>
      </w:r>
      <w:r>
        <w:t xml:space="preserve"> </w:t>
      </w:r>
      <w:r w:rsidRPr="00E707E9">
        <w:t>Linden, A 2013, ‘Assessing regression to the mean effects in health care initiatives’, BMC Medical Research Methodology, vol. 13, no. 1.</w:t>
      </w:r>
    </w:p>
  </w:footnote>
  <w:footnote w:id="212">
    <w:p w14:paraId="32ED5609" w14:textId="1D8E8BD0" w:rsidR="002A6A78" w:rsidRDefault="002A6A78" w:rsidP="002A6A78">
      <w:pPr>
        <w:pStyle w:val="FootnoteText"/>
      </w:pPr>
      <w:r>
        <w:rPr>
          <w:rStyle w:val="FootnoteReference"/>
        </w:rPr>
        <w:footnoteRef/>
      </w:r>
      <w:r>
        <w:t xml:space="preserve"> </w:t>
      </w:r>
      <w:r w:rsidRPr="00AE44DF">
        <w:t>Barnett, AG, van der Pols, JC &amp; Dobson, AJ 2004, ‘Regression to the mean: what it is and how to deal with it’, International Journal of Epidemiology, vol. 34, no. 1, pp. 215–220</w:t>
      </w:r>
      <w:r>
        <w:t xml:space="preserve">; </w:t>
      </w:r>
      <w:r w:rsidRPr="00AE44DF">
        <w:t xml:space="preserve">Commonwealth of Australia, as represented by the Department of Health 2021, </w:t>
      </w:r>
      <w:r w:rsidRPr="004568F0">
        <w:rPr>
          <w:i/>
        </w:rPr>
        <w:t xml:space="preserve">Portfolio Budget Statements 2021–22 Budget Related Paper No. </w:t>
      </w:r>
      <w:r w:rsidRPr="004568F0">
        <w:rPr>
          <w:i/>
          <w:iCs/>
        </w:rPr>
        <w:t>1.7</w:t>
      </w:r>
      <w:r w:rsidR="00111DCD">
        <w:rPr>
          <w:i/>
          <w:iCs/>
        </w:rPr>
        <w:t>.</w:t>
      </w:r>
    </w:p>
  </w:footnote>
  <w:footnote w:id="213">
    <w:p w14:paraId="560A7813" w14:textId="77777777" w:rsidR="002A6A78" w:rsidRDefault="002A6A78" w:rsidP="002A6A78">
      <w:pPr>
        <w:pStyle w:val="FootnoteText"/>
      </w:pPr>
      <w:r>
        <w:rPr>
          <w:rStyle w:val="FootnoteReference"/>
        </w:rPr>
        <w:footnoteRef/>
      </w:r>
      <w:r>
        <w:t xml:space="preserve"> </w:t>
      </w:r>
      <w:r w:rsidRPr="00943CEE">
        <w:t>Ariel Linden, 2013. "RTMCI: Stata module to estimate regression to the mean effects with confidence intervals," Statistical Software Components S457757, Boston College Department of Economics.</w:t>
      </w:r>
    </w:p>
  </w:footnote>
  <w:footnote w:id="214">
    <w:p w14:paraId="6AAD64D0" w14:textId="0B586B0D" w:rsidR="002A6A78" w:rsidRDefault="002A6A78" w:rsidP="0048214F">
      <w:pPr>
        <w:pStyle w:val="Footnote"/>
      </w:pPr>
      <w:r>
        <w:rPr>
          <w:rStyle w:val="FootnoteReference"/>
        </w:rPr>
        <w:footnoteRef/>
      </w:r>
      <w:r>
        <w:t xml:space="preserve"> </w:t>
      </w:r>
      <w:r w:rsidR="000A164C" w:rsidRPr="000A164C">
        <w:t>Cuijpers, Pim, et al. “Adding Psychotherapy to Antidepressant Medication in Depression and Anxiety Disorders: A Meta-Analysis.” World Psychiatry, vol. 13, no. 1, Feb. 2014, pp. 56–67, www.ncbi.nlm.nih.gov/pmc/articles/PMC3918025/, 10.1002/wps.20089</w:t>
      </w:r>
      <w:r w:rsidR="00196E8E" w:rsidRPr="00196E8E">
        <w:t>;</w:t>
      </w:r>
      <w:r w:rsidR="002E0C04" w:rsidRPr="002E0C04">
        <w:t xml:space="preserve"> Malhi, Gin S, et al. “Royal Australian and New Zealand College of Psychiatrists Clinical Practice Guidelines for Mood Disorders.” Australian &amp; New Zealand Journal of Psychiatry, vol. 49, no. 12, Dec. 2015, pp. 1087–1206, 10.1177/0004867415617657.</w:t>
      </w:r>
    </w:p>
  </w:footnote>
  <w:footnote w:id="215">
    <w:p w14:paraId="4F4AC886" w14:textId="77777777" w:rsidR="00DC4DA1" w:rsidRDefault="00DC4DA1" w:rsidP="00DC4DA1">
      <w:pPr>
        <w:pStyle w:val="Footnote"/>
      </w:pPr>
      <w:r>
        <w:rPr>
          <w:rStyle w:val="FootnoteReference"/>
        </w:rPr>
        <w:footnoteRef/>
      </w:r>
      <w:r>
        <w:t xml:space="preserve"> </w:t>
      </w:r>
      <w:r w:rsidRPr="001E1DA2">
        <w:t>Murad MH, Wang Z, Chu H, Lin L. When continuous outcomes are measured using different scales: guide for meta-analysis and interpretation. bmj. 2019 Jan 22;364.</w:t>
      </w:r>
    </w:p>
  </w:footnote>
  <w:footnote w:id="216">
    <w:p w14:paraId="18257FF0" w14:textId="205B04BB" w:rsidR="00D90B28" w:rsidRDefault="00D90B28" w:rsidP="00D90B28">
      <w:pPr>
        <w:pStyle w:val="Footnote"/>
      </w:pPr>
      <w:r>
        <w:rPr>
          <w:rStyle w:val="FootnoteReference"/>
        </w:rPr>
        <w:footnoteRef/>
      </w:r>
      <w:r>
        <w:t xml:space="preserve"> </w:t>
      </w:r>
      <w:r w:rsidRPr="00D132F0">
        <w:t xml:space="preserve">NovoPsych Psychometrics. The Kessler Psychological Distress Scale (K10) [Internet]. NovoPsych. [cited 2021 Mar 5]. Available from: </w:t>
      </w:r>
      <w:hyperlink r:id="rId62" w:history="1">
        <w:r w:rsidRPr="0050759B">
          <w:rPr>
            <w:rStyle w:val="Hyperlink"/>
          </w:rPr>
          <w:t>https://novopsych.com.au/assessments/the-kessler-psychological-distress-scale-k10/</w:t>
        </w:r>
      </w:hyperlink>
    </w:p>
  </w:footnote>
  <w:footnote w:id="217">
    <w:p w14:paraId="19017FB1" w14:textId="77777777" w:rsidR="002A6A78" w:rsidRDefault="002A6A78" w:rsidP="002A6A78">
      <w:pPr>
        <w:pStyle w:val="FootnoteText"/>
      </w:pPr>
      <w:r>
        <w:rPr>
          <w:rStyle w:val="FootnoteReference"/>
        </w:rPr>
        <w:footnoteRef/>
      </w:r>
      <w:r>
        <w:t xml:space="preserve"> </w:t>
      </w:r>
      <w:r w:rsidRPr="000B6C73">
        <w:t xml:space="preserve">Jacobson, NS &amp; Truax, P 1992, ‘Clinical significance : A statistical approach to defining meaningful change in psychotherapy research.’, </w:t>
      </w:r>
      <w:r w:rsidRPr="008A2492">
        <w:rPr>
          <w:i/>
        </w:rPr>
        <w:t>Methodological issues &amp; strategies in clinical research</w:t>
      </w:r>
      <w:r w:rsidRPr="000B6C73">
        <w:t xml:space="preserve">., pp. </w:t>
      </w:r>
      <w:r w:rsidRPr="008A2492">
        <w:t>631–648.</w:t>
      </w:r>
    </w:p>
  </w:footnote>
  <w:footnote w:id="218">
    <w:p w14:paraId="698C7401" w14:textId="0DEDA9B2" w:rsidR="002A6A78" w:rsidRDefault="002A6A78" w:rsidP="002A6A78">
      <w:pPr>
        <w:pStyle w:val="FootnoteText"/>
      </w:pPr>
      <w:r>
        <w:rPr>
          <w:rStyle w:val="FootnoteReference"/>
        </w:rPr>
        <w:footnoteRef/>
      </w:r>
      <w:r>
        <w:t xml:space="preserve"> </w:t>
      </w:r>
      <w:r w:rsidRPr="002418F6">
        <w:t xml:space="preserve">Rickwood </w:t>
      </w:r>
      <w:r>
        <w:t>et al.</w:t>
      </w:r>
      <w:r w:rsidRPr="002418F6">
        <w:t xml:space="preserve"> 2015, ‘Changes in psychological distress and </w:t>
      </w:r>
      <w:r w:rsidR="004C50C0">
        <w:t>psychosocial</w:t>
      </w:r>
      <w:r w:rsidRPr="002418F6">
        <w:t xml:space="preserve"> functioning in young people visiting headspace centres for mental health problems’</w:t>
      </w:r>
      <w:r w:rsidR="00D45345">
        <w:t>.</w:t>
      </w:r>
    </w:p>
  </w:footnote>
  <w:footnote w:id="219">
    <w:p w14:paraId="4C4B27E0" w14:textId="380D7278" w:rsidR="002A6A78" w:rsidRDefault="002A6A78" w:rsidP="002A6A78">
      <w:pPr>
        <w:pStyle w:val="FootnoteText"/>
      </w:pPr>
      <w:r>
        <w:rPr>
          <w:rStyle w:val="FootnoteReference"/>
        </w:rPr>
        <w:footnoteRef/>
      </w:r>
      <w:r>
        <w:t xml:space="preserve"> </w:t>
      </w:r>
      <w:r w:rsidRPr="00A7559D">
        <w:t>Kwan,</w:t>
      </w:r>
      <w:r>
        <w:t xml:space="preserve"> et al </w:t>
      </w:r>
      <w:r w:rsidRPr="00A7559D">
        <w:t>2018, ‘Development and validation of MyLifeTracker: a routine outcome measure for youth mental health’</w:t>
      </w:r>
      <w:r w:rsidR="00D45345">
        <w:t>.</w:t>
      </w:r>
    </w:p>
  </w:footnote>
  <w:footnote w:id="220">
    <w:p w14:paraId="7A458A39" w14:textId="77777777" w:rsidR="002A6A78" w:rsidRDefault="002A6A78" w:rsidP="002A6A78">
      <w:pPr>
        <w:pStyle w:val="FootnoteText"/>
      </w:pPr>
      <w:r>
        <w:rPr>
          <w:rStyle w:val="FootnoteReference"/>
        </w:rPr>
        <w:footnoteRef/>
      </w:r>
      <w:r>
        <w:t xml:space="preserve"> Kwan, B &amp; Rickwood, DJ 2020, ‘A routine outcome measure for youth mental health: Clinically interpreting MyLifeTracker’, Early Intervention in Psychiatry, vol. 15, no. 4, pp. 807–817.</w:t>
      </w:r>
    </w:p>
  </w:footnote>
  <w:footnote w:id="221">
    <w:p w14:paraId="58D4A258" w14:textId="77777777" w:rsidR="002A6A78" w:rsidRDefault="002A6A78" w:rsidP="002A6A78">
      <w:pPr>
        <w:pStyle w:val="FootnoteText"/>
      </w:pPr>
      <w:r>
        <w:rPr>
          <w:rStyle w:val="FootnoteReference"/>
        </w:rPr>
        <w:footnoteRef/>
      </w:r>
      <w:r>
        <w:t xml:space="preserve"> </w:t>
      </w:r>
      <w:r w:rsidRPr="0057109C">
        <w:t>Evans, C., et al. “The Contribution of Reliable and Clinically Significant Change Methods to Evidence-Based Mental Health.” Evidence-Based Mental Health, vol. 1, no. 3, 1 Aug. 1998, pp. 70–72, 10.1136/ebmh.1.3.70. Accessed 14 Nov. 2019.</w:t>
      </w:r>
    </w:p>
  </w:footnote>
  <w:footnote w:id="222">
    <w:p w14:paraId="7064EAB3" w14:textId="7193C882" w:rsidR="002A6A78" w:rsidRDefault="002A6A78" w:rsidP="002A6A78">
      <w:pPr>
        <w:pStyle w:val="FootnoteText"/>
      </w:pPr>
      <w:r>
        <w:rPr>
          <w:rStyle w:val="FootnoteReference"/>
        </w:rPr>
        <w:footnoteRef/>
      </w:r>
      <w:r>
        <w:t xml:space="preserve"> </w:t>
      </w:r>
      <w:r w:rsidRPr="002418F6">
        <w:t>Rickwood</w:t>
      </w:r>
      <w:r>
        <w:t xml:space="preserve"> et al. </w:t>
      </w:r>
      <w:r w:rsidRPr="002418F6">
        <w:t xml:space="preserve">2015, ‘Changes in psychological distress and </w:t>
      </w:r>
      <w:r w:rsidR="004C50C0">
        <w:t>psychosocial</w:t>
      </w:r>
      <w:r w:rsidRPr="002418F6">
        <w:t xml:space="preserve"> functioning in young people visiting headspace centres for mental health problems’</w:t>
      </w:r>
      <w:r>
        <w:t>;</w:t>
      </w:r>
      <w:r w:rsidRPr="0057109C">
        <w:t xml:space="preserve"> </w:t>
      </w:r>
      <w:r>
        <w:t>Kwan et al. 2020, ‘A routine outcome measure for youth mental health: Clinically interpreting MyLifeTracker’</w:t>
      </w:r>
      <w:r w:rsidRPr="002418F6">
        <w:t>.</w:t>
      </w:r>
    </w:p>
  </w:footnote>
  <w:footnote w:id="223">
    <w:p w14:paraId="6A8CC1F9" w14:textId="4D8021EE" w:rsidR="002A6A78" w:rsidRDefault="002A6A78" w:rsidP="002A6A78">
      <w:pPr>
        <w:pStyle w:val="FootnoteText"/>
      </w:pPr>
      <w:r>
        <w:rPr>
          <w:rStyle w:val="FootnoteReference"/>
        </w:rPr>
        <w:footnoteRef/>
      </w:r>
      <w:r>
        <w:t xml:space="preserve"> </w:t>
      </w:r>
      <w:r w:rsidRPr="002418F6">
        <w:t>Rickwood</w:t>
      </w:r>
      <w:r>
        <w:t xml:space="preserve"> et al. </w:t>
      </w:r>
      <w:r w:rsidRPr="002418F6">
        <w:t xml:space="preserve">2015, ‘Changes in psychological distress and </w:t>
      </w:r>
      <w:r w:rsidR="004C50C0">
        <w:t>psychosocial</w:t>
      </w:r>
      <w:r w:rsidRPr="002418F6">
        <w:t xml:space="preserve"> functioning in young people visiting headspace centres for mental health problems’.</w:t>
      </w:r>
    </w:p>
  </w:footnote>
  <w:footnote w:id="224">
    <w:p w14:paraId="34FA4B7E" w14:textId="76ED3FCE" w:rsidR="002A6A78" w:rsidRDefault="002A6A78" w:rsidP="002A6A78">
      <w:pPr>
        <w:pStyle w:val="FootnoteText"/>
      </w:pPr>
      <w:r>
        <w:rPr>
          <w:rStyle w:val="FootnoteReference"/>
        </w:rPr>
        <w:footnoteRef/>
      </w:r>
      <w:r>
        <w:t xml:space="preserve"> Kwan et al. 2020, ‘A routine outcome measure for youth mental health: Clinically interpreting MyLifeTracker’</w:t>
      </w:r>
      <w:r w:rsidR="00D45345">
        <w:t>.</w:t>
      </w:r>
    </w:p>
  </w:footnote>
  <w:footnote w:id="225">
    <w:p w14:paraId="012EF90B" w14:textId="47A2874B" w:rsidR="002A6A78" w:rsidRDefault="002A6A78" w:rsidP="002A6A78">
      <w:pPr>
        <w:pStyle w:val="FootnoteText"/>
      </w:pPr>
      <w:r>
        <w:rPr>
          <w:rStyle w:val="FootnoteReference"/>
        </w:rPr>
        <w:footnoteRef/>
      </w:r>
      <w:r>
        <w:t xml:space="preserve"> </w:t>
      </w:r>
      <w:r w:rsidRPr="002418F6">
        <w:t>Rickwood</w:t>
      </w:r>
      <w:r>
        <w:t xml:space="preserve"> et al. </w:t>
      </w:r>
      <w:r w:rsidRPr="002418F6">
        <w:t xml:space="preserve">2015, ‘Changes in psychological distress and </w:t>
      </w:r>
      <w:r w:rsidR="004C50C0">
        <w:t>psychosocial</w:t>
      </w:r>
      <w:r w:rsidRPr="002418F6">
        <w:t xml:space="preserve"> functioning in young people visiting headspace centres for mental health problems’.</w:t>
      </w:r>
    </w:p>
  </w:footnote>
  <w:footnote w:id="226">
    <w:p w14:paraId="0214CD6D" w14:textId="6767489E" w:rsidR="002A6A78" w:rsidRDefault="002A6A78" w:rsidP="002A6A78">
      <w:pPr>
        <w:pStyle w:val="FootnoteText"/>
      </w:pPr>
      <w:r>
        <w:rPr>
          <w:rStyle w:val="FootnoteReference"/>
        </w:rPr>
        <w:footnoteRef/>
      </w:r>
      <w:r>
        <w:t xml:space="preserve"> These levels of mental distress are further defined and discussed in </w:t>
      </w:r>
      <w:r w:rsidR="00F33476">
        <w:fldChar w:fldCharType="begin" w:fldLock="1"/>
      </w:r>
      <w:r w:rsidR="00F33476">
        <w:instrText xml:space="preserve"> REF _Ref81316927 \h </w:instrText>
      </w:r>
      <w:r w:rsidR="00F33476">
        <w:fldChar w:fldCharType="separate"/>
      </w:r>
      <w:r w:rsidR="00F33476">
        <w:t xml:space="preserve">Table </w:t>
      </w:r>
      <w:r w:rsidR="00F33476">
        <w:rPr>
          <w:noProof/>
        </w:rPr>
        <w:t>81</w:t>
      </w:r>
      <w:r w:rsidR="00F33476">
        <w:fldChar w:fldCharType="end"/>
      </w:r>
      <w:r w:rsidR="00F33476">
        <w:t xml:space="preserve"> </w:t>
      </w:r>
      <w:r>
        <w:t xml:space="preserve">of </w:t>
      </w:r>
      <w:r>
        <w:fldChar w:fldCharType="begin" w:fldLock="1"/>
      </w:r>
      <w:r>
        <w:instrText xml:space="preserve"> REF _Ref93613007 \r \h </w:instrText>
      </w:r>
      <w:r>
        <w:fldChar w:fldCharType="separate"/>
      </w:r>
      <w:r w:rsidR="00AE4D34">
        <w:t>Appendix G</w:t>
      </w:r>
      <w:r>
        <w:fldChar w:fldCharType="end"/>
      </w:r>
      <w:r>
        <w:t>.</w:t>
      </w:r>
    </w:p>
  </w:footnote>
  <w:footnote w:id="227">
    <w:p w14:paraId="73198B70" w14:textId="0AA7FE77" w:rsidR="002A6A78" w:rsidRDefault="002A6A78" w:rsidP="002A6A78">
      <w:pPr>
        <w:pStyle w:val="FootnoteText"/>
      </w:pPr>
      <w:r>
        <w:rPr>
          <w:rStyle w:val="FootnoteReference"/>
        </w:rPr>
        <w:footnoteRef/>
      </w:r>
      <w:r>
        <w:t xml:space="preserve"> </w:t>
      </w:r>
      <w:r w:rsidRPr="005F470F">
        <w:t xml:space="preserve">Deutsch, Joseph, et al. “Using the Shapley Decomposition to Disentangle the Impact of Circumstances and Efforts on Health Inequality.” Social Indicators Research, vol. 138, no. 2, 11 July 2017, pp. 523–543, 10.1007/s11205-017-1690-5. Accessed 24 </w:t>
      </w:r>
      <w:r w:rsidR="00525ED1" w:rsidRPr="005F470F">
        <w:t>Nov</w:t>
      </w:r>
      <w:r w:rsidR="00525ED1">
        <w:t>ember</w:t>
      </w:r>
      <w:r w:rsidRPr="005F470F">
        <w:t xml:space="preserve"> 2021.</w:t>
      </w:r>
    </w:p>
  </w:footnote>
  <w:footnote w:id="228">
    <w:p w14:paraId="344DD450" w14:textId="18618ABC" w:rsidR="00C43BF4" w:rsidRDefault="00C43BF4" w:rsidP="00C43BF4">
      <w:pPr>
        <w:pStyle w:val="FootnoteText"/>
      </w:pPr>
      <w:r>
        <w:rPr>
          <w:rStyle w:val="FootnoteReference"/>
        </w:rPr>
        <w:footnoteRef/>
      </w:r>
      <w:r>
        <w:t xml:space="preserve"> Although analysis was undertaken on 118 </w:t>
      </w:r>
      <w:r w:rsidR="001015E8">
        <w:t>servic</w:t>
      </w:r>
      <w:r>
        <w:t xml:space="preserve">es during open to 30 June 2020, only 117 </w:t>
      </w:r>
      <w:r w:rsidR="001015E8">
        <w:t>servic</w:t>
      </w:r>
      <w:r>
        <w:t>es had sufficient data to allow for estimation of the multivariate regression.</w:t>
      </w:r>
    </w:p>
  </w:footnote>
  <w:footnote w:id="229">
    <w:p w14:paraId="12A49139" w14:textId="145E919F" w:rsidR="00862914" w:rsidRDefault="00862914" w:rsidP="00862914">
      <w:pPr>
        <w:pStyle w:val="FootnoteText"/>
      </w:pPr>
      <w:r>
        <w:rPr>
          <w:rStyle w:val="FootnoteReference"/>
        </w:rPr>
        <w:footnoteRef/>
      </w:r>
      <w:r>
        <w:t xml:space="preserve"> The sample average K10 improvement was 1.43. However, the effectiveness analysis regression dropped episodes with missing data regarding the explanatory factors (e.g</w:t>
      </w:r>
      <w:r w:rsidR="007E76A0">
        <w:t>.,</w:t>
      </w:r>
      <w:r>
        <w:t xml:space="preserve"> the young person’s demographic characteristics). As a result, the estimated average improvement became 1.47 after dropping these episodes.</w:t>
      </w:r>
    </w:p>
  </w:footnote>
  <w:footnote w:id="230">
    <w:p w14:paraId="54FF3D2C" w14:textId="77777777" w:rsidR="002A6A78" w:rsidRDefault="002A6A78" w:rsidP="002A6A78">
      <w:pPr>
        <w:pStyle w:val="FootnoteText"/>
      </w:pPr>
      <w:r>
        <w:rPr>
          <w:rStyle w:val="FootnoteReference"/>
        </w:rPr>
        <w:footnoteRef/>
      </w:r>
      <w:r>
        <w:t xml:space="preserve"> Outcome measures such as the SOFAS and MLT were not collected due to system issues.</w:t>
      </w:r>
    </w:p>
  </w:footnote>
  <w:footnote w:id="231">
    <w:p w14:paraId="5EDA9DF8" w14:textId="02E8E9A1" w:rsidR="002A6A78" w:rsidRDefault="002A6A78" w:rsidP="002A6A78">
      <w:pPr>
        <w:pStyle w:val="FootnoteText"/>
      </w:pPr>
      <w:r>
        <w:rPr>
          <w:rStyle w:val="FootnoteReference"/>
        </w:rPr>
        <w:footnoteRef/>
      </w:r>
      <w:r>
        <w:t xml:space="preserve"> </w:t>
      </w:r>
      <w:r w:rsidR="001033AC">
        <w:t>A</w:t>
      </w:r>
      <w:r>
        <w:t xml:space="preserve"> logit model</w:t>
      </w:r>
      <w:r w:rsidR="001033AC">
        <w:t xml:space="preserve"> has been estimated</w:t>
      </w:r>
      <w:r>
        <w:t xml:space="preserve"> to investigate factors influencing the probability of completing a follow</w:t>
      </w:r>
      <w:r w:rsidR="00621ACD">
        <w:t xml:space="preserve"> </w:t>
      </w:r>
      <w:r>
        <w:t xml:space="preserve">up survey. These factors include age, genders, ATIS status, education levels, location and K10 outcome measure reported at the start and at the completion of an episode. The regression result is presented in </w:t>
      </w:r>
      <w:r>
        <w:fldChar w:fldCharType="begin" w:fldLock="1"/>
      </w:r>
      <w:r>
        <w:instrText xml:space="preserve"> REF _Ref93922339 \w \h </w:instrText>
      </w:r>
      <w:r>
        <w:fldChar w:fldCharType="separate"/>
      </w:r>
      <w:r w:rsidR="00AE4D34">
        <w:t>Appendix H</w:t>
      </w:r>
      <w:r>
        <w:fldChar w:fldCharType="end"/>
      </w:r>
      <w:r>
        <w:t>.</w:t>
      </w:r>
    </w:p>
    <w:p w14:paraId="03EB1CE6" w14:textId="77777777" w:rsidR="002A6A78" w:rsidRDefault="002A6A78" w:rsidP="002A6A78">
      <w:pPr>
        <w:pStyle w:val="FootnoteText"/>
      </w:pPr>
    </w:p>
  </w:footnote>
  <w:footnote w:id="232">
    <w:p w14:paraId="6DC042F2" w14:textId="77777777" w:rsidR="002A6A78" w:rsidRDefault="002A6A78" w:rsidP="002A6A78">
      <w:pPr>
        <w:pStyle w:val="FootnoteText"/>
      </w:pPr>
      <w:r>
        <w:rPr>
          <w:rStyle w:val="FootnoteReference"/>
        </w:rPr>
        <w:footnoteRef/>
      </w:r>
      <w:r>
        <w:t xml:space="preserve"> </w:t>
      </w:r>
      <w:r w:rsidRPr="00FA60D4">
        <w:t>Wing, Coady, et al. “Designing Difference in Difference Studies: Best Practices for Public Health Policy Research.” Annual Review of Public Health, vol. 39, no. 1, Apr. 2018, pp. 453–469, 10.1146/annurev-publhealth-040617-013507</w:t>
      </w:r>
      <w:r>
        <w:t xml:space="preserve">; </w:t>
      </w:r>
      <w:r w:rsidRPr="009F6C9B">
        <w:t>Jorm, AF &amp; Kitchener, BA 2020, ‘Increases in youth mental health services in Australia: Have they had an impact on youth population mental health?’, Australian &amp; New Zealand Journal of Psychiatry, vol. 55, no. 5, p. 000486742097686</w:t>
      </w:r>
      <w:r>
        <w:t>; Hilferty, F., Cassells, R., Muir, K., Duncan, A., Christensen, D.,Mitrou, F., Gao, G., Mavisakalyan, A., Hafekost, K., Tarverdi, Y., Nguyen, H., Wingrove, C. and Katz, I. (2015). Is headspace making a difference to young people’s lives? Final Report of the independent evaluation of the headspace program. (SPRC Report 08/2015). Sydney: Social Policy Research Centre, UNSW Australia.</w:t>
      </w:r>
    </w:p>
  </w:footnote>
  <w:footnote w:id="233">
    <w:p w14:paraId="0A4CCF2C" w14:textId="77777777" w:rsidR="00A67F39" w:rsidRDefault="00A67F39" w:rsidP="00A67F39">
      <w:pPr>
        <w:pStyle w:val="FootnoteText"/>
      </w:pPr>
      <w:r>
        <w:rPr>
          <w:rStyle w:val="FootnoteReference"/>
        </w:rPr>
        <w:footnoteRef/>
      </w:r>
      <w:r>
        <w:t xml:space="preserve"> de Chaisemartin, C &amp; D’HaultfŒuille, X 2017, ‘Fuzzy Differences-in-Differences’, The Review of Economic Studies, vol. 85, no. 2, pp. 999–1028.</w:t>
      </w:r>
    </w:p>
  </w:footnote>
  <w:footnote w:id="234">
    <w:p w14:paraId="3FB4808F" w14:textId="756224E8" w:rsidR="00A67F39" w:rsidRDefault="00A67F39" w:rsidP="00A67F39">
      <w:pPr>
        <w:pStyle w:val="FootnoteText"/>
      </w:pPr>
      <w:r>
        <w:rPr>
          <w:rStyle w:val="FootnoteReference"/>
        </w:rPr>
        <w:footnoteRef/>
      </w:r>
      <w:r>
        <w:t xml:space="preserve"> The criteria used to describe mental-health related hospitalisations include records that have a principal diagnosis of mental and behavioural disorders, codes F00 to F99, in the International Statistical Classification of Diseases and Related Health Problems, 10th revision, Australian Modification (ICD-10-AM); Australian Institute of Health and Welfare (2021) Mental health services in Australia, AIHW, Australian Government, accessed 22 November 2021</w:t>
      </w:r>
      <w:r w:rsidR="00932A32">
        <w:t>.</w:t>
      </w:r>
    </w:p>
  </w:footnote>
  <w:footnote w:id="235">
    <w:p w14:paraId="0AB4C2EC" w14:textId="13EC5CC9" w:rsidR="00A67F39" w:rsidRDefault="00A67F39" w:rsidP="00A67F39">
      <w:pPr>
        <w:pStyle w:val="FootnoteText"/>
      </w:pPr>
      <w:r>
        <w:rPr>
          <w:rStyle w:val="FootnoteReference"/>
        </w:rPr>
        <w:footnoteRef/>
      </w:r>
      <w:r>
        <w:t xml:space="preserve"> </w:t>
      </w:r>
      <w:r w:rsidR="001636C8">
        <w:t>International Classification of Diseases, 10</w:t>
      </w:r>
      <w:r w:rsidR="001636C8" w:rsidRPr="001636C8">
        <w:rPr>
          <w:vertAlign w:val="superscript"/>
        </w:rPr>
        <w:t>th</w:t>
      </w:r>
      <w:r w:rsidR="001636C8">
        <w:t xml:space="preserve"> Revision, accessed at &lt;</w:t>
      </w:r>
      <w:r>
        <w:t>https://www.ncbi.nlm.nih.gov/pmc/articles/PMC3004444/table/t6-cjg24717/</w:t>
      </w:r>
      <w:r w:rsidR="001636C8">
        <w:t>&gt;</w:t>
      </w:r>
    </w:p>
  </w:footnote>
  <w:footnote w:id="236">
    <w:p w14:paraId="53A68A76" w14:textId="4C0CD249" w:rsidR="00A67F39" w:rsidRDefault="00A67F39" w:rsidP="00A67F39">
      <w:pPr>
        <w:pStyle w:val="FootnoteText"/>
      </w:pPr>
      <w:r>
        <w:rPr>
          <w:rStyle w:val="FootnoteReference"/>
        </w:rPr>
        <w:footnoteRef/>
      </w:r>
      <w:r>
        <w:t xml:space="preserve"> The criteria used to describe self-harm related hospitalisations include records that have a principal diagnosis of injury, poisoning and certain other consequences of external consequences, codes S00 to T75 and code T79, in the ICD-10-AM. In addition, the first external cause code must be in the ICD-10-AM range of X60 to X84 and Y87, i.e</w:t>
      </w:r>
      <w:r w:rsidR="007E76A0">
        <w:t>.,</w:t>
      </w:r>
      <w:r>
        <w:t xml:space="preserve"> the cause of harm is self</w:t>
      </w:r>
      <w:r w:rsidR="00525ED1">
        <w:noBreakHyphen/>
      </w:r>
      <w:r>
        <w:t>inflicted.</w:t>
      </w:r>
    </w:p>
  </w:footnote>
  <w:footnote w:id="237">
    <w:p w14:paraId="371AA995" w14:textId="1C8D74AF" w:rsidR="00A67F39" w:rsidRDefault="00A67F39" w:rsidP="00A67F39">
      <w:pPr>
        <w:pStyle w:val="FootnoteText"/>
      </w:pPr>
      <w:r>
        <w:rPr>
          <w:rStyle w:val="FootnoteReference"/>
        </w:rPr>
        <w:footnoteRef/>
      </w:r>
      <w:r>
        <w:t xml:space="preserve"> The criteria used to describe substance abuse related hospitalisations include records that have a principal diagnosis of mental and behavioural disorders, poisoning and disease-specific comorbi</w:t>
      </w:r>
      <w:r w:rsidR="000C6D2C">
        <w:t>di</w:t>
      </w:r>
      <w:r>
        <w:t>ties (e.g</w:t>
      </w:r>
      <w:r w:rsidR="007E76A0">
        <w:t>.,</w:t>
      </w:r>
      <w:r>
        <w:t xml:space="preserve"> alcoholic liver disease) caused by opio</w:t>
      </w:r>
      <w:r w:rsidR="002D72F8">
        <w:t>i</w:t>
      </w:r>
      <w:r>
        <w:t>ds, non-opioid analgesics, methamphetamines, cannabinoids, benzodiazepines, antidepressants, antipsychotics, sedatives, hypnotics, and alcohol.</w:t>
      </w:r>
    </w:p>
  </w:footnote>
  <w:footnote w:id="238">
    <w:p w14:paraId="14E8955E" w14:textId="1A9D7066" w:rsidR="00A67F39" w:rsidRDefault="00A67F39" w:rsidP="00A67F39">
      <w:pPr>
        <w:pStyle w:val="FootnoteText"/>
      </w:pPr>
      <w:r>
        <w:rPr>
          <w:rStyle w:val="FootnoteReference"/>
        </w:rPr>
        <w:footnoteRef/>
      </w:r>
      <w:r>
        <w:t xml:space="preserve"> Causes of death are coded by the ABS according to the International Statistical Classification of Diseases and Related Hea</w:t>
      </w:r>
      <w:r w:rsidR="00511BFA">
        <w:t>l</w:t>
      </w:r>
      <w:r>
        <w:t>th Problems (ICD). Suicides counted according to the date of death occurrence.</w:t>
      </w:r>
    </w:p>
  </w:footnote>
  <w:footnote w:id="239">
    <w:p w14:paraId="39B701A1" w14:textId="4226843C" w:rsidR="00A67F39" w:rsidRDefault="00A67F39" w:rsidP="00A67F39">
      <w:pPr>
        <w:pStyle w:val="FootnoteText"/>
      </w:pPr>
      <w:r>
        <w:rPr>
          <w:rStyle w:val="FootnoteReference"/>
        </w:rPr>
        <w:footnoteRef/>
      </w:r>
      <w:r>
        <w:t xml:space="preserve"> </w:t>
      </w:r>
      <w:r w:rsidRPr="00212504">
        <w:t xml:space="preserve">The number of </w:t>
      </w:r>
      <w:r w:rsidR="00511BFA">
        <w:t>M</w:t>
      </w:r>
      <w:r w:rsidRPr="00212504">
        <w:t>edicare-subsid</w:t>
      </w:r>
      <w:r w:rsidR="00B24A04">
        <w:t>i</w:t>
      </w:r>
      <w:r w:rsidRPr="00212504">
        <w:t>sed mental health specific services is the sum of the number of psychiatrist, genera</w:t>
      </w:r>
      <w:r w:rsidR="00A17B97">
        <w:t>l</w:t>
      </w:r>
      <w:r w:rsidRPr="00212504">
        <w:t xml:space="preserve"> practitioner, other psychologist, clinical psychologist, other allied health services.</w:t>
      </w:r>
    </w:p>
  </w:footnote>
  <w:footnote w:id="240">
    <w:p w14:paraId="1344C09C" w14:textId="40B32633" w:rsidR="00037BCF" w:rsidRDefault="00037BCF">
      <w:pPr>
        <w:pStyle w:val="FootnoteText"/>
      </w:pPr>
      <w:r>
        <w:rPr>
          <w:rStyle w:val="FootnoteReference"/>
        </w:rPr>
        <w:footnoteRef/>
      </w:r>
      <w:r>
        <w:t xml:space="preserve"> </w:t>
      </w:r>
      <w:r w:rsidR="006D5E80">
        <w:t xml:space="preserve">See </w:t>
      </w:r>
      <w:r w:rsidR="006D5E80">
        <w:fldChar w:fldCharType="begin" w:fldLock="1"/>
      </w:r>
      <w:r w:rsidR="006D5E80">
        <w:instrText xml:space="preserve"> REF _Ref80610386 \h </w:instrText>
      </w:r>
      <w:r w:rsidR="006D5E80">
        <w:fldChar w:fldCharType="separate"/>
      </w:r>
      <w:r w:rsidR="000C245D" w:rsidRPr="001D6913">
        <w:t xml:space="preserve">Table </w:t>
      </w:r>
      <w:r w:rsidR="000C245D">
        <w:rPr>
          <w:noProof/>
        </w:rPr>
        <w:t>17</w:t>
      </w:r>
      <w:r w:rsidR="006D5E80">
        <w:fldChar w:fldCharType="end"/>
      </w:r>
      <w:r w:rsidR="00932A32">
        <w:t>.</w:t>
      </w:r>
    </w:p>
  </w:footnote>
  <w:footnote w:id="241">
    <w:p w14:paraId="728D4F59" w14:textId="19ADDBB5" w:rsidR="00872100" w:rsidRDefault="00872100">
      <w:pPr>
        <w:pStyle w:val="FootnoteText"/>
      </w:pPr>
      <w:r>
        <w:rPr>
          <w:rStyle w:val="FootnoteReference"/>
        </w:rPr>
        <w:footnoteRef/>
      </w:r>
      <w:r>
        <w:t xml:space="preserve"> </w:t>
      </w:r>
      <w:r w:rsidRPr="001D002C">
        <w:t>See</w:t>
      </w:r>
      <w:r>
        <w:t xml:space="preserve"> </w:t>
      </w:r>
      <w:r w:rsidR="001D002C">
        <w:fldChar w:fldCharType="begin" w:fldLock="1"/>
      </w:r>
      <w:r w:rsidR="001D002C">
        <w:instrText xml:space="preserve"> REF _Ref104966658 \h </w:instrText>
      </w:r>
      <w:r w:rsidR="001D002C">
        <w:fldChar w:fldCharType="separate"/>
      </w:r>
      <w:r w:rsidR="001D002C">
        <w:t xml:space="preserve">Table </w:t>
      </w:r>
      <w:r w:rsidR="001D002C">
        <w:rPr>
          <w:noProof/>
        </w:rPr>
        <w:t>85</w:t>
      </w:r>
      <w:r w:rsidR="001D002C">
        <w:fldChar w:fldCharType="end"/>
      </w:r>
    </w:p>
  </w:footnote>
  <w:footnote w:id="242">
    <w:p w14:paraId="4F4AEBF8" w14:textId="0069E8B2" w:rsidR="00713208" w:rsidRDefault="00713208" w:rsidP="00713208">
      <w:pPr>
        <w:pStyle w:val="FootnoteText"/>
      </w:pPr>
      <w:r>
        <w:rPr>
          <w:rStyle w:val="FootnoteReference"/>
        </w:rPr>
        <w:footnoteRef/>
      </w:r>
      <w:r>
        <w:t xml:space="preserve"> </w:t>
      </w:r>
      <w:r w:rsidRPr="008A4032">
        <w:t xml:space="preserve">Australian Bureau of Statistics 2012, 4817.0.55.001 - Information Paper: Use of the Kessler Psychological Distress Scale in ABS Health Surveys, Australia, 2007-08, www.abs.gov.au, </w:t>
      </w:r>
      <w:r w:rsidR="00525ED1">
        <w:t>V</w:t>
      </w:r>
      <w:r w:rsidRPr="008A4032">
        <w:t>iewed 30 August 2021, &lt;</w:t>
      </w:r>
      <w:r w:rsidRPr="00153AA0">
        <w:rPr>
          <w:rStyle w:val="Hyperlink"/>
        </w:rPr>
        <w:t>https://www.abs.gov.au/ausstats/abs@.nsf/lookup/4817.0.55.001chapter92007-08</w:t>
      </w:r>
      <w:r w:rsidRPr="008A4032">
        <w:t>&gt;.</w:t>
      </w:r>
    </w:p>
  </w:footnote>
  <w:footnote w:id="243">
    <w:p w14:paraId="57B3BF56" w14:textId="53B8898F" w:rsidR="00CC1BCF" w:rsidRDefault="00CC1BCF" w:rsidP="00CC1BCF">
      <w:pPr>
        <w:pStyle w:val="FootnoteText"/>
      </w:pPr>
      <w:r>
        <w:rPr>
          <w:rStyle w:val="FootnoteReference"/>
        </w:rPr>
        <w:footnoteRef/>
      </w:r>
      <w:r>
        <w:t xml:space="preserve"> </w:t>
      </w:r>
      <w:r w:rsidRPr="00C32C53">
        <w:t xml:space="preserve">Australian Institute of Health and Welfare 2020, </w:t>
      </w:r>
      <w:r w:rsidRPr="00A62B26">
        <w:rPr>
          <w:i/>
        </w:rPr>
        <w:t>Medicare-subsidised GP, allied health and specialist health care across local areas: 2013–14 to 2018–19, Technical information</w:t>
      </w:r>
      <w:r>
        <w:t xml:space="preserve"> (</w:t>
      </w:r>
      <w:r w:rsidRPr="00C32C53">
        <w:t>https://www.aihw.gov.au/</w:t>
      </w:r>
      <w:r>
        <w:t>)</w:t>
      </w:r>
      <w:r w:rsidRPr="00C32C53">
        <w:t xml:space="preserve">, </w:t>
      </w:r>
      <w:r w:rsidR="00525ED1">
        <w:t>V</w:t>
      </w:r>
      <w:r w:rsidRPr="00C32C53">
        <w:t>iewed 31 August 2021, &lt;</w:t>
      </w:r>
      <w:hyperlink r:id="rId63" w:history="1">
        <w:r w:rsidRPr="00EC2EA2">
          <w:rPr>
            <w:rStyle w:val="Hyperlink"/>
          </w:rPr>
          <w:t>https://www.aihw.gov.au/reports/primary-health-care/medicare-subsidised-health-local-areas-2019/contents/technical-information</w:t>
        </w:r>
      </w:hyperlink>
      <w:r w:rsidRPr="00C32C53">
        <w:t>&gt;.</w:t>
      </w:r>
    </w:p>
  </w:footnote>
  <w:footnote w:id="244">
    <w:p w14:paraId="66F30E36" w14:textId="4847FEF5" w:rsidR="00BD437F" w:rsidRDefault="00BD437F">
      <w:pPr>
        <w:pStyle w:val="FootnoteText"/>
      </w:pPr>
      <w:r>
        <w:rPr>
          <w:rStyle w:val="FootnoteReference"/>
        </w:rPr>
        <w:footnoteRef/>
      </w:r>
      <w:r>
        <w:t xml:space="preserve"> </w:t>
      </w:r>
      <w:r w:rsidR="00CC1BCF">
        <w:t>Ibid.</w:t>
      </w:r>
    </w:p>
  </w:footnote>
  <w:footnote w:id="245">
    <w:p w14:paraId="223F4DEB" w14:textId="60D8435A" w:rsidR="00191245" w:rsidRDefault="00191245" w:rsidP="00191245">
      <w:pPr>
        <w:pStyle w:val="FootnoteText"/>
      </w:pPr>
      <w:r>
        <w:rPr>
          <w:rStyle w:val="FootnoteReference"/>
        </w:rPr>
        <w:footnoteRef/>
      </w:r>
      <w:r>
        <w:t xml:space="preserve"> </w:t>
      </w:r>
      <w:r w:rsidRPr="0049678E">
        <w:t xml:space="preserve">Australian Institute of Health and Welfare 2021, Australian Refined diagnosis-related Groups (AR-DRG) Data cubes, Data Cubes, </w:t>
      </w:r>
      <w:r w:rsidR="00525ED1">
        <w:t>V</w:t>
      </w:r>
      <w:r w:rsidRPr="0049678E">
        <w:t>iewed 25 May 2022, &lt;</w:t>
      </w:r>
      <w:hyperlink r:id="rId64" w:history="1">
        <w:r w:rsidRPr="00EC2EA2">
          <w:rPr>
            <w:rStyle w:val="Hyperlink"/>
          </w:rPr>
          <w:t>https://www.aihw.gov.au/reports/hospitals/ar-drg-data-cubes/contents/data-cubes</w:t>
        </w:r>
      </w:hyperlink>
      <w:r w:rsidRPr="0049678E">
        <w:t>&gt;.</w:t>
      </w:r>
    </w:p>
  </w:footnote>
  <w:footnote w:id="246">
    <w:p w14:paraId="719D02A4" w14:textId="531714F6" w:rsidR="00191245" w:rsidRDefault="00191245" w:rsidP="00191245">
      <w:pPr>
        <w:pStyle w:val="FootnoteText"/>
      </w:pPr>
      <w:r>
        <w:rPr>
          <w:rStyle w:val="FootnoteReference"/>
        </w:rPr>
        <w:footnoteRef/>
      </w:r>
      <w:r>
        <w:t xml:space="preserve"> </w:t>
      </w:r>
      <w:r w:rsidRPr="00C84617">
        <w:t xml:space="preserve">Independent Hospital Pricing Authority 2019, National Hospital Cost Data Collection, AR-DRG Cost Weight Tables V8.0x, round 21 (Financial Year 2016-17), </w:t>
      </w:r>
      <w:r w:rsidRPr="00B942D8">
        <w:rPr>
          <w:rStyle w:val="Hyperlink"/>
        </w:rPr>
        <w:t>www.ihpa.gov.au</w:t>
      </w:r>
      <w:r w:rsidRPr="00C84617">
        <w:t xml:space="preserve">, </w:t>
      </w:r>
      <w:r w:rsidR="00525ED1">
        <w:t>V</w:t>
      </w:r>
      <w:r w:rsidRPr="00C84617">
        <w:t>iewed 25 May 2022, &lt;</w:t>
      </w:r>
      <w:hyperlink r:id="rId65" w:history="1">
        <w:r w:rsidRPr="00EC2EA2">
          <w:rPr>
            <w:rStyle w:val="Hyperlink"/>
          </w:rPr>
          <w:t>https://www.ihpa.gov.au/publications/national-hospital-cost-data-collection-ar-drg-cost-weight-tables-v80x-round-21</w:t>
        </w:r>
      </w:hyperlink>
      <w:r w:rsidRPr="00C84617">
        <w:t>&gt;.</w:t>
      </w:r>
    </w:p>
  </w:footnote>
  <w:footnote w:id="247">
    <w:p w14:paraId="6DFFB65E" w14:textId="77777777" w:rsidR="00BE1E0C" w:rsidRPr="006E33DC" w:rsidRDefault="00BE1E0C" w:rsidP="00BE1E0C">
      <w:pPr>
        <w:pStyle w:val="FootnoteText"/>
      </w:pPr>
      <w:r w:rsidRPr="006E33DC">
        <w:rPr>
          <w:rStyle w:val="FootnoteReference"/>
          <w:rFonts w:asciiTheme="minorHAnsi" w:hAnsiTheme="minorHAnsi" w:cstheme="minorHAnsi"/>
          <w:szCs w:val="16"/>
        </w:rPr>
        <w:footnoteRef/>
      </w:r>
      <w:r w:rsidRPr="006E33DC">
        <w:t xml:space="preserve"> </w:t>
      </w:r>
      <w:r w:rsidRPr="006E33DC">
        <w:rPr>
          <w:shd w:val="clear" w:color="auto" w:fill="FFFFFF"/>
        </w:rPr>
        <w:t>Mihalopoulos C, Chen G, Iezzi A, Khan MA, Richardson J. Assessing outcomes for cost-utility analysis in depression: comparison of five multi-attribute utility instruments with two depression-specific outcome measures. Br J Psychiatry. 2014 Nov;205(5):390-7. doi: 10.1192/bjp.bp.113.136036. Epub 2014 Sep 25. PMID: 25257063.</w:t>
      </w:r>
    </w:p>
  </w:footnote>
  <w:footnote w:id="248">
    <w:p w14:paraId="5F140279" w14:textId="77777777" w:rsidR="003626DD" w:rsidRPr="006E33DC" w:rsidRDefault="003626DD" w:rsidP="005F7E84">
      <w:pPr>
        <w:pStyle w:val="FootnoteText"/>
      </w:pPr>
      <w:r w:rsidRPr="006E33DC">
        <w:rPr>
          <w:rStyle w:val="FootnoteReference"/>
          <w:rFonts w:asciiTheme="minorHAnsi" w:hAnsiTheme="minorHAnsi" w:cstheme="minorHAnsi"/>
          <w:szCs w:val="16"/>
        </w:rPr>
        <w:footnoteRef/>
      </w:r>
      <w:r w:rsidRPr="006E33DC">
        <w:t xml:space="preserve"> Richardson J, Khan M, Iezzi A. Preliminary results for the validation of the Assessment of Quality of Life AQoL-8D instrument. Research Paper 47. Centre for Health Economics, Monash University, 2010.</w:t>
      </w:r>
    </w:p>
  </w:footnote>
  <w:footnote w:id="249">
    <w:p w14:paraId="1DAFD232" w14:textId="77777777" w:rsidR="003626DD" w:rsidRPr="006E33DC" w:rsidRDefault="003626DD" w:rsidP="005F7E84">
      <w:pPr>
        <w:pStyle w:val="FootnoteText"/>
      </w:pPr>
      <w:r w:rsidRPr="006E33DC">
        <w:rPr>
          <w:rStyle w:val="FootnoteReference"/>
          <w:rFonts w:asciiTheme="minorHAnsi" w:hAnsiTheme="minorHAnsi" w:cstheme="minorHAnsi"/>
          <w:szCs w:val="16"/>
        </w:rPr>
        <w:footnoteRef/>
      </w:r>
      <w:r w:rsidRPr="006E33DC">
        <w:t xml:space="preserve"> Brazier J. Is the EQ-5D fit for purpose in mental health? Br J Psychiatry 2010; 197: 348–9.</w:t>
      </w:r>
    </w:p>
  </w:footnote>
  <w:footnote w:id="250">
    <w:p w14:paraId="476BF175" w14:textId="7F017444" w:rsidR="00B00C3F" w:rsidRDefault="00B00C3F" w:rsidP="00B00C3F">
      <w:pPr>
        <w:pStyle w:val="FootnoteText"/>
      </w:pPr>
      <w:r w:rsidRPr="006E33DC">
        <w:rPr>
          <w:rStyle w:val="FootnoteReference"/>
          <w:rFonts w:asciiTheme="minorHAnsi" w:hAnsiTheme="minorHAnsi" w:cstheme="minorHAnsi"/>
          <w:szCs w:val="16"/>
        </w:rPr>
        <w:footnoteRef/>
      </w:r>
      <w:r w:rsidRPr="006E33DC">
        <w:t xml:space="preserve"> </w:t>
      </w:r>
      <w:r w:rsidR="000C43DA" w:rsidRPr="000C43DA">
        <w:t xml:space="preserve">Hamilton, MP, Gao, CX, Filia, KM, Menssink, JM, Sharmin, S, Telford, N, Herrman, H, Hickie, IB, Mihalopoulos, C, Rickwood, DJ, McGorry, PD &amp; Cotton, SM 2021, ‘Predicting Quality Adjusted Life Years in young people attending primary mental health services’, </w:t>
      </w:r>
      <w:r w:rsidR="000C43DA" w:rsidRPr="000C43DA">
        <w:rPr>
          <w:i/>
          <w:iCs/>
        </w:rPr>
        <w:t>medRxiv [Preprint]</w:t>
      </w:r>
      <w:r w:rsidR="000C43DA" w:rsidRPr="000C43DA">
        <w:t xml:space="preserve">, </w:t>
      </w:r>
      <w:r w:rsidR="00525ED1">
        <w:t>V</w:t>
      </w:r>
      <w:r w:rsidR="000C43DA" w:rsidRPr="000C43DA">
        <w:t>iewed 1 June 2022, &lt;</w:t>
      </w:r>
      <w:hyperlink r:id="rId66" w:history="1">
        <w:r w:rsidR="000C43DA" w:rsidRPr="0091720B">
          <w:rPr>
            <w:rStyle w:val="Hyperlink"/>
          </w:rPr>
          <w:t>https://www.medrxiv.org/content/10.1101/2021.07.07.21260129v2</w:t>
        </w:r>
      </w:hyperlink>
      <w:r w:rsidR="000C43DA" w:rsidRPr="000C43DA">
        <w:t>&gt;.</w:t>
      </w:r>
    </w:p>
  </w:footnote>
  <w:footnote w:id="251">
    <w:p w14:paraId="3F74AA9B" w14:textId="77777777" w:rsidR="003626DD" w:rsidRPr="006E33DC" w:rsidRDefault="003626DD" w:rsidP="005F7E84">
      <w:pPr>
        <w:pStyle w:val="FootnoteText"/>
      </w:pPr>
      <w:r w:rsidRPr="006E33DC">
        <w:rPr>
          <w:rStyle w:val="FootnoteReference"/>
          <w:rFonts w:asciiTheme="minorHAnsi" w:hAnsiTheme="minorHAnsi" w:cstheme="minorHAnsi"/>
          <w:szCs w:val="16"/>
        </w:rPr>
        <w:footnoteRef/>
      </w:r>
      <w:r w:rsidRPr="006E33DC">
        <w:t xml:space="preserve"> Pilling, S, Fonagy, P, Allison, E, Barnett, P, Campbell, C, Constantinou, M, Gardner, T, Lorenzini, N, Matthews, H, Ryan, A, Sacchetti, S, Truscott, A, Ventura, T, Watchorn, K, Whittington, C &amp; Kendall, T 2020, ‘Long-term outcomes of psychological interventions on children and young people’s mental health: A systematic review and meta-analysis’, in S Doering (ed.), PLOS ONE, vol. 15, no. 11, p. e0236525.</w:t>
      </w:r>
    </w:p>
  </w:footnote>
  <w:footnote w:id="252">
    <w:p w14:paraId="0248C6E0" w14:textId="77777777" w:rsidR="00125BBA" w:rsidRDefault="00125BBA" w:rsidP="00125BBA">
      <w:pPr>
        <w:pStyle w:val="FootnoteText"/>
      </w:pPr>
      <w:r>
        <w:rPr>
          <w:rStyle w:val="FootnoteReference"/>
        </w:rPr>
        <w:footnoteRef/>
      </w:r>
      <w:r>
        <w:t xml:space="preserve"> </w:t>
      </w:r>
      <w:r w:rsidRPr="00445863">
        <w:t>https://www.scimex.org/newsfeed/youth-mental-health-issues-cost-australia-around-$234-million-every-year</w:t>
      </w:r>
    </w:p>
  </w:footnote>
  <w:footnote w:id="253">
    <w:p w14:paraId="3D022F68" w14:textId="4879E9C5" w:rsidR="00125BBA" w:rsidRPr="006E33DC" w:rsidRDefault="00125BBA" w:rsidP="00125BBA">
      <w:pPr>
        <w:pStyle w:val="FootnoteText"/>
      </w:pPr>
      <w:r w:rsidRPr="006E33DC">
        <w:rPr>
          <w:rStyle w:val="FootnoteReference"/>
          <w:rFonts w:asciiTheme="minorHAnsi" w:hAnsiTheme="minorHAnsi" w:cstheme="minorHAnsi"/>
          <w:szCs w:val="16"/>
        </w:rPr>
        <w:footnoteRef/>
      </w:r>
      <w:r w:rsidRPr="006E33DC">
        <w:t xml:space="preserve"> Australian Psychological Society 2020, APS National Schedule of Recommended Fees (not Including GST) and Item numbers* for Psychological Services, </w:t>
      </w:r>
      <w:r w:rsidR="00525ED1">
        <w:t>V</w:t>
      </w:r>
      <w:r w:rsidRPr="006E33DC">
        <w:t>iewed 25 May 2022, &lt;https://www.benchmarkpsychology.com.au/wp-content/uploads/APS-Recommended-Fee-Schedule-20-21.pdf&gt;.</w:t>
      </w:r>
    </w:p>
  </w:footnote>
  <w:footnote w:id="254">
    <w:p w14:paraId="266D761C" w14:textId="77777777" w:rsidR="005E3955" w:rsidRPr="006E33DC" w:rsidRDefault="005E3955" w:rsidP="005E3955">
      <w:pPr>
        <w:pStyle w:val="FootnoteText"/>
      </w:pPr>
      <w:r w:rsidRPr="005E7EF2">
        <w:rPr>
          <w:rStyle w:val="FootnoteReference"/>
          <w:rFonts w:asciiTheme="minorHAnsi" w:hAnsiTheme="minorHAnsi" w:cstheme="minorHAnsi"/>
          <w:szCs w:val="16"/>
        </w:rPr>
        <w:footnoteRef/>
      </w:r>
      <w:r w:rsidRPr="006E33DC">
        <w:t xml:space="preserve"> Ibid.</w:t>
      </w:r>
    </w:p>
  </w:footnote>
  <w:footnote w:id="255">
    <w:p w14:paraId="78ACC518" w14:textId="37356F19" w:rsidR="005E3955" w:rsidRPr="006E33DC" w:rsidRDefault="005E3955" w:rsidP="005E3955">
      <w:pPr>
        <w:pStyle w:val="FootnoteText"/>
      </w:pPr>
      <w:r w:rsidRPr="006E33DC">
        <w:rPr>
          <w:rStyle w:val="FootnoteReference"/>
          <w:rFonts w:asciiTheme="minorHAnsi" w:hAnsiTheme="minorHAnsi" w:cstheme="minorHAnsi"/>
          <w:szCs w:val="16"/>
        </w:rPr>
        <w:footnoteRef/>
      </w:r>
      <w:r w:rsidRPr="006E33DC">
        <w:t xml:space="preserve"> Independent Hospital Pricing Authority. “National Hospital Cost Data Collection, AR-DRG Cost Weight Tables V8.0x, Round</w:t>
      </w:r>
      <w:r w:rsidR="00525ED1">
        <w:t> </w:t>
      </w:r>
      <w:r w:rsidRPr="006E33DC">
        <w:t>21 (Financial Year 2016-17).</w:t>
      </w:r>
      <w:r w:rsidR="00E17E92">
        <w:t xml:space="preserve"> w</w:t>
      </w:r>
      <w:r w:rsidRPr="006E33DC">
        <w:t xml:space="preserve">ww.ihpa.gov.au, 20 June 2019, </w:t>
      </w:r>
      <w:hyperlink r:id="rId67" w:history="1">
        <w:r w:rsidRPr="0091720B">
          <w:rPr>
            <w:rStyle w:val="Hyperlink"/>
          </w:rPr>
          <w:t>www.ihpa.gov.au/publications/national-hospital-cost-data-collection-ar-drg-cost-weight-tables-v80x-round-21</w:t>
        </w:r>
      </w:hyperlink>
      <w:r w:rsidRPr="006E33DC">
        <w:t xml:space="preserve">. Accessed 25 May 2022 and Australian Institute of Health and Welfare. Australian Refined Diagnosis-Related Groups (AR-DRG) Data Cubes, Data Cubes. 2021, </w:t>
      </w:r>
      <w:hyperlink r:id="rId68" w:history="1">
        <w:r w:rsidRPr="0091720B">
          <w:rPr>
            <w:rStyle w:val="Hyperlink"/>
          </w:rPr>
          <w:t>www.aihw.gov.au/reports/hospitals/ar-drg-data-cubes/contents/data-cubes</w:t>
        </w:r>
      </w:hyperlink>
      <w:r w:rsidRPr="006E33DC">
        <w:t>. Accessed 25 May 2022.</w:t>
      </w:r>
    </w:p>
  </w:footnote>
  <w:footnote w:id="256">
    <w:p w14:paraId="39FB9B9F" w14:textId="77777777" w:rsidR="0092290D" w:rsidRPr="006E33DC" w:rsidRDefault="0092290D" w:rsidP="0092290D">
      <w:pPr>
        <w:pStyle w:val="FootnoteText"/>
      </w:pPr>
      <w:r w:rsidRPr="006E33DC">
        <w:rPr>
          <w:rStyle w:val="FootnoteReference"/>
          <w:rFonts w:asciiTheme="minorHAnsi" w:hAnsiTheme="minorHAnsi" w:cstheme="minorHAnsi"/>
          <w:szCs w:val="16"/>
        </w:rPr>
        <w:footnoteRef/>
      </w:r>
      <w:r w:rsidRPr="006E33DC">
        <w:t xml:space="preserve"> Mihalopoulos, C, Vos, T, Pirkis, J &amp; Carter, R 2012, ‘The Population Cost-effectiveness of Interventions Designed to Prevent Childhood Depression’, PEDIATRICS, vol. 129, no. 3, pp. e723–e730.</w:t>
      </w:r>
    </w:p>
  </w:footnote>
  <w:footnote w:id="257">
    <w:p w14:paraId="048E0539" w14:textId="77777777" w:rsidR="00525ED1" w:rsidRPr="006E33DC" w:rsidRDefault="00525ED1" w:rsidP="0092290D">
      <w:pPr>
        <w:pStyle w:val="FootnoteText"/>
      </w:pPr>
      <w:r w:rsidRPr="006E33DC">
        <w:rPr>
          <w:rStyle w:val="FootnoteReference"/>
          <w:rFonts w:asciiTheme="minorHAnsi" w:hAnsiTheme="minorHAnsi" w:cstheme="minorHAnsi"/>
          <w:szCs w:val="16"/>
        </w:rPr>
        <w:footnoteRef/>
      </w:r>
      <w:r w:rsidRPr="006E33DC">
        <w:t xml:space="preserve"> Cummings JR, Ji X, Lally C, Druss BG. Racial and ethnic differences in minimally adequate depression care among Medicaid-enrolled youth. Journal of the American Academy of Child &amp; Adolescent Psychiatry. 2019 Jan 1;58(1):128-38</w:t>
      </w:r>
      <w:r>
        <w:t xml:space="preserve">; </w:t>
      </w:r>
      <w:r w:rsidRPr="006E33DC">
        <w:t>Stein BD, Sorbero MJ, Dalton E, Ayers AM, Farmer C, Kogan JN, Goswami U. Predictors of adequate depression treatment among Medicaid-enrolled youth. Social psychiatry and psychiatric epidemiology. 2013 May 1;48(5):757-65.</w:t>
      </w:r>
    </w:p>
  </w:footnote>
  <w:footnote w:id="258">
    <w:p w14:paraId="576B02BE" w14:textId="27BF51BE" w:rsidR="0092290D" w:rsidRDefault="0092290D" w:rsidP="0092290D">
      <w:pPr>
        <w:pStyle w:val="FootnoteText"/>
      </w:pPr>
      <w:r w:rsidRPr="006E33DC">
        <w:rPr>
          <w:rStyle w:val="FootnoteReference"/>
          <w:rFonts w:asciiTheme="minorHAnsi" w:hAnsiTheme="minorHAnsi" w:cstheme="minorHAnsi"/>
          <w:szCs w:val="16"/>
        </w:rPr>
        <w:footnoteRef/>
      </w:r>
      <w:r w:rsidRPr="006E33DC">
        <w:t xml:space="preserve"> Australian Psychological Society 2020, APS National Schedule of Recommended Fees (not Including GST) and Item numbers* for Psychological Services, </w:t>
      </w:r>
      <w:r w:rsidR="00525ED1">
        <w:t>V</w:t>
      </w:r>
      <w:r w:rsidRPr="006E33DC">
        <w:t>iewed 25 May 2022, &lt;</w:t>
      </w:r>
      <w:hyperlink r:id="rId69" w:history="1">
        <w:r w:rsidRPr="0091720B">
          <w:rPr>
            <w:rStyle w:val="Hyperlink"/>
          </w:rPr>
          <w:t>https://www.benchmarkpsychology.com.au/wp-content/uploads/APS-Recommended-Fee-Schedule-20-21.pdf</w:t>
        </w:r>
      </w:hyperlink>
      <w:r w:rsidRPr="006E33DC">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A57E" w14:textId="756A9EBA" w:rsidR="00763577" w:rsidRDefault="00763577">
    <w:pPr>
      <w:pStyle w:val="Header"/>
      <w:rPr>
        <w:noProof/>
      </w:rPr>
    </w:pPr>
  </w:p>
  <w:p w14:paraId="539C5433" w14:textId="2C9F356F" w:rsidR="00A54BFF" w:rsidRDefault="00A54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11B0C" w14:textId="7E4DD607" w:rsidR="00CA36DD" w:rsidRDefault="00BD437F" w:rsidP="00262492">
    <w:pPr>
      <w:pStyle w:val="Header"/>
    </w:pPr>
    <w:r w:rsidRPr="00195A5A">
      <w:t xml:space="preserve">Evaluation of the National headspace Program – </w:t>
    </w:r>
    <w:r>
      <w:t>Final</w:t>
    </w:r>
    <w:r w:rsidRPr="00195A5A">
      <w:t xml:space="preserve"> Report</w:t>
    </w:r>
  </w:p>
  <w:p w14:paraId="4012BF42" w14:textId="525194AA" w:rsidR="00BD437F" w:rsidRPr="00195A5A" w:rsidRDefault="00B43D38" w:rsidP="00262492">
    <w:pPr>
      <w:pStyle w:val="Header"/>
    </w:pPr>
    <w:r>
      <w:t xml:space="preserve">June </w:t>
    </w:r>
    <w:r w:rsidR="00BD437F" w:rsidRPr="00195A5A">
      <w:t>202</w:t>
    </w:r>
    <w:r w:rsidR="00BD437F">
      <w:t>2</w:t>
    </w:r>
  </w:p>
  <w:p w14:paraId="71DA0A9D" w14:textId="4F390ADE" w:rsidR="00BD437F" w:rsidRDefault="00BD437F" w:rsidP="00C74C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0EE95" w14:textId="2EED905F" w:rsidR="00BD437F" w:rsidRPr="00195A5A" w:rsidRDefault="00F65A3D" w:rsidP="00262492">
    <w:pPr>
      <w:pStyle w:val="Header"/>
    </w:pPr>
    <w:r>
      <w:rPr>
        <w:noProof/>
        <w:lang w:eastAsia="en-AU"/>
      </w:rPr>
      <mc:AlternateContent>
        <mc:Choice Requires="wps">
          <w:drawing>
            <wp:anchor distT="0" distB="0" distL="114300" distR="114300" simplePos="0" relativeHeight="251658243" behindDoc="0" locked="0" layoutInCell="1" allowOverlap="1" wp14:anchorId="515893FD" wp14:editId="4290CBEC">
              <wp:simplePos x="0" y="0"/>
              <wp:positionH relativeFrom="page">
                <wp:posOffset>8467</wp:posOffset>
              </wp:positionH>
              <wp:positionV relativeFrom="paragraph">
                <wp:posOffset>-509482</wp:posOffset>
              </wp:positionV>
              <wp:extent cx="720000" cy="10795000"/>
              <wp:effectExtent l="0" t="0" r="4445" b="6350"/>
              <wp:wrapNone/>
              <wp:docPr id="275" name="Rectangle 2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0000" cy="10795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BB0D" id="Rectangle 275" o:spid="_x0000_s1026" alt="&quot;&quot;" style="position:absolute;margin-left:.65pt;margin-top:-40.1pt;width:56.7pt;height:850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" fillcolor="#0091da [3205]" stroked="f" strokeweight="1pt">
              <w10:wrap anchorx="page"/>
            </v:rect>
          </w:pict>
        </mc:Fallback>
      </mc:AlternateContent>
    </w:r>
    <w:r w:rsidR="00BD437F" w:rsidRPr="00195A5A">
      <w:t xml:space="preserve">Evaluation of the National headspace Program – </w:t>
    </w:r>
    <w:r w:rsidR="00BD437F">
      <w:t>Final</w:t>
    </w:r>
    <w:r w:rsidR="00BD437F" w:rsidRPr="00195A5A">
      <w:t xml:space="preserve"> Report</w:t>
    </w:r>
  </w:p>
  <w:p w14:paraId="12A460FC" w14:textId="70B76EE7" w:rsidR="00BD437F" w:rsidRDefault="00B43D38" w:rsidP="00262492">
    <w:pPr>
      <w:pStyle w:val="Header"/>
    </w:pPr>
    <w:r>
      <w:t>June</w:t>
    </w:r>
    <w:r w:rsidRPr="00195A5A">
      <w:t xml:space="preserve"> </w:t>
    </w:r>
    <w:r w:rsidR="00BD437F" w:rsidRPr="00195A5A">
      <w:t>202</w:t>
    </w:r>
    <w:r w:rsidR="00BD437F">
      <w:t>2</w:t>
    </w:r>
  </w:p>
  <w:p w14:paraId="472959F2" w14:textId="4CC0040D" w:rsidR="00BD437F" w:rsidRDefault="00BD437F" w:rsidP="00C74C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13FF" w14:textId="2690F163" w:rsidR="00A5270C" w:rsidRPr="00195A5A" w:rsidRDefault="00A5270C" w:rsidP="00294197">
    <w:pPr>
      <w:pStyle w:val="Header"/>
    </w:pPr>
    <w:r w:rsidRPr="00195A5A">
      <w:t xml:space="preserve">Evaluation of the National headspace Program – </w:t>
    </w:r>
    <w:r>
      <w:t>Final</w:t>
    </w:r>
    <w:r w:rsidRPr="00195A5A">
      <w:t xml:space="preserve"> Report</w:t>
    </w:r>
  </w:p>
  <w:p w14:paraId="24B5D336" w14:textId="240D19C0" w:rsidR="00A5270C" w:rsidRPr="00195A5A" w:rsidRDefault="00B43D38" w:rsidP="000E7B5C">
    <w:pPr>
      <w:pStyle w:val="Header"/>
    </w:pPr>
    <w:r>
      <w:t>June</w:t>
    </w:r>
    <w:r w:rsidRPr="00195A5A">
      <w:t xml:space="preserve"> </w:t>
    </w:r>
    <w:r w:rsidR="00A5270C" w:rsidRPr="00195A5A">
      <w:t>202</w:t>
    </w:r>
    <w:r w:rsidR="00A5270C">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50A5" w14:textId="261A1D1A" w:rsidR="00EB455C" w:rsidRPr="00195A5A" w:rsidRDefault="00EB455C" w:rsidP="00EB455C">
    <w:pPr>
      <w:pStyle w:val="Header"/>
    </w:pPr>
    <w:r w:rsidRPr="00195A5A">
      <w:t xml:space="preserve">Evaluation of the National headspace Program – </w:t>
    </w:r>
    <w:r>
      <w:t>Final</w:t>
    </w:r>
    <w:r w:rsidRPr="00195A5A">
      <w:t xml:space="preserve"> Report</w:t>
    </w:r>
  </w:p>
  <w:p w14:paraId="64808C35" w14:textId="02D465B6" w:rsidR="00597F18" w:rsidRPr="00597F18" w:rsidRDefault="00B43D38" w:rsidP="00292F2A">
    <w:pPr>
      <w:pStyle w:val="Header"/>
    </w:pPr>
    <w:r>
      <w:t>June</w:t>
    </w:r>
    <w:r w:rsidRPr="00195A5A">
      <w:t xml:space="preserve"> </w:t>
    </w:r>
    <w:r w:rsidR="00EB455C" w:rsidRPr="00195A5A">
      <w:t>202</w:t>
    </w:r>
    <w:r w:rsidR="00EB455C">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CC39" w14:textId="218929ED" w:rsidR="0018659D" w:rsidRPr="00195A5A" w:rsidRDefault="0018659D" w:rsidP="00294197">
    <w:pPr>
      <w:pStyle w:val="Header"/>
    </w:pPr>
    <w:r w:rsidRPr="00195A5A">
      <w:t xml:space="preserve">Evaluation of the National headspace Program – </w:t>
    </w:r>
    <w:r>
      <w:t>Final</w:t>
    </w:r>
    <w:r w:rsidRPr="00195A5A">
      <w:t xml:space="preserve"> Report</w:t>
    </w:r>
  </w:p>
  <w:p w14:paraId="34C49A06" w14:textId="6CD8C45B" w:rsidR="0018659D" w:rsidRPr="00195A5A" w:rsidRDefault="00013AED" w:rsidP="000E7B5C">
    <w:pPr>
      <w:pStyle w:val="Header"/>
    </w:pPr>
    <w:r>
      <w:t>June</w:t>
    </w:r>
    <w:r w:rsidRPr="00195A5A">
      <w:t xml:space="preserve"> </w:t>
    </w:r>
    <w:r w:rsidR="0018659D" w:rsidRPr="00195A5A">
      <w:t>202</w:t>
    </w:r>
    <w:r w:rsidR="0018659D">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A67D" w14:textId="5689ECAE" w:rsidR="00FD4BA1" w:rsidRPr="00195A5A" w:rsidRDefault="00FD4BA1" w:rsidP="000E7B5C">
    <w:pPr>
      <w:pStyle w:val="Header"/>
    </w:pPr>
  </w:p>
</w:hdr>
</file>

<file path=word/intelligence.xml><?xml version="1.0" encoding="utf-8"?>
<int:Intelligence xmlns:int="http://schemas.microsoft.com/office/intelligence/2019/intelligence">
  <int:IntelligenceSettings/>
  <int:Manifest>
    <int:WordHash hashCode="VBx47Cqt+ou04j" id="eg3Np1Nk"/>
    <int:WordHash hashCode="ZVYLpl6jAnOzqO" id="H9OOdIXn"/>
    <int:WordHash hashCode="IiG4HINeWgrWXT" id="LQ5MPJvC"/>
    <int:WordHash hashCode="E1+Tt6RJBbZOzq" id="v6HtYgPi"/>
    <int:WordHash hashCode="FiNCzSReCiV7Qq" id="k3PSlj5n"/>
  </int:Manifest>
  <int:Observations>
    <int:Content id="eg3Np1Nk">
      <int:Rejection type="LegacyProofing"/>
    </int:Content>
    <int:Content id="H9OOdIXn">
      <int:Rejection type="LegacyProofing"/>
    </int:Content>
    <int:Content id="LQ5MPJvC">
      <int:Rejection type="LegacyProofing"/>
    </int:Content>
    <int:Content id="v6HtYgPi">
      <int:Rejection type="AugLoop_Text_Critique"/>
    </int:Content>
    <int:Content id="k3PSlj5n">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0C1F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278C6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EDE2D2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C42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EA05C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AE46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4827C4"/>
    <w:lvl w:ilvl="0">
      <w:start w:val="1"/>
      <w:numFmt w:val="bullet"/>
      <w:pStyle w:val="ListBullet3"/>
      <w:lvlText w:val=""/>
      <w:lvlJc w:val="left"/>
      <w:pPr>
        <w:tabs>
          <w:tab w:val="num" w:pos="926"/>
        </w:tabs>
        <w:ind w:left="926" w:hanging="360"/>
      </w:pPr>
      <w:rPr>
        <w:rFonts w:ascii="Courier New" w:hAnsi="Courier New" w:hint="default"/>
      </w:rPr>
    </w:lvl>
  </w:abstractNum>
  <w:abstractNum w:abstractNumId="7" w15:restartNumberingAfterBreak="0">
    <w:nsid w:val="FFFFFF83"/>
    <w:multiLevelType w:val="singleLevel"/>
    <w:tmpl w:val="F340A3B6"/>
    <w:lvl w:ilvl="0">
      <w:start w:val="1"/>
      <w:numFmt w:val="bullet"/>
      <w:pStyle w:val="ListBullet2"/>
      <w:lvlText w:val="-"/>
      <w:lvlJc w:val="left"/>
      <w:pPr>
        <w:tabs>
          <w:tab w:val="num" w:pos="697"/>
        </w:tabs>
        <w:ind w:left="697" w:hanging="340"/>
      </w:pPr>
      <w:rPr>
        <w:rFonts w:ascii="9999999" w:hAnsi="9999999" w:cs="Courier New" w:hint="default"/>
      </w:rPr>
    </w:lvl>
  </w:abstractNum>
  <w:abstractNum w:abstractNumId="8" w15:restartNumberingAfterBreak="0">
    <w:nsid w:val="FFFFFF88"/>
    <w:multiLevelType w:val="singleLevel"/>
    <w:tmpl w:val="EE8AAE28"/>
    <w:lvl w:ilvl="0">
      <w:start w:val="1"/>
      <w:numFmt w:val="decimal"/>
      <w:pStyle w:val="ListNumber"/>
      <w:lvlText w:val="%1."/>
      <w:lvlJc w:val="left"/>
      <w:pPr>
        <w:tabs>
          <w:tab w:val="num" w:pos="360"/>
        </w:tabs>
        <w:ind w:left="360" w:hanging="360"/>
      </w:pPr>
      <w:rPr>
        <w:rFonts w:hint="default"/>
      </w:rPr>
    </w:lvl>
  </w:abstractNum>
  <w:abstractNum w:abstractNumId="9" w15:restartNumberingAfterBreak="0">
    <w:nsid w:val="FFFFFF89"/>
    <w:multiLevelType w:val="singleLevel"/>
    <w:tmpl w:val="B5589456"/>
    <w:lvl w:ilvl="0">
      <w:start w:val="1"/>
      <w:numFmt w:val="bullet"/>
      <w:pStyle w:val="ListBullet"/>
      <w:lvlText w:val=""/>
      <w:lvlJc w:val="left"/>
      <w:pPr>
        <w:tabs>
          <w:tab w:val="num" w:pos="340"/>
        </w:tabs>
        <w:ind w:left="340" w:hanging="340"/>
      </w:pPr>
      <w:rPr>
        <w:rFonts w:ascii="Courier New" w:hAnsi="Courier New" w:hint="default"/>
        <w:color w:val="auto"/>
        <w:sz w:val="22"/>
      </w:rPr>
    </w:lvl>
  </w:abstractNum>
  <w:abstractNum w:abstractNumId="10" w15:restartNumberingAfterBreak="0">
    <w:nsid w:val="028B4053"/>
    <w:multiLevelType w:val="multilevel"/>
    <w:tmpl w:val="498833D4"/>
    <w:lvl w:ilvl="0">
      <w:start w:val="1"/>
      <w:numFmt w:val="decimal"/>
      <w:pStyle w:val="RecommendationText"/>
      <w:lvlText w:val="%1."/>
      <w:lvlJc w:val="left"/>
      <w:pPr>
        <w:tabs>
          <w:tab w:val="num" w:pos="481"/>
        </w:tabs>
        <w:ind w:left="481" w:hanging="340"/>
      </w:pPr>
      <w:rPr>
        <w:rFonts w:ascii="Univers 45 Light" w:hAnsi="Univers 45 Light" w:hint="default"/>
        <w:b w:val="0"/>
        <w:i w:val="0"/>
        <w:sz w:val="20"/>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 w15:restartNumberingAfterBreak="0">
    <w:nsid w:val="0317381F"/>
    <w:multiLevelType w:val="hybridMultilevel"/>
    <w:tmpl w:val="9B02449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84E37CB"/>
    <w:multiLevelType w:val="multilevel"/>
    <w:tmpl w:val="74881EEE"/>
    <w:lvl w:ilvl="0">
      <w:start w:val="1"/>
      <w:numFmt w:val="decimal"/>
      <w:pStyle w:val="Heading1"/>
      <w:lvlText w:val="%1"/>
      <w:lvlJc w:val="left"/>
      <w:pPr>
        <w:tabs>
          <w:tab w:val="num" w:pos="833"/>
        </w:tabs>
        <w:ind w:left="833" w:hanging="833"/>
      </w:pPr>
      <w:rPr>
        <w:rFonts w:hint="default"/>
      </w:rPr>
    </w:lvl>
    <w:lvl w:ilvl="1">
      <w:start w:val="1"/>
      <w:numFmt w:val="decimal"/>
      <w:pStyle w:val="Heading2"/>
      <w:lvlText w:val="%1.%2"/>
      <w:lvlJc w:val="left"/>
      <w:pPr>
        <w:tabs>
          <w:tab w:val="num" w:pos="833"/>
        </w:tabs>
        <w:ind w:left="833" w:hanging="833"/>
      </w:pPr>
      <w:rPr>
        <w:rFonts w:hint="default"/>
      </w:rPr>
    </w:lvl>
    <w:lvl w:ilvl="2">
      <w:start w:val="1"/>
      <w:numFmt w:val="decimal"/>
      <w:pStyle w:val="Heading3"/>
      <w:lvlText w:val="%1.%2.%3"/>
      <w:lvlJc w:val="left"/>
      <w:pPr>
        <w:tabs>
          <w:tab w:val="num" w:pos="833"/>
        </w:tabs>
        <w:ind w:left="833" w:hanging="833"/>
      </w:pPr>
      <w:rPr>
        <w:rFonts w:hint="default"/>
      </w:rPr>
    </w:lvl>
    <w:lvl w:ilvl="3">
      <w:start w:val="1"/>
      <w:numFmt w:val="none"/>
      <w:pStyle w:val="Heading4"/>
      <w:suff w:val="nothing"/>
      <w:lvlText w:val=""/>
      <w:lvlJc w:val="left"/>
      <w:pPr>
        <w:ind w:left="0" w:firstLine="0"/>
      </w:pPr>
      <w:rPr>
        <w:rFonts w:hint="default"/>
      </w:rPr>
    </w:lvl>
    <w:lvl w:ilvl="4">
      <w:start w:val="1"/>
      <w:numFmt w:val="bullet"/>
      <w:pStyle w:val="HeadlingLevel5NoNumber"/>
      <w:lvlText w:val="o"/>
      <w:lvlJc w:val="left"/>
      <w:pPr>
        <w:ind w:left="3240" w:hanging="360"/>
      </w:pPr>
      <w:rPr>
        <w:rFonts w:ascii="Courier New" w:hAnsi="Courier New" w:cs="Courier New" w:hint="default"/>
      </w:rPr>
    </w:lvl>
    <w:lvl w:ilvl="5">
      <w:start w:val="1"/>
      <w:numFmt w:val="none"/>
      <w:pStyle w:val="Heading6"/>
      <w:suff w:val="nothing"/>
      <w:lvlText w:val=""/>
      <w:lvlJc w:val="left"/>
      <w:pPr>
        <w:ind w:left="0" w:firstLine="0"/>
      </w:pPr>
      <w:rPr>
        <w:rFonts w:hint="default"/>
      </w:rPr>
    </w:lvl>
    <w:lvl w:ilvl="6">
      <w:start w:val="1"/>
      <w:numFmt w:val="bullet"/>
      <w:pStyle w:val="Heading7"/>
      <w:lvlText w:val=""/>
      <w:lvlJc w:val="left"/>
      <w:pPr>
        <w:ind w:left="4680" w:hanging="360"/>
      </w:pPr>
      <w:rPr>
        <w:rFonts w:ascii="Symbol" w:hAnsi="Symbol" w:hint="default"/>
      </w:rPr>
    </w:lvl>
    <w:lvl w:ilvl="7">
      <w:start w:val="1"/>
      <w:numFmt w:val="bullet"/>
      <w:pStyle w:val="Heading8"/>
      <w:lvlText w:val="o"/>
      <w:lvlJc w:val="left"/>
      <w:pPr>
        <w:ind w:left="5400" w:hanging="360"/>
      </w:pPr>
      <w:rPr>
        <w:rFonts w:ascii="Courier New" w:hAnsi="Courier New" w:cs="Courier New" w:hint="default"/>
      </w:rPr>
    </w:lvl>
    <w:lvl w:ilvl="8">
      <w:start w:val="1"/>
      <w:numFmt w:val="bullet"/>
      <w:pStyle w:val="Heading9"/>
      <w:lvlText w:val=""/>
      <w:lvlJc w:val="left"/>
      <w:pPr>
        <w:ind w:left="6120" w:hanging="360"/>
      </w:pPr>
      <w:rPr>
        <w:rFonts w:ascii="Wingdings" w:hAnsi="Wingdings" w:hint="default"/>
      </w:rPr>
    </w:lvl>
  </w:abstractNum>
  <w:abstractNum w:abstractNumId="13" w15:restartNumberingAfterBreak="0">
    <w:nsid w:val="13CC1A2B"/>
    <w:multiLevelType w:val="hybridMultilevel"/>
    <w:tmpl w:val="112E4E64"/>
    <w:lvl w:ilvl="0" w:tplc="61B4B27E">
      <w:start w:val="1"/>
      <w:numFmt w:val="bullet"/>
      <w:pStyle w:val="Bullet1stlevel"/>
      <w:lvlText w:val="•"/>
      <w:lvlJc w:val="left"/>
      <w:pPr>
        <w:ind w:left="720" w:hanging="360"/>
      </w:pPr>
      <w:rPr>
        <w:rFonts w:ascii="Cambria Math" w:hAnsi="Cambria Math"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8A59AD"/>
    <w:multiLevelType w:val="hybridMultilevel"/>
    <w:tmpl w:val="242AB0D6"/>
    <w:lvl w:ilvl="0" w:tplc="7D4AF3D0">
      <w:start w:val="1"/>
      <w:numFmt w:val="bullet"/>
      <w:pStyle w:val="Bullet2ndlevel"/>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5" w15:restartNumberingAfterBreak="0">
    <w:nsid w:val="18093424"/>
    <w:multiLevelType w:val="multilevel"/>
    <w:tmpl w:val="129A0D6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6" w15:restartNumberingAfterBreak="0">
    <w:nsid w:val="2DFD74CD"/>
    <w:multiLevelType w:val="hybridMultilevel"/>
    <w:tmpl w:val="7EA62AE8"/>
    <w:lvl w:ilvl="0" w:tplc="77A692E4">
      <w:start w:val="1"/>
      <w:numFmt w:val="bullet"/>
      <w:pStyle w:val="TableBullet1Italic"/>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33F61997"/>
    <w:multiLevelType w:val="multilevel"/>
    <w:tmpl w:val="DF704AEA"/>
    <w:styleLink w:val="Singlepunch"/>
    <w:lvl w:ilvl="0">
      <w:start w:val="1"/>
      <w:numFmt w:val="bullet"/>
      <w:lvlText w:val=""/>
      <w:lvlJc w:val="left"/>
      <w:pPr>
        <w:tabs>
          <w:tab w:val="num" w:pos="340"/>
        </w:tabs>
        <w:ind w:left="340" w:hanging="340"/>
      </w:pPr>
      <w:rPr>
        <w:rFonts w:ascii="Symbol" w:hAnsi="Symbo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8" w15:restartNumberingAfterBreak="0">
    <w:nsid w:val="357F166A"/>
    <w:multiLevelType w:val="multilevel"/>
    <w:tmpl w:val="CE6CAB1E"/>
    <w:lvl w:ilvl="0">
      <w:start w:val="1"/>
      <w:numFmt w:val="upperLetter"/>
      <w:pStyle w:val="Appendixheading"/>
      <w:suff w:val="nothing"/>
      <w:lvlText w:val="Appendix %1"/>
      <w:lvlJc w:val="left"/>
      <w:pPr>
        <w:ind w:left="2694"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964"/>
        </w:tabs>
        <w:ind w:left="964" w:hanging="964"/>
      </w:pPr>
      <w:rPr>
        <w:rFonts w:hint="default"/>
      </w:rPr>
    </w:lvl>
    <w:lvl w:ilvl="2">
      <w:start w:val="1"/>
      <w:numFmt w:val="decimal"/>
      <w:pStyle w:val="AppendixHeading3"/>
      <w:lvlText w:val="%1.%2.%3"/>
      <w:lvlJc w:val="left"/>
      <w:pPr>
        <w:tabs>
          <w:tab w:val="num" w:pos="964"/>
        </w:tabs>
        <w:ind w:left="964" w:hanging="964"/>
      </w:pPr>
      <w:rPr>
        <w:b/>
        <w:bCs/>
        <w:i w:val="0"/>
        <w:iCs w:val="0"/>
        <w:caps w:val="0"/>
        <w:smallCaps w:val="0"/>
        <w:strike w:val="0"/>
        <w:dstrike w:val="0"/>
        <w:outline w:val="0"/>
        <w:shadow w:val="0"/>
        <w:emboss w:val="0"/>
        <w:imprint w:val="0"/>
        <w:noProof w:val="0"/>
        <w:vanish w:val="0"/>
        <w:color w:val="00338D" w:themeColor="background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964"/>
        </w:tabs>
        <w:ind w:left="964" w:hanging="96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1B50BFB"/>
    <w:multiLevelType w:val="hybridMultilevel"/>
    <w:tmpl w:val="B4BC44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DDB0588"/>
    <w:multiLevelType w:val="hybridMultilevel"/>
    <w:tmpl w:val="7EB0BE6A"/>
    <w:lvl w:ilvl="0" w:tplc="B0F4250C">
      <w:start w:val="1"/>
      <w:numFmt w:val="bullet"/>
      <w:pStyle w:val="Bullet3rdlevel"/>
      <w:lvlText w:val="—"/>
      <w:lvlJc w:val="left"/>
      <w:pPr>
        <w:ind w:left="1097" w:hanging="360"/>
      </w:pPr>
      <w:rPr>
        <w:rFonts w:ascii="Arial" w:hAnsi="Arial" w:cs="Arial" w:hint="default"/>
        <w:color w:val="auto"/>
        <w:sz w:val="24"/>
      </w:rPr>
    </w:lvl>
    <w:lvl w:ilvl="1" w:tplc="0C090003" w:tentative="1">
      <w:start w:val="1"/>
      <w:numFmt w:val="bullet"/>
      <w:lvlText w:val="o"/>
      <w:lvlJc w:val="left"/>
      <w:pPr>
        <w:ind w:left="2006" w:hanging="360"/>
      </w:pPr>
      <w:rPr>
        <w:rFonts w:ascii="Courier New" w:hAnsi="Courier New" w:cs="Courier New" w:hint="default"/>
      </w:rPr>
    </w:lvl>
    <w:lvl w:ilvl="2" w:tplc="0C090005" w:tentative="1">
      <w:start w:val="1"/>
      <w:numFmt w:val="bullet"/>
      <w:lvlText w:val=""/>
      <w:lvlJc w:val="left"/>
      <w:pPr>
        <w:ind w:left="2726" w:hanging="360"/>
      </w:pPr>
      <w:rPr>
        <w:rFonts w:ascii="Wingdings" w:hAnsi="Wingdings" w:hint="default"/>
      </w:rPr>
    </w:lvl>
    <w:lvl w:ilvl="3" w:tplc="0C090001" w:tentative="1">
      <w:start w:val="1"/>
      <w:numFmt w:val="bullet"/>
      <w:lvlText w:val=""/>
      <w:lvlJc w:val="left"/>
      <w:pPr>
        <w:ind w:left="3446" w:hanging="360"/>
      </w:pPr>
      <w:rPr>
        <w:rFonts w:ascii="Symbol" w:hAnsi="Symbol" w:hint="default"/>
      </w:rPr>
    </w:lvl>
    <w:lvl w:ilvl="4" w:tplc="0C090003" w:tentative="1">
      <w:start w:val="1"/>
      <w:numFmt w:val="bullet"/>
      <w:lvlText w:val="o"/>
      <w:lvlJc w:val="left"/>
      <w:pPr>
        <w:ind w:left="4166" w:hanging="360"/>
      </w:pPr>
      <w:rPr>
        <w:rFonts w:ascii="Courier New" w:hAnsi="Courier New" w:cs="Courier New" w:hint="default"/>
      </w:rPr>
    </w:lvl>
    <w:lvl w:ilvl="5" w:tplc="0C090005" w:tentative="1">
      <w:start w:val="1"/>
      <w:numFmt w:val="bullet"/>
      <w:lvlText w:val=""/>
      <w:lvlJc w:val="left"/>
      <w:pPr>
        <w:ind w:left="4886" w:hanging="360"/>
      </w:pPr>
      <w:rPr>
        <w:rFonts w:ascii="Wingdings" w:hAnsi="Wingdings" w:hint="default"/>
      </w:rPr>
    </w:lvl>
    <w:lvl w:ilvl="6" w:tplc="0C090001" w:tentative="1">
      <w:start w:val="1"/>
      <w:numFmt w:val="bullet"/>
      <w:lvlText w:val=""/>
      <w:lvlJc w:val="left"/>
      <w:pPr>
        <w:ind w:left="5606" w:hanging="360"/>
      </w:pPr>
      <w:rPr>
        <w:rFonts w:ascii="Symbol" w:hAnsi="Symbol" w:hint="default"/>
      </w:rPr>
    </w:lvl>
    <w:lvl w:ilvl="7" w:tplc="0C090003" w:tentative="1">
      <w:start w:val="1"/>
      <w:numFmt w:val="bullet"/>
      <w:lvlText w:val="o"/>
      <w:lvlJc w:val="left"/>
      <w:pPr>
        <w:ind w:left="6326" w:hanging="360"/>
      </w:pPr>
      <w:rPr>
        <w:rFonts w:ascii="Courier New" w:hAnsi="Courier New" w:cs="Courier New" w:hint="default"/>
      </w:rPr>
    </w:lvl>
    <w:lvl w:ilvl="8" w:tplc="0C090005" w:tentative="1">
      <w:start w:val="1"/>
      <w:numFmt w:val="bullet"/>
      <w:lvlText w:val=""/>
      <w:lvlJc w:val="left"/>
      <w:pPr>
        <w:ind w:left="7046" w:hanging="360"/>
      </w:pPr>
      <w:rPr>
        <w:rFonts w:ascii="Wingdings" w:hAnsi="Wingdings" w:hint="default"/>
      </w:rPr>
    </w:lvl>
  </w:abstractNum>
  <w:abstractNum w:abstractNumId="21" w15:restartNumberingAfterBreak="0">
    <w:nsid w:val="584B0663"/>
    <w:multiLevelType w:val="hybridMultilevel"/>
    <w:tmpl w:val="4D6EF0E0"/>
    <w:lvl w:ilvl="0" w:tplc="CE64648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3205F59"/>
    <w:multiLevelType w:val="hybridMultilevel"/>
    <w:tmpl w:val="3EC80EA6"/>
    <w:lvl w:ilvl="0" w:tplc="B0A069DE">
      <w:start w:val="1"/>
      <w:numFmt w:val="decimal"/>
      <w:pStyle w:val="NUmber1stleve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CF1BE2"/>
    <w:multiLevelType w:val="hybridMultilevel"/>
    <w:tmpl w:val="CF3E3350"/>
    <w:lvl w:ilvl="0" w:tplc="D29EB23E">
      <w:start w:val="1"/>
      <w:numFmt w:val="bullet"/>
      <w:pStyle w:val="Bullet1stlevelkeepwithnext"/>
      <w:lvlText w:val="•"/>
      <w:lvlJc w:val="left"/>
      <w:pPr>
        <w:ind w:left="360" w:hanging="360"/>
      </w:pPr>
      <w:rPr>
        <w:rFonts w:ascii="Cambria Math" w:hAnsi="Cambria Math" w:hint="default"/>
      </w:rPr>
    </w:lvl>
    <w:lvl w:ilvl="1" w:tplc="0C090003">
      <w:start w:val="1"/>
      <w:numFmt w:val="bullet"/>
      <w:lvlText w:val="o"/>
      <w:lvlJc w:val="left"/>
      <w:pPr>
        <w:ind w:left="1080" w:hanging="360"/>
      </w:pPr>
      <w:rPr>
        <w:rFonts w:ascii="Wingdings" w:hAnsi="Wingdings" w:cs="Wingdings" w:hint="default"/>
      </w:rPr>
    </w:lvl>
    <w:lvl w:ilvl="2" w:tplc="0C090005" w:tentative="1">
      <w:start w:val="1"/>
      <w:numFmt w:val="bullet"/>
      <w:lvlText w:val=""/>
      <w:lvlJc w:val="left"/>
      <w:pPr>
        <w:ind w:left="1800" w:hanging="360"/>
      </w:pPr>
      <w:rPr>
        <w:rFonts w:ascii="Cambria Math" w:hAnsi="Cambria Math" w:hint="default"/>
      </w:rPr>
    </w:lvl>
    <w:lvl w:ilvl="3" w:tplc="0C090001" w:tentative="1">
      <w:start w:val="1"/>
      <w:numFmt w:val="bullet"/>
      <w:lvlText w:val=""/>
      <w:lvlJc w:val="left"/>
      <w:pPr>
        <w:ind w:left="2520" w:hanging="360"/>
      </w:pPr>
      <w:rPr>
        <w:rFonts w:ascii="Courier New" w:hAnsi="Courier New" w:hint="default"/>
      </w:rPr>
    </w:lvl>
    <w:lvl w:ilvl="4" w:tplc="0C090003" w:tentative="1">
      <w:start w:val="1"/>
      <w:numFmt w:val="bullet"/>
      <w:lvlText w:val="o"/>
      <w:lvlJc w:val="left"/>
      <w:pPr>
        <w:ind w:left="3240" w:hanging="360"/>
      </w:pPr>
      <w:rPr>
        <w:rFonts w:ascii="Wingdings" w:hAnsi="Wingdings" w:cs="Wingdings" w:hint="default"/>
      </w:rPr>
    </w:lvl>
    <w:lvl w:ilvl="5" w:tplc="0C090005" w:tentative="1">
      <w:start w:val="1"/>
      <w:numFmt w:val="bullet"/>
      <w:lvlText w:val=""/>
      <w:lvlJc w:val="left"/>
      <w:pPr>
        <w:ind w:left="3960" w:hanging="360"/>
      </w:pPr>
      <w:rPr>
        <w:rFonts w:ascii="Cambria Math" w:hAnsi="Cambria Math" w:hint="default"/>
      </w:rPr>
    </w:lvl>
    <w:lvl w:ilvl="6" w:tplc="0C090001" w:tentative="1">
      <w:start w:val="1"/>
      <w:numFmt w:val="bullet"/>
      <w:lvlText w:val=""/>
      <w:lvlJc w:val="left"/>
      <w:pPr>
        <w:ind w:left="4680" w:hanging="360"/>
      </w:pPr>
      <w:rPr>
        <w:rFonts w:ascii="Courier New" w:hAnsi="Courier New" w:hint="default"/>
      </w:rPr>
    </w:lvl>
    <w:lvl w:ilvl="7" w:tplc="0C090003" w:tentative="1">
      <w:start w:val="1"/>
      <w:numFmt w:val="bullet"/>
      <w:lvlText w:val="o"/>
      <w:lvlJc w:val="left"/>
      <w:pPr>
        <w:ind w:left="5400" w:hanging="360"/>
      </w:pPr>
      <w:rPr>
        <w:rFonts w:ascii="Wingdings" w:hAnsi="Wingdings" w:cs="Wingdings" w:hint="default"/>
      </w:rPr>
    </w:lvl>
    <w:lvl w:ilvl="8" w:tplc="0C090005" w:tentative="1">
      <w:start w:val="1"/>
      <w:numFmt w:val="bullet"/>
      <w:lvlText w:val=""/>
      <w:lvlJc w:val="left"/>
      <w:pPr>
        <w:ind w:left="6120" w:hanging="360"/>
      </w:pPr>
      <w:rPr>
        <w:rFonts w:ascii="Cambria Math" w:hAnsi="Cambria Math" w:hint="default"/>
      </w:rPr>
    </w:lvl>
  </w:abstractNum>
  <w:abstractNum w:abstractNumId="24" w15:restartNumberingAfterBreak="0">
    <w:nsid w:val="7E2D4D62"/>
    <w:multiLevelType w:val="hybridMultilevel"/>
    <w:tmpl w:val="9BA6A39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E5C54C1"/>
    <w:multiLevelType w:val="hybridMultilevel"/>
    <w:tmpl w:val="849E2AAA"/>
    <w:lvl w:ilvl="0" w:tplc="0C090019">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num w:numId="1">
    <w:abstractNumId w:val="9"/>
  </w:num>
  <w:num w:numId="2">
    <w:abstractNumId w:val="7"/>
  </w:num>
  <w:num w:numId="3">
    <w:abstractNumId w:val="6"/>
  </w:num>
  <w:num w:numId="4">
    <w:abstractNumId w:val="18"/>
  </w:num>
  <w:num w:numId="5">
    <w:abstractNumId w:val="23"/>
  </w:num>
  <w:num w:numId="6">
    <w:abstractNumId w:val="13"/>
  </w:num>
  <w:num w:numId="7">
    <w:abstractNumId w:val="20"/>
  </w:num>
  <w:num w:numId="8">
    <w:abstractNumId w:val="24"/>
  </w:num>
  <w:num w:numId="9">
    <w:abstractNumId w:val="15"/>
  </w:num>
  <w:num w:numId="10">
    <w:abstractNumId w:val="11"/>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6"/>
  </w:num>
  <w:num w:numId="15">
    <w:abstractNumId w:val="10"/>
  </w:num>
  <w:num w:numId="16">
    <w:abstractNumId w:val="14"/>
  </w:num>
  <w:num w:numId="17">
    <w:abstractNumId w:val="8"/>
  </w:num>
  <w:num w:numId="18">
    <w:abstractNumId w:val="3"/>
  </w:num>
  <w:num w:numId="19">
    <w:abstractNumId w:val="22"/>
  </w:num>
  <w:num w:numId="20">
    <w:abstractNumId w:val="8"/>
    <w:lvlOverride w:ilvl="0">
      <w:startOverride w:val="1"/>
    </w:lvlOverride>
  </w:num>
  <w:num w:numId="21">
    <w:abstractNumId w:val="25"/>
  </w:num>
  <w:num w:numId="22">
    <w:abstractNumId w:val="8"/>
    <w:lvlOverride w:ilvl="0">
      <w:startOverride w:val="1"/>
    </w:lvlOverride>
  </w:num>
  <w:num w:numId="23">
    <w:abstractNumId w:val="8"/>
    <w:lvlOverride w:ilvl="0">
      <w:startOverride w:val="1"/>
    </w:lvlOverride>
  </w:num>
  <w:num w:numId="24">
    <w:abstractNumId w:val="19"/>
  </w:num>
  <w:num w:numId="25">
    <w:abstractNumId w:val="8"/>
    <w:lvlOverride w:ilvl="0">
      <w:startOverride w:val="1"/>
    </w:lvlOverride>
  </w:num>
  <w:num w:numId="26">
    <w:abstractNumId w:val="21"/>
  </w:num>
  <w:num w:numId="27">
    <w:abstractNumId w:val="5"/>
  </w:num>
  <w:num w:numId="28">
    <w:abstractNumId w:val="4"/>
  </w:num>
  <w:num w:numId="29">
    <w:abstractNumId w:val="2"/>
  </w:num>
  <w:num w:numId="30">
    <w:abstractNumId w:val="1"/>
  </w:num>
  <w:num w:numId="31">
    <w:abstractNumId w:val="0"/>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raftWatermark" w:val="0"/>
  </w:docVars>
  <w:rsids>
    <w:rsidRoot w:val="00726B12"/>
    <w:rsid w:val="0000000C"/>
    <w:rsid w:val="0000008D"/>
    <w:rsid w:val="0000013C"/>
    <w:rsid w:val="0000018C"/>
    <w:rsid w:val="000002B9"/>
    <w:rsid w:val="00000374"/>
    <w:rsid w:val="00000470"/>
    <w:rsid w:val="000004BC"/>
    <w:rsid w:val="000004E8"/>
    <w:rsid w:val="000005D3"/>
    <w:rsid w:val="000005FC"/>
    <w:rsid w:val="00000611"/>
    <w:rsid w:val="0000067A"/>
    <w:rsid w:val="00000682"/>
    <w:rsid w:val="0000068A"/>
    <w:rsid w:val="00000764"/>
    <w:rsid w:val="00000786"/>
    <w:rsid w:val="000007AD"/>
    <w:rsid w:val="000008B3"/>
    <w:rsid w:val="00000949"/>
    <w:rsid w:val="00000959"/>
    <w:rsid w:val="00000981"/>
    <w:rsid w:val="00000988"/>
    <w:rsid w:val="000009BB"/>
    <w:rsid w:val="00000A58"/>
    <w:rsid w:val="00000B4E"/>
    <w:rsid w:val="00000B58"/>
    <w:rsid w:val="00000C38"/>
    <w:rsid w:val="00000C97"/>
    <w:rsid w:val="00000CD2"/>
    <w:rsid w:val="00000CE1"/>
    <w:rsid w:val="00000CE3"/>
    <w:rsid w:val="00000D15"/>
    <w:rsid w:val="00000D2A"/>
    <w:rsid w:val="00000D65"/>
    <w:rsid w:val="00000D70"/>
    <w:rsid w:val="00000ED5"/>
    <w:rsid w:val="00000F19"/>
    <w:rsid w:val="00000F62"/>
    <w:rsid w:val="00000F90"/>
    <w:rsid w:val="00000FDF"/>
    <w:rsid w:val="00001034"/>
    <w:rsid w:val="0000109E"/>
    <w:rsid w:val="0000112E"/>
    <w:rsid w:val="0000115D"/>
    <w:rsid w:val="00001163"/>
    <w:rsid w:val="00001229"/>
    <w:rsid w:val="0000136E"/>
    <w:rsid w:val="000013AC"/>
    <w:rsid w:val="000013BE"/>
    <w:rsid w:val="00001427"/>
    <w:rsid w:val="0000145F"/>
    <w:rsid w:val="000014C9"/>
    <w:rsid w:val="00001511"/>
    <w:rsid w:val="00001645"/>
    <w:rsid w:val="0000165B"/>
    <w:rsid w:val="000017C5"/>
    <w:rsid w:val="00001826"/>
    <w:rsid w:val="0000182E"/>
    <w:rsid w:val="00001838"/>
    <w:rsid w:val="0000190D"/>
    <w:rsid w:val="00001922"/>
    <w:rsid w:val="00001928"/>
    <w:rsid w:val="00001941"/>
    <w:rsid w:val="00001AC3"/>
    <w:rsid w:val="00001B63"/>
    <w:rsid w:val="00001B68"/>
    <w:rsid w:val="00001BA6"/>
    <w:rsid w:val="00001BFC"/>
    <w:rsid w:val="00001C07"/>
    <w:rsid w:val="00001CA4"/>
    <w:rsid w:val="00001D0D"/>
    <w:rsid w:val="00001D15"/>
    <w:rsid w:val="00001DB1"/>
    <w:rsid w:val="00001DC8"/>
    <w:rsid w:val="00001DE9"/>
    <w:rsid w:val="00001E2F"/>
    <w:rsid w:val="00001E70"/>
    <w:rsid w:val="00001F3F"/>
    <w:rsid w:val="000020DB"/>
    <w:rsid w:val="000021E0"/>
    <w:rsid w:val="00002203"/>
    <w:rsid w:val="00002252"/>
    <w:rsid w:val="00002264"/>
    <w:rsid w:val="00002368"/>
    <w:rsid w:val="000023A9"/>
    <w:rsid w:val="000023B6"/>
    <w:rsid w:val="000023D8"/>
    <w:rsid w:val="00002410"/>
    <w:rsid w:val="00002555"/>
    <w:rsid w:val="000026E6"/>
    <w:rsid w:val="00002744"/>
    <w:rsid w:val="0000276D"/>
    <w:rsid w:val="000027B9"/>
    <w:rsid w:val="00002804"/>
    <w:rsid w:val="0000284B"/>
    <w:rsid w:val="00002A69"/>
    <w:rsid w:val="00002B4D"/>
    <w:rsid w:val="00002B7C"/>
    <w:rsid w:val="00002C58"/>
    <w:rsid w:val="00002D38"/>
    <w:rsid w:val="00002E81"/>
    <w:rsid w:val="00002E93"/>
    <w:rsid w:val="00002EA7"/>
    <w:rsid w:val="00002ED9"/>
    <w:rsid w:val="00003046"/>
    <w:rsid w:val="000030D1"/>
    <w:rsid w:val="00003108"/>
    <w:rsid w:val="00003141"/>
    <w:rsid w:val="0000314B"/>
    <w:rsid w:val="0000318E"/>
    <w:rsid w:val="000031B7"/>
    <w:rsid w:val="000031C2"/>
    <w:rsid w:val="00003216"/>
    <w:rsid w:val="0000321C"/>
    <w:rsid w:val="000032D3"/>
    <w:rsid w:val="000032D9"/>
    <w:rsid w:val="00003316"/>
    <w:rsid w:val="000033CB"/>
    <w:rsid w:val="0000350D"/>
    <w:rsid w:val="000035F9"/>
    <w:rsid w:val="000037A7"/>
    <w:rsid w:val="000037CC"/>
    <w:rsid w:val="000037E5"/>
    <w:rsid w:val="0000383E"/>
    <w:rsid w:val="0000389E"/>
    <w:rsid w:val="00003955"/>
    <w:rsid w:val="000039DC"/>
    <w:rsid w:val="000039F0"/>
    <w:rsid w:val="00003AB0"/>
    <w:rsid w:val="00003B08"/>
    <w:rsid w:val="00003B5F"/>
    <w:rsid w:val="00003B69"/>
    <w:rsid w:val="00003BBE"/>
    <w:rsid w:val="00003BCC"/>
    <w:rsid w:val="00003C46"/>
    <w:rsid w:val="00003D01"/>
    <w:rsid w:val="00003D6A"/>
    <w:rsid w:val="00003D96"/>
    <w:rsid w:val="00003DC0"/>
    <w:rsid w:val="00003DD9"/>
    <w:rsid w:val="00003E60"/>
    <w:rsid w:val="00003EAD"/>
    <w:rsid w:val="00003F4F"/>
    <w:rsid w:val="00003F87"/>
    <w:rsid w:val="000040FB"/>
    <w:rsid w:val="00004129"/>
    <w:rsid w:val="0000412A"/>
    <w:rsid w:val="0000415C"/>
    <w:rsid w:val="000042F5"/>
    <w:rsid w:val="000042FB"/>
    <w:rsid w:val="000042FD"/>
    <w:rsid w:val="0000434B"/>
    <w:rsid w:val="0000443B"/>
    <w:rsid w:val="00004489"/>
    <w:rsid w:val="0000455E"/>
    <w:rsid w:val="00004574"/>
    <w:rsid w:val="000045A8"/>
    <w:rsid w:val="000045C5"/>
    <w:rsid w:val="000045F8"/>
    <w:rsid w:val="00004988"/>
    <w:rsid w:val="00004ABB"/>
    <w:rsid w:val="00004C3F"/>
    <w:rsid w:val="00004C72"/>
    <w:rsid w:val="00004C84"/>
    <w:rsid w:val="00004EDB"/>
    <w:rsid w:val="00004F33"/>
    <w:rsid w:val="0000505A"/>
    <w:rsid w:val="00005080"/>
    <w:rsid w:val="00005089"/>
    <w:rsid w:val="000050A2"/>
    <w:rsid w:val="000050FA"/>
    <w:rsid w:val="00005189"/>
    <w:rsid w:val="000051F2"/>
    <w:rsid w:val="00005270"/>
    <w:rsid w:val="000052EB"/>
    <w:rsid w:val="00005306"/>
    <w:rsid w:val="00005355"/>
    <w:rsid w:val="00005379"/>
    <w:rsid w:val="0000539B"/>
    <w:rsid w:val="000053AA"/>
    <w:rsid w:val="000053E0"/>
    <w:rsid w:val="0000542D"/>
    <w:rsid w:val="0000547B"/>
    <w:rsid w:val="00005480"/>
    <w:rsid w:val="00005493"/>
    <w:rsid w:val="0000556C"/>
    <w:rsid w:val="0000556E"/>
    <w:rsid w:val="000056D0"/>
    <w:rsid w:val="00005712"/>
    <w:rsid w:val="0000576B"/>
    <w:rsid w:val="000057A9"/>
    <w:rsid w:val="00005843"/>
    <w:rsid w:val="0000586C"/>
    <w:rsid w:val="0000586D"/>
    <w:rsid w:val="0000593F"/>
    <w:rsid w:val="00005B4C"/>
    <w:rsid w:val="00005B85"/>
    <w:rsid w:val="00005B86"/>
    <w:rsid w:val="00005BDE"/>
    <w:rsid w:val="00005BE2"/>
    <w:rsid w:val="00005BFD"/>
    <w:rsid w:val="00005D4D"/>
    <w:rsid w:val="00005DD8"/>
    <w:rsid w:val="00005DE3"/>
    <w:rsid w:val="00005E5C"/>
    <w:rsid w:val="00005F8F"/>
    <w:rsid w:val="00005FB6"/>
    <w:rsid w:val="00006091"/>
    <w:rsid w:val="000060C7"/>
    <w:rsid w:val="00006139"/>
    <w:rsid w:val="000061AD"/>
    <w:rsid w:val="00006233"/>
    <w:rsid w:val="00006242"/>
    <w:rsid w:val="00006269"/>
    <w:rsid w:val="0000626E"/>
    <w:rsid w:val="0000633A"/>
    <w:rsid w:val="0000636C"/>
    <w:rsid w:val="000063A8"/>
    <w:rsid w:val="000064C4"/>
    <w:rsid w:val="000064E9"/>
    <w:rsid w:val="000064FA"/>
    <w:rsid w:val="000064FD"/>
    <w:rsid w:val="00006512"/>
    <w:rsid w:val="000065C0"/>
    <w:rsid w:val="0000677A"/>
    <w:rsid w:val="00006837"/>
    <w:rsid w:val="00006852"/>
    <w:rsid w:val="0000687D"/>
    <w:rsid w:val="000068BE"/>
    <w:rsid w:val="00006905"/>
    <w:rsid w:val="000069E1"/>
    <w:rsid w:val="00006A39"/>
    <w:rsid w:val="00006AD2"/>
    <w:rsid w:val="00006D48"/>
    <w:rsid w:val="00006D51"/>
    <w:rsid w:val="00006DE6"/>
    <w:rsid w:val="00006E05"/>
    <w:rsid w:val="00006E4C"/>
    <w:rsid w:val="00006F05"/>
    <w:rsid w:val="00006F2D"/>
    <w:rsid w:val="00006F4C"/>
    <w:rsid w:val="00006F5D"/>
    <w:rsid w:val="0000702B"/>
    <w:rsid w:val="000070C7"/>
    <w:rsid w:val="0000712A"/>
    <w:rsid w:val="00007219"/>
    <w:rsid w:val="0000728B"/>
    <w:rsid w:val="000072AF"/>
    <w:rsid w:val="000072EE"/>
    <w:rsid w:val="000073BA"/>
    <w:rsid w:val="0000742A"/>
    <w:rsid w:val="000074E2"/>
    <w:rsid w:val="0000756C"/>
    <w:rsid w:val="00007601"/>
    <w:rsid w:val="000076ED"/>
    <w:rsid w:val="000077CC"/>
    <w:rsid w:val="000077DC"/>
    <w:rsid w:val="000077E7"/>
    <w:rsid w:val="00007941"/>
    <w:rsid w:val="0000794E"/>
    <w:rsid w:val="00007959"/>
    <w:rsid w:val="0000795C"/>
    <w:rsid w:val="00007A82"/>
    <w:rsid w:val="00007AB4"/>
    <w:rsid w:val="00007B21"/>
    <w:rsid w:val="00007D0E"/>
    <w:rsid w:val="00007D11"/>
    <w:rsid w:val="00007D16"/>
    <w:rsid w:val="00007D91"/>
    <w:rsid w:val="00007E48"/>
    <w:rsid w:val="0001004C"/>
    <w:rsid w:val="000100CB"/>
    <w:rsid w:val="000100FB"/>
    <w:rsid w:val="00010168"/>
    <w:rsid w:val="0001018D"/>
    <w:rsid w:val="000101C2"/>
    <w:rsid w:val="0001020D"/>
    <w:rsid w:val="00010257"/>
    <w:rsid w:val="000102AC"/>
    <w:rsid w:val="00010309"/>
    <w:rsid w:val="0001033E"/>
    <w:rsid w:val="00010358"/>
    <w:rsid w:val="00010392"/>
    <w:rsid w:val="000103C2"/>
    <w:rsid w:val="000104F7"/>
    <w:rsid w:val="000105C9"/>
    <w:rsid w:val="00010841"/>
    <w:rsid w:val="000108B5"/>
    <w:rsid w:val="00010906"/>
    <w:rsid w:val="0001091E"/>
    <w:rsid w:val="00010971"/>
    <w:rsid w:val="000109A5"/>
    <w:rsid w:val="000109F9"/>
    <w:rsid w:val="00010A68"/>
    <w:rsid w:val="00010A92"/>
    <w:rsid w:val="00010B4C"/>
    <w:rsid w:val="00010B7C"/>
    <w:rsid w:val="00010B8E"/>
    <w:rsid w:val="00010BA7"/>
    <w:rsid w:val="00010BFF"/>
    <w:rsid w:val="00010C07"/>
    <w:rsid w:val="00010CD9"/>
    <w:rsid w:val="00010D7C"/>
    <w:rsid w:val="00010D82"/>
    <w:rsid w:val="00010E36"/>
    <w:rsid w:val="00010E3C"/>
    <w:rsid w:val="00010E76"/>
    <w:rsid w:val="00010EFA"/>
    <w:rsid w:val="00010F48"/>
    <w:rsid w:val="00010FDB"/>
    <w:rsid w:val="0001103D"/>
    <w:rsid w:val="000110F1"/>
    <w:rsid w:val="0001115D"/>
    <w:rsid w:val="0001117D"/>
    <w:rsid w:val="00011193"/>
    <w:rsid w:val="00011328"/>
    <w:rsid w:val="00011398"/>
    <w:rsid w:val="000113B7"/>
    <w:rsid w:val="000113BA"/>
    <w:rsid w:val="000113D2"/>
    <w:rsid w:val="000113E6"/>
    <w:rsid w:val="00011461"/>
    <w:rsid w:val="00011499"/>
    <w:rsid w:val="000114D9"/>
    <w:rsid w:val="00011659"/>
    <w:rsid w:val="00011687"/>
    <w:rsid w:val="00011769"/>
    <w:rsid w:val="000117F1"/>
    <w:rsid w:val="00011835"/>
    <w:rsid w:val="00011869"/>
    <w:rsid w:val="00011887"/>
    <w:rsid w:val="000118A8"/>
    <w:rsid w:val="0001195F"/>
    <w:rsid w:val="00011A08"/>
    <w:rsid w:val="00011AC8"/>
    <w:rsid w:val="00011BC2"/>
    <w:rsid w:val="00011C23"/>
    <w:rsid w:val="00011C59"/>
    <w:rsid w:val="00011CAE"/>
    <w:rsid w:val="00011CD1"/>
    <w:rsid w:val="00011D7D"/>
    <w:rsid w:val="00011F08"/>
    <w:rsid w:val="00011F76"/>
    <w:rsid w:val="00011FB9"/>
    <w:rsid w:val="00011FEB"/>
    <w:rsid w:val="00012046"/>
    <w:rsid w:val="0001205B"/>
    <w:rsid w:val="000121B2"/>
    <w:rsid w:val="000121C9"/>
    <w:rsid w:val="0001220B"/>
    <w:rsid w:val="0001225A"/>
    <w:rsid w:val="00012294"/>
    <w:rsid w:val="000122F5"/>
    <w:rsid w:val="00012329"/>
    <w:rsid w:val="000123AB"/>
    <w:rsid w:val="00012408"/>
    <w:rsid w:val="0001246A"/>
    <w:rsid w:val="0001250A"/>
    <w:rsid w:val="00012526"/>
    <w:rsid w:val="00012585"/>
    <w:rsid w:val="00012610"/>
    <w:rsid w:val="00012712"/>
    <w:rsid w:val="000127A4"/>
    <w:rsid w:val="000127A9"/>
    <w:rsid w:val="000127B1"/>
    <w:rsid w:val="000129AC"/>
    <w:rsid w:val="00012A0A"/>
    <w:rsid w:val="00012AB3"/>
    <w:rsid w:val="00012AD4"/>
    <w:rsid w:val="00012C04"/>
    <w:rsid w:val="00012CC4"/>
    <w:rsid w:val="00012D63"/>
    <w:rsid w:val="00012DAC"/>
    <w:rsid w:val="00012EF0"/>
    <w:rsid w:val="00012F41"/>
    <w:rsid w:val="00013018"/>
    <w:rsid w:val="00013103"/>
    <w:rsid w:val="00013188"/>
    <w:rsid w:val="000131BB"/>
    <w:rsid w:val="000132F9"/>
    <w:rsid w:val="00013332"/>
    <w:rsid w:val="000133CE"/>
    <w:rsid w:val="000133EE"/>
    <w:rsid w:val="000133F1"/>
    <w:rsid w:val="000134E6"/>
    <w:rsid w:val="0001359B"/>
    <w:rsid w:val="000135B3"/>
    <w:rsid w:val="00013618"/>
    <w:rsid w:val="0001367C"/>
    <w:rsid w:val="0001369C"/>
    <w:rsid w:val="000136B6"/>
    <w:rsid w:val="000136BD"/>
    <w:rsid w:val="0001382C"/>
    <w:rsid w:val="00013847"/>
    <w:rsid w:val="0001391C"/>
    <w:rsid w:val="00013926"/>
    <w:rsid w:val="0001394E"/>
    <w:rsid w:val="00013A7E"/>
    <w:rsid w:val="00013A96"/>
    <w:rsid w:val="00013A98"/>
    <w:rsid w:val="00013AE6"/>
    <w:rsid w:val="00013AED"/>
    <w:rsid w:val="00013B71"/>
    <w:rsid w:val="00013B7A"/>
    <w:rsid w:val="00013C97"/>
    <w:rsid w:val="00013D75"/>
    <w:rsid w:val="00013D99"/>
    <w:rsid w:val="00013DAF"/>
    <w:rsid w:val="00013E26"/>
    <w:rsid w:val="00013E65"/>
    <w:rsid w:val="00013E9C"/>
    <w:rsid w:val="00013F1D"/>
    <w:rsid w:val="0001417A"/>
    <w:rsid w:val="0001418E"/>
    <w:rsid w:val="000141AF"/>
    <w:rsid w:val="000141DA"/>
    <w:rsid w:val="00014253"/>
    <w:rsid w:val="000142E8"/>
    <w:rsid w:val="00014405"/>
    <w:rsid w:val="00014472"/>
    <w:rsid w:val="00014598"/>
    <w:rsid w:val="000145B8"/>
    <w:rsid w:val="000145C8"/>
    <w:rsid w:val="0001476A"/>
    <w:rsid w:val="000147D6"/>
    <w:rsid w:val="000147E1"/>
    <w:rsid w:val="000147F1"/>
    <w:rsid w:val="0001484E"/>
    <w:rsid w:val="00014902"/>
    <w:rsid w:val="00014975"/>
    <w:rsid w:val="00014A0B"/>
    <w:rsid w:val="00014AB9"/>
    <w:rsid w:val="00014CBC"/>
    <w:rsid w:val="00014CF2"/>
    <w:rsid w:val="00014D01"/>
    <w:rsid w:val="00014DC0"/>
    <w:rsid w:val="00014EFF"/>
    <w:rsid w:val="0001501E"/>
    <w:rsid w:val="0001502C"/>
    <w:rsid w:val="000150D2"/>
    <w:rsid w:val="0001511E"/>
    <w:rsid w:val="0001527A"/>
    <w:rsid w:val="000152BC"/>
    <w:rsid w:val="000152C7"/>
    <w:rsid w:val="00015349"/>
    <w:rsid w:val="0001549C"/>
    <w:rsid w:val="0001551C"/>
    <w:rsid w:val="000155C3"/>
    <w:rsid w:val="00015609"/>
    <w:rsid w:val="00015650"/>
    <w:rsid w:val="00015678"/>
    <w:rsid w:val="000157A9"/>
    <w:rsid w:val="000157AB"/>
    <w:rsid w:val="000157D5"/>
    <w:rsid w:val="00015842"/>
    <w:rsid w:val="0001589B"/>
    <w:rsid w:val="00015905"/>
    <w:rsid w:val="0001593D"/>
    <w:rsid w:val="00015958"/>
    <w:rsid w:val="00015997"/>
    <w:rsid w:val="000159A8"/>
    <w:rsid w:val="000159D4"/>
    <w:rsid w:val="00015B2B"/>
    <w:rsid w:val="00015B67"/>
    <w:rsid w:val="00015B9F"/>
    <w:rsid w:val="00015C93"/>
    <w:rsid w:val="00015D23"/>
    <w:rsid w:val="00015D28"/>
    <w:rsid w:val="00015D6D"/>
    <w:rsid w:val="00015E13"/>
    <w:rsid w:val="00015EE9"/>
    <w:rsid w:val="00015F6F"/>
    <w:rsid w:val="00016006"/>
    <w:rsid w:val="00016021"/>
    <w:rsid w:val="0001605A"/>
    <w:rsid w:val="0001608D"/>
    <w:rsid w:val="00016154"/>
    <w:rsid w:val="0001615E"/>
    <w:rsid w:val="000163B6"/>
    <w:rsid w:val="000163BB"/>
    <w:rsid w:val="00016424"/>
    <w:rsid w:val="0001647E"/>
    <w:rsid w:val="0001648C"/>
    <w:rsid w:val="00016493"/>
    <w:rsid w:val="000164EB"/>
    <w:rsid w:val="000164FF"/>
    <w:rsid w:val="0001651F"/>
    <w:rsid w:val="000165E0"/>
    <w:rsid w:val="000165EF"/>
    <w:rsid w:val="000166BC"/>
    <w:rsid w:val="00016708"/>
    <w:rsid w:val="0001683A"/>
    <w:rsid w:val="00016898"/>
    <w:rsid w:val="00016918"/>
    <w:rsid w:val="000169CE"/>
    <w:rsid w:val="00016C11"/>
    <w:rsid w:val="00016C5A"/>
    <w:rsid w:val="00016D4F"/>
    <w:rsid w:val="00016E5A"/>
    <w:rsid w:val="00016EC7"/>
    <w:rsid w:val="000170EF"/>
    <w:rsid w:val="0001713C"/>
    <w:rsid w:val="000171AF"/>
    <w:rsid w:val="00017333"/>
    <w:rsid w:val="0001735A"/>
    <w:rsid w:val="00017384"/>
    <w:rsid w:val="0001738B"/>
    <w:rsid w:val="000173F4"/>
    <w:rsid w:val="00017426"/>
    <w:rsid w:val="000174E4"/>
    <w:rsid w:val="000174F5"/>
    <w:rsid w:val="0001761A"/>
    <w:rsid w:val="00017697"/>
    <w:rsid w:val="0001769F"/>
    <w:rsid w:val="000176E5"/>
    <w:rsid w:val="00017705"/>
    <w:rsid w:val="0001781E"/>
    <w:rsid w:val="000178C0"/>
    <w:rsid w:val="00017967"/>
    <w:rsid w:val="000179C3"/>
    <w:rsid w:val="00017A4F"/>
    <w:rsid w:val="00017B4D"/>
    <w:rsid w:val="00017B6C"/>
    <w:rsid w:val="00017B85"/>
    <w:rsid w:val="00017BA0"/>
    <w:rsid w:val="00017BA7"/>
    <w:rsid w:val="00017BB2"/>
    <w:rsid w:val="00017BE0"/>
    <w:rsid w:val="00017C4A"/>
    <w:rsid w:val="00017C8D"/>
    <w:rsid w:val="00017D02"/>
    <w:rsid w:val="00017D86"/>
    <w:rsid w:val="00017D94"/>
    <w:rsid w:val="00017F16"/>
    <w:rsid w:val="000200EF"/>
    <w:rsid w:val="00020187"/>
    <w:rsid w:val="000201A9"/>
    <w:rsid w:val="0002028C"/>
    <w:rsid w:val="000204AE"/>
    <w:rsid w:val="000204F2"/>
    <w:rsid w:val="00020531"/>
    <w:rsid w:val="00020568"/>
    <w:rsid w:val="000205DE"/>
    <w:rsid w:val="000205F0"/>
    <w:rsid w:val="00020630"/>
    <w:rsid w:val="00020671"/>
    <w:rsid w:val="00020728"/>
    <w:rsid w:val="000208B5"/>
    <w:rsid w:val="000208BC"/>
    <w:rsid w:val="00020924"/>
    <w:rsid w:val="0002093E"/>
    <w:rsid w:val="000209AC"/>
    <w:rsid w:val="00020A38"/>
    <w:rsid w:val="00020A76"/>
    <w:rsid w:val="00020AC6"/>
    <w:rsid w:val="00020B4D"/>
    <w:rsid w:val="00020B5B"/>
    <w:rsid w:val="00020C3A"/>
    <w:rsid w:val="00020C48"/>
    <w:rsid w:val="00020C84"/>
    <w:rsid w:val="00020CEF"/>
    <w:rsid w:val="00020D09"/>
    <w:rsid w:val="00020D18"/>
    <w:rsid w:val="00020E3E"/>
    <w:rsid w:val="00020E5B"/>
    <w:rsid w:val="00020ED6"/>
    <w:rsid w:val="00020F03"/>
    <w:rsid w:val="00020FE2"/>
    <w:rsid w:val="00020FF9"/>
    <w:rsid w:val="00021023"/>
    <w:rsid w:val="000210C4"/>
    <w:rsid w:val="000210D7"/>
    <w:rsid w:val="0002110A"/>
    <w:rsid w:val="0002111D"/>
    <w:rsid w:val="0002121C"/>
    <w:rsid w:val="00021276"/>
    <w:rsid w:val="0002136D"/>
    <w:rsid w:val="0002142D"/>
    <w:rsid w:val="0002144B"/>
    <w:rsid w:val="000214A9"/>
    <w:rsid w:val="000214F9"/>
    <w:rsid w:val="00021515"/>
    <w:rsid w:val="00021562"/>
    <w:rsid w:val="000215AD"/>
    <w:rsid w:val="000215F1"/>
    <w:rsid w:val="0002160F"/>
    <w:rsid w:val="00021676"/>
    <w:rsid w:val="00021724"/>
    <w:rsid w:val="00021763"/>
    <w:rsid w:val="00021790"/>
    <w:rsid w:val="000217C3"/>
    <w:rsid w:val="00021884"/>
    <w:rsid w:val="000218AC"/>
    <w:rsid w:val="000218CA"/>
    <w:rsid w:val="00021915"/>
    <w:rsid w:val="00021A2C"/>
    <w:rsid w:val="00021A74"/>
    <w:rsid w:val="00021AE9"/>
    <w:rsid w:val="00021B0B"/>
    <w:rsid w:val="00021B18"/>
    <w:rsid w:val="00021CF1"/>
    <w:rsid w:val="00021CF2"/>
    <w:rsid w:val="00021DE5"/>
    <w:rsid w:val="00021F0F"/>
    <w:rsid w:val="00021F3E"/>
    <w:rsid w:val="00021F55"/>
    <w:rsid w:val="00022044"/>
    <w:rsid w:val="00022049"/>
    <w:rsid w:val="000220F0"/>
    <w:rsid w:val="000221DF"/>
    <w:rsid w:val="000223C6"/>
    <w:rsid w:val="000223FF"/>
    <w:rsid w:val="0002250D"/>
    <w:rsid w:val="0002255E"/>
    <w:rsid w:val="0002259C"/>
    <w:rsid w:val="000225A0"/>
    <w:rsid w:val="00022696"/>
    <w:rsid w:val="00022734"/>
    <w:rsid w:val="000227A1"/>
    <w:rsid w:val="000227F7"/>
    <w:rsid w:val="0002282E"/>
    <w:rsid w:val="00022BF6"/>
    <w:rsid w:val="00022C03"/>
    <w:rsid w:val="00022C38"/>
    <w:rsid w:val="00022CD0"/>
    <w:rsid w:val="00022DB2"/>
    <w:rsid w:val="00022E1C"/>
    <w:rsid w:val="00022E23"/>
    <w:rsid w:val="00022EBD"/>
    <w:rsid w:val="00022EF5"/>
    <w:rsid w:val="00022F5E"/>
    <w:rsid w:val="00022F96"/>
    <w:rsid w:val="000230F0"/>
    <w:rsid w:val="0002320C"/>
    <w:rsid w:val="0002320F"/>
    <w:rsid w:val="00023328"/>
    <w:rsid w:val="000233FC"/>
    <w:rsid w:val="00023514"/>
    <w:rsid w:val="00023552"/>
    <w:rsid w:val="00023581"/>
    <w:rsid w:val="00023696"/>
    <w:rsid w:val="000238E6"/>
    <w:rsid w:val="00023994"/>
    <w:rsid w:val="00023C0F"/>
    <w:rsid w:val="00023CF2"/>
    <w:rsid w:val="00023D25"/>
    <w:rsid w:val="00023D5B"/>
    <w:rsid w:val="00023D8F"/>
    <w:rsid w:val="00023DD8"/>
    <w:rsid w:val="00023DEB"/>
    <w:rsid w:val="00023F08"/>
    <w:rsid w:val="00023F5B"/>
    <w:rsid w:val="00024131"/>
    <w:rsid w:val="000241E9"/>
    <w:rsid w:val="00024236"/>
    <w:rsid w:val="00024259"/>
    <w:rsid w:val="000242A7"/>
    <w:rsid w:val="0002439C"/>
    <w:rsid w:val="000243CA"/>
    <w:rsid w:val="0002446B"/>
    <w:rsid w:val="000244E4"/>
    <w:rsid w:val="00024509"/>
    <w:rsid w:val="0002460B"/>
    <w:rsid w:val="00024674"/>
    <w:rsid w:val="000246F9"/>
    <w:rsid w:val="000247DF"/>
    <w:rsid w:val="000247F0"/>
    <w:rsid w:val="00024816"/>
    <w:rsid w:val="00024837"/>
    <w:rsid w:val="0002483E"/>
    <w:rsid w:val="00024869"/>
    <w:rsid w:val="000248D9"/>
    <w:rsid w:val="00024976"/>
    <w:rsid w:val="00024AAF"/>
    <w:rsid w:val="00024B37"/>
    <w:rsid w:val="00024CE3"/>
    <w:rsid w:val="00024CFD"/>
    <w:rsid w:val="00024D11"/>
    <w:rsid w:val="00024F13"/>
    <w:rsid w:val="00025096"/>
    <w:rsid w:val="000250A5"/>
    <w:rsid w:val="000250B5"/>
    <w:rsid w:val="000250CD"/>
    <w:rsid w:val="0002513A"/>
    <w:rsid w:val="000251A8"/>
    <w:rsid w:val="0002523B"/>
    <w:rsid w:val="00025247"/>
    <w:rsid w:val="00025271"/>
    <w:rsid w:val="00025309"/>
    <w:rsid w:val="00025536"/>
    <w:rsid w:val="0002553E"/>
    <w:rsid w:val="00025562"/>
    <w:rsid w:val="0002563C"/>
    <w:rsid w:val="00025684"/>
    <w:rsid w:val="00025695"/>
    <w:rsid w:val="00025767"/>
    <w:rsid w:val="00025780"/>
    <w:rsid w:val="00025803"/>
    <w:rsid w:val="00025966"/>
    <w:rsid w:val="00025A72"/>
    <w:rsid w:val="00025A9E"/>
    <w:rsid w:val="00025B8B"/>
    <w:rsid w:val="00025BA0"/>
    <w:rsid w:val="00025BBD"/>
    <w:rsid w:val="00025C16"/>
    <w:rsid w:val="00025C8D"/>
    <w:rsid w:val="00025D1C"/>
    <w:rsid w:val="00025D49"/>
    <w:rsid w:val="00025E4A"/>
    <w:rsid w:val="00025E56"/>
    <w:rsid w:val="00025F22"/>
    <w:rsid w:val="00025F34"/>
    <w:rsid w:val="00025F35"/>
    <w:rsid w:val="00025FDB"/>
    <w:rsid w:val="0002600B"/>
    <w:rsid w:val="00026089"/>
    <w:rsid w:val="000260C1"/>
    <w:rsid w:val="00026103"/>
    <w:rsid w:val="00026109"/>
    <w:rsid w:val="000261ED"/>
    <w:rsid w:val="00026204"/>
    <w:rsid w:val="000263AB"/>
    <w:rsid w:val="000263B9"/>
    <w:rsid w:val="000265AE"/>
    <w:rsid w:val="000265F5"/>
    <w:rsid w:val="000266D1"/>
    <w:rsid w:val="000266D8"/>
    <w:rsid w:val="000267E5"/>
    <w:rsid w:val="0002681B"/>
    <w:rsid w:val="0002682C"/>
    <w:rsid w:val="0002687B"/>
    <w:rsid w:val="000268C7"/>
    <w:rsid w:val="0002690E"/>
    <w:rsid w:val="00026ABB"/>
    <w:rsid w:val="00026BA7"/>
    <w:rsid w:val="00026C81"/>
    <w:rsid w:val="00026CF5"/>
    <w:rsid w:val="00026D9E"/>
    <w:rsid w:val="00026E11"/>
    <w:rsid w:val="00026E1B"/>
    <w:rsid w:val="00026E39"/>
    <w:rsid w:val="00026E59"/>
    <w:rsid w:val="00026ED8"/>
    <w:rsid w:val="00026FBF"/>
    <w:rsid w:val="00026FEE"/>
    <w:rsid w:val="0002712D"/>
    <w:rsid w:val="00027204"/>
    <w:rsid w:val="00027207"/>
    <w:rsid w:val="00027295"/>
    <w:rsid w:val="00027389"/>
    <w:rsid w:val="000273C5"/>
    <w:rsid w:val="000274D5"/>
    <w:rsid w:val="0002750E"/>
    <w:rsid w:val="00027535"/>
    <w:rsid w:val="000275CD"/>
    <w:rsid w:val="00027610"/>
    <w:rsid w:val="000276D0"/>
    <w:rsid w:val="000277E9"/>
    <w:rsid w:val="000277EA"/>
    <w:rsid w:val="000278BD"/>
    <w:rsid w:val="000279E1"/>
    <w:rsid w:val="00027A56"/>
    <w:rsid w:val="00027A61"/>
    <w:rsid w:val="00027A99"/>
    <w:rsid w:val="00027AB1"/>
    <w:rsid w:val="00027BDF"/>
    <w:rsid w:val="00027C41"/>
    <w:rsid w:val="00027CCA"/>
    <w:rsid w:val="00027F89"/>
    <w:rsid w:val="00030020"/>
    <w:rsid w:val="0003009D"/>
    <w:rsid w:val="000300CC"/>
    <w:rsid w:val="000303A0"/>
    <w:rsid w:val="0003043C"/>
    <w:rsid w:val="0003047F"/>
    <w:rsid w:val="000304A9"/>
    <w:rsid w:val="000304F1"/>
    <w:rsid w:val="00030527"/>
    <w:rsid w:val="0003063A"/>
    <w:rsid w:val="000306A4"/>
    <w:rsid w:val="000306C7"/>
    <w:rsid w:val="00030757"/>
    <w:rsid w:val="00030764"/>
    <w:rsid w:val="0003076C"/>
    <w:rsid w:val="0003077C"/>
    <w:rsid w:val="000307EA"/>
    <w:rsid w:val="000308CF"/>
    <w:rsid w:val="00030937"/>
    <w:rsid w:val="000309F5"/>
    <w:rsid w:val="00030AAE"/>
    <w:rsid w:val="00030B33"/>
    <w:rsid w:val="00030C1A"/>
    <w:rsid w:val="00030C27"/>
    <w:rsid w:val="00030C7D"/>
    <w:rsid w:val="00030CA1"/>
    <w:rsid w:val="00030D69"/>
    <w:rsid w:val="00030D75"/>
    <w:rsid w:val="00030DC7"/>
    <w:rsid w:val="00030E77"/>
    <w:rsid w:val="00030EA4"/>
    <w:rsid w:val="00030F46"/>
    <w:rsid w:val="00030F8F"/>
    <w:rsid w:val="0003100F"/>
    <w:rsid w:val="00031078"/>
    <w:rsid w:val="0003109F"/>
    <w:rsid w:val="000310D3"/>
    <w:rsid w:val="000311D4"/>
    <w:rsid w:val="0003129D"/>
    <w:rsid w:val="000312FD"/>
    <w:rsid w:val="00031303"/>
    <w:rsid w:val="0003132E"/>
    <w:rsid w:val="00031408"/>
    <w:rsid w:val="00031417"/>
    <w:rsid w:val="00031434"/>
    <w:rsid w:val="00031443"/>
    <w:rsid w:val="00031499"/>
    <w:rsid w:val="000314D6"/>
    <w:rsid w:val="000315A9"/>
    <w:rsid w:val="00031624"/>
    <w:rsid w:val="00031663"/>
    <w:rsid w:val="0003167F"/>
    <w:rsid w:val="0003170C"/>
    <w:rsid w:val="00031723"/>
    <w:rsid w:val="00031775"/>
    <w:rsid w:val="0003187D"/>
    <w:rsid w:val="00031904"/>
    <w:rsid w:val="00031947"/>
    <w:rsid w:val="00031A24"/>
    <w:rsid w:val="00031A52"/>
    <w:rsid w:val="00031A59"/>
    <w:rsid w:val="00031A80"/>
    <w:rsid w:val="00031C08"/>
    <w:rsid w:val="00031C1C"/>
    <w:rsid w:val="00031D22"/>
    <w:rsid w:val="00031D26"/>
    <w:rsid w:val="00031DDA"/>
    <w:rsid w:val="00031E0E"/>
    <w:rsid w:val="00031EDB"/>
    <w:rsid w:val="00031EDC"/>
    <w:rsid w:val="00031EE3"/>
    <w:rsid w:val="00032025"/>
    <w:rsid w:val="00032053"/>
    <w:rsid w:val="0003205C"/>
    <w:rsid w:val="000320BF"/>
    <w:rsid w:val="000320FD"/>
    <w:rsid w:val="00032116"/>
    <w:rsid w:val="0003214F"/>
    <w:rsid w:val="0003217B"/>
    <w:rsid w:val="00032223"/>
    <w:rsid w:val="0003222C"/>
    <w:rsid w:val="00032315"/>
    <w:rsid w:val="0003240F"/>
    <w:rsid w:val="0003258F"/>
    <w:rsid w:val="000326F4"/>
    <w:rsid w:val="000328C3"/>
    <w:rsid w:val="000328CD"/>
    <w:rsid w:val="00032A6B"/>
    <w:rsid w:val="00032B5B"/>
    <w:rsid w:val="00032BE0"/>
    <w:rsid w:val="00032C92"/>
    <w:rsid w:val="00032C96"/>
    <w:rsid w:val="00032CA8"/>
    <w:rsid w:val="00032D02"/>
    <w:rsid w:val="00032E4B"/>
    <w:rsid w:val="00032E53"/>
    <w:rsid w:val="00032EBB"/>
    <w:rsid w:val="00032FAE"/>
    <w:rsid w:val="00032FC1"/>
    <w:rsid w:val="00032FC2"/>
    <w:rsid w:val="0003312C"/>
    <w:rsid w:val="00033246"/>
    <w:rsid w:val="0003326D"/>
    <w:rsid w:val="0003331A"/>
    <w:rsid w:val="000333C8"/>
    <w:rsid w:val="00033427"/>
    <w:rsid w:val="00033453"/>
    <w:rsid w:val="000334FD"/>
    <w:rsid w:val="00033507"/>
    <w:rsid w:val="000335A2"/>
    <w:rsid w:val="00033608"/>
    <w:rsid w:val="00033729"/>
    <w:rsid w:val="00033773"/>
    <w:rsid w:val="00033809"/>
    <w:rsid w:val="0003381B"/>
    <w:rsid w:val="00033846"/>
    <w:rsid w:val="00033887"/>
    <w:rsid w:val="000338F3"/>
    <w:rsid w:val="00033912"/>
    <w:rsid w:val="00033931"/>
    <w:rsid w:val="000339EB"/>
    <w:rsid w:val="00033B6B"/>
    <w:rsid w:val="00033CA8"/>
    <w:rsid w:val="00034163"/>
    <w:rsid w:val="00034188"/>
    <w:rsid w:val="00034272"/>
    <w:rsid w:val="000342E9"/>
    <w:rsid w:val="0003433B"/>
    <w:rsid w:val="0003435F"/>
    <w:rsid w:val="0003436C"/>
    <w:rsid w:val="000343E5"/>
    <w:rsid w:val="00034444"/>
    <w:rsid w:val="000344D0"/>
    <w:rsid w:val="00034577"/>
    <w:rsid w:val="00034578"/>
    <w:rsid w:val="0003460D"/>
    <w:rsid w:val="000346DA"/>
    <w:rsid w:val="000346F7"/>
    <w:rsid w:val="00034885"/>
    <w:rsid w:val="000348F7"/>
    <w:rsid w:val="00034A0C"/>
    <w:rsid w:val="00034A31"/>
    <w:rsid w:val="00034ADA"/>
    <w:rsid w:val="00034B4E"/>
    <w:rsid w:val="00034B62"/>
    <w:rsid w:val="00034BE3"/>
    <w:rsid w:val="00034C2D"/>
    <w:rsid w:val="00034CAA"/>
    <w:rsid w:val="00034D0C"/>
    <w:rsid w:val="00034D8E"/>
    <w:rsid w:val="00034DBB"/>
    <w:rsid w:val="00034E1C"/>
    <w:rsid w:val="00034EBE"/>
    <w:rsid w:val="00034F3C"/>
    <w:rsid w:val="00034FC6"/>
    <w:rsid w:val="00035039"/>
    <w:rsid w:val="0003503F"/>
    <w:rsid w:val="000350A6"/>
    <w:rsid w:val="000350F7"/>
    <w:rsid w:val="00035103"/>
    <w:rsid w:val="000351C5"/>
    <w:rsid w:val="000351DE"/>
    <w:rsid w:val="00035239"/>
    <w:rsid w:val="0003529F"/>
    <w:rsid w:val="000352CB"/>
    <w:rsid w:val="0003537E"/>
    <w:rsid w:val="0003541B"/>
    <w:rsid w:val="000354C6"/>
    <w:rsid w:val="000354EC"/>
    <w:rsid w:val="000355AF"/>
    <w:rsid w:val="00035623"/>
    <w:rsid w:val="000358A1"/>
    <w:rsid w:val="000358C8"/>
    <w:rsid w:val="00035907"/>
    <w:rsid w:val="00035994"/>
    <w:rsid w:val="000359A9"/>
    <w:rsid w:val="000359AB"/>
    <w:rsid w:val="00035A49"/>
    <w:rsid w:val="00035ABD"/>
    <w:rsid w:val="00035BD8"/>
    <w:rsid w:val="00035C32"/>
    <w:rsid w:val="00035D5F"/>
    <w:rsid w:val="00035F33"/>
    <w:rsid w:val="00035F58"/>
    <w:rsid w:val="0003601F"/>
    <w:rsid w:val="00036104"/>
    <w:rsid w:val="0003617C"/>
    <w:rsid w:val="000361CE"/>
    <w:rsid w:val="000361EA"/>
    <w:rsid w:val="0003623E"/>
    <w:rsid w:val="000362C1"/>
    <w:rsid w:val="00036442"/>
    <w:rsid w:val="00036774"/>
    <w:rsid w:val="000367E9"/>
    <w:rsid w:val="00036816"/>
    <w:rsid w:val="000368A4"/>
    <w:rsid w:val="000368B9"/>
    <w:rsid w:val="000368CC"/>
    <w:rsid w:val="00036A14"/>
    <w:rsid w:val="00036A8E"/>
    <w:rsid w:val="00036A96"/>
    <w:rsid w:val="00036B83"/>
    <w:rsid w:val="00036B88"/>
    <w:rsid w:val="00036C09"/>
    <w:rsid w:val="00036C2B"/>
    <w:rsid w:val="00036C77"/>
    <w:rsid w:val="00036CB5"/>
    <w:rsid w:val="00036D64"/>
    <w:rsid w:val="00036D72"/>
    <w:rsid w:val="00036DA7"/>
    <w:rsid w:val="00036EDB"/>
    <w:rsid w:val="00036F31"/>
    <w:rsid w:val="00036F9B"/>
    <w:rsid w:val="00037022"/>
    <w:rsid w:val="00037033"/>
    <w:rsid w:val="0003706D"/>
    <w:rsid w:val="00037073"/>
    <w:rsid w:val="000370F8"/>
    <w:rsid w:val="0003710B"/>
    <w:rsid w:val="0003712F"/>
    <w:rsid w:val="0003721A"/>
    <w:rsid w:val="0003729B"/>
    <w:rsid w:val="00037304"/>
    <w:rsid w:val="00037365"/>
    <w:rsid w:val="000373A8"/>
    <w:rsid w:val="00037402"/>
    <w:rsid w:val="000374B8"/>
    <w:rsid w:val="00037564"/>
    <w:rsid w:val="00037565"/>
    <w:rsid w:val="00037649"/>
    <w:rsid w:val="000377A3"/>
    <w:rsid w:val="000377D0"/>
    <w:rsid w:val="00037848"/>
    <w:rsid w:val="00037A4C"/>
    <w:rsid w:val="00037A4D"/>
    <w:rsid w:val="00037AE1"/>
    <w:rsid w:val="00037BCF"/>
    <w:rsid w:val="00037BF4"/>
    <w:rsid w:val="00037C00"/>
    <w:rsid w:val="00037C5E"/>
    <w:rsid w:val="00037C67"/>
    <w:rsid w:val="00037CBE"/>
    <w:rsid w:val="00037CC1"/>
    <w:rsid w:val="00037EC6"/>
    <w:rsid w:val="00037EF2"/>
    <w:rsid w:val="00037F0A"/>
    <w:rsid w:val="00040025"/>
    <w:rsid w:val="0004003F"/>
    <w:rsid w:val="0004006B"/>
    <w:rsid w:val="000400E2"/>
    <w:rsid w:val="00040100"/>
    <w:rsid w:val="00040117"/>
    <w:rsid w:val="0004012B"/>
    <w:rsid w:val="0004018D"/>
    <w:rsid w:val="000401A4"/>
    <w:rsid w:val="00040317"/>
    <w:rsid w:val="0004031B"/>
    <w:rsid w:val="0004042E"/>
    <w:rsid w:val="000404CA"/>
    <w:rsid w:val="000404DF"/>
    <w:rsid w:val="00040558"/>
    <w:rsid w:val="0004055C"/>
    <w:rsid w:val="000405A0"/>
    <w:rsid w:val="000405FC"/>
    <w:rsid w:val="00040600"/>
    <w:rsid w:val="000406D0"/>
    <w:rsid w:val="0004075C"/>
    <w:rsid w:val="000407B4"/>
    <w:rsid w:val="00040832"/>
    <w:rsid w:val="00040922"/>
    <w:rsid w:val="000409B4"/>
    <w:rsid w:val="00040A3E"/>
    <w:rsid w:val="00040A8A"/>
    <w:rsid w:val="00040BB9"/>
    <w:rsid w:val="00040C00"/>
    <w:rsid w:val="00040C25"/>
    <w:rsid w:val="00040C54"/>
    <w:rsid w:val="00040D45"/>
    <w:rsid w:val="00040D7B"/>
    <w:rsid w:val="00040DF3"/>
    <w:rsid w:val="00040E43"/>
    <w:rsid w:val="00040E9C"/>
    <w:rsid w:val="00040ED1"/>
    <w:rsid w:val="00040F09"/>
    <w:rsid w:val="00040F0F"/>
    <w:rsid w:val="00040FF8"/>
    <w:rsid w:val="00041005"/>
    <w:rsid w:val="0004105F"/>
    <w:rsid w:val="0004107D"/>
    <w:rsid w:val="0004108A"/>
    <w:rsid w:val="000410FF"/>
    <w:rsid w:val="0004116C"/>
    <w:rsid w:val="000411BF"/>
    <w:rsid w:val="0004122E"/>
    <w:rsid w:val="00041247"/>
    <w:rsid w:val="0004133E"/>
    <w:rsid w:val="00041385"/>
    <w:rsid w:val="000413E9"/>
    <w:rsid w:val="0004147A"/>
    <w:rsid w:val="00041483"/>
    <w:rsid w:val="000414A4"/>
    <w:rsid w:val="0004151D"/>
    <w:rsid w:val="0004163C"/>
    <w:rsid w:val="00041674"/>
    <w:rsid w:val="0004171A"/>
    <w:rsid w:val="00041768"/>
    <w:rsid w:val="000417B0"/>
    <w:rsid w:val="000417C5"/>
    <w:rsid w:val="000417EF"/>
    <w:rsid w:val="000417F8"/>
    <w:rsid w:val="0004189C"/>
    <w:rsid w:val="000418A4"/>
    <w:rsid w:val="000418AA"/>
    <w:rsid w:val="0004199E"/>
    <w:rsid w:val="00041A37"/>
    <w:rsid w:val="00041A59"/>
    <w:rsid w:val="00041A8B"/>
    <w:rsid w:val="00041AB7"/>
    <w:rsid w:val="00041B8C"/>
    <w:rsid w:val="00041BCF"/>
    <w:rsid w:val="00041BFE"/>
    <w:rsid w:val="00041C1E"/>
    <w:rsid w:val="00041C35"/>
    <w:rsid w:val="00041C4F"/>
    <w:rsid w:val="00041C69"/>
    <w:rsid w:val="00041D91"/>
    <w:rsid w:val="00041E76"/>
    <w:rsid w:val="00041EA5"/>
    <w:rsid w:val="0004206E"/>
    <w:rsid w:val="000420B7"/>
    <w:rsid w:val="000421BD"/>
    <w:rsid w:val="00042330"/>
    <w:rsid w:val="00042344"/>
    <w:rsid w:val="000426CC"/>
    <w:rsid w:val="000426D2"/>
    <w:rsid w:val="0004272D"/>
    <w:rsid w:val="00042743"/>
    <w:rsid w:val="00042816"/>
    <w:rsid w:val="00042818"/>
    <w:rsid w:val="0004287A"/>
    <w:rsid w:val="00042881"/>
    <w:rsid w:val="000429BB"/>
    <w:rsid w:val="00042A89"/>
    <w:rsid w:val="00042A90"/>
    <w:rsid w:val="00042B32"/>
    <w:rsid w:val="00042B3A"/>
    <w:rsid w:val="00042C39"/>
    <w:rsid w:val="00042C98"/>
    <w:rsid w:val="00042D0C"/>
    <w:rsid w:val="00042E30"/>
    <w:rsid w:val="00042E36"/>
    <w:rsid w:val="00042E9B"/>
    <w:rsid w:val="00042EF2"/>
    <w:rsid w:val="00042FBF"/>
    <w:rsid w:val="00042FD7"/>
    <w:rsid w:val="00043050"/>
    <w:rsid w:val="0004306A"/>
    <w:rsid w:val="00043073"/>
    <w:rsid w:val="000430ED"/>
    <w:rsid w:val="00043105"/>
    <w:rsid w:val="0004314C"/>
    <w:rsid w:val="00043204"/>
    <w:rsid w:val="0004321B"/>
    <w:rsid w:val="00043274"/>
    <w:rsid w:val="0004329D"/>
    <w:rsid w:val="00043300"/>
    <w:rsid w:val="0004331B"/>
    <w:rsid w:val="00043337"/>
    <w:rsid w:val="00043354"/>
    <w:rsid w:val="00043384"/>
    <w:rsid w:val="000433D7"/>
    <w:rsid w:val="0004340D"/>
    <w:rsid w:val="00043425"/>
    <w:rsid w:val="00043434"/>
    <w:rsid w:val="00043447"/>
    <w:rsid w:val="0004348A"/>
    <w:rsid w:val="000436A9"/>
    <w:rsid w:val="00043725"/>
    <w:rsid w:val="00043736"/>
    <w:rsid w:val="00043783"/>
    <w:rsid w:val="00043848"/>
    <w:rsid w:val="00043851"/>
    <w:rsid w:val="000438A1"/>
    <w:rsid w:val="000438D9"/>
    <w:rsid w:val="0004396B"/>
    <w:rsid w:val="0004399D"/>
    <w:rsid w:val="00043A6C"/>
    <w:rsid w:val="00043AA8"/>
    <w:rsid w:val="00043C6B"/>
    <w:rsid w:val="00043C7A"/>
    <w:rsid w:val="00043CD8"/>
    <w:rsid w:val="00043E87"/>
    <w:rsid w:val="00043FBF"/>
    <w:rsid w:val="00044022"/>
    <w:rsid w:val="00044089"/>
    <w:rsid w:val="000440F6"/>
    <w:rsid w:val="0004411C"/>
    <w:rsid w:val="0004434D"/>
    <w:rsid w:val="0004437E"/>
    <w:rsid w:val="00044442"/>
    <w:rsid w:val="0004447D"/>
    <w:rsid w:val="000444C8"/>
    <w:rsid w:val="000444EB"/>
    <w:rsid w:val="000444F2"/>
    <w:rsid w:val="00044610"/>
    <w:rsid w:val="00044651"/>
    <w:rsid w:val="00044676"/>
    <w:rsid w:val="0004467B"/>
    <w:rsid w:val="000446D8"/>
    <w:rsid w:val="00044700"/>
    <w:rsid w:val="000447AC"/>
    <w:rsid w:val="000447D9"/>
    <w:rsid w:val="000447F6"/>
    <w:rsid w:val="000447FC"/>
    <w:rsid w:val="00044862"/>
    <w:rsid w:val="000449A8"/>
    <w:rsid w:val="000449C0"/>
    <w:rsid w:val="000449CB"/>
    <w:rsid w:val="000449EC"/>
    <w:rsid w:val="00044A00"/>
    <w:rsid w:val="00044A61"/>
    <w:rsid w:val="00044A99"/>
    <w:rsid w:val="00044C1F"/>
    <w:rsid w:val="00044EBD"/>
    <w:rsid w:val="00044ECD"/>
    <w:rsid w:val="00044F07"/>
    <w:rsid w:val="00044F1B"/>
    <w:rsid w:val="00044FCE"/>
    <w:rsid w:val="00044FE2"/>
    <w:rsid w:val="00044FFE"/>
    <w:rsid w:val="0004501A"/>
    <w:rsid w:val="00045129"/>
    <w:rsid w:val="000452B3"/>
    <w:rsid w:val="000452C9"/>
    <w:rsid w:val="000453D4"/>
    <w:rsid w:val="00045406"/>
    <w:rsid w:val="0004549F"/>
    <w:rsid w:val="0004561B"/>
    <w:rsid w:val="00045627"/>
    <w:rsid w:val="00045685"/>
    <w:rsid w:val="000456D1"/>
    <w:rsid w:val="0004587F"/>
    <w:rsid w:val="00045883"/>
    <w:rsid w:val="000458D8"/>
    <w:rsid w:val="00045A40"/>
    <w:rsid w:val="00045BDD"/>
    <w:rsid w:val="00045CAA"/>
    <w:rsid w:val="00045CB4"/>
    <w:rsid w:val="00045CDA"/>
    <w:rsid w:val="00045DA5"/>
    <w:rsid w:val="00045E79"/>
    <w:rsid w:val="00045EED"/>
    <w:rsid w:val="00045F41"/>
    <w:rsid w:val="00045F4A"/>
    <w:rsid w:val="00045F6E"/>
    <w:rsid w:val="00045FFF"/>
    <w:rsid w:val="00046077"/>
    <w:rsid w:val="000460C0"/>
    <w:rsid w:val="00046195"/>
    <w:rsid w:val="000461D4"/>
    <w:rsid w:val="00046206"/>
    <w:rsid w:val="00046262"/>
    <w:rsid w:val="0004626A"/>
    <w:rsid w:val="00046287"/>
    <w:rsid w:val="000462DD"/>
    <w:rsid w:val="00046331"/>
    <w:rsid w:val="00046377"/>
    <w:rsid w:val="00046393"/>
    <w:rsid w:val="000463D1"/>
    <w:rsid w:val="000463F5"/>
    <w:rsid w:val="0004644C"/>
    <w:rsid w:val="0004646A"/>
    <w:rsid w:val="00046495"/>
    <w:rsid w:val="000464D8"/>
    <w:rsid w:val="00046520"/>
    <w:rsid w:val="0004668A"/>
    <w:rsid w:val="000466DF"/>
    <w:rsid w:val="000467F3"/>
    <w:rsid w:val="000468AD"/>
    <w:rsid w:val="000468D8"/>
    <w:rsid w:val="000468ED"/>
    <w:rsid w:val="00046900"/>
    <w:rsid w:val="00046A27"/>
    <w:rsid w:val="00046A58"/>
    <w:rsid w:val="00046BC5"/>
    <w:rsid w:val="00046BD2"/>
    <w:rsid w:val="00046C1C"/>
    <w:rsid w:val="00046C4E"/>
    <w:rsid w:val="00046CA6"/>
    <w:rsid w:val="00046CC9"/>
    <w:rsid w:val="00046D89"/>
    <w:rsid w:val="00046E6C"/>
    <w:rsid w:val="00047032"/>
    <w:rsid w:val="000471A8"/>
    <w:rsid w:val="00047205"/>
    <w:rsid w:val="000472CE"/>
    <w:rsid w:val="0004731F"/>
    <w:rsid w:val="00047451"/>
    <w:rsid w:val="000474A6"/>
    <w:rsid w:val="000474F0"/>
    <w:rsid w:val="00047501"/>
    <w:rsid w:val="0004752B"/>
    <w:rsid w:val="00047563"/>
    <w:rsid w:val="000475CD"/>
    <w:rsid w:val="000476A8"/>
    <w:rsid w:val="000476F2"/>
    <w:rsid w:val="000476FA"/>
    <w:rsid w:val="0004773E"/>
    <w:rsid w:val="00047740"/>
    <w:rsid w:val="00047756"/>
    <w:rsid w:val="0004777D"/>
    <w:rsid w:val="000477FE"/>
    <w:rsid w:val="0004788B"/>
    <w:rsid w:val="000478CB"/>
    <w:rsid w:val="00047934"/>
    <w:rsid w:val="00047962"/>
    <w:rsid w:val="00047A5F"/>
    <w:rsid w:val="00047A68"/>
    <w:rsid w:val="00047BF7"/>
    <w:rsid w:val="00047C36"/>
    <w:rsid w:val="00047CEE"/>
    <w:rsid w:val="00047D1F"/>
    <w:rsid w:val="00047DCA"/>
    <w:rsid w:val="00047DE3"/>
    <w:rsid w:val="00047DF0"/>
    <w:rsid w:val="00047E85"/>
    <w:rsid w:val="00047E96"/>
    <w:rsid w:val="00047E98"/>
    <w:rsid w:val="00047EF2"/>
    <w:rsid w:val="00047F33"/>
    <w:rsid w:val="00047F39"/>
    <w:rsid w:val="00047F7A"/>
    <w:rsid w:val="000500A6"/>
    <w:rsid w:val="000500D3"/>
    <w:rsid w:val="00050181"/>
    <w:rsid w:val="000501E3"/>
    <w:rsid w:val="000501E6"/>
    <w:rsid w:val="00050248"/>
    <w:rsid w:val="00050261"/>
    <w:rsid w:val="0005030A"/>
    <w:rsid w:val="00050313"/>
    <w:rsid w:val="00050322"/>
    <w:rsid w:val="0005032F"/>
    <w:rsid w:val="0005040C"/>
    <w:rsid w:val="000504E8"/>
    <w:rsid w:val="000504F2"/>
    <w:rsid w:val="0005053D"/>
    <w:rsid w:val="00050584"/>
    <w:rsid w:val="00050635"/>
    <w:rsid w:val="0005065D"/>
    <w:rsid w:val="00050683"/>
    <w:rsid w:val="000506DE"/>
    <w:rsid w:val="000506EA"/>
    <w:rsid w:val="000507B6"/>
    <w:rsid w:val="000507EF"/>
    <w:rsid w:val="00050878"/>
    <w:rsid w:val="00050884"/>
    <w:rsid w:val="000508B3"/>
    <w:rsid w:val="00050901"/>
    <w:rsid w:val="0005092A"/>
    <w:rsid w:val="00050A89"/>
    <w:rsid w:val="00050A8C"/>
    <w:rsid w:val="00050AA8"/>
    <w:rsid w:val="00050AE8"/>
    <w:rsid w:val="00050BC4"/>
    <w:rsid w:val="00050BD9"/>
    <w:rsid w:val="00050CA4"/>
    <w:rsid w:val="00050CAA"/>
    <w:rsid w:val="00050CC2"/>
    <w:rsid w:val="00050E79"/>
    <w:rsid w:val="00050EB7"/>
    <w:rsid w:val="00050F12"/>
    <w:rsid w:val="00050F49"/>
    <w:rsid w:val="00050FE4"/>
    <w:rsid w:val="00051085"/>
    <w:rsid w:val="00051094"/>
    <w:rsid w:val="000510FE"/>
    <w:rsid w:val="000511FE"/>
    <w:rsid w:val="00051214"/>
    <w:rsid w:val="000512BA"/>
    <w:rsid w:val="00051310"/>
    <w:rsid w:val="0005131C"/>
    <w:rsid w:val="0005136A"/>
    <w:rsid w:val="0005141C"/>
    <w:rsid w:val="0005175D"/>
    <w:rsid w:val="000517BF"/>
    <w:rsid w:val="00051995"/>
    <w:rsid w:val="000519C7"/>
    <w:rsid w:val="000519D8"/>
    <w:rsid w:val="000519FA"/>
    <w:rsid w:val="00051AA9"/>
    <w:rsid w:val="00051AAC"/>
    <w:rsid w:val="00051AD1"/>
    <w:rsid w:val="00051AD7"/>
    <w:rsid w:val="00051AF9"/>
    <w:rsid w:val="00051C27"/>
    <w:rsid w:val="00051C4B"/>
    <w:rsid w:val="00051C6D"/>
    <w:rsid w:val="00051CA5"/>
    <w:rsid w:val="00051DC8"/>
    <w:rsid w:val="00051EC2"/>
    <w:rsid w:val="00051F02"/>
    <w:rsid w:val="00051F67"/>
    <w:rsid w:val="00051FFB"/>
    <w:rsid w:val="000521E5"/>
    <w:rsid w:val="000522D7"/>
    <w:rsid w:val="000522F5"/>
    <w:rsid w:val="00052468"/>
    <w:rsid w:val="000524D7"/>
    <w:rsid w:val="00052504"/>
    <w:rsid w:val="0005253A"/>
    <w:rsid w:val="0005255E"/>
    <w:rsid w:val="00052656"/>
    <w:rsid w:val="00052672"/>
    <w:rsid w:val="000526B0"/>
    <w:rsid w:val="000526E6"/>
    <w:rsid w:val="00052702"/>
    <w:rsid w:val="00052734"/>
    <w:rsid w:val="00052933"/>
    <w:rsid w:val="00052967"/>
    <w:rsid w:val="000529AE"/>
    <w:rsid w:val="00052AA4"/>
    <w:rsid w:val="00052AD1"/>
    <w:rsid w:val="00052B28"/>
    <w:rsid w:val="00052B49"/>
    <w:rsid w:val="00052B9F"/>
    <w:rsid w:val="00052DBB"/>
    <w:rsid w:val="00052E6B"/>
    <w:rsid w:val="00052F0F"/>
    <w:rsid w:val="00052F50"/>
    <w:rsid w:val="00052F9D"/>
    <w:rsid w:val="00053033"/>
    <w:rsid w:val="00053036"/>
    <w:rsid w:val="0005312B"/>
    <w:rsid w:val="0005321B"/>
    <w:rsid w:val="0005330D"/>
    <w:rsid w:val="0005331B"/>
    <w:rsid w:val="00053365"/>
    <w:rsid w:val="000535B5"/>
    <w:rsid w:val="000535E2"/>
    <w:rsid w:val="000535FA"/>
    <w:rsid w:val="0005363F"/>
    <w:rsid w:val="00053689"/>
    <w:rsid w:val="000536B6"/>
    <w:rsid w:val="0005372A"/>
    <w:rsid w:val="00053756"/>
    <w:rsid w:val="000538D3"/>
    <w:rsid w:val="00053914"/>
    <w:rsid w:val="00053A68"/>
    <w:rsid w:val="00053A7D"/>
    <w:rsid w:val="00053AC9"/>
    <w:rsid w:val="00053BA6"/>
    <w:rsid w:val="00053BB6"/>
    <w:rsid w:val="00053BE4"/>
    <w:rsid w:val="00053C12"/>
    <w:rsid w:val="00053C88"/>
    <w:rsid w:val="00053C8B"/>
    <w:rsid w:val="00053CF8"/>
    <w:rsid w:val="00053D19"/>
    <w:rsid w:val="00053DCB"/>
    <w:rsid w:val="00053F51"/>
    <w:rsid w:val="00053FCA"/>
    <w:rsid w:val="00054004"/>
    <w:rsid w:val="000540B1"/>
    <w:rsid w:val="000540C0"/>
    <w:rsid w:val="000540F3"/>
    <w:rsid w:val="00054109"/>
    <w:rsid w:val="00054242"/>
    <w:rsid w:val="0005424D"/>
    <w:rsid w:val="000542AB"/>
    <w:rsid w:val="000542FF"/>
    <w:rsid w:val="00054364"/>
    <w:rsid w:val="00054370"/>
    <w:rsid w:val="0005437F"/>
    <w:rsid w:val="000543C1"/>
    <w:rsid w:val="00054406"/>
    <w:rsid w:val="00054634"/>
    <w:rsid w:val="00054697"/>
    <w:rsid w:val="00054771"/>
    <w:rsid w:val="0005485A"/>
    <w:rsid w:val="0005491C"/>
    <w:rsid w:val="000549DB"/>
    <w:rsid w:val="00054A90"/>
    <w:rsid w:val="00054B5C"/>
    <w:rsid w:val="00054B68"/>
    <w:rsid w:val="00054B9E"/>
    <w:rsid w:val="00054BE0"/>
    <w:rsid w:val="00054C33"/>
    <w:rsid w:val="00054C5B"/>
    <w:rsid w:val="00054CAA"/>
    <w:rsid w:val="00054CD4"/>
    <w:rsid w:val="00054D76"/>
    <w:rsid w:val="00054D7D"/>
    <w:rsid w:val="00054DF3"/>
    <w:rsid w:val="00054E18"/>
    <w:rsid w:val="00054F61"/>
    <w:rsid w:val="00054FF0"/>
    <w:rsid w:val="00054FF6"/>
    <w:rsid w:val="00055013"/>
    <w:rsid w:val="00055016"/>
    <w:rsid w:val="00055089"/>
    <w:rsid w:val="0005511D"/>
    <w:rsid w:val="000551ED"/>
    <w:rsid w:val="000551FF"/>
    <w:rsid w:val="000552E2"/>
    <w:rsid w:val="000552F8"/>
    <w:rsid w:val="0005531E"/>
    <w:rsid w:val="00055326"/>
    <w:rsid w:val="00055329"/>
    <w:rsid w:val="0005535E"/>
    <w:rsid w:val="000554AC"/>
    <w:rsid w:val="00055573"/>
    <w:rsid w:val="000555E8"/>
    <w:rsid w:val="00055641"/>
    <w:rsid w:val="0005567F"/>
    <w:rsid w:val="0005574D"/>
    <w:rsid w:val="00055779"/>
    <w:rsid w:val="00055857"/>
    <w:rsid w:val="00055894"/>
    <w:rsid w:val="0005592A"/>
    <w:rsid w:val="00055985"/>
    <w:rsid w:val="00055992"/>
    <w:rsid w:val="000559D8"/>
    <w:rsid w:val="00055A3C"/>
    <w:rsid w:val="00055AEA"/>
    <w:rsid w:val="00055B4A"/>
    <w:rsid w:val="00055C43"/>
    <w:rsid w:val="00055C5E"/>
    <w:rsid w:val="00055CA0"/>
    <w:rsid w:val="00055CFE"/>
    <w:rsid w:val="00055D21"/>
    <w:rsid w:val="00055D3C"/>
    <w:rsid w:val="00055DC4"/>
    <w:rsid w:val="00055DE6"/>
    <w:rsid w:val="00055E89"/>
    <w:rsid w:val="00055F44"/>
    <w:rsid w:val="00056040"/>
    <w:rsid w:val="00056054"/>
    <w:rsid w:val="00056063"/>
    <w:rsid w:val="000561C0"/>
    <w:rsid w:val="000561EB"/>
    <w:rsid w:val="000562C6"/>
    <w:rsid w:val="000562C9"/>
    <w:rsid w:val="00056382"/>
    <w:rsid w:val="000563EB"/>
    <w:rsid w:val="0005648B"/>
    <w:rsid w:val="000564BE"/>
    <w:rsid w:val="000564FE"/>
    <w:rsid w:val="00056548"/>
    <w:rsid w:val="000565DA"/>
    <w:rsid w:val="00056655"/>
    <w:rsid w:val="000566B1"/>
    <w:rsid w:val="000566DC"/>
    <w:rsid w:val="00056799"/>
    <w:rsid w:val="000567A5"/>
    <w:rsid w:val="00056800"/>
    <w:rsid w:val="000568A1"/>
    <w:rsid w:val="00056967"/>
    <w:rsid w:val="00056A40"/>
    <w:rsid w:val="00056B3D"/>
    <w:rsid w:val="00056BE1"/>
    <w:rsid w:val="00056C29"/>
    <w:rsid w:val="00056D00"/>
    <w:rsid w:val="00056D25"/>
    <w:rsid w:val="00056DF2"/>
    <w:rsid w:val="00056E0B"/>
    <w:rsid w:val="00056EDD"/>
    <w:rsid w:val="00056FCF"/>
    <w:rsid w:val="00057008"/>
    <w:rsid w:val="00057020"/>
    <w:rsid w:val="000570AD"/>
    <w:rsid w:val="000570DE"/>
    <w:rsid w:val="000570E7"/>
    <w:rsid w:val="000571F1"/>
    <w:rsid w:val="00057223"/>
    <w:rsid w:val="0005723F"/>
    <w:rsid w:val="000572B7"/>
    <w:rsid w:val="0005731D"/>
    <w:rsid w:val="00057350"/>
    <w:rsid w:val="000574CD"/>
    <w:rsid w:val="00057560"/>
    <w:rsid w:val="00057620"/>
    <w:rsid w:val="0005763E"/>
    <w:rsid w:val="00057669"/>
    <w:rsid w:val="000577BE"/>
    <w:rsid w:val="000578A9"/>
    <w:rsid w:val="000578BD"/>
    <w:rsid w:val="0005791A"/>
    <w:rsid w:val="0005799D"/>
    <w:rsid w:val="000579A6"/>
    <w:rsid w:val="00057AD0"/>
    <w:rsid w:val="00057B8C"/>
    <w:rsid w:val="00057BD2"/>
    <w:rsid w:val="00057BDC"/>
    <w:rsid w:val="00057DAE"/>
    <w:rsid w:val="00057DB3"/>
    <w:rsid w:val="00057DC4"/>
    <w:rsid w:val="00057DD7"/>
    <w:rsid w:val="00057E22"/>
    <w:rsid w:val="00057E5F"/>
    <w:rsid w:val="00057EA7"/>
    <w:rsid w:val="00057ED2"/>
    <w:rsid w:val="00057F3A"/>
    <w:rsid w:val="00057F65"/>
    <w:rsid w:val="00060062"/>
    <w:rsid w:val="000600A7"/>
    <w:rsid w:val="000600BA"/>
    <w:rsid w:val="000600E9"/>
    <w:rsid w:val="00060108"/>
    <w:rsid w:val="000601B0"/>
    <w:rsid w:val="000601DA"/>
    <w:rsid w:val="000601F3"/>
    <w:rsid w:val="0006020F"/>
    <w:rsid w:val="0006028D"/>
    <w:rsid w:val="00060348"/>
    <w:rsid w:val="00060482"/>
    <w:rsid w:val="00060751"/>
    <w:rsid w:val="00060819"/>
    <w:rsid w:val="000609B3"/>
    <w:rsid w:val="00060B4D"/>
    <w:rsid w:val="00060C29"/>
    <w:rsid w:val="00060C36"/>
    <w:rsid w:val="00060C69"/>
    <w:rsid w:val="00060CF6"/>
    <w:rsid w:val="00060D60"/>
    <w:rsid w:val="00060D6D"/>
    <w:rsid w:val="00060DB6"/>
    <w:rsid w:val="00060DC6"/>
    <w:rsid w:val="00060E03"/>
    <w:rsid w:val="00060E2E"/>
    <w:rsid w:val="00060E70"/>
    <w:rsid w:val="00060EAF"/>
    <w:rsid w:val="00060EC9"/>
    <w:rsid w:val="00060F5E"/>
    <w:rsid w:val="000610E7"/>
    <w:rsid w:val="00061116"/>
    <w:rsid w:val="0006115C"/>
    <w:rsid w:val="000611FD"/>
    <w:rsid w:val="00061237"/>
    <w:rsid w:val="000613E7"/>
    <w:rsid w:val="00061495"/>
    <w:rsid w:val="000615E4"/>
    <w:rsid w:val="00061647"/>
    <w:rsid w:val="0006173B"/>
    <w:rsid w:val="000617E0"/>
    <w:rsid w:val="00061839"/>
    <w:rsid w:val="000618C2"/>
    <w:rsid w:val="000618CD"/>
    <w:rsid w:val="00061909"/>
    <w:rsid w:val="00061988"/>
    <w:rsid w:val="000619A3"/>
    <w:rsid w:val="00061A27"/>
    <w:rsid w:val="00061A70"/>
    <w:rsid w:val="00061A97"/>
    <w:rsid w:val="00061BBE"/>
    <w:rsid w:val="00061C79"/>
    <w:rsid w:val="00061C8D"/>
    <w:rsid w:val="00061CB9"/>
    <w:rsid w:val="00061D12"/>
    <w:rsid w:val="00061D33"/>
    <w:rsid w:val="00061D66"/>
    <w:rsid w:val="00061DBC"/>
    <w:rsid w:val="00061E7F"/>
    <w:rsid w:val="00061E86"/>
    <w:rsid w:val="00061EA2"/>
    <w:rsid w:val="00061ECC"/>
    <w:rsid w:val="00061F37"/>
    <w:rsid w:val="00061F9B"/>
    <w:rsid w:val="0006200D"/>
    <w:rsid w:val="00062018"/>
    <w:rsid w:val="00062081"/>
    <w:rsid w:val="00062111"/>
    <w:rsid w:val="0006212F"/>
    <w:rsid w:val="0006221E"/>
    <w:rsid w:val="00062268"/>
    <w:rsid w:val="0006229C"/>
    <w:rsid w:val="000622C0"/>
    <w:rsid w:val="00062322"/>
    <w:rsid w:val="000623B4"/>
    <w:rsid w:val="00062455"/>
    <w:rsid w:val="00062473"/>
    <w:rsid w:val="000624A2"/>
    <w:rsid w:val="000624C2"/>
    <w:rsid w:val="000624C9"/>
    <w:rsid w:val="000624F2"/>
    <w:rsid w:val="000624F6"/>
    <w:rsid w:val="00062504"/>
    <w:rsid w:val="00062546"/>
    <w:rsid w:val="00062563"/>
    <w:rsid w:val="00062677"/>
    <w:rsid w:val="00062678"/>
    <w:rsid w:val="000626DA"/>
    <w:rsid w:val="00062729"/>
    <w:rsid w:val="000627C4"/>
    <w:rsid w:val="000628C4"/>
    <w:rsid w:val="000628F1"/>
    <w:rsid w:val="00062961"/>
    <w:rsid w:val="00062A89"/>
    <w:rsid w:val="00062AA1"/>
    <w:rsid w:val="00062AFC"/>
    <w:rsid w:val="00062B78"/>
    <w:rsid w:val="00062C5F"/>
    <w:rsid w:val="00062C97"/>
    <w:rsid w:val="00062C9C"/>
    <w:rsid w:val="00062D09"/>
    <w:rsid w:val="00062DCD"/>
    <w:rsid w:val="00062EE1"/>
    <w:rsid w:val="00062EF5"/>
    <w:rsid w:val="00062EFB"/>
    <w:rsid w:val="00062F00"/>
    <w:rsid w:val="00062F21"/>
    <w:rsid w:val="00062F63"/>
    <w:rsid w:val="00062FDD"/>
    <w:rsid w:val="0006306E"/>
    <w:rsid w:val="000630B8"/>
    <w:rsid w:val="0006310E"/>
    <w:rsid w:val="000631C0"/>
    <w:rsid w:val="00063249"/>
    <w:rsid w:val="0006325A"/>
    <w:rsid w:val="0006325C"/>
    <w:rsid w:val="000632A5"/>
    <w:rsid w:val="000632B3"/>
    <w:rsid w:val="000632D5"/>
    <w:rsid w:val="00063343"/>
    <w:rsid w:val="000633AA"/>
    <w:rsid w:val="00063518"/>
    <w:rsid w:val="0006354D"/>
    <w:rsid w:val="0006360C"/>
    <w:rsid w:val="0006366B"/>
    <w:rsid w:val="00063760"/>
    <w:rsid w:val="00063844"/>
    <w:rsid w:val="0006387C"/>
    <w:rsid w:val="0006389F"/>
    <w:rsid w:val="00063951"/>
    <w:rsid w:val="00063954"/>
    <w:rsid w:val="00063BCE"/>
    <w:rsid w:val="00063C88"/>
    <w:rsid w:val="00063C89"/>
    <w:rsid w:val="00063CA2"/>
    <w:rsid w:val="00063CF6"/>
    <w:rsid w:val="00063D8C"/>
    <w:rsid w:val="00063D90"/>
    <w:rsid w:val="00063E61"/>
    <w:rsid w:val="00063F27"/>
    <w:rsid w:val="00063F55"/>
    <w:rsid w:val="00063F86"/>
    <w:rsid w:val="00063F96"/>
    <w:rsid w:val="00063F9C"/>
    <w:rsid w:val="00064070"/>
    <w:rsid w:val="00064209"/>
    <w:rsid w:val="000642EB"/>
    <w:rsid w:val="0006437D"/>
    <w:rsid w:val="000644D8"/>
    <w:rsid w:val="000645C5"/>
    <w:rsid w:val="000645F7"/>
    <w:rsid w:val="0006465A"/>
    <w:rsid w:val="000646B9"/>
    <w:rsid w:val="00064748"/>
    <w:rsid w:val="00064861"/>
    <w:rsid w:val="00064A0E"/>
    <w:rsid w:val="00064A68"/>
    <w:rsid w:val="00064ADB"/>
    <w:rsid w:val="00064B29"/>
    <w:rsid w:val="00064B46"/>
    <w:rsid w:val="00064C09"/>
    <w:rsid w:val="00064DA1"/>
    <w:rsid w:val="00064DAC"/>
    <w:rsid w:val="00064DC1"/>
    <w:rsid w:val="00064E52"/>
    <w:rsid w:val="00064E7A"/>
    <w:rsid w:val="00064EE1"/>
    <w:rsid w:val="00064F19"/>
    <w:rsid w:val="00064F1E"/>
    <w:rsid w:val="00065038"/>
    <w:rsid w:val="0006518C"/>
    <w:rsid w:val="000651A6"/>
    <w:rsid w:val="000651D0"/>
    <w:rsid w:val="0006520C"/>
    <w:rsid w:val="000652D7"/>
    <w:rsid w:val="0006534E"/>
    <w:rsid w:val="0006537C"/>
    <w:rsid w:val="000653A9"/>
    <w:rsid w:val="0006543D"/>
    <w:rsid w:val="0006544E"/>
    <w:rsid w:val="000654A9"/>
    <w:rsid w:val="00065592"/>
    <w:rsid w:val="000655BF"/>
    <w:rsid w:val="000655E5"/>
    <w:rsid w:val="0006560C"/>
    <w:rsid w:val="0006578E"/>
    <w:rsid w:val="000657AB"/>
    <w:rsid w:val="000657E9"/>
    <w:rsid w:val="00065815"/>
    <w:rsid w:val="000658F2"/>
    <w:rsid w:val="000659B5"/>
    <w:rsid w:val="00065AF9"/>
    <w:rsid w:val="00065BEE"/>
    <w:rsid w:val="00065D88"/>
    <w:rsid w:val="00065EFA"/>
    <w:rsid w:val="00065FD3"/>
    <w:rsid w:val="00065FE8"/>
    <w:rsid w:val="00065FFD"/>
    <w:rsid w:val="00066025"/>
    <w:rsid w:val="0006608E"/>
    <w:rsid w:val="000660FC"/>
    <w:rsid w:val="0006615B"/>
    <w:rsid w:val="000661C4"/>
    <w:rsid w:val="0006620A"/>
    <w:rsid w:val="0006621A"/>
    <w:rsid w:val="000662A3"/>
    <w:rsid w:val="0006634E"/>
    <w:rsid w:val="000663F1"/>
    <w:rsid w:val="00066440"/>
    <w:rsid w:val="0006647D"/>
    <w:rsid w:val="0006648E"/>
    <w:rsid w:val="0006649D"/>
    <w:rsid w:val="000664C4"/>
    <w:rsid w:val="000664D3"/>
    <w:rsid w:val="00066509"/>
    <w:rsid w:val="000665F9"/>
    <w:rsid w:val="00066611"/>
    <w:rsid w:val="00066656"/>
    <w:rsid w:val="000666C4"/>
    <w:rsid w:val="00066708"/>
    <w:rsid w:val="000668D6"/>
    <w:rsid w:val="000669A1"/>
    <w:rsid w:val="00066A90"/>
    <w:rsid w:val="00066ADF"/>
    <w:rsid w:val="00066B29"/>
    <w:rsid w:val="00066B30"/>
    <w:rsid w:val="00066BED"/>
    <w:rsid w:val="00066BFC"/>
    <w:rsid w:val="00066C22"/>
    <w:rsid w:val="00066C9A"/>
    <w:rsid w:val="00066C9D"/>
    <w:rsid w:val="00066E2F"/>
    <w:rsid w:val="00066E84"/>
    <w:rsid w:val="00066F17"/>
    <w:rsid w:val="00066F2C"/>
    <w:rsid w:val="00066FA3"/>
    <w:rsid w:val="00066FD8"/>
    <w:rsid w:val="00066FFF"/>
    <w:rsid w:val="0006700C"/>
    <w:rsid w:val="0006708A"/>
    <w:rsid w:val="000670A4"/>
    <w:rsid w:val="0006714C"/>
    <w:rsid w:val="00067193"/>
    <w:rsid w:val="000671F7"/>
    <w:rsid w:val="00067269"/>
    <w:rsid w:val="000672CE"/>
    <w:rsid w:val="00067391"/>
    <w:rsid w:val="000673D1"/>
    <w:rsid w:val="00067412"/>
    <w:rsid w:val="00067424"/>
    <w:rsid w:val="0006746C"/>
    <w:rsid w:val="000674CA"/>
    <w:rsid w:val="00067524"/>
    <w:rsid w:val="00067693"/>
    <w:rsid w:val="000676DB"/>
    <w:rsid w:val="0006778F"/>
    <w:rsid w:val="0006779D"/>
    <w:rsid w:val="000679D7"/>
    <w:rsid w:val="00067A02"/>
    <w:rsid w:val="00067AA1"/>
    <w:rsid w:val="00067C13"/>
    <w:rsid w:val="00067CFA"/>
    <w:rsid w:val="00067E23"/>
    <w:rsid w:val="00067EC3"/>
    <w:rsid w:val="00067EDD"/>
    <w:rsid w:val="00067EF2"/>
    <w:rsid w:val="00067EF6"/>
    <w:rsid w:val="00067F15"/>
    <w:rsid w:val="00067FFC"/>
    <w:rsid w:val="0007000D"/>
    <w:rsid w:val="0007004F"/>
    <w:rsid w:val="00070270"/>
    <w:rsid w:val="00070296"/>
    <w:rsid w:val="000702A2"/>
    <w:rsid w:val="000702B7"/>
    <w:rsid w:val="000702F4"/>
    <w:rsid w:val="0007038D"/>
    <w:rsid w:val="0007039B"/>
    <w:rsid w:val="0007047C"/>
    <w:rsid w:val="000704B4"/>
    <w:rsid w:val="000705A2"/>
    <w:rsid w:val="000705D4"/>
    <w:rsid w:val="00070608"/>
    <w:rsid w:val="00070631"/>
    <w:rsid w:val="00070720"/>
    <w:rsid w:val="00070780"/>
    <w:rsid w:val="000707A5"/>
    <w:rsid w:val="0007084E"/>
    <w:rsid w:val="00070A4B"/>
    <w:rsid w:val="00070AC9"/>
    <w:rsid w:val="00070B42"/>
    <w:rsid w:val="00070B78"/>
    <w:rsid w:val="00070C13"/>
    <w:rsid w:val="00070C1A"/>
    <w:rsid w:val="00070D1D"/>
    <w:rsid w:val="00070D95"/>
    <w:rsid w:val="00070DC5"/>
    <w:rsid w:val="00070E54"/>
    <w:rsid w:val="00070EA4"/>
    <w:rsid w:val="00070F03"/>
    <w:rsid w:val="00070F26"/>
    <w:rsid w:val="000710B3"/>
    <w:rsid w:val="00071158"/>
    <w:rsid w:val="00071161"/>
    <w:rsid w:val="000713AC"/>
    <w:rsid w:val="00071468"/>
    <w:rsid w:val="00071550"/>
    <w:rsid w:val="00071614"/>
    <w:rsid w:val="00071651"/>
    <w:rsid w:val="00071691"/>
    <w:rsid w:val="000716B2"/>
    <w:rsid w:val="00071820"/>
    <w:rsid w:val="000718C2"/>
    <w:rsid w:val="000718DC"/>
    <w:rsid w:val="0007192F"/>
    <w:rsid w:val="00071990"/>
    <w:rsid w:val="000719EA"/>
    <w:rsid w:val="00071AA1"/>
    <w:rsid w:val="00071AAE"/>
    <w:rsid w:val="00071AEA"/>
    <w:rsid w:val="00071B54"/>
    <w:rsid w:val="00071B83"/>
    <w:rsid w:val="00071CAA"/>
    <w:rsid w:val="00071CC1"/>
    <w:rsid w:val="00071CE5"/>
    <w:rsid w:val="00071D02"/>
    <w:rsid w:val="00071D0D"/>
    <w:rsid w:val="00071D76"/>
    <w:rsid w:val="00071E26"/>
    <w:rsid w:val="00071E9D"/>
    <w:rsid w:val="00071F34"/>
    <w:rsid w:val="00071FB8"/>
    <w:rsid w:val="00072059"/>
    <w:rsid w:val="0007212E"/>
    <w:rsid w:val="00072190"/>
    <w:rsid w:val="000721AA"/>
    <w:rsid w:val="000721E6"/>
    <w:rsid w:val="00072214"/>
    <w:rsid w:val="000722CD"/>
    <w:rsid w:val="00072394"/>
    <w:rsid w:val="000723AD"/>
    <w:rsid w:val="00072436"/>
    <w:rsid w:val="00072460"/>
    <w:rsid w:val="0007250B"/>
    <w:rsid w:val="00072532"/>
    <w:rsid w:val="00072584"/>
    <w:rsid w:val="000725EE"/>
    <w:rsid w:val="0007265E"/>
    <w:rsid w:val="000726C6"/>
    <w:rsid w:val="000726FA"/>
    <w:rsid w:val="00072738"/>
    <w:rsid w:val="00072748"/>
    <w:rsid w:val="00072791"/>
    <w:rsid w:val="0007282E"/>
    <w:rsid w:val="0007296E"/>
    <w:rsid w:val="00072979"/>
    <w:rsid w:val="0007298F"/>
    <w:rsid w:val="000729A6"/>
    <w:rsid w:val="00072A10"/>
    <w:rsid w:val="00072AF2"/>
    <w:rsid w:val="00072AF8"/>
    <w:rsid w:val="00072B02"/>
    <w:rsid w:val="00072B47"/>
    <w:rsid w:val="00072CB6"/>
    <w:rsid w:val="00072DFC"/>
    <w:rsid w:val="00072E43"/>
    <w:rsid w:val="00072FA3"/>
    <w:rsid w:val="00072FE5"/>
    <w:rsid w:val="00073192"/>
    <w:rsid w:val="0007319B"/>
    <w:rsid w:val="00073283"/>
    <w:rsid w:val="0007336A"/>
    <w:rsid w:val="00073524"/>
    <w:rsid w:val="0007353C"/>
    <w:rsid w:val="0007354F"/>
    <w:rsid w:val="00073618"/>
    <w:rsid w:val="00073630"/>
    <w:rsid w:val="000736B5"/>
    <w:rsid w:val="00073797"/>
    <w:rsid w:val="000737A4"/>
    <w:rsid w:val="000737C6"/>
    <w:rsid w:val="000737CD"/>
    <w:rsid w:val="000738DA"/>
    <w:rsid w:val="00073997"/>
    <w:rsid w:val="000739B1"/>
    <w:rsid w:val="00073A39"/>
    <w:rsid w:val="00073A74"/>
    <w:rsid w:val="00073AAD"/>
    <w:rsid w:val="00073AC8"/>
    <w:rsid w:val="00073B3C"/>
    <w:rsid w:val="00073BF6"/>
    <w:rsid w:val="00073CB6"/>
    <w:rsid w:val="00073CC3"/>
    <w:rsid w:val="00073CDB"/>
    <w:rsid w:val="00073D06"/>
    <w:rsid w:val="00073D61"/>
    <w:rsid w:val="00073D6E"/>
    <w:rsid w:val="00073D70"/>
    <w:rsid w:val="00073E01"/>
    <w:rsid w:val="00073E04"/>
    <w:rsid w:val="00073E45"/>
    <w:rsid w:val="00073E4D"/>
    <w:rsid w:val="00073E6B"/>
    <w:rsid w:val="00073F9F"/>
    <w:rsid w:val="0007404B"/>
    <w:rsid w:val="0007405C"/>
    <w:rsid w:val="00074076"/>
    <w:rsid w:val="00074139"/>
    <w:rsid w:val="00074158"/>
    <w:rsid w:val="0007416A"/>
    <w:rsid w:val="00074187"/>
    <w:rsid w:val="000741C5"/>
    <w:rsid w:val="0007425D"/>
    <w:rsid w:val="000744BC"/>
    <w:rsid w:val="000744C5"/>
    <w:rsid w:val="00074518"/>
    <w:rsid w:val="00074567"/>
    <w:rsid w:val="0007462B"/>
    <w:rsid w:val="00074676"/>
    <w:rsid w:val="0007469E"/>
    <w:rsid w:val="000746D7"/>
    <w:rsid w:val="00074760"/>
    <w:rsid w:val="00074764"/>
    <w:rsid w:val="000747FE"/>
    <w:rsid w:val="0007485A"/>
    <w:rsid w:val="000748DD"/>
    <w:rsid w:val="00074992"/>
    <w:rsid w:val="00074A17"/>
    <w:rsid w:val="00074A88"/>
    <w:rsid w:val="00074B1D"/>
    <w:rsid w:val="00074B25"/>
    <w:rsid w:val="00074B26"/>
    <w:rsid w:val="00074B29"/>
    <w:rsid w:val="00074BAD"/>
    <w:rsid w:val="00074C17"/>
    <w:rsid w:val="00074C91"/>
    <w:rsid w:val="00074D9D"/>
    <w:rsid w:val="00074DA5"/>
    <w:rsid w:val="00074E8D"/>
    <w:rsid w:val="00074EB4"/>
    <w:rsid w:val="00074F10"/>
    <w:rsid w:val="00074F1B"/>
    <w:rsid w:val="00074FC8"/>
    <w:rsid w:val="00074FEA"/>
    <w:rsid w:val="00075037"/>
    <w:rsid w:val="000751C2"/>
    <w:rsid w:val="00075278"/>
    <w:rsid w:val="00075311"/>
    <w:rsid w:val="00075369"/>
    <w:rsid w:val="000753B2"/>
    <w:rsid w:val="000753BF"/>
    <w:rsid w:val="000754D3"/>
    <w:rsid w:val="000754DC"/>
    <w:rsid w:val="000754DD"/>
    <w:rsid w:val="00075671"/>
    <w:rsid w:val="00075728"/>
    <w:rsid w:val="00075738"/>
    <w:rsid w:val="00075745"/>
    <w:rsid w:val="00075746"/>
    <w:rsid w:val="000757A1"/>
    <w:rsid w:val="00075937"/>
    <w:rsid w:val="0007594B"/>
    <w:rsid w:val="000759E5"/>
    <w:rsid w:val="000759FC"/>
    <w:rsid w:val="00075A14"/>
    <w:rsid w:val="00075B17"/>
    <w:rsid w:val="00075B86"/>
    <w:rsid w:val="00075BB3"/>
    <w:rsid w:val="00075C87"/>
    <w:rsid w:val="00075CFD"/>
    <w:rsid w:val="00075D3A"/>
    <w:rsid w:val="00075DC7"/>
    <w:rsid w:val="00075DD6"/>
    <w:rsid w:val="00075E31"/>
    <w:rsid w:val="00075EC2"/>
    <w:rsid w:val="00075F11"/>
    <w:rsid w:val="00075F62"/>
    <w:rsid w:val="000760A9"/>
    <w:rsid w:val="000760B4"/>
    <w:rsid w:val="00076162"/>
    <w:rsid w:val="000761B0"/>
    <w:rsid w:val="0007625F"/>
    <w:rsid w:val="00076298"/>
    <w:rsid w:val="000762DB"/>
    <w:rsid w:val="000762E0"/>
    <w:rsid w:val="00076327"/>
    <w:rsid w:val="00076340"/>
    <w:rsid w:val="000763CE"/>
    <w:rsid w:val="000763E7"/>
    <w:rsid w:val="000765E4"/>
    <w:rsid w:val="000766C7"/>
    <w:rsid w:val="00076704"/>
    <w:rsid w:val="0007678B"/>
    <w:rsid w:val="000767BF"/>
    <w:rsid w:val="0007683E"/>
    <w:rsid w:val="00076868"/>
    <w:rsid w:val="00076877"/>
    <w:rsid w:val="000768C9"/>
    <w:rsid w:val="000769AA"/>
    <w:rsid w:val="00076A2F"/>
    <w:rsid w:val="00076AC9"/>
    <w:rsid w:val="00076ADF"/>
    <w:rsid w:val="00076B09"/>
    <w:rsid w:val="00076C1D"/>
    <w:rsid w:val="00076C23"/>
    <w:rsid w:val="00076C9D"/>
    <w:rsid w:val="00076D20"/>
    <w:rsid w:val="00076D43"/>
    <w:rsid w:val="00076D4E"/>
    <w:rsid w:val="00076D71"/>
    <w:rsid w:val="00076D82"/>
    <w:rsid w:val="00076DE3"/>
    <w:rsid w:val="00076DFF"/>
    <w:rsid w:val="00076E54"/>
    <w:rsid w:val="00076E85"/>
    <w:rsid w:val="00076EAA"/>
    <w:rsid w:val="00076F3D"/>
    <w:rsid w:val="00076F74"/>
    <w:rsid w:val="0007701D"/>
    <w:rsid w:val="00077069"/>
    <w:rsid w:val="00077111"/>
    <w:rsid w:val="000771F0"/>
    <w:rsid w:val="00077202"/>
    <w:rsid w:val="00077221"/>
    <w:rsid w:val="0007724F"/>
    <w:rsid w:val="00077303"/>
    <w:rsid w:val="000773BE"/>
    <w:rsid w:val="00077434"/>
    <w:rsid w:val="00077457"/>
    <w:rsid w:val="00077479"/>
    <w:rsid w:val="00077504"/>
    <w:rsid w:val="00077555"/>
    <w:rsid w:val="0007757E"/>
    <w:rsid w:val="000775B7"/>
    <w:rsid w:val="0007760F"/>
    <w:rsid w:val="0007767B"/>
    <w:rsid w:val="00077717"/>
    <w:rsid w:val="0007774B"/>
    <w:rsid w:val="000778DC"/>
    <w:rsid w:val="00077975"/>
    <w:rsid w:val="0007799C"/>
    <w:rsid w:val="000779D9"/>
    <w:rsid w:val="00077B84"/>
    <w:rsid w:val="00077B93"/>
    <w:rsid w:val="00077C35"/>
    <w:rsid w:val="00077C49"/>
    <w:rsid w:val="00077CF0"/>
    <w:rsid w:val="00077CFE"/>
    <w:rsid w:val="00077D31"/>
    <w:rsid w:val="00077E23"/>
    <w:rsid w:val="00077E63"/>
    <w:rsid w:val="00077E81"/>
    <w:rsid w:val="00077EB3"/>
    <w:rsid w:val="00077EDA"/>
    <w:rsid w:val="00077EFB"/>
    <w:rsid w:val="00077FB7"/>
    <w:rsid w:val="00077FC7"/>
    <w:rsid w:val="00080042"/>
    <w:rsid w:val="0008009F"/>
    <w:rsid w:val="000800CA"/>
    <w:rsid w:val="00080135"/>
    <w:rsid w:val="00080264"/>
    <w:rsid w:val="0008029F"/>
    <w:rsid w:val="00080470"/>
    <w:rsid w:val="000804B9"/>
    <w:rsid w:val="00080547"/>
    <w:rsid w:val="00080644"/>
    <w:rsid w:val="0008065E"/>
    <w:rsid w:val="0008071A"/>
    <w:rsid w:val="00080855"/>
    <w:rsid w:val="0008089C"/>
    <w:rsid w:val="00080934"/>
    <w:rsid w:val="00080971"/>
    <w:rsid w:val="00080980"/>
    <w:rsid w:val="00080AF3"/>
    <w:rsid w:val="00080B0B"/>
    <w:rsid w:val="00080BD0"/>
    <w:rsid w:val="00080BE5"/>
    <w:rsid w:val="00080BF1"/>
    <w:rsid w:val="00080C2F"/>
    <w:rsid w:val="00080D9C"/>
    <w:rsid w:val="00080E61"/>
    <w:rsid w:val="00080F0D"/>
    <w:rsid w:val="00080F3B"/>
    <w:rsid w:val="00080F52"/>
    <w:rsid w:val="000812C2"/>
    <w:rsid w:val="00081318"/>
    <w:rsid w:val="0008131C"/>
    <w:rsid w:val="00081331"/>
    <w:rsid w:val="00081345"/>
    <w:rsid w:val="00081374"/>
    <w:rsid w:val="000814A4"/>
    <w:rsid w:val="000814D7"/>
    <w:rsid w:val="0008150A"/>
    <w:rsid w:val="00081654"/>
    <w:rsid w:val="000816AA"/>
    <w:rsid w:val="00081772"/>
    <w:rsid w:val="000817B9"/>
    <w:rsid w:val="0008192A"/>
    <w:rsid w:val="0008199C"/>
    <w:rsid w:val="00081A4C"/>
    <w:rsid w:val="00081A55"/>
    <w:rsid w:val="00081A8C"/>
    <w:rsid w:val="00081AB4"/>
    <w:rsid w:val="00081BCC"/>
    <w:rsid w:val="00081BDF"/>
    <w:rsid w:val="00081CA8"/>
    <w:rsid w:val="00081CDE"/>
    <w:rsid w:val="00081D37"/>
    <w:rsid w:val="00081F11"/>
    <w:rsid w:val="00081FAD"/>
    <w:rsid w:val="00081FB1"/>
    <w:rsid w:val="00082152"/>
    <w:rsid w:val="0008225C"/>
    <w:rsid w:val="00082270"/>
    <w:rsid w:val="00082285"/>
    <w:rsid w:val="0008231B"/>
    <w:rsid w:val="00082346"/>
    <w:rsid w:val="00082353"/>
    <w:rsid w:val="0008238C"/>
    <w:rsid w:val="0008254C"/>
    <w:rsid w:val="000825E1"/>
    <w:rsid w:val="00082617"/>
    <w:rsid w:val="000826B3"/>
    <w:rsid w:val="0008275B"/>
    <w:rsid w:val="000827A3"/>
    <w:rsid w:val="00082819"/>
    <w:rsid w:val="00082824"/>
    <w:rsid w:val="000828DE"/>
    <w:rsid w:val="00082920"/>
    <w:rsid w:val="00082A5E"/>
    <w:rsid w:val="00082C7A"/>
    <w:rsid w:val="00082CFA"/>
    <w:rsid w:val="00082D06"/>
    <w:rsid w:val="00082D26"/>
    <w:rsid w:val="00082D8C"/>
    <w:rsid w:val="00082DB1"/>
    <w:rsid w:val="00082DBB"/>
    <w:rsid w:val="00082DD5"/>
    <w:rsid w:val="00082E0B"/>
    <w:rsid w:val="00082E16"/>
    <w:rsid w:val="00082EB8"/>
    <w:rsid w:val="00082ECB"/>
    <w:rsid w:val="00082EE1"/>
    <w:rsid w:val="00082EFE"/>
    <w:rsid w:val="00082F54"/>
    <w:rsid w:val="00082F8E"/>
    <w:rsid w:val="00082F90"/>
    <w:rsid w:val="00083099"/>
    <w:rsid w:val="000830D2"/>
    <w:rsid w:val="000830EB"/>
    <w:rsid w:val="00083188"/>
    <w:rsid w:val="000831A7"/>
    <w:rsid w:val="000831B7"/>
    <w:rsid w:val="000831E8"/>
    <w:rsid w:val="00083297"/>
    <w:rsid w:val="000832F7"/>
    <w:rsid w:val="0008347A"/>
    <w:rsid w:val="000834AA"/>
    <w:rsid w:val="000834E7"/>
    <w:rsid w:val="00083523"/>
    <w:rsid w:val="0008352C"/>
    <w:rsid w:val="00083556"/>
    <w:rsid w:val="0008358D"/>
    <w:rsid w:val="00083612"/>
    <w:rsid w:val="000836C8"/>
    <w:rsid w:val="00083761"/>
    <w:rsid w:val="00083828"/>
    <w:rsid w:val="000838C9"/>
    <w:rsid w:val="0008395B"/>
    <w:rsid w:val="0008396E"/>
    <w:rsid w:val="00083993"/>
    <w:rsid w:val="00083A1B"/>
    <w:rsid w:val="00083A6A"/>
    <w:rsid w:val="00083A97"/>
    <w:rsid w:val="00083B23"/>
    <w:rsid w:val="00083BD1"/>
    <w:rsid w:val="00083C07"/>
    <w:rsid w:val="00083CDA"/>
    <w:rsid w:val="00083D24"/>
    <w:rsid w:val="00083D5D"/>
    <w:rsid w:val="00083DDF"/>
    <w:rsid w:val="00083EE2"/>
    <w:rsid w:val="00083EE5"/>
    <w:rsid w:val="00083F32"/>
    <w:rsid w:val="00083FAE"/>
    <w:rsid w:val="00084042"/>
    <w:rsid w:val="00084094"/>
    <w:rsid w:val="000840DA"/>
    <w:rsid w:val="000840FB"/>
    <w:rsid w:val="000841A0"/>
    <w:rsid w:val="000842C5"/>
    <w:rsid w:val="000842EE"/>
    <w:rsid w:val="0008439C"/>
    <w:rsid w:val="000843F7"/>
    <w:rsid w:val="000844D3"/>
    <w:rsid w:val="0008458C"/>
    <w:rsid w:val="000845A6"/>
    <w:rsid w:val="000846CA"/>
    <w:rsid w:val="000846E4"/>
    <w:rsid w:val="000846ED"/>
    <w:rsid w:val="00084706"/>
    <w:rsid w:val="00084814"/>
    <w:rsid w:val="00084876"/>
    <w:rsid w:val="000848B4"/>
    <w:rsid w:val="000848D7"/>
    <w:rsid w:val="000848EC"/>
    <w:rsid w:val="000849D1"/>
    <w:rsid w:val="00084A3F"/>
    <w:rsid w:val="00084BBE"/>
    <w:rsid w:val="00084CBC"/>
    <w:rsid w:val="00084D57"/>
    <w:rsid w:val="00084D7F"/>
    <w:rsid w:val="00084FC6"/>
    <w:rsid w:val="00084FCB"/>
    <w:rsid w:val="00085078"/>
    <w:rsid w:val="00085228"/>
    <w:rsid w:val="0008523D"/>
    <w:rsid w:val="0008524C"/>
    <w:rsid w:val="0008538E"/>
    <w:rsid w:val="00085393"/>
    <w:rsid w:val="000853A6"/>
    <w:rsid w:val="000853BE"/>
    <w:rsid w:val="00085452"/>
    <w:rsid w:val="00085461"/>
    <w:rsid w:val="00085466"/>
    <w:rsid w:val="00085509"/>
    <w:rsid w:val="0008551B"/>
    <w:rsid w:val="0008565D"/>
    <w:rsid w:val="00085786"/>
    <w:rsid w:val="0008578A"/>
    <w:rsid w:val="000857A3"/>
    <w:rsid w:val="00085949"/>
    <w:rsid w:val="0008597C"/>
    <w:rsid w:val="00085A6B"/>
    <w:rsid w:val="00085A7D"/>
    <w:rsid w:val="00085AA1"/>
    <w:rsid w:val="00085BA1"/>
    <w:rsid w:val="00085BCB"/>
    <w:rsid w:val="00085C17"/>
    <w:rsid w:val="00085C1F"/>
    <w:rsid w:val="00085C30"/>
    <w:rsid w:val="00085CA7"/>
    <w:rsid w:val="00085DB3"/>
    <w:rsid w:val="00085FE5"/>
    <w:rsid w:val="00085FFD"/>
    <w:rsid w:val="00086048"/>
    <w:rsid w:val="00086098"/>
    <w:rsid w:val="000860CC"/>
    <w:rsid w:val="000860CD"/>
    <w:rsid w:val="00086138"/>
    <w:rsid w:val="000861FE"/>
    <w:rsid w:val="00086229"/>
    <w:rsid w:val="000862B7"/>
    <w:rsid w:val="00086318"/>
    <w:rsid w:val="0008632C"/>
    <w:rsid w:val="00086362"/>
    <w:rsid w:val="00086457"/>
    <w:rsid w:val="0008648D"/>
    <w:rsid w:val="000864DC"/>
    <w:rsid w:val="000864E8"/>
    <w:rsid w:val="000865A6"/>
    <w:rsid w:val="00086600"/>
    <w:rsid w:val="0008669B"/>
    <w:rsid w:val="000866CF"/>
    <w:rsid w:val="000866D9"/>
    <w:rsid w:val="0008677C"/>
    <w:rsid w:val="00086795"/>
    <w:rsid w:val="000867FD"/>
    <w:rsid w:val="00086831"/>
    <w:rsid w:val="000868A0"/>
    <w:rsid w:val="000868B8"/>
    <w:rsid w:val="0008690D"/>
    <w:rsid w:val="0008693D"/>
    <w:rsid w:val="00086955"/>
    <w:rsid w:val="00086A10"/>
    <w:rsid w:val="00086A45"/>
    <w:rsid w:val="00086B66"/>
    <w:rsid w:val="00086BBA"/>
    <w:rsid w:val="00086BC3"/>
    <w:rsid w:val="00086C31"/>
    <w:rsid w:val="00086C5C"/>
    <w:rsid w:val="00086C76"/>
    <w:rsid w:val="00086CAE"/>
    <w:rsid w:val="00086CB2"/>
    <w:rsid w:val="00086D27"/>
    <w:rsid w:val="00086D68"/>
    <w:rsid w:val="00086E91"/>
    <w:rsid w:val="00086EF8"/>
    <w:rsid w:val="00086F2B"/>
    <w:rsid w:val="00086F8A"/>
    <w:rsid w:val="00087057"/>
    <w:rsid w:val="000870F0"/>
    <w:rsid w:val="000871F4"/>
    <w:rsid w:val="00087206"/>
    <w:rsid w:val="00087222"/>
    <w:rsid w:val="000872A3"/>
    <w:rsid w:val="000872AC"/>
    <w:rsid w:val="0008731C"/>
    <w:rsid w:val="00087392"/>
    <w:rsid w:val="00087427"/>
    <w:rsid w:val="0008751B"/>
    <w:rsid w:val="0008758F"/>
    <w:rsid w:val="00087595"/>
    <w:rsid w:val="000875D8"/>
    <w:rsid w:val="000875F1"/>
    <w:rsid w:val="0008760A"/>
    <w:rsid w:val="00087662"/>
    <w:rsid w:val="0008769F"/>
    <w:rsid w:val="0008770A"/>
    <w:rsid w:val="00087725"/>
    <w:rsid w:val="000879BD"/>
    <w:rsid w:val="00087AD4"/>
    <w:rsid w:val="00087AEC"/>
    <w:rsid w:val="00087B16"/>
    <w:rsid w:val="00087B91"/>
    <w:rsid w:val="00087BA6"/>
    <w:rsid w:val="00087C17"/>
    <w:rsid w:val="00087C37"/>
    <w:rsid w:val="00087D2D"/>
    <w:rsid w:val="00087DAA"/>
    <w:rsid w:val="00087DB2"/>
    <w:rsid w:val="00087DB3"/>
    <w:rsid w:val="00087DE4"/>
    <w:rsid w:val="00087E37"/>
    <w:rsid w:val="00087EDC"/>
    <w:rsid w:val="00087F33"/>
    <w:rsid w:val="00087FE4"/>
    <w:rsid w:val="000900B1"/>
    <w:rsid w:val="000900E9"/>
    <w:rsid w:val="00090270"/>
    <w:rsid w:val="0009031C"/>
    <w:rsid w:val="000903F4"/>
    <w:rsid w:val="00090418"/>
    <w:rsid w:val="00090427"/>
    <w:rsid w:val="0009043B"/>
    <w:rsid w:val="0009043F"/>
    <w:rsid w:val="00090473"/>
    <w:rsid w:val="00090573"/>
    <w:rsid w:val="0009059B"/>
    <w:rsid w:val="0009060E"/>
    <w:rsid w:val="00090626"/>
    <w:rsid w:val="00090669"/>
    <w:rsid w:val="0009066A"/>
    <w:rsid w:val="000906DD"/>
    <w:rsid w:val="00090744"/>
    <w:rsid w:val="000907C4"/>
    <w:rsid w:val="000907CA"/>
    <w:rsid w:val="000907CC"/>
    <w:rsid w:val="00090875"/>
    <w:rsid w:val="000908B3"/>
    <w:rsid w:val="0009090E"/>
    <w:rsid w:val="0009099C"/>
    <w:rsid w:val="000909C1"/>
    <w:rsid w:val="00090A13"/>
    <w:rsid w:val="00090A70"/>
    <w:rsid w:val="00090B39"/>
    <w:rsid w:val="00090B6C"/>
    <w:rsid w:val="00090B7B"/>
    <w:rsid w:val="00090C0E"/>
    <w:rsid w:val="00090CE5"/>
    <w:rsid w:val="00090D22"/>
    <w:rsid w:val="00090E91"/>
    <w:rsid w:val="00090EBB"/>
    <w:rsid w:val="00090F77"/>
    <w:rsid w:val="00090FA2"/>
    <w:rsid w:val="00090FF9"/>
    <w:rsid w:val="00091101"/>
    <w:rsid w:val="0009117A"/>
    <w:rsid w:val="00091182"/>
    <w:rsid w:val="0009118D"/>
    <w:rsid w:val="000911A1"/>
    <w:rsid w:val="000911E8"/>
    <w:rsid w:val="0009123F"/>
    <w:rsid w:val="00091258"/>
    <w:rsid w:val="000912EF"/>
    <w:rsid w:val="000913A2"/>
    <w:rsid w:val="00091443"/>
    <w:rsid w:val="000914E7"/>
    <w:rsid w:val="00091508"/>
    <w:rsid w:val="00091554"/>
    <w:rsid w:val="0009161A"/>
    <w:rsid w:val="00091722"/>
    <w:rsid w:val="00091ABD"/>
    <w:rsid w:val="00091B27"/>
    <w:rsid w:val="00091B4C"/>
    <w:rsid w:val="00091BE9"/>
    <w:rsid w:val="00091BED"/>
    <w:rsid w:val="00091C57"/>
    <w:rsid w:val="00091D49"/>
    <w:rsid w:val="00091D7D"/>
    <w:rsid w:val="00091DDE"/>
    <w:rsid w:val="00091E6E"/>
    <w:rsid w:val="00091F3B"/>
    <w:rsid w:val="00091FEC"/>
    <w:rsid w:val="00091FFE"/>
    <w:rsid w:val="00092078"/>
    <w:rsid w:val="000920DB"/>
    <w:rsid w:val="000920DF"/>
    <w:rsid w:val="00092196"/>
    <w:rsid w:val="000921BF"/>
    <w:rsid w:val="0009226A"/>
    <w:rsid w:val="00092284"/>
    <w:rsid w:val="000922D4"/>
    <w:rsid w:val="00092317"/>
    <w:rsid w:val="0009253C"/>
    <w:rsid w:val="0009262B"/>
    <w:rsid w:val="00092685"/>
    <w:rsid w:val="00092695"/>
    <w:rsid w:val="00092783"/>
    <w:rsid w:val="000927A9"/>
    <w:rsid w:val="000928AB"/>
    <w:rsid w:val="000928BE"/>
    <w:rsid w:val="00092903"/>
    <w:rsid w:val="00092964"/>
    <w:rsid w:val="00092967"/>
    <w:rsid w:val="00092993"/>
    <w:rsid w:val="00092A00"/>
    <w:rsid w:val="00092A2A"/>
    <w:rsid w:val="00092B12"/>
    <w:rsid w:val="00092BFB"/>
    <w:rsid w:val="00092C07"/>
    <w:rsid w:val="00092EF2"/>
    <w:rsid w:val="00092F13"/>
    <w:rsid w:val="00092F2F"/>
    <w:rsid w:val="00092F33"/>
    <w:rsid w:val="00092F64"/>
    <w:rsid w:val="0009301F"/>
    <w:rsid w:val="00093056"/>
    <w:rsid w:val="000930C0"/>
    <w:rsid w:val="0009311B"/>
    <w:rsid w:val="0009312E"/>
    <w:rsid w:val="00093144"/>
    <w:rsid w:val="00093179"/>
    <w:rsid w:val="000931BD"/>
    <w:rsid w:val="000931DB"/>
    <w:rsid w:val="00093289"/>
    <w:rsid w:val="000933AE"/>
    <w:rsid w:val="000933BA"/>
    <w:rsid w:val="00093430"/>
    <w:rsid w:val="0009351F"/>
    <w:rsid w:val="0009358A"/>
    <w:rsid w:val="0009360F"/>
    <w:rsid w:val="0009366C"/>
    <w:rsid w:val="00093858"/>
    <w:rsid w:val="000939D8"/>
    <w:rsid w:val="00093A7C"/>
    <w:rsid w:val="00093AC4"/>
    <w:rsid w:val="00093C48"/>
    <w:rsid w:val="00093CF4"/>
    <w:rsid w:val="00093CFD"/>
    <w:rsid w:val="00093CFF"/>
    <w:rsid w:val="00093D16"/>
    <w:rsid w:val="00093D6C"/>
    <w:rsid w:val="00093DB8"/>
    <w:rsid w:val="00093DC3"/>
    <w:rsid w:val="00093E42"/>
    <w:rsid w:val="00093E9D"/>
    <w:rsid w:val="00093EE3"/>
    <w:rsid w:val="00093FB4"/>
    <w:rsid w:val="00094011"/>
    <w:rsid w:val="0009403E"/>
    <w:rsid w:val="000940E1"/>
    <w:rsid w:val="000940E9"/>
    <w:rsid w:val="00094145"/>
    <w:rsid w:val="0009416D"/>
    <w:rsid w:val="00094170"/>
    <w:rsid w:val="000941EF"/>
    <w:rsid w:val="00094282"/>
    <w:rsid w:val="0009429B"/>
    <w:rsid w:val="00094337"/>
    <w:rsid w:val="00094364"/>
    <w:rsid w:val="00094369"/>
    <w:rsid w:val="00094427"/>
    <w:rsid w:val="000945B7"/>
    <w:rsid w:val="00094612"/>
    <w:rsid w:val="00094677"/>
    <w:rsid w:val="000947D5"/>
    <w:rsid w:val="0009485E"/>
    <w:rsid w:val="000948C5"/>
    <w:rsid w:val="000949C4"/>
    <w:rsid w:val="00094AA5"/>
    <w:rsid w:val="00094AEA"/>
    <w:rsid w:val="00094B1A"/>
    <w:rsid w:val="00094C7E"/>
    <w:rsid w:val="00094C9B"/>
    <w:rsid w:val="00094CF3"/>
    <w:rsid w:val="00094D31"/>
    <w:rsid w:val="00094D3E"/>
    <w:rsid w:val="00094DDB"/>
    <w:rsid w:val="00094DF3"/>
    <w:rsid w:val="00094E29"/>
    <w:rsid w:val="00094E54"/>
    <w:rsid w:val="00094F01"/>
    <w:rsid w:val="00094F9C"/>
    <w:rsid w:val="00094FA2"/>
    <w:rsid w:val="00095088"/>
    <w:rsid w:val="000950F9"/>
    <w:rsid w:val="0009519B"/>
    <w:rsid w:val="000951CC"/>
    <w:rsid w:val="00095213"/>
    <w:rsid w:val="0009521E"/>
    <w:rsid w:val="000953DE"/>
    <w:rsid w:val="000954C2"/>
    <w:rsid w:val="00095523"/>
    <w:rsid w:val="00095526"/>
    <w:rsid w:val="000955A5"/>
    <w:rsid w:val="000955AC"/>
    <w:rsid w:val="000955E3"/>
    <w:rsid w:val="000956CB"/>
    <w:rsid w:val="00095768"/>
    <w:rsid w:val="000957A2"/>
    <w:rsid w:val="0009589F"/>
    <w:rsid w:val="00095902"/>
    <w:rsid w:val="000959C6"/>
    <w:rsid w:val="000959E0"/>
    <w:rsid w:val="00095A0B"/>
    <w:rsid w:val="00095B1D"/>
    <w:rsid w:val="00095BA5"/>
    <w:rsid w:val="00095BF7"/>
    <w:rsid w:val="00095D01"/>
    <w:rsid w:val="00095D42"/>
    <w:rsid w:val="00095D5D"/>
    <w:rsid w:val="00095E7A"/>
    <w:rsid w:val="00095EE2"/>
    <w:rsid w:val="00096112"/>
    <w:rsid w:val="00096119"/>
    <w:rsid w:val="000961B8"/>
    <w:rsid w:val="000961BA"/>
    <w:rsid w:val="0009621C"/>
    <w:rsid w:val="00096253"/>
    <w:rsid w:val="000962B7"/>
    <w:rsid w:val="000962BC"/>
    <w:rsid w:val="0009631C"/>
    <w:rsid w:val="00096324"/>
    <w:rsid w:val="00096335"/>
    <w:rsid w:val="0009634E"/>
    <w:rsid w:val="0009635D"/>
    <w:rsid w:val="0009637C"/>
    <w:rsid w:val="00096388"/>
    <w:rsid w:val="000963C5"/>
    <w:rsid w:val="00096554"/>
    <w:rsid w:val="0009656E"/>
    <w:rsid w:val="00096570"/>
    <w:rsid w:val="00096594"/>
    <w:rsid w:val="000966D6"/>
    <w:rsid w:val="00096717"/>
    <w:rsid w:val="00096777"/>
    <w:rsid w:val="0009679B"/>
    <w:rsid w:val="0009682A"/>
    <w:rsid w:val="00096869"/>
    <w:rsid w:val="00096872"/>
    <w:rsid w:val="000968B6"/>
    <w:rsid w:val="00096A19"/>
    <w:rsid w:val="00096A5E"/>
    <w:rsid w:val="00096A70"/>
    <w:rsid w:val="00096AFD"/>
    <w:rsid w:val="00096B09"/>
    <w:rsid w:val="00096B0E"/>
    <w:rsid w:val="00096BD1"/>
    <w:rsid w:val="00096C49"/>
    <w:rsid w:val="00096C6D"/>
    <w:rsid w:val="00096CDF"/>
    <w:rsid w:val="00096DF0"/>
    <w:rsid w:val="00096EF6"/>
    <w:rsid w:val="00096F7A"/>
    <w:rsid w:val="00096F84"/>
    <w:rsid w:val="00097014"/>
    <w:rsid w:val="0009702C"/>
    <w:rsid w:val="000970E8"/>
    <w:rsid w:val="00097196"/>
    <w:rsid w:val="000971AA"/>
    <w:rsid w:val="000971F2"/>
    <w:rsid w:val="00097229"/>
    <w:rsid w:val="0009746B"/>
    <w:rsid w:val="000974D0"/>
    <w:rsid w:val="00097620"/>
    <w:rsid w:val="0009765B"/>
    <w:rsid w:val="00097681"/>
    <w:rsid w:val="000976FD"/>
    <w:rsid w:val="00097769"/>
    <w:rsid w:val="0009778B"/>
    <w:rsid w:val="00097882"/>
    <w:rsid w:val="00097984"/>
    <w:rsid w:val="00097ABC"/>
    <w:rsid w:val="00097AE9"/>
    <w:rsid w:val="00097B5F"/>
    <w:rsid w:val="00097B71"/>
    <w:rsid w:val="00097BD9"/>
    <w:rsid w:val="00097C5A"/>
    <w:rsid w:val="00097CB8"/>
    <w:rsid w:val="00097CCC"/>
    <w:rsid w:val="00097DD0"/>
    <w:rsid w:val="00097E18"/>
    <w:rsid w:val="00097E88"/>
    <w:rsid w:val="00097ED5"/>
    <w:rsid w:val="00097F07"/>
    <w:rsid w:val="00097F46"/>
    <w:rsid w:val="00097FBC"/>
    <w:rsid w:val="000A0092"/>
    <w:rsid w:val="000A011B"/>
    <w:rsid w:val="000A011E"/>
    <w:rsid w:val="000A01B7"/>
    <w:rsid w:val="000A01E0"/>
    <w:rsid w:val="000A01FE"/>
    <w:rsid w:val="000A020A"/>
    <w:rsid w:val="000A023D"/>
    <w:rsid w:val="000A0252"/>
    <w:rsid w:val="000A0311"/>
    <w:rsid w:val="000A0351"/>
    <w:rsid w:val="000A03C4"/>
    <w:rsid w:val="000A0491"/>
    <w:rsid w:val="000A049A"/>
    <w:rsid w:val="000A051A"/>
    <w:rsid w:val="000A0556"/>
    <w:rsid w:val="000A0599"/>
    <w:rsid w:val="000A05F7"/>
    <w:rsid w:val="000A0672"/>
    <w:rsid w:val="000A06AC"/>
    <w:rsid w:val="000A077E"/>
    <w:rsid w:val="000A079F"/>
    <w:rsid w:val="000A07A1"/>
    <w:rsid w:val="000A0ABE"/>
    <w:rsid w:val="000A0AE4"/>
    <w:rsid w:val="000A0B1F"/>
    <w:rsid w:val="000A0B89"/>
    <w:rsid w:val="000A0BB2"/>
    <w:rsid w:val="000A0C05"/>
    <w:rsid w:val="000A0C4F"/>
    <w:rsid w:val="000A0CF2"/>
    <w:rsid w:val="000A0CF3"/>
    <w:rsid w:val="000A0D00"/>
    <w:rsid w:val="000A0D21"/>
    <w:rsid w:val="000A0D3E"/>
    <w:rsid w:val="000A0D94"/>
    <w:rsid w:val="000A0DE3"/>
    <w:rsid w:val="000A0E17"/>
    <w:rsid w:val="000A0E7D"/>
    <w:rsid w:val="000A0FB4"/>
    <w:rsid w:val="000A1097"/>
    <w:rsid w:val="000A1114"/>
    <w:rsid w:val="000A11A9"/>
    <w:rsid w:val="000A12BC"/>
    <w:rsid w:val="000A1349"/>
    <w:rsid w:val="000A135A"/>
    <w:rsid w:val="000A164C"/>
    <w:rsid w:val="000A1735"/>
    <w:rsid w:val="000A1749"/>
    <w:rsid w:val="000A17FB"/>
    <w:rsid w:val="000A1988"/>
    <w:rsid w:val="000A19A1"/>
    <w:rsid w:val="000A1AA8"/>
    <w:rsid w:val="000A1AEA"/>
    <w:rsid w:val="000A1B59"/>
    <w:rsid w:val="000A1B5B"/>
    <w:rsid w:val="000A1B9A"/>
    <w:rsid w:val="000A1B9C"/>
    <w:rsid w:val="000A1C37"/>
    <w:rsid w:val="000A1CEF"/>
    <w:rsid w:val="000A1D1C"/>
    <w:rsid w:val="000A1D93"/>
    <w:rsid w:val="000A1E20"/>
    <w:rsid w:val="000A2092"/>
    <w:rsid w:val="000A21DB"/>
    <w:rsid w:val="000A2230"/>
    <w:rsid w:val="000A224A"/>
    <w:rsid w:val="000A22CE"/>
    <w:rsid w:val="000A23C4"/>
    <w:rsid w:val="000A2437"/>
    <w:rsid w:val="000A244D"/>
    <w:rsid w:val="000A249C"/>
    <w:rsid w:val="000A25FB"/>
    <w:rsid w:val="000A2685"/>
    <w:rsid w:val="000A26A8"/>
    <w:rsid w:val="000A26B1"/>
    <w:rsid w:val="000A279D"/>
    <w:rsid w:val="000A2922"/>
    <w:rsid w:val="000A2996"/>
    <w:rsid w:val="000A2A08"/>
    <w:rsid w:val="000A2A2B"/>
    <w:rsid w:val="000A2A7E"/>
    <w:rsid w:val="000A2AC7"/>
    <w:rsid w:val="000A2B77"/>
    <w:rsid w:val="000A2BB5"/>
    <w:rsid w:val="000A2BD9"/>
    <w:rsid w:val="000A2BDE"/>
    <w:rsid w:val="000A2C4E"/>
    <w:rsid w:val="000A2C74"/>
    <w:rsid w:val="000A2CB4"/>
    <w:rsid w:val="000A2DE7"/>
    <w:rsid w:val="000A2E7E"/>
    <w:rsid w:val="000A2F50"/>
    <w:rsid w:val="000A2F70"/>
    <w:rsid w:val="000A2FEA"/>
    <w:rsid w:val="000A3031"/>
    <w:rsid w:val="000A3069"/>
    <w:rsid w:val="000A312D"/>
    <w:rsid w:val="000A3136"/>
    <w:rsid w:val="000A3139"/>
    <w:rsid w:val="000A31D9"/>
    <w:rsid w:val="000A31E5"/>
    <w:rsid w:val="000A322C"/>
    <w:rsid w:val="000A324F"/>
    <w:rsid w:val="000A3278"/>
    <w:rsid w:val="000A327C"/>
    <w:rsid w:val="000A329C"/>
    <w:rsid w:val="000A32A6"/>
    <w:rsid w:val="000A337A"/>
    <w:rsid w:val="000A338A"/>
    <w:rsid w:val="000A3431"/>
    <w:rsid w:val="000A350C"/>
    <w:rsid w:val="000A354B"/>
    <w:rsid w:val="000A355C"/>
    <w:rsid w:val="000A35A8"/>
    <w:rsid w:val="000A35AD"/>
    <w:rsid w:val="000A3639"/>
    <w:rsid w:val="000A369E"/>
    <w:rsid w:val="000A3713"/>
    <w:rsid w:val="000A37DC"/>
    <w:rsid w:val="000A384B"/>
    <w:rsid w:val="000A3884"/>
    <w:rsid w:val="000A38BD"/>
    <w:rsid w:val="000A392B"/>
    <w:rsid w:val="000A392D"/>
    <w:rsid w:val="000A3A19"/>
    <w:rsid w:val="000A3A75"/>
    <w:rsid w:val="000A3B27"/>
    <w:rsid w:val="000A3B58"/>
    <w:rsid w:val="000A3BFF"/>
    <w:rsid w:val="000A3C3F"/>
    <w:rsid w:val="000A3CBB"/>
    <w:rsid w:val="000A3CCF"/>
    <w:rsid w:val="000A3D8E"/>
    <w:rsid w:val="000A3DCD"/>
    <w:rsid w:val="000A3DF8"/>
    <w:rsid w:val="000A3E05"/>
    <w:rsid w:val="000A3E90"/>
    <w:rsid w:val="000A3E91"/>
    <w:rsid w:val="000A3FA3"/>
    <w:rsid w:val="000A3FCE"/>
    <w:rsid w:val="000A3FEB"/>
    <w:rsid w:val="000A3FF9"/>
    <w:rsid w:val="000A40B3"/>
    <w:rsid w:val="000A414B"/>
    <w:rsid w:val="000A41EF"/>
    <w:rsid w:val="000A41FD"/>
    <w:rsid w:val="000A4355"/>
    <w:rsid w:val="000A43C1"/>
    <w:rsid w:val="000A43F4"/>
    <w:rsid w:val="000A44EF"/>
    <w:rsid w:val="000A4501"/>
    <w:rsid w:val="000A4652"/>
    <w:rsid w:val="000A4665"/>
    <w:rsid w:val="000A46E0"/>
    <w:rsid w:val="000A471C"/>
    <w:rsid w:val="000A4738"/>
    <w:rsid w:val="000A47D7"/>
    <w:rsid w:val="000A4858"/>
    <w:rsid w:val="000A48F2"/>
    <w:rsid w:val="000A48FE"/>
    <w:rsid w:val="000A49CA"/>
    <w:rsid w:val="000A4A09"/>
    <w:rsid w:val="000A4A39"/>
    <w:rsid w:val="000A4ADB"/>
    <w:rsid w:val="000A4B1F"/>
    <w:rsid w:val="000A4B8F"/>
    <w:rsid w:val="000A4C61"/>
    <w:rsid w:val="000A4C6B"/>
    <w:rsid w:val="000A4C7E"/>
    <w:rsid w:val="000A4D32"/>
    <w:rsid w:val="000A4D96"/>
    <w:rsid w:val="000A4E4B"/>
    <w:rsid w:val="000A4E5C"/>
    <w:rsid w:val="000A4ECF"/>
    <w:rsid w:val="000A4F29"/>
    <w:rsid w:val="000A4F67"/>
    <w:rsid w:val="000A5040"/>
    <w:rsid w:val="000A5061"/>
    <w:rsid w:val="000A50E9"/>
    <w:rsid w:val="000A5105"/>
    <w:rsid w:val="000A51CF"/>
    <w:rsid w:val="000A5211"/>
    <w:rsid w:val="000A524F"/>
    <w:rsid w:val="000A53D0"/>
    <w:rsid w:val="000A5413"/>
    <w:rsid w:val="000A547D"/>
    <w:rsid w:val="000A54CC"/>
    <w:rsid w:val="000A5621"/>
    <w:rsid w:val="000A5675"/>
    <w:rsid w:val="000A56A0"/>
    <w:rsid w:val="000A57DE"/>
    <w:rsid w:val="000A5849"/>
    <w:rsid w:val="000A587C"/>
    <w:rsid w:val="000A597D"/>
    <w:rsid w:val="000A5985"/>
    <w:rsid w:val="000A5AD0"/>
    <w:rsid w:val="000A5AF9"/>
    <w:rsid w:val="000A5B38"/>
    <w:rsid w:val="000A5B51"/>
    <w:rsid w:val="000A5B70"/>
    <w:rsid w:val="000A5BA3"/>
    <w:rsid w:val="000A5C25"/>
    <w:rsid w:val="000A5CBD"/>
    <w:rsid w:val="000A5D3D"/>
    <w:rsid w:val="000A5D6F"/>
    <w:rsid w:val="000A5E13"/>
    <w:rsid w:val="000A5E31"/>
    <w:rsid w:val="000A5ED1"/>
    <w:rsid w:val="000A5F7D"/>
    <w:rsid w:val="000A5FD1"/>
    <w:rsid w:val="000A5FF6"/>
    <w:rsid w:val="000A6052"/>
    <w:rsid w:val="000A6127"/>
    <w:rsid w:val="000A6152"/>
    <w:rsid w:val="000A61AB"/>
    <w:rsid w:val="000A61B3"/>
    <w:rsid w:val="000A61C0"/>
    <w:rsid w:val="000A61FD"/>
    <w:rsid w:val="000A625B"/>
    <w:rsid w:val="000A6272"/>
    <w:rsid w:val="000A62AD"/>
    <w:rsid w:val="000A62FC"/>
    <w:rsid w:val="000A63FE"/>
    <w:rsid w:val="000A64BF"/>
    <w:rsid w:val="000A64FD"/>
    <w:rsid w:val="000A6560"/>
    <w:rsid w:val="000A660C"/>
    <w:rsid w:val="000A66FA"/>
    <w:rsid w:val="000A676A"/>
    <w:rsid w:val="000A68A2"/>
    <w:rsid w:val="000A68DF"/>
    <w:rsid w:val="000A69B7"/>
    <w:rsid w:val="000A6A7F"/>
    <w:rsid w:val="000A6B32"/>
    <w:rsid w:val="000A6B4C"/>
    <w:rsid w:val="000A6C79"/>
    <w:rsid w:val="000A6C92"/>
    <w:rsid w:val="000A6D0A"/>
    <w:rsid w:val="000A6D0F"/>
    <w:rsid w:val="000A6D2D"/>
    <w:rsid w:val="000A6D8E"/>
    <w:rsid w:val="000A6E5C"/>
    <w:rsid w:val="000A6EB0"/>
    <w:rsid w:val="000A6FC8"/>
    <w:rsid w:val="000A7080"/>
    <w:rsid w:val="000A7091"/>
    <w:rsid w:val="000A7136"/>
    <w:rsid w:val="000A715D"/>
    <w:rsid w:val="000A716B"/>
    <w:rsid w:val="000A71A2"/>
    <w:rsid w:val="000A71A7"/>
    <w:rsid w:val="000A71D6"/>
    <w:rsid w:val="000A722A"/>
    <w:rsid w:val="000A726D"/>
    <w:rsid w:val="000A7420"/>
    <w:rsid w:val="000A7444"/>
    <w:rsid w:val="000A7468"/>
    <w:rsid w:val="000A7543"/>
    <w:rsid w:val="000A756F"/>
    <w:rsid w:val="000A7578"/>
    <w:rsid w:val="000A767D"/>
    <w:rsid w:val="000A76A5"/>
    <w:rsid w:val="000A76B3"/>
    <w:rsid w:val="000A786D"/>
    <w:rsid w:val="000A7884"/>
    <w:rsid w:val="000A78CD"/>
    <w:rsid w:val="000A7956"/>
    <w:rsid w:val="000A79B6"/>
    <w:rsid w:val="000A7A7B"/>
    <w:rsid w:val="000A7B25"/>
    <w:rsid w:val="000A7B2E"/>
    <w:rsid w:val="000A7B3F"/>
    <w:rsid w:val="000A7D15"/>
    <w:rsid w:val="000A7D72"/>
    <w:rsid w:val="000B0048"/>
    <w:rsid w:val="000B006B"/>
    <w:rsid w:val="000B00D9"/>
    <w:rsid w:val="000B01B3"/>
    <w:rsid w:val="000B01D6"/>
    <w:rsid w:val="000B01EB"/>
    <w:rsid w:val="000B02A7"/>
    <w:rsid w:val="000B049F"/>
    <w:rsid w:val="000B057B"/>
    <w:rsid w:val="000B0609"/>
    <w:rsid w:val="000B0620"/>
    <w:rsid w:val="000B068B"/>
    <w:rsid w:val="000B06B8"/>
    <w:rsid w:val="000B0712"/>
    <w:rsid w:val="000B081D"/>
    <w:rsid w:val="000B0831"/>
    <w:rsid w:val="000B08B1"/>
    <w:rsid w:val="000B08B4"/>
    <w:rsid w:val="000B08E2"/>
    <w:rsid w:val="000B0937"/>
    <w:rsid w:val="000B096D"/>
    <w:rsid w:val="000B09B7"/>
    <w:rsid w:val="000B09C1"/>
    <w:rsid w:val="000B0AF7"/>
    <w:rsid w:val="000B0B22"/>
    <w:rsid w:val="000B0B28"/>
    <w:rsid w:val="000B0BB8"/>
    <w:rsid w:val="000B0BD0"/>
    <w:rsid w:val="000B0C19"/>
    <w:rsid w:val="000B0C2A"/>
    <w:rsid w:val="000B0C99"/>
    <w:rsid w:val="000B0E03"/>
    <w:rsid w:val="000B0E9E"/>
    <w:rsid w:val="000B0F36"/>
    <w:rsid w:val="000B0FCD"/>
    <w:rsid w:val="000B0FD8"/>
    <w:rsid w:val="000B101E"/>
    <w:rsid w:val="000B102F"/>
    <w:rsid w:val="000B1103"/>
    <w:rsid w:val="000B110A"/>
    <w:rsid w:val="000B118F"/>
    <w:rsid w:val="000B11DB"/>
    <w:rsid w:val="000B1253"/>
    <w:rsid w:val="000B12EE"/>
    <w:rsid w:val="000B1319"/>
    <w:rsid w:val="000B1359"/>
    <w:rsid w:val="000B1379"/>
    <w:rsid w:val="000B13A4"/>
    <w:rsid w:val="000B1471"/>
    <w:rsid w:val="000B14F7"/>
    <w:rsid w:val="000B1574"/>
    <w:rsid w:val="000B15AF"/>
    <w:rsid w:val="000B15EE"/>
    <w:rsid w:val="000B15F8"/>
    <w:rsid w:val="000B1689"/>
    <w:rsid w:val="000B1741"/>
    <w:rsid w:val="000B17D5"/>
    <w:rsid w:val="000B17DA"/>
    <w:rsid w:val="000B1904"/>
    <w:rsid w:val="000B19E7"/>
    <w:rsid w:val="000B1A53"/>
    <w:rsid w:val="000B1A68"/>
    <w:rsid w:val="000B1AAB"/>
    <w:rsid w:val="000B1AF3"/>
    <w:rsid w:val="000B1AFB"/>
    <w:rsid w:val="000B1B35"/>
    <w:rsid w:val="000B1B42"/>
    <w:rsid w:val="000B1B48"/>
    <w:rsid w:val="000B1C19"/>
    <w:rsid w:val="000B1CCA"/>
    <w:rsid w:val="000B1D42"/>
    <w:rsid w:val="000B1E57"/>
    <w:rsid w:val="000B1FFB"/>
    <w:rsid w:val="000B20A5"/>
    <w:rsid w:val="000B20E3"/>
    <w:rsid w:val="000B2112"/>
    <w:rsid w:val="000B217D"/>
    <w:rsid w:val="000B222A"/>
    <w:rsid w:val="000B2262"/>
    <w:rsid w:val="000B237A"/>
    <w:rsid w:val="000B23DE"/>
    <w:rsid w:val="000B26A5"/>
    <w:rsid w:val="000B27B3"/>
    <w:rsid w:val="000B2A6D"/>
    <w:rsid w:val="000B2AAF"/>
    <w:rsid w:val="000B2AC2"/>
    <w:rsid w:val="000B2B16"/>
    <w:rsid w:val="000B2B1B"/>
    <w:rsid w:val="000B2B70"/>
    <w:rsid w:val="000B2B8D"/>
    <w:rsid w:val="000B2C9A"/>
    <w:rsid w:val="000B2CC1"/>
    <w:rsid w:val="000B2D59"/>
    <w:rsid w:val="000B2DFD"/>
    <w:rsid w:val="000B2E0B"/>
    <w:rsid w:val="000B2E15"/>
    <w:rsid w:val="000B2E6E"/>
    <w:rsid w:val="000B2F16"/>
    <w:rsid w:val="000B2F34"/>
    <w:rsid w:val="000B2FE7"/>
    <w:rsid w:val="000B3010"/>
    <w:rsid w:val="000B30E3"/>
    <w:rsid w:val="000B311D"/>
    <w:rsid w:val="000B313D"/>
    <w:rsid w:val="000B316E"/>
    <w:rsid w:val="000B31D1"/>
    <w:rsid w:val="000B31E6"/>
    <w:rsid w:val="000B32D8"/>
    <w:rsid w:val="000B337C"/>
    <w:rsid w:val="000B3392"/>
    <w:rsid w:val="000B3460"/>
    <w:rsid w:val="000B3523"/>
    <w:rsid w:val="000B354C"/>
    <w:rsid w:val="000B359E"/>
    <w:rsid w:val="000B3663"/>
    <w:rsid w:val="000B3674"/>
    <w:rsid w:val="000B36AF"/>
    <w:rsid w:val="000B3733"/>
    <w:rsid w:val="000B3760"/>
    <w:rsid w:val="000B37BF"/>
    <w:rsid w:val="000B384E"/>
    <w:rsid w:val="000B38D1"/>
    <w:rsid w:val="000B390F"/>
    <w:rsid w:val="000B39DD"/>
    <w:rsid w:val="000B39E4"/>
    <w:rsid w:val="000B3A3E"/>
    <w:rsid w:val="000B3B6C"/>
    <w:rsid w:val="000B3B85"/>
    <w:rsid w:val="000B3BAC"/>
    <w:rsid w:val="000B3BC3"/>
    <w:rsid w:val="000B3BFF"/>
    <w:rsid w:val="000B3C06"/>
    <w:rsid w:val="000B3CBC"/>
    <w:rsid w:val="000B3CBD"/>
    <w:rsid w:val="000B3E1E"/>
    <w:rsid w:val="000B3E32"/>
    <w:rsid w:val="000B3F61"/>
    <w:rsid w:val="000B3F64"/>
    <w:rsid w:val="000B3FA4"/>
    <w:rsid w:val="000B3FE2"/>
    <w:rsid w:val="000B406C"/>
    <w:rsid w:val="000B40E7"/>
    <w:rsid w:val="000B4146"/>
    <w:rsid w:val="000B41B1"/>
    <w:rsid w:val="000B425B"/>
    <w:rsid w:val="000B4307"/>
    <w:rsid w:val="000B4356"/>
    <w:rsid w:val="000B4396"/>
    <w:rsid w:val="000B43FB"/>
    <w:rsid w:val="000B440C"/>
    <w:rsid w:val="000B4467"/>
    <w:rsid w:val="000B45DF"/>
    <w:rsid w:val="000B4632"/>
    <w:rsid w:val="000B46BB"/>
    <w:rsid w:val="000B46C1"/>
    <w:rsid w:val="000B47DB"/>
    <w:rsid w:val="000B48A3"/>
    <w:rsid w:val="000B48C5"/>
    <w:rsid w:val="000B499F"/>
    <w:rsid w:val="000B4A64"/>
    <w:rsid w:val="000B4AC5"/>
    <w:rsid w:val="000B4BA7"/>
    <w:rsid w:val="000B4BAE"/>
    <w:rsid w:val="000B4C38"/>
    <w:rsid w:val="000B4C76"/>
    <w:rsid w:val="000B4CA6"/>
    <w:rsid w:val="000B4D32"/>
    <w:rsid w:val="000B4D9E"/>
    <w:rsid w:val="000B4DB0"/>
    <w:rsid w:val="000B4E2F"/>
    <w:rsid w:val="000B4E92"/>
    <w:rsid w:val="000B4F49"/>
    <w:rsid w:val="000B4FBF"/>
    <w:rsid w:val="000B5009"/>
    <w:rsid w:val="000B5032"/>
    <w:rsid w:val="000B5226"/>
    <w:rsid w:val="000B5358"/>
    <w:rsid w:val="000B5480"/>
    <w:rsid w:val="000B55F6"/>
    <w:rsid w:val="000B564B"/>
    <w:rsid w:val="000B5697"/>
    <w:rsid w:val="000B588B"/>
    <w:rsid w:val="000B58BA"/>
    <w:rsid w:val="000B58ED"/>
    <w:rsid w:val="000B5905"/>
    <w:rsid w:val="000B594E"/>
    <w:rsid w:val="000B599F"/>
    <w:rsid w:val="000B5A33"/>
    <w:rsid w:val="000B5A44"/>
    <w:rsid w:val="000B5A68"/>
    <w:rsid w:val="000B5A9E"/>
    <w:rsid w:val="000B5B41"/>
    <w:rsid w:val="000B5C36"/>
    <w:rsid w:val="000B5C5C"/>
    <w:rsid w:val="000B5CA9"/>
    <w:rsid w:val="000B5CB4"/>
    <w:rsid w:val="000B5CD7"/>
    <w:rsid w:val="000B5D36"/>
    <w:rsid w:val="000B5E97"/>
    <w:rsid w:val="000B5F0F"/>
    <w:rsid w:val="000B5F51"/>
    <w:rsid w:val="000B603D"/>
    <w:rsid w:val="000B606A"/>
    <w:rsid w:val="000B606E"/>
    <w:rsid w:val="000B6134"/>
    <w:rsid w:val="000B617A"/>
    <w:rsid w:val="000B61AA"/>
    <w:rsid w:val="000B61F7"/>
    <w:rsid w:val="000B624B"/>
    <w:rsid w:val="000B62A8"/>
    <w:rsid w:val="000B6320"/>
    <w:rsid w:val="000B644B"/>
    <w:rsid w:val="000B6473"/>
    <w:rsid w:val="000B6540"/>
    <w:rsid w:val="000B6560"/>
    <w:rsid w:val="000B65D8"/>
    <w:rsid w:val="000B6629"/>
    <w:rsid w:val="000B66F0"/>
    <w:rsid w:val="000B67C0"/>
    <w:rsid w:val="000B6801"/>
    <w:rsid w:val="000B68A6"/>
    <w:rsid w:val="000B68B1"/>
    <w:rsid w:val="000B6951"/>
    <w:rsid w:val="000B6966"/>
    <w:rsid w:val="000B69CC"/>
    <w:rsid w:val="000B69DB"/>
    <w:rsid w:val="000B6AB6"/>
    <w:rsid w:val="000B6B39"/>
    <w:rsid w:val="000B6BA7"/>
    <w:rsid w:val="000B6BCC"/>
    <w:rsid w:val="000B6BCD"/>
    <w:rsid w:val="000B6C73"/>
    <w:rsid w:val="000B6CC3"/>
    <w:rsid w:val="000B6D6D"/>
    <w:rsid w:val="000B6DA0"/>
    <w:rsid w:val="000B6DA5"/>
    <w:rsid w:val="000B6E3B"/>
    <w:rsid w:val="000B6F06"/>
    <w:rsid w:val="000B6F40"/>
    <w:rsid w:val="000B6F7F"/>
    <w:rsid w:val="000B6F93"/>
    <w:rsid w:val="000B6F99"/>
    <w:rsid w:val="000B7091"/>
    <w:rsid w:val="000B70D9"/>
    <w:rsid w:val="000B7123"/>
    <w:rsid w:val="000B7147"/>
    <w:rsid w:val="000B71B7"/>
    <w:rsid w:val="000B7252"/>
    <w:rsid w:val="000B72E5"/>
    <w:rsid w:val="000B7323"/>
    <w:rsid w:val="000B73E5"/>
    <w:rsid w:val="000B7471"/>
    <w:rsid w:val="000B74A9"/>
    <w:rsid w:val="000B74D5"/>
    <w:rsid w:val="000B7596"/>
    <w:rsid w:val="000B75B0"/>
    <w:rsid w:val="000B76FF"/>
    <w:rsid w:val="000B77AA"/>
    <w:rsid w:val="000B7802"/>
    <w:rsid w:val="000B78A1"/>
    <w:rsid w:val="000B78AE"/>
    <w:rsid w:val="000B79DD"/>
    <w:rsid w:val="000B7A5B"/>
    <w:rsid w:val="000B7B03"/>
    <w:rsid w:val="000B7B14"/>
    <w:rsid w:val="000B7BCB"/>
    <w:rsid w:val="000B7BF3"/>
    <w:rsid w:val="000B7C5C"/>
    <w:rsid w:val="000B7C78"/>
    <w:rsid w:val="000B7C88"/>
    <w:rsid w:val="000B7C8F"/>
    <w:rsid w:val="000B7CCE"/>
    <w:rsid w:val="000B7CEE"/>
    <w:rsid w:val="000B7D28"/>
    <w:rsid w:val="000B7D34"/>
    <w:rsid w:val="000B7D35"/>
    <w:rsid w:val="000B7DCE"/>
    <w:rsid w:val="000B7E10"/>
    <w:rsid w:val="000B7EF4"/>
    <w:rsid w:val="000B7FB5"/>
    <w:rsid w:val="000B7FDF"/>
    <w:rsid w:val="000C002B"/>
    <w:rsid w:val="000C0060"/>
    <w:rsid w:val="000C0091"/>
    <w:rsid w:val="000C0140"/>
    <w:rsid w:val="000C02B5"/>
    <w:rsid w:val="000C031C"/>
    <w:rsid w:val="000C035D"/>
    <w:rsid w:val="000C0361"/>
    <w:rsid w:val="000C03B6"/>
    <w:rsid w:val="000C043E"/>
    <w:rsid w:val="000C04B8"/>
    <w:rsid w:val="000C05FE"/>
    <w:rsid w:val="000C0660"/>
    <w:rsid w:val="000C06F4"/>
    <w:rsid w:val="000C070C"/>
    <w:rsid w:val="000C08E1"/>
    <w:rsid w:val="000C08EF"/>
    <w:rsid w:val="000C0984"/>
    <w:rsid w:val="000C0A88"/>
    <w:rsid w:val="000C0AB7"/>
    <w:rsid w:val="000C0B0B"/>
    <w:rsid w:val="000C0BB6"/>
    <w:rsid w:val="000C0BDF"/>
    <w:rsid w:val="000C0CBA"/>
    <w:rsid w:val="000C0E3F"/>
    <w:rsid w:val="000C0EB7"/>
    <w:rsid w:val="000C0F8E"/>
    <w:rsid w:val="000C10A8"/>
    <w:rsid w:val="000C110F"/>
    <w:rsid w:val="000C11A4"/>
    <w:rsid w:val="000C12AF"/>
    <w:rsid w:val="000C12CF"/>
    <w:rsid w:val="000C1494"/>
    <w:rsid w:val="000C16B1"/>
    <w:rsid w:val="000C177C"/>
    <w:rsid w:val="000C1787"/>
    <w:rsid w:val="000C1808"/>
    <w:rsid w:val="000C1886"/>
    <w:rsid w:val="000C18FA"/>
    <w:rsid w:val="000C1921"/>
    <w:rsid w:val="000C19D1"/>
    <w:rsid w:val="000C1A9C"/>
    <w:rsid w:val="000C1AAB"/>
    <w:rsid w:val="000C1BC3"/>
    <w:rsid w:val="000C1C3C"/>
    <w:rsid w:val="000C1D48"/>
    <w:rsid w:val="000C1D99"/>
    <w:rsid w:val="000C1EEA"/>
    <w:rsid w:val="000C1EFA"/>
    <w:rsid w:val="000C1F11"/>
    <w:rsid w:val="000C1F62"/>
    <w:rsid w:val="000C1F6C"/>
    <w:rsid w:val="000C1FD9"/>
    <w:rsid w:val="000C2080"/>
    <w:rsid w:val="000C20D1"/>
    <w:rsid w:val="000C2106"/>
    <w:rsid w:val="000C22E8"/>
    <w:rsid w:val="000C245D"/>
    <w:rsid w:val="000C24FF"/>
    <w:rsid w:val="000C250A"/>
    <w:rsid w:val="000C26D0"/>
    <w:rsid w:val="000C2768"/>
    <w:rsid w:val="000C2841"/>
    <w:rsid w:val="000C2892"/>
    <w:rsid w:val="000C29CE"/>
    <w:rsid w:val="000C29D2"/>
    <w:rsid w:val="000C2BEA"/>
    <w:rsid w:val="000C2C26"/>
    <w:rsid w:val="000C2C30"/>
    <w:rsid w:val="000C2C3F"/>
    <w:rsid w:val="000C2C98"/>
    <w:rsid w:val="000C2D8E"/>
    <w:rsid w:val="000C2E89"/>
    <w:rsid w:val="000C2F43"/>
    <w:rsid w:val="000C2F6B"/>
    <w:rsid w:val="000C2F70"/>
    <w:rsid w:val="000C2F7A"/>
    <w:rsid w:val="000C309C"/>
    <w:rsid w:val="000C30C8"/>
    <w:rsid w:val="000C31EF"/>
    <w:rsid w:val="000C3307"/>
    <w:rsid w:val="000C3358"/>
    <w:rsid w:val="000C3438"/>
    <w:rsid w:val="000C3486"/>
    <w:rsid w:val="000C3649"/>
    <w:rsid w:val="000C36F1"/>
    <w:rsid w:val="000C372B"/>
    <w:rsid w:val="000C3889"/>
    <w:rsid w:val="000C3A96"/>
    <w:rsid w:val="000C3AAB"/>
    <w:rsid w:val="000C3B76"/>
    <w:rsid w:val="000C3C2D"/>
    <w:rsid w:val="000C3CAB"/>
    <w:rsid w:val="000C3CB1"/>
    <w:rsid w:val="000C3D58"/>
    <w:rsid w:val="000C3D78"/>
    <w:rsid w:val="000C3DC4"/>
    <w:rsid w:val="000C3E5A"/>
    <w:rsid w:val="000C3E6C"/>
    <w:rsid w:val="000C3F07"/>
    <w:rsid w:val="000C4078"/>
    <w:rsid w:val="000C410C"/>
    <w:rsid w:val="000C434E"/>
    <w:rsid w:val="000C43CC"/>
    <w:rsid w:val="000C43DA"/>
    <w:rsid w:val="000C461C"/>
    <w:rsid w:val="000C4699"/>
    <w:rsid w:val="000C46A4"/>
    <w:rsid w:val="000C4726"/>
    <w:rsid w:val="000C47B8"/>
    <w:rsid w:val="000C47DC"/>
    <w:rsid w:val="000C4833"/>
    <w:rsid w:val="000C4868"/>
    <w:rsid w:val="000C489E"/>
    <w:rsid w:val="000C48E7"/>
    <w:rsid w:val="000C49A9"/>
    <w:rsid w:val="000C4B6B"/>
    <w:rsid w:val="000C4B92"/>
    <w:rsid w:val="000C4BF0"/>
    <w:rsid w:val="000C4C7F"/>
    <w:rsid w:val="000C4C94"/>
    <w:rsid w:val="000C4CB3"/>
    <w:rsid w:val="000C4D14"/>
    <w:rsid w:val="000C4D51"/>
    <w:rsid w:val="000C4EB3"/>
    <w:rsid w:val="000C4F05"/>
    <w:rsid w:val="000C50C9"/>
    <w:rsid w:val="000C510D"/>
    <w:rsid w:val="000C5240"/>
    <w:rsid w:val="000C525B"/>
    <w:rsid w:val="000C52DA"/>
    <w:rsid w:val="000C53F3"/>
    <w:rsid w:val="000C5424"/>
    <w:rsid w:val="000C5434"/>
    <w:rsid w:val="000C5471"/>
    <w:rsid w:val="000C5661"/>
    <w:rsid w:val="000C568C"/>
    <w:rsid w:val="000C5701"/>
    <w:rsid w:val="000C57B1"/>
    <w:rsid w:val="000C57C4"/>
    <w:rsid w:val="000C57ED"/>
    <w:rsid w:val="000C5A2C"/>
    <w:rsid w:val="000C5A5B"/>
    <w:rsid w:val="000C5A72"/>
    <w:rsid w:val="000C5AE1"/>
    <w:rsid w:val="000C5B52"/>
    <w:rsid w:val="000C5B95"/>
    <w:rsid w:val="000C5BF5"/>
    <w:rsid w:val="000C5CB0"/>
    <w:rsid w:val="000C5CBB"/>
    <w:rsid w:val="000C5D1D"/>
    <w:rsid w:val="000C5DE6"/>
    <w:rsid w:val="000C5E5D"/>
    <w:rsid w:val="000C5F95"/>
    <w:rsid w:val="000C5FB7"/>
    <w:rsid w:val="000C601B"/>
    <w:rsid w:val="000C6091"/>
    <w:rsid w:val="000C60FC"/>
    <w:rsid w:val="000C620A"/>
    <w:rsid w:val="000C6324"/>
    <w:rsid w:val="000C6380"/>
    <w:rsid w:val="000C63EA"/>
    <w:rsid w:val="000C6415"/>
    <w:rsid w:val="000C6471"/>
    <w:rsid w:val="000C655A"/>
    <w:rsid w:val="000C65FC"/>
    <w:rsid w:val="000C6671"/>
    <w:rsid w:val="000C66A2"/>
    <w:rsid w:val="000C66FA"/>
    <w:rsid w:val="000C6728"/>
    <w:rsid w:val="000C674C"/>
    <w:rsid w:val="000C677C"/>
    <w:rsid w:val="000C6782"/>
    <w:rsid w:val="000C68DF"/>
    <w:rsid w:val="000C6B64"/>
    <w:rsid w:val="000C6C41"/>
    <w:rsid w:val="000C6C43"/>
    <w:rsid w:val="000C6C67"/>
    <w:rsid w:val="000C6CB3"/>
    <w:rsid w:val="000C6D2C"/>
    <w:rsid w:val="000C6D31"/>
    <w:rsid w:val="000C6D75"/>
    <w:rsid w:val="000C6E05"/>
    <w:rsid w:val="000C6E1F"/>
    <w:rsid w:val="000C6ECE"/>
    <w:rsid w:val="000C6FBD"/>
    <w:rsid w:val="000C6FBE"/>
    <w:rsid w:val="000C7024"/>
    <w:rsid w:val="000C7049"/>
    <w:rsid w:val="000C7128"/>
    <w:rsid w:val="000C7142"/>
    <w:rsid w:val="000C7172"/>
    <w:rsid w:val="000C7193"/>
    <w:rsid w:val="000C71AF"/>
    <w:rsid w:val="000C723B"/>
    <w:rsid w:val="000C7264"/>
    <w:rsid w:val="000C7269"/>
    <w:rsid w:val="000C7282"/>
    <w:rsid w:val="000C732A"/>
    <w:rsid w:val="000C7332"/>
    <w:rsid w:val="000C7348"/>
    <w:rsid w:val="000C7378"/>
    <w:rsid w:val="000C73BF"/>
    <w:rsid w:val="000C748D"/>
    <w:rsid w:val="000C7498"/>
    <w:rsid w:val="000C75EC"/>
    <w:rsid w:val="000C7684"/>
    <w:rsid w:val="000C76F4"/>
    <w:rsid w:val="000C7743"/>
    <w:rsid w:val="000C7751"/>
    <w:rsid w:val="000C77EA"/>
    <w:rsid w:val="000C78B2"/>
    <w:rsid w:val="000C78BE"/>
    <w:rsid w:val="000C799C"/>
    <w:rsid w:val="000C7BD1"/>
    <w:rsid w:val="000C7CDB"/>
    <w:rsid w:val="000C7E1D"/>
    <w:rsid w:val="000C7E9B"/>
    <w:rsid w:val="000C7EFE"/>
    <w:rsid w:val="000C7F29"/>
    <w:rsid w:val="000C7FBC"/>
    <w:rsid w:val="000D0176"/>
    <w:rsid w:val="000D017A"/>
    <w:rsid w:val="000D0259"/>
    <w:rsid w:val="000D029D"/>
    <w:rsid w:val="000D02FD"/>
    <w:rsid w:val="000D0332"/>
    <w:rsid w:val="000D0334"/>
    <w:rsid w:val="000D0342"/>
    <w:rsid w:val="000D0400"/>
    <w:rsid w:val="000D0478"/>
    <w:rsid w:val="000D04A2"/>
    <w:rsid w:val="000D052F"/>
    <w:rsid w:val="000D05D6"/>
    <w:rsid w:val="000D05ED"/>
    <w:rsid w:val="000D0613"/>
    <w:rsid w:val="000D0770"/>
    <w:rsid w:val="000D079F"/>
    <w:rsid w:val="000D0810"/>
    <w:rsid w:val="000D08E3"/>
    <w:rsid w:val="000D096E"/>
    <w:rsid w:val="000D09F0"/>
    <w:rsid w:val="000D0A21"/>
    <w:rsid w:val="000D0A29"/>
    <w:rsid w:val="000D0A35"/>
    <w:rsid w:val="000D0A49"/>
    <w:rsid w:val="000D0B86"/>
    <w:rsid w:val="000D0BE8"/>
    <w:rsid w:val="000D0C9A"/>
    <w:rsid w:val="000D0DE7"/>
    <w:rsid w:val="000D0E1C"/>
    <w:rsid w:val="000D0E50"/>
    <w:rsid w:val="000D0E78"/>
    <w:rsid w:val="000D0EDB"/>
    <w:rsid w:val="000D0FD0"/>
    <w:rsid w:val="000D1000"/>
    <w:rsid w:val="000D1141"/>
    <w:rsid w:val="000D11BB"/>
    <w:rsid w:val="000D11D2"/>
    <w:rsid w:val="000D1294"/>
    <w:rsid w:val="000D1295"/>
    <w:rsid w:val="000D12A0"/>
    <w:rsid w:val="000D1336"/>
    <w:rsid w:val="000D13B8"/>
    <w:rsid w:val="000D13FE"/>
    <w:rsid w:val="000D1456"/>
    <w:rsid w:val="000D145A"/>
    <w:rsid w:val="000D147F"/>
    <w:rsid w:val="000D14B7"/>
    <w:rsid w:val="000D14EF"/>
    <w:rsid w:val="000D15C6"/>
    <w:rsid w:val="000D1602"/>
    <w:rsid w:val="000D160C"/>
    <w:rsid w:val="000D162C"/>
    <w:rsid w:val="000D1634"/>
    <w:rsid w:val="000D1706"/>
    <w:rsid w:val="000D17C9"/>
    <w:rsid w:val="000D17F9"/>
    <w:rsid w:val="000D1865"/>
    <w:rsid w:val="000D1867"/>
    <w:rsid w:val="000D1899"/>
    <w:rsid w:val="000D18D8"/>
    <w:rsid w:val="000D1927"/>
    <w:rsid w:val="000D197C"/>
    <w:rsid w:val="000D19BD"/>
    <w:rsid w:val="000D19DA"/>
    <w:rsid w:val="000D1AAB"/>
    <w:rsid w:val="000D1AD0"/>
    <w:rsid w:val="000D1B86"/>
    <w:rsid w:val="000D1BF9"/>
    <w:rsid w:val="000D1C94"/>
    <w:rsid w:val="000D1CE6"/>
    <w:rsid w:val="000D1CE8"/>
    <w:rsid w:val="000D1D06"/>
    <w:rsid w:val="000D1D58"/>
    <w:rsid w:val="000D1E6A"/>
    <w:rsid w:val="000D1EE1"/>
    <w:rsid w:val="000D2098"/>
    <w:rsid w:val="000D2139"/>
    <w:rsid w:val="000D236B"/>
    <w:rsid w:val="000D2370"/>
    <w:rsid w:val="000D23A5"/>
    <w:rsid w:val="000D23AC"/>
    <w:rsid w:val="000D242B"/>
    <w:rsid w:val="000D2554"/>
    <w:rsid w:val="000D257B"/>
    <w:rsid w:val="000D2592"/>
    <w:rsid w:val="000D268B"/>
    <w:rsid w:val="000D26B0"/>
    <w:rsid w:val="000D26D1"/>
    <w:rsid w:val="000D26D3"/>
    <w:rsid w:val="000D27BC"/>
    <w:rsid w:val="000D27DC"/>
    <w:rsid w:val="000D281E"/>
    <w:rsid w:val="000D28C1"/>
    <w:rsid w:val="000D2903"/>
    <w:rsid w:val="000D2942"/>
    <w:rsid w:val="000D2A68"/>
    <w:rsid w:val="000D2AC3"/>
    <w:rsid w:val="000D2B95"/>
    <w:rsid w:val="000D2BAE"/>
    <w:rsid w:val="000D2C3A"/>
    <w:rsid w:val="000D2C86"/>
    <w:rsid w:val="000D2D46"/>
    <w:rsid w:val="000D2DB7"/>
    <w:rsid w:val="000D2EB3"/>
    <w:rsid w:val="000D2EEC"/>
    <w:rsid w:val="000D2F59"/>
    <w:rsid w:val="000D2FFF"/>
    <w:rsid w:val="000D30B0"/>
    <w:rsid w:val="000D31D5"/>
    <w:rsid w:val="000D327F"/>
    <w:rsid w:val="000D33A8"/>
    <w:rsid w:val="000D33EB"/>
    <w:rsid w:val="000D3444"/>
    <w:rsid w:val="000D347F"/>
    <w:rsid w:val="000D34B4"/>
    <w:rsid w:val="000D34C6"/>
    <w:rsid w:val="000D350C"/>
    <w:rsid w:val="000D3604"/>
    <w:rsid w:val="000D3664"/>
    <w:rsid w:val="000D367F"/>
    <w:rsid w:val="000D36BB"/>
    <w:rsid w:val="000D36FB"/>
    <w:rsid w:val="000D3706"/>
    <w:rsid w:val="000D3710"/>
    <w:rsid w:val="000D3765"/>
    <w:rsid w:val="000D3787"/>
    <w:rsid w:val="000D37B8"/>
    <w:rsid w:val="000D37CE"/>
    <w:rsid w:val="000D3837"/>
    <w:rsid w:val="000D3853"/>
    <w:rsid w:val="000D394E"/>
    <w:rsid w:val="000D39CD"/>
    <w:rsid w:val="000D3A24"/>
    <w:rsid w:val="000D3A6A"/>
    <w:rsid w:val="000D3AC5"/>
    <w:rsid w:val="000D3AC7"/>
    <w:rsid w:val="000D3B73"/>
    <w:rsid w:val="000D3BC9"/>
    <w:rsid w:val="000D3BFD"/>
    <w:rsid w:val="000D3C23"/>
    <w:rsid w:val="000D3E0D"/>
    <w:rsid w:val="000D3E82"/>
    <w:rsid w:val="000D3ED0"/>
    <w:rsid w:val="000D3EE5"/>
    <w:rsid w:val="000D3F3A"/>
    <w:rsid w:val="000D3F58"/>
    <w:rsid w:val="000D406C"/>
    <w:rsid w:val="000D4097"/>
    <w:rsid w:val="000D40BB"/>
    <w:rsid w:val="000D414A"/>
    <w:rsid w:val="000D4166"/>
    <w:rsid w:val="000D41B0"/>
    <w:rsid w:val="000D41D5"/>
    <w:rsid w:val="000D4446"/>
    <w:rsid w:val="000D4470"/>
    <w:rsid w:val="000D459D"/>
    <w:rsid w:val="000D4665"/>
    <w:rsid w:val="000D478A"/>
    <w:rsid w:val="000D479A"/>
    <w:rsid w:val="000D47A5"/>
    <w:rsid w:val="000D47F0"/>
    <w:rsid w:val="000D4811"/>
    <w:rsid w:val="000D4849"/>
    <w:rsid w:val="000D4961"/>
    <w:rsid w:val="000D4982"/>
    <w:rsid w:val="000D4990"/>
    <w:rsid w:val="000D4AAD"/>
    <w:rsid w:val="000D4B66"/>
    <w:rsid w:val="000D4CA0"/>
    <w:rsid w:val="000D4D58"/>
    <w:rsid w:val="000D4D9C"/>
    <w:rsid w:val="000D4E36"/>
    <w:rsid w:val="000D4FB9"/>
    <w:rsid w:val="000D4FFE"/>
    <w:rsid w:val="000D5104"/>
    <w:rsid w:val="000D5149"/>
    <w:rsid w:val="000D51ED"/>
    <w:rsid w:val="000D5303"/>
    <w:rsid w:val="000D5345"/>
    <w:rsid w:val="000D56B8"/>
    <w:rsid w:val="000D56DD"/>
    <w:rsid w:val="000D5746"/>
    <w:rsid w:val="000D5780"/>
    <w:rsid w:val="000D57AB"/>
    <w:rsid w:val="000D5834"/>
    <w:rsid w:val="000D596B"/>
    <w:rsid w:val="000D5979"/>
    <w:rsid w:val="000D5A1D"/>
    <w:rsid w:val="000D5A73"/>
    <w:rsid w:val="000D5AB1"/>
    <w:rsid w:val="000D5AD2"/>
    <w:rsid w:val="000D5AF4"/>
    <w:rsid w:val="000D5B71"/>
    <w:rsid w:val="000D5BEB"/>
    <w:rsid w:val="000D5C4C"/>
    <w:rsid w:val="000D5C50"/>
    <w:rsid w:val="000D5CED"/>
    <w:rsid w:val="000D5D2F"/>
    <w:rsid w:val="000D5D85"/>
    <w:rsid w:val="000D5E04"/>
    <w:rsid w:val="000D5F7E"/>
    <w:rsid w:val="000D5FA9"/>
    <w:rsid w:val="000D6079"/>
    <w:rsid w:val="000D60A6"/>
    <w:rsid w:val="000D60CE"/>
    <w:rsid w:val="000D6124"/>
    <w:rsid w:val="000D6131"/>
    <w:rsid w:val="000D61DD"/>
    <w:rsid w:val="000D61E1"/>
    <w:rsid w:val="000D62B8"/>
    <w:rsid w:val="000D6498"/>
    <w:rsid w:val="000D64AE"/>
    <w:rsid w:val="000D655E"/>
    <w:rsid w:val="000D6630"/>
    <w:rsid w:val="000D6667"/>
    <w:rsid w:val="000D668D"/>
    <w:rsid w:val="000D66CC"/>
    <w:rsid w:val="000D675E"/>
    <w:rsid w:val="000D6793"/>
    <w:rsid w:val="000D67CA"/>
    <w:rsid w:val="000D67D4"/>
    <w:rsid w:val="000D6811"/>
    <w:rsid w:val="000D6870"/>
    <w:rsid w:val="000D6889"/>
    <w:rsid w:val="000D68F7"/>
    <w:rsid w:val="000D695F"/>
    <w:rsid w:val="000D6984"/>
    <w:rsid w:val="000D6998"/>
    <w:rsid w:val="000D69FF"/>
    <w:rsid w:val="000D6A85"/>
    <w:rsid w:val="000D6A8B"/>
    <w:rsid w:val="000D6AA9"/>
    <w:rsid w:val="000D6AD1"/>
    <w:rsid w:val="000D6AF0"/>
    <w:rsid w:val="000D6B56"/>
    <w:rsid w:val="000D6C06"/>
    <w:rsid w:val="000D6CFD"/>
    <w:rsid w:val="000D6D07"/>
    <w:rsid w:val="000D6D0F"/>
    <w:rsid w:val="000D6D56"/>
    <w:rsid w:val="000D6EB1"/>
    <w:rsid w:val="000D6F04"/>
    <w:rsid w:val="000D6F38"/>
    <w:rsid w:val="000D6F46"/>
    <w:rsid w:val="000D6FCB"/>
    <w:rsid w:val="000D7041"/>
    <w:rsid w:val="000D706E"/>
    <w:rsid w:val="000D708E"/>
    <w:rsid w:val="000D70F3"/>
    <w:rsid w:val="000D7169"/>
    <w:rsid w:val="000D721C"/>
    <w:rsid w:val="000D7226"/>
    <w:rsid w:val="000D7255"/>
    <w:rsid w:val="000D7387"/>
    <w:rsid w:val="000D73C9"/>
    <w:rsid w:val="000D7406"/>
    <w:rsid w:val="000D7417"/>
    <w:rsid w:val="000D7429"/>
    <w:rsid w:val="000D7543"/>
    <w:rsid w:val="000D7546"/>
    <w:rsid w:val="000D754F"/>
    <w:rsid w:val="000D7560"/>
    <w:rsid w:val="000D757B"/>
    <w:rsid w:val="000D75A0"/>
    <w:rsid w:val="000D7616"/>
    <w:rsid w:val="000D779C"/>
    <w:rsid w:val="000D77EA"/>
    <w:rsid w:val="000D78C0"/>
    <w:rsid w:val="000D78F7"/>
    <w:rsid w:val="000D78F8"/>
    <w:rsid w:val="000D790D"/>
    <w:rsid w:val="000D79CC"/>
    <w:rsid w:val="000D79F7"/>
    <w:rsid w:val="000D7B45"/>
    <w:rsid w:val="000D7B4F"/>
    <w:rsid w:val="000D7B6E"/>
    <w:rsid w:val="000D7C66"/>
    <w:rsid w:val="000D7C80"/>
    <w:rsid w:val="000D7CBE"/>
    <w:rsid w:val="000D7D1A"/>
    <w:rsid w:val="000D7D34"/>
    <w:rsid w:val="000D7D75"/>
    <w:rsid w:val="000D7D80"/>
    <w:rsid w:val="000D7EFA"/>
    <w:rsid w:val="000D7FC7"/>
    <w:rsid w:val="000E0103"/>
    <w:rsid w:val="000E0193"/>
    <w:rsid w:val="000E01B3"/>
    <w:rsid w:val="000E01D8"/>
    <w:rsid w:val="000E01E3"/>
    <w:rsid w:val="000E0221"/>
    <w:rsid w:val="000E0268"/>
    <w:rsid w:val="000E0298"/>
    <w:rsid w:val="000E02D9"/>
    <w:rsid w:val="000E04E1"/>
    <w:rsid w:val="000E0575"/>
    <w:rsid w:val="000E05EC"/>
    <w:rsid w:val="000E0637"/>
    <w:rsid w:val="000E06C7"/>
    <w:rsid w:val="000E076D"/>
    <w:rsid w:val="000E078A"/>
    <w:rsid w:val="000E07A1"/>
    <w:rsid w:val="000E08C6"/>
    <w:rsid w:val="000E0924"/>
    <w:rsid w:val="000E0943"/>
    <w:rsid w:val="000E0991"/>
    <w:rsid w:val="000E09BC"/>
    <w:rsid w:val="000E0A32"/>
    <w:rsid w:val="000E0A48"/>
    <w:rsid w:val="000E0B3C"/>
    <w:rsid w:val="000E0BD9"/>
    <w:rsid w:val="000E0C6F"/>
    <w:rsid w:val="000E0CC5"/>
    <w:rsid w:val="000E0D1B"/>
    <w:rsid w:val="000E0D1C"/>
    <w:rsid w:val="000E0D3A"/>
    <w:rsid w:val="000E0D5F"/>
    <w:rsid w:val="000E0D9E"/>
    <w:rsid w:val="000E0D9F"/>
    <w:rsid w:val="000E0DA9"/>
    <w:rsid w:val="000E0DAA"/>
    <w:rsid w:val="000E0F01"/>
    <w:rsid w:val="000E0F14"/>
    <w:rsid w:val="000E0F24"/>
    <w:rsid w:val="000E0F49"/>
    <w:rsid w:val="000E103E"/>
    <w:rsid w:val="000E1062"/>
    <w:rsid w:val="000E10BC"/>
    <w:rsid w:val="000E1104"/>
    <w:rsid w:val="000E110C"/>
    <w:rsid w:val="000E1123"/>
    <w:rsid w:val="000E11BA"/>
    <w:rsid w:val="000E1201"/>
    <w:rsid w:val="000E12CA"/>
    <w:rsid w:val="000E12EF"/>
    <w:rsid w:val="000E130C"/>
    <w:rsid w:val="000E1329"/>
    <w:rsid w:val="000E136C"/>
    <w:rsid w:val="000E13F4"/>
    <w:rsid w:val="000E1454"/>
    <w:rsid w:val="000E1462"/>
    <w:rsid w:val="000E1498"/>
    <w:rsid w:val="000E1512"/>
    <w:rsid w:val="000E1564"/>
    <w:rsid w:val="000E15AB"/>
    <w:rsid w:val="000E166C"/>
    <w:rsid w:val="000E1692"/>
    <w:rsid w:val="000E1751"/>
    <w:rsid w:val="000E17CA"/>
    <w:rsid w:val="000E1801"/>
    <w:rsid w:val="000E18AA"/>
    <w:rsid w:val="000E18BC"/>
    <w:rsid w:val="000E1909"/>
    <w:rsid w:val="000E1996"/>
    <w:rsid w:val="000E19F2"/>
    <w:rsid w:val="000E1AB1"/>
    <w:rsid w:val="000E1BCB"/>
    <w:rsid w:val="000E1EA2"/>
    <w:rsid w:val="000E1F13"/>
    <w:rsid w:val="000E2029"/>
    <w:rsid w:val="000E203A"/>
    <w:rsid w:val="000E2076"/>
    <w:rsid w:val="000E207D"/>
    <w:rsid w:val="000E20D8"/>
    <w:rsid w:val="000E216D"/>
    <w:rsid w:val="000E230C"/>
    <w:rsid w:val="000E230D"/>
    <w:rsid w:val="000E234C"/>
    <w:rsid w:val="000E23E5"/>
    <w:rsid w:val="000E2553"/>
    <w:rsid w:val="000E269D"/>
    <w:rsid w:val="000E27FC"/>
    <w:rsid w:val="000E2826"/>
    <w:rsid w:val="000E2867"/>
    <w:rsid w:val="000E2914"/>
    <w:rsid w:val="000E2992"/>
    <w:rsid w:val="000E29B0"/>
    <w:rsid w:val="000E2A63"/>
    <w:rsid w:val="000E2BEB"/>
    <w:rsid w:val="000E2D11"/>
    <w:rsid w:val="000E2D9D"/>
    <w:rsid w:val="000E2E12"/>
    <w:rsid w:val="000E2E51"/>
    <w:rsid w:val="000E2E56"/>
    <w:rsid w:val="000E2ECA"/>
    <w:rsid w:val="000E2F27"/>
    <w:rsid w:val="000E2FD9"/>
    <w:rsid w:val="000E300A"/>
    <w:rsid w:val="000E3027"/>
    <w:rsid w:val="000E310D"/>
    <w:rsid w:val="000E31C4"/>
    <w:rsid w:val="000E31FC"/>
    <w:rsid w:val="000E3251"/>
    <w:rsid w:val="000E32D3"/>
    <w:rsid w:val="000E335F"/>
    <w:rsid w:val="000E3382"/>
    <w:rsid w:val="000E33DB"/>
    <w:rsid w:val="000E33FD"/>
    <w:rsid w:val="000E33FE"/>
    <w:rsid w:val="000E3606"/>
    <w:rsid w:val="000E365C"/>
    <w:rsid w:val="000E365E"/>
    <w:rsid w:val="000E36FC"/>
    <w:rsid w:val="000E3735"/>
    <w:rsid w:val="000E3766"/>
    <w:rsid w:val="000E383D"/>
    <w:rsid w:val="000E385F"/>
    <w:rsid w:val="000E38E3"/>
    <w:rsid w:val="000E3910"/>
    <w:rsid w:val="000E3957"/>
    <w:rsid w:val="000E3BEA"/>
    <w:rsid w:val="000E3C54"/>
    <w:rsid w:val="000E3D5A"/>
    <w:rsid w:val="000E3D6B"/>
    <w:rsid w:val="000E3D84"/>
    <w:rsid w:val="000E3E0B"/>
    <w:rsid w:val="000E3E8B"/>
    <w:rsid w:val="000E3EE8"/>
    <w:rsid w:val="000E3F4D"/>
    <w:rsid w:val="000E404D"/>
    <w:rsid w:val="000E40ED"/>
    <w:rsid w:val="000E4100"/>
    <w:rsid w:val="000E4101"/>
    <w:rsid w:val="000E4194"/>
    <w:rsid w:val="000E4288"/>
    <w:rsid w:val="000E43ED"/>
    <w:rsid w:val="000E44A7"/>
    <w:rsid w:val="000E44EF"/>
    <w:rsid w:val="000E451D"/>
    <w:rsid w:val="000E456E"/>
    <w:rsid w:val="000E4582"/>
    <w:rsid w:val="000E4598"/>
    <w:rsid w:val="000E463A"/>
    <w:rsid w:val="000E4653"/>
    <w:rsid w:val="000E4689"/>
    <w:rsid w:val="000E46A4"/>
    <w:rsid w:val="000E46F7"/>
    <w:rsid w:val="000E480F"/>
    <w:rsid w:val="000E4834"/>
    <w:rsid w:val="000E4838"/>
    <w:rsid w:val="000E483B"/>
    <w:rsid w:val="000E4875"/>
    <w:rsid w:val="000E4882"/>
    <w:rsid w:val="000E48AD"/>
    <w:rsid w:val="000E48B6"/>
    <w:rsid w:val="000E48CE"/>
    <w:rsid w:val="000E49AE"/>
    <w:rsid w:val="000E4B80"/>
    <w:rsid w:val="000E4B88"/>
    <w:rsid w:val="000E4C15"/>
    <w:rsid w:val="000E4C67"/>
    <w:rsid w:val="000E4CD7"/>
    <w:rsid w:val="000E4D07"/>
    <w:rsid w:val="000E4DEA"/>
    <w:rsid w:val="000E4E1C"/>
    <w:rsid w:val="000E4E56"/>
    <w:rsid w:val="000E4F08"/>
    <w:rsid w:val="000E4FEC"/>
    <w:rsid w:val="000E5041"/>
    <w:rsid w:val="000E50B7"/>
    <w:rsid w:val="000E50FE"/>
    <w:rsid w:val="000E512C"/>
    <w:rsid w:val="000E525D"/>
    <w:rsid w:val="000E52C0"/>
    <w:rsid w:val="000E5323"/>
    <w:rsid w:val="000E53AA"/>
    <w:rsid w:val="000E53C1"/>
    <w:rsid w:val="000E53FE"/>
    <w:rsid w:val="000E54A9"/>
    <w:rsid w:val="000E55D0"/>
    <w:rsid w:val="000E568E"/>
    <w:rsid w:val="000E56BD"/>
    <w:rsid w:val="000E56DD"/>
    <w:rsid w:val="000E56E0"/>
    <w:rsid w:val="000E58F1"/>
    <w:rsid w:val="000E5908"/>
    <w:rsid w:val="000E593A"/>
    <w:rsid w:val="000E5C32"/>
    <w:rsid w:val="000E5C5F"/>
    <w:rsid w:val="000E5C6D"/>
    <w:rsid w:val="000E5C73"/>
    <w:rsid w:val="000E5C91"/>
    <w:rsid w:val="000E5CB4"/>
    <w:rsid w:val="000E5CF3"/>
    <w:rsid w:val="000E5CF6"/>
    <w:rsid w:val="000E5D24"/>
    <w:rsid w:val="000E5DBB"/>
    <w:rsid w:val="000E5E86"/>
    <w:rsid w:val="000E5EBD"/>
    <w:rsid w:val="000E5F4A"/>
    <w:rsid w:val="000E5F4D"/>
    <w:rsid w:val="000E5FBB"/>
    <w:rsid w:val="000E606C"/>
    <w:rsid w:val="000E60F3"/>
    <w:rsid w:val="000E622F"/>
    <w:rsid w:val="000E6390"/>
    <w:rsid w:val="000E639E"/>
    <w:rsid w:val="000E640A"/>
    <w:rsid w:val="000E64A9"/>
    <w:rsid w:val="000E671F"/>
    <w:rsid w:val="000E67DC"/>
    <w:rsid w:val="000E681D"/>
    <w:rsid w:val="000E6836"/>
    <w:rsid w:val="000E68BF"/>
    <w:rsid w:val="000E68E3"/>
    <w:rsid w:val="000E693F"/>
    <w:rsid w:val="000E69CA"/>
    <w:rsid w:val="000E6AD2"/>
    <w:rsid w:val="000E6B09"/>
    <w:rsid w:val="000E6BC3"/>
    <w:rsid w:val="000E6C7B"/>
    <w:rsid w:val="000E6C9A"/>
    <w:rsid w:val="000E6CC8"/>
    <w:rsid w:val="000E6D9F"/>
    <w:rsid w:val="000E6E37"/>
    <w:rsid w:val="000E6E74"/>
    <w:rsid w:val="000E6E75"/>
    <w:rsid w:val="000E6EB7"/>
    <w:rsid w:val="000E6F23"/>
    <w:rsid w:val="000E6FB2"/>
    <w:rsid w:val="000E7069"/>
    <w:rsid w:val="000E7185"/>
    <w:rsid w:val="000E71CF"/>
    <w:rsid w:val="000E72CB"/>
    <w:rsid w:val="000E734A"/>
    <w:rsid w:val="000E734B"/>
    <w:rsid w:val="000E74D9"/>
    <w:rsid w:val="000E7506"/>
    <w:rsid w:val="000E75F0"/>
    <w:rsid w:val="000E769F"/>
    <w:rsid w:val="000E779E"/>
    <w:rsid w:val="000E77EB"/>
    <w:rsid w:val="000E7927"/>
    <w:rsid w:val="000E796A"/>
    <w:rsid w:val="000E7A27"/>
    <w:rsid w:val="000E7B5C"/>
    <w:rsid w:val="000E7B98"/>
    <w:rsid w:val="000E7BDC"/>
    <w:rsid w:val="000E7E4E"/>
    <w:rsid w:val="000E7EA2"/>
    <w:rsid w:val="000E7FC9"/>
    <w:rsid w:val="000E7FD7"/>
    <w:rsid w:val="000F0036"/>
    <w:rsid w:val="000F0060"/>
    <w:rsid w:val="000F0095"/>
    <w:rsid w:val="000F01B5"/>
    <w:rsid w:val="000F023E"/>
    <w:rsid w:val="000F02C7"/>
    <w:rsid w:val="000F02DF"/>
    <w:rsid w:val="000F0321"/>
    <w:rsid w:val="000F046A"/>
    <w:rsid w:val="000F04E6"/>
    <w:rsid w:val="000F05D1"/>
    <w:rsid w:val="000F05D4"/>
    <w:rsid w:val="000F05F4"/>
    <w:rsid w:val="000F05F9"/>
    <w:rsid w:val="000F0667"/>
    <w:rsid w:val="000F068F"/>
    <w:rsid w:val="000F0753"/>
    <w:rsid w:val="000F07F2"/>
    <w:rsid w:val="000F0843"/>
    <w:rsid w:val="000F0854"/>
    <w:rsid w:val="000F0861"/>
    <w:rsid w:val="000F09B5"/>
    <w:rsid w:val="000F09BA"/>
    <w:rsid w:val="000F0A64"/>
    <w:rsid w:val="000F0AA6"/>
    <w:rsid w:val="000F0AAB"/>
    <w:rsid w:val="000F0AAC"/>
    <w:rsid w:val="000F0AD6"/>
    <w:rsid w:val="000F0B82"/>
    <w:rsid w:val="000F0BBB"/>
    <w:rsid w:val="000F0BD8"/>
    <w:rsid w:val="000F0D24"/>
    <w:rsid w:val="000F0D5B"/>
    <w:rsid w:val="000F0E13"/>
    <w:rsid w:val="000F0E51"/>
    <w:rsid w:val="000F0EB7"/>
    <w:rsid w:val="000F104A"/>
    <w:rsid w:val="000F10B5"/>
    <w:rsid w:val="000F10C2"/>
    <w:rsid w:val="000F10EB"/>
    <w:rsid w:val="000F117F"/>
    <w:rsid w:val="000F126F"/>
    <w:rsid w:val="000F12CE"/>
    <w:rsid w:val="000F133D"/>
    <w:rsid w:val="000F1450"/>
    <w:rsid w:val="000F145F"/>
    <w:rsid w:val="000F1556"/>
    <w:rsid w:val="000F15CF"/>
    <w:rsid w:val="000F16C4"/>
    <w:rsid w:val="000F16C7"/>
    <w:rsid w:val="000F16F7"/>
    <w:rsid w:val="000F1777"/>
    <w:rsid w:val="000F17B2"/>
    <w:rsid w:val="000F1820"/>
    <w:rsid w:val="000F1958"/>
    <w:rsid w:val="000F196D"/>
    <w:rsid w:val="000F1A64"/>
    <w:rsid w:val="000F1A80"/>
    <w:rsid w:val="000F1B78"/>
    <w:rsid w:val="000F1B9B"/>
    <w:rsid w:val="000F1D08"/>
    <w:rsid w:val="000F1DBC"/>
    <w:rsid w:val="000F1DCE"/>
    <w:rsid w:val="000F1DF6"/>
    <w:rsid w:val="000F1DFF"/>
    <w:rsid w:val="000F1E3F"/>
    <w:rsid w:val="000F205D"/>
    <w:rsid w:val="000F20A5"/>
    <w:rsid w:val="000F20B9"/>
    <w:rsid w:val="000F20E5"/>
    <w:rsid w:val="000F216C"/>
    <w:rsid w:val="000F229D"/>
    <w:rsid w:val="000F22EC"/>
    <w:rsid w:val="000F23D7"/>
    <w:rsid w:val="000F242A"/>
    <w:rsid w:val="000F2455"/>
    <w:rsid w:val="000F24D9"/>
    <w:rsid w:val="000F257B"/>
    <w:rsid w:val="000F270A"/>
    <w:rsid w:val="000F277A"/>
    <w:rsid w:val="000F278F"/>
    <w:rsid w:val="000F2847"/>
    <w:rsid w:val="000F2A92"/>
    <w:rsid w:val="000F2B26"/>
    <w:rsid w:val="000F2BE3"/>
    <w:rsid w:val="000F2C65"/>
    <w:rsid w:val="000F2CCD"/>
    <w:rsid w:val="000F2CE2"/>
    <w:rsid w:val="000F2DE4"/>
    <w:rsid w:val="000F2E5E"/>
    <w:rsid w:val="000F2E86"/>
    <w:rsid w:val="000F2FAD"/>
    <w:rsid w:val="000F3036"/>
    <w:rsid w:val="000F3090"/>
    <w:rsid w:val="000F30C0"/>
    <w:rsid w:val="000F318F"/>
    <w:rsid w:val="000F31CF"/>
    <w:rsid w:val="000F336A"/>
    <w:rsid w:val="000F3434"/>
    <w:rsid w:val="000F3444"/>
    <w:rsid w:val="000F3468"/>
    <w:rsid w:val="000F34D5"/>
    <w:rsid w:val="000F34F1"/>
    <w:rsid w:val="000F35ED"/>
    <w:rsid w:val="000F3677"/>
    <w:rsid w:val="000F367A"/>
    <w:rsid w:val="000F36BB"/>
    <w:rsid w:val="000F36CB"/>
    <w:rsid w:val="000F372B"/>
    <w:rsid w:val="000F379C"/>
    <w:rsid w:val="000F380A"/>
    <w:rsid w:val="000F382B"/>
    <w:rsid w:val="000F3958"/>
    <w:rsid w:val="000F3998"/>
    <w:rsid w:val="000F39A6"/>
    <w:rsid w:val="000F3A65"/>
    <w:rsid w:val="000F3AE9"/>
    <w:rsid w:val="000F3C4F"/>
    <w:rsid w:val="000F3C8C"/>
    <w:rsid w:val="000F3C9F"/>
    <w:rsid w:val="000F3CB7"/>
    <w:rsid w:val="000F3CC4"/>
    <w:rsid w:val="000F3CF0"/>
    <w:rsid w:val="000F3D1F"/>
    <w:rsid w:val="000F3DE4"/>
    <w:rsid w:val="000F3DF3"/>
    <w:rsid w:val="000F3DFA"/>
    <w:rsid w:val="000F3E15"/>
    <w:rsid w:val="000F3E73"/>
    <w:rsid w:val="000F3E74"/>
    <w:rsid w:val="000F3EB3"/>
    <w:rsid w:val="000F3EE9"/>
    <w:rsid w:val="000F3FC2"/>
    <w:rsid w:val="000F3FE8"/>
    <w:rsid w:val="000F42A1"/>
    <w:rsid w:val="000F42B6"/>
    <w:rsid w:val="000F4388"/>
    <w:rsid w:val="000F43AF"/>
    <w:rsid w:val="000F43C0"/>
    <w:rsid w:val="000F44CD"/>
    <w:rsid w:val="000F44EE"/>
    <w:rsid w:val="000F459D"/>
    <w:rsid w:val="000F4664"/>
    <w:rsid w:val="000F475D"/>
    <w:rsid w:val="000F48E2"/>
    <w:rsid w:val="000F48F3"/>
    <w:rsid w:val="000F4AF7"/>
    <w:rsid w:val="000F4B37"/>
    <w:rsid w:val="000F4B77"/>
    <w:rsid w:val="000F4BDC"/>
    <w:rsid w:val="000F4BDD"/>
    <w:rsid w:val="000F4BE2"/>
    <w:rsid w:val="000F4BF8"/>
    <w:rsid w:val="000F4C84"/>
    <w:rsid w:val="000F4C91"/>
    <w:rsid w:val="000F4D7C"/>
    <w:rsid w:val="000F4DA7"/>
    <w:rsid w:val="000F4E9C"/>
    <w:rsid w:val="000F4EE6"/>
    <w:rsid w:val="000F4F00"/>
    <w:rsid w:val="000F4F73"/>
    <w:rsid w:val="000F4F9E"/>
    <w:rsid w:val="000F4FB1"/>
    <w:rsid w:val="000F4FC3"/>
    <w:rsid w:val="000F50AC"/>
    <w:rsid w:val="000F5117"/>
    <w:rsid w:val="000F5272"/>
    <w:rsid w:val="000F52B6"/>
    <w:rsid w:val="000F52DD"/>
    <w:rsid w:val="000F52EB"/>
    <w:rsid w:val="000F5346"/>
    <w:rsid w:val="000F53D8"/>
    <w:rsid w:val="000F53EB"/>
    <w:rsid w:val="000F5466"/>
    <w:rsid w:val="000F5530"/>
    <w:rsid w:val="000F5549"/>
    <w:rsid w:val="000F5556"/>
    <w:rsid w:val="000F561A"/>
    <w:rsid w:val="000F5672"/>
    <w:rsid w:val="000F5757"/>
    <w:rsid w:val="000F5764"/>
    <w:rsid w:val="000F5781"/>
    <w:rsid w:val="000F57C6"/>
    <w:rsid w:val="000F57ED"/>
    <w:rsid w:val="000F58F9"/>
    <w:rsid w:val="000F5955"/>
    <w:rsid w:val="000F59CC"/>
    <w:rsid w:val="000F5A20"/>
    <w:rsid w:val="000F5A52"/>
    <w:rsid w:val="000F5A62"/>
    <w:rsid w:val="000F5A83"/>
    <w:rsid w:val="000F5AC7"/>
    <w:rsid w:val="000F5BB0"/>
    <w:rsid w:val="000F5C34"/>
    <w:rsid w:val="000F5C48"/>
    <w:rsid w:val="000F5C4E"/>
    <w:rsid w:val="000F5C54"/>
    <w:rsid w:val="000F5C71"/>
    <w:rsid w:val="000F5D14"/>
    <w:rsid w:val="000F5DCB"/>
    <w:rsid w:val="000F5DD3"/>
    <w:rsid w:val="000F5F1B"/>
    <w:rsid w:val="000F5F7E"/>
    <w:rsid w:val="000F6042"/>
    <w:rsid w:val="000F6069"/>
    <w:rsid w:val="000F6085"/>
    <w:rsid w:val="000F60B4"/>
    <w:rsid w:val="000F60C9"/>
    <w:rsid w:val="000F60DD"/>
    <w:rsid w:val="000F61F1"/>
    <w:rsid w:val="000F61FE"/>
    <w:rsid w:val="000F62DD"/>
    <w:rsid w:val="000F6312"/>
    <w:rsid w:val="000F638F"/>
    <w:rsid w:val="000F63DA"/>
    <w:rsid w:val="000F6412"/>
    <w:rsid w:val="000F64AF"/>
    <w:rsid w:val="000F6501"/>
    <w:rsid w:val="000F6516"/>
    <w:rsid w:val="000F667C"/>
    <w:rsid w:val="000F66CF"/>
    <w:rsid w:val="000F670C"/>
    <w:rsid w:val="000F6758"/>
    <w:rsid w:val="000F67D8"/>
    <w:rsid w:val="000F6850"/>
    <w:rsid w:val="000F6910"/>
    <w:rsid w:val="000F697E"/>
    <w:rsid w:val="000F698A"/>
    <w:rsid w:val="000F6A3E"/>
    <w:rsid w:val="000F6A43"/>
    <w:rsid w:val="000F6AD9"/>
    <w:rsid w:val="000F6ADB"/>
    <w:rsid w:val="000F6AFD"/>
    <w:rsid w:val="000F6BAD"/>
    <w:rsid w:val="000F6CA4"/>
    <w:rsid w:val="000F6CC8"/>
    <w:rsid w:val="000F6D14"/>
    <w:rsid w:val="000F6E24"/>
    <w:rsid w:val="000F6FDD"/>
    <w:rsid w:val="000F7004"/>
    <w:rsid w:val="000F707D"/>
    <w:rsid w:val="000F70E9"/>
    <w:rsid w:val="000F7152"/>
    <w:rsid w:val="000F71A1"/>
    <w:rsid w:val="000F71C9"/>
    <w:rsid w:val="000F7219"/>
    <w:rsid w:val="000F722C"/>
    <w:rsid w:val="000F72D5"/>
    <w:rsid w:val="000F73BD"/>
    <w:rsid w:val="000F744C"/>
    <w:rsid w:val="000F7516"/>
    <w:rsid w:val="000F755C"/>
    <w:rsid w:val="000F7561"/>
    <w:rsid w:val="000F762B"/>
    <w:rsid w:val="000F7660"/>
    <w:rsid w:val="000F7702"/>
    <w:rsid w:val="000F7708"/>
    <w:rsid w:val="000F774D"/>
    <w:rsid w:val="000F77A2"/>
    <w:rsid w:val="000F787E"/>
    <w:rsid w:val="000F78B8"/>
    <w:rsid w:val="000F78E3"/>
    <w:rsid w:val="000F7914"/>
    <w:rsid w:val="000F7A1C"/>
    <w:rsid w:val="000F7AC6"/>
    <w:rsid w:val="000F7B3F"/>
    <w:rsid w:val="000F7BA6"/>
    <w:rsid w:val="000F7BC3"/>
    <w:rsid w:val="000F7C08"/>
    <w:rsid w:val="000F7C0D"/>
    <w:rsid w:val="000F7C75"/>
    <w:rsid w:val="000F7CEA"/>
    <w:rsid w:val="000F7D16"/>
    <w:rsid w:val="000F7DE5"/>
    <w:rsid w:val="000F7DF4"/>
    <w:rsid w:val="000F7E3B"/>
    <w:rsid w:val="000F7EB5"/>
    <w:rsid w:val="000F7EDE"/>
    <w:rsid w:val="000F7F14"/>
    <w:rsid w:val="000F7FDB"/>
    <w:rsid w:val="00100027"/>
    <w:rsid w:val="0010002F"/>
    <w:rsid w:val="001000D1"/>
    <w:rsid w:val="001002C2"/>
    <w:rsid w:val="001002EE"/>
    <w:rsid w:val="001003AE"/>
    <w:rsid w:val="001003B0"/>
    <w:rsid w:val="001003EA"/>
    <w:rsid w:val="0010051C"/>
    <w:rsid w:val="001005C9"/>
    <w:rsid w:val="00100780"/>
    <w:rsid w:val="00100786"/>
    <w:rsid w:val="0010081A"/>
    <w:rsid w:val="001008D6"/>
    <w:rsid w:val="00100984"/>
    <w:rsid w:val="00100AE4"/>
    <w:rsid w:val="00100B1E"/>
    <w:rsid w:val="00100BBE"/>
    <w:rsid w:val="00100C72"/>
    <w:rsid w:val="00100D10"/>
    <w:rsid w:val="00100D86"/>
    <w:rsid w:val="00100DA8"/>
    <w:rsid w:val="00100EB4"/>
    <w:rsid w:val="00100EBB"/>
    <w:rsid w:val="00100F42"/>
    <w:rsid w:val="0010100D"/>
    <w:rsid w:val="00101054"/>
    <w:rsid w:val="0010115E"/>
    <w:rsid w:val="0010117B"/>
    <w:rsid w:val="00101238"/>
    <w:rsid w:val="001012FC"/>
    <w:rsid w:val="00101357"/>
    <w:rsid w:val="00101362"/>
    <w:rsid w:val="00101370"/>
    <w:rsid w:val="0010140F"/>
    <w:rsid w:val="001014D1"/>
    <w:rsid w:val="00101544"/>
    <w:rsid w:val="001015E8"/>
    <w:rsid w:val="0010165B"/>
    <w:rsid w:val="00101733"/>
    <w:rsid w:val="0010176E"/>
    <w:rsid w:val="001017B1"/>
    <w:rsid w:val="001017C2"/>
    <w:rsid w:val="0010187E"/>
    <w:rsid w:val="00101901"/>
    <w:rsid w:val="001019DD"/>
    <w:rsid w:val="00101A50"/>
    <w:rsid w:val="00101B3E"/>
    <w:rsid w:val="00101B44"/>
    <w:rsid w:val="00101BAE"/>
    <w:rsid w:val="00101C11"/>
    <w:rsid w:val="00101C85"/>
    <w:rsid w:val="00101C90"/>
    <w:rsid w:val="00101DED"/>
    <w:rsid w:val="00101DF1"/>
    <w:rsid w:val="00101E07"/>
    <w:rsid w:val="00101E85"/>
    <w:rsid w:val="00101E87"/>
    <w:rsid w:val="00101F2F"/>
    <w:rsid w:val="00101F83"/>
    <w:rsid w:val="00102024"/>
    <w:rsid w:val="00102147"/>
    <w:rsid w:val="00102164"/>
    <w:rsid w:val="001021FC"/>
    <w:rsid w:val="001022CB"/>
    <w:rsid w:val="0010235C"/>
    <w:rsid w:val="00102370"/>
    <w:rsid w:val="0010238C"/>
    <w:rsid w:val="001024DC"/>
    <w:rsid w:val="001025E6"/>
    <w:rsid w:val="00102741"/>
    <w:rsid w:val="0010277E"/>
    <w:rsid w:val="00102830"/>
    <w:rsid w:val="0010290F"/>
    <w:rsid w:val="00102A80"/>
    <w:rsid w:val="00102AF8"/>
    <w:rsid w:val="00102B25"/>
    <w:rsid w:val="00102C90"/>
    <w:rsid w:val="00102D06"/>
    <w:rsid w:val="00102D2D"/>
    <w:rsid w:val="00102DD2"/>
    <w:rsid w:val="00102E54"/>
    <w:rsid w:val="00102EC8"/>
    <w:rsid w:val="00103090"/>
    <w:rsid w:val="00103106"/>
    <w:rsid w:val="00103153"/>
    <w:rsid w:val="001031A9"/>
    <w:rsid w:val="001031AE"/>
    <w:rsid w:val="001031E0"/>
    <w:rsid w:val="0010321E"/>
    <w:rsid w:val="0010328B"/>
    <w:rsid w:val="001032FD"/>
    <w:rsid w:val="0010333C"/>
    <w:rsid w:val="001033AC"/>
    <w:rsid w:val="001033EE"/>
    <w:rsid w:val="00103409"/>
    <w:rsid w:val="0010344F"/>
    <w:rsid w:val="0010345B"/>
    <w:rsid w:val="00103483"/>
    <w:rsid w:val="001034D5"/>
    <w:rsid w:val="0010355E"/>
    <w:rsid w:val="001035E5"/>
    <w:rsid w:val="0010369F"/>
    <w:rsid w:val="001036BB"/>
    <w:rsid w:val="001036F2"/>
    <w:rsid w:val="00103739"/>
    <w:rsid w:val="001037B7"/>
    <w:rsid w:val="001037FB"/>
    <w:rsid w:val="00103886"/>
    <w:rsid w:val="001038A8"/>
    <w:rsid w:val="0010394C"/>
    <w:rsid w:val="00103951"/>
    <w:rsid w:val="00103A4E"/>
    <w:rsid w:val="00103AC2"/>
    <w:rsid w:val="00103B12"/>
    <w:rsid w:val="00103BEC"/>
    <w:rsid w:val="00103D02"/>
    <w:rsid w:val="00103D11"/>
    <w:rsid w:val="00103D1B"/>
    <w:rsid w:val="00103D64"/>
    <w:rsid w:val="00103E1E"/>
    <w:rsid w:val="00103E8F"/>
    <w:rsid w:val="00104015"/>
    <w:rsid w:val="0010402B"/>
    <w:rsid w:val="00104074"/>
    <w:rsid w:val="00104094"/>
    <w:rsid w:val="001041C7"/>
    <w:rsid w:val="0010422B"/>
    <w:rsid w:val="001042AF"/>
    <w:rsid w:val="0010434D"/>
    <w:rsid w:val="00104389"/>
    <w:rsid w:val="00104659"/>
    <w:rsid w:val="00104667"/>
    <w:rsid w:val="001046B3"/>
    <w:rsid w:val="001046F0"/>
    <w:rsid w:val="0010471B"/>
    <w:rsid w:val="0010473A"/>
    <w:rsid w:val="00104762"/>
    <w:rsid w:val="0010476B"/>
    <w:rsid w:val="0010482E"/>
    <w:rsid w:val="00104A46"/>
    <w:rsid w:val="00104AEC"/>
    <w:rsid w:val="00104B4A"/>
    <w:rsid w:val="00104B7F"/>
    <w:rsid w:val="00104BD3"/>
    <w:rsid w:val="00104BE9"/>
    <w:rsid w:val="00104BF7"/>
    <w:rsid w:val="00104D12"/>
    <w:rsid w:val="00104E8E"/>
    <w:rsid w:val="00104EEE"/>
    <w:rsid w:val="00104F2E"/>
    <w:rsid w:val="00104F6C"/>
    <w:rsid w:val="00105006"/>
    <w:rsid w:val="00105031"/>
    <w:rsid w:val="00105087"/>
    <w:rsid w:val="001050B9"/>
    <w:rsid w:val="0010513E"/>
    <w:rsid w:val="00105198"/>
    <w:rsid w:val="001051F2"/>
    <w:rsid w:val="00105230"/>
    <w:rsid w:val="00105239"/>
    <w:rsid w:val="0010523E"/>
    <w:rsid w:val="001052F1"/>
    <w:rsid w:val="00105334"/>
    <w:rsid w:val="00105346"/>
    <w:rsid w:val="0010552A"/>
    <w:rsid w:val="001057A6"/>
    <w:rsid w:val="00105811"/>
    <w:rsid w:val="00105889"/>
    <w:rsid w:val="00105987"/>
    <w:rsid w:val="00105A8D"/>
    <w:rsid w:val="00105B8C"/>
    <w:rsid w:val="00105C18"/>
    <w:rsid w:val="00105DF2"/>
    <w:rsid w:val="00105E6C"/>
    <w:rsid w:val="00105FBF"/>
    <w:rsid w:val="0010611C"/>
    <w:rsid w:val="0010623B"/>
    <w:rsid w:val="00106241"/>
    <w:rsid w:val="00106273"/>
    <w:rsid w:val="0010645A"/>
    <w:rsid w:val="0010648D"/>
    <w:rsid w:val="001064D4"/>
    <w:rsid w:val="001064DA"/>
    <w:rsid w:val="0010657E"/>
    <w:rsid w:val="0010658C"/>
    <w:rsid w:val="001065FD"/>
    <w:rsid w:val="0010662E"/>
    <w:rsid w:val="00106675"/>
    <w:rsid w:val="00106738"/>
    <w:rsid w:val="001067C2"/>
    <w:rsid w:val="00106861"/>
    <w:rsid w:val="00106954"/>
    <w:rsid w:val="00106972"/>
    <w:rsid w:val="00106A09"/>
    <w:rsid w:val="00106A7B"/>
    <w:rsid w:val="00106A9F"/>
    <w:rsid w:val="00106ABB"/>
    <w:rsid w:val="00106AD7"/>
    <w:rsid w:val="00106BEA"/>
    <w:rsid w:val="00106BF3"/>
    <w:rsid w:val="00106C3D"/>
    <w:rsid w:val="00106C52"/>
    <w:rsid w:val="00106CCB"/>
    <w:rsid w:val="00106D34"/>
    <w:rsid w:val="00106D4E"/>
    <w:rsid w:val="00106DAD"/>
    <w:rsid w:val="00106E0F"/>
    <w:rsid w:val="00106E6B"/>
    <w:rsid w:val="00106E89"/>
    <w:rsid w:val="00106F21"/>
    <w:rsid w:val="0010708F"/>
    <w:rsid w:val="00107092"/>
    <w:rsid w:val="0010713A"/>
    <w:rsid w:val="0010715D"/>
    <w:rsid w:val="00107160"/>
    <w:rsid w:val="001071F2"/>
    <w:rsid w:val="00107208"/>
    <w:rsid w:val="0010722B"/>
    <w:rsid w:val="00107254"/>
    <w:rsid w:val="0010728B"/>
    <w:rsid w:val="001073A3"/>
    <w:rsid w:val="001073AF"/>
    <w:rsid w:val="001073FC"/>
    <w:rsid w:val="001074AA"/>
    <w:rsid w:val="00107519"/>
    <w:rsid w:val="001075CA"/>
    <w:rsid w:val="001075D6"/>
    <w:rsid w:val="00107610"/>
    <w:rsid w:val="001076D6"/>
    <w:rsid w:val="001077E8"/>
    <w:rsid w:val="00107828"/>
    <w:rsid w:val="0010789B"/>
    <w:rsid w:val="0010790A"/>
    <w:rsid w:val="00107960"/>
    <w:rsid w:val="001079BF"/>
    <w:rsid w:val="00107B28"/>
    <w:rsid w:val="00107B4C"/>
    <w:rsid w:val="00107B82"/>
    <w:rsid w:val="00107C34"/>
    <w:rsid w:val="00107C4B"/>
    <w:rsid w:val="00107C90"/>
    <w:rsid w:val="00107DC7"/>
    <w:rsid w:val="00107EE9"/>
    <w:rsid w:val="00107F55"/>
    <w:rsid w:val="00107F60"/>
    <w:rsid w:val="00107FDB"/>
    <w:rsid w:val="001100C2"/>
    <w:rsid w:val="00110112"/>
    <w:rsid w:val="0011017B"/>
    <w:rsid w:val="001102CA"/>
    <w:rsid w:val="00110355"/>
    <w:rsid w:val="001104D1"/>
    <w:rsid w:val="001104E4"/>
    <w:rsid w:val="0011054C"/>
    <w:rsid w:val="001106CA"/>
    <w:rsid w:val="00110811"/>
    <w:rsid w:val="00110880"/>
    <w:rsid w:val="00110883"/>
    <w:rsid w:val="001108DF"/>
    <w:rsid w:val="0011090E"/>
    <w:rsid w:val="0011091F"/>
    <w:rsid w:val="00110936"/>
    <w:rsid w:val="00110985"/>
    <w:rsid w:val="001109C4"/>
    <w:rsid w:val="001109CB"/>
    <w:rsid w:val="001109FB"/>
    <w:rsid w:val="00110A3B"/>
    <w:rsid w:val="00110A68"/>
    <w:rsid w:val="00110A8A"/>
    <w:rsid w:val="00110AC9"/>
    <w:rsid w:val="00110AE4"/>
    <w:rsid w:val="00110BB6"/>
    <w:rsid w:val="00110C1D"/>
    <w:rsid w:val="00110C6E"/>
    <w:rsid w:val="00110CC8"/>
    <w:rsid w:val="00110D00"/>
    <w:rsid w:val="00110D22"/>
    <w:rsid w:val="00110D62"/>
    <w:rsid w:val="00110E08"/>
    <w:rsid w:val="00110E09"/>
    <w:rsid w:val="00110E87"/>
    <w:rsid w:val="00110EBE"/>
    <w:rsid w:val="00110EDC"/>
    <w:rsid w:val="00110EF1"/>
    <w:rsid w:val="00110EF5"/>
    <w:rsid w:val="00110FC3"/>
    <w:rsid w:val="00111061"/>
    <w:rsid w:val="0011107E"/>
    <w:rsid w:val="00111131"/>
    <w:rsid w:val="00111141"/>
    <w:rsid w:val="0011116C"/>
    <w:rsid w:val="00111219"/>
    <w:rsid w:val="0011128E"/>
    <w:rsid w:val="001112B5"/>
    <w:rsid w:val="00111329"/>
    <w:rsid w:val="00111338"/>
    <w:rsid w:val="0011137D"/>
    <w:rsid w:val="001113BB"/>
    <w:rsid w:val="0011142F"/>
    <w:rsid w:val="001114D3"/>
    <w:rsid w:val="001115F0"/>
    <w:rsid w:val="001116E6"/>
    <w:rsid w:val="001117A8"/>
    <w:rsid w:val="001117EC"/>
    <w:rsid w:val="001118A2"/>
    <w:rsid w:val="001118A4"/>
    <w:rsid w:val="00111A55"/>
    <w:rsid w:val="00111AE9"/>
    <w:rsid w:val="00111B52"/>
    <w:rsid w:val="00111BA6"/>
    <w:rsid w:val="00111BE0"/>
    <w:rsid w:val="00111C33"/>
    <w:rsid w:val="00111D92"/>
    <w:rsid w:val="00111DA8"/>
    <w:rsid w:val="00111DCD"/>
    <w:rsid w:val="00111E4C"/>
    <w:rsid w:val="00111E93"/>
    <w:rsid w:val="00111EC9"/>
    <w:rsid w:val="00111F0E"/>
    <w:rsid w:val="00111F95"/>
    <w:rsid w:val="00111FC5"/>
    <w:rsid w:val="0011200F"/>
    <w:rsid w:val="00112058"/>
    <w:rsid w:val="00112061"/>
    <w:rsid w:val="00112070"/>
    <w:rsid w:val="001120A3"/>
    <w:rsid w:val="00112124"/>
    <w:rsid w:val="001121B5"/>
    <w:rsid w:val="001121CA"/>
    <w:rsid w:val="001122E0"/>
    <w:rsid w:val="00112322"/>
    <w:rsid w:val="00112399"/>
    <w:rsid w:val="0011247E"/>
    <w:rsid w:val="001125CF"/>
    <w:rsid w:val="00112665"/>
    <w:rsid w:val="0011269F"/>
    <w:rsid w:val="001126CF"/>
    <w:rsid w:val="00112708"/>
    <w:rsid w:val="0011273D"/>
    <w:rsid w:val="00112760"/>
    <w:rsid w:val="0011281D"/>
    <w:rsid w:val="0011287F"/>
    <w:rsid w:val="00112904"/>
    <w:rsid w:val="0011292E"/>
    <w:rsid w:val="001129B8"/>
    <w:rsid w:val="001129D1"/>
    <w:rsid w:val="001129D5"/>
    <w:rsid w:val="001129EE"/>
    <w:rsid w:val="00112A42"/>
    <w:rsid w:val="00112B01"/>
    <w:rsid w:val="00112C14"/>
    <w:rsid w:val="00112CDD"/>
    <w:rsid w:val="00112DFD"/>
    <w:rsid w:val="00112E0B"/>
    <w:rsid w:val="00112E18"/>
    <w:rsid w:val="00112E85"/>
    <w:rsid w:val="00112F00"/>
    <w:rsid w:val="00112F01"/>
    <w:rsid w:val="00112FE7"/>
    <w:rsid w:val="00113059"/>
    <w:rsid w:val="001130EB"/>
    <w:rsid w:val="00113200"/>
    <w:rsid w:val="00113212"/>
    <w:rsid w:val="001132F1"/>
    <w:rsid w:val="001133C1"/>
    <w:rsid w:val="001134CA"/>
    <w:rsid w:val="001134EE"/>
    <w:rsid w:val="001135D6"/>
    <w:rsid w:val="001135E2"/>
    <w:rsid w:val="00113720"/>
    <w:rsid w:val="001137A3"/>
    <w:rsid w:val="0011389A"/>
    <w:rsid w:val="001138BF"/>
    <w:rsid w:val="001138C6"/>
    <w:rsid w:val="00113956"/>
    <w:rsid w:val="001139A6"/>
    <w:rsid w:val="00113A41"/>
    <w:rsid w:val="00113A56"/>
    <w:rsid w:val="00113A5C"/>
    <w:rsid w:val="00113AA4"/>
    <w:rsid w:val="00113C40"/>
    <w:rsid w:val="00113C5E"/>
    <w:rsid w:val="00113C85"/>
    <w:rsid w:val="00113D3B"/>
    <w:rsid w:val="00113D6A"/>
    <w:rsid w:val="00113EF4"/>
    <w:rsid w:val="00113F4B"/>
    <w:rsid w:val="0011403B"/>
    <w:rsid w:val="001140A8"/>
    <w:rsid w:val="00114124"/>
    <w:rsid w:val="00114161"/>
    <w:rsid w:val="0011419B"/>
    <w:rsid w:val="00114209"/>
    <w:rsid w:val="001142B0"/>
    <w:rsid w:val="001142E9"/>
    <w:rsid w:val="001142F7"/>
    <w:rsid w:val="0011436A"/>
    <w:rsid w:val="0011439F"/>
    <w:rsid w:val="001143ED"/>
    <w:rsid w:val="00114414"/>
    <w:rsid w:val="00114419"/>
    <w:rsid w:val="00114439"/>
    <w:rsid w:val="0011446F"/>
    <w:rsid w:val="001144E0"/>
    <w:rsid w:val="001144FB"/>
    <w:rsid w:val="001144FD"/>
    <w:rsid w:val="001145A8"/>
    <w:rsid w:val="0011465F"/>
    <w:rsid w:val="001146B3"/>
    <w:rsid w:val="001147FD"/>
    <w:rsid w:val="001147FE"/>
    <w:rsid w:val="00114877"/>
    <w:rsid w:val="001148F7"/>
    <w:rsid w:val="001148F8"/>
    <w:rsid w:val="00114903"/>
    <w:rsid w:val="00114A63"/>
    <w:rsid w:val="00114B16"/>
    <w:rsid w:val="00114B70"/>
    <w:rsid w:val="00114BB4"/>
    <w:rsid w:val="00114BE1"/>
    <w:rsid w:val="00114C2D"/>
    <w:rsid w:val="00114C8B"/>
    <w:rsid w:val="00114CC8"/>
    <w:rsid w:val="00114CEB"/>
    <w:rsid w:val="00114D3F"/>
    <w:rsid w:val="00114E0A"/>
    <w:rsid w:val="00114E8D"/>
    <w:rsid w:val="00114EBF"/>
    <w:rsid w:val="00114F56"/>
    <w:rsid w:val="00114F86"/>
    <w:rsid w:val="00114F94"/>
    <w:rsid w:val="00115072"/>
    <w:rsid w:val="001150EB"/>
    <w:rsid w:val="00115210"/>
    <w:rsid w:val="00115255"/>
    <w:rsid w:val="00115290"/>
    <w:rsid w:val="001152F4"/>
    <w:rsid w:val="00115327"/>
    <w:rsid w:val="001153FF"/>
    <w:rsid w:val="00115478"/>
    <w:rsid w:val="001154ED"/>
    <w:rsid w:val="0011555D"/>
    <w:rsid w:val="0011556B"/>
    <w:rsid w:val="00115575"/>
    <w:rsid w:val="00115758"/>
    <w:rsid w:val="001157A4"/>
    <w:rsid w:val="001157E9"/>
    <w:rsid w:val="0011590E"/>
    <w:rsid w:val="0011592A"/>
    <w:rsid w:val="00115930"/>
    <w:rsid w:val="001159F4"/>
    <w:rsid w:val="001159F5"/>
    <w:rsid w:val="00115A78"/>
    <w:rsid w:val="00115A7F"/>
    <w:rsid w:val="00115AAE"/>
    <w:rsid w:val="00115AE1"/>
    <w:rsid w:val="00115C33"/>
    <w:rsid w:val="00115C73"/>
    <w:rsid w:val="00115C8B"/>
    <w:rsid w:val="00115CCB"/>
    <w:rsid w:val="00115CD7"/>
    <w:rsid w:val="00115D26"/>
    <w:rsid w:val="00115D4B"/>
    <w:rsid w:val="00115E5A"/>
    <w:rsid w:val="00115EEC"/>
    <w:rsid w:val="00115FCF"/>
    <w:rsid w:val="001160DB"/>
    <w:rsid w:val="001160ED"/>
    <w:rsid w:val="00116100"/>
    <w:rsid w:val="0011611F"/>
    <w:rsid w:val="00116206"/>
    <w:rsid w:val="0011625D"/>
    <w:rsid w:val="0011627F"/>
    <w:rsid w:val="001162E2"/>
    <w:rsid w:val="00116390"/>
    <w:rsid w:val="00116420"/>
    <w:rsid w:val="00116425"/>
    <w:rsid w:val="00116525"/>
    <w:rsid w:val="00116556"/>
    <w:rsid w:val="001165AE"/>
    <w:rsid w:val="001165E2"/>
    <w:rsid w:val="001165E8"/>
    <w:rsid w:val="00116654"/>
    <w:rsid w:val="001166F9"/>
    <w:rsid w:val="001167A3"/>
    <w:rsid w:val="001167B7"/>
    <w:rsid w:val="00116980"/>
    <w:rsid w:val="00116A5E"/>
    <w:rsid w:val="00116AE8"/>
    <w:rsid w:val="00116B64"/>
    <w:rsid w:val="00116B83"/>
    <w:rsid w:val="00116BE4"/>
    <w:rsid w:val="00116C1A"/>
    <w:rsid w:val="00116CA2"/>
    <w:rsid w:val="00116DFF"/>
    <w:rsid w:val="00116E72"/>
    <w:rsid w:val="00116E86"/>
    <w:rsid w:val="00116EE7"/>
    <w:rsid w:val="00117038"/>
    <w:rsid w:val="00117050"/>
    <w:rsid w:val="0011711F"/>
    <w:rsid w:val="0011712B"/>
    <w:rsid w:val="0011720C"/>
    <w:rsid w:val="0011727F"/>
    <w:rsid w:val="00117280"/>
    <w:rsid w:val="001172FC"/>
    <w:rsid w:val="0011736E"/>
    <w:rsid w:val="00117408"/>
    <w:rsid w:val="0011740F"/>
    <w:rsid w:val="00117453"/>
    <w:rsid w:val="001174BB"/>
    <w:rsid w:val="001174F2"/>
    <w:rsid w:val="00117520"/>
    <w:rsid w:val="0011754F"/>
    <w:rsid w:val="00117644"/>
    <w:rsid w:val="001176E6"/>
    <w:rsid w:val="00117727"/>
    <w:rsid w:val="0011779A"/>
    <w:rsid w:val="0011780E"/>
    <w:rsid w:val="00117813"/>
    <w:rsid w:val="00117845"/>
    <w:rsid w:val="00117848"/>
    <w:rsid w:val="00117882"/>
    <w:rsid w:val="001178EE"/>
    <w:rsid w:val="0011792A"/>
    <w:rsid w:val="001179DF"/>
    <w:rsid w:val="00117A33"/>
    <w:rsid w:val="00117A53"/>
    <w:rsid w:val="00117AE2"/>
    <w:rsid w:val="00117B0A"/>
    <w:rsid w:val="00117B78"/>
    <w:rsid w:val="00117C07"/>
    <w:rsid w:val="00117C28"/>
    <w:rsid w:val="00117D6C"/>
    <w:rsid w:val="00117E76"/>
    <w:rsid w:val="00120018"/>
    <w:rsid w:val="0012003F"/>
    <w:rsid w:val="001201DF"/>
    <w:rsid w:val="0012020C"/>
    <w:rsid w:val="00120223"/>
    <w:rsid w:val="00120302"/>
    <w:rsid w:val="00120327"/>
    <w:rsid w:val="0012032E"/>
    <w:rsid w:val="00120376"/>
    <w:rsid w:val="001203C4"/>
    <w:rsid w:val="001204B8"/>
    <w:rsid w:val="001205B3"/>
    <w:rsid w:val="001205D6"/>
    <w:rsid w:val="001206D6"/>
    <w:rsid w:val="00120748"/>
    <w:rsid w:val="001207C8"/>
    <w:rsid w:val="001207F1"/>
    <w:rsid w:val="00120850"/>
    <w:rsid w:val="00120851"/>
    <w:rsid w:val="001208A9"/>
    <w:rsid w:val="001209AA"/>
    <w:rsid w:val="001209B1"/>
    <w:rsid w:val="001209DC"/>
    <w:rsid w:val="00120A38"/>
    <w:rsid w:val="00120ABB"/>
    <w:rsid w:val="00120ADC"/>
    <w:rsid w:val="00120B10"/>
    <w:rsid w:val="00120B60"/>
    <w:rsid w:val="00120C5D"/>
    <w:rsid w:val="00120C7B"/>
    <w:rsid w:val="00120C89"/>
    <w:rsid w:val="00120D09"/>
    <w:rsid w:val="00120D24"/>
    <w:rsid w:val="00120D82"/>
    <w:rsid w:val="00120E6F"/>
    <w:rsid w:val="00120EDE"/>
    <w:rsid w:val="00120F5B"/>
    <w:rsid w:val="00120F83"/>
    <w:rsid w:val="00120F8D"/>
    <w:rsid w:val="00120FED"/>
    <w:rsid w:val="00120FF5"/>
    <w:rsid w:val="0012102C"/>
    <w:rsid w:val="001210E0"/>
    <w:rsid w:val="00121188"/>
    <w:rsid w:val="001212B6"/>
    <w:rsid w:val="0012134D"/>
    <w:rsid w:val="0012146B"/>
    <w:rsid w:val="00121476"/>
    <w:rsid w:val="00121596"/>
    <w:rsid w:val="0012161D"/>
    <w:rsid w:val="001216B1"/>
    <w:rsid w:val="00121737"/>
    <w:rsid w:val="001217C2"/>
    <w:rsid w:val="001217CD"/>
    <w:rsid w:val="001217CE"/>
    <w:rsid w:val="001218F2"/>
    <w:rsid w:val="00121977"/>
    <w:rsid w:val="0012197B"/>
    <w:rsid w:val="00121A3F"/>
    <w:rsid w:val="00121A58"/>
    <w:rsid w:val="00121B90"/>
    <w:rsid w:val="00121D2E"/>
    <w:rsid w:val="00121D50"/>
    <w:rsid w:val="00121D54"/>
    <w:rsid w:val="00121DDB"/>
    <w:rsid w:val="00121DF8"/>
    <w:rsid w:val="00121E60"/>
    <w:rsid w:val="00121EAB"/>
    <w:rsid w:val="00121EFA"/>
    <w:rsid w:val="00121F87"/>
    <w:rsid w:val="00122140"/>
    <w:rsid w:val="00122142"/>
    <w:rsid w:val="00122174"/>
    <w:rsid w:val="0012217F"/>
    <w:rsid w:val="00122202"/>
    <w:rsid w:val="0012220B"/>
    <w:rsid w:val="00122233"/>
    <w:rsid w:val="0012227F"/>
    <w:rsid w:val="001222EB"/>
    <w:rsid w:val="00122309"/>
    <w:rsid w:val="0012239F"/>
    <w:rsid w:val="00122415"/>
    <w:rsid w:val="00122483"/>
    <w:rsid w:val="001224AE"/>
    <w:rsid w:val="001224C8"/>
    <w:rsid w:val="001224D5"/>
    <w:rsid w:val="001224DC"/>
    <w:rsid w:val="001224E3"/>
    <w:rsid w:val="001225B4"/>
    <w:rsid w:val="00122785"/>
    <w:rsid w:val="00122790"/>
    <w:rsid w:val="001227A5"/>
    <w:rsid w:val="0012283F"/>
    <w:rsid w:val="00122840"/>
    <w:rsid w:val="00122887"/>
    <w:rsid w:val="0012295A"/>
    <w:rsid w:val="001229C8"/>
    <w:rsid w:val="00122A4B"/>
    <w:rsid w:val="00122A71"/>
    <w:rsid w:val="00122A7D"/>
    <w:rsid w:val="00122AA9"/>
    <w:rsid w:val="00122B0B"/>
    <w:rsid w:val="00122B65"/>
    <w:rsid w:val="00122BE1"/>
    <w:rsid w:val="00122BF6"/>
    <w:rsid w:val="00122E53"/>
    <w:rsid w:val="00122E7B"/>
    <w:rsid w:val="00122FA2"/>
    <w:rsid w:val="00122FE4"/>
    <w:rsid w:val="001230F2"/>
    <w:rsid w:val="00123159"/>
    <w:rsid w:val="0012317E"/>
    <w:rsid w:val="0012319E"/>
    <w:rsid w:val="00123234"/>
    <w:rsid w:val="0012324E"/>
    <w:rsid w:val="0012326E"/>
    <w:rsid w:val="001232E5"/>
    <w:rsid w:val="00123310"/>
    <w:rsid w:val="00123311"/>
    <w:rsid w:val="00123324"/>
    <w:rsid w:val="00123365"/>
    <w:rsid w:val="00123369"/>
    <w:rsid w:val="00123461"/>
    <w:rsid w:val="0012346B"/>
    <w:rsid w:val="001234C5"/>
    <w:rsid w:val="001234FA"/>
    <w:rsid w:val="0012355B"/>
    <w:rsid w:val="00123589"/>
    <w:rsid w:val="00123615"/>
    <w:rsid w:val="0012371E"/>
    <w:rsid w:val="00123764"/>
    <w:rsid w:val="00123799"/>
    <w:rsid w:val="0012383D"/>
    <w:rsid w:val="00123843"/>
    <w:rsid w:val="00123909"/>
    <w:rsid w:val="0012390D"/>
    <w:rsid w:val="00123937"/>
    <w:rsid w:val="0012396D"/>
    <w:rsid w:val="0012399C"/>
    <w:rsid w:val="00123ACD"/>
    <w:rsid w:val="00123B99"/>
    <w:rsid w:val="00123BB8"/>
    <w:rsid w:val="00123BD7"/>
    <w:rsid w:val="00123C18"/>
    <w:rsid w:val="00123CC2"/>
    <w:rsid w:val="00123D49"/>
    <w:rsid w:val="00123ECE"/>
    <w:rsid w:val="00123F32"/>
    <w:rsid w:val="00123F46"/>
    <w:rsid w:val="00123F6C"/>
    <w:rsid w:val="00123FE4"/>
    <w:rsid w:val="00123FFA"/>
    <w:rsid w:val="00124002"/>
    <w:rsid w:val="0012404C"/>
    <w:rsid w:val="00124082"/>
    <w:rsid w:val="001241FF"/>
    <w:rsid w:val="00124225"/>
    <w:rsid w:val="0012428C"/>
    <w:rsid w:val="00124345"/>
    <w:rsid w:val="0012435C"/>
    <w:rsid w:val="0012436A"/>
    <w:rsid w:val="00124382"/>
    <w:rsid w:val="0012439F"/>
    <w:rsid w:val="0012446D"/>
    <w:rsid w:val="00124491"/>
    <w:rsid w:val="001244B0"/>
    <w:rsid w:val="00124512"/>
    <w:rsid w:val="001245B2"/>
    <w:rsid w:val="001245B3"/>
    <w:rsid w:val="001245C9"/>
    <w:rsid w:val="0012464F"/>
    <w:rsid w:val="0012467E"/>
    <w:rsid w:val="00124736"/>
    <w:rsid w:val="001247FB"/>
    <w:rsid w:val="00124843"/>
    <w:rsid w:val="001248C6"/>
    <w:rsid w:val="001249DC"/>
    <w:rsid w:val="00124A65"/>
    <w:rsid w:val="00124AED"/>
    <w:rsid w:val="00124B25"/>
    <w:rsid w:val="00124B42"/>
    <w:rsid w:val="00124B99"/>
    <w:rsid w:val="00124BB8"/>
    <w:rsid w:val="00124C4E"/>
    <w:rsid w:val="00124C76"/>
    <w:rsid w:val="00124CCD"/>
    <w:rsid w:val="00124CE9"/>
    <w:rsid w:val="00124E7B"/>
    <w:rsid w:val="00124F56"/>
    <w:rsid w:val="00124F90"/>
    <w:rsid w:val="00124FFE"/>
    <w:rsid w:val="0012502A"/>
    <w:rsid w:val="00125103"/>
    <w:rsid w:val="00125151"/>
    <w:rsid w:val="00125296"/>
    <w:rsid w:val="001252FD"/>
    <w:rsid w:val="001253A0"/>
    <w:rsid w:val="001253F8"/>
    <w:rsid w:val="0012540D"/>
    <w:rsid w:val="00125440"/>
    <w:rsid w:val="001254A1"/>
    <w:rsid w:val="001255BA"/>
    <w:rsid w:val="001256B7"/>
    <w:rsid w:val="00125859"/>
    <w:rsid w:val="00125878"/>
    <w:rsid w:val="0012596F"/>
    <w:rsid w:val="0012599C"/>
    <w:rsid w:val="001259A2"/>
    <w:rsid w:val="001259BB"/>
    <w:rsid w:val="00125A4C"/>
    <w:rsid w:val="00125B02"/>
    <w:rsid w:val="00125B27"/>
    <w:rsid w:val="00125B69"/>
    <w:rsid w:val="00125BBA"/>
    <w:rsid w:val="00125BCB"/>
    <w:rsid w:val="00125BD8"/>
    <w:rsid w:val="00125C99"/>
    <w:rsid w:val="00125CBA"/>
    <w:rsid w:val="00125DD1"/>
    <w:rsid w:val="00125DF5"/>
    <w:rsid w:val="00125E18"/>
    <w:rsid w:val="00125F9C"/>
    <w:rsid w:val="00125FDC"/>
    <w:rsid w:val="00126058"/>
    <w:rsid w:val="00126099"/>
    <w:rsid w:val="00126197"/>
    <w:rsid w:val="001261D5"/>
    <w:rsid w:val="001261E1"/>
    <w:rsid w:val="0012623D"/>
    <w:rsid w:val="00126243"/>
    <w:rsid w:val="001262AE"/>
    <w:rsid w:val="00126334"/>
    <w:rsid w:val="00126345"/>
    <w:rsid w:val="00126357"/>
    <w:rsid w:val="00126395"/>
    <w:rsid w:val="001263EB"/>
    <w:rsid w:val="00126411"/>
    <w:rsid w:val="0012646B"/>
    <w:rsid w:val="0012650B"/>
    <w:rsid w:val="0012655C"/>
    <w:rsid w:val="0012666F"/>
    <w:rsid w:val="00126753"/>
    <w:rsid w:val="001267C3"/>
    <w:rsid w:val="001267EC"/>
    <w:rsid w:val="001267F4"/>
    <w:rsid w:val="001268EC"/>
    <w:rsid w:val="001269CE"/>
    <w:rsid w:val="00126AC2"/>
    <w:rsid w:val="00126B25"/>
    <w:rsid w:val="00126BA4"/>
    <w:rsid w:val="00126C39"/>
    <w:rsid w:val="00126D5D"/>
    <w:rsid w:val="00126DCA"/>
    <w:rsid w:val="00126E31"/>
    <w:rsid w:val="00126EC1"/>
    <w:rsid w:val="00126EEB"/>
    <w:rsid w:val="00126F39"/>
    <w:rsid w:val="00126F8F"/>
    <w:rsid w:val="00126FEB"/>
    <w:rsid w:val="00127078"/>
    <w:rsid w:val="00127091"/>
    <w:rsid w:val="001270B5"/>
    <w:rsid w:val="001270EF"/>
    <w:rsid w:val="00127105"/>
    <w:rsid w:val="00127131"/>
    <w:rsid w:val="0012716D"/>
    <w:rsid w:val="001271E3"/>
    <w:rsid w:val="001271ED"/>
    <w:rsid w:val="00127204"/>
    <w:rsid w:val="0012723B"/>
    <w:rsid w:val="0012724F"/>
    <w:rsid w:val="001272A0"/>
    <w:rsid w:val="0012732E"/>
    <w:rsid w:val="00127361"/>
    <w:rsid w:val="001273FF"/>
    <w:rsid w:val="00127476"/>
    <w:rsid w:val="001274F9"/>
    <w:rsid w:val="00127665"/>
    <w:rsid w:val="001276A5"/>
    <w:rsid w:val="0012787E"/>
    <w:rsid w:val="001279F9"/>
    <w:rsid w:val="00127A8F"/>
    <w:rsid w:val="00127B2B"/>
    <w:rsid w:val="00127BD6"/>
    <w:rsid w:val="00127C27"/>
    <w:rsid w:val="00127D12"/>
    <w:rsid w:val="00127D52"/>
    <w:rsid w:val="00127D53"/>
    <w:rsid w:val="00127DDC"/>
    <w:rsid w:val="00127DE9"/>
    <w:rsid w:val="00127F46"/>
    <w:rsid w:val="00130038"/>
    <w:rsid w:val="0013003E"/>
    <w:rsid w:val="001300AB"/>
    <w:rsid w:val="001300D1"/>
    <w:rsid w:val="00130110"/>
    <w:rsid w:val="0013017F"/>
    <w:rsid w:val="0013018B"/>
    <w:rsid w:val="001301B2"/>
    <w:rsid w:val="001302F3"/>
    <w:rsid w:val="001303C0"/>
    <w:rsid w:val="001303E3"/>
    <w:rsid w:val="0013045F"/>
    <w:rsid w:val="00130488"/>
    <w:rsid w:val="00130493"/>
    <w:rsid w:val="001304D3"/>
    <w:rsid w:val="00130588"/>
    <w:rsid w:val="00130593"/>
    <w:rsid w:val="001305F0"/>
    <w:rsid w:val="0013076D"/>
    <w:rsid w:val="001308D6"/>
    <w:rsid w:val="001309C3"/>
    <w:rsid w:val="001309F7"/>
    <w:rsid w:val="00130A0D"/>
    <w:rsid w:val="00130D66"/>
    <w:rsid w:val="00130E17"/>
    <w:rsid w:val="00130E3C"/>
    <w:rsid w:val="00130E6D"/>
    <w:rsid w:val="00130F3A"/>
    <w:rsid w:val="00130F62"/>
    <w:rsid w:val="00130FCA"/>
    <w:rsid w:val="00130FD4"/>
    <w:rsid w:val="00131056"/>
    <w:rsid w:val="00131250"/>
    <w:rsid w:val="00131292"/>
    <w:rsid w:val="00131307"/>
    <w:rsid w:val="001313C2"/>
    <w:rsid w:val="001313CA"/>
    <w:rsid w:val="00131478"/>
    <w:rsid w:val="00131667"/>
    <w:rsid w:val="0013169A"/>
    <w:rsid w:val="0013171F"/>
    <w:rsid w:val="001318D0"/>
    <w:rsid w:val="001318EA"/>
    <w:rsid w:val="001319BA"/>
    <w:rsid w:val="00131A6A"/>
    <w:rsid w:val="00131BE9"/>
    <w:rsid w:val="00131C80"/>
    <w:rsid w:val="00131CA1"/>
    <w:rsid w:val="00131CC5"/>
    <w:rsid w:val="00131D3C"/>
    <w:rsid w:val="00131D9B"/>
    <w:rsid w:val="00131DAF"/>
    <w:rsid w:val="00131DC2"/>
    <w:rsid w:val="00131EC0"/>
    <w:rsid w:val="00132133"/>
    <w:rsid w:val="00132146"/>
    <w:rsid w:val="00132175"/>
    <w:rsid w:val="00132204"/>
    <w:rsid w:val="00132213"/>
    <w:rsid w:val="0013231B"/>
    <w:rsid w:val="00132377"/>
    <w:rsid w:val="001323F0"/>
    <w:rsid w:val="001324E1"/>
    <w:rsid w:val="001324E8"/>
    <w:rsid w:val="0013252A"/>
    <w:rsid w:val="00132590"/>
    <w:rsid w:val="00132618"/>
    <w:rsid w:val="00132652"/>
    <w:rsid w:val="00132739"/>
    <w:rsid w:val="001327C9"/>
    <w:rsid w:val="00132875"/>
    <w:rsid w:val="0013296D"/>
    <w:rsid w:val="001329E4"/>
    <w:rsid w:val="00132B17"/>
    <w:rsid w:val="00132B5A"/>
    <w:rsid w:val="00132D4F"/>
    <w:rsid w:val="00132DEE"/>
    <w:rsid w:val="00132ECD"/>
    <w:rsid w:val="00132F04"/>
    <w:rsid w:val="00132F56"/>
    <w:rsid w:val="00133031"/>
    <w:rsid w:val="0013304B"/>
    <w:rsid w:val="00133138"/>
    <w:rsid w:val="00133143"/>
    <w:rsid w:val="001331AD"/>
    <w:rsid w:val="001331F1"/>
    <w:rsid w:val="001332B0"/>
    <w:rsid w:val="00133380"/>
    <w:rsid w:val="00133478"/>
    <w:rsid w:val="001334DA"/>
    <w:rsid w:val="001334DE"/>
    <w:rsid w:val="001334E3"/>
    <w:rsid w:val="00133590"/>
    <w:rsid w:val="00133597"/>
    <w:rsid w:val="0013359F"/>
    <w:rsid w:val="001335CF"/>
    <w:rsid w:val="00133634"/>
    <w:rsid w:val="00133666"/>
    <w:rsid w:val="00133765"/>
    <w:rsid w:val="00133826"/>
    <w:rsid w:val="00133897"/>
    <w:rsid w:val="00133A45"/>
    <w:rsid w:val="00133A7A"/>
    <w:rsid w:val="00133AC5"/>
    <w:rsid w:val="00133B73"/>
    <w:rsid w:val="00133C9F"/>
    <w:rsid w:val="00133DFF"/>
    <w:rsid w:val="00133E1A"/>
    <w:rsid w:val="00133E78"/>
    <w:rsid w:val="00133F51"/>
    <w:rsid w:val="00133FAC"/>
    <w:rsid w:val="00134015"/>
    <w:rsid w:val="00134036"/>
    <w:rsid w:val="0013403B"/>
    <w:rsid w:val="0013408D"/>
    <w:rsid w:val="001340A1"/>
    <w:rsid w:val="00134218"/>
    <w:rsid w:val="00134349"/>
    <w:rsid w:val="00134369"/>
    <w:rsid w:val="00134479"/>
    <w:rsid w:val="001344D2"/>
    <w:rsid w:val="00134514"/>
    <w:rsid w:val="0013452A"/>
    <w:rsid w:val="0013456C"/>
    <w:rsid w:val="001345F8"/>
    <w:rsid w:val="00134624"/>
    <w:rsid w:val="0013473F"/>
    <w:rsid w:val="00134786"/>
    <w:rsid w:val="001347DE"/>
    <w:rsid w:val="00134854"/>
    <w:rsid w:val="001348A2"/>
    <w:rsid w:val="00134903"/>
    <w:rsid w:val="00134917"/>
    <w:rsid w:val="00134996"/>
    <w:rsid w:val="00134AEF"/>
    <w:rsid w:val="00134B2D"/>
    <w:rsid w:val="00134B4B"/>
    <w:rsid w:val="00134B6C"/>
    <w:rsid w:val="00134B6D"/>
    <w:rsid w:val="00134C78"/>
    <w:rsid w:val="00134D8E"/>
    <w:rsid w:val="00134DAE"/>
    <w:rsid w:val="00134DE4"/>
    <w:rsid w:val="00134E37"/>
    <w:rsid w:val="00134EC2"/>
    <w:rsid w:val="00135011"/>
    <w:rsid w:val="00135038"/>
    <w:rsid w:val="00135069"/>
    <w:rsid w:val="001350D4"/>
    <w:rsid w:val="001350F0"/>
    <w:rsid w:val="001352E8"/>
    <w:rsid w:val="001352E9"/>
    <w:rsid w:val="001352EC"/>
    <w:rsid w:val="00135345"/>
    <w:rsid w:val="0013539C"/>
    <w:rsid w:val="0013542C"/>
    <w:rsid w:val="00135465"/>
    <w:rsid w:val="001355E4"/>
    <w:rsid w:val="00135840"/>
    <w:rsid w:val="00135973"/>
    <w:rsid w:val="0013597E"/>
    <w:rsid w:val="00135988"/>
    <w:rsid w:val="0013598F"/>
    <w:rsid w:val="0013599E"/>
    <w:rsid w:val="00135A0D"/>
    <w:rsid w:val="00135A6C"/>
    <w:rsid w:val="00135A72"/>
    <w:rsid w:val="00135B02"/>
    <w:rsid w:val="00135B2D"/>
    <w:rsid w:val="00135C2E"/>
    <w:rsid w:val="00135D82"/>
    <w:rsid w:val="00135DB4"/>
    <w:rsid w:val="00135EFE"/>
    <w:rsid w:val="00135F5B"/>
    <w:rsid w:val="00135F96"/>
    <w:rsid w:val="00136010"/>
    <w:rsid w:val="00136028"/>
    <w:rsid w:val="001360B2"/>
    <w:rsid w:val="001360CD"/>
    <w:rsid w:val="001363FA"/>
    <w:rsid w:val="0013645F"/>
    <w:rsid w:val="00136479"/>
    <w:rsid w:val="001364C3"/>
    <w:rsid w:val="001364DC"/>
    <w:rsid w:val="001365B8"/>
    <w:rsid w:val="00136625"/>
    <w:rsid w:val="001366AC"/>
    <w:rsid w:val="0013680E"/>
    <w:rsid w:val="00136821"/>
    <w:rsid w:val="00136823"/>
    <w:rsid w:val="0013682A"/>
    <w:rsid w:val="0013698F"/>
    <w:rsid w:val="001369FE"/>
    <w:rsid w:val="00136AF9"/>
    <w:rsid w:val="00136B4F"/>
    <w:rsid w:val="00136D19"/>
    <w:rsid w:val="00136D1E"/>
    <w:rsid w:val="00136D88"/>
    <w:rsid w:val="00136DB0"/>
    <w:rsid w:val="00136E39"/>
    <w:rsid w:val="00136E7F"/>
    <w:rsid w:val="00136EE7"/>
    <w:rsid w:val="00136EFD"/>
    <w:rsid w:val="00136F07"/>
    <w:rsid w:val="00136FFB"/>
    <w:rsid w:val="00137183"/>
    <w:rsid w:val="0013718F"/>
    <w:rsid w:val="001372FB"/>
    <w:rsid w:val="001373EF"/>
    <w:rsid w:val="001374A2"/>
    <w:rsid w:val="001374AF"/>
    <w:rsid w:val="00137599"/>
    <w:rsid w:val="001376E6"/>
    <w:rsid w:val="00137712"/>
    <w:rsid w:val="00137728"/>
    <w:rsid w:val="0013772B"/>
    <w:rsid w:val="00137782"/>
    <w:rsid w:val="001377B1"/>
    <w:rsid w:val="001377E1"/>
    <w:rsid w:val="0013787E"/>
    <w:rsid w:val="001378E8"/>
    <w:rsid w:val="001378ED"/>
    <w:rsid w:val="001379BB"/>
    <w:rsid w:val="001379CF"/>
    <w:rsid w:val="00137AEA"/>
    <w:rsid w:val="00137AFD"/>
    <w:rsid w:val="00137BFC"/>
    <w:rsid w:val="00137C25"/>
    <w:rsid w:val="00137CAF"/>
    <w:rsid w:val="00137CD3"/>
    <w:rsid w:val="00137D54"/>
    <w:rsid w:val="00137D5A"/>
    <w:rsid w:val="00137DFF"/>
    <w:rsid w:val="00137E1B"/>
    <w:rsid w:val="00137E81"/>
    <w:rsid w:val="00137EB2"/>
    <w:rsid w:val="00137EF9"/>
    <w:rsid w:val="00137F76"/>
    <w:rsid w:val="00137F84"/>
    <w:rsid w:val="0014001E"/>
    <w:rsid w:val="00140097"/>
    <w:rsid w:val="0014009B"/>
    <w:rsid w:val="001401A5"/>
    <w:rsid w:val="001401B3"/>
    <w:rsid w:val="00140279"/>
    <w:rsid w:val="0014029B"/>
    <w:rsid w:val="0014035E"/>
    <w:rsid w:val="00140387"/>
    <w:rsid w:val="001403FF"/>
    <w:rsid w:val="00140427"/>
    <w:rsid w:val="0014042F"/>
    <w:rsid w:val="001404BB"/>
    <w:rsid w:val="00140515"/>
    <w:rsid w:val="0014054A"/>
    <w:rsid w:val="00140550"/>
    <w:rsid w:val="0014057A"/>
    <w:rsid w:val="0014076C"/>
    <w:rsid w:val="00140784"/>
    <w:rsid w:val="0014078F"/>
    <w:rsid w:val="001407B5"/>
    <w:rsid w:val="0014083D"/>
    <w:rsid w:val="0014088B"/>
    <w:rsid w:val="001408A1"/>
    <w:rsid w:val="00140911"/>
    <w:rsid w:val="001409CA"/>
    <w:rsid w:val="00140A3B"/>
    <w:rsid w:val="00140A68"/>
    <w:rsid w:val="00140AEC"/>
    <w:rsid w:val="00140B66"/>
    <w:rsid w:val="00140B8F"/>
    <w:rsid w:val="00140BE3"/>
    <w:rsid w:val="00140E83"/>
    <w:rsid w:val="00140F0B"/>
    <w:rsid w:val="00141139"/>
    <w:rsid w:val="00141153"/>
    <w:rsid w:val="001411DD"/>
    <w:rsid w:val="00141237"/>
    <w:rsid w:val="001412EF"/>
    <w:rsid w:val="00141493"/>
    <w:rsid w:val="00141646"/>
    <w:rsid w:val="00141717"/>
    <w:rsid w:val="0014177F"/>
    <w:rsid w:val="001417BE"/>
    <w:rsid w:val="001419C3"/>
    <w:rsid w:val="001419CB"/>
    <w:rsid w:val="00141A7E"/>
    <w:rsid w:val="00141D35"/>
    <w:rsid w:val="00141D5B"/>
    <w:rsid w:val="00141D9C"/>
    <w:rsid w:val="00141DC7"/>
    <w:rsid w:val="00141E20"/>
    <w:rsid w:val="00141EF3"/>
    <w:rsid w:val="00141F7D"/>
    <w:rsid w:val="00141FD2"/>
    <w:rsid w:val="00141FE9"/>
    <w:rsid w:val="0014204A"/>
    <w:rsid w:val="0014213B"/>
    <w:rsid w:val="0014216B"/>
    <w:rsid w:val="00142176"/>
    <w:rsid w:val="0014227F"/>
    <w:rsid w:val="00142361"/>
    <w:rsid w:val="00142399"/>
    <w:rsid w:val="00142636"/>
    <w:rsid w:val="0014264D"/>
    <w:rsid w:val="00142664"/>
    <w:rsid w:val="00142670"/>
    <w:rsid w:val="00142735"/>
    <w:rsid w:val="00142749"/>
    <w:rsid w:val="001427E5"/>
    <w:rsid w:val="00142801"/>
    <w:rsid w:val="00142898"/>
    <w:rsid w:val="001428C8"/>
    <w:rsid w:val="001429CE"/>
    <w:rsid w:val="001429D1"/>
    <w:rsid w:val="00142A1F"/>
    <w:rsid w:val="00142A39"/>
    <w:rsid w:val="00142A73"/>
    <w:rsid w:val="00142AA7"/>
    <w:rsid w:val="00142AD2"/>
    <w:rsid w:val="00142AEA"/>
    <w:rsid w:val="00142AF1"/>
    <w:rsid w:val="00142B04"/>
    <w:rsid w:val="00142B0B"/>
    <w:rsid w:val="00142B4C"/>
    <w:rsid w:val="00142BC2"/>
    <w:rsid w:val="00142C94"/>
    <w:rsid w:val="00142D28"/>
    <w:rsid w:val="00142D8D"/>
    <w:rsid w:val="00142EDF"/>
    <w:rsid w:val="00142F3E"/>
    <w:rsid w:val="00142F59"/>
    <w:rsid w:val="00142FBE"/>
    <w:rsid w:val="0014300C"/>
    <w:rsid w:val="0014300E"/>
    <w:rsid w:val="00143067"/>
    <w:rsid w:val="0014309C"/>
    <w:rsid w:val="001430D7"/>
    <w:rsid w:val="00143108"/>
    <w:rsid w:val="0014315E"/>
    <w:rsid w:val="001431E6"/>
    <w:rsid w:val="0014324C"/>
    <w:rsid w:val="001432D7"/>
    <w:rsid w:val="0014335A"/>
    <w:rsid w:val="001433C7"/>
    <w:rsid w:val="00143435"/>
    <w:rsid w:val="0014348D"/>
    <w:rsid w:val="00143656"/>
    <w:rsid w:val="00143695"/>
    <w:rsid w:val="001437FB"/>
    <w:rsid w:val="00143896"/>
    <w:rsid w:val="00143952"/>
    <w:rsid w:val="001439E8"/>
    <w:rsid w:val="00143A09"/>
    <w:rsid w:val="00143A14"/>
    <w:rsid w:val="00143C64"/>
    <w:rsid w:val="00143CAC"/>
    <w:rsid w:val="00143D07"/>
    <w:rsid w:val="00143E43"/>
    <w:rsid w:val="00143F05"/>
    <w:rsid w:val="00144120"/>
    <w:rsid w:val="0014413A"/>
    <w:rsid w:val="0014417F"/>
    <w:rsid w:val="001441B8"/>
    <w:rsid w:val="001441D2"/>
    <w:rsid w:val="00144217"/>
    <w:rsid w:val="0014426A"/>
    <w:rsid w:val="001442D9"/>
    <w:rsid w:val="00144313"/>
    <w:rsid w:val="00144327"/>
    <w:rsid w:val="001446D9"/>
    <w:rsid w:val="00144870"/>
    <w:rsid w:val="00144900"/>
    <w:rsid w:val="001449FD"/>
    <w:rsid w:val="00144A44"/>
    <w:rsid w:val="00144A5F"/>
    <w:rsid w:val="00144C0B"/>
    <w:rsid w:val="00144CC3"/>
    <w:rsid w:val="00144D0C"/>
    <w:rsid w:val="00144D78"/>
    <w:rsid w:val="00144E84"/>
    <w:rsid w:val="00144FA4"/>
    <w:rsid w:val="00145075"/>
    <w:rsid w:val="00145089"/>
    <w:rsid w:val="00145385"/>
    <w:rsid w:val="001453C7"/>
    <w:rsid w:val="00145444"/>
    <w:rsid w:val="0014557D"/>
    <w:rsid w:val="00145581"/>
    <w:rsid w:val="00145635"/>
    <w:rsid w:val="0014566B"/>
    <w:rsid w:val="001456C0"/>
    <w:rsid w:val="00145716"/>
    <w:rsid w:val="00145882"/>
    <w:rsid w:val="001458C5"/>
    <w:rsid w:val="001458FF"/>
    <w:rsid w:val="00145932"/>
    <w:rsid w:val="001459B4"/>
    <w:rsid w:val="00145A0B"/>
    <w:rsid w:val="00145A5C"/>
    <w:rsid w:val="00145A68"/>
    <w:rsid w:val="00145A7C"/>
    <w:rsid w:val="00145AB3"/>
    <w:rsid w:val="00145B6A"/>
    <w:rsid w:val="00145B6B"/>
    <w:rsid w:val="00145BCB"/>
    <w:rsid w:val="00145C22"/>
    <w:rsid w:val="00145DDE"/>
    <w:rsid w:val="00145E2D"/>
    <w:rsid w:val="00145EC9"/>
    <w:rsid w:val="00145F30"/>
    <w:rsid w:val="0014612B"/>
    <w:rsid w:val="001461BB"/>
    <w:rsid w:val="001461C8"/>
    <w:rsid w:val="001462C6"/>
    <w:rsid w:val="001462E0"/>
    <w:rsid w:val="001462E1"/>
    <w:rsid w:val="00146332"/>
    <w:rsid w:val="0014644B"/>
    <w:rsid w:val="001464BE"/>
    <w:rsid w:val="001464E1"/>
    <w:rsid w:val="001464EC"/>
    <w:rsid w:val="0014654F"/>
    <w:rsid w:val="0014658F"/>
    <w:rsid w:val="00146598"/>
    <w:rsid w:val="001465C4"/>
    <w:rsid w:val="001465C7"/>
    <w:rsid w:val="001466D8"/>
    <w:rsid w:val="00146712"/>
    <w:rsid w:val="00146727"/>
    <w:rsid w:val="00146762"/>
    <w:rsid w:val="00146862"/>
    <w:rsid w:val="00146934"/>
    <w:rsid w:val="00146ABE"/>
    <w:rsid w:val="00146AE0"/>
    <w:rsid w:val="00146B0E"/>
    <w:rsid w:val="00146B1B"/>
    <w:rsid w:val="00146B3D"/>
    <w:rsid w:val="00146BD4"/>
    <w:rsid w:val="00146BF3"/>
    <w:rsid w:val="00146C8D"/>
    <w:rsid w:val="00146C97"/>
    <w:rsid w:val="00146CBB"/>
    <w:rsid w:val="00146CCE"/>
    <w:rsid w:val="00146D80"/>
    <w:rsid w:val="00146DC6"/>
    <w:rsid w:val="00146E3F"/>
    <w:rsid w:val="00146E41"/>
    <w:rsid w:val="00146E6B"/>
    <w:rsid w:val="00146E78"/>
    <w:rsid w:val="00146F41"/>
    <w:rsid w:val="00146FAE"/>
    <w:rsid w:val="00146FB6"/>
    <w:rsid w:val="00146FB7"/>
    <w:rsid w:val="001470B4"/>
    <w:rsid w:val="001470C5"/>
    <w:rsid w:val="001471A3"/>
    <w:rsid w:val="001471D2"/>
    <w:rsid w:val="0014726B"/>
    <w:rsid w:val="00147378"/>
    <w:rsid w:val="001473DB"/>
    <w:rsid w:val="00147414"/>
    <w:rsid w:val="00147566"/>
    <w:rsid w:val="0014761D"/>
    <w:rsid w:val="00147696"/>
    <w:rsid w:val="001476E5"/>
    <w:rsid w:val="0014773F"/>
    <w:rsid w:val="001477E7"/>
    <w:rsid w:val="00147819"/>
    <w:rsid w:val="0014782D"/>
    <w:rsid w:val="00147A4E"/>
    <w:rsid w:val="00147A77"/>
    <w:rsid w:val="00147B3A"/>
    <w:rsid w:val="00147B9E"/>
    <w:rsid w:val="00147C84"/>
    <w:rsid w:val="00147D3A"/>
    <w:rsid w:val="00147DEF"/>
    <w:rsid w:val="00147EF9"/>
    <w:rsid w:val="00147F34"/>
    <w:rsid w:val="00147F56"/>
    <w:rsid w:val="00150092"/>
    <w:rsid w:val="001500B8"/>
    <w:rsid w:val="00150114"/>
    <w:rsid w:val="00150289"/>
    <w:rsid w:val="0015034C"/>
    <w:rsid w:val="001503A6"/>
    <w:rsid w:val="001503EB"/>
    <w:rsid w:val="00150482"/>
    <w:rsid w:val="001504F6"/>
    <w:rsid w:val="00150555"/>
    <w:rsid w:val="0015059F"/>
    <w:rsid w:val="0015062F"/>
    <w:rsid w:val="00150755"/>
    <w:rsid w:val="00150770"/>
    <w:rsid w:val="0015081D"/>
    <w:rsid w:val="001508B3"/>
    <w:rsid w:val="00150984"/>
    <w:rsid w:val="00150A7E"/>
    <w:rsid w:val="00150B4C"/>
    <w:rsid w:val="00150B86"/>
    <w:rsid w:val="00150BCA"/>
    <w:rsid w:val="00150CEC"/>
    <w:rsid w:val="00150D53"/>
    <w:rsid w:val="00150DAA"/>
    <w:rsid w:val="00150E13"/>
    <w:rsid w:val="00150F03"/>
    <w:rsid w:val="00150FE9"/>
    <w:rsid w:val="00151033"/>
    <w:rsid w:val="001510EB"/>
    <w:rsid w:val="001512D2"/>
    <w:rsid w:val="0015139E"/>
    <w:rsid w:val="001513B6"/>
    <w:rsid w:val="001513FC"/>
    <w:rsid w:val="001514AF"/>
    <w:rsid w:val="001514C8"/>
    <w:rsid w:val="00151543"/>
    <w:rsid w:val="0015154F"/>
    <w:rsid w:val="0015158C"/>
    <w:rsid w:val="00151597"/>
    <w:rsid w:val="001515B3"/>
    <w:rsid w:val="001515D1"/>
    <w:rsid w:val="001515F7"/>
    <w:rsid w:val="001516D8"/>
    <w:rsid w:val="00151829"/>
    <w:rsid w:val="0015185F"/>
    <w:rsid w:val="00151877"/>
    <w:rsid w:val="00151A4E"/>
    <w:rsid w:val="00151B39"/>
    <w:rsid w:val="00151BE2"/>
    <w:rsid w:val="00151C5D"/>
    <w:rsid w:val="00151E91"/>
    <w:rsid w:val="00151F6F"/>
    <w:rsid w:val="00151F85"/>
    <w:rsid w:val="00151FE2"/>
    <w:rsid w:val="00152085"/>
    <w:rsid w:val="001520F0"/>
    <w:rsid w:val="0015212D"/>
    <w:rsid w:val="001521A9"/>
    <w:rsid w:val="001521F1"/>
    <w:rsid w:val="0015225A"/>
    <w:rsid w:val="001522A4"/>
    <w:rsid w:val="001522CD"/>
    <w:rsid w:val="001522D1"/>
    <w:rsid w:val="0015232E"/>
    <w:rsid w:val="00152354"/>
    <w:rsid w:val="001523EB"/>
    <w:rsid w:val="00152465"/>
    <w:rsid w:val="0015247E"/>
    <w:rsid w:val="00152510"/>
    <w:rsid w:val="00152641"/>
    <w:rsid w:val="00152778"/>
    <w:rsid w:val="00152960"/>
    <w:rsid w:val="00152974"/>
    <w:rsid w:val="00152980"/>
    <w:rsid w:val="001529A9"/>
    <w:rsid w:val="001529BD"/>
    <w:rsid w:val="001529D7"/>
    <w:rsid w:val="00152A0F"/>
    <w:rsid w:val="00152AC4"/>
    <w:rsid w:val="00152B31"/>
    <w:rsid w:val="00152BD4"/>
    <w:rsid w:val="00152C22"/>
    <w:rsid w:val="00152C24"/>
    <w:rsid w:val="00152CC9"/>
    <w:rsid w:val="00152D58"/>
    <w:rsid w:val="00152DB0"/>
    <w:rsid w:val="00152F61"/>
    <w:rsid w:val="00153093"/>
    <w:rsid w:val="001531CC"/>
    <w:rsid w:val="00153215"/>
    <w:rsid w:val="00153328"/>
    <w:rsid w:val="00153483"/>
    <w:rsid w:val="0015348F"/>
    <w:rsid w:val="001534C1"/>
    <w:rsid w:val="0015354F"/>
    <w:rsid w:val="0015375D"/>
    <w:rsid w:val="001537C9"/>
    <w:rsid w:val="00153811"/>
    <w:rsid w:val="0015389C"/>
    <w:rsid w:val="001538A1"/>
    <w:rsid w:val="001538E6"/>
    <w:rsid w:val="001538FD"/>
    <w:rsid w:val="00153940"/>
    <w:rsid w:val="001539EE"/>
    <w:rsid w:val="001539F4"/>
    <w:rsid w:val="00153A29"/>
    <w:rsid w:val="00153AA0"/>
    <w:rsid w:val="00153AE9"/>
    <w:rsid w:val="00153B33"/>
    <w:rsid w:val="00153BDE"/>
    <w:rsid w:val="00153BF9"/>
    <w:rsid w:val="00153C30"/>
    <w:rsid w:val="00153CD9"/>
    <w:rsid w:val="00153D34"/>
    <w:rsid w:val="00153D63"/>
    <w:rsid w:val="00153EA4"/>
    <w:rsid w:val="00153F8C"/>
    <w:rsid w:val="00153FD3"/>
    <w:rsid w:val="0015401F"/>
    <w:rsid w:val="00154085"/>
    <w:rsid w:val="00154093"/>
    <w:rsid w:val="001540AB"/>
    <w:rsid w:val="00154113"/>
    <w:rsid w:val="00154155"/>
    <w:rsid w:val="0015416B"/>
    <w:rsid w:val="001541E4"/>
    <w:rsid w:val="0015423E"/>
    <w:rsid w:val="00154257"/>
    <w:rsid w:val="0015431D"/>
    <w:rsid w:val="00154329"/>
    <w:rsid w:val="0015449B"/>
    <w:rsid w:val="001544A1"/>
    <w:rsid w:val="001544B6"/>
    <w:rsid w:val="001544C8"/>
    <w:rsid w:val="001544EA"/>
    <w:rsid w:val="0015458D"/>
    <w:rsid w:val="001545D1"/>
    <w:rsid w:val="00154683"/>
    <w:rsid w:val="001546B1"/>
    <w:rsid w:val="001546E6"/>
    <w:rsid w:val="0015485E"/>
    <w:rsid w:val="00154889"/>
    <w:rsid w:val="001548BA"/>
    <w:rsid w:val="001549D9"/>
    <w:rsid w:val="00154A8A"/>
    <w:rsid w:val="00154A9D"/>
    <w:rsid w:val="00154C37"/>
    <w:rsid w:val="00154C3A"/>
    <w:rsid w:val="00154D00"/>
    <w:rsid w:val="00154D4B"/>
    <w:rsid w:val="00154DE7"/>
    <w:rsid w:val="00154E57"/>
    <w:rsid w:val="00154E98"/>
    <w:rsid w:val="00154EA0"/>
    <w:rsid w:val="00154EE0"/>
    <w:rsid w:val="00154EE9"/>
    <w:rsid w:val="00154F53"/>
    <w:rsid w:val="00154FFA"/>
    <w:rsid w:val="001550B5"/>
    <w:rsid w:val="001550C5"/>
    <w:rsid w:val="001550D0"/>
    <w:rsid w:val="00155103"/>
    <w:rsid w:val="00155105"/>
    <w:rsid w:val="00155136"/>
    <w:rsid w:val="001552DD"/>
    <w:rsid w:val="001553B1"/>
    <w:rsid w:val="001553E7"/>
    <w:rsid w:val="001553FA"/>
    <w:rsid w:val="00155485"/>
    <w:rsid w:val="00155615"/>
    <w:rsid w:val="001556BF"/>
    <w:rsid w:val="0015576A"/>
    <w:rsid w:val="001557A8"/>
    <w:rsid w:val="00155845"/>
    <w:rsid w:val="00155887"/>
    <w:rsid w:val="001559A8"/>
    <w:rsid w:val="001559D6"/>
    <w:rsid w:val="00155A68"/>
    <w:rsid w:val="00155AB4"/>
    <w:rsid w:val="00155AD2"/>
    <w:rsid w:val="00155AEC"/>
    <w:rsid w:val="00155B7B"/>
    <w:rsid w:val="00155C46"/>
    <w:rsid w:val="00155DA8"/>
    <w:rsid w:val="00155E52"/>
    <w:rsid w:val="00155FA2"/>
    <w:rsid w:val="00155FD3"/>
    <w:rsid w:val="001560D6"/>
    <w:rsid w:val="00156127"/>
    <w:rsid w:val="00156192"/>
    <w:rsid w:val="0015625D"/>
    <w:rsid w:val="00156270"/>
    <w:rsid w:val="00156304"/>
    <w:rsid w:val="0015632F"/>
    <w:rsid w:val="00156350"/>
    <w:rsid w:val="0015639E"/>
    <w:rsid w:val="00156403"/>
    <w:rsid w:val="00156480"/>
    <w:rsid w:val="001564D6"/>
    <w:rsid w:val="001564EC"/>
    <w:rsid w:val="00156585"/>
    <w:rsid w:val="001565F3"/>
    <w:rsid w:val="0015663B"/>
    <w:rsid w:val="0015675F"/>
    <w:rsid w:val="001567C5"/>
    <w:rsid w:val="00156884"/>
    <w:rsid w:val="00156953"/>
    <w:rsid w:val="0015695B"/>
    <w:rsid w:val="00156983"/>
    <w:rsid w:val="00156BC4"/>
    <w:rsid w:val="00156DA0"/>
    <w:rsid w:val="00156DF0"/>
    <w:rsid w:val="00156E08"/>
    <w:rsid w:val="00156F28"/>
    <w:rsid w:val="00156F91"/>
    <w:rsid w:val="001570C0"/>
    <w:rsid w:val="0015710C"/>
    <w:rsid w:val="00157128"/>
    <w:rsid w:val="0015713C"/>
    <w:rsid w:val="0015713D"/>
    <w:rsid w:val="00157146"/>
    <w:rsid w:val="00157190"/>
    <w:rsid w:val="0015726E"/>
    <w:rsid w:val="0015735A"/>
    <w:rsid w:val="001573E7"/>
    <w:rsid w:val="001573F7"/>
    <w:rsid w:val="00157446"/>
    <w:rsid w:val="00157522"/>
    <w:rsid w:val="001575FD"/>
    <w:rsid w:val="00157606"/>
    <w:rsid w:val="00157653"/>
    <w:rsid w:val="0015765A"/>
    <w:rsid w:val="001576C8"/>
    <w:rsid w:val="00157705"/>
    <w:rsid w:val="00157745"/>
    <w:rsid w:val="0015779F"/>
    <w:rsid w:val="00157A0D"/>
    <w:rsid w:val="00157AB8"/>
    <w:rsid w:val="00157AE9"/>
    <w:rsid w:val="00157B0E"/>
    <w:rsid w:val="00157B31"/>
    <w:rsid w:val="00157B7B"/>
    <w:rsid w:val="00157BA4"/>
    <w:rsid w:val="00157BDE"/>
    <w:rsid w:val="00157C2D"/>
    <w:rsid w:val="00157CB6"/>
    <w:rsid w:val="00157D5F"/>
    <w:rsid w:val="00157DA2"/>
    <w:rsid w:val="00157ECE"/>
    <w:rsid w:val="00157EE2"/>
    <w:rsid w:val="00157F26"/>
    <w:rsid w:val="00157F3D"/>
    <w:rsid w:val="00157F97"/>
    <w:rsid w:val="00157FC4"/>
    <w:rsid w:val="0015A616"/>
    <w:rsid w:val="001601FD"/>
    <w:rsid w:val="001601FF"/>
    <w:rsid w:val="0016020F"/>
    <w:rsid w:val="0016023B"/>
    <w:rsid w:val="0016024A"/>
    <w:rsid w:val="001603A0"/>
    <w:rsid w:val="001603BE"/>
    <w:rsid w:val="00160412"/>
    <w:rsid w:val="00160443"/>
    <w:rsid w:val="00160479"/>
    <w:rsid w:val="001604C5"/>
    <w:rsid w:val="001604EA"/>
    <w:rsid w:val="001605AA"/>
    <w:rsid w:val="00160667"/>
    <w:rsid w:val="001606A0"/>
    <w:rsid w:val="00160767"/>
    <w:rsid w:val="001607F2"/>
    <w:rsid w:val="00160820"/>
    <w:rsid w:val="001608DF"/>
    <w:rsid w:val="001609AD"/>
    <w:rsid w:val="00160B03"/>
    <w:rsid w:val="00160B11"/>
    <w:rsid w:val="00160B13"/>
    <w:rsid w:val="00160B6D"/>
    <w:rsid w:val="00160BC6"/>
    <w:rsid w:val="00160E22"/>
    <w:rsid w:val="001611EB"/>
    <w:rsid w:val="001611ED"/>
    <w:rsid w:val="00161234"/>
    <w:rsid w:val="00161310"/>
    <w:rsid w:val="00161382"/>
    <w:rsid w:val="0016138D"/>
    <w:rsid w:val="001613DA"/>
    <w:rsid w:val="001613DF"/>
    <w:rsid w:val="00161432"/>
    <w:rsid w:val="00161461"/>
    <w:rsid w:val="0016163E"/>
    <w:rsid w:val="00161714"/>
    <w:rsid w:val="0016173F"/>
    <w:rsid w:val="0016175A"/>
    <w:rsid w:val="001617E8"/>
    <w:rsid w:val="001618CD"/>
    <w:rsid w:val="0016196E"/>
    <w:rsid w:val="00161A27"/>
    <w:rsid w:val="00161A9A"/>
    <w:rsid w:val="00161B4F"/>
    <w:rsid w:val="00161B62"/>
    <w:rsid w:val="00161D1D"/>
    <w:rsid w:val="00161D23"/>
    <w:rsid w:val="00161D5D"/>
    <w:rsid w:val="00161D8B"/>
    <w:rsid w:val="00161DC1"/>
    <w:rsid w:val="00161E06"/>
    <w:rsid w:val="00161F61"/>
    <w:rsid w:val="00161FF4"/>
    <w:rsid w:val="001620AB"/>
    <w:rsid w:val="001620D9"/>
    <w:rsid w:val="001620FD"/>
    <w:rsid w:val="00162131"/>
    <w:rsid w:val="00162168"/>
    <w:rsid w:val="001621B6"/>
    <w:rsid w:val="001621F3"/>
    <w:rsid w:val="001622E4"/>
    <w:rsid w:val="00162325"/>
    <w:rsid w:val="00162353"/>
    <w:rsid w:val="00162485"/>
    <w:rsid w:val="0016248F"/>
    <w:rsid w:val="001624F4"/>
    <w:rsid w:val="00162523"/>
    <w:rsid w:val="00162528"/>
    <w:rsid w:val="001626E2"/>
    <w:rsid w:val="00162708"/>
    <w:rsid w:val="001627CB"/>
    <w:rsid w:val="0016281C"/>
    <w:rsid w:val="0016283F"/>
    <w:rsid w:val="0016284C"/>
    <w:rsid w:val="0016288F"/>
    <w:rsid w:val="00162911"/>
    <w:rsid w:val="0016295B"/>
    <w:rsid w:val="00162A61"/>
    <w:rsid w:val="00162B64"/>
    <w:rsid w:val="00162D2C"/>
    <w:rsid w:val="00162D3D"/>
    <w:rsid w:val="00162D45"/>
    <w:rsid w:val="00162E99"/>
    <w:rsid w:val="00162F2F"/>
    <w:rsid w:val="001630AD"/>
    <w:rsid w:val="001630BF"/>
    <w:rsid w:val="001630D3"/>
    <w:rsid w:val="00163147"/>
    <w:rsid w:val="001631FE"/>
    <w:rsid w:val="001632D0"/>
    <w:rsid w:val="0016331D"/>
    <w:rsid w:val="00163333"/>
    <w:rsid w:val="0016336E"/>
    <w:rsid w:val="001633BC"/>
    <w:rsid w:val="001633F8"/>
    <w:rsid w:val="00163429"/>
    <w:rsid w:val="00163457"/>
    <w:rsid w:val="001635D5"/>
    <w:rsid w:val="001635F1"/>
    <w:rsid w:val="0016361E"/>
    <w:rsid w:val="001636C8"/>
    <w:rsid w:val="0016374B"/>
    <w:rsid w:val="0016376C"/>
    <w:rsid w:val="00163820"/>
    <w:rsid w:val="00163843"/>
    <w:rsid w:val="00163864"/>
    <w:rsid w:val="001638B5"/>
    <w:rsid w:val="001638BC"/>
    <w:rsid w:val="001638C2"/>
    <w:rsid w:val="00163A08"/>
    <w:rsid w:val="00163A6A"/>
    <w:rsid w:val="00163AD5"/>
    <w:rsid w:val="00163B3F"/>
    <w:rsid w:val="00163B5B"/>
    <w:rsid w:val="00163BE5"/>
    <w:rsid w:val="00163CBB"/>
    <w:rsid w:val="00163D36"/>
    <w:rsid w:val="00163D8B"/>
    <w:rsid w:val="00163D8D"/>
    <w:rsid w:val="00163DDD"/>
    <w:rsid w:val="00163E2D"/>
    <w:rsid w:val="00163EC2"/>
    <w:rsid w:val="00163EF3"/>
    <w:rsid w:val="00164014"/>
    <w:rsid w:val="00164106"/>
    <w:rsid w:val="001641AA"/>
    <w:rsid w:val="0016422B"/>
    <w:rsid w:val="001642AF"/>
    <w:rsid w:val="001642B2"/>
    <w:rsid w:val="001642DC"/>
    <w:rsid w:val="001643A2"/>
    <w:rsid w:val="001643B9"/>
    <w:rsid w:val="001644AA"/>
    <w:rsid w:val="001644C0"/>
    <w:rsid w:val="001644EF"/>
    <w:rsid w:val="001644F2"/>
    <w:rsid w:val="0016464D"/>
    <w:rsid w:val="0016471B"/>
    <w:rsid w:val="001648B3"/>
    <w:rsid w:val="00164944"/>
    <w:rsid w:val="001649A7"/>
    <w:rsid w:val="001649B1"/>
    <w:rsid w:val="00164A45"/>
    <w:rsid w:val="00164A4A"/>
    <w:rsid w:val="00164A88"/>
    <w:rsid w:val="00164A94"/>
    <w:rsid w:val="00164AF0"/>
    <w:rsid w:val="00164BBD"/>
    <w:rsid w:val="00164BDE"/>
    <w:rsid w:val="00164C43"/>
    <w:rsid w:val="00164C67"/>
    <w:rsid w:val="00164CCB"/>
    <w:rsid w:val="00164E4D"/>
    <w:rsid w:val="00164E9D"/>
    <w:rsid w:val="00164EF2"/>
    <w:rsid w:val="00164EFC"/>
    <w:rsid w:val="00164F00"/>
    <w:rsid w:val="00164FDA"/>
    <w:rsid w:val="0016501E"/>
    <w:rsid w:val="00165054"/>
    <w:rsid w:val="00165077"/>
    <w:rsid w:val="001650AD"/>
    <w:rsid w:val="00165132"/>
    <w:rsid w:val="0016519C"/>
    <w:rsid w:val="001651E6"/>
    <w:rsid w:val="0016520A"/>
    <w:rsid w:val="0016520E"/>
    <w:rsid w:val="00165234"/>
    <w:rsid w:val="00165235"/>
    <w:rsid w:val="001652BE"/>
    <w:rsid w:val="001654F7"/>
    <w:rsid w:val="00165501"/>
    <w:rsid w:val="001656D7"/>
    <w:rsid w:val="00165960"/>
    <w:rsid w:val="0016596B"/>
    <w:rsid w:val="001659AB"/>
    <w:rsid w:val="00165ABE"/>
    <w:rsid w:val="00165AF6"/>
    <w:rsid w:val="00165B16"/>
    <w:rsid w:val="00165B29"/>
    <w:rsid w:val="00165BDA"/>
    <w:rsid w:val="00165E26"/>
    <w:rsid w:val="00166007"/>
    <w:rsid w:val="00166019"/>
    <w:rsid w:val="0016607A"/>
    <w:rsid w:val="001660B7"/>
    <w:rsid w:val="0016616B"/>
    <w:rsid w:val="001661A6"/>
    <w:rsid w:val="001661A9"/>
    <w:rsid w:val="00166248"/>
    <w:rsid w:val="001662A6"/>
    <w:rsid w:val="00166404"/>
    <w:rsid w:val="0016641C"/>
    <w:rsid w:val="00166433"/>
    <w:rsid w:val="00166461"/>
    <w:rsid w:val="00166494"/>
    <w:rsid w:val="001664D5"/>
    <w:rsid w:val="00166671"/>
    <w:rsid w:val="00166687"/>
    <w:rsid w:val="00166694"/>
    <w:rsid w:val="00166705"/>
    <w:rsid w:val="00166773"/>
    <w:rsid w:val="001667C1"/>
    <w:rsid w:val="001667CD"/>
    <w:rsid w:val="001667F9"/>
    <w:rsid w:val="0016683D"/>
    <w:rsid w:val="0016687C"/>
    <w:rsid w:val="00166883"/>
    <w:rsid w:val="0016693C"/>
    <w:rsid w:val="001669E5"/>
    <w:rsid w:val="001669F5"/>
    <w:rsid w:val="00166A7A"/>
    <w:rsid w:val="00166A8D"/>
    <w:rsid w:val="00166A9C"/>
    <w:rsid w:val="00166B6B"/>
    <w:rsid w:val="00166C31"/>
    <w:rsid w:val="00166C57"/>
    <w:rsid w:val="00166C59"/>
    <w:rsid w:val="00166D53"/>
    <w:rsid w:val="00166E91"/>
    <w:rsid w:val="00166F3D"/>
    <w:rsid w:val="00166F48"/>
    <w:rsid w:val="00166F50"/>
    <w:rsid w:val="00166FAA"/>
    <w:rsid w:val="00167087"/>
    <w:rsid w:val="001670E8"/>
    <w:rsid w:val="00167109"/>
    <w:rsid w:val="001672F4"/>
    <w:rsid w:val="0016738B"/>
    <w:rsid w:val="00167615"/>
    <w:rsid w:val="00167644"/>
    <w:rsid w:val="001676AA"/>
    <w:rsid w:val="001676B9"/>
    <w:rsid w:val="001676DB"/>
    <w:rsid w:val="0016770E"/>
    <w:rsid w:val="0016771A"/>
    <w:rsid w:val="0016771B"/>
    <w:rsid w:val="0016773C"/>
    <w:rsid w:val="001677AB"/>
    <w:rsid w:val="0016783F"/>
    <w:rsid w:val="00167852"/>
    <w:rsid w:val="0016788F"/>
    <w:rsid w:val="001678A3"/>
    <w:rsid w:val="001678DC"/>
    <w:rsid w:val="00167921"/>
    <w:rsid w:val="001679CC"/>
    <w:rsid w:val="00167A84"/>
    <w:rsid w:val="00167B24"/>
    <w:rsid w:val="00167B42"/>
    <w:rsid w:val="00167B5B"/>
    <w:rsid w:val="00167C37"/>
    <w:rsid w:val="00167D73"/>
    <w:rsid w:val="00167DF4"/>
    <w:rsid w:val="00167DFA"/>
    <w:rsid w:val="00167E2D"/>
    <w:rsid w:val="00167E52"/>
    <w:rsid w:val="00167EBF"/>
    <w:rsid w:val="00167EC1"/>
    <w:rsid w:val="00170069"/>
    <w:rsid w:val="001700C2"/>
    <w:rsid w:val="001700DB"/>
    <w:rsid w:val="001700E4"/>
    <w:rsid w:val="00170142"/>
    <w:rsid w:val="001701F8"/>
    <w:rsid w:val="00170261"/>
    <w:rsid w:val="00170326"/>
    <w:rsid w:val="001703B3"/>
    <w:rsid w:val="001703C0"/>
    <w:rsid w:val="0017040B"/>
    <w:rsid w:val="0017043F"/>
    <w:rsid w:val="0017047B"/>
    <w:rsid w:val="00170536"/>
    <w:rsid w:val="0017057F"/>
    <w:rsid w:val="00170643"/>
    <w:rsid w:val="001706F6"/>
    <w:rsid w:val="00170757"/>
    <w:rsid w:val="0017090D"/>
    <w:rsid w:val="00170933"/>
    <w:rsid w:val="001709D6"/>
    <w:rsid w:val="00170BF8"/>
    <w:rsid w:val="00170C0C"/>
    <w:rsid w:val="00170C88"/>
    <w:rsid w:val="00170D6A"/>
    <w:rsid w:val="00170E7D"/>
    <w:rsid w:val="00170F1C"/>
    <w:rsid w:val="00170F89"/>
    <w:rsid w:val="00170FA2"/>
    <w:rsid w:val="00170FE2"/>
    <w:rsid w:val="00171045"/>
    <w:rsid w:val="00171160"/>
    <w:rsid w:val="001711C7"/>
    <w:rsid w:val="001712E0"/>
    <w:rsid w:val="001712F3"/>
    <w:rsid w:val="0017138F"/>
    <w:rsid w:val="001713C7"/>
    <w:rsid w:val="001713E7"/>
    <w:rsid w:val="00171417"/>
    <w:rsid w:val="0017148C"/>
    <w:rsid w:val="00171514"/>
    <w:rsid w:val="00171594"/>
    <w:rsid w:val="00171620"/>
    <w:rsid w:val="001716B3"/>
    <w:rsid w:val="00171775"/>
    <w:rsid w:val="001717AD"/>
    <w:rsid w:val="001718B8"/>
    <w:rsid w:val="001718E4"/>
    <w:rsid w:val="00171954"/>
    <w:rsid w:val="00171BDA"/>
    <w:rsid w:val="00171C23"/>
    <w:rsid w:val="00171C39"/>
    <w:rsid w:val="00171D11"/>
    <w:rsid w:val="00171D12"/>
    <w:rsid w:val="00171D53"/>
    <w:rsid w:val="00171D7D"/>
    <w:rsid w:val="00171D84"/>
    <w:rsid w:val="00171EFE"/>
    <w:rsid w:val="00171F52"/>
    <w:rsid w:val="00171F58"/>
    <w:rsid w:val="00171FB5"/>
    <w:rsid w:val="00172155"/>
    <w:rsid w:val="00172163"/>
    <w:rsid w:val="00172171"/>
    <w:rsid w:val="001721B5"/>
    <w:rsid w:val="001721EE"/>
    <w:rsid w:val="0017236A"/>
    <w:rsid w:val="0017238B"/>
    <w:rsid w:val="001723DE"/>
    <w:rsid w:val="0017240E"/>
    <w:rsid w:val="001724A1"/>
    <w:rsid w:val="001724E8"/>
    <w:rsid w:val="0017251C"/>
    <w:rsid w:val="0017253A"/>
    <w:rsid w:val="001725CE"/>
    <w:rsid w:val="001725D1"/>
    <w:rsid w:val="00172613"/>
    <w:rsid w:val="00172629"/>
    <w:rsid w:val="001726F0"/>
    <w:rsid w:val="00172735"/>
    <w:rsid w:val="001727C6"/>
    <w:rsid w:val="001727ED"/>
    <w:rsid w:val="0017295C"/>
    <w:rsid w:val="00172AA9"/>
    <w:rsid w:val="00172CF1"/>
    <w:rsid w:val="00172DED"/>
    <w:rsid w:val="00172F8D"/>
    <w:rsid w:val="00173059"/>
    <w:rsid w:val="001730D2"/>
    <w:rsid w:val="001732A7"/>
    <w:rsid w:val="001732C0"/>
    <w:rsid w:val="001733EF"/>
    <w:rsid w:val="00173456"/>
    <w:rsid w:val="00173553"/>
    <w:rsid w:val="00173560"/>
    <w:rsid w:val="00173561"/>
    <w:rsid w:val="0017359A"/>
    <w:rsid w:val="001735CD"/>
    <w:rsid w:val="0017370A"/>
    <w:rsid w:val="0017373F"/>
    <w:rsid w:val="00173777"/>
    <w:rsid w:val="0017379E"/>
    <w:rsid w:val="001737D7"/>
    <w:rsid w:val="00173980"/>
    <w:rsid w:val="00173A4A"/>
    <w:rsid w:val="00173AD3"/>
    <w:rsid w:val="00173AE6"/>
    <w:rsid w:val="00173AFE"/>
    <w:rsid w:val="00173B5C"/>
    <w:rsid w:val="00173B70"/>
    <w:rsid w:val="00173BBB"/>
    <w:rsid w:val="00173BF5"/>
    <w:rsid w:val="00173C4A"/>
    <w:rsid w:val="00173C59"/>
    <w:rsid w:val="00173D42"/>
    <w:rsid w:val="00173DCC"/>
    <w:rsid w:val="00173E15"/>
    <w:rsid w:val="00173E81"/>
    <w:rsid w:val="00173F03"/>
    <w:rsid w:val="00173F16"/>
    <w:rsid w:val="00173F84"/>
    <w:rsid w:val="00173FA6"/>
    <w:rsid w:val="00174001"/>
    <w:rsid w:val="00174041"/>
    <w:rsid w:val="0017414E"/>
    <w:rsid w:val="001741E5"/>
    <w:rsid w:val="00174208"/>
    <w:rsid w:val="001742B9"/>
    <w:rsid w:val="001742E2"/>
    <w:rsid w:val="00174359"/>
    <w:rsid w:val="0017444E"/>
    <w:rsid w:val="0017449D"/>
    <w:rsid w:val="001745EA"/>
    <w:rsid w:val="00174648"/>
    <w:rsid w:val="00174695"/>
    <w:rsid w:val="00174699"/>
    <w:rsid w:val="001747BB"/>
    <w:rsid w:val="001747C2"/>
    <w:rsid w:val="001747D7"/>
    <w:rsid w:val="001748E8"/>
    <w:rsid w:val="00174928"/>
    <w:rsid w:val="001749CA"/>
    <w:rsid w:val="00174A1B"/>
    <w:rsid w:val="00174C31"/>
    <w:rsid w:val="00174D71"/>
    <w:rsid w:val="00174DC5"/>
    <w:rsid w:val="00174E38"/>
    <w:rsid w:val="00174F6D"/>
    <w:rsid w:val="00174F9F"/>
    <w:rsid w:val="00174FE9"/>
    <w:rsid w:val="00175062"/>
    <w:rsid w:val="001750FF"/>
    <w:rsid w:val="0017513C"/>
    <w:rsid w:val="001751AA"/>
    <w:rsid w:val="00175213"/>
    <w:rsid w:val="001753E7"/>
    <w:rsid w:val="00175408"/>
    <w:rsid w:val="001754ED"/>
    <w:rsid w:val="00175505"/>
    <w:rsid w:val="00175622"/>
    <w:rsid w:val="0017563D"/>
    <w:rsid w:val="0017574C"/>
    <w:rsid w:val="00175877"/>
    <w:rsid w:val="00175991"/>
    <w:rsid w:val="00175998"/>
    <w:rsid w:val="001759B0"/>
    <w:rsid w:val="001759B3"/>
    <w:rsid w:val="00175B67"/>
    <w:rsid w:val="00175B7D"/>
    <w:rsid w:val="00175C19"/>
    <w:rsid w:val="00175C1A"/>
    <w:rsid w:val="00175CB0"/>
    <w:rsid w:val="00175D68"/>
    <w:rsid w:val="00175D9D"/>
    <w:rsid w:val="00175DF2"/>
    <w:rsid w:val="00175E62"/>
    <w:rsid w:val="00175E6D"/>
    <w:rsid w:val="00175EA4"/>
    <w:rsid w:val="00175F79"/>
    <w:rsid w:val="00176051"/>
    <w:rsid w:val="00176099"/>
    <w:rsid w:val="0017609E"/>
    <w:rsid w:val="001760E5"/>
    <w:rsid w:val="001760F3"/>
    <w:rsid w:val="00176134"/>
    <w:rsid w:val="00176182"/>
    <w:rsid w:val="00176277"/>
    <w:rsid w:val="001762B9"/>
    <w:rsid w:val="001762D3"/>
    <w:rsid w:val="00176362"/>
    <w:rsid w:val="001763FA"/>
    <w:rsid w:val="00176413"/>
    <w:rsid w:val="00176448"/>
    <w:rsid w:val="0017648B"/>
    <w:rsid w:val="0017648D"/>
    <w:rsid w:val="00176495"/>
    <w:rsid w:val="001764F1"/>
    <w:rsid w:val="0017655B"/>
    <w:rsid w:val="001765AA"/>
    <w:rsid w:val="0017666B"/>
    <w:rsid w:val="0017669E"/>
    <w:rsid w:val="001766BE"/>
    <w:rsid w:val="00176733"/>
    <w:rsid w:val="00176738"/>
    <w:rsid w:val="00176758"/>
    <w:rsid w:val="001767B3"/>
    <w:rsid w:val="00176834"/>
    <w:rsid w:val="00176866"/>
    <w:rsid w:val="0017688D"/>
    <w:rsid w:val="001768E4"/>
    <w:rsid w:val="0017690D"/>
    <w:rsid w:val="00176946"/>
    <w:rsid w:val="0017694E"/>
    <w:rsid w:val="001769BD"/>
    <w:rsid w:val="00176A09"/>
    <w:rsid w:val="00176AAC"/>
    <w:rsid w:val="00176B22"/>
    <w:rsid w:val="00176C52"/>
    <w:rsid w:val="00176CD2"/>
    <w:rsid w:val="00176D80"/>
    <w:rsid w:val="00176E05"/>
    <w:rsid w:val="00176E34"/>
    <w:rsid w:val="00176EE5"/>
    <w:rsid w:val="00176F74"/>
    <w:rsid w:val="00176FCB"/>
    <w:rsid w:val="00176FCE"/>
    <w:rsid w:val="0017701B"/>
    <w:rsid w:val="0017702B"/>
    <w:rsid w:val="00177065"/>
    <w:rsid w:val="001771FB"/>
    <w:rsid w:val="00177336"/>
    <w:rsid w:val="0017733D"/>
    <w:rsid w:val="001773A2"/>
    <w:rsid w:val="0017741D"/>
    <w:rsid w:val="00177422"/>
    <w:rsid w:val="00177452"/>
    <w:rsid w:val="0017746C"/>
    <w:rsid w:val="001774A0"/>
    <w:rsid w:val="00177528"/>
    <w:rsid w:val="0017752D"/>
    <w:rsid w:val="00177719"/>
    <w:rsid w:val="001778B1"/>
    <w:rsid w:val="00177966"/>
    <w:rsid w:val="00177A08"/>
    <w:rsid w:val="00177A38"/>
    <w:rsid w:val="00177A3C"/>
    <w:rsid w:val="00177B75"/>
    <w:rsid w:val="00177CBC"/>
    <w:rsid w:val="00177DB4"/>
    <w:rsid w:val="00177E9A"/>
    <w:rsid w:val="00177F45"/>
    <w:rsid w:val="001800D6"/>
    <w:rsid w:val="0018018B"/>
    <w:rsid w:val="00180218"/>
    <w:rsid w:val="00180339"/>
    <w:rsid w:val="00180357"/>
    <w:rsid w:val="00180369"/>
    <w:rsid w:val="001803B0"/>
    <w:rsid w:val="00180461"/>
    <w:rsid w:val="00180594"/>
    <w:rsid w:val="001806C1"/>
    <w:rsid w:val="0018073F"/>
    <w:rsid w:val="0018084F"/>
    <w:rsid w:val="0018085B"/>
    <w:rsid w:val="0018086E"/>
    <w:rsid w:val="001808E1"/>
    <w:rsid w:val="0018091A"/>
    <w:rsid w:val="001809AD"/>
    <w:rsid w:val="001809FD"/>
    <w:rsid w:val="00180A15"/>
    <w:rsid w:val="00180ABA"/>
    <w:rsid w:val="00180B9F"/>
    <w:rsid w:val="00180BF6"/>
    <w:rsid w:val="00180C56"/>
    <w:rsid w:val="00180CF2"/>
    <w:rsid w:val="00180D54"/>
    <w:rsid w:val="00180D69"/>
    <w:rsid w:val="00180E54"/>
    <w:rsid w:val="00180E85"/>
    <w:rsid w:val="00180F46"/>
    <w:rsid w:val="00181024"/>
    <w:rsid w:val="00181037"/>
    <w:rsid w:val="00181056"/>
    <w:rsid w:val="001810D9"/>
    <w:rsid w:val="00181113"/>
    <w:rsid w:val="0018114C"/>
    <w:rsid w:val="00181169"/>
    <w:rsid w:val="001811B4"/>
    <w:rsid w:val="001811EA"/>
    <w:rsid w:val="00181370"/>
    <w:rsid w:val="0018146A"/>
    <w:rsid w:val="00181522"/>
    <w:rsid w:val="00181551"/>
    <w:rsid w:val="0018159F"/>
    <w:rsid w:val="00181729"/>
    <w:rsid w:val="00181841"/>
    <w:rsid w:val="00181873"/>
    <w:rsid w:val="00181891"/>
    <w:rsid w:val="00181893"/>
    <w:rsid w:val="00181987"/>
    <w:rsid w:val="00181A34"/>
    <w:rsid w:val="00181A46"/>
    <w:rsid w:val="00181C94"/>
    <w:rsid w:val="00181C98"/>
    <w:rsid w:val="00181CA0"/>
    <w:rsid w:val="00181CC7"/>
    <w:rsid w:val="00181D8C"/>
    <w:rsid w:val="00181E9C"/>
    <w:rsid w:val="00181EE3"/>
    <w:rsid w:val="00181F8E"/>
    <w:rsid w:val="00182005"/>
    <w:rsid w:val="0018204A"/>
    <w:rsid w:val="001820FA"/>
    <w:rsid w:val="00182165"/>
    <w:rsid w:val="001821E4"/>
    <w:rsid w:val="0018237A"/>
    <w:rsid w:val="00182403"/>
    <w:rsid w:val="0018252A"/>
    <w:rsid w:val="001825C0"/>
    <w:rsid w:val="001825F3"/>
    <w:rsid w:val="00182653"/>
    <w:rsid w:val="001826D0"/>
    <w:rsid w:val="00182758"/>
    <w:rsid w:val="0018278B"/>
    <w:rsid w:val="001827FE"/>
    <w:rsid w:val="00182845"/>
    <w:rsid w:val="00182874"/>
    <w:rsid w:val="00182928"/>
    <w:rsid w:val="0018299D"/>
    <w:rsid w:val="001829D9"/>
    <w:rsid w:val="00182A6F"/>
    <w:rsid w:val="00182A94"/>
    <w:rsid w:val="00182B04"/>
    <w:rsid w:val="00182BD1"/>
    <w:rsid w:val="00182BF3"/>
    <w:rsid w:val="00182BF8"/>
    <w:rsid w:val="00182E0D"/>
    <w:rsid w:val="00182E80"/>
    <w:rsid w:val="00182EAF"/>
    <w:rsid w:val="00182EC8"/>
    <w:rsid w:val="00182EDD"/>
    <w:rsid w:val="00182F23"/>
    <w:rsid w:val="0018306E"/>
    <w:rsid w:val="001830B1"/>
    <w:rsid w:val="001830E4"/>
    <w:rsid w:val="00183147"/>
    <w:rsid w:val="0018318C"/>
    <w:rsid w:val="0018319F"/>
    <w:rsid w:val="00183242"/>
    <w:rsid w:val="0018328C"/>
    <w:rsid w:val="0018334F"/>
    <w:rsid w:val="0018346C"/>
    <w:rsid w:val="001834A4"/>
    <w:rsid w:val="0018351C"/>
    <w:rsid w:val="001835A8"/>
    <w:rsid w:val="001835BF"/>
    <w:rsid w:val="001835D4"/>
    <w:rsid w:val="00183623"/>
    <w:rsid w:val="001836A9"/>
    <w:rsid w:val="00183704"/>
    <w:rsid w:val="001837B6"/>
    <w:rsid w:val="00183806"/>
    <w:rsid w:val="0018383D"/>
    <w:rsid w:val="0018385E"/>
    <w:rsid w:val="001838E1"/>
    <w:rsid w:val="00183937"/>
    <w:rsid w:val="00183951"/>
    <w:rsid w:val="001839DE"/>
    <w:rsid w:val="001839FA"/>
    <w:rsid w:val="00183A25"/>
    <w:rsid w:val="00183ABB"/>
    <w:rsid w:val="00183B6C"/>
    <w:rsid w:val="00183B9F"/>
    <w:rsid w:val="00183C34"/>
    <w:rsid w:val="00183D09"/>
    <w:rsid w:val="00183D72"/>
    <w:rsid w:val="00183DE6"/>
    <w:rsid w:val="00183E06"/>
    <w:rsid w:val="00183E50"/>
    <w:rsid w:val="00183EC6"/>
    <w:rsid w:val="00183F93"/>
    <w:rsid w:val="0018401B"/>
    <w:rsid w:val="00184040"/>
    <w:rsid w:val="00184058"/>
    <w:rsid w:val="00184075"/>
    <w:rsid w:val="001840C9"/>
    <w:rsid w:val="0018412A"/>
    <w:rsid w:val="0018413B"/>
    <w:rsid w:val="0018413E"/>
    <w:rsid w:val="001842AF"/>
    <w:rsid w:val="001842B2"/>
    <w:rsid w:val="0018435D"/>
    <w:rsid w:val="0018437F"/>
    <w:rsid w:val="00184413"/>
    <w:rsid w:val="00184536"/>
    <w:rsid w:val="00184560"/>
    <w:rsid w:val="00184568"/>
    <w:rsid w:val="001845A9"/>
    <w:rsid w:val="00184635"/>
    <w:rsid w:val="00184668"/>
    <w:rsid w:val="00184694"/>
    <w:rsid w:val="00184739"/>
    <w:rsid w:val="00184795"/>
    <w:rsid w:val="00184815"/>
    <w:rsid w:val="0018486A"/>
    <w:rsid w:val="001848B1"/>
    <w:rsid w:val="001848B5"/>
    <w:rsid w:val="001848CB"/>
    <w:rsid w:val="0018494D"/>
    <w:rsid w:val="0018494F"/>
    <w:rsid w:val="001849B2"/>
    <w:rsid w:val="001849D0"/>
    <w:rsid w:val="00184A2A"/>
    <w:rsid w:val="00184A7E"/>
    <w:rsid w:val="00184B74"/>
    <w:rsid w:val="00184B96"/>
    <w:rsid w:val="00184CE1"/>
    <w:rsid w:val="00184CE6"/>
    <w:rsid w:val="00184CFB"/>
    <w:rsid w:val="00184D22"/>
    <w:rsid w:val="00184D7B"/>
    <w:rsid w:val="00184DDD"/>
    <w:rsid w:val="00184E5B"/>
    <w:rsid w:val="00184EA7"/>
    <w:rsid w:val="00184FD7"/>
    <w:rsid w:val="00185009"/>
    <w:rsid w:val="0018502D"/>
    <w:rsid w:val="00185032"/>
    <w:rsid w:val="00185066"/>
    <w:rsid w:val="00185166"/>
    <w:rsid w:val="001851A7"/>
    <w:rsid w:val="00185244"/>
    <w:rsid w:val="00185285"/>
    <w:rsid w:val="0018529E"/>
    <w:rsid w:val="001852C2"/>
    <w:rsid w:val="00185337"/>
    <w:rsid w:val="001853A0"/>
    <w:rsid w:val="001853C5"/>
    <w:rsid w:val="001854C4"/>
    <w:rsid w:val="0018556F"/>
    <w:rsid w:val="001856A4"/>
    <w:rsid w:val="001856A9"/>
    <w:rsid w:val="00185704"/>
    <w:rsid w:val="0018571E"/>
    <w:rsid w:val="0018572F"/>
    <w:rsid w:val="0018579E"/>
    <w:rsid w:val="001857C8"/>
    <w:rsid w:val="00185812"/>
    <w:rsid w:val="0018595D"/>
    <w:rsid w:val="001859B0"/>
    <w:rsid w:val="00185AB6"/>
    <w:rsid w:val="00185AEC"/>
    <w:rsid w:val="00185B32"/>
    <w:rsid w:val="00185B54"/>
    <w:rsid w:val="00185C01"/>
    <w:rsid w:val="00185C30"/>
    <w:rsid w:val="00185C55"/>
    <w:rsid w:val="00185D1D"/>
    <w:rsid w:val="00185D35"/>
    <w:rsid w:val="00185D62"/>
    <w:rsid w:val="00185DFE"/>
    <w:rsid w:val="00185F17"/>
    <w:rsid w:val="00185F1D"/>
    <w:rsid w:val="00185FFE"/>
    <w:rsid w:val="0018615F"/>
    <w:rsid w:val="00186170"/>
    <w:rsid w:val="001861A3"/>
    <w:rsid w:val="001861BA"/>
    <w:rsid w:val="001861CB"/>
    <w:rsid w:val="00186294"/>
    <w:rsid w:val="001862D8"/>
    <w:rsid w:val="00186364"/>
    <w:rsid w:val="00186374"/>
    <w:rsid w:val="0018639C"/>
    <w:rsid w:val="001863D5"/>
    <w:rsid w:val="001864F2"/>
    <w:rsid w:val="0018659D"/>
    <w:rsid w:val="001865BB"/>
    <w:rsid w:val="00186676"/>
    <w:rsid w:val="001866C1"/>
    <w:rsid w:val="0018670E"/>
    <w:rsid w:val="00186799"/>
    <w:rsid w:val="001867A2"/>
    <w:rsid w:val="001867A9"/>
    <w:rsid w:val="001867CF"/>
    <w:rsid w:val="001867E8"/>
    <w:rsid w:val="001868CB"/>
    <w:rsid w:val="001868DA"/>
    <w:rsid w:val="0018697D"/>
    <w:rsid w:val="001869AA"/>
    <w:rsid w:val="00186A1A"/>
    <w:rsid w:val="00186A32"/>
    <w:rsid w:val="00186A76"/>
    <w:rsid w:val="00186B70"/>
    <w:rsid w:val="00186B73"/>
    <w:rsid w:val="00186BED"/>
    <w:rsid w:val="00186C34"/>
    <w:rsid w:val="00186C48"/>
    <w:rsid w:val="00186C90"/>
    <w:rsid w:val="00186CE8"/>
    <w:rsid w:val="00186DE1"/>
    <w:rsid w:val="00186DE4"/>
    <w:rsid w:val="00186DF9"/>
    <w:rsid w:val="00186F28"/>
    <w:rsid w:val="00187010"/>
    <w:rsid w:val="00187051"/>
    <w:rsid w:val="00187148"/>
    <w:rsid w:val="00187173"/>
    <w:rsid w:val="001871C4"/>
    <w:rsid w:val="00187277"/>
    <w:rsid w:val="0018734D"/>
    <w:rsid w:val="00187382"/>
    <w:rsid w:val="0018749E"/>
    <w:rsid w:val="001874C6"/>
    <w:rsid w:val="00187605"/>
    <w:rsid w:val="00187625"/>
    <w:rsid w:val="00187694"/>
    <w:rsid w:val="001876B9"/>
    <w:rsid w:val="00187854"/>
    <w:rsid w:val="001878CA"/>
    <w:rsid w:val="001878E2"/>
    <w:rsid w:val="001878ED"/>
    <w:rsid w:val="00187951"/>
    <w:rsid w:val="00187A0D"/>
    <w:rsid w:val="00187B10"/>
    <w:rsid w:val="00187BA6"/>
    <w:rsid w:val="00187BF7"/>
    <w:rsid w:val="00187C69"/>
    <w:rsid w:val="00187CE3"/>
    <w:rsid w:val="00187DEE"/>
    <w:rsid w:val="00187E0C"/>
    <w:rsid w:val="001900A3"/>
    <w:rsid w:val="001900BA"/>
    <w:rsid w:val="001900CA"/>
    <w:rsid w:val="001901B5"/>
    <w:rsid w:val="001901D1"/>
    <w:rsid w:val="001901EA"/>
    <w:rsid w:val="00190237"/>
    <w:rsid w:val="00190354"/>
    <w:rsid w:val="0019041A"/>
    <w:rsid w:val="001904C0"/>
    <w:rsid w:val="0019052E"/>
    <w:rsid w:val="0019063E"/>
    <w:rsid w:val="0019070F"/>
    <w:rsid w:val="0019085A"/>
    <w:rsid w:val="001908F3"/>
    <w:rsid w:val="001909C4"/>
    <w:rsid w:val="00190A14"/>
    <w:rsid w:val="00190A2D"/>
    <w:rsid w:val="00190A34"/>
    <w:rsid w:val="00190AED"/>
    <w:rsid w:val="00190BF4"/>
    <w:rsid w:val="00190CBE"/>
    <w:rsid w:val="00190DAA"/>
    <w:rsid w:val="00190DBE"/>
    <w:rsid w:val="00190E38"/>
    <w:rsid w:val="00190E51"/>
    <w:rsid w:val="00190F50"/>
    <w:rsid w:val="001911EE"/>
    <w:rsid w:val="00191219"/>
    <w:rsid w:val="00191245"/>
    <w:rsid w:val="001913DB"/>
    <w:rsid w:val="00191401"/>
    <w:rsid w:val="00191498"/>
    <w:rsid w:val="00191565"/>
    <w:rsid w:val="001915E1"/>
    <w:rsid w:val="00191677"/>
    <w:rsid w:val="0019175C"/>
    <w:rsid w:val="00191778"/>
    <w:rsid w:val="001917B7"/>
    <w:rsid w:val="0019185C"/>
    <w:rsid w:val="00191878"/>
    <w:rsid w:val="001918E6"/>
    <w:rsid w:val="00191959"/>
    <w:rsid w:val="0019195C"/>
    <w:rsid w:val="001919F1"/>
    <w:rsid w:val="00191C63"/>
    <w:rsid w:val="00191D24"/>
    <w:rsid w:val="00191D71"/>
    <w:rsid w:val="00191E26"/>
    <w:rsid w:val="00191EC0"/>
    <w:rsid w:val="00191EC7"/>
    <w:rsid w:val="00191F15"/>
    <w:rsid w:val="00191F7E"/>
    <w:rsid w:val="00192005"/>
    <w:rsid w:val="00192039"/>
    <w:rsid w:val="00192140"/>
    <w:rsid w:val="0019218A"/>
    <w:rsid w:val="001921A0"/>
    <w:rsid w:val="001921A6"/>
    <w:rsid w:val="00192238"/>
    <w:rsid w:val="001922CF"/>
    <w:rsid w:val="001922ED"/>
    <w:rsid w:val="001922FB"/>
    <w:rsid w:val="0019235D"/>
    <w:rsid w:val="0019236C"/>
    <w:rsid w:val="001923FE"/>
    <w:rsid w:val="0019240A"/>
    <w:rsid w:val="0019244B"/>
    <w:rsid w:val="001924B5"/>
    <w:rsid w:val="001924BF"/>
    <w:rsid w:val="001924ED"/>
    <w:rsid w:val="0019251E"/>
    <w:rsid w:val="00192537"/>
    <w:rsid w:val="001925C1"/>
    <w:rsid w:val="00192706"/>
    <w:rsid w:val="0019276E"/>
    <w:rsid w:val="0019281E"/>
    <w:rsid w:val="00192825"/>
    <w:rsid w:val="00192869"/>
    <w:rsid w:val="001928B1"/>
    <w:rsid w:val="001928D9"/>
    <w:rsid w:val="001928F4"/>
    <w:rsid w:val="00192934"/>
    <w:rsid w:val="00192997"/>
    <w:rsid w:val="001929A5"/>
    <w:rsid w:val="00192C03"/>
    <w:rsid w:val="00192C18"/>
    <w:rsid w:val="00192C43"/>
    <w:rsid w:val="00192C7B"/>
    <w:rsid w:val="00192D27"/>
    <w:rsid w:val="00192DAE"/>
    <w:rsid w:val="00192DC3"/>
    <w:rsid w:val="00192DEA"/>
    <w:rsid w:val="00192E7C"/>
    <w:rsid w:val="00192EB8"/>
    <w:rsid w:val="00192F73"/>
    <w:rsid w:val="0019311F"/>
    <w:rsid w:val="0019313A"/>
    <w:rsid w:val="0019317D"/>
    <w:rsid w:val="00193185"/>
    <w:rsid w:val="0019321B"/>
    <w:rsid w:val="001932A2"/>
    <w:rsid w:val="00193381"/>
    <w:rsid w:val="001933E6"/>
    <w:rsid w:val="00193408"/>
    <w:rsid w:val="0019348A"/>
    <w:rsid w:val="00193586"/>
    <w:rsid w:val="0019377B"/>
    <w:rsid w:val="0019379C"/>
    <w:rsid w:val="001937C1"/>
    <w:rsid w:val="0019381E"/>
    <w:rsid w:val="001938F5"/>
    <w:rsid w:val="00193996"/>
    <w:rsid w:val="001939BA"/>
    <w:rsid w:val="00193A9A"/>
    <w:rsid w:val="00193C6B"/>
    <w:rsid w:val="00193C79"/>
    <w:rsid w:val="00193D50"/>
    <w:rsid w:val="00193DAE"/>
    <w:rsid w:val="00193DEF"/>
    <w:rsid w:val="00193EB4"/>
    <w:rsid w:val="00193EE0"/>
    <w:rsid w:val="00194153"/>
    <w:rsid w:val="00194161"/>
    <w:rsid w:val="001941CD"/>
    <w:rsid w:val="0019424A"/>
    <w:rsid w:val="0019427B"/>
    <w:rsid w:val="001943C7"/>
    <w:rsid w:val="001943DF"/>
    <w:rsid w:val="001944CF"/>
    <w:rsid w:val="00194564"/>
    <w:rsid w:val="00194691"/>
    <w:rsid w:val="001947D6"/>
    <w:rsid w:val="00194941"/>
    <w:rsid w:val="001949D3"/>
    <w:rsid w:val="00194A57"/>
    <w:rsid w:val="00194A8D"/>
    <w:rsid w:val="00194AB3"/>
    <w:rsid w:val="00194AC6"/>
    <w:rsid w:val="00194ADD"/>
    <w:rsid w:val="00194DB5"/>
    <w:rsid w:val="00194E05"/>
    <w:rsid w:val="00194E2A"/>
    <w:rsid w:val="00194E34"/>
    <w:rsid w:val="00194E4E"/>
    <w:rsid w:val="00194F4C"/>
    <w:rsid w:val="00194F59"/>
    <w:rsid w:val="00194F8F"/>
    <w:rsid w:val="00195001"/>
    <w:rsid w:val="00195149"/>
    <w:rsid w:val="0019519A"/>
    <w:rsid w:val="001951BC"/>
    <w:rsid w:val="0019524C"/>
    <w:rsid w:val="001952ED"/>
    <w:rsid w:val="00195350"/>
    <w:rsid w:val="001953B2"/>
    <w:rsid w:val="001953C1"/>
    <w:rsid w:val="00195416"/>
    <w:rsid w:val="00195451"/>
    <w:rsid w:val="00195651"/>
    <w:rsid w:val="00195656"/>
    <w:rsid w:val="0019568D"/>
    <w:rsid w:val="0019569D"/>
    <w:rsid w:val="001956A0"/>
    <w:rsid w:val="00195700"/>
    <w:rsid w:val="0019570F"/>
    <w:rsid w:val="001959FF"/>
    <w:rsid w:val="00195A5A"/>
    <w:rsid w:val="00195A81"/>
    <w:rsid w:val="00195AC4"/>
    <w:rsid w:val="00195BE8"/>
    <w:rsid w:val="00195C88"/>
    <w:rsid w:val="00195CB5"/>
    <w:rsid w:val="00195D12"/>
    <w:rsid w:val="00195DFD"/>
    <w:rsid w:val="00195E16"/>
    <w:rsid w:val="00195E2C"/>
    <w:rsid w:val="00195FF0"/>
    <w:rsid w:val="0019605B"/>
    <w:rsid w:val="0019610F"/>
    <w:rsid w:val="00196183"/>
    <w:rsid w:val="00196219"/>
    <w:rsid w:val="001962E2"/>
    <w:rsid w:val="001962EE"/>
    <w:rsid w:val="00196316"/>
    <w:rsid w:val="00196349"/>
    <w:rsid w:val="0019647A"/>
    <w:rsid w:val="00196480"/>
    <w:rsid w:val="00196487"/>
    <w:rsid w:val="0019648A"/>
    <w:rsid w:val="00196502"/>
    <w:rsid w:val="00196511"/>
    <w:rsid w:val="00196561"/>
    <w:rsid w:val="00196603"/>
    <w:rsid w:val="00196611"/>
    <w:rsid w:val="0019664D"/>
    <w:rsid w:val="0019666E"/>
    <w:rsid w:val="0019667F"/>
    <w:rsid w:val="00196682"/>
    <w:rsid w:val="00196732"/>
    <w:rsid w:val="00196749"/>
    <w:rsid w:val="00196752"/>
    <w:rsid w:val="00196763"/>
    <w:rsid w:val="0019676B"/>
    <w:rsid w:val="00196777"/>
    <w:rsid w:val="0019689A"/>
    <w:rsid w:val="0019697B"/>
    <w:rsid w:val="001969DC"/>
    <w:rsid w:val="00196A12"/>
    <w:rsid w:val="00196ACC"/>
    <w:rsid w:val="00196B8C"/>
    <w:rsid w:val="00196C4E"/>
    <w:rsid w:val="00196C55"/>
    <w:rsid w:val="00196C57"/>
    <w:rsid w:val="00196C6A"/>
    <w:rsid w:val="00196C95"/>
    <w:rsid w:val="00196DED"/>
    <w:rsid w:val="00196E63"/>
    <w:rsid w:val="00196E78"/>
    <w:rsid w:val="00196E8E"/>
    <w:rsid w:val="00196ECB"/>
    <w:rsid w:val="00196EEC"/>
    <w:rsid w:val="0019700C"/>
    <w:rsid w:val="00197027"/>
    <w:rsid w:val="00197035"/>
    <w:rsid w:val="00197132"/>
    <w:rsid w:val="001972FD"/>
    <w:rsid w:val="001973C0"/>
    <w:rsid w:val="001973CD"/>
    <w:rsid w:val="001973FC"/>
    <w:rsid w:val="0019740F"/>
    <w:rsid w:val="001974B2"/>
    <w:rsid w:val="001975DF"/>
    <w:rsid w:val="00197606"/>
    <w:rsid w:val="0019762E"/>
    <w:rsid w:val="00197652"/>
    <w:rsid w:val="00197712"/>
    <w:rsid w:val="0019789B"/>
    <w:rsid w:val="001978A8"/>
    <w:rsid w:val="0019792E"/>
    <w:rsid w:val="00197982"/>
    <w:rsid w:val="00197A53"/>
    <w:rsid w:val="00197A71"/>
    <w:rsid w:val="00197A92"/>
    <w:rsid w:val="00197BB6"/>
    <w:rsid w:val="00197C11"/>
    <w:rsid w:val="00197C31"/>
    <w:rsid w:val="00197C69"/>
    <w:rsid w:val="00197C83"/>
    <w:rsid w:val="00197CD4"/>
    <w:rsid w:val="00197CE4"/>
    <w:rsid w:val="00197D8F"/>
    <w:rsid w:val="00197D9A"/>
    <w:rsid w:val="00197E14"/>
    <w:rsid w:val="00197E41"/>
    <w:rsid w:val="00197ED2"/>
    <w:rsid w:val="00197F04"/>
    <w:rsid w:val="00197F2F"/>
    <w:rsid w:val="00197F7D"/>
    <w:rsid w:val="001A0024"/>
    <w:rsid w:val="001A0053"/>
    <w:rsid w:val="001A0132"/>
    <w:rsid w:val="001A0157"/>
    <w:rsid w:val="001A021C"/>
    <w:rsid w:val="001A0226"/>
    <w:rsid w:val="001A0256"/>
    <w:rsid w:val="001A026C"/>
    <w:rsid w:val="001A02E0"/>
    <w:rsid w:val="001A02EB"/>
    <w:rsid w:val="001A03BD"/>
    <w:rsid w:val="001A0441"/>
    <w:rsid w:val="001A049E"/>
    <w:rsid w:val="001A0505"/>
    <w:rsid w:val="001A0580"/>
    <w:rsid w:val="001A05FD"/>
    <w:rsid w:val="001A07C8"/>
    <w:rsid w:val="001A07CE"/>
    <w:rsid w:val="001A07D6"/>
    <w:rsid w:val="001A080F"/>
    <w:rsid w:val="001A0941"/>
    <w:rsid w:val="001A09A7"/>
    <w:rsid w:val="001A09DB"/>
    <w:rsid w:val="001A0A6D"/>
    <w:rsid w:val="001A0A93"/>
    <w:rsid w:val="001A0C2A"/>
    <w:rsid w:val="001A0C2C"/>
    <w:rsid w:val="001A0C46"/>
    <w:rsid w:val="001A0D72"/>
    <w:rsid w:val="001A0DE5"/>
    <w:rsid w:val="001A0DEF"/>
    <w:rsid w:val="001A0E75"/>
    <w:rsid w:val="001A0FB2"/>
    <w:rsid w:val="001A10A1"/>
    <w:rsid w:val="001A10A2"/>
    <w:rsid w:val="001A10FF"/>
    <w:rsid w:val="001A1162"/>
    <w:rsid w:val="001A11F8"/>
    <w:rsid w:val="001A11FD"/>
    <w:rsid w:val="001A1202"/>
    <w:rsid w:val="001A124B"/>
    <w:rsid w:val="001A12F5"/>
    <w:rsid w:val="001A1349"/>
    <w:rsid w:val="001A13F8"/>
    <w:rsid w:val="001A1450"/>
    <w:rsid w:val="001A151B"/>
    <w:rsid w:val="001A1533"/>
    <w:rsid w:val="001A1587"/>
    <w:rsid w:val="001A15F7"/>
    <w:rsid w:val="001A169A"/>
    <w:rsid w:val="001A16BF"/>
    <w:rsid w:val="001A16C9"/>
    <w:rsid w:val="001A1770"/>
    <w:rsid w:val="001A178B"/>
    <w:rsid w:val="001A1855"/>
    <w:rsid w:val="001A185B"/>
    <w:rsid w:val="001A18AC"/>
    <w:rsid w:val="001A18BF"/>
    <w:rsid w:val="001A1940"/>
    <w:rsid w:val="001A1955"/>
    <w:rsid w:val="001A19BE"/>
    <w:rsid w:val="001A19CD"/>
    <w:rsid w:val="001A1A61"/>
    <w:rsid w:val="001A1B04"/>
    <w:rsid w:val="001A1B17"/>
    <w:rsid w:val="001A1B57"/>
    <w:rsid w:val="001A1B69"/>
    <w:rsid w:val="001A1C27"/>
    <w:rsid w:val="001A1CD8"/>
    <w:rsid w:val="001A1CF3"/>
    <w:rsid w:val="001A1DDB"/>
    <w:rsid w:val="001A1E20"/>
    <w:rsid w:val="001A1EB0"/>
    <w:rsid w:val="001A1F9D"/>
    <w:rsid w:val="001A1FAD"/>
    <w:rsid w:val="001A1FE4"/>
    <w:rsid w:val="001A1FE6"/>
    <w:rsid w:val="001A209A"/>
    <w:rsid w:val="001A2134"/>
    <w:rsid w:val="001A2155"/>
    <w:rsid w:val="001A2160"/>
    <w:rsid w:val="001A21B3"/>
    <w:rsid w:val="001A21B9"/>
    <w:rsid w:val="001A21D3"/>
    <w:rsid w:val="001A22CA"/>
    <w:rsid w:val="001A232E"/>
    <w:rsid w:val="001A2364"/>
    <w:rsid w:val="001A23C6"/>
    <w:rsid w:val="001A23E1"/>
    <w:rsid w:val="001A23F4"/>
    <w:rsid w:val="001A2402"/>
    <w:rsid w:val="001A240B"/>
    <w:rsid w:val="001A241F"/>
    <w:rsid w:val="001A2450"/>
    <w:rsid w:val="001A25FD"/>
    <w:rsid w:val="001A2624"/>
    <w:rsid w:val="001A262C"/>
    <w:rsid w:val="001A264B"/>
    <w:rsid w:val="001A264E"/>
    <w:rsid w:val="001A26F2"/>
    <w:rsid w:val="001A27B2"/>
    <w:rsid w:val="001A28A1"/>
    <w:rsid w:val="001A2901"/>
    <w:rsid w:val="001A2922"/>
    <w:rsid w:val="001A2939"/>
    <w:rsid w:val="001A29B9"/>
    <w:rsid w:val="001A2AA9"/>
    <w:rsid w:val="001A2AB3"/>
    <w:rsid w:val="001A2ADB"/>
    <w:rsid w:val="001A2B25"/>
    <w:rsid w:val="001A2B33"/>
    <w:rsid w:val="001A2B98"/>
    <w:rsid w:val="001A2C73"/>
    <w:rsid w:val="001A2CB3"/>
    <w:rsid w:val="001A2E0A"/>
    <w:rsid w:val="001A2E19"/>
    <w:rsid w:val="001A2E53"/>
    <w:rsid w:val="001A2F0C"/>
    <w:rsid w:val="001A2F2F"/>
    <w:rsid w:val="001A3049"/>
    <w:rsid w:val="001A306F"/>
    <w:rsid w:val="001A30D5"/>
    <w:rsid w:val="001A32FA"/>
    <w:rsid w:val="001A33DC"/>
    <w:rsid w:val="001A3417"/>
    <w:rsid w:val="001A344C"/>
    <w:rsid w:val="001A3499"/>
    <w:rsid w:val="001A367B"/>
    <w:rsid w:val="001A368A"/>
    <w:rsid w:val="001A3704"/>
    <w:rsid w:val="001A3735"/>
    <w:rsid w:val="001A3777"/>
    <w:rsid w:val="001A378B"/>
    <w:rsid w:val="001A37BE"/>
    <w:rsid w:val="001A3856"/>
    <w:rsid w:val="001A391E"/>
    <w:rsid w:val="001A3966"/>
    <w:rsid w:val="001A39A7"/>
    <w:rsid w:val="001A39EC"/>
    <w:rsid w:val="001A39EF"/>
    <w:rsid w:val="001A3B0E"/>
    <w:rsid w:val="001A3B4E"/>
    <w:rsid w:val="001A3C88"/>
    <w:rsid w:val="001A3CEE"/>
    <w:rsid w:val="001A3CFE"/>
    <w:rsid w:val="001A3D1E"/>
    <w:rsid w:val="001A3D56"/>
    <w:rsid w:val="001A3E8E"/>
    <w:rsid w:val="001A3E91"/>
    <w:rsid w:val="001A3F84"/>
    <w:rsid w:val="001A41D4"/>
    <w:rsid w:val="001A4267"/>
    <w:rsid w:val="001A43DB"/>
    <w:rsid w:val="001A441E"/>
    <w:rsid w:val="001A44DE"/>
    <w:rsid w:val="001A44F9"/>
    <w:rsid w:val="001A4675"/>
    <w:rsid w:val="001A46D5"/>
    <w:rsid w:val="001A4722"/>
    <w:rsid w:val="001A473D"/>
    <w:rsid w:val="001A47BC"/>
    <w:rsid w:val="001A4933"/>
    <w:rsid w:val="001A493D"/>
    <w:rsid w:val="001A4996"/>
    <w:rsid w:val="001A49E6"/>
    <w:rsid w:val="001A4B59"/>
    <w:rsid w:val="001A4BA7"/>
    <w:rsid w:val="001A4C95"/>
    <w:rsid w:val="001A4CBB"/>
    <w:rsid w:val="001A4CC9"/>
    <w:rsid w:val="001A4D5D"/>
    <w:rsid w:val="001A4E2F"/>
    <w:rsid w:val="001A4EE2"/>
    <w:rsid w:val="001A4F9D"/>
    <w:rsid w:val="001A4FD1"/>
    <w:rsid w:val="001A4FE0"/>
    <w:rsid w:val="001A5014"/>
    <w:rsid w:val="001A501C"/>
    <w:rsid w:val="001A5028"/>
    <w:rsid w:val="001A50C1"/>
    <w:rsid w:val="001A50DC"/>
    <w:rsid w:val="001A512E"/>
    <w:rsid w:val="001A513F"/>
    <w:rsid w:val="001A5184"/>
    <w:rsid w:val="001A51AF"/>
    <w:rsid w:val="001A5215"/>
    <w:rsid w:val="001A5327"/>
    <w:rsid w:val="001A5373"/>
    <w:rsid w:val="001A537C"/>
    <w:rsid w:val="001A5400"/>
    <w:rsid w:val="001A5413"/>
    <w:rsid w:val="001A54BA"/>
    <w:rsid w:val="001A551D"/>
    <w:rsid w:val="001A5558"/>
    <w:rsid w:val="001A5565"/>
    <w:rsid w:val="001A55E2"/>
    <w:rsid w:val="001A564B"/>
    <w:rsid w:val="001A5668"/>
    <w:rsid w:val="001A56B6"/>
    <w:rsid w:val="001A56FB"/>
    <w:rsid w:val="001A5894"/>
    <w:rsid w:val="001A595C"/>
    <w:rsid w:val="001A59CB"/>
    <w:rsid w:val="001A5A90"/>
    <w:rsid w:val="001A5AEB"/>
    <w:rsid w:val="001A5AED"/>
    <w:rsid w:val="001A5B37"/>
    <w:rsid w:val="001A5B7A"/>
    <w:rsid w:val="001A5BA1"/>
    <w:rsid w:val="001A5BFF"/>
    <w:rsid w:val="001A5C06"/>
    <w:rsid w:val="001A5C8D"/>
    <w:rsid w:val="001A5CF4"/>
    <w:rsid w:val="001A5CF6"/>
    <w:rsid w:val="001A5CF8"/>
    <w:rsid w:val="001A5E0F"/>
    <w:rsid w:val="001A5EEB"/>
    <w:rsid w:val="001A5F39"/>
    <w:rsid w:val="001A5F5D"/>
    <w:rsid w:val="001A5F9A"/>
    <w:rsid w:val="001A5FC8"/>
    <w:rsid w:val="001A6064"/>
    <w:rsid w:val="001A6123"/>
    <w:rsid w:val="001A615D"/>
    <w:rsid w:val="001A61B5"/>
    <w:rsid w:val="001A6236"/>
    <w:rsid w:val="001A62AA"/>
    <w:rsid w:val="001A63F9"/>
    <w:rsid w:val="001A6436"/>
    <w:rsid w:val="001A648E"/>
    <w:rsid w:val="001A653C"/>
    <w:rsid w:val="001A65A0"/>
    <w:rsid w:val="001A665D"/>
    <w:rsid w:val="001A66C5"/>
    <w:rsid w:val="001A66D5"/>
    <w:rsid w:val="001A67A9"/>
    <w:rsid w:val="001A68A2"/>
    <w:rsid w:val="001A6C03"/>
    <w:rsid w:val="001A6C2C"/>
    <w:rsid w:val="001A6C65"/>
    <w:rsid w:val="001A6DC4"/>
    <w:rsid w:val="001A6E05"/>
    <w:rsid w:val="001A6E73"/>
    <w:rsid w:val="001A6F9F"/>
    <w:rsid w:val="001A7072"/>
    <w:rsid w:val="001A70B4"/>
    <w:rsid w:val="001A70E6"/>
    <w:rsid w:val="001A7125"/>
    <w:rsid w:val="001A712A"/>
    <w:rsid w:val="001A7178"/>
    <w:rsid w:val="001A7183"/>
    <w:rsid w:val="001A72E6"/>
    <w:rsid w:val="001A740A"/>
    <w:rsid w:val="001A7439"/>
    <w:rsid w:val="001A753D"/>
    <w:rsid w:val="001A7641"/>
    <w:rsid w:val="001A7643"/>
    <w:rsid w:val="001A765F"/>
    <w:rsid w:val="001A7666"/>
    <w:rsid w:val="001A76DF"/>
    <w:rsid w:val="001A772B"/>
    <w:rsid w:val="001A780D"/>
    <w:rsid w:val="001A7977"/>
    <w:rsid w:val="001A79EC"/>
    <w:rsid w:val="001A79F8"/>
    <w:rsid w:val="001A7B44"/>
    <w:rsid w:val="001A7B72"/>
    <w:rsid w:val="001A7BE3"/>
    <w:rsid w:val="001A7C3B"/>
    <w:rsid w:val="001A7CA2"/>
    <w:rsid w:val="001A7CB4"/>
    <w:rsid w:val="001A7CC0"/>
    <w:rsid w:val="001A7D5A"/>
    <w:rsid w:val="001A7DD9"/>
    <w:rsid w:val="001A7DDA"/>
    <w:rsid w:val="001A7E34"/>
    <w:rsid w:val="001A7F0B"/>
    <w:rsid w:val="001A7F4C"/>
    <w:rsid w:val="001A7F99"/>
    <w:rsid w:val="001A7FAC"/>
    <w:rsid w:val="001B0006"/>
    <w:rsid w:val="001B0093"/>
    <w:rsid w:val="001B00CD"/>
    <w:rsid w:val="001B019B"/>
    <w:rsid w:val="001B01A1"/>
    <w:rsid w:val="001B020E"/>
    <w:rsid w:val="001B0257"/>
    <w:rsid w:val="001B02F7"/>
    <w:rsid w:val="001B0305"/>
    <w:rsid w:val="001B0332"/>
    <w:rsid w:val="001B04B7"/>
    <w:rsid w:val="001B0538"/>
    <w:rsid w:val="001B05A7"/>
    <w:rsid w:val="001B05C1"/>
    <w:rsid w:val="001B05EA"/>
    <w:rsid w:val="001B0678"/>
    <w:rsid w:val="001B06DB"/>
    <w:rsid w:val="001B0700"/>
    <w:rsid w:val="001B073F"/>
    <w:rsid w:val="001B0783"/>
    <w:rsid w:val="001B07DD"/>
    <w:rsid w:val="001B07DE"/>
    <w:rsid w:val="001B07E5"/>
    <w:rsid w:val="001B0813"/>
    <w:rsid w:val="001B0825"/>
    <w:rsid w:val="001B0851"/>
    <w:rsid w:val="001B08D3"/>
    <w:rsid w:val="001B09AC"/>
    <w:rsid w:val="001B09FC"/>
    <w:rsid w:val="001B0B27"/>
    <w:rsid w:val="001B0C11"/>
    <w:rsid w:val="001B0D23"/>
    <w:rsid w:val="001B0DD6"/>
    <w:rsid w:val="001B0EAF"/>
    <w:rsid w:val="001B0F1F"/>
    <w:rsid w:val="001B1031"/>
    <w:rsid w:val="001B10CB"/>
    <w:rsid w:val="001B115E"/>
    <w:rsid w:val="001B11D3"/>
    <w:rsid w:val="001B1226"/>
    <w:rsid w:val="001B1238"/>
    <w:rsid w:val="001B13A1"/>
    <w:rsid w:val="001B13E2"/>
    <w:rsid w:val="001B1456"/>
    <w:rsid w:val="001B1503"/>
    <w:rsid w:val="001B1531"/>
    <w:rsid w:val="001B159F"/>
    <w:rsid w:val="001B1640"/>
    <w:rsid w:val="001B170E"/>
    <w:rsid w:val="001B180A"/>
    <w:rsid w:val="001B1850"/>
    <w:rsid w:val="001B194F"/>
    <w:rsid w:val="001B19AA"/>
    <w:rsid w:val="001B19D4"/>
    <w:rsid w:val="001B1A12"/>
    <w:rsid w:val="001B1AC4"/>
    <w:rsid w:val="001B1BCD"/>
    <w:rsid w:val="001B1BEF"/>
    <w:rsid w:val="001B1D7A"/>
    <w:rsid w:val="001B1DF5"/>
    <w:rsid w:val="001B1ED8"/>
    <w:rsid w:val="001B2067"/>
    <w:rsid w:val="001B2083"/>
    <w:rsid w:val="001B210E"/>
    <w:rsid w:val="001B21BD"/>
    <w:rsid w:val="001B226A"/>
    <w:rsid w:val="001B23AF"/>
    <w:rsid w:val="001B2482"/>
    <w:rsid w:val="001B24CA"/>
    <w:rsid w:val="001B253C"/>
    <w:rsid w:val="001B25E4"/>
    <w:rsid w:val="001B26F9"/>
    <w:rsid w:val="001B281C"/>
    <w:rsid w:val="001B283B"/>
    <w:rsid w:val="001B28FC"/>
    <w:rsid w:val="001B2A29"/>
    <w:rsid w:val="001B2AA1"/>
    <w:rsid w:val="001B2AD3"/>
    <w:rsid w:val="001B2B43"/>
    <w:rsid w:val="001B2BE5"/>
    <w:rsid w:val="001B2C22"/>
    <w:rsid w:val="001B2C49"/>
    <w:rsid w:val="001B2D48"/>
    <w:rsid w:val="001B2D8F"/>
    <w:rsid w:val="001B2E34"/>
    <w:rsid w:val="001B2E94"/>
    <w:rsid w:val="001B2F33"/>
    <w:rsid w:val="001B2FC1"/>
    <w:rsid w:val="001B3047"/>
    <w:rsid w:val="001B3066"/>
    <w:rsid w:val="001B3138"/>
    <w:rsid w:val="001B3161"/>
    <w:rsid w:val="001B3266"/>
    <w:rsid w:val="001B3271"/>
    <w:rsid w:val="001B327F"/>
    <w:rsid w:val="001B3374"/>
    <w:rsid w:val="001B33CB"/>
    <w:rsid w:val="001B345C"/>
    <w:rsid w:val="001B3559"/>
    <w:rsid w:val="001B3659"/>
    <w:rsid w:val="001B367D"/>
    <w:rsid w:val="001B36BB"/>
    <w:rsid w:val="001B36E5"/>
    <w:rsid w:val="001B378A"/>
    <w:rsid w:val="001B37EF"/>
    <w:rsid w:val="001B37F7"/>
    <w:rsid w:val="001B38D9"/>
    <w:rsid w:val="001B3AE7"/>
    <w:rsid w:val="001B3B27"/>
    <w:rsid w:val="001B3B8F"/>
    <w:rsid w:val="001B3CDB"/>
    <w:rsid w:val="001B3E0C"/>
    <w:rsid w:val="001B3E9D"/>
    <w:rsid w:val="001B3F64"/>
    <w:rsid w:val="001B3F9A"/>
    <w:rsid w:val="001B405F"/>
    <w:rsid w:val="001B4086"/>
    <w:rsid w:val="001B4116"/>
    <w:rsid w:val="001B41A0"/>
    <w:rsid w:val="001B421C"/>
    <w:rsid w:val="001B42A3"/>
    <w:rsid w:val="001B42A4"/>
    <w:rsid w:val="001B42AB"/>
    <w:rsid w:val="001B42BA"/>
    <w:rsid w:val="001B42F1"/>
    <w:rsid w:val="001B4339"/>
    <w:rsid w:val="001B4471"/>
    <w:rsid w:val="001B447D"/>
    <w:rsid w:val="001B4498"/>
    <w:rsid w:val="001B44E7"/>
    <w:rsid w:val="001B44F7"/>
    <w:rsid w:val="001B4578"/>
    <w:rsid w:val="001B45A5"/>
    <w:rsid w:val="001B4636"/>
    <w:rsid w:val="001B4753"/>
    <w:rsid w:val="001B477F"/>
    <w:rsid w:val="001B47D9"/>
    <w:rsid w:val="001B483B"/>
    <w:rsid w:val="001B4884"/>
    <w:rsid w:val="001B4966"/>
    <w:rsid w:val="001B4976"/>
    <w:rsid w:val="001B4998"/>
    <w:rsid w:val="001B49DC"/>
    <w:rsid w:val="001B4A79"/>
    <w:rsid w:val="001B4ABA"/>
    <w:rsid w:val="001B4BCB"/>
    <w:rsid w:val="001B4BDF"/>
    <w:rsid w:val="001B4CD6"/>
    <w:rsid w:val="001B4DEE"/>
    <w:rsid w:val="001B50AB"/>
    <w:rsid w:val="001B51F0"/>
    <w:rsid w:val="001B5203"/>
    <w:rsid w:val="001B5209"/>
    <w:rsid w:val="001B529B"/>
    <w:rsid w:val="001B5357"/>
    <w:rsid w:val="001B53D3"/>
    <w:rsid w:val="001B546E"/>
    <w:rsid w:val="001B54D4"/>
    <w:rsid w:val="001B55CD"/>
    <w:rsid w:val="001B5641"/>
    <w:rsid w:val="001B56AE"/>
    <w:rsid w:val="001B5723"/>
    <w:rsid w:val="001B578E"/>
    <w:rsid w:val="001B57C7"/>
    <w:rsid w:val="001B5806"/>
    <w:rsid w:val="001B5815"/>
    <w:rsid w:val="001B5983"/>
    <w:rsid w:val="001B59DB"/>
    <w:rsid w:val="001B5A51"/>
    <w:rsid w:val="001B5A60"/>
    <w:rsid w:val="001B5A71"/>
    <w:rsid w:val="001B5A81"/>
    <w:rsid w:val="001B5AC5"/>
    <w:rsid w:val="001B5AC9"/>
    <w:rsid w:val="001B5AD4"/>
    <w:rsid w:val="001B5C98"/>
    <w:rsid w:val="001B5CE9"/>
    <w:rsid w:val="001B5CF2"/>
    <w:rsid w:val="001B5D39"/>
    <w:rsid w:val="001B5D91"/>
    <w:rsid w:val="001B5D98"/>
    <w:rsid w:val="001B5DC3"/>
    <w:rsid w:val="001B5DF1"/>
    <w:rsid w:val="001B5E41"/>
    <w:rsid w:val="001B5E81"/>
    <w:rsid w:val="001B5ED8"/>
    <w:rsid w:val="001B5EE6"/>
    <w:rsid w:val="001B6014"/>
    <w:rsid w:val="001B60BE"/>
    <w:rsid w:val="001B6109"/>
    <w:rsid w:val="001B616B"/>
    <w:rsid w:val="001B61AF"/>
    <w:rsid w:val="001B6249"/>
    <w:rsid w:val="001B6280"/>
    <w:rsid w:val="001B63D8"/>
    <w:rsid w:val="001B6425"/>
    <w:rsid w:val="001B6487"/>
    <w:rsid w:val="001B64B9"/>
    <w:rsid w:val="001B6505"/>
    <w:rsid w:val="001B650D"/>
    <w:rsid w:val="001B65CF"/>
    <w:rsid w:val="001B65D6"/>
    <w:rsid w:val="001B6717"/>
    <w:rsid w:val="001B671B"/>
    <w:rsid w:val="001B6806"/>
    <w:rsid w:val="001B6811"/>
    <w:rsid w:val="001B6881"/>
    <w:rsid w:val="001B6908"/>
    <w:rsid w:val="001B6B4D"/>
    <w:rsid w:val="001B6B99"/>
    <w:rsid w:val="001B6C0D"/>
    <w:rsid w:val="001B6C73"/>
    <w:rsid w:val="001B6CD5"/>
    <w:rsid w:val="001B6D4C"/>
    <w:rsid w:val="001B6DCE"/>
    <w:rsid w:val="001B6DEA"/>
    <w:rsid w:val="001B6E24"/>
    <w:rsid w:val="001B6EE5"/>
    <w:rsid w:val="001B7046"/>
    <w:rsid w:val="001B7058"/>
    <w:rsid w:val="001B7134"/>
    <w:rsid w:val="001B71CF"/>
    <w:rsid w:val="001B727F"/>
    <w:rsid w:val="001B72BB"/>
    <w:rsid w:val="001B72F3"/>
    <w:rsid w:val="001B7310"/>
    <w:rsid w:val="001B7347"/>
    <w:rsid w:val="001B7440"/>
    <w:rsid w:val="001B7562"/>
    <w:rsid w:val="001B75C1"/>
    <w:rsid w:val="001B75E5"/>
    <w:rsid w:val="001B75F8"/>
    <w:rsid w:val="001B7648"/>
    <w:rsid w:val="001B77D6"/>
    <w:rsid w:val="001B7823"/>
    <w:rsid w:val="001B7954"/>
    <w:rsid w:val="001B7962"/>
    <w:rsid w:val="001B7984"/>
    <w:rsid w:val="001B7A35"/>
    <w:rsid w:val="001B7AB7"/>
    <w:rsid w:val="001B7AC2"/>
    <w:rsid w:val="001B7AD6"/>
    <w:rsid w:val="001B7B1F"/>
    <w:rsid w:val="001B7B4F"/>
    <w:rsid w:val="001B7BD3"/>
    <w:rsid w:val="001B7BD8"/>
    <w:rsid w:val="001B7C05"/>
    <w:rsid w:val="001B7CE3"/>
    <w:rsid w:val="001B7D11"/>
    <w:rsid w:val="001B7DD2"/>
    <w:rsid w:val="001B7DD6"/>
    <w:rsid w:val="001B7DF0"/>
    <w:rsid w:val="001B7EA5"/>
    <w:rsid w:val="001B7EBE"/>
    <w:rsid w:val="001B7EFB"/>
    <w:rsid w:val="001B7F49"/>
    <w:rsid w:val="001B7F74"/>
    <w:rsid w:val="001C007E"/>
    <w:rsid w:val="001C00B6"/>
    <w:rsid w:val="001C0161"/>
    <w:rsid w:val="001C018C"/>
    <w:rsid w:val="001C018E"/>
    <w:rsid w:val="001C0208"/>
    <w:rsid w:val="001C021E"/>
    <w:rsid w:val="001C0291"/>
    <w:rsid w:val="001C0293"/>
    <w:rsid w:val="001C032E"/>
    <w:rsid w:val="001C039B"/>
    <w:rsid w:val="001C041E"/>
    <w:rsid w:val="001C0510"/>
    <w:rsid w:val="001C0528"/>
    <w:rsid w:val="001C0619"/>
    <w:rsid w:val="001C063F"/>
    <w:rsid w:val="001C06B2"/>
    <w:rsid w:val="001C075C"/>
    <w:rsid w:val="001C0817"/>
    <w:rsid w:val="001C0830"/>
    <w:rsid w:val="001C088F"/>
    <w:rsid w:val="001C09B0"/>
    <w:rsid w:val="001C09BD"/>
    <w:rsid w:val="001C0A5B"/>
    <w:rsid w:val="001C0C4C"/>
    <w:rsid w:val="001C0CE3"/>
    <w:rsid w:val="001C0D3F"/>
    <w:rsid w:val="001C0E01"/>
    <w:rsid w:val="001C0E42"/>
    <w:rsid w:val="001C0EE5"/>
    <w:rsid w:val="001C0F85"/>
    <w:rsid w:val="001C0FF0"/>
    <w:rsid w:val="001C105C"/>
    <w:rsid w:val="001C111F"/>
    <w:rsid w:val="001C1163"/>
    <w:rsid w:val="001C11BB"/>
    <w:rsid w:val="001C11C7"/>
    <w:rsid w:val="001C120E"/>
    <w:rsid w:val="001C154E"/>
    <w:rsid w:val="001C1614"/>
    <w:rsid w:val="001C163A"/>
    <w:rsid w:val="001C164B"/>
    <w:rsid w:val="001C1684"/>
    <w:rsid w:val="001C1733"/>
    <w:rsid w:val="001C176B"/>
    <w:rsid w:val="001C17F0"/>
    <w:rsid w:val="001C18CE"/>
    <w:rsid w:val="001C193B"/>
    <w:rsid w:val="001C1A0A"/>
    <w:rsid w:val="001C1B4E"/>
    <w:rsid w:val="001C1BF5"/>
    <w:rsid w:val="001C1CA1"/>
    <w:rsid w:val="001C1CB0"/>
    <w:rsid w:val="001C1CD8"/>
    <w:rsid w:val="001C1D06"/>
    <w:rsid w:val="001C1D8D"/>
    <w:rsid w:val="001C1DE0"/>
    <w:rsid w:val="001C1F1C"/>
    <w:rsid w:val="001C1FC2"/>
    <w:rsid w:val="001C206D"/>
    <w:rsid w:val="001C2071"/>
    <w:rsid w:val="001C217A"/>
    <w:rsid w:val="001C218D"/>
    <w:rsid w:val="001C21D1"/>
    <w:rsid w:val="001C2200"/>
    <w:rsid w:val="001C2246"/>
    <w:rsid w:val="001C22C1"/>
    <w:rsid w:val="001C2314"/>
    <w:rsid w:val="001C231C"/>
    <w:rsid w:val="001C2342"/>
    <w:rsid w:val="001C241A"/>
    <w:rsid w:val="001C241B"/>
    <w:rsid w:val="001C2441"/>
    <w:rsid w:val="001C244B"/>
    <w:rsid w:val="001C24F3"/>
    <w:rsid w:val="001C2522"/>
    <w:rsid w:val="001C26AF"/>
    <w:rsid w:val="001C2770"/>
    <w:rsid w:val="001C27D4"/>
    <w:rsid w:val="001C28AE"/>
    <w:rsid w:val="001C29DC"/>
    <w:rsid w:val="001C29FD"/>
    <w:rsid w:val="001C2A87"/>
    <w:rsid w:val="001C2A94"/>
    <w:rsid w:val="001C2B33"/>
    <w:rsid w:val="001C2B6C"/>
    <w:rsid w:val="001C2B80"/>
    <w:rsid w:val="001C2C21"/>
    <w:rsid w:val="001C2C61"/>
    <w:rsid w:val="001C2CDE"/>
    <w:rsid w:val="001C2E02"/>
    <w:rsid w:val="001C2E3D"/>
    <w:rsid w:val="001C2EF0"/>
    <w:rsid w:val="001C2EF6"/>
    <w:rsid w:val="001C2F47"/>
    <w:rsid w:val="001C2F68"/>
    <w:rsid w:val="001C2F71"/>
    <w:rsid w:val="001C2FBE"/>
    <w:rsid w:val="001C306C"/>
    <w:rsid w:val="001C3186"/>
    <w:rsid w:val="001C31EA"/>
    <w:rsid w:val="001C3272"/>
    <w:rsid w:val="001C34D7"/>
    <w:rsid w:val="001C34F1"/>
    <w:rsid w:val="001C35DB"/>
    <w:rsid w:val="001C361B"/>
    <w:rsid w:val="001C3659"/>
    <w:rsid w:val="001C3695"/>
    <w:rsid w:val="001C3732"/>
    <w:rsid w:val="001C3751"/>
    <w:rsid w:val="001C37FB"/>
    <w:rsid w:val="001C3A9F"/>
    <w:rsid w:val="001C3AEE"/>
    <w:rsid w:val="001C3B05"/>
    <w:rsid w:val="001C3B84"/>
    <w:rsid w:val="001C3BB3"/>
    <w:rsid w:val="001C3BE4"/>
    <w:rsid w:val="001C3CF6"/>
    <w:rsid w:val="001C3D02"/>
    <w:rsid w:val="001C3D32"/>
    <w:rsid w:val="001C3D87"/>
    <w:rsid w:val="001C3E7B"/>
    <w:rsid w:val="001C3E8A"/>
    <w:rsid w:val="001C3E9C"/>
    <w:rsid w:val="001C3F59"/>
    <w:rsid w:val="001C3FFF"/>
    <w:rsid w:val="001C401F"/>
    <w:rsid w:val="001C4058"/>
    <w:rsid w:val="001C4063"/>
    <w:rsid w:val="001C40F4"/>
    <w:rsid w:val="001C414A"/>
    <w:rsid w:val="001C4178"/>
    <w:rsid w:val="001C4184"/>
    <w:rsid w:val="001C41CB"/>
    <w:rsid w:val="001C425F"/>
    <w:rsid w:val="001C42A6"/>
    <w:rsid w:val="001C42BD"/>
    <w:rsid w:val="001C42D9"/>
    <w:rsid w:val="001C4495"/>
    <w:rsid w:val="001C4500"/>
    <w:rsid w:val="001C45C3"/>
    <w:rsid w:val="001C4664"/>
    <w:rsid w:val="001C467B"/>
    <w:rsid w:val="001C46E8"/>
    <w:rsid w:val="001C4712"/>
    <w:rsid w:val="001C4721"/>
    <w:rsid w:val="001C48D3"/>
    <w:rsid w:val="001C4900"/>
    <w:rsid w:val="001C497C"/>
    <w:rsid w:val="001C49EC"/>
    <w:rsid w:val="001C4A15"/>
    <w:rsid w:val="001C4AF1"/>
    <w:rsid w:val="001C4BF1"/>
    <w:rsid w:val="001C4C11"/>
    <w:rsid w:val="001C4C18"/>
    <w:rsid w:val="001C4C2F"/>
    <w:rsid w:val="001C4C63"/>
    <w:rsid w:val="001C4D17"/>
    <w:rsid w:val="001C4D41"/>
    <w:rsid w:val="001C4D9A"/>
    <w:rsid w:val="001C4E84"/>
    <w:rsid w:val="001C4ED3"/>
    <w:rsid w:val="001C4F70"/>
    <w:rsid w:val="001C4FDB"/>
    <w:rsid w:val="001C500B"/>
    <w:rsid w:val="001C5086"/>
    <w:rsid w:val="001C50AC"/>
    <w:rsid w:val="001C51E6"/>
    <w:rsid w:val="001C526C"/>
    <w:rsid w:val="001C5274"/>
    <w:rsid w:val="001C537B"/>
    <w:rsid w:val="001C538B"/>
    <w:rsid w:val="001C5416"/>
    <w:rsid w:val="001C55BC"/>
    <w:rsid w:val="001C55F8"/>
    <w:rsid w:val="001C561D"/>
    <w:rsid w:val="001C56FA"/>
    <w:rsid w:val="001C571D"/>
    <w:rsid w:val="001C5742"/>
    <w:rsid w:val="001C5843"/>
    <w:rsid w:val="001C5887"/>
    <w:rsid w:val="001C59A6"/>
    <w:rsid w:val="001C5A5D"/>
    <w:rsid w:val="001C5A8E"/>
    <w:rsid w:val="001C5A93"/>
    <w:rsid w:val="001C5AD3"/>
    <w:rsid w:val="001C5C97"/>
    <w:rsid w:val="001C5CC7"/>
    <w:rsid w:val="001C5CE9"/>
    <w:rsid w:val="001C5D1B"/>
    <w:rsid w:val="001C5D8F"/>
    <w:rsid w:val="001C5E0B"/>
    <w:rsid w:val="001C5E24"/>
    <w:rsid w:val="001C5F07"/>
    <w:rsid w:val="001C6051"/>
    <w:rsid w:val="001C6080"/>
    <w:rsid w:val="001C60DB"/>
    <w:rsid w:val="001C6168"/>
    <w:rsid w:val="001C61B5"/>
    <w:rsid w:val="001C621C"/>
    <w:rsid w:val="001C62C6"/>
    <w:rsid w:val="001C62DB"/>
    <w:rsid w:val="001C62DE"/>
    <w:rsid w:val="001C62E0"/>
    <w:rsid w:val="001C6322"/>
    <w:rsid w:val="001C6344"/>
    <w:rsid w:val="001C63C3"/>
    <w:rsid w:val="001C6419"/>
    <w:rsid w:val="001C6450"/>
    <w:rsid w:val="001C6478"/>
    <w:rsid w:val="001C653A"/>
    <w:rsid w:val="001C65BE"/>
    <w:rsid w:val="001C661D"/>
    <w:rsid w:val="001C6716"/>
    <w:rsid w:val="001C6835"/>
    <w:rsid w:val="001C6905"/>
    <w:rsid w:val="001C6AEA"/>
    <w:rsid w:val="001C6AF1"/>
    <w:rsid w:val="001C6BE7"/>
    <w:rsid w:val="001C6C58"/>
    <w:rsid w:val="001C6C90"/>
    <w:rsid w:val="001C6D12"/>
    <w:rsid w:val="001C6D36"/>
    <w:rsid w:val="001C6D70"/>
    <w:rsid w:val="001C6D8C"/>
    <w:rsid w:val="001C6DEE"/>
    <w:rsid w:val="001C6E2A"/>
    <w:rsid w:val="001C6F7C"/>
    <w:rsid w:val="001C6FF6"/>
    <w:rsid w:val="001C700A"/>
    <w:rsid w:val="001C7049"/>
    <w:rsid w:val="001C70EB"/>
    <w:rsid w:val="001C71B6"/>
    <w:rsid w:val="001C7209"/>
    <w:rsid w:val="001C72A3"/>
    <w:rsid w:val="001C72F5"/>
    <w:rsid w:val="001C7330"/>
    <w:rsid w:val="001C7333"/>
    <w:rsid w:val="001C7412"/>
    <w:rsid w:val="001C74A2"/>
    <w:rsid w:val="001C74D4"/>
    <w:rsid w:val="001C7539"/>
    <w:rsid w:val="001C7602"/>
    <w:rsid w:val="001C76F8"/>
    <w:rsid w:val="001C777F"/>
    <w:rsid w:val="001C77AF"/>
    <w:rsid w:val="001C7815"/>
    <w:rsid w:val="001C7867"/>
    <w:rsid w:val="001C78DD"/>
    <w:rsid w:val="001C7938"/>
    <w:rsid w:val="001C7A38"/>
    <w:rsid w:val="001C7A47"/>
    <w:rsid w:val="001C7A4D"/>
    <w:rsid w:val="001C7CB9"/>
    <w:rsid w:val="001C7D22"/>
    <w:rsid w:val="001C7DC3"/>
    <w:rsid w:val="001C7E81"/>
    <w:rsid w:val="001C7EC4"/>
    <w:rsid w:val="001C7F89"/>
    <w:rsid w:val="001C7FC9"/>
    <w:rsid w:val="001C7FE4"/>
    <w:rsid w:val="001C7FF7"/>
    <w:rsid w:val="001D0018"/>
    <w:rsid w:val="001D002C"/>
    <w:rsid w:val="001D0113"/>
    <w:rsid w:val="001D015F"/>
    <w:rsid w:val="001D01AF"/>
    <w:rsid w:val="001D020C"/>
    <w:rsid w:val="001D028D"/>
    <w:rsid w:val="001D02C2"/>
    <w:rsid w:val="001D0368"/>
    <w:rsid w:val="001D03F4"/>
    <w:rsid w:val="001D054F"/>
    <w:rsid w:val="001D059D"/>
    <w:rsid w:val="001D0648"/>
    <w:rsid w:val="001D06CB"/>
    <w:rsid w:val="001D0734"/>
    <w:rsid w:val="001D08B3"/>
    <w:rsid w:val="001D08E9"/>
    <w:rsid w:val="001D0910"/>
    <w:rsid w:val="001D09B5"/>
    <w:rsid w:val="001D0A73"/>
    <w:rsid w:val="001D0B5D"/>
    <w:rsid w:val="001D0C28"/>
    <w:rsid w:val="001D0CFA"/>
    <w:rsid w:val="001D0D28"/>
    <w:rsid w:val="001D0E4A"/>
    <w:rsid w:val="001D1072"/>
    <w:rsid w:val="001D107A"/>
    <w:rsid w:val="001D113F"/>
    <w:rsid w:val="001D11CD"/>
    <w:rsid w:val="001D1252"/>
    <w:rsid w:val="001D1256"/>
    <w:rsid w:val="001D136D"/>
    <w:rsid w:val="001D1392"/>
    <w:rsid w:val="001D13F4"/>
    <w:rsid w:val="001D1443"/>
    <w:rsid w:val="001D1452"/>
    <w:rsid w:val="001D1467"/>
    <w:rsid w:val="001D14A4"/>
    <w:rsid w:val="001D14A7"/>
    <w:rsid w:val="001D14FB"/>
    <w:rsid w:val="001D1504"/>
    <w:rsid w:val="001D1672"/>
    <w:rsid w:val="001D16EC"/>
    <w:rsid w:val="001D1710"/>
    <w:rsid w:val="001D171E"/>
    <w:rsid w:val="001D175F"/>
    <w:rsid w:val="001D17A5"/>
    <w:rsid w:val="001D187B"/>
    <w:rsid w:val="001D18A1"/>
    <w:rsid w:val="001D18EC"/>
    <w:rsid w:val="001D1951"/>
    <w:rsid w:val="001D196A"/>
    <w:rsid w:val="001D1C51"/>
    <w:rsid w:val="001D1CA5"/>
    <w:rsid w:val="001D1CBB"/>
    <w:rsid w:val="001D1D34"/>
    <w:rsid w:val="001D1D48"/>
    <w:rsid w:val="001D1D93"/>
    <w:rsid w:val="001D1E8C"/>
    <w:rsid w:val="001D1EF5"/>
    <w:rsid w:val="001D1F42"/>
    <w:rsid w:val="001D1F69"/>
    <w:rsid w:val="001D1FD0"/>
    <w:rsid w:val="001D2063"/>
    <w:rsid w:val="001D20DC"/>
    <w:rsid w:val="001D20F5"/>
    <w:rsid w:val="001D2123"/>
    <w:rsid w:val="001D21EB"/>
    <w:rsid w:val="001D237A"/>
    <w:rsid w:val="001D2396"/>
    <w:rsid w:val="001D24F4"/>
    <w:rsid w:val="001D2550"/>
    <w:rsid w:val="001D25E6"/>
    <w:rsid w:val="001D2608"/>
    <w:rsid w:val="001D2612"/>
    <w:rsid w:val="001D267F"/>
    <w:rsid w:val="001D268C"/>
    <w:rsid w:val="001D278E"/>
    <w:rsid w:val="001D27DA"/>
    <w:rsid w:val="001D27F5"/>
    <w:rsid w:val="001D283E"/>
    <w:rsid w:val="001D28E9"/>
    <w:rsid w:val="001D293C"/>
    <w:rsid w:val="001D2985"/>
    <w:rsid w:val="001D29C3"/>
    <w:rsid w:val="001D2A76"/>
    <w:rsid w:val="001D2B1B"/>
    <w:rsid w:val="001D2B82"/>
    <w:rsid w:val="001D2C63"/>
    <w:rsid w:val="001D2D2E"/>
    <w:rsid w:val="001D2EA8"/>
    <w:rsid w:val="001D2F02"/>
    <w:rsid w:val="001D30B1"/>
    <w:rsid w:val="001D3103"/>
    <w:rsid w:val="001D3175"/>
    <w:rsid w:val="001D31C7"/>
    <w:rsid w:val="001D31D5"/>
    <w:rsid w:val="001D32A3"/>
    <w:rsid w:val="001D32B0"/>
    <w:rsid w:val="001D332F"/>
    <w:rsid w:val="001D3336"/>
    <w:rsid w:val="001D3350"/>
    <w:rsid w:val="001D3445"/>
    <w:rsid w:val="001D347A"/>
    <w:rsid w:val="001D3493"/>
    <w:rsid w:val="001D36A1"/>
    <w:rsid w:val="001D3724"/>
    <w:rsid w:val="001D37E4"/>
    <w:rsid w:val="001D3847"/>
    <w:rsid w:val="001D3865"/>
    <w:rsid w:val="001D38E3"/>
    <w:rsid w:val="001D39C3"/>
    <w:rsid w:val="001D3A9F"/>
    <w:rsid w:val="001D3AC1"/>
    <w:rsid w:val="001D3AFC"/>
    <w:rsid w:val="001D3B41"/>
    <w:rsid w:val="001D3B96"/>
    <w:rsid w:val="001D3BFD"/>
    <w:rsid w:val="001D3C0F"/>
    <w:rsid w:val="001D3C28"/>
    <w:rsid w:val="001D3C71"/>
    <w:rsid w:val="001D3D65"/>
    <w:rsid w:val="001D3D66"/>
    <w:rsid w:val="001D3DAF"/>
    <w:rsid w:val="001D3ED1"/>
    <w:rsid w:val="001D3EE4"/>
    <w:rsid w:val="001D3F03"/>
    <w:rsid w:val="001D3F6B"/>
    <w:rsid w:val="001D3F7A"/>
    <w:rsid w:val="001D3F9D"/>
    <w:rsid w:val="001D40D8"/>
    <w:rsid w:val="001D42A5"/>
    <w:rsid w:val="001D42AA"/>
    <w:rsid w:val="001D43BE"/>
    <w:rsid w:val="001D43FA"/>
    <w:rsid w:val="001D442B"/>
    <w:rsid w:val="001D45F1"/>
    <w:rsid w:val="001D4611"/>
    <w:rsid w:val="001D46A6"/>
    <w:rsid w:val="001D46B1"/>
    <w:rsid w:val="001D4777"/>
    <w:rsid w:val="001D4979"/>
    <w:rsid w:val="001D4B11"/>
    <w:rsid w:val="001D4B82"/>
    <w:rsid w:val="001D4CA0"/>
    <w:rsid w:val="001D4DB6"/>
    <w:rsid w:val="001D4E09"/>
    <w:rsid w:val="001D4E31"/>
    <w:rsid w:val="001D4E74"/>
    <w:rsid w:val="001D4E8B"/>
    <w:rsid w:val="001D4ECF"/>
    <w:rsid w:val="001D4EF8"/>
    <w:rsid w:val="001D4F8E"/>
    <w:rsid w:val="001D4FDC"/>
    <w:rsid w:val="001D4FDF"/>
    <w:rsid w:val="001D503B"/>
    <w:rsid w:val="001D505C"/>
    <w:rsid w:val="001D509E"/>
    <w:rsid w:val="001D50EF"/>
    <w:rsid w:val="001D522E"/>
    <w:rsid w:val="001D52EC"/>
    <w:rsid w:val="001D5318"/>
    <w:rsid w:val="001D5372"/>
    <w:rsid w:val="001D53DD"/>
    <w:rsid w:val="001D5425"/>
    <w:rsid w:val="001D5478"/>
    <w:rsid w:val="001D54A1"/>
    <w:rsid w:val="001D54A4"/>
    <w:rsid w:val="001D54F3"/>
    <w:rsid w:val="001D55B7"/>
    <w:rsid w:val="001D5824"/>
    <w:rsid w:val="001D587F"/>
    <w:rsid w:val="001D5913"/>
    <w:rsid w:val="001D5990"/>
    <w:rsid w:val="001D5999"/>
    <w:rsid w:val="001D59EB"/>
    <w:rsid w:val="001D5A46"/>
    <w:rsid w:val="001D5A4F"/>
    <w:rsid w:val="001D5AC1"/>
    <w:rsid w:val="001D5AFC"/>
    <w:rsid w:val="001D5B13"/>
    <w:rsid w:val="001D5C00"/>
    <w:rsid w:val="001D5C9F"/>
    <w:rsid w:val="001D5CE5"/>
    <w:rsid w:val="001D5CFB"/>
    <w:rsid w:val="001D5EFA"/>
    <w:rsid w:val="001D5F23"/>
    <w:rsid w:val="001D5F41"/>
    <w:rsid w:val="001D5F70"/>
    <w:rsid w:val="001D6010"/>
    <w:rsid w:val="001D6047"/>
    <w:rsid w:val="001D6048"/>
    <w:rsid w:val="001D6052"/>
    <w:rsid w:val="001D612E"/>
    <w:rsid w:val="001D63B0"/>
    <w:rsid w:val="001D63B9"/>
    <w:rsid w:val="001D647D"/>
    <w:rsid w:val="001D64B7"/>
    <w:rsid w:val="001D654E"/>
    <w:rsid w:val="001D6637"/>
    <w:rsid w:val="001D6654"/>
    <w:rsid w:val="001D67F8"/>
    <w:rsid w:val="001D67F9"/>
    <w:rsid w:val="001D6819"/>
    <w:rsid w:val="001D68FE"/>
    <w:rsid w:val="001D6913"/>
    <w:rsid w:val="001D693B"/>
    <w:rsid w:val="001D69F7"/>
    <w:rsid w:val="001D6A70"/>
    <w:rsid w:val="001D6AD0"/>
    <w:rsid w:val="001D6B5A"/>
    <w:rsid w:val="001D6BA9"/>
    <w:rsid w:val="001D6C10"/>
    <w:rsid w:val="001D6DB4"/>
    <w:rsid w:val="001D6E22"/>
    <w:rsid w:val="001D6E26"/>
    <w:rsid w:val="001D6E2C"/>
    <w:rsid w:val="001D6E87"/>
    <w:rsid w:val="001D6F1D"/>
    <w:rsid w:val="001D700B"/>
    <w:rsid w:val="001D7084"/>
    <w:rsid w:val="001D712C"/>
    <w:rsid w:val="001D713D"/>
    <w:rsid w:val="001D714F"/>
    <w:rsid w:val="001D7288"/>
    <w:rsid w:val="001D7290"/>
    <w:rsid w:val="001D7349"/>
    <w:rsid w:val="001D7351"/>
    <w:rsid w:val="001D7459"/>
    <w:rsid w:val="001D74FC"/>
    <w:rsid w:val="001D752F"/>
    <w:rsid w:val="001D7550"/>
    <w:rsid w:val="001D7579"/>
    <w:rsid w:val="001D75D3"/>
    <w:rsid w:val="001D76C0"/>
    <w:rsid w:val="001D7737"/>
    <w:rsid w:val="001D77A2"/>
    <w:rsid w:val="001D7870"/>
    <w:rsid w:val="001D79C2"/>
    <w:rsid w:val="001D79C8"/>
    <w:rsid w:val="001D79F9"/>
    <w:rsid w:val="001D7A1F"/>
    <w:rsid w:val="001D7A6B"/>
    <w:rsid w:val="001D7AA5"/>
    <w:rsid w:val="001D7C20"/>
    <w:rsid w:val="001D7C27"/>
    <w:rsid w:val="001D7C4E"/>
    <w:rsid w:val="001D7DFA"/>
    <w:rsid w:val="001D7E6E"/>
    <w:rsid w:val="001D7EAB"/>
    <w:rsid w:val="001D7EC2"/>
    <w:rsid w:val="001D7F75"/>
    <w:rsid w:val="001E000B"/>
    <w:rsid w:val="001E0016"/>
    <w:rsid w:val="001E00C2"/>
    <w:rsid w:val="001E00C5"/>
    <w:rsid w:val="001E00DA"/>
    <w:rsid w:val="001E0168"/>
    <w:rsid w:val="001E0192"/>
    <w:rsid w:val="001E01A3"/>
    <w:rsid w:val="001E0205"/>
    <w:rsid w:val="001E02B1"/>
    <w:rsid w:val="001E0340"/>
    <w:rsid w:val="001E03BE"/>
    <w:rsid w:val="001E03BF"/>
    <w:rsid w:val="001E03F1"/>
    <w:rsid w:val="001E044B"/>
    <w:rsid w:val="001E0475"/>
    <w:rsid w:val="001E062F"/>
    <w:rsid w:val="001E075B"/>
    <w:rsid w:val="001E078A"/>
    <w:rsid w:val="001E081F"/>
    <w:rsid w:val="001E082E"/>
    <w:rsid w:val="001E090F"/>
    <w:rsid w:val="001E0A05"/>
    <w:rsid w:val="001E0A3A"/>
    <w:rsid w:val="001E0A55"/>
    <w:rsid w:val="001E0AAF"/>
    <w:rsid w:val="001E0AB6"/>
    <w:rsid w:val="001E0B15"/>
    <w:rsid w:val="001E0C2F"/>
    <w:rsid w:val="001E0CF7"/>
    <w:rsid w:val="001E0DE1"/>
    <w:rsid w:val="001E0DFE"/>
    <w:rsid w:val="001E0EBB"/>
    <w:rsid w:val="001E0F2A"/>
    <w:rsid w:val="001E0F87"/>
    <w:rsid w:val="001E0FDB"/>
    <w:rsid w:val="001E1054"/>
    <w:rsid w:val="001E1065"/>
    <w:rsid w:val="001E11AC"/>
    <w:rsid w:val="001E1229"/>
    <w:rsid w:val="001E1253"/>
    <w:rsid w:val="001E14E6"/>
    <w:rsid w:val="001E14F3"/>
    <w:rsid w:val="001E1588"/>
    <w:rsid w:val="001E15D0"/>
    <w:rsid w:val="001E15DA"/>
    <w:rsid w:val="001E1689"/>
    <w:rsid w:val="001E173B"/>
    <w:rsid w:val="001E18DF"/>
    <w:rsid w:val="001E1966"/>
    <w:rsid w:val="001E1B26"/>
    <w:rsid w:val="001E1C08"/>
    <w:rsid w:val="001E1CAD"/>
    <w:rsid w:val="001E1D29"/>
    <w:rsid w:val="001E1DD2"/>
    <w:rsid w:val="001E1EAD"/>
    <w:rsid w:val="001E1EDA"/>
    <w:rsid w:val="001E1F80"/>
    <w:rsid w:val="001E2067"/>
    <w:rsid w:val="001E20BF"/>
    <w:rsid w:val="001E20C4"/>
    <w:rsid w:val="001E21E2"/>
    <w:rsid w:val="001E2267"/>
    <w:rsid w:val="001E234F"/>
    <w:rsid w:val="001E2382"/>
    <w:rsid w:val="001E23E0"/>
    <w:rsid w:val="001E243B"/>
    <w:rsid w:val="001E2463"/>
    <w:rsid w:val="001E27B1"/>
    <w:rsid w:val="001E27F9"/>
    <w:rsid w:val="001E2918"/>
    <w:rsid w:val="001E2941"/>
    <w:rsid w:val="001E2972"/>
    <w:rsid w:val="001E29AB"/>
    <w:rsid w:val="001E2ADD"/>
    <w:rsid w:val="001E2AE7"/>
    <w:rsid w:val="001E2BCF"/>
    <w:rsid w:val="001E2BF6"/>
    <w:rsid w:val="001E2C04"/>
    <w:rsid w:val="001E2C45"/>
    <w:rsid w:val="001E2C66"/>
    <w:rsid w:val="001E2CAC"/>
    <w:rsid w:val="001E2CE1"/>
    <w:rsid w:val="001E2CFE"/>
    <w:rsid w:val="001E2D5C"/>
    <w:rsid w:val="001E2DF4"/>
    <w:rsid w:val="001E2F49"/>
    <w:rsid w:val="001E2F65"/>
    <w:rsid w:val="001E2FA9"/>
    <w:rsid w:val="001E2FC8"/>
    <w:rsid w:val="001E30E4"/>
    <w:rsid w:val="001E31AC"/>
    <w:rsid w:val="001E31D1"/>
    <w:rsid w:val="001E3218"/>
    <w:rsid w:val="001E3240"/>
    <w:rsid w:val="001E3266"/>
    <w:rsid w:val="001E32B0"/>
    <w:rsid w:val="001E32DA"/>
    <w:rsid w:val="001E331B"/>
    <w:rsid w:val="001E3328"/>
    <w:rsid w:val="001E3375"/>
    <w:rsid w:val="001E34BF"/>
    <w:rsid w:val="001E35C3"/>
    <w:rsid w:val="001E35FF"/>
    <w:rsid w:val="001E3633"/>
    <w:rsid w:val="001E36CE"/>
    <w:rsid w:val="001E3791"/>
    <w:rsid w:val="001E381A"/>
    <w:rsid w:val="001E3822"/>
    <w:rsid w:val="001E385C"/>
    <w:rsid w:val="001E3904"/>
    <w:rsid w:val="001E395A"/>
    <w:rsid w:val="001E3987"/>
    <w:rsid w:val="001E398E"/>
    <w:rsid w:val="001E399F"/>
    <w:rsid w:val="001E39A9"/>
    <w:rsid w:val="001E3A23"/>
    <w:rsid w:val="001E3A42"/>
    <w:rsid w:val="001E3AE1"/>
    <w:rsid w:val="001E3CB5"/>
    <w:rsid w:val="001E3D55"/>
    <w:rsid w:val="001E3DC0"/>
    <w:rsid w:val="001E3E33"/>
    <w:rsid w:val="001E3E77"/>
    <w:rsid w:val="001E3EE7"/>
    <w:rsid w:val="001E3FC5"/>
    <w:rsid w:val="001E3FCC"/>
    <w:rsid w:val="001E3FD9"/>
    <w:rsid w:val="001E4002"/>
    <w:rsid w:val="001E4037"/>
    <w:rsid w:val="001E408A"/>
    <w:rsid w:val="001E409C"/>
    <w:rsid w:val="001E422E"/>
    <w:rsid w:val="001E432C"/>
    <w:rsid w:val="001E4396"/>
    <w:rsid w:val="001E44F4"/>
    <w:rsid w:val="001E457B"/>
    <w:rsid w:val="001E45AA"/>
    <w:rsid w:val="001E4628"/>
    <w:rsid w:val="001E47A6"/>
    <w:rsid w:val="001E47A7"/>
    <w:rsid w:val="001E4843"/>
    <w:rsid w:val="001E48D1"/>
    <w:rsid w:val="001E48E9"/>
    <w:rsid w:val="001E49B4"/>
    <w:rsid w:val="001E4A7D"/>
    <w:rsid w:val="001E4A8F"/>
    <w:rsid w:val="001E4D18"/>
    <w:rsid w:val="001E4D47"/>
    <w:rsid w:val="001E4DD8"/>
    <w:rsid w:val="001E4E21"/>
    <w:rsid w:val="001E4EA4"/>
    <w:rsid w:val="001E4EC9"/>
    <w:rsid w:val="001E4EE6"/>
    <w:rsid w:val="001E504C"/>
    <w:rsid w:val="001E505A"/>
    <w:rsid w:val="001E509A"/>
    <w:rsid w:val="001E50B8"/>
    <w:rsid w:val="001E5128"/>
    <w:rsid w:val="001E5137"/>
    <w:rsid w:val="001E5198"/>
    <w:rsid w:val="001E51A8"/>
    <w:rsid w:val="001E527C"/>
    <w:rsid w:val="001E52AB"/>
    <w:rsid w:val="001E52C7"/>
    <w:rsid w:val="001E53E4"/>
    <w:rsid w:val="001E53F4"/>
    <w:rsid w:val="001E5543"/>
    <w:rsid w:val="001E5595"/>
    <w:rsid w:val="001E55E7"/>
    <w:rsid w:val="001E568F"/>
    <w:rsid w:val="001E57E9"/>
    <w:rsid w:val="001E58E8"/>
    <w:rsid w:val="001E5932"/>
    <w:rsid w:val="001E59B1"/>
    <w:rsid w:val="001E59CE"/>
    <w:rsid w:val="001E59F2"/>
    <w:rsid w:val="001E5A01"/>
    <w:rsid w:val="001E5A8B"/>
    <w:rsid w:val="001E5AC1"/>
    <w:rsid w:val="001E5ADF"/>
    <w:rsid w:val="001E5B0A"/>
    <w:rsid w:val="001E5B90"/>
    <w:rsid w:val="001E5C5F"/>
    <w:rsid w:val="001E5C64"/>
    <w:rsid w:val="001E5C82"/>
    <w:rsid w:val="001E5C93"/>
    <w:rsid w:val="001E5CCB"/>
    <w:rsid w:val="001E5D1B"/>
    <w:rsid w:val="001E5D3B"/>
    <w:rsid w:val="001E5DFF"/>
    <w:rsid w:val="001E5E84"/>
    <w:rsid w:val="001E5EA6"/>
    <w:rsid w:val="001E5F0A"/>
    <w:rsid w:val="001E5F85"/>
    <w:rsid w:val="001E60D6"/>
    <w:rsid w:val="001E6101"/>
    <w:rsid w:val="001E6199"/>
    <w:rsid w:val="001E61C0"/>
    <w:rsid w:val="001E6232"/>
    <w:rsid w:val="001E6350"/>
    <w:rsid w:val="001E63E1"/>
    <w:rsid w:val="001E641B"/>
    <w:rsid w:val="001E64B5"/>
    <w:rsid w:val="001E6512"/>
    <w:rsid w:val="001E65DB"/>
    <w:rsid w:val="001E6659"/>
    <w:rsid w:val="001E6699"/>
    <w:rsid w:val="001E66A2"/>
    <w:rsid w:val="001E66CB"/>
    <w:rsid w:val="001E6864"/>
    <w:rsid w:val="001E68A3"/>
    <w:rsid w:val="001E68AF"/>
    <w:rsid w:val="001E6913"/>
    <w:rsid w:val="001E69D3"/>
    <w:rsid w:val="001E6A2C"/>
    <w:rsid w:val="001E6AB0"/>
    <w:rsid w:val="001E6B49"/>
    <w:rsid w:val="001E6C00"/>
    <w:rsid w:val="001E6CB6"/>
    <w:rsid w:val="001E6CE0"/>
    <w:rsid w:val="001E6CE1"/>
    <w:rsid w:val="001E6E09"/>
    <w:rsid w:val="001E6E22"/>
    <w:rsid w:val="001E6F08"/>
    <w:rsid w:val="001E6FA6"/>
    <w:rsid w:val="001E7015"/>
    <w:rsid w:val="001E7087"/>
    <w:rsid w:val="001E7097"/>
    <w:rsid w:val="001E70BF"/>
    <w:rsid w:val="001E7187"/>
    <w:rsid w:val="001E731A"/>
    <w:rsid w:val="001E7353"/>
    <w:rsid w:val="001E7555"/>
    <w:rsid w:val="001E7567"/>
    <w:rsid w:val="001E789C"/>
    <w:rsid w:val="001E792A"/>
    <w:rsid w:val="001E7951"/>
    <w:rsid w:val="001E7963"/>
    <w:rsid w:val="001E79D3"/>
    <w:rsid w:val="001E79FB"/>
    <w:rsid w:val="001E7BF7"/>
    <w:rsid w:val="001E7C20"/>
    <w:rsid w:val="001E7C56"/>
    <w:rsid w:val="001E7CAA"/>
    <w:rsid w:val="001E7DC9"/>
    <w:rsid w:val="001E7DD9"/>
    <w:rsid w:val="001E7E7F"/>
    <w:rsid w:val="001E7E98"/>
    <w:rsid w:val="001E7EE0"/>
    <w:rsid w:val="001E7FCD"/>
    <w:rsid w:val="001F0032"/>
    <w:rsid w:val="001F0059"/>
    <w:rsid w:val="001F00BB"/>
    <w:rsid w:val="001F0101"/>
    <w:rsid w:val="001F010E"/>
    <w:rsid w:val="001F0195"/>
    <w:rsid w:val="001F01BF"/>
    <w:rsid w:val="001F027B"/>
    <w:rsid w:val="001F02B4"/>
    <w:rsid w:val="001F0318"/>
    <w:rsid w:val="001F0333"/>
    <w:rsid w:val="001F0450"/>
    <w:rsid w:val="001F0478"/>
    <w:rsid w:val="001F047E"/>
    <w:rsid w:val="001F04D4"/>
    <w:rsid w:val="001F04EC"/>
    <w:rsid w:val="001F052B"/>
    <w:rsid w:val="001F058F"/>
    <w:rsid w:val="001F062B"/>
    <w:rsid w:val="001F0667"/>
    <w:rsid w:val="001F0693"/>
    <w:rsid w:val="001F06F7"/>
    <w:rsid w:val="001F073D"/>
    <w:rsid w:val="001F0802"/>
    <w:rsid w:val="001F081B"/>
    <w:rsid w:val="001F08BA"/>
    <w:rsid w:val="001F0A07"/>
    <w:rsid w:val="001F0A44"/>
    <w:rsid w:val="001F0A51"/>
    <w:rsid w:val="001F0A54"/>
    <w:rsid w:val="001F0B3C"/>
    <w:rsid w:val="001F0B6E"/>
    <w:rsid w:val="001F0CD1"/>
    <w:rsid w:val="001F0ECC"/>
    <w:rsid w:val="001F0EE5"/>
    <w:rsid w:val="001F0F88"/>
    <w:rsid w:val="001F0F99"/>
    <w:rsid w:val="001F1024"/>
    <w:rsid w:val="001F11AD"/>
    <w:rsid w:val="001F11F3"/>
    <w:rsid w:val="001F1208"/>
    <w:rsid w:val="001F126E"/>
    <w:rsid w:val="001F1422"/>
    <w:rsid w:val="001F1472"/>
    <w:rsid w:val="001F15AA"/>
    <w:rsid w:val="001F1618"/>
    <w:rsid w:val="001F1622"/>
    <w:rsid w:val="001F1690"/>
    <w:rsid w:val="001F1698"/>
    <w:rsid w:val="001F16C7"/>
    <w:rsid w:val="001F16DD"/>
    <w:rsid w:val="001F1789"/>
    <w:rsid w:val="001F1823"/>
    <w:rsid w:val="001F1890"/>
    <w:rsid w:val="001F18A1"/>
    <w:rsid w:val="001F19C4"/>
    <w:rsid w:val="001F19DC"/>
    <w:rsid w:val="001F19F2"/>
    <w:rsid w:val="001F1A8F"/>
    <w:rsid w:val="001F1B0A"/>
    <w:rsid w:val="001F1B6B"/>
    <w:rsid w:val="001F1B6E"/>
    <w:rsid w:val="001F1BAB"/>
    <w:rsid w:val="001F1C5B"/>
    <w:rsid w:val="001F1C77"/>
    <w:rsid w:val="001F1C89"/>
    <w:rsid w:val="001F1CEA"/>
    <w:rsid w:val="001F1F04"/>
    <w:rsid w:val="001F1F40"/>
    <w:rsid w:val="001F1F70"/>
    <w:rsid w:val="001F1FB0"/>
    <w:rsid w:val="001F1FDE"/>
    <w:rsid w:val="001F1FF0"/>
    <w:rsid w:val="001F200D"/>
    <w:rsid w:val="001F20D4"/>
    <w:rsid w:val="001F2199"/>
    <w:rsid w:val="001F2200"/>
    <w:rsid w:val="001F2267"/>
    <w:rsid w:val="001F227E"/>
    <w:rsid w:val="001F2355"/>
    <w:rsid w:val="001F23DE"/>
    <w:rsid w:val="001F2443"/>
    <w:rsid w:val="001F24C8"/>
    <w:rsid w:val="001F2536"/>
    <w:rsid w:val="001F2580"/>
    <w:rsid w:val="001F25A6"/>
    <w:rsid w:val="001F25BA"/>
    <w:rsid w:val="001F25BD"/>
    <w:rsid w:val="001F265A"/>
    <w:rsid w:val="001F2819"/>
    <w:rsid w:val="001F287B"/>
    <w:rsid w:val="001F291B"/>
    <w:rsid w:val="001F2978"/>
    <w:rsid w:val="001F2A14"/>
    <w:rsid w:val="001F2B6C"/>
    <w:rsid w:val="001F2B75"/>
    <w:rsid w:val="001F2BA0"/>
    <w:rsid w:val="001F2BD0"/>
    <w:rsid w:val="001F2D16"/>
    <w:rsid w:val="001F2D17"/>
    <w:rsid w:val="001F2D68"/>
    <w:rsid w:val="001F2E07"/>
    <w:rsid w:val="001F2F06"/>
    <w:rsid w:val="001F2F53"/>
    <w:rsid w:val="001F2F57"/>
    <w:rsid w:val="001F2F8D"/>
    <w:rsid w:val="001F3098"/>
    <w:rsid w:val="001F3168"/>
    <w:rsid w:val="001F3289"/>
    <w:rsid w:val="001F32A2"/>
    <w:rsid w:val="001F32D3"/>
    <w:rsid w:val="001F32E2"/>
    <w:rsid w:val="001F32F5"/>
    <w:rsid w:val="001F3358"/>
    <w:rsid w:val="001F336E"/>
    <w:rsid w:val="001F3439"/>
    <w:rsid w:val="001F3471"/>
    <w:rsid w:val="001F3507"/>
    <w:rsid w:val="001F3546"/>
    <w:rsid w:val="001F357B"/>
    <w:rsid w:val="001F3592"/>
    <w:rsid w:val="001F37DA"/>
    <w:rsid w:val="001F3875"/>
    <w:rsid w:val="001F38AD"/>
    <w:rsid w:val="001F38B2"/>
    <w:rsid w:val="001F3909"/>
    <w:rsid w:val="001F39F4"/>
    <w:rsid w:val="001F3B61"/>
    <w:rsid w:val="001F3B98"/>
    <w:rsid w:val="001F3B9A"/>
    <w:rsid w:val="001F3C07"/>
    <w:rsid w:val="001F3C10"/>
    <w:rsid w:val="001F3CEF"/>
    <w:rsid w:val="001F3D72"/>
    <w:rsid w:val="001F3E72"/>
    <w:rsid w:val="001F3F3F"/>
    <w:rsid w:val="001F3F8B"/>
    <w:rsid w:val="001F4040"/>
    <w:rsid w:val="001F407C"/>
    <w:rsid w:val="001F40D3"/>
    <w:rsid w:val="001F41C7"/>
    <w:rsid w:val="001F424D"/>
    <w:rsid w:val="001F4257"/>
    <w:rsid w:val="001F42B5"/>
    <w:rsid w:val="001F4402"/>
    <w:rsid w:val="001F446F"/>
    <w:rsid w:val="001F44BD"/>
    <w:rsid w:val="001F44FC"/>
    <w:rsid w:val="001F45EE"/>
    <w:rsid w:val="001F4636"/>
    <w:rsid w:val="001F4649"/>
    <w:rsid w:val="001F46BF"/>
    <w:rsid w:val="001F472D"/>
    <w:rsid w:val="001F48F5"/>
    <w:rsid w:val="001F4976"/>
    <w:rsid w:val="001F49CD"/>
    <w:rsid w:val="001F4ABC"/>
    <w:rsid w:val="001F4AC0"/>
    <w:rsid w:val="001F4AC2"/>
    <w:rsid w:val="001F4B22"/>
    <w:rsid w:val="001F4BB1"/>
    <w:rsid w:val="001F4C4C"/>
    <w:rsid w:val="001F4CDC"/>
    <w:rsid w:val="001F4DAE"/>
    <w:rsid w:val="001F4DB9"/>
    <w:rsid w:val="001F4E87"/>
    <w:rsid w:val="001F4EF2"/>
    <w:rsid w:val="001F4F1F"/>
    <w:rsid w:val="001F4F3D"/>
    <w:rsid w:val="001F4F5A"/>
    <w:rsid w:val="001F4F8C"/>
    <w:rsid w:val="001F4F98"/>
    <w:rsid w:val="001F500D"/>
    <w:rsid w:val="001F5041"/>
    <w:rsid w:val="001F5066"/>
    <w:rsid w:val="001F50CB"/>
    <w:rsid w:val="001F50DA"/>
    <w:rsid w:val="001F527C"/>
    <w:rsid w:val="001F52CC"/>
    <w:rsid w:val="001F52D6"/>
    <w:rsid w:val="001F52F6"/>
    <w:rsid w:val="001F5302"/>
    <w:rsid w:val="001F5391"/>
    <w:rsid w:val="001F53FB"/>
    <w:rsid w:val="001F54A3"/>
    <w:rsid w:val="001F558C"/>
    <w:rsid w:val="001F55DC"/>
    <w:rsid w:val="001F564E"/>
    <w:rsid w:val="001F575C"/>
    <w:rsid w:val="001F59BE"/>
    <w:rsid w:val="001F5A5A"/>
    <w:rsid w:val="001F5AAB"/>
    <w:rsid w:val="001F5B22"/>
    <w:rsid w:val="001F5BD6"/>
    <w:rsid w:val="001F5BE6"/>
    <w:rsid w:val="001F5D04"/>
    <w:rsid w:val="001F5D5F"/>
    <w:rsid w:val="001F5D9F"/>
    <w:rsid w:val="001F5ED9"/>
    <w:rsid w:val="001F5EF4"/>
    <w:rsid w:val="001F5F11"/>
    <w:rsid w:val="001F5F1E"/>
    <w:rsid w:val="001F5F61"/>
    <w:rsid w:val="001F6040"/>
    <w:rsid w:val="001F605D"/>
    <w:rsid w:val="001F6084"/>
    <w:rsid w:val="001F60A5"/>
    <w:rsid w:val="001F60CA"/>
    <w:rsid w:val="001F61AE"/>
    <w:rsid w:val="001F631E"/>
    <w:rsid w:val="001F64D6"/>
    <w:rsid w:val="001F6581"/>
    <w:rsid w:val="001F65DC"/>
    <w:rsid w:val="001F65E8"/>
    <w:rsid w:val="001F66B8"/>
    <w:rsid w:val="001F6741"/>
    <w:rsid w:val="001F6817"/>
    <w:rsid w:val="001F6A52"/>
    <w:rsid w:val="001F6A73"/>
    <w:rsid w:val="001F6A81"/>
    <w:rsid w:val="001F6AFA"/>
    <w:rsid w:val="001F6BBC"/>
    <w:rsid w:val="001F6CB9"/>
    <w:rsid w:val="001F6D81"/>
    <w:rsid w:val="001F6DC0"/>
    <w:rsid w:val="001F6DF9"/>
    <w:rsid w:val="001F6E8B"/>
    <w:rsid w:val="001F70DA"/>
    <w:rsid w:val="001F70DE"/>
    <w:rsid w:val="001F724E"/>
    <w:rsid w:val="001F729C"/>
    <w:rsid w:val="001F7378"/>
    <w:rsid w:val="001F73ED"/>
    <w:rsid w:val="001F75BC"/>
    <w:rsid w:val="001F75ED"/>
    <w:rsid w:val="001F7709"/>
    <w:rsid w:val="001F776B"/>
    <w:rsid w:val="001F77C1"/>
    <w:rsid w:val="001F77E8"/>
    <w:rsid w:val="001F7935"/>
    <w:rsid w:val="001F7961"/>
    <w:rsid w:val="001F79A5"/>
    <w:rsid w:val="001F79AA"/>
    <w:rsid w:val="001F7A19"/>
    <w:rsid w:val="001F7AFE"/>
    <w:rsid w:val="001F7C1A"/>
    <w:rsid w:val="001F7C46"/>
    <w:rsid w:val="001F7C60"/>
    <w:rsid w:val="001F7C6F"/>
    <w:rsid w:val="001F7CEF"/>
    <w:rsid w:val="001F7CF2"/>
    <w:rsid w:val="001F7EDC"/>
    <w:rsid w:val="001F7F21"/>
    <w:rsid w:val="001F7FFA"/>
    <w:rsid w:val="002000EA"/>
    <w:rsid w:val="00200132"/>
    <w:rsid w:val="00200174"/>
    <w:rsid w:val="002001EB"/>
    <w:rsid w:val="00200244"/>
    <w:rsid w:val="00200252"/>
    <w:rsid w:val="00200293"/>
    <w:rsid w:val="002002C0"/>
    <w:rsid w:val="002003C9"/>
    <w:rsid w:val="002004B0"/>
    <w:rsid w:val="002005AB"/>
    <w:rsid w:val="002005B4"/>
    <w:rsid w:val="002005EC"/>
    <w:rsid w:val="00200634"/>
    <w:rsid w:val="00200657"/>
    <w:rsid w:val="00200682"/>
    <w:rsid w:val="002007A2"/>
    <w:rsid w:val="002007A8"/>
    <w:rsid w:val="002007CE"/>
    <w:rsid w:val="002008D8"/>
    <w:rsid w:val="00200999"/>
    <w:rsid w:val="00200C7C"/>
    <w:rsid w:val="00200CEF"/>
    <w:rsid w:val="00200DDB"/>
    <w:rsid w:val="00200DEE"/>
    <w:rsid w:val="00200DFA"/>
    <w:rsid w:val="00200E2F"/>
    <w:rsid w:val="00200E85"/>
    <w:rsid w:val="00200F43"/>
    <w:rsid w:val="00200F6F"/>
    <w:rsid w:val="00200FF1"/>
    <w:rsid w:val="00201011"/>
    <w:rsid w:val="00201077"/>
    <w:rsid w:val="00201160"/>
    <w:rsid w:val="002011BF"/>
    <w:rsid w:val="0020124B"/>
    <w:rsid w:val="00201377"/>
    <w:rsid w:val="00201544"/>
    <w:rsid w:val="0020155F"/>
    <w:rsid w:val="002015C8"/>
    <w:rsid w:val="00201600"/>
    <w:rsid w:val="0020161F"/>
    <w:rsid w:val="002016CA"/>
    <w:rsid w:val="00201700"/>
    <w:rsid w:val="002017D7"/>
    <w:rsid w:val="00201816"/>
    <w:rsid w:val="00201A2A"/>
    <w:rsid w:val="00201A41"/>
    <w:rsid w:val="00201AA8"/>
    <w:rsid w:val="00201B36"/>
    <w:rsid w:val="00201B56"/>
    <w:rsid w:val="00201B74"/>
    <w:rsid w:val="00201B94"/>
    <w:rsid w:val="00201D60"/>
    <w:rsid w:val="00201DA3"/>
    <w:rsid w:val="00201DA8"/>
    <w:rsid w:val="00201EBE"/>
    <w:rsid w:val="00201ECF"/>
    <w:rsid w:val="00202023"/>
    <w:rsid w:val="00202042"/>
    <w:rsid w:val="002020A4"/>
    <w:rsid w:val="00202153"/>
    <w:rsid w:val="00202234"/>
    <w:rsid w:val="0020224A"/>
    <w:rsid w:val="002022B9"/>
    <w:rsid w:val="002023D5"/>
    <w:rsid w:val="00202452"/>
    <w:rsid w:val="002026A0"/>
    <w:rsid w:val="0020270F"/>
    <w:rsid w:val="00202878"/>
    <w:rsid w:val="002028D7"/>
    <w:rsid w:val="0020291D"/>
    <w:rsid w:val="0020293D"/>
    <w:rsid w:val="00202948"/>
    <w:rsid w:val="0020296B"/>
    <w:rsid w:val="00202995"/>
    <w:rsid w:val="002029EF"/>
    <w:rsid w:val="00202A86"/>
    <w:rsid w:val="00202B30"/>
    <w:rsid w:val="00202B79"/>
    <w:rsid w:val="00202B95"/>
    <w:rsid w:val="00202C27"/>
    <w:rsid w:val="00202D0E"/>
    <w:rsid w:val="00202DAE"/>
    <w:rsid w:val="00202DFF"/>
    <w:rsid w:val="00202E75"/>
    <w:rsid w:val="00202F80"/>
    <w:rsid w:val="0020312E"/>
    <w:rsid w:val="0020324C"/>
    <w:rsid w:val="002032F2"/>
    <w:rsid w:val="00203307"/>
    <w:rsid w:val="0020330E"/>
    <w:rsid w:val="002033D8"/>
    <w:rsid w:val="002033F8"/>
    <w:rsid w:val="002034BC"/>
    <w:rsid w:val="002035C5"/>
    <w:rsid w:val="002035CA"/>
    <w:rsid w:val="002036C8"/>
    <w:rsid w:val="002036E3"/>
    <w:rsid w:val="002037E0"/>
    <w:rsid w:val="00203A66"/>
    <w:rsid w:val="00203AB0"/>
    <w:rsid w:val="00203AB3"/>
    <w:rsid w:val="00203B68"/>
    <w:rsid w:val="00203B81"/>
    <w:rsid w:val="00203C0E"/>
    <w:rsid w:val="00203C2D"/>
    <w:rsid w:val="00203C32"/>
    <w:rsid w:val="00203D32"/>
    <w:rsid w:val="00203D55"/>
    <w:rsid w:val="00203EC4"/>
    <w:rsid w:val="00203F17"/>
    <w:rsid w:val="0020404B"/>
    <w:rsid w:val="002040A5"/>
    <w:rsid w:val="002041CA"/>
    <w:rsid w:val="0020425B"/>
    <w:rsid w:val="002043A6"/>
    <w:rsid w:val="00204464"/>
    <w:rsid w:val="002044D1"/>
    <w:rsid w:val="002044D5"/>
    <w:rsid w:val="0020457E"/>
    <w:rsid w:val="002045CF"/>
    <w:rsid w:val="002045DD"/>
    <w:rsid w:val="002045F8"/>
    <w:rsid w:val="00204637"/>
    <w:rsid w:val="00204712"/>
    <w:rsid w:val="0020479E"/>
    <w:rsid w:val="002047FE"/>
    <w:rsid w:val="0020485C"/>
    <w:rsid w:val="00204875"/>
    <w:rsid w:val="0020498B"/>
    <w:rsid w:val="002049E2"/>
    <w:rsid w:val="002049F7"/>
    <w:rsid w:val="00204AF0"/>
    <w:rsid w:val="00204B2D"/>
    <w:rsid w:val="00204B4A"/>
    <w:rsid w:val="00204B87"/>
    <w:rsid w:val="00204C13"/>
    <w:rsid w:val="00204F3D"/>
    <w:rsid w:val="00205010"/>
    <w:rsid w:val="002050A5"/>
    <w:rsid w:val="0020531F"/>
    <w:rsid w:val="00205320"/>
    <w:rsid w:val="00205326"/>
    <w:rsid w:val="00205479"/>
    <w:rsid w:val="002055FF"/>
    <w:rsid w:val="0020565E"/>
    <w:rsid w:val="00205662"/>
    <w:rsid w:val="002056C4"/>
    <w:rsid w:val="00205710"/>
    <w:rsid w:val="00205735"/>
    <w:rsid w:val="00205765"/>
    <w:rsid w:val="002057C8"/>
    <w:rsid w:val="002058DD"/>
    <w:rsid w:val="0020598B"/>
    <w:rsid w:val="002059E1"/>
    <w:rsid w:val="00205A19"/>
    <w:rsid w:val="00205ACF"/>
    <w:rsid w:val="00205BD6"/>
    <w:rsid w:val="00205CC2"/>
    <w:rsid w:val="00205DC1"/>
    <w:rsid w:val="00205E3C"/>
    <w:rsid w:val="00205EBE"/>
    <w:rsid w:val="00205FAA"/>
    <w:rsid w:val="00205FAF"/>
    <w:rsid w:val="0020607A"/>
    <w:rsid w:val="00206091"/>
    <w:rsid w:val="00206095"/>
    <w:rsid w:val="00206109"/>
    <w:rsid w:val="00206241"/>
    <w:rsid w:val="00206266"/>
    <w:rsid w:val="002062E7"/>
    <w:rsid w:val="00206321"/>
    <w:rsid w:val="0020633D"/>
    <w:rsid w:val="002064A0"/>
    <w:rsid w:val="002064BD"/>
    <w:rsid w:val="002065A9"/>
    <w:rsid w:val="002065C7"/>
    <w:rsid w:val="00206602"/>
    <w:rsid w:val="00206656"/>
    <w:rsid w:val="00206683"/>
    <w:rsid w:val="002066B4"/>
    <w:rsid w:val="0020690B"/>
    <w:rsid w:val="0020696A"/>
    <w:rsid w:val="002069B7"/>
    <w:rsid w:val="002069F7"/>
    <w:rsid w:val="00206AED"/>
    <w:rsid w:val="00206B4F"/>
    <w:rsid w:val="00206B6F"/>
    <w:rsid w:val="00206E76"/>
    <w:rsid w:val="00207064"/>
    <w:rsid w:val="002070BE"/>
    <w:rsid w:val="002070FA"/>
    <w:rsid w:val="00207109"/>
    <w:rsid w:val="00207144"/>
    <w:rsid w:val="00207277"/>
    <w:rsid w:val="00207312"/>
    <w:rsid w:val="0020733F"/>
    <w:rsid w:val="00207380"/>
    <w:rsid w:val="002073B8"/>
    <w:rsid w:val="002073D3"/>
    <w:rsid w:val="002073F1"/>
    <w:rsid w:val="00207432"/>
    <w:rsid w:val="0020747A"/>
    <w:rsid w:val="0020749F"/>
    <w:rsid w:val="0020757F"/>
    <w:rsid w:val="0020784C"/>
    <w:rsid w:val="0020785D"/>
    <w:rsid w:val="002078F9"/>
    <w:rsid w:val="0020799B"/>
    <w:rsid w:val="002079AF"/>
    <w:rsid w:val="00207A7D"/>
    <w:rsid w:val="00207B43"/>
    <w:rsid w:val="00207B4B"/>
    <w:rsid w:val="00207BA4"/>
    <w:rsid w:val="00207C83"/>
    <w:rsid w:val="00207D2F"/>
    <w:rsid w:val="00207DD2"/>
    <w:rsid w:val="00207E54"/>
    <w:rsid w:val="00207EA7"/>
    <w:rsid w:val="00207F5D"/>
    <w:rsid w:val="0021000F"/>
    <w:rsid w:val="00210012"/>
    <w:rsid w:val="0021002A"/>
    <w:rsid w:val="002100B4"/>
    <w:rsid w:val="002100D6"/>
    <w:rsid w:val="0021013A"/>
    <w:rsid w:val="00210141"/>
    <w:rsid w:val="002101ED"/>
    <w:rsid w:val="00210209"/>
    <w:rsid w:val="0021023C"/>
    <w:rsid w:val="00210255"/>
    <w:rsid w:val="00210312"/>
    <w:rsid w:val="00210432"/>
    <w:rsid w:val="0021050A"/>
    <w:rsid w:val="002105C2"/>
    <w:rsid w:val="002105CB"/>
    <w:rsid w:val="002105CF"/>
    <w:rsid w:val="002105EA"/>
    <w:rsid w:val="00210624"/>
    <w:rsid w:val="0021064C"/>
    <w:rsid w:val="002107B0"/>
    <w:rsid w:val="002107D1"/>
    <w:rsid w:val="002107D3"/>
    <w:rsid w:val="0021090F"/>
    <w:rsid w:val="0021093A"/>
    <w:rsid w:val="0021094C"/>
    <w:rsid w:val="00210A62"/>
    <w:rsid w:val="00210AAF"/>
    <w:rsid w:val="00210AC8"/>
    <w:rsid w:val="00210ADB"/>
    <w:rsid w:val="00210AE5"/>
    <w:rsid w:val="00210BA2"/>
    <w:rsid w:val="00210BC0"/>
    <w:rsid w:val="00210BDA"/>
    <w:rsid w:val="00210C25"/>
    <w:rsid w:val="00210C93"/>
    <w:rsid w:val="00210D92"/>
    <w:rsid w:val="00210DA7"/>
    <w:rsid w:val="00210DE1"/>
    <w:rsid w:val="00210DF9"/>
    <w:rsid w:val="00210E29"/>
    <w:rsid w:val="00210E36"/>
    <w:rsid w:val="00210EF3"/>
    <w:rsid w:val="00210F8C"/>
    <w:rsid w:val="00211007"/>
    <w:rsid w:val="00211009"/>
    <w:rsid w:val="00211046"/>
    <w:rsid w:val="002110BE"/>
    <w:rsid w:val="002110CC"/>
    <w:rsid w:val="002112BD"/>
    <w:rsid w:val="0021130C"/>
    <w:rsid w:val="0021135A"/>
    <w:rsid w:val="0021145C"/>
    <w:rsid w:val="00211507"/>
    <w:rsid w:val="00211560"/>
    <w:rsid w:val="00211564"/>
    <w:rsid w:val="0021160A"/>
    <w:rsid w:val="00211616"/>
    <w:rsid w:val="0021163E"/>
    <w:rsid w:val="00211694"/>
    <w:rsid w:val="0021169C"/>
    <w:rsid w:val="002116F4"/>
    <w:rsid w:val="00211767"/>
    <w:rsid w:val="002117E1"/>
    <w:rsid w:val="00211868"/>
    <w:rsid w:val="00211989"/>
    <w:rsid w:val="00211A4B"/>
    <w:rsid w:val="00211A60"/>
    <w:rsid w:val="00211C88"/>
    <w:rsid w:val="00211CAD"/>
    <w:rsid w:val="00211D03"/>
    <w:rsid w:val="00211D58"/>
    <w:rsid w:val="00211E30"/>
    <w:rsid w:val="00211EAE"/>
    <w:rsid w:val="00211EBF"/>
    <w:rsid w:val="00211EDF"/>
    <w:rsid w:val="00211F2D"/>
    <w:rsid w:val="00211F50"/>
    <w:rsid w:val="00211F76"/>
    <w:rsid w:val="002121CB"/>
    <w:rsid w:val="002121E6"/>
    <w:rsid w:val="00212218"/>
    <w:rsid w:val="0021224E"/>
    <w:rsid w:val="002122D6"/>
    <w:rsid w:val="002123F8"/>
    <w:rsid w:val="00212442"/>
    <w:rsid w:val="00212504"/>
    <w:rsid w:val="0021258D"/>
    <w:rsid w:val="00212700"/>
    <w:rsid w:val="0021294F"/>
    <w:rsid w:val="00212AE3"/>
    <w:rsid w:val="00212AF5"/>
    <w:rsid w:val="00212B9A"/>
    <w:rsid w:val="00212C12"/>
    <w:rsid w:val="00212C31"/>
    <w:rsid w:val="00212C64"/>
    <w:rsid w:val="00212C7E"/>
    <w:rsid w:val="00212CA0"/>
    <w:rsid w:val="00212CA3"/>
    <w:rsid w:val="00212D32"/>
    <w:rsid w:val="00212F1F"/>
    <w:rsid w:val="00212FAD"/>
    <w:rsid w:val="00212FDD"/>
    <w:rsid w:val="002130AD"/>
    <w:rsid w:val="002130F2"/>
    <w:rsid w:val="002130F5"/>
    <w:rsid w:val="002130FA"/>
    <w:rsid w:val="00213180"/>
    <w:rsid w:val="00213206"/>
    <w:rsid w:val="00213220"/>
    <w:rsid w:val="00213227"/>
    <w:rsid w:val="002132BB"/>
    <w:rsid w:val="002132BF"/>
    <w:rsid w:val="002132EF"/>
    <w:rsid w:val="00213428"/>
    <w:rsid w:val="00213523"/>
    <w:rsid w:val="00213580"/>
    <w:rsid w:val="00213582"/>
    <w:rsid w:val="00213617"/>
    <w:rsid w:val="00213772"/>
    <w:rsid w:val="0021380E"/>
    <w:rsid w:val="002138EC"/>
    <w:rsid w:val="002139B4"/>
    <w:rsid w:val="00213B22"/>
    <w:rsid w:val="00213B5F"/>
    <w:rsid w:val="00213BD5"/>
    <w:rsid w:val="00213C7D"/>
    <w:rsid w:val="00213E67"/>
    <w:rsid w:val="00213ED6"/>
    <w:rsid w:val="00214152"/>
    <w:rsid w:val="002141A3"/>
    <w:rsid w:val="002141FC"/>
    <w:rsid w:val="002142D0"/>
    <w:rsid w:val="00214341"/>
    <w:rsid w:val="0021434E"/>
    <w:rsid w:val="002143D3"/>
    <w:rsid w:val="002143D5"/>
    <w:rsid w:val="00214415"/>
    <w:rsid w:val="002145C3"/>
    <w:rsid w:val="00214764"/>
    <w:rsid w:val="002147AD"/>
    <w:rsid w:val="00214803"/>
    <w:rsid w:val="0021486B"/>
    <w:rsid w:val="002148E1"/>
    <w:rsid w:val="0021491E"/>
    <w:rsid w:val="002149EE"/>
    <w:rsid w:val="00214A27"/>
    <w:rsid w:val="00214A2A"/>
    <w:rsid w:val="00214A99"/>
    <w:rsid w:val="00214B59"/>
    <w:rsid w:val="00214B5F"/>
    <w:rsid w:val="00214B72"/>
    <w:rsid w:val="00214C10"/>
    <w:rsid w:val="00214C2A"/>
    <w:rsid w:val="00214D1F"/>
    <w:rsid w:val="00214D2D"/>
    <w:rsid w:val="00214DBB"/>
    <w:rsid w:val="00214DD7"/>
    <w:rsid w:val="00214E9C"/>
    <w:rsid w:val="00214F28"/>
    <w:rsid w:val="00214F59"/>
    <w:rsid w:val="0021518E"/>
    <w:rsid w:val="002152C8"/>
    <w:rsid w:val="00215317"/>
    <w:rsid w:val="0021538B"/>
    <w:rsid w:val="00215404"/>
    <w:rsid w:val="0021554E"/>
    <w:rsid w:val="00215593"/>
    <w:rsid w:val="00215676"/>
    <w:rsid w:val="002156A0"/>
    <w:rsid w:val="0021574E"/>
    <w:rsid w:val="0021591A"/>
    <w:rsid w:val="00215A31"/>
    <w:rsid w:val="00215A3A"/>
    <w:rsid w:val="00215A58"/>
    <w:rsid w:val="00215A67"/>
    <w:rsid w:val="00215A6E"/>
    <w:rsid w:val="00215BFA"/>
    <w:rsid w:val="00215C78"/>
    <w:rsid w:val="00215D8C"/>
    <w:rsid w:val="00215EDE"/>
    <w:rsid w:val="00215EF2"/>
    <w:rsid w:val="00215F26"/>
    <w:rsid w:val="00215FCC"/>
    <w:rsid w:val="00215FE9"/>
    <w:rsid w:val="00215FED"/>
    <w:rsid w:val="00216053"/>
    <w:rsid w:val="00216124"/>
    <w:rsid w:val="0021612E"/>
    <w:rsid w:val="00216218"/>
    <w:rsid w:val="00216287"/>
    <w:rsid w:val="002162E0"/>
    <w:rsid w:val="00216311"/>
    <w:rsid w:val="0021639D"/>
    <w:rsid w:val="002163D4"/>
    <w:rsid w:val="0021646C"/>
    <w:rsid w:val="002164E7"/>
    <w:rsid w:val="00216595"/>
    <w:rsid w:val="00216598"/>
    <w:rsid w:val="002165AC"/>
    <w:rsid w:val="00216615"/>
    <w:rsid w:val="00216626"/>
    <w:rsid w:val="00216676"/>
    <w:rsid w:val="00216866"/>
    <w:rsid w:val="0021698C"/>
    <w:rsid w:val="00216A17"/>
    <w:rsid w:val="00216A42"/>
    <w:rsid w:val="00216B1F"/>
    <w:rsid w:val="00216BBD"/>
    <w:rsid w:val="00216C44"/>
    <w:rsid w:val="00216CB6"/>
    <w:rsid w:val="00216D57"/>
    <w:rsid w:val="00216E5D"/>
    <w:rsid w:val="00216E65"/>
    <w:rsid w:val="00216ED0"/>
    <w:rsid w:val="00216F4A"/>
    <w:rsid w:val="00216F92"/>
    <w:rsid w:val="00216FF0"/>
    <w:rsid w:val="00217010"/>
    <w:rsid w:val="00217066"/>
    <w:rsid w:val="002170C5"/>
    <w:rsid w:val="002170F5"/>
    <w:rsid w:val="00217128"/>
    <w:rsid w:val="002172AA"/>
    <w:rsid w:val="002173BE"/>
    <w:rsid w:val="00217439"/>
    <w:rsid w:val="002174D2"/>
    <w:rsid w:val="00217530"/>
    <w:rsid w:val="0021757C"/>
    <w:rsid w:val="0021757D"/>
    <w:rsid w:val="002175BA"/>
    <w:rsid w:val="002175F0"/>
    <w:rsid w:val="002175F4"/>
    <w:rsid w:val="00217629"/>
    <w:rsid w:val="0021766E"/>
    <w:rsid w:val="0021768D"/>
    <w:rsid w:val="0021775C"/>
    <w:rsid w:val="00217763"/>
    <w:rsid w:val="002177AA"/>
    <w:rsid w:val="00217836"/>
    <w:rsid w:val="0021788E"/>
    <w:rsid w:val="002178A3"/>
    <w:rsid w:val="002178F5"/>
    <w:rsid w:val="00217925"/>
    <w:rsid w:val="00217937"/>
    <w:rsid w:val="00217A83"/>
    <w:rsid w:val="00217B28"/>
    <w:rsid w:val="00217B87"/>
    <w:rsid w:val="00217BCE"/>
    <w:rsid w:val="00217BFD"/>
    <w:rsid w:val="00217C10"/>
    <w:rsid w:val="00217C1E"/>
    <w:rsid w:val="00217C3D"/>
    <w:rsid w:val="00217CAD"/>
    <w:rsid w:val="00217D77"/>
    <w:rsid w:val="00217E6E"/>
    <w:rsid w:val="00217F9E"/>
    <w:rsid w:val="00220038"/>
    <w:rsid w:val="0022004B"/>
    <w:rsid w:val="00220111"/>
    <w:rsid w:val="00220138"/>
    <w:rsid w:val="002202D6"/>
    <w:rsid w:val="002203DB"/>
    <w:rsid w:val="00220437"/>
    <w:rsid w:val="0022046D"/>
    <w:rsid w:val="00220510"/>
    <w:rsid w:val="00220517"/>
    <w:rsid w:val="00220563"/>
    <w:rsid w:val="00220587"/>
    <w:rsid w:val="0022066E"/>
    <w:rsid w:val="002206E2"/>
    <w:rsid w:val="00220771"/>
    <w:rsid w:val="00220775"/>
    <w:rsid w:val="00220895"/>
    <w:rsid w:val="00220910"/>
    <w:rsid w:val="0022092C"/>
    <w:rsid w:val="00220A3C"/>
    <w:rsid w:val="00220B70"/>
    <w:rsid w:val="00220BDA"/>
    <w:rsid w:val="00220BDC"/>
    <w:rsid w:val="00220C08"/>
    <w:rsid w:val="00220C35"/>
    <w:rsid w:val="00220D6D"/>
    <w:rsid w:val="00220DAF"/>
    <w:rsid w:val="00220E7A"/>
    <w:rsid w:val="00220EA3"/>
    <w:rsid w:val="00220F6F"/>
    <w:rsid w:val="00220F77"/>
    <w:rsid w:val="002210B3"/>
    <w:rsid w:val="002210EE"/>
    <w:rsid w:val="00221148"/>
    <w:rsid w:val="0022116E"/>
    <w:rsid w:val="0022125E"/>
    <w:rsid w:val="002213F7"/>
    <w:rsid w:val="00221504"/>
    <w:rsid w:val="00221508"/>
    <w:rsid w:val="0022154C"/>
    <w:rsid w:val="00221564"/>
    <w:rsid w:val="00221699"/>
    <w:rsid w:val="00221718"/>
    <w:rsid w:val="0022173F"/>
    <w:rsid w:val="0022174F"/>
    <w:rsid w:val="00221864"/>
    <w:rsid w:val="0022194C"/>
    <w:rsid w:val="0022198B"/>
    <w:rsid w:val="002219C3"/>
    <w:rsid w:val="002219C5"/>
    <w:rsid w:val="002219D6"/>
    <w:rsid w:val="00221A11"/>
    <w:rsid w:val="00221B11"/>
    <w:rsid w:val="00221C87"/>
    <w:rsid w:val="00221C88"/>
    <w:rsid w:val="00221D10"/>
    <w:rsid w:val="00221D2A"/>
    <w:rsid w:val="00221D2C"/>
    <w:rsid w:val="00221E1C"/>
    <w:rsid w:val="00221E9B"/>
    <w:rsid w:val="00222025"/>
    <w:rsid w:val="00222035"/>
    <w:rsid w:val="00222036"/>
    <w:rsid w:val="00222119"/>
    <w:rsid w:val="002221E4"/>
    <w:rsid w:val="002222EE"/>
    <w:rsid w:val="002222F5"/>
    <w:rsid w:val="00222372"/>
    <w:rsid w:val="00222397"/>
    <w:rsid w:val="0022241F"/>
    <w:rsid w:val="00222470"/>
    <w:rsid w:val="002224C2"/>
    <w:rsid w:val="002224ED"/>
    <w:rsid w:val="002224F5"/>
    <w:rsid w:val="002224F8"/>
    <w:rsid w:val="002225C4"/>
    <w:rsid w:val="002225FC"/>
    <w:rsid w:val="0022267B"/>
    <w:rsid w:val="002226A4"/>
    <w:rsid w:val="002227E6"/>
    <w:rsid w:val="0022281D"/>
    <w:rsid w:val="00222859"/>
    <w:rsid w:val="00222911"/>
    <w:rsid w:val="00222B1C"/>
    <w:rsid w:val="00222B1D"/>
    <w:rsid w:val="00222BC0"/>
    <w:rsid w:val="00222C3D"/>
    <w:rsid w:val="00222CB5"/>
    <w:rsid w:val="00222D31"/>
    <w:rsid w:val="00222E07"/>
    <w:rsid w:val="00222F02"/>
    <w:rsid w:val="00222F13"/>
    <w:rsid w:val="00222F1B"/>
    <w:rsid w:val="00222F4B"/>
    <w:rsid w:val="00223034"/>
    <w:rsid w:val="0022308D"/>
    <w:rsid w:val="0022312E"/>
    <w:rsid w:val="00223173"/>
    <w:rsid w:val="002231B9"/>
    <w:rsid w:val="00223286"/>
    <w:rsid w:val="0022331F"/>
    <w:rsid w:val="002233F4"/>
    <w:rsid w:val="00223448"/>
    <w:rsid w:val="002234E2"/>
    <w:rsid w:val="002234E5"/>
    <w:rsid w:val="002234E9"/>
    <w:rsid w:val="002234FD"/>
    <w:rsid w:val="00223568"/>
    <w:rsid w:val="002235A2"/>
    <w:rsid w:val="0022364E"/>
    <w:rsid w:val="002236CE"/>
    <w:rsid w:val="002236EC"/>
    <w:rsid w:val="002236F4"/>
    <w:rsid w:val="00223760"/>
    <w:rsid w:val="00223794"/>
    <w:rsid w:val="00223824"/>
    <w:rsid w:val="00223848"/>
    <w:rsid w:val="002238A0"/>
    <w:rsid w:val="002238F0"/>
    <w:rsid w:val="00223956"/>
    <w:rsid w:val="00223BB8"/>
    <w:rsid w:val="00223C0F"/>
    <w:rsid w:val="00223C14"/>
    <w:rsid w:val="00223C22"/>
    <w:rsid w:val="00223C75"/>
    <w:rsid w:val="00223C79"/>
    <w:rsid w:val="00223CF0"/>
    <w:rsid w:val="00223D41"/>
    <w:rsid w:val="00223D4A"/>
    <w:rsid w:val="00223D97"/>
    <w:rsid w:val="00223DAF"/>
    <w:rsid w:val="00223E1B"/>
    <w:rsid w:val="00223F33"/>
    <w:rsid w:val="00223F8F"/>
    <w:rsid w:val="00223FC2"/>
    <w:rsid w:val="00224068"/>
    <w:rsid w:val="00224085"/>
    <w:rsid w:val="002240E3"/>
    <w:rsid w:val="00224109"/>
    <w:rsid w:val="00224225"/>
    <w:rsid w:val="00224240"/>
    <w:rsid w:val="00224287"/>
    <w:rsid w:val="002242ED"/>
    <w:rsid w:val="00224310"/>
    <w:rsid w:val="002243D0"/>
    <w:rsid w:val="00224408"/>
    <w:rsid w:val="0022450A"/>
    <w:rsid w:val="0022450E"/>
    <w:rsid w:val="00224577"/>
    <w:rsid w:val="0022457A"/>
    <w:rsid w:val="00224632"/>
    <w:rsid w:val="002246B7"/>
    <w:rsid w:val="002246BE"/>
    <w:rsid w:val="00224729"/>
    <w:rsid w:val="0022479F"/>
    <w:rsid w:val="002248A9"/>
    <w:rsid w:val="00224954"/>
    <w:rsid w:val="002249A6"/>
    <w:rsid w:val="00224A07"/>
    <w:rsid w:val="00224ABD"/>
    <w:rsid w:val="00224AD0"/>
    <w:rsid w:val="00224AD8"/>
    <w:rsid w:val="00224B49"/>
    <w:rsid w:val="00224B97"/>
    <w:rsid w:val="00224BE1"/>
    <w:rsid w:val="00224BE9"/>
    <w:rsid w:val="00224C1A"/>
    <w:rsid w:val="00224C60"/>
    <w:rsid w:val="00224CDF"/>
    <w:rsid w:val="00224D55"/>
    <w:rsid w:val="00224DB4"/>
    <w:rsid w:val="00224DE4"/>
    <w:rsid w:val="00224DF5"/>
    <w:rsid w:val="00224E24"/>
    <w:rsid w:val="00224E76"/>
    <w:rsid w:val="00224F77"/>
    <w:rsid w:val="00224F7E"/>
    <w:rsid w:val="0022506B"/>
    <w:rsid w:val="0022507A"/>
    <w:rsid w:val="00225082"/>
    <w:rsid w:val="0022511F"/>
    <w:rsid w:val="00225121"/>
    <w:rsid w:val="0022523D"/>
    <w:rsid w:val="00225269"/>
    <w:rsid w:val="002252C4"/>
    <w:rsid w:val="002253D1"/>
    <w:rsid w:val="0022540F"/>
    <w:rsid w:val="0022550B"/>
    <w:rsid w:val="002255DB"/>
    <w:rsid w:val="0022561B"/>
    <w:rsid w:val="002256F0"/>
    <w:rsid w:val="00225781"/>
    <w:rsid w:val="002257A7"/>
    <w:rsid w:val="00225802"/>
    <w:rsid w:val="00225841"/>
    <w:rsid w:val="00225889"/>
    <w:rsid w:val="0022589D"/>
    <w:rsid w:val="002259E5"/>
    <w:rsid w:val="00225A1C"/>
    <w:rsid w:val="00225A95"/>
    <w:rsid w:val="00225B6B"/>
    <w:rsid w:val="00225B76"/>
    <w:rsid w:val="00225B96"/>
    <w:rsid w:val="00225BA3"/>
    <w:rsid w:val="00225C40"/>
    <w:rsid w:val="00225CCB"/>
    <w:rsid w:val="00225D47"/>
    <w:rsid w:val="00225D5D"/>
    <w:rsid w:val="00225DB1"/>
    <w:rsid w:val="00225E06"/>
    <w:rsid w:val="00225E30"/>
    <w:rsid w:val="00225EB3"/>
    <w:rsid w:val="00225F31"/>
    <w:rsid w:val="00225FC1"/>
    <w:rsid w:val="002260E3"/>
    <w:rsid w:val="00226104"/>
    <w:rsid w:val="0022614F"/>
    <w:rsid w:val="0022616B"/>
    <w:rsid w:val="0022623B"/>
    <w:rsid w:val="00226321"/>
    <w:rsid w:val="00226329"/>
    <w:rsid w:val="002263CD"/>
    <w:rsid w:val="0022668C"/>
    <w:rsid w:val="00226694"/>
    <w:rsid w:val="00226789"/>
    <w:rsid w:val="0022681C"/>
    <w:rsid w:val="0022683D"/>
    <w:rsid w:val="00226909"/>
    <w:rsid w:val="00226A2D"/>
    <w:rsid w:val="00226A49"/>
    <w:rsid w:val="00226A6E"/>
    <w:rsid w:val="00226AF7"/>
    <w:rsid w:val="00226B8D"/>
    <w:rsid w:val="00226C17"/>
    <w:rsid w:val="00226EDF"/>
    <w:rsid w:val="00226FE1"/>
    <w:rsid w:val="002270B4"/>
    <w:rsid w:val="00227191"/>
    <w:rsid w:val="002272A0"/>
    <w:rsid w:val="00227324"/>
    <w:rsid w:val="00227342"/>
    <w:rsid w:val="002274BF"/>
    <w:rsid w:val="00227586"/>
    <w:rsid w:val="002275D3"/>
    <w:rsid w:val="00227606"/>
    <w:rsid w:val="0022777C"/>
    <w:rsid w:val="00227790"/>
    <w:rsid w:val="002277A4"/>
    <w:rsid w:val="0022786E"/>
    <w:rsid w:val="002279F5"/>
    <w:rsid w:val="00227AB6"/>
    <w:rsid w:val="00227AC9"/>
    <w:rsid w:val="00227D2D"/>
    <w:rsid w:val="00227D50"/>
    <w:rsid w:val="00227D5E"/>
    <w:rsid w:val="00227DBD"/>
    <w:rsid w:val="00227E03"/>
    <w:rsid w:val="00227E29"/>
    <w:rsid w:val="00227EEF"/>
    <w:rsid w:val="00227F4A"/>
    <w:rsid w:val="00227F51"/>
    <w:rsid w:val="00227FC3"/>
    <w:rsid w:val="00230021"/>
    <w:rsid w:val="002301CA"/>
    <w:rsid w:val="002301FA"/>
    <w:rsid w:val="0023020F"/>
    <w:rsid w:val="00230214"/>
    <w:rsid w:val="002302B9"/>
    <w:rsid w:val="002302C3"/>
    <w:rsid w:val="00230313"/>
    <w:rsid w:val="002303AC"/>
    <w:rsid w:val="00230558"/>
    <w:rsid w:val="00230595"/>
    <w:rsid w:val="0023065A"/>
    <w:rsid w:val="00230705"/>
    <w:rsid w:val="00230814"/>
    <w:rsid w:val="00230834"/>
    <w:rsid w:val="00230846"/>
    <w:rsid w:val="00230911"/>
    <w:rsid w:val="0023092C"/>
    <w:rsid w:val="00230A8C"/>
    <w:rsid w:val="00230AB6"/>
    <w:rsid w:val="00230AC5"/>
    <w:rsid w:val="00230AFB"/>
    <w:rsid w:val="00230BAC"/>
    <w:rsid w:val="00230C6E"/>
    <w:rsid w:val="00230CD1"/>
    <w:rsid w:val="00230D4D"/>
    <w:rsid w:val="00230DF6"/>
    <w:rsid w:val="00230E04"/>
    <w:rsid w:val="00230E49"/>
    <w:rsid w:val="00230E68"/>
    <w:rsid w:val="00230EE4"/>
    <w:rsid w:val="00230FC5"/>
    <w:rsid w:val="00231084"/>
    <w:rsid w:val="002310A5"/>
    <w:rsid w:val="00231131"/>
    <w:rsid w:val="002311F3"/>
    <w:rsid w:val="00231239"/>
    <w:rsid w:val="00231301"/>
    <w:rsid w:val="0023130F"/>
    <w:rsid w:val="002313AC"/>
    <w:rsid w:val="002313B2"/>
    <w:rsid w:val="002313FC"/>
    <w:rsid w:val="0023142C"/>
    <w:rsid w:val="00231491"/>
    <w:rsid w:val="002314C1"/>
    <w:rsid w:val="002314F0"/>
    <w:rsid w:val="002314F8"/>
    <w:rsid w:val="00231519"/>
    <w:rsid w:val="00231558"/>
    <w:rsid w:val="002316DB"/>
    <w:rsid w:val="002317AE"/>
    <w:rsid w:val="002317C3"/>
    <w:rsid w:val="00231882"/>
    <w:rsid w:val="002318BA"/>
    <w:rsid w:val="002319E5"/>
    <w:rsid w:val="002319F6"/>
    <w:rsid w:val="00231A8C"/>
    <w:rsid w:val="00231A92"/>
    <w:rsid w:val="00231B70"/>
    <w:rsid w:val="00231B8A"/>
    <w:rsid w:val="00231BAE"/>
    <w:rsid w:val="00231C57"/>
    <w:rsid w:val="00231C76"/>
    <w:rsid w:val="00231C92"/>
    <w:rsid w:val="00231CC6"/>
    <w:rsid w:val="00231D14"/>
    <w:rsid w:val="00231E43"/>
    <w:rsid w:val="00231ED5"/>
    <w:rsid w:val="00231F1A"/>
    <w:rsid w:val="002321A7"/>
    <w:rsid w:val="002321B5"/>
    <w:rsid w:val="0023229F"/>
    <w:rsid w:val="002322B0"/>
    <w:rsid w:val="002323F7"/>
    <w:rsid w:val="0023245C"/>
    <w:rsid w:val="00232467"/>
    <w:rsid w:val="00232475"/>
    <w:rsid w:val="00232529"/>
    <w:rsid w:val="00232542"/>
    <w:rsid w:val="00232623"/>
    <w:rsid w:val="00232695"/>
    <w:rsid w:val="00232787"/>
    <w:rsid w:val="002327B0"/>
    <w:rsid w:val="002327E6"/>
    <w:rsid w:val="002328D8"/>
    <w:rsid w:val="002329E4"/>
    <w:rsid w:val="00232AA7"/>
    <w:rsid w:val="00232B7C"/>
    <w:rsid w:val="00232B84"/>
    <w:rsid w:val="00232BA5"/>
    <w:rsid w:val="00232BD2"/>
    <w:rsid w:val="00232C20"/>
    <w:rsid w:val="00232C43"/>
    <w:rsid w:val="00232C95"/>
    <w:rsid w:val="00232C97"/>
    <w:rsid w:val="00232CA4"/>
    <w:rsid w:val="00232CEA"/>
    <w:rsid w:val="00232E87"/>
    <w:rsid w:val="00232ED5"/>
    <w:rsid w:val="00232F30"/>
    <w:rsid w:val="00232F54"/>
    <w:rsid w:val="00233002"/>
    <w:rsid w:val="0023305C"/>
    <w:rsid w:val="002330C5"/>
    <w:rsid w:val="002330D3"/>
    <w:rsid w:val="00233153"/>
    <w:rsid w:val="0023315B"/>
    <w:rsid w:val="00233169"/>
    <w:rsid w:val="00233188"/>
    <w:rsid w:val="002331CE"/>
    <w:rsid w:val="002331ED"/>
    <w:rsid w:val="002332E1"/>
    <w:rsid w:val="0023332B"/>
    <w:rsid w:val="00233436"/>
    <w:rsid w:val="00233451"/>
    <w:rsid w:val="002334AF"/>
    <w:rsid w:val="0023352A"/>
    <w:rsid w:val="0023353C"/>
    <w:rsid w:val="00233606"/>
    <w:rsid w:val="00233615"/>
    <w:rsid w:val="0023367C"/>
    <w:rsid w:val="002336D5"/>
    <w:rsid w:val="002336DE"/>
    <w:rsid w:val="00233718"/>
    <w:rsid w:val="00233775"/>
    <w:rsid w:val="002337EA"/>
    <w:rsid w:val="00233851"/>
    <w:rsid w:val="002338E5"/>
    <w:rsid w:val="002339EA"/>
    <w:rsid w:val="00233A0B"/>
    <w:rsid w:val="00233A4F"/>
    <w:rsid w:val="00233AFC"/>
    <w:rsid w:val="00233B63"/>
    <w:rsid w:val="00233BF4"/>
    <w:rsid w:val="00233C36"/>
    <w:rsid w:val="00233C8E"/>
    <w:rsid w:val="00233CD6"/>
    <w:rsid w:val="00233D17"/>
    <w:rsid w:val="00233D7E"/>
    <w:rsid w:val="00233DA8"/>
    <w:rsid w:val="00233E01"/>
    <w:rsid w:val="00233E46"/>
    <w:rsid w:val="00233E70"/>
    <w:rsid w:val="00233ED2"/>
    <w:rsid w:val="00233F0E"/>
    <w:rsid w:val="00233F2D"/>
    <w:rsid w:val="00233F8D"/>
    <w:rsid w:val="00234091"/>
    <w:rsid w:val="002340BE"/>
    <w:rsid w:val="0023411C"/>
    <w:rsid w:val="00234141"/>
    <w:rsid w:val="0023417B"/>
    <w:rsid w:val="0023422F"/>
    <w:rsid w:val="0023423C"/>
    <w:rsid w:val="002342B4"/>
    <w:rsid w:val="00234308"/>
    <w:rsid w:val="002343B1"/>
    <w:rsid w:val="002343C1"/>
    <w:rsid w:val="00234419"/>
    <w:rsid w:val="00234428"/>
    <w:rsid w:val="00234526"/>
    <w:rsid w:val="00234528"/>
    <w:rsid w:val="0023455F"/>
    <w:rsid w:val="00234591"/>
    <w:rsid w:val="002345CE"/>
    <w:rsid w:val="0023469F"/>
    <w:rsid w:val="00234793"/>
    <w:rsid w:val="00234917"/>
    <w:rsid w:val="002349C1"/>
    <w:rsid w:val="00234B04"/>
    <w:rsid w:val="00234B46"/>
    <w:rsid w:val="00234B93"/>
    <w:rsid w:val="00234BCD"/>
    <w:rsid w:val="00234BE2"/>
    <w:rsid w:val="00234CE6"/>
    <w:rsid w:val="00234D22"/>
    <w:rsid w:val="00234D94"/>
    <w:rsid w:val="00234DB0"/>
    <w:rsid w:val="00234E12"/>
    <w:rsid w:val="00234E37"/>
    <w:rsid w:val="00234E79"/>
    <w:rsid w:val="00234FD6"/>
    <w:rsid w:val="002350AB"/>
    <w:rsid w:val="002352AF"/>
    <w:rsid w:val="0023535D"/>
    <w:rsid w:val="00235415"/>
    <w:rsid w:val="0023541B"/>
    <w:rsid w:val="00235445"/>
    <w:rsid w:val="0023548F"/>
    <w:rsid w:val="00235527"/>
    <w:rsid w:val="0023561D"/>
    <w:rsid w:val="0023565E"/>
    <w:rsid w:val="0023569B"/>
    <w:rsid w:val="002356A1"/>
    <w:rsid w:val="00235710"/>
    <w:rsid w:val="00235793"/>
    <w:rsid w:val="002358BF"/>
    <w:rsid w:val="002358FD"/>
    <w:rsid w:val="00235903"/>
    <w:rsid w:val="00235982"/>
    <w:rsid w:val="002359F5"/>
    <w:rsid w:val="00235B68"/>
    <w:rsid w:val="00235BA8"/>
    <w:rsid w:val="00235D1B"/>
    <w:rsid w:val="00235D5D"/>
    <w:rsid w:val="00235DD5"/>
    <w:rsid w:val="00235E40"/>
    <w:rsid w:val="00235E80"/>
    <w:rsid w:val="00235E89"/>
    <w:rsid w:val="00235EA4"/>
    <w:rsid w:val="00235EDE"/>
    <w:rsid w:val="00235F44"/>
    <w:rsid w:val="00235FD3"/>
    <w:rsid w:val="002360FF"/>
    <w:rsid w:val="0023612A"/>
    <w:rsid w:val="002361B6"/>
    <w:rsid w:val="002361FF"/>
    <w:rsid w:val="0023625A"/>
    <w:rsid w:val="002362DB"/>
    <w:rsid w:val="00236391"/>
    <w:rsid w:val="0023642B"/>
    <w:rsid w:val="0023643E"/>
    <w:rsid w:val="0023646B"/>
    <w:rsid w:val="002364C8"/>
    <w:rsid w:val="00236613"/>
    <w:rsid w:val="0023662C"/>
    <w:rsid w:val="00236643"/>
    <w:rsid w:val="002366A8"/>
    <w:rsid w:val="002366C4"/>
    <w:rsid w:val="002367A8"/>
    <w:rsid w:val="0023685C"/>
    <w:rsid w:val="0023685F"/>
    <w:rsid w:val="00236868"/>
    <w:rsid w:val="002368A8"/>
    <w:rsid w:val="002368BD"/>
    <w:rsid w:val="00236937"/>
    <w:rsid w:val="0023697B"/>
    <w:rsid w:val="00236997"/>
    <w:rsid w:val="00236BB2"/>
    <w:rsid w:val="00236C28"/>
    <w:rsid w:val="00236C39"/>
    <w:rsid w:val="00236C93"/>
    <w:rsid w:val="00236C99"/>
    <w:rsid w:val="00236CA9"/>
    <w:rsid w:val="00236D0D"/>
    <w:rsid w:val="00236D7C"/>
    <w:rsid w:val="00236DA8"/>
    <w:rsid w:val="00236DC8"/>
    <w:rsid w:val="00236EAA"/>
    <w:rsid w:val="00236EBD"/>
    <w:rsid w:val="00236ED5"/>
    <w:rsid w:val="00236F6A"/>
    <w:rsid w:val="00236FC2"/>
    <w:rsid w:val="00236FE8"/>
    <w:rsid w:val="00236FFE"/>
    <w:rsid w:val="0023700F"/>
    <w:rsid w:val="002370E4"/>
    <w:rsid w:val="00237148"/>
    <w:rsid w:val="00237203"/>
    <w:rsid w:val="00237290"/>
    <w:rsid w:val="002372C3"/>
    <w:rsid w:val="002373D0"/>
    <w:rsid w:val="002373F9"/>
    <w:rsid w:val="0023743A"/>
    <w:rsid w:val="00237452"/>
    <w:rsid w:val="00237486"/>
    <w:rsid w:val="002374D7"/>
    <w:rsid w:val="00237507"/>
    <w:rsid w:val="00237602"/>
    <w:rsid w:val="0023763A"/>
    <w:rsid w:val="00237664"/>
    <w:rsid w:val="0023772A"/>
    <w:rsid w:val="00237800"/>
    <w:rsid w:val="00237848"/>
    <w:rsid w:val="00237886"/>
    <w:rsid w:val="002378F1"/>
    <w:rsid w:val="0023795C"/>
    <w:rsid w:val="00237976"/>
    <w:rsid w:val="00237991"/>
    <w:rsid w:val="0023799B"/>
    <w:rsid w:val="00237A06"/>
    <w:rsid w:val="00237A4D"/>
    <w:rsid w:val="00237AB3"/>
    <w:rsid w:val="00237B71"/>
    <w:rsid w:val="00237BFA"/>
    <w:rsid w:val="00237DC4"/>
    <w:rsid w:val="00237DCB"/>
    <w:rsid w:val="00237DD5"/>
    <w:rsid w:val="00237E04"/>
    <w:rsid w:val="00237E79"/>
    <w:rsid w:val="00237ECE"/>
    <w:rsid w:val="00237FC8"/>
    <w:rsid w:val="00237FD9"/>
    <w:rsid w:val="00237FFD"/>
    <w:rsid w:val="0024018F"/>
    <w:rsid w:val="002401DE"/>
    <w:rsid w:val="002402B6"/>
    <w:rsid w:val="002402EF"/>
    <w:rsid w:val="0024030B"/>
    <w:rsid w:val="0024030D"/>
    <w:rsid w:val="002403A5"/>
    <w:rsid w:val="002403BF"/>
    <w:rsid w:val="0024047A"/>
    <w:rsid w:val="002404A6"/>
    <w:rsid w:val="002404AF"/>
    <w:rsid w:val="0024050A"/>
    <w:rsid w:val="002405E6"/>
    <w:rsid w:val="0024063E"/>
    <w:rsid w:val="002406C4"/>
    <w:rsid w:val="002406CA"/>
    <w:rsid w:val="00240797"/>
    <w:rsid w:val="002408CF"/>
    <w:rsid w:val="00240A72"/>
    <w:rsid w:val="00240B4E"/>
    <w:rsid w:val="00240BFF"/>
    <w:rsid w:val="00240C92"/>
    <w:rsid w:val="00240D7C"/>
    <w:rsid w:val="00240E96"/>
    <w:rsid w:val="00240F51"/>
    <w:rsid w:val="00240F72"/>
    <w:rsid w:val="00240FF6"/>
    <w:rsid w:val="002410D1"/>
    <w:rsid w:val="00241197"/>
    <w:rsid w:val="00241316"/>
    <w:rsid w:val="0024134F"/>
    <w:rsid w:val="002413DC"/>
    <w:rsid w:val="0024143F"/>
    <w:rsid w:val="0024144A"/>
    <w:rsid w:val="00241466"/>
    <w:rsid w:val="0024149C"/>
    <w:rsid w:val="002414A4"/>
    <w:rsid w:val="002414A7"/>
    <w:rsid w:val="0024150D"/>
    <w:rsid w:val="0024156C"/>
    <w:rsid w:val="002415A3"/>
    <w:rsid w:val="00241663"/>
    <w:rsid w:val="00241666"/>
    <w:rsid w:val="002416A4"/>
    <w:rsid w:val="00241736"/>
    <w:rsid w:val="002417ED"/>
    <w:rsid w:val="00241814"/>
    <w:rsid w:val="00241882"/>
    <w:rsid w:val="002418CE"/>
    <w:rsid w:val="002418F6"/>
    <w:rsid w:val="00241968"/>
    <w:rsid w:val="00241985"/>
    <w:rsid w:val="002419E9"/>
    <w:rsid w:val="00241A14"/>
    <w:rsid w:val="00241B85"/>
    <w:rsid w:val="00241C32"/>
    <w:rsid w:val="00241D08"/>
    <w:rsid w:val="00241D38"/>
    <w:rsid w:val="00241E16"/>
    <w:rsid w:val="00241E38"/>
    <w:rsid w:val="00241E42"/>
    <w:rsid w:val="00241E59"/>
    <w:rsid w:val="00241E82"/>
    <w:rsid w:val="00241FA1"/>
    <w:rsid w:val="002420EC"/>
    <w:rsid w:val="0024210D"/>
    <w:rsid w:val="002421C5"/>
    <w:rsid w:val="00242229"/>
    <w:rsid w:val="002422A4"/>
    <w:rsid w:val="002422D7"/>
    <w:rsid w:val="00242307"/>
    <w:rsid w:val="00242455"/>
    <w:rsid w:val="0024245C"/>
    <w:rsid w:val="00242596"/>
    <w:rsid w:val="002425C3"/>
    <w:rsid w:val="002425C5"/>
    <w:rsid w:val="00242606"/>
    <w:rsid w:val="0024267A"/>
    <w:rsid w:val="00242703"/>
    <w:rsid w:val="0024294D"/>
    <w:rsid w:val="00242A9E"/>
    <w:rsid w:val="00242ACA"/>
    <w:rsid w:val="00242B27"/>
    <w:rsid w:val="00242B2B"/>
    <w:rsid w:val="00242B52"/>
    <w:rsid w:val="00242B89"/>
    <w:rsid w:val="00242B9E"/>
    <w:rsid w:val="00242C7B"/>
    <w:rsid w:val="00242DA8"/>
    <w:rsid w:val="00242E13"/>
    <w:rsid w:val="00242EE5"/>
    <w:rsid w:val="00242FCA"/>
    <w:rsid w:val="0024318D"/>
    <w:rsid w:val="002431CE"/>
    <w:rsid w:val="00243242"/>
    <w:rsid w:val="00243350"/>
    <w:rsid w:val="00243404"/>
    <w:rsid w:val="002434C4"/>
    <w:rsid w:val="00243512"/>
    <w:rsid w:val="002435E5"/>
    <w:rsid w:val="002435FE"/>
    <w:rsid w:val="00243625"/>
    <w:rsid w:val="00243708"/>
    <w:rsid w:val="00243724"/>
    <w:rsid w:val="00243752"/>
    <w:rsid w:val="0024379C"/>
    <w:rsid w:val="002437FE"/>
    <w:rsid w:val="002438DA"/>
    <w:rsid w:val="00243915"/>
    <w:rsid w:val="0024394D"/>
    <w:rsid w:val="00243A5C"/>
    <w:rsid w:val="00243A73"/>
    <w:rsid w:val="00243A95"/>
    <w:rsid w:val="00243BAE"/>
    <w:rsid w:val="00243C38"/>
    <w:rsid w:val="00243C75"/>
    <w:rsid w:val="00243CDF"/>
    <w:rsid w:val="00243D64"/>
    <w:rsid w:val="00243E1A"/>
    <w:rsid w:val="00243E22"/>
    <w:rsid w:val="0024407A"/>
    <w:rsid w:val="002440BC"/>
    <w:rsid w:val="002441C4"/>
    <w:rsid w:val="0024420D"/>
    <w:rsid w:val="0024428A"/>
    <w:rsid w:val="002442A7"/>
    <w:rsid w:val="00244345"/>
    <w:rsid w:val="0024439C"/>
    <w:rsid w:val="002443AF"/>
    <w:rsid w:val="00244429"/>
    <w:rsid w:val="00244459"/>
    <w:rsid w:val="0024445A"/>
    <w:rsid w:val="00244541"/>
    <w:rsid w:val="00244660"/>
    <w:rsid w:val="002446F7"/>
    <w:rsid w:val="00244750"/>
    <w:rsid w:val="00244799"/>
    <w:rsid w:val="002447FE"/>
    <w:rsid w:val="0024494B"/>
    <w:rsid w:val="00244994"/>
    <w:rsid w:val="002449CF"/>
    <w:rsid w:val="00244B60"/>
    <w:rsid w:val="00244CB8"/>
    <w:rsid w:val="00244CF7"/>
    <w:rsid w:val="00244D82"/>
    <w:rsid w:val="00244F1A"/>
    <w:rsid w:val="00244FBF"/>
    <w:rsid w:val="00245005"/>
    <w:rsid w:val="00245036"/>
    <w:rsid w:val="0024508E"/>
    <w:rsid w:val="0024511F"/>
    <w:rsid w:val="00245195"/>
    <w:rsid w:val="002451B9"/>
    <w:rsid w:val="0024523B"/>
    <w:rsid w:val="00245259"/>
    <w:rsid w:val="002452AA"/>
    <w:rsid w:val="0024537C"/>
    <w:rsid w:val="002454D5"/>
    <w:rsid w:val="0024552F"/>
    <w:rsid w:val="00245549"/>
    <w:rsid w:val="00245591"/>
    <w:rsid w:val="002455A5"/>
    <w:rsid w:val="0024567F"/>
    <w:rsid w:val="00245724"/>
    <w:rsid w:val="00245749"/>
    <w:rsid w:val="0024576B"/>
    <w:rsid w:val="002458CA"/>
    <w:rsid w:val="00245957"/>
    <w:rsid w:val="00245A1A"/>
    <w:rsid w:val="00245A8A"/>
    <w:rsid w:val="00245BED"/>
    <w:rsid w:val="00245CFE"/>
    <w:rsid w:val="00245EB9"/>
    <w:rsid w:val="00245F7C"/>
    <w:rsid w:val="00245FDD"/>
    <w:rsid w:val="00246105"/>
    <w:rsid w:val="002462BB"/>
    <w:rsid w:val="002462BE"/>
    <w:rsid w:val="00246419"/>
    <w:rsid w:val="00246449"/>
    <w:rsid w:val="00246493"/>
    <w:rsid w:val="002464CF"/>
    <w:rsid w:val="0024651F"/>
    <w:rsid w:val="0024652C"/>
    <w:rsid w:val="002465B8"/>
    <w:rsid w:val="00246647"/>
    <w:rsid w:val="002467B1"/>
    <w:rsid w:val="002467C9"/>
    <w:rsid w:val="002468FE"/>
    <w:rsid w:val="0024696E"/>
    <w:rsid w:val="0024699F"/>
    <w:rsid w:val="00246A1A"/>
    <w:rsid w:val="00246A51"/>
    <w:rsid w:val="00246BA4"/>
    <w:rsid w:val="00246BF8"/>
    <w:rsid w:val="00246C31"/>
    <w:rsid w:val="00246C5C"/>
    <w:rsid w:val="00246CCA"/>
    <w:rsid w:val="00246CCB"/>
    <w:rsid w:val="00246D14"/>
    <w:rsid w:val="00246D52"/>
    <w:rsid w:val="00246DF5"/>
    <w:rsid w:val="00246E64"/>
    <w:rsid w:val="00246E6D"/>
    <w:rsid w:val="00246E72"/>
    <w:rsid w:val="00246F1B"/>
    <w:rsid w:val="00246FD7"/>
    <w:rsid w:val="0024702E"/>
    <w:rsid w:val="00247110"/>
    <w:rsid w:val="00247220"/>
    <w:rsid w:val="002472A5"/>
    <w:rsid w:val="002473B3"/>
    <w:rsid w:val="00247413"/>
    <w:rsid w:val="00247521"/>
    <w:rsid w:val="00247619"/>
    <w:rsid w:val="0024792D"/>
    <w:rsid w:val="00247961"/>
    <w:rsid w:val="00247A30"/>
    <w:rsid w:val="00247A3A"/>
    <w:rsid w:val="00247A51"/>
    <w:rsid w:val="00247A94"/>
    <w:rsid w:val="00247C17"/>
    <w:rsid w:val="00247C42"/>
    <w:rsid w:val="00247C59"/>
    <w:rsid w:val="00247C9E"/>
    <w:rsid w:val="00247CA1"/>
    <w:rsid w:val="00247D22"/>
    <w:rsid w:val="00247D25"/>
    <w:rsid w:val="00247DD6"/>
    <w:rsid w:val="00247E1C"/>
    <w:rsid w:val="00247F3F"/>
    <w:rsid w:val="00247F5C"/>
    <w:rsid w:val="0025014E"/>
    <w:rsid w:val="00250163"/>
    <w:rsid w:val="002501E9"/>
    <w:rsid w:val="0025024E"/>
    <w:rsid w:val="0025026B"/>
    <w:rsid w:val="00250288"/>
    <w:rsid w:val="002502AD"/>
    <w:rsid w:val="002502CE"/>
    <w:rsid w:val="00250366"/>
    <w:rsid w:val="0025049D"/>
    <w:rsid w:val="0025049F"/>
    <w:rsid w:val="002504AB"/>
    <w:rsid w:val="0025050B"/>
    <w:rsid w:val="00250547"/>
    <w:rsid w:val="002505C5"/>
    <w:rsid w:val="002505F6"/>
    <w:rsid w:val="002505FD"/>
    <w:rsid w:val="0025068F"/>
    <w:rsid w:val="002506E6"/>
    <w:rsid w:val="00250706"/>
    <w:rsid w:val="0025071B"/>
    <w:rsid w:val="00250750"/>
    <w:rsid w:val="0025077C"/>
    <w:rsid w:val="002507C0"/>
    <w:rsid w:val="00250B10"/>
    <w:rsid w:val="00250BD9"/>
    <w:rsid w:val="00250BEB"/>
    <w:rsid w:val="00250CF8"/>
    <w:rsid w:val="00250D5F"/>
    <w:rsid w:val="00250DC7"/>
    <w:rsid w:val="00250EC7"/>
    <w:rsid w:val="00250F06"/>
    <w:rsid w:val="002510B2"/>
    <w:rsid w:val="002510F5"/>
    <w:rsid w:val="00251263"/>
    <w:rsid w:val="002512E5"/>
    <w:rsid w:val="00251451"/>
    <w:rsid w:val="0025148B"/>
    <w:rsid w:val="00251561"/>
    <w:rsid w:val="00251625"/>
    <w:rsid w:val="0025169D"/>
    <w:rsid w:val="00251770"/>
    <w:rsid w:val="0025177B"/>
    <w:rsid w:val="00251887"/>
    <w:rsid w:val="002518A7"/>
    <w:rsid w:val="002519DF"/>
    <w:rsid w:val="00251AB6"/>
    <w:rsid w:val="00251B08"/>
    <w:rsid w:val="00251B9E"/>
    <w:rsid w:val="00251BF0"/>
    <w:rsid w:val="00251C60"/>
    <w:rsid w:val="00251CAF"/>
    <w:rsid w:val="00251CF6"/>
    <w:rsid w:val="00251DF0"/>
    <w:rsid w:val="00251EC7"/>
    <w:rsid w:val="00251EE0"/>
    <w:rsid w:val="00251EF4"/>
    <w:rsid w:val="00251F59"/>
    <w:rsid w:val="00251FB7"/>
    <w:rsid w:val="00251FF2"/>
    <w:rsid w:val="00252062"/>
    <w:rsid w:val="00252085"/>
    <w:rsid w:val="002520E8"/>
    <w:rsid w:val="00252152"/>
    <w:rsid w:val="00252189"/>
    <w:rsid w:val="0025227D"/>
    <w:rsid w:val="002522D4"/>
    <w:rsid w:val="002523A5"/>
    <w:rsid w:val="002523DC"/>
    <w:rsid w:val="002524D6"/>
    <w:rsid w:val="0025255C"/>
    <w:rsid w:val="00252591"/>
    <w:rsid w:val="002525A7"/>
    <w:rsid w:val="002525A8"/>
    <w:rsid w:val="002525E7"/>
    <w:rsid w:val="002526EE"/>
    <w:rsid w:val="0025270A"/>
    <w:rsid w:val="00252710"/>
    <w:rsid w:val="002527A0"/>
    <w:rsid w:val="002527EC"/>
    <w:rsid w:val="00252851"/>
    <w:rsid w:val="00252863"/>
    <w:rsid w:val="00252904"/>
    <w:rsid w:val="002529B8"/>
    <w:rsid w:val="00252A3E"/>
    <w:rsid w:val="00252A5D"/>
    <w:rsid w:val="00252A97"/>
    <w:rsid w:val="00252AB9"/>
    <w:rsid w:val="00252AE3"/>
    <w:rsid w:val="00252B23"/>
    <w:rsid w:val="00252B57"/>
    <w:rsid w:val="00252BDB"/>
    <w:rsid w:val="00252C20"/>
    <w:rsid w:val="00252C2A"/>
    <w:rsid w:val="00252C87"/>
    <w:rsid w:val="00252DD3"/>
    <w:rsid w:val="00252DDE"/>
    <w:rsid w:val="00252F0C"/>
    <w:rsid w:val="0025305A"/>
    <w:rsid w:val="002530CE"/>
    <w:rsid w:val="002530E4"/>
    <w:rsid w:val="0025331D"/>
    <w:rsid w:val="00253323"/>
    <w:rsid w:val="00253374"/>
    <w:rsid w:val="00253419"/>
    <w:rsid w:val="0025350A"/>
    <w:rsid w:val="002535C6"/>
    <w:rsid w:val="00253602"/>
    <w:rsid w:val="002536ED"/>
    <w:rsid w:val="00253782"/>
    <w:rsid w:val="0025384E"/>
    <w:rsid w:val="00253899"/>
    <w:rsid w:val="002538C1"/>
    <w:rsid w:val="002538E4"/>
    <w:rsid w:val="00253910"/>
    <w:rsid w:val="00253913"/>
    <w:rsid w:val="00253CF6"/>
    <w:rsid w:val="00253D24"/>
    <w:rsid w:val="00253E0B"/>
    <w:rsid w:val="00253E3E"/>
    <w:rsid w:val="00253EA9"/>
    <w:rsid w:val="00253F74"/>
    <w:rsid w:val="002540F9"/>
    <w:rsid w:val="002540FA"/>
    <w:rsid w:val="00254186"/>
    <w:rsid w:val="00254235"/>
    <w:rsid w:val="00254266"/>
    <w:rsid w:val="002542CF"/>
    <w:rsid w:val="002543E1"/>
    <w:rsid w:val="00254406"/>
    <w:rsid w:val="0025444B"/>
    <w:rsid w:val="002544A9"/>
    <w:rsid w:val="00254504"/>
    <w:rsid w:val="0025454E"/>
    <w:rsid w:val="0025462E"/>
    <w:rsid w:val="00254672"/>
    <w:rsid w:val="002546D4"/>
    <w:rsid w:val="00254755"/>
    <w:rsid w:val="00254779"/>
    <w:rsid w:val="00254790"/>
    <w:rsid w:val="002549A8"/>
    <w:rsid w:val="002549AB"/>
    <w:rsid w:val="00254A45"/>
    <w:rsid w:val="00254CF1"/>
    <w:rsid w:val="00254D8E"/>
    <w:rsid w:val="00254DF7"/>
    <w:rsid w:val="00254E33"/>
    <w:rsid w:val="00254EF2"/>
    <w:rsid w:val="00254F09"/>
    <w:rsid w:val="00254F37"/>
    <w:rsid w:val="002550B8"/>
    <w:rsid w:val="00255121"/>
    <w:rsid w:val="00255168"/>
    <w:rsid w:val="00255176"/>
    <w:rsid w:val="0025517C"/>
    <w:rsid w:val="00255181"/>
    <w:rsid w:val="002551FD"/>
    <w:rsid w:val="00255253"/>
    <w:rsid w:val="0025530A"/>
    <w:rsid w:val="0025531D"/>
    <w:rsid w:val="00255339"/>
    <w:rsid w:val="0025544B"/>
    <w:rsid w:val="0025548A"/>
    <w:rsid w:val="002554D1"/>
    <w:rsid w:val="002554F8"/>
    <w:rsid w:val="0025550D"/>
    <w:rsid w:val="00255599"/>
    <w:rsid w:val="0025562F"/>
    <w:rsid w:val="00255639"/>
    <w:rsid w:val="00255677"/>
    <w:rsid w:val="002557D2"/>
    <w:rsid w:val="002557ED"/>
    <w:rsid w:val="00255809"/>
    <w:rsid w:val="00255896"/>
    <w:rsid w:val="0025589F"/>
    <w:rsid w:val="002558BC"/>
    <w:rsid w:val="002558E5"/>
    <w:rsid w:val="002558EA"/>
    <w:rsid w:val="00255937"/>
    <w:rsid w:val="002559B3"/>
    <w:rsid w:val="00255A8A"/>
    <w:rsid w:val="00255A9B"/>
    <w:rsid w:val="00255AAC"/>
    <w:rsid w:val="00255AC1"/>
    <w:rsid w:val="00255AD2"/>
    <w:rsid w:val="00255AE0"/>
    <w:rsid w:val="00255AF1"/>
    <w:rsid w:val="00255AF8"/>
    <w:rsid w:val="00255B7D"/>
    <w:rsid w:val="00255BCB"/>
    <w:rsid w:val="00255BD3"/>
    <w:rsid w:val="00255C4A"/>
    <w:rsid w:val="00255CCC"/>
    <w:rsid w:val="00255CFF"/>
    <w:rsid w:val="00255D1E"/>
    <w:rsid w:val="00255DAC"/>
    <w:rsid w:val="00255DB6"/>
    <w:rsid w:val="00255E0B"/>
    <w:rsid w:val="00255EF5"/>
    <w:rsid w:val="00255F2D"/>
    <w:rsid w:val="00255FED"/>
    <w:rsid w:val="00255FF7"/>
    <w:rsid w:val="002562E2"/>
    <w:rsid w:val="002563B1"/>
    <w:rsid w:val="002563E0"/>
    <w:rsid w:val="00256449"/>
    <w:rsid w:val="002564A9"/>
    <w:rsid w:val="0025657E"/>
    <w:rsid w:val="0025659A"/>
    <w:rsid w:val="002565B3"/>
    <w:rsid w:val="0025663C"/>
    <w:rsid w:val="00256692"/>
    <w:rsid w:val="00256708"/>
    <w:rsid w:val="002567D5"/>
    <w:rsid w:val="002567DD"/>
    <w:rsid w:val="00256826"/>
    <w:rsid w:val="002568C5"/>
    <w:rsid w:val="002568DC"/>
    <w:rsid w:val="002569B1"/>
    <w:rsid w:val="00256A16"/>
    <w:rsid w:val="00256A8C"/>
    <w:rsid w:val="00256ABE"/>
    <w:rsid w:val="00256AE9"/>
    <w:rsid w:val="00256BBE"/>
    <w:rsid w:val="00256DA7"/>
    <w:rsid w:val="00256E0D"/>
    <w:rsid w:val="00256E36"/>
    <w:rsid w:val="00256E43"/>
    <w:rsid w:val="00256E47"/>
    <w:rsid w:val="00256EB8"/>
    <w:rsid w:val="00256FBC"/>
    <w:rsid w:val="002570B2"/>
    <w:rsid w:val="002570EC"/>
    <w:rsid w:val="0025711B"/>
    <w:rsid w:val="00257159"/>
    <w:rsid w:val="0025716B"/>
    <w:rsid w:val="0025717F"/>
    <w:rsid w:val="002571F2"/>
    <w:rsid w:val="0025729F"/>
    <w:rsid w:val="00257300"/>
    <w:rsid w:val="00257417"/>
    <w:rsid w:val="00257485"/>
    <w:rsid w:val="0025749B"/>
    <w:rsid w:val="002574A8"/>
    <w:rsid w:val="002574D5"/>
    <w:rsid w:val="0025751E"/>
    <w:rsid w:val="0025758B"/>
    <w:rsid w:val="002575E6"/>
    <w:rsid w:val="0025762F"/>
    <w:rsid w:val="002576DC"/>
    <w:rsid w:val="0025780E"/>
    <w:rsid w:val="002578A9"/>
    <w:rsid w:val="00257960"/>
    <w:rsid w:val="00257B48"/>
    <w:rsid w:val="00257BDC"/>
    <w:rsid w:val="00257C09"/>
    <w:rsid w:val="00257C38"/>
    <w:rsid w:val="00257C3D"/>
    <w:rsid w:val="00257CF0"/>
    <w:rsid w:val="00257D60"/>
    <w:rsid w:val="00257D8E"/>
    <w:rsid w:val="00257E83"/>
    <w:rsid w:val="00257E96"/>
    <w:rsid w:val="00260227"/>
    <w:rsid w:val="002602AB"/>
    <w:rsid w:val="002602FD"/>
    <w:rsid w:val="002603D4"/>
    <w:rsid w:val="00260411"/>
    <w:rsid w:val="002604C0"/>
    <w:rsid w:val="002604D0"/>
    <w:rsid w:val="00260548"/>
    <w:rsid w:val="002605D3"/>
    <w:rsid w:val="00260646"/>
    <w:rsid w:val="00260672"/>
    <w:rsid w:val="00260680"/>
    <w:rsid w:val="00260697"/>
    <w:rsid w:val="0026086B"/>
    <w:rsid w:val="00260923"/>
    <w:rsid w:val="00260B0A"/>
    <w:rsid w:val="00260BCB"/>
    <w:rsid w:val="00260C02"/>
    <w:rsid w:val="00260C19"/>
    <w:rsid w:val="00260CC0"/>
    <w:rsid w:val="00260CF0"/>
    <w:rsid w:val="00260E24"/>
    <w:rsid w:val="00260E4B"/>
    <w:rsid w:val="00260ED9"/>
    <w:rsid w:val="00260FCB"/>
    <w:rsid w:val="00261080"/>
    <w:rsid w:val="00261103"/>
    <w:rsid w:val="00261350"/>
    <w:rsid w:val="002613B1"/>
    <w:rsid w:val="0026151B"/>
    <w:rsid w:val="00261566"/>
    <w:rsid w:val="00261598"/>
    <w:rsid w:val="0026159D"/>
    <w:rsid w:val="002615FC"/>
    <w:rsid w:val="0026161E"/>
    <w:rsid w:val="0026165B"/>
    <w:rsid w:val="0026168E"/>
    <w:rsid w:val="002616BA"/>
    <w:rsid w:val="002616C5"/>
    <w:rsid w:val="002616EE"/>
    <w:rsid w:val="0026173E"/>
    <w:rsid w:val="00261776"/>
    <w:rsid w:val="002617A8"/>
    <w:rsid w:val="00261804"/>
    <w:rsid w:val="002618F8"/>
    <w:rsid w:val="00261924"/>
    <w:rsid w:val="00261A27"/>
    <w:rsid w:val="00261A84"/>
    <w:rsid w:val="00261AA9"/>
    <w:rsid w:val="00261D66"/>
    <w:rsid w:val="00261DF4"/>
    <w:rsid w:val="00261FAE"/>
    <w:rsid w:val="0026218F"/>
    <w:rsid w:val="002622C0"/>
    <w:rsid w:val="002622E2"/>
    <w:rsid w:val="00262335"/>
    <w:rsid w:val="0026236B"/>
    <w:rsid w:val="0026238D"/>
    <w:rsid w:val="002623F8"/>
    <w:rsid w:val="00262492"/>
    <w:rsid w:val="002624DA"/>
    <w:rsid w:val="002624E0"/>
    <w:rsid w:val="0026258F"/>
    <w:rsid w:val="002625A3"/>
    <w:rsid w:val="002625A5"/>
    <w:rsid w:val="002625A8"/>
    <w:rsid w:val="002625B8"/>
    <w:rsid w:val="00262789"/>
    <w:rsid w:val="002627CD"/>
    <w:rsid w:val="002628B3"/>
    <w:rsid w:val="002628E7"/>
    <w:rsid w:val="00262931"/>
    <w:rsid w:val="00262950"/>
    <w:rsid w:val="002629D5"/>
    <w:rsid w:val="00262A23"/>
    <w:rsid w:val="00262A78"/>
    <w:rsid w:val="00262B35"/>
    <w:rsid w:val="00262C0B"/>
    <w:rsid w:val="00262E0F"/>
    <w:rsid w:val="00263131"/>
    <w:rsid w:val="002631B4"/>
    <w:rsid w:val="00263232"/>
    <w:rsid w:val="00263242"/>
    <w:rsid w:val="00263270"/>
    <w:rsid w:val="00263313"/>
    <w:rsid w:val="002633B4"/>
    <w:rsid w:val="002633C7"/>
    <w:rsid w:val="00263441"/>
    <w:rsid w:val="0026351D"/>
    <w:rsid w:val="002635D2"/>
    <w:rsid w:val="002636B3"/>
    <w:rsid w:val="00263785"/>
    <w:rsid w:val="00263805"/>
    <w:rsid w:val="002638EA"/>
    <w:rsid w:val="0026391C"/>
    <w:rsid w:val="00263BA4"/>
    <w:rsid w:val="00263C89"/>
    <w:rsid w:val="00263DAA"/>
    <w:rsid w:val="00263DED"/>
    <w:rsid w:val="00263DEE"/>
    <w:rsid w:val="00263E2A"/>
    <w:rsid w:val="00263E98"/>
    <w:rsid w:val="00263FBB"/>
    <w:rsid w:val="00263FC7"/>
    <w:rsid w:val="0026403E"/>
    <w:rsid w:val="0026419E"/>
    <w:rsid w:val="00264229"/>
    <w:rsid w:val="00264277"/>
    <w:rsid w:val="0026430F"/>
    <w:rsid w:val="0026432D"/>
    <w:rsid w:val="00264395"/>
    <w:rsid w:val="0026440E"/>
    <w:rsid w:val="0026443B"/>
    <w:rsid w:val="0026452F"/>
    <w:rsid w:val="00264552"/>
    <w:rsid w:val="00264587"/>
    <w:rsid w:val="00264592"/>
    <w:rsid w:val="0026464A"/>
    <w:rsid w:val="002646DF"/>
    <w:rsid w:val="002646F6"/>
    <w:rsid w:val="0026472F"/>
    <w:rsid w:val="002647DB"/>
    <w:rsid w:val="00264872"/>
    <w:rsid w:val="0026489C"/>
    <w:rsid w:val="00264974"/>
    <w:rsid w:val="0026497E"/>
    <w:rsid w:val="00264991"/>
    <w:rsid w:val="002649A2"/>
    <w:rsid w:val="00264A14"/>
    <w:rsid w:val="00264A4C"/>
    <w:rsid w:val="00264A84"/>
    <w:rsid w:val="00264A9D"/>
    <w:rsid w:val="00264AD5"/>
    <w:rsid w:val="00264AE1"/>
    <w:rsid w:val="00264AFE"/>
    <w:rsid w:val="00264B1F"/>
    <w:rsid w:val="00264B79"/>
    <w:rsid w:val="00264C11"/>
    <w:rsid w:val="00264C8C"/>
    <w:rsid w:val="00264D7C"/>
    <w:rsid w:val="00264E87"/>
    <w:rsid w:val="00264EF0"/>
    <w:rsid w:val="00264F04"/>
    <w:rsid w:val="00264FEE"/>
    <w:rsid w:val="00265051"/>
    <w:rsid w:val="0026506A"/>
    <w:rsid w:val="00265079"/>
    <w:rsid w:val="00265095"/>
    <w:rsid w:val="002650A7"/>
    <w:rsid w:val="0026512C"/>
    <w:rsid w:val="00265309"/>
    <w:rsid w:val="00265392"/>
    <w:rsid w:val="00265544"/>
    <w:rsid w:val="0026556F"/>
    <w:rsid w:val="0026558F"/>
    <w:rsid w:val="002655CF"/>
    <w:rsid w:val="002655E0"/>
    <w:rsid w:val="0026562C"/>
    <w:rsid w:val="002656CF"/>
    <w:rsid w:val="00265749"/>
    <w:rsid w:val="0026581E"/>
    <w:rsid w:val="00265856"/>
    <w:rsid w:val="002658B7"/>
    <w:rsid w:val="002658E1"/>
    <w:rsid w:val="002659E2"/>
    <w:rsid w:val="002659FD"/>
    <w:rsid w:val="00265A01"/>
    <w:rsid w:val="00265A2F"/>
    <w:rsid w:val="00265AE2"/>
    <w:rsid w:val="00265AFA"/>
    <w:rsid w:val="00265B9A"/>
    <w:rsid w:val="00265C03"/>
    <w:rsid w:val="00265D44"/>
    <w:rsid w:val="00265D53"/>
    <w:rsid w:val="00265E02"/>
    <w:rsid w:val="00265E05"/>
    <w:rsid w:val="00265E5C"/>
    <w:rsid w:val="00265EAF"/>
    <w:rsid w:val="00265EF1"/>
    <w:rsid w:val="00265F11"/>
    <w:rsid w:val="00265F70"/>
    <w:rsid w:val="00265FCB"/>
    <w:rsid w:val="00266033"/>
    <w:rsid w:val="00266037"/>
    <w:rsid w:val="002660DC"/>
    <w:rsid w:val="0026616D"/>
    <w:rsid w:val="002661F9"/>
    <w:rsid w:val="002662EB"/>
    <w:rsid w:val="002663D0"/>
    <w:rsid w:val="002663DE"/>
    <w:rsid w:val="0026640A"/>
    <w:rsid w:val="002665A8"/>
    <w:rsid w:val="002665FC"/>
    <w:rsid w:val="00266703"/>
    <w:rsid w:val="00266728"/>
    <w:rsid w:val="0026679A"/>
    <w:rsid w:val="0026679D"/>
    <w:rsid w:val="002667E5"/>
    <w:rsid w:val="00266867"/>
    <w:rsid w:val="00266899"/>
    <w:rsid w:val="002668AB"/>
    <w:rsid w:val="00266903"/>
    <w:rsid w:val="002669BB"/>
    <w:rsid w:val="002669CD"/>
    <w:rsid w:val="002669F3"/>
    <w:rsid w:val="00266A51"/>
    <w:rsid w:val="00266AE8"/>
    <w:rsid w:val="00266B40"/>
    <w:rsid w:val="00266B67"/>
    <w:rsid w:val="00266BBD"/>
    <w:rsid w:val="00266BF3"/>
    <w:rsid w:val="00266C87"/>
    <w:rsid w:val="00266D92"/>
    <w:rsid w:val="00266D9B"/>
    <w:rsid w:val="00266DAE"/>
    <w:rsid w:val="00266DCE"/>
    <w:rsid w:val="00267150"/>
    <w:rsid w:val="00267199"/>
    <w:rsid w:val="0026719E"/>
    <w:rsid w:val="002671FB"/>
    <w:rsid w:val="00267241"/>
    <w:rsid w:val="0026734C"/>
    <w:rsid w:val="00267394"/>
    <w:rsid w:val="00267406"/>
    <w:rsid w:val="00267484"/>
    <w:rsid w:val="0026758A"/>
    <w:rsid w:val="002675EE"/>
    <w:rsid w:val="0026767B"/>
    <w:rsid w:val="00267691"/>
    <w:rsid w:val="002676A0"/>
    <w:rsid w:val="002676F9"/>
    <w:rsid w:val="0026777E"/>
    <w:rsid w:val="002677CE"/>
    <w:rsid w:val="002678E8"/>
    <w:rsid w:val="00267938"/>
    <w:rsid w:val="00267B28"/>
    <w:rsid w:val="00267B3B"/>
    <w:rsid w:val="00267BFF"/>
    <w:rsid w:val="00267C09"/>
    <w:rsid w:val="00267C35"/>
    <w:rsid w:val="00267C66"/>
    <w:rsid w:val="00267D24"/>
    <w:rsid w:val="00267E0F"/>
    <w:rsid w:val="00267F65"/>
    <w:rsid w:val="00270030"/>
    <w:rsid w:val="00270046"/>
    <w:rsid w:val="0027005A"/>
    <w:rsid w:val="00270087"/>
    <w:rsid w:val="002700ED"/>
    <w:rsid w:val="00270150"/>
    <w:rsid w:val="00270184"/>
    <w:rsid w:val="002701DD"/>
    <w:rsid w:val="00270200"/>
    <w:rsid w:val="00270275"/>
    <w:rsid w:val="00270358"/>
    <w:rsid w:val="00270419"/>
    <w:rsid w:val="0027042A"/>
    <w:rsid w:val="0027054B"/>
    <w:rsid w:val="0027061E"/>
    <w:rsid w:val="00270676"/>
    <w:rsid w:val="00270769"/>
    <w:rsid w:val="0027078C"/>
    <w:rsid w:val="002707CF"/>
    <w:rsid w:val="00270814"/>
    <w:rsid w:val="00270933"/>
    <w:rsid w:val="0027098E"/>
    <w:rsid w:val="002709D3"/>
    <w:rsid w:val="002709E2"/>
    <w:rsid w:val="00270A24"/>
    <w:rsid w:val="00270A43"/>
    <w:rsid w:val="00270ACC"/>
    <w:rsid w:val="00270B32"/>
    <w:rsid w:val="00270C08"/>
    <w:rsid w:val="00270C9A"/>
    <w:rsid w:val="00270D07"/>
    <w:rsid w:val="00270DF3"/>
    <w:rsid w:val="00270EC1"/>
    <w:rsid w:val="00270F15"/>
    <w:rsid w:val="00270F26"/>
    <w:rsid w:val="00270F9D"/>
    <w:rsid w:val="00270FF9"/>
    <w:rsid w:val="0027108E"/>
    <w:rsid w:val="00271107"/>
    <w:rsid w:val="0027120B"/>
    <w:rsid w:val="0027127B"/>
    <w:rsid w:val="0027127C"/>
    <w:rsid w:val="002712FC"/>
    <w:rsid w:val="00271305"/>
    <w:rsid w:val="0027131F"/>
    <w:rsid w:val="0027132D"/>
    <w:rsid w:val="00271377"/>
    <w:rsid w:val="00271486"/>
    <w:rsid w:val="0027149D"/>
    <w:rsid w:val="00271522"/>
    <w:rsid w:val="00271657"/>
    <w:rsid w:val="002717E7"/>
    <w:rsid w:val="00271809"/>
    <w:rsid w:val="00271857"/>
    <w:rsid w:val="002718A1"/>
    <w:rsid w:val="00271995"/>
    <w:rsid w:val="002719B1"/>
    <w:rsid w:val="00271AD7"/>
    <w:rsid w:val="00271AF0"/>
    <w:rsid w:val="00271B25"/>
    <w:rsid w:val="00271B36"/>
    <w:rsid w:val="00271B72"/>
    <w:rsid w:val="00271C11"/>
    <w:rsid w:val="00271CA5"/>
    <w:rsid w:val="00271DBE"/>
    <w:rsid w:val="00271DCF"/>
    <w:rsid w:val="00271E0A"/>
    <w:rsid w:val="00271E2E"/>
    <w:rsid w:val="00271E40"/>
    <w:rsid w:val="00271E9A"/>
    <w:rsid w:val="00271EA4"/>
    <w:rsid w:val="00271EDA"/>
    <w:rsid w:val="00271F63"/>
    <w:rsid w:val="00271F73"/>
    <w:rsid w:val="00271F98"/>
    <w:rsid w:val="00272056"/>
    <w:rsid w:val="00272092"/>
    <w:rsid w:val="00272112"/>
    <w:rsid w:val="00272138"/>
    <w:rsid w:val="00272146"/>
    <w:rsid w:val="0027216B"/>
    <w:rsid w:val="0027216F"/>
    <w:rsid w:val="002721BF"/>
    <w:rsid w:val="00272310"/>
    <w:rsid w:val="00272379"/>
    <w:rsid w:val="00272397"/>
    <w:rsid w:val="002723D6"/>
    <w:rsid w:val="002723DB"/>
    <w:rsid w:val="0027240A"/>
    <w:rsid w:val="002724EF"/>
    <w:rsid w:val="00272583"/>
    <w:rsid w:val="00272607"/>
    <w:rsid w:val="00272640"/>
    <w:rsid w:val="0027276F"/>
    <w:rsid w:val="002727A7"/>
    <w:rsid w:val="002727F4"/>
    <w:rsid w:val="00272824"/>
    <w:rsid w:val="00272A6F"/>
    <w:rsid w:val="00272B18"/>
    <w:rsid w:val="00272BFB"/>
    <w:rsid w:val="00272C16"/>
    <w:rsid w:val="00272D7B"/>
    <w:rsid w:val="00272D7C"/>
    <w:rsid w:val="00272E05"/>
    <w:rsid w:val="00272E7C"/>
    <w:rsid w:val="00272ECA"/>
    <w:rsid w:val="00272F96"/>
    <w:rsid w:val="00273018"/>
    <w:rsid w:val="00273041"/>
    <w:rsid w:val="0027304E"/>
    <w:rsid w:val="002730F0"/>
    <w:rsid w:val="002730FA"/>
    <w:rsid w:val="002731BC"/>
    <w:rsid w:val="00273210"/>
    <w:rsid w:val="002732A9"/>
    <w:rsid w:val="00273406"/>
    <w:rsid w:val="00273433"/>
    <w:rsid w:val="00273441"/>
    <w:rsid w:val="002736FC"/>
    <w:rsid w:val="00273811"/>
    <w:rsid w:val="00273813"/>
    <w:rsid w:val="002738D1"/>
    <w:rsid w:val="002738FF"/>
    <w:rsid w:val="0027393B"/>
    <w:rsid w:val="00273946"/>
    <w:rsid w:val="00273A43"/>
    <w:rsid w:val="00273A47"/>
    <w:rsid w:val="00273A6D"/>
    <w:rsid w:val="00273A8C"/>
    <w:rsid w:val="00273ABA"/>
    <w:rsid w:val="00273B05"/>
    <w:rsid w:val="00273BF9"/>
    <w:rsid w:val="00273C0E"/>
    <w:rsid w:val="00273C21"/>
    <w:rsid w:val="00273CAB"/>
    <w:rsid w:val="00273D1C"/>
    <w:rsid w:val="00273DC0"/>
    <w:rsid w:val="00273DC2"/>
    <w:rsid w:val="00273E84"/>
    <w:rsid w:val="00273F09"/>
    <w:rsid w:val="00273F20"/>
    <w:rsid w:val="00273F7A"/>
    <w:rsid w:val="00273FA5"/>
    <w:rsid w:val="00273FC9"/>
    <w:rsid w:val="00274061"/>
    <w:rsid w:val="00274099"/>
    <w:rsid w:val="0027409A"/>
    <w:rsid w:val="002740A5"/>
    <w:rsid w:val="002740C1"/>
    <w:rsid w:val="0027418E"/>
    <w:rsid w:val="0027420C"/>
    <w:rsid w:val="00274242"/>
    <w:rsid w:val="0027424E"/>
    <w:rsid w:val="002742C9"/>
    <w:rsid w:val="00274342"/>
    <w:rsid w:val="002744E5"/>
    <w:rsid w:val="002745B6"/>
    <w:rsid w:val="00274604"/>
    <w:rsid w:val="00274616"/>
    <w:rsid w:val="00274622"/>
    <w:rsid w:val="002746A5"/>
    <w:rsid w:val="002746C6"/>
    <w:rsid w:val="00274781"/>
    <w:rsid w:val="00274843"/>
    <w:rsid w:val="002748F8"/>
    <w:rsid w:val="0027493A"/>
    <w:rsid w:val="00274968"/>
    <w:rsid w:val="00274A09"/>
    <w:rsid w:val="00274AFF"/>
    <w:rsid w:val="00274B18"/>
    <w:rsid w:val="00274BD7"/>
    <w:rsid w:val="00274C4C"/>
    <w:rsid w:val="00274C4E"/>
    <w:rsid w:val="00274D7F"/>
    <w:rsid w:val="00274DC6"/>
    <w:rsid w:val="00274E72"/>
    <w:rsid w:val="0027508D"/>
    <w:rsid w:val="0027512E"/>
    <w:rsid w:val="0027520D"/>
    <w:rsid w:val="0027523B"/>
    <w:rsid w:val="00275281"/>
    <w:rsid w:val="00275377"/>
    <w:rsid w:val="002753B9"/>
    <w:rsid w:val="002753CF"/>
    <w:rsid w:val="0027540E"/>
    <w:rsid w:val="0027547C"/>
    <w:rsid w:val="002754AE"/>
    <w:rsid w:val="002754D7"/>
    <w:rsid w:val="00275541"/>
    <w:rsid w:val="002755B9"/>
    <w:rsid w:val="002755BA"/>
    <w:rsid w:val="002755C0"/>
    <w:rsid w:val="002755C1"/>
    <w:rsid w:val="002756A2"/>
    <w:rsid w:val="002756CD"/>
    <w:rsid w:val="00275A4D"/>
    <w:rsid w:val="00275B11"/>
    <w:rsid w:val="00275B86"/>
    <w:rsid w:val="00275BF2"/>
    <w:rsid w:val="00275C19"/>
    <w:rsid w:val="00275C25"/>
    <w:rsid w:val="00275C2E"/>
    <w:rsid w:val="00275CC7"/>
    <w:rsid w:val="00275CD6"/>
    <w:rsid w:val="00275CF0"/>
    <w:rsid w:val="00275DBC"/>
    <w:rsid w:val="00275DFC"/>
    <w:rsid w:val="00275E21"/>
    <w:rsid w:val="00275E28"/>
    <w:rsid w:val="00275EB4"/>
    <w:rsid w:val="00275EF3"/>
    <w:rsid w:val="002760B3"/>
    <w:rsid w:val="002760E9"/>
    <w:rsid w:val="002760F4"/>
    <w:rsid w:val="002761F8"/>
    <w:rsid w:val="002761FA"/>
    <w:rsid w:val="00276278"/>
    <w:rsid w:val="002762AC"/>
    <w:rsid w:val="0027644D"/>
    <w:rsid w:val="00276476"/>
    <w:rsid w:val="002764D8"/>
    <w:rsid w:val="0027666A"/>
    <w:rsid w:val="0027667A"/>
    <w:rsid w:val="002767E9"/>
    <w:rsid w:val="002767F3"/>
    <w:rsid w:val="00276871"/>
    <w:rsid w:val="00276945"/>
    <w:rsid w:val="0027697D"/>
    <w:rsid w:val="00276ACB"/>
    <w:rsid w:val="00276ACF"/>
    <w:rsid w:val="00276BA3"/>
    <w:rsid w:val="00276BD3"/>
    <w:rsid w:val="00276CFC"/>
    <w:rsid w:val="00276E2C"/>
    <w:rsid w:val="00276EDE"/>
    <w:rsid w:val="00277005"/>
    <w:rsid w:val="00277237"/>
    <w:rsid w:val="00277239"/>
    <w:rsid w:val="0027723A"/>
    <w:rsid w:val="00277249"/>
    <w:rsid w:val="002772CF"/>
    <w:rsid w:val="002772DC"/>
    <w:rsid w:val="002772F8"/>
    <w:rsid w:val="00277310"/>
    <w:rsid w:val="00277324"/>
    <w:rsid w:val="0027738F"/>
    <w:rsid w:val="002773A2"/>
    <w:rsid w:val="002773E7"/>
    <w:rsid w:val="00277478"/>
    <w:rsid w:val="0027758E"/>
    <w:rsid w:val="002775CD"/>
    <w:rsid w:val="002775FB"/>
    <w:rsid w:val="00277689"/>
    <w:rsid w:val="002776A0"/>
    <w:rsid w:val="0027772C"/>
    <w:rsid w:val="0027788B"/>
    <w:rsid w:val="0027789F"/>
    <w:rsid w:val="002778E0"/>
    <w:rsid w:val="0027794E"/>
    <w:rsid w:val="00277954"/>
    <w:rsid w:val="002779DE"/>
    <w:rsid w:val="00277A1D"/>
    <w:rsid w:val="00277A7B"/>
    <w:rsid w:val="00277A95"/>
    <w:rsid w:val="00277B34"/>
    <w:rsid w:val="00277B38"/>
    <w:rsid w:val="00277B4D"/>
    <w:rsid w:val="00277B5A"/>
    <w:rsid w:val="00277BD5"/>
    <w:rsid w:val="00277CFE"/>
    <w:rsid w:val="00277D31"/>
    <w:rsid w:val="00277D64"/>
    <w:rsid w:val="00277D70"/>
    <w:rsid w:val="00277D87"/>
    <w:rsid w:val="00277D97"/>
    <w:rsid w:val="00277EC4"/>
    <w:rsid w:val="00280051"/>
    <w:rsid w:val="00280087"/>
    <w:rsid w:val="002800F4"/>
    <w:rsid w:val="00280135"/>
    <w:rsid w:val="0028021E"/>
    <w:rsid w:val="0028023C"/>
    <w:rsid w:val="0028036E"/>
    <w:rsid w:val="002803C4"/>
    <w:rsid w:val="00280473"/>
    <w:rsid w:val="002804DF"/>
    <w:rsid w:val="002804F8"/>
    <w:rsid w:val="00280502"/>
    <w:rsid w:val="00280531"/>
    <w:rsid w:val="00280549"/>
    <w:rsid w:val="002805B1"/>
    <w:rsid w:val="00280634"/>
    <w:rsid w:val="002806EC"/>
    <w:rsid w:val="00280815"/>
    <w:rsid w:val="0028083F"/>
    <w:rsid w:val="0028090B"/>
    <w:rsid w:val="0028094E"/>
    <w:rsid w:val="00280977"/>
    <w:rsid w:val="002809D8"/>
    <w:rsid w:val="00280A72"/>
    <w:rsid w:val="00280A8F"/>
    <w:rsid w:val="00280AE6"/>
    <w:rsid w:val="00280C1A"/>
    <w:rsid w:val="00280CD0"/>
    <w:rsid w:val="00280D06"/>
    <w:rsid w:val="00280D16"/>
    <w:rsid w:val="00280D74"/>
    <w:rsid w:val="00280DAD"/>
    <w:rsid w:val="00280E3C"/>
    <w:rsid w:val="00280E42"/>
    <w:rsid w:val="00280E90"/>
    <w:rsid w:val="00280EEE"/>
    <w:rsid w:val="00280FA2"/>
    <w:rsid w:val="00281001"/>
    <w:rsid w:val="0028117B"/>
    <w:rsid w:val="0028129C"/>
    <w:rsid w:val="00281356"/>
    <w:rsid w:val="00281359"/>
    <w:rsid w:val="00281411"/>
    <w:rsid w:val="002814A6"/>
    <w:rsid w:val="002815A8"/>
    <w:rsid w:val="002815B5"/>
    <w:rsid w:val="00281639"/>
    <w:rsid w:val="00281646"/>
    <w:rsid w:val="0028167D"/>
    <w:rsid w:val="002816EC"/>
    <w:rsid w:val="0028170B"/>
    <w:rsid w:val="0028171B"/>
    <w:rsid w:val="0028175F"/>
    <w:rsid w:val="00281783"/>
    <w:rsid w:val="00281797"/>
    <w:rsid w:val="002817A0"/>
    <w:rsid w:val="002817D7"/>
    <w:rsid w:val="002817D9"/>
    <w:rsid w:val="002817F3"/>
    <w:rsid w:val="00281942"/>
    <w:rsid w:val="00281966"/>
    <w:rsid w:val="0028197C"/>
    <w:rsid w:val="00281A3A"/>
    <w:rsid w:val="00281A79"/>
    <w:rsid w:val="00281ABC"/>
    <w:rsid w:val="00281B10"/>
    <w:rsid w:val="00281D1B"/>
    <w:rsid w:val="00281D62"/>
    <w:rsid w:val="00281DAE"/>
    <w:rsid w:val="00281DCA"/>
    <w:rsid w:val="00281E71"/>
    <w:rsid w:val="00282082"/>
    <w:rsid w:val="0028209B"/>
    <w:rsid w:val="002820F2"/>
    <w:rsid w:val="002821A5"/>
    <w:rsid w:val="0028227B"/>
    <w:rsid w:val="002822D1"/>
    <w:rsid w:val="002822FA"/>
    <w:rsid w:val="00282339"/>
    <w:rsid w:val="002824DB"/>
    <w:rsid w:val="00282530"/>
    <w:rsid w:val="00282532"/>
    <w:rsid w:val="00282572"/>
    <w:rsid w:val="00282647"/>
    <w:rsid w:val="00282678"/>
    <w:rsid w:val="002826A2"/>
    <w:rsid w:val="0028271C"/>
    <w:rsid w:val="002827C0"/>
    <w:rsid w:val="0028280D"/>
    <w:rsid w:val="00282841"/>
    <w:rsid w:val="0028298B"/>
    <w:rsid w:val="002829A6"/>
    <w:rsid w:val="00282A07"/>
    <w:rsid w:val="00282A9C"/>
    <w:rsid w:val="00282C41"/>
    <w:rsid w:val="00282C55"/>
    <w:rsid w:val="00282C6D"/>
    <w:rsid w:val="00282C82"/>
    <w:rsid w:val="00282C88"/>
    <w:rsid w:val="00282CA0"/>
    <w:rsid w:val="00282D24"/>
    <w:rsid w:val="00282D8F"/>
    <w:rsid w:val="00282D93"/>
    <w:rsid w:val="00282E91"/>
    <w:rsid w:val="00282EA3"/>
    <w:rsid w:val="00282EC6"/>
    <w:rsid w:val="00282ED7"/>
    <w:rsid w:val="00282F0A"/>
    <w:rsid w:val="00282F89"/>
    <w:rsid w:val="00282FC9"/>
    <w:rsid w:val="0028301C"/>
    <w:rsid w:val="0028303D"/>
    <w:rsid w:val="00283041"/>
    <w:rsid w:val="002830C4"/>
    <w:rsid w:val="002830DA"/>
    <w:rsid w:val="0028315F"/>
    <w:rsid w:val="00283201"/>
    <w:rsid w:val="00283382"/>
    <w:rsid w:val="0028339A"/>
    <w:rsid w:val="002833EE"/>
    <w:rsid w:val="0028343F"/>
    <w:rsid w:val="00283469"/>
    <w:rsid w:val="0028352D"/>
    <w:rsid w:val="00283640"/>
    <w:rsid w:val="00283681"/>
    <w:rsid w:val="002837CF"/>
    <w:rsid w:val="0028399C"/>
    <w:rsid w:val="00283A08"/>
    <w:rsid w:val="00283AC9"/>
    <w:rsid w:val="00283B1F"/>
    <w:rsid w:val="00283B46"/>
    <w:rsid w:val="00283B56"/>
    <w:rsid w:val="00283B90"/>
    <w:rsid w:val="00283BFF"/>
    <w:rsid w:val="00283C1B"/>
    <w:rsid w:val="00283C32"/>
    <w:rsid w:val="00283D47"/>
    <w:rsid w:val="00283E21"/>
    <w:rsid w:val="00283E38"/>
    <w:rsid w:val="00283E9A"/>
    <w:rsid w:val="00283F48"/>
    <w:rsid w:val="00283F60"/>
    <w:rsid w:val="00283FC7"/>
    <w:rsid w:val="0028405A"/>
    <w:rsid w:val="0028411D"/>
    <w:rsid w:val="0028412C"/>
    <w:rsid w:val="002841FC"/>
    <w:rsid w:val="002842E7"/>
    <w:rsid w:val="00284353"/>
    <w:rsid w:val="002843B5"/>
    <w:rsid w:val="00284433"/>
    <w:rsid w:val="00284497"/>
    <w:rsid w:val="002845E4"/>
    <w:rsid w:val="002845E6"/>
    <w:rsid w:val="00284763"/>
    <w:rsid w:val="0028479D"/>
    <w:rsid w:val="002847AA"/>
    <w:rsid w:val="00284838"/>
    <w:rsid w:val="00284852"/>
    <w:rsid w:val="0028485D"/>
    <w:rsid w:val="00284975"/>
    <w:rsid w:val="00284ACE"/>
    <w:rsid w:val="00284AD2"/>
    <w:rsid w:val="00284BBA"/>
    <w:rsid w:val="00284BF7"/>
    <w:rsid w:val="00284C6B"/>
    <w:rsid w:val="00284C84"/>
    <w:rsid w:val="00284E64"/>
    <w:rsid w:val="00284E68"/>
    <w:rsid w:val="00284F5B"/>
    <w:rsid w:val="00285008"/>
    <w:rsid w:val="00285011"/>
    <w:rsid w:val="0028503F"/>
    <w:rsid w:val="0028510B"/>
    <w:rsid w:val="0028514F"/>
    <w:rsid w:val="0028519D"/>
    <w:rsid w:val="00285243"/>
    <w:rsid w:val="0028529B"/>
    <w:rsid w:val="002852A4"/>
    <w:rsid w:val="00285484"/>
    <w:rsid w:val="002854A9"/>
    <w:rsid w:val="00285588"/>
    <w:rsid w:val="002855F1"/>
    <w:rsid w:val="00285608"/>
    <w:rsid w:val="00285715"/>
    <w:rsid w:val="00285720"/>
    <w:rsid w:val="0028572F"/>
    <w:rsid w:val="0028575B"/>
    <w:rsid w:val="00285785"/>
    <w:rsid w:val="002857BE"/>
    <w:rsid w:val="002858D7"/>
    <w:rsid w:val="00285970"/>
    <w:rsid w:val="00285A1B"/>
    <w:rsid w:val="00285A31"/>
    <w:rsid w:val="00285A3A"/>
    <w:rsid w:val="00285A6B"/>
    <w:rsid w:val="00285A8B"/>
    <w:rsid w:val="00285ACA"/>
    <w:rsid w:val="00285B11"/>
    <w:rsid w:val="00285C6B"/>
    <w:rsid w:val="00285CA2"/>
    <w:rsid w:val="00285DB3"/>
    <w:rsid w:val="00285FC4"/>
    <w:rsid w:val="00286005"/>
    <w:rsid w:val="0028602D"/>
    <w:rsid w:val="002860BA"/>
    <w:rsid w:val="0028610E"/>
    <w:rsid w:val="0028613A"/>
    <w:rsid w:val="0028619C"/>
    <w:rsid w:val="0028622A"/>
    <w:rsid w:val="0028623E"/>
    <w:rsid w:val="00286244"/>
    <w:rsid w:val="00286372"/>
    <w:rsid w:val="002863B1"/>
    <w:rsid w:val="002863E3"/>
    <w:rsid w:val="00286400"/>
    <w:rsid w:val="0028642F"/>
    <w:rsid w:val="00286470"/>
    <w:rsid w:val="002864F4"/>
    <w:rsid w:val="00286526"/>
    <w:rsid w:val="0028656B"/>
    <w:rsid w:val="00286595"/>
    <w:rsid w:val="00286608"/>
    <w:rsid w:val="00286647"/>
    <w:rsid w:val="0028668C"/>
    <w:rsid w:val="002866B9"/>
    <w:rsid w:val="00286708"/>
    <w:rsid w:val="00286717"/>
    <w:rsid w:val="00286811"/>
    <w:rsid w:val="00286AC7"/>
    <w:rsid w:val="00286C8C"/>
    <w:rsid w:val="00286CFD"/>
    <w:rsid w:val="00286D05"/>
    <w:rsid w:val="00286D74"/>
    <w:rsid w:val="00286D9D"/>
    <w:rsid w:val="00286E39"/>
    <w:rsid w:val="00286E4A"/>
    <w:rsid w:val="00286EC5"/>
    <w:rsid w:val="00286F02"/>
    <w:rsid w:val="00286F52"/>
    <w:rsid w:val="00286F6C"/>
    <w:rsid w:val="00286F89"/>
    <w:rsid w:val="00286F93"/>
    <w:rsid w:val="00286FA9"/>
    <w:rsid w:val="00287093"/>
    <w:rsid w:val="002872B5"/>
    <w:rsid w:val="002872E5"/>
    <w:rsid w:val="00287377"/>
    <w:rsid w:val="0028743A"/>
    <w:rsid w:val="00287463"/>
    <w:rsid w:val="002874DD"/>
    <w:rsid w:val="00287585"/>
    <w:rsid w:val="002875AB"/>
    <w:rsid w:val="002875DD"/>
    <w:rsid w:val="00287755"/>
    <w:rsid w:val="00287801"/>
    <w:rsid w:val="0028780D"/>
    <w:rsid w:val="00287812"/>
    <w:rsid w:val="0028784A"/>
    <w:rsid w:val="002878B1"/>
    <w:rsid w:val="0028797F"/>
    <w:rsid w:val="00287A1A"/>
    <w:rsid w:val="00287A20"/>
    <w:rsid w:val="00287A62"/>
    <w:rsid w:val="00287AD9"/>
    <w:rsid w:val="00287C80"/>
    <w:rsid w:val="00287CA2"/>
    <w:rsid w:val="00287CE1"/>
    <w:rsid w:val="00287D3E"/>
    <w:rsid w:val="00287D78"/>
    <w:rsid w:val="00287D7D"/>
    <w:rsid w:val="00287DA5"/>
    <w:rsid w:val="00287DE0"/>
    <w:rsid w:val="00287DE8"/>
    <w:rsid w:val="00287E77"/>
    <w:rsid w:val="00287ECE"/>
    <w:rsid w:val="00287ED8"/>
    <w:rsid w:val="00287F54"/>
    <w:rsid w:val="00287FEA"/>
    <w:rsid w:val="0029000E"/>
    <w:rsid w:val="0029006F"/>
    <w:rsid w:val="00290072"/>
    <w:rsid w:val="002900E3"/>
    <w:rsid w:val="00290121"/>
    <w:rsid w:val="00290144"/>
    <w:rsid w:val="00290155"/>
    <w:rsid w:val="00290164"/>
    <w:rsid w:val="002901B3"/>
    <w:rsid w:val="00290210"/>
    <w:rsid w:val="00290289"/>
    <w:rsid w:val="002902AF"/>
    <w:rsid w:val="00290321"/>
    <w:rsid w:val="002903A2"/>
    <w:rsid w:val="002903B7"/>
    <w:rsid w:val="00290451"/>
    <w:rsid w:val="00290472"/>
    <w:rsid w:val="00290479"/>
    <w:rsid w:val="00290490"/>
    <w:rsid w:val="00290558"/>
    <w:rsid w:val="0029058F"/>
    <w:rsid w:val="002905FC"/>
    <w:rsid w:val="00290663"/>
    <w:rsid w:val="0029067A"/>
    <w:rsid w:val="0029073B"/>
    <w:rsid w:val="00290809"/>
    <w:rsid w:val="0029081A"/>
    <w:rsid w:val="00290849"/>
    <w:rsid w:val="00290976"/>
    <w:rsid w:val="002909B7"/>
    <w:rsid w:val="00290A07"/>
    <w:rsid w:val="00290A60"/>
    <w:rsid w:val="00290A69"/>
    <w:rsid w:val="00290ABA"/>
    <w:rsid w:val="00290AE4"/>
    <w:rsid w:val="00290B53"/>
    <w:rsid w:val="00290B85"/>
    <w:rsid w:val="00290BA0"/>
    <w:rsid w:val="00290BEA"/>
    <w:rsid w:val="00290C35"/>
    <w:rsid w:val="00290CD1"/>
    <w:rsid w:val="00290D09"/>
    <w:rsid w:val="00290D83"/>
    <w:rsid w:val="00290DC0"/>
    <w:rsid w:val="00290E4C"/>
    <w:rsid w:val="00290F2A"/>
    <w:rsid w:val="00290F35"/>
    <w:rsid w:val="00290F4A"/>
    <w:rsid w:val="002910C5"/>
    <w:rsid w:val="00291123"/>
    <w:rsid w:val="00291137"/>
    <w:rsid w:val="00291143"/>
    <w:rsid w:val="002911D3"/>
    <w:rsid w:val="002911D7"/>
    <w:rsid w:val="002911DC"/>
    <w:rsid w:val="00291263"/>
    <w:rsid w:val="0029126D"/>
    <w:rsid w:val="00291278"/>
    <w:rsid w:val="00291563"/>
    <w:rsid w:val="0029158E"/>
    <w:rsid w:val="002915D4"/>
    <w:rsid w:val="0029165F"/>
    <w:rsid w:val="0029174D"/>
    <w:rsid w:val="002917A5"/>
    <w:rsid w:val="002917D0"/>
    <w:rsid w:val="002917ED"/>
    <w:rsid w:val="00291811"/>
    <w:rsid w:val="002918F2"/>
    <w:rsid w:val="00291988"/>
    <w:rsid w:val="00291A29"/>
    <w:rsid w:val="00291A75"/>
    <w:rsid w:val="00291B05"/>
    <w:rsid w:val="00291B17"/>
    <w:rsid w:val="00291B56"/>
    <w:rsid w:val="00291C8F"/>
    <w:rsid w:val="00291E16"/>
    <w:rsid w:val="00291E49"/>
    <w:rsid w:val="00291E54"/>
    <w:rsid w:val="00291E5A"/>
    <w:rsid w:val="00291ECE"/>
    <w:rsid w:val="002920A7"/>
    <w:rsid w:val="002920ED"/>
    <w:rsid w:val="0029210B"/>
    <w:rsid w:val="0029210E"/>
    <w:rsid w:val="002921E8"/>
    <w:rsid w:val="002921F2"/>
    <w:rsid w:val="00292202"/>
    <w:rsid w:val="0029236C"/>
    <w:rsid w:val="002923C4"/>
    <w:rsid w:val="00292497"/>
    <w:rsid w:val="00292525"/>
    <w:rsid w:val="0029263E"/>
    <w:rsid w:val="00292669"/>
    <w:rsid w:val="002926B1"/>
    <w:rsid w:val="002926F8"/>
    <w:rsid w:val="00292760"/>
    <w:rsid w:val="00292815"/>
    <w:rsid w:val="0029282A"/>
    <w:rsid w:val="00292991"/>
    <w:rsid w:val="00292A82"/>
    <w:rsid w:val="00292B34"/>
    <w:rsid w:val="00292B60"/>
    <w:rsid w:val="00292B6D"/>
    <w:rsid w:val="00292C5A"/>
    <w:rsid w:val="00292C72"/>
    <w:rsid w:val="00292C8F"/>
    <w:rsid w:val="00292D55"/>
    <w:rsid w:val="00292E1F"/>
    <w:rsid w:val="00292F2A"/>
    <w:rsid w:val="00292FEC"/>
    <w:rsid w:val="00292FEF"/>
    <w:rsid w:val="002930DC"/>
    <w:rsid w:val="0029314F"/>
    <w:rsid w:val="002931AB"/>
    <w:rsid w:val="002931AD"/>
    <w:rsid w:val="002931C3"/>
    <w:rsid w:val="002931D2"/>
    <w:rsid w:val="00293209"/>
    <w:rsid w:val="00293346"/>
    <w:rsid w:val="002933A9"/>
    <w:rsid w:val="002933C7"/>
    <w:rsid w:val="002933C8"/>
    <w:rsid w:val="00293523"/>
    <w:rsid w:val="00293649"/>
    <w:rsid w:val="002936A0"/>
    <w:rsid w:val="002936AE"/>
    <w:rsid w:val="0029373E"/>
    <w:rsid w:val="00293799"/>
    <w:rsid w:val="002937E0"/>
    <w:rsid w:val="002937EA"/>
    <w:rsid w:val="0029383B"/>
    <w:rsid w:val="00293948"/>
    <w:rsid w:val="00293985"/>
    <w:rsid w:val="00293994"/>
    <w:rsid w:val="002939DA"/>
    <w:rsid w:val="00293A07"/>
    <w:rsid w:val="00293A89"/>
    <w:rsid w:val="00293AF2"/>
    <w:rsid w:val="00293B55"/>
    <w:rsid w:val="00293B5F"/>
    <w:rsid w:val="00293B6B"/>
    <w:rsid w:val="00293BFB"/>
    <w:rsid w:val="00293C9C"/>
    <w:rsid w:val="00293D09"/>
    <w:rsid w:val="00293D81"/>
    <w:rsid w:val="00293DC7"/>
    <w:rsid w:val="00293DEF"/>
    <w:rsid w:val="00293E2F"/>
    <w:rsid w:val="00293EAE"/>
    <w:rsid w:val="00293F59"/>
    <w:rsid w:val="00293FC7"/>
    <w:rsid w:val="00294011"/>
    <w:rsid w:val="0029406A"/>
    <w:rsid w:val="0029411A"/>
    <w:rsid w:val="00294165"/>
    <w:rsid w:val="0029417B"/>
    <w:rsid w:val="00294197"/>
    <w:rsid w:val="002941CB"/>
    <w:rsid w:val="002941D4"/>
    <w:rsid w:val="002941FC"/>
    <w:rsid w:val="00294211"/>
    <w:rsid w:val="0029434D"/>
    <w:rsid w:val="0029436A"/>
    <w:rsid w:val="002943B9"/>
    <w:rsid w:val="002943DE"/>
    <w:rsid w:val="00294412"/>
    <w:rsid w:val="002944F4"/>
    <w:rsid w:val="002945DF"/>
    <w:rsid w:val="0029464E"/>
    <w:rsid w:val="0029465C"/>
    <w:rsid w:val="002946C4"/>
    <w:rsid w:val="002946F8"/>
    <w:rsid w:val="0029476E"/>
    <w:rsid w:val="002947DC"/>
    <w:rsid w:val="00294837"/>
    <w:rsid w:val="0029485B"/>
    <w:rsid w:val="0029487A"/>
    <w:rsid w:val="00294887"/>
    <w:rsid w:val="0029496B"/>
    <w:rsid w:val="00294974"/>
    <w:rsid w:val="00294A18"/>
    <w:rsid w:val="00294AA0"/>
    <w:rsid w:val="00294ACF"/>
    <w:rsid w:val="00294AD5"/>
    <w:rsid w:val="00294B1D"/>
    <w:rsid w:val="00294BD5"/>
    <w:rsid w:val="00294BD8"/>
    <w:rsid w:val="00294C9D"/>
    <w:rsid w:val="00294C9E"/>
    <w:rsid w:val="00294CE3"/>
    <w:rsid w:val="00294D56"/>
    <w:rsid w:val="00294D6E"/>
    <w:rsid w:val="00294E63"/>
    <w:rsid w:val="00294FFD"/>
    <w:rsid w:val="00295029"/>
    <w:rsid w:val="00295046"/>
    <w:rsid w:val="00295086"/>
    <w:rsid w:val="0029517F"/>
    <w:rsid w:val="002954DD"/>
    <w:rsid w:val="00295646"/>
    <w:rsid w:val="002956FE"/>
    <w:rsid w:val="002958C0"/>
    <w:rsid w:val="002958C6"/>
    <w:rsid w:val="002958CF"/>
    <w:rsid w:val="002958E7"/>
    <w:rsid w:val="00295938"/>
    <w:rsid w:val="002959CA"/>
    <w:rsid w:val="00295AAA"/>
    <w:rsid w:val="00295B23"/>
    <w:rsid w:val="00295B3A"/>
    <w:rsid w:val="00295BD0"/>
    <w:rsid w:val="00295BE3"/>
    <w:rsid w:val="00295C9E"/>
    <w:rsid w:val="00295CB5"/>
    <w:rsid w:val="00295CC3"/>
    <w:rsid w:val="00295D06"/>
    <w:rsid w:val="00295D6E"/>
    <w:rsid w:val="00295E4C"/>
    <w:rsid w:val="00295E90"/>
    <w:rsid w:val="00295EEE"/>
    <w:rsid w:val="002960B6"/>
    <w:rsid w:val="002960EA"/>
    <w:rsid w:val="00296140"/>
    <w:rsid w:val="0029615B"/>
    <w:rsid w:val="00296184"/>
    <w:rsid w:val="002961B5"/>
    <w:rsid w:val="00296249"/>
    <w:rsid w:val="0029634A"/>
    <w:rsid w:val="002963AF"/>
    <w:rsid w:val="002963D6"/>
    <w:rsid w:val="002964B0"/>
    <w:rsid w:val="002964F8"/>
    <w:rsid w:val="0029654E"/>
    <w:rsid w:val="002965C2"/>
    <w:rsid w:val="00296627"/>
    <w:rsid w:val="0029664A"/>
    <w:rsid w:val="00296667"/>
    <w:rsid w:val="00296761"/>
    <w:rsid w:val="002968AC"/>
    <w:rsid w:val="002968FA"/>
    <w:rsid w:val="002969F2"/>
    <w:rsid w:val="00296A29"/>
    <w:rsid w:val="00296A8C"/>
    <w:rsid w:val="00296B30"/>
    <w:rsid w:val="00296B45"/>
    <w:rsid w:val="00296B6F"/>
    <w:rsid w:val="00296BA9"/>
    <w:rsid w:val="00296BDE"/>
    <w:rsid w:val="00296C0F"/>
    <w:rsid w:val="00296C42"/>
    <w:rsid w:val="00296C99"/>
    <w:rsid w:val="00296D58"/>
    <w:rsid w:val="00296E5C"/>
    <w:rsid w:val="00296F0E"/>
    <w:rsid w:val="00296F23"/>
    <w:rsid w:val="00296F6C"/>
    <w:rsid w:val="00296F93"/>
    <w:rsid w:val="0029701A"/>
    <w:rsid w:val="00297067"/>
    <w:rsid w:val="002970FF"/>
    <w:rsid w:val="00297242"/>
    <w:rsid w:val="002972DD"/>
    <w:rsid w:val="00297338"/>
    <w:rsid w:val="0029744D"/>
    <w:rsid w:val="00297550"/>
    <w:rsid w:val="00297565"/>
    <w:rsid w:val="00297678"/>
    <w:rsid w:val="00297712"/>
    <w:rsid w:val="00297739"/>
    <w:rsid w:val="00297799"/>
    <w:rsid w:val="002977B4"/>
    <w:rsid w:val="002977BA"/>
    <w:rsid w:val="002977FA"/>
    <w:rsid w:val="0029781B"/>
    <w:rsid w:val="0029799D"/>
    <w:rsid w:val="00297A04"/>
    <w:rsid w:val="00297B31"/>
    <w:rsid w:val="00297B6A"/>
    <w:rsid w:val="00297B87"/>
    <w:rsid w:val="00297BC2"/>
    <w:rsid w:val="00297C10"/>
    <w:rsid w:val="00297C95"/>
    <w:rsid w:val="00297CDC"/>
    <w:rsid w:val="00297D09"/>
    <w:rsid w:val="00297D14"/>
    <w:rsid w:val="00297F47"/>
    <w:rsid w:val="002A0020"/>
    <w:rsid w:val="002A00A3"/>
    <w:rsid w:val="002A01D2"/>
    <w:rsid w:val="002A0264"/>
    <w:rsid w:val="002A02AD"/>
    <w:rsid w:val="002A02C5"/>
    <w:rsid w:val="002A02F8"/>
    <w:rsid w:val="002A036F"/>
    <w:rsid w:val="002A0460"/>
    <w:rsid w:val="002A04A1"/>
    <w:rsid w:val="002A04B1"/>
    <w:rsid w:val="002A052C"/>
    <w:rsid w:val="002A0566"/>
    <w:rsid w:val="002A056A"/>
    <w:rsid w:val="002A0585"/>
    <w:rsid w:val="002A05A8"/>
    <w:rsid w:val="002A060B"/>
    <w:rsid w:val="002A0611"/>
    <w:rsid w:val="002A0728"/>
    <w:rsid w:val="002A0849"/>
    <w:rsid w:val="002A0A17"/>
    <w:rsid w:val="002A0AF8"/>
    <w:rsid w:val="002A0B37"/>
    <w:rsid w:val="002A0BD3"/>
    <w:rsid w:val="002A0C41"/>
    <w:rsid w:val="002A0CB7"/>
    <w:rsid w:val="002A0D4F"/>
    <w:rsid w:val="002A0D94"/>
    <w:rsid w:val="002A0E73"/>
    <w:rsid w:val="002A0EF3"/>
    <w:rsid w:val="002A0F58"/>
    <w:rsid w:val="002A0F64"/>
    <w:rsid w:val="002A102F"/>
    <w:rsid w:val="002A109A"/>
    <w:rsid w:val="002A11BA"/>
    <w:rsid w:val="002A129B"/>
    <w:rsid w:val="002A138E"/>
    <w:rsid w:val="002A167D"/>
    <w:rsid w:val="002A16DB"/>
    <w:rsid w:val="002A17A7"/>
    <w:rsid w:val="002A17CC"/>
    <w:rsid w:val="002A17F5"/>
    <w:rsid w:val="002A17FC"/>
    <w:rsid w:val="002A1812"/>
    <w:rsid w:val="002A1820"/>
    <w:rsid w:val="002A1843"/>
    <w:rsid w:val="002A18C9"/>
    <w:rsid w:val="002A18E1"/>
    <w:rsid w:val="002A1B3C"/>
    <w:rsid w:val="002A1B5A"/>
    <w:rsid w:val="002A1B9D"/>
    <w:rsid w:val="002A1BE8"/>
    <w:rsid w:val="002A1C8E"/>
    <w:rsid w:val="002A1D04"/>
    <w:rsid w:val="002A1D06"/>
    <w:rsid w:val="002A1D0F"/>
    <w:rsid w:val="002A1E0D"/>
    <w:rsid w:val="002A1E53"/>
    <w:rsid w:val="002A1E92"/>
    <w:rsid w:val="002A2062"/>
    <w:rsid w:val="002A20CB"/>
    <w:rsid w:val="002A2110"/>
    <w:rsid w:val="002A214C"/>
    <w:rsid w:val="002A218F"/>
    <w:rsid w:val="002A2201"/>
    <w:rsid w:val="002A227E"/>
    <w:rsid w:val="002A2285"/>
    <w:rsid w:val="002A22AF"/>
    <w:rsid w:val="002A232C"/>
    <w:rsid w:val="002A2392"/>
    <w:rsid w:val="002A24AF"/>
    <w:rsid w:val="002A24CB"/>
    <w:rsid w:val="002A259A"/>
    <w:rsid w:val="002A259B"/>
    <w:rsid w:val="002A2735"/>
    <w:rsid w:val="002A27C5"/>
    <w:rsid w:val="002A2827"/>
    <w:rsid w:val="002A2897"/>
    <w:rsid w:val="002A28DA"/>
    <w:rsid w:val="002A2938"/>
    <w:rsid w:val="002A2952"/>
    <w:rsid w:val="002A2A36"/>
    <w:rsid w:val="002A2A47"/>
    <w:rsid w:val="002A2A60"/>
    <w:rsid w:val="002A2AA3"/>
    <w:rsid w:val="002A2B31"/>
    <w:rsid w:val="002A2BC1"/>
    <w:rsid w:val="002A2C84"/>
    <w:rsid w:val="002A2CE5"/>
    <w:rsid w:val="002A2CEF"/>
    <w:rsid w:val="002A2DC3"/>
    <w:rsid w:val="002A2E24"/>
    <w:rsid w:val="002A2E76"/>
    <w:rsid w:val="002A2F2B"/>
    <w:rsid w:val="002A2F5D"/>
    <w:rsid w:val="002A2FE7"/>
    <w:rsid w:val="002A2FF2"/>
    <w:rsid w:val="002A30CC"/>
    <w:rsid w:val="002A3134"/>
    <w:rsid w:val="002A31F0"/>
    <w:rsid w:val="002A321B"/>
    <w:rsid w:val="002A321E"/>
    <w:rsid w:val="002A3302"/>
    <w:rsid w:val="002A334A"/>
    <w:rsid w:val="002A3380"/>
    <w:rsid w:val="002A33AA"/>
    <w:rsid w:val="002A33AD"/>
    <w:rsid w:val="002A3519"/>
    <w:rsid w:val="002A359D"/>
    <w:rsid w:val="002A35BA"/>
    <w:rsid w:val="002A35DD"/>
    <w:rsid w:val="002A3629"/>
    <w:rsid w:val="002A37B6"/>
    <w:rsid w:val="002A3824"/>
    <w:rsid w:val="002A3990"/>
    <w:rsid w:val="002A3A2B"/>
    <w:rsid w:val="002A3A32"/>
    <w:rsid w:val="002A3AA8"/>
    <w:rsid w:val="002A3B99"/>
    <w:rsid w:val="002A3C0B"/>
    <w:rsid w:val="002A3C61"/>
    <w:rsid w:val="002A3D46"/>
    <w:rsid w:val="002A3D50"/>
    <w:rsid w:val="002A3DA5"/>
    <w:rsid w:val="002A3DDF"/>
    <w:rsid w:val="002A3E18"/>
    <w:rsid w:val="002A3E24"/>
    <w:rsid w:val="002A3E63"/>
    <w:rsid w:val="002A3EC7"/>
    <w:rsid w:val="002A3EDB"/>
    <w:rsid w:val="002A40ED"/>
    <w:rsid w:val="002A40FE"/>
    <w:rsid w:val="002A4183"/>
    <w:rsid w:val="002A41A0"/>
    <w:rsid w:val="002A41B0"/>
    <w:rsid w:val="002A4223"/>
    <w:rsid w:val="002A4397"/>
    <w:rsid w:val="002A4565"/>
    <w:rsid w:val="002A45F3"/>
    <w:rsid w:val="002A45FC"/>
    <w:rsid w:val="002A46C9"/>
    <w:rsid w:val="002A48B8"/>
    <w:rsid w:val="002A4913"/>
    <w:rsid w:val="002A49A4"/>
    <w:rsid w:val="002A4A14"/>
    <w:rsid w:val="002A4A3C"/>
    <w:rsid w:val="002A4B24"/>
    <w:rsid w:val="002A4B2C"/>
    <w:rsid w:val="002A4B90"/>
    <w:rsid w:val="002A4BBB"/>
    <w:rsid w:val="002A4CEE"/>
    <w:rsid w:val="002A4D08"/>
    <w:rsid w:val="002A4D3D"/>
    <w:rsid w:val="002A4D57"/>
    <w:rsid w:val="002A4E4B"/>
    <w:rsid w:val="002A4F04"/>
    <w:rsid w:val="002A4F6A"/>
    <w:rsid w:val="002A5023"/>
    <w:rsid w:val="002A5037"/>
    <w:rsid w:val="002A507F"/>
    <w:rsid w:val="002A5089"/>
    <w:rsid w:val="002A50B3"/>
    <w:rsid w:val="002A51A3"/>
    <w:rsid w:val="002A5228"/>
    <w:rsid w:val="002A526D"/>
    <w:rsid w:val="002A5325"/>
    <w:rsid w:val="002A5395"/>
    <w:rsid w:val="002A53D7"/>
    <w:rsid w:val="002A541E"/>
    <w:rsid w:val="002A543C"/>
    <w:rsid w:val="002A5486"/>
    <w:rsid w:val="002A54E7"/>
    <w:rsid w:val="002A550C"/>
    <w:rsid w:val="002A55B4"/>
    <w:rsid w:val="002A5637"/>
    <w:rsid w:val="002A5716"/>
    <w:rsid w:val="002A571D"/>
    <w:rsid w:val="002A58CA"/>
    <w:rsid w:val="002A5903"/>
    <w:rsid w:val="002A590C"/>
    <w:rsid w:val="002A5B64"/>
    <w:rsid w:val="002A5B9C"/>
    <w:rsid w:val="002A5CD7"/>
    <w:rsid w:val="002A5D00"/>
    <w:rsid w:val="002A5D08"/>
    <w:rsid w:val="002A5D5F"/>
    <w:rsid w:val="002A5D70"/>
    <w:rsid w:val="002A5ED1"/>
    <w:rsid w:val="002A5FAC"/>
    <w:rsid w:val="002A601E"/>
    <w:rsid w:val="002A605B"/>
    <w:rsid w:val="002A6097"/>
    <w:rsid w:val="002A60CB"/>
    <w:rsid w:val="002A6104"/>
    <w:rsid w:val="002A61B5"/>
    <w:rsid w:val="002A61E8"/>
    <w:rsid w:val="002A6253"/>
    <w:rsid w:val="002A6255"/>
    <w:rsid w:val="002A6318"/>
    <w:rsid w:val="002A631C"/>
    <w:rsid w:val="002A6341"/>
    <w:rsid w:val="002A641B"/>
    <w:rsid w:val="002A642F"/>
    <w:rsid w:val="002A64D5"/>
    <w:rsid w:val="002A6545"/>
    <w:rsid w:val="002A65A0"/>
    <w:rsid w:val="002A65BE"/>
    <w:rsid w:val="002A6690"/>
    <w:rsid w:val="002A685E"/>
    <w:rsid w:val="002A687A"/>
    <w:rsid w:val="002A68CF"/>
    <w:rsid w:val="002A690A"/>
    <w:rsid w:val="002A69EC"/>
    <w:rsid w:val="002A6A17"/>
    <w:rsid w:val="002A6A46"/>
    <w:rsid w:val="002A6A6C"/>
    <w:rsid w:val="002A6A6F"/>
    <w:rsid w:val="002A6A78"/>
    <w:rsid w:val="002A6B2E"/>
    <w:rsid w:val="002A6C20"/>
    <w:rsid w:val="002A6C4A"/>
    <w:rsid w:val="002A6C5E"/>
    <w:rsid w:val="002A6CCE"/>
    <w:rsid w:val="002A6D28"/>
    <w:rsid w:val="002A6D4F"/>
    <w:rsid w:val="002A6DD6"/>
    <w:rsid w:val="002A6DF7"/>
    <w:rsid w:val="002A6E55"/>
    <w:rsid w:val="002A6EBD"/>
    <w:rsid w:val="002A6F3D"/>
    <w:rsid w:val="002A6FA1"/>
    <w:rsid w:val="002A70D0"/>
    <w:rsid w:val="002A7109"/>
    <w:rsid w:val="002A7131"/>
    <w:rsid w:val="002A71A6"/>
    <w:rsid w:val="002A71B5"/>
    <w:rsid w:val="002A71CA"/>
    <w:rsid w:val="002A729F"/>
    <w:rsid w:val="002A72F2"/>
    <w:rsid w:val="002A730A"/>
    <w:rsid w:val="002A7312"/>
    <w:rsid w:val="002A7339"/>
    <w:rsid w:val="002A73D8"/>
    <w:rsid w:val="002A741A"/>
    <w:rsid w:val="002A74B1"/>
    <w:rsid w:val="002A7585"/>
    <w:rsid w:val="002A75E6"/>
    <w:rsid w:val="002A75EA"/>
    <w:rsid w:val="002A7603"/>
    <w:rsid w:val="002A76CE"/>
    <w:rsid w:val="002A76D4"/>
    <w:rsid w:val="002A76E4"/>
    <w:rsid w:val="002A771F"/>
    <w:rsid w:val="002A7734"/>
    <w:rsid w:val="002A7792"/>
    <w:rsid w:val="002A779C"/>
    <w:rsid w:val="002A77A5"/>
    <w:rsid w:val="002A77D9"/>
    <w:rsid w:val="002A782E"/>
    <w:rsid w:val="002A78D0"/>
    <w:rsid w:val="002A78DD"/>
    <w:rsid w:val="002A790E"/>
    <w:rsid w:val="002A799E"/>
    <w:rsid w:val="002A799F"/>
    <w:rsid w:val="002A79B0"/>
    <w:rsid w:val="002A7A2D"/>
    <w:rsid w:val="002A7B16"/>
    <w:rsid w:val="002A7B3B"/>
    <w:rsid w:val="002A7B99"/>
    <w:rsid w:val="002A7C6F"/>
    <w:rsid w:val="002A7C7F"/>
    <w:rsid w:val="002A7D54"/>
    <w:rsid w:val="002A7D5C"/>
    <w:rsid w:val="002A7E04"/>
    <w:rsid w:val="002A7EA2"/>
    <w:rsid w:val="002A7ED0"/>
    <w:rsid w:val="002A7F62"/>
    <w:rsid w:val="002A7FB5"/>
    <w:rsid w:val="002B003B"/>
    <w:rsid w:val="002B005D"/>
    <w:rsid w:val="002B0069"/>
    <w:rsid w:val="002B00B4"/>
    <w:rsid w:val="002B0273"/>
    <w:rsid w:val="002B0345"/>
    <w:rsid w:val="002B0380"/>
    <w:rsid w:val="002B04BB"/>
    <w:rsid w:val="002B04BF"/>
    <w:rsid w:val="002B056B"/>
    <w:rsid w:val="002B05A0"/>
    <w:rsid w:val="002B0600"/>
    <w:rsid w:val="002B0705"/>
    <w:rsid w:val="002B074C"/>
    <w:rsid w:val="002B07A7"/>
    <w:rsid w:val="002B07BE"/>
    <w:rsid w:val="002B07E5"/>
    <w:rsid w:val="002B085F"/>
    <w:rsid w:val="002B08F0"/>
    <w:rsid w:val="002B0917"/>
    <w:rsid w:val="002B09B3"/>
    <w:rsid w:val="002B0B21"/>
    <w:rsid w:val="002B0B5F"/>
    <w:rsid w:val="002B0B62"/>
    <w:rsid w:val="002B0E02"/>
    <w:rsid w:val="002B0E24"/>
    <w:rsid w:val="002B0E7A"/>
    <w:rsid w:val="002B0EBF"/>
    <w:rsid w:val="002B0F06"/>
    <w:rsid w:val="002B0F4D"/>
    <w:rsid w:val="002B0F80"/>
    <w:rsid w:val="002B0FB1"/>
    <w:rsid w:val="002B1055"/>
    <w:rsid w:val="002B10C8"/>
    <w:rsid w:val="002B1130"/>
    <w:rsid w:val="002B1172"/>
    <w:rsid w:val="002B11A1"/>
    <w:rsid w:val="002B11F2"/>
    <w:rsid w:val="002B120B"/>
    <w:rsid w:val="002B13EA"/>
    <w:rsid w:val="002B1470"/>
    <w:rsid w:val="002B155C"/>
    <w:rsid w:val="002B1639"/>
    <w:rsid w:val="002B17FC"/>
    <w:rsid w:val="002B17FF"/>
    <w:rsid w:val="002B1873"/>
    <w:rsid w:val="002B1897"/>
    <w:rsid w:val="002B19D8"/>
    <w:rsid w:val="002B1BFB"/>
    <w:rsid w:val="002B1C05"/>
    <w:rsid w:val="002B1C55"/>
    <w:rsid w:val="002B1CA0"/>
    <w:rsid w:val="002B1CB9"/>
    <w:rsid w:val="002B1CBC"/>
    <w:rsid w:val="002B1CF9"/>
    <w:rsid w:val="002B1D44"/>
    <w:rsid w:val="002B1DB9"/>
    <w:rsid w:val="002B1EF2"/>
    <w:rsid w:val="002B1F84"/>
    <w:rsid w:val="002B201D"/>
    <w:rsid w:val="002B204C"/>
    <w:rsid w:val="002B2197"/>
    <w:rsid w:val="002B21FC"/>
    <w:rsid w:val="002B226D"/>
    <w:rsid w:val="002B2329"/>
    <w:rsid w:val="002B23B9"/>
    <w:rsid w:val="002B23BD"/>
    <w:rsid w:val="002B23D5"/>
    <w:rsid w:val="002B246E"/>
    <w:rsid w:val="002B2536"/>
    <w:rsid w:val="002B25B4"/>
    <w:rsid w:val="002B25CE"/>
    <w:rsid w:val="002B2621"/>
    <w:rsid w:val="002B269B"/>
    <w:rsid w:val="002B26D2"/>
    <w:rsid w:val="002B275A"/>
    <w:rsid w:val="002B27FA"/>
    <w:rsid w:val="002B282F"/>
    <w:rsid w:val="002B2860"/>
    <w:rsid w:val="002B28DF"/>
    <w:rsid w:val="002B2955"/>
    <w:rsid w:val="002B29BF"/>
    <w:rsid w:val="002B2A0C"/>
    <w:rsid w:val="002B2AB9"/>
    <w:rsid w:val="002B2B8B"/>
    <w:rsid w:val="002B2C27"/>
    <w:rsid w:val="002B2C32"/>
    <w:rsid w:val="002B2C34"/>
    <w:rsid w:val="002B2CA2"/>
    <w:rsid w:val="002B2E6F"/>
    <w:rsid w:val="002B2E8F"/>
    <w:rsid w:val="002B2F66"/>
    <w:rsid w:val="002B2F6E"/>
    <w:rsid w:val="002B2FD0"/>
    <w:rsid w:val="002B2FD9"/>
    <w:rsid w:val="002B3047"/>
    <w:rsid w:val="002B30C1"/>
    <w:rsid w:val="002B3100"/>
    <w:rsid w:val="002B33B9"/>
    <w:rsid w:val="002B33CE"/>
    <w:rsid w:val="002B33F7"/>
    <w:rsid w:val="002B3414"/>
    <w:rsid w:val="002B3472"/>
    <w:rsid w:val="002B357A"/>
    <w:rsid w:val="002B3624"/>
    <w:rsid w:val="002B362F"/>
    <w:rsid w:val="002B3721"/>
    <w:rsid w:val="002B3786"/>
    <w:rsid w:val="002B379C"/>
    <w:rsid w:val="002B37F7"/>
    <w:rsid w:val="002B3933"/>
    <w:rsid w:val="002B395E"/>
    <w:rsid w:val="002B39D1"/>
    <w:rsid w:val="002B39D7"/>
    <w:rsid w:val="002B3A17"/>
    <w:rsid w:val="002B3A2B"/>
    <w:rsid w:val="002B3A60"/>
    <w:rsid w:val="002B3AA0"/>
    <w:rsid w:val="002B3ABE"/>
    <w:rsid w:val="002B3B10"/>
    <w:rsid w:val="002B3B2E"/>
    <w:rsid w:val="002B3B7A"/>
    <w:rsid w:val="002B3B7B"/>
    <w:rsid w:val="002B3BFD"/>
    <w:rsid w:val="002B3C24"/>
    <w:rsid w:val="002B3C4C"/>
    <w:rsid w:val="002B3C77"/>
    <w:rsid w:val="002B3EE0"/>
    <w:rsid w:val="002B3F28"/>
    <w:rsid w:val="002B3F82"/>
    <w:rsid w:val="002B3FF8"/>
    <w:rsid w:val="002B4058"/>
    <w:rsid w:val="002B408B"/>
    <w:rsid w:val="002B41E1"/>
    <w:rsid w:val="002B4213"/>
    <w:rsid w:val="002B4280"/>
    <w:rsid w:val="002B42DB"/>
    <w:rsid w:val="002B4302"/>
    <w:rsid w:val="002B432F"/>
    <w:rsid w:val="002B433E"/>
    <w:rsid w:val="002B44A0"/>
    <w:rsid w:val="002B44CF"/>
    <w:rsid w:val="002B44F6"/>
    <w:rsid w:val="002B4541"/>
    <w:rsid w:val="002B4561"/>
    <w:rsid w:val="002B45AD"/>
    <w:rsid w:val="002B460D"/>
    <w:rsid w:val="002B4795"/>
    <w:rsid w:val="002B4879"/>
    <w:rsid w:val="002B4B91"/>
    <w:rsid w:val="002B4BA9"/>
    <w:rsid w:val="002B4C49"/>
    <w:rsid w:val="002B4C72"/>
    <w:rsid w:val="002B4CB9"/>
    <w:rsid w:val="002B4D17"/>
    <w:rsid w:val="002B4D61"/>
    <w:rsid w:val="002B4E02"/>
    <w:rsid w:val="002B4EAD"/>
    <w:rsid w:val="002B4F50"/>
    <w:rsid w:val="002B501A"/>
    <w:rsid w:val="002B50FB"/>
    <w:rsid w:val="002B516D"/>
    <w:rsid w:val="002B5280"/>
    <w:rsid w:val="002B5318"/>
    <w:rsid w:val="002B5464"/>
    <w:rsid w:val="002B549F"/>
    <w:rsid w:val="002B54E8"/>
    <w:rsid w:val="002B54F5"/>
    <w:rsid w:val="002B5539"/>
    <w:rsid w:val="002B561A"/>
    <w:rsid w:val="002B5683"/>
    <w:rsid w:val="002B580A"/>
    <w:rsid w:val="002B5842"/>
    <w:rsid w:val="002B58B0"/>
    <w:rsid w:val="002B58C3"/>
    <w:rsid w:val="002B58F7"/>
    <w:rsid w:val="002B5986"/>
    <w:rsid w:val="002B5997"/>
    <w:rsid w:val="002B59CA"/>
    <w:rsid w:val="002B5B7F"/>
    <w:rsid w:val="002B5B82"/>
    <w:rsid w:val="002B5C40"/>
    <w:rsid w:val="002B5C84"/>
    <w:rsid w:val="002B5CEC"/>
    <w:rsid w:val="002B5D12"/>
    <w:rsid w:val="002B5D25"/>
    <w:rsid w:val="002B5D49"/>
    <w:rsid w:val="002B5D4C"/>
    <w:rsid w:val="002B5E4A"/>
    <w:rsid w:val="002B5ED8"/>
    <w:rsid w:val="002B5EDF"/>
    <w:rsid w:val="002B5F12"/>
    <w:rsid w:val="002B5F1B"/>
    <w:rsid w:val="002B5F4A"/>
    <w:rsid w:val="002B5FA3"/>
    <w:rsid w:val="002B5FF2"/>
    <w:rsid w:val="002B6179"/>
    <w:rsid w:val="002B617C"/>
    <w:rsid w:val="002B620A"/>
    <w:rsid w:val="002B62DA"/>
    <w:rsid w:val="002B638B"/>
    <w:rsid w:val="002B646F"/>
    <w:rsid w:val="002B6478"/>
    <w:rsid w:val="002B6551"/>
    <w:rsid w:val="002B656B"/>
    <w:rsid w:val="002B65D5"/>
    <w:rsid w:val="002B65E7"/>
    <w:rsid w:val="002B65FA"/>
    <w:rsid w:val="002B660C"/>
    <w:rsid w:val="002B67FB"/>
    <w:rsid w:val="002B683B"/>
    <w:rsid w:val="002B686B"/>
    <w:rsid w:val="002B68BA"/>
    <w:rsid w:val="002B6953"/>
    <w:rsid w:val="002B6964"/>
    <w:rsid w:val="002B69A2"/>
    <w:rsid w:val="002B6B27"/>
    <w:rsid w:val="002B6B9E"/>
    <w:rsid w:val="002B6C09"/>
    <w:rsid w:val="002B6C5D"/>
    <w:rsid w:val="002B6C7E"/>
    <w:rsid w:val="002B6DBA"/>
    <w:rsid w:val="002B6EA7"/>
    <w:rsid w:val="002B6F18"/>
    <w:rsid w:val="002B6F42"/>
    <w:rsid w:val="002B6F45"/>
    <w:rsid w:val="002B6FB8"/>
    <w:rsid w:val="002B6FE9"/>
    <w:rsid w:val="002B7013"/>
    <w:rsid w:val="002B710D"/>
    <w:rsid w:val="002B7290"/>
    <w:rsid w:val="002B7313"/>
    <w:rsid w:val="002B7408"/>
    <w:rsid w:val="002B7423"/>
    <w:rsid w:val="002B7459"/>
    <w:rsid w:val="002B74A8"/>
    <w:rsid w:val="002B74FE"/>
    <w:rsid w:val="002B7526"/>
    <w:rsid w:val="002B7628"/>
    <w:rsid w:val="002B76FE"/>
    <w:rsid w:val="002B777A"/>
    <w:rsid w:val="002B778D"/>
    <w:rsid w:val="002B77C1"/>
    <w:rsid w:val="002B7844"/>
    <w:rsid w:val="002B785F"/>
    <w:rsid w:val="002B78AF"/>
    <w:rsid w:val="002B79A0"/>
    <w:rsid w:val="002B79B7"/>
    <w:rsid w:val="002B7A9B"/>
    <w:rsid w:val="002B7B99"/>
    <w:rsid w:val="002B7C9E"/>
    <w:rsid w:val="002B7D48"/>
    <w:rsid w:val="002B7DA4"/>
    <w:rsid w:val="002B7DD8"/>
    <w:rsid w:val="002B7E87"/>
    <w:rsid w:val="002B7E97"/>
    <w:rsid w:val="002B7ED3"/>
    <w:rsid w:val="002B7F2E"/>
    <w:rsid w:val="002B7F7F"/>
    <w:rsid w:val="002C009A"/>
    <w:rsid w:val="002C0102"/>
    <w:rsid w:val="002C0108"/>
    <w:rsid w:val="002C0184"/>
    <w:rsid w:val="002C018A"/>
    <w:rsid w:val="002C01E1"/>
    <w:rsid w:val="002C0227"/>
    <w:rsid w:val="002C027F"/>
    <w:rsid w:val="002C02B3"/>
    <w:rsid w:val="002C02C9"/>
    <w:rsid w:val="002C0349"/>
    <w:rsid w:val="002C03D1"/>
    <w:rsid w:val="002C04C8"/>
    <w:rsid w:val="002C0538"/>
    <w:rsid w:val="002C05EA"/>
    <w:rsid w:val="002C0660"/>
    <w:rsid w:val="002C0678"/>
    <w:rsid w:val="002C0781"/>
    <w:rsid w:val="002C07B8"/>
    <w:rsid w:val="002C07BE"/>
    <w:rsid w:val="002C07F2"/>
    <w:rsid w:val="002C0836"/>
    <w:rsid w:val="002C0904"/>
    <w:rsid w:val="002C0930"/>
    <w:rsid w:val="002C0957"/>
    <w:rsid w:val="002C09FC"/>
    <w:rsid w:val="002C0A64"/>
    <w:rsid w:val="002C0A8F"/>
    <w:rsid w:val="002C0AA6"/>
    <w:rsid w:val="002C0B24"/>
    <w:rsid w:val="002C0B4E"/>
    <w:rsid w:val="002C0BA0"/>
    <w:rsid w:val="002C0D75"/>
    <w:rsid w:val="002C0D8D"/>
    <w:rsid w:val="002C0E21"/>
    <w:rsid w:val="002C0E88"/>
    <w:rsid w:val="002C0F4B"/>
    <w:rsid w:val="002C104E"/>
    <w:rsid w:val="002C106E"/>
    <w:rsid w:val="002C1144"/>
    <w:rsid w:val="002C1170"/>
    <w:rsid w:val="002C118C"/>
    <w:rsid w:val="002C1373"/>
    <w:rsid w:val="002C1386"/>
    <w:rsid w:val="002C13C4"/>
    <w:rsid w:val="002C140C"/>
    <w:rsid w:val="002C154B"/>
    <w:rsid w:val="002C157E"/>
    <w:rsid w:val="002C15AE"/>
    <w:rsid w:val="002C16AB"/>
    <w:rsid w:val="002C1848"/>
    <w:rsid w:val="002C1891"/>
    <w:rsid w:val="002C1909"/>
    <w:rsid w:val="002C1961"/>
    <w:rsid w:val="002C198A"/>
    <w:rsid w:val="002C1A0E"/>
    <w:rsid w:val="002C1A1E"/>
    <w:rsid w:val="002C1AE0"/>
    <w:rsid w:val="002C1CA9"/>
    <w:rsid w:val="002C1CBF"/>
    <w:rsid w:val="002C1CD8"/>
    <w:rsid w:val="002C1F83"/>
    <w:rsid w:val="002C1FA3"/>
    <w:rsid w:val="002C1FF0"/>
    <w:rsid w:val="002C1FF9"/>
    <w:rsid w:val="002C207B"/>
    <w:rsid w:val="002C21C4"/>
    <w:rsid w:val="002C2359"/>
    <w:rsid w:val="002C23EC"/>
    <w:rsid w:val="002C2428"/>
    <w:rsid w:val="002C2444"/>
    <w:rsid w:val="002C2557"/>
    <w:rsid w:val="002C2635"/>
    <w:rsid w:val="002C26B4"/>
    <w:rsid w:val="002C276F"/>
    <w:rsid w:val="002C27BD"/>
    <w:rsid w:val="002C2871"/>
    <w:rsid w:val="002C28DE"/>
    <w:rsid w:val="002C294D"/>
    <w:rsid w:val="002C297D"/>
    <w:rsid w:val="002C29BD"/>
    <w:rsid w:val="002C29D6"/>
    <w:rsid w:val="002C29E3"/>
    <w:rsid w:val="002C2B43"/>
    <w:rsid w:val="002C2CC2"/>
    <w:rsid w:val="002C2D63"/>
    <w:rsid w:val="002C2D6F"/>
    <w:rsid w:val="002C2D86"/>
    <w:rsid w:val="002C2E3F"/>
    <w:rsid w:val="002C2EC5"/>
    <w:rsid w:val="002C2EDF"/>
    <w:rsid w:val="002C2F52"/>
    <w:rsid w:val="002C2FC6"/>
    <w:rsid w:val="002C2FCF"/>
    <w:rsid w:val="002C2FF2"/>
    <w:rsid w:val="002C3060"/>
    <w:rsid w:val="002C30FD"/>
    <w:rsid w:val="002C3107"/>
    <w:rsid w:val="002C323B"/>
    <w:rsid w:val="002C3304"/>
    <w:rsid w:val="002C335E"/>
    <w:rsid w:val="002C33A9"/>
    <w:rsid w:val="002C3467"/>
    <w:rsid w:val="002C3487"/>
    <w:rsid w:val="002C3528"/>
    <w:rsid w:val="002C3567"/>
    <w:rsid w:val="002C358A"/>
    <w:rsid w:val="002C35F9"/>
    <w:rsid w:val="002C362B"/>
    <w:rsid w:val="002C3705"/>
    <w:rsid w:val="002C388D"/>
    <w:rsid w:val="002C38F2"/>
    <w:rsid w:val="002C39EE"/>
    <w:rsid w:val="002C3B14"/>
    <w:rsid w:val="002C3B90"/>
    <w:rsid w:val="002C3BCC"/>
    <w:rsid w:val="002C3C27"/>
    <w:rsid w:val="002C3D28"/>
    <w:rsid w:val="002C3DBA"/>
    <w:rsid w:val="002C3F2A"/>
    <w:rsid w:val="002C4018"/>
    <w:rsid w:val="002C4125"/>
    <w:rsid w:val="002C414A"/>
    <w:rsid w:val="002C4193"/>
    <w:rsid w:val="002C41A4"/>
    <w:rsid w:val="002C4229"/>
    <w:rsid w:val="002C427F"/>
    <w:rsid w:val="002C4338"/>
    <w:rsid w:val="002C4376"/>
    <w:rsid w:val="002C4383"/>
    <w:rsid w:val="002C4489"/>
    <w:rsid w:val="002C4509"/>
    <w:rsid w:val="002C455F"/>
    <w:rsid w:val="002C459F"/>
    <w:rsid w:val="002C4665"/>
    <w:rsid w:val="002C47DF"/>
    <w:rsid w:val="002C47E4"/>
    <w:rsid w:val="002C493D"/>
    <w:rsid w:val="002C4953"/>
    <w:rsid w:val="002C498E"/>
    <w:rsid w:val="002C4A9C"/>
    <w:rsid w:val="002C4B1E"/>
    <w:rsid w:val="002C4BFB"/>
    <w:rsid w:val="002C4CED"/>
    <w:rsid w:val="002C4CF8"/>
    <w:rsid w:val="002C4D01"/>
    <w:rsid w:val="002C4D45"/>
    <w:rsid w:val="002C4D73"/>
    <w:rsid w:val="002C4EC2"/>
    <w:rsid w:val="002C4EC9"/>
    <w:rsid w:val="002C4F0D"/>
    <w:rsid w:val="002C4F38"/>
    <w:rsid w:val="002C4F6C"/>
    <w:rsid w:val="002C5001"/>
    <w:rsid w:val="002C5195"/>
    <w:rsid w:val="002C5196"/>
    <w:rsid w:val="002C523D"/>
    <w:rsid w:val="002C5261"/>
    <w:rsid w:val="002C5262"/>
    <w:rsid w:val="002C52FE"/>
    <w:rsid w:val="002C534C"/>
    <w:rsid w:val="002C53E6"/>
    <w:rsid w:val="002C5415"/>
    <w:rsid w:val="002C5549"/>
    <w:rsid w:val="002C555C"/>
    <w:rsid w:val="002C558A"/>
    <w:rsid w:val="002C559A"/>
    <w:rsid w:val="002C5660"/>
    <w:rsid w:val="002C570F"/>
    <w:rsid w:val="002C5710"/>
    <w:rsid w:val="002C577C"/>
    <w:rsid w:val="002C5939"/>
    <w:rsid w:val="002C59B7"/>
    <w:rsid w:val="002C59C2"/>
    <w:rsid w:val="002C5A6F"/>
    <w:rsid w:val="002C5C87"/>
    <w:rsid w:val="002C5D60"/>
    <w:rsid w:val="002C5DFF"/>
    <w:rsid w:val="002C5E4E"/>
    <w:rsid w:val="002C5E59"/>
    <w:rsid w:val="002C5EA5"/>
    <w:rsid w:val="002C5F3B"/>
    <w:rsid w:val="002C5FCB"/>
    <w:rsid w:val="002C6015"/>
    <w:rsid w:val="002C602D"/>
    <w:rsid w:val="002C6070"/>
    <w:rsid w:val="002C60D8"/>
    <w:rsid w:val="002C60DF"/>
    <w:rsid w:val="002C61AB"/>
    <w:rsid w:val="002C628B"/>
    <w:rsid w:val="002C62BD"/>
    <w:rsid w:val="002C641C"/>
    <w:rsid w:val="002C6577"/>
    <w:rsid w:val="002C6606"/>
    <w:rsid w:val="002C664F"/>
    <w:rsid w:val="002C665F"/>
    <w:rsid w:val="002C6725"/>
    <w:rsid w:val="002C6854"/>
    <w:rsid w:val="002C687B"/>
    <w:rsid w:val="002C68C2"/>
    <w:rsid w:val="002C693B"/>
    <w:rsid w:val="002C6950"/>
    <w:rsid w:val="002C6A36"/>
    <w:rsid w:val="002C6A58"/>
    <w:rsid w:val="002C6A6D"/>
    <w:rsid w:val="002C6A7B"/>
    <w:rsid w:val="002C6A7F"/>
    <w:rsid w:val="002C6AC2"/>
    <w:rsid w:val="002C6AC6"/>
    <w:rsid w:val="002C6BC7"/>
    <w:rsid w:val="002C6C87"/>
    <w:rsid w:val="002C6E27"/>
    <w:rsid w:val="002C6F03"/>
    <w:rsid w:val="002C70D1"/>
    <w:rsid w:val="002C7140"/>
    <w:rsid w:val="002C715B"/>
    <w:rsid w:val="002C7161"/>
    <w:rsid w:val="002C71B6"/>
    <w:rsid w:val="002C7232"/>
    <w:rsid w:val="002C725C"/>
    <w:rsid w:val="002C72DE"/>
    <w:rsid w:val="002C73B0"/>
    <w:rsid w:val="002C74B4"/>
    <w:rsid w:val="002C74C8"/>
    <w:rsid w:val="002C7510"/>
    <w:rsid w:val="002C7521"/>
    <w:rsid w:val="002C7561"/>
    <w:rsid w:val="002C7568"/>
    <w:rsid w:val="002C759A"/>
    <w:rsid w:val="002C75CF"/>
    <w:rsid w:val="002C761F"/>
    <w:rsid w:val="002C76FE"/>
    <w:rsid w:val="002C774D"/>
    <w:rsid w:val="002C7752"/>
    <w:rsid w:val="002C777E"/>
    <w:rsid w:val="002C7781"/>
    <w:rsid w:val="002C77CE"/>
    <w:rsid w:val="002C77D4"/>
    <w:rsid w:val="002C7806"/>
    <w:rsid w:val="002C7883"/>
    <w:rsid w:val="002C7961"/>
    <w:rsid w:val="002C796A"/>
    <w:rsid w:val="002C7A30"/>
    <w:rsid w:val="002C7A4B"/>
    <w:rsid w:val="002C7A6A"/>
    <w:rsid w:val="002C7BE8"/>
    <w:rsid w:val="002C7CDE"/>
    <w:rsid w:val="002C7D94"/>
    <w:rsid w:val="002C7DBE"/>
    <w:rsid w:val="002C7EC7"/>
    <w:rsid w:val="002C7F43"/>
    <w:rsid w:val="002C7F90"/>
    <w:rsid w:val="002C7F9B"/>
    <w:rsid w:val="002D014E"/>
    <w:rsid w:val="002D015D"/>
    <w:rsid w:val="002D0296"/>
    <w:rsid w:val="002D0359"/>
    <w:rsid w:val="002D036F"/>
    <w:rsid w:val="002D0542"/>
    <w:rsid w:val="002D0567"/>
    <w:rsid w:val="002D05B1"/>
    <w:rsid w:val="002D05E4"/>
    <w:rsid w:val="002D05F6"/>
    <w:rsid w:val="002D0694"/>
    <w:rsid w:val="002D0720"/>
    <w:rsid w:val="002D072F"/>
    <w:rsid w:val="002D07CF"/>
    <w:rsid w:val="002D07D7"/>
    <w:rsid w:val="002D082C"/>
    <w:rsid w:val="002D08A0"/>
    <w:rsid w:val="002D08DB"/>
    <w:rsid w:val="002D08EB"/>
    <w:rsid w:val="002D0AF9"/>
    <w:rsid w:val="002D0B11"/>
    <w:rsid w:val="002D0B60"/>
    <w:rsid w:val="002D0B61"/>
    <w:rsid w:val="002D0C1F"/>
    <w:rsid w:val="002D0CB3"/>
    <w:rsid w:val="002D0CB9"/>
    <w:rsid w:val="002D0D2F"/>
    <w:rsid w:val="002D0D54"/>
    <w:rsid w:val="002D0D87"/>
    <w:rsid w:val="002D0DAF"/>
    <w:rsid w:val="002D0DEA"/>
    <w:rsid w:val="002D0F27"/>
    <w:rsid w:val="002D0F61"/>
    <w:rsid w:val="002D0F7A"/>
    <w:rsid w:val="002D0F86"/>
    <w:rsid w:val="002D0FE9"/>
    <w:rsid w:val="002D11C1"/>
    <w:rsid w:val="002D11C2"/>
    <w:rsid w:val="002D11E8"/>
    <w:rsid w:val="002D11EA"/>
    <w:rsid w:val="002D1356"/>
    <w:rsid w:val="002D13AF"/>
    <w:rsid w:val="002D1421"/>
    <w:rsid w:val="002D1452"/>
    <w:rsid w:val="002D15DE"/>
    <w:rsid w:val="002D1603"/>
    <w:rsid w:val="002D1616"/>
    <w:rsid w:val="002D165D"/>
    <w:rsid w:val="002D18A6"/>
    <w:rsid w:val="002D1996"/>
    <w:rsid w:val="002D1A10"/>
    <w:rsid w:val="002D1AB0"/>
    <w:rsid w:val="002D1ABD"/>
    <w:rsid w:val="002D1ADD"/>
    <w:rsid w:val="002D1BA4"/>
    <w:rsid w:val="002D1D1F"/>
    <w:rsid w:val="002D1DA5"/>
    <w:rsid w:val="002D1DBB"/>
    <w:rsid w:val="002D1EC2"/>
    <w:rsid w:val="002D1F37"/>
    <w:rsid w:val="002D1F9C"/>
    <w:rsid w:val="002D205F"/>
    <w:rsid w:val="002D20A8"/>
    <w:rsid w:val="002D2310"/>
    <w:rsid w:val="002D2329"/>
    <w:rsid w:val="002D2384"/>
    <w:rsid w:val="002D23AC"/>
    <w:rsid w:val="002D23E1"/>
    <w:rsid w:val="002D2411"/>
    <w:rsid w:val="002D248F"/>
    <w:rsid w:val="002D24A9"/>
    <w:rsid w:val="002D262D"/>
    <w:rsid w:val="002D2679"/>
    <w:rsid w:val="002D26C4"/>
    <w:rsid w:val="002D2751"/>
    <w:rsid w:val="002D2757"/>
    <w:rsid w:val="002D27CC"/>
    <w:rsid w:val="002D2835"/>
    <w:rsid w:val="002D28A0"/>
    <w:rsid w:val="002D29B8"/>
    <w:rsid w:val="002D2A8F"/>
    <w:rsid w:val="002D2B10"/>
    <w:rsid w:val="002D2B99"/>
    <w:rsid w:val="002D2C35"/>
    <w:rsid w:val="002D2C6E"/>
    <w:rsid w:val="002D2CF3"/>
    <w:rsid w:val="002D2CFF"/>
    <w:rsid w:val="002D2D7E"/>
    <w:rsid w:val="002D2E73"/>
    <w:rsid w:val="002D2EC1"/>
    <w:rsid w:val="002D2FFA"/>
    <w:rsid w:val="002D3068"/>
    <w:rsid w:val="002D30C4"/>
    <w:rsid w:val="002D3106"/>
    <w:rsid w:val="002D3127"/>
    <w:rsid w:val="002D3139"/>
    <w:rsid w:val="002D31E5"/>
    <w:rsid w:val="002D3239"/>
    <w:rsid w:val="002D33FF"/>
    <w:rsid w:val="002D3463"/>
    <w:rsid w:val="002D34FC"/>
    <w:rsid w:val="002D3564"/>
    <w:rsid w:val="002D35B0"/>
    <w:rsid w:val="002D3734"/>
    <w:rsid w:val="002D378C"/>
    <w:rsid w:val="002D3871"/>
    <w:rsid w:val="002D3AA8"/>
    <w:rsid w:val="002D3AE1"/>
    <w:rsid w:val="002D3B01"/>
    <w:rsid w:val="002D3B23"/>
    <w:rsid w:val="002D3C8A"/>
    <w:rsid w:val="002D3D3D"/>
    <w:rsid w:val="002D3DBC"/>
    <w:rsid w:val="002D3E1D"/>
    <w:rsid w:val="002D3EA0"/>
    <w:rsid w:val="002D3F82"/>
    <w:rsid w:val="002D3F98"/>
    <w:rsid w:val="002D4046"/>
    <w:rsid w:val="002D40AD"/>
    <w:rsid w:val="002D40E7"/>
    <w:rsid w:val="002D41DD"/>
    <w:rsid w:val="002D4212"/>
    <w:rsid w:val="002D424A"/>
    <w:rsid w:val="002D4339"/>
    <w:rsid w:val="002D434C"/>
    <w:rsid w:val="002D4521"/>
    <w:rsid w:val="002D4543"/>
    <w:rsid w:val="002D46F6"/>
    <w:rsid w:val="002D4788"/>
    <w:rsid w:val="002D4794"/>
    <w:rsid w:val="002D4871"/>
    <w:rsid w:val="002D4883"/>
    <w:rsid w:val="002D48A2"/>
    <w:rsid w:val="002D490A"/>
    <w:rsid w:val="002D4915"/>
    <w:rsid w:val="002D493C"/>
    <w:rsid w:val="002D495C"/>
    <w:rsid w:val="002D49E7"/>
    <w:rsid w:val="002D4BF2"/>
    <w:rsid w:val="002D4C59"/>
    <w:rsid w:val="002D4E34"/>
    <w:rsid w:val="002D4E61"/>
    <w:rsid w:val="002D4E8D"/>
    <w:rsid w:val="002D4F15"/>
    <w:rsid w:val="002D4F1E"/>
    <w:rsid w:val="002D4F5D"/>
    <w:rsid w:val="002D5020"/>
    <w:rsid w:val="002D50B3"/>
    <w:rsid w:val="002D5130"/>
    <w:rsid w:val="002D5199"/>
    <w:rsid w:val="002D51C3"/>
    <w:rsid w:val="002D528F"/>
    <w:rsid w:val="002D5382"/>
    <w:rsid w:val="002D53C1"/>
    <w:rsid w:val="002D53C4"/>
    <w:rsid w:val="002D545E"/>
    <w:rsid w:val="002D55FC"/>
    <w:rsid w:val="002D569B"/>
    <w:rsid w:val="002D5704"/>
    <w:rsid w:val="002D572B"/>
    <w:rsid w:val="002D5783"/>
    <w:rsid w:val="002D57E5"/>
    <w:rsid w:val="002D581C"/>
    <w:rsid w:val="002D581E"/>
    <w:rsid w:val="002D58AF"/>
    <w:rsid w:val="002D5A40"/>
    <w:rsid w:val="002D5A97"/>
    <w:rsid w:val="002D5AED"/>
    <w:rsid w:val="002D5B65"/>
    <w:rsid w:val="002D5C5F"/>
    <w:rsid w:val="002D5C96"/>
    <w:rsid w:val="002D5D52"/>
    <w:rsid w:val="002D5EF6"/>
    <w:rsid w:val="002D5F3D"/>
    <w:rsid w:val="002D5F73"/>
    <w:rsid w:val="002D5FD5"/>
    <w:rsid w:val="002D5FEC"/>
    <w:rsid w:val="002D6035"/>
    <w:rsid w:val="002D60E1"/>
    <w:rsid w:val="002D6123"/>
    <w:rsid w:val="002D6139"/>
    <w:rsid w:val="002D624A"/>
    <w:rsid w:val="002D62D6"/>
    <w:rsid w:val="002D637B"/>
    <w:rsid w:val="002D63A1"/>
    <w:rsid w:val="002D6496"/>
    <w:rsid w:val="002D649E"/>
    <w:rsid w:val="002D64C2"/>
    <w:rsid w:val="002D6637"/>
    <w:rsid w:val="002D6712"/>
    <w:rsid w:val="002D6721"/>
    <w:rsid w:val="002D676C"/>
    <w:rsid w:val="002D696A"/>
    <w:rsid w:val="002D699B"/>
    <w:rsid w:val="002D6A36"/>
    <w:rsid w:val="002D6A63"/>
    <w:rsid w:val="002D6AE8"/>
    <w:rsid w:val="002D6BEE"/>
    <w:rsid w:val="002D6CAB"/>
    <w:rsid w:val="002D6CDB"/>
    <w:rsid w:val="002D6D58"/>
    <w:rsid w:val="002D6DDC"/>
    <w:rsid w:val="002D6EC0"/>
    <w:rsid w:val="002D6EDC"/>
    <w:rsid w:val="002D6F48"/>
    <w:rsid w:val="002D6F6E"/>
    <w:rsid w:val="002D6F7B"/>
    <w:rsid w:val="002D6FDE"/>
    <w:rsid w:val="002D722A"/>
    <w:rsid w:val="002D7271"/>
    <w:rsid w:val="002D72F8"/>
    <w:rsid w:val="002D7308"/>
    <w:rsid w:val="002D752E"/>
    <w:rsid w:val="002D7543"/>
    <w:rsid w:val="002D7632"/>
    <w:rsid w:val="002D7681"/>
    <w:rsid w:val="002D76D5"/>
    <w:rsid w:val="002D76E4"/>
    <w:rsid w:val="002D7700"/>
    <w:rsid w:val="002D775F"/>
    <w:rsid w:val="002D7785"/>
    <w:rsid w:val="002D78B6"/>
    <w:rsid w:val="002D793C"/>
    <w:rsid w:val="002D79F0"/>
    <w:rsid w:val="002D7A34"/>
    <w:rsid w:val="002D7BD6"/>
    <w:rsid w:val="002D7C3E"/>
    <w:rsid w:val="002D7C42"/>
    <w:rsid w:val="002D7C5C"/>
    <w:rsid w:val="002D7DCF"/>
    <w:rsid w:val="002D7E64"/>
    <w:rsid w:val="002D7EAB"/>
    <w:rsid w:val="002D7F03"/>
    <w:rsid w:val="002D7FAD"/>
    <w:rsid w:val="002E008E"/>
    <w:rsid w:val="002E009C"/>
    <w:rsid w:val="002E0203"/>
    <w:rsid w:val="002E0205"/>
    <w:rsid w:val="002E032D"/>
    <w:rsid w:val="002E03B0"/>
    <w:rsid w:val="002E03CA"/>
    <w:rsid w:val="002E0481"/>
    <w:rsid w:val="002E0541"/>
    <w:rsid w:val="002E0585"/>
    <w:rsid w:val="002E064A"/>
    <w:rsid w:val="002E064F"/>
    <w:rsid w:val="002E0703"/>
    <w:rsid w:val="002E086F"/>
    <w:rsid w:val="002E095C"/>
    <w:rsid w:val="002E09D2"/>
    <w:rsid w:val="002E09E0"/>
    <w:rsid w:val="002E09F2"/>
    <w:rsid w:val="002E0A2B"/>
    <w:rsid w:val="002E0C04"/>
    <w:rsid w:val="002E0D00"/>
    <w:rsid w:val="002E0D26"/>
    <w:rsid w:val="002E0F04"/>
    <w:rsid w:val="002E0F2D"/>
    <w:rsid w:val="002E0FF0"/>
    <w:rsid w:val="002E1044"/>
    <w:rsid w:val="002E105C"/>
    <w:rsid w:val="002E1064"/>
    <w:rsid w:val="002E113C"/>
    <w:rsid w:val="002E116D"/>
    <w:rsid w:val="002E11A8"/>
    <w:rsid w:val="002E11D5"/>
    <w:rsid w:val="002E11FD"/>
    <w:rsid w:val="002E120F"/>
    <w:rsid w:val="002E1214"/>
    <w:rsid w:val="002E123B"/>
    <w:rsid w:val="002E1299"/>
    <w:rsid w:val="002E1328"/>
    <w:rsid w:val="002E1389"/>
    <w:rsid w:val="002E13F7"/>
    <w:rsid w:val="002E1422"/>
    <w:rsid w:val="002E1491"/>
    <w:rsid w:val="002E153D"/>
    <w:rsid w:val="002E154C"/>
    <w:rsid w:val="002E1681"/>
    <w:rsid w:val="002E168C"/>
    <w:rsid w:val="002E16B9"/>
    <w:rsid w:val="002E16D9"/>
    <w:rsid w:val="002E16EC"/>
    <w:rsid w:val="002E1861"/>
    <w:rsid w:val="002E19AE"/>
    <w:rsid w:val="002E1A77"/>
    <w:rsid w:val="002E1A84"/>
    <w:rsid w:val="002E1A88"/>
    <w:rsid w:val="002E1AA8"/>
    <w:rsid w:val="002E1B4D"/>
    <w:rsid w:val="002E1BC4"/>
    <w:rsid w:val="002E1BE6"/>
    <w:rsid w:val="002E1C1B"/>
    <w:rsid w:val="002E1C81"/>
    <w:rsid w:val="002E1DBE"/>
    <w:rsid w:val="002E1DCA"/>
    <w:rsid w:val="002E1DF0"/>
    <w:rsid w:val="002E1E1E"/>
    <w:rsid w:val="002E1EFE"/>
    <w:rsid w:val="002E1F84"/>
    <w:rsid w:val="002E217D"/>
    <w:rsid w:val="002E21E5"/>
    <w:rsid w:val="002E2313"/>
    <w:rsid w:val="002E2315"/>
    <w:rsid w:val="002E2340"/>
    <w:rsid w:val="002E2364"/>
    <w:rsid w:val="002E2402"/>
    <w:rsid w:val="002E24EA"/>
    <w:rsid w:val="002E26AA"/>
    <w:rsid w:val="002E27C5"/>
    <w:rsid w:val="002E29A4"/>
    <w:rsid w:val="002E29B0"/>
    <w:rsid w:val="002E2A00"/>
    <w:rsid w:val="002E2B33"/>
    <w:rsid w:val="002E2BBD"/>
    <w:rsid w:val="002E2C2C"/>
    <w:rsid w:val="002E2CAC"/>
    <w:rsid w:val="002E2D0D"/>
    <w:rsid w:val="002E2D6A"/>
    <w:rsid w:val="002E2E39"/>
    <w:rsid w:val="002E2F30"/>
    <w:rsid w:val="002E2F59"/>
    <w:rsid w:val="002E2FB4"/>
    <w:rsid w:val="002E2FEB"/>
    <w:rsid w:val="002E3081"/>
    <w:rsid w:val="002E30D6"/>
    <w:rsid w:val="002E30FC"/>
    <w:rsid w:val="002E3139"/>
    <w:rsid w:val="002E3224"/>
    <w:rsid w:val="002E323D"/>
    <w:rsid w:val="002E3313"/>
    <w:rsid w:val="002E3341"/>
    <w:rsid w:val="002E33A8"/>
    <w:rsid w:val="002E33B0"/>
    <w:rsid w:val="002E349E"/>
    <w:rsid w:val="002E3539"/>
    <w:rsid w:val="002E35C0"/>
    <w:rsid w:val="002E361D"/>
    <w:rsid w:val="002E3624"/>
    <w:rsid w:val="002E36B9"/>
    <w:rsid w:val="002E36F7"/>
    <w:rsid w:val="002E370F"/>
    <w:rsid w:val="002E37FF"/>
    <w:rsid w:val="002E38F4"/>
    <w:rsid w:val="002E3913"/>
    <w:rsid w:val="002E3933"/>
    <w:rsid w:val="002E3959"/>
    <w:rsid w:val="002E396A"/>
    <w:rsid w:val="002E3A4E"/>
    <w:rsid w:val="002E3ABD"/>
    <w:rsid w:val="002E3B79"/>
    <w:rsid w:val="002E3BB1"/>
    <w:rsid w:val="002E3CB0"/>
    <w:rsid w:val="002E3CFB"/>
    <w:rsid w:val="002E3D9C"/>
    <w:rsid w:val="002E3DD5"/>
    <w:rsid w:val="002E3DD8"/>
    <w:rsid w:val="002E3DF5"/>
    <w:rsid w:val="002E3E06"/>
    <w:rsid w:val="002E3E5A"/>
    <w:rsid w:val="002E3ED3"/>
    <w:rsid w:val="002E3F97"/>
    <w:rsid w:val="002E3F9C"/>
    <w:rsid w:val="002E3FE0"/>
    <w:rsid w:val="002E4163"/>
    <w:rsid w:val="002E419C"/>
    <w:rsid w:val="002E426A"/>
    <w:rsid w:val="002E4276"/>
    <w:rsid w:val="002E446A"/>
    <w:rsid w:val="002E446B"/>
    <w:rsid w:val="002E44D1"/>
    <w:rsid w:val="002E45AF"/>
    <w:rsid w:val="002E45B1"/>
    <w:rsid w:val="002E466E"/>
    <w:rsid w:val="002E469F"/>
    <w:rsid w:val="002E47DC"/>
    <w:rsid w:val="002E47E5"/>
    <w:rsid w:val="002E47F0"/>
    <w:rsid w:val="002E4849"/>
    <w:rsid w:val="002E484A"/>
    <w:rsid w:val="002E4920"/>
    <w:rsid w:val="002E4985"/>
    <w:rsid w:val="002E4CA6"/>
    <w:rsid w:val="002E4E1D"/>
    <w:rsid w:val="002E4EEA"/>
    <w:rsid w:val="002E4EF7"/>
    <w:rsid w:val="002E4FD5"/>
    <w:rsid w:val="002E501B"/>
    <w:rsid w:val="002E5036"/>
    <w:rsid w:val="002E504B"/>
    <w:rsid w:val="002E506F"/>
    <w:rsid w:val="002E50EF"/>
    <w:rsid w:val="002E5136"/>
    <w:rsid w:val="002E52FC"/>
    <w:rsid w:val="002E53FA"/>
    <w:rsid w:val="002E54AA"/>
    <w:rsid w:val="002E54DE"/>
    <w:rsid w:val="002E54F5"/>
    <w:rsid w:val="002E556D"/>
    <w:rsid w:val="002E56C1"/>
    <w:rsid w:val="002E5736"/>
    <w:rsid w:val="002E57E9"/>
    <w:rsid w:val="002E598D"/>
    <w:rsid w:val="002E59F9"/>
    <w:rsid w:val="002E5A30"/>
    <w:rsid w:val="002E5A4F"/>
    <w:rsid w:val="002E5A51"/>
    <w:rsid w:val="002E5B59"/>
    <w:rsid w:val="002E5C56"/>
    <w:rsid w:val="002E5C99"/>
    <w:rsid w:val="002E5CDD"/>
    <w:rsid w:val="002E5D3C"/>
    <w:rsid w:val="002E5DC9"/>
    <w:rsid w:val="002E5E29"/>
    <w:rsid w:val="002E5E63"/>
    <w:rsid w:val="002E5EAB"/>
    <w:rsid w:val="002E5FDE"/>
    <w:rsid w:val="002E600C"/>
    <w:rsid w:val="002E6067"/>
    <w:rsid w:val="002E60B8"/>
    <w:rsid w:val="002E611A"/>
    <w:rsid w:val="002E6121"/>
    <w:rsid w:val="002E6156"/>
    <w:rsid w:val="002E620D"/>
    <w:rsid w:val="002E622A"/>
    <w:rsid w:val="002E6234"/>
    <w:rsid w:val="002E633F"/>
    <w:rsid w:val="002E645A"/>
    <w:rsid w:val="002E6494"/>
    <w:rsid w:val="002E6497"/>
    <w:rsid w:val="002E65AA"/>
    <w:rsid w:val="002E6652"/>
    <w:rsid w:val="002E69E1"/>
    <w:rsid w:val="002E6A83"/>
    <w:rsid w:val="002E6B40"/>
    <w:rsid w:val="002E6B4B"/>
    <w:rsid w:val="002E6C41"/>
    <w:rsid w:val="002E6C51"/>
    <w:rsid w:val="002E6CF2"/>
    <w:rsid w:val="002E6D83"/>
    <w:rsid w:val="002E6D8E"/>
    <w:rsid w:val="002E6DFC"/>
    <w:rsid w:val="002E6F15"/>
    <w:rsid w:val="002E6F45"/>
    <w:rsid w:val="002E6F8C"/>
    <w:rsid w:val="002E701E"/>
    <w:rsid w:val="002E7043"/>
    <w:rsid w:val="002E7114"/>
    <w:rsid w:val="002E7125"/>
    <w:rsid w:val="002E714D"/>
    <w:rsid w:val="002E7222"/>
    <w:rsid w:val="002E7233"/>
    <w:rsid w:val="002E72D1"/>
    <w:rsid w:val="002E734C"/>
    <w:rsid w:val="002E73FD"/>
    <w:rsid w:val="002E760C"/>
    <w:rsid w:val="002E7784"/>
    <w:rsid w:val="002E77BF"/>
    <w:rsid w:val="002E7856"/>
    <w:rsid w:val="002E7892"/>
    <w:rsid w:val="002E7905"/>
    <w:rsid w:val="002E791C"/>
    <w:rsid w:val="002E793D"/>
    <w:rsid w:val="002E79B5"/>
    <w:rsid w:val="002E79C6"/>
    <w:rsid w:val="002E79DB"/>
    <w:rsid w:val="002E79F2"/>
    <w:rsid w:val="002E7A24"/>
    <w:rsid w:val="002E7A85"/>
    <w:rsid w:val="002E7A9F"/>
    <w:rsid w:val="002E7B42"/>
    <w:rsid w:val="002E7BB4"/>
    <w:rsid w:val="002E7C24"/>
    <w:rsid w:val="002E7C6F"/>
    <w:rsid w:val="002E7CEB"/>
    <w:rsid w:val="002E7D21"/>
    <w:rsid w:val="002E7D3B"/>
    <w:rsid w:val="002E7D3F"/>
    <w:rsid w:val="002E7D43"/>
    <w:rsid w:val="002E7DEF"/>
    <w:rsid w:val="002E7E06"/>
    <w:rsid w:val="002E7E0C"/>
    <w:rsid w:val="002E7EFF"/>
    <w:rsid w:val="002E7F55"/>
    <w:rsid w:val="002F007A"/>
    <w:rsid w:val="002F00C7"/>
    <w:rsid w:val="002F00ED"/>
    <w:rsid w:val="002F0249"/>
    <w:rsid w:val="002F0349"/>
    <w:rsid w:val="002F0417"/>
    <w:rsid w:val="002F052C"/>
    <w:rsid w:val="002F0567"/>
    <w:rsid w:val="002F062C"/>
    <w:rsid w:val="002F0635"/>
    <w:rsid w:val="002F06C7"/>
    <w:rsid w:val="002F06D1"/>
    <w:rsid w:val="002F06E6"/>
    <w:rsid w:val="002F07E1"/>
    <w:rsid w:val="002F0859"/>
    <w:rsid w:val="002F08BF"/>
    <w:rsid w:val="002F08E4"/>
    <w:rsid w:val="002F0906"/>
    <w:rsid w:val="002F0941"/>
    <w:rsid w:val="002F0970"/>
    <w:rsid w:val="002F09C7"/>
    <w:rsid w:val="002F0A05"/>
    <w:rsid w:val="002F0A71"/>
    <w:rsid w:val="002F0B7E"/>
    <w:rsid w:val="002F0BFA"/>
    <w:rsid w:val="002F0C23"/>
    <w:rsid w:val="002F0C61"/>
    <w:rsid w:val="002F0E19"/>
    <w:rsid w:val="002F0EF3"/>
    <w:rsid w:val="002F0FB6"/>
    <w:rsid w:val="002F0FF6"/>
    <w:rsid w:val="002F115E"/>
    <w:rsid w:val="002F11D9"/>
    <w:rsid w:val="002F1213"/>
    <w:rsid w:val="002F1273"/>
    <w:rsid w:val="002F12CD"/>
    <w:rsid w:val="002F12F6"/>
    <w:rsid w:val="002F13F4"/>
    <w:rsid w:val="002F13FC"/>
    <w:rsid w:val="002F14AB"/>
    <w:rsid w:val="002F14B4"/>
    <w:rsid w:val="002F15A8"/>
    <w:rsid w:val="002F15E0"/>
    <w:rsid w:val="002F164F"/>
    <w:rsid w:val="002F168C"/>
    <w:rsid w:val="002F1704"/>
    <w:rsid w:val="002F1729"/>
    <w:rsid w:val="002F17CC"/>
    <w:rsid w:val="002F17E1"/>
    <w:rsid w:val="002F1879"/>
    <w:rsid w:val="002F187F"/>
    <w:rsid w:val="002F1899"/>
    <w:rsid w:val="002F18A9"/>
    <w:rsid w:val="002F19C1"/>
    <w:rsid w:val="002F19DE"/>
    <w:rsid w:val="002F19E6"/>
    <w:rsid w:val="002F19EE"/>
    <w:rsid w:val="002F1A30"/>
    <w:rsid w:val="002F1A63"/>
    <w:rsid w:val="002F1A7D"/>
    <w:rsid w:val="002F1AEE"/>
    <w:rsid w:val="002F1B3A"/>
    <w:rsid w:val="002F1B9D"/>
    <w:rsid w:val="002F1BDA"/>
    <w:rsid w:val="002F1C4B"/>
    <w:rsid w:val="002F1C65"/>
    <w:rsid w:val="002F1D95"/>
    <w:rsid w:val="002F1E54"/>
    <w:rsid w:val="002F1E64"/>
    <w:rsid w:val="002F1EE2"/>
    <w:rsid w:val="002F1EF8"/>
    <w:rsid w:val="002F2048"/>
    <w:rsid w:val="002F207A"/>
    <w:rsid w:val="002F20D7"/>
    <w:rsid w:val="002F2250"/>
    <w:rsid w:val="002F23C1"/>
    <w:rsid w:val="002F242F"/>
    <w:rsid w:val="002F2488"/>
    <w:rsid w:val="002F2517"/>
    <w:rsid w:val="002F257C"/>
    <w:rsid w:val="002F2592"/>
    <w:rsid w:val="002F26E5"/>
    <w:rsid w:val="002F28DD"/>
    <w:rsid w:val="002F2A0E"/>
    <w:rsid w:val="002F2A3D"/>
    <w:rsid w:val="002F2A5D"/>
    <w:rsid w:val="002F2B03"/>
    <w:rsid w:val="002F2B1F"/>
    <w:rsid w:val="002F2B78"/>
    <w:rsid w:val="002F2B7A"/>
    <w:rsid w:val="002F2BAD"/>
    <w:rsid w:val="002F2D08"/>
    <w:rsid w:val="002F2D32"/>
    <w:rsid w:val="002F2D8E"/>
    <w:rsid w:val="002F2E0D"/>
    <w:rsid w:val="002F2E39"/>
    <w:rsid w:val="002F2EA3"/>
    <w:rsid w:val="002F2ED6"/>
    <w:rsid w:val="002F2EE5"/>
    <w:rsid w:val="002F2EE7"/>
    <w:rsid w:val="002F2F39"/>
    <w:rsid w:val="002F2F3F"/>
    <w:rsid w:val="002F2FDE"/>
    <w:rsid w:val="002F3093"/>
    <w:rsid w:val="002F3133"/>
    <w:rsid w:val="002F315B"/>
    <w:rsid w:val="002F31A5"/>
    <w:rsid w:val="002F3225"/>
    <w:rsid w:val="002F3247"/>
    <w:rsid w:val="002F3264"/>
    <w:rsid w:val="002F32AC"/>
    <w:rsid w:val="002F3365"/>
    <w:rsid w:val="002F33B2"/>
    <w:rsid w:val="002F33D4"/>
    <w:rsid w:val="002F34CD"/>
    <w:rsid w:val="002F3505"/>
    <w:rsid w:val="002F359F"/>
    <w:rsid w:val="002F35DA"/>
    <w:rsid w:val="002F3646"/>
    <w:rsid w:val="002F366A"/>
    <w:rsid w:val="002F36BF"/>
    <w:rsid w:val="002F3769"/>
    <w:rsid w:val="002F37BB"/>
    <w:rsid w:val="002F37C2"/>
    <w:rsid w:val="002F38C9"/>
    <w:rsid w:val="002F3917"/>
    <w:rsid w:val="002F3919"/>
    <w:rsid w:val="002F394A"/>
    <w:rsid w:val="002F397A"/>
    <w:rsid w:val="002F3A0D"/>
    <w:rsid w:val="002F3C99"/>
    <w:rsid w:val="002F3CED"/>
    <w:rsid w:val="002F3D84"/>
    <w:rsid w:val="002F3E2F"/>
    <w:rsid w:val="002F3E74"/>
    <w:rsid w:val="002F3F83"/>
    <w:rsid w:val="002F3FA0"/>
    <w:rsid w:val="002F4023"/>
    <w:rsid w:val="002F40C7"/>
    <w:rsid w:val="002F40D6"/>
    <w:rsid w:val="002F4115"/>
    <w:rsid w:val="002F417A"/>
    <w:rsid w:val="002F41EC"/>
    <w:rsid w:val="002F423D"/>
    <w:rsid w:val="002F4277"/>
    <w:rsid w:val="002F4338"/>
    <w:rsid w:val="002F4363"/>
    <w:rsid w:val="002F439A"/>
    <w:rsid w:val="002F43C6"/>
    <w:rsid w:val="002F43E0"/>
    <w:rsid w:val="002F43EF"/>
    <w:rsid w:val="002F447C"/>
    <w:rsid w:val="002F44EB"/>
    <w:rsid w:val="002F44F1"/>
    <w:rsid w:val="002F4508"/>
    <w:rsid w:val="002F4526"/>
    <w:rsid w:val="002F452F"/>
    <w:rsid w:val="002F454B"/>
    <w:rsid w:val="002F457C"/>
    <w:rsid w:val="002F4637"/>
    <w:rsid w:val="002F46F2"/>
    <w:rsid w:val="002F4740"/>
    <w:rsid w:val="002F4766"/>
    <w:rsid w:val="002F498E"/>
    <w:rsid w:val="002F4A85"/>
    <w:rsid w:val="002F4A92"/>
    <w:rsid w:val="002F4A9A"/>
    <w:rsid w:val="002F4B2C"/>
    <w:rsid w:val="002F4B5F"/>
    <w:rsid w:val="002F4B98"/>
    <w:rsid w:val="002F4BC2"/>
    <w:rsid w:val="002F4C1B"/>
    <w:rsid w:val="002F4C56"/>
    <w:rsid w:val="002F4C58"/>
    <w:rsid w:val="002F4CBA"/>
    <w:rsid w:val="002F4CBF"/>
    <w:rsid w:val="002F4CD1"/>
    <w:rsid w:val="002F4CEE"/>
    <w:rsid w:val="002F4D0A"/>
    <w:rsid w:val="002F4D31"/>
    <w:rsid w:val="002F4D88"/>
    <w:rsid w:val="002F4E29"/>
    <w:rsid w:val="002F4E7A"/>
    <w:rsid w:val="002F4EE2"/>
    <w:rsid w:val="002F4FDB"/>
    <w:rsid w:val="002F5045"/>
    <w:rsid w:val="002F5062"/>
    <w:rsid w:val="002F50FD"/>
    <w:rsid w:val="002F513F"/>
    <w:rsid w:val="002F51A6"/>
    <w:rsid w:val="002F51B3"/>
    <w:rsid w:val="002F51EF"/>
    <w:rsid w:val="002F5240"/>
    <w:rsid w:val="002F52DD"/>
    <w:rsid w:val="002F5306"/>
    <w:rsid w:val="002F534F"/>
    <w:rsid w:val="002F538E"/>
    <w:rsid w:val="002F53E5"/>
    <w:rsid w:val="002F5435"/>
    <w:rsid w:val="002F5471"/>
    <w:rsid w:val="002F55E3"/>
    <w:rsid w:val="002F5635"/>
    <w:rsid w:val="002F5645"/>
    <w:rsid w:val="002F5784"/>
    <w:rsid w:val="002F57A0"/>
    <w:rsid w:val="002F594F"/>
    <w:rsid w:val="002F5A01"/>
    <w:rsid w:val="002F5A23"/>
    <w:rsid w:val="002F5A64"/>
    <w:rsid w:val="002F5AFA"/>
    <w:rsid w:val="002F5CE9"/>
    <w:rsid w:val="002F5D19"/>
    <w:rsid w:val="002F5E09"/>
    <w:rsid w:val="002F5F0F"/>
    <w:rsid w:val="002F5F68"/>
    <w:rsid w:val="002F6073"/>
    <w:rsid w:val="002F60EF"/>
    <w:rsid w:val="002F60F1"/>
    <w:rsid w:val="002F623E"/>
    <w:rsid w:val="002F6258"/>
    <w:rsid w:val="002F628F"/>
    <w:rsid w:val="002F63F7"/>
    <w:rsid w:val="002F64E9"/>
    <w:rsid w:val="002F6576"/>
    <w:rsid w:val="002F6618"/>
    <w:rsid w:val="002F6654"/>
    <w:rsid w:val="002F6720"/>
    <w:rsid w:val="002F6794"/>
    <w:rsid w:val="002F680A"/>
    <w:rsid w:val="002F680D"/>
    <w:rsid w:val="002F6895"/>
    <w:rsid w:val="002F68A2"/>
    <w:rsid w:val="002F69A8"/>
    <w:rsid w:val="002F69B6"/>
    <w:rsid w:val="002F6AFB"/>
    <w:rsid w:val="002F6B27"/>
    <w:rsid w:val="002F6B5C"/>
    <w:rsid w:val="002F6B6A"/>
    <w:rsid w:val="002F6C17"/>
    <w:rsid w:val="002F6C43"/>
    <w:rsid w:val="002F6C91"/>
    <w:rsid w:val="002F6CDF"/>
    <w:rsid w:val="002F6E38"/>
    <w:rsid w:val="002F6E8B"/>
    <w:rsid w:val="002F6F41"/>
    <w:rsid w:val="002F6FFA"/>
    <w:rsid w:val="002F7008"/>
    <w:rsid w:val="002F7068"/>
    <w:rsid w:val="002F715E"/>
    <w:rsid w:val="002F71EA"/>
    <w:rsid w:val="002F72CD"/>
    <w:rsid w:val="002F7347"/>
    <w:rsid w:val="002F73A4"/>
    <w:rsid w:val="002F73FD"/>
    <w:rsid w:val="002F7439"/>
    <w:rsid w:val="002F7446"/>
    <w:rsid w:val="002F74B3"/>
    <w:rsid w:val="002F7572"/>
    <w:rsid w:val="002F772B"/>
    <w:rsid w:val="002F7739"/>
    <w:rsid w:val="002F778F"/>
    <w:rsid w:val="002F7803"/>
    <w:rsid w:val="002F79AA"/>
    <w:rsid w:val="002F7AE3"/>
    <w:rsid w:val="002F7B15"/>
    <w:rsid w:val="002F7B56"/>
    <w:rsid w:val="002F7C83"/>
    <w:rsid w:val="002F7DD8"/>
    <w:rsid w:val="002F7E2D"/>
    <w:rsid w:val="003000F4"/>
    <w:rsid w:val="0030018B"/>
    <w:rsid w:val="003001D9"/>
    <w:rsid w:val="00300252"/>
    <w:rsid w:val="00300317"/>
    <w:rsid w:val="0030034E"/>
    <w:rsid w:val="00300509"/>
    <w:rsid w:val="0030050D"/>
    <w:rsid w:val="00300520"/>
    <w:rsid w:val="00300578"/>
    <w:rsid w:val="00300588"/>
    <w:rsid w:val="00300591"/>
    <w:rsid w:val="0030059E"/>
    <w:rsid w:val="003006A8"/>
    <w:rsid w:val="003006F6"/>
    <w:rsid w:val="00300700"/>
    <w:rsid w:val="0030074A"/>
    <w:rsid w:val="0030084D"/>
    <w:rsid w:val="003008D3"/>
    <w:rsid w:val="003008D5"/>
    <w:rsid w:val="00300918"/>
    <w:rsid w:val="0030092E"/>
    <w:rsid w:val="00300931"/>
    <w:rsid w:val="00300A31"/>
    <w:rsid w:val="00300C3D"/>
    <w:rsid w:val="00300C77"/>
    <w:rsid w:val="00300D31"/>
    <w:rsid w:val="00300D4A"/>
    <w:rsid w:val="00300E8B"/>
    <w:rsid w:val="00300EEC"/>
    <w:rsid w:val="00300F5C"/>
    <w:rsid w:val="00301019"/>
    <w:rsid w:val="003010E1"/>
    <w:rsid w:val="00301122"/>
    <w:rsid w:val="00301144"/>
    <w:rsid w:val="0030116D"/>
    <w:rsid w:val="00301185"/>
    <w:rsid w:val="003011C4"/>
    <w:rsid w:val="003011FF"/>
    <w:rsid w:val="00301245"/>
    <w:rsid w:val="003012BB"/>
    <w:rsid w:val="00301315"/>
    <w:rsid w:val="003013E7"/>
    <w:rsid w:val="00301481"/>
    <w:rsid w:val="003014CC"/>
    <w:rsid w:val="003015F9"/>
    <w:rsid w:val="00301797"/>
    <w:rsid w:val="003017CE"/>
    <w:rsid w:val="0030180D"/>
    <w:rsid w:val="00301873"/>
    <w:rsid w:val="003018FB"/>
    <w:rsid w:val="00301941"/>
    <w:rsid w:val="003019A3"/>
    <w:rsid w:val="003019DB"/>
    <w:rsid w:val="003019E6"/>
    <w:rsid w:val="00301A34"/>
    <w:rsid w:val="00301A4D"/>
    <w:rsid w:val="00301A65"/>
    <w:rsid w:val="00301AFC"/>
    <w:rsid w:val="00301B62"/>
    <w:rsid w:val="00301C83"/>
    <w:rsid w:val="00301C88"/>
    <w:rsid w:val="00301DCC"/>
    <w:rsid w:val="00301EEB"/>
    <w:rsid w:val="00301FC6"/>
    <w:rsid w:val="003021D7"/>
    <w:rsid w:val="0030222D"/>
    <w:rsid w:val="0030224B"/>
    <w:rsid w:val="0030225D"/>
    <w:rsid w:val="00302293"/>
    <w:rsid w:val="003023D1"/>
    <w:rsid w:val="0030240E"/>
    <w:rsid w:val="00302521"/>
    <w:rsid w:val="00302740"/>
    <w:rsid w:val="00302774"/>
    <w:rsid w:val="0030277E"/>
    <w:rsid w:val="003027B2"/>
    <w:rsid w:val="0030282B"/>
    <w:rsid w:val="00302A6B"/>
    <w:rsid w:val="00302AF2"/>
    <w:rsid w:val="00302B0D"/>
    <w:rsid w:val="00302B1F"/>
    <w:rsid w:val="00302B3C"/>
    <w:rsid w:val="00302C42"/>
    <w:rsid w:val="00302CBE"/>
    <w:rsid w:val="00302D02"/>
    <w:rsid w:val="00302D8B"/>
    <w:rsid w:val="00302E22"/>
    <w:rsid w:val="0030302F"/>
    <w:rsid w:val="00303039"/>
    <w:rsid w:val="0030313A"/>
    <w:rsid w:val="00303203"/>
    <w:rsid w:val="00303264"/>
    <w:rsid w:val="00303265"/>
    <w:rsid w:val="003032D1"/>
    <w:rsid w:val="003032D4"/>
    <w:rsid w:val="00303363"/>
    <w:rsid w:val="0030336B"/>
    <w:rsid w:val="003033FA"/>
    <w:rsid w:val="003034DF"/>
    <w:rsid w:val="00303626"/>
    <w:rsid w:val="00303632"/>
    <w:rsid w:val="00303726"/>
    <w:rsid w:val="0030376B"/>
    <w:rsid w:val="003037C5"/>
    <w:rsid w:val="0030380E"/>
    <w:rsid w:val="0030390A"/>
    <w:rsid w:val="00303910"/>
    <w:rsid w:val="003039CA"/>
    <w:rsid w:val="003039CC"/>
    <w:rsid w:val="00303A4F"/>
    <w:rsid w:val="00303D3D"/>
    <w:rsid w:val="00303D4F"/>
    <w:rsid w:val="00303DC8"/>
    <w:rsid w:val="00303DC9"/>
    <w:rsid w:val="00303DE3"/>
    <w:rsid w:val="00303E7E"/>
    <w:rsid w:val="00303FEE"/>
    <w:rsid w:val="00304019"/>
    <w:rsid w:val="003040FA"/>
    <w:rsid w:val="0030412B"/>
    <w:rsid w:val="0030412D"/>
    <w:rsid w:val="003041C1"/>
    <w:rsid w:val="003041D7"/>
    <w:rsid w:val="0030422E"/>
    <w:rsid w:val="00304246"/>
    <w:rsid w:val="0030425E"/>
    <w:rsid w:val="003042AF"/>
    <w:rsid w:val="00304361"/>
    <w:rsid w:val="00304377"/>
    <w:rsid w:val="00304395"/>
    <w:rsid w:val="0030440E"/>
    <w:rsid w:val="0030444E"/>
    <w:rsid w:val="003044AB"/>
    <w:rsid w:val="003044DA"/>
    <w:rsid w:val="003045C0"/>
    <w:rsid w:val="0030472D"/>
    <w:rsid w:val="003047D3"/>
    <w:rsid w:val="00304882"/>
    <w:rsid w:val="00304926"/>
    <w:rsid w:val="00304A51"/>
    <w:rsid w:val="00304B53"/>
    <w:rsid w:val="00304B65"/>
    <w:rsid w:val="00304BD3"/>
    <w:rsid w:val="00304CE6"/>
    <w:rsid w:val="00304D07"/>
    <w:rsid w:val="00304D59"/>
    <w:rsid w:val="00304DBE"/>
    <w:rsid w:val="00304EA3"/>
    <w:rsid w:val="00304EEC"/>
    <w:rsid w:val="00304F04"/>
    <w:rsid w:val="00304F21"/>
    <w:rsid w:val="00304F74"/>
    <w:rsid w:val="00304FFF"/>
    <w:rsid w:val="0030507C"/>
    <w:rsid w:val="003050AF"/>
    <w:rsid w:val="00305157"/>
    <w:rsid w:val="00305235"/>
    <w:rsid w:val="00305341"/>
    <w:rsid w:val="00305361"/>
    <w:rsid w:val="003053A4"/>
    <w:rsid w:val="003053D4"/>
    <w:rsid w:val="00305471"/>
    <w:rsid w:val="00305529"/>
    <w:rsid w:val="00305615"/>
    <w:rsid w:val="00305635"/>
    <w:rsid w:val="00305773"/>
    <w:rsid w:val="003057DA"/>
    <w:rsid w:val="003057FF"/>
    <w:rsid w:val="0030584F"/>
    <w:rsid w:val="00305891"/>
    <w:rsid w:val="003058A8"/>
    <w:rsid w:val="00305913"/>
    <w:rsid w:val="00305A26"/>
    <w:rsid w:val="00305A28"/>
    <w:rsid w:val="00305B7D"/>
    <w:rsid w:val="00305C19"/>
    <w:rsid w:val="00305C5F"/>
    <w:rsid w:val="00305C73"/>
    <w:rsid w:val="00305CF4"/>
    <w:rsid w:val="00305D02"/>
    <w:rsid w:val="00305D2C"/>
    <w:rsid w:val="00305D7E"/>
    <w:rsid w:val="00305DDA"/>
    <w:rsid w:val="00305E24"/>
    <w:rsid w:val="00305E67"/>
    <w:rsid w:val="00305E7D"/>
    <w:rsid w:val="00305EDE"/>
    <w:rsid w:val="00306019"/>
    <w:rsid w:val="00306035"/>
    <w:rsid w:val="00306052"/>
    <w:rsid w:val="00306076"/>
    <w:rsid w:val="00306137"/>
    <w:rsid w:val="00306275"/>
    <w:rsid w:val="003062AE"/>
    <w:rsid w:val="003062BB"/>
    <w:rsid w:val="00306317"/>
    <w:rsid w:val="00306458"/>
    <w:rsid w:val="00306483"/>
    <w:rsid w:val="003065DB"/>
    <w:rsid w:val="00306623"/>
    <w:rsid w:val="00306686"/>
    <w:rsid w:val="0030671D"/>
    <w:rsid w:val="00306738"/>
    <w:rsid w:val="003067FA"/>
    <w:rsid w:val="0030681F"/>
    <w:rsid w:val="00306862"/>
    <w:rsid w:val="003068D3"/>
    <w:rsid w:val="003068FF"/>
    <w:rsid w:val="00306A5C"/>
    <w:rsid w:val="00306AAB"/>
    <w:rsid w:val="00306B5B"/>
    <w:rsid w:val="00306B6E"/>
    <w:rsid w:val="00306C76"/>
    <w:rsid w:val="00306CD6"/>
    <w:rsid w:val="00306CF3"/>
    <w:rsid w:val="00306CF8"/>
    <w:rsid w:val="00306D25"/>
    <w:rsid w:val="00306D79"/>
    <w:rsid w:val="00306D83"/>
    <w:rsid w:val="00306E43"/>
    <w:rsid w:val="00306F13"/>
    <w:rsid w:val="00306F18"/>
    <w:rsid w:val="0030700B"/>
    <w:rsid w:val="0030704F"/>
    <w:rsid w:val="003070AC"/>
    <w:rsid w:val="003070FE"/>
    <w:rsid w:val="003071A9"/>
    <w:rsid w:val="003071AE"/>
    <w:rsid w:val="003071E8"/>
    <w:rsid w:val="0030726E"/>
    <w:rsid w:val="00307281"/>
    <w:rsid w:val="0030728C"/>
    <w:rsid w:val="0030736D"/>
    <w:rsid w:val="003073BB"/>
    <w:rsid w:val="0030740B"/>
    <w:rsid w:val="00307485"/>
    <w:rsid w:val="003074AD"/>
    <w:rsid w:val="003074E9"/>
    <w:rsid w:val="0030750C"/>
    <w:rsid w:val="0030756C"/>
    <w:rsid w:val="00307616"/>
    <w:rsid w:val="00307671"/>
    <w:rsid w:val="003077A5"/>
    <w:rsid w:val="003077D1"/>
    <w:rsid w:val="003078A5"/>
    <w:rsid w:val="003078F3"/>
    <w:rsid w:val="00307A0A"/>
    <w:rsid w:val="00307A7C"/>
    <w:rsid w:val="00307AA9"/>
    <w:rsid w:val="00307B7D"/>
    <w:rsid w:val="00307BA6"/>
    <w:rsid w:val="00307BE8"/>
    <w:rsid w:val="00307C49"/>
    <w:rsid w:val="00307CA8"/>
    <w:rsid w:val="00307D16"/>
    <w:rsid w:val="00307EB1"/>
    <w:rsid w:val="00307F1A"/>
    <w:rsid w:val="00307F26"/>
    <w:rsid w:val="00307F38"/>
    <w:rsid w:val="00307FB6"/>
    <w:rsid w:val="00307FFD"/>
    <w:rsid w:val="0031003B"/>
    <w:rsid w:val="0031007B"/>
    <w:rsid w:val="003100F4"/>
    <w:rsid w:val="0031018D"/>
    <w:rsid w:val="00310196"/>
    <w:rsid w:val="003101CA"/>
    <w:rsid w:val="003101CC"/>
    <w:rsid w:val="0031024B"/>
    <w:rsid w:val="003102A9"/>
    <w:rsid w:val="0031035A"/>
    <w:rsid w:val="003103E9"/>
    <w:rsid w:val="00310518"/>
    <w:rsid w:val="00310566"/>
    <w:rsid w:val="0031067E"/>
    <w:rsid w:val="003106A2"/>
    <w:rsid w:val="003106BC"/>
    <w:rsid w:val="00310768"/>
    <w:rsid w:val="0031081D"/>
    <w:rsid w:val="003109B4"/>
    <w:rsid w:val="00310A43"/>
    <w:rsid w:val="00310A49"/>
    <w:rsid w:val="00310B3F"/>
    <w:rsid w:val="00310BCC"/>
    <w:rsid w:val="00310C76"/>
    <w:rsid w:val="00310CA2"/>
    <w:rsid w:val="00310CBC"/>
    <w:rsid w:val="00310D07"/>
    <w:rsid w:val="00310DB0"/>
    <w:rsid w:val="00310DBE"/>
    <w:rsid w:val="00310DDF"/>
    <w:rsid w:val="00310DFB"/>
    <w:rsid w:val="00310EA9"/>
    <w:rsid w:val="00310EDE"/>
    <w:rsid w:val="00310F95"/>
    <w:rsid w:val="0031106A"/>
    <w:rsid w:val="003110AD"/>
    <w:rsid w:val="003111F5"/>
    <w:rsid w:val="0031121D"/>
    <w:rsid w:val="003112C1"/>
    <w:rsid w:val="003112E8"/>
    <w:rsid w:val="003112EB"/>
    <w:rsid w:val="00311312"/>
    <w:rsid w:val="00311333"/>
    <w:rsid w:val="00311369"/>
    <w:rsid w:val="003114EF"/>
    <w:rsid w:val="00311540"/>
    <w:rsid w:val="0031159A"/>
    <w:rsid w:val="003115A2"/>
    <w:rsid w:val="003115AF"/>
    <w:rsid w:val="00311600"/>
    <w:rsid w:val="0031163C"/>
    <w:rsid w:val="0031168F"/>
    <w:rsid w:val="0031172C"/>
    <w:rsid w:val="0031174F"/>
    <w:rsid w:val="00311788"/>
    <w:rsid w:val="003117CA"/>
    <w:rsid w:val="00311836"/>
    <w:rsid w:val="00311845"/>
    <w:rsid w:val="0031189C"/>
    <w:rsid w:val="00311913"/>
    <w:rsid w:val="003119C5"/>
    <w:rsid w:val="003119E1"/>
    <w:rsid w:val="00311B6B"/>
    <w:rsid w:val="00311BB4"/>
    <w:rsid w:val="00311CA0"/>
    <w:rsid w:val="00311CE9"/>
    <w:rsid w:val="00311D16"/>
    <w:rsid w:val="00311D4A"/>
    <w:rsid w:val="00311F60"/>
    <w:rsid w:val="00311F63"/>
    <w:rsid w:val="00312065"/>
    <w:rsid w:val="003120CC"/>
    <w:rsid w:val="00312147"/>
    <w:rsid w:val="00312150"/>
    <w:rsid w:val="0031227C"/>
    <w:rsid w:val="00312381"/>
    <w:rsid w:val="003124BC"/>
    <w:rsid w:val="003126D3"/>
    <w:rsid w:val="003126F3"/>
    <w:rsid w:val="00312730"/>
    <w:rsid w:val="003127D0"/>
    <w:rsid w:val="003127ED"/>
    <w:rsid w:val="0031283B"/>
    <w:rsid w:val="0031287E"/>
    <w:rsid w:val="003128F0"/>
    <w:rsid w:val="0031294C"/>
    <w:rsid w:val="00312A44"/>
    <w:rsid w:val="00312A65"/>
    <w:rsid w:val="00312A71"/>
    <w:rsid w:val="00312AA7"/>
    <w:rsid w:val="00312B43"/>
    <w:rsid w:val="00312BFC"/>
    <w:rsid w:val="00312D30"/>
    <w:rsid w:val="00312DC7"/>
    <w:rsid w:val="0031308F"/>
    <w:rsid w:val="003130E6"/>
    <w:rsid w:val="0031311F"/>
    <w:rsid w:val="003131AD"/>
    <w:rsid w:val="00313213"/>
    <w:rsid w:val="003132C1"/>
    <w:rsid w:val="003132D0"/>
    <w:rsid w:val="00313303"/>
    <w:rsid w:val="0031331F"/>
    <w:rsid w:val="0031339E"/>
    <w:rsid w:val="003133F7"/>
    <w:rsid w:val="00313412"/>
    <w:rsid w:val="003134EF"/>
    <w:rsid w:val="0031365B"/>
    <w:rsid w:val="00313681"/>
    <w:rsid w:val="00313691"/>
    <w:rsid w:val="0031369A"/>
    <w:rsid w:val="00313713"/>
    <w:rsid w:val="00313749"/>
    <w:rsid w:val="00313757"/>
    <w:rsid w:val="00313A5C"/>
    <w:rsid w:val="00313A71"/>
    <w:rsid w:val="00313BD6"/>
    <w:rsid w:val="00313CD0"/>
    <w:rsid w:val="00313D33"/>
    <w:rsid w:val="00313EE2"/>
    <w:rsid w:val="00313EE6"/>
    <w:rsid w:val="00313F16"/>
    <w:rsid w:val="00314132"/>
    <w:rsid w:val="00314283"/>
    <w:rsid w:val="003142BD"/>
    <w:rsid w:val="00314370"/>
    <w:rsid w:val="003143B3"/>
    <w:rsid w:val="003144CB"/>
    <w:rsid w:val="0031455D"/>
    <w:rsid w:val="00314592"/>
    <w:rsid w:val="0031459B"/>
    <w:rsid w:val="003145CB"/>
    <w:rsid w:val="00314640"/>
    <w:rsid w:val="00314650"/>
    <w:rsid w:val="003146AA"/>
    <w:rsid w:val="00314740"/>
    <w:rsid w:val="003147B6"/>
    <w:rsid w:val="00314976"/>
    <w:rsid w:val="003149E9"/>
    <w:rsid w:val="00314AB7"/>
    <w:rsid w:val="00314AC3"/>
    <w:rsid w:val="00314B4E"/>
    <w:rsid w:val="00314BC2"/>
    <w:rsid w:val="00314C0A"/>
    <w:rsid w:val="00314C75"/>
    <w:rsid w:val="00314CE7"/>
    <w:rsid w:val="00314CF9"/>
    <w:rsid w:val="00314D67"/>
    <w:rsid w:val="00314DE3"/>
    <w:rsid w:val="003150D2"/>
    <w:rsid w:val="003150D8"/>
    <w:rsid w:val="00315107"/>
    <w:rsid w:val="00315124"/>
    <w:rsid w:val="00315197"/>
    <w:rsid w:val="0031520D"/>
    <w:rsid w:val="00315368"/>
    <w:rsid w:val="00315396"/>
    <w:rsid w:val="00315492"/>
    <w:rsid w:val="003155BC"/>
    <w:rsid w:val="00315666"/>
    <w:rsid w:val="0031570C"/>
    <w:rsid w:val="0031572B"/>
    <w:rsid w:val="003158BE"/>
    <w:rsid w:val="00315949"/>
    <w:rsid w:val="00315A37"/>
    <w:rsid w:val="00315B3A"/>
    <w:rsid w:val="00315B97"/>
    <w:rsid w:val="00315BD1"/>
    <w:rsid w:val="00315CF2"/>
    <w:rsid w:val="00315D8F"/>
    <w:rsid w:val="00315DFE"/>
    <w:rsid w:val="00315E68"/>
    <w:rsid w:val="00315E74"/>
    <w:rsid w:val="00315E78"/>
    <w:rsid w:val="00315F1E"/>
    <w:rsid w:val="00315F32"/>
    <w:rsid w:val="00315F6A"/>
    <w:rsid w:val="00315FDA"/>
    <w:rsid w:val="00316061"/>
    <w:rsid w:val="003160F6"/>
    <w:rsid w:val="003161D7"/>
    <w:rsid w:val="00316230"/>
    <w:rsid w:val="0031629F"/>
    <w:rsid w:val="003163A8"/>
    <w:rsid w:val="003163D0"/>
    <w:rsid w:val="00316453"/>
    <w:rsid w:val="003164AB"/>
    <w:rsid w:val="00316506"/>
    <w:rsid w:val="00316518"/>
    <w:rsid w:val="00316569"/>
    <w:rsid w:val="0031666D"/>
    <w:rsid w:val="00316675"/>
    <w:rsid w:val="003167CE"/>
    <w:rsid w:val="00316888"/>
    <w:rsid w:val="0031691D"/>
    <w:rsid w:val="0031695A"/>
    <w:rsid w:val="00316AB3"/>
    <w:rsid w:val="00316B68"/>
    <w:rsid w:val="00316BAF"/>
    <w:rsid w:val="00316BC6"/>
    <w:rsid w:val="00316C21"/>
    <w:rsid w:val="00316C4B"/>
    <w:rsid w:val="00316C63"/>
    <w:rsid w:val="00316D0D"/>
    <w:rsid w:val="00316D1C"/>
    <w:rsid w:val="00316D30"/>
    <w:rsid w:val="00316D40"/>
    <w:rsid w:val="00316D66"/>
    <w:rsid w:val="00316DDB"/>
    <w:rsid w:val="00316E37"/>
    <w:rsid w:val="00316E68"/>
    <w:rsid w:val="00316FFA"/>
    <w:rsid w:val="0031705D"/>
    <w:rsid w:val="00317090"/>
    <w:rsid w:val="003173A5"/>
    <w:rsid w:val="0031742A"/>
    <w:rsid w:val="00317455"/>
    <w:rsid w:val="0031765C"/>
    <w:rsid w:val="003177C7"/>
    <w:rsid w:val="00317866"/>
    <w:rsid w:val="00317942"/>
    <w:rsid w:val="00317989"/>
    <w:rsid w:val="00317999"/>
    <w:rsid w:val="00317A7B"/>
    <w:rsid w:val="00317B24"/>
    <w:rsid w:val="00317BE8"/>
    <w:rsid w:val="00317C2E"/>
    <w:rsid w:val="00317CA0"/>
    <w:rsid w:val="00317D31"/>
    <w:rsid w:val="00317D53"/>
    <w:rsid w:val="00317D58"/>
    <w:rsid w:val="00317E5F"/>
    <w:rsid w:val="00317E77"/>
    <w:rsid w:val="00317EE4"/>
    <w:rsid w:val="00317EFD"/>
    <w:rsid w:val="00317F59"/>
    <w:rsid w:val="00317F5A"/>
    <w:rsid w:val="00317F5D"/>
    <w:rsid w:val="00317F85"/>
    <w:rsid w:val="00317F8C"/>
    <w:rsid w:val="00317FC1"/>
    <w:rsid w:val="00320043"/>
    <w:rsid w:val="00320076"/>
    <w:rsid w:val="003200A5"/>
    <w:rsid w:val="003200B6"/>
    <w:rsid w:val="003200BE"/>
    <w:rsid w:val="00320114"/>
    <w:rsid w:val="00320211"/>
    <w:rsid w:val="00320230"/>
    <w:rsid w:val="00320276"/>
    <w:rsid w:val="003202C3"/>
    <w:rsid w:val="0032030B"/>
    <w:rsid w:val="003203A9"/>
    <w:rsid w:val="003203CB"/>
    <w:rsid w:val="003203DB"/>
    <w:rsid w:val="00320523"/>
    <w:rsid w:val="00320593"/>
    <w:rsid w:val="0032059A"/>
    <w:rsid w:val="003205AF"/>
    <w:rsid w:val="003205C7"/>
    <w:rsid w:val="00320646"/>
    <w:rsid w:val="00320679"/>
    <w:rsid w:val="00320841"/>
    <w:rsid w:val="0032085F"/>
    <w:rsid w:val="00320903"/>
    <w:rsid w:val="00320985"/>
    <w:rsid w:val="003209EF"/>
    <w:rsid w:val="00320A6A"/>
    <w:rsid w:val="00320AC4"/>
    <w:rsid w:val="00320B00"/>
    <w:rsid w:val="00320B2E"/>
    <w:rsid w:val="00320B3A"/>
    <w:rsid w:val="00320BC7"/>
    <w:rsid w:val="00320BF5"/>
    <w:rsid w:val="00320C33"/>
    <w:rsid w:val="00320CCA"/>
    <w:rsid w:val="00320D12"/>
    <w:rsid w:val="00320D94"/>
    <w:rsid w:val="00320EC4"/>
    <w:rsid w:val="00320EFC"/>
    <w:rsid w:val="00321073"/>
    <w:rsid w:val="00321094"/>
    <w:rsid w:val="003210E8"/>
    <w:rsid w:val="0032113F"/>
    <w:rsid w:val="0032114A"/>
    <w:rsid w:val="00321255"/>
    <w:rsid w:val="003212A3"/>
    <w:rsid w:val="003212D3"/>
    <w:rsid w:val="00321344"/>
    <w:rsid w:val="00321396"/>
    <w:rsid w:val="00321442"/>
    <w:rsid w:val="00321578"/>
    <w:rsid w:val="00321599"/>
    <w:rsid w:val="003215A4"/>
    <w:rsid w:val="003216AA"/>
    <w:rsid w:val="00321807"/>
    <w:rsid w:val="00321836"/>
    <w:rsid w:val="0032183B"/>
    <w:rsid w:val="00321874"/>
    <w:rsid w:val="00321999"/>
    <w:rsid w:val="003219E9"/>
    <w:rsid w:val="00321A08"/>
    <w:rsid w:val="00321A5A"/>
    <w:rsid w:val="00321A8E"/>
    <w:rsid w:val="00321AFB"/>
    <w:rsid w:val="00321C27"/>
    <w:rsid w:val="00321C69"/>
    <w:rsid w:val="00321CF0"/>
    <w:rsid w:val="00321EE5"/>
    <w:rsid w:val="00321F44"/>
    <w:rsid w:val="00321F7A"/>
    <w:rsid w:val="00321FBF"/>
    <w:rsid w:val="00322134"/>
    <w:rsid w:val="003221CB"/>
    <w:rsid w:val="0032222D"/>
    <w:rsid w:val="00322278"/>
    <w:rsid w:val="003222DB"/>
    <w:rsid w:val="003222DD"/>
    <w:rsid w:val="00322326"/>
    <w:rsid w:val="0032232F"/>
    <w:rsid w:val="0032233B"/>
    <w:rsid w:val="00322370"/>
    <w:rsid w:val="00322395"/>
    <w:rsid w:val="00322491"/>
    <w:rsid w:val="003224BF"/>
    <w:rsid w:val="00322549"/>
    <w:rsid w:val="003225A9"/>
    <w:rsid w:val="003226D5"/>
    <w:rsid w:val="003226DB"/>
    <w:rsid w:val="00322769"/>
    <w:rsid w:val="0032279B"/>
    <w:rsid w:val="00322846"/>
    <w:rsid w:val="003228DC"/>
    <w:rsid w:val="003228EE"/>
    <w:rsid w:val="003229B9"/>
    <w:rsid w:val="003229F6"/>
    <w:rsid w:val="00322AD3"/>
    <w:rsid w:val="00322B15"/>
    <w:rsid w:val="00322C59"/>
    <w:rsid w:val="00322C66"/>
    <w:rsid w:val="00322CC5"/>
    <w:rsid w:val="00322CCF"/>
    <w:rsid w:val="00322D47"/>
    <w:rsid w:val="00322D66"/>
    <w:rsid w:val="00322F0F"/>
    <w:rsid w:val="0032304F"/>
    <w:rsid w:val="003230C2"/>
    <w:rsid w:val="003230EC"/>
    <w:rsid w:val="003230FB"/>
    <w:rsid w:val="00323107"/>
    <w:rsid w:val="003231F0"/>
    <w:rsid w:val="00323219"/>
    <w:rsid w:val="003232D8"/>
    <w:rsid w:val="00323300"/>
    <w:rsid w:val="00323338"/>
    <w:rsid w:val="00323359"/>
    <w:rsid w:val="00323386"/>
    <w:rsid w:val="003233A2"/>
    <w:rsid w:val="003233C6"/>
    <w:rsid w:val="003233E7"/>
    <w:rsid w:val="0032344A"/>
    <w:rsid w:val="003234AE"/>
    <w:rsid w:val="0032352E"/>
    <w:rsid w:val="00323542"/>
    <w:rsid w:val="003235A7"/>
    <w:rsid w:val="00323645"/>
    <w:rsid w:val="00323782"/>
    <w:rsid w:val="003237AB"/>
    <w:rsid w:val="00323883"/>
    <w:rsid w:val="0032391B"/>
    <w:rsid w:val="00323943"/>
    <w:rsid w:val="0032396F"/>
    <w:rsid w:val="00323A76"/>
    <w:rsid w:val="00323A98"/>
    <w:rsid w:val="00323A9A"/>
    <w:rsid w:val="00323AEE"/>
    <w:rsid w:val="00323B3F"/>
    <w:rsid w:val="00323B82"/>
    <w:rsid w:val="00323BA7"/>
    <w:rsid w:val="00323D30"/>
    <w:rsid w:val="00323DCE"/>
    <w:rsid w:val="00323E20"/>
    <w:rsid w:val="00323E4E"/>
    <w:rsid w:val="003240F7"/>
    <w:rsid w:val="00324102"/>
    <w:rsid w:val="00324141"/>
    <w:rsid w:val="00324158"/>
    <w:rsid w:val="003242B9"/>
    <w:rsid w:val="003242E1"/>
    <w:rsid w:val="003242FD"/>
    <w:rsid w:val="00324303"/>
    <w:rsid w:val="00324340"/>
    <w:rsid w:val="003243A1"/>
    <w:rsid w:val="003243A2"/>
    <w:rsid w:val="003243A3"/>
    <w:rsid w:val="003243E2"/>
    <w:rsid w:val="00324406"/>
    <w:rsid w:val="003244A2"/>
    <w:rsid w:val="00324582"/>
    <w:rsid w:val="003245E6"/>
    <w:rsid w:val="00324648"/>
    <w:rsid w:val="003246A2"/>
    <w:rsid w:val="003246D0"/>
    <w:rsid w:val="00324801"/>
    <w:rsid w:val="003249F2"/>
    <w:rsid w:val="00324A23"/>
    <w:rsid w:val="00324A81"/>
    <w:rsid w:val="00324AA3"/>
    <w:rsid w:val="00324B13"/>
    <w:rsid w:val="00324B1B"/>
    <w:rsid w:val="00324CD1"/>
    <w:rsid w:val="00324CDF"/>
    <w:rsid w:val="00324D42"/>
    <w:rsid w:val="00324DDC"/>
    <w:rsid w:val="00324DF9"/>
    <w:rsid w:val="00324E4E"/>
    <w:rsid w:val="00324E59"/>
    <w:rsid w:val="00324E69"/>
    <w:rsid w:val="00324EAA"/>
    <w:rsid w:val="00324F3B"/>
    <w:rsid w:val="00324F5B"/>
    <w:rsid w:val="00325007"/>
    <w:rsid w:val="00325020"/>
    <w:rsid w:val="0032506C"/>
    <w:rsid w:val="00325084"/>
    <w:rsid w:val="003250D0"/>
    <w:rsid w:val="003250D8"/>
    <w:rsid w:val="0032513F"/>
    <w:rsid w:val="0032518B"/>
    <w:rsid w:val="003251BF"/>
    <w:rsid w:val="003251C4"/>
    <w:rsid w:val="003251CF"/>
    <w:rsid w:val="003253B6"/>
    <w:rsid w:val="0032541B"/>
    <w:rsid w:val="00325495"/>
    <w:rsid w:val="003254E1"/>
    <w:rsid w:val="003254F6"/>
    <w:rsid w:val="00325530"/>
    <w:rsid w:val="0032567F"/>
    <w:rsid w:val="0032569D"/>
    <w:rsid w:val="00325758"/>
    <w:rsid w:val="003257B5"/>
    <w:rsid w:val="003258A6"/>
    <w:rsid w:val="003258CD"/>
    <w:rsid w:val="00325A39"/>
    <w:rsid w:val="00325AB5"/>
    <w:rsid w:val="00325ADA"/>
    <w:rsid w:val="00325C0B"/>
    <w:rsid w:val="00325D52"/>
    <w:rsid w:val="00325DCC"/>
    <w:rsid w:val="00325DF6"/>
    <w:rsid w:val="00325DFF"/>
    <w:rsid w:val="00325F07"/>
    <w:rsid w:val="00326033"/>
    <w:rsid w:val="003260B0"/>
    <w:rsid w:val="003260DC"/>
    <w:rsid w:val="0032614E"/>
    <w:rsid w:val="0032615E"/>
    <w:rsid w:val="0032617C"/>
    <w:rsid w:val="00326192"/>
    <w:rsid w:val="0032619A"/>
    <w:rsid w:val="003261D8"/>
    <w:rsid w:val="003262A7"/>
    <w:rsid w:val="003262B2"/>
    <w:rsid w:val="003262ED"/>
    <w:rsid w:val="00326308"/>
    <w:rsid w:val="0032641E"/>
    <w:rsid w:val="00326435"/>
    <w:rsid w:val="00326457"/>
    <w:rsid w:val="003264E5"/>
    <w:rsid w:val="00326515"/>
    <w:rsid w:val="00326588"/>
    <w:rsid w:val="003265AE"/>
    <w:rsid w:val="003265BC"/>
    <w:rsid w:val="00326633"/>
    <w:rsid w:val="00326698"/>
    <w:rsid w:val="003266D6"/>
    <w:rsid w:val="0032673A"/>
    <w:rsid w:val="0032677F"/>
    <w:rsid w:val="0032682F"/>
    <w:rsid w:val="00326857"/>
    <w:rsid w:val="00326861"/>
    <w:rsid w:val="00326868"/>
    <w:rsid w:val="0032686F"/>
    <w:rsid w:val="0032696F"/>
    <w:rsid w:val="003269B5"/>
    <w:rsid w:val="003269C3"/>
    <w:rsid w:val="00326B13"/>
    <w:rsid w:val="00326B17"/>
    <w:rsid w:val="00326BA9"/>
    <w:rsid w:val="00326BD1"/>
    <w:rsid w:val="00326BEC"/>
    <w:rsid w:val="00326C3F"/>
    <w:rsid w:val="00326CF0"/>
    <w:rsid w:val="00326D0F"/>
    <w:rsid w:val="00326D79"/>
    <w:rsid w:val="00326DBC"/>
    <w:rsid w:val="00326DE0"/>
    <w:rsid w:val="00326E52"/>
    <w:rsid w:val="00326F1F"/>
    <w:rsid w:val="00326F42"/>
    <w:rsid w:val="00326F4C"/>
    <w:rsid w:val="0032703D"/>
    <w:rsid w:val="003270C3"/>
    <w:rsid w:val="003270E8"/>
    <w:rsid w:val="003272C4"/>
    <w:rsid w:val="00327356"/>
    <w:rsid w:val="00327389"/>
    <w:rsid w:val="003273F9"/>
    <w:rsid w:val="00327451"/>
    <w:rsid w:val="0032751B"/>
    <w:rsid w:val="0032757C"/>
    <w:rsid w:val="0032758E"/>
    <w:rsid w:val="003275E9"/>
    <w:rsid w:val="0032760C"/>
    <w:rsid w:val="0032767E"/>
    <w:rsid w:val="003276F2"/>
    <w:rsid w:val="003277C6"/>
    <w:rsid w:val="003277D0"/>
    <w:rsid w:val="003277E9"/>
    <w:rsid w:val="003278A5"/>
    <w:rsid w:val="00327975"/>
    <w:rsid w:val="00327AAF"/>
    <w:rsid w:val="00327B83"/>
    <w:rsid w:val="00327BB7"/>
    <w:rsid w:val="00327BD1"/>
    <w:rsid w:val="00327C5A"/>
    <w:rsid w:val="00327CAA"/>
    <w:rsid w:val="00327D34"/>
    <w:rsid w:val="00327D3D"/>
    <w:rsid w:val="00327E18"/>
    <w:rsid w:val="00327E1A"/>
    <w:rsid w:val="00327E4F"/>
    <w:rsid w:val="00327F58"/>
    <w:rsid w:val="00327FA4"/>
    <w:rsid w:val="00327FBA"/>
    <w:rsid w:val="0033008C"/>
    <w:rsid w:val="003300B1"/>
    <w:rsid w:val="00330119"/>
    <w:rsid w:val="00330198"/>
    <w:rsid w:val="003301B4"/>
    <w:rsid w:val="0033021A"/>
    <w:rsid w:val="0033023C"/>
    <w:rsid w:val="003302E6"/>
    <w:rsid w:val="003302FD"/>
    <w:rsid w:val="00330521"/>
    <w:rsid w:val="003305C4"/>
    <w:rsid w:val="0033060D"/>
    <w:rsid w:val="0033066E"/>
    <w:rsid w:val="0033067A"/>
    <w:rsid w:val="00330751"/>
    <w:rsid w:val="0033075A"/>
    <w:rsid w:val="00330796"/>
    <w:rsid w:val="003308DA"/>
    <w:rsid w:val="00330924"/>
    <w:rsid w:val="00330983"/>
    <w:rsid w:val="00330A0B"/>
    <w:rsid w:val="00330A12"/>
    <w:rsid w:val="00330A17"/>
    <w:rsid w:val="00330A7A"/>
    <w:rsid w:val="00330AD9"/>
    <w:rsid w:val="00330ADC"/>
    <w:rsid w:val="00330AF9"/>
    <w:rsid w:val="00330B06"/>
    <w:rsid w:val="00330B31"/>
    <w:rsid w:val="00330C17"/>
    <w:rsid w:val="00330D21"/>
    <w:rsid w:val="00330E50"/>
    <w:rsid w:val="00330EB5"/>
    <w:rsid w:val="00330FCC"/>
    <w:rsid w:val="00331048"/>
    <w:rsid w:val="003310E5"/>
    <w:rsid w:val="00331144"/>
    <w:rsid w:val="00331172"/>
    <w:rsid w:val="003311B1"/>
    <w:rsid w:val="00331278"/>
    <w:rsid w:val="00331294"/>
    <w:rsid w:val="00331299"/>
    <w:rsid w:val="003312C9"/>
    <w:rsid w:val="00331313"/>
    <w:rsid w:val="00331354"/>
    <w:rsid w:val="00331432"/>
    <w:rsid w:val="0033161A"/>
    <w:rsid w:val="00331638"/>
    <w:rsid w:val="003316B1"/>
    <w:rsid w:val="003316C9"/>
    <w:rsid w:val="003316F5"/>
    <w:rsid w:val="003316FB"/>
    <w:rsid w:val="0033175B"/>
    <w:rsid w:val="0033192A"/>
    <w:rsid w:val="00331A16"/>
    <w:rsid w:val="00331A8D"/>
    <w:rsid w:val="00331AF8"/>
    <w:rsid w:val="00331B18"/>
    <w:rsid w:val="00331B3A"/>
    <w:rsid w:val="00331C28"/>
    <w:rsid w:val="00331C81"/>
    <w:rsid w:val="00331CFA"/>
    <w:rsid w:val="00331D13"/>
    <w:rsid w:val="00331D47"/>
    <w:rsid w:val="00331DB4"/>
    <w:rsid w:val="00331E7C"/>
    <w:rsid w:val="00331E96"/>
    <w:rsid w:val="00331E9E"/>
    <w:rsid w:val="00331EA5"/>
    <w:rsid w:val="00331ED8"/>
    <w:rsid w:val="00331EDF"/>
    <w:rsid w:val="00331F30"/>
    <w:rsid w:val="00332063"/>
    <w:rsid w:val="003320E8"/>
    <w:rsid w:val="003320FB"/>
    <w:rsid w:val="00332110"/>
    <w:rsid w:val="0033212E"/>
    <w:rsid w:val="00332139"/>
    <w:rsid w:val="00332165"/>
    <w:rsid w:val="003321AE"/>
    <w:rsid w:val="003323EE"/>
    <w:rsid w:val="0033242B"/>
    <w:rsid w:val="003324B2"/>
    <w:rsid w:val="003324E0"/>
    <w:rsid w:val="003325E5"/>
    <w:rsid w:val="0033268F"/>
    <w:rsid w:val="00332695"/>
    <w:rsid w:val="003326AA"/>
    <w:rsid w:val="0033270E"/>
    <w:rsid w:val="00332816"/>
    <w:rsid w:val="0033283B"/>
    <w:rsid w:val="00332948"/>
    <w:rsid w:val="00332A89"/>
    <w:rsid w:val="00332AE1"/>
    <w:rsid w:val="00332CB1"/>
    <w:rsid w:val="00332DD5"/>
    <w:rsid w:val="00332E20"/>
    <w:rsid w:val="00332EA6"/>
    <w:rsid w:val="00332FEE"/>
    <w:rsid w:val="00332FF9"/>
    <w:rsid w:val="003330D1"/>
    <w:rsid w:val="003330F2"/>
    <w:rsid w:val="00333184"/>
    <w:rsid w:val="003331C1"/>
    <w:rsid w:val="00333205"/>
    <w:rsid w:val="003332A3"/>
    <w:rsid w:val="00333308"/>
    <w:rsid w:val="00333534"/>
    <w:rsid w:val="00333667"/>
    <w:rsid w:val="0033373A"/>
    <w:rsid w:val="00333839"/>
    <w:rsid w:val="0033385A"/>
    <w:rsid w:val="003338B5"/>
    <w:rsid w:val="003338D8"/>
    <w:rsid w:val="00333956"/>
    <w:rsid w:val="0033396A"/>
    <w:rsid w:val="00333AA5"/>
    <w:rsid w:val="00333ABE"/>
    <w:rsid w:val="00333B51"/>
    <w:rsid w:val="00333B73"/>
    <w:rsid w:val="00333B8A"/>
    <w:rsid w:val="00333BA8"/>
    <w:rsid w:val="00333C0B"/>
    <w:rsid w:val="00333F9F"/>
    <w:rsid w:val="00333FF0"/>
    <w:rsid w:val="0033404C"/>
    <w:rsid w:val="00334067"/>
    <w:rsid w:val="0033409B"/>
    <w:rsid w:val="00334111"/>
    <w:rsid w:val="0033418E"/>
    <w:rsid w:val="003341DC"/>
    <w:rsid w:val="00334244"/>
    <w:rsid w:val="00334291"/>
    <w:rsid w:val="0033459C"/>
    <w:rsid w:val="003345BC"/>
    <w:rsid w:val="00334674"/>
    <w:rsid w:val="003346A8"/>
    <w:rsid w:val="003346CC"/>
    <w:rsid w:val="003346D8"/>
    <w:rsid w:val="0033473F"/>
    <w:rsid w:val="00334776"/>
    <w:rsid w:val="003347B9"/>
    <w:rsid w:val="003347E8"/>
    <w:rsid w:val="003348DD"/>
    <w:rsid w:val="003349AB"/>
    <w:rsid w:val="003349FB"/>
    <w:rsid w:val="00334A17"/>
    <w:rsid w:val="00334A62"/>
    <w:rsid w:val="00334AC0"/>
    <w:rsid w:val="00334BCD"/>
    <w:rsid w:val="00334C5F"/>
    <w:rsid w:val="00334CF9"/>
    <w:rsid w:val="00334D89"/>
    <w:rsid w:val="00334DE5"/>
    <w:rsid w:val="00334EAB"/>
    <w:rsid w:val="00334EEE"/>
    <w:rsid w:val="00334F84"/>
    <w:rsid w:val="00334FAD"/>
    <w:rsid w:val="00334FE8"/>
    <w:rsid w:val="00335077"/>
    <w:rsid w:val="003350BA"/>
    <w:rsid w:val="00335112"/>
    <w:rsid w:val="0033527F"/>
    <w:rsid w:val="0033530D"/>
    <w:rsid w:val="00335349"/>
    <w:rsid w:val="003353BB"/>
    <w:rsid w:val="003353D7"/>
    <w:rsid w:val="003353F2"/>
    <w:rsid w:val="003354D0"/>
    <w:rsid w:val="00335547"/>
    <w:rsid w:val="00335548"/>
    <w:rsid w:val="0033554A"/>
    <w:rsid w:val="0033561A"/>
    <w:rsid w:val="00335682"/>
    <w:rsid w:val="0033575B"/>
    <w:rsid w:val="0033586D"/>
    <w:rsid w:val="003358BD"/>
    <w:rsid w:val="003358CB"/>
    <w:rsid w:val="00335966"/>
    <w:rsid w:val="00335A6C"/>
    <w:rsid w:val="00335C27"/>
    <w:rsid w:val="00335EB0"/>
    <w:rsid w:val="00335EE4"/>
    <w:rsid w:val="00335F59"/>
    <w:rsid w:val="00336089"/>
    <w:rsid w:val="00336288"/>
    <w:rsid w:val="00336346"/>
    <w:rsid w:val="003363AD"/>
    <w:rsid w:val="0033641F"/>
    <w:rsid w:val="00336596"/>
    <w:rsid w:val="0033667B"/>
    <w:rsid w:val="00336685"/>
    <w:rsid w:val="003366EC"/>
    <w:rsid w:val="00336763"/>
    <w:rsid w:val="00336797"/>
    <w:rsid w:val="00336802"/>
    <w:rsid w:val="003368AB"/>
    <w:rsid w:val="003368FD"/>
    <w:rsid w:val="00336950"/>
    <w:rsid w:val="00336A36"/>
    <w:rsid w:val="00336BB9"/>
    <w:rsid w:val="00336C4D"/>
    <w:rsid w:val="00336C5D"/>
    <w:rsid w:val="00336C9E"/>
    <w:rsid w:val="00336D21"/>
    <w:rsid w:val="00336DB7"/>
    <w:rsid w:val="00336E4C"/>
    <w:rsid w:val="00336F70"/>
    <w:rsid w:val="00336FBC"/>
    <w:rsid w:val="00337114"/>
    <w:rsid w:val="00337116"/>
    <w:rsid w:val="00337188"/>
    <w:rsid w:val="00337226"/>
    <w:rsid w:val="00337245"/>
    <w:rsid w:val="00337320"/>
    <w:rsid w:val="003373EA"/>
    <w:rsid w:val="003374BB"/>
    <w:rsid w:val="00337592"/>
    <w:rsid w:val="003375FB"/>
    <w:rsid w:val="0033775D"/>
    <w:rsid w:val="00337856"/>
    <w:rsid w:val="00337892"/>
    <w:rsid w:val="003378DB"/>
    <w:rsid w:val="00337923"/>
    <w:rsid w:val="00337990"/>
    <w:rsid w:val="00337A63"/>
    <w:rsid w:val="00337AA9"/>
    <w:rsid w:val="00337AFD"/>
    <w:rsid w:val="00337C04"/>
    <w:rsid w:val="00337C42"/>
    <w:rsid w:val="00337C80"/>
    <w:rsid w:val="00337C8D"/>
    <w:rsid w:val="00337E47"/>
    <w:rsid w:val="00337E4B"/>
    <w:rsid w:val="00337ECF"/>
    <w:rsid w:val="00337F74"/>
    <w:rsid w:val="00340020"/>
    <w:rsid w:val="00340110"/>
    <w:rsid w:val="00340144"/>
    <w:rsid w:val="00340185"/>
    <w:rsid w:val="00340226"/>
    <w:rsid w:val="00340257"/>
    <w:rsid w:val="0034034F"/>
    <w:rsid w:val="0034035C"/>
    <w:rsid w:val="00340398"/>
    <w:rsid w:val="003403D7"/>
    <w:rsid w:val="003403DA"/>
    <w:rsid w:val="0034064F"/>
    <w:rsid w:val="00340650"/>
    <w:rsid w:val="00340698"/>
    <w:rsid w:val="003406D4"/>
    <w:rsid w:val="00340847"/>
    <w:rsid w:val="0034090D"/>
    <w:rsid w:val="00340A31"/>
    <w:rsid w:val="00340A41"/>
    <w:rsid w:val="00340A5A"/>
    <w:rsid w:val="00340A7B"/>
    <w:rsid w:val="00340B91"/>
    <w:rsid w:val="00340C9B"/>
    <w:rsid w:val="00340CBD"/>
    <w:rsid w:val="00340CF1"/>
    <w:rsid w:val="00340D7F"/>
    <w:rsid w:val="00340DDA"/>
    <w:rsid w:val="00340DE4"/>
    <w:rsid w:val="00340ED0"/>
    <w:rsid w:val="00340FF4"/>
    <w:rsid w:val="0034101D"/>
    <w:rsid w:val="00341042"/>
    <w:rsid w:val="003410D5"/>
    <w:rsid w:val="00341150"/>
    <w:rsid w:val="0034119C"/>
    <w:rsid w:val="00341282"/>
    <w:rsid w:val="00341300"/>
    <w:rsid w:val="0034136B"/>
    <w:rsid w:val="0034141C"/>
    <w:rsid w:val="0034146E"/>
    <w:rsid w:val="003414EA"/>
    <w:rsid w:val="00341547"/>
    <w:rsid w:val="003415F5"/>
    <w:rsid w:val="003415F7"/>
    <w:rsid w:val="003416D2"/>
    <w:rsid w:val="00341711"/>
    <w:rsid w:val="00341719"/>
    <w:rsid w:val="003417A5"/>
    <w:rsid w:val="003417BB"/>
    <w:rsid w:val="003417DF"/>
    <w:rsid w:val="00341839"/>
    <w:rsid w:val="00341932"/>
    <w:rsid w:val="00341ACB"/>
    <w:rsid w:val="00341B1A"/>
    <w:rsid w:val="00341CB1"/>
    <w:rsid w:val="00341D6A"/>
    <w:rsid w:val="00341E0D"/>
    <w:rsid w:val="00341E20"/>
    <w:rsid w:val="00341E7A"/>
    <w:rsid w:val="00342048"/>
    <w:rsid w:val="0034206F"/>
    <w:rsid w:val="003420FB"/>
    <w:rsid w:val="00342148"/>
    <w:rsid w:val="003422FF"/>
    <w:rsid w:val="0034239D"/>
    <w:rsid w:val="003423CD"/>
    <w:rsid w:val="003423FE"/>
    <w:rsid w:val="003424E4"/>
    <w:rsid w:val="00342566"/>
    <w:rsid w:val="0034257E"/>
    <w:rsid w:val="00342660"/>
    <w:rsid w:val="00342683"/>
    <w:rsid w:val="00342732"/>
    <w:rsid w:val="00342911"/>
    <w:rsid w:val="00342A26"/>
    <w:rsid w:val="00342A36"/>
    <w:rsid w:val="00342AB1"/>
    <w:rsid w:val="00342AF1"/>
    <w:rsid w:val="00342B09"/>
    <w:rsid w:val="00342B9F"/>
    <w:rsid w:val="00342C3A"/>
    <w:rsid w:val="00342C4B"/>
    <w:rsid w:val="00342D16"/>
    <w:rsid w:val="00342D32"/>
    <w:rsid w:val="00342E34"/>
    <w:rsid w:val="00342E52"/>
    <w:rsid w:val="00342F2F"/>
    <w:rsid w:val="00343071"/>
    <w:rsid w:val="003430A2"/>
    <w:rsid w:val="003430AC"/>
    <w:rsid w:val="0034321D"/>
    <w:rsid w:val="003432EE"/>
    <w:rsid w:val="003433C8"/>
    <w:rsid w:val="00343427"/>
    <w:rsid w:val="00343499"/>
    <w:rsid w:val="00343504"/>
    <w:rsid w:val="0034356E"/>
    <w:rsid w:val="003435CF"/>
    <w:rsid w:val="0034368E"/>
    <w:rsid w:val="00343731"/>
    <w:rsid w:val="00343831"/>
    <w:rsid w:val="00343863"/>
    <w:rsid w:val="00343887"/>
    <w:rsid w:val="003438CF"/>
    <w:rsid w:val="0034398B"/>
    <w:rsid w:val="003439AD"/>
    <w:rsid w:val="00343A1B"/>
    <w:rsid w:val="00343B3B"/>
    <w:rsid w:val="00343BB3"/>
    <w:rsid w:val="00343C25"/>
    <w:rsid w:val="00343C5C"/>
    <w:rsid w:val="00343C9F"/>
    <w:rsid w:val="00343CFA"/>
    <w:rsid w:val="00343D0F"/>
    <w:rsid w:val="00343D30"/>
    <w:rsid w:val="00343DD3"/>
    <w:rsid w:val="00343E67"/>
    <w:rsid w:val="00343EF8"/>
    <w:rsid w:val="003440A3"/>
    <w:rsid w:val="003440BB"/>
    <w:rsid w:val="00344164"/>
    <w:rsid w:val="00344273"/>
    <w:rsid w:val="003442DC"/>
    <w:rsid w:val="0034432C"/>
    <w:rsid w:val="003443FA"/>
    <w:rsid w:val="00344412"/>
    <w:rsid w:val="00344444"/>
    <w:rsid w:val="00344447"/>
    <w:rsid w:val="00344471"/>
    <w:rsid w:val="00344503"/>
    <w:rsid w:val="0034452A"/>
    <w:rsid w:val="00344542"/>
    <w:rsid w:val="00344547"/>
    <w:rsid w:val="003445C3"/>
    <w:rsid w:val="00344619"/>
    <w:rsid w:val="00344733"/>
    <w:rsid w:val="00344778"/>
    <w:rsid w:val="003447A4"/>
    <w:rsid w:val="00344801"/>
    <w:rsid w:val="00344880"/>
    <w:rsid w:val="00344A48"/>
    <w:rsid w:val="00344A6C"/>
    <w:rsid w:val="00344A88"/>
    <w:rsid w:val="00344A92"/>
    <w:rsid w:val="00344BB6"/>
    <w:rsid w:val="00344C99"/>
    <w:rsid w:val="00344D7C"/>
    <w:rsid w:val="00344D8E"/>
    <w:rsid w:val="00344DE2"/>
    <w:rsid w:val="00344EE6"/>
    <w:rsid w:val="00344F1B"/>
    <w:rsid w:val="00344F23"/>
    <w:rsid w:val="00344FBF"/>
    <w:rsid w:val="00345061"/>
    <w:rsid w:val="0034515A"/>
    <w:rsid w:val="003451D0"/>
    <w:rsid w:val="003452B1"/>
    <w:rsid w:val="003452F2"/>
    <w:rsid w:val="00345326"/>
    <w:rsid w:val="00345332"/>
    <w:rsid w:val="00345335"/>
    <w:rsid w:val="003453A0"/>
    <w:rsid w:val="003453FD"/>
    <w:rsid w:val="00345635"/>
    <w:rsid w:val="003456A7"/>
    <w:rsid w:val="003456A9"/>
    <w:rsid w:val="003456F4"/>
    <w:rsid w:val="00345794"/>
    <w:rsid w:val="003458BF"/>
    <w:rsid w:val="003459B9"/>
    <w:rsid w:val="003459CD"/>
    <w:rsid w:val="00345A21"/>
    <w:rsid w:val="00345A51"/>
    <w:rsid w:val="00345A75"/>
    <w:rsid w:val="00345A91"/>
    <w:rsid w:val="00345A96"/>
    <w:rsid w:val="00345B14"/>
    <w:rsid w:val="00345B3C"/>
    <w:rsid w:val="00345BFC"/>
    <w:rsid w:val="00345D4C"/>
    <w:rsid w:val="00345D93"/>
    <w:rsid w:val="00345D9C"/>
    <w:rsid w:val="00345DEA"/>
    <w:rsid w:val="00345DF9"/>
    <w:rsid w:val="00345ED0"/>
    <w:rsid w:val="00345F50"/>
    <w:rsid w:val="00345FC6"/>
    <w:rsid w:val="00345FCE"/>
    <w:rsid w:val="00345FFF"/>
    <w:rsid w:val="003460C1"/>
    <w:rsid w:val="00346155"/>
    <w:rsid w:val="0034623F"/>
    <w:rsid w:val="00346246"/>
    <w:rsid w:val="0034624F"/>
    <w:rsid w:val="003462B7"/>
    <w:rsid w:val="0034633B"/>
    <w:rsid w:val="00346358"/>
    <w:rsid w:val="00346372"/>
    <w:rsid w:val="00346381"/>
    <w:rsid w:val="003463CC"/>
    <w:rsid w:val="0034652B"/>
    <w:rsid w:val="003465AC"/>
    <w:rsid w:val="003466E8"/>
    <w:rsid w:val="00346770"/>
    <w:rsid w:val="003467A2"/>
    <w:rsid w:val="00346911"/>
    <w:rsid w:val="0034699A"/>
    <w:rsid w:val="00346A4D"/>
    <w:rsid w:val="00346A72"/>
    <w:rsid w:val="00346A82"/>
    <w:rsid w:val="00346AD5"/>
    <w:rsid w:val="00346AE0"/>
    <w:rsid w:val="00346B4F"/>
    <w:rsid w:val="00346C30"/>
    <w:rsid w:val="00346C36"/>
    <w:rsid w:val="00346CF3"/>
    <w:rsid w:val="00346D78"/>
    <w:rsid w:val="00346DE7"/>
    <w:rsid w:val="00346E0F"/>
    <w:rsid w:val="00346E83"/>
    <w:rsid w:val="00346EB6"/>
    <w:rsid w:val="00346EE8"/>
    <w:rsid w:val="00346FA8"/>
    <w:rsid w:val="00346FAF"/>
    <w:rsid w:val="00346FF9"/>
    <w:rsid w:val="003471A0"/>
    <w:rsid w:val="00347347"/>
    <w:rsid w:val="0034735A"/>
    <w:rsid w:val="00347402"/>
    <w:rsid w:val="0034747D"/>
    <w:rsid w:val="0034758B"/>
    <w:rsid w:val="003475E2"/>
    <w:rsid w:val="003475F3"/>
    <w:rsid w:val="003478B7"/>
    <w:rsid w:val="0034792B"/>
    <w:rsid w:val="00347946"/>
    <w:rsid w:val="00347970"/>
    <w:rsid w:val="003479C0"/>
    <w:rsid w:val="00347A65"/>
    <w:rsid w:val="00347B09"/>
    <w:rsid w:val="00347B1B"/>
    <w:rsid w:val="00347B7D"/>
    <w:rsid w:val="00347BF9"/>
    <w:rsid w:val="00347CCD"/>
    <w:rsid w:val="00347CF6"/>
    <w:rsid w:val="00347D1A"/>
    <w:rsid w:val="00347DBA"/>
    <w:rsid w:val="00347DD9"/>
    <w:rsid w:val="00347E2F"/>
    <w:rsid w:val="00347EA0"/>
    <w:rsid w:val="00347ECC"/>
    <w:rsid w:val="00347F50"/>
    <w:rsid w:val="00347F93"/>
    <w:rsid w:val="0035007B"/>
    <w:rsid w:val="00350080"/>
    <w:rsid w:val="003500B3"/>
    <w:rsid w:val="003500C9"/>
    <w:rsid w:val="003501C1"/>
    <w:rsid w:val="003501DB"/>
    <w:rsid w:val="003503B0"/>
    <w:rsid w:val="0035048C"/>
    <w:rsid w:val="003504D1"/>
    <w:rsid w:val="00350521"/>
    <w:rsid w:val="003505C9"/>
    <w:rsid w:val="00350687"/>
    <w:rsid w:val="00350691"/>
    <w:rsid w:val="003506A6"/>
    <w:rsid w:val="003506BA"/>
    <w:rsid w:val="003506C8"/>
    <w:rsid w:val="003506D3"/>
    <w:rsid w:val="003506E6"/>
    <w:rsid w:val="0035078A"/>
    <w:rsid w:val="0035079D"/>
    <w:rsid w:val="003508B5"/>
    <w:rsid w:val="003508C6"/>
    <w:rsid w:val="00350A56"/>
    <w:rsid w:val="00350A8E"/>
    <w:rsid w:val="00350A93"/>
    <w:rsid w:val="00350B4D"/>
    <w:rsid w:val="00350B64"/>
    <w:rsid w:val="00350C03"/>
    <w:rsid w:val="00350C3B"/>
    <w:rsid w:val="00350D26"/>
    <w:rsid w:val="00350DD7"/>
    <w:rsid w:val="00350E21"/>
    <w:rsid w:val="00350EEA"/>
    <w:rsid w:val="00350F2C"/>
    <w:rsid w:val="00350FB9"/>
    <w:rsid w:val="00350FCD"/>
    <w:rsid w:val="00351003"/>
    <w:rsid w:val="00351065"/>
    <w:rsid w:val="003510BD"/>
    <w:rsid w:val="00351141"/>
    <w:rsid w:val="003511DC"/>
    <w:rsid w:val="00351214"/>
    <w:rsid w:val="00351224"/>
    <w:rsid w:val="00351296"/>
    <w:rsid w:val="0035129A"/>
    <w:rsid w:val="003512B0"/>
    <w:rsid w:val="003512F1"/>
    <w:rsid w:val="00351358"/>
    <w:rsid w:val="003514FE"/>
    <w:rsid w:val="003515C7"/>
    <w:rsid w:val="00351631"/>
    <w:rsid w:val="003516C4"/>
    <w:rsid w:val="003518BE"/>
    <w:rsid w:val="0035195C"/>
    <w:rsid w:val="00351974"/>
    <w:rsid w:val="00351AEF"/>
    <w:rsid w:val="00351B0E"/>
    <w:rsid w:val="00351B56"/>
    <w:rsid w:val="00351B60"/>
    <w:rsid w:val="00351B62"/>
    <w:rsid w:val="00351B74"/>
    <w:rsid w:val="00351BD4"/>
    <w:rsid w:val="00351BE8"/>
    <w:rsid w:val="00351BEA"/>
    <w:rsid w:val="00351C53"/>
    <w:rsid w:val="00351CA2"/>
    <w:rsid w:val="00351CE2"/>
    <w:rsid w:val="00351D4C"/>
    <w:rsid w:val="00351D4D"/>
    <w:rsid w:val="00351D6C"/>
    <w:rsid w:val="00351D6D"/>
    <w:rsid w:val="00351E83"/>
    <w:rsid w:val="00351F07"/>
    <w:rsid w:val="00351F37"/>
    <w:rsid w:val="00352033"/>
    <w:rsid w:val="00352035"/>
    <w:rsid w:val="003520E2"/>
    <w:rsid w:val="00352197"/>
    <w:rsid w:val="003521BB"/>
    <w:rsid w:val="0035220D"/>
    <w:rsid w:val="00352211"/>
    <w:rsid w:val="0035238F"/>
    <w:rsid w:val="003523FD"/>
    <w:rsid w:val="00352480"/>
    <w:rsid w:val="0035248C"/>
    <w:rsid w:val="00352498"/>
    <w:rsid w:val="003524C3"/>
    <w:rsid w:val="00352601"/>
    <w:rsid w:val="0035265A"/>
    <w:rsid w:val="003526C4"/>
    <w:rsid w:val="00352700"/>
    <w:rsid w:val="00352754"/>
    <w:rsid w:val="003527A5"/>
    <w:rsid w:val="003527ED"/>
    <w:rsid w:val="00352970"/>
    <w:rsid w:val="003529D7"/>
    <w:rsid w:val="003529E8"/>
    <w:rsid w:val="00352A91"/>
    <w:rsid w:val="00352A92"/>
    <w:rsid w:val="00352B63"/>
    <w:rsid w:val="00352B8D"/>
    <w:rsid w:val="00352BA6"/>
    <w:rsid w:val="00352C2A"/>
    <w:rsid w:val="00352D1E"/>
    <w:rsid w:val="00352E88"/>
    <w:rsid w:val="00352EC1"/>
    <w:rsid w:val="00352ED3"/>
    <w:rsid w:val="00352F65"/>
    <w:rsid w:val="00352F67"/>
    <w:rsid w:val="00352F94"/>
    <w:rsid w:val="0035307B"/>
    <w:rsid w:val="00353130"/>
    <w:rsid w:val="0035314F"/>
    <w:rsid w:val="0035316C"/>
    <w:rsid w:val="003531F8"/>
    <w:rsid w:val="0035322C"/>
    <w:rsid w:val="0035323F"/>
    <w:rsid w:val="0035324C"/>
    <w:rsid w:val="00353464"/>
    <w:rsid w:val="003534A9"/>
    <w:rsid w:val="0035358D"/>
    <w:rsid w:val="00353768"/>
    <w:rsid w:val="0035381C"/>
    <w:rsid w:val="003538B6"/>
    <w:rsid w:val="00353963"/>
    <w:rsid w:val="00353998"/>
    <w:rsid w:val="0035399D"/>
    <w:rsid w:val="003539B9"/>
    <w:rsid w:val="003539CD"/>
    <w:rsid w:val="003539E1"/>
    <w:rsid w:val="00353A38"/>
    <w:rsid w:val="00353A63"/>
    <w:rsid w:val="00353ABD"/>
    <w:rsid w:val="00353ABE"/>
    <w:rsid w:val="00353AED"/>
    <w:rsid w:val="00353B64"/>
    <w:rsid w:val="00353BA7"/>
    <w:rsid w:val="00353BBB"/>
    <w:rsid w:val="00353D0D"/>
    <w:rsid w:val="00353E50"/>
    <w:rsid w:val="00353E57"/>
    <w:rsid w:val="00353F16"/>
    <w:rsid w:val="00353F73"/>
    <w:rsid w:val="00353F92"/>
    <w:rsid w:val="0035400B"/>
    <w:rsid w:val="0035405B"/>
    <w:rsid w:val="003540B5"/>
    <w:rsid w:val="003540D9"/>
    <w:rsid w:val="00354108"/>
    <w:rsid w:val="003541CD"/>
    <w:rsid w:val="00354206"/>
    <w:rsid w:val="003542F6"/>
    <w:rsid w:val="003542F9"/>
    <w:rsid w:val="003543DA"/>
    <w:rsid w:val="00354413"/>
    <w:rsid w:val="003544B4"/>
    <w:rsid w:val="003545AE"/>
    <w:rsid w:val="00354698"/>
    <w:rsid w:val="003546A0"/>
    <w:rsid w:val="003546FD"/>
    <w:rsid w:val="003547CA"/>
    <w:rsid w:val="003547D6"/>
    <w:rsid w:val="003547EF"/>
    <w:rsid w:val="003548D9"/>
    <w:rsid w:val="003548DF"/>
    <w:rsid w:val="003548EE"/>
    <w:rsid w:val="00354985"/>
    <w:rsid w:val="00354A72"/>
    <w:rsid w:val="00354AA4"/>
    <w:rsid w:val="00354B36"/>
    <w:rsid w:val="00354B7F"/>
    <w:rsid w:val="00354BEA"/>
    <w:rsid w:val="00354D31"/>
    <w:rsid w:val="00354DF0"/>
    <w:rsid w:val="00354EA5"/>
    <w:rsid w:val="00354EF6"/>
    <w:rsid w:val="00355014"/>
    <w:rsid w:val="0035504E"/>
    <w:rsid w:val="0035506D"/>
    <w:rsid w:val="003550A6"/>
    <w:rsid w:val="00355104"/>
    <w:rsid w:val="0035523B"/>
    <w:rsid w:val="0035526C"/>
    <w:rsid w:val="003552BB"/>
    <w:rsid w:val="0035534C"/>
    <w:rsid w:val="003554CF"/>
    <w:rsid w:val="00355564"/>
    <w:rsid w:val="00355669"/>
    <w:rsid w:val="00355875"/>
    <w:rsid w:val="003558C7"/>
    <w:rsid w:val="003558D1"/>
    <w:rsid w:val="00355990"/>
    <w:rsid w:val="003559B3"/>
    <w:rsid w:val="00355AEC"/>
    <w:rsid w:val="00355C64"/>
    <w:rsid w:val="00355F05"/>
    <w:rsid w:val="0035604D"/>
    <w:rsid w:val="003560F4"/>
    <w:rsid w:val="0035610B"/>
    <w:rsid w:val="00356183"/>
    <w:rsid w:val="003561D8"/>
    <w:rsid w:val="0035622F"/>
    <w:rsid w:val="00356273"/>
    <w:rsid w:val="0035627E"/>
    <w:rsid w:val="003562A1"/>
    <w:rsid w:val="003562E3"/>
    <w:rsid w:val="00356493"/>
    <w:rsid w:val="003564A1"/>
    <w:rsid w:val="003564DD"/>
    <w:rsid w:val="00356533"/>
    <w:rsid w:val="00356585"/>
    <w:rsid w:val="00356674"/>
    <w:rsid w:val="003566B3"/>
    <w:rsid w:val="003566F3"/>
    <w:rsid w:val="00356752"/>
    <w:rsid w:val="003567F3"/>
    <w:rsid w:val="0035682A"/>
    <w:rsid w:val="00356830"/>
    <w:rsid w:val="00356865"/>
    <w:rsid w:val="0035690F"/>
    <w:rsid w:val="00356924"/>
    <w:rsid w:val="0035697D"/>
    <w:rsid w:val="00356A36"/>
    <w:rsid w:val="00356AB1"/>
    <w:rsid w:val="00356B48"/>
    <w:rsid w:val="00356C9C"/>
    <w:rsid w:val="00356CB7"/>
    <w:rsid w:val="00356DA6"/>
    <w:rsid w:val="00356DAE"/>
    <w:rsid w:val="00356DF6"/>
    <w:rsid w:val="00356E72"/>
    <w:rsid w:val="00356EAF"/>
    <w:rsid w:val="00356FD0"/>
    <w:rsid w:val="003570BA"/>
    <w:rsid w:val="003571DE"/>
    <w:rsid w:val="00357277"/>
    <w:rsid w:val="0035733A"/>
    <w:rsid w:val="00357368"/>
    <w:rsid w:val="003573B4"/>
    <w:rsid w:val="003573D6"/>
    <w:rsid w:val="0035747E"/>
    <w:rsid w:val="0035756B"/>
    <w:rsid w:val="00357637"/>
    <w:rsid w:val="00357669"/>
    <w:rsid w:val="003576D8"/>
    <w:rsid w:val="0035771F"/>
    <w:rsid w:val="00357787"/>
    <w:rsid w:val="003577B8"/>
    <w:rsid w:val="003577BC"/>
    <w:rsid w:val="003577E7"/>
    <w:rsid w:val="00357819"/>
    <w:rsid w:val="00357837"/>
    <w:rsid w:val="0035784E"/>
    <w:rsid w:val="0035788B"/>
    <w:rsid w:val="003578D4"/>
    <w:rsid w:val="0035792E"/>
    <w:rsid w:val="00357997"/>
    <w:rsid w:val="00357BE4"/>
    <w:rsid w:val="00357BFF"/>
    <w:rsid w:val="00357C47"/>
    <w:rsid w:val="00357CBC"/>
    <w:rsid w:val="00357D7F"/>
    <w:rsid w:val="00357DF6"/>
    <w:rsid w:val="00357FBB"/>
    <w:rsid w:val="00357FD5"/>
    <w:rsid w:val="00357FF0"/>
    <w:rsid w:val="00360062"/>
    <w:rsid w:val="003600A1"/>
    <w:rsid w:val="00360167"/>
    <w:rsid w:val="0036018B"/>
    <w:rsid w:val="003601B8"/>
    <w:rsid w:val="0036022D"/>
    <w:rsid w:val="00360262"/>
    <w:rsid w:val="003602FC"/>
    <w:rsid w:val="003603DC"/>
    <w:rsid w:val="003603F0"/>
    <w:rsid w:val="0036045A"/>
    <w:rsid w:val="0036049D"/>
    <w:rsid w:val="00360563"/>
    <w:rsid w:val="0036059E"/>
    <w:rsid w:val="003605E9"/>
    <w:rsid w:val="00360754"/>
    <w:rsid w:val="0036083E"/>
    <w:rsid w:val="00360932"/>
    <w:rsid w:val="00360967"/>
    <w:rsid w:val="00360A11"/>
    <w:rsid w:val="00360A32"/>
    <w:rsid w:val="00360AA1"/>
    <w:rsid w:val="00360AD8"/>
    <w:rsid w:val="00360B28"/>
    <w:rsid w:val="00360CA4"/>
    <w:rsid w:val="00360CB4"/>
    <w:rsid w:val="00360D21"/>
    <w:rsid w:val="00360DE1"/>
    <w:rsid w:val="00360DEB"/>
    <w:rsid w:val="00360E2B"/>
    <w:rsid w:val="00360E64"/>
    <w:rsid w:val="00360ECC"/>
    <w:rsid w:val="00360F43"/>
    <w:rsid w:val="00360F65"/>
    <w:rsid w:val="00360F67"/>
    <w:rsid w:val="00361008"/>
    <w:rsid w:val="0036106C"/>
    <w:rsid w:val="00361105"/>
    <w:rsid w:val="003611DE"/>
    <w:rsid w:val="00361221"/>
    <w:rsid w:val="0036127C"/>
    <w:rsid w:val="003612D5"/>
    <w:rsid w:val="00361322"/>
    <w:rsid w:val="00361344"/>
    <w:rsid w:val="003613C6"/>
    <w:rsid w:val="003613D2"/>
    <w:rsid w:val="003614E7"/>
    <w:rsid w:val="00361544"/>
    <w:rsid w:val="003617FC"/>
    <w:rsid w:val="0036184A"/>
    <w:rsid w:val="003618BC"/>
    <w:rsid w:val="003618DB"/>
    <w:rsid w:val="003618E0"/>
    <w:rsid w:val="003618EB"/>
    <w:rsid w:val="003619BD"/>
    <w:rsid w:val="00361A5B"/>
    <w:rsid w:val="00361B8F"/>
    <w:rsid w:val="00361BBC"/>
    <w:rsid w:val="00361C8F"/>
    <w:rsid w:val="00361C99"/>
    <w:rsid w:val="00361D12"/>
    <w:rsid w:val="00361D3B"/>
    <w:rsid w:val="00361E13"/>
    <w:rsid w:val="00361E16"/>
    <w:rsid w:val="00361E28"/>
    <w:rsid w:val="00361F11"/>
    <w:rsid w:val="00361F48"/>
    <w:rsid w:val="003620BB"/>
    <w:rsid w:val="00362101"/>
    <w:rsid w:val="00362181"/>
    <w:rsid w:val="003621C2"/>
    <w:rsid w:val="0036230C"/>
    <w:rsid w:val="0036241F"/>
    <w:rsid w:val="0036244C"/>
    <w:rsid w:val="0036251B"/>
    <w:rsid w:val="0036257C"/>
    <w:rsid w:val="00362651"/>
    <w:rsid w:val="00362692"/>
    <w:rsid w:val="003626DD"/>
    <w:rsid w:val="003626F4"/>
    <w:rsid w:val="00362705"/>
    <w:rsid w:val="00362724"/>
    <w:rsid w:val="0036282A"/>
    <w:rsid w:val="003628B9"/>
    <w:rsid w:val="003628BF"/>
    <w:rsid w:val="00362A42"/>
    <w:rsid w:val="00362A61"/>
    <w:rsid w:val="00362ACD"/>
    <w:rsid w:val="00362B3C"/>
    <w:rsid w:val="00362BAA"/>
    <w:rsid w:val="00362C35"/>
    <w:rsid w:val="00362DF0"/>
    <w:rsid w:val="00362E70"/>
    <w:rsid w:val="00362F20"/>
    <w:rsid w:val="003630FB"/>
    <w:rsid w:val="00363170"/>
    <w:rsid w:val="0036321C"/>
    <w:rsid w:val="0036322C"/>
    <w:rsid w:val="00363248"/>
    <w:rsid w:val="0036336F"/>
    <w:rsid w:val="003633DD"/>
    <w:rsid w:val="00363445"/>
    <w:rsid w:val="003634B0"/>
    <w:rsid w:val="003634BA"/>
    <w:rsid w:val="003634DE"/>
    <w:rsid w:val="003634E1"/>
    <w:rsid w:val="0036350B"/>
    <w:rsid w:val="00363538"/>
    <w:rsid w:val="00363609"/>
    <w:rsid w:val="00363658"/>
    <w:rsid w:val="00363734"/>
    <w:rsid w:val="00363735"/>
    <w:rsid w:val="0036383C"/>
    <w:rsid w:val="00363858"/>
    <w:rsid w:val="003638B8"/>
    <w:rsid w:val="00363969"/>
    <w:rsid w:val="003639A3"/>
    <w:rsid w:val="00363A42"/>
    <w:rsid w:val="00363A72"/>
    <w:rsid w:val="00363D7B"/>
    <w:rsid w:val="00363D85"/>
    <w:rsid w:val="00363F3D"/>
    <w:rsid w:val="00363F48"/>
    <w:rsid w:val="00363F6C"/>
    <w:rsid w:val="00364058"/>
    <w:rsid w:val="00364075"/>
    <w:rsid w:val="00364099"/>
    <w:rsid w:val="003640A8"/>
    <w:rsid w:val="00364112"/>
    <w:rsid w:val="0036416C"/>
    <w:rsid w:val="003642B2"/>
    <w:rsid w:val="003643F2"/>
    <w:rsid w:val="003644E5"/>
    <w:rsid w:val="00364541"/>
    <w:rsid w:val="0036455B"/>
    <w:rsid w:val="00364565"/>
    <w:rsid w:val="003645C7"/>
    <w:rsid w:val="003645CB"/>
    <w:rsid w:val="00364635"/>
    <w:rsid w:val="003646EC"/>
    <w:rsid w:val="0036472F"/>
    <w:rsid w:val="0036474A"/>
    <w:rsid w:val="003647AA"/>
    <w:rsid w:val="003648F7"/>
    <w:rsid w:val="0036497D"/>
    <w:rsid w:val="003649F9"/>
    <w:rsid w:val="00364B3A"/>
    <w:rsid w:val="00364B54"/>
    <w:rsid w:val="00364C97"/>
    <w:rsid w:val="00364DA6"/>
    <w:rsid w:val="00364DB2"/>
    <w:rsid w:val="00364EA8"/>
    <w:rsid w:val="00364F50"/>
    <w:rsid w:val="00365038"/>
    <w:rsid w:val="00365062"/>
    <w:rsid w:val="003650CC"/>
    <w:rsid w:val="003650CD"/>
    <w:rsid w:val="0036520B"/>
    <w:rsid w:val="003652AF"/>
    <w:rsid w:val="003652C6"/>
    <w:rsid w:val="0036531D"/>
    <w:rsid w:val="0036539D"/>
    <w:rsid w:val="003653A8"/>
    <w:rsid w:val="00365411"/>
    <w:rsid w:val="00365445"/>
    <w:rsid w:val="00365460"/>
    <w:rsid w:val="0036562F"/>
    <w:rsid w:val="00365669"/>
    <w:rsid w:val="003656B0"/>
    <w:rsid w:val="0036578D"/>
    <w:rsid w:val="003657B9"/>
    <w:rsid w:val="003657F4"/>
    <w:rsid w:val="00365805"/>
    <w:rsid w:val="0036582D"/>
    <w:rsid w:val="0036587F"/>
    <w:rsid w:val="00365888"/>
    <w:rsid w:val="003658DC"/>
    <w:rsid w:val="00365A29"/>
    <w:rsid w:val="00365A5E"/>
    <w:rsid w:val="00365AC1"/>
    <w:rsid w:val="00365AEE"/>
    <w:rsid w:val="00365B3E"/>
    <w:rsid w:val="00365B52"/>
    <w:rsid w:val="00365B93"/>
    <w:rsid w:val="00365CC0"/>
    <w:rsid w:val="00365E84"/>
    <w:rsid w:val="00365EDB"/>
    <w:rsid w:val="00365EF2"/>
    <w:rsid w:val="00365F87"/>
    <w:rsid w:val="00365F99"/>
    <w:rsid w:val="00365FEF"/>
    <w:rsid w:val="003660CF"/>
    <w:rsid w:val="003660F1"/>
    <w:rsid w:val="003660FF"/>
    <w:rsid w:val="0036613C"/>
    <w:rsid w:val="0036622D"/>
    <w:rsid w:val="003663C7"/>
    <w:rsid w:val="0036643C"/>
    <w:rsid w:val="00366452"/>
    <w:rsid w:val="003664AD"/>
    <w:rsid w:val="003664D6"/>
    <w:rsid w:val="003664FA"/>
    <w:rsid w:val="003665AB"/>
    <w:rsid w:val="003665AD"/>
    <w:rsid w:val="003665B9"/>
    <w:rsid w:val="0036662C"/>
    <w:rsid w:val="00366661"/>
    <w:rsid w:val="0036667A"/>
    <w:rsid w:val="003666A5"/>
    <w:rsid w:val="003666E1"/>
    <w:rsid w:val="003667FC"/>
    <w:rsid w:val="00366815"/>
    <w:rsid w:val="0036684D"/>
    <w:rsid w:val="0036695F"/>
    <w:rsid w:val="00366961"/>
    <w:rsid w:val="00366A39"/>
    <w:rsid w:val="00366A88"/>
    <w:rsid w:val="00366A99"/>
    <w:rsid w:val="00366B10"/>
    <w:rsid w:val="00366C86"/>
    <w:rsid w:val="00366CD6"/>
    <w:rsid w:val="00366DC8"/>
    <w:rsid w:val="00366E01"/>
    <w:rsid w:val="00366E02"/>
    <w:rsid w:val="00366E0A"/>
    <w:rsid w:val="00366E5B"/>
    <w:rsid w:val="00366E9F"/>
    <w:rsid w:val="00366FD9"/>
    <w:rsid w:val="00367049"/>
    <w:rsid w:val="00367176"/>
    <w:rsid w:val="00367214"/>
    <w:rsid w:val="0036724B"/>
    <w:rsid w:val="0036725B"/>
    <w:rsid w:val="0036729F"/>
    <w:rsid w:val="003672B3"/>
    <w:rsid w:val="003672F1"/>
    <w:rsid w:val="0036739B"/>
    <w:rsid w:val="003673D4"/>
    <w:rsid w:val="00367428"/>
    <w:rsid w:val="00367530"/>
    <w:rsid w:val="00367586"/>
    <w:rsid w:val="003675C5"/>
    <w:rsid w:val="003676B7"/>
    <w:rsid w:val="003676D2"/>
    <w:rsid w:val="003676EB"/>
    <w:rsid w:val="0036772D"/>
    <w:rsid w:val="0036773D"/>
    <w:rsid w:val="00367835"/>
    <w:rsid w:val="00367940"/>
    <w:rsid w:val="00367962"/>
    <w:rsid w:val="00367974"/>
    <w:rsid w:val="003679A7"/>
    <w:rsid w:val="003679B0"/>
    <w:rsid w:val="00367B2E"/>
    <w:rsid w:val="00367BE7"/>
    <w:rsid w:val="00367C82"/>
    <w:rsid w:val="00367C9B"/>
    <w:rsid w:val="00367D02"/>
    <w:rsid w:val="00367D5A"/>
    <w:rsid w:val="00367DBB"/>
    <w:rsid w:val="00367E0C"/>
    <w:rsid w:val="00367FD1"/>
    <w:rsid w:val="003700A2"/>
    <w:rsid w:val="00370127"/>
    <w:rsid w:val="0037014B"/>
    <w:rsid w:val="003701A4"/>
    <w:rsid w:val="00370371"/>
    <w:rsid w:val="0037039C"/>
    <w:rsid w:val="003703C9"/>
    <w:rsid w:val="003703E9"/>
    <w:rsid w:val="003704D5"/>
    <w:rsid w:val="00370590"/>
    <w:rsid w:val="003706B9"/>
    <w:rsid w:val="003706E7"/>
    <w:rsid w:val="003706F1"/>
    <w:rsid w:val="003706FA"/>
    <w:rsid w:val="003706FC"/>
    <w:rsid w:val="00370784"/>
    <w:rsid w:val="0037089C"/>
    <w:rsid w:val="00370B50"/>
    <w:rsid w:val="00370B5D"/>
    <w:rsid w:val="00370BBA"/>
    <w:rsid w:val="00370BBD"/>
    <w:rsid w:val="00370BBF"/>
    <w:rsid w:val="00370BDE"/>
    <w:rsid w:val="00370BE2"/>
    <w:rsid w:val="00370C28"/>
    <w:rsid w:val="00370C89"/>
    <w:rsid w:val="00370C9E"/>
    <w:rsid w:val="00370CE4"/>
    <w:rsid w:val="00370D64"/>
    <w:rsid w:val="00370D6D"/>
    <w:rsid w:val="00370D73"/>
    <w:rsid w:val="00370DC7"/>
    <w:rsid w:val="00370E10"/>
    <w:rsid w:val="00370F5F"/>
    <w:rsid w:val="00370F89"/>
    <w:rsid w:val="00370FDA"/>
    <w:rsid w:val="0037106F"/>
    <w:rsid w:val="003710DF"/>
    <w:rsid w:val="00371101"/>
    <w:rsid w:val="00371156"/>
    <w:rsid w:val="003711D4"/>
    <w:rsid w:val="0037120A"/>
    <w:rsid w:val="0037124D"/>
    <w:rsid w:val="00371282"/>
    <w:rsid w:val="003712D2"/>
    <w:rsid w:val="003712F0"/>
    <w:rsid w:val="00371347"/>
    <w:rsid w:val="00371428"/>
    <w:rsid w:val="003714CF"/>
    <w:rsid w:val="00371609"/>
    <w:rsid w:val="00371634"/>
    <w:rsid w:val="00371647"/>
    <w:rsid w:val="003717B9"/>
    <w:rsid w:val="003718F1"/>
    <w:rsid w:val="00371A50"/>
    <w:rsid w:val="00371A80"/>
    <w:rsid w:val="00371ACF"/>
    <w:rsid w:val="00371B16"/>
    <w:rsid w:val="00371B36"/>
    <w:rsid w:val="00371B88"/>
    <w:rsid w:val="00371C3D"/>
    <w:rsid w:val="00371CA0"/>
    <w:rsid w:val="00371CE8"/>
    <w:rsid w:val="00371CFC"/>
    <w:rsid w:val="00371D67"/>
    <w:rsid w:val="00371F04"/>
    <w:rsid w:val="00371F72"/>
    <w:rsid w:val="00371FE0"/>
    <w:rsid w:val="003720ED"/>
    <w:rsid w:val="00372154"/>
    <w:rsid w:val="00372169"/>
    <w:rsid w:val="00372259"/>
    <w:rsid w:val="00372420"/>
    <w:rsid w:val="00372468"/>
    <w:rsid w:val="00372524"/>
    <w:rsid w:val="003725EF"/>
    <w:rsid w:val="0037260E"/>
    <w:rsid w:val="003726E9"/>
    <w:rsid w:val="003726FB"/>
    <w:rsid w:val="00372829"/>
    <w:rsid w:val="003728A1"/>
    <w:rsid w:val="0037290B"/>
    <w:rsid w:val="00372954"/>
    <w:rsid w:val="003729C3"/>
    <w:rsid w:val="003729FA"/>
    <w:rsid w:val="00372A5F"/>
    <w:rsid w:val="00372AE7"/>
    <w:rsid w:val="00372B30"/>
    <w:rsid w:val="00372B4B"/>
    <w:rsid w:val="00372B5D"/>
    <w:rsid w:val="00372C01"/>
    <w:rsid w:val="00372CC0"/>
    <w:rsid w:val="00372D21"/>
    <w:rsid w:val="00372D22"/>
    <w:rsid w:val="00372D4D"/>
    <w:rsid w:val="00372E36"/>
    <w:rsid w:val="00372E47"/>
    <w:rsid w:val="00372ECE"/>
    <w:rsid w:val="00372F12"/>
    <w:rsid w:val="00372F4D"/>
    <w:rsid w:val="00372FF9"/>
    <w:rsid w:val="00373015"/>
    <w:rsid w:val="00373025"/>
    <w:rsid w:val="0037302F"/>
    <w:rsid w:val="003730B9"/>
    <w:rsid w:val="00373212"/>
    <w:rsid w:val="00373264"/>
    <w:rsid w:val="0037328C"/>
    <w:rsid w:val="003732F3"/>
    <w:rsid w:val="00373322"/>
    <w:rsid w:val="00373358"/>
    <w:rsid w:val="003733C1"/>
    <w:rsid w:val="00373515"/>
    <w:rsid w:val="00373522"/>
    <w:rsid w:val="0037363E"/>
    <w:rsid w:val="00373664"/>
    <w:rsid w:val="003736DD"/>
    <w:rsid w:val="003737B2"/>
    <w:rsid w:val="003737E0"/>
    <w:rsid w:val="00373810"/>
    <w:rsid w:val="0037385A"/>
    <w:rsid w:val="00373866"/>
    <w:rsid w:val="00373950"/>
    <w:rsid w:val="00373988"/>
    <w:rsid w:val="003739B0"/>
    <w:rsid w:val="003739D6"/>
    <w:rsid w:val="003739DE"/>
    <w:rsid w:val="00373A21"/>
    <w:rsid w:val="00373A6C"/>
    <w:rsid w:val="00373B53"/>
    <w:rsid w:val="00373B5C"/>
    <w:rsid w:val="00373BCD"/>
    <w:rsid w:val="00373BFB"/>
    <w:rsid w:val="00373CE4"/>
    <w:rsid w:val="00373E18"/>
    <w:rsid w:val="00373EF0"/>
    <w:rsid w:val="00373EFE"/>
    <w:rsid w:val="00373FE0"/>
    <w:rsid w:val="00374026"/>
    <w:rsid w:val="00374087"/>
    <w:rsid w:val="003740B8"/>
    <w:rsid w:val="003740F4"/>
    <w:rsid w:val="00374110"/>
    <w:rsid w:val="00374161"/>
    <w:rsid w:val="003741E6"/>
    <w:rsid w:val="003742F7"/>
    <w:rsid w:val="003743AD"/>
    <w:rsid w:val="003743F7"/>
    <w:rsid w:val="00374446"/>
    <w:rsid w:val="003744FE"/>
    <w:rsid w:val="00374544"/>
    <w:rsid w:val="00374549"/>
    <w:rsid w:val="00374552"/>
    <w:rsid w:val="00374620"/>
    <w:rsid w:val="00374689"/>
    <w:rsid w:val="0037468E"/>
    <w:rsid w:val="0037469F"/>
    <w:rsid w:val="003747DB"/>
    <w:rsid w:val="003747F6"/>
    <w:rsid w:val="00374880"/>
    <w:rsid w:val="00374889"/>
    <w:rsid w:val="00374892"/>
    <w:rsid w:val="003748D6"/>
    <w:rsid w:val="003748F1"/>
    <w:rsid w:val="00374963"/>
    <w:rsid w:val="003749A9"/>
    <w:rsid w:val="003749B2"/>
    <w:rsid w:val="00374A31"/>
    <w:rsid w:val="00374ACB"/>
    <w:rsid w:val="00374B28"/>
    <w:rsid w:val="00374C4E"/>
    <w:rsid w:val="00374CC6"/>
    <w:rsid w:val="00374D86"/>
    <w:rsid w:val="00374DD7"/>
    <w:rsid w:val="00374F3C"/>
    <w:rsid w:val="00374F3F"/>
    <w:rsid w:val="00374F97"/>
    <w:rsid w:val="00374FEA"/>
    <w:rsid w:val="0037502A"/>
    <w:rsid w:val="0037517E"/>
    <w:rsid w:val="003751D4"/>
    <w:rsid w:val="003751D8"/>
    <w:rsid w:val="00375225"/>
    <w:rsid w:val="00375270"/>
    <w:rsid w:val="003753DF"/>
    <w:rsid w:val="0037541A"/>
    <w:rsid w:val="0037544B"/>
    <w:rsid w:val="0037544C"/>
    <w:rsid w:val="00375484"/>
    <w:rsid w:val="003755C4"/>
    <w:rsid w:val="003755D8"/>
    <w:rsid w:val="00375607"/>
    <w:rsid w:val="00375679"/>
    <w:rsid w:val="00375690"/>
    <w:rsid w:val="00375763"/>
    <w:rsid w:val="00375798"/>
    <w:rsid w:val="003757C2"/>
    <w:rsid w:val="003757C9"/>
    <w:rsid w:val="0037580F"/>
    <w:rsid w:val="00375983"/>
    <w:rsid w:val="00375A2E"/>
    <w:rsid w:val="00375AA6"/>
    <w:rsid w:val="00375B28"/>
    <w:rsid w:val="00375BA4"/>
    <w:rsid w:val="00375BBF"/>
    <w:rsid w:val="00375BE6"/>
    <w:rsid w:val="00375C1E"/>
    <w:rsid w:val="00375C20"/>
    <w:rsid w:val="00375C66"/>
    <w:rsid w:val="00375C6E"/>
    <w:rsid w:val="00375C76"/>
    <w:rsid w:val="00375D6C"/>
    <w:rsid w:val="00375DD1"/>
    <w:rsid w:val="00375DFD"/>
    <w:rsid w:val="00375EDA"/>
    <w:rsid w:val="00375F9C"/>
    <w:rsid w:val="0037608B"/>
    <w:rsid w:val="003760B2"/>
    <w:rsid w:val="0037614E"/>
    <w:rsid w:val="003762B5"/>
    <w:rsid w:val="003762C0"/>
    <w:rsid w:val="00376300"/>
    <w:rsid w:val="0037631C"/>
    <w:rsid w:val="00376442"/>
    <w:rsid w:val="00376475"/>
    <w:rsid w:val="0037650F"/>
    <w:rsid w:val="00376589"/>
    <w:rsid w:val="0037667D"/>
    <w:rsid w:val="003766D3"/>
    <w:rsid w:val="00376722"/>
    <w:rsid w:val="00376839"/>
    <w:rsid w:val="003768AC"/>
    <w:rsid w:val="00376965"/>
    <w:rsid w:val="0037698D"/>
    <w:rsid w:val="00376A6D"/>
    <w:rsid w:val="00376ABC"/>
    <w:rsid w:val="00376B4C"/>
    <w:rsid w:val="00376B81"/>
    <w:rsid w:val="00376BF2"/>
    <w:rsid w:val="00376BF8"/>
    <w:rsid w:val="00376D1C"/>
    <w:rsid w:val="00376DE7"/>
    <w:rsid w:val="00376F63"/>
    <w:rsid w:val="0037704D"/>
    <w:rsid w:val="003770AF"/>
    <w:rsid w:val="003770F4"/>
    <w:rsid w:val="003771AE"/>
    <w:rsid w:val="00377219"/>
    <w:rsid w:val="0037727D"/>
    <w:rsid w:val="00377353"/>
    <w:rsid w:val="00377483"/>
    <w:rsid w:val="003774E1"/>
    <w:rsid w:val="00377697"/>
    <w:rsid w:val="0037771B"/>
    <w:rsid w:val="00377743"/>
    <w:rsid w:val="0037789A"/>
    <w:rsid w:val="003778D6"/>
    <w:rsid w:val="0037791B"/>
    <w:rsid w:val="0037796A"/>
    <w:rsid w:val="0037797A"/>
    <w:rsid w:val="00377A95"/>
    <w:rsid w:val="00377AE3"/>
    <w:rsid w:val="00377B98"/>
    <w:rsid w:val="00377BD6"/>
    <w:rsid w:val="00377C64"/>
    <w:rsid w:val="00377CD6"/>
    <w:rsid w:val="00377DB0"/>
    <w:rsid w:val="00377E39"/>
    <w:rsid w:val="00377EEB"/>
    <w:rsid w:val="00377EF4"/>
    <w:rsid w:val="00377F6F"/>
    <w:rsid w:val="00377F8E"/>
    <w:rsid w:val="00380058"/>
    <w:rsid w:val="00380110"/>
    <w:rsid w:val="00380189"/>
    <w:rsid w:val="003801C4"/>
    <w:rsid w:val="00380208"/>
    <w:rsid w:val="00380209"/>
    <w:rsid w:val="00380265"/>
    <w:rsid w:val="003803C0"/>
    <w:rsid w:val="003803DD"/>
    <w:rsid w:val="00380401"/>
    <w:rsid w:val="00380404"/>
    <w:rsid w:val="00380498"/>
    <w:rsid w:val="00380584"/>
    <w:rsid w:val="00380586"/>
    <w:rsid w:val="0038067C"/>
    <w:rsid w:val="00380697"/>
    <w:rsid w:val="003806DB"/>
    <w:rsid w:val="00380851"/>
    <w:rsid w:val="0038092A"/>
    <w:rsid w:val="003809FC"/>
    <w:rsid w:val="00380A02"/>
    <w:rsid w:val="00380A3F"/>
    <w:rsid w:val="00380B84"/>
    <w:rsid w:val="00380C04"/>
    <w:rsid w:val="00380CB1"/>
    <w:rsid w:val="00380CFA"/>
    <w:rsid w:val="00380D19"/>
    <w:rsid w:val="00380DB3"/>
    <w:rsid w:val="00380E10"/>
    <w:rsid w:val="00380E94"/>
    <w:rsid w:val="00380EA3"/>
    <w:rsid w:val="00380FA5"/>
    <w:rsid w:val="003810BC"/>
    <w:rsid w:val="003810E0"/>
    <w:rsid w:val="0038115D"/>
    <w:rsid w:val="0038116F"/>
    <w:rsid w:val="003811C0"/>
    <w:rsid w:val="0038122E"/>
    <w:rsid w:val="00381243"/>
    <w:rsid w:val="00381286"/>
    <w:rsid w:val="0038129E"/>
    <w:rsid w:val="00381335"/>
    <w:rsid w:val="00381386"/>
    <w:rsid w:val="003813C7"/>
    <w:rsid w:val="00381402"/>
    <w:rsid w:val="0038145D"/>
    <w:rsid w:val="003815BD"/>
    <w:rsid w:val="0038160B"/>
    <w:rsid w:val="00381647"/>
    <w:rsid w:val="003816B6"/>
    <w:rsid w:val="0038182C"/>
    <w:rsid w:val="00381912"/>
    <w:rsid w:val="00381917"/>
    <w:rsid w:val="003819B0"/>
    <w:rsid w:val="003819B4"/>
    <w:rsid w:val="003819DF"/>
    <w:rsid w:val="00381A89"/>
    <w:rsid w:val="00381B3C"/>
    <w:rsid w:val="00381B53"/>
    <w:rsid w:val="00381C41"/>
    <w:rsid w:val="00381C5E"/>
    <w:rsid w:val="00381C63"/>
    <w:rsid w:val="00381E24"/>
    <w:rsid w:val="00381EC7"/>
    <w:rsid w:val="00381EF2"/>
    <w:rsid w:val="00381F39"/>
    <w:rsid w:val="00381F5A"/>
    <w:rsid w:val="00381F64"/>
    <w:rsid w:val="00382018"/>
    <w:rsid w:val="003821BD"/>
    <w:rsid w:val="003821EE"/>
    <w:rsid w:val="00382218"/>
    <w:rsid w:val="00382282"/>
    <w:rsid w:val="0038230D"/>
    <w:rsid w:val="00382317"/>
    <w:rsid w:val="003823C2"/>
    <w:rsid w:val="003823EA"/>
    <w:rsid w:val="00382461"/>
    <w:rsid w:val="003824D2"/>
    <w:rsid w:val="00382507"/>
    <w:rsid w:val="0038259F"/>
    <w:rsid w:val="003825F0"/>
    <w:rsid w:val="0038260A"/>
    <w:rsid w:val="00382729"/>
    <w:rsid w:val="00382822"/>
    <w:rsid w:val="00382843"/>
    <w:rsid w:val="0038287D"/>
    <w:rsid w:val="003829F3"/>
    <w:rsid w:val="00382A6C"/>
    <w:rsid w:val="00382A84"/>
    <w:rsid w:val="00382ACA"/>
    <w:rsid w:val="00382ACD"/>
    <w:rsid w:val="00382B83"/>
    <w:rsid w:val="00382BE5"/>
    <w:rsid w:val="00382C85"/>
    <w:rsid w:val="00382D8D"/>
    <w:rsid w:val="00382FC1"/>
    <w:rsid w:val="00382FEC"/>
    <w:rsid w:val="003830C3"/>
    <w:rsid w:val="003830F4"/>
    <w:rsid w:val="003830FA"/>
    <w:rsid w:val="0038310C"/>
    <w:rsid w:val="003831A7"/>
    <w:rsid w:val="003831BE"/>
    <w:rsid w:val="0038324F"/>
    <w:rsid w:val="003832FB"/>
    <w:rsid w:val="00383347"/>
    <w:rsid w:val="003833D4"/>
    <w:rsid w:val="00383527"/>
    <w:rsid w:val="00383567"/>
    <w:rsid w:val="00383569"/>
    <w:rsid w:val="0038359D"/>
    <w:rsid w:val="00383648"/>
    <w:rsid w:val="0038368C"/>
    <w:rsid w:val="00383755"/>
    <w:rsid w:val="00383782"/>
    <w:rsid w:val="00383794"/>
    <w:rsid w:val="003838C7"/>
    <w:rsid w:val="0038391D"/>
    <w:rsid w:val="003839CC"/>
    <w:rsid w:val="00383AD7"/>
    <w:rsid w:val="00383AEA"/>
    <w:rsid w:val="00383B8D"/>
    <w:rsid w:val="00383C79"/>
    <w:rsid w:val="00383CCA"/>
    <w:rsid w:val="00383DC2"/>
    <w:rsid w:val="00383E1F"/>
    <w:rsid w:val="00383E3B"/>
    <w:rsid w:val="00383E5A"/>
    <w:rsid w:val="00383E65"/>
    <w:rsid w:val="00383EE3"/>
    <w:rsid w:val="00383F50"/>
    <w:rsid w:val="00383FC8"/>
    <w:rsid w:val="00383FD4"/>
    <w:rsid w:val="00384048"/>
    <w:rsid w:val="0038407A"/>
    <w:rsid w:val="0038408E"/>
    <w:rsid w:val="0038416F"/>
    <w:rsid w:val="00384185"/>
    <w:rsid w:val="003841AC"/>
    <w:rsid w:val="00384213"/>
    <w:rsid w:val="0038421D"/>
    <w:rsid w:val="0038423F"/>
    <w:rsid w:val="003842BF"/>
    <w:rsid w:val="0038436C"/>
    <w:rsid w:val="0038447F"/>
    <w:rsid w:val="003844B9"/>
    <w:rsid w:val="003845BC"/>
    <w:rsid w:val="00384679"/>
    <w:rsid w:val="003846B1"/>
    <w:rsid w:val="00384766"/>
    <w:rsid w:val="00384824"/>
    <w:rsid w:val="0038490D"/>
    <w:rsid w:val="00384931"/>
    <w:rsid w:val="00384975"/>
    <w:rsid w:val="003849A1"/>
    <w:rsid w:val="00384A02"/>
    <w:rsid w:val="00384A76"/>
    <w:rsid w:val="00384BE8"/>
    <w:rsid w:val="00384D17"/>
    <w:rsid w:val="00384D63"/>
    <w:rsid w:val="00384D66"/>
    <w:rsid w:val="00384DBE"/>
    <w:rsid w:val="00384EB3"/>
    <w:rsid w:val="00384F0B"/>
    <w:rsid w:val="00384F25"/>
    <w:rsid w:val="00384FD5"/>
    <w:rsid w:val="00385025"/>
    <w:rsid w:val="003850C3"/>
    <w:rsid w:val="003850EC"/>
    <w:rsid w:val="0038512E"/>
    <w:rsid w:val="00385150"/>
    <w:rsid w:val="0038526A"/>
    <w:rsid w:val="0038526C"/>
    <w:rsid w:val="00385285"/>
    <w:rsid w:val="00385363"/>
    <w:rsid w:val="0038547E"/>
    <w:rsid w:val="00385498"/>
    <w:rsid w:val="00385549"/>
    <w:rsid w:val="00385703"/>
    <w:rsid w:val="003857C0"/>
    <w:rsid w:val="00385973"/>
    <w:rsid w:val="0038599C"/>
    <w:rsid w:val="00385A8F"/>
    <w:rsid w:val="00385A95"/>
    <w:rsid w:val="00385AF8"/>
    <w:rsid w:val="00385B25"/>
    <w:rsid w:val="00385B30"/>
    <w:rsid w:val="00385B83"/>
    <w:rsid w:val="00385C65"/>
    <w:rsid w:val="00385C6A"/>
    <w:rsid w:val="00385C80"/>
    <w:rsid w:val="00385C8E"/>
    <w:rsid w:val="00385D52"/>
    <w:rsid w:val="00385E18"/>
    <w:rsid w:val="00385EF7"/>
    <w:rsid w:val="00385FD6"/>
    <w:rsid w:val="00386003"/>
    <w:rsid w:val="003860E9"/>
    <w:rsid w:val="00386121"/>
    <w:rsid w:val="00386161"/>
    <w:rsid w:val="0038618D"/>
    <w:rsid w:val="00386195"/>
    <w:rsid w:val="003861AB"/>
    <w:rsid w:val="003862AB"/>
    <w:rsid w:val="003862E2"/>
    <w:rsid w:val="00386308"/>
    <w:rsid w:val="00386451"/>
    <w:rsid w:val="00386461"/>
    <w:rsid w:val="00386557"/>
    <w:rsid w:val="00386601"/>
    <w:rsid w:val="00386652"/>
    <w:rsid w:val="00386686"/>
    <w:rsid w:val="0038669F"/>
    <w:rsid w:val="003866B2"/>
    <w:rsid w:val="00386770"/>
    <w:rsid w:val="00386790"/>
    <w:rsid w:val="0038679A"/>
    <w:rsid w:val="003867E2"/>
    <w:rsid w:val="0038684F"/>
    <w:rsid w:val="003868E5"/>
    <w:rsid w:val="003868EC"/>
    <w:rsid w:val="003868FE"/>
    <w:rsid w:val="0038694F"/>
    <w:rsid w:val="00386993"/>
    <w:rsid w:val="0038699C"/>
    <w:rsid w:val="003869C6"/>
    <w:rsid w:val="003869F2"/>
    <w:rsid w:val="00386A85"/>
    <w:rsid w:val="00386AB4"/>
    <w:rsid w:val="00386B24"/>
    <w:rsid w:val="00386BF2"/>
    <w:rsid w:val="00386D10"/>
    <w:rsid w:val="00386D7C"/>
    <w:rsid w:val="00386D9A"/>
    <w:rsid w:val="00386E34"/>
    <w:rsid w:val="00386EB8"/>
    <w:rsid w:val="00386EEE"/>
    <w:rsid w:val="00386F18"/>
    <w:rsid w:val="00386F7F"/>
    <w:rsid w:val="00387051"/>
    <w:rsid w:val="00387081"/>
    <w:rsid w:val="00387162"/>
    <w:rsid w:val="003871B9"/>
    <w:rsid w:val="003871BB"/>
    <w:rsid w:val="003871D6"/>
    <w:rsid w:val="0038728B"/>
    <w:rsid w:val="00387326"/>
    <w:rsid w:val="00387331"/>
    <w:rsid w:val="003873E5"/>
    <w:rsid w:val="00387435"/>
    <w:rsid w:val="00387568"/>
    <w:rsid w:val="003875A7"/>
    <w:rsid w:val="00387633"/>
    <w:rsid w:val="0038767F"/>
    <w:rsid w:val="0038772E"/>
    <w:rsid w:val="0038790B"/>
    <w:rsid w:val="00387AE1"/>
    <w:rsid w:val="00387AE5"/>
    <w:rsid w:val="00387C41"/>
    <w:rsid w:val="00387C4E"/>
    <w:rsid w:val="00387D86"/>
    <w:rsid w:val="00387E0D"/>
    <w:rsid w:val="00387E3C"/>
    <w:rsid w:val="00387F10"/>
    <w:rsid w:val="00387F62"/>
    <w:rsid w:val="00387F96"/>
    <w:rsid w:val="0039008E"/>
    <w:rsid w:val="003900B9"/>
    <w:rsid w:val="003901F1"/>
    <w:rsid w:val="003903F1"/>
    <w:rsid w:val="00390410"/>
    <w:rsid w:val="003904A7"/>
    <w:rsid w:val="00390591"/>
    <w:rsid w:val="003905AE"/>
    <w:rsid w:val="003905E0"/>
    <w:rsid w:val="00390648"/>
    <w:rsid w:val="00390741"/>
    <w:rsid w:val="003907C5"/>
    <w:rsid w:val="003907DD"/>
    <w:rsid w:val="0039093B"/>
    <w:rsid w:val="0039094E"/>
    <w:rsid w:val="0039095F"/>
    <w:rsid w:val="0039096E"/>
    <w:rsid w:val="003909D9"/>
    <w:rsid w:val="003909E9"/>
    <w:rsid w:val="00390A4C"/>
    <w:rsid w:val="00390A82"/>
    <w:rsid w:val="00390A85"/>
    <w:rsid w:val="00390B15"/>
    <w:rsid w:val="00390B49"/>
    <w:rsid w:val="00390C0C"/>
    <w:rsid w:val="00390C41"/>
    <w:rsid w:val="00390C68"/>
    <w:rsid w:val="00390CCF"/>
    <w:rsid w:val="00390DA3"/>
    <w:rsid w:val="00390E14"/>
    <w:rsid w:val="00390E2D"/>
    <w:rsid w:val="00390E30"/>
    <w:rsid w:val="00390E4F"/>
    <w:rsid w:val="00390F1C"/>
    <w:rsid w:val="00390F7C"/>
    <w:rsid w:val="00390FD6"/>
    <w:rsid w:val="00390FF2"/>
    <w:rsid w:val="003910D3"/>
    <w:rsid w:val="00391157"/>
    <w:rsid w:val="003911FD"/>
    <w:rsid w:val="00391304"/>
    <w:rsid w:val="0039134E"/>
    <w:rsid w:val="003914DA"/>
    <w:rsid w:val="0039151D"/>
    <w:rsid w:val="00391575"/>
    <w:rsid w:val="003915AC"/>
    <w:rsid w:val="0039161B"/>
    <w:rsid w:val="0039170F"/>
    <w:rsid w:val="003917B1"/>
    <w:rsid w:val="003917B3"/>
    <w:rsid w:val="0039192C"/>
    <w:rsid w:val="003919D9"/>
    <w:rsid w:val="00391A02"/>
    <w:rsid w:val="00391B2B"/>
    <w:rsid w:val="00391B6D"/>
    <w:rsid w:val="00391BB1"/>
    <w:rsid w:val="00391BF6"/>
    <w:rsid w:val="00391DD0"/>
    <w:rsid w:val="00391E60"/>
    <w:rsid w:val="00391E70"/>
    <w:rsid w:val="00391E9B"/>
    <w:rsid w:val="00391EB3"/>
    <w:rsid w:val="00391F5B"/>
    <w:rsid w:val="00391F8B"/>
    <w:rsid w:val="00391F9B"/>
    <w:rsid w:val="00391FAE"/>
    <w:rsid w:val="00391FCD"/>
    <w:rsid w:val="00391FD3"/>
    <w:rsid w:val="00391FF3"/>
    <w:rsid w:val="0039207D"/>
    <w:rsid w:val="003920D0"/>
    <w:rsid w:val="00392167"/>
    <w:rsid w:val="00392190"/>
    <w:rsid w:val="003921BD"/>
    <w:rsid w:val="003921F7"/>
    <w:rsid w:val="0039220D"/>
    <w:rsid w:val="00392229"/>
    <w:rsid w:val="00392238"/>
    <w:rsid w:val="00392240"/>
    <w:rsid w:val="0039229B"/>
    <w:rsid w:val="0039236C"/>
    <w:rsid w:val="00392389"/>
    <w:rsid w:val="003924F3"/>
    <w:rsid w:val="003925A5"/>
    <w:rsid w:val="003925D1"/>
    <w:rsid w:val="003925E2"/>
    <w:rsid w:val="003925E6"/>
    <w:rsid w:val="0039270F"/>
    <w:rsid w:val="00392732"/>
    <w:rsid w:val="00392762"/>
    <w:rsid w:val="00392775"/>
    <w:rsid w:val="003927A7"/>
    <w:rsid w:val="003927AF"/>
    <w:rsid w:val="003927F2"/>
    <w:rsid w:val="0039281A"/>
    <w:rsid w:val="00392A02"/>
    <w:rsid w:val="00392A16"/>
    <w:rsid w:val="00392A6E"/>
    <w:rsid w:val="00392ADA"/>
    <w:rsid w:val="00392BA0"/>
    <w:rsid w:val="00392BB0"/>
    <w:rsid w:val="00392BEB"/>
    <w:rsid w:val="00392CD0"/>
    <w:rsid w:val="00392D19"/>
    <w:rsid w:val="00392E05"/>
    <w:rsid w:val="00392EA4"/>
    <w:rsid w:val="00392F81"/>
    <w:rsid w:val="003930B7"/>
    <w:rsid w:val="0039310E"/>
    <w:rsid w:val="00393296"/>
    <w:rsid w:val="00393313"/>
    <w:rsid w:val="0039336E"/>
    <w:rsid w:val="00393428"/>
    <w:rsid w:val="0039351B"/>
    <w:rsid w:val="00393550"/>
    <w:rsid w:val="00393591"/>
    <w:rsid w:val="0039373D"/>
    <w:rsid w:val="003937DF"/>
    <w:rsid w:val="003937E5"/>
    <w:rsid w:val="003937F3"/>
    <w:rsid w:val="0039382B"/>
    <w:rsid w:val="00393832"/>
    <w:rsid w:val="00393860"/>
    <w:rsid w:val="00393898"/>
    <w:rsid w:val="003938B2"/>
    <w:rsid w:val="00393919"/>
    <w:rsid w:val="00393A2F"/>
    <w:rsid w:val="00393A7A"/>
    <w:rsid w:val="00393BD1"/>
    <w:rsid w:val="00393BE2"/>
    <w:rsid w:val="00393CE3"/>
    <w:rsid w:val="00393D04"/>
    <w:rsid w:val="00393D90"/>
    <w:rsid w:val="00393DCA"/>
    <w:rsid w:val="00393DD1"/>
    <w:rsid w:val="00393DEC"/>
    <w:rsid w:val="00393E83"/>
    <w:rsid w:val="00393E94"/>
    <w:rsid w:val="003941AF"/>
    <w:rsid w:val="003941C8"/>
    <w:rsid w:val="00394276"/>
    <w:rsid w:val="003942B4"/>
    <w:rsid w:val="0039430F"/>
    <w:rsid w:val="0039435E"/>
    <w:rsid w:val="003943A0"/>
    <w:rsid w:val="003943D7"/>
    <w:rsid w:val="00394424"/>
    <w:rsid w:val="00394475"/>
    <w:rsid w:val="003944A7"/>
    <w:rsid w:val="00394697"/>
    <w:rsid w:val="00394721"/>
    <w:rsid w:val="00394794"/>
    <w:rsid w:val="003947DC"/>
    <w:rsid w:val="003948F2"/>
    <w:rsid w:val="003949D6"/>
    <w:rsid w:val="00394A87"/>
    <w:rsid w:val="00394AE3"/>
    <w:rsid w:val="00394AEC"/>
    <w:rsid w:val="00394D10"/>
    <w:rsid w:val="00394D80"/>
    <w:rsid w:val="00394DCD"/>
    <w:rsid w:val="00394DE6"/>
    <w:rsid w:val="00394E04"/>
    <w:rsid w:val="00394E32"/>
    <w:rsid w:val="00394E61"/>
    <w:rsid w:val="00394EE5"/>
    <w:rsid w:val="00394EE9"/>
    <w:rsid w:val="00394F11"/>
    <w:rsid w:val="00394F71"/>
    <w:rsid w:val="00394FC7"/>
    <w:rsid w:val="00394FD0"/>
    <w:rsid w:val="003950E3"/>
    <w:rsid w:val="0039510F"/>
    <w:rsid w:val="003951FA"/>
    <w:rsid w:val="003952D3"/>
    <w:rsid w:val="00395315"/>
    <w:rsid w:val="00395481"/>
    <w:rsid w:val="0039548F"/>
    <w:rsid w:val="0039550F"/>
    <w:rsid w:val="0039554C"/>
    <w:rsid w:val="00395674"/>
    <w:rsid w:val="0039567A"/>
    <w:rsid w:val="00395688"/>
    <w:rsid w:val="003956A1"/>
    <w:rsid w:val="00395751"/>
    <w:rsid w:val="00395797"/>
    <w:rsid w:val="003957BE"/>
    <w:rsid w:val="003957D0"/>
    <w:rsid w:val="0039580F"/>
    <w:rsid w:val="00395826"/>
    <w:rsid w:val="003958D3"/>
    <w:rsid w:val="003958EA"/>
    <w:rsid w:val="00395962"/>
    <w:rsid w:val="00395A92"/>
    <w:rsid w:val="00395ADE"/>
    <w:rsid w:val="00395BA4"/>
    <w:rsid w:val="00395C3C"/>
    <w:rsid w:val="00395C4B"/>
    <w:rsid w:val="00395CD9"/>
    <w:rsid w:val="00395D31"/>
    <w:rsid w:val="00395E71"/>
    <w:rsid w:val="00395E90"/>
    <w:rsid w:val="00395FD1"/>
    <w:rsid w:val="0039609A"/>
    <w:rsid w:val="00396109"/>
    <w:rsid w:val="0039621C"/>
    <w:rsid w:val="00396293"/>
    <w:rsid w:val="0039637F"/>
    <w:rsid w:val="003963C4"/>
    <w:rsid w:val="003963CC"/>
    <w:rsid w:val="003963D9"/>
    <w:rsid w:val="0039642E"/>
    <w:rsid w:val="00396459"/>
    <w:rsid w:val="003964F9"/>
    <w:rsid w:val="00396577"/>
    <w:rsid w:val="0039666B"/>
    <w:rsid w:val="00396696"/>
    <w:rsid w:val="0039687F"/>
    <w:rsid w:val="003968B6"/>
    <w:rsid w:val="0039690F"/>
    <w:rsid w:val="003969BF"/>
    <w:rsid w:val="00396A95"/>
    <w:rsid w:val="00396AEB"/>
    <w:rsid w:val="00396B85"/>
    <w:rsid w:val="00396BD0"/>
    <w:rsid w:val="00396BE5"/>
    <w:rsid w:val="00396C6D"/>
    <w:rsid w:val="00396C96"/>
    <w:rsid w:val="00396DE1"/>
    <w:rsid w:val="00396DFB"/>
    <w:rsid w:val="00396E83"/>
    <w:rsid w:val="00396EDF"/>
    <w:rsid w:val="00396F45"/>
    <w:rsid w:val="00396F58"/>
    <w:rsid w:val="00396FB9"/>
    <w:rsid w:val="00397033"/>
    <w:rsid w:val="00397048"/>
    <w:rsid w:val="00397144"/>
    <w:rsid w:val="0039721D"/>
    <w:rsid w:val="0039726A"/>
    <w:rsid w:val="0039730E"/>
    <w:rsid w:val="00397386"/>
    <w:rsid w:val="003973B7"/>
    <w:rsid w:val="003973C6"/>
    <w:rsid w:val="00397504"/>
    <w:rsid w:val="003975EA"/>
    <w:rsid w:val="00397663"/>
    <w:rsid w:val="003976BA"/>
    <w:rsid w:val="003976CA"/>
    <w:rsid w:val="0039782C"/>
    <w:rsid w:val="00397888"/>
    <w:rsid w:val="0039789E"/>
    <w:rsid w:val="003978CD"/>
    <w:rsid w:val="00397909"/>
    <w:rsid w:val="0039793D"/>
    <w:rsid w:val="0039793F"/>
    <w:rsid w:val="003979AC"/>
    <w:rsid w:val="00397A7C"/>
    <w:rsid w:val="00397AF6"/>
    <w:rsid w:val="00397AFF"/>
    <w:rsid w:val="00397B16"/>
    <w:rsid w:val="00397BBA"/>
    <w:rsid w:val="00397C5A"/>
    <w:rsid w:val="00397C75"/>
    <w:rsid w:val="00397C9B"/>
    <w:rsid w:val="00397CB7"/>
    <w:rsid w:val="00397D4E"/>
    <w:rsid w:val="00397D75"/>
    <w:rsid w:val="00397D91"/>
    <w:rsid w:val="00397DA4"/>
    <w:rsid w:val="00397DBB"/>
    <w:rsid w:val="00397DBC"/>
    <w:rsid w:val="00397DC5"/>
    <w:rsid w:val="00397EB0"/>
    <w:rsid w:val="00397ED5"/>
    <w:rsid w:val="00397F5D"/>
    <w:rsid w:val="00397FB2"/>
    <w:rsid w:val="00397FF9"/>
    <w:rsid w:val="003A0061"/>
    <w:rsid w:val="003A00A7"/>
    <w:rsid w:val="003A0128"/>
    <w:rsid w:val="003A031E"/>
    <w:rsid w:val="003A0338"/>
    <w:rsid w:val="003A0457"/>
    <w:rsid w:val="003A05F9"/>
    <w:rsid w:val="003A0635"/>
    <w:rsid w:val="003A0636"/>
    <w:rsid w:val="003A0734"/>
    <w:rsid w:val="003A07CC"/>
    <w:rsid w:val="003A0875"/>
    <w:rsid w:val="003A0959"/>
    <w:rsid w:val="003A0A21"/>
    <w:rsid w:val="003A0A57"/>
    <w:rsid w:val="003A0B7A"/>
    <w:rsid w:val="003A0BA0"/>
    <w:rsid w:val="003A0CA7"/>
    <w:rsid w:val="003A0D31"/>
    <w:rsid w:val="003A0E59"/>
    <w:rsid w:val="003A0EAD"/>
    <w:rsid w:val="003A0F97"/>
    <w:rsid w:val="003A0FC8"/>
    <w:rsid w:val="003A1049"/>
    <w:rsid w:val="003A1164"/>
    <w:rsid w:val="003A1236"/>
    <w:rsid w:val="003A1259"/>
    <w:rsid w:val="003A12E2"/>
    <w:rsid w:val="003A1360"/>
    <w:rsid w:val="003A13A9"/>
    <w:rsid w:val="003A13C7"/>
    <w:rsid w:val="003A142B"/>
    <w:rsid w:val="003A14A8"/>
    <w:rsid w:val="003A1565"/>
    <w:rsid w:val="003A15A1"/>
    <w:rsid w:val="003A1624"/>
    <w:rsid w:val="003A1710"/>
    <w:rsid w:val="003A1730"/>
    <w:rsid w:val="003A1740"/>
    <w:rsid w:val="003A17DC"/>
    <w:rsid w:val="003A1826"/>
    <w:rsid w:val="003A189C"/>
    <w:rsid w:val="003A190A"/>
    <w:rsid w:val="003A196F"/>
    <w:rsid w:val="003A1980"/>
    <w:rsid w:val="003A19B3"/>
    <w:rsid w:val="003A19E7"/>
    <w:rsid w:val="003A1A28"/>
    <w:rsid w:val="003A1A5A"/>
    <w:rsid w:val="003A1AAB"/>
    <w:rsid w:val="003A1AB3"/>
    <w:rsid w:val="003A1AE9"/>
    <w:rsid w:val="003A1B72"/>
    <w:rsid w:val="003A1BA4"/>
    <w:rsid w:val="003A1CD0"/>
    <w:rsid w:val="003A1D5D"/>
    <w:rsid w:val="003A2008"/>
    <w:rsid w:val="003A2021"/>
    <w:rsid w:val="003A210F"/>
    <w:rsid w:val="003A21C3"/>
    <w:rsid w:val="003A2207"/>
    <w:rsid w:val="003A228A"/>
    <w:rsid w:val="003A2395"/>
    <w:rsid w:val="003A23F5"/>
    <w:rsid w:val="003A2543"/>
    <w:rsid w:val="003A2636"/>
    <w:rsid w:val="003A2643"/>
    <w:rsid w:val="003A2694"/>
    <w:rsid w:val="003A2764"/>
    <w:rsid w:val="003A27EF"/>
    <w:rsid w:val="003A27F6"/>
    <w:rsid w:val="003A2987"/>
    <w:rsid w:val="003A2A24"/>
    <w:rsid w:val="003A2A6B"/>
    <w:rsid w:val="003A2A98"/>
    <w:rsid w:val="003A2AC1"/>
    <w:rsid w:val="003A2B5C"/>
    <w:rsid w:val="003A2C1F"/>
    <w:rsid w:val="003A2C77"/>
    <w:rsid w:val="003A2D74"/>
    <w:rsid w:val="003A2D89"/>
    <w:rsid w:val="003A2DAE"/>
    <w:rsid w:val="003A2E73"/>
    <w:rsid w:val="003A2EE7"/>
    <w:rsid w:val="003A2F06"/>
    <w:rsid w:val="003A2F84"/>
    <w:rsid w:val="003A31C1"/>
    <w:rsid w:val="003A322B"/>
    <w:rsid w:val="003A338F"/>
    <w:rsid w:val="003A3392"/>
    <w:rsid w:val="003A33AC"/>
    <w:rsid w:val="003A3449"/>
    <w:rsid w:val="003A346F"/>
    <w:rsid w:val="003A35A6"/>
    <w:rsid w:val="003A3630"/>
    <w:rsid w:val="003A3661"/>
    <w:rsid w:val="003A36EC"/>
    <w:rsid w:val="003A3754"/>
    <w:rsid w:val="003A37CC"/>
    <w:rsid w:val="003A37EC"/>
    <w:rsid w:val="003A38DF"/>
    <w:rsid w:val="003A3902"/>
    <w:rsid w:val="003A3985"/>
    <w:rsid w:val="003A3ADB"/>
    <w:rsid w:val="003A3B31"/>
    <w:rsid w:val="003A3C55"/>
    <w:rsid w:val="003A3DDB"/>
    <w:rsid w:val="003A3DEE"/>
    <w:rsid w:val="003A3E0E"/>
    <w:rsid w:val="003A3E1C"/>
    <w:rsid w:val="003A3E28"/>
    <w:rsid w:val="003A3E8E"/>
    <w:rsid w:val="003A3F7E"/>
    <w:rsid w:val="003A3FFE"/>
    <w:rsid w:val="003A41C0"/>
    <w:rsid w:val="003A41E5"/>
    <w:rsid w:val="003A4238"/>
    <w:rsid w:val="003A42B0"/>
    <w:rsid w:val="003A42CC"/>
    <w:rsid w:val="003A42E3"/>
    <w:rsid w:val="003A4300"/>
    <w:rsid w:val="003A43B4"/>
    <w:rsid w:val="003A43F8"/>
    <w:rsid w:val="003A4412"/>
    <w:rsid w:val="003A4454"/>
    <w:rsid w:val="003A458E"/>
    <w:rsid w:val="003A4749"/>
    <w:rsid w:val="003A479E"/>
    <w:rsid w:val="003A4919"/>
    <w:rsid w:val="003A4965"/>
    <w:rsid w:val="003A4999"/>
    <w:rsid w:val="003A4A0D"/>
    <w:rsid w:val="003A4AE5"/>
    <w:rsid w:val="003A4BF6"/>
    <w:rsid w:val="003A4C1C"/>
    <w:rsid w:val="003A4C7F"/>
    <w:rsid w:val="003A4D3E"/>
    <w:rsid w:val="003A4E66"/>
    <w:rsid w:val="003A4EB1"/>
    <w:rsid w:val="003A4EED"/>
    <w:rsid w:val="003A4F0F"/>
    <w:rsid w:val="003A4F35"/>
    <w:rsid w:val="003A4F88"/>
    <w:rsid w:val="003A4FA4"/>
    <w:rsid w:val="003A4FD9"/>
    <w:rsid w:val="003A5067"/>
    <w:rsid w:val="003A5076"/>
    <w:rsid w:val="003A5096"/>
    <w:rsid w:val="003A50C7"/>
    <w:rsid w:val="003A50F0"/>
    <w:rsid w:val="003A5154"/>
    <w:rsid w:val="003A529C"/>
    <w:rsid w:val="003A5490"/>
    <w:rsid w:val="003A5502"/>
    <w:rsid w:val="003A550A"/>
    <w:rsid w:val="003A5560"/>
    <w:rsid w:val="003A55EF"/>
    <w:rsid w:val="003A562A"/>
    <w:rsid w:val="003A5658"/>
    <w:rsid w:val="003A56A2"/>
    <w:rsid w:val="003A5812"/>
    <w:rsid w:val="003A5830"/>
    <w:rsid w:val="003A58C5"/>
    <w:rsid w:val="003A5944"/>
    <w:rsid w:val="003A5A15"/>
    <w:rsid w:val="003A5A1E"/>
    <w:rsid w:val="003A5A9B"/>
    <w:rsid w:val="003A5B06"/>
    <w:rsid w:val="003A5C26"/>
    <w:rsid w:val="003A5C9A"/>
    <w:rsid w:val="003A5C9D"/>
    <w:rsid w:val="003A5CB5"/>
    <w:rsid w:val="003A5D90"/>
    <w:rsid w:val="003A5DCB"/>
    <w:rsid w:val="003A5DF7"/>
    <w:rsid w:val="003A5E15"/>
    <w:rsid w:val="003A5FFF"/>
    <w:rsid w:val="003A61BD"/>
    <w:rsid w:val="003A634F"/>
    <w:rsid w:val="003A6355"/>
    <w:rsid w:val="003A63C6"/>
    <w:rsid w:val="003A63D3"/>
    <w:rsid w:val="003A6411"/>
    <w:rsid w:val="003A6513"/>
    <w:rsid w:val="003A65FD"/>
    <w:rsid w:val="003A66C5"/>
    <w:rsid w:val="003A66D0"/>
    <w:rsid w:val="003A6758"/>
    <w:rsid w:val="003A67F1"/>
    <w:rsid w:val="003A68A8"/>
    <w:rsid w:val="003A69EC"/>
    <w:rsid w:val="003A6B24"/>
    <w:rsid w:val="003A6B58"/>
    <w:rsid w:val="003A6BAD"/>
    <w:rsid w:val="003A6BFE"/>
    <w:rsid w:val="003A6C2D"/>
    <w:rsid w:val="003A6C8F"/>
    <w:rsid w:val="003A6C98"/>
    <w:rsid w:val="003A6CB9"/>
    <w:rsid w:val="003A6D50"/>
    <w:rsid w:val="003A6E17"/>
    <w:rsid w:val="003A6E42"/>
    <w:rsid w:val="003A6E74"/>
    <w:rsid w:val="003A6EBB"/>
    <w:rsid w:val="003A7004"/>
    <w:rsid w:val="003A7030"/>
    <w:rsid w:val="003A709E"/>
    <w:rsid w:val="003A70E3"/>
    <w:rsid w:val="003A7139"/>
    <w:rsid w:val="003A71A2"/>
    <w:rsid w:val="003A71BC"/>
    <w:rsid w:val="003A71C0"/>
    <w:rsid w:val="003A73B6"/>
    <w:rsid w:val="003A73CF"/>
    <w:rsid w:val="003A7402"/>
    <w:rsid w:val="003A7419"/>
    <w:rsid w:val="003A745F"/>
    <w:rsid w:val="003A7484"/>
    <w:rsid w:val="003A748E"/>
    <w:rsid w:val="003A7612"/>
    <w:rsid w:val="003A767D"/>
    <w:rsid w:val="003A7681"/>
    <w:rsid w:val="003A76A3"/>
    <w:rsid w:val="003A786A"/>
    <w:rsid w:val="003A786E"/>
    <w:rsid w:val="003A7872"/>
    <w:rsid w:val="003A78AC"/>
    <w:rsid w:val="003A78E1"/>
    <w:rsid w:val="003A794D"/>
    <w:rsid w:val="003A7990"/>
    <w:rsid w:val="003A79D6"/>
    <w:rsid w:val="003A79F6"/>
    <w:rsid w:val="003A7A52"/>
    <w:rsid w:val="003A7C64"/>
    <w:rsid w:val="003A7D27"/>
    <w:rsid w:val="003A7E92"/>
    <w:rsid w:val="003A7F0F"/>
    <w:rsid w:val="003A7F6C"/>
    <w:rsid w:val="003A7F8E"/>
    <w:rsid w:val="003A7FAC"/>
    <w:rsid w:val="003B014C"/>
    <w:rsid w:val="003B0161"/>
    <w:rsid w:val="003B016F"/>
    <w:rsid w:val="003B0206"/>
    <w:rsid w:val="003B0212"/>
    <w:rsid w:val="003B026D"/>
    <w:rsid w:val="003B0281"/>
    <w:rsid w:val="003B0343"/>
    <w:rsid w:val="003B03A9"/>
    <w:rsid w:val="003B0514"/>
    <w:rsid w:val="003B051D"/>
    <w:rsid w:val="003B054F"/>
    <w:rsid w:val="003B05EC"/>
    <w:rsid w:val="003B0840"/>
    <w:rsid w:val="003B084C"/>
    <w:rsid w:val="003B0888"/>
    <w:rsid w:val="003B0890"/>
    <w:rsid w:val="003B090F"/>
    <w:rsid w:val="003B0911"/>
    <w:rsid w:val="003B0925"/>
    <w:rsid w:val="003B0934"/>
    <w:rsid w:val="003B0A36"/>
    <w:rsid w:val="003B0AD3"/>
    <w:rsid w:val="003B0B9A"/>
    <w:rsid w:val="003B0C05"/>
    <w:rsid w:val="003B0C78"/>
    <w:rsid w:val="003B0C7C"/>
    <w:rsid w:val="003B0CE5"/>
    <w:rsid w:val="003B0D34"/>
    <w:rsid w:val="003B0D91"/>
    <w:rsid w:val="003B0FD3"/>
    <w:rsid w:val="003B0FFA"/>
    <w:rsid w:val="003B102E"/>
    <w:rsid w:val="003B112A"/>
    <w:rsid w:val="003B11F1"/>
    <w:rsid w:val="003B1299"/>
    <w:rsid w:val="003B12F3"/>
    <w:rsid w:val="003B13F6"/>
    <w:rsid w:val="003B1406"/>
    <w:rsid w:val="003B143B"/>
    <w:rsid w:val="003B146F"/>
    <w:rsid w:val="003B157B"/>
    <w:rsid w:val="003B15ED"/>
    <w:rsid w:val="003B16E8"/>
    <w:rsid w:val="003B179C"/>
    <w:rsid w:val="003B17F8"/>
    <w:rsid w:val="003B187E"/>
    <w:rsid w:val="003B1885"/>
    <w:rsid w:val="003B1925"/>
    <w:rsid w:val="003B19F9"/>
    <w:rsid w:val="003B1A05"/>
    <w:rsid w:val="003B1A8A"/>
    <w:rsid w:val="003B1ADF"/>
    <w:rsid w:val="003B1B76"/>
    <w:rsid w:val="003B1BD0"/>
    <w:rsid w:val="003B1BE6"/>
    <w:rsid w:val="003B1C06"/>
    <w:rsid w:val="003B1C8B"/>
    <w:rsid w:val="003B1D67"/>
    <w:rsid w:val="003B1EE7"/>
    <w:rsid w:val="003B1EF5"/>
    <w:rsid w:val="003B1F32"/>
    <w:rsid w:val="003B1F63"/>
    <w:rsid w:val="003B1FB8"/>
    <w:rsid w:val="003B2080"/>
    <w:rsid w:val="003B2094"/>
    <w:rsid w:val="003B21BB"/>
    <w:rsid w:val="003B21EF"/>
    <w:rsid w:val="003B22F4"/>
    <w:rsid w:val="003B2356"/>
    <w:rsid w:val="003B2390"/>
    <w:rsid w:val="003B23E8"/>
    <w:rsid w:val="003B2417"/>
    <w:rsid w:val="003B2452"/>
    <w:rsid w:val="003B246C"/>
    <w:rsid w:val="003B24BE"/>
    <w:rsid w:val="003B25F0"/>
    <w:rsid w:val="003B265D"/>
    <w:rsid w:val="003B26C1"/>
    <w:rsid w:val="003B26CD"/>
    <w:rsid w:val="003B26DD"/>
    <w:rsid w:val="003B275C"/>
    <w:rsid w:val="003B27E9"/>
    <w:rsid w:val="003B2845"/>
    <w:rsid w:val="003B28E0"/>
    <w:rsid w:val="003B299A"/>
    <w:rsid w:val="003B2A54"/>
    <w:rsid w:val="003B2A62"/>
    <w:rsid w:val="003B2B14"/>
    <w:rsid w:val="003B2B6E"/>
    <w:rsid w:val="003B2B99"/>
    <w:rsid w:val="003B2CC5"/>
    <w:rsid w:val="003B2D37"/>
    <w:rsid w:val="003B2DC6"/>
    <w:rsid w:val="003B2E12"/>
    <w:rsid w:val="003B2EEA"/>
    <w:rsid w:val="003B2FB9"/>
    <w:rsid w:val="003B312A"/>
    <w:rsid w:val="003B3132"/>
    <w:rsid w:val="003B314D"/>
    <w:rsid w:val="003B31A3"/>
    <w:rsid w:val="003B31B2"/>
    <w:rsid w:val="003B3228"/>
    <w:rsid w:val="003B3230"/>
    <w:rsid w:val="003B339A"/>
    <w:rsid w:val="003B33B1"/>
    <w:rsid w:val="003B340B"/>
    <w:rsid w:val="003B347A"/>
    <w:rsid w:val="003B3506"/>
    <w:rsid w:val="003B35AC"/>
    <w:rsid w:val="003B366C"/>
    <w:rsid w:val="003B3693"/>
    <w:rsid w:val="003B36BC"/>
    <w:rsid w:val="003B36FD"/>
    <w:rsid w:val="003B374A"/>
    <w:rsid w:val="003B3764"/>
    <w:rsid w:val="003B3809"/>
    <w:rsid w:val="003B3B01"/>
    <w:rsid w:val="003B3B2A"/>
    <w:rsid w:val="003B3CD9"/>
    <w:rsid w:val="003B3D68"/>
    <w:rsid w:val="003B3DAB"/>
    <w:rsid w:val="003B3DE1"/>
    <w:rsid w:val="003B3E0B"/>
    <w:rsid w:val="003B3EFF"/>
    <w:rsid w:val="003B3FB6"/>
    <w:rsid w:val="003B3FDD"/>
    <w:rsid w:val="003B4066"/>
    <w:rsid w:val="003B406D"/>
    <w:rsid w:val="003B407F"/>
    <w:rsid w:val="003B416E"/>
    <w:rsid w:val="003B429F"/>
    <w:rsid w:val="003B42AD"/>
    <w:rsid w:val="003B42CC"/>
    <w:rsid w:val="003B43C9"/>
    <w:rsid w:val="003B4458"/>
    <w:rsid w:val="003B452C"/>
    <w:rsid w:val="003B457B"/>
    <w:rsid w:val="003B45E7"/>
    <w:rsid w:val="003B46DD"/>
    <w:rsid w:val="003B4789"/>
    <w:rsid w:val="003B4793"/>
    <w:rsid w:val="003B4836"/>
    <w:rsid w:val="003B486D"/>
    <w:rsid w:val="003B4879"/>
    <w:rsid w:val="003B498B"/>
    <w:rsid w:val="003B49DB"/>
    <w:rsid w:val="003B4A06"/>
    <w:rsid w:val="003B4B19"/>
    <w:rsid w:val="003B4C5A"/>
    <w:rsid w:val="003B4C97"/>
    <w:rsid w:val="003B4D1E"/>
    <w:rsid w:val="003B4E80"/>
    <w:rsid w:val="003B4EC9"/>
    <w:rsid w:val="003B5013"/>
    <w:rsid w:val="003B5092"/>
    <w:rsid w:val="003B5094"/>
    <w:rsid w:val="003B51C2"/>
    <w:rsid w:val="003B5256"/>
    <w:rsid w:val="003B537A"/>
    <w:rsid w:val="003B538E"/>
    <w:rsid w:val="003B542C"/>
    <w:rsid w:val="003B5447"/>
    <w:rsid w:val="003B5483"/>
    <w:rsid w:val="003B55CC"/>
    <w:rsid w:val="003B5646"/>
    <w:rsid w:val="003B572B"/>
    <w:rsid w:val="003B5748"/>
    <w:rsid w:val="003B5753"/>
    <w:rsid w:val="003B57A7"/>
    <w:rsid w:val="003B5974"/>
    <w:rsid w:val="003B59DE"/>
    <w:rsid w:val="003B5AC7"/>
    <w:rsid w:val="003B5AF5"/>
    <w:rsid w:val="003B5B63"/>
    <w:rsid w:val="003B5C97"/>
    <w:rsid w:val="003B5D19"/>
    <w:rsid w:val="003B5D4B"/>
    <w:rsid w:val="003B5DAE"/>
    <w:rsid w:val="003B5DBD"/>
    <w:rsid w:val="003B5E37"/>
    <w:rsid w:val="003B5E88"/>
    <w:rsid w:val="003B5EB5"/>
    <w:rsid w:val="003B5ECC"/>
    <w:rsid w:val="003B5EE9"/>
    <w:rsid w:val="003B5EFA"/>
    <w:rsid w:val="003B5F0D"/>
    <w:rsid w:val="003B604A"/>
    <w:rsid w:val="003B6086"/>
    <w:rsid w:val="003B611D"/>
    <w:rsid w:val="003B6271"/>
    <w:rsid w:val="003B628C"/>
    <w:rsid w:val="003B62C3"/>
    <w:rsid w:val="003B639F"/>
    <w:rsid w:val="003B63A5"/>
    <w:rsid w:val="003B6481"/>
    <w:rsid w:val="003B650B"/>
    <w:rsid w:val="003B66F5"/>
    <w:rsid w:val="003B68D8"/>
    <w:rsid w:val="003B6911"/>
    <w:rsid w:val="003B6992"/>
    <w:rsid w:val="003B6AC6"/>
    <w:rsid w:val="003B6AF5"/>
    <w:rsid w:val="003B6C18"/>
    <w:rsid w:val="003B6C22"/>
    <w:rsid w:val="003B6C6A"/>
    <w:rsid w:val="003B6D01"/>
    <w:rsid w:val="003B6DC8"/>
    <w:rsid w:val="003B6EF1"/>
    <w:rsid w:val="003B7272"/>
    <w:rsid w:val="003B7283"/>
    <w:rsid w:val="003B72F4"/>
    <w:rsid w:val="003B74FC"/>
    <w:rsid w:val="003B752A"/>
    <w:rsid w:val="003B758A"/>
    <w:rsid w:val="003B7601"/>
    <w:rsid w:val="003B760D"/>
    <w:rsid w:val="003B7674"/>
    <w:rsid w:val="003B76CC"/>
    <w:rsid w:val="003B76D8"/>
    <w:rsid w:val="003B76E3"/>
    <w:rsid w:val="003B7707"/>
    <w:rsid w:val="003B7881"/>
    <w:rsid w:val="003B790C"/>
    <w:rsid w:val="003B7913"/>
    <w:rsid w:val="003B7949"/>
    <w:rsid w:val="003B7955"/>
    <w:rsid w:val="003B7973"/>
    <w:rsid w:val="003B7991"/>
    <w:rsid w:val="003B79A3"/>
    <w:rsid w:val="003B7AF0"/>
    <w:rsid w:val="003B7AF7"/>
    <w:rsid w:val="003B7B46"/>
    <w:rsid w:val="003B7B6B"/>
    <w:rsid w:val="003B7BC3"/>
    <w:rsid w:val="003B7BC5"/>
    <w:rsid w:val="003B7C73"/>
    <w:rsid w:val="003B7C7E"/>
    <w:rsid w:val="003B7EB2"/>
    <w:rsid w:val="003B7EE5"/>
    <w:rsid w:val="003B7F7C"/>
    <w:rsid w:val="003C0049"/>
    <w:rsid w:val="003C00BA"/>
    <w:rsid w:val="003C00EA"/>
    <w:rsid w:val="003C01E9"/>
    <w:rsid w:val="003C021C"/>
    <w:rsid w:val="003C0285"/>
    <w:rsid w:val="003C033B"/>
    <w:rsid w:val="003C0453"/>
    <w:rsid w:val="003C046E"/>
    <w:rsid w:val="003C04EB"/>
    <w:rsid w:val="003C057C"/>
    <w:rsid w:val="003C058E"/>
    <w:rsid w:val="003C060C"/>
    <w:rsid w:val="003C06FA"/>
    <w:rsid w:val="003C075B"/>
    <w:rsid w:val="003C0776"/>
    <w:rsid w:val="003C078C"/>
    <w:rsid w:val="003C0888"/>
    <w:rsid w:val="003C0900"/>
    <w:rsid w:val="003C0904"/>
    <w:rsid w:val="003C0918"/>
    <w:rsid w:val="003C0AAE"/>
    <w:rsid w:val="003C0AC1"/>
    <w:rsid w:val="003C0B0E"/>
    <w:rsid w:val="003C0B81"/>
    <w:rsid w:val="003C0B82"/>
    <w:rsid w:val="003C0BC3"/>
    <w:rsid w:val="003C0BFB"/>
    <w:rsid w:val="003C0CBD"/>
    <w:rsid w:val="003C0DB3"/>
    <w:rsid w:val="003C0F84"/>
    <w:rsid w:val="003C0FA3"/>
    <w:rsid w:val="003C0FA5"/>
    <w:rsid w:val="003C10CE"/>
    <w:rsid w:val="003C1103"/>
    <w:rsid w:val="003C1122"/>
    <w:rsid w:val="003C126B"/>
    <w:rsid w:val="003C1284"/>
    <w:rsid w:val="003C12F2"/>
    <w:rsid w:val="003C1323"/>
    <w:rsid w:val="003C1398"/>
    <w:rsid w:val="003C142B"/>
    <w:rsid w:val="003C14D8"/>
    <w:rsid w:val="003C15DD"/>
    <w:rsid w:val="003C160A"/>
    <w:rsid w:val="003C164B"/>
    <w:rsid w:val="003C1755"/>
    <w:rsid w:val="003C176A"/>
    <w:rsid w:val="003C180B"/>
    <w:rsid w:val="003C180C"/>
    <w:rsid w:val="003C184E"/>
    <w:rsid w:val="003C1881"/>
    <w:rsid w:val="003C195F"/>
    <w:rsid w:val="003C19B1"/>
    <w:rsid w:val="003C1AD1"/>
    <w:rsid w:val="003C1BED"/>
    <w:rsid w:val="003C1C78"/>
    <w:rsid w:val="003C1CD2"/>
    <w:rsid w:val="003C1CF3"/>
    <w:rsid w:val="003C1DC2"/>
    <w:rsid w:val="003C1DCB"/>
    <w:rsid w:val="003C1E68"/>
    <w:rsid w:val="003C1E71"/>
    <w:rsid w:val="003C1E97"/>
    <w:rsid w:val="003C1F2F"/>
    <w:rsid w:val="003C2124"/>
    <w:rsid w:val="003C21BB"/>
    <w:rsid w:val="003C2232"/>
    <w:rsid w:val="003C2276"/>
    <w:rsid w:val="003C22A1"/>
    <w:rsid w:val="003C22D1"/>
    <w:rsid w:val="003C22FA"/>
    <w:rsid w:val="003C2351"/>
    <w:rsid w:val="003C2433"/>
    <w:rsid w:val="003C249B"/>
    <w:rsid w:val="003C255D"/>
    <w:rsid w:val="003C25A0"/>
    <w:rsid w:val="003C25DF"/>
    <w:rsid w:val="003C2799"/>
    <w:rsid w:val="003C2820"/>
    <w:rsid w:val="003C2839"/>
    <w:rsid w:val="003C28C4"/>
    <w:rsid w:val="003C2A12"/>
    <w:rsid w:val="003C2A30"/>
    <w:rsid w:val="003C2A75"/>
    <w:rsid w:val="003C2B36"/>
    <w:rsid w:val="003C2BBA"/>
    <w:rsid w:val="003C2BE5"/>
    <w:rsid w:val="003C2C1A"/>
    <w:rsid w:val="003C2C77"/>
    <w:rsid w:val="003C2CB8"/>
    <w:rsid w:val="003C2CDC"/>
    <w:rsid w:val="003C2D89"/>
    <w:rsid w:val="003C2DF1"/>
    <w:rsid w:val="003C2E08"/>
    <w:rsid w:val="003C2E2F"/>
    <w:rsid w:val="003C2E38"/>
    <w:rsid w:val="003C2E4A"/>
    <w:rsid w:val="003C2E5B"/>
    <w:rsid w:val="003C2FC2"/>
    <w:rsid w:val="003C2FCF"/>
    <w:rsid w:val="003C3121"/>
    <w:rsid w:val="003C31F8"/>
    <w:rsid w:val="003C32BD"/>
    <w:rsid w:val="003C32C1"/>
    <w:rsid w:val="003C3315"/>
    <w:rsid w:val="003C345A"/>
    <w:rsid w:val="003C34A9"/>
    <w:rsid w:val="003C3539"/>
    <w:rsid w:val="003C35A1"/>
    <w:rsid w:val="003C35BC"/>
    <w:rsid w:val="003C35C3"/>
    <w:rsid w:val="003C35EA"/>
    <w:rsid w:val="003C360B"/>
    <w:rsid w:val="003C3615"/>
    <w:rsid w:val="003C3629"/>
    <w:rsid w:val="003C3658"/>
    <w:rsid w:val="003C36A9"/>
    <w:rsid w:val="003C3780"/>
    <w:rsid w:val="003C382F"/>
    <w:rsid w:val="003C394E"/>
    <w:rsid w:val="003C395D"/>
    <w:rsid w:val="003C398C"/>
    <w:rsid w:val="003C3A0D"/>
    <w:rsid w:val="003C3A16"/>
    <w:rsid w:val="003C3A1F"/>
    <w:rsid w:val="003C3AF2"/>
    <w:rsid w:val="003C3B62"/>
    <w:rsid w:val="003C3B84"/>
    <w:rsid w:val="003C3C37"/>
    <w:rsid w:val="003C3C81"/>
    <w:rsid w:val="003C3D53"/>
    <w:rsid w:val="003C3E32"/>
    <w:rsid w:val="003C3EB1"/>
    <w:rsid w:val="003C3EF5"/>
    <w:rsid w:val="003C3FAA"/>
    <w:rsid w:val="003C3FF2"/>
    <w:rsid w:val="003C40FE"/>
    <w:rsid w:val="003C433B"/>
    <w:rsid w:val="003C44B3"/>
    <w:rsid w:val="003C4502"/>
    <w:rsid w:val="003C450C"/>
    <w:rsid w:val="003C467C"/>
    <w:rsid w:val="003C4721"/>
    <w:rsid w:val="003C48D0"/>
    <w:rsid w:val="003C48E9"/>
    <w:rsid w:val="003C49CD"/>
    <w:rsid w:val="003C4A09"/>
    <w:rsid w:val="003C4A17"/>
    <w:rsid w:val="003C4A76"/>
    <w:rsid w:val="003C4C87"/>
    <w:rsid w:val="003C4C9B"/>
    <w:rsid w:val="003C4CC8"/>
    <w:rsid w:val="003C4D4E"/>
    <w:rsid w:val="003C4E64"/>
    <w:rsid w:val="003C4E9D"/>
    <w:rsid w:val="003C4EAF"/>
    <w:rsid w:val="003C4EBE"/>
    <w:rsid w:val="003C4F7A"/>
    <w:rsid w:val="003C4FA6"/>
    <w:rsid w:val="003C4FFE"/>
    <w:rsid w:val="003C5053"/>
    <w:rsid w:val="003C50DB"/>
    <w:rsid w:val="003C510D"/>
    <w:rsid w:val="003C5119"/>
    <w:rsid w:val="003C5143"/>
    <w:rsid w:val="003C518E"/>
    <w:rsid w:val="003C51EC"/>
    <w:rsid w:val="003C529F"/>
    <w:rsid w:val="003C52A1"/>
    <w:rsid w:val="003C52CB"/>
    <w:rsid w:val="003C5430"/>
    <w:rsid w:val="003C549F"/>
    <w:rsid w:val="003C556F"/>
    <w:rsid w:val="003C5570"/>
    <w:rsid w:val="003C557E"/>
    <w:rsid w:val="003C5755"/>
    <w:rsid w:val="003C57F1"/>
    <w:rsid w:val="003C5802"/>
    <w:rsid w:val="003C5824"/>
    <w:rsid w:val="003C58A8"/>
    <w:rsid w:val="003C596E"/>
    <w:rsid w:val="003C5985"/>
    <w:rsid w:val="003C5AFD"/>
    <w:rsid w:val="003C5B94"/>
    <w:rsid w:val="003C5C1F"/>
    <w:rsid w:val="003C5DDF"/>
    <w:rsid w:val="003C5E72"/>
    <w:rsid w:val="003C5ECC"/>
    <w:rsid w:val="003C5F15"/>
    <w:rsid w:val="003C5F3C"/>
    <w:rsid w:val="003C5F9A"/>
    <w:rsid w:val="003C5FB1"/>
    <w:rsid w:val="003C5FF1"/>
    <w:rsid w:val="003C6026"/>
    <w:rsid w:val="003C60CE"/>
    <w:rsid w:val="003C624B"/>
    <w:rsid w:val="003C6294"/>
    <w:rsid w:val="003C6352"/>
    <w:rsid w:val="003C6356"/>
    <w:rsid w:val="003C635A"/>
    <w:rsid w:val="003C638C"/>
    <w:rsid w:val="003C63AE"/>
    <w:rsid w:val="003C6420"/>
    <w:rsid w:val="003C6493"/>
    <w:rsid w:val="003C64CD"/>
    <w:rsid w:val="003C6664"/>
    <w:rsid w:val="003C672F"/>
    <w:rsid w:val="003C6810"/>
    <w:rsid w:val="003C682D"/>
    <w:rsid w:val="003C686F"/>
    <w:rsid w:val="003C69FD"/>
    <w:rsid w:val="003C6A46"/>
    <w:rsid w:val="003C6B57"/>
    <w:rsid w:val="003C6D7F"/>
    <w:rsid w:val="003C6DA3"/>
    <w:rsid w:val="003C6E40"/>
    <w:rsid w:val="003C6ED0"/>
    <w:rsid w:val="003C6F89"/>
    <w:rsid w:val="003C7089"/>
    <w:rsid w:val="003C70C5"/>
    <w:rsid w:val="003C70F8"/>
    <w:rsid w:val="003C711F"/>
    <w:rsid w:val="003C7178"/>
    <w:rsid w:val="003C71EF"/>
    <w:rsid w:val="003C72A8"/>
    <w:rsid w:val="003C72B0"/>
    <w:rsid w:val="003C744C"/>
    <w:rsid w:val="003C7454"/>
    <w:rsid w:val="003C7483"/>
    <w:rsid w:val="003C748B"/>
    <w:rsid w:val="003C7529"/>
    <w:rsid w:val="003C75DF"/>
    <w:rsid w:val="003C7611"/>
    <w:rsid w:val="003C76D0"/>
    <w:rsid w:val="003C7754"/>
    <w:rsid w:val="003C777A"/>
    <w:rsid w:val="003C77DD"/>
    <w:rsid w:val="003C7867"/>
    <w:rsid w:val="003C78B0"/>
    <w:rsid w:val="003C78FD"/>
    <w:rsid w:val="003C7ADD"/>
    <w:rsid w:val="003C7B45"/>
    <w:rsid w:val="003C7B4D"/>
    <w:rsid w:val="003C7B5B"/>
    <w:rsid w:val="003C7C01"/>
    <w:rsid w:val="003C7C31"/>
    <w:rsid w:val="003C7C83"/>
    <w:rsid w:val="003C7CE3"/>
    <w:rsid w:val="003C7CF5"/>
    <w:rsid w:val="003C7D91"/>
    <w:rsid w:val="003C7DAA"/>
    <w:rsid w:val="003C7EBB"/>
    <w:rsid w:val="003C7F0F"/>
    <w:rsid w:val="003C7F5F"/>
    <w:rsid w:val="003C7F97"/>
    <w:rsid w:val="003D0094"/>
    <w:rsid w:val="003D009F"/>
    <w:rsid w:val="003D00E6"/>
    <w:rsid w:val="003D0354"/>
    <w:rsid w:val="003D0402"/>
    <w:rsid w:val="003D041B"/>
    <w:rsid w:val="003D04D0"/>
    <w:rsid w:val="003D04E3"/>
    <w:rsid w:val="003D0614"/>
    <w:rsid w:val="003D06CB"/>
    <w:rsid w:val="003D075A"/>
    <w:rsid w:val="003D076F"/>
    <w:rsid w:val="003D07C2"/>
    <w:rsid w:val="003D080B"/>
    <w:rsid w:val="003D0843"/>
    <w:rsid w:val="003D084F"/>
    <w:rsid w:val="003D09ED"/>
    <w:rsid w:val="003D0A76"/>
    <w:rsid w:val="003D0AE4"/>
    <w:rsid w:val="003D0BF7"/>
    <w:rsid w:val="003D0D00"/>
    <w:rsid w:val="003D0D5A"/>
    <w:rsid w:val="003D0D9B"/>
    <w:rsid w:val="003D0DD7"/>
    <w:rsid w:val="003D0E09"/>
    <w:rsid w:val="003D0F6C"/>
    <w:rsid w:val="003D0FBA"/>
    <w:rsid w:val="003D0FC2"/>
    <w:rsid w:val="003D1070"/>
    <w:rsid w:val="003D1160"/>
    <w:rsid w:val="003D1211"/>
    <w:rsid w:val="003D1315"/>
    <w:rsid w:val="003D136B"/>
    <w:rsid w:val="003D1603"/>
    <w:rsid w:val="003D1632"/>
    <w:rsid w:val="003D16D7"/>
    <w:rsid w:val="003D171B"/>
    <w:rsid w:val="003D1795"/>
    <w:rsid w:val="003D17C0"/>
    <w:rsid w:val="003D1822"/>
    <w:rsid w:val="003D1834"/>
    <w:rsid w:val="003D184E"/>
    <w:rsid w:val="003D18B3"/>
    <w:rsid w:val="003D1940"/>
    <w:rsid w:val="003D1948"/>
    <w:rsid w:val="003D1963"/>
    <w:rsid w:val="003D1974"/>
    <w:rsid w:val="003D197C"/>
    <w:rsid w:val="003D1980"/>
    <w:rsid w:val="003D198C"/>
    <w:rsid w:val="003D19A5"/>
    <w:rsid w:val="003D1A68"/>
    <w:rsid w:val="003D1A6A"/>
    <w:rsid w:val="003D1AB8"/>
    <w:rsid w:val="003D1B7F"/>
    <w:rsid w:val="003D1BAA"/>
    <w:rsid w:val="003D1BAD"/>
    <w:rsid w:val="003D1CD0"/>
    <w:rsid w:val="003D1CD2"/>
    <w:rsid w:val="003D1CFD"/>
    <w:rsid w:val="003D1D28"/>
    <w:rsid w:val="003D1DFB"/>
    <w:rsid w:val="003D1E5C"/>
    <w:rsid w:val="003D1E78"/>
    <w:rsid w:val="003D1E80"/>
    <w:rsid w:val="003D1F0E"/>
    <w:rsid w:val="003D1F65"/>
    <w:rsid w:val="003D2011"/>
    <w:rsid w:val="003D20A5"/>
    <w:rsid w:val="003D2101"/>
    <w:rsid w:val="003D219B"/>
    <w:rsid w:val="003D21A5"/>
    <w:rsid w:val="003D2201"/>
    <w:rsid w:val="003D2246"/>
    <w:rsid w:val="003D241D"/>
    <w:rsid w:val="003D2445"/>
    <w:rsid w:val="003D2457"/>
    <w:rsid w:val="003D24F6"/>
    <w:rsid w:val="003D2529"/>
    <w:rsid w:val="003D2541"/>
    <w:rsid w:val="003D25F5"/>
    <w:rsid w:val="003D2619"/>
    <w:rsid w:val="003D263A"/>
    <w:rsid w:val="003D264B"/>
    <w:rsid w:val="003D266C"/>
    <w:rsid w:val="003D26E5"/>
    <w:rsid w:val="003D26F3"/>
    <w:rsid w:val="003D2905"/>
    <w:rsid w:val="003D2987"/>
    <w:rsid w:val="003D2BF9"/>
    <w:rsid w:val="003D2C3E"/>
    <w:rsid w:val="003D2CC4"/>
    <w:rsid w:val="003D2E00"/>
    <w:rsid w:val="003D2EA3"/>
    <w:rsid w:val="003D2EC3"/>
    <w:rsid w:val="003D2F6F"/>
    <w:rsid w:val="003D3027"/>
    <w:rsid w:val="003D303E"/>
    <w:rsid w:val="003D310E"/>
    <w:rsid w:val="003D31C0"/>
    <w:rsid w:val="003D32B8"/>
    <w:rsid w:val="003D3343"/>
    <w:rsid w:val="003D3470"/>
    <w:rsid w:val="003D347E"/>
    <w:rsid w:val="003D35A0"/>
    <w:rsid w:val="003D35D6"/>
    <w:rsid w:val="003D3611"/>
    <w:rsid w:val="003D374A"/>
    <w:rsid w:val="003D3757"/>
    <w:rsid w:val="003D378E"/>
    <w:rsid w:val="003D379A"/>
    <w:rsid w:val="003D3891"/>
    <w:rsid w:val="003D38A0"/>
    <w:rsid w:val="003D390E"/>
    <w:rsid w:val="003D393E"/>
    <w:rsid w:val="003D39AD"/>
    <w:rsid w:val="003D39C8"/>
    <w:rsid w:val="003D3B16"/>
    <w:rsid w:val="003D3BD1"/>
    <w:rsid w:val="003D3D0D"/>
    <w:rsid w:val="003D3DFD"/>
    <w:rsid w:val="003D3E3F"/>
    <w:rsid w:val="003D3E59"/>
    <w:rsid w:val="003D3EA4"/>
    <w:rsid w:val="003D3EFA"/>
    <w:rsid w:val="003D3F6C"/>
    <w:rsid w:val="003D4025"/>
    <w:rsid w:val="003D4054"/>
    <w:rsid w:val="003D4060"/>
    <w:rsid w:val="003D4120"/>
    <w:rsid w:val="003D4174"/>
    <w:rsid w:val="003D41DA"/>
    <w:rsid w:val="003D4209"/>
    <w:rsid w:val="003D42FC"/>
    <w:rsid w:val="003D44D6"/>
    <w:rsid w:val="003D4507"/>
    <w:rsid w:val="003D451F"/>
    <w:rsid w:val="003D4549"/>
    <w:rsid w:val="003D45EB"/>
    <w:rsid w:val="003D45FE"/>
    <w:rsid w:val="003D46FD"/>
    <w:rsid w:val="003D471F"/>
    <w:rsid w:val="003D47FC"/>
    <w:rsid w:val="003D48DA"/>
    <w:rsid w:val="003D49A2"/>
    <w:rsid w:val="003D4A03"/>
    <w:rsid w:val="003D4A0B"/>
    <w:rsid w:val="003D4BF5"/>
    <w:rsid w:val="003D4C5C"/>
    <w:rsid w:val="003D4D00"/>
    <w:rsid w:val="003D4D1B"/>
    <w:rsid w:val="003D4D39"/>
    <w:rsid w:val="003D4E30"/>
    <w:rsid w:val="003D4F1B"/>
    <w:rsid w:val="003D4F4C"/>
    <w:rsid w:val="003D4F53"/>
    <w:rsid w:val="003D503D"/>
    <w:rsid w:val="003D508B"/>
    <w:rsid w:val="003D5122"/>
    <w:rsid w:val="003D5143"/>
    <w:rsid w:val="003D5333"/>
    <w:rsid w:val="003D5386"/>
    <w:rsid w:val="003D5396"/>
    <w:rsid w:val="003D5398"/>
    <w:rsid w:val="003D5487"/>
    <w:rsid w:val="003D55A0"/>
    <w:rsid w:val="003D561C"/>
    <w:rsid w:val="003D566D"/>
    <w:rsid w:val="003D5776"/>
    <w:rsid w:val="003D5835"/>
    <w:rsid w:val="003D5881"/>
    <w:rsid w:val="003D589F"/>
    <w:rsid w:val="003D58A0"/>
    <w:rsid w:val="003D58CB"/>
    <w:rsid w:val="003D5965"/>
    <w:rsid w:val="003D598F"/>
    <w:rsid w:val="003D59B8"/>
    <w:rsid w:val="003D5A13"/>
    <w:rsid w:val="003D5A44"/>
    <w:rsid w:val="003D5A5C"/>
    <w:rsid w:val="003D5AA1"/>
    <w:rsid w:val="003D5AAB"/>
    <w:rsid w:val="003D5AE2"/>
    <w:rsid w:val="003D5B23"/>
    <w:rsid w:val="003D5C2B"/>
    <w:rsid w:val="003D5CB1"/>
    <w:rsid w:val="003D5E5F"/>
    <w:rsid w:val="003D5E6A"/>
    <w:rsid w:val="003D5EA0"/>
    <w:rsid w:val="003D60D3"/>
    <w:rsid w:val="003D61AF"/>
    <w:rsid w:val="003D6202"/>
    <w:rsid w:val="003D62E1"/>
    <w:rsid w:val="003D6312"/>
    <w:rsid w:val="003D631D"/>
    <w:rsid w:val="003D63D0"/>
    <w:rsid w:val="003D651D"/>
    <w:rsid w:val="003D658F"/>
    <w:rsid w:val="003D6600"/>
    <w:rsid w:val="003D661F"/>
    <w:rsid w:val="003D669C"/>
    <w:rsid w:val="003D670C"/>
    <w:rsid w:val="003D677C"/>
    <w:rsid w:val="003D68B5"/>
    <w:rsid w:val="003D69E1"/>
    <w:rsid w:val="003D6AC0"/>
    <w:rsid w:val="003D6AC5"/>
    <w:rsid w:val="003D6B1F"/>
    <w:rsid w:val="003D6B31"/>
    <w:rsid w:val="003D6B8D"/>
    <w:rsid w:val="003D6BF3"/>
    <w:rsid w:val="003D6CA8"/>
    <w:rsid w:val="003D6D7B"/>
    <w:rsid w:val="003D6D8E"/>
    <w:rsid w:val="003D6F3E"/>
    <w:rsid w:val="003D7072"/>
    <w:rsid w:val="003D70E0"/>
    <w:rsid w:val="003D71A3"/>
    <w:rsid w:val="003D71E2"/>
    <w:rsid w:val="003D7257"/>
    <w:rsid w:val="003D7340"/>
    <w:rsid w:val="003D735B"/>
    <w:rsid w:val="003D7375"/>
    <w:rsid w:val="003D73B8"/>
    <w:rsid w:val="003D73C6"/>
    <w:rsid w:val="003D73CC"/>
    <w:rsid w:val="003D73FD"/>
    <w:rsid w:val="003D7407"/>
    <w:rsid w:val="003D7427"/>
    <w:rsid w:val="003D7446"/>
    <w:rsid w:val="003D7467"/>
    <w:rsid w:val="003D74E7"/>
    <w:rsid w:val="003D753F"/>
    <w:rsid w:val="003D7546"/>
    <w:rsid w:val="003D7575"/>
    <w:rsid w:val="003D76C6"/>
    <w:rsid w:val="003D77B1"/>
    <w:rsid w:val="003D787E"/>
    <w:rsid w:val="003D78E5"/>
    <w:rsid w:val="003D7972"/>
    <w:rsid w:val="003D7987"/>
    <w:rsid w:val="003D7A16"/>
    <w:rsid w:val="003D7A86"/>
    <w:rsid w:val="003D7B2C"/>
    <w:rsid w:val="003D7B65"/>
    <w:rsid w:val="003D7B90"/>
    <w:rsid w:val="003D7C19"/>
    <w:rsid w:val="003D7D0E"/>
    <w:rsid w:val="003D7E2B"/>
    <w:rsid w:val="003D7E79"/>
    <w:rsid w:val="003D7E80"/>
    <w:rsid w:val="003D7FF3"/>
    <w:rsid w:val="003E005B"/>
    <w:rsid w:val="003E00EC"/>
    <w:rsid w:val="003E0181"/>
    <w:rsid w:val="003E0196"/>
    <w:rsid w:val="003E019F"/>
    <w:rsid w:val="003E01A4"/>
    <w:rsid w:val="003E0296"/>
    <w:rsid w:val="003E030C"/>
    <w:rsid w:val="003E0325"/>
    <w:rsid w:val="003E03CA"/>
    <w:rsid w:val="003E058F"/>
    <w:rsid w:val="003E05D5"/>
    <w:rsid w:val="003E0651"/>
    <w:rsid w:val="003E06E2"/>
    <w:rsid w:val="003E070B"/>
    <w:rsid w:val="003E07B3"/>
    <w:rsid w:val="003E07FB"/>
    <w:rsid w:val="003E083F"/>
    <w:rsid w:val="003E085D"/>
    <w:rsid w:val="003E0863"/>
    <w:rsid w:val="003E09E6"/>
    <w:rsid w:val="003E0A9A"/>
    <w:rsid w:val="003E0AB3"/>
    <w:rsid w:val="003E0B2D"/>
    <w:rsid w:val="003E0C61"/>
    <w:rsid w:val="003E0DB8"/>
    <w:rsid w:val="003E0E39"/>
    <w:rsid w:val="003E0EAD"/>
    <w:rsid w:val="003E0EE2"/>
    <w:rsid w:val="003E0EFA"/>
    <w:rsid w:val="003E0F23"/>
    <w:rsid w:val="003E0FEA"/>
    <w:rsid w:val="003E11DB"/>
    <w:rsid w:val="003E11F4"/>
    <w:rsid w:val="003E1271"/>
    <w:rsid w:val="003E1384"/>
    <w:rsid w:val="003E1468"/>
    <w:rsid w:val="003E15B4"/>
    <w:rsid w:val="003E15F2"/>
    <w:rsid w:val="003E163E"/>
    <w:rsid w:val="003E16B7"/>
    <w:rsid w:val="003E1791"/>
    <w:rsid w:val="003E18B9"/>
    <w:rsid w:val="003E18BF"/>
    <w:rsid w:val="003E18D8"/>
    <w:rsid w:val="003E1914"/>
    <w:rsid w:val="003E1A53"/>
    <w:rsid w:val="003E1BB0"/>
    <w:rsid w:val="003E1C45"/>
    <w:rsid w:val="003E1C64"/>
    <w:rsid w:val="003E1D26"/>
    <w:rsid w:val="003E1D54"/>
    <w:rsid w:val="003E1D6C"/>
    <w:rsid w:val="003E1D6F"/>
    <w:rsid w:val="003E1DE9"/>
    <w:rsid w:val="003E1EB6"/>
    <w:rsid w:val="003E1EB8"/>
    <w:rsid w:val="003E1F11"/>
    <w:rsid w:val="003E1F83"/>
    <w:rsid w:val="003E1FB2"/>
    <w:rsid w:val="003E1FE5"/>
    <w:rsid w:val="003E1FEF"/>
    <w:rsid w:val="003E203E"/>
    <w:rsid w:val="003E207F"/>
    <w:rsid w:val="003E2086"/>
    <w:rsid w:val="003E210B"/>
    <w:rsid w:val="003E2159"/>
    <w:rsid w:val="003E2165"/>
    <w:rsid w:val="003E218D"/>
    <w:rsid w:val="003E21AA"/>
    <w:rsid w:val="003E21BD"/>
    <w:rsid w:val="003E21DD"/>
    <w:rsid w:val="003E2252"/>
    <w:rsid w:val="003E227E"/>
    <w:rsid w:val="003E228D"/>
    <w:rsid w:val="003E22CD"/>
    <w:rsid w:val="003E22F5"/>
    <w:rsid w:val="003E236F"/>
    <w:rsid w:val="003E23E5"/>
    <w:rsid w:val="003E2489"/>
    <w:rsid w:val="003E24EE"/>
    <w:rsid w:val="003E2521"/>
    <w:rsid w:val="003E2522"/>
    <w:rsid w:val="003E2672"/>
    <w:rsid w:val="003E26F8"/>
    <w:rsid w:val="003E2757"/>
    <w:rsid w:val="003E27A8"/>
    <w:rsid w:val="003E2826"/>
    <w:rsid w:val="003E2890"/>
    <w:rsid w:val="003E28A7"/>
    <w:rsid w:val="003E28DC"/>
    <w:rsid w:val="003E291A"/>
    <w:rsid w:val="003E29FC"/>
    <w:rsid w:val="003E2A80"/>
    <w:rsid w:val="003E2A8C"/>
    <w:rsid w:val="003E2A8E"/>
    <w:rsid w:val="003E2AF2"/>
    <w:rsid w:val="003E2C1A"/>
    <w:rsid w:val="003E2C4B"/>
    <w:rsid w:val="003E2C4F"/>
    <w:rsid w:val="003E2C83"/>
    <w:rsid w:val="003E2CA3"/>
    <w:rsid w:val="003E2CC7"/>
    <w:rsid w:val="003E2CE1"/>
    <w:rsid w:val="003E2D48"/>
    <w:rsid w:val="003E2D4C"/>
    <w:rsid w:val="003E2D7C"/>
    <w:rsid w:val="003E2E08"/>
    <w:rsid w:val="003E2E13"/>
    <w:rsid w:val="003E2E3B"/>
    <w:rsid w:val="003E2E4E"/>
    <w:rsid w:val="003E2E97"/>
    <w:rsid w:val="003E2F0E"/>
    <w:rsid w:val="003E307D"/>
    <w:rsid w:val="003E3098"/>
    <w:rsid w:val="003E3128"/>
    <w:rsid w:val="003E31B9"/>
    <w:rsid w:val="003E31E6"/>
    <w:rsid w:val="003E3243"/>
    <w:rsid w:val="003E33BC"/>
    <w:rsid w:val="003E3457"/>
    <w:rsid w:val="003E3471"/>
    <w:rsid w:val="003E35AB"/>
    <w:rsid w:val="003E35FB"/>
    <w:rsid w:val="003E367E"/>
    <w:rsid w:val="003E3687"/>
    <w:rsid w:val="003E368D"/>
    <w:rsid w:val="003E37C8"/>
    <w:rsid w:val="003E37F2"/>
    <w:rsid w:val="003E37F4"/>
    <w:rsid w:val="003E385D"/>
    <w:rsid w:val="003E38E9"/>
    <w:rsid w:val="003E3B19"/>
    <w:rsid w:val="003E3B20"/>
    <w:rsid w:val="003E3B5E"/>
    <w:rsid w:val="003E3B81"/>
    <w:rsid w:val="003E3BCA"/>
    <w:rsid w:val="003E3CF4"/>
    <w:rsid w:val="003E3D63"/>
    <w:rsid w:val="003E3D76"/>
    <w:rsid w:val="003E3D85"/>
    <w:rsid w:val="003E3DE9"/>
    <w:rsid w:val="003E3E01"/>
    <w:rsid w:val="003E3E4B"/>
    <w:rsid w:val="003E3F1D"/>
    <w:rsid w:val="003E3F51"/>
    <w:rsid w:val="003E40A3"/>
    <w:rsid w:val="003E40FD"/>
    <w:rsid w:val="003E4243"/>
    <w:rsid w:val="003E4299"/>
    <w:rsid w:val="003E431C"/>
    <w:rsid w:val="003E43B1"/>
    <w:rsid w:val="003E441A"/>
    <w:rsid w:val="003E442A"/>
    <w:rsid w:val="003E4595"/>
    <w:rsid w:val="003E45C8"/>
    <w:rsid w:val="003E45E0"/>
    <w:rsid w:val="003E45F4"/>
    <w:rsid w:val="003E4606"/>
    <w:rsid w:val="003E4648"/>
    <w:rsid w:val="003E468C"/>
    <w:rsid w:val="003E474C"/>
    <w:rsid w:val="003E47DF"/>
    <w:rsid w:val="003E47F0"/>
    <w:rsid w:val="003E4806"/>
    <w:rsid w:val="003E4895"/>
    <w:rsid w:val="003E48B9"/>
    <w:rsid w:val="003E48BE"/>
    <w:rsid w:val="003E48C7"/>
    <w:rsid w:val="003E4935"/>
    <w:rsid w:val="003E4B4A"/>
    <w:rsid w:val="003E4BA7"/>
    <w:rsid w:val="003E4C0D"/>
    <w:rsid w:val="003E4C34"/>
    <w:rsid w:val="003E4C3E"/>
    <w:rsid w:val="003E4D1A"/>
    <w:rsid w:val="003E4D96"/>
    <w:rsid w:val="003E4EA0"/>
    <w:rsid w:val="003E4F33"/>
    <w:rsid w:val="003E4F7A"/>
    <w:rsid w:val="003E4FF8"/>
    <w:rsid w:val="003E5057"/>
    <w:rsid w:val="003E5095"/>
    <w:rsid w:val="003E5155"/>
    <w:rsid w:val="003E5164"/>
    <w:rsid w:val="003E5186"/>
    <w:rsid w:val="003E51E7"/>
    <w:rsid w:val="003E51FD"/>
    <w:rsid w:val="003E521E"/>
    <w:rsid w:val="003E53B4"/>
    <w:rsid w:val="003E540D"/>
    <w:rsid w:val="003E5443"/>
    <w:rsid w:val="003E546C"/>
    <w:rsid w:val="003E548B"/>
    <w:rsid w:val="003E54E0"/>
    <w:rsid w:val="003E5514"/>
    <w:rsid w:val="003E5568"/>
    <w:rsid w:val="003E5642"/>
    <w:rsid w:val="003E5697"/>
    <w:rsid w:val="003E576B"/>
    <w:rsid w:val="003E579B"/>
    <w:rsid w:val="003E57EF"/>
    <w:rsid w:val="003E58AE"/>
    <w:rsid w:val="003E58DE"/>
    <w:rsid w:val="003E590E"/>
    <w:rsid w:val="003E59A1"/>
    <w:rsid w:val="003E59F4"/>
    <w:rsid w:val="003E5A67"/>
    <w:rsid w:val="003E5ADE"/>
    <w:rsid w:val="003E5B19"/>
    <w:rsid w:val="003E5BEA"/>
    <w:rsid w:val="003E5D1A"/>
    <w:rsid w:val="003E5F18"/>
    <w:rsid w:val="003E5FF5"/>
    <w:rsid w:val="003E6010"/>
    <w:rsid w:val="003E620E"/>
    <w:rsid w:val="003E62F5"/>
    <w:rsid w:val="003E6353"/>
    <w:rsid w:val="003E64DB"/>
    <w:rsid w:val="003E64EF"/>
    <w:rsid w:val="003E652D"/>
    <w:rsid w:val="003E6598"/>
    <w:rsid w:val="003E661F"/>
    <w:rsid w:val="003E6679"/>
    <w:rsid w:val="003E6726"/>
    <w:rsid w:val="003E678F"/>
    <w:rsid w:val="003E6795"/>
    <w:rsid w:val="003E6850"/>
    <w:rsid w:val="003E6898"/>
    <w:rsid w:val="003E689A"/>
    <w:rsid w:val="003E689D"/>
    <w:rsid w:val="003E68FA"/>
    <w:rsid w:val="003E69C4"/>
    <w:rsid w:val="003E6A90"/>
    <w:rsid w:val="003E6C74"/>
    <w:rsid w:val="003E6C75"/>
    <w:rsid w:val="003E6CCC"/>
    <w:rsid w:val="003E6CDF"/>
    <w:rsid w:val="003E6CF1"/>
    <w:rsid w:val="003E6ECD"/>
    <w:rsid w:val="003E6F28"/>
    <w:rsid w:val="003E6FBE"/>
    <w:rsid w:val="003E6FCB"/>
    <w:rsid w:val="003E7045"/>
    <w:rsid w:val="003E70CA"/>
    <w:rsid w:val="003E71BC"/>
    <w:rsid w:val="003E7213"/>
    <w:rsid w:val="003E7257"/>
    <w:rsid w:val="003E727A"/>
    <w:rsid w:val="003E72A2"/>
    <w:rsid w:val="003E72AA"/>
    <w:rsid w:val="003E7371"/>
    <w:rsid w:val="003E744E"/>
    <w:rsid w:val="003E746B"/>
    <w:rsid w:val="003E7488"/>
    <w:rsid w:val="003E74E5"/>
    <w:rsid w:val="003E7505"/>
    <w:rsid w:val="003E7511"/>
    <w:rsid w:val="003E76C1"/>
    <w:rsid w:val="003E76C7"/>
    <w:rsid w:val="003E76D3"/>
    <w:rsid w:val="003E772C"/>
    <w:rsid w:val="003E77A8"/>
    <w:rsid w:val="003E77DA"/>
    <w:rsid w:val="003E78E8"/>
    <w:rsid w:val="003E790B"/>
    <w:rsid w:val="003E7967"/>
    <w:rsid w:val="003E79A9"/>
    <w:rsid w:val="003E7A4A"/>
    <w:rsid w:val="003E7BD9"/>
    <w:rsid w:val="003E7BDB"/>
    <w:rsid w:val="003E7C7A"/>
    <w:rsid w:val="003E7CAD"/>
    <w:rsid w:val="003E7D52"/>
    <w:rsid w:val="003E7D8A"/>
    <w:rsid w:val="003E7DE4"/>
    <w:rsid w:val="003E7E5C"/>
    <w:rsid w:val="003F001C"/>
    <w:rsid w:val="003F00CB"/>
    <w:rsid w:val="003F0476"/>
    <w:rsid w:val="003F0554"/>
    <w:rsid w:val="003F056A"/>
    <w:rsid w:val="003F0582"/>
    <w:rsid w:val="003F05DC"/>
    <w:rsid w:val="003F0679"/>
    <w:rsid w:val="003F06BB"/>
    <w:rsid w:val="003F06BC"/>
    <w:rsid w:val="003F06BE"/>
    <w:rsid w:val="003F0728"/>
    <w:rsid w:val="003F0754"/>
    <w:rsid w:val="003F0779"/>
    <w:rsid w:val="003F07B9"/>
    <w:rsid w:val="003F07C4"/>
    <w:rsid w:val="003F082F"/>
    <w:rsid w:val="003F09C2"/>
    <w:rsid w:val="003F09C5"/>
    <w:rsid w:val="003F0A32"/>
    <w:rsid w:val="003F0A4B"/>
    <w:rsid w:val="003F0AC7"/>
    <w:rsid w:val="003F0AF6"/>
    <w:rsid w:val="003F0B2A"/>
    <w:rsid w:val="003F0B58"/>
    <w:rsid w:val="003F0BA2"/>
    <w:rsid w:val="003F0CF6"/>
    <w:rsid w:val="003F0D6A"/>
    <w:rsid w:val="003F0EB9"/>
    <w:rsid w:val="003F0EEA"/>
    <w:rsid w:val="003F0F4B"/>
    <w:rsid w:val="003F0F6A"/>
    <w:rsid w:val="003F107C"/>
    <w:rsid w:val="003F10F7"/>
    <w:rsid w:val="003F1149"/>
    <w:rsid w:val="003F1192"/>
    <w:rsid w:val="003F12FF"/>
    <w:rsid w:val="003F1363"/>
    <w:rsid w:val="003F1371"/>
    <w:rsid w:val="003F1452"/>
    <w:rsid w:val="003F14E2"/>
    <w:rsid w:val="003F156C"/>
    <w:rsid w:val="003F1575"/>
    <w:rsid w:val="003F1697"/>
    <w:rsid w:val="003F16C2"/>
    <w:rsid w:val="003F16FD"/>
    <w:rsid w:val="003F1723"/>
    <w:rsid w:val="003F1790"/>
    <w:rsid w:val="003F184F"/>
    <w:rsid w:val="003F18BB"/>
    <w:rsid w:val="003F1AE3"/>
    <w:rsid w:val="003F1B1E"/>
    <w:rsid w:val="003F1B7D"/>
    <w:rsid w:val="003F1B83"/>
    <w:rsid w:val="003F1D32"/>
    <w:rsid w:val="003F1D64"/>
    <w:rsid w:val="003F1D90"/>
    <w:rsid w:val="003F1DA8"/>
    <w:rsid w:val="003F1DB1"/>
    <w:rsid w:val="003F1EC5"/>
    <w:rsid w:val="003F1F22"/>
    <w:rsid w:val="003F1F2D"/>
    <w:rsid w:val="003F1F42"/>
    <w:rsid w:val="003F1FCA"/>
    <w:rsid w:val="003F1FCB"/>
    <w:rsid w:val="003F20D1"/>
    <w:rsid w:val="003F223C"/>
    <w:rsid w:val="003F22D5"/>
    <w:rsid w:val="003F231F"/>
    <w:rsid w:val="003F23B7"/>
    <w:rsid w:val="003F23F5"/>
    <w:rsid w:val="003F23F9"/>
    <w:rsid w:val="003F24BE"/>
    <w:rsid w:val="003F2518"/>
    <w:rsid w:val="003F253E"/>
    <w:rsid w:val="003F25F0"/>
    <w:rsid w:val="003F25FB"/>
    <w:rsid w:val="003F2690"/>
    <w:rsid w:val="003F2845"/>
    <w:rsid w:val="003F28A9"/>
    <w:rsid w:val="003F2940"/>
    <w:rsid w:val="003F2AC1"/>
    <w:rsid w:val="003F2ACF"/>
    <w:rsid w:val="003F2BB8"/>
    <w:rsid w:val="003F2CBB"/>
    <w:rsid w:val="003F2CD2"/>
    <w:rsid w:val="003F2D79"/>
    <w:rsid w:val="003F2F5B"/>
    <w:rsid w:val="003F2F90"/>
    <w:rsid w:val="003F2F96"/>
    <w:rsid w:val="003F30C9"/>
    <w:rsid w:val="003F32A0"/>
    <w:rsid w:val="003F32CF"/>
    <w:rsid w:val="003F3326"/>
    <w:rsid w:val="003F33C4"/>
    <w:rsid w:val="003F33FC"/>
    <w:rsid w:val="003F3417"/>
    <w:rsid w:val="003F34AA"/>
    <w:rsid w:val="003F3576"/>
    <w:rsid w:val="003F357A"/>
    <w:rsid w:val="003F3698"/>
    <w:rsid w:val="003F36EE"/>
    <w:rsid w:val="003F3708"/>
    <w:rsid w:val="003F37C9"/>
    <w:rsid w:val="003F37DC"/>
    <w:rsid w:val="003F388A"/>
    <w:rsid w:val="003F38B9"/>
    <w:rsid w:val="003F38D4"/>
    <w:rsid w:val="003F3945"/>
    <w:rsid w:val="003F3975"/>
    <w:rsid w:val="003F39C6"/>
    <w:rsid w:val="003F39E7"/>
    <w:rsid w:val="003F3A4F"/>
    <w:rsid w:val="003F3A6D"/>
    <w:rsid w:val="003F3AB8"/>
    <w:rsid w:val="003F3BBA"/>
    <w:rsid w:val="003F3BF0"/>
    <w:rsid w:val="003F3C13"/>
    <w:rsid w:val="003F3C88"/>
    <w:rsid w:val="003F3DA4"/>
    <w:rsid w:val="003F3F45"/>
    <w:rsid w:val="003F4044"/>
    <w:rsid w:val="003F4082"/>
    <w:rsid w:val="003F40A2"/>
    <w:rsid w:val="003F412C"/>
    <w:rsid w:val="003F41D7"/>
    <w:rsid w:val="003F421F"/>
    <w:rsid w:val="003F4253"/>
    <w:rsid w:val="003F42C3"/>
    <w:rsid w:val="003F4364"/>
    <w:rsid w:val="003F442B"/>
    <w:rsid w:val="003F453A"/>
    <w:rsid w:val="003F455E"/>
    <w:rsid w:val="003F45B2"/>
    <w:rsid w:val="003F45C6"/>
    <w:rsid w:val="003F45E7"/>
    <w:rsid w:val="003F4618"/>
    <w:rsid w:val="003F4744"/>
    <w:rsid w:val="003F47CA"/>
    <w:rsid w:val="003F47FF"/>
    <w:rsid w:val="003F4889"/>
    <w:rsid w:val="003F489B"/>
    <w:rsid w:val="003F48B7"/>
    <w:rsid w:val="003F48EC"/>
    <w:rsid w:val="003F4917"/>
    <w:rsid w:val="003F4972"/>
    <w:rsid w:val="003F49C7"/>
    <w:rsid w:val="003F4A22"/>
    <w:rsid w:val="003F4A9B"/>
    <w:rsid w:val="003F4AEB"/>
    <w:rsid w:val="003F4C1A"/>
    <w:rsid w:val="003F4CA1"/>
    <w:rsid w:val="003F4CA4"/>
    <w:rsid w:val="003F4D2F"/>
    <w:rsid w:val="003F4D47"/>
    <w:rsid w:val="003F4D7F"/>
    <w:rsid w:val="003F4EF8"/>
    <w:rsid w:val="003F4FA4"/>
    <w:rsid w:val="003F4FBE"/>
    <w:rsid w:val="003F505C"/>
    <w:rsid w:val="003F50D7"/>
    <w:rsid w:val="003F5246"/>
    <w:rsid w:val="003F526B"/>
    <w:rsid w:val="003F528A"/>
    <w:rsid w:val="003F52F3"/>
    <w:rsid w:val="003F533D"/>
    <w:rsid w:val="003F53A9"/>
    <w:rsid w:val="003F54DE"/>
    <w:rsid w:val="003F558C"/>
    <w:rsid w:val="003F56E4"/>
    <w:rsid w:val="003F5728"/>
    <w:rsid w:val="003F5810"/>
    <w:rsid w:val="003F586C"/>
    <w:rsid w:val="003F58C5"/>
    <w:rsid w:val="003F5918"/>
    <w:rsid w:val="003F5924"/>
    <w:rsid w:val="003F596D"/>
    <w:rsid w:val="003F598A"/>
    <w:rsid w:val="003F59E8"/>
    <w:rsid w:val="003F5A05"/>
    <w:rsid w:val="003F5AAC"/>
    <w:rsid w:val="003F5ADA"/>
    <w:rsid w:val="003F5AF2"/>
    <w:rsid w:val="003F5B6F"/>
    <w:rsid w:val="003F5C0A"/>
    <w:rsid w:val="003F5D9A"/>
    <w:rsid w:val="003F5DD5"/>
    <w:rsid w:val="003F5DF8"/>
    <w:rsid w:val="003F5E0B"/>
    <w:rsid w:val="003F607E"/>
    <w:rsid w:val="003F60EC"/>
    <w:rsid w:val="003F614A"/>
    <w:rsid w:val="003F628B"/>
    <w:rsid w:val="003F6297"/>
    <w:rsid w:val="003F62D0"/>
    <w:rsid w:val="003F63E7"/>
    <w:rsid w:val="003F644C"/>
    <w:rsid w:val="003F645C"/>
    <w:rsid w:val="003F64FD"/>
    <w:rsid w:val="003F656E"/>
    <w:rsid w:val="003F6625"/>
    <w:rsid w:val="003F6626"/>
    <w:rsid w:val="003F667A"/>
    <w:rsid w:val="003F66FE"/>
    <w:rsid w:val="003F675D"/>
    <w:rsid w:val="003F6814"/>
    <w:rsid w:val="003F6954"/>
    <w:rsid w:val="003F6966"/>
    <w:rsid w:val="003F6973"/>
    <w:rsid w:val="003F699D"/>
    <w:rsid w:val="003F69F0"/>
    <w:rsid w:val="003F6D83"/>
    <w:rsid w:val="003F6E15"/>
    <w:rsid w:val="003F6E49"/>
    <w:rsid w:val="003F6E9A"/>
    <w:rsid w:val="003F6EAD"/>
    <w:rsid w:val="003F6EB3"/>
    <w:rsid w:val="003F6F27"/>
    <w:rsid w:val="003F7019"/>
    <w:rsid w:val="003F70D5"/>
    <w:rsid w:val="003F70E4"/>
    <w:rsid w:val="003F7167"/>
    <w:rsid w:val="003F7284"/>
    <w:rsid w:val="003F7291"/>
    <w:rsid w:val="003F7349"/>
    <w:rsid w:val="003F7368"/>
    <w:rsid w:val="003F7389"/>
    <w:rsid w:val="003F739C"/>
    <w:rsid w:val="003F73A6"/>
    <w:rsid w:val="003F7440"/>
    <w:rsid w:val="003F7463"/>
    <w:rsid w:val="003F74BF"/>
    <w:rsid w:val="003F752D"/>
    <w:rsid w:val="003F766B"/>
    <w:rsid w:val="003F7688"/>
    <w:rsid w:val="003F7692"/>
    <w:rsid w:val="003F7699"/>
    <w:rsid w:val="003F7719"/>
    <w:rsid w:val="003F7749"/>
    <w:rsid w:val="003F7780"/>
    <w:rsid w:val="003F7793"/>
    <w:rsid w:val="003F77B1"/>
    <w:rsid w:val="003F77B3"/>
    <w:rsid w:val="003F786A"/>
    <w:rsid w:val="003F790B"/>
    <w:rsid w:val="003F7942"/>
    <w:rsid w:val="003F7985"/>
    <w:rsid w:val="003F79DD"/>
    <w:rsid w:val="003F79E8"/>
    <w:rsid w:val="003F7A34"/>
    <w:rsid w:val="003F7A3B"/>
    <w:rsid w:val="003F7A7C"/>
    <w:rsid w:val="003F7A80"/>
    <w:rsid w:val="003F7A8E"/>
    <w:rsid w:val="003F7B85"/>
    <w:rsid w:val="003F7CBE"/>
    <w:rsid w:val="003F7E15"/>
    <w:rsid w:val="003F7ECF"/>
    <w:rsid w:val="003F7ED9"/>
    <w:rsid w:val="003F7F3B"/>
    <w:rsid w:val="0040005D"/>
    <w:rsid w:val="004000A0"/>
    <w:rsid w:val="0040012C"/>
    <w:rsid w:val="0040026A"/>
    <w:rsid w:val="00400273"/>
    <w:rsid w:val="00400274"/>
    <w:rsid w:val="00400322"/>
    <w:rsid w:val="004003D4"/>
    <w:rsid w:val="00400541"/>
    <w:rsid w:val="00400562"/>
    <w:rsid w:val="004005B3"/>
    <w:rsid w:val="004005D2"/>
    <w:rsid w:val="004005FD"/>
    <w:rsid w:val="004006FA"/>
    <w:rsid w:val="00400848"/>
    <w:rsid w:val="0040084E"/>
    <w:rsid w:val="00400861"/>
    <w:rsid w:val="00400862"/>
    <w:rsid w:val="0040088F"/>
    <w:rsid w:val="00400941"/>
    <w:rsid w:val="00400B6E"/>
    <w:rsid w:val="00400B90"/>
    <w:rsid w:val="00400C04"/>
    <w:rsid w:val="00400C67"/>
    <w:rsid w:val="00400C6E"/>
    <w:rsid w:val="00400D02"/>
    <w:rsid w:val="00400D1A"/>
    <w:rsid w:val="00400EC1"/>
    <w:rsid w:val="00400F6E"/>
    <w:rsid w:val="00401028"/>
    <w:rsid w:val="0040111B"/>
    <w:rsid w:val="00401234"/>
    <w:rsid w:val="004012FF"/>
    <w:rsid w:val="0040136B"/>
    <w:rsid w:val="004013D2"/>
    <w:rsid w:val="004013FD"/>
    <w:rsid w:val="004014B8"/>
    <w:rsid w:val="00401515"/>
    <w:rsid w:val="00401553"/>
    <w:rsid w:val="0040163C"/>
    <w:rsid w:val="00401732"/>
    <w:rsid w:val="00401757"/>
    <w:rsid w:val="00401783"/>
    <w:rsid w:val="004018BE"/>
    <w:rsid w:val="004019CA"/>
    <w:rsid w:val="00401A9B"/>
    <w:rsid w:val="00401BBA"/>
    <w:rsid w:val="00401C4A"/>
    <w:rsid w:val="00401CF0"/>
    <w:rsid w:val="00401DCF"/>
    <w:rsid w:val="00401DD7"/>
    <w:rsid w:val="00401EC3"/>
    <w:rsid w:val="00401EEB"/>
    <w:rsid w:val="00401F72"/>
    <w:rsid w:val="00401FB3"/>
    <w:rsid w:val="0040204E"/>
    <w:rsid w:val="00402104"/>
    <w:rsid w:val="0040213F"/>
    <w:rsid w:val="004021AA"/>
    <w:rsid w:val="00402204"/>
    <w:rsid w:val="0040222D"/>
    <w:rsid w:val="00402368"/>
    <w:rsid w:val="004023E4"/>
    <w:rsid w:val="004024AD"/>
    <w:rsid w:val="004024C4"/>
    <w:rsid w:val="00402519"/>
    <w:rsid w:val="00402568"/>
    <w:rsid w:val="00402721"/>
    <w:rsid w:val="00402739"/>
    <w:rsid w:val="0040274A"/>
    <w:rsid w:val="004027BC"/>
    <w:rsid w:val="004028B7"/>
    <w:rsid w:val="0040293B"/>
    <w:rsid w:val="00402A26"/>
    <w:rsid w:val="00402B25"/>
    <w:rsid w:val="00402C2E"/>
    <w:rsid w:val="00402D2B"/>
    <w:rsid w:val="00402E27"/>
    <w:rsid w:val="00402FA4"/>
    <w:rsid w:val="0040309E"/>
    <w:rsid w:val="004030A5"/>
    <w:rsid w:val="004030C6"/>
    <w:rsid w:val="00403131"/>
    <w:rsid w:val="004031E9"/>
    <w:rsid w:val="004031F9"/>
    <w:rsid w:val="00403221"/>
    <w:rsid w:val="004032EB"/>
    <w:rsid w:val="00403465"/>
    <w:rsid w:val="0040347E"/>
    <w:rsid w:val="0040348C"/>
    <w:rsid w:val="004035F6"/>
    <w:rsid w:val="0040369F"/>
    <w:rsid w:val="004038CF"/>
    <w:rsid w:val="0040390D"/>
    <w:rsid w:val="00403946"/>
    <w:rsid w:val="004039C6"/>
    <w:rsid w:val="00403B8D"/>
    <w:rsid w:val="00403BC6"/>
    <w:rsid w:val="00403C55"/>
    <w:rsid w:val="00403C57"/>
    <w:rsid w:val="00403DB9"/>
    <w:rsid w:val="00403EAE"/>
    <w:rsid w:val="00403EBA"/>
    <w:rsid w:val="00403ED9"/>
    <w:rsid w:val="00404032"/>
    <w:rsid w:val="004040A6"/>
    <w:rsid w:val="0040410C"/>
    <w:rsid w:val="00404135"/>
    <w:rsid w:val="00404136"/>
    <w:rsid w:val="004041F9"/>
    <w:rsid w:val="004042CF"/>
    <w:rsid w:val="00404355"/>
    <w:rsid w:val="00404386"/>
    <w:rsid w:val="00404621"/>
    <w:rsid w:val="00404695"/>
    <w:rsid w:val="004046B2"/>
    <w:rsid w:val="00404719"/>
    <w:rsid w:val="0040474A"/>
    <w:rsid w:val="00404772"/>
    <w:rsid w:val="00404877"/>
    <w:rsid w:val="004048E8"/>
    <w:rsid w:val="00404918"/>
    <w:rsid w:val="0040494A"/>
    <w:rsid w:val="00404A41"/>
    <w:rsid w:val="00404AD5"/>
    <w:rsid w:val="00404B11"/>
    <w:rsid w:val="00404B38"/>
    <w:rsid w:val="00404BC5"/>
    <w:rsid w:val="00404CBD"/>
    <w:rsid w:val="00404CE6"/>
    <w:rsid w:val="00404D03"/>
    <w:rsid w:val="00404D56"/>
    <w:rsid w:val="00404D5B"/>
    <w:rsid w:val="00404E6C"/>
    <w:rsid w:val="00404E99"/>
    <w:rsid w:val="00404F16"/>
    <w:rsid w:val="0040501D"/>
    <w:rsid w:val="00405040"/>
    <w:rsid w:val="0040505B"/>
    <w:rsid w:val="00405079"/>
    <w:rsid w:val="00405098"/>
    <w:rsid w:val="004050F0"/>
    <w:rsid w:val="00405101"/>
    <w:rsid w:val="0040523E"/>
    <w:rsid w:val="00405248"/>
    <w:rsid w:val="00405265"/>
    <w:rsid w:val="0040529F"/>
    <w:rsid w:val="004052AE"/>
    <w:rsid w:val="004052E9"/>
    <w:rsid w:val="00405322"/>
    <w:rsid w:val="00405350"/>
    <w:rsid w:val="00405462"/>
    <w:rsid w:val="004055C5"/>
    <w:rsid w:val="004055D1"/>
    <w:rsid w:val="004055DA"/>
    <w:rsid w:val="00405637"/>
    <w:rsid w:val="00405648"/>
    <w:rsid w:val="00405653"/>
    <w:rsid w:val="00405713"/>
    <w:rsid w:val="00405768"/>
    <w:rsid w:val="00405817"/>
    <w:rsid w:val="004058DE"/>
    <w:rsid w:val="0040594A"/>
    <w:rsid w:val="00405A4C"/>
    <w:rsid w:val="00405A80"/>
    <w:rsid w:val="00405C90"/>
    <w:rsid w:val="00405D0D"/>
    <w:rsid w:val="00405D1D"/>
    <w:rsid w:val="00405D25"/>
    <w:rsid w:val="00405E97"/>
    <w:rsid w:val="00405EE2"/>
    <w:rsid w:val="00405F10"/>
    <w:rsid w:val="00406125"/>
    <w:rsid w:val="0040617E"/>
    <w:rsid w:val="004061BA"/>
    <w:rsid w:val="00406277"/>
    <w:rsid w:val="004063D8"/>
    <w:rsid w:val="004063F7"/>
    <w:rsid w:val="0040640B"/>
    <w:rsid w:val="00406462"/>
    <w:rsid w:val="00406503"/>
    <w:rsid w:val="0040651C"/>
    <w:rsid w:val="004065C4"/>
    <w:rsid w:val="00406661"/>
    <w:rsid w:val="004066E6"/>
    <w:rsid w:val="00406715"/>
    <w:rsid w:val="00406731"/>
    <w:rsid w:val="004067AA"/>
    <w:rsid w:val="004068C6"/>
    <w:rsid w:val="0040699D"/>
    <w:rsid w:val="00406ACF"/>
    <w:rsid w:val="00406B4D"/>
    <w:rsid w:val="00406BA3"/>
    <w:rsid w:val="00406C2D"/>
    <w:rsid w:val="00406D20"/>
    <w:rsid w:val="00406E5F"/>
    <w:rsid w:val="00406E64"/>
    <w:rsid w:val="00406EED"/>
    <w:rsid w:val="00406FE5"/>
    <w:rsid w:val="00407087"/>
    <w:rsid w:val="004070E5"/>
    <w:rsid w:val="00407120"/>
    <w:rsid w:val="0040720E"/>
    <w:rsid w:val="004072FD"/>
    <w:rsid w:val="00407361"/>
    <w:rsid w:val="00407426"/>
    <w:rsid w:val="0040743E"/>
    <w:rsid w:val="00407515"/>
    <w:rsid w:val="00407526"/>
    <w:rsid w:val="00407615"/>
    <w:rsid w:val="004076DF"/>
    <w:rsid w:val="00407719"/>
    <w:rsid w:val="00407748"/>
    <w:rsid w:val="004077B5"/>
    <w:rsid w:val="00407807"/>
    <w:rsid w:val="00407971"/>
    <w:rsid w:val="0040797A"/>
    <w:rsid w:val="00407A7E"/>
    <w:rsid w:val="00407A7F"/>
    <w:rsid w:val="00407BA9"/>
    <w:rsid w:val="00407BEF"/>
    <w:rsid w:val="00407CE8"/>
    <w:rsid w:val="00407DBA"/>
    <w:rsid w:val="00407E1A"/>
    <w:rsid w:val="00407EEA"/>
    <w:rsid w:val="00407F42"/>
    <w:rsid w:val="004100D2"/>
    <w:rsid w:val="0041014E"/>
    <w:rsid w:val="00410304"/>
    <w:rsid w:val="0041030B"/>
    <w:rsid w:val="00410369"/>
    <w:rsid w:val="00410375"/>
    <w:rsid w:val="00410394"/>
    <w:rsid w:val="004103CE"/>
    <w:rsid w:val="0041041E"/>
    <w:rsid w:val="004104BD"/>
    <w:rsid w:val="00410551"/>
    <w:rsid w:val="00410567"/>
    <w:rsid w:val="00410661"/>
    <w:rsid w:val="00410761"/>
    <w:rsid w:val="004107C8"/>
    <w:rsid w:val="004107DE"/>
    <w:rsid w:val="00410803"/>
    <w:rsid w:val="00410819"/>
    <w:rsid w:val="004108C3"/>
    <w:rsid w:val="004109AD"/>
    <w:rsid w:val="00410B5C"/>
    <w:rsid w:val="00410B9A"/>
    <w:rsid w:val="00410B9E"/>
    <w:rsid w:val="00410BBE"/>
    <w:rsid w:val="00410BE0"/>
    <w:rsid w:val="00410C98"/>
    <w:rsid w:val="00410CC2"/>
    <w:rsid w:val="00410D7F"/>
    <w:rsid w:val="00410DFE"/>
    <w:rsid w:val="00410E48"/>
    <w:rsid w:val="00410E4D"/>
    <w:rsid w:val="00410E5D"/>
    <w:rsid w:val="00410EDC"/>
    <w:rsid w:val="00410F01"/>
    <w:rsid w:val="00410F48"/>
    <w:rsid w:val="00410F58"/>
    <w:rsid w:val="00410F75"/>
    <w:rsid w:val="00410FDC"/>
    <w:rsid w:val="00410FED"/>
    <w:rsid w:val="00410FF6"/>
    <w:rsid w:val="00411101"/>
    <w:rsid w:val="004111BB"/>
    <w:rsid w:val="004111C3"/>
    <w:rsid w:val="0041123C"/>
    <w:rsid w:val="004112EA"/>
    <w:rsid w:val="0041133F"/>
    <w:rsid w:val="00411390"/>
    <w:rsid w:val="004113C3"/>
    <w:rsid w:val="004114D4"/>
    <w:rsid w:val="00411578"/>
    <w:rsid w:val="004115FF"/>
    <w:rsid w:val="004116A1"/>
    <w:rsid w:val="004116D3"/>
    <w:rsid w:val="0041174E"/>
    <w:rsid w:val="00411825"/>
    <w:rsid w:val="004118EE"/>
    <w:rsid w:val="00411921"/>
    <w:rsid w:val="004119BC"/>
    <w:rsid w:val="004119F0"/>
    <w:rsid w:val="00411A75"/>
    <w:rsid w:val="00411B28"/>
    <w:rsid w:val="00411C01"/>
    <w:rsid w:val="00411C80"/>
    <w:rsid w:val="00411D66"/>
    <w:rsid w:val="00411E9C"/>
    <w:rsid w:val="00411EAC"/>
    <w:rsid w:val="00411EF0"/>
    <w:rsid w:val="00411F5B"/>
    <w:rsid w:val="00411F8D"/>
    <w:rsid w:val="004120B2"/>
    <w:rsid w:val="00412225"/>
    <w:rsid w:val="004122EC"/>
    <w:rsid w:val="00412374"/>
    <w:rsid w:val="004123F7"/>
    <w:rsid w:val="0041250C"/>
    <w:rsid w:val="00412599"/>
    <w:rsid w:val="004125A1"/>
    <w:rsid w:val="004125A9"/>
    <w:rsid w:val="004125F3"/>
    <w:rsid w:val="0041266F"/>
    <w:rsid w:val="00412691"/>
    <w:rsid w:val="0041269C"/>
    <w:rsid w:val="004126F4"/>
    <w:rsid w:val="004127C9"/>
    <w:rsid w:val="004127FA"/>
    <w:rsid w:val="0041289E"/>
    <w:rsid w:val="004128B8"/>
    <w:rsid w:val="004128B9"/>
    <w:rsid w:val="0041298B"/>
    <w:rsid w:val="00412AF7"/>
    <w:rsid w:val="00412B0A"/>
    <w:rsid w:val="00412B30"/>
    <w:rsid w:val="00412BA4"/>
    <w:rsid w:val="00412C5F"/>
    <w:rsid w:val="00412C9E"/>
    <w:rsid w:val="00412CA9"/>
    <w:rsid w:val="00412CD2"/>
    <w:rsid w:val="00412DE4"/>
    <w:rsid w:val="00412DF4"/>
    <w:rsid w:val="00412F45"/>
    <w:rsid w:val="0041318C"/>
    <w:rsid w:val="00413197"/>
    <w:rsid w:val="00413248"/>
    <w:rsid w:val="004133FE"/>
    <w:rsid w:val="0041345D"/>
    <w:rsid w:val="00413477"/>
    <w:rsid w:val="004135B1"/>
    <w:rsid w:val="0041361D"/>
    <w:rsid w:val="00413635"/>
    <w:rsid w:val="00413675"/>
    <w:rsid w:val="00413754"/>
    <w:rsid w:val="00413781"/>
    <w:rsid w:val="004137E3"/>
    <w:rsid w:val="004137FB"/>
    <w:rsid w:val="0041380F"/>
    <w:rsid w:val="00413861"/>
    <w:rsid w:val="0041391C"/>
    <w:rsid w:val="00413993"/>
    <w:rsid w:val="00413A01"/>
    <w:rsid w:val="00413A0F"/>
    <w:rsid w:val="00413A48"/>
    <w:rsid w:val="00413A5B"/>
    <w:rsid w:val="00413A6E"/>
    <w:rsid w:val="00413AF9"/>
    <w:rsid w:val="00413AFA"/>
    <w:rsid w:val="00413B63"/>
    <w:rsid w:val="00413D48"/>
    <w:rsid w:val="00413D59"/>
    <w:rsid w:val="00413DAE"/>
    <w:rsid w:val="00413DBA"/>
    <w:rsid w:val="00413E8E"/>
    <w:rsid w:val="00413EB3"/>
    <w:rsid w:val="00413EBA"/>
    <w:rsid w:val="00413F04"/>
    <w:rsid w:val="00413F41"/>
    <w:rsid w:val="00413F8A"/>
    <w:rsid w:val="00413F94"/>
    <w:rsid w:val="004140EF"/>
    <w:rsid w:val="0041410D"/>
    <w:rsid w:val="00414250"/>
    <w:rsid w:val="0041426E"/>
    <w:rsid w:val="00414282"/>
    <w:rsid w:val="0041428C"/>
    <w:rsid w:val="004142D8"/>
    <w:rsid w:val="004142F9"/>
    <w:rsid w:val="00414337"/>
    <w:rsid w:val="00414427"/>
    <w:rsid w:val="0041452E"/>
    <w:rsid w:val="00414554"/>
    <w:rsid w:val="0041461A"/>
    <w:rsid w:val="00414622"/>
    <w:rsid w:val="00414641"/>
    <w:rsid w:val="00414668"/>
    <w:rsid w:val="004146A6"/>
    <w:rsid w:val="004146AF"/>
    <w:rsid w:val="004146DB"/>
    <w:rsid w:val="00414734"/>
    <w:rsid w:val="00414796"/>
    <w:rsid w:val="00414846"/>
    <w:rsid w:val="0041487C"/>
    <w:rsid w:val="0041488E"/>
    <w:rsid w:val="004148ED"/>
    <w:rsid w:val="00414943"/>
    <w:rsid w:val="00414ABC"/>
    <w:rsid w:val="00414C0E"/>
    <w:rsid w:val="00414D23"/>
    <w:rsid w:val="00414D27"/>
    <w:rsid w:val="00414DB2"/>
    <w:rsid w:val="00414E3E"/>
    <w:rsid w:val="00414E86"/>
    <w:rsid w:val="00414EF6"/>
    <w:rsid w:val="00414F24"/>
    <w:rsid w:val="00414F87"/>
    <w:rsid w:val="00414F9A"/>
    <w:rsid w:val="0041509C"/>
    <w:rsid w:val="004150AD"/>
    <w:rsid w:val="00415164"/>
    <w:rsid w:val="00415174"/>
    <w:rsid w:val="00415279"/>
    <w:rsid w:val="00415323"/>
    <w:rsid w:val="0041535A"/>
    <w:rsid w:val="00415389"/>
    <w:rsid w:val="0041539B"/>
    <w:rsid w:val="00415467"/>
    <w:rsid w:val="004154F0"/>
    <w:rsid w:val="004155BF"/>
    <w:rsid w:val="00415604"/>
    <w:rsid w:val="00415664"/>
    <w:rsid w:val="004156DA"/>
    <w:rsid w:val="0041570E"/>
    <w:rsid w:val="004157DC"/>
    <w:rsid w:val="0041581B"/>
    <w:rsid w:val="004159E4"/>
    <w:rsid w:val="00415A36"/>
    <w:rsid w:val="00415A43"/>
    <w:rsid w:val="00415AA0"/>
    <w:rsid w:val="00415AA3"/>
    <w:rsid w:val="00415AB4"/>
    <w:rsid w:val="00415B2A"/>
    <w:rsid w:val="00415B5B"/>
    <w:rsid w:val="00415CAD"/>
    <w:rsid w:val="00415CF8"/>
    <w:rsid w:val="00415D34"/>
    <w:rsid w:val="00415D8D"/>
    <w:rsid w:val="00415DB4"/>
    <w:rsid w:val="00415E85"/>
    <w:rsid w:val="00415F0C"/>
    <w:rsid w:val="00415F2B"/>
    <w:rsid w:val="00415FB2"/>
    <w:rsid w:val="00415FE4"/>
    <w:rsid w:val="00416006"/>
    <w:rsid w:val="00416185"/>
    <w:rsid w:val="00416423"/>
    <w:rsid w:val="0041642C"/>
    <w:rsid w:val="00416493"/>
    <w:rsid w:val="004164FF"/>
    <w:rsid w:val="00416548"/>
    <w:rsid w:val="0041665C"/>
    <w:rsid w:val="00416675"/>
    <w:rsid w:val="004166F7"/>
    <w:rsid w:val="00416726"/>
    <w:rsid w:val="0041680A"/>
    <w:rsid w:val="0041684B"/>
    <w:rsid w:val="00416863"/>
    <w:rsid w:val="0041699B"/>
    <w:rsid w:val="004169E0"/>
    <w:rsid w:val="00416A93"/>
    <w:rsid w:val="00416ABF"/>
    <w:rsid w:val="00416AE5"/>
    <w:rsid w:val="00416B1B"/>
    <w:rsid w:val="00416B52"/>
    <w:rsid w:val="00416C3C"/>
    <w:rsid w:val="00416C4F"/>
    <w:rsid w:val="00416C85"/>
    <w:rsid w:val="00416D4B"/>
    <w:rsid w:val="00416D5E"/>
    <w:rsid w:val="00416FA7"/>
    <w:rsid w:val="00417001"/>
    <w:rsid w:val="00417044"/>
    <w:rsid w:val="004170EC"/>
    <w:rsid w:val="0041717B"/>
    <w:rsid w:val="004171DE"/>
    <w:rsid w:val="004171F9"/>
    <w:rsid w:val="0041723F"/>
    <w:rsid w:val="00417259"/>
    <w:rsid w:val="004172E0"/>
    <w:rsid w:val="00417341"/>
    <w:rsid w:val="00417428"/>
    <w:rsid w:val="004174B1"/>
    <w:rsid w:val="004174C8"/>
    <w:rsid w:val="004174D1"/>
    <w:rsid w:val="00417566"/>
    <w:rsid w:val="0041756D"/>
    <w:rsid w:val="004175DE"/>
    <w:rsid w:val="00417696"/>
    <w:rsid w:val="004176E8"/>
    <w:rsid w:val="0041770F"/>
    <w:rsid w:val="0041783A"/>
    <w:rsid w:val="00417894"/>
    <w:rsid w:val="004178A0"/>
    <w:rsid w:val="00417920"/>
    <w:rsid w:val="00417978"/>
    <w:rsid w:val="0041797E"/>
    <w:rsid w:val="0041798C"/>
    <w:rsid w:val="004179ED"/>
    <w:rsid w:val="00417A08"/>
    <w:rsid w:val="00417A4F"/>
    <w:rsid w:val="00417A97"/>
    <w:rsid w:val="00417AA8"/>
    <w:rsid w:val="00417BC5"/>
    <w:rsid w:val="00417C16"/>
    <w:rsid w:val="00417C85"/>
    <w:rsid w:val="00417D2B"/>
    <w:rsid w:val="00417D47"/>
    <w:rsid w:val="00417D67"/>
    <w:rsid w:val="00417D86"/>
    <w:rsid w:val="00417E16"/>
    <w:rsid w:val="00417EA3"/>
    <w:rsid w:val="00417FEB"/>
    <w:rsid w:val="004200B9"/>
    <w:rsid w:val="0042010B"/>
    <w:rsid w:val="00420231"/>
    <w:rsid w:val="0042028A"/>
    <w:rsid w:val="0042028B"/>
    <w:rsid w:val="004202A4"/>
    <w:rsid w:val="004202AF"/>
    <w:rsid w:val="00420340"/>
    <w:rsid w:val="004203C4"/>
    <w:rsid w:val="004203DA"/>
    <w:rsid w:val="004204A6"/>
    <w:rsid w:val="0042055A"/>
    <w:rsid w:val="00420707"/>
    <w:rsid w:val="0042077B"/>
    <w:rsid w:val="00420817"/>
    <w:rsid w:val="00420821"/>
    <w:rsid w:val="004208AA"/>
    <w:rsid w:val="00420920"/>
    <w:rsid w:val="0042096D"/>
    <w:rsid w:val="00420970"/>
    <w:rsid w:val="00420A80"/>
    <w:rsid w:val="00420AD3"/>
    <w:rsid w:val="00420B07"/>
    <w:rsid w:val="00420B1A"/>
    <w:rsid w:val="00420B8F"/>
    <w:rsid w:val="00420BFD"/>
    <w:rsid w:val="00420D55"/>
    <w:rsid w:val="00420DDD"/>
    <w:rsid w:val="00420E06"/>
    <w:rsid w:val="00420F2E"/>
    <w:rsid w:val="00420F81"/>
    <w:rsid w:val="00420F8F"/>
    <w:rsid w:val="00420FAD"/>
    <w:rsid w:val="00420FB0"/>
    <w:rsid w:val="00421035"/>
    <w:rsid w:val="00421055"/>
    <w:rsid w:val="004210C5"/>
    <w:rsid w:val="00421102"/>
    <w:rsid w:val="0042110D"/>
    <w:rsid w:val="00421113"/>
    <w:rsid w:val="004211A3"/>
    <w:rsid w:val="0042120D"/>
    <w:rsid w:val="0042123C"/>
    <w:rsid w:val="0042139D"/>
    <w:rsid w:val="004213B8"/>
    <w:rsid w:val="004213FF"/>
    <w:rsid w:val="00421446"/>
    <w:rsid w:val="00421470"/>
    <w:rsid w:val="00421490"/>
    <w:rsid w:val="004214B9"/>
    <w:rsid w:val="00421525"/>
    <w:rsid w:val="00421564"/>
    <w:rsid w:val="00421572"/>
    <w:rsid w:val="0042160C"/>
    <w:rsid w:val="0042163E"/>
    <w:rsid w:val="00421655"/>
    <w:rsid w:val="004216CA"/>
    <w:rsid w:val="00421701"/>
    <w:rsid w:val="004217F5"/>
    <w:rsid w:val="00421981"/>
    <w:rsid w:val="00421987"/>
    <w:rsid w:val="00421990"/>
    <w:rsid w:val="00421C2A"/>
    <w:rsid w:val="00421CAB"/>
    <w:rsid w:val="00421D11"/>
    <w:rsid w:val="00421EF1"/>
    <w:rsid w:val="00421FA6"/>
    <w:rsid w:val="00421FB8"/>
    <w:rsid w:val="00422051"/>
    <w:rsid w:val="004220EE"/>
    <w:rsid w:val="0042212A"/>
    <w:rsid w:val="00422149"/>
    <w:rsid w:val="00422254"/>
    <w:rsid w:val="004222D9"/>
    <w:rsid w:val="00422364"/>
    <w:rsid w:val="00422445"/>
    <w:rsid w:val="00422489"/>
    <w:rsid w:val="004224AD"/>
    <w:rsid w:val="004224ED"/>
    <w:rsid w:val="00422502"/>
    <w:rsid w:val="00422627"/>
    <w:rsid w:val="00422883"/>
    <w:rsid w:val="004228DE"/>
    <w:rsid w:val="00422958"/>
    <w:rsid w:val="0042296C"/>
    <w:rsid w:val="00422999"/>
    <w:rsid w:val="00422A4F"/>
    <w:rsid w:val="00422B17"/>
    <w:rsid w:val="00422B4A"/>
    <w:rsid w:val="00422BAB"/>
    <w:rsid w:val="00422BCC"/>
    <w:rsid w:val="00422BFD"/>
    <w:rsid w:val="00422C04"/>
    <w:rsid w:val="00422CA6"/>
    <w:rsid w:val="00422D09"/>
    <w:rsid w:val="00422D0C"/>
    <w:rsid w:val="00422DEA"/>
    <w:rsid w:val="00422DF8"/>
    <w:rsid w:val="00422E32"/>
    <w:rsid w:val="00422E8E"/>
    <w:rsid w:val="00422EDF"/>
    <w:rsid w:val="00422F02"/>
    <w:rsid w:val="00422F39"/>
    <w:rsid w:val="00422F91"/>
    <w:rsid w:val="00422FCF"/>
    <w:rsid w:val="00422FD7"/>
    <w:rsid w:val="004230B5"/>
    <w:rsid w:val="004230BB"/>
    <w:rsid w:val="0042312C"/>
    <w:rsid w:val="0042317E"/>
    <w:rsid w:val="004231FD"/>
    <w:rsid w:val="0042327F"/>
    <w:rsid w:val="004232A4"/>
    <w:rsid w:val="0042333D"/>
    <w:rsid w:val="00423515"/>
    <w:rsid w:val="00423598"/>
    <w:rsid w:val="004235A8"/>
    <w:rsid w:val="004235C7"/>
    <w:rsid w:val="004236A4"/>
    <w:rsid w:val="004236AE"/>
    <w:rsid w:val="004237F4"/>
    <w:rsid w:val="004238A3"/>
    <w:rsid w:val="00423949"/>
    <w:rsid w:val="004239F4"/>
    <w:rsid w:val="00423A5C"/>
    <w:rsid w:val="00423AC3"/>
    <w:rsid w:val="00423AE3"/>
    <w:rsid w:val="00423B28"/>
    <w:rsid w:val="00423C4C"/>
    <w:rsid w:val="00423D72"/>
    <w:rsid w:val="00423DCA"/>
    <w:rsid w:val="00423E32"/>
    <w:rsid w:val="00423E4D"/>
    <w:rsid w:val="00423EB8"/>
    <w:rsid w:val="00423ECE"/>
    <w:rsid w:val="00423ED2"/>
    <w:rsid w:val="00423F3E"/>
    <w:rsid w:val="00423FC1"/>
    <w:rsid w:val="00424019"/>
    <w:rsid w:val="00424146"/>
    <w:rsid w:val="004242B7"/>
    <w:rsid w:val="004242C1"/>
    <w:rsid w:val="0042435B"/>
    <w:rsid w:val="00424399"/>
    <w:rsid w:val="00424459"/>
    <w:rsid w:val="00424475"/>
    <w:rsid w:val="0042451A"/>
    <w:rsid w:val="00424595"/>
    <w:rsid w:val="004245AA"/>
    <w:rsid w:val="004245E6"/>
    <w:rsid w:val="00424657"/>
    <w:rsid w:val="0042466F"/>
    <w:rsid w:val="00424756"/>
    <w:rsid w:val="004248E5"/>
    <w:rsid w:val="004248EB"/>
    <w:rsid w:val="0042490B"/>
    <w:rsid w:val="00424986"/>
    <w:rsid w:val="00424A24"/>
    <w:rsid w:val="00424A8C"/>
    <w:rsid w:val="00424AA1"/>
    <w:rsid w:val="00424AC9"/>
    <w:rsid w:val="00424C9A"/>
    <w:rsid w:val="00424D5C"/>
    <w:rsid w:val="00424DDC"/>
    <w:rsid w:val="00424DDD"/>
    <w:rsid w:val="00424E55"/>
    <w:rsid w:val="00424EC7"/>
    <w:rsid w:val="00424F3B"/>
    <w:rsid w:val="00424F93"/>
    <w:rsid w:val="00424FAB"/>
    <w:rsid w:val="0042502F"/>
    <w:rsid w:val="0042507E"/>
    <w:rsid w:val="004250F6"/>
    <w:rsid w:val="00425151"/>
    <w:rsid w:val="00425194"/>
    <w:rsid w:val="004251DF"/>
    <w:rsid w:val="00425512"/>
    <w:rsid w:val="00425537"/>
    <w:rsid w:val="0042557D"/>
    <w:rsid w:val="0042559A"/>
    <w:rsid w:val="004255EE"/>
    <w:rsid w:val="00425636"/>
    <w:rsid w:val="004257D5"/>
    <w:rsid w:val="0042582F"/>
    <w:rsid w:val="004258AF"/>
    <w:rsid w:val="004258FA"/>
    <w:rsid w:val="00425934"/>
    <w:rsid w:val="0042594A"/>
    <w:rsid w:val="0042596A"/>
    <w:rsid w:val="004259CB"/>
    <w:rsid w:val="00425A1E"/>
    <w:rsid w:val="00425A57"/>
    <w:rsid w:val="00425B49"/>
    <w:rsid w:val="00425B67"/>
    <w:rsid w:val="00425B73"/>
    <w:rsid w:val="00425C15"/>
    <w:rsid w:val="00425CBF"/>
    <w:rsid w:val="00425E62"/>
    <w:rsid w:val="00425F0A"/>
    <w:rsid w:val="00425F9A"/>
    <w:rsid w:val="0042606E"/>
    <w:rsid w:val="0042613E"/>
    <w:rsid w:val="004261C4"/>
    <w:rsid w:val="004261DA"/>
    <w:rsid w:val="004261F7"/>
    <w:rsid w:val="004262DE"/>
    <w:rsid w:val="004262EF"/>
    <w:rsid w:val="0042631A"/>
    <w:rsid w:val="0042632C"/>
    <w:rsid w:val="00426355"/>
    <w:rsid w:val="004263C0"/>
    <w:rsid w:val="004263F8"/>
    <w:rsid w:val="00426440"/>
    <w:rsid w:val="00426471"/>
    <w:rsid w:val="004265C2"/>
    <w:rsid w:val="00426745"/>
    <w:rsid w:val="0042675F"/>
    <w:rsid w:val="00426806"/>
    <w:rsid w:val="004269A6"/>
    <w:rsid w:val="00426A5F"/>
    <w:rsid w:val="00426AB1"/>
    <w:rsid w:val="00426B46"/>
    <w:rsid w:val="00426C09"/>
    <w:rsid w:val="00426CB6"/>
    <w:rsid w:val="00426CDB"/>
    <w:rsid w:val="00426E0B"/>
    <w:rsid w:val="00426E0D"/>
    <w:rsid w:val="00426E57"/>
    <w:rsid w:val="00426FC2"/>
    <w:rsid w:val="0042704F"/>
    <w:rsid w:val="00427060"/>
    <w:rsid w:val="00427078"/>
    <w:rsid w:val="004270E1"/>
    <w:rsid w:val="00427118"/>
    <w:rsid w:val="00427271"/>
    <w:rsid w:val="004273B1"/>
    <w:rsid w:val="004273F6"/>
    <w:rsid w:val="00427522"/>
    <w:rsid w:val="0042763A"/>
    <w:rsid w:val="00427643"/>
    <w:rsid w:val="0042767B"/>
    <w:rsid w:val="004276CC"/>
    <w:rsid w:val="0042771C"/>
    <w:rsid w:val="00427725"/>
    <w:rsid w:val="004278CF"/>
    <w:rsid w:val="00427A0C"/>
    <w:rsid w:val="00427B8E"/>
    <w:rsid w:val="00427D6E"/>
    <w:rsid w:val="00427DB2"/>
    <w:rsid w:val="00427E54"/>
    <w:rsid w:val="00427E7A"/>
    <w:rsid w:val="00427E9B"/>
    <w:rsid w:val="00427ECF"/>
    <w:rsid w:val="00427EF7"/>
    <w:rsid w:val="00427F60"/>
    <w:rsid w:val="00427F61"/>
    <w:rsid w:val="00427FA3"/>
    <w:rsid w:val="00430000"/>
    <w:rsid w:val="0043002A"/>
    <w:rsid w:val="004300C6"/>
    <w:rsid w:val="004300F1"/>
    <w:rsid w:val="004301D9"/>
    <w:rsid w:val="00430248"/>
    <w:rsid w:val="00430283"/>
    <w:rsid w:val="004303BE"/>
    <w:rsid w:val="004304DB"/>
    <w:rsid w:val="00430530"/>
    <w:rsid w:val="00430640"/>
    <w:rsid w:val="0043067D"/>
    <w:rsid w:val="004306CA"/>
    <w:rsid w:val="004306F6"/>
    <w:rsid w:val="0043078D"/>
    <w:rsid w:val="00430885"/>
    <w:rsid w:val="004308B4"/>
    <w:rsid w:val="004308B5"/>
    <w:rsid w:val="004308D2"/>
    <w:rsid w:val="004308E1"/>
    <w:rsid w:val="00430925"/>
    <w:rsid w:val="00430935"/>
    <w:rsid w:val="0043093A"/>
    <w:rsid w:val="00430980"/>
    <w:rsid w:val="004309C4"/>
    <w:rsid w:val="004309C6"/>
    <w:rsid w:val="00430AA1"/>
    <w:rsid w:val="00430ACF"/>
    <w:rsid w:val="00430AD5"/>
    <w:rsid w:val="00430AE5"/>
    <w:rsid w:val="00430B13"/>
    <w:rsid w:val="00430B1C"/>
    <w:rsid w:val="00430B1F"/>
    <w:rsid w:val="00430C5B"/>
    <w:rsid w:val="00430C6C"/>
    <w:rsid w:val="00430C85"/>
    <w:rsid w:val="00430D37"/>
    <w:rsid w:val="00430E04"/>
    <w:rsid w:val="00430E19"/>
    <w:rsid w:val="00430E6A"/>
    <w:rsid w:val="00430F28"/>
    <w:rsid w:val="00430F7E"/>
    <w:rsid w:val="00430FD4"/>
    <w:rsid w:val="0043106B"/>
    <w:rsid w:val="00431099"/>
    <w:rsid w:val="004310B7"/>
    <w:rsid w:val="0043121B"/>
    <w:rsid w:val="0043122A"/>
    <w:rsid w:val="00431255"/>
    <w:rsid w:val="0043128F"/>
    <w:rsid w:val="004312A4"/>
    <w:rsid w:val="004314ED"/>
    <w:rsid w:val="00431503"/>
    <w:rsid w:val="004315D8"/>
    <w:rsid w:val="00431663"/>
    <w:rsid w:val="00431797"/>
    <w:rsid w:val="004317E9"/>
    <w:rsid w:val="00431902"/>
    <w:rsid w:val="00431929"/>
    <w:rsid w:val="00431A1E"/>
    <w:rsid w:val="00431BAE"/>
    <w:rsid w:val="00431BE7"/>
    <w:rsid w:val="00431C0E"/>
    <w:rsid w:val="00431C89"/>
    <w:rsid w:val="00431CCD"/>
    <w:rsid w:val="00431D67"/>
    <w:rsid w:val="00431D8D"/>
    <w:rsid w:val="00431DBF"/>
    <w:rsid w:val="00431E27"/>
    <w:rsid w:val="00431EF4"/>
    <w:rsid w:val="004321A4"/>
    <w:rsid w:val="004321CB"/>
    <w:rsid w:val="00432249"/>
    <w:rsid w:val="0043224C"/>
    <w:rsid w:val="00432296"/>
    <w:rsid w:val="0043232F"/>
    <w:rsid w:val="0043233D"/>
    <w:rsid w:val="004324B2"/>
    <w:rsid w:val="004325CE"/>
    <w:rsid w:val="0043264A"/>
    <w:rsid w:val="00432696"/>
    <w:rsid w:val="00432738"/>
    <w:rsid w:val="00432756"/>
    <w:rsid w:val="004327E8"/>
    <w:rsid w:val="0043285A"/>
    <w:rsid w:val="0043287B"/>
    <w:rsid w:val="004328AE"/>
    <w:rsid w:val="004328D7"/>
    <w:rsid w:val="00432938"/>
    <w:rsid w:val="00432998"/>
    <w:rsid w:val="004329A1"/>
    <w:rsid w:val="004329E9"/>
    <w:rsid w:val="00432AB1"/>
    <w:rsid w:val="00432BB8"/>
    <w:rsid w:val="00432BB9"/>
    <w:rsid w:val="00432C2D"/>
    <w:rsid w:val="00432D41"/>
    <w:rsid w:val="00432DAF"/>
    <w:rsid w:val="00432E13"/>
    <w:rsid w:val="00432ED2"/>
    <w:rsid w:val="00432EDA"/>
    <w:rsid w:val="00432F3F"/>
    <w:rsid w:val="00432FDC"/>
    <w:rsid w:val="00433037"/>
    <w:rsid w:val="00433062"/>
    <w:rsid w:val="004330B7"/>
    <w:rsid w:val="004330F6"/>
    <w:rsid w:val="00433234"/>
    <w:rsid w:val="004332F0"/>
    <w:rsid w:val="004332F7"/>
    <w:rsid w:val="00433324"/>
    <w:rsid w:val="004333A0"/>
    <w:rsid w:val="004333DC"/>
    <w:rsid w:val="00433450"/>
    <w:rsid w:val="0043347D"/>
    <w:rsid w:val="004334EA"/>
    <w:rsid w:val="0043353C"/>
    <w:rsid w:val="00433602"/>
    <w:rsid w:val="00433632"/>
    <w:rsid w:val="004336B6"/>
    <w:rsid w:val="0043372E"/>
    <w:rsid w:val="0043377B"/>
    <w:rsid w:val="004337ED"/>
    <w:rsid w:val="00433892"/>
    <w:rsid w:val="00433898"/>
    <w:rsid w:val="0043398F"/>
    <w:rsid w:val="00433AB1"/>
    <w:rsid w:val="00433BA3"/>
    <w:rsid w:val="00433C47"/>
    <w:rsid w:val="00433DFB"/>
    <w:rsid w:val="00433E79"/>
    <w:rsid w:val="00433F35"/>
    <w:rsid w:val="00434021"/>
    <w:rsid w:val="0043406B"/>
    <w:rsid w:val="00434089"/>
    <w:rsid w:val="004340FD"/>
    <w:rsid w:val="00434240"/>
    <w:rsid w:val="00434244"/>
    <w:rsid w:val="0043427B"/>
    <w:rsid w:val="004343E6"/>
    <w:rsid w:val="00434407"/>
    <w:rsid w:val="0043444F"/>
    <w:rsid w:val="0043446F"/>
    <w:rsid w:val="00434625"/>
    <w:rsid w:val="00434693"/>
    <w:rsid w:val="004346AF"/>
    <w:rsid w:val="004346BE"/>
    <w:rsid w:val="004346C7"/>
    <w:rsid w:val="00434789"/>
    <w:rsid w:val="004348F1"/>
    <w:rsid w:val="004348F9"/>
    <w:rsid w:val="0043495D"/>
    <w:rsid w:val="0043496C"/>
    <w:rsid w:val="004349CA"/>
    <w:rsid w:val="00434B31"/>
    <w:rsid w:val="00434BC4"/>
    <w:rsid w:val="00434BF0"/>
    <w:rsid w:val="00434C59"/>
    <w:rsid w:val="00434CCB"/>
    <w:rsid w:val="00434DA6"/>
    <w:rsid w:val="00434F07"/>
    <w:rsid w:val="00435110"/>
    <w:rsid w:val="00435122"/>
    <w:rsid w:val="00435179"/>
    <w:rsid w:val="004351AD"/>
    <w:rsid w:val="004352F9"/>
    <w:rsid w:val="00435342"/>
    <w:rsid w:val="00435494"/>
    <w:rsid w:val="0043550E"/>
    <w:rsid w:val="00435519"/>
    <w:rsid w:val="0043552C"/>
    <w:rsid w:val="004355B2"/>
    <w:rsid w:val="004355E6"/>
    <w:rsid w:val="0043575C"/>
    <w:rsid w:val="004357B4"/>
    <w:rsid w:val="004357C7"/>
    <w:rsid w:val="00435804"/>
    <w:rsid w:val="00435814"/>
    <w:rsid w:val="0043583A"/>
    <w:rsid w:val="00435866"/>
    <w:rsid w:val="0043589A"/>
    <w:rsid w:val="004358A6"/>
    <w:rsid w:val="004358CD"/>
    <w:rsid w:val="00435948"/>
    <w:rsid w:val="0043598B"/>
    <w:rsid w:val="00435A98"/>
    <w:rsid w:val="00435AEF"/>
    <w:rsid w:val="00435B29"/>
    <w:rsid w:val="00435B67"/>
    <w:rsid w:val="00435BF6"/>
    <w:rsid w:val="00435C7A"/>
    <w:rsid w:val="00435C80"/>
    <w:rsid w:val="00435D5D"/>
    <w:rsid w:val="00435F01"/>
    <w:rsid w:val="00435F0B"/>
    <w:rsid w:val="00435F2A"/>
    <w:rsid w:val="00436089"/>
    <w:rsid w:val="004360DC"/>
    <w:rsid w:val="004360F8"/>
    <w:rsid w:val="0043612C"/>
    <w:rsid w:val="004361D7"/>
    <w:rsid w:val="004362A1"/>
    <w:rsid w:val="00436320"/>
    <w:rsid w:val="00436347"/>
    <w:rsid w:val="00436449"/>
    <w:rsid w:val="00436587"/>
    <w:rsid w:val="004366CC"/>
    <w:rsid w:val="004366FB"/>
    <w:rsid w:val="00436720"/>
    <w:rsid w:val="0043677F"/>
    <w:rsid w:val="004367CD"/>
    <w:rsid w:val="00436AED"/>
    <w:rsid w:val="00436B56"/>
    <w:rsid w:val="00436B62"/>
    <w:rsid w:val="00436B7B"/>
    <w:rsid w:val="00436B95"/>
    <w:rsid w:val="00436BF7"/>
    <w:rsid w:val="00436C20"/>
    <w:rsid w:val="00436C2D"/>
    <w:rsid w:val="00436C31"/>
    <w:rsid w:val="00436C6D"/>
    <w:rsid w:val="00436DC4"/>
    <w:rsid w:val="00436E2D"/>
    <w:rsid w:val="00436E98"/>
    <w:rsid w:val="00437154"/>
    <w:rsid w:val="00437171"/>
    <w:rsid w:val="004371B2"/>
    <w:rsid w:val="004371B8"/>
    <w:rsid w:val="00437207"/>
    <w:rsid w:val="00437283"/>
    <w:rsid w:val="00437349"/>
    <w:rsid w:val="00437381"/>
    <w:rsid w:val="00437400"/>
    <w:rsid w:val="00437489"/>
    <w:rsid w:val="004374DB"/>
    <w:rsid w:val="00437520"/>
    <w:rsid w:val="0043758E"/>
    <w:rsid w:val="00437598"/>
    <w:rsid w:val="00437615"/>
    <w:rsid w:val="0043769D"/>
    <w:rsid w:val="004376F2"/>
    <w:rsid w:val="00437719"/>
    <w:rsid w:val="0043774C"/>
    <w:rsid w:val="0043776F"/>
    <w:rsid w:val="004377FD"/>
    <w:rsid w:val="00437874"/>
    <w:rsid w:val="004378C1"/>
    <w:rsid w:val="00437996"/>
    <w:rsid w:val="0043799C"/>
    <w:rsid w:val="00437B79"/>
    <w:rsid w:val="00437C99"/>
    <w:rsid w:val="00437D3A"/>
    <w:rsid w:val="00437E77"/>
    <w:rsid w:val="0044003C"/>
    <w:rsid w:val="00440054"/>
    <w:rsid w:val="0044008E"/>
    <w:rsid w:val="00440090"/>
    <w:rsid w:val="00440126"/>
    <w:rsid w:val="00440181"/>
    <w:rsid w:val="004401AA"/>
    <w:rsid w:val="00440203"/>
    <w:rsid w:val="00440271"/>
    <w:rsid w:val="004402C3"/>
    <w:rsid w:val="004402D4"/>
    <w:rsid w:val="00440316"/>
    <w:rsid w:val="004403A9"/>
    <w:rsid w:val="0044043D"/>
    <w:rsid w:val="00440459"/>
    <w:rsid w:val="004404E5"/>
    <w:rsid w:val="004405C3"/>
    <w:rsid w:val="00440626"/>
    <w:rsid w:val="004406A8"/>
    <w:rsid w:val="00440759"/>
    <w:rsid w:val="004408F7"/>
    <w:rsid w:val="0044095F"/>
    <w:rsid w:val="004409C7"/>
    <w:rsid w:val="00440A64"/>
    <w:rsid w:val="00440A98"/>
    <w:rsid w:val="00440B4C"/>
    <w:rsid w:val="00440B75"/>
    <w:rsid w:val="00440D27"/>
    <w:rsid w:val="00440DB2"/>
    <w:rsid w:val="00440F5D"/>
    <w:rsid w:val="00440F75"/>
    <w:rsid w:val="00441108"/>
    <w:rsid w:val="00441120"/>
    <w:rsid w:val="00441139"/>
    <w:rsid w:val="0044114E"/>
    <w:rsid w:val="0044115E"/>
    <w:rsid w:val="004411B8"/>
    <w:rsid w:val="00441439"/>
    <w:rsid w:val="004414F1"/>
    <w:rsid w:val="004415DE"/>
    <w:rsid w:val="004415E0"/>
    <w:rsid w:val="00441615"/>
    <w:rsid w:val="00441663"/>
    <w:rsid w:val="004416DB"/>
    <w:rsid w:val="004417C9"/>
    <w:rsid w:val="00441828"/>
    <w:rsid w:val="00441901"/>
    <w:rsid w:val="0044191E"/>
    <w:rsid w:val="00441997"/>
    <w:rsid w:val="00441A3F"/>
    <w:rsid w:val="00441C67"/>
    <w:rsid w:val="00441CD8"/>
    <w:rsid w:val="00441E09"/>
    <w:rsid w:val="00441EB7"/>
    <w:rsid w:val="00441ED4"/>
    <w:rsid w:val="00441F9B"/>
    <w:rsid w:val="00441FB9"/>
    <w:rsid w:val="00442021"/>
    <w:rsid w:val="0044217D"/>
    <w:rsid w:val="0044217E"/>
    <w:rsid w:val="00442197"/>
    <w:rsid w:val="00442279"/>
    <w:rsid w:val="004422AB"/>
    <w:rsid w:val="00442307"/>
    <w:rsid w:val="00442312"/>
    <w:rsid w:val="0044238D"/>
    <w:rsid w:val="004423AD"/>
    <w:rsid w:val="004425C7"/>
    <w:rsid w:val="0044263E"/>
    <w:rsid w:val="00442792"/>
    <w:rsid w:val="0044280E"/>
    <w:rsid w:val="00442922"/>
    <w:rsid w:val="004429DA"/>
    <w:rsid w:val="004429EB"/>
    <w:rsid w:val="00442A01"/>
    <w:rsid w:val="00442AA4"/>
    <w:rsid w:val="00442AA9"/>
    <w:rsid w:val="00442B04"/>
    <w:rsid w:val="00442B44"/>
    <w:rsid w:val="00442BBD"/>
    <w:rsid w:val="00442C3F"/>
    <w:rsid w:val="00442D71"/>
    <w:rsid w:val="00442E1C"/>
    <w:rsid w:val="00442E69"/>
    <w:rsid w:val="00442F4D"/>
    <w:rsid w:val="00442F8F"/>
    <w:rsid w:val="00442F99"/>
    <w:rsid w:val="00442FF7"/>
    <w:rsid w:val="0044300D"/>
    <w:rsid w:val="0044303B"/>
    <w:rsid w:val="00443067"/>
    <w:rsid w:val="004430B8"/>
    <w:rsid w:val="004430BE"/>
    <w:rsid w:val="004430F8"/>
    <w:rsid w:val="00443118"/>
    <w:rsid w:val="0044312C"/>
    <w:rsid w:val="0044318D"/>
    <w:rsid w:val="0044327D"/>
    <w:rsid w:val="00443284"/>
    <w:rsid w:val="0044330F"/>
    <w:rsid w:val="00443324"/>
    <w:rsid w:val="00443468"/>
    <w:rsid w:val="004434A3"/>
    <w:rsid w:val="004435BF"/>
    <w:rsid w:val="00443799"/>
    <w:rsid w:val="0044382F"/>
    <w:rsid w:val="00443836"/>
    <w:rsid w:val="004438DB"/>
    <w:rsid w:val="004438DC"/>
    <w:rsid w:val="004438E3"/>
    <w:rsid w:val="0044390F"/>
    <w:rsid w:val="0044394D"/>
    <w:rsid w:val="00443983"/>
    <w:rsid w:val="00443B49"/>
    <w:rsid w:val="00443B5B"/>
    <w:rsid w:val="00443B70"/>
    <w:rsid w:val="00443BD4"/>
    <w:rsid w:val="00443C61"/>
    <w:rsid w:val="00443DCD"/>
    <w:rsid w:val="00443DD5"/>
    <w:rsid w:val="00443E41"/>
    <w:rsid w:val="00443F16"/>
    <w:rsid w:val="00443F8E"/>
    <w:rsid w:val="00443F94"/>
    <w:rsid w:val="00443F9E"/>
    <w:rsid w:val="00443FA5"/>
    <w:rsid w:val="00443FAE"/>
    <w:rsid w:val="00443FEC"/>
    <w:rsid w:val="0044400E"/>
    <w:rsid w:val="00444034"/>
    <w:rsid w:val="004440A0"/>
    <w:rsid w:val="004440F7"/>
    <w:rsid w:val="004441E2"/>
    <w:rsid w:val="004442D2"/>
    <w:rsid w:val="004443A7"/>
    <w:rsid w:val="00444457"/>
    <w:rsid w:val="0044452E"/>
    <w:rsid w:val="00444541"/>
    <w:rsid w:val="00444568"/>
    <w:rsid w:val="004445BE"/>
    <w:rsid w:val="004445FD"/>
    <w:rsid w:val="00444671"/>
    <w:rsid w:val="004446D4"/>
    <w:rsid w:val="004447BA"/>
    <w:rsid w:val="004447BD"/>
    <w:rsid w:val="00444803"/>
    <w:rsid w:val="0044485A"/>
    <w:rsid w:val="0044497A"/>
    <w:rsid w:val="004449B9"/>
    <w:rsid w:val="00444A99"/>
    <w:rsid w:val="00444B0F"/>
    <w:rsid w:val="00444BB6"/>
    <w:rsid w:val="00444CBA"/>
    <w:rsid w:val="00444D2E"/>
    <w:rsid w:val="00444D3E"/>
    <w:rsid w:val="00444EE4"/>
    <w:rsid w:val="00444F02"/>
    <w:rsid w:val="00444F78"/>
    <w:rsid w:val="00444FD3"/>
    <w:rsid w:val="00445018"/>
    <w:rsid w:val="0044519C"/>
    <w:rsid w:val="004451CD"/>
    <w:rsid w:val="0044534A"/>
    <w:rsid w:val="004453B0"/>
    <w:rsid w:val="00445425"/>
    <w:rsid w:val="00445447"/>
    <w:rsid w:val="00445497"/>
    <w:rsid w:val="00445516"/>
    <w:rsid w:val="004455F9"/>
    <w:rsid w:val="00445680"/>
    <w:rsid w:val="004456F1"/>
    <w:rsid w:val="004456F3"/>
    <w:rsid w:val="00445863"/>
    <w:rsid w:val="004458C8"/>
    <w:rsid w:val="004459A9"/>
    <w:rsid w:val="00445A0C"/>
    <w:rsid w:val="00445ACA"/>
    <w:rsid w:val="00445B1E"/>
    <w:rsid w:val="00445B42"/>
    <w:rsid w:val="00445C3C"/>
    <w:rsid w:val="00445C61"/>
    <w:rsid w:val="00445D1C"/>
    <w:rsid w:val="00445D55"/>
    <w:rsid w:val="00445DC2"/>
    <w:rsid w:val="00445DC4"/>
    <w:rsid w:val="00445EF5"/>
    <w:rsid w:val="0044601D"/>
    <w:rsid w:val="00446153"/>
    <w:rsid w:val="0044618D"/>
    <w:rsid w:val="0044638F"/>
    <w:rsid w:val="00446394"/>
    <w:rsid w:val="004463AC"/>
    <w:rsid w:val="00446454"/>
    <w:rsid w:val="00446464"/>
    <w:rsid w:val="0044648A"/>
    <w:rsid w:val="00446569"/>
    <w:rsid w:val="004465FB"/>
    <w:rsid w:val="004466A6"/>
    <w:rsid w:val="004466FD"/>
    <w:rsid w:val="0044676A"/>
    <w:rsid w:val="004467DA"/>
    <w:rsid w:val="004467DC"/>
    <w:rsid w:val="0044682C"/>
    <w:rsid w:val="00446904"/>
    <w:rsid w:val="00446931"/>
    <w:rsid w:val="00446997"/>
    <w:rsid w:val="004469FD"/>
    <w:rsid w:val="00446A03"/>
    <w:rsid w:val="00446AF8"/>
    <w:rsid w:val="00446B64"/>
    <w:rsid w:val="00446C01"/>
    <w:rsid w:val="00446C3E"/>
    <w:rsid w:val="00446C47"/>
    <w:rsid w:val="00446C6D"/>
    <w:rsid w:val="00446CB2"/>
    <w:rsid w:val="00446CB7"/>
    <w:rsid w:val="00446D2E"/>
    <w:rsid w:val="00446D6C"/>
    <w:rsid w:val="00446DB4"/>
    <w:rsid w:val="00446E94"/>
    <w:rsid w:val="00446EC0"/>
    <w:rsid w:val="00446EC1"/>
    <w:rsid w:val="00446EDB"/>
    <w:rsid w:val="00446F34"/>
    <w:rsid w:val="00446F3B"/>
    <w:rsid w:val="0044704F"/>
    <w:rsid w:val="004470A1"/>
    <w:rsid w:val="004471B6"/>
    <w:rsid w:val="0044725E"/>
    <w:rsid w:val="004472C1"/>
    <w:rsid w:val="00447503"/>
    <w:rsid w:val="00447571"/>
    <w:rsid w:val="0044757A"/>
    <w:rsid w:val="004475F1"/>
    <w:rsid w:val="00447675"/>
    <w:rsid w:val="00447847"/>
    <w:rsid w:val="0044784A"/>
    <w:rsid w:val="00447856"/>
    <w:rsid w:val="004478B5"/>
    <w:rsid w:val="004478EC"/>
    <w:rsid w:val="00447A58"/>
    <w:rsid w:val="00447A5F"/>
    <w:rsid w:val="00447AA9"/>
    <w:rsid w:val="00447AF7"/>
    <w:rsid w:val="00447B31"/>
    <w:rsid w:val="00447B9D"/>
    <w:rsid w:val="00447BB2"/>
    <w:rsid w:val="00447BE8"/>
    <w:rsid w:val="00447C00"/>
    <w:rsid w:val="00447C4F"/>
    <w:rsid w:val="00447C71"/>
    <w:rsid w:val="00447C7E"/>
    <w:rsid w:val="00447CCF"/>
    <w:rsid w:val="00447CDE"/>
    <w:rsid w:val="00447D44"/>
    <w:rsid w:val="00447D7C"/>
    <w:rsid w:val="00447DAB"/>
    <w:rsid w:val="00447DB0"/>
    <w:rsid w:val="00447F68"/>
    <w:rsid w:val="0045006F"/>
    <w:rsid w:val="00450070"/>
    <w:rsid w:val="004500D5"/>
    <w:rsid w:val="004500E3"/>
    <w:rsid w:val="0045014E"/>
    <w:rsid w:val="004501A4"/>
    <w:rsid w:val="004501E1"/>
    <w:rsid w:val="00450212"/>
    <w:rsid w:val="0045021E"/>
    <w:rsid w:val="00450318"/>
    <w:rsid w:val="0045032C"/>
    <w:rsid w:val="00450399"/>
    <w:rsid w:val="004503B1"/>
    <w:rsid w:val="004503C7"/>
    <w:rsid w:val="004503EF"/>
    <w:rsid w:val="0045043C"/>
    <w:rsid w:val="00450467"/>
    <w:rsid w:val="00450479"/>
    <w:rsid w:val="004504D4"/>
    <w:rsid w:val="004504DC"/>
    <w:rsid w:val="00450518"/>
    <w:rsid w:val="0045057E"/>
    <w:rsid w:val="004505E9"/>
    <w:rsid w:val="0045068A"/>
    <w:rsid w:val="004506AC"/>
    <w:rsid w:val="004507F2"/>
    <w:rsid w:val="00450986"/>
    <w:rsid w:val="004509A6"/>
    <w:rsid w:val="00450A69"/>
    <w:rsid w:val="00450A9A"/>
    <w:rsid w:val="00450B1C"/>
    <w:rsid w:val="00450BC3"/>
    <w:rsid w:val="00450C2A"/>
    <w:rsid w:val="00450C83"/>
    <w:rsid w:val="00450CB1"/>
    <w:rsid w:val="00450CB9"/>
    <w:rsid w:val="00450D59"/>
    <w:rsid w:val="00450DD6"/>
    <w:rsid w:val="00450E01"/>
    <w:rsid w:val="00450E0B"/>
    <w:rsid w:val="00450E29"/>
    <w:rsid w:val="00450E5E"/>
    <w:rsid w:val="00450EAF"/>
    <w:rsid w:val="00450F41"/>
    <w:rsid w:val="00450F66"/>
    <w:rsid w:val="00451083"/>
    <w:rsid w:val="004510B6"/>
    <w:rsid w:val="004511FF"/>
    <w:rsid w:val="004512B0"/>
    <w:rsid w:val="00451395"/>
    <w:rsid w:val="0045139E"/>
    <w:rsid w:val="004514F5"/>
    <w:rsid w:val="00451513"/>
    <w:rsid w:val="00451527"/>
    <w:rsid w:val="00451535"/>
    <w:rsid w:val="004515A6"/>
    <w:rsid w:val="00451724"/>
    <w:rsid w:val="004517BA"/>
    <w:rsid w:val="00451833"/>
    <w:rsid w:val="004518D6"/>
    <w:rsid w:val="00451901"/>
    <w:rsid w:val="004519F2"/>
    <w:rsid w:val="004519F8"/>
    <w:rsid w:val="00451A7A"/>
    <w:rsid w:val="00451B01"/>
    <w:rsid w:val="00451B49"/>
    <w:rsid w:val="00451B8F"/>
    <w:rsid w:val="00451BA5"/>
    <w:rsid w:val="00451BAD"/>
    <w:rsid w:val="00451C28"/>
    <w:rsid w:val="00451D5A"/>
    <w:rsid w:val="00451DE1"/>
    <w:rsid w:val="00451E4D"/>
    <w:rsid w:val="00451F69"/>
    <w:rsid w:val="00451FAD"/>
    <w:rsid w:val="00451FC7"/>
    <w:rsid w:val="004520DB"/>
    <w:rsid w:val="0045211C"/>
    <w:rsid w:val="00452183"/>
    <w:rsid w:val="004521B5"/>
    <w:rsid w:val="00452282"/>
    <w:rsid w:val="00452448"/>
    <w:rsid w:val="00452529"/>
    <w:rsid w:val="00452688"/>
    <w:rsid w:val="004526C0"/>
    <w:rsid w:val="0045284B"/>
    <w:rsid w:val="0045284C"/>
    <w:rsid w:val="0045299A"/>
    <w:rsid w:val="0045299C"/>
    <w:rsid w:val="00452A28"/>
    <w:rsid w:val="00452A56"/>
    <w:rsid w:val="00452AD6"/>
    <w:rsid w:val="00452ADC"/>
    <w:rsid w:val="00452C15"/>
    <w:rsid w:val="00452C6A"/>
    <w:rsid w:val="00452CAC"/>
    <w:rsid w:val="00452D7F"/>
    <w:rsid w:val="00452D89"/>
    <w:rsid w:val="00452E12"/>
    <w:rsid w:val="00452E63"/>
    <w:rsid w:val="00452F9A"/>
    <w:rsid w:val="00453013"/>
    <w:rsid w:val="004530B7"/>
    <w:rsid w:val="00453331"/>
    <w:rsid w:val="0045336F"/>
    <w:rsid w:val="00453393"/>
    <w:rsid w:val="004533D6"/>
    <w:rsid w:val="00453402"/>
    <w:rsid w:val="00453442"/>
    <w:rsid w:val="00453464"/>
    <w:rsid w:val="0045348E"/>
    <w:rsid w:val="004534C7"/>
    <w:rsid w:val="004534CE"/>
    <w:rsid w:val="004535DD"/>
    <w:rsid w:val="004536D4"/>
    <w:rsid w:val="00453797"/>
    <w:rsid w:val="004537B8"/>
    <w:rsid w:val="004537C8"/>
    <w:rsid w:val="00453803"/>
    <w:rsid w:val="0045392D"/>
    <w:rsid w:val="00453938"/>
    <w:rsid w:val="00453A56"/>
    <w:rsid w:val="00453AB5"/>
    <w:rsid w:val="00453B4B"/>
    <w:rsid w:val="00453BDF"/>
    <w:rsid w:val="00453C64"/>
    <w:rsid w:val="00453C74"/>
    <w:rsid w:val="00453D0D"/>
    <w:rsid w:val="00453D4E"/>
    <w:rsid w:val="00453D67"/>
    <w:rsid w:val="00453E1C"/>
    <w:rsid w:val="00453F03"/>
    <w:rsid w:val="00454068"/>
    <w:rsid w:val="00454078"/>
    <w:rsid w:val="004540C7"/>
    <w:rsid w:val="004540D1"/>
    <w:rsid w:val="004541BC"/>
    <w:rsid w:val="004542BF"/>
    <w:rsid w:val="004542DB"/>
    <w:rsid w:val="0045432B"/>
    <w:rsid w:val="00454353"/>
    <w:rsid w:val="004543C9"/>
    <w:rsid w:val="0045465A"/>
    <w:rsid w:val="00454661"/>
    <w:rsid w:val="004546ED"/>
    <w:rsid w:val="00454704"/>
    <w:rsid w:val="004547BC"/>
    <w:rsid w:val="004547FC"/>
    <w:rsid w:val="00454839"/>
    <w:rsid w:val="00454901"/>
    <w:rsid w:val="00454932"/>
    <w:rsid w:val="00454AAA"/>
    <w:rsid w:val="00454AB8"/>
    <w:rsid w:val="00454AF4"/>
    <w:rsid w:val="00454B92"/>
    <w:rsid w:val="00454C47"/>
    <w:rsid w:val="00454EC7"/>
    <w:rsid w:val="00454EE3"/>
    <w:rsid w:val="00454FED"/>
    <w:rsid w:val="00454FF4"/>
    <w:rsid w:val="00455064"/>
    <w:rsid w:val="0045509C"/>
    <w:rsid w:val="00455109"/>
    <w:rsid w:val="004551EB"/>
    <w:rsid w:val="00455262"/>
    <w:rsid w:val="00455279"/>
    <w:rsid w:val="004552B4"/>
    <w:rsid w:val="004552C6"/>
    <w:rsid w:val="004552DA"/>
    <w:rsid w:val="0045531E"/>
    <w:rsid w:val="00455327"/>
    <w:rsid w:val="00455393"/>
    <w:rsid w:val="004553C6"/>
    <w:rsid w:val="004555BC"/>
    <w:rsid w:val="0045572A"/>
    <w:rsid w:val="00455731"/>
    <w:rsid w:val="00455781"/>
    <w:rsid w:val="00455792"/>
    <w:rsid w:val="004557E3"/>
    <w:rsid w:val="00455917"/>
    <w:rsid w:val="0045598B"/>
    <w:rsid w:val="004559B3"/>
    <w:rsid w:val="004559E4"/>
    <w:rsid w:val="00455A27"/>
    <w:rsid w:val="00455AD8"/>
    <w:rsid w:val="00455AEF"/>
    <w:rsid w:val="00455BC7"/>
    <w:rsid w:val="00455BE9"/>
    <w:rsid w:val="00455C21"/>
    <w:rsid w:val="00455C22"/>
    <w:rsid w:val="00455DCF"/>
    <w:rsid w:val="00455DFC"/>
    <w:rsid w:val="00455E28"/>
    <w:rsid w:val="00455E60"/>
    <w:rsid w:val="00455F29"/>
    <w:rsid w:val="00455FC9"/>
    <w:rsid w:val="00455FFD"/>
    <w:rsid w:val="0045600F"/>
    <w:rsid w:val="00456039"/>
    <w:rsid w:val="0045609F"/>
    <w:rsid w:val="00456233"/>
    <w:rsid w:val="00456236"/>
    <w:rsid w:val="00456299"/>
    <w:rsid w:val="00456358"/>
    <w:rsid w:val="004563FA"/>
    <w:rsid w:val="00456440"/>
    <w:rsid w:val="00456474"/>
    <w:rsid w:val="00456618"/>
    <w:rsid w:val="0045665A"/>
    <w:rsid w:val="004566DD"/>
    <w:rsid w:val="00456755"/>
    <w:rsid w:val="0045675B"/>
    <w:rsid w:val="004567F5"/>
    <w:rsid w:val="004568CB"/>
    <w:rsid w:val="00456903"/>
    <w:rsid w:val="0045692D"/>
    <w:rsid w:val="004569F2"/>
    <w:rsid w:val="004569F6"/>
    <w:rsid w:val="00456A07"/>
    <w:rsid w:val="00456BC3"/>
    <w:rsid w:val="00456BE2"/>
    <w:rsid w:val="00456C09"/>
    <w:rsid w:val="00456C89"/>
    <w:rsid w:val="00456C9B"/>
    <w:rsid w:val="00456D18"/>
    <w:rsid w:val="00456F67"/>
    <w:rsid w:val="00456FD2"/>
    <w:rsid w:val="0045701F"/>
    <w:rsid w:val="0045704A"/>
    <w:rsid w:val="004570DA"/>
    <w:rsid w:val="004572EF"/>
    <w:rsid w:val="0045730D"/>
    <w:rsid w:val="00457313"/>
    <w:rsid w:val="0045737A"/>
    <w:rsid w:val="004573CA"/>
    <w:rsid w:val="004573D5"/>
    <w:rsid w:val="00457411"/>
    <w:rsid w:val="00457497"/>
    <w:rsid w:val="004574BA"/>
    <w:rsid w:val="004574D7"/>
    <w:rsid w:val="00457525"/>
    <w:rsid w:val="00457541"/>
    <w:rsid w:val="00457549"/>
    <w:rsid w:val="00457676"/>
    <w:rsid w:val="004576FC"/>
    <w:rsid w:val="00457721"/>
    <w:rsid w:val="00457757"/>
    <w:rsid w:val="0045777F"/>
    <w:rsid w:val="004577B3"/>
    <w:rsid w:val="004577E1"/>
    <w:rsid w:val="00457811"/>
    <w:rsid w:val="004578DD"/>
    <w:rsid w:val="0045793F"/>
    <w:rsid w:val="00457957"/>
    <w:rsid w:val="0045795C"/>
    <w:rsid w:val="004579FC"/>
    <w:rsid w:val="00457A2B"/>
    <w:rsid w:val="00457A6F"/>
    <w:rsid w:val="00457A95"/>
    <w:rsid w:val="00457B77"/>
    <w:rsid w:val="00457B89"/>
    <w:rsid w:val="00457BE7"/>
    <w:rsid w:val="00457BEA"/>
    <w:rsid w:val="00457D36"/>
    <w:rsid w:val="00457D9E"/>
    <w:rsid w:val="00457EF5"/>
    <w:rsid w:val="00457F16"/>
    <w:rsid w:val="0046004C"/>
    <w:rsid w:val="00460102"/>
    <w:rsid w:val="00460164"/>
    <w:rsid w:val="00460336"/>
    <w:rsid w:val="004603E8"/>
    <w:rsid w:val="004603F2"/>
    <w:rsid w:val="00460486"/>
    <w:rsid w:val="0046051C"/>
    <w:rsid w:val="00460590"/>
    <w:rsid w:val="00460652"/>
    <w:rsid w:val="0046065A"/>
    <w:rsid w:val="004606B1"/>
    <w:rsid w:val="004606F1"/>
    <w:rsid w:val="0046073F"/>
    <w:rsid w:val="004607EE"/>
    <w:rsid w:val="0046097A"/>
    <w:rsid w:val="004609AA"/>
    <w:rsid w:val="00460B02"/>
    <w:rsid w:val="00460B73"/>
    <w:rsid w:val="00460B86"/>
    <w:rsid w:val="00460B87"/>
    <w:rsid w:val="00460BD2"/>
    <w:rsid w:val="00460BEC"/>
    <w:rsid w:val="00460C04"/>
    <w:rsid w:val="00460C83"/>
    <w:rsid w:val="00460D43"/>
    <w:rsid w:val="00460D44"/>
    <w:rsid w:val="00460DC2"/>
    <w:rsid w:val="00460E4E"/>
    <w:rsid w:val="00460F27"/>
    <w:rsid w:val="00460F35"/>
    <w:rsid w:val="00460F9A"/>
    <w:rsid w:val="00460FF3"/>
    <w:rsid w:val="00460FFE"/>
    <w:rsid w:val="0046107F"/>
    <w:rsid w:val="0046117C"/>
    <w:rsid w:val="004611DE"/>
    <w:rsid w:val="004611F3"/>
    <w:rsid w:val="0046127B"/>
    <w:rsid w:val="00461292"/>
    <w:rsid w:val="004612D4"/>
    <w:rsid w:val="004612EB"/>
    <w:rsid w:val="00461360"/>
    <w:rsid w:val="004614A2"/>
    <w:rsid w:val="0046153A"/>
    <w:rsid w:val="004615EA"/>
    <w:rsid w:val="00461663"/>
    <w:rsid w:val="00461674"/>
    <w:rsid w:val="004616BA"/>
    <w:rsid w:val="004618EC"/>
    <w:rsid w:val="00461967"/>
    <w:rsid w:val="004619BE"/>
    <w:rsid w:val="004619C2"/>
    <w:rsid w:val="004619D3"/>
    <w:rsid w:val="004619FC"/>
    <w:rsid w:val="00461A48"/>
    <w:rsid w:val="00461A68"/>
    <w:rsid w:val="00461AD1"/>
    <w:rsid w:val="00461B51"/>
    <w:rsid w:val="00461B95"/>
    <w:rsid w:val="00461BB1"/>
    <w:rsid w:val="00461D0D"/>
    <w:rsid w:val="00461DCC"/>
    <w:rsid w:val="00461DEB"/>
    <w:rsid w:val="00461EB5"/>
    <w:rsid w:val="00461F9F"/>
    <w:rsid w:val="00461FC3"/>
    <w:rsid w:val="00461FDD"/>
    <w:rsid w:val="00461FFC"/>
    <w:rsid w:val="0046205D"/>
    <w:rsid w:val="0046207A"/>
    <w:rsid w:val="004621AE"/>
    <w:rsid w:val="00462282"/>
    <w:rsid w:val="00462310"/>
    <w:rsid w:val="00462347"/>
    <w:rsid w:val="00462391"/>
    <w:rsid w:val="004623E0"/>
    <w:rsid w:val="004624EC"/>
    <w:rsid w:val="00462588"/>
    <w:rsid w:val="004625DE"/>
    <w:rsid w:val="00462664"/>
    <w:rsid w:val="004628DC"/>
    <w:rsid w:val="004628F4"/>
    <w:rsid w:val="004628F7"/>
    <w:rsid w:val="0046293A"/>
    <w:rsid w:val="004629BA"/>
    <w:rsid w:val="00462A58"/>
    <w:rsid w:val="00462A79"/>
    <w:rsid w:val="00462A9C"/>
    <w:rsid w:val="00462B1A"/>
    <w:rsid w:val="00462B65"/>
    <w:rsid w:val="00462C01"/>
    <w:rsid w:val="00462C22"/>
    <w:rsid w:val="00462C30"/>
    <w:rsid w:val="00462CAD"/>
    <w:rsid w:val="00462D2F"/>
    <w:rsid w:val="00462DFF"/>
    <w:rsid w:val="00462E28"/>
    <w:rsid w:val="00462E4A"/>
    <w:rsid w:val="00462E9B"/>
    <w:rsid w:val="00463068"/>
    <w:rsid w:val="00463093"/>
    <w:rsid w:val="00463168"/>
    <w:rsid w:val="0046316D"/>
    <w:rsid w:val="004631CC"/>
    <w:rsid w:val="004631CF"/>
    <w:rsid w:val="004631D8"/>
    <w:rsid w:val="00463298"/>
    <w:rsid w:val="00463303"/>
    <w:rsid w:val="00463334"/>
    <w:rsid w:val="00463369"/>
    <w:rsid w:val="004634EF"/>
    <w:rsid w:val="00463529"/>
    <w:rsid w:val="00463549"/>
    <w:rsid w:val="00463559"/>
    <w:rsid w:val="0046376F"/>
    <w:rsid w:val="00463995"/>
    <w:rsid w:val="004639A1"/>
    <w:rsid w:val="004639E9"/>
    <w:rsid w:val="00463A5C"/>
    <w:rsid w:val="00463C3D"/>
    <w:rsid w:val="00463CBD"/>
    <w:rsid w:val="00463E27"/>
    <w:rsid w:val="00463E39"/>
    <w:rsid w:val="00463E9E"/>
    <w:rsid w:val="00463F83"/>
    <w:rsid w:val="00463FFD"/>
    <w:rsid w:val="00464093"/>
    <w:rsid w:val="0046415F"/>
    <w:rsid w:val="0046419C"/>
    <w:rsid w:val="004641A4"/>
    <w:rsid w:val="004641D7"/>
    <w:rsid w:val="00464388"/>
    <w:rsid w:val="004644AA"/>
    <w:rsid w:val="0046451A"/>
    <w:rsid w:val="004645C4"/>
    <w:rsid w:val="004645DC"/>
    <w:rsid w:val="0046464D"/>
    <w:rsid w:val="00464781"/>
    <w:rsid w:val="004648C6"/>
    <w:rsid w:val="00464910"/>
    <w:rsid w:val="004649D4"/>
    <w:rsid w:val="004649D5"/>
    <w:rsid w:val="00464A2B"/>
    <w:rsid w:val="00464B24"/>
    <w:rsid w:val="00464B85"/>
    <w:rsid w:val="00464BF0"/>
    <w:rsid w:val="00464C01"/>
    <w:rsid w:val="00464CD2"/>
    <w:rsid w:val="00464CF7"/>
    <w:rsid w:val="00464DFA"/>
    <w:rsid w:val="00464E11"/>
    <w:rsid w:val="00464E28"/>
    <w:rsid w:val="00464E2A"/>
    <w:rsid w:val="00464F66"/>
    <w:rsid w:val="00464FE8"/>
    <w:rsid w:val="0046508E"/>
    <w:rsid w:val="00465105"/>
    <w:rsid w:val="00465197"/>
    <w:rsid w:val="004651A9"/>
    <w:rsid w:val="004651D3"/>
    <w:rsid w:val="00465210"/>
    <w:rsid w:val="004652CF"/>
    <w:rsid w:val="00465392"/>
    <w:rsid w:val="0046549B"/>
    <w:rsid w:val="004654B3"/>
    <w:rsid w:val="004654C7"/>
    <w:rsid w:val="00465580"/>
    <w:rsid w:val="00465762"/>
    <w:rsid w:val="004657E7"/>
    <w:rsid w:val="004658DE"/>
    <w:rsid w:val="004658FA"/>
    <w:rsid w:val="0046591D"/>
    <w:rsid w:val="0046595C"/>
    <w:rsid w:val="00465A80"/>
    <w:rsid w:val="00465A86"/>
    <w:rsid w:val="00465A8E"/>
    <w:rsid w:val="00465AE2"/>
    <w:rsid w:val="00465B1A"/>
    <w:rsid w:val="00465B67"/>
    <w:rsid w:val="00465BA0"/>
    <w:rsid w:val="00465BEE"/>
    <w:rsid w:val="00465C2C"/>
    <w:rsid w:val="00465CAD"/>
    <w:rsid w:val="00465DB4"/>
    <w:rsid w:val="00465E93"/>
    <w:rsid w:val="00465F18"/>
    <w:rsid w:val="0046607B"/>
    <w:rsid w:val="0046617A"/>
    <w:rsid w:val="00466243"/>
    <w:rsid w:val="0046628D"/>
    <w:rsid w:val="00466339"/>
    <w:rsid w:val="00466358"/>
    <w:rsid w:val="004663D7"/>
    <w:rsid w:val="004663E7"/>
    <w:rsid w:val="0046640B"/>
    <w:rsid w:val="004664E5"/>
    <w:rsid w:val="00466517"/>
    <w:rsid w:val="00466657"/>
    <w:rsid w:val="00466742"/>
    <w:rsid w:val="0046676A"/>
    <w:rsid w:val="004667AD"/>
    <w:rsid w:val="004667C0"/>
    <w:rsid w:val="004667C5"/>
    <w:rsid w:val="00466AFD"/>
    <w:rsid w:val="00466B27"/>
    <w:rsid w:val="00466B3F"/>
    <w:rsid w:val="00466BD4"/>
    <w:rsid w:val="00466C16"/>
    <w:rsid w:val="00466C18"/>
    <w:rsid w:val="00466D11"/>
    <w:rsid w:val="00466D9F"/>
    <w:rsid w:val="00466DC4"/>
    <w:rsid w:val="00466E38"/>
    <w:rsid w:val="00466EBC"/>
    <w:rsid w:val="00466F0A"/>
    <w:rsid w:val="0046706C"/>
    <w:rsid w:val="00467140"/>
    <w:rsid w:val="004671E8"/>
    <w:rsid w:val="00467230"/>
    <w:rsid w:val="004672FB"/>
    <w:rsid w:val="00467318"/>
    <w:rsid w:val="00467337"/>
    <w:rsid w:val="00467348"/>
    <w:rsid w:val="00467418"/>
    <w:rsid w:val="00467474"/>
    <w:rsid w:val="0046747C"/>
    <w:rsid w:val="004674BA"/>
    <w:rsid w:val="0046754D"/>
    <w:rsid w:val="004675B5"/>
    <w:rsid w:val="004675DD"/>
    <w:rsid w:val="004675EE"/>
    <w:rsid w:val="00467672"/>
    <w:rsid w:val="004676F4"/>
    <w:rsid w:val="00467837"/>
    <w:rsid w:val="00467904"/>
    <w:rsid w:val="00467933"/>
    <w:rsid w:val="00467B03"/>
    <w:rsid w:val="00467C19"/>
    <w:rsid w:val="00467CC9"/>
    <w:rsid w:val="00467CEA"/>
    <w:rsid w:val="00467DF9"/>
    <w:rsid w:val="00467E02"/>
    <w:rsid w:val="00467E10"/>
    <w:rsid w:val="00467E11"/>
    <w:rsid w:val="00467F47"/>
    <w:rsid w:val="00467F92"/>
    <w:rsid w:val="00467FC3"/>
    <w:rsid w:val="00470036"/>
    <w:rsid w:val="0047006E"/>
    <w:rsid w:val="00470085"/>
    <w:rsid w:val="0047016B"/>
    <w:rsid w:val="0047020C"/>
    <w:rsid w:val="0047026B"/>
    <w:rsid w:val="00470277"/>
    <w:rsid w:val="0047031C"/>
    <w:rsid w:val="004703BC"/>
    <w:rsid w:val="00470427"/>
    <w:rsid w:val="00470449"/>
    <w:rsid w:val="0047049E"/>
    <w:rsid w:val="004704BE"/>
    <w:rsid w:val="004704D3"/>
    <w:rsid w:val="00470536"/>
    <w:rsid w:val="0047053B"/>
    <w:rsid w:val="00470586"/>
    <w:rsid w:val="004706BC"/>
    <w:rsid w:val="00470728"/>
    <w:rsid w:val="0047073D"/>
    <w:rsid w:val="00470793"/>
    <w:rsid w:val="004707AE"/>
    <w:rsid w:val="00470824"/>
    <w:rsid w:val="00470834"/>
    <w:rsid w:val="00470897"/>
    <w:rsid w:val="004708F8"/>
    <w:rsid w:val="004708FB"/>
    <w:rsid w:val="00470920"/>
    <w:rsid w:val="0047093E"/>
    <w:rsid w:val="0047098D"/>
    <w:rsid w:val="00470B46"/>
    <w:rsid w:val="00470BE9"/>
    <w:rsid w:val="00470BFA"/>
    <w:rsid w:val="00470C3B"/>
    <w:rsid w:val="00470CF0"/>
    <w:rsid w:val="00470E1D"/>
    <w:rsid w:val="00470E86"/>
    <w:rsid w:val="00470EEF"/>
    <w:rsid w:val="00470F75"/>
    <w:rsid w:val="00470FBD"/>
    <w:rsid w:val="00470FD1"/>
    <w:rsid w:val="0047108E"/>
    <w:rsid w:val="004710DA"/>
    <w:rsid w:val="0047111A"/>
    <w:rsid w:val="00471166"/>
    <w:rsid w:val="0047117E"/>
    <w:rsid w:val="004711A2"/>
    <w:rsid w:val="00471300"/>
    <w:rsid w:val="004714A2"/>
    <w:rsid w:val="0047155C"/>
    <w:rsid w:val="0047158F"/>
    <w:rsid w:val="004715C8"/>
    <w:rsid w:val="004716F4"/>
    <w:rsid w:val="004717DD"/>
    <w:rsid w:val="004718B9"/>
    <w:rsid w:val="004718DD"/>
    <w:rsid w:val="00471A72"/>
    <w:rsid w:val="00471AA8"/>
    <w:rsid w:val="00471AC1"/>
    <w:rsid w:val="00471AEA"/>
    <w:rsid w:val="00471B4D"/>
    <w:rsid w:val="00471C2C"/>
    <w:rsid w:val="00471C2D"/>
    <w:rsid w:val="00471D95"/>
    <w:rsid w:val="00471DB6"/>
    <w:rsid w:val="00471DCC"/>
    <w:rsid w:val="00471E15"/>
    <w:rsid w:val="00471E1A"/>
    <w:rsid w:val="00471E22"/>
    <w:rsid w:val="00471EFA"/>
    <w:rsid w:val="00471F03"/>
    <w:rsid w:val="00471F56"/>
    <w:rsid w:val="00471FA2"/>
    <w:rsid w:val="0047203A"/>
    <w:rsid w:val="00472083"/>
    <w:rsid w:val="004720BE"/>
    <w:rsid w:val="00472184"/>
    <w:rsid w:val="004721BE"/>
    <w:rsid w:val="004722B0"/>
    <w:rsid w:val="004722D0"/>
    <w:rsid w:val="00472549"/>
    <w:rsid w:val="00472557"/>
    <w:rsid w:val="0047256D"/>
    <w:rsid w:val="00472619"/>
    <w:rsid w:val="00472642"/>
    <w:rsid w:val="004726F5"/>
    <w:rsid w:val="00472742"/>
    <w:rsid w:val="0047291B"/>
    <w:rsid w:val="00472988"/>
    <w:rsid w:val="00472A2A"/>
    <w:rsid w:val="00472B90"/>
    <w:rsid w:val="00472BB4"/>
    <w:rsid w:val="00472C5A"/>
    <w:rsid w:val="00472C62"/>
    <w:rsid w:val="00472CA4"/>
    <w:rsid w:val="00472CB1"/>
    <w:rsid w:val="00472CB2"/>
    <w:rsid w:val="00472D31"/>
    <w:rsid w:val="00472D97"/>
    <w:rsid w:val="00472D9A"/>
    <w:rsid w:val="00472E1A"/>
    <w:rsid w:val="00472F77"/>
    <w:rsid w:val="00472FF2"/>
    <w:rsid w:val="0047313A"/>
    <w:rsid w:val="004731AC"/>
    <w:rsid w:val="004732BB"/>
    <w:rsid w:val="004733D2"/>
    <w:rsid w:val="00473439"/>
    <w:rsid w:val="004734AF"/>
    <w:rsid w:val="00473506"/>
    <w:rsid w:val="004735EE"/>
    <w:rsid w:val="00473638"/>
    <w:rsid w:val="00473642"/>
    <w:rsid w:val="00473719"/>
    <w:rsid w:val="0047373D"/>
    <w:rsid w:val="004737B2"/>
    <w:rsid w:val="004737C0"/>
    <w:rsid w:val="004737DC"/>
    <w:rsid w:val="004737E8"/>
    <w:rsid w:val="00473870"/>
    <w:rsid w:val="004739DE"/>
    <w:rsid w:val="00473AA5"/>
    <w:rsid w:val="00473AAE"/>
    <w:rsid w:val="00473AB5"/>
    <w:rsid w:val="00473B42"/>
    <w:rsid w:val="00473BB4"/>
    <w:rsid w:val="00473C6E"/>
    <w:rsid w:val="00473C7A"/>
    <w:rsid w:val="00473C92"/>
    <w:rsid w:val="00473D3F"/>
    <w:rsid w:val="00473E08"/>
    <w:rsid w:val="00473E78"/>
    <w:rsid w:val="00473ED7"/>
    <w:rsid w:val="00473F5A"/>
    <w:rsid w:val="00474095"/>
    <w:rsid w:val="0047412A"/>
    <w:rsid w:val="0047413F"/>
    <w:rsid w:val="004741BD"/>
    <w:rsid w:val="00474251"/>
    <w:rsid w:val="004742DC"/>
    <w:rsid w:val="004742FF"/>
    <w:rsid w:val="00474306"/>
    <w:rsid w:val="00474312"/>
    <w:rsid w:val="00474362"/>
    <w:rsid w:val="004743A1"/>
    <w:rsid w:val="004743C1"/>
    <w:rsid w:val="00474463"/>
    <w:rsid w:val="004744CC"/>
    <w:rsid w:val="00474709"/>
    <w:rsid w:val="00474729"/>
    <w:rsid w:val="004749B9"/>
    <w:rsid w:val="004749E1"/>
    <w:rsid w:val="00474B0E"/>
    <w:rsid w:val="00474BCC"/>
    <w:rsid w:val="00474BCE"/>
    <w:rsid w:val="00474C52"/>
    <w:rsid w:val="00474CC1"/>
    <w:rsid w:val="00474CF8"/>
    <w:rsid w:val="00474D66"/>
    <w:rsid w:val="00474F31"/>
    <w:rsid w:val="00474FE4"/>
    <w:rsid w:val="00475038"/>
    <w:rsid w:val="004750AF"/>
    <w:rsid w:val="0047524E"/>
    <w:rsid w:val="00475368"/>
    <w:rsid w:val="004753EF"/>
    <w:rsid w:val="004754BC"/>
    <w:rsid w:val="004754C3"/>
    <w:rsid w:val="004755EE"/>
    <w:rsid w:val="0047575F"/>
    <w:rsid w:val="0047580C"/>
    <w:rsid w:val="00475833"/>
    <w:rsid w:val="0047588F"/>
    <w:rsid w:val="0047592B"/>
    <w:rsid w:val="0047592F"/>
    <w:rsid w:val="00475978"/>
    <w:rsid w:val="00475A17"/>
    <w:rsid w:val="00475A3A"/>
    <w:rsid w:val="00475A3C"/>
    <w:rsid w:val="00475CAD"/>
    <w:rsid w:val="00475CDB"/>
    <w:rsid w:val="00475D96"/>
    <w:rsid w:val="00476176"/>
    <w:rsid w:val="004761DC"/>
    <w:rsid w:val="0047627C"/>
    <w:rsid w:val="00476446"/>
    <w:rsid w:val="00476471"/>
    <w:rsid w:val="004764C8"/>
    <w:rsid w:val="00476538"/>
    <w:rsid w:val="0047656C"/>
    <w:rsid w:val="00476661"/>
    <w:rsid w:val="0047669A"/>
    <w:rsid w:val="004766F7"/>
    <w:rsid w:val="00476735"/>
    <w:rsid w:val="00476893"/>
    <w:rsid w:val="00476912"/>
    <w:rsid w:val="004769E9"/>
    <w:rsid w:val="00476A85"/>
    <w:rsid w:val="00476A87"/>
    <w:rsid w:val="00476AF5"/>
    <w:rsid w:val="00476CC1"/>
    <w:rsid w:val="00476D91"/>
    <w:rsid w:val="00476DC2"/>
    <w:rsid w:val="00476E3E"/>
    <w:rsid w:val="00476E53"/>
    <w:rsid w:val="00476ECA"/>
    <w:rsid w:val="00476F43"/>
    <w:rsid w:val="0047703E"/>
    <w:rsid w:val="0047705B"/>
    <w:rsid w:val="0047711E"/>
    <w:rsid w:val="00477127"/>
    <w:rsid w:val="0047713F"/>
    <w:rsid w:val="0047716B"/>
    <w:rsid w:val="0047748A"/>
    <w:rsid w:val="004776D4"/>
    <w:rsid w:val="00477707"/>
    <w:rsid w:val="00477737"/>
    <w:rsid w:val="004777AA"/>
    <w:rsid w:val="004777BE"/>
    <w:rsid w:val="0047787D"/>
    <w:rsid w:val="004778A7"/>
    <w:rsid w:val="00477935"/>
    <w:rsid w:val="0047794B"/>
    <w:rsid w:val="0047799F"/>
    <w:rsid w:val="004779B2"/>
    <w:rsid w:val="00477A40"/>
    <w:rsid w:val="00477A5B"/>
    <w:rsid w:val="00477A9E"/>
    <w:rsid w:val="00477AEC"/>
    <w:rsid w:val="00477B79"/>
    <w:rsid w:val="00477B7D"/>
    <w:rsid w:val="00477BB2"/>
    <w:rsid w:val="00477C95"/>
    <w:rsid w:val="00477CE3"/>
    <w:rsid w:val="00477D33"/>
    <w:rsid w:val="00477E56"/>
    <w:rsid w:val="00477EC3"/>
    <w:rsid w:val="00477F33"/>
    <w:rsid w:val="00477F78"/>
    <w:rsid w:val="00477FC8"/>
    <w:rsid w:val="0048001A"/>
    <w:rsid w:val="00480047"/>
    <w:rsid w:val="00480081"/>
    <w:rsid w:val="00480198"/>
    <w:rsid w:val="004801D2"/>
    <w:rsid w:val="00480210"/>
    <w:rsid w:val="00480283"/>
    <w:rsid w:val="00480352"/>
    <w:rsid w:val="00480382"/>
    <w:rsid w:val="00480427"/>
    <w:rsid w:val="0048047E"/>
    <w:rsid w:val="004804AE"/>
    <w:rsid w:val="004804B6"/>
    <w:rsid w:val="004804FA"/>
    <w:rsid w:val="00480538"/>
    <w:rsid w:val="00480552"/>
    <w:rsid w:val="00480581"/>
    <w:rsid w:val="004805C4"/>
    <w:rsid w:val="004805D9"/>
    <w:rsid w:val="00480606"/>
    <w:rsid w:val="00480623"/>
    <w:rsid w:val="00480644"/>
    <w:rsid w:val="00480661"/>
    <w:rsid w:val="004807D4"/>
    <w:rsid w:val="0048080A"/>
    <w:rsid w:val="00480995"/>
    <w:rsid w:val="00480997"/>
    <w:rsid w:val="004809A5"/>
    <w:rsid w:val="00480A20"/>
    <w:rsid w:val="00480A4B"/>
    <w:rsid w:val="00480A66"/>
    <w:rsid w:val="00480AAB"/>
    <w:rsid w:val="00480B09"/>
    <w:rsid w:val="00480B24"/>
    <w:rsid w:val="00480BB6"/>
    <w:rsid w:val="00480C27"/>
    <w:rsid w:val="00480C46"/>
    <w:rsid w:val="00480C5E"/>
    <w:rsid w:val="00480DC6"/>
    <w:rsid w:val="00480ED2"/>
    <w:rsid w:val="00480F1B"/>
    <w:rsid w:val="00480F65"/>
    <w:rsid w:val="00480F89"/>
    <w:rsid w:val="00481159"/>
    <w:rsid w:val="004811D8"/>
    <w:rsid w:val="0048127C"/>
    <w:rsid w:val="004812DB"/>
    <w:rsid w:val="0048134B"/>
    <w:rsid w:val="00481351"/>
    <w:rsid w:val="004814F0"/>
    <w:rsid w:val="0048158E"/>
    <w:rsid w:val="00481711"/>
    <w:rsid w:val="00481799"/>
    <w:rsid w:val="004817D8"/>
    <w:rsid w:val="0048183B"/>
    <w:rsid w:val="004818E3"/>
    <w:rsid w:val="004818FC"/>
    <w:rsid w:val="00481974"/>
    <w:rsid w:val="004819F6"/>
    <w:rsid w:val="004819FB"/>
    <w:rsid w:val="00481AA2"/>
    <w:rsid w:val="00481AB8"/>
    <w:rsid w:val="00481AF8"/>
    <w:rsid w:val="00481B00"/>
    <w:rsid w:val="00481BC8"/>
    <w:rsid w:val="00481C31"/>
    <w:rsid w:val="00481D2A"/>
    <w:rsid w:val="00481E38"/>
    <w:rsid w:val="00481E9D"/>
    <w:rsid w:val="00481EFE"/>
    <w:rsid w:val="00481F83"/>
    <w:rsid w:val="0048209E"/>
    <w:rsid w:val="004820CE"/>
    <w:rsid w:val="0048214F"/>
    <w:rsid w:val="00482231"/>
    <w:rsid w:val="00482294"/>
    <w:rsid w:val="004822E2"/>
    <w:rsid w:val="004822F2"/>
    <w:rsid w:val="00482301"/>
    <w:rsid w:val="00482321"/>
    <w:rsid w:val="00482356"/>
    <w:rsid w:val="0048243B"/>
    <w:rsid w:val="0048248D"/>
    <w:rsid w:val="00482560"/>
    <w:rsid w:val="00482579"/>
    <w:rsid w:val="0048264A"/>
    <w:rsid w:val="004826D9"/>
    <w:rsid w:val="00482701"/>
    <w:rsid w:val="004827B5"/>
    <w:rsid w:val="0048289E"/>
    <w:rsid w:val="00482934"/>
    <w:rsid w:val="00482994"/>
    <w:rsid w:val="004829ED"/>
    <w:rsid w:val="00482A48"/>
    <w:rsid w:val="00482A9D"/>
    <w:rsid w:val="00482ACF"/>
    <w:rsid w:val="00482ADF"/>
    <w:rsid w:val="00482AF2"/>
    <w:rsid w:val="00482C2D"/>
    <w:rsid w:val="00482C65"/>
    <w:rsid w:val="00482C80"/>
    <w:rsid w:val="00482D1C"/>
    <w:rsid w:val="00482DF4"/>
    <w:rsid w:val="00482E1B"/>
    <w:rsid w:val="00482E81"/>
    <w:rsid w:val="00482E8E"/>
    <w:rsid w:val="00482F4F"/>
    <w:rsid w:val="00482FD7"/>
    <w:rsid w:val="0048302E"/>
    <w:rsid w:val="0048311B"/>
    <w:rsid w:val="0048314C"/>
    <w:rsid w:val="0048322C"/>
    <w:rsid w:val="004832F0"/>
    <w:rsid w:val="0048338B"/>
    <w:rsid w:val="00483427"/>
    <w:rsid w:val="00483429"/>
    <w:rsid w:val="00483485"/>
    <w:rsid w:val="00483491"/>
    <w:rsid w:val="004834FE"/>
    <w:rsid w:val="00483580"/>
    <w:rsid w:val="0048358A"/>
    <w:rsid w:val="004835BF"/>
    <w:rsid w:val="0048374B"/>
    <w:rsid w:val="00483757"/>
    <w:rsid w:val="004837B8"/>
    <w:rsid w:val="00483809"/>
    <w:rsid w:val="004838BB"/>
    <w:rsid w:val="004839C9"/>
    <w:rsid w:val="00483A38"/>
    <w:rsid w:val="00483AE8"/>
    <w:rsid w:val="00483AF8"/>
    <w:rsid w:val="00483B59"/>
    <w:rsid w:val="00483BEE"/>
    <w:rsid w:val="00483BFE"/>
    <w:rsid w:val="00483C1A"/>
    <w:rsid w:val="00483D1B"/>
    <w:rsid w:val="00483D2C"/>
    <w:rsid w:val="00483DBC"/>
    <w:rsid w:val="00483E89"/>
    <w:rsid w:val="00483EB9"/>
    <w:rsid w:val="00483ECA"/>
    <w:rsid w:val="00483EE6"/>
    <w:rsid w:val="00483F0E"/>
    <w:rsid w:val="00484003"/>
    <w:rsid w:val="00484008"/>
    <w:rsid w:val="0048403A"/>
    <w:rsid w:val="00484056"/>
    <w:rsid w:val="004840A5"/>
    <w:rsid w:val="00484100"/>
    <w:rsid w:val="00484138"/>
    <w:rsid w:val="004841B2"/>
    <w:rsid w:val="004841FB"/>
    <w:rsid w:val="0048420C"/>
    <w:rsid w:val="004842FB"/>
    <w:rsid w:val="0048442C"/>
    <w:rsid w:val="00484468"/>
    <w:rsid w:val="00484497"/>
    <w:rsid w:val="00484569"/>
    <w:rsid w:val="00484599"/>
    <w:rsid w:val="0048459B"/>
    <w:rsid w:val="00484695"/>
    <w:rsid w:val="004846BE"/>
    <w:rsid w:val="0048470C"/>
    <w:rsid w:val="00484790"/>
    <w:rsid w:val="004847D6"/>
    <w:rsid w:val="00484823"/>
    <w:rsid w:val="00484826"/>
    <w:rsid w:val="00484869"/>
    <w:rsid w:val="0048490A"/>
    <w:rsid w:val="0048490B"/>
    <w:rsid w:val="00484919"/>
    <w:rsid w:val="00484AB1"/>
    <w:rsid w:val="00484B0D"/>
    <w:rsid w:val="00484B67"/>
    <w:rsid w:val="00484B71"/>
    <w:rsid w:val="00484D6F"/>
    <w:rsid w:val="00484E71"/>
    <w:rsid w:val="00485014"/>
    <w:rsid w:val="00485091"/>
    <w:rsid w:val="00485157"/>
    <w:rsid w:val="0048523B"/>
    <w:rsid w:val="0048539C"/>
    <w:rsid w:val="004854B6"/>
    <w:rsid w:val="004854E1"/>
    <w:rsid w:val="004855B0"/>
    <w:rsid w:val="0048562B"/>
    <w:rsid w:val="0048562C"/>
    <w:rsid w:val="0048564F"/>
    <w:rsid w:val="004856AB"/>
    <w:rsid w:val="004856E1"/>
    <w:rsid w:val="0048571A"/>
    <w:rsid w:val="0048577A"/>
    <w:rsid w:val="0048581A"/>
    <w:rsid w:val="0048586C"/>
    <w:rsid w:val="00485904"/>
    <w:rsid w:val="0048590D"/>
    <w:rsid w:val="00485A18"/>
    <w:rsid w:val="00485ACC"/>
    <w:rsid w:val="00485AED"/>
    <w:rsid w:val="00485B74"/>
    <w:rsid w:val="00485B8F"/>
    <w:rsid w:val="00485C5E"/>
    <w:rsid w:val="00485D11"/>
    <w:rsid w:val="00485D9E"/>
    <w:rsid w:val="00485F29"/>
    <w:rsid w:val="00485FD3"/>
    <w:rsid w:val="00485FD7"/>
    <w:rsid w:val="00486055"/>
    <w:rsid w:val="00486102"/>
    <w:rsid w:val="00486134"/>
    <w:rsid w:val="00486183"/>
    <w:rsid w:val="004862DB"/>
    <w:rsid w:val="00486359"/>
    <w:rsid w:val="00486381"/>
    <w:rsid w:val="00486629"/>
    <w:rsid w:val="00486647"/>
    <w:rsid w:val="0048673D"/>
    <w:rsid w:val="004867EF"/>
    <w:rsid w:val="0048681A"/>
    <w:rsid w:val="0048686E"/>
    <w:rsid w:val="004868B3"/>
    <w:rsid w:val="00486C53"/>
    <w:rsid w:val="00486DDD"/>
    <w:rsid w:val="00486DE5"/>
    <w:rsid w:val="00486E9E"/>
    <w:rsid w:val="00486F71"/>
    <w:rsid w:val="00486FDA"/>
    <w:rsid w:val="00487003"/>
    <w:rsid w:val="0048701E"/>
    <w:rsid w:val="004870C8"/>
    <w:rsid w:val="004870F8"/>
    <w:rsid w:val="0048713B"/>
    <w:rsid w:val="00487160"/>
    <w:rsid w:val="0048716C"/>
    <w:rsid w:val="00487271"/>
    <w:rsid w:val="0048729B"/>
    <w:rsid w:val="004872AC"/>
    <w:rsid w:val="004872D9"/>
    <w:rsid w:val="00487309"/>
    <w:rsid w:val="00487341"/>
    <w:rsid w:val="00487376"/>
    <w:rsid w:val="004873AF"/>
    <w:rsid w:val="00487458"/>
    <w:rsid w:val="004874FC"/>
    <w:rsid w:val="004875AD"/>
    <w:rsid w:val="004875AE"/>
    <w:rsid w:val="00487701"/>
    <w:rsid w:val="00487822"/>
    <w:rsid w:val="00487890"/>
    <w:rsid w:val="00487953"/>
    <w:rsid w:val="00487A22"/>
    <w:rsid w:val="00487A2F"/>
    <w:rsid w:val="00487A6D"/>
    <w:rsid w:val="00487B16"/>
    <w:rsid w:val="00487B51"/>
    <w:rsid w:val="00487D53"/>
    <w:rsid w:val="00487F43"/>
    <w:rsid w:val="00487F87"/>
    <w:rsid w:val="00487FF4"/>
    <w:rsid w:val="00490065"/>
    <w:rsid w:val="00490070"/>
    <w:rsid w:val="00490104"/>
    <w:rsid w:val="00490189"/>
    <w:rsid w:val="00490234"/>
    <w:rsid w:val="00490277"/>
    <w:rsid w:val="004902F4"/>
    <w:rsid w:val="00490324"/>
    <w:rsid w:val="0049034C"/>
    <w:rsid w:val="0049036B"/>
    <w:rsid w:val="00490398"/>
    <w:rsid w:val="004903E0"/>
    <w:rsid w:val="00490424"/>
    <w:rsid w:val="0049050F"/>
    <w:rsid w:val="0049056B"/>
    <w:rsid w:val="0049059F"/>
    <w:rsid w:val="00490646"/>
    <w:rsid w:val="00490680"/>
    <w:rsid w:val="00490692"/>
    <w:rsid w:val="004906A1"/>
    <w:rsid w:val="004906DE"/>
    <w:rsid w:val="004907E8"/>
    <w:rsid w:val="00490873"/>
    <w:rsid w:val="004908EB"/>
    <w:rsid w:val="0049095F"/>
    <w:rsid w:val="00490985"/>
    <w:rsid w:val="004909A7"/>
    <w:rsid w:val="00490AE5"/>
    <w:rsid w:val="00490B4A"/>
    <w:rsid w:val="00490BB4"/>
    <w:rsid w:val="00490BFC"/>
    <w:rsid w:val="00490C66"/>
    <w:rsid w:val="00490CFB"/>
    <w:rsid w:val="00490D03"/>
    <w:rsid w:val="00490D94"/>
    <w:rsid w:val="00490DF5"/>
    <w:rsid w:val="00490ECF"/>
    <w:rsid w:val="00490F9A"/>
    <w:rsid w:val="00491018"/>
    <w:rsid w:val="00491100"/>
    <w:rsid w:val="00491144"/>
    <w:rsid w:val="0049115D"/>
    <w:rsid w:val="00491166"/>
    <w:rsid w:val="00491206"/>
    <w:rsid w:val="00491264"/>
    <w:rsid w:val="00491326"/>
    <w:rsid w:val="00491370"/>
    <w:rsid w:val="00491376"/>
    <w:rsid w:val="004913E2"/>
    <w:rsid w:val="0049140B"/>
    <w:rsid w:val="004914D9"/>
    <w:rsid w:val="0049150B"/>
    <w:rsid w:val="00491609"/>
    <w:rsid w:val="00491646"/>
    <w:rsid w:val="00491649"/>
    <w:rsid w:val="004916DC"/>
    <w:rsid w:val="0049170A"/>
    <w:rsid w:val="004917A9"/>
    <w:rsid w:val="004917F1"/>
    <w:rsid w:val="0049190D"/>
    <w:rsid w:val="0049192C"/>
    <w:rsid w:val="0049195B"/>
    <w:rsid w:val="00491986"/>
    <w:rsid w:val="004919CD"/>
    <w:rsid w:val="00491A4D"/>
    <w:rsid w:val="00491AB8"/>
    <w:rsid w:val="00491ACD"/>
    <w:rsid w:val="00491B44"/>
    <w:rsid w:val="00491D4A"/>
    <w:rsid w:val="00491E3C"/>
    <w:rsid w:val="00491E48"/>
    <w:rsid w:val="00491E63"/>
    <w:rsid w:val="00491E6E"/>
    <w:rsid w:val="00491F19"/>
    <w:rsid w:val="00491F1D"/>
    <w:rsid w:val="00492087"/>
    <w:rsid w:val="004920A6"/>
    <w:rsid w:val="004920AB"/>
    <w:rsid w:val="0049216B"/>
    <w:rsid w:val="00492182"/>
    <w:rsid w:val="004921FE"/>
    <w:rsid w:val="00492250"/>
    <w:rsid w:val="004922FC"/>
    <w:rsid w:val="0049230C"/>
    <w:rsid w:val="0049233A"/>
    <w:rsid w:val="00492412"/>
    <w:rsid w:val="00492430"/>
    <w:rsid w:val="00492449"/>
    <w:rsid w:val="004924CE"/>
    <w:rsid w:val="004924ED"/>
    <w:rsid w:val="00492573"/>
    <w:rsid w:val="004925BD"/>
    <w:rsid w:val="004926CD"/>
    <w:rsid w:val="00492705"/>
    <w:rsid w:val="004927C1"/>
    <w:rsid w:val="0049296D"/>
    <w:rsid w:val="00492A63"/>
    <w:rsid w:val="00492A99"/>
    <w:rsid w:val="00492AB3"/>
    <w:rsid w:val="00492E51"/>
    <w:rsid w:val="00492EA6"/>
    <w:rsid w:val="00492EF4"/>
    <w:rsid w:val="0049305D"/>
    <w:rsid w:val="00493167"/>
    <w:rsid w:val="0049318B"/>
    <w:rsid w:val="004931C2"/>
    <w:rsid w:val="004931F2"/>
    <w:rsid w:val="00493347"/>
    <w:rsid w:val="004933D3"/>
    <w:rsid w:val="00493434"/>
    <w:rsid w:val="00493453"/>
    <w:rsid w:val="00493489"/>
    <w:rsid w:val="004934D6"/>
    <w:rsid w:val="0049356E"/>
    <w:rsid w:val="004935F7"/>
    <w:rsid w:val="00493618"/>
    <w:rsid w:val="00493623"/>
    <w:rsid w:val="004936D8"/>
    <w:rsid w:val="004936FC"/>
    <w:rsid w:val="00493765"/>
    <w:rsid w:val="0049382E"/>
    <w:rsid w:val="00493870"/>
    <w:rsid w:val="004939C2"/>
    <w:rsid w:val="00493A3B"/>
    <w:rsid w:val="00493B32"/>
    <w:rsid w:val="00493B6A"/>
    <w:rsid w:val="00493C09"/>
    <w:rsid w:val="00493C72"/>
    <w:rsid w:val="00493CD6"/>
    <w:rsid w:val="00493DAC"/>
    <w:rsid w:val="00493DBB"/>
    <w:rsid w:val="00493E31"/>
    <w:rsid w:val="00493E66"/>
    <w:rsid w:val="00493E86"/>
    <w:rsid w:val="00493E96"/>
    <w:rsid w:val="00493EC9"/>
    <w:rsid w:val="00493F68"/>
    <w:rsid w:val="00493FF5"/>
    <w:rsid w:val="00494006"/>
    <w:rsid w:val="0049413E"/>
    <w:rsid w:val="004941A1"/>
    <w:rsid w:val="0049436C"/>
    <w:rsid w:val="00494400"/>
    <w:rsid w:val="0049450C"/>
    <w:rsid w:val="00494527"/>
    <w:rsid w:val="0049453D"/>
    <w:rsid w:val="0049460D"/>
    <w:rsid w:val="0049473E"/>
    <w:rsid w:val="00494823"/>
    <w:rsid w:val="004948EA"/>
    <w:rsid w:val="004949C5"/>
    <w:rsid w:val="00494A85"/>
    <w:rsid w:val="00494AB3"/>
    <w:rsid w:val="00494AFA"/>
    <w:rsid w:val="00494AFE"/>
    <w:rsid w:val="00494BB5"/>
    <w:rsid w:val="00494BD9"/>
    <w:rsid w:val="00494BDE"/>
    <w:rsid w:val="00494D6D"/>
    <w:rsid w:val="00494F3C"/>
    <w:rsid w:val="00494F8E"/>
    <w:rsid w:val="0049501E"/>
    <w:rsid w:val="00495042"/>
    <w:rsid w:val="00495051"/>
    <w:rsid w:val="00495064"/>
    <w:rsid w:val="00495115"/>
    <w:rsid w:val="0049513E"/>
    <w:rsid w:val="004952AF"/>
    <w:rsid w:val="00495369"/>
    <w:rsid w:val="004953BB"/>
    <w:rsid w:val="004953CD"/>
    <w:rsid w:val="004953E5"/>
    <w:rsid w:val="0049540F"/>
    <w:rsid w:val="004954D6"/>
    <w:rsid w:val="0049551E"/>
    <w:rsid w:val="004955D3"/>
    <w:rsid w:val="004955F9"/>
    <w:rsid w:val="0049565D"/>
    <w:rsid w:val="00495661"/>
    <w:rsid w:val="0049571C"/>
    <w:rsid w:val="00495734"/>
    <w:rsid w:val="0049578B"/>
    <w:rsid w:val="004957A6"/>
    <w:rsid w:val="00495818"/>
    <w:rsid w:val="00495875"/>
    <w:rsid w:val="00495894"/>
    <w:rsid w:val="00495B4C"/>
    <w:rsid w:val="00495CA6"/>
    <w:rsid w:val="00495D0A"/>
    <w:rsid w:val="00495D65"/>
    <w:rsid w:val="00495D7E"/>
    <w:rsid w:val="00495DA0"/>
    <w:rsid w:val="00495DF7"/>
    <w:rsid w:val="00495E2C"/>
    <w:rsid w:val="00495E90"/>
    <w:rsid w:val="00495FAF"/>
    <w:rsid w:val="00496057"/>
    <w:rsid w:val="0049609C"/>
    <w:rsid w:val="004960A3"/>
    <w:rsid w:val="004960AD"/>
    <w:rsid w:val="004960B9"/>
    <w:rsid w:val="004960C2"/>
    <w:rsid w:val="004960F3"/>
    <w:rsid w:val="0049623F"/>
    <w:rsid w:val="004962D1"/>
    <w:rsid w:val="004962E9"/>
    <w:rsid w:val="0049638E"/>
    <w:rsid w:val="00496396"/>
    <w:rsid w:val="0049648F"/>
    <w:rsid w:val="004964B1"/>
    <w:rsid w:val="00496526"/>
    <w:rsid w:val="004965DA"/>
    <w:rsid w:val="004965DB"/>
    <w:rsid w:val="00496625"/>
    <w:rsid w:val="0049667D"/>
    <w:rsid w:val="0049678E"/>
    <w:rsid w:val="00496921"/>
    <w:rsid w:val="0049695F"/>
    <w:rsid w:val="00496963"/>
    <w:rsid w:val="004969F3"/>
    <w:rsid w:val="00496A47"/>
    <w:rsid w:val="00496B7B"/>
    <w:rsid w:val="00496C1B"/>
    <w:rsid w:val="00496C74"/>
    <w:rsid w:val="00496C7F"/>
    <w:rsid w:val="00496D34"/>
    <w:rsid w:val="00496D65"/>
    <w:rsid w:val="00496DE3"/>
    <w:rsid w:val="00496E08"/>
    <w:rsid w:val="00496E8B"/>
    <w:rsid w:val="00496F10"/>
    <w:rsid w:val="00496F44"/>
    <w:rsid w:val="00496F5F"/>
    <w:rsid w:val="00496F72"/>
    <w:rsid w:val="00496F8A"/>
    <w:rsid w:val="00496FC7"/>
    <w:rsid w:val="00497004"/>
    <w:rsid w:val="00497044"/>
    <w:rsid w:val="00497077"/>
    <w:rsid w:val="004970F0"/>
    <w:rsid w:val="00497147"/>
    <w:rsid w:val="004971B5"/>
    <w:rsid w:val="0049721A"/>
    <w:rsid w:val="0049722F"/>
    <w:rsid w:val="0049739A"/>
    <w:rsid w:val="004974C6"/>
    <w:rsid w:val="00497577"/>
    <w:rsid w:val="00497581"/>
    <w:rsid w:val="0049758E"/>
    <w:rsid w:val="004975C3"/>
    <w:rsid w:val="00497659"/>
    <w:rsid w:val="004976AD"/>
    <w:rsid w:val="004976E0"/>
    <w:rsid w:val="004976E1"/>
    <w:rsid w:val="00497A32"/>
    <w:rsid w:val="00497AF1"/>
    <w:rsid w:val="00497AFA"/>
    <w:rsid w:val="00497B00"/>
    <w:rsid w:val="00497B19"/>
    <w:rsid w:val="00497B7D"/>
    <w:rsid w:val="00497BB9"/>
    <w:rsid w:val="00497BD5"/>
    <w:rsid w:val="00497C08"/>
    <w:rsid w:val="00497DA1"/>
    <w:rsid w:val="00497DE0"/>
    <w:rsid w:val="00497E00"/>
    <w:rsid w:val="00497E33"/>
    <w:rsid w:val="00497EE2"/>
    <w:rsid w:val="00497EE3"/>
    <w:rsid w:val="00497FAE"/>
    <w:rsid w:val="00497FB1"/>
    <w:rsid w:val="00497FB6"/>
    <w:rsid w:val="004A004F"/>
    <w:rsid w:val="004A0104"/>
    <w:rsid w:val="004A0193"/>
    <w:rsid w:val="004A020A"/>
    <w:rsid w:val="004A033D"/>
    <w:rsid w:val="004A038E"/>
    <w:rsid w:val="004A0410"/>
    <w:rsid w:val="004A0443"/>
    <w:rsid w:val="004A044C"/>
    <w:rsid w:val="004A0481"/>
    <w:rsid w:val="004A0536"/>
    <w:rsid w:val="004A0550"/>
    <w:rsid w:val="004A0594"/>
    <w:rsid w:val="004A05D5"/>
    <w:rsid w:val="004A062F"/>
    <w:rsid w:val="004A06C2"/>
    <w:rsid w:val="004A0713"/>
    <w:rsid w:val="004A079C"/>
    <w:rsid w:val="004A07B6"/>
    <w:rsid w:val="004A0890"/>
    <w:rsid w:val="004A0920"/>
    <w:rsid w:val="004A0AD8"/>
    <w:rsid w:val="004A0AEF"/>
    <w:rsid w:val="004A0B62"/>
    <w:rsid w:val="004A0BDC"/>
    <w:rsid w:val="004A0C57"/>
    <w:rsid w:val="004A0CC6"/>
    <w:rsid w:val="004A0D96"/>
    <w:rsid w:val="004A0DB8"/>
    <w:rsid w:val="004A0E93"/>
    <w:rsid w:val="004A0F3F"/>
    <w:rsid w:val="004A0F71"/>
    <w:rsid w:val="004A1010"/>
    <w:rsid w:val="004A107C"/>
    <w:rsid w:val="004A1085"/>
    <w:rsid w:val="004A1201"/>
    <w:rsid w:val="004A130D"/>
    <w:rsid w:val="004A131E"/>
    <w:rsid w:val="004A14C7"/>
    <w:rsid w:val="004A14CE"/>
    <w:rsid w:val="004A161F"/>
    <w:rsid w:val="004A162A"/>
    <w:rsid w:val="004A1634"/>
    <w:rsid w:val="004A1705"/>
    <w:rsid w:val="004A171A"/>
    <w:rsid w:val="004A178E"/>
    <w:rsid w:val="004A1795"/>
    <w:rsid w:val="004A17EF"/>
    <w:rsid w:val="004A1894"/>
    <w:rsid w:val="004A18A7"/>
    <w:rsid w:val="004A1969"/>
    <w:rsid w:val="004A197D"/>
    <w:rsid w:val="004A1B1C"/>
    <w:rsid w:val="004A1B37"/>
    <w:rsid w:val="004A1BE4"/>
    <w:rsid w:val="004A1C1B"/>
    <w:rsid w:val="004A1C76"/>
    <w:rsid w:val="004A1C78"/>
    <w:rsid w:val="004A1CAF"/>
    <w:rsid w:val="004A1E44"/>
    <w:rsid w:val="004A1EC4"/>
    <w:rsid w:val="004A1F04"/>
    <w:rsid w:val="004A1F92"/>
    <w:rsid w:val="004A1F98"/>
    <w:rsid w:val="004A2161"/>
    <w:rsid w:val="004A2165"/>
    <w:rsid w:val="004A21B2"/>
    <w:rsid w:val="004A220F"/>
    <w:rsid w:val="004A2211"/>
    <w:rsid w:val="004A22A4"/>
    <w:rsid w:val="004A22BA"/>
    <w:rsid w:val="004A23E6"/>
    <w:rsid w:val="004A24DF"/>
    <w:rsid w:val="004A2677"/>
    <w:rsid w:val="004A26E0"/>
    <w:rsid w:val="004A26EE"/>
    <w:rsid w:val="004A2736"/>
    <w:rsid w:val="004A2752"/>
    <w:rsid w:val="004A27AE"/>
    <w:rsid w:val="004A27EF"/>
    <w:rsid w:val="004A283D"/>
    <w:rsid w:val="004A284D"/>
    <w:rsid w:val="004A2899"/>
    <w:rsid w:val="004A29F2"/>
    <w:rsid w:val="004A2B15"/>
    <w:rsid w:val="004A2B7E"/>
    <w:rsid w:val="004A2BFB"/>
    <w:rsid w:val="004A2C1E"/>
    <w:rsid w:val="004A2CA5"/>
    <w:rsid w:val="004A2DA9"/>
    <w:rsid w:val="004A2DE1"/>
    <w:rsid w:val="004A2F4E"/>
    <w:rsid w:val="004A2FD8"/>
    <w:rsid w:val="004A30DA"/>
    <w:rsid w:val="004A30E1"/>
    <w:rsid w:val="004A3114"/>
    <w:rsid w:val="004A3198"/>
    <w:rsid w:val="004A31F9"/>
    <w:rsid w:val="004A3284"/>
    <w:rsid w:val="004A33CB"/>
    <w:rsid w:val="004A3409"/>
    <w:rsid w:val="004A3438"/>
    <w:rsid w:val="004A3479"/>
    <w:rsid w:val="004A347E"/>
    <w:rsid w:val="004A34A9"/>
    <w:rsid w:val="004A34C3"/>
    <w:rsid w:val="004A34C4"/>
    <w:rsid w:val="004A34EF"/>
    <w:rsid w:val="004A3570"/>
    <w:rsid w:val="004A368F"/>
    <w:rsid w:val="004A36F9"/>
    <w:rsid w:val="004A37DA"/>
    <w:rsid w:val="004A3819"/>
    <w:rsid w:val="004A395D"/>
    <w:rsid w:val="004A39E4"/>
    <w:rsid w:val="004A39E8"/>
    <w:rsid w:val="004A39F0"/>
    <w:rsid w:val="004A3AF2"/>
    <w:rsid w:val="004A3D31"/>
    <w:rsid w:val="004A3D3E"/>
    <w:rsid w:val="004A3ED7"/>
    <w:rsid w:val="004A3F32"/>
    <w:rsid w:val="004A4034"/>
    <w:rsid w:val="004A4183"/>
    <w:rsid w:val="004A41C8"/>
    <w:rsid w:val="004A41FD"/>
    <w:rsid w:val="004A4212"/>
    <w:rsid w:val="004A4258"/>
    <w:rsid w:val="004A4310"/>
    <w:rsid w:val="004A435E"/>
    <w:rsid w:val="004A437D"/>
    <w:rsid w:val="004A4396"/>
    <w:rsid w:val="004A442A"/>
    <w:rsid w:val="004A4439"/>
    <w:rsid w:val="004A452D"/>
    <w:rsid w:val="004A45AC"/>
    <w:rsid w:val="004A4601"/>
    <w:rsid w:val="004A4759"/>
    <w:rsid w:val="004A4767"/>
    <w:rsid w:val="004A4904"/>
    <w:rsid w:val="004A4926"/>
    <w:rsid w:val="004A4AAF"/>
    <w:rsid w:val="004A4B2F"/>
    <w:rsid w:val="004A4B4D"/>
    <w:rsid w:val="004A4B71"/>
    <w:rsid w:val="004A4BB1"/>
    <w:rsid w:val="004A4BE7"/>
    <w:rsid w:val="004A4BE9"/>
    <w:rsid w:val="004A4C53"/>
    <w:rsid w:val="004A4D23"/>
    <w:rsid w:val="004A4D28"/>
    <w:rsid w:val="004A4D74"/>
    <w:rsid w:val="004A4DE2"/>
    <w:rsid w:val="004A4E16"/>
    <w:rsid w:val="004A4E59"/>
    <w:rsid w:val="004A4E7E"/>
    <w:rsid w:val="004A4E7F"/>
    <w:rsid w:val="004A4F26"/>
    <w:rsid w:val="004A4F73"/>
    <w:rsid w:val="004A5026"/>
    <w:rsid w:val="004A5045"/>
    <w:rsid w:val="004A50B8"/>
    <w:rsid w:val="004A512E"/>
    <w:rsid w:val="004A51B9"/>
    <w:rsid w:val="004A51DC"/>
    <w:rsid w:val="004A52D9"/>
    <w:rsid w:val="004A52FE"/>
    <w:rsid w:val="004A5368"/>
    <w:rsid w:val="004A53C1"/>
    <w:rsid w:val="004A542F"/>
    <w:rsid w:val="004A545F"/>
    <w:rsid w:val="004A5463"/>
    <w:rsid w:val="004A54BB"/>
    <w:rsid w:val="004A5584"/>
    <w:rsid w:val="004A5628"/>
    <w:rsid w:val="004A5640"/>
    <w:rsid w:val="004A564E"/>
    <w:rsid w:val="004A5676"/>
    <w:rsid w:val="004A5697"/>
    <w:rsid w:val="004A56A3"/>
    <w:rsid w:val="004A56C8"/>
    <w:rsid w:val="004A56CB"/>
    <w:rsid w:val="004A56F7"/>
    <w:rsid w:val="004A575E"/>
    <w:rsid w:val="004A578E"/>
    <w:rsid w:val="004A5849"/>
    <w:rsid w:val="004A58BA"/>
    <w:rsid w:val="004A591F"/>
    <w:rsid w:val="004A59CC"/>
    <w:rsid w:val="004A59E3"/>
    <w:rsid w:val="004A59F7"/>
    <w:rsid w:val="004A5C2A"/>
    <w:rsid w:val="004A5C6E"/>
    <w:rsid w:val="004A5CCF"/>
    <w:rsid w:val="004A5E1C"/>
    <w:rsid w:val="004A5E40"/>
    <w:rsid w:val="004A5E7E"/>
    <w:rsid w:val="004A5EB7"/>
    <w:rsid w:val="004A5ED4"/>
    <w:rsid w:val="004A5F0F"/>
    <w:rsid w:val="004A6086"/>
    <w:rsid w:val="004A611B"/>
    <w:rsid w:val="004A6152"/>
    <w:rsid w:val="004A6188"/>
    <w:rsid w:val="004A6312"/>
    <w:rsid w:val="004A6349"/>
    <w:rsid w:val="004A639B"/>
    <w:rsid w:val="004A63CD"/>
    <w:rsid w:val="004A63D1"/>
    <w:rsid w:val="004A63F1"/>
    <w:rsid w:val="004A6457"/>
    <w:rsid w:val="004A6543"/>
    <w:rsid w:val="004A65AF"/>
    <w:rsid w:val="004A67F2"/>
    <w:rsid w:val="004A6A02"/>
    <w:rsid w:val="004A6A39"/>
    <w:rsid w:val="004A6A7C"/>
    <w:rsid w:val="004A6B3B"/>
    <w:rsid w:val="004A6B50"/>
    <w:rsid w:val="004A6B9B"/>
    <w:rsid w:val="004A6BDA"/>
    <w:rsid w:val="004A6BE1"/>
    <w:rsid w:val="004A6BE4"/>
    <w:rsid w:val="004A6C49"/>
    <w:rsid w:val="004A6D58"/>
    <w:rsid w:val="004A6D86"/>
    <w:rsid w:val="004A6DA6"/>
    <w:rsid w:val="004A6E6E"/>
    <w:rsid w:val="004A6FB2"/>
    <w:rsid w:val="004A7071"/>
    <w:rsid w:val="004A7172"/>
    <w:rsid w:val="004A7184"/>
    <w:rsid w:val="004A71E6"/>
    <w:rsid w:val="004A71F2"/>
    <w:rsid w:val="004A72CC"/>
    <w:rsid w:val="004A72FF"/>
    <w:rsid w:val="004A7381"/>
    <w:rsid w:val="004A7408"/>
    <w:rsid w:val="004A7453"/>
    <w:rsid w:val="004A7456"/>
    <w:rsid w:val="004A7568"/>
    <w:rsid w:val="004A75A2"/>
    <w:rsid w:val="004A75B7"/>
    <w:rsid w:val="004A75EE"/>
    <w:rsid w:val="004A760B"/>
    <w:rsid w:val="004A7618"/>
    <w:rsid w:val="004A764F"/>
    <w:rsid w:val="004A765B"/>
    <w:rsid w:val="004A76D3"/>
    <w:rsid w:val="004A7730"/>
    <w:rsid w:val="004A7735"/>
    <w:rsid w:val="004A775F"/>
    <w:rsid w:val="004A77C6"/>
    <w:rsid w:val="004A77DD"/>
    <w:rsid w:val="004A7888"/>
    <w:rsid w:val="004A78A7"/>
    <w:rsid w:val="004A79E0"/>
    <w:rsid w:val="004A79ED"/>
    <w:rsid w:val="004A7A16"/>
    <w:rsid w:val="004A7B8F"/>
    <w:rsid w:val="004A7CB8"/>
    <w:rsid w:val="004A7D45"/>
    <w:rsid w:val="004A7DBC"/>
    <w:rsid w:val="004A7DDE"/>
    <w:rsid w:val="004A7E37"/>
    <w:rsid w:val="004A7F13"/>
    <w:rsid w:val="004A7F30"/>
    <w:rsid w:val="004B00A4"/>
    <w:rsid w:val="004B02AE"/>
    <w:rsid w:val="004B031C"/>
    <w:rsid w:val="004B0474"/>
    <w:rsid w:val="004B063F"/>
    <w:rsid w:val="004B06AC"/>
    <w:rsid w:val="004B07EA"/>
    <w:rsid w:val="004B0815"/>
    <w:rsid w:val="004B0864"/>
    <w:rsid w:val="004B0908"/>
    <w:rsid w:val="004B0984"/>
    <w:rsid w:val="004B09AC"/>
    <w:rsid w:val="004B09D4"/>
    <w:rsid w:val="004B09F7"/>
    <w:rsid w:val="004B0A05"/>
    <w:rsid w:val="004B0A5A"/>
    <w:rsid w:val="004B0A6E"/>
    <w:rsid w:val="004B0A7D"/>
    <w:rsid w:val="004B0B5D"/>
    <w:rsid w:val="004B0B79"/>
    <w:rsid w:val="004B0C73"/>
    <w:rsid w:val="004B0C91"/>
    <w:rsid w:val="004B0E98"/>
    <w:rsid w:val="004B0ECC"/>
    <w:rsid w:val="004B0FB7"/>
    <w:rsid w:val="004B1002"/>
    <w:rsid w:val="004B1068"/>
    <w:rsid w:val="004B1078"/>
    <w:rsid w:val="004B10BF"/>
    <w:rsid w:val="004B1202"/>
    <w:rsid w:val="004B1203"/>
    <w:rsid w:val="004B128F"/>
    <w:rsid w:val="004B12D8"/>
    <w:rsid w:val="004B1405"/>
    <w:rsid w:val="004B1409"/>
    <w:rsid w:val="004B144E"/>
    <w:rsid w:val="004B14A1"/>
    <w:rsid w:val="004B152C"/>
    <w:rsid w:val="004B1555"/>
    <w:rsid w:val="004B15B2"/>
    <w:rsid w:val="004B15CF"/>
    <w:rsid w:val="004B15E9"/>
    <w:rsid w:val="004B161C"/>
    <w:rsid w:val="004B175F"/>
    <w:rsid w:val="004B1763"/>
    <w:rsid w:val="004B1895"/>
    <w:rsid w:val="004B18E9"/>
    <w:rsid w:val="004B19C2"/>
    <w:rsid w:val="004B19FE"/>
    <w:rsid w:val="004B1A81"/>
    <w:rsid w:val="004B1A93"/>
    <w:rsid w:val="004B1B12"/>
    <w:rsid w:val="004B1B19"/>
    <w:rsid w:val="004B1B50"/>
    <w:rsid w:val="004B1B5F"/>
    <w:rsid w:val="004B1C2F"/>
    <w:rsid w:val="004B1C8A"/>
    <w:rsid w:val="004B1CC3"/>
    <w:rsid w:val="004B1D3B"/>
    <w:rsid w:val="004B1D85"/>
    <w:rsid w:val="004B1E15"/>
    <w:rsid w:val="004B1E25"/>
    <w:rsid w:val="004B1E6B"/>
    <w:rsid w:val="004B205D"/>
    <w:rsid w:val="004B20A7"/>
    <w:rsid w:val="004B20AD"/>
    <w:rsid w:val="004B210E"/>
    <w:rsid w:val="004B214F"/>
    <w:rsid w:val="004B215C"/>
    <w:rsid w:val="004B2232"/>
    <w:rsid w:val="004B2262"/>
    <w:rsid w:val="004B2366"/>
    <w:rsid w:val="004B236D"/>
    <w:rsid w:val="004B2381"/>
    <w:rsid w:val="004B2383"/>
    <w:rsid w:val="004B247E"/>
    <w:rsid w:val="004B24BC"/>
    <w:rsid w:val="004B254C"/>
    <w:rsid w:val="004B259D"/>
    <w:rsid w:val="004B265E"/>
    <w:rsid w:val="004B26D4"/>
    <w:rsid w:val="004B2718"/>
    <w:rsid w:val="004B2733"/>
    <w:rsid w:val="004B2747"/>
    <w:rsid w:val="004B2796"/>
    <w:rsid w:val="004B27DF"/>
    <w:rsid w:val="004B286D"/>
    <w:rsid w:val="004B28CE"/>
    <w:rsid w:val="004B28E9"/>
    <w:rsid w:val="004B2BCB"/>
    <w:rsid w:val="004B2BF5"/>
    <w:rsid w:val="004B2DB3"/>
    <w:rsid w:val="004B2E66"/>
    <w:rsid w:val="004B2F3C"/>
    <w:rsid w:val="004B3114"/>
    <w:rsid w:val="004B3125"/>
    <w:rsid w:val="004B3150"/>
    <w:rsid w:val="004B3245"/>
    <w:rsid w:val="004B3276"/>
    <w:rsid w:val="004B331E"/>
    <w:rsid w:val="004B33C0"/>
    <w:rsid w:val="004B33C6"/>
    <w:rsid w:val="004B341E"/>
    <w:rsid w:val="004B3475"/>
    <w:rsid w:val="004B3497"/>
    <w:rsid w:val="004B34EE"/>
    <w:rsid w:val="004B350D"/>
    <w:rsid w:val="004B356D"/>
    <w:rsid w:val="004B36E3"/>
    <w:rsid w:val="004B37AC"/>
    <w:rsid w:val="004B392D"/>
    <w:rsid w:val="004B3931"/>
    <w:rsid w:val="004B3977"/>
    <w:rsid w:val="004B39D6"/>
    <w:rsid w:val="004B3A1C"/>
    <w:rsid w:val="004B3A49"/>
    <w:rsid w:val="004B3AA7"/>
    <w:rsid w:val="004B3B69"/>
    <w:rsid w:val="004B3BA0"/>
    <w:rsid w:val="004B3D2F"/>
    <w:rsid w:val="004B3D9D"/>
    <w:rsid w:val="004B3E67"/>
    <w:rsid w:val="004B3F2E"/>
    <w:rsid w:val="004B3F35"/>
    <w:rsid w:val="004B3F71"/>
    <w:rsid w:val="004B3F73"/>
    <w:rsid w:val="004B3F92"/>
    <w:rsid w:val="004B3FA3"/>
    <w:rsid w:val="004B400B"/>
    <w:rsid w:val="004B402F"/>
    <w:rsid w:val="004B4143"/>
    <w:rsid w:val="004B4191"/>
    <w:rsid w:val="004B420E"/>
    <w:rsid w:val="004B4271"/>
    <w:rsid w:val="004B42A5"/>
    <w:rsid w:val="004B42BF"/>
    <w:rsid w:val="004B42D3"/>
    <w:rsid w:val="004B4313"/>
    <w:rsid w:val="004B442C"/>
    <w:rsid w:val="004B444F"/>
    <w:rsid w:val="004B4523"/>
    <w:rsid w:val="004B4565"/>
    <w:rsid w:val="004B459C"/>
    <w:rsid w:val="004B46A8"/>
    <w:rsid w:val="004B4715"/>
    <w:rsid w:val="004B471E"/>
    <w:rsid w:val="004B48F1"/>
    <w:rsid w:val="004B4908"/>
    <w:rsid w:val="004B4A0A"/>
    <w:rsid w:val="004B4A1A"/>
    <w:rsid w:val="004B4A1E"/>
    <w:rsid w:val="004B4A42"/>
    <w:rsid w:val="004B4A4E"/>
    <w:rsid w:val="004B4AB1"/>
    <w:rsid w:val="004B4B50"/>
    <w:rsid w:val="004B4B89"/>
    <w:rsid w:val="004B4C7A"/>
    <w:rsid w:val="004B4D59"/>
    <w:rsid w:val="004B4DCA"/>
    <w:rsid w:val="004B4E18"/>
    <w:rsid w:val="004B4E25"/>
    <w:rsid w:val="004B4EBD"/>
    <w:rsid w:val="004B4EF9"/>
    <w:rsid w:val="004B4F0A"/>
    <w:rsid w:val="004B4F76"/>
    <w:rsid w:val="004B4FBF"/>
    <w:rsid w:val="004B502A"/>
    <w:rsid w:val="004B51B0"/>
    <w:rsid w:val="004B5214"/>
    <w:rsid w:val="004B5248"/>
    <w:rsid w:val="004B5323"/>
    <w:rsid w:val="004B5331"/>
    <w:rsid w:val="004B537F"/>
    <w:rsid w:val="004B538C"/>
    <w:rsid w:val="004B5441"/>
    <w:rsid w:val="004B5466"/>
    <w:rsid w:val="004B5683"/>
    <w:rsid w:val="004B56E9"/>
    <w:rsid w:val="004B5AB2"/>
    <w:rsid w:val="004B5B16"/>
    <w:rsid w:val="004B5B5F"/>
    <w:rsid w:val="004B5BD1"/>
    <w:rsid w:val="004B5BFF"/>
    <w:rsid w:val="004B5D1C"/>
    <w:rsid w:val="004B5D28"/>
    <w:rsid w:val="004B5D7A"/>
    <w:rsid w:val="004B5DF1"/>
    <w:rsid w:val="004B5E8D"/>
    <w:rsid w:val="004B5E9B"/>
    <w:rsid w:val="004B5F36"/>
    <w:rsid w:val="004B5FFE"/>
    <w:rsid w:val="004B60B0"/>
    <w:rsid w:val="004B61A0"/>
    <w:rsid w:val="004B6228"/>
    <w:rsid w:val="004B6230"/>
    <w:rsid w:val="004B6297"/>
    <w:rsid w:val="004B641C"/>
    <w:rsid w:val="004B646D"/>
    <w:rsid w:val="004B6530"/>
    <w:rsid w:val="004B6533"/>
    <w:rsid w:val="004B65A4"/>
    <w:rsid w:val="004B6651"/>
    <w:rsid w:val="004B66A8"/>
    <w:rsid w:val="004B674C"/>
    <w:rsid w:val="004B6818"/>
    <w:rsid w:val="004B68F5"/>
    <w:rsid w:val="004B691D"/>
    <w:rsid w:val="004B69A5"/>
    <w:rsid w:val="004B6A69"/>
    <w:rsid w:val="004B6A74"/>
    <w:rsid w:val="004B6ADF"/>
    <w:rsid w:val="004B6B74"/>
    <w:rsid w:val="004B6C6D"/>
    <w:rsid w:val="004B6C92"/>
    <w:rsid w:val="004B6CCE"/>
    <w:rsid w:val="004B6DC6"/>
    <w:rsid w:val="004B6DCA"/>
    <w:rsid w:val="004B6DDE"/>
    <w:rsid w:val="004B6E58"/>
    <w:rsid w:val="004B6E79"/>
    <w:rsid w:val="004B6F18"/>
    <w:rsid w:val="004B7082"/>
    <w:rsid w:val="004B70E1"/>
    <w:rsid w:val="004B7101"/>
    <w:rsid w:val="004B712E"/>
    <w:rsid w:val="004B714C"/>
    <w:rsid w:val="004B717D"/>
    <w:rsid w:val="004B71F8"/>
    <w:rsid w:val="004B720F"/>
    <w:rsid w:val="004B7214"/>
    <w:rsid w:val="004B732F"/>
    <w:rsid w:val="004B7379"/>
    <w:rsid w:val="004B73AA"/>
    <w:rsid w:val="004B73CC"/>
    <w:rsid w:val="004B740C"/>
    <w:rsid w:val="004B74F5"/>
    <w:rsid w:val="004B7533"/>
    <w:rsid w:val="004B7538"/>
    <w:rsid w:val="004B75AC"/>
    <w:rsid w:val="004B75FD"/>
    <w:rsid w:val="004B761D"/>
    <w:rsid w:val="004B7644"/>
    <w:rsid w:val="004B765C"/>
    <w:rsid w:val="004B7793"/>
    <w:rsid w:val="004B77A4"/>
    <w:rsid w:val="004B77CB"/>
    <w:rsid w:val="004B7881"/>
    <w:rsid w:val="004B78C0"/>
    <w:rsid w:val="004B7939"/>
    <w:rsid w:val="004B7A44"/>
    <w:rsid w:val="004B7AA6"/>
    <w:rsid w:val="004B7B60"/>
    <w:rsid w:val="004B7B66"/>
    <w:rsid w:val="004B7C52"/>
    <w:rsid w:val="004B7D19"/>
    <w:rsid w:val="004B7D5C"/>
    <w:rsid w:val="004B7DB8"/>
    <w:rsid w:val="004B7E22"/>
    <w:rsid w:val="004B7E7A"/>
    <w:rsid w:val="004B7FAD"/>
    <w:rsid w:val="004B7FD7"/>
    <w:rsid w:val="004C0021"/>
    <w:rsid w:val="004C0035"/>
    <w:rsid w:val="004C0128"/>
    <w:rsid w:val="004C0157"/>
    <w:rsid w:val="004C0166"/>
    <w:rsid w:val="004C01BF"/>
    <w:rsid w:val="004C01D7"/>
    <w:rsid w:val="004C01E6"/>
    <w:rsid w:val="004C024D"/>
    <w:rsid w:val="004C0274"/>
    <w:rsid w:val="004C0536"/>
    <w:rsid w:val="004C054A"/>
    <w:rsid w:val="004C05CA"/>
    <w:rsid w:val="004C0624"/>
    <w:rsid w:val="004C0665"/>
    <w:rsid w:val="004C06A0"/>
    <w:rsid w:val="004C0712"/>
    <w:rsid w:val="004C07CB"/>
    <w:rsid w:val="004C07E6"/>
    <w:rsid w:val="004C0823"/>
    <w:rsid w:val="004C08D7"/>
    <w:rsid w:val="004C096D"/>
    <w:rsid w:val="004C0A93"/>
    <w:rsid w:val="004C0ADC"/>
    <w:rsid w:val="004C0AFB"/>
    <w:rsid w:val="004C0B17"/>
    <w:rsid w:val="004C0C11"/>
    <w:rsid w:val="004C0C1F"/>
    <w:rsid w:val="004C0C5B"/>
    <w:rsid w:val="004C0D1A"/>
    <w:rsid w:val="004C0D29"/>
    <w:rsid w:val="004C0DC6"/>
    <w:rsid w:val="004C0E6A"/>
    <w:rsid w:val="004C0E7F"/>
    <w:rsid w:val="004C0FC6"/>
    <w:rsid w:val="004C0FCD"/>
    <w:rsid w:val="004C10AC"/>
    <w:rsid w:val="004C112F"/>
    <w:rsid w:val="004C11EF"/>
    <w:rsid w:val="004C1228"/>
    <w:rsid w:val="004C1414"/>
    <w:rsid w:val="004C1564"/>
    <w:rsid w:val="004C15AD"/>
    <w:rsid w:val="004C15E5"/>
    <w:rsid w:val="004C1643"/>
    <w:rsid w:val="004C1733"/>
    <w:rsid w:val="004C17A2"/>
    <w:rsid w:val="004C17F9"/>
    <w:rsid w:val="004C1862"/>
    <w:rsid w:val="004C18E2"/>
    <w:rsid w:val="004C1928"/>
    <w:rsid w:val="004C1940"/>
    <w:rsid w:val="004C1961"/>
    <w:rsid w:val="004C19BA"/>
    <w:rsid w:val="004C19F2"/>
    <w:rsid w:val="004C1A39"/>
    <w:rsid w:val="004C1A5B"/>
    <w:rsid w:val="004C1A9C"/>
    <w:rsid w:val="004C1B3D"/>
    <w:rsid w:val="004C1BBD"/>
    <w:rsid w:val="004C1BF8"/>
    <w:rsid w:val="004C1C09"/>
    <w:rsid w:val="004C1C54"/>
    <w:rsid w:val="004C1C94"/>
    <w:rsid w:val="004C1CD0"/>
    <w:rsid w:val="004C1E19"/>
    <w:rsid w:val="004C1F25"/>
    <w:rsid w:val="004C1F5C"/>
    <w:rsid w:val="004C1FA1"/>
    <w:rsid w:val="004C1FFE"/>
    <w:rsid w:val="004C201F"/>
    <w:rsid w:val="004C203D"/>
    <w:rsid w:val="004C20E4"/>
    <w:rsid w:val="004C21C1"/>
    <w:rsid w:val="004C21D6"/>
    <w:rsid w:val="004C2261"/>
    <w:rsid w:val="004C2281"/>
    <w:rsid w:val="004C22F0"/>
    <w:rsid w:val="004C23E2"/>
    <w:rsid w:val="004C23F5"/>
    <w:rsid w:val="004C245B"/>
    <w:rsid w:val="004C2508"/>
    <w:rsid w:val="004C250C"/>
    <w:rsid w:val="004C25F6"/>
    <w:rsid w:val="004C2618"/>
    <w:rsid w:val="004C26D4"/>
    <w:rsid w:val="004C278F"/>
    <w:rsid w:val="004C27D0"/>
    <w:rsid w:val="004C27FF"/>
    <w:rsid w:val="004C285A"/>
    <w:rsid w:val="004C2A3F"/>
    <w:rsid w:val="004C2C02"/>
    <w:rsid w:val="004C2D11"/>
    <w:rsid w:val="004C2D63"/>
    <w:rsid w:val="004C2D90"/>
    <w:rsid w:val="004C2DC7"/>
    <w:rsid w:val="004C2E25"/>
    <w:rsid w:val="004C2E39"/>
    <w:rsid w:val="004C2E49"/>
    <w:rsid w:val="004C2E8A"/>
    <w:rsid w:val="004C2F36"/>
    <w:rsid w:val="004C2F37"/>
    <w:rsid w:val="004C316E"/>
    <w:rsid w:val="004C317C"/>
    <w:rsid w:val="004C33A7"/>
    <w:rsid w:val="004C33CC"/>
    <w:rsid w:val="004C34A2"/>
    <w:rsid w:val="004C35F6"/>
    <w:rsid w:val="004C3641"/>
    <w:rsid w:val="004C368E"/>
    <w:rsid w:val="004C3750"/>
    <w:rsid w:val="004C378F"/>
    <w:rsid w:val="004C37B4"/>
    <w:rsid w:val="004C383E"/>
    <w:rsid w:val="004C391E"/>
    <w:rsid w:val="004C396F"/>
    <w:rsid w:val="004C39EF"/>
    <w:rsid w:val="004C3AFE"/>
    <w:rsid w:val="004C3C10"/>
    <w:rsid w:val="004C3C42"/>
    <w:rsid w:val="004C3C63"/>
    <w:rsid w:val="004C3C85"/>
    <w:rsid w:val="004C3D86"/>
    <w:rsid w:val="004C3F20"/>
    <w:rsid w:val="004C3FD1"/>
    <w:rsid w:val="004C40DE"/>
    <w:rsid w:val="004C40E6"/>
    <w:rsid w:val="004C4124"/>
    <w:rsid w:val="004C4151"/>
    <w:rsid w:val="004C4198"/>
    <w:rsid w:val="004C422E"/>
    <w:rsid w:val="004C42A9"/>
    <w:rsid w:val="004C42F3"/>
    <w:rsid w:val="004C42FC"/>
    <w:rsid w:val="004C4322"/>
    <w:rsid w:val="004C4353"/>
    <w:rsid w:val="004C4438"/>
    <w:rsid w:val="004C4506"/>
    <w:rsid w:val="004C4522"/>
    <w:rsid w:val="004C45A0"/>
    <w:rsid w:val="004C45DA"/>
    <w:rsid w:val="004C46F3"/>
    <w:rsid w:val="004C4758"/>
    <w:rsid w:val="004C4830"/>
    <w:rsid w:val="004C489F"/>
    <w:rsid w:val="004C4923"/>
    <w:rsid w:val="004C4A0A"/>
    <w:rsid w:val="004C4A23"/>
    <w:rsid w:val="004C4A91"/>
    <w:rsid w:val="004C4AE5"/>
    <w:rsid w:val="004C4B47"/>
    <w:rsid w:val="004C4BB5"/>
    <w:rsid w:val="004C4C3F"/>
    <w:rsid w:val="004C4C7D"/>
    <w:rsid w:val="004C4CD8"/>
    <w:rsid w:val="004C4DF1"/>
    <w:rsid w:val="004C4E44"/>
    <w:rsid w:val="004C4E67"/>
    <w:rsid w:val="004C4E9D"/>
    <w:rsid w:val="004C4EAD"/>
    <w:rsid w:val="004C4EBB"/>
    <w:rsid w:val="004C4F2B"/>
    <w:rsid w:val="004C4F87"/>
    <w:rsid w:val="004C5014"/>
    <w:rsid w:val="004C50C0"/>
    <w:rsid w:val="004C50FA"/>
    <w:rsid w:val="004C5105"/>
    <w:rsid w:val="004C5134"/>
    <w:rsid w:val="004C5284"/>
    <w:rsid w:val="004C52DC"/>
    <w:rsid w:val="004C5330"/>
    <w:rsid w:val="004C5379"/>
    <w:rsid w:val="004C5400"/>
    <w:rsid w:val="004C5443"/>
    <w:rsid w:val="004C5447"/>
    <w:rsid w:val="004C545A"/>
    <w:rsid w:val="004C54AD"/>
    <w:rsid w:val="004C552E"/>
    <w:rsid w:val="004C5582"/>
    <w:rsid w:val="004C5698"/>
    <w:rsid w:val="004C5805"/>
    <w:rsid w:val="004C5863"/>
    <w:rsid w:val="004C5996"/>
    <w:rsid w:val="004C59FB"/>
    <w:rsid w:val="004C5A63"/>
    <w:rsid w:val="004C5A6A"/>
    <w:rsid w:val="004C5B42"/>
    <w:rsid w:val="004C5B82"/>
    <w:rsid w:val="004C5B90"/>
    <w:rsid w:val="004C5B9C"/>
    <w:rsid w:val="004C5CFE"/>
    <w:rsid w:val="004C5DED"/>
    <w:rsid w:val="004C5E0D"/>
    <w:rsid w:val="004C5E14"/>
    <w:rsid w:val="004C5FD4"/>
    <w:rsid w:val="004C5FF4"/>
    <w:rsid w:val="004C6071"/>
    <w:rsid w:val="004C60C5"/>
    <w:rsid w:val="004C6189"/>
    <w:rsid w:val="004C61C8"/>
    <w:rsid w:val="004C628C"/>
    <w:rsid w:val="004C63B0"/>
    <w:rsid w:val="004C64D4"/>
    <w:rsid w:val="004C64DA"/>
    <w:rsid w:val="004C6517"/>
    <w:rsid w:val="004C6577"/>
    <w:rsid w:val="004C6798"/>
    <w:rsid w:val="004C6959"/>
    <w:rsid w:val="004C6A00"/>
    <w:rsid w:val="004C6A2F"/>
    <w:rsid w:val="004C6A62"/>
    <w:rsid w:val="004C6A7A"/>
    <w:rsid w:val="004C6B02"/>
    <w:rsid w:val="004C6BF0"/>
    <w:rsid w:val="004C6C24"/>
    <w:rsid w:val="004C6C64"/>
    <w:rsid w:val="004C6E03"/>
    <w:rsid w:val="004C6E9D"/>
    <w:rsid w:val="004C6FA7"/>
    <w:rsid w:val="004C71D7"/>
    <w:rsid w:val="004C7259"/>
    <w:rsid w:val="004C7300"/>
    <w:rsid w:val="004C732B"/>
    <w:rsid w:val="004C7372"/>
    <w:rsid w:val="004C7426"/>
    <w:rsid w:val="004C7439"/>
    <w:rsid w:val="004C7504"/>
    <w:rsid w:val="004C7521"/>
    <w:rsid w:val="004C75F0"/>
    <w:rsid w:val="004C7609"/>
    <w:rsid w:val="004C7738"/>
    <w:rsid w:val="004C7757"/>
    <w:rsid w:val="004C77B1"/>
    <w:rsid w:val="004C7802"/>
    <w:rsid w:val="004C7822"/>
    <w:rsid w:val="004C7887"/>
    <w:rsid w:val="004C78F8"/>
    <w:rsid w:val="004C79B3"/>
    <w:rsid w:val="004C79B9"/>
    <w:rsid w:val="004C7A9A"/>
    <w:rsid w:val="004C7ABA"/>
    <w:rsid w:val="004C7B64"/>
    <w:rsid w:val="004C7B8B"/>
    <w:rsid w:val="004C7BBB"/>
    <w:rsid w:val="004C7BD9"/>
    <w:rsid w:val="004C7BDD"/>
    <w:rsid w:val="004C7C9C"/>
    <w:rsid w:val="004C7CA7"/>
    <w:rsid w:val="004C7D66"/>
    <w:rsid w:val="004C7D9C"/>
    <w:rsid w:val="004C7E4F"/>
    <w:rsid w:val="004C7E9D"/>
    <w:rsid w:val="004C7F1B"/>
    <w:rsid w:val="004C7FE9"/>
    <w:rsid w:val="004D0029"/>
    <w:rsid w:val="004D0059"/>
    <w:rsid w:val="004D0062"/>
    <w:rsid w:val="004D0067"/>
    <w:rsid w:val="004D00F5"/>
    <w:rsid w:val="004D00F8"/>
    <w:rsid w:val="004D015F"/>
    <w:rsid w:val="004D01A6"/>
    <w:rsid w:val="004D022E"/>
    <w:rsid w:val="004D0255"/>
    <w:rsid w:val="004D0265"/>
    <w:rsid w:val="004D0348"/>
    <w:rsid w:val="004D0351"/>
    <w:rsid w:val="004D0391"/>
    <w:rsid w:val="004D03C7"/>
    <w:rsid w:val="004D0412"/>
    <w:rsid w:val="004D0565"/>
    <w:rsid w:val="004D05CB"/>
    <w:rsid w:val="004D065F"/>
    <w:rsid w:val="004D0721"/>
    <w:rsid w:val="004D0767"/>
    <w:rsid w:val="004D0950"/>
    <w:rsid w:val="004D095D"/>
    <w:rsid w:val="004D0A6D"/>
    <w:rsid w:val="004D0A81"/>
    <w:rsid w:val="004D0B71"/>
    <w:rsid w:val="004D0BF1"/>
    <w:rsid w:val="004D0C2D"/>
    <w:rsid w:val="004D0C4B"/>
    <w:rsid w:val="004D0C66"/>
    <w:rsid w:val="004D0C8E"/>
    <w:rsid w:val="004D0CF8"/>
    <w:rsid w:val="004D0D1E"/>
    <w:rsid w:val="004D0D65"/>
    <w:rsid w:val="004D0EA4"/>
    <w:rsid w:val="004D0EE6"/>
    <w:rsid w:val="004D0F66"/>
    <w:rsid w:val="004D0FA7"/>
    <w:rsid w:val="004D104E"/>
    <w:rsid w:val="004D105A"/>
    <w:rsid w:val="004D1136"/>
    <w:rsid w:val="004D1179"/>
    <w:rsid w:val="004D117D"/>
    <w:rsid w:val="004D11B2"/>
    <w:rsid w:val="004D12CA"/>
    <w:rsid w:val="004D1326"/>
    <w:rsid w:val="004D134F"/>
    <w:rsid w:val="004D1390"/>
    <w:rsid w:val="004D1411"/>
    <w:rsid w:val="004D1498"/>
    <w:rsid w:val="004D1569"/>
    <w:rsid w:val="004D15F1"/>
    <w:rsid w:val="004D163B"/>
    <w:rsid w:val="004D165F"/>
    <w:rsid w:val="004D1856"/>
    <w:rsid w:val="004D185E"/>
    <w:rsid w:val="004D187E"/>
    <w:rsid w:val="004D1931"/>
    <w:rsid w:val="004D197A"/>
    <w:rsid w:val="004D19FB"/>
    <w:rsid w:val="004D1AD8"/>
    <w:rsid w:val="004D1AE4"/>
    <w:rsid w:val="004D1B62"/>
    <w:rsid w:val="004D1BAD"/>
    <w:rsid w:val="004D1BD7"/>
    <w:rsid w:val="004D1C80"/>
    <w:rsid w:val="004D1CA4"/>
    <w:rsid w:val="004D1CC3"/>
    <w:rsid w:val="004D1CD2"/>
    <w:rsid w:val="004D1CF6"/>
    <w:rsid w:val="004D1E3F"/>
    <w:rsid w:val="004D1FDD"/>
    <w:rsid w:val="004D206E"/>
    <w:rsid w:val="004D20B3"/>
    <w:rsid w:val="004D20B6"/>
    <w:rsid w:val="004D20CE"/>
    <w:rsid w:val="004D20DE"/>
    <w:rsid w:val="004D20F6"/>
    <w:rsid w:val="004D20FD"/>
    <w:rsid w:val="004D210E"/>
    <w:rsid w:val="004D2140"/>
    <w:rsid w:val="004D218E"/>
    <w:rsid w:val="004D219E"/>
    <w:rsid w:val="004D21AA"/>
    <w:rsid w:val="004D21FB"/>
    <w:rsid w:val="004D220C"/>
    <w:rsid w:val="004D22C2"/>
    <w:rsid w:val="004D22EE"/>
    <w:rsid w:val="004D2330"/>
    <w:rsid w:val="004D23C0"/>
    <w:rsid w:val="004D23ED"/>
    <w:rsid w:val="004D2444"/>
    <w:rsid w:val="004D2457"/>
    <w:rsid w:val="004D24DE"/>
    <w:rsid w:val="004D24E1"/>
    <w:rsid w:val="004D2544"/>
    <w:rsid w:val="004D2811"/>
    <w:rsid w:val="004D283D"/>
    <w:rsid w:val="004D285A"/>
    <w:rsid w:val="004D28A0"/>
    <w:rsid w:val="004D28B6"/>
    <w:rsid w:val="004D28E9"/>
    <w:rsid w:val="004D2936"/>
    <w:rsid w:val="004D2966"/>
    <w:rsid w:val="004D296A"/>
    <w:rsid w:val="004D2A17"/>
    <w:rsid w:val="004D2A95"/>
    <w:rsid w:val="004D2ABC"/>
    <w:rsid w:val="004D2B06"/>
    <w:rsid w:val="004D2C11"/>
    <w:rsid w:val="004D2C59"/>
    <w:rsid w:val="004D2C87"/>
    <w:rsid w:val="004D2D16"/>
    <w:rsid w:val="004D2D1F"/>
    <w:rsid w:val="004D2D23"/>
    <w:rsid w:val="004D2D3E"/>
    <w:rsid w:val="004D2D72"/>
    <w:rsid w:val="004D2E42"/>
    <w:rsid w:val="004D2ED9"/>
    <w:rsid w:val="004D2F82"/>
    <w:rsid w:val="004D3095"/>
    <w:rsid w:val="004D3100"/>
    <w:rsid w:val="004D315A"/>
    <w:rsid w:val="004D3164"/>
    <w:rsid w:val="004D3242"/>
    <w:rsid w:val="004D3310"/>
    <w:rsid w:val="004D3384"/>
    <w:rsid w:val="004D33DA"/>
    <w:rsid w:val="004D33EE"/>
    <w:rsid w:val="004D33F4"/>
    <w:rsid w:val="004D3471"/>
    <w:rsid w:val="004D3473"/>
    <w:rsid w:val="004D347B"/>
    <w:rsid w:val="004D34AB"/>
    <w:rsid w:val="004D35F3"/>
    <w:rsid w:val="004D3732"/>
    <w:rsid w:val="004D3735"/>
    <w:rsid w:val="004D3805"/>
    <w:rsid w:val="004D38E8"/>
    <w:rsid w:val="004D397F"/>
    <w:rsid w:val="004D3AC9"/>
    <w:rsid w:val="004D3C59"/>
    <w:rsid w:val="004D3D16"/>
    <w:rsid w:val="004D3DCD"/>
    <w:rsid w:val="004D3DE2"/>
    <w:rsid w:val="004D3EA0"/>
    <w:rsid w:val="004D3FCE"/>
    <w:rsid w:val="004D3FF2"/>
    <w:rsid w:val="004D42D1"/>
    <w:rsid w:val="004D43B1"/>
    <w:rsid w:val="004D4459"/>
    <w:rsid w:val="004D4547"/>
    <w:rsid w:val="004D45A1"/>
    <w:rsid w:val="004D45A7"/>
    <w:rsid w:val="004D45D8"/>
    <w:rsid w:val="004D473C"/>
    <w:rsid w:val="004D47D8"/>
    <w:rsid w:val="004D47EB"/>
    <w:rsid w:val="004D488E"/>
    <w:rsid w:val="004D4939"/>
    <w:rsid w:val="004D49B3"/>
    <w:rsid w:val="004D49C0"/>
    <w:rsid w:val="004D4A15"/>
    <w:rsid w:val="004D4ABD"/>
    <w:rsid w:val="004D4AFC"/>
    <w:rsid w:val="004D4B2B"/>
    <w:rsid w:val="004D4C0A"/>
    <w:rsid w:val="004D4C16"/>
    <w:rsid w:val="004D4C82"/>
    <w:rsid w:val="004D4CAB"/>
    <w:rsid w:val="004D4CEA"/>
    <w:rsid w:val="004D4D62"/>
    <w:rsid w:val="004D4DF6"/>
    <w:rsid w:val="004D4EFE"/>
    <w:rsid w:val="004D4FA2"/>
    <w:rsid w:val="004D4FDB"/>
    <w:rsid w:val="004D5024"/>
    <w:rsid w:val="004D50A8"/>
    <w:rsid w:val="004D5233"/>
    <w:rsid w:val="004D52A9"/>
    <w:rsid w:val="004D5357"/>
    <w:rsid w:val="004D53AB"/>
    <w:rsid w:val="004D53AC"/>
    <w:rsid w:val="004D53E2"/>
    <w:rsid w:val="004D540D"/>
    <w:rsid w:val="004D542E"/>
    <w:rsid w:val="004D54B1"/>
    <w:rsid w:val="004D54DA"/>
    <w:rsid w:val="004D556A"/>
    <w:rsid w:val="004D5652"/>
    <w:rsid w:val="004D5859"/>
    <w:rsid w:val="004D5872"/>
    <w:rsid w:val="004D593A"/>
    <w:rsid w:val="004D59DC"/>
    <w:rsid w:val="004D5AC7"/>
    <w:rsid w:val="004D5B32"/>
    <w:rsid w:val="004D5B88"/>
    <w:rsid w:val="004D5B97"/>
    <w:rsid w:val="004D5BD1"/>
    <w:rsid w:val="004D5C96"/>
    <w:rsid w:val="004D5CB3"/>
    <w:rsid w:val="004D5E38"/>
    <w:rsid w:val="004D5E98"/>
    <w:rsid w:val="004D5F5B"/>
    <w:rsid w:val="004D5FD6"/>
    <w:rsid w:val="004D5FF9"/>
    <w:rsid w:val="004D6024"/>
    <w:rsid w:val="004D609A"/>
    <w:rsid w:val="004D616C"/>
    <w:rsid w:val="004D6320"/>
    <w:rsid w:val="004D63D0"/>
    <w:rsid w:val="004D6484"/>
    <w:rsid w:val="004D6490"/>
    <w:rsid w:val="004D6537"/>
    <w:rsid w:val="004D6539"/>
    <w:rsid w:val="004D65BA"/>
    <w:rsid w:val="004D65E4"/>
    <w:rsid w:val="004D670F"/>
    <w:rsid w:val="004D673E"/>
    <w:rsid w:val="004D6781"/>
    <w:rsid w:val="004D695E"/>
    <w:rsid w:val="004D6A9A"/>
    <w:rsid w:val="004D6B43"/>
    <w:rsid w:val="004D6B85"/>
    <w:rsid w:val="004D6BCE"/>
    <w:rsid w:val="004D6C44"/>
    <w:rsid w:val="004D6C53"/>
    <w:rsid w:val="004D6CBA"/>
    <w:rsid w:val="004D6D87"/>
    <w:rsid w:val="004D6E19"/>
    <w:rsid w:val="004D6E56"/>
    <w:rsid w:val="004D6F8D"/>
    <w:rsid w:val="004D71F2"/>
    <w:rsid w:val="004D72C4"/>
    <w:rsid w:val="004D72D2"/>
    <w:rsid w:val="004D73F7"/>
    <w:rsid w:val="004D746F"/>
    <w:rsid w:val="004D75B2"/>
    <w:rsid w:val="004D7610"/>
    <w:rsid w:val="004D76B8"/>
    <w:rsid w:val="004D78E2"/>
    <w:rsid w:val="004D78EF"/>
    <w:rsid w:val="004D799F"/>
    <w:rsid w:val="004D79B5"/>
    <w:rsid w:val="004D7A29"/>
    <w:rsid w:val="004D7A59"/>
    <w:rsid w:val="004D7A5E"/>
    <w:rsid w:val="004D7A93"/>
    <w:rsid w:val="004D7ADD"/>
    <w:rsid w:val="004D7B81"/>
    <w:rsid w:val="004D7BB7"/>
    <w:rsid w:val="004D7BE5"/>
    <w:rsid w:val="004D7C2B"/>
    <w:rsid w:val="004D7C81"/>
    <w:rsid w:val="004D7CBB"/>
    <w:rsid w:val="004D7CEB"/>
    <w:rsid w:val="004D7DB8"/>
    <w:rsid w:val="004D7DBF"/>
    <w:rsid w:val="004D7EE5"/>
    <w:rsid w:val="004D7F57"/>
    <w:rsid w:val="004D7FAA"/>
    <w:rsid w:val="004D7FB4"/>
    <w:rsid w:val="004E001D"/>
    <w:rsid w:val="004E0063"/>
    <w:rsid w:val="004E00C3"/>
    <w:rsid w:val="004E00E6"/>
    <w:rsid w:val="004E012D"/>
    <w:rsid w:val="004E0316"/>
    <w:rsid w:val="004E0344"/>
    <w:rsid w:val="004E0445"/>
    <w:rsid w:val="004E0463"/>
    <w:rsid w:val="004E04E0"/>
    <w:rsid w:val="004E0550"/>
    <w:rsid w:val="004E05E4"/>
    <w:rsid w:val="004E05EA"/>
    <w:rsid w:val="004E063E"/>
    <w:rsid w:val="004E06E5"/>
    <w:rsid w:val="004E0756"/>
    <w:rsid w:val="004E07C1"/>
    <w:rsid w:val="004E07D4"/>
    <w:rsid w:val="004E084B"/>
    <w:rsid w:val="004E098E"/>
    <w:rsid w:val="004E09B9"/>
    <w:rsid w:val="004E09DD"/>
    <w:rsid w:val="004E0A61"/>
    <w:rsid w:val="004E0BBB"/>
    <w:rsid w:val="004E0BDF"/>
    <w:rsid w:val="004E0CB3"/>
    <w:rsid w:val="004E0CCD"/>
    <w:rsid w:val="004E0D6D"/>
    <w:rsid w:val="004E0D94"/>
    <w:rsid w:val="004E0DDB"/>
    <w:rsid w:val="004E0DFF"/>
    <w:rsid w:val="004E0E7A"/>
    <w:rsid w:val="004E0F8B"/>
    <w:rsid w:val="004E0F90"/>
    <w:rsid w:val="004E1021"/>
    <w:rsid w:val="004E1069"/>
    <w:rsid w:val="004E10B1"/>
    <w:rsid w:val="004E1111"/>
    <w:rsid w:val="004E114F"/>
    <w:rsid w:val="004E11E8"/>
    <w:rsid w:val="004E1269"/>
    <w:rsid w:val="004E128A"/>
    <w:rsid w:val="004E130E"/>
    <w:rsid w:val="004E147B"/>
    <w:rsid w:val="004E1580"/>
    <w:rsid w:val="004E16A4"/>
    <w:rsid w:val="004E16A9"/>
    <w:rsid w:val="004E16CA"/>
    <w:rsid w:val="004E172F"/>
    <w:rsid w:val="004E183A"/>
    <w:rsid w:val="004E1881"/>
    <w:rsid w:val="004E190A"/>
    <w:rsid w:val="004E195B"/>
    <w:rsid w:val="004E19C7"/>
    <w:rsid w:val="004E1A4A"/>
    <w:rsid w:val="004E1A53"/>
    <w:rsid w:val="004E1A8D"/>
    <w:rsid w:val="004E1AA9"/>
    <w:rsid w:val="004E1BA1"/>
    <w:rsid w:val="004E1BFA"/>
    <w:rsid w:val="004E1CC7"/>
    <w:rsid w:val="004E1FC3"/>
    <w:rsid w:val="004E1FC5"/>
    <w:rsid w:val="004E1FFC"/>
    <w:rsid w:val="004E20E0"/>
    <w:rsid w:val="004E2286"/>
    <w:rsid w:val="004E23AD"/>
    <w:rsid w:val="004E23F7"/>
    <w:rsid w:val="004E2421"/>
    <w:rsid w:val="004E2450"/>
    <w:rsid w:val="004E256D"/>
    <w:rsid w:val="004E2580"/>
    <w:rsid w:val="004E258A"/>
    <w:rsid w:val="004E2667"/>
    <w:rsid w:val="004E26E6"/>
    <w:rsid w:val="004E285D"/>
    <w:rsid w:val="004E28A9"/>
    <w:rsid w:val="004E2A8E"/>
    <w:rsid w:val="004E2AFE"/>
    <w:rsid w:val="004E2B2B"/>
    <w:rsid w:val="004E2B42"/>
    <w:rsid w:val="004E2B71"/>
    <w:rsid w:val="004E2C78"/>
    <w:rsid w:val="004E2CEF"/>
    <w:rsid w:val="004E2E52"/>
    <w:rsid w:val="004E2EAB"/>
    <w:rsid w:val="004E2F4F"/>
    <w:rsid w:val="004E3090"/>
    <w:rsid w:val="004E30AE"/>
    <w:rsid w:val="004E3157"/>
    <w:rsid w:val="004E318C"/>
    <w:rsid w:val="004E3193"/>
    <w:rsid w:val="004E31F7"/>
    <w:rsid w:val="004E321A"/>
    <w:rsid w:val="004E328B"/>
    <w:rsid w:val="004E32F3"/>
    <w:rsid w:val="004E3324"/>
    <w:rsid w:val="004E3443"/>
    <w:rsid w:val="004E3564"/>
    <w:rsid w:val="004E35BB"/>
    <w:rsid w:val="004E35BE"/>
    <w:rsid w:val="004E35DA"/>
    <w:rsid w:val="004E37D0"/>
    <w:rsid w:val="004E37E5"/>
    <w:rsid w:val="004E380C"/>
    <w:rsid w:val="004E3976"/>
    <w:rsid w:val="004E397A"/>
    <w:rsid w:val="004E3A24"/>
    <w:rsid w:val="004E3A58"/>
    <w:rsid w:val="004E3ABA"/>
    <w:rsid w:val="004E3B0A"/>
    <w:rsid w:val="004E3B60"/>
    <w:rsid w:val="004E3B9E"/>
    <w:rsid w:val="004E3C81"/>
    <w:rsid w:val="004E3CE0"/>
    <w:rsid w:val="004E3CEE"/>
    <w:rsid w:val="004E3DB6"/>
    <w:rsid w:val="004E3DD6"/>
    <w:rsid w:val="004E3E35"/>
    <w:rsid w:val="004E3F34"/>
    <w:rsid w:val="004E3F58"/>
    <w:rsid w:val="004E3FAF"/>
    <w:rsid w:val="004E4011"/>
    <w:rsid w:val="004E405C"/>
    <w:rsid w:val="004E4088"/>
    <w:rsid w:val="004E42A0"/>
    <w:rsid w:val="004E42C4"/>
    <w:rsid w:val="004E434E"/>
    <w:rsid w:val="004E43D1"/>
    <w:rsid w:val="004E4423"/>
    <w:rsid w:val="004E450A"/>
    <w:rsid w:val="004E4521"/>
    <w:rsid w:val="004E45B1"/>
    <w:rsid w:val="004E463A"/>
    <w:rsid w:val="004E4644"/>
    <w:rsid w:val="004E46E9"/>
    <w:rsid w:val="004E4738"/>
    <w:rsid w:val="004E4741"/>
    <w:rsid w:val="004E47EB"/>
    <w:rsid w:val="004E4875"/>
    <w:rsid w:val="004E488C"/>
    <w:rsid w:val="004E48C9"/>
    <w:rsid w:val="004E49BD"/>
    <w:rsid w:val="004E49DA"/>
    <w:rsid w:val="004E4A7B"/>
    <w:rsid w:val="004E4AD2"/>
    <w:rsid w:val="004E4BE3"/>
    <w:rsid w:val="004E4C14"/>
    <w:rsid w:val="004E4C5C"/>
    <w:rsid w:val="004E4C9E"/>
    <w:rsid w:val="004E4CC2"/>
    <w:rsid w:val="004E4D21"/>
    <w:rsid w:val="004E4D2F"/>
    <w:rsid w:val="004E4DE6"/>
    <w:rsid w:val="004E4E5B"/>
    <w:rsid w:val="004E4E77"/>
    <w:rsid w:val="004E4EC2"/>
    <w:rsid w:val="004E4EED"/>
    <w:rsid w:val="004E4FB5"/>
    <w:rsid w:val="004E5002"/>
    <w:rsid w:val="004E51A0"/>
    <w:rsid w:val="004E51A1"/>
    <w:rsid w:val="004E51EA"/>
    <w:rsid w:val="004E525C"/>
    <w:rsid w:val="004E5282"/>
    <w:rsid w:val="004E52A6"/>
    <w:rsid w:val="004E530C"/>
    <w:rsid w:val="004E538B"/>
    <w:rsid w:val="004E53E3"/>
    <w:rsid w:val="004E53F2"/>
    <w:rsid w:val="004E5408"/>
    <w:rsid w:val="004E545A"/>
    <w:rsid w:val="004E553F"/>
    <w:rsid w:val="004E5611"/>
    <w:rsid w:val="004E5676"/>
    <w:rsid w:val="004E56BA"/>
    <w:rsid w:val="004E56DB"/>
    <w:rsid w:val="004E571B"/>
    <w:rsid w:val="004E5765"/>
    <w:rsid w:val="004E5801"/>
    <w:rsid w:val="004E5878"/>
    <w:rsid w:val="004E58B1"/>
    <w:rsid w:val="004E58B8"/>
    <w:rsid w:val="004E5977"/>
    <w:rsid w:val="004E5A9F"/>
    <w:rsid w:val="004E5BA3"/>
    <w:rsid w:val="004E5C1B"/>
    <w:rsid w:val="004E5C45"/>
    <w:rsid w:val="004E5C8E"/>
    <w:rsid w:val="004E5CA9"/>
    <w:rsid w:val="004E5CB9"/>
    <w:rsid w:val="004E5CD5"/>
    <w:rsid w:val="004E5CFA"/>
    <w:rsid w:val="004E5D45"/>
    <w:rsid w:val="004E5D84"/>
    <w:rsid w:val="004E5F78"/>
    <w:rsid w:val="004E60A3"/>
    <w:rsid w:val="004E60B5"/>
    <w:rsid w:val="004E611E"/>
    <w:rsid w:val="004E612C"/>
    <w:rsid w:val="004E6207"/>
    <w:rsid w:val="004E6287"/>
    <w:rsid w:val="004E62FE"/>
    <w:rsid w:val="004E6360"/>
    <w:rsid w:val="004E6368"/>
    <w:rsid w:val="004E6390"/>
    <w:rsid w:val="004E6415"/>
    <w:rsid w:val="004E65EB"/>
    <w:rsid w:val="004E6727"/>
    <w:rsid w:val="004E679F"/>
    <w:rsid w:val="004E67D0"/>
    <w:rsid w:val="004E682C"/>
    <w:rsid w:val="004E6859"/>
    <w:rsid w:val="004E68C2"/>
    <w:rsid w:val="004E6B18"/>
    <w:rsid w:val="004E6B3A"/>
    <w:rsid w:val="004E6BE3"/>
    <w:rsid w:val="004E6C63"/>
    <w:rsid w:val="004E6CDC"/>
    <w:rsid w:val="004E6D09"/>
    <w:rsid w:val="004E6D2F"/>
    <w:rsid w:val="004E6D57"/>
    <w:rsid w:val="004E6D8F"/>
    <w:rsid w:val="004E6DCF"/>
    <w:rsid w:val="004E6DEF"/>
    <w:rsid w:val="004E6E07"/>
    <w:rsid w:val="004E6E22"/>
    <w:rsid w:val="004E6EE7"/>
    <w:rsid w:val="004E6F1B"/>
    <w:rsid w:val="004E6F9C"/>
    <w:rsid w:val="004E7034"/>
    <w:rsid w:val="004E7069"/>
    <w:rsid w:val="004E711A"/>
    <w:rsid w:val="004E712D"/>
    <w:rsid w:val="004E715D"/>
    <w:rsid w:val="004E715E"/>
    <w:rsid w:val="004E7193"/>
    <w:rsid w:val="004E71A4"/>
    <w:rsid w:val="004E71BB"/>
    <w:rsid w:val="004E7272"/>
    <w:rsid w:val="004E72DE"/>
    <w:rsid w:val="004E7343"/>
    <w:rsid w:val="004E738D"/>
    <w:rsid w:val="004E739A"/>
    <w:rsid w:val="004E7408"/>
    <w:rsid w:val="004E74F9"/>
    <w:rsid w:val="004E74FE"/>
    <w:rsid w:val="004E754F"/>
    <w:rsid w:val="004E7590"/>
    <w:rsid w:val="004E767A"/>
    <w:rsid w:val="004E7723"/>
    <w:rsid w:val="004E77E4"/>
    <w:rsid w:val="004E78B0"/>
    <w:rsid w:val="004E78BF"/>
    <w:rsid w:val="004E79EF"/>
    <w:rsid w:val="004E7A79"/>
    <w:rsid w:val="004E7AE6"/>
    <w:rsid w:val="004E7BC7"/>
    <w:rsid w:val="004E7BD8"/>
    <w:rsid w:val="004E7C0E"/>
    <w:rsid w:val="004E7C58"/>
    <w:rsid w:val="004E7C94"/>
    <w:rsid w:val="004E7CC4"/>
    <w:rsid w:val="004E7D12"/>
    <w:rsid w:val="004E7D16"/>
    <w:rsid w:val="004E7D2B"/>
    <w:rsid w:val="004E7D5C"/>
    <w:rsid w:val="004E7E53"/>
    <w:rsid w:val="004E7EEC"/>
    <w:rsid w:val="004E7F59"/>
    <w:rsid w:val="004E7FF3"/>
    <w:rsid w:val="004F0017"/>
    <w:rsid w:val="004F0034"/>
    <w:rsid w:val="004F00C3"/>
    <w:rsid w:val="004F01B2"/>
    <w:rsid w:val="004F021C"/>
    <w:rsid w:val="004F0248"/>
    <w:rsid w:val="004F02AC"/>
    <w:rsid w:val="004F031E"/>
    <w:rsid w:val="004F036F"/>
    <w:rsid w:val="004F0383"/>
    <w:rsid w:val="004F0419"/>
    <w:rsid w:val="004F0424"/>
    <w:rsid w:val="004F0428"/>
    <w:rsid w:val="004F044F"/>
    <w:rsid w:val="004F0455"/>
    <w:rsid w:val="004F0498"/>
    <w:rsid w:val="004F04A8"/>
    <w:rsid w:val="004F04D7"/>
    <w:rsid w:val="004F055A"/>
    <w:rsid w:val="004F0564"/>
    <w:rsid w:val="004F05DC"/>
    <w:rsid w:val="004F067A"/>
    <w:rsid w:val="004F068B"/>
    <w:rsid w:val="004F06F7"/>
    <w:rsid w:val="004F0716"/>
    <w:rsid w:val="004F07A0"/>
    <w:rsid w:val="004F0883"/>
    <w:rsid w:val="004F0929"/>
    <w:rsid w:val="004F09A9"/>
    <w:rsid w:val="004F0A63"/>
    <w:rsid w:val="004F0ADD"/>
    <w:rsid w:val="004F0B5E"/>
    <w:rsid w:val="004F0B8C"/>
    <w:rsid w:val="004F0BBB"/>
    <w:rsid w:val="004F0BE5"/>
    <w:rsid w:val="004F0D05"/>
    <w:rsid w:val="004F0E59"/>
    <w:rsid w:val="004F0EF5"/>
    <w:rsid w:val="004F0F17"/>
    <w:rsid w:val="004F0F65"/>
    <w:rsid w:val="004F0FF4"/>
    <w:rsid w:val="004F1024"/>
    <w:rsid w:val="004F1084"/>
    <w:rsid w:val="004F10AB"/>
    <w:rsid w:val="004F111A"/>
    <w:rsid w:val="004F119A"/>
    <w:rsid w:val="004F11E3"/>
    <w:rsid w:val="004F11F0"/>
    <w:rsid w:val="004F12B3"/>
    <w:rsid w:val="004F139E"/>
    <w:rsid w:val="004F13F3"/>
    <w:rsid w:val="004F1407"/>
    <w:rsid w:val="004F1475"/>
    <w:rsid w:val="004F14B2"/>
    <w:rsid w:val="004F152E"/>
    <w:rsid w:val="004F1594"/>
    <w:rsid w:val="004F15BA"/>
    <w:rsid w:val="004F15E3"/>
    <w:rsid w:val="004F1604"/>
    <w:rsid w:val="004F1723"/>
    <w:rsid w:val="004F1761"/>
    <w:rsid w:val="004F17FB"/>
    <w:rsid w:val="004F180E"/>
    <w:rsid w:val="004F1840"/>
    <w:rsid w:val="004F195D"/>
    <w:rsid w:val="004F1A8F"/>
    <w:rsid w:val="004F1BAB"/>
    <w:rsid w:val="004F1C44"/>
    <w:rsid w:val="004F1C84"/>
    <w:rsid w:val="004F1D28"/>
    <w:rsid w:val="004F1D3A"/>
    <w:rsid w:val="004F1DF9"/>
    <w:rsid w:val="004F1EE4"/>
    <w:rsid w:val="004F1EF5"/>
    <w:rsid w:val="004F1F5E"/>
    <w:rsid w:val="004F2020"/>
    <w:rsid w:val="004F20C6"/>
    <w:rsid w:val="004F210D"/>
    <w:rsid w:val="004F21D9"/>
    <w:rsid w:val="004F2307"/>
    <w:rsid w:val="004F2396"/>
    <w:rsid w:val="004F23C5"/>
    <w:rsid w:val="004F2479"/>
    <w:rsid w:val="004F24AF"/>
    <w:rsid w:val="004F25B9"/>
    <w:rsid w:val="004F25C6"/>
    <w:rsid w:val="004F25DF"/>
    <w:rsid w:val="004F261F"/>
    <w:rsid w:val="004F2649"/>
    <w:rsid w:val="004F2680"/>
    <w:rsid w:val="004F268F"/>
    <w:rsid w:val="004F26CF"/>
    <w:rsid w:val="004F26D7"/>
    <w:rsid w:val="004F2710"/>
    <w:rsid w:val="004F2722"/>
    <w:rsid w:val="004F2737"/>
    <w:rsid w:val="004F2769"/>
    <w:rsid w:val="004F27AF"/>
    <w:rsid w:val="004F2867"/>
    <w:rsid w:val="004F2932"/>
    <w:rsid w:val="004F294B"/>
    <w:rsid w:val="004F2987"/>
    <w:rsid w:val="004F2A24"/>
    <w:rsid w:val="004F2C3C"/>
    <w:rsid w:val="004F2CED"/>
    <w:rsid w:val="004F2D2A"/>
    <w:rsid w:val="004F2D69"/>
    <w:rsid w:val="004F2EEA"/>
    <w:rsid w:val="004F2FC8"/>
    <w:rsid w:val="004F2FFD"/>
    <w:rsid w:val="004F300D"/>
    <w:rsid w:val="004F3127"/>
    <w:rsid w:val="004F312B"/>
    <w:rsid w:val="004F31D2"/>
    <w:rsid w:val="004F31D8"/>
    <w:rsid w:val="004F327A"/>
    <w:rsid w:val="004F32C0"/>
    <w:rsid w:val="004F33BE"/>
    <w:rsid w:val="004F3447"/>
    <w:rsid w:val="004F3464"/>
    <w:rsid w:val="004F34DE"/>
    <w:rsid w:val="004F356E"/>
    <w:rsid w:val="004F35BE"/>
    <w:rsid w:val="004F35CC"/>
    <w:rsid w:val="004F35DB"/>
    <w:rsid w:val="004F3663"/>
    <w:rsid w:val="004F3719"/>
    <w:rsid w:val="004F37E3"/>
    <w:rsid w:val="004F37EE"/>
    <w:rsid w:val="004F3912"/>
    <w:rsid w:val="004F39F8"/>
    <w:rsid w:val="004F3A0F"/>
    <w:rsid w:val="004F3A3C"/>
    <w:rsid w:val="004F3A4D"/>
    <w:rsid w:val="004F3A54"/>
    <w:rsid w:val="004F3AC1"/>
    <w:rsid w:val="004F3ACA"/>
    <w:rsid w:val="004F3B78"/>
    <w:rsid w:val="004F3B89"/>
    <w:rsid w:val="004F3B8E"/>
    <w:rsid w:val="004F3C47"/>
    <w:rsid w:val="004F3D93"/>
    <w:rsid w:val="004F3DA0"/>
    <w:rsid w:val="004F3DB7"/>
    <w:rsid w:val="004F3E45"/>
    <w:rsid w:val="004F3E63"/>
    <w:rsid w:val="004F3EB0"/>
    <w:rsid w:val="004F3EE5"/>
    <w:rsid w:val="004F3F3E"/>
    <w:rsid w:val="004F3F5D"/>
    <w:rsid w:val="004F3F7A"/>
    <w:rsid w:val="004F405F"/>
    <w:rsid w:val="004F4091"/>
    <w:rsid w:val="004F40BA"/>
    <w:rsid w:val="004F410E"/>
    <w:rsid w:val="004F41EC"/>
    <w:rsid w:val="004F41FE"/>
    <w:rsid w:val="004F424C"/>
    <w:rsid w:val="004F42AE"/>
    <w:rsid w:val="004F42D4"/>
    <w:rsid w:val="004F4341"/>
    <w:rsid w:val="004F4347"/>
    <w:rsid w:val="004F43C9"/>
    <w:rsid w:val="004F4401"/>
    <w:rsid w:val="004F4429"/>
    <w:rsid w:val="004F4483"/>
    <w:rsid w:val="004F44EB"/>
    <w:rsid w:val="004F4574"/>
    <w:rsid w:val="004F45DC"/>
    <w:rsid w:val="004F4608"/>
    <w:rsid w:val="004F4636"/>
    <w:rsid w:val="004F466B"/>
    <w:rsid w:val="004F4705"/>
    <w:rsid w:val="004F47A9"/>
    <w:rsid w:val="004F47BA"/>
    <w:rsid w:val="004F4802"/>
    <w:rsid w:val="004F489D"/>
    <w:rsid w:val="004F4924"/>
    <w:rsid w:val="004F4933"/>
    <w:rsid w:val="004F4B16"/>
    <w:rsid w:val="004F4BED"/>
    <w:rsid w:val="004F4BF7"/>
    <w:rsid w:val="004F4CF1"/>
    <w:rsid w:val="004F4DA4"/>
    <w:rsid w:val="004F4EC7"/>
    <w:rsid w:val="004F4EFC"/>
    <w:rsid w:val="004F4FAE"/>
    <w:rsid w:val="004F4FCE"/>
    <w:rsid w:val="004F4FD1"/>
    <w:rsid w:val="004F508C"/>
    <w:rsid w:val="004F50C1"/>
    <w:rsid w:val="004F510F"/>
    <w:rsid w:val="004F518F"/>
    <w:rsid w:val="004F5296"/>
    <w:rsid w:val="004F52A9"/>
    <w:rsid w:val="004F52C9"/>
    <w:rsid w:val="004F5390"/>
    <w:rsid w:val="004F541B"/>
    <w:rsid w:val="004F542E"/>
    <w:rsid w:val="004F545F"/>
    <w:rsid w:val="004F54B2"/>
    <w:rsid w:val="004F5680"/>
    <w:rsid w:val="004F56A7"/>
    <w:rsid w:val="004F56D7"/>
    <w:rsid w:val="004F5862"/>
    <w:rsid w:val="004F5872"/>
    <w:rsid w:val="004F5882"/>
    <w:rsid w:val="004F592E"/>
    <w:rsid w:val="004F592F"/>
    <w:rsid w:val="004F59BB"/>
    <w:rsid w:val="004F59C3"/>
    <w:rsid w:val="004F5A5B"/>
    <w:rsid w:val="004F5A70"/>
    <w:rsid w:val="004F5AE3"/>
    <w:rsid w:val="004F5B74"/>
    <w:rsid w:val="004F5B80"/>
    <w:rsid w:val="004F5B88"/>
    <w:rsid w:val="004F5BDD"/>
    <w:rsid w:val="004F5BFB"/>
    <w:rsid w:val="004F5D34"/>
    <w:rsid w:val="004F5EEA"/>
    <w:rsid w:val="004F5EF2"/>
    <w:rsid w:val="004F5F81"/>
    <w:rsid w:val="004F5F9C"/>
    <w:rsid w:val="004F5FFE"/>
    <w:rsid w:val="004F6077"/>
    <w:rsid w:val="004F60B4"/>
    <w:rsid w:val="004F60C9"/>
    <w:rsid w:val="004F6178"/>
    <w:rsid w:val="004F61B8"/>
    <w:rsid w:val="004F6462"/>
    <w:rsid w:val="004F64BE"/>
    <w:rsid w:val="004F64D2"/>
    <w:rsid w:val="004F656F"/>
    <w:rsid w:val="004F6570"/>
    <w:rsid w:val="004F6650"/>
    <w:rsid w:val="004F674C"/>
    <w:rsid w:val="004F6771"/>
    <w:rsid w:val="004F67A6"/>
    <w:rsid w:val="004F67CC"/>
    <w:rsid w:val="004F6805"/>
    <w:rsid w:val="004F6808"/>
    <w:rsid w:val="004F686C"/>
    <w:rsid w:val="004F6970"/>
    <w:rsid w:val="004F6A07"/>
    <w:rsid w:val="004F6A09"/>
    <w:rsid w:val="004F6ABD"/>
    <w:rsid w:val="004F6AC4"/>
    <w:rsid w:val="004F6B9B"/>
    <w:rsid w:val="004F6D37"/>
    <w:rsid w:val="004F6E1C"/>
    <w:rsid w:val="004F6E3E"/>
    <w:rsid w:val="004F6E9C"/>
    <w:rsid w:val="004F6EC6"/>
    <w:rsid w:val="004F6FA2"/>
    <w:rsid w:val="004F6FBF"/>
    <w:rsid w:val="004F707B"/>
    <w:rsid w:val="004F70F9"/>
    <w:rsid w:val="004F71D8"/>
    <w:rsid w:val="004F730D"/>
    <w:rsid w:val="004F732D"/>
    <w:rsid w:val="004F7370"/>
    <w:rsid w:val="004F741B"/>
    <w:rsid w:val="004F744D"/>
    <w:rsid w:val="004F748A"/>
    <w:rsid w:val="004F74A0"/>
    <w:rsid w:val="004F74F0"/>
    <w:rsid w:val="004F7671"/>
    <w:rsid w:val="004F76A5"/>
    <w:rsid w:val="004F7702"/>
    <w:rsid w:val="004F7725"/>
    <w:rsid w:val="004F7833"/>
    <w:rsid w:val="004F7836"/>
    <w:rsid w:val="004F7887"/>
    <w:rsid w:val="004F788D"/>
    <w:rsid w:val="004F78CE"/>
    <w:rsid w:val="004F7980"/>
    <w:rsid w:val="004F79B1"/>
    <w:rsid w:val="004F79D0"/>
    <w:rsid w:val="004F7B8A"/>
    <w:rsid w:val="004F7BDA"/>
    <w:rsid w:val="004F7CC4"/>
    <w:rsid w:val="004F7CDE"/>
    <w:rsid w:val="004F7D5D"/>
    <w:rsid w:val="004F7D7D"/>
    <w:rsid w:val="004F7D9A"/>
    <w:rsid w:val="004F7DCB"/>
    <w:rsid w:val="004F7DD5"/>
    <w:rsid w:val="004F7E92"/>
    <w:rsid w:val="004F7EC2"/>
    <w:rsid w:val="004F7FBE"/>
    <w:rsid w:val="004F7FFB"/>
    <w:rsid w:val="0050007B"/>
    <w:rsid w:val="00500163"/>
    <w:rsid w:val="00500164"/>
    <w:rsid w:val="005001AF"/>
    <w:rsid w:val="00500281"/>
    <w:rsid w:val="005002F5"/>
    <w:rsid w:val="00500496"/>
    <w:rsid w:val="005004CA"/>
    <w:rsid w:val="005004F7"/>
    <w:rsid w:val="00500554"/>
    <w:rsid w:val="00500591"/>
    <w:rsid w:val="005005E9"/>
    <w:rsid w:val="0050072E"/>
    <w:rsid w:val="00500777"/>
    <w:rsid w:val="005007D0"/>
    <w:rsid w:val="005007FC"/>
    <w:rsid w:val="00500836"/>
    <w:rsid w:val="0050084E"/>
    <w:rsid w:val="00500879"/>
    <w:rsid w:val="0050087C"/>
    <w:rsid w:val="005008EE"/>
    <w:rsid w:val="00500961"/>
    <w:rsid w:val="00500978"/>
    <w:rsid w:val="00500981"/>
    <w:rsid w:val="005009BE"/>
    <w:rsid w:val="00500A31"/>
    <w:rsid w:val="00500A5D"/>
    <w:rsid w:val="00500B81"/>
    <w:rsid w:val="00500BA2"/>
    <w:rsid w:val="00500BCA"/>
    <w:rsid w:val="00500C4D"/>
    <w:rsid w:val="00500EFB"/>
    <w:rsid w:val="00500FFA"/>
    <w:rsid w:val="005011A1"/>
    <w:rsid w:val="005011C6"/>
    <w:rsid w:val="0050120F"/>
    <w:rsid w:val="0050131F"/>
    <w:rsid w:val="00501468"/>
    <w:rsid w:val="00501515"/>
    <w:rsid w:val="00501562"/>
    <w:rsid w:val="00501574"/>
    <w:rsid w:val="005016E8"/>
    <w:rsid w:val="00501776"/>
    <w:rsid w:val="005017F6"/>
    <w:rsid w:val="00501824"/>
    <w:rsid w:val="00501868"/>
    <w:rsid w:val="005018BB"/>
    <w:rsid w:val="005018E5"/>
    <w:rsid w:val="00501976"/>
    <w:rsid w:val="0050198F"/>
    <w:rsid w:val="00501A44"/>
    <w:rsid w:val="00501A59"/>
    <w:rsid w:val="00501A8A"/>
    <w:rsid w:val="00501BC7"/>
    <w:rsid w:val="00501CD3"/>
    <w:rsid w:val="00501D27"/>
    <w:rsid w:val="00501D34"/>
    <w:rsid w:val="00501D6E"/>
    <w:rsid w:val="00501D70"/>
    <w:rsid w:val="00501D85"/>
    <w:rsid w:val="0050206E"/>
    <w:rsid w:val="00502125"/>
    <w:rsid w:val="0050219F"/>
    <w:rsid w:val="005021A7"/>
    <w:rsid w:val="00502244"/>
    <w:rsid w:val="0050225F"/>
    <w:rsid w:val="0050231E"/>
    <w:rsid w:val="00502358"/>
    <w:rsid w:val="00502401"/>
    <w:rsid w:val="0050242C"/>
    <w:rsid w:val="005025AE"/>
    <w:rsid w:val="00502627"/>
    <w:rsid w:val="005026E4"/>
    <w:rsid w:val="005026EB"/>
    <w:rsid w:val="0050270C"/>
    <w:rsid w:val="005027BE"/>
    <w:rsid w:val="00502826"/>
    <w:rsid w:val="00502838"/>
    <w:rsid w:val="005028A1"/>
    <w:rsid w:val="00502972"/>
    <w:rsid w:val="00502984"/>
    <w:rsid w:val="005029C6"/>
    <w:rsid w:val="00502A05"/>
    <w:rsid w:val="00502A5A"/>
    <w:rsid w:val="00502A78"/>
    <w:rsid w:val="00502AB7"/>
    <w:rsid w:val="00502ADB"/>
    <w:rsid w:val="00502B6E"/>
    <w:rsid w:val="00502BB9"/>
    <w:rsid w:val="00502CA8"/>
    <w:rsid w:val="00502DAF"/>
    <w:rsid w:val="00502DF2"/>
    <w:rsid w:val="00502EDB"/>
    <w:rsid w:val="00502F33"/>
    <w:rsid w:val="00502F3E"/>
    <w:rsid w:val="00502F79"/>
    <w:rsid w:val="00502F9A"/>
    <w:rsid w:val="0050302A"/>
    <w:rsid w:val="005030C7"/>
    <w:rsid w:val="005030D2"/>
    <w:rsid w:val="00503194"/>
    <w:rsid w:val="005031B6"/>
    <w:rsid w:val="00503226"/>
    <w:rsid w:val="005032F0"/>
    <w:rsid w:val="0050332E"/>
    <w:rsid w:val="00503332"/>
    <w:rsid w:val="0050336F"/>
    <w:rsid w:val="00503389"/>
    <w:rsid w:val="005033B9"/>
    <w:rsid w:val="005033EC"/>
    <w:rsid w:val="00503415"/>
    <w:rsid w:val="005035C4"/>
    <w:rsid w:val="00503665"/>
    <w:rsid w:val="005036C3"/>
    <w:rsid w:val="005036F1"/>
    <w:rsid w:val="00503759"/>
    <w:rsid w:val="005037B0"/>
    <w:rsid w:val="00503889"/>
    <w:rsid w:val="005038ED"/>
    <w:rsid w:val="00503965"/>
    <w:rsid w:val="00503972"/>
    <w:rsid w:val="00503992"/>
    <w:rsid w:val="005039B6"/>
    <w:rsid w:val="005039F7"/>
    <w:rsid w:val="00503A0D"/>
    <w:rsid w:val="00503A5F"/>
    <w:rsid w:val="00503B01"/>
    <w:rsid w:val="00503B04"/>
    <w:rsid w:val="00503C72"/>
    <w:rsid w:val="00503CD3"/>
    <w:rsid w:val="00503CE4"/>
    <w:rsid w:val="00503CEC"/>
    <w:rsid w:val="00503EF7"/>
    <w:rsid w:val="00503F19"/>
    <w:rsid w:val="00503F89"/>
    <w:rsid w:val="00503FA3"/>
    <w:rsid w:val="00504064"/>
    <w:rsid w:val="0050412C"/>
    <w:rsid w:val="00504186"/>
    <w:rsid w:val="00504210"/>
    <w:rsid w:val="0050432B"/>
    <w:rsid w:val="00504440"/>
    <w:rsid w:val="00504466"/>
    <w:rsid w:val="0050449B"/>
    <w:rsid w:val="00504515"/>
    <w:rsid w:val="0050452E"/>
    <w:rsid w:val="0050455B"/>
    <w:rsid w:val="005045E7"/>
    <w:rsid w:val="00504640"/>
    <w:rsid w:val="0050468C"/>
    <w:rsid w:val="005046F7"/>
    <w:rsid w:val="00504739"/>
    <w:rsid w:val="00504918"/>
    <w:rsid w:val="00504999"/>
    <w:rsid w:val="00504B08"/>
    <w:rsid w:val="00504C32"/>
    <w:rsid w:val="00504D14"/>
    <w:rsid w:val="00504D2B"/>
    <w:rsid w:val="00504E49"/>
    <w:rsid w:val="00504E5E"/>
    <w:rsid w:val="00504F06"/>
    <w:rsid w:val="00504FB8"/>
    <w:rsid w:val="00504FE1"/>
    <w:rsid w:val="005050CB"/>
    <w:rsid w:val="005050EC"/>
    <w:rsid w:val="00505102"/>
    <w:rsid w:val="0050514D"/>
    <w:rsid w:val="00505157"/>
    <w:rsid w:val="005051F6"/>
    <w:rsid w:val="005051FF"/>
    <w:rsid w:val="00505294"/>
    <w:rsid w:val="005052D8"/>
    <w:rsid w:val="005052EA"/>
    <w:rsid w:val="00505303"/>
    <w:rsid w:val="00505323"/>
    <w:rsid w:val="0050538B"/>
    <w:rsid w:val="00505560"/>
    <w:rsid w:val="005055ED"/>
    <w:rsid w:val="005055FF"/>
    <w:rsid w:val="00505612"/>
    <w:rsid w:val="00505690"/>
    <w:rsid w:val="00505714"/>
    <w:rsid w:val="00505727"/>
    <w:rsid w:val="0050576C"/>
    <w:rsid w:val="00505825"/>
    <w:rsid w:val="005058C1"/>
    <w:rsid w:val="005058CD"/>
    <w:rsid w:val="00505954"/>
    <w:rsid w:val="00505960"/>
    <w:rsid w:val="0050599F"/>
    <w:rsid w:val="005059E8"/>
    <w:rsid w:val="00505A01"/>
    <w:rsid w:val="00505A22"/>
    <w:rsid w:val="00505BBD"/>
    <w:rsid w:val="00505C82"/>
    <w:rsid w:val="00505C87"/>
    <w:rsid w:val="00505CDC"/>
    <w:rsid w:val="00505CF5"/>
    <w:rsid w:val="00505D00"/>
    <w:rsid w:val="00505D67"/>
    <w:rsid w:val="00505DEA"/>
    <w:rsid w:val="00505E59"/>
    <w:rsid w:val="00505EDC"/>
    <w:rsid w:val="00505F00"/>
    <w:rsid w:val="00505F28"/>
    <w:rsid w:val="00505F2C"/>
    <w:rsid w:val="00505F55"/>
    <w:rsid w:val="00505F88"/>
    <w:rsid w:val="00505FA3"/>
    <w:rsid w:val="00506014"/>
    <w:rsid w:val="0050602F"/>
    <w:rsid w:val="005060F8"/>
    <w:rsid w:val="00506133"/>
    <w:rsid w:val="005061A5"/>
    <w:rsid w:val="005061B1"/>
    <w:rsid w:val="005062CC"/>
    <w:rsid w:val="00506363"/>
    <w:rsid w:val="005064B3"/>
    <w:rsid w:val="00506638"/>
    <w:rsid w:val="00506764"/>
    <w:rsid w:val="00506787"/>
    <w:rsid w:val="00506790"/>
    <w:rsid w:val="00506791"/>
    <w:rsid w:val="005067BA"/>
    <w:rsid w:val="0050686A"/>
    <w:rsid w:val="0050686C"/>
    <w:rsid w:val="005068D0"/>
    <w:rsid w:val="00506906"/>
    <w:rsid w:val="005069D7"/>
    <w:rsid w:val="00506A6A"/>
    <w:rsid w:val="00506AEB"/>
    <w:rsid w:val="00506B05"/>
    <w:rsid w:val="00506B70"/>
    <w:rsid w:val="00506B7F"/>
    <w:rsid w:val="00506B9D"/>
    <w:rsid w:val="00506BC4"/>
    <w:rsid w:val="00506CB7"/>
    <w:rsid w:val="00506D9A"/>
    <w:rsid w:val="0050701B"/>
    <w:rsid w:val="0050713C"/>
    <w:rsid w:val="0050713D"/>
    <w:rsid w:val="0050718D"/>
    <w:rsid w:val="005071FA"/>
    <w:rsid w:val="00507200"/>
    <w:rsid w:val="00507250"/>
    <w:rsid w:val="00507257"/>
    <w:rsid w:val="005072DA"/>
    <w:rsid w:val="00507339"/>
    <w:rsid w:val="00507475"/>
    <w:rsid w:val="005074E3"/>
    <w:rsid w:val="005074FF"/>
    <w:rsid w:val="0050759B"/>
    <w:rsid w:val="00507635"/>
    <w:rsid w:val="0050765E"/>
    <w:rsid w:val="005076D6"/>
    <w:rsid w:val="00507705"/>
    <w:rsid w:val="00507751"/>
    <w:rsid w:val="00507AC4"/>
    <w:rsid w:val="00507AEC"/>
    <w:rsid w:val="00507C0D"/>
    <w:rsid w:val="00507CD4"/>
    <w:rsid w:val="00507D12"/>
    <w:rsid w:val="00507D45"/>
    <w:rsid w:val="00507DCF"/>
    <w:rsid w:val="00507DF6"/>
    <w:rsid w:val="00507ECF"/>
    <w:rsid w:val="00507FE7"/>
    <w:rsid w:val="00510012"/>
    <w:rsid w:val="00510040"/>
    <w:rsid w:val="00510048"/>
    <w:rsid w:val="0051007E"/>
    <w:rsid w:val="005101B6"/>
    <w:rsid w:val="00510232"/>
    <w:rsid w:val="005103B4"/>
    <w:rsid w:val="0051052E"/>
    <w:rsid w:val="00510705"/>
    <w:rsid w:val="0051074D"/>
    <w:rsid w:val="005107E6"/>
    <w:rsid w:val="00510823"/>
    <w:rsid w:val="00510862"/>
    <w:rsid w:val="005108B9"/>
    <w:rsid w:val="005108E7"/>
    <w:rsid w:val="00510A0F"/>
    <w:rsid w:val="00510AA9"/>
    <w:rsid w:val="00510AAB"/>
    <w:rsid w:val="00510B39"/>
    <w:rsid w:val="00510B3C"/>
    <w:rsid w:val="00510B92"/>
    <w:rsid w:val="00510BBC"/>
    <w:rsid w:val="00510CA5"/>
    <w:rsid w:val="00510CB2"/>
    <w:rsid w:val="00510CFE"/>
    <w:rsid w:val="00510D93"/>
    <w:rsid w:val="00510E19"/>
    <w:rsid w:val="00510E2A"/>
    <w:rsid w:val="00510EF8"/>
    <w:rsid w:val="00510F53"/>
    <w:rsid w:val="00510FAA"/>
    <w:rsid w:val="00511024"/>
    <w:rsid w:val="005110F9"/>
    <w:rsid w:val="00511133"/>
    <w:rsid w:val="00511158"/>
    <w:rsid w:val="005111E9"/>
    <w:rsid w:val="00511296"/>
    <w:rsid w:val="005112AB"/>
    <w:rsid w:val="00511308"/>
    <w:rsid w:val="0051140C"/>
    <w:rsid w:val="00511479"/>
    <w:rsid w:val="005114EA"/>
    <w:rsid w:val="0051153A"/>
    <w:rsid w:val="0051153D"/>
    <w:rsid w:val="00511594"/>
    <w:rsid w:val="005115BB"/>
    <w:rsid w:val="005115C6"/>
    <w:rsid w:val="00511707"/>
    <w:rsid w:val="005118DD"/>
    <w:rsid w:val="00511929"/>
    <w:rsid w:val="00511962"/>
    <w:rsid w:val="0051196A"/>
    <w:rsid w:val="00511A81"/>
    <w:rsid w:val="00511B13"/>
    <w:rsid w:val="00511BFA"/>
    <w:rsid w:val="00511C2D"/>
    <w:rsid w:val="00511CA3"/>
    <w:rsid w:val="00511ECE"/>
    <w:rsid w:val="00511EFB"/>
    <w:rsid w:val="00511FA5"/>
    <w:rsid w:val="00512097"/>
    <w:rsid w:val="0051209B"/>
    <w:rsid w:val="005120A7"/>
    <w:rsid w:val="005120CF"/>
    <w:rsid w:val="00512159"/>
    <w:rsid w:val="0051219C"/>
    <w:rsid w:val="005121F5"/>
    <w:rsid w:val="00512252"/>
    <w:rsid w:val="005122A9"/>
    <w:rsid w:val="005123F6"/>
    <w:rsid w:val="00512657"/>
    <w:rsid w:val="00512672"/>
    <w:rsid w:val="0051268C"/>
    <w:rsid w:val="0051268E"/>
    <w:rsid w:val="005126F9"/>
    <w:rsid w:val="00512763"/>
    <w:rsid w:val="00512781"/>
    <w:rsid w:val="0051283A"/>
    <w:rsid w:val="00512853"/>
    <w:rsid w:val="0051290E"/>
    <w:rsid w:val="0051292B"/>
    <w:rsid w:val="00512A3B"/>
    <w:rsid w:val="00512A88"/>
    <w:rsid w:val="00512A95"/>
    <w:rsid w:val="00512B30"/>
    <w:rsid w:val="00512B35"/>
    <w:rsid w:val="00512BDB"/>
    <w:rsid w:val="00512C60"/>
    <w:rsid w:val="00512C7F"/>
    <w:rsid w:val="00512D09"/>
    <w:rsid w:val="00512D8C"/>
    <w:rsid w:val="00512E95"/>
    <w:rsid w:val="00512F84"/>
    <w:rsid w:val="00513064"/>
    <w:rsid w:val="00513160"/>
    <w:rsid w:val="005132F6"/>
    <w:rsid w:val="0051336C"/>
    <w:rsid w:val="0051348F"/>
    <w:rsid w:val="00513513"/>
    <w:rsid w:val="00513583"/>
    <w:rsid w:val="005136D6"/>
    <w:rsid w:val="00513710"/>
    <w:rsid w:val="00513728"/>
    <w:rsid w:val="00513798"/>
    <w:rsid w:val="005137AE"/>
    <w:rsid w:val="0051385B"/>
    <w:rsid w:val="00513866"/>
    <w:rsid w:val="005138A0"/>
    <w:rsid w:val="005138CB"/>
    <w:rsid w:val="005139C0"/>
    <w:rsid w:val="00513B51"/>
    <w:rsid w:val="00513B74"/>
    <w:rsid w:val="00513BA9"/>
    <w:rsid w:val="00513BDB"/>
    <w:rsid w:val="00513C0A"/>
    <w:rsid w:val="00513CF9"/>
    <w:rsid w:val="00513D35"/>
    <w:rsid w:val="00513D9C"/>
    <w:rsid w:val="00513E36"/>
    <w:rsid w:val="00513E81"/>
    <w:rsid w:val="00513EFE"/>
    <w:rsid w:val="00513FEE"/>
    <w:rsid w:val="0051402F"/>
    <w:rsid w:val="00514144"/>
    <w:rsid w:val="00514163"/>
    <w:rsid w:val="00514195"/>
    <w:rsid w:val="005141B9"/>
    <w:rsid w:val="005141E7"/>
    <w:rsid w:val="00514229"/>
    <w:rsid w:val="0051428C"/>
    <w:rsid w:val="005142BA"/>
    <w:rsid w:val="005142D3"/>
    <w:rsid w:val="005142F1"/>
    <w:rsid w:val="00514340"/>
    <w:rsid w:val="00514367"/>
    <w:rsid w:val="005143AC"/>
    <w:rsid w:val="005143D6"/>
    <w:rsid w:val="005143EF"/>
    <w:rsid w:val="00514690"/>
    <w:rsid w:val="0051471B"/>
    <w:rsid w:val="00514724"/>
    <w:rsid w:val="005148AD"/>
    <w:rsid w:val="005148B5"/>
    <w:rsid w:val="0051491B"/>
    <w:rsid w:val="00514A48"/>
    <w:rsid w:val="00514ACC"/>
    <w:rsid w:val="00514B88"/>
    <w:rsid w:val="00514C63"/>
    <w:rsid w:val="00514CB8"/>
    <w:rsid w:val="00514D75"/>
    <w:rsid w:val="00514E9D"/>
    <w:rsid w:val="00514FBD"/>
    <w:rsid w:val="005150AD"/>
    <w:rsid w:val="005150AF"/>
    <w:rsid w:val="005150CF"/>
    <w:rsid w:val="00515175"/>
    <w:rsid w:val="0051523E"/>
    <w:rsid w:val="00515399"/>
    <w:rsid w:val="005153E7"/>
    <w:rsid w:val="0051541E"/>
    <w:rsid w:val="0051549D"/>
    <w:rsid w:val="005154CA"/>
    <w:rsid w:val="005155F9"/>
    <w:rsid w:val="00515617"/>
    <w:rsid w:val="00515636"/>
    <w:rsid w:val="00515663"/>
    <w:rsid w:val="00515714"/>
    <w:rsid w:val="0051575A"/>
    <w:rsid w:val="0051583C"/>
    <w:rsid w:val="005159F8"/>
    <w:rsid w:val="00515A00"/>
    <w:rsid w:val="00515A4B"/>
    <w:rsid w:val="00515AA1"/>
    <w:rsid w:val="00515B09"/>
    <w:rsid w:val="00515B25"/>
    <w:rsid w:val="00515B26"/>
    <w:rsid w:val="00515BCD"/>
    <w:rsid w:val="00515BD0"/>
    <w:rsid w:val="00515BFE"/>
    <w:rsid w:val="00515C99"/>
    <w:rsid w:val="00515CE4"/>
    <w:rsid w:val="00515D9C"/>
    <w:rsid w:val="00515E03"/>
    <w:rsid w:val="00515E91"/>
    <w:rsid w:val="00515EA5"/>
    <w:rsid w:val="00515EE6"/>
    <w:rsid w:val="00515F7A"/>
    <w:rsid w:val="00515FBE"/>
    <w:rsid w:val="00516067"/>
    <w:rsid w:val="0051625A"/>
    <w:rsid w:val="00516261"/>
    <w:rsid w:val="0051637A"/>
    <w:rsid w:val="005163FC"/>
    <w:rsid w:val="00516572"/>
    <w:rsid w:val="00516583"/>
    <w:rsid w:val="00516675"/>
    <w:rsid w:val="00516709"/>
    <w:rsid w:val="0051678B"/>
    <w:rsid w:val="005167D6"/>
    <w:rsid w:val="00516844"/>
    <w:rsid w:val="005168DE"/>
    <w:rsid w:val="00516915"/>
    <w:rsid w:val="00516969"/>
    <w:rsid w:val="005169A1"/>
    <w:rsid w:val="00516AC8"/>
    <w:rsid w:val="00516B31"/>
    <w:rsid w:val="00516BF6"/>
    <w:rsid w:val="00516CFC"/>
    <w:rsid w:val="00516D10"/>
    <w:rsid w:val="00516D15"/>
    <w:rsid w:val="00516D8E"/>
    <w:rsid w:val="00516DC1"/>
    <w:rsid w:val="00516DE2"/>
    <w:rsid w:val="00516E63"/>
    <w:rsid w:val="00516EC7"/>
    <w:rsid w:val="00516EE6"/>
    <w:rsid w:val="00516F2B"/>
    <w:rsid w:val="00516FD8"/>
    <w:rsid w:val="00517020"/>
    <w:rsid w:val="0051705A"/>
    <w:rsid w:val="0051719B"/>
    <w:rsid w:val="00517206"/>
    <w:rsid w:val="00517296"/>
    <w:rsid w:val="005173E8"/>
    <w:rsid w:val="005173F5"/>
    <w:rsid w:val="005173FF"/>
    <w:rsid w:val="00517406"/>
    <w:rsid w:val="0051740F"/>
    <w:rsid w:val="00517429"/>
    <w:rsid w:val="00517435"/>
    <w:rsid w:val="0051747D"/>
    <w:rsid w:val="0051748D"/>
    <w:rsid w:val="005174F4"/>
    <w:rsid w:val="0051758D"/>
    <w:rsid w:val="005175EC"/>
    <w:rsid w:val="005176FD"/>
    <w:rsid w:val="00517703"/>
    <w:rsid w:val="00517828"/>
    <w:rsid w:val="00517869"/>
    <w:rsid w:val="005178D4"/>
    <w:rsid w:val="005178DA"/>
    <w:rsid w:val="00517919"/>
    <w:rsid w:val="00517ABE"/>
    <w:rsid w:val="00517BF2"/>
    <w:rsid w:val="00517C08"/>
    <w:rsid w:val="00517CB2"/>
    <w:rsid w:val="00517CD7"/>
    <w:rsid w:val="00517CEB"/>
    <w:rsid w:val="00517D0A"/>
    <w:rsid w:val="00517D46"/>
    <w:rsid w:val="00517DF4"/>
    <w:rsid w:val="00517DFB"/>
    <w:rsid w:val="00517E95"/>
    <w:rsid w:val="00517EFE"/>
    <w:rsid w:val="00517F29"/>
    <w:rsid w:val="0052013F"/>
    <w:rsid w:val="0052014C"/>
    <w:rsid w:val="00520309"/>
    <w:rsid w:val="00520409"/>
    <w:rsid w:val="005204B4"/>
    <w:rsid w:val="005204ED"/>
    <w:rsid w:val="005205BC"/>
    <w:rsid w:val="005205CB"/>
    <w:rsid w:val="00520744"/>
    <w:rsid w:val="0052085B"/>
    <w:rsid w:val="00520890"/>
    <w:rsid w:val="005208CE"/>
    <w:rsid w:val="00520A28"/>
    <w:rsid w:val="00520B48"/>
    <w:rsid w:val="00520B75"/>
    <w:rsid w:val="00520BB7"/>
    <w:rsid w:val="00520CB3"/>
    <w:rsid w:val="00520D4D"/>
    <w:rsid w:val="00520E75"/>
    <w:rsid w:val="00520E87"/>
    <w:rsid w:val="00520EC3"/>
    <w:rsid w:val="00520ECE"/>
    <w:rsid w:val="00520F36"/>
    <w:rsid w:val="00521063"/>
    <w:rsid w:val="0052107D"/>
    <w:rsid w:val="0052109B"/>
    <w:rsid w:val="005210AA"/>
    <w:rsid w:val="00521122"/>
    <w:rsid w:val="00521127"/>
    <w:rsid w:val="005211B9"/>
    <w:rsid w:val="005211C8"/>
    <w:rsid w:val="00521235"/>
    <w:rsid w:val="00521300"/>
    <w:rsid w:val="00521301"/>
    <w:rsid w:val="0052135D"/>
    <w:rsid w:val="005213B3"/>
    <w:rsid w:val="005213C9"/>
    <w:rsid w:val="005213D8"/>
    <w:rsid w:val="00521418"/>
    <w:rsid w:val="005214B2"/>
    <w:rsid w:val="005215A3"/>
    <w:rsid w:val="00521675"/>
    <w:rsid w:val="005216F6"/>
    <w:rsid w:val="0052173A"/>
    <w:rsid w:val="00521769"/>
    <w:rsid w:val="005217E2"/>
    <w:rsid w:val="00521868"/>
    <w:rsid w:val="0052186C"/>
    <w:rsid w:val="005218CB"/>
    <w:rsid w:val="005218ED"/>
    <w:rsid w:val="00521972"/>
    <w:rsid w:val="00521A77"/>
    <w:rsid w:val="00521AAE"/>
    <w:rsid w:val="00521B94"/>
    <w:rsid w:val="00521C56"/>
    <w:rsid w:val="00521DC2"/>
    <w:rsid w:val="00521E98"/>
    <w:rsid w:val="00521EF0"/>
    <w:rsid w:val="00521FFF"/>
    <w:rsid w:val="00522032"/>
    <w:rsid w:val="00522037"/>
    <w:rsid w:val="00522038"/>
    <w:rsid w:val="00522077"/>
    <w:rsid w:val="005221FD"/>
    <w:rsid w:val="00522226"/>
    <w:rsid w:val="005222D4"/>
    <w:rsid w:val="00522348"/>
    <w:rsid w:val="00522350"/>
    <w:rsid w:val="0052243A"/>
    <w:rsid w:val="00522636"/>
    <w:rsid w:val="0052266B"/>
    <w:rsid w:val="00522799"/>
    <w:rsid w:val="005227A8"/>
    <w:rsid w:val="005227FE"/>
    <w:rsid w:val="00522853"/>
    <w:rsid w:val="00522977"/>
    <w:rsid w:val="005229A4"/>
    <w:rsid w:val="00522A14"/>
    <w:rsid w:val="00522A50"/>
    <w:rsid w:val="00522A92"/>
    <w:rsid w:val="00522AB4"/>
    <w:rsid w:val="00522B0A"/>
    <w:rsid w:val="00522B2B"/>
    <w:rsid w:val="00522B6E"/>
    <w:rsid w:val="00522BF5"/>
    <w:rsid w:val="00522C34"/>
    <w:rsid w:val="00522C8A"/>
    <w:rsid w:val="00522E9A"/>
    <w:rsid w:val="00522EC3"/>
    <w:rsid w:val="00523037"/>
    <w:rsid w:val="0052306D"/>
    <w:rsid w:val="005230C7"/>
    <w:rsid w:val="0052310D"/>
    <w:rsid w:val="00523122"/>
    <w:rsid w:val="005233E1"/>
    <w:rsid w:val="00523402"/>
    <w:rsid w:val="005234FB"/>
    <w:rsid w:val="00523502"/>
    <w:rsid w:val="00523550"/>
    <w:rsid w:val="005235A1"/>
    <w:rsid w:val="0052366C"/>
    <w:rsid w:val="005237BC"/>
    <w:rsid w:val="00523828"/>
    <w:rsid w:val="005238CA"/>
    <w:rsid w:val="00523A0C"/>
    <w:rsid w:val="00523A8F"/>
    <w:rsid w:val="00523AF7"/>
    <w:rsid w:val="00523B42"/>
    <w:rsid w:val="00523BC8"/>
    <w:rsid w:val="00523C37"/>
    <w:rsid w:val="00523C74"/>
    <w:rsid w:val="00523CD8"/>
    <w:rsid w:val="00523CFA"/>
    <w:rsid w:val="00523D19"/>
    <w:rsid w:val="00523E09"/>
    <w:rsid w:val="00523F21"/>
    <w:rsid w:val="00523F89"/>
    <w:rsid w:val="0052407E"/>
    <w:rsid w:val="00524115"/>
    <w:rsid w:val="005241C2"/>
    <w:rsid w:val="005242F6"/>
    <w:rsid w:val="005242FF"/>
    <w:rsid w:val="00524308"/>
    <w:rsid w:val="0052431E"/>
    <w:rsid w:val="00524374"/>
    <w:rsid w:val="0052438A"/>
    <w:rsid w:val="005243AE"/>
    <w:rsid w:val="00524420"/>
    <w:rsid w:val="0052448D"/>
    <w:rsid w:val="005244D5"/>
    <w:rsid w:val="00524502"/>
    <w:rsid w:val="0052455D"/>
    <w:rsid w:val="00524616"/>
    <w:rsid w:val="00524673"/>
    <w:rsid w:val="005246A9"/>
    <w:rsid w:val="005247E5"/>
    <w:rsid w:val="00524824"/>
    <w:rsid w:val="00524839"/>
    <w:rsid w:val="0052484D"/>
    <w:rsid w:val="00524982"/>
    <w:rsid w:val="005249A3"/>
    <w:rsid w:val="00524A84"/>
    <w:rsid w:val="00524A8E"/>
    <w:rsid w:val="00524CBD"/>
    <w:rsid w:val="00524D01"/>
    <w:rsid w:val="00524D51"/>
    <w:rsid w:val="00524DF8"/>
    <w:rsid w:val="00524E76"/>
    <w:rsid w:val="00525063"/>
    <w:rsid w:val="005250BA"/>
    <w:rsid w:val="00525100"/>
    <w:rsid w:val="00525153"/>
    <w:rsid w:val="00525261"/>
    <w:rsid w:val="0052529A"/>
    <w:rsid w:val="005252E0"/>
    <w:rsid w:val="005253D4"/>
    <w:rsid w:val="00525492"/>
    <w:rsid w:val="005255FA"/>
    <w:rsid w:val="00525704"/>
    <w:rsid w:val="005257D3"/>
    <w:rsid w:val="00525862"/>
    <w:rsid w:val="00525870"/>
    <w:rsid w:val="005258C1"/>
    <w:rsid w:val="005258FB"/>
    <w:rsid w:val="0052592C"/>
    <w:rsid w:val="0052597C"/>
    <w:rsid w:val="00525A5F"/>
    <w:rsid w:val="00525A8D"/>
    <w:rsid w:val="00525AE8"/>
    <w:rsid w:val="00525B4C"/>
    <w:rsid w:val="00525B51"/>
    <w:rsid w:val="00525C63"/>
    <w:rsid w:val="00525D60"/>
    <w:rsid w:val="00525D9B"/>
    <w:rsid w:val="00525E57"/>
    <w:rsid w:val="00525E97"/>
    <w:rsid w:val="00525ED1"/>
    <w:rsid w:val="00525F14"/>
    <w:rsid w:val="00525F5F"/>
    <w:rsid w:val="00525F79"/>
    <w:rsid w:val="00525F93"/>
    <w:rsid w:val="00525FD2"/>
    <w:rsid w:val="005260EE"/>
    <w:rsid w:val="0052613E"/>
    <w:rsid w:val="005261CD"/>
    <w:rsid w:val="005261DC"/>
    <w:rsid w:val="0052621C"/>
    <w:rsid w:val="0052623D"/>
    <w:rsid w:val="00526292"/>
    <w:rsid w:val="00526386"/>
    <w:rsid w:val="0052640A"/>
    <w:rsid w:val="00526465"/>
    <w:rsid w:val="0052646A"/>
    <w:rsid w:val="005264CA"/>
    <w:rsid w:val="00526539"/>
    <w:rsid w:val="005265D5"/>
    <w:rsid w:val="005265DA"/>
    <w:rsid w:val="005267F9"/>
    <w:rsid w:val="0052684B"/>
    <w:rsid w:val="005268A0"/>
    <w:rsid w:val="005268A3"/>
    <w:rsid w:val="00526A8F"/>
    <w:rsid w:val="00526AB4"/>
    <w:rsid w:val="00526AF2"/>
    <w:rsid w:val="00526B1F"/>
    <w:rsid w:val="00526B26"/>
    <w:rsid w:val="00526B3A"/>
    <w:rsid w:val="00526B4F"/>
    <w:rsid w:val="00526B94"/>
    <w:rsid w:val="00526D0D"/>
    <w:rsid w:val="00526D2A"/>
    <w:rsid w:val="00526D3E"/>
    <w:rsid w:val="00526D4B"/>
    <w:rsid w:val="00526E2F"/>
    <w:rsid w:val="00526E95"/>
    <w:rsid w:val="00526F2A"/>
    <w:rsid w:val="00526FCB"/>
    <w:rsid w:val="00526FD9"/>
    <w:rsid w:val="00527007"/>
    <w:rsid w:val="005270B0"/>
    <w:rsid w:val="00527162"/>
    <w:rsid w:val="0052736B"/>
    <w:rsid w:val="00527418"/>
    <w:rsid w:val="00527428"/>
    <w:rsid w:val="005274A0"/>
    <w:rsid w:val="00527572"/>
    <w:rsid w:val="005275EF"/>
    <w:rsid w:val="0052761A"/>
    <w:rsid w:val="0052764A"/>
    <w:rsid w:val="0052770E"/>
    <w:rsid w:val="0052770F"/>
    <w:rsid w:val="0052777D"/>
    <w:rsid w:val="005278C2"/>
    <w:rsid w:val="005278D5"/>
    <w:rsid w:val="005278D8"/>
    <w:rsid w:val="0052790E"/>
    <w:rsid w:val="00527910"/>
    <w:rsid w:val="005279E9"/>
    <w:rsid w:val="00527A9E"/>
    <w:rsid w:val="00527ACF"/>
    <w:rsid w:val="00527B24"/>
    <w:rsid w:val="00527B2A"/>
    <w:rsid w:val="00527BA5"/>
    <w:rsid w:val="00527BDC"/>
    <w:rsid w:val="00527CD2"/>
    <w:rsid w:val="00527D68"/>
    <w:rsid w:val="00527DD0"/>
    <w:rsid w:val="00527EED"/>
    <w:rsid w:val="00527F0F"/>
    <w:rsid w:val="0053011A"/>
    <w:rsid w:val="00530130"/>
    <w:rsid w:val="005302B0"/>
    <w:rsid w:val="005302FA"/>
    <w:rsid w:val="0053042F"/>
    <w:rsid w:val="0053052A"/>
    <w:rsid w:val="005305B2"/>
    <w:rsid w:val="005305C7"/>
    <w:rsid w:val="00530669"/>
    <w:rsid w:val="00530790"/>
    <w:rsid w:val="005308BB"/>
    <w:rsid w:val="005308EF"/>
    <w:rsid w:val="00530A06"/>
    <w:rsid w:val="00530B53"/>
    <w:rsid w:val="00530B84"/>
    <w:rsid w:val="00530C5A"/>
    <w:rsid w:val="00530CC3"/>
    <w:rsid w:val="00530D2B"/>
    <w:rsid w:val="00530D44"/>
    <w:rsid w:val="00530D55"/>
    <w:rsid w:val="00530D9B"/>
    <w:rsid w:val="00530DDB"/>
    <w:rsid w:val="00530DFC"/>
    <w:rsid w:val="00530E42"/>
    <w:rsid w:val="00530E9F"/>
    <w:rsid w:val="00530F19"/>
    <w:rsid w:val="00530F30"/>
    <w:rsid w:val="00530F5C"/>
    <w:rsid w:val="00530F77"/>
    <w:rsid w:val="00530F96"/>
    <w:rsid w:val="00530FAF"/>
    <w:rsid w:val="00530FCB"/>
    <w:rsid w:val="00530FEE"/>
    <w:rsid w:val="0053108F"/>
    <w:rsid w:val="005310DA"/>
    <w:rsid w:val="0053122A"/>
    <w:rsid w:val="00531237"/>
    <w:rsid w:val="00531245"/>
    <w:rsid w:val="00531248"/>
    <w:rsid w:val="00531269"/>
    <w:rsid w:val="005312DE"/>
    <w:rsid w:val="00531392"/>
    <w:rsid w:val="0053154B"/>
    <w:rsid w:val="00531573"/>
    <w:rsid w:val="005315C5"/>
    <w:rsid w:val="005315EA"/>
    <w:rsid w:val="005315F5"/>
    <w:rsid w:val="00531679"/>
    <w:rsid w:val="00531691"/>
    <w:rsid w:val="005316D4"/>
    <w:rsid w:val="005316DB"/>
    <w:rsid w:val="005316EE"/>
    <w:rsid w:val="00531774"/>
    <w:rsid w:val="0053177D"/>
    <w:rsid w:val="005318BC"/>
    <w:rsid w:val="0053193C"/>
    <w:rsid w:val="00531A31"/>
    <w:rsid w:val="00531A4D"/>
    <w:rsid w:val="00531B85"/>
    <w:rsid w:val="00531BD5"/>
    <w:rsid w:val="00531BDE"/>
    <w:rsid w:val="00531BF8"/>
    <w:rsid w:val="00531C72"/>
    <w:rsid w:val="00531CB6"/>
    <w:rsid w:val="00531CD3"/>
    <w:rsid w:val="00531D32"/>
    <w:rsid w:val="00531D99"/>
    <w:rsid w:val="00531E60"/>
    <w:rsid w:val="00531F3D"/>
    <w:rsid w:val="00531FEA"/>
    <w:rsid w:val="00532005"/>
    <w:rsid w:val="005320D6"/>
    <w:rsid w:val="00532121"/>
    <w:rsid w:val="00532129"/>
    <w:rsid w:val="00532157"/>
    <w:rsid w:val="005321E5"/>
    <w:rsid w:val="005322F2"/>
    <w:rsid w:val="0053231E"/>
    <w:rsid w:val="005323D6"/>
    <w:rsid w:val="005323DC"/>
    <w:rsid w:val="0053247C"/>
    <w:rsid w:val="0053250E"/>
    <w:rsid w:val="00532578"/>
    <w:rsid w:val="00532604"/>
    <w:rsid w:val="00532638"/>
    <w:rsid w:val="0053265B"/>
    <w:rsid w:val="00532747"/>
    <w:rsid w:val="00532772"/>
    <w:rsid w:val="005327B4"/>
    <w:rsid w:val="005328DA"/>
    <w:rsid w:val="00532963"/>
    <w:rsid w:val="00532968"/>
    <w:rsid w:val="00532969"/>
    <w:rsid w:val="00532A4A"/>
    <w:rsid w:val="00532AE3"/>
    <w:rsid w:val="00532B08"/>
    <w:rsid w:val="00532B5D"/>
    <w:rsid w:val="00532BDD"/>
    <w:rsid w:val="00532CDB"/>
    <w:rsid w:val="00532D70"/>
    <w:rsid w:val="00532DCE"/>
    <w:rsid w:val="00532DF1"/>
    <w:rsid w:val="00532DFC"/>
    <w:rsid w:val="00532E98"/>
    <w:rsid w:val="00532F31"/>
    <w:rsid w:val="0053307A"/>
    <w:rsid w:val="005331EE"/>
    <w:rsid w:val="005332CD"/>
    <w:rsid w:val="00533384"/>
    <w:rsid w:val="005333F9"/>
    <w:rsid w:val="00533419"/>
    <w:rsid w:val="0053341E"/>
    <w:rsid w:val="00533511"/>
    <w:rsid w:val="00533608"/>
    <w:rsid w:val="005336B6"/>
    <w:rsid w:val="0053371E"/>
    <w:rsid w:val="0053374E"/>
    <w:rsid w:val="00533842"/>
    <w:rsid w:val="0053389D"/>
    <w:rsid w:val="00533911"/>
    <w:rsid w:val="00533A55"/>
    <w:rsid w:val="00533A65"/>
    <w:rsid w:val="00533A6B"/>
    <w:rsid w:val="00533ACD"/>
    <w:rsid w:val="00533B06"/>
    <w:rsid w:val="00533B0A"/>
    <w:rsid w:val="00533B86"/>
    <w:rsid w:val="00533BE3"/>
    <w:rsid w:val="00533C04"/>
    <w:rsid w:val="00533E53"/>
    <w:rsid w:val="00533E6F"/>
    <w:rsid w:val="00533EC5"/>
    <w:rsid w:val="00533EEB"/>
    <w:rsid w:val="00533EEC"/>
    <w:rsid w:val="00533F68"/>
    <w:rsid w:val="00533FD7"/>
    <w:rsid w:val="0053416D"/>
    <w:rsid w:val="00534184"/>
    <w:rsid w:val="0053419A"/>
    <w:rsid w:val="00534352"/>
    <w:rsid w:val="0053435F"/>
    <w:rsid w:val="00534379"/>
    <w:rsid w:val="00534436"/>
    <w:rsid w:val="0053449E"/>
    <w:rsid w:val="005344F5"/>
    <w:rsid w:val="0053451E"/>
    <w:rsid w:val="005345CE"/>
    <w:rsid w:val="0053465E"/>
    <w:rsid w:val="005346AD"/>
    <w:rsid w:val="005346CD"/>
    <w:rsid w:val="005346EA"/>
    <w:rsid w:val="00534842"/>
    <w:rsid w:val="00534845"/>
    <w:rsid w:val="005348F7"/>
    <w:rsid w:val="0053498C"/>
    <w:rsid w:val="00534A36"/>
    <w:rsid w:val="00534A83"/>
    <w:rsid w:val="00534CA3"/>
    <w:rsid w:val="00534CDB"/>
    <w:rsid w:val="00534D8B"/>
    <w:rsid w:val="00534E66"/>
    <w:rsid w:val="00534E88"/>
    <w:rsid w:val="00534E92"/>
    <w:rsid w:val="00534EE4"/>
    <w:rsid w:val="00534F90"/>
    <w:rsid w:val="005350DB"/>
    <w:rsid w:val="005350FC"/>
    <w:rsid w:val="00535112"/>
    <w:rsid w:val="00535233"/>
    <w:rsid w:val="00535310"/>
    <w:rsid w:val="00535391"/>
    <w:rsid w:val="005353DE"/>
    <w:rsid w:val="0053551F"/>
    <w:rsid w:val="0053558E"/>
    <w:rsid w:val="0053559E"/>
    <w:rsid w:val="005355CF"/>
    <w:rsid w:val="005355FC"/>
    <w:rsid w:val="0053563D"/>
    <w:rsid w:val="0053567F"/>
    <w:rsid w:val="0053572E"/>
    <w:rsid w:val="00535730"/>
    <w:rsid w:val="005357AA"/>
    <w:rsid w:val="005357F6"/>
    <w:rsid w:val="005357F7"/>
    <w:rsid w:val="00535892"/>
    <w:rsid w:val="005359AE"/>
    <w:rsid w:val="005359B7"/>
    <w:rsid w:val="00535A46"/>
    <w:rsid w:val="00535A5B"/>
    <w:rsid w:val="00535A92"/>
    <w:rsid w:val="00535AAF"/>
    <w:rsid w:val="00535AD7"/>
    <w:rsid w:val="00535C46"/>
    <w:rsid w:val="00535C76"/>
    <w:rsid w:val="00535D02"/>
    <w:rsid w:val="00535D0A"/>
    <w:rsid w:val="00535D22"/>
    <w:rsid w:val="00535D36"/>
    <w:rsid w:val="00535DBB"/>
    <w:rsid w:val="00535DFA"/>
    <w:rsid w:val="00535EE5"/>
    <w:rsid w:val="00535F76"/>
    <w:rsid w:val="00535FC3"/>
    <w:rsid w:val="00536052"/>
    <w:rsid w:val="00536057"/>
    <w:rsid w:val="00536153"/>
    <w:rsid w:val="00536157"/>
    <w:rsid w:val="005361FD"/>
    <w:rsid w:val="0053624F"/>
    <w:rsid w:val="00536279"/>
    <w:rsid w:val="00536290"/>
    <w:rsid w:val="005362EC"/>
    <w:rsid w:val="0053633F"/>
    <w:rsid w:val="00536441"/>
    <w:rsid w:val="005364ED"/>
    <w:rsid w:val="005365AD"/>
    <w:rsid w:val="005365DA"/>
    <w:rsid w:val="00536602"/>
    <w:rsid w:val="0053666E"/>
    <w:rsid w:val="0053674D"/>
    <w:rsid w:val="005367A8"/>
    <w:rsid w:val="005367C4"/>
    <w:rsid w:val="005367C7"/>
    <w:rsid w:val="0053681B"/>
    <w:rsid w:val="005369B1"/>
    <w:rsid w:val="005369C7"/>
    <w:rsid w:val="00536A44"/>
    <w:rsid w:val="00536A4F"/>
    <w:rsid w:val="00536AE3"/>
    <w:rsid w:val="00536B9E"/>
    <w:rsid w:val="00536BD0"/>
    <w:rsid w:val="00536BDE"/>
    <w:rsid w:val="00536BE0"/>
    <w:rsid w:val="00536CC1"/>
    <w:rsid w:val="00536D33"/>
    <w:rsid w:val="00536DE6"/>
    <w:rsid w:val="00536E09"/>
    <w:rsid w:val="00536E3B"/>
    <w:rsid w:val="00536EDA"/>
    <w:rsid w:val="00536F43"/>
    <w:rsid w:val="00536F98"/>
    <w:rsid w:val="00536FDF"/>
    <w:rsid w:val="00537024"/>
    <w:rsid w:val="0053703C"/>
    <w:rsid w:val="005370F6"/>
    <w:rsid w:val="00537245"/>
    <w:rsid w:val="00537267"/>
    <w:rsid w:val="005372B7"/>
    <w:rsid w:val="00537302"/>
    <w:rsid w:val="00537420"/>
    <w:rsid w:val="00537439"/>
    <w:rsid w:val="00537495"/>
    <w:rsid w:val="005374D4"/>
    <w:rsid w:val="005377A9"/>
    <w:rsid w:val="00537898"/>
    <w:rsid w:val="00537987"/>
    <w:rsid w:val="00537989"/>
    <w:rsid w:val="005379DE"/>
    <w:rsid w:val="00537AA8"/>
    <w:rsid w:val="00537AC2"/>
    <w:rsid w:val="00537C30"/>
    <w:rsid w:val="00537D66"/>
    <w:rsid w:val="00537DFA"/>
    <w:rsid w:val="00537F28"/>
    <w:rsid w:val="00537FF2"/>
    <w:rsid w:val="005400FC"/>
    <w:rsid w:val="00540124"/>
    <w:rsid w:val="0054013A"/>
    <w:rsid w:val="00540229"/>
    <w:rsid w:val="00540316"/>
    <w:rsid w:val="005403C7"/>
    <w:rsid w:val="00540428"/>
    <w:rsid w:val="0054044A"/>
    <w:rsid w:val="0054044E"/>
    <w:rsid w:val="00540676"/>
    <w:rsid w:val="005407C9"/>
    <w:rsid w:val="0054088F"/>
    <w:rsid w:val="0054089F"/>
    <w:rsid w:val="005409D0"/>
    <w:rsid w:val="00540A28"/>
    <w:rsid w:val="00540A2F"/>
    <w:rsid w:val="00540A45"/>
    <w:rsid w:val="00540A93"/>
    <w:rsid w:val="00540AB3"/>
    <w:rsid w:val="00540B3A"/>
    <w:rsid w:val="00540BD6"/>
    <w:rsid w:val="00540C1D"/>
    <w:rsid w:val="00540C97"/>
    <w:rsid w:val="00540E05"/>
    <w:rsid w:val="00540E12"/>
    <w:rsid w:val="00540E2F"/>
    <w:rsid w:val="00540E6F"/>
    <w:rsid w:val="00540EC4"/>
    <w:rsid w:val="00540F42"/>
    <w:rsid w:val="0054118D"/>
    <w:rsid w:val="0054124E"/>
    <w:rsid w:val="00541293"/>
    <w:rsid w:val="005412FE"/>
    <w:rsid w:val="00541314"/>
    <w:rsid w:val="00541365"/>
    <w:rsid w:val="00541451"/>
    <w:rsid w:val="00541456"/>
    <w:rsid w:val="005414E8"/>
    <w:rsid w:val="005414E9"/>
    <w:rsid w:val="00541545"/>
    <w:rsid w:val="00541617"/>
    <w:rsid w:val="00541619"/>
    <w:rsid w:val="005416FF"/>
    <w:rsid w:val="00541743"/>
    <w:rsid w:val="005417E6"/>
    <w:rsid w:val="0054188E"/>
    <w:rsid w:val="00541893"/>
    <w:rsid w:val="00541942"/>
    <w:rsid w:val="005419CE"/>
    <w:rsid w:val="00541ADB"/>
    <w:rsid w:val="00541B38"/>
    <w:rsid w:val="00541B89"/>
    <w:rsid w:val="00541BA1"/>
    <w:rsid w:val="00541CDF"/>
    <w:rsid w:val="00541E02"/>
    <w:rsid w:val="00541FBF"/>
    <w:rsid w:val="00541FED"/>
    <w:rsid w:val="00542085"/>
    <w:rsid w:val="005422C8"/>
    <w:rsid w:val="0054238E"/>
    <w:rsid w:val="005423A3"/>
    <w:rsid w:val="005423A6"/>
    <w:rsid w:val="00542425"/>
    <w:rsid w:val="00542487"/>
    <w:rsid w:val="00542537"/>
    <w:rsid w:val="0054255C"/>
    <w:rsid w:val="005425B8"/>
    <w:rsid w:val="0054261F"/>
    <w:rsid w:val="00542630"/>
    <w:rsid w:val="005426EE"/>
    <w:rsid w:val="0054273B"/>
    <w:rsid w:val="0054274F"/>
    <w:rsid w:val="0054278C"/>
    <w:rsid w:val="00542891"/>
    <w:rsid w:val="005428CB"/>
    <w:rsid w:val="005428F7"/>
    <w:rsid w:val="00542981"/>
    <w:rsid w:val="005429C3"/>
    <w:rsid w:val="00542A38"/>
    <w:rsid w:val="00542A8D"/>
    <w:rsid w:val="00542A9D"/>
    <w:rsid w:val="00542AB1"/>
    <w:rsid w:val="00542B1D"/>
    <w:rsid w:val="00542B4A"/>
    <w:rsid w:val="00542B92"/>
    <w:rsid w:val="00542B94"/>
    <w:rsid w:val="00542C74"/>
    <w:rsid w:val="00542C75"/>
    <w:rsid w:val="00542DA5"/>
    <w:rsid w:val="00542E55"/>
    <w:rsid w:val="00542EE5"/>
    <w:rsid w:val="00542F3A"/>
    <w:rsid w:val="0054306B"/>
    <w:rsid w:val="005430EE"/>
    <w:rsid w:val="0054315F"/>
    <w:rsid w:val="005432E9"/>
    <w:rsid w:val="00543377"/>
    <w:rsid w:val="0054340E"/>
    <w:rsid w:val="0054341F"/>
    <w:rsid w:val="00543435"/>
    <w:rsid w:val="005434AA"/>
    <w:rsid w:val="0054351B"/>
    <w:rsid w:val="00543649"/>
    <w:rsid w:val="00543672"/>
    <w:rsid w:val="00543730"/>
    <w:rsid w:val="00543806"/>
    <w:rsid w:val="00543866"/>
    <w:rsid w:val="005438D9"/>
    <w:rsid w:val="005438F6"/>
    <w:rsid w:val="00543BA7"/>
    <w:rsid w:val="00543BB4"/>
    <w:rsid w:val="00543C15"/>
    <w:rsid w:val="00543C32"/>
    <w:rsid w:val="00543CB9"/>
    <w:rsid w:val="00543D9F"/>
    <w:rsid w:val="00543E38"/>
    <w:rsid w:val="00543E61"/>
    <w:rsid w:val="00543FB0"/>
    <w:rsid w:val="00543FF2"/>
    <w:rsid w:val="00544086"/>
    <w:rsid w:val="005440FC"/>
    <w:rsid w:val="0054422D"/>
    <w:rsid w:val="0054438B"/>
    <w:rsid w:val="00544398"/>
    <w:rsid w:val="0054447A"/>
    <w:rsid w:val="00544486"/>
    <w:rsid w:val="005444C0"/>
    <w:rsid w:val="00544513"/>
    <w:rsid w:val="0054460D"/>
    <w:rsid w:val="005446A7"/>
    <w:rsid w:val="00544702"/>
    <w:rsid w:val="00544725"/>
    <w:rsid w:val="005447E4"/>
    <w:rsid w:val="005447FC"/>
    <w:rsid w:val="0054488F"/>
    <w:rsid w:val="005448E8"/>
    <w:rsid w:val="0054491B"/>
    <w:rsid w:val="00544B1D"/>
    <w:rsid w:val="00544C77"/>
    <w:rsid w:val="00544CB0"/>
    <w:rsid w:val="00544D0D"/>
    <w:rsid w:val="00544D94"/>
    <w:rsid w:val="00544E36"/>
    <w:rsid w:val="00544FA7"/>
    <w:rsid w:val="00545126"/>
    <w:rsid w:val="00545143"/>
    <w:rsid w:val="005451A8"/>
    <w:rsid w:val="005451F9"/>
    <w:rsid w:val="0054524A"/>
    <w:rsid w:val="00545292"/>
    <w:rsid w:val="005452DD"/>
    <w:rsid w:val="00545332"/>
    <w:rsid w:val="00545355"/>
    <w:rsid w:val="005453D1"/>
    <w:rsid w:val="0054543B"/>
    <w:rsid w:val="005454C5"/>
    <w:rsid w:val="00545756"/>
    <w:rsid w:val="0054576A"/>
    <w:rsid w:val="00545770"/>
    <w:rsid w:val="0054580F"/>
    <w:rsid w:val="00545921"/>
    <w:rsid w:val="00545ACB"/>
    <w:rsid w:val="00545AD9"/>
    <w:rsid w:val="00545B32"/>
    <w:rsid w:val="00545B71"/>
    <w:rsid w:val="00545CAC"/>
    <w:rsid w:val="00545CCD"/>
    <w:rsid w:val="00545D71"/>
    <w:rsid w:val="00545DC6"/>
    <w:rsid w:val="00545ED4"/>
    <w:rsid w:val="00545EF4"/>
    <w:rsid w:val="0054604E"/>
    <w:rsid w:val="0054614B"/>
    <w:rsid w:val="00546179"/>
    <w:rsid w:val="0054626C"/>
    <w:rsid w:val="005462A0"/>
    <w:rsid w:val="005462C2"/>
    <w:rsid w:val="00546388"/>
    <w:rsid w:val="00546393"/>
    <w:rsid w:val="005463C1"/>
    <w:rsid w:val="005463F6"/>
    <w:rsid w:val="00546488"/>
    <w:rsid w:val="005464A3"/>
    <w:rsid w:val="005464B4"/>
    <w:rsid w:val="005464D0"/>
    <w:rsid w:val="00546509"/>
    <w:rsid w:val="005465AC"/>
    <w:rsid w:val="005466F2"/>
    <w:rsid w:val="005466FF"/>
    <w:rsid w:val="00546735"/>
    <w:rsid w:val="0054673B"/>
    <w:rsid w:val="00546775"/>
    <w:rsid w:val="00546864"/>
    <w:rsid w:val="005468B6"/>
    <w:rsid w:val="0054694C"/>
    <w:rsid w:val="00546964"/>
    <w:rsid w:val="00546A14"/>
    <w:rsid w:val="00546BF6"/>
    <w:rsid w:val="00546D3E"/>
    <w:rsid w:val="00546F01"/>
    <w:rsid w:val="00546F4B"/>
    <w:rsid w:val="0054704F"/>
    <w:rsid w:val="005470AB"/>
    <w:rsid w:val="005470E7"/>
    <w:rsid w:val="005471B3"/>
    <w:rsid w:val="005472C8"/>
    <w:rsid w:val="00547351"/>
    <w:rsid w:val="0054736E"/>
    <w:rsid w:val="00547449"/>
    <w:rsid w:val="005474EE"/>
    <w:rsid w:val="005474FE"/>
    <w:rsid w:val="0054754B"/>
    <w:rsid w:val="005476A1"/>
    <w:rsid w:val="005476A3"/>
    <w:rsid w:val="0054771B"/>
    <w:rsid w:val="00547789"/>
    <w:rsid w:val="005477A4"/>
    <w:rsid w:val="005478E6"/>
    <w:rsid w:val="005479CE"/>
    <w:rsid w:val="00547A8E"/>
    <w:rsid w:val="00547AAC"/>
    <w:rsid w:val="00547AD8"/>
    <w:rsid w:val="00547C23"/>
    <w:rsid w:val="00547C50"/>
    <w:rsid w:val="00547C5B"/>
    <w:rsid w:val="00547CAD"/>
    <w:rsid w:val="00547DD3"/>
    <w:rsid w:val="00547E01"/>
    <w:rsid w:val="00547E73"/>
    <w:rsid w:val="00547EBD"/>
    <w:rsid w:val="00547F20"/>
    <w:rsid w:val="00547FE7"/>
    <w:rsid w:val="0055001D"/>
    <w:rsid w:val="00550098"/>
    <w:rsid w:val="005500AD"/>
    <w:rsid w:val="00550279"/>
    <w:rsid w:val="0055029C"/>
    <w:rsid w:val="0055031E"/>
    <w:rsid w:val="0055032A"/>
    <w:rsid w:val="00550428"/>
    <w:rsid w:val="00550459"/>
    <w:rsid w:val="0055049B"/>
    <w:rsid w:val="005504DC"/>
    <w:rsid w:val="005505A7"/>
    <w:rsid w:val="0055062A"/>
    <w:rsid w:val="00550699"/>
    <w:rsid w:val="005506E7"/>
    <w:rsid w:val="00550784"/>
    <w:rsid w:val="005507BB"/>
    <w:rsid w:val="005507C1"/>
    <w:rsid w:val="005507C7"/>
    <w:rsid w:val="005507E4"/>
    <w:rsid w:val="00550835"/>
    <w:rsid w:val="005508BA"/>
    <w:rsid w:val="0055094E"/>
    <w:rsid w:val="00550968"/>
    <w:rsid w:val="005509BB"/>
    <w:rsid w:val="00550A8C"/>
    <w:rsid w:val="00550A95"/>
    <w:rsid w:val="00550AE1"/>
    <w:rsid w:val="00550B35"/>
    <w:rsid w:val="00550B56"/>
    <w:rsid w:val="00550BC8"/>
    <w:rsid w:val="00550BE1"/>
    <w:rsid w:val="00550D20"/>
    <w:rsid w:val="00550D74"/>
    <w:rsid w:val="00550DC0"/>
    <w:rsid w:val="00550EA8"/>
    <w:rsid w:val="00550ED2"/>
    <w:rsid w:val="00550EF3"/>
    <w:rsid w:val="00550EFC"/>
    <w:rsid w:val="00550F05"/>
    <w:rsid w:val="0055109D"/>
    <w:rsid w:val="005510E2"/>
    <w:rsid w:val="00551101"/>
    <w:rsid w:val="00551135"/>
    <w:rsid w:val="005511D8"/>
    <w:rsid w:val="005512AF"/>
    <w:rsid w:val="005512D9"/>
    <w:rsid w:val="0055133B"/>
    <w:rsid w:val="00551347"/>
    <w:rsid w:val="005513AE"/>
    <w:rsid w:val="0055146A"/>
    <w:rsid w:val="005514CF"/>
    <w:rsid w:val="00551560"/>
    <w:rsid w:val="00551569"/>
    <w:rsid w:val="00551667"/>
    <w:rsid w:val="00551730"/>
    <w:rsid w:val="00551803"/>
    <w:rsid w:val="0055181C"/>
    <w:rsid w:val="0055187F"/>
    <w:rsid w:val="005518D2"/>
    <w:rsid w:val="00551903"/>
    <w:rsid w:val="00551906"/>
    <w:rsid w:val="00551940"/>
    <w:rsid w:val="0055196E"/>
    <w:rsid w:val="00551970"/>
    <w:rsid w:val="0055198F"/>
    <w:rsid w:val="00551A1C"/>
    <w:rsid w:val="00551AF3"/>
    <w:rsid w:val="00551B15"/>
    <w:rsid w:val="00551C4A"/>
    <w:rsid w:val="00551D0B"/>
    <w:rsid w:val="00551D75"/>
    <w:rsid w:val="00551DD8"/>
    <w:rsid w:val="00551E00"/>
    <w:rsid w:val="00551F15"/>
    <w:rsid w:val="00551F2B"/>
    <w:rsid w:val="00551F91"/>
    <w:rsid w:val="00552029"/>
    <w:rsid w:val="00552100"/>
    <w:rsid w:val="00552150"/>
    <w:rsid w:val="005521B1"/>
    <w:rsid w:val="005521F8"/>
    <w:rsid w:val="00552228"/>
    <w:rsid w:val="00552249"/>
    <w:rsid w:val="0055226A"/>
    <w:rsid w:val="00552281"/>
    <w:rsid w:val="00552294"/>
    <w:rsid w:val="005522AB"/>
    <w:rsid w:val="005522AE"/>
    <w:rsid w:val="0055231D"/>
    <w:rsid w:val="0055237D"/>
    <w:rsid w:val="005523E6"/>
    <w:rsid w:val="0055243A"/>
    <w:rsid w:val="00552723"/>
    <w:rsid w:val="00552736"/>
    <w:rsid w:val="005527AA"/>
    <w:rsid w:val="005527FA"/>
    <w:rsid w:val="0055280D"/>
    <w:rsid w:val="0055282B"/>
    <w:rsid w:val="00552936"/>
    <w:rsid w:val="00552944"/>
    <w:rsid w:val="0055294D"/>
    <w:rsid w:val="00552950"/>
    <w:rsid w:val="00552AAB"/>
    <w:rsid w:val="00552B6A"/>
    <w:rsid w:val="00552B6D"/>
    <w:rsid w:val="00552C44"/>
    <w:rsid w:val="00552DCE"/>
    <w:rsid w:val="00552DF1"/>
    <w:rsid w:val="00552E15"/>
    <w:rsid w:val="00552E38"/>
    <w:rsid w:val="00552FB5"/>
    <w:rsid w:val="00553077"/>
    <w:rsid w:val="0055311D"/>
    <w:rsid w:val="00553185"/>
    <w:rsid w:val="005531AB"/>
    <w:rsid w:val="0055322D"/>
    <w:rsid w:val="005532FA"/>
    <w:rsid w:val="0055339E"/>
    <w:rsid w:val="00553405"/>
    <w:rsid w:val="005534A0"/>
    <w:rsid w:val="00553568"/>
    <w:rsid w:val="005535AB"/>
    <w:rsid w:val="00553607"/>
    <w:rsid w:val="00553674"/>
    <w:rsid w:val="005536D3"/>
    <w:rsid w:val="005537DC"/>
    <w:rsid w:val="0055389C"/>
    <w:rsid w:val="0055394D"/>
    <w:rsid w:val="0055395F"/>
    <w:rsid w:val="005539DF"/>
    <w:rsid w:val="00553A6A"/>
    <w:rsid w:val="00553A74"/>
    <w:rsid w:val="00553AB9"/>
    <w:rsid w:val="00553C42"/>
    <w:rsid w:val="00553DDE"/>
    <w:rsid w:val="00553DF6"/>
    <w:rsid w:val="00553E01"/>
    <w:rsid w:val="00553E72"/>
    <w:rsid w:val="00553E8F"/>
    <w:rsid w:val="00553FDB"/>
    <w:rsid w:val="0055428A"/>
    <w:rsid w:val="005542B4"/>
    <w:rsid w:val="0055433D"/>
    <w:rsid w:val="005543FC"/>
    <w:rsid w:val="005544CE"/>
    <w:rsid w:val="00554501"/>
    <w:rsid w:val="00554542"/>
    <w:rsid w:val="005545A2"/>
    <w:rsid w:val="005545A7"/>
    <w:rsid w:val="0055468E"/>
    <w:rsid w:val="00554721"/>
    <w:rsid w:val="00554749"/>
    <w:rsid w:val="00554756"/>
    <w:rsid w:val="005547F8"/>
    <w:rsid w:val="0055481D"/>
    <w:rsid w:val="005548AC"/>
    <w:rsid w:val="005548FF"/>
    <w:rsid w:val="00554902"/>
    <w:rsid w:val="005549A4"/>
    <w:rsid w:val="00554A1F"/>
    <w:rsid w:val="00554A58"/>
    <w:rsid w:val="00554A7B"/>
    <w:rsid w:val="00554AEA"/>
    <w:rsid w:val="00554B1B"/>
    <w:rsid w:val="00554BB0"/>
    <w:rsid w:val="00554BFE"/>
    <w:rsid w:val="00554C7D"/>
    <w:rsid w:val="00554CB5"/>
    <w:rsid w:val="00554EB6"/>
    <w:rsid w:val="00554F42"/>
    <w:rsid w:val="00554F6D"/>
    <w:rsid w:val="00554F77"/>
    <w:rsid w:val="00554FB4"/>
    <w:rsid w:val="00555090"/>
    <w:rsid w:val="00555192"/>
    <w:rsid w:val="005551B7"/>
    <w:rsid w:val="00555204"/>
    <w:rsid w:val="00555258"/>
    <w:rsid w:val="0055527E"/>
    <w:rsid w:val="00555372"/>
    <w:rsid w:val="00555399"/>
    <w:rsid w:val="00555483"/>
    <w:rsid w:val="005554F1"/>
    <w:rsid w:val="0055556B"/>
    <w:rsid w:val="005556E9"/>
    <w:rsid w:val="00555734"/>
    <w:rsid w:val="005559CD"/>
    <w:rsid w:val="00555A1E"/>
    <w:rsid w:val="00555A37"/>
    <w:rsid w:val="00555AA5"/>
    <w:rsid w:val="00555AE7"/>
    <w:rsid w:val="00555B18"/>
    <w:rsid w:val="00555B29"/>
    <w:rsid w:val="00555B4B"/>
    <w:rsid w:val="00555BD8"/>
    <w:rsid w:val="00555C96"/>
    <w:rsid w:val="00555D06"/>
    <w:rsid w:val="00555DE4"/>
    <w:rsid w:val="00555DED"/>
    <w:rsid w:val="00555E56"/>
    <w:rsid w:val="00555F19"/>
    <w:rsid w:val="00555FC9"/>
    <w:rsid w:val="00556062"/>
    <w:rsid w:val="005560C2"/>
    <w:rsid w:val="005561B5"/>
    <w:rsid w:val="005561FF"/>
    <w:rsid w:val="00556208"/>
    <w:rsid w:val="0055623C"/>
    <w:rsid w:val="00556243"/>
    <w:rsid w:val="0055625C"/>
    <w:rsid w:val="00556274"/>
    <w:rsid w:val="00556282"/>
    <w:rsid w:val="005562DC"/>
    <w:rsid w:val="00556309"/>
    <w:rsid w:val="00556353"/>
    <w:rsid w:val="00556464"/>
    <w:rsid w:val="005564F8"/>
    <w:rsid w:val="00556546"/>
    <w:rsid w:val="005565EA"/>
    <w:rsid w:val="005566C6"/>
    <w:rsid w:val="005567A1"/>
    <w:rsid w:val="005567ED"/>
    <w:rsid w:val="005567F1"/>
    <w:rsid w:val="0055680D"/>
    <w:rsid w:val="005568D5"/>
    <w:rsid w:val="005568E9"/>
    <w:rsid w:val="0055693A"/>
    <w:rsid w:val="0055695B"/>
    <w:rsid w:val="005569D6"/>
    <w:rsid w:val="00556ACD"/>
    <w:rsid w:val="00556B50"/>
    <w:rsid w:val="00556B6D"/>
    <w:rsid w:val="00556B79"/>
    <w:rsid w:val="00556BB0"/>
    <w:rsid w:val="00556C07"/>
    <w:rsid w:val="00556C57"/>
    <w:rsid w:val="00556C7E"/>
    <w:rsid w:val="00556C84"/>
    <w:rsid w:val="00556C9A"/>
    <w:rsid w:val="00556CEF"/>
    <w:rsid w:val="00556CF9"/>
    <w:rsid w:val="00556D08"/>
    <w:rsid w:val="00556D59"/>
    <w:rsid w:val="00556D66"/>
    <w:rsid w:val="00556E08"/>
    <w:rsid w:val="00556F7A"/>
    <w:rsid w:val="00556FF1"/>
    <w:rsid w:val="005570CB"/>
    <w:rsid w:val="0055715E"/>
    <w:rsid w:val="005571B6"/>
    <w:rsid w:val="005571B7"/>
    <w:rsid w:val="005571E3"/>
    <w:rsid w:val="00557258"/>
    <w:rsid w:val="00557275"/>
    <w:rsid w:val="005572C2"/>
    <w:rsid w:val="00557320"/>
    <w:rsid w:val="00557325"/>
    <w:rsid w:val="005573D9"/>
    <w:rsid w:val="005573F0"/>
    <w:rsid w:val="0055746E"/>
    <w:rsid w:val="00557498"/>
    <w:rsid w:val="005574C2"/>
    <w:rsid w:val="00557647"/>
    <w:rsid w:val="005576FF"/>
    <w:rsid w:val="00557724"/>
    <w:rsid w:val="0055774A"/>
    <w:rsid w:val="005578B2"/>
    <w:rsid w:val="005578E1"/>
    <w:rsid w:val="005579F4"/>
    <w:rsid w:val="00557A06"/>
    <w:rsid w:val="00557A10"/>
    <w:rsid w:val="00557AD8"/>
    <w:rsid w:val="00557B92"/>
    <w:rsid w:val="00557BB3"/>
    <w:rsid w:val="00557BB5"/>
    <w:rsid w:val="00557BDA"/>
    <w:rsid w:val="00557CC1"/>
    <w:rsid w:val="00557D1E"/>
    <w:rsid w:val="00557E6E"/>
    <w:rsid w:val="00557E96"/>
    <w:rsid w:val="00557F30"/>
    <w:rsid w:val="00557FC4"/>
    <w:rsid w:val="0056001D"/>
    <w:rsid w:val="005600A5"/>
    <w:rsid w:val="005600B6"/>
    <w:rsid w:val="0056017D"/>
    <w:rsid w:val="005601B5"/>
    <w:rsid w:val="005601BC"/>
    <w:rsid w:val="00560220"/>
    <w:rsid w:val="0056025E"/>
    <w:rsid w:val="005602DA"/>
    <w:rsid w:val="005602DF"/>
    <w:rsid w:val="005602F3"/>
    <w:rsid w:val="005603F2"/>
    <w:rsid w:val="005603FD"/>
    <w:rsid w:val="0056046D"/>
    <w:rsid w:val="00560477"/>
    <w:rsid w:val="00560546"/>
    <w:rsid w:val="005605B1"/>
    <w:rsid w:val="00560666"/>
    <w:rsid w:val="00560686"/>
    <w:rsid w:val="005606F3"/>
    <w:rsid w:val="0056075E"/>
    <w:rsid w:val="005607B0"/>
    <w:rsid w:val="005607C2"/>
    <w:rsid w:val="00560828"/>
    <w:rsid w:val="0056092A"/>
    <w:rsid w:val="005609B4"/>
    <w:rsid w:val="00560A3D"/>
    <w:rsid w:val="00560B2A"/>
    <w:rsid w:val="00560BD9"/>
    <w:rsid w:val="00560C09"/>
    <w:rsid w:val="00560D3B"/>
    <w:rsid w:val="00560E6D"/>
    <w:rsid w:val="00560E9B"/>
    <w:rsid w:val="00560F4A"/>
    <w:rsid w:val="00560F9B"/>
    <w:rsid w:val="00561020"/>
    <w:rsid w:val="00561060"/>
    <w:rsid w:val="00561091"/>
    <w:rsid w:val="00561128"/>
    <w:rsid w:val="005613BE"/>
    <w:rsid w:val="00561419"/>
    <w:rsid w:val="0056153D"/>
    <w:rsid w:val="005615A0"/>
    <w:rsid w:val="00561652"/>
    <w:rsid w:val="005616CE"/>
    <w:rsid w:val="00561721"/>
    <w:rsid w:val="00561752"/>
    <w:rsid w:val="005617FB"/>
    <w:rsid w:val="00561834"/>
    <w:rsid w:val="00561905"/>
    <w:rsid w:val="00561908"/>
    <w:rsid w:val="0056190D"/>
    <w:rsid w:val="0056191B"/>
    <w:rsid w:val="00561973"/>
    <w:rsid w:val="00561998"/>
    <w:rsid w:val="00561A1C"/>
    <w:rsid w:val="00561A40"/>
    <w:rsid w:val="00561A88"/>
    <w:rsid w:val="00561ABF"/>
    <w:rsid w:val="00561ADC"/>
    <w:rsid w:val="00561B17"/>
    <w:rsid w:val="00561BF6"/>
    <w:rsid w:val="00561C16"/>
    <w:rsid w:val="00561C95"/>
    <w:rsid w:val="00561D67"/>
    <w:rsid w:val="00561E8D"/>
    <w:rsid w:val="00561ED7"/>
    <w:rsid w:val="00561EEC"/>
    <w:rsid w:val="00561F16"/>
    <w:rsid w:val="00561F90"/>
    <w:rsid w:val="00561FAC"/>
    <w:rsid w:val="00562053"/>
    <w:rsid w:val="0056212A"/>
    <w:rsid w:val="0056217D"/>
    <w:rsid w:val="00562192"/>
    <w:rsid w:val="00562197"/>
    <w:rsid w:val="005622D7"/>
    <w:rsid w:val="005623AF"/>
    <w:rsid w:val="005624F7"/>
    <w:rsid w:val="0056271F"/>
    <w:rsid w:val="00562779"/>
    <w:rsid w:val="005627BC"/>
    <w:rsid w:val="005627BF"/>
    <w:rsid w:val="005627F8"/>
    <w:rsid w:val="00562830"/>
    <w:rsid w:val="00562953"/>
    <w:rsid w:val="00562966"/>
    <w:rsid w:val="00562A28"/>
    <w:rsid w:val="00562AC2"/>
    <w:rsid w:val="00562AD7"/>
    <w:rsid w:val="00562C36"/>
    <w:rsid w:val="00562CAA"/>
    <w:rsid w:val="00562CEB"/>
    <w:rsid w:val="00562CF9"/>
    <w:rsid w:val="00562D7F"/>
    <w:rsid w:val="00562D8D"/>
    <w:rsid w:val="00562DA9"/>
    <w:rsid w:val="00562E20"/>
    <w:rsid w:val="00562E37"/>
    <w:rsid w:val="00562F7E"/>
    <w:rsid w:val="00562FDF"/>
    <w:rsid w:val="00562FEF"/>
    <w:rsid w:val="005630E6"/>
    <w:rsid w:val="00563124"/>
    <w:rsid w:val="005631C2"/>
    <w:rsid w:val="0056326E"/>
    <w:rsid w:val="00563311"/>
    <w:rsid w:val="00563376"/>
    <w:rsid w:val="0056345D"/>
    <w:rsid w:val="0056348D"/>
    <w:rsid w:val="005635A1"/>
    <w:rsid w:val="005635CF"/>
    <w:rsid w:val="0056377E"/>
    <w:rsid w:val="005638E4"/>
    <w:rsid w:val="0056392F"/>
    <w:rsid w:val="00563A41"/>
    <w:rsid w:val="00563A96"/>
    <w:rsid w:val="00563AC2"/>
    <w:rsid w:val="00563AF3"/>
    <w:rsid w:val="00563B52"/>
    <w:rsid w:val="00563B89"/>
    <w:rsid w:val="00563BD1"/>
    <w:rsid w:val="00563E4F"/>
    <w:rsid w:val="00563E8D"/>
    <w:rsid w:val="00563ED8"/>
    <w:rsid w:val="00563EEC"/>
    <w:rsid w:val="00563EED"/>
    <w:rsid w:val="00564003"/>
    <w:rsid w:val="00564061"/>
    <w:rsid w:val="00564069"/>
    <w:rsid w:val="00564096"/>
    <w:rsid w:val="005640E4"/>
    <w:rsid w:val="005640F2"/>
    <w:rsid w:val="00564195"/>
    <w:rsid w:val="005641E3"/>
    <w:rsid w:val="0056424E"/>
    <w:rsid w:val="00564274"/>
    <w:rsid w:val="0056430E"/>
    <w:rsid w:val="00564346"/>
    <w:rsid w:val="005643BA"/>
    <w:rsid w:val="005643C7"/>
    <w:rsid w:val="00564477"/>
    <w:rsid w:val="005644DE"/>
    <w:rsid w:val="00564657"/>
    <w:rsid w:val="0056466E"/>
    <w:rsid w:val="005646EF"/>
    <w:rsid w:val="0056477D"/>
    <w:rsid w:val="005647B1"/>
    <w:rsid w:val="005647C5"/>
    <w:rsid w:val="0056482F"/>
    <w:rsid w:val="00564A23"/>
    <w:rsid w:val="00564A62"/>
    <w:rsid w:val="00564A67"/>
    <w:rsid w:val="00564B0E"/>
    <w:rsid w:val="00564B51"/>
    <w:rsid w:val="00564B54"/>
    <w:rsid w:val="00564C54"/>
    <w:rsid w:val="00564C9D"/>
    <w:rsid w:val="00564D0C"/>
    <w:rsid w:val="00564D4A"/>
    <w:rsid w:val="00564D50"/>
    <w:rsid w:val="00564D75"/>
    <w:rsid w:val="00564FC8"/>
    <w:rsid w:val="00565037"/>
    <w:rsid w:val="00565063"/>
    <w:rsid w:val="0056506B"/>
    <w:rsid w:val="005650AD"/>
    <w:rsid w:val="0056511B"/>
    <w:rsid w:val="005651E3"/>
    <w:rsid w:val="00565232"/>
    <w:rsid w:val="005652F2"/>
    <w:rsid w:val="005652F6"/>
    <w:rsid w:val="0056530E"/>
    <w:rsid w:val="0056534F"/>
    <w:rsid w:val="00565446"/>
    <w:rsid w:val="005654AA"/>
    <w:rsid w:val="005654B7"/>
    <w:rsid w:val="005654E8"/>
    <w:rsid w:val="00565508"/>
    <w:rsid w:val="0056552B"/>
    <w:rsid w:val="0056554F"/>
    <w:rsid w:val="0056557B"/>
    <w:rsid w:val="00565613"/>
    <w:rsid w:val="00565651"/>
    <w:rsid w:val="0056567D"/>
    <w:rsid w:val="0056572B"/>
    <w:rsid w:val="0056578D"/>
    <w:rsid w:val="00565869"/>
    <w:rsid w:val="005658A1"/>
    <w:rsid w:val="005658CB"/>
    <w:rsid w:val="00565953"/>
    <w:rsid w:val="00565A25"/>
    <w:rsid w:val="00565ACB"/>
    <w:rsid w:val="00565B55"/>
    <w:rsid w:val="00565BF6"/>
    <w:rsid w:val="00565C54"/>
    <w:rsid w:val="00565D6A"/>
    <w:rsid w:val="00565F31"/>
    <w:rsid w:val="00565FB0"/>
    <w:rsid w:val="00565FD7"/>
    <w:rsid w:val="00565FD9"/>
    <w:rsid w:val="0056612B"/>
    <w:rsid w:val="00566194"/>
    <w:rsid w:val="0056623F"/>
    <w:rsid w:val="005663DD"/>
    <w:rsid w:val="005663EB"/>
    <w:rsid w:val="005664E9"/>
    <w:rsid w:val="005664F7"/>
    <w:rsid w:val="005664FB"/>
    <w:rsid w:val="0056653A"/>
    <w:rsid w:val="00566565"/>
    <w:rsid w:val="005665C9"/>
    <w:rsid w:val="005665D6"/>
    <w:rsid w:val="005665E7"/>
    <w:rsid w:val="005665ED"/>
    <w:rsid w:val="005666AB"/>
    <w:rsid w:val="00566729"/>
    <w:rsid w:val="00566767"/>
    <w:rsid w:val="005667EF"/>
    <w:rsid w:val="005668FC"/>
    <w:rsid w:val="0056696D"/>
    <w:rsid w:val="00566A1F"/>
    <w:rsid w:val="00566B13"/>
    <w:rsid w:val="00566B60"/>
    <w:rsid w:val="00566C3E"/>
    <w:rsid w:val="00566C60"/>
    <w:rsid w:val="00566D5C"/>
    <w:rsid w:val="00566D70"/>
    <w:rsid w:val="00566D8D"/>
    <w:rsid w:val="00566DEA"/>
    <w:rsid w:val="00566E29"/>
    <w:rsid w:val="00566E78"/>
    <w:rsid w:val="00566E99"/>
    <w:rsid w:val="00566ED8"/>
    <w:rsid w:val="00566EF5"/>
    <w:rsid w:val="00567147"/>
    <w:rsid w:val="00567148"/>
    <w:rsid w:val="005672DB"/>
    <w:rsid w:val="005672E9"/>
    <w:rsid w:val="0056730E"/>
    <w:rsid w:val="00567363"/>
    <w:rsid w:val="0056737F"/>
    <w:rsid w:val="005673A1"/>
    <w:rsid w:val="00567408"/>
    <w:rsid w:val="00567456"/>
    <w:rsid w:val="005674BC"/>
    <w:rsid w:val="00567502"/>
    <w:rsid w:val="0056754D"/>
    <w:rsid w:val="005675BD"/>
    <w:rsid w:val="00567668"/>
    <w:rsid w:val="00567669"/>
    <w:rsid w:val="0056769D"/>
    <w:rsid w:val="005676DB"/>
    <w:rsid w:val="0056776B"/>
    <w:rsid w:val="00567CB9"/>
    <w:rsid w:val="00567D8B"/>
    <w:rsid w:val="00567DB0"/>
    <w:rsid w:val="00567E13"/>
    <w:rsid w:val="00567EEE"/>
    <w:rsid w:val="00567F74"/>
    <w:rsid w:val="00567F8B"/>
    <w:rsid w:val="00570015"/>
    <w:rsid w:val="00570091"/>
    <w:rsid w:val="005700EB"/>
    <w:rsid w:val="0057012C"/>
    <w:rsid w:val="00570168"/>
    <w:rsid w:val="005701FC"/>
    <w:rsid w:val="00570295"/>
    <w:rsid w:val="005702BB"/>
    <w:rsid w:val="00570353"/>
    <w:rsid w:val="0057044C"/>
    <w:rsid w:val="00570454"/>
    <w:rsid w:val="0057049F"/>
    <w:rsid w:val="00570536"/>
    <w:rsid w:val="0057063A"/>
    <w:rsid w:val="0057070C"/>
    <w:rsid w:val="0057071F"/>
    <w:rsid w:val="005707C0"/>
    <w:rsid w:val="005707F6"/>
    <w:rsid w:val="005707FE"/>
    <w:rsid w:val="0057089C"/>
    <w:rsid w:val="005708C1"/>
    <w:rsid w:val="005708C3"/>
    <w:rsid w:val="005708DE"/>
    <w:rsid w:val="00570921"/>
    <w:rsid w:val="00570A02"/>
    <w:rsid w:val="00570A6D"/>
    <w:rsid w:val="00570AF7"/>
    <w:rsid w:val="00570AFE"/>
    <w:rsid w:val="00570BC4"/>
    <w:rsid w:val="00570BFE"/>
    <w:rsid w:val="00570D0C"/>
    <w:rsid w:val="00570D6B"/>
    <w:rsid w:val="00570D6D"/>
    <w:rsid w:val="00570D90"/>
    <w:rsid w:val="00570ED4"/>
    <w:rsid w:val="00570EF3"/>
    <w:rsid w:val="00570F4B"/>
    <w:rsid w:val="00570F96"/>
    <w:rsid w:val="00570FC4"/>
    <w:rsid w:val="00571031"/>
    <w:rsid w:val="0057109C"/>
    <w:rsid w:val="00571142"/>
    <w:rsid w:val="005711B6"/>
    <w:rsid w:val="005711C0"/>
    <w:rsid w:val="00571255"/>
    <w:rsid w:val="00571345"/>
    <w:rsid w:val="005713FE"/>
    <w:rsid w:val="0057141C"/>
    <w:rsid w:val="005714AC"/>
    <w:rsid w:val="005714B0"/>
    <w:rsid w:val="005714E0"/>
    <w:rsid w:val="00571524"/>
    <w:rsid w:val="00571585"/>
    <w:rsid w:val="00571614"/>
    <w:rsid w:val="00571682"/>
    <w:rsid w:val="0057175D"/>
    <w:rsid w:val="0057178D"/>
    <w:rsid w:val="005717D7"/>
    <w:rsid w:val="00571855"/>
    <w:rsid w:val="00571AD4"/>
    <w:rsid w:val="00571AD9"/>
    <w:rsid w:val="00571C38"/>
    <w:rsid w:val="00571C3F"/>
    <w:rsid w:val="00571C74"/>
    <w:rsid w:val="00571CA9"/>
    <w:rsid w:val="00571D05"/>
    <w:rsid w:val="00571D35"/>
    <w:rsid w:val="00571E4C"/>
    <w:rsid w:val="00571E63"/>
    <w:rsid w:val="00571F2E"/>
    <w:rsid w:val="00571FC8"/>
    <w:rsid w:val="00572086"/>
    <w:rsid w:val="0057209E"/>
    <w:rsid w:val="00572102"/>
    <w:rsid w:val="0057210B"/>
    <w:rsid w:val="00572187"/>
    <w:rsid w:val="005721AB"/>
    <w:rsid w:val="00572214"/>
    <w:rsid w:val="0057223E"/>
    <w:rsid w:val="005723EA"/>
    <w:rsid w:val="005723FB"/>
    <w:rsid w:val="0057242F"/>
    <w:rsid w:val="00572476"/>
    <w:rsid w:val="005724AA"/>
    <w:rsid w:val="005724D2"/>
    <w:rsid w:val="005724D8"/>
    <w:rsid w:val="005724E6"/>
    <w:rsid w:val="0057256C"/>
    <w:rsid w:val="005725A6"/>
    <w:rsid w:val="005726D6"/>
    <w:rsid w:val="005727E4"/>
    <w:rsid w:val="00572859"/>
    <w:rsid w:val="00572881"/>
    <w:rsid w:val="00572998"/>
    <w:rsid w:val="005729E6"/>
    <w:rsid w:val="00572A02"/>
    <w:rsid w:val="00572B23"/>
    <w:rsid w:val="00572BCD"/>
    <w:rsid w:val="00572BD7"/>
    <w:rsid w:val="00572CBA"/>
    <w:rsid w:val="00572D71"/>
    <w:rsid w:val="00572E31"/>
    <w:rsid w:val="00572E38"/>
    <w:rsid w:val="00573089"/>
    <w:rsid w:val="005730AC"/>
    <w:rsid w:val="005730CB"/>
    <w:rsid w:val="005732C9"/>
    <w:rsid w:val="0057332E"/>
    <w:rsid w:val="005733A3"/>
    <w:rsid w:val="005733D0"/>
    <w:rsid w:val="0057340A"/>
    <w:rsid w:val="0057350F"/>
    <w:rsid w:val="00573565"/>
    <w:rsid w:val="0057371D"/>
    <w:rsid w:val="0057376D"/>
    <w:rsid w:val="005737F0"/>
    <w:rsid w:val="0057380F"/>
    <w:rsid w:val="00573842"/>
    <w:rsid w:val="005738FA"/>
    <w:rsid w:val="005739B2"/>
    <w:rsid w:val="005739F4"/>
    <w:rsid w:val="00573A12"/>
    <w:rsid w:val="00573A16"/>
    <w:rsid w:val="00573A60"/>
    <w:rsid w:val="00573AC2"/>
    <w:rsid w:val="00573B92"/>
    <w:rsid w:val="00573BE2"/>
    <w:rsid w:val="00573C68"/>
    <w:rsid w:val="00573D79"/>
    <w:rsid w:val="00573DCD"/>
    <w:rsid w:val="00573E28"/>
    <w:rsid w:val="00573F10"/>
    <w:rsid w:val="00573F6B"/>
    <w:rsid w:val="0057400A"/>
    <w:rsid w:val="005740CD"/>
    <w:rsid w:val="0057410C"/>
    <w:rsid w:val="0057411D"/>
    <w:rsid w:val="005741E0"/>
    <w:rsid w:val="0057421E"/>
    <w:rsid w:val="0057425A"/>
    <w:rsid w:val="00574340"/>
    <w:rsid w:val="00574375"/>
    <w:rsid w:val="0057438A"/>
    <w:rsid w:val="005743E7"/>
    <w:rsid w:val="0057443E"/>
    <w:rsid w:val="00574480"/>
    <w:rsid w:val="00574496"/>
    <w:rsid w:val="00574572"/>
    <w:rsid w:val="00574799"/>
    <w:rsid w:val="005747EC"/>
    <w:rsid w:val="0057489E"/>
    <w:rsid w:val="005748A8"/>
    <w:rsid w:val="00574A03"/>
    <w:rsid w:val="00574B61"/>
    <w:rsid w:val="00574B78"/>
    <w:rsid w:val="00574B82"/>
    <w:rsid w:val="00574BE5"/>
    <w:rsid w:val="00574CF3"/>
    <w:rsid w:val="00574CFD"/>
    <w:rsid w:val="00574D3C"/>
    <w:rsid w:val="00574D59"/>
    <w:rsid w:val="00574D8D"/>
    <w:rsid w:val="00574DC1"/>
    <w:rsid w:val="00574E6A"/>
    <w:rsid w:val="00574EE3"/>
    <w:rsid w:val="00574FD8"/>
    <w:rsid w:val="00575085"/>
    <w:rsid w:val="005750A4"/>
    <w:rsid w:val="005751D7"/>
    <w:rsid w:val="005751DA"/>
    <w:rsid w:val="005752B6"/>
    <w:rsid w:val="00575377"/>
    <w:rsid w:val="00575384"/>
    <w:rsid w:val="00575412"/>
    <w:rsid w:val="00575443"/>
    <w:rsid w:val="00575478"/>
    <w:rsid w:val="0057549E"/>
    <w:rsid w:val="005754FE"/>
    <w:rsid w:val="00575518"/>
    <w:rsid w:val="0057560C"/>
    <w:rsid w:val="00575658"/>
    <w:rsid w:val="00575681"/>
    <w:rsid w:val="005756CB"/>
    <w:rsid w:val="005757A8"/>
    <w:rsid w:val="005757BF"/>
    <w:rsid w:val="005757F4"/>
    <w:rsid w:val="005758F5"/>
    <w:rsid w:val="0057596F"/>
    <w:rsid w:val="005759DB"/>
    <w:rsid w:val="005759E5"/>
    <w:rsid w:val="00575ABE"/>
    <w:rsid w:val="00575BCE"/>
    <w:rsid w:val="00575CB7"/>
    <w:rsid w:val="00575D05"/>
    <w:rsid w:val="00575D43"/>
    <w:rsid w:val="00575DBD"/>
    <w:rsid w:val="00575DC4"/>
    <w:rsid w:val="00575DFC"/>
    <w:rsid w:val="00575E6A"/>
    <w:rsid w:val="00575F01"/>
    <w:rsid w:val="00575F4D"/>
    <w:rsid w:val="00575FF2"/>
    <w:rsid w:val="00576024"/>
    <w:rsid w:val="005760F6"/>
    <w:rsid w:val="0057612A"/>
    <w:rsid w:val="005761A9"/>
    <w:rsid w:val="005761AE"/>
    <w:rsid w:val="005761B9"/>
    <w:rsid w:val="0057621B"/>
    <w:rsid w:val="00576260"/>
    <w:rsid w:val="005762ED"/>
    <w:rsid w:val="005762FC"/>
    <w:rsid w:val="00576488"/>
    <w:rsid w:val="005764CE"/>
    <w:rsid w:val="0057654B"/>
    <w:rsid w:val="00576597"/>
    <w:rsid w:val="0057660D"/>
    <w:rsid w:val="0057665A"/>
    <w:rsid w:val="0057666B"/>
    <w:rsid w:val="005766E6"/>
    <w:rsid w:val="005768B7"/>
    <w:rsid w:val="005768C2"/>
    <w:rsid w:val="005769FE"/>
    <w:rsid w:val="00576ACF"/>
    <w:rsid w:val="00576AD3"/>
    <w:rsid w:val="00576B31"/>
    <w:rsid w:val="00576B7E"/>
    <w:rsid w:val="00576C78"/>
    <w:rsid w:val="00576E26"/>
    <w:rsid w:val="00576E74"/>
    <w:rsid w:val="00576ECE"/>
    <w:rsid w:val="00576F09"/>
    <w:rsid w:val="00576F29"/>
    <w:rsid w:val="0057703E"/>
    <w:rsid w:val="005771A3"/>
    <w:rsid w:val="005772DF"/>
    <w:rsid w:val="005773B2"/>
    <w:rsid w:val="005773FF"/>
    <w:rsid w:val="00577477"/>
    <w:rsid w:val="0057757F"/>
    <w:rsid w:val="005775AB"/>
    <w:rsid w:val="0057772D"/>
    <w:rsid w:val="00577748"/>
    <w:rsid w:val="005777AA"/>
    <w:rsid w:val="0057794D"/>
    <w:rsid w:val="00577988"/>
    <w:rsid w:val="005779FC"/>
    <w:rsid w:val="00577A4F"/>
    <w:rsid w:val="00577B5B"/>
    <w:rsid w:val="00577BD3"/>
    <w:rsid w:val="00577C2E"/>
    <w:rsid w:val="00577C63"/>
    <w:rsid w:val="00577C9F"/>
    <w:rsid w:val="00577CF2"/>
    <w:rsid w:val="00577DCB"/>
    <w:rsid w:val="00577EB0"/>
    <w:rsid w:val="00577F26"/>
    <w:rsid w:val="00577F28"/>
    <w:rsid w:val="00577F7D"/>
    <w:rsid w:val="005800AA"/>
    <w:rsid w:val="005800B9"/>
    <w:rsid w:val="0058010E"/>
    <w:rsid w:val="005801D7"/>
    <w:rsid w:val="005801E5"/>
    <w:rsid w:val="005801F8"/>
    <w:rsid w:val="0058028A"/>
    <w:rsid w:val="005802C4"/>
    <w:rsid w:val="005803BD"/>
    <w:rsid w:val="005803DE"/>
    <w:rsid w:val="0058047C"/>
    <w:rsid w:val="005804B4"/>
    <w:rsid w:val="00580546"/>
    <w:rsid w:val="00580590"/>
    <w:rsid w:val="005805D8"/>
    <w:rsid w:val="005805E1"/>
    <w:rsid w:val="005806C2"/>
    <w:rsid w:val="00580737"/>
    <w:rsid w:val="005807FF"/>
    <w:rsid w:val="00580893"/>
    <w:rsid w:val="0058090B"/>
    <w:rsid w:val="00580936"/>
    <w:rsid w:val="0058097F"/>
    <w:rsid w:val="0058099F"/>
    <w:rsid w:val="00580A5A"/>
    <w:rsid w:val="00580B3F"/>
    <w:rsid w:val="00580BB2"/>
    <w:rsid w:val="00580C32"/>
    <w:rsid w:val="00580D18"/>
    <w:rsid w:val="00580D58"/>
    <w:rsid w:val="00580D6C"/>
    <w:rsid w:val="00580E2D"/>
    <w:rsid w:val="00580E76"/>
    <w:rsid w:val="00580EA2"/>
    <w:rsid w:val="00580ECA"/>
    <w:rsid w:val="00580F7E"/>
    <w:rsid w:val="00580FE1"/>
    <w:rsid w:val="0058103B"/>
    <w:rsid w:val="00581165"/>
    <w:rsid w:val="0058122C"/>
    <w:rsid w:val="0058142C"/>
    <w:rsid w:val="0058151E"/>
    <w:rsid w:val="0058160F"/>
    <w:rsid w:val="00581651"/>
    <w:rsid w:val="00581692"/>
    <w:rsid w:val="005816D2"/>
    <w:rsid w:val="0058171B"/>
    <w:rsid w:val="00581786"/>
    <w:rsid w:val="0058178E"/>
    <w:rsid w:val="005817DA"/>
    <w:rsid w:val="0058185F"/>
    <w:rsid w:val="005818F3"/>
    <w:rsid w:val="005819B8"/>
    <w:rsid w:val="005819DE"/>
    <w:rsid w:val="00581A09"/>
    <w:rsid w:val="00581A3D"/>
    <w:rsid w:val="00581A75"/>
    <w:rsid w:val="00581AA0"/>
    <w:rsid w:val="00581AD2"/>
    <w:rsid w:val="00581B12"/>
    <w:rsid w:val="00581B34"/>
    <w:rsid w:val="00581C3C"/>
    <w:rsid w:val="00581D07"/>
    <w:rsid w:val="00581D59"/>
    <w:rsid w:val="00581D94"/>
    <w:rsid w:val="00581DCE"/>
    <w:rsid w:val="00581F40"/>
    <w:rsid w:val="0058203C"/>
    <w:rsid w:val="00582095"/>
    <w:rsid w:val="0058216F"/>
    <w:rsid w:val="0058229B"/>
    <w:rsid w:val="0058235F"/>
    <w:rsid w:val="005824E3"/>
    <w:rsid w:val="00582557"/>
    <w:rsid w:val="005825E1"/>
    <w:rsid w:val="005826B2"/>
    <w:rsid w:val="00582728"/>
    <w:rsid w:val="0058277D"/>
    <w:rsid w:val="005827B1"/>
    <w:rsid w:val="00582811"/>
    <w:rsid w:val="00582820"/>
    <w:rsid w:val="0058282D"/>
    <w:rsid w:val="0058284C"/>
    <w:rsid w:val="005828AD"/>
    <w:rsid w:val="005828BE"/>
    <w:rsid w:val="00582938"/>
    <w:rsid w:val="0058298B"/>
    <w:rsid w:val="005829ED"/>
    <w:rsid w:val="00582A4B"/>
    <w:rsid w:val="00582AED"/>
    <w:rsid w:val="00582B17"/>
    <w:rsid w:val="00582B2C"/>
    <w:rsid w:val="00582B3B"/>
    <w:rsid w:val="00582B82"/>
    <w:rsid w:val="00582BEA"/>
    <w:rsid w:val="00582C28"/>
    <w:rsid w:val="00582C86"/>
    <w:rsid w:val="00582CFA"/>
    <w:rsid w:val="00582D28"/>
    <w:rsid w:val="00582DDB"/>
    <w:rsid w:val="00582FD3"/>
    <w:rsid w:val="00582FE2"/>
    <w:rsid w:val="00583025"/>
    <w:rsid w:val="00583049"/>
    <w:rsid w:val="00583055"/>
    <w:rsid w:val="005830DA"/>
    <w:rsid w:val="005831C2"/>
    <w:rsid w:val="00583267"/>
    <w:rsid w:val="00583382"/>
    <w:rsid w:val="00583384"/>
    <w:rsid w:val="00583418"/>
    <w:rsid w:val="005834CB"/>
    <w:rsid w:val="0058358C"/>
    <w:rsid w:val="00583676"/>
    <w:rsid w:val="00583819"/>
    <w:rsid w:val="005838C3"/>
    <w:rsid w:val="005838E3"/>
    <w:rsid w:val="005838FE"/>
    <w:rsid w:val="00583934"/>
    <w:rsid w:val="00583958"/>
    <w:rsid w:val="00583968"/>
    <w:rsid w:val="0058397E"/>
    <w:rsid w:val="00583999"/>
    <w:rsid w:val="005839A1"/>
    <w:rsid w:val="00583A10"/>
    <w:rsid w:val="00583AB0"/>
    <w:rsid w:val="00583ABF"/>
    <w:rsid w:val="00583B0C"/>
    <w:rsid w:val="00583B1F"/>
    <w:rsid w:val="00583BED"/>
    <w:rsid w:val="00583BF2"/>
    <w:rsid w:val="00583CC7"/>
    <w:rsid w:val="00583D54"/>
    <w:rsid w:val="00583EBC"/>
    <w:rsid w:val="00583F06"/>
    <w:rsid w:val="0058406C"/>
    <w:rsid w:val="005840C1"/>
    <w:rsid w:val="0058410F"/>
    <w:rsid w:val="0058414F"/>
    <w:rsid w:val="005841A7"/>
    <w:rsid w:val="00584299"/>
    <w:rsid w:val="005842C9"/>
    <w:rsid w:val="005844A0"/>
    <w:rsid w:val="0058462A"/>
    <w:rsid w:val="0058465D"/>
    <w:rsid w:val="005846F8"/>
    <w:rsid w:val="00584703"/>
    <w:rsid w:val="00584720"/>
    <w:rsid w:val="0058475D"/>
    <w:rsid w:val="0058480D"/>
    <w:rsid w:val="00584955"/>
    <w:rsid w:val="00584966"/>
    <w:rsid w:val="00584A24"/>
    <w:rsid w:val="00584A38"/>
    <w:rsid w:val="00584A72"/>
    <w:rsid w:val="00584BB8"/>
    <w:rsid w:val="00584BDD"/>
    <w:rsid w:val="00584BE0"/>
    <w:rsid w:val="00584C5A"/>
    <w:rsid w:val="00584CB1"/>
    <w:rsid w:val="00584E00"/>
    <w:rsid w:val="00584E3F"/>
    <w:rsid w:val="00584E40"/>
    <w:rsid w:val="00584E62"/>
    <w:rsid w:val="00584EB4"/>
    <w:rsid w:val="00585010"/>
    <w:rsid w:val="0058502C"/>
    <w:rsid w:val="00585032"/>
    <w:rsid w:val="00585095"/>
    <w:rsid w:val="005850DF"/>
    <w:rsid w:val="0058510C"/>
    <w:rsid w:val="00585136"/>
    <w:rsid w:val="0058517A"/>
    <w:rsid w:val="0058523D"/>
    <w:rsid w:val="00585256"/>
    <w:rsid w:val="005852CA"/>
    <w:rsid w:val="005852D5"/>
    <w:rsid w:val="00585378"/>
    <w:rsid w:val="0058550D"/>
    <w:rsid w:val="00585673"/>
    <w:rsid w:val="005857E3"/>
    <w:rsid w:val="005858B0"/>
    <w:rsid w:val="005858C1"/>
    <w:rsid w:val="00585A27"/>
    <w:rsid w:val="00585A4D"/>
    <w:rsid w:val="00585A7C"/>
    <w:rsid w:val="00585AAA"/>
    <w:rsid w:val="00585B32"/>
    <w:rsid w:val="00585CC5"/>
    <w:rsid w:val="00585DA3"/>
    <w:rsid w:val="00585E10"/>
    <w:rsid w:val="00585E87"/>
    <w:rsid w:val="00585FE6"/>
    <w:rsid w:val="005860B1"/>
    <w:rsid w:val="005860F1"/>
    <w:rsid w:val="00586121"/>
    <w:rsid w:val="005861C0"/>
    <w:rsid w:val="00586228"/>
    <w:rsid w:val="005862F7"/>
    <w:rsid w:val="00586447"/>
    <w:rsid w:val="0058646D"/>
    <w:rsid w:val="00586529"/>
    <w:rsid w:val="005865A4"/>
    <w:rsid w:val="0058673D"/>
    <w:rsid w:val="005867B0"/>
    <w:rsid w:val="005867E5"/>
    <w:rsid w:val="0058680C"/>
    <w:rsid w:val="005868D4"/>
    <w:rsid w:val="005868EF"/>
    <w:rsid w:val="00586968"/>
    <w:rsid w:val="00586977"/>
    <w:rsid w:val="005869AE"/>
    <w:rsid w:val="005869DA"/>
    <w:rsid w:val="00586A04"/>
    <w:rsid w:val="00586A6B"/>
    <w:rsid w:val="00586AE5"/>
    <w:rsid w:val="00586BA9"/>
    <w:rsid w:val="00586C6E"/>
    <w:rsid w:val="00586CFF"/>
    <w:rsid w:val="00586D02"/>
    <w:rsid w:val="00586D2B"/>
    <w:rsid w:val="00586E1A"/>
    <w:rsid w:val="00586E22"/>
    <w:rsid w:val="00586E95"/>
    <w:rsid w:val="00586F7B"/>
    <w:rsid w:val="00586F9D"/>
    <w:rsid w:val="00586FF6"/>
    <w:rsid w:val="00587024"/>
    <w:rsid w:val="00587036"/>
    <w:rsid w:val="00587099"/>
    <w:rsid w:val="005870F4"/>
    <w:rsid w:val="00587136"/>
    <w:rsid w:val="00587197"/>
    <w:rsid w:val="005871BC"/>
    <w:rsid w:val="005871C0"/>
    <w:rsid w:val="005871FF"/>
    <w:rsid w:val="00587224"/>
    <w:rsid w:val="00587233"/>
    <w:rsid w:val="0058732B"/>
    <w:rsid w:val="0058739B"/>
    <w:rsid w:val="005873F4"/>
    <w:rsid w:val="0058743D"/>
    <w:rsid w:val="0058749A"/>
    <w:rsid w:val="005874D4"/>
    <w:rsid w:val="005875D6"/>
    <w:rsid w:val="005875ED"/>
    <w:rsid w:val="00587627"/>
    <w:rsid w:val="005876C5"/>
    <w:rsid w:val="005877CF"/>
    <w:rsid w:val="0058786A"/>
    <w:rsid w:val="00587982"/>
    <w:rsid w:val="00587992"/>
    <w:rsid w:val="00587A2D"/>
    <w:rsid w:val="00587A99"/>
    <w:rsid w:val="00587AE2"/>
    <w:rsid w:val="00587B44"/>
    <w:rsid w:val="00587C9C"/>
    <w:rsid w:val="00587CB2"/>
    <w:rsid w:val="00587CBE"/>
    <w:rsid w:val="00587E04"/>
    <w:rsid w:val="00587EA4"/>
    <w:rsid w:val="00587EE9"/>
    <w:rsid w:val="00590033"/>
    <w:rsid w:val="00590073"/>
    <w:rsid w:val="005900D9"/>
    <w:rsid w:val="0059037A"/>
    <w:rsid w:val="0059037D"/>
    <w:rsid w:val="00590487"/>
    <w:rsid w:val="00590544"/>
    <w:rsid w:val="00590560"/>
    <w:rsid w:val="00590563"/>
    <w:rsid w:val="00590579"/>
    <w:rsid w:val="005905D6"/>
    <w:rsid w:val="00590651"/>
    <w:rsid w:val="00590698"/>
    <w:rsid w:val="005906EA"/>
    <w:rsid w:val="005908D1"/>
    <w:rsid w:val="00590A60"/>
    <w:rsid w:val="00590B4D"/>
    <w:rsid w:val="00590BCF"/>
    <w:rsid w:val="00590BD3"/>
    <w:rsid w:val="00590BDF"/>
    <w:rsid w:val="00590C1A"/>
    <w:rsid w:val="00590C84"/>
    <w:rsid w:val="00590C8C"/>
    <w:rsid w:val="00590EA2"/>
    <w:rsid w:val="00590FF7"/>
    <w:rsid w:val="00591024"/>
    <w:rsid w:val="00591092"/>
    <w:rsid w:val="005910E8"/>
    <w:rsid w:val="00591161"/>
    <w:rsid w:val="00591172"/>
    <w:rsid w:val="005911DE"/>
    <w:rsid w:val="0059124B"/>
    <w:rsid w:val="005912A2"/>
    <w:rsid w:val="005912CD"/>
    <w:rsid w:val="0059136F"/>
    <w:rsid w:val="00591386"/>
    <w:rsid w:val="00591395"/>
    <w:rsid w:val="005913B2"/>
    <w:rsid w:val="00591454"/>
    <w:rsid w:val="0059154F"/>
    <w:rsid w:val="00591664"/>
    <w:rsid w:val="0059167E"/>
    <w:rsid w:val="00591796"/>
    <w:rsid w:val="005917F0"/>
    <w:rsid w:val="005918DC"/>
    <w:rsid w:val="00591A99"/>
    <w:rsid w:val="00591B15"/>
    <w:rsid w:val="00591B83"/>
    <w:rsid w:val="00591B9B"/>
    <w:rsid w:val="00591D46"/>
    <w:rsid w:val="00591DC9"/>
    <w:rsid w:val="00591EAB"/>
    <w:rsid w:val="00591EB2"/>
    <w:rsid w:val="00591ECF"/>
    <w:rsid w:val="00591F27"/>
    <w:rsid w:val="00591F99"/>
    <w:rsid w:val="00591FA6"/>
    <w:rsid w:val="00592024"/>
    <w:rsid w:val="005921DD"/>
    <w:rsid w:val="005922D3"/>
    <w:rsid w:val="00592361"/>
    <w:rsid w:val="005923A6"/>
    <w:rsid w:val="005923EA"/>
    <w:rsid w:val="00592520"/>
    <w:rsid w:val="0059254C"/>
    <w:rsid w:val="00592608"/>
    <w:rsid w:val="005926BF"/>
    <w:rsid w:val="005926D0"/>
    <w:rsid w:val="005926D9"/>
    <w:rsid w:val="00592771"/>
    <w:rsid w:val="00592814"/>
    <w:rsid w:val="005928C5"/>
    <w:rsid w:val="005928C8"/>
    <w:rsid w:val="005928F0"/>
    <w:rsid w:val="0059293F"/>
    <w:rsid w:val="005929B5"/>
    <w:rsid w:val="005929D7"/>
    <w:rsid w:val="005929DD"/>
    <w:rsid w:val="00592B10"/>
    <w:rsid w:val="00592B67"/>
    <w:rsid w:val="00592BA3"/>
    <w:rsid w:val="00592BA4"/>
    <w:rsid w:val="00592BB6"/>
    <w:rsid w:val="00592BD2"/>
    <w:rsid w:val="00592C04"/>
    <w:rsid w:val="00592C9B"/>
    <w:rsid w:val="00592D72"/>
    <w:rsid w:val="00592D7D"/>
    <w:rsid w:val="00592D89"/>
    <w:rsid w:val="00592E50"/>
    <w:rsid w:val="00592ED1"/>
    <w:rsid w:val="00592F46"/>
    <w:rsid w:val="00592FB0"/>
    <w:rsid w:val="00592FE1"/>
    <w:rsid w:val="00593025"/>
    <w:rsid w:val="005930F3"/>
    <w:rsid w:val="005931BB"/>
    <w:rsid w:val="00593252"/>
    <w:rsid w:val="00593328"/>
    <w:rsid w:val="00593355"/>
    <w:rsid w:val="00593362"/>
    <w:rsid w:val="0059337B"/>
    <w:rsid w:val="00593381"/>
    <w:rsid w:val="0059348F"/>
    <w:rsid w:val="00593552"/>
    <w:rsid w:val="0059358F"/>
    <w:rsid w:val="00593707"/>
    <w:rsid w:val="005937BB"/>
    <w:rsid w:val="0059380E"/>
    <w:rsid w:val="0059388A"/>
    <w:rsid w:val="005938D7"/>
    <w:rsid w:val="00593A43"/>
    <w:rsid w:val="00593A45"/>
    <w:rsid w:val="00593BCF"/>
    <w:rsid w:val="00593BF3"/>
    <w:rsid w:val="00593C3A"/>
    <w:rsid w:val="00593C4F"/>
    <w:rsid w:val="00593CE5"/>
    <w:rsid w:val="00593CEC"/>
    <w:rsid w:val="00593D01"/>
    <w:rsid w:val="00593E08"/>
    <w:rsid w:val="00593E3E"/>
    <w:rsid w:val="00593E83"/>
    <w:rsid w:val="00593F31"/>
    <w:rsid w:val="00593F48"/>
    <w:rsid w:val="00593F49"/>
    <w:rsid w:val="00593F76"/>
    <w:rsid w:val="00593F79"/>
    <w:rsid w:val="00594078"/>
    <w:rsid w:val="00594085"/>
    <w:rsid w:val="005940A2"/>
    <w:rsid w:val="005940E5"/>
    <w:rsid w:val="00594112"/>
    <w:rsid w:val="005941CF"/>
    <w:rsid w:val="005942D2"/>
    <w:rsid w:val="005944B2"/>
    <w:rsid w:val="0059458B"/>
    <w:rsid w:val="00594594"/>
    <w:rsid w:val="005945BE"/>
    <w:rsid w:val="0059460E"/>
    <w:rsid w:val="0059467C"/>
    <w:rsid w:val="0059470A"/>
    <w:rsid w:val="00594780"/>
    <w:rsid w:val="005947A6"/>
    <w:rsid w:val="005947C7"/>
    <w:rsid w:val="005947D5"/>
    <w:rsid w:val="005947E5"/>
    <w:rsid w:val="005947FF"/>
    <w:rsid w:val="00594810"/>
    <w:rsid w:val="00594909"/>
    <w:rsid w:val="00594918"/>
    <w:rsid w:val="00594AC5"/>
    <w:rsid w:val="00594B8F"/>
    <w:rsid w:val="00594BAA"/>
    <w:rsid w:val="00594BFC"/>
    <w:rsid w:val="00594C18"/>
    <w:rsid w:val="00594C97"/>
    <w:rsid w:val="00594D08"/>
    <w:rsid w:val="00594D77"/>
    <w:rsid w:val="00594DC1"/>
    <w:rsid w:val="00594E31"/>
    <w:rsid w:val="00594F61"/>
    <w:rsid w:val="00594F7B"/>
    <w:rsid w:val="00595021"/>
    <w:rsid w:val="0059505A"/>
    <w:rsid w:val="00595084"/>
    <w:rsid w:val="00595194"/>
    <w:rsid w:val="005951AE"/>
    <w:rsid w:val="005952F8"/>
    <w:rsid w:val="0059530B"/>
    <w:rsid w:val="00595323"/>
    <w:rsid w:val="00595514"/>
    <w:rsid w:val="00595527"/>
    <w:rsid w:val="00595616"/>
    <w:rsid w:val="00595660"/>
    <w:rsid w:val="0059571B"/>
    <w:rsid w:val="00595738"/>
    <w:rsid w:val="0059577C"/>
    <w:rsid w:val="00595967"/>
    <w:rsid w:val="00595A30"/>
    <w:rsid w:val="00595A82"/>
    <w:rsid w:val="00595BDD"/>
    <w:rsid w:val="00595C01"/>
    <w:rsid w:val="00595C23"/>
    <w:rsid w:val="00595DD4"/>
    <w:rsid w:val="00595DEC"/>
    <w:rsid w:val="00595E09"/>
    <w:rsid w:val="00595E6A"/>
    <w:rsid w:val="00595F7A"/>
    <w:rsid w:val="00595F7C"/>
    <w:rsid w:val="00595F84"/>
    <w:rsid w:val="00596025"/>
    <w:rsid w:val="00596084"/>
    <w:rsid w:val="005960E5"/>
    <w:rsid w:val="005961B9"/>
    <w:rsid w:val="005961BF"/>
    <w:rsid w:val="00596452"/>
    <w:rsid w:val="0059649C"/>
    <w:rsid w:val="005964A3"/>
    <w:rsid w:val="0059652F"/>
    <w:rsid w:val="00596564"/>
    <w:rsid w:val="005966C6"/>
    <w:rsid w:val="0059675E"/>
    <w:rsid w:val="00596786"/>
    <w:rsid w:val="005968BB"/>
    <w:rsid w:val="00596902"/>
    <w:rsid w:val="00596A93"/>
    <w:rsid w:val="00596B54"/>
    <w:rsid w:val="00596C39"/>
    <w:rsid w:val="00596C5C"/>
    <w:rsid w:val="00596C6E"/>
    <w:rsid w:val="00596CF4"/>
    <w:rsid w:val="00596D3E"/>
    <w:rsid w:val="00596DAE"/>
    <w:rsid w:val="00596E8B"/>
    <w:rsid w:val="00596EF1"/>
    <w:rsid w:val="00596F3B"/>
    <w:rsid w:val="00596FEE"/>
    <w:rsid w:val="00596FFE"/>
    <w:rsid w:val="00597015"/>
    <w:rsid w:val="00597023"/>
    <w:rsid w:val="00597041"/>
    <w:rsid w:val="005970C1"/>
    <w:rsid w:val="005971A2"/>
    <w:rsid w:val="005971A8"/>
    <w:rsid w:val="00597211"/>
    <w:rsid w:val="005972C0"/>
    <w:rsid w:val="0059731B"/>
    <w:rsid w:val="0059738E"/>
    <w:rsid w:val="0059743E"/>
    <w:rsid w:val="0059760D"/>
    <w:rsid w:val="00597660"/>
    <w:rsid w:val="00597668"/>
    <w:rsid w:val="005976E3"/>
    <w:rsid w:val="0059775A"/>
    <w:rsid w:val="00597849"/>
    <w:rsid w:val="0059786E"/>
    <w:rsid w:val="00597ABB"/>
    <w:rsid w:val="00597B17"/>
    <w:rsid w:val="00597B5B"/>
    <w:rsid w:val="00597B8C"/>
    <w:rsid w:val="00597BC0"/>
    <w:rsid w:val="00597C1C"/>
    <w:rsid w:val="00597C83"/>
    <w:rsid w:val="00597CEE"/>
    <w:rsid w:val="00597D25"/>
    <w:rsid w:val="00597D45"/>
    <w:rsid w:val="00597DE8"/>
    <w:rsid w:val="00597E17"/>
    <w:rsid w:val="00597E90"/>
    <w:rsid w:val="00597F18"/>
    <w:rsid w:val="00597F19"/>
    <w:rsid w:val="00597F2B"/>
    <w:rsid w:val="00597F7B"/>
    <w:rsid w:val="00597FB9"/>
    <w:rsid w:val="005A0089"/>
    <w:rsid w:val="005A0135"/>
    <w:rsid w:val="005A01D4"/>
    <w:rsid w:val="005A0205"/>
    <w:rsid w:val="005A0265"/>
    <w:rsid w:val="005A0362"/>
    <w:rsid w:val="005A037A"/>
    <w:rsid w:val="005A0380"/>
    <w:rsid w:val="005A038A"/>
    <w:rsid w:val="005A03D3"/>
    <w:rsid w:val="005A0483"/>
    <w:rsid w:val="005A0503"/>
    <w:rsid w:val="005A0672"/>
    <w:rsid w:val="005A0756"/>
    <w:rsid w:val="005A08ED"/>
    <w:rsid w:val="005A0A84"/>
    <w:rsid w:val="005A0ACA"/>
    <w:rsid w:val="005A0CA8"/>
    <w:rsid w:val="005A0CC9"/>
    <w:rsid w:val="005A0E9E"/>
    <w:rsid w:val="005A0FD2"/>
    <w:rsid w:val="005A1020"/>
    <w:rsid w:val="005A10CE"/>
    <w:rsid w:val="005A1128"/>
    <w:rsid w:val="005A1161"/>
    <w:rsid w:val="005A11E7"/>
    <w:rsid w:val="005A1284"/>
    <w:rsid w:val="005A1285"/>
    <w:rsid w:val="005A132E"/>
    <w:rsid w:val="005A1403"/>
    <w:rsid w:val="005A1420"/>
    <w:rsid w:val="005A1444"/>
    <w:rsid w:val="005A1463"/>
    <w:rsid w:val="005A149B"/>
    <w:rsid w:val="005A14FE"/>
    <w:rsid w:val="005A157F"/>
    <w:rsid w:val="005A15B9"/>
    <w:rsid w:val="005A15F1"/>
    <w:rsid w:val="005A162D"/>
    <w:rsid w:val="005A164C"/>
    <w:rsid w:val="005A1680"/>
    <w:rsid w:val="005A1732"/>
    <w:rsid w:val="005A176D"/>
    <w:rsid w:val="005A1783"/>
    <w:rsid w:val="005A1814"/>
    <w:rsid w:val="005A183F"/>
    <w:rsid w:val="005A18C5"/>
    <w:rsid w:val="005A193B"/>
    <w:rsid w:val="005A19CB"/>
    <w:rsid w:val="005A19E7"/>
    <w:rsid w:val="005A1A25"/>
    <w:rsid w:val="005A1B76"/>
    <w:rsid w:val="005A1BCE"/>
    <w:rsid w:val="005A1C53"/>
    <w:rsid w:val="005A1D40"/>
    <w:rsid w:val="005A1DDA"/>
    <w:rsid w:val="005A1E76"/>
    <w:rsid w:val="005A1EF2"/>
    <w:rsid w:val="005A1F7F"/>
    <w:rsid w:val="005A1F85"/>
    <w:rsid w:val="005A1FB8"/>
    <w:rsid w:val="005A1FF3"/>
    <w:rsid w:val="005A2076"/>
    <w:rsid w:val="005A2130"/>
    <w:rsid w:val="005A2139"/>
    <w:rsid w:val="005A2154"/>
    <w:rsid w:val="005A22B8"/>
    <w:rsid w:val="005A22EF"/>
    <w:rsid w:val="005A2301"/>
    <w:rsid w:val="005A23BC"/>
    <w:rsid w:val="005A23D3"/>
    <w:rsid w:val="005A24E8"/>
    <w:rsid w:val="005A25BB"/>
    <w:rsid w:val="005A275A"/>
    <w:rsid w:val="005A27AA"/>
    <w:rsid w:val="005A27D9"/>
    <w:rsid w:val="005A2849"/>
    <w:rsid w:val="005A294C"/>
    <w:rsid w:val="005A2A77"/>
    <w:rsid w:val="005A2A82"/>
    <w:rsid w:val="005A2A88"/>
    <w:rsid w:val="005A2BA2"/>
    <w:rsid w:val="005A2BB8"/>
    <w:rsid w:val="005A2BDD"/>
    <w:rsid w:val="005A2BF5"/>
    <w:rsid w:val="005A2C1F"/>
    <w:rsid w:val="005A2C72"/>
    <w:rsid w:val="005A2C93"/>
    <w:rsid w:val="005A2C98"/>
    <w:rsid w:val="005A2CBD"/>
    <w:rsid w:val="005A2CE2"/>
    <w:rsid w:val="005A2D43"/>
    <w:rsid w:val="005A2E1A"/>
    <w:rsid w:val="005A2EB6"/>
    <w:rsid w:val="005A2EBF"/>
    <w:rsid w:val="005A2F43"/>
    <w:rsid w:val="005A2FA0"/>
    <w:rsid w:val="005A300B"/>
    <w:rsid w:val="005A30B6"/>
    <w:rsid w:val="005A30E5"/>
    <w:rsid w:val="005A315A"/>
    <w:rsid w:val="005A3177"/>
    <w:rsid w:val="005A318E"/>
    <w:rsid w:val="005A324E"/>
    <w:rsid w:val="005A32DF"/>
    <w:rsid w:val="005A3302"/>
    <w:rsid w:val="005A3319"/>
    <w:rsid w:val="005A3327"/>
    <w:rsid w:val="005A3339"/>
    <w:rsid w:val="005A333A"/>
    <w:rsid w:val="005A3414"/>
    <w:rsid w:val="005A344A"/>
    <w:rsid w:val="005A34F6"/>
    <w:rsid w:val="005A34F9"/>
    <w:rsid w:val="005A355A"/>
    <w:rsid w:val="005A356D"/>
    <w:rsid w:val="005A3577"/>
    <w:rsid w:val="005A35C1"/>
    <w:rsid w:val="005A35FA"/>
    <w:rsid w:val="005A365B"/>
    <w:rsid w:val="005A373D"/>
    <w:rsid w:val="005A382A"/>
    <w:rsid w:val="005A3851"/>
    <w:rsid w:val="005A392A"/>
    <w:rsid w:val="005A39B6"/>
    <w:rsid w:val="005A39E8"/>
    <w:rsid w:val="005A3ABF"/>
    <w:rsid w:val="005A3AE7"/>
    <w:rsid w:val="005A3C39"/>
    <w:rsid w:val="005A3C41"/>
    <w:rsid w:val="005A3C84"/>
    <w:rsid w:val="005A3C8D"/>
    <w:rsid w:val="005A3CDD"/>
    <w:rsid w:val="005A3D04"/>
    <w:rsid w:val="005A3DB4"/>
    <w:rsid w:val="005A3DE4"/>
    <w:rsid w:val="005A3EE0"/>
    <w:rsid w:val="005A3EFD"/>
    <w:rsid w:val="005A4060"/>
    <w:rsid w:val="005A40E6"/>
    <w:rsid w:val="005A40F5"/>
    <w:rsid w:val="005A40FE"/>
    <w:rsid w:val="005A416B"/>
    <w:rsid w:val="005A4283"/>
    <w:rsid w:val="005A42C2"/>
    <w:rsid w:val="005A42E2"/>
    <w:rsid w:val="005A439D"/>
    <w:rsid w:val="005A43F7"/>
    <w:rsid w:val="005A444B"/>
    <w:rsid w:val="005A44B3"/>
    <w:rsid w:val="005A455B"/>
    <w:rsid w:val="005A4564"/>
    <w:rsid w:val="005A456A"/>
    <w:rsid w:val="005A4571"/>
    <w:rsid w:val="005A457F"/>
    <w:rsid w:val="005A458E"/>
    <w:rsid w:val="005A4597"/>
    <w:rsid w:val="005A45D1"/>
    <w:rsid w:val="005A4632"/>
    <w:rsid w:val="005A46C1"/>
    <w:rsid w:val="005A47A7"/>
    <w:rsid w:val="005A47AA"/>
    <w:rsid w:val="005A47D7"/>
    <w:rsid w:val="005A4856"/>
    <w:rsid w:val="005A495E"/>
    <w:rsid w:val="005A498E"/>
    <w:rsid w:val="005A4993"/>
    <w:rsid w:val="005A49A6"/>
    <w:rsid w:val="005A49BD"/>
    <w:rsid w:val="005A4A80"/>
    <w:rsid w:val="005A4A9C"/>
    <w:rsid w:val="005A4AE3"/>
    <w:rsid w:val="005A4B8F"/>
    <w:rsid w:val="005A4BFA"/>
    <w:rsid w:val="005A4C05"/>
    <w:rsid w:val="005A4C29"/>
    <w:rsid w:val="005A4C57"/>
    <w:rsid w:val="005A4C5C"/>
    <w:rsid w:val="005A4E01"/>
    <w:rsid w:val="005A4E2F"/>
    <w:rsid w:val="005A4EE3"/>
    <w:rsid w:val="005A4F07"/>
    <w:rsid w:val="005A4FF8"/>
    <w:rsid w:val="005A5063"/>
    <w:rsid w:val="005A514E"/>
    <w:rsid w:val="005A515E"/>
    <w:rsid w:val="005A517D"/>
    <w:rsid w:val="005A5184"/>
    <w:rsid w:val="005A519A"/>
    <w:rsid w:val="005A5248"/>
    <w:rsid w:val="005A53D1"/>
    <w:rsid w:val="005A55F0"/>
    <w:rsid w:val="005A563F"/>
    <w:rsid w:val="005A5659"/>
    <w:rsid w:val="005A56AF"/>
    <w:rsid w:val="005A56EF"/>
    <w:rsid w:val="005A576A"/>
    <w:rsid w:val="005A57FA"/>
    <w:rsid w:val="005A5847"/>
    <w:rsid w:val="005A5904"/>
    <w:rsid w:val="005A5960"/>
    <w:rsid w:val="005A5A33"/>
    <w:rsid w:val="005A5A86"/>
    <w:rsid w:val="005A5B40"/>
    <w:rsid w:val="005A5B7C"/>
    <w:rsid w:val="005A5CE5"/>
    <w:rsid w:val="005A5D1C"/>
    <w:rsid w:val="005A5D97"/>
    <w:rsid w:val="005A5DA3"/>
    <w:rsid w:val="005A5DEB"/>
    <w:rsid w:val="005A5E7A"/>
    <w:rsid w:val="005A5EA5"/>
    <w:rsid w:val="005A5F22"/>
    <w:rsid w:val="005A5F8D"/>
    <w:rsid w:val="005A5FEE"/>
    <w:rsid w:val="005A6058"/>
    <w:rsid w:val="005A608C"/>
    <w:rsid w:val="005A6127"/>
    <w:rsid w:val="005A61BD"/>
    <w:rsid w:val="005A61F8"/>
    <w:rsid w:val="005A6218"/>
    <w:rsid w:val="005A6223"/>
    <w:rsid w:val="005A6315"/>
    <w:rsid w:val="005A63A8"/>
    <w:rsid w:val="005A63D5"/>
    <w:rsid w:val="005A63DB"/>
    <w:rsid w:val="005A6569"/>
    <w:rsid w:val="005A6625"/>
    <w:rsid w:val="005A6684"/>
    <w:rsid w:val="005A668B"/>
    <w:rsid w:val="005A67D0"/>
    <w:rsid w:val="005A682B"/>
    <w:rsid w:val="005A68A0"/>
    <w:rsid w:val="005A69B0"/>
    <w:rsid w:val="005A6A28"/>
    <w:rsid w:val="005A6A81"/>
    <w:rsid w:val="005A6B4C"/>
    <w:rsid w:val="005A6BD3"/>
    <w:rsid w:val="005A6BEB"/>
    <w:rsid w:val="005A6CC1"/>
    <w:rsid w:val="005A6CEC"/>
    <w:rsid w:val="005A6D3F"/>
    <w:rsid w:val="005A6D5D"/>
    <w:rsid w:val="005A6DDC"/>
    <w:rsid w:val="005A6E5F"/>
    <w:rsid w:val="005A6E73"/>
    <w:rsid w:val="005A6EE7"/>
    <w:rsid w:val="005A6F0F"/>
    <w:rsid w:val="005A6F8B"/>
    <w:rsid w:val="005A7104"/>
    <w:rsid w:val="005A715E"/>
    <w:rsid w:val="005A71DD"/>
    <w:rsid w:val="005A72BA"/>
    <w:rsid w:val="005A72E8"/>
    <w:rsid w:val="005A72FD"/>
    <w:rsid w:val="005A7340"/>
    <w:rsid w:val="005A7359"/>
    <w:rsid w:val="005A73CC"/>
    <w:rsid w:val="005A745D"/>
    <w:rsid w:val="005A74AA"/>
    <w:rsid w:val="005A7605"/>
    <w:rsid w:val="005A763C"/>
    <w:rsid w:val="005A7650"/>
    <w:rsid w:val="005A782A"/>
    <w:rsid w:val="005A792D"/>
    <w:rsid w:val="005A7949"/>
    <w:rsid w:val="005A7A05"/>
    <w:rsid w:val="005A7A0E"/>
    <w:rsid w:val="005A7A2B"/>
    <w:rsid w:val="005A7ABE"/>
    <w:rsid w:val="005A7C13"/>
    <w:rsid w:val="005A7C93"/>
    <w:rsid w:val="005A7CCA"/>
    <w:rsid w:val="005A7CF7"/>
    <w:rsid w:val="005A7D79"/>
    <w:rsid w:val="005A7F18"/>
    <w:rsid w:val="005A7F64"/>
    <w:rsid w:val="005A7F69"/>
    <w:rsid w:val="005A7F97"/>
    <w:rsid w:val="005A7FAA"/>
    <w:rsid w:val="005A7FDC"/>
    <w:rsid w:val="005B01D9"/>
    <w:rsid w:val="005B02B3"/>
    <w:rsid w:val="005B034D"/>
    <w:rsid w:val="005B0491"/>
    <w:rsid w:val="005B0573"/>
    <w:rsid w:val="005B05B9"/>
    <w:rsid w:val="005B05F5"/>
    <w:rsid w:val="005B0701"/>
    <w:rsid w:val="005B074B"/>
    <w:rsid w:val="005B0756"/>
    <w:rsid w:val="005B076B"/>
    <w:rsid w:val="005B078A"/>
    <w:rsid w:val="005B0852"/>
    <w:rsid w:val="005B08B4"/>
    <w:rsid w:val="005B094D"/>
    <w:rsid w:val="005B0954"/>
    <w:rsid w:val="005B0987"/>
    <w:rsid w:val="005B0990"/>
    <w:rsid w:val="005B09C4"/>
    <w:rsid w:val="005B0A00"/>
    <w:rsid w:val="005B0A12"/>
    <w:rsid w:val="005B0A3B"/>
    <w:rsid w:val="005B0AAC"/>
    <w:rsid w:val="005B0B2D"/>
    <w:rsid w:val="005B0B2E"/>
    <w:rsid w:val="005B0B66"/>
    <w:rsid w:val="005B0B96"/>
    <w:rsid w:val="005B0BD1"/>
    <w:rsid w:val="005B0C59"/>
    <w:rsid w:val="005B0C65"/>
    <w:rsid w:val="005B0C88"/>
    <w:rsid w:val="005B0CFF"/>
    <w:rsid w:val="005B0D01"/>
    <w:rsid w:val="005B0D0C"/>
    <w:rsid w:val="005B0E42"/>
    <w:rsid w:val="005B0E4F"/>
    <w:rsid w:val="005B0E7A"/>
    <w:rsid w:val="005B0F36"/>
    <w:rsid w:val="005B0F6D"/>
    <w:rsid w:val="005B1008"/>
    <w:rsid w:val="005B1068"/>
    <w:rsid w:val="005B11C8"/>
    <w:rsid w:val="005B133E"/>
    <w:rsid w:val="005B13A9"/>
    <w:rsid w:val="005B13C3"/>
    <w:rsid w:val="005B13C6"/>
    <w:rsid w:val="005B1404"/>
    <w:rsid w:val="005B143D"/>
    <w:rsid w:val="005B1483"/>
    <w:rsid w:val="005B149E"/>
    <w:rsid w:val="005B150F"/>
    <w:rsid w:val="005B1587"/>
    <w:rsid w:val="005B1640"/>
    <w:rsid w:val="005B1668"/>
    <w:rsid w:val="005B16A5"/>
    <w:rsid w:val="005B16D1"/>
    <w:rsid w:val="005B16E7"/>
    <w:rsid w:val="005B1783"/>
    <w:rsid w:val="005B1787"/>
    <w:rsid w:val="005B17CE"/>
    <w:rsid w:val="005B17E9"/>
    <w:rsid w:val="005B193F"/>
    <w:rsid w:val="005B1A33"/>
    <w:rsid w:val="005B1A34"/>
    <w:rsid w:val="005B1AB5"/>
    <w:rsid w:val="005B1ACF"/>
    <w:rsid w:val="005B1B50"/>
    <w:rsid w:val="005B1C6B"/>
    <w:rsid w:val="005B1CD5"/>
    <w:rsid w:val="005B1CDF"/>
    <w:rsid w:val="005B1D05"/>
    <w:rsid w:val="005B1E10"/>
    <w:rsid w:val="005B1E48"/>
    <w:rsid w:val="005B1F82"/>
    <w:rsid w:val="005B20D7"/>
    <w:rsid w:val="005B2110"/>
    <w:rsid w:val="005B211C"/>
    <w:rsid w:val="005B2137"/>
    <w:rsid w:val="005B21E2"/>
    <w:rsid w:val="005B21E8"/>
    <w:rsid w:val="005B2226"/>
    <w:rsid w:val="005B22BB"/>
    <w:rsid w:val="005B2356"/>
    <w:rsid w:val="005B2382"/>
    <w:rsid w:val="005B2454"/>
    <w:rsid w:val="005B25DD"/>
    <w:rsid w:val="005B265F"/>
    <w:rsid w:val="005B2691"/>
    <w:rsid w:val="005B26C5"/>
    <w:rsid w:val="005B28CC"/>
    <w:rsid w:val="005B29DA"/>
    <w:rsid w:val="005B29EE"/>
    <w:rsid w:val="005B2A0E"/>
    <w:rsid w:val="005B2A16"/>
    <w:rsid w:val="005B2A23"/>
    <w:rsid w:val="005B2AA4"/>
    <w:rsid w:val="005B2B24"/>
    <w:rsid w:val="005B2B57"/>
    <w:rsid w:val="005B2BCE"/>
    <w:rsid w:val="005B2D39"/>
    <w:rsid w:val="005B2D48"/>
    <w:rsid w:val="005B2DA1"/>
    <w:rsid w:val="005B2DC9"/>
    <w:rsid w:val="005B2DCB"/>
    <w:rsid w:val="005B2E6D"/>
    <w:rsid w:val="005B2F6C"/>
    <w:rsid w:val="005B2F74"/>
    <w:rsid w:val="005B2F9E"/>
    <w:rsid w:val="005B30BF"/>
    <w:rsid w:val="005B315E"/>
    <w:rsid w:val="005B31AC"/>
    <w:rsid w:val="005B31D2"/>
    <w:rsid w:val="005B320D"/>
    <w:rsid w:val="005B3229"/>
    <w:rsid w:val="005B324F"/>
    <w:rsid w:val="005B3366"/>
    <w:rsid w:val="005B3372"/>
    <w:rsid w:val="005B3389"/>
    <w:rsid w:val="005B33AA"/>
    <w:rsid w:val="005B341A"/>
    <w:rsid w:val="005B34A2"/>
    <w:rsid w:val="005B34A3"/>
    <w:rsid w:val="005B3619"/>
    <w:rsid w:val="005B3666"/>
    <w:rsid w:val="005B369D"/>
    <w:rsid w:val="005B38BF"/>
    <w:rsid w:val="005B38C4"/>
    <w:rsid w:val="005B3A92"/>
    <w:rsid w:val="005B3B44"/>
    <w:rsid w:val="005B3B53"/>
    <w:rsid w:val="005B3BB1"/>
    <w:rsid w:val="005B3D9B"/>
    <w:rsid w:val="005B3E29"/>
    <w:rsid w:val="005B3E74"/>
    <w:rsid w:val="005B4055"/>
    <w:rsid w:val="005B410B"/>
    <w:rsid w:val="005B42D3"/>
    <w:rsid w:val="005B4307"/>
    <w:rsid w:val="005B4343"/>
    <w:rsid w:val="005B44BC"/>
    <w:rsid w:val="005B44C5"/>
    <w:rsid w:val="005B44CF"/>
    <w:rsid w:val="005B4659"/>
    <w:rsid w:val="005B470D"/>
    <w:rsid w:val="005B4721"/>
    <w:rsid w:val="005B484A"/>
    <w:rsid w:val="005B4933"/>
    <w:rsid w:val="005B4993"/>
    <w:rsid w:val="005B4A18"/>
    <w:rsid w:val="005B4A4D"/>
    <w:rsid w:val="005B4AD0"/>
    <w:rsid w:val="005B4AE3"/>
    <w:rsid w:val="005B4BA0"/>
    <w:rsid w:val="005B4BCE"/>
    <w:rsid w:val="005B4BD1"/>
    <w:rsid w:val="005B4DE6"/>
    <w:rsid w:val="005B4FBB"/>
    <w:rsid w:val="005B4FCE"/>
    <w:rsid w:val="005B504C"/>
    <w:rsid w:val="005B5082"/>
    <w:rsid w:val="005B50A2"/>
    <w:rsid w:val="005B50C9"/>
    <w:rsid w:val="005B5162"/>
    <w:rsid w:val="005B51F1"/>
    <w:rsid w:val="005B5321"/>
    <w:rsid w:val="005B5380"/>
    <w:rsid w:val="005B544B"/>
    <w:rsid w:val="005B5455"/>
    <w:rsid w:val="005B56AF"/>
    <w:rsid w:val="005B56CB"/>
    <w:rsid w:val="005B586E"/>
    <w:rsid w:val="005B58A6"/>
    <w:rsid w:val="005B5957"/>
    <w:rsid w:val="005B5996"/>
    <w:rsid w:val="005B5A08"/>
    <w:rsid w:val="005B5B7F"/>
    <w:rsid w:val="005B5C69"/>
    <w:rsid w:val="005B5C6F"/>
    <w:rsid w:val="005B5D77"/>
    <w:rsid w:val="005B5E46"/>
    <w:rsid w:val="005B5F60"/>
    <w:rsid w:val="005B5FCC"/>
    <w:rsid w:val="005B6031"/>
    <w:rsid w:val="005B60BF"/>
    <w:rsid w:val="005B60DC"/>
    <w:rsid w:val="005B6130"/>
    <w:rsid w:val="005B6246"/>
    <w:rsid w:val="005B6431"/>
    <w:rsid w:val="005B6454"/>
    <w:rsid w:val="005B6463"/>
    <w:rsid w:val="005B6504"/>
    <w:rsid w:val="005B6512"/>
    <w:rsid w:val="005B6518"/>
    <w:rsid w:val="005B6536"/>
    <w:rsid w:val="005B6538"/>
    <w:rsid w:val="005B6666"/>
    <w:rsid w:val="005B66FA"/>
    <w:rsid w:val="005B6812"/>
    <w:rsid w:val="005B6942"/>
    <w:rsid w:val="005B697E"/>
    <w:rsid w:val="005B6B14"/>
    <w:rsid w:val="005B6B7F"/>
    <w:rsid w:val="005B6E91"/>
    <w:rsid w:val="005B6F59"/>
    <w:rsid w:val="005B6F7D"/>
    <w:rsid w:val="005B6FA0"/>
    <w:rsid w:val="005B6FC2"/>
    <w:rsid w:val="005B7058"/>
    <w:rsid w:val="005B706B"/>
    <w:rsid w:val="005B70D4"/>
    <w:rsid w:val="005B70DC"/>
    <w:rsid w:val="005B7208"/>
    <w:rsid w:val="005B7224"/>
    <w:rsid w:val="005B72C2"/>
    <w:rsid w:val="005B72C9"/>
    <w:rsid w:val="005B72DD"/>
    <w:rsid w:val="005B73C1"/>
    <w:rsid w:val="005B73F3"/>
    <w:rsid w:val="005B7501"/>
    <w:rsid w:val="005B7577"/>
    <w:rsid w:val="005B7642"/>
    <w:rsid w:val="005B7669"/>
    <w:rsid w:val="005B7688"/>
    <w:rsid w:val="005B76C2"/>
    <w:rsid w:val="005B77DE"/>
    <w:rsid w:val="005B791B"/>
    <w:rsid w:val="005B7929"/>
    <w:rsid w:val="005B792C"/>
    <w:rsid w:val="005B79D5"/>
    <w:rsid w:val="005B7AB5"/>
    <w:rsid w:val="005B7B15"/>
    <w:rsid w:val="005B7C66"/>
    <w:rsid w:val="005B7D4D"/>
    <w:rsid w:val="005B7D56"/>
    <w:rsid w:val="005B7D90"/>
    <w:rsid w:val="005B7E25"/>
    <w:rsid w:val="005B7EB0"/>
    <w:rsid w:val="005B7EF2"/>
    <w:rsid w:val="005B7F5D"/>
    <w:rsid w:val="005B7F7F"/>
    <w:rsid w:val="005B7FD3"/>
    <w:rsid w:val="005BDDDE"/>
    <w:rsid w:val="005C0023"/>
    <w:rsid w:val="005C0038"/>
    <w:rsid w:val="005C00D4"/>
    <w:rsid w:val="005C016D"/>
    <w:rsid w:val="005C01F5"/>
    <w:rsid w:val="005C03F7"/>
    <w:rsid w:val="005C0402"/>
    <w:rsid w:val="005C0448"/>
    <w:rsid w:val="005C045E"/>
    <w:rsid w:val="005C04C0"/>
    <w:rsid w:val="005C0550"/>
    <w:rsid w:val="005C056D"/>
    <w:rsid w:val="005C05AD"/>
    <w:rsid w:val="005C05E3"/>
    <w:rsid w:val="005C061C"/>
    <w:rsid w:val="005C06C9"/>
    <w:rsid w:val="005C0755"/>
    <w:rsid w:val="005C08E7"/>
    <w:rsid w:val="005C0907"/>
    <w:rsid w:val="005C0947"/>
    <w:rsid w:val="005C09C6"/>
    <w:rsid w:val="005C0A70"/>
    <w:rsid w:val="005C0ADE"/>
    <w:rsid w:val="005C0AFF"/>
    <w:rsid w:val="005C0B46"/>
    <w:rsid w:val="005C0B95"/>
    <w:rsid w:val="005C0C47"/>
    <w:rsid w:val="005C0C9A"/>
    <w:rsid w:val="005C0DBC"/>
    <w:rsid w:val="005C0EAA"/>
    <w:rsid w:val="005C0EF9"/>
    <w:rsid w:val="005C0F2B"/>
    <w:rsid w:val="005C0F62"/>
    <w:rsid w:val="005C108A"/>
    <w:rsid w:val="005C1371"/>
    <w:rsid w:val="005C13EA"/>
    <w:rsid w:val="005C150B"/>
    <w:rsid w:val="005C152C"/>
    <w:rsid w:val="005C155B"/>
    <w:rsid w:val="005C15E5"/>
    <w:rsid w:val="005C164A"/>
    <w:rsid w:val="005C16F0"/>
    <w:rsid w:val="005C173F"/>
    <w:rsid w:val="005C1776"/>
    <w:rsid w:val="005C17D7"/>
    <w:rsid w:val="005C1849"/>
    <w:rsid w:val="005C1893"/>
    <w:rsid w:val="005C18F5"/>
    <w:rsid w:val="005C1946"/>
    <w:rsid w:val="005C1980"/>
    <w:rsid w:val="005C1A58"/>
    <w:rsid w:val="005C1ADB"/>
    <w:rsid w:val="005C1BBA"/>
    <w:rsid w:val="005C1C38"/>
    <w:rsid w:val="005C1CA5"/>
    <w:rsid w:val="005C1D0A"/>
    <w:rsid w:val="005C1D85"/>
    <w:rsid w:val="005C1DED"/>
    <w:rsid w:val="005C1E78"/>
    <w:rsid w:val="005C1F2A"/>
    <w:rsid w:val="005C1FF7"/>
    <w:rsid w:val="005C2047"/>
    <w:rsid w:val="005C207E"/>
    <w:rsid w:val="005C20B0"/>
    <w:rsid w:val="005C21A9"/>
    <w:rsid w:val="005C22CA"/>
    <w:rsid w:val="005C2447"/>
    <w:rsid w:val="005C24B8"/>
    <w:rsid w:val="005C24CF"/>
    <w:rsid w:val="005C24E3"/>
    <w:rsid w:val="005C2505"/>
    <w:rsid w:val="005C2532"/>
    <w:rsid w:val="005C2536"/>
    <w:rsid w:val="005C269D"/>
    <w:rsid w:val="005C269F"/>
    <w:rsid w:val="005C26B0"/>
    <w:rsid w:val="005C26D2"/>
    <w:rsid w:val="005C2757"/>
    <w:rsid w:val="005C2854"/>
    <w:rsid w:val="005C2868"/>
    <w:rsid w:val="005C2A10"/>
    <w:rsid w:val="005C2B4E"/>
    <w:rsid w:val="005C2B53"/>
    <w:rsid w:val="005C2BA0"/>
    <w:rsid w:val="005C2BEB"/>
    <w:rsid w:val="005C2C9C"/>
    <w:rsid w:val="005C2CAB"/>
    <w:rsid w:val="005C2DF8"/>
    <w:rsid w:val="005C2F5C"/>
    <w:rsid w:val="005C3136"/>
    <w:rsid w:val="005C3182"/>
    <w:rsid w:val="005C328B"/>
    <w:rsid w:val="005C334F"/>
    <w:rsid w:val="005C33A5"/>
    <w:rsid w:val="005C33AB"/>
    <w:rsid w:val="005C33B7"/>
    <w:rsid w:val="005C33C3"/>
    <w:rsid w:val="005C33E9"/>
    <w:rsid w:val="005C34BA"/>
    <w:rsid w:val="005C356A"/>
    <w:rsid w:val="005C3685"/>
    <w:rsid w:val="005C36BB"/>
    <w:rsid w:val="005C36FB"/>
    <w:rsid w:val="005C376B"/>
    <w:rsid w:val="005C377A"/>
    <w:rsid w:val="005C37B7"/>
    <w:rsid w:val="005C3969"/>
    <w:rsid w:val="005C3996"/>
    <w:rsid w:val="005C39DC"/>
    <w:rsid w:val="005C39E9"/>
    <w:rsid w:val="005C3C40"/>
    <w:rsid w:val="005C3CD5"/>
    <w:rsid w:val="005C3D04"/>
    <w:rsid w:val="005C3D48"/>
    <w:rsid w:val="005C3D53"/>
    <w:rsid w:val="005C3EBB"/>
    <w:rsid w:val="005C3FEB"/>
    <w:rsid w:val="005C4072"/>
    <w:rsid w:val="005C409A"/>
    <w:rsid w:val="005C40AB"/>
    <w:rsid w:val="005C4114"/>
    <w:rsid w:val="005C4153"/>
    <w:rsid w:val="005C4198"/>
    <w:rsid w:val="005C41E0"/>
    <w:rsid w:val="005C41ED"/>
    <w:rsid w:val="005C41FC"/>
    <w:rsid w:val="005C42F4"/>
    <w:rsid w:val="005C4302"/>
    <w:rsid w:val="005C4321"/>
    <w:rsid w:val="005C433C"/>
    <w:rsid w:val="005C43A5"/>
    <w:rsid w:val="005C43C6"/>
    <w:rsid w:val="005C4468"/>
    <w:rsid w:val="005C44B1"/>
    <w:rsid w:val="005C4583"/>
    <w:rsid w:val="005C459E"/>
    <w:rsid w:val="005C4611"/>
    <w:rsid w:val="005C465C"/>
    <w:rsid w:val="005C466E"/>
    <w:rsid w:val="005C4718"/>
    <w:rsid w:val="005C47EC"/>
    <w:rsid w:val="005C481A"/>
    <w:rsid w:val="005C4920"/>
    <w:rsid w:val="005C4954"/>
    <w:rsid w:val="005C49F3"/>
    <w:rsid w:val="005C4A15"/>
    <w:rsid w:val="005C4AB5"/>
    <w:rsid w:val="005C4BB9"/>
    <w:rsid w:val="005C4C6D"/>
    <w:rsid w:val="005C4CDA"/>
    <w:rsid w:val="005C4DAD"/>
    <w:rsid w:val="005C4DB4"/>
    <w:rsid w:val="005C4DC4"/>
    <w:rsid w:val="005C4E02"/>
    <w:rsid w:val="005C4E0C"/>
    <w:rsid w:val="005C4F62"/>
    <w:rsid w:val="005C4FCB"/>
    <w:rsid w:val="005C4FEF"/>
    <w:rsid w:val="005C5087"/>
    <w:rsid w:val="005C50DA"/>
    <w:rsid w:val="005C50F9"/>
    <w:rsid w:val="005C51FC"/>
    <w:rsid w:val="005C5374"/>
    <w:rsid w:val="005C54DF"/>
    <w:rsid w:val="005C5616"/>
    <w:rsid w:val="005C5752"/>
    <w:rsid w:val="005C59BD"/>
    <w:rsid w:val="005C59C0"/>
    <w:rsid w:val="005C59CA"/>
    <w:rsid w:val="005C5A6F"/>
    <w:rsid w:val="005C5A79"/>
    <w:rsid w:val="005C5B3C"/>
    <w:rsid w:val="005C5B96"/>
    <w:rsid w:val="005C5BB8"/>
    <w:rsid w:val="005C5C79"/>
    <w:rsid w:val="005C5DC8"/>
    <w:rsid w:val="005C5E31"/>
    <w:rsid w:val="005C5E7C"/>
    <w:rsid w:val="005C5EB5"/>
    <w:rsid w:val="005C5FCD"/>
    <w:rsid w:val="005C5FDC"/>
    <w:rsid w:val="005C5FFA"/>
    <w:rsid w:val="005C6028"/>
    <w:rsid w:val="005C606A"/>
    <w:rsid w:val="005C60CC"/>
    <w:rsid w:val="005C61BB"/>
    <w:rsid w:val="005C6207"/>
    <w:rsid w:val="005C630A"/>
    <w:rsid w:val="005C6354"/>
    <w:rsid w:val="005C636D"/>
    <w:rsid w:val="005C63FB"/>
    <w:rsid w:val="005C64B8"/>
    <w:rsid w:val="005C6558"/>
    <w:rsid w:val="005C65D7"/>
    <w:rsid w:val="005C6646"/>
    <w:rsid w:val="005C668E"/>
    <w:rsid w:val="005C67BA"/>
    <w:rsid w:val="005C67E8"/>
    <w:rsid w:val="005C6832"/>
    <w:rsid w:val="005C6983"/>
    <w:rsid w:val="005C6A24"/>
    <w:rsid w:val="005C6A4D"/>
    <w:rsid w:val="005C6AAC"/>
    <w:rsid w:val="005C6AC2"/>
    <w:rsid w:val="005C6B0B"/>
    <w:rsid w:val="005C6B2A"/>
    <w:rsid w:val="005C6BAF"/>
    <w:rsid w:val="005C6BCC"/>
    <w:rsid w:val="005C6E25"/>
    <w:rsid w:val="005C6EA1"/>
    <w:rsid w:val="005C6F56"/>
    <w:rsid w:val="005C6F96"/>
    <w:rsid w:val="005C6FE8"/>
    <w:rsid w:val="005C7011"/>
    <w:rsid w:val="005C7014"/>
    <w:rsid w:val="005C7018"/>
    <w:rsid w:val="005C705B"/>
    <w:rsid w:val="005C7079"/>
    <w:rsid w:val="005C707A"/>
    <w:rsid w:val="005C7095"/>
    <w:rsid w:val="005C70C5"/>
    <w:rsid w:val="005C711D"/>
    <w:rsid w:val="005C713B"/>
    <w:rsid w:val="005C7286"/>
    <w:rsid w:val="005C731C"/>
    <w:rsid w:val="005C73FB"/>
    <w:rsid w:val="005C7428"/>
    <w:rsid w:val="005C7437"/>
    <w:rsid w:val="005C74B6"/>
    <w:rsid w:val="005C7575"/>
    <w:rsid w:val="005C7599"/>
    <w:rsid w:val="005C759E"/>
    <w:rsid w:val="005C75A5"/>
    <w:rsid w:val="005C75E3"/>
    <w:rsid w:val="005C762A"/>
    <w:rsid w:val="005C77EA"/>
    <w:rsid w:val="005C7835"/>
    <w:rsid w:val="005C786F"/>
    <w:rsid w:val="005C78BF"/>
    <w:rsid w:val="005C7919"/>
    <w:rsid w:val="005C79D5"/>
    <w:rsid w:val="005C7A6A"/>
    <w:rsid w:val="005C7ABD"/>
    <w:rsid w:val="005C7AEC"/>
    <w:rsid w:val="005C7D10"/>
    <w:rsid w:val="005C7E2A"/>
    <w:rsid w:val="005C7EF6"/>
    <w:rsid w:val="005C7FC5"/>
    <w:rsid w:val="005D01E7"/>
    <w:rsid w:val="005D0204"/>
    <w:rsid w:val="005D0296"/>
    <w:rsid w:val="005D02A6"/>
    <w:rsid w:val="005D02B9"/>
    <w:rsid w:val="005D03DB"/>
    <w:rsid w:val="005D03ED"/>
    <w:rsid w:val="005D0405"/>
    <w:rsid w:val="005D04D6"/>
    <w:rsid w:val="005D05D8"/>
    <w:rsid w:val="005D05EC"/>
    <w:rsid w:val="005D0608"/>
    <w:rsid w:val="005D0630"/>
    <w:rsid w:val="005D063D"/>
    <w:rsid w:val="005D0782"/>
    <w:rsid w:val="005D07AD"/>
    <w:rsid w:val="005D0832"/>
    <w:rsid w:val="005D08D0"/>
    <w:rsid w:val="005D09B9"/>
    <w:rsid w:val="005D0AE9"/>
    <w:rsid w:val="005D0B24"/>
    <w:rsid w:val="005D0B31"/>
    <w:rsid w:val="005D0B44"/>
    <w:rsid w:val="005D0B74"/>
    <w:rsid w:val="005D0BD1"/>
    <w:rsid w:val="005D0BF7"/>
    <w:rsid w:val="005D0C46"/>
    <w:rsid w:val="005D0C8B"/>
    <w:rsid w:val="005D0CA1"/>
    <w:rsid w:val="005D0CA4"/>
    <w:rsid w:val="005D0CA8"/>
    <w:rsid w:val="005D0D61"/>
    <w:rsid w:val="005D0DBB"/>
    <w:rsid w:val="005D0ECA"/>
    <w:rsid w:val="005D0F72"/>
    <w:rsid w:val="005D0FA2"/>
    <w:rsid w:val="005D0FCD"/>
    <w:rsid w:val="005D104D"/>
    <w:rsid w:val="005D10AC"/>
    <w:rsid w:val="005D1293"/>
    <w:rsid w:val="005D12C7"/>
    <w:rsid w:val="005D136F"/>
    <w:rsid w:val="005D14B0"/>
    <w:rsid w:val="005D14CB"/>
    <w:rsid w:val="005D1618"/>
    <w:rsid w:val="005D1695"/>
    <w:rsid w:val="005D1703"/>
    <w:rsid w:val="005D1731"/>
    <w:rsid w:val="005D17A4"/>
    <w:rsid w:val="005D1835"/>
    <w:rsid w:val="005D18CD"/>
    <w:rsid w:val="005D193C"/>
    <w:rsid w:val="005D199F"/>
    <w:rsid w:val="005D19AF"/>
    <w:rsid w:val="005D1A1B"/>
    <w:rsid w:val="005D1AD5"/>
    <w:rsid w:val="005D1B10"/>
    <w:rsid w:val="005D1C87"/>
    <w:rsid w:val="005D1CA4"/>
    <w:rsid w:val="005D1CB3"/>
    <w:rsid w:val="005D1D7E"/>
    <w:rsid w:val="005D1E1F"/>
    <w:rsid w:val="005D1F86"/>
    <w:rsid w:val="005D1FC3"/>
    <w:rsid w:val="005D2026"/>
    <w:rsid w:val="005D2056"/>
    <w:rsid w:val="005D2058"/>
    <w:rsid w:val="005D205E"/>
    <w:rsid w:val="005D20C8"/>
    <w:rsid w:val="005D210C"/>
    <w:rsid w:val="005D2175"/>
    <w:rsid w:val="005D21E8"/>
    <w:rsid w:val="005D21F3"/>
    <w:rsid w:val="005D22FB"/>
    <w:rsid w:val="005D2397"/>
    <w:rsid w:val="005D23DD"/>
    <w:rsid w:val="005D2429"/>
    <w:rsid w:val="005D244B"/>
    <w:rsid w:val="005D24B3"/>
    <w:rsid w:val="005D2531"/>
    <w:rsid w:val="005D2599"/>
    <w:rsid w:val="005D25E2"/>
    <w:rsid w:val="005D25E7"/>
    <w:rsid w:val="005D25E9"/>
    <w:rsid w:val="005D2695"/>
    <w:rsid w:val="005D2703"/>
    <w:rsid w:val="005D2725"/>
    <w:rsid w:val="005D276E"/>
    <w:rsid w:val="005D27D8"/>
    <w:rsid w:val="005D27F1"/>
    <w:rsid w:val="005D2822"/>
    <w:rsid w:val="005D2844"/>
    <w:rsid w:val="005D287A"/>
    <w:rsid w:val="005D289C"/>
    <w:rsid w:val="005D294D"/>
    <w:rsid w:val="005D2988"/>
    <w:rsid w:val="005D2A09"/>
    <w:rsid w:val="005D2A63"/>
    <w:rsid w:val="005D2B38"/>
    <w:rsid w:val="005D2BB8"/>
    <w:rsid w:val="005D2BEF"/>
    <w:rsid w:val="005D2C17"/>
    <w:rsid w:val="005D2C22"/>
    <w:rsid w:val="005D2C3F"/>
    <w:rsid w:val="005D2CB5"/>
    <w:rsid w:val="005D2CF3"/>
    <w:rsid w:val="005D2D33"/>
    <w:rsid w:val="005D2DD2"/>
    <w:rsid w:val="005D2E5C"/>
    <w:rsid w:val="005D2E7A"/>
    <w:rsid w:val="005D2ECF"/>
    <w:rsid w:val="005D2F46"/>
    <w:rsid w:val="005D2F83"/>
    <w:rsid w:val="005D2F8C"/>
    <w:rsid w:val="005D31EF"/>
    <w:rsid w:val="005D3423"/>
    <w:rsid w:val="005D342E"/>
    <w:rsid w:val="005D3584"/>
    <w:rsid w:val="005D35C5"/>
    <w:rsid w:val="005D3636"/>
    <w:rsid w:val="005D36A5"/>
    <w:rsid w:val="005D38A0"/>
    <w:rsid w:val="005D3A05"/>
    <w:rsid w:val="005D3B14"/>
    <w:rsid w:val="005D3C86"/>
    <w:rsid w:val="005D3E2B"/>
    <w:rsid w:val="005D3E55"/>
    <w:rsid w:val="005D3EDC"/>
    <w:rsid w:val="005D3F9F"/>
    <w:rsid w:val="005D406C"/>
    <w:rsid w:val="005D40D5"/>
    <w:rsid w:val="005D4160"/>
    <w:rsid w:val="005D4187"/>
    <w:rsid w:val="005D41A5"/>
    <w:rsid w:val="005D42A0"/>
    <w:rsid w:val="005D42F7"/>
    <w:rsid w:val="005D436E"/>
    <w:rsid w:val="005D43BF"/>
    <w:rsid w:val="005D4530"/>
    <w:rsid w:val="005D4536"/>
    <w:rsid w:val="005D4579"/>
    <w:rsid w:val="005D45B2"/>
    <w:rsid w:val="005D45FE"/>
    <w:rsid w:val="005D4678"/>
    <w:rsid w:val="005D468F"/>
    <w:rsid w:val="005D46EE"/>
    <w:rsid w:val="005D4761"/>
    <w:rsid w:val="005D4766"/>
    <w:rsid w:val="005D47AB"/>
    <w:rsid w:val="005D47D4"/>
    <w:rsid w:val="005D489E"/>
    <w:rsid w:val="005D48A1"/>
    <w:rsid w:val="005D48F7"/>
    <w:rsid w:val="005D490A"/>
    <w:rsid w:val="005D4979"/>
    <w:rsid w:val="005D4992"/>
    <w:rsid w:val="005D49A3"/>
    <w:rsid w:val="005D49CE"/>
    <w:rsid w:val="005D49FD"/>
    <w:rsid w:val="005D4A13"/>
    <w:rsid w:val="005D4AF8"/>
    <w:rsid w:val="005D4B4E"/>
    <w:rsid w:val="005D4B55"/>
    <w:rsid w:val="005D4BC0"/>
    <w:rsid w:val="005D4BEA"/>
    <w:rsid w:val="005D4C07"/>
    <w:rsid w:val="005D4CAB"/>
    <w:rsid w:val="005D4CDE"/>
    <w:rsid w:val="005D4CFC"/>
    <w:rsid w:val="005D4D5A"/>
    <w:rsid w:val="005D4D7C"/>
    <w:rsid w:val="005D4DC9"/>
    <w:rsid w:val="005D4E03"/>
    <w:rsid w:val="005D4E0E"/>
    <w:rsid w:val="005D4EC4"/>
    <w:rsid w:val="005D4EF6"/>
    <w:rsid w:val="005D4EFF"/>
    <w:rsid w:val="005D4F44"/>
    <w:rsid w:val="005D4F69"/>
    <w:rsid w:val="005D4F9B"/>
    <w:rsid w:val="005D5034"/>
    <w:rsid w:val="005D5055"/>
    <w:rsid w:val="005D5097"/>
    <w:rsid w:val="005D50A1"/>
    <w:rsid w:val="005D51A0"/>
    <w:rsid w:val="005D5428"/>
    <w:rsid w:val="005D545D"/>
    <w:rsid w:val="005D54FB"/>
    <w:rsid w:val="005D5543"/>
    <w:rsid w:val="005D5599"/>
    <w:rsid w:val="005D56C4"/>
    <w:rsid w:val="005D56D4"/>
    <w:rsid w:val="005D584D"/>
    <w:rsid w:val="005D589A"/>
    <w:rsid w:val="005D5AB1"/>
    <w:rsid w:val="005D5AD9"/>
    <w:rsid w:val="005D5C58"/>
    <w:rsid w:val="005D5C85"/>
    <w:rsid w:val="005D5EA3"/>
    <w:rsid w:val="005D5EAE"/>
    <w:rsid w:val="005D5EDF"/>
    <w:rsid w:val="005D60F1"/>
    <w:rsid w:val="005D6111"/>
    <w:rsid w:val="005D6117"/>
    <w:rsid w:val="005D617F"/>
    <w:rsid w:val="005D61B6"/>
    <w:rsid w:val="005D623E"/>
    <w:rsid w:val="005D63BE"/>
    <w:rsid w:val="005D6464"/>
    <w:rsid w:val="005D64AB"/>
    <w:rsid w:val="005D65C8"/>
    <w:rsid w:val="005D667F"/>
    <w:rsid w:val="005D66EE"/>
    <w:rsid w:val="005D6743"/>
    <w:rsid w:val="005D67D7"/>
    <w:rsid w:val="005D67F3"/>
    <w:rsid w:val="005D6850"/>
    <w:rsid w:val="005D686C"/>
    <w:rsid w:val="005D688A"/>
    <w:rsid w:val="005D68DC"/>
    <w:rsid w:val="005D6986"/>
    <w:rsid w:val="005D6999"/>
    <w:rsid w:val="005D69F7"/>
    <w:rsid w:val="005D6A44"/>
    <w:rsid w:val="005D6AFD"/>
    <w:rsid w:val="005D6B04"/>
    <w:rsid w:val="005D6B15"/>
    <w:rsid w:val="005D6B41"/>
    <w:rsid w:val="005D6CBE"/>
    <w:rsid w:val="005D6CD9"/>
    <w:rsid w:val="005D6D1E"/>
    <w:rsid w:val="005D6D20"/>
    <w:rsid w:val="005D6D3B"/>
    <w:rsid w:val="005D6E23"/>
    <w:rsid w:val="005D6E24"/>
    <w:rsid w:val="005D6E98"/>
    <w:rsid w:val="005D6EAE"/>
    <w:rsid w:val="005D6F72"/>
    <w:rsid w:val="005D6FAC"/>
    <w:rsid w:val="005D7203"/>
    <w:rsid w:val="005D722F"/>
    <w:rsid w:val="005D72CB"/>
    <w:rsid w:val="005D72D4"/>
    <w:rsid w:val="005D7307"/>
    <w:rsid w:val="005D73D0"/>
    <w:rsid w:val="005D7414"/>
    <w:rsid w:val="005D756A"/>
    <w:rsid w:val="005D7575"/>
    <w:rsid w:val="005D761B"/>
    <w:rsid w:val="005D76E9"/>
    <w:rsid w:val="005D771D"/>
    <w:rsid w:val="005D777A"/>
    <w:rsid w:val="005D77A9"/>
    <w:rsid w:val="005D7832"/>
    <w:rsid w:val="005D783E"/>
    <w:rsid w:val="005D78FB"/>
    <w:rsid w:val="005D791F"/>
    <w:rsid w:val="005D79DB"/>
    <w:rsid w:val="005D7B7C"/>
    <w:rsid w:val="005D7C41"/>
    <w:rsid w:val="005D7CE2"/>
    <w:rsid w:val="005D7D70"/>
    <w:rsid w:val="005D7E25"/>
    <w:rsid w:val="005D7E94"/>
    <w:rsid w:val="005D7EC6"/>
    <w:rsid w:val="005D7F37"/>
    <w:rsid w:val="005E0097"/>
    <w:rsid w:val="005E00EA"/>
    <w:rsid w:val="005E0119"/>
    <w:rsid w:val="005E0187"/>
    <w:rsid w:val="005E018E"/>
    <w:rsid w:val="005E030B"/>
    <w:rsid w:val="005E05F7"/>
    <w:rsid w:val="005E0650"/>
    <w:rsid w:val="005E0693"/>
    <w:rsid w:val="005E071E"/>
    <w:rsid w:val="005E0744"/>
    <w:rsid w:val="005E078C"/>
    <w:rsid w:val="005E0816"/>
    <w:rsid w:val="005E0983"/>
    <w:rsid w:val="005E09E8"/>
    <w:rsid w:val="005E0A38"/>
    <w:rsid w:val="005E0ADC"/>
    <w:rsid w:val="005E0BC0"/>
    <w:rsid w:val="005E0C25"/>
    <w:rsid w:val="005E0D6B"/>
    <w:rsid w:val="005E0DC2"/>
    <w:rsid w:val="005E0DCF"/>
    <w:rsid w:val="005E0E53"/>
    <w:rsid w:val="005E0EA1"/>
    <w:rsid w:val="005E0EB3"/>
    <w:rsid w:val="005E0F43"/>
    <w:rsid w:val="005E0F86"/>
    <w:rsid w:val="005E0FF9"/>
    <w:rsid w:val="005E1171"/>
    <w:rsid w:val="005E131E"/>
    <w:rsid w:val="005E13E7"/>
    <w:rsid w:val="005E1459"/>
    <w:rsid w:val="005E14CA"/>
    <w:rsid w:val="005E14EB"/>
    <w:rsid w:val="005E14F7"/>
    <w:rsid w:val="005E156D"/>
    <w:rsid w:val="005E1630"/>
    <w:rsid w:val="005E1653"/>
    <w:rsid w:val="005E166D"/>
    <w:rsid w:val="005E16A9"/>
    <w:rsid w:val="005E1763"/>
    <w:rsid w:val="005E19EF"/>
    <w:rsid w:val="005E19FA"/>
    <w:rsid w:val="005E1A3E"/>
    <w:rsid w:val="005E1A9C"/>
    <w:rsid w:val="005E1ADD"/>
    <w:rsid w:val="005E1ADF"/>
    <w:rsid w:val="005E1B9B"/>
    <w:rsid w:val="005E1C8D"/>
    <w:rsid w:val="005E1CE0"/>
    <w:rsid w:val="005E1D22"/>
    <w:rsid w:val="005E1E39"/>
    <w:rsid w:val="005E1E98"/>
    <w:rsid w:val="005E1EEC"/>
    <w:rsid w:val="005E1F4F"/>
    <w:rsid w:val="005E1F80"/>
    <w:rsid w:val="005E1F89"/>
    <w:rsid w:val="005E1F8E"/>
    <w:rsid w:val="005E1FAC"/>
    <w:rsid w:val="005E2052"/>
    <w:rsid w:val="005E2053"/>
    <w:rsid w:val="005E2078"/>
    <w:rsid w:val="005E20C8"/>
    <w:rsid w:val="005E212D"/>
    <w:rsid w:val="005E219E"/>
    <w:rsid w:val="005E21FA"/>
    <w:rsid w:val="005E2232"/>
    <w:rsid w:val="005E22F3"/>
    <w:rsid w:val="005E23BC"/>
    <w:rsid w:val="005E23EC"/>
    <w:rsid w:val="005E242A"/>
    <w:rsid w:val="005E246B"/>
    <w:rsid w:val="005E248E"/>
    <w:rsid w:val="005E24C8"/>
    <w:rsid w:val="005E24D4"/>
    <w:rsid w:val="005E2595"/>
    <w:rsid w:val="005E25F6"/>
    <w:rsid w:val="005E260C"/>
    <w:rsid w:val="005E268E"/>
    <w:rsid w:val="005E2744"/>
    <w:rsid w:val="005E2850"/>
    <w:rsid w:val="005E28AE"/>
    <w:rsid w:val="005E28C2"/>
    <w:rsid w:val="005E28D6"/>
    <w:rsid w:val="005E291A"/>
    <w:rsid w:val="005E2930"/>
    <w:rsid w:val="005E2933"/>
    <w:rsid w:val="005E2954"/>
    <w:rsid w:val="005E2995"/>
    <w:rsid w:val="005E2A1C"/>
    <w:rsid w:val="005E2ADC"/>
    <w:rsid w:val="005E2B3F"/>
    <w:rsid w:val="005E2B45"/>
    <w:rsid w:val="005E2D29"/>
    <w:rsid w:val="005E2E3C"/>
    <w:rsid w:val="005E2E96"/>
    <w:rsid w:val="005E2F51"/>
    <w:rsid w:val="005E2F9B"/>
    <w:rsid w:val="005E303B"/>
    <w:rsid w:val="005E3065"/>
    <w:rsid w:val="005E3067"/>
    <w:rsid w:val="005E30C3"/>
    <w:rsid w:val="005E3165"/>
    <w:rsid w:val="005E32FB"/>
    <w:rsid w:val="005E340E"/>
    <w:rsid w:val="005E3476"/>
    <w:rsid w:val="005E3521"/>
    <w:rsid w:val="005E352A"/>
    <w:rsid w:val="005E35A6"/>
    <w:rsid w:val="005E35D4"/>
    <w:rsid w:val="005E3609"/>
    <w:rsid w:val="005E3643"/>
    <w:rsid w:val="005E3679"/>
    <w:rsid w:val="005E3955"/>
    <w:rsid w:val="005E39F8"/>
    <w:rsid w:val="005E3A1B"/>
    <w:rsid w:val="005E3A6E"/>
    <w:rsid w:val="005E3A72"/>
    <w:rsid w:val="005E3B12"/>
    <w:rsid w:val="005E3B17"/>
    <w:rsid w:val="005E3B41"/>
    <w:rsid w:val="005E3B7D"/>
    <w:rsid w:val="005E3C1F"/>
    <w:rsid w:val="005E3CE6"/>
    <w:rsid w:val="005E3CEF"/>
    <w:rsid w:val="005E3D32"/>
    <w:rsid w:val="005E3EB2"/>
    <w:rsid w:val="005E3EDB"/>
    <w:rsid w:val="005E3F19"/>
    <w:rsid w:val="005E3FEC"/>
    <w:rsid w:val="005E4044"/>
    <w:rsid w:val="005E4067"/>
    <w:rsid w:val="005E4104"/>
    <w:rsid w:val="005E4122"/>
    <w:rsid w:val="005E41BF"/>
    <w:rsid w:val="005E4231"/>
    <w:rsid w:val="005E4233"/>
    <w:rsid w:val="005E42BC"/>
    <w:rsid w:val="005E4301"/>
    <w:rsid w:val="005E4340"/>
    <w:rsid w:val="005E4348"/>
    <w:rsid w:val="005E43AE"/>
    <w:rsid w:val="005E451E"/>
    <w:rsid w:val="005E4592"/>
    <w:rsid w:val="005E4594"/>
    <w:rsid w:val="005E45BE"/>
    <w:rsid w:val="005E45EA"/>
    <w:rsid w:val="005E4603"/>
    <w:rsid w:val="005E4705"/>
    <w:rsid w:val="005E470F"/>
    <w:rsid w:val="005E47E6"/>
    <w:rsid w:val="005E47EF"/>
    <w:rsid w:val="005E47F4"/>
    <w:rsid w:val="005E4802"/>
    <w:rsid w:val="005E4860"/>
    <w:rsid w:val="005E4899"/>
    <w:rsid w:val="005E48A6"/>
    <w:rsid w:val="005E48D7"/>
    <w:rsid w:val="005E48DB"/>
    <w:rsid w:val="005E49FD"/>
    <w:rsid w:val="005E4A87"/>
    <w:rsid w:val="005E4A97"/>
    <w:rsid w:val="005E4C15"/>
    <w:rsid w:val="005E4D51"/>
    <w:rsid w:val="005E4D96"/>
    <w:rsid w:val="005E4DC0"/>
    <w:rsid w:val="005E4DFF"/>
    <w:rsid w:val="005E4E76"/>
    <w:rsid w:val="005E4F2E"/>
    <w:rsid w:val="005E505D"/>
    <w:rsid w:val="005E50CC"/>
    <w:rsid w:val="005E5109"/>
    <w:rsid w:val="005E51C8"/>
    <w:rsid w:val="005E51D4"/>
    <w:rsid w:val="005E527A"/>
    <w:rsid w:val="005E5445"/>
    <w:rsid w:val="005E5461"/>
    <w:rsid w:val="005E5524"/>
    <w:rsid w:val="005E5603"/>
    <w:rsid w:val="005E5606"/>
    <w:rsid w:val="005E560A"/>
    <w:rsid w:val="005E580D"/>
    <w:rsid w:val="005E5862"/>
    <w:rsid w:val="005E596F"/>
    <w:rsid w:val="005E5A8A"/>
    <w:rsid w:val="005E5B65"/>
    <w:rsid w:val="005E5B71"/>
    <w:rsid w:val="005E5BEE"/>
    <w:rsid w:val="005E5D06"/>
    <w:rsid w:val="005E5D12"/>
    <w:rsid w:val="005E5D4C"/>
    <w:rsid w:val="005E5E0B"/>
    <w:rsid w:val="005E5E43"/>
    <w:rsid w:val="005E5E55"/>
    <w:rsid w:val="005E5EF6"/>
    <w:rsid w:val="005E5EF8"/>
    <w:rsid w:val="005E5F11"/>
    <w:rsid w:val="005E6014"/>
    <w:rsid w:val="005E60B6"/>
    <w:rsid w:val="005E6112"/>
    <w:rsid w:val="005E6146"/>
    <w:rsid w:val="005E61E7"/>
    <w:rsid w:val="005E6308"/>
    <w:rsid w:val="005E6320"/>
    <w:rsid w:val="005E6329"/>
    <w:rsid w:val="005E6371"/>
    <w:rsid w:val="005E63B9"/>
    <w:rsid w:val="005E63C3"/>
    <w:rsid w:val="005E63F0"/>
    <w:rsid w:val="005E6499"/>
    <w:rsid w:val="005E64E5"/>
    <w:rsid w:val="005E64FA"/>
    <w:rsid w:val="005E671E"/>
    <w:rsid w:val="005E67E7"/>
    <w:rsid w:val="005E67F4"/>
    <w:rsid w:val="005E67F7"/>
    <w:rsid w:val="005E694E"/>
    <w:rsid w:val="005E6956"/>
    <w:rsid w:val="005E6A28"/>
    <w:rsid w:val="005E6A72"/>
    <w:rsid w:val="005E6C75"/>
    <w:rsid w:val="005E6C7E"/>
    <w:rsid w:val="005E6CD3"/>
    <w:rsid w:val="005E6D5B"/>
    <w:rsid w:val="005E6D69"/>
    <w:rsid w:val="005E6DC9"/>
    <w:rsid w:val="005E6E2B"/>
    <w:rsid w:val="005E6E5E"/>
    <w:rsid w:val="005E6EAB"/>
    <w:rsid w:val="005E6F0F"/>
    <w:rsid w:val="005E6F55"/>
    <w:rsid w:val="005E6F72"/>
    <w:rsid w:val="005E6FF1"/>
    <w:rsid w:val="005E7004"/>
    <w:rsid w:val="005E7025"/>
    <w:rsid w:val="005E7038"/>
    <w:rsid w:val="005E70BF"/>
    <w:rsid w:val="005E711A"/>
    <w:rsid w:val="005E71CD"/>
    <w:rsid w:val="005E723A"/>
    <w:rsid w:val="005E7292"/>
    <w:rsid w:val="005E733A"/>
    <w:rsid w:val="005E735A"/>
    <w:rsid w:val="005E73FB"/>
    <w:rsid w:val="005E7432"/>
    <w:rsid w:val="005E749B"/>
    <w:rsid w:val="005E74A4"/>
    <w:rsid w:val="005E74C7"/>
    <w:rsid w:val="005E7593"/>
    <w:rsid w:val="005E772F"/>
    <w:rsid w:val="005E775A"/>
    <w:rsid w:val="005E77D3"/>
    <w:rsid w:val="005E77D9"/>
    <w:rsid w:val="005E7859"/>
    <w:rsid w:val="005E786D"/>
    <w:rsid w:val="005E79F3"/>
    <w:rsid w:val="005E7A05"/>
    <w:rsid w:val="005E7A0E"/>
    <w:rsid w:val="005E7AB7"/>
    <w:rsid w:val="005E7AD6"/>
    <w:rsid w:val="005E7B23"/>
    <w:rsid w:val="005E7BE4"/>
    <w:rsid w:val="005E7BEF"/>
    <w:rsid w:val="005E7BF0"/>
    <w:rsid w:val="005E7CB4"/>
    <w:rsid w:val="005E7F3F"/>
    <w:rsid w:val="005E7F4B"/>
    <w:rsid w:val="005F0021"/>
    <w:rsid w:val="005F00C1"/>
    <w:rsid w:val="005F029F"/>
    <w:rsid w:val="005F02DA"/>
    <w:rsid w:val="005F0520"/>
    <w:rsid w:val="005F0653"/>
    <w:rsid w:val="005F068A"/>
    <w:rsid w:val="005F06BC"/>
    <w:rsid w:val="005F07FE"/>
    <w:rsid w:val="005F0863"/>
    <w:rsid w:val="005F086D"/>
    <w:rsid w:val="005F08B0"/>
    <w:rsid w:val="005F095F"/>
    <w:rsid w:val="005F0A4B"/>
    <w:rsid w:val="005F0A7F"/>
    <w:rsid w:val="005F0BB2"/>
    <w:rsid w:val="005F0BBB"/>
    <w:rsid w:val="005F0BD8"/>
    <w:rsid w:val="005F0C03"/>
    <w:rsid w:val="005F0C31"/>
    <w:rsid w:val="005F0CB5"/>
    <w:rsid w:val="005F0D30"/>
    <w:rsid w:val="005F0DAE"/>
    <w:rsid w:val="005F0F52"/>
    <w:rsid w:val="005F1031"/>
    <w:rsid w:val="005F10B9"/>
    <w:rsid w:val="005F1112"/>
    <w:rsid w:val="005F11EE"/>
    <w:rsid w:val="005F123D"/>
    <w:rsid w:val="005F125B"/>
    <w:rsid w:val="005F12B2"/>
    <w:rsid w:val="005F131A"/>
    <w:rsid w:val="005F134C"/>
    <w:rsid w:val="005F139E"/>
    <w:rsid w:val="005F13A5"/>
    <w:rsid w:val="005F13DC"/>
    <w:rsid w:val="005F143D"/>
    <w:rsid w:val="005F1476"/>
    <w:rsid w:val="005F1481"/>
    <w:rsid w:val="005F1535"/>
    <w:rsid w:val="005F1540"/>
    <w:rsid w:val="005F1571"/>
    <w:rsid w:val="005F15CA"/>
    <w:rsid w:val="005F1648"/>
    <w:rsid w:val="005F16EA"/>
    <w:rsid w:val="005F1706"/>
    <w:rsid w:val="005F1754"/>
    <w:rsid w:val="005F1776"/>
    <w:rsid w:val="005F17C3"/>
    <w:rsid w:val="005F17D9"/>
    <w:rsid w:val="005F1877"/>
    <w:rsid w:val="005F1894"/>
    <w:rsid w:val="005F1914"/>
    <w:rsid w:val="005F1958"/>
    <w:rsid w:val="005F19D4"/>
    <w:rsid w:val="005F1B0C"/>
    <w:rsid w:val="005F1B49"/>
    <w:rsid w:val="005F1B92"/>
    <w:rsid w:val="005F1D7C"/>
    <w:rsid w:val="005F1E28"/>
    <w:rsid w:val="005F1E47"/>
    <w:rsid w:val="005F1F4C"/>
    <w:rsid w:val="005F1F61"/>
    <w:rsid w:val="005F20D4"/>
    <w:rsid w:val="005F20D6"/>
    <w:rsid w:val="005F2110"/>
    <w:rsid w:val="005F216A"/>
    <w:rsid w:val="005F218B"/>
    <w:rsid w:val="005F21F3"/>
    <w:rsid w:val="005F2297"/>
    <w:rsid w:val="005F22DC"/>
    <w:rsid w:val="005F22E8"/>
    <w:rsid w:val="005F23C6"/>
    <w:rsid w:val="005F2417"/>
    <w:rsid w:val="005F2529"/>
    <w:rsid w:val="005F2581"/>
    <w:rsid w:val="005F25EA"/>
    <w:rsid w:val="005F267C"/>
    <w:rsid w:val="005F267F"/>
    <w:rsid w:val="005F2756"/>
    <w:rsid w:val="005F27DA"/>
    <w:rsid w:val="005F27E7"/>
    <w:rsid w:val="005F2882"/>
    <w:rsid w:val="005F291B"/>
    <w:rsid w:val="005F29B5"/>
    <w:rsid w:val="005F29B7"/>
    <w:rsid w:val="005F2A21"/>
    <w:rsid w:val="005F2A3D"/>
    <w:rsid w:val="005F2AC1"/>
    <w:rsid w:val="005F2B4D"/>
    <w:rsid w:val="005F2B6B"/>
    <w:rsid w:val="005F2B70"/>
    <w:rsid w:val="005F2B90"/>
    <w:rsid w:val="005F2C6E"/>
    <w:rsid w:val="005F2E2F"/>
    <w:rsid w:val="005F2E5C"/>
    <w:rsid w:val="005F2FBD"/>
    <w:rsid w:val="005F3011"/>
    <w:rsid w:val="005F3049"/>
    <w:rsid w:val="005F30AF"/>
    <w:rsid w:val="005F30B2"/>
    <w:rsid w:val="005F30E8"/>
    <w:rsid w:val="005F31C0"/>
    <w:rsid w:val="005F3280"/>
    <w:rsid w:val="005F32A0"/>
    <w:rsid w:val="005F3325"/>
    <w:rsid w:val="005F347A"/>
    <w:rsid w:val="005F3492"/>
    <w:rsid w:val="005F34AB"/>
    <w:rsid w:val="005F3610"/>
    <w:rsid w:val="005F3640"/>
    <w:rsid w:val="005F3646"/>
    <w:rsid w:val="005F369D"/>
    <w:rsid w:val="005F372C"/>
    <w:rsid w:val="005F3732"/>
    <w:rsid w:val="005F373A"/>
    <w:rsid w:val="005F394C"/>
    <w:rsid w:val="005F398F"/>
    <w:rsid w:val="005F39D5"/>
    <w:rsid w:val="005F39E0"/>
    <w:rsid w:val="005F3B24"/>
    <w:rsid w:val="005F3B55"/>
    <w:rsid w:val="005F3BD7"/>
    <w:rsid w:val="005F3C23"/>
    <w:rsid w:val="005F3C90"/>
    <w:rsid w:val="005F3CE1"/>
    <w:rsid w:val="005F3CF6"/>
    <w:rsid w:val="005F3D16"/>
    <w:rsid w:val="005F3D64"/>
    <w:rsid w:val="005F3E32"/>
    <w:rsid w:val="005F3FCF"/>
    <w:rsid w:val="005F4046"/>
    <w:rsid w:val="005F409A"/>
    <w:rsid w:val="005F4192"/>
    <w:rsid w:val="005F41BB"/>
    <w:rsid w:val="005F4223"/>
    <w:rsid w:val="005F435B"/>
    <w:rsid w:val="005F4389"/>
    <w:rsid w:val="005F43B5"/>
    <w:rsid w:val="005F43EA"/>
    <w:rsid w:val="005F441B"/>
    <w:rsid w:val="005F4471"/>
    <w:rsid w:val="005F44A7"/>
    <w:rsid w:val="005F45AE"/>
    <w:rsid w:val="005F45B0"/>
    <w:rsid w:val="005F45E3"/>
    <w:rsid w:val="005F4637"/>
    <w:rsid w:val="005F4673"/>
    <w:rsid w:val="005F467D"/>
    <w:rsid w:val="005F4680"/>
    <w:rsid w:val="005F4708"/>
    <w:rsid w:val="005F4883"/>
    <w:rsid w:val="005F48E3"/>
    <w:rsid w:val="005F48E6"/>
    <w:rsid w:val="005F497E"/>
    <w:rsid w:val="005F4995"/>
    <w:rsid w:val="005F4B07"/>
    <w:rsid w:val="005F4B09"/>
    <w:rsid w:val="005F4B59"/>
    <w:rsid w:val="005F4D1E"/>
    <w:rsid w:val="005F4D60"/>
    <w:rsid w:val="005F4DAE"/>
    <w:rsid w:val="005F4E15"/>
    <w:rsid w:val="005F4EBB"/>
    <w:rsid w:val="005F4F2D"/>
    <w:rsid w:val="005F4F38"/>
    <w:rsid w:val="005F5031"/>
    <w:rsid w:val="005F5077"/>
    <w:rsid w:val="005F5087"/>
    <w:rsid w:val="005F50C3"/>
    <w:rsid w:val="005F51AC"/>
    <w:rsid w:val="005F5220"/>
    <w:rsid w:val="005F529B"/>
    <w:rsid w:val="005F52ED"/>
    <w:rsid w:val="005F532C"/>
    <w:rsid w:val="005F5385"/>
    <w:rsid w:val="005F538C"/>
    <w:rsid w:val="005F5434"/>
    <w:rsid w:val="005F5484"/>
    <w:rsid w:val="005F54D3"/>
    <w:rsid w:val="005F5545"/>
    <w:rsid w:val="005F557F"/>
    <w:rsid w:val="005F565D"/>
    <w:rsid w:val="005F56A4"/>
    <w:rsid w:val="005F56C2"/>
    <w:rsid w:val="005F5733"/>
    <w:rsid w:val="005F578B"/>
    <w:rsid w:val="005F57A3"/>
    <w:rsid w:val="005F57C3"/>
    <w:rsid w:val="005F57CE"/>
    <w:rsid w:val="005F5990"/>
    <w:rsid w:val="005F59DB"/>
    <w:rsid w:val="005F5A24"/>
    <w:rsid w:val="005F5A2C"/>
    <w:rsid w:val="005F5AC7"/>
    <w:rsid w:val="005F5BA0"/>
    <w:rsid w:val="005F5BD2"/>
    <w:rsid w:val="005F5CD1"/>
    <w:rsid w:val="005F5D1F"/>
    <w:rsid w:val="005F5DA5"/>
    <w:rsid w:val="005F5DFE"/>
    <w:rsid w:val="005F5E33"/>
    <w:rsid w:val="005F5E45"/>
    <w:rsid w:val="005F5E70"/>
    <w:rsid w:val="005F5FB2"/>
    <w:rsid w:val="005F5FE8"/>
    <w:rsid w:val="005F604D"/>
    <w:rsid w:val="005F6085"/>
    <w:rsid w:val="005F60AD"/>
    <w:rsid w:val="005F60E6"/>
    <w:rsid w:val="005F6112"/>
    <w:rsid w:val="005F61B6"/>
    <w:rsid w:val="005F62E4"/>
    <w:rsid w:val="005F62F4"/>
    <w:rsid w:val="005F6305"/>
    <w:rsid w:val="005F6364"/>
    <w:rsid w:val="005F6387"/>
    <w:rsid w:val="005F64C7"/>
    <w:rsid w:val="005F6624"/>
    <w:rsid w:val="005F66A5"/>
    <w:rsid w:val="005F6876"/>
    <w:rsid w:val="005F68C7"/>
    <w:rsid w:val="005F696C"/>
    <w:rsid w:val="005F699D"/>
    <w:rsid w:val="005F6A2E"/>
    <w:rsid w:val="005F6A3D"/>
    <w:rsid w:val="005F6A5D"/>
    <w:rsid w:val="005F6A6B"/>
    <w:rsid w:val="005F6AC4"/>
    <w:rsid w:val="005F6B6B"/>
    <w:rsid w:val="005F6C51"/>
    <w:rsid w:val="005F6C59"/>
    <w:rsid w:val="005F6C6D"/>
    <w:rsid w:val="005F6CC9"/>
    <w:rsid w:val="005F6F69"/>
    <w:rsid w:val="005F6FA5"/>
    <w:rsid w:val="005F6FB8"/>
    <w:rsid w:val="005F6FD3"/>
    <w:rsid w:val="005F70AA"/>
    <w:rsid w:val="005F70E9"/>
    <w:rsid w:val="005F70EA"/>
    <w:rsid w:val="005F714D"/>
    <w:rsid w:val="005F7234"/>
    <w:rsid w:val="005F7258"/>
    <w:rsid w:val="005F7274"/>
    <w:rsid w:val="005F727E"/>
    <w:rsid w:val="005F72D4"/>
    <w:rsid w:val="005F732A"/>
    <w:rsid w:val="005F732E"/>
    <w:rsid w:val="005F74F0"/>
    <w:rsid w:val="005F7636"/>
    <w:rsid w:val="005F7638"/>
    <w:rsid w:val="005F771A"/>
    <w:rsid w:val="005F775E"/>
    <w:rsid w:val="005F77C0"/>
    <w:rsid w:val="005F77F7"/>
    <w:rsid w:val="005F794A"/>
    <w:rsid w:val="005F7A48"/>
    <w:rsid w:val="005F7B07"/>
    <w:rsid w:val="005F7B8A"/>
    <w:rsid w:val="005F7BD0"/>
    <w:rsid w:val="005F7BDD"/>
    <w:rsid w:val="005F7D22"/>
    <w:rsid w:val="005F7E14"/>
    <w:rsid w:val="005F7E31"/>
    <w:rsid w:val="005F7E84"/>
    <w:rsid w:val="005F7ECA"/>
    <w:rsid w:val="005F7EE4"/>
    <w:rsid w:val="005F7FAC"/>
    <w:rsid w:val="0060000A"/>
    <w:rsid w:val="0060006F"/>
    <w:rsid w:val="006000A1"/>
    <w:rsid w:val="006000E3"/>
    <w:rsid w:val="006001FD"/>
    <w:rsid w:val="00600223"/>
    <w:rsid w:val="00600292"/>
    <w:rsid w:val="00600482"/>
    <w:rsid w:val="00600502"/>
    <w:rsid w:val="006005AD"/>
    <w:rsid w:val="0060061B"/>
    <w:rsid w:val="00600630"/>
    <w:rsid w:val="0060066F"/>
    <w:rsid w:val="0060071E"/>
    <w:rsid w:val="00600795"/>
    <w:rsid w:val="00600866"/>
    <w:rsid w:val="00600886"/>
    <w:rsid w:val="00600903"/>
    <w:rsid w:val="00600985"/>
    <w:rsid w:val="00600A00"/>
    <w:rsid w:val="00600A3A"/>
    <w:rsid w:val="00600A47"/>
    <w:rsid w:val="00600AA8"/>
    <w:rsid w:val="00600AB4"/>
    <w:rsid w:val="00600B11"/>
    <w:rsid w:val="00600B9F"/>
    <w:rsid w:val="00600CF6"/>
    <w:rsid w:val="00600DFD"/>
    <w:rsid w:val="00600E6A"/>
    <w:rsid w:val="00600F3B"/>
    <w:rsid w:val="00600F5D"/>
    <w:rsid w:val="00600FD5"/>
    <w:rsid w:val="00601017"/>
    <w:rsid w:val="00601031"/>
    <w:rsid w:val="00601074"/>
    <w:rsid w:val="00601092"/>
    <w:rsid w:val="00601150"/>
    <w:rsid w:val="00601211"/>
    <w:rsid w:val="006012AA"/>
    <w:rsid w:val="00601398"/>
    <w:rsid w:val="006013C4"/>
    <w:rsid w:val="006013D7"/>
    <w:rsid w:val="00601448"/>
    <w:rsid w:val="0060147F"/>
    <w:rsid w:val="006014AC"/>
    <w:rsid w:val="006014EE"/>
    <w:rsid w:val="006014F9"/>
    <w:rsid w:val="00601782"/>
    <w:rsid w:val="00601792"/>
    <w:rsid w:val="006017E8"/>
    <w:rsid w:val="006017FE"/>
    <w:rsid w:val="0060188D"/>
    <w:rsid w:val="006018E0"/>
    <w:rsid w:val="00601992"/>
    <w:rsid w:val="006019E4"/>
    <w:rsid w:val="00601AFD"/>
    <w:rsid w:val="00601B74"/>
    <w:rsid w:val="00601B9D"/>
    <w:rsid w:val="00601C19"/>
    <w:rsid w:val="00601C63"/>
    <w:rsid w:val="00601C7C"/>
    <w:rsid w:val="00601D1A"/>
    <w:rsid w:val="00601E04"/>
    <w:rsid w:val="00601E9E"/>
    <w:rsid w:val="00601FC1"/>
    <w:rsid w:val="00601FF9"/>
    <w:rsid w:val="0060205D"/>
    <w:rsid w:val="00602067"/>
    <w:rsid w:val="006020B8"/>
    <w:rsid w:val="006020E6"/>
    <w:rsid w:val="006021AB"/>
    <w:rsid w:val="006021C2"/>
    <w:rsid w:val="006021E1"/>
    <w:rsid w:val="0060222A"/>
    <w:rsid w:val="006022B7"/>
    <w:rsid w:val="006022C7"/>
    <w:rsid w:val="006022C9"/>
    <w:rsid w:val="00602322"/>
    <w:rsid w:val="00602401"/>
    <w:rsid w:val="00602499"/>
    <w:rsid w:val="006024BF"/>
    <w:rsid w:val="00602509"/>
    <w:rsid w:val="00602594"/>
    <w:rsid w:val="006025CF"/>
    <w:rsid w:val="006025D5"/>
    <w:rsid w:val="00602659"/>
    <w:rsid w:val="006026F0"/>
    <w:rsid w:val="00602723"/>
    <w:rsid w:val="0060273A"/>
    <w:rsid w:val="006027AE"/>
    <w:rsid w:val="006028C1"/>
    <w:rsid w:val="006028E6"/>
    <w:rsid w:val="0060292F"/>
    <w:rsid w:val="0060298E"/>
    <w:rsid w:val="00602A68"/>
    <w:rsid w:val="00602A90"/>
    <w:rsid w:val="00602A9D"/>
    <w:rsid w:val="00602B38"/>
    <w:rsid w:val="00602B8B"/>
    <w:rsid w:val="00602C8E"/>
    <w:rsid w:val="00602CEC"/>
    <w:rsid w:val="00602D8A"/>
    <w:rsid w:val="00602D8F"/>
    <w:rsid w:val="00602E0E"/>
    <w:rsid w:val="00602FA7"/>
    <w:rsid w:val="00602FCB"/>
    <w:rsid w:val="0060301E"/>
    <w:rsid w:val="00603087"/>
    <w:rsid w:val="0060308C"/>
    <w:rsid w:val="006030FE"/>
    <w:rsid w:val="0060317B"/>
    <w:rsid w:val="00603236"/>
    <w:rsid w:val="00603247"/>
    <w:rsid w:val="00603249"/>
    <w:rsid w:val="00603286"/>
    <w:rsid w:val="006032F1"/>
    <w:rsid w:val="00603338"/>
    <w:rsid w:val="006034A5"/>
    <w:rsid w:val="006035A3"/>
    <w:rsid w:val="0060362E"/>
    <w:rsid w:val="00603634"/>
    <w:rsid w:val="006036AE"/>
    <w:rsid w:val="0060376E"/>
    <w:rsid w:val="006037A9"/>
    <w:rsid w:val="006037EF"/>
    <w:rsid w:val="00603812"/>
    <w:rsid w:val="0060382F"/>
    <w:rsid w:val="00603839"/>
    <w:rsid w:val="0060383F"/>
    <w:rsid w:val="0060384C"/>
    <w:rsid w:val="0060393B"/>
    <w:rsid w:val="006039B5"/>
    <w:rsid w:val="00603A1A"/>
    <w:rsid w:val="00603A27"/>
    <w:rsid w:val="00603B0F"/>
    <w:rsid w:val="00603B33"/>
    <w:rsid w:val="00603BAE"/>
    <w:rsid w:val="00603C3B"/>
    <w:rsid w:val="00603C65"/>
    <w:rsid w:val="00603C8D"/>
    <w:rsid w:val="00603C96"/>
    <w:rsid w:val="00603D10"/>
    <w:rsid w:val="00603D5D"/>
    <w:rsid w:val="00603E2D"/>
    <w:rsid w:val="00603F4E"/>
    <w:rsid w:val="00603FD3"/>
    <w:rsid w:val="00604000"/>
    <w:rsid w:val="00604052"/>
    <w:rsid w:val="006040A3"/>
    <w:rsid w:val="00604411"/>
    <w:rsid w:val="00604434"/>
    <w:rsid w:val="00604473"/>
    <w:rsid w:val="00604496"/>
    <w:rsid w:val="006044B2"/>
    <w:rsid w:val="00604598"/>
    <w:rsid w:val="006045A8"/>
    <w:rsid w:val="006046D7"/>
    <w:rsid w:val="0060475F"/>
    <w:rsid w:val="006047DC"/>
    <w:rsid w:val="006047EA"/>
    <w:rsid w:val="006047FD"/>
    <w:rsid w:val="006048EC"/>
    <w:rsid w:val="00604902"/>
    <w:rsid w:val="00604935"/>
    <w:rsid w:val="00604950"/>
    <w:rsid w:val="00604A20"/>
    <w:rsid w:val="00604A71"/>
    <w:rsid w:val="00604BCF"/>
    <w:rsid w:val="00604BF7"/>
    <w:rsid w:val="00604C61"/>
    <w:rsid w:val="00604CF1"/>
    <w:rsid w:val="00604DC6"/>
    <w:rsid w:val="00604E32"/>
    <w:rsid w:val="00604E43"/>
    <w:rsid w:val="00604F43"/>
    <w:rsid w:val="00604FB2"/>
    <w:rsid w:val="00604FD0"/>
    <w:rsid w:val="00605040"/>
    <w:rsid w:val="0060507D"/>
    <w:rsid w:val="00605178"/>
    <w:rsid w:val="00605192"/>
    <w:rsid w:val="00605216"/>
    <w:rsid w:val="0060527B"/>
    <w:rsid w:val="00605386"/>
    <w:rsid w:val="00605388"/>
    <w:rsid w:val="006053BE"/>
    <w:rsid w:val="00605425"/>
    <w:rsid w:val="00605472"/>
    <w:rsid w:val="00605487"/>
    <w:rsid w:val="006054B2"/>
    <w:rsid w:val="0060552D"/>
    <w:rsid w:val="006055FA"/>
    <w:rsid w:val="006056DD"/>
    <w:rsid w:val="00605715"/>
    <w:rsid w:val="00605830"/>
    <w:rsid w:val="00605921"/>
    <w:rsid w:val="00605940"/>
    <w:rsid w:val="00605954"/>
    <w:rsid w:val="006059E2"/>
    <w:rsid w:val="00605A5F"/>
    <w:rsid w:val="00605A62"/>
    <w:rsid w:val="00605A80"/>
    <w:rsid w:val="00605BF7"/>
    <w:rsid w:val="00605C4E"/>
    <w:rsid w:val="00605C59"/>
    <w:rsid w:val="00605C68"/>
    <w:rsid w:val="00605E02"/>
    <w:rsid w:val="00605E15"/>
    <w:rsid w:val="00605E7D"/>
    <w:rsid w:val="00605EA3"/>
    <w:rsid w:val="00605ECF"/>
    <w:rsid w:val="00605F58"/>
    <w:rsid w:val="00605F66"/>
    <w:rsid w:val="00606026"/>
    <w:rsid w:val="00606087"/>
    <w:rsid w:val="006060AA"/>
    <w:rsid w:val="006060BF"/>
    <w:rsid w:val="006060E8"/>
    <w:rsid w:val="006060F2"/>
    <w:rsid w:val="00606148"/>
    <w:rsid w:val="00606190"/>
    <w:rsid w:val="006061BF"/>
    <w:rsid w:val="00606203"/>
    <w:rsid w:val="0060620C"/>
    <w:rsid w:val="006062AC"/>
    <w:rsid w:val="00606336"/>
    <w:rsid w:val="00606340"/>
    <w:rsid w:val="00606343"/>
    <w:rsid w:val="00606365"/>
    <w:rsid w:val="00606380"/>
    <w:rsid w:val="0060638E"/>
    <w:rsid w:val="00606465"/>
    <w:rsid w:val="0060654F"/>
    <w:rsid w:val="00606553"/>
    <w:rsid w:val="0060664F"/>
    <w:rsid w:val="00606681"/>
    <w:rsid w:val="00606683"/>
    <w:rsid w:val="006066DD"/>
    <w:rsid w:val="006067D2"/>
    <w:rsid w:val="006068C5"/>
    <w:rsid w:val="0060690A"/>
    <w:rsid w:val="006069C2"/>
    <w:rsid w:val="00606A33"/>
    <w:rsid w:val="00606A57"/>
    <w:rsid w:val="00606ACD"/>
    <w:rsid w:val="00606AFD"/>
    <w:rsid w:val="00606C31"/>
    <w:rsid w:val="00606C94"/>
    <w:rsid w:val="00606C98"/>
    <w:rsid w:val="00606DB4"/>
    <w:rsid w:val="00606E19"/>
    <w:rsid w:val="00606E6F"/>
    <w:rsid w:val="00606ED2"/>
    <w:rsid w:val="00606F5B"/>
    <w:rsid w:val="00607238"/>
    <w:rsid w:val="00607281"/>
    <w:rsid w:val="0060731C"/>
    <w:rsid w:val="006073A0"/>
    <w:rsid w:val="00607437"/>
    <w:rsid w:val="00607488"/>
    <w:rsid w:val="00607680"/>
    <w:rsid w:val="006076A1"/>
    <w:rsid w:val="006076A4"/>
    <w:rsid w:val="006076B0"/>
    <w:rsid w:val="00607751"/>
    <w:rsid w:val="006077A4"/>
    <w:rsid w:val="006077A7"/>
    <w:rsid w:val="006078EA"/>
    <w:rsid w:val="0060790D"/>
    <w:rsid w:val="0060793B"/>
    <w:rsid w:val="00607A31"/>
    <w:rsid w:val="00607A3F"/>
    <w:rsid w:val="00607B2F"/>
    <w:rsid w:val="00607BF6"/>
    <w:rsid w:val="00607E01"/>
    <w:rsid w:val="00607E7F"/>
    <w:rsid w:val="00607F02"/>
    <w:rsid w:val="00607F43"/>
    <w:rsid w:val="00607F5E"/>
    <w:rsid w:val="006100B6"/>
    <w:rsid w:val="006100D7"/>
    <w:rsid w:val="006103DE"/>
    <w:rsid w:val="006104C3"/>
    <w:rsid w:val="00610512"/>
    <w:rsid w:val="0061059B"/>
    <w:rsid w:val="006105B4"/>
    <w:rsid w:val="006106FD"/>
    <w:rsid w:val="0061070E"/>
    <w:rsid w:val="0061072F"/>
    <w:rsid w:val="00610765"/>
    <w:rsid w:val="006107AD"/>
    <w:rsid w:val="00610892"/>
    <w:rsid w:val="006108FD"/>
    <w:rsid w:val="006109BF"/>
    <w:rsid w:val="00610A0D"/>
    <w:rsid w:val="00610A8B"/>
    <w:rsid w:val="00610B0B"/>
    <w:rsid w:val="00610B31"/>
    <w:rsid w:val="00610B7A"/>
    <w:rsid w:val="00610BC7"/>
    <w:rsid w:val="00610C0D"/>
    <w:rsid w:val="00610C25"/>
    <w:rsid w:val="00610CCF"/>
    <w:rsid w:val="00610D17"/>
    <w:rsid w:val="00610E5F"/>
    <w:rsid w:val="00610E7A"/>
    <w:rsid w:val="00610E85"/>
    <w:rsid w:val="00610F26"/>
    <w:rsid w:val="00610F49"/>
    <w:rsid w:val="00610F77"/>
    <w:rsid w:val="0061102F"/>
    <w:rsid w:val="006110C7"/>
    <w:rsid w:val="00611108"/>
    <w:rsid w:val="00611121"/>
    <w:rsid w:val="00611200"/>
    <w:rsid w:val="00611232"/>
    <w:rsid w:val="00611265"/>
    <w:rsid w:val="006112A9"/>
    <w:rsid w:val="0061133B"/>
    <w:rsid w:val="0061149C"/>
    <w:rsid w:val="006114AA"/>
    <w:rsid w:val="006114FA"/>
    <w:rsid w:val="006115CB"/>
    <w:rsid w:val="00611661"/>
    <w:rsid w:val="0061185E"/>
    <w:rsid w:val="006119C3"/>
    <w:rsid w:val="00611AAA"/>
    <w:rsid w:val="00611CF1"/>
    <w:rsid w:val="00611D33"/>
    <w:rsid w:val="00611D6B"/>
    <w:rsid w:val="00611D78"/>
    <w:rsid w:val="00611D94"/>
    <w:rsid w:val="00611D9D"/>
    <w:rsid w:val="00611DA0"/>
    <w:rsid w:val="00611F18"/>
    <w:rsid w:val="006120DA"/>
    <w:rsid w:val="00612107"/>
    <w:rsid w:val="00612147"/>
    <w:rsid w:val="006121AD"/>
    <w:rsid w:val="006121CF"/>
    <w:rsid w:val="006121EF"/>
    <w:rsid w:val="00612205"/>
    <w:rsid w:val="00612247"/>
    <w:rsid w:val="00612267"/>
    <w:rsid w:val="006122A6"/>
    <w:rsid w:val="00612451"/>
    <w:rsid w:val="0061247B"/>
    <w:rsid w:val="006124A1"/>
    <w:rsid w:val="006124C9"/>
    <w:rsid w:val="006125E8"/>
    <w:rsid w:val="0061265B"/>
    <w:rsid w:val="006126E9"/>
    <w:rsid w:val="00612711"/>
    <w:rsid w:val="006127F9"/>
    <w:rsid w:val="0061290E"/>
    <w:rsid w:val="00612A37"/>
    <w:rsid w:val="00612A4B"/>
    <w:rsid w:val="00612BB7"/>
    <w:rsid w:val="00612BE7"/>
    <w:rsid w:val="00612C2F"/>
    <w:rsid w:val="00612CAE"/>
    <w:rsid w:val="00612CD2"/>
    <w:rsid w:val="00612CDB"/>
    <w:rsid w:val="00612D39"/>
    <w:rsid w:val="00612D60"/>
    <w:rsid w:val="00612E50"/>
    <w:rsid w:val="00612ECE"/>
    <w:rsid w:val="00612EEC"/>
    <w:rsid w:val="00612FD2"/>
    <w:rsid w:val="00613002"/>
    <w:rsid w:val="00613068"/>
    <w:rsid w:val="006130B5"/>
    <w:rsid w:val="0061312E"/>
    <w:rsid w:val="0061315A"/>
    <w:rsid w:val="00613168"/>
    <w:rsid w:val="006132A0"/>
    <w:rsid w:val="00613342"/>
    <w:rsid w:val="00613377"/>
    <w:rsid w:val="00613494"/>
    <w:rsid w:val="00613521"/>
    <w:rsid w:val="00613522"/>
    <w:rsid w:val="0061352B"/>
    <w:rsid w:val="0061355D"/>
    <w:rsid w:val="006135E9"/>
    <w:rsid w:val="00613619"/>
    <w:rsid w:val="0061368A"/>
    <w:rsid w:val="006136E4"/>
    <w:rsid w:val="006137F6"/>
    <w:rsid w:val="00613813"/>
    <w:rsid w:val="00613823"/>
    <w:rsid w:val="0061389B"/>
    <w:rsid w:val="006138C1"/>
    <w:rsid w:val="00613925"/>
    <w:rsid w:val="0061394D"/>
    <w:rsid w:val="00613999"/>
    <w:rsid w:val="006139AA"/>
    <w:rsid w:val="00613AEC"/>
    <w:rsid w:val="00613BD3"/>
    <w:rsid w:val="00613C6A"/>
    <w:rsid w:val="00613D49"/>
    <w:rsid w:val="00613DA6"/>
    <w:rsid w:val="00613DE3"/>
    <w:rsid w:val="00613DE5"/>
    <w:rsid w:val="00613E15"/>
    <w:rsid w:val="00613E95"/>
    <w:rsid w:val="00613EC6"/>
    <w:rsid w:val="00613EC8"/>
    <w:rsid w:val="00613F34"/>
    <w:rsid w:val="00613F64"/>
    <w:rsid w:val="00613FD1"/>
    <w:rsid w:val="00613FD4"/>
    <w:rsid w:val="0061400F"/>
    <w:rsid w:val="0061404F"/>
    <w:rsid w:val="00614052"/>
    <w:rsid w:val="006141EE"/>
    <w:rsid w:val="0061422E"/>
    <w:rsid w:val="006142AB"/>
    <w:rsid w:val="006142CF"/>
    <w:rsid w:val="0061436B"/>
    <w:rsid w:val="00614401"/>
    <w:rsid w:val="0061445F"/>
    <w:rsid w:val="00614463"/>
    <w:rsid w:val="00614515"/>
    <w:rsid w:val="00614542"/>
    <w:rsid w:val="006145C5"/>
    <w:rsid w:val="00614646"/>
    <w:rsid w:val="00614823"/>
    <w:rsid w:val="006148BA"/>
    <w:rsid w:val="006148DA"/>
    <w:rsid w:val="00614A99"/>
    <w:rsid w:val="00614E15"/>
    <w:rsid w:val="00614EC5"/>
    <w:rsid w:val="00614F07"/>
    <w:rsid w:val="00614FD1"/>
    <w:rsid w:val="006150B4"/>
    <w:rsid w:val="006150DC"/>
    <w:rsid w:val="006150F0"/>
    <w:rsid w:val="00615123"/>
    <w:rsid w:val="0061513C"/>
    <w:rsid w:val="006151A8"/>
    <w:rsid w:val="006151F5"/>
    <w:rsid w:val="006152BA"/>
    <w:rsid w:val="0061534C"/>
    <w:rsid w:val="006153F1"/>
    <w:rsid w:val="006153F7"/>
    <w:rsid w:val="00615484"/>
    <w:rsid w:val="00615529"/>
    <w:rsid w:val="00615620"/>
    <w:rsid w:val="006156B3"/>
    <w:rsid w:val="006156C5"/>
    <w:rsid w:val="0061573F"/>
    <w:rsid w:val="00615753"/>
    <w:rsid w:val="00615783"/>
    <w:rsid w:val="00615860"/>
    <w:rsid w:val="0061588B"/>
    <w:rsid w:val="006158C6"/>
    <w:rsid w:val="00615A4D"/>
    <w:rsid w:val="00615B1C"/>
    <w:rsid w:val="00615B93"/>
    <w:rsid w:val="00615BB9"/>
    <w:rsid w:val="00615CB4"/>
    <w:rsid w:val="00615D47"/>
    <w:rsid w:val="00615D4C"/>
    <w:rsid w:val="00615E12"/>
    <w:rsid w:val="00615E2E"/>
    <w:rsid w:val="00615E73"/>
    <w:rsid w:val="00615EE7"/>
    <w:rsid w:val="00615EFC"/>
    <w:rsid w:val="00615F21"/>
    <w:rsid w:val="00615F90"/>
    <w:rsid w:val="0061602E"/>
    <w:rsid w:val="00616072"/>
    <w:rsid w:val="00616091"/>
    <w:rsid w:val="006160B5"/>
    <w:rsid w:val="0061616C"/>
    <w:rsid w:val="006161F4"/>
    <w:rsid w:val="00616204"/>
    <w:rsid w:val="00616231"/>
    <w:rsid w:val="00616469"/>
    <w:rsid w:val="0061646B"/>
    <w:rsid w:val="00616547"/>
    <w:rsid w:val="006165B9"/>
    <w:rsid w:val="006165E5"/>
    <w:rsid w:val="006165F2"/>
    <w:rsid w:val="0061663C"/>
    <w:rsid w:val="006166B4"/>
    <w:rsid w:val="006166CD"/>
    <w:rsid w:val="0061671D"/>
    <w:rsid w:val="0061676B"/>
    <w:rsid w:val="00616789"/>
    <w:rsid w:val="006167E5"/>
    <w:rsid w:val="0061680F"/>
    <w:rsid w:val="00616821"/>
    <w:rsid w:val="006168B4"/>
    <w:rsid w:val="00616915"/>
    <w:rsid w:val="0061693D"/>
    <w:rsid w:val="006169BD"/>
    <w:rsid w:val="00616A20"/>
    <w:rsid w:val="00616B62"/>
    <w:rsid w:val="00616C32"/>
    <w:rsid w:val="00616D26"/>
    <w:rsid w:val="00616D5B"/>
    <w:rsid w:val="00616D5E"/>
    <w:rsid w:val="00616D66"/>
    <w:rsid w:val="00616D96"/>
    <w:rsid w:val="00616DC3"/>
    <w:rsid w:val="00616E65"/>
    <w:rsid w:val="00616EBD"/>
    <w:rsid w:val="00616EF3"/>
    <w:rsid w:val="00616FAE"/>
    <w:rsid w:val="00616FD5"/>
    <w:rsid w:val="00617005"/>
    <w:rsid w:val="0061704C"/>
    <w:rsid w:val="006170DC"/>
    <w:rsid w:val="00617122"/>
    <w:rsid w:val="0061717A"/>
    <w:rsid w:val="00617214"/>
    <w:rsid w:val="0061722F"/>
    <w:rsid w:val="00617292"/>
    <w:rsid w:val="006172E8"/>
    <w:rsid w:val="00617303"/>
    <w:rsid w:val="00617345"/>
    <w:rsid w:val="006173AF"/>
    <w:rsid w:val="006174DA"/>
    <w:rsid w:val="0061754D"/>
    <w:rsid w:val="006175A5"/>
    <w:rsid w:val="00617616"/>
    <w:rsid w:val="00617726"/>
    <w:rsid w:val="00617753"/>
    <w:rsid w:val="006177EA"/>
    <w:rsid w:val="0061792D"/>
    <w:rsid w:val="00617940"/>
    <w:rsid w:val="00617941"/>
    <w:rsid w:val="00617A2B"/>
    <w:rsid w:val="00617B15"/>
    <w:rsid w:val="00617B9C"/>
    <w:rsid w:val="00617C1F"/>
    <w:rsid w:val="00617C68"/>
    <w:rsid w:val="00617E27"/>
    <w:rsid w:val="00617E82"/>
    <w:rsid w:val="00617EE9"/>
    <w:rsid w:val="00617F97"/>
    <w:rsid w:val="0062005B"/>
    <w:rsid w:val="0062009C"/>
    <w:rsid w:val="00620139"/>
    <w:rsid w:val="00620141"/>
    <w:rsid w:val="00620163"/>
    <w:rsid w:val="006201E8"/>
    <w:rsid w:val="0062036E"/>
    <w:rsid w:val="0062044A"/>
    <w:rsid w:val="0062055A"/>
    <w:rsid w:val="006205D2"/>
    <w:rsid w:val="00620610"/>
    <w:rsid w:val="0062062A"/>
    <w:rsid w:val="00620688"/>
    <w:rsid w:val="00620820"/>
    <w:rsid w:val="00620866"/>
    <w:rsid w:val="0062086D"/>
    <w:rsid w:val="0062087D"/>
    <w:rsid w:val="00620899"/>
    <w:rsid w:val="0062089D"/>
    <w:rsid w:val="0062095F"/>
    <w:rsid w:val="00620965"/>
    <w:rsid w:val="00620973"/>
    <w:rsid w:val="006209A3"/>
    <w:rsid w:val="00620A17"/>
    <w:rsid w:val="00620AAB"/>
    <w:rsid w:val="00620C13"/>
    <w:rsid w:val="00620C15"/>
    <w:rsid w:val="00620C69"/>
    <w:rsid w:val="00620D27"/>
    <w:rsid w:val="00620D37"/>
    <w:rsid w:val="00620DB8"/>
    <w:rsid w:val="00620DC4"/>
    <w:rsid w:val="00620E49"/>
    <w:rsid w:val="00620E7D"/>
    <w:rsid w:val="00620FEA"/>
    <w:rsid w:val="006210E3"/>
    <w:rsid w:val="006212D8"/>
    <w:rsid w:val="00621304"/>
    <w:rsid w:val="00621319"/>
    <w:rsid w:val="00621358"/>
    <w:rsid w:val="00621361"/>
    <w:rsid w:val="00621376"/>
    <w:rsid w:val="00621379"/>
    <w:rsid w:val="0062155C"/>
    <w:rsid w:val="006215EA"/>
    <w:rsid w:val="00621626"/>
    <w:rsid w:val="00621689"/>
    <w:rsid w:val="00621744"/>
    <w:rsid w:val="00621786"/>
    <w:rsid w:val="006217F5"/>
    <w:rsid w:val="0062185B"/>
    <w:rsid w:val="0062188B"/>
    <w:rsid w:val="00621897"/>
    <w:rsid w:val="00621945"/>
    <w:rsid w:val="0062199C"/>
    <w:rsid w:val="006219D0"/>
    <w:rsid w:val="006219E2"/>
    <w:rsid w:val="006219EB"/>
    <w:rsid w:val="00621AB6"/>
    <w:rsid w:val="00621ACD"/>
    <w:rsid w:val="00621AFE"/>
    <w:rsid w:val="00621B3B"/>
    <w:rsid w:val="00621B72"/>
    <w:rsid w:val="00621B7C"/>
    <w:rsid w:val="00621B7D"/>
    <w:rsid w:val="00621C96"/>
    <w:rsid w:val="00621CAA"/>
    <w:rsid w:val="00621CB2"/>
    <w:rsid w:val="00621D0E"/>
    <w:rsid w:val="00621D86"/>
    <w:rsid w:val="00621DE0"/>
    <w:rsid w:val="00621ED1"/>
    <w:rsid w:val="00621FD9"/>
    <w:rsid w:val="0062207C"/>
    <w:rsid w:val="00622171"/>
    <w:rsid w:val="0062236C"/>
    <w:rsid w:val="006223DD"/>
    <w:rsid w:val="00622429"/>
    <w:rsid w:val="006224B4"/>
    <w:rsid w:val="00622533"/>
    <w:rsid w:val="006226A0"/>
    <w:rsid w:val="00622761"/>
    <w:rsid w:val="006227DB"/>
    <w:rsid w:val="006227DE"/>
    <w:rsid w:val="00622813"/>
    <w:rsid w:val="00622856"/>
    <w:rsid w:val="0062291E"/>
    <w:rsid w:val="00622978"/>
    <w:rsid w:val="006229EB"/>
    <w:rsid w:val="00622A67"/>
    <w:rsid w:val="00622CC0"/>
    <w:rsid w:val="00622D2C"/>
    <w:rsid w:val="00622D9A"/>
    <w:rsid w:val="00622DA0"/>
    <w:rsid w:val="00622E23"/>
    <w:rsid w:val="00622E87"/>
    <w:rsid w:val="00622E95"/>
    <w:rsid w:val="00622E9D"/>
    <w:rsid w:val="00622EA0"/>
    <w:rsid w:val="00622EAE"/>
    <w:rsid w:val="00622F03"/>
    <w:rsid w:val="0062301E"/>
    <w:rsid w:val="00623128"/>
    <w:rsid w:val="00623143"/>
    <w:rsid w:val="0062316A"/>
    <w:rsid w:val="00623179"/>
    <w:rsid w:val="00623221"/>
    <w:rsid w:val="00623263"/>
    <w:rsid w:val="00623291"/>
    <w:rsid w:val="00623298"/>
    <w:rsid w:val="006232BA"/>
    <w:rsid w:val="00623339"/>
    <w:rsid w:val="006233B6"/>
    <w:rsid w:val="006233EB"/>
    <w:rsid w:val="00623408"/>
    <w:rsid w:val="00623450"/>
    <w:rsid w:val="006234E5"/>
    <w:rsid w:val="00623504"/>
    <w:rsid w:val="00623564"/>
    <w:rsid w:val="0062358F"/>
    <w:rsid w:val="006235BA"/>
    <w:rsid w:val="006235F7"/>
    <w:rsid w:val="00623836"/>
    <w:rsid w:val="006239A3"/>
    <w:rsid w:val="006239DF"/>
    <w:rsid w:val="00623A07"/>
    <w:rsid w:val="00623A1E"/>
    <w:rsid w:val="00623A83"/>
    <w:rsid w:val="00623A84"/>
    <w:rsid w:val="00623ABE"/>
    <w:rsid w:val="00623B2A"/>
    <w:rsid w:val="00623B49"/>
    <w:rsid w:val="00623BA2"/>
    <w:rsid w:val="00623C7B"/>
    <w:rsid w:val="00623CA2"/>
    <w:rsid w:val="00623CDD"/>
    <w:rsid w:val="00623CE1"/>
    <w:rsid w:val="00623D11"/>
    <w:rsid w:val="00623D55"/>
    <w:rsid w:val="00623DB9"/>
    <w:rsid w:val="00623E3E"/>
    <w:rsid w:val="00623E88"/>
    <w:rsid w:val="00623EA8"/>
    <w:rsid w:val="00623F05"/>
    <w:rsid w:val="00623F74"/>
    <w:rsid w:val="00623FA7"/>
    <w:rsid w:val="00624051"/>
    <w:rsid w:val="0062412E"/>
    <w:rsid w:val="00624137"/>
    <w:rsid w:val="006242A6"/>
    <w:rsid w:val="0062436F"/>
    <w:rsid w:val="006244B1"/>
    <w:rsid w:val="006244B5"/>
    <w:rsid w:val="006244B8"/>
    <w:rsid w:val="006245FE"/>
    <w:rsid w:val="00624647"/>
    <w:rsid w:val="006246F9"/>
    <w:rsid w:val="006248AA"/>
    <w:rsid w:val="00624912"/>
    <w:rsid w:val="00624964"/>
    <w:rsid w:val="00624C46"/>
    <w:rsid w:val="00624C8D"/>
    <w:rsid w:val="00624D44"/>
    <w:rsid w:val="00624DAD"/>
    <w:rsid w:val="00624DFC"/>
    <w:rsid w:val="00624F5F"/>
    <w:rsid w:val="006250A0"/>
    <w:rsid w:val="0062513D"/>
    <w:rsid w:val="006252B0"/>
    <w:rsid w:val="006252BD"/>
    <w:rsid w:val="006252CD"/>
    <w:rsid w:val="006252D2"/>
    <w:rsid w:val="0062530E"/>
    <w:rsid w:val="00625354"/>
    <w:rsid w:val="00625356"/>
    <w:rsid w:val="00625366"/>
    <w:rsid w:val="00625433"/>
    <w:rsid w:val="0062544A"/>
    <w:rsid w:val="006254AB"/>
    <w:rsid w:val="006254B8"/>
    <w:rsid w:val="0062553A"/>
    <w:rsid w:val="00625579"/>
    <w:rsid w:val="00625653"/>
    <w:rsid w:val="006256A3"/>
    <w:rsid w:val="006256B3"/>
    <w:rsid w:val="006256C7"/>
    <w:rsid w:val="006256D4"/>
    <w:rsid w:val="006256F0"/>
    <w:rsid w:val="00625755"/>
    <w:rsid w:val="00625891"/>
    <w:rsid w:val="006259C7"/>
    <w:rsid w:val="00625AA4"/>
    <w:rsid w:val="00625B6B"/>
    <w:rsid w:val="00625C27"/>
    <w:rsid w:val="00625C43"/>
    <w:rsid w:val="00625CEA"/>
    <w:rsid w:val="00625F00"/>
    <w:rsid w:val="00625FC5"/>
    <w:rsid w:val="00626002"/>
    <w:rsid w:val="0062602E"/>
    <w:rsid w:val="00626054"/>
    <w:rsid w:val="00626098"/>
    <w:rsid w:val="006260DE"/>
    <w:rsid w:val="006261F4"/>
    <w:rsid w:val="0062629E"/>
    <w:rsid w:val="006262C8"/>
    <w:rsid w:val="00626304"/>
    <w:rsid w:val="00626309"/>
    <w:rsid w:val="00626321"/>
    <w:rsid w:val="00626357"/>
    <w:rsid w:val="006263D1"/>
    <w:rsid w:val="006263D2"/>
    <w:rsid w:val="00626411"/>
    <w:rsid w:val="00626422"/>
    <w:rsid w:val="00626436"/>
    <w:rsid w:val="00626444"/>
    <w:rsid w:val="006264CD"/>
    <w:rsid w:val="00626570"/>
    <w:rsid w:val="00626722"/>
    <w:rsid w:val="0062682D"/>
    <w:rsid w:val="006268F6"/>
    <w:rsid w:val="0062696C"/>
    <w:rsid w:val="006269F6"/>
    <w:rsid w:val="00626A3D"/>
    <w:rsid w:val="00626B11"/>
    <w:rsid w:val="00626B38"/>
    <w:rsid w:val="00626C66"/>
    <w:rsid w:val="00626D03"/>
    <w:rsid w:val="00626D2A"/>
    <w:rsid w:val="00626DF3"/>
    <w:rsid w:val="00626EC3"/>
    <w:rsid w:val="00626F09"/>
    <w:rsid w:val="00626F30"/>
    <w:rsid w:val="00627023"/>
    <w:rsid w:val="006270C3"/>
    <w:rsid w:val="006270CA"/>
    <w:rsid w:val="006270EA"/>
    <w:rsid w:val="00627168"/>
    <w:rsid w:val="006271AB"/>
    <w:rsid w:val="006271B2"/>
    <w:rsid w:val="006271CC"/>
    <w:rsid w:val="006271F8"/>
    <w:rsid w:val="006272CA"/>
    <w:rsid w:val="00627367"/>
    <w:rsid w:val="00627408"/>
    <w:rsid w:val="006274C6"/>
    <w:rsid w:val="006274CC"/>
    <w:rsid w:val="006274CE"/>
    <w:rsid w:val="0062752B"/>
    <w:rsid w:val="0062760F"/>
    <w:rsid w:val="00627620"/>
    <w:rsid w:val="006276F0"/>
    <w:rsid w:val="0062774C"/>
    <w:rsid w:val="00627792"/>
    <w:rsid w:val="00627798"/>
    <w:rsid w:val="006277ED"/>
    <w:rsid w:val="0062789C"/>
    <w:rsid w:val="00627977"/>
    <w:rsid w:val="00627A0B"/>
    <w:rsid w:val="00627A2E"/>
    <w:rsid w:val="00627AD2"/>
    <w:rsid w:val="00627AF2"/>
    <w:rsid w:val="00627B1B"/>
    <w:rsid w:val="00627B68"/>
    <w:rsid w:val="00627C03"/>
    <w:rsid w:val="00627C9B"/>
    <w:rsid w:val="00627ED0"/>
    <w:rsid w:val="00627FC2"/>
    <w:rsid w:val="00627FFC"/>
    <w:rsid w:val="00630107"/>
    <w:rsid w:val="00630126"/>
    <w:rsid w:val="00630132"/>
    <w:rsid w:val="0063014A"/>
    <w:rsid w:val="0063014D"/>
    <w:rsid w:val="00630180"/>
    <w:rsid w:val="006301F6"/>
    <w:rsid w:val="006303C8"/>
    <w:rsid w:val="006303F7"/>
    <w:rsid w:val="00630435"/>
    <w:rsid w:val="00630471"/>
    <w:rsid w:val="00630550"/>
    <w:rsid w:val="00630583"/>
    <w:rsid w:val="006305E7"/>
    <w:rsid w:val="006305F0"/>
    <w:rsid w:val="00630717"/>
    <w:rsid w:val="006307A9"/>
    <w:rsid w:val="006307E5"/>
    <w:rsid w:val="00630929"/>
    <w:rsid w:val="0063092C"/>
    <w:rsid w:val="00630A05"/>
    <w:rsid w:val="00630A53"/>
    <w:rsid w:val="00630ADD"/>
    <w:rsid w:val="00630B28"/>
    <w:rsid w:val="00630B97"/>
    <w:rsid w:val="00630C0B"/>
    <w:rsid w:val="00630D1D"/>
    <w:rsid w:val="00630DBB"/>
    <w:rsid w:val="00630DF4"/>
    <w:rsid w:val="00630EA6"/>
    <w:rsid w:val="00630F86"/>
    <w:rsid w:val="00630F8B"/>
    <w:rsid w:val="00630FBC"/>
    <w:rsid w:val="006310D7"/>
    <w:rsid w:val="0063113B"/>
    <w:rsid w:val="00631243"/>
    <w:rsid w:val="00631320"/>
    <w:rsid w:val="0063134F"/>
    <w:rsid w:val="0063144A"/>
    <w:rsid w:val="006314A3"/>
    <w:rsid w:val="006314F4"/>
    <w:rsid w:val="00631524"/>
    <w:rsid w:val="00631576"/>
    <w:rsid w:val="006316BE"/>
    <w:rsid w:val="006316E3"/>
    <w:rsid w:val="0063179F"/>
    <w:rsid w:val="00631841"/>
    <w:rsid w:val="006318D6"/>
    <w:rsid w:val="006318EE"/>
    <w:rsid w:val="0063191D"/>
    <w:rsid w:val="00631AF6"/>
    <w:rsid w:val="00631B19"/>
    <w:rsid w:val="00631B95"/>
    <w:rsid w:val="00631BD7"/>
    <w:rsid w:val="00631C4A"/>
    <w:rsid w:val="00631CF6"/>
    <w:rsid w:val="00631CFD"/>
    <w:rsid w:val="00631D60"/>
    <w:rsid w:val="00631DBB"/>
    <w:rsid w:val="00631E39"/>
    <w:rsid w:val="00631EE6"/>
    <w:rsid w:val="00631EFA"/>
    <w:rsid w:val="00631F56"/>
    <w:rsid w:val="00631F8C"/>
    <w:rsid w:val="0063200C"/>
    <w:rsid w:val="0063204C"/>
    <w:rsid w:val="00632052"/>
    <w:rsid w:val="00632093"/>
    <w:rsid w:val="006320BE"/>
    <w:rsid w:val="006321C9"/>
    <w:rsid w:val="006321D9"/>
    <w:rsid w:val="006322EE"/>
    <w:rsid w:val="0063230D"/>
    <w:rsid w:val="00632311"/>
    <w:rsid w:val="00632374"/>
    <w:rsid w:val="006323EB"/>
    <w:rsid w:val="00632469"/>
    <w:rsid w:val="006324B3"/>
    <w:rsid w:val="006324D7"/>
    <w:rsid w:val="006324E9"/>
    <w:rsid w:val="0063250A"/>
    <w:rsid w:val="00632564"/>
    <w:rsid w:val="00632630"/>
    <w:rsid w:val="006326B3"/>
    <w:rsid w:val="00632797"/>
    <w:rsid w:val="00632870"/>
    <w:rsid w:val="006328BD"/>
    <w:rsid w:val="00632901"/>
    <w:rsid w:val="00632989"/>
    <w:rsid w:val="006329C1"/>
    <w:rsid w:val="00632A55"/>
    <w:rsid w:val="00632AE7"/>
    <w:rsid w:val="00632B36"/>
    <w:rsid w:val="00632B4C"/>
    <w:rsid w:val="00632B72"/>
    <w:rsid w:val="00632BED"/>
    <w:rsid w:val="00632CD3"/>
    <w:rsid w:val="00632E2D"/>
    <w:rsid w:val="00632E5C"/>
    <w:rsid w:val="00632E66"/>
    <w:rsid w:val="00632E74"/>
    <w:rsid w:val="0063308F"/>
    <w:rsid w:val="00633306"/>
    <w:rsid w:val="00633329"/>
    <w:rsid w:val="0063332A"/>
    <w:rsid w:val="00633383"/>
    <w:rsid w:val="0063338C"/>
    <w:rsid w:val="006333EE"/>
    <w:rsid w:val="00633402"/>
    <w:rsid w:val="006334AF"/>
    <w:rsid w:val="006334BF"/>
    <w:rsid w:val="0063358F"/>
    <w:rsid w:val="006337B7"/>
    <w:rsid w:val="006337EA"/>
    <w:rsid w:val="006337F4"/>
    <w:rsid w:val="00633805"/>
    <w:rsid w:val="00633807"/>
    <w:rsid w:val="00633887"/>
    <w:rsid w:val="006338C9"/>
    <w:rsid w:val="0063390F"/>
    <w:rsid w:val="00633953"/>
    <w:rsid w:val="00633A36"/>
    <w:rsid w:val="00633B8F"/>
    <w:rsid w:val="00633BA1"/>
    <w:rsid w:val="00633BB4"/>
    <w:rsid w:val="00633BC2"/>
    <w:rsid w:val="00633C20"/>
    <w:rsid w:val="00633C44"/>
    <w:rsid w:val="00633DBE"/>
    <w:rsid w:val="00633E35"/>
    <w:rsid w:val="00633E70"/>
    <w:rsid w:val="00633FC9"/>
    <w:rsid w:val="00634033"/>
    <w:rsid w:val="00634055"/>
    <w:rsid w:val="0063406E"/>
    <w:rsid w:val="00634079"/>
    <w:rsid w:val="0063410E"/>
    <w:rsid w:val="006341C6"/>
    <w:rsid w:val="0063426E"/>
    <w:rsid w:val="00634299"/>
    <w:rsid w:val="006342BE"/>
    <w:rsid w:val="006342CA"/>
    <w:rsid w:val="00634375"/>
    <w:rsid w:val="006344D9"/>
    <w:rsid w:val="006344E6"/>
    <w:rsid w:val="006344F4"/>
    <w:rsid w:val="00634512"/>
    <w:rsid w:val="00634526"/>
    <w:rsid w:val="0063458A"/>
    <w:rsid w:val="006345A3"/>
    <w:rsid w:val="006345D1"/>
    <w:rsid w:val="00634647"/>
    <w:rsid w:val="00634691"/>
    <w:rsid w:val="00634698"/>
    <w:rsid w:val="00634724"/>
    <w:rsid w:val="00634748"/>
    <w:rsid w:val="00634764"/>
    <w:rsid w:val="0063495E"/>
    <w:rsid w:val="00634B17"/>
    <w:rsid w:val="00634B50"/>
    <w:rsid w:val="00634B5E"/>
    <w:rsid w:val="00634BEF"/>
    <w:rsid w:val="00634CC8"/>
    <w:rsid w:val="00634D0A"/>
    <w:rsid w:val="00634DC7"/>
    <w:rsid w:val="00634DF5"/>
    <w:rsid w:val="00634E02"/>
    <w:rsid w:val="00634E23"/>
    <w:rsid w:val="00634E9A"/>
    <w:rsid w:val="00634F9D"/>
    <w:rsid w:val="00634FB3"/>
    <w:rsid w:val="00635044"/>
    <w:rsid w:val="00635137"/>
    <w:rsid w:val="0063514F"/>
    <w:rsid w:val="00635156"/>
    <w:rsid w:val="006351D3"/>
    <w:rsid w:val="00635232"/>
    <w:rsid w:val="00635294"/>
    <w:rsid w:val="006352B6"/>
    <w:rsid w:val="006352DA"/>
    <w:rsid w:val="00635328"/>
    <w:rsid w:val="0063537B"/>
    <w:rsid w:val="0063549D"/>
    <w:rsid w:val="006354F3"/>
    <w:rsid w:val="00635501"/>
    <w:rsid w:val="00635567"/>
    <w:rsid w:val="00635572"/>
    <w:rsid w:val="006355BF"/>
    <w:rsid w:val="00635635"/>
    <w:rsid w:val="0063565A"/>
    <w:rsid w:val="006356E2"/>
    <w:rsid w:val="00635721"/>
    <w:rsid w:val="006357AC"/>
    <w:rsid w:val="0063586B"/>
    <w:rsid w:val="00635886"/>
    <w:rsid w:val="00635891"/>
    <w:rsid w:val="0063590F"/>
    <w:rsid w:val="00635928"/>
    <w:rsid w:val="00635944"/>
    <w:rsid w:val="006359D1"/>
    <w:rsid w:val="00635AD9"/>
    <w:rsid w:val="00635B5A"/>
    <w:rsid w:val="00635B65"/>
    <w:rsid w:val="00635CC1"/>
    <w:rsid w:val="00635D6F"/>
    <w:rsid w:val="00635DE5"/>
    <w:rsid w:val="00635E10"/>
    <w:rsid w:val="00635E82"/>
    <w:rsid w:val="00635EB7"/>
    <w:rsid w:val="00635ED2"/>
    <w:rsid w:val="00635F03"/>
    <w:rsid w:val="00635F09"/>
    <w:rsid w:val="00635F14"/>
    <w:rsid w:val="00635FAD"/>
    <w:rsid w:val="00635FB2"/>
    <w:rsid w:val="00635FCF"/>
    <w:rsid w:val="00636110"/>
    <w:rsid w:val="0063614E"/>
    <w:rsid w:val="00636202"/>
    <w:rsid w:val="00636260"/>
    <w:rsid w:val="00636277"/>
    <w:rsid w:val="0063632D"/>
    <w:rsid w:val="006363C3"/>
    <w:rsid w:val="00636457"/>
    <w:rsid w:val="0063648F"/>
    <w:rsid w:val="006365F2"/>
    <w:rsid w:val="00636746"/>
    <w:rsid w:val="00636779"/>
    <w:rsid w:val="00636784"/>
    <w:rsid w:val="00636840"/>
    <w:rsid w:val="0063689C"/>
    <w:rsid w:val="00636921"/>
    <w:rsid w:val="00636DDE"/>
    <w:rsid w:val="00636E17"/>
    <w:rsid w:val="00636E7A"/>
    <w:rsid w:val="00636E95"/>
    <w:rsid w:val="00636F6C"/>
    <w:rsid w:val="00636F8E"/>
    <w:rsid w:val="0063707A"/>
    <w:rsid w:val="0063708F"/>
    <w:rsid w:val="00637191"/>
    <w:rsid w:val="00637193"/>
    <w:rsid w:val="0063719C"/>
    <w:rsid w:val="00637248"/>
    <w:rsid w:val="006373CE"/>
    <w:rsid w:val="006373E8"/>
    <w:rsid w:val="00637411"/>
    <w:rsid w:val="00637439"/>
    <w:rsid w:val="006374E0"/>
    <w:rsid w:val="006376FB"/>
    <w:rsid w:val="00637708"/>
    <w:rsid w:val="00637764"/>
    <w:rsid w:val="00637780"/>
    <w:rsid w:val="006377D1"/>
    <w:rsid w:val="00637838"/>
    <w:rsid w:val="00637889"/>
    <w:rsid w:val="00637918"/>
    <w:rsid w:val="00637999"/>
    <w:rsid w:val="00637AA7"/>
    <w:rsid w:val="00637ADC"/>
    <w:rsid w:val="00637DD1"/>
    <w:rsid w:val="00637DFF"/>
    <w:rsid w:val="00637E00"/>
    <w:rsid w:val="00637E50"/>
    <w:rsid w:val="00637E84"/>
    <w:rsid w:val="00637F2F"/>
    <w:rsid w:val="00637F92"/>
    <w:rsid w:val="00640020"/>
    <w:rsid w:val="00640084"/>
    <w:rsid w:val="00640127"/>
    <w:rsid w:val="00640248"/>
    <w:rsid w:val="0064025C"/>
    <w:rsid w:val="00640291"/>
    <w:rsid w:val="00640380"/>
    <w:rsid w:val="006403A9"/>
    <w:rsid w:val="006403DA"/>
    <w:rsid w:val="006403FF"/>
    <w:rsid w:val="00640428"/>
    <w:rsid w:val="00640464"/>
    <w:rsid w:val="00640483"/>
    <w:rsid w:val="006404D2"/>
    <w:rsid w:val="00640556"/>
    <w:rsid w:val="0064084A"/>
    <w:rsid w:val="0064089E"/>
    <w:rsid w:val="006408CD"/>
    <w:rsid w:val="0064093F"/>
    <w:rsid w:val="00640A58"/>
    <w:rsid w:val="00640A59"/>
    <w:rsid w:val="00640ADA"/>
    <w:rsid w:val="00640BB9"/>
    <w:rsid w:val="00640CF6"/>
    <w:rsid w:val="00640D9A"/>
    <w:rsid w:val="00640DF4"/>
    <w:rsid w:val="00640DF8"/>
    <w:rsid w:val="00640F6A"/>
    <w:rsid w:val="00640F87"/>
    <w:rsid w:val="00640FDA"/>
    <w:rsid w:val="006410B8"/>
    <w:rsid w:val="0064119B"/>
    <w:rsid w:val="006411D1"/>
    <w:rsid w:val="00641218"/>
    <w:rsid w:val="00641252"/>
    <w:rsid w:val="00641271"/>
    <w:rsid w:val="006412A5"/>
    <w:rsid w:val="006413D3"/>
    <w:rsid w:val="0064147A"/>
    <w:rsid w:val="006414A6"/>
    <w:rsid w:val="00641608"/>
    <w:rsid w:val="00641703"/>
    <w:rsid w:val="0064177C"/>
    <w:rsid w:val="00641826"/>
    <w:rsid w:val="00641942"/>
    <w:rsid w:val="00641982"/>
    <w:rsid w:val="006419E2"/>
    <w:rsid w:val="00641AEA"/>
    <w:rsid w:val="00641B47"/>
    <w:rsid w:val="00641BF1"/>
    <w:rsid w:val="00641C2B"/>
    <w:rsid w:val="00641D80"/>
    <w:rsid w:val="00641D89"/>
    <w:rsid w:val="00641E02"/>
    <w:rsid w:val="00641EEE"/>
    <w:rsid w:val="00641F07"/>
    <w:rsid w:val="00642005"/>
    <w:rsid w:val="00642070"/>
    <w:rsid w:val="00642071"/>
    <w:rsid w:val="00642093"/>
    <w:rsid w:val="006420D6"/>
    <w:rsid w:val="00642134"/>
    <w:rsid w:val="006421BD"/>
    <w:rsid w:val="0064220E"/>
    <w:rsid w:val="00642238"/>
    <w:rsid w:val="00642241"/>
    <w:rsid w:val="0064226F"/>
    <w:rsid w:val="00642282"/>
    <w:rsid w:val="006422A5"/>
    <w:rsid w:val="006422E4"/>
    <w:rsid w:val="006423CD"/>
    <w:rsid w:val="006423EC"/>
    <w:rsid w:val="00642400"/>
    <w:rsid w:val="00642444"/>
    <w:rsid w:val="0064248D"/>
    <w:rsid w:val="00642495"/>
    <w:rsid w:val="006425F4"/>
    <w:rsid w:val="00642645"/>
    <w:rsid w:val="00642652"/>
    <w:rsid w:val="00642783"/>
    <w:rsid w:val="00642915"/>
    <w:rsid w:val="00642928"/>
    <w:rsid w:val="00642979"/>
    <w:rsid w:val="00642B3C"/>
    <w:rsid w:val="00642BC2"/>
    <w:rsid w:val="00642BC9"/>
    <w:rsid w:val="00642D63"/>
    <w:rsid w:val="00642D72"/>
    <w:rsid w:val="00642D86"/>
    <w:rsid w:val="00642DEE"/>
    <w:rsid w:val="00642E1F"/>
    <w:rsid w:val="00642F67"/>
    <w:rsid w:val="00642FCA"/>
    <w:rsid w:val="0064303E"/>
    <w:rsid w:val="00643081"/>
    <w:rsid w:val="00643098"/>
    <w:rsid w:val="00643116"/>
    <w:rsid w:val="00643194"/>
    <w:rsid w:val="006431D6"/>
    <w:rsid w:val="006432A4"/>
    <w:rsid w:val="006432F3"/>
    <w:rsid w:val="00643349"/>
    <w:rsid w:val="0064339D"/>
    <w:rsid w:val="006433E9"/>
    <w:rsid w:val="0064344D"/>
    <w:rsid w:val="006435E9"/>
    <w:rsid w:val="0064364B"/>
    <w:rsid w:val="006436C5"/>
    <w:rsid w:val="006436C7"/>
    <w:rsid w:val="0064377A"/>
    <w:rsid w:val="006437A9"/>
    <w:rsid w:val="006437E6"/>
    <w:rsid w:val="006438F3"/>
    <w:rsid w:val="00643904"/>
    <w:rsid w:val="00643909"/>
    <w:rsid w:val="0064392D"/>
    <w:rsid w:val="00643955"/>
    <w:rsid w:val="0064395A"/>
    <w:rsid w:val="006439A8"/>
    <w:rsid w:val="006439AD"/>
    <w:rsid w:val="006439CA"/>
    <w:rsid w:val="00643A6E"/>
    <w:rsid w:val="00643B41"/>
    <w:rsid w:val="00643B4A"/>
    <w:rsid w:val="00643B4E"/>
    <w:rsid w:val="00643B90"/>
    <w:rsid w:val="00643C50"/>
    <w:rsid w:val="00643D11"/>
    <w:rsid w:val="00643D12"/>
    <w:rsid w:val="00643D5D"/>
    <w:rsid w:val="00643D73"/>
    <w:rsid w:val="00643E50"/>
    <w:rsid w:val="00643E57"/>
    <w:rsid w:val="0064403C"/>
    <w:rsid w:val="0064409E"/>
    <w:rsid w:val="00644108"/>
    <w:rsid w:val="00644194"/>
    <w:rsid w:val="00644276"/>
    <w:rsid w:val="006442E0"/>
    <w:rsid w:val="006442F6"/>
    <w:rsid w:val="0064435F"/>
    <w:rsid w:val="0064439E"/>
    <w:rsid w:val="0064440F"/>
    <w:rsid w:val="006444A7"/>
    <w:rsid w:val="006444C9"/>
    <w:rsid w:val="00644513"/>
    <w:rsid w:val="0064452A"/>
    <w:rsid w:val="006445C3"/>
    <w:rsid w:val="006445DC"/>
    <w:rsid w:val="006445F9"/>
    <w:rsid w:val="006446C3"/>
    <w:rsid w:val="006446F6"/>
    <w:rsid w:val="00644772"/>
    <w:rsid w:val="006447EA"/>
    <w:rsid w:val="00644802"/>
    <w:rsid w:val="0064482F"/>
    <w:rsid w:val="00644851"/>
    <w:rsid w:val="00644915"/>
    <w:rsid w:val="006449E2"/>
    <w:rsid w:val="006449FF"/>
    <w:rsid w:val="00644A0D"/>
    <w:rsid w:val="00644AD3"/>
    <w:rsid w:val="00644BDC"/>
    <w:rsid w:val="00644C3E"/>
    <w:rsid w:val="00644C40"/>
    <w:rsid w:val="00644D10"/>
    <w:rsid w:val="00644D17"/>
    <w:rsid w:val="00644D37"/>
    <w:rsid w:val="00644D5B"/>
    <w:rsid w:val="00644E69"/>
    <w:rsid w:val="00644E80"/>
    <w:rsid w:val="00644F55"/>
    <w:rsid w:val="00644FBD"/>
    <w:rsid w:val="0064506F"/>
    <w:rsid w:val="006450E8"/>
    <w:rsid w:val="00645201"/>
    <w:rsid w:val="0064524F"/>
    <w:rsid w:val="0064526C"/>
    <w:rsid w:val="006453C9"/>
    <w:rsid w:val="006453D1"/>
    <w:rsid w:val="006453FD"/>
    <w:rsid w:val="0064542B"/>
    <w:rsid w:val="00645480"/>
    <w:rsid w:val="00645495"/>
    <w:rsid w:val="006455CC"/>
    <w:rsid w:val="006456F2"/>
    <w:rsid w:val="006457A9"/>
    <w:rsid w:val="006457BD"/>
    <w:rsid w:val="006457E5"/>
    <w:rsid w:val="00645817"/>
    <w:rsid w:val="0064581E"/>
    <w:rsid w:val="006458B9"/>
    <w:rsid w:val="006458E4"/>
    <w:rsid w:val="00645999"/>
    <w:rsid w:val="006459F5"/>
    <w:rsid w:val="00645A8C"/>
    <w:rsid w:val="00645AC2"/>
    <w:rsid w:val="00645B29"/>
    <w:rsid w:val="00645CB0"/>
    <w:rsid w:val="00645DE0"/>
    <w:rsid w:val="00645F12"/>
    <w:rsid w:val="00645F69"/>
    <w:rsid w:val="00645F71"/>
    <w:rsid w:val="00645FF6"/>
    <w:rsid w:val="00646078"/>
    <w:rsid w:val="006460C1"/>
    <w:rsid w:val="006460CA"/>
    <w:rsid w:val="006461CD"/>
    <w:rsid w:val="00646247"/>
    <w:rsid w:val="006462DD"/>
    <w:rsid w:val="0064631E"/>
    <w:rsid w:val="0064641A"/>
    <w:rsid w:val="0064642B"/>
    <w:rsid w:val="0064644B"/>
    <w:rsid w:val="006464B1"/>
    <w:rsid w:val="00646540"/>
    <w:rsid w:val="00646612"/>
    <w:rsid w:val="0064679C"/>
    <w:rsid w:val="0064681A"/>
    <w:rsid w:val="006468CA"/>
    <w:rsid w:val="0064690E"/>
    <w:rsid w:val="0064696D"/>
    <w:rsid w:val="006469AD"/>
    <w:rsid w:val="00646B81"/>
    <w:rsid w:val="00646D31"/>
    <w:rsid w:val="00646D8A"/>
    <w:rsid w:val="00646D96"/>
    <w:rsid w:val="00646E0A"/>
    <w:rsid w:val="00646EDF"/>
    <w:rsid w:val="00646F17"/>
    <w:rsid w:val="00646F79"/>
    <w:rsid w:val="00646FF2"/>
    <w:rsid w:val="00647049"/>
    <w:rsid w:val="006470A5"/>
    <w:rsid w:val="0064711F"/>
    <w:rsid w:val="00647192"/>
    <w:rsid w:val="00647251"/>
    <w:rsid w:val="006472BF"/>
    <w:rsid w:val="006472FA"/>
    <w:rsid w:val="00647380"/>
    <w:rsid w:val="006473D9"/>
    <w:rsid w:val="006473DA"/>
    <w:rsid w:val="0064748B"/>
    <w:rsid w:val="006474CF"/>
    <w:rsid w:val="00647592"/>
    <w:rsid w:val="006475AA"/>
    <w:rsid w:val="00647650"/>
    <w:rsid w:val="00647683"/>
    <w:rsid w:val="0064771E"/>
    <w:rsid w:val="006478A9"/>
    <w:rsid w:val="006479B2"/>
    <w:rsid w:val="00647A6D"/>
    <w:rsid w:val="00647A78"/>
    <w:rsid w:val="00647B8C"/>
    <w:rsid w:val="00647BC3"/>
    <w:rsid w:val="00647CD6"/>
    <w:rsid w:val="00647DE6"/>
    <w:rsid w:val="00647DEF"/>
    <w:rsid w:val="00647E28"/>
    <w:rsid w:val="00647E2E"/>
    <w:rsid w:val="00647E79"/>
    <w:rsid w:val="00647E96"/>
    <w:rsid w:val="00647EF1"/>
    <w:rsid w:val="00647F4A"/>
    <w:rsid w:val="00650072"/>
    <w:rsid w:val="00650116"/>
    <w:rsid w:val="006501C7"/>
    <w:rsid w:val="006502F9"/>
    <w:rsid w:val="00650385"/>
    <w:rsid w:val="0065043B"/>
    <w:rsid w:val="00650547"/>
    <w:rsid w:val="00650557"/>
    <w:rsid w:val="006505AC"/>
    <w:rsid w:val="006505C7"/>
    <w:rsid w:val="00650614"/>
    <w:rsid w:val="0065072B"/>
    <w:rsid w:val="0065072F"/>
    <w:rsid w:val="0065084A"/>
    <w:rsid w:val="00650884"/>
    <w:rsid w:val="00650A88"/>
    <w:rsid w:val="00650BF4"/>
    <w:rsid w:val="00650CD4"/>
    <w:rsid w:val="00650CD8"/>
    <w:rsid w:val="00650D17"/>
    <w:rsid w:val="00650D2D"/>
    <w:rsid w:val="00650D9E"/>
    <w:rsid w:val="00650E4B"/>
    <w:rsid w:val="00650E6A"/>
    <w:rsid w:val="00650ED5"/>
    <w:rsid w:val="00650F13"/>
    <w:rsid w:val="00650F18"/>
    <w:rsid w:val="00650F1A"/>
    <w:rsid w:val="00650F2C"/>
    <w:rsid w:val="00650F77"/>
    <w:rsid w:val="00650FD7"/>
    <w:rsid w:val="0065114E"/>
    <w:rsid w:val="00651168"/>
    <w:rsid w:val="006512B4"/>
    <w:rsid w:val="006512D1"/>
    <w:rsid w:val="00651433"/>
    <w:rsid w:val="00651513"/>
    <w:rsid w:val="00651599"/>
    <w:rsid w:val="00651618"/>
    <w:rsid w:val="006516F1"/>
    <w:rsid w:val="006518F5"/>
    <w:rsid w:val="00651993"/>
    <w:rsid w:val="00651A1E"/>
    <w:rsid w:val="00651A5E"/>
    <w:rsid w:val="00651AC6"/>
    <w:rsid w:val="00651AC8"/>
    <w:rsid w:val="00651ACE"/>
    <w:rsid w:val="00651AD9"/>
    <w:rsid w:val="00651AF0"/>
    <w:rsid w:val="00651C70"/>
    <w:rsid w:val="00651C91"/>
    <w:rsid w:val="00651D60"/>
    <w:rsid w:val="00651DED"/>
    <w:rsid w:val="00651E0C"/>
    <w:rsid w:val="00651E5A"/>
    <w:rsid w:val="00651E78"/>
    <w:rsid w:val="00651FE4"/>
    <w:rsid w:val="0065200F"/>
    <w:rsid w:val="00652057"/>
    <w:rsid w:val="006521D6"/>
    <w:rsid w:val="00652351"/>
    <w:rsid w:val="0065238D"/>
    <w:rsid w:val="0065241C"/>
    <w:rsid w:val="00652452"/>
    <w:rsid w:val="00652575"/>
    <w:rsid w:val="00652822"/>
    <w:rsid w:val="006528ED"/>
    <w:rsid w:val="0065298E"/>
    <w:rsid w:val="00652A2B"/>
    <w:rsid w:val="00652AF9"/>
    <w:rsid w:val="00652B13"/>
    <w:rsid w:val="00652B2E"/>
    <w:rsid w:val="00652BA1"/>
    <w:rsid w:val="00652C02"/>
    <w:rsid w:val="00652C80"/>
    <w:rsid w:val="00652D0F"/>
    <w:rsid w:val="00652D67"/>
    <w:rsid w:val="00652D91"/>
    <w:rsid w:val="00652DB1"/>
    <w:rsid w:val="00652DFB"/>
    <w:rsid w:val="00652DFE"/>
    <w:rsid w:val="00652EA3"/>
    <w:rsid w:val="00652FE5"/>
    <w:rsid w:val="006530E6"/>
    <w:rsid w:val="006530F1"/>
    <w:rsid w:val="0065310F"/>
    <w:rsid w:val="006531C4"/>
    <w:rsid w:val="00653250"/>
    <w:rsid w:val="00653298"/>
    <w:rsid w:val="006532F0"/>
    <w:rsid w:val="00653354"/>
    <w:rsid w:val="00653398"/>
    <w:rsid w:val="006534B6"/>
    <w:rsid w:val="006534F1"/>
    <w:rsid w:val="00653516"/>
    <w:rsid w:val="00653622"/>
    <w:rsid w:val="00653797"/>
    <w:rsid w:val="006537B4"/>
    <w:rsid w:val="00653836"/>
    <w:rsid w:val="00653A52"/>
    <w:rsid w:val="00653B21"/>
    <w:rsid w:val="00653B4B"/>
    <w:rsid w:val="00653BCB"/>
    <w:rsid w:val="00653C06"/>
    <w:rsid w:val="00653C10"/>
    <w:rsid w:val="00653C6F"/>
    <w:rsid w:val="00653CE9"/>
    <w:rsid w:val="00653DB5"/>
    <w:rsid w:val="00653DBE"/>
    <w:rsid w:val="00653DD0"/>
    <w:rsid w:val="00653E38"/>
    <w:rsid w:val="00653ECB"/>
    <w:rsid w:val="00653EE0"/>
    <w:rsid w:val="00653F72"/>
    <w:rsid w:val="00653FC9"/>
    <w:rsid w:val="00654045"/>
    <w:rsid w:val="006540D9"/>
    <w:rsid w:val="006540DC"/>
    <w:rsid w:val="0065411C"/>
    <w:rsid w:val="0065416C"/>
    <w:rsid w:val="0065420E"/>
    <w:rsid w:val="006542F2"/>
    <w:rsid w:val="00654300"/>
    <w:rsid w:val="00654307"/>
    <w:rsid w:val="0065435E"/>
    <w:rsid w:val="0065438D"/>
    <w:rsid w:val="006543B5"/>
    <w:rsid w:val="00654425"/>
    <w:rsid w:val="006544FE"/>
    <w:rsid w:val="00654516"/>
    <w:rsid w:val="00654535"/>
    <w:rsid w:val="006545C1"/>
    <w:rsid w:val="006545D0"/>
    <w:rsid w:val="006546B9"/>
    <w:rsid w:val="006546C3"/>
    <w:rsid w:val="00654731"/>
    <w:rsid w:val="0065473B"/>
    <w:rsid w:val="006547FD"/>
    <w:rsid w:val="006548D7"/>
    <w:rsid w:val="006549E5"/>
    <w:rsid w:val="006549FE"/>
    <w:rsid w:val="00654A00"/>
    <w:rsid w:val="00654A20"/>
    <w:rsid w:val="00654AD1"/>
    <w:rsid w:val="00654AF7"/>
    <w:rsid w:val="00654B00"/>
    <w:rsid w:val="00654BC3"/>
    <w:rsid w:val="00654BCD"/>
    <w:rsid w:val="00654C01"/>
    <w:rsid w:val="00654D88"/>
    <w:rsid w:val="00654D9F"/>
    <w:rsid w:val="00654E0B"/>
    <w:rsid w:val="00654E7A"/>
    <w:rsid w:val="00655001"/>
    <w:rsid w:val="0065517E"/>
    <w:rsid w:val="00655198"/>
    <w:rsid w:val="00655306"/>
    <w:rsid w:val="00655442"/>
    <w:rsid w:val="006554A9"/>
    <w:rsid w:val="006554B9"/>
    <w:rsid w:val="006555B3"/>
    <w:rsid w:val="00655688"/>
    <w:rsid w:val="00655804"/>
    <w:rsid w:val="00655839"/>
    <w:rsid w:val="00655907"/>
    <w:rsid w:val="00655967"/>
    <w:rsid w:val="006559CD"/>
    <w:rsid w:val="00655B65"/>
    <w:rsid w:val="00655BE1"/>
    <w:rsid w:val="00655C19"/>
    <w:rsid w:val="00655C59"/>
    <w:rsid w:val="00655D68"/>
    <w:rsid w:val="00655E3B"/>
    <w:rsid w:val="00655F32"/>
    <w:rsid w:val="0065601A"/>
    <w:rsid w:val="006560A5"/>
    <w:rsid w:val="00656329"/>
    <w:rsid w:val="00656348"/>
    <w:rsid w:val="00656353"/>
    <w:rsid w:val="00656458"/>
    <w:rsid w:val="0065656D"/>
    <w:rsid w:val="00656573"/>
    <w:rsid w:val="006565D9"/>
    <w:rsid w:val="0065660B"/>
    <w:rsid w:val="0065660D"/>
    <w:rsid w:val="00656631"/>
    <w:rsid w:val="006566A5"/>
    <w:rsid w:val="006566E2"/>
    <w:rsid w:val="00656752"/>
    <w:rsid w:val="006567BF"/>
    <w:rsid w:val="0065682E"/>
    <w:rsid w:val="006568CD"/>
    <w:rsid w:val="00656905"/>
    <w:rsid w:val="00656949"/>
    <w:rsid w:val="006569AD"/>
    <w:rsid w:val="006569D9"/>
    <w:rsid w:val="00656A60"/>
    <w:rsid w:val="00656C32"/>
    <w:rsid w:val="00656C41"/>
    <w:rsid w:val="00656C8B"/>
    <w:rsid w:val="00656D46"/>
    <w:rsid w:val="00656D84"/>
    <w:rsid w:val="00656DA4"/>
    <w:rsid w:val="00656DBD"/>
    <w:rsid w:val="00656EFF"/>
    <w:rsid w:val="00656F7F"/>
    <w:rsid w:val="00656FCC"/>
    <w:rsid w:val="006571CA"/>
    <w:rsid w:val="0065726D"/>
    <w:rsid w:val="00657377"/>
    <w:rsid w:val="00657400"/>
    <w:rsid w:val="00657575"/>
    <w:rsid w:val="00657591"/>
    <w:rsid w:val="0065777C"/>
    <w:rsid w:val="0065779C"/>
    <w:rsid w:val="006577DC"/>
    <w:rsid w:val="006577FC"/>
    <w:rsid w:val="006578C0"/>
    <w:rsid w:val="00657907"/>
    <w:rsid w:val="0065792C"/>
    <w:rsid w:val="00657A97"/>
    <w:rsid w:val="00657AEB"/>
    <w:rsid w:val="00657B62"/>
    <w:rsid w:val="00657B81"/>
    <w:rsid w:val="00657BBB"/>
    <w:rsid w:val="00657BC7"/>
    <w:rsid w:val="00657C27"/>
    <w:rsid w:val="00657C85"/>
    <w:rsid w:val="00657EC9"/>
    <w:rsid w:val="00657F51"/>
    <w:rsid w:val="00657F74"/>
    <w:rsid w:val="00657F9E"/>
    <w:rsid w:val="00657FE7"/>
    <w:rsid w:val="00660212"/>
    <w:rsid w:val="006603D0"/>
    <w:rsid w:val="00660423"/>
    <w:rsid w:val="00660434"/>
    <w:rsid w:val="006604A9"/>
    <w:rsid w:val="006604B2"/>
    <w:rsid w:val="00660549"/>
    <w:rsid w:val="00660591"/>
    <w:rsid w:val="006605E6"/>
    <w:rsid w:val="00660665"/>
    <w:rsid w:val="00660692"/>
    <w:rsid w:val="00660694"/>
    <w:rsid w:val="006606BE"/>
    <w:rsid w:val="0066071B"/>
    <w:rsid w:val="00660805"/>
    <w:rsid w:val="00660807"/>
    <w:rsid w:val="0066083A"/>
    <w:rsid w:val="0066083D"/>
    <w:rsid w:val="00660873"/>
    <w:rsid w:val="00660876"/>
    <w:rsid w:val="006608A9"/>
    <w:rsid w:val="006608B3"/>
    <w:rsid w:val="00660A2F"/>
    <w:rsid w:val="00660A36"/>
    <w:rsid w:val="00660A7B"/>
    <w:rsid w:val="00660BF0"/>
    <w:rsid w:val="00660CA0"/>
    <w:rsid w:val="00660CB4"/>
    <w:rsid w:val="00660D07"/>
    <w:rsid w:val="00660D47"/>
    <w:rsid w:val="00660DA9"/>
    <w:rsid w:val="00660DCA"/>
    <w:rsid w:val="00660FDD"/>
    <w:rsid w:val="006610C3"/>
    <w:rsid w:val="00661132"/>
    <w:rsid w:val="006611FF"/>
    <w:rsid w:val="00661258"/>
    <w:rsid w:val="0066129F"/>
    <w:rsid w:val="006614DA"/>
    <w:rsid w:val="00661507"/>
    <w:rsid w:val="006615CD"/>
    <w:rsid w:val="0066160B"/>
    <w:rsid w:val="006617A1"/>
    <w:rsid w:val="00661857"/>
    <w:rsid w:val="00661868"/>
    <w:rsid w:val="006618D0"/>
    <w:rsid w:val="0066190D"/>
    <w:rsid w:val="0066194D"/>
    <w:rsid w:val="006619F5"/>
    <w:rsid w:val="006619FD"/>
    <w:rsid w:val="006619FF"/>
    <w:rsid w:val="00661A9C"/>
    <w:rsid w:val="00661ACB"/>
    <w:rsid w:val="00661AFD"/>
    <w:rsid w:val="00661BE9"/>
    <w:rsid w:val="00661DC7"/>
    <w:rsid w:val="00661DD8"/>
    <w:rsid w:val="00661DF3"/>
    <w:rsid w:val="00661E83"/>
    <w:rsid w:val="00661EF9"/>
    <w:rsid w:val="0066201F"/>
    <w:rsid w:val="00662027"/>
    <w:rsid w:val="00662040"/>
    <w:rsid w:val="00662051"/>
    <w:rsid w:val="00662091"/>
    <w:rsid w:val="00662094"/>
    <w:rsid w:val="006620AD"/>
    <w:rsid w:val="0066212E"/>
    <w:rsid w:val="0066213B"/>
    <w:rsid w:val="0066220E"/>
    <w:rsid w:val="0066224F"/>
    <w:rsid w:val="006622CD"/>
    <w:rsid w:val="0066232F"/>
    <w:rsid w:val="006623F9"/>
    <w:rsid w:val="006624A8"/>
    <w:rsid w:val="006624AB"/>
    <w:rsid w:val="006624F5"/>
    <w:rsid w:val="0066253C"/>
    <w:rsid w:val="0066256D"/>
    <w:rsid w:val="0066257B"/>
    <w:rsid w:val="006625F8"/>
    <w:rsid w:val="00662661"/>
    <w:rsid w:val="006626C2"/>
    <w:rsid w:val="006626DB"/>
    <w:rsid w:val="00662707"/>
    <w:rsid w:val="00662762"/>
    <w:rsid w:val="006628A8"/>
    <w:rsid w:val="00662B2E"/>
    <w:rsid w:val="00662B63"/>
    <w:rsid w:val="00662C7F"/>
    <w:rsid w:val="00662C81"/>
    <w:rsid w:val="00662CF2"/>
    <w:rsid w:val="00662D0F"/>
    <w:rsid w:val="00662FFB"/>
    <w:rsid w:val="00663038"/>
    <w:rsid w:val="006632CD"/>
    <w:rsid w:val="006632E5"/>
    <w:rsid w:val="00663400"/>
    <w:rsid w:val="00663469"/>
    <w:rsid w:val="0066348F"/>
    <w:rsid w:val="006634FE"/>
    <w:rsid w:val="00663512"/>
    <w:rsid w:val="0066351A"/>
    <w:rsid w:val="00663550"/>
    <w:rsid w:val="006636B3"/>
    <w:rsid w:val="0066383A"/>
    <w:rsid w:val="006638DD"/>
    <w:rsid w:val="00663AE5"/>
    <w:rsid w:val="00663B28"/>
    <w:rsid w:val="00663BFC"/>
    <w:rsid w:val="00663C7C"/>
    <w:rsid w:val="00663E48"/>
    <w:rsid w:val="00663F6B"/>
    <w:rsid w:val="0066402F"/>
    <w:rsid w:val="00664113"/>
    <w:rsid w:val="0066422F"/>
    <w:rsid w:val="0066425F"/>
    <w:rsid w:val="0066427C"/>
    <w:rsid w:val="00664291"/>
    <w:rsid w:val="006642A6"/>
    <w:rsid w:val="00664338"/>
    <w:rsid w:val="006643E4"/>
    <w:rsid w:val="00664449"/>
    <w:rsid w:val="006644A7"/>
    <w:rsid w:val="006645B9"/>
    <w:rsid w:val="00664674"/>
    <w:rsid w:val="006646F6"/>
    <w:rsid w:val="00664718"/>
    <w:rsid w:val="0066473E"/>
    <w:rsid w:val="00664820"/>
    <w:rsid w:val="006648C1"/>
    <w:rsid w:val="006648D6"/>
    <w:rsid w:val="0066491D"/>
    <w:rsid w:val="006649FB"/>
    <w:rsid w:val="00664AA2"/>
    <w:rsid w:val="00664AF2"/>
    <w:rsid w:val="00664B42"/>
    <w:rsid w:val="00664CDD"/>
    <w:rsid w:val="00664D55"/>
    <w:rsid w:val="00664D85"/>
    <w:rsid w:val="00664DE2"/>
    <w:rsid w:val="00664DE6"/>
    <w:rsid w:val="00664E47"/>
    <w:rsid w:val="00664E58"/>
    <w:rsid w:val="00664E92"/>
    <w:rsid w:val="00664EC3"/>
    <w:rsid w:val="00664F39"/>
    <w:rsid w:val="00664FBF"/>
    <w:rsid w:val="0066509B"/>
    <w:rsid w:val="0066528B"/>
    <w:rsid w:val="006652A9"/>
    <w:rsid w:val="0066530F"/>
    <w:rsid w:val="00665322"/>
    <w:rsid w:val="006653F7"/>
    <w:rsid w:val="006653FF"/>
    <w:rsid w:val="00665416"/>
    <w:rsid w:val="0066560B"/>
    <w:rsid w:val="00665628"/>
    <w:rsid w:val="0066563F"/>
    <w:rsid w:val="006656FE"/>
    <w:rsid w:val="00665722"/>
    <w:rsid w:val="00665808"/>
    <w:rsid w:val="00665814"/>
    <w:rsid w:val="00665992"/>
    <w:rsid w:val="006659BA"/>
    <w:rsid w:val="00665A02"/>
    <w:rsid w:val="00665A07"/>
    <w:rsid w:val="00665A5B"/>
    <w:rsid w:val="00665A65"/>
    <w:rsid w:val="00665A84"/>
    <w:rsid w:val="00665BE0"/>
    <w:rsid w:val="00665C3C"/>
    <w:rsid w:val="00665C5D"/>
    <w:rsid w:val="00665DB5"/>
    <w:rsid w:val="00665DC3"/>
    <w:rsid w:val="00665DFA"/>
    <w:rsid w:val="00665E2F"/>
    <w:rsid w:val="00665F91"/>
    <w:rsid w:val="00665FC1"/>
    <w:rsid w:val="00665FF2"/>
    <w:rsid w:val="0066602F"/>
    <w:rsid w:val="006660FA"/>
    <w:rsid w:val="00666104"/>
    <w:rsid w:val="006662A3"/>
    <w:rsid w:val="006662D8"/>
    <w:rsid w:val="0066630E"/>
    <w:rsid w:val="006663F6"/>
    <w:rsid w:val="006663F9"/>
    <w:rsid w:val="00666537"/>
    <w:rsid w:val="006666FA"/>
    <w:rsid w:val="00666710"/>
    <w:rsid w:val="00666717"/>
    <w:rsid w:val="00666888"/>
    <w:rsid w:val="006668BE"/>
    <w:rsid w:val="006668E4"/>
    <w:rsid w:val="006668ED"/>
    <w:rsid w:val="00666965"/>
    <w:rsid w:val="00666995"/>
    <w:rsid w:val="006669AA"/>
    <w:rsid w:val="00666A65"/>
    <w:rsid w:val="00666B61"/>
    <w:rsid w:val="00666C56"/>
    <w:rsid w:val="00666C5D"/>
    <w:rsid w:val="00666C63"/>
    <w:rsid w:val="00666CCD"/>
    <w:rsid w:val="00666D4F"/>
    <w:rsid w:val="00666D76"/>
    <w:rsid w:val="00666D94"/>
    <w:rsid w:val="00666DE8"/>
    <w:rsid w:val="00666E6C"/>
    <w:rsid w:val="00666FFB"/>
    <w:rsid w:val="00667033"/>
    <w:rsid w:val="00667041"/>
    <w:rsid w:val="0066705C"/>
    <w:rsid w:val="00667169"/>
    <w:rsid w:val="00667174"/>
    <w:rsid w:val="00667203"/>
    <w:rsid w:val="00667284"/>
    <w:rsid w:val="0066733B"/>
    <w:rsid w:val="006673D2"/>
    <w:rsid w:val="0066746F"/>
    <w:rsid w:val="006674D7"/>
    <w:rsid w:val="006674DE"/>
    <w:rsid w:val="006674FD"/>
    <w:rsid w:val="006675C1"/>
    <w:rsid w:val="006675E8"/>
    <w:rsid w:val="006675EA"/>
    <w:rsid w:val="006676A5"/>
    <w:rsid w:val="00667899"/>
    <w:rsid w:val="006678AD"/>
    <w:rsid w:val="006678D5"/>
    <w:rsid w:val="006679A7"/>
    <w:rsid w:val="006679C5"/>
    <w:rsid w:val="00667AA4"/>
    <w:rsid w:val="00667B06"/>
    <w:rsid w:val="00667B26"/>
    <w:rsid w:val="00667BCC"/>
    <w:rsid w:val="00667C3D"/>
    <w:rsid w:val="00667D5E"/>
    <w:rsid w:val="00667D9C"/>
    <w:rsid w:val="00667DB4"/>
    <w:rsid w:val="00667E6E"/>
    <w:rsid w:val="00667F69"/>
    <w:rsid w:val="0067002B"/>
    <w:rsid w:val="00670038"/>
    <w:rsid w:val="006701CA"/>
    <w:rsid w:val="00670235"/>
    <w:rsid w:val="00670254"/>
    <w:rsid w:val="006702A3"/>
    <w:rsid w:val="00670318"/>
    <w:rsid w:val="0067031D"/>
    <w:rsid w:val="0067037D"/>
    <w:rsid w:val="00670391"/>
    <w:rsid w:val="0067039E"/>
    <w:rsid w:val="006703AE"/>
    <w:rsid w:val="006703D4"/>
    <w:rsid w:val="006703EB"/>
    <w:rsid w:val="00670421"/>
    <w:rsid w:val="00670531"/>
    <w:rsid w:val="0067069C"/>
    <w:rsid w:val="00670715"/>
    <w:rsid w:val="00670717"/>
    <w:rsid w:val="00670825"/>
    <w:rsid w:val="00670933"/>
    <w:rsid w:val="00670986"/>
    <w:rsid w:val="00670988"/>
    <w:rsid w:val="006709F9"/>
    <w:rsid w:val="00670A71"/>
    <w:rsid w:val="00670B1B"/>
    <w:rsid w:val="00670BE8"/>
    <w:rsid w:val="00670C02"/>
    <w:rsid w:val="00670CBC"/>
    <w:rsid w:val="00670CDA"/>
    <w:rsid w:val="00670D3B"/>
    <w:rsid w:val="00670D49"/>
    <w:rsid w:val="00670DCF"/>
    <w:rsid w:val="00670E8E"/>
    <w:rsid w:val="00670EB0"/>
    <w:rsid w:val="00670EBC"/>
    <w:rsid w:val="00670EF4"/>
    <w:rsid w:val="00670F85"/>
    <w:rsid w:val="00670FE5"/>
    <w:rsid w:val="00671013"/>
    <w:rsid w:val="00671092"/>
    <w:rsid w:val="0067109A"/>
    <w:rsid w:val="006710D2"/>
    <w:rsid w:val="00671118"/>
    <w:rsid w:val="00671221"/>
    <w:rsid w:val="00671285"/>
    <w:rsid w:val="006712DE"/>
    <w:rsid w:val="0067131C"/>
    <w:rsid w:val="006713BB"/>
    <w:rsid w:val="006713E5"/>
    <w:rsid w:val="00671414"/>
    <w:rsid w:val="00671443"/>
    <w:rsid w:val="0067146A"/>
    <w:rsid w:val="00671470"/>
    <w:rsid w:val="006714A6"/>
    <w:rsid w:val="006714D6"/>
    <w:rsid w:val="006714E7"/>
    <w:rsid w:val="0067154C"/>
    <w:rsid w:val="006715B4"/>
    <w:rsid w:val="00671635"/>
    <w:rsid w:val="006716ED"/>
    <w:rsid w:val="006717F3"/>
    <w:rsid w:val="006717F8"/>
    <w:rsid w:val="0067183D"/>
    <w:rsid w:val="00671BAF"/>
    <w:rsid w:val="00671C50"/>
    <w:rsid w:val="00671C99"/>
    <w:rsid w:val="00671CE5"/>
    <w:rsid w:val="00671D06"/>
    <w:rsid w:val="00671E56"/>
    <w:rsid w:val="00671F48"/>
    <w:rsid w:val="00671FFC"/>
    <w:rsid w:val="0067203A"/>
    <w:rsid w:val="00672094"/>
    <w:rsid w:val="006720B2"/>
    <w:rsid w:val="00672149"/>
    <w:rsid w:val="0067219A"/>
    <w:rsid w:val="006721A2"/>
    <w:rsid w:val="006721E3"/>
    <w:rsid w:val="00672267"/>
    <w:rsid w:val="00672269"/>
    <w:rsid w:val="006722DB"/>
    <w:rsid w:val="006722FE"/>
    <w:rsid w:val="00672320"/>
    <w:rsid w:val="00672323"/>
    <w:rsid w:val="0067232D"/>
    <w:rsid w:val="006723D0"/>
    <w:rsid w:val="00672410"/>
    <w:rsid w:val="006724D4"/>
    <w:rsid w:val="006726B9"/>
    <w:rsid w:val="00672752"/>
    <w:rsid w:val="00672766"/>
    <w:rsid w:val="00672808"/>
    <w:rsid w:val="00672932"/>
    <w:rsid w:val="00672A7E"/>
    <w:rsid w:val="00672AC0"/>
    <w:rsid w:val="00672B27"/>
    <w:rsid w:val="00672C75"/>
    <w:rsid w:val="00672D2B"/>
    <w:rsid w:val="00672DA0"/>
    <w:rsid w:val="00672DB8"/>
    <w:rsid w:val="00672E68"/>
    <w:rsid w:val="00672E98"/>
    <w:rsid w:val="00672ECB"/>
    <w:rsid w:val="00672F9F"/>
    <w:rsid w:val="0067303B"/>
    <w:rsid w:val="00673068"/>
    <w:rsid w:val="00673113"/>
    <w:rsid w:val="0067311D"/>
    <w:rsid w:val="00673156"/>
    <w:rsid w:val="006731A6"/>
    <w:rsid w:val="006731E7"/>
    <w:rsid w:val="00673248"/>
    <w:rsid w:val="006732CD"/>
    <w:rsid w:val="00673384"/>
    <w:rsid w:val="006733B0"/>
    <w:rsid w:val="006733CB"/>
    <w:rsid w:val="0067352C"/>
    <w:rsid w:val="0067352E"/>
    <w:rsid w:val="00673575"/>
    <w:rsid w:val="00673687"/>
    <w:rsid w:val="00673789"/>
    <w:rsid w:val="006737D9"/>
    <w:rsid w:val="00673866"/>
    <w:rsid w:val="0067390F"/>
    <w:rsid w:val="0067395E"/>
    <w:rsid w:val="00673A0C"/>
    <w:rsid w:val="00673A5B"/>
    <w:rsid w:val="00673A82"/>
    <w:rsid w:val="00673AF0"/>
    <w:rsid w:val="00673B7B"/>
    <w:rsid w:val="00673B8D"/>
    <w:rsid w:val="00673C17"/>
    <w:rsid w:val="00673C91"/>
    <w:rsid w:val="00673D98"/>
    <w:rsid w:val="00673DFA"/>
    <w:rsid w:val="00673E09"/>
    <w:rsid w:val="00673E11"/>
    <w:rsid w:val="00673E34"/>
    <w:rsid w:val="00673EBE"/>
    <w:rsid w:val="00673F89"/>
    <w:rsid w:val="00673FB1"/>
    <w:rsid w:val="006740EB"/>
    <w:rsid w:val="0067415A"/>
    <w:rsid w:val="006741FC"/>
    <w:rsid w:val="00674286"/>
    <w:rsid w:val="00674366"/>
    <w:rsid w:val="0067438A"/>
    <w:rsid w:val="006743D5"/>
    <w:rsid w:val="00674555"/>
    <w:rsid w:val="006745FD"/>
    <w:rsid w:val="00674673"/>
    <w:rsid w:val="006746B8"/>
    <w:rsid w:val="00674855"/>
    <w:rsid w:val="00674884"/>
    <w:rsid w:val="00674899"/>
    <w:rsid w:val="006748D1"/>
    <w:rsid w:val="006748D2"/>
    <w:rsid w:val="00674B1F"/>
    <w:rsid w:val="00674B53"/>
    <w:rsid w:val="00674C31"/>
    <w:rsid w:val="00674CDD"/>
    <w:rsid w:val="00674D32"/>
    <w:rsid w:val="00674D57"/>
    <w:rsid w:val="00674DB1"/>
    <w:rsid w:val="00674DCB"/>
    <w:rsid w:val="00674E09"/>
    <w:rsid w:val="00674E6B"/>
    <w:rsid w:val="00674EA2"/>
    <w:rsid w:val="00674F6B"/>
    <w:rsid w:val="0067514F"/>
    <w:rsid w:val="006751D1"/>
    <w:rsid w:val="00675260"/>
    <w:rsid w:val="006752E2"/>
    <w:rsid w:val="006752F8"/>
    <w:rsid w:val="00675328"/>
    <w:rsid w:val="00675390"/>
    <w:rsid w:val="006753C1"/>
    <w:rsid w:val="00675416"/>
    <w:rsid w:val="006754D2"/>
    <w:rsid w:val="00675529"/>
    <w:rsid w:val="00675640"/>
    <w:rsid w:val="00675685"/>
    <w:rsid w:val="006756AE"/>
    <w:rsid w:val="006756D8"/>
    <w:rsid w:val="00675811"/>
    <w:rsid w:val="00675847"/>
    <w:rsid w:val="00675868"/>
    <w:rsid w:val="006759AB"/>
    <w:rsid w:val="00675A09"/>
    <w:rsid w:val="00675ABA"/>
    <w:rsid w:val="00675B35"/>
    <w:rsid w:val="00675B3B"/>
    <w:rsid w:val="00675B53"/>
    <w:rsid w:val="00675BBF"/>
    <w:rsid w:val="00675C3B"/>
    <w:rsid w:val="00675C54"/>
    <w:rsid w:val="00675C73"/>
    <w:rsid w:val="00675CC1"/>
    <w:rsid w:val="00675D72"/>
    <w:rsid w:val="00675E5F"/>
    <w:rsid w:val="00675FAE"/>
    <w:rsid w:val="00675FC0"/>
    <w:rsid w:val="00675FD5"/>
    <w:rsid w:val="00676074"/>
    <w:rsid w:val="006760FB"/>
    <w:rsid w:val="00676105"/>
    <w:rsid w:val="006761AD"/>
    <w:rsid w:val="00676354"/>
    <w:rsid w:val="00676422"/>
    <w:rsid w:val="00676526"/>
    <w:rsid w:val="00676559"/>
    <w:rsid w:val="0067658A"/>
    <w:rsid w:val="00676732"/>
    <w:rsid w:val="006767A8"/>
    <w:rsid w:val="006767DA"/>
    <w:rsid w:val="00676811"/>
    <w:rsid w:val="0067689F"/>
    <w:rsid w:val="006768BF"/>
    <w:rsid w:val="006768E0"/>
    <w:rsid w:val="006768E3"/>
    <w:rsid w:val="006768E4"/>
    <w:rsid w:val="006768FE"/>
    <w:rsid w:val="00676903"/>
    <w:rsid w:val="00676916"/>
    <w:rsid w:val="00676967"/>
    <w:rsid w:val="00676979"/>
    <w:rsid w:val="00676A90"/>
    <w:rsid w:val="00676B4C"/>
    <w:rsid w:val="00676B5C"/>
    <w:rsid w:val="00676B64"/>
    <w:rsid w:val="00676BF2"/>
    <w:rsid w:val="00676C37"/>
    <w:rsid w:val="00676C3E"/>
    <w:rsid w:val="00676CB6"/>
    <w:rsid w:val="00676CEA"/>
    <w:rsid w:val="00676D52"/>
    <w:rsid w:val="00676E88"/>
    <w:rsid w:val="00676F96"/>
    <w:rsid w:val="00676F9D"/>
    <w:rsid w:val="00676FA7"/>
    <w:rsid w:val="00676FA8"/>
    <w:rsid w:val="00676FD5"/>
    <w:rsid w:val="00677015"/>
    <w:rsid w:val="00677098"/>
    <w:rsid w:val="006770AC"/>
    <w:rsid w:val="00677120"/>
    <w:rsid w:val="00677150"/>
    <w:rsid w:val="00677180"/>
    <w:rsid w:val="006771D0"/>
    <w:rsid w:val="006771DF"/>
    <w:rsid w:val="00677237"/>
    <w:rsid w:val="0067724B"/>
    <w:rsid w:val="00677362"/>
    <w:rsid w:val="006773A7"/>
    <w:rsid w:val="006773B6"/>
    <w:rsid w:val="00677468"/>
    <w:rsid w:val="00677563"/>
    <w:rsid w:val="0067761B"/>
    <w:rsid w:val="0067765C"/>
    <w:rsid w:val="0067765F"/>
    <w:rsid w:val="00677695"/>
    <w:rsid w:val="006777BD"/>
    <w:rsid w:val="006777DB"/>
    <w:rsid w:val="00677812"/>
    <w:rsid w:val="006778B8"/>
    <w:rsid w:val="0067794B"/>
    <w:rsid w:val="006779A1"/>
    <w:rsid w:val="00677A1A"/>
    <w:rsid w:val="00677A6C"/>
    <w:rsid w:val="00677BD4"/>
    <w:rsid w:val="00677BDF"/>
    <w:rsid w:val="00677C51"/>
    <w:rsid w:val="00677CCD"/>
    <w:rsid w:val="00677D96"/>
    <w:rsid w:val="00677E71"/>
    <w:rsid w:val="00677F0C"/>
    <w:rsid w:val="00677F76"/>
    <w:rsid w:val="00680008"/>
    <w:rsid w:val="00680085"/>
    <w:rsid w:val="006801C4"/>
    <w:rsid w:val="0068020C"/>
    <w:rsid w:val="00680225"/>
    <w:rsid w:val="006802B8"/>
    <w:rsid w:val="0068031F"/>
    <w:rsid w:val="006803F2"/>
    <w:rsid w:val="006804B0"/>
    <w:rsid w:val="0068066C"/>
    <w:rsid w:val="00680703"/>
    <w:rsid w:val="00680718"/>
    <w:rsid w:val="006808B9"/>
    <w:rsid w:val="006808DB"/>
    <w:rsid w:val="00680962"/>
    <w:rsid w:val="006809F8"/>
    <w:rsid w:val="00680A3E"/>
    <w:rsid w:val="00680C0F"/>
    <w:rsid w:val="00680D4F"/>
    <w:rsid w:val="00680DA0"/>
    <w:rsid w:val="00680DEF"/>
    <w:rsid w:val="00680E9E"/>
    <w:rsid w:val="00680F1C"/>
    <w:rsid w:val="00680F43"/>
    <w:rsid w:val="00680FC4"/>
    <w:rsid w:val="00681020"/>
    <w:rsid w:val="00681032"/>
    <w:rsid w:val="00681047"/>
    <w:rsid w:val="006810E6"/>
    <w:rsid w:val="00681106"/>
    <w:rsid w:val="006812DF"/>
    <w:rsid w:val="0068135D"/>
    <w:rsid w:val="006813F7"/>
    <w:rsid w:val="00681433"/>
    <w:rsid w:val="0068146F"/>
    <w:rsid w:val="006814CE"/>
    <w:rsid w:val="0068153A"/>
    <w:rsid w:val="00681637"/>
    <w:rsid w:val="0068166C"/>
    <w:rsid w:val="006816A4"/>
    <w:rsid w:val="006816EA"/>
    <w:rsid w:val="006817B4"/>
    <w:rsid w:val="006817E0"/>
    <w:rsid w:val="006817F2"/>
    <w:rsid w:val="006818BC"/>
    <w:rsid w:val="006818F7"/>
    <w:rsid w:val="006818F9"/>
    <w:rsid w:val="00681944"/>
    <w:rsid w:val="006819A8"/>
    <w:rsid w:val="006819D5"/>
    <w:rsid w:val="00681A67"/>
    <w:rsid w:val="00681A87"/>
    <w:rsid w:val="00681ACE"/>
    <w:rsid w:val="00681B65"/>
    <w:rsid w:val="00681B87"/>
    <w:rsid w:val="00681BDE"/>
    <w:rsid w:val="00681C0D"/>
    <w:rsid w:val="00681C1F"/>
    <w:rsid w:val="00681C5D"/>
    <w:rsid w:val="00681C83"/>
    <w:rsid w:val="00681CEA"/>
    <w:rsid w:val="00681D0C"/>
    <w:rsid w:val="00681D2F"/>
    <w:rsid w:val="00681D54"/>
    <w:rsid w:val="00681E9E"/>
    <w:rsid w:val="00681F9D"/>
    <w:rsid w:val="00682021"/>
    <w:rsid w:val="00682074"/>
    <w:rsid w:val="00682190"/>
    <w:rsid w:val="00682262"/>
    <w:rsid w:val="00682284"/>
    <w:rsid w:val="00682424"/>
    <w:rsid w:val="006824B9"/>
    <w:rsid w:val="006824E0"/>
    <w:rsid w:val="006824E8"/>
    <w:rsid w:val="006825FC"/>
    <w:rsid w:val="0068263F"/>
    <w:rsid w:val="0068265F"/>
    <w:rsid w:val="00682686"/>
    <w:rsid w:val="006826F2"/>
    <w:rsid w:val="006827BA"/>
    <w:rsid w:val="006827D0"/>
    <w:rsid w:val="00682801"/>
    <w:rsid w:val="00682934"/>
    <w:rsid w:val="00682977"/>
    <w:rsid w:val="00682B14"/>
    <w:rsid w:val="00682BF6"/>
    <w:rsid w:val="00682D00"/>
    <w:rsid w:val="00682D64"/>
    <w:rsid w:val="00682DA9"/>
    <w:rsid w:val="00682DD0"/>
    <w:rsid w:val="00682EE8"/>
    <w:rsid w:val="00682FD0"/>
    <w:rsid w:val="00683076"/>
    <w:rsid w:val="0068323E"/>
    <w:rsid w:val="00683252"/>
    <w:rsid w:val="00683293"/>
    <w:rsid w:val="006832D1"/>
    <w:rsid w:val="0068330E"/>
    <w:rsid w:val="00683312"/>
    <w:rsid w:val="00683373"/>
    <w:rsid w:val="00683459"/>
    <w:rsid w:val="0068350B"/>
    <w:rsid w:val="00683526"/>
    <w:rsid w:val="006835AD"/>
    <w:rsid w:val="006835E8"/>
    <w:rsid w:val="00683619"/>
    <w:rsid w:val="006836BB"/>
    <w:rsid w:val="006836D0"/>
    <w:rsid w:val="00683756"/>
    <w:rsid w:val="00683763"/>
    <w:rsid w:val="0068377B"/>
    <w:rsid w:val="00683785"/>
    <w:rsid w:val="00683809"/>
    <w:rsid w:val="00683885"/>
    <w:rsid w:val="006838E2"/>
    <w:rsid w:val="00683936"/>
    <w:rsid w:val="0068396A"/>
    <w:rsid w:val="006839A1"/>
    <w:rsid w:val="006839FB"/>
    <w:rsid w:val="00683A33"/>
    <w:rsid w:val="00683A74"/>
    <w:rsid w:val="00683A83"/>
    <w:rsid w:val="00683A98"/>
    <w:rsid w:val="00683AD4"/>
    <w:rsid w:val="00683AEC"/>
    <w:rsid w:val="00683B1E"/>
    <w:rsid w:val="00683BDE"/>
    <w:rsid w:val="00683CCD"/>
    <w:rsid w:val="00683D69"/>
    <w:rsid w:val="00683DD7"/>
    <w:rsid w:val="00683DF1"/>
    <w:rsid w:val="00683E07"/>
    <w:rsid w:val="00683E88"/>
    <w:rsid w:val="00683E95"/>
    <w:rsid w:val="00683EFF"/>
    <w:rsid w:val="00684063"/>
    <w:rsid w:val="00684076"/>
    <w:rsid w:val="0068408A"/>
    <w:rsid w:val="0068415E"/>
    <w:rsid w:val="0068416B"/>
    <w:rsid w:val="00684172"/>
    <w:rsid w:val="00684229"/>
    <w:rsid w:val="00684319"/>
    <w:rsid w:val="006843C0"/>
    <w:rsid w:val="0068448C"/>
    <w:rsid w:val="006844F4"/>
    <w:rsid w:val="00684511"/>
    <w:rsid w:val="00684708"/>
    <w:rsid w:val="0068470C"/>
    <w:rsid w:val="006847D8"/>
    <w:rsid w:val="00684834"/>
    <w:rsid w:val="006848E1"/>
    <w:rsid w:val="0068498D"/>
    <w:rsid w:val="006849B8"/>
    <w:rsid w:val="00684ABC"/>
    <w:rsid w:val="00684C46"/>
    <w:rsid w:val="00684D06"/>
    <w:rsid w:val="00684D11"/>
    <w:rsid w:val="00684E40"/>
    <w:rsid w:val="00684E55"/>
    <w:rsid w:val="00684F20"/>
    <w:rsid w:val="00684FF4"/>
    <w:rsid w:val="0068504B"/>
    <w:rsid w:val="0068505C"/>
    <w:rsid w:val="00685136"/>
    <w:rsid w:val="006851D5"/>
    <w:rsid w:val="0068527B"/>
    <w:rsid w:val="006852E6"/>
    <w:rsid w:val="006853F5"/>
    <w:rsid w:val="006856A7"/>
    <w:rsid w:val="006856DF"/>
    <w:rsid w:val="00685738"/>
    <w:rsid w:val="00685824"/>
    <w:rsid w:val="00685825"/>
    <w:rsid w:val="00685899"/>
    <w:rsid w:val="006859A6"/>
    <w:rsid w:val="006859D0"/>
    <w:rsid w:val="00685A91"/>
    <w:rsid w:val="00685B46"/>
    <w:rsid w:val="00685B8A"/>
    <w:rsid w:val="00685C99"/>
    <w:rsid w:val="00685E1A"/>
    <w:rsid w:val="00685F5F"/>
    <w:rsid w:val="00685F68"/>
    <w:rsid w:val="00685FBA"/>
    <w:rsid w:val="00685FF8"/>
    <w:rsid w:val="006860FC"/>
    <w:rsid w:val="00686172"/>
    <w:rsid w:val="0068618F"/>
    <w:rsid w:val="006861A9"/>
    <w:rsid w:val="00686230"/>
    <w:rsid w:val="0068625D"/>
    <w:rsid w:val="00686262"/>
    <w:rsid w:val="00686302"/>
    <w:rsid w:val="0068638E"/>
    <w:rsid w:val="0068644E"/>
    <w:rsid w:val="0068647E"/>
    <w:rsid w:val="006864DF"/>
    <w:rsid w:val="00686696"/>
    <w:rsid w:val="006866B1"/>
    <w:rsid w:val="00686813"/>
    <w:rsid w:val="0068682B"/>
    <w:rsid w:val="00686860"/>
    <w:rsid w:val="00686870"/>
    <w:rsid w:val="00686882"/>
    <w:rsid w:val="006868A5"/>
    <w:rsid w:val="006868FC"/>
    <w:rsid w:val="00686AD0"/>
    <w:rsid w:val="00686BC0"/>
    <w:rsid w:val="00686C5D"/>
    <w:rsid w:val="00686D49"/>
    <w:rsid w:val="00686E5C"/>
    <w:rsid w:val="00686EA0"/>
    <w:rsid w:val="00686EB2"/>
    <w:rsid w:val="00686F10"/>
    <w:rsid w:val="00686F16"/>
    <w:rsid w:val="00686F75"/>
    <w:rsid w:val="006870C4"/>
    <w:rsid w:val="0068710B"/>
    <w:rsid w:val="0068724D"/>
    <w:rsid w:val="006872B2"/>
    <w:rsid w:val="00687347"/>
    <w:rsid w:val="006873CC"/>
    <w:rsid w:val="0068741F"/>
    <w:rsid w:val="006874C3"/>
    <w:rsid w:val="006874E1"/>
    <w:rsid w:val="00687537"/>
    <w:rsid w:val="00687564"/>
    <w:rsid w:val="00687636"/>
    <w:rsid w:val="006876ED"/>
    <w:rsid w:val="00687711"/>
    <w:rsid w:val="0068774F"/>
    <w:rsid w:val="006877E2"/>
    <w:rsid w:val="006877E9"/>
    <w:rsid w:val="00687846"/>
    <w:rsid w:val="00687995"/>
    <w:rsid w:val="006879DA"/>
    <w:rsid w:val="00687ACA"/>
    <w:rsid w:val="00687B22"/>
    <w:rsid w:val="00687B5F"/>
    <w:rsid w:val="00687B85"/>
    <w:rsid w:val="00687B9B"/>
    <w:rsid w:val="00687BF4"/>
    <w:rsid w:val="00687C35"/>
    <w:rsid w:val="00687CE4"/>
    <w:rsid w:val="00687D2F"/>
    <w:rsid w:val="00687D34"/>
    <w:rsid w:val="00687DF2"/>
    <w:rsid w:val="00687E25"/>
    <w:rsid w:val="00687E37"/>
    <w:rsid w:val="00687EEF"/>
    <w:rsid w:val="006900C5"/>
    <w:rsid w:val="0069011D"/>
    <w:rsid w:val="0069012A"/>
    <w:rsid w:val="00690300"/>
    <w:rsid w:val="00690383"/>
    <w:rsid w:val="006903C4"/>
    <w:rsid w:val="00690464"/>
    <w:rsid w:val="006904A2"/>
    <w:rsid w:val="00690553"/>
    <w:rsid w:val="0069064E"/>
    <w:rsid w:val="00690714"/>
    <w:rsid w:val="006907DD"/>
    <w:rsid w:val="006907FF"/>
    <w:rsid w:val="006909E8"/>
    <w:rsid w:val="00690AD0"/>
    <w:rsid w:val="00690AE8"/>
    <w:rsid w:val="00690C5C"/>
    <w:rsid w:val="00690C8D"/>
    <w:rsid w:val="00690CB0"/>
    <w:rsid w:val="00690CC4"/>
    <w:rsid w:val="00690D05"/>
    <w:rsid w:val="00690EC9"/>
    <w:rsid w:val="00690EF0"/>
    <w:rsid w:val="0069104B"/>
    <w:rsid w:val="0069108F"/>
    <w:rsid w:val="006910C9"/>
    <w:rsid w:val="006912C9"/>
    <w:rsid w:val="00691312"/>
    <w:rsid w:val="006913CC"/>
    <w:rsid w:val="00691446"/>
    <w:rsid w:val="0069146D"/>
    <w:rsid w:val="006914CF"/>
    <w:rsid w:val="006914E1"/>
    <w:rsid w:val="00691597"/>
    <w:rsid w:val="006915C7"/>
    <w:rsid w:val="006915D3"/>
    <w:rsid w:val="006915D6"/>
    <w:rsid w:val="0069160E"/>
    <w:rsid w:val="006916C8"/>
    <w:rsid w:val="006916D0"/>
    <w:rsid w:val="00691792"/>
    <w:rsid w:val="006917BC"/>
    <w:rsid w:val="006917F3"/>
    <w:rsid w:val="00691871"/>
    <w:rsid w:val="00691A4D"/>
    <w:rsid w:val="00691AB1"/>
    <w:rsid w:val="00691ACB"/>
    <w:rsid w:val="00691B4D"/>
    <w:rsid w:val="00691BD4"/>
    <w:rsid w:val="00691DB4"/>
    <w:rsid w:val="00691E1B"/>
    <w:rsid w:val="00691E53"/>
    <w:rsid w:val="00691E76"/>
    <w:rsid w:val="00691EB8"/>
    <w:rsid w:val="00691EC8"/>
    <w:rsid w:val="00691ED5"/>
    <w:rsid w:val="00691F93"/>
    <w:rsid w:val="00691F96"/>
    <w:rsid w:val="006920DC"/>
    <w:rsid w:val="00692103"/>
    <w:rsid w:val="00692113"/>
    <w:rsid w:val="0069223D"/>
    <w:rsid w:val="0069225D"/>
    <w:rsid w:val="006922A9"/>
    <w:rsid w:val="006922C5"/>
    <w:rsid w:val="00692378"/>
    <w:rsid w:val="00692443"/>
    <w:rsid w:val="00692456"/>
    <w:rsid w:val="006924AC"/>
    <w:rsid w:val="006924C1"/>
    <w:rsid w:val="006925DA"/>
    <w:rsid w:val="0069261F"/>
    <w:rsid w:val="0069262D"/>
    <w:rsid w:val="00692686"/>
    <w:rsid w:val="00692726"/>
    <w:rsid w:val="0069272A"/>
    <w:rsid w:val="006927BA"/>
    <w:rsid w:val="0069282C"/>
    <w:rsid w:val="00692859"/>
    <w:rsid w:val="00692961"/>
    <w:rsid w:val="006929FA"/>
    <w:rsid w:val="00692A34"/>
    <w:rsid w:val="00692AB2"/>
    <w:rsid w:val="00692AF3"/>
    <w:rsid w:val="00692BD4"/>
    <w:rsid w:val="00692BFC"/>
    <w:rsid w:val="00692C47"/>
    <w:rsid w:val="00692C7F"/>
    <w:rsid w:val="00692D40"/>
    <w:rsid w:val="00692DA2"/>
    <w:rsid w:val="00692F0C"/>
    <w:rsid w:val="00692FFF"/>
    <w:rsid w:val="0069304B"/>
    <w:rsid w:val="006930E2"/>
    <w:rsid w:val="0069311E"/>
    <w:rsid w:val="00693146"/>
    <w:rsid w:val="00693223"/>
    <w:rsid w:val="006932A6"/>
    <w:rsid w:val="00693335"/>
    <w:rsid w:val="00693412"/>
    <w:rsid w:val="0069342D"/>
    <w:rsid w:val="00693497"/>
    <w:rsid w:val="006934C3"/>
    <w:rsid w:val="00693503"/>
    <w:rsid w:val="00693507"/>
    <w:rsid w:val="0069355C"/>
    <w:rsid w:val="0069357A"/>
    <w:rsid w:val="00693660"/>
    <w:rsid w:val="00693668"/>
    <w:rsid w:val="0069368C"/>
    <w:rsid w:val="00693736"/>
    <w:rsid w:val="0069375B"/>
    <w:rsid w:val="0069377C"/>
    <w:rsid w:val="00693837"/>
    <w:rsid w:val="006938CC"/>
    <w:rsid w:val="00693956"/>
    <w:rsid w:val="006939BD"/>
    <w:rsid w:val="00693A45"/>
    <w:rsid w:val="00693A6B"/>
    <w:rsid w:val="00693AE8"/>
    <w:rsid w:val="00693AEF"/>
    <w:rsid w:val="00693BAF"/>
    <w:rsid w:val="00693CBA"/>
    <w:rsid w:val="00693CD1"/>
    <w:rsid w:val="00693D74"/>
    <w:rsid w:val="00693DC0"/>
    <w:rsid w:val="00693EDD"/>
    <w:rsid w:val="00693F23"/>
    <w:rsid w:val="00693F45"/>
    <w:rsid w:val="00693FE5"/>
    <w:rsid w:val="0069402B"/>
    <w:rsid w:val="00694039"/>
    <w:rsid w:val="0069409C"/>
    <w:rsid w:val="00694105"/>
    <w:rsid w:val="006941E4"/>
    <w:rsid w:val="0069432E"/>
    <w:rsid w:val="0069437D"/>
    <w:rsid w:val="006943FD"/>
    <w:rsid w:val="00694404"/>
    <w:rsid w:val="0069443B"/>
    <w:rsid w:val="00694480"/>
    <w:rsid w:val="00694526"/>
    <w:rsid w:val="00694572"/>
    <w:rsid w:val="00694637"/>
    <w:rsid w:val="00694671"/>
    <w:rsid w:val="0069469E"/>
    <w:rsid w:val="006946B0"/>
    <w:rsid w:val="00694719"/>
    <w:rsid w:val="00694899"/>
    <w:rsid w:val="006948F9"/>
    <w:rsid w:val="0069492D"/>
    <w:rsid w:val="00694C56"/>
    <w:rsid w:val="00694CA3"/>
    <w:rsid w:val="00694CE1"/>
    <w:rsid w:val="00694D89"/>
    <w:rsid w:val="00694DC3"/>
    <w:rsid w:val="00694E75"/>
    <w:rsid w:val="00694E82"/>
    <w:rsid w:val="00694F2C"/>
    <w:rsid w:val="00694F61"/>
    <w:rsid w:val="00694F76"/>
    <w:rsid w:val="00694F95"/>
    <w:rsid w:val="00695139"/>
    <w:rsid w:val="0069535C"/>
    <w:rsid w:val="0069539D"/>
    <w:rsid w:val="00695442"/>
    <w:rsid w:val="0069548E"/>
    <w:rsid w:val="0069550D"/>
    <w:rsid w:val="00695587"/>
    <w:rsid w:val="00695626"/>
    <w:rsid w:val="00695716"/>
    <w:rsid w:val="006957A1"/>
    <w:rsid w:val="006957BF"/>
    <w:rsid w:val="00695811"/>
    <w:rsid w:val="00695836"/>
    <w:rsid w:val="00695991"/>
    <w:rsid w:val="00695A4A"/>
    <w:rsid w:val="00695AEE"/>
    <w:rsid w:val="00695B46"/>
    <w:rsid w:val="00695B4C"/>
    <w:rsid w:val="00695B62"/>
    <w:rsid w:val="00695BD5"/>
    <w:rsid w:val="00695C04"/>
    <w:rsid w:val="00695C58"/>
    <w:rsid w:val="00695CBF"/>
    <w:rsid w:val="00695D0C"/>
    <w:rsid w:val="00695D24"/>
    <w:rsid w:val="00695D2D"/>
    <w:rsid w:val="00695D45"/>
    <w:rsid w:val="00695E0B"/>
    <w:rsid w:val="00695E5C"/>
    <w:rsid w:val="00695E9A"/>
    <w:rsid w:val="00695EA7"/>
    <w:rsid w:val="00695EEE"/>
    <w:rsid w:val="00695EFD"/>
    <w:rsid w:val="00695F23"/>
    <w:rsid w:val="00695F76"/>
    <w:rsid w:val="0069609E"/>
    <w:rsid w:val="00696120"/>
    <w:rsid w:val="00696138"/>
    <w:rsid w:val="00696383"/>
    <w:rsid w:val="00696541"/>
    <w:rsid w:val="006965BB"/>
    <w:rsid w:val="00696636"/>
    <w:rsid w:val="0069668C"/>
    <w:rsid w:val="00696698"/>
    <w:rsid w:val="006966E6"/>
    <w:rsid w:val="00696794"/>
    <w:rsid w:val="006967B0"/>
    <w:rsid w:val="006968BD"/>
    <w:rsid w:val="0069695A"/>
    <w:rsid w:val="006969CC"/>
    <w:rsid w:val="00696AD2"/>
    <w:rsid w:val="00696AEE"/>
    <w:rsid w:val="00696CE4"/>
    <w:rsid w:val="00696D1E"/>
    <w:rsid w:val="00696E20"/>
    <w:rsid w:val="00696F78"/>
    <w:rsid w:val="00696FC8"/>
    <w:rsid w:val="00696FEC"/>
    <w:rsid w:val="0069707A"/>
    <w:rsid w:val="00697118"/>
    <w:rsid w:val="006971F2"/>
    <w:rsid w:val="0069726B"/>
    <w:rsid w:val="006972A8"/>
    <w:rsid w:val="006972CF"/>
    <w:rsid w:val="0069738F"/>
    <w:rsid w:val="00697453"/>
    <w:rsid w:val="00697467"/>
    <w:rsid w:val="006974EB"/>
    <w:rsid w:val="00697657"/>
    <w:rsid w:val="00697668"/>
    <w:rsid w:val="00697857"/>
    <w:rsid w:val="006978F4"/>
    <w:rsid w:val="006978F9"/>
    <w:rsid w:val="00697941"/>
    <w:rsid w:val="0069795E"/>
    <w:rsid w:val="00697975"/>
    <w:rsid w:val="00697A11"/>
    <w:rsid w:val="00697A2A"/>
    <w:rsid w:val="00697A4B"/>
    <w:rsid w:val="00697A66"/>
    <w:rsid w:val="00697A91"/>
    <w:rsid w:val="00697AD7"/>
    <w:rsid w:val="00697BE8"/>
    <w:rsid w:val="00697BF4"/>
    <w:rsid w:val="00697D56"/>
    <w:rsid w:val="00697EC2"/>
    <w:rsid w:val="00697F31"/>
    <w:rsid w:val="00697F5E"/>
    <w:rsid w:val="006A002A"/>
    <w:rsid w:val="006A00A9"/>
    <w:rsid w:val="006A0143"/>
    <w:rsid w:val="006A021E"/>
    <w:rsid w:val="006A0298"/>
    <w:rsid w:val="006A032E"/>
    <w:rsid w:val="006A035A"/>
    <w:rsid w:val="006A0373"/>
    <w:rsid w:val="006A0391"/>
    <w:rsid w:val="006A040F"/>
    <w:rsid w:val="006A04BB"/>
    <w:rsid w:val="006A0544"/>
    <w:rsid w:val="006A056F"/>
    <w:rsid w:val="006A05DA"/>
    <w:rsid w:val="006A0603"/>
    <w:rsid w:val="006A0639"/>
    <w:rsid w:val="006A065F"/>
    <w:rsid w:val="006A0696"/>
    <w:rsid w:val="006A06AE"/>
    <w:rsid w:val="006A06E0"/>
    <w:rsid w:val="006A0716"/>
    <w:rsid w:val="006A0748"/>
    <w:rsid w:val="006A0798"/>
    <w:rsid w:val="006A092E"/>
    <w:rsid w:val="006A0A6A"/>
    <w:rsid w:val="006A0A9B"/>
    <w:rsid w:val="006A0B8C"/>
    <w:rsid w:val="006A0BDA"/>
    <w:rsid w:val="006A0C8B"/>
    <w:rsid w:val="006A0CA8"/>
    <w:rsid w:val="006A0CC9"/>
    <w:rsid w:val="006A0D32"/>
    <w:rsid w:val="006A0D89"/>
    <w:rsid w:val="006A0DCA"/>
    <w:rsid w:val="006A0E2E"/>
    <w:rsid w:val="006A0F47"/>
    <w:rsid w:val="006A0F90"/>
    <w:rsid w:val="006A0FA4"/>
    <w:rsid w:val="006A102B"/>
    <w:rsid w:val="006A103B"/>
    <w:rsid w:val="006A1082"/>
    <w:rsid w:val="006A1104"/>
    <w:rsid w:val="006A1154"/>
    <w:rsid w:val="006A1173"/>
    <w:rsid w:val="006A11A5"/>
    <w:rsid w:val="006A11A7"/>
    <w:rsid w:val="006A11E9"/>
    <w:rsid w:val="006A1267"/>
    <w:rsid w:val="006A129E"/>
    <w:rsid w:val="006A12FB"/>
    <w:rsid w:val="006A135B"/>
    <w:rsid w:val="006A1377"/>
    <w:rsid w:val="006A13AD"/>
    <w:rsid w:val="006A13F3"/>
    <w:rsid w:val="006A1421"/>
    <w:rsid w:val="006A1425"/>
    <w:rsid w:val="006A1453"/>
    <w:rsid w:val="006A155C"/>
    <w:rsid w:val="006A158D"/>
    <w:rsid w:val="006A1590"/>
    <w:rsid w:val="006A15D6"/>
    <w:rsid w:val="006A1692"/>
    <w:rsid w:val="006A1725"/>
    <w:rsid w:val="006A1743"/>
    <w:rsid w:val="006A17C7"/>
    <w:rsid w:val="006A17E6"/>
    <w:rsid w:val="006A1874"/>
    <w:rsid w:val="006A18B3"/>
    <w:rsid w:val="006A193E"/>
    <w:rsid w:val="006A1987"/>
    <w:rsid w:val="006A19A6"/>
    <w:rsid w:val="006A1BC2"/>
    <w:rsid w:val="006A1C4B"/>
    <w:rsid w:val="006A1C58"/>
    <w:rsid w:val="006A1C82"/>
    <w:rsid w:val="006A1C88"/>
    <w:rsid w:val="006A1CF4"/>
    <w:rsid w:val="006A1DF5"/>
    <w:rsid w:val="006A1E19"/>
    <w:rsid w:val="006A1E8F"/>
    <w:rsid w:val="006A1F3A"/>
    <w:rsid w:val="006A2125"/>
    <w:rsid w:val="006A2152"/>
    <w:rsid w:val="006A21DD"/>
    <w:rsid w:val="006A2280"/>
    <w:rsid w:val="006A230C"/>
    <w:rsid w:val="006A2342"/>
    <w:rsid w:val="006A2497"/>
    <w:rsid w:val="006A24A7"/>
    <w:rsid w:val="006A2540"/>
    <w:rsid w:val="006A2570"/>
    <w:rsid w:val="006A25A2"/>
    <w:rsid w:val="006A25EE"/>
    <w:rsid w:val="006A2616"/>
    <w:rsid w:val="006A2666"/>
    <w:rsid w:val="006A26A9"/>
    <w:rsid w:val="006A26F7"/>
    <w:rsid w:val="006A27F5"/>
    <w:rsid w:val="006A280F"/>
    <w:rsid w:val="006A2865"/>
    <w:rsid w:val="006A2A71"/>
    <w:rsid w:val="006A2A7E"/>
    <w:rsid w:val="006A2AAD"/>
    <w:rsid w:val="006A2B02"/>
    <w:rsid w:val="006A2B5C"/>
    <w:rsid w:val="006A2C21"/>
    <w:rsid w:val="006A2D29"/>
    <w:rsid w:val="006A2DC8"/>
    <w:rsid w:val="006A2E77"/>
    <w:rsid w:val="006A2FD5"/>
    <w:rsid w:val="006A301E"/>
    <w:rsid w:val="006A3036"/>
    <w:rsid w:val="006A307B"/>
    <w:rsid w:val="006A30F4"/>
    <w:rsid w:val="006A32BB"/>
    <w:rsid w:val="006A330F"/>
    <w:rsid w:val="006A3373"/>
    <w:rsid w:val="006A33D6"/>
    <w:rsid w:val="006A33DC"/>
    <w:rsid w:val="006A3427"/>
    <w:rsid w:val="006A345B"/>
    <w:rsid w:val="006A356B"/>
    <w:rsid w:val="006A3670"/>
    <w:rsid w:val="006A3713"/>
    <w:rsid w:val="006A3915"/>
    <w:rsid w:val="006A3986"/>
    <w:rsid w:val="006A3A9F"/>
    <w:rsid w:val="006A3B45"/>
    <w:rsid w:val="006A3C18"/>
    <w:rsid w:val="006A3C8C"/>
    <w:rsid w:val="006A3CB5"/>
    <w:rsid w:val="006A3CC1"/>
    <w:rsid w:val="006A3E0E"/>
    <w:rsid w:val="006A3E73"/>
    <w:rsid w:val="006A3F52"/>
    <w:rsid w:val="006A3F6B"/>
    <w:rsid w:val="006A3F7B"/>
    <w:rsid w:val="006A4047"/>
    <w:rsid w:val="006A4083"/>
    <w:rsid w:val="006A409F"/>
    <w:rsid w:val="006A41C8"/>
    <w:rsid w:val="006A4206"/>
    <w:rsid w:val="006A4228"/>
    <w:rsid w:val="006A4297"/>
    <w:rsid w:val="006A42B5"/>
    <w:rsid w:val="006A4410"/>
    <w:rsid w:val="006A4487"/>
    <w:rsid w:val="006A44ED"/>
    <w:rsid w:val="006A463C"/>
    <w:rsid w:val="006A4701"/>
    <w:rsid w:val="006A473E"/>
    <w:rsid w:val="006A4787"/>
    <w:rsid w:val="006A47A6"/>
    <w:rsid w:val="006A4878"/>
    <w:rsid w:val="006A48A8"/>
    <w:rsid w:val="006A48AA"/>
    <w:rsid w:val="006A491D"/>
    <w:rsid w:val="006A494F"/>
    <w:rsid w:val="006A4A2E"/>
    <w:rsid w:val="006A4B71"/>
    <w:rsid w:val="006A4C6E"/>
    <w:rsid w:val="006A4C6F"/>
    <w:rsid w:val="006A4CC2"/>
    <w:rsid w:val="006A4CD1"/>
    <w:rsid w:val="006A4CF6"/>
    <w:rsid w:val="006A4CFC"/>
    <w:rsid w:val="006A4E48"/>
    <w:rsid w:val="006A4E5E"/>
    <w:rsid w:val="006A4F03"/>
    <w:rsid w:val="006A4F7D"/>
    <w:rsid w:val="006A4F80"/>
    <w:rsid w:val="006A4F9A"/>
    <w:rsid w:val="006A4FF1"/>
    <w:rsid w:val="006A500B"/>
    <w:rsid w:val="006A500E"/>
    <w:rsid w:val="006A5028"/>
    <w:rsid w:val="006A5283"/>
    <w:rsid w:val="006A52D7"/>
    <w:rsid w:val="006A54CA"/>
    <w:rsid w:val="006A55D1"/>
    <w:rsid w:val="006A5640"/>
    <w:rsid w:val="006A565C"/>
    <w:rsid w:val="006A5696"/>
    <w:rsid w:val="006A56E6"/>
    <w:rsid w:val="006A5715"/>
    <w:rsid w:val="006A5776"/>
    <w:rsid w:val="006A57B1"/>
    <w:rsid w:val="006A5805"/>
    <w:rsid w:val="006A58A9"/>
    <w:rsid w:val="006A58CB"/>
    <w:rsid w:val="006A5930"/>
    <w:rsid w:val="006A5ABB"/>
    <w:rsid w:val="006A5C0A"/>
    <w:rsid w:val="006A5C74"/>
    <w:rsid w:val="006A5C7C"/>
    <w:rsid w:val="006A5CE0"/>
    <w:rsid w:val="006A5D99"/>
    <w:rsid w:val="006A5DA7"/>
    <w:rsid w:val="006A5DCD"/>
    <w:rsid w:val="006A5E25"/>
    <w:rsid w:val="006A5E2A"/>
    <w:rsid w:val="006A5E74"/>
    <w:rsid w:val="006A5E8A"/>
    <w:rsid w:val="006A5EA1"/>
    <w:rsid w:val="006A5ED2"/>
    <w:rsid w:val="006A5F52"/>
    <w:rsid w:val="006A5F72"/>
    <w:rsid w:val="006A5F73"/>
    <w:rsid w:val="006A5FEE"/>
    <w:rsid w:val="006A604D"/>
    <w:rsid w:val="006A606F"/>
    <w:rsid w:val="006A60D4"/>
    <w:rsid w:val="006A6145"/>
    <w:rsid w:val="006A6170"/>
    <w:rsid w:val="006A618E"/>
    <w:rsid w:val="006A61BE"/>
    <w:rsid w:val="006A61FA"/>
    <w:rsid w:val="006A622D"/>
    <w:rsid w:val="006A62D6"/>
    <w:rsid w:val="006A635D"/>
    <w:rsid w:val="006A63D9"/>
    <w:rsid w:val="006A64BF"/>
    <w:rsid w:val="006A64E0"/>
    <w:rsid w:val="006A6569"/>
    <w:rsid w:val="006A658B"/>
    <w:rsid w:val="006A65AC"/>
    <w:rsid w:val="006A6647"/>
    <w:rsid w:val="006A6686"/>
    <w:rsid w:val="006A669F"/>
    <w:rsid w:val="006A66FD"/>
    <w:rsid w:val="006A68EE"/>
    <w:rsid w:val="006A69F6"/>
    <w:rsid w:val="006A6A00"/>
    <w:rsid w:val="006A6A42"/>
    <w:rsid w:val="006A6A73"/>
    <w:rsid w:val="006A6A90"/>
    <w:rsid w:val="006A6AAE"/>
    <w:rsid w:val="006A6B29"/>
    <w:rsid w:val="006A6CE9"/>
    <w:rsid w:val="006A6D0F"/>
    <w:rsid w:val="006A6D7D"/>
    <w:rsid w:val="006A6DF9"/>
    <w:rsid w:val="006A6EEF"/>
    <w:rsid w:val="006A6F6D"/>
    <w:rsid w:val="006A7325"/>
    <w:rsid w:val="006A73C6"/>
    <w:rsid w:val="006A7452"/>
    <w:rsid w:val="006A7514"/>
    <w:rsid w:val="006A754E"/>
    <w:rsid w:val="006A75AF"/>
    <w:rsid w:val="006A75F7"/>
    <w:rsid w:val="006A764F"/>
    <w:rsid w:val="006A77E1"/>
    <w:rsid w:val="006A787F"/>
    <w:rsid w:val="006A7935"/>
    <w:rsid w:val="006A7A0C"/>
    <w:rsid w:val="006A7AE2"/>
    <w:rsid w:val="006A7B9F"/>
    <w:rsid w:val="006A7BAA"/>
    <w:rsid w:val="006A7C3F"/>
    <w:rsid w:val="006A7CC1"/>
    <w:rsid w:val="006A7D7D"/>
    <w:rsid w:val="006A7DD5"/>
    <w:rsid w:val="006A7DF0"/>
    <w:rsid w:val="006A7FBE"/>
    <w:rsid w:val="006B0074"/>
    <w:rsid w:val="006B00E5"/>
    <w:rsid w:val="006B00EC"/>
    <w:rsid w:val="006B0105"/>
    <w:rsid w:val="006B01C3"/>
    <w:rsid w:val="006B02D1"/>
    <w:rsid w:val="006B033A"/>
    <w:rsid w:val="006B0369"/>
    <w:rsid w:val="006B045E"/>
    <w:rsid w:val="006B0493"/>
    <w:rsid w:val="006B076C"/>
    <w:rsid w:val="006B07AC"/>
    <w:rsid w:val="006B07F2"/>
    <w:rsid w:val="006B0975"/>
    <w:rsid w:val="006B099C"/>
    <w:rsid w:val="006B0B7E"/>
    <w:rsid w:val="006B0BF9"/>
    <w:rsid w:val="006B0C3C"/>
    <w:rsid w:val="006B0D58"/>
    <w:rsid w:val="006B0DAA"/>
    <w:rsid w:val="006B0E14"/>
    <w:rsid w:val="006B0EA2"/>
    <w:rsid w:val="006B0F62"/>
    <w:rsid w:val="006B0F99"/>
    <w:rsid w:val="006B0FA5"/>
    <w:rsid w:val="006B113A"/>
    <w:rsid w:val="006B11A6"/>
    <w:rsid w:val="006B11CF"/>
    <w:rsid w:val="006B1246"/>
    <w:rsid w:val="006B1291"/>
    <w:rsid w:val="006B1340"/>
    <w:rsid w:val="006B13C7"/>
    <w:rsid w:val="006B13C9"/>
    <w:rsid w:val="006B1410"/>
    <w:rsid w:val="006B1652"/>
    <w:rsid w:val="006B16C8"/>
    <w:rsid w:val="006B1707"/>
    <w:rsid w:val="006B170A"/>
    <w:rsid w:val="006B1723"/>
    <w:rsid w:val="006B1748"/>
    <w:rsid w:val="006B1796"/>
    <w:rsid w:val="006B1799"/>
    <w:rsid w:val="006B17BF"/>
    <w:rsid w:val="006B17F1"/>
    <w:rsid w:val="006B18D9"/>
    <w:rsid w:val="006B1949"/>
    <w:rsid w:val="006B1996"/>
    <w:rsid w:val="006B19B3"/>
    <w:rsid w:val="006B1A0B"/>
    <w:rsid w:val="006B1AE3"/>
    <w:rsid w:val="006B1AEF"/>
    <w:rsid w:val="006B1C2B"/>
    <w:rsid w:val="006B1C48"/>
    <w:rsid w:val="006B1CE7"/>
    <w:rsid w:val="006B1CEF"/>
    <w:rsid w:val="006B1D8E"/>
    <w:rsid w:val="006B1DC4"/>
    <w:rsid w:val="006B204A"/>
    <w:rsid w:val="006B20C5"/>
    <w:rsid w:val="006B2125"/>
    <w:rsid w:val="006B2186"/>
    <w:rsid w:val="006B21F1"/>
    <w:rsid w:val="006B2211"/>
    <w:rsid w:val="006B222F"/>
    <w:rsid w:val="006B225B"/>
    <w:rsid w:val="006B243A"/>
    <w:rsid w:val="006B2487"/>
    <w:rsid w:val="006B2516"/>
    <w:rsid w:val="006B2529"/>
    <w:rsid w:val="006B2535"/>
    <w:rsid w:val="006B2574"/>
    <w:rsid w:val="006B2576"/>
    <w:rsid w:val="006B25EF"/>
    <w:rsid w:val="006B2602"/>
    <w:rsid w:val="006B2785"/>
    <w:rsid w:val="006B27BA"/>
    <w:rsid w:val="006B27BC"/>
    <w:rsid w:val="006B285E"/>
    <w:rsid w:val="006B2A20"/>
    <w:rsid w:val="006B2A21"/>
    <w:rsid w:val="006B2A8C"/>
    <w:rsid w:val="006B2BC4"/>
    <w:rsid w:val="006B2C01"/>
    <w:rsid w:val="006B2C03"/>
    <w:rsid w:val="006B2D52"/>
    <w:rsid w:val="006B2D55"/>
    <w:rsid w:val="006B2E78"/>
    <w:rsid w:val="006B2F10"/>
    <w:rsid w:val="006B2F34"/>
    <w:rsid w:val="006B30E0"/>
    <w:rsid w:val="006B313D"/>
    <w:rsid w:val="006B3142"/>
    <w:rsid w:val="006B3206"/>
    <w:rsid w:val="006B3239"/>
    <w:rsid w:val="006B3277"/>
    <w:rsid w:val="006B328B"/>
    <w:rsid w:val="006B344F"/>
    <w:rsid w:val="006B3527"/>
    <w:rsid w:val="006B3643"/>
    <w:rsid w:val="006B36C8"/>
    <w:rsid w:val="006B3705"/>
    <w:rsid w:val="006B37DC"/>
    <w:rsid w:val="006B39D4"/>
    <w:rsid w:val="006B39F9"/>
    <w:rsid w:val="006B3AB6"/>
    <w:rsid w:val="006B3B01"/>
    <w:rsid w:val="006B3BAC"/>
    <w:rsid w:val="006B3C29"/>
    <w:rsid w:val="006B3CAF"/>
    <w:rsid w:val="006B3D78"/>
    <w:rsid w:val="006B3E07"/>
    <w:rsid w:val="006B3F37"/>
    <w:rsid w:val="006B3F88"/>
    <w:rsid w:val="006B3F90"/>
    <w:rsid w:val="006B4151"/>
    <w:rsid w:val="006B41B7"/>
    <w:rsid w:val="006B427C"/>
    <w:rsid w:val="006B434C"/>
    <w:rsid w:val="006B4503"/>
    <w:rsid w:val="006B4517"/>
    <w:rsid w:val="006B4569"/>
    <w:rsid w:val="006B459C"/>
    <w:rsid w:val="006B45A2"/>
    <w:rsid w:val="006B45E3"/>
    <w:rsid w:val="006B4643"/>
    <w:rsid w:val="006B468D"/>
    <w:rsid w:val="006B46B6"/>
    <w:rsid w:val="006B48D4"/>
    <w:rsid w:val="006B4938"/>
    <w:rsid w:val="006B4979"/>
    <w:rsid w:val="006B4990"/>
    <w:rsid w:val="006B4AD9"/>
    <w:rsid w:val="006B4B53"/>
    <w:rsid w:val="006B4C68"/>
    <w:rsid w:val="006B4CA6"/>
    <w:rsid w:val="006B4D63"/>
    <w:rsid w:val="006B4D67"/>
    <w:rsid w:val="006B4D6A"/>
    <w:rsid w:val="006B4D8E"/>
    <w:rsid w:val="006B4E36"/>
    <w:rsid w:val="006B4EC4"/>
    <w:rsid w:val="006B4FD9"/>
    <w:rsid w:val="006B50B3"/>
    <w:rsid w:val="006B5111"/>
    <w:rsid w:val="006B5151"/>
    <w:rsid w:val="006B516D"/>
    <w:rsid w:val="006B51CE"/>
    <w:rsid w:val="006B5348"/>
    <w:rsid w:val="006B5351"/>
    <w:rsid w:val="006B5399"/>
    <w:rsid w:val="006B5400"/>
    <w:rsid w:val="006B54E3"/>
    <w:rsid w:val="006B551E"/>
    <w:rsid w:val="006B554E"/>
    <w:rsid w:val="006B5551"/>
    <w:rsid w:val="006B55A8"/>
    <w:rsid w:val="006B5605"/>
    <w:rsid w:val="006B56EA"/>
    <w:rsid w:val="006B5772"/>
    <w:rsid w:val="006B5872"/>
    <w:rsid w:val="006B58E4"/>
    <w:rsid w:val="006B58EC"/>
    <w:rsid w:val="006B59AB"/>
    <w:rsid w:val="006B5AAE"/>
    <w:rsid w:val="006B5AFB"/>
    <w:rsid w:val="006B5BE7"/>
    <w:rsid w:val="006B5C6A"/>
    <w:rsid w:val="006B5C83"/>
    <w:rsid w:val="006B5D35"/>
    <w:rsid w:val="006B5E0F"/>
    <w:rsid w:val="006B5E1B"/>
    <w:rsid w:val="006B5E5C"/>
    <w:rsid w:val="006B5E8A"/>
    <w:rsid w:val="006B5EF5"/>
    <w:rsid w:val="006B5F18"/>
    <w:rsid w:val="006B5F82"/>
    <w:rsid w:val="006B6141"/>
    <w:rsid w:val="006B618D"/>
    <w:rsid w:val="006B6195"/>
    <w:rsid w:val="006B633C"/>
    <w:rsid w:val="006B63EB"/>
    <w:rsid w:val="006B647B"/>
    <w:rsid w:val="006B64A0"/>
    <w:rsid w:val="006B64AB"/>
    <w:rsid w:val="006B64EF"/>
    <w:rsid w:val="006B650C"/>
    <w:rsid w:val="006B6541"/>
    <w:rsid w:val="006B667F"/>
    <w:rsid w:val="006B6809"/>
    <w:rsid w:val="006B6915"/>
    <w:rsid w:val="006B6A60"/>
    <w:rsid w:val="006B6AFD"/>
    <w:rsid w:val="006B6B1D"/>
    <w:rsid w:val="006B6B69"/>
    <w:rsid w:val="006B6B97"/>
    <w:rsid w:val="006B6BC8"/>
    <w:rsid w:val="006B6C3B"/>
    <w:rsid w:val="006B6CC0"/>
    <w:rsid w:val="006B6D8A"/>
    <w:rsid w:val="006B6DEA"/>
    <w:rsid w:val="006B6E2F"/>
    <w:rsid w:val="006B6ECC"/>
    <w:rsid w:val="006B6FCF"/>
    <w:rsid w:val="006B7023"/>
    <w:rsid w:val="006B7095"/>
    <w:rsid w:val="006B7096"/>
    <w:rsid w:val="006B70A5"/>
    <w:rsid w:val="006B7161"/>
    <w:rsid w:val="006B71BB"/>
    <w:rsid w:val="006B7243"/>
    <w:rsid w:val="006B7247"/>
    <w:rsid w:val="006B72E6"/>
    <w:rsid w:val="006B73DC"/>
    <w:rsid w:val="006B7506"/>
    <w:rsid w:val="006B7603"/>
    <w:rsid w:val="006B768D"/>
    <w:rsid w:val="006B76B2"/>
    <w:rsid w:val="006B76EF"/>
    <w:rsid w:val="006B770D"/>
    <w:rsid w:val="006B7740"/>
    <w:rsid w:val="006B7752"/>
    <w:rsid w:val="006B777E"/>
    <w:rsid w:val="006B77BE"/>
    <w:rsid w:val="006B7803"/>
    <w:rsid w:val="006B784E"/>
    <w:rsid w:val="006B7850"/>
    <w:rsid w:val="006B788C"/>
    <w:rsid w:val="006B78BA"/>
    <w:rsid w:val="006B793C"/>
    <w:rsid w:val="006B7AFD"/>
    <w:rsid w:val="006B7B60"/>
    <w:rsid w:val="006B7CD6"/>
    <w:rsid w:val="006B7DA8"/>
    <w:rsid w:val="006B7DDB"/>
    <w:rsid w:val="006B7E79"/>
    <w:rsid w:val="006B7E8E"/>
    <w:rsid w:val="006B7EE0"/>
    <w:rsid w:val="006B7F64"/>
    <w:rsid w:val="006B8F9E"/>
    <w:rsid w:val="006C00C0"/>
    <w:rsid w:val="006C01C0"/>
    <w:rsid w:val="006C01E6"/>
    <w:rsid w:val="006C01F9"/>
    <w:rsid w:val="006C0257"/>
    <w:rsid w:val="006C02B1"/>
    <w:rsid w:val="006C037A"/>
    <w:rsid w:val="006C0408"/>
    <w:rsid w:val="006C0472"/>
    <w:rsid w:val="006C05E8"/>
    <w:rsid w:val="006C06C3"/>
    <w:rsid w:val="006C06EA"/>
    <w:rsid w:val="006C0708"/>
    <w:rsid w:val="006C07C9"/>
    <w:rsid w:val="006C07DC"/>
    <w:rsid w:val="006C0866"/>
    <w:rsid w:val="006C087E"/>
    <w:rsid w:val="006C093D"/>
    <w:rsid w:val="006C09BF"/>
    <w:rsid w:val="006C09E3"/>
    <w:rsid w:val="006C0A6E"/>
    <w:rsid w:val="006C0AC9"/>
    <w:rsid w:val="006C0BBA"/>
    <w:rsid w:val="006C0BBF"/>
    <w:rsid w:val="006C0CD4"/>
    <w:rsid w:val="006C0CFA"/>
    <w:rsid w:val="006C0D43"/>
    <w:rsid w:val="006C0DE0"/>
    <w:rsid w:val="006C0E32"/>
    <w:rsid w:val="006C0E53"/>
    <w:rsid w:val="006C0E74"/>
    <w:rsid w:val="006C0F47"/>
    <w:rsid w:val="006C0F84"/>
    <w:rsid w:val="006C103C"/>
    <w:rsid w:val="006C1065"/>
    <w:rsid w:val="006C107A"/>
    <w:rsid w:val="006C10D6"/>
    <w:rsid w:val="006C10E8"/>
    <w:rsid w:val="006C1114"/>
    <w:rsid w:val="006C1143"/>
    <w:rsid w:val="006C121E"/>
    <w:rsid w:val="006C1221"/>
    <w:rsid w:val="006C124A"/>
    <w:rsid w:val="006C12C2"/>
    <w:rsid w:val="006C12D6"/>
    <w:rsid w:val="006C1303"/>
    <w:rsid w:val="006C1352"/>
    <w:rsid w:val="006C13CD"/>
    <w:rsid w:val="006C1462"/>
    <w:rsid w:val="006C1487"/>
    <w:rsid w:val="006C16EC"/>
    <w:rsid w:val="006C1729"/>
    <w:rsid w:val="006C1730"/>
    <w:rsid w:val="006C173F"/>
    <w:rsid w:val="006C1785"/>
    <w:rsid w:val="006C17C3"/>
    <w:rsid w:val="006C18BE"/>
    <w:rsid w:val="006C1988"/>
    <w:rsid w:val="006C19DC"/>
    <w:rsid w:val="006C19F2"/>
    <w:rsid w:val="006C1B64"/>
    <w:rsid w:val="006C1BDB"/>
    <w:rsid w:val="006C1C18"/>
    <w:rsid w:val="006C1D45"/>
    <w:rsid w:val="006C1DB0"/>
    <w:rsid w:val="006C1DC7"/>
    <w:rsid w:val="006C1E3A"/>
    <w:rsid w:val="006C1EB6"/>
    <w:rsid w:val="006C1F46"/>
    <w:rsid w:val="006C1FB9"/>
    <w:rsid w:val="006C1FFC"/>
    <w:rsid w:val="006C200B"/>
    <w:rsid w:val="006C2046"/>
    <w:rsid w:val="006C20BE"/>
    <w:rsid w:val="006C2158"/>
    <w:rsid w:val="006C21A9"/>
    <w:rsid w:val="006C223D"/>
    <w:rsid w:val="006C23A5"/>
    <w:rsid w:val="006C2435"/>
    <w:rsid w:val="006C247D"/>
    <w:rsid w:val="006C247E"/>
    <w:rsid w:val="006C24A4"/>
    <w:rsid w:val="006C24B7"/>
    <w:rsid w:val="006C2511"/>
    <w:rsid w:val="006C2519"/>
    <w:rsid w:val="006C2541"/>
    <w:rsid w:val="006C25EC"/>
    <w:rsid w:val="006C263C"/>
    <w:rsid w:val="006C26F4"/>
    <w:rsid w:val="006C2703"/>
    <w:rsid w:val="006C286F"/>
    <w:rsid w:val="006C2923"/>
    <w:rsid w:val="006C29CD"/>
    <w:rsid w:val="006C2B30"/>
    <w:rsid w:val="006C2BD0"/>
    <w:rsid w:val="006C2C5C"/>
    <w:rsid w:val="006C2E32"/>
    <w:rsid w:val="006C2F24"/>
    <w:rsid w:val="006C3026"/>
    <w:rsid w:val="006C3041"/>
    <w:rsid w:val="006C310C"/>
    <w:rsid w:val="006C31FD"/>
    <w:rsid w:val="006C32BB"/>
    <w:rsid w:val="006C3366"/>
    <w:rsid w:val="006C338B"/>
    <w:rsid w:val="006C3395"/>
    <w:rsid w:val="006C33F7"/>
    <w:rsid w:val="006C341C"/>
    <w:rsid w:val="006C37B3"/>
    <w:rsid w:val="006C385C"/>
    <w:rsid w:val="006C3945"/>
    <w:rsid w:val="006C395B"/>
    <w:rsid w:val="006C3964"/>
    <w:rsid w:val="006C397E"/>
    <w:rsid w:val="006C39F3"/>
    <w:rsid w:val="006C3A66"/>
    <w:rsid w:val="006C3A9F"/>
    <w:rsid w:val="006C3B0C"/>
    <w:rsid w:val="006C3B7F"/>
    <w:rsid w:val="006C3C04"/>
    <w:rsid w:val="006C3CA0"/>
    <w:rsid w:val="006C3CD8"/>
    <w:rsid w:val="006C3D81"/>
    <w:rsid w:val="006C3DF0"/>
    <w:rsid w:val="006C3EAC"/>
    <w:rsid w:val="006C3ED3"/>
    <w:rsid w:val="006C3F50"/>
    <w:rsid w:val="006C41BB"/>
    <w:rsid w:val="006C41D7"/>
    <w:rsid w:val="006C41F9"/>
    <w:rsid w:val="006C42EC"/>
    <w:rsid w:val="006C4431"/>
    <w:rsid w:val="006C4458"/>
    <w:rsid w:val="006C44B5"/>
    <w:rsid w:val="006C4500"/>
    <w:rsid w:val="006C4555"/>
    <w:rsid w:val="006C4581"/>
    <w:rsid w:val="006C45EA"/>
    <w:rsid w:val="006C4662"/>
    <w:rsid w:val="006C479E"/>
    <w:rsid w:val="006C488B"/>
    <w:rsid w:val="006C48BF"/>
    <w:rsid w:val="006C491B"/>
    <w:rsid w:val="006C493C"/>
    <w:rsid w:val="006C497D"/>
    <w:rsid w:val="006C49C7"/>
    <w:rsid w:val="006C49CE"/>
    <w:rsid w:val="006C49EA"/>
    <w:rsid w:val="006C4A89"/>
    <w:rsid w:val="006C4A9D"/>
    <w:rsid w:val="006C4B35"/>
    <w:rsid w:val="006C4BFE"/>
    <w:rsid w:val="006C4C0D"/>
    <w:rsid w:val="006C4C32"/>
    <w:rsid w:val="006C4C3E"/>
    <w:rsid w:val="006C4C6B"/>
    <w:rsid w:val="006C4D83"/>
    <w:rsid w:val="006C4DBD"/>
    <w:rsid w:val="006C4ED8"/>
    <w:rsid w:val="006C4FDA"/>
    <w:rsid w:val="006C503E"/>
    <w:rsid w:val="006C507B"/>
    <w:rsid w:val="006C50C7"/>
    <w:rsid w:val="006C517B"/>
    <w:rsid w:val="006C52E1"/>
    <w:rsid w:val="006C52E9"/>
    <w:rsid w:val="006C54D8"/>
    <w:rsid w:val="006C5570"/>
    <w:rsid w:val="006C55F2"/>
    <w:rsid w:val="006C566C"/>
    <w:rsid w:val="006C56C2"/>
    <w:rsid w:val="006C578A"/>
    <w:rsid w:val="006C57E4"/>
    <w:rsid w:val="006C5850"/>
    <w:rsid w:val="006C588C"/>
    <w:rsid w:val="006C590F"/>
    <w:rsid w:val="006C5932"/>
    <w:rsid w:val="006C59A9"/>
    <w:rsid w:val="006C5A64"/>
    <w:rsid w:val="006C5B10"/>
    <w:rsid w:val="006C5B61"/>
    <w:rsid w:val="006C5B9D"/>
    <w:rsid w:val="006C5BFC"/>
    <w:rsid w:val="006C5C97"/>
    <w:rsid w:val="006C5CA4"/>
    <w:rsid w:val="006C5CA9"/>
    <w:rsid w:val="006C5D20"/>
    <w:rsid w:val="006C5DD7"/>
    <w:rsid w:val="006C5E35"/>
    <w:rsid w:val="006C5EA6"/>
    <w:rsid w:val="006C5EA7"/>
    <w:rsid w:val="006C5EC1"/>
    <w:rsid w:val="006C5EDF"/>
    <w:rsid w:val="006C5FB4"/>
    <w:rsid w:val="006C6123"/>
    <w:rsid w:val="006C619F"/>
    <w:rsid w:val="006C61ED"/>
    <w:rsid w:val="006C627C"/>
    <w:rsid w:val="006C633C"/>
    <w:rsid w:val="006C635A"/>
    <w:rsid w:val="006C63E2"/>
    <w:rsid w:val="006C640E"/>
    <w:rsid w:val="006C6445"/>
    <w:rsid w:val="006C64B0"/>
    <w:rsid w:val="006C6572"/>
    <w:rsid w:val="006C6658"/>
    <w:rsid w:val="006C672D"/>
    <w:rsid w:val="006C67AD"/>
    <w:rsid w:val="006C67D9"/>
    <w:rsid w:val="006C680A"/>
    <w:rsid w:val="006C688C"/>
    <w:rsid w:val="006C68FB"/>
    <w:rsid w:val="006C6990"/>
    <w:rsid w:val="006C69EF"/>
    <w:rsid w:val="006C69F1"/>
    <w:rsid w:val="006C6A4B"/>
    <w:rsid w:val="006C6AAD"/>
    <w:rsid w:val="006C6B52"/>
    <w:rsid w:val="006C6C34"/>
    <w:rsid w:val="006C6D55"/>
    <w:rsid w:val="006C6DE2"/>
    <w:rsid w:val="006C6DF7"/>
    <w:rsid w:val="006C6E2B"/>
    <w:rsid w:val="006C6E6C"/>
    <w:rsid w:val="006C6EAA"/>
    <w:rsid w:val="006C6EB2"/>
    <w:rsid w:val="006C6F13"/>
    <w:rsid w:val="006C6F2A"/>
    <w:rsid w:val="006C6F6B"/>
    <w:rsid w:val="006C6FC3"/>
    <w:rsid w:val="006C6FEB"/>
    <w:rsid w:val="006C7045"/>
    <w:rsid w:val="006C70B1"/>
    <w:rsid w:val="006C70CB"/>
    <w:rsid w:val="006C719F"/>
    <w:rsid w:val="006C71DE"/>
    <w:rsid w:val="006C7273"/>
    <w:rsid w:val="006C7337"/>
    <w:rsid w:val="006C756C"/>
    <w:rsid w:val="006C75F8"/>
    <w:rsid w:val="006C7603"/>
    <w:rsid w:val="006C7606"/>
    <w:rsid w:val="006C761B"/>
    <w:rsid w:val="006C768E"/>
    <w:rsid w:val="006C76D4"/>
    <w:rsid w:val="006C7779"/>
    <w:rsid w:val="006C77F6"/>
    <w:rsid w:val="006C79E3"/>
    <w:rsid w:val="006C7A31"/>
    <w:rsid w:val="006C7A9E"/>
    <w:rsid w:val="006C7AB4"/>
    <w:rsid w:val="006C7B44"/>
    <w:rsid w:val="006C7B61"/>
    <w:rsid w:val="006C7C19"/>
    <w:rsid w:val="006C7D61"/>
    <w:rsid w:val="006C7D87"/>
    <w:rsid w:val="006C7D88"/>
    <w:rsid w:val="006C7E25"/>
    <w:rsid w:val="006C7E47"/>
    <w:rsid w:val="006C7FA8"/>
    <w:rsid w:val="006C7FD3"/>
    <w:rsid w:val="006D0041"/>
    <w:rsid w:val="006D00DE"/>
    <w:rsid w:val="006D011B"/>
    <w:rsid w:val="006D0180"/>
    <w:rsid w:val="006D0190"/>
    <w:rsid w:val="006D01B0"/>
    <w:rsid w:val="006D02C4"/>
    <w:rsid w:val="006D0373"/>
    <w:rsid w:val="006D03C8"/>
    <w:rsid w:val="006D0408"/>
    <w:rsid w:val="006D0532"/>
    <w:rsid w:val="006D059B"/>
    <w:rsid w:val="006D0609"/>
    <w:rsid w:val="006D0628"/>
    <w:rsid w:val="006D06CC"/>
    <w:rsid w:val="006D0735"/>
    <w:rsid w:val="006D074D"/>
    <w:rsid w:val="006D07D2"/>
    <w:rsid w:val="006D0857"/>
    <w:rsid w:val="006D088F"/>
    <w:rsid w:val="006D08D7"/>
    <w:rsid w:val="006D0A43"/>
    <w:rsid w:val="006D0A56"/>
    <w:rsid w:val="006D0A5A"/>
    <w:rsid w:val="006D0B14"/>
    <w:rsid w:val="006D0B80"/>
    <w:rsid w:val="006D0C7C"/>
    <w:rsid w:val="006D0CFA"/>
    <w:rsid w:val="006D0D35"/>
    <w:rsid w:val="006D0D9A"/>
    <w:rsid w:val="006D0E0D"/>
    <w:rsid w:val="006D0EA0"/>
    <w:rsid w:val="006D0F99"/>
    <w:rsid w:val="006D0FB1"/>
    <w:rsid w:val="006D107A"/>
    <w:rsid w:val="006D1186"/>
    <w:rsid w:val="006D11A6"/>
    <w:rsid w:val="006D11DB"/>
    <w:rsid w:val="006D127A"/>
    <w:rsid w:val="006D129E"/>
    <w:rsid w:val="006D136F"/>
    <w:rsid w:val="006D13E0"/>
    <w:rsid w:val="006D143C"/>
    <w:rsid w:val="006D1464"/>
    <w:rsid w:val="006D14C3"/>
    <w:rsid w:val="006D15ED"/>
    <w:rsid w:val="006D163B"/>
    <w:rsid w:val="006D164A"/>
    <w:rsid w:val="006D1653"/>
    <w:rsid w:val="006D17BA"/>
    <w:rsid w:val="006D183A"/>
    <w:rsid w:val="006D1902"/>
    <w:rsid w:val="006D19B8"/>
    <w:rsid w:val="006D1BED"/>
    <w:rsid w:val="006D1D05"/>
    <w:rsid w:val="006D1D33"/>
    <w:rsid w:val="006D1D5C"/>
    <w:rsid w:val="006D1D87"/>
    <w:rsid w:val="006D1DD6"/>
    <w:rsid w:val="006D1DDC"/>
    <w:rsid w:val="006D1E26"/>
    <w:rsid w:val="006D1E51"/>
    <w:rsid w:val="006D1EF4"/>
    <w:rsid w:val="006D1F4D"/>
    <w:rsid w:val="006D1FB4"/>
    <w:rsid w:val="006D1FE8"/>
    <w:rsid w:val="006D2068"/>
    <w:rsid w:val="006D22D4"/>
    <w:rsid w:val="006D2386"/>
    <w:rsid w:val="006D2391"/>
    <w:rsid w:val="006D24CF"/>
    <w:rsid w:val="006D2540"/>
    <w:rsid w:val="006D2589"/>
    <w:rsid w:val="006D25BC"/>
    <w:rsid w:val="006D272D"/>
    <w:rsid w:val="006D2738"/>
    <w:rsid w:val="006D2775"/>
    <w:rsid w:val="006D2924"/>
    <w:rsid w:val="006D2AAC"/>
    <w:rsid w:val="006D2C7B"/>
    <w:rsid w:val="006D2CF2"/>
    <w:rsid w:val="006D2D44"/>
    <w:rsid w:val="006D2DCB"/>
    <w:rsid w:val="006D2E02"/>
    <w:rsid w:val="006D2E03"/>
    <w:rsid w:val="006D2EA2"/>
    <w:rsid w:val="006D2ECB"/>
    <w:rsid w:val="006D2F5A"/>
    <w:rsid w:val="006D2FEC"/>
    <w:rsid w:val="006D305B"/>
    <w:rsid w:val="006D30B0"/>
    <w:rsid w:val="006D30F2"/>
    <w:rsid w:val="006D3139"/>
    <w:rsid w:val="006D32B5"/>
    <w:rsid w:val="006D333D"/>
    <w:rsid w:val="006D334F"/>
    <w:rsid w:val="006D3395"/>
    <w:rsid w:val="006D3413"/>
    <w:rsid w:val="006D35B0"/>
    <w:rsid w:val="006D35CE"/>
    <w:rsid w:val="006D3601"/>
    <w:rsid w:val="006D3615"/>
    <w:rsid w:val="006D367D"/>
    <w:rsid w:val="006D370E"/>
    <w:rsid w:val="006D372C"/>
    <w:rsid w:val="006D3772"/>
    <w:rsid w:val="006D3789"/>
    <w:rsid w:val="006D37B8"/>
    <w:rsid w:val="006D3830"/>
    <w:rsid w:val="006D3841"/>
    <w:rsid w:val="006D38BB"/>
    <w:rsid w:val="006D3901"/>
    <w:rsid w:val="006D3A9B"/>
    <w:rsid w:val="006D3B07"/>
    <w:rsid w:val="006D3B8D"/>
    <w:rsid w:val="006D3BC2"/>
    <w:rsid w:val="006D3C04"/>
    <w:rsid w:val="006D3C09"/>
    <w:rsid w:val="006D3C14"/>
    <w:rsid w:val="006D3CC3"/>
    <w:rsid w:val="006D3CE9"/>
    <w:rsid w:val="006D3D02"/>
    <w:rsid w:val="006D3D0C"/>
    <w:rsid w:val="006D3D79"/>
    <w:rsid w:val="006D3E32"/>
    <w:rsid w:val="006D4035"/>
    <w:rsid w:val="006D424E"/>
    <w:rsid w:val="006D42A9"/>
    <w:rsid w:val="006D42D6"/>
    <w:rsid w:val="006D430E"/>
    <w:rsid w:val="006D4384"/>
    <w:rsid w:val="006D4464"/>
    <w:rsid w:val="006D44EB"/>
    <w:rsid w:val="006D453C"/>
    <w:rsid w:val="006D460A"/>
    <w:rsid w:val="006D4686"/>
    <w:rsid w:val="006D468B"/>
    <w:rsid w:val="006D48B8"/>
    <w:rsid w:val="006D4904"/>
    <w:rsid w:val="006D4B44"/>
    <w:rsid w:val="006D4B9C"/>
    <w:rsid w:val="006D4C06"/>
    <w:rsid w:val="006D4C6E"/>
    <w:rsid w:val="006D4EB0"/>
    <w:rsid w:val="006D4EC6"/>
    <w:rsid w:val="006D4F96"/>
    <w:rsid w:val="006D4FA8"/>
    <w:rsid w:val="006D5071"/>
    <w:rsid w:val="006D507B"/>
    <w:rsid w:val="006D50C8"/>
    <w:rsid w:val="006D50E3"/>
    <w:rsid w:val="006D511B"/>
    <w:rsid w:val="006D5144"/>
    <w:rsid w:val="006D5274"/>
    <w:rsid w:val="006D53ED"/>
    <w:rsid w:val="006D5461"/>
    <w:rsid w:val="006D5475"/>
    <w:rsid w:val="006D549E"/>
    <w:rsid w:val="006D54EB"/>
    <w:rsid w:val="006D561C"/>
    <w:rsid w:val="006D57BA"/>
    <w:rsid w:val="006D57CD"/>
    <w:rsid w:val="006D5801"/>
    <w:rsid w:val="006D5836"/>
    <w:rsid w:val="006D594F"/>
    <w:rsid w:val="006D599A"/>
    <w:rsid w:val="006D59C9"/>
    <w:rsid w:val="006D5A23"/>
    <w:rsid w:val="006D5A3E"/>
    <w:rsid w:val="006D5A5D"/>
    <w:rsid w:val="006D5B4F"/>
    <w:rsid w:val="006D5DBC"/>
    <w:rsid w:val="006D5E50"/>
    <w:rsid w:val="006D5E80"/>
    <w:rsid w:val="006D5ECD"/>
    <w:rsid w:val="006D5F33"/>
    <w:rsid w:val="006D5FE3"/>
    <w:rsid w:val="006D6021"/>
    <w:rsid w:val="006D60C9"/>
    <w:rsid w:val="006D60CF"/>
    <w:rsid w:val="006D6127"/>
    <w:rsid w:val="006D6187"/>
    <w:rsid w:val="006D61C9"/>
    <w:rsid w:val="006D6200"/>
    <w:rsid w:val="006D623F"/>
    <w:rsid w:val="006D629C"/>
    <w:rsid w:val="006D62EC"/>
    <w:rsid w:val="006D6373"/>
    <w:rsid w:val="006D6458"/>
    <w:rsid w:val="006D64D2"/>
    <w:rsid w:val="006D6523"/>
    <w:rsid w:val="006D65F6"/>
    <w:rsid w:val="006D6603"/>
    <w:rsid w:val="006D6609"/>
    <w:rsid w:val="006D664B"/>
    <w:rsid w:val="006D6774"/>
    <w:rsid w:val="006D6780"/>
    <w:rsid w:val="006D696E"/>
    <w:rsid w:val="006D6A02"/>
    <w:rsid w:val="006D6AA0"/>
    <w:rsid w:val="006D6AB0"/>
    <w:rsid w:val="006D6ABE"/>
    <w:rsid w:val="006D6B0C"/>
    <w:rsid w:val="006D6B2B"/>
    <w:rsid w:val="006D6B41"/>
    <w:rsid w:val="006D6B7A"/>
    <w:rsid w:val="006D6CBD"/>
    <w:rsid w:val="006D6D57"/>
    <w:rsid w:val="006D6DCA"/>
    <w:rsid w:val="006D6E67"/>
    <w:rsid w:val="006D6E69"/>
    <w:rsid w:val="006D6F06"/>
    <w:rsid w:val="006D703C"/>
    <w:rsid w:val="006D704E"/>
    <w:rsid w:val="006D7113"/>
    <w:rsid w:val="006D711B"/>
    <w:rsid w:val="006D7220"/>
    <w:rsid w:val="006D7392"/>
    <w:rsid w:val="006D7394"/>
    <w:rsid w:val="006D73BC"/>
    <w:rsid w:val="006D74A8"/>
    <w:rsid w:val="006D7506"/>
    <w:rsid w:val="006D7531"/>
    <w:rsid w:val="006D7550"/>
    <w:rsid w:val="006D755A"/>
    <w:rsid w:val="006D7701"/>
    <w:rsid w:val="006D7785"/>
    <w:rsid w:val="006D790A"/>
    <w:rsid w:val="006D7940"/>
    <w:rsid w:val="006D795E"/>
    <w:rsid w:val="006D7962"/>
    <w:rsid w:val="006D796A"/>
    <w:rsid w:val="006D7A77"/>
    <w:rsid w:val="006D7AA6"/>
    <w:rsid w:val="006D7AC8"/>
    <w:rsid w:val="006D7B27"/>
    <w:rsid w:val="006D7C88"/>
    <w:rsid w:val="006D7CEE"/>
    <w:rsid w:val="006D7D1A"/>
    <w:rsid w:val="006D7D63"/>
    <w:rsid w:val="006D7D87"/>
    <w:rsid w:val="006D7E34"/>
    <w:rsid w:val="006D7EDF"/>
    <w:rsid w:val="006D7F2B"/>
    <w:rsid w:val="006E0018"/>
    <w:rsid w:val="006E00A7"/>
    <w:rsid w:val="006E00B6"/>
    <w:rsid w:val="006E010D"/>
    <w:rsid w:val="006E011E"/>
    <w:rsid w:val="006E0126"/>
    <w:rsid w:val="006E02F7"/>
    <w:rsid w:val="006E0399"/>
    <w:rsid w:val="006E03CB"/>
    <w:rsid w:val="006E0413"/>
    <w:rsid w:val="006E0445"/>
    <w:rsid w:val="006E04ED"/>
    <w:rsid w:val="006E050F"/>
    <w:rsid w:val="006E058A"/>
    <w:rsid w:val="006E058E"/>
    <w:rsid w:val="006E0642"/>
    <w:rsid w:val="006E06A9"/>
    <w:rsid w:val="006E06B0"/>
    <w:rsid w:val="006E06D8"/>
    <w:rsid w:val="006E0759"/>
    <w:rsid w:val="006E0847"/>
    <w:rsid w:val="006E08D7"/>
    <w:rsid w:val="006E099E"/>
    <w:rsid w:val="006E09E5"/>
    <w:rsid w:val="006E09F7"/>
    <w:rsid w:val="006E0A3F"/>
    <w:rsid w:val="006E0B86"/>
    <w:rsid w:val="006E0BE9"/>
    <w:rsid w:val="006E0C6B"/>
    <w:rsid w:val="006E0CB4"/>
    <w:rsid w:val="006E0CC8"/>
    <w:rsid w:val="006E0CDB"/>
    <w:rsid w:val="006E0D25"/>
    <w:rsid w:val="006E0D92"/>
    <w:rsid w:val="006E0D95"/>
    <w:rsid w:val="006E0E7A"/>
    <w:rsid w:val="006E0F11"/>
    <w:rsid w:val="006E1084"/>
    <w:rsid w:val="006E11AB"/>
    <w:rsid w:val="006E11D2"/>
    <w:rsid w:val="006E1214"/>
    <w:rsid w:val="006E122A"/>
    <w:rsid w:val="006E12C6"/>
    <w:rsid w:val="006E12D3"/>
    <w:rsid w:val="006E12FC"/>
    <w:rsid w:val="006E13B3"/>
    <w:rsid w:val="006E141F"/>
    <w:rsid w:val="006E142F"/>
    <w:rsid w:val="006E1478"/>
    <w:rsid w:val="006E1513"/>
    <w:rsid w:val="006E151D"/>
    <w:rsid w:val="006E1558"/>
    <w:rsid w:val="006E158E"/>
    <w:rsid w:val="006E1649"/>
    <w:rsid w:val="006E1684"/>
    <w:rsid w:val="006E1736"/>
    <w:rsid w:val="006E184B"/>
    <w:rsid w:val="006E191E"/>
    <w:rsid w:val="006E1AE5"/>
    <w:rsid w:val="006E1AEC"/>
    <w:rsid w:val="006E1AF9"/>
    <w:rsid w:val="006E1B34"/>
    <w:rsid w:val="006E1C22"/>
    <w:rsid w:val="006E1CFC"/>
    <w:rsid w:val="006E1E03"/>
    <w:rsid w:val="006E1EE6"/>
    <w:rsid w:val="006E203F"/>
    <w:rsid w:val="006E204C"/>
    <w:rsid w:val="006E214C"/>
    <w:rsid w:val="006E2167"/>
    <w:rsid w:val="006E2183"/>
    <w:rsid w:val="006E219D"/>
    <w:rsid w:val="006E221E"/>
    <w:rsid w:val="006E2361"/>
    <w:rsid w:val="006E2378"/>
    <w:rsid w:val="006E2384"/>
    <w:rsid w:val="006E2413"/>
    <w:rsid w:val="006E242D"/>
    <w:rsid w:val="006E244E"/>
    <w:rsid w:val="006E254F"/>
    <w:rsid w:val="006E2647"/>
    <w:rsid w:val="006E2691"/>
    <w:rsid w:val="006E26A8"/>
    <w:rsid w:val="006E2747"/>
    <w:rsid w:val="006E2769"/>
    <w:rsid w:val="006E277D"/>
    <w:rsid w:val="006E285D"/>
    <w:rsid w:val="006E28AA"/>
    <w:rsid w:val="006E2990"/>
    <w:rsid w:val="006E2A8E"/>
    <w:rsid w:val="006E2AA1"/>
    <w:rsid w:val="006E2B5C"/>
    <w:rsid w:val="006E2BB2"/>
    <w:rsid w:val="006E2C18"/>
    <w:rsid w:val="006E2C63"/>
    <w:rsid w:val="006E2C97"/>
    <w:rsid w:val="006E2C9D"/>
    <w:rsid w:val="006E2CF6"/>
    <w:rsid w:val="006E2D3F"/>
    <w:rsid w:val="006E2DC6"/>
    <w:rsid w:val="006E2E28"/>
    <w:rsid w:val="006E2E37"/>
    <w:rsid w:val="006E2EF0"/>
    <w:rsid w:val="006E2F1A"/>
    <w:rsid w:val="006E2F2A"/>
    <w:rsid w:val="006E2F2D"/>
    <w:rsid w:val="006E2FC7"/>
    <w:rsid w:val="006E2FC9"/>
    <w:rsid w:val="006E307B"/>
    <w:rsid w:val="006E30E1"/>
    <w:rsid w:val="006E3181"/>
    <w:rsid w:val="006E318C"/>
    <w:rsid w:val="006E31F6"/>
    <w:rsid w:val="006E3210"/>
    <w:rsid w:val="006E3225"/>
    <w:rsid w:val="006E3270"/>
    <w:rsid w:val="006E339B"/>
    <w:rsid w:val="006E352D"/>
    <w:rsid w:val="006E358C"/>
    <w:rsid w:val="006E37AF"/>
    <w:rsid w:val="006E38CB"/>
    <w:rsid w:val="006E38D5"/>
    <w:rsid w:val="006E3914"/>
    <w:rsid w:val="006E3962"/>
    <w:rsid w:val="006E3979"/>
    <w:rsid w:val="006E39B5"/>
    <w:rsid w:val="006E39F0"/>
    <w:rsid w:val="006E3B3E"/>
    <w:rsid w:val="006E3B70"/>
    <w:rsid w:val="006E3B99"/>
    <w:rsid w:val="006E3BA4"/>
    <w:rsid w:val="006E3C2E"/>
    <w:rsid w:val="006E3CAD"/>
    <w:rsid w:val="006E3D00"/>
    <w:rsid w:val="006E3D1B"/>
    <w:rsid w:val="006E3D54"/>
    <w:rsid w:val="006E3E44"/>
    <w:rsid w:val="006E41FF"/>
    <w:rsid w:val="006E4261"/>
    <w:rsid w:val="006E4334"/>
    <w:rsid w:val="006E4399"/>
    <w:rsid w:val="006E43D1"/>
    <w:rsid w:val="006E43F7"/>
    <w:rsid w:val="006E44E2"/>
    <w:rsid w:val="006E4522"/>
    <w:rsid w:val="006E4562"/>
    <w:rsid w:val="006E4587"/>
    <w:rsid w:val="006E46AC"/>
    <w:rsid w:val="006E4750"/>
    <w:rsid w:val="006E47CF"/>
    <w:rsid w:val="006E4834"/>
    <w:rsid w:val="006E4849"/>
    <w:rsid w:val="006E48F8"/>
    <w:rsid w:val="006E4914"/>
    <w:rsid w:val="006E4950"/>
    <w:rsid w:val="006E4A68"/>
    <w:rsid w:val="006E4ADE"/>
    <w:rsid w:val="006E4B00"/>
    <w:rsid w:val="006E4BAD"/>
    <w:rsid w:val="006E4BAE"/>
    <w:rsid w:val="006E4C90"/>
    <w:rsid w:val="006E4CDC"/>
    <w:rsid w:val="006E4DA8"/>
    <w:rsid w:val="006E4DF7"/>
    <w:rsid w:val="006E4E0F"/>
    <w:rsid w:val="006E4E87"/>
    <w:rsid w:val="006E4EAE"/>
    <w:rsid w:val="006E4EF9"/>
    <w:rsid w:val="006E4F62"/>
    <w:rsid w:val="006E4FA6"/>
    <w:rsid w:val="006E4FDB"/>
    <w:rsid w:val="006E4FDD"/>
    <w:rsid w:val="006E5115"/>
    <w:rsid w:val="006E5179"/>
    <w:rsid w:val="006E51BF"/>
    <w:rsid w:val="006E51F0"/>
    <w:rsid w:val="006E525A"/>
    <w:rsid w:val="006E5281"/>
    <w:rsid w:val="006E52DE"/>
    <w:rsid w:val="006E538E"/>
    <w:rsid w:val="006E53FA"/>
    <w:rsid w:val="006E5443"/>
    <w:rsid w:val="006E54DA"/>
    <w:rsid w:val="006E5520"/>
    <w:rsid w:val="006E5563"/>
    <w:rsid w:val="006E556E"/>
    <w:rsid w:val="006E5628"/>
    <w:rsid w:val="006E56CA"/>
    <w:rsid w:val="006E56FD"/>
    <w:rsid w:val="006E5701"/>
    <w:rsid w:val="006E5850"/>
    <w:rsid w:val="006E59CC"/>
    <w:rsid w:val="006E5A36"/>
    <w:rsid w:val="006E5A54"/>
    <w:rsid w:val="006E5A9E"/>
    <w:rsid w:val="006E5B32"/>
    <w:rsid w:val="006E5C0B"/>
    <w:rsid w:val="006E5C18"/>
    <w:rsid w:val="006E5C5F"/>
    <w:rsid w:val="006E5CAE"/>
    <w:rsid w:val="006E5E5C"/>
    <w:rsid w:val="006E5E60"/>
    <w:rsid w:val="006E5F66"/>
    <w:rsid w:val="006E616D"/>
    <w:rsid w:val="006E61C5"/>
    <w:rsid w:val="006E61F6"/>
    <w:rsid w:val="006E6206"/>
    <w:rsid w:val="006E6247"/>
    <w:rsid w:val="006E62D1"/>
    <w:rsid w:val="006E6443"/>
    <w:rsid w:val="006E644C"/>
    <w:rsid w:val="006E647C"/>
    <w:rsid w:val="006E64BE"/>
    <w:rsid w:val="006E6517"/>
    <w:rsid w:val="006E65EC"/>
    <w:rsid w:val="006E6817"/>
    <w:rsid w:val="006E68E6"/>
    <w:rsid w:val="006E6954"/>
    <w:rsid w:val="006E695A"/>
    <w:rsid w:val="006E6967"/>
    <w:rsid w:val="006E69DB"/>
    <w:rsid w:val="006E6A56"/>
    <w:rsid w:val="006E6A8E"/>
    <w:rsid w:val="006E6C23"/>
    <w:rsid w:val="006E6C4E"/>
    <w:rsid w:val="006E6C7D"/>
    <w:rsid w:val="006E6C92"/>
    <w:rsid w:val="006E6CAC"/>
    <w:rsid w:val="006E6D1C"/>
    <w:rsid w:val="006E6DCB"/>
    <w:rsid w:val="006E6DD7"/>
    <w:rsid w:val="006E6DF7"/>
    <w:rsid w:val="006E6E3D"/>
    <w:rsid w:val="006E6F16"/>
    <w:rsid w:val="006E6F21"/>
    <w:rsid w:val="006E7032"/>
    <w:rsid w:val="006E7049"/>
    <w:rsid w:val="006E7072"/>
    <w:rsid w:val="006E7143"/>
    <w:rsid w:val="006E7190"/>
    <w:rsid w:val="006E72D3"/>
    <w:rsid w:val="006E734B"/>
    <w:rsid w:val="006E73F2"/>
    <w:rsid w:val="006E7404"/>
    <w:rsid w:val="006E7421"/>
    <w:rsid w:val="006E7429"/>
    <w:rsid w:val="006E74B9"/>
    <w:rsid w:val="006E7507"/>
    <w:rsid w:val="006E750E"/>
    <w:rsid w:val="006E751F"/>
    <w:rsid w:val="006E7535"/>
    <w:rsid w:val="006E7569"/>
    <w:rsid w:val="006E7571"/>
    <w:rsid w:val="006E75A9"/>
    <w:rsid w:val="006E7646"/>
    <w:rsid w:val="006E7648"/>
    <w:rsid w:val="006E764A"/>
    <w:rsid w:val="006E7710"/>
    <w:rsid w:val="006E7724"/>
    <w:rsid w:val="006E775F"/>
    <w:rsid w:val="006E7811"/>
    <w:rsid w:val="006E78A9"/>
    <w:rsid w:val="006E78FD"/>
    <w:rsid w:val="006E7A2F"/>
    <w:rsid w:val="006E7A53"/>
    <w:rsid w:val="006E7AA6"/>
    <w:rsid w:val="006E7ABA"/>
    <w:rsid w:val="006E7AC5"/>
    <w:rsid w:val="006E7B89"/>
    <w:rsid w:val="006E7C26"/>
    <w:rsid w:val="006E7CF8"/>
    <w:rsid w:val="006E7D51"/>
    <w:rsid w:val="006E7D5F"/>
    <w:rsid w:val="006E7DB0"/>
    <w:rsid w:val="006E7E69"/>
    <w:rsid w:val="006E7EEE"/>
    <w:rsid w:val="006E7F43"/>
    <w:rsid w:val="006E7F4F"/>
    <w:rsid w:val="006E7FC3"/>
    <w:rsid w:val="006F0125"/>
    <w:rsid w:val="006F0126"/>
    <w:rsid w:val="006F0132"/>
    <w:rsid w:val="006F0164"/>
    <w:rsid w:val="006F0187"/>
    <w:rsid w:val="006F0304"/>
    <w:rsid w:val="006F034F"/>
    <w:rsid w:val="006F040A"/>
    <w:rsid w:val="006F0417"/>
    <w:rsid w:val="006F041F"/>
    <w:rsid w:val="006F044A"/>
    <w:rsid w:val="006F0538"/>
    <w:rsid w:val="006F062D"/>
    <w:rsid w:val="006F0662"/>
    <w:rsid w:val="006F0680"/>
    <w:rsid w:val="006F0699"/>
    <w:rsid w:val="006F06A0"/>
    <w:rsid w:val="006F06B9"/>
    <w:rsid w:val="006F07C7"/>
    <w:rsid w:val="006F07E8"/>
    <w:rsid w:val="006F0954"/>
    <w:rsid w:val="006F0ADD"/>
    <w:rsid w:val="006F0AED"/>
    <w:rsid w:val="006F0AFD"/>
    <w:rsid w:val="006F0B15"/>
    <w:rsid w:val="006F0B26"/>
    <w:rsid w:val="006F0BAB"/>
    <w:rsid w:val="006F0D03"/>
    <w:rsid w:val="006F0D10"/>
    <w:rsid w:val="006F0D3A"/>
    <w:rsid w:val="006F0D6B"/>
    <w:rsid w:val="006F0DBE"/>
    <w:rsid w:val="006F0E06"/>
    <w:rsid w:val="006F0F8F"/>
    <w:rsid w:val="006F0F91"/>
    <w:rsid w:val="006F0FBD"/>
    <w:rsid w:val="006F0FD2"/>
    <w:rsid w:val="006F106B"/>
    <w:rsid w:val="006F1125"/>
    <w:rsid w:val="006F12A5"/>
    <w:rsid w:val="006F12FC"/>
    <w:rsid w:val="006F1322"/>
    <w:rsid w:val="006F1333"/>
    <w:rsid w:val="006F13FD"/>
    <w:rsid w:val="006F1439"/>
    <w:rsid w:val="006F1511"/>
    <w:rsid w:val="006F1538"/>
    <w:rsid w:val="006F1570"/>
    <w:rsid w:val="006F15AE"/>
    <w:rsid w:val="006F1628"/>
    <w:rsid w:val="006F1648"/>
    <w:rsid w:val="006F169C"/>
    <w:rsid w:val="006F1781"/>
    <w:rsid w:val="006F17F3"/>
    <w:rsid w:val="006F18D3"/>
    <w:rsid w:val="006F1965"/>
    <w:rsid w:val="006F1997"/>
    <w:rsid w:val="006F19A7"/>
    <w:rsid w:val="006F19E2"/>
    <w:rsid w:val="006F1A0F"/>
    <w:rsid w:val="006F1B03"/>
    <w:rsid w:val="006F1B39"/>
    <w:rsid w:val="006F1C5B"/>
    <w:rsid w:val="006F1C6A"/>
    <w:rsid w:val="006F1CAD"/>
    <w:rsid w:val="006F1CB6"/>
    <w:rsid w:val="006F1CF3"/>
    <w:rsid w:val="006F1CFF"/>
    <w:rsid w:val="006F1D00"/>
    <w:rsid w:val="006F1D61"/>
    <w:rsid w:val="006F1DD2"/>
    <w:rsid w:val="006F1E1A"/>
    <w:rsid w:val="006F1E59"/>
    <w:rsid w:val="006F1F0C"/>
    <w:rsid w:val="006F1F2E"/>
    <w:rsid w:val="006F1F33"/>
    <w:rsid w:val="006F1F6D"/>
    <w:rsid w:val="006F202D"/>
    <w:rsid w:val="006F205E"/>
    <w:rsid w:val="006F207E"/>
    <w:rsid w:val="006F20E8"/>
    <w:rsid w:val="006F20F6"/>
    <w:rsid w:val="006F222C"/>
    <w:rsid w:val="006F2233"/>
    <w:rsid w:val="006F22C5"/>
    <w:rsid w:val="006F2308"/>
    <w:rsid w:val="006F2347"/>
    <w:rsid w:val="006F235C"/>
    <w:rsid w:val="006F239F"/>
    <w:rsid w:val="006F2426"/>
    <w:rsid w:val="006F2466"/>
    <w:rsid w:val="006F24A6"/>
    <w:rsid w:val="006F259A"/>
    <w:rsid w:val="006F25E1"/>
    <w:rsid w:val="006F2608"/>
    <w:rsid w:val="006F2827"/>
    <w:rsid w:val="006F291A"/>
    <w:rsid w:val="006F2CC2"/>
    <w:rsid w:val="006F2CEA"/>
    <w:rsid w:val="006F2DDD"/>
    <w:rsid w:val="006F2EEE"/>
    <w:rsid w:val="006F2F08"/>
    <w:rsid w:val="006F2F2E"/>
    <w:rsid w:val="006F2FA0"/>
    <w:rsid w:val="006F2FF5"/>
    <w:rsid w:val="006F319C"/>
    <w:rsid w:val="006F31FF"/>
    <w:rsid w:val="006F32A1"/>
    <w:rsid w:val="006F3383"/>
    <w:rsid w:val="006F341F"/>
    <w:rsid w:val="006F348C"/>
    <w:rsid w:val="006F34B6"/>
    <w:rsid w:val="006F34F6"/>
    <w:rsid w:val="006F369A"/>
    <w:rsid w:val="006F36E8"/>
    <w:rsid w:val="006F3809"/>
    <w:rsid w:val="006F38AE"/>
    <w:rsid w:val="006F396D"/>
    <w:rsid w:val="006F3B70"/>
    <w:rsid w:val="006F3BD9"/>
    <w:rsid w:val="006F3CB3"/>
    <w:rsid w:val="006F3D42"/>
    <w:rsid w:val="006F3E1C"/>
    <w:rsid w:val="006F3E6C"/>
    <w:rsid w:val="006F3F2C"/>
    <w:rsid w:val="006F3F44"/>
    <w:rsid w:val="006F3F57"/>
    <w:rsid w:val="006F3F67"/>
    <w:rsid w:val="006F4081"/>
    <w:rsid w:val="006F40D0"/>
    <w:rsid w:val="006F40DD"/>
    <w:rsid w:val="006F40FA"/>
    <w:rsid w:val="006F4127"/>
    <w:rsid w:val="006F4225"/>
    <w:rsid w:val="006F423F"/>
    <w:rsid w:val="006F42AB"/>
    <w:rsid w:val="006F42DA"/>
    <w:rsid w:val="006F43D1"/>
    <w:rsid w:val="006F447F"/>
    <w:rsid w:val="006F45E1"/>
    <w:rsid w:val="006F4640"/>
    <w:rsid w:val="006F4735"/>
    <w:rsid w:val="006F4748"/>
    <w:rsid w:val="006F47C6"/>
    <w:rsid w:val="006F4882"/>
    <w:rsid w:val="006F48C9"/>
    <w:rsid w:val="006F4907"/>
    <w:rsid w:val="006F49C5"/>
    <w:rsid w:val="006F4AD7"/>
    <w:rsid w:val="006F4C3F"/>
    <w:rsid w:val="006F4CDE"/>
    <w:rsid w:val="006F4E1D"/>
    <w:rsid w:val="006F4E8D"/>
    <w:rsid w:val="006F4F65"/>
    <w:rsid w:val="006F5022"/>
    <w:rsid w:val="006F502C"/>
    <w:rsid w:val="006F5052"/>
    <w:rsid w:val="006F50C0"/>
    <w:rsid w:val="006F5100"/>
    <w:rsid w:val="006F512E"/>
    <w:rsid w:val="006F5184"/>
    <w:rsid w:val="006F51F8"/>
    <w:rsid w:val="006F533A"/>
    <w:rsid w:val="006F537D"/>
    <w:rsid w:val="006F5425"/>
    <w:rsid w:val="006F5676"/>
    <w:rsid w:val="006F56C0"/>
    <w:rsid w:val="006F5749"/>
    <w:rsid w:val="006F5767"/>
    <w:rsid w:val="006F58C9"/>
    <w:rsid w:val="006F599D"/>
    <w:rsid w:val="006F59CC"/>
    <w:rsid w:val="006F59F8"/>
    <w:rsid w:val="006F5A6F"/>
    <w:rsid w:val="006F5AE3"/>
    <w:rsid w:val="006F5B2F"/>
    <w:rsid w:val="006F5B99"/>
    <w:rsid w:val="006F5BA9"/>
    <w:rsid w:val="006F5C55"/>
    <w:rsid w:val="006F5D58"/>
    <w:rsid w:val="006F5D75"/>
    <w:rsid w:val="006F5D84"/>
    <w:rsid w:val="006F5E51"/>
    <w:rsid w:val="006F601A"/>
    <w:rsid w:val="006F602E"/>
    <w:rsid w:val="006F60A8"/>
    <w:rsid w:val="006F60C6"/>
    <w:rsid w:val="006F6190"/>
    <w:rsid w:val="006F61F4"/>
    <w:rsid w:val="006F61FD"/>
    <w:rsid w:val="006F6265"/>
    <w:rsid w:val="006F62E4"/>
    <w:rsid w:val="006F638E"/>
    <w:rsid w:val="006F63CE"/>
    <w:rsid w:val="006F644F"/>
    <w:rsid w:val="006F64A8"/>
    <w:rsid w:val="006F64DC"/>
    <w:rsid w:val="006F64FF"/>
    <w:rsid w:val="006F6692"/>
    <w:rsid w:val="006F6723"/>
    <w:rsid w:val="006F6736"/>
    <w:rsid w:val="006F6845"/>
    <w:rsid w:val="006F697B"/>
    <w:rsid w:val="006F698B"/>
    <w:rsid w:val="006F6A1E"/>
    <w:rsid w:val="006F6A8E"/>
    <w:rsid w:val="006F6AB9"/>
    <w:rsid w:val="006F6B06"/>
    <w:rsid w:val="006F6BA6"/>
    <w:rsid w:val="006F6BA7"/>
    <w:rsid w:val="006F6BBC"/>
    <w:rsid w:val="006F6BF1"/>
    <w:rsid w:val="006F6BF6"/>
    <w:rsid w:val="006F6C0E"/>
    <w:rsid w:val="006F6C34"/>
    <w:rsid w:val="006F6CA9"/>
    <w:rsid w:val="006F6D00"/>
    <w:rsid w:val="006F6DE5"/>
    <w:rsid w:val="006F6ED2"/>
    <w:rsid w:val="006F6FB8"/>
    <w:rsid w:val="006F6FBB"/>
    <w:rsid w:val="006F6FFC"/>
    <w:rsid w:val="006F7076"/>
    <w:rsid w:val="006F7102"/>
    <w:rsid w:val="006F71C3"/>
    <w:rsid w:val="006F723C"/>
    <w:rsid w:val="006F72AE"/>
    <w:rsid w:val="006F72CF"/>
    <w:rsid w:val="006F7302"/>
    <w:rsid w:val="006F7331"/>
    <w:rsid w:val="006F7371"/>
    <w:rsid w:val="006F73C1"/>
    <w:rsid w:val="006F73CE"/>
    <w:rsid w:val="006F741D"/>
    <w:rsid w:val="006F745B"/>
    <w:rsid w:val="006F74BA"/>
    <w:rsid w:val="006F7526"/>
    <w:rsid w:val="006F758C"/>
    <w:rsid w:val="006F75F0"/>
    <w:rsid w:val="006F7622"/>
    <w:rsid w:val="006F764E"/>
    <w:rsid w:val="006F765D"/>
    <w:rsid w:val="006F7697"/>
    <w:rsid w:val="006F769A"/>
    <w:rsid w:val="006F76D8"/>
    <w:rsid w:val="006F76DD"/>
    <w:rsid w:val="006F77E5"/>
    <w:rsid w:val="006F7811"/>
    <w:rsid w:val="006F7893"/>
    <w:rsid w:val="006F78AE"/>
    <w:rsid w:val="006F78B9"/>
    <w:rsid w:val="006F78CD"/>
    <w:rsid w:val="006F7A83"/>
    <w:rsid w:val="006F7B80"/>
    <w:rsid w:val="006F7C58"/>
    <w:rsid w:val="006F7D60"/>
    <w:rsid w:val="006F7DF3"/>
    <w:rsid w:val="006F7EFE"/>
    <w:rsid w:val="006F7F7F"/>
    <w:rsid w:val="0070000D"/>
    <w:rsid w:val="00700018"/>
    <w:rsid w:val="0070007C"/>
    <w:rsid w:val="00700086"/>
    <w:rsid w:val="007000D9"/>
    <w:rsid w:val="00700125"/>
    <w:rsid w:val="00700128"/>
    <w:rsid w:val="0070013A"/>
    <w:rsid w:val="0070014E"/>
    <w:rsid w:val="007002CC"/>
    <w:rsid w:val="007003D4"/>
    <w:rsid w:val="00700413"/>
    <w:rsid w:val="0070048F"/>
    <w:rsid w:val="0070058A"/>
    <w:rsid w:val="007005D9"/>
    <w:rsid w:val="007006C6"/>
    <w:rsid w:val="007006D3"/>
    <w:rsid w:val="007007E1"/>
    <w:rsid w:val="0070081F"/>
    <w:rsid w:val="00700929"/>
    <w:rsid w:val="00700956"/>
    <w:rsid w:val="00700A0C"/>
    <w:rsid w:val="00700A2B"/>
    <w:rsid w:val="00700A42"/>
    <w:rsid w:val="00700A6A"/>
    <w:rsid w:val="00700AB3"/>
    <w:rsid w:val="00700B7C"/>
    <w:rsid w:val="00700B8D"/>
    <w:rsid w:val="00700C69"/>
    <w:rsid w:val="00700C9E"/>
    <w:rsid w:val="00700D0B"/>
    <w:rsid w:val="00700DAE"/>
    <w:rsid w:val="00700DF3"/>
    <w:rsid w:val="00700E2A"/>
    <w:rsid w:val="00700E6E"/>
    <w:rsid w:val="00700E79"/>
    <w:rsid w:val="00700E7F"/>
    <w:rsid w:val="00700E80"/>
    <w:rsid w:val="00700ED5"/>
    <w:rsid w:val="00700FB8"/>
    <w:rsid w:val="00701045"/>
    <w:rsid w:val="007010BD"/>
    <w:rsid w:val="00701112"/>
    <w:rsid w:val="00701123"/>
    <w:rsid w:val="0070112F"/>
    <w:rsid w:val="00701145"/>
    <w:rsid w:val="00701176"/>
    <w:rsid w:val="007011E7"/>
    <w:rsid w:val="007011F7"/>
    <w:rsid w:val="00701217"/>
    <w:rsid w:val="007012D1"/>
    <w:rsid w:val="0070131C"/>
    <w:rsid w:val="00701350"/>
    <w:rsid w:val="00701433"/>
    <w:rsid w:val="0070143C"/>
    <w:rsid w:val="0070149F"/>
    <w:rsid w:val="0070151A"/>
    <w:rsid w:val="00701543"/>
    <w:rsid w:val="0070156C"/>
    <w:rsid w:val="0070158D"/>
    <w:rsid w:val="007015D7"/>
    <w:rsid w:val="0070177E"/>
    <w:rsid w:val="0070178B"/>
    <w:rsid w:val="007018E8"/>
    <w:rsid w:val="00701931"/>
    <w:rsid w:val="00701A7C"/>
    <w:rsid w:val="00701A7D"/>
    <w:rsid w:val="00701A88"/>
    <w:rsid w:val="00701A8E"/>
    <w:rsid w:val="00701B1E"/>
    <w:rsid w:val="00701B94"/>
    <w:rsid w:val="00701C39"/>
    <w:rsid w:val="00701C85"/>
    <w:rsid w:val="00701CC5"/>
    <w:rsid w:val="00701DCC"/>
    <w:rsid w:val="00701F1B"/>
    <w:rsid w:val="00701F72"/>
    <w:rsid w:val="00701FBB"/>
    <w:rsid w:val="007020CF"/>
    <w:rsid w:val="007020D2"/>
    <w:rsid w:val="007021CE"/>
    <w:rsid w:val="007021D0"/>
    <w:rsid w:val="007022C3"/>
    <w:rsid w:val="007023B1"/>
    <w:rsid w:val="007023C7"/>
    <w:rsid w:val="007023EF"/>
    <w:rsid w:val="0070242B"/>
    <w:rsid w:val="00702482"/>
    <w:rsid w:val="007024AA"/>
    <w:rsid w:val="0070270E"/>
    <w:rsid w:val="00702758"/>
    <w:rsid w:val="007028C1"/>
    <w:rsid w:val="007028FB"/>
    <w:rsid w:val="0070290B"/>
    <w:rsid w:val="007029CD"/>
    <w:rsid w:val="00702A8B"/>
    <w:rsid w:val="00702B23"/>
    <w:rsid w:val="00702B66"/>
    <w:rsid w:val="00702B77"/>
    <w:rsid w:val="00702C0A"/>
    <w:rsid w:val="00702C4B"/>
    <w:rsid w:val="00702CD8"/>
    <w:rsid w:val="00702E17"/>
    <w:rsid w:val="00702E21"/>
    <w:rsid w:val="00702EE6"/>
    <w:rsid w:val="00702F14"/>
    <w:rsid w:val="00702F36"/>
    <w:rsid w:val="00702FBB"/>
    <w:rsid w:val="00703035"/>
    <w:rsid w:val="007030B8"/>
    <w:rsid w:val="007030C3"/>
    <w:rsid w:val="00703137"/>
    <w:rsid w:val="007031A0"/>
    <w:rsid w:val="007031FB"/>
    <w:rsid w:val="0070323F"/>
    <w:rsid w:val="00703348"/>
    <w:rsid w:val="007033A9"/>
    <w:rsid w:val="007033AE"/>
    <w:rsid w:val="00703406"/>
    <w:rsid w:val="00703589"/>
    <w:rsid w:val="007036C8"/>
    <w:rsid w:val="00703725"/>
    <w:rsid w:val="0070376C"/>
    <w:rsid w:val="00703788"/>
    <w:rsid w:val="0070378D"/>
    <w:rsid w:val="007039EB"/>
    <w:rsid w:val="00703A11"/>
    <w:rsid w:val="00703AB9"/>
    <w:rsid w:val="00703B44"/>
    <w:rsid w:val="00703C33"/>
    <w:rsid w:val="00703F28"/>
    <w:rsid w:val="00704013"/>
    <w:rsid w:val="0070405B"/>
    <w:rsid w:val="00704062"/>
    <w:rsid w:val="007041C3"/>
    <w:rsid w:val="007041D2"/>
    <w:rsid w:val="007042AA"/>
    <w:rsid w:val="007042DC"/>
    <w:rsid w:val="00704307"/>
    <w:rsid w:val="0070430C"/>
    <w:rsid w:val="007043D8"/>
    <w:rsid w:val="00704420"/>
    <w:rsid w:val="007044DF"/>
    <w:rsid w:val="00704533"/>
    <w:rsid w:val="0070457E"/>
    <w:rsid w:val="007047D0"/>
    <w:rsid w:val="0070482C"/>
    <w:rsid w:val="00704922"/>
    <w:rsid w:val="00704952"/>
    <w:rsid w:val="00704955"/>
    <w:rsid w:val="00704984"/>
    <w:rsid w:val="007049B6"/>
    <w:rsid w:val="00704AC4"/>
    <w:rsid w:val="00704AD2"/>
    <w:rsid w:val="00704B57"/>
    <w:rsid w:val="00704BAF"/>
    <w:rsid w:val="00704BCC"/>
    <w:rsid w:val="00704CCE"/>
    <w:rsid w:val="00704D74"/>
    <w:rsid w:val="00704DA7"/>
    <w:rsid w:val="00704E0D"/>
    <w:rsid w:val="00704EA0"/>
    <w:rsid w:val="00704F50"/>
    <w:rsid w:val="00704F78"/>
    <w:rsid w:val="00705096"/>
    <w:rsid w:val="007051B7"/>
    <w:rsid w:val="00705312"/>
    <w:rsid w:val="00705336"/>
    <w:rsid w:val="00705376"/>
    <w:rsid w:val="007053E5"/>
    <w:rsid w:val="0070540D"/>
    <w:rsid w:val="0070552D"/>
    <w:rsid w:val="00705531"/>
    <w:rsid w:val="0070569E"/>
    <w:rsid w:val="007056D7"/>
    <w:rsid w:val="0070576F"/>
    <w:rsid w:val="0070578F"/>
    <w:rsid w:val="007057B7"/>
    <w:rsid w:val="007058C2"/>
    <w:rsid w:val="00705A19"/>
    <w:rsid w:val="00705A71"/>
    <w:rsid w:val="00705AFE"/>
    <w:rsid w:val="00705B02"/>
    <w:rsid w:val="00705B0C"/>
    <w:rsid w:val="00705B26"/>
    <w:rsid w:val="00705B2A"/>
    <w:rsid w:val="00705B5E"/>
    <w:rsid w:val="00705B68"/>
    <w:rsid w:val="00705DBA"/>
    <w:rsid w:val="00705F54"/>
    <w:rsid w:val="00705FE5"/>
    <w:rsid w:val="00706002"/>
    <w:rsid w:val="0070601A"/>
    <w:rsid w:val="00706026"/>
    <w:rsid w:val="0070607E"/>
    <w:rsid w:val="007060B6"/>
    <w:rsid w:val="00706147"/>
    <w:rsid w:val="007061A9"/>
    <w:rsid w:val="007061DA"/>
    <w:rsid w:val="007062E3"/>
    <w:rsid w:val="00706389"/>
    <w:rsid w:val="0070641D"/>
    <w:rsid w:val="00706450"/>
    <w:rsid w:val="00706516"/>
    <w:rsid w:val="00706539"/>
    <w:rsid w:val="0070654A"/>
    <w:rsid w:val="007065AB"/>
    <w:rsid w:val="007065B8"/>
    <w:rsid w:val="007065C5"/>
    <w:rsid w:val="00706630"/>
    <w:rsid w:val="0070667C"/>
    <w:rsid w:val="00706909"/>
    <w:rsid w:val="00706937"/>
    <w:rsid w:val="00706967"/>
    <w:rsid w:val="00706A37"/>
    <w:rsid w:val="00706ADE"/>
    <w:rsid w:val="00706BC8"/>
    <w:rsid w:val="00706BD5"/>
    <w:rsid w:val="00706D32"/>
    <w:rsid w:val="00706D8E"/>
    <w:rsid w:val="00706E22"/>
    <w:rsid w:val="00706EAC"/>
    <w:rsid w:val="00706EEC"/>
    <w:rsid w:val="007070D5"/>
    <w:rsid w:val="007071C0"/>
    <w:rsid w:val="0070720E"/>
    <w:rsid w:val="007072A1"/>
    <w:rsid w:val="0070734A"/>
    <w:rsid w:val="007073A7"/>
    <w:rsid w:val="007073D7"/>
    <w:rsid w:val="00707411"/>
    <w:rsid w:val="007074B2"/>
    <w:rsid w:val="00707514"/>
    <w:rsid w:val="007075C7"/>
    <w:rsid w:val="007075FD"/>
    <w:rsid w:val="00707631"/>
    <w:rsid w:val="007076B6"/>
    <w:rsid w:val="007076E4"/>
    <w:rsid w:val="00707767"/>
    <w:rsid w:val="007077AF"/>
    <w:rsid w:val="007077EF"/>
    <w:rsid w:val="007077FF"/>
    <w:rsid w:val="00707897"/>
    <w:rsid w:val="007078F4"/>
    <w:rsid w:val="00707959"/>
    <w:rsid w:val="0070798B"/>
    <w:rsid w:val="00707A27"/>
    <w:rsid w:val="00707AB0"/>
    <w:rsid w:val="00707BDC"/>
    <w:rsid w:val="00707C57"/>
    <w:rsid w:val="00707D27"/>
    <w:rsid w:val="00707D65"/>
    <w:rsid w:val="00707ECE"/>
    <w:rsid w:val="00707EF3"/>
    <w:rsid w:val="00707F3C"/>
    <w:rsid w:val="00707F70"/>
    <w:rsid w:val="00707FBA"/>
    <w:rsid w:val="0071015F"/>
    <w:rsid w:val="007101C0"/>
    <w:rsid w:val="0071023C"/>
    <w:rsid w:val="00710244"/>
    <w:rsid w:val="00710268"/>
    <w:rsid w:val="0071035B"/>
    <w:rsid w:val="007103B6"/>
    <w:rsid w:val="0071049B"/>
    <w:rsid w:val="007104EB"/>
    <w:rsid w:val="007104ED"/>
    <w:rsid w:val="00710533"/>
    <w:rsid w:val="0071055E"/>
    <w:rsid w:val="00710585"/>
    <w:rsid w:val="007105BE"/>
    <w:rsid w:val="007105EF"/>
    <w:rsid w:val="0071069B"/>
    <w:rsid w:val="007106A6"/>
    <w:rsid w:val="0071080C"/>
    <w:rsid w:val="007108A7"/>
    <w:rsid w:val="00710A55"/>
    <w:rsid w:val="00710AA9"/>
    <w:rsid w:val="00710ADB"/>
    <w:rsid w:val="00710AE6"/>
    <w:rsid w:val="00710AE8"/>
    <w:rsid w:val="00710C67"/>
    <w:rsid w:val="00710CB4"/>
    <w:rsid w:val="00710CC2"/>
    <w:rsid w:val="00710CE3"/>
    <w:rsid w:val="00710DB5"/>
    <w:rsid w:val="00710DE5"/>
    <w:rsid w:val="00710EB3"/>
    <w:rsid w:val="00710F41"/>
    <w:rsid w:val="0071118C"/>
    <w:rsid w:val="0071124C"/>
    <w:rsid w:val="0071126D"/>
    <w:rsid w:val="007112B8"/>
    <w:rsid w:val="0071130E"/>
    <w:rsid w:val="00711364"/>
    <w:rsid w:val="0071136B"/>
    <w:rsid w:val="00711379"/>
    <w:rsid w:val="0071145B"/>
    <w:rsid w:val="007114A4"/>
    <w:rsid w:val="00711689"/>
    <w:rsid w:val="00711692"/>
    <w:rsid w:val="007116DB"/>
    <w:rsid w:val="0071174D"/>
    <w:rsid w:val="007117D8"/>
    <w:rsid w:val="00711837"/>
    <w:rsid w:val="007119C7"/>
    <w:rsid w:val="00711A40"/>
    <w:rsid w:val="00711B09"/>
    <w:rsid w:val="00711BE1"/>
    <w:rsid w:val="00711CBC"/>
    <w:rsid w:val="00711CDD"/>
    <w:rsid w:val="00711D7D"/>
    <w:rsid w:val="00711F98"/>
    <w:rsid w:val="00711FCB"/>
    <w:rsid w:val="00711FFE"/>
    <w:rsid w:val="00712043"/>
    <w:rsid w:val="0071209C"/>
    <w:rsid w:val="007121C9"/>
    <w:rsid w:val="007121DF"/>
    <w:rsid w:val="007122A5"/>
    <w:rsid w:val="007122D6"/>
    <w:rsid w:val="0071232A"/>
    <w:rsid w:val="00712389"/>
    <w:rsid w:val="00712430"/>
    <w:rsid w:val="00712445"/>
    <w:rsid w:val="007124BA"/>
    <w:rsid w:val="0071267B"/>
    <w:rsid w:val="007127A0"/>
    <w:rsid w:val="0071280D"/>
    <w:rsid w:val="007128CF"/>
    <w:rsid w:val="007128D9"/>
    <w:rsid w:val="007128F4"/>
    <w:rsid w:val="0071293A"/>
    <w:rsid w:val="00712957"/>
    <w:rsid w:val="007129CA"/>
    <w:rsid w:val="007129FD"/>
    <w:rsid w:val="00712A89"/>
    <w:rsid w:val="00712B1A"/>
    <w:rsid w:val="00712B75"/>
    <w:rsid w:val="00712C10"/>
    <w:rsid w:val="00712C48"/>
    <w:rsid w:val="00712CCE"/>
    <w:rsid w:val="00712D83"/>
    <w:rsid w:val="00712DFA"/>
    <w:rsid w:val="00712E55"/>
    <w:rsid w:val="00712EE2"/>
    <w:rsid w:val="00712F36"/>
    <w:rsid w:val="00713143"/>
    <w:rsid w:val="00713146"/>
    <w:rsid w:val="0071318D"/>
    <w:rsid w:val="00713208"/>
    <w:rsid w:val="0071328E"/>
    <w:rsid w:val="0071330F"/>
    <w:rsid w:val="00713319"/>
    <w:rsid w:val="0071336D"/>
    <w:rsid w:val="0071337F"/>
    <w:rsid w:val="007133A5"/>
    <w:rsid w:val="0071341D"/>
    <w:rsid w:val="00713469"/>
    <w:rsid w:val="0071348E"/>
    <w:rsid w:val="00713582"/>
    <w:rsid w:val="00713593"/>
    <w:rsid w:val="007135A8"/>
    <w:rsid w:val="00713651"/>
    <w:rsid w:val="007136FA"/>
    <w:rsid w:val="00713823"/>
    <w:rsid w:val="0071392B"/>
    <w:rsid w:val="007139DB"/>
    <w:rsid w:val="00713BD3"/>
    <w:rsid w:val="00713C03"/>
    <w:rsid w:val="00713C19"/>
    <w:rsid w:val="00713CAB"/>
    <w:rsid w:val="00713CFB"/>
    <w:rsid w:val="00713DDA"/>
    <w:rsid w:val="00713E13"/>
    <w:rsid w:val="00713E30"/>
    <w:rsid w:val="00713ED3"/>
    <w:rsid w:val="00713F5D"/>
    <w:rsid w:val="00713F9E"/>
    <w:rsid w:val="007140F2"/>
    <w:rsid w:val="00714123"/>
    <w:rsid w:val="007142CD"/>
    <w:rsid w:val="0071434D"/>
    <w:rsid w:val="00714383"/>
    <w:rsid w:val="0071440B"/>
    <w:rsid w:val="007144B3"/>
    <w:rsid w:val="007144E0"/>
    <w:rsid w:val="0071450E"/>
    <w:rsid w:val="00714554"/>
    <w:rsid w:val="0071462C"/>
    <w:rsid w:val="007146E7"/>
    <w:rsid w:val="007147AB"/>
    <w:rsid w:val="007147D1"/>
    <w:rsid w:val="00714908"/>
    <w:rsid w:val="00714A3B"/>
    <w:rsid w:val="00714A4B"/>
    <w:rsid w:val="00714AFC"/>
    <w:rsid w:val="00714B0A"/>
    <w:rsid w:val="00714B53"/>
    <w:rsid w:val="00714BAC"/>
    <w:rsid w:val="00714DA2"/>
    <w:rsid w:val="00714F22"/>
    <w:rsid w:val="00714FA5"/>
    <w:rsid w:val="007150A0"/>
    <w:rsid w:val="00715169"/>
    <w:rsid w:val="0071518B"/>
    <w:rsid w:val="00715289"/>
    <w:rsid w:val="00715381"/>
    <w:rsid w:val="007153B5"/>
    <w:rsid w:val="00715464"/>
    <w:rsid w:val="0071549B"/>
    <w:rsid w:val="007154ED"/>
    <w:rsid w:val="0071555C"/>
    <w:rsid w:val="007156BD"/>
    <w:rsid w:val="007157EB"/>
    <w:rsid w:val="0071580C"/>
    <w:rsid w:val="00715834"/>
    <w:rsid w:val="00715843"/>
    <w:rsid w:val="0071586B"/>
    <w:rsid w:val="00715896"/>
    <w:rsid w:val="0071590D"/>
    <w:rsid w:val="00715973"/>
    <w:rsid w:val="00715983"/>
    <w:rsid w:val="00715999"/>
    <w:rsid w:val="00715A01"/>
    <w:rsid w:val="00715B45"/>
    <w:rsid w:val="00715B8D"/>
    <w:rsid w:val="00715B99"/>
    <w:rsid w:val="00715D08"/>
    <w:rsid w:val="00715E02"/>
    <w:rsid w:val="00715E08"/>
    <w:rsid w:val="00715EDA"/>
    <w:rsid w:val="00715F63"/>
    <w:rsid w:val="00716008"/>
    <w:rsid w:val="0071605E"/>
    <w:rsid w:val="00716072"/>
    <w:rsid w:val="0071607B"/>
    <w:rsid w:val="0071609A"/>
    <w:rsid w:val="007160C6"/>
    <w:rsid w:val="007161AB"/>
    <w:rsid w:val="007161D3"/>
    <w:rsid w:val="00716270"/>
    <w:rsid w:val="0071631A"/>
    <w:rsid w:val="007163A0"/>
    <w:rsid w:val="007165C4"/>
    <w:rsid w:val="007165D2"/>
    <w:rsid w:val="00716691"/>
    <w:rsid w:val="00716713"/>
    <w:rsid w:val="00716739"/>
    <w:rsid w:val="007168D4"/>
    <w:rsid w:val="00716913"/>
    <w:rsid w:val="0071691D"/>
    <w:rsid w:val="00716924"/>
    <w:rsid w:val="00716A86"/>
    <w:rsid w:val="00716AFF"/>
    <w:rsid w:val="00716BED"/>
    <w:rsid w:val="00716C09"/>
    <w:rsid w:val="00716C6D"/>
    <w:rsid w:val="00716CB1"/>
    <w:rsid w:val="00716CBE"/>
    <w:rsid w:val="00716D3B"/>
    <w:rsid w:val="00716DC8"/>
    <w:rsid w:val="00716E39"/>
    <w:rsid w:val="00716F31"/>
    <w:rsid w:val="00716FCC"/>
    <w:rsid w:val="00716FD0"/>
    <w:rsid w:val="0071700A"/>
    <w:rsid w:val="0071705D"/>
    <w:rsid w:val="0071708F"/>
    <w:rsid w:val="007170A0"/>
    <w:rsid w:val="007170E3"/>
    <w:rsid w:val="00717118"/>
    <w:rsid w:val="00717259"/>
    <w:rsid w:val="007172E6"/>
    <w:rsid w:val="0071731F"/>
    <w:rsid w:val="00717379"/>
    <w:rsid w:val="00717402"/>
    <w:rsid w:val="00717448"/>
    <w:rsid w:val="007174D9"/>
    <w:rsid w:val="0071751C"/>
    <w:rsid w:val="007176C7"/>
    <w:rsid w:val="0071770F"/>
    <w:rsid w:val="00717713"/>
    <w:rsid w:val="00717720"/>
    <w:rsid w:val="00717728"/>
    <w:rsid w:val="0071780F"/>
    <w:rsid w:val="007178E2"/>
    <w:rsid w:val="007178F2"/>
    <w:rsid w:val="00717A51"/>
    <w:rsid w:val="00717AA4"/>
    <w:rsid w:val="00717ACB"/>
    <w:rsid w:val="00717C73"/>
    <w:rsid w:val="00717DAB"/>
    <w:rsid w:val="00717E6B"/>
    <w:rsid w:val="00717E6E"/>
    <w:rsid w:val="00717F3F"/>
    <w:rsid w:val="00720023"/>
    <w:rsid w:val="007200BD"/>
    <w:rsid w:val="007200DF"/>
    <w:rsid w:val="0072011C"/>
    <w:rsid w:val="0072014F"/>
    <w:rsid w:val="0072017F"/>
    <w:rsid w:val="0072018D"/>
    <w:rsid w:val="00720211"/>
    <w:rsid w:val="007202AA"/>
    <w:rsid w:val="0072036C"/>
    <w:rsid w:val="007203A3"/>
    <w:rsid w:val="0072042F"/>
    <w:rsid w:val="00720445"/>
    <w:rsid w:val="0072044E"/>
    <w:rsid w:val="0072046A"/>
    <w:rsid w:val="00720534"/>
    <w:rsid w:val="00720555"/>
    <w:rsid w:val="0072056E"/>
    <w:rsid w:val="00720619"/>
    <w:rsid w:val="00720678"/>
    <w:rsid w:val="00720731"/>
    <w:rsid w:val="0072077A"/>
    <w:rsid w:val="007207F2"/>
    <w:rsid w:val="007208AC"/>
    <w:rsid w:val="0072093C"/>
    <w:rsid w:val="00720AC6"/>
    <w:rsid w:val="00720B31"/>
    <w:rsid w:val="00720B95"/>
    <w:rsid w:val="00720BCA"/>
    <w:rsid w:val="00720C35"/>
    <w:rsid w:val="00720C5F"/>
    <w:rsid w:val="00720C82"/>
    <w:rsid w:val="00720CCD"/>
    <w:rsid w:val="00720E60"/>
    <w:rsid w:val="00720EF0"/>
    <w:rsid w:val="00721032"/>
    <w:rsid w:val="00721122"/>
    <w:rsid w:val="00721271"/>
    <w:rsid w:val="007212B1"/>
    <w:rsid w:val="007212F1"/>
    <w:rsid w:val="00721343"/>
    <w:rsid w:val="007213D3"/>
    <w:rsid w:val="00721442"/>
    <w:rsid w:val="00721493"/>
    <w:rsid w:val="00721533"/>
    <w:rsid w:val="00721619"/>
    <w:rsid w:val="00721633"/>
    <w:rsid w:val="00721648"/>
    <w:rsid w:val="007217B1"/>
    <w:rsid w:val="0072181E"/>
    <w:rsid w:val="0072193E"/>
    <w:rsid w:val="0072194E"/>
    <w:rsid w:val="0072195D"/>
    <w:rsid w:val="00721A7D"/>
    <w:rsid w:val="00721B27"/>
    <w:rsid w:val="00721B74"/>
    <w:rsid w:val="00721C1D"/>
    <w:rsid w:val="00721C96"/>
    <w:rsid w:val="00721D03"/>
    <w:rsid w:val="00721D0B"/>
    <w:rsid w:val="00721D20"/>
    <w:rsid w:val="00721DF7"/>
    <w:rsid w:val="00721E0D"/>
    <w:rsid w:val="00721E4C"/>
    <w:rsid w:val="00721E61"/>
    <w:rsid w:val="00721F5D"/>
    <w:rsid w:val="00722102"/>
    <w:rsid w:val="007221E2"/>
    <w:rsid w:val="00722253"/>
    <w:rsid w:val="007222CD"/>
    <w:rsid w:val="00722336"/>
    <w:rsid w:val="00722348"/>
    <w:rsid w:val="007223F2"/>
    <w:rsid w:val="007223FB"/>
    <w:rsid w:val="00722486"/>
    <w:rsid w:val="007224AE"/>
    <w:rsid w:val="00722506"/>
    <w:rsid w:val="00722517"/>
    <w:rsid w:val="0072252C"/>
    <w:rsid w:val="00722642"/>
    <w:rsid w:val="00722661"/>
    <w:rsid w:val="007227E4"/>
    <w:rsid w:val="0072292D"/>
    <w:rsid w:val="00722934"/>
    <w:rsid w:val="00722947"/>
    <w:rsid w:val="00722981"/>
    <w:rsid w:val="007229CC"/>
    <w:rsid w:val="00722A14"/>
    <w:rsid w:val="00722A9E"/>
    <w:rsid w:val="00722AB3"/>
    <w:rsid w:val="00722AD9"/>
    <w:rsid w:val="00722B81"/>
    <w:rsid w:val="00722BBB"/>
    <w:rsid w:val="00722C36"/>
    <w:rsid w:val="00722CCB"/>
    <w:rsid w:val="00722D6B"/>
    <w:rsid w:val="00722D9C"/>
    <w:rsid w:val="00722E18"/>
    <w:rsid w:val="00722E91"/>
    <w:rsid w:val="00722EC0"/>
    <w:rsid w:val="0072318B"/>
    <w:rsid w:val="007231A1"/>
    <w:rsid w:val="007231BD"/>
    <w:rsid w:val="0072339A"/>
    <w:rsid w:val="00723457"/>
    <w:rsid w:val="007235C3"/>
    <w:rsid w:val="007235F1"/>
    <w:rsid w:val="007235F6"/>
    <w:rsid w:val="00723642"/>
    <w:rsid w:val="0072365E"/>
    <w:rsid w:val="00723681"/>
    <w:rsid w:val="007236AF"/>
    <w:rsid w:val="007236E2"/>
    <w:rsid w:val="007236FF"/>
    <w:rsid w:val="007237A1"/>
    <w:rsid w:val="00723981"/>
    <w:rsid w:val="007239A0"/>
    <w:rsid w:val="00723A61"/>
    <w:rsid w:val="00723A70"/>
    <w:rsid w:val="00723A74"/>
    <w:rsid w:val="00723B11"/>
    <w:rsid w:val="00723B1E"/>
    <w:rsid w:val="00723B5B"/>
    <w:rsid w:val="00723C27"/>
    <w:rsid w:val="00723C48"/>
    <w:rsid w:val="00723CB9"/>
    <w:rsid w:val="00723D3C"/>
    <w:rsid w:val="00723E3F"/>
    <w:rsid w:val="00723E8A"/>
    <w:rsid w:val="00723EE5"/>
    <w:rsid w:val="00723EEC"/>
    <w:rsid w:val="00723F12"/>
    <w:rsid w:val="00723F31"/>
    <w:rsid w:val="00724012"/>
    <w:rsid w:val="00724052"/>
    <w:rsid w:val="00724061"/>
    <w:rsid w:val="0072409C"/>
    <w:rsid w:val="007240B6"/>
    <w:rsid w:val="007240BC"/>
    <w:rsid w:val="007240BF"/>
    <w:rsid w:val="007240E6"/>
    <w:rsid w:val="00724297"/>
    <w:rsid w:val="007243F3"/>
    <w:rsid w:val="00724509"/>
    <w:rsid w:val="00724514"/>
    <w:rsid w:val="0072451B"/>
    <w:rsid w:val="007245EE"/>
    <w:rsid w:val="007245FE"/>
    <w:rsid w:val="0072460E"/>
    <w:rsid w:val="00724665"/>
    <w:rsid w:val="007246F7"/>
    <w:rsid w:val="00724703"/>
    <w:rsid w:val="0072471E"/>
    <w:rsid w:val="0072472E"/>
    <w:rsid w:val="00724807"/>
    <w:rsid w:val="0072482A"/>
    <w:rsid w:val="007248FF"/>
    <w:rsid w:val="0072498D"/>
    <w:rsid w:val="007249D0"/>
    <w:rsid w:val="007249D8"/>
    <w:rsid w:val="00724A4A"/>
    <w:rsid w:val="00724A6A"/>
    <w:rsid w:val="00724BD4"/>
    <w:rsid w:val="00724CA1"/>
    <w:rsid w:val="00724CB3"/>
    <w:rsid w:val="00724D7E"/>
    <w:rsid w:val="00724DA5"/>
    <w:rsid w:val="00724E6E"/>
    <w:rsid w:val="00724EC2"/>
    <w:rsid w:val="00724F6A"/>
    <w:rsid w:val="00725026"/>
    <w:rsid w:val="00725214"/>
    <w:rsid w:val="0072521C"/>
    <w:rsid w:val="00725461"/>
    <w:rsid w:val="00725564"/>
    <w:rsid w:val="00725579"/>
    <w:rsid w:val="00725607"/>
    <w:rsid w:val="00725631"/>
    <w:rsid w:val="0072570A"/>
    <w:rsid w:val="00725750"/>
    <w:rsid w:val="0072579E"/>
    <w:rsid w:val="007257C7"/>
    <w:rsid w:val="00725804"/>
    <w:rsid w:val="00725822"/>
    <w:rsid w:val="007258D7"/>
    <w:rsid w:val="00725B53"/>
    <w:rsid w:val="00725BE2"/>
    <w:rsid w:val="00725CB8"/>
    <w:rsid w:val="00725D5A"/>
    <w:rsid w:val="00725DFE"/>
    <w:rsid w:val="00725E76"/>
    <w:rsid w:val="00725F08"/>
    <w:rsid w:val="00725F49"/>
    <w:rsid w:val="00725F77"/>
    <w:rsid w:val="007260C7"/>
    <w:rsid w:val="00726133"/>
    <w:rsid w:val="007261D1"/>
    <w:rsid w:val="007262F3"/>
    <w:rsid w:val="00726363"/>
    <w:rsid w:val="0072646B"/>
    <w:rsid w:val="00726494"/>
    <w:rsid w:val="007264B0"/>
    <w:rsid w:val="0072654B"/>
    <w:rsid w:val="00726565"/>
    <w:rsid w:val="007265A1"/>
    <w:rsid w:val="007265F0"/>
    <w:rsid w:val="00726600"/>
    <w:rsid w:val="0072663E"/>
    <w:rsid w:val="00726669"/>
    <w:rsid w:val="007266FE"/>
    <w:rsid w:val="007267E6"/>
    <w:rsid w:val="007268AF"/>
    <w:rsid w:val="007268D6"/>
    <w:rsid w:val="00726958"/>
    <w:rsid w:val="00726977"/>
    <w:rsid w:val="00726984"/>
    <w:rsid w:val="00726A7D"/>
    <w:rsid w:val="00726B12"/>
    <w:rsid w:val="00726BDC"/>
    <w:rsid w:val="00726DED"/>
    <w:rsid w:val="00726E6B"/>
    <w:rsid w:val="00726EE1"/>
    <w:rsid w:val="00726F10"/>
    <w:rsid w:val="00726F59"/>
    <w:rsid w:val="00726FE2"/>
    <w:rsid w:val="007270D6"/>
    <w:rsid w:val="007270FA"/>
    <w:rsid w:val="0072712B"/>
    <w:rsid w:val="007271A7"/>
    <w:rsid w:val="0072720C"/>
    <w:rsid w:val="0072721B"/>
    <w:rsid w:val="00727275"/>
    <w:rsid w:val="00727282"/>
    <w:rsid w:val="00727328"/>
    <w:rsid w:val="00727345"/>
    <w:rsid w:val="00727348"/>
    <w:rsid w:val="00727674"/>
    <w:rsid w:val="0072770E"/>
    <w:rsid w:val="00727723"/>
    <w:rsid w:val="007277C3"/>
    <w:rsid w:val="007277CB"/>
    <w:rsid w:val="007278A9"/>
    <w:rsid w:val="007278EF"/>
    <w:rsid w:val="0072791B"/>
    <w:rsid w:val="0072794E"/>
    <w:rsid w:val="007279B8"/>
    <w:rsid w:val="00727A25"/>
    <w:rsid w:val="00727ABF"/>
    <w:rsid w:val="00727AF8"/>
    <w:rsid w:val="00727C0D"/>
    <w:rsid w:val="00727C97"/>
    <w:rsid w:val="00727E38"/>
    <w:rsid w:val="00727E78"/>
    <w:rsid w:val="00727F6B"/>
    <w:rsid w:val="00727FED"/>
    <w:rsid w:val="00727FEF"/>
    <w:rsid w:val="007300E1"/>
    <w:rsid w:val="0073011B"/>
    <w:rsid w:val="007301C3"/>
    <w:rsid w:val="007302B4"/>
    <w:rsid w:val="00730314"/>
    <w:rsid w:val="00730366"/>
    <w:rsid w:val="0073039D"/>
    <w:rsid w:val="007304AE"/>
    <w:rsid w:val="0073063F"/>
    <w:rsid w:val="007306E6"/>
    <w:rsid w:val="007306EE"/>
    <w:rsid w:val="007306F0"/>
    <w:rsid w:val="00730720"/>
    <w:rsid w:val="00730785"/>
    <w:rsid w:val="00730796"/>
    <w:rsid w:val="007307B7"/>
    <w:rsid w:val="00730843"/>
    <w:rsid w:val="007308CA"/>
    <w:rsid w:val="007308E4"/>
    <w:rsid w:val="00730920"/>
    <w:rsid w:val="0073095A"/>
    <w:rsid w:val="00730993"/>
    <w:rsid w:val="00730A50"/>
    <w:rsid w:val="00730A99"/>
    <w:rsid w:val="00730B1D"/>
    <w:rsid w:val="00730B4D"/>
    <w:rsid w:val="00730B98"/>
    <w:rsid w:val="00730BC6"/>
    <w:rsid w:val="00730CB7"/>
    <w:rsid w:val="00730CEE"/>
    <w:rsid w:val="00730D0D"/>
    <w:rsid w:val="00730D8B"/>
    <w:rsid w:val="00730E0A"/>
    <w:rsid w:val="00730ECE"/>
    <w:rsid w:val="007310B9"/>
    <w:rsid w:val="007310DE"/>
    <w:rsid w:val="007311A8"/>
    <w:rsid w:val="00731319"/>
    <w:rsid w:val="0073138C"/>
    <w:rsid w:val="007313ED"/>
    <w:rsid w:val="007314FE"/>
    <w:rsid w:val="00731505"/>
    <w:rsid w:val="0073168A"/>
    <w:rsid w:val="00731695"/>
    <w:rsid w:val="007316D0"/>
    <w:rsid w:val="00731754"/>
    <w:rsid w:val="00731774"/>
    <w:rsid w:val="007317B9"/>
    <w:rsid w:val="0073182F"/>
    <w:rsid w:val="0073183B"/>
    <w:rsid w:val="007318E6"/>
    <w:rsid w:val="0073197E"/>
    <w:rsid w:val="007319FA"/>
    <w:rsid w:val="00731A32"/>
    <w:rsid w:val="00731AAE"/>
    <w:rsid w:val="00731B09"/>
    <w:rsid w:val="00731BB3"/>
    <w:rsid w:val="00731BC3"/>
    <w:rsid w:val="00731BC6"/>
    <w:rsid w:val="00731BFC"/>
    <w:rsid w:val="00731C02"/>
    <w:rsid w:val="00731C7D"/>
    <w:rsid w:val="00731CCA"/>
    <w:rsid w:val="00731CD0"/>
    <w:rsid w:val="00731CF5"/>
    <w:rsid w:val="00731D83"/>
    <w:rsid w:val="00731D8A"/>
    <w:rsid w:val="00731E0C"/>
    <w:rsid w:val="00731EA5"/>
    <w:rsid w:val="00731F22"/>
    <w:rsid w:val="00731FB0"/>
    <w:rsid w:val="00732064"/>
    <w:rsid w:val="0073209C"/>
    <w:rsid w:val="007320FA"/>
    <w:rsid w:val="00732170"/>
    <w:rsid w:val="00732173"/>
    <w:rsid w:val="00732195"/>
    <w:rsid w:val="0073222B"/>
    <w:rsid w:val="0073230C"/>
    <w:rsid w:val="00732355"/>
    <w:rsid w:val="0073235B"/>
    <w:rsid w:val="007323D7"/>
    <w:rsid w:val="00732450"/>
    <w:rsid w:val="007324E8"/>
    <w:rsid w:val="00732537"/>
    <w:rsid w:val="0073256D"/>
    <w:rsid w:val="007325B5"/>
    <w:rsid w:val="00732687"/>
    <w:rsid w:val="00732809"/>
    <w:rsid w:val="0073285F"/>
    <w:rsid w:val="00732957"/>
    <w:rsid w:val="0073299B"/>
    <w:rsid w:val="00732A91"/>
    <w:rsid w:val="00732BB6"/>
    <w:rsid w:val="00732C4B"/>
    <w:rsid w:val="00732C8C"/>
    <w:rsid w:val="00732D56"/>
    <w:rsid w:val="00732DC9"/>
    <w:rsid w:val="00732E52"/>
    <w:rsid w:val="00732E67"/>
    <w:rsid w:val="00732EA3"/>
    <w:rsid w:val="00732F51"/>
    <w:rsid w:val="00732FF4"/>
    <w:rsid w:val="00732FF6"/>
    <w:rsid w:val="00733048"/>
    <w:rsid w:val="0073309E"/>
    <w:rsid w:val="007330F4"/>
    <w:rsid w:val="007331AC"/>
    <w:rsid w:val="007331B1"/>
    <w:rsid w:val="0073321D"/>
    <w:rsid w:val="007332F4"/>
    <w:rsid w:val="00733349"/>
    <w:rsid w:val="0073335C"/>
    <w:rsid w:val="00733363"/>
    <w:rsid w:val="00733398"/>
    <w:rsid w:val="0073339A"/>
    <w:rsid w:val="007333DD"/>
    <w:rsid w:val="007334A2"/>
    <w:rsid w:val="0073354F"/>
    <w:rsid w:val="00733590"/>
    <w:rsid w:val="007335AB"/>
    <w:rsid w:val="007335D3"/>
    <w:rsid w:val="007335F9"/>
    <w:rsid w:val="0073363B"/>
    <w:rsid w:val="007336EB"/>
    <w:rsid w:val="007336F2"/>
    <w:rsid w:val="007338B8"/>
    <w:rsid w:val="0073391D"/>
    <w:rsid w:val="007339E4"/>
    <w:rsid w:val="00733AE2"/>
    <w:rsid w:val="00733BEE"/>
    <w:rsid w:val="00733C57"/>
    <w:rsid w:val="00733C7E"/>
    <w:rsid w:val="00733D2E"/>
    <w:rsid w:val="00733D89"/>
    <w:rsid w:val="00733E66"/>
    <w:rsid w:val="00733F3B"/>
    <w:rsid w:val="0073400F"/>
    <w:rsid w:val="00734081"/>
    <w:rsid w:val="00734155"/>
    <w:rsid w:val="00734289"/>
    <w:rsid w:val="00734291"/>
    <w:rsid w:val="00734306"/>
    <w:rsid w:val="0073431A"/>
    <w:rsid w:val="00734381"/>
    <w:rsid w:val="00734390"/>
    <w:rsid w:val="00734435"/>
    <w:rsid w:val="00734504"/>
    <w:rsid w:val="007345A1"/>
    <w:rsid w:val="007345C0"/>
    <w:rsid w:val="0073470B"/>
    <w:rsid w:val="0073477C"/>
    <w:rsid w:val="0073483E"/>
    <w:rsid w:val="00734840"/>
    <w:rsid w:val="00734851"/>
    <w:rsid w:val="007348C5"/>
    <w:rsid w:val="007348ED"/>
    <w:rsid w:val="00734907"/>
    <w:rsid w:val="007349DA"/>
    <w:rsid w:val="00734A0F"/>
    <w:rsid w:val="00734B51"/>
    <w:rsid w:val="00734C00"/>
    <w:rsid w:val="00734C0F"/>
    <w:rsid w:val="00734D60"/>
    <w:rsid w:val="00734E6D"/>
    <w:rsid w:val="00734E71"/>
    <w:rsid w:val="00734E77"/>
    <w:rsid w:val="00734F14"/>
    <w:rsid w:val="00734F6F"/>
    <w:rsid w:val="00734F7C"/>
    <w:rsid w:val="00734F9F"/>
    <w:rsid w:val="00734FA0"/>
    <w:rsid w:val="00734FC4"/>
    <w:rsid w:val="00735009"/>
    <w:rsid w:val="00735082"/>
    <w:rsid w:val="007350C2"/>
    <w:rsid w:val="0073511B"/>
    <w:rsid w:val="007351CA"/>
    <w:rsid w:val="00735271"/>
    <w:rsid w:val="00735281"/>
    <w:rsid w:val="007352F5"/>
    <w:rsid w:val="007352F6"/>
    <w:rsid w:val="0073536D"/>
    <w:rsid w:val="007353CF"/>
    <w:rsid w:val="007354E4"/>
    <w:rsid w:val="00735572"/>
    <w:rsid w:val="0073571A"/>
    <w:rsid w:val="0073579A"/>
    <w:rsid w:val="007358D3"/>
    <w:rsid w:val="007358F9"/>
    <w:rsid w:val="0073596E"/>
    <w:rsid w:val="007359C8"/>
    <w:rsid w:val="00735A34"/>
    <w:rsid w:val="00735B40"/>
    <w:rsid w:val="00735B44"/>
    <w:rsid w:val="00735C2A"/>
    <w:rsid w:val="00735C2B"/>
    <w:rsid w:val="00735C52"/>
    <w:rsid w:val="00735C71"/>
    <w:rsid w:val="00735E5A"/>
    <w:rsid w:val="00735E60"/>
    <w:rsid w:val="00735E6E"/>
    <w:rsid w:val="00735E86"/>
    <w:rsid w:val="00735F12"/>
    <w:rsid w:val="00735F6F"/>
    <w:rsid w:val="00735F79"/>
    <w:rsid w:val="00735FAE"/>
    <w:rsid w:val="00735FCC"/>
    <w:rsid w:val="00736028"/>
    <w:rsid w:val="00736086"/>
    <w:rsid w:val="007360DE"/>
    <w:rsid w:val="00736131"/>
    <w:rsid w:val="0073629D"/>
    <w:rsid w:val="007362A0"/>
    <w:rsid w:val="007362F6"/>
    <w:rsid w:val="00736371"/>
    <w:rsid w:val="007363FD"/>
    <w:rsid w:val="0073651B"/>
    <w:rsid w:val="007365CB"/>
    <w:rsid w:val="007365EE"/>
    <w:rsid w:val="007366C5"/>
    <w:rsid w:val="00736768"/>
    <w:rsid w:val="0073677A"/>
    <w:rsid w:val="007367AE"/>
    <w:rsid w:val="007367DB"/>
    <w:rsid w:val="00736801"/>
    <w:rsid w:val="00736902"/>
    <w:rsid w:val="007369BA"/>
    <w:rsid w:val="00736A2C"/>
    <w:rsid w:val="00736AF0"/>
    <w:rsid w:val="00736AFA"/>
    <w:rsid w:val="00736B32"/>
    <w:rsid w:val="00736B88"/>
    <w:rsid w:val="00736B8A"/>
    <w:rsid w:val="00736C8D"/>
    <w:rsid w:val="00736CFE"/>
    <w:rsid w:val="00736D8E"/>
    <w:rsid w:val="00736E1D"/>
    <w:rsid w:val="00736E7C"/>
    <w:rsid w:val="00736F2F"/>
    <w:rsid w:val="00736F30"/>
    <w:rsid w:val="00736F69"/>
    <w:rsid w:val="00737017"/>
    <w:rsid w:val="0073701A"/>
    <w:rsid w:val="0073720E"/>
    <w:rsid w:val="0073729D"/>
    <w:rsid w:val="007372C0"/>
    <w:rsid w:val="00737464"/>
    <w:rsid w:val="0073749F"/>
    <w:rsid w:val="007374F4"/>
    <w:rsid w:val="00737533"/>
    <w:rsid w:val="00737573"/>
    <w:rsid w:val="007375D6"/>
    <w:rsid w:val="007376AC"/>
    <w:rsid w:val="007377B0"/>
    <w:rsid w:val="007378E7"/>
    <w:rsid w:val="007379C1"/>
    <w:rsid w:val="007379F8"/>
    <w:rsid w:val="00737A40"/>
    <w:rsid w:val="00737A41"/>
    <w:rsid w:val="00737A76"/>
    <w:rsid w:val="00737AE2"/>
    <w:rsid w:val="00737AE6"/>
    <w:rsid w:val="00737B31"/>
    <w:rsid w:val="00737C4C"/>
    <w:rsid w:val="00737C58"/>
    <w:rsid w:val="00737CE4"/>
    <w:rsid w:val="00737DE3"/>
    <w:rsid w:val="00737E49"/>
    <w:rsid w:val="00737EEB"/>
    <w:rsid w:val="00737F7F"/>
    <w:rsid w:val="007400D9"/>
    <w:rsid w:val="007400EA"/>
    <w:rsid w:val="007400EF"/>
    <w:rsid w:val="00740124"/>
    <w:rsid w:val="0074032E"/>
    <w:rsid w:val="0074034C"/>
    <w:rsid w:val="007403D4"/>
    <w:rsid w:val="00740519"/>
    <w:rsid w:val="0074055C"/>
    <w:rsid w:val="007405DB"/>
    <w:rsid w:val="007405EE"/>
    <w:rsid w:val="00740631"/>
    <w:rsid w:val="00740689"/>
    <w:rsid w:val="007406EE"/>
    <w:rsid w:val="007406FE"/>
    <w:rsid w:val="0074079B"/>
    <w:rsid w:val="007407B2"/>
    <w:rsid w:val="007407D1"/>
    <w:rsid w:val="00740951"/>
    <w:rsid w:val="0074099F"/>
    <w:rsid w:val="007409BC"/>
    <w:rsid w:val="00740A77"/>
    <w:rsid w:val="00740AFE"/>
    <w:rsid w:val="00740BEB"/>
    <w:rsid w:val="00740C2E"/>
    <w:rsid w:val="00740C51"/>
    <w:rsid w:val="00740C59"/>
    <w:rsid w:val="00740C64"/>
    <w:rsid w:val="00740D4B"/>
    <w:rsid w:val="00740D72"/>
    <w:rsid w:val="00740EDB"/>
    <w:rsid w:val="00740EE1"/>
    <w:rsid w:val="00740F26"/>
    <w:rsid w:val="00741079"/>
    <w:rsid w:val="0074121D"/>
    <w:rsid w:val="00741265"/>
    <w:rsid w:val="007412E4"/>
    <w:rsid w:val="007412F7"/>
    <w:rsid w:val="0074138B"/>
    <w:rsid w:val="007413E6"/>
    <w:rsid w:val="007413F0"/>
    <w:rsid w:val="0074143F"/>
    <w:rsid w:val="00741505"/>
    <w:rsid w:val="00741522"/>
    <w:rsid w:val="00741573"/>
    <w:rsid w:val="007415DE"/>
    <w:rsid w:val="007415ED"/>
    <w:rsid w:val="00741660"/>
    <w:rsid w:val="007416E7"/>
    <w:rsid w:val="007417FE"/>
    <w:rsid w:val="007418FA"/>
    <w:rsid w:val="00741962"/>
    <w:rsid w:val="00741B2F"/>
    <w:rsid w:val="00741B3B"/>
    <w:rsid w:val="00741B8B"/>
    <w:rsid w:val="00741C1B"/>
    <w:rsid w:val="00741C74"/>
    <w:rsid w:val="00741D4B"/>
    <w:rsid w:val="00741D64"/>
    <w:rsid w:val="00741D69"/>
    <w:rsid w:val="00741EF9"/>
    <w:rsid w:val="00741FDA"/>
    <w:rsid w:val="007420CF"/>
    <w:rsid w:val="007420F8"/>
    <w:rsid w:val="00742137"/>
    <w:rsid w:val="00742317"/>
    <w:rsid w:val="00742339"/>
    <w:rsid w:val="00742357"/>
    <w:rsid w:val="007423BE"/>
    <w:rsid w:val="007423E1"/>
    <w:rsid w:val="007423E6"/>
    <w:rsid w:val="007425D6"/>
    <w:rsid w:val="007426A9"/>
    <w:rsid w:val="007426FA"/>
    <w:rsid w:val="00742720"/>
    <w:rsid w:val="007429AF"/>
    <w:rsid w:val="00742A39"/>
    <w:rsid w:val="00742AA6"/>
    <w:rsid w:val="00742AAE"/>
    <w:rsid w:val="00742B62"/>
    <w:rsid w:val="00742CA5"/>
    <w:rsid w:val="00742D93"/>
    <w:rsid w:val="00742E16"/>
    <w:rsid w:val="00742EEE"/>
    <w:rsid w:val="00742F37"/>
    <w:rsid w:val="00742FFD"/>
    <w:rsid w:val="0074304D"/>
    <w:rsid w:val="00743120"/>
    <w:rsid w:val="00743185"/>
    <w:rsid w:val="0074318D"/>
    <w:rsid w:val="0074324D"/>
    <w:rsid w:val="007432AE"/>
    <w:rsid w:val="00743353"/>
    <w:rsid w:val="0074339E"/>
    <w:rsid w:val="0074339F"/>
    <w:rsid w:val="007434A3"/>
    <w:rsid w:val="0074357A"/>
    <w:rsid w:val="007435E9"/>
    <w:rsid w:val="0074363D"/>
    <w:rsid w:val="0074364C"/>
    <w:rsid w:val="007436B5"/>
    <w:rsid w:val="00743724"/>
    <w:rsid w:val="00743778"/>
    <w:rsid w:val="007437C4"/>
    <w:rsid w:val="007437EA"/>
    <w:rsid w:val="007437F3"/>
    <w:rsid w:val="00743818"/>
    <w:rsid w:val="00743879"/>
    <w:rsid w:val="0074393F"/>
    <w:rsid w:val="007439AC"/>
    <w:rsid w:val="007439B2"/>
    <w:rsid w:val="007439D3"/>
    <w:rsid w:val="007439FD"/>
    <w:rsid w:val="00743A6B"/>
    <w:rsid w:val="00743ACE"/>
    <w:rsid w:val="00743C7B"/>
    <w:rsid w:val="00743CC4"/>
    <w:rsid w:val="00743D82"/>
    <w:rsid w:val="00743E08"/>
    <w:rsid w:val="00743E23"/>
    <w:rsid w:val="00743E98"/>
    <w:rsid w:val="00743EB9"/>
    <w:rsid w:val="00743F3E"/>
    <w:rsid w:val="00743F41"/>
    <w:rsid w:val="00743F5E"/>
    <w:rsid w:val="00743FA8"/>
    <w:rsid w:val="0074403C"/>
    <w:rsid w:val="0074405F"/>
    <w:rsid w:val="00744095"/>
    <w:rsid w:val="007440AF"/>
    <w:rsid w:val="0074417E"/>
    <w:rsid w:val="007441A1"/>
    <w:rsid w:val="007441B8"/>
    <w:rsid w:val="00744220"/>
    <w:rsid w:val="0074423E"/>
    <w:rsid w:val="00744395"/>
    <w:rsid w:val="00744410"/>
    <w:rsid w:val="00744414"/>
    <w:rsid w:val="007444BA"/>
    <w:rsid w:val="00744534"/>
    <w:rsid w:val="00744538"/>
    <w:rsid w:val="00744585"/>
    <w:rsid w:val="00744682"/>
    <w:rsid w:val="007446D2"/>
    <w:rsid w:val="007447FB"/>
    <w:rsid w:val="007448A2"/>
    <w:rsid w:val="007448A8"/>
    <w:rsid w:val="007448C2"/>
    <w:rsid w:val="007448F8"/>
    <w:rsid w:val="0074492C"/>
    <w:rsid w:val="00744956"/>
    <w:rsid w:val="007449B6"/>
    <w:rsid w:val="00744C27"/>
    <w:rsid w:val="00744C44"/>
    <w:rsid w:val="00744D6A"/>
    <w:rsid w:val="00744D78"/>
    <w:rsid w:val="00744DCC"/>
    <w:rsid w:val="00744E34"/>
    <w:rsid w:val="00744E4A"/>
    <w:rsid w:val="00744EF7"/>
    <w:rsid w:val="00744FD6"/>
    <w:rsid w:val="00744FE3"/>
    <w:rsid w:val="007450A0"/>
    <w:rsid w:val="007450E0"/>
    <w:rsid w:val="0074517D"/>
    <w:rsid w:val="007451A8"/>
    <w:rsid w:val="007451B4"/>
    <w:rsid w:val="0074524B"/>
    <w:rsid w:val="00745285"/>
    <w:rsid w:val="007452B4"/>
    <w:rsid w:val="007454A7"/>
    <w:rsid w:val="007454F0"/>
    <w:rsid w:val="00745576"/>
    <w:rsid w:val="00745643"/>
    <w:rsid w:val="00745747"/>
    <w:rsid w:val="007458D7"/>
    <w:rsid w:val="00745916"/>
    <w:rsid w:val="0074599A"/>
    <w:rsid w:val="007459CE"/>
    <w:rsid w:val="00745A46"/>
    <w:rsid w:val="00745A56"/>
    <w:rsid w:val="00745B0C"/>
    <w:rsid w:val="00745B61"/>
    <w:rsid w:val="00745B68"/>
    <w:rsid w:val="00745C84"/>
    <w:rsid w:val="00745D17"/>
    <w:rsid w:val="00745E41"/>
    <w:rsid w:val="00745ED2"/>
    <w:rsid w:val="00745F04"/>
    <w:rsid w:val="0074601F"/>
    <w:rsid w:val="007461C9"/>
    <w:rsid w:val="007461E7"/>
    <w:rsid w:val="0074624E"/>
    <w:rsid w:val="00746250"/>
    <w:rsid w:val="00746262"/>
    <w:rsid w:val="007462B9"/>
    <w:rsid w:val="007462DC"/>
    <w:rsid w:val="00746319"/>
    <w:rsid w:val="00746371"/>
    <w:rsid w:val="007463D6"/>
    <w:rsid w:val="00746474"/>
    <w:rsid w:val="007464EF"/>
    <w:rsid w:val="00746599"/>
    <w:rsid w:val="00746653"/>
    <w:rsid w:val="00746682"/>
    <w:rsid w:val="007466B5"/>
    <w:rsid w:val="007466D1"/>
    <w:rsid w:val="00746740"/>
    <w:rsid w:val="0074675B"/>
    <w:rsid w:val="007467D0"/>
    <w:rsid w:val="00746860"/>
    <w:rsid w:val="00746920"/>
    <w:rsid w:val="00746946"/>
    <w:rsid w:val="007469E5"/>
    <w:rsid w:val="00746A39"/>
    <w:rsid w:val="00746B08"/>
    <w:rsid w:val="00746B2C"/>
    <w:rsid w:val="00746B7A"/>
    <w:rsid w:val="00746C81"/>
    <w:rsid w:val="00746D4F"/>
    <w:rsid w:val="00746D6D"/>
    <w:rsid w:val="00746DA1"/>
    <w:rsid w:val="00746ED1"/>
    <w:rsid w:val="00746EF2"/>
    <w:rsid w:val="00746F35"/>
    <w:rsid w:val="00746F94"/>
    <w:rsid w:val="00746FA4"/>
    <w:rsid w:val="0074700A"/>
    <w:rsid w:val="00747052"/>
    <w:rsid w:val="0074719E"/>
    <w:rsid w:val="00747210"/>
    <w:rsid w:val="007472A3"/>
    <w:rsid w:val="007473A2"/>
    <w:rsid w:val="0074743E"/>
    <w:rsid w:val="0074749E"/>
    <w:rsid w:val="007474D2"/>
    <w:rsid w:val="0074754B"/>
    <w:rsid w:val="00747567"/>
    <w:rsid w:val="00747579"/>
    <w:rsid w:val="007475D6"/>
    <w:rsid w:val="00747649"/>
    <w:rsid w:val="007476C0"/>
    <w:rsid w:val="007476E2"/>
    <w:rsid w:val="007477C7"/>
    <w:rsid w:val="0074780E"/>
    <w:rsid w:val="00747826"/>
    <w:rsid w:val="0074782B"/>
    <w:rsid w:val="00747865"/>
    <w:rsid w:val="007478E9"/>
    <w:rsid w:val="0074795F"/>
    <w:rsid w:val="00747A3F"/>
    <w:rsid w:val="00747A68"/>
    <w:rsid w:val="00747B12"/>
    <w:rsid w:val="00747BDD"/>
    <w:rsid w:val="00747C6D"/>
    <w:rsid w:val="00747C80"/>
    <w:rsid w:val="00747D6C"/>
    <w:rsid w:val="00747DDC"/>
    <w:rsid w:val="00747DE6"/>
    <w:rsid w:val="00747DE7"/>
    <w:rsid w:val="00747DF6"/>
    <w:rsid w:val="00747E03"/>
    <w:rsid w:val="00747F28"/>
    <w:rsid w:val="00747F2C"/>
    <w:rsid w:val="00747FFB"/>
    <w:rsid w:val="00750058"/>
    <w:rsid w:val="00750075"/>
    <w:rsid w:val="007500A7"/>
    <w:rsid w:val="0075013E"/>
    <w:rsid w:val="007501A4"/>
    <w:rsid w:val="0075021D"/>
    <w:rsid w:val="0075022F"/>
    <w:rsid w:val="00750275"/>
    <w:rsid w:val="0075028D"/>
    <w:rsid w:val="007502CC"/>
    <w:rsid w:val="00750316"/>
    <w:rsid w:val="00750332"/>
    <w:rsid w:val="0075036D"/>
    <w:rsid w:val="00750370"/>
    <w:rsid w:val="007503CF"/>
    <w:rsid w:val="007504F8"/>
    <w:rsid w:val="0075052C"/>
    <w:rsid w:val="00750550"/>
    <w:rsid w:val="0075055C"/>
    <w:rsid w:val="00750786"/>
    <w:rsid w:val="0075078B"/>
    <w:rsid w:val="00750886"/>
    <w:rsid w:val="007508CF"/>
    <w:rsid w:val="00750A88"/>
    <w:rsid w:val="00750B26"/>
    <w:rsid w:val="00750BB3"/>
    <w:rsid w:val="00750CC8"/>
    <w:rsid w:val="00750E3D"/>
    <w:rsid w:val="00750F0C"/>
    <w:rsid w:val="00750F34"/>
    <w:rsid w:val="00750F3F"/>
    <w:rsid w:val="00750F5E"/>
    <w:rsid w:val="00750FA9"/>
    <w:rsid w:val="00751048"/>
    <w:rsid w:val="007510B0"/>
    <w:rsid w:val="00751178"/>
    <w:rsid w:val="0075117D"/>
    <w:rsid w:val="007511BB"/>
    <w:rsid w:val="007511DA"/>
    <w:rsid w:val="0075125F"/>
    <w:rsid w:val="00751283"/>
    <w:rsid w:val="007513D7"/>
    <w:rsid w:val="00751431"/>
    <w:rsid w:val="0075148A"/>
    <w:rsid w:val="00751563"/>
    <w:rsid w:val="007515A6"/>
    <w:rsid w:val="00751621"/>
    <w:rsid w:val="0075165B"/>
    <w:rsid w:val="00751763"/>
    <w:rsid w:val="007517A0"/>
    <w:rsid w:val="007517DE"/>
    <w:rsid w:val="0075180D"/>
    <w:rsid w:val="007518B4"/>
    <w:rsid w:val="007518BE"/>
    <w:rsid w:val="007518E0"/>
    <w:rsid w:val="0075192D"/>
    <w:rsid w:val="00751980"/>
    <w:rsid w:val="0075198D"/>
    <w:rsid w:val="00751995"/>
    <w:rsid w:val="00751996"/>
    <w:rsid w:val="007519F2"/>
    <w:rsid w:val="00751A6B"/>
    <w:rsid w:val="00751A7E"/>
    <w:rsid w:val="00751A88"/>
    <w:rsid w:val="00751A8F"/>
    <w:rsid w:val="00751AC1"/>
    <w:rsid w:val="00751AC6"/>
    <w:rsid w:val="00751BCC"/>
    <w:rsid w:val="00751C30"/>
    <w:rsid w:val="00751CBF"/>
    <w:rsid w:val="00751CCD"/>
    <w:rsid w:val="00751D10"/>
    <w:rsid w:val="00751D73"/>
    <w:rsid w:val="00751DD3"/>
    <w:rsid w:val="00751DDD"/>
    <w:rsid w:val="00751E05"/>
    <w:rsid w:val="00751E1D"/>
    <w:rsid w:val="00751E44"/>
    <w:rsid w:val="00751EAE"/>
    <w:rsid w:val="0075205B"/>
    <w:rsid w:val="007520CD"/>
    <w:rsid w:val="007520D0"/>
    <w:rsid w:val="007520D2"/>
    <w:rsid w:val="007521B1"/>
    <w:rsid w:val="00752333"/>
    <w:rsid w:val="00752435"/>
    <w:rsid w:val="0075249C"/>
    <w:rsid w:val="007524E9"/>
    <w:rsid w:val="00752575"/>
    <w:rsid w:val="007525D9"/>
    <w:rsid w:val="0075264F"/>
    <w:rsid w:val="0075268D"/>
    <w:rsid w:val="00752695"/>
    <w:rsid w:val="007526AF"/>
    <w:rsid w:val="007527AC"/>
    <w:rsid w:val="007527BF"/>
    <w:rsid w:val="007527FB"/>
    <w:rsid w:val="007528C0"/>
    <w:rsid w:val="00752976"/>
    <w:rsid w:val="00752A34"/>
    <w:rsid w:val="00752B5A"/>
    <w:rsid w:val="00752B78"/>
    <w:rsid w:val="00752B86"/>
    <w:rsid w:val="00752C64"/>
    <w:rsid w:val="00752C7D"/>
    <w:rsid w:val="00752C80"/>
    <w:rsid w:val="00752C8E"/>
    <w:rsid w:val="00752CAE"/>
    <w:rsid w:val="00752D33"/>
    <w:rsid w:val="00752E70"/>
    <w:rsid w:val="00752F5B"/>
    <w:rsid w:val="00752F7A"/>
    <w:rsid w:val="00752FDC"/>
    <w:rsid w:val="00753092"/>
    <w:rsid w:val="00753140"/>
    <w:rsid w:val="0075314E"/>
    <w:rsid w:val="00753154"/>
    <w:rsid w:val="00753187"/>
    <w:rsid w:val="007531F0"/>
    <w:rsid w:val="0075325A"/>
    <w:rsid w:val="00753290"/>
    <w:rsid w:val="007532DF"/>
    <w:rsid w:val="00753461"/>
    <w:rsid w:val="007535EF"/>
    <w:rsid w:val="00753658"/>
    <w:rsid w:val="0075367D"/>
    <w:rsid w:val="007536D2"/>
    <w:rsid w:val="00753713"/>
    <w:rsid w:val="00753715"/>
    <w:rsid w:val="00753767"/>
    <w:rsid w:val="007537A0"/>
    <w:rsid w:val="007537DA"/>
    <w:rsid w:val="007537E4"/>
    <w:rsid w:val="00753838"/>
    <w:rsid w:val="0075385E"/>
    <w:rsid w:val="00753872"/>
    <w:rsid w:val="007538A2"/>
    <w:rsid w:val="0075392B"/>
    <w:rsid w:val="00753A86"/>
    <w:rsid w:val="00753AB8"/>
    <w:rsid w:val="00753B46"/>
    <w:rsid w:val="00753B55"/>
    <w:rsid w:val="00753BA1"/>
    <w:rsid w:val="00753BFC"/>
    <w:rsid w:val="00753CB3"/>
    <w:rsid w:val="00753DB9"/>
    <w:rsid w:val="00753E62"/>
    <w:rsid w:val="00753ED6"/>
    <w:rsid w:val="00753FE3"/>
    <w:rsid w:val="00754012"/>
    <w:rsid w:val="00754014"/>
    <w:rsid w:val="00754083"/>
    <w:rsid w:val="007540E0"/>
    <w:rsid w:val="00754112"/>
    <w:rsid w:val="007541D7"/>
    <w:rsid w:val="0075426F"/>
    <w:rsid w:val="0075427A"/>
    <w:rsid w:val="0075429E"/>
    <w:rsid w:val="007542AA"/>
    <w:rsid w:val="007542BE"/>
    <w:rsid w:val="007542DA"/>
    <w:rsid w:val="00754355"/>
    <w:rsid w:val="007543B7"/>
    <w:rsid w:val="00754402"/>
    <w:rsid w:val="007544DB"/>
    <w:rsid w:val="0075453E"/>
    <w:rsid w:val="007545A2"/>
    <w:rsid w:val="0075486A"/>
    <w:rsid w:val="00754906"/>
    <w:rsid w:val="00754929"/>
    <w:rsid w:val="007549B3"/>
    <w:rsid w:val="007549E6"/>
    <w:rsid w:val="00754A85"/>
    <w:rsid w:val="00754AC1"/>
    <w:rsid w:val="00754AF5"/>
    <w:rsid w:val="00754B80"/>
    <w:rsid w:val="00754BFD"/>
    <w:rsid w:val="00754D32"/>
    <w:rsid w:val="00754D44"/>
    <w:rsid w:val="00754DBE"/>
    <w:rsid w:val="00754E72"/>
    <w:rsid w:val="00754EFD"/>
    <w:rsid w:val="00754F09"/>
    <w:rsid w:val="00754F1E"/>
    <w:rsid w:val="00754F4F"/>
    <w:rsid w:val="00754FFB"/>
    <w:rsid w:val="007550CE"/>
    <w:rsid w:val="0075510F"/>
    <w:rsid w:val="0075512C"/>
    <w:rsid w:val="00755140"/>
    <w:rsid w:val="0075516A"/>
    <w:rsid w:val="007551AF"/>
    <w:rsid w:val="0075520A"/>
    <w:rsid w:val="0075526B"/>
    <w:rsid w:val="00755420"/>
    <w:rsid w:val="007554F6"/>
    <w:rsid w:val="00755568"/>
    <w:rsid w:val="00755588"/>
    <w:rsid w:val="007555A5"/>
    <w:rsid w:val="00755679"/>
    <w:rsid w:val="007557C2"/>
    <w:rsid w:val="007557E4"/>
    <w:rsid w:val="0075587E"/>
    <w:rsid w:val="007558CA"/>
    <w:rsid w:val="00755954"/>
    <w:rsid w:val="0075598F"/>
    <w:rsid w:val="007559A1"/>
    <w:rsid w:val="007559D8"/>
    <w:rsid w:val="00755BC9"/>
    <w:rsid w:val="00755C23"/>
    <w:rsid w:val="00755D53"/>
    <w:rsid w:val="00755E08"/>
    <w:rsid w:val="00755E0A"/>
    <w:rsid w:val="00755EB7"/>
    <w:rsid w:val="00755F17"/>
    <w:rsid w:val="00755F23"/>
    <w:rsid w:val="00755FFA"/>
    <w:rsid w:val="0075603E"/>
    <w:rsid w:val="007560F6"/>
    <w:rsid w:val="00756119"/>
    <w:rsid w:val="0075614E"/>
    <w:rsid w:val="0075618B"/>
    <w:rsid w:val="007561AE"/>
    <w:rsid w:val="0075623F"/>
    <w:rsid w:val="0075632C"/>
    <w:rsid w:val="0075633F"/>
    <w:rsid w:val="0075638B"/>
    <w:rsid w:val="007563EB"/>
    <w:rsid w:val="0075646C"/>
    <w:rsid w:val="00756502"/>
    <w:rsid w:val="0075653C"/>
    <w:rsid w:val="0075653F"/>
    <w:rsid w:val="0075654E"/>
    <w:rsid w:val="0075671C"/>
    <w:rsid w:val="0075677C"/>
    <w:rsid w:val="00756887"/>
    <w:rsid w:val="007568C1"/>
    <w:rsid w:val="00756965"/>
    <w:rsid w:val="007569D6"/>
    <w:rsid w:val="00756A52"/>
    <w:rsid w:val="00756B1F"/>
    <w:rsid w:val="00756B5F"/>
    <w:rsid w:val="00756B93"/>
    <w:rsid w:val="00756BD9"/>
    <w:rsid w:val="00756CAE"/>
    <w:rsid w:val="00756D52"/>
    <w:rsid w:val="00756D8F"/>
    <w:rsid w:val="00756DCB"/>
    <w:rsid w:val="00756E33"/>
    <w:rsid w:val="00756F03"/>
    <w:rsid w:val="00756F26"/>
    <w:rsid w:val="00756F32"/>
    <w:rsid w:val="00756F41"/>
    <w:rsid w:val="00756F5C"/>
    <w:rsid w:val="00756FC6"/>
    <w:rsid w:val="00756FE6"/>
    <w:rsid w:val="00757158"/>
    <w:rsid w:val="00757293"/>
    <w:rsid w:val="007572E9"/>
    <w:rsid w:val="007572F9"/>
    <w:rsid w:val="00757397"/>
    <w:rsid w:val="007573A5"/>
    <w:rsid w:val="007573DC"/>
    <w:rsid w:val="00757437"/>
    <w:rsid w:val="007574C8"/>
    <w:rsid w:val="007574FB"/>
    <w:rsid w:val="0075758E"/>
    <w:rsid w:val="007576EB"/>
    <w:rsid w:val="00757721"/>
    <w:rsid w:val="00757747"/>
    <w:rsid w:val="00757862"/>
    <w:rsid w:val="0075797B"/>
    <w:rsid w:val="007579FF"/>
    <w:rsid w:val="00757A89"/>
    <w:rsid w:val="00757AA9"/>
    <w:rsid w:val="00757ABC"/>
    <w:rsid w:val="00757AC6"/>
    <w:rsid w:val="00757B3A"/>
    <w:rsid w:val="00757B89"/>
    <w:rsid w:val="00757C59"/>
    <w:rsid w:val="00757C8C"/>
    <w:rsid w:val="00757CCD"/>
    <w:rsid w:val="00757CD5"/>
    <w:rsid w:val="00757D1B"/>
    <w:rsid w:val="00757DFB"/>
    <w:rsid w:val="00757E1F"/>
    <w:rsid w:val="00757EA3"/>
    <w:rsid w:val="00757F44"/>
    <w:rsid w:val="00760098"/>
    <w:rsid w:val="00760149"/>
    <w:rsid w:val="00760154"/>
    <w:rsid w:val="007601EA"/>
    <w:rsid w:val="00760251"/>
    <w:rsid w:val="00760466"/>
    <w:rsid w:val="0076046D"/>
    <w:rsid w:val="00760504"/>
    <w:rsid w:val="00760511"/>
    <w:rsid w:val="00760562"/>
    <w:rsid w:val="00760578"/>
    <w:rsid w:val="007605C4"/>
    <w:rsid w:val="007606E7"/>
    <w:rsid w:val="00760719"/>
    <w:rsid w:val="00760724"/>
    <w:rsid w:val="00760740"/>
    <w:rsid w:val="007607E6"/>
    <w:rsid w:val="0076080A"/>
    <w:rsid w:val="0076086B"/>
    <w:rsid w:val="00760934"/>
    <w:rsid w:val="007609A8"/>
    <w:rsid w:val="00760A0E"/>
    <w:rsid w:val="00760AF3"/>
    <w:rsid w:val="00760B03"/>
    <w:rsid w:val="00760B24"/>
    <w:rsid w:val="00760B82"/>
    <w:rsid w:val="00760BCC"/>
    <w:rsid w:val="00760C58"/>
    <w:rsid w:val="00760CAF"/>
    <w:rsid w:val="00760F5B"/>
    <w:rsid w:val="00760FA2"/>
    <w:rsid w:val="007610BE"/>
    <w:rsid w:val="007610D3"/>
    <w:rsid w:val="00761332"/>
    <w:rsid w:val="0076136F"/>
    <w:rsid w:val="007614D3"/>
    <w:rsid w:val="007614FE"/>
    <w:rsid w:val="00761517"/>
    <w:rsid w:val="00761546"/>
    <w:rsid w:val="007615F0"/>
    <w:rsid w:val="00761643"/>
    <w:rsid w:val="0076166E"/>
    <w:rsid w:val="0076170A"/>
    <w:rsid w:val="00761810"/>
    <w:rsid w:val="00761884"/>
    <w:rsid w:val="007618F7"/>
    <w:rsid w:val="0076196D"/>
    <w:rsid w:val="00761A1A"/>
    <w:rsid w:val="00761B23"/>
    <w:rsid w:val="00761BD0"/>
    <w:rsid w:val="00761BDC"/>
    <w:rsid w:val="00761C17"/>
    <w:rsid w:val="00761C57"/>
    <w:rsid w:val="00761D39"/>
    <w:rsid w:val="00761EE9"/>
    <w:rsid w:val="00761F63"/>
    <w:rsid w:val="00762018"/>
    <w:rsid w:val="007620DC"/>
    <w:rsid w:val="0076211E"/>
    <w:rsid w:val="00762143"/>
    <w:rsid w:val="00762170"/>
    <w:rsid w:val="0076218C"/>
    <w:rsid w:val="00762303"/>
    <w:rsid w:val="00762306"/>
    <w:rsid w:val="0076231E"/>
    <w:rsid w:val="00762419"/>
    <w:rsid w:val="0076245A"/>
    <w:rsid w:val="00762541"/>
    <w:rsid w:val="007625F7"/>
    <w:rsid w:val="00762661"/>
    <w:rsid w:val="00762680"/>
    <w:rsid w:val="00762685"/>
    <w:rsid w:val="00762694"/>
    <w:rsid w:val="007626D0"/>
    <w:rsid w:val="00762832"/>
    <w:rsid w:val="00762866"/>
    <w:rsid w:val="00762872"/>
    <w:rsid w:val="00762884"/>
    <w:rsid w:val="0076290C"/>
    <w:rsid w:val="0076291E"/>
    <w:rsid w:val="007629D1"/>
    <w:rsid w:val="00762A07"/>
    <w:rsid w:val="00762AE3"/>
    <w:rsid w:val="00762C2B"/>
    <w:rsid w:val="00762D3A"/>
    <w:rsid w:val="00762DA3"/>
    <w:rsid w:val="00762DC6"/>
    <w:rsid w:val="00762EF8"/>
    <w:rsid w:val="00762F4F"/>
    <w:rsid w:val="00762F90"/>
    <w:rsid w:val="0076305B"/>
    <w:rsid w:val="0076308F"/>
    <w:rsid w:val="00763179"/>
    <w:rsid w:val="0076321D"/>
    <w:rsid w:val="00763244"/>
    <w:rsid w:val="007632DB"/>
    <w:rsid w:val="00763373"/>
    <w:rsid w:val="007634C5"/>
    <w:rsid w:val="0076356B"/>
    <w:rsid w:val="00763577"/>
    <w:rsid w:val="0076361D"/>
    <w:rsid w:val="00763744"/>
    <w:rsid w:val="00763760"/>
    <w:rsid w:val="007637AE"/>
    <w:rsid w:val="00763A06"/>
    <w:rsid w:val="00763A62"/>
    <w:rsid w:val="00763AC5"/>
    <w:rsid w:val="00763B23"/>
    <w:rsid w:val="00763B72"/>
    <w:rsid w:val="00763BF7"/>
    <w:rsid w:val="00763C99"/>
    <w:rsid w:val="00763CF5"/>
    <w:rsid w:val="00763E2D"/>
    <w:rsid w:val="00763F46"/>
    <w:rsid w:val="00763FF5"/>
    <w:rsid w:val="00763FFF"/>
    <w:rsid w:val="007640ED"/>
    <w:rsid w:val="00764174"/>
    <w:rsid w:val="007641A3"/>
    <w:rsid w:val="00764214"/>
    <w:rsid w:val="00764356"/>
    <w:rsid w:val="007643B9"/>
    <w:rsid w:val="00764426"/>
    <w:rsid w:val="00764468"/>
    <w:rsid w:val="00764536"/>
    <w:rsid w:val="00764541"/>
    <w:rsid w:val="00764641"/>
    <w:rsid w:val="0076466C"/>
    <w:rsid w:val="007646CA"/>
    <w:rsid w:val="00764743"/>
    <w:rsid w:val="007647BD"/>
    <w:rsid w:val="007647DC"/>
    <w:rsid w:val="00764892"/>
    <w:rsid w:val="007648B6"/>
    <w:rsid w:val="00764973"/>
    <w:rsid w:val="007649CF"/>
    <w:rsid w:val="007649FF"/>
    <w:rsid w:val="00764A87"/>
    <w:rsid w:val="00764AB5"/>
    <w:rsid w:val="00764C24"/>
    <w:rsid w:val="00764C53"/>
    <w:rsid w:val="00764C55"/>
    <w:rsid w:val="00764CAD"/>
    <w:rsid w:val="00764D4D"/>
    <w:rsid w:val="00764DBA"/>
    <w:rsid w:val="00764E27"/>
    <w:rsid w:val="00764E7B"/>
    <w:rsid w:val="00764EBD"/>
    <w:rsid w:val="00764EF5"/>
    <w:rsid w:val="00764F4D"/>
    <w:rsid w:val="00764F55"/>
    <w:rsid w:val="00764F67"/>
    <w:rsid w:val="00764F82"/>
    <w:rsid w:val="00764FF2"/>
    <w:rsid w:val="0076510E"/>
    <w:rsid w:val="007651E8"/>
    <w:rsid w:val="0076524E"/>
    <w:rsid w:val="0076526D"/>
    <w:rsid w:val="00765333"/>
    <w:rsid w:val="0076537A"/>
    <w:rsid w:val="00765383"/>
    <w:rsid w:val="007654B9"/>
    <w:rsid w:val="007654D8"/>
    <w:rsid w:val="007654D9"/>
    <w:rsid w:val="0076554F"/>
    <w:rsid w:val="00765556"/>
    <w:rsid w:val="007655D1"/>
    <w:rsid w:val="00765613"/>
    <w:rsid w:val="0076562A"/>
    <w:rsid w:val="0076568B"/>
    <w:rsid w:val="007656AF"/>
    <w:rsid w:val="007656D3"/>
    <w:rsid w:val="00765756"/>
    <w:rsid w:val="00765759"/>
    <w:rsid w:val="007657C5"/>
    <w:rsid w:val="007657E6"/>
    <w:rsid w:val="00765845"/>
    <w:rsid w:val="0076584A"/>
    <w:rsid w:val="00765920"/>
    <w:rsid w:val="00765942"/>
    <w:rsid w:val="00765BC7"/>
    <w:rsid w:val="00765BFA"/>
    <w:rsid w:val="00765C77"/>
    <w:rsid w:val="00765CA2"/>
    <w:rsid w:val="00765CC9"/>
    <w:rsid w:val="00765D76"/>
    <w:rsid w:val="00765DCA"/>
    <w:rsid w:val="00765E3F"/>
    <w:rsid w:val="00765E7E"/>
    <w:rsid w:val="00765E8B"/>
    <w:rsid w:val="00765EF0"/>
    <w:rsid w:val="00765F18"/>
    <w:rsid w:val="00765F6E"/>
    <w:rsid w:val="00766037"/>
    <w:rsid w:val="00766121"/>
    <w:rsid w:val="00766169"/>
    <w:rsid w:val="0076618C"/>
    <w:rsid w:val="0076620F"/>
    <w:rsid w:val="00766244"/>
    <w:rsid w:val="007662A1"/>
    <w:rsid w:val="00766424"/>
    <w:rsid w:val="00766559"/>
    <w:rsid w:val="0076655A"/>
    <w:rsid w:val="0076656C"/>
    <w:rsid w:val="00766794"/>
    <w:rsid w:val="00766837"/>
    <w:rsid w:val="00766A0D"/>
    <w:rsid w:val="00766B63"/>
    <w:rsid w:val="00766C4A"/>
    <w:rsid w:val="00766CD1"/>
    <w:rsid w:val="00766CEF"/>
    <w:rsid w:val="00766D34"/>
    <w:rsid w:val="00766D6B"/>
    <w:rsid w:val="00766E69"/>
    <w:rsid w:val="00766EBA"/>
    <w:rsid w:val="00766FDE"/>
    <w:rsid w:val="007670F6"/>
    <w:rsid w:val="0076711F"/>
    <w:rsid w:val="00767190"/>
    <w:rsid w:val="007671AE"/>
    <w:rsid w:val="0076727F"/>
    <w:rsid w:val="007672C9"/>
    <w:rsid w:val="00767398"/>
    <w:rsid w:val="007673D8"/>
    <w:rsid w:val="007674B9"/>
    <w:rsid w:val="00767513"/>
    <w:rsid w:val="00767586"/>
    <w:rsid w:val="00767660"/>
    <w:rsid w:val="0076771B"/>
    <w:rsid w:val="0076771F"/>
    <w:rsid w:val="00767881"/>
    <w:rsid w:val="007678C4"/>
    <w:rsid w:val="00767954"/>
    <w:rsid w:val="0076797A"/>
    <w:rsid w:val="007679A0"/>
    <w:rsid w:val="007679B9"/>
    <w:rsid w:val="00767A0E"/>
    <w:rsid w:val="00767A41"/>
    <w:rsid w:val="00767A53"/>
    <w:rsid w:val="00767AA5"/>
    <w:rsid w:val="00767AB4"/>
    <w:rsid w:val="00767AED"/>
    <w:rsid w:val="00767BC3"/>
    <w:rsid w:val="00767C12"/>
    <w:rsid w:val="00767D37"/>
    <w:rsid w:val="00767D9E"/>
    <w:rsid w:val="00767DC4"/>
    <w:rsid w:val="00767DD3"/>
    <w:rsid w:val="00767DDE"/>
    <w:rsid w:val="00767E1E"/>
    <w:rsid w:val="00767E77"/>
    <w:rsid w:val="00767F11"/>
    <w:rsid w:val="00767FA0"/>
    <w:rsid w:val="00767FDF"/>
    <w:rsid w:val="00770087"/>
    <w:rsid w:val="007700E8"/>
    <w:rsid w:val="007702B8"/>
    <w:rsid w:val="00770385"/>
    <w:rsid w:val="007703E0"/>
    <w:rsid w:val="0077046E"/>
    <w:rsid w:val="007704C9"/>
    <w:rsid w:val="00770502"/>
    <w:rsid w:val="00770589"/>
    <w:rsid w:val="007705BE"/>
    <w:rsid w:val="007706E1"/>
    <w:rsid w:val="0077073E"/>
    <w:rsid w:val="00770798"/>
    <w:rsid w:val="0077086B"/>
    <w:rsid w:val="0077086C"/>
    <w:rsid w:val="00770887"/>
    <w:rsid w:val="007708BA"/>
    <w:rsid w:val="0077092B"/>
    <w:rsid w:val="007709D1"/>
    <w:rsid w:val="00770A0B"/>
    <w:rsid w:val="00770A53"/>
    <w:rsid w:val="00770B29"/>
    <w:rsid w:val="00770BC1"/>
    <w:rsid w:val="00770CC9"/>
    <w:rsid w:val="00770D1E"/>
    <w:rsid w:val="00770D59"/>
    <w:rsid w:val="00770D9E"/>
    <w:rsid w:val="00770DF7"/>
    <w:rsid w:val="00770DFC"/>
    <w:rsid w:val="00770E1A"/>
    <w:rsid w:val="00770E7E"/>
    <w:rsid w:val="00770E85"/>
    <w:rsid w:val="00770FA4"/>
    <w:rsid w:val="0077112D"/>
    <w:rsid w:val="0077112F"/>
    <w:rsid w:val="00771156"/>
    <w:rsid w:val="007711F3"/>
    <w:rsid w:val="007711FC"/>
    <w:rsid w:val="00771398"/>
    <w:rsid w:val="0077153A"/>
    <w:rsid w:val="00771574"/>
    <w:rsid w:val="007715CC"/>
    <w:rsid w:val="007715F8"/>
    <w:rsid w:val="0077162E"/>
    <w:rsid w:val="007716A5"/>
    <w:rsid w:val="007716F2"/>
    <w:rsid w:val="00771764"/>
    <w:rsid w:val="007718B8"/>
    <w:rsid w:val="007718D2"/>
    <w:rsid w:val="00771913"/>
    <w:rsid w:val="0077196A"/>
    <w:rsid w:val="00771A2D"/>
    <w:rsid w:val="00771A30"/>
    <w:rsid w:val="00771A6B"/>
    <w:rsid w:val="00771AB6"/>
    <w:rsid w:val="00771ABC"/>
    <w:rsid w:val="00771AF1"/>
    <w:rsid w:val="00771B07"/>
    <w:rsid w:val="00771BE6"/>
    <w:rsid w:val="00771BED"/>
    <w:rsid w:val="00771EE8"/>
    <w:rsid w:val="0077204E"/>
    <w:rsid w:val="00772133"/>
    <w:rsid w:val="00772137"/>
    <w:rsid w:val="00772162"/>
    <w:rsid w:val="007721A0"/>
    <w:rsid w:val="007721B1"/>
    <w:rsid w:val="00772207"/>
    <w:rsid w:val="007722B6"/>
    <w:rsid w:val="007722C0"/>
    <w:rsid w:val="00772315"/>
    <w:rsid w:val="00772357"/>
    <w:rsid w:val="00772390"/>
    <w:rsid w:val="007723A7"/>
    <w:rsid w:val="007723D2"/>
    <w:rsid w:val="007723F3"/>
    <w:rsid w:val="007723F9"/>
    <w:rsid w:val="007724D0"/>
    <w:rsid w:val="007724DE"/>
    <w:rsid w:val="00772600"/>
    <w:rsid w:val="0077263C"/>
    <w:rsid w:val="00772691"/>
    <w:rsid w:val="0077274D"/>
    <w:rsid w:val="0077275F"/>
    <w:rsid w:val="007727C8"/>
    <w:rsid w:val="007727D3"/>
    <w:rsid w:val="0077289A"/>
    <w:rsid w:val="00772900"/>
    <w:rsid w:val="00772931"/>
    <w:rsid w:val="00772956"/>
    <w:rsid w:val="00772A1A"/>
    <w:rsid w:val="00772AB2"/>
    <w:rsid w:val="00772BB2"/>
    <w:rsid w:val="00772BBB"/>
    <w:rsid w:val="00772C3E"/>
    <w:rsid w:val="00772C73"/>
    <w:rsid w:val="00772CAC"/>
    <w:rsid w:val="00772DB1"/>
    <w:rsid w:val="00772ECC"/>
    <w:rsid w:val="00772F95"/>
    <w:rsid w:val="00772F97"/>
    <w:rsid w:val="00772FA9"/>
    <w:rsid w:val="00772FB8"/>
    <w:rsid w:val="00773004"/>
    <w:rsid w:val="00773069"/>
    <w:rsid w:val="007731CF"/>
    <w:rsid w:val="007732A2"/>
    <w:rsid w:val="007732E9"/>
    <w:rsid w:val="007732EE"/>
    <w:rsid w:val="00773401"/>
    <w:rsid w:val="00773465"/>
    <w:rsid w:val="007734A0"/>
    <w:rsid w:val="00773523"/>
    <w:rsid w:val="00773525"/>
    <w:rsid w:val="0077368D"/>
    <w:rsid w:val="0077374B"/>
    <w:rsid w:val="007737A1"/>
    <w:rsid w:val="007737F1"/>
    <w:rsid w:val="00773901"/>
    <w:rsid w:val="0077390A"/>
    <w:rsid w:val="0077391B"/>
    <w:rsid w:val="00773959"/>
    <w:rsid w:val="00773A0E"/>
    <w:rsid w:val="00773A1C"/>
    <w:rsid w:val="00773A3C"/>
    <w:rsid w:val="00773A67"/>
    <w:rsid w:val="00773A95"/>
    <w:rsid w:val="00773AAC"/>
    <w:rsid w:val="00773C9E"/>
    <w:rsid w:val="00773D1A"/>
    <w:rsid w:val="00773D89"/>
    <w:rsid w:val="00773DD1"/>
    <w:rsid w:val="00773E9E"/>
    <w:rsid w:val="00773EB5"/>
    <w:rsid w:val="00773ED4"/>
    <w:rsid w:val="0077409F"/>
    <w:rsid w:val="00774208"/>
    <w:rsid w:val="0077423A"/>
    <w:rsid w:val="0077429E"/>
    <w:rsid w:val="00774437"/>
    <w:rsid w:val="0077448D"/>
    <w:rsid w:val="00774527"/>
    <w:rsid w:val="007745E2"/>
    <w:rsid w:val="00774699"/>
    <w:rsid w:val="007746BB"/>
    <w:rsid w:val="007746E5"/>
    <w:rsid w:val="00774827"/>
    <w:rsid w:val="0077482C"/>
    <w:rsid w:val="00774866"/>
    <w:rsid w:val="007748C5"/>
    <w:rsid w:val="00774929"/>
    <w:rsid w:val="00774AAA"/>
    <w:rsid w:val="00774AE4"/>
    <w:rsid w:val="00774CB5"/>
    <w:rsid w:val="00774CE1"/>
    <w:rsid w:val="00774D61"/>
    <w:rsid w:val="00774DD4"/>
    <w:rsid w:val="00774DD7"/>
    <w:rsid w:val="00774E00"/>
    <w:rsid w:val="00774E8D"/>
    <w:rsid w:val="00774EA5"/>
    <w:rsid w:val="00774EF7"/>
    <w:rsid w:val="007750DC"/>
    <w:rsid w:val="00775132"/>
    <w:rsid w:val="0077525D"/>
    <w:rsid w:val="0077538D"/>
    <w:rsid w:val="00775486"/>
    <w:rsid w:val="007755D8"/>
    <w:rsid w:val="0077569C"/>
    <w:rsid w:val="007756DD"/>
    <w:rsid w:val="00775753"/>
    <w:rsid w:val="00775760"/>
    <w:rsid w:val="007758E3"/>
    <w:rsid w:val="00775985"/>
    <w:rsid w:val="00775993"/>
    <w:rsid w:val="007759B7"/>
    <w:rsid w:val="007759E9"/>
    <w:rsid w:val="00775A96"/>
    <w:rsid w:val="00775AD3"/>
    <w:rsid w:val="00775ADF"/>
    <w:rsid w:val="00775B93"/>
    <w:rsid w:val="00775BEC"/>
    <w:rsid w:val="00775C44"/>
    <w:rsid w:val="00775C88"/>
    <w:rsid w:val="00775D4E"/>
    <w:rsid w:val="00775D5D"/>
    <w:rsid w:val="00775E43"/>
    <w:rsid w:val="00776063"/>
    <w:rsid w:val="007760C9"/>
    <w:rsid w:val="007760CC"/>
    <w:rsid w:val="007761F0"/>
    <w:rsid w:val="0077626B"/>
    <w:rsid w:val="00776304"/>
    <w:rsid w:val="00776348"/>
    <w:rsid w:val="007763B9"/>
    <w:rsid w:val="00776689"/>
    <w:rsid w:val="007766BB"/>
    <w:rsid w:val="007767E4"/>
    <w:rsid w:val="00776869"/>
    <w:rsid w:val="007768C1"/>
    <w:rsid w:val="007768DD"/>
    <w:rsid w:val="00776901"/>
    <w:rsid w:val="00776913"/>
    <w:rsid w:val="0077698C"/>
    <w:rsid w:val="00776992"/>
    <w:rsid w:val="007769EF"/>
    <w:rsid w:val="00776A25"/>
    <w:rsid w:val="00776A5F"/>
    <w:rsid w:val="00776B39"/>
    <w:rsid w:val="00776BFE"/>
    <w:rsid w:val="00776D04"/>
    <w:rsid w:val="00776DAC"/>
    <w:rsid w:val="00776DEB"/>
    <w:rsid w:val="00776F4C"/>
    <w:rsid w:val="00776F62"/>
    <w:rsid w:val="00776FEE"/>
    <w:rsid w:val="0077701C"/>
    <w:rsid w:val="0077711B"/>
    <w:rsid w:val="0077712A"/>
    <w:rsid w:val="00777189"/>
    <w:rsid w:val="007771AF"/>
    <w:rsid w:val="0077722F"/>
    <w:rsid w:val="00777341"/>
    <w:rsid w:val="0077738E"/>
    <w:rsid w:val="007773BA"/>
    <w:rsid w:val="007773E5"/>
    <w:rsid w:val="007774D8"/>
    <w:rsid w:val="007775D1"/>
    <w:rsid w:val="007775EC"/>
    <w:rsid w:val="0077760F"/>
    <w:rsid w:val="00777683"/>
    <w:rsid w:val="007776A7"/>
    <w:rsid w:val="007776C9"/>
    <w:rsid w:val="0077773E"/>
    <w:rsid w:val="007777F8"/>
    <w:rsid w:val="007778E5"/>
    <w:rsid w:val="007778E7"/>
    <w:rsid w:val="007778FE"/>
    <w:rsid w:val="00777921"/>
    <w:rsid w:val="00777B88"/>
    <w:rsid w:val="00777D55"/>
    <w:rsid w:val="00777EC4"/>
    <w:rsid w:val="00777F89"/>
    <w:rsid w:val="00777FCF"/>
    <w:rsid w:val="0078008E"/>
    <w:rsid w:val="007802A0"/>
    <w:rsid w:val="00780361"/>
    <w:rsid w:val="0078036F"/>
    <w:rsid w:val="00780378"/>
    <w:rsid w:val="0078043D"/>
    <w:rsid w:val="0078043F"/>
    <w:rsid w:val="00780464"/>
    <w:rsid w:val="007804AC"/>
    <w:rsid w:val="00780502"/>
    <w:rsid w:val="00780594"/>
    <w:rsid w:val="007806FA"/>
    <w:rsid w:val="00780760"/>
    <w:rsid w:val="00780825"/>
    <w:rsid w:val="00780905"/>
    <w:rsid w:val="00780992"/>
    <w:rsid w:val="00780A35"/>
    <w:rsid w:val="00780A92"/>
    <w:rsid w:val="00780AB4"/>
    <w:rsid w:val="00780BF0"/>
    <w:rsid w:val="00780C03"/>
    <w:rsid w:val="00780C37"/>
    <w:rsid w:val="00780C6F"/>
    <w:rsid w:val="00780D41"/>
    <w:rsid w:val="00780E1A"/>
    <w:rsid w:val="00780F8E"/>
    <w:rsid w:val="00780FA8"/>
    <w:rsid w:val="0078110E"/>
    <w:rsid w:val="0078115D"/>
    <w:rsid w:val="0078118B"/>
    <w:rsid w:val="007811E1"/>
    <w:rsid w:val="00781246"/>
    <w:rsid w:val="00781431"/>
    <w:rsid w:val="0078147F"/>
    <w:rsid w:val="00781524"/>
    <w:rsid w:val="0078156A"/>
    <w:rsid w:val="00781620"/>
    <w:rsid w:val="00781653"/>
    <w:rsid w:val="00781699"/>
    <w:rsid w:val="00781733"/>
    <w:rsid w:val="00781764"/>
    <w:rsid w:val="0078190A"/>
    <w:rsid w:val="007819B8"/>
    <w:rsid w:val="00781A01"/>
    <w:rsid w:val="00781A3A"/>
    <w:rsid w:val="00781AB9"/>
    <w:rsid w:val="00781AC0"/>
    <w:rsid w:val="00781AC3"/>
    <w:rsid w:val="00781B89"/>
    <w:rsid w:val="00781C2A"/>
    <w:rsid w:val="00781D33"/>
    <w:rsid w:val="00781DB1"/>
    <w:rsid w:val="00781EB8"/>
    <w:rsid w:val="00781F10"/>
    <w:rsid w:val="00781F4C"/>
    <w:rsid w:val="0078203F"/>
    <w:rsid w:val="00782099"/>
    <w:rsid w:val="0078221D"/>
    <w:rsid w:val="007822CA"/>
    <w:rsid w:val="007822D0"/>
    <w:rsid w:val="00782336"/>
    <w:rsid w:val="007824BE"/>
    <w:rsid w:val="00782510"/>
    <w:rsid w:val="0078251F"/>
    <w:rsid w:val="0078253B"/>
    <w:rsid w:val="00782545"/>
    <w:rsid w:val="0078254A"/>
    <w:rsid w:val="0078261F"/>
    <w:rsid w:val="0078264A"/>
    <w:rsid w:val="00782678"/>
    <w:rsid w:val="007826F4"/>
    <w:rsid w:val="0078277F"/>
    <w:rsid w:val="007827C4"/>
    <w:rsid w:val="007827FE"/>
    <w:rsid w:val="00782823"/>
    <w:rsid w:val="0078283A"/>
    <w:rsid w:val="007828D3"/>
    <w:rsid w:val="00782939"/>
    <w:rsid w:val="00782A39"/>
    <w:rsid w:val="00782A58"/>
    <w:rsid w:val="00782B47"/>
    <w:rsid w:val="00782B83"/>
    <w:rsid w:val="00782B88"/>
    <w:rsid w:val="00782BA4"/>
    <w:rsid w:val="00782BB5"/>
    <w:rsid w:val="00782C66"/>
    <w:rsid w:val="00782C74"/>
    <w:rsid w:val="00782D26"/>
    <w:rsid w:val="00782E0A"/>
    <w:rsid w:val="00782E21"/>
    <w:rsid w:val="00782F42"/>
    <w:rsid w:val="00782F70"/>
    <w:rsid w:val="00782FFE"/>
    <w:rsid w:val="00783031"/>
    <w:rsid w:val="00783074"/>
    <w:rsid w:val="007830A2"/>
    <w:rsid w:val="007830E8"/>
    <w:rsid w:val="00783239"/>
    <w:rsid w:val="0078325E"/>
    <w:rsid w:val="00783400"/>
    <w:rsid w:val="0078347E"/>
    <w:rsid w:val="00783491"/>
    <w:rsid w:val="007834CD"/>
    <w:rsid w:val="007834F5"/>
    <w:rsid w:val="0078357D"/>
    <w:rsid w:val="007836DF"/>
    <w:rsid w:val="007836F1"/>
    <w:rsid w:val="00783723"/>
    <w:rsid w:val="0078372A"/>
    <w:rsid w:val="00783796"/>
    <w:rsid w:val="00783799"/>
    <w:rsid w:val="0078395A"/>
    <w:rsid w:val="00783B7A"/>
    <w:rsid w:val="00783BE7"/>
    <w:rsid w:val="00783CF8"/>
    <w:rsid w:val="00783D12"/>
    <w:rsid w:val="00783DFD"/>
    <w:rsid w:val="00783E21"/>
    <w:rsid w:val="00783E22"/>
    <w:rsid w:val="00783EE9"/>
    <w:rsid w:val="00783F10"/>
    <w:rsid w:val="00783F8A"/>
    <w:rsid w:val="00784127"/>
    <w:rsid w:val="00784145"/>
    <w:rsid w:val="0078414B"/>
    <w:rsid w:val="0078416F"/>
    <w:rsid w:val="007841C7"/>
    <w:rsid w:val="00784201"/>
    <w:rsid w:val="00784250"/>
    <w:rsid w:val="007842F9"/>
    <w:rsid w:val="007843EC"/>
    <w:rsid w:val="00784400"/>
    <w:rsid w:val="00784460"/>
    <w:rsid w:val="0078453C"/>
    <w:rsid w:val="00784695"/>
    <w:rsid w:val="007846DE"/>
    <w:rsid w:val="0078477A"/>
    <w:rsid w:val="00784782"/>
    <w:rsid w:val="007847B0"/>
    <w:rsid w:val="00784818"/>
    <w:rsid w:val="00784960"/>
    <w:rsid w:val="0078499D"/>
    <w:rsid w:val="007849FF"/>
    <w:rsid w:val="00784A4E"/>
    <w:rsid w:val="00784A76"/>
    <w:rsid w:val="00784AE4"/>
    <w:rsid w:val="00784AE6"/>
    <w:rsid w:val="00784AFE"/>
    <w:rsid w:val="00784C4B"/>
    <w:rsid w:val="00784D64"/>
    <w:rsid w:val="00784D8A"/>
    <w:rsid w:val="00784F41"/>
    <w:rsid w:val="00784F6A"/>
    <w:rsid w:val="00784F80"/>
    <w:rsid w:val="0078509C"/>
    <w:rsid w:val="007850AB"/>
    <w:rsid w:val="007852BF"/>
    <w:rsid w:val="007852FC"/>
    <w:rsid w:val="007854D2"/>
    <w:rsid w:val="007854E3"/>
    <w:rsid w:val="00785530"/>
    <w:rsid w:val="00785656"/>
    <w:rsid w:val="0078567D"/>
    <w:rsid w:val="007856B7"/>
    <w:rsid w:val="007856C7"/>
    <w:rsid w:val="007856D6"/>
    <w:rsid w:val="007856E5"/>
    <w:rsid w:val="007857F3"/>
    <w:rsid w:val="00785902"/>
    <w:rsid w:val="007859DB"/>
    <w:rsid w:val="00785A7E"/>
    <w:rsid w:val="00785B56"/>
    <w:rsid w:val="00785E13"/>
    <w:rsid w:val="00785E2E"/>
    <w:rsid w:val="00785ED5"/>
    <w:rsid w:val="00785EF0"/>
    <w:rsid w:val="00785F35"/>
    <w:rsid w:val="00785F46"/>
    <w:rsid w:val="00785F59"/>
    <w:rsid w:val="00785FFC"/>
    <w:rsid w:val="0078611A"/>
    <w:rsid w:val="00786178"/>
    <w:rsid w:val="00786244"/>
    <w:rsid w:val="00786356"/>
    <w:rsid w:val="007863E6"/>
    <w:rsid w:val="0078640F"/>
    <w:rsid w:val="0078643D"/>
    <w:rsid w:val="00786453"/>
    <w:rsid w:val="0078646F"/>
    <w:rsid w:val="00786470"/>
    <w:rsid w:val="007864E9"/>
    <w:rsid w:val="00786565"/>
    <w:rsid w:val="007865B3"/>
    <w:rsid w:val="00786644"/>
    <w:rsid w:val="0078664A"/>
    <w:rsid w:val="00786788"/>
    <w:rsid w:val="00786805"/>
    <w:rsid w:val="0078689D"/>
    <w:rsid w:val="007868C5"/>
    <w:rsid w:val="00786910"/>
    <w:rsid w:val="00786A27"/>
    <w:rsid w:val="00786A4C"/>
    <w:rsid w:val="00786A6F"/>
    <w:rsid w:val="00786A92"/>
    <w:rsid w:val="00786AF5"/>
    <w:rsid w:val="00786B57"/>
    <w:rsid w:val="00786C2A"/>
    <w:rsid w:val="00786D7E"/>
    <w:rsid w:val="00786F50"/>
    <w:rsid w:val="00786F97"/>
    <w:rsid w:val="0078702D"/>
    <w:rsid w:val="00787055"/>
    <w:rsid w:val="007870A5"/>
    <w:rsid w:val="0078710E"/>
    <w:rsid w:val="0078715C"/>
    <w:rsid w:val="0078725D"/>
    <w:rsid w:val="0078729A"/>
    <w:rsid w:val="00787370"/>
    <w:rsid w:val="00787377"/>
    <w:rsid w:val="0078738C"/>
    <w:rsid w:val="007873D5"/>
    <w:rsid w:val="00787489"/>
    <w:rsid w:val="007874E2"/>
    <w:rsid w:val="00787525"/>
    <w:rsid w:val="0078754A"/>
    <w:rsid w:val="00787577"/>
    <w:rsid w:val="007875C6"/>
    <w:rsid w:val="0078773D"/>
    <w:rsid w:val="007877BF"/>
    <w:rsid w:val="0078783E"/>
    <w:rsid w:val="007878C0"/>
    <w:rsid w:val="0078793A"/>
    <w:rsid w:val="00787A16"/>
    <w:rsid w:val="00787A8D"/>
    <w:rsid w:val="00787B20"/>
    <w:rsid w:val="00787B39"/>
    <w:rsid w:val="00787B94"/>
    <w:rsid w:val="00787BEB"/>
    <w:rsid w:val="00787C7E"/>
    <w:rsid w:val="00787CCD"/>
    <w:rsid w:val="00787D22"/>
    <w:rsid w:val="00787D8A"/>
    <w:rsid w:val="00787DD9"/>
    <w:rsid w:val="00787E25"/>
    <w:rsid w:val="00787E64"/>
    <w:rsid w:val="00787F50"/>
    <w:rsid w:val="00787FDD"/>
    <w:rsid w:val="0079005D"/>
    <w:rsid w:val="00790077"/>
    <w:rsid w:val="007901CE"/>
    <w:rsid w:val="00790207"/>
    <w:rsid w:val="0079022D"/>
    <w:rsid w:val="007902A5"/>
    <w:rsid w:val="007902FF"/>
    <w:rsid w:val="0079034A"/>
    <w:rsid w:val="00790362"/>
    <w:rsid w:val="0079056A"/>
    <w:rsid w:val="0079057B"/>
    <w:rsid w:val="007906AE"/>
    <w:rsid w:val="00790852"/>
    <w:rsid w:val="007908AE"/>
    <w:rsid w:val="007908D7"/>
    <w:rsid w:val="00790959"/>
    <w:rsid w:val="00790963"/>
    <w:rsid w:val="007909DC"/>
    <w:rsid w:val="00790A8E"/>
    <w:rsid w:val="00790AE1"/>
    <w:rsid w:val="00790BA9"/>
    <w:rsid w:val="00790BBF"/>
    <w:rsid w:val="00790C88"/>
    <w:rsid w:val="00790DCC"/>
    <w:rsid w:val="00790DEC"/>
    <w:rsid w:val="00790EE6"/>
    <w:rsid w:val="00790F28"/>
    <w:rsid w:val="00790F35"/>
    <w:rsid w:val="00790F8F"/>
    <w:rsid w:val="00791049"/>
    <w:rsid w:val="00791107"/>
    <w:rsid w:val="007911A9"/>
    <w:rsid w:val="007911F8"/>
    <w:rsid w:val="00791234"/>
    <w:rsid w:val="0079123E"/>
    <w:rsid w:val="00791252"/>
    <w:rsid w:val="00791316"/>
    <w:rsid w:val="00791334"/>
    <w:rsid w:val="00791375"/>
    <w:rsid w:val="0079137F"/>
    <w:rsid w:val="007913C7"/>
    <w:rsid w:val="007913D4"/>
    <w:rsid w:val="00791475"/>
    <w:rsid w:val="0079147F"/>
    <w:rsid w:val="007914CF"/>
    <w:rsid w:val="007914DC"/>
    <w:rsid w:val="007915A6"/>
    <w:rsid w:val="00791613"/>
    <w:rsid w:val="00791681"/>
    <w:rsid w:val="0079169C"/>
    <w:rsid w:val="007916D9"/>
    <w:rsid w:val="007916EE"/>
    <w:rsid w:val="00791781"/>
    <w:rsid w:val="0079178A"/>
    <w:rsid w:val="0079181F"/>
    <w:rsid w:val="0079198B"/>
    <w:rsid w:val="007919BC"/>
    <w:rsid w:val="00791A03"/>
    <w:rsid w:val="00791A3A"/>
    <w:rsid w:val="00791A3B"/>
    <w:rsid w:val="00791B31"/>
    <w:rsid w:val="00791B58"/>
    <w:rsid w:val="00791B91"/>
    <w:rsid w:val="00791C3C"/>
    <w:rsid w:val="00791C7D"/>
    <w:rsid w:val="00791D8A"/>
    <w:rsid w:val="00791E47"/>
    <w:rsid w:val="00791EAF"/>
    <w:rsid w:val="00791EE6"/>
    <w:rsid w:val="00791FDB"/>
    <w:rsid w:val="00792283"/>
    <w:rsid w:val="007922E8"/>
    <w:rsid w:val="007923E0"/>
    <w:rsid w:val="007924C8"/>
    <w:rsid w:val="007924F5"/>
    <w:rsid w:val="0079257D"/>
    <w:rsid w:val="0079258C"/>
    <w:rsid w:val="007925A5"/>
    <w:rsid w:val="007925B1"/>
    <w:rsid w:val="007925DD"/>
    <w:rsid w:val="007926AC"/>
    <w:rsid w:val="0079270D"/>
    <w:rsid w:val="00792793"/>
    <w:rsid w:val="007927C7"/>
    <w:rsid w:val="007927FA"/>
    <w:rsid w:val="0079283B"/>
    <w:rsid w:val="00792860"/>
    <w:rsid w:val="0079290B"/>
    <w:rsid w:val="00792976"/>
    <w:rsid w:val="00792A00"/>
    <w:rsid w:val="00792A90"/>
    <w:rsid w:val="00792B3F"/>
    <w:rsid w:val="00792BC1"/>
    <w:rsid w:val="00792BF0"/>
    <w:rsid w:val="00792C1B"/>
    <w:rsid w:val="00792C4E"/>
    <w:rsid w:val="00792CEF"/>
    <w:rsid w:val="00792E98"/>
    <w:rsid w:val="00792EDE"/>
    <w:rsid w:val="00792F05"/>
    <w:rsid w:val="00792F45"/>
    <w:rsid w:val="00792F5A"/>
    <w:rsid w:val="00792FDA"/>
    <w:rsid w:val="00792FFD"/>
    <w:rsid w:val="0079317D"/>
    <w:rsid w:val="007931EE"/>
    <w:rsid w:val="007932EA"/>
    <w:rsid w:val="00793392"/>
    <w:rsid w:val="00793458"/>
    <w:rsid w:val="00793464"/>
    <w:rsid w:val="007934DE"/>
    <w:rsid w:val="00793544"/>
    <w:rsid w:val="00793547"/>
    <w:rsid w:val="0079355C"/>
    <w:rsid w:val="0079375F"/>
    <w:rsid w:val="00793892"/>
    <w:rsid w:val="007938F6"/>
    <w:rsid w:val="00793A32"/>
    <w:rsid w:val="00793B11"/>
    <w:rsid w:val="00793B1B"/>
    <w:rsid w:val="00793B5C"/>
    <w:rsid w:val="00793B72"/>
    <w:rsid w:val="00793C46"/>
    <w:rsid w:val="00793C97"/>
    <w:rsid w:val="00793D11"/>
    <w:rsid w:val="00793D62"/>
    <w:rsid w:val="00793DD5"/>
    <w:rsid w:val="00793E09"/>
    <w:rsid w:val="00793EC6"/>
    <w:rsid w:val="00793F7F"/>
    <w:rsid w:val="00794060"/>
    <w:rsid w:val="0079409B"/>
    <w:rsid w:val="007940D6"/>
    <w:rsid w:val="007940E3"/>
    <w:rsid w:val="00794252"/>
    <w:rsid w:val="00794269"/>
    <w:rsid w:val="00794310"/>
    <w:rsid w:val="00794395"/>
    <w:rsid w:val="007943AA"/>
    <w:rsid w:val="007943C0"/>
    <w:rsid w:val="00794445"/>
    <w:rsid w:val="00794446"/>
    <w:rsid w:val="007944D0"/>
    <w:rsid w:val="00794585"/>
    <w:rsid w:val="0079460C"/>
    <w:rsid w:val="00794699"/>
    <w:rsid w:val="007946DD"/>
    <w:rsid w:val="00794741"/>
    <w:rsid w:val="007947A6"/>
    <w:rsid w:val="007947B8"/>
    <w:rsid w:val="00794818"/>
    <w:rsid w:val="0079487B"/>
    <w:rsid w:val="00794965"/>
    <w:rsid w:val="00794AE9"/>
    <w:rsid w:val="00794B61"/>
    <w:rsid w:val="00794B86"/>
    <w:rsid w:val="00794BAE"/>
    <w:rsid w:val="00794BC0"/>
    <w:rsid w:val="00794CA8"/>
    <w:rsid w:val="00794CC4"/>
    <w:rsid w:val="00794CCF"/>
    <w:rsid w:val="00794F1A"/>
    <w:rsid w:val="00794F7B"/>
    <w:rsid w:val="0079501C"/>
    <w:rsid w:val="0079505C"/>
    <w:rsid w:val="0079506F"/>
    <w:rsid w:val="00795078"/>
    <w:rsid w:val="00795123"/>
    <w:rsid w:val="007951A8"/>
    <w:rsid w:val="0079526A"/>
    <w:rsid w:val="007953F0"/>
    <w:rsid w:val="00795455"/>
    <w:rsid w:val="007954A5"/>
    <w:rsid w:val="00795577"/>
    <w:rsid w:val="0079557E"/>
    <w:rsid w:val="00795627"/>
    <w:rsid w:val="00795675"/>
    <w:rsid w:val="007957C3"/>
    <w:rsid w:val="00795840"/>
    <w:rsid w:val="0079586B"/>
    <w:rsid w:val="0079592D"/>
    <w:rsid w:val="00795A79"/>
    <w:rsid w:val="00795AAA"/>
    <w:rsid w:val="00795AB8"/>
    <w:rsid w:val="00795B2B"/>
    <w:rsid w:val="00795B8F"/>
    <w:rsid w:val="00795B9B"/>
    <w:rsid w:val="00795BE0"/>
    <w:rsid w:val="00795C92"/>
    <w:rsid w:val="00795D01"/>
    <w:rsid w:val="00795DFA"/>
    <w:rsid w:val="00795E23"/>
    <w:rsid w:val="00795E5E"/>
    <w:rsid w:val="00795E6D"/>
    <w:rsid w:val="00795F31"/>
    <w:rsid w:val="00795FA3"/>
    <w:rsid w:val="00796038"/>
    <w:rsid w:val="00796087"/>
    <w:rsid w:val="00796091"/>
    <w:rsid w:val="0079611E"/>
    <w:rsid w:val="00796212"/>
    <w:rsid w:val="0079622A"/>
    <w:rsid w:val="00796273"/>
    <w:rsid w:val="00796296"/>
    <w:rsid w:val="007963A2"/>
    <w:rsid w:val="007965CF"/>
    <w:rsid w:val="0079664E"/>
    <w:rsid w:val="007966EB"/>
    <w:rsid w:val="00796792"/>
    <w:rsid w:val="007967AB"/>
    <w:rsid w:val="00796816"/>
    <w:rsid w:val="00796998"/>
    <w:rsid w:val="00796A63"/>
    <w:rsid w:val="00796B23"/>
    <w:rsid w:val="00796C17"/>
    <w:rsid w:val="00796C33"/>
    <w:rsid w:val="00796D0D"/>
    <w:rsid w:val="00796D2C"/>
    <w:rsid w:val="00796D48"/>
    <w:rsid w:val="00796F99"/>
    <w:rsid w:val="00796F9A"/>
    <w:rsid w:val="00796FF3"/>
    <w:rsid w:val="0079705D"/>
    <w:rsid w:val="0079716D"/>
    <w:rsid w:val="0079718F"/>
    <w:rsid w:val="00797296"/>
    <w:rsid w:val="0079739E"/>
    <w:rsid w:val="0079740F"/>
    <w:rsid w:val="0079742D"/>
    <w:rsid w:val="0079744A"/>
    <w:rsid w:val="0079746B"/>
    <w:rsid w:val="007974A8"/>
    <w:rsid w:val="00797547"/>
    <w:rsid w:val="007975FF"/>
    <w:rsid w:val="007976BA"/>
    <w:rsid w:val="007976D5"/>
    <w:rsid w:val="0079789D"/>
    <w:rsid w:val="007978A4"/>
    <w:rsid w:val="007978FB"/>
    <w:rsid w:val="00797900"/>
    <w:rsid w:val="00797989"/>
    <w:rsid w:val="007979AA"/>
    <w:rsid w:val="00797A22"/>
    <w:rsid w:val="00797C08"/>
    <w:rsid w:val="00797C3A"/>
    <w:rsid w:val="00797C97"/>
    <w:rsid w:val="00797D9C"/>
    <w:rsid w:val="00797EE7"/>
    <w:rsid w:val="00797F0C"/>
    <w:rsid w:val="007A029A"/>
    <w:rsid w:val="007A0333"/>
    <w:rsid w:val="007A0400"/>
    <w:rsid w:val="007A0482"/>
    <w:rsid w:val="007A04C1"/>
    <w:rsid w:val="007A04CE"/>
    <w:rsid w:val="007A0501"/>
    <w:rsid w:val="007A0541"/>
    <w:rsid w:val="007A0643"/>
    <w:rsid w:val="007A06B3"/>
    <w:rsid w:val="007A077F"/>
    <w:rsid w:val="007A07BE"/>
    <w:rsid w:val="007A07EE"/>
    <w:rsid w:val="007A08DE"/>
    <w:rsid w:val="007A08EF"/>
    <w:rsid w:val="007A08F0"/>
    <w:rsid w:val="007A0930"/>
    <w:rsid w:val="007A0956"/>
    <w:rsid w:val="007A0A4D"/>
    <w:rsid w:val="007A0AC9"/>
    <w:rsid w:val="007A0C36"/>
    <w:rsid w:val="007A0CAD"/>
    <w:rsid w:val="007A0D2E"/>
    <w:rsid w:val="007A0D4F"/>
    <w:rsid w:val="007A0E38"/>
    <w:rsid w:val="007A0E3D"/>
    <w:rsid w:val="007A0E90"/>
    <w:rsid w:val="007A0EBB"/>
    <w:rsid w:val="007A0FAF"/>
    <w:rsid w:val="007A0FDD"/>
    <w:rsid w:val="007A10B0"/>
    <w:rsid w:val="007A10EB"/>
    <w:rsid w:val="007A10F8"/>
    <w:rsid w:val="007A11FC"/>
    <w:rsid w:val="007A123F"/>
    <w:rsid w:val="007A1243"/>
    <w:rsid w:val="007A12C5"/>
    <w:rsid w:val="007A1312"/>
    <w:rsid w:val="007A1336"/>
    <w:rsid w:val="007A1361"/>
    <w:rsid w:val="007A137B"/>
    <w:rsid w:val="007A1483"/>
    <w:rsid w:val="007A1485"/>
    <w:rsid w:val="007A148C"/>
    <w:rsid w:val="007A14BC"/>
    <w:rsid w:val="007A15A7"/>
    <w:rsid w:val="007A15C3"/>
    <w:rsid w:val="007A15DA"/>
    <w:rsid w:val="007A1638"/>
    <w:rsid w:val="007A1692"/>
    <w:rsid w:val="007A18A0"/>
    <w:rsid w:val="007A1914"/>
    <w:rsid w:val="007A1957"/>
    <w:rsid w:val="007A19A3"/>
    <w:rsid w:val="007A1AF2"/>
    <w:rsid w:val="007A1B4E"/>
    <w:rsid w:val="007A1B58"/>
    <w:rsid w:val="007A1B7C"/>
    <w:rsid w:val="007A1C45"/>
    <w:rsid w:val="007A1C77"/>
    <w:rsid w:val="007A1E1A"/>
    <w:rsid w:val="007A1E3F"/>
    <w:rsid w:val="007A1E8F"/>
    <w:rsid w:val="007A1EA9"/>
    <w:rsid w:val="007A1EC7"/>
    <w:rsid w:val="007A1ECC"/>
    <w:rsid w:val="007A1ED5"/>
    <w:rsid w:val="007A1EDE"/>
    <w:rsid w:val="007A20F3"/>
    <w:rsid w:val="007A2169"/>
    <w:rsid w:val="007A2225"/>
    <w:rsid w:val="007A2231"/>
    <w:rsid w:val="007A22C9"/>
    <w:rsid w:val="007A22CC"/>
    <w:rsid w:val="007A22F9"/>
    <w:rsid w:val="007A2319"/>
    <w:rsid w:val="007A233C"/>
    <w:rsid w:val="007A2359"/>
    <w:rsid w:val="007A243E"/>
    <w:rsid w:val="007A249B"/>
    <w:rsid w:val="007A252B"/>
    <w:rsid w:val="007A252E"/>
    <w:rsid w:val="007A26D4"/>
    <w:rsid w:val="007A26DE"/>
    <w:rsid w:val="007A2704"/>
    <w:rsid w:val="007A2739"/>
    <w:rsid w:val="007A2874"/>
    <w:rsid w:val="007A2897"/>
    <w:rsid w:val="007A2A49"/>
    <w:rsid w:val="007A2A9B"/>
    <w:rsid w:val="007A2AEC"/>
    <w:rsid w:val="007A2B85"/>
    <w:rsid w:val="007A2BE4"/>
    <w:rsid w:val="007A2BEA"/>
    <w:rsid w:val="007A2BED"/>
    <w:rsid w:val="007A2BFE"/>
    <w:rsid w:val="007A2C6E"/>
    <w:rsid w:val="007A2C70"/>
    <w:rsid w:val="007A2C73"/>
    <w:rsid w:val="007A2C9C"/>
    <w:rsid w:val="007A2CBD"/>
    <w:rsid w:val="007A2FB1"/>
    <w:rsid w:val="007A3073"/>
    <w:rsid w:val="007A30AA"/>
    <w:rsid w:val="007A30FD"/>
    <w:rsid w:val="007A323B"/>
    <w:rsid w:val="007A3246"/>
    <w:rsid w:val="007A339C"/>
    <w:rsid w:val="007A34DD"/>
    <w:rsid w:val="007A3541"/>
    <w:rsid w:val="007A359F"/>
    <w:rsid w:val="007A3625"/>
    <w:rsid w:val="007A3661"/>
    <w:rsid w:val="007A369E"/>
    <w:rsid w:val="007A3719"/>
    <w:rsid w:val="007A380C"/>
    <w:rsid w:val="007A386C"/>
    <w:rsid w:val="007A38DC"/>
    <w:rsid w:val="007A3A07"/>
    <w:rsid w:val="007A3A1D"/>
    <w:rsid w:val="007A3A35"/>
    <w:rsid w:val="007A3A93"/>
    <w:rsid w:val="007A3AC8"/>
    <w:rsid w:val="007A3BC0"/>
    <w:rsid w:val="007A3C0B"/>
    <w:rsid w:val="007A3C3F"/>
    <w:rsid w:val="007A3C42"/>
    <w:rsid w:val="007A3C53"/>
    <w:rsid w:val="007A3D12"/>
    <w:rsid w:val="007A3D35"/>
    <w:rsid w:val="007A3D7A"/>
    <w:rsid w:val="007A3D8D"/>
    <w:rsid w:val="007A3D93"/>
    <w:rsid w:val="007A3DD1"/>
    <w:rsid w:val="007A3DE3"/>
    <w:rsid w:val="007A3E71"/>
    <w:rsid w:val="007A3EAF"/>
    <w:rsid w:val="007A3EB0"/>
    <w:rsid w:val="007A3F88"/>
    <w:rsid w:val="007A3F8B"/>
    <w:rsid w:val="007A3FF0"/>
    <w:rsid w:val="007A40F8"/>
    <w:rsid w:val="007A4213"/>
    <w:rsid w:val="007A4265"/>
    <w:rsid w:val="007A42B3"/>
    <w:rsid w:val="007A4335"/>
    <w:rsid w:val="007A4351"/>
    <w:rsid w:val="007A441C"/>
    <w:rsid w:val="007A4495"/>
    <w:rsid w:val="007A44E5"/>
    <w:rsid w:val="007A44EA"/>
    <w:rsid w:val="007A4668"/>
    <w:rsid w:val="007A4687"/>
    <w:rsid w:val="007A46E6"/>
    <w:rsid w:val="007A471B"/>
    <w:rsid w:val="007A4732"/>
    <w:rsid w:val="007A4771"/>
    <w:rsid w:val="007A47CF"/>
    <w:rsid w:val="007A47DE"/>
    <w:rsid w:val="007A48FB"/>
    <w:rsid w:val="007A4938"/>
    <w:rsid w:val="007A4B5C"/>
    <w:rsid w:val="007A4B74"/>
    <w:rsid w:val="007A4C63"/>
    <w:rsid w:val="007A4D03"/>
    <w:rsid w:val="007A4DB3"/>
    <w:rsid w:val="007A4E78"/>
    <w:rsid w:val="007A4E80"/>
    <w:rsid w:val="007A4F66"/>
    <w:rsid w:val="007A5084"/>
    <w:rsid w:val="007A5086"/>
    <w:rsid w:val="007A50BA"/>
    <w:rsid w:val="007A528E"/>
    <w:rsid w:val="007A52AC"/>
    <w:rsid w:val="007A5450"/>
    <w:rsid w:val="007A54B4"/>
    <w:rsid w:val="007A54C4"/>
    <w:rsid w:val="007A54DF"/>
    <w:rsid w:val="007A5546"/>
    <w:rsid w:val="007A55C7"/>
    <w:rsid w:val="007A5606"/>
    <w:rsid w:val="007A568E"/>
    <w:rsid w:val="007A5727"/>
    <w:rsid w:val="007A57D8"/>
    <w:rsid w:val="007A5985"/>
    <w:rsid w:val="007A59F7"/>
    <w:rsid w:val="007A5ACA"/>
    <w:rsid w:val="007A5DAD"/>
    <w:rsid w:val="007A5DE7"/>
    <w:rsid w:val="007A5F24"/>
    <w:rsid w:val="007A5F30"/>
    <w:rsid w:val="007A5F81"/>
    <w:rsid w:val="007A5F83"/>
    <w:rsid w:val="007A601C"/>
    <w:rsid w:val="007A6030"/>
    <w:rsid w:val="007A60DF"/>
    <w:rsid w:val="007A6104"/>
    <w:rsid w:val="007A6113"/>
    <w:rsid w:val="007A61E1"/>
    <w:rsid w:val="007A62B5"/>
    <w:rsid w:val="007A62F8"/>
    <w:rsid w:val="007A6368"/>
    <w:rsid w:val="007A642E"/>
    <w:rsid w:val="007A6439"/>
    <w:rsid w:val="007A648C"/>
    <w:rsid w:val="007A6505"/>
    <w:rsid w:val="007A6529"/>
    <w:rsid w:val="007A653A"/>
    <w:rsid w:val="007A6540"/>
    <w:rsid w:val="007A65B1"/>
    <w:rsid w:val="007A65DC"/>
    <w:rsid w:val="007A6625"/>
    <w:rsid w:val="007A6660"/>
    <w:rsid w:val="007A676E"/>
    <w:rsid w:val="007A6782"/>
    <w:rsid w:val="007A67E6"/>
    <w:rsid w:val="007A6854"/>
    <w:rsid w:val="007A68A1"/>
    <w:rsid w:val="007A68FD"/>
    <w:rsid w:val="007A6A83"/>
    <w:rsid w:val="007A6BA9"/>
    <w:rsid w:val="007A6BE1"/>
    <w:rsid w:val="007A6C0F"/>
    <w:rsid w:val="007A6E41"/>
    <w:rsid w:val="007A6E7C"/>
    <w:rsid w:val="007A6F8A"/>
    <w:rsid w:val="007A713D"/>
    <w:rsid w:val="007A71BE"/>
    <w:rsid w:val="007A720D"/>
    <w:rsid w:val="007A728C"/>
    <w:rsid w:val="007A72C0"/>
    <w:rsid w:val="007A7311"/>
    <w:rsid w:val="007A731C"/>
    <w:rsid w:val="007A7360"/>
    <w:rsid w:val="007A7364"/>
    <w:rsid w:val="007A73F7"/>
    <w:rsid w:val="007A743B"/>
    <w:rsid w:val="007A7492"/>
    <w:rsid w:val="007A74B3"/>
    <w:rsid w:val="007A74F6"/>
    <w:rsid w:val="007A74FD"/>
    <w:rsid w:val="007A75AC"/>
    <w:rsid w:val="007A76DB"/>
    <w:rsid w:val="007A7732"/>
    <w:rsid w:val="007A77AB"/>
    <w:rsid w:val="007A77EC"/>
    <w:rsid w:val="007A77EF"/>
    <w:rsid w:val="007A7801"/>
    <w:rsid w:val="007A780F"/>
    <w:rsid w:val="007A78AC"/>
    <w:rsid w:val="007A7957"/>
    <w:rsid w:val="007A799B"/>
    <w:rsid w:val="007A7A3B"/>
    <w:rsid w:val="007A7B08"/>
    <w:rsid w:val="007A7B77"/>
    <w:rsid w:val="007A7B8B"/>
    <w:rsid w:val="007A7BA8"/>
    <w:rsid w:val="007A7BA9"/>
    <w:rsid w:val="007A7BCB"/>
    <w:rsid w:val="007A7C06"/>
    <w:rsid w:val="007A7C30"/>
    <w:rsid w:val="007A7CAE"/>
    <w:rsid w:val="007A7CD4"/>
    <w:rsid w:val="007A7E19"/>
    <w:rsid w:val="007A7E5F"/>
    <w:rsid w:val="007A7F88"/>
    <w:rsid w:val="007A7FF1"/>
    <w:rsid w:val="007B0040"/>
    <w:rsid w:val="007B0196"/>
    <w:rsid w:val="007B01CF"/>
    <w:rsid w:val="007B0265"/>
    <w:rsid w:val="007B0322"/>
    <w:rsid w:val="007B036A"/>
    <w:rsid w:val="007B036C"/>
    <w:rsid w:val="007B0375"/>
    <w:rsid w:val="007B03E3"/>
    <w:rsid w:val="007B046F"/>
    <w:rsid w:val="007B05BF"/>
    <w:rsid w:val="007B0A43"/>
    <w:rsid w:val="007B0AAD"/>
    <w:rsid w:val="007B0D7D"/>
    <w:rsid w:val="007B0DF9"/>
    <w:rsid w:val="007B0DFE"/>
    <w:rsid w:val="007B0E20"/>
    <w:rsid w:val="007B0F1C"/>
    <w:rsid w:val="007B0F25"/>
    <w:rsid w:val="007B0F57"/>
    <w:rsid w:val="007B0FBB"/>
    <w:rsid w:val="007B104E"/>
    <w:rsid w:val="007B1071"/>
    <w:rsid w:val="007B1111"/>
    <w:rsid w:val="007B113E"/>
    <w:rsid w:val="007B1152"/>
    <w:rsid w:val="007B116B"/>
    <w:rsid w:val="007B1186"/>
    <w:rsid w:val="007B121A"/>
    <w:rsid w:val="007B1285"/>
    <w:rsid w:val="007B12AC"/>
    <w:rsid w:val="007B13C7"/>
    <w:rsid w:val="007B144E"/>
    <w:rsid w:val="007B1580"/>
    <w:rsid w:val="007B158D"/>
    <w:rsid w:val="007B1590"/>
    <w:rsid w:val="007B174A"/>
    <w:rsid w:val="007B18E7"/>
    <w:rsid w:val="007B19C2"/>
    <w:rsid w:val="007B19CB"/>
    <w:rsid w:val="007B1C0B"/>
    <w:rsid w:val="007B1C14"/>
    <w:rsid w:val="007B1C77"/>
    <w:rsid w:val="007B1D67"/>
    <w:rsid w:val="007B1DBE"/>
    <w:rsid w:val="007B1E5B"/>
    <w:rsid w:val="007B1E74"/>
    <w:rsid w:val="007B2113"/>
    <w:rsid w:val="007B217D"/>
    <w:rsid w:val="007B2182"/>
    <w:rsid w:val="007B2195"/>
    <w:rsid w:val="007B21A0"/>
    <w:rsid w:val="007B2214"/>
    <w:rsid w:val="007B2228"/>
    <w:rsid w:val="007B2286"/>
    <w:rsid w:val="007B2357"/>
    <w:rsid w:val="007B2366"/>
    <w:rsid w:val="007B2430"/>
    <w:rsid w:val="007B26A6"/>
    <w:rsid w:val="007B2756"/>
    <w:rsid w:val="007B279C"/>
    <w:rsid w:val="007B27F3"/>
    <w:rsid w:val="007B2863"/>
    <w:rsid w:val="007B2872"/>
    <w:rsid w:val="007B2913"/>
    <w:rsid w:val="007B292F"/>
    <w:rsid w:val="007B29BC"/>
    <w:rsid w:val="007B2AA4"/>
    <w:rsid w:val="007B2BBF"/>
    <w:rsid w:val="007B2C83"/>
    <w:rsid w:val="007B2C9D"/>
    <w:rsid w:val="007B2D1C"/>
    <w:rsid w:val="007B2D43"/>
    <w:rsid w:val="007B2D8A"/>
    <w:rsid w:val="007B2E69"/>
    <w:rsid w:val="007B2E7A"/>
    <w:rsid w:val="007B2EC4"/>
    <w:rsid w:val="007B2EED"/>
    <w:rsid w:val="007B2F0A"/>
    <w:rsid w:val="007B2F10"/>
    <w:rsid w:val="007B30BD"/>
    <w:rsid w:val="007B3115"/>
    <w:rsid w:val="007B319B"/>
    <w:rsid w:val="007B31A3"/>
    <w:rsid w:val="007B31C0"/>
    <w:rsid w:val="007B31C1"/>
    <w:rsid w:val="007B3303"/>
    <w:rsid w:val="007B336C"/>
    <w:rsid w:val="007B33E3"/>
    <w:rsid w:val="007B3403"/>
    <w:rsid w:val="007B345C"/>
    <w:rsid w:val="007B35E7"/>
    <w:rsid w:val="007B3618"/>
    <w:rsid w:val="007B3672"/>
    <w:rsid w:val="007B3677"/>
    <w:rsid w:val="007B3761"/>
    <w:rsid w:val="007B378B"/>
    <w:rsid w:val="007B37F9"/>
    <w:rsid w:val="007B3829"/>
    <w:rsid w:val="007B3887"/>
    <w:rsid w:val="007B38A8"/>
    <w:rsid w:val="007B396C"/>
    <w:rsid w:val="007B3979"/>
    <w:rsid w:val="007B3AA7"/>
    <w:rsid w:val="007B3B6E"/>
    <w:rsid w:val="007B3C65"/>
    <w:rsid w:val="007B3C8A"/>
    <w:rsid w:val="007B3D18"/>
    <w:rsid w:val="007B3D6A"/>
    <w:rsid w:val="007B3DB2"/>
    <w:rsid w:val="007B3E58"/>
    <w:rsid w:val="007B4029"/>
    <w:rsid w:val="007B418B"/>
    <w:rsid w:val="007B4291"/>
    <w:rsid w:val="007B42B0"/>
    <w:rsid w:val="007B436E"/>
    <w:rsid w:val="007B437B"/>
    <w:rsid w:val="007B439F"/>
    <w:rsid w:val="007B43F3"/>
    <w:rsid w:val="007B446E"/>
    <w:rsid w:val="007B45F9"/>
    <w:rsid w:val="007B4665"/>
    <w:rsid w:val="007B4666"/>
    <w:rsid w:val="007B4678"/>
    <w:rsid w:val="007B46A9"/>
    <w:rsid w:val="007B46B1"/>
    <w:rsid w:val="007B46C4"/>
    <w:rsid w:val="007B48FC"/>
    <w:rsid w:val="007B4B00"/>
    <w:rsid w:val="007B4BA1"/>
    <w:rsid w:val="007B4BCC"/>
    <w:rsid w:val="007B4C2C"/>
    <w:rsid w:val="007B4D24"/>
    <w:rsid w:val="007B4D48"/>
    <w:rsid w:val="007B4E72"/>
    <w:rsid w:val="007B4EA8"/>
    <w:rsid w:val="007B4EA9"/>
    <w:rsid w:val="007B4F93"/>
    <w:rsid w:val="007B4FF1"/>
    <w:rsid w:val="007B503A"/>
    <w:rsid w:val="007B5051"/>
    <w:rsid w:val="007B5081"/>
    <w:rsid w:val="007B508C"/>
    <w:rsid w:val="007B50C8"/>
    <w:rsid w:val="007B51F8"/>
    <w:rsid w:val="007B533D"/>
    <w:rsid w:val="007B542F"/>
    <w:rsid w:val="007B5521"/>
    <w:rsid w:val="007B5733"/>
    <w:rsid w:val="007B575F"/>
    <w:rsid w:val="007B582D"/>
    <w:rsid w:val="007B59F9"/>
    <w:rsid w:val="007B59FB"/>
    <w:rsid w:val="007B5A0C"/>
    <w:rsid w:val="007B5A2B"/>
    <w:rsid w:val="007B5C68"/>
    <w:rsid w:val="007B5CE2"/>
    <w:rsid w:val="007B5CE5"/>
    <w:rsid w:val="007B5D0D"/>
    <w:rsid w:val="007B5DE6"/>
    <w:rsid w:val="007B5DF6"/>
    <w:rsid w:val="007B5E63"/>
    <w:rsid w:val="007B5E82"/>
    <w:rsid w:val="007B6008"/>
    <w:rsid w:val="007B606F"/>
    <w:rsid w:val="007B60C9"/>
    <w:rsid w:val="007B6120"/>
    <w:rsid w:val="007B6188"/>
    <w:rsid w:val="007B61E2"/>
    <w:rsid w:val="007B621F"/>
    <w:rsid w:val="007B6234"/>
    <w:rsid w:val="007B629A"/>
    <w:rsid w:val="007B6352"/>
    <w:rsid w:val="007B639E"/>
    <w:rsid w:val="007B63A3"/>
    <w:rsid w:val="007B63E8"/>
    <w:rsid w:val="007B6448"/>
    <w:rsid w:val="007B6474"/>
    <w:rsid w:val="007B64B8"/>
    <w:rsid w:val="007B64D7"/>
    <w:rsid w:val="007B65CB"/>
    <w:rsid w:val="007B664F"/>
    <w:rsid w:val="007B666B"/>
    <w:rsid w:val="007B66FB"/>
    <w:rsid w:val="007B6740"/>
    <w:rsid w:val="007B67BF"/>
    <w:rsid w:val="007B6A28"/>
    <w:rsid w:val="007B6AAB"/>
    <w:rsid w:val="007B6C76"/>
    <w:rsid w:val="007B6D2E"/>
    <w:rsid w:val="007B6D6B"/>
    <w:rsid w:val="007B6F99"/>
    <w:rsid w:val="007B6FA4"/>
    <w:rsid w:val="007B6FC1"/>
    <w:rsid w:val="007B6FE1"/>
    <w:rsid w:val="007B7099"/>
    <w:rsid w:val="007B712E"/>
    <w:rsid w:val="007B7142"/>
    <w:rsid w:val="007B71F0"/>
    <w:rsid w:val="007B7272"/>
    <w:rsid w:val="007B730E"/>
    <w:rsid w:val="007B7322"/>
    <w:rsid w:val="007B7338"/>
    <w:rsid w:val="007B73B7"/>
    <w:rsid w:val="007B73D5"/>
    <w:rsid w:val="007B7439"/>
    <w:rsid w:val="007B7515"/>
    <w:rsid w:val="007B75D2"/>
    <w:rsid w:val="007B75FA"/>
    <w:rsid w:val="007B7731"/>
    <w:rsid w:val="007B785B"/>
    <w:rsid w:val="007B786D"/>
    <w:rsid w:val="007B797C"/>
    <w:rsid w:val="007B7993"/>
    <w:rsid w:val="007B7A11"/>
    <w:rsid w:val="007B7A4A"/>
    <w:rsid w:val="007B7A82"/>
    <w:rsid w:val="007B7C0A"/>
    <w:rsid w:val="007B7D05"/>
    <w:rsid w:val="007B7FC8"/>
    <w:rsid w:val="007C0037"/>
    <w:rsid w:val="007C0097"/>
    <w:rsid w:val="007C00C7"/>
    <w:rsid w:val="007C00DC"/>
    <w:rsid w:val="007C0133"/>
    <w:rsid w:val="007C014E"/>
    <w:rsid w:val="007C020A"/>
    <w:rsid w:val="007C020E"/>
    <w:rsid w:val="007C027C"/>
    <w:rsid w:val="007C0317"/>
    <w:rsid w:val="007C0448"/>
    <w:rsid w:val="007C0473"/>
    <w:rsid w:val="007C0567"/>
    <w:rsid w:val="007C05AA"/>
    <w:rsid w:val="007C0604"/>
    <w:rsid w:val="007C0698"/>
    <w:rsid w:val="007C06E4"/>
    <w:rsid w:val="007C0768"/>
    <w:rsid w:val="007C07BE"/>
    <w:rsid w:val="007C07F1"/>
    <w:rsid w:val="007C07F5"/>
    <w:rsid w:val="007C0813"/>
    <w:rsid w:val="007C08E3"/>
    <w:rsid w:val="007C094F"/>
    <w:rsid w:val="007C09AF"/>
    <w:rsid w:val="007C09B1"/>
    <w:rsid w:val="007C0AC9"/>
    <w:rsid w:val="007C0B31"/>
    <w:rsid w:val="007C0BF6"/>
    <w:rsid w:val="007C0C56"/>
    <w:rsid w:val="007C0CCB"/>
    <w:rsid w:val="007C0D4D"/>
    <w:rsid w:val="007C0D56"/>
    <w:rsid w:val="007C0D8C"/>
    <w:rsid w:val="007C0D9B"/>
    <w:rsid w:val="007C0DB9"/>
    <w:rsid w:val="007C0DF8"/>
    <w:rsid w:val="007C0E68"/>
    <w:rsid w:val="007C0E92"/>
    <w:rsid w:val="007C0F8D"/>
    <w:rsid w:val="007C108A"/>
    <w:rsid w:val="007C10A6"/>
    <w:rsid w:val="007C111C"/>
    <w:rsid w:val="007C115B"/>
    <w:rsid w:val="007C116D"/>
    <w:rsid w:val="007C1179"/>
    <w:rsid w:val="007C11A4"/>
    <w:rsid w:val="007C11B8"/>
    <w:rsid w:val="007C11FD"/>
    <w:rsid w:val="007C121D"/>
    <w:rsid w:val="007C1345"/>
    <w:rsid w:val="007C1414"/>
    <w:rsid w:val="007C14A5"/>
    <w:rsid w:val="007C16A1"/>
    <w:rsid w:val="007C16AD"/>
    <w:rsid w:val="007C1873"/>
    <w:rsid w:val="007C18A1"/>
    <w:rsid w:val="007C196D"/>
    <w:rsid w:val="007C1A56"/>
    <w:rsid w:val="007C1B64"/>
    <w:rsid w:val="007C1B8F"/>
    <w:rsid w:val="007C1B9E"/>
    <w:rsid w:val="007C1BA6"/>
    <w:rsid w:val="007C1D07"/>
    <w:rsid w:val="007C1D1D"/>
    <w:rsid w:val="007C1D4B"/>
    <w:rsid w:val="007C1E25"/>
    <w:rsid w:val="007C1E48"/>
    <w:rsid w:val="007C1E4F"/>
    <w:rsid w:val="007C1E51"/>
    <w:rsid w:val="007C1EF3"/>
    <w:rsid w:val="007C1F09"/>
    <w:rsid w:val="007C1F0A"/>
    <w:rsid w:val="007C1F19"/>
    <w:rsid w:val="007C1F37"/>
    <w:rsid w:val="007C1F53"/>
    <w:rsid w:val="007C1FD9"/>
    <w:rsid w:val="007C2037"/>
    <w:rsid w:val="007C204C"/>
    <w:rsid w:val="007C21B2"/>
    <w:rsid w:val="007C2295"/>
    <w:rsid w:val="007C2318"/>
    <w:rsid w:val="007C2354"/>
    <w:rsid w:val="007C235B"/>
    <w:rsid w:val="007C23E5"/>
    <w:rsid w:val="007C2412"/>
    <w:rsid w:val="007C2467"/>
    <w:rsid w:val="007C248E"/>
    <w:rsid w:val="007C2560"/>
    <w:rsid w:val="007C2672"/>
    <w:rsid w:val="007C2691"/>
    <w:rsid w:val="007C26CC"/>
    <w:rsid w:val="007C2874"/>
    <w:rsid w:val="007C28DA"/>
    <w:rsid w:val="007C28E0"/>
    <w:rsid w:val="007C29A2"/>
    <w:rsid w:val="007C29B5"/>
    <w:rsid w:val="007C2B89"/>
    <w:rsid w:val="007C2BC0"/>
    <w:rsid w:val="007C2CCA"/>
    <w:rsid w:val="007C2DB2"/>
    <w:rsid w:val="007C2E14"/>
    <w:rsid w:val="007C2E72"/>
    <w:rsid w:val="007C2EA0"/>
    <w:rsid w:val="007C2ECB"/>
    <w:rsid w:val="007C2ED6"/>
    <w:rsid w:val="007C2F2C"/>
    <w:rsid w:val="007C2FFF"/>
    <w:rsid w:val="007C32EC"/>
    <w:rsid w:val="007C337E"/>
    <w:rsid w:val="007C3399"/>
    <w:rsid w:val="007C33E3"/>
    <w:rsid w:val="007C3449"/>
    <w:rsid w:val="007C34E6"/>
    <w:rsid w:val="007C3505"/>
    <w:rsid w:val="007C352F"/>
    <w:rsid w:val="007C3600"/>
    <w:rsid w:val="007C368F"/>
    <w:rsid w:val="007C379D"/>
    <w:rsid w:val="007C37AD"/>
    <w:rsid w:val="007C3810"/>
    <w:rsid w:val="007C384E"/>
    <w:rsid w:val="007C392C"/>
    <w:rsid w:val="007C3957"/>
    <w:rsid w:val="007C3A5F"/>
    <w:rsid w:val="007C3AA7"/>
    <w:rsid w:val="007C3B35"/>
    <w:rsid w:val="007C3B72"/>
    <w:rsid w:val="007C3BB4"/>
    <w:rsid w:val="007C3BB7"/>
    <w:rsid w:val="007C3C66"/>
    <w:rsid w:val="007C3C88"/>
    <w:rsid w:val="007C3D05"/>
    <w:rsid w:val="007C3DC2"/>
    <w:rsid w:val="007C3F3F"/>
    <w:rsid w:val="007C3FDA"/>
    <w:rsid w:val="007C4015"/>
    <w:rsid w:val="007C403B"/>
    <w:rsid w:val="007C40B6"/>
    <w:rsid w:val="007C413B"/>
    <w:rsid w:val="007C418F"/>
    <w:rsid w:val="007C41B4"/>
    <w:rsid w:val="007C41E0"/>
    <w:rsid w:val="007C41EB"/>
    <w:rsid w:val="007C430E"/>
    <w:rsid w:val="007C432A"/>
    <w:rsid w:val="007C439B"/>
    <w:rsid w:val="007C442F"/>
    <w:rsid w:val="007C4467"/>
    <w:rsid w:val="007C463C"/>
    <w:rsid w:val="007C4645"/>
    <w:rsid w:val="007C46CA"/>
    <w:rsid w:val="007C4729"/>
    <w:rsid w:val="007C4739"/>
    <w:rsid w:val="007C474C"/>
    <w:rsid w:val="007C47C4"/>
    <w:rsid w:val="007C4888"/>
    <w:rsid w:val="007C48D1"/>
    <w:rsid w:val="007C495C"/>
    <w:rsid w:val="007C4A1F"/>
    <w:rsid w:val="007C4A94"/>
    <w:rsid w:val="007C4B8E"/>
    <w:rsid w:val="007C4C30"/>
    <w:rsid w:val="007C4D9B"/>
    <w:rsid w:val="007C4DA7"/>
    <w:rsid w:val="007C4DF6"/>
    <w:rsid w:val="007C4E31"/>
    <w:rsid w:val="007C4EA5"/>
    <w:rsid w:val="007C4FFC"/>
    <w:rsid w:val="007C505D"/>
    <w:rsid w:val="007C50FD"/>
    <w:rsid w:val="007C511F"/>
    <w:rsid w:val="007C515B"/>
    <w:rsid w:val="007C517F"/>
    <w:rsid w:val="007C5198"/>
    <w:rsid w:val="007C520E"/>
    <w:rsid w:val="007C5253"/>
    <w:rsid w:val="007C5283"/>
    <w:rsid w:val="007C52A7"/>
    <w:rsid w:val="007C52B4"/>
    <w:rsid w:val="007C52CA"/>
    <w:rsid w:val="007C53D2"/>
    <w:rsid w:val="007C53FE"/>
    <w:rsid w:val="007C541B"/>
    <w:rsid w:val="007C544F"/>
    <w:rsid w:val="007C5545"/>
    <w:rsid w:val="007C5662"/>
    <w:rsid w:val="007C5680"/>
    <w:rsid w:val="007C568F"/>
    <w:rsid w:val="007C56A5"/>
    <w:rsid w:val="007C5869"/>
    <w:rsid w:val="007C5A5F"/>
    <w:rsid w:val="007C5B24"/>
    <w:rsid w:val="007C5B5F"/>
    <w:rsid w:val="007C5CB8"/>
    <w:rsid w:val="007C5D10"/>
    <w:rsid w:val="007C5D34"/>
    <w:rsid w:val="007C5D89"/>
    <w:rsid w:val="007C5D8B"/>
    <w:rsid w:val="007C5DF8"/>
    <w:rsid w:val="007C5E2E"/>
    <w:rsid w:val="007C5E79"/>
    <w:rsid w:val="007C5E84"/>
    <w:rsid w:val="007C5EC3"/>
    <w:rsid w:val="007C5F1A"/>
    <w:rsid w:val="007C5F37"/>
    <w:rsid w:val="007C6072"/>
    <w:rsid w:val="007C60E7"/>
    <w:rsid w:val="007C613E"/>
    <w:rsid w:val="007C61C9"/>
    <w:rsid w:val="007C6242"/>
    <w:rsid w:val="007C62A0"/>
    <w:rsid w:val="007C62D0"/>
    <w:rsid w:val="007C6372"/>
    <w:rsid w:val="007C647B"/>
    <w:rsid w:val="007C6485"/>
    <w:rsid w:val="007C64CC"/>
    <w:rsid w:val="007C653B"/>
    <w:rsid w:val="007C69B5"/>
    <w:rsid w:val="007C6B1F"/>
    <w:rsid w:val="007C6B44"/>
    <w:rsid w:val="007C6B51"/>
    <w:rsid w:val="007C6B64"/>
    <w:rsid w:val="007C6C84"/>
    <w:rsid w:val="007C6C97"/>
    <w:rsid w:val="007C6C9D"/>
    <w:rsid w:val="007C6CE6"/>
    <w:rsid w:val="007C6D5F"/>
    <w:rsid w:val="007C6D6C"/>
    <w:rsid w:val="007C6D9D"/>
    <w:rsid w:val="007C6DAD"/>
    <w:rsid w:val="007C6EFB"/>
    <w:rsid w:val="007C7007"/>
    <w:rsid w:val="007C71FB"/>
    <w:rsid w:val="007C7230"/>
    <w:rsid w:val="007C737E"/>
    <w:rsid w:val="007C7382"/>
    <w:rsid w:val="007C7465"/>
    <w:rsid w:val="007C7496"/>
    <w:rsid w:val="007C74FB"/>
    <w:rsid w:val="007C754D"/>
    <w:rsid w:val="007C758C"/>
    <w:rsid w:val="007C75B0"/>
    <w:rsid w:val="007C761E"/>
    <w:rsid w:val="007C766D"/>
    <w:rsid w:val="007C76A8"/>
    <w:rsid w:val="007C77BE"/>
    <w:rsid w:val="007C77F6"/>
    <w:rsid w:val="007C784E"/>
    <w:rsid w:val="007C7874"/>
    <w:rsid w:val="007C78D6"/>
    <w:rsid w:val="007C7919"/>
    <w:rsid w:val="007C79CB"/>
    <w:rsid w:val="007C79D5"/>
    <w:rsid w:val="007C79E8"/>
    <w:rsid w:val="007C7A58"/>
    <w:rsid w:val="007C7A8B"/>
    <w:rsid w:val="007C7B44"/>
    <w:rsid w:val="007C7BD5"/>
    <w:rsid w:val="007C7C24"/>
    <w:rsid w:val="007C7D64"/>
    <w:rsid w:val="007C7D85"/>
    <w:rsid w:val="007C7E09"/>
    <w:rsid w:val="007C7E6A"/>
    <w:rsid w:val="007D0076"/>
    <w:rsid w:val="007D0084"/>
    <w:rsid w:val="007D00A0"/>
    <w:rsid w:val="007D0137"/>
    <w:rsid w:val="007D01EC"/>
    <w:rsid w:val="007D0205"/>
    <w:rsid w:val="007D0228"/>
    <w:rsid w:val="007D03D0"/>
    <w:rsid w:val="007D041F"/>
    <w:rsid w:val="007D04EE"/>
    <w:rsid w:val="007D055C"/>
    <w:rsid w:val="007D05C3"/>
    <w:rsid w:val="007D05F1"/>
    <w:rsid w:val="007D0601"/>
    <w:rsid w:val="007D072C"/>
    <w:rsid w:val="007D073E"/>
    <w:rsid w:val="007D078A"/>
    <w:rsid w:val="007D09F0"/>
    <w:rsid w:val="007D0AC2"/>
    <w:rsid w:val="007D0AC3"/>
    <w:rsid w:val="007D0B07"/>
    <w:rsid w:val="007D0B28"/>
    <w:rsid w:val="007D0B52"/>
    <w:rsid w:val="007D0B88"/>
    <w:rsid w:val="007D0B8D"/>
    <w:rsid w:val="007D0C5E"/>
    <w:rsid w:val="007D0D4F"/>
    <w:rsid w:val="007D0D94"/>
    <w:rsid w:val="007D0FBC"/>
    <w:rsid w:val="007D0FC7"/>
    <w:rsid w:val="007D100A"/>
    <w:rsid w:val="007D101F"/>
    <w:rsid w:val="007D10BC"/>
    <w:rsid w:val="007D10D6"/>
    <w:rsid w:val="007D110B"/>
    <w:rsid w:val="007D1295"/>
    <w:rsid w:val="007D12D8"/>
    <w:rsid w:val="007D12EA"/>
    <w:rsid w:val="007D12FE"/>
    <w:rsid w:val="007D1375"/>
    <w:rsid w:val="007D1434"/>
    <w:rsid w:val="007D144F"/>
    <w:rsid w:val="007D148E"/>
    <w:rsid w:val="007D1556"/>
    <w:rsid w:val="007D1585"/>
    <w:rsid w:val="007D16B6"/>
    <w:rsid w:val="007D16F2"/>
    <w:rsid w:val="007D1752"/>
    <w:rsid w:val="007D17DA"/>
    <w:rsid w:val="007D18CB"/>
    <w:rsid w:val="007D18CF"/>
    <w:rsid w:val="007D1913"/>
    <w:rsid w:val="007D194B"/>
    <w:rsid w:val="007D19BF"/>
    <w:rsid w:val="007D1BAE"/>
    <w:rsid w:val="007D1E0B"/>
    <w:rsid w:val="007D1E8C"/>
    <w:rsid w:val="007D1EF5"/>
    <w:rsid w:val="007D1F2B"/>
    <w:rsid w:val="007D1F34"/>
    <w:rsid w:val="007D1F49"/>
    <w:rsid w:val="007D1F50"/>
    <w:rsid w:val="007D1FCB"/>
    <w:rsid w:val="007D2070"/>
    <w:rsid w:val="007D207C"/>
    <w:rsid w:val="007D2099"/>
    <w:rsid w:val="007D20C7"/>
    <w:rsid w:val="007D2140"/>
    <w:rsid w:val="007D21F5"/>
    <w:rsid w:val="007D2207"/>
    <w:rsid w:val="007D228B"/>
    <w:rsid w:val="007D2363"/>
    <w:rsid w:val="007D2374"/>
    <w:rsid w:val="007D2417"/>
    <w:rsid w:val="007D249F"/>
    <w:rsid w:val="007D24A5"/>
    <w:rsid w:val="007D2549"/>
    <w:rsid w:val="007D2645"/>
    <w:rsid w:val="007D269C"/>
    <w:rsid w:val="007D27A1"/>
    <w:rsid w:val="007D2810"/>
    <w:rsid w:val="007D282D"/>
    <w:rsid w:val="007D296B"/>
    <w:rsid w:val="007D29E4"/>
    <w:rsid w:val="007D2A3D"/>
    <w:rsid w:val="007D2ADE"/>
    <w:rsid w:val="007D2AEE"/>
    <w:rsid w:val="007D2AF5"/>
    <w:rsid w:val="007D2C8F"/>
    <w:rsid w:val="007D2CA6"/>
    <w:rsid w:val="007D2CB7"/>
    <w:rsid w:val="007D2CDA"/>
    <w:rsid w:val="007D2CF7"/>
    <w:rsid w:val="007D2D14"/>
    <w:rsid w:val="007D2E0A"/>
    <w:rsid w:val="007D2E1D"/>
    <w:rsid w:val="007D2E28"/>
    <w:rsid w:val="007D2E59"/>
    <w:rsid w:val="007D2E96"/>
    <w:rsid w:val="007D2ECE"/>
    <w:rsid w:val="007D2FCD"/>
    <w:rsid w:val="007D3074"/>
    <w:rsid w:val="007D30F3"/>
    <w:rsid w:val="007D3243"/>
    <w:rsid w:val="007D3283"/>
    <w:rsid w:val="007D32A3"/>
    <w:rsid w:val="007D3335"/>
    <w:rsid w:val="007D336E"/>
    <w:rsid w:val="007D33B0"/>
    <w:rsid w:val="007D3466"/>
    <w:rsid w:val="007D3561"/>
    <w:rsid w:val="007D35F1"/>
    <w:rsid w:val="007D3642"/>
    <w:rsid w:val="007D364F"/>
    <w:rsid w:val="007D36AF"/>
    <w:rsid w:val="007D36B5"/>
    <w:rsid w:val="007D36D5"/>
    <w:rsid w:val="007D3763"/>
    <w:rsid w:val="007D37C2"/>
    <w:rsid w:val="007D3807"/>
    <w:rsid w:val="007D3870"/>
    <w:rsid w:val="007D3965"/>
    <w:rsid w:val="007D3982"/>
    <w:rsid w:val="007D3ABC"/>
    <w:rsid w:val="007D3B03"/>
    <w:rsid w:val="007D3B2F"/>
    <w:rsid w:val="007D3B66"/>
    <w:rsid w:val="007D3BBE"/>
    <w:rsid w:val="007D3C3C"/>
    <w:rsid w:val="007D3D39"/>
    <w:rsid w:val="007D3D69"/>
    <w:rsid w:val="007D3E4A"/>
    <w:rsid w:val="007D3EE7"/>
    <w:rsid w:val="007D3FC0"/>
    <w:rsid w:val="007D3FE9"/>
    <w:rsid w:val="007D40A6"/>
    <w:rsid w:val="007D40DC"/>
    <w:rsid w:val="007D414F"/>
    <w:rsid w:val="007D4180"/>
    <w:rsid w:val="007D4187"/>
    <w:rsid w:val="007D41FC"/>
    <w:rsid w:val="007D42CC"/>
    <w:rsid w:val="007D42E0"/>
    <w:rsid w:val="007D42E2"/>
    <w:rsid w:val="007D430D"/>
    <w:rsid w:val="007D43AE"/>
    <w:rsid w:val="007D43F3"/>
    <w:rsid w:val="007D4455"/>
    <w:rsid w:val="007D44E1"/>
    <w:rsid w:val="007D4582"/>
    <w:rsid w:val="007D45EE"/>
    <w:rsid w:val="007D4665"/>
    <w:rsid w:val="007D4770"/>
    <w:rsid w:val="007D4823"/>
    <w:rsid w:val="007D4846"/>
    <w:rsid w:val="007D4861"/>
    <w:rsid w:val="007D494F"/>
    <w:rsid w:val="007D49E3"/>
    <w:rsid w:val="007D4B2B"/>
    <w:rsid w:val="007D4B98"/>
    <w:rsid w:val="007D4CC6"/>
    <w:rsid w:val="007D4D1C"/>
    <w:rsid w:val="007D4D74"/>
    <w:rsid w:val="007D4D9F"/>
    <w:rsid w:val="007D4F36"/>
    <w:rsid w:val="007D4F42"/>
    <w:rsid w:val="007D4F54"/>
    <w:rsid w:val="007D4FCC"/>
    <w:rsid w:val="007D4FDF"/>
    <w:rsid w:val="007D5151"/>
    <w:rsid w:val="007D51C1"/>
    <w:rsid w:val="007D528A"/>
    <w:rsid w:val="007D52F7"/>
    <w:rsid w:val="007D5424"/>
    <w:rsid w:val="007D542D"/>
    <w:rsid w:val="007D546E"/>
    <w:rsid w:val="007D5478"/>
    <w:rsid w:val="007D5481"/>
    <w:rsid w:val="007D5513"/>
    <w:rsid w:val="007D58E2"/>
    <w:rsid w:val="007D58F2"/>
    <w:rsid w:val="007D594A"/>
    <w:rsid w:val="007D5952"/>
    <w:rsid w:val="007D597C"/>
    <w:rsid w:val="007D5983"/>
    <w:rsid w:val="007D59D3"/>
    <w:rsid w:val="007D5A98"/>
    <w:rsid w:val="007D5ADC"/>
    <w:rsid w:val="007D5B98"/>
    <w:rsid w:val="007D5BA0"/>
    <w:rsid w:val="007D5C23"/>
    <w:rsid w:val="007D5C5E"/>
    <w:rsid w:val="007D5D66"/>
    <w:rsid w:val="007D5DA5"/>
    <w:rsid w:val="007D5E0F"/>
    <w:rsid w:val="007D5E2E"/>
    <w:rsid w:val="007D5E37"/>
    <w:rsid w:val="007D5EA6"/>
    <w:rsid w:val="007D5ED2"/>
    <w:rsid w:val="007D5F6E"/>
    <w:rsid w:val="007D5FB6"/>
    <w:rsid w:val="007D60E7"/>
    <w:rsid w:val="007D6179"/>
    <w:rsid w:val="007D6231"/>
    <w:rsid w:val="007D6291"/>
    <w:rsid w:val="007D6299"/>
    <w:rsid w:val="007D62DC"/>
    <w:rsid w:val="007D6555"/>
    <w:rsid w:val="007D668D"/>
    <w:rsid w:val="007D672C"/>
    <w:rsid w:val="007D68E0"/>
    <w:rsid w:val="007D68F3"/>
    <w:rsid w:val="007D6934"/>
    <w:rsid w:val="007D69E0"/>
    <w:rsid w:val="007D6A33"/>
    <w:rsid w:val="007D6A92"/>
    <w:rsid w:val="007D6ACB"/>
    <w:rsid w:val="007D6B31"/>
    <w:rsid w:val="007D6B39"/>
    <w:rsid w:val="007D6B6A"/>
    <w:rsid w:val="007D6C2C"/>
    <w:rsid w:val="007D6C4C"/>
    <w:rsid w:val="007D6CAF"/>
    <w:rsid w:val="007D6D10"/>
    <w:rsid w:val="007D6D38"/>
    <w:rsid w:val="007D6D65"/>
    <w:rsid w:val="007D6DEF"/>
    <w:rsid w:val="007D6F27"/>
    <w:rsid w:val="007D6FF2"/>
    <w:rsid w:val="007D7110"/>
    <w:rsid w:val="007D711D"/>
    <w:rsid w:val="007D715D"/>
    <w:rsid w:val="007D71EF"/>
    <w:rsid w:val="007D7238"/>
    <w:rsid w:val="007D723A"/>
    <w:rsid w:val="007D72CD"/>
    <w:rsid w:val="007D72FE"/>
    <w:rsid w:val="007D738B"/>
    <w:rsid w:val="007D73A1"/>
    <w:rsid w:val="007D73A9"/>
    <w:rsid w:val="007D7455"/>
    <w:rsid w:val="007D746D"/>
    <w:rsid w:val="007D7495"/>
    <w:rsid w:val="007D75BC"/>
    <w:rsid w:val="007D766D"/>
    <w:rsid w:val="007D76B7"/>
    <w:rsid w:val="007D76C5"/>
    <w:rsid w:val="007D76F0"/>
    <w:rsid w:val="007D771F"/>
    <w:rsid w:val="007D775A"/>
    <w:rsid w:val="007D77DA"/>
    <w:rsid w:val="007D7846"/>
    <w:rsid w:val="007D787C"/>
    <w:rsid w:val="007D78C7"/>
    <w:rsid w:val="007D78CB"/>
    <w:rsid w:val="007D7954"/>
    <w:rsid w:val="007D797A"/>
    <w:rsid w:val="007D79B8"/>
    <w:rsid w:val="007D7A12"/>
    <w:rsid w:val="007D7BD8"/>
    <w:rsid w:val="007D7D29"/>
    <w:rsid w:val="007D7D37"/>
    <w:rsid w:val="007D7D46"/>
    <w:rsid w:val="007D7DD2"/>
    <w:rsid w:val="007D7DEB"/>
    <w:rsid w:val="007D7F35"/>
    <w:rsid w:val="007D7F37"/>
    <w:rsid w:val="007D7F38"/>
    <w:rsid w:val="007D7F61"/>
    <w:rsid w:val="007D7FE1"/>
    <w:rsid w:val="007D7FFD"/>
    <w:rsid w:val="007E0050"/>
    <w:rsid w:val="007E021A"/>
    <w:rsid w:val="007E0317"/>
    <w:rsid w:val="007E035A"/>
    <w:rsid w:val="007E03CB"/>
    <w:rsid w:val="007E03FA"/>
    <w:rsid w:val="007E04F9"/>
    <w:rsid w:val="007E058C"/>
    <w:rsid w:val="007E05B6"/>
    <w:rsid w:val="007E061B"/>
    <w:rsid w:val="007E0698"/>
    <w:rsid w:val="007E06F3"/>
    <w:rsid w:val="007E071A"/>
    <w:rsid w:val="007E078E"/>
    <w:rsid w:val="007E07F3"/>
    <w:rsid w:val="007E0845"/>
    <w:rsid w:val="007E0861"/>
    <w:rsid w:val="007E0965"/>
    <w:rsid w:val="007E09C1"/>
    <w:rsid w:val="007E09E2"/>
    <w:rsid w:val="007E0A16"/>
    <w:rsid w:val="007E0A68"/>
    <w:rsid w:val="007E0AA3"/>
    <w:rsid w:val="007E0BC7"/>
    <w:rsid w:val="007E0BF1"/>
    <w:rsid w:val="007E0C12"/>
    <w:rsid w:val="007E0C13"/>
    <w:rsid w:val="007E0C8C"/>
    <w:rsid w:val="007E0CC3"/>
    <w:rsid w:val="007E0CF2"/>
    <w:rsid w:val="007E0D3A"/>
    <w:rsid w:val="007E0D3D"/>
    <w:rsid w:val="007E0DC6"/>
    <w:rsid w:val="007E0DD4"/>
    <w:rsid w:val="007E0E23"/>
    <w:rsid w:val="007E0F82"/>
    <w:rsid w:val="007E0F8B"/>
    <w:rsid w:val="007E0FFE"/>
    <w:rsid w:val="007E108A"/>
    <w:rsid w:val="007E1091"/>
    <w:rsid w:val="007E1107"/>
    <w:rsid w:val="007E1127"/>
    <w:rsid w:val="007E114C"/>
    <w:rsid w:val="007E132C"/>
    <w:rsid w:val="007E13E3"/>
    <w:rsid w:val="007E14DE"/>
    <w:rsid w:val="007E158F"/>
    <w:rsid w:val="007E159A"/>
    <w:rsid w:val="007E15E4"/>
    <w:rsid w:val="007E1601"/>
    <w:rsid w:val="007E1678"/>
    <w:rsid w:val="007E1716"/>
    <w:rsid w:val="007E17A0"/>
    <w:rsid w:val="007E181B"/>
    <w:rsid w:val="007E1821"/>
    <w:rsid w:val="007E1858"/>
    <w:rsid w:val="007E186B"/>
    <w:rsid w:val="007E1887"/>
    <w:rsid w:val="007E18A8"/>
    <w:rsid w:val="007E1978"/>
    <w:rsid w:val="007E19D9"/>
    <w:rsid w:val="007E1A04"/>
    <w:rsid w:val="007E1A31"/>
    <w:rsid w:val="007E1A36"/>
    <w:rsid w:val="007E1A6E"/>
    <w:rsid w:val="007E1A90"/>
    <w:rsid w:val="007E1B84"/>
    <w:rsid w:val="007E1BFD"/>
    <w:rsid w:val="007E1E0D"/>
    <w:rsid w:val="007E1E2E"/>
    <w:rsid w:val="007E1E47"/>
    <w:rsid w:val="007E1E61"/>
    <w:rsid w:val="007E1EDA"/>
    <w:rsid w:val="007E1F32"/>
    <w:rsid w:val="007E1F42"/>
    <w:rsid w:val="007E2040"/>
    <w:rsid w:val="007E2117"/>
    <w:rsid w:val="007E214A"/>
    <w:rsid w:val="007E21BD"/>
    <w:rsid w:val="007E21E0"/>
    <w:rsid w:val="007E221A"/>
    <w:rsid w:val="007E22B5"/>
    <w:rsid w:val="007E22BD"/>
    <w:rsid w:val="007E231F"/>
    <w:rsid w:val="007E23D9"/>
    <w:rsid w:val="007E243B"/>
    <w:rsid w:val="007E244D"/>
    <w:rsid w:val="007E2593"/>
    <w:rsid w:val="007E26F3"/>
    <w:rsid w:val="007E273E"/>
    <w:rsid w:val="007E2757"/>
    <w:rsid w:val="007E280D"/>
    <w:rsid w:val="007E2847"/>
    <w:rsid w:val="007E286A"/>
    <w:rsid w:val="007E288D"/>
    <w:rsid w:val="007E2936"/>
    <w:rsid w:val="007E2A2B"/>
    <w:rsid w:val="007E2A4A"/>
    <w:rsid w:val="007E2BDD"/>
    <w:rsid w:val="007E2BF9"/>
    <w:rsid w:val="007E2CCC"/>
    <w:rsid w:val="007E2DD2"/>
    <w:rsid w:val="007E2E26"/>
    <w:rsid w:val="007E2E79"/>
    <w:rsid w:val="007E2E8D"/>
    <w:rsid w:val="007E3011"/>
    <w:rsid w:val="007E3089"/>
    <w:rsid w:val="007E313D"/>
    <w:rsid w:val="007E31C9"/>
    <w:rsid w:val="007E3221"/>
    <w:rsid w:val="007E323F"/>
    <w:rsid w:val="007E33B5"/>
    <w:rsid w:val="007E34E0"/>
    <w:rsid w:val="007E35F0"/>
    <w:rsid w:val="007E3672"/>
    <w:rsid w:val="007E378B"/>
    <w:rsid w:val="007E3803"/>
    <w:rsid w:val="007E3842"/>
    <w:rsid w:val="007E3933"/>
    <w:rsid w:val="007E398D"/>
    <w:rsid w:val="007E39C1"/>
    <w:rsid w:val="007E3A5D"/>
    <w:rsid w:val="007E3B60"/>
    <w:rsid w:val="007E3B90"/>
    <w:rsid w:val="007E3BAE"/>
    <w:rsid w:val="007E3C78"/>
    <w:rsid w:val="007E3CB9"/>
    <w:rsid w:val="007E3CF3"/>
    <w:rsid w:val="007E3D6A"/>
    <w:rsid w:val="007E3D91"/>
    <w:rsid w:val="007E3E62"/>
    <w:rsid w:val="007E3EFE"/>
    <w:rsid w:val="007E3FA9"/>
    <w:rsid w:val="007E3FDF"/>
    <w:rsid w:val="007E402D"/>
    <w:rsid w:val="007E409B"/>
    <w:rsid w:val="007E4133"/>
    <w:rsid w:val="007E4135"/>
    <w:rsid w:val="007E4197"/>
    <w:rsid w:val="007E41C2"/>
    <w:rsid w:val="007E41CC"/>
    <w:rsid w:val="007E41CD"/>
    <w:rsid w:val="007E422C"/>
    <w:rsid w:val="007E42EA"/>
    <w:rsid w:val="007E42FC"/>
    <w:rsid w:val="007E4327"/>
    <w:rsid w:val="007E43C3"/>
    <w:rsid w:val="007E447B"/>
    <w:rsid w:val="007E44B4"/>
    <w:rsid w:val="007E450C"/>
    <w:rsid w:val="007E451A"/>
    <w:rsid w:val="007E4566"/>
    <w:rsid w:val="007E458F"/>
    <w:rsid w:val="007E45B1"/>
    <w:rsid w:val="007E4697"/>
    <w:rsid w:val="007E47CD"/>
    <w:rsid w:val="007E47E1"/>
    <w:rsid w:val="007E47EF"/>
    <w:rsid w:val="007E494C"/>
    <w:rsid w:val="007E4961"/>
    <w:rsid w:val="007E4B11"/>
    <w:rsid w:val="007E4B23"/>
    <w:rsid w:val="007E4B32"/>
    <w:rsid w:val="007E4C04"/>
    <w:rsid w:val="007E4C77"/>
    <w:rsid w:val="007E4D65"/>
    <w:rsid w:val="007E4D85"/>
    <w:rsid w:val="007E4DB3"/>
    <w:rsid w:val="007E4DE3"/>
    <w:rsid w:val="007E4E0D"/>
    <w:rsid w:val="007E4EA9"/>
    <w:rsid w:val="007E4EB2"/>
    <w:rsid w:val="007E4F04"/>
    <w:rsid w:val="007E4F9E"/>
    <w:rsid w:val="007E4FA7"/>
    <w:rsid w:val="007E505A"/>
    <w:rsid w:val="007E50AD"/>
    <w:rsid w:val="007E50FE"/>
    <w:rsid w:val="007E5178"/>
    <w:rsid w:val="007E518C"/>
    <w:rsid w:val="007E51AE"/>
    <w:rsid w:val="007E51DB"/>
    <w:rsid w:val="007E558C"/>
    <w:rsid w:val="007E5600"/>
    <w:rsid w:val="007E560F"/>
    <w:rsid w:val="007E5648"/>
    <w:rsid w:val="007E575E"/>
    <w:rsid w:val="007E58D6"/>
    <w:rsid w:val="007E594F"/>
    <w:rsid w:val="007E5AD6"/>
    <w:rsid w:val="007E5B71"/>
    <w:rsid w:val="007E5BEB"/>
    <w:rsid w:val="007E5CAB"/>
    <w:rsid w:val="007E5CB6"/>
    <w:rsid w:val="007E5D49"/>
    <w:rsid w:val="007E5DCA"/>
    <w:rsid w:val="007E5ED0"/>
    <w:rsid w:val="007E5F3D"/>
    <w:rsid w:val="007E5F95"/>
    <w:rsid w:val="007E6069"/>
    <w:rsid w:val="007E6071"/>
    <w:rsid w:val="007E61F6"/>
    <w:rsid w:val="007E6247"/>
    <w:rsid w:val="007E631B"/>
    <w:rsid w:val="007E6323"/>
    <w:rsid w:val="007E6362"/>
    <w:rsid w:val="007E6404"/>
    <w:rsid w:val="007E6517"/>
    <w:rsid w:val="007E6531"/>
    <w:rsid w:val="007E657C"/>
    <w:rsid w:val="007E657D"/>
    <w:rsid w:val="007E65C9"/>
    <w:rsid w:val="007E6763"/>
    <w:rsid w:val="007E67B3"/>
    <w:rsid w:val="007E67C6"/>
    <w:rsid w:val="007E6837"/>
    <w:rsid w:val="007E6935"/>
    <w:rsid w:val="007E6990"/>
    <w:rsid w:val="007E69A2"/>
    <w:rsid w:val="007E6A15"/>
    <w:rsid w:val="007E6A47"/>
    <w:rsid w:val="007E6ABE"/>
    <w:rsid w:val="007E6ACE"/>
    <w:rsid w:val="007E6B93"/>
    <w:rsid w:val="007E6C0F"/>
    <w:rsid w:val="007E6C20"/>
    <w:rsid w:val="007E6C2B"/>
    <w:rsid w:val="007E6CB7"/>
    <w:rsid w:val="007E6D71"/>
    <w:rsid w:val="007E6D76"/>
    <w:rsid w:val="007E6D8A"/>
    <w:rsid w:val="007E6DF5"/>
    <w:rsid w:val="007E6E80"/>
    <w:rsid w:val="007E6EA1"/>
    <w:rsid w:val="007E6EBD"/>
    <w:rsid w:val="007E6ED9"/>
    <w:rsid w:val="007E6F39"/>
    <w:rsid w:val="007E6F63"/>
    <w:rsid w:val="007E6F79"/>
    <w:rsid w:val="007E6FCC"/>
    <w:rsid w:val="007E7110"/>
    <w:rsid w:val="007E7120"/>
    <w:rsid w:val="007E71C4"/>
    <w:rsid w:val="007E721F"/>
    <w:rsid w:val="007E729F"/>
    <w:rsid w:val="007E73CD"/>
    <w:rsid w:val="007E75FB"/>
    <w:rsid w:val="007E76A0"/>
    <w:rsid w:val="007E7806"/>
    <w:rsid w:val="007E7821"/>
    <w:rsid w:val="007E7878"/>
    <w:rsid w:val="007E7883"/>
    <w:rsid w:val="007E78AD"/>
    <w:rsid w:val="007E798C"/>
    <w:rsid w:val="007E7A3A"/>
    <w:rsid w:val="007E7A5E"/>
    <w:rsid w:val="007E7A74"/>
    <w:rsid w:val="007E7BC8"/>
    <w:rsid w:val="007E7C26"/>
    <w:rsid w:val="007E7C3A"/>
    <w:rsid w:val="007E7D2D"/>
    <w:rsid w:val="007E7D3A"/>
    <w:rsid w:val="007E7F8C"/>
    <w:rsid w:val="007E7FA7"/>
    <w:rsid w:val="007F00AF"/>
    <w:rsid w:val="007F00F3"/>
    <w:rsid w:val="007F00F6"/>
    <w:rsid w:val="007F01EE"/>
    <w:rsid w:val="007F027E"/>
    <w:rsid w:val="007F036D"/>
    <w:rsid w:val="007F0380"/>
    <w:rsid w:val="007F0414"/>
    <w:rsid w:val="007F04BC"/>
    <w:rsid w:val="007F0597"/>
    <w:rsid w:val="007F05ED"/>
    <w:rsid w:val="007F0604"/>
    <w:rsid w:val="007F06C0"/>
    <w:rsid w:val="007F07B7"/>
    <w:rsid w:val="007F0892"/>
    <w:rsid w:val="007F08DD"/>
    <w:rsid w:val="007F094C"/>
    <w:rsid w:val="007F0982"/>
    <w:rsid w:val="007F09FC"/>
    <w:rsid w:val="007F0A0A"/>
    <w:rsid w:val="007F0A10"/>
    <w:rsid w:val="007F0A64"/>
    <w:rsid w:val="007F0B92"/>
    <w:rsid w:val="007F0B9B"/>
    <w:rsid w:val="007F0BCB"/>
    <w:rsid w:val="007F0C7B"/>
    <w:rsid w:val="007F0C9C"/>
    <w:rsid w:val="007F0D36"/>
    <w:rsid w:val="007F0D62"/>
    <w:rsid w:val="007F0D77"/>
    <w:rsid w:val="007F0DE3"/>
    <w:rsid w:val="007F0DF1"/>
    <w:rsid w:val="007F0E5D"/>
    <w:rsid w:val="007F0E70"/>
    <w:rsid w:val="007F0F42"/>
    <w:rsid w:val="007F0F78"/>
    <w:rsid w:val="007F0F88"/>
    <w:rsid w:val="007F0FB8"/>
    <w:rsid w:val="007F0FD6"/>
    <w:rsid w:val="007F10F1"/>
    <w:rsid w:val="007F113C"/>
    <w:rsid w:val="007F113E"/>
    <w:rsid w:val="007F11EA"/>
    <w:rsid w:val="007F1244"/>
    <w:rsid w:val="007F127A"/>
    <w:rsid w:val="007F1320"/>
    <w:rsid w:val="007F139C"/>
    <w:rsid w:val="007F13DC"/>
    <w:rsid w:val="007F141B"/>
    <w:rsid w:val="007F1444"/>
    <w:rsid w:val="007F14CE"/>
    <w:rsid w:val="007F14DB"/>
    <w:rsid w:val="007F14FD"/>
    <w:rsid w:val="007F1500"/>
    <w:rsid w:val="007F1502"/>
    <w:rsid w:val="007F1627"/>
    <w:rsid w:val="007F1664"/>
    <w:rsid w:val="007F16DC"/>
    <w:rsid w:val="007F16F3"/>
    <w:rsid w:val="007F1773"/>
    <w:rsid w:val="007F18D8"/>
    <w:rsid w:val="007F18E7"/>
    <w:rsid w:val="007F1971"/>
    <w:rsid w:val="007F19A2"/>
    <w:rsid w:val="007F19B2"/>
    <w:rsid w:val="007F1A1F"/>
    <w:rsid w:val="007F1A41"/>
    <w:rsid w:val="007F1C07"/>
    <w:rsid w:val="007F1C26"/>
    <w:rsid w:val="007F1C7E"/>
    <w:rsid w:val="007F1C8E"/>
    <w:rsid w:val="007F1CAF"/>
    <w:rsid w:val="007F1CE1"/>
    <w:rsid w:val="007F1CF7"/>
    <w:rsid w:val="007F1D53"/>
    <w:rsid w:val="007F1DA2"/>
    <w:rsid w:val="007F1DAF"/>
    <w:rsid w:val="007F1E41"/>
    <w:rsid w:val="007F1E80"/>
    <w:rsid w:val="007F1F06"/>
    <w:rsid w:val="007F1F5D"/>
    <w:rsid w:val="007F1FE6"/>
    <w:rsid w:val="007F200F"/>
    <w:rsid w:val="007F2106"/>
    <w:rsid w:val="007F2137"/>
    <w:rsid w:val="007F2143"/>
    <w:rsid w:val="007F22FB"/>
    <w:rsid w:val="007F236C"/>
    <w:rsid w:val="007F23CB"/>
    <w:rsid w:val="007F2433"/>
    <w:rsid w:val="007F2484"/>
    <w:rsid w:val="007F24C7"/>
    <w:rsid w:val="007F2504"/>
    <w:rsid w:val="007F2633"/>
    <w:rsid w:val="007F26DC"/>
    <w:rsid w:val="007F272D"/>
    <w:rsid w:val="007F2740"/>
    <w:rsid w:val="007F27C9"/>
    <w:rsid w:val="007F2812"/>
    <w:rsid w:val="007F2897"/>
    <w:rsid w:val="007F28C6"/>
    <w:rsid w:val="007F28DC"/>
    <w:rsid w:val="007F29D7"/>
    <w:rsid w:val="007F29F6"/>
    <w:rsid w:val="007F29F9"/>
    <w:rsid w:val="007F2A1E"/>
    <w:rsid w:val="007F2A34"/>
    <w:rsid w:val="007F2B32"/>
    <w:rsid w:val="007F2B53"/>
    <w:rsid w:val="007F2B97"/>
    <w:rsid w:val="007F2BAC"/>
    <w:rsid w:val="007F2C64"/>
    <w:rsid w:val="007F2D63"/>
    <w:rsid w:val="007F2EA7"/>
    <w:rsid w:val="007F2F2F"/>
    <w:rsid w:val="007F2F6F"/>
    <w:rsid w:val="007F301D"/>
    <w:rsid w:val="007F306E"/>
    <w:rsid w:val="007F30BF"/>
    <w:rsid w:val="007F31A8"/>
    <w:rsid w:val="007F31F1"/>
    <w:rsid w:val="007F32A9"/>
    <w:rsid w:val="007F3377"/>
    <w:rsid w:val="007F33C5"/>
    <w:rsid w:val="007F3405"/>
    <w:rsid w:val="007F3494"/>
    <w:rsid w:val="007F34C1"/>
    <w:rsid w:val="007F3669"/>
    <w:rsid w:val="007F367E"/>
    <w:rsid w:val="007F36B7"/>
    <w:rsid w:val="007F36D2"/>
    <w:rsid w:val="007F375C"/>
    <w:rsid w:val="007F380E"/>
    <w:rsid w:val="007F382B"/>
    <w:rsid w:val="007F3845"/>
    <w:rsid w:val="007F3875"/>
    <w:rsid w:val="007F3889"/>
    <w:rsid w:val="007F38D1"/>
    <w:rsid w:val="007F39B6"/>
    <w:rsid w:val="007F3A0F"/>
    <w:rsid w:val="007F3A66"/>
    <w:rsid w:val="007F3AAA"/>
    <w:rsid w:val="007F3AB2"/>
    <w:rsid w:val="007F3CDD"/>
    <w:rsid w:val="007F3DE7"/>
    <w:rsid w:val="007F3E7D"/>
    <w:rsid w:val="007F3EBD"/>
    <w:rsid w:val="007F3F6C"/>
    <w:rsid w:val="007F3F88"/>
    <w:rsid w:val="007F3FB0"/>
    <w:rsid w:val="007F4085"/>
    <w:rsid w:val="007F41E4"/>
    <w:rsid w:val="007F4229"/>
    <w:rsid w:val="007F4380"/>
    <w:rsid w:val="007F4403"/>
    <w:rsid w:val="007F445D"/>
    <w:rsid w:val="007F4489"/>
    <w:rsid w:val="007F44CA"/>
    <w:rsid w:val="007F46C2"/>
    <w:rsid w:val="007F46CE"/>
    <w:rsid w:val="007F4788"/>
    <w:rsid w:val="007F47C2"/>
    <w:rsid w:val="007F47C8"/>
    <w:rsid w:val="007F481B"/>
    <w:rsid w:val="007F489D"/>
    <w:rsid w:val="007F48B6"/>
    <w:rsid w:val="007F4949"/>
    <w:rsid w:val="007F4953"/>
    <w:rsid w:val="007F4AB1"/>
    <w:rsid w:val="007F4AF4"/>
    <w:rsid w:val="007F4BFC"/>
    <w:rsid w:val="007F4C28"/>
    <w:rsid w:val="007F4CA3"/>
    <w:rsid w:val="007F4DD4"/>
    <w:rsid w:val="007F4DFD"/>
    <w:rsid w:val="007F4E60"/>
    <w:rsid w:val="007F4E7F"/>
    <w:rsid w:val="007F4E84"/>
    <w:rsid w:val="007F4F3D"/>
    <w:rsid w:val="007F4F7D"/>
    <w:rsid w:val="007F4F96"/>
    <w:rsid w:val="007F5089"/>
    <w:rsid w:val="007F5104"/>
    <w:rsid w:val="007F5152"/>
    <w:rsid w:val="007F52A2"/>
    <w:rsid w:val="007F52B4"/>
    <w:rsid w:val="007F52BB"/>
    <w:rsid w:val="007F52EA"/>
    <w:rsid w:val="007F5326"/>
    <w:rsid w:val="007F535C"/>
    <w:rsid w:val="007F5428"/>
    <w:rsid w:val="007F54D6"/>
    <w:rsid w:val="007F5543"/>
    <w:rsid w:val="007F5638"/>
    <w:rsid w:val="007F5683"/>
    <w:rsid w:val="007F56BF"/>
    <w:rsid w:val="007F570A"/>
    <w:rsid w:val="007F57D6"/>
    <w:rsid w:val="007F57FA"/>
    <w:rsid w:val="007F5879"/>
    <w:rsid w:val="007F58C3"/>
    <w:rsid w:val="007F58FB"/>
    <w:rsid w:val="007F5908"/>
    <w:rsid w:val="007F5943"/>
    <w:rsid w:val="007F5995"/>
    <w:rsid w:val="007F59B7"/>
    <w:rsid w:val="007F5AD0"/>
    <w:rsid w:val="007F5B0F"/>
    <w:rsid w:val="007F5B73"/>
    <w:rsid w:val="007F5B83"/>
    <w:rsid w:val="007F5B8C"/>
    <w:rsid w:val="007F5BAE"/>
    <w:rsid w:val="007F5C36"/>
    <w:rsid w:val="007F5C80"/>
    <w:rsid w:val="007F5E6D"/>
    <w:rsid w:val="007F5E71"/>
    <w:rsid w:val="007F5F0F"/>
    <w:rsid w:val="007F5F2C"/>
    <w:rsid w:val="007F5F35"/>
    <w:rsid w:val="007F5FA9"/>
    <w:rsid w:val="007F6056"/>
    <w:rsid w:val="007F60AE"/>
    <w:rsid w:val="007F6122"/>
    <w:rsid w:val="007F61A4"/>
    <w:rsid w:val="007F61B5"/>
    <w:rsid w:val="007F6276"/>
    <w:rsid w:val="007F62BA"/>
    <w:rsid w:val="007F62FA"/>
    <w:rsid w:val="007F63B7"/>
    <w:rsid w:val="007F646A"/>
    <w:rsid w:val="007F6495"/>
    <w:rsid w:val="007F6525"/>
    <w:rsid w:val="007F6605"/>
    <w:rsid w:val="007F6761"/>
    <w:rsid w:val="007F677E"/>
    <w:rsid w:val="007F67A1"/>
    <w:rsid w:val="007F6810"/>
    <w:rsid w:val="007F6826"/>
    <w:rsid w:val="007F6894"/>
    <w:rsid w:val="007F68AB"/>
    <w:rsid w:val="007F6A15"/>
    <w:rsid w:val="007F6BA4"/>
    <w:rsid w:val="007F6BF2"/>
    <w:rsid w:val="007F6C0C"/>
    <w:rsid w:val="007F6C0D"/>
    <w:rsid w:val="007F6CAE"/>
    <w:rsid w:val="007F6CC4"/>
    <w:rsid w:val="007F6CD1"/>
    <w:rsid w:val="007F6CD3"/>
    <w:rsid w:val="007F6D00"/>
    <w:rsid w:val="007F6E6E"/>
    <w:rsid w:val="007F6E98"/>
    <w:rsid w:val="007F6EF2"/>
    <w:rsid w:val="007F6F7C"/>
    <w:rsid w:val="007F6FD8"/>
    <w:rsid w:val="007F709E"/>
    <w:rsid w:val="007F70D7"/>
    <w:rsid w:val="007F70E8"/>
    <w:rsid w:val="007F7175"/>
    <w:rsid w:val="007F71D1"/>
    <w:rsid w:val="007F7262"/>
    <w:rsid w:val="007F7275"/>
    <w:rsid w:val="007F72E3"/>
    <w:rsid w:val="007F72E6"/>
    <w:rsid w:val="007F731B"/>
    <w:rsid w:val="007F7400"/>
    <w:rsid w:val="007F743A"/>
    <w:rsid w:val="007F74AC"/>
    <w:rsid w:val="007F762E"/>
    <w:rsid w:val="007F7640"/>
    <w:rsid w:val="007F76FD"/>
    <w:rsid w:val="007F7751"/>
    <w:rsid w:val="007F776B"/>
    <w:rsid w:val="007F776F"/>
    <w:rsid w:val="007F779D"/>
    <w:rsid w:val="007F77C7"/>
    <w:rsid w:val="007F77EE"/>
    <w:rsid w:val="007F7884"/>
    <w:rsid w:val="007F78D3"/>
    <w:rsid w:val="007F796B"/>
    <w:rsid w:val="007F7999"/>
    <w:rsid w:val="007F79D9"/>
    <w:rsid w:val="007F7A3B"/>
    <w:rsid w:val="007F7AD7"/>
    <w:rsid w:val="007F7B31"/>
    <w:rsid w:val="007F7B7B"/>
    <w:rsid w:val="007F7BEE"/>
    <w:rsid w:val="007F7C6D"/>
    <w:rsid w:val="007F7CBF"/>
    <w:rsid w:val="007F7D16"/>
    <w:rsid w:val="007F7D6A"/>
    <w:rsid w:val="007F7D9B"/>
    <w:rsid w:val="007F7E2E"/>
    <w:rsid w:val="007F7E3F"/>
    <w:rsid w:val="007F7FA0"/>
    <w:rsid w:val="007F7FEE"/>
    <w:rsid w:val="008000F5"/>
    <w:rsid w:val="00800166"/>
    <w:rsid w:val="00800293"/>
    <w:rsid w:val="0080037F"/>
    <w:rsid w:val="008003C0"/>
    <w:rsid w:val="0080048C"/>
    <w:rsid w:val="0080059B"/>
    <w:rsid w:val="008005A0"/>
    <w:rsid w:val="008005F2"/>
    <w:rsid w:val="00800691"/>
    <w:rsid w:val="008006C6"/>
    <w:rsid w:val="0080075B"/>
    <w:rsid w:val="00800779"/>
    <w:rsid w:val="008007D3"/>
    <w:rsid w:val="0080086D"/>
    <w:rsid w:val="0080087E"/>
    <w:rsid w:val="008008D0"/>
    <w:rsid w:val="008009A5"/>
    <w:rsid w:val="008009D7"/>
    <w:rsid w:val="00800B02"/>
    <w:rsid w:val="00800B2E"/>
    <w:rsid w:val="00800B9C"/>
    <w:rsid w:val="00800C35"/>
    <w:rsid w:val="00800C51"/>
    <w:rsid w:val="00800C86"/>
    <w:rsid w:val="00800D25"/>
    <w:rsid w:val="00800E60"/>
    <w:rsid w:val="00800E95"/>
    <w:rsid w:val="00800F41"/>
    <w:rsid w:val="00800F4D"/>
    <w:rsid w:val="00800FC1"/>
    <w:rsid w:val="00801136"/>
    <w:rsid w:val="008013C7"/>
    <w:rsid w:val="00801401"/>
    <w:rsid w:val="0080144D"/>
    <w:rsid w:val="008014A3"/>
    <w:rsid w:val="008014EA"/>
    <w:rsid w:val="00801530"/>
    <w:rsid w:val="0080158A"/>
    <w:rsid w:val="0080159D"/>
    <w:rsid w:val="008015EC"/>
    <w:rsid w:val="0080167F"/>
    <w:rsid w:val="008016B0"/>
    <w:rsid w:val="00801751"/>
    <w:rsid w:val="008017E6"/>
    <w:rsid w:val="00801872"/>
    <w:rsid w:val="008018F4"/>
    <w:rsid w:val="00801A34"/>
    <w:rsid w:val="00801A4A"/>
    <w:rsid w:val="00801A5B"/>
    <w:rsid w:val="00801AB5"/>
    <w:rsid w:val="00801C51"/>
    <w:rsid w:val="00801C5E"/>
    <w:rsid w:val="00801CEC"/>
    <w:rsid w:val="00801D4B"/>
    <w:rsid w:val="00801DA5"/>
    <w:rsid w:val="00801DDE"/>
    <w:rsid w:val="00801E2F"/>
    <w:rsid w:val="00801E55"/>
    <w:rsid w:val="00801E6B"/>
    <w:rsid w:val="00801E73"/>
    <w:rsid w:val="00801EB0"/>
    <w:rsid w:val="00802044"/>
    <w:rsid w:val="00802071"/>
    <w:rsid w:val="00802204"/>
    <w:rsid w:val="00802235"/>
    <w:rsid w:val="008022C9"/>
    <w:rsid w:val="008023DE"/>
    <w:rsid w:val="00802498"/>
    <w:rsid w:val="00802509"/>
    <w:rsid w:val="008025E0"/>
    <w:rsid w:val="0080261E"/>
    <w:rsid w:val="0080268C"/>
    <w:rsid w:val="00802765"/>
    <w:rsid w:val="008027F3"/>
    <w:rsid w:val="0080286C"/>
    <w:rsid w:val="00802883"/>
    <w:rsid w:val="00802960"/>
    <w:rsid w:val="0080297E"/>
    <w:rsid w:val="008029DC"/>
    <w:rsid w:val="008029F8"/>
    <w:rsid w:val="00802A9A"/>
    <w:rsid w:val="00802B04"/>
    <w:rsid w:val="00802B77"/>
    <w:rsid w:val="00802B8D"/>
    <w:rsid w:val="00802C1B"/>
    <w:rsid w:val="00802C49"/>
    <w:rsid w:val="00802C95"/>
    <w:rsid w:val="00802CD8"/>
    <w:rsid w:val="00802D29"/>
    <w:rsid w:val="00802DB5"/>
    <w:rsid w:val="00802F57"/>
    <w:rsid w:val="00802FF7"/>
    <w:rsid w:val="00803017"/>
    <w:rsid w:val="008032E6"/>
    <w:rsid w:val="0080334A"/>
    <w:rsid w:val="00803491"/>
    <w:rsid w:val="008035EA"/>
    <w:rsid w:val="00803697"/>
    <w:rsid w:val="00803757"/>
    <w:rsid w:val="0080376C"/>
    <w:rsid w:val="00803806"/>
    <w:rsid w:val="00803866"/>
    <w:rsid w:val="00803886"/>
    <w:rsid w:val="008038BC"/>
    <w:rsid w:val="008038D1"/>
    <w:rsid w:val="008039AA"/>
    <w:rsid w:val="00803A42"/>
    <w:rsid w:val="00803A8A"/>
    <w:rsid w:val="00803AB5"/>
    <w:rsid w:val="00803B9C"/>
    <w:rsid w:val="00803BC4"/>
    <w:rsid w:val="00803C81"/>
    <w:rsid w:val="00803CF7"/>
    <w:rsid w:val="00803D3B"/>
    <w:rsid w:val="00803D78"/>
    <w:rsid w:val="00803D94"/>
    <w:rsid w:val="00803E6A"/>
    <w:rsid w:val="00803F96"/>
    <w:rsid w:val="00803FEF"/>
    <w:rsid w:val="008040F7"/>
    <w:rsid w:val="008041D9"/>
    <w:rsid w:val="00804260"/>
    <w:rsid w:val="00804275"/>
    <w:rsid w:val="00804308"/>
    <w:rsid w:val="0080433D"/>
    <w:rsid w:val="00804359"/>
    <w:rsid w:val="0080440E"/>
    <w:rsid w:val="00804573"/>
    <w:rsid w:val="008046D4"/>
    <w:rsid w:val="00804727"/>
    <w:rsid w:val="00804759"/>
    <w:rsid w:val="008047F5"/>
    <w:rsid w:val="008048A2"/>
    <w:rsid w:val="00804931"/>
    <w:rsid w:val="00804983"/>
    <w:rsid w:val="00804ADB"/>
    <w:rsid w:val="00804C28"/>
    <w:rsid w:val="00804C34"/>
    <w:rsid w:val="00804CB8"/>
    <w:rsid w:val="00804CD8"/>
    <w:rsid w:val="00804D05"/>
    <w:rsid w:val="00804D14"/>
    <w:rsid w:val="00804D48"/>
    <w:rsid w:val="00804DB0"/>
    <w:rsid w:val="00804E3A"/>
    <w:rsid w:val="00804FDA"/>
    <w:rsid w:val="008050BE"/>
    <w:rsid w:val="008050DE"/>
    <w:rsid w:val="008050EC"/>
    <w:rsid w:val="0080514E"/>
    <w:rsid w:val="00805151"/>
    <w:rsid w:val="00805182"/>
    <w:rsid w:val="0080521C"/>
    <w:rsid w:val="00805306"/>
    <w:rsid w:val="0080531F"/>
    <w:rsid w:val="00805359"/>
    <w:rsid w:val="0080539E"/>
    <w:rsid w:val="008053CA"/>
    <w:rsid w:val="008053D6"/>
    <w:rsid w:val="0080557C"/>
    <w:rsid w:val="0080559A"/>
    <w:rsid w:val="00805632"/>
    <w:rsid w:val="00805727"/>
    <w:rsid w:val="00805746"/>
    <w:rsid w:val="0080576C"/>
    <w:rsid w:val="008057DC"/>
    <w:rsid w:val="00805A02"/>
    <w:rsid w:val="00805C65"/>
    <w:rsid w:val="00805C68"/>
    <w:rsid w:val="00805C9E"/>
    <w:rsid w:val="00805CAD"/>
    <w:rsid w:val="00805D42"/>
    <w:rsid w:val="00805D83"/>
    <w:rsid w:val="00805DBF"/>
    <w:rsid w:val="00805ED7"/>
    <w:rsid w:val="00805F29"/>
    <w:rsid w:val="00805F76"/>
    <w:rsid w:val="00805F7F"/>
    <w:rsid w:val="00805FE2"/>
    <w:rsid w:val="00806009"/>
    <w:rsid w:val="0080603D"/>
    <w:rsid w:val="00806094"/>
    <w:rsid w:val="008060D0"/>
    <w:rsid w:val="00806193"/>
    <w:rsid w:val="00806255"/>
    <w:rsid w:val="00806278"/>
    <w:rsid w:val="008062C9"/>
    <w:rsid w:val="0080631E"/>
    <w:rsid w:val="00806334"/>
    <w:rsid w:val="008063D6"/>
    <w:rsid w:val="0080649C"/>
    <w:rsid w:val="00806520"/>
    <w:rsid w:val="00806598"/>
    <w:rsid w:val="008065D7"/>
    <w:rsid w:val="008066B7"/>
    <w:rsid w:val="008066E3"/>
    <w:rsid w:val="00806711"/>
    <w:rsid w:val="00806720"/>
    <w:rsid w:val="0080672A"/>
    <w:rsid w:val="0080673B"/>
    <w:rsid w:val="008067D3"/>
    <w:rsid w:val="008067D5"/>
    <w:rsid w:val="008067D7"/>
    <w:rsid w:val="00806873"/>
    <w:rsid w:val="00806952"/>
    <w:rsid w:val="0080698B"/>
    <w:rsid w:val="0080699D"/>
    <w:rsid w:val="00806A03"/>
    <w:rsid w:val="00806AA3"/>
    <w:rsid w:val="00806AF5"/>
    <w:rsid w:val="00806B0E"/>
    <w:rsid w:val="00806B25"/>
    <w:rsid w:val="00806C53"/>
    <w:rsid w:val="00806C5F"/>
    <w:rsid w:val="00806E15"/>
    <w:rsid w:val="00806E3C"/>
    <w:rsid w:val="00806F5C"/>
    <w:rsid w:val="00806F71"/>
    <w:rsid w:val="0080703A"/>
    <w:rsid w:val="0080705D"/>
    <w:rsid w:val="008070DA"/>
    <w:rsid w:val="008070F6"/>
    <w:rsid w:val="0080710C"/>
    <w:rsid w:val="0080716C"/>
    <w:rsid w:val="00807202"/>
    <w:rsid w:val="008072EE"/>
    <w:rsid w:val="00807377"/>
    <w:rsid w:val="008073C6"/>
    <w:rsid w:val="0080765C"/>
    <w:rsid w:val="00807681"/>
    <w:rsid w:val="008076D3"/>
    <w:rsid w:val="00807713"/>
    <w:rsid w:val="00807762"/>
    <w:rsid w:val="008077AD"/>
    <w:rsid w:val="008077D8"/>
    <w:rsid w:val="008077EF"/>
    <w:rsid w:val="00807855"/>
    <w:rsid w:val="0080785E"/>
    <w:rsid w:val="00807863"/>
    <w:rsid w:val="008078D4"/>
    <w:rsid w:val="0080797E"/>
    <w:rsid w:val="008079A9"/>
    <w:rsid w:val="008079F1"/>
    <w:rsid w:val="00807A2A"/>
    <w:rsid w:val="00807A8B"/>
    <w:rsid w:val="00807AC3"/>
    <w:rsid w:val="00807AC5"/>
    <w:rsid w:val="00807B1B"/>
    <w:rsid w:val="00807C00"/>
    <w:rsid w:val="00807C1B"/>
    <w:rsid w:val="00807D3F"/>
    <w:rsid w:val="00807E2A"/>
    <w:rsid w:val="00807FF7"/>
    <w:rsid w:val="008103A2"/>
    <w:rsid w:val="008103F4"/>
    <w:rsid w:val="0081042C"/>
    <w:rsid w:val="0081058C"/>
    <w:rsid w:val="00810634"/>
    <w:rsid w:val="00810665"/>
    <w:rsid w:val="0081066D"/>
    <w:rsid w:val="008106F7"/>
    <w:rsid w:val="0081071A"/>
    <w:rsid w:val="00810754"/>
    <w:rsid w:val="008108A6"/>
    <w:rsid w:val="008108D4"/>
    <w:rsid w:val="008109BB"/>
    <w:rsid w:val="008109E5"/>
    <w:rsid w:val="008109ED"/>
    <w:rsid w:val="00810A3F"/>
    <w:rsid w:val="00810A54"/>
    <w:rsid w:val="00810A6B"/>
    <w:rsid w:val="00810BBA"/>
    <w:rsid w:val="00810C5D"/>
    <w:rsid w:val="00810DA5"/>
    <w:rsid w:val="00810F29"/>
    <w:rsid w:val="00810FA9"/>
    <w:rsid w:val="0081103A"/>
    <w:rsid w:val="0081107D"/>
    <w:rsid w:val="0081110E"/>
    <w:rsid w:val="00811159"/>
    <w:rsid w:val="00811183"/>
    <w:rsid w:val="008112E7"/>
    <w:rsid w:val="00811317"/>
    <w:rsid w:val="0081133F"/>
    <w:rsid w:val="00811372"/>
    <w:rsid w:val="00811392"/>
    <w:rsid w:val="00811471"/>
    <w:rsid w:val="008114A7"/>
    <w:rsid w:val="008114F5"/>
    <w:rsid w:val="00811680"/>
    <w:rsid w:val="0081169C"/>
    <w:rsid w:val="00811789"/>
    <w:rsid w:val="00811792"/>
    <w:rsid w:val="00811827"/>
    <w:rsid w:val="008118A5"/>
    <w:rsid w:val="008118B4"/>
    <w:rsid w:val="00811911"/>
    <w:rsid w:val="00811A19"/>
    <w:rsid w:val="00811A26"/>
    <w:rsid w:val="00811ABC"/>
    <w:rsid w:val="00811AC5"/>
    <w:rsid w:val="00811AFC"/>
    <w:rsid w:val="00811B03"/>
    <w:rsid w:val="00811B24"/>
    <w:rsid w:val="00811D1E"/>
    <w:rsid w:val="00811D6F"/>
    <w:rsid w:val="00811E6C"/>
    <w:rsid w:val="00811EB4"/>
    <w:rsid w:val="00811F08"/>
    <w:rsid w:val="00811F55"/>
    <w:rsid w:val="00811FA6"/>
    <w:rsid w:val="00811FD3"/>
    <w:rsid w:val="00812096"/>
    <w:rsid w:val="0081211A"/>
    <w:rsid w:val="00812237"/>
    <w:rsid w:val="00812268"/>
    <w:rsid w:val="00812395"/>
    <w:rsid w:val="00812441"/>
    <w:rsid w:val="0081248A"/>
    <w:rsid w:val="0081249D"/>
    <w:rsid w:val="008124CC"/>
    <w:rsid w:val="00812505"/>
    <w:rsid w:val="0081252B"/>
    <w:rsid w:val="0081271F"/>
    <w:rsid w:val="00812787"/>
    <w:rsid w:val="008127BD"/>
    <w:rsid w:val="008127C8"/>
    <w:rsid w:val="00812857"/>
    <w:rsid w:val="008128E0"/>
    <w:rsid w:val="008128FF"/>
    <w:rsid w:val="00812A15"/>
    <w:rsid w:val="00812A74"/>
    <w:rsid w:val="00812A9F"/>
    <w:rsid w:val="00812ACD"/>
    <w:rsid w:val="00812ADB"/>
    <w:rsid w:val="00812ADF"/>
    <w:rsid w:val="00812B06"/>
    <w:rsid w:val="00812BF0"/>
    <w:rsid w:val="00812C01"/>
    <w:rsid w:val="00812C4B"/>
    <w:rsid w:val="00812CD3"/>
    <w:rsid w:val="00812CDC"/>
    <w:rsid w:val="00812CE3"/>
    <w:rsid w:val="00812D05"/>
    <w:rsid w:val="00812D10"/>
    <w:rsid w:val="00812DA9"/>
    <w:rsid w:val="00812EA3"/>
    <w:rsid w:val="00812EB4"/>
    <w:rsid w:val="00812EC9"/>
    <w:rsid w:val="00812F85"/>
    <w:rsid w:val="00812FC0"/>
    <w:rsid w:val="0081300F"/>
    <w:rsid w:val="0081309F"/>
    <w:rsid w:val="008130B3"/>
    <w:rsid w:val="0081312A"/>
    <w:rsid w:val="008131E1"/>
    <w:rsid w:val="008131FC"/>
    <w:rsid w:val="00813218"/>
    <w:rsid w:val="00813359"/>
    <w:rsid w:val="0081335C"/>
    <w:rsid w:val="00813393"/>
    <w:rsid w:val="008133AA"/>
    <w:rsid w:val="0081343B"/>
    <w:rsid w:val="00813542"/>
    <w:rsid w:val="008135D3"/>
    <w:rsid w:val="008137BA"/>
    <w:rsid w:val="008138E1"/>
    <w:rsid w:val="00813949"/>
    <w:rsid w:val="00813980"/>
    <w:rsid w:val="008139A2"/>
    <w:rsid w:val="00813B2C"/>
    <w:rsid w:val="00813B2F"/>
    <w:rsid w:val="00813C3C"/>
    <w:rsid w:val="00813C4B"/>
    <w:rsid w:val="00813C64"/>
    <w:rsid w:val="00813CB3"/>
    <w:rsid w:val="00813DC0"/>
    <w:rsid w:val="00813EB5"/>
    <w:rsid w:val="00813FE8"/>
    <w:rsid w:val="00813FF5"/>
    <w:rsid w:val="00814059"/>
    <w:rsid w:val="00814063"/>
    <w:rsid w:val="00814083"/>
    <w:rsid w:val="0081408B"/>
    <w:rsid w:val="008140EF"/>
    <w:rsid w:val="0081413E"/>
    <w:rsid w:val="00814188"/>
    <w:rsid w:val="0081434F"/>
    <w:rsid w:val="00814354"/>
    <w:rsid w:val="00814381"/>
    <w:rsid w:val="00814427"/>
    <w:rsid w:val="00814462"/>
    <w:rsid w:val="00814548"/>
    <w:rsid w:val="0081456D"/>
    <w:rsid w:val="00814574"/>
    <w:rsid w:val="00814592"/>
    <w:rsid w:val="0081483A"/>
    <w:rsid w:val="00814873"/>
    <w:rsid w:val="00814892"/>
    <w:rsid w:val="00814910"/>
    <w:rsid w:val="008149D7"/>
    <w:rsid w:val="00814AFE"/>
    <w:rsid w:val="00814B1E"/>
    <w:rsid w:val="00814B2F"/>
    <w:rsid w:val="00814BC8"/>
    <w:rsid w:val="00814BDB"/>
    <w:rsid w:val="00814C24"/>
    <w:rsid w:val="00814C81"/>
    <w:rsid w:val="00814C8F"/>
    <w:rsid w:val="00814CD2"/>
    <w:rsid w:val="00814D22"/>
    <w:rsid w:val="00814D36"/>
    <w:rsid w:val="00814DE0"/>
    <w:rsid w:val="00814E22"/>
    <w:rsid w:val="00814F18"/>
    <w:rsid w:val="00815009"/>
    <w:rsid w:val="00815018"/>
    <w:rsid w:val="00815088"/>
    <w:rsid w:val="00815178"/>
    <w:rsid w:val="00815205"/>
    <w:rsid w:val="00815289"/>
    <w:rsid w:val="008152D9"/>
    <w:rsid w:val="00815313"/>
    <w:rsid w:val="008153A2"/>
    <w:rsid w:val="008153CE"/>
    <w:rsid w:val="0081540F"/>
    <w:rsid w:val="0081543E"/>
    <w:rsid w:val="008154D4"/>
    <w:rsid w:val="008155FD"/>
    <w:rsid w:val="008156AF"/>
    <w:rsid w:val="0081576D"/>
    <w:rsid w:val="008157D1"/>
    <w:rsid w:val="008158EB"/>
    <w:rsid w:val="00815908"/>
    <w:rsid w:val="00815A69"/>
    <w:rsid w:val="00815C84"/>
    <w:rsid w:val="00815D59"/>
    <w:rsid w:val="00815DB1"/>
    <w:rsid w:val="00815DEF"/>
    <w:rsid w:val="00815DF8"/>
    <w:rsid w:val="00815F3A"/>
    <w:rsid w:val="00815F86"/>
    <w:rsid w:val="00815FE0"/>
    <w:rsid w:val="00815FF5"/>
    <w:rsid w:val="00816002"/>
    <w:rsid w:val="00816021"/>
    <w:rsid w:val="00816060"/>
    <w:rsid w:val="008160F9"/>
    <w:rsid w:val="0081611A"/>
    <w:rsid w:val="008161D3"/>
    <w:rsid w:val="008161E8"/>
    <w:rsid w:val="00816221"/>
    <w:rsid w:val="0081626E"/>
    <w:rsid w:val="00816305"/>
    <w:rsid w:val="0081636B"/>
    <w:rsid w:val="008163C4"/>
    <w:rsid w:val="0081644B"/>
    <w:rsid w:val="008164C1"/>
    <w:rsid w:val="008164CE"/>
    <w:rsid w:val="008164E2"/>
    <w:rsid w:val="008164FA"/>
    <w:rsid w:val="0081650C"/>
    <w:rsid w:val="00816522"/>
    <w:rsid w:val="0081657B"/>
    <w:rsid w:val="0081661A"/>
    <w:rsid w:val="008168A2"/>
    <w:rsid w:val="00816951"/>
    <w:rsid w:val="008169C0"/>
    <w:rsid w:val="00816A32"/>
    <w:rsid w:val="00816ACF"/>
    <w:rsid w:val="00816BF6"/>
    <w:rsid w:val="00816D61"/>
    <w:rsid w:val="00816DDD"/>
    <w:rsid w:val="00816DE6"/>
    <w:rsid w:val="00816E06"/>
    <w:rsid w:val="00816EAA"/>
    <w:rsid w:val="00816EDD"/>
    <w:rsid w:val="00816EF7"/>
    <w:rsid w:val="00816F32"/>
    <w:rsid w:val="00816FAA"/>
    <w:rsid w:val="00816FEA"/>
    <w:rsid w:val="00816FF8"/>
    <w:rsid w:val="008170CD"/>
    <w:rsid w:val="008170E0"/>
    <w:rsid w:val="0081715F"/>
    <w:rsid w:val="00817182"/>
    <w:rsid w:val="008171C7"/>
    <w:rsid w:val="008171DA"/>
    <w:rsid w:val="0081724C"/>
    <w:rsid w:val="00817252"/>
    <w:rsid w:val="0081728C"/>
    <w:rsid w:val="0081746B"/>
    <w:rsid w:val="00817528"/>
    <w:rsid w:val="00817576"/>
    <w:rsid w:val="0081761F"/>
    <w:rsid w:val="00817636"/>
    <w:rsid w:val="0081768B"/>
    <w:rsid w:val="008177F6"/>
    <w:rsid w:val="0081780D"/>
    <w:rsid w:val="0081781D"/>
    <w:rsid w:val="00817822"/>
    <w:rsid w:val="008178BF"/>
    <w:rsid w:val="008178EE"/>
    <w:rsid w:val="008178FB"/>
    <w:rsid w:val="0081790B"/>
    <w:rsid w:val="00817921"/>
    <w:rsid w:val="008179BF"/>
    <w:rsid w:val="00817B3B"/>
    <w:rsid w:val="00817BCF"/>
    <w:rsid w:val="00817C3B"/>
    <w:rsid w:val="00817D30"/>
    <w:rsid w:val="00817D5C"/>
    <w:rsid w:val="00817DC9"/>
    <w:rsid w:val="00817E36"/>
    <w:rsid w:val="00817E51"/>
    <w:rsid w:val="00817E52"/>
    <w:rsid w:val="00817E53"/>
    <w:rsid w:val="00817E93"/>
    <w:rsid w:val="00817ECE"/>
    <w:rsid w:val="0082002B"/>
    <w:rsid w:val="008200FE"/>
    <w:rsid w:val="0082017E"/>
    <w:rsid w:val="00820207"/>
    <w:rsid w:val="00820213"/>
    <w:rsid w:val="00820219"/>
    <w:rsid w:val="0082026F"/>
    <w:rsid w:val="00820273"/>
    <w:rsid w:val="008202BC"/>
    <w:rsid w:val="008203FA"/>
    <w:rsid w:val="00820444"/>
    <w:rsid w:val="0082044B"/>
    <w:rsid w:val="008204DB"/>
    <w:rsid w:val="0082055A"/>
    <w:rsid w:val="00820588"/>
    <w:rsid w:val="008205F9"/>
    <w:rsid w:val="00820656"/>
    <w:rsid w:val="008206B5"/>
    <w:rsid w:val="00820707"/>
    <w:rsid w:val="008207C3"/>
    <w:rsid w:val="00820833"/>
    <w:rsid w:val="00820851"/>
    <w:rsid w:val="00820A7A"/>
    <w:rsid w:val="00820A89"/>
    <w:rsid w:val="00820AAA"/>
    <w:rsid w:val="00820AD3"/>
    <w:rsid w:val="00820B0C"/>
    <w:rsid w:val="00820B11"/>
    <w:rsid w:val="00820B1A"/>
    <w:rsid w:val="00820B89"/>
    <w:rsid w:val="00820BC9"/>
    <w:rsid w:val="00820C9C"/>
    <w:rsid w:val="00820D35"/>
    <w:rsid w:val="00820DCC"/>
    <w:rsid w:val="00820F87"/>
    <w:rsid w:val="00821023"/>
    <w:rsid w:val="0082103E"/>
    <w:rsid w:val="0082110B"/>
    <w:rsid w:val="00821144"/>
    <w:rsid w:val="00821172"/>
    <w:rsid w:val="00821327"/>
    <w:rsid w:val="0082142A"/>
    <w:rsid w:val="00821444"/>
    <w:rsid w:val="008215A9"/>
    <w:rsid w:val="008215DF"/>
    <w:rsid w:val="00821665"/>
    <w:rsid w:val="00821685"/>
    <w:rsid w:val="008216B7"/>
    <w:rsid w:val="00821741"/>
    <w:rsid w:val="00821757"/>
    <w:rsid w:val="008217B4"/>
    <w:rsid w:val="008218C2"/>
    <w:rsid w:val="00821957"/>
    <w:rsid w:val="00821991"/>
    <w:rsid w:val="00821A89"/>
    <w:rsid w:val="00821B04"/>
    <w:rsid w:val="00821B26"/>
    <w:rsid w:val="00821C25"/>
    <w:rsid w:val="00821C4A"/>
    <w:rsid w:val="00821D61"/>
    <w:rsid w:val="00821DA5"/>
    <w:rsid w:val="00821DC2"/>
    <w:rsid w:val="00821FAB"/>
    <w:rsid w:val="00821FC3"/>
    <w:rsid w:val="00821FEC"/>
    <w:rsid w:val="008221D2"/>
    <w:rsid w:val="00822234"/>
    <w:rsid w:val="0082229E"/>
    <w:rsid w:val="008222F2"/>
    <w:rsid w:val="00822367"/>
    <w:rsid w:val="00822385"/>
    <w:rsid w:val="00822437"/>
    <w:rsid w:val="008224A8"/>
    <w:rsid w:val="00822524"/>
    <w:rsid w:val="0082257D"/>
    <w:rsid w:val="008225A0"/>
    <w:rsid w:val="00822640"/>
    <w:rsid w:val="0082273D"/>
    <w:rsid w:val="0082277E"/>
    <w:rsid w:val="0082281C"/>
    <w:rsid w:val="00822853"/>
    <w:rsid w:val="0082286A"/>
    <w:rsid w:val="008228A1"/>
    <w:rsid w:val="00822A39"/>
    <w:rsid w:val="00822CB2"/>
    <w:rsid w:val="00822DA3"/>
    <w:rsid w:val="00822DAA"/>
    <w:rsid w:val="00822DBE"/>
    <w:rsid w:val="00822DC4"/>
    <w:rsid w:val="00822DF7"/>
    <w:rsid w:val="00822E30"/>
    <w:rsid w:val="00822FE2"/>
    <w:rsid w:val="00823098"/>
    <w:rsid w:val="008230B6"/>
    <w:rsid w:val="008230CA"/>
    <w:rsid w:val="00823120"/>
    <w:rsid w:val="00823132"/>
    <w:rsid w:val="00823171"/>
    <w:rsid w:val="008231E2"/>
    <w:rsid w:val="00823273"/>
    <w:rsid w:val="0082338F"/>
    <w:rsid w:val="00823448"/>
    <w:rsid w:val="008234D9"/>
    <w:rsid w:val="00823545"/>
    <w:rsid w:val="008235CB"/>
    <w:rsid w:val="0082370D"/>
    <w:rsid w:val="00823849"/>
    <w:rsid w:val="00823867"/>
    <w:rsid w:val="008238D6"/>
    <w:rsid w:val="008238E2"/>
    <w:rsid w:val="0082397C"/>
    <w:rsid w:val="0082399F"/>
    <w:rsid w:val="008239E4"/>
    <w:rsid w:val="008239F0"/>
    <w:rsid w:val="00823AC6"/>
    <w:rsid w:val="00823AD7"/>
    <w:rsid w:val="00823B32"/>
    <w:rsid w:val="00823B61"/>
    <w:rsid w:val="00823B8E"/>
    <w:rsid w:val="00823C51"/>
    <w:rsid w:val="00823CC5"/>
    <w:rsid w:val="00823D54"/>
    <w:rsid w:val="00824068"/>
    <w:rsid w:val="0082407A"/>
    <w:rsid w:val="00824081"/>
    <w:rsid w:val="008240CA"/>
    <w:rsid w:val="0082414B"/>
    <w:rsid w:val="00824195"/>
    <w:rsid w:val="008241F3"/>
    <w:rsid w:val="008242FC"/>
    <w:rsid w:val="00824314"/>
    <w:rsid w:val="0082434C"/>
    <w:rsid w:val="0082434D"/>
    <w:rsid w:val="008243C6"/>
    <w:rsid w:val="008244A1"/>
    <w:rsid w:val="008244F0"/>
    <w:rsid w:val="008244F7"/>
    <w:rsid w:val="00824548"/>
    <w:rsid w:val="00824599"/>
    <w:rsid w:val="00824623"/>
    <w:rsid w:val="00824660"/>
    <w:rsid w:val="00824676"/>
    <w:rsid w:val="0082467F"/>
    <w:rsid w:val="008246DA"/>
    <w:rsid w:val="0082478E"/>
    <w:rsid w:val="0082478F"/>
    <w:rsid w:val="00824795"/>
    <w:rsid w:val="00824799"/>
    <w:rsid w:val="0082488B"/>
    <w:rsid w:val="00824976"/>
    <w:rsid w:val="00824B04"/>
    <w:rsid w:val="00824B1F"/>
    <w:rsid w:val="00824B3A"/>
    <w:rsid w:val="00824B60"/>
    <w:rsid w:val="00824B8D"/>
    <w:rsid w:val="00824DFE"/>
    <w:rsid w:val="00824F04"/>
    <w:rsid w:val="00824F3E"/>
    <w:rsid w:val="00824F74"/>
    <w:rsid w:val="00825076"/>
    <w:rsid w:val="0082508E"/>
    <w:rsid w:val="008250C5"/>
    <w:rsid w:val="0082511B"/>
    <w:rsid w:val="00825144"/>
    <w:rsid w:val="008252BA"/>
    <w:rsid w:val="00825373"/>
    <w:rsid w:val="008253B9"/>
    <w:rsid w:val="008254DC"/>
    <w:rsid w:val="00825508"/>
    <w:rsid w:val="00825595"/>
    <w:rsid w:val="00825596"/>
    <w:rsid w:val="008255A8"/>
    <w:rsid w:val="00825645"/>
    <w:rsid w:val="00825665"/>
    <w:rsid w:val="0082566E"/>
    <w:rsid w:val="008256D8"/>
    <w:rsid w:val="00825880"/>
    <w:rsid w:val="008259F8"/>
    <w:rsid w:val="00825A10"/>
    <w:rsid w:val="00825A23"/>
    <w:rsid w:val="00825A8B"/>
    <w:rsid w:val="00825B41"/>
    <w:rsid w:val="00825BC1"/>
    <w:rsid w:val="00825CD7"/>
    <w:rsid w:val="00825D7A"/>
    <w:rsid w:val="00825D81"/>
    <w:rsid w:val="00825DBE"/>
    <w:rsid w:val="00825DF8"/>
    <w:rsid w:val="00825E96"/>
    <w:rsid w:val="00825ED2"/>
    <w:rsid w:val="00825F4C"/>
    <w:rsid w:val="00825FC0"/>
    <w:rsid w:val="00825FF4"/>
    <w:rsid w:val="0082604D"/>
    <w:rsid w:val="00826119"/>
    <w:rsid w:val="00826167"/>
    <w:rsid w:val="00826190"/>
    <w:rsid w:val="008262B2"/>
    <w:rsid w:val="008262DE"/>
    <w:rsid w:val="00826341"/>
    <w:rsid w:val="0082639D"/>
    <w:rsid w:val="008263BB"/>
    <w:rsid w:val="00826479"/>
    <w:rsid w:val="008264DD"/>
    <w:rsid w:val="00826506"/>
    <w:rsid w:val="00826556"/>
    <w:rsid w:val="00826573"/>
    <w:rsid w:val="0082658D"/>
    <w:rsid w:val="008265B8"/>
    <w:rsid w:val="008265F6"/>
    <w:rsid w:val="0082669E"/>
    <w:rsid w:val="008266E7"/>
    <w:rsid w:val="00826831"/>
    <w:rsid w:val="00826940"/>
    <w:rsid w:val="008269CE"/>
    <w:rsid w:val="00826A66"/>
    <w:rsid w:val="00826A8A"/>
    <w:rsid w:val="00826AEA"/>
    <w:rsid w:val="00826B4D"/>
    <w:rsid w:val="00826BA6"/>
    <w:rsid w:val="00826BC9"/>
    <w:rsid w:val="00826D4B"/>
    <w:rsid w:val="00826E88"/>
    <w:rsid w:val="00826E90"/>
    <w:rsid w:val="00826EA1"/>
    <w:rsid w:val="00826ED7"/>
    <w:rsid w:val="00826EE4"/>
    <w:rsid w:val="00826F75"/>
    <w:rsid w:val="00827029"/>
    <w:rsid w:val="008270B4"/>
    <w:rsid w:val="0082711B"/>
    <w:rsid w:val="00827137"/>
    <w:rsid w:val="0082718E"/>
    <w:rsid w:val="00827191"/>
    <w:rsid w:val="00827279"/>
    <w:rsid w:val="008272E1"/>
    <w:rsid w:val="00827306"/>
    <w:rsid w:val="0082734A"/>
    <w:rsid w:val="008273AB"/>
    <w:rsid w:val="008274FA"/>
    <w:rsid w:val="008275FD"/>
    <w:rsid w:val="00827609"/>
    <w:rsid w:val="00827667"/>
    <w:rsid w:val="0082769B"/>
    <w:rsid w:val="008276C0"/>
    <w:rsid w:val="0082777B"/>
    <w:rsid w:val="008277F7"/>
    <w:rsid w:val="0082791A"/>
    <w:rsid w:val="00827962"/>
    <w:rsid w:val="008279D5"/>
    <w:rsid w:val="00827A5A"/>
    <w:rsid w:val="00827AA7"/>
    <w:rsid w:val="00827B2F"/>
    <w:rsid w:val="00827B4F"/>
    <w:rsid w:val="00827B97"/>
    <w:rsid w:val="00827D15"/>
    <w:rsid w:val="00827DA6"/>
    <w:rsid w:val="00827FBC"/>
    <w:rsid w:val="00827FFA"/>
    <w:rsid w:val="0083000C"/>
    <w:rsid w:val="00830023"/>
    <w:rsid w:val="00830057"/>
    <w:rsid w:val="00830068"/>
    <w:rsid w:val="00830199"/>
    <w:rsid w:val="00830231"/>
    <w:rsid w:val="0083027F"/>
    <w:rsid w:val="008302ED"/>
    <w:rsid w:val="0083031C"/>
    <w:rsid w:val="0083032C"/>
    <w:rsid w:val="008303B4"/>
    <w:rsid w:val="00830486"/>
    <w:rsid w:val="008304C9"/>
    <w:rsid w:val="00830535"/>
    <w:rsid w:val="0083054B"/>
    <w:rsid w:val="00830593"/>
    <w:rsid w:val="008305AF"/>
    <w:rsid w:val="008305F0"/>
    <w:rsid w:val="0083065B"/>
    <w:rsid w:val="008306CD"/>
    <w:rsid w:val="00830729"/>
    <w:rsid w:val="00830750"/>
    <w:rsid w:val="00830765"/>
    <w:rsid w:val="008307B3"/>
    <w:rsid w:val="0083086F"/>
    <w:rsid w:val="00830880"/>
    <w:rsid w:val="00830906"/>
    <w:rsid w:val="00830A05"/>
    <w:rsid w:val="00830A06"/>
    <w:rsid w:val="00830A1E"/>
    <w:rsid w:val="00830BF2"/>
    <w:rsid w:val="00830CDE"/>
    <w:rsid w:val="00830D1A"/>
    <w:rsid w:val="00830D3F"/>
    <w:rsid w:val="00830D40"/>
    <w:rsid w:val="00830EA5"/>
    <w:rsid w:val="008310F8"/>
    <w:rsid w:val="00831122"/>
    <w:rsid w:val="008311C9"/>
    <w:rsid w:val="00831201"/>
    <w:rsid w:val="00831317"/>
    <w:rsid w:val="008313BA"/>
    <w:rsid w:val="0083147A"/>
    <w:rsid w:val="00831516"/>
    <w:rsid w:val="00831546"/>
    <w:rsid w:val="00831597"/>
    <w:rsid w:val="008315B4"/>
    <w:rsid w:val="008315BA"/>
    <w:rsid w:val="00831646"/>
    <w:rsid w:val="008316E5"/>
    <w:rsid w:val="00831731"/>
    <w:rsid w:val="008317C3"/>
    <w:rsid w:val="008317C7"/>
    <w:rsid w:val="00831801"/>
    <w:rsid w:val="00831988"/>
    <w:rsid w:val="008319EC"/>
    <w:rsid w:val="00831A60"/>
    <w:rsid w:val="00831B1A"/>
    <w:rsid w:val="00831BE6"/>
    <w:rsid w:val="00831C17"/>
    <w:rsid w:val="00831C3B"/>
    <w:rsid w:val="00831C62"/>
    <w:rsid w:val="00831DDF"/>
    <w:rsid w:val="00831DE5"/>
    <w:rsid w:val="00831E17"/>
    <w:rsid w:val="00831E46"/>
    <w:rsid w:val="00831E48"/>
    <w:rsid w:val="00831E80"/>
    <w:rsid w:val="00831EBB"/>
    <w:rsid w:val="00831ECE"/>
    <w:rsid w:val="00831EE8"/>
    <w:rsid w:val="00831F43"/>
    <w:rsid w:val="00831F49"/>
    <w:rsid w:val="00831F73"/>
    <w:rsid w:val="00831F96"/>
    <w:rsid w:val="00831FF6"/>
    <w:rsid w:val="00832000"/>
    <w:rsid w:val="00832027"/>
    <w:rsid w:val="0083204B"/>
    <w:rsid w:val="00832151"/>
    <w:rsid w:val="00832193"/>
    <w:rsid w:val="008321C1"/>
    <w:rsid w:val="008321D1"/>
    <w:rsid w:val="00832205"/>
    <w:rsid w:val="00832225"/>
    <w:rsid w:val="008322BF"/>
    <w:rsid w:val="00832314"/>
    <w:rsid w:val="00832335"/>
    <w:rsid w:val="00832352"/>
    <w:rsid w:val="008323D4"/>
    <w:rsid w:val="008323F6"/>
    <w:rsid w:val="00832429"/>
    <w:rsid w:val="0083245D"/>
    <w:rsid w:val="00832485"/>
    <w:rsid w:val="00832491"/>
    <w:rsid w:val="0083251A"/>
    <w:rsid w:val="00832602"/>
    <w:rsid w:val="0083265B"/>
    <w:rsid w:val="00832722"/>
    <w:rsid w:val="008327F0"/>
    <w:rsid w:val="00832A47"/>
    <w:rsid w:val="00832AE8"/>
    <w:rsid w:val="00832B0A"/>
    <w:rsid w:val="00832B43"/>
    <w:rsid w:val="00832B5D"/>
    <w:rsid w:val="00832B95"/>
    <w:rsid w:val="00832C45"/>
    <w:rsid w:val="00832CA9"/>
    <w:rsid w:val="00832CBF"/>
    <w:rsid w:val="00832CE7"/>
    <w:rsid w:val="00832E86"/>
    <w:rsid w:val="00832EA6"/>
    <w:rsid w:val="00832FC3"/>
    <w:rsid w:val="00833019"/>
    <w:rsid w:val="0083306A"/>
    <w:rsid w:val="008330D6"/>
    <w:rsid w:val="00833151"/>
    <w:rsid w:val="00833226"/>
    <w:rsid w:val="0083324C"/>
    <w:rsid w:val="0083325A"/>
    <w:rsid w:val="00833301"/>
    <w:rsid w:val="0083334D"/>
    <w:rsid w:val="0083336B"/>
    <w:rsid w:val="008333B8"/>
    <w:rsid w:val="0083348B"/>
    <w:rsid w:val="00833506"/>
    <w:rsid w:val="00833551"/>
    <w:rsid w:val="0083357D"/>
    <w:rsid w:val="0083358A"/>
    <w:rsid w:val="008335F9"/>
    <w:rsid w:val="00833643"/>
    <w:rsid w:val="00833660"/>
    <w:rsid w:val="00833667"/>
    <w:rsid w:val="008336C8"/>
    <w:rsid w:val="008337FB"/>
    <w:rsid w:val="008337FE"/>
    <w:rsid w:val="00833886"/>
    <w:rsid w:val="00833890"/>
    <w:rsid w:val="008339DE"/>
    <w:rsid w:val="00833B4E"/>
    <w:rsid w:val="00833B6E"/>
    <w:rsid w:val="00833BC0"/>
    <w:rsid w:val="00833BF6"/>
    <w:rsid w:val="00833C1F"/>
    <w:rsid w:val="00833C95"/>
    <w:rsid w:val="00833CC7"/>
    <w:rsid w:val="00833D15"/>
    <w:rsid w:val="00833DE7"/>
    <w:rsid w:val="00833DFE"/>
    <w:rsid w:val="00833E45"/>
    <w:rsid w:val="00833E4E"/>
    <w:rsid w:val="00833E8B"/>
    <w:rsid w:val="00833F23"/>
    <w:rsid w:val="00833F47"/>
    <w:rsid w:val="00833FC4"/>
    <w:rsid w:val="00834029"/>
    <w:rsid w:val="00834150"/>
    <w:rsid w:val="00834214"/>
    <w:rsid w:val="00834266"/>
    <w:rsid w:val="0083427D"/>
    <w:rsid w:val="008342CC"/>
    <w:rsid w:val="008342E0"/>
    <w:rsid w:val="008342EE"/>
    <w:rsid w:val="008342EF"/>
    <w:rsid w:val="00834394"/>
    <w:rsid w:val="00834428"/>
    <w:rsid w:val="008344AE"/>
    <w:rsid w:val="0083455D"/>
    <w:rsid w:val="00834600"/>
    <w:rsid w:val="00834602"/>
    <w:rsid w:val="00834632"/>
    <w:rsid w:val="00834664"/>
    <w:rsid w:val="00834665"/>
    <w:rsid w:val="008346B3"/>
    <w:rsid w:val="00834733"/>
    <w:rsid w:val="00834763"/>
    <w:rsid w:val="0083476C"/>
    <w:rsid w:val="00834805"/>
    <w:rsid w:val="00834809"/>
    <w:rsid w:val="0083496F"/>
    <w:rsid w:val="0083497B"/>
    <w:rsid w:val="008349EC"/>
    <w:rsid w:val="00834A9C"/>
    <w:rsid w:val="00834AE2"/>
    <w:rsid w:val="00834CEA"/>
    <w:rsid w:val="00834DB4"/>
    <w:rsid w:val="00834DB7"/>
    <w:rsid w:val="00834DF7"/>
    <w:rsid w:val="00834F4A"/>
    <w:rsid w:val="00834F82"/>
    <w:rsid w:val="00834F9A"/>
    <w:rsid w:val="008350B4"/>
    <w:rsid w:val="00835121"/>
    <w:rsid w:val="0083524A"/>
    <w:rsid w:val="0083524C"/>
    <w:rsid w:val="00835265"/>
    <w:rsid w:val="00835332"/>
    <w:rsid w:val="00835341"/>
    <w:rsid w:val="008355C2"/>
    <w:rsid w:val="0083567C"/>
    <w:rsid w:val="008356DE"/>
    <w:rsid w:val="00835739"/>
    <w:rsid w:val="0083579B"/>
    <w:rsid w:val="008357D8"/>
    <w:rsid w:val="00835847"/>
    <w:rsid w:val="0083586D"/>
    <w:rsid w:val="00835897"/>
    <w:rsid w:val="008359E8"/>
    <w:rsid w:val="00835A1D"/>
    <w:rsid w:val="00835A80"/>
    <w:rsid w:val="00835A82"/>
    <w:rsid w:val="00835BAF"/>
    <w:rsid w:val="00835C2D"/>
    <w:rsid w:val="00835CA0"/>
    <w:rsid w:val="00835CA4"/>
    <w:rsid w:val="00835D0C"/>
    <w:rsid w:val="00835D1C"/>
    <w:rsid w:val="00835D2F"/>
    <w:rsid w:val="00835DD4"/>
    <w:rsid w:val="00835E82"/>
    <w:rsid w:val="00835F61"/>
    <w:rsid w:val="00835F81"/>
    <w:rsid w:val="0083609C"/>
    <w:rsid w:val="008360B8"/>
    <w:rsid w:val="008361FC"/>
    <w:rsid w:val="0083621C"/>
    <w:rsid w:val="008362D6"/>
    <w:rsid w:val="008362D9"/>
    <w:rsid w:val="008362F6"/>
    <w:rsid w:val="0083632F"/>
    <w:rsid w:val="00836368"/>
    <w:rsid w:val="00836438"/>
    <w:rsid w:val="008364E7"/>
    <w:rsid w:val="00836554"/>
    <w:rsid w:val="00836586"/>
    <w:rsid w:val="00836743"/>
    <w:rsid w:val="008367AA"/>
    <w:rsid w:val="008367AE"/>
    <w:rsid w:val="00836802"/>
    <w:rsid w:val="0083680E"/>
    <w:rsid w:val="00836875"/>
    <w:rsid w:val="00836886"/>
    <w:rsid w:val="008368CF"/>
    <w:rsid w:val="0083692B"/>
    <w:rsid w:val="0083694B"/>
    <w:rsid w:val="00836A21"/>
    <w:rsid w:val="00836A54"/>
    <w:rsid w:val="00836A66"/>
    <w:rsid w:val="00836AEA"/>
    <w:rsid w:val="00836B4D"/>
    <w:rsid w:val="00836BC5"/>
    <w:rsid w:val="00836BF1"/>
    <w:rsid w:val="00836BFF"/>
    <w:rsid w:val="00836C11"/>
    <w:rsid w:val="00836C13"/>
    <w:rsid w:val="00836C2B"/>
    <w:rsid w:val="00836C96"/>
    <w:rsid w:val="00836CAF"/>
    <w:rsid w:val="00836CB0"/>
    <w:rsid w:val="00836CCB"/>
    <w:rsid w:val="00836D56"/>
    <w:rsid w:val="00836DB2"/>
    <w:rsid w:val="00836E21"/>
    <w:rsid w:val="0083708B"/>
    <w:rsid w:val="008370F2"/>
    <w:rsid w:val="00837354"/>
    <w:rsid w:val="008373E1"/>
    <w:rsid w:val="008375A4"/>
    <w:rsid w:val="00837633"/>
    <w:rsid w:val="0083764D"/>
    <w:rsid w:val="0083768E"/>
    <w:rsid w:val="008376C0"/>
    <w:rsid w:val="008376DE"/>
    <w:rsid w:val="00837716"/>
    <w:rsid w:val="0083775B"/>
    <w:rsid w:val="0083785B"/>
    <w:rsid w:val="0083787A"/>
    <w:rsid w:val="00837880"/>
    <w:rsid w:val="00837890"/>
    <w:rsid w:val="00837988"/>
    <w:rsid w:val="00837A98"/>
    <w:rsid w:val="00837B30"/>
    <w:rsid w:val="00837B4F"/>
    <w:rsid w:val="00837B9E"/>
    <w:rsid w:val="00837C65"/>
    <w:rsid w:val="00837CA1"/>
    <w:rsid w:val="00837D82"/>
    <w:rsid w:val="00837E11"/>
    <w:rsid w:val="00837E70"/>
    <w:rsid w:val="0084000F"/>
    <w:rsid w:val="00840053"/>
    <w:rsid w:val="00840123"/>
    <w:rsid w:val="008401BD"/>
    <w:rsid w:val="008401E6"/>
    <w:rsid w:val="008402EA"/>
    <w:rsid w:val="00840354"/>
    <w:rsid w:val="00840414"/>
    <w:rsid w:val="00840558"/>
    <w:rsid w:val="0084060C"/>
    <w:rsid w:val="0084070E"/>
    <w:rsid w:val="00840750"/>
    <w:rsid w:val="00840793"/>
    <w:rsid w:val="008407D3"/>
    <w:rsid w:val="0084084B"/>
    <w:rsid w:val="0084084E"/>
    <w:rsid w:val="008408DF"/>
    <w:rsid w:val="00840A0D"/>
    <w:rsid w:val="00840A64"/>
    <w:rsid w:val="00840AC1"/>
    <w:rsid w:val="00840ACF"/>
    <w:rsid w:val="00840AE7"/>
    <w:rsid w:val="00840B60"/>
    <w:rsid w:val="00840D16"/>
    <w:rsid w:val="00840F35"/>
    <w:rsid w:val="00841057"/>
    <w:rsid w:val="0084108E"/>
    <w:rsid w:val="008410D3"/>
    <w:rsid w:val="008411D6"/>
    <w:rsid w:val="008412DB"/>
    <w:rsid w:val="00841359"/>
    <w:rsid w:val="008413E1"/>
    <w:rsid w:val="00841455"/>
    <w:rsid w:val="008414BD"/>
    <w:rsid w:val="0084163F"/>
    <w:rsid w:val="00841677"/>
    <w:rsid w:val="00841691"/>
    <w:rsid w:val="008416DD"/>
    <w:rsid w:val="00841776"/>
    <w:rsid w:val="0084177A"/>
    <w:rsid w:val="00841881"/>
    <w:rsid w:val="00841884"/>
    <w:rsid w:val="008418EE"/>
    <w:rsid w:val="008419AE"/>
    <w:rsid w:val="008419C5"/>
    <w:rsid w:val="00841A28"/>
    <w:rsid w:val="00841A2B"/>
    <w:rsid w:val="00841A53"/>
    <w:rsid w:val="00841A5A"/>
    <w:rsid w:val="00841B21"/>
    <w:rsid w:val="00841BAA"/>
    <w:rsid w:val="00841BE3"/>
    <w:rsid w:val="00841C74"/>
    <w:rsid w:val="00841C95"/>
    <w:rsid w:val="00841CA2"/>
    <w:rsid w:val="00841CD9"/>
    <w:rsid w:val="00841D3A"/>
    <w:rsid w:val="00841D4A"/>
    <w:rsid w:val="00841DBF"/>
    <w:rsid w:val="00841E56"/>
    <w:rsid w:val="00841EAB"/>
    <w:rsid w:val="00841EE3"/>
    <w:rsid w:val="00842037"/>
    <w:rsid w:val="008420F7"/>
    <w:rsid w:val="008422F9"/>
    <w:rsid w:val="008423D4"/>
    <w:rsid w:val="00842490"/>
    <w:rsid w:val="008424C0"/>
    <w:rsid w:val="008424FF"/>
    <w:rsid w:val="008425D3"/>
    <w:rsid w:val="008426A8"/>
    <w:rsid w:val="0084276C"/>
    <w:rsid w:val="00842813"/>
    <w:rsid w:val="0084284D"/>
    <w:rsid w:val="00842866"/>
    <w:rsid w:val="008428D8"/>
    <w:rsid w:val="008429C9"/>
    <w:rsid w:val="008429DE"/>
    <w:rsid w:val="00842A8F"/>
    <w:rsid w:val="00842AA0"/>
    <w:rsid w:val="00842AE2"/>
    <w:rsid w:val="00842B04"/>
    <w:rsid w:val="00842B47"/>
    <w:rsid w:val="00842CCD"/>
    <w:rsid w:val="00842CF5"/>
    <w:rsid w:val="00842D71"/>
    <w:rsid w:val="00842E58"/>
    <w:rsid w:val="00842EA8"/>
    <w:rsid w:val="00842EC1"/>
    <w:rsid w:val="00842F88"/>
    <w:rsid w:val="00842FB4"/>
    <w:rsid w:val="0084308E"/>
    <w:rsid w:val="008430A8"/>
    <w:rsid w:val="008430EC"/>
    <w:rsid w:val="008430FA"/>
    <w:rsid w:val="008431D6"/>
    <w:rsid w:val="00843218"/>
    <w:rsid w:val="00843296"/>
    <w:rsid w:val="008432A1"/>
    <w:rsid w:val="008432B5"/>
    <w:rsid w:val="008432D3"/>
    <w:rsid w:val="008432D8"/>
    <w:rsid w:val="008432E9"/>
    <w:rsid w:val="0084330B"/>
    <w:rsid w:val="0084350B"/>
    <w:rsid w:val="00843545"/>
    <w:rsid w:val="008435BD"/>
    <w:rsid w:val="008435DD"/>
    <w:rsid w:val="008435EF"/>
    <w:rsid w:val="0084362C"/>
    <w:rsid w:val="008436C2"/>
    <w:rsid w:val="008436E4"/>
    <w:rsid w:val="00843790"/>
    <w:rsid w:val="00843834"/>
    <w:rsid w:val="0084385D"/>
    <w:rsid w:val="0084388C"/>
    <w:rsid w:val="00843A3F"/>
    <w:rsid w:val="00843A68"/>
    <w:rsid w:val="00843ABB"/>
    <w:rsid w:val="00843AE7"/>
    <w:rsid w:val="00843BE5"/>
    <w:rsid w:val="00843C08"/>
    <w:rsid w:val="00843C53"/>
    <w:rsid w:val="00843D13"/>
    <w:rsid w:val="00843D16"/>
    <w:rsid w:val="00843DF9"/>
    <w:rsid w:val="00843DFA"/>
    <w:rsid w:val="00843E1C"/>
    <w:rsid w:val="008440C9"/>
    <w:rsid w:val="00844103"/>
    <w:rsid w:val="00844117"/>
    <w:rsid w:val="0084420A"/>
    <w:rsid w:val="00844357"/>
    <w:rsid w:val="008443BD"/>
    <w:rsid w:val="008444EC"/>
    <w:rsid w:val="00844538"/>
    <w:rsid w:val="0084468A"/>
    <w:rsid w:val="00844694"/>
    <w:rsid w:val="0084470C"/>
    <w:rsid w:val="00844723"/>
    <w:rsid w:val="00844756"/>
    <w:rsid w:val="00844774"/>
    <w:rsid w:val="008447BE"/>
    <w:rsid w:val="00844A43"/>
    <w:rsid w:val="00844A67"/>
    <w:rsid w:val="00844A8A"/>
    <w:rsid w:val="00844AEC"/>
    <w:rsid w:val="00844B4C"/>
    <w:rsid w:val="00844BE6"/>
    <w:rsid w:val="00844C5F"/>
    <w:rsid w:val="00844CD1"/>
    <w:rsid w:val="00844D17"/>
    <w:rsid w:val="00844D75"/>
    <w:rsid w:val="00844DA2"/>
    <w:rsid w:val="00844E54"/>
    <w:rsid w:val="00844E72"/>
    <w:rsid w:val="00844E77"/>
    <w:rsid w:val="00844EC4"/>
    <w:rsid w:val="00844F24"/>
    <w:rsid w:val="00844FED"/>
    <w:rsid w:val="00845051"/>
    <w:rsid w:val="0084509E"/>
    <w:rsid w:val="008450DB"/>
    <w:rsid w:val="008451B3"/>
    <w:rsid w:val="008451B7"/>
    <w:rsid w:val="00845428"/>
    <w:rsid w:val="0084542E"/>
    <w:rsid w:val="008454FE"/>
    <w:rsid w:val="00845501"/>
    <w:rsid w:val="00845555"/>
    <w:rsid w:val="0084558F"/>
    <w:rsid w:val="008456A2"/>
    <w:rsid w:val="008456C1"/>
    <w:rsid w:val="008456D8"/>
    <w:rsid w:val="008456F9"/>
    <w:rsid w:val="00845744"/>
    <w:rsid w:val="008457AE"/>
    <w:rsid w:val="0084593C"/>
    <w:rsid w:val="00845983"/>
    <w:rsid w:val="008459B4"/>
    <w:rsid w:val="00845A5D"/>
    <w:rsid w:val="00845ABF"/>
    <w:rsid w:val="00845B10"/>
    <w:rsid w:val="00845B69"/>
    <w:rsid w:val="00845C4B"/>
    <w:rsid w:val="00845C6A"/>
    <w:rsid w:val="00845DA5"/>
    <w:rsid w:val="00845DC2"/>
    <w:rsid w:val="0084601C"/>
    <w:rsid w:val="0084602A"/>
    <w:rsid w:val="0084602F"/>
    <w:rsid w:val="0084614F"/>
    <w:rsid w:val="00846155"/>
    <w:rsid w:val="008462AE"/>
    <w:rsid w:val="008462E9"/>
    <w:rsid w:val="00846347"/>
    <w:rsid w:val="0084645E"/>
    <w:rsid w:val="008465BA"/>
    <w:rsid w:val="008465FF"/>
    <w:rsid w:val="0084661C"/>
    <w:rsid w:val="00846682"/>
    <w:rsid w:val="00846797"/>
    <w:rsid w:val="00846855"/>
    <w:rsid w:val="008469D1"/>
    <w:rsid w:val="008469F4"/>
    <w:rsid w:val="00846AA1"/>
    <w:rsid w:val="00846AA3"/>
    <w:rsid w:val="00846AD4"/>
    <w:rsid w:val="00846B08"/>
    <w:rsid w:val="00846B31"/>
    <w:rsid w:val="00846B79"/>
    <w:rsid w:val="00846C07"/>
    <w:rsid w:val="00846C65"/>
    <w:rsid w:val="00846CAF"/>
    <w:rsid w:val="00846CB3"/>
    <w:rsid w:val="00846CB8"/>
    <w:rsid w:val="00846CD3"/>
    <w:rsid w:val="00846E21"/>
    <w:rsid w:val="00846E25"/>
    <w:rsid w:val="00846E40"/>
    <w:rsid w:val="00846E8E"/>
    <w:rsid w:val="00846F03"/>
    <w:rsid w:val="00846F10"/>
    <w:rsid w:val="00846F28"/>
    <w:rsid w:val="00846F3A"/>
    <w:rsid w:val="00846F9B"/>
    <w:rsid w:val="00847022"/>
    <w:rsid w:val="00847045"/>
    <w:rsid w:val="00847048"/>
    <w:rsid w:val="008470FB"/>
    <w:rsid w:val="008472A6"/>
    <w:rsid w:val="008472D5"/>
    <w:rsid w:val="00847339"/>
    <w:rsid w:val="00847378"/>
    <w:rsid w:val="0084739C"/>
    <w:rsid w:val="0084745B"/>
    <w:rsid w:val="008474A5"/>
    <w:rsid w:val="008474E8"/>
    <w:rsid w:val="00847578"/>
    <w:rsid w:val="0084759C"/>
    <w:rsid w:val="008476EA"/>
    <w:rsid w:val="00847788"/>
    <w:rsid w:val="00847792"/>
    <w:rsid w:val="0084781E"/>
    <w:rsid w:val="00847821"/>
    <w:rsid w:val="00847875"/>
    <w:rsid w:val="008479AC"/>
    <w:rsid w:val="008479C6"/>
    <w:rsid w:val="00847A0D"/>
    <w:rsid w:val="00847A67"/>
    <w:rsid w:val="00847CE8"/>
    <w:rsid w:val="00847EC0"/>
    <w:rsid w:val="00847EC6"/>
    <w:rsid w:val="00847F90"/>
    <w:rsid w:val="00850067"/>
    <w:rsid w:val="0085007E"/>
    <w:rsid w:val="008500AF"/>
    <w:rsid w:val="008500D5"/>
    <w:rsid w:val="008500E2"/>
    <w:rsid w:val="0085010B"/>
    <w:rsid w:val="0085012C"/>
    <w:rsid w:val="00850139"/>
    <w:rsid w:val="0085021E"/>
    <w:rsid w:val="008502DC"/>
    <w:rsid w:val="008502F7"/>
    <w:rsid w:val="008503A0"/>
    <w:rsid w:val="008503A5"/>
    <w:rsid w:val="0085041B"/>
    <w:rsid w:val="00850511"/>
    <w:rsid w:val="00850515"/>
    <w:rsid w:val="0085055F"/>
    <w:rsid w:val="00850623"/>
    <w:rsid w:val="00850681"/>
    <w:rsid w:val="00850721"/>
    <w:rsid w:val="00850743"/>
    <w:rsid w:val="008507A5"/>
    <w:rsid w:val="008507CF"/>
    <w:rsid w:val="0085082E"/>
    <w:rsid w:val="00850847"/>
    <w:rsid w:val="0085088E"/>
    <w:rsid w:val="008508B9"/>
    <w:rsid w:val="008508D6"/>
    <w:rsid w:val="0085093F"/>
    <w:rsid w:val="0085097B"/>
    <w:rsid w:val="008509A0"/>
    <w:rsid w:val="008509A2"/>
    <w:rsid w:val="00850A19"/>
    <w:rsid w:val="00850B33"/>
    <w:rsid w:val="00850B8D"/>
    <w:rsid w:val="00850CBB"/>
    <w:rsid w:val="00850CD1"/>
    <w:rsid w:val="00850CFB"/>
    <w:rsid w:val="00850D47"/>
    <w:rsid w:val="00850DFA"/>
    <w:rsid w:val="00850EA2"/>
    <w:rsid w:val="00850FF2"/>
    <w:rsid w:val="00851009"/>
    <w:rsid w:val="008510B1"/>
    <w:rsid w:val="008510D7"/>
    <w:rsid w:val="008510F0"/>
    <w:rsid w:val="008511B5"/>
    <w:rsid w:val="0085122E"/>
    <w:rsid w:val="0085126C"/>
    <w:rsid w:val="00851327"/>
    <w:rsid w:val="0085132F"/>
    <w:rsid w:val="008514D4"/>
    <w:rsid w:val="008514F9"/>
    <w:rsid w:val="00851549"/>
    <w:rsid w:val="0085160D"/>
    <w:rsid w:val="00851893"/>
    <w:rsid w:val="0085199F"/>
    <w:rsid w:val="008519B6"/>
    <w:rsid w:val="008519D4"/>
    <w:rsid w:val="00851A46"/>
    <w:rsid w:val="00851BA5"/>
    <w:rsid w:val="00851BD6"/>
    <w:rsid w:val="00851CE8"/>
    <w:rsid w:val="00851D31"/>
    <w:rsid w:val="00851D3A"/>
    <w:rsid w:val="00851D66"/>
    <w:rsid w:val="00851E5B"/>
    <w:rsid w:val="00851E8B"/>
    <w:rsid w:val="00852007"/>
    <w:rsid w:val="0085208F"/>
    <w:rsid w:val="008520AA"/>
    <w:rsid w:val="00852100"/>
    <w:rsid w:val="0085231E"/>
    <w:rsid w:val="00852437"/>
    <w:rsid w:val="0085247C"/>
    <w:rsid w:val="0085247D"/>
    <w:rsid w:val="008524B9"/>
    <w:rsid w:val="008524DD"/>
    <w:rsid w:val="00852555"/>
    <w:rsid w:val="0085257B"/>
    <w:rsid w:val="0085257C"/>
    <w:rsid w:val="00852608"/>
    <w:rsid w:val="0085263B"/>
    <w:rsid w:val="0085269A"/>
    <w:rsid w:val="008526DE"/>
    <w:rsid w:val="008526E4"/>
    <w:rsid w:val="008526F7"/>
    <w:rsid w:val="00852718"/>
    <w:rsid w:val="00852748"/>
    <w:rsid w:val="0085275C"/>
    <w:rsid w:val="0085276F"/>
    <w:rsid w:val="00852780"/>
    <w:rsid w:val="008527D7"/>
    <w:rsid w:val="008527D9"/>
    <w:rsid w:val="008528D9"/>
    <w:rsid w:val="00852918"/>
    <w:rsid w:val="00852930"/>
    <w:rsid w:val="0085298A"/>
    <w:rsid w:val="00852A0A"/>
    <w:rsid w:val="00852AB5"/>
    <w:rsid w:val="00852AEC"/>
    <w:rsid w:val="00852BBB"/>
    <w:rsid w:val="00852BC1"/>
    <w:rsid w:val="00852C83"/>
    <w:rsid w:val="00852D0B"/>
    <w:rsid w:val="00852D47"/>
    <w:rsid w:val="00852DC2"/>
    <w:rsid w:val="00852E62"/>
    <w:rsid w:val="00852E7D"/>
    <w:rsid w:val="00852E8F"/>
    <w:rsid w:val="00852EB3"/>
    <w:rsid w:val="00852FDF"/>
    <w:rsid w:val="008531CB"/>
    <w:rsid w:val="00853226"/>
    <w:rsid w:val="00853279"/>
    <w:rsid w:val="008532C9"/>
    <w:rsid w:val="0085335A"/>
    <w:rsid w:val="008533B0"/>
    <w:rsid w:val="00853471"/>
    <w:rsid w:val="00853635"/>
    <w:rsid w:val="00853671"/>
    <w:rsid w:val="008537DB"/>
    <w:rsid w:val="008537FC"/>
    <w:rsid w:val="00853840"/>
    <w:rsid w:val="00853869"/>
    <w:rsid w:val="008538DD"/>
    <w:rsid w:val="00853903"/>
    <w:rsid w:val="00853979"/>
    <w:rsid w:val="008539B1"/>
    <w:rsid w:val="008539C2"/>
    <w:rsid w:val="00853A55"/>
    <w:rsid w:val="00853A9C"/>
    <w:rsid w:val="00853B72"/>
    <w:rsid w:val="00853B99"/>
    <w:rsid w:val="00853BC0"/>
    <w:rsid w:val="00853CA1"/>
    <w:rsid w:val="00853CE2"/>
    <w:rsid w:val="00853D2B"/>
    <w:rsid w:val="00853E04"/>
    <w:rsid w:val="00853F97"/>
    <w:rsid w:val="00853FBA"/>
    <w:rsid w:val="00854034"/>
    <w:rsid w:val="0085407D"/>
    <w:rsid w:val="00854092"/>
    <w:rsid w:val="008540B4"/>
    <w:rsid w:val="0085420F"/>
    <w:rsid w:val="008542E8"/>
    <w:rsid w:val="008543CB"/>
    <w:rsid w:val="008544BC"/>
    <w:rsid w:val="00854577"/>
    <w:rsid w:val="008545AC"/>
    <w:rsid w:val="008545AF"/>
    <w:rsid w:val="008546CD"/>
    <w:rsid w:val="008546E6"/>
    <w:rsid w:val="008546F3"/>
    <w:rsid w:val="008546F6"/>
    <w:rsid w:val="008546F7"/>
    <w:rsid w:val="0085480F"/>
    <w:rsid w:val="008548A2"/>
    <w:rsid w:val="00854949"/>
    <w:rsid w:val="00854A0D"/>
    <w:rsid w:val="00854A1F"/>
    <w:rsid w:val="00854A2C"/>
    <w:rsid w:val="00854A60"/>
    <w:rsid w:val="00854B8D"/>
    <w:rsid w:val="00854BBE"/>
    <w:rsid w:val="00854C00"/>
    <w:rsid w:val="00854C32"/>
    <w:rsid w:val="00854CFC"/>
    <w:rsid w:val="00854EC5"/>
    <w:rsid w:val="00854F26"/>
    <w:rsid w:val="00854F33"/>
    <w:rsid w:val="00854F84"/>
    <w:rsid w:val="00854FAE"/>
    <w:rsid w:val="00854FC1"/>
    <w:rsid w:val="00855016"/>
    <w:rsid w:val="0085502D"/>
    <w:rsid w:val="0085503D"/>
    <w:rsid w:val="00855057"/>
    <w:rsid w:val="00855079"/>
    <w:rsid w:val="00855215"/>
    <w:rsid w:val="008552D1"/>
    <w:rsid w:val="008552F6"/>
    <w:rsid w:val="00855397"/>
    <w:rsid w:val="008553C8"/>
    <w:rsid w:val="0085544F"/>
    <w:rsid w:val="00855705"/>
    <w:rsid w:val="0085575A"/>
    <w:rsid w:val="00855786"/>
    <w:rsid w:val="008557F7"/>
    <w:rsid w:val="00855864"/>
    <w:rsid w:val="008558AA"/>
    <w:rsid w:val="00855994"/>
    <w:rsid w:val="00855A69"/>
    <w:rsid w:val="00855A8A"/>
    <w:rsid w:val="00855B03"/>
    <w:rsid w:val="00855C61"/>
    <w:rsid w:val="00855D65"/>
    <w:rsid w:val="00855D8C"/>
    <w:rsid w:val="00855DB9"/>
    <w:rsid w:val="00855DDF"/>
    <w:rsid w:val="00855E20"/>
    <w:rsid w:val="00855E57"/>
    <w:rsid w:val="00855EB0"/>
    <w:rsid w:val="00855ECA"/>
    <w:rsid w:val="00855F5E"/>
    <w:rsid w:val="00855F8D"/>
    <w:rsid w:val="00855FEC"/>
    <w:rsid w:val="0085601A"/>
    <w:rsid w:val="0085625D"/>
    <w:rsid w:val="00856274"/>
    <w:rsid w:val="00856290"/>
    <w:rsid w:val="008562C0"/>
    <w:rsid w:val="008562CB"/>
    <w:rsid w:val="0085630E"/>
    <w:rsid w:val="00856332"/>
    <w:rsid w:val="0085635F"/>
    <w:rsid w:val="00856381"/>
    <w:rsid w:val="00856423"/>
    <w:rsid w:val="0085649A"/>
    <w:rsid w:val="008564BA"/>
    <w:rsid w:val="00856541"/>
    <w:rsid w:val="00856546"/>
    <w:rsid w:val="0085657B"/>
    <w:rsid w:val="00856613"/>
    <w:rsid w:val="008566CA"/>
    <w:rsid w:val="008566F7"/>
    <w:rsid w:val="00856732"/>
    <w:rsid w:val="008567D9"/>
    <w:rsid w:val="008568D9"/>
    <w:rsid w:val="008568E4"/>
    <w:rsid w:val="0085693D"/>
    <w:rsid w:val="008569A9"/>
    <w:rsid w:val="008569C5"/>
    <w:rsid w:val="00856A57"/>
    <w:rsid w:val="00856CB1"/>
    <w:rsid w:val="00856DA8"/>
    <w:rsid w:val="00856E5D"/>
    <w:rsid w:val="00856EEA"/>
    <w:rsid w:val="00856F10"/>
    <w:rsid w:val="00856FA4"/>
    <w:rsid w:val="0085702B"/>
    <w:rsid w:val="00857122"/>
    <w:rsid w:val="008571C9"/>
    <w:rsid w:val="008571CA"/>
    <w:rsid w:val="008571DF"/>
    <w:rsid w:val="008572DE"/>
    <w:rsid w:val="0085730F"/>
    <w:rsid w:val="00857348"/>
    <w:rsid w:val="0085737A"/>
    <w:rsid w:val="0085741D"/>
    <w:rsid w:val="00857512"/>
    <w:rsid w:val="0085754E"/>
    <w:rsid w:val="0085756F"/>
    <w:rsid w:val="008575D7"/>
    <w:rsid w:val="0085774F"/>
    <w:rsid w:val="008577CA"/>
    <w:rsid w:val="008578B8"/>
    <w:rsid w:val="0085791B"/>
    <w:rsid w:val="00857945"/>
    <w:rsid w:val="00857B34"/>
    <w:rsid w:val="00857BAF"/>
    <w:rsid w:val="00857C6B"/>
    <w:rsid w:val="00857D33"/>
    <w:rsid w:val="00857D92"/>
    <w:rsid w:val="00857DD5"/>
    <w:rsid w:val="00857DF9"/>
    <w:rsid w:val="00857EA8"/>
    <w:rsid w:val="00857EE7"/>
    <w:rsid w:val="00857F7B"/>
    <w:rsid w:val="00857FBC"/>
    <w:rsid w:val="00857FE9"/>
    <w:rsid w:val="00857FEE"/>
    <w:rsid w:val="00860077"/>
    <w:rsid w:val="008600B2"/>
    <w:rsid w:val="00860130"/>
    <w:rsid w:val="00860201"/>
    <w:rsid w:val="0086020C"/>
    <w:rsid w:val="00860454"/>
    <w:rsid w:val="008604AE"/>
    <w:rsid w:val="008604C9"/>
    <w:rsid w:val="008604E8"/>
    <w:rsid w:val="00860516"/>
    <w:rsid w:val="00860532"/>
    <w:rsid w:val="00860556"/>
    <w:rsid w:val="008605B2"/>
    <w:rsid w:val="008605E0"/>
    <w:rsid w:val="008605E7"/>
    <w:rsid w:val="008606A2"/>
    <w:rsid w:val="008606E4"/>
    <w:rsid w:val="0086070E"/>
    <w:rsid w:val="0086077F"/>
    <w:rsid w:val="008607BF"/>
    <w:rsid w:val="008607FF"/>
    <w:rsid w:val="00860807"/>
    <w:rsid w:val="00860816"/>
    <w:rsid w:val="0086083C"/>
    <w:rsid w:val="008608A3"/>
    <w:rsid w:val="008608D1"/>
    <w:rsid w:val="008608D4"/>
    <w:rsid w:val="008608F0"/>
    <w:rsid w:val="00860958"/>
    <w:rsid w:val="00860A72"/>
    <w:rsid w:val="00860A83"/>
    <w:rsid w:val="00860AEC"/>
    <w:rsid w:val="00860B39"/>
    <w:rsid w:val="00860B9A"/>
    <w:rsid w:val="00860C0F"/>
    <w:rsid w:val="00860C48"/>
    <w:rsid w:val="00860C96"/>
    <w:rsid w:val="00860CA7"/>
    <w:rsid w:val="00860E12"/>
    <w:rsid w:val="00860E88"/>
    <w:rsid w:val="00860EE7"/>
    <w:rsid w:val="00860F42"/>
    <w:rsid w:val="00861022"/>
    <w:rsid w:val="0086102D"/>
    <w:rsid w:val="0086103B"/>
    <w:rsid w:val="0086105B"/>
    <w:rsid w:val="0086106A"/>
    <w:rsid w:val="008610EC"/>
    <w:rsid w:val="00861382"/>
    <w:rsid w:val="00861445"/>
    <w:rsid w:val="0086154A"/>
    <w:rsid w:val="008615CE"/>
    <w:rsid w:val="008615E3"/>
    <w:rsid w:val="0086160F"/>
    <w:rsid w:val="00861710"/>
    <w:rsid w:val="00861754"/>
    <w:rsid w:val="00861779"/>
    <w:rsid w:val="00861819"/>
    <w:rsid w:val="00861824"/>
    <w:rsid w:val="0086183D"/>
    <w:rsid w:val="00861974"/>
    <w:rsid w:val="008619AA"/>
    <w:rsid w:val="008619D6"/>
    <w:rsid w:val="00861A10"/>
    <w:rsid w:val="00861CA4"/>
    <w:rsid w:val="00861CA7"/>
    <w:rsid w:val="00861DD4"/>
    <w:rsid w:val="00861E3F"/>
    <w:rsid w:val="00861E52"/>
    <w:rsid w:val="00861E9A"/>
    <w:rsid w:val="00861F2D"/>
    <w:rsid w:val="00861FC6"/>
    <w:rsid w:val="0086208C"/>
    <w:rsid w:val="008622B8"/>
    <w:rsid w:val="00862341"/>
    <w:rsid w:val="0086235D"/>
    <w:rsid w:val="00862376"/>
    <w:rsid w:val="00862384"/>
    <w:rsid w:val="008623FD"/>
    <w:rsid w:val="00862422"/>
    <w:rsid w:val="00862490"/>
    <w:rsid w:val="008624A1"/>
    <w:rsid w:val="0086257A"/>
    <w:rsid w:val="00862599"/>
    <w:rsid w:val="008627B2"/>
    <w:rsid w:val="00862813"/>
    <w:rsid w:val="00862874"/>
    <w:rsid w:val="00862914"/>
    <w:rsid w:val="0086292B"/>
    <w:rsid w:val="00862935"/>
    <w:rsid w:val="00862974"/>
    <w:rsid w:val="00862A0F"/>
    <w:rsid w:val="00862B2F"/>
    <w:rsid w:val="00862B61"/>
    <w:rsid w:val="00862B82"/>
    <w:rsid w:val="00862C07"/>
    <w:rsid w:val="00862C36"/>
    <w:rsid w:val="00862C76"/>
    <w:rsid w:val="00862D6A"/>
    <w:rsid w:val="00862D9C"/>
    <w:rsid w:val="00862DAC"/>
    <w:rsid w:val="00862DEA"/>
    <w:rsid w:val="00862F5B"/>
    <w:rsid w:val="00862F6C"/>
    <w:rsid w:val="008630DD"/>
    <w:rsid w:val="00863138"/>
    <w:rsid w:val="008631F6"/>
    <w:rsid w:val="0086326E"/>
    <w:rsid w:val="008632C5"/>
    <w:rsid w:val="00863316"/>
    <w:rsid w:val="00863345"/>
    <w:rsid w:val="00863354"/>
    <w:rsid w:val="008634E6"/>
    <w:rsid w:val="00863512"/>
    <w:rsid w:val="00863567"/>
    <w:rsid w:val="00863591"/>
    <w:rsid w:val="00863724"/>
    <w:rsid w:val="00863988"/>
    <w:rsid w:val="008639A1"/>
    <w:rsid w:val="008639CE"/>
    <w:rsid w:val="00863A36"/>
    <w:rsid w:val="00863B16"/>
    <w:rsid w:val="00863B63"/>
    <w:rsid w:val="00863BCE"/>
    <w:rsid w:val="00863D54"/>
    <w:rsid w:val="00863DDE"/>
    <w:rsid w:val="00863E0C"/>
    <w:rsid w:val="00863E10"/>
    <w:rsid w:val="00863E24"/>
    <w:rsid w:val="00863E62"/>
    <w:rsid w:val="00863E9E"/>
    <w:rsid w:val="00863F0E"/>
    <w:rsid w:val="00863F64"/>
    <w:rsid w:val="00863F77"/>
    <w:rsid w:val="00863FD9"/>
    <w:rsid w:val="0086404C"/>
    <w:rsid w:val="008640C1"/>
    <w:rsid w:val="0086413E"/>
    <w:rsid w:val="00864228"/>
    <w:rsid w:val="0086431C"/>
    <w:rsid w:val="00864323"/>
    <w:rsid w:val="008643BF"/>
    <w:rsid w:val="008643D6"/>
    <w:rsid w:val="008643DE"/>
    <w:rsid w:val="008643E2"/>
    <w:rsid w:val="00864452"/>
    <w:rsid w:val="0086457B"/>
    <w:rsid w:val="008645DF"/>
    <w:rsid w:val="00864639"/>
    <w:rsid w:val="00864688"/>
    <w:rsid w:val="00864698"/>
    <w:rsid w:val="008647BC"/>
    <w:rsid w:val="008648CD"/>
    <w:rsid w:val="0086490F"/>
    <w:rsid w:val="00864A33"/>
    <w:rsid w:val="00864A5F"/>
    <w:rsid w:val="00864B3A"/>
    <w:rsid w:val="00864C3C"/>
    <w:rsid w:val="00864C61"/>
    <w:rsid w:val="00864E30"/>
    <w:rsid w:val="00864EAA"/>
    <w:rsid w:val="00864F00"/>
    <w:rsid w:val="00864F23"/>
    <w:rsid w:val="00864F2A"/>
    <w:rsid w:val="00864FA7"/>
    <w:rsid w:val="0086501D"/>
    <w:rsid w:val="008650E7"/>
    <w:rsid w:val="008651E5"/>
    <w:rsid w:val="00865312"/>
    <w:rsid w:val="0086532B"/>
    <w:rsid w:val="00865456"/>
    <w:rsid w:val="0086555D"/>
    <w:rsid w:val="008655D9"/>
    <w:rsid w:val="00865608"/>
    <w:rsid w:val="008657E8"/>
    <w:rsid w:val="008657FD"/>
    <w:rsid w:val="00865836"/>
    <w:rsid w:val="00865895"/>
    <w:rsid w:val="008658F9"/>
    <w:rsid w:val="00865992"/>
    <w:rsid w:val="00865A00"/>
    <w:rsid w:val="00865A50"/>
    <w:rsid w:val="00865B49"/>
    <w:rsid w:val="00865CF2"/>
    <w:rsid w:val="00865D62"/>
    <w:rsid w:val="00865DED"/>
    <w:rsid w:val="00865E5B"/>
    <w:rsid w:val="0086603B"/>
    <w:rsid w:val="0086620B"/>
    <w:rsid w:val="0086630C"/>
    <w:rsid w:val="00866316"/>
    <w:rsid w:val="008663C1"/>
    <w:rsid w:val="00866418"/>
    <w:rsid w:val="00866484"/>
    <w:rsid w:val="008664BF"/>
    <w:rsid w:val="0086657D"/>
    <w:rsid w:val="008665DC"/>
    <w:rsid w:val="008665F9"/>
    <w:rsid w:val="00866618"/>
    <w:rsid w:val="008666E0"/>
    <w:rsid w:val="00866742"/>
    <w:rsid w:val="00866751"/>
    <w:rsid w:val="008667CF"/>
    <w:rsid w:val="00866842"/>
    <w:rsid w:val="00866865"/>
    <w:rsid w:val="0086692C"/>
    <w:rsid w:val="0086695C"/>
    <w:rsid w:val="00866A74"/>
    <w:rsid w:val="00866B52"/>
    <w:rsid w:val="00866CA2"/>
    <w:rsid w:val="00866CA4"/>
    <w:rsid w:val="00866CD5"/>
    <w:rsid w:val="00866D89"/>
    <w:rsid w:val="00866DEF"/>
    <w:rsid w:val="00866E2B"/>
    <w:rsid w:val="00866E37"/>
    <w:rsid w:val="00866FB0"/>
    <w:rsid w:val="00867004"/>
    <w:rsid w:val="00867172"/>
    <w:rsid w:val="008671C5"/>
    <w:rsid w:val="008672B8"/>
    <w:rsid w:val="008672DF"/>
    <w:rsid w:val="0086730A"/>
    <w:rsid w:val="00867321"/>
    <w:rsid w:val="00867328"/>
    <w:rsid w:val="0086732E"/>
    <w:rsid w:val="0086733F"/>
    <w:rsid w:val="008673F0"/>
    <w:rsid w:val="00867450"/>
    <w:rsid w:val="008674EE"/>
    <w:rsid w:val="00867539"/>
    <w:rsid w:val="008675D7"/>
    <w:rsid w:val="008675F7"/>
    <w:rsid w:val="00867602"/>
    <w:rsid w:val="0086760F"/>
    <w:rsid w:val="00867643"/>
    <w:rsid w:val="00867687"/>
    <w:rsid w:val="008676C4"/>
    <w:rsid w:val="008678D5"/>
    <w:rsid w:val="00867901"/>
    <w:rsid w:val="00867917"/>
    <w:rsid w:val="00867976"/>
    <w:rsid w:val="008679C5"/>
    <w:rsid w:val="008679CA"/>
    <w:rsid w:val="00867A09"/>
    <w:rsid w:val="00867A17"/>
    <w:rsid w:val="00867A38"/>
    <w:rsid w:val="00867A69"/>
    <w:rsid w:val="00867A93"/>
    <w:rsid w:val="00867AAE"/>
    <w:rsid w:val="00867AF9"/>
    <w:rsid w:val="00867B83"/>
    <w:rsid w:val="00867BD1"/>
    <w:rsid w:val="00867BD2"/>
    <w:rsid w:val="00867BEC"/>
    <w:rsid w:val="00867C08"/>
    <w:rsid w:val="00867C73"/>
    <w:rsid w:val="00867CBF"/>
    <w:rsid w:val="00867D12"/>
    <w:rsid w:val="00867D66"/>
    <w:rsid w:val="00867E48"/>
    <w:rsid w:val="00867E4D"/>
    <w:rsid w:val="00867EB0"/>
    <w:rsid w:val="00867ECB"/>
    <w:rsid w:val="00867FE8"/>
    <w:rsid w:val="008700C9"/>
    <w:rsid w:val="008701EC"/>
    <w:rsid w:val="00870200"/>
    <w:rsid w:val="0087026D"/>
    <w:rsid w:val="00870271"/>
    <w:rsid w:val="00870292"/>
    <w:rsid w:val="008702C5"/>
    <w:rsid w:val="00870419"/>
    <w:rsid w:val="00870578"/>
    <w:rsid w:val="00870579"/>
    <w:rsid w:val="008705D7"/>
    <w:rsid w:val="0087070E"/>
    <w:rsid w:val="0087078B"/>
    <w:rsid w:val="0087087A"/>
    <w:rsid w:val="0087093F"/>
    <w:rsid w:val="00870A9D"/>
    <w:rsid w:val="00870AE1"/>
    <w:rsid w:val="00870B30"/>
    <w:rsid w:val="00870B32"/>
    <w:rsid w:val="00870B6D"/>
    <w:rsid w:val="00870BD7"/>
    <w:rsid w:val="00870CBB"/>
    <w:rsid w:val="00870D12"/>
    <w:rsid w:val="00870D20"/>
    <w:rsid w:val="00870D8F"/>
    <w:rsid w:val="00870EA3"/>
    <w:rsid w:val="00870F69"/>
    <w:rsid w:val="00870F91"/>
    <w:rsid w:val="0087103B"/>
    <w:rsid w:val="0087107F"/>
    <w:rsid w:val="0087109C"/>
    <w:rsid w:val="0087109E"/>
    <w:rsid w:val="008710F3"/>
    <w:rsid w:val="00871167"/>
    <w:rsid w:val="0087116B"/>
    <w:rsid w:val="008711A1"/>
    <w:rsid w:val="008711CA"/>
    <w:rsid w:val="008711F1"/>
    <w:rsid w:val="008713FF"/>
    <w:rsid w:val="008715BB"/>
    <w:rsid w:val="00871686"/>
    <w:rsid w:val="008717E5"/>
    <w:rsid w:val="00871877"/>
    <w:rsid w:val="00871894"/>
    <w:rsid w:val="00871963"/>
    <w:rsid w:val="008719EE"/>
    <w:rsid w:val="00871A1D"/>
    <w:rsid w:val="00871AD8"/>
    <w:rsid w:val="00871BC2"/>
    <w:rsid w:val="00871C42"/>
    <w:rsid w:val="00871C5D"/>
    <w:rsid w:val="00871C70"/>
    <w:rsid w:val="00871CF7"/>
    <w:rsid w:val="00871D54"/>
    <w:rsid w:val="00871D5A"/>
    <w:rsid w:val="00871D77"/>
    <w:rsid w:val="00871DBA"/>
    <w:rsid w:val="00871E3C"/>
    <w:rsid w:val="00871E53"/>
    <w:rsid w:val="00871EA7"/>
    <w:rsid w:val="00871ECF"/>
    <w:rsid w:val="00871F0C"/>
    <w:rsid w:val="00871F13"/>
    <w:rsid w:val="008720CF"/>
    <w:rsid w:val="00872100"/>
    <w:rsid w:val="0087215E"/>
    <w:rsid w:val="0087217A"/>
    <w:rsid w:val="008722B6"/>
    <w:rsid w:val="008722C3"/>
    <w:rsid w:val="008723FF"/>
    <w:rsid w:val="00872410"/>
    <w:rsid w:val="008724DA"/>
    <w:rsid w:val="0087258B"/>
    <w:rsid w:val="008725E8"/>
    <w:rsid w:val="00872611"/>
    <w:rsid w:val="0087267D"/>
    <w:rsid w:val="008727B3"/>
    <w:rsid w:val="008727BC"/>
    <w:rsid w:val="00872827"/>
    <w:rsid w:val="00872920"/>
    <w:rsid w:val="00872935"/>
    <w:rsid w:val="008729A4"/>
    <w:rsid w:val="00872A05"/>
    <w:rsid w:val="00872A0F"/>
    <w:rsid w:val="00872AB1"/>
    <w:rsid w:val="00872AEB"/>
    <w:rsid w:val="00872C05"/>
    <w:rsid w:val="00872C46"/>
    <w:rsid w:val="00872C6F"/>
    <w:rsid w:val="00872D53"/>
    <w:rsid w:val="00872E61"/>
    <w:rsid w:val="00872E85"/>
    <w:rsid w:val="00872EB0"/>
    <w:rsid w:val="00872F46"/>
    <w:rsid w:val="00872F52"/>
    <w:rsid w:val="00872F5C"/>
    <w:rsid w:val="00873013"/>
    <w:rsid w:val="00873024"/>
    <w:rsid w:val="00873035"/>
    <w:rsid w:val="0087304E"/>
    <w:rsid w:val="0087304F"/>
    <w:rsid w:val="008730C7"/>
    <w:rsid w:val="00873139"/>
    <w:rsid w:val="008731BF"/>
    <w:rsid w:val="00873345"/>
    <w:rsid w:val="008733A3"/>
    <w:rsid w:val="0087343C"/>
    <w:rsid w:val="0087345F"/>
    <w:rsid w:val="00873494"/>
    <w:rsid w:val="008734C6"/>
    <w:rsid w:val="008734CF"/>
    <w:rsid w:val="008734E1"/>
    <w:rsid w:val="008734F4"/>
    <w:rsid w:val="0087352E"/>
    <w:rsid w:val="0087365D"/>
    <w:rsid w:val="00873836"/>
    <w:rsid w:val="00873868"/>
    <w:rsid w:val="008738FC"/>
    <w:rsid w:val="00873932"/>
    <w:rsid w:val="00873961"/>
    <w:rsid w:val="008739F1"/>
    <w:rsid w:val="00873A57"/>
    <w:rsid w:val="00873AAB"/>
    <w:rsid w:val="00873ACD"/>
    <w:rsid w:val="00873B83"/>
    <w:rsid w:val="00873B92"/>
    <w:rsid w:val="00873BBF"/>
    <w:rsid w:val="00873C3C"/>
    <w:rsid w:val="00873C68"/>
    <w:rsid w:val="00873C9F"/>
    <w:rsid w:val="00873CE2"/>
    <w:rsid w:val="00873CE4"/>
    <w:rsid w:val="00873D48"/>
    <w:rsid w:val="00873D73"/>
    <w:rsid w:val="00873DE1"/>
    <w:rsid w:val="00873E90"/>
    <w:rsid w:val="00873F26"/>
    <w:rsid w:val="00873FF2"/>
    <w:rsid w:val="00874097"/>
    <w:rsid w:val="008740DE"/>
    <w:rsid w:val="00874162"/>
    <w:rsid w:val="008742CE"/>
    <w:rsid w:val="008742E2"/>
    <w:rsid w:val="00874305"/>
    <w:rsid w:val="00874315"/>
    <w:rsid w:val="008743E7"/>
    <w:rsid w:val="008743ED"/>
    <w:rsid w:val="008743FE"/>
    <w:rsid w:val="00874543"/>
    <w:rsid w:val="0087459E"/>
    <w:rsid w:val="0087468A"/>
    <w:rsid w:val="008746AC"/>
    <w:rsid w:val="008746E6"/>
    <w:rsid w:val="00874786"/>
    <w:rsid w:val="00874796"/>
    <w:rsid w:val="008747B1"/>
    <w:rsid w:val="008748A0"/>
    <w:rsid w:val="008748A9"/>
    <w:rsid w:val="008748B0"/>
    <w:rsid w:val="00874911"/>
    <w:rsid w:val="00874918"/>
    <w:rsid w:val="00874989"/>
    <w:rsid w:val="008749F2"/>
    <w:rsid w:val="00874A6A"/>
    <w:rsid w:val="00874A8B"/>
    <w:rsid w:val="00874BCE"/>
    <w:rsid w:val="00874CBA"/>
    <w:rsid w:val="00874CCB"/>
    <w:rsid w:val="00874D78"/>
    <w:rsid w:val="00874E0C"/>
    <w:rsid w:val="00874E25"/>
    <w:rsid w:val="00874E2D"/>
    <w:rsid w:val="00874EB9"/>
    <w:rsid w:val="00874FB3"/>
    <w:rsid w:val="00875144"/>
    <w:rsid w:val="0087515F"/>
    <w:rsid w:val="00875160"/>
    <w:rsid w:val="00875172"/>
    <w:rsid w:val="0087518D"/>
    <w:rsid w:val="008751F0"/>
    <w:rsid w:val="0087526B"/>
    <w:rsid w:val="008753C4"/>
    <w:rsid w:val="0087549A"/>
    <w:rsid w:val="00875552"/>
    <w:rsid w:val="008755C4"/>
    <w:rsid w:val="008755D6"/>
    <w:rsid w:val="0087561E"/>
    <w:rsid w:val="0087564D"/>
    <w:rsid w:val="0087568C"/>
    <w:rsid w:val="0087569D"/>
    <w:rsid w:val="008756EF"/>
    <w:rsid w:val="0087578D"/>
    <w:rsid w:val="008757C4"/>
    <w:rsid w:val="00875816"/>
    <w:rsid w:val="00875856"/>
    <w:rsid w:val="00875881"/>
    <w:rsid w:val="008758AC"/>
    <w:rsid w:val="008758F5"/>
    <w:rsid w:val="008759B4"/>
    <w:rsid w:val="008759EC"/>
    <w:rsid w:val="00875A71"/>
    <w:rsid w:val="00875A8B"/>
    <w:rsid w:val="00875A91"/>
    <w:rsid w:val="00875ABA"/>
    <w:rsid w:val="00875AD9"/>
    <w:rsid w:val="00875AFE"/>
    <w:rsid w:val="00875B6A"/>
    <w:rsid w:val="00875BF2"/>
    <w:rsid w:val="00875C37"/>
    <w:rsid w:val="00875C93"/>
    <w:rsid w:val="00875D2D"/>
    <w:rsid w:val="00875D3D"/>
    <w:rsid w:val="00875D55"/>
    <w:rsid w:val="00875D57"/>
    <w:rsid w:val="00875D82"/>
    <w:rsid w:val="00875DB2"/>
    <w:rsid w:val="00875DC3"/>
    <w:rsid w:val="00875DD9"/>
    <w:rsid w:val="00875DEA"/>
    <w:rsid w:val="00875E5E"/>
    <w:rsid w:val="00875E91"/>
    <w:rsid w:val="00875E9E"/>
    <w:rsid w:val="00875F89"/>
    <w:rsid w:val="0087600C"/>
    <w:rsid w:val="00876015"/>
    <w:rsid w:val="00876086"/>
    <w:rsid w:val="008760CD"/>
    <w:rsid w:val="00876296"/>
    <w:rsid w:val="008762A9"/>
    <w:rsid w:val="00876387"/>
    <w:rsid w:val="008764CC"/>
    <w:rsid w:val="008764E0"/>
    <w:rsid w:val="008765AD"/>
    <w:rsid w:val="00876669"/>
    <w:rsid w:val="00876697"/>
    <w:rsid w:val="008766A3"/>
    <w:rsid w:val="008766C7"/>
    <w:rsid w:val="0087680F"/>
    <w:rsid w:val="0087681A"/>
    <w:rsid w:val="00876834"/>
    <w:rsid w:val="00876877"/>
    <w:rsid w:val="00876932"/>
    <w:rsid w:val="00876A5C"/>
    <w:rsid w:val="00876BB2"/>
    <w:rsid w:val="00876BF5"/>
    <w:rsid w:val="00876C84"/>
    <w:rsid w:val="00876CBE"/>
    <w:rsid w:val="00876FF7"/>
    <w:rsid w:val="00876FF8"/>
    <w:rsid w:val="0087712F"/>
    <w:rsid w:val="00877232"/>
    <w:rsid w:val="00877294"/>
    <w:rsid w:val="008773DC"/>
    <w:rsid w:val="008774F4"/>
    <w:rsid w:val="008775EE"/>
    <w:rsid w:val="00877610"/>
    <w:rsid w:val="00877618"/>
    <w:rsid w:val="00877682"/>
    <w:rsid w:val="008776C4"/>
    <w:rsid w:val="008777C9"/>
    <w:rsid w:val="0087789F"/>
    <w:rsid w:val="008778E9"/>
    <w:rsid w:val="008779DA"/>
    <w:rsid w:val="00877A41"/>
    <w:rsid w:val="00877A5B"/>
    <w:rsid w:val="00877AC1"/>
    <w:rsid w:val="00877B10"/>
    <w:rsid w:val="00877BC4"/>
    <w:rsid w:val="00877ED0"/>
    <w:rsid w:val="00877F87"/>
    <w:rsid w:val="00877FB2"/>
    <w:rsid w:val="008800B0"/>
    <w:rsid w:val="008800E2"/>
    <w:rsid w:val="00880106"/>
    <w:rsid w:val="00880161"/>
    <w:rsid w:val="0088029E"/>
    <w:rsid w:val="008802A4"/>
    <w:rsid w:val="00880368"/>
    <w:rsid w:val="0088038D"/>
    <w:rsid w:val="008803B5"/>
    <w:rsid w:val="0088040E"/>
    <w:rsid w:val="0088040F"/>
    <w:rsid w:val="00880414"/>
    <w:rsid w:val="00880516"/>
    <w:rsid w:val="00880543"/>
    <w:rsid w:val="00880582"/>
    <w:rsid w:val="008805C6"/>
    <w:rsid w:val="00880640"/>
    <w:rsid w:val="008806F1"/>
    <w:rsid w:val="00880705"/>
    <w:rsid w:val="00880747"/>
    <w:rsid w:val="00880779"/>
    <w:rsid w:val="00880923"/>
    <w:rsid w:val="00880940"/>
    <w:rsid w:val="00880995"/>
    <w:rsid w:val="00880A81"/>
    <w:rsid w:val="00880B72"/>
    <w:rsid w:val="00880C78"/>
    <w:rsid w:val="00880CCD"/>
    <w:rsid w:val="00880D34"/>
    <w:rsid w:val="00880DE5"/>
    <w:rsid w:val="00880E01"/>
    <w:rsid w:val="00880E7F"/>
    <w:rsid w:val="00880F4E"/>
    <w:rsid w:val="00880F5C"/>
    <w:rsid w:val="00880F7F"/>
    <w:rsid w:val="00880F92"/>
    <w:rsid w:val="00881013"/>
    <w:rsid w:val="008810EE"/>
    <w:rsid w:val="0088113D"/>
    <w:rsid w:val="0088113F"/>
    <w:rsid w:val="00881149"/>
    <w:rsid w:val="00881159"/>
    <w:rsid w:val="00881274"/>
    <w:rsid w:val="0088128D"/>
    <w:rsid w:val="008812A6"/>
    <w:rsid w:val="008812C4"/>
    <w:rsid w:val="008812F5"/>
    <w:rsid w:val="0088132C"/>
    <w:rsid w:val="00881349"/>
    <w:rsid w:val="008813E6"/>
    <w:rsid w:val="00881486"/>
    <w:rsid w:val="008814AB"/>
    <w:rsid w:val="008814D4"/>
    <w:rsid w:val="00881544"/>
    <w:rsid w:val="0088160D"/>
    <w:rsid w:val="00881636"/>
    <w:rsid w:val="0088164A"/>
    <w:rsid w:val="0088166B"/>
    <w:rsid w:val="008816C3"/>
    <w:rsid w:val="00881863"/>
    <w:rsid w:val="008818A7"/>
    <w:rsid w:val="008818B8"/>
    <w:rsid w:val="00881947"/>
    <w:rsid w:val="00881976"/>
    <w:rsid w:val="008819CA"/>
    <w:rsid w:val="008819DD"/>
    <w:rsid w:val="008819FB"/>
    <w:rsid w:val="00881A69"/>
    <w:rsid w:val="00881A76"/>
    <w:rsid w:val="00881AB9"/>
    <w:rsid w:val="00881AF4"/>
    <w:rsid w:val="00881BE0"/>
    <w:rsid w:val="00881C75"/>
    <w:rsid w:val="00881C82"/>
    <w:rsid w:val="00881D5D"/>
    <w:rsid w:val="00881DFB"/>
    <w:rsid w:val="00881E13"/>
    <w:rsid w:val="00881F23"/>
    <w:rsid w:val="00881F98"/>
    <w:rsid w:val="00882009"/>
    <w:rsid w:val="00882100"/>
    <w:rsid w:val="00882198"/>
    <w:rsid w:val="008821B4"/>
    <w:rsid w:val="00882254"/>
    <w:rsid w:val="008822C9"/>
    <w:rsid w:val="008822CC"/>
    <w:rsid w:val="00882342"/>
    <w:rsid w:val="008823EE"/>
    <w:rsid w:val="00882418"/>
    <w:rsid w:val="0088249C"/>
    <w:rsid w:val="008825A1"/>
    <w:rsid w:val="008827B7"/>
    <w:rsid w:val="0088281B"/>
    <w:rsid w:val="0088288B"/>
    <w:rsid w:val="0088289B"/>
    <w:rsid w:val="00882A86"/>
    <w:rsid w:val="00882BDF"/>
    <w:rsid w:val="00882C22"/>
    <w:rsid w:val="00882C27"/>
    <w:rsid w:val="00882C6E"/>
    <w:rsid w:val="00882C92"/>
    <w:rsid w:val="00882DDF"/>
    <w:rsid w:val="00882FAF"/>
    <w:rsid w:val="0088303D"/>
    <w:rsid w:val="00883093"/>
    <w:rsid w:val="00883244"/>
    <w:rsid w:val="00883326"/>
    <w:rsid w:val="00883378"/>
    <w:rsid w:val="008833D5"/>
    <w:rsid w:val="008833D9"/>
    <w:rsid w:val="0088343C"/>
    <w:rsid w:val="008834B5"/>
    <w:rsid w:val="00883582"/>
    <w:rsid w:val="00883624"/>
    <w:rsid w:val="00883650"/>
    <w:rsid w:val="008836CF"/>
    <w:rsid w:val="008837B1"/>
    <w:rsid w:val="00883868"/>
    <w:rsid w:val="0088389D"/>
    <w:rsid w:val="0088395B"/>
    <w:rsid w:val="0088397C"/>
    <w:rsid w:val="00883A7F"/>
    <w:rsid w:val="00883AA4"/>
    <w:rsid w:val="00883BAC"/>
    <w:rsid w:val="00883C42"/>
    <w:rsid w:val="00883C7D"/>
    <w:rsid w:val="00883CE7"/>
    <w:rsid w:val="00883D14"/>
    <w:rsid w:val="00883D5E"/>
    <w:rsid w:val="00883D73"/>
    <w:rsid w:val="00883E15"/>
    <w:rsid w:val="00883E29"/>
    <w:rsid w:val="00883EC6"/>
    <w:rsid w:val="00883EDD"/>
    <w:rsid w:val="00883FB4"/>
    <w:rsid w:val="00883FC6"/>
    <w:rsid w:val="00883FC7"/>
    <w:rsid w:val="0088401F"/>
    <w:rsid w:val="00884066"/>
    <w:rsid w:val="008841FB"/>
    <w:rsid w:val="008843A6"/>
    <w:rsid w:val="0088441E"/>
    <w:rsid w:val="00884453"/>
    <w:rsid w:val="00884599"/>
    <w:rsid w:val="0088459E"/>
    <w:rsid w:val="00884629"/>
    <w:rsid w:val="0088468C"/>
    <w:rsid w:val="008847C9"/>
    <w:rsid w:val="00884803"/>
    <w:rsid w:val="0088480A"/>
    <w:rsid w:val="00884854"/>
    <w:rsid w:val="008848D5"/>
    <w:rsid w:val="00884919"/>
    <w:rsid w:val="00884926"/>
    <w:rsid w:val="008849B5"/>
    <w:rsid w:val="00884A7E"/>
    <w:rsid w:val="00884AF1"/>
    <w:rsid w:val="00884B99"/>
    <w:rsid w:val="00884C79"/>
    <w:rsid w:val="00884D3C"/>
    <w:rsid w:val="00884D60"/>
    <w:rsid w:val="00884D69"/>
    <w:rsid w:val="00884E92"/>
    <w:rsid w:val="00884F2B"/>
    <w:rsid w:val="00884F61"/>
    <w:rsid w:val="00884FC0"/>
    <w:rsid w:val="00884FF5"/>
    <w:rsid w:val="0088500D"/>
    <w:rsid w:val="00885062"/>
    <w:rsid w:val="00885078"/>
    <w:rsid w:val="00885087"/>
    <w:rsid w:val="0088531D"/>
    <w:rsid w:val="00885351"/>
    <w:rsid w:val="00885426"/>
    <w:rsid w:val="0088546D"/>
    <w:rsid w:val="00885483"/>
    <w:rsid w:val="00885577"/>
    <w:rsid w:val="008855F0"/>
    <w:rsid w:val="00885640"/>
    <w:rsid w:val="00885664"/>
    <w:rsid w:val="0088573B"/>
    <w:rsid w:val="00885760"/>
    <w:rsid w:val="00885833"/>
    <w:rsid w:val="00885954"/>
    <w:rsid w:val="00885997"/>
    <w:rsid w:val="00885A3E"/>
    <w:rsid w:val="00885B24"/>
    <w:rsid w:val="00885B41"/>
    <w:rsid w:val="00885C3B"/>
    <w:rsid w:val="00885C55"/>
    <w:rsid w:val="00885C8C"/>
    <w:rsid w:val="00885DC9"/>
    <w:rsid w:val="00885E60"/>
    <w:rsid w:val="00885E7C"/>
    <w:rsid w:val="00885F96"/>
    <w:rsid w:val="00886072"/>
    <w:rsid w:val="008860A8"/>
    <w:rsid w:val="008860AF"/>
    <w:rsid w:val="0088610C"/>
    <w:rsid w:val="0088612D"/>
    <w:rsid w:val="00886163"/>
    <w:rsid w:val="0088617E"/>
    <w:rsid w:val="0088621A"/>
    <w:rsid w:val="008862E5"/>
    <w:rsid w:val="0088647D"/>
    <w:rsid w:val="0088653B"/>
    <w:rsid w:val="008865DB"/>
    <w:rsid w:val="0088669B"/>
    <w:rsid w:val="008866C9"/>
    <w:rsid w:val="008866EB"/>
    <w:rsid w:val="008866F8"/>
    <w:rsid w:val="0088681E"/>
    <w:rsid w:val="00886822"/>
    <w:rsid w:val="008868BF"/>
    <w:rsid w:val="008868DC"/>
    <w:rsid w:val="008869BA"/>
    <w:rsid w:val="008869CE"/>
    <w:rsid w:val="008869D3"/>
    <w:rsid w:val="008869DD"/>
    <w:rsid w:val="008869F1"/>
    <w:rsid w:val="00886A05"/>
    <w:rsid w:val="00886A15"/>
    <w:rsid w:val="00886AC0"/>
    <w:rsid w:val="00886ACD"/>
    <w:rsid w:val="00886B03"/>
    <w:rsid w:val="00886B7A"/>
    <w:rsid w:val="00886C4B"/>
    <w:rsid w:val="00886CFB"/>
    <w:rsid w:val="00886D3B"/>
    <w:rsid w:val="00886D63"/>
    <w:rsid w:val="00886E2F"/>
    <w:rsid w:val="00886F0E"/>
    <w:rsid w:val="00886F24"/>
    <w:rsid w:val="00886FB1"/>
    <w:rsid w:val="00886FCD"/>
    <w:rsid w:val="00886FF0"/>
    <w:rsid w:val="008870D9"/>
    <w:rsid w:val="008871D0"/>
    <w:rsid w:val="0088726E"/>
    <w:rsid w:val="00887301"/>
    <w:rsid w:val="00887336"/>
    <w:rsid w:val="00887345"/>
    <w:rsid w:val="00887358"/>
    <w:rsid w:val="0088760C"/>
    <w:rsid w:val="00887684"/>
    <w:rsid w:val="008876C8"/>
    <w:rsid w:val="008877E1"/>
    <w:rsid w:val="008878CF"/>
    <w:rsid w:val="008879F3"/>
    <w:rsid w:val="00887A92"/>
    <w:rsid w:val="00887AFB"/>
    <w:rsid w:val="00887B4D"/>
    <w:rsid w:val="00887C1F"/>
    <w:rsid w:val="00887CAA"/>
    <w:rsid w:val="00887CDA"/>
    <w:rsid w:val="00887D1E"/>
    <w:rsid w:val="00887D25"/>
    <w:rsid w:val="00887DFC"/>
    <w:rsid w:val="00887EEF"/>
    <w:rsid w:val="00887F1A"/>
    <w:rsid w:val="00887F31"/>
    <w:rsid w:val="00887F86"/>
    <w:rsid w:val="00890002"/>
    <w:rsid w:val="0089018C"/>
    <w:rsid w:val="008901B1"/>
    <w:rsid w:val="0089023D"/>
    <w:rsid w:val="00890250"/>
    <w:rsid w:val="0089042A"/>
    <w:rsid w:val="008904CE"/>
    <w:rsid w:val="0089056C"/>
    <w:rsid w:val="00890626"/>
    <w:rsid w:val="0089063D"/>
    <w:rsid w:val="00890647"/>
    <w:rsid w:val="00890664"/>
    <w:rsid w:val="008906BA"/>
    <w:rsid w:val="00890748"/>
    <w:rsid w:val="00890776"/>
    <w:rsid w:val="008907DB"/>
    <w:rsid w:val="0089089F"/>
    <w:rsid w:val="00890923"/>
    <w:rsid w:val="00890945"/>
    <w:rsid w:val="00890A4E"/>
    <w:rsid w:val="00890A98"/>
    <w:rsid w:val="00890CDC"/>
    <w:rsid w:val="00890D2D"/>
    <w:rsid w:val="00890EA3"/>
    <w:rsid w:val="00890EA4"/>
    <w:rsid w:val="00890EE1"/>
    <w:rsid w:val="00890F05"/>
    <w:rsid w:val="00890FD9"/>
    <w:rsid w:val="0089121D"/>
    <w:rsid w:val="00891223"/>
    <w:rsid w:val="0089122B"/>
    <w:rsid w:val="008912BD"/>
    <w:rsid w:val="00891388"/>
    <w:rsid w:val="00891389"/>
    <w:rsid w:val="00891458"/>
    <w:rsid w:val="00891462"/>
    <w:rsid w:val="00891468"/>
    <w:rsid w:val="00891473"/>
    <w:rsid w:val="00891508"/>
    <w:rsid w:val="0089150D"/>
    <w:rsid w:val="0089168F"/>
    <w:rsid w:val="008916C7"/>
    <w:rsid w:val="00891719"/>
    <w:rsid w:val="0089178A"/>
    <w:rsid w:val="0089185D"/>
    <w:rsid w:val="0089198B"/>
    <w:rsid w:val="00891A30"/>
    <w:rsid w:val="00891AD1"/>
    <w:rsid w:val="00891B69"/>
    <w:rsid w:val="00891BFB"/>
    <w:rsid w:val="00891C9D"/>
    <w:rsid w:val="00891CAB"/>
    <w:rsid w:val="00891D0A"/>
    <w:rsid w:val="00891D33"/>
    <w:rsid w:val="00891EF7"/>
    <w:rsid w:val="00891F79"/>
    <w:rsid w:val="00891FA6"/>
    <w:rsid w:val="0089206C"/>
    <w:rsid w:val="008920F2"/>
    <w:rsid w:val="00892128"/>
    <w:rsid w:val="00892182"/>
    <w:rsid w:val="008921B8"/>
    <w:rsid w:val="008921CC"/>
    <w:rsid w:val="0089227C"/>
    <w:rsid w:val="00892428"/>
    <w:rsid w:val="008924A8"/>
    <w:rsid w:val="008924BC"/>
    <w:rsid w:val="008925C4"/>
    <w:rsid w:val="0089261D"/>
    <w:rsid w:val="0089263A"/>
    <w:rsid w:val="008926B2"/>
    <w:rsid w:val="008927C1"/>
    <w:rsid w:val="008927EF"/>
    <w:rsid w:val="00892833"/>
    <w:rsid w:val="00892892"/>
    <w:rsid w:val="008928EE"/>
    <w:rsid w:val="008929C1"/>
    <w:rsid w:val="00892A15"/>
    <w:rsid w:val="00892A1D"/>
    <w:rsid w:val="00892A73"/>
    <w:rsid w:val="00892B33"/>
    <w:rsid w:val="00892B3D"/>
    <w:rsid w:val="00892B59"/>
    <w:rsid w:val="00892CED"/>
    <w:rsid w:val="00892DF5"/>
    <w:rsid w:val="00892DFF"/>
    <w:rsid w:val="00892EBB"/>
    <w:rsid w:val="00892F88"/>
    <w:rsid w:val="00893098"/>
    <w:rsid w:val="008930BD"/>
    <w:rsid w:val="00893102"/>
    <w:rsid w:val="00893142"/>
    <w:rsid w:val="00893369"/>
    <w:rsid w:val="0089342D"/>
    <w:rsid w:val="00893552"/>
    <w:rsid w:val="0089359B"/>
    <w:rsid w:val="0089359D"/>
    <w:rsid w:val="008936BA"/>
    <w:rsid w:val="008937CD"/>
    <w:rsid w:val="008937F4"/>
    <w:rsid w:val="008937FC"/>
    <w:rsid w:val="00893875"/>
    <w:rsid w:val="008939E9"/>
    <w:rsid w:val="00893D1F"/>
    <w:rsid w:val="00893D33"/>
    <w:rsid w:val="00893D9B"/>
    <w:rsid w:val="00893E21"/>
    <w:rsid w:val="00893E80"/>
    <w:rsid w:val="00893E8F"/>
    <w:rsid w:val="00893E9F"/>
    <w:rsid w:val="00894065"/>
    <w:rsid w:val="0089406E"/>
    <w:rsid w:val="00894160"/>
    <w:rsid w:val="008942DA"/>
    <w:rsid w:val="008943DE"/>
    <w:rsid w:val="008943F1"/>
    <w:rsid w:val="00894504"/>
    <w:rsid w:val="00894512"/>
    <w:rsid w:val="008945D1"/>
    <w:rsid w:val="008945F8"/>
    <w:rsid w:val="00894651"/>
    <w:rsid w:val="00894677"/>
    <w:rsid w:val="008947FA"/>
    <w:rsid w:val="00894839"/>
    <w:rsid w:val="00894869"/>
    <w:rsid w:val="0089493A"/>
    <w:rsid w:val="00894C75"/>
    <w:rsid w:val="00894CFF"/>
    <w:rsid w:val="00894DBF"/>
    <w:rsid w:val="00894E13"/>
    <w:rsid w:val="00894EB5"/>
    <w:rsid w:val="00894FCB"/>
    <w:rsid w:val="0089501E"/>
    <w:rsid w:val="00895041"/>
    <w:rsid w:val="00895199"/>
    <w:rsid w:val="008951BC"/>
    <w:rsid w:val="008951EB"/>
    <w:rsid w:val="0089522C"/>
    <w:rsid w:val="00895306"/>
    <w:rsid w:val="0089538E"/>
    <w:rsid w:val="00895394"/>
    <w:rsid w:val="0089549C"/>
    <w:rsid w:val="008954AD"/>
    <w:rsid w:val="008954FC"/>
    <w:rsid w:val="0089566A"/>
    <w:rsid w:val="008956F3"/>
    <w:rsid w:val="008957BE"/>
    <w:rsid w:val="008957E8"/>
    <w:rsid w:val="00895846"/>
    <w:rsid w:val="00895879"/>
    <w:rsid w:val="0089588C"/>
    <w:rsid w:val="00895899"/>
    <w:rsid w:val="008958B7"/>
    <w:rsid w:val="00895908"/>
    <w:rsid w:val="00895964"/>
    <w:rsid w:val="00895A86"/>
    <w:rsid w:val="00895C29"/>
    <w:rsid w:val="00895C5B"/>
    <w:rsid w:val="00895CAC"/>
    <w:rsid w:val="00895CDC"/>
    <w:rsid w:val="00895D42"/>
    <w:rsid w:val="00895DB9"/>
    <w:rsid w:val="00895DEE"/>
    <w:rsid w:val="00895DFD"/>
    <w:rsid w:val="00895EC0"/>
    <w:rsid w:val="00895FA3"/>
    <w:rsid w:val="00895FEE"/>
    <w:rsid w:val="00896113"/>
    <w:rsid w:val="00896145"/>
    <w:rsid w:val="00896178"/>
    <w:rsid w:val="008961A8"/>
    <w:rsid w:val="008963EF"/>
    <w:rsid w:val="0089647B"/>
    <w:rsid w:val="00896592"/>
    <w:rsid w:val="008965D5"/>
    <w:rsid w:val="0089660F"/>
    <w:rsid w:val="00896641"/>
    <w:rsid w:val="008967E4"/>
    <w:rsid w:val="00896816"/>
    <w:rsid w:val="008968A8"/>
    <w:rsid w:val="0089696B"/>
    <w:rsid w:val="008969FC"/>
    <w:rsid w:val="00896A3A"/>
    <w:rsid w:val="00896A40"/>
    <w:rsid w:val="00896A4B"/>
    <w:rsid w:val="00896A65"/>
    <w:rsid w:val="00896AF8"/>
    <w:rsid w:val="00896B04"/>
    <w:rsid w:val="00896B60"/>
    <w:rsid w:val="00896C46"/>
    <w:rsid w:val="00896E15"/>
    <w:rsid w:val="00896E8E"/>
    <w:rsid w:val="00896EA3"/>
    <w:rsid w:val="00896EE9"/>
    <w:rsid w:val="00896EF6"/>
    <w:rsid w:val="00896F21"/>
    <w:rsid w:val="00896F2C"/>
    <w:rsid w:val="00897083"/>
    <w:rsid w:val="008970C3"/>
    <w:rsid w:val="00897127"/>
    <w:rsid w:val="00897311"/>
    <w:rsid w:val="00897476"/>
    <w:rsid w:val="0089762B"/>
    <w:rsid w:val="00897674"/>
    <w:rsid w:val="0089770E"/>
    <w:rsid w:val="00897790"/>
    <w:rsid w:val="008977B6"/>
    <w:rsid w:val="008977F4"/>
    <w:rsid w:val="00897929"/>
    <w:rsid w:val="00897969"/>
    <w:rsid w:val="00897A0C"/>
    <w:rsid w:val="00897A21"/>
    <w:rsid w:val="00897B51"/>
    <w:rsid w:val="00897CA8"/>
    <w:rsid w:val="00897D8F"/>
    <w:rsid w:val="00897E26"/>
    <w:rsid w:val="00897E6B"/>
    <w:rsid w:val="00897E85"/>
    <w:rsid w:val="00897EE6"/>
    <w:rsid w:val="00897F0B"/>
    <w:rsid w:val="00897F34"/>
    <w:rsid w:val="008A010F"/>
    <w:rsid w:val="008A01E3"/>
    <w:rsid w:val="008A0257"/>
    <w:rsid w:val="008A031C"/>
    <w:rsid w:val="008A032E"/>
    <w:rsid w:val="008A0354"/>
    <w:rsid w:val="008A035D"/>
    <w:rsid w:val="008A0522"/>
    <w:rsid w:val="008A0548"/>
    <w:rsid w:val="008A057E"/>
    <w:rsid w:val="008A058E"/>
    <w:rsid w:val="008A0668"/>
    <w:rsid w:val="008A068E"/>
    <w:rsid w:val="008A076A"/>
    <w:rsid w:val="008A07BD"/>
    <w:rsid w:val="008A0858"/>
    <w:rsid w:val="008A0939"/>
    <w:rsid w:val="008A0952"/>
    <w:rsid w:val="008A0A43"/>
    <w:rsid w:val="008A0AE9"/>
    <w:rsid w:val="008A0B29"/>
    <w:rsid w:val="008A0B3D"/>
    <w:rsid w:val="008A0B9E"/>
    <w:rsid w:val="008A0BCC"/>
    <w:rsid w:val="008A0C1C"/>
    <w:rsid w:val="008A0C1E"/>
    <w:rsid w:val="008A0C7C"/>
    <w:rsid w:val="008A0CB7"/>
    <w:rsid w:val="008A0CF1"/>
    <w:rsid w:val="008A0DA7"/>
    <w:rsid w:val="008A0DF4"/>
    <w:rsid w:val="008A0E19"/>
    <w:rsid w:val="008A0E96"/>
    <w:rsid w:val="008A0F1E"/>
    <w:rsid w:val="008A1062"/>
    <w:rsid w:val="008A10D7"/>
    <w:rsid w:val="008A126D"/>
    <w:rsid w:val="008A128E"/>
    <w:rsid w:val="008A12EB"/>
    <w:rsid w:val="008A1329"/>
    <w:rsid w:val="008A1489"/>
    <w:rsid w:val="008A1513"/>
    <w:rsid w:val="008A166F"/>
    <w:rsid w:val="008A167F"/>
    <w:rsid w:val="008A16F9"/>
    <w:rsid w:val="008A1924"/>
    <w:rsid w:val="008A1A4F"/>
    <w:rsid w:val="008A1A55"/>
    <w:rsid w:val="008A1A9C"/>
    <w:rsid w:val="008A1B93"/>
    <w:rsid w:val="008A1C91"/>
    <w:rsid w:val="008A1D2B"/>
    <w:rsid w:val="008A1D3E"/>
    <w:rsid w:val="008A1DA0"/>
    <w:rsid w:val="008A1E39"/>
    <w:rsid w:val="008A1E46"/>
    <w:rsid w:val="008A1EA6"/>
    <w:rsid w:val="008A1FCA"/>
    <w:rsid w:val="008A21BB"/>
    <w:rsid w:val="008A2284"/>
    <w:rsid w:val="008A22D7"/>
    <w:rsid w:val="008A234C"/>
    <w:rsid w:val="008A2446"/>
    <w:rsid w:val="008A2470"/>
    <w:rsid w:val="008A2503"/>
    <w:rsid w:val="008A2606"/>
    <w:rsid w:val="008A2617"/>
    <w:rsid w:val="008A2639"/>
    <w:rsid w:val="008A267C"/>
    <w:rsid w:val="008A26C1"/>
    <w:rsid w:val="008A2739"/>
    <w:rsid w:val="008A2748"/>
    <w:rsid w:val="008A2878"/>
    <w:rsid w:val="008A2887"/>
    <w:rsid w:val="008A28D8"/>
    <w:rsid w:val="008A2923"/>
    <w:rsid w:val="008A2946"/>
    <w:rsid w:val="008A2A9F"/>
    <w:rsid w:val="008A2B33"/>
    <w:rsid w:val="008A2B4A"/>
    <w:rsid w:val="008A2B8B"/>
    <w:rsid w:val="008A2C60"/>
    <w:rsid w:val="008A2CBA"/>
    <w:rsid w:val="008A2DFD"/>
    <w:rsid w:val="008A2E4F"/>
    <w:rsid w:val="008A2F1D"/>
    <w:rsid w:val="008A2F66"/>
    <w:rsid w:val="008A2F7D"/>
    <w:rsid w:val="008A3019"/>
    <w:rsid w:val="008A3026"/>
    <w:rsid w:val="008A30A4"/>
    <w:rsid w:val="008A30CB"/>
    <w:rsid w:val="008A30DF"/>
    <w:rsid w:val="008A318D"/>
    <w:rsid w:val="008A3254"/>
    <w:rsid w:val="008A32CD"/>
    <w:rsid w:val="008A332D"/>
    <w:rsid w:val="008A3397"/>
    <w:rsid w:val="008A345F"/>
    <w:rsid w:val="008A35D6"/>
    <w:rsid w:val="008A360B"/>
    <w:rsid w:val="008A3619"/>
    <w:rsid w:val="008A365E"/>
    <w:rsid w:val="008A3662"/>
    <w:rsid w:val="008A36FE"/>
    <w:rsid w:val="008A3779"/>
    <w:rsid w:val="008A3840"/>
    <w:rsid w:val="008A384B"/>
    <w:rsid w:val="008A3885"/>
    <w:rsid w:val="008A3889"/>
    <w:rsid w:val="008A38E0"/>
    <w:rsid w:val="008A3988"/>
    <w:rsid w:val="008A39F6"/>
    <w:rsid w:val="008A3AA9"/>
    <w:rsid w:val="008A3AB9"/>
    <w:rsid w:val="008A3CAD"/>
    <w:rsid w:val="008A3D4B"/>
    <w:rsid w:val="008A3D70"/>
    <w:rsid w:val="008A3DB1"/>
    <w:rsid w:val="008A3DF8"/>
    <w:rsid w:val="008A3EA8"/>
    <w:rsid w:val="008A3F68"/>
    <w:rsid w:val="008A3F84"/>
    <w:rsid w:val="008A40DC"/>
    <w:rsid w:val="008A4169"/>
    <w:rsid w:val="008A4177"/>
    <w:rsid w:val="008A4229"/>
    <w:rsid w:val="008A4244"/>
    <w:rsid w:val="008A42F0"/>
    <w:rsid w:val="008A42F4"/>
    <w:rsid w:val="008A4311"/>
    <w:rsid w:val="008A4350"/>
    <w:rsid w:val="008A4411"/>
    <w:rsid w:val="008A442B"/>
    <w:rsid w:val="008A4438"/>
    <w:rsid w:val="008A45B5"/>
    <w:rsid w:val="008A45C5"/>
    <w:rsid w:val="008A4605"/>
    <w:rsid w:val="008A4694"/>
    <w:rsid w:val="008A4728"/>
    <w:rsid w:val="008A4832"/>
    <w:rsid w:val="008A48D9"/>
    <w:rsid w:val="008A49B1"/>
    <w:rsid w:val="008A49C5"/>
    <w:rsid w:val="008A4A3A"/>
    <w:rsid w:val="008A4A6B"/>
    <w:rsid w:val="008A4B21"/>
    <w:rsid w:val="008A4B25"/>
    <w:rsid w:val="008A4BE3"/>
    <w:rsid w:val="008A4C24"/>
    <w:rsid w:val="008A4C47"/>
    <w:rsid w:val="008A4C70"/>
    <w:rsid w:val="008A4C9B"/>
    <w:rsid w:val="008A4CED"/>
    <w:rsid w:val="008A4D08"/>
    <w:rsid w:val="008A4D84"/>
    <w:rsid w:val="008A4E3D"/>
    <w:rsid w:val="008A4EAF"/>
    <w:rsid w:val="008A4EEE"/>
    <w:rsid w:val="008A4F12"/>
    <w:rsid w:val="008A4F4F"/>
    <w:rsid w:val="008A5038"/>
    <w:rsid w:val="008A506B"/>
    <w:rsid w:val="008A511B"/>
    <w:rsid w:val="008A519C"/>
    <w:rsid w:val="008A526E"/>
    <w:rsid w:val="008A5285"/>
    <w:rsid w:val="008A528A"/>
    <w:rsid w:val="008A536F"/>
    <w:rsid w:val="008A5374"/>
    <w:rsid w:val="008A5392"/>
    <w:rsid w:val="008A5491"/>
    <w:rsid w:val="008A554C"/>
    <w:rsid w:val="008A5616"/>
    <w:rsid w:val="008A567A"/>
    <w:rsid w:val="008A567D"/>
    <w:rsid w:val="008A56C4"/>
    <w:rsid w:val="008A5780"/>
    <w:rsid w:val="008A57A6"/>
    <w:rsid w:val="008A5803"/>
    <w:rsid w:val="008A580A"/>
    <w:rsid w:val="008A5863"/>
    <w:rsid w:val="008A5950"/>
    <w:rsid w:val="008A5994"/>
    <w:rsid w:val="008A5A77"/>
    <w:rsid w:val="008A5B4C"/>
    <w:rsid w:val="008A5C95"/>
    <w:rsid w:val="008A5CD3"/>
    <w:rsid w:val="008A5D72"/>
    <w:rsid w:val="008A5D79"/>
    <w:rsid w:val="008A5F08"/>
    <w:rsid w:val="008A5F2B"/>
    <w:rsid w:val="008A5F57"/>
    <w:rsid w:val="008A5F74"/>
    <w:rsid w:val="008A5FA2"/>
    <w:rsid w:val="008A5FBE"/>
    <w:rsid w:val="008A6018"/>
    <w:rsid w:val="008A6038"/>
    <w:rsid w:val="008A604C"/>
    <w:rsid w:val="008A60EB"/>
    <w:rsid w:val="008A6169"/>
    <w:rsid w:val="008A62DC"/>
    <w:rsid w:val="008A6440"/>
    <w:rsid w:val="008A6622"/>
    <w:rsid w:val="008A6661"/>
    <w:rsid w:val="008A670B"/>
    <w:rsid w:val="008A6788"/>
    <w:rsid w:val="008A68E9"/>
    <w:rsid w:val="008A68FE"/>
    <w:rsid w:val="008A6949"/>
    <w:rsid w:val="008A694E"/>
    <w:rsid w:val="008A6961"/>
    <w:rsid w:val="008A698D"/>
    <w:rsid w:val="008A69F5"/>
    <w:rsid w:val="008A6A01"/>
    <w:rsid w:val="008A6A15"/>
    <w:rsid w:val="008A6AC6"/>
    <w:rsid w:val="008A6BBA"/>
    <w:rsid w:val="008A6C8C"/>
    <w:rsid w:val="008A6CB6"/>
    <w:rsid w:val="008A6CF7"/>
    <w:rsid w:val="008A6D6B"/>
    <w:rsid w:val="008A6DF0"/>
    <w:rsid w:val="008A6E98"/>
    <w:rsid w:val="008A6EB0"/>
    <w:rsid w:val="008A6F5E"/>
    <w:rsid w:val="008A6F99"/>
    <w:rsid w:val="008A7055"/>
    <w:rsid w:val="008A70B6"/>
    <w:rsid w:val="008A7105"/>
    <w:rsid w:val="008A7255"/>
    <w:rsid w:val="008A72DD"/>
    <w:rsid w:val="008A7316"/>
    <w:rsid w:val="008A7360"/>
    <w:rsid w:val="008A738A"/>
    <w:rsid w:val="008A74EF"/>
    <w:rsid w:val="008A7589"/>
    <w:rsid w:val="008A75DB"/>
    <w:rsid w:val="008A75F4"/>
    <w:rsid w:val="008A7779"/>
    <w:rsid w:val="008A7833"/>
    <w:rsid w:val="008A783B"/>
    <w:rsid w:val="008A79E3"/>
    <w:rsid w:val="008A79ED"/>
    <w:rsid w:val="008A7B17"/>
    <w:rsid w:val="008A7B99"/>
    <w:rsid w:val="008A7C88"/>
    <w:rsid w:val="008A7C8C"/>
    <w:rsid w:val="008A7CAC"/>
    <w:rsid w:val="008A7CED"/>
    <w:rsid w:val="008A7D3F"/>
    <w:rsid w:val="008A7D53"/>
    <w:rsid w:val="008A7D80"/>
    <w:rsid w:val="008A7E0F"/>
    <w:rsid w:val="008A7E85"/>
    <w:rsid w:val="008A7F14"/>
    <w:rsid w:val="008A7F6D"/>
    <w:rsid w:val="008B0190"/>
    <w:rsid w:val="008B01CF"/>
    <w:rsid w:val="008B022C"/>
    <w:rsid w:val="008B0346"/>
    <w:rsid w:val="008B04A4"/>
    <w:rsid w:val="008B04EC"/>
    <w:rsid w:val="008B04F9"/>
    <w:rsid w:val="008B0516"/>
    <w:rsid w:val="008B05BB"/>
    <w:rsid w:val="008B062D"/>
    <w:rsid w:val="008B0652"/>
    <w:rsid w:val="008B06C1"/>
    <w:rsid w:val="008B06E6"/>
    <w:rsid w:val="008B07E4"/>
    <w:rsid w:val="008B07F0"/>
    <w:rsid w:val="008B08B9"/>
    <w:rsid w:val="008B0958"/>
    <w:rsid w:val="008B09C4"/>
    <w:rsid w:val="008B09EE"/>
    <w:rsid w:val="008B0A52"/>
    <w:rsid w:val="008B0A85"/>
    <w:rsid w:val="008B0A9F"/>
    <w:rsid w:val="008B0B06"/>
    <w:rsid w:val="008B0B85"/>
    <w:rsid w:val="008B0C19"/>
    <w:rsid w:val="008B0C41"/>
    <w:rsid w:val="008B0C60"/>
    <w:rsid w:val="008B0CC5"/>
    <w:rsid w:val="008B0CDE"/>
    <w:rsid w:val="008B0E0D"/>
    <w:rsid w:val="008B0FD1"/>
    <w:rsid w:val="008B1088"/>
    <w:rsid w:val="008B1164"/>
    <w:rsid w:val="008B1189"/>
    <w:rsid w:val="008B11BB"/>
    <w:rsid w:val="008B11DD"/>
    <w:rsid w:val="008B11F5"/>
    <w:rsid w:val="008B1239"/>
    <w:rsid w:val="008B123D"/>
    <w:rsid w:val="008B1246"/>
    <w:rsid w:val="008B1297"/>
    <w:rsid w:val="008B13A5"/>
    <w:rsid w:val="008B14B6"/>
    <w:rsid w:val="008B152B"/>
    <w:rsid w:val="008B15F9"/>
    <w:rsid w:val="008B166D"/>
    <w:rsid w:val="008B168A"/>
    <w:rsid w:val="008B1715"/>
    <w:rsid w:val="008B176C"/>
    <w:rsid w:val="008B1818"/>
    <w:rsid w:val="008B1831"/>
    <w:rsid w:val="008B183A"/>
    <w:rsid w:val="008B1919"/>
    <w:rsid w:val="008B192D"/>
    <w:rsid w:val="008B1970"/>
    <w:rsid w:val="008B1AF1"/>
    <w:rsid w:val="008B1B1E"/>
    <w:rsid w:val="008B1B3F"/>
    <w:rsid w:val="008B1C1C"/>
    <w:rsid w:val="008B1C56"/>
    <w:rsid w:val="008B1CB9"/>
    <w:rsid w:val="008B1CE9"/>
    <w:rsid w:val="008B1D9E"/>
    <w:rsid w:val="008B1DF3"/>
    <w:rsid w:val="008B1E19"/>
    <w:rsid w:val="008B1E57"/>
    <w:rsid w:val="008B1EA7"/>
    <w:rsid w:val="008B1ECD"/>
    <w:rsid w:val="008B1EF1"/>
    <w:rsid w:val="008B1F48"/>
    <w:rsid w:val="008B210D"/>
    <w:rsid w:val="008B2185"/>
    <w:rsid w:val="008B2201"/>
    <w:rsid w:val="008B2216"/>
    <w:rsid w:val="008B221B"/>
    <w:rsid w:val="008B226B"/>
    <w:rsid w:val="008B2273"/>
    <w:rsid w:val="008B2274"/>
    <w:rsid w:val="008B22C7"/>
    <w:rsid w:val="008B2357"/>
    <w:rsid w:val="008B2661"/>
    <w:rsid w:val="008B2858"/>
    <w:rsid w:val="008B28E1"/>
    <w:rsid w:val="008B28E7"/>
    <w:rsid w:val="008B293A"/>
    <w:rsid w:val="008B2A06"/>
    <w:rsid w:val="008B2A78"/>
    <w:rsid w:val="008B2B02"/>
    <w:rsid w:val="008B2B9A"/>
    <w:rsid w:val="008B2BB5"/>
    <w:rsid w:val="008B2C00"/>
    <w:rsid w:val="008B2C52"/>
    <w:rsid w:val="008B2D4A"/>
    <w:rsid w:val="008B2D64"/>
    <w:rsid w:val="008B2DE5"/>
    <w:rsid w:val="008B2E48"/>
    <w:rsid w:val="008B2E64"/>
    <w:rsid w:val="008B2E86"/>
    <w:rsid w:val="008B2E8E"/>
    <w:rsid w:val="008B2E9A"/>
    <w:rsid w:val="008B2F1D"/>
    <w:rsid w:val="008B2FB0"/>
    <w:rsid w:val="008B2FD7"/>
    <w:rsid w:val="008B3030"/>
    <w:rsid w:val="008B30C6"/>
    <w:rsid w:val="008B30EE"/>
    <w:rsid w:val="008B3127"/>
    <w:rsid w:val="008B319D"/>
    <w:rsid w:val="008B31A6"/>
    <w:rsid w:val="008B3339"/>
    <w:rsid w:val="008B33C5"/>
    <w:rsid w:val="008B33E4"/>
    <w:rsid w:val="008B3415"/>
    <w:rsid w:val="008B3590"/>
    <w:rsid w:val="008B35B6"/>
    <w:rsid w:val="008B3846"/>
    <w:rsid w:val="008B3874"/>
    <w:rsid w:val="008B3885"/>
    <w:rsid w:val="008B38D3"/>
    <w:rsid w:val="008B38DF"/>
    <w:rsid w:val="008B38FA"/>
    <w:rsid w:val="008B3B0A"/>
    <w:rsid w:val="008B3BE6"/>
    <w:rsid w:val="008B3C2C"/>
    <w:rsid w:val="008B3D3D"/>
    <w:rsid w:val="008B3D7E"/>
    <w:rsid w:val="008B3EB3"/>
    <w:rsid w:val="008B3F8E"/>
    <w:rsid w:val="008B4023"/>
    <w:rsid w:val="008B4087"/>
    <w:rsid w:val="008B418E"/>
    <w:rsid w:val="008B435E"/>
    <w:rsid w:val="008B43CD"/>
    <w:rsid w:val="008B4480"/>
    <w:rsid w:val="008B44A2"/>
    <w:rsid w:val="008B44D5"/>
    <w:rsid w:val="008B4535"/>
    <w:rsid w:val="008B4550"/>
    <w:rsid w:val="008B46C5"/>
    <w:rsid w:val="008B4705"/>
    <w:rsid w:val="008B4744"/>
    <w:rsid w:val="008B479B"/>
    <w:rsid w:val="008B493B"/>
    <w:rsid w:val="008B4A09"/>
    <w:rsid w:val="008B4A49"/>
    <w:rsid w:val="008B4AD7"/>
    <w:rsid w:val="008B4B47"/>
    <w:rsid w:val="008B4C2F"/>
    <w:rsid w:val="008B4C32"/>
    <w:rsid w:val="008B4C3F"/>
    <w:rsid w:val="008B4C5C"/>
    <w:rsid w:val="008B4CB8"/>
    <w:rsid w:val="008B4CBC"/>
    <w:rsid w:val="008B4CDE"/>
    <w:rsid w:val="008B4D1F"/>
    <w:rsid w:val="008B4D3F"/>
    <w:rsid w:val="008B4E02"/>
    <w:rsid w:val="008B4EF8"/>
    <w:rsid w:val="008B4F25"/>
    <w:rsid w:val="008B4FEC"/>
    <w:rsid w:val="008B5199"/>
    <w:rsid w:val="008B5215"/>
    <w:rsid w:val="008B524C"/>
    <w:rsid w:val="008B52BC"/>
    <w:rsid w:val="008B5319"/>
    <w:rsid w:val="008B5423"/>
    <w:rsid w:val="008B546E"/>
    <w:rsid w:val="008B5488"/>
    <w:rsid w:val="008B5496"/>
    <w:rsid w:val="008B550C"/>
    <w:rsid w:val="008B5569"/>
    <w:rsid w:val="008B560A"/>
    <w:rsid w:val="008B571D"/>
    <w:rsid w:val="008B5753"/>
    <w:rsid w:val="008B57CF"/>
    <w:rsid w:val="008B5881"/>
    <w:rsid w:val="008B59ED"/>
    <w:rsid w:val="008B5BE3"/>
    <w:rsid w:val="008B5C01"/>
    <w:rsid w:val="008B5CEB"/>
    <w:rsid w:val="008B5DAD"/>
    <w:rsid w:val="008B5E04"/>
    <w:rsid w:val="008B5E3C"/>
    <w:rsid w:val="008B5E93"/>
    <w:rsid w:val="008B5ED7"/>
    <w:rsid w:val="008B5EF4"/>
    <w:rsid w:val="008B5F84"/>
    <w:rsid w:val="008B5FB8"/>
    <w:rsid w:val="008B600E"/>
    <w:rsid w:val="008B60CA"/>
    <w:rsid w:val="008B618D"/>
    <w:rsid w:val="008B61EA"/>
    <w:rsid w:val="008B61EE"/>
    <w:rsid w:val="008B6201"/>
    <w:rsid w:val="008B622B"/>
    <w:rsid w:val="008B631D"/>
    <w:rsid w:val="008B6329"/>
    <w:rsid w:val="008B6332"/>
    <w:rsid w:val="008B63CC"/>
    <w:rsid w:val="008B63F6"/>
    <w:rsid w:val="008B6429"/>
    <w:rsid w:val="008B6445"/>
    <w:rsid w:val="008B64BF"/>
    <w:rsid w:val="008B6501"/>
    <w:rsid w:val="008B6597"/>
    <w:rsid w:val="008B659B"/>
    <w:rsid w:val="008B664C"/>
    <w:rsid w:val="008B6658"/>
    <w:rsid w:val="008B66CC"/>
    <w:rsid w:val="008B672D"/>
    <w:rsid w:val="008B6773"/>
    <w:rsid w:val="008B6846"/>
    <w:rsid w:val="008B684C"/>
    <w:rsid w:val="008B6A48"/>
    <w:rsid w:val="008B6A7C"/>
    <w:rsid w:val="008B6A9D"/>
    <w:rsid w:val="008B6B26"/>
    <w:rsid w:val="008B6C89"/>
    <w:rsid w:val="008B6D31"/>
    <w:rsid w:val="008B6D53"/>
    <w:rsid w:val="008B6E4E"/>
    <w:rsid w:val="008B6E68"/>
    <w:rsid w:val="008B6F3A"/>
    <w:rsid w:val="008B70A5"/>
    <w:rsid w:val="008B70B0"/>
    <w:rsid w:val="008B7118"/>
    <w:rsid w:val="008B7139"/>
    <w:rsid w:val="008B714C"/>
    <w:rsid w:val="008B71B3"/>
    <w:rsid w:val="008B73F1"/>
    <w:rsid w:val="008B73F4"/>
    <w:rsid w:val="008B7441"/>
    <w:rsid w:val="008B7459"/>
    <w:rsid w:val="008B74EE"/>
    <w:rsid w:val="008B75D7"/>
    <w:rsid w:val="008B75EB"/>
    <w:rsid w:val="008B7628"/>
    <w:rsid w:val="008B762B"/>
    <w:rsid w:val="008B7632"/>
    <w:rsid w:val="008B76CE"/>
    <w:rsid w:val="008B76F8"/>
    <w:rsid w:val="008B7724"/>
    <w:rsid w:val="008B7778"/>
    <w:rsid w:val="008B778F"/>
    <w:rsid w:val="008B7858"/>
    <w:rsid w:val="008B7A89"/>
    <w:rsid w:val="008B7ADC"/>
    <w:rsid w:val="008B7B6D"/>
    <w:rsid w:val="008B7BDF"/>
    <w:rsid w:val="008B7CDA"/>
    <w:rsid w:val="008B7CFC"/>
    <w:rsid w:val="008B7DC4"/>
    <w:rsid w:val="008B7E0F"/>
    <w:rsid w:val="008B7F14"/>
    <w:rsid w:val="008B7F65"/>
    <w:rsid w:val="008B7F82"/>
    <w:rsid w:val="008B7F8B"/>
    <w:rsid w:val="008C0093"/>
    <w:rsid w:val="008C015A"/>
    <w:rsid w:val="008C01B5"/>
    <w:rsid w:val="008C02B5"/>
    <w:rsid w:val="008C0388"/>
    <w:rsid w:val="008C038C"/>
    <w:rsid w:val="008C04AD"/>
    <w:rsid w:val="008C04FD"/>
    <w:rsid w:val="008C0500"/>
    <w:rsid w:val="008C0529"/>
    <w:rsid w:val="008C0543"/>
    <w:rsid w:val="008C058C"/>
    <w:rsid w:val="008C05D0"/>
    <w:rsid w:val="008C0700"/>
    <w:rsid w:val="008C072C"/>
    <w:rsid w:val="008C07C4"/>
    <w:rsid w:val="008C0877"/>
    <w:rsid w:val="008C08A4"/>
    <w:rsid w:val="008C08BF"/>
    <w:rsid w:val="008C09D9"/>
    <w:rsid w:val="008C0A21"/>
    <w:rsid w:val="008C0B25"/>
    <w:rsid w:val="008C0B75"/>
    <w:rsid w:val="008C0BA1"/>
    <w:rsid w:val="008C0BA8"/>
    <w:rsid w:val="008C0C14"/>
    <w:rsid w:val="008C0C6A"/>
    <w:rsid w:val="008C0CF2"/>
    <w:rsid w:val="008C0D00"/>
    <w:rsid w:val="008C0D47"/>
    <w:rsid w:val="008C0D6B"/>
    <w:rsid w:val="008C0D89"/>
    <w:rsid w:val="008C0E99"/>
    <w:rsid w:val="008C0F32"/>
    <w:rsid w:val="008C0F3C"/>
    <w:rsid w:val="008C0F75"/>
    <w:rsid w:val="008C1056"/>
    <w:rsid w:val="008C1077"/>
    <w:rsid w:val="008C112A"/>
    <w:rsid w:val="008C11AE"/>
    <w:rsid w:val="008C11B7"/>
    <w:rsid w:val="008C11E1"/>
    <w:rsid w:val="008C13C7"/>
    <w:rsid w:val="008C14DF"/>
    <w:rsid w:val="008C14F1"/>
    <w:rsid w:val="008C16E9"/>
    <w:rsid w:val="008C1768"/>
    <w:rsid w:val="008C1821"/>
    <w:rsid w:val="008C1851"/>
    <w:rsid w:val="008C198D"/>
    <w:rsid w:val="008C19AB"/>
    <w:rsid w:val="008C19CD"/>
    <w:rsid w:val="008C19E9"/>
    <w:rsid w:val="008C1A41"/>
    <w:rsid w:val="008C1A58"/>
    <w:rsid w:val="008C1A7C"/>
    <w:rsid w:val="008C1B21"/>
    <w:rsid w:val="008C1B34"/>
    <w:rsid w:val="008C1BAC"/>
    <w:rsid w:val="008C1BDB"/>
    <w:rsid w:val="008C1BFC"/>
    <w:rsid w:val="008C1C41"/>
    <w:rsid w:val="008C1C68"/>
    <w:rsid w:val="008C1CD6"/>
    <w:rsid w:val="008C1D07"/>
    <w:rsid w:val="008C1D37"/>
    <w:rsid w:val="008C1DAB"/>
    <w:rsid w:val="008C1E2D"/>
    <w:rsid w:val="008C1F5C"/>
    <w:rsid w:val="008C2020"/>
    <w:rsid w:val="008C2048"/>
    <w:rsid w:val="008C2148"/>
    <w:rsid w:val="008C215A"/>
    <w:rsid w:val="008C236D"/>
    <w:rsid w:val="008C2402"/>
    <w:rsid w:val="008C248E"/>
    <w:rsid w:val="008C24A4"/>
    <w:rsid w:val="008C24E1"/>
    <w:rsid w:val="008C2628"/>
    <w:rsid w:val="008C263A"/>
    <w:rsid w:val="008C2656"/>
    <w:rsid w:val="008C266C"/>
    <w:rsid w:val="008C26F6"/>
    <w:rsid w:val="008C2748"/>
    <w:rsid w:val="008C27E4"/>
    <w:rsid w:val="008C2BB7"/>
    <w:rsid w:val="008C2C2A"/>
    <w:rsid w:val="008C2C3A"/>
    <w:rsid w:val="008C2E78"/>
    <w:rsid w:val="008C2E84"/>
    <w:rsid w:val="008C2FFB"/>
    <w:rsid w:val="008C302B"/>
    <w:rsid w:val="008C3097"/>
    <w:rsid w:val="008C30BE"/>
    <w:rsid w:val="008C31F2"/>
    <w:rsid w:val="008C31F3"/>
    <w:rsid w:val="008C323A"/>
    <w:rsid w:val="008C3298"/>
    <w:rsid w:val="008C32B2"/>
    <w:rsid w:val="008C32B8"/>
    <w:rsid w:val="008C3327"/>
    <w:rsid w:val="008C3394"/>
    <w:rsid w:val="008C339D"/>
    <w:rsid w:val="008C33A3"/>
    <w:rsid w:val="008C33E3"/>
    <w:rsid w:val="008C346C"/>
    <w:rsid w:val="008C3558"/>
    <w:rsid w:val="008C35FA"/>
    <w:rsid w:val="008C3697"/>
    <w:rsid w:val="008C374B"/>
    <w:rsid w:val="008C37DB"/>
    <w:rsid w:val="008C3916"/>
    <w:rsid w:val="008C39A0"/>
    <w:rsid w:val="008C39C3"/>
    <w:rsid w:val="008C39EB"/>
    <w:rsid w:val="008C3A7F"/>
    <w:rsid w:val="008C3AC9"/>
    <w:rsid w:val="008C3C01"/>
    <w:rsid w:val="008C3DB3"/>
    <w:rsid w:val="008C3E51"/>
    <w:rsid w:val="008C3E86"/>
    <w:rsid w:val="008C3EAA"/>
    <w:rsid w:val="008C3ECA"/>
    <w:rsid w:val="008C3ECD"/>
    <w:rsid w:val="008C3FA5"/>
    <w:rsid w:val="008C4034"/>
    <w:rsid w:val="008C4078"/>
    <w:rsid w:val="008C40B9"/>
    <w:rsid w:val="008C41A7"/>
    <w:rsid w:val="008C41B5"/>
    <w:rsid w:val="008C41F7"/>
    <w:rsid w:val="008C4259"/>
    <w:rsid w:val="008C42A0"/>
    <w:rsid w:val="008C43D8"/>
    <w:rsid w:val="008C4415"/>
    <w:rsid w:val="008C4430"/>
    <w:rsid w:val="008C44F6"/>
    <w:rsid w:val="008C45C1"/>
    <w:rsid w:val="008C45E7"/>
    <w:rsid w:val="008C4623"/>
    <w:rsid w:val="008C46B6"/>
    <w:rsid w:val="008C473C"/>
    <w:rsid w:val="008C4750"/>
    <w:rsid w:val="008C4789"/>
    <w:rsid w:val="008C47AB"/>
    <w:rsid w:val="008C4871"/>
    <w:rsid w:val="008C49F3"/>
    <w:rsid w:val="008C4A27"/>
    <w:rsid w:val="008C4A3D"/>
    <w:rsid w:val="008C4B93"/>
    <w:rsid w:val="008C4C55"/>
    <w:rsid w:val="008C4C6E"/>
    <w:rsid w:val="008C4D73"/>
    <w:rsid w:val="008C4DB8"/>
    <w:rsid w:val="008C4DF0"/>
    <w:rsid w:val="008C4E50"/>
    <w:rsid w:val="008C4E74"/>
    <w:rsid w:val="008C4F2D"/>
    <w:rsid w:val="008C4F71"/>
    <w:rsid w:val="008C4F90"/>
    <w:rsid w:val="008C518C"/>
    <w:rsid w:val="008C5198"/>
    <w:rsid w:val="008C51AE"/>
    <w:rsid w:val="008C51B2"/>
    <w:rsid w:val="008C51F4"/>
    <w:rsid w:val="008C5373"/>
    <w:rsid w:val="008C539A"/>
    <w:rsid w:val="008C54CD"/>
    <w:rsid w:val="008C54D1"/>
    <w:rsid w:val="008C5530"/>
    <w:rsid w:val="008C55F0"/>
    <w:rsid w:val="008C56C2"/>
    <w:rsid w:val="008C570E"/>
    <w:rsid w:val="008C5757"/>
    <w:rsid w:val="008C5808"/>
    <w:rsid w:val="008C5A88"/>
    <w:rsid w:val="008C5AA8"/>
    <w:rsid w:val="008C5AF2"/>
    <w:rsid w:val="008C5B43"/>
    <w:rsid w:val="008C5CA8"/>
    <w:rsid w:val="008C5FF4"/>
    <w:rsid w:val="008C6048"/>
    <w:rsid w:val="008C6270"/>
    <w:rsid w:val="008C6297"/>
    <w:rsid w:val="008C62C6"/>
    <w:rsid w:val="008C630B"/>
    <w:rsid w:val="008C631F"/>
    <w:rsid w:val="008C6506"/>
    <w:rsid w:val="008C6685"/>
    <w:rsid w:val="008C6697"/>
    <w:rsid w:val="008C66B2"/>
    <w:rsid w:val="008C66DC"/>
    <w:rsid w:val="008C6700"/>
    <w:rsid w:val="008C6707"/>
    <w:rsid w:val="008C6768"/>
    <w:rsid w:val="008C676E"/>
    <w:rsid w:val="008C6771"/>
    <w:rsid w:val="008C67C3"/>
    <w:rsid w:val="008C68B8"/>
    <w:rsid w:val="008C6952"/>
    <w:rsid w:val="008C69DD"/>
    <w:rsid w:val="008C6A8A"/>
    <w:rsid w:val="008C6B2B"/>
    <w:rsid w:val="008C6B2D"/>
    <w:rsid w:val="008C6B8C"/>
    <w:rsid w:val="008C6B94"/>
    <w:rsid w:val="008C6E72"/>
    <w:rsid w:val="008C6E99"/>
    <w:rsid w:val="008C6F31"/>
    <w:rsid w:val="008C6F64"/>
    <w:rsid w:val="008C6FBB"/>
    <w:rsid w:val="008C7019"/>
    <w:rsid w:val="008C715D"/>
    <w:rsid w:val="008C71A6"/>
    <w:rsid w:val="008C71B2"/>
    <w:rsid w:val="008C72D8"/>
    <w:rsid w:val="008C72EC"/>
    <w:rsid w:val="008C73B6"/>
    <w:rsid w:val="008C73E3"/>
    <w:rsid w:val="008C758A"/>
    <w:rsid w:val="008C76BB"/>
    <w:rsid w:val="008C7783"/>
    <w:rsid w:val="008C7808"/>
    <w:rsid w:val="008C7839"/>
    <w:rsid w:val="008C78E5"/>
    <w:rsid w:val="008C7911"/>
    <w:rsid w:val="008C799D"/>
    <w:rsid w:val="008C7AFC"/>
    <w:rsid w:val="008C7B44"/>
    <w:rsid w:val="008C7B7E"/>
    <w:rsid w:val="008C7B82"/>
    <w:rsid w:val="008C7C0A"/>
    <w:rsid w:val="008C7C4C"/>
    <w:rsid w:val="008C7CDA"/>
    <w:rsid w:val="008C7D17"/>
    <w:rsid w:val="008C7DA6"/>
    <w:rsid w:val="008C7EB1"/>
    <w:rsid w:val="008C7F59"/>
    <w:rsid w:val="008C7F6D"/>
    <w:rsid w:val="008C7FA4"/>
    <w:rsid w:val="008C7FA8"/>
    <w:rsid w:val="008C7FCD"/>
    <w:rsid w:val="008D0091"/>
    <w:rsid w:val="008D00BE"/>
    <w:rsid w:val="008D01D6"/>
    <w:rsid w:val="008D0220"/>
    <w:rsid w:val="008D0300"/>
    <w:rsid w:val="008D034B"/>
    <w:rsid w:val="008D0372"/>
    <w:rsid w:val="008D0516"/>
    <w:rsid w:val="008D0684"/>
    <w:rsid w:val="008D06C3"/>
    <w:rsid w:val="008D0819"/>
    <w:rsid w:val="008D082F"/>
    <w:rsid w:val="008D0832"/>
    <w:rsid w:val="008D0856"/>
    <w:rsid w:val="008D0889"/>
    <w:rsid w:val="008D08BC"/>
    <w:rsid w:val="008D0937"/>
    <w:rsid w:val="008D09F7"/>
    <w:rsid w:val="008D0A2F"/>
    <w:rsid w:val="008D0B2E"/>
    <w:rsid w:val="008D0C21"/>
    <w:rsid w:val="008D0C85"/>
    <w:rsid w:val="008D0CC0"/>
    <w:rsid w:val="008D0D13"/>
    <w:rsid w:val="008D0D1E"/>
    <w:rsid w:val="008D0DE5"/>
    <w:rsid w:val="008D0E88"/>
    <w:rsid w:val="008D0F57"/>
    <w:rsid w:val="008D0F98"/>
    <w:rsid w:val="008D10E7"/>
    <w:rsid w:val="008D11DB"/>
    <w:rsid w:val="008D13A1"/>
    <w:rsid w:val="008D13D7"/>
    <w:rsid w:val="008D140B"/>
    <w:rsid w:val="008D1459"/>
    <w:rsid w:val="008D148E"/>
    <w:rsid w:val="008D14EE"/>
    <w:rsid w:val="008D16A0"/>
    <w:rsid w:val="008D16A8"/>
    <w:rsid w:val="008D1702"/>
    <w:rsid w:val="008D1729"/>
    <w:rsid w:val="008D17DC"/>
    <w:rsid w:val="008D1825"/>
    <w:rsid w:val="008D18B2"/>
    <w:rsid w:val="008D18D0"/>
    <w:rsid w:val="008D1975"/>
    <w:rsid w:val="008D19DD"/>
    <w:rsid w:val="008D1BD2"/>
    <w:rsid w:val="008D1C38"/>
    <w:rsid w:val="008D1CB2"/>
    <w:rsid w:val="008D1D0D"/>
    <w:rsid w:val="008D1D28"/>
    <w:rsid w:val="008D1DB7"/>
    <w:rsid w:val="008D1F86"/>
    <w:rsid w:val="008D1FC8"/>
    <w:rsid w:val="008D2011"/>
    <w:rsid w:val="008D2012"/>
    <w:rsid w:val="008D2016"/>
    <w:rsid w:val="008D2071"/>
    <w:rsid w:val="008D2206"/>
    <w:rsid w:val="008D225E"/>
    <w:rsid w:val="008D23C7"/>
    <w:rsid w:val="008D23EA"/>
    <w:rsid w:val="008D23F8"/>
    <w:rsid w:val="008D2413"/>
    <w:rsid w:val="008D2448"/>
    <w:rsid w:val="008D2462"/>
    <w:rsid w:val="008D24ED"/>
    <w:rsid w:val="008D24F4"/>
    <w:rsid w:val="008D260E"/>
    <w:rsid w:val="008D262C"/>
    <w:rsid w:val="008D264E"/>
    <w:rsid w:val="008D269C"/>
    <w:rsid w:val="008D26AD"/>
    <w:rsid w:val="008D26D1"/>
    <w:rsid w:val="008D26F1"/>
    <w:rsid w:val="008D26FB"/>
    <w:rsid w:val="008D274E"/>
    <w:rsid w:val="008D27A9"/>
    <w:rsid w:val="008D27FB"/>
    <w:rsid w:val="008D28F8"/>
    <w:rsid w:val="008D2983"/>
    <w:rsid w:val="008D2B33"/>
    <w:rsid w:val="008D2B49"/>
    <w:rsid w:val="008D2BB2"/>
    <w:rsid w:val="008D2BBC"/>
    <w:rsid w:val="008D2C1C"/>
    <w:rsid w:val="008D2E74"/>
    <w:rsid w:val="008D2E9D"/>
    <w:rsid w:val="008D303F"/>
    <w:rsid w:val="008D3060"/>
    <w:rsid w:val="008D307E"/>
    <w:rsid w:val="008D30AE"/>
    <w:rsid w:val="008D318A"/>
    <w:rsid w:val="008D3236"/>
    <w:rsid w:val="008D328F"/>
    <w:rsid w:val="008D32F1"/>
    <w:rsid w:val="008D3305"/>
    <w:rsid w:val="008D33F3"/>
    <w:rsid w:val="008D3430"/>
    <w:rsid w:val="008D34BB"/>
    <w:rsid w:val="008D34C9"/>
    <w:rsid w:val="008D3549"/>
    <w:rsid w:val="008D3556"/>
    <w:rsid w:val="008D3568"/>
    <w:rsid w:val="008D35B3"/>
    <w:rsid w:val="008D3679"/>
    <w:rsid w:val="008D37A2"/>
    <w:rsid w:val="008D37AA"/>
    <w:rsid w:val="008D37EF"/>
    <w:rsid w:val="008D3905"/>
    <w:rsid w:val="008D3930"/>
    <w:rsid w:val="008D3A2B"/>
    <w:rsid w:val="008D3A47"/>
    <w:rsid w:val="008D3AA6"/>
    <w:rsid w:val="008D3C07"/>
    <w:rsid w:val="008D3D20"/>
    <w:rsid w:val="008D3DAF"/>
    <w:rsid w:val="008D3E3C"/>
    <w:rsid w:val="008D3E57"/>
    <w:rsid w:val="008D3F01"/>
    <w:rsid w:val="008D3F21"/>
    <w:rsid w:val="008D3FF1"/>
    <w:rsid w:val="008D4006"/>
    <w:rsid w:val="008D4108"/>
    <w:rsid w:val="008D4118"/>
    <w:rsid w:val="008D41E3"/>
    <w:rsid w:val="008D4282"/>
    <w:rsid w:val="008D4283"/>
    <w:rsid w:val="008D4380"/>
    <w:rsid w:val="008D4470"/>
    <w:rsid w:val="008D4486"/>
    <w:rsid w:val="008D44EB"/>
    <w:rsid w:val="008D452D"/>
    <w:rsid w:val="008D4533"/>
    <w:rsid w:val="008D45B7"/>
    <w:rsid w:val="008D45ED"/>
    <w:rsid w:val="008D46F0"/>
    <w:rsid w:val="008D4716"/>
    <w:rsid w:val="008D477F"/>
    <w:rsid w:val="008D47B8"/>
    <w:rsid w:val="008D4850"/>
    <w:rsid w:val="008D48CD"/>
    <w:rsid w:val="008D48FA"/>
    <w:rsid w:val="008D490D"/>
    <w:rsid w:val="008D4915"/>
    <w:rsid w:val="008D4972"/>
    <w:rsid w:val="008D4985"/>
    <w:rsid w:val="008D499D"/>
    <w:rsid w:val="008D4B0E"/>
    <w:rsid w:val="008D4B38"/>
    <w:rsid w:val="008D4B5B"/>
    <w:rsid w:val="008D4B68"/>
    <w:rsid w:val="008D4B85"/>
    <w:rsid w:val="008D4BAF"/>
    <w:rsid w:val="008D4BB3"/>
    <w:rsid w:val="008D4BCA"/>
    <w:rsid w:val="008D4BFF"/>
    <w:rsid w:val="008D4C06"/>
    <w:rsid w:val="008D4C4A"/>
    <w:rsid w:val="008D4D63"/>
    <w:rsid w:val="008D4DA9"/>
    <w:rsid w:val="008D4E87"/>
    <w:rsid w:val="008D4EB5"/>
    <w:rsid w:val="008D4ECD"/>
    <w:rsid w:val="008D4EF1"/>
    <w:rsid w:val="008D4FA2"/>
    <w:rsid w:val="008D4FC7"/>
    <w:rsid w:val="008D501A"/>
    <w:rsid w:val="008D50A0"/>
    <w:rsid w:val="008D50AC"/>
    <w:rsid w:val="008D50E7"/>
    <w:rsid w:val="008D517A"/>
    <w:rsid w:val="008D51B7"/>
    <w:rsid w:val="008D5252"/>
    <w:rsid w:val="008D5288"/>
    <w:rsid w:val="008D528F"/>
    <w:rsid w:val="008D5297"/>
    <w:rsid w:val="008D52F9"/>
    <w:rsid w:val="008D536B"/>
    <w:rsid w:val="008D53C9"/>
    <w:rsid w:val="008D55AF"/>
    <w:rsid w:val="008D5611"/>
    <w:rsid w:val="008D5619"/>
    <w:rsid w:val="008D5672"/>
    <w:rsid w:val="008D56C3"/>
    <w:rsid w:val="008D570A"/>
    <w:rsid w:val="008D579A"/>
    <w:rsid w:val="008D5847"/>
    <w:rsid w:val="008D58F5"/>
    <w:rsid w:val="008D5919"/>
    <w:rsid w:val="008D5A7F"/>
    <w:rsid w:val="008D5A9C"/>
    <w:rsid w:val="008D5BA8"/>
    <w:rsid w:val="008D5C1F"/>
    <w:rsid w:val="008D5C8D"/>
    <w:rsid w:val="008D5E1C"/>
    <w:rsid w:val="008D5ECA"/>
    <w:rsid w:val="008D605F"/>
    <w:rsid w:val="008D607D"/>
    <w:rsid w:val="008D60DB"/>
    <w:rsid w:val="008D61B0"/>
    <w:rsid w:val="008D6324"/>
    <w:rsid w:val="008D63CC"/>
    <w:rsid w:val="008D63D5"/>
    <w:rsid w:val="008D6550"/>
    <w:rsid w:val="008D65BE"/>
    <w:rsid w:val="008D6624"/>
    <w:rsid w:val="008D6670"/>
    <w:rsid w:val="008D66BC"/>
    <w:rsid w:val="008D6890"/>
    <w:rsid w:val="008D68AE"/>
    <w:rsid w:val="008D6970"/>
    <w:rsid w:val="008D6AED"/>
    <w:rsid w:val="008D6AF6"/>
    <w:rsid w:val="008D6B2A"/>
    <w:rsid w:val="008D6BCA"/>
    <w:rsid w:val="008D6C25"/>
    <w:rsid w:val="008D6C33"/>
    <w:rsid w:val="008D6C91"/>
    <w:rsid w:val="008D6CCD"/>
    <w:rsid w:val="008D6D3F"/>
    <w:rsid w:val="008D6D50"/>
    <w:rsid w:val="008D6D51"/>
    <w:rsid w:val="008D6DB0"/>
    <w:rsid w:val="008D6DD8"/>
    <w:rsid w:val="008D6E2A"/>
    <w:rsid w:val="008D6E41"/>
    <w:rsid w:val="008D6ED6"/>
    <w:rsid w:val="008D6EF8"/>
    <w:rsid w:val="008D6F65"/>
    <w:rsid w:val="008D6FC2"/>
    <w:rsid w:val="008D7017"/>
    <w:rsid w:val="008D7222"/>
    <w:rsid w:val="008D7286"/>
    <w:rsid w:val="008D72CC"/>
    <w:rsid w:val="008D742F"/>
    <w:rsid w:val="008D7434"/>
    <w:rsid w:val="008D750F"/>
    <w:rsid w:val="008D75F9"/>
    <w:rsid w:val="008D7656"/>
    <w:rsid w:val="008D7711"/>
    <w:rsid w:val="008D772E"/>
    <w:rsid w:val="008D7789"/>
    <w:rsid w:val="008D7791"/>
    <w:rsid w:val="008D78A9"/>
    <w:rsid w:val="008D7960"/>
    <w:rsid w:val="008D799C"/>
    <w:rsid w:val="008D799F"/>
    <w:rsid w:val="008D79D8"/>
    <w:rsid w:val="008D79EB"/>
    <w:rsid w:val="008D7A80"/>
    <w:rsid w:val="008D7B2C"/>
    <w:rsid w:val="008D7C3D"/>
    <w:rsid w:val="008D7C6F"/>
    <w:rsid w:val="008D7D60"/>
    <w:rsid w:val="008D7E04"/>
    <w:rsid w:val="008D7E1C"/>
    <w:rsid w:val="008D7E77"/>
    <w:rsid w:val="008D7E8A"/>
    <w:rsid w:val="008D7F8C"/>
    <w:rsid w:val="008D7FE1"/>
    <w:rsid w:val="008E00C7"/>
    <w:rsid w:val="008E01EB"/>
    <w:rsid w:val="008E02DC"/>
    <w:rsid w:val="008E0324"/>
    <w:rsid w:val="008E03D4"/>
    <w:rsid w:val="008E046A"/>
    <w:rsid w:val="008E04D3"/>
    <w:rsid w:val="008E04FB"/>
    <w:rsid w:val="008E0581"/>
    <w:rsid w:val="008E0583"/>
    <w:rsid w:val="008E059F"/>
    <w:rsid w:val="008E0683"/>
    <w:rsid w:val="008E0799"/>
    <w:rsid w:val="008E07EE"/>
    <w:rsid w:val="008E081F"/>
    <w:rsid w:val="008E0841"/>
    <w:rsid w:val="008E088B"/>
    <w:rsid w:val="008E0913"/>
    <w:rsid w:val="008E0914"/>
    <w:rsid w:val="008E0939"/>
    <w:rsid w:val="008E096A"/>
    <w:rsid w:val="008E098C"/>
    <w:rsid w:val="008E09EB"/>
    <w:rsid w:val="008E0A42"/>
    <w:rsid w:val="008E0A7E"/>
    <w:rsid w:val="008E0BED"/>
    <w:rsid w:val="008E0BF3"/>
    <w:rsid w:val="008E0C39"/>
    <w:rsid w:val="008E0C9B"/>
    <w:rsid w:val="008E0CC8"/>
    <w:rsid w:val="008E0DBF"/>
    <w:rsid w:val="008E0E5C"/>
    <w:rsid w:val="008E0E68"/>
    <w:rsid w:val="008E0EB1"/>
    <w:rsid w:val="008E0EF6"/>
    <w:rsid w:val="008E0F64"/>
    <w:rsid w:val="008E1034"/>
    <w:rsid w:val="008E1040"/>
    <w:rsid w:val="008E10FD"/>
    <w:rsid w:val="008E1214"/>
    <w:rsid w:val="008E1280"/>
    <w:rsid w:val="008E137F"/>
    <w:rsid w:val="008E13A1"/>
    <w:rsid w:val="008E13A3"/>
    <w:rsid w:val="008E13B6"/>
    <w:rsid w:val="008E13CC"/>
    <w:rsid w:val="008E15C5"/>
    <w:rsid w:val="008E17F7"/>
    <w:rsid w:val="008E1842"/>
    <w:rsid w:val="008E1918"/>
    <w:rsid w:val="008E1944"/>
    <w:rsid w:val="008E1981"/>
    <w:rsid w:val="008E19AA"/>
    <w:rsid w:val="008E1A5B"/>
    <w:rsid w:val="008E1B8F"/>
    <w:rsid w:val="008E1BA7"/>
    <w:rsid w:val="008E1BD3"/>
    <w:rsid w:val="008E1BF2"/>
    <w:rsid w:val="008E1C29"/>
    <w:rsid w:val="008E1CCD"/>
    <w:rsid w:val="008E1DA8"/>
    <w:rsid w:val="008E1F16"/>
    <w:rsid w:val="008E1F49"/>
    <w:rsid w:val="008E207A"/>
    <w:rsid w:val="008E209A"/>
    <w:rsid w:val="008E21D3"/>
    <w:rsid w:val="008E21D9"/>
    <w:rsid w:val="008E2375"/>
    <w:rsid w:val="008E24DC"/>
    <w:rsid w:val="008E264E"/>
    <w:rsid w:val="008E271C"/>
    <w:rsid w:val="008E27D2"/>
    <w:rsid w:val="008E27F4"/>
    <w:rsid w:val="008E283A"/>
    <w:rsid w:val="008E2852"/>
    <w:rsid w:val="008E2990"/>
    <w:rsid w:val="008E2998"/>
    <w:rsid w:val="008E2AE3"/>
    <w:rsid w:val="008E2B23"/>
    <w:rsid w:val="008E2B93"/>
    <w:rsid w:val="008E2BAD"/>
    <w:rsid w:val="008E2BCC"/>
    <w:rsid w:val="008E2BCE"/>
    <w:rsid w:val="008E2BDB"/>
    <w:rsid w:val="008E2CE2"/>
    <w:rsid w:val="008E2D02"/>
    <w:rsid w:val="008E2F5F"/>
    <w:rsid w:val="008E2F67"/>
    <w:rsid w:val="008E2FB6"/>
    <w:rsid w:val="008E307F"/>
    <w:rsid w:val="008E3080"/>
    <w:rsid w:val="008E31D3"/>
    <w:rsid w:val="008E3267"/>
    <w:rsid w:val="008E329E"/>
    <w:rsid w:val="008E32B1"/>
    <w:rsid w:val="008E3304"/>
    <w:rsid w:val="008E3334"/>
    <w:rsid w:val="008E3437"/>
    <w:rsid w:val="008E345A"/>
    <w:rsid w:val="008E34E8"/>
    <w:rsid w:val="008E353D"/>
    <w:rsid w:val="008E35DD"/>
    <w:rsid w:val="008E361F"/>
    <w:rsid w:val="008E36E2"/>
    <w:rsid w:val="008E3788"/>
    <w:rsid w:val="008E38B1"/>
    <w:rsid w:val="008E38B5"/>
    <w:rsid w:val="008E38CF"/>
    <w:rsid w:val="008E3937"/>
    <w:rsid w:val="008E394F"/>
    <w:rsid w:val="008E396B"/>
    <w:rsid w:val="008E3987"/>
    <w:rsid w:val="008E3A13"/>
    <w:rsid w:val="008E3A14"/>
    <w:rsid w:val="008E3AE3"/>
    <w:rsid w:val="008E3D1A"/>
    <w:rsid w:val="008E3D3A"/>
    <w:rsid w:val="008E3DDC"/>
    <w:rsid w:val="008E3E52"/>
    <w:rsid w:val="008E3E73"/>
    <w:rsid w:val="008E3E7E"/>
    <w:rsid w:val="008E3EF4"/>
    <w:rsid w:val="008E3F64"/>
    <w:rsid w:val="008E3F86"/>
    <w:rsid w:val="008E3FCC"/>
    <w:rsid w:val="008E40A9"/>
    <w:rsid w:val="008E40BA"/>
    <w:rsid w:val="008E417A"/>
    <w:rsid w:val="008E4184"/>
    <w:rsid w:val="008E41A1"/>
    <w:rsid w:val="008E421E"/>
    <w:rsid w:val="008E42B4"/>
    <w:rsid w:val="008E4327"/>
    <w:rsid w:val="008E448C"/>
    <w:rsid w:val="008E4520"/>
    <w:rsid w:val="008E4581"/>
    <w:rsid w:val="008E45A1"/>
    <w:rsid w:val="008E45A2"/>
    <w:rsid w:val="008E4601"/>
    <w:rsid w:val="008E460B"/>
    <w:rsid w:val="008E463F"/>
    <w:rsid w:val="008E471C"/>
    <w:rsid w:val="008E4781"/>
    <w:rsid w:val="008E479D"/>
    <w:rsid w:val="008E484E"/>
    <w:rsid w:val="008E4921"/>
    <w:rsid w:val="008E4928"/>
    <w:rsid w:val="008E4939"/>
    <w:rsid w:val="008E4940"/>
    <w:rsid w:val="008E497C"/>
    <w:rsid w:val="008E4B77"/>
    <w:rsid w:val="008E4BB9"/>
    <w:rsid w:val="008E4C1E"/>
    <w:rsid w:val="008E4C2D"/>
    <w:rsid w:val="008E4C53"/>
    <w:rsid w:val="008E4C62"/>
    <w:rsid w:val="008E4C96"/>
    <w:rsid w:val="008E4CE4"/>
    <w:rsid w:val="008E4DF5"/>
    <w:rsid w:val="008E4E12"/>
    <w:rsid w:val="008E4E15"/>
    <w:rsid w:val="008E4E55"/>
    <w:rsid w:val="008E4EA8"/>
    <w:rsid w:val="008E4FE0"/>
    <w:rsid w:val="008E5013"/>
    <w:rsid w:val="008E5016"/>
    <w:rsid w:val="008E50FF"/>
    <w:rsid w:val="008E518F"/>
    <w:rsid w:val="008E51D2"/>
    <w:rsid w:val="008E522F"/>
    <w:rsid w:val="008E5279"/>
    <w:rsid w:val="008E533B"/>
    <w:rsid w:val="008E5344"/>
    <w:rsid w:val="008E535D"/>
    <w:rsid w:val="008E53F9"/>
    <w:rsid w:val="008E540A"/>
    <w:rsid w:val="008E543F"/>
    <w:rsid w:val="008E54B0"/>
    <w:rsid w:val="008E55C7"/>
    <w:rsid w:val="008E55FA"/>
    <w:rsid w:val="008E567F"/>
    <w:rsid w:val="008E56B9"/>
    <w:rsid w:val="008E56CE"/>
    <w:rsid w:val="008E56EA"/>
    <w:rsid w:val="008E576D"/>
    <w:rsid w:val="008E57BF"/>
    <w:rsid w:val="008E57E2"/>
    <w:rsid w:val="008E5853"/>
    <w:rsid w:val="008E58C6"/>
    <w:rsid w:val="008E5905"/>
    <w:rsid w:val="008E597B"/>
    <w:rsid w:val="008E59F7"/>
    <w:rsid w:val="008E5C12"/>
    <w:rsid w:val="008E5C1A"/>
    <w:rsid w:val="008E5C7A"/>
    <w:rsid w:val="008E5C9F"/>
    <w:rsid w:val="008E5CA0"/>
    <w:rsid w:val="008E5CAD"/>
    <w:rsid w:val="008E5D40"/>
    <w:rsid w:val="008E5D63"/>
    <w:rsid w:val="008E5D75"/>
    <w:rsid w:val="008E5D83"/>
    <w:rsid w:val="008E5DBC"/>
    <w:rsid w:val="008E5EA8"/>
    <w:rsid w:val="008E5EC4"/>
    <w:rsid w:val="008E5F90"/>
    <w:rsid w:val="008E5FAA"/>
    <w:rsid w:val="008E6079"/>
    <w:rsid w:val="008E60DC"/>
    <w:rsid w:val="008E60ED"/>
    <w:rsid w:val="008E6121"/>
    <w:rsid w:val="008E61B9"/>
    <w:rsid w:val="008E6283"/>
    <w:rsid w:val="008E6297"/>
    <w:rsid w:val="008E6309"/>
    <w:rsid w:val="008E63AD"/>
    <w:rsid w:val="008E63DC"/>
    <w:rsid w:val="008E63EF"/>
    <w:rsid w:val="008E63FE"/>
    <w:rsid w:val="008E6514"/>
    <w:rsid w:val="008E6567"/>
    <w:rsid w:val="008E656A"/>
    <w:rsid w:val="008E65A5"/>
    <w:rsid w:val="008E65C9"/>
    <w:rsid w:val="008E67DF"/>
    <w:rsid w:val="008E696E"/>
    <w:rsid w:val="008E6B55"/>
    <w:rsid w:val="008E6C93"/>
    <w:rsid w:val="008E6CB1"/>
    <w:rsid w:val="008E6CB7"/>
    <w:rsid w:val="008E6CD7"/>
    <w:rsid w:val="008E6D27"/>
    <w:rsid w:val="008E6D8D"/>
    <w:rsid w:val="008E6DA1"/>
    <w:rsid w:val="008E6DAA"/>
    <w:rsid w:val="008E6E95"/>
    <w:rsid w:val="008E6E9E"/>
    <w:rsid w:val="008E6F52"/>
    <w:rsid w:val="008E703A"/>
    <w:rsid w:val="008E705D"/>
    <w:rsid w:val="008E7252"/>
    <w:rsid w:val="008E728F"/>
    <w:rsid w:val="008E7386"/>
    <w:rsid w:val="008E73ED"/>
    <w:rsid w:val="008E7401"/>
    <w:rsid w:val="008E740B"/>
    <w:rsid w:val="008E7420"/>
    <w:rsid w:val="008E74CA"/>
    <w:rsid w:val="008E750D"/>
    <w:rsid w:val="008E7520"/>
    <w:rsid w:val="008E7521"/>
    <w:rsid w:val="008E7595"/>
    <w:rsid w:val="008E761B"/>
    <w:rsid w:val="008E7739"/>
    <w:rsid w:val="008E78BF"/>
    <w:rsid w:val="008E79B2"/>
    <w:rsid w:val="008E7A55"/>
    <w:rsid w:val="008E7A5E"/>
    <w:rsid w:val="008E7AE3"/>
    <w:rsid w:val="008E7AE4"/>
    <w:rsid w:val="008E7B4B"/>
    <w:rsid w:val="008E7B88"/>
    <w:rsid w:val="008E7B8B"/>
    <w:rsid w:val="008E7C55"/>
    <w:rsid w:val="008E7C9B"/>
    <w:rsid w:val="008E7D31"/>
    <w:rsid w:val="008E7D8C"/>
    <w:rsid w:val="008E7DF1"/>
    <w:rsid w:val="008E7E21"/>
    <w:rsid w:val="008E7E23"/>
    <w:rsid w:val="008E7E49"/>
    <w:rsid w:val="008E7E80"/>
    <w:rsid w:val="008E7F31"/>
    <w:rsid w:val="008E7F50"/>
    <w:rsid w:val="008E7F68"/>
    <w:rsid w:val="008F007C"/>
    <w:rsid w:val="008F00A6"/>
    <w:rsid w:val="008F00C2"/>
    <w:rsid w:val="008F0157"/>
    <w:rsid w:val="008F024F"/>
    <w:rsid w:val="008F0320"/>
    <w:rsid w:val="008F0376"/>
    <w:rsid w:val="008F03E3"/>
    <w:rsid w:val="008F0412"/>
    <w:rsid w:val="008F044B"/>
    <w:rsid w:val="008F051F"/>
    <w:rsid w:val="008F05E8"/>
    <w:rsid w:val="008F06F6"/>
    <w:rsid w:val="008F0852"/>
    <w:rsid w:val="008F08AE"/>
    <w:rsid w:val="008F0978"/>
    <w:rsid w:val="008F0992"/>
    <w:rsid w:val="008F0A2C"/>
    <w:rsid w:val="008F0AB2"/>
    <w:rsid w:val="008F0AD3"/>
    <w:rsid w:val="008F0AF6"/>
    <w:rsid w:val="008F0B18"/>
    <w:rsid w:val="008F0B21"/>
    <w:rsid w:val="008F0B57"/>
    <w:rsid w:val="008F0B8C"/>
    <w:rsid w:val="008F0C01"/>
    <w:rsid w:val="008F0C18"/>
    <w:rsid w:val="008F0C26"/>
    <w:rsid w:val="008F0C46"/>
    <w:rsid w:val="008F0C95"/>
    <w:rsid w:val="008F0E25"/>
    <w:rsid w:val="008F0F77"/>
    <w:rsid w:val="008F109E"/>
    <w:rsid w:val="008F1100"/>
    <w:rsid w:val="008F1108"/>
    <w:rsid w:val="008F113F"/>
    <w:rsid w:val="008F11ED"/>
    <w:rsid w:val="008F11FE"/>
    <w:rsid w:val="008F1202"/>
    <w:rsid w:val="008F12A6"/>
    <w:rsid w:val="008F12C6"/>
    <w:rsid w:val="008F1312"/>
    <w:rsid w:val="008F136B"/>
    <w:rsid w:val="008F1412"/>
    <w:rsid w:val="008F1461"/>
    <w:rsid w:val="008F1647"/>
    <w:rsid w:val="008F1683"/>
    <w:rsid w:val="008F1704"/>
    <w:rsid w:val="008F170B"/>
    <w:rsid w:val="008F1784"/>
    <w:rsid w:val="008F1798"/>
    <w:rsid w:val="008F17B8"/>
    <w:rsid w:val="008F1848"/>
    <w:rsid w:val="008F1890"/>
    <w:rsid w:val="008F18D0"/>
    <w:rsid w:val="008F191F"/>
    <w:rsid w:val="008F19A8"/>
    <w:rsid w:val="008F19BE"/>
    <w:rsid w:val="008F19DC"/>
    <w:rsid w:val="008F1A0E"/>
    <w:rsid w:val="008F1A9F"/>
    <w:rsid w:val="008F1AA8"/>
    <w:rsid w:val="008F1B02"/>
    <w:rsid w:val="008F1C23"/>
    <w:rsid w:val="008F1CDF"/>
    <w:rsid w:val="008F1CE3"/>
    <w:rsid w:val="008F1ED0"/>
    <w:rsid w:val="008F2064"/>
    <w:rsid w:val="008F207F"/>
    <w:rsid w:val="008F20BB"/>
    <w:rsid w:val="008F20EC"/>
    <w:rsid w:val="008F20F1"/>
    <w:rsid w:val="008F21CA"/>
    <w:rsid w:val="008F2224"/>
    <w:rsid w:val="008F2254"/>
    <w:rsid w:val="008F2289"/>
    <w:rsid w:val="008F2335"/>
    <w:rsid w:val="008F2355"/>
    <w:rsid w:val="008F2457"/>
    <w:rsid w:val="008F24D7"/>
    <w:rsid w:val="008F2521"/>
    <w:rsid w:val="008F255D"/>
    <w:rsid w:val="008F261C"/>
    <w:rsid w:val="008F2659"/>
    <w:rsid w:val="008F2750"/>
    <w:rsid w:val="008F2781"/>
    <w:rsid w:val="008F2789"/>
    <w:rsid w:val="008F281E"/>
    <w:rsid w:val="008F2915"/>
    <w:rsid w:val="008F2966"/>
    <w:rsid w:val="008F296A"/>
    <w:rsid w:val="008F29F6"/>
    <w:rsid w:val="008F2A0C"/>
    <w:rsid w:val="008F2A4A"/>
    <w:rsid w:val="008F2AA1"/>
    <w:rsid w:val="008F2AC5"/>
    <w:rsid w:val="008F2ADC"/>
    <w:rsid w:val="008F2AE1"/>
    <w:rsid w:val="008F2B22"/>
    <w:rsid w:val="008F2D2E"/>
    <w:rsid w:val="008F2E03"/>
    <w:rsid w:val="008F2F2C"/>
    <w:rsid w:val="008F2FCF"/>
    <w:rsid w:val="008F304C"/>
    <w:rsid w:val="008F3140"/>
    <w:rsid w:val="008F31A4"/>
    <w:rsid w:val="008F3277"/>
    <w:rsid w:val="008F353C"/>
    <w:rsid w:val="008F35E8"/>
    <w:rsid w:val="008F373A"/>
    <w:rsid w:val="008F376A"/>
    <w:rsid w:val="008F379E"/>
    <w:rsid w:val="008F387A"/>
    <w:rsid w:val="008F387D"/>
    <w:rsid w:val="008F38B7"/>
    <w:rsid w:val="008F38D1"/>
    <w:rsid w:val="008F3989"/>
    <w:rsid w:val="008F39ED"/>
    <w:rsid w:val="008F3A04"/>
    <w:rsid w:val="008F3BF0"/>
    <w:rsid w:val="008F3C9E"/>
    <w:rsid w:val="008F3CFB"/>
    <w:rsid w:val="008F3DDF"/>
    <w:rsid w:val="008F3E7A"/>
    <w:rsid w:val="008F3F94"/>
    <w:rsid w:val="008F408B"/>
    <w:rsid w:val="008F40BD"/>
    <w:rsid w:val="008F42A7"/>
    <w:rsid w:val="008F4324"/>
    <w:rsid w:val="008F432A"/>
    <w:rsid w:val="008F4348"/>
    <w:rsid w:val="008F434D"/>
    <w:rsid w:val="008F4350"/>
    <w:rsid w:val="008F436E"/>
    <w:rsid w:val="008F43F0"/>
    <w:rsid w:val="008F441E"/>
    <w:rsid w:val="008F4441"/>
    <w:rsid w:val="008F4444"/>
    <w:rsid w:val="008F44A5"/>
    <w:rsid w:val="008F452E"/>
    <w:rsid w:val="008F4544"/>
    <w:rsid w:val="008F46A6"/>
    <w:rsid w:val="008F4944"/>
    <w:rsid w:val="008F49FD"/>
    <w:rsid w:val="008F4A00"/>
    <w:rsid w:val="008F4A06"/>
    <w:rsid w:val="008F4BBB"/>
    <w:rsid w:val="008F4C76"/>
    <w:rsid w:val="008F4CD4"/>
    <w:rsid w:val="008F4EAF"/>
    <w:rsid w:val="008F4F29"/>
    <w:rsid w:val="008F4FC6"/>
    <w:rsid w:val="008F4FCF"/>
    <w:rsid w:val="008F500B"/>
    <w:rsid w:val="008F506D"/>
    <w:rsid w:val="008F50EC"/>
    <w:rsid w:val="008F50FE"/>
    <w:rsid w:val="008F5333"/>
    <w:rsid w:val="008F535B"/>
    <w:rsid w:val="008F542A"/>
    <w:rsid w:val="008F546D"/>
    <w:rsid w:val="008F547B"/>
    <w:rsid w:val="008F5557"/>
    <w:rsid w:val="008F5560"/>
    <w:rsid w:val="008F563B"/>
    <w:rsid w:val="008F569D"/>
    <w:rsid w:val="008F57D0"/>
    <w:rsid w:val="008F5913"/>
    <w:rsid w:val="008F59E7"/>
    <w:rsid w:val="008F5A61"/>
    <w:rsid w:val="008F5A63"/>
    <w:rsid w:val="008F5A7B"/>
    <w:rsid w:val="008F5AD0"/>
    <w:rsid w:val="008F5B7D"/>
    <w:rsid w:val="008F5BDE"/>
    <w:rsid w:val="008F5DAE"/>
    <w:rsid w:val="008F5E0F"/>
    <w:rsid w:val="008F5EB4"/>
    <w:rsid w:val="008F5EEB"/>
    <w:rsid w:val="008F5EF7"/>
    <w:rsid w:val="008F5F9F"/>
    <w:rsid w:val="008F60C1"/>
    <w:rsid w:val="008F60CF"/>
    <w:rsid w:val="008F60F7"/>
    <w:rsid w:val="008F6238"/>
    <w:rsid w:val="008F6589"/>
    <w:rsid w:val="008F65A9"/>
    <w:rsid w:val="008F661F"/>
    <w:rsid w:val="008F667D"/>
    <w:rsid w:val="008F6686"/>
    <w:rsid w:val="008F67FF"/>
    <w:rsid w:val="008F6826"/>
    <w:rsid w:val="008F6867"/>
    <w:rsid w:val="008F6877"/>
    <w:rsid w:val="008F68E5"/>
    <w:rsid w:val="008F693F"/>
    <w:rsid w:val="008F6BD4"/>
    <w:rsid w:val="008F6BD9"/>
    <w:rsid w:val="008F6DEA"/>
    <w:rsid w:val="008F6DFB"/>
    <w:rsid w:val="008F6E69"/>
    <w:rsid w:val="008F6E9F"/>
    <w:rsid w:val="008F6EBC"/>
    <w:rsid w:val="008F6F4A"/>
    <w:rsid w:val="008F6FC1"/>
    <w:rsid w:val="008F7127"/>
    <w:rsid w:val="008F71C3"/>
    <w:rsid w:val="008F72A9"/>
    <w:rsid w:val="008F732E"/>
    <w:rsid w:val="008F7344"/>
    <w:rsid w:val="008F73E1"/>
    <w:rsid w:val="008F740F"/>
    <w:rsid w:val="008F75D7"/>
    <w:rsid w:val="008F7719"/>
    <w:rsid w:val="008F772F"/>
    <w:rsid w:val="008F773B"/>
    <w:rsid w:val="008F778C"/>
    <w:rsid w:val="008F787F"/>
    <w:rsid w:val="008F78C9"/>
    <w:rsid w:val="008F790B"/>
    <w:rsid w:val="008F7995"/>
    <w:rsid w:val="008F7A0A"/>
    <w:rsid w:val="008F7AAB"/>
    <w:rsid w:val="008F7B6D"/>
    <w:rsid w:val="008F7BB9"/>
    <w:rsid w:val="008F7BDD"/>
    <w:rsid w:val="008F7C1D"/>
    <w:rsid w:val="008F7C4D"/>
    <w:rsid w:val="008F7C69"/>
    <w:rsid w:val="008F7C72"/>
    <w:rsid w:val="008F7E11"/>
    <w:rsid w:val="008F7E6B"/>
    <w:rsid w:val="008F7F0F"/>
    <w:rsid w:val="008F7F1F"/>
    <w:rsid w:val="008F7F61"/>
    <w:rsid w:val="008F7F62"/>
    <w:rsid w:val="008F7F90"/>
    <w:rsid w:val="00900056"/>
    <w:rsid w:val="009000C9"/>
    <w:rsid w:val="009000DF"/>
    <w:rsid w:val="00900349"/>
    <w:rsid w:val="00900388"/>
    <w:rsid w:val="009003AF"/>
    <w:rsid w:val="00900415"/>
    <w:rsid w:val="00900469"/>
    <w:rsid w:val="00900565"/>
    <w:rsid w:val="0090059D"/>
    <w:rsid w:val="009005FA"/>
    <w:rsid w:val="00900640"/>
    <w:rsid w:val="009007A2"/>
    <w:rsid w:val="009007DA"/>
    <w:rsid w:val="009007DE"/>
    <w:rsid w:val="00900861"/>
    <w:rsid w:val="009008D9"/>
    <w:rsid w:val="00900975"/>
    <w:rsid w:val="009009AF"/>
    <w:rsid w:val="00900A02"/>
    <w:rsid w:val="00900A25"/>
    <w:rsid w:val="00900B8E"/>
    <w:rsid w:val="00900C64"/>
    <w:rsid w:val="00900CAE"/>
    <w:rsid w:val="00900D48"/>
    <w:rsid w:val="00900E74"/>
    <w:rsid w:val="00900EC8"/>
    <w:rsid w:val="00900EFC"/>
    <w:rsid w:val="00900F23"/>
    <w:rsid w:val="00900FED"/>
    <w:rsid w:val="0090104A"/>
    <w:rsid w:val="0090116A"/>
    <w:rsid w:val="00901184"/>
    <w:rsid w:val="00901240"/>
    <w:rsid w:val="00901297"/>
    <w:rsid w:val="00901304"/>
    <w:rsid w:val="0090131F"/>
    <w:rsid w:val="00901371"/>
    <w:rsid w:val="0090139E"/>
    <w:rsid w:val="00901419"/>
    <w:rsid w:val="0090147D"/>
    <w:rsid w:val="00901514"/>
    <w:rsid w:val="009015C4"/>
    <w:rsid w:val="009015E7"/>
    <w:rsid w:val="009015FE"/>
    <w:rsid w:val="00901635"/>
    <w:rsid w:val="0090165C"/>
    <w:rsid w:val="009016A6"/>
    <w:rsid w:val="00901700"/>
    <w:rsid w:val="00901799"/>
    <w:rsid w:val="009017F7"/>
    <w:rsid w:val="00901887"/>
    <w:rsid w:val="009018ED"/>
    <w:rsid w:val="0090193D"/>
    <w:rsid w:val="0090198C"/>
    <w:rsid w:val="009019CA"/>
    <w:rsid w:val="009019FB"/>
    <w:rsid w:val="00901A95"/>
    <w:rsid w:val="00901AC2"/>
    <w:rsid w:val="00901AC6"/>
    <w:rsid w:val="00901B22"/>
    <w:rsid w:val="00901B70"/>
    <w:rsid w:val="00901BB3"/>
    <w:rsid w:val="00901BBB"/>
    <w:rsid w:val="00901D02"/>
    <w:rsid w:val="00901D1A"/>
    <w:rsid w:val="00901DA1"/>
    <w:rsid w:val="00901EA5"/>
    <w:rsid w:val="00901F63"/>
    <w:rsid w:val="0090207E"/>
    <w:rsid w:val="009020C6"/>
    <w:rsid w:val="00902150"/>
    <w:rsid w:val="00902187"/>
    <w:rsid w:val="0090219A"/>
    <w:rsid w:val="009021B4"/>
    <w:rsid w:val="009021B5"/>
    <w:rsid w:val="0090220B"/>
    <w:rsid w:val="00902390"/>
    <w:rsid w:val="009023B1"/>
    <w:rsid w:val="00902537"/>
    <w:rsid w:val="009025A8"/>
    <w:rsid w:val="00902601"/>
    <w:rsid w:val="0090266C"/>
    <w:rsid w:val="009026A1"/>
    <w:rsid w:val="009027E3"/>
    <w:rsid w:val="0090282D"/>
    <w:rsid w:val="00902A60"/>
    <w:rsid w:val="00902AE1"/>
    <w:rsid w:val="00902B28"/>
    <w:rsid w:val="00902B4F"/>
    <w:rsid w:val="00902BC5"/>
    <w:rsid w:val="00902BD2"/>
    <w:rsid w:val="00902C7B"/>
    <w:rsid w:val="00902C94"/>
    <w:rsid w:val="00902D31"/>
    <w:rsid w:val="00902D81"/>
    <w:rsid w:val="00902E5E"/>
    <w:rsid w:val="00902EE6"/>
    <w:rsid w:val="00902FAE"/>
    <w:rsid w:val="00903023"/>
    <w:rsid w:val="0090308E"/>
    <w:rsid w:val="0090308F"/>
    <w:rsid w:val="00903146"/>
    <w:rsid w:val="0090316F"/>
    <w:rsid w:val="00903199"/>
    <w:rsid w:val="0090319E"/>
    <w:rsid w:val="009031D0"/>
    <w:rsid w:val="0090329D"/>
    <w:rsid w:val="0090331C"/>
    <w:rsid w:val="00903324"/>
    <w:rsid w:val="00903359"/>
    <w:rsid w:val="00903393"/>
    <w:rsid w:val="00903423"/>
    <w:rsid w:val="00903430"/>
    <w:rsid w:val="009034D3"/>
    <w:rsid w:val="009036E3"/>
    <w:rsid w:val="009037F7"/>
    <w:rsid w:val="00903850"/>
    <w:rsid w:val="00903877"/>
    <w:rsid w:val="00903885"/>
    <w:rsid w:val="009038DA"/>
    <w:rsid w:val="009038F4"/>
    <w:rsid w:val="009038FA"/>
    <w:rsid w:val="00903972"/>
    <w:rsid w:val="00903973"/>
    <w:rsid w:val="009039E1"/>
    <w:rsid w:val="009039FE"/>
    <w:rsid w:val="00903B88"/>
    <w:rsid w:val="00903BDF"/>
    <w:rsid w:val="00903BE2"/>
    <w:rsid w:val="00903C3C"/>
    <w:rsid w:val="00903C4E"/>
    <w:rsid w:val="00903DFA"/>
    <w:rsid w:val="00903E4E"/>
    <w:rsid w:val="00903EB0"/>
    <w:rsid w:val="00903FC3"/>
    <w:rsid w:val="00903FD9"/>
    <w:rsid w:val="00904055"/>
    <w:rsid w:val="00904067"/>
    <w:rsid w:val="009040EE"/>
    <w:rsid w:val="00904106"/>
    <w:rsid w:val="00904183"/>
    <w:rsid w:val="00904304"/>
    <w:rsid w:val="00904343"/>
    <w:rsid w:val="00904368"/>
    <w:rsid w:val="009044DD"/>
    <w:rsid w:val="009044E4"/>
    <w:rsid w:val="00904519"/>
    <w:rsid w:val="00904568"/>
    <w:rsid w:val="0090472C"/>
    <w:rsid w:val="009049E8"/>
    <w:rsid w:val="00904A02"/>
    <w:rsid w:val="00904A07"/>
    <w:rsid w:val="00904A81"/>
    <w:rsid w:val="00904AC4"/>
    <w:rsid w:val="00904AD3"/>
    <w:rsid w:val="00904B47"/>
    <w:rsid w:val="00904BEA"/>
    <w:rsid w:val="00904C31"/>
    <w:rsid w:val="00904D85"/>
    <w:rsid w:val="00904DCB"/>
    <w:rsid w:val="00904E37"/>
    <w:rsid w:val="00904E59"/>
    <w:rsid w:val="00904ED5"/>
    <w:rsid w:val="00904F0A"/>
    <w:rsid w:val="00904F11"/>
    <w:rsid w:val="00904F8B"/>
    <w:rsid w:val="00904FBC"/>
    <w:rsid w:val="009050F0"/>
    <w:rsid w:val="0090526E"/>
    <w:rsid w:val="009052B6"/>
    <w:rsid w:val="0090534C"/>
    <w:rsid w:val="00905409"/>
    <w:rsid w:val="00905457"/>
    <w:rsid w:val="00905480"/>
    <w:rsid w:val="009055B6"/>
    <w:rsid w:val="009056F2"/>
    <w:rsid w:val="00905706"/>
    <w:rsid w:val="0090571E"/>
    <w:rsid w:val="009057B8"/>
    <w:rsid w:val="00905A54"/>
    <w:rsid w:val="00905AB8"/>
    <w:rsid w:val="00905AF2"/>
    <w:rsid w:val="00905B96"/>
    <w:rsid w:val="00905BBA"/>
    <w:rsid w:val="00905C7F"/>
    <w:rsid w:val="00905D5C"/>
    <w:rsid w:val="00905E07"/>
    <w:rsid w:val="00905EFA"/>
    <w:rsid w:val="00905FDB"/>
    <w:rsid w:val="00905FF1"/>
    <w:rsid w:val="0090613A"/>
    <w:rsid w:val="009061A3"/>
    <w:rsid w:val="009062E6"/>
    <w:rsid w:val="009063C7"/>
    <w:rsid w:val="0090653D"/>
    <w:rsid w:val="009065B4"/>
    <w:rsid w:val="009065CD"/>
    <w:rsid w:val="00906605"/>
    <w:rsid w:val="0090662F"/>
    <w:rsid w:val="009066C9"/>
    <w:rsid w:val="0090670C"/>
    <w:rsid w:val="0090674F"/>
    <w:rsid w:val="00906778"/>
    <w:rsid w:val="00906865"/>
    <w:rsid w:val="009069C7"/>
    <w:rsid w:val="009069E5"/>
    <w:rsid w:val="00906C36"/>
    <w:rsid w:val="00906CC9"/>
    <w:rsid w:val="00906CE8"/>
    <w:rsid w:val="00906DA5"/>
    <w:rsid w:val="00906DCF"/>
    <w:rsid w:val="00906DDC"/>
    <w:rsid w:val="00906E08"/>
    <w:rsid w:val="00906EE6"/>
    <w:rsid w:val="00907028"/>
    <w:rsid w:val="00907065"/>
    <w:rsid w:val="00907258"/>
    <w:rsid w:val="00907291"/>
    <w:rsid w:val="009072C9"/>
    <w:rsid w:val="009072E5"/>
    <w:rsid w:val="00907331"/>
    <w:rsid w:val="00907358"/>
    <w:rsid w:val="00907359"/>
    <w:rsid w:val="00907410"/>
    <w:rsid w:val="009074D7"/>
    <w:rsid w:val="009074DF"/>
    <w:rsid w:val="009074ED"/>
    <w:rsid w:val="00907545"/>
    <w:rsid w:val="0090762C"/>
    <w:rsid w:val="0090763A"/>
    <w:rsid w:val="009076DE"/>
    <w:rsid w:val="00907716"/>
    <w:rsid w:val="009077A3"/>
    <w:rsid w:val="009077D4"/>
    <w:rsid w:val="0090781E"/>
    <w:rsid w:val="00907903"/>
    <w:rsid w:val="0090792B"/>
    <w:rsid w:val="00907938"/>
    <w:rsid w:val="0090796B"/>
    <w:rsid w:val="00907980"/>
    <w:rsid w:val="009079E3"/>
    <w:rsid w:val="009079FE"/>
    <w:rsid w:val="00907AA8"/>
    <w:rsid w:val="00907AFB"/>
    <w:rsid w:val="00907B22"/>
    <w:rsid w:val="00907B89"/>
    <w:rsid w:val="00907B9B"/>
    <w:rsid w:val="00907C10"/>
    <w:rsid w:val="00907D32"/>
    <w:rsid w:val="00907E6E"/>
    <w:rsid w:val="00907F83"/>
    <w:rsid w:val="00907FD6"/>
    <w:rsid w:val="00907FDB"/>
    <w:rsid w:val="00907FE6"/>
    <w:rsid w:val="009100ED"/>
    <w:rsid w:val="00910152"/>
    <w:rsid w:val="009101B9"/>
    <w:rsid w:val="00910252"/>
    <w:rsid w:val="009102D1"/>
    <w:rsid w:val="009103B6"/>
    <w:rsid w:val="0091041C"/>
    <w:rsid w:val="00910487"/>
    <w:rsid w:val="0091061D"/>
    <w:rsid w:val="0091066A"/>
    <w:rsid w:val="0091066D"/>
    <w:rsid w:val="0091068A"/>
    <w:rsid w:val="009106C5"/>
    <w:rsid w:val="009107B1"/>
    <w:rsid w:val="0091088E"/>
    <w:rsid w:val="00910923"/>
    <w:rsid w:val="009109A8"/>
    <w:rsid w:val="009109C9"/>
    <w:rsid w:val="009109EA"/>
    <w:rsid w:val="00910AF7"/>
    <w:rsid w:val="00910BB4"/>
    <w:rsid w:val="00910C39"/>
    <w:rsid w:val="00910C68"/>
    <w:rsid w:val="00910EC0"/>
    <w:rsid w:val="00910F04"/>
    <w:rsid w:val="00910F4F"/>
    <w:rsid w:val="00910F57"/>
    <w:rsid w:val="00910F9A"/>
    <w:rsid w:val="00911130"/>
    <w:rsid w:val="0091130E"/>
    <w:rsid w:val="00911353"/>
    <w:rsid w:val="00911354"/>
    <w:rsid w:val="0091139A"/>
    <w:rsid w:val="0091146F"/>
    <w:rsid w:val="00911569"/>
    <w:rsid w:val="00911590"/>
    <w:rsid w:val="00911612"/>
    <w:rsid w:val="00911616"/>
    <w:rsid w:val="00911717"/>
    <w:rsid w:val="009118CF"/>
    <w:rsid w:val="009119C7"/>
    <w:rsid w:val="00911CAB"/>
    <w:rsid w:val="00911D5D"/>
    <w:rsid w:val="00911DD9"/>
    <w:rsid w:val="00911E34"/>
    <w:rsid w:val="00911E6F"/>
    <w:rsid w:val="00911E8A"/>
    <w:rsid w:val="00911F78"/>
    <w:rsid w:val="00912045"/>
    <w:rsid w:val="009120EF"/>
    <w:rsid w:val="009121FA"/>
    <w:rsid w:val="00912252"/>
    <w:rsid w:val="00912387"/>
    <w:rsid w:val="0091247E"/>
    <w:rsid w:val="009124CF"/>
    <w:rsid w:val="009124DA"/>
    <w:rsid w:val="0091260C"/>
    <w:rsid w:val="0091262B"/>
    <w:rsid w:val="00912643"/>
    <w:rsid w:val="0091268D"/>
    <w:rsid w:val="0091270A"/>
    <w:rsid w:val="009127C9"/>
    <w:rsid w:val="009127E8"/>
    <w:rsid w:val="00912820"/>
    <w:rsid w:val="00912821"/>
    <w:rsid w:val="00912967"/>
    <w:rsid w:val="00912978"/>
    <w:rsid w:val="009129AD"/>
    <w:rsid w:val="00912A5A"/>
    <w:rsid w:val="00912AE5"/>
    <w:rsid w:val="00912C83"/>
    <w:rsid w:val="00912D06"/>
    <w:rsid w:val="00912D0E"/>
    <w:rsid w:val="00912DA1"/>
    <w:rsid w:val="00912DE6"/>
    <w:rsid w:val="00912E43"/>
    <w:rsid w:val="00912E4F"/>
    <w:rsid w:val="009130CF"/>
    <w:rsid w:val="00913185"/>
    <w:rsid w:val="0091327B"/>
    <w:rsid w:val="009134EB"/>
    <w:rsid w:val="00913576"/>
    <w:rsid w:val="009135A2"/>
    <w:rsid w:val="00913677"/>
    <w:rsid w:val="00913678"/>
    <w:rsid w:val="009136A7"/>
    <w:rsid w:val="009136FD"/>
    <w:rsid w:val="0091370D"/>
    <w:rsid w:val="00913782"/>
    <w:rsid w:val="00913792"/>
    <w:rsid w:val="009137C9"/>
    <w:rsid w:val="009137DA"/>
    <w:rsid w:val="009137E3"/>
    <w:rsid w:val="00913889"/>
    <w:rsid w:val="009138DF"/>
    <w:rsid w:val="00913A21"/>
    <w:rsid w:val="00913A48"/>
    <w:rsid w:val="00913B45"/>
    <w:rsid w:val="00913B84"/>
    <w:rsid w:val="00913BAB"/>
    <w:rsid w:val="00913C5D"/>
    <w:rsid w:val="00913D2F"/>
    <w:rsid w:val="00913D36"/>
    <w:rsid w:val="00913D83"/>
    <w:rsid w:val="00913DAB"/>
    <w:rsid w:val="00913E36"/>
    <w:rsid w:val="00913E48"/>
    <w:rsid w:val="00913ED4"/>
    <w:rsid w:val="00913F17"/>
    <w:rsid w:val="00913F97"/>
    <w:rsid w:val="00913FEC"/>
    <w:rsid w:val="0091404C"/>
    <w:rsid w:val="00914055"/>
    <w:rsid w:val="009141D5"/>
    <w:rsid w:val="00914241"/>
    <w:rsid w:val="009142A8"/>
    <w:rsid w:val="009146B2"/>
    <w:rsid w:val="009147BF"/>
    <w:rsid w:val="00914889"/>
    <w:rsid w:val="00914941"/>
    <w:rsid w:val="009149B8"/>
    <w:rsid w:val="009149BA"/>
    <w:rsid w:val="00914BA3"/>
    <w:rsid w:val="00914C9A"/>
    <w:rsid w:val="00914E14"/>
    <w:rsid w:val="00914E88"/>
    <w:rsid w:val="00914EA9"/>
    <w:rsid w:val="00914FD3"/>
    <w:rsid w:val="00915125"/>
    <w:rsid w:val="0091514A"/>
    <w:rsid w:val="0091515C"/>
    <w:rsid w:val="009152C6"/>
    <w:rsid w:val="00915385"/>
    <w:rsid w:val="009153B5"/>
    <w:rsid w:val="00915401"/>
    <w:rsid w:val="009154EE"/>
    <w:rsid w:val="00915522"/>
    <w:rsid w:val="0091553B"/>
    <w:rsid w:val="009155C4"/>
    <w:rsid w:val="009155D7"/>
    <w:rsid w:val="009155DC"/>
    <w:rsid w:val="0091564B"/>
    <w:rsid w:val="00915698"/>
    <w:rsid w:val="009156C6"/>
    <w:rsid w:val="0091571E"/>
    <w:rsid w:val="00915768"/>
    <w:rsid w:val="009157D8"/>
    <w:rsid w:val="00915849"/>
    <w:rsid w:val="00915B2C"/>
    <w:rsid w:val="00915B45"/>
    <w:rsid w:val="00915BBB"/>
    <w:rsid w:val="00915C36"/>
    <w:rsid w:val="00915CC0"/>
    <w:rsid w:val="00915CF6"/>
    <w:rsid w:val="00915E5B"/>
    <w:rsid w:val="00915E77"/>
    <w:rsid w:val="00915F83"/>
    <w:rsid w:val="00915FE6"/>
    <w:rsid w:val="00916072"/>
    <w:rsid w:val="00916073"/>
    <w:rsid w:val="009160F9"/>
    <w:rsid w:val="00916144"/>
    <w:rsid w:val="0091615E"/>
    <w:rsid w:val="00916219"/>
    <w:rsid w:val="00916221"/>
    <w:rsid w:val="0091625E"/>
    <w:rsid w:val="0091628B"/>
    <w:rsid w:val="009162D6"/>
    <w:rsid w:val="0091630F"/>
    <w:rsid w:val="0091631B"/>
    <w:rsid w:val="009163E9"/>
    <w:rsid w:val="00916489"/>
    <w:rsid w:val="009164AC"/>
    <w:rsid w:val="009164E3"/>
    <w:rsid w:val="0091657C"/>
    <w:rsid w:val="009165A3"/>
    <w:rsid w:val="009165F7"/>
    <w:rsid w:val="009166D8"/>
    <w:rsid w:val="00916795"/>
    <w:rsid w:val="00916913"/>
    <w:rsid w:val="00916980"/>
    <w:rsid w:val="009169B2"/>
    <w:rsid w:val="009169DA"/>
    <w:rsid w:val="00916A24"/>
    <w:rsid w:val="00916E0C"/>
    <w:rsid w:val="00916EC5"/>
    <w:rsid w:val="00916F27"/>
    <w:rsid w:val="00916F7B"/>
    <w:rsid w:val="00916FA6"/>
    <w:rsid w:val="00916FDA"/>
    <w:rsid w:val="00917002"/>
    <w:rsid w:val="0091704B"/>
    <w:rsid w:val="0091706A"/>
    <w:rsid w:val="00917077"/>
    <w:rsid w:val="0091707E"/>
    <w:rsid w:val="009170EB"/>
    <w:rsid w:val="0091715C"/>
    <w:rsid w:val="0091720B"/>
    <w:rsid w:val="009172B8"/>
    <w:rsid w:val="009172ED"/>
    <w:rsid w:val="0091733E"/>
    <w:rsid w:val="00917463"/>
    <w:rsid w:val="009174CE"/>
    <w:rsid w:val="00917556"/>
    <w:rsid w:val="009175DD"/>
    <w:rsid w:val="009175EB"/>
    <w:rsid w:val="00917706"/>
    <w:rsid w:val="00917726"/>
    <w:rsid w:val="009177E9"/>
    <w:rsid w:val="00917836"/>
    <w:rsid w:val="0091783C"/>
    <w:rsid w:val="00917878"/>
    <w:rsid w:val="00917909"/>
    <w:rsid w:val="00917A8C"/>
    <w:rsid w:val="00917ABA"/>
    <w:rsid w:val="00917AC4"/>
    <w:rsid w:val="00917B46"/>
    <w:rsid w:val="00917C2B"/>
    <w:rsid w:val="00917CB6"/>
    <w:rsid w:val="00917CC6"/>
    <w:rsid w:val="00917D22"/>
    <w:rsid w:val="00917D33"/>
    <w:rsid w:val="00917DBF"/>
    <w:rsid w:val="00917E11"/>
    <w:rsid w:val="00917E1B"/>
    <w:rsid w:val="00917E66"/>
    <w:rsid w:val="00917EB3"/>
    <w:rsid w:val="00917EE7"/>
    <w:rsid w:val="00917F50"/>
    <w:rsid w:val="00917FA2"/>
    <w:rsid w:val="0092002A"/>
    <w:rsid w:val="009201B1"/>
    <w:rsid w:val="0092026E"/>
    <w:rsid w:val="0092027A"/>
    <w:rsid w:val="009202B9"/>
    <w:rsid w:val="00920315"/>
    <w:rsid w:val="00920357"/>
    <w:rsid w:val="00920433"/>
    <w:rsid w:val="00920443"/>
    <w:rsid w:val="00920528"/>
    <w:rsid w:val="0092057F"/>
    <w:rsid w:val="009205A6"/>
    <w:rsid w:val="00920612"/>
    <w:rsid w:val="009206FF"/>
    <w:rsid w:val="0092087A"/>
    <w:rsid w:val="0092087E"/>
    <w:rsid w:val="0092089C"/>
    <w:rsid w:val="00920963"/>
    <w:rsid w:val="009209CC"/>
    <w:rsid w:val="009209D8"/>
    <w:rsid w:val="009209E3"/>
    <w:rsid w:val="00920A49"/>
    <w:rsid w:val="00920A67"/>
    <w:rsid w:val="00920B01"/>
    <w:rsid w:val="00920BF2"/>
    <w:rsid w:val="00920D56"/>
    <w:rsid w:val="00920D74"/>
    <w:rsid w:val="00920DA0"/>
    <w:rsid w:val="00920DCE"/>
    <w:rsid w:val="00920E1B"/>
    <w:rsid w:val="00920E90"/>
    <w:rsid w:val="00920EC9"/>
    <w:rsid w:val="00920F42"/>
    <w:rsid w:val="00920F79"/>
    <w:rsid w:val="00921085"/>
    <w:rsid w:val="009210A4"/>
    <w:rsid w:val="0092116B"/>
    <w:rsid w:val="0092129F"/>
    <w:rsid w:val="0092130F"/>
    <w:rsid w:val="00921368"/>
    <w:rsid w:val="0092168A"/>
    <w:rsid w:val="0092177E"/>
    <w:rsid w:val="009218BB"/>
    <w:rsid w:val="0092197F"/>
    <w:rsid w:val="009219F2"/>
    <w:rsid w:val="00921AFB"/>
    <w:rsid w:val="00921BC8"/>
    <w:rsid w:val="00921BDC"/>
    <w:rsid w:val="00921C9F"/>
    <w:rsid w:val="00921CA2"/>
    <w:rsid w:val="00921D1E"/>
    <w:rsid w:val="00921D5D"/>
    <w:rsid w:val="00921DAF"/>
    <w:rsid w:val="00921E2E"/>
    <w:rsid w:val="00921E8B"/>
    <w:rsid w:val="0092205A"/>
    <w:rsid w:val="0092206C"/>
    <w:rsid w:val="0092207C"/>
    <w:rsid w:val="00922083"/>
    <w:rsid w:val="00922096"/>
    <w:rsid w:val="009220DB"/>
    <w:rsid w:val="0092210B"/>
    <w:rsid w:val="0092215A"/>
    <w:rsid w:val="0092216D"/>
    <w:rsid w:val="0092219C"/>
    <w:rsid w:val="0092221B"/>
    <w:rsid w:val="0092228E"/>
    <w:rsid w:val="009222CF"/>
    <w:rsid w:val="0092230E"/>
    <w:rsid w:val="00922635"/>
    <w:rsid w:val="00922682"/>
    <w:rsid w:val="00922684"/>
    <w:rsid w:val="0092268E"/>
    <w:rsid w:val="00922740"/>
    <w:rsid w:val="0092277C"/>
    <w:rsid w:val="0092282D"/>
    <w:rsid w:val="009228C7"/>
    <w:rsid w:val="0092290D"/>
    <w:rsid w:val="00922A09"/>
    <w:rsid w:val="00922A63"/>
    <w:rsid w:val="00922B17"/>
    <w:rsid w:val="00922B3B"/>
    <w:rsid w:val="00922BCC"/>
    <w:rsid w:val="00922BE9"/>
    <w:rsid w:val="00922C8F"/>
    <w:rsid w:val="00922CFD"/>
    <w:rsid w:val="00922D24"/>
    <w:rsid w:val="00922D42"/>
    <w:rsid w:val="00922DBC"/>
    <w:rsid w:val="00922E49"/>
    <w:rsid w:val="00922EC7"/>
    <w:rsid w:val="00922F1F"/>
    <w:rsid w:val="00922F25"/>
    <w:rsid w:val="0092300B"/>
    <w:rsid w:val="00923072"/>
    <w:rsid w:val="0092314F"/>
    <w:rsid w:val="00923188"/>
    <w:rsid w:val="0092318D"/>
    <w:rsid w:val="00923473"/>
    <w:rsid w:val="009234BF"/>
    <w:rsid w:val="0092352B"/>
    <w:rsid w:val="009236BC"/>
    <w:rsid w:val="009236C6"/>
    <w:rsid w:val="00923712"/>
    <w:rsid w:val="009237EA"/>
    <w:rsid w:val="00923819"/>
    <w:rsid w:val="0092381C"/>
    <w:rsid w:val="0092384C"/>
    <w:rsid w:val="009238D1"/>
    <w:rsid w:val="009238E4"/>
    <w:rsid w:val="009238E5"/>
    <w:rsid w:val="0092393A"/>
    <w:rsid w:val="0092399B"/>
    <w:rsid w:val="009239F4"/>
    <w:rsid w:val="00923A78"/>
    <w:rsid w:val="00923AD6"/>
    <w:rsid w:val="00923BEA"/>
    <w:rsid w:val="00923C4A"/>
    <w:rsid w:val="00923CD1"/>
    <w:rsid w:val="00923D6F"/>
    <w:rsid w:val="00923E0B"/>
    <w:rsid w:val="00923E90"/>
    <w:rsid w:val="00924073"/>
    <w:rsid w:val="00924090"/>
    <w:rsid w:val="009240A8"/>
    <w:rsid w:val="00924136"/>
    <w:rsid w:val="00924137"/>
    <w:rsid w:val="0092417C"/>
    <w:rsid w:val="009242BE"/>
    <w:rsid w:val="009242E3"/>
    <w:rsid w:val="00924358"/>
    <w:rsid w:val="0092443E"/>
    <w:rsid w:val="0092453D"/>
    <w:rsid w:val="009246D4"/>
    <w:rsid w:val="00924797"/>
    <w:rsid w:val="009247F1"/>
    <w:rsid w:val="009247FB"/>
    <w:rsid w:val="0092485C"/>
    <w:rsid w:val="00924981"/>
    <w:rsid w:val="00924A77"/>
    <w:rsid w:val="00924AB8"/>
    <w:rsid w:val="00924ACC"/>
    <w:rsid w:val="00924B08"/>
    <w:rsid w:val="00924BD2"/>
    <w:rsid w:val="00924C17"/>
    <w:rsid w:val="00924C35"/>
    <w:rsid w:val="00924E10"/>
    <w:rsid w:val="00924E4C"/>
    <w:rsid w:val="00924EC8"/>
    <w:rsid w:val="00924F37"/>
    <w:rsid w:val="00924F4F"/>
    <w:rsid w:val="00924F6E"/>
    <w:rsid w:val="00925045"/>
    <w:rsid w:val="00925138"/>
    <w:rsid w:val="009251DF"/>
    <w:rsid w:val="0092520A"/>
    <w:rsid w:val="00925276"/>
    <w:rsid w:val="009252ED"/>
    <w:rsid w:val="00925307"/>
    <w:rsid w:val="0092531D"/>
    <w:rsid w:val="009253B1"/>
    <w:rsid w:val="009253E0"/>
    <w:rsid w:val="00925424"/>
    <w:rsid w:val="00925453"/>
    <w:rsid w:val="0092546B"/>
    <w:rsid w:val="009254E3"/>
    <w:rsid w:val="009256D8"/>
    <w:rsid w:val="00925851"/>
    <w:rsid w:val="009258EA"/>
    <w:rsid w:val="009259C1"/>
    <w:rsid w:val="00925A54"/>
    <w:rsid w:val="00925ABA"/>
    <w:rsid w:val="00925AC7"/>
    <w:rsid w:val="00925B15"/>
    <w:rsid w:val="00925B70"/>
    <w:rsid w:val="00925BD6"/>
    <w:rsid w:val="00925BFA"/>
    <w:rsid w:val="00925C72"/>
    <w:rsid w:val="00925C91"/>
    <w:rsid w:val="00925D03"/>
    <w:rsid w:val="00925DDA"/>
    <w:rsid w:val="00925DFC"/>
    <w:rsid w:val="00925E34"/>
    <w:rsid w:val="00925E51"/>
    <w:rsid w:val="00925F09"/>
    <w:rsid w:val="00925F55"/>
    <w:rsid w:val="00925FD9"/>
    <w:rsid w:val="00926019"/>
    <w:rsid w:val="0092614F"/>
    <w:rsid w:val="0092617E"/>
    <w:rsid w:val="009261FA"/>
    <w:rsid w:val="0092620D"/>
    <w:rsid w:val="00926341"/>
    <w:rsid w:val="0092636A"/>
    <w:rsid w:val="009263CF"/>
    <w:rsid w:val="009264E3"/>
    <w:rsid w:val="0092656D"/>
    <w:rsid w:val="0092659C"/>
    <w:rsid w:val="009265EA"/>
    <w:rsid w:val="0092670F"/>
    <w:rsid w:val="009267DE"/>
    <w:rsid w:val="009268CA"/>
    <w:rsid w:val="00926901"/>
    <w:rsid w:val="00926914"/>
    <w:rsid w:val="0092697E"/>
    <w:rsid w:val="00926A07"/>
    <w:rsid w:val="00926A40"/>
    <w:rsid w:val="00926B15"/>
    <w:rsid w:val="00926B2D"/>
    <w:rsid w:val="00926C36"/>
    <w:rsid w:val="00926C74"/>
    <w:rsid w:val="00926C88"/>
    <w:rsid w:val="00926DD7"/>
    <w:rsid w:val="00926F51"/>
    <w:rsid w:val="00926F5D"/>
    <w:rsid w:val="00926FD6"/>
    <w:rsid w:val="00926FDA"/>
    <w:rsid w:val="00927032"/>
    <w:rsid w:val="0092714D"/>
    <w:rsid w:val="009271CA"/>
    <w:rsid w:val="00927270"/>
    <w:rsid w:val="009272A3"/>
    <w:rsid w:val="00927337"/>
    <w:rsid w:val="0092733B"/>
    <w:rsid w:val="009273B4"/>
    <w:rsid w:val="0092747E"/>
    <w:rsid w:val="009274A6"/>
    <w:rsid w:val="00927513"/>
    <w:rsid w:val="0092751D"/>
    <w:rsid w:val="009275AF"/>
    <w:rsid w:val="00927606"/>
    <w:rsid w:val="0092763E"/>
    <w:rsid w:val="0092766A"/>
    <w:rsid w:val="009277FF"/>
    <w:rsid w:val="0092785A"/>
    <w:rsid w:val="0092787D"/>
    <w:rsid w:val="0092795F"/>
    <w:rsid w:val="009279C4"/>
    <w:rsid w:val="00927B92"/>
    <w:rsid w:val="00927BB1"/>
    <w:rsid w:val="00927BCC"/>
    <w:rsid w:val="00927CA2"/>
    <w:rsid w:val="00927D23"/>
    <w:rsid w:val="00927D45"/>
    <w:rsid w:val="00927D54"/>
    <w:rsid w:val="00927DAF"/>
    <w:rsid w:val="00927E9A"/>
    <w:rsid w:val="00927EEB"/>
    <w:rsid w:val="00927F52"/>
    <w:rsid w:val="00927F71"/>
    <w:rsid w:val="00927F98"/>
    <w:rsid w:val="00927FAE"/>
    <w:rsid w:val="0093000A"/>
    <w:rsid w:val="00930098"/>
    <w:rsid w:val="00930179"/>
    <w:rsid w:val="0093018B"/>
    <w:rsid w:val="009302E9"/>
    <w:rsid w:val="0093030B"/>
    <w:rsid w:val="0093031C"/>
    <w:rsid w:val="00930389"/>
    <w:rsid w:val="00930445"/>
    <w:rsid w:val="009304B3"/>
    <w:rsid w:val="009304B8"/>
    <w:rsid w:val="00930580"/>
    <w:rsid w:val="00930682"/>
    <w:rsid w:val="0093068B"/>
    <w:rsid w:val="00930691"/>
    <w:rsid w:val="00930699"/>
    <w:rsid w:val="0093070B"/>
    <w:rsid w:val="009307B9"/>
    <w:rsid w:val="0093086E"/>
    <w:rsid w:val="009308B8"/>
    <w:rsid w:val="009308DC"/>
    <w:rsid w:val="009308FA"/>
    <w:rsid w:val="0093092E"/>
    <w:rsid w:val="00930B55"/>
    <w:rsid w:val="00930B6D"/>
    <w:rsid w:val="00930D00"/>
    <w:rsid w:val="00930D15"/>
    <w:rsid w:val="00930D1C"/>
    <w:rsid w:val="00930DDF"/>
    <w:rsid w:val="00930E43"/>
    <w:rsid w:val="00930F20"/>
    <w:rsid w:val="00930FEE"/>
    <w:rsid w:val="00930FF7"/>
    <w:rsid w:val="00931030"/>
    <w:rsid w:val="0093113D"/>
    <w:rsid w:val="00931141"/>
    <w:rsid w:val="009311AA"/>
    <w:rsid w:val="009311C4"/>
    <w:rsid w:val="0093126F"/>
    <w:rsid w:val="009312EB"/>
    <w:rsid w:val="00931305"/>
    <w:rsid w:val="00931335"/>
    <w:rsid w:val="00931340"/>
    <w:rsid w:val="009313B4"/>
    <w:rsid w:val="009313EA"/>
    <w:rsid w:val="00931450"/>
    <w:rsid w:val="0093146C"/>
    <w:rsid w:val="00931512"/>
    <w:rsid w:val="009315A1"/>
    <w:rsid w:val="009315A2"/>
    <w:rsid w:val="009315BD"/>
    <w:rsid w:val="009317A3"/>
    <w:rsid w:val="009317D7"/>
    <w:rsid w:val="009317E8"/>
    <w:rsid w:val="00931839"/>
    <w:rsid w:val="00931848"/>
    <w:rsid w:val="009318B3"/>
    <w:rsid w:val="00931909"/>
    <w:rsid w:val="0093192E"/>
    <w:rsid w:val="0093194D"/>
    <w:rsid w:val="009319C7"/>
    <w:rsid w:val="00931A2B"/>
    <w:rsid w:val="00931A84"/>
    <w:rsid w:val="00931BBA"/>
    <w:rsid w:val="00931C13"/>
    <w:rsid w:val="00931D6D"/>
    <w:rsid w:val="00931E2B"/>
    <w:rsid w:val="00931E9C"/>
    <w:rsid w:val="00931FD8"/>
    <w:rsid w:val="0093205A"/>
    <w:rsid w:val="009320B7"/>
    <w:rsid w:val="009320FF"/>
    <w:rsid w:val="0093210C"/>
    <w:rsid w:val="00932249"/>
    <w:rsid w:val="00932258"/>
    <w:rsid w:val="0093239F"/>
    <w:rsid w:val="009323A7"/>
    <w:rsid w:val="009323D4"/>
    <w:rsid w:val="009323EB"/>
    <w:rsid w:val="0093241A"/>
    <w:rsid w:val="00932453"/>
    <w:rsid w:val="009324A6"/>
    <w:rsid w:val="00932509"/>
    <w:rsid w:val="00932576"/>
    <w:rsid w:val="00932601"/>
    <w:rsid w:val="00932618"/>
    <w:rsid w:val="0093261D"/>
    <w:rsid w:val="0093267A"/>
    <w:rsid w:val="00932688"/>
    <w:rsid w:val="009327AF"/>
    <w:rsid w:val="009327B9"/>
    <w:rsid w:val="009327FA"/>
    <w:rsid w:val="00932891"/>
    <w:rsid w:val="0093289E"/>
    <w:rsid w:val="00932A32"/>
    <w:rsid w:val="00932B1A"/>
    <w:rsid w:val="00932BE9"/>
    <w:rsid w:val="00932D86"/>
    <w:rsid w:val="00932E4C"/>
    <w:rsid w:val="00932E79"/>
    <w:rsid w:val="00932E7D"/>
    <w:rsid w:val="00932ED9"/>
    <w:rsid w:val="00932F57"/>
    <w:rsid w:val="00932FD4"/>
    <w:rsid w:val="00933097"/>
    <w:rsid w:val="009330DF"/>
    <w:rsid w:val="009331C6"/>
    <w:rsid w:val="0093324C"/>
    <w:rsid w:val="0093329B"/>
    <w:rsid w:val="00933323"/>
    <w:rsid w:val="00933361"/>
    <w:rsid w:val="0093337A"/>
    <w:rsid w:val="009333B8"/>
    <w:rsid w:val="009333C2"/>
    <w:rsid w:val="00933448"/>
    <w:rsid w:val="00933459"/>
    <w:rsid w:val="00933488"/>
    <w:rsid w:val="00933490"/>
    <w:rsid w:val="00933532"/>
    <w:rsid w:val="00933562"/>
    <w:rsid w:val="009335AE"/>
    <w:rsid w:val="00933845"/>
    <w:rsid w:val="00933A5C"/>
    <w:rsid w:val="00933B6D"/>
    <w:rsid w:val="00933BC9"/>
    <w:rsid w:val="00933C12"/>
    <w:rsid w:val="00933C14"/>
    <w:rsid w:val="00933C29"/>
    <w:rsid w:val="00933C90"/>
    <w:rsid w:val="00933D11"/>
    <w:rsid w:val="00933D72"/>
    <w:rsid w:val="00933DAC"/>
    <w:rsid w:val="00933EA2"/>
    <w:rsid w:val="00933EDF"/>
    <w:rsid w:val="00933FB4"/>
    <w:rsid w:val="00934050"/>
    <w:rsid w:val="009340E4"/>
    <w:rsid w:val="0093419F"/>
    <w:rsid w:val="009343BA"/>
    <w:rsid w:val="009343CD"/>
    <w:rsid w:val="009344A2"/>
    <w:rsid w:val="009344D2"/>
    <w:rsid w:val="009345AF"/>
    <w:rsid w:val="0093460A"/>
    <w:rsid w:val="0093461B"/>
    <w:rsid w:val="00934663"/>
    <w:rsid w:val="009346AD"/>
    <w:rsid w:val="009347B6"/>
    <w:rsid w:val="00934813"/>
    <w:rsid w:val="00934B45"/>
    <w:rsid w:val="00934EEC"/>
    <w:rsid w:val="00934F15"/>
    <w:rsid w:val="00934FE3"/>
    <w:rsid w:val="00935044"/>
    <w:rsid w:val="0093512B"/>
    <w:rsid w:val="00935149"/>
    <w:rsid w:val="0093518B"/>
    <w:rsid w:val="009351B3"/>
    <w:rsid w:val="009351FF"/>
    <w:rsid w:val="0093522D"/>
    <w:rsid w:val="00935238"/>
    <w:rsid w:val="009352C3"/>
    <w:rsid w:val="00935414"/>
    <w:rsid w:val="0093545C"/>
    <w:rsid w:val="0093546A"/>
    <w:rsid w:val="00935483"/>
    <w:rsid w:val="009354A0"/>
    <w:rsid w:val="00935500"/>
    <w:rsid w:val="0093555B"/>
    <w:rsid w:val="009355F3"/>
    <w:rsid w:val="00935665"/>
    <w:rsid w:val="0093567E"/>
    <w:rsid w:val="0093570D"/>
    <w:rsid w:val="00935803"/>
    <w:rsid w:val="00935834"/>
    <w:rsid w:val="00935848"/>
    <w:rsid w:val="0093597A"/>
    <w:rsid w:val="009359E5"/>
    <w:rsid w:val="00935A86"/>
    <w:rsid w:val="00935BBF"/>
    <w:rsid w:val="00935BC5"/>
    <w:rsid w:val="00935BFD"/>
    <w:rsid w:val="00935C1F"/>
    <w:rsid w:val="00935C45"/>
    <w:rsid w:val="00935C7C"/>
    <w:rsid w:val="00935CDB"/>
    <w:rsid w:val="00935D42"/>
    <w:rsid w:val="00935DD1"/>
    <w:rsid w:val="00935DD8"/>
    <w:rsid w:val="00935DFD"/>
    <w:rsid w:val="00935E9C"/>
    <w:rsid w:val="00935F6D"/>
    <w:rsid w:val="00935F9D"/>
    <w:rsid w:val="00935FD6"/>
    <w:rsid w:val="00935FEE"/>
    <w:rsid w:val="00935FF3"/>
    <w:rsid w:val="009361AA"/>
    <w:rsid w:val="009361D8"/>
    <w:rsid w:val="009362C3"/>
    <w:rsid w:val="009362F0"/>
    <w:rsid w:val="00936354"/>
    <w:rsid w:val="00936355"/>
    <w:rsid w:val="009363CB"/>
    <w:rsid w:val="0093650B"/>
    <w:rsid w:val="0093660C"/>
    <w:rsid w:val="00936663"/>
    <w:rsid w:val="009366B0"/>
    <w:rsid w:val="0093675B"/>
    <w:rsid w:val="009367E4"/>
    <w:rsid w:val="0093681B"/>
    <w:rsid w:val="0093687A"/>
    <w:rsid w:val="009368E9"/>
    <w:rsid w:val="009368FC"/>
    <w:rsid w:val="00936992"/>
    <w:rsid w:val="009369CC"/>
    <w:rsid w:val="009369EF"/>
    <w:rsid w:val="00936A06"/>
    <w:rsid w:val="00936A89"/>
    <w:rsid w:val="00936B75"/>
    <w:rsid w:val="00936BA1"/>
    <w:rsid w:val="00936C17"/>
    <w:rsid w:val="00936CF2"/>
    <w:rsid w:val="00936DB6"/>
    <w:rsid w:val="00936DFC"/>
    <w:rsid w:val="00936E73"/>
    <w:rsid w:val="0093702B"/>
    <w:rsid w:val="00937055"/>
    <w:rsid w:val="009371F0"/>
    <w:rsid w:val="009372E0"/>
    <w:rsid w:val="00937335"/>
    <w:rsid w:val="0093735C"/>
    <w:rsid w:val="009373A5"/>
    <w:rsid w:val="00937489"/>
    <w:rsid w:val="0093751F"/>
    <w:rsid w:val="0093755B"/>
    <w:rsid w:val="0093765B"/>
    <w:rsid w:val="009376EF"/>
    <w:rsid w:val="00937829"/>
    <w:rsid w:val="009378CC"/>
    <w:rsid w:val="00937A2E"/>
    <w:rsid w:val="00937AEA"/>
    <w:rsid w:val="00937B88"/>
    <w:rsid w:val="00937B89"/>
    <w:rsid w:val="00937BC2"/>
    <w:rsid w:val="00937CC3"/>
    <w:rsid w:val="00937D3F"/>
    <w:rsid w:val="00937D47"/>
    <w:rsid w:val="00937D8D"/>
    <w:rsid w:val="00937DAD"/>
    <w:rsid w:val="00937F32"/>
    <w:rsid w:val="00937F36"/>
    <w:rsid w:val="00937F68"/>
    <w:rsid w:val="00937F6E"/>
    <w:rsid w:val="009400B9"/>
    <w:rsid w:val="009400F8"/>
    <w:rsid w:val="0094018D"/>
    <w:rsid w:val="009401EF"/>
    <w:rsid w:val="00940220"/>
    <w:rsid w:val="009402C7"/>
    <w:rsid w:val="0094043B"/>
    <w:rsid w:val="0094043D"/>
    <w:rsid w:val="00940456"/>
    <w:rsid w:val="0094048C"/>
    <w:rsid w:val="00940493"/>
    <w:rsid w:val="00940541"/>
    <w:rsid w:val="009405CA"/>
    <w:rsid w:val="009405D8"/>
    <w:rsid w:val="009406A7"/>
    <w:rsid w:val="009406D6"/>
    <w:rsid w:val="00940706"/>
    <w:rsid w:val="0094071A"/>
    <w:rsid w:val="00940787"/>
    <w:rsid w:val="00940862"/>
    <w:rsid w:val="0094086C"/>
    <w:rsid w:val="009408DE"/>
    <w:rsid w:val="0094099A"/>
    <w:rsid w:val="0094099F"/>
    <w:rsid w:val="009409BB"/>
    <w:rsid w:val="00940A09"/>
    <w:rsid w:val="00940A9D"/>
    <w:rsid w:val="00940B36"/>
    <w:rsid w:val="00940BB2"/>
    <w:rsid w:val="00940BFE"/>
    <w:rsid w:val="00940D0E"/>
    <w:rsid w:val="00940D16"/>
    <w:rsid w:val="00940D88"/>
    <w:rsid w:val="00940E07"/>
    <w:rsid w:val="00940EDA"/>
    <w:rsid w:val="00940FA1"/>
    <w:rsid w:val="00940FA3"/>
    <w:rsid w:val="00940FBA"/>
    <w:rsid w:val="00941029"/>
    <w:rsid w:val="0094106C"/>
    <w:rsid w:val="0094111C"/>
    <w:rsid w:val="00941169"/>
    <w:rsid w:val="0094132B"/>
    <w:rsid w:val="009413EC"/>
    <w:rsid w:val="009413F2"/>
    <w:rsid w:val="00941496"/>
    <w:rsid w:val="009415DB"/>
    <w:rsid w:val="00941625"/>
    <w:rsid w:val="00941751"/>
    <w:rsid w:val="009417E7"/>
    <w:rsid w:val="00941814"/>
    <w:rsid w:val="00941885"/>
    <w:rsid w:val="009418BD"/>
    <w:rsid w:val="0094199D"/>
    <w:rsid w:val="009419C6"/>
    <w:rsid w:val="009419E7"/>
    <w:rsid w:val="00941A21"/>
    <w:rsid w:val="00941A54"/>
    <w:rsid w:val="00941A86"/>
    <w:rsid w:val="00941A9F"/>
    <w:rsid w:val="00941B84"/>
    <w:rsid w:val="00941BEF"/>
    <w:rsid w:val="00941BF8"/>
    <w:rsid w:val="00941C74"/>
    <w:rsid w:val="00941C9C"/>
    <w:rsid w:val="00941E86"/>
    <w:rsid w:val="00941F14"/>
    <w:rsid w:val="00941FB6"/>
    <w:rsid w:val="00941FF6"/>
    <w:rsid w:val="0094207F"/>
    <w:rsid w:val="00942144"/>
    <w:rsid w:val="0094215F"/>
    <w:rsid w:val="00942369"/>
    <w:rsid w:val="009423F0"/>
    <w:rsid w:val="0094245B"/>
    <w:rsid w:val="0094253C"/>
    <w:rsid w:val="00942546"/>
    <w:rsid w:val="00942548"/>
    <w:rsid w:val="009425EF"/>
    <w:rsid w:val="00942628"/>
    <w:rsid w:val="0094269B"/>
    <w:rsid w:val="0094269E"/>
    <w:rsid w:val="00942749"/>
    <w:rsid w:val="00942784"/>
    <w:rsid w:val="009427F7"/>
    <w:rsid w:val="00942820"/>
    <w:rsid w:val="00942856"/>
    <w:rsid w:val="00942914"/>
    <w:rsid w:val="0094293F"/>
    <w:rsid w:val="0094297C"/>
    <w:rsid w:val="00942994"/>
    <w:rsid w:val="00942998"/>
    <w:rsid w:val="009429E2"/>
    <w:rsid w:val="00942A05"/>
    <w:rsid w:val="00942A62"/>
    <w:rsid w:val="00942ADE"/>
    <w:rsid w:val="00942B86"/>
    <w:rsid w:val="00942BC6"/>
    <w:rsid w:val="00942C28"/>
    <w:rsid w:val="00942C84"/>
    <w:rsid w:val="00942CD1"/>
    <w:rsid w:val="00942DD5"/>
    <w:rsid w:val="00942E03"/>
    <w:rsid w:val="00942F07"/>
    <w:rsid w:val="0094300E"/>
    <w:rsid w:val="0094300F"/>
    <w:rsid w:val="009431BC"/>
    <w:rsid w:val="00943204"/>
    <w:rsid w:val="00943233"/>
    <w:rsid w:val="0094323C"/>
    <w:rsid w:val="009432B2"/>
    <w:rsid w:val="00943325"/>
    <w:rsid w:val="009433DE"/>
    <w:rsid w:val="0094349F"/>
    <w:rsid w:val="00943536"/>
    <w:rsid w:val="00943570"/>
    <w:rsid w:val="0094365C"/>
    <w:rsid w:val="00943769"/>
    <w:rsid w:val="00943847"/>
    <w:rsid w:val="0094388D"/>
    <w:rsid w:val="00943892"/>
    <w:rsid w:val="00943A14"/>
    <w:rsid w:val="00943A44"/>
    <w:rsid w:val="00943A88"/>
    <w:rsid w:val="00943AF5"/>
    <w:rsid w:val="00943BDE"/>
    <w:rsid w:val="00943C8A"/>
    <w:rsid w:val="00943CEE"/>
    <w:rsid w:val="00943D20"/>
    <w:rsid w:val="00943DE5"/>
    <w:rsid w:val="00943E1C"/>
    <w:rsid w:val="00943E38"/>
    <w:rsid w:val="00943E96"/>
    <w:rsid w:val="00943EC6"/>
    <w:rsid w:val="00943F77"/>
    <w:rsid w:val="00943FAD"/>
    <w:rsid w:val="00943FBD"/>
    <w:rsid w:val="00944064"/>
    <w:rsid w:val="0094407E"/>
    <w:rsid w:val="00944080"/>
    <w:rsid w:val="009440AC"/>
    <w:rsid w:val="009440D8"/>
    <w:rsid w:val="009440DA"/>
    <w:rsid w:val="009441FB"/>
    <w:rsid w:val="00944206"/>
    <w:rsid w:val="0094423A"/>
    <w:rsid w:val="009442D0"/>
    <w:rsid w:val="009442D1"/>
    <w:rsid w:val="009442FF"/>
    <w:rsid w:val="00944323"/>
    <w:rsid w:val="0094437B"/>
    <w:rsid w:val="00944380"/>
    <w:rsid w:val="009443AD"/>
    <w:rsid w:val="00944569"/>
    <w:rsid w:val="00944687"/>
    <w:rsid w:val="0094477E"/>
    <w:rsid w:val="009447A1"/>
    <w:rsid w:val="009447D0"/>
    <w:rsid w:val="009449DE"/>
    <w:rsid w:val="009449E9"/>
    <w:rsid w:val="00944A07"/>
    <w:rsid w:val="00944A10"/>
    <w:rsid w:val="00944B90"/>
    <w:rsid w:val="00944BD7"/>
    <w:rsid w:val="00944D00"/>
    <w:rsid w:val="00944F83"/>
    <w:rsid w:val="00944FA7"/>
    <w:rsid w:val="009450E0"/>
    <w:rsid w:val="00945184"/>
    <w:rsid w:val="0094523B"/>
    <w:rsid w:val="0094525E"/>
    <w:rsid w:val="00945260"/>
    <w:rsid w:val="009452AA"/>
    <w:rsid w:val="009453F8"/>
    <w:rsid w:val="009454C2"/>
    <w:rsid w:val="0094551E"/>
    <w:rsid w:val="00945592"/>
    <w:rsid w:val="009455AD"/>
    <w:rsid w:val="0094567B"/>
    <w:rsid w:val="00945713"/>
    <w:rsid w:val="00945791"/>
    <w:rsid w:val="0094579C"/>
    <w:rsid w:val="0094586B"/>
    <w:rsid w:val="00945954"/>
    <w:rsid w:val="0094595E"/>
    <w:rsid w:val="00945962"/>
    <w:rsid w:val="00945968"/>
    <w:rsid w:val="00945AE9"/>
    <w:rsid w:val="00945AFC"/>
    <w:rsid w:val="00945B46"/>
    <w:rsid w:val="00945BD5"/>
    <w:rsid w:val="00945C58"/>
    <w:rsid w:val="00945CA0"/>
    <w:rsid w:val="00945D0F"/>
    <w:rsid w:val="00945D2B"/>
    <w:rsid w:val="00945F7D"/>
    <w:rsid w:val="00945FA9"/>
    <w:rsid w:val="00945FCA"/>
    <w:rsid w:val="00945FDA"/>
    <w:rsid w:val="00946056"/>
    <w:rsid w:val="009460DF"/>
    <w:rsid w:val="00946134"/>
    <w:rsid w:val="00946196"/>
    <w:rsid w:val="0094629E"/>
    <w:rsid w:val="00946377"/>
    <w:rsid w:val="00946456"/>
    <w:rsid w:val="00946502"/>
    <w:rsid w:val="0094664F"/>
    <w:rsid w:val="0094668A"/>
    <w:rsid w:val="00946835"/>
    <w:rsid w:val="00946846"/>
    <w:rsid w:val="0094689C"/>
    <w:rsid w:val="009468DA"/>
    <w:rsid w:val="009469B4"/>
    <w:rsid w:val="009469EB"/>
    <w:rsid w:val="00946A14"/>
    <w:rsid w:val="00946A1D"/>
    <w:rsid w:val="00946B98"/>
    <w:rsid w:val="00946BDD"/>
    <w:rsid w:val="00946C77"/>
    <w:rsid w:val="00946CD9"/>
    <w:rsid w:val="00946D81"/>
    <w:rsid w:val="00946DB1"/>
    <w:rsid w:val="00946E6E"/>
    <w:rsid w:val="00946E90"/>
    <w:rsid w:val="00946F87"/>
    <w:rsid w:val="00946FCD"/>
    <w:rsid w:val="00947031"/>
    <w:rsid w:val="0094709C"/>
    <w:rsid w:val="009471A5"/>
    <w:rsid w:val="009472B5"/>
    <w:rsid w:val="009472E1"/>
    <w:rsid w:val="009472ED"/>
    <w:rsid w:val="009472F1"/>
    <w:rsid w:val="009472F6"/>
    <w:rsid w:val="0094730D"/>
    <w:rsid w:val="00947336"/>
    <w:rsid w:val="0094738D"/>
    <w:rsid w:val="009473DA"/>
    <w:rsid w:val="009474BE"/>
    <w:rsid w:val="00947572"/>
    <w:rsid w:val="0094758C"/>
    <w:rsid w:val="009475FC"/>
    <w:rsid w:val="00947632"/>
    <w:rsid w:val="009476B2"/>
    <w:rsid w:val="009476EE"/>
    <w:rsid w:val="009477AF"/>
    <w:rsid w:val="009478FC"/>
    <w:rsid w:val="00947919"/>
    <w:rsid w:val="00947944"/>
    <w:rsid w:val="00947961"/>
    <w:rsid w:val="0094796C"/>
    <w:rsid w:val="00947B34"/>
    <w:rsid w:val="00947B86"/>
    <w:rsid w:val="00947C06"/>
    <w:rsid w:val="00947D1A"/>
    <w:rsid w:val="00947D35"/>
    <w:rsid w:val="00947D69"/>
    <w:rsid w:val="00947F84"/>
    <w:rsid w:val="00950004"/>
    <w:rsid w:val="00950085"/>
    <w:rsid w:val="00950092"/>
    <w:rsid w:val="00950151"/>
    <w:rsid w:val="00950179"/>
    <w:rsid w:val="0095019D"/>
    <w:rsid w:val="009501D4"/>
    <w:rsid w:val="009501D7"/>
    <w:rsid w:val="00950254"/>
    <w:rsid w:val="00950260"/>
    <w:rsid w:val="009502E6"/>
    <w:rsid w:val="0095030E"/>
    <w:rsid w:val="00950386"/>
    <w:rsid w:val="00950548"/>
    <w:rsid w:val="00950550"/>
    <w:rsid w:val="00950555"/>
    <w:rsid w:val="009505A2"/>
    <w:rsid w:val="009505F2"/>
    <w:rsid w:val="0095060C"/>
    <w:rsid w:val="009506C2"/>
    <w:rsid w:val="00950705"/>
    <w:rsid w:val="00950739"/>
    <w:rsid w:val="00950777"/>
    <w:rsid w:val="00950791"/>
    <w:rsid w:val="009507FB"/>
    <w:rsid w:val="0095082E"/>
    <w:rsid w:val="009508B2"/>
    <w:rsid w:val="009508BD"/>
    <w:rsid w:val="009508EF"/>
    <w:rsid w:val="009509BF"/>
    <w:rsid w:val="00950A24"/>
    <w:rsid w:val="00950AC4"/>
    <w:rsid w:val="00950B12"/>
    <w:rsid w:val="00950BAA"/>
    <w:rsid w:val="00950C77"/>
    <w:rsid w:val="00950CD8"/>
    <w:rsid w:val="00950CE3"/>
    <w:rsid w:val="00950CE6"/>
    <w:rsid w:val="00950CEF"/>
    <w:rsid w:val="00950D08"/>
    <w:rsid w:val="00950D0E"/>
    <w:rsid w:val="00950E0F"/>
    <w:rsid w:val="00950E28"/>
    <w:rsid w:val="00950E3F"/>
    <w:rsid w:val="00950E78"/>
    <w:rsid w:val="00950F77"/>
    <w:rsid w:val="00950FB0"/>
    <w:rsid w:val="00950FE1"/>
    <w:rsid w:val="00950FE4"/>
    <w:rsid w:val="009511CF"/>
    <w:rsid w:val="009511EB"/>
    <w:rsid w:val="00951227"/>
    <w:rsid w:val="00951288"/>
    <w:rsid w:val="009512D6"/>
    <w:rsid w:val="0095130F"/>
    <w:rsid w:val="00951417"/>
    <w:rsid w:val="00951462"/>
    <w:rsid w:val="00951470"/>
    <w:rsid w:val="009514D2"/>
    <w:rsid w:val="009515B7"/>
    <w:rsid w:val="009516CC"/>
    <w:rsid w:val="009516EE"/>
    <w:rsid w:val="0095175A"/>
    <w:rsid w:val="009517BE"/>
    <w:rsid w:val="00951875"/>
    <w:rsid w:val="009518C6"/>
    <w:rsid w:val="0095194C"/>
    <w:rsid w:val="00951A4B"/>
    <w:rsid w:val="00951B30"/>
    <w:rsid w:val="00951C29"/>
    <w:rsid w:val="00951C46"/>
    <w:rsid w:val="00951D76"/>
    <w:rsid w:val="00951D90"/>
    <w:rsid w:val="00951E73"/>
    <w:rsid w:val="00951E9A"/>
    <w:rsid w:val="00951EA0"/>
    <w:rsid w:val="00951EF0"/>
    <w:rsid w:val="00951F5D"/>
    <w:rsid w:val="00951F85"/>
    <w:rsid w:val="00951FC1"/>
    <w:rsid w:val="00951FF6"/>
    <w:rsid w:val="0095203E"/>
    <w:rsid w:val="00952072"/>
    <w:rsid w:val="00952155"/>
    <w:rsid w:val="00952214"/>
    <w:rsid w:val="00952294"/>
    <w:rsid w:val="00952336"/>
    <w:rsid w:val="00952350"/>
    <w:rsid w:val="0095238A"/>
    <w:rsid w:val="009523CD"/>
    <w:rsid w:val="00952419"/>
    <w:rsid w:val="00952446"/>
    <w:rsid w:val="009524AD"/>
    <w:rsid w:val="009525BC"/>
    <w:rsid w:val="00952661"/>
    <w:rsid w:val="00952672"/>
    <w:rsid w:val="009526B9"/>
    <w:rsid w:val="0095272B"/>
    <w:rsid w:val="00952887"/>
    <w:rsid w:val="009528A9"/>
    <w:rsid w:val="00952916"/>
    <w:rsid w:val="00952926"/>
    <w:rsid w:val="00952930"/>
    <w:rsid w:val="0095294D"/>
    <w:rsid w:val="009529FE"/>
    <w:rsid w:val="00952A07"/>
    <w:rsid w:val="00952AFB"/>
    <w:rsid w:val="00952BC3"/>
    <w:rsid w:val="00952C03"/>
    <w:rsid w:val="00952C6C"/>
    <w:rsid w:val="00952D3B"/>
    <w:rsid w:val="00952D44"/>
    <w:rsid w:val="00952D9D"/>
    <w:rsid w:val="00952F63"/>
    <w:rsid w:val="00952F65"/>
    <w:rsid w:val="0095300F"/>
    <w:rsid w:val="0095306A"/>
    <w:rsid w:val="009530FE"/>
    <w:rsid w:val="0095323B"/>
    <w:rsid w:val="009532C5"/>
    <w:rsid w:val="0095347B"/>
    <w:rsid w:val="0095349C"/>
    <w:rsid w:val="009534C0"/>
    <w:rsid w:val="00953620"/>
    <w:rsid w:val="009536F6"/>
    <w:rsid w:val="0095374D"/>
    <w:rsid w:val="0095374E"/>
    <w:rsid w:val="0095378E"/>
    <w:rsid w:val="00953842"/>
    <w:rsid w:val="00953B40"/>
    <w:rsid w:val="00953B60"/>
    <w:rsid w:val="00953B69"/>
    <w:rsid w:val="00953CA4"/>
    <w:rsid w:val="00953CF1"/>
    <w:rsid w:val="00953CFC"/>
    <w:rsid w:val="00953E37"/>
    <w:rsid w:val="00953E79"/>
    <w:rsid w:val="00953EBF"/>
    <w:rsid w:val="00953F30"/>
    <w:rsid w:val="00953F69"/>
    <w:rsid w:val="00954062"/>
    <w:rsid w:val="00954097"/>
    <w:rsid w:val="009540A0"/>
    <w:rsid w:val="0095415E"/>
    <w:rsid w:val="009541AE"/>
    <w:rsid w:val="009541B0"/>
    <w:rsid w:val="009541E2"/>
    <w:rsid w:val="009541E3"/>
    <w:rsid w:val="00954219"/>
    <w:rsid w:val="0095429A"/>
    <w:rsid w:val="009542A4"/>
    <w:rsid w:val="00954346"/>
    <w:rsid w:val="00954418"/>
    <w:rsid w:val="00954494"/>
    <w:rsid w:val="009544CF"/>
    <w:rsid w:val="009544D7"/>
    <w:rsid w:val="00954500"/>
    <w:rsid w:val="0095453E"/>
    <w:rsid w:val="00954562"/>
    <w:rsid w:val="009545AD"/>
    <w:rsid w:val="0095460F"/>
    <w:rsid w:val="009546C6"/>
    <w:rsid w:val="009547EE"/>
    <w:rsid w:val="0095487C"/>
    <w:rsid w:val="009549F2"/>
    <w:rsid w:val="00954A10"/>
    <w:rsid w:val="00954ABA"/>
    <w:rsid w:val="00954AFB"/>
    <w:rsid w:val="00954B47"/>
    <w:rsid w:val="00954B4C"/>
    <w:rsid w:val="00954BB0"/>
    <w:rsid w:val="00954D8F"/>
    <w:rsid w:val="00954DE3"/>
    <w:rsid w:val="00954EA5"/>
    <w:rsid w:val="00954F69"/>
    <w:rsid w:val="00954FA3"/>
    <w:rsid w:val="00955042"/>
    <w:rsid w:val="00955132"/>
    <w:rsid w:val="00955134"/>
    <w:rsid w:val="00955175"/>
    <w:rsid w:val="009551B5"/>
    <w:rsid w:val="009551F8"/>
    <w:rsid w:val="0095527C"/>
    <w:rsid w:val="009552C8"/>
    <w:rsid w:val="0095535F"/>
    <w:rsid w:val="00955369"/>
    <w:rsid w:val="00955382"/>
    <w:rsid w:val="0095553B"/>
    <w:rsid w:val="0095557A"/>
    <w:rsid w:val="00955585"/>
    <w:rsid w:val="009555C8"/>
    <w:rsid w:val="00955626"/>
    <w:rsid w:val="00955658"/>
    <w:rsid w:val="00955665"/>
    <w:rsid w:val="009556F2"/>
    <w:rsid w:val="0095573A"/>
    <w:rsid w:val="009557E7"/>
    <w:rsid w:val="0095584D"/>
    <w:rsid w:val="00955903"/>
    <w:rsid w:val="00955956"/>
    <w:rsid w:val="00955994"/>
    <w:rsid w:val="00955A7F"/>
    <w:rsid w:val="00955BED"/>
    <w:rsid w:val="00955C22"/>
    <w:rsid w:val="00955CB9"/>
    <w:rsid w:val="00955D09"/>
    <w:rsid w:val="00955D1A"/>
    <w:rsid w:val="00955D4B"/>
    <w:rsid w:val="00955E07"/>
    <w:rsid w:val="00955E45"/>
    <w:rsid w:val="00955ED0"/>
    <w:rsid w:val="00955EDF"/>
    <w:rsid w:val="00955F00"/>
    <w:rsid w:val="00955F54"/>
    <w:rsid w:val="00955FEE"/>
    <w:rsid w:val="00956038"/>
    <w:rsid w:val="00956119"/>
    <w:rsid w:val="0095647E"/>
    <w:rsid w:val="0095653E"/>
    <w:rsid w:val="00956581"/>
    <w:rsid w:val="0095663C"/>
    <w:rsid w:val="0095667C"/>
    <w:rsid w:val="00956726"/>
    <w:rsid w:val="0095679E"/>
    <w:rsid w:val="009567C5"/>
    <w:rsid w:val="009567DC"/>
    <w:rsid w:val="009567EC"/>
    <w:rsid w:val="009568AD"/>
    <w:rsid w:val="009568D0"/>
    <w:rsid w:val="0095693E"/>
    <w:rsid w:val="00956A18"/>
    <w:rsid w:val="00956A87"/>
    <w:rsid w:val="00956A8F"/>
    <w:rsid w:val="00956DAB"/>
    <w:rsid w:val="00956E5B"/>
    <w:rsid w:val="00956E5F"/>
    <w:rsid w:val="00956E8D"/>
    <w:rsid w:val="00956E9B"/>
    <w:rsid w:val="00956F6C"/>
    <w:rsid w:val="00956FD4"/>
    <w:rsid w:val="00957012"/>
    <w:rsid w:val="009570AB"/>
    <w:rsid w:val="009570AE"/>
    <w:rsid w:val="0095712F"/>
    <w:rsid w:val="00957163"/>
    <w:rsid w:val="00957373"/>
    <w:rsid w:val="00957514"/>
    <w:rsid w:val="00957515"/>
    <w:rsid w:val="00957517"/>
    <w:rsid w:val="00957585"/>
    <w:rsid w:val="00957742"/>
    <w:rsid w:val="009577B3"/>
    <w:rsid w:val="00957923"/>
    <w:rsid w:val="00957971"/>
    <w:rsid w:val="00957973"/>
    <w:rsid w:val="00957A71"/>
    <w:rsid w:val="00957D01"/>
    <w:rsid w:val="00957D74"/>
    <w:rsid w:val="00957DA0"/>
    <w:rsid w:val="00957E32"/>
    <w:rsid w:val="00957E3E"/>
    <w:rsid w:val="00957F2F"/>
    <w:rsid w:val="00957F86"/>
    <w:rsid w:val="0096002B"/>
    <w:rsid w:val="009600FA"/>
    <w:rsid w:val="00960143"/>
    <w:rsid w:val="009601BE"/>
    <w:rsid w:val="009601DC"/>
    <w:rsid w:val="00960266"/>
    <w:rsid w:val="0096033B"/>
    <w:rsid w:val="0096034C"/>
    <w:rsid w:val="00960357"/>
    <w:rsid w:val="00960439"/>
    <w:rsid w:val="0096043C"/>
    <w:rsid w:val="00960652"/>
    <w:rsid w:val="0096069E"/>
    <w:rsid w:val="009606D0"/>
    <w:rsid w:val="00960705"/>
    <w:rsid w:val="00960753"/>
    <w:rsid w:val="00960758"/>
    <w:rsid w:val="0096077A"/>
    <w:rsid w:val="00960781"/>
    <w:rsid w:val="00960800"/>
    <w:rsid w:val="00960846"/>
    <w:rsid w:val="00960B02"/>
    <w:rsid w:val="00960B8F"/>
    <w:rsid w:val="00960BA4"/>
    <w:rsid w:val="00960C99"/>
    <w:rsid w:val="00960CF2"/>
    <w:rsid w:val="00960D2C"/>
    <w:rsid w:val="00960D46"/>
    <w:rsid w:val="00960DC3"/>
    <w:rsid w:val="00960DFA"/>
    <w:rsid w:val="00960E2D"/>
    <w:rsid w:val="00960FC5"/>
    <w:rsid w:val="00960FFC"/>
    <w:rsid w:val="00961055"/>
    <w:rsid w:val="0096119B"/>
    <w:rsid w:val="009611A8"/>
    <w:rsid w:val="00961360"/>
    <w:rsid w:val="00961362"/>
    <w:rsid w:val="00961411"/>
    <w:rsid w:val="00961425"/>
    <w:rsid w:val="009615AC"/>
    <w:rsid w:val="00961624"/>
    <w:rsid w:val="00961653"/>
    <w:rsid w:val="009616D0"/>
    <w:rsid w:val="009616D3"/>
    <w:rsid w:val="00961806"/>
    <w:rsid w:val="0096182D"/>
    <w:rsid w:val="0096187A"/>
    <w:rsid w:val="009618DD"/>
    <w:rsid w:val="00961909"/>
    <w:rsid w:val="00961932"/>
    <w:rsid w:val="009619E3"/>
    <w:rsid w:val="00961A49"/>
    <w:rsid w:val="00961B1F"/>
    <w:rsid w:val="00961BC9"/>
    <w:rsid w:val="00961C40"/>
    <w:rsid w:val="00961CC0"/>
    <w:rsid w:val="00961DBF"/>
    <w:rsid w:val="00961DE4"/>
    <w:rsid w:val="00961EC9"/>
    <w:rsid w:val="00962047"/>
    <w:rsid w:val="00962146"/>
    <w:rsid w:val="009621B9"/>
    <w:rsid w:val="00962219"/>
    <w:rsid w:val="00962269"/>
    <w:rsid w:val="00962290"/>
    <w:rsid w:val="0096231E"/>
    <w:rsid w:val="00962449"/>
    <w:rsid w:val="00962464"/>
    <w:rsid w:val="009624B3"/>
    <w:rsid w:val="009624DB"/>
    <w:rsid w:val="009624E7"/>
    <w:rsid w:val="0096253C"/>
    <w:rsid w:val="00962572"/>
    <w:rsid w:val="0096266F"/>
    <w:rsid w:val="00962719"/>
    <w:rsid w:val="0096272B"/>
    <w:rsid w:val="009627BE"/>
    <w:rsid w:val="009628E8"/>
    <w:rsid w:val="0096299C"/>
    <w:rsid w:val="00962A02"/>
    <w:rsid w:val="00962A20"/>
    <w:rsid w:val="00962AB2"/>
    <w:rsid w:val="00962AB5"/>
    <w:rsid w:val="00962ADD"/>
    <w:rsid w:val="00962BBF"/>
    <w:rsid w:val="00962C96"/>
    <w:rsid w:val="00962CEC"/>
    <w:rsid w:val="00962D88"/>
    <w:rsid w:val="00962E03"/>
    <w:rsid w:val="00962E0D"/>
    <w:rsid w:val="00962E94"/>
    <w:rsid w:val="00962F86"/>
    <w:rsid w:val="00963084"/>
    <w:rsid w:val="00963099"/>
    <w:rsid w:val="009630DC"/>
    <w:rsid w:val="0096310F"/>
    <w:rsid w:val="0096327D"/>
    <w:rsid w:val="0096331D"/>
    <w:rsid w:val="00963327"/>
    <w:rsid w:val="00963377"/>
    <w:rsid w:val="009633A2"/>
    <w:rsid w:val="009633A9"/>
    <w:rsid w:val="009634D7"/>
    <w:rsid w:val="00963526"/>
    <w:rsid w:val="0096352E"/>
    <w:rsid w:val="0096354F"/>
    <w:rsid w:val="0096373C"/>
    <w:rsid w:val="009637DB"/>
    <w:rsid w:val="009638F0"/>
    <w:rsid w:val="00963A02"/>
    <w:rsid w:val="00963A8D"/>
    <w:rsid w:val="00963AA9"/>
    <w:rsid w:val="00963AB4"/>
    <w:rsid w:val="00963ACD"/>
    <w:rsid w:val="00963C1D"/>
    <w:rsid w:val="00963D04"/>
    <w:rsid w:val="00963D88"/>
    <w:rsid w:val="00963DD9"/>
    <w:rsid w:val="00963E3C"/>
    <w:rsid w:val="00963ECD"/>
    <w:rsid w:val="00963EF4"/>
    <w:rsid w:val="00963F00"/>
    <w:rsid w:val="00964045"/>
    <w:rsid w:val="009641D7"/>
    <w:rsid w:val="0096435E"/>
    <w:rsid w:val="009644A2"/>
    <w:rsid w:val="009644C9"/>
    <w:rsid w:val="009645C4"/>
    <w:rsid w:val="009647C8"/>
    <w:rsid w:val="00964831"/>
    <w:rsid w:val="00964867"/>
    <w:rsid w:val="009649DA"/>
    <w:rsid w:val="009649E7"/>
    <w:rsid w:val="00964A47"/>
    <w:rsid w:val="00964A97"/>
    <w:rsid w:val="00964AF7"/>
    <w:rsid w:val="00964AF8"/>
    <w:rsid w:val="00964B9F"/>
    <w:rsid w:val="00964C4C"/>
    <w:rsid w:val="00964C50"/>
    <w:rsid w:val="00964C87"/>
    <w:rsid w:val="00964D45"/>
    <w:rsid w:val="00964ECC"/>
    <w:rsid w:val="00964F23"/>
    <w:rsid w:val="00964FC7"/>
    <w:rsid w:val="00964FCD"/>
    <w:rsid w:val="00965080"/>
    <w:rsid w:val="009650A4"/>
    <w:rsid w:val="009650E0"/>
    <w:rsid w:val="009651A5"/>
    <w:rsid w:val="0096526A"/>
    <w:rsid w:val="00965357"/>
    <w:rsid w:val="00965460"/>
    <w:rsid w:val="0096549C"/>
    <w:rsid w:val="009655BB"/>
    <w:rsid w:val="009655F9"/>
    <w:rsid w:val="00965616"/>
    <w:rsid w:val="00965630"/>
    <w:rsid w:val="0096565B"/>
    <w:rsid w:val="009656B0"/>
    <w:rsid w:val="009656F5"/>
    <w:rsid w:val="00965735"/>
    <w:rsid w:val="009657DF"/>
    <w:rsid w:val="00965978"/>
    <w:rsid w:val="009659EA"/>
    <w:rsid w:val="00965CF0"/>
    <w:rsid w:val="00965D45"/>
    <w:rsid w:val="00965E08"/>
    <w:rsid w:val="00965E31"/>
    <w:rsid w:val="00965FF4"/>
    <w:rsid w:val="0096612C"/>
    <w:rsid w:val="0096614E"/>
    <w:rsid w:val="00966171"/>
    <w:rsid w:val="00966206"/>
    <w:rsid w:val="0096622F"/>
    <w:rsid w:val="00966279"/>
    <w:rsid w:val="009662D0"/>
    <w:rsid w:val="0096635F"/>
    <w:rsid w:val="00966382"/>
    <w:rsid w:val="00966391"/>
    <w:rsid w:val="00966438"/>
    <w:rsid w:val="0096653D"/>
    <w:rsid w:val="009665EE"/>
    <w:rsid w:val="0096672B"/>
    <w:rsid w:val="00966787"/>
    <w:rsid w:val="009669BC"/>
    <w:rsid w:val="00966A66"/>
    <w:rsid w:val="00966B62"/>
    <w:rsid w:val="00966BF0"/>
    <w:rsid w:val="00966BF8"/>
    <w:rsid w:val="00966CA5"/>
    <w:rsid w:val="00966D77"/>
    <w:rsid w:val="00966D9B"/>
    <w:rsid w:val="00966E0F"/>
    <w:rsid w:val="00966EB0"/>
    <w:rsid w:val="00966EE2"/>
    <w:rsid w:val="00966F8F"/>
    <w:rsid w:val="00967081"/>
    <w:rsid w:val="009670A5"/>
    <w:rsid w:val="009670C6"/>
    <w:rsid w:val="0096710B"/>
    <w:rsid w:val="00967164"/>
    <w:rsid w:val="0096726A"/>
    <w:rsid w:val="009672E8"/>
    <w:rsid w:val="00967317"/>
    <w:rsid w:val="00967514"/>
    <w:rsid w:val="0096754E"/>
    <w:rsid w:val="0096754F"/>
    <w:rsid w:val="009676AB"/>
    <w:rsid w:val="009677A8"/>
    <w:rsid w:val="009677D7"/>
    <w:rsid w:val="00967898"/>
    <w:rsid w:val="0096789A"/>
    <w:rsid w:val="009678F0"/>
    <w:rsid w:val="009679F6"/>
    <w:rsid w:val="00967A73"/>
    <w:rsid w:val="00967A78"/>
    <w:rsid w:val="00967AB0"/>
    <w:rsid w:val="00967B99"/>
    <w:rsid w:val="00967D57"/>
    <w:rsid w:val="00967E0C"/>
    <w:rsid w:val="00967F32"/>
    <w:rsid w:val="00967F33"/>
    <w:rsid w:val="00967F40"/>
    <w:rsid w:val="00967F66"/>
    <w:rsid w:val="00967F83"/>
    <w:rsid w:val="00967FD4"/>
    <w:rsid w:val="00967FD9"/>
    <w:rsid w:val="009700C7"/>
    <w:rsid w:val="009701B7"/>
    <w:rsid w:val="009701D7"/>
    <w:rsid w:val="00970431"/>
    <w:rsid w:val="00970496"/>
    <w:rsid w:val="0097051C"/>
    <w:rsid w:val="00970549"/>
    <w:rsid w:val="009705CF"/>
    <w:rsid w:val="00970622"/>
    <w:rsid w:val="009706AA"/>
    <w:rsid w:val="00970744"/>
    <w:rsid w:val="00970788"/>
    <w:rsid w:val="0097080A"/>
    <w:rsid w:val="009708D7"/>
    <w:rsid w:val="009708DE"/>
    <w:rsid w:val="009709A3"/>
    <w:rsid w:val="00970A02"/>
    <w:rsid w:val="00970A1A"/>
    <w:rsid w:val="00970B31"/>
    <w:rsid w:val="00970C66"/>
    <w:rsid w:val="00970C89"/>
    <w:rsid w:val="00970DDF"/>
    <w:rsid w:val="00970E38"/>
    <w:rsid w:val="00970F02"/>
    <w:rsid w:val="00970F52"/>
    <w:rsid w:val="00970F6F"/>
    <w:rsid w:val="00970FD7"/>
    <w:rsid w:val="00970FFA"/>
    <w:rsid w:val="00971014"/>
    <w:rsid w:val="00971018"/>
    <w:rsid w:val="00971023"/>
    <w:rsid w:val="00971126"/>
    <w:rsid w:val="0097116D"/>
    <w:rsid w:val="009712EF"/>
    <w:rsid w:val="00971346"/>
    <w:rsid w:val="009713E2"/>
    <w:rsid w:val="00971443"/>
    <w:rsid w:val="00971468"/>
    <w:rsid w:val="00971498"/>
    <w:rsid w:val="009714A3"/>
    <w:rsid w:val="009715B6"/>
    <w:rsid w:val="0097161A"/>
    <w:rsid w:val="0097169F"/>
    <w:rsid w:val="00971761"/>
    <w:rsid w:val="009717FB"/>
    <w:rsid w:val="00971855"/>
    <w:rsid w:val="009718E1"/>
    <w:rsid w:val="00971918"/>
    <w:rsid w:val="009719FD"/>
    <w:rsid w:val="00971AE6"/>
    <w:rsid w:val="00971B76"/>
    <w:rsid w:val="00971BFE"/>
    <w:rsid w:val="00971CEB"/>
    <w:rsid w:val="00971D24"/>
    <w:rsid w:val="00971DD5"/>
    <w:rsid w:val="00971E56"/>
    <w:rsid w:val="00971E9E"/>
    <w:rsid w:val="00971EBE"/>
    <w:rsid w:val="00971F02"/>
    <w:rsid w:val="00972041"/>
    <w:rsid w:val="009720F0"/>
    <w:rsid w:val="009721AE"/>
    <w:rsid w:val="00972236"/>
    <w:rsid w:val="00972251"/>
    <w:rsid w:val="0097231A"/>
    <w:rsid w:val="0097235C"/>
    <w:rsid w:val="009723D6"/>
    <w:rsid w:val="009723FD"/>
    <w:rsid w:val="0097244B"/>
    <w:rsid w:val="0097251C"/>
    <w:rsid w:val="0097253B"/>
    <w:rsid w:val="0097255E"/>
    <w:rsid w:val="00972569"/>
    <w:rsid w:val="009725BF"/>
    <w:rsid w:val="009725CA"/>
    <w:rsid w:val="0097266B"/>
    <w:rsid w:val="00972704"/>
    <w:rsid w:val="00972778"/>
    <w:rsid w:val="009727E7"/>
    <w:rsid w:val="0097285B"/>
    <w:rsid w:val="009728F9"/>
    <w:rsid w:val="0097294F"/>
    <w:rsid w:val="00972995"/>
    <w:rsid w:val="009729FD"/>
    <w:rsid w:val="00972A72"/>
    <w:rsid w:val="00972B12"/>
    <w:rsid w:val="00972B6E"/>
    <w:rsid w:val="00972C05"/>
    <w:rsid w:val="00972C26"/>
    <w:rsid w:val="00972C9C"/>
    <w:rsid w:val="00972CD2"/>
    <w:rsid w:val="00972DB6"/>
    <w:rsid w:val="00972E5B"/>
    <w:rsid w:val="00972EBA"/>
    <w:rsid w:val="00972F8C"/>
    <w:rsid w:val="0097302F"/>
    <w:rsid w:val="00973093"/>
    <w:rsid w:val="009730AA"/>
    <w:rsid w:val="009730AF"/>
    <w:rsid w:val="009730E8"/>
    <w:rsid w:val="00973154"/>
    <w:rsid w:val="009731D0"/>
    <w:rsid w:val="00973299"/>
    <w:rsid w:val="009732EE"/>
    <w:rsid w:val="009732F4"/>
    <w:rsid w:val="00973385"/>
    <w:rsid w:val="00973453"/>
    <w:rsid w:val="00973524"/>
    <w:rsid w:val="009736DD"/>
    <w:rsid w:val="00973994"/>
    <w:rsid w:val="00973A40"/>
    <w:rsid w:val="00973B4D"/>
    <w:rsid w:val="00973B6F"/>
    <w:rsid w:val="00973B80"/>
    <w:rsid w:val="00973BCE"/>
    <w:rsid w:val="00973CBF"/>
    <w:rsid w:val="00973D2F"/>
    <w:rsid w:val="00973D8D"/>
    <w:rsid w:val="00973E0E"/>
    <w:rsid w:val="00973E60"/>
    <w:rsid w:val="00973EA7"/>
    <w:rsid w:val="00973EFE"/>
    <w:rsid w:val="00973FE3"/>
    <w:rsid w:val="0097401A"/>
    <w:rsid w:val="009740BA"/>
    <w:rsid w:val="00974170"/>
    <w:rsid w:val="009741B7"/>
    <w:rsid w:val="009741D2"/>
    <w:rsid w:val="00974251"/>
    <w:rsid w:val="00974315"/>
    <w:rsid w:val="00974393"/>
    <w:rsid w:val="009744B7"/>
    <w:rsid w:val="009745A8"/>
    <w:rsid w:val="009745C8"/>
    <w:rsid w:val="009745D8"/>
    <w:rsid w:val="00974623"/>
    <w:rsid w:val="0097462C"/>
    <w:rsid w:val="0097468D"/>
    <w:rsid w:val="009747DC"/>
    <w:rsid w:val="0097483C"/>
    <w:rsid w:val="00974944"/>
    <w:rsid w:val="00974965"/>
    <w:rsid w:val="009749E0"/>
    <w:rsid w:val="00974A7D"/>
    <w:rsid w:val="00974B54"/>
    <w:rsid w:val="00974BA0"/>
    <w:rsid w:val="00974BEE"/>
    <w:rsid w:val="00974DC1"/>
    <w:rsid w:val="00974DE5"/>
    <w:rsid w:val="00974E49"/>
    <w:rsid w:val="00974F04"/>
    <w:rsid w:val="00974F19"/>
    <w:rsid w:val="00974F1B"/>
    <w:rsid w:val="00974FA1"/>
    <w:rsid w:val="00974FA9"/>
    <w:rsid w:val="00974FBD"/>
    <w:rsid w:val="00975138"/>
    <w:rsid w:val="00975264"/>
    <w:rsid w:val="0097528B"/>
    <w:rsid w:val="00975378"/>
    <w:rsid w:val="009753B5"/>
    <w:rsid w:val="009754CD"/>
    <w:rsid w:val="009754FA"/>
    <w:rsid w:val="0097554A"/>
    <w:rsid w:val="009755E3"/>
    <w:rsid w:val="00975609"/>
    <w:rsid w:val="0097565A"/>
    <w:rsid w:val="0097567D"/>
    <w:rsid w:val="009756A3"/>
    <w:rsid w:val="00975747"/>
    <w:rsid w:val="00975809"/>
    <w:rsid w:val="00975829"/>
    <w:rsid w:val="009758C2"/>
    <w:rsid w:val="0097590D"/>
    <w:rsid w:val="0097599F"/>
    <w:rsid w:val="009759F8"/>
    <w:rsid w:val="00975A33"/>
    <w:rsid w:val="00975AD6"/>
    <w:rsid w:val="00975B8E"/>
    <w:rsid w:val="00975BEC"/>
    <w:rsid w:val="00975C47"/>
    <w:rsid w:val="00975D60"/>
    <w:rsid w:val="00975E4B"/>
    <w:rsid w:val="00975F08"/>
    <w:rsid w:val="00975F15"/>
    <w:rsid w:val="00975F3C"/>
    <w:rsid w:val="00975F4D"/>
    <w:rsid w:val="00975F4F"/>
    <w:rsid w:val="00975F5A"/>
    <w:rsid w:val="00975FD5"/>
    <w:rsid w:val="00976016"/>
    <w:rsid w:val="00976030"/>
    <w:rsid w:val="00976039"/>
    <w:rsid w:val="00976066"/>
    <w:rsid w:val="0097606C"/>
    <w:rsid w:val="0097608A"/>
    <w:rsid w:val="00976093"/>
    <w:rsid w:val="009760FE"/>
    <w:rsid w:val="00976117"/>
    <w:rsid w:val="009761E9"/>
    <w:rsid w:val="0097634E"/>
    <w:rsid w:val="0097635A"/>
    <w:rsid w:val="0097640E"/>
    <w:rsid w:val="009764A5"/>
    <w:rsid w:val="00976550"/>
    <w:rsid w:val="0097658A"/>
    <w:rsid w:val="009765C4"/>
    <w:rsid w:val="00976661"/>
    <w:rsid w:val="009766E2"/>
    <w:rsid w:val="009767C1"/>
    <w:rsid w:val="00976978"/>
    <w:rsid w:val="00976ACA"/>
    <w:rsid w:val="00976AD7"/>
    <w:rsid w:val="00976B38"/>
    <w:rsid w:val="00976B93"/>
    <w:rsid w:val="00976BD6"/>
    <w:rsid w:val="00976CAA"/>
    <w:rsid w:val="00976CCE"/>
    <w:rsid w:val="00976D26"/>
    <w:rsid w:val="00976D62"/>
    <w:rsid w:val="00976DBE"/>
    <w:rsid w:val="00976E06"/>
    <w:rsid w:val="00976E56"/>
    <w:rsid w:val="00976E87"/>
    <w:rsid w:val="00976EF0"/>
    <w:rsid w:val="00976F06"/>
    <w:rsid w:val="00976F9D"/>
    <w:rsid w:val="00977124"/>
    <w:rsid w:val="0097714A"/>
    <w:rsid w:val="00977158"/>
    <w:rsid w:val="00977170"/>
    <w:rsid w:val="00977198"/>
    <w:rsid w:val="00977234"/>
    <w:rsid w:val="00977244"/>
    <w:rsid w:val="009772AB"/>
    <w:rsid w:val="00977325"/>
    <w:rsid w:val="0097735D"/>
    <w:rsid w:val="00977472"/>
    <w:rsid w:val="009774DE"/>
    <w:rsid w:val="009774E8"/>
    <w:rsid w:val="009774E9"/>
    <w:rsid w:val="009776F2"/>
    <w:rsid w:val="009776F5"/>
    <w:rsid w:val="009776FE"/>
    <w:rsid w:val="0097779B"/>
    <w:rsid w:val="0097785A"/>
    <w:rsid w:val="00977872"/>
    <w:rsid w:val="009779C3"/>
    <w:rsid w:val="00977A82"/>
    <w:rsid w:val="00977A92"/>
    <w:rsid w:val="00977BC1"/>
    <w:rsid w:val="00977BF8"/>
    <w:rsid w:val="00977C2B"/>
    <w:rsid w:val="00977C2F"/>
    <w:rsid w:val="00977C62"/>
    <w:rsid w:val="00977D23"/>
    <w:rsid w:val="00977DE5"/>
    <w:rsid w:val="00977E4C"/>
    <w:rsid w:val="00977EF6"/>
    <w:rsid w:val="00977F48"/>
    <w:rsid w:val="00977F6D"/>
    <w:rsid w:val="009800AF"/>
    <w:rsid w:val="009800B2"/>
    <w:rsid w:val="0098039D"/>
    <w:rsid w:val="009803A5"/>
    <w:rsid w:val="009803EA"/>
    <w:rsid w:val="00980401"/>
    <w:rsid w:val="0098046C"/>
    <w:rsid w:val="0098055A"/>
    <w:rsid w:val="00980581"/>
    <w:rsid w:val="0098059C"/>
    <w:rsid w:val="009805E2"/>
    <w:rsid w:val="009805E8"/>
    <w:rsid w:val="0098060B"/>
    <w:rsid w:val="009806CD"/>
    <w:rsid w:val="009807AD"/>
    <w:rsid w:val="00980810"/>
    <w:rsid w:val="009808AF"/>
    <w:rsid w:val="009808C1"/>
    <w:rsid w:val="009808CF"/>
    <w:rsid w:val="009809C7"/>
    <w:rsid w:val="00980B20"/>
    <w:rsid w:val="00980B86"/>
    <w:rsid w:val="00980C3A"/>
    <w:rsid w:val="00980D29"/>
    <w:rsid w:val="00980D8F"/>
    <w:rsid w:val="00980E17"/>
    <w:rsid w:val="00980ED3"/>
    <w:rsid w:val="00981079"/>
    <w:rsid w:val="00981081"/>
    <w:rsid w:val="009810A5"/>
    <w:rsid w:val="009811CA"/>
    <w:rsid w:val="0098121C"/>
    <w:rsid w:val="00981284"/>
    <w:rsid w:val="009812EE"/>
    <w:rsid w:val="0098140A"/>
    <w:rsid w:val="0098147F"/>
    <w:rsid w:val="00981574"/>
    <w:rsid w:val="009815F2"/>
    <w:rsid w:val="009816A8"/>
    <w:rsid w:val="009816E6"/>
    <w:rsid w:val="0098170A"/>
    <w:rsid w:val="00981807"/>
    <w:rsid w:val="00981834"/>
    <w:rsid w:val="0098195A"/>
    <w:rsid w:val="0098197B"/>
    <w:rsid w:val="009819D1"/>
    <w:rsid w:val="00981A0E"/>
    <w:rsid w:val="00981A2A"/>
    <w:rsid w:val="00981A31"/>
    <w:rsid w:val="00981A78"/>
    <w:rsid w:val="00981ABB"/>
    <w:rsid w:val="00981B2C"/>
    <w:rsid w:val="00981CAC"/>
    <w:rsid w:val="00981CE7"/>
    <w:rsid w:val="00981D00"/>
    <w:rsid w:val="00981D51"/>
    <w:rsid w:val="00981D82"/>
    <w:rsid w:val="00981DB1"/>
    <w:rsid w:val="00981DD1"/>
    <w:rsid w:val="00981E34"/>
    <w:rsid w:val="00981E5F"/>
    <w:rsid w:val="00981EB7"/>
    <w:rsid w:val="00981EFC"/>
    <w:rsid w:val="00981F3F"/>
    <w:rsid w:val="00981F5B"/>
    <w:rsid w:val="00981F64"/>
    <w:rsid w:val="00981FB5"/>
    <w:rsid w:val="00982045"/>
    <w:rsid w:val="00982056"/>
    <w:rsid w:val="0098214F"/>
    <w:rsid w:val="0098220B"/>
    <w:rsid w:val="0098229D"/>
    <w:rsid w:val="009822A9"/>
    <w:rsid w:val="009823E0"/>
    <w:rsid w:val="00982460"/>
    <w:rsid w:val="00982695"/>
    <w:rsid w:val="009826F1"/>
    <w:rsid w:val="009827CE"/>
    <w:rsid w:val="00982890"/>
    <w:rsid w:val="009828B2"/>
    <w:rsid w:val="00982A25"/>
    <w:rsid w:val="00982A29"/>
    <w:rsid w:val="00982A4D"/>
    <w:rsid w:val="00982B41"/>
    <w:rsid w:val="00982B52"/>
    <w:rsid w:val="00982C22"/>
    <w:rsid w:val="00982C90"/>
    <w:rsid w:val="00982CFC"/>
    <w:rsid w:val="00982E83"/>
    <w:rsid w:val="00982EA2"/>
    <w:rsid w:val="00982F5D"/>
    <w:rsid w:val="0098304C"/>
    <w:rsid w:val="00983134"/>
    <w:rsid w:val="009831C4"/>
    <w:rsid w:val="00983214"/>
    <w:rsid w:val="009833C1"/>
    <w:rsid w:val="009833EF"/>
    <w:rsid w:val="00983524"/>
    <w:rsid w:val="00983531"/>
    <w:rsid w:val="009835B1"/>
    <w:rsid w:val="009836AF"/>
    <w:rsid w:val="009837BD"/>
    <w:rsid w:val="009838B2"/>
    <w:rsid w:val="009839AB"/>
    <w:rsid w:val="009839B9"/>
    <w:rsid w:val="00983A13"/>
    <w:rsid w:val="00983A23"/>
    <w:rsid w:val="00983A8A"/>
    <w:rsid w:val="00983AB4"/>
    <w:rsid w:val="00983AC5"/>
    <w:rsid w:val="00983B03"/>
    <w:rsid w:val="00983B1D"/>
    <w:rsid w:val="00983C70"/>
    <w:rsid w:val="00983CBE"/>
    <w:rsid w:val="00983CE2"/>
    <w:rsid w:val="00983CF1"/>
    <w:rsid w:val="00983DC4"/>
    <w:rsid w:val="00983F3B"/>
    <w:rsid w:val="00983F99"/>
    <w:rsid w:val="00984033"/>
    <w:rsid w:val="00984053"/>
    <w:rsid w:val="0098411F"/>
    <w:rsid w:val="00984165"/>
    <w:rsid w:val="009841BF"/>
    <w:rsid w:val="009842C5"/>
    <w:rsid w:val="00984346"/>
    <w:rsid w:val="0098440A"/>
    <w:rsid w:val="0098443A"/>
    <w:rsid w:val="00984464"/>
    <w:rsid w:val="00984491"/>
    <w:rsid w:val="00984575"/>
    <w:rsid w:val="0098459D"/>
    <w:rsid w:val="009845D8"/>
    <w:rsid w:val="00984663"/>
    <w:rsid w:val="0098473B"/>
    <w:rsid w:val="00984747"/>
    <w:rsid w:val="009847A4"/>
    <w:rsid w:val="009847AA"/>
    <w:rsid w:val="009848B6"/>
    <w:rsid w:val="0098499F"/>
    <w:rsid w:val="00984A2B"/>
    <w:rsid w:val="00984A53"/>
    <w:rsid w:val="00984AA1"/>
    <w:rsid w:val="00984AED"/>
    <w:rsid w:val="00984B58"/>
    <w:rsid w:val="00984B7D"/>
    <w:rsid w:val="00984BEE"/>
    <w:rsid w:val="00984C3B"/>
    <w:rsid w:val="00984D72"/>
    <w:rsid w:val="00984E0F"/>
    <w:rsid w:val="00984EC6"/>
    <w:rsid w:val="00984F9E"/>
    <w:rsid w:val="00984FF0"/>
    <w:rsid w:val="0098502D"/>
    <w:rsid w:val="00985171"/>
    <w:rsid w:val="00985193"/>
    <w:rsid w:val="0098520A"/>
    <w:rsid w:val="00985265"/>
    <w:rsid w:val="00985303"/>
    <w:rsid w:val="009853C0"/>
    <w:rsid w:val="009853EC"/>
    <w:rsid w:val="009853F7"/>
    <w:rsid w:val="00985471"/>
    <w:rsid w:val="00985493"/>
    <w:rsid w:val="00985497"/>
    <w:rsid w:val="009854DA"/>
    <w:rsid w:val="009856A1"/>
    <w:rsid w:val="00985700"/>
    <w:rsid w:val="00985708"/>
    <w:rsid w:val="00985719"/>
    <w:rsid w:val="009857DF"/>
    <w:rsid w:val="00985840"/>
    <w:rsid w:val="00985857"/>
    <w:rsid w:val="00985A00"/>
    <w:rsid w:val="00985B43"/>
    <w:rsid w:val="00985BEF"/>
    <w:rsid w:val="00985C2F"/>
    <w:rsid w:val="00985C91"/>
    <w:rsid w:val="00985CAE"/>
    <w:rsid w:val="00985CFC"/>
    <w:rsid w:val="00985D2C"/>
    <w:rsid w:val="00985D5B"/>
    <w:rsid w:val="00985D7A"/>
    <w:rsid w:val="00985D87"/>
    <w:rsid w:val="00985DBF"/>
    <w:rsid w:val="00985DDC"/>
    <w:rsid w:val="00985E84"/>
    <w:rsid w:val="00985E8C"/>
    <w:rsid w:val="00985EC3"/>
    <w:rsid w:val="00985EE6"/>
    <w:rsid w:val="00985F42"/>
    <w:rsid w:val="00985F85"/>
    <w:rsid w:val="00985F94"/>
    <w:rsid w:val="00986071"/>
    <w:rsid w:val="009860EB"/>
    <w:rsid w:val="0098618C"/>
    <w:rsid w:val="009861C7"/>
    <w:rsid w:val="00986245"/>
    <w:rsid w:val="00986279"/>
    <w:rsid w:val="009862E1"/>
    <w:rsid w:val="00986354"/>
    <w:rsid w:val="00986377"/>
    <w:rsid w:val="009863B1"/>
    <w:rsid w:val="009863DD"/>
    <w:rsid w:val="0098641A"/>
    <w:rsid w:val="0098646E"/>
    <w:rsid w:val="0098650E"/>
    <w:rsid w:val="00986563"/>
    <w:rsid w:val="00986577"/>
    <w:rsid w:val="0098661E"/>
    <w:rsid w:val="00986716"/>
    <w:rsid w:val="0098672D"/>
    <w:rsid w:val="0098685A"/>
    <w:rsid w:val="00986945"/>
    <w:rsid w:val="00986981"/>
    <w:rsid w:val="009869A4"/>
    <w:rsid w:val="009869D3"/>
    <w:rsid w:val="00986A62"/>
    <w:rsid w:val="00986A6B"/>
    <w:rsid w:val="00986ABB"/>
    <w:rsid w:val="00986B77"/>
    <w:rsid w:val="00986C53"/>
    <w:rsid w:val="00986C8E"/>
    <w:rsid w:val="00986CFE"/>
    <w:rsid w:val="00986D57"/>
    <w:rsid w:val="00986DF6"/>
    <w:rsid w:val="00986E04"/>
    <w:rsid w:val="00986E3C"/>
    <w:rsid w:val="00986E48"/>
    <w:rsid w:val="00986E74"/>
    <w:rsid w:val="00986E83"/>
    <w:rsid w:val="00986EB4"/>
    <w:rsid w:val="00986FA9"/>
    <w:rsid w:val="00987036"/>
    <w:rsid w:val="00987090"/>
    <w:rsid w:val="009870A2"/>
    <w:rsid w:val="009870A4"/>
    <w:rsid w:val="009870A5"/>
    <w:rsid w:val="009870CA"/>
    <w:rsid w:val="009870DF"/>
    <w:rsid w:val="009870E8"/>
    <w:rsid w:val="00987187"/>
    <w:rsid w:val="00987192"/>
    <w:rsid w:val="0098736C"/>
    <w:rsid w:val="00987370"/>
    <w:rsid w:val="009873D3"/>
    <w:rsid w:val="009875A1"/>
    <w:rsid w:val="009876B1"/>
    <w:rsid w:val="009876B2"/>
    <w:rsid w:val="00987733"/>
    <w:rsid w:val="009877E9"/>
    <w:rsid w:val="009878B7"/>
    <w:rsid w:val="00987939"/>
    <w:rsid w:val="0098799C"/>
    <w:rsid w:val="00987A40"/>
    <w:rsid w:val="00987AA1"/>
    <w:rsid w:val="00987B33"/>
    <w:rsid w:val="00987C5B"/>
    <w:rsid w:val="00987D13"/>
    <w:rsid w:val="00987E1A"/>
    <w:rsid w:val="00987F0B"/>
    <w:rsid w:val="00987F55"/>
    <w:rsid w:val="00987FBB"/>
    <w:rsid w:val="0099005E"/>
    <w:rsid w:val="009900C8"/>
    <w:rsid w:val="009900D2"/>
    <w:rsid w:val="00990131"/>
    <w:rsid w:val="00990133"/>
    <w:rsid w:val="00990228"/>
    <w:rsid w:val="009902AF"/>
    <w:rsid w:val="00990325"/>
    <w:rsid w:val="0099043B"/>
    <w:rsid w:val="0099048A"/>
    <w:rsid w:val="009905C6"/>
    <w:rsid w:val="00990680"/>
    <w:rsid w:val="0099074C"/>
    <w:rsid w:val="0099090E"/>
    <w:rsid w:val="0099092B"/>
    <w:rsid w:val="00990961"/>
    <w:rsid w:val="0099097A"/>
    <w:rsid w:val="009909DE"/>
    <w:rsid w:val="00990AA8"/>
    <w:rsid w:val="00990B46"/>
    <w:rsid w:val="00990B81"/>
    <w:rsid w:val="00990B94"/>
    <w:rsid w:val="00990BDA"/>
    <w:rsid w:val="00990C49"/>
    <w:rsid w:val="00990C50"/>
    <w:rsid w:val="00990CCE"/>
    <w:rsid w:val="00990D5A"/>
    <w:rsid w:val="00990D64"/>
    <w:rsid w:val="00990D82"/>
    <w:rsid w:val="00990E1A"/>
    <w:rsid w:val="00990E34"/>
    <w:rsid w:val="00990FCE"/>
    <w:rsid w:val="009910E2"/>
    <w:rsid w:val="009910FC"/>
    <w:rsid w:val="0099110A"/>
    <w:rsid w:val="009911C8"/>
    <w:rsid w:val="009912CA"/>
    <w:rsid w:val="009913CB"/>
    <w:rsid w:val="0099147E"/>
    <w:rsid w:val="00991616"/>
    <w:rsid w:val="00991672"/>
    <w:rsid w:val="009916B0"/>
    <w:rsid w:val="009916BC"/>
    <w:rsid w:val="00991727"/>
    <w:rsid w:val="009917CE"/>
    <w:rsid w:val="00991809"/>
    <w:rsid w:val="00991866"/>
    <w:rsid w:val="009918F3"/>
    <w:rsid w:val="00991959"/>
    <w:rsid w:val="009919E9"/>
    <w:rsid w:val="00991AAE"/>
    <w:rsid w:val="00991C2E"/>
    <w:rsid w:val="00991C76"/>
    <w:rsid w:val="00991CC5"/>
    <w:rsid w:val="00991CFD"/>
    <w:rsid w:val="00991D1B"/>
    <w:rsid w:val="00991DE0"/>
    <w:rsid w:val="00991E47"/>
    <w:rsid w:val="00991EC0"/>
    <w:rsid w:val="00991ECD"/>
    <w:rsid w:val="00991F22"/>
    <w:rsid w:val="00991F5E"/>
    <w:rsid w:val="00991F83"/>
    <w:rsid w:val="009920CB"/>
    <w:rsid w:val="0099211A"/>
    <w:rsid w:val="00992150"/>
    <w:rsid w:val="009921AE"/>
    <w:rsid w:val="009922F5"/>
    <w:rsid w:val="009922FC"/>
    <w:rsid w:val="0099230C"/>
    <w:rsid w:val="00992318"/>
    <w:rsid w:val="009923C1"/>
    <w:rsid w:val="0099246A"/>
    <w:rsid w:val="0099246E"/>
    <w:rsid w:val="009924BE"/>
    <w:rsid w:val="009924FB"/>
    <w:rsid w:val="0099258F"/>
    <w:rsid w:val="009926CF"/>
    <w:rsid w:val="009926DF"/>
    <w:rsid w:val="00992865"/>
    <w:rsid w:val="009928DD"/>
    <w:rsid w:val="00992943"/>
    <w:rsid w:val="009929FB"/>
    <w:rsid w:val="00992A7B"/>
    <w:rsid w:val="00992AF1"/>
    <w:rsid w:val="00992B0E"/>
    <w:rsid w:val="00992B7A"/>
    <w:rsid w:val="00992BA2"/>
    <w:rsid w:val="00992C66"/>
    <w:rsid w:val="00992C77"/>
    <w:rsid w:val="00992D2D"/>
    <w:rsid w:val="00992D61"/>
    <w:rsid w:val="00992D93"/>
    <w:rsid w:val="00992E32"/>
    <w:rsid w:val="00992E9B"/>
    <w:rsid w:val="00992EC0"/>
    <w:rsid w:val="00992F39"/>
    <w:rsid w:val="00992FF1"/>
    <w:rsid w:val="0099303F"/>
    <w:rsid w:val="00993291"/>
    <w:rsid w:val="00993337"/>
    <w:rsid w:val="00993424"/>
    <w:rsid w:val="00993512"/>
    <w:rsid w:val="00993514"/>
    <w:rsid w:val="0099356E"/>
    <w:rsid w:val="00993619"/>
    <w:rsid w:val="0099378C"/>
    <w:rsid w:val="009937FF"/>
    <w:rsid w:val="0099382D"/>
    <w:rsid w:val="00993912"/>
    <w:rsid w:val="00993973"/>
    <w:rsid w:val="009939E6"/>
    <w:rsid w:val="00993A08"/>
    <w:rsid w:val="00993A42"/>
    <w:rsid w:val="00993A79"/>
    <w:rsid w:val="00993B5A"/>
    <w:rsid w:val="00993B8E"/>
    <w:rsid w:val="00993BE3"/>
    <w:rsid w:val="00993CA2"/>
    <w:rsid w:val="00993D12"/>
    <w:rsid w:val="00993D25"/>
    <w:rsid w:val="00993D84"/>
    <w:rsid w:val="00993E50"/>
    <w:rsid w:val="00993E71"/>
    <w:rsid w:val="00993E84"/>
    <w:rsid w:val="00993EF1"/>
    <w:rsid w:val="0099402F"/>
    <w:rsid w:val="0099416B"/>
    <w:rsid w:val="009941BD"/>
    <w:rsid w:val="009941BE"/>
    <w:rsid w:val="009941FA"/>
    <w:rsid w:val="0099421D"/>
    <w:rsid w:val="0099429D"/>
    <w:rsid w:val="00994311"/>
    <w:rsid w:val="0099434E"/>
    <w:rsid w:val="00994388"/>
    <w:rsid w:val="009943B5"/>
    <w:rsid w:val="0099442F"/>
    <w:rsid w:val="009944B2"/>
    <w:rsid w:val="009944CC"/>
    <w:rsid w:val="00994612"/>
    <w:rsid w:val="00994690"/>
    <w:rsid w:val="009946B8"/>
    <w:rsid w:val="00994809"/>
    <w:rsid w:val="00994822"/>
    <w:rsid w:val="0099482C"/>
    <w:rsid w:val="009948D8"/>
    <w:rsid w:val="00994918"/>
    <w:rsid w:val="00994933"/>
    <w:rsid w:val="0099495D"/>
    <w:rsid w:val="00994AA3"/>
    <w:rsid w:val="00994B1C"/>
    <w:rsid w:val="00994B6F"/>
    <w:rsid w:val="00994C1D"/>
    <w:rsid w:val="00994C59"/>
    <w:rsid w:val="00994CEF"/>
    <w:rsid w:val="00994D22"/>
    <w:rsid w:val="00994D5C"/>
    <w:rsid w:val="00994DA6"/>
    <w:rsid w:val="00994DF1"/>
    <w:rsid w:val="00994E7B"/>
    <w:rsid w:val="00994E96"/>
    <w:rsid w:val="00994EE6"/>
    <w:rsid w:val="00994F25"/>
    <w:rsid w:val="00994F79"/>
    <w:rsid w:val="00994FBE"/>
    <w:rsid w:val="0099501F"/>
    <w:rsid w:val="00995028"/>
    <w:rsid w:val="009950D4"/>
    <w:rsid w:val="009950EB"/>
    <w:rsid w:val="009950F2"/>
    <w:rsid w:val="00995182"/>
    <w:rsid w:val="00995193"/>
    <w:rsid w:val="00995207"/>
    <w:rsid w:val="0099524C"/>
    <w:rsid w:val="0099534A"/>
    <w:rsid w:val="0099538A"/>
    <w:rsid w:val="0099539D"/>
    <w:rsid w:val="009953B8"/>
    <w:rsid w:val="009953CE"/>
    <w:rsid w:val="00995401"/>
    <w:rsid w:val="0099545A"/>
    <w:rsid w:val="009955D3"/>
    <w:rsid w:val="00995645"/>
    <w:rsid w:val="009956AA"/>
    <w:rsid w:val="009956D9"/>
    <w:rsid w:val="0099573F"/>
    <w:rsid w:val="009957A7"/>
    <w:rsid w:val="009957C7"/>
    <w:rsid w:val="00995802"/>
    <w:rsid w:val="00995837"/>
    <w:rsid w:val="0099589C"/>
    <w:rsid w:val="00995975"/>
    <w:rsid w:val="00995991"/>
    <w:rsid w:val="00995A46"/>
    <w:rsid w:val="00995B1E"/>
    <w:rsid w:val="00995B43"/>
    <w:rsid w:val="00995BB2"/>
    <w:rsid w:val="00995BCE"/>
    <w:rsid w:val="00995CBD"/>
    <w:rsid w:val="00995D53"/>
    <w:rsid w:val="00995E4B"/>
    <w:rsid w:val="009960EA"/>
    <w:rsid w:val="0099614D"/>
    <w:rsid w:val="009961A7"/>
    <w:rsid w:val="009961AC"/>
    <w:rsid w:val="009961D1"/>
    <w:rsid w:val="009961DA"/>
    <w:rsid w:val="00996223"/>
    <w:rsid w:val="0099623D"/>
    <w:rsid w:val="00996284"/>
    <w:rsid w:val="0099628F"/>
    <w:rsid w:val="0099634B"/>
    <w:rsid w:val="009963E2"/>
    <w:rsid w:val="0099642C"/>
    <w:rsid w:val="0099650F"/>
    <w:rsid w:val="00996552"/>
    <w:rsid w:val="0099665F"/>
    <w:rsid w:val="0099668D"/>
    <w:rsid w:val="00996726"/>
    <w:rsid w:val="0099673C"/>
    <w:rsid w:val="00996751"/>
    <w:rsid w:val="0099675C"/>
    <w:rsid w:val="009967F3"/>
    <w:rsid w:val="00996873"/>
    <w:rsid w:val="0099688B"/>
    <w:rsid w:val="00996892"/>
    <w:rsid w:val="009969E1"/>
    <w:rsid w:val="009969E3"/>
    <w:rsid w:val="00996A1C"/>
    <w:rsid w:val="00996A2E"/>
    <w:rsid w:val="00996B4C"/>
    <w:rsid w:val="00996BAD"/>
    <w:rsid w:val="00996CE7"/>
    <w:rsid w:val="00996EBF"/>
    <w:rsid w:val="00996ED5"/>
    <w:rsid w:val="00996F70"/>
    <w:rsid w:val="00996FEC"/>
    <w:rsid w:val="00997029"/>
    <w:rsid w:val="009971B5"/>
    <w:rsid w:val="00997276"/>
    <w:rsid w:val="009972DD"/>
    <w:rsid w:val="009972F2"/>
    <w:rsid w:val="0099733F"/>
    <w:rsid w:val="0099739D"/>
    <w:rsid w:val="009973BF"/>
    <w:rsid w:val="009974E5"/>
    <w:rsid w:val="0099753B"/>
    <w:rsid w:val="00997575"/>
    <w:rsid w:val="00997660"/>
    <w:rsid w:val="0099769D"/>
    <w:rsid w:val="009976B4"/>
    <w:rsid w:val="009976B9"/>
    <w:rsid w:val="009976F3"/>
    <w:rsid w:val="00997711"/>
    <w:rsid w:val="00997759"/>
    <w:rsid w:val="009977D2"/>
    <w:rsid w:val="00997801"/>
    <w:rsid w:val="0099782E"/>
    <w:rsid w:val="0099786C"/>
    <w:rsid w:val="009978D0"/>
    <w:rsid w:val="00997925"/>
    <w:rsid w:val="00997964"/>
    <w:rsid w:val="00997A0F"/>
    <w:rsid w:val="00997A4D"/>
    <w:rsid w:val="00997B0D"/>
    <w:rsid w:val="00997B27"/>
    <w:rsid w:val="00997B90"/>
    <w:rsid w:val="00997BC1"/>
    <w:rsid w:val="00997C36"/>
    <w:rsid w:val="00997C7F"/>
    <w:rsid w:val="00997CA6"/>
    <w:rsid w:val="00997CC8"/>
    <w:rsid w:val="00997DC9"/>
    <w:rsid w:val="00997DD1"/>
    <w:rsid w:val="00997DFE"/>
    <w:rsid w:val="00997E0E"/>
    <w:rsid w:val="00997E1B"/>
    <w:rsid w:val="00997EF7"/>
    <w:rsid w:val="00997F26"/>
    <w:rsid w:val="00997F30"/>
    <w:rsid w:val="00997F60"/>
    <w:rsid w:val="009A0012"/>
    <w:rsid w:val="009A00EE"/>
    <w:rsid w:val="009A0171"/>
    <w:rsid w:val="009A019C"/>
    <w:rsid w:val="009A01C4"/>
    <w:rsid w:val="009A01DD"/>
    <w:rsid w:val="009A027C"/>
    <w:rsid w:val="009A02B6"/>
    <w:rsid w:val="009A0368"/>
    <w:rsid w:val="009A03C5"/>
    <w:rsid w:val="009A0428"/>
    <w:rsid w:val="009A043C"/>
    <w:rsid w:val="009A0456"/>
    <w:rsid w:val="009A04CA"/>
    <w:rsid w:val="009A059F"/>
    <w:rsid w:val="009A05B8"/>
    <w:rsid w:val="009A0618"/>
    <w:rsid w:val="009A06E3"/>
    <w:rsid w:val="009A0744"/>
    <w:rsid w:val="009A07B3"/>
    <w:rsid w:val="009A08B1"/>
    <w:rsid w:val="009A08DC"/>
    <w:rsid w:val="009A08E0"/>
    <w:rsid w:val="009A0977"/>
    <w:rsid w:val="009A0A4B"/>
    <w:rsid w:val="009A0A6E"/>
    <w:rsid w:val="009A0A7B"/>
    <w:rsid w:val="009A0A83"/>
    <w:rsid w:val="009A0AA4"/>
    <w:rsid w:val="009A0B1C"/>
    <w:rsid w:val="009A0B6E"/>
    <w:rsid w:val="009A0C08"/>
    <w:rsid w:val="009A0C5E"/>
    <w:rsid w:val="009A0CC7"/>
    <w:rsid w:val="009A0DC4"/>
    <w:rsid w:val="009A0E85"/>
    <w:rsid w:val="009A0F02"/>
    <w:rsid w:val="009A0F0B"/>
    <w:rsid w:val="009A0F52"/>
    <w:rsid w:val="009A0F56"/>
    <w:rsid w:val="009A1023"/>
    <w:rsid w:val="009A107F"/>
    <w:rsid w:val="009A1095"/>
    <w:rsid w:val="009A11FA"/>
    <w:rsid w:val="009A1246"/>
    <w:rsid w:val="009A1390"/>
    <w:rsid w:val="009A13C3"/>
    <w:rsid w:val="009A145D"/>
    <w:rsid w:val="009A1464"/>
    <w:rsid w:val="009A14FC"/>
    <w:rsid w:val="009A158C"/>
    <w:rsid w:val="009A16F6"/>
    <w:rsid w:val="009A174D"/>
    <w:rsid w:val="009A17B4"/>
    <w:rsid w:val="009A1858"/>
    <w:rsid w:val="009A1868"/>
    <w:rsid w:val="009A18A8"/>
    <w:rsid w:val="009A18D6"/>
    <w:rsid w:val="009A196D"/>
    <w:rsid w:val="009A1B50"/>
    <w:rsid w:val="009A1B73"/>
    <w:rsid w:val="009A1CA3"/>
    <w:rsid w:val="009A1CF6"/>
    <w:rsid w:val="009A1D52"/>
    <w:rsid w:val="009A1D5D"/>
    <w:rsid w:val="009A1DD7"/>
    <w:rsid w:val="009A1EE4"/>
    <w:rsid w:val="009A1F0C"/>
    <w:rsid w:val="009A2001"/>
    <w:rsid w:val="009A2070"/>
    <w:rsid w:val="009A20A0"/>
    <w:rsid w:val="009A2178"/>
    <w:rsid w:val="009A21ED"/>
    <w:rsid w:val="009A2231"/>
    <w:rsid w:val="009A2239"/>
    <w:rsid w:val="009A226D"/>
    <w:rsid w:val="009A2274"/>
    <w:rsid w:val="009A22EB"/>
    <w:rsid w:val="009A23F6"/>
    <w:rsid w:val="009A2477"/>
    <w:rsid w:val="009A24D1"/>
    <w:rsid w:val="009A2584"/>
    <w:rsid w:val="009A25A6"/>
    <w:rsid w:val="009A25BE"/>
    <w:rsid w:val="009A25EC"/>
    <w:rsid w:val="009A2633"/>
    <w:rsid w:val="009A26E8"/>
    <w:rsid w:val="009A2764"/>
    <w:rsid w:val="009A2767"/>
    <w:rsid w:val="009A28E4"/>
    <w:rsid w:val="009A28E8"/>
    <w:rsid w:val="009A29EA"/>
    <w:rsid w:val="009A29F8"/>
    <w:rsid w:val="009A2B67"/>
    <w:rsid w:val="009A2D72"/>
    <w:rsid w:val="009A2DA8"/>
    <w:rsid w:val="009A2E01"/>
    <w:rsid w:val="009A2EFF"/>
    <w:rsid w:val="009A315C"/>
    <w:rsid w:val="009A316D"/>
    <w:rsid w:val="009A31BC"/>
    <w:rsid w:val="009A31DF"/>
    <w:rsid w:val="009A32AC"/>
    <w:rsid w:val="009A32FC"/>
    <w:rsid w:val="009A33EC"/>
    <w:rsid w:val="009A34A0"/>
    <w:rsid w:val="009A34AF"/>
    <w:rsid w:val="009A35B3"/>
    <w:rsid w:val="009A35F6"/>
    <w:rsid w:val="009A3766"/>
    <w:rsid w:val="009A37BE"/>
    <w:rsid w:val="009A38F0"/>
    <w:rsid w:val="009A397E"/>
    <w:rsid w:val="009A3981"/>
    <w:rsid w:val="009A39ED"/>
    <w:rsid w:val="009A3A37"/>
    <w:rsid w:val="009A3AFD"/>
    <w:rsid w:val="009A3B7B"/>
    <w:rsid w:val="009A3B9F"/>
    <w:rsid w:val="009A3BA5"/>
    <w:rsid w:val="009A3C0D"/>
    <w:rsid w:val="009A3C91"/>
    <w:rsid w:val="009A3CA4"/>
    <w:rsid w:val="009A3CCE"/>
    <w:rsid w:val="009A3EDC"/>
    <w:rsid w:val="009A3F04"/>
    <w:rsid w:val="009A3F1C"/>
    <w:rsid w:val="009A3F5E"/>
    <w:rsid w:val="009A3F79"/>
    <w:rsid w:val="009A3FB9"/>
    <w:rsid w:val="009A3FED"/>
    <w:rsid w:val="009A4008"/>
    <w:rsid w:val="009A4098"/>
    <w:rsid w:val="009A40BE"/>
    <w:rsid w:val="009A40F2"/>
    <w:rsid w:val="009A41D9"/>
    <w:rsid w:val="009A42B9"/>
    <w:rsid w:val="009A42C3"/>
    <w:rsid w:val="009A43E3"/>
    <w:rsid w:val="009A442D"/>
    <w:rsid w:val="009A44FA"/>
    <w:rsid w:val="009A45BD"/>
    <w:rsid w:val="009A460A"/>
    <w:rsid w:val="009A46BF"/>
    <w:rsid w:val="009A472B"/>
    <w:rsid w:val="009A4782"/>
    <w:rsid w:val="009A47D7"/>
    <w:rsid w:val="009A487C"/>
    <w:rsid w:val="009A488E"/>
    <w:rsid w:val="009A48E5"/>
    <w:rsid w:val="009A4AE1"/>
    <w:rsid w:val="009A4BB6"/>
    <w:rsid w:val="009A4BC9"/>
    <w:rsid w:val="009A4CA9"/>
    <w:rsid w:val="009A4D79"/>
    <w:rsid w:val="009A4DB9"/>
    <w:rsid w:val="009A4DDA"/>
    <w:rsid w:val="009A4F04"/>
    <w:rsid w:val="009A502F"/>
    <w:rsid w:val="009A5095"/>
    <w:rsid w:val="009A50B4"/>
    <w:rsid w:val="009A50D4"/>
    <w:rsid w:val="009A519E"/>
    <w:rsid w:val="009A520A"/>
    <w:rsid w:val="009A5316"/>
    <w:rsid w:val="009A5381"/>
    <w:rsid w:val="009A5410"/>
    <w:rsid w:val="009A54DB"/>
    <w:rsid w:val="009A54FF"/>
    <w:rsid w:val="009A55CE"/>
    <w:rsid w:val="009A5673"/>
    <w:rsid w:val="009A568B"/>
    <w:rsid w:val="009A568C"/>
    <w:rsid w:val="009A569F"/>
    <w:rsid w:val="009A57C1"/>
    <w:rsid w:val="009A58BA"/>
    <w:rsid w:val="009A5985"/>
    <w:rsid w:val="009A5A60"/>
    <w:rsid w:val="009A5AD9"/>
    <w:rsid w:val="009A5B1A"/>
    <w:rsid w:val="009A5B79"/>
    <w:rsid w:val="009A5C04"/>
    <w:rsid w:val="009A5C4C"/>
    <w:rsid w:val="009A5D82"/>
    <w:rsid w:val="009A5EE1"/>
    <w:rsid w:val="009A5EEA"/>
    <w:rsid w:val="009A5F1D"/>
    <w:rsid w:val="009A5F38"/>
    <w:rsid w:val="009A5FCA"/>
    <w:rsid w:val="009A606A"/>
    <w:rsid w:val="009A6080"/>
    <w:rsid w:val="009A6096"/>
    <w:rsid w:val="009A60DF"/>
    <w:rsid w:val="009A6215"/>
    <w:rsid w:val="009A6260"/>
    <w:rsid w:val="009A62BE"/>
    <w:rsid w:val="009A637C"/>
    <w:rsid w:val="009A6389"/>
    <w:rsid w:val="009A63B3"/>
    <w:rsid w:val="009A64AE"/>
    <w:rsid w:val="009A6571"/>
    <w:rsid w:val="009A65C8"/>
    <w:rsid w:val="009A6633"/>
    <w:rsid w:val="009A668C"/>
    <w:rsid w:val="009A6759"/>
    <w:rsid w:val="009A675B"/>
    <w:rsid w:val="009A67D6"/>
    <w:rsid w:val="009A680C"/>
    <w:rsid w:val="009A68F2"/>
    <w:rsid w:val="009A6950"/>
    <w:rsid w:val="009A698E"/>
    <w:rsid w:val="009A69AA"/>
    <w:rsid w:val="009A69C9"/>
    <w:rsid w:val="009A6A98"/>
    <w:rsid w:val="009A6AC5"/>
    <w:rsid w:val="009A6C4F"/>
    <w:rsid w:val="009A6C75"/>
    <w:rsid w:val="009A6D19"/>
    <w:rsid w:val="009A6DEC"/>
    <w:rsid w:val="009A6F97"/>
    <w:rsid w:val="009A6FAF"/>
    <w:rsid w:val="009A7061"/>
    <w:rsid w:val="009A70A2"/>
    <w:rsid w:val="009A7174"/>
    <w:rsid w:val="009A71C3"/>
    <w:rsid w:val="009A71F2"/>
    <w:rsid w:val="009A7230"/>
    <w:rsid w:val="009A72E0"/>
    <w:rsid w:val="009A7314"/>
    <w:rsid w:val="009A7361"/>
    <w:rsid w:val="009A7474"/>
    <w:rsid w:val="009A7506"/>
    <w:rsid w:val="009A758A"/>
    <w:rsid w:val="009A7641"/>
    <w:rsid w:val="009A772D"/>
    <w:rsid w:val="009A774D"/>
    <w:rsid w:val="009A77B2"/>
    <w:rsid w:val="009A7817"/>
    <w:rsid w:val="009A796F"/>
    <w:rsid w:val="009A7A39"/>
    <w:rsid w:val="009A7A70"/>
    <w:rsid w:val="009A7B71"/>
    <w:rsid w:val="009A7B89"/>
    <w:rsid w:val="009A7B8F"/>
    <w:rsid w:val="009A7BB3"/>
    <w:rsid w:val="009A7BBA"/>
    <w:rsid w:val="009A7D3C"/>
    <w:rsid w:val="009A7E1C"/>
    <w:rsid w:val="009A7E59"/>
    <w:rsid w:val="009A7E6E"/>
    <w:rsid w:val="009A7ECA"/>
    <w:rsid w:val="009A7F31"/>
    <w:rsid w:val="009B004D"/>
    <w:rsid w:val="009B00A4"/>
    <w:rsid w:val="009B0109"/>
    <w:rsid w:val="009B01CD"/>
    <w:rsid w:val="009B0247"/>
    <w:rsid w:val="009B02BB"/>
    <w:rsid w:val="009B0303"/>
    <w:rsid w:val="009B034D"/>
    <w:rsid w:val="009B039E"/>
    <w:rsid w:val="009B03A1"/>
    <w:rsid w:val="009B0456"/>
    <w:rsid w:val="009B0470"/>
    <w:rsid w:val="009B0474"/>
    <w:rsid w:val="009B0504"/>
    <w:rsid w:val="009B0511"/>
    <w:rsid w:val="009B05CD"/>
    <w:rsid w:val="009B05E9"/>
    <w:rsid w:val="009B0646"/>
    <w:rsid w:val="009B0724"/>
    <w:rsid w:val="009B0737"/>
    <w:rsid w:val="009B083C"/>
    <w:rsid w:val="009B088B"/>
    <w:rsid w:val="009B088E"/>
    <w:rsid w:val="009B0AFA"/>
    <w:rsid w:val="009B0B0A"/>
    <w:rsid w:val="009B0B6D"/>
    <w:rsid w:val="009B0BDD"/>
    <w:rsid w:val="009B0CD6"/>
    <w:rsid w:val="009B0CFA"/>
    <w:rsid w:val="009B0E15"/>
    <w:rsid w:val="009B0E82"/>
    <w:rsid w:val="009B0E9F"/>
    <w:rsid w:val="009B0EAF"/>
    <w:rsid w:val="009B0F21"/>
    <w:rsid w:val="009B0F49"/>
    <w:rsid w:val="009B0F7F"/>
    <w:rsid w:val="009B1019"/>
    <w:rsid w:val="009B1049"/>
    <w:rsid w:val="009B1058"/>
    <w:rsid w:val="009B1179"/>
    <w:rsid w:val="009B1191"/>
    <w:rsid w:val="009B1242"/>
    <w:rsid w:val="009B12AB"/>
    <w:rsid w:val="009B138E"/>
    <w:rsid w:val="009B13CF"/>
    <w:rsid w:val="009B159D"/>
    <w:rsid w:val="009B1640"/>
    <w:rsid w:val="009B1697"/>
    <w:rsid w:val="009B17FA"/>
    <w:rsid w:val="009B1886"/>
    <w:rsid w:val="009B1905"/>
    <w:rsid w:val="009B1960"/>
    <w:rsid w:val="009B19B7"/>
    <w:rsid w:val="009B1A49"/>
    <w:rsid w:val="009B1A7F"/>
    <w:rsid w:val="009B1A8A"/>
    <w:rsid w:val="009B1AA3"/>
    <w:rsid w:val="009B1B0E"/>
    <w:rsid w:val="009B1B1C"/>
    <w:rsid w:val="009B1B26"/>
    <w:rsid w:val="009B1B2A"/>
    <w:rsid w:val="009B1C27"/>
    <w:rsid w:val="009B1D72"/>
    <w:rsid w:val="009B1E21"/>
    <w:rsid w:val="009B1EA1"/>
    <w:rsid w:val="009B1F79"/>
    <w:rsid w:val="009B1FBE"/>
    <w:rsid w:val="009B201F"/>
    <w:rsid w:val="009B205E"/>
    <w:rsid w:val="009B2192"/>
    <w:rsid w:val="009B21C0"/>
    <w:rsid w:val="009B21DD"/>
    <w:rsid w:val="009B2211"/>
    <w:rsid w:val="009B2237"/>
    <w:rsid w:val="009B223A"/>
    <w:rsid w:val="009B227E"/>
    <w:rsid w:val="009B2317"/>
    <w:rsid w:val="009B2367"/>
    <w:rsid w:val="009B239D"/>
    <w:rsid w:val="009B24AF"/>
    <w:rsid w:val="009B2502"/>
    <w:rsid w:val="009B255A"/>
    <w:rsid w:val="009B25C2"/>
    <w:rsid w:val="009B2678"/>
    <w:rsid w:val="009B2882"/>
    <w:rsid w:val="009B2944"/>
    <w:rsid w:val="009B2A2C"/>
    <w:rsid w:val="009B2B2F"/>
    <w:rsid w:val="009B2C0A"/>
    <w:rsid w:val="009B2D28"/>
    <w:rsid w:val="009B2DF3"/>
    <w:rsid w:val="009B2F64"/>
    <w:rsid w:val="009B2FAE"/>
    <w:rsid w:val="009B3050"/>
    <w:rsid w:val="009B3095"/>
    <w:rsid w:val="009B30E4"/>
    <w:rsid w:val="009B315D"/>
    <w:rsid w:val="009B31E2"/>
    <w:rsid w:val="009B322E"/>
    <w:rsid w:val="009B3251"/>
    <w:rsid w:val="009B32A7"/>
    <w:rsid w:val="009B32B5"/>
    <w:rsid w:val="009B32FB"/>
    <w:rsid w:val="009B3345"/>
    <w:rsid w:val="009B3371"/>
    <w:rsid w:val="009B3432"/>
    <w:rsid w:val="009B3548"/>
    <w:rsid w:val="009B3579"/>
    <w:rsid w:val="009B35C8"/>
    <w:rsid w:val="009B365A"/>
    <w:rsid w:val="009B36CC"/>
    <w:rsid w:val="009B3727"/>
    <w:rsid w:val="009B3845"/>
    <w:rsid w:val="009B3849"/>
    <w:rsid w:val="009B386B"/>
    <w:rsid w:val="009B38EF"/>
    <w:rsid w:val="009B394A"/>
    <w:rsid w:val="009B398D"/>
    <w:rsid w:val="009B3BB5"/>
    <w:rsid w:val="009B3C85"/>
    <w:rsid w:val="009B3C8E"/>
    <w:rsid w:val="009B3C93"/>
    <w:rsid w:val="009B3DC6"/>
    <w:rsid w:val="009B3F33"/>
    <w:rsid w:val="009B4025"/>
    <w:rsid w:val="009B414A"/>
    <w:rsid w:val="009B4153"/>
    <w:rsid w:val="009B4201"/>
    <w:rsid w:val="009B4258"/>
    <w:rsid w:val="009B4444"/>
    <w:rsid w:val="009B476C"/>
    <w:rsid w:val="009B47B2"/>
    <w:rsid w:val="009B47F5"/>
    <w:rsid w:val="009B47FA"/>
    <w:rsid w:val="009B48D9"/>
    <w:rsid w:val="009B4A5D"/>
    <w:rsid w:val="009B4A78"/>
    <w:rsid w:val="009B4AE5"/>
    <w:rsid w:val="009B4C14"/>
    <w:rsid w:val="009B4C6C"/>
    <w:rsid w:val="009B4C82"/>
    <w:rsid w:val="009B4D43"/>
    <w:rsid w:val="009B4D98"/>
    <w:rsid w:val="009B4DB2"/>
    <w:rsid w:val="009B4DD2"/>
    <w:rsid w:val="009B4E50"/>
    <w:rsid w:val="009B4EFA"/>
    <w:rsid w:val="009B4FA0"/>
    <w:rsid w:val="009B5010"/>
    <w:rsid w:val="009B5128"/>
    <w:rsid w:val="009B5196"/>
    <w:rsid w:val="009B51BB"/>
    <w:rsid w:val="009B51DD"/>
    <w:rsid w:val="009B52CD"/>
    <w:rsid w:val="009B538B"/>
    <w:rsid w:val="009B5397"/>
    <w:rsid w:val="009B53C9"/>
    <w:rsid w:val="009B542B"/>
    <w:rsid w:val="009B5513"/>
    <w:rsid w:val="009B5554"/>
    <w:rsid w:val="009B5555"/>
    <w:rsid w:val="009B5658"/>
    <w:rsid w:val="009B5813"/>
    <w:rsid w:val="009B581A"/>
    <w:rsid w:val="009B590E"/>
    <w:rsid w:val="009B5915"/>
    <w:rsid w:val="009B5988"/>
    <w:rsid w:val="009B59BB"/>
    <w:rsid w:val="009B5AF0"/>
    <w:rsid w:val="009B5B12"/>
    <w:rsid w:val="009B5B1E"/>
    <w:rsid w:val="009B5BA9"/>
    <w:rsid w:val="009B5BF5"/>
    <w:rsid w:val="009B5CC5"/>
    <w:rsid w:val="009B5D7D"/>
    <w:rsid w:val="009B5E0F"/>
    <w:rsid w:val="009B5E59"/>
    <w:rsid w:val="009B5E9A"/>
    <w:rsid w:val="009B5EE6"/>
    <w:rsid w:val="009B5EE7"/>
    <w:rsid w:val="009B5F0F"/>
    <w:rsid w:val="009B5F14"/>
    <w:rsid w:val="009B5F5D"/>
    <w:rsid w:val="009B5FCE"/>
    <w:rsid w:val="009B6084"/>
    <w:rsid w:val="009B628D"/>
    <w:rsid w:val="009B62B1"/>
    <w:rsid w:val="009B6366"/>
    <w:rsid w:val="009B63C9"/>
    <w:rsid w:val="009B645F"/>
    <w:rsid w:val="009B646F"/>
    <w:rsid w:val="009B6497"/>
    <w:rsid w:val="009B64FD"/>
    <w:rsid w:val="009B6557"/>
    <w:rsid w:val="009B6591"/>
    <w:rsid w:val="009B664B"/>
    <w:rsid w:val="009B66B1"/>
    <w:rsid w:val="009B66D3"/>
    <w:rsid w:val="009B66E9"/>
    <w:rsid w:val="009B66FA"/>
    <w:rsid w:val="009B6726"/>
    <w:rsid w:val="009B675C"/>
    <w:rsid w:val="009B6760"/>
    <w:rsid w:val="009B694D"/>
    <w:rsid w:val="009B69AF"/>
    <w:rsid w:val="009B69CF"/>
    <w:rsid w:val="009B6B57"/>
    <w:rsid w:val="009B6C1B"/>
    <w:rsid w:val="009B6C8F"/>
    <w:rsid w:val="009B6C9E"/>
    <w:rsid w:val="009B6D2F"/>
    <w:rsid w:val="009B6E3A"/>
    <w:rsid w:val="009B6F1B"/>
    <w:rsid w:val="009B6F7E"/>
    <w:rsid w:val="009B6F84"/>
    <w:rsid w:val="009B70BF"/>
    <w:rsid w:val="009B70F7"/>
    <w:rsid w:val="009B712F"/>
    <w:rsid w:val="009B716A"/>
    <w:rsid w:val="009B7183"/>
    <w:rsid w:val="009B7186"/>
    <w:rsid w:val="009B71A2"/>
    <w:rsid w:val="009B7220"/>
    <w:rsid w:val="009B7231"/>
    <w:rsid w:val="009B7402"/>
    <w:rsid w:val="009B7474"/>
    <w:rsid w:val="009B7529"/>
    <w:rsid w:val="009B76CE"/>
    <w:rsid w:val="009B7713"/>
    <w:rsid w:val="009B7746"/>
    <w:rsid w:val="009B77D5"/>
    <w:rsid w:val="009B7805"/>
    <w:rsid w:val="009B78A3"/>
    <w:rsid w:val="009B78D1"/>
    <w:rsid w:val="009B79D8"/>
    <w:rsid w:val="009B7A45"/>
    <w:rsid w:val="009B7AA2"/>
    <w:rsid w:val="009B7C4E"/>
    <w:rsid w:val="009B7C9A"/>
    <w:rsid w:val="009B7CE4"/>
    <w:rsid w:val="009B7D4B"/>
    <w:rsid w:val="009B7D72"/>
    <w:rsid w:val="009B7DED"/>
    <w:rsid w:val="009B7EF3"/>
    <w:rsid w:val="009B7FAC"/>
    <w:rsid w:val="009C0052"/>
    <w:rsid w:val="009C0057"/>
    <w:rsid w:val="009C00E3"/>
    <w:rsid w:val="009C012C"/>
    <w:rsid w:val="009C0137"/>
    <w:rsid w:val="009C017D"/>
    <w:rsid w:val="009C01DA"/>
    <w:rsid w:val="009C028B"/>
    <w:rsid w:val="009C02E3"/>
    <w:rsid w:val="009C0328"/>
    <w:rsid w:val="009C046C"/>
    <w:rsid w:val="009C04A2"/>
    <w:rsid w:val="009C0600"/>
    <w:rsid w:val="009C0656"/>
    <w:rsid w:val="009C0686"/>
    <w:rsid w:val="009C06C7"/>
    <w:rsid w:val="009C06CD"/>
    <w:rsid w:val="009C071A"/>
    <w:rsid w:val="009C075D"/>
    <w:rsid w:val="009C07F1"/>
    <w:rsid w:val="009C096A"/>
    <w:rsid w:val="009C0A68"/>
    <w:rsid w:val="009C0A86"/>
    <w:rsid w:val="009C0AF9"/>
    <w:rsid w:val="009C0B00"/>
    <w:rsid w:val="009C0B12"/>
    <w:rsid w:val="009C0B6C"/>
    <w:rsid w:val="009C0B74"/>
    <w:rsid w:val="009C0BC4"/>
    <w:rsid w:val="009C0D64"/>
    <w:rsid w:val="009C0D65"/>
    <w:rsid w:val="009C0DC7"/>
    <w:rsid w:val="009C0ED8"/>
    <w:rsid w:val="009C0F31"/>
    <w:rsid w:val="009C0F60"/>
    <w:rsid w:val="009C10D1"/>
    <w:rsid w:val="009C10D8"/>
    <w:rsid w:val="009C1141"/>
    <w:rsid w:val="009C128D"/>
    <w:rsid w:val="009C12BA"/>
    <w:rsid w:val="009C12C3"/>
    <w:rsid w:val="009C12F1"/>
    <w:rsid w:val="009C13A1"/>
    <w:rsid w:val="009C13AE"/>
    <w:rsid w:val="009C143F"/>
    <w:rsid w:val="009C14BA"/>
    <w:rsid w:val="009C152E"/>
    <w:rsid w:val="009C153D"/>
    <w:rsid w:val="009C1561"/>
    <w:rsid w:val="009C16B5"/>
    <w:rsid w:val="009C16DD"/>
    <w:rsid w:val="009C1709"/>
    <w:rsid w:val="009C179F"/>
    <w:rsid w:val="009C17B9"/>
    <w:rsid w:val="009C1823"/>
    <w:rsid w:val="009C18E2"/>
    <w:rsid w:val="009C18EE"/>
    <w:rsid w:val="009C195C"/>
    <w:rsid w:val="009C1A22"/>
    <w:rsid w:val="009C1AD5"/>
    <w:rsid w:val="009C1B2F"/>
    <w:rsid w:val="009C1B88"/>
    <w:rsid w:val="009C1BBA"/>
    <w:rsid w:val="009C1C67"/>
    <w:rsid w:val="009C1CC7"/>
    <w:rsid w:val="009C1D1F"/>
    <w:rsid w:val="009C1D37"/>
    <w:rsid w:val="009C1DA1"/>
    <w:rsid w:val="009C1E57"/>
    <w:rsid w:val="009C1F0E"/>
    <w:rsid w:val="009C1F2C"/>
    <w:rsid w:val="009C1FF0"/>
    <w:rsid w:val="009C2006"/>
    <w:rsid w:val="009C2007"/>
    <w:rsid w:val="009C2056"/>
    <w:rsid w:val="009C20B5"/>
    <w:rsid w:val="009C2170"/>
    <w:rsid w:val="009C21FF"/>
    <w:rsid w:val="009C2256"/>
    <w:rsid w:val="009C2297"/>
    <w:rsid w:val="009C22F0"/>
    <w:rsid w:val="009C230B"/>
    <w:rsid w:val="009C2338"/>
    <w:rsid w:val="009C234F"/>
    <w:rsid w:val="009C23EF"/>
    <w:rsid w:val="009C2453"/>
    <w:rsid w:val="009C24F4"/>
    <w:rsid w:val="009C2697"/>
    <w:rsid w:val="009C26A0"/>
    <w:rsid w:val="009C273A"/>
    <w:rsid w:val="009C27FC"/>
    <w:rsid w:val="009C2855"/>
    <w:rsid w:val="009C2898"/>
    <w:rsid w:val="009C28A4"/>
    <w:rsid w:val="009C2A20"/>
    <w:rsid w:val="009C2AC1"/>
    <w:rsid w:val="009C2B3C"/>
    <w:rsid w:val="009C2B3F"/>
    <w:rsid w:val="009C2C19"/>
    <w:rsid w:val="009C2C8C"/>
    <w:rsid w:val="009C2CF0"/>
    <w:rsid w:val="009C2E1A"/>
    <w:rsid w:val="009C2EFA"/>
    <w:rsid w:val="009C2F26"/>
    <w:rsid w:val="009C305E"/>
    <w:rsid w:val="009C3089"/>
    <w:rsid w:val="009C3118"/>
    <w:rsid w:val="009C313D"/>
    <w:rsid w:val="009C3140"/>
    <w:rsid w:val="009C320F"/>
    <w:rsid w:val="009C3217"/>
    <w:rsid w:val="009C324E"/>
    <w:rsid w:val="009C3283"/>
    <w:rsid w:val="009C3297"/>
    <w:rsid w:val="009C32C7"/>
    <w:rsid w:val="009C3301"/>
    <w:rsid w:val="009C33C3"/>
    <w:rsid w:val="009C3519"/>
    <w:rsid w:val="009C37A3"/>
    <w:rsid w:val="009C383D"/>
    <w:rsid w:val="009C3895"/>
    <w:rsid w:val="009C3A0F"/>
    <w:rsid w:val="009C3A98"/>
    <w:rsid w:val="009C3B20"/>
    <w:rsid w:val="009C3B26"/>
    <w:rsid w:val="009C3B77"/>
    <w:rsid w:val="009C3C25"/>
    <w:rsid w:val="009C3C9B"/>
    <w:rsid w:val="009C3D0D"/>
    <w:rsid w:val="009C3D5E"/>
    <w:rsid w:val="009C3D6C"/>
    <w:rsid w:val="009C3D77"/>
    <w:rsid w:val="009C3E0E"/>
    <w:rsid w:val="009C3EBA"/>
    <w:rsid w:val="009C3EE5"/>
    <w:rsid w:val="009C3F67"/>
    <w:rsid w:val="009C40E9"/>
    <w:rsid w:val="009C419F"/>
    <w:rsid w:val="009C4206"/>
    <w:rsid w:val="009C42D8"/>
    <w:rsid w:val="009C433A"/>
    <w:rsid w:val="009C449A"/>
    <w:rsid w:val="009C449C"/>
    <w:rsid w:val="009C457F"/>
    <w:rsid w:val="009C45C7"/>
    <w:rsid w:val="009C45EE"/>
    <w:rsid w:val="009C46E0"/>
    <w:rsid w:val="009C4796"/>
    <w:rsid w:val="009C47EF"/>
    <w:rsid w:val="009C496A"/>
    <w:rsid w:val="009C49F3"/>
    <w:rsid w:val="009C4A4F"/>
    <w:rsid w:val="009C4AC3"/>
    <w:rsid w:val="009C4C24"/>
    <w:rsid w:val="009C4C50"/>
    <w:rsid w:val="009C4C67"/>
    <w:rsid w:val="009C4CD3"/>
    <w:rsid w:val="009C4D25"/>
    <w:rsid w:val="009C4D98"/>
    <w:rsid w:val="009C4EA1"/>
    <w:rsid w:val="009C4FAF"/>
    <w:rsid w:val="009C5066"/>
    <w:rsid w:val="009C5070"/>
    <w:rsid w:val="009C50AE"/>
    <w:rsid w:val="009C50EE"/>
    <w:rsid w:val="009C51FA"/>
    <w:rsid w:val="009C5235"/>
    <w:rsid w:val="009C5240"/>
    <w:rsid w:val="009C52BA"/>
    <w:rsid w:val="009C52D1"/>
    <w:rsid w:val="009C5403"/>
    <w:rsid w:val="009C5495"/>
    <w:rsid w:val="009C55D4"/>
    <w:rsid w:val="009C55D9"/>
    <w:rsid w:val="009C55E6"/>
    <w:rsid w:val="009C55EC"/>
    <w:rsid w:val="009C5674"/>
    <w:rsid w:val="009C5698"/>
    <w:rsid w:val="009C5771"/>
    <w:rsid w:val="009C577D"/>
    <w:rsid w:val="009C57B4"/>
    <w:rsid w:val="009C5831"/>
    <w:rsid w:val="009C5856"/>
    <w:rsid w:val="009C5AA1"/>
    <w:rsid w:val="009C5B0A"/>
    <w:rsid w:val="009C5BE4"/>
    <w:rsid w:val="009C5C67"/>
    <w:rsid w:val="009C5D3A"/>
    <w:rsid w:val="009C5DFA"/>
    <w:rsid w:val="009C5E59"/>
    <w:rsid w:val="009C5EB5"/>
    <w:rsid w:val="009C5ED8"/>
    <w:rsid w:val="009C5F0B"/>
    <w:rsid w:val="009C5F1D"/>
    <w:rsid w:val="009C5F5A"/>
    <w:rsid w:val="009C60FE"/>
    <w:rsid w:val="009C616A"/>
    <w:rsid w:val="009C6194"/>
    <w:rsid w:val="009C61BC"/>
    <w:rsid w:val="009C61E2"/>
    <w:rsid w:val="009C625E"/>
    <w:rsid w:val="009C6297"/>
    <w:rsid w:val="009C6328"/>
    <w:rsid w:val="009C632E"/>
    <w:rsid w:val="009C6354"/>
    <w:rsid w:val="009C641D"/>
    <w:rsid w:val="009C64D6"/>
    <w:rsid w:val="009C6542"/>
    <w:rsid w:val="009C6581"/>
    <w:rsid w:val="009C659F"/>
    <w:rsid w:val="009C67BD"/>
    <w:rsid w:val="009C6858"/>
    <w:rsid w:val="009C68B2"/>
    <w:rsid w:val="009C6A31"/>
    <w:rsid w:val="009C6AA3"/>
    <w:rsid w:val="009C6C3B"/>
    <w:rsid w:val="009C6C73"/>
    <w:rsid w:val="009C6DC7"/>
    <w:rsid w:val="009C6EB6"/>
    <w:rsid w:val="009C6F93"/>
    <w:rsid w:val="009C70C4"/>
    <w:rsid w:val="009C7137"/>
    <w:rsid w:val="009C737D"/>
    <w:rsid w:val="009C7383"/>
    <w:rsid w:val="009C7395"/>
    <w:rsid w:val="009C73C5"/>
    <w:rsid w:val="009C73EA"/>
    <w:rsid w:val="009C748A"/>
    <w:rsid w:val="009C74BB"/>
    <w:rsid w:val="009C7592"/>
    <w:rsid w:val="009C7670"/>
    <w:rsid w:val="009C7794"/>
    <w:rsid w:val="009C77F1"/>
    <w:rsid w:val="009C796C"/>
    <w:rsid w:val="009C7A07"/>
    <w:rsid w:val="009C7A45"/>
    <w:rsid w:val="009C7A62"/>
    <w:rsid w:val="009C7ACF"/>
    <w:rsid w:val="009C7B0D"/>
    <w:rsid w:val="009C7B26"/>
    <w:rsid w:val="009C7BF4"/>
    <w:rsid w:val="009C7C87"/>
    <w:rsid w:val="009C7D4F"/>
    <w:rsid w:val="009C7D5D"/>
    <w:rsid w:val="009C7DDD"/>
    <w:rsid w:val="009C7DE3"/>
    <w:rsid w:val="009C7E04"/>
    <w:rsid w:val="009C7E30"/>
    <w:rsid w:val="009C7E68"/>
    <w:rsid w:val="009C7E76"/>
    <w:rsid w:val="009C7E93"/>
    <w:rsid w:val="009C7F18"/>
    <w:rsid w:val="009C7F24"/>
    <w:rsid w:val="009C7F38"/>
    <w:rsid w:val="009C7FA2"/>
    <w:rsid w:val="009C7FBA"/>
    <w:rsid w:val="009C7FD7"/>
    <w:rsid w:val="009C7FFB"/>
    <w:rsid w:val="009D0002"/>
    <w:rsid w:val="009D00A5"/>
    <w:rsid w:val="009D01BA"/>
    <w:rsid w:val="009D039D"/>
    <w:rsid w:val="009D03AA"/>
    <w:rsid w:val="009D03BF"/>
    <w:rsid w:val="009D03D0"/>
    <w:rsid w:val="009D0477"/>
    <w:rsid w:val="009D04E7"/>
    <w:rsid w:val="009D05F3"/>
    <w:rsid w:val="009D08F2"/>
    <w:rsid w:val="009D0975"/>
    <w:rsid w:val="009D0978"/>
    <w:rsid w:val="009D099F"/>
    <w:rsid w:val="009D0A47"/>
    <w:rsid w:val="009D0AAE"/>
    <w:rsid w:val="009D0B51"/>
    <w:rsid w:val="009D0B68"/>
    <w:rsid w:val="009D0B94"/>
    <w:rsid w:val="009D0D82"/>
    <w:rsid w:val="009D0E3E"/>
    <w:rsid w:val="009D0E76"/>
    <w:rsid w:val="009D0E8C"/>
    <w:rsid w:val="009D0FAE"/>
    <w:rsid w:val="009D1048"/>
    <w:rsid w:val="009D10A0"/>
    <w:rsid w:val="009D10AC"/>
    <w:rsid w:val="009D1105"/>
    <w:rsid w:val="009D12E8"/>
    <w:rsid w:val="009D136B"/>
    <w:rsid w:val="009D140A"/>
    <w:rsid w:val="009D1432"/>
    <w:rsid w:val="009D1544"/>
    <w:rsid w:val="009D15AB"/>
    <w:rsid w:val="009D1694"/>
    <w:rsid w:val="009D179C"/>
    <w:rsid w:val="009D17B3"/>
    <w:rsid w:val="009D18B9"/>
    <w:rsid w:val="009D18D6"/>
    <w:rsid w:val="009D18E1"/>
    <w:rsid w:val="009D18F7"/>
    <w:rsid w:val="009D1A24"/>
    <w:rsid w:val="009D1A2C"/>
    <w:rsid w:val="009D1A46"/>
    <w:rsid w:val="009D1AC5"/>
    <w:rsid w:val="009D1B04"/>
    <w:rsid w:val="009D1B42"/>
    <w:rsid w:val="009D1B5D"/>
    <w:rsid w:val="009D1B6C"/>
    <w:rsid w:val="009D1BEF"/>
    <w:rsid w:val="009D1C7A"/>
    <w:rsid w:val="009D1C81"/>
    <w:rsid w:val="009D1CF2"/>
    <w:rsid w:val="009D1E58"/>
    <w:rsid w:val="009D1E68"/>
    <w:rsid w:val="009D1E71"/>
    <w:rsid w:val="009D1EBD"/>
    <w:rsid w:val="009D1F21"/>
    <w:rsid w:val="009D1FBE"/>
    <w:rsid w:val="009D1FC3"/>
    <w:rsid w:val="009D1FC6"/>
    <w:rsid w:val="009D2016"/>
    <w:rsid w:val="009D2017"/>
    <w:rsid w:val="009D20FD"/>
    <w:rsid w:val="009D21A0"/>
    <w:rsid w:val="009D21B0"/>
    <w:rsid w:val="009D2213"/>
    <w:rsid w:val="009D22DD"/>
    <w:rsid w:val="009D23ED"/>
    <w:rsid w:val="009D24BE"/>
    <w:rsid w:val="009D250D"/>
    <w:rsid w:val="009D25A5"/>
    <w:rsid w:val="009D2601"/>
    <w:rsid w:val="009D2644"/>
    <w:rsid w:val="009D2664"/>
    <w:rsid w:val="009D2670"/>
    <w:rsid w:val="009D2680"/>
    <w:rsid w:val="009D26B4"/>
    <w:rsid w:val="009D26E0"/>
    <w:rsid w:val="009D27B4"/>
    <w:rsid w:val="009D28A6"/>
    <w:rsid w:val="009D2A6E"/>
    <w:rsid w:val="009D2A70"/>
    <w:rsid w:val="009D2B15"/>
    <w:rsid w:val="009D2BED"/>
    <w:rsid w:val="009D2C6F"/>
    <w:rsid w:val="009D2CC8"/>
    <w:rsid w:val="009D2D05"/>
    <w:rsid w:val="009D2D18"/>
    <w:rsid w:val="009D2DB7"/>
    <w:rsid w:val="009D2E4A"/>
    <w:rsid w:val="009D2EEB"/>
    <w:rsid w:val="009D2F4C"/>
    <w:rsid w:val="009D2F9D"/>
    <w:rsid w:val="009D300A"/>
    <w:rsid w:val="009D30DE"/>
    <w:rsid w:val="009D3110"/>
    <w:rsid w:val="009D3119"/>
    <w:rsid w:val="009D327E"/>
    <w:rsid w:val="009D32B1"/>
    <w:rsid w:val="009D3400"/>
    <w:rsid w:val="009D34C2"/>
    <w:rsid w:val="009D35BB"/>
    <w:rsid w:val="009D35EC"/>
    <w:rsid w:val="009D36D2"/>
    <w:rsid w:val="009D3723"/>
    <w:rsid w:val="009D37EA"/>
    <w:rsid w:val="009D37F0"/>
    <w:rsid w:val="009D3898"/>
    <w:rsid w:val="009D38DD"/>
    <w:rsid w:val="009D39D6"/>
    <w:rsid w:val="009D39F5"/>
    <w:rsid w:val="009D3A44"/>
    <w:rsid w:val="009D3B68"/>
    <w:rsid w:val="009D3B9B"/>
    <w:rsid w:val="009D3BF2"/>
    <w:rsid w:val="009D3C34"/>
    <w:rsid w:val="009D3C4E"/>
    <w:rsid w:val="009D3C9D"/>
    <w:rsid w:val="009D3D7C"/>
    <w:rsid w:val="009D3DE3"/>
    <w:rsid w:val="009D3E02"/>
    <w:rsid w:val="009D3EAA"/>
    <w:rsid w:val="009D3EC6"/>
    <w:rsid w:val="009D3EF6"/>
    <w:rsid w:val="009D3F55"/>
    <w:rsid w:val="009D3F7C"/>
    <w:rsid w:val="009D3FD0"/>
    <w:rsid w:val="009D4019"/>
    <w:rsid w:val="009D4048"/>
    <w:rsid w:val="009D405D"/>
    <w:rsid w:val="009D40EB"/>
    <w:rsid w:val="009D4121"/>
    <w:rsid w:val="009D4124"/>
    <w:rsid w:val="009D4129"/>
    <w:rsid w:val="009D414A"/>
    <w:rsid w:val="009D4163"/>
    <w:rsid w:val="009D41A3"/>
    <w:rsid w:val="009D41C0"/>
    <w:rsid w:val="009D422A"/>
    <w:rsid w:val="009D426A"/>
    <w:rsid w:val="009D4316"/>
    <w:rsid w:val="009D431A"/>
    <w:rsid w:val="009D4381"/>
    <w:rsid w:val="009D43DC"/>
    <w:rsid w:val="009D454A"/>
    <w:rsid w:val="009D45BF"/>
    <w:rsid w:val="009D45EA"/>
    <w:rsid w:val="009D461B"/>
    <w:rsid w:val="009D4694"/>
    <w:rsid w:val="009D47C8"/>
    <w:rsid w:val="009D4858"/>
    <w:rsid w:val="009D4980"/>
    <w:rsid w:val="009D4983"/>
    <w:rsid w:val="009D4B7C"/>
    <w:rsid w:val="009D4C73"/>
    <w:rsid w:val="009D4D79"/>
    <w:rsid w:val="009D4D87"/>
    <w:rsid w:val="009D4E7B"/>
    <w:rsid w:val="009D4EC7"/>
    <w:rsid w:val="009D4F73"/>
    <w:rsid w:val="009D4F82"/>
    <w:rsid w:val="009D4F97"/>
    <w:rsid w:val="009D4FB6"/>
    <w:rsid w:val="009D4FDC"/>
    <w:rsid w:val="009D5072"/>
    <w:rsid w:val="009D50DE"/>
    <w:rsid w:val="009D5186"/>
    <w:rsid w:val="009D5240"/>
    <w:rsid w:val="009D5248"/>
    <w:rsid w:val="009D5296"/>
    <w:rsid w:val="009D5330"/>
    <w:rsid w:val="009D5358"/>
    <w:rsid w:val="009D545F"/>
    <w:rsid w:val="009D549E"/>
    <w:rsid w:val="009D54DD"/>
    <w:rsid w:val="009D55CB"/>
    <w:rsid w:val="009D55EF"/>
    <w:rsid w:val="009D5681"/>
    <w:rsid w:val="009D56B9"/>
    <w:rsid w:val="009D5719"/>
    <w:rsid w:val="009D575D"/>
    <w:rsid w:val="009D5777"/>
    <w:rsid w:val="009D5780"/>
    <w:rsid w:val="009D582C"/>
    <w:rsid w:val="009D594E"/>
    <w:rsid w:val="009D5A1A"/>
    <w:rsid w:val="009D5A4C"/>
    <w:rsid w:val="009D5A96"/>
    <w:rsid w:val="009D5A97"/>
    <w:rsid w:val="009D5BFB"/>
    <w:rsid w:val="009D5C37"/>
    <w:rsid w:val="009D5CA0"/>
    <w:rsid w:val="009D5CB7"/>
    <w:rsid w:val="009D5D77"/>
    <w:rsid w:val="009D5E5A"/>
    <w:rsid w:val="009D5EDC"/>
    <w:rsid w:val="009D5F8A"/>
    <w:rsid w:val="009D60CC"/>
    <w:rsid w:val="009D614B"/>
    <w:rsid w:val="009D6175"/>
    <w:rsid w:val="009D61D8"/>
    <w:rsid w:val="009D6215"/>
    <w:rsid w:val="009D6234"/>
    <w:rsid w:val="009D6241"/>
    <w:rsid w:val="009D62A2"/>
    <w:rsid w:val="009D6347"/>
    <w:rsid w:val="009D63CE"/>
    <w:rsid w:val="009D644D"/>
    <w:rsid w:val="009D646F"/>
    <w:rsid w:val="009D64AD"/>
    <w:rsid w:val="009D64FD"/>
    <w:rsid w:val="009D64FF"/>
    <w:rsid w:val="009D6524"/>
    <w:rsid w:val="009D6525"/>
    <w:rsid w:val="009D6576"/>
    <w:rsid w:val="009D6598"/>
    <w:rsid w:val="009D65D0"/>
    <w:rsid w:val="009D66A2"/>
    <w:rsid w:val="009D66C8"/>
    <w:rsid w:val="009D6710"/>
    <w:rsid w:val="009D67BF"/>
    <w:rsid w:val="009D6819"/>
    <w:rsid w:val="009D687F"/>
    <w:rsid w:val="009D6895"/>
    <w:rsid w:val="009D68DD"/>
    <w:rsid w:val="009D6902"/>
    <w:rsid w:val="009D6915"/>
    <w:rsid w:val="009D692E"/>
    <w:rsid w:val="009D6989"/>
    <w:rsid w:val="009D6A6E"/>
    <w:rsid w:val="009D6A77"/>
    <w:rsid w:val="009D6ACF"/>
    <w:rsid w:val="009D6B7C"/>
    <w:rsid w:val="009D6B84"/>
    <w:rsid w:val="009D6B97"/>
    <w:rsid w:val="009D6BD0"/>
    <w:rsid w:val="009D6BF7"/>
    <w:rsid w:val="009D6C5E"/>
    <w:rsid w:val="009D6C62"/>
    <w:rsid w:val="009D6E28"/>
    <w:rsid w:val="009D6E5D"/>
    <w:rsid w:val="009D6F06"/>
    <w:rsid w:val="009D6F44"/>
    <w:rsid w:val="009D6FE0"/>
    <w:rsid w:val="009D70C2"/>
    <w:rsid w:val="009D70C6"/>
    <w:rsid w:val="009D70E6"/>
    <w:rsid w:val="009D71F9"/>
    <w:rsid w:val="009D7307"/>
    <w:rsid w:val="009D73BF"/>
    <w:rsid w:val="009D73FC"/>
    <w:rsid w:val="009D745A"/>
    <w:rsid w:val="009D75AC"/>
    <w:rsid w:val="009D765C"/>
    <w:rsid w:val="009D7720"/>
    <w:rsid w:val="009D787B"/>
    <w:rsid w:val="009D78EE"/>
    <w:rsid w:val="009D79FE"/>
    <w:rsid w:val="009D7AB0"/>
    <w:rsid w:val="009D7B45"/>
    <w:rsid w:val="009D7C2D"/>
    <w:rsid w:val="009D7CD0"/>
    <w:rsid w:val="009D7D2C"/>
    <w:rsid w:val="009D7D48"/>
    <w:rsid w:val="009D7E59"/>
    <w:rsid w:val="009D7EAA"/>
    <w:rsid w:val="009D7EF3"/>
    <w:rsid w:val="009D7F75"/>
    <w:rsid w:val="009E00A2"/>
    <w:rsid w:val="009E01C4"/>
    <w:rsid w:val="009E0233"/>
    <w:rsid w:val="009E02B7"/>
    <w:rsid w:val="009E033E"/>
    <w:rsid w:val="009E0428"/>
    <w:rsid w:val="009E0441"/>
    <w:rsid w:val="009E0475"/>
    <w:rsid w:val="009E05C8"/>
    <w:rsid w:val="009E05E9"/>
    <w:rsid w:val="009E065A"/>
    <w:rsid w:val="009E06A0"/>
    <w:rsid w:val="009E06CB"/>
    <w:rsid w:val="009E06EA"/>
    <w:rsid w:val="009E0707"/>
    <w:rsid w:val="009E0712"/>
    <w:rsid w:val="009E075B"/>
    <w:rsid w:val="009E0792"/>
    <w:rsid w:val="009E07C7"/>
    <w:rsid w:val="009E07D2"/>
    <w:rsid w:val="009E083E"/>
    <w:rsid w:val="009E084F"/>
    <w:rsid w:val="009E08A3"/>
    <w:rsid w:val="009E0969"/>
    <w:rsid w:val="009E0A0A"/>
    <w:rsid w:val="009E0B78"/>
    <w:rsid w:val="009E0BAF"/>
    <w:rsid w:val="009E0BB3"/>
    <w:rsid w:val="009E0C0E"/>
    <w:rsid w:val="009E0C31"/>
    <w:rsid w:val="009E0F46"/>
    <w:rsid w:val="009E0FE7"/>
    <w:rsid w:val="009E10A8"/>
    <w:rsid w:val="009E1144"/>
    <w:rsid w:val="009E1147"/>
    <w:rsid w:val="009E1172"/>
    <w:rsid w:val="009E11C6"/>
    <w:rsid w:val="009E127D"/>
    <w:rsid w:val="009E12D5"/>
    <w:rsid w:val="009E12ED"/>
    <w:rsid w:val="009E12FC"/>
    <w:rsid w:val="009E14E0"/>
    <w:rsid w:val="009E1528"/>
    <w:rsid w:val="009E15EC"/>
    <w:rsid w:val="009E15ED"/>
    <w:rsid w:val="009E1601"/>
    <w:rsid w:val="009E167B"/>
    <w:rsid w:val="009E16FB"/>
    <w:rsid w:val="009E179C"/>
    <w:rsid w:val="009E1884"/>
    <w:rsid w:val="009E18CA"/>
    <w:rsid w:val="009E18DE"/>
    <w:rsid w:val="009E1A2D"/>
    <w:rsid w:val="009E1AE2"/>
    <w:rsid w:val="009E1AF9"/>
    <w:rsid w:val="009E1C23"/>
    <w:rsid w:val="009E1C38"/>
    <w:rsid w:val="009E1C3F"/>
    <w:rsid w:val="009E1C69"/>
    <w:rsid w:val="009E1C6C"/>
    <w:rsid w:val="009E1EFA"/>
    <w:rsid w:val="009E1F8E"/>
    <w:rsid w:val="009E1FAF"/>
    <w:rsid w:val="009E1FE9"/>
    <w:rsid w:val="009E2042"/>
    <w:rsid w:val="009E2067"/>
    <w:rsid w:val="009E20B0"/>
    <w:rsid w:val="009E20E9"/>
    <w:rsid w:val="009E2108"/>
    <w:rsid w:val="009E210F"/>
    <w:rsid w:val="009E2112"/>
    <w:rsid w:val="009E21FB"/>
    <w:rsid w:val="009E2272"/>
    <w:rsid w:val="009E22BF"/>
    <w:rsid w:val="009E2300"/>
    <w:rsid w:val="009E23B1"/>
    <w:rsid w:val="009E2423"/>
    <w:rsid w:val="009E2424"/>
    <w:rsid w:val="009E2474"/>
    <w:rsid w:val="009E2509"/>
    <w:rsid w:val="009E25B9"/>
    <w:rsid w:val="009E26AE"/>
    <w:rsid w:val="009E26BE"/>
    <w:rsid w:val="009E26E1"/>
    <w:rsid w:val="009E277A"/>
    <w:rsid w:val="009E27AF"/>
    <w:rsid w:val="009E2831"/>
    <w:rsid w:val="009E288D"/>
    <w:rsid w:val="009E29A4"/>
    <w:rsid w:val="009E29AC"/>
    <w:rsid w:val="009E29BD"/>
    <w:rsid w:val="009E29E7"/>
    <w:rsid w:val="009E2AA5"/>
    <w:rsid w:val="009E2AA6"/>
    <w:rsid w:val="009E2AAE"/>
    <w:rsid w:val="009E2B23"/>
    <w:rsid w:val="009E2B54"/>
    <w:rsid w:val="009E2B96"/>
    <w:rsid w:val="009E2C0E"/>
    <w:rsid w:val="009E2D31"/>
    <w:rsid w:val="009E2D32"/>
    <w:rsid w:val="009E2DD1"/>
    <w:rsid w:val="009E2E31"/>
    <w:rsid w:val="009E2EB9"/>
    <w:rsid w:val="009E2FF1"/>
    <w:rsid w:val="009E3003"/>
    <w:rsid w:val="009E3086"/>
    <w:rsid w:val="009E30AA"/>
    <w:rsid w:val="009E30E1"/>
    <w:rsid w:val="009E326E"/>
    <w:rsid w:val="009E32D6"/>
    <w:rsid w:val="009E32E8"/>
    <w:rsid w:val="009E3360"/>
    <w:rsid w:val="009E3388"/>
    <w:rsid w:val="009E33CD"/>
    <w:rsid w:val="009E3458"/>
    <w:rsid w:val="009E3514"/>
    <w:rsid w:val="009E354A"/>
    <w:rsid w:val="009E357D"/>
    <w:rsid w:val="009E3627"/>
    <w:rsid w:val="009E36BD"/>
    <w:rsid w:val="009E37D1"/>
    <w:rsid w:val="009E37D6"/>
    <w:rsid w:val="009E37E1"/>
    <w:rsid w:val="009E381E"/>
    <w:rsid w:val="009E38D8"/>
    <w:rsid w:val="009E3902"/>
    <w:rsid w:val="009E3932"/>
    <w:rsid w:val="009E395E"/>
    <w:rsid w:val="009E39D1"/>
    <w:rsid w:val="009E39DB"/>
    <w:rsid w:val="009E3A19"/>
    <w:rsid w:val="009E3A61"/>
    <w:rsid w:val="009E3A94"/>
    <w:rsid w:val="009E3B3A"/>
    <w:rsid w:val="009E3BE8"/>
    <w:rsid w:val="009E3BEA"/>
    <w:rsid w:val="009E3BFB"/>
    <w:rsid w:val="009E3CDB"/>
    <w:rsid w:val="009E3D26"/>
    <w:rsid w:val="009E3E05"/>
    <w:rsid w:val="009E3E1F"/>
    <w:rsid w:val="009E3E34"/>
    <w:rsid w:val="009E3E64"/>
    <w:rsid w:val="009E3E6A"/>
    <w:rsid w:val="009E3E93"/>
    <w:rsid w:val="009E3EB9"/>
    <w:rsid w:val="009E3EBB"/>
    <w:rsid w:val="009E3EE5"/>
    <w:rsid w:val="009E3F08"/>
    <w:rsid w:val="009E3F40"/>
    <w:rsid w:val="009E3F8E"/>
    <w:rsid w:val="009E3FAB"/>
    <w:rsid w:val="009E409C"/>
    <w:rsid w:val="009E40CF"/>
    <w:rsid w:val="009E410D"/>
    <w:rsid w:val="009E4129"/>
    <w:rsid w:val="009E4212"/>
    <w:rsid w:val="009E4218"/>
    <w:rsid w:val="009E421F"/>
    <w:rsid w:val="009E4292"/>
    <w:rsid w:val="009E4320"/>
    <w:rsid w:val="009E43A5"/>
    <w:rsid w:val="009E448B"/>
    <w:rsid w:val="009E44D3"/>
    <w:rsid w:val="009E457B"/>
    <w:rsid w:val="009E45B4"/>
    <w:rsid w:val="009E45F1"/>
    <w:rsid w:val="009E46BC"/>
    <w:rsid w:val="009E4856"/>
    <w:rsid w:val="009E4941"/>
    <w:rsid w:val="009E49F2"/>
    <w:rsid w:val="009E4A19"/>
    <w:rsid w:val="009E4A52"/>
    <w:rsid w:val="009E4B60"/>
    <w:rsid w:val="009E4BAE"/>
    <w:rsid w:val="009E4C36"/>
    <w:rsid w:val="009E4D16"/>
    <w:rsid w:val="009E4D47"/>
    <w:rsid w:val="009E4E55"/>
    <w:rsid w:val="009E4E73"/>
    <w:rsid w:val="009E4EB4"/>
    <w:rsid w:val="009E4EF5"/>
    <w:rsid w:val="009E4F9D"/>
    <w:rsid w:val="009E50EA"/>
    <w:rsid w:val="009E51CF"/>
    <w:rsid w:val="009E523F"/>
    <w:rsid w:val="009E5410"/>
    <w:rsid w:val="009E5413"/>
    <w:rsid w:val="009E54C5"/>
    <w:rsid w:val="009E5501"/>
    <w:rsid w:val="009E55D8"/>
    <w:rsid w:val="009E567C"/>
    <w:rsid w:val="009E56AE"/>
    <w:rsid w:val="009E56B9"/>
    <w:rsid w:val="009E5756"/>
    <w:rsid w:val="009E57F8"/>
    <w:rsid w:val="009E58A9"/>
    <w:rsid w:val="009E5940"/>
    <w:rsid w:val="009E5952"/>
    <w:rsid w:val="009E5978"/>
    <w:rsid w:val="009E5A30"/>
    <w:rsid w:val="009E5A32"/>
    <w:rsid w:val="009E5C95"/>
    <w:rsid w:val="009E5CC3"/>
    <w:rsid w:val="009E5D09"/>
    <w:rsid w:val="009E5F8A"/>
    <w:rsid w:val="009E615B"/>
    <w:rsid w:val="009E615C"/>
    <w:rsid w:val="009E61E4"/>
    <w:rsid w:val="009E6256"/>
    <w:rsid w:val="009E6334"/>
    <w:rsid w:val="009E6351"/>
    <w:rsid w:val="009E63D0"/>
    <w:rsid w:val="009E63D4"/>
    <w:rsid w:val="009E63F8"/>
    <w:rsid w:val="009E640F"/>
    <w:rsid w:val="009E641E"/>
    <w:rsid w:val="009E64CE"/>
    <w:rsid w:val="009E6500"/>
    <w:rsid w:val="009E659F"/>
    <w:rsid w:val="009E65DB"/>
    <w:rsid w:val="009E65F4"/>
    <w:rsid w:val="009E6694"/>
    <w:rsid w:val="009E68DD"/>
    <w:rsid w:val="009E6A9C"/>
    <w:rsid w:val="009E6AB9"/>
    <w:rsid w:val="009E6CB8"/>
    <w:rsid w:val="009E6D02"/>
    <w:rsid w:val="009E6D8C"/>
    <w:rsid w:val="009E6D96"/>
    <w:rsid w:val="009E6DB0"/>
    <w:rsid w:val="009E6DC6"/>
    <w:rsid w:val="009E6DE2"/>
    <w:rsid w:val="009E6E2D"/>
    <w:rsid w:val="009E6E89"/>
    <w:rsid w:val="009E6EE8"/>
    <w:rsid w:val="009E7017"/>
    <w:rsid w:val="009E708D"/>
    <w:rsid w:val="009E7161"/>
    <w:rsid w:val="009E718E"/>
    <w:rsid w:val="009E71E5"/>
    <w:rsid w:val="009E72CC"/>
    <w:rsid w:val="009E72F2"/>
    <w:rsid w:val="009E73EB"/>
    <w:rsid w:val="009E7505"/>
    <w:rsid w:val="009E75F2"/>
    <w:rsid w:val="009E7604"/>
    <w:rsid w:val="009E7612"/>
    <w:rsid w:val="009E76AE"/>
    <w:rsid w:val="009E76DC"/>
    <w:rsid w:val="009E7748"/>
    <w:rsid w:val="009E779F"/>
    <w:rsid w:val="009E77E6"/>
    <w:rsid w:val="009E7800"/>
    <w:rsid w:val="009E78C7"/>
    <w:rsid w:val="009E7981"/>
    <w:rsid w:val="009E798A"/>
    <w:rsid w:val="009E7A1A"/>
    <w:rsid w:val="009E7C23"/>
    <w:rsid w:val="009E7CA1"/>
    <w:rsid w:val="009E7D8F"/>
    <w:rsid w:val="009E7DFC"/>
    <w:rsid w:val="009E7E00"/>
    <w:rsid w:val="009E7E1E"/>
    <w:rsid w:val="009E7EC2"/>
    <w:rsid w:val="009E7EEC"/>
    <w:rsid w:val="009E7F1B"/>
    <w:rsid w:val="009F0056"/>
    <w:rsid w:val="009F01BF"/>
    <w:rsid w:val="009F01DC"/>
    <w:rsid w:val="009F024B"/>
    <w:rsid w:val="009F034A"/>
    <w:rsid w:val="009F03A1"/>
    <w:rsid w:val="009F03C9"/>
    <w:rsid w:val="009F03D1"/>
    <w:rsid w:val="009F0458"/>
    <w:rsid w:val="009F0468"/>
    <w:rsid w:val="009F0592"/>
    <w:rsid w:val="009F0609"/>
    <w:rsid w:val="009F0635"/>
    <w:rsid w:val="009F0679"/>
    <w:rsid w:val="009F072A"/>
    <w:rsid w:val="009F0760"/>
    <w:rsid w:val="009F078E"/>
    <w:rsid w:val="009F0901"/>
    <w:rsid w:val="009F0926"/>
    <w:rsid w:val="009F0951"/>
    <w:rsid w:val="009F0957"/>
    <w:rsid w:val="009F09AD"/>
    <w:rsid w:val="009F09D2"/>
    <w:rsid w:val="009F0B46"/>
    <w:rsid w:val="009F0BEB"/>
    <w:rsid w:val="009F0BFB"/>
    <w:rsid w:val="009F0BFC"/>
    <w:rsid w:val="009F0CE0"/>
    <w:rsid w:val="009F0DA3"/>
    <w:rsid w:val="009F0DAB"/>
    <w:rsid w:val="009F0DE4"/>
    <w:rsid w:val="009F0E87"/>
    <w:rsid w:val="009F0E91"/>
    <w:rsid w:val="009F0F9E"/>
    <w:rsid w:val="009F10AD"/>
    <w:rsid w:val="009F10ED"/>
    <w:rsid w:val="009F1109"/>
    <w:rsid w:val="009F1113"/>
    <w:rsid w:val="009F11BB"/>
    <w:rsid w:val="009F12DD"/>
    <w:rsid w:val="009F133C"/>
    <w:rsid w:val="009F1385"/>
    <w:rsid w:val="009F13D7"/>
    <w:rsid w:val="009F1449"/>
    <w:rsid w:val="009F14DA"/>
    <w:rsid w:val="009F150C"/>
    <w:rsid w:val="009F150E"/>
    <w:rsid w:val="009F15DB"/>
    <w:rsid w:val="009F1695"/>
    <w:rsid w:val="009F16CD"/>
    <w:rsid w:val="009F179C"/>
    <w:rsid w:val="009F17EF"/>
    <w:rsid w:val="009F1825"/>
    <w:rsid w:val="009F189B"/>
    <w:rsid w:val="009F1992"/>
    <w:rsid w:val="009F1A9C"/>
    <w:rsid w:val="009F1AAC"/>
    <w:rsid w:val="009F1B16"/>
    <w:rsid w:val="009F1B18"/>
    <w:rsid w:val="009F1B69"/>
    <w:rsid w:val="009F1C1C"/>
    <w:rsid w:val="009F1D71"/>
    <w:rsid w:val="009F1D9B"/>
    <w:rsid w:val="009F1E1A"/>
    <w:rsid w:val="009F1E25"/>
    <w:rsid w:val="009F1E95"/>
    <w:rsid w:val="009F1E9C"/>
    <w:rsid w:val="009F1F7A"/>
    <w:rsid w:val="009F200A"/>
    <w:rsid w:val="009F2098"/>
    <w:rsid w:val="009F20D5"/>
    <w:rsid w:val="009F210E"/>
    <w:rsid w:val="009F21DB"/>
    <w:rsid w:val="009F21E9"/>
    <w:rsid w:val="009F21EA"/>
    <w:rsid w:val="009F2307"/>
    <w:rsid w:val="009F2311"/>
    <w:rsid w:val="009F2456"/>
    <w:rsid w:val="009F24B5"/>
    <w:rsid w:val="009F24C5"/>
    <w:rsid w:val="009F24CA"/>
    <w:rsid w:val="009F24E6"/>
    <w:rsid w:val="009F271A"/>
    <w:rsid w:val="009F27A0"/>
    <w:rsid w:val="009F27B9"/>
    <w:rsid w:val="009F27DE"/>
    <w:rsid w:val="009F2853"/>
    <w:rsid w:val="009F2882"/>
    <w:rsid w:val="009F288A"/>
    <w:rsid w:val="009F2AAF"/>
    <w:rsid w:val="009F2AB1"/>
    <w:rsid w:val="009F2B0B"/>
    <w:rsid w:val="009F2B31"/>
    <w:rsid w:val="009F2B4F"/>
    <w:rsid w:val="009F2B5E"/>
    <w:rsid w:val="009F2B61"/>
    <w:rsid w:val="009F2B6F"/>
    <w:rsid w:val="009F2C47"/>
    <w:rsid w:val="009F2D5B"/>
    <w:rsid w:val="009F2DB2"/>
    <w:rsid w:val="009F2E9F"/>
    <w:rsid w:val="009F2EA2"/>
    <w:rsid w:val="009F2EC6"/>
    <w:rsid w:val="009F2EDD"/>
    <w:rsid w:val="009F2EE2"/>
    <w:rsid w:val="009F2F03"/>
    <w:rsid w:val="009F2F35"/>
    <w:rsid w:val="009F2FCB"/>
    <w:rsid w:val="009F3007"/>
    <w:rsid w:val="009F3031"/>
    <w:rsid w:val="009F3043"/>
    <w:rsid w:val="009F3081"/>
    <w:rsid w:val="009F3088"/>
    <w:rsid w:val="009F3109"/>
    <w:rsid w:val="009F3219"/>
    <w:rsid w:val="009F32BB"/>
    <w:rsid w:val="009F333D"/>
    <w:rsid w:val="009F3376"/>
    <w:rsid w:val="009F33E7"/>
    <w:rsid w:val="009F3415"/>
    <w:rsid w:val="009F3428"/>
    <w:rsid w:val="009F345B"/>
    <w:rsid w:val="009F34DF"/>
    <w:rsid w:val="009F35CC"/>
    <w:rsid w:val="009F3604"/>
    <w:rsid w:val="009F364D"/>
    <w:rsid w:val="009F36FB"/>
    <w:rsid w:val="009F36FF"/>
    <w:rsid w:val="009F3722"/>
    <w:rsid w:val="009F3759"/>
    <w:rsid w:val="009F3864"/>
    <w:rsid w:val="009F3894"/>
    <w:rsid w:val="009F3935"/>
    <w:rsid w:val="009F39BE"/>
    <w:rsid w:val="009F3A10"/>
    <w:rsid w:val="009F3A25"/>
    <w:rsid w:val="009F3A80"/>
    <w:rsid w:val="009F3A8B"/>
    <w:rsid w:val="009F3B01"/>
    <w:rsid w:val="009F3B5A"/>
    <w:rsid w:val="009F3BB2"/>
    <w:rsid w:val="009F3BDC"/>
    <w:rsid w:val="009F3C88"/>
    <w:rsid w:val="009F3C97"/>
    <w:rsid w:val="009F3CC6"/>
    <w:rsid w:val="009F3DCF"/>
    <w:rsid w:val="009F3E27"/>
    <w:rsid w:val="009F3FB4"/>
    <w:rsid w:val="009F3FDD"/>
    <w:rsid w:val="009F404C"/>
    <w:rsid w:val="009F4067"/>
    <w:rsid w:val="009F4114"/>
    <w:rsid w:val="009F415A"/>
    <w:rsid w:val="009F415B"/>
    <w:rsid w:val="009F418E"/>
    <w:rsid w:val="009F41F2"/>
    <w:rsid w:val="009F42A3"/>
    <w:rsid w:val="009F4318"/>
    <w:rsid w:val="009F4385"/>
    <w:rsid w:val="009F4485"/>
    <w:rsid w:val="009F44AF"/>
    <w:rsid w:val="009F4558"/>
    <w:rsid w:val="009F4594"/>
    <w:rsid w:val="009F4709"/>
    <w:rsid w:val="009F4727"/>
    <w:rsid w:val="009F4908"/>
    <w:rsid w:val="009F49DE"/>
    <w:rsid w:val="009F4ABA"/>
    <w:rsid w:val="009F4B03"/>
    <w:rsid w:val="009F4B42"/>
    <w:rsid w:val="009F4B97"/>
    <w:rsid w:val="009F4BB5"/>
    <w:rsid w:val="009F4BE0"/>
    <w:rsid w:val="009F4C56"/>
    <w:rsid w:val="009F4D04"/>
    <w:rsid w:val="009F4D27"/>
    <w:rsid w:val="009F4DFE"/>
    <w:rsid w:val="009F4E4C"/>
    <w:rsid w:val="009F4FE7"/>
    <w:rsid w:val="009F506F"/>
    <w:rsid w:val="009F50F5"/>
    <w:rsid w:val="009F514A"/>
    <w:rsid w:val="009F52FD"/>
    <w:rsid w:val="009F537C"/>
    <w:rsid w:val="009F5481"/>
    <w:rsid w:val="009F54D7"/>
    <w:rsid w:val="009F55EF"/>
    <w:rsid w:val="009F5623"/>
    <w:rsid w:val="009F5690"/>
    <w:rsid w:val="009F56F2"/>
    <w:rsid w:val="009F5762"/>
    <w:rsid w:val="009F578C"/>
    <w:rsid w:val="009F58E3"/>
    <w:rsid w:val="009F58F3"/>
    <w:rsid w:val="009F597C"/>
    <w:rsid w:val="009F59D3"/>
    <w:rsid w:val="009F59E3"/>
    <w:rsid w:val="009F5A5D"/>
    <w:rsid w:val="009F5A6A"/>
    <w:rsid w:val="009F5C03"/>
    <w:rsid w:val="009F5C8C"/>
    <w:rsid w:val="009F5CAC"/>
    <w:rsid w:val="009F5E4E"/>
    <w:rsid w:val="009F5E54"/>
    <w:rsid w:val="009F5EDE"/>
    <w:rsid w:val="009F5F6C"/>
    <w:rsid w:val="009F5FC7"/>
    <w:rsid w:val="009F6059"/>
    <w:rsid w:val="009F6154"/>
    <w:rsid w:val="009F6174"/>
    <w:rsid w:val="009F626C"/>
    <w:rsid w:val="009F6299"/>
    <w:rsid w:val="009F62CE"/>
    <w:rsid w:val="009F63AC"/>
    <w:rsid w:val="009F645F"/>
    <w:rsid w:val="009F649A"/>
    <w:rsid w:val="009F64AC"/>
    <w:rsid w:val="009F64C4"/>
    <w:rsid w:val="009F6545"/>
    <w:rsid w:val="009F668A"/>
    <w:rsid w:val="009F6715"/>
    <w:rsid w:val="009F676B"/>
    <w:rsid w:val="009F67F1"/>
    <w:rsid w:val="009F6842"/>
    <w:rsid w:val="009F684C"/>
    <w:rsid w:val="009F6887"/>
    <w:rsid w:val="009F68C1"/>
    <w:rsid w:val="009F692E"/>
    <w:rsid w:val="009F6993"/>
    <w:rsid w:val="009F6AAB"/>
    <w:rsid w:val="009F6B98"/>
    <w:rsid w:val="009F6BE2"/>
    <w:rsid w:val="009F6BF4"/>
    <w:rsid w:val="009F6C01"/>
    <w:rsid w:val="009F6C36"/>
    <w:rsid w:val="009F6C9B"/>
    <w:rsid w:val="009F6CC7"/>
    <w:rsid w:val="009F6DCD"/>
    <w:rsid w:val="009F6DF3"/>
    <w:rsid w:val="009F6E50"/>
    <w:rsid w:val="009F6EB3"/>
    <w:rsid w:val="009F6EC1"/>
    <w:rsid w:val="009F6EF5"/>
    <w:rsid w:val="009F6F6C"/>
    <w:rsid w:val="009F6F81"/>
    <w:rsid w:val="009F6FD2"/>
    <w:rsid w:val="009F6FEC"/>
    <w:rsid w:val="009F70B9"/>
    <w:rsid w:val="009F71DD"/>
    <w:rsid w:val="009F7220"/>
    <w:rsid w:val="009F7276"/>
    <w:rsid w:val="009F729F"/>
    <w:rsid w:val="009F73B2"/>
    <w:rsid w:val="009F73BF"/>
    <w:rsid w:val="009F73C2"/>
    <w:rsid w:val="009F73DF"/>
    <w:rsid w:val="009F7434"/>
    <w:rsid w:val="009F7475"/>
    <w:rsid w:val="009F748E"/>
    <w:rsid w:val="009F7493"/>
    <w:rsid w:val="009F7516"/>
    <w:rsid w:val="009F7539"/>
    <w:rsid w:val="009F7551"/>
    <w:rsid w:val="009F755B"/>
    <w:rsid w:val="009F75B5"/>
    <w:rsid w:val="009F7609"/>
    <w:rsid w:val="009F7660"/>
    <w:rsid w:val="009F767D"/>
    <w:rsid w:val="009F76C5"/>
    <w:rsid w:val="009F786F"/>
    <w:rsid w:val="009F788F"/>
    <w:rsid w:val="009F78CA"/>
    <w:rsid w:val="009F7961"/>
    <w:rsid w:val="009F7AEC"/>
    <w:rsid w:val="009F7AF0"/>
    <w:rsid w:val="009F7B2D"/>
    <w:rsid w:val="009F7B8B"/>
    <w:rsid w:val="009F7BD8"/>
    <w:rsid w:val="009F7CD9"/>
    <w:rsid w:val="009F7CDC"/>
    <w:rsid w:val="009F7D2C"/>
    <w:rsid w:val="009F7D9E"/>
    <w:rsid w:val="009F7DA0"/>
    <w:rsid w:val="009F7ED3"/>
    <w:rsid w:val="009F7EDE"/>
    <w:rsid w:val="009F7EE0"/>
    <w:rsid w:val="009F7F34"/>
    <w:rsid w:val="009F7FC3"/>
    <w:rsid w:val="009F7FEB"/>
    <w:rsid w:val="00A0000C"/>
    <w:rsid w:val="00A001E6"/>
    <w:rsid w:val="00A001FD"/>
    <w:rsid w:val="00A002E4"/>
    <w:rsid w:val="00A0030E"/>
    <w:rsid w:val="00A00349"/>
    <w:rsid w:val="00A00380"/>
    <w:rsid w:val="00A00396"/>
    <w:rsid w:val="00A003A8"/>
    <w:rsid w:val="00A0040D"/>
    <w:rsid w:val="00A00412"/>
    <w:rsid w:val="00A00456"/>
    <w:rsid w:val="00A004A1"/>
    <w:rsid w:val="00A00546"/>
    <w:rsid w:val="00A006DF"/>
    <w:rsid w:val="00A006F0"/>
    <w:rsid w:val="00A00783"/>
    <w:rsid w:val="00A00784"/>
    <w:rsid w:val="00A00873"/>
    <w:rsid w:val="00A00883"/>
    <w:rsid w:val="00A00894"/>
    <w:rsid w:val="00A008E4"/>
    <w:rsid w:val="00A008F2"/>
    <w:rsid w:val="00A00984"/>
    <w:rsid w:val="00A009AE"/>
    <w:rsid w:val="00A009D8"/>
    <w:rsid w:val="00A00AC2"/>
    <w:rsid w:val="00A00B2B"/>
    <w:rsid w:val="00A00B43"/>
    <w:rsid w:val="00A00BE8"/>
    <w:rsid w:val="00A00BFC"/>
    <w:rsid w:val="00A00C4C"/>
    <w:rsid w:val="00A00CAF"/>
    <w:rsid w:val="00A00E1A"/>
    <w:rsid w:val="00A00F11"/>
    <w:rsid w:val="00A00F45"/>
    <w:rsid w:val="00A010B5"/>
    <w:rsid w:val="00A01141"/>
    <w:rsid w:val="00A0119C"/>
    <w:rsid w:val="00A011C6"/>
    <w:rsid w:val="00A011D9"/>
    <w:rsid w:val="00A0131F"/>
    <w:rsid w:val="00A01332"/>
    <w:rsid w:val="00A014BA"/>
    <w:rsid w:val="00A0153A"/>
    <w:rsid w:val="00A0153E"/>
    <w:rsid w:val="00A01659"/>
    <w:rsid w:val="00A01680"/>
    <w:rsid w:val="00A016AB"/>
    <w:rsid w:val="00A01717"/>
    <w:rsid w:val="00A01837"/>
    <w:rsid w:val="00A01861"/>
    <w:rsid w:val="00A01867"/>
    <w:rsid w:val="00A01923"/>
    <w:rsid w:val="00A01947"/>
    <w:rsid w:val="00A01A9F"/>
    <w:rsid w:val="00A01AAE"/>
    <w:rsid w:val="00A01CDA"/>
    <w:rsid w:val="00A01CE9"/>
    <w:rsid w:val="00A01D73"/>
    <w:rsid w:val="00A01FC4"/>
    <w:rsid w:val="00A0202B"/>
    <w:rsid w:val="00A02074"/>
    <w:rsid w:val="00A020EF"/>
    <w:rsid w:val="00A020F4"/>
    <w:rsid w:val="00A02108"/>
    <w:rsid w:val="00A021BA"/>
    <w:rsid w:val="00A02277"/>
    <w:rsid w:val="00A022D8"/>
    <w:rsid w:val="00A022D9"/>
    <w:rsid w:val="00A022ED"/>
    <w:rsid w:val="00A023E1"/>
    <w:rsid w:val="00A02419"/>
    <w:rsid w:val="00A0250E"/>
    <w:rsid w:val="00A025CA"/>
    <w:rsid w:val="00A02665"/>
    <w:rsid w:val="00A02696"/>
    <w:rsid w:val="00A026AE"/>
    <w:rsid w:val="00A026B5"/>
    <w:rsid w:val="00A027F1"/>
    <w:rsid w:val="00A027F8"/>
    <w:rsid w:val="00A02827"/>
    <w:rsid w:val="00A02897"/>
    <w:rsid w:val="00A02978"/>
    <w:rsid w:val="00A029C5"/>
    <w:rsid w:val="00A02A7D"/>
    <w:rsid w:val="00A02A8F"/>
    <w:rsid w:val="00A02AF6"/>
    <w:rsid w:val="00A02AFD"/>
    <w:rsid w:val="00A02B5F"/>
    <w:rsid w:val="00A02BED"/>
    <w:rsid w:val="00A02C40"/>
    <w:rsid w:val="00A02C8B"/>
    <w:rsid w:val="00A02D25"/>
    <w:rsid w:val="00A02D3C"/>
    <w:rsid w:val="00A02F86"/>
    <w:rsid w:val="00A02F8D"/>
    <w:rsid w:val="00A03023"/>
    <w:rsid w:val="00A03076"/>
    <w:rsid w:val="00A0309E"/>
    <w:rsid w:val="00A03152"/>
    <w:rsid w:val="00A03154"/>
    <w:rsid w:val="00A031EC"/>
    <w:rsid w:val="00A0320F"/>
    <w:rsid w:val="00A0338F"/>
    <w:rsid w:val="00A0340D"/>
    <w:rsid w:val="00A03477"/>
    <w:rsid w:val="00A0351D"/>
    <w:rsid w:val="00A03545"/>
    <w:rsid w:val="00A03586"/>
    <w:rsid w:val="00A0364C"/>
    <w:rsid w:val="00A03682"/>
    <w:rsid w:val="00A0389B"/>
    <w:rsid w:val="00A03A73"/>
    <w:rsid w:val="00A03B3A"/>
    <w:rsid w:val="00A03B72"/>
    <w:rsid w:val="00A03B77"/>
    <w:rsid w:val="00A03DA8"/>
    <w:rsid w:val="00A03DBD"/>
    <w:rsid w:val="00A03F19"/>
    <w:rsid w:val="00A03F21"/>
    <w:rsid w:val="00A03FCD"/>
    <w:rsid w:val="00A040C6"/>
    <w:rsid w:val="00A04197"/>
    <w:rsid w:val="00A041C3"/>
    <w:rsid w:val="00A0427B"/>
    <w:rsid w:val="00A04419"/>
    <w:rsid w:val="00A0449F"/>
    <w:rsid w:val="00A0455D"/>
    <w:rsid w:val="00A04616"/>
    <w:rsid w:val="00A0462D"/>
    <w:rsid w:val="00A0466A"/>
    <w:rsid w:val="00A04717"/>
    <w:rsid w:val="00A0474F"/>
    <w:rsid w:val="00A04958"/>
    <w:rsid w:val="00A049B2"/>
    <w:rsid w:val="00A049F6"/>
    <w:rsid w:val="00A04A63"/>
    <w:rsid w:val="00A04A68"/>
    <w:rsid w:val="00A04B05"/>
    <w:rsid w:val="00A04B25"/>
    <w:rsid w:val="00A04B2D"/>
    <w:rsid w:val="00A04C1C"/>
    <w:rsid w:val="00A04C9C"/>
    <w:rsid w:val="00A04D30"/>
    <w:rsid w:val="00A04D4D"/>
    <w:rsid w:val="00A04EE9"/>
    <w:rsid w:val="00A04F01"/>
    <w:rsid w:val="00A04F2D"/>
    <w:rsid w:val="00A04FAF"/>
    <w:rsid w:val="00A04FBB"/>
    <w:rsid w:val="00A05102"/>
    <w:rsid w:val="00A05110"/>
    <w:rsid w:val="00A0517B"/>
    <w:rsid w:val="00A051D9"/>
    <w:rsid w:val="00A05280"/>
    <w:rsid w:val="00A0529B"/>
    <w:rsid w:val="00A052B3"/>
    <w:rsid w:val="00A052DF"/>
    <w:rsid w:val="00A05311"/>
    <w:rsid w:val="00A054ED"/>
    <w:rsid w:val="00A05520"/>
    <w:rsid w:val="00A05584"/>
    <w:rsid w:val="00A05664"/>
    <w:rsid w:val="00A056DC"/>
    <w:rsid w:val="00A05822"/>
    <w:rsid w:val="00A0583F"/>
    <w:rsid w:val="00A0594B"/>
    <w:rsid w:val="00A05BDE"/>
    <w:rsid w:val="00A05BDF"/>
    <w:rsid w:val="00A05C42"/>
    <w:rsid w:val="00A05C49"/>
    <w:rsid w:val="00A05C4D"/>
    <w:rsid w:val="00A05C8F"/>
    <w:rsid w:val="00A05CBA"/>
    <w:rsid w:val="00A05DA9"/>
    <w:rsid w:val="00A05DE0"/>
    <w:rsid w:val="00A05E3E"/>
    <w:rsid w:val="00A05EAD"/>
    <w:rsid w:val="00A05F66"/>
    <w:rsid w:val="00A0601B"/>
    <w:rsid w:val="00A0601C"/>
    <w:rsid w:val="00A0602B"/>
    <w:rsid w:val="00A0608D"/>
    <w:rsid w:val="00A0609B"/>
    <w:rsid w:val="00A06135"/>
    <w:rsid w:val="00A06139"/>
    <w:rsid w:val="00A06149"/>
    <w:rsid w:val="00A061B1"/>
    <w:rsid w:val="00A061F1"/>
    <w:rsid w:val="00A06255"/>
    <w:rsid w:val="00A063EC"/>
    <w:rsid w:val="00A06469"/>
    <w:rsid w:val="00A06491"/>
    <w:rsid w:val="00A064D0"/>
    <w:rsid w:val="00A0656E"/>
    <w:rsid w:val="00A0665E"/>
    <w:rsid w:val="00A066A0"/>
    <w:rsid w:val="00A06878"/>
    <w:rsid w:val="00A068A8"/>
    <w:rsid w:val="00A068B3"/>
    <w:rsid w:val="00A068D0"/>
    <w:rsid w:val="00A06A6B"/>
    <w:rsid w:val="00A06A89"/>
    <w:rsid w:val="00A06A8C"/>
    <w:rsid w:val="00A06BAC"/>
    <w:rsid w:val="00A06C2A"/>
    <w:rsid w:val="00A06C79"/>
    <w:rsid w:val="00A06C92"/>
    <w:rsid w:val="00A06CD0"/>
    <w:rsid w:val="00A06CD9"/>
    <w:rsid w:val="00A06D61"/>
    <w:rsid w:val="00A06E4F"/>
    <w:rsid w:val="00A06FC9"/>
    <w:rsid w:val="00A06FDB"/>
    <w:rsid w:val="00A06FE2"/>
    <w:rsid w:val="00A07093"/>
    <w:rsid w:val="00A070CC"/>
    <w:rsid w:val="00A070FF"/>
    <w:rsid w:val="00A07162"/>
    <w:rsid w:val="00A07248"/>
    <w:rsid w:val="00A072B5"/>
    <w:rsid w:val="00A07314"/>
    <w:rsid w:val="00A074EE"/>
    <w:rsid w:val="00A075C5"/>
    <w:rsid w:val="00A07642"/>
    <w:rsid w:val="00A076D4"/>
    <w:rsid w:val="00A076F9"/>
    <w:rsid w:val="00A07729"/>
    <w:rsid w:val="00A07776"/>
    <w:rsid w:val="00A0778D"/>
    <w:rsid w:val="00A07941"/>
    <w:rsid w:val="00A07B0E"/>
    <w:rsid w:val="00A07B31"/>
    <w:rsid w:val="00A07BA4"/>
    <w:rsid w:val="00A07C2D"/>
    <w:rsid w:val="00A07CAB"/>
    <w:rsid w:val="00A07D9C"/>
    <w:rsid w:val="00A07E42"/>
    <w:rsid w:val="00A07F0D"/>
    <w:rsid w:val="00A07F48"/>
    <w:rsid w:val="00A1004F"/>
    <w:rsid w:val="00A10092"/>
    <w:rsid w:val="00A100A0"/>
    <w:rsid w:val="00A100F9"/>
    <w:rsid w:val="00A10128"/>
    <w:rsid w:val="00A1012D"/>
    <w:rsid w:val="00A1020C"/>
    <w:rsid w:val="00A10271"/>
    <w:rsid w:val="00A102B0"/>
    <w:rsid w:val="00A102DC"/>
    <w:rsid w:val="00A1032A"/>
    <w:rsid w:val="00A1035E"/>
    <w:rsid w:val="00A104B1"/>
    <w:rsid w:val="00A10504"/>
    <w:rsid w:val="00A105CA"/>
    <w:rsid w:val="00A1063A"/>
    <w:rsid w:val="00A1064F"/>
    <w:rsid w:val="00A10656"/>
    <w:rsid w:val="00A1069A"/>
    <w:rsid w:val="00A1069E"/>
    <w:rsid w:val="00A1083D"/>
    <w:rsid w:val="00A1094B"/>
    <w:rsid w:val="00A109B5"/>
    <w:rsid w:val="00A109BE"/>
    <w:rsid w:val="00A109F8"/>
    <w:rsid w:val="00A10A31"/>
    <w:rsid w:val="00A10A77"/>
    <w:rsid w:val="00A10A95"/>
    <w:rsid w:val="00A10B29"/>
    <w:rsid w:val="00A10B8B"/>
    <w:rsid w:val="00A10BA1"/>
    <w:rsid w:val="00A10C6D"/>
    <w:rsid w:val="00A10D65"/>
    <w:rsid w:val="00A10DA2"/>
    <w:rsid w:val="00A10E07"/>
    <w:rsid w:val="00A10E97"/>
    <w:rsid w:val="00A10EDB"/>
    <w:rsid w:val="00A10F01"/>
    <w:rsid w:val="00A10F14"/>
    <w:rsid w:val="00A10F44"/>
    <w:rsid w:val="00A110C2"/>
    <w:rsid w:val="00A110CA"/>
    <w:rsid w:val="00A111A2"/>
    <w:rsid w:val="00A111B1"/>
    <w:rsid w:val="00A111C7"/>
    <w:rsid w:val="00A111CF"/>
    <w:rsid w:val="00A111FF"/>
    <w:rsid w:val="00A1123F"/>
    <w:rsid w:val="00A1128F"/>
    <w:rsid w:val="00A1130A"/>
    <w:rsid w:val="00A1131B"/>
    <w:rsid w:val="00A11331"/>
    <w:rsid w:val="00A1138E"/>
    <w:rsid w:val="00A113D8"/>
    <w:rsid w:val="00A113EF"/>
    <w:rsid w:val="00A1144F"/>
    <w:rsid w:val="00A11474"/>
    <w:rsid w:val="00A11566"/>
    <w:rsid w:val="00A1157D"/>
    <w:rsid w:val="00A115DA"/>
    <w:rsid w:val="00A11623"/>
    <w:rsid w:val="00A116A1"/>
    <w:rsid w:val="00A116BA"/>
    <w:rsid w:val="00A1174C"/>
    <w:rsid w:val="00A11792"/>
    <w:rsid w:val="00A1180F"/>
    <w:rsid w:val="00A118B6"/>
    <w:rsid w:val="00A11923"/>
    <w:rsid w:val="00A119A2"/>
    <w:rsid w:val="00A11B15"/>
    <w:rsid w:val="00A11B4D"/>
    <w:rsid w:val="00A11B68"/>
    <w:rsid w:val="00A11B9D"/>
    <w:rsid w:val="00A11C12"/>
    <w:rsid w:val="00A11C24"/>
    <w:rsid w:val="00A11C28"/>
    <w:rsid w:val="00A11C36"/>
    <w:rsid w:val="00A11C50"/>
    <w:rsid w:val="00A11CD0"/>
    <w:rsid w:val="00A11CE0"/>
    <w:rsid w:val="00A11D1F"/>
    <w:rsid w:val="00A11D70"/>
    <w:rsid w:val="00A11DAA"/>
    <w:rsid w:val="00A11DCE"/>
    <w:rsid w:val="00A11DFA"/>
    <w:rsid w:val="00A11E10"/>
    <w:rsid w:val="00A11EF4"/>
    <w:rsid w:val="00A11F2A"/>
    <w:rsid w:val="00A11F9D"/>
    <w:rsid w:val="00A11FD0"/>
    <w:rsid w:val="00A1205F"/>
    <w:rsid w:val="00A120E8"/>
    <w:rsid w:val="00A1219F"/>
    <w:rsid w:val="00A1222D"/>
    <w:rsid w:val="00A1225C"/>
    <w:rsid w:val="00A122A3"/>
    <w:rsid w:val="00A12402"/>
    <w:rsid w:val="00A1242A"/>
    <w:rsid w:val="00A124E7"/>
    <w:rsid w:val="00A12572"/>
    <w:rsid w:val="00A125ED"/>
    <w:rsid w:val="00A12682"/>
    <w:rsid w:val="00A127A5"/>
    <w:rsid w:val="00A127F3"/>
    <w:rsid w:val="00A1283E"/>
    <w:rsid w:val="00A12865"/>
    <w:rsid w:val="00A12916"/>
    <w:rsid w:val="00A1294B"/>
    <w:rsid w:val="00A129B7"/>
    <w:rsid w:val="00A12A21"/>
    <w:rsid w:val="00A12A4B"/>
    <w:rsid w:val="00A12A69"/>
    <w:rsid w:val="00A12AEC"/>
    <w:rsid w:val="00A12BEC"/>
    <w:rsid w:val="00A12C79"/>
    <w:rsid w:val="00A12D4C"/>
    <w:rsid w:val="00A12DCA"/>
    <w:rsid w:val="00A12E55"/>
    <w:rsid w:val="00A12EF4"/>
    <w:rsid w:val="00A12F4C"/>
    <w:rsid w:val="00A12FCA"/>
    <w:rsid w:val="00A13023"/>
    <w:rsid w:val="00A13063"/>
    <w:rsid w:val="00A13141"/>
    <w:rsid w:val="00A1320E"/>
    <w:rsid w:val="00A13261"/>
    <w:rsid w:val="00A13439"/>
    <w:rsid w:val="00A135ED"/>
    <w:rsid w:val="00A13622"/>
    <w:rsid w:val="00A1365C"/>
    <w:rsid w:val="00A13681"/>
    <w:rsid w:val="00A13702"/>
    <w:rsid w:val="00A13713"/>
    <w:rsid w:val="00A13762"/>
    <w:rsid w:val="00A13794"/>
    <w:rsid w:val="00A1379A"/>
    <w:rsid w:val="00A13845"/>
    <w:rsid w:val="00A138BD"/>
    <w:rsid w:val="00A13903"/>
    <w:rsid w:val="00A139BF"/>
    <w:rsid w:val="00A13A81"/>
    <w:rsid w:val="00A13AEF"/>
    <w:rsid w:val="00A13B57"/>
    <w:rsid w:val="00A13BF9"/>
    <w:rsid w:val="00A13D0D"/>
    <w:rsid w:val="00A13DAF"/>
    <w:rsid w:val="00A13DC7"/>
    <w:rsid w:val="00A13E08"/>
    <w:rsid w:val="00A13E11"/>
    <w:rsid w:val="00A13E9D"/>
    <w:rsid w:val="00A13F33"/>
    <w:rsid w:val="00A13F3F"/>
    <w:rsid w:val="00A13FAF"/>
    <w:rsid w:val="00A14195"/>
    <w:rsid w:val="00A14198"/>
    <w:rsid w:val="00A14257"/>
    <w:rsid w:val="00A14318"/>
    <w:rsid w:val="00A14465"/>
    <w:rsid w:val="00A14501"/>
    <w:rsid w:val="00A14581"/>
    <w:rsid w:val="00A14675"/>
    <w:rsid w:val="00A147B8"/>
    <w:rsid w:val="00A14848"/>
    <w:rsid w:val="00A148A6"/>
    <w:rsid w:val="00A149D6"/>
    <w:rsid w:val="00A14B67"/>
    <w:rsid w:val="00A14B69"/>
    <w:rsid w:val="00A14B6A"/>
    <w:rsid w:val="00A14B9D"/>
    <w:rsid w:val="00A14C41"/>
    <w:rsid w:val="00A14CC6"/>
    <w:rsid w:val="00A14CE5"/>
    <w:rsid w:val="00A14D04"/>
    <w:rsid w:val="00A14D13"/>
    <w:rsid w:val="00A14D77"/>
    <w:rsid w:val="00A14E5C"/>
    <w:rsid w:val="00A14ECF"/>
    <w:rsid w:val="00A14EFA"/>
    <w:rsid w:val="00A14F73"/>
    <w:rsid w:val="00A14FB5"/>
    <w:rsid w:val="00A14FB6"/>
    <w:rsid w:val="00A151C8"/>
    <w:rsid w:val="00A15326"/>
    <w:rsid w:val="00A15335"/>
    <w:rsid w:val="00A15416"/>
    <w:rsid w:val="00A154D7"/>
    <w:rsid w:val="00A154E8"/>
    <w:rsid w:val="00A1557B"/>
    <w:rsid w:val="00A155A3"/>
    <w:rsid w:val="00A155B6"/>
    <w:rsid w:val="00A155BE"/>
    <w:rsid w:val="00A157B8"/>
    <w:rsid w:val="00A15805"/>
    <w:rsid w:val="00A1585F"/>
    <w:rsid w:val="00A15863"/>
    <w:rsid w:val="00A15A2F"/>
    <w:rsid w:val="00A15A50"/>
    <w:rsid w:val="00A15AAE"/>
    <w:rsid w:val="00A15BA6"/>
    <w:rsid w:val="00A15BCB"/>
    <w:rsid w:val="00A15CC8"/>
    <w:rsid w:val="00A15F0E"/>
    <w:rsid w:val="00A15F55"/>
    <w:rsid w:val="00A16092"/>
    <w:rsid w:val="00A16169"/>
    <w:rsid w:val="00A161CD"/>
    <w:rsid w:val="00A1625B"/>
    <w:rsid w:val="00A16289"/>
    <w:rsid w:val="00A16504"/>
    <w:rsid w:val="00A1660C"/>
    <w:rsid w:val="00A1667C"/>
    <w:rsid w:val="00A16708"/>
    <w:rsid w:val="00A16805"/>
    <w:rsid w:val="00A1685D"/>
    <w:rsid w:val="00A1686F"/>
    <w:rsid w:val="00A16873"/>
    <w:rsid w:val="00A168AD"/>
    <w:rsid w:val="00A168B5"/>
    <w:rsid w:val="00A168CC"/>
    <w:rsid w:val="00A16913"/>
    <w:rsid w:val="00A16958"/>
    <w:rsid w:val="00A1697A"/>
    <w:rsid w:val="00A169B1"/>
    <w:rsid w:val="00A16AD1"/>
    <w:rsid w:val="00A16ADD"/>
    <w:rsid w:val="00A16B05"/>
    <w:rsid w:val="00A16B69"/>
    <w:rsid w:val="00A16BAB"/>
    <w:rsid w:val="00A16BCF"/>
    <w:rsid w:val="00A16BDA"/>
    <w:rsid w:val="00A16C13"/>
    <w:rsid w:val="00A16CC1"/>
    <w:rsid w:val="00A16D31"/>
    <w:rsid w:val="00A16D3C"/>
    <w:rsid w:val="00A16E05"/>
    <w:rsid w:val="00A16E36"/>
    <w:rsid w:val="00A16E8E"/>
    <w:rsid w:val="00A16F2C"/>
    <w:rsid w:val="00A16F3C"/>
    <w:rsid w:val="00A16FDE"/>
    <w:rsid w:val="00A170AA"/>
    <w:rsid w:val="00A170F1"/>
    <w:rsid w:val="00A17111"/>
    <w:rsid w:val="00A17126"/>
    <w:rsid w:val="00A1714B"/>
    <w:rsid w:val="00A17155"/>
    <w:rsid w:val="00A1718C"/>
    <w:rsid w:val="00A17269"/>
    <w:rsid w:val="00A1729F"/>
    <w:rsid w:val="00A17332"/>
    <w:rsid w:val="00A17342"/>
    <w:rsid w:val="00A17391"/>
    <w:rsid w:val="00A173C0"/>
    <w:rsid w:val="00A17414"/>
    <w:rsid w:val="00A1742D"/>
    <w:rsid w:val="00A17490"/>
    <w:rsid w:val="00A17508"/>
    <w:rsid w:val="00A17725"/>
    <w:rsid w:val="00A1777B"/>
    <w:rsid w:val="00A1783E"/>
    <w:rsid w:val="00A17A7F"/>
    <w:rsid w:val="00A17B68"/>
    <w:rsid w:val="00A17B97"/>
    <w:rsid w:val="00A17BB0"/>
    <w:rsid w:val="00A17C1E"/>
    <w:rsid w:val="00A17C8A"/>
    <w:rsid w:val="00A17CEF"/>
    <w:rsid w:val="00A17D12"/>
    <w:rsid w:val="00A17D2B"/>
    <w:rsid w:val="00A17E29"/>
    <w:rsid w:val="00A17E37"/>
    <w:rsid w:val="00A17E65"/>
    <w:rsid w:val="00A17E7E"/>
    <w:rsid w:val="00A17F5A"/>
    <w:rsid w:val="00A17F6E"/>
    <w:rsid w:val="00A17FC7"/>
    <w:rsid w:val="00A17FD4"/>
    <w:rsid w:val="00A2003D"/>
    <w:rsid w:val="00A20265"/>
    <w:rsid w:val="00A2029D"/>
    <w:rsid w:val="00A202BA"/>
    <w:rsid w:val="00A2036F"/>
    <w:rsid w:val="00A205DE"/>
    <w:rsid w:val="00A2068A"/>
    <w:rsid w:val="00A206C2"/>
    <w:rsid w:val="00A208A7"/>
    <w:rsid w:val="00A20900"/>
    <w:rsid w:val="00A20B1A"/>
    <w:rsid w:val="00A20B8A"/>
    <w:rsid w:val="00A20BFF"/>
    <w:rsid w:val="00A20C9A"/>
    <w:rsid w:val="00A20D20"/>
    <w:rsid w:val="00A20DD4"/>
    <w:rsid w:val="00A20E19"/>
    <w:rsid w:val="00A20E69"/>
    <w:rsid w:val="00A20E7D"/>
    <w:rsid w:val="00A20F24"/>
    <w:rsid w:val="00A20F9B"/>
    <w:rsid w:val="00A21032"/>
    <w:rsid w:val="00A21038"/>
    <w:rsid w:val="00A2112A"/>
    <w:rsid w:val="00A2112C"/>
    <w:rsid w:val="00A21131"/>
    <w:rsid w:val="00A2116F"/>
    <w:rsid w:val="00A2128A"/>
    <w:rsid w:val="00A2130F"/>
    <w:rsid w:val="00A21361"/>
    <w:rsid w:val="00A213C8"/>
    <w:rsid w:val="00A21449"/>
    <w:rsid w:val="00A2146C"/>
    <w:rsid w:val="00A214CE"/>
    <w:rsid w:val="00A21515"/>
    <w:rsid w:val="00A215C3"/>
    <w:rsid w:val="00A217C8"/>
    <w:rsid w:val="00A21822"/>
    <w:rsid w:val="00A219A5"/>
    <w:rsid w:val="00A21A80"/>
    <w:rsid w:val="00A21A96"/>
    <w:rsid w:val="00A21AC8"/>
    <w:rsid w:val="00A21AE3"/>
    <w:rsid w:val="00A21C3F"/>
    <w:rsid w:val="00A21C45"/>
    <w:rsid w:val="00A21C74"/>
    <w:rsid w:val="00A21C8C"/>
    <w:rsid w:val="00A21D0C"/>
    <w:rsid w:val="00A21DA8"/>
    <w:rsid w:val="00A21E20"/>
    <w:rsid w:val="00A21E27"/>
    <w:rsid w:val="00A21E51"/>
    <w:rsid w:val="00A2206F"/>
    <w:rsid w:val="00A22099"/>
    <w:rsid w:val="00A220C7"/>
    <w:rsid w:val="00A220D8"/>
    <w:rsid w:val="00A22132"/>
    <w:rsid w:val="00A2215A"/>
    <w:rsid w:val="00A221B8"/>
    <w:rsid w:val="00A22357"/>
    <w:rsid w:val="00A22398"/>
    <w:rsid w:val="00A2242A"/>
    <w:rsid w:val="00A22432"/>
    <w:rsid w:val="00A22512"/>
    <w:rsid w:val="00A226DA"/>
    <w:rsid w:val="00A227A9"/>
    <w:rsid w:val="00A22986"/>
    <w:rsid w:val="00A229F2"/>
    <w:rsid w:val="00A22A90"/>
    <w:rsid w:val="00A22A9B"/>
    <w:rsid w:val="00A22AD5"/>
    <w:rsid w:val="00A22B3B"/>
    <w:rsid w:val="00A22B6C"/>
    <w:rsid w:val="00A22BCC"/>
    <w:rsid w:val="00A22C87"/>
    <w:rsid w:val="00A22C96"/>
    <w:rsid w:val="00A22CE4"/>
    <w:rsid w:val="00A22DF1"/>
    <w:rsid w:val="00A22E5D"/>
    <w:rsid w:val="00A22EE5"/>
    <w:rsid w:val="00A22EE9"/>
    <w:rsid w:val="00A22F24"/>
    <w:rsid w:val="00A22F5A"/>
    <w:rsid w:val="00A22F80"/>
    <w:rsid w:val="00A2307F"/>
    <w:rsid w:val="00A230C5"/>
    <w:rsid w:val="00A23102"/>
    <w:rsid w:val="00A23137"/>
    <w:rsid w:val="00A231A4"/>
    <w:rsid w:val="00A231C8"/>
    <w:rsid w:val="00A2321D"/>
    <w:rsid w:val="00A2326A"/>
    <w:rsid w:val="00A232E3"/>
    <w:rsid w:val="00A232F5"/>
    <w:rsid w:val="00A23338"/>
    <w:rsid w:val="00A23408"/>
    <w:rsid w:val="00A2342D"/>
    <w:rsid w:val="00A23443"/>
    <w:rsid w:val="00A2345B"/>
    <w:rsid w:val="00A23461"/>
    <w:rsid w:val="00A2353A"/>
    <w:rsid w:val="00A235BC"/>
    <w:rsid w:val="00A235C5"/>
    <w:rsid w:val="00A2363D"/>
    <w:rsid w:val="00A23713"/>
    <w:rsid w:val="00A239CF"/>
    <w:rsid w:val="00A23A1E"/>
    <w:rsid w:val="00A23A3A"/>
    <w:rsid w:val="00A23ACC"/>
    <w:rsid w:val="00A23AFA"/>
    <w:rsid w:val="00A23B12"/>
    <w:rsid w:val="00A23BA2"/>
    <w:rsid w:val="00A23E51"/>
    <w:rsid w:val="00A23E65"/>
    <w:rsid w:val="00A23F85"/>
    <w:rsid w:val="00A23FCA"/>
    <w:rsid w:val="00A241E3"/>
    <w:rsid w:val="00A2422D"/>
    <w:rsid w:val="00A2455B"/>
    <w:rsid w:val="00A24637"/>
    <w:rsid w:val="00A24743"/>
    <w:rsid w:val="00A24786"/>
    <w:rsid w:val="00A248B7"/>
    <w:rsid w:val="00A24923"/>
    <w:rsid w:val="00A24997"/>
    <w:rsid w:val="00A24ACE"/>
    <w:rsid w:val="00A24BE3"/>
    <w:rsid w:val="00A24C05"/>
    <w:rsid w:val="00A24C3F"/>
    <w:rsid w:val="00A24C88"/>
    <w:rsid w:val="00A24D4A"/>
    <w:rsid w:val="00A24D6C"/>
    <w:rsid w:val="00A24DA7"/>
    <w:rsid w:val="00A24DAA"/>
    <w:rsid w:val="00A24DF8"/>
    <w:rsid w:val="00A24E09"/>
    <w:rsid w:val="00A24ECB"/>
    <w:rsid w:val="00A24F66"/>
    <w:rsid w:val="00A24F8A"/>
    <w:rsid w:val="00A24FE0"/>
    <w:rsid w:val="00A25016"/>
    <w:rsid w:val="00A25084"/>
    <w:rsid w:val="00A2508E"/>
    <w:rsid w:val="00A25134"/>
    <w:rsid w:val="00A2521B"/>
    <w:rsid w:val="00A25397"/>
    <w:rsid w:val="00A253F6"/>
    <w:rsid w:val="00A25528"/>
    <w:rsid w:val="00A25585"/>
    <w:rsid w:val="00A255DA"/>
    <w:rsid w:val="00A25723"/>
    <w:rsid w:val="00A25779"/>
    <w:rsid w:val="00A25808"/>
    <w:rsid w:val="00A25827"/>
    <w:rsid w:val="00A2595A"/>
    <w:rsid w:val="00A25967"/>
    <w:rsid w:val="00A25A8D"/>
    <w:rsid w:val="00A25AB0"/>
    <w:rsid w:val="00A25AC0"/>
    <w:rsid w:val="00A25B90"/>
    <w:rsid w:val="00A25C79"/>
    <w:rsid w:val="00A25CB5"/>
    <w:rsid w:val="00A25CE7"/>
    <w:rsid w:val="00A25D08"/>
    <w:rsid w:val="00A25D24"/>
    <w:rsid w:val="00A25DA9"/>
    <w:rsid w:val="00A25DD3"/>
    <w:rsid w:val="00A25E4F"/>
    <w:rsid w:val="00A25E68"/>
    <w:rsid w:val="00A25F2F"/>
    <w:rsid w:val="00A25F42"/>
    <w:rsid w:val="00A25FB9"/>
    <w:rsid w:val="00A25FCD"/>
    <w:rsid w:val="00A25FF5"/>
    <w:rsid w:val="00A2600E"/>
    <w:rsid w:val="00A2602B"/>
    <w:rsid w:val="00A2619A"/>
    <w:rsid w:val="00A26216"/>
    <w:rsid w:val="00A2625B"/>
    <w:rsid w:val="00A262DD"/>
    <w:rsid w:val="00A26307"/>
    <w:rsid w:val="00A2642F"/>
    <w:rsid w:val="00A26477"/>
    <w:rsid w:val="00A26551"/>
    <w:rsid w:val="00A26575"/>
    <w:rsid w:val="00A26579"/>
    <w:rsid w:val="00A26708"/>
    <w:rsid w:val="00A2677E"/>
    <w:rsid w:val="00A26793"/>
    <w:rsid w:val="00A267A8"/>
    <w:rsid w:val="00A267D7"/>
    <w:rsid w:val="00A26809"/>
    <w:rsid w:val="00A26822"/>
    <w:rsid w:val="00A26879"/>
    <w:rsid w:val="00A26882"/>
    <w:rsid w:val="00A2688D"/>
    <w:rsid w:val="00A2693B"/>
    <w:rsid w:val="00A26A9B"/>
    <w:rsid w:val="00A26AA7"/>
    <w:rsid w:val="00A26AC6"/>
    <w:rsid w:val="00A26B6D"/>
    <w:rsid w:val="00A26B74"/>
    <w:rsid w:val="00A26C45"/>
    <w:rsid w:val="00A26CB4"/>
    <w:rsid w:val="00A26E95"/>
    <w:rsid w:val="00A26EBB"/>
    <w:rsid w:val="00A26F51"/>
    <w:rsid w:val="00A27088"/>
    <w:rsid w:val="00A271BA"/>
    <w:rsid w:val="00A2731D"/>
    <w:rsid w:val="00A273D0"/>
    <w:rsid w:val="00A273D8"/>
    <w:rsid w:val="00A27415"/>
    <w:rsid w:val="00A27449"/>
    <w:rsid w:val="00A2744E"/>
    <w:rsid w:val="00A27490"/>
    <w:rsid w:val="00A274B6"/>
    <w:rsid w:val="00A275A2"/>
    <w:rsid w:val="00A275B1"/>
    <w:rsid w:val="00A275F2"/>
    <w:rsid w:val="00A276AD"/>
    <w:rsid w:val="00A276E0"/>
    <w:rsid w:val="00A27808"/>
    <w:rsid w:val="00A278FC"/>
    <w:rsid w:val="00A27975"/>
    <w:rsid w:val="00A279E1"/>
    <w:rsid w:val="00A27B8C"/>
    <w:rsid w:val="00A27BB9"/>
    <w:rsid w:val="00A27C6B"/>
    <w:rsid w:val="00A27C87"/>
    <w:rsid w:val="00A27CB2"/>
    <w:rsid w:val="00A27F45"/>
    <w:rsid w:val="00A3000B"/>
    <w:rsid w:val="00A3003C"/>
    <w:rsid w:val="00A3004E"/>
    <w:rsid w:val="00A30057"/>
    <w:rsid w:val="00A300CA"/>
    <w:rsid w:val="00A300E0"/>
    <w:rsid w:val="00A30120"/>
    <w:rsid w:val="00A30130"/>
    <w:rsid w:val="00A30274"/>
    <w:rsid w:val="00A30297"/>
    <w:rsid w:val="00A3029D"/>
    <w:rsid w:val="00A3031F"/>
    <w:rsid w:val="00A3035D"/>
    <w:rsid w:val="00A30535"/>
    <w:rsid w:val="00A30587"/>
    <w:rsid w:val="00A305AC"/>
    <w:rsid w:val="00A30674"/>
    <w:rsid w:val="00A3085C"/>
    <w:rsid w:val="00A30983"/>
    <w:rsid w:val="00A30A9E"/>
    <w:rsid w:val="00A30B8C"/>
    <w:rsid w:val="00A30CAE"/>
    <w:rsid w:val="00A30D10"/>
    <w:rsid w:val="00A30D27"/>
    <w:rsid w:val="00A30D46"/>
    <w:rsid w:val="00A30D89"/>
    <w:rsid w:val="00A30DC0"/>
    <w:rsid w:val="00A30E46"/>
    <w:rsid w:val="00A30E67"/>
    <w:rsid w:val="00A30E6D"/>
    <w:rsid w:val="00A30F45"/>
    <w:rsid w:val="00A310A3"/>
    <w:rsid w:val="00A310F5"/>
    <w:rsid w:val="00A311EA"/>
    <w:rsid w:val="00A31210"/>
    <w:rsid w:val="00A31346"/>
    <w:rsid w:val="00A313A9"/>
    <w:rsid w:val="00A31422"/>
    <w:rsid w:val="00A3153E"/>
    <w:rsid w:val="00A3162D"/>
    <w:rsid w:val="00A316B0"/>
    <w:rsid w:val="00A316D0"/>
    <w:rsid w:val="00A316DE"/>
    <w:rsid w:val="00A31792"/>
    <w:rsid w:val="00A3184A"/>
    <w:rsid w:val="00A318A6"/>
    <w:rsid w:val="00A3195A"/>
    <w:rsid w:val="00A319E7"/>
    <w:rsid w:val="00A319F5"/>
    <w:rsid w:val="00A31A0B"/>
    <w:rsid w:val="00A31A1A"/>
    <w:rsid w:val="00A31A5E"/>
    <w:rsid w:val="00A31A72"/>
    <w:rsid w:val="00A31A8E"/>
    <w:rsid w:val="00A31ABD"/>
    <w:rsid w:val="00A31AF9"/>
    <w:rsid w:val="00A31B59"/>
    <w:rsid w:val="00A31C88"/>
    <w:rsid w:val="00A31CE4"/>
    <w:rsid w:val="00A31D82"/>
    <w:rsid w:val="00A31DD5"/>
    <w:rsid w:val="00A31E75"/>
    <w:rsid w:val="00A31E93"/>
    <w:rsid w:val="00A31EB9"/>
    <w:rsid w:val="00A320D1"/>
    <w:rsid w:val="00A32111"/>
    <w:rsid w:val="00A32157"/>
    <w:rsid w:val="00A3225E"/>
    <w:rsid w:val="00A322D7"/>
    <w:rsid w:val="00A32397"/>
    <w:rsid w:val="00A323AD"/>
    <w:rsid w:val="00A32419"/>
    <w:rsid w:val="00A3242F"/>
    <w:rsid w:val="00A32566"/>
    <w:rsid w:val="00A325A0"/>
    <w:rsid w:val="00A32674"/>
    <w:rsid w:val="00A32697"/>
    <w:rsid w:val="00A32735"/>
    <w:rsid w:val="00A327C3"/>
    <w:rsid w:val="00A3286D"/>
    <w:rsid w:val="00A328D1"/>
    <w:rsid w:val="00A32934"/>
    <w:rsid w:val="00A32939"/>
    <w:rsid w:val="00A329A8"/>
    <w:rsid w:val="00A32BF0"/>
    <w:rsid w:val="00A32CEA"/>
    <w:rsid w:val="00A32DC7"/>
    <w:rsid w:val="00A32DCD"/>
    <w:rsid w:val="00A32DFC"/>
    <w:rsid w:val="00A32EF6"/>
    <w:rsid w:val="00A32F43"/>
    <w:rsid w:val="00A32F5E"/>
    <w:rsid w:val="00A32FA9"/>
    <w:rsid w:val="00A32FBA"/>
    <w:rsid w:val="00A3315C"/>
    <w:rsid w:val="00A331F4"/>
    <w:rsid w:val="00A33685"/>
    <w:rsid w:val="00A336B3"/>
    <w:rsid w:val="00A33700"/>
    <w:rsid w:val="00A3372A"/>
    <w:rsid w:val="00A3379D"/>
    <w:rsid w:val="00A338ED"/>
    <w:rsid w:val="00A3390C"/>
    <w:rsid w:val="00A339F7"/>
    <w:rsid w:val="00A33A0D"/>
    <w:rsid w:val="00A33A4E"/>
    <w:rsid w:val="00A33A5D"/>
    <w:rsid w:val="00A33A8D"/>
    <w:rsid w:val="00A33AF1"/>
    <w:rsid w:val="00A33B1D"/>
    <w:rsid w:val="00A33B7D"/>
    <w:rsid w:val="00A33BC4"/>
    <w:rsid w:val="00A33C1A"/>
    <w:rsid w:val="00A33CCB"/>
    <w:rsid w:val="00A33DAA"/>
    <w:rsid w:val="00A33DC7"/>
    <w:rsid w:val="00A33FF0"/>
    <w:rsid w:val="00A340C3"/>
    <w:rsid w:val="00A34270"/>
    <w:rsid w:val="00A342DD"/>
    <w:rsid w:val="00A342F6"/>
    <w:rsid w:val="00A34335"/>
    <w:rsid w:val="00A34369"/>
    <w:rsid w:val="00A34514"/>
    <w:rsid w:val="00A34603"/>
    <w:rsid w:val="00A346EB"/>
    <w:rsid w:val="00A3496D"/>
    <w:rsid w:val="00A3497F"/>
    <w:rsid w:val="00A34A2F"/>
    <w:rsid w:val="00A34A63"/>
    <w:rsid w:val="00A34AC3"/>
    <w:rsid w:val="00A34B2A"/>
    <w:rsid w:val="00A34C30"/>
    <w:rsid w:val="00A34C8B"/>
    <w:rsid w:val="00A34CD6"/>
    <w:rsid w:val="00A34D19"/>
    <w:rsid w:val="00A34DA2"/>
    <w:rsid w:val="00A34E56"/>
    <w:rsid w:val="00A34EC1"/>
    <w:rsid w:val="00A35034"/>
    <w:rsid w:val="00A350E5"/>
    <w:rsid w:val="00A350E6"/>
    <w:rsid w:val="00A350E9"/>
    <w:rsid w:val="00A35238"/>
    <w:rsid w:val="00A352A7"/>
    <w:rsid w:val="00A352D6"/>
    <w:rsid w:val="00A3530A"/>
    <w:rsid w:val="00A3541B"/>
    <w:rsid w:val="00A3547E"/>
    <w:rsid w:val="00A354F3"/>
    <w:rsid w:val="00A35557"/>
    <w:rsid w:val="00A35559"/>
    <w:rsid w:val="00A3559B"/>
    <w:rsid w:val="00A355A5"/>
    <w:rsid w:val="00A3569F"/>
    <w:rsid w:val="00A35838"/>
    <w:rsid w:val="00A3583E"/>
    <w:rsid w:val="00A35964"/>
    <w:rsid w:val="00A35A3C"/>
    <w:rsid w:val="00A35A71"/>
    <w:rsid w:val="00A35A9C"/>
    <w:rsid w:val="00A35B78"/>
    <w:rsid w:val="00A35C0E"/>
    <w:rsid w:val="00A35C89"/>
    <w:rsid w:val="00A35D7C"/>
    <w:rsid w:val="00A35DBC"/>
    <w:rsid w:val="00A35E2F"/>
    <w:rsid w:val="00A35E87"/>
    <w:rsid w:val="00A35E8D"/>
    <w:rsid w:val="00A35EEB"/>
    <w:rsid w:val="00A360BE"/>
    <w:rsid w:val="00A36189"/>
    <w:rsid w:val="00A36204"/>
    <w:rsid w:val="00A36272"/>
    <w:rsid w:val="00A36346"/>
    <w:rsid w:val="00A36403"/>
    <w:rsid w:val="00A36564"/>
    <w:rsid w:val="00A3660A"/>
    <w:rsid w:val="00A3674C"/>
    <w:rsid w:val="00A368A7"/>
    <w:rsid w:val="00A368F7"/>
    <w:rsid w:val="00A369BF"/>
    <w:rsid w:val="00A369E3"/>
    <w:rsid w:val="00A36A41"/>
    <w:rsid w:val="00A36A8F"/>
    <w:rsid w:val="00A36A93"/>
    <w:rsid w:val="00A36B1C"/>
    <w:rsid w:val="00A36B3A"/>
    <w:rsid w:val="00A36B62"/>
    <w:rsid w:val="00A36BBB"/>
    <w:rsid w:val="00A36BD0"/>
    <w:rsid w:val="00A36D03"/>
    <w:rsid w:val="00A36EC7"/>
    <w:rsid w:val="00A36FB7"/>
    <w:rsid w:val="00A37028"/>
    <w:rsid w:val="00A37063"/>
    <w:rsid w:val="00A37085"/>
    <w:rsid w:val="00A370F4"/>
    <w:rsid w:val="00A37167"/>
    <w:rsid w:val="00A37260"/>
    <w:rsid w:val="00A372E3"/>
    <w:rsid w:val="00A372FB"/>
    <w:rsid w:val="00A373F0"/>
    <w:rsid w:val="00A374D7"/>
    <w:rsid w:val="00A37524"/>
    <w:rsid w:val="00A37527"/>
    <w:rsid w:val="00A37540"/>
    <w:rsid w:val="00A3754E"/>
    <w:rsid w:val="00A375E9"/>
    <w:rsid w:val="00A37600"/>
    <w:rsid w:val="00A37610"/>
    <w:rsid w:val="00A3765B"/>
    <w:rsid w:val="00A37688"/>
    <w:rsid w:val="00A37712"/>
    <w:rsid w:val="00A37739"/>
    <w:rsid w:val="00A37767"/>
    <w:rsid w:val="00A37854"/>
    <w:rsid w:val="00A378D1"/>
    <w:rsid w:val="00A378E6"/>
    <w:rsid w:val="00A37926"/>
    <w:rsid w:val="00A3798E"/>
    <w:rsid w:val="00A37A04"/>
    <w:rsid w:val="00A37A0E"/>
    <w:rsid w:val="00A37AA2"/>
    <w:rsid w:val="00A37AF8"/>
    <w:rsid w:val="00A37B98"/>
    <w:rsid w:val="00A37C81"/>
    <w:rsid w:val="00A37C90"/>
    <w:rsid w:val="00A37CD2"/>
    <w:rsid w:val="00A37CDB"/>
    <w:rsid w:val="00A37CEE"/>
    <w:rsid w:val="00A37D0E"/>
    <w:rsid w:val="00A37DF7"/>
    <w:rsid w:val="00A37E01"/>
    <w:rsid w:val="00A37E63"/>
    <w:rsid w:val="00A37E9B"/>
    <w:rsid w:val="00A37F72"/>
    <w:rsid w:val="00A4008A"/>
    <w:rsid w:val="00A40090"/>
    <w:rsid w:val="00A40150"/>
    <w:rsid w:val="00A40341"/>
    <w:rsid w:val="00A404E4"/>
    <w:rsid w:val="00A40600"/>
    <w:rsid w:val="00A40617"/>
    <w:rsid w:val="00A40663"/>
    <w:rsid w:val="00A406CE"/>
    <w:rsid w:val="00A406DB"/>
    <w:rsid w:val="00A4072E"/>
    <w:rsid w:val="00A408A8"/>
    <w:rsid w:val="00A40976"/>
    <w:rsid w:val="00A40AA8"/>
    <w:rsid w:val="00A40B29"/>
    <w:rsid w:val="00A40B7B"/>
    <w:rsid w:val="00A40B96"/>
    <w:rsid w:val="00A40C5E"/>
    <w:rsid w:val="00A40D02"/>
    <w:rsid w:val="00A40D58"/>
    <w:rsid w:val="00A40D5B"/>
    <w:rsid w:val="00A40D8D"/>
    <w:rsid w:val="00A40DB8"/>
    <w:rsid w:val="00A40E06"/>
    <w:rsid w:val="00A40E0E"/>
    <w:rsid w:val="00A40F99"/>
    <w:rsid w:val="00A40FA8"/>
    <w:rsid w:val="00A4104E"/>
    <w:rsid w:val="00A41061"/>
    <w:rsid w:val="00A41137"/>
    <w:rsid w:val="00A41149"/>
    <w:rsid w:val="00A41207"/>
    <w:rsid w:val="00A4121F"/>
    <w:rsid w:val="00A4124B"/>
    <w:rsid w:val="00A41286"/>
    <w:rsid w:val="00A41309"/>
    <w:rsid w:val="00A41325"/>
    <w:rsid w:val="00A41364"/>
    <w:rsid w:val="00A413A6"/>
    <w:rsid w:val="00A413CD"/>
    <w:rsid w:val="00A41403"/>
    <w:rsid w:val="00A4142C"/>
    <w:rsid w:val="00A414C4"/>
    <w:rsid w:val="00A415D6"/>
    <w:rsid w:val="00A41629"/>
    <w:rsid w:val="00A4164E"/>
    <w:rsid w:val="00A416D2"/>
    <w:rsid w:val="00A416F5"/>
    <w:rsid w:val="00A418D2"/>
    <w:rsid w:val="00A41905"/>
    <w:rsid w:val="00A419B0"/>
    <w:rsid w:val="00A41AAD"/>
    <w:rsid w:val="00A41BB8"/>
    <w:rsid w:val="00A41BDD"/>
    <w:rsid w:val="00A41C20"/>
    <w:rsid w:val="00A41C67"/>
    <w:rsid w:val="00A41C75"/>
    <w:rsid w:val="00A41D1A"/>
    <w:rsid w:val="00A41E8B"/>
    <w:rsid w:val="00A41FFB"/>
    <w:rsid w:val="00A420B2"/>
    <w:rsid w:val="00A42106"/>
    <w:rsid w:val="00A4211F"/>
    <w:rsid w:val="00A4216B"/>
    <w:rsid w:val="00A4218C"/>
    <w:rsid w:val="00A4224C"/>
    <w:rsid w:val="00A4233A"/>
    <w:rsid w:val="00A4236A"/>
    <w:rsid w:val="00A42391"/>
    <w:rsid w:val="00A42397"/>
    <w:rsid w:val="00A42429"/>
    <w:rsid w:val="00A42519"/>
    <w:rsid w:val="00A4253D"/>
    <w:rsid w:val="00A42566"/>
    <w:rsid w:val="00A42577"/>
    <w:rsid w:val="00A425AB"/>
    <w:rsid w:val="00A4267A"/>
    <w:rsid w:val="00A4269A"/>
    <w:rsid w:val="00A42799"/>
    <w:rsid w:val="00A427AE"/>
    <w:rsid w:val="00A427EB"/>
    <w:rsid w:val="00A4288F"/>
    <w:rsid w:val="00A42955"/>
    <w:rsid w:val="00A42AF7"/>
    <w:rsid w:val="00A42B12"/>
    <w:rsid w:val="00A42BB3"/>
    <w:rsid w:val="00A42CA3"/>
    <w:rsid w:val="00A42D9D"/>
    <w:rsid w:val="00A42E2E"/>
    <w:rsid w:val="00A42E4D"/>
    <w:rsid w:val="00A42E8C"/>
    <w:rsid w:val="00A42EE9"/>
    <w:rsid w:val="00A42F5F"/>
    <w:rsid w:val="00A42F97"/>
    <w:rsid w:val="00A42F9B"/>
    <w:rsid w:val="00A42FF4"/>
    <w:rsid w:val="00A4309F"/>
    <w:rsid w:val="00A430B8"/>
    <w:rsid w:val="00A430CC"/>
    <w:rsid w:val="00A43112"/>
    <w:rsid w:val="00A431DF"/>
    <w:rsid w:val="00A433FD"/>
    <w:rsid w:val="00A43417"/>
    <w:rsid w:val="00A43557"/>
    <w:rsid w:val="00A435AE"/>
    <w:rsid w:val="00A435BB"/>
    <w:rsid w:val="00A43794"/>
    <w:rsid w:val="00A4379C"/>
    <w:rsid w:val="00A437B2"/>
    <w:rsid w:val="00A437D6"/>
    <w:rsid w:val="00A4382F"/>
    <w:rsid w:val="00A4396F"/>
    <w:rsid w:val="00A439F4"/>
    <w:rsid w:val="00A43A60"/>
    <w:rsid w:val="00A43B97"/>
    <w:rsid w:val="00A43D80"/>
    <w:rsid w:val="00A43DCC"/>
    <w:rsid w:val="00A43E3D"/>
    <w:rsid w:val="00A43E63"/>
    <w:rsid w:val="00A43EE8"/>
    <w:rsid w:val="00A43F23"/>
    <w:rsid w:val="00A43F89"/>
    <w:rsid w:val="00A44035"/>
    <w:rsid w:val="00A4404E"/>
    <w:rsid w:val="00A4409F"/>
    <w:rsid w:val="00A440E0"/>
    <w:rsid w:val="00A44110"/>
    <w:rsid w:val="00A44171"/>
    <w:rsid w:val="00A441C1"/>
    <w:rsid w:val="00A44289"/>
    <w:rsid w:val="00A442A5"/>
    <w:rsid w:val="00A4430B"/>
    <w:rsid w:val="00A443E8"/>
    <w:rsid w:val="00A4446D"/>
    <w:rsid w:val="00A444C0"/>
    <w:rsid w:val="00A44520"/>
    <w:rsid w:val="00A4468E"/>
    <w:rsid w:val="00A446CE"/>
    <w:rsid w:val="00A446DC"/>
    <w:rsid w:val="00A44755"/>
    <w:rsid w:val="00A4488E"/>
    <w:rsid w:val="00A448D0"/>
    <w:rsid w:val="00A4495A"/>
    <w:rsid w:val="00A449A2"/>
    <w:rsid w:val="00A44A37"/>
    <w:rsid w:val="00A44B00"/>
    <w:rsid w:val="00A44C14"/>
    <w:rsid w:val="00A44DF8"/>
    <w:rsid w:val="00A44F54"/>
    <w:rsid w:val="00A44F8F"/>
    <w:rsid w:val="00A44FA8"/>
    <w:rsid w:val="00A4508C"/>
    <w:rsid w:val="00A45110"/>
    <w:rsid w:val="00A4511F"/>
    <w:rsid w:val="00A45179"/>
    <w:rsid w:val="00A451CF"/>
    <w:rsid w:val="00A451F5"/>
    <w:rsid w:val="00A45226"/>
    <w:rsid w:val="00A4522C"/>
    <w:rsid w:val="00A452BC"/>
    <w:rsid w:val="00A453EA"/>
    <w:rsid w:val="00A4541F"/>
    <w:rsid w:val="00A454B0"/>
    <w:rsid w:val="00A454D7"/>
    <w:rsid w:val="00A45521"/>
    <w:rsid w:val="00A45555"/>
    <w:rsid w:val="00A45587"/>
    <w:rsid w:val="00A455EA"/>
    <w:rsid w:val="00A456BD"/>
    <w:rsid w:val="00A4572D"/>
    <w:rsid w:val="00A45812"/>
    <w:rsid w:val="00A45894"/>
    <w:rsid w:val="00A4591F"/>
    <w:rsid w:val="00A4597D"/>
    <w:rsid w:val="00A459D5"/>
    <w:rsid w:val="00A459E2"/>
    <w:rsid w:val="00A45AE8"/>
    <w:rsid w:val="00A45C00"/>
    <w:rsid w:val="00A45C32"/>
    <w:rsid w:val="00A45C49"/>
    <w:rsid w:val="00A45CC7"/>
    <w:rsid w:val="00A45DE3"/>
    <w:rsid w:val="00A45EDD"/>
    <w:rsid w:val="00A45EFE"/>
    <w:rsid w:val="00A45FD5"/>
    <w:rsid w:val="00A4601C"/>
    <w:rsid w:val="00A4603F"/>
    <w:rsid w:val="00A46093"/>
    <w:rsid w:val="00A4616C"/>
    <w:rsid w:val="00A4621E"/>
    <w:rsid w:val="00A46278"/>
    <w:rsid w:val="00A46288"/>
    <w:rsid w:val="00A46294"/>
    <w:rsid w:val="00A46305"/>
    <w:rsid w:val="00A46401"/>
    <w:rsid w:val="00A46432"/>
    <w:rsid w:val="00A46452"/>
    <w:rsid w:val="00A4647A"/>
    <w:rsid w:val="00A464E2"/>
    <w:rsid w:val="00A46611"/>
    <w:rsid w:val="00A4665F"/>
    <w:rsid w:val="00A4671D"/>
    <w:rsid w:val="00A468A5"/>
    <w:rsid w:val="00A46965"/>
    <w:rsid w:val="00A469C7"/>
    <w:rsid w:val="00A46ABE"/>
    <w:rsid w:val="00A46ADB"/>
    <w:rsid w:val="00A46B6F"/>
    <w:rsid w:val="00A46B81"/>
    <w:rsid w:val="00A46BB5"/>
    <w:rsid w:val="00A46BF9"/>
    <w:rsid w:val="00A46C41"/>
    <w:rsid w:val="00A46D34"/>
    <w:rsid w:val="00A46D46"/>
    <w:rsid w:val="00A46DA0"/>
    <w:rsid w:val="00A46E49"/>
    <w:rsid w:val="00A46EAD"/>
    <w:rsid w:val="00A46EE8"/>
    <w:rsid w:val="00A46F9C"/>
    <w:rsid w:val="00A4707A"/>
    <w:rsid w:val="00A471E1"/>
    <w:rsid w:val="00A4725A"/>
    <w:rsid w:val="00A472D4"/>
    <w:rsid w:val="00A472DA"/>
    <w:rsid w:val="00A473F4"/>
    <w:rsid w:val="00A4740B"/>
    <w:rsid w:val="00A47533"/>
    <w:rsid w:val="00A47629"/>
    <w:rsid w:val="00A47677"/>
    <w:rsid w:val="00A47683"/>
    <w:rsid w:val="00A4771E"/>
    <w:rsid w:val="00A47727"/>
    <w:rsid w:val="00A4772F"/>
    <w:rsid w:val="00A47755"/>
    <w:rsid w:val="00A47811"/>
    <w:rsid w:val="00A47814"/>
    <w:rsid w:val="00A47866"/>
    <w:rsid w:val="00A47AD8"/>
    <w:rsid w:val="00A47AEC"/>
    <w:rsid w:val="00A47B29"/>
    <w:rsid w:val="00A47B53"/>
    <w:rsid w:val="00A47B7E"/>
    <w:rsid w:val="00A47B94"/>
    <w:rsid w:val="00A47C11"/>
    <w:rsid w:val="00A47C9B"/>
    <w:rsid w:val="00A47D0E"/>
    <w:rsid w:val="00A47D32"/>
    <w:rsid w:val="00A47D8E"/>
    <w:rsid w:val="00A47E6F"/>
    <w:rsid w:val="00A47EE9"/>
    <w:rsid w:val="00A47EFF"/>
    <w:rsid w:val="00A47F3F"/>
    <w:rsid w:val="00A47FD6"/>
    <w:rsid w:val="00A5005F"/>
    <w:rsid w:val="00A5007B"/>
    <w:rsid w:val="00A50085"/>
    <w:rsid w:val="00A50172"/>
    <w:rsid w:val="00A501C9"/>
    <w:rsid w:val="00A50240"/>
    <w:rsid w:val="00A50247"/>
    <w:rsid w:val="00A5026F"/>
    <w:rsid w:val="00A50282"/>
    <w:rsid w:val="00A502F6"/>
    <w:rsid w:val="00A503E0"/>
    <w:rsid w:val="00A5042C"/>
    <w:rsid w:val="00A50474"/>
    <w:rsid w:val="00A50475"/>
    <w:rsid w:val="00A504EB"/>
    <w:rsid w:val="00A50532"/>
    <w:rsid w:val="00A5055E"/>
    <w:rsid w:val="00A5056E"/>
    <w:rsid w:val="00A50716"/>
    <w:rsid w:val="00A50733"/>
    <w:rsid w:val="00A507B7"/>
    <w:rsid w:val="00A508DC"/>
    <w:rsid w:val="00A509BF"/>
    <w:rsid w:val="00A509EE"/>
    <w:rsid w:val="00A50AA4"/>
    <w:rsid w:val="00A50B0B"/>
    <w:rsid w:val="00A50B4B"/>
    <w:rsid w:val="00A50B83"/>
    <w:rsid w:val="00A50BFD"/>
    <w:rsid w:val="00A50DCE"/>
    <w:rsid w:val="00A50DD4"/>
    <w:rsid w:val="00A50E13"/>
    <w:rsid w:val="00A50E56"/>
    <w:rsid w:val="00A50EB8"/>
    <w:rsid w:val="00A50EEB"/>
    <w:rsid w:val="00A51014"/>
    <w:rsid w:val="00A5103A"/>
    <w:rsid w:val="00A5107F"/>
    <w:rsid w:val="00A510D4"/>
    <w:rsid w:val="00A5112B"/>
    <w:rsid w:val="00A511A1"/>
    <w:rsid w:val="00A511B2"/>
    <w:rsid w:val="00A51280"/>
    <w:rsid w:val="00A512CD"/>
    <w:rsid w:val="00A51315"/>
    <w:rsid w:val="00A51340"/>
    <w:rsid w:val="00A5136D"/>
    <w:rsid w:val="00A513CA"/>
    <w:rsid w:val="00A513E7"/>
    <w:rsid w:val="00A51486"/>
    <w:rsid w:val="00A514CE"/>
    <w:rsid w:val="00A517B4"/>
    <w:rsid w:val="00A51871"/>
    <w:rsid w:val="00A518B4"/>
    <w:rsid w:val="00A518F4"/>
    <w:rsid w:val="00A51946"/>
    <w:rsid w:val="00A51A4F"/>
    <w:rsid w:val="00A51B47"/>
    <w:rsid w:val="00A51B78"/>
    <w:rsid w:val="00A51B8C"/>
    <w:rsid w:val="00A51BD6"/>
    <w:rsid w:val="00A51BF4"/>
    <w:rsid w:val="00A51C64"/>
    <w:rsid w:val="00A51C86"/>
    <w:rsid w:val="00A51DDE"/>
    <w:rsid w:val="00A51DE0"/>
    <w:rsid w:val="00A51E0A"/>
    <w:rsid w:val="00A51ECF"/>
    <w:rsid w:val="00A51EED"/>
    <w:rsid w:val="00A51F32"/>
    <w:rsid w:val="00A51F53"/>
    <w:rsid w:val="00A52084"/>
    <w:rsid w:val="00A521BD"/>
    <w:rsid w:val="00A52200"/>
    <w:rsid w:val="00A52286"/>
    <w:rsid w:val="00A522BF"/>
    <w:rsid w:val="00A522EA"/>
    <w:rsid w:val="00A522F6"/>
    <w:rsid w:val="00A52306"/>
    <w:rsid w:val="00A52343"/>
    <w:rsid w:val="00A523B6"/>
    <w:rsid w:val="00A52438"/>
    <w:rsid w:val="00A52456"/>
    <w:rsid w:val="00A52461"/>
    <w:rsid w:val="00A52628"/>
    <w:rsid w:val="00A52673"/>
    <w:rsid w:val="00A526FD"/>
    <w:rsid w:val="00A5270C"/>
    <w:rsid w:val="00A52723"/>
    <w:rsid w:val="00A52802"/>
    <w:rsid w:val="00A5285D"/>
    <w:rsid w:val="00A52875"/>
    <w:rsid w:val="00A52993"/>
    <w:rsid w:val="00A529A2"/>
    <w:rsid w:val="00A529EA"/>
    <w:rsid w:val="00A52A6B"/>
    <w:rsid w:val="00A52A83"/>
    <w:rsid w:val="00A52AE8"/>
    <w:rsid w:val="00A52C06"/>
    <w:rsid w:val="00A52CD0"/>
    <w:rsid w:val="00A52CD1"/>
    <w:rsid w:val="00A52EE1"/>
    <w:rsid w:val="00A52F1B"/>
    <w:rsid w:val="00A52F52"/>
    <w:rsid w:val="00A52F7D"/>
    <w:rsid w:val="00A52FE8"/>
    <w:rsid w:val="00A53092"/>
    <w:rsid w:val="00A5313B"/>
    <w:rsid w:val="00A5321A"/>
    <w:rsid w:val="00A5328D"/>
    <w:rsid w:val="00A532E9"/>
    <w:rsid w:val="00A5341A"/>
    <w:rsid w:val="00A5341F"/>
    <w:rsid w:val="00A5343A"/>
    <w:rsid w:val="00A53476"/>
    <w:rsid w:val="00A534AC"/>
    <w:rsid w:val="00A535E7"/>
    <w:rsid w:val="00A535ED"/>
    <w:rsid w:val="00A53625"/>
    <w:rsid w:val="00A53649"/>
    <w:rsid w:val="00A536D2"/>
    <w:rsid w:val="00A5384C"/>
    <w:rsid w:val="00A53875"/>
    <w:rsid w:val="00A538A6"/>
    <w:rsid w:val="00A538E9"/>
    <w:rsid w:val="00A538F5"/>
    <w:rsid w:val="00A5392B"/>
    <w:rsid w:val="00A53964"/>
    <w:rsid w:val="00A53986"/>
    <w:rsid w:val="00A539A9"/>
    <w:rsid w:val="00A539CF"/>
    <w:rsid w:val="00A539D9"/>
    <w:rsid w:val="00A53A55"/>
    <w:rsid w:val="00A53B90"/>
    <w:rsid w:val="00A53D1E"/>
    <w:rsid w:val="00A53EA5"/>
    <w:rsid w:val="00A54068"/>
    <w:rsid w:val="00A54087"/>
    <w:rsid w:val="00A540DE"/>
    <w:rsid w:val="00A5429B"/>
    <w:rsid w:val="00A54398"/>
    <w:rsid w:val="00A543CE"/>
    <w:rsid w:val="00A543EA"/>
    <w:rsid w:val="00A543F2"/>
    <w:rsid w:val="00A543FC"/>
    <w:rsid w:val="00A54446"/>
    <w:rsid w:val="00A544EE"/>
    <w:rsid w:val="00A544FD"/>
    <w:rsid w:val="00A54570"/>
    <w:rsid w:val="00A5462E"/>
    <w:rsid w:val="00A54647"/>
    <w:rsid w:val="00A546B1"/>
    <w:rsid w:val="00A546C5"/>
    <w:rsid w:val="00A54732"/>
    <w:rsid w:val="00A54774"/>
    <w:rsid w:val="00A54881"/>
    <w:rsid w:val="00A549CF"/>
    <w:rsid w:val="00A54A71"/>
    <w:rsid w:val="00A54AEC"/>
    <w:rsid w:val="00A54B2B"/>
    <w:rsid w:val="00A54BFF"/>
    <w:rsid w:val="00A54C9B"/>
    <w:rsid w:val="00A54CB4"/>
    <w:rsid w:val="00A54CD4"/>
    <w:rsid w:val="00A54D5E"/>
    <w:rsid w:val="00A54DE7"/>
    <w:rsid w:val="00A54E90"/>
    <w:rsid w:val="00A54F46"/>
    <w:rsid w:val="00A54FF0"/>
    <w:rsid w:val="00A55082"/>
    <w:rsid w:val="00A5522B"/>
    <w:rsid w:val="00A552A4"/>
    <w:rsid w:val="00A55324"/>
    <w:rsid w:val="00A5536A"/>
    <w:rsid w:val="00A5537A"/>
    <w:rsid w:val="00A553D6"/>
    <w:rsid w:val="00A55419"/>
    <w:rsid w:val="00A554C1"/>
    <w:rsid w:val="00A555B6"/>
    <w:rsid w:val="00A55623"/>
    <w:rsid w:val="00A556DA"/>
    <w:rsid w:val="00A55721"/>
    <w:rsid w:val="00A55734"/>
    <w:rsid w:val="00A55754"/>
    <w:rsid w:val="00A557D5"/>
    <w:rsid w:val="00A5586C"/>
    <w:rsid w:val="00A5588A"/>
    <w:rsid w:val="00A55891"/>
    <w:rsid w:val="00A558A5"/>
    <w:rsid w:val="00A55985"/>
    <w:rsid w:val="00A55B04"/>
    <w:rsid w:val="00A55B21"/>
    <w:rsid w:val="00A55B98"/>
    <w:rsid w:val="00A55C95"/>
    <w:rsid w:val="00A55CE8"/>
    <w:rsid w:val="00A55D81"/>
    <w:rsid w:val="00A55D8E"/>
    <w:rsid w:val="00A55E95"/>
    <w:rsid w:val="00A55F80"/>
    <w:rsid w:val="00A55FC7"/>
    <w:rsid w:val="00A56147"/>
    <w:rsid w:val="00A56158"/>
    <w:rsid w:val="00A5615F"/>
    <w:rsid w:val="00A562EE"/>
    <w:rsid w:val="00A5630E"/>
    <w:rsid w:val="00A56331"/>
    <w:rsid w:val="00A563B8"/>
    <w:rsid w:val="00A563D4"/>
    <w:rsid w:val="00A56440"/>
    <w:rsid w:val="00A5650D"/>
    <w:rsid w:val="00A565A2"/>
    <w:rsid w:val="00A5660D"/>
    <w:rsid w:val="00A56639"/>
    <w:rsid w:val="00A566CA"/>
    <w:rsid w:val="00A567BF"/>
    <w:rsid w:val="00A567DC"/>
    <w:rsid w:val="00A56800"/>
    <w:rsid w:val="00A56817"/>
    <w:rsid w:val="00A568D3"/>
    <w:rsid w:val="00A569DE"/>
    <w:rsid w:val="00A56B74"/>
    <w:rsid w:val="00A56D10"/>
    <w:rsid w:val="00A56D9E"/>
    <w:rsid w:val="00A56E8E"/>
    <w:rsid w:val="00A56ED8"/>
    <w:rsid w:val="00A56F0C"/>
    <w:rsid w:val="00A570DB"/>
    <w:rsid w:val="00A5711D"/>
    <w:rsid w:val="00A5717B"/>
    <w:rsid w:val="00A57239"/>
    <w:rsid w:val="00A572DA"/>
    <w:rsid w:val="00A57383"/>
    <w:rsid w:val="00A573BD"/>
    <w:rsid w:val="00A57427"/>
    <w:rsid w:val="00A5747D"/>
    <w:rsid w:val="00A5758F"/>
    <w:rsid w:val="00A575E7"/>
    <w:rsid w:val="00A5761D"/>
    <w:rsid w:val="00A576C1"/>
    <w:rsid w:val="00A576E9"/>
    <w:rsid w:val="00A5773F"/>
    <w:rsid w:val="00A57865"/>
    <w:rsid w:val="00A57879"/>
    <w:rsid w:val="00A578F7"/>
    <w:rsid w:val="00A5799D"/>
    <w:rsid w:val="00A579CE"/>
    <w:rsid w:val="00A57B2D"/>
    <w:rsid w:val="00A57BAE"/>
    <w:rsid w:val="00A57DBB"/>
    <w:rsid w:val="00A57FAC"/>
    <w:rsid w:val="00A6004A"/>
    <w:rsid w:val="00A60117"/>
    <w:rsid w:val="00A60270"/>
    <w:rsid w:val="00A60312"/>
    <w:rsid w:val="00A60361"/>
    <w:rsid w:val="00A60386"/>
    <w:rsid w:val="00A6038F"/>
    <w:rsid w:val="00A60390"/>
    <w:rsid w:val="00A603C6"/>
    <w:rsid w:val="00A604D2"/>
    <w:rsid w:val="00A60537"/>
    <w:rsid w:val="00A60554"/>
    <w:rsid w:val="00A60625"/>
    <w:rsid w:val="00A6063F"/>
    <w:rsid w:val="00A6065F"/>
    <w:rsid w:val="00A6067B"/>
    <w:rsid w:val="00A606A0"/>
    <w:rsid w:val="00A606B5"/>
    <w:rsid w:val="00A60723"/>
    <w:rsid w:val="00A60735"/>
    <w:rsid w:val="00A607D5"/>
    <w:rsid w:val="00A60947"/>
    <w:rsid w:val="00A60A2A"/>
    <w:rsid w:val="00A60A33"/>
    <w:rsid w:val="00A60B8E"/>
    <w:rsid w:val="00A60BD0"/>
    <w:rsid w:val="00A60D0A"/>
    <w:rsid w:val="00A60D27"/>
    <w:rsid w:val="00A60D55"/>
    <w:rsid w:val="00A60D93"/>
    <w:rsid w:val="00A60F1D"/>
    <w:rsid w:val="00A60F4D"/>
    <w:rsid w:val="00A60F81"/>
    <w:rsid w:val="00A60FB6"/>
    <w:rsid w:val="00A6112F"/>
    <w:rsid w:val="00A6118D"/>
    <w:rsid w:val="00A6146B"/>
    <w:rsid w:val="00A6146D"/>
    <w:rsid w:val="00A615AF"/>
    <w:rsid w:val="00A6171F"/>
    <w:rsid w:val="00A61727"/>
    <w:rsid w:val="00A6172C"/>
    <w:rsid w:val="00A6175A"/>
    <w:rsid w:val="00A6175B"/>
    <w:rsid w:val="00A61795"/>
    <w:rsid w:val="00A617CA"/>
    <w:rsid w:val="00A617ED"/>
    <w:rsid w:val="00A61877"/>
    <w:rsid w:val="00A619BE"/>
    <w:rsid w:val="00A61B89"/>
    <w:rsid w:val="00A61C85"/>
    <w:rsid w:val="00A61CC3"/>
    <w:rsid w:val="00A61D0B"/>
    <w:rsid w:val="00A61D5B"/>
    <w:rsid w:val="00A61D5F"/>
    <w:rsid w:val="00A61D68"/>
    <w:rsid w:val="00A61D76"/>
    <w:rsid w:val="00A61DA5"/>
    <w:rsid w:val="00A61DE9"/>
    <w:rsid w:val="00A61E55"/>
    <w:rsid w:val="00A61E7A"/>
    <w:rsid w:val="00A61F66"/>
    <w:rsid w:val="00A61F72"/>
    <w:rsid w:val="00A620B9"/>
    <w:rsid w:val="00A6214C"/>
    <w:rsid w:val="00A621B8"/>
    <w:rsid w:val="00A621FA"/>
    <w:rsid w:val="00A62264"/>
    <w:rsid w:val="00A6238A"/>
    <w:rsid w:val="00A62472"/>
    <w:rsid w:val="00A6247F"/>
    <w:rsid w:val="00A624C5"/>
    <w:rsid w:val="00A6258C"/>
    <w:rsid w:val="00A62675"/>
    <w:rsid w:val="00A626C8"/>
    <w:rsid w:val="00A6270B"/>
    <w:rsid w:val="00A62771"/>
    <w:rsid w:val="00A627C9"/>
    <w:rsid w:val="00A6280D"/>
    <w:rsid w:val="00A6283C"/>
    <w:rsid w:val="00A62846"/>
    <w:rsid w:val="00A628D7"/>
    <w:rsid w:val="00A62A1B"/>
    <w:rsid w:val="00A62A77"/>
    <w:rsid w:val="00A62B06"/>
    <w:rsid w:val="00A62B11"/>
    <w:rsid w:val="00A62B2F"/>
    <w:rsid w:val="00A62BE6"/>
    <w:rsid w:val="00A62C81"/>
    <w:rsid w:val="00A62CBF"/>
    <w:rsid w:val="00A62D21"/>
    <w:rsid w:val="00A62D27"/>
    <w:rsid w:val="00A62D6C"/>
    <w:rsid w:val="00A62E16"/>
    <w:rsid w:val="00A62E37"/>
    <w:rsid w:val="00A62E41"/>
    <w:rsid w:val="00A62E5B"/>
    <w:rsid w:val="00A62F71"/>
    <w:rsid w:val="00A6319E"/>
    <w:rsid w:val="00A631D0"/>
    <w:rsid w:val="00A63252"/>
    <w:rsid w:val="00A63267"/>
    <w:rsid w:val="00A632CD"/>
    <w:rsid w:val="00A632F3"/>
    <w:rsid w:val="00A63355"/>
    <w:rsid w:val="00A633F7"/>
    <w:rsid w:val="00A63406"/>
    <w:rsid w:val="00A6353A"/>
    <w:rsid w:val="00A63585"/>
    <w:rsid w:val="00A635C3"/>
    <w:rsid w:val="00A636C3"/>
    <w:rsid w:val="00A636E4"/>
    <w:rsid w:val="00A63777"/>
    <w:rsid w:val="00A6378D"/>
    <w:rsid w:val="00A637E4"/>
    <w:rsid w:val="00A63809"/>
    <w:rsid w:val="00A6380B"/>
    <w:rsid w:val="00A638B7"/>
    <w:rsid w:val="00A63914"/>
    <w:rsid w:val="00A63927"/>
    <w:rsid w:val="00A639AE"/>
    <w:rsid w:val="00A639F2"/>
    <w:rsid w:val="00A63A0C"/>
    <w:rsid w:val="00A63A43"/>
    <w:rsid w:val="00A63A6D"/>
    <w:rsid w:val="00A63A86"/>
    <w:rsid w:val="00A63B89"/>
    <w:rsid w:val="00A63BB3"/>
    <w:rsid w:val="00A63C41"/>
    <w:rsid w:val="00A63D3D"/>
    <w:rsid w:val="00A63D6A"/>
    <w:rsid w:val="00A63DC6"/>
    <w:rsid w:val="00A63EA1"/>
    <w:rsid w:val="00A63F10"/>
    <w:rsid w:val="00A63F17"/>
    <w:rsid w:val="00A63F5B"/>
    <w:rsid w:val="00A63FAA"/>
    <w:rsid w:val="00A63FB6"/>
    <w:rsid w:val="00A63FC4"/>
    <w:rsid w:val="00A64354"/>
    <w:rsid w:val="00A643A4"/>
    <w:rsid w:val="00A643AB"/>
    <w:rsid w:val="00A643D0"/>
    <w:rsid w:val="00A643E1"/>
    <w:rsid w:val="00A64419"/>
    <w:rsid w:val="00A6448B"/>
    <w:rsid w:val="00A644E3"/>
    <w:rsid w:val="00A645CC"/>
    <w:rsid w:val="00A64627"/>
    <w:rsid w:val="00A64682"/>
    <w:rsid w:val="00A646E5"/>
    <w:rsid w:val="00A6470F"/>
    <w:rsid w:val="00A6474D"/>
    <w:rsid w:val="00A6476C"/>
    <w:rsid w:val="00A6481C"/>
    <w:rsid w:val="00A64857"/>
    <w:rsid w:val="00A648F9"/>
    <w:rsid w:val="00A6495F"/>
    <w:rsid w:val="00A64973"/>
    <w:rsid w:val="00A64A2D"/>
    <w:rsid w:val="00A64BF8"/>
    <w:rsid w:val="00A64C5B"/>
    <w:rsid w:val="00A64D2C"/>
    <w:rsid w:val="00A64D98"/>
    <w:rsid w:val="00A64E55"/>
    <w:rsid w:val="00A64E72"/>
    <w:rsid w:val="00A64ECA"/>
    <w:rsid w:val="00A64F93"/>
    <w:rsid w:val="00A65004"/>
    <w:rsid w:val="00A6501E"/>
    <w:rsid w:val="00A65034"/>
    <w:rsid w:val="00A650AF"/>
    <w:rsid w:val="00A651AC"/>
    <w:rsid w:val="00A652D1"/>
    <w:rsid w:val="00A6532B"/>
    <w:rsid w:val="00A65355"/>
    <w:rsid w:val="00A65400"/>
    <w:rsid w:val="00A65446"/>
    <w:rsid w:val="00A6545B"/>
    <w:rsid w:val="00A65471"/>
    <w:rsid w:val="00A654B4"/>
    <w:rsid w:val="00A65578"/>
    <w:rsid w:val="00A65584"/>
    <w:rsid w:val="00A6562A"/>
    <w:rsid w:val="00A6567E"/>
    <w:rsid w:val="00A656C9"/>
    <w:rsid w:val="00A65767"/>
    <w:rsid w:val="00A65797"/>
    <w:rsid w:val="00A6579C"/>
    <w:rsid w:val="00A65852"/>
    <w:rsid w:val="00A6594E"/>
    <w:rsid w:val="00A65973"/>
    <w:rsid w:val="00A659AB"/>
    <w:rsid w:val="00A65B21"/>
    <w:rsid w:val="00A65B2C"/>
    <w:rsid w:val="00A65B2F"/>
    <w:rsid w:val="00A65B4C"/>
    <w:rsid w:val="00A65B4E"/>
    <w:rsid w:val="00A65B5F"/>
    <w:rsid w:val="00A65B95"/>
    <w:rsid w:val="00A65B9D"/>
    <w:rsid w:val="00A65BC2"/>
    <w:rsid w:val="00A65BFB"/>
    <w:rsid w:val="00A65C42"/>
    <w:rsid w:val="00A65CB2"/>
    <w:rsid w:val="00A65D6D"/>
    <w:rsid w:val="00A65DB0"/>
    <w:rsid w:val="00A65E80"/>
    <w:rsid w:val="00A65EB9"/>
    <w:rsid w:val="00A65FFA"/>
    <w:rsid w:val="00A66032"/>
    <w:rsid w:val="00A660C7"/>
    <w:rsid w:val="00A660E2"/>
    <w:rsid w:val="00A66160"/>
    <w:rsid w:val="00A661C5"/>
    <w:rsid w:val="00A661CD"/>
    <w:rsid w:val="00A6620E"/>
    <w:rsid w:val="00A66308"/>
    <w:rsid w:val="00A66325"/>
    <w:rsid w:val="00A66347"/>
    <w:rsid w:val="00A66469"/>
    <w:rsid w:val="00A6647E"/>
    <w:rsid w:val="00A66484"/>
    <w:rsid w:val="00A664ED"/>
    <w:rsid w:val="00A66545"/>
    <w:rsid w:val="00A66713"/>
    <w:rsid w:val="00A6679D"/>
    <w:rsid w:val="00A667AC"/>
    <w:rsid w:val="00A667C4"/>
    <w:rsid w:val="00A667C5"/>
    <w:rsid w:val="00A66809"/>
    <w:rsid w:val="00A6680B"/>
    <w:rsid w:val="00A668B6"/>
    <w:rsid w:val="00A669AD"/>
    <w:rsid w:val="00A669B0"/>
    <w:rsid w:val="00A669F0"/>
    <w:rsid w:val="00A66A0C"/>
    <w:rsid w:val="00A66A3D"/>
    <w:rsid w:val="00A66A98"/>
    <w:rsid w:val="00A66AE5"/>
    <w:rsid w:val="00A66C29"/>
    <w:rsid w:val="00A66C3E"/>
    <w:rsid w:val="00A66CA1"/>
    <w:rsid w:val="00A66D43"/>
    <w:rsid w:val="00A66DB1"/>
    <w:rsid w:val="00A66DB6"/>
    <w:rsid w:val="00A66DDE"/>
    <w:rsid w:val="00A66DFB"/>
    <w:rsid w:val="00A66E3A"/>
    <w:rsid w:val="00A66EB4"/>
    <w:rsid w:val="00A66F16"/>
    <w:rsid w:val="00A66F8D"/>
    <w:rsid w:val="00A66FB6"/>
    <w:rsid w:val="00A66FC2"/>
    <w:rsid w:val="00A66FC9"/>
    <w:rsid w:val="00A6707C"/>
    <w:rsid w:val="00A670EA"/>
    <w:rsid w:val="00A67101"/>
    <w:rsid w:val="00A671B7"/>
    <w:rsid w:val="00A6744E"/>
    <w:rsid w:val="00A67468"/>
    <w:rsid w:val="00A67559"/>
    <w:rsid w:val="00A6757C"/>
    <w:rsid w:val="00A6758D"/>
    <w:rsid w:val="00A6764B"/>
    <w:rsid w:val="00A676BD"/>
    <w:rsid w:val="00A67739"/>
    <w:rsid w:val="00A677D6"/>
    <w:rsid w:val="00A677D8"/>
    <w:rsid w:val="00A67828"/>
    <w:rsid w:val="00A67847"/>
    <w:rsid w:val="00A67927"/>
    <w:rsid w:val="00A67BE2"/>
    <w:rsid w:val="00A67BF3"/>
    <w:rsid w:val="00A67CF2"/>
    <w:rsid w:val="00A67D13"/>
    <w:rsid w:val="00A67DA7"/>
    <w:rsid w:val="00A67E50"/>
    <w:rsid w:val="00A67E81"/>
    <w:rsid w:val="00A67EB5"/>
    <w:rsid w:val="00A67F39"/>
    <w:rsid w:val="00A7003A"/>
    <w:rsid w:val="00A7006F"/>
    <w:rsid w:val="00A700D3"/>
    <w:rsid w:val="00A70108"/>
    <w:rsid w:val="00A7010B"/>
    <w:rsid w:val="00A70120"/>
    <w:rsid w:val="00A70135"/>
    <w:rsid w:val="00A7025D"/>
    <w:rsid w:val="00A7026C"/>
    <w:rsid w:val="00A7028E"/>
    <w:rsid w:val="00A70352"/>
    <w:rsid w:val="00A7038E"/>
    <w:rsid w:val="00A70429"/>
    <w:rsid w:val="00A70465"/>
    <w:rsid w:val="00A704FB"/>
    <w:rsid w:val="00A7088B"/>
    <w:rsid w:val="00A708F4"/>
    <w:rsid w:val="00A7092B"/>
    <w:rsid w:val="00A70943"/>
    <w:rsid w:val="00A7094B"/>
    <w:rsid w:val="00A709CC"/>
    <w:rsid w:val="00A70A61"/>
    <w:rsid w:val="00A70A68"/>
    <w:rsid w:val="00A70ADE"/>
    <w:rsid w:val="00A70AEC"/>
    <w:rsid w:val="00A70B1F"/>
    <w:rsid w:val="00A70B58"/>
    <w:rsid w:val="00A70B6C"/>
    <w:rsid w:val="00A70C2E"/>
    <w:rsid w:val="00A70C7F"/>
    <w:rsid w:val="00A70CA6"/>
    <w:rsid w:val="00A70D74"/>
    <w:rsid w:val="00A70DA8"/>
    <w:rsid w:val="00A70DB6"/>
    <w:rsid w:val="00A70F35"/>
    <w:rsid w:val="00A70FB8"/>
    <w:rsid w:val="00A71030"/>
    <w:rsid w:val="00A71067"/>
    <w:rsid w:val="00A71120"/>
    <w:rsid w:val="00A711C3"/>
    <w:rsid w:val="00A71256"/>
    <w:rsid w:val="00A7130F"/>
    <w:rsid w:val="00A71413"/>
    <w:rsid w:val="00A715C7"/>
    <w:rsid w:val="00A715D6"/>
    <w:rsid w:val="00A7174F"/>
    <w:rsid w:val="00A7176D"/>
    <w:rsid w:val="00A71843"/>
    <w:rsid w:val="00A71969"/>
    <w:rsid w:val="00A71B18"/>
    <w:rsid w:val="00A71B2C"/>
    <w:rsid w:val="00A71D51"/>
    <w:rsid w:val="00A71D66"/>
    <w:rsid w:val="00A71DB7"/>
    <w:rsid w:val="00A71DD4"/>
    <w:rsid w:val="00A71E1F"/>
    <w:rsid w:val="00A71E71"/>
    <w:rsid w:val="00A71ED1"/>
    <w:rsid w:val="00A71ED4"/>
    <w:rsid w:val="00A71EFE"/>
    <w:rsid w:val="00A71FC1"/>
    <w:rsid w:val="00A72015"/>
    <w:rsid w:val="00A7201E"/>
    <w:rsid w:val="00A7205E"/>
    <w:rsid w:val="00A7219E"/>
    <w:rsid w:val="00A72267"/>
    <w:rsid w:val="00A72295"/>
    <w:rsid w:val="00A722CC"/>
    <w:rsid w:val="00A72370"/>
    <w:rsid w:val="00A72385"/>
    <w:rsid w:val="00A7238A"/>
    <w:rsid w:val="00A7255F"/>
    <w:rsid w:val="00A725A4"/>
    <w:rsid w:val="00A725F0"/>
    <w:rsid w:val="00A72660"/>
    <w:rsid w:val="00A7269A"/>
    <w:rsid w:val="00A726AD"/>
    <w:rsid w:val="00A72754"/>
    <w:rsid w:val="00A727AF"/>
    <w:rsid w:val="00A72914"/>
    <w:rsid w:val="00A7292C"/>
    <w:rsid w:val="00A7297C"/>
    <w:rsid w:val="00A72983"/>
    <w:rsid w:val="00A7299B"/>
    <w:rsid w:val="00A72A60"/>
    <w:rsid w:val="00A72B68"/>
    <w:rsid w:val="00A72B70"/>
    <w:rsid w:val="00A72B8C"/>
    <w:rsid w:val="00A72C34"/>
    <w:rsid w:val="00A72C61"/>
    <w:rsid w:val="00A72CAE"/>
    <w:rsid w:val="00A72CC4"/>
    <w:rsid w:val="00A72D41"/>
    <w:rsid w:val="00A72E3A"/>
    <w:rsid w:val="00A730F1"/>
    <w:rsid w:val="00A7310B"/>
    <w:rsid w:val="00A7312C"/>
    <w:rsid w:val="00A73140"/>
    <w:rsid w:val="00A7319F"/>
    <w:rsid w:val="00A731FA"/>
    <w:rsid w:val="00A73259"/>
    <w:rsid w:val="00A73282"/>
    <w:rsid w:val="00A732D3"/>
    <w:rsid w:val="00A73317"/>
    <w:rsid w:val="00A735AE"/>
    <w:rsid w:val="00A735B5"/>
    <w:rsid w:val="00A73645"/>
    <w:rsid w:val="00A73647"/>
    <w:rsid w:val="00A736B2"/>
    <w:rsid w:val="00A73719"/>
    <w:rsid w:val="00A7372F"/>
    <w:rsid w:val="00A7374B"/>
    <w:rsid w:val="00A7378D"/>
    <w:rsid w:val="00A73803"/>
    <w:rsid w:val="00A7394D"/>
    <w:rsid w:val="00A7396B"/>
    <w:rsid w:val="00A73A87"/>
    <w:rsid w:val="00A73AD7"/>
    <w:rsid w:val="00A73AF3"/>
    <w:rsid w:val="00A73B31"/>
    <w:rsid w:val="00A73B90"/>
    <w:rsid w:val="00A73BCE"/>
    <w:rsid w:val="00A73CE6"/>
    <w:rsid w:val="00A73DE3"/>
    <w:rsid w:val="00A73E1D"/>
    <w:rsid w:val="00A73E69"/>
    <w:rsid w:val="00A73F9E"/>
    <w:rsid w:val="00A7404D"/>
    <w:rsid w:val="00A740CE"/>
    <w:rsid w:val="00A740F4"/>
    <w:rsid w:val="00A7423B"/>
    <w:rsid w:val="00A742D4"/>
    <w:rsid w:val="00A74350"/>
    <w:rsid w:val="00A7435E"/>
    <w:rsid w:val="00A7436C"/>
    <w:rsid w:val="00A7449A"/>
    <w:rsid w:val="00A744C3"/>
    <w:rsid w:val="00A74536"/>
    <w:rsid w:val="00A7455D"/>
    <w:rsid w:val="00A7458F"/>
    <w:rsid w:val="00A745F7"/>
    <w:rsid w:val="00A746D9"/>
    <w:rsid w:val="00A747CB"/>
    <w:rsid w:val="00A747E8"/>
    <w:rsid w:val="00A7486E"/>
    <w:rsid w:val="00A7490B"/>
    <w:rsid w:val="00A74AAF"/>
    <w:rsid w:val="00A74AD9"/>
    <w:rsid w:val="00A74AED"/>
    <w:rsid w:val="00A74B19"/>
    <w:rsid w:val="00A74B7B"/>
    <w:rsid w:val="00A74BC0"/>
    <w:rsid w:val="00A74D02"/>
    <w:rsid w:val="00A74D03"/>
    <w:rsid w:val="00A74D79"/>
    <w:rsid w:val="00A74E19"/>
    <w:rsid w:val="00A74E38"/>
    <w:rsid w:val="00A74EF9"/>
    <w:rsid w:val="00A74FD6"/>
    <w:rsid w:val="00A750DE"/>
    <w:rsid w:val="00A75111"/>
    <w:rsid w:val="00A7513A"/>
    <w:rsid w:val="00A751BB"/>
    <w:rsid w:val="00A75226"/>
    <w:rsid w:val="00A75259"/>
    <w:rsid w:val="00A752ED"/>
    <w:rsid w:val="00A7531F"/>
    <w:rsid w:val="00A7536A"/>
    <w:rsid w:val="00A75376"/>
    <w:rsid w:val="00A75399"/>
    <w:rsid w:val="00A753E8"/>
    <w:rsid w:val="00A75420"/>
    <w:rsid w:val="00A75469"/>
    <w:rsid w:val="00A7559D"/>
    <w:rsid w:val="00A755A7"/>
    <w:rsid w:val="00A75642"/>
    <w:rsid w:val="00A756E0"/>
    <w:rsid w:val="00A757C6"/>
    <w:rsid w:val="00A758AA"/>
    <w:rsid w:val="00A758B3"/>
    <w:rsid w:val="00A758BD"/>
    <w:rsid w:val="00A7591D"/>
    <w:rsid w:val="00A75A70"/>
    <w:rsid w:val="00A75C20"/>
    <w:rsid w:val="00A75DE0"/>
    <w:rsid w:val="00A75E10"/>
    <w:rsid w:val="00A75E1C"/>
    <w:rsid w:val="00A75E4D"/>
    <w:rsid w:val="00A75F48"/>
    <w:rsid w:val="00A75FD3"/>
    <w:rsid w:val="00A75FEA"/>
    <w:rsid w:val="00A760CD"/>
    <w:rsid w:val="00A7612B"/>
    <w:rsid w:val="00A7616F"/>
    <w:rsid w:val="00A761EB"/>
    <w:rsid w:val="00A762D5"/>
    <w:rsid w:val="00A762F7"/>
    <w:rsid w:val="00A76345"/>
    <w:rsid w:val="00A7634E"/>
    <w:rsid w:val="00A76456"/>
    <w:rsid w:val="00A76639"/>
    <w:rsid w:val="00A76709"/>
    <w:rsid w:val="00A7670F"/>
    <w:rsid w:val="00A76778"/>
    <w:rsid w:val="00A768B2"/>
    <w:rsid w:val="00A768DA"/>
    <w:rsid w:val="00A76914"/>
    <w:rsid w:val="00A7696E"/>
    <w:rsid w:val="00A769BF"/>
    <w:rsid w:val="00A76B09"/>
    <w:rsid w:val="00A76BEF"/>
    <w:rsid w:val="00A76CD5"/>
    <w:rsid w:val="00A76CE9"/>
    <w:rsid w:val="00A76CF1"/>
    <w:rsid w:val="00A76DAC"/>
    <w:rsid w:val="00A76DFC"/>
    <w:rsid w:val="00A76EE1"/>
    <w:rsid w:val="00A76FAC"/>
    <w:rsid w:val="00A76FBE"/>
    <w:rsid w:val="00A76FD4"/>
    <w:rsid w:val="00A76FD8"/>
    <w:rsid w:val="00A77065"/>
    <w:rsid w:val="00A77137"/>
    <w:rsid w:val="00A77195"/>
    <w:rsid w:val="00A7720B"/>
    <w:rsid w:val="00A77278"/>
    <w:rsid w:val="00A772E7"/>
    <w:rsid w:val="00A7737F"/>
    <w:rsid w:val="00A773E0"/>
    <w:rsid w:val="00A77480"/>
    <w:rsid w:val="00A7751E"/>
    <w:rsid w:val="00A77679"/>
    <w:rsid w:val="00A77795"/>
    <w:rsid w:val="00A778D9"/>
    <w:rsid w:val="00A778E6"/>
    <w:rsid w:val="00A7797E"/>
    <w:rsid w:val="00A77A45"/>
    <w:rsid w:val="00A77B44"/>
    <w:rsid w:val="00A77BAC"/>
    <w:rsid w:val="00A77C3B"/>
    <w:rsid w:val="00A77C95"/>
    <w:rsid w:val="00A77D32"/>
    <w:rsid w:val="00A77D69"/>
    <w:rsid w:val="00A77D9D"/>
    <w:rsid w:val="00A77D9F"/>
    <w:rsid w:val="00A77E07"/>
    <w:rsid w:val="00A77E20"/>
    <w:rsid w:val="00A77E92"/>
    <w:rsid w:val="00A77ED6"/>
    <w:rsid w:val="00A77F47"/>
    <w:rsid w:val="00A77FA4"/>
    <w:rsid w:val="00A77FF8"/>
    <w:rsid w:val="00A80008"/>
    <w:rsid w:val="00A8008D"/>
    <w:rsid w:val="00A80097"/>
    <w:rsid w:val="00A800B0"/>
    <w:rsid w:val="00A8010A"/>
    <w:rsid w:val="00A8011D"/>
    <w:rsid w:val="00A80196"/>
    <w:rsid w:val="00A8020F"/>
    <w:rsid w:val="00A80281"/>
    <w:rsid w:val="00A802F5"/>
    <w:rsid w:val="00A803AD"/>
    <w:rsid w:val="00A803FA"/>
    <w:rsid w:val="00A8040C"/>
    <w:rsid w:val="00A8043E"/>
    <w:rsid w:val="00A80581"/>
    <w:rsid w:val="00A80588"/>
    <w:rsid w:val="00A805D0"/>
    <w:rsid w:val="00A806B7"/>
    <w:rsid w:val="00A807A1"/>
    <w:rsid w:val="00A807C7"/>
    <w:rsid w:val="00A80923"/>
    <w:rsid w:val="00A8094D"/>
    <w:rsid w:val="00A80977"/>
    <w:rsid w:val="00A809D6"/>
    <w:rsid w:val="00A80A00"/>
    <w:rsid w:val="00A80AE5"/>
    <w:rsid w:val="00A80B21"/>
    <w:rsid w:val="00A80B79"/>
    <w:rsid w:val="00A80C79"/>
    <w:rsid w:val="00A80CB0"/>
    <w:rsid w:val="00A80F72"/>
    <w:rsid w:val="00A80FA7"/>
    <w:rsid w:val="00A8103B"/>
    <w:rsid w:val="00A8105D"/>
    <w:rsid w:val="00A8111F"/>
    <w:rsid w:val="00A81121"/>
    <w:rsid w:val="00A811FE"/>
    <w:rsid w:val="00A81220"/>
    <w:rsid w:val="00A81233"/>
    <w:rsid w:val="00A81234"/>
    <w:rsid w:val="00A812AC"/>
    <w:rsid w:val="00A81313"/>
    <w:rsid w:val="00A813F6"/>
    <w:rsid w:val="00A814A1"/>
    <w:rsid w:val="00A81527"/>
    <w:rsid w:val="00A815D6"/>
    <w:rsid w:val="00A81606"/>
    <w:rsid w:val="00A816C0"/>
    <w:rsid w:val="00A81778"/>
    <w:rsid w:val="00A817BF"/>
    <w:rsid w:val="00A8186D"/>
    <w:rsid w:val="00A818A7"/>
    <w:rsid w:val="00A81A4A"/>
    <w:rsid w:val="00A81A97"/>
    <w:rsid w:val="00A81B0A"/>
    <w:rsid w:val="00A81B97"/>
    <w:rsid w:val="00A81BAF"/>
    <w:rsid w:val="00A81BC6"/>
    <w:rsid w:val="00A81BE1"/>
    <w:rsid w:val="00A81C8F"/>
    <w:rsid w:val="00A81CE2"/>
    <w:rsid w:val="00A81D29"/>
    <w:rsid w:val="00A81D48"/>
    <w:rsid w:val="00A81D86"/>
    <w:rsid w:val="00A81D9C"/>
    <w:rsid w:val="00A81DEB"/>
    <w:rsid w:val="00A81E8C"/>
    <w:rsid w:val="00A81EE6"/>
    <w:rsid w:val="00A81F17"/>
    <w:rsid w:val="00A81F4B"/>
    <w:rsid w:val="00A82003"/>
    <w:rsid w:val="00A8201E"/>
    <w:rsid w:val="00A820D3"/>
    <w:rsid w:val="00A821A1"/>
    <w:rsid w:val="00A821D9"/>
    <w:rsid w:val="00A822B4"/>
    <w:rsid w:val="00A824CC"/>
    <w:rsid w:val="00A824FA"/>
    <w:rsid w:val="00A82588"/>
    <w:rsid w:val="00A8259B"/>
    <w:rsid w:val="00A826A8"/>
    <w:rsid w:val="00A826EE"/>
    <w:rsid w:val="00A82715"/>
    <w:rsid w:val="00A828F1"/>
    <w:rsid w:val="00A829BB"/>
    <w:rsid w:val="00A82A30"/>
    <w:rsid w:val="00A82B24"/>
    <w:rsid w:val="00A82BA3"/>
    <w:rsid w:val="00A82C7D"/>
    <w:rsid w:val="00A82CB3"/>
    <w:rsid w:val="00A82D88"/>
    <w:rsid w:val="00A82E21"/>
    <w:rsid w:val="00A82E49"/>
    <w:rsid w:val="00A82F26"/>
    <w:rsid w:val="00A82FEE"/>
    <w:rsid w:val="00A8305D"/>
    <w:rsid w:val="00A8308E"/>
    <w:rsid w:val="00A832D1"/>
    <w:rsid w:val="00A83352"/>
    <w:rsid w:val="00A833BA"/>
    <w:rsid w:val="00A834FE"/>
    <w:rsid w:val="00A8359E"/>
    <w:rsid w:val="00A836B8"/>
    <w:rsid w:val="00A836BA"/>
    <w:rsid w:val="00A836F3"/>
    <w:rsid w:val="00A83719"/>
    <w:rsid w:val="00A837CF"/>
    <w:rsid w:val="00A838E7"/>
    <w:rsid w:val="00A83916"/>
    <w:rsid w:val="00A83BCC"/>
    <w:rsid w:val="00A83CF3"/>
    <w:rsid w:val="00A83DBC"/>
    <w:rsid w:val="00A83E0A"/>
    <w:rsid w:val="00A8400E"/>
    <w:rsid w:val="00A840CE"/>
    <w:rsid w:val="00A8416B"/>
    <w:rsid w:val="00A84220"/>
    <w:rsid w:val="00A84230"/>
    <w:rsid w:val="00A8427A"/>
    <w:rsid w:val="00A842FC"/>
    <w:rsid w:val="00A8435E"/>
    <w:rsid w:val="00A843BE"/>
    <w:rsid w:val="00A84485"/>
    <w:rsid w:val="00A84503"/>
    <w:rsid w:val="00A8452B"/>
    <w:rsid w:val="00A845C0"/>
    <w:rsid w:val="00A846B8"/>
    <w:rsid w:val="00A846C9"/>
    <w:rsid w:val="00A8478C"/>
    <w:rsid w:val="00A8489B"/>
    <w:rsid w:val="00A84941"/>
    <w:rsid w:val="00A8498E"/>
    <w:rsid w:val="00A849BB"/>
    <w:rsid w:val="00A84A3F"/>
    <w:rsid w:val="00A84B34"/>
    <w:rsid w:val="00A84B44"/>
    <w:rsid w:val="00A84BFB"/>
    <w:rsid w:val="00A84C8D"/>
    <w:rsid w:val="00A84D12"/>
    <w:rsid w:val="00A84D43"/>
    <w:rsid w:val="00A84D73"/>
    <w:rsid w:val="00A84E98"/>
    <w:rsid w:val="00A84FC5"/>
    <w:rsid w:val="00A85036"/>
    <w:rsid w:val="00A8517F"/>
    <w:rsid w:val="00A85206"/>
    <w:rsid w:val="00A85260"/>
    <w:rsid w:val="00A852CA"/>
    <w:rsid w:val="00A852EB"/>
    <w:rsid w:val="00A853BD"/>
    <w:rsid w:val="00A85428"/>
    <w:rsid w:val="00A85461"/>
    <w:rsid w:val="00A854E5"/>
    <w:rsid w:val="00A85525"/>
    <w:rsid w:val="00A857CE"/>
    <w:rsid w:val="00A857D9"/>
    <w:rsid w:val="00A8581E"/>
    <w:rsid w:val="00A858E3"/>
    <w:rsid w:val="00A85979"/>
    <w:rsid w:val="00A859F2"/>
    <w:rsid w:val="00A85AF8"/>
    <w:rsid w:val="00A85BCA"/>
    <w:rsid w:val="00A85C8D"/>
    <w:rsid w:val="00A85D20"/>
    <w:rsid w:val="00A85D7A"/>
    <w:rsid w:val="00A85EE5"/>
    <w:rsid w:val="00A85F37"/>
    <w:rsid w:val="00A85F86"/>
    <w:rsid w:val="00A86038"/>
    <w:rsid w:val="00A860D7"/>
    <w:rsid w:val="00A86119"/>
    <w:rsid w:val="00A86142"/>
    <w:rsid w:val="00A8615A"/>
    <w:rsid w:val="00A86202"/>
    <w:rsid w:val="00A86224"/>
    <w:rsid w:val="00A86285"/>
    <w:rsid w:val="00A862D5"/>
    <w:rsid w:val="00A86401"/>
    <w:rsid w:val="00A86429"/>
    <w:rsid w:val="00A864BA"/>
    <w:rsid w:val="00A865B3"/>
    <w:rsid w:val="00A86624"/>
    <w:rsid w:val="00A866E1"/>
    <w:rsid w:val="00A8672B"/>
    <w:rsid w:val="00A86745"/>
    <w:rsid w:val="00A86888"/>
    <w:rsid w:val="00A868A6"/>
    <w:rsid w:val="00A86973"/>
    <w:rsid w:val="00A8698D"/>
    <w:rsid w:val="00A86A25"/>
    <w:rsid w:val="00A86A71"/>
    <w:rsid w:val="00A86BE7"/>
    <w:rsid w:val="00A86BEA"/>
    <w:rsid w:val="00A86CAC"/>
    <w:rsid w:val="00A86D53"/>
    <w:rsid w:val="00A86D6F"/>
    <w:rsid w:val="00A86D80"/>
    <w:rsid w:val="00A86D85"/>
    <w:rsid w:val="00A86DD8"/>
    <w:rsid w:val="00A86E41"/>
    <w:rsid w:val="00A86EBC"/>
    <w:rsid w:val="00A86FEF"/>
    <w:rsid w:val="00A8701E"/>
    <w:rsid w:val="00A87026"/>
    <w:rsid w:val="00A8708A"/>
    <w:rsid w:val="00A870D6"/>
    <w:rsid w:val="00A87238"/>
    <w:rsid w:val="00A87627"/>
    <w:rsid w:val="00A8765B"/>
    <w:rsid w:val="00A8787D"/>
    <w:rsid w:val="00A878D4"/>
    <w:rsid w:val="00A878E4"/>
    <w:rsid w:val="00A878E9"/>
    <w:rsid w:val="00A87977"/>
    <w:rsid w:val="00A8797B"/>
    <w:rsid w:val="00A87A57"/>
    <w:rsid w:val="00A87A5C"/>
    <w:rsid w:val="00A87B2A"/>
    <w:rsid w:val="00A87C47"/>
    <w:rsid w:val="00A87C66"/>
    <w:rsid w:val="00A87CF8"/>
    <w:rsid w:val="00A87D26"/>
    <w:rsid w:val="00A87D4E"/>
    <w:rsid w:val="00A87D52"/>
    <w:rsid w:val="00A87E65"/>
    <w:rsid w:val="00A87E72"/>
    <w:rsid w:val="00A87EF3"/>
    <w:rsid w:val="00A9002E"/>
    <w:rsid w:val="00A90193"/>
    <w:rsid w:val="00A9019A"/>
    <w:rsid w:val="00A9029C"/>
    <w:rsid w:val="00A902FC"/>
    <w:rsid w:val="00A90363"/>
    <w:rsid w:val="00A90447"/>
    <w:rsid w:val="00A9045E"/>
    <w:rsid w:val="00A9049D"/>
    <w:rsid w:val="00A90585"/>
    <w:rsid w:val="00A90687"/>
    <w:rsid w:val="00A9068B"/>
    <w:rsid w:val="00A90726"/>
    <w:rsid w:val="00A90752"/>
    <w:rsid w:val="00A9077E"/>
    <w:rsid w:val="00A908D9"/>
    <w:rsid w:val="00A90AA7"/>
    <w:rsid w:val="00A90AD1"/>
    <w:rsid w:val="00A90BF5"/>
    <w:rsid w:val="00A90D19"/>
    <w:rsid w:val="00A90DAD"/>
    <w:rsid w:val="00A90EE4"/>
    <w:rsid w:val="00A90F12"/>
    <w:rsid w:val="00A90F2C"/>
    <w:rsid w:val="00A90F99"/>
    <w:rsid w:val="00A90FBE"/>
    <w:rsid w:val="00A90FD0"/>
    <w:rsid w:val="00A9102C"/>
    <w:rsid w:val="00A91036"/>
    <w:rsid w:val="00A910F2"/>
    <w:rsid w:val="00A911DF"/>
    <w:rsid w:val="00A91228"/>
    <w:rsid w:val="00A9126C"/>
    <w:rsid w:val="00A912CC"/>
    <w:rsid w:val="00A91311"/>
    <w:rsid w:val="00A91347"/>
    <w:rsid w:val="00A913B6"/>
    <w:rsid w:val="00A913F8"/>
    <w:rsid w:val="00A91444"/>
    <w:rsid w:val="00A91485"/>
    <w:rsid w:val="00A91488"/>
    <w:rsid w:val="00A91550"/>
    <w:rsid w:val="00A91585"/>
    <w:rsid w:val="00A915CD"/>
    <w:rsid w:val="00A9160E"/>
    <w:rsid w:val="00A916F7"/>
    <w:rsid w:val="00A9173B"/>
    <w:rsid w:val="00A91781"/>
    <w:rsid w:val="00A9179D"/>
    <w:rsid w:val="00A917FC"/>
    <w:rsid w:val="00A91805"/>
    <w:rsid w:val="00A91872"/>
    <w:rsid w:val="00A918C9"/>
    <w:rsid w:val="00A918E2"/>
    <w:rsid w:val="00A9192F"/>
    <w:rsid w:val="00A91982"/>
    <w:rsid w:val="00A919BC"/>
    <w:rsid w:val="00A919F3"/>
    <w:rsid w:val="00A91A05"/>
    <w:rsid w:val="00A91A45"/>
    <w:rsid w:val="00A91B4D"/>
    <w:rsid w:val="00A91BB8"/>
    <w:rsid w:val="00A91C5C"/>
    <w:rsid w:val="00A91CCF"/>
    <w:rsid w:val="00A91D80"/>
    <w:rsid w:val="00A91DE0"/>
    <w:rsid w:val="00A91E02"/>
    <w:rsid w:val="00A92021"/>
    <w:rsid w:val="00A92325"/>
    <w:rsid w:val="00A92355"/>
    <w:rsid w:val="00A92372"/>
    <w:rsid w:val="00A923EA"/>
    <w:rsid w:val="00A92422"/>
    <w:rsid w:val="00A92474"/>
    <w:rsid w:val="00A924C9"/>
    <w:rsid w:val="00A92534"/>
    <w:rsid w:val="00A9253E"/>
    <w:rsid w:val="00A92596"/>
    <w:rsid w:val="00A926C3"/>
    <w:rsid w:val="00A92735"/>
    <w:rsid w:val="00A92A0F"/>
    <w:rsid w:val="00A92A68"/>
    <w:rsid w:val="00A92B1F"/>
    <w:rsid w:val="00A92C74"/>
    <w:rsid w:val="00A92CE8"/>
    <w:rsid w:val="00A92E33"/>
    <w:rsid w:val="00A92E97"/>
    <w:rsid w:val="00A92F36"/>
    <w:rsid w:val="00A93018"/>
    <w:rsid w:val="00A93054"/>
    <w:rsid w:val="00A9307D"/>
    <w:rsid w:val="00A930E4"/>
    <w:rsid w:val="00A9325D"/>
    <w:rsid w:val="00A932E2"/>
    <w:rsid w:val="00A932FE"/>
    <w:rsid w:val="00A93380"/>
    <w:rsid w:val="00A933B6"/>
    <w:rsid w:val="00A933C4"/>
    <w:rsid w:val="00A934A6"/>
    <w:rsid w:val="00A934E4"/>
    <w:rsid w:val="00A93820"/>
    <w:rsid w:val="00A9393C"/>
    <w:rsid w:val="00A93A57"/>
    <w:rsid w:val="00A93A99"/>
    <w:rsid w:val="00A93B27"/>
    <w:rsid w:val="00A93C15"/>
    <w:rsid w:val="00A93D44"/>
    <w:rsid w:val="00A93D71"/>
    <w:rsid w:val="00A93D94"/>
    <w:rsid w:val="00A93DA2"/>
    <w:rsid w:val="00A93F3A"/>
    <w:rsid w:val="00A93F65"/>
    <w:rsid w:val="00A93FB7"/>
    <w:rsid w:val="00A94107"/>
    <w:rsid w:val="00A941B3"/>
    <w:rsid w:val="00A941CB"/>
    <w:rsid w:val="00A94365"/>
    <w:rsid w:val="00A9436B"/>
    <w:rsid w:val="00A943F5"/>
    <w:rsid w:val="00A94435"/>
    <w:rsid w:val="00A94522"/>
    <w:rsid w:val="00A9460E"/>
    <w:rsid w:val="00A94685"/>
    <w:rsid w:val="00A946D8"/>
    <w:rsid w:val="00A94700"/>
    <w:rsid w:val="00A94733"/>
    <w:rsid w:val="00A947C3"/>
    <w:rsid w:val="00A94818"/>
    <w:rsid w:val="00A9483F"/>
    <w:rsid w:val="00A948BB"/>
    <w:rsid w:val="00A948D4"/>
    <w:rsid w:val="00A948F1"/>
    <w:rsid w:val="00A94931"/>
    <w:rsid w:val="00A94964"/>
    <w:rsid w:val="00A949C8"/>
    <w:rsid w:val="00A94A86"/>
    <w:rsid w:val="00A94AF7"/>
    <w:rsid w:val="00A94B00"/>
    <w:rsid w:val="00A94B14"/>
    <w:rsid w:val="00A94B38"/>
    <w:rsid w:val="00A94C99"/>
    <w:rsid w:val="00A94C9A"/>
    <w:rsid w:val="00A94CA5"/>
    <w:rsid w:val="00A94CE5"/>
    <w:rsid w:val="00A94DBA"/>
    <w:rsid w:val="00A94DF1"/>
    <w:rsid w:val="00A94DF5"/>
    <w:rsid w:val="00A94E49"/>
    <w:rsid w:val="00A94F38"/>
    <w:rsid w:val="00A94F3B"/>
    <w:rsid w:val="00A94F3E"/>
    <w:rsid w:val="00A94FA0"/>
    <w:rsid w:val="00A94FFD"/>
    <w:rsid w:val="00A9501F"/>
    <w:rsid w:val="00A95030"/>
    <w:rsid w:val="00A95081"/>
    <w:rsid w:val="00A950B7"/>
    <w:rsid w:val="00A950C3"/>
    <w:rsid w:val="00A950D2"/>
    <w:rsid w:val="00A951B4"/>
    <w:rsid w:val="00A95241"/>
    <w:rsid w:val="00A95248"/>
    <w:rsid w:val="00A95262"/>
    <w:rsid w:val="00A95266"/>
    <w:rsid w:val="00A95294"/>
    <w:rsid w:val="00A952C4"/>
    <w:rsid w:val="00A9534C"/>
    <w:rsid w:val="00A95386"/>
    <w:rsid w:val="00A953DE"/>
    <w:rsid w:val="00A953E6"/>
    <w:rsid w:val="00A954EC"/>
    <w:rsid w:val="00A95554"/>
    <w:rsid w:val="00A9556A"/>
    <w:rsid w:val="00A9566E"/>
    <w:rsid w:val="00A956C9"/>
    <w:rsid w:val="00A956D4"/>
    <w:rsid w:val="00A95713"/>
    <w:rsid w:val="00A9573D"/>
    <w:rsid w:val="00A95794"/>
    <w:rsid w:val="00A95819"/>
    <w:rsid w:val="00A958AD"/>
    <w:rsid w:val="00A958BD"/>
    <w:rsid w:val="00A95960"/>
    <w:rsid w:val="00A95973"/>
    <w:rsid w:val="00A95994"/>
    <w:rsid w:val="00A95A80"/>
    <w:rsid w:val="00A95A9F"/>
    <w:rsid w:val="00A95B2C"/>
    <w:rsid w:val="00A95BAD"/>
    <w:rsid w:val="00A95CA6"/>
    <w:rsid w:val="00A95D7C"/>
    <w:rsid w:val="00A95E54"/>
    <w:rsid w:val="00A95ED2"/>
    <w:rsid w:val="00A95F36"/>
    <w:rsid w:val="00A9600B"/>
    <w:rsid w:val="00A9603A"/>
    <w:rsid w:val="00A9603C"/>
    <w:rsid w:val="00A9605F"/>
    <w:rsid w:val="00A960CD"/>
    <w:rsid w:val="00A96155"/>
    <w:rsid w:val="00A9616E"/>
    <w:rsid w:val="00A96205"/>
    <w:rsid w:val="00A96237"/>
    <w:rsid w:val="00A96282"/>
    <w:rsid w:val="00A96368"/>
    <w:rsid w:val="00A963DB"/>
    <w:rsid w:val="00A9642A"/>
    <w:rsid w:val="00A96452"/>
    <w:rsid w:val="00A9646C"/>
    <w:rsid w:val="00A96500"/>
    <w:rsid w:val="00A9653D"/>
    <w:rsid w:val="00A96542"/>
    <w:rsid w:val="00A96596"/>
    <w:rsid w:val="00A96598"/>
    <w:rsid w:val="00A965DB"/>
    <w:rsid w:val="00A966B4"/>
    <w:rsid w:val="00A9681B"/>
    <w:rsid w:val="00A968D1"/>
    <w:rsid w:val="00A9691D"/>
    <w:rsid w:val="00A96A45"/>
    <w:rsid w:val="00A96A6F"/>
    <w:rsid w:val="00A96AD5"/>
    <w:rsid w:val="00A96B9D"/>
    <w:rsid w:val="00A96BBE"/>
    <w:rsid w:val="00A96BC7"/>
    <w:rsid w:val="00A96CBB"/>
    <w:rsid w:val="00A96D35"/>
    <w:rsid w:val="00A96DA1"/>
    <w:rsid w:val="00A96DB4"/>
    <w:rsid w:val="00A96DF0"/>
    <w:rsid w:val="00A96EF6"/>
    <w:rsid w:val="00A96EF9"/>
    <w:rsid w:val="00A96F1A"/>
    <w:rsid w:val="00A96F85"/>
    <w:rsid w:val="00A96FBD"/>
    <w:rsid w:val="00A970CB"/>
    <w:rsid w:val="00A97146"/>
    <w:rsid w:val="00A9718E"/>
    <w:rsid w:val="00A97191"/>
    <w:rsid w:val="00A9723E"/>
    <w:rsid w:val="00A97282"/>
    <w:rsid w:val="00A972F4"/>
    <w:rsid w:val="00A973A8"/>
    <w:rsid w:val="00A97424"/>
    <w:rsid w:val="00A97510"/>
    <w:rsid w:val="00A97707"/>
    <w:rsid w:val="00A97727"/>
    <w:rsid w:val="00A9777F"/>
    <w:rsid w:val="00A977A7"/>
    <w:rsid w:val="00A97803"/>
    <w:rsid w:val="00A9784A"/>
    <w:rsid w:val="00A978F4"/>
    <w:rsid w:val="00A97914"/>
    <w:rsid w:val="00A97BAB"/>
    <w:rsid w:val="00A97C01"/>
    <w:rsid w:val="00A97C3A"/>
    <w:rsid w:val="00A97CE3"/>
    <w:rsid w:val="00A97D38"/>
    <w:rsid w:val="00A97D3C"/>
    <w:rsid w:val="00A97DDF"/>
    <w:rsid w:val="00A97E3A"/>
    <w:rsid w:val="00A97E82"/>
    <w:rsid w:val="00A97EB1"/>
    <w:rsid w:val="00A97F03"/>
    <w:rsid w:val="00A97F5B"/>
    <w:rsid w:val="00A97F75"/>
    <w:rsid w:val="00A97FCE"/>
    <w:rsid w:val="00A97FD5"/>
    <w:rsid w:val="00AA0062"/>
    <w:rsid w:val="00AA00A1"/>
    <w:rsid w:val="00AA00ED"/>
    <w:rsid w:val="00AA01E8"/>
    <w:rsid w:val="00AA0220"/>
    <w:rsid w:val="00AA0295"/>
    <w:rsid w:val="00AA02D3"/>
    <w:rsid w:val="00AA03C1"/>
    <w:rsid w:val="00AA0452"/>
    <w:rsid w:val="00AA0464"/>
    <w:rsid w:val="00AA0474"/>
    <w:rsid w:val="00AA049B"/>
    <w:rsid w:val="00AA05B4"/>
    <w:rsid w:val="00AA0699"/>
    <w:rsid w:val="00AA0781"/>
    <w:rsid w:val="00AA083A"/>
    <w:rsid w:val="00AA084E"/>
    <w:rsid w:val="00AA0865"/>
    <w:rsid w:val="00AA0943"/>
    <w:rsid w:val="00AA0974"/>
    <w:rsid w:val="00AA09CB"/>
    <w:rsid w:val="00AA09D0"/>
    <w:rsid w:val="00AA0A5E"/>
    <w:rsid w:val="00AA0AD7"/>
    <w:rsid w:val="00AA0AE5"/>
    <w:rsid w:val="00AA0B96"/>
    <w:rsid w:val="00AA0CFB"/>
    <w:rsid w:val="00AA0D49"/>
    <w:rsid w:val="00AA0DC1"/>
    <w:rsid w:val="00AA0EA4"/>
    <w:rsid w:val="00AA0EC0"/>
    <w:rsid w:val="00AA0EDE"/>
    <w:rsid w:val="00AA0F23"/>
    <w:rsid w:val="00AA0F52"/>
    <w:rsid w:val="00AA0FAB"/>
    <w:rsid w:val="00AA0FE1"/>
    <w:rsid w:val="00AA100E"/>
    <w:rsid w:val="00AA1082"/>
    <w:rsid w:val="00AA10D4"/>
    <w:rsid w:val="00AA112C"/>
    <w:rsid w:val="00AA1164"/>
    <w:rsid w:val="00AA120A"/>
    <w:rsid w:val="00AA123E"/>
    <w:rsid w:val="00AA138F"/>
    <w:rsid w:val="00AA13CB"/>
    <w:rsid w:val="00AA13DB"/>
    <w:rsid w:val="00AA146A"/>
    <w:rsid w:val="00AA1472"/>
    <w:rsid w:val="00AA14AF"/>
    <w:rsid w:val="00AA14D7"/>
    <w:rsid w:val="00AA1588"/>
    <w:rsid w:val="00AA15B7"/>
    <w:rsid w:val="00AA15B9"/>
    <w:rsid w:val="00AA168E"/>
    <w:rsid w:val="00AA16BE"/>
    <w:rsid w:val="00AA16E1"/>
    <w:rsid w:val="00AA17C8"/>
    <w:rsid w:val="00AA17D7"/>
    <w:rsid w:val="00AA1901"/>
    <w:rsid w:val="00AA1AF4"/>
    <w:rsid w:val="00AA1B2C"/>
    <w:rsid w:val="00AA1B99"/>
    <w:rsid w:val="00AA1C0E"/>
    <w:rsid w:val="00AA1C7E"/>
    <w:rsid w:val="00AA1CBD"/>
    <w:rsid w:val="00AA1D2D"/>
    <w:rsid w:val="00AA1D66"/>
    <w:rsid w:val="00AA1DD1"/>
    <w:rsid w:val="00AA1E14"/>
    <w:rsid w:val="00AA1E84"/>
    <w:rsid w:val="00AA1EA7"/>
    <w:rsid w:val="00AA1F10"/>
    <w:rsid w:val="00AA20E6"/>
    <w:rsid w:val="00AA229A"/>
    <w:rsid w:val="00AA22D6"/>
    <w:rsid w:val="00AA2368"/>
    <w:rsid w:val="00AA23B5"/>
    <w:rsid w:val="00AA23BB"/>
    <w:rsid w:val="00AA23D1"/>
    <w:rsid w:val="00AA2488"/>
    <w:rsid w:val="00AA24C9"/>
    <w:rsid w:val="00AA2505"/>
    <w:rsid w:val="00AA252F"/>
    <w:rsid w:val="00AA25D8"/>
    <w:rsid w:val="00AA26B5"/>
    <w:rsid w:val="00AA26C7"/>
    <w:rsid w:val="00AA26ED"/>
    <w:rsid w:val="00AA26F2"/>
    <w:rsid w:val="00AA280C"/>
    <w:rsid w:val="00AA287A"/>
    <w:rsid w:val="00AA2893"/>
    <w:rsid w:val="00AA289E"/>
    <w:rsid w:val="00AA2975"/>
    <w:rsid w:val="00AA2B69"/>
    <w:rsid w:val="00AA2BBC"/>
    <w:rsid w:val="00AA2BC0"/>
    <w:rsid w:val="00AA2C34"/>
    <w:rsid w:val="00AA2CB1"/>
    <w:rsid w:val="00AA2CC4"/>
    <w:rsid w:val="00AA2E26"/>
    <w:rsid w:val="00AA2FB9"/>
    <w:rsid w:val="00AA2FE2"/>
    <w:rsid w:val="00AA3007"/>
    <w:rsid w:val="00AA303A"/>
    <w:rsid w:val="00AA3045"/>
    <w:rsid w:val="00AA30B3"/>
    <w:rsid w:val="00AA3196"/>
    <w:rsid w:val="00AA3210"/>
    <w:rsid w:val="00AA3212"/>
    <w:rsid w:val="00AA3254"/>
    <w:rsid w:val="00AA3291"/>
    <w:rsid w:val="00AA33C0"/>
    <w:rsid w:val="00AA3441"/>
    <w:rsid w:val="00AA344F"/>
    <w:rsid w:val="00AA345C"/>
    <w:rsid w:val="00AA34B4"/>
    <w:rsid w:val="00AA3596"/>
    <w:rsid w:val="00AA35C8"/>
    <w:rsid w:val="00AA362F"/>
    <w:rsid w:val="00AA36AD"/>
    <w:rsid w:val="00AA3724"/>
    <w:rsid w:val="00AA379D"/>
    <w:rsid w:val="00AA3805"/>
    <w:rsid w:val="00AA3826"/>
    <w:rsid w:val="00AA3889"/>
    <w:rsid w:val="00AA38A4"/>
    <w:rsid w:val="00AA38A5"/>
    <w:rsid w:val="00AA38A7"/>
    <w:rsid w:val="00AA38C0"/>
    <w:rsid w:val="00AA3995"/>
    <w:rsid w:val="00AA39A7"/>
    <w:rsid w:val="00AA39D4"/>
    <w:rsid w:val="00AA39DF"/>
    <w:rsid w:val="00AA3A1E"/>
    <w:rsid w:val="00AA3A3F"/>
    <w:rsid w:val="00AA3C0D"/>
    <w:rsid w:val="00AA3CA7"/>
    <w:rsid w:val="00AA3CD3"/>
    <w:rsid w:val="00AA3CFF"/>
    <w:rsid w:val="00AA3D10"/>
    <w:rsid w:val="00AA3D24"/>
    <w:rsid w:val="00AA3D85"/>
    <w:rsid w:val="00AA3D96"/>
    <w:rsid w:val="00AA3EAF"/>
    <w:rsid w:val="00AA3EDF"/>
    <w:rsid w:val="00AA3FCB"/>
    <w:rsid w:val="00AA4038"/>
    <w:rsid w:val="00AA40FB"/>
    <w:rsid w:val="00AA4131"/>
    <w:rsid w:val="00AA413A"/>
    <w:rsid w:val="00AA424C"/>
    <w:rsid w:val="00AA42E7"/>
    <w:rsid w:val="00AA42E8"/>
    <w:rsid w:val="00AA42F3"/>
    <w:rsid w:val="00AA4432"/>
    <w:rsid w:val="00AA4491"/>
    <w:rsid w:val="00AA44E2"/>
    <w:rsid w:val="00AA45A3"/>
    <w:rsid w:val="00AA45A9"/>
    <w:rsid w:val="00AA460E"/>
    <w:rsid w:val="00AA464B"/>
    <w:rsid w:val="00AA46DC"/>
    <w:rsid w:val="00AA4779"/>
    <w:rsid w:val="00AA4784"/>
    <w:rsid w:val="00AA47AC"/>
    <w:rsid w:val="00AA4823"/>
    <w:rsid w:val="00AA4910"/>
    <w:rsid w:val="00AA4955"/>
    <w:rsid w:val="00AA495B"/>
    <w:rsid w:val="00AA495D"/>
    <w:rsid w:val="00AA4A28"/>
    <w:rsid w:val="00AA4B64"/>
    <w:rsid w:val="00AA4B89"/>
    <w:rsid w:val="00AA4B8D"/>
    <w:rsid w:val="00AA4BAE"/>
    <w:rsid w:val="00AA4C0F"/>
    <w:rsid w:val="00AA4C93"/>
    <w:rsid w:val="00AA4CCC"/>
    <w:rsid w:val="00AA4D20"/>
    <w:rsid w:val="00AA4E9C"/>
    <w:rsid w:val="00AA4EB2"/>
    <w:rsid w:val="00AA4ECC"/>
    <w:rsid w:val="00AA4ED3"/>
    <w:rsid w:val="00AA4FE2"/>
    <w:rsid w:val="00AA5004"/>
    <w:rsid w:val="00AA5018"/>
    <w:rsid w:val="00AA50C6"/>
    <w:rsid w:val="00AA5119"/>
    <w:rsid w:val="00AA5135"/>
    <w:rsid w:val="00AA513F"/>
    <w:rsid w:val="00AA51FB"/>
    <w:rsid w:val="00AA520F"/>
    <w:rsid w:val="00AA5216"/>
    <w:rsid w:val="00AA5220"/>
    <w:rsid w:val="00AA5278"/>
    <w:rsid w:val="00AA52AF"/>
    <w:rsid w:val="00AA5421"/>
    <w:rsid w:val="00AA564C"/>
    <w:rsid w:val="00AA5703"/>
    <w:rsid w:val="00AA582C"/>
    <w:rsid w:val="00AA5834"/>
    <w:rsid w:val="00AA5970"/>
    <w:rsid w:val="00AA599E"/>
    <w:rsid w:val="00AA59C9"/>
    <w:rsid w:val="00AA5A29"/>
    <w:rsid w:val="00AA5A66"/>
    <w:rsid w:val="00AA5B1F"/>
    <w:rsid w:val="00AA5B83"/>
    <w:rsid w:val="00AA5BF1"/>
    <w:rsid w:val="00AA5D72"/>
    <w:rsid w:val="00AA5EA6"/>
    <w:rsid w:val="00AA5F81"/>
    <w:rsid w:val="00AA5FC8"/>
    <w:rsid w:val="00AA5FE4"/>
    <w:rsid w:val="00AA603A"/>
    <w:rsid w:val="00AA608D"/>
    <w:rsid w:val="00AA6106"/>
    <w:rsid w:val="00AA61EF"/>
    <w:rsid w:val="00AA6254"/>
    <w:rsid w:val="00AA6263"/>
    <w:rsid w:val="00AA6282"/>
    <w:rsid w:val="00AA632B"/>
    <w:rsid w:val="00AA632D"/>
    <w:rsid w:val="00AA63BE"/>
    <w:rsid w:val="00AA65DD"/>
    <w:rsid w:val="00AA6631"/>
    <w:rsid w:val="00AA6671"/>
    <w:rsid w:val="00AA66ED"/>
    <w:rsid w:val="00AA672C"/>
    <w:rsid w:val="00AA67E2"/>
    <w:rsid w:val="00AA68CD"/>
    <w:rsid w:val="00AA6965"/>
    <w:rsid w:val="00AA6996"/>
    <w:rsid w:val="00AA6AA8"/>
    <w:rsid w:val="00AA6B20"/>
    <w:rsid w:val="00AA6B56"/>
    <w:rsid w:val="00AA6BB9"/>
    <w:rsid w:val="00AA6BE8"/>
    <w:rsid w:val="00AA6BFF"/>
    <w:rsid w:val="00AA6CEF"/>
    <w:rsid w:val="00AA6D5B"/>
    <w:rsid w:val="00AA6E3E"/>
    <w:rsid w:val="00AA6EB7"/>
    <w:rsid w:val="00AA6EEF"/>
    <w:rsid w:val="00AA6FB2"/>
    <w:rsid w:val="00AA7073"/>
    <w:rsid w:val="00AA72CC"/>
    <w:rsid w:val="00AA72EE"/>
    <w:rsid w:val="00AA7368"/>
    <w:rsid w:val="00AA73B4"/>
    <w:rsid w:val="00AA742F"/>
    <w:rsid w:val="00AA746D"/>
    <w:rsid w:val="00AA7478"/>
    <w:rsid w:val="00AA74C2"/>
    <w:rsid w:val="00AA759D"/>
    <w:rsid w:val="00AA762A"/>
    <w:rsid w:val="00AA76B3"/>
    <w:rsid w:val="00AA7754"/>
    <w:rsid w:val="00AA7924"/>
    <w:rsid w:val="00AA7949"/>
    <w:rsid w:val="00AA7A51"/>
    <w:rsid w:val="00AA7A65"/>
    <w:rsid w:val="00AA7A79"/>
    <w:rsid w:val="00AA7AA8"/>
    <w:rsid w:val="00AA7AC3"/>
    <w:rsid w:val="00AA7AC7"/>
    <w:rsid w:val="00AA7AFA"/>
    <w:rsid w:val="00AA7B44"/>
    <w:rsid w:val="00AA7B8F"/>
    <w:rsid w:val="00AA7CC7"/>
    <w:rsid w:val="00AA7DD1"/>
    <w:rsid w:val="00AA7E41"/>
    <w:rsid w:val="00AA7EEA"/>
    <w:rsid w:val="00AA7F48"/>
    <w:rsid w:val="00AB00A7"/>
    <w:rsid w:val="00AB00CF"/>
    <w:rsid w:val="00AB0132"/>
    <w:rsid w:val="00AB01FB"/>
    <w:rsid w:val="00AB0231"/>
    <w:rsid w:val="00AB023A"/>
    <w:rsid w:val="00AB026F"/>
    <w:rsid w:val="00AB0336"/>
    <w:rsid w:val="00AB03B8"/>
    <w:rsid w:val="00AB03C1"/>
    <w:rsid w:val="00AB03E0"/>
    <w:rsid w:val="00AB0478"/>
    <w:rsid w:val="00AB04CE"/>
    <w:rsid w:val="00AB05D1"/>
    <w:rsid w:val="00AB0686"/>
    <w:rsid w:val="00AB0752"/>
    <w:rsid w:val="00AB0766"/>
    <w:rsid w:val="00AB0769"/>
    <w:rsid w:val="00AB078E"/>
    <w:rsid w:val="00AB0793"/>
    <w:rsid w:val="00AB07D5"/>
    <w:rsid w:val="00AB07FF"/>
    <w:rsid w:val="00AB0830"/>
    <w:rsid w:val="00AB088E"/>
    <w:rsid w:val="00AB08A5"/>
    <w:rsid w:val="00AB0AC0"/>
    <w:rsid w:val="00AB0AC6"/>
    <w:rsid w:val="00AB0C47"/>
    <w:rsid w:val="00AB0C89"/>
    <w:rsid w:val="00AB0E0A"/>
    <w:rsid w:val="00AB0EBD"/>
    <w:rsid w:val="00AB0F2B"/>
    <w:rsid w:val="00AB0FEE"/>
    <w:rsid w:val="00AB1050"/>
    <w:rsid w:val="00AB105C"/>
    <w:rsid w:val="00AB116B"/>
    <w:rsid w:val="00AB1178"/>
    <w:rsid w:val="00AB1288"/>
    <w:rsid w:val="00AB129F"/>
    <w:rsid w:val="00AB133C"/>
    <w:rsid w:val="00AB1395"/>
    <w:rsid w:val="00AB1443"/>
    <w:rsid w:val="00AB1499"/>
    <w:rsid w:val="00AB14AD"/>
    <w:rsid w:val="00AB14BB"/>
    <w:rsid w:val="00AB1570"/>
    <w:rsid w:val="00AB1575"/>
    <w:rsid w:val="00AB16C8"/>
    <w:rsid w:val="00AB16CF"/>
    <w:rsid w:val="00AB171A"/>
    <w:rsid w:val="00AB1793"/>
    <w:rsid w:val="00AB1840"/>
    <w:rsid w:val="00AB18A8"/>
    <w:rsid w:val="00AB19CB"/>
    <w:rsid w:val="00AB1A34"/>
    <w:rsid w:val="00AB1A57"/>
    <w:rsid w:val="00AB1AB8"/>
    <w:rsid w:val="00AB1AB9"/>
    <w:rsid w:val="00AB1BB2"/>
    <w:rsid w:val="00AB1C2C"/>
    <w:rsid w:val="00AB1C9A"/>
    <w:rsid w:val="00AB1CD4"/>
    <w:rsid w:val="00AB1CFC"/>
    <w:rsid w:val="00AB1D5C"/>
    <w:rsid w:val="00AB1DC5"/>
    <w:rsid w:val="00AB1E69"/>
    <w:rsid w:val="00AB1FA2"/>
    <w:rsid w:val="00AB1FDF"/>
    <w:rsid w:val="00AB20AE"/>
    <w:rsid w:val="00AB2157"/>
    <w:rsid w:val="00AB21C5"/>
    <w:rsid w:val="00AB2268"/>
    <w:rsid w:val="00AB2364"/>
    <w:rsid w:val="00AB2399"/>
    <w:rsid w:val="00AB23D3"/>
    <w:rsid w:val="00AB2447"/>
    <w:rsid w:val="00AB246D"/>
    <w:rsid w:val="00AB24E1"/>
    <w:rsid w:val="00AB2509"/>
    <w:rsid w:val="00AB25FA"/>
    <w:rsid w:val="00AB2642"/>
    <w:rsid w:val="00AB2672"/>
    <w:rsid w:val="00AB2725"/>
    <w:rsid w:val="00AB27B1"/>
    <w:rsid w:val="00AB27E1"/>
    <w:rsid w:val="00AB281A"/>
    <w:rsid w:val="00AB2859"/>
    <w:rsid w:val="00AB2893"/>
    <w:rsid w:val="00AB28BE"/>
    <w:rsid w:val="00AB28D7"/>
    <w:rsid w:val="00AB28F0"/>
    <w:rsid w:val="00AB293A"/>
    <w:rsid w:val="00AB2A1A"/>
    <w:rsid w:val="00AB2A3B"/>
    <w:rsid w:val="00AB2A7D"/>
    <w:rsid w:val="00AB2A94"/>
    <w:rsid w:val="00AB2CF6"/>
    <w:rsid w:val="00AB2E61"/>
    <w:rsid w:val="00AB2E6A"/>
    <w:rsid w:val="00AB2F70"/>
    <w:rsid w:val="00AB2F88"/>
    <w:rsid w:val="00AB31CD"/>
    <w:rsid w:val="00AB326A"/>
    <w:rsid w:val="00AB333C"/>
    <w:rsid w:val="00AB333E"/>
    <w:rsid w:val="00AB3347"/>
    <w:rsid w:val="00AB3390"/>
    <w:rsid w:val="00AB33D7"/>
    <w:rsid w:val="00AB33E2"/>
    <w:rsid w:val="00AB34DA"/>
    <w:rsid w:val="00AB34E7"/>
    <w:rsid w:val="00AB355A"/>
    <w:rsid w:val="00AB36A6"/>
    <w:rsid w:val="00AB376F"/>
    <w:rsid w:val="00AB395B"/>
    <w:rsid w:val="00AB398F"/>
    <w:rsid w:val="00AB3A5F"/>
    <w:rsid w:val="00AB3AD0"/>
    <w:rsid w:val="00AB3AE5"/>
    <w:rsid w:val="00AB3B2D"/>
    <w:rsid w:val="00AB3BA5"/>
    <w:rsid w:val="00AB3BE5"/>
    <w:rsid w:val="00AB3BFA"/>
    <w:rsid w:val="00AB3C52"/>
    <w:rsid w:val="00AB3D17"/>
    <w:rsid w:val="00AB3D63"/>
    <w:rsid w:val="00AB3E6F"/>
    <w:rsid w:val="00AB3E87"/>
    <w:rsid w:val="00AB3EE6"/>
    <w:rsid w:val="00AB3F33"/>
    <w:rsid w:val="00AB3F36"/>
    <w:rsid w:val="00AB3F68"/>
    <w:rsid w:val="00AB3F72"/>
    <w:rsid w:val="00AB3F9B"/>
    <w:rsid w:val="00AB3FB1"/>
    <w:rsid w:val="00AB4061"/>
    <w:rsid w:val="00AB40F6"/>
    <w:rsid w:val="00AB4166"/>
    <w:rsid w:val="00AB4222"/>
    <w:rsid w:val="00AB4253"/>
    <w:rsid w:val="00AB42D1"/>
    <w:rsid w:val="00AB4324"/>
    <w:rsid w:val="00AB4444"/>
    <w:rsid w:val="00AB446A"/>
    <w:rsid w:val="00AB44AF"/>
    <w:rsid w:val="00AB44C1"/>
    <w:rsid w:val="00AB44C9"/>
    <w:rsid w:val="00AB44DE"/>
    <w:rsid w:val="00AB44F5"/>
    <w:rsid w:val="00AB467D"/>
    <w:rsid w:val="00AB469A"/>
    <w:rsid w:val="00AB4931"/>
    <w:rsid w:val="00AB49A4"/>
    <w:rsid w:val="00AB49DB"/>
    <w:rsid w:val="00AB4A4C"/>
    <w:rsid w:val="00AB4A7E"/>
    <w:rsid w:val="00AB4A84"/>
    <w:rsid w:val="00AB4AF1"/>
    <w:rsid w:val="00AB4B4D"/>
    <w:rsid w:val="00AB4B8A"/>
    <w:rsid w:val="00AB4C96"/>
    <w:rsid w:val="00AB4CED"/>
    <w:rsid w:val="00AB4E89"/>
    <w:rsid w:val="00AB4EA4"/>
    <w:rsid w:val="00AB4ED5"/>
    <w:rsid w:val="00AB4F35"/>
    <w:rsid w:val="00AB4FBD"/>
    <w:rsid w:val="00AB4FD9"/>
    <w:rsid w:val="00AB509A"/>
    <w:rsid w:val="00AB50A8"/>
    <w:rsid w:val="00AB513E"/>
    <w:rsid w:val="00AB520A"/>
    <w:rsid w:val="00AB52A6"/>
    <w:rsid w:val="00AB5365"/>
    <w:rsid w:val="00AB538F"/>
    <w:rsid w:val="00AB5471"/>
    <w:rsid w:val="00AB5547"/>
    <w:rsid w:val="00AB555E"/>
    <w:rsid w:val="00AB5589"/>
    <w:rsid w:val="00AB55DD"/>
    <w:rsid w:val="00AB56E4"/>
    <w:rsid w:val="00AB574F"/>
    <w:rsid w:val="00AB584F"/>
    <w:rsid w:val="00AB5993"/>
    <w:rsid w:val="00AB5ADF"/>
    <w:rsid w:val="00AB5B0C"/>
    <w:rsid w:val="00AB5B65"/>
    <w:rsid w:val="00AB5C03"/>
    <w:rsid w:val="00AB5C2B"/>
    <w:rsid w:val="00AB5CC0"/>
    <w:rsid w:val="00AB5CD8"/>
    <w:rsid w:val="00AB5E1F"/>
    <w:rsid w:val="00AB5EA7"/>
    <w:rsid w:val="00AB5F25"/>
    <w:rsid w:val="00AB5F33"/>
    <w:rsid w:val="00AB5F8F"/>
    <w:rsid w:val="00AB5FA6"/>
    <w:rsid w:val="00AB610A"/>
    <w:rsid w:val="00AB617C"/>
    <w:rsid w:val="00AB623B"/>
    <w:rsid w:val="00AB6252"/>
    <w:rsid w:val="00AB625D"/>
    <w:rsid w:val="00AB62B8"/>
    <w:rsid w:val="00AB62D5"/>
    <w:rsid w:val="00AB633C"/>
    <w:rsid w:val="00AB637C"/>
    <w:rsid w:val="00AB63E5"/>
    <w:rsid w:val="00AB640B"/>
    <w:rsid w:val="00AB647E"/>
    <w:rsid w:val="00AB64FA"/>
    <w:rsid w:val="00AB6504"/>
    <w:rsid w:val="00AB657B"/>
    <w:rsid w:val="00AB66E6"/>
    <w:rsid w:val="00AB6746"/>
    <w:rsid w:val="00AB67B4"/>
    <w:rsid w:val="00AB680D"/>
    <w:rsid w:val="00AB686F"/>
    <w:rsid w:val="00AB6925"/>
    <w:rsid w:val="00AB6960"/>
    <w:rsid w:val="00AB6A54"/>
    <w:rsid w:val="00AB6A65"/>
    <w:rsid w:val="00AB6AA4"/>
    <w:rsid w:val="00AB6B17"/>
    <w:rsid w:val="00AB6B7A"/>
    <w:rsid w:val="00AB6BE4"/>
    <w:rsid w:val="00AB6CAB"/>
    <w:rsid w:val="00AB6D37"/>
    <w:rsid w:val="00AB6D39"/>
    <w:rsid w:val="00AB6D9A"/>
    <w:rsid w:val="00AB6E5E"/>
    <w:rsid w:val="00AB6F3A"/>
    <w:rsid w:val="00AB6F57"/>
    <w:rsid w:val="00AB6FDF"/>
    <w:rsid w:val="00AB709E"/>
    <w:rsid w:val="00AB70AA"/>
    <w:rsid w:val="00AB70D9"/>
    <w:rsid w:val="00AB72D6"/>
    <w:rsid w:val="00AB74BA"/>
    <w:rsid w:val="00AB7523"/>
    <w:rsid w:val="00AB752E"/>
    <w:rsid w:val="00AB7533"/>
    <w:rsid w:val="00AB7542"/>
    <w:rsid w:val="00AB755E"/>
    <w:rsid w:val="00AB75A7"/>
    <w:rsid w:val="00AB75DC"/>
    <w:rsid w:val="00AB7610"/>
    <w:rsid w:val="00AB7634"/>
    <w:rsid w:val="00AB766E"/>
    <w:rsid w:val="00AB767D"/>
    <w:rsid w:val="00AB7692"/>
    <w:rsid w:val="00AB7889"/>
    <w:rsid w:val="00AB7A4F"/>
    <w:rsid w:val="00AB7A73"/>
    <w:rsid w:val="00AB7A9D"/>
    <w:rsid w:val="00AB7AFB"/>
    <w:rsid w:val="00AB7B76"/>
    <w:rsid w:val="00AB7BAC"/>
    <w:rsid w:val="00AB7C99"/>
    <w:rsid w:val="00AB7E27"/>
    <w:rsid w:val="00AB7EC8"/>
    <w:rsid w:val="00AB7ECE"/>
    <w:rsid w:val="00AB7FA5"/>
    <w:rsid w:val="00AC0113"/>
    <w:rsid w:val="00AC01B9"/>
    <w:rsid w:val="00AC01E9"/>
    <w:rsid w:val="00AC0267"/>
    <w:rsid w:val="00AC0271"/>
    <w:rsid w:val="00AC03D8"/>
    <w:rsid w:val="00AC0449"/>
    <w:rsid w:val="00AC04CA"/>
    <w:rsid w:val="00AC0514"/>
    <w:rsid w:val="00AC0545"/>
    <w:rsid w:val="00AC05D6"/>
    <w:rsid w:val="00AC0691"/>
    <w:rsid w:val="00AC06A6"/>
    <w:rsid w:val="00AC06AA"/>
    <w:rsid w:val="00AC0716"/>
    <w:rsid w:val="00AC0831"/>
    <w:rsid w:val="00AC090D"/>
    <w:rsid w:val="00AC09AF"/>
    <w:rsid w:val="00AC09C6"/>
    <w:rsid w:val="00AC0A20"/>
    <w:rsid w:val="00AC0B31"/>
    <w:rsid w:val="00AC0BA5"/>
    <w:rsid w:val="00AC0C59"/>
    <w:rsid w:val="00AC0CCD"/>
    <w:rsid w:val="00AC0E01"/>
    <w:rsid w:val="00AC0E54"/>
    <w:rsid w:val="00AC0E9C"/>
    <w:rsid w:val="00AC0F48"/>
    <w:rsid w:val="00AC0F78"/>
    <w:rsid w:val="00AC0F89"/>
    <w:rsid w:val="00AC0FA7"/>
    <w:rsid w:val="00AC0FDE"/>
    <w:rsid w:val="00AC0FE8"/>
    <w:rsid w:val="00AC11D8"/>
    <w:rsid w:val="00AC1232"/>
    <w:rsid w:val="00AC12CB"/>
    <w:rsid w:val="00AC13C6"/>
    <w:rsid w:val="00AC144F"/>
    <w:rsid w:val="00AC149A"/>
    <w:rsid w:val="00AC15FB"/>
    <w:rsid w:val="00AC169F"/>
    <w:rsid w:val="00AC17CE"/>
    <w:rsid w:val="00AC17F2"/>
    <w:rsid w:val="00AC187F"/>
    <w:rsid w:val="00AC1898"/>
    <w:rsid w:val="00AC18EE"/>
    <w:rsid w:val="00AC1A23"/>
    <w:rsid w:val="00AC1A41"/>
    <w:rsid w:val="00AC1A4A"/>
    <w:rsid w:val="00AC1B2E"/>
    <w:rsid w:val="00AC1B43"/>
    <w:rsid w:val="00AC1B97"/>
    <w:rsid w:val="00AC1C2F"/>
    <w:rsid w:val="00AC1C6D"/>
    <w:rsid w:val="00AC1C6F"/>
    <w:rsid w:val="00AC1CE3"/>
    <w:rsid w:val="00AC1D9C"/>
    <w:rsid w:val="00AC1DD6"/>
    <w:rsid w:val="00AC1F2C"/>
    <w:rsid w:val="00AC1F70"/>
    <w:rsid w:val="00AC1F82"/>
    <w:rsid w:val="00AC1F90"/>
    <w:rsid w:val="00AC2170"/>
    <w:rsid w:val="00AC2219"/>
    <w:rsid w:val="00AC231C"/>
    <w:rsid w:val="00AC23ED"/>
    <w:rsid w:val="00AC2509"/>
    <w:rsid w:val="00AC250A"/>
    <w:rsid w:val="00AC253E"/>
    <w:rsid w:val="00AC2591"/>
    <w:rsid w:val="00AC25B5"/>
    <w:rsid w:val="00AC2729"/>
    <w:rsid w:val="00AC283F"/>
    <w:rsid w:val="00AC2849"/>
    <w:rsid w:val="00AC2898"/>
    <w:rsid w:val="00AC2957"/>
    <w:rsid w:val="00AC2AD3"/>
    <w:rsid w:val="00AC2B4B"/>
    <w:rsid w:val="00AC2BE4"/>
    <w:rsid w:val="00AC2BEB"/>
    <w:rsid w:val="00AC2C16"/>
    <w:rsid w:val="00AC2C4E"/>
    <w:rsid w:val="00AC2C57"/>
    <w:rsid w:val="00AC2CE4"/>
    <w:rsid w:val="00AC2D68"/>
    <w:rsid w:val="00AC2DC5"/>
    <w:rsid w:val="00AC2E5D"/>
    <w:rsid w:val="00AC2EA7"/>
    <w:rsid w:val="00AC2EAF"/>
    <w:rsid w:val="00AC2F1B"/>
    <w:rsid w:val="00AC2FAA"/>
    <w:rsid w:val="00AC30A8"/>
    <w:rsid w:val="00AC30B9"/>
    <w:rsid w:val="00AC30C6"/>
    <w:rsid w:val="00AC310D"/>
    <w:rsid w:val="00AC31EF"/>
    <w:rsid w:val="00AC3208"/>
    <w:rsid w:val="00AC3262"/>
    <w:rsid w:val="00AC329A"/>
    <w:rsid w:val="00AC32A1"/>
    <w:rsid w:val="00AC3311"/>
    <w:rsid w:val="00AC3321"/>
    <w:rsid w:val="00AC3392"/>
    <w:rsid w:val="00AC34C7"/>
    <w:rsid w:val="00AC3512"/>
    <w:rsid w:val="00AC35FC"/>
    <w:rsid w:val="00AC376F"/>
    <w:rsid w:val="00AC377F"/>
    <w:rsid w:val="00AC3798"/>
    <w:rsid w:val="00AC37F1"/>
    <w:rsid w:val="00AC3838"/>
    <w:rsid w:val="00AC38F6"/>
    <w:rsid w:val="00AC3919"/>
    <w:rsid w:val="00AC39F2"/>
    <w:rsid w:val="00AC3A0D"/>
    <w:rsid w:val="00AC3A42"/>
    <w:rsid w:val="00AC3A8B"/>
    <w:rsid w:val="00AC3AC8"/>
    <w:rsid w:val="00AC3ADB"/>
    <w:rsid w:val="00AC3BE5"/>
    <w:rsid w:val="00AC3C17"/>
    <w:rsid w:val="00AC3C41"/>
    <w:rsid w:val="00AC3D0D"/>
    <w:rsid w:val="00AC3DE5"/>
    <w:rsid w:val="00AC3E32"/>
    <w:rsid w:val="00AC3E5C"/>
    <w:rsid w:val="00AC3EE6"/>
    <w:rsid w:val="00AC3F54"/>
    <w:rsid w:val="00AC3F6C"/>
    <w:rsid w:val="00AC3F9B"/>
    <w:rsid w:val="00AC3FD7"/>
    <w:rsid w:val="00AC4060"/>
    <w:rsid w:val="00AC40B2"/>
    <w:rsid w:val="00AC41E2"/>
    <w:rsid w:val="00AC421E"/>
    <w:rsid w:val="00AC42D3"/>
    <w:rsid w:val="00AC42FF"/>
    <w:rsid w:val="00AC4309"/>
    <w:rsid w:val="00AC44FF"/>
    <w:rsid w:val="00AC45A8"/>
    <w:rsid w:val="00AC45EA"/>
    <w:rsid w:val="00AC464C"/>
    <w:rsid w:val="00AC4656"/>
    <w:rsid w:val="00AC46C9"/>
    <w:rsid w:val="00AC4737"/>
    <w:rsid w:val="00AC47C4"/>
    <w:rsid w:val="00AC4861"/>
    <w:rsid w:val="00AC4A23"/>
    <w:rsid w:val="00AC4A36"/>
    <w:rsid w:val="00AC4A86"/>
    <w:rsid w:val="00AC4B17"/>
    <w:rsid w:val="00AC4B1E"/>
    <w:rsid w:val="00AC4C38"/>
    <w:rsid w:val="00AC4C83"/>
    <w:rsid w:val="00AC4D0B"/>
    <w:rsid w:val="00AC4F37"/>
    <w:rsid w:val="00AC4F6E"/>
    <w:rsid w:val="00AC4FD8"/>
    <w:rsid w:val="00AC501D"/>
    <w:rsid w:val="00AC509F"/>
    <w:rsid w:val="00AC50C3"/>
    <w:rsid w:val="00AC513A"/>
    <w:rsid w:val="00AC514D"/>
    <w:rsid w:val="00AC517E"/>
    <w:rsid w:val="00AC5192"/>
    <w:rsid w:val="00AC519C"/>
    <w:rsid w:val="00AC5411"/>
    <w:rsid w:val="00AC5433"/>
    <w:rsid w:val="00AC5482"/>
    <w:rsid w:val="00AC554C"/>
    <w:rsid w:val="00AC558C"/>
    <w:rsid w:val="00AC55E5"/>
    <w:rsid w:val="00AC55EA"/>
    <w:rsid w:val="00AC566A"/>
    <w:rsid w:val="00AC5686"/>
    <w:rsid w:val="00AC5745"/>
    <w:rsid w:val="00AC5750"/>
    <w:rsid w:val="00AC57A9"/>
    <w:rsid w:val="00AC57EA"/>
    <w:rsid w:val="00AC57FC"/>
    <w:rsid w:val="00AC57FD"/>
    <w:rsid w:val="00AC5814"/>
    <w:rsid w:val="00AC584D"/>
    <w:rsid w:val="00AC5864"/>
    <w:rsid w:val="00AC58B6"/>
    <w:rsid w:val="00AC58E3"/>
    <w:rsid w:val="00AC591D"/>
    <w:rsid w:val="00AC5928"/>
    <w:rsid w:val="00AC597E"/>
    <w:rsid w:val="00AC5A65"/>
    <w:rsid w:val="00AC5AD9"/>
    <w:rsid w:val="00AC5BDE"/>
    <w:rsid w:val="00AC5C3F"/>
    <w:rsid w:val="00AC5C48"/>
    <w:rsid w:val="00AC5CDC"/>
    <w:rsid w:val="00AC5D11"/>
    <w:rsid w:val="00AC5DBC"/>
    <w:rsid w:val="00AC5DF0"/>
    <w:rsid w:val="00AC5DF8"/>
    <w:rsid w:val="00AC5E1F"/>
    <w:rsid w:val="00AC5E84"/>
    <w:rsid w:val="00AC5F4C"/>
    <w:rsid w:val="00AC6024"/>
    <w:rsid w:val="00AC633B"/>
    <w:rsid w:val="00AC6362"/>
    <w:rsid w:val="00AC636D"/>
    <w:rsid w:val="00AC63E8"/>
    <w:rsid w:val="00AC6449"/>
    <w:rsid w:val="00AC64E6"/>
    <w:rsid w:val="00AC656A"/>
    <w:rsid w:val="00AC667B"/>
    <w:rsid w:val="00AC6809"/>
    <w:rsid w:val="00AC681D"/>
    <w:rsid w:val="00AC6863"/>
    <w:rsid w:val="00AC6B42"/>
    <w:rsid w:val="00AC6B64"/>
    <w:rsid w:val="00AC6BB8"/>
    <w:rsid w:val="00AC6BFC"/>
    <w:rsid w:val="00AC6DC1"/>
    <w:rsid w:val="00AC6E31"/>
    <w:rsid w:val="00AC6EF0"/>
    <w:rsid w:val="00AC6F42"/>
    <w:rsid w:val="00AC6F57"/>
    <w:rsid w:val="00AC6F6F"/>
    <w:rsid w:val="00AC6FBC"/>
    <w:rsid w:val="00AC7082"/>
    <w:rsid w:val="00AC7158"/>
    <w:rsid w:val="00AC7174"/>
    <w:rsid w:val="00AC719E"/>
    <w:rsid w:val="00AC71B5"/>
    <w:rsid w:val="00AC71EC"/>
    <w:rsid w:val="00AC7256"/>
    <w:rsid w:val="00AC72C1"/>
    <w:rsid w:val="00AC730D"/>
    <w:rsid w:val="00AC7392"/>
    <w:rsid w:val="00AC7485"/>
    <w:rsid w:val="00AC74B8"/>
    <w:rsid w:val="00AC74F8"/>
    <w:rsid w:val="00AC7568"/>
    <w:rsid w:val="00AC75BC"/>
    <w:rsid w:val="00AC75E5"/>
    <w:rsid w:val="00AC76A1"/>
    <w:rsid w:val="00AC778E"/>
    <w:rsid w:val="00AC77C8"/>
    <w:rsid w:val="00AC78BC"/>
    <w:rsid w:val="00AC7963"/>
    <w:rsid w:val="00AC7A19"/>
    <w:rsid w:val="00AC7AF4"/>
    <w:rsid w:val="00AC7B54"/>
    <w:rsid w:val="00AC7BD2"/>
    <w:rsid w:val="00AC7CB4"/>
    <w:rsid w:val="00AC7CB5"/>
    <w:rsid w:val="00AC7D18"/>
    <w:rsid w:val="00AC7DF7"/>
    <w:rsid w:val="00AC7F4C"/>
    <w:rsid w:val="00AC7F53"/>
    <w:rsid w:val="00AC7FFE"/>
    <w:rsid w:val="00AD01DE"/>
    <w:rsid w:val="00AD026D"/>
    <w:rsid w:val="00AD0295"/>
    <w:rsid w:val="00AD02F8"/>
    <w:rsid w:val="00AD0349"/>
    <w:rsid w:val="00AD0371"/>
    <w:rsid w:val="00AD0469"/>
    <w:rsid w:val="00AD04DB"/>
    <w:rsid w:val="00AD0522"/>
    <w:rsid w:val="00AD0596"/>
    <w:rsid w:val="00AD059F"/>
    <w:rsid w:val="00AD0745"/>
    <w:rsid w:val="00AD0758"/>
    <w:rsid w:val="00AD0792"/>
    <w:rsid w:val="00AD0797"/>
    <w:rsid w:val="00AD07B2"/>
    <w:rsid w:val="00AD07B4"/>
    <w:rsid w:val="00AD07B5"/>
    <w:rsid w:val="00AD0811"/>
    <w:rsid w:val="00AD084C"/>
    <w:rsid w:val="00AD087D"/>
    <w:rsid w:val="00AD08B0"/>
    <w:rsid w:val="00AD09B9"/>
    <w:rsid w:val="00AD09EF"/>
    <w:rsid w:val="00AD0A61"/>
    <w:rsid w:val="00AD0B35"/>
    <w:rsid w:val="00AD0B5E"/>
    <w:rsid w:val="00AD0B9A"/>
    <w:rsid w:val="00AD0C10"/>
    <w:rsid w:val="00AD0C5B"/>
    <w:rsid w:val="00AD0D9B"/>
    <w:rsid w:val="00AD0DF8"/>
    <w:rsid w:val="00AD0E8B"/>
    <w:rsid w:val="00AD0E99"/>
    <w:rsid w:val="00AD0EB2"/>
    <w:rsid w:val="00AD0EC6"/>
    <w:rsid w:val="00AD0F2A"/>
    <w:rsid w:val="00AD0F31"/>
    <w:rsid w:val="00AD1088"/>
    <w:rsid w:val="00AD10AD"/>
    <w:rsid w:val="00AD115D"/>
    <w:rsid w:val="00AD116C"/>
    <w:rsid w:val="00AD1176"/>
    <w:rsid w:val="00AD117E"/>
    <w:rsid w:val="00AD11A2"/>
    <w:rsid w:val="00AD121C"/>
    <w:rsid w:val="00AD121F"/>
    <w:rsid w:val="00AD1307"/>
    <w:rsid w:val="00AD131D"/>
    <w:rsid w:val="00AD1442"/>
    <w:rsid w:val="00AD14BC"/>
    <w:rsid w:val="00AD1559"/>
    <w:rsid w:val="00AD15BA"/>
    <w:rsid w:val="00AD15C5"/>
    <w:rsid w:val="00AD1666"/>
    <w:rsid w:val="00AD1674"/>
    <w:rsid w:val="00AD179E"/>
    <w:rsid w:val="00AD199E"/>
    <w:rsid w:val="00AD1A13"/>
    <w:rsid w:val="00AD1AB0"/>
    <w:rsid w:val="00AD1AE6"/>
    <w:rsid w:val="00AD1B0F"/>
    <w:rsid w:val="00AD1B11"/>
    <w:rsid w:val="00AD1B65"/>
    <w:rsid w:val="00AD1C0E"/>
    <w:rsid w:val="00AD1C3E"/>
    <w:rsid w:val="00AD1CA8"/>
    <w:rsid w:val="00AD1D24"/>
    <w:rsid w:val="00AD1D2C"/>
    <w:rsid w:val="00AD1DE9"/>
    <w:rsid w:val="00AD1E1B"/>
    <w:rsid w:val="00AD1E33"/>
    <w:rsid w:val="00AD1F69"/>
    <w:rsid w:val="00AD205A"/>
    <w:rsid w:val="00AD2186"/>
    <w:rsid w:val="00AD2234"/>
    <w:rsid w:val="00AD223C"/>
    <w:rsid w:val="00AD2258"/>
    <w:rsid w:val="00AD227E"/>
    <w:rsid w:val="00AD22E7"/>
    <w:rsid w:val="00AD239E"/>
    <w:rsid w:val="00AD2554"/>
    <w:rsid w:val="00AD2582"/>
    <w:rsid w:val="00AD25AF"/>
    <w:rsid w:val="00AD2662"/>
    <w:rsid w:val="00AD26D4"/>
    <w:rsid w:val="00AD280D"/>
    <w:rsid w:val="00AD2836"/>
    <w:rsid w:val="00AD2864"/>
    <w:rsid w:val="00AD28AE"/>
    <w:rsid w:val="00AD28B3"/>
    <w:rsid w:val="00AD2955"/>
    <w:rsid w:val="00AD2A67"/>
    <w:rsid w:val="00AD2C62"/>
    <w:rsid w:val="00AD2C6F"/>
    <w:rsid w:val="00AD2CAE"/>
    <w:rsid w:val="00AD2CE4"/>
    <w:rsid w:val="00AD2DCE"/>
    <w:rsid w:val="00AD2E57"/>
    <w:rsid w:val="00AD2F4D"/>
    <w:rsid w:val="00AD300A"/>
    <w:rsid w:val="00AD300C"/>
    <w:rsid w:val="00AD3011"/>
    <w:rsid w:val="00AD302E"/>
    <w:rsid w:val="00AD30A1"/>
    <w:rsid w:val="00AD30BC"/>
    <w:rsid w:val="00AD3183"/>
    <w:rsid w:val="00AD31DB"/>
    <w:rsid w:val="00AD3208"/>
    <w:rsid w:val="00AD32DF"/>
    <w:rsid w:val="00AD3382"/>
    <w:rsid w:val="00AD3403"/>
    <w:rsid w:val="00AD3421"/>
    <w:rsid w:val="00AD342C"/>
    <w:rsid w:val="00AD3457"/>
    <w:rsid w:val="00AD3471"/>
    <w:rsid w:val="00AD3512"/>
    <w:rsid w:val="00AD35CB"/>
    <w:rsid w:val="00AD3643"/>
    <w:rsid w:val="00AD3702"/>
    <w:rsid w:val="00AD3762"/>
    <w:rsid w:val="00AD377F"/>
    <w:rsid w:val="00AD37C4"/>
    <w:rsid w:val="00AD3836"/>
    <w:rsid w:val="00AD38BD"/>
    <w:rsid w:val="00AD39ED"/>
    <w:rsid w:val="00AD3A0D"/>
    <w:rsid w:val="00AD3A7D"/>
    <w:rsid w:val="00AD3AC1"/>
    <w:rsid w:val="00AD3B69"/>
    <w:rsid w:val="00AD3B70"/>
    <w:rsid w:val="00AD3BF1"/>
    <w:rsid w:val="00AD3BF2"/>
    <w:rsid w:val="00AD3CED"/>
    <w:rsid w:val="00AD3DE6"/>
    <w:rsid w:val="00AD3E01"/>
    <w:rsid w:val="00AD3F2A"/>
    <w:rsid w:val="00AD3F78"/>
    <w:rsid w:val="00AD3FB6"/>
    <w:rsid w:val="00AD4052"/>
    <w:rsid w:val="00AD4054"/>
    <w:rsid w:val="00AD40A3"/>
    <w:rsid w:val="00AD40C5"/>
    <w:rsid w:val="00AD425D"/>
    <w:rsid w:val="00AD42B8"/>
    <w:rsid w:val="00AD445C"/>
    <w:rsid w:val="00AD449A"/>
    <w:rsid w:val="00AD4511"/>
    <w:rsid w:val="00AD459C"/>
    <w:rsid w:val="00AD4606"/>
    <w:rsid w:val="00AD460C"/>
    <w:rsid w:val="00AD473B"/>
    <w:rsid w:val="00AD47E4"/>
    <w:rsid w:val="00AD482E"/>
    <w:rsid w:val="00AD485B"/>
    <w:rsid w:val="00AD4945"/>
    <w:rsid w:val="00AD4954"/>
    <w:rsid w:val="00AD49F3"/>
    <w:rsid w:val="00AD4A1D"/>
    <w:rsid w:val="00AD4B4C"/>
    <w:rsid w:val="00AD4C6B"/>
    <w:rsid w:val="00AD4CC3"/>
    <w:rsid w:val="00AD4D37"/>
    <w:rsid w:val="00AD4DC2"/>
    <w:rsid w:val="00AD4E85"/>
    <w:rsid w:val="00AD4ED5"/>
    <w:rsid w:val="00AD4F3E"/>
    <w:rsid w:val="00AD4F41"/>
    <w:rsid w:val="00AD50DA"/>
    <w:rsid w:val="00AD50F7"/>
    <w:rsid w:val="00AD5147"/>
    <w:rsid w:val="00AD51BE"/>
    <w:rsid w:val="00AD51CC"/>
    <w:rsid w:val="00AD51E5"/>
    <w:rsid w:val="00AD52B1"/>
    <w:rsid w:val="00AD52F0"/>
    <w:rsid w:val="00AD52F2"/>
    <w:rsid w:val="00AD5315"/>
    <w:rsid w:val="00AD536B"/>
    <w:rsid w:val="00AD5385"/>
    <w:rsid w:val="00AD53BC"/>
    <w:rsid w:val="00AD540B"/>
    <w:rsid w:val="00AD5493"/>
    <w:rsid w:val="00AD54D6"/>
    <w:rsid w:val="00AD54F5"/>
    <w:rsid w:val="00AD5501"/>
    <w:rsid w:val="00AD5553"/>
    <w:rsid w:val="00AD557E"/>
    <w:rsid w:val="00AD56C7"/>
    <w:rsid w:val="00AD56E7"/>
    <w:rsid w:val="00AD577F"/>
    <w:rsid w:val="00AD57D6"/>
    <w:rsid w:val="00AD57FB"/>
    <w:rsid w:val="00AD58FD"/>
    <w:rsid w:val="00AD5922"/>
    <w:rsid w:val="00AD5A0A"/>
    <w:rsid w:val="00AD5A0E"/>
    <w:rsid w:val="00AD5ABA"/>
    <w:rsid w:val="00AD5B54"/>
    <w:rsid w:val="00AD5C13"/>
    <w:rsid w:val="00AD5C35"/>
    <w:rsid w:val="00AD5D62"/>
    <w:rsid w:val="00AD5D91"/>
    <w:rsid w:val="00AD5DCC"/>
    <w:rsid w:val="00AD5E29"/>
    <w:rsid w:val="00AD5E75"/>
    <w:rsid w:val="00AD5F0A"/>
    <w:rsid w:val="00AD5F54"/>
    <w:rsid w:val="00AD5FC8"/>
    <w:rsid w:val="00AD6009"/>
    <w:rsid w:val="00AD600E"/>
    <w:rsid w:val="00AD6023"/>
    <w:rsid w:val="00AD6038"/>
    <w:rsid w:val="00AD60B6"/>
    <w:rsid w:val="00AD60CD"/>
    <w:rsid w:val="00AD60F9"/>
    <w:rsid w:val="00AD6108"/>
    <w:rsid w:val="00AD610A"/>
    <w:rsid w:val="00AD61BD"/>
    <w:rsid w:val="00AD6202"/>
    <w:rsid w:val="00AD6231"/>
    <w:rsid w:val="00AD6288"/>
    <w:rsid w:val="00AD62BF"/>
    <w:rsid w:val="00AD62C7"/>
    <w:rsid w:val="00AD63AB"/>
    <w:rsid w:val="00AD63B5"/>
    <w:rsid w:val="00AD6402"/>
    <w:rsid w:val="00AD6420"/>
    <w:rsid w:val="00AD6476"/>
    <w:rsid w:val="00AD648A"/>
    <w:rsid w:val="00AD64E4"/>
    <w:rsid w:val="00AD658B"/>
    <w:rsid w:val="00AD6625"/>
    <w:rsid w:val="00AD6675"/>
    <w:rsid w:val="00AD66B8"/>
    <w:rsid w:val="00AD66FF"/>
    <w:rsid w:val="00AD673A"/>
    <w:rsid w:val="00AD684E"/>
    <w:rsid w:val="00AD6917"/>
    <w:rsid w:val="00AD699B"/>
    <w:rsid w:val="00AD69A7"/>
    <w:rsid w:val="00AD69DC"/>
    <w:rsid w:val="00AD6A42"/>
    <w:rsid w:val="00AD6A7C"/>
    <w:rsid w:val="00AD6A82"/>
    <w:rsid w:val="00AD6A9E"/>
    <w:rsid w:val="00AD6B05"/>
    <w:rsid w:val="00AD6B68"/>
    <w:rsid w:val="00AD6C8C"/>
    <w:rsid w:val="00AD6D3A"/>
    <w:rsid w:val="00AD6D7F"/>
    <w:rsid w:val="00AD6DE9"/>
    <w:rsid w:val="00AD6E11"/>
    <w:rsid w:val="00AD6E35"/>
    <w:rsid w:val="00AD6FA0"/>
    <w:rsid w:val="00AD701A"/>
    <w:rsid w:val="00AD703D"/>
    <w:rsid w:val="00AD7057"/>
    <w:rsid w:val="00AD71BD"/>
    <w:rsid w:val="00AD7218"/>
    <w:rsid w:val="00AD72C0"/>
    <w:rsid w:val="00AD72D8"/>
    <w:rsid w:val="00AD7323"/>
    <w:rsid w:val="00AD7336"/>
    <w:rsid w:val="00AD738E"/>
    <w:rsid w:val="00AD73A1"/>
    <w:rsid w:val="00AD73BE"/>
    <w:rsid w:val="00AD73C0"/>
    <w:rsid w:val="00AD73D4"/>
    <w:rsid w:val="00AD73F4"/>
    <w:rsid w:val="00AD745F"/>
    <w:rsid w:val="00AD74CB"/>
    <w:rsid w:val="00AD74E1"/>
    <w:rsid w:val="00AD7532"/>
    <w:rsid w:val="00AD7574"/>
    <w:rsid w:val="00AD7629"/>
    <w:rsid w:val="00AD7691"/>
    <w:rsid w:val="00AD76D8"/>
    <w:rsid w:val="00AD76F6"/>
    <w:rsid w:val="00AD76FF"/>
    <w:rsid w:val="00AD775E"/>
    <w:rsid w:val="00AD7839"/>
    <w:rsid w:val="00AD78FB"/>
    <w:rsid w:val="00AD7A37"/>
    <w:rsid w:val="00AD7A3D"/>
    <w:rsid w:val="00AD7A5B"/>
    <w:rsid w:val="00AD7A67"/>
    <w:rsid w:val="00AD7B30"/>
    <w:rsid w:val="00AD7B81"/>
    <w:rsid w:val="00AD7BA6"/>
    <w:rsid w:val="00AD7C3C"/>
    <w:rsid w:val="00AD7CEA"/>
    <w:rsid w:val="00AD7DFF"/>
    <w:rsid w:val="00AD7F50"/>
    <w:rsid w:val="00AD7F6A"/>
    <w:rsid w:val="00AD7FA3"/>
    <w:rsid w:val="00AE0061"/>
    <w:rsid w:val="00AE00F0"/>
    <w:rsid w:val="00AE0175"/>
    <w:rsid w:val="00AE0208"/>
    <w:rsid w:val="00AE0239"/>
    <w:rsid w:val="00AE026B"/>
    <w:rsid w:val="00AE027C"/>
    <w:rsid w:val="00AE029F"/>
    <w:rsid w:val="00AE030F"/>
    <w:rsid w:val="00AE0325"/>
    <w:rsid w:val="00AE0353"/>
    <w:rsid w:val="00AE0361"/>
    <w:rsid w:val="00AE04FA"/>
    <w:rsid w:val="00AE0534"/>
    <w:rsid w:val="00AE054D"/>
    <w:rsid w:val="00AE0580"/>
    <w:rsid w:val="00AE05B1"/>
    <w:rsid w:val="00AE05EC"/>
    <w:rsid w:val="00AE060E"/>
    <w:rsid w:val="00AE06E4"/>
    <w:rsid w:val="00AE0760"/>
    <w:rsid w:val="00AE0779"/>
    <w:rsid w:val="00AE0963"/>
    <w:rsid w:val="00AE0AB7"/>
    <w:rsid w:val="00AE0B0C"/>
    <w:rsid w:val="00AE0BD7"/>
    <w:rsid w:val="00AE0C7C"/>
    <w:rsid w:val="00AE0D2C"/>
    <w:rsid w:val="00AE0E68"/>
    <w:rsid w:val="00AE0F32"/>
    <w:rsid w:val="00AE0F40"/>
    <w:rsid w:val="00AE0F5E"/>
    <w:rsid w:val="00AE0FA5"/>
    <w:rsid w:val="00AE0FB3"/>
    <w:rsid w:val="00AE105D"/>
    <w:rsid w:val="00AE113B"/>
    <w:rsid w:val="00AE115B"/>
    <w:rsid w:val="00AE121F"/>
    <w:rsid w:val="00AE12B7"/>
    <w:rsid w:val="00AE12E3"/>
    <w:rsid w:val="00AE12F6"/>
    <w:rsid w:val="00AE1331"/>
    <w:rsid w:val="00AE1494"/>
    <w:rsid w:val="00AE149D"/>
    <w:rsid w:val="00AE165F"/>
    <w:rsid w:val="00AE16A1"/>
    <w:rsid w:val="00AE16E4"/>
    <w:rsid w:val="00AE17DD"/>
    <w:rsid w:val="00AE182D"/>
    <w:rsid w:val="00AE18B3"/>
    <w:rsid w:val="00AE1944"/>
    <w:rsid w:val="00AE1A74"/>
    <w:rsid w:val="00AE1AB4"/>
    <w:rsid w:val="00AE1B82"/>
    <w:rsid w:val="00AE1B8D"/>
    <w:rsid w:val="00AE1BD5"/>
    <w:rsid w:val="00AE1C8E"/>
    <w:rsid w:val="00AE1CC4"/>
    <w:rsid w:val="00AE1E38"/>
    <w:rsid w:val="00AE1FA8"/>
    <w:rsid w:val="00AE1FC7"/>
    <w:rsid w:val="00AE1FD8"/>
    <w:rsid w:val="00AE1FE1"/>
    <w:rsid w:val="00AE2171"/>
    <w:rsid w:val="00AE2260"/>
    <w:rsid w:val="00AE228D"/>
    <w:rsid w:val="00AE232B"/>
    <w:rsid w:val="00AE2352"/>
    <w:rsid w:val="00AE23A8"/>
    <w:rsid w:val="00AE24B9"/>
    <w:rsid w:val="00AE255F"/>
    <w:rsid w:val="00AE25BA"/>
    <w:rsid w:val="00AE2717"/>
    <w:rsid w:val="00AE277E"/>
    <w:rsid w:val="00AE27B1"/>
    <w:rsid w:val="00AE281B"/>
    <w:rsid w:val="00AE2824"/>
    <w:rsid w:val="00AE284E"/>
    <w:rsid w:val="00AE285D"/>
    <w:rsid w:val="00AE2905"/>
    <w:rsid w:val="00AE2910"/>
    <w:rsid w:val="00AE2A58"/>
    <w:rsid w:val="00AE2ADA"/>
    <w:rsid w:val="00AE2B85"/>
    <w:rsid w:val="00AE2D98"/>
    <w:rsid w:val="00AE2EA4"/>
    <w:rsid w:val="00AE2ECE"/>
    <w:rsid w:val="00AE2ED8"/>
    <w:rsid w:val="00AE2F2E"/>
    <w:rsid w:val="00AE2F80"/>
    <w:rsid w:val="00AE30E3"/>
    <w:rsid w:val="00AE30FE"/>
    <w:rsid w:val="00AE3131"/>
    <w:rsid w:val="00AE31E6"/>
    <w:rsid w:val="00AE336C"/>
    <w:rsid w:val="00AE3398"/>
    <w:rsid w:val="00AE33D1"/>
    <w:rsid w:val="00AE343F"/>
    <w:rsid w:val="00AE34FC"/>
    <w:rsid w:val="00AE35C8"/>
    <w:rsid w:val="00AE364E"/>
    <w:rsid w:val="00AE36D2"/>
    <w:rsid w:val="00AE387A"/>
    <w:rsid w:val="00AE38C7"/>
    <w:rsid w:val="00AE395B"/>
    <w:rsid w:val="00AE3A3C"/>
    <w:rsid w:val="00AE3AA2"/>
    <w:rsid w:val="00AE3B4A"/>
    <w:rsid w:val="00AE3BFF"/>
    <w:rsid w:val="00AE3C79"/>
    <w:rsid w:val="00AE3D5E"/>
    <w:rsid w:val="00AE3DEB"/>
    <w:rsid w:val="00AE3E9D"/>
    <w:rsid w:val="00AE3EAE"/>
    <w:rsid w:val="00AE3EF8"/>
    <w:rsid w:val="00AE3FA3"/>
    <w:rsid w:val="00AE3FA6"/>
    <w:rsid w:val="00AE4187"/>
    <w:rsid w:val="00AE41A5"/>
    <w:rsid w:val="00AE41E7"/>
    <w:rsid w:val="00AE42DE"/>
    <w:rsid w:val="00AE42DF"/>
    <w:rsid w:val="00AE42E1"/>
    <w:rsid w:val="00AE44DF"/>
    <w:rsid w:val="00AE44F3"/>
    <w:rsid w:val="00AE47CB"/>
    <w:rsid w:val="00AE4824"/>
    <w:rsid w:val="00AE4838"/>
    <w:rsid w:val="00AE492C"/>
    <w:rsid w:val="00AE4949"/>
    <w:rsid w:val="00AE4982"/>
    <w:rsid w:val="00AE4991"/>
    <w:rsid w:val="00AE49AA"/>
    <w:rsid w:val="00AE4AF7"/>
    <w:rsid w:val="00AE4AFB"/>
    <w:rsid w:val="00AE4B31"/>
    <w:rsid w:val="00AE4C3D"/>
    <w:rsid w:val="00AE4C6E"/>
    <w:rsid w:val="00AE4D34"/>
    <w:rsid w:val="00AE4E96"/>
    <w:rsid w:val="00AE4EAC"/>
    <w:rsid w:val="00AE4F40"/>
    <w:rsid w:val="00AE5094"/>
    <w:rsid w:val="00AE5127"/>
    <w:rsid w:val="00AE51FC"/>
    <w:rsid w:val="00AE5304"/>
    <w:rsid w:val="00AE5326"/>
    <w:rsid w:val="00AE5385"/>
    <w:rsid w:val="00AE539C"/>
    <w:rsid w:val="00AE5484"/>
    <w:rsid w:val="00AE55B0"/>
    <w:rsid w:val="00AE57E4"/>
    <w:rsid w:val="00AE5847"/>
    <w:rsid w:val="00AE58D2"/>
    <w:rsid w:val="00AE59AF"/>
    <w:rsid w:val="00AE59E2"/>
    <w:rsid w:val="00AE5A0A"/>
    <w:rsid w:val="00AE5A82"/>
    <w:rsid w:val="00AE5B45"/>
    <w:rsid w:val="00AE5B4E"/>
    <w:rsid w:val="00AE5BED"/>
    <w:rsid w:val="00AE5C06"/>
    <w:rsid w:val="00AE5C4A"/>
    <w:rsid w:val="00AE5CA0"/>
    <w:rsid w:val="00AE5CC9"/>
    <w:rsid w:val="00AE5D2B"/>
    <w:rsid w:val="00AE5E1F"/>
    <w:rsid w:val="00AE5E87"/>
    <w:rsid w:val="00AE5EEC"/>
    <w:rsid w:val="00AE5F19"/>
    <w:rsid w:val="00AE5F72"/>
    <w:rsid w:val="00AE5FAB"/>
    <w:rsid w:val="00AE602E"/>
    <w:rsid w:val="00AE6125"/>
    <w:rsid w:val="00AE6160"/>
    <w:rsid w:val="00AE620E"/>
    <w:rsid w:val="00AE62C0"/>
    <w:rsid w:val="00AE62D3"/>
    <w:rsid w:val="00AE6494"/>
    <w:rsid w:val="00AE6598"/>
    <w:rsid w:val="00AE65D2"/>
    <w:rsid w:val="00AE65E0"/>
    <w:rsid w:val="00AE677F"/>
    <w:rsid w:val="00AE682F"/>
    <w:rsid w:val="00AE6858"/>
    <w:rsid w:val="00AE6918"/>
    <w:rsid w:val="00AE69A9"/>
    <w:rsid w:val="00AE69B8"/>
    <w:rsid w:val="00AE69D1"/>
    <w:rsid w:val="00AE6A8F"/>
    <w:rsid w:val="00AE6AD3"/>
    <w:rsid w:val="00AE6C74"/>
    <w:rsid w:val="00AE6CE4"/>
    <w:rsid w:val="00AE6DC0"/>
    <w:rsid w:val="00AE6DE6"/>
    <w:rsid w:val="00AE6E39"/>
    <w:rsid w:val="00AE6E41"/>
    <w:rsid w:val="00AE6F2B"/>
    <w:rsid w:val="00AE6FA7"/>
    <w:rsid w:val="00AE6FEE"/>
    <w:rsid w:val="00AE7034"/>
    <w:rsid w:val="00AE70C7"/>
    <w:rsid w:val="00AE70FD"/>
    <w:rsid w:val="00AE71BE"/>
    <w:rsid w:val="00AE720A"/>
    <w:rsid w:val="00AE72E4"/>
    <w:rsid w:val="00AE738B"/>
    <w:rsid w:val="00AE73D3"/>
    <w:rsid w:val="00AE73FC"/>
    <w:rsid w:val="00AE743F"/>
    <w:rsid w:val="00AE756E"/>
    <w:rsid w:val="00AE7587"/>
    <w:rsid w:val="00AE75C7"/>
    <w:rsid w:val="00AE7682"/>
    <w:rsid w:val="00AE76EF"/>
    <w:rsid w:val="00AE7744"/>
    <w:rsid w:val="00AE7826"/>
    <w:rsid w:val="00AE78EC"/>
    <w:rsid w:val="00AE7ADF"/>
    <w:rsid w:val="00AE7AFA"/>
    <w:rsid w:val="00AE7B5D"/>
    <w:rsid w:val="00AE7B77"/>
    <w:rsid w:val="00AE7B81"/>
    <w:rsid w:val="00AE7BE3"/>
    <w:rsid w:val="00AE7BE7"/>
    <w:rsid w:val="00AE7C2F"/>
    <w:rsid w:val="00AE7C4A"/>
    <w:rsid w:val="00AE7D29"/>
    <w:rsid w:val="00AE7E8F"/>
    <w:rsid w:val="00AE7F8D"/>
    <w:rsid w:val="00AE7FD1"/>
    <w:rsid w:val="00AE7FF9"/>
    <w:rsid w:val="00AF0008"/>
    <w:rsid w:val="00AF0102"/>
    <w:rsid w:val="00AF0113"/>
    <w:rsid w:val="00AF0189"/>
    <w:rsid w:val="00AF01EB"/>
    <w:rsid w:val="00AF0397"/>
    <w:rsid w:val="00AF040C"/>
    <w:rsid w:val="00AF0429"/>
    <w:rsid w:val="00AF048A"/>
    <w:rsid w:val="00AF04FB"/>
    <w:rsid w:val="00AF0513"/>
    <w:rsid w:val="00AF0648"/>
    <w:rsid w:val="00AF0699"/>
    <w:rsid w:val="00AF06AC"/>
    <w:rsid w:val="00AF0754"/>
    <w:rsid w:val="00AF0882"/>
    <w:rsid w:val="00AF08E5"/>
    <w:rsid w:val="00AF0945"/>
    <w:rsid w:val="00AF09DB"/>
    <w:rsid w:val="00AF0A17"/>
    <w:rsid w:val="00AF0A44"/>
    <w:rsid w:val="00AF0A81"/>
    <w:rsid w:val="00AF0B2B"/>
    <w:rsid w:val="00AF0B79"/>
    <w:rsid w:val="00AF0C93"/>
    <w:rsid w:val="00AF0D3B"/>
    <w:rsid w:val="00AF0D69"/>
    <w:rsid w:val="00AF0D80"/>
    <w:rsid w:val="00AF0E5B"/>
    <w:rsid w:val="00AF0E6B"/>
    <w:rsid w:val="00AF0E6C"/>
    <w:rsid w:val="00AF103C"/>
    <w:rsid w:val="00AF1060"/>
    <w:rsid w:val="00AF10F9"/>
    <w:rsid w:val="00AF1119"/>
    <w:rsid w:val="00AF1172"/>
    <w:rsid w:val="00AF1194"/>
    <w:rsid w:val="00AF120C"/>
    <w:rsid w:val="00AF12D1"/>
    <w:rsid w:val="00AF139C"/>
    <w:rsid w:val="00AF152E"/>
    <w:rsid w:val="00AF15F0"/>
    <w:rsid w:val="00AF16B1"/>
    <w:rsid w:val="00AF178E"/>
    <w:rsid w:val="00AF17C7"/>
    <w:rsid w:val="00AF1801"/>
    <w:rsid w:val="00AF1819"/>
    <w:rsid w:val="00AF18F1"/>
    <w:rsid w:val="00AF19A8"/>
    <w:rsid w:val="00AF1A27"/>
    <w:rsid w:val="00AF1B35"/>
    <w:rsid w:val="00AF1B96"/>
    <w:rsid w:val="00AF1CCF"/>
    <w:rsid w:val="00AF1CD5"/>
    <w:rsid w:val="00AF1E14"/>
    <w:rsid w:val="00AF1E97"/>
    <w:rsid w:val="00AF1EF3"/>
    <w:rsid w:val="00AF1F16"/>
    <w:rsid w:val="00AF1F37"/>
    <w:rsid w:val="00AF1FAC"/>
    <w:rsid w:val="00AF200C"/>
    <w:rsid w:val="00AF2067"/>
    <w:rsid w:val="00AF20F7"/>
    <w:rsid w:val="00AF21D2"/>
    <w:rsid w:val="00AF222F"/>
    <w:rsid w:val="00AF2321"/>
    <w:rsid w:val="00AF2480"/>
    <w:rsid w:val="00AF24F6"/>
    <w:rsid w:val="00AF2690"/>
    <w:rsid w:val="00AF276E"/>
    <w:rsid w:val="00AF2796"/>
    <w:rsid w:val="00AF27AA"/>
    <w:rsid w:val="00AF27CD"/>
    <w:rsid w:val="00AF2814"/>
    <w:rsid w:val="00AF2872"/>
    <w:rsid w:val="00AF28B1"/>
    <w:rsid w:val="00AF28BE"/>
    <w:rsid w:val="00AF2A39"/>
    <w:rsid w:val="00AF2A55"/>
    <w:rsid w:val="00AF2AAB"/>
    <w:rsid w:val="00AF2AD1"/>
    <w:rsid w:val="00AF2AF8"/>
    <w:rsid w:val="00AF2AFC"/>
    <w:rsid w:val="00AF2B2D"/>
    <w:rsid w:val="00AF2B50"/>
    <w:rsid w:val="00AF2C1A"/>
    <w:rsid w:val="00AF2C25"/>
    <w:rsid w:val="00AF2D39"/>
    <w:rsid w:val="00AF2DE5"/>
    <w:rsid w:val="00AF2F80"/>
    <w:rsid w:val="00AF2FC2"/>
    <w:rsid w:val="00AF2FCC"/>
    <w:rsid w:val="00AF2FEB"/>
    <w:rsid w:val="00AF3003"/>
    <w:rsid w:val="00AF3013"/>
    <w:rsid w:val="00AF308B"/>
    <w:rsid w:val="00AF30C1"/>
    <w:rsid w:val="00AF320D"/>
    <w:rsid w:val="00AF3222"/>
    <w:rsid w:val="00AF323E"/>
    <w:rsid w:val="00AF3266"/>
    <w:rsid w:val="00AF329F"/>
    <w:rsid w:val="00AF32B2"/>
    <w:rsid w:val="00AF3332"/>
    <w:rsid w:val="00AF33FD"/>
    <w:rsid w:val="00AF3471"/>
    <w:rsid w:val="00AF34D7"/>
    <w:rsid w:val="00AF35F5"/>
    <w:rsid w:val="00AF3603"/>
    <w:rsid w:val="00AF361E"/>
    <w:rsid w:val="00AF367C"/>
    <w:rsid w:val="00AF368B"/>
    <w:rsid w:val="00AF3810"/>
    <w:rsid w:val="00AF384F"/>
    <w:rsid w:val="00AF38D2"/>
    <w:rsid w:val="00AF39AF"/>
    <w:rsid w:val="00AF39C0"/>
    <w:rsid w:val="00AF3C7F"/>
    <w:rsid w:val="00AF3C91"/>
    <w:rsid w:val="00AF3CCC"/>
    <w:rsid w:val="00AF3DEB"/>
    <w:rsid w:val="00AF3EE3"/>
    <w:rsid w:val="00AF3FE6"/>
    <w:rsid w:val="00AF3FED"/>
    <w:rsid w:val="00AF40AD"/>
    <w:rsid w:val="00AF418F"/>
    <w:rsid w:val="00AF4196"/>
    <w:rsid w:val="00AF4231"/>
    <w:rsid w:val="00AF4272"/>
    <w:rsid w:val="00AF42C8"/>
    <w:rsid w:val="00AF42FB"/>
    <w:rsid w:val="00AF4351"/>
    <w:rsid w:val="00AF439D"/>
    <w:rsid w:val="00AF43CA"/>
    <w:rsid w:val="00AF4459"/>
    <w:rsid w:val="00AF44FF"/>
    <w:rsid w:val="00AF4504"/>
    <w:rsid w:val="00AF4533"/>
    <w:rsid w:val="00AF4579"/>
    <w:rsid w:val="00AF4629"/>
    <w:rsid w:val="00AF4640"/>
    <w:rsid w:val="00AF4643"/>
    <w:rsid w:val="00AF46B1"/>
    <w:rsid w:val="00AF46C8"/>
    <w:rsid w:val="00AF476E"/>
    <w:rsid w:val="00AF47DA"/>
    <w:rsid w:val="00AF47FA"/>
    <w:rsid w:val="00AF4824"/>
    <w:rsid w:val="00AF483D"/>
    <w:rsid w:val="00AF4860"/>
    <w:rsid w:val="00AF4897"/>
    <w:rsid w:val="00AF4981"/>
    <w:rsid w:val="00AF49DD"/>
    <w:rsid w:val="00AF49E8"/>
    <w:rsid w:val="00AF49E9"/>
    <w:rsid w:val="00AF4A0F"/>
    <w:rsid w:val="00AF4A59"/>
    <w:rsid w:val="00AF4ABB"/>
    <w:rsid w:val="00AF4AFE"/>
    <w:rsid w:val="00AF4BB2"/>
    <w:rsid w:val="00AF4C96"/>
    <w:rsid w:val="00AF4D29"/>
    <w:rsid w:val="00AF4DC6"/>
    <w:rsid w:val="00AF4DE6"/>
    <w:rsid w:val="00AF4E87"/>
    <w:rsid w:val="00AF4EAB"/>
    <w:rsid w:val="00AF4F66"/>
    <w:rsid w:val="00AF4FBC"/>
    <w:rsid w:val="00AF4FE3"/>
    <w:rsid w:val="00AF507B"/>
    <w:rsid w:val="00AF5258"/>
    <w:rsid w:val="00AF52FE"/>
    <w:rsid w:val="00AF5333"/>
    <w:rsid w:val="00AF53C0"/>
    <w:rsid w:val="00AF5429"/>
    <w:rsid w:val="00AF547A"/>
    <w:rsid w:val="00AF5482"/>
    <w:rsid w:val="00AF549C"/>
    <w:rsid w:val="00AF5502"/>
    <w:rsid w:val="00AF55F5"/>
    <w:rsid w:val="00AF566B"/>
    <w:rsid w:val="00AF57B7"/>
    <w:rsid w:val="00AF57C4"/>
    <w:rsid w:val="00AF5886"/>
    <w:rsid w:val="00AF58B4"/>
    <w:rsid w:val="00AF58C8"/>
    <w:rsid w:val="00AF58D2"/>
    <w:rsid w:val="00AF58F4"/>
    <w:rsid w:val="00AF5975"/>
    <w:rsid w:val="00AF59B9"/>
    <w:rsid w:val="00AF59FB"/>
    <w:rsid w:val="00AF5A6B"/>
    <w:rsid w:val="00AF5B2C"/>
    <w:rsid w:val="00AF5C0A"/>
    <w:rsid w:val="00AF5C89"/>
    <w:rsid w:val="00AF5CE6"/>
    <w:rsid w:val="00AF5CF8"/>
    <w:rsid w:val="00AF5D43"/>
    <w:rsid w:val="00AF5DEA"/>
    <w:rsid w:val="00AF5E3E"/>
    <w:rsid w:val="00AF5EF5"/>
    <w:rsid w:val="00AF5F8A"/>
    <w:rsid w:val="00AF618A"/>
    <w:rsid w:val="00AF6319"/>
    <w:rsid w:val="00AF6396"/>
    <w:rsid w:val="00AF646E"/>
    <w:rsid w:val="00AF647A"/>
    <w:rsid w:val="00AF64E7"/>
    <w:rsid w:val="00AF6528"/>
    <w:rsid w:val="00AF6553"/>
    <w:rsid w:val="00AF6554"/>
    <w:rsid w:val="00AF658D"/>
    <w:rsid w:val="00AF6606"/>
    <w:rsid w:val="00AF660A"/>
    <w:rsid w:val="00AF664D"/>
    <w:rsid w:val="00AF6703"/>
    <w:rsid w:val="00AF673D"/>
    <w:rsid w:val="00AF6767"/>
    <w:rsid w:val="00AF6973"/>
    <w:rsid w:val="00AF6B01"/>
    <w:rsid w:val="00AF6B66"/>
    <w:rsid w:val="00AF6BA4"/>
    <w:rsid w:val="00AF6BBA"/>
    <w:rsid w:val="00AF6C2A"/>
    <w:rsid w:val="00AF6C64"/>
    <w:rsid w:val="00AF6CBA"/>
    <w:rsid w:val="00AF6D31"/>
    <w:rsid w:val="00AF6D32"/>
    <w:rsid w:val="00AF6DB7"/>
    <w:rsid w:val="00AF6DDB"/>
    <w:rsid w:val="00AF6E35"/>
    <w:rsid w:val="00AF6EAA"/>
    <w:rsid w:val="00AF6EFA"/>
    <w:rsid w:val="00AF6F07"/>
    <w:rsid w:val="00AF6F26"/>
    <w:rsid w:val="00AF7088"/>
    <w:rsid w:val="00AF71C9"/>
    <w:rsid w:val="00AF7208"/>
    <w:rsid w:val="00AF72FD"/>
    <w:rsid w:val="00AF734A"/>
    <w:rsid w:val="00AF7582"/>
    <w:rsid w:val="00AF76C3"/>
    <w:rsid w:val="00AF771F"/>
    <w:rsid w:val="00AF77A0"/>
    <w:rsid w:val="00AF77B5"/>
    <w:rsid w:val="00AF7811"/>
    <w:rsid w:val="00AF7860"/>
    <w:rsid w:val="00AF7874"/>
    <w:rsid w:val="00AF787F"/>
    <w:rsid w:val="00AF78FE"/>
    <w:rsid w:val="00AF7967"/>
    <w:rsid w:val="00AF79EC"/>
    <w:rsid w:val="00AF7AFF"/>
    <w:rsid w:val="00AF7B7E"/>
    <w:rsid w:val="00AF7C76"/>
    <w:rsid w:val="00AF7D4D"/>
    <w:rsid w:val="00AF7F66"/>
    <w:rsid w:val="00AF7FAE"/>
    <w:rsid w:val="00B000E4"/>
    <w:rsid w:val="00B001AE"/>
    <w:rsid w:val="00B001C2"/>
    <w:rsid w:val="00B001EE"/>
    <w:rsid w:val="00B0022D"/>
    <w:rsid w:val="00B00285"/>
    <w:rsid w:val="00B00288"/>
    <w:rsid w:val="00B002AC"/>
    <w:rsid w:val="00B00320"/>
    <w:rsid w:val="00B003C0"/>
    <w:rsid w:val="00B00418"/>
    <w:rsid w:val="00B00436"/>
    <w:rsid w:val="00B00531"/>
    <w:rsid w:val="00B0053D"/>
    <w:rsid w:val="00B00556"/>
    <w:rsid w:val="00B00599"/>
    <w:rsid w:val="00B00601"/>
    <w:rsid w:val="00B00604"/>
    <w:rsid w:val="00B00656"/>
    <w:rsid w:val="00B00695"/>
    <w:rsid w:val="00B00728"/>
    <w:rsid w:val="00B0079C"/>
    <w:rsid w:val="00B008E9"/>
    <w:rsid w:val="00B00947"/>
    <w:rsid w:val="00B00998"/>
    <w:rsid w:val="00B009E2"/>
    <w:rsid w:val="00B009F3"/>
    <w:rsid w:val="00B00A0E"/>
    <w:rsid w:val="00B00A9C"/>
    <w:rsid w:val="00B00C07"/>
    <w:rsid w:val="00B00C09"/>
    <w:rsid w:val="00B00C38"/>
    <w:rsid w:val="00B00C3F"/>
    <w:rsid w:val="00B00D55"/>
    <w:rsid w:val="00B00D9B"/>
    <w:rsid w:val="00B00DB6"/>
    <w:rsid w:val="00B00DDF"/>
    <w:rsid w:val="00B00E02"/>
    <w:rsid w:val="00B00E15"/>
    <w:rsid w:val="00B00F44"/>
    <w:rsid w:val="00B0103C"/>
    <w:rsid w:val="00B010A5"/>
    <w:rsid w:val="00B010AA"/>
    <w:rsid w:val="00B010B7"/>
    <w:rsid w:val="00B0126B"/>
    <w:rsid w:val="00B01325"/>
    <w:rsid w:val="00B0142F"/>
    <w:rsid w:val="00B01696"/>
    <w:rsid w:val="00B016D5"/>
    <w:rsid w:val="00B01726"/>
    <w:rsid w:val="00B01779"/>
    <w:rsid w:val="00B0177A"/>
    <w:rsid w:val="00B0178F"/>
    <w:rsid w:val="00B01850"/>
    <w:rsid w:val="00B018C5"/>
    <w:rsid w:val="00B018D9"/>
    <w:rsid w:val="00B018F8"/>
    <w:rsid w:val="00B018FE"/>
    <w:rsid w:val="00B01995"/>
    <w:rsid w:val="00B01ABA"/>
    <w:rsid w:val="00B01B44"/>
    <w:rsid w:val="00B01BA0"/>
    <w:rsid w:val="00B01D37"/>
    <w:rsid w:val="00B01D7A"/>
    <w:rsid w:val="00B01DA1"/>
    <w:rsid w:val="00B01DCB"/>
    <w:rsid w:val="00B01DDB"/>
    <w:rsid w:val="00B01DEA"/>
    <w:rsid w:val="00B01E5F"/>
    <w:rsid w:val="00B01F2E"/>
    <w:rsid w:val="00B01F6B"/>
    <w:rsid w:val="00B01FC0"/>
    <w:rsid w:val="00B0200D"/>
    <w:rsid w:val="00B0202D"/>
    <w:rsid w:val="00B02051"/>
    <w:rsid w:val="00B02104"/>
    <w:rsid w:val="00B021B6"/>
    <w:rsid w:val="00B021DE"/>
    <w:rsid w:val="00B021FA"/>
    <w:rsid w:val="00B0228B"/>
    <w:rsid w:val="00B022E1"/>
    <w:rsid w:val="00B022F4"/>
    <w:rsid w:val="00B02413"/>
    <w:rsid w:val="00B02537"/>
    <w:rsid w:val="00B0256A"/>
    <w:rsid w:val="00B02584"/>
    <w:rsid w:val="00B027C8"/>
    <w:rsid w:val="00B0282A"/>
    <w:rsid w:val="00B0282D"/>
    <w:rsid w:val="00B0291D"/>
    <w:rsid w:val="00B02A34"/>
    <w:rsid w:val="00B02AEA"/>
    <w:rsid w:val="00B02B05"/>
    <w:rsid w:val="00B02B68"/>
    <w:rsid w:val="00B02C7E"/>
    <w:rsid w:val="00B02D2D"/>
    <w:rsid w:val="00B02DB5"/>
    <w:rsid w:val="00B02E90"/>
    <w:rsid w:val="00B02F8E"/>
    <w:rsid w:val="00B02FC2"/>
    <w:rsid w:val="00B03124"/>
    <w:rsid w:val="00B03148"/>
    <w:rsid w:val="00B0316E"/>
    <w:rsid w:val="00B031EB"/>
    <w:rsid w:val="00B03255"/>
    <w:rsid w:val="00B03336"/>
    <w:rsid w:val="00B03345"/>
    <w:rsid w:val="00B033F4"/>
    <w:rsid w:val="00B0364B"/>
    <w:rsid w:val="00B036B1"/>
    <w:rsid w:val="00B03711"/>
    <w:rsid w:val="00B037B1"/>
    <w:rsid w:val="00B037CE"/>
    <w:rsid w:val="00B0383C"/>
    <w:rsid w:val="00B03885"/>
    <w:rsid w:val="00B0392B"/>
    <w:rsid w:val="00B0394C"/>
    <w:rsid w:val="00B0396C"/>
    <w:rsid w:val="00B03A8A"/>
    <w:rsid w:val="00B03B33"/>
    <w:rsid w:val="00B03CB3"/>
    <w:rsid w:val="00B03D70"/>
    <w:rsid w:val="00B03D78"/>
    <w:rsid w:val="00B03DBB"/>
    <w:rsid w:val="00B03E08"/>
    <w:rsid w:val="00B03EC6"/>
    <w:rsid w:val="00B03F1A"/>
    <w:rsid w:val="00B03F2A"/>
    <w:rsid w:val="00B03F4F"/>
    <w:rsid w:val="00B03F70"/>
    <w:rsid w:val="00B03FE5"/>
    <w:rsid w:val="00B04037"/>
    <w:rsid w:val="00B04041"/>
    <w:rsid w:val="00B0405E"/>
    <w:rsid w:val="00B040DE"/>
    <w:rsid w:val="00B040E6"/>
    <w:rsid w:val="00B0420E"/>
    <w:rsid w:val="00B043DD"/>
    <w:rsid w:val="00B0443B"/>
    <w:rsid w:val="00B04533"/>
    <w:rsid w:val="00B045B6"/>
    <w:rsid w:val="00B04606"/>
    <w:rsid w:val="00B0469E"/>
    <w:rsid w:val="00B04720"/>
    <w:rsid w:val="00B0492E"/>
    <w:rsid w:val="00B04A89"/>
    <w:rsid w:val="00B04B9C"/>
    <w:rsid w:val="00B04C95"/>
    <w:rsid w:val="00B04D80"/>
    <w:rsid w:val="00B04D84"/>
    <w:rsid w:val="00B04DF1"/>
    <w:rsid w:val="00B04DF8"/>
    <w:rsid w:val="00B04E2C"/>
    <w:rsid w:val="00B04EB2"/>
    <w:rsid w:val="00B04F3E"/>
    <w:rsid w:val="00B04FD8"/>
    <w:rsid w:val="00B0518E"/>
    <w:rsid w:val="00B051FB"/>
    <w:rsid w:val="00B05221"/>
    <w:rsid w:val="00B05235"/>
    <w:rsid w:val="00B0523D"/>
    <w:rsid w:val="00B05248"/>
    <w:rsid w:val="00B05418"/>
    <w:rsid w:val="00B05443"/>
    <w:rsid w:val="00B05463"/>
    <w:rsid w:val="00B055DE"/>
    <w:rsid w:val="00B05609"/>
    <w:rsid w:val="00B05618"/>
    <w:rsid w:val="00B056A0"/>
    <w:rsid w:val="00B05714"/>
    <w:rsid w:val="00B0585E"/>
    <w:rsid w:val="00B0593E"/>
    <w:rsid w:val="00B059D9"/>
    <w:rsid w:val="00B05A08"/>
    <w:rsid w:val="00B05A43"/>
    <w:rsid w:val="00B05AF3"/>
    <w:rsid w:val="00B05C95"/>
    <w:rsid w:val="00B05C99"/>
    <w:rsid w:val="00B05CAE"/>
    <w:rsid w:val="00B05CC5"/>
    <w:rsid w:val="00B05D17"/>
    <w:rsid w:val="00B05D2B"/>
    <w:rsid w:val="00B05DAA"/>
    <w:rsid w:val="00B05FC0"/>
    <w:rsid w:val="00B05FED"/>
    <w:rsid w:val="00B06115"/>
    <w:rsid w:val="00B06116"/>
    <w:rsid w:val="00B06137"/>
    <w:rsid w:val="00B06188"/>
    <w:rsid w:val="00B061B5"/>
    <w:rsid w:val="00B06262"/>
    <w:rsid w:val="00B06345"/>
    <w:rsid w:val="00B063B0"/>
    <w:rsid w:val="00B0644A"/>
    <w:rsid w:val="00B064AE"/>
    <w:rsid w:val="00B064B5"/>
    <w:rsid w:val="00B0655E"/>
    <w:rsid w:val="00B06638"/>
    <w:rsid w:val="00B06758"/>
    <w:rsid w:val="00B06773"/>
    <w:rsid w:val="00B06781"/>
    <w:rsid w:val="00B06797"/>
    <w:rsid w:val="00B067EB"/>
    <w:rsid w:val="00B068C9"/>
    <w:rsid w:val="00B068E3"/>
    <w:rsid w:val="00B06993"/>
    <w:rsid w:val="00B069E8"/>
    <w:rsid w:val="00B069F7"/>
    <w:rsid w:val="00B06C4A"/>
    <w:rsid w:val="00B06CE8"/>
    <w:rsid w:val="00B06CEE"/>
    <w:rsid w:val="00B06D3B"/>
    <w:rsid w:val="00B06D43"/>
    <w:rsid w:val="00B06DE2"/>
    <w:rsid w:val="00B06E3F"/>
    <w:rsid w:val="00B06F3A"/>
    <w:rsid w:val="00B06F48"/>
    <w:rsid w:val="00B06F6A"/>
    <w:rsid w:val="00B06FAE"/>
    <w:rsid w:val="00B06FB8"/>
    <w:rsid w:val="00B07076"/>
    <w:rsid w:val="00B0711E"/>
    <w:rsid w:val="00B07140"/>
    <w:rsid w:val="00B07228"/>
    <w:rsid w:val="00B07296"/>
    <w:rsid w:val="00B0737D"/>
    <w:rsid w:val="00B073A3"/>
    <w:rsid w:val="00B073AC"/>
    <w:rsid w:val="00B0748A"/>
    <w:rsid w:val="00B07498"/>
    <w:rsid w:val="00B074E0"/>
    <w:rsid w:val="00B0752B"/>
    <w:rsid w:val="00B07580"/>
    <w:rsid w:val="00B07594"/>
    <w:rsid w:val="00B0759D"/>
    <w:rsid w:val="00B07697"/>
    <w:rsid w:val="00B076AF"/>
    <w:rsid w:val="00B077EA"/>
    <w:rsid w:val="00B077FF"/>
    <w:rsid w:val="00B0788C"/>
    <w:rsid w:val="00B078AA"/>
    <w:rsid w:val="00B079A2"/>
    <w:rsid w:val="00B079F1"/>
    <w:rsid w:val="00B07A4D"/>
    <w:rsid w:val="00B07AD7"/>
    <w:rsid w:val="00B07AE1"/>
    <w:rsid w:val="00B07B20"/>
    <w:rsid w:val="00B07C3F"/>
    <w:rsid w:val="00B07C8A"/>
    <w:rsid w:val="00B07C93"/>
    <w:rsid w:val="00B07C97"/>
    <w:rsid w:val="00B07D18"/>
    <w:rsid w:val="00B07D71"/>
    <w:rsid w:val="00B07DD9"/>
    <w:rsid w:val="00B07E52"/>
    <w:rsid w:val="00B07FD0"/>
    <w:rsid w:val="00B07FD5"/>
    <w:rsid w:val="00B1007B"/>
    <w:rsid w:val="00B10210"/>
    <w:rsid w:val="00B102C0"/>
    <w:rsid w:val="00B10308"/>
    <w:rsid w:val="00B103C9"/>
    <w:rsid w:val="00B104AC"/>
    <w:rsid w:val="00B10545"/>
    <w:rsid w:val="00B10560"/>
    <w:rsid w:val="00B105D0"/>
    <w:rsid w:val="00B105FA"/>
    <w:rsid w:val="00B10619"/>
    <w:rsid w:val="00B10626"/>
    <w:rsid w:val="00B10669"/>
    <w:rsid w:val="00B10736"/>
    <w:rsid w:val="00B10747"/>
    <w:rsid w:val="00B107C0"/>
    <w:rsid w:val="00B1091E"/>
    <w:rsid w:val="00B109A2"/>
    <w:rsid w:val="00B10AAF"/>
    <w:rsid w:val="00B10AC7"/>
    <w:rsid w:val="00B10ACB"/>
    <w:rsid w:val="00B10B64"/>
    <w:rsid w:val="00B10BC2"/>
    <w:rsid w:val="00B10C36"/>
    <w:rsid w:val="00B10C54"/>
    <w:rsid w:val="00B10C69"/>
    <w:rsid w:val="00B10CB9"/>
    <w:rsid w:val="00B10CD9"/>
    <w:rsid w:val="00B10CED"/>
    <w:rsid w:val="00B10D68"/>
    <w:rsid w:val="00B10D93"/>
    <w:rsid w:val="00B10DCB"/>
    <w:rsid w:val="00B10E06"/>
    <w:rsid w:val="00B10E4B"/>
    <w:rsid w:val="00B10F22"/>
    <w:rsid w:val="00B10FEC"/>
    <w:rsid w:val="00B1114B"/>
    <w:rsid w:val="00B11154"/>
    <w:rsid w:val="00B1119B"/>
    <w:rsid w:val="00B11216"/>
    <w:rsid w:val="00B11236"/>
    <w:rsid w:val="00B1123A"/>
    <w:rsid w:val="00B1128B"/>
    <w:rsid w:val="00B1132A"/>
    <w:rsid w:val="00B113C5"/>
    <w:rsid w:val="00B11481"/>
    <w:rsid w:val="00B1148D"/>
    <w:rsid w:val="00B114DB"/>
    <w:rsid w:val="00B115F1"/>
    <w:rsid w:val="00B115F7"/>
    <w:rsid w:val="00B11614"/>
    <w:rsid w:val="00B11671"/>
    <w:rsid w:val="00B116E4"/>
    <w:rsid w:val="00B116F3"/>
    <w:rsid w:val="00B1184F"/>
    <w:rsid w:val="00B11859"/>
    <w:rsid w:val="00B118CE"/>
    <w:rsid w:val="00B11939"/>
    <w:rsid w:val="00B11A14"/>
    <w:rsid w:val="00B11A27"/>
    <w:rsid w:val="00B11A82"/>
    <w:rsid w:val="00B11A84"/>
    <w:rsid w:val="00B11A88"/>
    <w:rsid w:val="00B11AB7"/>
    <w:rsid w:val="00B11AF9"/>
    <w:rsid w:val="00B11B33"/>
    <w:rsid w:val="00B11B6D"/>
    <w:rsid w:val="00B11BA4"/>
    <w:rsid w:val="00B11D57"/>
    <w:rsid w:val="00B11EF5"/>
    <w:rsid w:val="00B11F2E"/>
    <w:rsid w:val="00B11F36"/>
    <w:rsid w:val="00B11F73"/>
    <w:rsid w:val="00B11FD3"/>
    <w:rsid w:val="00B11FE4"/>
    <w:rsid w:val="00B12041"/>
    <w:rsid w:val="00B120A9"/>
    <w:rsid w:val="00B120C2"/>
    <w:rsid w:val="00B1219C"/>
    <w:rsid w:val="00B121A3"/>
    <w:rsid w:val="00B121CD"/>
    <w:rsid w:val="00B12206"/>
    <w:rsid w:val="00B1232D"/>
    <w:rsid w:val="00B1247F"/>
    <w:rsid w:val="00B12483"/>
    <w:rsid w:val="00B1260A"/>
    <w:rsid w:val="00B12661"/>
    <w:rsid w:val="00B1268F"/>
    <w:rsid w:val="00B126B9"/>
    <w:rsid w:val="00B12723"/>
    <w:rsid w:val="00B12859"/>
    <w:rsid w:val="00B12872"/>
    <w:rsid w:val="00B1288E"/>
    <w:rsid w:val="00B12940"/>
    <w:rsid w:val="00B12974"/>
    <w:rsid w:val="00B129AD"/>
    <w:rsid w:val="00B129E3"/>
    <w:rsid w:val="00B12B92"/>
    <w:rsid w:val="00B12BA8"/>
    <w:rsid w:val="00B12BD4"/>
    <w:rsid w:val="00B12BD9"/>
    <w:rsid w:val="00B12C06"/>
    <w:rsid w:val="00B12C47"/>
    <w:rsid w:val="00B12C6E"/>
    <w:rsid w:val="00B12C72"/>
    <w:rsid w:val="00B12CC5"/>
    <w:rsid w:val="00B12CC7"/>
    <w:rsid w:val="00B12CF0"/>
    <w:rsid w:val="00B12D9F"/>
    <w:rsid w:val="00B12E20"/>
    <w:rsid w:val="00B12E51"/>
    <w:rsid w:val="00B12EF0"/>
    <w:rsid w:val="00B12EFD"/>
    <w:rsid w:val="00B12F16"/>
    <w:rsid w:val="00B12FE8"/>
    <w:rsid w:val="00B13087"/>
    <w:rsid w:val="00B130E5"/>
    <w:rsid w:val="00B131D8"/>
    <w:rsid w:val="00B13257"/>
    <w:rsid w:val="00B132BB"/>
    <w:rsid w:val="00B132FA"/>
    <w:rsid w:val="00B1331E"/>
    <w:rsid w:val="00B133AE"/>
    <w:rsid w:val="00B133EA"/>
    <w:rsid w:val="00B13403"/>
    <w:rsid w:val="00B1349F"/>
    <w:rsid w:val="00B134BD"/>
    <w:rsid w:val="00B13529"/>
    <w:rsid w:val="00B13549"/>
    <w:rsid w:val="00B135B6"/>
    <w:rsid w:val="00B135DC"/>
    <w:rsid w:val="00B13661"/>
    <w:rsid w:val="00B1366C"/>
    <w:rsid w:val="00B13700"/>
    <w:rsid w:val="00B13721"/>
    <w:rsid w:val="00B1374A"/>
    <w:rsid w:val="00B13771"/>
    <w:rsid w:val="00B137D0"/>
    <w:rsid w:val="00B13816"/>
    <w:rsid w:val="00B13890"/>
    <w:rsid w:val="00B13948"/>
    <w:rsid w:val="00B13A00"/>
    <w:rsid w:val="00B13A03"/>
    <w:rsid w:val="00B13A42"/>
    <w:rsid w:val="00B13B84"/>
    <w:rsid w:val="00B13B8A"/>
    <w:rsid w:val="00B13BB0"/>
    <w:rsid w:val="00B13C34"/>
    <w:rsid w:val="00B13CD1"/>
    <w:rsid w:val="00B13D04"/>
    <w:rsid w:val="00B13D3D"/>
    <w:rsid w:val="00B13D5F"/>
    <w:rsid w:val="00B13D8F"/>
    <w:rsid w:val="00B13DB7"/>
    <w:rsid w:val="00B13EDD"/>
    <w:rsid w:val="00B13FF5"/>
    <w:rsid w:val="00B140E3"/>
    <w:rsid w:val="00B140FC"/>
    <w:rsid w:val="00B14144"/>
    <w:rsid w:val="00B14162"/>
    <w:rsid w:val="00B141CC"/>
    <w:rsid w:val="00B141E7"/>
    <w:rsid w:val="00B14221"/>
    <w:rsid w:val="00B14252"/>
    <w:rsid w:val="00B14271"/>
    <w:rsid w:val="00B1429F"/>
    <w:rsid w:val="00B142A4"/>
    <w:rsid w:val="00B142AF"/>
    <w:rsid w:val="00B143A8"/>
    <w:rsid w:val="00B145C9"/>
    <w:rsid w:val="00B14677"/>
    <w:rsid w:val="00B14709"/>
    <w:rsid w:val="00B14737"/>
    <w:rsid w:val="00B14759"/>
    <w:rsid w:val="00B14773"/>
    <w:rsid w:val="00B147E0"/>
    <w:rsid w:val="00B1484A"/>
    <w:rsid w:val="00B148D7"/>
    <w:rsid w:val="00B148E7"/>
    <w:rsid w:val="00B14918"/>
    <w:rsid w:val="00B14954"/>
    <w:rsid w:val="00B14994"/>
    <w:rsid w:val="00B14A9E"/>
    <w:rsid w:val="00B14B53"/>
    <w:rsid w:val="00B14B55"/>
    <w:rsid w:val="00B14BFD"/>
    <w:rsid w:val="00B14D9B"/>
    <w:rsid w:val="00B1503F"/>
    <w:rsid w:val="00B1506B"/>
    <w:rsid w:val="00B150FF"/>
    <w:rsid w:val="00B1516D"/>
    <w:rsid w:val="00B15170"/>
    <w:rsid w:val="00B151DF"/>
    <w:rsid w:val="00B15241"/>
    <w:rsid w:val="00B152B3"/>
    <w:rsid w:val="00B15339"/>
    <w:rsid w:val="00B153A9"/>
    <w:rsid w:val="00B153C9"/>
    <w:rsid w:val="00B153F6"/>
    <w:rsid w:val="00B1549A"/>
    <w:rsid w:val="00B155AA"/>
    <w:rsid w:val="00B155CC"/>
    <w:rsid w:val="00B15648"/>
    <w:rsid w:val="00B156C9"/>
    <w:rsid w:val="00B15787"/>
    <w:rsid w:val="00B1582C"/>
    <w:rsid w:val="00B15873"/>
    <w:rsid w:val="00B1596D"/>
    <w:rsid w:val="00B1597B"/>
    <w:rsid w:val="00B159AD"/>
    <w:rsid w:val="00B15AE2"/>
    <w:rsid w:val="00B15B52"/>
    <w:rsid w:val="00B15B77"/>
    <w:rsid w:val="00B15B9A"/>
    <w:rsid w:val="00B15CF5"/>
    <w:rsid w:val="00B15E3C"/>
    <w:rsid w:val="00B15ED8"/>
    <w:rsid w:val="00B15F5B"/>
    <w:rsid w:val="00B15F71"/>
    <w:rsid w:val="00B15FAB"/>
    <w:rsid w:val="00B1601B"/>
    <w:rsid w:val="00B16063"/>
    <w:rsid w:val="00B16317"/>
    <w:rsid w:val="00B16365"/>
    <w:rsid w:val="00B16390"/>
    <w:rsid w:val="00B163CD"/>
    <w:rsid w:val="00B1647B"/>
    <w:rsid w:val="00B1659C"/>
    <w:rsid w:val="00B165AE"/>
    <w:rsid w:val="00B166F5"/>
    <w:rsid w:val="00B166F7"/>
    <w:rsid w:val="00B16774"/>
    <w:rsid w:val="00B167C8"/>
    <w:rsid w:val="00B167D6"/>
    <w:rsid w:val="00B16814"/>
    <w:rsid w:val="00B16899"/>
    <w:rsid w:val="00B168C1"/>
    <w:rsid w:val="00B168E6"/>
    <w:rsid w:val="00B1693B"/>
    <w:rsid w:val="00B169AA"/>
    <w:rsid w:val="00B16AC7"/>
    <w:rsid w:val="00B16B16"/>
    <w:rsid w:val="00B16B2E"/>
    <w:rsid w:val="00B16BFF"/>
    <w:rsid w:val="00B16C35"/>
    <w:rsid w:val="00B16C68"/>
    <w:rsid w:val="00B16CBA"/>
    <w:rsid w:val="00B16D26"/>
    <w:rsid w:val="00B16D2B"/>
    <w:rsid w:val="00B16E8D"/>
    <w:rsid w:val="00B16EDF"/>
    <w:rsid w:val="00B16EE2"/>
    <w:rsid w:val="00B16FE7"/>
    <w:rsid w:val="00B16FFA"/>
    <w:rsid w:val="00B17045"/>
    <w:rsid w:val="00B170BF"/>
    <w:rsid w:val="00B17156"/>
    <w:rsid w:val="00B171DC"/>
    <w:rsid w:val="00B171E2"/>
    <w:rsid w:val="00B1725F"/>
    <w:rsid w:val="00B172C4"/>
    <w:rsid w:val="00B172F1"/>
    <w:rsid w:val="00B1736F"/>
    <w:rsid w:val="00B173C5"/>
    <w:rsid w:val="00B17433"/>
    <w:rsid w:val="00B17524"/>
    <w:rsid w:val="00B17551"/>
    <w:rsid w:val="00B177C0"/>
    <w:rsid w:val="00B1780F"/>
    <w:rsid w:val="00B178F1"/>
    <w:rsid w:val="00B178F2"/>
    <w:rsid w:val="00B17946"/>
    <w:rsid w:val="00B1796C"/>
    <w:rsid w:val="00B1799E"/>
    <w:rsid w:val="00B179C8"/>
    <w:rsid w:val="00B179EC"/>
    <w:rsid w:val="00B17B19"/>
    <w:rsid w:val="00B17B63"/>
    <w:rsid w:val="00B17C57"/>
    <w:rsid w:val="00B17CDA"/>
    <w:rsid w:val="00B17CFC"/>
    <w:rsid w:val="00B17E9B"/>
    <w:rsid w:val="00B17EF3"/>
    <w:rsid w:val="00B17F2B"/>
    <w:rsid w:val="00B17F65"/>
    <w:rsid w:val="00B2026D"/>
    <w:rsid w:val="00B2037B"/>
    <w:rsid w:val="00B203AE"/>
    <w:rsid w:val="00B203B5"/>
    <w:rsid w:val="00B2045A"/>
    <w:rsid w:val="00B204CF"/>
    <w:rsid w:val="00B204FF"/>
    <w:rsid w:val="00B20570"/>
    <w:rsid w:val="00B205B6"/>
    <w:rsid w:val="00B205DB"/>
    <w:rsid w:val="00B20619"/>
    <w:rsid w:val="00B206AF"/>
    <w:rsid w:val="00B20711"/>
    <w:rsid w:val="00B20714"/>
    <w:rsid w:val="00B20800"/>
    <w:rsid w:val="00B20809"/>
    <w:rsid w:val="00B20850"/>
    <w:rsid w:val="00B2094E"/>
    <w:rsid w:val="00B209C0"/>
    <w:rsid w:val="00B20DAC"/>
    <w:rsid w:val="00B20DC0"/>
    <w:rsid w:val="00B20DE0"/>
    <w:rsid w:val="00B210A3"/>
    <w:rsid w:val="00B210C1"/>
    <w:rsid w:val="00B210DE"/>
    <w:rsid w:val="00B2113E"/>
    <w:rsid w:val="00B21190"/>
    <w:rsid w:val="00B21224"/>
    <w:rsid w:val="00B212BA"/>
    <w:rsid w:val="00B2133D"/>
    <w:rsid w:val="00B213C5"/>
    <w:rsid w:val="00B213E2"/>
    <w:rsid w:val="00B2148A"/>
    <w:rsid w:val="00B214D9"/>
    <w:rsid w:val="00B214E9"/>
    <w:rsid w:val="00B215B6"/>
    <w:rsid w:val="00B215D6"/>
    <w:rsid w:val="00B21659"/>
    <w:rsid w:val="00B21787"/>
    <w:rsid w:val="00B2185C"/>
    <w:rsid w:val="00B218CC"/>
    <w:rsid w:val="00B21942"/>
    <w:rsid w:val="00B21A4C"/>
    <w:rsid w:val="00B21AC5"/>
    <w:rsid w:val="00B21AD0"/>
    <w:rsid w:val="00B21B21"/>
    <w:rsid w:val="00B21B76"/>
    <w:rsid w:val="00B21D93"/>
    <w:rsid w:val="00B21E8B"/>
    <w:rsid w:val="00B21EE6"/>
    <w:rsid w:val="00B21EEC"/>
    <w:rsid w:val="00B21EF9"/>
    <w:rsid w:val="00B21F34"/>
    <w:rsid w:val="00B21F60"/>
    <w:rsid w:val="00B2205E"/>
    <w:rsid w:val="00B220C8"/>
    <w:rsid w:val="00B220EA"/>
    <w:rsid w:val="00B22157"/>
    <w:rsid w:val="00B221BC"/>
    <w:rsid w:val="00B22301"/>
    <w:rsid w:val="00B2238A"/>
    <w:rsid w:val="00B22431"/>
    <w:rsid w:val="00B22468"/>
    <w:rsid w:val="00B224BA"/>
    <w:rsid w:val="00B224E6"/>
    <w:rsid w:val="00B2253E"/>
    <w:rsid w:val="00B22554"/>
    <w:rsid w:val="00B225EF"/>
    <w:rsid w:val="00B2264A"/>
    <w:rsid w:val="00B226BD"/>
    <w:rsid w:val="00B22730"/>
    <w:rsid w:val="00B22811"/>
    <w:rsid w:val="00B22934"/>
    <w:rsid w:val="00B2297D"/>
    <w:rsid w:val="00B22AB4"/>
    <w:rsid w:val="00B22AE2"/>
    <w:rsid w:val="00B22B4F"/>
    <w:rsid w:val="00B22BF4"/>
    <w:rsid w:val="00B22C10"/>
    <w:rsid w:val="00B22CA2"/>
    <w:rsid w:val="00B22CBC"/>
    <w:rsid w:val="00B22D22"/>
    <w:rsid w:val="00B22DE2"/>
    <w:rsid w:val="00B22E67"/>
    <w:rsid w:val="00B22F6D"/>
    <w:rsid w:val="00B22FAE"/>
    <w:rsid w:val="00B2304D"/>
    <w:rsid w:val="00B23074"/>
    <w:rsid w:val="00B23237"/>
    <w:rsid w:val="00B23242"/>
    <w:rsid w:val="00B23273"/>
    <w:rsid w:val="00B2328B"/>
    <w:rsid w:val="00B232AD"/>
    <w:rsid w:val="00B232C1"/>
    <w:rsid w:val="00B232F6"/>
    <w:rsid w:val="00B232FF"/>
    <w:rsid w:val="00B23404"/>
    <w:rsid w:val="00B234B3"/>
    <w:rsid w:val="00B234C2"/>
    <w:rsid w:val="00B23564"/>
    <w:rsid w:val="00B23698"/>
    <w:rsid w:val="00B23728"/>
    <w:rsid w:val="00B237DB"/>
    <w:rsid w:val="00B237EF"/>
    <w:rsid w:val="00B23801"/>
    <w:rsid w:val="00B23966"/>
    <w:rsid w:val="00B239B3"/>
    <w:rsid w:val="00B23A2D"/>
    <w:rsid w:val="00B23B01"/>
    <w:rsid w:val="00B23B04"/>
    <w:rsid w:val="00B23B29"/>
    <w:rsid w:val="00B23B9D"/>
    <w:rsid w:val="00B23C10"/>
    <w:rsid w:val="00B23C5A"/>
    <w:rsid w:val="00B23CA1"/>
    <w:rsid w:val="00B23CBD"/>
    <w:rsid w:val="00B23CD2"/>
    <w:rsid w:val="00B23D53"/>
    <w:rsid w:val="00B23D6A"/>
    <w:rsid w:val="00B23E49"/>
    <w:rsid w:val="00B23F1C"/>
    <w:rsid w:val="00B23FD7"/>
    <w:rsid w:val="00B240F6"/>
    <w:rsid w:val="00B242BA"/>
    <w:rsid w:val="00B242E8"/>
    <w:rsid w:val="00B243B2"/>
    <w:rsid w:val="00B243D9"/>
    <w:rsid w:val="00B24419"/>
    <w:rsid w:val="00B24422"/>
    <w:rsid w:val="00B24455"/>
    <w:rsid w:val="00B2446A"/>
    <w:rsid w:val="00B24480"/>
    <w:rsid w:val="00B24488"/>
    <w:rsid w:val="00B2460F"/>
    <w:rsid w:val="00B24677"/>
    <w:rsid w:val="00B24693"/>
    <w:rsid w:val="00B24696"/>
    <w:rsid w:val="00B248A0"/>
    <w:rsid w:val="00B2495D"/>
    <w:rsid w:val="00B24967"/>
    <w:rsid w:val="00B249D7"/>
    <w:rsid w:val="00B24A04"/>
    <w:rsid w:val="00B24AA1"/>
    <w:rsid w:val="00B24ABB"/>
    <w:rsid w:val="00B24ACC"/>
    <w:rsid w:val="00B24B60"/>
    <w:rsid w:val="00B24C56"/>
    <w:rsid w:val="00B24C87"/>
    <w:rsid w:val="00B24CDC"/>
    <w:rsid w:val="00B24CF4"/>
    <w:rsid w:val="00B24D69"/>
    <w:rsid w:val="00B2502F"/>
    <w:rsid w:val="00B25054"/>
    <w:rsid w:val="00B2508D"/>
    <w:rsid w:val="00B25092"/>
    <w:rsid w:val="00B25189"/>
    <w:rsid w:val="00B25217"/>
    <w:rsid w:val="00B252A5"/>
    <w:rsid w:val="00B252EC"/>
    <w:rsid w:val="00B25390"/>
    <w:rsid w:val="00B253C4"/>
    <w:rsid w:val="00B253DB"/>
    <w:rsid w:val="00B253EC"/>
    <w:rsid w:val="00B254F3"/>
    <w:rsid w:val="00B2553B"/>
    <w:rsid w:val="00B2556E"/>
    <w:rsid w:val="00B2559F"/>
    <w:rsid w:val="00B255F9"/>
    <w:rsid w:val="00B25769"/>
    <w:rsid w:val="00B25811"/>
    <w:rsid w:val="00B25A74"/>
    <w:rsid w:val="00B25AEF"/>
    <w:rsid w:val="00B25B68"/>
    <w:rsid w:val="00B25B7E"/>
    <w:rsid w:val="00B25BB1"/>
    <w:rsid w:val="00B25C22"/>
    <w:rsid w:val="00B25C5A"/>
    <w:rsid w:val="00B25CA5"/>
    <w:rsid w:val="00B25CBD"/>
    <w:rsid w:val="00B25F8C"/>
    <w:rsid w:val="00B25F92"/>
    <w:rsid w:val="00B25FF2"/>
    <w:rsid w:val="00B2614F"/>
    <w:rsid w:val="00B26346"/>
    <w:rsid w:val="00B26400"/>
    <w:rsid w:val="00B2659A"/>
    <w:rsid w:val="00B265B4"/>
    <w:rsid w:val="00B2669A"/>
    <w:rsid w:val="00B26832"/>
    <w:rsid w:val="00B268FC"/>
    <w:rsid w:val="00B26976"/>
    <w:rsid w:val="00B269F0"/>
    <w:rsid w:val="00B26A19"/>
    <w:rsid w:val="00B26B5D"/>
    <w:rsid w:val="00B26BB0"/>
    <w:rsid w:val="00B26C7B"/>
    <w:rsid w:val="00B26D1A"/>
    <w:rsid w:val="00B26DB9"/>
    <w:rsid w:val="00B26DE1"/>
    <w:rsid w:val="00B26E51"/>
    <w:rsid w:val="00B26E91"/>
    <w:rsid w:val="00B26ED5"/>
    <w:rsid w:val="00B26EDF"/>
    <w:rsid w:val="00B26F2D"/>
    <w:rsid w:val="00B26F4F"/>
    <w:rsid w:val="00B2702E"/>
    <w:rsid w:val="00B2708D"/>
    <w:rsid w:val="00B27091"/>
    <w:rsid w:val="00B27092"/>
    <w:rsid w:val="00B27114"/>
    <w:rsid w:val="00B271C2"/>
    <w:rsid w:val="00B27264"/>
    <w:rsid w:val="00B273C8"/>
    <w:rsid w:val="00B2753B"/>
    <w:rsid w:val="00B2756C"/>
    <w:rsid w:val="00B27608"/>
    <w:rsid w:val="00B276D5"/>
    <w:rsid w:val="00B276F5"/>
    <w:rsid w:val="00B27708"/>
    <w:rsid w:val="00B27749"/>
    <w:rsid w:val="00B27760"/>
    <w:rsid w:val="00B2777A"/>
    <w:rsid w:val="00B27799"/>
    <w:rsid w:val="00B27994"/>
    <w:rsid w:val="00B279C9"/>
    <w:rsid w:val="00B27AAE"/>
    <w:rsid w:val="00B27BA7"/>
    <w:rsid w:val="00B27BFF"/>
    <w:rsid w:val="00B27C47"/>
    <w:rsid w:val="00B27CAD"/>
    <w:rsid w:val="00B27CE9"/>
    <w:rsid w:val="00B27D2B"/>
    <w:rsid w:val="00B27D32"/>
    <w:rsid w:val="00B27DA0"/>
    <w:rsid w:val="00B27E1D"/>
    <w:rsid w:val="00B27E2E"/>
    <w:rsid w:val="00B27F1D"/>
    <w:rsid w:val="00B27F22"/>
    <w:rsid w:val="00B27FDC"/>
    <w:rsid w:val="00B30021"/>
    <w:rsid w:val="00B3004B"/>
    <w:rsid w:val="00B301CB"/>
    <w:rsid w:val="00B30200"/>
    <w:rsid w:val="00B303D4"/>
    <w:rsid w:val="00B303FD"/>
    <w:rsid w:val="00B30548"/>
    <w:rsid w:val="00B3056F"/>
    <w:rsid w:val="00B3057F"/>
    <w:rsid w:val="00B305FD"/>
    <w:rsid w:val="00B30657"/>
    <w:rsid w:val="00B3080E"/>
    <w:rsid w:val="00B30813"/>
    <w:rsid w:val="00B30820"/>
    <w:rsid w:val="00B30845"/>
    <w:rsid w:val="00B308A0"/>
    <w:rsid w:val="00B3096A"/>
    <w:rsid w:val="00B309FA"/>
    <w:rsid w:val="00B30A10"/>
    <w:rsid w:val="00B30B2C"/>
    <w:rsid w:val="00B30C15"/>
    <w:rsid w:val="00B30CD1"/>
    <w:rsid w:val="00B30DAA"/>
    <w:rsid w:val="00B30E43"/>
    <w:rsid w:val="00B30F10"/>
    <w:rsid w:val="00B30F4B"/>
    <w:rsid w:val="00B30F82"/>
    <w:rsid w:val="00B31049"/>
    <w:rsid w:val="00B31161"/>
    <w:rsid w:val="00B3117B"/>
    <w:rsid w:val="00B311DE"/>
    <w:rsid w:val="00B312E2"/>
    <w:rsid w:val="00B31316"/>
    <w:rsid w:val="00B31425"/>
    <w:rsid w:val="00B314CC"/>
    <w:rsid w:val="00B31571"/>
    <w:rsid w:val="00B3158A"/>
    <w:rsid w:val="00B316C3"/>
    <w:rsid w:val="00B316DE"/>
    <w:rsid w:val="00B316FF"/>
    <w:rsid w:val="00B31765"/>
    <w:rsid w:val="00B317BA"/>
    <w:rsid w:val="00B317F7"/>
    <w:rsid w:val="00B3183D"/>
    <w:rsid w:val="00B3189D"/>
    <w:rsid w:val="00B3198E"/>
    <w:rsid w:val="00B31A1E"/>
    <w:rsid w:val="00B31A92"/>
    <w:rsid w:val="00B31B0F"/>
    <w:rsid w:val="00B31B7B"/>
    <w:rsid w:val="00B31BB8"/>
    <w:rsid w:val="00B31C14"/>
    <w:rsid w:val="00B31CB8"/>
    <w:rsid w:val="00B31DB2"/>
    <w:rsid w:val="00B31ED8"/>
    <w:rsid w:val="00B31F3E"/>
    <w:rsid w:val="00B32108"/>
    <w:rsid w:val="00B32148"/>
    <w:rsid w:val="00B32171"/>
    <w:rsid w:val="00B322E9"/>
    <w:rsid w:val="00B32328"/>
    <w:rsid w:val="00B3237A"/>
    <w:rsid w:val="00B3240D"/>
    <w:rsid w:val="00B32445"/>
    <w:rsid w:val="00B32559"/>
    <w:rsid w:val="00B32605"/>
    <w:rsid w:val="00B326BB"/>
    <w:rsid w:val="00B326EC"/>
    <w:rsid w:val="00B3271A"/>
    <w:rsid w:val="00B328D5"/>
    <w:rsid w:val="00B32948"/>
    <w:rsid w:val="00B32963"/>
    <w:rsid w:val="00B329BC"/>
    <w:rsid w:val="00B32A0C"/>
    <w:rsid w:val="00B32AAC"/>
    <w:rsid w:val="00B32BFF"/>
    <w:rsid w:val="00B32C44"/>
    <w:rsid w:val="00B32C6B"/>
    <w:rsid w:val="00B32C97"/>
    <w:rsid w:val="00B32DCB"/>
    <w:rsid w:val="00B32EFC"/>
    <w:rsid w:val="00B32F36"/>
    <w:rsid w:val="00B32FD9"/>
    <w:rsid w:val="00B33085"/>
    <w:rsid w:val="00B3310C"/>
    <w:rsid w:val="00B3323A"/>
    <w:rsid w:val="00B33269"/>
    <w:rsid w:val="00B3334B"/>
    <w:rsid w:val="00B333C2"/>
    <w:rsid w:val="00B33482"/>
    <w:rsid w:val="00B334F7"/>
    <w:rsid w:val="00B3359E"/>
    <w:rsid w:val="00B33609"/>
    <w:rsid w:val="00B33691"/>
    <w:rsid w:val="00B3373F"/>
    <w:rsid w:val="00B337C8"/>
    <w:rsid w:val="00B337D6"/>
    <w:rsid w:val="00B337EE"/>
    <w:rsid w:val="00B33859"/>
    <w:rsid w:val="00B33902"/>
    <w:rsid w:val="00B3396A"/>
    <w:rsid w:val="00B33972"/>
    <w:rsid w:val="00B33AA4"/>
    <w:rsid w:val="00B33AC3"/>
    <w:rsid w:val="00B33AE8"/>
    <w:rsid w:val="00B33AFD"/>
    <w:rsid w:val="00B33B02"/>
    <w:rsid w:val="00B33B87"/>
    <w:rsid w:val="00B33BD0"/>
    <w:rsid w:val="00B33D20"/>
    <w:rsid w:val="00B33D36"/>
    <w:rsid w:val="00B33D99"/>
    <w:rsid w:val="00B33DA9"/>
    <w:rsid w:val="00B33DEE"/>
    <w:rsid w:val="00B33EA2"/>
    <w:rsid w:val="00B33F38"/>
    <w:rsid w:val="00B33FAA"/>
    <w:rsid w:val="00B33FC2"/>
    <w:rsid w:val="00B33FDE"/>
    <w:rsid w:val="00B340A1"/>
    <w:rsid w:val="00B34110"/>
    <w:rsid w:val="00B34173"/>
    <w:rsid w:val="00B34270"/>
    <w:rsid w:val="00B34295"/>
    <w:rsid w:val="00B343B1"/>
    <w:rsid w:val="00B343D7"/>
    <w:rsid w:val="00B343EF"/>
    <w:rsid w:val="00B3444F"/>
    <w:rsid w:val="00B344D5"/>
    <w:rsid w:val="00B34658"/>
    <w:rsid w:val="00B34685"/>
    <w:rsid w:val="00B346DB"/>
    <w:rsid w:val="00B3472B"/>
    <w:rsid w:val="00B3481D"/>
    <w:rsid w:val="00B348C3"/>
    <w:rsid w:val="00B34912"/>
    <w:rsid w:val="00B34934"/>
    <w:rsid w:val="00B3494A"/>
    <w:rsid w:val="00B34B2C"/>
    <w:rsid w:val="00B34B68"/>
    <w:rsid w:val="00B34B89"/>
    <w:rsid w:val="00B34C2F"/>
    <w:rsid w:val="00B34CF3"/>
    <w:rsid w:val="00B34CF9"/>
    <w:rsid w:val="00B34D31"/>
    <w:rsid w:val="00B34D37"/>
    <w:rsid w:val="00B34DAB"/>
    <w:rsid w:val="00B34E74"/>
    <w:rsid w:val="00B34FE0"/>
    <w:rsid w:val="00B3502A"/>
    <w:rsid w:val="00B350DB"/>
    <w:rsid w:val="00B350EE"/>
    <w:rsid w:val="00B3518A"/>
    <w:rsid w:val="00B35200"/>
    <w:rsid w:val="00B35267"/>
    <w:rsid w:val="00B35424"/>
    <w:rsid w:val="00B35510"/>
    <w:rsid w:val="00B3560D"/>
    <w:rsid w:val="00B356BD"/>
    <w:rsid w:val="00B357A8"/>
    <w:rsid w:val="00B357CA"/>
    <w:rsid w:val="00B357EA"/>
    <w:rsid w:val="00B357FE"/>
    <w:rsid w:val="00B358DA"/>
    <w:rsid w:val="00B3590D"/>
    <w:rsid w:val="00B3593E"/>
    <w:rsid w:val="00B359C9"/>
    <w:rsid w:val="00B35A03"/>
    <w:rsid w:val="00B35AAD"/>
    <w:rsid w:val="00B35B2A"/>
    <w:rsid w:val="00B35B55"/>
    <w:rsid w:val="00B35B7B"/>
    <w:rsid w:val="00B35BC0"/>
    <w:rsid w:val="00B35C39"/>
    <w:rsid w:val="00B35C73"/>
    <w:rsid w:val="00B35C79"/>
    <w:rsid w:val="00B35DFA"/>
    <w:rsid w:val="00B35E76"/>
    <w:rsid w:val="00B35F24"/>
    <w:rsid w:val="00B360BC"/>
    <w:rsid w:val="00B360E5"/>
    <w:rsid w:val="00B360E6"/>
    <w:rsid w:val="00B360E9"/>
    <w:rsid w:val="00B360EF"/>
    <w:rsid w:val="00B3614E"/>
    <w:rsid w:val="00B36150"/>
    <w:rsid w:val="00B361CD"/>
    <w:rsid w:val="00B361F5"/>
    <w:rsid w:val="00B3646B"/>
    <w:rsid w:val="00B3647A"/>
    <w:rsid w:val="00B36538"/>
    <w:rsid w:val="00B36638"/>
    <w:rsid w:val="00B36730"/>
    <w:rsid w:val="00B36795"/>
    <w:rsid w:val="00B3686A"/>
    <w:rsid w:val="00B368F8"/>
    <w:rsid w:val="00B36938"/>
    <w:rsid w:val="00B369F8"/>
    <w:rsid w:val="00B36AA7"/>
    <w:rsid w:val="00B36C0B"/>
    <w:rsid w:val="00B36C83"/>
    <w:rsid w:val="00B36CC6"/>
    <w:rsid w:val="00B36CEF"/>
    <w:rsid w:val="00B36D32"/>
    <w:rsid w:val="00B36D3E"/>
    <w:rsid w:val="00B36D75"/>
    <w:rsid w:val="00B36E07"/>
    <w:rsid w:val="00B36E6B"/>
    <w:rsid w:val="00B36EEA"/>
    <w:rsid w:val="00B36F12"/>
    <w:rsid w:val="00B36F43"/>
    <w:rsid w:val="00B36F6F"/>
    <w:rsid w:val="00B36F83"/>
    <w:rsid w:val="00B36FC0"/>
    <w:rsid w:val="00B37084"/>
    <w:rsid w:val="00B370C1"/>
    <w:rsid w:val="00B371D6"/>
    <w:rsid w:val="00B3728B"/>
    <w:rsid w:val="00B372B1"/>
    <w:rsid w:val="00B3732B"/>
    <w:rsid w:val="00B37331"/>
    <w:rsid w:val="00B37363"/>
    <w:rsid w:val="00B373BC"/>
    <w:rsid w:val="00B373C2"/>
    <w:rsid w:val="00B3746B"/>
    <w:rsid w:val="00B3752E"/>
    <w:rsid w:val="00B3759C"/>
    <w:rsid w:val="00B375AF"/>
    <w:rsid w:val="00B375B3"/>
    <w:rsid w:val="00B375EE"/>
    <w:rsid w:val="00B376DB"/>
    <w:rsid w:val="00B376EA"/>
    <w:rsid w:val="00B37723"/>
    <w:rsid w:val="00B3772B"/>
    <w:rsid w:val="00B37811"/>
    <w:rsid w:val="00B378FE"/>
    <w:rsid w:val="00B379B9"/>
    <w:rsid w:val="00B37A50"/>
    <w:rsid w:val="00B37A53"/>
    <w:rsid w:val="00B37AE5"/>
    <w:rsid w:val="00B37B1A"/>
    <w:rsid w:val="00B37C15"/>
    <w:rsid w:val="00B37C69"/>
    <w:rsid w:val="00B37C96"/>
    <w:rsid w:val="00B37CB0"/>
    <w:rsid w:val="00B37CF8"/>
    <w:rsid w:val="00B37D39"/>
    <w:rsid w:val="00B37DA5"/>
    <w:rsid w:val="00B37DFF"/>
    <w:rsid w:val="00B37E0C"/>
    <w:rsid w:val="00B37E2C"/>
    <w:rsid w:val="00B37E80"/>
    <w:rsid w:val="00B37E83"/>
    <w:rsid w:val="00B37E9A"/>
    <w:rsid w:val="00B37F8D"/>
    <w:rsid w:val="00B37FB0"/>
    <w:rsid w:val="00B37FBC"/>
    <w:rsid w:val="00B4009D"/>
    <w:rsid w:val="00B40103"/>
    <w:rsid w:val="00B401A3"/>
    <w:rsid w:val="00B401DC"/>
    <w:rsid w:val="00B401E2"/>
    <w:rsid w:val="00B40205"/>
    <w:rsid w:val="00B402C2"/>
    <w:rsid w:val="00B40356"/>
    <w:rsid w:val="00B404E0"/>
    <w:rsid w:val="00B40621"/>
    <w:rsid w:val="00B4065E"/>
    <w:rsid w:val="00B406FE"/>
    <w:rsid w:val="00B40761"/>
    <w:rsid w:val="00B40772"/>
    <w:rsid w:val="00B407A6"/>
    <w:rsid w:val="00B408DC"/>
    <w:rsid w:val="00B40921"/>
    <w:rsid w:val="00B4092B"/>
    <w:rsid w:val="00B4093F"/>
    <w:rsid w:val="00B40976"/>
    <w:rsid w:val="00B409C3"/>
    <w:rsid w:val="00B40A38"/>
    <w:rsid w:val="00B40AF8"/>
    <w:rsid w:val="00B40B9E"/>
    <w:rsid w:val="00B40C41"/>
    <w:rsid w:val="00B40C4C"/>
    <w:rsid w:val="00B40CF7"/>
    <w:rsid w:val="00B40CF9"/>
    <w:rsid w:val="00B40D41"/>
    <w:rsid w:val="00B40D83"/>
    <w:rsid w:val="00B40EEF"/>
    <w:rsid w:val="00B40FFC"/>
    <w:rsid w:val="00B4101B"/>
    <w:rsid w:val="00B4104E"/>
    <w:rsid w:val="00B410E5"/>
    <w:rsid w:val="00B410F6"/>
    <w:rsid w:val="00B41104"/>
    <w:rsid w:val="00B411CD"/>
    <w:rsid w:val="00B412B1"/>
    <w:rsid w:val="00B41407"/>
    <w:rsid w:val="00B41476"/>
    <w:rsid w:val="00B4156D"/>
    <w:rsid w:val="00B415AE"/>
    <w:rsid w:val="00B4160E"/>
    <w:rsid w:val="00B4164B"/>
    <w:rsid w:val="00B41695"/>
    <w:rsid w:val="00B416CD"/>
    <w:rsid w:val="00B41743"/>
    <w:rsid w:val="00B4195B"/>
    <w:rsid w:val="00B41BFC"/>
    <w:rsid w:val="00B41D82"/>
    <w:rsid w:val="00B41E46"/>
    <w:rsid w:val="00B41FC1"/>
    <w:rsid w:val="00B4202E"/>
    <w:rsid w:val="00B42033"/>
    <w:rsid w:val="00B4204C"/>
    <w:rsid w:val="00B4207B"/>
    <w:rsid w:val="00B42171"/>
    <w:rsid w:val="00B421E8"/>
    <w:rsid w:val="00B42217"/>
    <w:rsid w:val="00B4223B"/>
    <w:rsid w:val="00B4223C"/>
    <w:rsid w:val="00B422B9"/>
    <w:rsid w:val="00B42320"/>
    <w:rsid w:val="00B423A0"/>
    <w:rsid w:val="00B423C3"/>
    <w:rsid w:val="00B423E2"/>
    <w:rsid w:val="00B42434"/>
    <w:rsid w:val="00B42440"/>
    <w:rsid w:val="00B424C8"/>
    <w:rsid w:val="00B424CA"/>
    <w:rsid w:val="00B42596"/>
    <w:rsid w:val="00B426D1"/>
    <w:rsid w:val="00B42704"/>
    <w:rsid w:val="00B42717"/>
    <w:rsid w:val="00B428C1"/>
    <w:rsid w:val="00B42901"/>
    <w:rsid w:val="00B42996"/>
    <w:rsid w:val="00B429AB"/>
    <w:rsid w:val="00B429DC"/>
    <w:rsid w:val="00B429E1"/>
    <w:rsid w:val="00B42A5E"/>
    <w:rsid w:val="00B42A6F"/>
    <w:rsid w:val="00B42AB6"/>
    <w:rsid w:val="00B42AF3"/>
    <w:rsid w:val="00B42B22"/>
    <w:rsid w:val="00B42B5B"/>
    <w:rsid w:val="00B42C25"/>
    <w:rsid w:val="00B42C57"/>
    <w:rsid w:val="00B42CA3"/>
    <w:rsid w:val="00B42CA9"/>
    <w:rsid w:val="00B42D0B"/>
    <w:rsid w:val="00B42DC0"/>
    <w:rsid w:val="00B42E2C"/>
    <w:rsid w:val="00B42F0A"/>
    <w:rsid w:val="00B42FC2"/>
    <w:rsid w:val="00B43005"/>
    <w:rsid w:val="00B43042"/>
    <w:rsid w:val="00B43146"/>
    <w:rsid w:val="00B4324B"/>
    <w:rsid w:val="00B4324D"/>
    <w:rsid w:val="00B43279"/>
    <w:rsid w:val="00B432C3"/>
    <w:rsid w:val="00B43303"/>
    <w:rsid w:val="00B43329"/>
    <w:rsid w:val="00B4336B"/>
    <w:rsid w:val="00B4347F"/>
    <w:rsid w:val="00B434C0"/>
    <w:rsid w:val="00B434CF"/>
    <w:rsid w:val="00B434DA"/>
    <w:rsid w:val="00B4358C"/>
    <w:rsid w:val="00B435A7"/>
    <w:rsid w:val="00B435F6"/>
    <w:rsid w:val="00B4388B"/>
    <w:rsid w:val="00B43935"/>
    <w:rsid w:val="00B439A3"/>
    <w:rsid w:val="00B439D5"/>
    <w:rsid w:val="00B43A04"/>
    <w:rsid w:val="00B43ACF"/>
    <w:rsid w:val="00B43B27"/>
    <w:rsid w:val="00B43B64"/>
    <w:rsid w:val="00B43B99"/>
    <w:rsid w:val="00B43BAC"/>
    <w:rsid w:val="00B43BCD"/>
    <w:rsid w:val="00B43BFE"/>
    <w:rsid w:val="00B43C72"/>
    <w:rsid w:val="00B43CB0"/>
    <w:rsid w:val="00B43CC3"/>
    <w:rsid w:val="00B43D06"/>
    <w:rsid w:val="00B43D27"/>
    <w:rsid w:val="00B43D38"/>
    <w:rsid w:val="00B43DD0"/>
    <w:rsid w:val="00B43EA1"/>
    <w:rsid w:val="00B43F3C"/>
    <w:rsid w:val="00B43F4D"/>
    <w:rsid w:val="00B43F8A"/>
    <w:rsid w:val="00B43F9C"/>
    <w:rsid w:val="00B43FA0"/>
    <w:rsid w:val="00B44021"/>
    <w:rsid w:val="00B4404A"/>
    <w:rsid w:val="00B440F2"/>
    <w:rsid w:val="00B4421D"/>
    <w:rsid w:val="00B442D3"/>
    <w:rsid w:val="00B443A8"/>
    <w:rsid w:val="00B44446"/>
    <w:rsid w:val="00B4450B"/>
    <w:rsid w:val="00B44550"/>
    <w:rsid w:val="00B4460F"/>
    <w:rsid w:val="00B4472D"/>
    <w:rsid w:val="00B4476C"/>
    <w:rsid w:val="00B44813"/>
    <w:rsid w:val="00B4483A"/>
    <w:rsid w:val="00B4486C"/>
    <w:rsid w:val="00B44905"/>
    <w:rsid w:val="00B449FB"/>
    <w:rsid w:val="00B44A23"/>
    <w:rsid w:val="00B44A51"/>
    <w:rsid w:val="00B44B30"/>
    <w:rsid w:val="00B44B56"/>
    <w:rsid w:val="00B44C2E"/>
    <w:rsid w:val="00B44D89"/>
    <w:rsid w:val="00B44E39"/>
    <w:rsid w:val="00B44E63"/>
    <w:rsid w:val="00B45026"/>
    <w:rsid w:val="00B4502B"/>
    <w:rsid w:val="00B45107"/>
    <w:rsid w:val="00B45111"/>
    <w:rsid w:val="00B45268"/>
    <w:rsid w:val="00B4529E"/>
    <w:rsid w:val="00B452DC"/>
    <w:rsid w:val="00B45372"/>
    <w:rsid w:val="00B453E4"/>
    <w:rsid w:val="00B45533"/>
    <w:rsid w:val="00B45661"/>
    <w:rsid w:val="00B4569C"/>
    <w:rsid w:val="00B456AB"/>
    <w:rsid w:val="00B4579C"/>
    <w:rsid w:val="00B45809"/>
    <w:rsid w:val="00B4582C"/>
    <w:rsid w:val="00B45833"/>
    <w:rsid w:val="00B45836"/>
    <w:rsid w:val="00B45933"/>
    <w:rsid w:val="00B45948"/>
    <w:rsid w:val="00B45963"/>
    <w:rsid w:val="00B45A1E"/>
    <w:rsid w:val="00B45AE6"/>
    <w:rsid w:val="00B45B65"/>
    <w:rsid w:val="00B45B79"/>
    <w:rsid w:val="00B45B91"/>
    <w:rsid w:val="00B45BDB"/>
    <w:rsid w:val="00B45CC0"/>
    <w:rsid w:val="00B45D3B"/>
    <w:rsid w:val="00B45DA5"/>
    <w:rsid w:val="00B45DBB"/>
    <w:rsid w:val="00B45DD3"/>
    <w:rsid w:val="00B45DE5"/>
    <w:rsid w:val="00B45DF7"/>
    <w:rsid w:val="00B45E11"/>
    <w:rsid w:val="00B45F86"/>
    <w:rsid w:val="00B45FCE"/>
    <w:rsid w:val="00B46334"/>
    <w:rsid w:val="00B4633E"/>
    <w:rsid w:val="00B46418"/>
    <w:rsid w:val="00B4643C"/>
    <w:rsid w:val="00B46482"/>
    <w:rsid w:val="00B46504"/>
    <w:rsid w:val="00B4656D"/>
    <w:rsid w:val="00B465C6"/>
    <w:rsid w:val="00B466A3"/>
    <w:rsid w:val="00B4672D"/>
    <w:rsid w:val="00B467A0"/>
    <w:rsid w:val="00B467DF"/>
    <w:rsid w:val="00B4690C"/>
    <w:rsid w:val="00B46A25"/>
    <w:rsid w:val="00B46A9E"/>
    <w:rsid w:val="00B46AA4"/>
    <w:rsid w:val="00B46AEA"/>
    <w:rsid w:val="00B46BA3"/>
    <w:rsid w:val="00B46C04"/>
    <w:rsid w:val="00B46C11"/>
    <w:rsid w:val="00B46C19"/>
    <w:rsid w:val="00B46C96"/>
    <w:rsid w:val="00B46DAD"/>
    <w:rsid w:val="00B46DE8"/>
    <w:rsid w:val="00B46EE6"/>
    <w:rsid w:val="00B46F61"/>
    <w:rsid w:val="00B46FAC"/>
    <w:rsid w:val="00B4707C"/>
    <w:rsid w:val="00B470BB"/>
    <w:rsid w:val="00B4720D"/>
    <w:rsid w:val="00B47251"/>
    <w:rsid w:val="00B4725D"/>
    <w:rsid w:val="00B472C1"/>
    <w:rsid w:val="00B472CF"/>
    <w:rsid w:val="00B47403"/>
    <w:rsid w:val="00B474F1"/>
    <w:rsid w:val="00B47539"/>
    <w:rsid w:val="00B475FB"/>
    <w:rsid w:val="00B47690"/>
    <w:rsid w:val="00B476AF"/>
    <w:rsid w:val="00B476D9"/>
    <w:rsid w:val="00B47768"/>
    <w:rsid w:val="00B47855"/>
    <w:rsid w:val="00B47883"/>
    <w:rsid w:val="00B47944"/>
    <w:rsid w:val="00B479E7"/>
    <w:rsid w:val="00B47AA7"/>
    <w:rsid w:val="00B47AAD"/>
    <w:rsid w:val="00B47BB3"/>
    <w:rsid w:val="00B47BE2"/>
    <w:rsid w:val="00B47BF1"/>
    <w:rsid w:val="00B47C2A"/>
    <w:rsid w:val="00B47CF1"/>
    <w:rsid w:val="00B47D48"/>
    <w:rsid w:val="00B47DCB"/>
    <w:rsid w:val="00B47E7A"/>
    <w:rsid w:val="00B50138"/>
    <w:rsid w:val="00B50199"/>
    <w:rsid w:val="00B5025B"/>
    <w:rsid w:val="00B5040D"/>
    <w:rsid w:val="00B50422"/>
    <w:rsid w:val="00B50434"/>
    <w:rsid w:val="00B50439"/>
    <w:rsid w:val="00B50480"/>
    <w:rsid w:val="00B504F1"/>
    <w:rsid w:val="00B504FA"/>
    <w:rsid w:val="00B5052F"/>
    <w:rsid w:val="00B5059C"/>
    <w:rsid w:val="00B50620"/>
    <w:rsid w:val="00B506D9"/>
    <w:rsid w:val="00B506F9"/>
    <w:rsid w:val="00B50725"/>
    <w:rsid w:val="00B5073B"/>
    <w:rsid w:val="00B507E5"/>
    <w:rsid w:val="00B5081E"/>
    <w:rsid w:val="00B508C0"/>
    <w:rsid w:val="00B508C5"/>
    <w:rsid w:val="00B508F6"/>
    <w:rsid w:val="00B509A4"/>
    <w:rsid w:val="00B50A2F"/>
    <w:rsid w:val="00B50A31"/>
    <w:rsid w:val="00B50A9F"/>
    <w:rsid w:val="00B50ACC"/>
    <w:rsid w:val="00B50AEA"/>
    <w:rsid w:val="00B50B18"/>
    <w:rsid w:val="00B50C55"/>
    <w:rsid w:val="00B50C5D"/>
    <w:rsid w:val="00B50CF8"/>
    <w:rsid w:val="00B50E9E"/>
    <w:rsid w:val="00B50EF4"/>
    <w:rsid w:val="00B50F46"/>
    <w:rsid w:val="00B50F7D"/>
    <w:rsid w:val="00B51013"/>
    <w:rsid w:val="00B5104F"/>
    <w:rsid w:val="00B51055"/>
    <w:rsid w:val="00B51125"/>
    <w:rsid w:val="00B51163"/>
    <w:rsid w:val="00B51196"/>
    <w:rsid w:val="00B51294"/>
    <w:rsid w:val="00B51417"/>
    <w:rsid w:val="00B514EE"/>
    <w:rsid w:val="00B514FF"/>
    <w:rsid w:val="00B5151B"/>
    <w:rsid w:val="00B51529"/>
    <w:rsid w:val="00B51568"/>
    <w:rsid w:val="00B515F8"/>
    <w:rsid w:val="00B51650"/>
    <w:rsid w:val="00B516C1"/>
    <w:rsid w:val="00B516CB"/>
    <w:rsid w:val="00B5171D"/>
    <w:rsid w:val="00B5172E"/>
    <w:rsid w:val="00B51752"/>
    <w:rsid w:val="00B51847"/>
    <w:rsid w:val="00B51866"/>
    <w:rsid w:val="00B5196D"/>
    <w:rsid w:val="00B51989"/>
    <w:rsid w:val="00B51A19"/>
    <w:rsid w:val="00B51A31"/>
    <w:rsid w:val="00B51A68"/>
    <w:rsid w:val="00B51AF4"/>
    <w:rsid w:val="00B51B5D"/>
    <w:rsid w:val="00B51C83"/>
    <w:rsid w:val="00B51C86"/>
    <w:rsid w:val="00B51DDA"/>
    <w:rsid w:val="00B51E71"/>
    <w:rsid w:val="00B51F5A"/>
    <w:rsid w:val="00B52043"/>
    <w:rsid w:val="00B52068"/>
    <w:rsid w:val="00B5225C"/>
    <w:rsid w:val="00B52284"/>
    <w:rsid w:val="00B5228D"/>
    <w:rsid w:val="00B52381"/>
    <w:rsid w:val="00B52388"/>
    <w:rsid w:val="00B523DF"/>
    <w:rsid w:val="00B523E1"/>
    <w:rsid w:val="00B523F2"/>
    <w:rsid w:val="00B52497"/>
    <w:rsid w:val="00B524F8"/>
    <w:rsid w:val="00B52511"/>
    <w:rsid w:val="00B52577"/>
    <w:rsid w:val="00B525BF"/>
    <w:rsid w:val="00B525F1"/>
    <w:rsid w:val="00B5260C"/>
    <w:rsid w:val="00B5264C"/>
    <w:rsid w:val="00B52838"/>
    <w:rsid w:val="00B5287F"/>
    <w:rsid w:val="00B52907"/>
    <w:rsid w:val="00B52978"/>
    <w:rsid w:val="00B529FB"/>
    <w:rsid w:val="00B52ABD"/>
    <w:rsid w:val="00B52B12"/>
    <w:rsid w:val="00B52B57"/>
    <w:rsid w:val="00B52B94"/>
    <w:rsid w:val="00B52C46"/>
    <w:rsid w:val="00B52C48"/>
    <w:rsid w:val="00B52D14"/>
    <w:rsid w:val="00B52D30"/>
    <w:rsid w:val="00B52E46"/>
    <w:rsid w:val="00B52E49"/>
    <w:rsid w:val="00B52E9D"/>
    <w:rsid w:val="00B52FB7"/>
    <w:rsid w:val="00B5305F"/>
    <w:rsid w:val="00B530FD"/>
    <w:rsid w:val="00B53109"/>
    <w:rsid w:val="00B53146"/>
    <w:rsid w:val="00B53176"/>
    <w:rsid w:val="00B532E1"/>
    <w:rsid w:val="00B53372"/>
    <w:rsid w:val="00B533AC"/>
    <w:rsid w:val="00B533EC"/>
    <w:rsid w:val="00B53499"/>
    <w:rsid w:val="00B534C9"/>
    <w:rsid w:val="00B53547"/>
    <w:rsid w:val="00B53582"/>
    <w:rsid w:val="00B5358E"/>
    <w:rsid w:val="00B536E3"/>
    <w:rsid w:val="00B5371C"/>
    <w:rsid w:val="00B5375C"/>
    <w:rsid w:val="00B53822"/>
    <w:rsid w:val="00B53833"/>
    <w:rsid w:val="00B5387D"/>
    <w:rsid w:val="00B53886"/>
    <w:rsid w:val="00B538B4"/>
    <w:rsid w:val="00B539CA"/>
    <w:rsid w:val="00B539E3"/>
    <w:rsid w:val="00B53A43"/>
    <w:rsid w:val="00B53A79"/>
    <w:rsid w:val="00B53A9A"/>
    <w:rsid w:val="00B53ABE"/>
    <w:rsid w:val="00B53AF9"/>
    <w:rsid w:val="00B53B7A"/>
    <w:rsid w:val="00B53BD5"/>
    <w:rsid w:val="00B53CB2"/>
    <w:rsid w:val="00B53CD3"/>
    <w:rsid w:val="00B53D3F"/>
    <w:rsid w:val="00B53D6D"/>
    <w:rsid w:val="00B53DC7"/>
    <w:rsid w:val="00B53DFF"/>
    <w:rsid w:val="00B53E40"/>
    <w:rsid w:val="00B53E69"/>
    <w:rsid w:val="00B53EB7"/>
    <w:rsid w:val="00B53EDC"/>
    <w:rsid w:val="00B53F22"/>
    <w:rsid w:val="00B5401E"/>
    <w:rsid w:val="00B5404B"/>
    <w:rsid w:val="00B5413E"/>
    <w:rsid w:val="00B542A4"/>
    <w:rsid w:val="00B542C5"/>
    <w:rsid w:val="00B543EA"/>
    <w:rsid w:val="00B5456C"/>
    <w:rsid w:val="00B545C0"/>
    <w:rsid w:val="00B54618"/>
    <w:rsid w:val="00B54684"/>
    <w:rsid w:val="00B546C7"/>
    <w:rsid w:val="00B54722"/>
    <w:rsid w:val="00B5472A"/>
    <w:rsid w:val="00B5472C"/>
    <w:rsid w:val="00B54739"/>
    <w:rsid w:val="00B54764"/>
    <w:rsid w:val="00B54773"/>
    <w:rsid w:val="00B54778"/>
    <w:rsid w:val="00B547F0"/>
    <w:rsid w:val="00B54843"/>
    <w:rsid w:val="00B54858"/>
    <w:rsid w:val="00B548A6"/>
    <w:rsid w:val="00B54A35"/>
    <w:rsid w:val="00B54B59"/>
    <w:rsid w:val="00B54BB5"/>
    <w:rsid w:val="00B54CD3"/>
    <w:rsid w:val="00B54D2A"/>
    <w:rsid w:val="00B54DBF"/>
    <w:rsid w:val="00B54E37"/>
    <w:rsid w:val="00B55048"/>
    <w:rsid w:val="00B5505A"/>
    <w:rsid w:val="00B55069"/>
    <w:rsid w:val="00B55088"/>
    <w:rsid w:val="00B5511D"/>
    <w:rsid w:val="00B5514D"/>
    <w:rsid w:val="00B5517B"/>
    <w:rsid w:val="00B55192"/>
    <w:rsid w:val="00B55305"/>
    <w:rsid w:val="00B55406"/>
    <w:rsid w:val="00B5542E"/>
    <w:rsid w:val="00B5544C"/>
    <w:rsid w:val="00B55454"/>
    <w:rsid w:val="00B55459"/>
    <w:rsid w:val="00B55479"/>
    <w:rsid w:val="00B5548E"/>
    <w:rsid w:val="00B55508"/>
    <w:rsid w:val="00B55564"/>
    <w:rsid w:val="00B55565"/>
    <w:rsid w:val="00B555A8"/>
    <w:rsid w:val="00B55664"/>
    <w:rsid w:val="00B556A4"/>
    <w:rsid w:val="00B556E2"/>
    <w:rsid w:val="00B5574E"/>
    <w:rsid w:val="00B557CA"/>
    <w:rsid w:val="00B5585D"/>
    <w:rsid w:val="00B55872"/>
    <w:rsid w:val="00B55939"/>
    <w:rsid w:val="00B55A01"/>
    <w:rsid w:val="00B55A11"/>
    <w:rsid w:val="00B55AD6"/>
    <w:rsid w:val="00B55B20"/>
    <w:rsid w:val="00B55B2D"/>
    <w:rsid w:val="00B55BA5"/>
    <w:rsid w:val="00B55C34"/>
    <w:rsid w:val="00B55C53"/>
    <w:rsid w:val="00B55C9D"/>
    <w:rsid w:val="00B55CAD"/>
    <w:rsid w:val="00B55D04"/>
    <w:rsid w:val="00B55DC8"/>
    <w:rsid w:val="00B55DC9"/>
    <w:rsid w:val="00B55E71"/>
    <w:rsid w:val="00B55EFD"/>
    <w:rsid w:val="00B55F0D"/>
    <w:rsid w:val="00B55FB6"/>
    <w:rsid w:val="00B56023"/>
    <w:rsid w:val="00B56047"/>
    <w:rsid w:val="00B560BD"/>
    <w:rsid w:val="00B56147"/>
    <w:rsid w:val="00B56163"/>
    <w:rsid w:val="00B561F8"/>
    <w:rsid w:val="00B562F9"/>
    <w:rsid w:val="00B56422"/>
    <w:rsid w:val="00B5648B"/>
    <w:rsid w:val="00B565F5"/>
    <w:rsid w:val="00B56697"/>
    <w:rsid w:val="00B56872"/>
    <w:rsid w:val="00B56B19"/>
    <w:rsid w:val="00B56B68"/>
    <w:rsid w:val="00B56B6E"/>
    <w:rsid w:val="00B56BAE"/>
    <w:rsid w:val="00B56C7D"/>
    <w:rsid w:val="00B56C96"/>
    <w:rsid w:val="00B56D11"/>
    <w:rsid w:val="00B56D56"/>
    <w:rsid w:val="00B56D8D"/>
    <w:rsid w:val="00B56DF9"/>
    <w:rsid w:val="00B56EB6"/>
    <w:rsid w:val="00B56F3F"/>
    <w:rsid w:val="00B56FC2"/>
    <w:rsid w:val="00B57102"/>
    <w:rsid w:val="00B5716B"/>
    <w:rsid w:val="00B571B5"/>
    <w:rsid w:val="00B571F9"/>
    <w:rsid w:val="00B5725F"/>
    <w:rsid w:val="00B5727B"/>
    <w:rsid w:val="00B57293"/>
    <w:rsid w:val="00B57302"/>
    <w:rsid w:val="00B573C6"/>
    <w:rsid w:val="00B573FA"/>
    <w:rsid w:val="00B5741F"/>
    <w:rsid w:val="00B5747F"/>
    <w:rsid w:val="00B57515"/>
    <w:rsid w:val="00B5759A"/>
    <w:rsid w:val="00B575D1"/>
    <w:rsid w:val="00B57794"/>
    <w:rsid w:val="00B577F2"/>
    <w:rsid w:val="00B57809"/>
    <w:rsid w:val="00B57902"/>
    <w:rsid w:val="00B57904"/>
    <w:rsid w:val="00B57921"/>
    <w:rsid w:val="00B5792E"/>
    <w:rsid w:val="00B5795A"/>
    <w:rsid w:val="00B57A6C"/>
    <w:rsid w:val="00B57B28"/>
    <w:rsid w:val="00B57BC8"/>
    <w:rsid w:val="00B57C0A"/>
    <w:rsid w:val="00B57C31"/>
    <w:rsid w:val="00B57C70"/>
    <w:rsid w:val="00B57C9F"/>
    <w:rsid w:val="00B57D75"/>
    <w:rsid w:val="00B57E0E"/>
    <w:rsid w:val="00B57EC0"/>
    <w:rsid w:val="00B57F5D"/>
    <w:rsid w:val="00B57FC5"/>
    <w:rsid w:val="00B60020"/>
    <w:rsid w:val="00B60092"/>
    <w:rsid w:val="00B60156"/>
    <w:rsid w:val="00B601A1"/>
    <w:rsid w:val="00B6021A"/>
    <w:rsid w:val="00B602A5"/>
    <w:rsid w:val="00B602FB"/>
    <w:rsid w:val="00B602FE"/>
    <w:rsid w:val="00B60308"/>
    <w:rsid w:val="00B603CD"/>
    <w:rsid w:val="00B60414"/>
    <w:rsid w:val="00B60473"/>
    <w:rsid w:val="00B604F2"/>
    <w:rsid w:val="00B60503"/>
    <w:rsid w:val="00B60511"/>
    <w:rsid w:val="00B60622"/>
    <w:rsid w:val="00B606E7"/>
    <w:rsid w:val="00B60729"/>
    <w:rsid w:val="00B60770"/>
    <w:rsid w:val="00B6079F"/>
    <w:rsid w:val="00B6081E"/>
    <w:rsid w:val="00B60871"/>
    <w:rsid w:val="00B60942"/>
    <w:rsid w:val="00B60957"/>
    <w:rsid w:val="00B609BB"/>
    <w:rsid w:val="00B609CF"/>
    <w:rsid w:val="00B609D7"/>
    <w:rsid w:val="00B60A2F"/>
    <w:rsid w:val="00B60AEA"/>
    <w:rsid w:val="00B60B18"/>
    <w:rsid w:val="00B60B42"/>
    <w:rsid w:val="00B60B68"/>
    <w:rsid w:val="00B60B6A"/>
    <w:rsid w:val="00B60C92"/>
    <w:rsid w:val="00B60E6A"/>
    <w:rsid w:val="00B60F5A"/>
    <w:rsid w:val="00B60F69"/>
    <w:rsid w:val="00B60F9C"/>
    <w:rsid w:val="00B6114D"/>
    <w:rsid w:val="00B61175"/>
    <w:rsid w:val="00B61261"/>
    <w:rsid w:val="00B6133E"/>
    <w:rsid w:val="00B613B5"/>
    <w:rsid w:val="00B61438"/>
    <w:rsid w:val="00B614A6"/>
    <w:rsid w:val="00B61583"/>
    <w:rsid w:val="00B615AE"/>
    <w:rsid w:val="00B61620"/>
    <w:rsid w:val="00B61790"/>
    <w:rsid w:val="00B617ED"/>
    <w:rsid w:val="00B61852"/>
    <w:rsid w:val="00B618E9"/>
    <w:rsid w:val="00B61A09"/>
    <w:rsid w:val="00B61A4C"/>
    <w:rsid w:val="00B61AE2"/>
    <w:rsid w:val="00B61AE7"/>
    <w:rsid w:val="00B61B31"/>
    <w:rsid w:val="00B61BB0"/>
    <w:rsid w:val="00B61F25"/>
    <w:rsid w:val="00B6207D"/>
    <w:rsid w:val="00B6218E"/>
    <w:rsid w:val="00B621A3"/>
    <w:rsid w:val="00B6223C"/>
    <w:rsid w:val="00B62263"/>
    <w:rsid w:val="00B6229C"/>
    <w:rsid w:val="00B62312"/>
    <w:rsid w:val="00B62341"/>
    <w:rsid w:val="00B62350"/>
    <w:rsid w:val="00B62373"/>
    <w:rsid w:val="00B62411"/>
    <w:rsid w:val="00B624E5"/>
    <w:rsid w:val="00B62568"/>
    <w:rsid w:val="00B625C3"/>
    <w:rsid w:val="00B62616"/>
    <w:rsid w:val="00B6261A"/>
    <w:rsid w:val="00B62635"/>
    <w:rsid w:val="00B62648"/>
    <w:rsid w:val="00B626AD"/>
    <w:rsid w:val="00B62719"/>
    <w:rsid w:val="00B6273E"/>
    <w:rsid w:val="00B6282A"/>
    <w:rsid w:val="00B628AD"/>
    <w:rsid w:val="00B629A3"/>
    <w:rsid w:val="00B62A35"/>
    <w:rsid w:val="00B62BD6"/>
    <w:rsid w:val="00B62BDD"/>
    <w:rsid w:val="00B62D03"/>
    <w:rsid w:val="00B62EFC"/>
    <w:rsid w:val="00B6307E"/>
    <w:rsid w:val="00B63090"/>
    <w:rsid w:val="00B63095"/>
    <w:rsid w:val="00B630C2"/>
    <w:rsid w:val="00B63111"/>
    <w:rsid w:val="00B631BF"/>
    <w:rsid w:val="00B632B6"/>
    <w:rsid w:val="00B632E0"/>
    <w:rsid w:val="00B6357E"/>
    <w:rsid w:val="00B635BC"/>
    <w:rsid w:val="00B635D0"/>
    <w:rsid w:val="00B63631"/>
    <w:rsid w:val="00B6382B"/>
    <w:rsid w:val="00B6388D"/>
    <w:rsid w:val="00B638FA"/>
    <w:rsid w:val="00B63992"/>
    <w:rsid w:val="00B63A9F"/>
    <w:rsid w:val="00B63B18"/>
    <w:rsid w:val="00B63BBC"/>
    <w:rsid w:val="00B63CBD"/>
    <w:rsid w:val="00B63CEE"/>
    <w:rsid w:val="00B63DC0"/>
    <w:rsid w:val="00B63E2F"/>
    <w:rsid w:val="00B63E4C"/>
    <w:rsid w:val="00B6403E"/>
    <w:rsid w:val="00B6416F"/>
    <w:rsid w:val="00B641C9"/>
    <w:rsid w:val="00B6434B"/>
    <w:rsid w:val="00B64382"/>
    <w:rsid w:val="00B64532"/>
    <w:rsid w:val="00B6456A"/>
    <w:rsid w:val="00B646C1"/>
    <w:rsid w:val="00B64779"/>
    <w:rsid w:val="00B647FA"/>
    <w:rsid w:val="00B64986"/>
    <w:rsid w:val="00B64A5E"/>
    <w:rsid w:val="00B64B6E"/>
    <w:rsid w:val="00B64BE6"/>
    <w:rsid w:val="00B64C7F"/>
    <w:rsid w:val="00B64CA7"/>
    <w:rsid w:val="00B64CA9"/>
    <w:rsid w:val="00B64CC3"/>
    <w:rsid w:val="00B64D31"/>
    <w:rsid w:val="00B64E46"/>
    <w:rsid w:val="00B64E4F"/>
    <w:rsid w:val="00B64E9D"/>
    <w:rsid w:val="00B64EDD"/>
    <w:rsid w:val="00B64F44"/>
    <w:rsid w:val="00B65014"/>
    <w:rsid w:val="00B6502C"/>
    <w:rsid w:val="00B65069"/>
    <w:rsid w:val="00B6508D"/>
    <w:rsid w:val="00B65138"/>
    <w:rsid w:val="00B65171"/>
    <w:rsid w:val="00B6518F"/>
    <w:rsid w:val="00B651AB"/>
    <w:rsid w:val="00B65221"/>
    <w:rsid w:val="00B65254"/>
    <w:rsid w:val="00B652BC"/>
    <w:rsid w:val="00B65332"/>
    <w:rsid w:val="00B65410"/>
    <w:rsid w:val="00B65508"/>
    <w:rsid w:val="00B65524"/>
    <w:rsid w:val="00B655C9"/>
    <w:rsid w:val="00B655E2"/>
    <w:rsid w:val="00B655EF"/>
    <w:rsid w:val="00B65609"/>
    <w:rsid w:val="00B6563E"/>
    <w:rsid w:val="00B656D7"/>
    <w:rsid w:val="00B65715"/>
    <w:rsid w:val="00B65739"/>
    <w:rsid w:val="00B65886"/>
    <w:rsid w:val="00B65983"/>
    <w:rsid w:val="00B659D8"/>
    <w:rsid w:val="00B65A9B"/>
    <w:rsid w:val="00B65B4F"/>
    <w:rsid w:val="00B65B7B"/>
    <w:rsid w:val="00B65C05"/>
    <w:rsid w:val="00B65C15"/>
    <w:rsid w:val="00B65C48"/>
    <w:rsid w:val="00B65CE8"/>
    <w:rsid w:val="00B65D3E"/>
    <w:rsid w:val="00B65DF9"/>
    <w:rsid w:val="00B65EF6"/>
    <w:rsid w:val="00B6604D"/>
    <w:rsid w:val="00B66068"/>
    <w:rsid w:val="00B660BE"/>
    <w:rsid w:val="00B66215"/>
    <w:rsid w:val="00B66294"/>
    <w:rsid w:val="00B663A3"/>
    <w:rsid w:val="00B663EC"/>
    <w:rsid w:val="00B6645E"/>
    <w:rsid w:val="00B6646A"/>
    <w:rsid w:val="00B66613"/>
    <w:rsid w:val="00B6661A"/>
    <w:rsid w:val="00B6663D"/>
    <w:rsid w:val="00B666B7"/>
    <w:rsid w:val="00B667E7"/>
    <w:rsid w:val="00B668EC"/>
    <w:rsid w:val="00B669CF"/>
    <w:rsid w:val="00B66ADF"/>
    <w:rsid w:val="00B66C20"/>
    <w:rsid w:val="00B66D4C"/>
    <w:rsid w:val="00B66D92"/>
    <w:rsid w:val="00B66E65"/>
    <w:rsid w:val="00B66E7E"/>
    <w:rsid w:val="00B66EA2"/>
    <w:rsid w:val="00B67093"/>
    <w:rsid w:val="00B670E9"/>
    <w:rsid w:val="00B67137"/>
    <w:rsid w:val="00B672C7"/>
    <w:rsid w:val="00B672F5"/>
    <w:rsid w:val="00B6731A"/>
    <w:rsid w:val="00B6731C"/>
    <w:rsid w:val="00B67346"/>
    <w:rsid w:val="00B67365"/>
    <w:rsid w:val="00B6738B"/>
    <w:rsid w:val="00B6739D"/>
    <w:rsid w:val="00B6742C"/>
    <w:rsid w:val="00B67462"/>
    <w:rsid w:val="00B674C0"/>
    <w:rsid w:val="00B674DC"/>
    <w:rsid w:val="00B674E6"/>
    <w:rsid w:val="00B674FB"/>
    <w:rsid w:val="00B67549"/>
    <w:rsid w:val="00B6756C"/>
    <w:rsid w:val="00B675DE"/>
    <w:rsid w:val="00B676B7"/>
    <w:rsid w:val="00B676D7"/>
    <w:rsid w:val="00B6775B"/>
    <w:rsid w:val="00B6775F"/>
    <w:rsid w:val="00B67833"/>
    <w:rsid w:val="00B67922"/>
    <w:rsid w:val="00B6792F"/>
    <w:rsid w:val="00B67B91"/>
    <w:rsid w:val="00B67BB8"/>
    <w:rsid w:val="00B67C2C"/>
    <w:rsid w:val="00B67D57"/>
    <w:rsid w:val="00B67D64"/>
    <w:rsid w:val="00B67DA3"/>
    <w:rsid w:val="00B67DE1"/>
    <w:rsid w:val="00B67FB1"/>
    <w:rsid w:val="00B70109"/>
    <w:rsid w:val="00B70185"/>
    <w:rsid w:val="00B70197"/>
    <w:rsid w:val="00B701CE"/>
    <w:rsid w:val="00B70247"/>
    <w:rsid w:val="00B7029A"/>
    <w:rsid w:val="00B702F7"/>
    <w:rsid w:val="00B703DC"/>
    <w:rsid w:val="00B7072A"/>
    <w:rsid w:val="00B7086A"/>
    <w:rsid w:val="00B7088A"/>
    <w:rsid w:val="00B7096D"/>
    <w:rsid w:val="00B70999"/>
    <w:rsid w:val="00B7099D"/>
    <w:rsid w:val="00B70A05"/>
    <w:rsid w:val="00B70A8E"/>
    <w:rsid w:val="00B70C88"/>
    <w:rsid w:val="00B70D17"/>
    <w:rsid w:val="00B70D4A"/>
    <w:rsid w:val="00B70DCC"/>
    <w:rsid w:val="00B70E81"/>
    <w:rsid w:val="00B70F06"/>
    <w:rsid w:val="00B70F34"/>
    <w:rsid w:val="00B71074"/>
    <w:rsid w:val="00B71098"/>
    <w:rsid w:val="00B710C0"/>
    <w:rsid w:val="00B710E0"/>
    <w:rsid w:val="00B71113"/>
    <w:rsid w:val="00B71178"/>
    <w:rsid w:val="00B711C9"/>
    <w:rsid w:val="00B712A5"/>
    <w:rsid w:val="00B712C6"/>
    <w:rsid w:val="00B714AC"/>
    <w:rsid w:val="00B714EA"/>
    <w:rsid w:val="00B7155B"/>
    <w:rsid w:val="00B7163B"/>
    <w:rsid w:val="00B716B3"/>
    <w:rsid w:val="00B717D2"/>
    <w:rsid w:val="00B7182D"/>
    <w:rsid w:val="00B718B7"/>
    <w:rsid w:val="00B719FB"/>
    <w:rsid w:val="00B71A07"/>
    <w:rsid w:val="00B71A9F"/>
    <w:rsid w:val="00B71BCA"/>
    <w:rsid w:val="00B71BF2"/>
    <w:rsid w:val="00B71C10"/>
    <w:rsid w:val="00B71C2D"/>
    <w:rsid w:val="00B71CA3"/>
    <w:rsid w:val="00B71CAF"/>
    <w:rsid w:val="00B71D01"/>
    <w:rsid w:val="00B71D81"/>
    <w:rsid w:val="00B71DB6"/>
    <w:rsid w:val="00B71E06"/>
    <w:rsid w:val="00B71E37"/>
    <w:rsid w:val="00B71F3F"/>
    <w:rsid w:val="00B7205F"/>
    <w:rsid w:val="00B7216B"/>
    <w:rsid w:val="00B7216C"/>
    <w:rsid w:val="00B72243"/>
    <w:rsid w:val="00B722AC"/>
    <w:rsid w:val="00B722C2"/>
    <w:rsid w:val="00B722E5"/>
    <w:rsid w:val="00B722F6"/>
    <w:rsid w:val="00B7234C"/>
    <w:rsid w:val="00B72352"/>
    <w:rsid w:val="00B72456"/>
    <w:rsid w:val="00B72498"/>
    <w:rsid w:val="00B724AD"/>
    <w:rsid w:val="00B7250C"/>
    <w:rsid w:val="00B7252D"/>
    <w:rsid w:val="00B725B1"/>
    <w:rsid w:val="00B7261C"/>
    <w:rsid w:val="00B726D5"/>
    <w:rsid w:val="00B726FB"/>
    <w:rsid w:val="00B7271C"/>
    <w:rsid w:val="00B72768"/>
    <w:rsid w:val="00B7277F"/>
    <w:rsid w:val="00B72824"/>
    <w:rsid w:val="00B72828"/>
    <w:rsid w:val="00B72873"/>
    <w:rsid w:val="00B72893"/>
    <w:rsid w:val="00B728A9"/>
    <w:rsid w:val="00B72A44"/>
    <w:rsid w:val="00B72B12"/>
    <w:rsid w:val="00B72B59"/>
    <w:rsid w:val="00B72B79"/>
    <w:rsid w:val="00B72BAE"/>
    <w:rsid w:val="00B72C04"/>
    <w:rsid w:val="00B72C5E"/>
    <w:rsid w:val="00B72D1A"/>
    <w:rsid w:val="00B72E72"/>
    <w:rsid w:val="00B72E79"/>
    <w:rsid w:val="00B72ECD"/>
    <w:rsid w:val="00B72FA3"/>
    <w:rsid w:val="00B72FC1"/>
    <w:rsid w:val="00B73009"/>
    <w:rsid w:val="00B7309B"/>
    <w:rsid w:val="00B7310B"/>
    <w:rsid w:val="00B73144"/>
    <w:rsid w:val="00B7317A"/>
    <w:rsid w:val="00B7319B"/>
    <w:rsid w:val="00B731DD"/>
    <w:rsid w:val="00B732CD"/>
    <w:rsid w:val="00B7333B"/>
    <w:rsid w:val="00B73394"/>
    <w:rsid w:val="00B73400"/>
    <w:rsid w:val="00B734A4"/>
    <w:rsid w:val="00B736E4"/>
    <w:rsid w:val="00B73875"/>
    <w:rsid w:val="00B7394D"/>
    <w:rsid w:val="00B73950"/>
    <w:rsid w:val="00B7397F"/>
    <w:rsid w:val="00B739F5"/>
    <w:rsid w:val="00B73AA8"/>
    <w:rsid w:val="00B73AB8"/>
    <w:rsid w:val="00B73AE6"/>
    <w:rsid w:val="00B73B2A"/>
    <w:rsid w:val="00B73B92"/>
    <w:rsid w:val="00B73BAE"/>
    <w:rsid w:val="00B73BE3"/>
    <w:rsid w:val="00B73BEC"/>
    <w:rsid w:val="00B73C87"/>
    <w:rsid w:val="00B73C93"/>
    <w:rsid w:val="00B73D15"/>
    <w:rsid w:val="00B73D69"/>
    <w:rsid w:val="00B73DEB"/>
    <w:rsid w:val="00B73E58"/>
    <w:rsid w:val="00B73E97"/>
    <w:rsid w:val="00B7405E"/>
    <w:rsid w:val="00B74084"/>
    <w:rsid w:val="00B74091"/>
    <w:rsid w:val="00B740EC"/>
    <w:rsid w:val="00B74131"/>
    <w:rsid w:val="00B74166"/>
    <w:rsid w:val="00B74194"/>
    <w:rsid w:val="00B741E1"/>
    <w:rsid w:val="00B74260"/>
    <w:rsid w:val="00B74269"/>
    <w:rsid w:val="00B7433A"/>
    <w:rsid w:val="00B744F5"/>
    <w:rsid w:val="00B744FB"/>
    <w:rsid w:val="00B7455E"/>
    <w:rsid w:val="00B745CC"/>
    <w:rsid w:val="00B745F7"/>
    <w:rsid w:val="00B74616"/>
    <w:rsid w:val="00B7462A"/>
    <w:rsid w:val="00B7476C"/>
    <w:rsid w:val="00B74867"/>
    <w:rsid w:val="00B7487A"/>
    <w:rsid w:val="00B7488D"/>
    <w:rsid w:val="00B748A8"/>
    <w:rsid w:val="00B748CA"/>
    <w:rsid w:val="00B74A6E"/>
    <w:rsid w:val="00B74BAA"/>
    <w:rsid w:val="00B74C52"/>
    <w:rsid w:val="00B74CEA"/>
    <w:rsid w:val="00B74D24"/>
    <w:rsid w:val="00B74DEA"/>
    <w:rsid w:val="00B74EDF"/>
    <w:rsid w:val="00B74F10"/>
    <w:rsid w:val="00B74F58"/>
    <w:rsid w:val="00B75040"/>
    <w:rsid w:val="00B7506B"/>
    <w:rsid w:val="00B750B9"/>
    <w:rsid w:val="00B75164"/>
    <w:rsid w:val="00B751E7"/>
    <w:rsid w:val="00B7526D"/>
    <w:rsid w:val="00B752F9"/>
    <w:rsid w:val="00B752FC"/>
    <w:rsid w:val="00B7536C"/>
    <w:rsid w:val="00B75370"/>
    <w:rsid w:val="00B753F3"/>
    <w:rsid w:val="00B7559D"/>
    <w:rsid w:val="00B755C9"/>
    <w:rsid w:val="00B7564E"/>
    <w:rsid w:val="00B756F4"/>
    <w:rsid w:val="00B75705"/>
    <w:rsid w:val="00B75779"/>
    <w:rsid w:val="00B7578D"/>
    <w:rsid w:val="00B757D2"/>
    <w:rsid w:val="00B757EB"/>
    <w:rsid w:val="00B75804"/>
    <w:rsid w:val="00B758CA"/>
    <w:rsid w:val="00B75925"/>
    <w:rsid w:val="00B75997"/>
    <w:rsid w:val="00B7599F"/>
    <w:rsid w:val="00B75A32"/>
    <w:rsid w:val="00B75B19"/>
    <w:rsid w:val="00B75DBF"/>
    <w:rsid w:val="00B75E87"/>
    <w:rsid w:val="00B75EFF"/>
    <w:rsid w:val="00B75FAD"/>
    <w:rsid w:val="00B76000"/>
    <w:rsid w:val="00B76073"/>
    <w:rsid w:val="00B76093"/>
    <w:rsid w:val="00B7624F"/>
    <w:rsid w:val="00B76317"/>
    <w:rsid w:val="00B76321"/>
    <w:rsid w:val="00B76377"/>
    <w:rsid w:val="00B764D3"/>
    <w:rsid w:val="00B766D5"/>
    <w:rsid w:val="00B76703"/>
    <w:rsid w:val="00B76736"/>
    <w:rsid w:val="00B76757"/>
    <w:rsid w:val="00B767E3"/>
    <w:rsid w:val="00B7681F"/>
    <w:rsid w:val="00B76852"/>
    <w:rsid w:val="00B769AA"/>
    <w:rsid w:val="00B769AC"/>
    <w:rsid w:val="00B769AF"/>
    <w:rsid w:val="00B769CA"/>
    <w:rsid w:val="00B769ED"/>
    <w:rsid w:val="00B76A4A"/>
    <w:rsid w:val="00B76A70"/>
    <w:rsid w:val="00B76AC5"/>
    <w:rsid w:val="00B76BFB"/>
    <w:rsid w:val="00B76C17"/>
    <w:rsid w:val="00B76C24"/>
    <w:rsid w:val="00B76C3D"/>
    <w:rsid w:val="00B76D1D"/>
    <w:rsid w:val="00B76DC2"/>
    <w:rsid w:val="00B76E59"/>
    <w:rsid w:val="00B76FD0"/>
    <w:rsid w:val="00B77072"/>
    <w:rsid w:val="00B7709F"/>
    <w:rsid w:val="00B77191"/>
    <w:rsid w:val="00B7719A"/>
    <w:rsid w:val="00B77312"/>
    <w:rsid w:val="00B7733A"/>
    <w:rsid w:val="00B77428"/>
    <w:rsid w:val="00B7748C"/>
    <w:rsid w:val="00B774C3"/>
    <w:rsid w:val="00B774C6"/>
    <w:rsid w:val="00B7751D"/>
    <w:rsid w:val="00B775FE"/>
    <w:rsid w:val="00B77773"/>
    <w:rsid w:val="00B77783"/>
    <w:rsid w:val="00B777BC"/>
    <w:rsid w:val="00B7788E"/>
    <w:rsid w:val="00B778F1"/>
    <w:rsid w:val="00B7794A"/>
    <w:rsid w:val="00B77989"/>
    <w:rsid w:val="00B77A7D"/>
    <w:rsid w:val="00B77AA7"/>
    <w:rsid w:val="00B77AFE"/>
    <w:rsid w:val="00B77B2F"/>
    <w:rsid w:val="00B77B32"/>
    <w:rsid w:val="00B77BD2"/>
    <w:rsid w:val="00B77CB2"/>
    <w:rsid w:val="00B77CF9"/>
    <w:rsid w:val="00B77E06"/>
    <w:rsid w:val="00B77E0C"/>
    <w:rsid w:val="00B77E40"/>
    <w:rsid w:val="00B8008B"/>
    <w:rsid w:val="00B8022D"/>
    <w:rsid w:val="00B80248"/>
    <w:rsid w:val="00B80294"/>
    <w:rsid w:val="00B802A2"/>
    <w:rsid w:val="00B803B0"/>
    <w:rsid w:val="00B80417"/>
    <w:rsid w:val="00B80448"/>
    <w:rsid w:val="00B80483"/>
    <w:rsid w:val="00B80492"/>
    <w:rsid w:val="00B804A9"/>
    <w:rsid w:val="00B804E9"/>
    <w:rsid w:val="00B80505"/>
    <w:rsid w:val="00B8054B"/>
    <w:rsid w:val="00B805BD"/>
    <w:rsid w:val="00B8068F"/>
    <w:rsid w:val="00B80739"/>
    <w:rsid w:val="00B80879"/>
    <w:rsid w:val="00B80962"/>
    <w:rsid w:val="00B80ADF"/>
    <w:rsid w:val="00B80B30"/>
    <w:rsid w:val="00B80B77"/>
    <w:rsid w:val="00B80B86"/>
    <w:rsid w:val="00B80C5A"/>
    <w:rsid w:val="00B80CAE"/>
    <w:rsid w:val="00B80CD1"/>
    <w:rsid w:val="00B80D4A"/>
    <w:rsid w:val="00B80DE7"/>
    <w:rsid w:val="00B80EA2"/>
    <w:rsid w:val="00B80EBD"/>
    <w:rsid w:val="00B80F60"/>
    <w:rsid w:val="00B80FDB"/>
    <w:rsid w:val="00B81045"/>
    <w:rsid w:val="00B810A2"/>
    <w:rsid w:val="00B810E7"/>
    <w:rsid w:val="00B8115C"/>
    <w:rsid w:val="00B81162"/>
    <w:rsid w:val="00B8123E"/>
    <w:rsid w:val="00B81247"/>
    <w:rsid w:val="00B812AB"/>
    <w:rsid w:val="00B81314"/>
    <w:rsid w:val="00B8145B"/>
    <w:rsid w:val="00B815B1"/>
    <w:rsid w:val="00B815B9"/>
    <w:rsid w:val="00B817AB"/>
    <w:rsid w:val="00B818C7"/>
    <w:rsid w:val="00B818D3"/>
    <w:rsid w:val="00B81994"/>
    <w:rsid w:val="00B819F9"/>
    <w:rsid w:val="00B81A37"/>
    <w:rsid w:val="00B81A3F"/>
    <w:rsid w:val="00B81AC8"/>
    <w:rsid w:val="00B81AF9"/>
    <w:rsid w:val="00B81B47"/>
    <w:rsid w:val="00B81BB6"/>
    <w:rsid w:val="00B81C56"/>
    <w:rsid w:val="00B81DD0"/>
    <w:rsid w:val="00B81E21"/>
    <w:rsid w:val="00B81F29"/>
    <w:rsid w:val="00B81FB5"/>
    <w:rsid w:val="00B8202E"/>
    <w:rsid w:val="00B820EB"/>
    <w:rsid w:val="00B820FD"/>
    <w:rsid w:val="00B821CC"/>
    <w:rsid w:val="00B821E5"/>
    <w:rsid w:val="00B82231"/>
    <w:rsid w:val="00B8224C"/>
    <w:rsid w:val="00B8225F"/>
    <w:rsid w:val="00B822A1"/>
    <w:rsid w:val="00B822C5"/>
    <w:rsid w:val="00B82322"/>
    <w:rsid w:val="00B82353"/>
    <w:rsid w:val="00B8246A"/>
    <w:rsid w:val="00B824EB"/>
    <w:rsid w:val="00B82565"/>
    <w:rsid w:val="00B82593"/>
    <w:rsid w:val="00B8260F"/>
    <w:rsid w:val="00B82629"/>
    <w:rsid w:val="00B8264F"/>
    <w:rsid w:val="00B826C8"/>
    <w:rsid w:val="00B82717"/>
    <w:rsid w:val="00B8276F"/>
    <w:rsid w:val="00B8287A"/>
    <w:rsid w:val="00B82A43"/>
    <w:rsid w:val="00B82A95"/>
    <w:rsid w:val="00B82AA5"/>
    <w:rsid w:val="00B82AD0"/>
    <w:rsid w:val="00B82B75"/>
    <w:rsid w:val="00B82BB4"/>
    <w:rsid w:val="00B82D85"/>
    <w:rsid w:val="00B82D8E"/>
    <w:rsid w:val="00B82D9C"/>
    <w:rsid w:val="00B82DA8"/>
    <w:rsid w:val="00B82EB6"/>
    <w:rsid w:val="00B82F15"/>
    <w:rsid w:val="00B83011"/>
    <w:rsid w:val="00B8303E"/>
    <w:rsid w:val="00B83077"/>
    <w:rsid w:val="00B830AE"/>
    <w:rsid w:val="00B830BC"/>
    <w:rsid w:val="00B830FF"/>
    <w:rsid w:val="00B83122"/>
    <w:rsid w:val="00B83170"/>
    <w:rsid w:val="00B8318B"/>
    <w:rsid w:val="00B83228"/>
    <w:rsid w:val="00B833DF"/>
    <w:rsid w:val="00B8340D"/>
    <w:rsid w:val="00B83410"/>
    <w:rsid w:val="00B83460"/>
    <w:rsid w:val="00B83506"/>
    <w:rsid w:val="00B83550"/>
    <w:rsid w:val="00B835FB"/>
    <w:rsid w:val="00B83658"/>
    <w:rsid w:val="00B83677"/>
    <w:rsid w:val="00B83679"/>
    <w:rsid w:val="00B83698"/>
    <w:rsid w:val="00B83720"/>
    <w:rsid w:val="00B8385A"/>
    <w:rsid w:val="00B839C4"/>
    <w:rsid w:val="00B83ADA"/>
    <w:rsid w:val="00B83B21"/>
    <w:rsid w:val="00B83B3F"/>
    <w:rsid w:val="00B83D95"/>
    <w:rsid w:val="00B83E08"/>
    <w:rsid w:val="00B83E21"/>
    <w:rsid w:val="00B83EDC"/>
    <w:rsid w:val="00B83FD5"/>
    <w:rsid w:val="00B83FE2"/>
    <w:rsid w:val="00B83FE9"/>
    <w:rsid w:val="00B840C8"/>
    <w:rsid w:val="00B84108"/>
    <w:rsid w:val="00B84119"/>
    <w:rsid w:val="00B841A1"/>
    <w:rsid w:val="00B84213"/>
    <w:rsid w:val="00B8424E"/>
    <w:rsid w:val="00B842C9"/>
    <w:rsid w:val="00B842EE"/>
    <w:rsid w:val="00B8434E"/>
    <w:rsid w:val="00B84359"/>
    <w:rsid w:val="00B84382"/>
    <w:rsid w:val="00B843A4"/>
    <w:rsid w:val="00B84412"/>
    <w:rsid w:val="00B84464"/>
    <w:rsid w:val="00B84485"/>
    <w:rsid w:val="00B844AF"/>
    <w:rsid w:val="00B845AE"/>
    <w:rsid w:val="00B8466E"/>
    <w:rsid w:val="00B846A9"/>
    <w:rsid w:val="00B848C6"/>
    <w:rsid w:val="00B848D6"/>
    <w:rsid w:val="00B84934"/>
    <w:rsid w:val="00B849DE"/>
    <w:rsid w:val="00B849FE"/>
    <w:rsid w:val="00B84A52"/>
    <w:rsid w:val="00B84A9D"/>
    <w:rsid w:val="00B84ABF"/>
    <w:rsid w:val="00B84B79"/>
    <w:rsid w:val="00B84C83"/>
    <w:rsid w:val="00B84D1C"/>
    <w:rsid w:val="00B84D2F"/>
    <w:rsid w:val="00B85026"/>
    <w:rsid w:val="00B851C0"/>
    <w:rsid w:val="00B85218"/>
    <w:rsid w:val="00B8523A"/>
    <w:rsid w:val="00B85271"/>
    <w:rsid w:val="00B85380"/>
    <w:rsid w:val="00B853DF"/>
    <w:rsid w:val="00B8540E"/>
    <w:rsid w:val="00B85421"/>
    <w:rsid w:val="00B85497"/>
    <w:rsid w:val="00B854BF"/>
    <w:rsid w:val="00B854C3"/>
    <w:rsid w:val="00B854FF"/>
    <w:rsid w:val="00B85584"/>
    <w:rsid w:val="00B85676"/>
    <w:rsid w:val="00B85799"/>
    <w:rsid w:val="00B857A4"/>
    <w:rsid w:val="00B857DF"/>
    <w:rsid w:val="00B8582F"/>
    <w:rsid w:val="00B85848"/>
    <w:rsid w:val="00B8588D"/>
    <w:rsid w:val="00B85B2D"/>
    <w:rsid w:val="00B85BA1"/>
    <w:rsid w:val="00B85BD0"/>
    <w:rsid w:val="00B85C16"/>
    <w:rsid w:val="00B85C55"/>
    <w:rsid w:val="00B85C73"/>
    <w:rsid w:val="00B85E36"/>
    <w:rsid w:val="00B85EF0"/>
    <w:rsid w:val="00B85F5C"/>
    <w:rsid w:val="00B85FA8"/>
    <w:rsid w:val="00B85FD6"/>
    <w:rsid w:val="00B86005"/>
    <w:rsid w:val="00B8607F"/>
    <w:rsid w:val="00B86180"/>
    <w:rsid w:val="00B861D6"/>
    <w:rsid w:val="00B861DC"/>
    <w:rsid w:val="00B8622A"/>
    <w:rsid w:val="00B8637E"/>
    <w:rsid w:val="00B86391"/>
    <w:rsid w:val="00B863F8"/>
    <w:rsid w:val="00B8675F"/>
    <w:rsid w:val="00B8683F"/>
    <w:rsid w:val="00B868ED"/>
    <w:rsid w:val="00B868EE"/>
    <w:rsid w:val="00B8693B"/>
    <w:rsid w:val="00B8694C"/>
    <w:rsid w:val="00B869C8"/>
    <w:rsid w:val="00B869E0"/>
    <w:rsid w:val="00B86A07"/>
    <w:rsid w:val="00B86A28"/>
    <w:rsid w:val="00B86ABA"/>
    <w:rsid w:val="00B86C2B"/>
    <w:rsid w:val="00B86E3E"/>
    <w:rsid w:val="00B871AF"/>
    <w:rsid w:val="00B871B6"/>
    <w:rsid w:val="00B871F7"/>
    <w:rsid w:val="00B872E1"/>
    <w:rsid w:val="00B872E9"/>
    <w:rsid w:val="00B87320"/>
    <w:rsid w:val="00B8735F"/>
    <w:rsid w:val="00B87398"/>
    <w:rsid w:val="00B8743A"/>
    <w:rsid w:val="00B87599"/>
    <w:rsid w:val="00B8762A"/>
    <w:rsid w:val="00B8764B"/>
    <w:rsid w:val="00B87657"/>
    <w:rsid w:val="00B87671"/>
    <w:rsid w:val="00B87699"/>
    <w:rsid w:val="00B877E9"/>
    <w:rsid w:val="00B8780B"/>
    <w:rsid w:val="00B87812"/>
    <w:rsid w:val="00B878DE"/>
    <w:rsid w:val="00B878F4"/>
    <w:rsid w:val="00B87989"/>
    <w:rsid w:val="00B87A42"/>
    <w:rsid w:val="00B87AA2"/>
    <w:rsid w:val="00B87AEF"/>
    <w:rsid w:val="00B87B9C"/>
    <w:rsid w:val="00B87C0C"/>
    <w:rsid w:val="00B87CD6"/>
    <w:rsid w:val="00B87CF6"/>
    <w:rsid w:val="00B87DE5"/>
    <w:rsid w:val="00B87E84"/>
    <w:rsid w:val="00B87EA3"/>
    <w:rsid w:val="00B87EEE"/>
    <w:rsid w:val="00B87F41"/>
    <w:rsid w:val="00B90034"/>
    <w:rsid w:val="00B90121"/>
    <w:rsid w:val="00B90177"/>
    <w:rsid w:val="00B90208"/>
    <w:rsid w:val="00B9020B"/>
    <w:rsid w:val="00B90387"/>
    <w:rsid w:val="00B903ED"/>
    <w:rsid w:val="00B90426"/>
    <w:rsid w:val="00B904F7"/>
    <w:rsid w:val="00B90556"/>
    <w:rsid w:val="00B906B1"/>
    <w:rsid w:val="00B907AF"/>
    <w:rsid w:val="00B90807"/>
    <w:rsid w:val="00B9086D"/>
    <w:rsid w:val="00B90A2B"/>
    <w:rsid w:val="00B90BD3"/>
    <w:rsid w:val="00B90BD4"/>
    <w:rsid w:val="00B90C0D"/>
    <w:rsid w:val="00B90D7C"/>
    <w:rsid w:val="00B90D99"/>
    <w:rsid w:val="00B90E79"/>
    <w:rsid w:val="00B9103A"/>
    <w:rsid w:val="00B9121D"/>
    <w:rsid w:val="00B9122D"/>
    <w:rsid w:val="00B91235"/>
    <w:rsid w:val="00B91263"/>
    <w:rsid w:val="00B91329"/>
    <w:rsid w:val="00B91368"/>
    <w:rsid w:val="00B9160A"/>
    <w:rsid w:val="00B9166B"/>
    <w:rsid w:val="00B916CD"/>
    <w:rsid w:val="00B9172F"/>
    <w:rsid w:val="00B9174D"/>
    <w:rsid w:val="00B91792"/>
    <w:rsid w:val="00B918B7"/>
    <w:rsid w:val="00B918EE"/>
    <w:rsid w:val="00B918FA"/>
    <w:rsid w:val="00B91932"/>
    <w:rsid w:val="00B91940"/>
    <w:rsid w:val="00B919D3"/>
    <w:rsid w:val="00B919D4"/>
    <w:rsid w:val="00B91BD6"/>
    <w:rsid w:val="00B91CC4"/>
    <w:rsid w:val="00B91CF6"/>
    <w:rsid w:val="00B91D13"/>
    <w:rsid w:val="00B91D29"/>
    <w:rsid w:val="00B91D34"/>
    <w:rsid w:val="00B91EF5"/>
    <w:rsid w:val="00B91F49"/>
    <w:rsid w:val="00B91F66"/>
    <w:rsid w:val="00B9200B"/>
    <w:rsid w:val="00B9204D"/>
    <w:rsid w:val="00B9210C"/>
    <w:rsid w:val="00B92131"/>
    <w:rsid w:val="00B9218F"/>
    <w:rsid w:val="00B9223B"/>
    <w:rsid w:val="00B92394"/>
    <w:rsid w:val="00B9246B"/>
    <w:rsid w:val="00B92595"/>
    <w:rsid w:val="00B925C9"/>
    <w:rsid w:val="00B925D4"/>
    <w:rsid w:val="00B9260B"/>
    <w:rsid w:val="00B926CD"/>
    <w:rsid w:val="00B92749"/>
    <w:rsid w:val="00B9279B"/>
    <w:rsid w:val="00B927CF"/>
    <w:rsid w:val="00B92866"/>
    <w:rsid w:val="00B9288C"/>
    <w:rsid w:val="00B92989"/>
    <w:rsid w:val="00B92A19"/>
    <w:rsid w:val="00B92B8E"/>
    <w:rsid w:val="00B92BB4"/>
    <w:rsid w:val="00B92BBE"/>
    <w:rsid w:val="00B92C78"/>
    <w:rsid w:val="00B92C8A"/>
    <w:rsid w:val="00B92D51"/>
    <w:rsid w:val="00B92D66"/>
    <w:rsid w:val="00B92E2F"/>
    <w:rsid w:val="00B92FE0"/>
    <w:rsid w:val="00B92FEE"/>
    <w:rsid w:val="00B930E4"/>
    <w:rsid w:val="00B931F9"/>
    <w:rsid w:val="00B932A6"/>
    <w:rsid w:val="00B932D6"/>
    <w:rsid w:val="00B93312"/>
    <w:rsid w:val="00B933CE"/>
    <w:rsid w:val="00B9348E"/>
    <w:rsid w:val="00B936A6"/>
    <w:rsid w:val="00B9379B"/>
    <w:rsid w:val="00B937AF"/>
    <w:rsid w:val="00B937B6"/>
    <w:rsid w:val="00B9380A"/>
    <w:rsid w:val="00B938B0"/>
    <w:rsid w:val="00B93906"/>
    <w:rsid w:val="00B93931"/>
    <w:rsid w:val="00B939B3"/>
    <w:rsid w:val="00B93A55"/>
    <w:rsid w:val="00B93A76"/>
    <w:rsid w:val="00B93A9E"/>
    <w:rsid w:val="00B93B13"/>
    <w:rsid w:val="00B93B86"/>
    <w:rsid w:val="00B93BB7"/>
    <w:rsid w:val="00B93BF3"/>
    <w:rsid w:val="00B93D2E"/>
    <w:rsid w:val="00B93F0E"/>
    <w:rsid w:val="00B93F4F"/>
    <w:rsid w:val="00B93F50"/>
    <w:rsid w:val="00B93F70"/>
    <w:rsid w:val="00B940FD"/>
    <w:rsid w:val="00B94109"/>
    <w:rsid w:val="00B9423A"/>
    <w:rsid w:val="00B942CB"/>
    <w:rsid w:val="00B942D8"/>
    <w:rsid w:val="00B94397"/>
    <w:rsid w:val="00B943C5"/>
    <w:rsid w:val="00B9440B"/>
    <w:rsid w:val="00B94410"/>
    <w:rsid w:val="00B94480"/>
    <w:rsid w:val="00B944F5"/>
    <w:rsid w:val="00B9451C"/>
    <w:rsid w:val="00B9467A"/>
    <w:rsid w:val="00B94732"/>
    <w:rsid w:val="00B947F5"/>
    <w:rsid w:val="00B9482E"/>
    <w:rsid w:val="00B94902"/>
    <w:rsid w:val="00B949FE"/>
    <w:rsid w:val="00B94A1C"/>
    <w:rsid w:val="00B94C4A"/>
    <w:rsid w:val="00B94D9F"/>
    <w:rsid w:val="00B94E53"/>
    <w:rsid w:val="00B9502F"/>
    <w:rsid w:val="00B9503D"/>
    <w:rsid w:val="00B950A6"/>
    <w:rsid w:val="00B95160"/>
    <w:rsid w:val="00B9516E"/>
    <w:rsid w:val="00B951FC"/>
    <w:rsid w:val="00B953BF"/>
    <w:rsid w:val="00B95470"/>
    <w:rsid w:val="00B95536"/>
    <w:rsid w:val="00B95550"/>
    <w:rsid w:val="00B9556C"/>
    <w:rsid w:val="00B955DC"/>
    <w:rsid w:val="00B9563F"/>
    <w:rsid w:val="00B95671"/>
    <w:rsid w:val="00B956AF"/>
    <w:rsid w:val="00B956D5"/>
    <w:rsid w:val="00B957A7"/>
    <w:rsid w:val="00B95816"/>
    <w:rsid w:val="00B9586E"/>
    <w:rsid w:val="00B9588D"/>
    <w:rsid w:val="00B9589C"/>
    <w:rsid w:val="00B958C8"/>
    <w:rsid w:val="00B95926"/>
    <w:rsid w:val="00B9595A"/>
    <w:rsid w:val="00B959A8"/>
    <w:rsid w:val="00B95A2C"/>
    <w:rsid w:val="00B95B88"/>
    <w:rsid w:val="00B95C0F"/>
    <w:rsid w:val="00B95D18"/>
    <w:rsid w:val="00B95EB4"/>
    <w:rsid w:val="00B95F6B"/>
    <w:rsid w:val="00B95FA0"/>
    <w:rsid w:val="00B95FDE"/>
    <w:rsid w:val="00B960B6"/>
    <w:rsid w:val="00B960E9"/>
    <w:rsid w:val="00B9613B"/>
    <w:rsid w:val="00B9619B"/>
    <w:rsid w:val="00B961DA"/>
    <w:rsid w:val="00B9620A"/>
    <w:rsid w:val="00B96253"/>
    <w:rsid w:val="00B963C2"/>
    <w:rsid w:val="00B963EC"/>
    <w:rsid w:val="00B96427"/>
    <w:rsid w:val="00B96515"/>
    <w:rsid w:val="00B9651B"/>
    <w:rsid w:val="00B96560"/>
    <w:rsid w:val="00B96613"/>
    <w:rsid w:val="00B966A6"/>
    <w:rsid w:val="00B966F3"/>
    <w:rsid w:val="00B9674C"/>
    <w:rsid w:val="00B967AA"/>
    <w:rsid w:val="00B968B5"/>
    <w:rsid w:val="00B968C8"/>
    <w:rsid w:val="00B968F4"/>
    <w:rsid w:val="00B969C9"/>
    <w:rsid w:val="00B96AA2"/>
    <w:rsid w:val="00B96B8A"/>
    <w:rsid w:val="00B96BB1"/>
    <w:rsid w:val="00B96C2A"/>
    <w:rsid w:val="00B96C5B"/>
    <w:rsid w:val="00B96C91"/>
    <w:rsid w:val="00B96CBE"/>
    <w:rsid w:val="00B96CDE"/>
    <w:rsid w:val="00B96CFC"/>
    <w:rsid w:val="00B96D5C"/>
    <w:rsid w:val="00B96D68"/>
    <w:rsid w:val="00B96DDC"/>
    <w:rsid w:val="00B96DDE"/>
    <w:rsid w:val="00B96E87"/>
    <w:rsid w:val="00B96ED5"/>
    <w:rsid w:val="00B96F33"/>
    <w:rsid w:val="00B96FE3"/>
    <w:rsid w:val="00B9700F"/>
    <w:rsid w:val="00B97063"/>
    <w:rsid w:val="00B97065"/>
    <w:rsid w:val="00B97114"/>
    <w:rsid w:val="00B97121"/>
    <w:rsid w:val="00B97137"/>
    <w:rsid w:val="00B9722A"/>
    <w:rsid w:val="00B972BC"/>
    <w:rsid w:val="00B972E1"/>
    <w:rsid w:val="00B97316"/>
    <w:rsid w:val="00B973F1"/>
    <w:rsid w:val="00B9740F"/>
    <w:rsid w:val="00B9747A"/>
    <w:rsid w:val="00B9755A"/>
    <w:rsid w:val="00B97650"/>
    <w:rsid w:val="00B9765C"/>
    <w:rsid w:val="00B976A5"/>
    <w:rsid w:val="00B97775"/>
    <w:rsid w:val="00B977A6"/>
    <w:rsid w:val="00B977E1"/>
    <w:rsid w:val="00B97836"/>
    <w:rsid w:val="00B978ED"/>
    <w:rsid w:val="00B97930"/>
    <w:rsid w:val="00B9798B"/>
    <w:rsid w:val="00B979DD"/>
    <w:rsid w:val="00B97A39"/>
    <w:rsid w:val="00B97AC0"/>
    <w:rsid w:val="00B97ADE"/>
    <w:rsid w:val="00B97B1C"/>
    <w:rsid w:val="00B97B7D"/>
    <w:rsid w:val="00B97C7D"/>
    <w:rsid w:val="00B97D4D"/>
    <w:rsid w:val="00B97D72"/>
    <w:rsid w:val="00B97DC9"/>
    <w:rsid w:val="00B97F4F"/>
    <w:rsid w:val="00B97FD3"/>
    <w:rsid w:val="00B97FE0"/>
    <w:rsid w:val="00B97FF1"/>
    <w:rsid w:val="00B97FF9"/>
    <w:rsid w:val="00BA0045"/>
    <w:rsid w:val="00BA00D0"/>
    <w:rsid w:val="00BA00E6"/>
    <w:rsid w:val="00BA0121"/>
    <w:rsid w:val="00BA0159"/>
    <w:rsid w:val="00BA0170"/>
    <w:rsid w:val="00BA0190"/>
    <w:rsid w:val="00BA0204"/>
    <w:rsid w:val="00BA027C"/>
    <w:rsid w:val="00BA02D1"/>
    <w:rsid w:val="00BA02FF"/>
    <w:rsid w:val="00BA03CB"/>
    <w:rsid w:val="00BA03E8"/>
    <w:rsid w:val="00BA03F7"/>
    <w:rsid w:val="00BA049F"/>
    <w:rsid w:val="00BA0539"/>
    <w:rsid w:val="00BA060F"/>
    <w:rsid w:val="00BA06EC"/>
    <w:rsid w:val="00BA0706"/>
    <w:rsid w:val="00BA07BA"/>
    <w:rsid w:val="00BA0842"/>
    <w:rsid w:val="00BA094B"/>
    <w:rsid w:val="00BA0998"/>
    <w:rsid w:val="00BA09F3"/>
    <w:rsid w:val="00BA0A08"/>
    <w:rsid w:val="00BA0A62"/>
    <w:rsid w:val="00BA0A87"/>
    <w:rsid w:val="00BA0AA9"/>
    <w:rsid w:val="00BA0AC2"/>
    <w:rsid w:val="00BA0C5D"/>
    <w:rsid w:val="00BA0C8C"/>
    <w:rsid w:val="00BA0D46"/>
    <w:rsid w:val="00BA0E41"/>
    <w:rsid w:val="00BA0EF5"/>
    <w:rsid w:val="00BA0F24"/>
    <w:rsid w:val="00BA0F39"/>
    <w:rsid w:val="00BA0F48"/>
    <w:rsid w:val="00BA0FAE"/>
    <w:rsid w:val="00BA1055"/>
    <w:rsid w:val="00BA114D"/>
    <w:rsid w:val="00BA11F3"/>
    <w:rsid w:val="00BA126D"/>
    <w:rsid w:val="00BA12C8"/>
    <w:rsid w:val="00BA1332"/>
    <w:rsid w:val="00BA134C"/>
    <w:rsid w:val="00BA140B"/>
    <w:rsid w:val="00BA145E"/>
    <w:rsid w:val="00BA149D"/>
    <w:rsid w:val="00BA1516"/>
    <w:rsid w:val="00BA15B0"/>
    <w:rsid w:val="00BA17F7"/>
    <w:rsid w:val="00BA1828"/>
    <w:rsid w:val="00BA1830"/>
    <w:rsid w:val="00BA18B6"/>
    <w:rsid w:val="00BA18B8"/>
    <w:rsid w:val="00BA18CB"/>
    <w:rsid w:val="00BA191A"/>
    <w:rsid w:val="00BA1932"/>
    <w:rsid w:val="00BA1A15"/>
    <w:rsid w:val="00BA1A27"/>
    <w:rsid w:val="00BA1A28"/>
    <w:rsid w:val="00BA1B11"/>
    <w:rsid w:val="00BA1B13"/>
    <w:rsid w:val="00BA1B1D"/>
    <w:rsid w:val="00BA1B66"/>
    <w:rsid w:val="00BA1B75"/>
    <w:rsid w:val="00BA1C17"/>
    <w:rsid w:val="00BA1CDD"/>
    <w:rsid w:val="00BA1D58"/>
    <w:rsid w:val="00BA1D66"/>
    <w:rsid w:val="00BA1DE8"/>
    <w:rsid w:val="00BA1FE9"/>
    <w:rsid w:val="00BA2077"/>
    <w:rsid w:val="00BA208A"/>
    <w:rsid w:val="00BA20A7"/>
    <w:rsid w:val="00BA216D"/>
    <w:rsid w:val="00BA21E5"/>
    <w:rsid w:val="00BA2299"/>
    <w:rsid w:val="00BA23A4"/>
    <w:rsid w:val="00BA23C0"/>
    <w:rsid w:val="00BA23E6"/>
    <w:rsid w:val="00BA2411"/>
    <w:rsid w:val="00BA2536"/>
    <w:rsid w:val="00BA2557"/>
    <w:rsid w:val="00BA268B"/>
    <w:rsid w:val="00BA269F"/>
    <w:rsid w:val="00BA274C"/>
    <w:rsid w:val="00BA27C3"/>
    <w:rsid w:val="00BA27CF"/>
    <w:rsid w:val="00BA28DB"/>
    <w:rsid w:val="00BA2910"/>
    <w:rsid w:val="00BA2A87"/>
    <w:rsid w:val="00BA2B55"/>
    <w:rsid w:val="00BA2BC7"/>
    <w:rsid w:val="00BA2CD4"/>
    <w:rsid w:val="00BA2DBC"/>
    <w:rsid w:val="00BA2E14"/>
    <w:rsid w:val="00BA2F16"/>
    <w:rsid w:val="00BA3036"/>
    <w:rsid w:val="00BA31A4"/>
    <w:rsid w:val="00BA3294"/>
    <w:rsid w:val="00BA3326"/>
    <w:rsid w:val="00BA33BB"/>
    <w:rsid w:val="00BA33C6"/>
    <w:rsid w:val="00BA3489"/>
    <w:rsid w:val="00BA349F"/>
    <w:rsid w:val="00BA34C8"/>
    <w:rsid w:val="00BA3681"/>
    <w:rsid w:val="00BA375C"/>
    <w:rsid w:val="00BA3782"/>
    <w:rsid w:val="00BA3885"/>
    <w:rsid w:val="00BA38A8"/>
    <w:rsid w:val="00BA38FE"/>
    <w:rsid w:val="00BA390D"/>
    <w:rsid w:val="00BA3AD4"/>
    <w:rsid w:val="00BA3BD7"/>
    <w:rsid w:val="00BA3C0C"/>
    <w:rsid w:val="00BA3D1C"/>
    <w:rsid w:val="00BA3E17"/>
    <w:rsid w:val="00BA3E48"/>
    <w:rsid w:val="00BA3EBC"/>
    <w:rsid w:val="00BA3ED8"/>
    <w:rsid w:val="00BA3EDB"/>
    <w:rsid w:val="00BA3FBB"/>
    <w:rsid w:val="00BA40CC"/>
    <w:rsid w:val="00BA4108"/>
    <w:rsid w:val="00BA411E"/>
    <w:rsid w:val="00BA41D6"/>
    <w:rsid w:val="00BA41E3"/>
    <w:rsid w:val="00BA4269"/>
    <w:rsid w:val="00BA4287"/>
    <w:rsid w:val="00BA42AD"/>
    <w:rsid w:val="00BA4313"/>
    <w:rsid w:val="00BA4381"/>
    <w:rsid w:val="00BA43E4"/>
    <w:rsid w:val="00BA43FB"/>
    <w:rsid w:val="00BA4431"/>
    <w:rsid w:val="00BA4660"/>
    <w:rsid w:val="00BA4664"/>
    <w:rsid w:val="00BA474B"/>
    <w:rsid w:val="00BA4924"/>
    <w:rsid w:val="00BA4996"/>
    <w:rsid w:val="00BA4A00"/>
    <w:rsid w:val="00BA4AEA"/>
    <w:rsid w:val="00BA4B55"/>
    <w:rsid w:val="00BA4B82"/>
    <w:rsid w:val="00BA4BCB"/>
    <w:rsid w:val="00BA4C5B"/>
    <w:rsid w:val="00BA4CA9"/>
    <w:rsid w:val="00BA4D5A"/>
    <w:rsid w:val="00BA4DA5"/>
    <w:rsid w:val="00BA4E1B"/>
    <w:rsid w:val="00BA4E75"/>
    <w:rsid w:val="00BA4EAD"/>
    <w:rsid w:val="00BA5082"/>
    <w:rsid w:val="00BA50BD"/>
    <w:rsid w:val="00BA50FC"/>
    <w:rsid w:val="00BA5114"/>
    <w:rsid w:val="00BA516F"/>
    <w:rsid w:val="00BA528E"/>
    <w:rsid w:val="00BA531B"/>
    <w:rsid w:val="00BA5369"/>
    <w:rsid w:val="00BA5381"/>
    <w:rsid w:val="00BA53EF"/>
    <w:rsid w:val="00BA53F6"/>
    <w:rsid w:val="00BA5453"/>
    <w:rsid w:val="00BA5479"/>
    <w:rsid w:val="00BA5480"/>
    <w:rsid w:val="00BA5619"/>
    <w:rsid w:val="00BA5725"/>
    <w:rsid w:val="00BA576C"/>
    <w:rsid w:val="00BA5778"/>
    <w:rsid w:val="00BA57E1"/>
    <w:rsid w:val="00BA580D"/>
    <w:rsid w:val="00BA5817"/>
    <w:rsid w:val="00BA58A2"/>
    <w:rsid w:val="00BA5902"/>
    <w:rsid w:val="00BA593A"/>
    <w:rsid w:val="00BA59DE"/>
    <w:rsid w:val="00BA5BA2"/>
    <w:rsid w:val="00BA5C11"/>
    <w:rsid w:val="00BA5C19"/>
    <w:rsid w:val="00BA5C2F"/>
    <w:rsid w:val="00BA5C9E"/>
    <w:rsid w:val="00BA5DE9"/>
    <w:rsid w:val="00BA5E05"/>
    <w:rsid w:val="00BA6003"/>
    <w:rsid w:val="00BA607F"/>
    <w:rsid w:val="00BA6185"/>
    <w:rsid w:val="00BA61FF"/>
    <w:rsid w:val="00BA62C9"/>
    <w:rsid w:val="00BA634B"/>
    <w:rsid w:val="00BA635C"/>
    <w:rsid w:val="00BA6384"/>
    <w:rsid w:val="00BA63D4"/>
    <w:rsid w:val="00BA641A"/>
    <w:rsid w:val="00BA6470"/>
    <w:rsid w:val="00BA6471"/>
    <w:rsid w:val="00BA64C9"/>
    <w:rsid w:val="00BA64FD"/>
    <w:rsid w:val="00BA65E3"/>
    <w:rsid w:val="00BA6658"/>
    <w:rsid w:val="00BA668A"/>
    <w:rsid w:val="00BA67D9"/>
    <w:rsid w:val="00BA68C2"/>
    <w:rsid w:val="00BA68D8"/>
    <w:rsid w:val="00BA6944"/>
    <w:rsid w:val="00BA6951"/>
    <w:rsid w:val="00BA6972"/>
    <w:rsid w:val="00BA69A9"/>
    <w:rsid w:val="00BA69BE"/>
    <w:rsid w:val="00BA6A5C"/>
    <w:rsid w:val="00BA6AE2"/>
    <w:rsid w:val="00BA6B2F"/>
    <w:rsid w:val="00BA6CDB"/>
    <w:rsid w:val="00BA6CF1"/>
    <w:rsid w:val="00BA6D32"/>
    <w:rsid w:val="00BA6DDF"/>
    <w:rsid w:val="00BA6ED1"/>
    <w:rsid w:val="00BA6F0B"/>
    <w:rsid w:val="00BA6FEE"/>
    <w:rsid w:val="00BA706B"/>
    <w:rsid w:val="00BA708C"/>
    <w:rsid w:val="00BA70F7"/>
    <w:rsid w:val="00BA717C"/>
    <w:rsid w:val="00BA71FC"/>
    <w:rsid w:val="00BA71FD"/>
    <w:rsid w:val="00BA7285"/>
    <w:rsid w:val="00BA7375"/>
    <w:rsid w:val="00BA738A"/>
    <w:rsid w:val="00BA745E"/>
    <w:rsid w:val="00BA74D4"/>
    <w:rsid w:val="00BA74F8"/>
    <w:rsid w:val="00BA7514"/>
    <w:rsid w:val="00BA758C"/>
    <w:rsid w:val="00BA7679"/>
    <w:rsid w:val="00BA76B6"/>
    <w:rsid w:val="00BA7723"/>
    <w:rsid w:val="00BA7738"/>
    <w:rsid w:val="00BA77ED"/>
    <w:rsid w:val="00BA77EE"/>
    <w:rsid w:val="00BA7882"/>
    <w:rsid w:val="00BA7891"/>
    <w:rsid w:val="00BA7892"/>
    <w:rsid w:val="00BA799D"/>
    <w:rsid w:val="00BA79A4"/>
    <w:rsid w:val="00BA79F9"/>
    <w:rsid w:val="00BA7A51"/>
    <w:rsid w:val="00BA7AFB"/>
    <w:rsid w:val="00BA7B6A"/>
    <w:rsid w:val="00BA7C33"/>
    <w:rsid w:val="00BA7C97"/>
    <w:rsid w:val="00BA7CA0"/>
    <w:rsid w:val="00BA7CFE"/>
    <w:rsid w:val="00BA7E03"/>
    <w:rsid w:val="00BA7E9B"/>
    <w:rsid w:val="00BA7EEB"/>
    <w:rsid w:val="00BB004C"/>
    <w:rsid w:val="00BB00B7"/>
    <w:rsid w:val="00BB00EF"/>
    <w:rsid w:val="00BB0119"/>
    <w:rsid w:val="00BB0139"/>
    <w:rsid w:val="00BB0173"/>
    <w:rsid w:val="00BB026D"/>
    <w:rsid w:val="00BB036D"/>
    <w:rsid w:val="00BB0393"/>
    <w:rsid w:val="00BB041C"/>
    <w:rsid w:val="00BB0456"/>
    <w:rsid w:val="00BB0475"/>
    <w:rsid w:val="00BB04AE"/>
    <w:rsid w:val="00BB07A3"/>
    <w:rsid w:val="00BB0856"/>
    <w:rsid w:val="00BB0886"/>
    <w:rsid w:val="00BB09EC"/>
    <w:rsid w:val="00BB09F7"/>
    <w:rsid w:val="00BB0A26"/>
    <w:rsid w:val="00BB0A36"/>
    <w:rsid w:val="00BB0AF5"/>
    <w:rsid w:val="00BB0CEA"/>
    <w:rsid w:val="00BB0D4D"/>
    <w:rsid w:val="00BB0DE8"/>
    <w:rsid w:val="00BB0E3A"/>
    <w:rsid w:val="00BB0E8B"/>
    <w:rsid w:val="00BB0EB5"/>
    <w:rsid w:val="00BB0F54"/>
    <w:rsid w:val="00BB0FA8"/>
    <w:rsid w:val="00BB10BA"/>
    <w:rsid w:val="00BB1151"/>
    <w:rsid w:val="00BB119B"/>
    <w:rsid w:val="00BB11C8"/>
    <w:rsid w:val="00BB121C"/>
    <w:rsid w:val="00BB1292"/>
    <w:rsid w:val="00BB12AA"/>
    <w:rsid w:val="00BB130A"/>
    <w:rsid w:val="00BB1311"/>
    <w:rsid w:val="00BB143C"/>
    <w:rsid w:val="00BB1472"/>
    <w:rsid w:val="00BB14AF"/>
    <w:rsid w:val="00BB14B1"/>
    <w:rsid w:val="00BB14D7"/>
    <w:rsid w:val="00BB1511"/>
    <w:rsid w:val="00BB1540"/>
    <w:rsid w:val="00BB1571"/>
    <w:rsid w:val="00BB1583"/>
    <w:rsid w:val="00BB15D8"/>
    <w:rsid w:val="00BB1602"/>
    <w:rsid w:val="00BB1608"/>
    <w:rsid w:val="00BB160C"/>
    <w:rsid w:val="00BB1681"/>
    <w:rsid w:val="00BB1691"/>
    <w:rsid w:val="00BB16EB"/>
    <w:rsid w:val="00BB177A"/>
    <w:rsid w:val="00BB179E"/>
    <w:rsid w:val="00BB1825"/>
    <w:rsid w:val="00BB1864"/>
    <w:rsid w:val="00BB1887"/>
    <w:rsid w:val="00BB1898"/>
    <w:rsid w:val="00BB18B8"/>
    <w:rsid w:val="00BB18B9"/>
    <w:rsid w:val="00BB192C"/>
    <w:rsid w:val="00BB19BD"/>
    <w:rsid w:val="00BB1B7D"/>
    <w:rsid w:val="00BB1B97"/>
    <w:rsid w:val="00BB1CDA"/>
    <w:rsid w:val="00BB1D23"/>
    <w:rsid w:val="00BB1D58"/>
    <w:rsid w:val="00BB1D79"/>
    <w:rsid w:val="00BB1E39"/>
    <w:rsid w:val="00BB1EB5"/>
    <w:rsid w:val="00BB1ED1"/>
    <w:rsid w:val="00BB1F05"/>
    <w:rsid w:val="00BB20A6"/>
    <w:rsid w:val="00BB2173"/>
    <w:rsid w:val="00BB21A0"/>
    <w:rsid w:val="00BB21B3"/>
    <w:rsid w:val="00BB230C"/>
    <w:rsid w:val="00BB232F"/>
    <w:rsid w:val="00BB235D"/>
    <w:rsid w:val="00BB236A"/>
    <w:rsid w:val="00BB23A2"/>
    <w:rsid w:val="00BB23BA"/>
    <w:rsid w:val="00BB2476"/>
    <w:rsid w:val="00BB2554"/>
    <w:rsid w:val="00BB2571"/>
    <w:rsid w:val="00BB2758"/>
    <w:rsid w:val="00BB2777"/>
    <w:rsid w:val="00BB27A9"/>
    <w:rsid w:val="00BB287F"/>
    <w:rsid w:val="00BB2883"/>
    <w:rsid w:val="00BB293A"/>
    <w:rsid w:val="00BB296B"/>
    <w:rsid w:val="00BB2982"/>
    <w:rsid w:val="00BB29A3"/>
    <w:rsid w:val="00BB2A43"/>
    <w:rsid w:val="00BB2A59"/>
    <w:rsid w:val="00BB2A68"/>
    <w:rsid w:val="00BB2A92"/>
    <w:rsid w:val="00BB2AF2"/>
    <w:rsid w:val="00BB2B7E"/>
    <w:rsid w:val="00BB2BA9"/>
    <w:rsid w:val="00BB2BE3"/>
    <w:rsid w:val="00BB2BE6"/>
    <w:rsid w:val="00BB2CF8"/>
    <w:rsid w:val="00BB2D3B"/>
    <w:rsid w:val="00BB2DB7"/>
    <w:rsid w:val="00BB2DFE"/>
    <w:rsid w:val="00BB2E7F"/>
    <w:rsid w:val="00BB2F57"/>
    <w:rsid w:val="00BB3070"/>
    <w:rsid w:val="00BB30A8"/>
    <w:rsid w:val="00BB30AB"/>
    <w:rsid w:val="00BB30C3"/>
    <w:rsid w:val="00BB30EA"/>
    <w:rsid w:val="00BB3176"/>
    <w:rsid w:val="00BB3202"/>
    <w:rsid w:val="00BB3252"/>
    <w:rsid w:val="00BB32E0"/>
    <w:rsid w:val="00BB32F5"/>
    <w:rsid w:val="00BB32FD"/>
    <w:rsid w:val="00BB33B4"/>
    <w:rsid w:val="00BB3471"/>
    <w:rsid w:val="00BB3473"/>
    <w:rsid w:val="00BB3586"/>
    <w:rsid w:val="00BB3593"/>
    <w:rsid w:val="00BB3628"/>
    <w:rsid w:val="00BB3747"/>
    <w:rsid w:val="00BB375D"/>
    <w:rsid w:val="00BB39BD"/>
    <w:rsid w:val="00BB39FA"/>
    <w:rsid w:val="00BB3A2B"/>
    <w:rsid w:val="00BB3A77"/>
    <w:rsid w:val="00BB3AA7"/>
    <w:rsid w:val="00BB3ACB"/>
    <w:rsid w:val="00BB3B5A"/>
    <w:rsid w:val="00BB3B7B"/>
    <w:rsid w:val="00BB3C7F"/>
    <w:rsid w:val="00BB3CC2"/>
    <w:rsid w:val="00BB3CD0"/>
    <w:rsid w:val="00BB3D40"/>
    <w:rsid w:val="00BB3D51"/>
    <w:rsid w:val="00BB3DFE"/>
    <w:rsid w:val="00BB3EC4"/>
    <w:rsid w:val="00BB3F05"/>
    <w:rsid w:val="00BB3F21"/>
    <w:rsid w:val="00BB403B"/>
    <w:rsid w:val="00BB404B"/>
    <w:rsid w:val="00BB4100"/>
    <w:rsid w:val="00BB4125"/>
    <w:rsid w:val="00BB41A1"/>
    <w:rsid w:val="00BB42FE"/>
    <w:rsid w:val="00BB4386"/>
    <w:rsid w:val="00BB44AA"/>
    <w:rsid w:val="00BB44CE"/>
    <w:rsid w:val="00BB4567"/>
    <w:rsid w:val="00BB4594"/>
    <w:rsid w:val="00BB45D8"/>
    <w:rsid w:val="00BB4631"/>
    <w:rsid w:val="00BB4720"/>
    <w:rsid w:val="00BB473D"/>
    <w:rsid w:val="00BB47A4"/>
    <w:rsid w:val="00BB4A1D"/>
    <w:rsid w:val="00BB4A5E"/>
    <w:rsid w:val="00BB4A6C"/>
    <w:rsid w:val="00BB4AB1"/>
    <w:rsid w:val="00BB4B07"/>
    <w:rsid w:val="00BB4B78"/>
    <w:rsid w:val="00BB4BB0"/>
    <w:rsid w:val="00BB4BD4"/>
    <w:rsid w:val="00BB4CE3"/>
    <w:rsid w:val="00BB4D2E"/>
    <w:rsid w:val="00BB4D7E"/>
    <w:rsid w:val="00BB4DD6"/>
    <w:rsid w:val="00BB4E5B"/>
    <w:rsid w:val="00BB4F6B"/>
    <w:rsid w:val="00BB4FBC"/>
    <w:rsid w:val="00BB5056"/>
    <w:rsid w:val="00BB519D"/>
    <w:rsid w:val="00BB51C4"/>
    <w:rsid w:val="00BB5258"/>
    <w:rsid w:val="00BB5282"/>
    <w:rsid w:val="00BB530B"/>
    <w:rsid w:val="00BB540C"/>
    <w:rsid w:val="00BB5457"/>
    <w:rsid w:val="00BB54BB"/>
    <w:rsid w:val="00BB54E3"/>
    <w:rsid w:val="00BB553A"/>
    <w:rsid w:val="00BB556C"/>
    <w:rsid w:val="00BB5578"/>
    <w:rsid w:val="00BB563C"/>
    <w:rsid w:val="00BB56A5"/>
    <w:rsid w:val="00BB56D4"/>
    <w:rsid w:val="00BB56ED"/>
    <w:rsid w:val="00BB5741"/>
    <w:rsid w:val="00BB5932"/>
    <w:rsid w:val="00BB5A35"/>
    <w:rsid w:val="00BB5A7D"/>
    <w:rsid w:val="00BB5A82"/>
    <w:rsid w:val="00BB5AB6"/>
    <w:rsid w:val="00BB5AE5"/>
    <w:rsid w:val="00BB5C15"/>
    <w:rsid w:val="00BB5EC7"/>
    <w:rsid w:val="00BB5F28"/>
    <w:rsid w:val="00BB5FBE"/>
    <w:rsid w:val="00BB5FE0"/>
    <w:rsid w:val="00BB6010"/>
    <w:rsid w:val="00BB601C"/>
    <w:rsid w:val="00BB60B6"/>
    <w:rsid w:val="00BB6145"/>
    <w:rsid w:val="00BB6193"/>
    <w:rsid w:val="00BB61DA"/>
    <w:rsid w:val="00BB6200"/>
    <w:rsid w:val="00BB6225"/>
    <w:rsid w:val="00BB6277"/>
    <w:rsid w:val="00BB62D7"/>
    <w:rsid w:val="00BB633D"/>
    <w:rsid w:val="00BB6466"/>
    <w:rsid w:val="00BB662C"/>
    <w:rsid w:val="00BB6657"/>
    <w:rsid w:val="00BB66E6"/>
    <w:rsid w:val="00BB68A9"/>
    <w:rsid w:val="00BB6A86"/>
    <w:rsid w:val="00BB6C45"/>
    <w:rsid w:val="00BB6E1A"/>
    <w:rsid w:val="00BB6EFE"/>
    <w:rsid w:val="00BB6F9D"/>
    <w:rsid w:val="00BB6FA6"/>
    <w:rsid w:val="00BB6FC3"/>
    <w:rsid w:val="00BB7024"/>
    <w:rsid w:val="00BB714D"/>
    <w:rsid w:val="00BB723B"/>
    <w:rsid w:val="00BB72D0"/>
    <w:rsid w:val="00BB7365"/>
    <w:rsid w:val="00BB73F5"/>
    <w:rsid w:val="00BB7433"/>
    <w:rsid w:val="00BB74D3"/>
    <w:rsid w:val="00BB74DC"/>
    <w:rsid w:val="00BB74E4"/>
    <w:rsid w:val="00BB757C"/>
    <w:rsid w:val="00BB75B0"/>
    <w:rsid w:val="00BB75C6"/>
    <w:rsid w:val="00BB7605"/>
    <w:rsid w:val="00BB7615"/>
    <w:rsid w:val="00BB7678"/>
    <w:rsid w:val="00BB76A0"/>
    <w:rsid w:val="00BB770B"/>
    <w:rsid w:val="00BB7829"/>
    <w:rsid w:val="00BB789D"/>
    <w:rsid w:val="00BB79D9"/>
    <w:rsid w:val="00BB7A0F"/>
    <w:rsid w:val="00BB7ABF"/>
    <w:rsid w:val="00BB7AD2"/>
    <w:rsid w:val="00BB7ADD"/>
    <w:rsid w:val="00BB7AFD"/>
    <w:rsid w:val="00BB7CA0"/>
    <w:rsid w:val="00BB7CCE"/>
    <w:rsid w:val="00BB7D52"/>
    <w:rsid w:val="00BB7E28"/>
    <w:rsid w:val="00BB7E95"/>
    <w:rsid w:val="00BB7EC4"/>
    <w:rsid w:val="00BB7EE7"/>
    <w:rsid w:val="00BB7F41"/>
    <w:rsid w:val="00BB7FF3"/>
    <w:rsid w:val="00BC0007"/>
    <w:rsid w:val="00BC0066"/>
    <w:rsid w:val="00BC01A4"/>
    <w:rsid w:val="00BC01C0"/>
    <w:rsid w:val="00BC02F2"/>
    <w:rsid w:val="00BC02F9"/>
    <w:rsid w:val="00BC0342"/>
    <w:rsid w:val="00BC0397"/>
    <w:rsid w:val="00BC054D"/>
    <w:rsid w:val="00BC0595"/>
    <w:rsid w:val="00BC059F"/>
    <w:rsid w:val="00BC0633"/>
    <w:rsid w:val="00BC0700"/>
    <w:rsid w:val="00BC077D"/>
    <w:rsid w:val="00BC0793"/>
    <w:rsid w:val="00BC07DF"/>
    <w:rsid w:val="00BC081A"/>
    <w:rsid w:val="00BC089E"/>
    <w:rsid w:val="00BC08C4"/>
    <w:rsid w:val="00BC0939"/>
    <w:rsid w:val="00BC0954"/>
    <w:rsid w:val="00BC0B5D"/>
    <w:rsid w:val="00BC0B86"/>
    <w:rsid w:val="00BC0D0C"/>
    <w:rsid w:val="00BC0D46"/>
    <w:rsid w:val="00BC0D83"/>
    <w:rsid w:val="00BC0E3E"/>
    <w:rsid w:val="00BC0EF2"/>
    <w:rsid w:val="00BC1062"/>
    <w:rsid w:val="00BC107D"/>
    <w:rsid w:val="00BC10BB"/>
    <w:rsid w:val="00BC10FD"/>
    <w:rsid w:val="00BC113E"/>
    <w:rsid w:val="00BC119F"/>
    <w:rsid w:val="00BC1284"/>
    <w:rsid w:val="00BC12F3"/>
    <w:rsid w:val="00BC1318"/>
    <w:rsid w:val="00BC1326"/>
    <w:rsid w:val="00BC135D"/>
    <w:rsid w:val="00BC14FF"/>
    <w:rsid w:val="00BC1531"/>
    <w:rsid w:val="00BC155A"/>
    <w:rsid w:val="00BC1598"/>
    <w:rsid w:val="00BC1614"/>
    <w:rsid w:val="00BC166B"/>
    <w:rsid w:val="00BC1693"/>
    <w:rsid w:val="00BC176C"/>
    <w:rsid w:val="00BC17E1"/>
    <w:rsid w:val="00BC1851"/>
    <w:rsid w:val="00BC187E"/>
    <w:rsid w:val="00BC18F1"/>
    <w:rsid w:val="00BC18F3"/>
    <w:rsid w:val="00BC1941"/>
    <w:rsid w:val="00BC1988"/>
    <w:rsid w:val="00BC198E"/>
    <w:rsid w:val="00BC199E"/>
    <w:rsid w:val="00BC19E7"/>
    <w:rsid w:val="00BC1A41"/>
    <w:rsid w:val="00BC1B0F"/>
    <w:rsid w:val="00BC1B8F"/>
    <w:rsid w:val="00BC1B9F"/>
    <w:rsid w:val="00BC1BF1"/>
    <w:rsid w:val="00BC1C10"/>
    <w:rsid w:val="00BC1C8E"/>
    <w:rsid w:val="00BC1CCD"/>
    <w:rsid w:val="00BC1D6F"/>
    <w:rsid w:val="00BC1D99"/>
    <w:rsid w:val="00BC1DD2"/>
    <w:rsid w:val="00BC1E52"/>
    <w:rsid w:val="00BC1F85"/>
    <w:rsid w:val="00BC1FA2"/>
    <w:rsid w:val="00BC202B"/>
    <w:rsid w:val="00BC2170"/>
    <w:rsid w:val="00BC21D2"/>
    <w:rsid w:val="00BC21FC"/>
    <w:rsid w:val="00BC222E"/>
    <w:rsid w:val="00BC225F"/>
    <w:rsid w:val="00BC2287"/>
    <w:rsid w:val="00BC22C9"/>
    <w:rsid w:val="00BC2331"/>
    <w:rsid w:val="00BC236E"/>
    <w:rsid w:val="00BC239C"/>
    <w:rsid w:val="00BC23FD"/>
    <w:rsid w:val="00BC245E"/>
    <w:rsid w:val="00BC2563"/>
    <w:rsid w:val="00BC261D"/>
    <w:rsid w:val="00BC27A7"/>
    <w:rsid w:val="00BC2833"/>
    <w:rsid w:val="00BC28C5"/>
    <w:rsid w:val="00BC2995"/>
    <w:rsid w:val="00BC2A61"/>
    <w:rsid w:val="00BC2A73"/>
    <w:rsid w:val="00BC2B17"/>
    <w:rsid w:val="00BC2B99"/>
    <w:rsid w:val="00BC2C4F"/>
    <w:rsid w:val="00BC2D7D"/>
    <w:rsid w:val="00BC2E0C"/>
    <w:rsid w:val="00BC2E33"/>
    <w:rsid w:val="00BC2EBB"/>
    <w:rsid w:val="00BC2EFD"/>
    <w:rsid w:val="00BC2F20"/>
    <w:rsid w:val="00BC2F5B"/>
    <w:rsid w:val="00BC2F67"/>
    <w:rsid w:val="00BC310C"/>
    <w:rsid w:val="00BC3142"/>
    <w:rsid w:val="00BC321B"/>
    <w:rsid w:val="00BC322F"/>
    <w:rsid w:val="00BC3235"/>
    <w:rsid w:val="00BC33AA"/>
    <w:rsid w:val="00BC3492"/>
    <w:rsid w:val="00BC3525"/>
    <w:rsid w:val="00BC3599"/>
    <w:rsid w:val="00BC35BF"/>
    <w:rsid w:val="00BC367F"/>
    <w:rsid w:val="00BC368B"/>
    <w:rsid w:val="00BC3718"/>
    <w:rsid w:val="00BC3747"/>
    <w:rsid w:val="00BC374E"/>
    <w:rsid w:val="00BC37F6"/>
    <w:rsid w:val="00BC3800"/>
    <w:rsid w:val="00BC390F"/>
    <w:rsid w:val="00BC3972"/>
    <w:rsid w:val="00BC3A1F"/>
    <w:rsid w:val="00BC3AA8"/>
    <w:rsid w:val="00BC3AA9"/>
    <w:rsid w:val="00BC3AB1"/>
    <w:rsid w:val="00BC3B0D"/>
    <w:rsid w:val="00BC3B85"/>
    <w:rsid w:val="00BC3C50"/>
    <w:rsid w:val="00BC3CE6"/>
    <w:rsid w:val="00BC3D5E"/>
    <w:rsid w:val="00BC3D66"/>
    <w:rsid w:val="00BC3D93"/>
    <w:rsid w:val="00BC3E60"/>
    <w:rsid w:val="00BC3E95"/>
    <w:rsid w:val="00BC3EB7"/>
    <w:rsid w:val="00BC401B"/>
    <w:rsid w:val="00BC421C"/>
    <w:rsid w:val="00BC423E"/>
    <w:rsid w:val="00BC4242"/>
    <w:rsid w:val="00BC4281"/>
    <w:rsid w:val="00BC437A"/>
    <w:rsid w:val="00BC439C"/>
    <w:rsid w:val="00BC43E3"/>
    <w:rsid w:val="00BC443D"/>
    <w:rsid w:val="00BC443E"/>
    <w:rsid w:val="00BC45AA"/>
    <w:rsid w:val="00BC45B4"/>
    <w:rsid w:val="00BC4684"/>
    <w:rsid w:val="00BC46A7"/>
    <w:rsid w:val="00BC46B5"/>
    <w:rsid w:val="00BC4792"/>
    <w:rsid w:val="00BC495F"/>
    <w:rsid w:val="00BC49CB"/>
    <w:rsid w:val="00BC4A5D"/>
    <w:rsid w:val="00BC4B35"/>
    <w:rsid w:val="00BC4B6A"/>
    <w:rsid w:val="00BC4BE1"/>
    <w:rsid w:val="00BC4C25"/>
    <w:rsid w:val="00BC4C7A"/>
    <w:rsid w:val="00BC4C86"/>
    <w:rsid w:val="00BC4E12"/>
    <w:rsid w:val="00BC4E3D"/>
    <w:rsid w:val="00BC502E"/>
    <w:rsid w:val="00BC5124"/>
    <w:rsid w:val="00BC5271"/>
    <w:rsid w:val="00BC539F"/>
    <w:rsid w:val="00BC53EF"/>
    <w:rsid w:val="00BC542A"/>
    <w:rsid w:val="00BC545E"/>
    <w:rsid w:val="00BC54E1"/>
    <w:rsid w:val="00BC5541"/>
    <w:rsid w:val="00BC5580"/>
    <w:rsid w:val="00BC5643"/>
    <w:rsid w:val="00BC56B9"/>
    <w:rsid w:val="00BC56EA"/>
    <w:rsid w:val="00BC5818"/>
    <w:rsid w:val="00BC5865"/>
    <w:rsid w:val="00BC590E"/>
    <w:rsid w:val="00BC59A8"/>
    <w:rsid w:val="00BC5BFA"/>
    <w:rsid w:val="00BC5D37"/>
    <w:rsid w:val="00BC5E0E"/>
    <w:rsid w:val="00BC5F26"/>
    <w:rsid w:val="00BC5FF4"/>
    <w:rsid w:val="00BC6035"/>
    <w:rsid w:val="00BC607B"/>
    <w:rsid w:val="00BC61DA"/>
    <w:rsid w:val="00BC6279"/>
    <w:rsid w:val="00BC638A"/>
    <w:rsid w:val="00BC638F"/>
    <w:rsid w:val="00BC63A7"/>
    <w:rsid w:val="00BC64B7"/>
    <w:rsid w:val="00BC64D4"/>
    <w:rsid w:val="00BC6508"/>
    <w:rsid w:val="00BC6585"/>
    <w:rsid w:val="00BC6591"/>
    <w:rsid w:val="00BC6595"/>
    <w:rsid w:val="00BC65AC"/>
    <w:rsid w:val="00BC6641"/>
    <w:rsid w:val="00BC66F6"/>
    <w:rsid w:val="00BC673F"/>
    <w:rsid w:val="00BC6878"/>
    <w:rsid w:val="00BC6905"/>
    <w:rsid w:val="00BC6A7E"/>
    <w:rsid w:val="00BC6AB8"/>
    <w:rsid w:val="00BC6AD6"/>
    <w:rsid w:val="00BC6AE5"/>
    <w:rsid w:val="00BC6B16"/>
    <w:rsid w:val="00BC6B51"/>
    <w:rsid w:val="00BC6B6F"/>
    <w:rsid w:val="00BC6B8C"/>
    <w:rsid w:val="00BC6C1F"/>
    <w:rsid w:val="00BC6D0C"/>
    <w:rsid w:val="00BC6D69"/>
    <w:rsid w:val="00BC6DE4"/>
    <w:rsid w:val="00BC6E1C"/>
    <w:rsid w:val="00BC6E9A"/>
    <w:rsid w:val="00BC6ED2"/>
    <w:rsid w:val="00BC6EDE"/>
    <w:rsid w:val="00BC6FDA"/>
    <w:rsid w:val="00BC7176"/>
    <w:rsid w:val="00BC71DC"/>
    <w:rsid w:val="00BC7215"/>
    <w:rsid w:val="00BC7229"/>
    <w:rsid w:val="00BC7283"/>
    <w:rsid w:val="00BC7399"/>
    <w:rsid w:val="00BC7480"/>
    <w:rsid w:val="00BC74A5"/>
    <w:rsid w:val="00BC7509"/>
    <w:rsid w:val="00BC7580"/>
    <w:rsid w:val="00BC75B6"/>
    <w:rsid w:val="00BC75C3"/>
    <w:rsid w:val="00BC7772"/>
    <w:rsid w:val="00BC77E2"/>
    <w:rsid w:val="00BC77E7"/>
    <w:rsid w:val="00BC785A"/>
    <w:rsid w:val="00BC78A3"/>
    <w:rsid w:val="00BC79FB"/>
    <w:rsid w:val="00BC7AD5"/>
    <w:rsid w:val="00BC7B31"/>
    <w:rsid w:val="00BC7B5C"/>
    <w:rsid w:val="00BC7B7F"/>
    <w:rsid w:val="00BC7C18"/>
    <w:rsid w:val="00BC7C2C"/>
    <w:rsid w:val="00BC7DF0"/>
    <w:rsid w:val="00BC7DFB"/>
    <w:rsid w:val="00BC7EA6"/>
    <w:rsid w:val="00BC7EA9"/>
    <w:rsid w:val="00BC7EC2"/>
    <w:rsid w:val="00BC7EF0"/>
    <w:rsid w:val="00BC7F00"/>
    <w:rsid w:val="00BC7FDF"/>
    <w:rsid w:val="00BD008B"/>
    <w:rsid w:val="00BD00A3"/>
    <w:rsid w:val="00BD01AF"/>
    <w:rsid w:val="00BD0207"/>
    <w:rsid w:val="00BD023D"/>
    <w:rsid w:val="00BD031F"/>
    <w:rsid w:val="00BD0325"/>
    <w:rsid w:val="00BD0329"/>
    <w:rsid w:val="00BD035F"/>
    <w:rsid w:val="00BD03A8"/>
    <w:rsid w:val="00BD048E"/>
    <w:rsid w:val="00BD059F"/>
    <w:rsid w:val="00BD05F4"/>
    <w:rsid w:val="00BD0611"/>
    <w:rsid w:val="00BD069C"/>
    <w:rsid w:val="00BD0720"/>
    <w:rsid w:val="00BD0790"/>
    <w:rsid w:val="00BD0794"/>
    <w:rsid w:val="00BD0841"/>
    <w:rsid w:val="00BD092C"/>
    <w:rsid w:val="00BD0A1C"/>
    <w:rsid w:val="00BD0A57"/>
    <w:rsid w:val="00BD0A6B"/>
    <w:rsid w:val="00BD0B72"/>
    <w:rsid w:val="00BD0B75"/>
    <w:rsid w:val="00BD0C5C"/>
    <w:rsid w:val="00BD0CF0"/>
    <w:rsid w:val="00BD0D2B"/>
    <w:rsid w:val="00BD0D2D"/>
    <w:rsid w:val="00BD0D8D"/>
    <w:rsid w:val="00BD0ED8"/>
    <w:rsid w:val="00BD0FA1"/>
    <w:rsid w:val="00BD109D"/>
    <w:rsid w:val="00BD10A5"/>
    <w:rsid w:val="00BD10DF"/>
    <w:rsid w:val="00BD10F5"/>
    <w:rsid w:val="00BD116F"/>
    <w:rsid w:val="00BD125F"/>
    <w:rsid w:val="00BD12E4"/>
    <w:rsid w:val="00BD12F5"/>
    <w:rsid w:val="00BD1322"/>
    <w:rsid w:val="00BD13C4"/>
    <w:rsid w:val="00BD13DB"/>
    <w:rsid w:val="00BD1518"/>
    <w:rsid w:val="00BD1548"/>
    <w:rsid w:val="00BD1577"/>
    <w:rsid w:val="00BD15ED"/>
    <w:rsid w:val="00BD161A"/>
    <w:rsid w:val="00BD1620"/>
    <w:rsid w:val="00BD163A"/>
    <w:rsid w:val="00BD16B1"/>
    <w:rsid w:val="00BD16C8"/>
    <w:rsid w:val="00BD178B"/>
    <w:rsid w:val="00BD18A3"/>
    <w:rsid w:val="00BD1A5D"/>
    <w:rsid w:val="00BD1C70"/>
    <w:rsid w:val="00BD1D01"/>
    <w:rsid w:val="00BD1E7E"/>
    <w:rsid w:val="00BD217B"/>
    <w:rsid w:val="00BD21AE"/>
    <w:rsid w:val="00BD2206"/>
    <w:rsid w:val="00BD2265"/>
    <w:rsid w:val="00BD227E"/>
    <w:rsid w:val="00BD22E8"/>
    <w:rsid w:val="00BD2462"/>
    <w:rsid w:val="00BD2537"/>
    <w:rsid w:val="00BD256F"/>
    <w:rsid w:val="00BD257F"/>
    <w:rsid w:val="00BD2583"/>
    <w:rsid w:val="00BD25B8"/>
    <w:rsid w:val="00BD262E"/>
    <w:rsid w:val="00BD26E7"/>
    <w:rsid w:val="00BD26E9"/>
    <w:rsid w:val="00BD26EC"/>
    <w:rsid w:val="00BD2761"/>
    <w:rsid w:val="00BD2844"/>
    <w:rsid w:val="00BD2860"/>
    <w:rsid w:val="00BD2970"/>
    <w:rsid w:val="00BD29D8"/>
    <w:rsid w:val="00BD29DF"/>
    <w:rsid w:val="00BD29F2"/>
    <w:rsid w:val="00BD2A0D"/>
    <w:rsid w:val="00BD2A13"/>
    <w:rsid w:val="00BD2A48"/>
    <w:rsid w:val="00BD2ADE"/>
    <w:rsid w:val="00BD2B74"/>
    <w:rsid w:val="00BD2CB5"/>
    <w:rsid w:val="00BD2D07"/>
    <w:rsid w:val="00BD2D7D"/>
    <w:rsid w:val="00BD2E1E"/>
    <w:rsid w:val="00BD2F59"/>
    <w:rsid w:val="00BD2FFD"/>
    <w:rsid w:val="00BD3044"/>
    <w:rsid w:val="00BD327C"/>
    <w:rsid w:val="00BD3395"/>
    <w:rsid w:val="00BD340D"/>
    <w:rsid w:val="00BD34D8"/>
    <w:rsid w:val="00BD351E"/>
    <w:rsid w:val="00BD3596"/>
    <w:rsid w:val="00BD35B7"/>
    <w:rsid w:val="00BD35C2"/>
    <w:rsid w:val="00BD3684"/>
    <w:rsid w:val="00BD36F9"/>
    <w:rsid w:val="00BD38A1"/>
    <w:rsid w:val="00BD3991"/>
    <w:rsid w:val="00BD3A36"/>
    <w:rsid w:val="00BD3ABC"/>
    <w:rsid w:val="00BD3B5C"/>
    <w:rsid w:val="00BD3BEC"/>
    <w:rsid w:val="00BD3C05"/>
    <w:rsid w:val="00BD3C4D"/>
    <w:rsid w:val="00BD3CD1"/>
    <w:rsid w:val="00BD3D0E"/>
    <w:rsid w:val="00BD3D47"/>
    <w:rsid w:val="00BD3D81"/>
    <w:rsid w:val="00BD3D85"/>
    <w:rsid w:val="00BD3DE3"/>
    <w:rsid w:val="00BD3E12"/>
    <w:rsid w:val="00BD3E4A"/>
    <w:rsid w:val="00BD3E88"/>
    <w:rsid w:val="00BD3E9A"/>
    <w:rsid w:val="00BD3EAC"/>
    <w:rsid w:val="00BD3EAD"/>
    <w:rsid w:val="00BD3ED3"/>
    <w:rsid w:val="00BD3EE3"/>
    <w:rsid w:val="00BD3EF2"/>
    <w:rsid w:val="00BD3FF0"/>
    <w:rsid w:val="00BD4004"/>
    <w:rsid w:val="00BD4022"/>
    <w:rsid w:val="00BD4073"/>
    <w:rsid w:val="00BD412F"/>
    <w:rsid w:val="00BD421E"/>
    <w:rsid w:val="00BD426B"/>
    <w:rsid w:val="00BD437F"/>
    <w:rsid w:val="00BD4398"/>
    <w:rsid w:val="00BD446F"/>
    <w:rsid w:val="00BD44DF"/>
    <w:rsid w:val="00BD4574"/>
    <w:rsid w:val="00BD45A1"/>
    <w:rsid w:val="00BD4684"/>
    <w:rsid w:val="00BD47FE"/>
    <w:rsid w:val="00BD4808"/>
    <w:rsid w:val="00BD4881"/>
    <w:rsid w:val="00BD4893"/>
    <w:rsid w:val="00BD48A9"/>
    <w:rsid w:val="00BD4A5C"/>
    <w:rsid w:val="00BD4B2E"/>
    <w:rsid w:val="00BD4B3B"/>
    <w:rsid w:val="00BD4B4D"/>
    <w:rsid w:val="00BD4B72"/>
    <w:rsid w:val="00BD4B86"/>
    <w:rsid w:val="00BD4C15"/>
    <w:rsid w:val="00BD4D88"/>
    <w:rsid w:val="00BD4DFF"/>
    <w:rsid w:val="00BD4E47"/>
    <w:rsid w:val="00BD4E76"/>
    <w:rsid w:val="00BD4ED5"/>
    <w:rsid w:val="00BD4F39"/>
    <w:rsid w:val="00BD4FDF"/>
    <w:rsid w:val="00BD4FF1"/>
    <w:rsid w:val="00BD5195"/>
    <w:rsid w:val="00BD52D2"/>
    <w:rsid w:val="00BD5360"/>
    <w:rsid w:val="00BD5382"/>
    <w:rsid w:val="00BD5399"/>
    <w:rsid w:val="00BD53E5"/>
    <w:rsid w:val="00BD5427"/>
    <w:rsid w:val="00BD548E"/>
    <w:rsid w:val="00BD54A9"/>
    <w:rsid w:val="00BD5543"/>
    <w:rsid w:val="00BD56A2"/>
    <w:rsid w:val="00BD56C8"/>
    <w:rsid w:val="00BD56F2"/>
    <w:rsid w:val="00BD5727"/>
    <w:rsid w:val="00BD57AD"/>
    <w:rsid w:val="00BD57FF"/>
    <w:rsid w:val="00BD58E8"/>
    <w:rsid w:val="00BD5907"/>
    <w:rsid w:val="00BD59F9"/>
    <w:rsid w:val="00BD5B00"/>
    <w:rsid w:val="00BD5B45"/>
    <w:rsid w:val="00BD5B82"/>
    <w:rsid w:val="00BD5BCE"/>
    <w:rsid w:val="00BD5CD7"/>
    <w:rsid w:val="00BD5D23"/>
    <w:rsid w:val="00BD5E0A"/>
    <w:rsid w:val="00BD5E0C"/>
    <w:rsid w:val="00BD5E7C"/>
    <w:rsid w:val="00BD6003"/>
    <w:rsid w:val="00BD621A"/>
    <w:rsid w:val="00BD6227"/>
    <w:rsid w:val="00BD6294"/>
    <w:rsid w:val="00BD62BC"/>
    <w:rsid w:val="00BD646A"/>
    <w:rsid w:val="00BD64A4"/>
    <w:rsid w:val="00BD653F"/>
    <w:rsid w:val="00BD6556"/>
    <w:rsid w:val="00BD6582"/>
    <w:rsid w:val="00BD659F"/>
    <w:rsid w:val="00BD663D"/>
    <w:rsid w:val="00BD665E"/>
    <w:rsid w:val="00BD66BC"/>
    <w:rsid w:val="00BD673F"/>
    <w:rsid w:val="00BD67DA"/>
    <w:rsid w:val="00BD6875"/>
    <w:rsid w:val="00BD68E1"/>
    <w:rsid w:val="00BD69C5"/>
    <w:rsid w:val="00BD69C6"/>
    <w:rsid w:val="00BD6A15"/>
    <w:rsid w:val="00BD6BBA"/>
    <w:rsid w:val="00BD6D2C"/>
    <w:rsid w:val="00BD6DF4"/>
    <w:rsid w:val="00BD6EDE"/>
    <w:rsid w:val="00BD6F1F"/>
    <w:rsid w:val="00BD702A"/>
    <w:rsid w:val="00BD703E"/>
    <w:rsid w:val="00BD7082"/>
    <w:rsid w:val="00BD70C6"/>
    <w:rsid w:val="00BD7137"/>
    <w:rsid w:val="00BD71AE"/>
    <w:rsid w:val="00BD724C"/>
    <w:rsid w:val="00BD726A"/>
    <w:rsid w:val="00BD728F"/>
    <w:rsid w:val="00BD72F4"/>
    <w:rsid w:val="00BD755E"/>
    <w:rsid w:val="00BD7583"/>
    <w:rsid w:val="00BD7677"/>
    <w:rsid w:val="00BD7709"/>
    <w:rsid w:val="00BD7735"/>
    <w:rsid w:val="00BD77C5"/>
    <w:rsid w:val="00BD781C"/>
    <w:rsid w:val="00BD7842"/>
    <w:rsid w:val="00BD7848"/>
    <w:rsid w:val="00BD7860"/>
    <w:rsid w:val="00BD78B7"/>
    <w:rsid w:val="00BD7946"/>
    <w:rsid w:val="00BD7970"/>
    <w:rsid w:val="00BD799D"/>
    <w:rsid w:val="00BD79C0"/>
    <w:rsid w:val="00BD79D2"/>
    <w:rsid w:val="00BD7AD1"/>
    <w:rsid w:val="00BD7B02"/>
    <w:rsid w:val="00BD7B0C"/>
    <w:rsid w:val="00BD7B5C"/>
    <w:rsid w:val="00BD7B66"/>
    <w:rsid w:val="00BD7BC5"/>
    <w:rsid w:val="00BD7C61"/>
    <w:rsid w:val="00BD7D2B"/>
    <w:rsid w:val="00BD7D35"/>
    <w:rsid w:val="00BD7DC5"/>
    <w:rsid w:val="00BD7E02"/>
    <w:rsid w:val="00BD7ECC"/>
    <w:rsid w:val="00BD7FE2"/>
    <w:rsid w:val="00BE0037"/>
    <w:rsid w:val="00BE0070"/>
    <w:rsid w:val="00BE0080"/>
    <w:rsid w:val="00BE00ED"/>
    <w:rsid w:val="00BE0194"/>
    <w:rsid w:val="00BE01A8"/>
    <w:rsid w:val="00BE02C2"/>
    <w:rsid w:val="00BE0337"/>
    <w:rsid w:val="00BE033B"/>
    <w:rsid w:val="00BE0365"/>
    <w:rsid w:val="00BE036B"/>
    <w:rsid w:val="00BE037A"/>
    <w:rsid w:val="00BE038D"/>
    <w:rsid w:val="00BE03B5"/>
    <w:rsid w:val="00BE040D"/>
    <w:rsid w:val="00BE0449"/>
    <w:rsid w:val="00BE0499"/>
    <w:rsid w:val="00BE04B8"/>
    <w:rsid w:val="00BE0577"/>
    <w:rsid w:val="00BE05C5"/>
    <w:rsid w:val="00BE05F0"/>
    <w:rsid w:val="00BE0679"/>
    <w:rsid w:val="00BE0733"/>
    <w:rsid w:val="00BE0737"/>
    <w:rsid w:val="00BE076F"/>
    <w:rsid w:val="00BE085B"/>
    <w:rsid w:val="00BE08BA"/>
    <w:rsid w:val="00BE08D8"/>
    <w:rsid w:val="00BE08E5"/>
    <w:rsid w:val="00BE0901"/>
    <w:rsid w:val="00BE0905"/>
    <w:rsid w:val="00BE091F"/>
    <w:rsid w:val="00BE09EA"/>
    <w:rsid w:val="00BE0AC4"/>
    <w:rsid w:val="00BE0C0F"/>
    <w:rsid w:val="00BE0C7E"/>
    <w:rsid w:val="00BE0CA6"/>
    <w:rsid w:val="00BE0CEF"/>
    <w:rsid w:val="00BE0D13"/>
    <w:rsid w:val="00BE0D80"/>
    <w:rsid w:val="00BE0DAA"/>
    <w:rsid w:val="00BE0E10"/>
    <w:rsid w:val="00BE0E24"/>
    <w:rsid w:val="00BE0EA7"/>
    <w:rsid w:val="00BE0EEC"/>
    <w:rsid w:val="00BE106E"/>
    <w:rsid w:val="00BE107A"/>
    <w:rsid w:val="00BE1086"/>
    <w:rsid w:val="00BE108C"/>
    <w:rsid w:val="00BE10C5"/>
    <w:rsid w:val="00BE10E1"/>
    <w:rsid w:val="00BE11C9"/>
    <w:rsid w:val="00BE11CC"/>
    <w:rsid w:val="00BE11E0"/>
    <w:rsid w:val="00BE11E7"/>
    <w:rsid w:val="00BE120B"/>
    <w:rsid w:val="00BE137A"/>
    <w:rsid w:val="00BE140D"/>
    <w:rsid w:val="00BE14A4"/>
    <w:rsid w:val="00BE15A9"/>
    <w:rsid w:val="00BE1673"/>
    <w:rsid w:val="00BE1683"/>
    <w:rsid w:val="00BE16F0"/>
    <w:rsid w:val="00BE1704"/>
    <w:rsid w:val="00BE1727"/>
    <w:rsid w:val="00BE183E"/>
    <w:rsid w:val="00BE18BA"/>
    <w:rsid w:val="00BE195A"/>
    <w:rsid w:val="00BE19C2"/>
    <w:rsid w:val="00BE1A32"/>
    <w:rsid w:val="00BE1AF4"/>
    <w:rsid w:val="00BE1B8A"/>
    <w:rsid w:val="00BE1C74"/>
    <w:rsid w:val="00BE1C9C"/>
    <w:rsid w:val="00BE1CF8"/>
    <w:rsid w:val="00BE1D72"/>
    <w:rsid w:val="00BE1E0C"/>
    <w:rsid w:val="00BE1F5C"/>
    <w:rsid w:val="00BE1FF0"/>
    <w:rsid w:val="00BE205A"/>
    <w:rsid w:val="00BE20A1"/>
    <w:rsid w:val="00BE20AD"/>
    <w:rsid w:val="00BE20E3"/>
    <w:rsid w:val="00BE2284"/>
    <w:rsid w:val="00BE2301"/>
    <w:rsid w:val="00BE23AE"/>
    <w:rsid w:val="00BE23C6"/>
    <w:rsid w:val="00BE24D8"/>
    <w:rsid w:val="00BE24F8"/>
    <w:rsid w:val="00BE250A"/>
    <w:rsid w:val="00BE250C"/>
    <w:rsid w:val="00BE251F"/>
    <w:rsid w:val="00BE25CB"/>
    <w:rsid w:val="00BE25F3"/>
    <w:rsid w:val="00BE26AF"/>
    <w:rsid w:val="00BE2829"/>
    <w:rsid w:val="00BE298D"/>
    <w:rsid w:val="00BE2A9C"/>
    <w:rsid w:val="00BE2AE0"/>
    <w:rsid w:val="00BE2B87"/>
    <w:rsid w:val="00BE2D67"/>
    <w:rsid w:val="00BE2D99"/>
    <w:rsid w:val="00BE2DB1"/>
    <w:rsid w:val="00BE2DB8"/>
    <w:rsid w:val="00BE2E12"/>
    <w:rsid w:val="00BE2E14"/>
    <w:rsid w:val="00BE2E5D"/>
    <w:rsid w:val="00BE2E71"/>
    <w:rsid w:val="00BE2EC3"/>
    <w:rsid w:val="00BE2EC9"/>
    <w:rsid w:val="00BE2EF2"/>
    <w:rsid w:val="00BE2FCA"/>
    <w:rsid w:val="00BE2FFB"/>
    <w:rsid w:val="00BE308C"/>
    <w:rsid w:val="00BE322A"/>
    <w:rsid w:val="00BE3282"/>
    <w:rsid w:val="00BE32D4"/>
    <w:rsid w:val="00BE33EB"/>
    <w:rsid w:val="00BE3547"/>
    <w:rsid w:val="00BE354F"/>
    <w:rsid w:val="00BE3575"/>
    <w:rsid w:val="00BE35BC"/>
    <w:rsid w:val="00BE365D"/>
    <w:rsid w:val="00BE369B"/>
    <w:rsid w:val="00BE36FC"/>
    <w:rsid w:val="00BE3775"/>
    <w:rsid w:val="00BE37B1"/>
    <w:rsid w:val="00BE381D"/>
    <w:rsid w:val="00BE3822"/>
    <w:rsid w:val="00BE3859"/>
    <w:rsid w:val="00BE3879"/>
    <w:rsid w:val="00BE38C5"/>
    <w:rsid w:val="00BE396B"/>
    <w:rsid w:val="00BE397E"/>
    <w:rsid w:val="00BE3B05"/>
    <w:rsid w:val="00BE3B27"/>
    <w:rsid w:val="00BE3C11"/>
    <w:rsid w:val="00BE3D07"/>
    <w:rsid w:val="00BE3DB6"/>
    <w:rsid w:val="00BE3E03"/>
    <w:rsid w:val="00BE3E47"/>
    <w:rsid w:val="00BE3EAD"/>
    <w:rsid w:val="00BE3FE0"/>
    <w:rsid w:val="00BE4020"/>
    <w:rsid w:val="00BE417E"/>
    <w:rsid w:val="00BE42C7"/>
    <w:rsid w:val="00BE42DD"/>
    <w:rsid w:val="00BE4366"/>
    <w:rsid w:val="00BE4385"/>
    <w:rsid w:val="00BE4397"/>
    <w:rsid w:val="00BE43C3"/>
    <w:rsid w:val="00BE43EC"/>
    <w:rsid w:val="00BE43ED"/>
    <w:rsid w:val="00BE446A"/>
    <w:rsid w:val="00BE44D1"/>
    <w:rsid w:val="00BE4521"/>
    <w:rsid w:val="00BE4543"/>
    <w:rsid w:val="00BE461E"/>
    <w:rsid w:val="00BE4640"/>
    <w:rsid w:val="00BE46A9"/>
    <w:rsid w:val="00BE4740"/>
    <w:rsid w:val="00BE4752"/>
    <w:rsid w:val="00BE477E"/>
    <w:rsid w:val="00BE4782"/>
    <w:rsid w:val="00BE47DA"/>
    <w:rsid w:val="00BE4898"/>
    <w:rsid w:val="00BE4986"/>
    <w:rsid w:val="00BE49CA"/>
    <w:rsid w:val="00BE49F3"/>
    <w:rsid w:val="00BE4AC2"/>
    <w:rsid w:val="00BE4AF8"/>
    <w:rsid w:val="00BE4BEC"/>
    <w:rsid w:val="00BE4BF7"/>
    <w:rsid w:val="00BE4C0D"/>
    <w:rsid w:val="00BE4D87"/>
    <w:rsid w:val="00BE4F71"/>
    <w:rsid w:val="00BE4FAC"/>
    <w:rsid w:val="00BE4FC6"/>
    <w:rsid w:val="00BE503C"/>
    <w:rsid w:val="00BE505B"/>
    <w:rsid w:val="00BE50BC"/>
    <w:rsid w:val="00BE514A"/>
    <w:rsid w:val="00BE524D"/>
    <w:rsid w:val="00BE52F7"/>
    <w:rsid w:val="00BE5397"/>
    <w:rsid w:val="00BE5415"/>
    <w:rsid w:val="00BE558B"/>
    <w:rsid w:val="00BE565B"/>
    <w:rsid w:val="00BE5734"/>
    <w:rsid w:val="00BE5795"/>
    <w:rsid w:val="00BE582F"/>
    <w:rsid w:val="00BE5847"/>
    <w:rsid w:val="00BE590B"/>
    <w:rsid w:val="00BE5ACD"/>
    <w:rsid w:val="00BE5CA5"/>
    <w:rsid w:val="00BE5DAC"/>
    <w:rsid w:val="00BE5E4A"/>
    <w:rsid w:val="00BE5E54"/>
    <w:rsid w:val="00BE5EA8"/>
    <w:rsid w:val="00BE5EF4"/>
    <w:rsid w:val="00BE5F4A"/>
    <w:rsid w:val="00BE5FCD"/>
    <w:rsid w:val="00BE6042"/>
    <w:rsid w:val="00BE6068"/>
    <w:rsid w:val="00BE612C"/>
    <w:rsid w:val="00BE6137"/>
    <w:rsid w:val="00BE641B"/>
    <w:rsid w:val="00BE64C7"/>
    <w:rsid w:val="00BE6516"/>
    <w:rsid w:val="00BE659D"/>
    <w:rsid w:val="00BE65C6"/>
    <w:rsid w:val="00BE6614"/>
    <w:rsid w:val="00BE6668"/>
    <w:rsid w:val="00BE6672"/>
    <w:rsid w:val="00BE66BE"/>
    <w:rsid w:val="00BE674B"/>
    <w:rsid w:val="00BE67F8"/>
    <w:rsid w:val="00BE691B"/>
    <w:rsid w:val="00BE6983"/>
    <w:rsid w:val="00BE69C2"/>
    <w:rsid w:val="00BE6B01"/>
    <w:rsid w:val="00BE6B8B"/>
    <w:rsid w:val="00BE6B90"/>
    <w:rsid w:val="00BE6B91"/>
    <w:rsid w:val="00BE6BB9"/>
    <w:rsid w:val="00BE6BEE"/>
    <w:rsid w:val="00BE6CE6"/>
    <w:rsid w:val="00BE6D29"/>
    <w:rsid w:val="00BE6D42"/>
    <w:rsid w:val="00BE6D9C"/>
    <w:rsid w:val="00BE6E04"/>
    <w:rsid w:val="00BE6E06"/>
    <w:rsid w:val="00BE6E6F"/>
    <w:rsid w:val="00BE6EBA"/>
    <w:rsid w:val="00BE6F68"/>
    <w:rsid w:val="00BE7092"/>
    <w:rsid w:val="00BE709C"/>
    <w:rsid w:val="00BE7206"/>
    <w:rsid w:val="00BE734E"/>
    <w:rsid w:val="00BE73B0"/>
    <w:rsid w:val="00BE73E6"/>
    <w:rsid w:val="00BE7495"/>
    <w:rsid w:val="00BE7542"/>
    <w:rsid w:val="00BE7696"/>
    <w:rsid w:val="00BE76C3"/>
    <w:rsid w:val="00BE76E5"/>
    <w:rsid w:val="00BE76F7"/>
    <w:rsid w:val="00BE76FA"/>
    <w:rsid w:val="00BE77CB"/>
    <w:rsid w:val="00BE77D5"/>
    <w:rsid w:val="00BE781A"/>
    <w:rsid w:val="00BE7BA2"/>
    <w:rsid w:val="00BE7C16"/>
    <w:rsid w:val="00BE7C41"/>
    <w:rsid w:val="00BE7C63"/>
    <w:rsid w:val="00BE7D3C"/>
    <w:rsid w:val="00BE7D41"/>
    <w:rsid w:val="00BE7DA9"/>
    <w:rsid w:val="00BE7E67"/>
    <w:rsid w:val="00BE7ED6"/>
    <w:rsid w:val="00BE7FDD"/>
    <w:rsid w:val="00BF000B"/>
    <w:rsid w:val="00BF002C"/>
    <w:rsid w:val="00BF00B5"/>
    <w:rsid w:val="00BF00DF"/>
    <w:rsid w:val="00BF01E0"/>
    <w:rsid w:val="00BF0247"/>
    <w:rsid w:val="00BF0294"/>
    <w:rsid w:val="00BF033D"/>
    <w:rsid w:val="00BF047B"/>
    <w:rsid w:val="00BF04B5"/>
    <w:rsid w:val="00BF050B"/>
    <w:rsid w:val="00BF054E"/>
    <w:rsid w:val="00BF0555"/>
    <w:rsid w:val="00BF059D"/>
    <w:rsid w:val="00BF05DB"/>
    <w:rsid w:val="00BF0693"/>
    <w:rsid w:val="00BF06F0"/>
    <w:rsid w:val="00BF07B7"/>
    <w:rsid w:val="00BF07C9"/>
    <w:rsid w:val="00BF07F5"/>
    <w:rsid w:val="00BF0864"/>
    <w:rsid w:val="00BF08BD"/>
    <w:rsid w:val="00BF08F3"/>
    <w:rsid w:val="00BF0942"/>
    <w:rsid w:val="00BF094F"/>
    <w:rsid w:val="00BF09C7"/>
    <w:rsid w:val="00BF09D7"/>
    <w:rsid w:val="00BF0A88"/>
    <w:rsid w:val="00BF0AD0"/>
    <w:rsid w:val="00BF0AF4"/>
    <w:rsid w:val="00BF0C15"/>
    <w:rsid w:val="00BF0C3D"/>
    <w:rsid w:val="00BF0C81"/>
    <w:rsid w:val="00BF0C8C"/>
    <w:rsid w:val="00BF0D71"/>
    <w:rsid w:val="00BF0E50"/>
    <w:rsid w:val="00BF0ED5"/>
    <w:rsid w:val="00BF0F76"/>
    <w:rsid w:val="00BF0FA0"/>
    <w:rsid w:val="00BF10CA"/>
    <w:rsid w:val="00BF10FA"/>
    <w:rsid w:val="00BF1344"/>
    <w:rsid w:val="00BF13AA"/>
    <w:rsid w:val="00BF1403"/>
    <w:rsid w:val="00BF14EC"/>
    <w:rsid w:val="00BF15D6"/>
    <w:rsid w:val="00BF1632"/>
    <w:rsid w:val="00BF172E"/>
    <w:rsid w:val="00BF1735"/>
    <w:rsid w:val="00BF176C"/>
    <w:rsid w:val="00BF1815"/>
    <w:rsid w:val="00BF1887"/>
    <w:rsid w:val="00BF1963"/>
    <w:rsid w:val="00BF1ABB"/>
    <w:rsid w:val="00BF1AFD"/>
    <w:rsid w:val="00BF1B32"/>
    <w:rsid w:val="00BF1BB9"/>
    <w:rsid w:val="00BF1CCB"/>
    <w:rsid w:val="00BF1DA4"/>
    <w:rsid w:val="00BF1DC9"/>
    <w:rsid w:val="00BF1F00"/>
    <w:rsid w:val="00BF1F3E"/>
    <w:rsid w:val="00BF1F9B"/>
    <w:rsid w:val="00BF1FC2"/>
    <w:rsid w:val="00BF1FEB"/>
    <w:rsid w:val="00BF1FF6"/>
    <w:rsid w:val="00BF216D"/>
    <w:rsid w:val="00BF2301"/>
    <w:rsid w:val="00BF2396"/>
    <w:rsid w:val="00BF23AF"/>
    <w:rsid w:val="00BF2410"/>
    <w:rsid w:val="00BF2472"/>
    <w:rsid w:val="00BF2483"/>
    <w:rsid w:val="00BF24C1"/>
    <w:rsid w:val="00BF24E6"/>
    <w:rsid w:val="00BF24F8"/>
    <w:rsid w:val="00BF255B"/>
    <w:rsid w:val="00BF2617"/>
    <w:rsid w:val="00BF26A8"/>
    <w:rsid w:val="00BF26B1"/>
    <w:rsid w:val="00BF2703"/>
    <w:rsid w:val="00BF2717"/>
    <w:rsid w:val="00BF2753"/>
    <w:rsid w:val="00BF27C5"/>
    <w:rsid w:val="00BF281C"/>
    <w:rsid w:val="00BF2834"/>
    <w:rsid w:val="00BF288E"/>
    <w:rsid w:val="00BF29C6"/>
    <w:rsid w:val="00BF2B17"/>
    <w:rsid w:val="00BF2B68"/>
    <w:rsid w:val="00BF2C19"/>
    <w:rsid w:val="00BF2CA2"/>
    <w:rsid w:val="00BF2D36"/>
    <w:rsid w:val="00BF2DF1"/>
    <w:rsid w:val="00BF2E78"/>
    <w:rsid w:val="00BF2E8C"/>
    <w:rsid w:val="00BF2EFF"/>
    <w:rsid w:val="00BF2F0C"/>
    <w:rsid w:val="00BF2F20"/>
    <w:rsid w:val="00BF2F32"/>
    <w:rsid w:val="00BF2F9B"/>
    <w:rsid w:val="00BF2FAD"/>
    <w:rsid w:val="00BF304D"/>
    <w:rsid w:val="00BF3149"/>
    <w:rsid w:val="00BF318D"/>
    <w:rsid w:val="00BF31EB"/>
    <w:rsid w:val="00BF322E"/>
    <w:rsid w:val="00BF3285"/>
    <w:rsid w:val="00BF337C"/>
    <w:rsid w:val="00BF33A2"/>
    <w:rsid w:val="00BF33FC"/>
    <w:rsid w:val="00BF3428"/>
    <w:rsid w:val="00BF35CB"/>
    <w:rsid w:val="00BF35DC"/>
    <w:rsid w:val="00BF36A3"/>
    <w:rsid w:val="00BF36A7"/>
    <w:rsid w:val="00BF36E0"/>
    <w:rsid w:val="00BF371F"/>
    <w:rsid w:val="00BF379A"/>
    <w:rsid w:val="00BF37AF"/>
    <w:rsid w:val="00BF3855"/>
    <w:rsid w:val="00BF3882"/>
    <w:rsid w:val="00BF390A"/>
    <w:rsid w:val="00BF39AE"/>
    <w:rsid w:val="00BF3BC4"/>
    <w:rsid w:val="00BF3C63"/>
    <w:rsid w:val="00BF3C94"/>
    <w:rsid w:val="00BF3D01"/>
    <w:rsid w:val="00BF3D03"/>
    <w:rsid w:val="00BF3E1D"/>
    <w:rsid w:val="00BF3E84"/>
    <w:rsid w:val="00BF3ED9"/>
    <w:rsid w:val="00BF3FC3"/>
    <w:rsid w:val="00BF4196"/>
    <w:rsid w:val="00BF41AE"/>
    <w:rsid w:val="00BF42F6"/>
    <w:rsid w:val="00BF4341"/>
    <w:rsid w:val="00BF4362"/>
    <w:rsid w:val="00BF4393"/>
    <w:rsid w:val="00BF43F4"/>
    <w:rsid w:val="00BF440F"/>
    <w:rsid w:val="00BF44C0"/>
    <w:rsid w:val="00BF45BE"/>
    <w:rsid w:val="00BF45E8"/>
    <w:rsid w:val="00BF45F0"/>
    <w:rsid w:val="00BF4600"/>
    <w:rsid w:val="00BF4688"/>
    <w:rsid w:val="00BF468F"/>
    <w:rsid w:val="00BF47AD"/>
    <w:rsid w:val="00BF47CF"/>
    <w:rsid w:val="00BF4800"/>
    <w:rsid w:val="00BF48CF"/>
    <w:rsid w:val="00BF4977"/>
    <w:rsid w:val="00BF4981"/>
    <w:rsid w:val="00BF49BB"/>
    <w:rsid w:val="00BF4A1C"/>
    <w:rsid w:val="00BF4A26"/>
    <w:rsid w:val="00BF4ABE"/>
    <w:rsid w:val="00BF4B8E"/>
    <w:rsid w:val="00BF4C13"/>
    <w:rsid w:val="00BF4C16"/>
    <w:rsid w:val="00BF4C46"/>
    <w:rsid w:val="00BF4C63"/>
    <w:rsid w:val="00BF4D86"/>
    <w:rsid w:val="00BF4D95"/>
    <w:rsid w:val="00BF505E"/>
    <w:rsid w:val="00BF505F"/>
    <w:rsid w:val="00BF50A3"/>
    <w:rsid w:val="00BF5173"/>
    <w:rsid w:val="00BF5234"/>
    <w:rsid w:val="00BF527E"/>
    <w:rsid w:val="00BF5374"/>
    <w:rsid w:val="00BF53E1"/>
    <w:rsid w:val="00BF5413"/>
    <w:rsid w:val="00BF5435"/>
    <w:rsid w:val="00BF54B0"/>
    <w:rsid w:val="00BF54C2"/>
    <w:rsid w:val="00BF5503"/>
    <w:rsid w:val="00BF5645"/>
    <w:rsid w:val="00BF56B1"/>
    <w:rsid w:val="00BF56EA"/>
    <w:rsid w:val="00BF5767"/>
    <w:rsid w:val="00BF576B"/>
    <w:rsid w:val="00BF576C"/>
    <w:rsid w:val="00BF58C8"/>
    <w:rsid w:val="00BF5A02"/>
    <w:rsid w:val="00BF5A55"/>
    <w:rsid w:val="00BF5B00"/>
    <w:rsid w:val="00BF5B0F"/>
    <w:rsid w:val="00BF5B13"/>
    <w:rsid w:val="00BF5B2A"/>
    <w:rsid w:val="00BF5B3B"/>
    <w:rsid w:val="00BF5D6B"/>
    <w:rsid w:val="00BF5D9C"/>
    <w:rsid w:val="00BF5E5E"/>
    <w:rsid w:val="00BF5E84"/>
    <w:rsid w:val="00BF5F09"/>
    <w:rsid w:val="00BF5FCD"/>
    <w:rsid w:val="00BF611B"/>
    <w:rsid w:val="00BF62FB"/>
    <w:rsid w:val="00BF63D5"/>
    <w:rsid w:val="00BF63F4"/>
    <w:rsid w:val="00BF63F5"/>
    <w:rsid w:val="00BF641E"/>
    <w:rsid w:val="00BF654E"/>
    <w:rsid w:val="00BF6563"/>
    <w:rsid w:val="00BF656D"/>
    <w:rsid w:val="00BF6570"/>
    <w:rsid w:val="00BF65A5"/>
    <w:rsid w:val="00BF660D"/>
    <w:rsid w:val="00BF6779"/>
    <w:rsid w:val="00BF6813"/>
    <w:rsid w:val="00BF689A"/>
    <w:rsid w:val="00BF68A2"/>
    <w:rsid w:val="00BF6932"/>
    <w:rsid w:val="00BF6939"/>
    <w:rsid w:val="00BF69BA"/>
    <w:rsid w:val="00BF6AE8"/>
    <w:rsid w:val="00BF6C6F"/>
    <w:rsid w:val="00BF6CDD"/>
    <w:rsid w:val="00BF6D69"/>
    <w:rsid w:val="00BF6E6C"/>
    <w:rsid w:val="00BF6EB7"/>
    <w:rsid w:val="00BF6EC3"/>
    <w:rsid w:val="00BF6EDD"/>
    <w:rsid w:val="00BF6EF3"/>
    <w:rsid w:val="00BF6F21"/>
    <w:rsid w:val="00BF6F54"/>
    <w:rsid w:val="00BF6FC8"/>
    <w:rsid w:val="00BF6FD7"/>
    <w:rsid w:val="00BF7008"/>
    <w:rsid w:val="00BF700E"/>
    <w:rsid w:val="00BF707E"/>
    <w:rsid w:val="00BF70D2"/>
    <w:rsid w:val="00BF7157"/>
    <w:rsid w:val="00BF718A"/>
    <w:rsid w:val="00BF71BA"/>
    <w:rsid w:val="00BF71E3"/>
    <w:rsid w:val="00BF71F1"/>
    <w:rsid w:val="00BF7235"/>
    <w:rsid w:val="00BF727F"/>
    <w:rsid w:val="00BF72BD"/>
    <w:rsid w:val="00BF72DC"/>
    <w:rsid w:val="00BF7468"/>
    <w:rsid w:val="00BF764D"/>
    <w:rsid w:val="00BF76EA"/>
    <w:rsid w:val="00BF77F0"/>
    <w:rsid w:val="00BF7809"/>
    <w:rsid w:val="00BF7938"/>
    <w:rsid w:val="00BF798D"/>
    <w:rsid w:val="00BF799D"/>
    <w:rsid w:val="00BF7AA8"/>
    <w:rsid w:val="00BF7AAC"/>
    <w:rsid w:val="00BF7B15"/>
    <w:rsid w:val="00BF7C17"/>
    <w:rsid w:val="00BF7C35"/>
    <w:rsid w:val="00BF7C4A"/>
    <w:rsid w:val="00BF7C50"/>
    <w:rsid w:val="00BF7C8E"/>
    <w:rsid w:val="00BF7CCD"/>
    <w:rsid w:val="00BF7D43"/>
    <w:rsid w:val="00BF7DC8"/>
    <w:rsid w:val="00BF7DEA"/>
    <w:rsid w:val="00BF7E04"/>
    <w:rsid w:val="00BF7E10"/>
    <w:rsid w:val="00BF7EF5"/>
    <w:rsid w:val="00BF7F14"/>
    <w:rsid w:val="00BF7F22"/>
    <w:rsid w:val="00BF7F56"/>
    <w:rsid w:val="00C000D6"/>
    <w:rsid w:val="00C00208"/>
    <w:rsid w:val="00C0027F"/>
    <w:rsid w:val="00C002B4"/>
    <w:rsid w:val="00C002F9"/>
    <w:rsid w:val="00C0039C"/>
    <w:rsid w:val="00C003C0"/>
    <w:rsid w:val="00C00492"/>
    <w:rsid w:val="00C004C7"/>
    <w:rsid w:val="00C0067E"/>
    <w:rsid w:val="00C007B0"/>
    <w:rsid w:val="00C007E0"/>
    <w:rsid w:val="00C00A0A"/>
    <w:rsid w:val="00C00A91"/>
    <w:rsid w:val="00C00BBC"/>
    <w:rsid w:val="00C00BEB"/>
    <w:rsid w:val="00C00BF7"/>
    <w:rsid w:val="00C00C2F"/>
    <w:rsid w:val="00C00DE3"/>
    <w:rsid w:val="00C00E76"/>
    <w:rsid w:val="00C00E96"/>
    <w:rsid w:val="00C00EAB"/>
    <w:rsid w:val="00C00EF2"/>
    <w:rsid w:val="00C00EF5"/>
    <w:rsid w:val="00C00F62"/>
    <w:rsid w:val="00C00FAE"/>
    <w:rsid w:val="00C01057"/>
    <w:rsid w:val="00C01198"/>
    <w:rsid w:val="00C011D4"/>
    <w:rsid w:val="00C01229"/>
    <w:rsid w:val="00C01249"/>
    <w:rsid w:val="00C012CA"/>
    <w:rsid w:val="00C01382"/>
    <w:rsid w:val="00C013BF"/>
    <w:rsid w:val="00C01402"/>
    <w:rsid w:val="00C014DB"/>
    <w:rsid w:val="00C01528"/>
    <w:rsid w:val="00C01626"/>
    <w:rsid w:val="00C016AE"/>
    <w:rsid w:val="00C01744"/>
    <w:rsid w:val="00C017BE"/>
    <w:rsid w:val="00C017DC"/>
    <w:rsid w:val="00C01843"/>
    <w:rsid w:val="00C01866"/>
    <w:rsid w:val="00C018C1"/>
    <w:rsid w:val="00C01946"/>
    <w:rsid w:val="00C019FE"/>
    <w:rsid w:val="00C01AE9"/>
    <w:rsid w:val="00C01B53"/>
    <w:rsid w:val="00C01BF4"/>
    <w:rsid w:val="00C01CAC"/>
    <w:rsid w:val="00C01D48"/>
    <w:rsid w:val="00C01DD8"/>
    <w:rsid w:val="00C01DE0"/>
    <w:rsid w:val="00C01E20"/>
    <w:rsid w:val="00C01E49"/>
    <w:rsid w:val="00C01FBE"/>
    <w:rsid w:val="00C01FF6"/>
    <w:rsid w:val="00C02045"/>
    <w:rsid w:val="00C0213B"/>
    <w:rsid w:val="00C02160"/>
    <w:rsid w:val="00C021E6"/>
    <w:rsid w:val="00C02206"/>
    <w:rsid w:val="00C0229E"/>
    <w:rsid w:val="00C02350"/>
    <w:rsid w:val="00C0238F"/>
    <w:rsid w:val="00C02495"/>
    <w:rsid w:val="00C024FE"/>
    <w:rsid w:val="00C02510"/>
    <w:rsid w:val="00C0251C"/>
    <w:rsid w:val="00C0265E"/>
    <w:rsid w:val="00C026BE"/>
    <w:rsid w:val="00C02740"/>
    <w:rsid w:val="00C02808"/>
    <w:rsid w:val="00C02837"/>
    <w:rsid w:val="00C0298E"/>
    <w:rsid w:val="00C02A38"/>
    <w:rsid w:val="00C02A40"/>
    <w:rsid w:val="00C02B36"/>
    <w:rsid w:val="00C02BD5"/>
    <w:rsid w:val="00C02C44"/>
    <w:rsid w:val="00C02C6A"/>
    <w:rsid w:val="00C02C98"/>
    <w:rsid w:val="00C02CA0"/>
    <w:rsid w:val="00C02D24"/>
    <w:rsid w:val="00C02D51"/>
    <w:rsid w:val="00C02D5E"/>
    <w:rsid w:val="00C02D80"/>
    <w:rsid w:val="00C02DB3"/>
    <w:rsid w:val="00C02DC1"/>
    <w:rsid w:val="00C02E7C"/>
    <w:rsid w:val="00C02EA8"/>
    <w:rsid w:val="00C02F01"/>
    <w:rsid w:val="00C02F29"/>
    <w:rsid w:val="00C02FA9"/>
    <w:rsid w:val="00C02FDB"/>
    <w:rsid w:val="00C03098"/>
    <w:rsid w:val="00C0316E"/>
    <w:rsid w:val="00C031D4"/>
    <w:rsid w:val="00C0340E"/>
    <w:rsid w:val="00C03416"/>
    <w:rsid w:val="00C03431"/>
    <w:rsid w:val="00C034F8"/>
    <w:rsid w:val="00C035C9"/>
    <w:rsid w:val="00C0364A"/>
    <w:rsid w:val="00C03651"/>
    <w:rsid w:val="00C0383A"/>
    <w:rsid w:val="00C039A3"/>
    <w:rsid w:val="00C03B0B"/>
    <w:rsid w:val="00C03B87"/>
    <w:rsid w:val="00C03D0C"/>
    <w:rsid w:val="00C03DDE"/>
    <w:rsid w:val="00C03F85"/>
    <w:rsid w:val="00C04089"/>
    <w:rsid w:val="00C04111"/>
    <w:rsid w:val="00C041AC"/>
    <w:rsid w:val="00C041C4"/>
    <w:rsid w:val="00C0423D"/>
    <w:rsid w:val="00C042A3"/>
    <w:rsid w:val="00C042C0"/>
    <w:rsid w:val="00C042C6"/>
    <w:rsid w:val="00C0436C"/>
    <w:rsid w:val="00C043AF"/>
    <w:rsid w:val="00C0440E"/>
    <w:rsid w:val="00C044CB"/>
    <w:rsid w:val="00C0452C"/>
    <w:rsid w:val="00C0453A"/>
    <w:rsid w:val="00C04659"/>
    <w:rsid w:val="00C046C5"/>
    <w:rsid w:val="00C046F0"/>
    <w:rsid w:val="00C0478E"/>
    <w:rsid w:val="00C04889"/>
    <w:rsid w:val="00C04A59"/>
    <w:rsid w:val="00C04A97"/>
    <w:rsid w:val="00C04AC1"/>
    <w:rsid w:val="00C04B91"/>
    <w:rsid w:val="00C04C65"/>
    <w:rsid w:val="00C04CB8"/>
    <w:rsid w:val="00C04F31"/>
    <w:rsid w:val="00C04FB3"/>
    <w:rsid w:val="00C05029"/>
    <w:rsid w:val="00C05154"/>
    <w:rsid w:val="00C05199"/>
    <w:rsid w:val="00C051DB"/>
    <w:rsid w:val="00C05249"/>
    <w:rsid w:val="00C0531E"/>
    <w:rsid w:val="00C053BF"/>
    <w:rsid w:val="00C05429"/>
    <w:rsid w:val="00C05461"/>
    <w:rsid w:val="00C05514"/>
    <w:rsid w:val="00C05539"/>
    <w:rsid w:val="00C055BA"/>
    <w:rsid w:val="00C055BB"/>
    <w:rsid w:val="00C05631"/>
    <w:rsid w:val="00C057B0"/>
    <w:rsid w:val="00C057EB"/>
    <w:rsid w:val="00C05816"/>
    <w:rsid w:val="00C058B6"/>
    <w:rsid w:val="00C0590E"/>
    <w:rsid w:val="00C0594B"/>
    <w:rsid w:val="00C059E9"/>
    <w:rsid w:val="00C05CBE"/>
    <w:rsid w:val="00C05CD3"/>
    <w:rsid w:val="00C05CEE"/>
    <w:rsid w:val="00C05D26"/>
    <w:rsid w:val="00C05D84"/>
    <w:rsid w:val="00C05E01"/>
    <w:rsid w:val="00C05E73"/>
    <w:rsid w:val="00C05EE9"/>
    <w:rsid w:val="00C06002"/>
    <w:rsid w:val="00C0609A"/>
    <w:rsid w:val="00C0611F"/>
    <w:rsid w:val="00C06221"/>
    <w:rsid w:val="00C062BE"/>
    <w:rsid w:val="00C062E0"/>
    <w:rsid w:val="00C062E3"/>
    <w:rsid w:val="00C06331"/>
    <w:rsid w:val="00C06356"/>
    <w:rsid w:val="00C06386"/>
    <w:rsid w:val="00C0648E"/>
    <w:rsid w:val="00C0675E"/>
    <w:rsid w:val="00C067B3"/>
    <w:rsid w:val="00C0688B"/>
    <w:rsid w:val="00C068BA"/>
    <w:rsid w:val="00C0698B"/>
    <w:rsid w:val="00C06A1B"/>
    <w:rsid w:val="00C06A4F"/>
    <w:rsid w:val="00C06A89"/>
    <w:rsid w:val="00C06B84"/>
    <w:rsid w:val="00C06BC8"/>
    <w:rsid w:val="00C06BDB"/>
    <w:rsid w:val="00C06C4B"/>
    <w:rsid w:val="00C06C60"/>
    <w:rsid w:val="00C06D8E"/>
    <w:rsid w:val="00C06D90"/>
    <w:rsid w:val="00C06DCC"/>
    <w:rsid w:val="00C06EF9"/>
    <w:rsid w:val="00C06F44"/>
    <w:rsid w:val="00C06F4E"/>
    <w:rsid w:val="00C0715E"/>
    <w:rsid w:val="00C07165"/>
    <w:rsid w:val="00C07236"/>
    <w:rsid w:val="00C0733D"/>
    <w:rsid w:val="00C07409"/>
    <w:rsid w:val="00C07415"/>
    <w:rsid w:val="00C074F0"/>
    <w:rsid w:val="00C07518"/>
    <w:rsid w:val="00C0752C"/>
    <w:rsid w:val="00C075E1"/>
    <w:rsid w:val="00C07610"/>
    <w:rsid w:val="00C0761B"/>
    <w:rsid w:val="00C076D0"/>
    <w:rsid w:val="00C07758"/>
    <w:rsid w:val="00C07790"/>
    <w:rsid w:val="00C0779F"/>
    <w:rsid w:val="00C077E2"/>
    <w:rsid w:val="00C07827"/>
    <w:rsid w:val="00C07870"/>
    <w:rsid w:val="00C07996"/>
    <w:rsid w:val="00C079F5"/>
    <w:rsid w:val="00C07A34"/>
    <w:rsid w:val="00C07AC7"/>
    <w:rsid w:val="00C07B00"/>
    <w:rsid w:val="00C07B56"/>
    <w:rsid w:val="00C07B5E"/>
    <w:rsid w:val="00C07BAD"/>
    <w:rsid w:val="00C07C42"/>
    <w:rsid w:val="00C07CC6"/>
    <w:rsid w:val="00C07D34"/>
    <w:rsid w:val="00C07D60"/>
    <w:rsid w:val="00C07D81"/>
    <w:rsid w:val="00C07DF6"/>
    <w:rsid w:val="00C07E19"/>
    <w:rsid w:val="00C07E91"/>
    <w:rsid w:val="00C07EE7"/>
    <w:rsid w:val="00C07F5E"/>
    <w:rsid w:val="00C07F6E"/>
    <w:rsid w:val="00C07F94"/>
    <w:rsid w:val="00C1003A"/>
    <w:rsid w:val="00C1006F"/>
    <w:rsid w:val="00C10094"/>
    <w:rsid w:val="00C100D2"/>
    <w:rsid w:val="00C101A6"/>
    <w:rsid w:val="00C101B1"/>
    <w:rsid w:val="00C10270"/>
    <w:rsid w:val="00C102C9"/>
    <w:rsid w:val="00C102DC"/>
    <w:rsid w:val="00C102E6"/>
    <w:rsid w:val="00C103D9"/>
    <w:rsid w:val="00C10404"/>
    <w:rsid w:val="00C1040F"/>
    <w:rsid w:val="00C10421"/>
    <w:rsid w:val="00C1044C"/>
    <w:rsid w:val="00C1049A"/>
    <w:rsid w:val="00C104B5"/>
    <w:rsid w:val="00C104BC"/>
    <w:rsid w:val="00C10582"/>
    <w:rsid w:val="00C10603"/>
    <w:rsid w:val="00C106B3"/>
    <w:rsid w:val="00C106CE"/>
    <w:rsid w:val="00C1074B"/>
    <w:rsid w:val="00C1083D"/>
    <w:rsid w:val="00C1089B"/>
    <w:rsid w:val="00C108A0"/>
    <w:rsid w:val="00C1092D"/>
    <w:rsid w:val="00C10946"/>
    <w:rsid w:val="00C109C1"/>
    <w:rsid w:val="00C109CB"/>
    <w:rsid w:val="00C109D8"/>
    <w:rsid w:val="00C109F7"/>
    <w:rsid w:val="00C10AA9"/>
    <w:rsid w:val="00C10AC8"/>
    <w:rsid w:val="00C10ADC"/>
    <w:rsid w:val="00C10B01"/>
    <w:rsid w:val="00C10B9B"/>
    <w:rsid w:val="00C10BD1"/>
    <w:rsid w:val="00C10D4E"/>
    <w:rsid w:val="00C10E2F"/>
    <w:rsid w:val="00C10E5B"/>
    <w:rsid w:val="00C10EF7"/>
    <w:rsid w:val="00C10F1C"/>
    <w:rsid w:val="00C10FCA"/>
    <w:rsid w:val="00C11116"/>
    <w:rsid w:val="00C1112A"/>
    <w:rsid w:val="00C1118A"/>
    <w:rsid w:val="00C1119F"/>
    <w:rsid w:val="00C111AB"/>
    <w:rsid w:val="00C111B4"/>
    <w:rsid w:val="00C111B5"/>
    <w:rsid w:val="00C111F4"/>
    <w:rsid w:val="00C11377"/>
    <w:rsid w:val="00C11417"/>
    <w:rsid w:val="00C115A1"/>
    <w:rsid w:val="00C115FF"/>
    <w:rsid w:val="00C1164C"/>
    <w:rsid w:val="00C11763"/>
    <w:rsid w:val="00C11821"/>
    <w:rsid w:val="00C11873"/>
    <w:rsid w:val="00C118C5"/>
    <w:rsid w:val="00C11988"/>
    <w:rsid w:val="00C11A30"/>
    <w:rsid w:val="00C11BEF"/>
    <w:rsid w:val="00C11C22"/>
    <w:rsid w:val="00C11C70"/>
    <w:rsid w:val="00C11C7E"/>
    <w:rsid w:val="00C11C97"/>
    <w:rsid w:val="00C11D8D"/>
    <w:rsid w:val="00C11E4C"/>
    <w:rsid w:val="00C11EF6"/>
    <w:rsid w:val="00C11F19"/>
    <w:rsid w:val="00C11F21"/>
    <w:rsid w:val="00C11F4A"/>
    <w:rsid w:val="00C1202F"/>
    <w:rsid w:val="00C1211C"/>
    <w:rsid w:val="00C1219B"/>
    <w:rsid w:val="00C1222D"/>
    <w:rsid w:val="00C12231"/>
    <w:rsid w:val="00C122F5"/>
    <w:rsid w:val="00C1231E"/>
    <w:rsid w:val="00C1232A"/>
    <w:rsid w:val="00C12361"/>
    <w:rsid w:val="00C123D4"/>
    <w:rsid w:val="00C12477"/>
    <w:rsid w:val="00C125EA"/>
    <w:rsid w:val="00C125F9"/>
    <w:rsid w:val="00C12611"/>
    <w:rsid w:val="00C1265C"/>
    <w:rsid w:val="00C126C6"/>
    <w:rsid w:val="00C1271D"/>
    <w:rsid w:val="00C1274E"/>
    <w:rsid w:val="00C127DE"/>
    <w:rsid w:val="00C1282A"/>
    <w:rsid w:val="00C12866"/>
    <w:rsid w:val="00C12880"/>
    <w:rsid w:val="00C128E1"/>
    <w:rsid w:val="00C12A25"/>
    <w:rsid w:val="00C12A77"/>
    <w:rsid w:val="00C12B40"/>
    <w:rsid w:val="00C12BDE"/>
    <w:rsid w:val="00C12C3A"/>
    <w:rsid w:val="00C12E86"/>
    <w:rsid w:val="00C12ED3"/>
    <w:rsid w:val="00C12ED5"/>
    <w:rsid w:val="00C12FDE"/>
    <w:rsid w:val="00C12FE5"/>
    <w:rsid w:val="00C12FED"/>
    <w:rsid w:val="00C1307C"/>
    <w:rsid w:val="00C130E7"/>
    <w:rsid w:val="00C1312D"/>
    <w:rsid w:val="00C131FF"/>
    <w:rsid w:val="00C13278"/>
    <w:rsid w:val="00C13287"/>
    <w:rsid w:val="00C13290"/>
    <w:rsid w:val="00C132EF"/>
    <w:rsid w:val="00C13357"/>
    <w:rsid w:val="00C13374"/>
    <w:rsid w:val="00C13398"/>
    <w:rsid w:val="00C13537"/>
    <w:rsid w:val="00C135F5"/>
    <w:rsid w:val="00C135F7"/>
    <w:rsid w:val="00C13606"/>
    <w:rsid w:val="00C1360B"/>
    <w:rsid w:val="00C1364C"/>
    <w:rsid w:val="00C136AF"/>
    <w:rsid w:val="00C137CE"/>
    <w:rsid w:val="00C137D1"/>
    <w:rsid w:val="00C137FE"/>
    <w:rsid w:val="00C13892"/>
    <w:rsid w:val="00C139CD"/>
    <w:rsid w:val="00C13A84"/>
    <w:rsid w:val="00C13A8D"/>
    <w:rsid w:val="00C13B57"/>
    <w:rsid w:val="00C13CAE"/>
    <w:rsid w:val="00C13CFC"/>
    <w:rsid w:val="00C13DA0"/>
    <w:rsid w:val="00C13E2E"/>
    <w:rsid w:val="00C13E80"/>
    <w:rsid w:val="00C13EB9"/>
    <w:rsid w:val="00C13EF5"/>
    <w:rsid w:val="00C13FA9"/>
    <w:rsid w:val="00C140B7"/>
    <w:rsid w:val="00C140D4"/>
    <w:rsid w:val="00C14224"/>
    <w:rsid w:val="00C14235"/>
    <w:rsid w:val="00C1425D"/>
    <w:rsid w:val="00C14305"/>
    <w:rsid w:val="00C143E0"/>
    <w:rsid w:val="00C14422"/>
    <w:rsid w:val="00C14435"/>
    <w:rsid w:val="00C144C4"/>
    <w:rsid w:val="00C1451F"/>
    <w:rsid w:val="00C1452A"/>
    <w:rsid w:val="00C14543"/>
    <w:rsid w:val="00C1457E"/>
    <w:rsid w:val="00C145ED"/>
    <w:rsid w:val="00C1462D"/>
    <w:rsid w:val="00C14632"/>
    <w:rsid w:val="00C14656"/>
    <w:rsid w:val="00C146B5"/>
    <w:rsid w:val="00C14743"/>
    <w:rsid w:val="00C14851"/>
    <w:rsid w:val="00C1490D"/>
    <w:rsid w:val="00C14954"/>
    <w:rsid w:val="00C149EA"/>
    <w:rsid w:val="00C14A23"/>
    <w:rsid w:val="00C14A42"/>
    <w:rsid w:val="00C14B62"/>
    <w:rsid w:val="00C14C0E"/>
    <w:rsid w:val="00C14C0F"/>
    <w:rsid w:val="00C14D1D"/>
    <w:rsid w:val="00C14D20"/>
    <w:rsid w:val="00C14D46"/>
    <w:rsid w:val="00C14D73"/>
    <w:rsid w:val="00C14D88"/>
    <w:rsid w:val="00C14DBE"/>
    <w:rsid w:val="00C14E34"/>
    <w:rsid w:val="00C14E57"/>
    <w:rsid w:val="00C14EE2"/>
    <w:rsid w:val="00C14F87"/>
    <w:rsid w:val="00C1502E"/>
    <w:rsid w:val="00C1508B"/>
    <w:rsid w:val="00C150AB"/>
    <w:rsid w:val="00C150B0"/>
    <w:rsid w:val="00C15121"/>
    <w:rsid w:val="00C1512E"/>
    <w:rsid w:val="00C15148"/>
    <w:rsid w:val="00C15154"/>
    <w:rsid w:val="00C151C8"/>
    <w:rsid w:val="00C15210"/>
    <w:rsid w:val="00C152FD"/>
    <w:rsid w:val="00C15323"/>
    <w:rsid w:val="00C1532A"/>
    <w:rsid w:val="00C153FC"/>
    <w:rsid w:val="00C15400"/>
    <w:rsid w:val="00C1542E"/>
    <w:rsid w:val="00C15490"/>
    <w:rsid w:val="00C154A9"/>
    <w:rsid w:val="00C154BB"/>
    <w:rsid w:val="00C154C0"/>
    <w:rsid w:val="00C15523"/>
    <w:rsid w:val="00C15616"/>
    <w:rsid w:val="00C1564D"/>
    <w:rsid w:val="00C1567C"/>
    <w:rsid w:val="00C1577A"/>
    <w:rsid w:val="00C15804"/>
    <w:rsid w:val="00C15813"/>
    <w:rsid w:val="00C15935"/>
    <w:rsid w:val="00C15A95"/>
    <w:rsid w:val="00C15AC5"/>
    <w:rsid w:val="00C15B0A"/>
    <w:rsid w:val="00C15B16"/>
    <w:rsid w:val="00C15BFA"/>
    <w:rsid w:val="00C15CD3"/>
    <w:rsid w:val="00C15D47"/>
    <w:rsid w:val="00C15D60"/>
    <w:rsid w:val="00C15DAB"/>
    <w:rsid w:val="00C15DE2"/>
    <w:rsid w:val="00C15FC9"/>
    <w:rsid w:val="00C15FE5"/>
    <w:rsid w:val="00C1601A"/>
    <w:rsid w:val="00C160C9"/>
    <w:rsid w:val="00C1613F"/>
    <w:rsid w:val="00C161C6"/>
    <w:rsid w:val="00C16311"/>
    <w:rsid w:val="00C163DA"/>
    <w:rsid w:val="00C1644D"/>
    <w:rsid w:val="00C1649D"/>
    <w:rsid w:val="00C164E9"/>
    <w:rsid w:val="00C16519"/>
    <w:rsid w:val="00C165BB"/>
    <w:rsid w:val="00C165F3"/>
    <w:rsid w:val="00C1670C"/>
    <w:rsid w:val="00C16982"/>
    <w:rsid w:val="00C16988"/>
    <w:rsid w:val="00C169B1"/>
    <w:rsid w:val="00C16A44"/>
    <w:rsid w:val="00C16B01"/>
    <w:rsid w:val="00C16B68"/>
    <w:rsid w:val="00C16C96"/>
    <w:rsid w:val="00C16CF9"/>
    <w:rsid w:val="00C16D1A"/>
    <w:rsid w:val="00C16D61"/>
    <w:rsid w:val="00C16E07"/>
    <w:rsid w:val="00C16E49"/>
    <w:rsid w:val="00C16E7C"/>
    <w:rsid w:val="00C16E89"/>
    <w:rsid w:val="00C16ECB"/>
    <w:rsid w:val="00C16F31"/>
    <w:rsid w:val="00C16F73"/>
    <w:rsid w:val="00C17176"/>
    <w:rsid w:val="00C17196"/>
    <w:rsid w:val="00C171FE"/>
    <w:rsid w:val="00C17228"/>
    <w:rsid w:val="00C172E6"/>
    <w:rsid w:val="00C1733E"/>
    <w:rsid w:val="00C17363"/>
    <w:rsid w:val="00C17492"/>
    <w:rsid w:val="00C17666"/>
    <w:rsid w:val="00C176F9"/>
    <w:rsid w:val="00C17775"/>
    <w:rsid w:val="00C177B0"/>
    <w:rsid w:val="00C177F6"/>
    <w:rsid w:val="00C17830"/>
    <w:rsid w:val="00C1788F"/>
    <w:rsid w:val="00C17977"/>
    <w:rsid w:val="00C179C5"/>
    <w:rsid w:val="00C17A00"/>
    <w:rsid w:val="00C17AAB"/>
    <w:rsid w:val="00C17B1A"/>
    <w:rsid w:val="00C17B44"/>
    <w:rsid w:val="00C17C63"/>
    <w:rsid w:val="00C17CA1"/>
    <w:rsid w:val="00C17D62"/>
    <w:rsid w:val="00C17DB7"/>
    <w:rsid w:val="00C17DBB"/>
    <w:rsid w:val="00C17DCF"/>
    <w:rsid w:val="00C17E64"/>
    <w:rsid w:val="00C17E97"/>
    <w:rsid w:val="00C17EBE"/>
    <w:rsid w:val="00C17EBF"/>
    <w:rsid w:val="00C17F5C"/>
    <w:rsid w:val="00C20000"/>
    <w:rsid w:val="00C2008E"/>
    <w:rsid w:val="00C200B3"/>
    <w:rsid w:val="00C2013E"/>
    <w:rsid w:val="00C20184"/>
    <w:rsid w:val="00C2021F"/>
    <w:rsid w:val="00C20234"/>
    <w:rsid w:val="00C20242"/>
    <w:rsid w:val="00C202B1"/>
    <w:rsid w:val="00C20334"/>
    <w:rsid w:val="00C20445"/>
    <w:rsid w:val="00C2044C"/>
    <w:rsid w:val="00C204A0"/>
    <w:rsid w:val="00C204A5"/>
    <w:rsid w:val="00C20544"/>
    <w:rsid w:val="00C20588"/>
    <w:rsid w:val="00C2073A"/>
    <w:rsid w:val="00C2073C"/>
    <w:rsid w:val="00C20796"/>
    <w:rsid w:val="00C207B8"/>
    <w:rsid w:val="00C208DC"/>
    <w:rsid w:val="00C20B2C"/>
    <w:rsid w:val="00C20B3D"/>
    <w:rsid w:val="00C20BFE"/>
    <w:rsid w:val="00C20C30"/>
    <w:rsid w:val="00C20CDD"/>
    <w:rsid w:val="00C20D09"/>
    <w:rsid w:val="00C20D10"/>
    <w:rsid w:val="00C20D40"/>
    <w:rsid w:val="00C20DA4"/>
    <w:rsid w:val="00C20DCD"/>
    <w:rsid w:val="00C20E33"/>
    <w:rsid w:val="00C20F07"/>
    <w:rsid w:val="00C20F3B"/>
    <w:rsid w:val="00C20F49"/>
    <w:rsid w:val="00C20F71"/>
    <w:rsid w:val="00C21001"/>
    <w:rsid w:val="00C210D5"/>
    <w:rsid w:val="00C21187"/>
    <w:rsid w:val="00C211F6"/>
    <w:rsid w:val="00C21228"/>
    <w:rsid w:val="00C214AF"/>
    <w:rsid w:val="00C21511"/>
    <w:rsid w:val="00C21517"/>
    <w:rsid w:val="00C21527"/>
    <w:rsid w:val="00C215EE"/>
    <w:rsid w:val="00C21631"/>
    <w:rsid w:val="00C21690"/>
    <w:rsid w:val="00C216E0"/>
    <w:rsid w:val="00C2176A"/>
    <w:rsid w:val="00C2179F"/>
    <w:rsid w:val="00C217DB"/>
    <w:rsid w:val="00C21861"/>
    <w:rsid w:val="00C21967"/>
    <w:rsid w:val="00C219EB"/>
    <w:rsid w:val="00C21A3C"/>
    <w:rsid w:val="00C21ACA"/>
    <w:rsid w:val="00C21B35"/>
    <w:rsid w:val="00C21BFE"/>
    <w:rsid w:val="00C21C18"/>
    <w:rsid w:val="00C21C1F"/>
    <w:rsid w:val="00C21C43"/>
    <w:rsid w:val="00C21C70"/>
    <w:rsid w:val="00C21CA2"/>
    <w:rsid w:val="00C21D9C"/>
    <w:rsid w:val="00C21DE8"/>
    <w:rsid w:val="00C21E78"/>
    <w:rsid w:val="00C21E93"/>
    <w:rsid w:val="00C21F26"/>
    <w:rsid w:val="00C21F66"/>
    <w:rsid w:val="00C22090"/>
    <w:rsid w:val="00C220F5"/>
    <w:rsid w:val="00C2217E"/>
    <w:rsid w:val="00C221E5"/>
    <w:rsid w:val="00C2223E"/>
    <w:rsid w:val="00C22381"/>
    <w:rsid w:val="00C223B6"/>
    <w:rsid w:val="00C22413"/>
    <w:rsid w:val="00C22432"/>
    <w:rsid w:val="00C22463"/>
    <w:rsid w:val="00C224CC"/>
    <w:rsid w:val="00C224D4"/>
    <w:rsid w:val="00C22566"/>
    <w:rsid w:val="00C2259B"/>
    <w:rsid w:val="00C225C1"/>
    <w:rsid w:val="00C22603"/>
    <w:rsid w:val="00C22686"/>
    <w:rsid w:val="00C226FB"/>
    <w:rsid w:val="00C22705"/>
    <w:rsid w:val="00C2271D"/>
    <w:rsid w:val="00C227C4"/>
    <w:rsid w:val="00C227F0"/>
    <w:rsid w:val="00C22804"/>
    <w:rsid w:val="00C22919"/>
    <w:rsid w:val="00C2291F"/>
    <w:rsid w:val="00C22934"/>
    <w:rsid w:val="00C229A0"/>
    <w:rsid w:val="00C22A54"/>
    <w:rsid w:val="00C22B11"/>
    <w:rsid w:val="00C22BDD"/>
    <w:rsid w:val="00C22E97"/>
    <w:rsid w:val="00C22F3E"/>
    <w:rsid w:val="00C22F99"/>
    <w:rsid w:val="00C23002"/>
    <w:rsid w:val="00C2307E"/>
    <w:rsid w:val="00C230A7"/>
    <w:rsid w:val="00C230AA"/>
    <w:rsid w:val="00C2311E"/>
    <w:rsid w:val="00C23190"/>
    <w:rsid w:val="00C231CF"/>
    <w:rsid w:val="00C231E6"/>
    <w:rsid w:val="00C231FC"/>
    <w:rsid w:val="00C23275"/>
    <w:rsid w:val="00C23356"/>
    <w:rsid w:val="00C23357"/>
    <w:rsid w:val="00C23444"/>
    <w:rsid w:val="00C234AC"/>
    <w:rsid w:val="00C234B9"/>
    <w:rsid w:val="00C23539"/>
    <w:rsid w:val="00C235CF"/>
    <w:rsid w:val="00C235F1"/>
    <w:rsid w:val="00C23681"/>
    <w:rsid w:val="00C236A8"/>
    <w:rsid w:val="00C23727"/>
    <w:rsid w:val="00C2372C"/>
    <w:rsid w:val="00C23852"/>
    <w:rsid w:val="00C238CE"/>
    <w:rsid w:val="00C23904"/>
    <w:rsid w:val="00C2390C"/>
    <w:rsid w:val="00C23B7E"/>
    <w:rsid w:val="00C23C6B"/>
    <w:rsid w:val="00C23C77"/>
    <w:rsid w:val="00C23CD3"/>
    <w:rsid w:val="00C23D30"/>
    <w:rsid w:val="00C23D36"/>
    <w:rsid w:val="00C23D47"/>
    <w:rsid w:val="00C23DAB"/>
    <w:rsid w:val="00C23DFE"/>
    <w:rsid w:val="00C2401C"/>
    <w:rsid w:val="00C24037"/>
    <w:rsid w:val="00C24039"/>
    <w:rsid w:val="00C240D3"/>
    <w:rsid w:val="00C241E4"/>
    <w:rsid w:val="00C241E8"/>
    <w:rsid w:val="00C24380"/>
    <w:rsid w:val="00C2438C"/>
    <w:rsid w:val="00C24425"/>
    <w:rsid w:val="00C24444"/>
    <w:rsid w:val="00C2446C"/>
    <w:rsid w:val="00C24474"/>
    <w:rsid w:val="00C244A2"/>
    <w:rsid w:val="00C24566"/>
    <w:rsid w:val="00C24572"/>
    <w:rsid w:val="00C245A2"/>
    <w:rsid w:val="00C24718"/>
    <w:rsid w:val="00C247A7"/>
    <w:rsid w:val="00C247BB"/>
    <w:rsid w:val="00C247D6"/>
    <w:rsid w:val="00C247DC"/>
    <w:rsid w:val="00C2480E"/>
    <w:rsid w:val="00C24870"/>
    <w:rsid w:val="00C248C0"/>
    <w:rsid w:val="00C248F4"/>
    <w:rsid w:val="00C248FD"/>
    <w:rsid w:val="00C249DB"/>
    <w:rsid w:val="00C249E2"/>
    <w:rsid w:val="00C24A06"/>
    <w:rsid w:val="00C24A5F"/>
    <w:rsid w:val="00C24D38"/>
    <w:rsid w:val="00C24DAA"/>
    <w:rsid w:val="00C24DF3"/>
    <w:rsid w:val="00C24E2A"/>
    <w:rsid w:val="00C24E3B"/>
    <w:rsid w:val="00C24E4E"/>
    <w:rsid w:val="00C24E8D"/>
    <w:rsid w:val="00C24F6F"/>
    <w:rsid w:val="00C2500A"/>
    <w:rsid w:val="00C25037"/>
    <w:rsid w:val="00C251DC"/>
    <w:rsid w:val="00C25201"/>
    <w:rsid w:val="00C25217"/>
    <w:rsid w:val="00C2526C"/>
    <w:rsid w:val="00C2528D"/>
    <w:rsid w:val="00C252BF"/>
    <w:rsid w:val="00C25339"/>
    <w:rsid w:val="00C25396"/>
    <w:rsid w:val="00C25527"/>
    <w:rsid w:val="00C25552"/>
    <w:rsid w:val="00C25558"/>
    <w:rsid w:val="00C25587"/>
    <w:rsid w:val="00C25588"/>
    <w:rsid w:val="00C255DA"/>
    <w:rsid w:val="00C25695"/>
    <w:rsid w:val="00C2579E"/>
    <w:rsid w:val="00C257A0"/>
    <w:rsid w:val="00C25850"/>
    <w:rsid w:val="00C2586C"/>
    <w:rsid w:val="00C25875"/>
    <w:rsid w:val="00C258AA"/>
    <w:rsid w:val="00C2596B"/>
    <w:rsid w:val="00C25A8D"/>
    <w:rsid w:val="00C25A95"/>
    <w:rsid w:val="00C25AE7"/>
    <w:rsid w:val="00C25B0E"/>
    <w:rsid w:val="00C25B97"/>
    <w:rsid w:val="00C25C01"/>
    <w:rsid w:val="00C25C0C"/>
    <w:rsid w:val="00C25C49"/>
    <w:rsid w:val="00C25CBC"/>
    <w:rsid w:val="00C25D6D"/>
    <w:rsid w:val="00C25D8F"/>
    <w:rsid w:val="00C25E5F"/>
    <w:rsid w:val="00C25F06"/>
    <w:rsid w:val="00C25FA9"/>
    <w:rsid w:val="00C25FF2"/>
    <w:rsid w:val="00C26082"/>
    <w:rsid w:val="00C260A3"/>
    <w:rsid w:val="00C260E0"/>
    <w:rsid w:val="00C26123"/>
    <w:rsid w:val="00C2619A"/>
    <w:rsid w:val="00C26252"/>
    <w:rsid w:val="00C26256"/>
    <w:rsid w:val="00C262F2"/>
    <w:rsid w:val="00C2642B"/>
    <w:rsid w:val="00C26467"/>
    <w:rsid w:val="00C264C7"/>
    <w:rsid w:val="00C26586"/>
    <w:rsid w:val="00C265C3"/>
    <w:rsid w:val="00C26683"/>
    <w:rsid w:val="00C266DC"/>
    <w:rsid w:val="00C26723"/>
    <w:rsid w:val="00C26A04"/>
    <w:rsid w:val="00C26AE5"/>
    <w:rsid w:val="00C26B57"/>
    <w:rsid w:val="00C26BA1"/>
    <w:rsid w:val="00C26D71"/>
    <w:rsid w:val="00C27020"/>
    <w:rsid w:val="00C27073"/>
    <w:rsid w:val="00C2708B"/>
    <w:rsid w:val="00C27167"/>
    <w:rsid w:val="00C27285"/>
    <w:rsid w:val="00C272B1"/>
    <w:rsid w:val="00C27388"/>
    <w:rsid w:val="00C27419"/>
    <w:rsid w:val="00C27452"/>
    <w:rsid w:val="00C27601"/>
    <w:rsid w:val="00C27692"/>
    <w:rsid w:val="00C27794"/>
    <w:rsid w:val="00C277C6"/>
    <w:rsid w:val="00C277D1"/>
    <w:rsid w:val="00C27839"/>
    <w:rsid w:val="00C2786B"/>
    <w:rsid w:val="00C27872"/>
    <w:rsid w:val="00C27895"/>
    <w:rsid w:val="00C278F3"/>
    <w:rsid w:val="00C27936"/>
    <w:rsid w:val="00C2793B"/>
    <w:rsid w:val="00C27A1A"/>
    <w:rsid w:val="00C27A30"/>
    <w:rsid w:val="00C27A9A"/>
    <w:rsid w:val="00C27B6A"/>
    <w:rsid w:val="00C27B81"/>
    <w:rsid w:val="00C27B83"/>
    <w:rsid w:val="00C27B8C"/>
    <w:rsid w:val="00C27B9D"/>
    <w:rsid w:val="00C27D61"/>
    <w:rsid w:val="00C27DC8"/>
    <w:rsid w:val="00C27DFF"/>
    <w:rsid w:val="00C27E58"/>
    <w:rsid w:val="00C27EB5"/>
    <w:rsid w:val="00C27F9F"/>
    <w:rsid w:val="00C27FAB"/>
    <w:rsid w:val="00C27FCE"/>
    <w:rsid w:val="00C27FFA"/>
    <w:rsid w:val="00C3012C"/>
    <w:rsid w:val="00C30154"/>
    <w:rsid w:val="00C3020D"/>
    <w:rsid w:val="00C3029A"/>
    <w:rsid w:val="00C303F2"/>
    <w:rsid w:val="00C303F4"/>
    <w:rsid w:val="00C30485"/>
    <w:rsid w:val="00C3051D"/>
    <w:rsid w:val="00C305B6"/>
    <w:rsid w:val="00C3064C"/>
    <w:rsid w:val="00C30691"/>
    <w:rsid w:val="00C30895"/>
    <w:rsid w:val="00C30A1C"/>
    <w:rsid w:val="00C30A6B"/>
    <w:rsid w:val="00C30AD0"/>
    <w:rsid w:val="00C30B20"/>
    <w:rsid w:val="00C30B58"/>
    <w:rsid w:val="00C30B62"/>
    <w:rsid w:val="00C30C71"/>
    <w:rsid w:val="00C30C81"/>
    <w:rsid w:val="00C30CBB"/>
    <w:rsid w:val="00C30DA0"/>
    <w:rsid w:val="00C30DCE"/>
    <w:rsid w:val="00C30DD7"/>
    <w:rsid w:val="00C30E80"/>
    <w:rsid w:val="00C30F14"/>
    <w:rsid w:val="00C30FD1"/>
    <w:rsid w:val="00C31038"/>
    <w:rsid w:val="00C3103A"/>
    <w:rsid w:val="00C3108C"/>
    <w:rsid w:val="00C310B4"/>
    <w:rsid w:val="00C310B8"/>
    <w:rsid w:val="00C311C7"/>
    <w:rsid w:val="00C31224"/>
    <w:rsid w:val="00C3123B"/>
    <w:rsid w:val="00C31268"/>
    <w:rsid w:val="00C312AE"/>
    <w:rsid w:val="00C31347"/>
    <w:rsid w:val="00C3136A"/>
    <w:rsid w:val="00C313DF"/>
    <w:rsid w:val="00C313E3"/>
    <w:rsid w:val="00C31408"/>
    <w:rsid w:val="00C314AC"/>
    <w:rsid w:val="00C31671"/>
    <w:rsid w:val="00C3167C"/>
    <w:rsid w:val="00C316E5"/>
    <w:rsid w:val="00C317F6"/>
    <w:rsid w:val="00C31942"/>
    <w:rsid w:val="00C319E4"/>
    <w:rsid w:val="00C319FE"/>
    <w:rsid w:val="00C31AB9"/>
    <w:rsid w:val="00C31B08"/>
    <w:rsid w:val="00C31C38"/>
    <w:rsid w:val="00C31C9D"/>
    <w:rsid w:val="00C31CDF"/>
    <w:rsid w:val="00C31D14"/>
    <w:rsid w:val="00C31DF9"/>
    <w:rsid w:val="00C31E03"/>
    <w:rsid w:val="00C31E19"/>
    <w:rsid w:val="00C31E3B"/>
    <w:rsid w:val="00C31EDE"/>
    <w:rsid w:val="00C31F1C"/>
    <w:rsid w:val="00C31FFE"/>
    <w:rsid w:val="00C32015"/>
    <w:rsid w:val="00C3205D"/>
    <w:rsid w:val="00C320E1"/>
    <w:rsid w:val="00C32147"/>
    <w:rsid w:val="00C321DC"/>
    <w:rsid w:val="00C3225A"/>
    <w:rsid w:val="00C322DA"/>
    <w:rsid w:val="00C32324"/>
    <w:rsid w:val="00C323FB"/>
    <w:rsid w:val="00C32444"/>
    <w:rsid w:val="00C32463"/>
    <w:rsid w:val="00C3252A"/>
    <w:rsid w:val="00C325A7"/>
    <w:rsid w:val="00C3260B"/>
    <w:rsid w:val="00C326A6"/>
    <w:rsid w:val="00C3275B"/>
    <w:rsid w:val="00C32766"/>
    <w:rsid w:val="00C3295C"/>
    <w:rsid w:val="00C32AAC"/>
    <w:rsid w:val="00C32ABE"/>
    <w:rsid w:val="00C32AE9"/>
    <w:rsid w:val="00C32AEB"/>
    <w:rsid w:val="00C32AF8"/>
    <w:rsid w:val="00C32B13"/>
    <w:rsid w:val="00C32BB0"/>
    <w:rsid w:val="00C32BDF"/>
    <w:rsid w:val="00C32C24"/>
    <w:rsid w:val="00C32C53"/>
    <w:rsid w:val="00C32D6A"/>
    <w:rsid w:val="00C32DC5"/>
    <w:rsid w:val="00C32DE7"/>
    <w:rsid w:val="00C32DED"/>
    <w:rsid w:val="00C32DFD"/>
    <w:rsid w:val="00C32E6A"/>
    <w:rsid w:val="00C32F12"/>
    <w:rsid w:val="00C32F3C"/>
    <w:rsid w:val="00C33009"/>
    <w:rsid w:val="00C33010"/>
    <w:rsid w:val="00C33015"/>
    <w:rsid w:val="00C330B7"/>
    <w:rsid w:val="00C33153"/>
    <w:rsid w:val="00C33156"/>
    <w:rsid w:val="00C3323E"/>
    <w:rsid w:val="00C33284"/>
    <w:rsid w:val="00C33369"/>
    <w:rsid w:val="00C33393"/>
    <w:rsid w:val="00C33416"/>
    <w:rsid w:val="00C3348B"/>
    <w:rsid w:val="00C33524"/>
    <w:rsid w:val="00C3355A"/>
    <w:rsid w:val="00C3356E"/>
    <w:rsid w:val="00C335F2"/>
    <w:rsid w:val="00C33608"/>
    <w:rsid w:val="00C336D0"/>
    <w:rsid w:val="00C339A0"/>
    <w:rsid w:val="00C33AB1"/>
    <w:rsid w:val="00C33B26"/>
    <w:rsid w:val="00C33B2B"/>
    <w:rsid w:val="00C33B2E"/>
    <w:rsid w:val="00C33B98"/>
    <w:rsid w:val="00C33BB7"/>
    <w:rsid w:val="00C33C24"/>
    <w:rsid w:val="00C33C7D"/>
    <w:rsid w:val="00C33CBF"/>
    <w:rsid w:val="00C33CFD"/>
    <w:rsid w:val="00C33D18"/>
    <w:rsid w:val="00C33DC9"/>
    <w:rsid w:val="00C33E10"/>
    <w:rsid w:val="00C33E15"/>
    <w:rsid w:val="00C33E6D"/>
    <w:rsid w:val="00C33F77"/>
    <w:rsid w:val="00C34113"/>
    <w:rsid w:val="00C341B0"/>
    <w:rsid w:val="00C341F0"/>
    <w:rsid w:val="00C34248"/>
    <w:rsid w:val="00C34389"/>
    <w:rsid w:val="00C343A1"/>
    <w:rsid w:val="00C343B6"/>
    <w:rsid w:val="00C34476"/>
    <w:rsid w:val="00C344FB"/>
    <w:rsid w:val="00C344FD"/>
    <w:rsid w:val="00C3455A"/>
    <w:rsid w:val="00C3461C"/>
    <w:rsid w:val="00C3461F"/>
    <w:rsid w:val="00C34635"/>
    <w:rsid w:val="00C3469A"/>
    <w:rsid w:val="00C3469B"/>
    <w:rsid w:val="00C346BF"/>
    <w:rsid w:val="00C346FD"/>
    <w:rsid w:val="00C34796"/>
    <w:rsid w:val="00C3493E"/>
    <w:rsid w:val="00C34989"/>
    <w:rsid w:val="00C34A23"/>
    <w:rsid w:val="00C34A2A"/>
    <w:rsid w:val="00C34A52"/>
    <w:rsid w:val="00C34ABC"/>
    <w:rsid w:val="00C34AFD"/>
    <w:rsid w:val="00C34B44"/>
    <w:rsid w:val="00C34C46"/>
    <w:rsid w:val="00C34C95"/>
    <w:rsid w:val="00C34DB5"/>
    <w:rsid w:val="00C34DBF"/>
    <w:rsid w:val="00C34DEB"/>
    <w:rsid w:val="00C34DFB"/>
    <w:rsid w:val="00C34E17"/>
    <w:rsid w:val="00C34E70"/>
    <w:rsid w:val="00C34EA6"/>
    <w:rsid w:val="00C34F71"/>
    <w:rsid w:val="00C35031"/>
    <w:rsid w:val="00C35061"/>
    <w:rsid w:val="00C35109"/>
    <w:rsid w:val="00C351C8"/>
    <w:rsid w:val="00C351F5"/>
    <w:rsid w:val="00C351F7"/>
    <w:rsid w:val="00C352C7"/>
    <w:rsid w:val="00C3530A"/>
    <w:rsid w:val="00C35352"/>
    <w:rsid w:val="00C353DC"/>
    <w:rsid w:val="00C35402"/>
    <w:rsid w:val="00C3549C"/>
    <w:rsid w:val="00C354DC"/>
    <w:rsid w:val="00C3556B"/>
    <w:rsid w:val="00C355F5"/>
    <w:rsid w:val="00C356A1"/>
    <w:rsid w:val="00C356DC"/>
    <w:rsid w:val="00C35739"/>
    <w:rsid w:val="00C3586F"/>
    <w:rsid w:val="00C35933"/>
    <w:rsid w:val="00C3599B"/>
    <w:rsid w:val="00C35B1B"/>
    <w:rsid w:val="00C35B77"/>
    <w:rsid w:val="00C35BB3"/>
    <w:rsid w:val="00C35C5E"/>
    <w:rsid w:val="00C35D39"/>
    <w:rsid w:val="00C35D5C"/>
    <w:rsid w:val="00C35D61"/>
    <w:rsid w:val="00C35D6E"/>
    <w:rsid w:val="00C36032"/>
    <w:rsid w:val="00C3610A"/>
    <w:rsid w:val="00C3619B"/>
    <w:rsid w:val="00C36298"/>
    <w:rsid w:val="00C3629C"/>
    <w:rsid w:val="00C362A3"/>
    <w:rsid w:val="00C362A5"/>
    <w:rsid w:val="00C362CE"/>
    <w:rsid w:val="00C36322"/>
    <w:rsid w:val="00C36325"/>
    <w:rsid w:val="00C36344"/>
    <w:rsid w:val="00C3635D"/>
    <w:rsid w:val="00C3639D"/>
    <w:rsid w:val="00C363CF"/>
    <w:rsid w:val="00C363D2"/>
    <w:rsid w:val="00C36445"/>
    <w:rsid w:val="00C36466"/>
    <w:rsid w:val="00C3647A"/>
    <w:rsid w:val="00C365CC"/>
    <w:rsid w:val="00C36685"/>
    <w:rsid w:val="00C366C5"/>
    <w:rsid w:val="00C36705"/>
    <w:rsid w:val="00C36715"/>
    <w:rsid w:val="00C3677F"/>
    <w:rsid w:val="00C368BD"/>
    <w:rsid w:val="00C36AAC"/>
    <w:rsid w:val="00C36AE6"/>
    <w:rsid w:val="00C36B1E"/>
    <w:rsid w:val="00C36B9B"/>
    <w:rsid w:val="00C36C12"/>
    <w:rsid w:val="00C36CB0"/>
    <w:rsid w:val="00C36D59"/>
    <w:rsid w:val="00C36DE6"/>
    <w:rsid w:val="00C36E01"/>
    <w:rsid w:val="00C36E77"/>
    <w:rsid w:val="00C36E9B"/>
    <w:rsid w:val="00C36F1A"/>
    <w:rsid w:val="00C36FAA"/>
    <w:rsid w:val="00C36FC8"/>
    <w:rsid w:val="00C3700E"/>
    <w:rsid w:val="00C37070"/>
    <w:rsid w:val="00C3715B"/>
    <w:rsid w:val="00C371A5"/>
    <w:rsid w:val="00C37211"/>
    <w:rsid w:val="00C37249"/>
    <w:rsid w:val="00C372B0"/>
    <w:rsid w:val="00C3731B"/>
    <w:rsid w:val="00C373C0"/>
    <w:rsid w:val="00C37542"/>
    <w:rsid w:val="00C375B0"/>
    <w:rsid w:val="00C375BC"/>
    <w:rsid w:val="00C37628"/>
    <w:rsid w:val="00C37653"/>
    <w:rsid w:val="00C37690"/>
    <w:rsid w:val="00C37736"/>
    <w:rsid w:val="00C377C9"/>
    <w:rsid w:val="00C37828"/>
    <w:rsid w:val="00C378AB"/>
    <w:rsid w:val="00C37996"/>
    <w:rsid w:val="00C379B0"/>
    <w:rsid w:val="00C37A0C"/>
    <w:rsid w:val="00C37A20"/>
    <w:rsid w:val="00C37A51"/>
    <w:rsid w:val="00C37B31"/>
    <w:rsid w:val="00C37B6F"/>
    <w:rsid w:val="00C37C27"/>
    <w:rsid w:val="00C37CB3"/>
    <w:rsid w:val="00C37D9F"/>
    <w:rsid w:val="00C37E98"/>
    <w:rsid w:val="00C37ED1"/>
    <w:rsid w:val="00C37EE5"/>
    <w:rsid w:val="00C4003A"/>
    <w:rsid w:val="00C40055"/>
    <w:rsid w:val="00C400D2"/>
    <w:rsid w:val="00C40253"/>
    <w:rsid w:val="00C40267"/>
    <w:rsid w:val="00C40277"/>
    <w:rsid w:val="00C40353"/>
    <w:rsid w:val="00C4049D"/>
    <w:rsid w:val="00C404A4"/>
    <w:rsid w:val="00C405EC"/>
    <w:rsid w:val="00C40697"/>
    <w:rsid w:val="00C406A6"/>
    <w:rsid w:val="00C406D3"/>
    <w:rsid w:val="00C406E4"/>
    <w:rsid w:val="00C4075F"/>
    <w:rsid w:val="00C407F4"/>
    <w:rsid w:val="00C407F6"/>
    <w:rsid w:val="00C4090B"/>
    <w:rsid w:val="00C4099C"/>
    <w:rsid w:val="00C409ED"/>
    <w:rsid w:val="00C40A0E"/>
    <w:rsid w:val="00C40A12"/>
    <w:rsid w:val="00C40B00"/>
    <w:rsid w:val="00C40BD3"/>
    <w:rsid w:val="00C40BEC"/>
    <w:rsid w:val="00C40F52"/>
    <w:rsid w:val="00C41041"/>
    <w:rsid w:val="00C4105D"/>
    <w:rsid w:val="00C410FC"/>
    <w:rsid w:val="00C4116E"/>
    <w:rsid w:val="00C41171"/>
    <w:rsid w:val="00C41207"/>
    <w:rsid w:val="00C41213"/>
    <w:rsid w:val="00C412E5"/>
    <w:rsid w:val="00C4130E"/>
    <w:rsid w:val="00C41420"/>
    <w:rsid w:val="00C41456"/>
    <w:rsid w:val="00C4147D"/>
    <w:rsid w:val="00C414A3"/>
    <w:rsid w:val="00C41508"/>
    <w:rsid w:val="00C41580"/>
    <w:rsid w:val="00C41619"/>
    <w:rsid w:val="00C4166E"/>
    <w:rsid w:val="00C4191C"/>
    <w:rsid w:val="00C41928"/>
    <w:rsid w:val="00C4193C"/>
    <w:rsid w:val="00C4195A"/>
    <w:rsid w:val="00C41998"/>
    <w:rsid w:val="00C419E0"/>
    <w:rsid w:val="00C41AC5"/>
    <w:rsid w:val="00C41B05"/>
    <w:rsid w:val="00C41BBE"/>
    <w:rsid w:val="00C41BF2"/>
    <w:rsid w:val="00C41C66"/>
    <w:rsid w:val="00C41CEE"/>
    <w:rsid w:val="00C41CFF"/>
    <w:rsid w:val="00C41D21"/>
    <w:rsid w:val="00C41DDC"/>
    <w:rsid w:val="00C41EC5"/>
    <w:rsid w:val="00C41FBC"/>
    <w:rsid w:val="00C41FF1"/>
    <w:rsid w:val="00C42048"/>
    <w:rsid w:val="00C42104"/>
    <w:rsid w:val="00C42123"/>
    <w:rsid w:val="00C421A0"/>
    <w:rsid w:val="00C421EE"/>
    <w:rsid w:val="00C42345"/>
    <w:rsid w:val="00C423DD"/>
    <w:rsid w:val="00C42411"/>
    <w:rsid w:val="00C42432"/>
    <w:rsid w:val="00C424D0"/>
    <w:rsid w:val="00C42604"/>
    <w:rsid w:val="00C4271A"/>
    <w:rsid w:val="00C4278E"/>
    <w:rsid w:val="00C427D7"/>
    <w:rsid w:val="00C42895"/>
    <w:rsid w:val="00C428D6"/>
    <w:rsid w:val="00C42971"/>
    <w:rsid w:val="00C429FE"/>
    <w:rsid w:val="00C42A40"/>
    <w:rsid w:val="00C42AD2"/>
    <w:rsid w:val="00C42B6F"/>
    <w:rsid w:val="00C42B83"/>
    <w:rsid w:val="00C42BF3"/>
    <w:rsid w:val="00C42CA0"/>
    <w:rsid w:val="00C42E2C"/>
    <w:rsid w:val="00C42FD2"/>
    <w:rsid w:val="00C4306D"/>
    <w:rsid w:val="00C431EC"/>
    <w:rsid w:val="00C43297"/>
    <w:rsid w:val="00C43377"/>
    <w:rsid w:val="00C4338B"/>
    <w:rsid w:val="00C433E3"/>
    <w:rsid w:val="00C4353A"/>
    <w:rsid w:val="00C4359E"/>
    <w:rsid w:val="00C435B6"/>
    <w:rsid w:val="00C4361E"/>
    <w:rsid w:val="00C4367A"/>
    <w:rsid w:val="00C43692"/>
    <w:rsid w:val="00C436C9"/>
    <w:rsid w:val="00C4378F"/>
    <w:rsid w:val="00C437DC"/>
    <w:rsid w:val="00C438A5"/>
    <w:rsid w:val="00C438B3"/>
    <w:rsid w:val="00C438BF"/>
    <w:rsid w:val="00C4390C"/>
    <w:rsid w:val="00C43921"/>
    <w:rsid w:val="00C43945"/>
    <w:rsid w:val="00C439BE"/>
    <w:rsid w:val="00C43AF3"/>
    <w:rsid w:val="00C43B0C"/>
    <w:rsid w:val="00C43BF4"/>
    <w:rsid w:val="00C43BFB"/>
    <w:rsid w:val="00C43CCA"/>
    <w:rsid w:val="00C43CDA"/>
    <w:rsid w:val="00C43D1F"/>
    <w:rsid w:val="00C43D38"/>
    <w:rsid w:val="00C43DA8"/>
    <w:rsid w:val="00C43ED5"/>
    <w:rsid w:val="00C43F3A"/>
    <w:rsid w:val="00C43F98"/>
    <w:rsid w:val="00C43FF5"/>
    <w:rsid w:val="00C44050"/>
    <w:rsid w:val="00C44068"/>
    <w:rsid w:val="00C44093"/>
    <w:rsid w:val="00C44170"/>
    <w:rsid w:val="00C441E5"/>
    <w:rsid w:val="00C441FE"/>
    <w:rsid w:val="00C442DD"/>
    <w:rsid w:val="00C44331"/>
    <w:rsid w:val="00C443FD"/>
    <w:rsid w:val="00C44408"/>
    <w:rsid w:val="00C4443A"/>
    <w:rsid w:val="00C4443D"/>
    <w:rsid w:val="00C4443F"/>
    <w:rsid w:val="00C44484"/>
    <w:rsid w:val="00C444CE"/>
    <w:rsid w:val="00C44502"/>
    <w:rsid w:val="00C44511"/>
    <w:rsid w:val="00C44568"/>
    <w:rsid w:val="00C44573"/>
    <w:rsid w:val="00C445BA"/>
    <w:rsid w:val="00C446D9"/>
    <w:rsid w:val="00C4481A"/>
    <w:rsid w:val="00C4491A"/>
    <w:rsid w:val="00C44950"/>
    <w:rsid w:val="00C44960"/>
    <w:rsid w:val="00C44986"/>
    <w:rsid w:val="00C449CF"/>
    <w:rsid w:val="00C44B03"/>
    <w:rsid w:val="00C44B52"/>
    <w:rsid w:val="00C44BAD"/>
    <w:rsid w:val="00C44C28"/>
    <w:rsid w:val="00C44D5B"/>
    <w:rsid w:val="00C44DFA"/>
    <w:rsid w:val="00C44E1B"/>
    <w:rsid w:val="00C44E86"/>
    <w:rsid w:val="00C44FB7"/>
    <w:rsid w:val="00C4518A"/>
    <w:rsid w:val="00C4520A"/>
    <w:rsid w:val="00C45246"/>
    <w:rsid w:val="00C45298"/>
    <w:rsid w:val="00C45307"/>
    <w:rsid w:val="00C45369"/>
    <w:rsid w:val="00C453B6"/>
    <w:rsid w:val="00C453D8"/>
    <w:rsid w:val="00C4543A"/>
    <w:rsid w:val="00C4546A"/>
    <w:rsid w:val="00C4546D"/>
    <w:rsid w:val="00C454B8"/>
    <w:rsid w:val="00C45540"/>
    <w:rsid w:val="00C45662"/>
    <w:rsid w:val="00C456AA"/>
    <w:rsid w:val="00C457C9"/>
    <w:rsid w:val="00C4580F"/>
    <w:rsid w:val="00C458A8"/>
    <w:rsid w:val="00C458EC"/>
    <w:rsid w:val="00C45900"/>
    <w:rsid w:val="00C459A5"/>
    <w:rsid w:val="00C45A3A"/>
    <w:rsid w:val="00C45A85"/>
    <w:rsid w:val="00C45ADE"/>
    <w:rsid w:val="00C45B8D"/>
    <w:rsid w:val="00C45C10"/>
    <w:rsid w:val="00C45C92"/>
    <w:rsid w:val="00C45D60"/>
    <w:rsid w:val="00C45D77"/>
    <w:rsid w:val="00C45E76"/>
    <w:rsid w:val="00C45EC2"/>
    <w:rsid w:val="00C45EE2"/>
    <w:rsid w:val="00C45FC8"/>
    <w:rsid w:val="00C46003"/>
    <w:rsid w:val="00C46194"/>
    <w:rsid w:val="00C46202"/>
    <w:rsid w:val="00C46204"/>
    <w:rsid w:val="00C462DC"/>
    <w:rsid w:val="00C463D6"/>
    <w:rsid w:val="00C46479"/>
    <w:rsid w:val="00C46487"/>
    <w:rsid w:val="00C4657A"/>
    <w:rsid w:val="00C465DA"/>
    <w:rsid w:val="00C4662C"/>
    <w:rsid w:val="00C4664D"/>
    <w:rsid w:val="00C4683C"/>
    <w:rsid w:val="00C469FA"/>
    <w:rsid w:val="00C46B80"/>
    <w:rsid w:val="00C46C1F"/>
    <w:rsid w:val="00C46C96"/>
    <w:rsid w:val="00C46CA4"/>
    <w:rsid w:val="00C46D12"/>
    <w:rsid w:val="00C46E12"/>
    <w:rsid w:val="00C46E87"/>
    <w:rsid w:val="00C46F6E"/>
    <w:rsid w:val="00C46F9B"/>
    <w:rsid w:val="00C4701D"/>
    <w:rsid w:val="00C4702C"/>
    <w:rsid w:val="00C4718C"/>
    <w:rsid w:val="00C471AB"/>
    <w:rsid w:val="00C471BA"/>
    <w:rsid w:val="00C4723E"/>
    <w:rsid w:val="00C47286"/>
    <w:rsid w:val="00C472CA"/>
    <w:rsid w:val="00C473AF"/>
    <w:rsid w:val="00C47461"/>
    <w:rsid w:val="00C4748C"/>
    <w:rsid w:val="00C474ED"/>
    <w:rsid w:val="00C47530"/>
    <w:rsid w:val="00C4756B"/>
    <w:rsid w:val="00C4759B"/>
    <w:rsid w:val="00C475F0"/>
    <w:rsid w:val="00C47616"/>
    <w:rsid w:val="00C4786D"/>
    <w:rsid w:val="00C478C9"/>
    <w:rsid w:val="00C4796D"/>
    <w:rsid w:val="00C479B8"/>
    <w:rsid w:val="00C479EE"/>
    <w:rsid w:val="00C47A63"/>
    <w:rsid w:val="00C47AC6"/>
    <w:rsid w:val="00C47C42"/>
    <w:rsid w:val="00C47CB8"/>
    <w:rsid w:val="00C47D49"/>
    <w:rsid w:val="00C47E07"/>
    <w:rsid w:val="00C47E51"/>
    <w:rsid w:val="00C47E75"/>
    <w:rsid w:val="00C47FD0"/>
    <w:rsid w:val="00C5001E"/>
    <w:rsid w:val="00C50024"/>
    <w:rsid w:val="00C50032"/>
    <w:rsid w:val="00C50186"/>
    <w:rsid w:val="00C501BE"/>
    <w:rsid w:val="00C501EF"/>
    <w:rsid w:val="00C5022D"/>
    <w:rsid w:val="00C5033D"/>
    <w:rsid w:val="00C50398"/>
    <w:rsid w:val="00C5046B"/>
    <w:rsid w:val="00C504BB"/>
    <w:rsid w:val="00C50513"/>
    <w:rsid w:val="00C50523"/>
    <w:rsid w:val="00C5058F"/>
    <w:rsid w:val="00C50614"/>
    <w:rsid w:val="00C50663"/>
    <w:rsid w:val="00C506BC"/>
    <w:rsid w:val="00C50720"/>
    <w:rsid w:val="00C50760"/>
    <w:rsid w:val="00C50763"/>
    <w:rsid w:val="00C50775"/>
    <w:rsid w:val="00C5079B"/>
    <w:rsid w:val="00C507B4"/>
    <w:rsid w:val="00C507C2"/>
    <w:rsid w:val="00C507E5"/>
    <w:rsid w:val="00C5096E"/>
    <w:rsid w:val="00C50970"/>
    <w:rsid w:val="00C509AE"/>
    <w:rsid w:val="00C509CD"/>
    <w:rsid w:val="00C50A32"/>
    <w:rsid w:val="00C50A70"/>
    <w:rsid w:val="00C50A78"/>
    <w:rsid w:val="00C50AB9"/>
    <w:rsid w:val="00C50AD6"/>
    <w:rsid w:val="00C50B05"/>
    <w:rsid w:val="00C50B42"/>
    <w:rsid w:val="00C50B64"/>
    <w:rsid w:val="00C50B91"/>
    <w:rsid w:val="00C50BAF"/>
    <w:rsid w:val="00C50BCC"/>
    <w:rsid w:val="00C50BE2"/>
    <w:rsid w:val="00C50C52"/>
    <w:rsid w:val="00C50D04"/>
    <w:rsid w:val="00C50E69"/>
    <w:rsid w:val="00C50E9F"/>
    <w:rsid w:val="00C50F50"/>
    <w:rsid w:val="00C50F61"/>
    <w:rsid w:val="00C50F6B"/>
    <w:rsid w:val="00C5116F"/>
    <w:rsid w:val="00C511ED"/>
    <w:rsid w:val="00C512BC"/>
    <w:rsid w:val="00C51375"/>
    <w:rsid w:val="00C51483"/>
    <w:rsid w:val="00C51535"/>
    <w:rsid w:val="00C51599"/>
    <w:rsid w:val="00C5165C"/>
    <w:rsid w:val="00C516DA"/>
    <w:rsid w:val="00C51701"/>
    <w:rsid w:val="00C517A8"/>
    <w:rsid w:val="00C51808"/>
    <w:rsid w:val="00C51829"/>
    <w:rsid w:val="00C51898"/>
    <w:rsid w:val="00C51A35"/>
    <w:rsid w:val="00C51A6D"/>
    <w:rsid w:val="00C51AAD"/>
    <w:rsid w:val="00C51B15"/>
    <w:rsid w:val="00C51B22"/>
    <w:rsid w:val="00C51C1C"/>
    <w:rsid w:val="00C51C7E"/>
    <w:rsid w:val="00C51E14"/>
    <w:rsid w:val="00C51E4A"/>
    <w:rsid w:val="00C51FD4"/>
    <w:rsid w:val="00C51FFD"/>
    <w:rsid w:val="00C521D4"/>
    <w:rsid w:val="00C52299"/>
    <w:rsid w:val="00C522D9"/>
    <w:rsid w:val="00C52319"/>
    <w:rsid w:val="00C52342"/>
    <w:rsid w:val="00C5242E"/>
    <w:rsid w:val="00C52555"/>
    <w:rsid w:val="00C5281D"/>
    <w:rsid w:val="00C5282E"/>
    <w:rsid w:val="00C528A2"/>
    <w:rsid w:val="00C528F0"/>
    <w:rsid w:val="00C52965"/>
    <w:rsid w:val="00C52A60"/>
    <w:rsid w:val="00C52A91"/>
    <w:rsid w:val="00C52ACE"/>
    <w:rsid w:val="00C52AE4"/>
    <w:rsid w:val="00C52B73"/>
    <w:rsid w:val="00C52BE2"/>
    <w:rsid w:val="00C52C31"/>
    <w:rsid w:val="00C52C5B"/>
    <w:rsid w:val="00C52D0E"/>
    <w:rsid w:val="00C52DC3"/>
    <w:rsid w:val="00C52E45"/>
    <w:rsid w:val="00C52E9E"/>
    <w:rsid w:val="00C52FB8"/>
    <w:rsid w:val="00C53027"/>
    <w:rsid w:val="00C53155"/>
    <w:rsid w:val="00C532BE"/>
    <w:rsid w:val="00C5334A"/>
    <w:rsid w:val="00C53350"/>
    <w:rsid w:val="00C5343C"/>
    <w:rsid w:val="00C53471"/>
    <w:rsid w:val="00C53494"/>
    <w:rsid w:val="00C534D2"/>
    <w:rsid w:val="00C5354F"/>
    <w:rsid w:val="00C535A3"/>
    <w:rsid w:val="00C535C5"/>
    <w:rsid w:val="00C53641"/>
    <w:rsid w:val="00C53644"/>
    <w:rsid w:val="00C536D0"/>
    <w:rsid w:val="00C5371A"/>
    <w:rsid w:val="00C537B2"/>
    <w:rsid w:val="00C5380B"/>
    <w:rsid w:val="00C5383C"/>
    <w:rsid w:val="00C53882"/>
    <w:rsid w:val="00C53946"/>
    <w:rsid w:val="00C539C8"/>
    <w:rsid w:val="00C539E9"/>
    <w:rsid w:val="00C53A78"/>
    <w:rsid w:val="00C53AEB"/>
    <w:rsid w:val="00C53C12"/>
    <w:rsid w:val="00C53CFA"/>
    <w:rsid w:val="00C53DA7"/>
    <w:rsid w:val="00C53DAC"/>
    <w:rsid w:val="00C53DCE"/>
    <w:rsid w:val="00C53DD9"/>
    <w:rsid w:val="00C53DE7"/>
    <w:rsid w:val="00C53DF1"/>
    <w:rsid w:val="00C53E27"/>
    <w:rsid w:val="00C53F6F"/>
    <w:rsid w:val="00C53FD3"/>
    <w:rsid w:val="00C53FFF"/>
    <w:rsid w:val="00C5405B"/>
    <w:rsid w:val="00C54068"/>
    <w:rsid w:val="00C54085"/>
    <w:rsid w:val="00C54093"/>
    <w:rsid w:val="00C541A7"/>
    <w:rsid w:val="00C541C3"/>
    <w:rsid w:val="00C541DC"/>
    <w:rsid w:val="00C541EA"/>
    <w:rsid w:val="00C5430F"/>
    <w:rsid w:val="00C54311"/>
    <w:rsid w:val="00C54313"/>
    <w:rsid w:val="00C54335"/>
    <w:rsid w:val="00C543A9"/>
    <w:rsid w:val="00C543BD"/>
    <w:rsid w:val="00C54414"/>
    <w:rsid w:val="00C54434"/>
    <w:rsid w:val="00C544B1"/>
    <w:rsid w:val="00C544C6"/>
    <w:rsid w:val="00C54510"/>
    <w:rsid w:val="00C545CC"/>
    <w:rsid w:val="00C545E2"/>
    <w:rsid w:val="00C54618"/>
    <w:rsid w:val="00C54664"/>
    <w:rsid w:val="00C547DE"/>
    <w:rsid w:val="00C54800"/>
    <w:rsid w:val="00C5484E"/>
    <w:rsid w:val="00C54873"/>
    <w:rsid w:val="00C54945"/>
    <w:rsid w:val="00C549A9"/>
    <w:rsid w:val="00C549BD"/>
    <w:rsid w:val="00C549D1"/>
    <w:rsid w:val="00C54A3D"/>
    <w:rsid w:val="00C54A47"/>
    <w:rsid w:val="00C54A6E"/>
    <w:rsid w:val="00C54A83"/>
    <w:rsid w:val="00C54B7F"/>
    <w:rsid w:val="00C54BE2"/>
    <w:rsid w:val="00C54C33"/>
    <w:rsid w:val="00C54E52"/>
    <w:rsid w:val="00C54F68"/>
    <w:rsid w:val="00C5502A"/>
    <w:rsid w:val="00C550E5"/>
    <w:rsid w:val="00C5512D"/>
    <w:rsid w:val="00C5512F"/>
    <w:rsid w:val="00C55141"/>
    <w:rsid w:val="00C5514B"/>
    <w:rsid w:val="00C55199"/>
    <w:rsid w:val="00C551A4"/>
    <w:rsid w:val="00C55275"/>
    <w:rsid w:val="00C5530B"/>
    <w:rsid w:val="00C55366"/>
    <w:rsid w:val="00C5536B"/>
    <w:rsid w:val="00C55382"/>
    <w:rsid w:val="00C554D2"/>
    <w:rsid w:val="00C554E5"/>
    <w:rsid w:val="00C55560"/>
    <w:rsid w:val="00C555E2"/>
    <w:rsid w:val="00C55778"/>
    <w:rsid w:val="00C55851"/>
    <w:rsid w:val="00C55936"/>
    <w:rsid w:val="00C5596E"/>
    <w:rsid w:val="00C55A2F"/>
    <w:rsid w:val="00C55A4D"/>
    <w:rsid w:val="00C55B8B"/>
    <w:rsid w:val="00C55B94"/>
    <w:rsid w:val="00C55BAF"/>
    <w:rsid w:val="00C55F0A"/>
    <w:rsid w:val="00C56030"/>
    <w:rsid w:val="00C560A6"/>
    <w:rsid w:val="00C560F6"/>
    <w:rsid w:val="00C56141"/>
    <w:rsid w:val="00C56171"/>
    <w:rsid w:val="00C561A8"/>
    <w:rsid w:val="00C561BC"/>
    <w:rsid w:val="00C561FE"/>
    <w:rsid w:val="00C562A9"/>
    <w:rsid w:val="00C562EA"/>
    <w:rsid w:val="00C562EB"/>
    <w:rsid w:val="00C56322"/>
    <w:rsid w:val="00C5644C"/>
    <w:rsid w:val="00C564AC"/>
    <w:rsid w:val="00C564F1"/>
    <w:rsid w:val="00C564FC"/>
    <w:rsid w:val="00C5670D"/>
    <w:rsid w:val="00C56714"/>
    <w:rsid w:val="00C567B0"/>
    <w:rsid w:val="00C567CD"/>
    <w:rsid w:val="00C56856"/>
    <w:rsid w:val="00C5686B"/>
    <w:rsid w:val="00C568D2"/>
    <w:rsid w:val="00C56917"/>
    <w:rsid w:val="00C5696A"/>
    <w:rsid w:val="00C56970"/>
    <w:rsid w:val="00C56A05"/>
    <w:rsid w:val="00C56A3C"/>
    <w:rsid w:val="00C56B0F"/>
    <w:rsid w:val="00C56B9F"/>
    <w:rsid w:val="00C56BD2"/>
    <w:rsid w:val="00C56C36"/>
    <w:rsid w:val="00C56C46"/>
    <w:rsid w:val="00C56C74"/>
    <w:rsid w:val="00C56D2A"/>
    <w:rsid w:val="00C56D76"/>
    <w:rsid w:val="00C56DF2"/>
    <w:rsid w:val="00C56F69"/>
    <w:rsid w:val="00C56FC4"/>
    <w:rsid w:val="00C57082"/>
    <w:rsid w:val="00C570A9"/>
    <w:rsid w:val="00C570AF"/>
    <w:rsid w:val="00C570F0"/>
    <w:rsid w:val="00C5712F"/>
    <w:rsid w:val="00C57201"/>
    <w:rsid w:val="00C5726D"/>
    <w:rsid w:val="00C5728D"/>
    <w:rsid w:val="00C5747E"/>
    <w:rsid w:val="00C5755D"/>
    <w:rsid w:val="00C57575"/>
    <w:rsid w:val="00C5759B"/>
    <w:rsid w:val="00C575D1"/>
    <w:rsid w:val="00C57608"/>
    <w:rsid w:val="00C57634"/>
    <w:rsid w:val="00C57650"/>
    <w:rsid w:val="00C57686"/>
    <w:rsid w:val="00C576B9"/>
    <w:rsid w:val="00C5771E"/>
    <w:rsid w:val="00C57903"/>
    <w:rsid w:val="00C57917"/>
    <w:rsid w:val="00C579DC"/>
    <w:rsid w:val="00C579E7"/>
    <w:rsid w:val="00C57A10"/>
    <w:rsid w:val="00C57AC2"/>
    <w:rsid w:val="00C57C4F"/>
    <w:rsid w:val="00C57CC3"/>
    <w:rsid w:val="00C57D03"/>
    <w:rsid w:val="00C57D0A"/>
    <w:rsid w:val="00C57DA0"/>
    <w:rsid w:val="00C57DB7"/>
    <w:rsid w:val="00C57E2C"/>
    <w:rsid w:val="00C57F73"/>
    <w:rsid w:val="00C57FFE"/>
    <w:rsid w:val="00C6003B"/>
    <w:rsid w:val="00C60043"/>
    <w:rsid w:val="00C60071"/>
    <w:rsid w:val="00C6009C"/>
    <w:rsid w:val="00C600AD"/>
    <w:rsid w:val="00C60117"/>
    <w:rsid w:val="00C60133"/>
    <w:rsid w:val="00C601FA"/>
    <w:rsid w:val="00C601FE"/>
    <w:rsid w:val="00C6023C"/>
    <w:rsid w:val="00C60280"/>
    <w:rsid w:val="00C603CB"/>
    <w:rsid w:val="00C60521"/>
    <w:rsid w:val="00C60560"/>
    <w:rsid w:val="00C6056C"/>
    <w:rsid w:val="00C60592"/>
    <w:rsid w:val="00C605B5"/>
    <w:rsid w:val="00C606CA"/>
    <w:rsid w:val="00C60769"/>
    <w:rsid w:val="00C60826"/>
    <w:rsid w:val="00C60842"/>
    <w:rsid w:val="00C6097B"/>
    <w:rsid w:val="00C60A03"/>
    <w:rsid w:val="00C60A40"/>
    <w:rsid w:val="00C60A95"/>
    <w:rsid w:val="00C60B0E"/>
    <w:rsid w:val="00C60C58"/>
    <w:rsid w:val="00C60D25"/>
    <w:rsid w:val="00C60D57"/>
    <w:rsid w:val="00C60D7F"/>
    <w:rsid w:val="00C60E69"/>
    <w:rsid w:val="00C60EAB"/>
    <w:rsid w:val="00C60EF4"/>
    <w:rsid w:val="00C60EF6"/>
    <w:rsid w:val="00C60F5C"/>
    <w:rsid w:val="00C610E5"/>
    <w:rsid w:val="00C61106"/>
    <w:rsid w:val="00C6119F"/>
    <w:rsid w:val="00C6128F"/>
    <w:rsid w:val="00C612CA"/>
    <w:rsid w:val="00C61312"/>
    <w:rsid w:val="00C61319"/>
    <w:rsid w:val="00C613AF"/>
    <w:rsid w:val="00C6141E"/>
    <w:rsid w:val="00C6144B"/>
    <w:rsid w:val="00C6146A"/>
    <w:rsid w:val="00C614D2"/>
    <w:rsid w:val="00C61520"/>
    <w:rsid w:val="00C61530"/>
    <w:rsid w:val="00C61571"/>
    <w:rsid w:val="00C6158B"/>
    <w:rsid w:val="00C616C3"/>
    <w:rsid w:val="00C616F1"/>
    <w:rsid w:val="00C6176C"/>
    <w:rsid w:val="00C617D2"/>
    <w:rsid w:val="00C61888"/>
    <w:rsid w:val="00C6190C"/>
    <w:rsid w:val="00C61927"/>
    <w:rsid w:val="00C619C7"/>
    <w:rsid w:val="00C61A3C"/>
    <w:rsid w:val="00C61A9E"/>
    <w:rsid w:val="00C61B24"/>
    <w:rsid w:val="00C61BFB"/>
    <w:rsid w:val="00C61C2B"/>
    <w:rsid w:val="00C61CFE"/>
    <w:rsid w:val="00C61EAC"/>
    <w:rsid w:val="00C61F70"/>
    <w:rsid w:val="00C62084"/>
    <w:rsid w:val="00C620DA"/>
    <w:rsid w:val="00C620F7"/>
    <w:rsid w:val="00C621DB"/>
    <w:rsid w:val="00C62259"/>
    <w:rsid w:val="00C622BE"/>
    <w:rsid w:val="00C62388"/>
    <w:rsid w:val="00C62394"/>
    <w:rsid w:val="00C623EF"/>
    <w:rsid w:val="00C62453"/>
    <w:rsid w:val="00C624C7"/>
    <w:rsid w:val="00C624E0"/>
    <w:rsid w:val="00C624F0"/>
    <w:rsid w:val="00C625DA"/>
    <w:rsid w:val="00C6264C"/>
    <w:rsid w:val="00C626B2"/>
    <w:rsid w:val="00C62817"/>
    <w:rsid w:val="00C6283B"/>
    <w:rsid w:val="00C62866"/>
    <w:rsid w:val="00C628A3"/>
    <w:rsid w:val="00C628BF"/>
    <w:rsid w:val="00C6292F"/>
    <w:rsid w:val="00C6295A"/>
    <w:rsid w:val="00C629AE"/>
    <w:rsid w:val="00C629BF"/>
    <w:rsid w:val="00C62A9C"/>
    <w:rsid w:val="00C62B95"/>
    <w:rsid w:val="00C62C11"/>
    <w:rsid w:val="00C62D5C"/>
    <w:rsid w:val="00C62D61"/>
    <w:rsid w:val="00C62D6F"/>
    <w:rsid w:val="00C62EBE"/>
    <w:rsid w:val="00C62F29"/>
    <w:rsid w:val="00C63089"/>
    <w:rsid w:val="00C630C2"/>
    <w:rsid w:val="00C63183"/>
    <w:rsid w:val="00C6329D"/>
    <w:rsid w:val="00C63355"/>
    <w:rsid w:val="00C63389"/>
    <w:rsid w:val="00C633CD"/>
    <w:rsid w:val="00C63405"/>
    <w:rsid w:val="00C63425"/>
    <w:rsid w:val="00C6342E"/>
    <w:rsid w:val="00C6345F"/>
    <w:rsid w:val="00C6347A"/>
    <w:rsid w:val="00C63488"/>
    <w:rsid w:val="00C634A0"/>
    <w:rsid w:val="00C635D6"/>
    <w:rsid w:val="00C635E2"/>
    <w:rsid w:val="00C63615"/>
    <w:rsid w:val="00C6369F"/>
    <w:rsid w:val="00C636AB"/>
    <w:rsid w:val="00C636BD"/>
    <w:rsid w:val="00C636E3"/>
    <w:rsid w:val="00C63730"/>
    <w:rsid w:val="00C6374D"/>
    <w:rsid w:val="00C63787"/>
    <w:rsid w:val="00C63793"/>
    <w:rsid w:val="00C63806"/>
    <w:rsid w:val="00C6386A"/>
    <w:rsid w:val="00C63904"/>
    <w:rsid w:val="00C63AA3"/>
    <w:rsid w:val="00C63BA9"/>
    <w:rsid w:val="00C63E23"/>
    <w:rsid w:val="00C63E70"/>
    <w:rsid w:val="00C63E7E"/>
    <w:rsid w:val="00C63E92"/>
    <w:rsid w:val="00C63EDC"/>
    <w:rsid w:val="00C63F14"/>
    <w:rsid w:val="00C63FE3"/>
    <w:rsid w:val="00C64009"/>
    <w:rsid w:val="00C640E4"/>
    <w:rsid w:val="00C641C7"/>
    <w:rsid w:val="00C6423D"/>
    <w:rsid w:val="00C64248"/>
    <w:rsid w:val="00C64413"/>
    <w:rsid w:val="00C64427"/>
    <w:rsid w:val="00C6444A"/>
    <w:rsid w:val="00C6447B"/>
    <w:rsid w:val="00C644D0"/>
    <w:rsid w:val="00C644ED"/>
    <w:rsid w:val="00C64658"/>
    <w:rsid w:val="00C646AB"/>
    <w:rsid w:val="00C646AC"/>
    <w:rsid w:val="00C64713"/>
    <w:rsid w:val="00C6479B"/>
    <w:rsid w:val="00C6487A"/>
    <w:rsid w:val="00C648A6"/>
    <w:rsid w:val="00C64922"/>
    <w:rsid w:val="00C64A22"/>
    <w:rsid w:val="00C64A29"/>
    <w:rsid w:val="00C64AE7"/>
    <w:rsid w:val="00C64C35"/>
    <w:rsid w:val="00C64C5E"/>
    <w:rsid w:val="00C64DD1"/>
    <w:rsid w:val="00C64DE7"/>
    <w:rsid w:val="00C64E38"/>
    <w:rsid w:val="00C64E4B"/>
    <w:rsid w:val="00C64F1F"/>
    <w:rsid w:val="00C64FBC"/>
    <w:rsid w:val="00C64FF5"/>
    <w:rsid w:val="00C6502F"/>
    <w:rsid w:val="00C6509B"/>
    <w:rsid w:val="00C651AC"/>
    <w:rsid w:val="00C652FA"/>
    <w:rsid w:val="00C65317"/>
    <w:rsid w:val="00C6540E"/>
    <w:rsid w:val="00C65462"/>
    <w:rsid w:val="00C654C4"/>
    <w:rsid w:val="00C654FE"/>
    <w:rsid w:val="00C65505"/>
    <w:rsid w:val="00C65637"/>
    <w:rsid w:val="00C65651"/>
    <w:rsid w:val="00C65780"/>
    <w:rsid w:val="00C657EB"/>
    <w:rsid w:val="00C65897"/>
    <w:rsid w:val="00C658A8"/>
    <w:rsid w:val="00C658E7"/>
    <w:rsid w:val="00C6598B"/>
    <w:rsid w:val="00C659CD"/>
    <w:rsid w:val="00C65A36"/>
    <w:rsid w:val="00C65ACC"/>
    <w:rsid w:val="00C65AF9"/>
    <w:rsid w:val="00C65B63"/>
    <w:rsid w:val="00C65BBF"/>
    <w:rsid w:val="00C65C2E"/>
    <w:rsid w:val="00C65C6C"/>
    <w:rsid w:val="00C65CED"/>
    <w:rsid w:val="00C65D70"/>
    <w:rsid w:val="00C65E44"/>
    <w:rsid w:val="00C65EA8"/>
    <w:rsid w:val="00C65F03"/>
    <w:rsid w:val="00C65F18"/>
    <w:rsid w:val="00C65F84"/>
    <w:rsid w:val="00C65FD7"/>
    <w:rsid w:val="00C65FE7"/>
    <w:rsid w:val="00C6614F"/>
    <w:rsid w:val="00C6634C"/>
    <w:rsid w:val="00C663A7"/>
    <w:rsid w:val="00C663BD"/>
    <w:rsid w:val="00C66475"/>
    <w:rsid w:val="00C6657D"/>
    <w:rsid w:val="00C66591"/>
    <w:rsid w:val="00C66620"/>
    <w:rsid w:val="00C66628"/>
    <w:rsid w:val="00C6667E"/>
    <w:rsid w:val="00C666D5"/>
    <w:rsid w:val="00C6671A"/>
    <w:rsid w:val="00C667DF"/>
    <w:rsid w:val="00C6680D"/>
    <w:rsid w:val="00C668E6"/>
    <w:rsid w:val="00C668E9"/>
    <w:rsid w:val="00C66A22"/>
    <w:rsid w:val="00C66A2B"/>
    <w:rsid w:val="00C66AA6"/>
    <w:rsid w:val="00C66ABB"/>
    <w:rsid w:val="00C66B92"/>
    <w:rsid w:val="00C66BB5"/>
    <w:rsid w:val="00C66C22"/>
    <w:rsid w:val="00C66F6C"/>
    <w:rsid w:val="00C66F79"/>
    <w:rsid w:val="00C67052"/>
    <w:rsid w:val="00C670E8"/>
    <w:rsid w:val="00C671F2"/>
    <w:rsid w:val="00C671F8"/>
    <w:rsid w:val="00C67235"/>
    <w:rsid w:val="00C672A8"/>
    <w:rsid w:val="00C673C5"/>
    <w:rsid w:val="00C67462"/>
    <w:rsid w:val="00C6749E"/>
    <w:rsid w:val="00C67512"/>
    <w:rsid w:val="00C675C6"/>
    <w:rsid w:val="00C675CD"/>
    <w:rsid w:val="00C675EB"/>
    <w:rsid w:val="00C67650"/>
    <w:rsid w:val="00C6769E"/>
    <w:rsid w:val="00C676BB"/>
    <w:rsid w:val="00C676BF"/>
    <w:rsid w:val="00C676E9"/>
    <w:rsid w:val="00C676F8"/>
    <w:rsid w:val="00C677A3"/>
    <w:rsid w:val="00C67817"/>
    <w:rsid w:val="00C678FD"/>
    <w:rsid w:val="00C679CD"/>
    <w:rsid w:val="00C67ACA"/>
    <w:rsid w:val="00C67AE3"/>
    <w:rsid w:val="00C67B42"/>
    <w:rsid w:val="00C67B70"/>
    <w:rsid w:val="00C67BB3"/>
    <w:rsid w:val="00C67BCE"/>
    <w:rsid w:val="00C67D41"/>
    <w:rsid w:val="00C67E36"/>
    <w:rsid w:val="00C67F41"/>
    <w:rsid w:val="00C700D6"/>
    <w:rsid w:val="00C70104"/>
    <w:rsid w:val="00C70144"/>
    <w:rsid w:val="00C70199"/>
    <w:rsid w:val="00C70245"/>
    <w:rsid w:val="00C7030B"/>
    <w:rsid w:val="00C7035D"/>
    <w:rsid w:val="00C70539"/>
    <w:rsid w:val="00C705E1"/>
    <w:rsid w:val="00C70649"/>
    <w:rsid w:val="00C7069D"/>
    <w:rsid w:val="00C706FC"/>
    <w:rsid w:val="00C70737"/>
    <w:rsid w:val="00C70798"/>
    <w:rsid w:val="00C707AC"/>
    <w:rsid w:val="00C7082E"/>
    <w:rsid w:val="00C708D5"/>
    <w:rsid w:val="00C708D7"/>
    <w:rsid w:val="00C7096F"/>
    <w:rsid w:val="00C709A1"/>
    <w:rsid w:val="00C70B5C"/>
    <w:rsid w:val="00C70C59"/>
    <w:rsid w:val="00C70C72"/>
    <w:rsid w:val="00C70CC2"/>
    <w:rsid w:val="00C70DE0"/>
    <w:rsid w:val="00C70E7E"/>
    <w:rsid w:val="00C70EF7"/>
    <w:rsid w:val="00C70F09"/>
    <w:rsid w:val="00C70F6B"/>
    <w:rsid w:val="00C70FEE"/>
    <w:rsid w:val="00C71000"/>
    <w:rsid w:val="00C7106D"/>
    <w:rsid w:val="00C7118A"/>
    <w:rsid w:val="00C71205"/>
    <w:rsid w:val="00C71253"/>
    <w:rsid w:val="00C712A3"/>
    <w:rsid w:val="00C712AD"/>
    <w:rsid w:val="00C71386"/>
    <w:rsid w:val="00C71410"/>
    <w:rsid w:val="00C71414"/>
    <w:rsid w:val="00C71498"/>
    <w:rsid w:val="00C714A0"/>
    <w:rsid w:val="00C7155C"/>
    <w:rsid w:val="00C71697"/>
    <w:rsid w:val="00C716DF"/>
    <w:rsid w:val="00C7173A"/>
    <w:rsid w:val="00C71759"/>
    <w:rsid w:val="00C71774"/>
    <w:rsid w:val="00C71943"/>
    <w:rsid w:val="00C71AAB"/>
    <w:rsid w:val="00C71B39"/>
    <w:rsid w:val="00C71B5A"/>
    <w:rsid w:val="00C71C20"/>
    <w:rsid w:val="00C71CD5"/>
    <w:rsid w:val="00C71DDA"/>
    <w:rsid w:val="00C71EE8"/>
    <w:rsid w:val="00C722AF"/>
    <w:rsid w:val="00C722C9"/>
    <w:rsid w:val="00C72394"/>
    <w:rsid w:val="00C7239E"/>
    <w:rsid w:val="00C723D0"/>
    <w:rsid w:val="00C723EB"/>
    <w:rsid w:val="00C723F2"/>
    <w:rsid w:val="00C72448"/>
    <w:rsid w:val="00C724AD"/>
    <w:rsid w:val="00C724BB"/>
    <w:rsid w:val="00C724CF"/>
    <w:rsid w:val="00C724E8"/>
    <w:rsid w:val="00C72532"/>
    <w:rsid w:val="00C725FA"/>
    <w:rsid w:val="00C72618"/>
    <w:rsid w:val="00C72645"/>
    <w:rsid w:val="00C72715"/>
    <w:rsid w:val="00C727F9"/>
    <w:rsid w:val="00C7284C"/>
    <w:rsid w:val="00C728D8"/>
    <w:rsid w:val="00C72904"/>
    <w:rsid w:val="00C72A0B"/>
    <w:rsid w:val="00C72A20"/>
    <w:rsid w:val="00C72BA8"/>
    <w:rsid w:val="00C72C72"/>
    <w:rsid w:val="00C72D06"/>
    <w:rsid w:val="00C72D32"/>
    <w:rsid w:val="00C72D64"/>
    <w:rsid w:val="00C72D6E"/>
    <w:rsid w:val="00C72E1D"/>
    <w:rsid w:val="00C72E20"/>
    <w:rsid w:val="00C72E46"/>
    <w:rsid w:val="00C72F01"/>
    <w:rsid w:val="00C72F9C"/>
    <w:rsid w:val="00C73006"/>
    <w:rsid w:val="00C73030"/>
    <w:rsid w:val="00C730C6"/>
    <w:rsid w:val="00C7311A"/>
    <w:rsid w:val="00C73255"/>
    <w:rsid w:val="00C732F1"/>
    <w:rsid w:val="00C733CE"/>
    <w:rsid w:val="00C7341F"/>
    <w:rsid w:val="00C734B0"/>
    <w:rsid w:val="00C7351C"/>
    <w:rsid w:val="00C7354C"/>
    <w:rsid w:val="00C738EC"/>
    <w:rsid w:val="00C73946"/>
    <w:rsid w:val="00C73949"/>
    <w:rsid w:val="00C73A2F"/>
    <w:rsid w:val="00C73AE2"/>
    <w:rsid w:val="00C73B06"/>
    <w:rsid w:val="00C73BA0"/>
    <w:rsid w:val="00C73BDB"/>
    <w:rsid w:val="00C73C95"/>
    <w:rsid w:val="00C73CF1"/>
    <w:rsid w:val="00C73D08"/>
    <w:rsid w:val="00C73D55"/>
    <w:rsid w:val="00C73E6D"/>
    <w:rsid w:val="00C73EE1"/>
    <w:rsid w:val="00C73EEE"/>
    <w:rsid w:val="00C73F90"/>
    <w:rsid w:val="00C73FA5"/>
    <w:rsid w:val="00C74080"/>
    <w:rsid w:val="00C740A9"/>
    <w:rsid w:val="00C74107"/>
    <w:rsid w:val="00C7413D"/>
    <w:rsid w:val="00C741D2"/>
    <w:rsid w:val="00C741EE"/>
    <w:rsid w:val="00C7428F"/>
    <w:rsid w:val="00C74299"/>
    <w:rsid w:val="00C742D0"/>
    <w:rsid w:val="00C743D9"/>
    <w:rsid w:val="00C7444C"/>
    <w:rsid w:val="00C745A1"/>
    <w:rsid w:val="00C746AC"/>
    <w:rsid w:val="00C746D2"/>
    <w:rsid w:val="00C74747"/>
    <w:rsid w:val="00C7478F"/>
    <w:rsid w:val="00C74817"/>
    <w:rsid w:val="00C74923"/>
    <w:rsid w:val="00C74933"/>
    <w:rsid w:val="00C74981"/>
    <w:rsid w:val="00C74999"/>
    <w:rsid w:val="00C74A04"/>
    <w:rsid w:val="00C74B08"/>
    <w:rsid w:val="00C74B3E"/>
    <w:rsid w:val="00C74BBC"/>
    <w:rsid w:val="00C74BEF"/>
    <w:rsid w:val="00C74C71"/>
    <w:rsid w:val="00C74C7C"/>
    <w:rsid w:val="00C74CEE"/>
    <w:rsid w:val="00C74D2D"/>
    <w:rsid w:val="00C74D32"/>
    <w:rsid w:val="00C74D4E"/>
    <w:rsid w:val="00C74DA9"/>
    <w:rsid w:val="00C74DB0"/>
    <w:rsid w:val="00C74DB3"/>
    <w:rsid w:val="00C74EB6"/>
    <w:rsid w:val="00C74F46"/>
    <w:rsid w:val="00C74F66"/>
    <w:rsid w:val="00C7501F"/>
    <w:rsid w:val="00C7504D"/>
    <w:rsid w:val="00C7519A"/>
    <w:rsid w:val="00C751A4"/>
    <w:rsid w:val="00C751B1"/>
    <w:rsid w:val="00C75237"/>
    <w:rsid w:val="00C752AB"/>
    <w:rsid w:val="00C752FD"/>
    <w:rsid w:val="00C7534C"/>
    <w:rsid w:val="00C75387"/>
    <w:rsid w:val="00C753AB"/>
    <w:rsid w:val="00C75441"/>
    <w:rsid w:val="00C7548F"/>
    <w:rsid w:val="00C754D9"/>
    <w:rsid w:val="00C7561A"/>
    <w:rsid w:val="00C75678"/>
    <w:rsid w:val="00C75718"/>
    <w:rsid w:val="00C7573E"/>
    <w:rsid w:val="00C75778"/>
    <w:rsid w:val="00C757F3"/>
    <w:rsid w:val="00C7584C"/>
    <w:rsid w:val="00C75900"/>
    <w:rsid w:val="00C75915"/>
    <w:rsid w:val="00C75ACB"/>
    <w:rsid w:val="00C75C00"/>
    <w:rsid w:val="00C75CDE"/>
    <w:rsid w:val="00C75D2F"/>
    <w:rsid w:val="00C75DD0"/>
    <w:rsid w:val="00C75ED1"/>
    <w:rsid w:val="00C75EE9"/>
    <w:rsid w:val="00C75F04"/>
    <w:rsid w:val="00C75F62"/>
    <w:rsid w:val="00C75F9A"/>
    <w:rsid w:val="00C75F9C"/>
    <w:rsid w:val="00C75FDC"/>
    <w:rsid w:val="00C76029"/>
    <w:rsid w:val="00C76134"/>
    <w:rsid w:val="00C76245"/>
    <w:rsid w:val="00C76279"/>
    <w:rsid w:val="00C76321"/>
    <w:rsid w:val="00C763B1"/>
    <w:rsid w:val="00C763B4"/>
    <w:rsid w:val="00C76530"/>
    <w:rsid w:val="00C76600"/>
    <w:rsid w:val="00C766A4"/>
    <w:rsid w:val="00C766B8"/>
    <w:rsid w:val="00C76760"/>
    <w:rsid w:val="00C76837"/>
    <w:rsid w:val="00C7688B"/>
    <w:rsid w:val="00C768A8"/>
    <w:rsid w:val="00C769BF"/>
    <w:rsid w:val="00C769CF"/>
    <w:rsid w:val="00C76A08"/>
    <w:rsid w:val="00C76AC4"/>
    <w:rsid w:val="00C76AE4"/>
    <w:rsid w:val="00C76D6B"/>
    <w:rsid w:val="00C76DC9"/>
    <w:rsid w:val="00C76E7F"/>
    <w:rsid w:val="00C76E8E"/>
    <w:rsid w:val="00C76EAC"/>
    <w:rsid w:val="00C76EB6"/>
    <w:rsid w:val="00C76F03"/>
    <w:rsid w:val="00C76F0E"/>
    <w:rsid w:val="00C76F9B"/>
    <w:rsid w:val="00C76FDF"/>
    <w:rsid w:val="00C76FFA"/>
    <w:rsid w:val="00C7705B"/>
    <w:rsid w:val="00C77231"/>
    <w:rsid w:val="00C772A3"/>
    <w:rsid w:val="00C7730C"/>
    <w:rsid w:val="00C77345"/>
    <w:rsid w:val="00C77358"/>
    <w:rsid w:val="00C77371"/>
    <w:rsid w:val="00C773A5"/>
    <w:rsid w:val="00C773C8"/>
    <w:rsid w:val="00C77428"/>
    <w:rsid w:val="00C77480"/>
    <w:rsid w:val="00C77491"/>
    <w:rsid w:val="00C77492"/>
    <w:rsid w:val="00C774A0"/>
    <w:rsid w:val="00C7760A"/>
    <w:rsid w:val="00C7761A"/>
    <w:rsid w:val="00C77653"/>
    <w:rsid w:val="00C7770F"/>
    <w:rsid w:val="00C7774D"/>
    <w:rsid w:val="00C77799"/>
    <w:rsid w:val="00C777BF"/>
    <w:rsid w:val="00C77800"/>
    <w:rsid w:val="00C77889"/>
    <w:rsid w:val="00C77990"/>
    <w:rsid w:val="00C7799B"/>
    <w:rsid w:val="00C779FA"/>
    <w:rsid w:val="00C77B71"/>
    <w:rsid w:val="00C77BBA"/>
    <w:rsid w:val="00C77C09"/>
    <w:rsid w:val="00C77C2F"/>
    <w:rsid w:val="00C77CFF"/>
    <w:rsid w:val="00C77D83"/>
    <w:rsid w:val="00C77D8A"/>
    <w:rsid w:val="00C77DD2"/>
    <w:rsid w:val="00C77EE1"/>
    <w:rsid w:val="00C77F3D"/>
    <w:rsid w:val="00C77F68"/>
    <w:rsid w:val="00C77FAC"/>
    <w:rsid w:val="00C80049"/>
    <w:rsid w:val="00C800AC"/>
    <w:rsid w:val="00C8013D"/>
    <w:rsid w:val="00C80318"/>
    <w:rsid w:val="00C803C8"/>
    <w:rsid w:val="00C80516"/>
    <w:rsid w:val="00C805EF"/>
    <w:rsid w:val="00C805F8"/>
    <w:rsid w:val="00C806AF"/>
    <w:rsid w:val="00C806F2"/>
    <w:rsid w:val="00C80768"/>
    <w:rsid w:val="00C808C0"/>
    <w:rsid w:val="00C808D9"/>
    <w:rsid w:val="00C80973"/>
    <w:rsid w:val="00C80A1C"/>
    <w:rsid w:val="00C80A6D"/>
    <w:rsid w:val="00C80AB9"/>
    <w:rsid w:val="00C80B1D"/>
    <w:rsid w:val="00C80B49"/>
    <w:rsid w:val="00C80B87"/>
    <w:rsid w:val="00C80BB5"/>
    <w:rsid w:val="00C80CA2"/>
    <w:rsid w:val="00C80CC6"/>
    <w:rsid w:val="00C80D64"/>
    <w:rsid w:val="00C80E2A"/>
    <w:rsid w:val="00C80E53"/>
    <w:rsid w:val="00C80EA4"/>
    <w:rsid w:val="00C80EB8"/>
    <w:rsid w:val="00C80FDC"/>
    <w:rsid w:val="00C81016"/>
    <w:rsid w:val="00C810BD"/>
    <w:rsid w:val="00C810E5"/>
    <w:rsid w:val="00C8119A"/>
    <w:rsid w:val="00C81457"/>
    <w:rsid w:val="00C81477"/>
    <w:rsid w:val="00C8149A"/>
    <w:rsid w:val="00C815A4"/>
    <w:rsid w:val="00C8160B"/>
    <w:rsid w:val="00C81646"/>
    <w:rsid w:val="00C81696"/>
    <w:rsid w:val="00C816C4"/>
    <w:rsid w:val="00C816C7"/>
    <w:rsid w:val="00C81724"/>
    <w:rsid w:val="00C81739"/>
    <w:rsid w:val="00C817A1"/>
    <w:rsid w:val="00C817BA"/>
    <w:rsid w:val="00C8180F"/>
    <w:rsid w:val="00C81860"/>
    <w:rsid w:val="00C818C4"/>
    <w:rsid w:val="00C8198A"/>
    <w:rsid w:val="00C819B3"/>
    <w:rsid w:val="00C81A99"/>
    <w:rsid w:val="00C81AA7"/>
    <w:rsid w:val="00C81BC3"/>
    <w:rsid w:val="00C81BE9"/>
    <w:rsid w:val="00C81C64"/>
    <w:rsid w:val="00C81CF2"/>
    <w:rsid w:val="00C81DAB"/>
    <w:rsid w:val="00C81E4B"/>
    <w:rsid w:val="00C81E72"/>
    <w:rsid w:val="00C81E97"/>
    <w:rsid w:val="00C81EAF"/>
    <w:rsid w:val="00C81F1F"/>
    <w:rsid w:val="00C81F46"/>
    <w:rsid w:val="00C81F95"/>
    <w:rsid w:val="00C81FC2"/>
    <w:rsid w:val="00C82042"/>
    <w:rsid w:val="00C82049"/>
    <w:rsid w:val="00C820AB"/>
    <w:rsid w:val="00C8215D"/>
    <w:rsid w:val="00C821BC"/>
    <w:rsid w:val="00C821E4"/>
    <w:rsid w:val="00C82227"/>
    <w:rsid w:val="00C82275"/>
    <w:rsid w:val="00C823C3"/>
    <w:rsid w:val="00C82512"/>
    <w:rsid w:val="00C82761"/>
    <w:rsid w:val="00C82817"/>
    <w:rsid w:val="00C8283D"/>
    <w:rsid w:val="00C8289F"/>
    <w:rsid w:val="00C828F3"/>
    <w:rsid w:val="00C82997"/>
    <w:rsid w:val="00C82998"/>
    <w:rsid w:val="00C82AA1"/>
    <w:rsid w:val="00C82AC5"/>
    <w:rsid w:val="00C82AE9"/>
    <w:rsid w:val="00C82B4D"/>
    <w:rsid w:val="00C82C51"/>
    <w:rsid w:val="00C82CBF"/>
    <w:rsid w:val="00C82CC4"/>
    <w:rsid w:val="00C82CC8"/>
    <w:rsid w:val="00C82D2D"/>
    <w:rsid w:val="00C82D4B"/>
    <w:rsid w:val="00C82D73"/>
    <w:rsid w:val="00C82E0E"/>
    <w:rsid w:val="00C82E3D"/>
    <w:rsid w:val="00C82EA3"/>
    <w:rsid w:val="00C82F04"/>
    <w:rsid w:val="00C82F0B"/>
    <w:rsid w:val="00C82F21"/>
    <w:rsid w:val="00C83064"/>
    <w:rsid w:val="00C8307F"/>
    <w:rsid w:val="00C830EC"/>
    <w:rsid w:val="00C830EF"/>
    <w:rsid w:val="00C83114"/>
    <w:rsid w:val="00C83271"/>
    <w:rsid w:val="00C83406"/>
    <w:rsid w:val="00C83465"/>
    <w:rsid w:val="00C83475"/>
    <w:rsid w:val="00C83492"/>
    <w:rsid w:val="00C834D3"/>
    <w:rsid w:val="00C834D9"/>
    <w:rsid w:val="00C834E1"/>
    <w:rsid w:val="00C8354D"/>
    <w:rsid w:val="00C836D7"/>
    <w:rsid w:val="00C83751"/>
    <w:rsid w:val="00C837BC"/>
    <w:rsid w:val="00C837EA"/>
    <w:rsid w:val="00C8384E"/>
    <w:rsid w:val="00C83869"/>
    <w:rsid w:val="00C83885"/>
    <w:rsid w:val="00C83984"/>
    <w:rsid w:val="00C83A90"/>
    <w:rsid w:val="00C83A98"/>
    <w:rsid w:val="00C83ADE"/>
    <w:rsid w:val="00C83B54"/>
    <w:rsid w:val="00C83B74"/>
    <w:rsid w:val="00C83D47"/>
    <w:rsid w:val="00C83F4A"/>
    <w:rsid w:val="00C83F76"/>
    <w:rsid w:val="00C83FD0"/>
    <w:rsid w:val="00C84222"/>
    <w:rsid w:val="00C8423D"/>
    <w:rsid w:val="00C842AD"/>
    <w:rsid w:val="00C84323"/>
    <w:rsid w:val="00C84330"/>
    <w:rsid w:val="00C843A5"/>
    <w:rsid w:val="00C843F6"/>
    <w:rsid w:val="00C84425"/>
    <w:rsid w:val="00C8448A"/>
    <w:rsid w:val="00C845CB"/>
    <w:rsid w:val="00C84617"/>
    <w:rsid w:val="00C8473B"/>
    <w:rsid w:val="00C847CD"/>
    <w:rsid w:val="00C847E1"/>
    <w:rsid w:val="00C84887"/>
    <w:rsid w:val="00C848D5"/>
    <w:rsid w:val="00C848F0"/>
    <w:rsid w:val="00C849AA"/>
    <w:rsid w:val="00C849F9"/>
    <w:rsid w:val="00C84A1D"/>
    <w:rsid w:val="00C84A5B"/>
    <w:rsid w:val="00C84B06"/>
    <w:rsid w:val="00C84B34"/>
    <w:rsid w:val="00C84C31"/>
    <w:rsid w:val="00C84C32"/>
    <w:rsid w:val="00C84CA0"/>
    <w:rsid w:val="00C84DAE"/>
    <w:rsid w:val="00C84DC1"/>
    <w:rsid w:val="00C84DEF"/>
    <w:rsid w:val="00C84EC3"/>
    <w:rsid w:val="00C84F62"/>
    <w:rsid w:val="00C84F67"/>
    <w:rsid w:val="00C84F7F"/>
    <w:rsid w:val="00C84FA5"/>
    <w:rsid w:val="00C84FD8"/>
    <w:rsid w:val="00C84FE1"/>
    <w:rsid w:val="00C8506D"/>
    <w:rsid w:val="00C850DA"/>
    <w:rsid w:val="00C850FA"/>
    <w:rsid w:val="00C851AA"/>
    <w:rsid w:val="00C851C5"/>
    <w:rsid w:val="00C8524B"/>
    <w:rsid w:val="00C85260"/>
    <w:rsid w:val="00C852A8"/>
    <w:rsid w:val="00C85416"/>
    <w:rsid w:val="00C85433"/>
    <w:rsid w:val="00C8549B"/>
    <w:rsid w:val="00C85561"/>
    <w:rsid w:val="00C85598"/>
    <w:rsid w:val="00C858A8"/>
    <w:rsid w:val="00C85955"/>
    <w:rsid w:val="00C8597B"/>
    <w:rsid w:val="00C859B2"/>
    <w:rsid w:val="00C85A50"/>
    <w:rsid w:val="00C85A67"/>
    <w:rsid w:val="00C85AED"/>
    <w:rsid w:val="00C85BEE"/>
    <w:rsid w:val="00C85C24"/>
    <w:rsid w:val="00C85D75"/>
    <w:rsid w:val="00C85D80"/>
    <w:rsid w:val="00C85DE6"/>
    <w:rsid w:val="00C85E41"/>
    <w:rsid w:val="00C85EDE"/>
    <w:rsid w:val="00C85F2C"/>
    <w:rsid w:val="00C86009"/>
    <w:rsid w:val="00C86083"/>
    <w:rsid w:val="00C860C1"/>
    <w:rsid w:val="00C86130"/>
    <w:rsid w:val="00C86137"/>
    <w:rsid w:val="00C86194"/>
    <w:rsid w:val="00C861C5"/>
    <w:rsid w:val="00C861D7"/>
    <w:rsid w:val="00C86269"/>
    <w:rsid w:val="00C86334"/>
    <w:rsid w:val="00C86351"/>
    <w:rsid w:val="00C86369"/>
    <w:rsid w:val="00C8638F"/>
    <w:rsid w:val="00C863D9"/>
    <w:rsid w:val="00C86407"/>
    <w:rsid w:val="00C86410"/>
    <w:rsid w:val="00C8641A"/>
    <w:rsid w:val="00C86424"/>
    <w:rsid w:val="00C8644A"/>
    <w:rsid w:val="00C864DE"/>
    <w:rsid w:val="00C8667D"/>
    <w:rsid w:val="00C8668C"/>
    <w:rsid w:val="00C86736"/>
    <w:rsid w:val="00C867AE"/>
    <w:rsid w:val="00C8682C"/>
    <w:rsid w:val="00C86833"/>
    <w:rsid w:val="00C86859"/>
    <w:rsid w:val="00C8687C"/>
    <w:rsid w:val="00C86891"/>
    <w:rsid w:val="00C868E3"/>
    <w:rsid w:val="00C869ED"/>
    <w:rsid w:val="00C86B7E"/>
    <w:rsid w:val="00C86C4C"/>
    <w:rsid w:val="00C86CE3"/>
    <w:rsid w:val="00C86E21"/>
    <w:rsid w:val="00C86FA0"/>
    <w:rsid w:val="00C870A5"/>
    <w:rsid w:val="00C870CF"/>
    <w:rsid w:val="00C870FB"/>
    <w:rsid w:val="00C87206"/>
    <w:rsid w:val="00C87268"/>
    <w:rsid w:val="00C87270"/>
    <w:rsid w:val="00C872B8"/>
    <w:rsid w:val="00C87385"/>
    <w:rsid w:val="00C873F2"/>
    <w:rsid w:val="00C8759B"/>
    <w:rsid w:val="00C8759F"/>
    <w:rsid w:val="00C875BF"/>
    <w:rsid w:val="00C8760C"/>
    <w:rsid w:val="00C876E6"/>
    <w:rsid w:val="00C87729"/>
    <w:rsid w:val="00C877FC"/>
    <w:rsid w:val="00C87A85"/>
    <w:rsid w:val="00C87AD5"/>
    <w:rsid w:val="00C87B57"/>
    <w:rsid w:val="00C87BE3"/>
    <w:rsid w:val="00C87BF3"/>
    <w:rsid w:val="00C87C58"/>
    <w:rsid w:val="00C87C70"/>
    <w:rsid w:val="00C87C86"/>
    <w:rsid w:val="00C87CF0"/>
    <w:rsid w:val="00C87CF5"/>
    <w:rsid w:val="00C87D7A"/>
    <w:rsid w:val="00C87DB9"/>
    <w:rsid w:val="00C87DBD"/>
    <w:rsid w:val="00C87DFC"/>
    <w:rsid w:val="00C87E20"/>
    <w:rsid w:val="00C87E90"/>
    <w:rsid w:val="00C87EC6"/>
    <w:rsid w:val="00C87F07"/>
    <w:rsid w:val="00C90019"/>
    <w:rsid w:val="00C90085"/>
    <w:rsid w:val="00C9013A"/>
    <w:rsid w:val="00C901B2"/>
    <w:rsid w:val="00C901D5"/>
    <w:rsid w:val="00C901F8"/>
    <w:rsid w:val="00C902E6"/>
    <w:rsid w:val="00C9034C"/>
    <w:rsid w:val="00C903AA"/>
    <w:rsid w:val="00C9045A"/>
    <w:rsid w:val="00C90472"/>
    <w:rsid w:val="00C904A8"/>
    <w:rsid w:val="00C905BB"/>
    <w:rsid w:val="00C905F9"/>
    <w:rsid w:val="00C908D2"/>
    <w:rsid w:val="00C9093C"/>
    <w:rsid w:val="00C90A12"/>
    <w:rsid w:val="00C90BC8"/>
    <w:rsid w:val="00C90BCE"/>
    <w:rsid w:val="00C90C8B"/>
    <w:rsid w:val="00C90CD3"/>
    <w:rsid w:val="00C90D0C"/>
    <w:rsid w:val="00C90D13"/>
    <w:rsid w:val="00C90D3A"/>
    <w:rsid w:val="00C90E03"/>
    <w:rsid w:val="00C90F29"/>
    <w:rsid w:val="00C90F36"/>
    <w:rsid w:val="00C90F38"/>
    <w:rsid w:val="00C90F4D"/>
    <w:rsid w:val="00C90F8A"/>
    <w:rsid w:val="00C91025"/>
    <w:rsid w:val="00C9103D"/>
    <w:rsid w:val="00C91052"/>
    <w:rsid w:val="00C91139"/>
    <w:rsid w:val="00C9114C"/>
    <w:rsid w:val="00C91177"/>
    <w:rsid w:val="00C9120F"/>
    <w:rsid w:val="00C9124F"/>
    <w:rsid w:val="00C912A3"/>
    <w:rsid w:val="00C912C8"/>
    <w:rsid w:val="00C91319"/>
    <w:rsid w:val="00C913AD"/>
    <w:rsid w:val="00C913D7"/>
    <w:rsid w:val="00C913E1"/>
    <w:rsid w:val="00C9140D"/>
    <w:rsid w:val="00C9144D"/>
    <w:rsid w:val="00C9155D"/>
    <w:rsid w:val="00C915ED"/>
    <w:rsid w:val="00C9167B"/>
    <w:rsid w:val="00C9171B"/>
    <w:rsid w:val="00C91806"/>
    <w:rsid w:val="00C91950"/>
    <w:rsid w:val="00C91963"/>
    <w:rsid w:val="00C919EE"/>
    <w:rsid w:val="00C919F7"/>
    <w:rsid w:val="00C91ACD"/>
    <w:rsid w:val="00C91B23"/>
    <w:rsid w:val="00C91B29"/>
    <w:rsid w:val="00C91B5C"/>
    <w:rsid w:val="00C91B77"/>
    <w:rsid w:val="00C91BF6"/>
    <w:rsid w:val="00C91CB0"/>
    <w:rsid w:val="00C91CF9"/>
    <w:rsid w:val="00C91D09"/>
    <w:rsid w:val="00C91E79"/>
    <w:rsid w:val="00C91EFA"/>
    <w:rsid w:val="00C91F75"/>
    <w:rsid w:val="00C92138"/>
    <w:rsid w:val="00C921D6"/>
    <w:rsid w:val="00C921EC"/>
    <w:rsid w:val="00C92285"/>
    <w:rsid w:val="00C922BF"/>
    <w:rsid w:val="00C92445"/>
    <w:rsid w:val="00C92527"/>
    <w:rsid w:val="00C92558"/>
    <w:rsid w:val="00C9256F"/>
    <w:rsid w:val="00C92626"/>
    <w:rsid w:val="00C92639"/>
    <w:rsid w:val="00C92657"/>
    <w:rsid w:val="00C9268F"/>
    <w:rsid w:val="00C92763"/>
    <w:rsid w:val="00C92811"/>
    <w:rsid w:val="00C92A4F"/>
    <w:rsid w:val="00C92C27"/>
    <w:rsid w:val="00C92CD3"/>
    <w:rsid w:val="00C92D35"/>
    <w:rsid w:val="00C92DC5"/>
    <w:rsid w:val="00C92DCB"/>
    <w:rsid w:val="00C92EAE"/>
    <w:rsid w:val="00C92EDD"/>
    <w:rsid w:val="00C9301B"/>
    <w:rsid w:val="00C9315F"/>
    <w:rsid w:val="00C93176"/>
    <w:rsid w:val="00C93177"/>
    <w:rsid w:val="00C93179"/>
    <w:rsid w:val="00C93235"/>
    <w:rsid w:val="00C93256"/>
    <w:rsid w:val="00C932F6"/>
    <w:rsid w:val="00C933F8"/>
    <w:rsid w:val="00C9346C"/>
    <w:rsid w:val="00C9349D"/>
    <w:rsid w:val="00C9352A"/>
    <w:rsid w:val="00C93538"/>
    <w:rsid w:val="00C9356A"/>
    <w:rsid w:val="00C935DD"/>
    <w:rsid w:val="00C936A8"/>
    <w:rsid w:val="00C938B4"/>
    <w:rsid w:val="00C939B3"/>
    <w:rsid w:val="00C93A1E"/>
    <w:rsid w:val="00C93A57"/>
    <w:rsid w:val="00C93A7E"/>
    <w:rsid w:val="00C93AB5"/>
    <w:rsid w:val="00C93ADA"/>
    <w:rsid w:val="00C93B08"/>
    <w:rsid w:val="00C93CE8"/>
    <w:rsid w:val="00C93D0B"/>
    <w:rsid w:val="00C93DCF"/>
    <w:rsid w:val="00C93E61"/>
    <w:rsid w:val="00C93F02"/>
    <w:rsid w:val="00C93F42"/>
    <w:rsid w:val="00C93FD5"/>
    <w:rsid w:val="00C93FFF"/>
    <w:rsid w:val="00C94000"/>
    <w:rsid w:val="00C94031"/>
    <w:rsid w:val="00C94086"/>
    <w:rsid w:val="00C94130"/>
    <w:rsid w:val="00C94277"/>
    <w:rsid w:val="00C9430D"/>
    <w:rsid w:val="00C943BF"/>
    <w:rsid w:val="00C94433"/>
    <w:rsid w:val="00C9458D"/>
    <w:rsid w:val="00C94590"/>
    <w:rsid w:val="00C94595"/>
    <w:rsid w:val="00C945B5"/>
    <w:rsid w:val="00C945F7"/>
    <w:rsid w:val="00C94623"/>
    <w:rsid w:val="00C9486D"/>
    <w:rsid w:val="00C94925"/>
    <w:rsid w:val="00C94934"/>
    <w:rsid w:val="00C949A2"/>
    <w:rsid w:val="00C94A67"/>
    <w:rsid w:val="00C94A6E"/>
    <w:rsid w:val="00C94BD7"/>
    <w:rsid w:val="00C94BE6"/>
    <w:rsid w:val="00C94C8E"/>
    <w:rsid w:val="00C94C92"/>
    <w:rsid w:val="00C94C9A"/>
    <w:rsid w:val="00C94DB0"/>
    <w:rsid w:val="00C94F06"/>
    <w:rsid w:val="00C950F8"/>
    <w:rsid w:val="00C951C6"/>
    <w:rsid w:val="00C95244"/>
    <w:rsid w:val="00C9524D"/>
    <w:rsid w:val="00C952B9"/>
    <w:rsid w:val="00C952DC"/>
    <w:rsid w:val="00C952E6"/>
    <w:rsid w:val="00C95354"/>
    <w:rsid w:val="00C953A3"/>
    <w:rsid w:val="00C953AF"/>
    <w:rsid w:val="00C953D5"/>
    <w:rsid w:val="00C95536"/>
    <w:rsid w:val="00C9555B"/>
    <w:rsid w:val="00C955EB"/>
    <w:rsid w:val="00C95706"/>
    <w:rsid w:val="00C95707"/>
    <w:rsid w:val="00C95773"/>
    <w:rsid w:val="00C9580A"/>
    <w:rsid w:val="00C9586E"/>
    <w:rsid w:val="00C958FB"/>
    <w:rsid w:val="00C959E5"/>
    <w:rsid w:val="00C95A18"/>
    <w:rsid w:val="00C95B8D"/>
    <w:rsid w:val="00C95BBA"/>
    <w:rsid w:val="00C95BEB"/>
    <w:rsid w:val="00C95C72"/>
    <w:rsid w:val="00C95CCF"/>
    <w:rsid w:val="00C95CD4"/>
    <w:rsid w:val="00C95D0E"/>
    <w:rsid w:val="00C95D7F"/>
    <w:rsid w:val="00C95EAD"/>
    <w:rsid w:val="00C95EDB"/>
    <w:rsid w:val="00C95EF0"/>
    <w:rsid w:val="00C95F31"/>
    <w:rsid w:val="00C95FBF"/>
    <w:rsid w:val="00C95FF1"/>
    <w:rsid w:val="00C95FF9"/>
    <w:rsid w:val="00C96033"/>
    <w:rsid w:val="00C9603E"/>
    <w:rsid w:val="00C9606C"/>
    <w:rsid w:val="00C96114"/>
    <w:rsid w:val="00C96143"/>
    <w:rsid w:val="00C96158"/>
    <w:rsid w:val="00C9619F"/>
    <w:rsid w:val="00C961EE"/>
    <w:rsid w:val="00C96288"/>
    <w:rsid w:val="00C96331"/>
    <w:rsid w:val="00C963AD"/>
    <w:rsid w:val="00C96420"/>
    <w:rsid w:val="00C96486"/>
    <w:rsid w:val="00C9649F"/>
    <w:rsid w:val="00C964B7"/>
    <w:rsid w:val="00C966BF"/>
    <w:rsid w:val="00C9673C"/>
    <w:rsid w:val="00C96744"/>
    <w:rsid w:val="00C9675D"/>
    <w:rsid w:val="00C96785"/>
    <w:rsid w:val="00C967E4"/>
    <w:rsid w:val="00C967FF"/>
    <w:rsid w:val="00C968A2"/>
    <w:rsid w:val="00C968A9"/>
    <w:rsid w:val="00C968C7"/>
    <w:rsid w:val="00C969A4"/>
    <w:rsid w:val="00C969A7"/>
    <w:rsid w:val="00C969D7"/>
    <w:rsid w:val="00C969E2"/>
    <w:rsid w:val="00C96ADD"/>
    <w:rsid w:val="00C96AF6"/>
    <w:rsid w:val="00C96B00"/>
    <w:rsid w:val="00C96B4B"/>
    <w:rsid w:val="00C96C15"/>
    <w:rsid w:val="00C96D09"/>
    <w:rsid w:val="00C96D44"/>
    <w:rsid w:val="00C96D87"/>
    <w:rsid w:val="00C96E01"/>
    <w:rsid w:val="00C96E39"/>
    <w:rsid w:val="00C96E97"/>
    <w:rsid w:val="00C96FB2"/>
    <w:rsid w:val="00C96FBA"/>
    <w:rsid w:val="00C97079"/>
    <w:rsid w:val="00C970F6"/>
    <w:rsid w:val="00C970F8"/>
    <w:rsid w:val="00C971D3"/>
    <w:rsid w:val="00C97204"/>
    <w:rsid w:val="00C972FD"/>
    <w:rsid w:val="00C97418"/>
    <w:rsid w:val="00C97468"/>
    <w:rsid w:val="00C97471"/>
    <w:rsid w:val="00C9766B"/>
    <w:rsid w:val="00C9767F"/>
    <w:rsid w:val="00C9768B"/>
    <w:rsid w:val="00C9777A"/>
    <w:rsid w:val="00C97789"/>
    <w:rsid w:val="00C97802"/>
    <w:rsid w:val="00C9781F"/>
    <w:rsid w:val="00C97841"/>
    <w:rsid w:val="00C9792C"/>
    <w:rsid w:val="00C97982"/>
    <w:rsid w:val="00C979CC"/>
    <w:rsid w:val="00C97A28"/>
    <w:rsid w:val="00C97A30"/>
    <w:rsid w:val="00C97A39"/>
    <w:rsid w:val="00C97AB4"/>
    <w:rsid w:val="00C97BC4"/>
    <w:rsid w:val="00C97C23"/>
    <w:rsid w:val="00C97C2F"/>
    <w:rsid w:val="00C97C69"/>
    <w:rsid w:val="00C97C7E"/>
    <w:rsid w:val="00C97D29"/>
    <w:rsid w:val="00C97E34"/>
    <w:rsid w:val="00C97E51"/>
    <w:rsid w:val="00C97E88"/>
    <w:rsid w:val="00C97ECD"/>
    <w:rsid w:val="00C97F81"/>
    <w:rsid w:val="00CA0098"/>
    <w:rsid w:val="00CA00ED"/>
    <w:rsid w:val="00CA013D"/>
    <w:rsid w:val="00CA0293"/>
    <w:rsid w:val="00CA03E7"/>
    <w:rsid w:val="00CA04CE"/>
    <w:rsid w:val="00CA051F"/>
    <w:rsid w:val="00CA069D"/>
    <w:rsid w:val="00CA06DE"/>
    <w:rsid w:val="00CA0700"/>
    <w:rsid w:val="00CA07AF"/>
    <w:rsid w:val="00CA08EA"/>
    <w:rsid w:val="00CA0976"/>
    <w:rsid w:val="00CA09C6"/>
    <w:rsid w:val="00CA0AE2"/>
    <w:rsid w:val="00CA0B54"/>
    <w:rsid w:val="00CA0BA5"/>
    <w:rsid w:val="00CA0D15"/>
    <w:rsid w:val="00CA0DC4"/>
    <w:rsid w:val="00CA0E1C"/>
    <w:rsid w:val="00CA0F08"/>
    <w:rsid w:val="00CA0F78"/>
    <w:rsid w:val="00CA0FBA"/>
    <w:rsid w:val="00CA0FC4"/>
    <w:rsid w:val="00CA0FEF"/>
    <w:rsid w:val="00CA0FFC"/>
    <w:rsid w:val="00CA10BE"/>
    <w:rsid w:val="00CA1155"/>
    <w:rsid w:val="00CA1193"/>
    <w:rsid w:val="00CA1197"/>
    <w:rsid w:val="00CA11BF"/>
    <w:rsid w:val="00CA12FB"/>
    <w:rsid w:val="00CA137D"/>
    <w:rsid w:val="00CA1405"/>
    <w:rsid w:val="00CA145B"/>
    <w:rsid w:val="00CA1679"/>
    <w:rsid w:val="00CA16D6"/>
    <w:rsid w:val="00CA16D8"/>
    <w:rsid w:val="00CA16E9"/>
    <w:rsid w:val="00CA1775"/>
    <w:rsid w:val="00CA1779"/>
    <w:rsid w:val="00CA17FD"/>
    <w:rsid w:val="00CA180D"/>
    <w:rsid w:val="00CA18A4"/>
    <w:rsid w:val="00CA18A5"/>
    <w:rsid w:val="00CA1A6F"/>
    <w:rsid w:val="00CA1AEC"/>
    <w:rsid w:val="00CA1B29"/>
    <w:rsid w:val="00CA1BBE"/>
    <w:rsid w:val="00CA1C6B"/>
    <w:rsid w:val="00CA1C74"/>
    <w:rsid w:val="00CA1DB7"/>
    <w:rsid w:val="00CA1E12"/>
    <w:rsid w:val="00CA1EAD"/>
    <w:rsid w:val="00CA1EF5"/>
    <w:rsid w:val="00CA1F01"/>
    <w:rsid w:val="00CA1F1F"/>
    <w:rsid w:val="00CA1F2B"/>
    <w:rsid w:val="00CA1F6D"/>
    <w:rsid w:val="00CA1FE1"/>
    <w:rsid w:val="00CA2009"/>
    <w:rsid w:val="00CA201E"/>
    <w:rsid w:val="00CA2082"/>
    <w:rsid w:val="00CA2175"/>
    <w:rsid w:val="00CA2499"/>
    <w:rsid w:val="00CA24D3"/>
    <w:rsid w:val="00CA25CB"/>
    <w:rsid w:val="00CA2657"/>
    <w:rsid w:val="00CA265A"/>
    <w:rsid w:val="00CA2676"/>
    <w:rsid w:val="00CA26A7"/>
    <w:rsid w:val="00CA272C"/>
    <w:rsid w:val="00CA2785"/>
    <w:rsid w:val="00CA278D"/>
    <w:rsid w:val="00CA279E"/>
    <w:rsid w:val="00CA2876"/>
    <w:rsid w:val="00CA28D0"/>
    <w:rsid w:val="00CA2920"/>
    <w:rsid w:val="00CA293F"/>
    <w:rsid w:val="00CA2944"/>
    <w:rsid w:val="00CA297F"/>
    <w:rsid w:val="00CA2B1B"/>
    <w:rsid w:val="00CA2B23"/>
    <w:rsid w:val="00CA2B4E"/>
    <w:rsid w:val="00CA2B95"/>
    <w:rsid w:val="00CA2BB9"/>
    <w:rsid w:val="00CA2C09"/>
    <w:rsid w:val="00CA2CFB"/>
    <w:rsid w:val="00CA2D22"/>
    <w:rsid w:val="00CA2D2F"/>
    <w:rsid w:val="00CA2D65"/>
    <w:rsid w:val="00CA2D70"/>
    <w:rsid w:val="00CA2EA2"/>
    <w:rsid w:val="00CA2EA6"/>
    <w:rsid w:val="00CA2F1F"/>
    <w:rsid w:val="00CA30C5"/>
    <w:rsid w:val="00CA3225"/>
    <w:rsid w:val="00CA32D9"/>
    <w:rsid w:val="00CA32FD"/>
    <w:rsid w:val="00CA3327"/>
    <w:rsid w:val="00CA339C"/>
    <w:rsid w:val="00CA33FF"/>
    <w:rsid w:val="00CA34E0"/>
    <w:rsid w:val="00CA35A3"/>
    <w:rsid w:val="00CA3679"/>
    <w:rsid w:val="00CA369E"/>
    <w:rsid w:val="00CA36DD"/>
    <w:rsid w:val="00CA3771"/>
    <w:rsid w:val="00CA3781"/>
    <w:rsid w:val="00CA37BE"/>
    <w:rsid w:val="00CA3857"/>
    <w:rsid w:val="00CA386F"/>
    <w:rsid w:val="00CA38AF"/>
    <w:rsid w:val="00CA38FE"/>
    <w:rsid w:val="00CA3938"/>
    <w:rsid w:val="00CA393A"/>
    <w:rsid w:val="00CA396A"/>
    <w:rsid w:val="00CA39A2"/>
    <w:rsid w:val="00CA39DD"/>
    <w:rsid w:val="00CA3A4F"/>
    <w:rsid w:val="00CA3A99"/>
    <w:rsid w:val="00CA3AD3"/>
    <w:rsid w:val="00CA3BAF"/>
    <w:rsid w:val="00CA3D03"/>
    <w:rsid w:val="00CA3DCC"/>
    <w:rsid w:val="00CA3F5E"/>
    <w:rsid w:val="00CA4140"/>
    <w:rsid w:val="00CA4150"/>
    <w:rsid w:val="00CA4158"/>
    <w:rsid w:val="00CA4206"/>
    <w:rsid w:val="00CA42A8"/>
    <w:rsid w:val="00CA42BD"/>
    <w:rsid w:val="00CA4309"/>
    <w:rsid w:val="00CA4318"/>
    <w:rsid w:val="00CA4446"/>
    <w:rsid w:val="00CA44CC"/>
    <w:rsid w:val="00CA46CD"/>
    <w:rsid w:val="00CA471F"/>
    <w:rsid w:val="00CA47A1"/>
    <w:rsid w:val="00CA49AD"/>
    <w:rsid w:val="00CA4A38"/>
    <w:rsid w:val="00CA4AF9"/>
    <w:rsid w:val="00CA4BA4"/>
    <w:rsid w:val="00CA4BAD"/>
    <w:rsid w:val="00CA4D87"/>
    <w:rsid w:val="00CA4E9E"/>
    <w:rsid w:val="00CA4EDC"/>
    <w:rsid w:val="00CA4EE0"/>
    <w:rsid w:val="00CA4FB2"/>
    <w:rsid w:val="00CA5043"/>
    <w:rsid w:val="00CA504C"/>
    <w:rsid w:val="00CA5160"/>
    <w:rsid w:val="00CA51CD"/>
    <w:rsid w:val="00CA5234"/>
    <w:rsid w:val="00CA5237"/>
    <w:rsid w:val="00CA5264"/>
    <w:rsid w:val="00CA5275"/>
    <w:rsid w:val="00CA529E"/>
    <w:rsid w:val="00CA52B3"/>
    <w:rsid w:val="00CA52B5"/>
    <w:rsid w:val="00CA52D7"/>
    <w:rsid w:val="00CA52F4"/>
    <w:rsid w:val="00CA532C"/>
    <w:rsid w:val="00CA53A0"/>
    <w:rsid w:val="00CA55D4"/>
    <w:rsid w:val="00CA55E4"/>
    <w:rsid w:val="00CA56DE"/>
    <w:rsid w:val="00CA56F8"/>
    <w:rsid w:val="00CA5739"/>
    <w:rsid w:val="00CA579C"/>
    <w:rsid w:val="00CA57C8"/>
    <w:rsid w:val="00CA5985"/>
    <w:rsid w:val="00CA59AD"/>
    <w:rsid w:val="00CA5A28"/>
    <w:rsid w:val="00CA5A43"/>
    <w:rsid w:val="00CA5C41"/>
    <w:rsid w:val="00CA5C4E"/>
    <w:rsid w:val="00CA5D04"/>
    <w:rsid w:val="00CA5E7B"/>
    <w:rsid w:val="00CA5F2C"/>
    <w:rsid w:val="00CA5F59"/>
    <w:rsid w:val="00CA6045"/>
    <w:rsid w:val="00CA60E0"/>
    <w:rsid w:val="00CA6136"/>
    <w:rsid w:val="00CA6167"/>
    <w:rsid w:val="00CA62E3"/>
    <w:rsid w:val="00CA6301"/>
    <w:rsid w:val="00CA633E"/>
    <w:rsid w:val="00CA64AA"/>
    <w:rsid w:val="00CA64F4"/>
    <w:rsid w:val="00CA64FD"/>
    <w:rsid w:val="00CA6579"/>
    <w:rsid w:val="00CA65D4"/>
    <w:rsid w:val="00CA6795"/>
    <w:rsid w:val="00CA67FD"/>
    <w:rsid w:val="00CA68E5"/>
    <w:rsid w:val="00CA6996"/>
    <w:rsid w:val="00CA69C0"/>
    <w:rsid w:val="00CA6A44"/>
    <w:rsid w:val="00CA6A69"/>
    <w:rsid w:val="00CA6C0B"/>
    <w:rsid w:val="00CA6CC1"/>
    <w:rsid w:val="00CA6D1F"/>
    <w:rsid w:val="00CA6D92"/>
    <w:rsid w:val="00CA6DB5"/>
    <w:rsid w:val="00CA6E95"/>
    <w:rsid w:val="00CA6F5A"/>
    <w:rsid w:val="00CA6FC7"/>
    <w:rsid w:val="00CA707E"/>
    <w:rsid w:val="00CA7151"/>
    <w:rsid w:val="00CA7161"/>
    <w:rsid w:val="00CA718E"/>
    <w:rsid w:val="00CA7355"/>
    <w:rsid w:val="00CA73C4"/>
    <w:rsid w:val="00CA73C9"/>
    <w:rsid w:val="00CA73EE"/>
    <w:rsid w:val="00CA74AF"/>
    <w:rsid w:val="00CA74D9"/>
    <w:rsid w:val="00CA7593"/>
    <w:rsid w:val="00CA7619"/>
    <w:rsid w:val="00CA763C"/>
    <w:rsid w:val="00CA7646"/>
    <w:rsid w:val="00CA7694"/>
    <w:rsid w:val="00CA76AE"/>
    <w:rsid w:val="00CA76FA"/>
    <w:rsid w:val="00CA774F"/>
    <w:rsid w:val="00CA7783"/>
    <w:rsid w:val="00CA77D9"/>
    <w:rsid w:val="00CA77F1"/>
    <w:rsid w:val="00CA781E"/>
    <w:rsid w:val="00CA782E"/>
    <w:rsid w:val="00CA78D6"/>
    <w:rsid w:val="00CA7904"/>
    <w:rsid w:val="00CA79A6"/>
    <w:rsid w:val="00CA79BF"/>
    <w:rsid w:val="00CA79DA"/>
    <w:rsid w:val="00CA7A02"/>
    <w:rsid w:val="00CA7AFB"/>
    <w:rsid w:val="00CA7B05"/>
    <w:rsid w:val="00CA7CB1"/>
    <w:rsid w:val="00CA7CBB"/>
    <w:rsid w:val="00CA7EFD"/>
    <w:rsid w:val="00CA7F34"/>
    <w:rsid w:val="00CA7F8B"/>
    <w:rsid w:val="00CA7FD2"/>
    <w:rsid w:val="00CA7FD3"/>
    <w:rsid w:val="00CA7FE7"/>
    <w:rsid w:val="00CB0003"/>
    <w:rsid w:val="00CB001E"/>
    <w:rsid w:val="00CB004E"/>
    <w:rsid w:val="00CB0186"/>
    <w:rsid w:val="00CB01BB"/>
    <w:rsid w:val="00CB01DC"/>
    <w:rsid w:val="00CB0264"/>
    <w:rsid w:val="00CB026D"/>
    <w:rsid w:val="00CB038D"/>
    <w:rsid w:val="00CB03D0"/>
    <w:rsid w:val="00CB03E7"/>
    <w:rsid w:val="00CB03F7"/>
    <w:rsid w:val="00CB050D"/>
    <w:rsid w:val="00CB0587"/>
    <w:rsid w:val="00CB05B8"/>
    <w:rsid w:val="00CB0646"/>
    <w:rsid w:val="00CB06CF"/>
    <w:rsid w:val="00CB06D6"/>
    <w:rsid w:val="00CB0709"/>
    <w:rsid w:val="00CB08AE"/>
    <w:rsid w:val="00CB0A23"/>
    <w:rsid w:val="00CB0A68"/>
    <w:rsid w:val="00CB0A78"/>
    <w:rsid w:val="00CB0B06"/>
    <w:rsid w:val="00CB0B98"/>
    <w:rsid w:val="00CB0C3A"/>
    <w:rsid w:val="00CB0C5E"/>
    <w:rsid w:val="00CB0D5A"/>
    <w:rsid w:val="00CB0DA1"/>
    <w:rsid w:val="00CB0DC4"/>
    <w:rsid w:val="00CB0E1D"/>
    <w:rsid w:val="00CB0EAC"/>
    <w:rsid w:val="00CB0EC5"/>
    <w:rsid w:val="00CB0F4A"/>
    <w:rsid w:val="00CB0F5A"/>
    <w:rsid w:val="00CB0F63"/>
    <w:rsid w:val="00CB1069"/>
    <w:rsid w:val="00CB1172"/>
    <w:rsid w:val="00CB1183"/>
    <w:rsid w:val="00CB127A"/>
    <w:rsid w:val="00CB12F7"/>
    <w:rsid w:val="00CB149B"/>
    <w:rsid w:val="00CB14A0"/>
    <w:rsid w:val="00CB14B1"/>
    <w:rsid w:val="00CB160B"/>
    <w:rsid w:val="00CB16CF"/>
    <w:rsid w:val="00CB1714"/>
    <w:rsid w:val="00CB1726"/>
    <w:rsid w:val="00CB1825"/>
    <w:rsid w:val="00CB1829"/>
    <w:rsid w:val="00CB18D7"/>
    <w:rsid w:val="00CB18F9"/>
    <w:rsid w:val="00CB1A70"/>
    <w:rsid w:val="00CB1A96"/>
    <w:rsid w:val="00CB1AA3"/>
    <w:rsid w:val="00CB1AAC"/>
    <w:rsid w:val="00CB1AFB"/>
    <w:rsid w:val="00CB1B0F"/>
    <w:rsid w:val="00CB1B98"/>
    <w:rsid w:val="00CB1BC4"/>
    <w:rsid w:val="00CB1C46"/>
    <w:rsid w:val="00CB1C6E"/>
    <w:rsid w:val="00CB1DB2"/>
    <w:rsid w:val="00CB1E96"/>
    <w:rsid w:val="00CB1EB2"/>
    <w:rsid w:val="00CB1F21"/>
    <w:rsid w:val="00CB2107"/>
    <w:rsid w:val="00CB2172"/>
    <w:rsid w:val="00CB21E3"/>
    <w:rsid w:val="00CB2202"/>
    <w:rsid w:val="00CB2282"/>
    <w:rsid w:val="00CB22C8"/>
    <w:rsid w:val="00CB22E2"/>
    <w:rsid w:val="00CB2336"/>
    <w:rsid w:val="00CB23B2"/>
    <w:rsid w:val="00CB23D2"/>
    <w:rsid w:val="00CB23F5"/>
    <w:rsid w:val="00CB246E"/>
    <w:rsid w:val="00CB24F2"/>
    <w:rsid w:val="00CB2575"/>
    <w:rsid w:val="00CB25A0"/>
    <w:rsid w:val="00CB2739"/>
    <w:rsid w:val="00CB2788"/>
    <w:rsid w:val="00CB27D8"/>
    <w:rsid w:val="00CB282E"/>
    <w:rsid w:val="00CB289B"/>
    <w:rsid w:val="00CB28DE"/>
    <w:rsid w:val="00CB2922"/>
    <w:rsid w:val="00CB29CF"/>
    <w:rsid w:val="00CB29E4"/>
    <w:rsid w:val="00CB2A7A"/>
    <w:rsid w:val="00CB2AF6"/>
    <w:rsid w:val="00CB2B1E"/>
    <w:rsid w:val="00CB2B46"/>
    <w:rsid w:val="00CB2BE5"/>
    <w:rsid w:val="00CB2BFB"/>
    <w:rsid w:val="00CB2C0F"/>
    <w:rsid w:val="00CB2C43"/>
    <w:rsid w:val="00CB2C9B"/>
    <w:rsid w:val="00CB2CB9"/>
    <w:rsid w:val="00CB2CE9"/>
    <w:rsid w:val="00CB2CEE"/>
    <w:rsid w:val="00CB2D78"/>
    <w:rsid w:val="00CB2E59"/>
    <w:rsid w:val="00CB2E9A"/>
    <w:rsid w:val="00CB2ED0"/>
    <w:rsid w:val="00CB2F54"/>
    <w:rsid w:val="00CB305D"/>
    <w:rsid w:val="00CB320A"/>
    <w:rsid w:val="00CB3317"/>
    <w:rsid w:val="00CB3369"/>
    <w:rsid w:val="00CB34C3"/>
    <w:rsid w:val="00CB3516"/>
    <w:rsid w:val="00CB3657"/>
    <w:rsid w:val="00CB3660"/>
    <w:rsid w:val="00CB36E9"/>
    <w:rsid w:val="00CB3823"/>
    <w:rsid w:val="00CB3901"/>
    <w:rsid w:val="00CB3964"/>
    <w:rsid w:val="00CB39D1"/>
    <w:rsid w:val="00CB3BF0"/>
    <w:rsid w:val="00CB3D34"/>
    <w:rsid w:val="00CB3DC8"/>
    <w:rsid w:val="00CB3E67"/>
    <w:rsid w:val="00CB3E6B"/>
    <w:rsid w:val="00CB3E78"/>
    <w:rsid w:val="00CB3E99"/>
    <w:rsid w:val="00CB3E9A"/>
    <w:rsid w:val="00CB3EC9"/>
    <w:rsid w:val="00CB3EDE"/>
    <w:rsid w:val="00CB3F04"/>
    <w:rsid w:val="00CB3FAB"/>
    <w:rsid w:val="00CB3FEB"/>
    <w:rsid w:val="00CB4072"/>
    <w:rsid w:val="00CB4076"/>
    <w:rsid w:val="00CB4172"/>
    <w:rsid w:val="00CB4191"/>
    <w:rsid w:val="00CB4406"/>
    <w:rsid w:val="00CB44F2"/>
    <w:rsid w:val="00CB451D"/>
    <w:rsid w:val="00CB454F"/>
    <w:rsid w:val="00CB455C"/>
    <w:rsid w:val="00CB45E6"/>
    <w:rsid w:val="00CB461D"/>
    <w:rsid w:val="00CB4650"/>
    <w:rsid w:val="00CB46B0"/>
    <w:rsid w:val="00CB499E"/>
    <w:rsid w:val="00CB49B0"/>
    <w:rsid w:val="00CB4B2B"/>
    <w:rsid w:val="00CB4B46"/>
    <w:rsid w:val="00CB4B67"/>
    <w:rsid w:val="00CB4BB6"/>
    <w:rsid w:val="00CB4BF0"/>
    <w:rsid w:val="00CB4C90"/>
    <w:rsid w:val="00CB4CAE"/>
    <w:rsid w:val="00CB4CD2"/>
    <w:rsid w:val="00CB4D04"/>
    <w:rsid w:val="00CB4D5C"/>
    <w:rsid w:val="00CB4D77"/>
    <w:rsid w:val="00CB4E52"/>
    <w:rsid w:val="00CB4FF9"/>
    <w:rsid w:val="00CB502B"/>
    <w:rsid w:val="00CB512D"/>
    <w:rsid w:val="00CB5218"/>
    <w:rsid w:val="00CB525E"/>
    <w:rsid w:val="00CB5312"/>
    <w:rsid w:val="00CB533A"/>
    <w:rsid w:val="00CB535F"/>
    <w:rsid w:val="00CB539A"/>
    <w:rsid w:val="00CB5401"/>
    <w:rsid w:val="00CB5459"/>
    <w:rsid w:val="00CB547E"/>
    <w:rsid w:val="00CB54B1"/>
    <w:rsid w:val="00CB55B3"/>
    <w:rsid w:val="00CB560B"/>
    <w:rsid w:val="00CB5630"/>
    <w:rsid w:val="00CB5740"/>
    <w:rsid w:val="00CB58BF"/>
    <w:rsid w:val="00CB59E2"/>
    <w:rsid w:val="00CB5A57"/>
    <w:rsid w:val="00CB5A93"/>
    <w:rsid w:val="00CB5AF5"/>
    <w:rsid w:val="00CB5BEB"/>
    <w:rsid w:val="00CB5CE3"/>
    <w:rsid w:val="00CB5D71"/>
    <w:rsid w:val="00CB5D85"/>
    <w:rsid w:val="00CB5DCA"/>
    <w:rsid w:val="00CB5E68"/>
    <w:rsid w:val="00CB5EC0"/>
    <w:rsid w:val="00CB5EE8"/>
    <w:rsid w:val="00CB5F5C"/>
    <w:rsid w:val="00CB5F9A"/>
    <w:rsid w:val="00CB5FA6"/>
    <w:rsid w:val="00CB5FCC"/>
    <w:rsid w:val="00CB5FF7"/>
    <w:rsid w:val="00CB6005"/>
    <w:rsid w:val="00CB6059"/>
    <w:rsid w:val="00CB60FB"/>
    <w:rsid w:val="00CB612A"/>
    <w:rsid w:val="00CB61E3"/>
    <w:rsid w:val="00CB6258"/>
    <w:rsid w:val="00CB62FE"/>
    <w:rsid w:val="00CB6333"/>
    <w:rsid w:val="00CB634A"/>
    <w:rsid w:val="00CB63C6"/>
    <w:rsid w:val="00CB641F"/>
    <w:rsid w:val="00CB6436"/>
    <w:rsid w:val="00CB648A"/>
    <w:rsid w:val="00CB64F7"/>
    <w:rsid w:val="00CB6574"/>
    <w:rsid w:val="00CB658C"/>
    <w:rsid w:val="00CB65AB"/>
    <w:rsid w:val="00CB6632"/>
    <w:rsid w:val="00CB66BE"/>
    <w:rsid w:val="00CB66C9"/>
    <w:rsid w:val="00CB66DB"/>
    <w:rsid w:val="00CB67E0"/>
    <w:rsid w:val="00CB6804"/>
    <w:rsid w:val="00CB686F"/>
    <w:rsid w:val="00CB6887"/>
    <w:rsid w:val="00CB68CB"/>
    <w:rsid w:val="00CB694C"/>
    <w:rsid w:val="00CB69CA"/>
    <w:rsid w:val="00CB69EF"/>
    <w:rsid w:val="00CB6AC9"/>
    <w:rsid w:val="00CB6BE8"/>
    <w:rsid w:val="00CB6BEF"/>
    <w:rsid w:val="00CB6C34"/>
    <w:rsid w:val="00CB6CC8"/>
    <w:rsid w:val="00CB6E2C"/>
    <w:rsid w:val="00CB6EC7"/>
    <w:rsid w:val="00CB6F7F"/>
    <w:rsid w:val="00CB7080"/>
    <w:rsid w:val="00CB71FC"/>
    <w:rsid w:val="00CB7259"/>
    <w:rsid w:val="00CB72C3"/>
    <w:rsid w:val="00CB7317"/>
    <w:rsid w:val="00CB7361"/>
    <w:rsid w:val="00CB7370"/>
    <w:rsid w:val="00CB7482"/>
    <w:rsid w:val="00CB7547"/>
    <w:rsid w:val="00CB7553"/>
    <w:rsid w:val="00CB7561"/>
    <w:rsid w:val="00CB75A6"/>
    <w:rsid w:val="00CB75CE"/>
    <w:rsid w:val="00CB7672"/>
    <w:rsid w:val="00CB7722"/>
    <w:rsid w:val="00CB772C"/>
    <w:rsid w:val="00CB7756"/>
    <w:rsid w:val="00CB782A"/>
    <w:rsid w:val="00CB792C"/>
    <w:rsid w:val="00CB7AC3"/>
    <w:rsid w:val="00CB7B69"/>
    <w:rsid w:val="00CB7D00"/>
    <w:rsid w:val="00CB7D0D"/>
    <w:rsid w:val="00CB7D2E"/>
    <w:rsid w:val="00CB7EC2"/>
    <w:rsid w:val="00CB7FBB"/>
    <w:rsid w:val="00CB7FBC"/>
    <w:rsid w:val="00CC0016"/>
    <w:rsid w:val="00CC0082"/>
    <w:rsid w:val="00CC010A"/>
    <w:rsid w:val="00CC011D"/>
    <w:rsid w:val="00CC015A"/>
    <w:rsid w:val="00CC01AF"/>
    <w:rsid w:val="00CC02C4"/>
    <w:rsid w:val="00CC0331"/>
    <w:rsid w:val="00CC0363"/>
    <w:rsid w:val="00CC03AE"/>
    <w:rsid w:val="00CC03B1"/>
    <w:rsid w:val="00CC03DE"/>
    <w:rsid w:val="00CC0438"/>
    <w:rsid w:val="00CC04E1"/>
    <w:rsid w:val="00CC0555"/>
    <w:rsid w:val="00CC0568"/>
    <w:rsid w:val="00CC05AF"/>
    <w:rsid w:val="00CC0686"/>
    <w:rsid w:val="00CC06AC"/>
    <w:rsid w:val="00CC06AE"/>
    <w:rsid w:val="00CC06DA"/>
    <w:rsid w:val="00CC0703"/>
    <w:rsid w:val="00CC0718"/>
    <w:rsid w:val="00CC0756"/>
    <w:rsid w:val="00CC080F"/>
    <w:rsid w:val="00CC08A3"/>
    <w:rsid w:val="00CC08F1"/>
    <w:rsid w:val="00CC095B"/>
    <w:rsid w:val="00CC0CBD"/>
    <w:rsid w:val="00CC0CDD"/>
    <w:rsid w:val="00CC0D15"/>
    <w:rsid w:val="00CC0D23"/>
    <w:rsid w:val="00CC0D92"/>
    <w:rsid w:val="00CC0E39"/>
    <w:rsid w:val="00CC0E5F"/>
    <w:rsid w:val="00CC0E8F"/>
    <w:rsid w:val="00CC0EC0"/>
    <w:rsid w:val="00CC0F0F"/>
    <w:rsid w:val="00CC0F1C"/>
    <w:rsid w:val="00CC10C1"/>
    <w:rsid w:val="00CC10FE"/>
    <w:rsid w:val="00CC1108"/>
    <w:rsid w:val="00CC1124"/>
    <w:rsid w:val="00CC117B"/>
    <w:rsid w:val="00CC1195"/>
    <w:rsid w:val="00CC11C1"/>
    <w:rsid w:val="00CC1211"/>
    <w:rsid w:val="00CC1281"/>
    <w:rsid w:val="00CC1284"/>
    <w:rsid w:val="00CC1297"/>
    <w:rsid w:val="00CC12AA"/>
    <w:rsid w:val="00CC136E"/>
    <w:rsid w:val="00CC13E1"/>
    <w:rsid w:val="00CC14EC"/>
    <w:rsid w:val="00CC1610"/>
    <w:rsid w:val="00CC174C"/>
    <w:rsid w:val="00CC1773"/>
    <w:rsid w:val="00CC179A"/>
    <w:rsid w:val="00CC189A"/>
    <w:rsid w:val="00CC18A9"/>
    <w:rsid w:val="00CC18C3"/>
    <w:rsid w:val="00CC18E8"/>
    <w:rsid w:val="00CC191B"/>
    <w:rsid w:val="00CC1A1D"/>
    <w:rsid w:val="00CC1A50"/>
    <w:rsid w:val="00CC1A6E"/>
    <w:rsid w:val="00CC1A74"/>
    <w:rsid w:val="00CC1B6F"/>
    <w:rsid w:val="00CC1B81"/>
    <w:rsid w:val="00CC1BCF"/>
    <w:rsid w:val="00CC1CD7"/>
    <w:rsid w:val="00CC1DAC"/>
    <w:rsid w:val="00CC1E0A"/>
    <w:rsid w:val="00CC1F4E"/>
    <w:rsid w:val="00CC1F55"/>
    <w:rsid w:val="00CC1FA1"/>
    <w:rsid w:val="00CC207E"/>
    <w:rsid w:val="00CC20EB"/>
    <w:rsid w:val="00CC2164"/>
    <w:rsid w:val="00CC218A"/>
    <w:rsid w:val="00CC21AB"/>
    <w:rsid w:val="00CC21D7"/>
    <w:rsid w:val="00CC223D"/>
    <w:rsid w:val="00CC22F4"/>
    <w:rsid w:val="00CC23B1"/>
    <w:rsid w:val="00CC241F"/>
    <w:rsid w:val="00CC2477"/>
    <w:rsid w:val="00CC24B2"/>
    <w:rsid w:val="00CC24C5"/>
    <w:rsid w:val="00CC2540"/>
    <w:rsid w:val="00CC2572"/>
    <w:rsid w:val="00CC2581"/>
    <w:rsid w:val="00CC2662"/>
    <w:rsid w:val="00CC266F"/>
    <w:rsid w:val="00CC269B"/>
    <w:rsid w:val="00CC272F"/>
    <w:rsid w:val="00CC27F1"/>
    <w:rsid w:val="00CC2980"/>
    <w:rsid w:val="00CC298C"/>
    <w:rsid w:val="00CC2994"/>
    <w:rsid w:val="00CC29B1"/>
    <w:rsid w:val="00CC2A1D"/>
    <w:rsid w:val="00CC2AB3"/>
    <w:rsid w:val="00CC2BB8"/>
    <w:rsid w:val="00CC2CB6"/>
    <w:rsid w:val="00CC2CC4"/>
    <w:rsid w:val="00CC2CCA"/>
    <w:rsid w:val="00CC2D77"/>
    <w:rsid w:val="00CC2D92"/>
    <w:rsid w:val="00CC2E12"/>
    <w:rsid w:val="00CC303D"/>
    <w:rsid w:val="00CC3078"/>
    <w:rsid w:val="00CC30AE"/>
    <w:rsid w:val="00CC30E9"/>
    <w:rsid w:val="00CC31BA"/>
    <w:rsid w:val="00CC32A8"/>
    <w:rsid w:val="00CC32CA"/>
    <w:rsid w:val="00CC32DF"/>
    <w:rsid w:val="00CC32F0"/>
    <w:rsid w:val="00CC3348"/>
    <w:rsid w:val="00CC335B"/>
    <w:rsid w:val="00CC33AB"/>
    <w:rsid w:val="00CC3498"/>
    <w:rsid w:val="00CC3563"/>
    <w:rsid w:val="00CC36EC"/>
    <w:rsid w:val="00CC373D"/>
    <w:rsid w:val="00CC3749"/>
    <w:rsid w:val="00CC37A2"/>
    <w:rsid w:val="00CC3862"/>
    <w:rsid w:val="00CC38F2"/>
    <w:rsid w:val="00CC3974"/>
    <w:rsid w:val="00CC39BD"/>
    <w:rsid w:val="00CC3A00"/>
    <w:rsid w:val="00CC3A64"/>
    <w:rsid w:val="00CC3B89"/>
    <w:rsid w:val="00CC3BAD"/>
    <w:rsid w:val="00CC3CF2"/>
    <w:rsid w:val="00CC3D02"/>
    <w:rsid w:val="00CC3DAE"/>
    <w:rsid w:val="00CC3E3B"/>
    <w:rsid w:val="00CC3EC2"/>
    <w:rsid w:val="00CC3ECB"/>
    <w:rsid w:val="00CC3F39"/>
    <w:rsid w:val="00CC3F75"/>
    <w:rsid w:val="00CC3FAE"/>
    <w:rsid w:val="00CC3FB9"/>
    <w:rsid w:val="00CC40A6"/>
    <w:rsid w:val="00CC40C6"/>
    <w:rsid w:val="00CC41C9"/>
    <w:rsid w:val="00CC4234"/>
    <w:rsid w:val="00CC4239"/>
    <w:rsid w:val="00CC42A8"/>
    <w:rsid w:val="00CC43D0"/>
    <w:rsid w:val="00CC4405"/>
    <w:rsid w:val="00CC44E0"/>
    <w:rsid w:val="00CC44EF"/>
    <w:rsid w:val="00CC459A"/>
    <w:rsid w:val="00CC45B3"/>
    <w:rsid w:val="00CC461D"/>
    <w:rsid w:val="00CC4640"/>
    <w:rsid w:val="00CC4646"/>
    <w:rsid w:val="00CC47AF"/>
    <w:rsid w:val="00CC481A"/>
    <w:rsid w:val="00CC484A"/>
    <w:rsid w:val="00CC4900"/>
    <w:rsid w:val="00CC4A59"/>
    <w:rsid w:val="00CC4B18"/>
    <w:rsid w:val="00CC4B87"/>
    <w:rsid w:val="00CC4D2D"/>
    <w:rsid w:val="00CC4DC7"/>
    <w:rsid w:val="00CC4E6D"/>
    <w:rsid w:val="00CC4E80"/>
    <w:rsid w:val="00CC4E89"/>
    <w:rsid w:val="00CC4ED0"/>
    <w:rsid w:val="00CC4EDF"/>
    <w:rsid w:val="00CC4EE1"/>
    <w:rsid w:val="00CC4F46"/>
    <w:rsid w:val="00CC4F6C"/>
    <w:rsid w:val="00CC4FFA"/>
    <w:rsid w:val="00CC5003"/>
    <w:rsid w:val="00CC5058"/>
    <w:rsid w:val="00CC507C"/>
    <w:rsid w:val="00CC50BD"/>
    <w:rsid w:val="00CC52E2"/>
    <w:rsid w:val="00CC5301"/>
    <w:rsid w:val="00CC5314"/>
    <w:rsid w:val="00CC540C"/>
    <w:rsid w:val="00CC5493"/>
    <w:rsid w:val="00CC54DA"/>
    <w:rsid w:val="00CC54EB"/>
    <w:rsid w:val="00CC552D"/>
    <w:rsid w:val="00CC5599"/>
    <w:rsid w:val="00CC56DC"/>
    <w:rsid w:val="00CC5736"/>
    <w:rsid w:val="00CC5781"/>
    <w:rsid w:val="00CC57AC"/>
    <w:rsid w:val="00CC57F2"/>
    <w:rsid w:val="00CC57F6"/>
    <w:rsid w:val="00CC5963"/>
    <w:rsid w:val="00CC59AB"/>
    <w:rsid w:val="00CC59DE"/>
    <w:rsid w:val="00CC5A94"/>
    <w:rsid w:val="00CC5A9A"/>
    <w:rsid w:val="00CC5B87"/>
    <w:rsid w:val="00CC5B98"/>
    <w:rsid w:val="00CC5BF6"/>
    <w:rsid w:val="00CC5C06"/>
    <w:rsid w:val="00CC5C68"/>
    <w:rsid w:val="00CC5C93"/>
    <w:rsid w:val="00CC5CF8"/>
    <w:rsid w:val="00CC5D6D"/>
    <w:rsid w:val="00CC5D99"/>
    <w:rsid w:val="00CC5DE4"/>
    <w:rsid w:val="00CC5EB5"/>
    <w:rsid w:val="00CC5EBA"/>
    <w:rsid w:val="00CC5FE7"/>
    <w:rsid w:val="00CC6042"/>
    <w:rsid w:val="00CC6064"/>
    <w:rsid w:val="00CC615C"/>
    <w:rsid w:val="00CC6188"/>
    <w:rsid w:val="00CC62B4"/>
    <w:rsid w:val="00CC6305"/>
    <w:rsid w:val="00CC633E"/>
    <w:rsid w:val="00CC6379"/>
    <w:rsid w:val="00CC6386"/>
    <w:rsid w:val="00CC6490"/>
    <w:rsid w:val="00CC6520"/>
    <w:rsid w:val="00CC65F7"/>
    <w:rsid w:val="00CC66C9"/>
    <w:rsid w:val="00CC68B7"/>
    <w:rsid w:val="00CC68F4"/>
    <w:rsid w:val="00CC6C37"/>
    <w:rsid w:val="00CC6C91"/>
    <w:rsid w:val="00CC6D01"/>
    <w:rsid w:val="00CC6D33"/>
    <w:rsid w:val="00CC6D5F"/>
    <w:rsid w:val="00CC6DA8"/>
    <w:rsid w:val="00CC6DEF"/>
    <w:rsid w:val="00CC6E67"/>
    <w:rsid w:val="00CC6E88"/>
    <w:rsid w:val="00CC6F57"/>
    <w:rsid w:val="00CC6FE1"/>
    <w:rsid w:val="00CC7087"/>
    <w:rsid w:val="00CC70DC"/>
    <w:rsid w:val="00CC711A"/>
    <w:rsid w:val="00CC719F"/>
    <w:rsid w:val="00CC728B"/>
    <w:rsid w:val="00CC72BA"/>
    <w:rsid w:val="00CC72FE"/>
    <w:rsid w:val="00CC735E"/>
    <w:rsid w:val="00CC73F7"/>
    <w:rsid w:val="00CC741B"/>
    <w:rsid w:val="00CC747C"/>
    <w:rsid w:val="00CC75B1"/>
    <w:rsid w:val="00CC75CD"/>
    <w:rsid w:val="00CC75FC"/>
    <w:rsid w:val="00CC7613"/>
    <w:rsid w:val="00CC766E"/>
    <w:rsid w:val="00CC767F"/>
    <w:rsid w:val="00CC76C1"/>
    <w:rsid w:val="00CC7710"/>
    <w:rsid w:val="00CC787B"/>
    <w:rsid w:val="00CC7882"/>
    <w:rsid w:val="00CC789F"/>
    <w:rsid w:val="00CC78C5"/>
    <w:rsid w:val="00CC7908"/>
    <w:rsid w:val="00CC7942"/>
    <w:rsid w:val="00CC7951"/>
    <w:rsid w:val="00CC79BB"/>
    <w:rsid w:val="00CC79C2"/>
    <w:rsid w:val="00CC79C3"/>
    <w:rsid w:val="00CC7A1E"/>
    <w:rsid w:val="00CC7A4B"/>
    <w:rsid w:val="00CC7A82"/>
    <w:rsid w:val="00CC7AAD"/>
    <w:rsid w:val="00CC7B58"/>
    <w:rsid w:val="00CC7B5A"/>
    <w:rsid w:val="00CC7C03"/>
    <w:rsid w:val="00CC7D43"/>
    <w:rsid w:val="00CC7D52"/>
    <w:rsid w:val="00CC7DA9"/>
    <w:rsid w:val="00CC7DD6"/>
    <w:rsid w:val="00CC7E48"/>
    <w:rsid w:val="00CC7F0A"/>
    <w:rsid w:val="00CC7F44"/>
    <w:rsid w:val="00CC7FDA"/>
    <w:rsid w:val="00CC7FEF"/>
    <w:rsid w:val="00CD0013"/>
    <w:rsid w:val="00CD0041"/>
    <w:rsid w:val="00CD006F"/>
    <w:rsid w:val="00CD0139"/>
    <w:rsid w:val="00CD017B"/>
    <w:rsid w:val="00CD0210"/>
    <w:rsid w:val="00CD021E"/>
    <w:rsid w:val="00CD02A0"/>
    <w:rsid w:val="00CD05A5"/>
    <w:rsid w:val="00CD07F6"/>
    <w:rsid w:val="00CD0821"/>
    <w:rsid w:val="00CD0839"/>
    <w:rsid w:val="00CD08A1"/>
    <w:rsid w:val="00CD0940"/>
    <w:rsid w:val="00CD0972"/>
    <w:rsid w:val="00CD0A03"/>
    <w:rsid w:val="00CD0A2F"/>
    <w:rsid w:val="00CD0A4A"/>
    <w:rsid w:val="00CD0AA6"/>
    <w:rsid w:val="00CD0B40"/>
    <w:rsid w:val="00CD0B7E"/>
    <w:rsid w:val="00CD0C15"/>
    <w:rsid w:val="00CD0CD3"/>
    <w:rsid w:val="00CD0D4A"/>
    <w:rsid w:val="00CD0D7D"/>
    <w:rsid w:val="00CD0DDA"/>
    <w:rsid w:val="00CD0FF5"/>
    <w:rsid w:val="00CD1175"/>
    <w:rsid w:val="00CD11E2"/>
    <w:rsid w:val="00CD127A"/>
    <w:rsid w:val="00CD12AD"/>
    <w:rsid w:val="00CD144D"/>
    <w:rsid w:val="00CD178A"/>
    <w:rsid w:val="00CD1890"/>
    <w:rsid w:val="00CD18B8"/>
    <w:rsid w:val="00CD18FD"/>
    <w:rsid w:val="00CD19B0"/>
    <w:rsid w:val="00CD1A40"/>
    <w:rsid w:val="00CD1A4A"/>
    <w:rsid w:val="00CD1AB6"/>
    <w:rsid w:val="00CD1B13"/>
    <w:rsid w:val="00CD1B1B"/>
    <w:rsid w:val="00CD1B69"/>
    <w:rsid w:val="00CD1C04"/>
    <w:rsid w:val="00CD1DDB"/>
    <w:rsid w:val="00CD1F5D"/>
    <w:rsid w:val="00CD1FC9"/>
    <w:rsid w:val="00CD1FE0"/>
    <w:rsid w:val="00CD21A4"/>
    <w:rsid w:val="00CD21F1"/>
    <w:rsid w:val="00CD23A9"/>
    <w:rsid w:val="00CD248F"/>
    <w:rsid w:val="00CD24BC"/>
    <w:rsid w:val="00CD24E0"/>
    <w:rsid w:val="00CD24E8"/>
    <w:rsid w:val="00CD2576"/>
    <w:rsid w:val="00CD260C"/>
    <w:rsid w:val="00CD2699"/>
    <w:rsid w:val="00CD26B8"/>
    <w:rsid w:val="00CD271F"/>
    <w:rsid w:val="00CD27E1"/>
    <w:rsid w:val="00CD2843"/>
    <w:rsid w:val="00CD284A"/>
    <w:rsid w:val="00CD2895"/>
    <w:rsid w:val="00CD2A5F"/>
    <w:rsid w:val="00CD2B5F"/>
    <w:rsid w:val="00CD2CF7"/>
    <w:rsid w:val="00CD2D04"/>
    <w:rsid w:val="00CD2DFD"/>
    <w:rsid w:val="00CD2E03"/>
    <w:rsid w:val="00CD2E3D"/>
    <w:rsid w:val="00CD2E5F"/>
    <w:rsid w:val="00CD2F37"/>
    <w:rsid w:val="00CD3056"/>
    <w:rsid w:val="00CD30D9"/>
    <w:rsid w:val="00CD3171"/>
    <w:rsid w:val="00CD322E"/>
    <w:rsid w:val="00CD32CA"/>
    <w:rsid w:val="00CD32CE"/>
    <w:rsid w:val="00CD32F3"/>
    <w:rsid w:val="00CD3345"/>
    <w:rsid w:val="00CD3381"/>
    <w:rsid w:val="00CD33E0"/>
    <w:rsid w:val="00CD3478"/>
    <w:rsid w:val="00CD355E"/>
    <w:rsid w:val="00CD3659"/>
    <w:rsid w:val="00CD3666"/>
    <w:rsid w:val="00CD3905"/>
    <w:rsid w:val="00CD3916"/>
    <w:rsid w:val="00CD39AB"/>
    <w:rsid w:val="00CD3A4A"/>
    <w:rsid w:val="00CD3A7C"/>
    <w:rsid w:val="00CD3B3C"/>
    <w:rsid w:val="00CD3B4D"/>
    <w:rsid w:val="00CD3BCC"/>
    <w:rsid w:val="00CD3C2F"/>
    <w:rsid w:val="00CD3C5D"/>
    <w:rsid w:val="00CD3CBF"/>
    <w:rsid w:val="00CD3D45"/>
    <w:rsid w:val="00CD3E6A"/>
    <w:rsid w:val="00CD4062"/>
    <w:rsid w:val="00CD408B"/>
    <w:rsid w:val="00CD4117"/>
    <w:rsid w:val="00CD423D"/>
    <w:rsid w:val="00CD4270"/>
    <w:rsid w:val="00CD42AE"/>
    <w:rsid w:val="00CD42D9"/>
    <w:rsid w:val="00CD4326"/>
    <w:rsid w:val="00CD4385"/>
    <w:rsid w:val="00CD43BB"/>
    <w:rsid w:val="00CD43D4"/>
    <w:rsid w:val="00CD43F5"/>
    <w:rsid w:val="00CD4448"/>
    <w:rsid w:val="00CD4531"/>
    <w:rsid w:val="00CD45A7"/>
    <w:rsid w:val="00CD45AF"/>
    <w:rsid w:val="00CD45D6"/>
    <w:rsid w:val="00CD46F7"/>
    <w:rsid w:val="00CD472F"/>
    <w:rsid w:val="00CD47A2"/>
    <w:rsid w:val="00CD4806"/>
    <w:rsid w:val="00CD488F"/>
    <w:rsid w:val="00CD4906"/>
    <w:rsid w:val="00CD4B60"/>
    <w:rsid w:val="00CD4CDE"/>
    <w:rsid w:val="00CD4D21"/>
    <w:rsid w:val="00CD4D68"/>
    <w:rsid w:val="00CD4DAB"/>
    <w:rsid w:val="00CD4DE4"/>
    <w:rsid w:val="00CD4E41"/>
    <w:rsid w:val="00CD4E55"/>
    <w:rsid w:val="00CD4F05"/>
    <w:rsid w:val="00CD4F31"/>
    <w:rsid w:val="00CD4FD4"/>
    <w:rsid w:val="00CD4FFF"/>
    <w:rsid w:val="00CD50A4"/>
    <w:rsid w:val="00CD50CA"/>
    <w:rsid w:val="00CD5133"/>
    <w:rsid w:val="00CD513A"/>
    <w:rsid w:val="00CD520E"/>
    <w:rsid w:val="00CD5299"/>
    <w:rsid w:val="00CD52E0"/>
    <w:rsid w:val="00CD548D"/>
    <w:rsid w:val="00CD556E"/>
    <w:rsid w:val="00CD55AF"/>
    <w:rsid w:val="00CD568E"/>
    <w:rsid w:val="00CD56B0"/>
    <w:rsid w:val="00CD56D1"/>
    <w:rsid w:val="00CD56DA"/>
    <w:rsid w:val="00CD5781"/>
    <w:rsid w:val="00CD5782"/>
    <w:rsid w:val="00CD57B9"/>
    <w:rsid w:val="00CD58FE"/>
    <w:rsid w:val="00CD5977"/>
    <w:rsid w:val="00CD59A4"/>
    <w:rsid w:val="00CD5A76"/>
    <w:rsid w:val="00CD5B1E"/>
    <w:rsid w:val="00CD5B74"/>
    <w:rsid w:val="00CD5BA3"/>
    <w:rsid w:val="00CD5BED"/>
    <w:rsid w:val="00CD5BF9"/>
    <w:rsid w:val="00CD5C19"/>
    <w:rsid w:val="00CD5D2D"/>
    <w:rsid w:val="00CD5DC1"/>
    <w:rsid w:val="00CD5DCB"/>
    <w:rsid w:val="00CD5E27"/>
    <w:rsid w:val="00CD5E46"/>
    <w:rsid w:val="00CD5EB9"/>
    <w:rsid w:val="00CD5ED6"/>
    <w:rsid w:val="00CD60BB"/>
    <w:rsid w:val="00CD61E4"/>
    <w:rsid w:val="00CD6269"/>
    <w:rsid w:val="00CD626A"/>
    <w:rsid w:val="00CD62B1"/>
    <w:rsid w:val="00CD631C"/>
    <w:rsid w:val="00CD639D"/>
    <w:rsid w:val="00CD63C0"/>
    <w:rsid w:val="00CD64B3"/>
    <w:rsid w:val="00CD64D4"/>
    <w:rsid w:val="00CD64F0"/>
    <w:rsid w:val="00CD6509"/>
    <w:rsid w:val="00CD6549"/>
    <w:rsid w:val="00CD657A"/>
    <w:rsid w:val="00CD65A2"/>
    <w:rsid w:val="00CD660E"/>
    <w:rsid w:val="00CD6616"/>
    <w:rsid w:val="00CD662E"/>
    <w:rsid w:val="00CD666D"/>
    <w:rsid w:val="00CD66E3"/>
    <w:rsid w:val="00CD67A1"/>
    <w:rsid w:val="00CD67AA"/>
    <w:rsid w:val="00CD68E9"/>
    <w:rsid w:val="00CD6A13"/>
    <w:rsid w:val="00CD6AB9"/>
    <w:rsid w:val="00CD6B04"/>
    <w:rsid w:val="00CD6C24"/>
    <w:rsid w:val="00CD6C6D"/>
    <w:rsid w:val="00CD6E28"/>
    <w:rsid w:val="00CD6E2B"/>
    <w:rsid w:val="00CD6F0D"/>
    <w:rsid w:val="00CD6F98"/>
    <w:rsid w:val="00CD6FA3"/>
    <w:rsid w:val="00CD6FF0"/>
    <w:rsid w:val="00CD7077"/>
    <w:rsid w:val="00CD7087"/>
    <w:rsid w:val="00CD709C"/>
    <w:rsid w:val="00CD70BE"/>
    <w:rsid w:val="00CD7187"/>
    <w:rsid w:val="00CD72BE"/>
    <w:rsid w:val="00CD733C"/>
    <w:rsid w:val="00CD733E"/>
    <w:rsid w:val="00CD7370"/>
    <w:rsid w:val="00CD73AA"/>
    <w:rsid w:val="00CD740C"/>
    <w:rsid w:val="00CD74E2"/>
    <w:rsid w:val="00CD761F"/>
    <w:rsid w:val="00CD76A1"/>
    <w:rsid w:val="00CD76AE"/>
    <w:rsid w:val="00CD76C4"/>
    <w:rsid w:val="00CD7758"/>
    <w:rsid w:val="00CD77A4"/>
    <w:rsid w:val="00CD77BD"/>
    <w:rsid w:val="00CD77DE"/>
    <w:rsid w:val="00CD77EB"/>
    <w:rsid w:val="00CD7835"/>
    <w:rsid w:val="00CD786A"/>
    <w:rsid w:val="00CD7893"/>
    <w:rsid w:val="00CD79E6"/>
    <w:rsid w:val="00CD7A02"/>
    <w:rsid w:val="00CD7A9C"/>
    <w:rsid w:val="00CD7ACA"/>
    <w:rsid w:val="00CD7B02"/>
    <w:rsid w:val="00CD7B73"/>
    <w:rsid w:val="00CD7B86"/>
    <w:rsid w:val="00CD7BB0"/>
    <w:rsid w:val="00CD7CB5"/>
    <w:rsid w:val="00CD7CE4"/>
    <w:rsid w:val="00CD7D9F"/>
    <w:rsid w:val="00CD7DF1"/>
    <w:rsid w:val="00CD7E72"/>
    <w:rsid w:val="00CD7EFE"/>
    <w:rsid w:val="00CE00CB"/>
    <w:rsid w:val="00CE0103"/>
    <w:rsid w:val="00CE0284"/>
    <w:rsid w:val="00CE0320"/>
    <w:rsid w:val="00CE032C"/>
    <w:rsid w:val="00CE0341"/>
    <w:rsid w:val="00CE035C"/>
    <w:rsid w:val="00CE0366"/>
    <w:rsid w:val="00CE04FE"/>
    <w:rsid w:val="00CE057E"/>
    <w:rsid w:val="00CE07AE"/>
    <w:rsid w:val="00CE07E9"/>
    <w:rsid w:val="00CE0847"/>
    <w:rsid w:val="00CE0849"/>
    <w:rsid w:val="00CE084D"/>
    <w:rsid w:val="00CE0888"/>
    <w:rsid w:val="00CE0897"/>
    <w:rsid w:val="00CE08EB"/>
    <w:rsid w:val="00CE0939"/>
    <w:rsid w:val="00CE094E"/>
    <w:rsid w:val="00CE0A85"/>
    <w:rsid w:val="00CE0B12"/>
    <w:rsid w:val="00CE0B70"/>
    <w:rsid w:val="00CE0BE8"/>
    <w:rsid w:val="00CE0C90"/>
    <w:rsid w:val="00CE0CE5"/>
    <w:rsid w:val="00CE0E13"/>
    <w:rsid w:val="00CE0F62"/>
    <w:rsid w:val="00CE0FCE"/>
    <w:rsid w:val="00CE0FD3"/>
    <w:rsid w:val="00CE10C0"/>
    <w:rsid w:val="00CE1113"/>
    <w:rsid w:val="00CE1243"/>
    <w:rsid w:val="00CE126E"/>
    <w:rsid w:val="00CE131C"/>
    <w:rsid w:val="00CE13E0"/>
    <w:rsid w:val="00CE147E"/>
    <w:rsid w:val="00CE14A4"/>
    <w:rsid w:val="00CE1543"/>
    <w:rsid w:val="00CE16D1"/>
    <w:rsid w:val="00CE1869"/>
    <w:rsid w:val="00CE186A"/>
    <w:rsid w:val="00CE195E"/>
    <w:rsid w:val="00CE1963"/>
    <w:rsid w:val="00CE197F"/>
    <w:rsid w:val="00CE1981"/>
    <w:rsid w:val="00CE1ADE"/>
    <w:rsid w:val="00CE1AF3"/>
    <w:rsid w:val="00CE1BFD"/>
    <w:rsid w:val="00CE1CDF"/>
    <w:rsid w:val="00CE1D0B"/>
    <w:rsid w:val="00CE1E11"/>
    <w:rsid w:val="00CE1E79"/>
    <w:rsid w:val="00CE1EE3"/>
    <w:rsid w:val="00CE1EE8"/>
    <w:rsid w:val="00CE1FD5"/>
    <w:rsid w:val="00CE1FE4"/>
    <w:rsid w:val="00CE20A3"/>
    <w:rsid w:val="00CE2161"/>
    <w:rsid w:val="00CE2172"/>
    <w:rsid w:val="00CE2184"/>
    <w:rsid w:val="00CE228B"/>
    <w:rsid w:val="00CE2398"/>
    <w:rsid w:val="00CE245F"/>
    <w:rsid w:val="00CE24CC"/>
    <w:rsid w:val="00CE2581"/>
    <w:rsid w:val="00CE25F9"/>
    <w:rsid w:val="00CE262D"/>
    <w:rsid w:val="00CE265E"/>
    <w:rsid w:val="00CE274B"/>
    <w:rsid w:val="00CE278B"/>
    <w:rsid w:val="00CE2865"/>
    <w:rsid w:val="00CE28BD"/>
    <w:rsid w:val="00CE28F0"/>
    <w:rsid w:val="00CE29B6"/>
    <w:rsid w:val="00CE29FE"/>
    <w:rsid w:val="00CE2A05"/>
    <w:rsid w:val="00CE2A57"/>
    <w:rsid w:val="00CE2B63"/>
    <w:rsid w:val="00CE2C7D"/>
    <w:rsid w:val="00CE2D20"/>
    <w:rsid w:val="00CE2EA4"/>
    <w:rsid w:val="00CE2F30"/>
    <w:rsid w:val="00CE2F95"/>
    <w:rsid w:val="00CE3053"/>
    <w:rsid w:val="00CE3111"/>
    <w:rsid w:val="00CE326A"/>
    <w:rsid w:val="00CE333C"/>
    <w:rsid w:val="00CE3370"/>
    <w:rsid w:val="00CE3372"/>
    <w:rsid w:val="00CE3474"/>
    <w:rsid w:val="00CE3555"/>
    <w:rsid w:val="00CE3579"/>
    <w:rsid w:val="00CE372C"/>
    <w:rsid w:val="00CE3807"/>
    <w:rsid w:val="00CE38B4"/>
    <w:rsid w:val="00CE395B"/>
    <w:rsid w:val="00CE3A11"/>
    <w:rsid w:val="00CE3A66"/>
    <w:rsid w:val="00CE3B0A"/>
    <w:rsid w:val="00CE3B36"/>
    <w:rsid w:val="00CE3B79"/>
    <w:rsid w:val="00CE3CC4"/>
    <w:rsid w:val="00CE3D29"/>
    <w:rsid w:val="00CE3DC2"/>
    <w:rsid w:val="00CE3E02"/>
    <w:rsid w:val="00CE3EC9"/>
    <w:rsid w:val="00CE3EEE"/>
    <w:rsid w:val="00CE3FBD"/>
    <w:rsid w:val="00CE4009"/>
    <w:rsid w:val="00CE4168"/>
    <w:rsid w:val="00CE41A7"/>
    <w:rsid w:val="00CE41D0"/>
    <w:rsid w:val="00CE41D8"/>
    <w:rsid w:val="00CE4221"/>
    <w:rsid w:val="00CE423E"/>
    <w:rsid w:val="00CE426F"/>
    <w:rsid w:val="00CE4324"/>
    <w:rsid w:val="00CE4385"/>
    <w:rsid w:val="00CE43B8"/>
    <w:rsid w:val="00CE4454"/>
    <w:rsid w:val="00CE44DE"/>
    <w:rsid w:val="00CE456C"/>
    <w:rsid w:val="00CE460F"/>
    <w:rsid w:val="00CE46F6"/>
    <w:rsid w:val="00CE47D0"/>
    <w:rsid w:val="00CE4845"/>
    <w:rsid w:val="00CE48AE"/>
    <w:rsid w:val="00CE493F"/>
    <w:rsid w:val="00CE495F"/>
    <w:rsid w:val="00CE49D3"/>
    <w:rsid w:val="00CE4A57"/>
    <w:rsid w:val="00CE4A73"/>
    <w:rsid w:val="00CE4C41"/>
    <w:rsid w:val="00CE4CDC"/>
    <w:rsid w:val="00CE4F4B"/>
    <w:rsid w:val="00CE4F54"/>
    <w:rsid w:val="00CE4FC9"/>
    <w:rsid w:val="00CE4FCA"/>
    <w:rsid w:val="00CE501E"/>
    <w:rsid w:val="00CE5073"/>
    <w:rsid w:val="00CE50C7"/>
    <w:rsid w:val="00CE5102"/>
    <w:rsid w:val="00CE5126"/>
    <w:rsid w:val="00CE5198"/>
    <w:rsid w:val="00CE5232"/>
    <w:rsid w:val="00CE5240"/>
    <w:rsid w:val="00CE533F"/>
    <w:rsid w:val="00CE5349"/>
    <w:rsid w:val="00CE534E"/>
    <w:rsid w:val="00CE5352"/>
    <w:rsid w:val="00CE548D"/>
    <w:rsid w:val="00CE54A4"/>
    <w:rsid w:val="00CE54B0"/>
    <w:rsid w:val="00CE55C0"/>
    <w:rsid w:val="00CE55FA"/>
    <w:rsid w:val="00CE560C"/>
    <w:rsid w:val="00CE576D"/>
    <w:rsid w:val="00CE5818"/>
    <w:rsid w:val="00CE59AC"/>
    <w:rsid w:val="00CE5A01"/>
    <w:rsid w:val="00CE5ADE"/>
    <w:rsid w:val="00CE5AED"/>
    <w:rsid w:val="00CE5D21"/>
    <w:rsid w:val="00CE5D83"/>
    <w:rsid w:val="00CE5D92"/>
    <w:rsid w:val="00CE5DF6"/>
    <w:rsid w:val="00CE5E21"/>
    <w:rsid w:val="00CE5E5A"/>
    <w:rsid w:val="00CE5F55"/>
    <w:rsid w:val="00CE5F7A"/>
    <w:rsid w:val="00CE5FB0"/>
    <w:rsid w:val="00CE6037"/>
    <w:rsid w:val="00CE60D3"/>
    <w:rsid w:val="00CE613B"/>
    <w:rsid w:val="00CE61D1"/>
    <w:rsid w:val="00CE625C"/>
    <w:rsid w:val="00CE631E"/>
    <w:rsid w:val="00CE6320"/>
    <w:rsid w:val="00CE6493"/>
    <w:rsid w:val="00CE64FA"/>
    <w:rsid w:val="00CE650A"/>
    <w:rsid w:val="00CE659B"/>
    <w:rsid w:val="00CE67CC"/>
    <w:rsid w:val="00CE68B8"/>
    <w:rsid w:val="00CE68D3"/>
    <w:rsid w:val="00CE6998"/>
    <w:rsid w:val="00CE6B1E"/>
    <w:rsid w:val="00CE6B78"/>
    <w:rsid w:val="00CE6BE8"/>
    <w:rsid w:val="00CE6C4F"/>
    <w:rsid w:val="00CE6C7E"/>
    <w:rsid w:val="00CE6CC3"/>
    <w:rsid w:val="00CE6D3E"/>
    <w:rsid w:val="00CE6D9D"/>
    <w:rsid w:val="00CE6DE0"/>
    <w:rsid w:val="00CE7149"/>
    <w:rsid w:val="00CE71AC"/>
    <w:rsid w:val="00CE7230"/>
    <w:rsid w:val="00CE72F1"/>
    <w:rsid w:val="00CE745B"/>
    <w:rsid w:val="00CE7467"/>
    <w:rsid w:val="00CE74CD"/>
    <w:rsid w:val="00CE74E3"/>
    <w:rsid w:val="00CE754E"/>
    <w:rsid w:val="00CE7726"/>
    <w:rsid w:val="00CE772E"/>
    <w:rsid w:val="00CE782D"/>
    <w:rsid w:val="00CE782E"/>
    <w:rsid w:val="00CE7997"/>
    <w:rsid w:val="00CE7AB2"/>
    <w:rsid w:val="00CE7ABD"/>
    <w:rsid w:val="00CE7B3E"/>
    <w:rsid w:val="00CE7B66"/>
    <w:rsid w:val="00CE7BE6"/>
    <w:rsid w:val="00CE7C95"/>
    <w:rsid w:val="00CE7C97"/>
    <w:rsid w:val="00CE7DBF"/>
    <w:rsid w:val="00CE7E85"/>
    <w:rsid w:val="00CE7EF7"/>
    <w:rsid w:val="00CE7F2A"/>
    <w:rsid w:val="00CF0029"/>
    <w:rsid w:val="00CF003C"/>
    <w:rsid w:val="00CF010F"/>
    <w:rsid w:val="00CF011D"/>
    <w:rsid w:val="00CF018F"/>
    <w:rsid w:val="00CF0209"/>
    <w:rsid w:val="00CF0226"/>
    <w:rsid w:val="00CF036F"/>
    <w:rsid w:val="00CF03F6"/>
    <w:rsid w:val="00CF04F8"/>
    <w:rsid w:val="00CF0527"/>
    <w:rsid w:val="00CF07C8"/>
    <w:rsid w:val="00CF07F4"/>
    <w:rsid w:val="00CF07FA"/>
    <w:rsid w:val="00CF0815"/>
    <w:rsid w:val="00CF0893"/>
    <w:rsid w:val="00CF092F"/>
    <w:rsid w:val="00CF0A87"/>
    <w:rsid w:val="00CF0A89"/>
    <w:rsid w:val="00CF0B13"/>
    <w:rsid w:val="00CF0C2C"/>
    <w:rsid w:val="00CF0C8F"/>
    <w:rsid w:val="00CF0C90"/>
    <w:rsid w:val="00CF0C97"/>
    <w:rsid w:val="00CF0D01"/>
    <w:rsid w:val="00CF0DA7"/>
    <w:rsid w:val="00CF0DBE"/>
    <w:rsid w:val="00CF0E07"/>
    <w:rsid w:val="00CF0EEE"/>
    <w:rsid w:val="00CF1022"/>
    <w:rsid w:val="00CF1055"/>
    <w:rsid w:val="00CF10B8"/>
    <w:rsid w:val="00CF1109"/>
    <w:rsid w:val="00CF11C0"/>
    <w:rsid w:val="00CF11DE"/>
    <w:rsid w:val="00CF135F"/>
    <w:rsid w:val="00CF1361"/>
    <w:rsid w:val="00CF13D9"/>
    <w:rsid w:val="00CF14A1"/>
    <w:rsid w:val="00CF14BA"/>
    <w:rsid w:val="00CF14DD"/>
    <w:rsid w:val="00CF1514"/>
    <w:rsid w:val="00CF17AF"/>
    <w:rsid w:val="00CF188B"/>
    <w:rsid w:val="00CF18F5"/>
    <w:rsid w:val="00CF192A"/>
    <w:rsid w:val="00CF193A"/>
    <w:rsid w:val="00CF1947"/>
    <w:rsid w:val="00CF19C2"/>
    <w:rsid w:val="00CF1A3B"/>
    <w:rsid w:val="00CF1D9C"/>
    <w:rsid w:val="00CF1DC9"/>
    <w:rsid w:val="00CF1E35"/>
    <w:rsid w:val="00CF1E56"/>
    <w:rsid w:val="00CF1F62"/>
    <w:rsid w:val="00CF2071"/>
    <w:rsid w:val="00CF20DF"/>
    <w:rsid w:val="00CF20F4"/>
    <w:rsid w:val="00CF20F8"/>
    <w:rsid w:val="00CF2206"/>
    <w:rsid w:val="00CF223C"/>
    <w:rsid w:val="00CF23DF"/>
    <w:rsid w:val="00CF23E1"/>
    <w:rsid w:val="00CF2452"/>
    <w:rsid w:val="00CF246B"/>
    <w:rsid w:val="00CF24C3"/>
    <w:rsid w:val="00CF2509"/>
    <w:rsid w:val="00CF25A1"/>
    <w:rsid w:val="00CF2669"/>
    <w:rsid w:val="00CF26E6"/>
    <w:rsid w:val="00CF2704"/>
    <w:rsid w:val="00CF2716"/>
    <w:rsid w:val="00CF277B"/>
    <w:rsid w:val="00CF27B1"/>
    <w:rsid w:val="00CF27C3"/>
    <w:rsid w:val="00CF2A21"/>
    <w:rsid w:val="00CF2AB0"/>
    <w:rsid w:val="00CF2AD5"/>
    <w:rsid w:val="00CF2B37"/>
    <w:rsid w:val="00CF2CC7"/>
    <w:rsid w:val="00CF2D54"/>
    <w:rsid w:val="00CF2D90"/>
    <w:rsid w:val="00CF2DF4"/>
    <w:rsid w:val="00CF2E56"/>
    <w:rsid w:val="00CF2EB2"/>
    <w:rsid w:val="00CF2EF9"/>
    <w:rsid w:val="00CF2FC3"/>
    <w:rsid w:val="00CF3016"/>
    <w:rsid w:val="00CF3059"/>
    <w:rsid w:val="00CF318E"/>
    <w:rsid w:val="00CF32B4"/>
    <w:rsid w:val="00CF32F5"/>
    <w:rsid w:val="00CF3330"/>
    <w:rsid w:val="00CF338F"/>
    <w:rsid w:val="00CF3420"/>
    <w:rsid w:val="00CF342F"/>
    <w:rsid w:val="00CF3569"/>
    <w:rsid w:val="00CF3673"/>
    <w:rsid w:val="00CF369D"/>
    <w:rsid w:val="00CF36B2"/>
    <w:rsid w:val="00CF3714"/>
    <w:rsid w:val="00CF37C0"/>
    <w:rsid w:val="00CF3855"/>
    <w:rsid w:val="00CF39C5"/>
    <w:rsid w:val="00CF3A83"/>
    <w:rsid w:val="00CF3AB1"/>
    <w:rsid w:val="00CF3AC7"/>
    <w:rsid w:val="00CF3B87"/>
    <w:rsid w:val="00CF3BCB"/>
    <w:rsid w:val="00CF3C90"/>
    <w:rsid w:val="00CF3D7A"/>
    <w:rsid w:val="00CF3DC5"/>
    <w:rsid w:val="00CF3DF9"/>
    <w:rsid w:val="00CF3DFD"/>
    <w:rsid w:val="00CF3EEA"/>
    <w:rsid w:val="00CF3F87"/>
    <w:rsid w:val="00CF3FBC"/>
    <w:rsid w:val="00CF3FE2"/>
    <w:rsid w:val="00CF3FFC"/>
    <w:rsid w:val="00CF4147"/>
    <w:rsid w:val="00CF41D0"/>
    <w:rsid w:val="00CF4426"/>
    <w:rsid w:val="00CF44A5"/>
    <w:rsid w:val="00CF4588"/>
    <w:rsid w:val="00CF46D4"/>
    <w:rsid w:val="00CF46FF"/>
    <w:rsid w:val="00CF4731"/>
    <w:rsid w:val="00CF475A"/>
    <w:rsid w:val="00CF4784"/>
    <w:rsid w:val="00CF47C9"/>
    <w:rsid w:val="00CF47DD"/>
    <w:rsid w:val="00CF481B"/>
    <w:rsid w:val="00CF4828"/>
    <w:rsid w:val="00CF4842"/>
    <w:rsid w:val="00CF48AA"/>
    <w:rsid w:val="00CF48B5"/>
    <w:rsid w:val="00CF49D0"/>
    <w:rsid w:val="00CF4A27"/>
    <w:rsid w:val="00CF4A68"/>
    <w:rsid w:val="00CF4A7A"/>
    <w:rsid w:val="00CF4A89"/>
    <w:rsid w:val="00CF4B03"/>
    <w:rsid w:val="00CF4C1D"/>
    <w:rsid w:val="00CF4C47"/>
    <w:rsid w:val="00CF4C5A"/>
    <w:rsid w:val="00CF4D4D"/>
    <w:rsid w:val="00CF4D7C"/>
    <w:rsid w:val="00CF4D85"/>
    <w:rsid w:val="00CF4DB7"/>
    <w:rsid w:val="00CF4E3F"/>
    <w:rsid w:val="00CF4E50"/>
    <w:rsid w:val="00CF4E6B"/>
    <w:rsid w:val="00CF4E98"/>
    <w:rsid w:val="00CF4EF7"/>
    <w:rsid w:val="00CF4F3A"/>
    <w:rsid w:val="00CF4F5B"/>
    <w:rsid w:val="00CF4F80"/>
    <w:rsid w:val="00CF4FB6"/>
    <w:rsid w:val="00CF5277"/>
    <w:rsid w:val="00CF5573"/>
    <w:rsid w:val="00CF557C"/>
    <w:rsid w:val="00CF558A"/>
    <w:rsid w:val="00CF5593"/>
    <w:rsid w:val="00CF5726"/>
    <w:rsid w:val="00CF572B"/>
    <w:rsid w:val="00CF5811"/>
    <w:rsid w:val="00CF593B"/>
    <w:rsid w:val="00CF59F4"/>
    <w:rsid w:val="00CF5B60"/>
    <w:rsid w:val="00CF5BF4"/>
    <w:rsid w:val="00CF5C4A"/>
    <w:rsid w:val="00CF5C66"/>
    <w:rsid w:val="00CF5C79"/>
    <w:rsid w:val="00CF5DA1"/>
    <w:rsid w:val="00CF5DB0"/>
    <w:rsid w:val="00CF5DBD"/>
    <w:rsid w:val="00CF5E10"/>
    <w:rsid w:val="00CF5E21"/>
    <w:rsid w:val="00CF5F09"/>
    <w:rsid w:val="00CF5F23"/>
    <w:rsid w:val="00CF604A"/>
    <w:rsid w:val="00CF605B"/>
    <w:rsid w:val="00CF6191"/>
    <w:rsid w:val="00CF6217"/>
    <w:rsid w:val="00CF62BF"/>
    <w:rsid w:val="00CF62EA"/>
    <w:rsid w:val="00CF63ED"/>
    <w:rsid w:val="00CF64D0"/>
    <w:rsid w:val="00CF6525"/>
    <w:rsid w:val="00CF6609"/>
    <w:rsid w:val="00CF6659"/>
    <w:rsid w:val="00CF6788"/>
    <w:rsid w:val="00CF67B3"/>
    <w:rsid w:val="00CF6827"/>
    <w:rsid w:val="00CF68AF"/>
    <w:rsid w:val="00CF698E"/>
    <w:rsid w:val="00CF6A5A"/>
    <w:rsid w:val="00CF6AE4"/>
    <w:rsid w:val="00CF6B11"/>
    <w:rsid w:val="00CF6B20"/>
    <w:rsid w:val="00CF6B47"/>
    <w:rsid w:val="00CF6BC5"/>
    <w:rsid w:val="00CF6BD4"/>
    <w:rsid w:val="00CF6BD5"/>
    <w:rsid w:val="00CF6C02"/>
    <w:rsid w:val="00CF6D21"/>
    <w:rsid w:val="00CF6D4D"/>
    <w:rsid w:val="00CF6D53"/>
    <w:rsid w:val="00CF6D57"/>
    <w:rsid w:val="00CF6E0C"/>
    <w:rsid w:val="00CF6E54"/>
    <w:rsid w:val="00CF6EC7"/>
    <w:rsid w:val="00CF6F19"/>
    <w:rsid w:val="00CF6F7E"/>
    <w:rsid w:val="00CF6FD0"/>
    <w:rsid w:val="00CF7059"/>
    <w:rsid w:val="00CF716C"/>
    <w:rsid w:val="00CF71D4"/>
    <w:rsid w:val="00CF7253"/>
    <w:rsid w:val="00CF72C1"/>
    <w:rsid w:val="00CF7338"/>
    <w:rsid w:val="00CF73B9"/>
    <w:rsid w:val="00CF7449"/>
    <w:rsid w:val="00CF7487"/>
    <w:rsid w:val="00CF759E"/>
    <w:rsid w:val="00CF75EB"/>
    <w:rsid w:val="00CF760F"/>
    <w:rsid w:val="00CF761D"/>
    <w:rsid w:val="00CF77BC"/>
    <w:rsid w:val="00CF77CA"/>
    <w:rsid w:val="00CF7827"/>
    <w:rsid w:val="00CF785A"/>
    <w:rsid w:val="00CF78D2"/>
    <w:rsid w:val="00CF795D"/>
    <w:rsid w:val="00CF79B9"/>
    <w:rsid w:val="00CF7ADF"/>
    <w:rsid w:val="00CF7AE1"/>
    <w:rsid w:val="00CF7AEE"/>
    <w:rsid w:val="00CF7B0A"/>
    <w:rsid w:val="00CF7B88"/>
    <w:rsid w:val="00CF7B96"/>
    <w:rsid w:val="00CF7B98"/>
    <w:rsid w:val="00CF7BBB"/>
    <w:rsid w:val="00CF7BCF"/>
    <w:rsid w:val="00CF7D24"/>
    <w:rsid w:val="00CF7D36"/>
    <w:rsid w:val="00CF7D46"/>
    <w:rsid w:val="00CF7D4F"/>
    <w:rsid w:val="00CF7D5E"/>
    <w:rsid w:val="00CF7DF6"/>
    <w:rsid w:val="00CF7EB6"/>
    <w:rsid w:val="00CF7EDB"/>
    <w:rsid w:val="00CF7F20"/>
    <w:rsid w:val="00CF7F59"/>
    <w:rsid w:val="00D00061"/>
    <w:rsid w:val="00D00068"/>
    <w:rsid w:val="00D001FC"/>
    <w:rsid w:val="00D0020C"/>
    <w:rsid w:val="00D0037A"/>
    <w:rsid w:val="00D003B5"/>
    <w:rsid w:val="00D003FD"/>
    <w:rsid w:val="00D0041E"/>
    <w:rsid w:val="00D004B2"/>
    <w:rsid w:val="00D00526"/>
    <w:rsid w:val="00D00535"/>
    <w:rsid w:val="00D00635"/>
    <w:rsid w:val="00D0068A"/>
    <w:rsid w:val="00D00914"/>
    <w:rsid w:val="00D009BC"/>
    <w:rsid w:val="00D00BDE"/>
    <w:rsid w:val="00D00D10"/>
    <w:rsid w:val="00D00DEC"/>
    <w:rsid w:val="00D00EC0"/>
    <w:rsid w:val="00D00F35"/>
    <w:rsid w:val="00D01093"/>
    <w:rsid w:val="00D010A1"/>
    <w:rsid w:val="00D010D1"/>
    <w:rsid w:val="00D01262"/>
    <w:rsid w:val="00D01381"/>
    <w:rsid w:val="00D01399"/>
    <w:rsid w:val="00D013FD"/>
    <w:rsid w:val="00D01468"/>
    <w:rsid w:val="00D014A6"/>
    <w:rsid w:val="00D014B3"/>
    <w:rsid w:val="00D015C7"/>
    <w:rsid w:val="00D015F9"/>
    <w:rsid w:val="00D016C8"/>
    <w:rsid w:val="00D016E8"/>
    <w:rsid w:val="00D0185B"/>
    <w:rsid w:val="00D018AD"/>
    <w:rsid w:val="00D018DA"/>
    <w:rsid w:val="00D01918"/>
    <w:rsid w:val="00D019EE"/>
    <w:rsid w:val="00D01A44"/>
    <w:rsid w:val="00D01ACD"/>
    <w:rsid w:val="00D01ADD"/>
    <w:rsid w:val="00D01E36"/>
    <w:rsid w:val="00D01E53"/>
    <w:rsid w:val="00D01E6A"/>
    <w:rsid w:val="00D01E89"/>
    <w:rsid w:val="00D01EBE"/>
    <w:rsid w:val="00D01EC7"/>
    <w:rsid w:val="00D01ED3"/>
    <w:rsid w:val="00D01F99"/>
    <w:rsid w:val="00D01F9D"/>
    <w:rsid w:val="00D02039"/>
    <w:rsid w:val="00D020A2"/>
    <w:rsid w:val="00D02126"/>
    <w:rsid w:val="00D02144"/>
    <w:rsid w:val="00D02163"/>
    <w:rsid w:val="00D02223"/>
    <w:rsid w:val="00D0225E"/>
    <w:rsid w:val="00D0226E"/>
    <w:rsid w:val="00D02362"/>
    <w:rsid w:val="00D023B8"/>
    <w:rsid w:val="00D023DB"/>
    <w:rsid w:val="00D02494"/>
    <w:rsid w:val="00D025E9"/>
    <w:rsid w:val="00D02629"/>
    <w:rsid w:val="00D0272D"/>
    <w:rsid w:val="00D0276D"/>
    <w:rsid w:val="00D027A7"/>
    <w:rsid w:val="00D0282C"/>
    <w:rsid w:val="00D02961"/>
    <w:rsid w:val="00D029AA"/>
    <w:rsid w:val="00D02A1C"/>
    <w:rsid w:val="00D02A29"/>
    <w:rsid w:val="00D02B02"/>
    <w:rsid w:val="00D02B97"/>
    <w:rsid w:val="00D02C05"/>
    <w:rsid w:val="00D02C24"/>
    <w:rsid w:val="00D02C33"/>
    <w:rsid w:val="00D02D96"/>
    <w:rsid w:val="00D02E53"/>
    <w:rsid w:val="00D02E7A"/>
    <w:rsid w:val="00D02F14"/>
    <w:rsid w:val="00D03040"/>
    <w:rsid w:val="00D030BD"/>
    <w:rsid w:val="00D030D0"/>
    <w:rsid w:val="00D031D6"/>
    <w:rsid w:val="00D033D2"/>
    <w:rsid w:val="00D0349E"/>
    <w:rsid w:val="00D034E6"/>
    <w:rsid w:val="00D03534"/>
    <w:rsid w:val="00D035F3"/>
    <w:rsid w:val="00D0363B"/>
    <w:rsid w:val="00D0363C"/>
    <w:rsid w:val="00D0364C"/>
    <w:rsid w:val="00D036C2"/>
    <w:rsid w:val="00D03810"/>
    <w:rsid w:val="00D0383E"/>
    <w:rsid w:val="00D0389C"/>
    <w:rsid w:val="00D03B70"/>
    <w:rsid w:val="00D03CB6"/>
    <w:rsid w:val="00D03CBA"/>
    <w:rsid w:val="00D03D94"/>
    <w:rsid w:val="00D03DE9"/>
    <w:rsid w:val="00D03E3D"/>
    <w:rsid w:val="00D03E53"/>
    <w:rsid w:val="00D03E83"/>
    <w:rsid w:val="00D03EE2"/>
    <w:rsid w:val="00D03EEA"/>
    <w:rsid w:val="00D03EED"/>
    <w:rsid w:val="00D04007"/>
    <w:rsid w:val="00D04059"/>
    <w:rsid w:val="00D040E2"/>
    <w:rsid w:val="00D04143"/>
    <w:rsid w:val="00D04282"/>
    <w:rsid w:val="00D04301"/>
    <w:rsid w:val="00D0432E"/>
    <w:rsid w:val="00D04359"/>
    <w:rsid w:val="00D0451A"/>
    <w:rsid w:val="00D04583"/>
    <w:rsid w:val="00D046B3"/>
    <w:rsid w:val="00D04829"/>
    <w:rsid w:val="00D04977"/>
    <w:rsid w:val="00D0498C"/>
    <w:rsid w:val="00D04A9D"/>
    <w:rsid w:val="00D04AAF"/>
    <w:rsid w:val="00D04AC3"/>
    <w:rsid w:val="00D04B71"/>
    <w:rsid w:val="00D04BB6"/>
    <w:rsid w:val="00D04C76"/>
    <w:rsid w:val="00D04C78"/>
    <w:rsid w:val="00D04CEF"/>
    <w:rsid w:val="00D04D88"/>
    <w:rsid w:val="00D04EA1"/>
    <w:rsid w:val="00D04F32"/>
    <w:rsid w:val="00D04F63"/>
    <w:rsid w:val="00D04F67"/>
    <w:rsid w:val="00D04FA0"/>
    <w:rsid w:val="00D0514A"/>
    <w:rsid w:val="00D0519C"/>
    <w:rsid w:val="00D051EC"/>
    <w:rsid w:val="00D051FE"/>
    <w:rsid w:val="00D052A1"/>
    <w:rsid w:val="00D05417"/>
    <w:rsid w:val="00D0559E"/>
    <w:rsid w:val="00D0562C"/>
    <w:rsid w:val="00D0562F"/>
    <w:rsid w:val="00D05646"/>
    <w:rsid w:val="00D056CB"/>
    <w:rsid w:val="00D056F2"/>
    <w:rsid w:val="00D05733"/>
    <w:rsid w:val="00D057FB"/>
    <w:rsid w:val="00D05838"/>
    <w:rsid w:val="00D0596E"/>
    <w:rsid w:val="00D05B0A"/>
    <w:rsid w:val="00D05B30"/>
    <w:rsid w:val="00D05B44"/>
    <w:rsid w:val="00D05C5D"/>
    <w:rsid w:val="00D05D34"/>
    <w:rsid w:val="00D05D3C"/>
    <w:rsid w:val="00D05D6F"/>
    <w:rsid w:val="00D05D89"/>
    <w:rsid w:val="00D05D91"/>
    <w:rsid w:val="00D05DFD"/>
    <w:rsid w:val="00D05E14"/>
    <w:rsid w:val="00D05E7A"/>
    <w:rsid w:val="00D05F16"/>
    <w:rsid w:val="00D05F6D"/>
    <w:rsid w:val="00D05FC1"/>
    <w:rsid w:val="00D05FC5"/>
    <w:rsid w:val="00D06058"/>
    <w:rsid w:val="00D060D5"/>
    <w:rsid w:val="00D060E5"/>
    <w:rsid w:val="00D061A0"/>
    <w:rsid w:val="00D061CF"/>
    <w:rsid w:val="00D06239"/>
    <w:rsid w:val="00D06258"/>
    <w:rsid w:val="00D0625D"/>
    <w:rsid w:val="00D062EF"/>
    <w:rsid w:val="00D06352"/>
    <w:rsid w:val="00D0635D"/>
    <w:rsid w:val="00D06378"/>
    <w:rsid w:val="00D06383"/>
    <w:rsid w:val="00D0638A"/>
    <w:rsid w:val="00D063FC"/>
    <w:rsid w:val="00D06441"/>
    <w:rsid w:val="00D06465"/>
    <w:rsid w:val="00D064A9"/>
    <w:rsid w:val="00D064C3"/>
    <w:rsid w:val="00D06525"/>
    <w:rsid w:val="00D0654A"/>
    <w:rsid w:val="00D06559"/>
    <w:rsid w:val="00D065FB"/>
    <w:rsid w:val="00D06601"/>
    <w:rsid w:val="00D066FA"/>
    <w:rsid w:val="00D06702"/>
    <w:rsid w:val="00D06733"/>
    <w:rsid w:val="00D06745"/>
    <w:rsid w:val="00D0674B"/>
    <w:rsid w:val="00D067F7"/>
    <w:rsid w:val="00D06827"/>
    <w:rsid w:val="00D06835"/>
    <w:rsid w:val="00D06848"/>
    <w:rsid w:val="00D06951"/>
    <w:rsid w:val="00D069E7"/>
    <w:rsid w:val="00D06A10"/>
    <w:rsid w:val="00D06A41"/>
    <w:rsid w:val="00D06A49"/>
    <w:rsid w:val="00D06AD4"/>
    <w:rsid w:val="00D06B5D"/>
    <w:rsid w:val="00D06B98"/>
    <w:rsid w:val="00D06C0E"/>
    <w:rsid w:val="00D06CFC"/>
    <w:rsid w:val="00D06D01"/>
    <w:rsid w:val="00D06DC7"/>
    <w:rsid w:val="00D06E0C"/>
    <w:rsid w:val="00D06E79"/>
    <w:rsid w:val="00D06F4F"/>
    <w:rsid w:val="00D06F65"/>
    <w:rsid w:val="00D06FA0"/>
    <w:rsid w:val="00D06FB1"/>
    <w:rsid w:val="00D06FB6"/>
    <w:rsid w:val="00D06FC5"/>
    <w:rsid w:val="00D07004"/>
    <w:rsid w:val="00D07034"/>
    <w:rsid w:val="00D0706E"/>
    <w:rsid w:val="00D070A6"/>
    <w:rsid w:val="00D07111"/>
    <w:rsid w:val="00D071E9"/>
    <w:rsid w:val="00D072CD"/>
    <w:rsid w:val="00D072D9"/>
    <w:rsid w:val="00D0737E"/>
    <w:rsid w:val="00D0752E"/>
    <w:rsid w:val="00D075B3"/>
    <w:rsid w:val="00D07626"/>
    <w:rsid w:val="00D076B6"/>
    <w:rsid w:val="00D076D1"/>
    <w:rsid w:val="00D076F6"/>
    <w:rsid w:val="00D0792A"/>
    <w:rsid w:val="00D0793C"/>
    <w:rsid w:val="00D07958"/>
    <w:rsid w:val="00D07982"/>
    <w:rsid w:val="00D07A28"/>
    <w:rsid w:val="00D07A5D"/>
    <w:rsid w:val="00D07B14"/>
    <w:rsid w:val="00D07B5F"/>
    <w:rsid w:val="00D07BCF"/>
    <w:rsid w:val="00D07BD8"/>
    <w:rsid w:val="00D07BE7"/>
    <w:rsid w:val="00D07C80"/>
    <w:rsid w:val="00D07C92"/>
    <w:rsid w:val="00D07CBE"/>
    <w:rsid w:val="00D07D8A"/>
    <w:rsid w:val="00D07DBF"/>
    <w:rsid w:val="00D07E63"/>
    <w:rsid w:val="00D07EF9"/>
    <w:rsid w:val="00D07F8A"/>
    <w:rsid w:val="00D07F8F"/>
    <w:rsid w:val="00D10020"/>
    <w:rsid w:val="00D10091"/>
    <w:rsid w:val="00D10174"/>
    <w:rsid w:val="00D1019A"/>
    <w:rsid w:val="00D1035B"/>
    <w:rsid w:val="00D1045F"/>
    <w:rsid w:val="00D10482"/>
    <w:rsid w:val="00D105C2"/>
    <w:rsid w:val="00D105CE"/>
    <w:rsid w:val="00D10666"/>
    <w:rsid w:val="00D1067E"/>
    <w:rsid w:val="00D106CF"/>
    <w:rsid w:val="00D1077F"/>
    <w:rsid w:val="00D108AE"/>
    <w:rsid w:val="00D108BA"/>
    <w:rsid w:val="00D108CC"/>
    <w:rsid w:val="00D1097C"/>
    <w:rsid w:val="00D10AE8"/>
    <w:rsid w:val="00D10C32"/>
    <w:rsid w:val="00D10E45"/>
    <w:rsid w:val="00D10E46"/>
    <w:rsid w:val="00D10E6E"/>
    <w:rsid w:val="00D10F45"/>
    <w:rsid w:val="00D10F53"/>
    <w:rsid w:val="00D10F5A"/>
    <w:rsid w:val="00D11010"/>
    <w:rsid w:val="00D110DC"/>
    <w:rsid w:val="00D11149"/>
    <w:rsid w:val="00D112D0"/>
    <w:rsid w:val="00D1140A"/>
    <w:rsid w:val="00D11431"/>
    <w:rsid w:val="00D114F4"/>
    <w:rsid w:val="00D1163B"/>
    <w:rsid w:val="00D1163E"/>
    <w:rsid w:val="00D116DB"/>
    <w:rsid w:val="00D1185A"/>
    <w:rsid w:val="00D118A7"/>
    <w:rsid w:val="00D119CD"/>
    <w:rsid w:val="00D11AA6"/>
    <w:rsid w:val="00D11AF5"/>
    <w:rsid w:val="00D11BBC"/>
    <w:rsid w:val="00D11C1A"/>
    <w:rsid w:val="00D11C43"/>
    <w:rsid w:val="00D11D48"/>
    <w:rsid w:val="00D11DDA"/>
    <w:rsid w:val="00D11E2B"/>
    <w:rsid w:val="00D11E4C"/>
    <w:rsid w:val="00D11E60"/>
    <w:rsid w:val="00D11FDE"/>
    <w:rsid w:val="00D1203B"/>
    <w:rsid w:val="00D12084"/>
    <w:rsid w:val="00D120EE"/>
    <w:rsid w:val="00D121EE"/>
    <w:rsid w:val="00D122C0"/>
    <w:rsid w:val="00D122FD"/>
    <w:rsid w:val="00D12448"/>
    <w:rsid w:val="00D12507"/>
    <w:rsid w:val="00D125D1"/>
    <w:rsid w:val="00D12627"/>
    <w:rsid w:val="00D1283B"/>
    <w:rsid w:val="00D12856"/>
    <w:rsid w:val="00D12A0C"/>
    <w:rsid w:val="00D12B7C"/>
    <w:rsid w:val="00D12BFC"/>
    <w:rsid w:val="00D12C3E"/>
    <w:rsid w:val="00D12C6C"/>
    <w:rsid w:val="00D12D49"/>
    <w:rsid w:val="00D12D62"/>
    <w:rsid w:val="00D12F5A"/>
    <w:rsid w:val="00D131B9"/>
    <w:rsid w:val="00D13245"/>
    <w:rsid w:val="00D13345"/>
    <w:rsid w:val="00D134BA"/>
    <w:rsid w:val="00D13563"/>
    <w:rsid w:val="00D1366D"/>
    <w:rsid w:val="00D13732"/>
    <w:rsid w:val="00D13742"/>
    <w:rsid w:val="00D137C8"/>
    <w:rsid w:val="00D1382B"/>
    <w:rsid w:val="00D139DB"/>
    <w:rsid w:val="00D13A62"/>
    <w:rsid w:val="00D13AD8"/>
    <w:rsid w:val="00D13B00"/>
    <w:rsid w:val="00D13C78"/>
    <w:rsid w:val="00D13C8F"/>
    <w:rsid w:val="00D13DDE"/>
    <w:rsid w:val="00D13F84"/>
    <w:rsid w:val="00D14020"/>
    <w:rsid w:val="00D14101"/>
    <w:rsid w:val="00D1411C"/>
    <w:rsid w:val="00D1418A"/>
    <w:rsid w:val="00D141B8"/>
    <w:rsid w:val="00D141E0"/>
    <w:rsid w:val="00D14331"/>
    <w:rsid w:val="00D143D5"/>
    <w:rsid w:val="00D144E9"/>
    <w:rsid w:val="00D14534"/>
    <w:rsid w:val="00D145DF"/>
    <w:rsid w:val="00D147B2"/>
    <w:rsid w:val="00D1482A"/>
    <w:rsid w:val="00D148E0"/>
    <w:rsid w:val="00D14948"/>
    <w:rsid w:val="00D14984"/>
    <w:rsid w:val="00D14990"/>
    <w:rsid w:val="00D14A6C"/>
    <w:rsid w:val="00D14A8E"/>
    <w:rsid w:val="00D14CD1"/>
    <w:rsid w:val="00D14CF8"/>
    <w:rsid w:val="00D14D7C"/>
    <w:rsid w:val="00D14DFB"/>
    <w:rsid w:val="00D14E31"/>
    <w:rsid w:val="00D14E55"/>
    <w:rsid w:val="00D14E67"/>
    <w:rsid w:val="00D14E69"/>
    <w:rsid w:val="00D14EF0"/>
    <w:rsid w:val="00D15110"/>
    <w:rsid w:val="00D15181"/>
    <w:rsid w:val="00D15196"/>
    <w:rsid w:val="00D151B2"/>
    <w:rsid w:val="00D151D4"/>
    <w:rsid w:val="00D151FC"/>
    <w:rsid w:val="00D15295"/>
    <w:rsid w:val="00D153B6"/>
    <w:rsid w:val="00D15437"/>
    <w:rsid w:val="00D1549B"/>
    <w:rsid w:val="00D15521"/>
    <w:rsid w:val="00D155BE"/>
    <w:rsid w:val="00D15661"/>
    <w:rsid w:val="00D15686"/>
    <w:rsid w:val="00D156AE"/>
    <w:rsid w:val="00D156EC"/>
    <w:rsid w:val="00D15718"/>
    <w:rsid w:val="00D157E0"/>
    <w:rsid w:val="00D157E9"/>
    <w:rsid w:val="00D157EB"/>
    <w:rsid w:val="00D15826"/>
    <w:rsid w:val="00D158B1"/>
    <w:rsid w:val="00D15951"/>
    <w:rsid w:val="00D159F1"/>
    <w:rsid w:val="00D15A14"/>
    <w:rsid w:val="00D15AC9"/>
    <w:rsid w:val="00D15B0A"/>
    <w:rsid w:val="00D15B6F"/>
    <w:rsid w:val="00D15B84"/>
    <w:rsid w:val="00D15B9D"/>
    <w:rsid w:val="00D15BE1"/>
    <w:rsid w:val="00D15C6D"/>
    <w:rsid w:val="00D15C88"/>
    <w:rsid w:val="00D15C9D"/>
    <w:rsid w:val="00D15CAF"/>
    <w:rsid w:val="00D15CB5"/>
    <w:rsid w:val="00D15D6B"/>
    <w:rsid w:val="00D15DBC"/>
    <w:rsid w:val="00D15E8E"/>
    <w:rsid w:val="00D15EC1"/>
    <w:rsid w:val="00D15ED7"/>
    <w:rsid w:val="00D15F28"/>
    <w:rsid w:val="00D15F71"/>
    <w:rsid w:val="00D15FFE"/>
    <w:rsid w:val="00D16048"/>
    <w:rsid w:val="00D160A8"/>
    <w:rsid w:val="00D16118"/>
    <w:rsid w:val="00D16142"/>
    <w:rsid w:val="00D16143"/>
    <w:rsid w:val="00D161B6"/>
    <w:rsid w:val="00D1639E"/>
    <w:rsid w:val="00D164BE"/>
    <w:rsid w:val="00D164F9"/>
    <w:rsid w:val="00D16555"/>
    <w:rsid w:val="00D16561"/>
    <w:rsid w:val="00D165CE"/>
    <w:rsid w:val="00D166CA"/>
    <w:rsid w:val="00D16701"/>
    <w:rsid w:val="00D16940"/>
    <w:rsid w:val="00D1695E"/>
    <w:rsid w:val="00D16A79"/>
    <w:rsid w:val="00D16C77"/>
    <w:rsid w:val="00D16C85"/>
    <w:rsid w:val="00D16CF8"/>
    <w:rsid w:val="00D16D71"/>
    <w:rsid w:val="00D16DC2"/>
    <w:rsid w:val="00D16E1E"/>
    <w:rsid w:val="00D16F48"/>
    <w:rsid w:val="00D17140"/>
    <w:rsid w:val="00D1716A"/>
    <w:rsid w:val="00D1716C"/>
    <w:rsid w:val="00D1716F"/>
    <w:rsid w:val="00D17203"/>
    <w:rsid w:val="00D172DF"/>
    <w:rsid w:val="00D173BF"/>
    <w:rsid w:val="00D1740F"/>
    <w:rsid w:val="00D17562"/>
    <w:rsid w:val="00D17566"/>
    <w:rsid w:val="00D17569"/>
    <w:rsid w:val="00D17598"/>
    <w:rsid w:val="00D1762C"/>
    <w:rsid w:val="00D1773B"/>
    <w:rsid w:val="00D177B7"/>
    <w:rsid w:val="00D177E8"/>
    <w:rsid w:val="00D178F4"/>
    <w:rsid w:val="00D1792D"/>
    <w:rsid w:val="00D17935"/>
    <w:rsid w:val="00D1795D"/>
    <w:rsid w:val="00D17A5B"/>
    <w:rsid w:val="00D17B53"/>
    <w:rsid w:val="00D17B66"/>
    <w:rsid w:val="00D17B84"/>
    <w:rsid w:val="00D17B8E"/>
    <w:rsid w:val="00D17BA6"/>
    <w:rsid w:val="00D17BB2"/>
    <w:rsid w:val="00D17CEE"/>
    <w:rsid w:val="00D17D0F"/>
    <w:rsid w:val="00D17D91"/>
    <w:rsid w:val="00D17DDE"/>
    <w:rsid w:val="00D17EF1"/>
    <w:rsid w:val="00D17F9C"/>
    <w:rsid w:val="00D17FD6"/>
    <w:rsid w:val="00D17FEB"/>
    <w:rsid w:val="00D2003B"/>
    <w:rsid w:val="00D200B5"/>
    <w:rsid w:val="00D2020D"/>
    <w:rsid w:val="00D2030B"/>
    <w:rsid w:val="00D2032D"/>
    <w:rsid w:val="00D2036A"/>
    <w:rsid w:val="00D20379"/>
    <w:rsid w:val="00D20396"/>
    <w:rsid w:val="00D203E8"/>
    <w:rsid w:val="00D20479"/>
    <w:rsid w:val="00D204A3"/>
    <w:rsid w:val="00D20533"/>
    <w:rsid w:val="00D205C1"/>
    <w:rsid w:val="00D20617"/>
    <w:rsid w:val="00D2065F"/>
    <w:rsid w:val="00D20689"/>
    <w:rsid w:val="00D207D6"/>
    <w:rsid w:val="00D20950"/>
    <w:rsid w:val="00D20A00"/>
    <w:rsid w:val="00D20ABA"/>
    <w:rsid w:val="00D20BB1"/>
    <w:rsid w:val="00D20CEE"/>
    <w:rsid w:val="00D20CF7"/>
    <w:rsid w:val="00D20D11"/>
    <w:rsid w:val="00D20D38"/>
    <w:rsid w:val="00D20D43"/>
    <w:rsid w:val="00D20D85"/>
    <w:rsid w:val="00D20EEC"/>
    <w:rsid w:val="00D20F0C"/>
    <w:rsid w:val="00D20F2B"/>
    <w:rsid w:val="00D20F8A"/>
    <w:rsid w:val="00D20FEC"/>
    <w:rsid w:val="00D2102C"/>
    <w:rsid w:val="00D211C0"/>
    <w:rsid w:val="00D2121C"/>
    <w:rsid w:val="00D2122B"/>
    <w:rsid w:val="00D21264"/>
    <w:rsid w:val="00D2126D"/>
    <w:rsid w:val="00D2134B"/>
    <w:rsid w:val="00D213E5"/>
    <w:rsid w:val="00D21496"/>
    <w:rsid w:val="00D2157A"/>
    <w:rsid w:val="00D21584"/>
    <w:rsid w:val="00D2160C"/>
    <w:rsid w:val="00D21723"/>
    <w:rsid w:val="00D2174C"/>
    <w:rsid w:val="00D2176E"/>
    <w:rsid w:val="00D217EF"/>
    <w:rsid w:val="00D21844"/>
    <w:rsid w:val="00D21965"/>
    <w:rsid w:val="00D2198F"/>
    <w:rsid w:val="00D21997"/>
    <w:rsid w:val="00D219AB"/>
    <w:rsid w:val="00D219E3"/>
    <w:rsid w:val="00D21A43"/>
    <w:rsid w:val="00D21A71"/>
    <w:rsid w:val="00D21AA0"/>
    <w:rsid w:val="00D21ABC"/>
    <w:rsid w:val="00D21BAD"/>
    <w:rsid w:val="00D21BB9"/>
    <w:rsid w:val="00D21BD8"/>
    <w:rsid w:val="00D21CB2"/>
    <w:rsid w:val="00D21D43"/>
    <w:rsid w:val="00D21DE3"/>
    <w:rsid w:val="00D21E19"/>
    <w:rsid w:val="00D21E49"/>
    <w:rsid w:val="00D21F3A"/>
    <w:rsid w:val="00D21F67"/>
    <w:rsid w:val="00D220C1"/>
    <w:rsid w:val="00D22111"/>
    <w:rsid w:val="00D2214A"/>
    <w:rsid w:val="00D222AA"/>
    <w:rsid w:val="00D22325"/>
    <w:rsid w:val="00D2246F"/>
    <w:rsid w:val="00D224F3"/>
    <w:rsid w:val="00D224F9"/>
    <w:rsid w:val="00D2270B"/>
    <w:rsid w:val="00D2277A"/>
    <w:rsid w:val="00D2279C"/>
    <w:rsid w:val="00D228B2"/>
    <w:rsid w:val="00D2290A"/>
    <w:rsid w:val="00D2290C"/>
    <w:rsid w:val="00D22938"/>
    <w:rsid w:val="00D22B10"/>
    <w:rsid w:val="00D22B61"/>
    <w:rsid w:val="00D22BBF"/>
    <w:rsid w:val="00D22C0D"/>
    <w:rsid w:val="00D22C15"/>
    <w:rsid w:val="00D22D29"/>
    <w:rsid w:val="00D22E59"/>
    <w:rsid w:val="00D2301B"/>
    <w:rsid w:val="00D230B9"/>
    <w:rsid w:val="00D23172"/>
    <w:rsid w:val="00D23204"/>
    <w:rsid w:val="00D2323F"/>
    <w:rsid w:val="00D232C1"/>
    <w:rsid w:val="00D23317"/>
    <w:rsid w:val="00D2333E"/>
    <w:rsid w:val="00D233F1"/>
    <w:rsid w:val="00D23451"/>
    <w:rsid w:val="00D23577"/>
    <w:rsid w:val="00D23585"/>
    <w:rsid w:val="00D2362F"/>
    <w:rsid w:val="00D236BF"/>
    <w:rsid w:val="00D2386A"/>
    <w:rsid w:val="00D238A3"/>
    <w:rsid w:val="00D238E5"/>
    <w:rsid w:val="00D23944"/>
    <w:rsid w:val="00D239D9"/>
    <w:rsid w:val="00D23A17"/>
    <w:rsid w:val="00D23AE3"/>
    <w:rsid w:val="00D23B4F"/>
    <w:rsid w:val="00D23B55"/>
    <w:rsid w:val="00D23C39"/>
    <w:rsid w:val="00D23D25"/>
    <w:rsid w:val="00D23D31"/>
    <w:rsid w:val="00D23DA9"/>
    <w:rsid w:val="00D23DD6"/>
    <w:rsid w:val="00D23DEB"/>
    <w:rsid w:val="00D23E84"/>
    <w:rsid w:val="00D23E8F"/>
    <w:rsid w:val="00D2403D"/>
    <w:rsid w:val="00D240C1"/>
    <w:rsid w:val="00D24125"/>
    <w:rsid w:val="00D24183"/>
    <w:rsid w:val="00D241FE"/>
    <w:rsid w:val="00D2423D"/>
    <w:rsid w:val="00D242F9"/>
    <w:rsid w:val="00D24309"/>
    <w:rsid w:val="00D2431F"/>
    <w:rsid w:val="00D24323"/>
    <w:rsid w:val="00D24396"/>
    <w:rsid w:val="00D243BB"/>
    <w:rsid w:val="00D243EB"/>
    <w:rsid w:val="00D2444B"/>
    <w:rsid w:val="00D244ED"/>
    <w:rsid w:val="00D2455B"/>
    <w:rsid w:val="00D24594"/>
    <w:rsid w:val="00D24639"/>
    <w:rsid w:val="00D24663"/>
    <w:rsid w:val="00D246C8"/>
    <w:rsid w:val="00D24729"/>
    <w:rsid w:val="00D247FF"/>
    <w:rsid w:val="00D248D0"/>
    <w:rsid w:val="00D2491B"/>
    <w:rsid w:val="00D24990"/>
    <w:rsid w:val="00D24A11"/>
    <w:rsid w:val="00D24A12"/>
    <w:rsid w:val="00D24A86"/>
    <w:rsid w:val="00D24A9B"/>
    <w:rsid w:val="00D24AC5"/>
    <w:rsid w:val="00D24BE3"/>
    <w:rsid w:val="00D24C0C"/>
    <w:rsid w:val="00D24C22"/>
    <w:rsid w:val="00D24C82"/>
    <w:rsid w:val="00D24C86"/>
    <w:rsid w:val="00D24CA3"/>
    <w:rsid w:val="00D24EC9"/>
    <w:rsid w:val="00D24EF5"/>
    <w:rsid w:val="00D25038"/>
    <w:rsid w:val="00D25062"/>
    <w:rsid w:val="00D25107"/>
    <w:rsid w:val="00D2520F"/>
    <w:rsid w:val="00D25236"/>
    <w:rsid w:val="00D2533F"/>
    <w:rsid w:val="00D2536E"/>
    <w:rsid w:val="00D25434"/>
    <w:rsid w:val="00D25466"/>
    <w:rsid w:val="00D2546E"/>
    <w:rsid w:val="00D2548B"/>
    <w:rsid w:val="00D254B4"/>
    <w:rsid w:val="00D254C6"/>
    <w:rsid w:val="00D25502"/>
    <w:rsid w:val="00D25610"/>
    <w:rsid w:val="00D256A8"/>
    <w:rsid w:val="00D25722"/>
    <w:rsid w:val="00D25746"/>
    <w:rsid w:val="00D2580A"/>
    <w:rsid w:val="00D25897"/>
    <w:rsid w:val="00D2596A"/>
    <w:rsid w:val="00D25C8A"/>
    <w:rsid w:val="00D25D90"/>
    <w:rsid w:val="00D25DCA"/>
    <w:rsid w:val="00D25E42"/>
    <w:rsid w:val="00D25E86"/>
    <w:rsid w:val="00D25F5C"/>
    <w:rsid w:val="00D26086"/>
    <w:rsid w:val="00D26292"/>
    <w:rsid w:val="00D2629A"/>
    <w:rsid w:val="00D262C5"/>
    <w:rsid w:val="00D262FE"/>
    <w:rsid w:val="00D26399"/>
    <w:rsid w:val="00D263B9"/>
    <w:rsid w:val="00D263C6"/>
    <w:rsid w:val="00D263E6"/>
    <w:rsid w:val="00D26666"/>
    <w:rsid w:val="00D266C0"/>
    <w:rsid w:val="00D266D7"/>
    <w:rsid w:val="00D26726"/>
    <w:rsid w:val="00D267A6"/>
    <w:rsid w:val="00D26831"/>
    <w:rsid w:val="00D26972"/>
    <w:rsid w:val="00D26A07"/>
    <w:rsid w:val="00D26B4E"/>
    <w:rsid w:val="00D26B9A"/>
    <w:rsid w:val="00D26BB2"/>
    <w:rsid w:val="00D26C18"/>
    <w:rsid w:val="00D26C51"/>
    <w:rsid w:val="00D26C56"/>
    <w:rsid w:val="00D26D25"/>
    <w:rsid w:val="00D26DDD"/>
    <w:rsid w:val="00D26E01"/>
    <w:rsid w:val="00D26E48"/>
    <w:rsid w:val="00D26E7C"/>
    <w:rsid w:val="00D26F00"/>
    <w:rsid w:val="00D26FC0"/>
    <w:rsid w:val="00D26FC7"/>
    <w:rsid w:val="00D26FF4"/>
    <w:rsid w:val="00D270D5"/>
    <w:rsid w:val="00D271F0"/>
    <w:rsid w:val="00D271F9"/>
    <w:rsid w:val="00D2726D"/>
    <w:rsid w:val="00D272AE"/>
    <w:rsid w:val="00D272CF"/>
    <w:rsid w:val="00D272E0"/>
    <w:rsid w:val="00D2731B"/>
    <w:rsid w:val="00D27400"/>
    <w:rsid w:val="00D27443"/>
    <w:rsid w:val="00D27540"/>
    <w:rsid w:val="00D2759E"/>
    <w:rsid w:val="00D276DE"/>
    <w:rsid w:val="00D27743"/>
    <w:rsid w:val="00D2777A"/>
    <w:rsid w:val="00D2786E"/>
    <w:rsid w:val="00D27A28"/>
    <w:rsid w:val="00D27B02"/>
    <w:rsid w:val="00D27BAB"/>
    <w:rsid w:val="00D27C25"/>
    <w:rsid w:val="00D27C5A"/>
    <w:rsid w:val="00D27CCE"/>
    <w:rsid w:val="00D27CFA"/>
    <w:rsid w:val="00D27E95"/>
    <w:rsid w:val="00D27EB4"/>
    <w:rsid w:val="00D3011F"/>
    <w:rsid w:val="00D301B6"/>
    <w:rsid w:val="00D30226"/>
    <w:rsid w:val="00D3023F"/>
    <w:rsid w:val="00D3026B"/>
    <w:rsid w:val="00D3027E"/>
    <w:rsid w:val="00D302E3"/>
    <w:rsid w:val="00D302F6"/>
    <w:rsid w:val="00D30333"/>
    <w:rsid w:val="00D30340"/>
    <w:rsid w:val="00D303BA"/>
    <w:rsid w:val="00D303F4"/>
    <w:rsid w:val="00D303FC"/>
    <w:rsid w:val="00D3044B"/>
    <w:rsid w:val="00D3047B"/>
    <w:rsid w:val="00D30519"/>
    <w:rsid w:val="00D30537"/>
    <w:rsid w:val="00D3054C"/>
    <w:rsid w:val="00D3055D"/>
    <w:rsid w:val="00D30695"/>
    <w:rsid w:val="00D30795"/>
    <w:rsid w:val="00D30816"/>
    <w:rsid w:val="00D308AA"/>
    <w:rsid w:val="00D309A2"/>
    <w:rsid w:val="00D30A3F"/>
    <w:rsid w:val="00D30AAB"/>
    <w:rsid w:val="00D30B15"/>
    <w:rsid w:val="00D30C5C"/>
    <w:rsid w:val="00D30C84"/>
    <w:rsid w:val="00D30CA0"/>
    <w:rsid w:val="00D30CA9"/>
    <w:rsid w:val="00D30D5A"/>
    <w:rsid w:val="00D30DBE"/>
    <w:rsid w:val="00D30DC4"/>
    <w:rsid w:val="00D30E04"/>
    <w:rsid w:val="00D30E50"/>
    <w:rsid w:val="00D30FC4"/>
    <w:rsid w:val="00D3103D"/>
    <w:rsid w:val="00D310E3"/>
    <w:rsid w:val="00D311CB"/>
    <w:rsid w:val="00D312D7"/>
    <w:rsid w:val="00D31317"/>
    <w:rsid w:val="00D3131D"/>
    <w:rsid w:val="00D313EB"/>
    <w:rsid w:val="00D314B3"/>
    <w:rsid w:val="00D314EB"/>
    <w:rsid w:val="00D31602"/>
    <w:rsid w:val="00D3162C"/>
    <w:rsid w:val="00D316AF"/>
    <w:rsid w:val="00D316BE"/>
    <w:rsid w:val="00D3172D"/>
    <w:rsid w:val="00D31749"/>
    <w:rsid w:val="00D3177F"/>
    <w:rsid w:val="00D3183D"/>
    <w:rsid w:val="00D318EF"/>
    <w:rsid w:val="00D319B8"/>
    <w:rsid w:val="00D319F8"/>
    <w:rsid w:val="00D31A5C"/>
    <w:rsid w:val="00D31A8A"/>
    <w:rsid w:val="00D31B55"/>
    <w:rsid w:val="00D31B8B"/>
    <w:rsid w:val="00D31B98"/>
    <w:rsid w:val="00D31C62"/>
    <w:rsid w:val="00D31E42"/>
    <w:rsid w:val="00D31EAC"/>
    <w:rsid w:val="00D31F5F"/>
    <w:rsid w:val="00D31FA4"/>
    <w:rsid w:val="00D32035"/>
    <w:rsid w:val="00D32082"/>
    <w:rsid w:val="00D32197"/>
    <w:rsid w:val="00D321C5"/>
    <w:rsid w:val="00D321F4"/>
    <w:rsid w:val="00D3232A"/>
    <w:rsid w:val="00D32397"/>
    <w:rsid w:val="00D323F8"/>
    <w:rsid w:val="00D32487"/>
    <w:rsid w:val="00D3248C"/>
    <w:rsid w:val="00D324E3"/>
    <w:rsid w:val="00D324EF"/>
    <w:rsid w:val="00D324F6"/>
    <w:rsid w:val="00D32517"/>
    <w:rsid w:val="00D3251A"/>
    <w:rsid w:val="00D32676"/>
    <w:rsid w:val="00D326EB"/>
    <w:rsid w:val="00D32707"/>
    <w:rsid w:val="00D32711"/>
    <w:rsid w:val="00D328DD"/>
    <w:rsid w:val="00D328ED"/>
    <w:rsid w:val="00D32914"/>
    <w:rsid w:val="00D32926"/>
    <w:rsid w:val="00D32AC0"/>
    <w:rsid w:val="00D32B79"/>
    <w:rsid w:val="00D32BE1"/>
    <w:rsid w:val="00D32C49"/>
    <w:rsid w:val="00D32CE3"/>
    <w:rsid w:val="00D32E60"/>
    <w:rsid w:val="00D32E7D"/>
    <w:rsid w:val="00D32E87"/>
    <w:rsid w:val="00D32F2C"/>
    <w:rsid w:val="00D32FC5"/>
    <w:rsid w:val="00D33049"/>
    <w:rsid w:val="00D3307F"/>
    <w:rsid w:val="00D331CB"/>
    <w:rsid w:val="00D33249"/>
    <w:rsid w:val="00D332D2"/>
    <w:rsid w:val="00D332E7"/>
    <w:rsid w:val="00D3331D"/>
    <w:rsid w:val="00D3341C"/>
    <w:rsid w:val="00D33437"/>
    <w:rsid w:val="00D335B9"/>
    <w:rsid w:val="00D33609"/>
    <w:rsid w:val="00D33711"/>
    <w:rsid w:val="00D337BA"/>
    <w:rsid w:val="00D33845"/>
    <w:rsid w:val="00D338D5"/>
    <w:rsid w:val="00D3390B"/>
    <w:rsid w:val="00D3391E"/>
    <w:rsid w:val="00D33922"/>
    <w:rsid w:val="00D33967"/>
    <w:rsid w:val="00D33CA7"/>
    <w:rsid w:val="00D33D60"/>
    <w:rsid w:val="00D33DCE"/>
    <w:rsid w:val="00D33E2A"/>
    <w:rsid w:val="00D33EC1"/>
    <w:rsid w:val="00D33F0E"/>
    <w:rsid w:val="00D33FBB"/>
    <w:rsid w:val="00D33FD7"/>
    <w:rsid w:val="00D340DE"/>
    <w:rsid w:val="00D3431B"/>
    <w:rsid w:val="00D3444C"/>
    <w:rsid w:val="00D3445D"/>
    <w:rsid w:val="00D344DC"/>
    <w:rsid w:val="00D34627"/>
    <w:rsid w:val="00D34655"/>
    <w:rsid w:val="00D347D7"/>
    <w:rsid w:val="00D34826"/>
    <w:rsid w:val="00D3485E"/>
    <w:rsid w:val="00D349D1"/>
    <w:rsid w:val="00D34A16"/>
    <w:rsid w:val="00D34A5D"/>
    <w:rsid w:val="00D34BCF"/>
    <w:rsid w:val="00D34C1A"/>
    <w:rsid w:val="00D34C4C"/>
    <w:rsid w:val="00D34C6B"/>
    <w:rsid w:val="00D34C7A"/>
    <w:rsid w:val="00D34C9E"/>
    <w:rsid w:val="00D34CC0"/>
    <w:rsid w:val="00D34DF1"/>
    <w:rsid w:val="00D34E30"/>
    <w:rsid w:val="00D34E45"/>
    <w:rsid w:val="00D34E89"/>
    <w:rsid w:val="00D34E9F"/>
    <w:rsid w:val="00D34F90"/>
    <w:rsid w:val="00D34FD5"/>
    <w:rsid w:val="00D350CA"/>
    <w:rsid w:val="00D350DC"/>
    <w:rsid w:val="00D35110"/>
    <w:rsid w:val="00D35182"/>
    <w:rsid w:val="00D351A7"/>
    <w:rsid w:val="00D351B2"/>
    <w:rsid w:val="00D351D7"/>
    <w:rsid w:val="00D3520E"/>
    <w:rsid w:val="00D35231"/>
    <w:rsid w:val="00D35318"/>
    <w:rsid w:val="00D3533A"/>
    <w:rsid w:val="00D35431"/>
    <w:rsid w:val="00D354DB"/>
    <w:rsid w:val="00D35516"/>
    <w:rsid w:val="00D35556"/>
    <w:rsid w:val="00D355FD"/>
    <w:rsid w:val="00D35600"/>
    <w:rsid w:val="00D3562F"/>
    <w:rsid w:val="00D35724"/>
    <w:rsid w:val="00D358BE"/>
    <w:rsid w:val="00D358C5"/>
    <w:rsid w:val="00D358D0"/>
    <w:rsid w:val="00D3595C"/>
    <w:rsid w:val="00D3599A"/>
    <w:rsid w:val="00D359E1"/>
    <w:rsid w:val="00D359E3"/>
    <w:rsid w:val="00D35AD6"/>
    <w:rsid w:val="00D35BAE"/>
    <w:rsid w:val="00D35D09"/>
    <w:rsid w:val="00D35D59"/>
    <w:rsid w:val="00D35DB6"/>
    <w:rsid w:val="00D35E43"/>
    <w:rsid w:val="00D35E59"/>
    <w:rsid w:val="00D35E6A"/>
    <w:rsid w:val="00D35ECA"/>
    <w:rsid w:val="00D35F20"/>
    <w:rsid w:val="00D35F3B"/>
    <w:rsid w:val="00D360C4"/>
    <w:rsid w:val="00D360DA"/>
    <w:rsid w:val="00D36112"/>
    <w:rsid w:val="00D36120"/>
    <w:rsid w:val="00D36144"/>
    <w:rsid w:val="00D362ED"/>
    <w:rsid w:val="00D36444"/>
    <w:rsid w:val="00D36474"/>
    <w:rsid w:val="00D36496"/>
    <w:rsid w:val="00D364EA"/>
    <w:rsid w:val="00D365D2"/>
    <w:rsid w:val="00D365DE"/>
    <w:rsid w:val="00D366A1"/>
    <w:rsid w:val="00D367CC"/>
    <w:rsid w:val="00D36819"/>
    <w:rsid w:val="00D36A2B"/>
    <w:rsid w:val="00D36B89"/>
    <w:rsid w:val="00D36C22"/>
    <w:rsid w:val="00D36C76"/>
    <w:rsid w:val="00D36C88"/>
    <w:rsid w:val="00D36CA8"/>
    <w:rsid w:val="00D36CE1"/>
    <w:rsid w:val="00D36D3C"/>
    <w:rsid w:val="00D36D7A"/>
    <w:rsid w:val="00D36E4A"/>
    <w:rsid w:val="00D36F08"/>
    <w:rsid w:val="00D36F2C"/>
    <w:rsid w:val="00D36FA1"/>
    <w:rsid w:val="00D36FB9"/>
    <w:rsid w:val="00D36FBB"/>
    <w:rsid w:val="00D36FC4"/>
    <w:rsid w:val="00D37006"/>
    <w:rsid w:val="00D3700E"/>
    <w:rsid w:val="00D3700F"/>
    <w:rsid w:val="00D37032"/>
    <w:rsid w:val="00D3705C"/>
    <w:rsid w:val="00D37076"/>
    <w:rsid w:val="00D370AD"/>
    <w:rsid w:val="00D371E1"/>
    <w:rsid w:val="00D37262"/>
    <w:rsid w:val="00D37278"/>
    <w:rsid w:val="00D37340"/>
    <w:rsid w:val="00D37454"/>
    <w:rsid w:val="00D37527"/>
    <w:rsid w:val="00D375B8"/>
    <w:rsid w:val="00D37622"/>
    <w:rsid w:val="00D377E6"/>
    <w:rsid w:val="00D377E9"/>
    <w:rsid w:val="00D3789D"/>
    <w:rsid w:val="00D379B1"/>
    <w:rsid w:val="00D37A11"/>
    <w:rsid w:val="00D37B73"/>
    <w:rsid w:val="00D37BBA"/>
    <w:rsid w:val="00D37C14"/>
    <w:rsid w:val="00D37C20"/>
    <w:rsid w:val="00D37D5D"/>
    <w:rsid w:val="00D37E58"/>
    <w:rsid w:val="00D37E7A"/>
    <w:rsid w:val="00D37F48"/>
    <w:rsid w:val="00D37F85"/>
    <w:rsid w:val="00D37FEA"/>
    <w:rsid w:val="00D40078"/>
    <w:rsid w:val="00D4009B"/>
    <w:rsid w:val="00D400AF"/>
    <w:rsid w:val="00D400E0"/>
    <w:rsid w:val="00D40101"/>
    <w:rsid w:val="00D4017F"/>
    <w:rsid w:val="00D401F5"/>
    <w:rsid w:val="00D403C5"/>
    <w:rsid w:val="00D403E2"/>
    <w:rsid w:val="00D40417"/>
    <w:rsid w:val="00D40444"/>
    <w:rsid w:val="00D404AF"/>
    <w:rsid w:val="00D404F4"/>
    <w:rsid w:val="00D40516"/>
    <w:rsid w:val="00D40561"/>
    <w:rsid w:val="00D40582"/>
    <w:rsid w:val="00D4059A"/>
    <w:rsid w:val="00D40646"/>
    <w:rsid w:val="00D4067D"/>
    <w:rsid w:val="00D4068A"/>
    <w:rsid w:val="00D406D1"/>
    <w:rsid w:val="00D40847"/>
    <w:rsid w:val="00D4086C"/>
    <w:rsid w:val="00D40928"/>
    <w:rsid w:val="00D4097D"/>
    <w:rsid w:val="00D40A87"/>
    <w:rsid w:val="00D40AF9"/>
    <w:rsid w:val="00D40BD6"/>
    <w:rsid w:val="00D40BE4"/>
    <w:rsid w:val="00D40BFC"/>
    <w:rsid w:val="00D40C47"/>
    <w:rsid w:val="00D40C92"/>
    <w:rsid w:val="00D40CEE"/>
    <w:rsid w:val="00D40D1D"/>
    <w:rsid w:val="00D40D51"/>
    <w:rsid w:val="00D40DC5"/>
    <w:rsid w:val="00D40DE2"/>
    <w:rsid w:val="00D40DF5"/>
    <w:rsid w:val="00D40ED3"/>
    <w:rsid w:val="00D40FF7"/>
    <w:rsid w:val="00D41002"/>
    <w:rsid w:val="00D411FA"/>
    <w:rsid w:val="00D41206"/>
    <w:rsid w:val="00D4120B"/>
    <w:rsid w:val="00D41270"/>
    <w:rsid w:val="00D4132C"/>
    <w:rsid w:val="00D41368"/>
    <w:rsid w:val="00D41378"/>
    <w:rsid w:val="00D413AC"/>
    <w:rsid w:val="00D414D0"/>
    <w:rsid w:val="00D41525"/>
    <w:rsid w:val="00D41575"/>
    <w:rsid w:val="00D41582"/>
    <w:rsid w:val="00D415AD"/>
    <w:rsid w:val="00D41829"/>
    <w:rsid w:val="00D418A7"/>
    <w:rsid w:val="00D41924"/>
    <w:rsid w:val="00D419A9"/>
    <w:rsid w:val="00D41A16"/>
    <w:rsid w:val="00D41A61"/>
    <w:rsid w:val="00D41A7A"/>
    <w:rsid w:val="00D41BAF"/>
    <w:rsid w:val="00D41C20"/>
    <w:rsid w:val="00D41C24"/>
    <w:rsid w:val="00D41C43"/>
    <w:rsid w:val="00D41D06"/>
    <w:rsid w:val="00D41D43"/>
    <w:rsid w:val="00D41D59"/>
    <w:rsid w:val="00D41D93"/>
    <w:rsid w:val="00D41E69"/>
    <w:rsid w:val="00D41ED3"/>
    <w:rsid w:val="00D41F3D"/>
    <w:rsid w:val="00D41F6E"/>
    <w:rsid w:val="00D41F6F"/>
    <w:rsid w:val="00D41FF5"/>
    <w:rsid w:val="00D421F0"/>
    <w:rsid w:val="00D422AF"/>
    <w:rsid w:val="00D423A2"/>
    <w:rsid w:val="00D423F9"/>
    <w:rsid w:val="00D423FC"/>
    <w:rsid w:val="00D424A5"/>
    <w:rsid w:val="00D42503"/>
    <w:rsid w:val="00D4250C"/>
    <w:rsid w:val="00D4255F"/>
    <w:rsid w:val="00D42568"/>
    <w:rsid w:val="00D42649"/>
    <w:rsid w:val="00D4266E"/>
    <w:rsid w:val="00D4273C"/>
    <w:rsid w:val="00D427A9"/>
    <w:rsid w:val="00D42842"/>
    <w:rsid w:val="00D42898"/>
    <w:rsid w:val="00D428CA"/>
    <w:rsid w:val="00D4298F"/>
    <w:rsid w:val="00D42A19"/>
    <w:rsid w:val="00D42A1E"/>
    <w:rsid w:val="00D42A81"/>
    <w:rsid w:val="00D42A96"/>
    <w:rsid w:val="00D42ABF"/>
    <w:rsid w:val="00D42BE2"/>
    <w:rsid w:val="00D42C03"/>
    <w:rsid w:val="00D42C4F"/>
    <w:rsid w:val="00D42CE8"/>
    <w:rsid w:val="00D42D9E"/>
    <w:rsid w:val="00D42E6A"/>
    <w:rsid w:val="00D42EE8"/>
    <w:rsid w:val="00D42F39"/>
    <w:rsid w:val="00D4300F"/>
    <w:rsid w:val="00D4302F"/>
    <w:rsid w:val="00D43077"/>
    <w:rsid w:val="00D43081"/>
    <w:rsid w:val="00D430B2"/>
    <w:rsid w:val="00D4314D"/>
    <w:rsid w:val="00D43159"/>
    <w:rsid w:val="00D431DF"/>
    <w:rsid w:val="00D43204"/>
    <w:rsid w:val="00D4323C"/>
    <w:rsid w:val="00D433E2"/>
    <w:rsid w:val="00D434D9"/>
    <w:rsid w:val="00D435D7"/>
    <w:rsid w:val="00D43615"/>
    <w:rsid w:val="00D4366D"/>
    <w:rsid w:val="00D436FA"/>
    <w:rsid w:val="00D4371C"/>
    <w:rsid w:val="00D43897"/>
    <w:rsid w:val="00D43915"/>
    <w:rsid w:val="00D4391B"/>
    <w:rsid w:val="00D43925"/>
    <w:rsid w:val="00D43A76"/>
    <w:rsid w:val="00D43ACC"/>
    <w:rsid w:val="00D43B78"/>
    <w:rsid w:val="00D43BB3"/>
    <w:rsid w:val="00D43BE3"/>
    <w:rsid w:val="00D43CB5"/>
    <w:rsid w:val="00D43CD7"/>
    <w:rsid w:val="00D43DC4"/>
    <w:rsid w:val="00D43E5C"/>
    <w:rsid w:val="00D43EFF"/>
    <w:rsid w:val="00D43F53"/>
    <w:rsid w:val="00D43F79"/>
    <w:rsid w:val="00D43FD7"/>
    <w:rsid w:val="00D43FFB"/>
    <w:rsid w:val="00D44064"/>
    <w:rsid w:val="00D44096"/>
    <w:rsid w:val="00D4413D"/>
    <w:rsid w:val="00D4418F"/>
    <w:rsid w:val="00D441AB"/>
    <w:rsid w:val="00D441DC"/>
    <w:rsid w:val="00D4426F"/>
    <w:rsid w:val="00D442DD"/>
    <w:rsid w:val="00D44343"/>
    <w:rsid w:val="00D44358"/>
    <w:rsid w:val="00D44375"/>
    <w:rsid w:val="00D443D0"/>
    <w:rsid w:val="00D443EA"/>
    <w:rsid w:val="00D444A3"/>
    <w:rsid w:val="00D445BC"/>
    <w:rsid w:val="00D4475A"/>
    <w:rsid w:val="00D448A9"/>
    <w:rsid w:val="00D448CF"/>
    <w:rsid w:val="00D44977"/>
    <w:rsid w:val="00D44A07"/>
    <w:rsid w:val="00D44A2C"/>
    <w:rsid w:val="00D44B9F"/>
    <w:rsid w:val="00D44BC3"/>
    <w:rsid w:val="00D44C07"/>
    <w:rsid w:val="00D44CB8"/>
    <w:rsid w:val="00D44D09"/>
    <w:rsid w:val="00D44D29"/>
    <w:rsid w:val="00D44E45"/>
    <w:rsid w:val="00D44E48"/>
    <w:rsid w:val="00D44E59"/>
    <w:rsid w:val="00D44E9B"/>
    <w:rsid w:val="00D44EE1"/>
    <w:rsid w:val="00D44EFA"/>
    <w:rsid w:val="00D44F16"/>
    <w:rsid w:val="00D44F33"/>
    <w:rsid w:val="00D44F73"/>
    <w:rsid w:val="00D44FA0"/>
    <w:rsid w:val="00D44FE7"/>
    <w:rsid w:val="00D4502D"/>
    <w:rsid w:val="00D4507F"/>
    <w:rsid w:val="00D450BB"/>
    <w:rsid w:val="00D45123"/>
    <w:rsid w:val="00D45168"/>
    <w:rsid w:val="00D4527A"/>
    <w:rsid w:val="00D45289"/>
    <w:rsid w:val="00D452A2"/>
    <w:rsid w:val="00D45314"/>
    <w:rsid w:val="00D45345"/>
    <w:rsid w:val="00D4539D"/>
    <w:rsid w:val="00D4544A"/>
    <w:rsid w:val="00D45537"/>
    <w:rsid w:val="00D455CB"/>
    <w:rsid w:val="00D455ED"/>
    <w:rsid w:val="00D4563F"/>
    <w:rsid w:val="00D45663"/>
    <w:rsid w:val="00D4568D"/>
    <w:rsid w:val="00D459A0"/>
    <w:rsid w:val="00D45A62"/>
    <w:rsid w:val="00D45A66"/>
    <w:rsid w:val="00D45B17"/>
    <w:rsid w:val="00D45B3D"/>
    <w:rsid w:val="00D45C57"/>
    <w:rsid w:val="00D45C70"/>
    <w:rsid w:val="00D45CD7"/>
    <w:rsid w:val="00D45D27"/>
    <w:rsid w:val="00D45D7E"/>
    <w:rsid w:val="00D45D8F"/>
    <w:rsid w:val="00D45DBA"/>
    <w:rsid w:val="00D45DBE"/>
    <w:rsid w:val="00D45E3E"/>
    <w:rsid w:val="00D45E86"/>
    <w:rsid w:val="00D45EEF"/>
    <w:rsid w:val="00D45F02"/>
    <w:rsid w:val="00D45F0A"/>
    <w:rsid w:val="00D45F5C"/>
    <w:rsid w:val="00D45FE3"/>
    <w:rsid w:val="00D460E9"/>
    <w:rsid w:val="00D46137"/>
    <w:rsid w:val="00D461B5"/>
    <w:rsid w:val="00D4636D"/>
    <w:rsid w:val="00D463F8"/>
    <w:rsid w:val="00D46449"/>
    <w:rsid w:val="00D46494"/>
    <w:rsid w:val="00D465CB"/>
    <w:rsid w:val="00D46609"/>
    <w:rsid w:val="00D46664"/>
    <w:rsid w:val="00D467AB"/>
    <w:rsid w:val="00D4680C"/>
    <w:rsid w:val="00D46839"/>
    <w:rsid w:val="00D46909"/>
    <w:rsid w:val="00D46911"/>
    <w:rsid w:val="00D4694B"/>
    <w:rsid w:val="00D46950"/>
    <w:rsid w:val="00D46977"/>
    <w:rsid w:val="00D469EF"/>
    <w:rsid w:val="00D46BD7"/>
    <w:rsid w:val="00D46C3D"/>
    <w:rsid w:val="00D46C3E"/>
    <w:rsid w:val="00D46C4E"/>
    <w:rsid w:val="00D46C5A"/>
    <w:rsid w:val="00D46C77"/>
    <w:rsid w:val="00D46CCF"/>
    <w:rsid w:val="00D46D90"/>
    <w:rsid w:val="00D46E0B"/>
    <w:rsid w:val="00D46EF9"/>
    <w:rsid w:val="00D46F7E"/>
    <w:rsid w:val="00D47007"/>
    <w:rsid w:val="00D470B7"/>
    <w:rsid w:val="00D47220"/>
    <w:rsid w:val="00D47265"/>
    <w:rsid w:val="00D47270"/>
    <w:rsid w:val="00D47273"/>
    <w:rsid w:val="00D47317"/>
    <w:rsid w:val="00D4758C"/>
    <w:rsid w:val="00D47743"/>
    <w:rsid w:val="00D477CD"/>
    <w:rsid w:val="00D4785F"/>
    <w:rsid w:val="00D4791D"/>
    <w:rsid w:val="00D47AC7"/>
    <w:rsid w:val="00D47B0D"/>
    <w:rsid w:val="00D47B76"/>
    <w:rsid w:val="00D47B81"/>
    <w:rsid w:val="00D47CCA"/>
    <w:rsid w:val="00D47D69"/>
    <w:rsid w:val="00D47DEF"/>
    <w:rsid w:val="00D47FB2"/>
    <w:rsid w:val="00D50002"/>
    <w:rsid w:val="00D50148"/>
    <w:rsid w:val="00D501AD"/>
    <w:rsid w:val="00D5029A"/>
    <w:rsid w:val="00D503B2"/>
    <w:rsid w:val="00D503D0"/>
    <w:rsid w:val="00D5049B"/>
    <w:rsid w:val="00D504B3"/>
    <w:rsid w:val="00D5055A"/>
    <w:rsid w:val="00D5066E"/>
    <w:rsid w:val="00D50710"/>
    <w:rsid w:val="00D5071D"/>
    <w:rsid w:val="00D50774"/>
    <w:rsid w:val="00D50777"/>
    <w:rsid w:val="00D5085F"/>
    <w:rsid w:val="00D50927"/>
    <w:rsid w:val="00D50937"/>
    <w:rsid w:val="00D509CF"/>
    <w:rsid w:val="00D509E9"/>
    <w:rsid w:val="00D50A87"/>
    <w:rsid w:val="00D50AA5"/>
    <w:rsid w:val="00D50B36"/>
    <w:rsid w:val="00D50B55"/>
    <w:rsid w:val="00D50C7F"/>
    <w:rsid w:val="00D50CBF"/>
    <w:rsid w:val="00D50CE6"/>
    <w:rsid w:val="00D50CF1"/>
    <w:rsid w:val="00D50D44"/>
    <w:rsid w:val="00D50D57"/>
    <w:rsid w:val="00D50EEC"/>
    <w:rsid w:val="00D50F34"/>
    <w:rsid w:val="00D51259"/>
    <w:rsid w:val="00D512B9"/>
    <w:rsid w:val="00D51362"/>
    <w:rsid w:val="00D5136D"/>
    <w:rsid w:val="00D51379"/>
    <w:rsid w:val="00D514C2"/>
    <w:rsid w:val="00D514F9"/>
    <w:rsid w:val="00D51630"/>
    <w:rsid w:val="00D516C6"/>
    <w:rsid w:val="00D5170A"/>
    <w:rsid w:val="00D5177F"/>
    <w:rsid w:val="00D517BE"/>
    <w:rsid w:val="00D51880"/>
    <w:rsid w:val="00D51895"/>
    <w:rsid w:val="00D518BA"/>
    <w:rsid w:val="00D51A1D"/>
    <w:rsid w:val="00D51A86"/>
    <w:rsid w:val="00D51BC0"/>
    <w:rsid w:val="00D51CB8"/>
    <w:rsid w:val="00D51D44"/>
    <w:rsid w:val="00D51DD8"/>
    <w:rsid w:val="00D51E00"/>
    <w:rsid w:val="00D51EB5"/>
    <w:rsid w:val="00D51EF4"/>
    <w:rsid w:val="00D51F80"/>
    <w:rsid w:val="00D51FEB"/>
    <w:rsid w:val="00D52175"/>
    <w:rsid w:val="00D5223F"/>
    <w:rsid w:val="00D52296"/>
    <w:rsid w:val="00D522DA"/>
    <w:rsid w:val="00D5231F"/>
    <w:rsid w:val="00D52380"/>
    <w:rsid w:val="00D52455"/>
    <w:rsid w:val="00D524B8"/>
    <w:rsid w:val="00D52622"/>
    <w:rsid w:val="00D527D9"/>
    <w:rsid w:val="00D5284B"/>
    <w:rsid w:val="00D528D4"/>
    <w:rsid w:val="00D528DE"/>
    <w:rsid w:val="00D529DC"/>
    <w:rsid w:val="00D52B4E"/>
    <w:rsid w:val="00D52CAA"/>
    <w:rsid w:val="00D52CFB"/>
    <w:rsid w:val="00D52D14"/>
    <w:rsid w:val="00D52D1F"/>
    <w:rsid w:val="00D52E39"/>
    <w:rsid w:val="00D52E9A"/>
    <w:rsid w:val="00D52EED"/>
    <w:rsid w:val="00D530BD"/>
    <w:rsid w:val="00D530CF"/>
    <w:rsid w:val="00D530F3"/>
    <w:rsid w:val="00D53156"/>
    <w:rsid w:val="00D5317A"/>
    <w:rsid w:val="00D531B9"/>
    <w:rsid w:val="00D53219"/>
    <w:rsid w:val="00D53229"/>
    <w:rsid w:val="00D5323A"/>
    <w:rsid w:val="00D5325D"/>
    <w:rsid w:val="00D532B2"/>
    <w:rsid w:val="00D532B5"/>
    <w:rsid w:val="00D532F1"/>
    <w:rsid w:val="00D53306"/>
    <w:rsid w:val="00D53312"/>
    <w:rsid w:val="00D53326"/>
    <w:rsid w:val="00D533CE"/>
    <w:rsid w:val="00D53521"/>
    <w:rsid w:val="00D535C5"/>
    <w:rsid w:val="00D5361E"/>
    <w:rsid w:val="00D536B8"/>
    <w:rsid w:val="00D536E3"/>
    <w:rsid w:val="00D53776"/>
    <w:rsid w:val="00D537B4"/>
    <w:rsid w:val="00D53878"/>
    <w:rsid w:val="00D538A0"/>
    <w:rsid w:val="00D538F3"/>
    <w:rsid w:val="00D53915"/>
    <w:rsid w:val="00D53AC9"/>
    <w:rsid w:val="00D53B98"/>
    <w:rsid w:val="00D53BAD"/>
    <w:rsid w:val="00D53C4B"/>
    <w:rsid w:val="00D53C70"/>
    <w:rsid w:val="00D53CB7"/>
    <w:rsid w:val="00D53CF4"/>
    <w:rsid w:val="00D53CFA"/>
    <w:rsid w:val="00D53D1E"/>
    <w:rsid w:val="00D53D51"/>
    <w:rsid w:val="00D53D61"/>
    <w:rsid w:val="00D53DAE"/>
    <w:rsid w:val="00D53E27"/>
    <w:rsid w:val="00D53F19"/>
    <w:rsid w:val="00D53F2C"/>
    <w:rsid w:val="00D53F36"/>
    <w:rsid w:val="00D53FE1"/>
    <w:rsid w:val="00D54077"/>
    <w:rsid w:val="00D54080"/>
    <w:rsid w:val="00D540C8"/>
    <w:rsid w:val="00D5417C"/>
    <w:rsid w:val="00D542E1"/>
    <w:rsid w:val="00D54416"/>
    <w:rsid w:val="00D54471"/>
    <w:rsid w:val="00D544D7"/>
    <w:rsid w:val="00D5450C"/>
    <w:rsid w:val="00D54528"/>
    <w:rsid w:val="00D5462D"/>
    <w:rsid w:val="00D546F0"/>
    <w:rsid w:val="00D547F7"/>
    <w:rsid w:val="00D54840"/>
    <w:rsid w:val="00D5490E"/>
    <w:rsid w:val="00D549CE"/>
    <w:rsid w:val="00D549FC"/>
    <w:rsid w:val="00D54A50"/>
    <w:rsid w:val="00D54AAF"/>
    <w:rsid w:val="00D54B09"/>
    <w:rsid w:val="00D54B28"/>
    <w:rsid w:val="00D54BAC"/>
    <w:rsid w:val="00D54C38"/>
    <w:rsid w:val="00D54C7F"/>
    <w:rsid w:val="00D54D5A"/>
    <w:rsid w:val="00D54D86"/>
    <w:rsid w:val="00D54DCC"/>
    <w:rsid w:val="00D54E6D"/>
    <w:rsid w:val="00D54E95"/>
    <w:rsid w:val="00D54F60"/>
    <w:rsid w:val="00D54FEB"/>
    <w:rsid w:val="00D55042"/>
    <w:rsid w:val="00D55077"/>
    <w:rsid w:val="00D55206"/>
    <w:rsid w:val="00D55249"/>
    <w:rsid w:val="00D5524A"/>
    <w:rsid w:val="00D552BE"/>
    <w:rsid w:val="00D552C6"/>
    <w:rsid w:val="00D55394"/>
    <w:rsid w:val="00D55419"/>
    <w:rsid w:val="00D5543F"/>
    <w:rsid w:val="00D5554D"/>
    <w:rsid w:val="00D55560"/>
    <w:rsid w:val="00D55588"/>
    <w:rsid w:val="00D5558C"/>
    <w:rsid w:val="00D555F1"/>
    <w:rsid w:val="00D5561B"/>
    <w:rsid w:val="00D55648"/>
    <w:rsid w:val="00D556A0"/>
    <w:rsid w:val="00D556B6"/>
    <w:rsid w:val="00D5581D"/>
    <w:rsid w:val="00D55825"/>
    <w:rsid w:val="00D55834"/>
    <w:rsid w:val="00D558FC"/>
    <w:rsid w:val="00D5595D"/>
    <w:rsid w:val="00D559AC"/>
    <w:rsid w:val="00D559F1"/>
    <w:rsid w:val="00D55A47"/>
    <w:rsid w:val="00D55A5B"/>
    <w:rsid w:val="00D55ABE"/>
    <w:rsid w:val="00D55B01"/>
    <w:rsid w:val="00D55B8D"/>
    <w:rsid w:val="00D55BBB"/>
    <w:rsid w:val="00D55CDB"/>
    <w:rsid w:val="00D55CE6"/>
    <w:rsid w:val="00D55CFF"/>
    <w:rsid w:val="00D55D49"/>
    <w:rsid w:val="00D55D73"/>
    <w:rsid w:val="00D55D98"/>
    <w:rsid w:val="00D55E35"/>
    <w:rsid w:val="00D55E36"/>
    <w:rsid w:val="00D55F2F"/>
    <w:rsid w:val="00D55FB8"/>
    <w:rsid w:val="00D55FDD"/>
    <w:rsid w:val="00D5605C"/>
    <w:rsid w:val="00D560C1"/>
    <w:rsid w:val="00D56102"/>
    <w:rsid w:val="00D561B4"/>
    <w:rsid w:val="00D56209"/>
    <w:rsid w:val="00D56325"/>
    <w:rsid w:val="00D563BD"/>
    <w:rsid w:val="00D5640D"/>
    <w:rsid w:val="00D56491"/>
    <w:rsid w:val="00D56521"/>
    <w:rsid w:val="00D565EB"/>
    <w:rsid w:val="00D56607"/>
    <w:rsid w:val="00D56638"/>
    <w:rsid w:val="00D5669C"/>
    <w:rsid w:val="00D566A3"/>
    <w:rsid w:val="00D566F6"/>
    <w:rsid w:val="00D566F8"/>
    <w:rsid w:val="00D56719"/>
    <w:rsid w:val="00D567BF"/>
    <w:rsid w:val="00D567C4"/>
    <w:rsid w:val="00D5683C"/>
    <w:rsid w:val="00D56855"/>
    <w:rsid w:val="00D5690B"/>
    <w:rsid w:val="00D56A14"/>
    <w:rsid w:val="00D56A77"/>
    <w:rsid w:val="00D56B2C"/>
    <w:rsid w:val="00D56CE2"/>
    <w:rsid w:val="00D56D2E"/>
    <w:rsid w:val="00D56D42"/>
    <w:rsid w:val="00D56D74"/>
    <w:rsid w:val="00D56D83"/>
    <w:rsid w:val="00D56D9F"/>
    <w:rsid w:val="00D56DDF"/>
    <w:rsid w:val="00D56E12"/>
    <w:rsid w:val="00D56E40"/>
    <w:rsid w:val="00D56F33"/>
    <w:rsid w:val="00D56F59"/>
    <w:rsid w:val="00D570D9"/>
    <w:rsid w:val="00D57281"/>
    <w:rsid w:val="00D572CB"/>
    <w:rsid w:val="00D57318"/>
    <w:rsid w:val="00D57368"/>
    <w:rsid w:val="00D573A1"/>
    <w:rsid w:val="00D573B4"/>
    <w:rsid w:val="00D573EC"/>
    <w:rsid w:val="00D5757A"/>
    <w:rsid w:val="00D57615"/>
    <w:rsid w:val="00D5768E"/>
    <w:rsid w:val="00D576D7"/>
    <w:rsid w:val="00D57711"/>
    <w:rsid w:val="00D577E3"/>
    <w:rsid w:val="00D577F6"/>
    <w:rsid w:val="00D577FE"/>
    <w:rsid w:val="00D578AB"/>
    <w:rsid w:val="00D57902"/>
    <w:rsid w:val="00D5795B"/>
    <w:rsid w:val="00D579B3"/>
    <w:rsid w:val="00D579DF"/>
    <w:rsid w:val="00D57A07"/>
    <w:rsid w:val="00D57A0A"/>
    <w:rsid w:val="00D57A56"/>
    <w:rsid w:val="00D57AEC"/>
    <w:rsid w:val="00D57B00"/>
    <w:rsid w:val="00D57B6D"/>
    <w:rsid w:val="00D57B8B"/>
    <w:rsid w:val="00D57BAD"/>
    <w:rsid w:val="00D57D90"/>
    <w:rsid w:val="00D57DD6"/>
    <w:rsid w:val="00D60013"/>
    <w:rsid w:val="00D60053"/>
    <w:rsid w:val="00D60056"/>
    <w:rsid w:val="00D600A4"/>
    <w:rsid w:val="00D600DC"/>
    <w:rsid w:val="00D601B0"/>
    <w:rsid w:val="00D601C1"/>
    <w:rsid w:val="00D601C4"/>
    <w:rsid w:val="00D60243"/>
    <w:rsid w:val="00D60357"/>
    <w:rsid w:val="00D603C7"/>
    <w:rsid w:val="00D6048C"/>
    <w:rsid w:val="00D604D5"/>
    <w:rsid w:val="00D604F7"/>
    <w:rsid w:val="00D60522"/>
    <w:rsid w:val="00D606AD"/>
    <w:rsid w:val="00D606D7"/>
    <w:rsid w:val="00D6086E"/>
    <w:rsid w:val="00D608E8"/>
    <w:rsid w:val="00D608F5"/>
    <w:rsid w:val="00D609F9"/>
    <w:rsid w:val="00D60BB6"/>
    <w:rsid w:val="00D60BDB"/>
    <w:rsid w:val="00D60BF0"/>
    <w:rsid w:val="00D60CA9"/>
    <w:rsid w:val="00D60D21"/>
    <w:rsid w:val="00D60D5F"/>
    <w:rsid w:val="00D60DBA"/>
    <w:rsid w:val="00D60E1C"/>
    <w:rsid w:val="00D60E8B"/>
    <w:rsid w:val="00D60EB6"/>
    <w:rsid w:val="00D60F46"/>
    <w:rsid w:val="00D60FEC"/>
    <w:rsid w:val="00D60FFD"/>
    <w:rsid w:val="00D61022"/>
    <w:rsid w:val="00D61046"/>
    <w:rsid w:val="00D61084"/>
    <w:rsid w:val="00D612ED"/>
    <w:rsid w:val="00D61379"/>
    <w:rsid w:val="00D61397"/>
    <w:rsid w:val="00D61398"/>
    <w:rsid w:val="00D613AD"/>
    <w:rsid w:val="00D613BD"/>
    <w:rsid w:val="00D61461"/>
    <w:rsid w:val="00D614DC"/>
    <w:rsid w:val="00D61535"/>
    <w:rsid w:val="00D61585"/>
    <w:rsid w:val="00D6158B"/>
    <w:rsid w:val="00D61668"/>
    <w:rsid w:val="00D616C7"/>
    <w:rsid w:val="00D616C8"/>
    <w:rsid w:val="00D616FD"/>
    <w:rsid w:val="00D61848"/>
    <w:rsid w:val="00D61955"/>
    <w:rsid w:val="00D6197A"/>
    <w:rsid w:val="00D61986"/>
    <w:rsid w:val="00D619D0"/>
    <w:rsid w:val="00D61A4C"/>
    <w:rsid w:val="00D61B22"/>
    <w:rsid w:val="00D61B91"/>
    <w:rsid w:val="00D61C01"/>
    <w:rsid w:val="00D61C22"/>
    <w:rsid w:val="00D61C2C"/>
    <w:rsid w:val="00D61D70"/>
    <w:rsid w:val="00D61D92"/>
    <w:rsid w:val="00D61DB0"/>
    <w:rsid w:val="00D61E1B"/>
    <w:rsid w:val="00D61E37"/>
    <w:rsid w:val="00D61E3B"/>
    <w:rsid w:val="00D61ED0"/>
    <w:rsid w:val="00D61F44"/>
    <w:rsid w:val="00D61F6D"/>
    <w:rsid w:val="00D61F88"/>
    <w:rsid w:val="00D61FF0"/>
    <w:rsid w:val="00D6218F"/>
    <w:rsid w:val="00D621D8"/>
    <w:rsid w:val="00D621FA"/>
    <w:rsid w:val="00D622AB"/>
    <w:rsid w:val="00D622AD"/>
    <w:rsid w:val="00D62466"/>
    <w:rsid w:val="00D62786"/>
    <w:rsid w:val="00D62807"/>
    <w:rsid w:val="00D6284C"/>
    <w:rsid w:val="00D629B4"/>
    <w:rsid w:val="00D629E2"/>
    <w:rsid w:val="00D62A21"/>
    <w:rsid w:val="00D62A56"/>
    <w:rsid w:val="00D62B3C"/>
    <w:rsid w:val="00D62BE5"/>
    <w:rsid w:val="00D62C8A"/>
    <w:rsid w:val="00D62CF6"/>
    <w:rsid w:val="00D62D24"/>
    <w:rsid w:val="00D62D39"/>
    <w:rsid w:val="00D62D60"/>
    <w:rsid w:val="00D62D7E"/>
    <w:rsid w:val="00D62DE5"/>
    <w:rsid w:val="00D62DF3"/>
    <w:rsid w:val="00D62E88"/>
    <w:rsid w:val="00D62E8A"/>
    <w:rsid w:val="00D62EDA"/>
    <w:rsid w:val="00D62F52"/>
    <w:rsid w:val="00D62F87"/>
    <w:rsid w:val="00D62FCF"/>
    <w:rsid w:val="00D6301C"/>
    <w:rsid w:val="00D63050"/>
    <w:rsid w:val="00D6307B"/>
    <w:rsid w:val="00D63088"/>
    <w:rsid w:val="00D6318A"/>
    <w:rsid w:val="00D63210"/>
    <w:rsid w:val="00D632FE"/>
    <w:rsid w:val="00D6331C"/>
    <w:rsid w:val="00D63329"/>
    <w:rsid w:val="00D633CE"/>
    <w:rsid w:val="00D63455"/>
    <w:rsid w:val="00D63473"/>
    <w:rsid w:val="00D634B3"/>
    <w:rsid w:val="00D634D0"/>
    <w:rsid w:val="00D634E3"/>
    <w:rsid w:val="00D635AD"/>
    <w:rsid w:val="00D6361D"/>
    <w:rsid w:val="00D6367B"/>
    <w:rsid w:val="00D637DC"/>
    <w:rsid w:val="00D637F0"/>
    <w:rsid w:val="00D638E7"/>
    <w:rsid w:val="00D63979"/>
    <w:rsid w:val="00D639D9"/>
    <w:rsid w:val="00D63A6A"/>
    <w:rsid w:val="00D63AAE"/>
    <w:rsid w:val="00D63ABD"/>
    <w:rsid w:val="00D63B7C"/>
    <w:rsid w:val="00D63CA7"/>
    <w:rsid w:val="00D63CAB"/>
    <w:rsid w:val="00D63D5F"/>
    <w:rsid w:val="00D63DA1"/>
    <w:rsid w:val="00D63DAB"/>
    <w:rsid w:val="00D63E24"/>
    <w:rsid w:val="00D63E69"/>
    <w:rsid w:val="00D63EC7"/>
    <w:rsid w:val="00D63ED4"/>
    <w:rsid w:val="00D63F0C"/>
    <w:rsid w:val="00D63F81"/>
    <w:rsid w:val="00D6403A"/>
    <w:rsid w:val="00D64180"/>
    <w:rsid w:val="00D64222"/>
    <w:rsid w:val="00D642E3"/>
    <w:rsid w:val="00D64313"/>
    <w:rsid w:val="00D64333"/>
    <w:rsid w:val="00D64382"/>
    <w:rsid w:val="00D6458C"/>
    <w:rsid w:val="00D64720"/>
    <w:rsid w:val="00D6482B"/>
    <w:rsid w:val="00D648DD"/>
    <w:rsid w:val="00D648E9"/>
    <w:rsid w:val="00D64960"/>
    <w:rsid w:val="00D64974"/>
    <w:rsid w:val="00D649FD"/>
    <w:rsid w:val="00D64A14"/>
    <w:rsid w:val="00D64AC3"/>
    <w:rsid w:val="00D64B25"/>
    <w:rsid w:val="00D64B97"/>
    <w:rsid w:val="00D64BD5"/>
    <w:rsid w:val="00D64BEE"/>
    <w:rsid w:val="00D64C6A"/>
    <w:rsid w:val="00D64CFD"/>
    <w:rsid w:val="00D64D48"/>
    <w:rsid w:val="00D64DCF"/>
    <w:rsid w:val="00D64EDB"/>
    <w:rsid w:val="00D64F08"/>
    <w:rsid w:val="00D64F8E"/>
    <w:rsid w:val="00D64F97"/>
    <w:rsid w:val="00D64FC8"/>
    <w:rsid w:val="00D6507C"/>
    <w:rsid w:val="00D6514B"/>
    <w:rsid w:val="00D65237"/>
    <w:rsid w:val="00D6523C"/>
    <w:rsid w:val="00D65259"/>
    <w:rsid w:val="00D6527E"/>
    <w:rsid w:val="00D65288"/>
    <w:rsid w:val="00D653A2"/>
    <w:rsid w:val="00D653C2"/>
    <w:rsid w:val="00D653F9"/>
    <w:rsid w:val="00D65509"/>
    <w:rsid w:val="00D65519"/>
    <w:rsid w:val="00D65522"/>
    <w:rsid w:val="00D6554D"/>
    <w:rsid w:val="00D6561A"/>
    <w:rsid w:val="00D65631"/>
    <w:rsid w:val="00D657BC"/>
    <w:rsid w:val="00D6586F"/>
    <w:rsid w:val="00D65926"/>
    <w:rsid w:val="00D65A2D"/>
    <w:rsid w:val="00D65A35"/>
    <w:rsid w:val="00D65A43"/>
    <w:rsid w:val="00D65BB4"/>
    <w:rsid w:val="00D65CDD"/>
    <w:rsid w:val="00D65DD6"/>
    <w:rsid w:val="00D65E59"/>
    <w:rsid w:val="00D65EBA"/>
    <w:rsid w:val="00D65F94"/>
    <w:rsid w:val="00D66015"/>
    <w:rsid w:val="00D661A9"/>
    <w:rsid w:val="00D661AD"/>
    <w:rsid w:val="00D6624B"/>
    <w:rsid w:val="00D662C3"/>
    <w:rsid w:val="00D6634C"/>
    <w:rsid w:val="00D664B5"/>
    <w:rsid w:val="00D664F1"/>
    <w:rsid w:val="00D6653E"/>
    <w:rsid w:val="00D665E1"/>
    <w:rsid w:val="00D66714"/>
    <w:rsid w:val="00D66771"/>
    <w:rsid w:val="00D668A4"/>
    <w:rsid w:val="00D66901"/>
    <w:rsid w:val="00D66921"/>
    <w:rsid w:val="00D6692E"/>
    <w:rsid w:val="00D66A5D"/>
    <w:rsid w:val="00D66B02"/>
    <w:rsid w:val="00D66BC5"/>
    <w:rsid w:val="00D66CD3"/>
    <w:rsid w:val="00D66D5E"/>
    <w:rsid w:val="00D66D8B"/>
    <w:rsid w:val="00D66DE2"/>
    <w:rsid w:val="00D67067"/>
    <w:rsid w:val="00D67089"/>
    <w:rsid w:val="00D67114"/>
    <w:rsid w:val="00D67133"/>
    <w:rsid w:val="00D67188"/>
    <w:rsid w:val="00D671CE"/>
    <w:rsid w:val="00D6727E"/>
    <w:rsid w:val="00D6734A"/>
    <w:rsid w:val="00D67360"/>
    <w:rsid w:val="00D673BD"/>
    <w:rsid w:val="00D6750F"/>
    <w:rsid w:val="00D67529"/>
    <w:rsid w:val="00D67563"/>
    <w:rsid w:val="00D6773F"/>
    <w:rsid w:val="00D6775F"/>
    <w:rsid w:val="00D677CB"/>
    <w:rsid w:val="00D67815"/>
    <w:rsid w:val="00D67B14"/>
    <w:rsid w:val="00D67CE7"/>
    <w:rsid w:val="00D67CFB"/>
    <w:rsid w:val="00D67D9F"/>
    <w:rsid w:val="00D67E65"/>
    <w:rsid w:val="00D67EE3"/>
    <w:rsid w:val="00D67FA2"/>
    <w:rsid w:val="00D67FA3"/>
    <w:rsid w:val="00D700AE"/>
    <w:rsid w:val="00D700CC"/>
    <w:rsid w:val="00D7019E"/>
    <w:rsid w:val="00D7026D"/>
    <w:rsid w:val="00D702A6"/>
    <w:rsid w:val="00D702C4"/>
    <w:rsid w:val="00D7037E"/>
    <w:rsid w:val="00D70560"/>
    <w:rsid w:val="00D70582"/>
    <w:rsid w:val="00D707E0"/>
    <w:rsid w:val="00D707F3"/>
    <w:rsid w:val="00D7085E"/>
    <w:rsid w:val="00D7095F"/>
    <w:rsid w:val="00D709ED"/>
    <w:rsid w:val="00D70A04"/>
    <w:rsid w:val="00D70A62"/>
    <w:rsid w:val="00D70B5F"/>
    <w:rsid w:val="00D70C33"/>
    <w:rsid w:val="00D70C79"/>
    <w:rsid w:val="00D70CA9"/>
    <w:rsid w:val="00D70D03"/>
    <w:rsid w:val="00D70D43"/>
    <w:rsid w:val="00D70D83"/>
    <w:rsid w:val="00D70E3C"/>
    <w:rsid w:val="00D70ED8"/>
    <w:rsid w:val="00D70EDB"/>
    <w:rsid w:val="00D70F83"/>
    <w:rsid w:val="00D70FFA"/>
    <w:rsid w:val="00D7108E"/>
    <w:rsid w:val="00D7110B"/>
    <w:rsid w:val="00D711D5"/>
    <w:rsid w:val="00D712B4"/>
    <w:rsid w:val="00D712DD"/>
    <w:rsid w:val="00D71390"/>
    <w:rsid w:val="00D713EF"/>
    <w:rsid w:val="00D71428"/>
    <w:rsid w:val="00D714D6"/>
    <w:rsid w:val="00D71545"/>
    <w:rsid w:val="00D71591"/>
    <w:rsid w:val="00D715A8"/>
    <w:rsid w:val="00D71773"/>
    <w:rsid w:val="00D717F3"/>
    <w:rsid w:val="00D7185E"/>
    <w:rsid w:val="00D7193F"/>
    <w:rsid w:val="00D71947"/>
    <w:rsid w:val="00D7197C"/>
    <w:rsid w:val="00D71B76"/>
    <w:rsid w:val="00D71C67"/>
    <w:rsid w:val="00D71C73"/>
    <w:rsid w:val="00D71D38"/>
    <w:rsid w:val="00D71F0F"/>
    <w:rsid w:val="00D71FC4"/>
    <w:rsid w:val="00D71FD2"/>
    <w:rsid w:val="00D72039"/>
    <w:rsid w:val="00D7206A"/>
    <w:rsid w:val="00D72167"/>
    <w:rsid w:val="00D7221C"/>
    <w:rsid w:val="00D7222E"/>
    <w:rsid w:val="00D7226D"/>
    <w:rsid w:val="00D72280"/>
    <w:rsid w:val="00D72399"/>
    <w:rsid w:val="00D723B3"/>
    <w:rsid w:val="00D723BD"/>
    <w:rsid w:val="00D723E7"/>
    <w:rsid w:val="00D72422"/>
    <w:rsid w:val="00D7243A"/>
    <w:rsid w:val="00D7245F"/>
    <w:rsid w:val="00D725A4"/>
    <w:rsid w:val="00D725F6"/>
    <w:rsid w:val="00D72678"/>
    <w:rsid w:val="00D72697"/>
    <w:rsid w:val="00D726BD"/>
    <w:rsid w:val="00D7277C"/>
    <w:rsid w:val="00D728B7"/>
    <w:rsid w:val="00D72900"/>
    <w:rsid w:val="00D72940"/>
    <w:rsid w:val="00D72A47"/>
    <w:rsid w:val="00D72A82"/>
    <w:rsid w:val="00D72A87"/>
    <w:rsid w:val="00D72AFE"/>
    <w:rsid w:val="00D72C3C"/>
    <w:rsid w:val="00D72D56"/>
    <w:rsid w:val="00D72D85"/>
    <w:rsid w:val="00D72DAB"/>
    <w:rsid w:val="00D72DD5"/>
    <w:rsid w:val="00D72DF7"/>
    <w:rsid w:val="00D72E52"/>
    <w:rsid w:val="00D72E7E"/>
    <w:rsid w:val="00D72FDB"/>
    <w:rsid w:val="00D73071"/>
    <w:rsid w:val="00D73132"/>
    <w:rsid w:val="00D7316B"/>
    <w:rsid w:val="00D731C0"/>
    <w:rsid w:val="00D731D4"/>
    <w:rsid w:val="00D73275"/>
    <w:rsid w:val="00D732B2"/>
    <w:rsid w:val="00D7336F"/>
    <w:rsid w:val="00D73499"/>
    <w:rsid w:val="00D73549"/>
    <w:rsid w:val="00D73589"/>
    <w:rsid w:val="00D7368E"/>
    <w:rsid w:val="00D73870"/>
    <w:rsid w:val="00D738A7"/>
    <w:rsid w:val="00D738E6"/>
    <w:rsid w:val="00D73958"/>
    <w:rsid w:val="00D73A02"/>
    <w:rsid w:val="00D73A79"/>
    <w:rsid w:val="00D73B0C"/>
    <w:rsid w:val="00D73B24"/>
    <w:rsid w:val="00D73B2A"/>
    <w:rsid w:val="00D73B5C"/>
    <w:rsid w:val="00D73BDF"/>
    <w:rsid w:val="00D73CC5"/>
    <w:rsid w:val="00D73D61"/>
    <w:rsid w:val="00D73D8A"/>
    <w:rsid w:val="00D73DA0"/>
    <w:rsid w:val="00D73E2F"/>
    <w:rsid w:val="00D73ECD"/>
    <w:rsid w:val="00D73F20"/>
    <w:rsid w:val="00D7403E"/>
    <w:rsid w:val="00D74042"/>
    <w:rsid w:val="00D740D8"/>
    <w:rsid w:val="00D741B1"/>
    <w:rsid w:val="00D74263"/>
    <w:rsid w:val="00D74282"/>
    <w:rsid w:val="00D74283"/>
    <w:rsid w:val="00D74296"/>
    <w:rsid w:val="00D7432E"/>
    <w:rsid w:val="00D74352"/>
    <w:rsid w:val="00D7435D"/>
    <w:rsid w:val="00D7443D"/>
    <w:rsid w:val="00D74546"/>
    <w:rsid w:val="00D74628"/>
    <w:rsid w:val="00D74685"/>
    <w:rsid w:val="00D746AF"/>
    <w:rsid w:val="00D746C0"/>
    <w:rsid w:val="00D746CF"/>
    <w:rsid w:val="00D74758"/>
    <w:rsid w:val="00D7476D"/>
    <w:rsid w:val="00D74775"/>
    <w:rsid w:val="00D7478A"/>
    <w:rsid w:val="00D747AE"/>
    <w:rsid w:val="00D74804"/>
    <w:rsid w:val="00D748C5"/>
    <w:rsid w:val="00D748DE"/>
    <w:rsid w:val="00D74912"/>
    <w:rsid w:val="00D7493E"/>
    <w:rsid w:val="00D74954"/>
    <w:rsid w:val="00D74980"/>
    <w:rsid w:val="00D74AA1"/>
    <w:rsid w:val="00D74AB0"/>
    <w:rsid w:val="00D74AF4"/>
    <w:rsid w:val="00D74B26"/>
    <w:rsid w:val="00D74B8A"/>
    <w:rsid w:val="00D74BBE"/>
    <w:rsid w:val="00D74C2E"/>
    <w:rsid w:val="00D74D23"/>
    <w:rsid w:val="00D74D6E"/>
    <w:rsid w:val="00D74E2D"/>
    <w:rsid w:val="00D74F7D"/>
    <w:rsid w:val="00D7500B"/>
    <w:rsid w:val="00D750A4"/>
    <w:rsid w:val="00D750B2"/>
    <w:rsid w:val="00D750CA"/>
    <w:rsid w:val="00D750EB"/>
    <w:rsid w:val="00D751B9"/>
    <w:rsid w:val="00D7526D"/>
    <w:rsid w:val="00D75390"/>
    <w:rsid w:val="00D753B8"/>
    <w:rsid w:val="00D75423"/>
    <w:rsid w:val="00D754A6"/>
    <w:rsid w:val="00D7553A"/>
    <w:rsid w:val="00D75655"/>
    <w:rsid w:val="00D757C0"/>
    <w:rsid w:val="00D757DC"/>
    <w:rsid w:val="00D758D2"/>
    <w:rsid w:val="00D759E9"/>
    <w:rsid w:val="00D75A11"/>
    <w:rsid w:val="00D75A47"/>
    <w:rsid w:val="00D75ACE"/>
    <w:rsid w:val="00D75AE7"/>
    <w:rsid w:val="00D75B33"/>
    <w:rsid w:val="00D75BDC"/>
    <w:rsid w:val="00D75D24"/>
    <w:rsid w:val="00D75DC8"/>
    <w:rsid w:val="00D75EB3"/>
    <w:rsid w:val="00D75F3F"/>
    <w:rsid w:val="00D75FF2"/>
    <w:rsid w:val="00D760FB"/>
    <w:rsid w:val="00D7613A"/>
    <w:rsid w:val="00D76152"/>
    <w:rsid w:val="00D7623F"/>
    <w:rsid w:val="00D7634E"/>
    <w:rsid w:val="00D7646B"/>
    <w:rsid w:val="00D764F6"/>
    <w:rsid w:val="00D76794"/>
    <w:rsid w:val="00D76892"/>
    <w:rsid w:val="00D768D1"/>
    <w:rsid w:val="00D768E2"/>
    <w:rsid w:val="00D768EA"/>
    <w:rsid w:val="00D7692E"/>
    <w:rsid w:val="00D76A88"/>
    <w:rsid w:val="00D76AFC"/>
    <w:rsid w:val="00D76B21"/>
    <w:rsid w:val="00D76B38"/>
    <w:rsid w:val="00D76B58"/>
    <w:rsid w:val="00D76BAC"/>
    <w:rsid w:val="00D76CC9"/>
    <w:rsid w:val="00D76CD4"/>
    <w:rsid w:val="00D76DBA"/>
    <w:rsid w:val="00D76E00"/>
    <w:rsid w:val="00D76E0D"/>
    <w:rsid w:val="00D76EB2"/>
    <w:rsid w:val="00D76EBA"/>
    <w:rsid w:val="00D76EC4"/>
    <w:rsid w:val="00D76F7D"/>
    <w:rsid w:val="00D76F9C"/>
    <w:rsid w:val="00D76FA4"/>
    <w:rsid w:val="00D76FE1"/>
    <w:rsid w:val="00D76FFF"/>
    <w:rsid w:val="00D77001"/>
    <w:rsid w:val="00D772D5"/>
    <w:rsid w:val="00D77320"/>
    <w:rsid w:val="00D7738F"/>
    <w:rsid w:val="00D773E9"/>
    <w:rsid w:val="00D774CD"/>
    <w:rsid w:val="00D77512"/>
    <w:rsid w:val="00D776BF"/>
    <w:rsid w:val="00D7770C"/>
    <w:rsid w:val="00D77822"/>
    <w:rsid w:val="00D77913"/>
    <w:rsid w:val="00D77971"/>
    <w:rsid w:val="00D779AE"/>
    <w:rsid w:val="00D779E9"/>
    <w:rsid w:val="00D77ACB"/>
    <w:rsid w:val="00D77BF3"/>
    <w:rsid w:val="00D77C57"/>
    <w:rsid w:val="00D77C8E"/>
    <w:rsid w:val="00D77D18"/>
    <w:rsid w:val="00D77D22"/>
    <w:rsid w:val="00D77E84"/>
    <w:rsid w:val="00D77F80"/>
    <w:rsid w:val="00D8010F"/>
    <w:rsid w:val="00D80120"/>
    <w:rsid w:val="00D80127"/>
    <w:rsid w:val="00D80128"/>
    <w:rsid w:val="00D801EA"/>
    <w:rsid w:val="00D80261"/>
    <w:rsid w:val="00D802DD"/>
    <w:rsid w:val="00D8036C"/>
    <w:rsid w:val="00D8038B"/>
    <w:rsid w:val="00D803A6"/>
    <w:rsid w:val="00D80456"/>
    <w:rsid w:val="00D80569"/>
    <w:rsid w:val="00D8056D"/>
    <w:rsid w:val="00D8063E"/>
    <w:rsid w:val="00D80641"/>
    <w:rsid w:val="00D806B1"/>
    <w:rsid w:val="00D806D8"/>
    <w:rsid w:val="00D80780"/>
    <w:rsid w:val="00D808D8"/>
    <w:rsid w:val="00D808FD"/>
    <w:rsid w:val="00D80985"/>
    <w:rsid w:val="00D8099B"/>
    <w:rsid w:val="00D80AC6"/>
    <w:rsid w:val="00D80B8B"/>
    <w:rsid w:val="00D80BDE"/>
    <w:rsid w:val="00D80CAE"/>
    <w:rsid w:val="00D80D0F"/>
    <w:rsid w:val="00D8119D"/>
    <w:rsid w:val="00D81283"/>
    <w:rsid w:val="00D8134F"/>
    <w:rsid w:val="00D8143D"/>
    <w:rsid w:val="00D814C5"/>
    <w:rsid w:val="00D814FA"/>
    <w:rsid w:val="00D8154A"/>
    <w:rsid w:val="00D815B4"/>
    <w:rsid w:val="00D8163B"/>
    <w:rsid w:val="00D8168C"/>
    <w:rsid w:val="00D816C0"/>
    <w:rsid w:val="00D817FF"/>
    <w:rsid w:val="00D81A08"/>
    <w:rsid w:val="00D81A22"/>
    <w:rsid w:val="00D81A46"/>
    <w:rsid w:val="00D81ABB"/>
    <w:rsid w:val="00D81B74"/>
    <w:rsid w:val="00D81BB8"/>
    <w:rsid w:val="00D81BF4"/>
    <w:rsid w:val="00D81CF7"/>
    <w:rsid w:val="00D81D2C"/>
    <w:rsid w:val="00D81D9E"/>
    <w:rsid w:val="00D81E0D"/>
    <w:rsid w:val="00D81EF2"/>
    <w:rsid w:val="00D81F3D"/>
    <w:rsid w:val="00D81F79"/>
    <w:rsid w:val="00D81FF8"/>
    <w:rsid w:val="00D82060"/>
    <w:rsid w:val="00D82080"/>
    <w:rsid w:val="00D820DF"/>
    <w:rsid w:val="00D82170"/>
    <w:rsid w:val="00D821AA"/>
    <w:rsid w:val="00D821AE"/>
    <w:rsid w:val="00D822BA"/>
    <w:rsid w:val="00D82437"/>
    <w:rsid w:val="00D82451"/>
    <w:rsid w:val="00D82489"/>
    <w:rsid w:val="00D82598"/>
    <w:rsid w:val="00D825B3"/>
    <w:rsid w:val="00D826A7"/>
    <w:rsid w:val="00D8272B"/>
    <w:rsid w:val="00D827BE"/>
    <w:rsid w:val="00D829DE"/>
    <w:rsid w:val="00D82A32"/>
    <w:rsid w:val="00D82A82"/>
    <w:rsid w:val="00D82ADB"/>
    <w:rsid w:val="00D82AEE"/>
    <w:rsid w:val="00D82BAD"/>
    <w:rsid w:val="00D82CC0"/>
    <w:rsid w:val="00D82DB7"/>
    <w:rsid w:val="00D82ED4"/>
    <w:rsid w:val="00D82EDE"/>
    <w:rsid w:val="00D82EF7"/>
    <w:rsid w:val="00D82F8B"/>
    <w:rsid w:val="00D83042"/>
    <w:rsid w:val="00D830A1"/>
    <w:rsid w:val="00D8317B"/>
    <w:rsid w:val="00D831AA"/>
    <w:rsid w:val="00D831F4"/>
    <w:rsid w:val="00D83291"/>
    <w:rsid w:val="00D832BB"/>
    <w:rsid w:val="00D832CB"/>
    <w:rsid w:val="00D832DC"/>
    <w:rsid w:val="00D83340"/>
    <w:rsid w:val="00D83399"/>
    <w:rsid w:val="00D83458"/>
    <w:rsid w:val="00D834BA"/>
    <w:rsid w:val="00D83512"/>
    <w:rsid w:val="00D8367F"/>
    <w:rsid w:val="00D83736"/>
    <w:rsid w:val="00D837AD"/>
    <w:rsid w:val="00D83831"/>
    <w:rsid w:val="00D83889"/>
    <w:rsid w:val="00D838C4"/>
    <w:rsid w:val="00D83946"/>
    <w:rsid w:val="00D8396F"/>
    <w:rsid w:val="00D83974"/>
    <w:rsid w:val="00D839A1"/>
    <w:rsid w:val="00D83A00"/>
    <w:rsid w:val="00D83B8C"/>
    <w:rsid w:val="00D83BF3"/>
    <w:rsid w:val="00D83C5C"/>
    <w:rsid w:val="00D83C60"/>
    <w:rsid w:val="00D83C79"/>
    <w:rsid w:val="00D83D05"/>
    <w:rsid w:val="00D83D9F"/>
    <w:rsid w:val="00D83DCB"/>
    <w:rsid w:val="00D83E03"/>
    <w:rsid w:val="00D83E2B"/>
    <w:rsid w:val="00D83E37"/>
    <w:rsid w:val="00D83E99"/>
    <w:rsid w:val="00D83EAE"/>
    <w:rsid w:val="00D83EBA"/>
    <w:rsid w:val="00D83F2B"/>
    <w:rsid w:val="00D83F66"/>
    <w:rsid w:val="00D83F74"/>
    <w:rsid w:val="00D8412A"/>
    <w:rsid w:val="00D8422D"/>
    <w:rsid w:val="00D842A2"/>
    <w:rsid w:val="00D842D2"/>
    <w:rsid w:val="00D84358"/>
    <w:rsid w:val="00D843BE"/>
    <w:rsid w:val="00D843E0"/>
    <w:rsid w:val="00D843E3"/>
    <w:rsid w:val="00D846A6"/>
    <w:rsid w:val="00D8477D"/>
    <w:rsid w:val="00D8479C"/>
    <w:rsid w:val="00D847CF"/>
    <w:rsid w:val="00D84945"/>
    <w:rsid w:val="00D8494B"/>
    <w:rsid w:val="00D84ABD"/>
    <w:rsid w:val="00D84B0D"/>
    <w:rsid w:val="00D84D18"/>
    <w:rsid w:val="00D84D25"/>
    <w:rsid w:val="00D84D45"/>
    <w:rsid w:val="00D84D66"/>
    <w:rsid w:val="00D84D8E"/>
    <w:rsid w:val="00D84E10"/>
    <w:rsid w:val="00D84F37"/>
    <w:rsid w:val="00D850E1"/>
    <w:rsid w:val="00D851AD"/>
    <w:rsid w:val="00D851F0"/>
    <w:rsid w:val="00D85229"/>
    <w:rsid w:val="00D85239"/>
    <w:rsid w:val="00D8523B"/>
    <w:rsid w:val="00D85251"/>
    <w:rsid w:val="00D8529D"/>
    <w:rsid w:val="00D85366"/>
    <w:rsid w:val="00D85378"/>
    <w:rsid w:val="00D8538A"/>
    <w:rsid w:val="00D853BB"/>
    <w:rsid w:val="00D854B6"/>
    <w:rsid w:val="00D854C8"/>
    <w:rsid w:val="00D854F3"/>
    <w:rsid w:val="00D85506"/>
    <w:rsid w:val="00D85588"/>
    <w:rsid w:val="00D855DA"/>
    <w:rsid w:val="00D85686"/>
    <w:rsid w:val="00D8573E"/>
    <w:rsid w:val="00D857BE"/>
    <w:rsid w:val="00D858AA"/>
    <w:rsid w:val="00D858B6"/>
    <w:rsid w:val="00D858CE"/>
    <w:rsid w:val="00D859CD"/>
    <w:rsid w:val="00D85A62"/>
    <w:rsid w:val="00D85A66"/>
    <w:rsid w:val="00D85AB0"/>
    <w:rsid w:val="00D85BB5"/>
    <w:rsid w:val="00D85C16"/>
    <w:rsid w:val="00D85C55"/>
    <w:rsid w:val="00D85D0C"/>
    <w:rsid w:val="00D85D26"/>
    <w:rsid w:val="00D85D2B"/>
    <w:rsid w:val="00D85E3E"/>
    <w:rsid w:val="00D85ED7"/>
    <w:rsid w:val="00D85F68"/>
    <w:rsid w:val="00D85FEC"/>
    <w:rsid w:val="00D8610F"/>
    <w:rsid w:val="00D86168"/>
    <w:rsid w:val="00D862D4"/>
    <w:rsid w:val="00D8631C"/>
    <w:rsid w:val="00D86416"/>
    <w:rsid w:val="00D86470"/>
    <w:rsid w:val="00D8652A"/>
    <w:rsid w:val="00D86669"/>
    <w:rsid w:val="00D8669F"/>
    <w:rsid w:val="00D866CA"/>
    <w:rsid w:val="00D86879"/>
    <w:rsid w:val="00D8689B"/>
    <w:rsid w:val="00D868BB"/>
    <w:rsid w:val="00D868DF"/>
    <w:rsid w:val="00D8691F"/>
    <w:rsid w:val="00D8696C"/>
    <w:rsid w:val="00D86A1C"/>
    <w:rsid w:val="00D86B6D"/>
    <w:rsid w:val="00D86B72"/>
    <w:rsid w:val="00D86B7A"/>
    <w:rsid w:val="00D86B91"/>
    <w:rsid w:val="00D86B98"/>
    <w:rsid w:val="00D86C39"/>
    <w:rsid w:val="00D86C4E"/>
    <w:rsid w:val="00D86CD5"/>
    <w:rsid w:val="00D86DA6"/>
    <w:rsid w:val="00D86E1C"/>
    <w:rsid w:val="00D86E23"/>
    <w:rsid w:val="00D86E7A"/>
    <w:rsid w:val="00D8704C"/>
    <w:rsid w:val="00D870D6"/>
    <w:rsid w:val="00D87117"/>
    <w:rsid w:val="00D871F6"/>
    <w:rsid w:val="00D8724A"/>
    <w:rsid w:val="00D87259"/>
    <w:rsid w:val="00D87280"/>
    <w:rsid w:val="00D87355"/>
    <w:rsid w:val="00D873D7"/>
    <w:rsid w:val="00D87447"/>
    <w:rsid w:val="00D87454"/>
    <w:rsid w:val="00D874CD"/>
    <w:rsid w:val="00D87534"/>
    <w:rsid w:val="00D875D4"/>
    <w:rsid w:val="00D876B4"/>
    <w:rsid w:val="00D87857"/>
    <w:rsid w:val="00D879D3"/>
    <w:rsid w:val="00D87A8C"/>
    <w:rsid w:val="00D87AF6"/>
    <w:rsid w:val="00D87B48"/>
    <w:rsid w:val="00D87B77"/>
    <w:rsid w:val="00D87BBF"/>
    <w:rsid w:val="00D87D65"/>
    <w:rsid w:val="00D87E1D"/>
    <w:rsid w:val="00D87E4C"/>
    <w:rsid w:val="00D87E5E"/>
    <w:rsid w:val="00D87F7A"/>
    <w:rsid w:val="00D87F9F"/>
    <w:rsid w:val="00D87FD9"/>
    <w:rsid w:val="00D90049"/>
    <w:rsid w:val="00D9008A"/>
    <w:rsid w:val="00D900C5"/>
    <w:rsid w:val="00D900F1"/>
    <w:rsid w:val="00D90193"/>
    <w:rsid w:val="00D901D7"/>
    <w:rsid w:val="00D90265"/>
    <w:rsid w:val="00D90394"/>
    <w:rsid w:val="00D903D0"/>
    <w:rsid w:val="00D904BD"/>
    <w:rsid w:val="00D90530"/>
    <w:rsid w:val="00D90568"/>
    <w:rsid w:val="00D906A9"/>
    <w:rsid w:val="00D906DE"/>
    <w:rsid w:val="00D90705"/>
    <w:rsid w:val="00D90707"/>
    <w:rsid w:val="00D9070F"/>
    <w:rsid w:val="00D90716"/>
    <w:rsid w:val="00D90728"/>
    <w:rsid w:val="00D90733"/>
    <w:rsid w:val="00D90741"/>
    <w:rsid w:val="00D907A3"/>
    <w:rsid w:val="00D907D1"/>
    <w:rsid w:val="00D907E9"/>
    <w:rsid w:val="00D908A4"/>
    <w:rsid w:val="00D908C3"/>
    <w:rsid w:val="00D9098C"/>
    <w:rsid w:val="00D90A2D"/>
    <w:rsid w:val="00D90A74"/>
    <w:rsid w:val="00D90A8F"/>
    <w:rsid w:val="00D90B28"/>
    <w:rsid w:val="00D90B64"/>
    <w:rsid w:val="00D90B91"/>
    <w:rsid w:val="00D90BDB"/>
    <w:rsid w:val="00D90C68"/>
    <w:rsid w:val="00D90CB7"/>
    <w:rsid w:val="00D90D45"/>
    <w:rsid w:val="00D90DD5"/>
    <w:rsid w:val="00D90DF4"/>
    <w:rsid w:val="00D90E94"/>
    <w:rsid w:val="00D90EC0"/>
    <w:rsid w:val="00D9111F"/>
    <w:rsid w:val="00D911B4"/>
    <w:rsid w:val="00D911EC"/>
    <w:rsid w:val="00D91419"/>
    <w:rsid w:val="00D914EE"/>
    <w:rsid w:val="00D915C2"/>
    <w:rsid w:val="00D916D6"/>
    <w:rsid w:val="00D918BD"/>
    <w:rsid w:val="00D91931"/>
    <w:rsid w:val="00D91964"/>
    <w:rsid w:val="00D91989"/>
    <w:rsid w:val="00D91AF4"/>
    <w:rsid w:val="00D91B22"/>
    <w:rsid w:val="00D91BB7"/>
    <w:rsid w:val="00D91BF5"/>
    <w:rsid w:val="00D91C6D"/>
    <w:rsid w:val="00D91DBB"/>
    <w:rsid w:val="00D91DF4"/>
    <w:rsid w:val="00D91E85"/>
    <w:rsid w:val="00D92010"/>
    <w:rsid w:val="00D9206F"/>
    <w:rsid w:val="00D92222"/>
    <w:rsid w:val="00D9231D"/>
    <w:rsid w:val="00D9236D"/>
    <w:rsid w:val="00D92390"/>
    <w:rsid w:val="00D923E4"/>
    <w:rsid w:val="00D9240E"/>
    <w:rsid w:val="00D9242A"/>
    <w:rsid w:val="00D9247B"/>
    <w:rsid w:val="00D924AC"/>
    <w:rsid w:val="00D924D2"/>
    <w:rsid w:val="00D9251C"/>
    <w:rsid w:val="00D92556"/>
    <w:rsid w:val="00D92615"/>
    <w:rsid w:val="00D92671"/>
    <w:rsid w:val="00D92735"/>
    <w:rsid w:val="00D9284A"/>
    <w:rsid w:val="00D92867"/>
    <w:rsid w:val="00D928EC"/>
    <w:rsid w:val="00D92916"/>
    <w:rsid w:val="00D9297F"/>
    <w:rsid w:val="00D929CC"/>
    <w:rsid w:val="00D92A57"/>
    <w:rsid w:val="00D92B03"/>
    <w:rsid w:val="00D92B2F"/>
    <w:rsid w:val="00D92C1E"/>
    <w:rsid w:val="00D92CBD"/>
    <w:rsid w:val="00D92CED"/>
    <w:rsid w:val="00D92D00"/>
    <w:rsid w:val="00D92D44"/>
    <w:rsid w:val="00D92D96"/>
    <w:rsid w:val="00D92E8B"/>
    <w:rsid w:val="00D930AD"/>
    <w:rsid w:val="00D930F8"/>
    <w:rsid w:val="00D930FB"/>
    <w:rsid w:val="00D93118"/>
    <w:rsid w:val="00D9313B"/>
    <w:rsid w:val="00D93239"/>
    <w:rsid w:val="00D93251"/>
    <w:rsid w:val="00D93253"/>
    <w:rsid w:val="00D9327C"/>
    <w:rsid w:val="00D93316"/>
    <w:rsid w:val="00D9331D"/>
    <w:rsid w:val="00D93360"/>
    <w:rsid w:val="00D93374"/>
    <w:rsid w:val="00D93398"/>
    <w:rsid w:val="00D933D0"/>
    <w:rsid w:val="00D933D2"/>
    <w:rsid w:val="00D9340F"/>
    <w:rsid w:val="00D93420"/>
    <w:rsid w:val="00D9342C"/>
    <w:rsid w:val="00D93457"/>
    <w:rsid w:val="00D934AD"/>
    <w:rsid w:val="00D93523"/>
    <w:rsid w:val="00D935D6"/>
    <w:rsid w:val="00D93618"/>
    <w:rsid w:val="00D93668"/>
    <w:rsid w:val="00D936DC"/>
    <w:rsid w:val="00D93746"/>
    <w:rsid w:val="00D93776"/>
    <w:rsid w:val="00D93A56"/>
    <w:rsid w:val="00D93A6A"/>
    <w:rsid w:val="00D93A86"/>
    <w:rsid w:val="00D93AC6"/>
    <w:rsid w:val="00D93AF6"/>
    <w:rsid w:val="00D93BB4"/>
    <w:rsid w:val="00D93D8C"/>
    <w:rsid w:val="00D93D9E"/>
    <w:rsid w:val="00D93F40"/>
    <w:rsid w:val="00D93F52"/>
    <w:rsid w:val="00D93F83"/>
    <w:rsid w:val="00D93FBB"/>
    <w:rsid w:val="00D93FC2"/>
    <w:rsid w:val="00D9401C"/>
    <w:rsid w:val="00D940D6"/>
    <w:rsid w:val="00D940E3"/>
    <w:rsid w:val="00D94222"/>
    <w:rsid w:val="00D9438B"/>
    <w:rsid w:val="00D943B3"/>
    <w:rsid w:val="00D94470"/>
    <w:rsid w:val="00D944D5"/>
    <w:rsid w:val="00D94723"/>
    <w:rsid w:val="00D947DE"/>
    <w:rsid w:val="00D947F7"/>
    <w:rsid w:val="00D9488D"/>
    <w:rsid w:val="00D949C5"/>
    <w:rsid w:val="00D949E1"/>
    <w:rsid w:val="00D94A20"/>
    <w:rsid w:val="00D94A51"/>
    <w:rsid w:val="00D94B52"/>
    <w:rsid w:val="00D94C31"/>
    <w:rsid w:val="00D94E91"/>
    <w:rsid w:val="00D94F80"/>
    <w:rsid w:val="00D94FAE"/>
    <w:rsid w:val="00D94FCA"/>
    <w:rsid w:val="00D94FE1"/>
    <w:rsid w:val="00D95065"/>
    <w:rsid w:val="00D95094"/>
    <w:rsid w:val="00D950BD"/>
    <w:rsid w:val="00D9521C"/>
    <w:rsid w:val="00D952B5"/>
    <w:rsid w:val="00D9537E"/>
    <w:rsid w:val="00D953B8"/>
    <w:rsid w:val="00D953DE"/>
    <w:rsid w:val="00D95639"/>
    <w:rsid w:val="00D95665"/>
    <w:rsid w:val="00D95677"/>
    <w:rsid w:val="00D957DC"/>
    <w:rsid w:val="00D958CF"/>
    <w:rsid w:val="00D958E3"/>
    <w:rsid w:val="00D958FC"/>
    <w:rsid w:val="00D95973"/>
    <w:rsid w:val="00D959EE"/>
    <w:rsid w:val="00D95A3F"/>
    <w:rsid w:val="00D95A6C"/>
    <w:rsid w:val="00D95A7A"/>
    <w:rsid w:val="00D95AD7"/>
    <w:rsid w:val="00D95B28"/>
    <w:rsid w:val="00D95CA7"/>
    <w:rsid w:val="00D95D0E"/>
    <w:rsid w:val="00D95D4C"/>
    <w:rsid w:val="00D95EAF"/>
    <w:rsid w:val="00D95F6B"/>
    <w:rsid w:val="00D95FD3"/>
    <w:rsid w:val="00D96052"/>
    <w:rsid w:val="00D9605A"/>
    <w:rsid w:val="00D96066"/>
    <w:rsid w:val="00D96178"/>
    <w:rsid w:val="00D96193"/>
    <w:rsid w:val="00D961AD"/>
    <w:rsid w:val="00D96248"/>
    <w:rsid w:val="00D9625A"/>
    <w:rsid w:val="00D96330"/>
    <w:rsid w:val="00D96383"/>
    <w:rsid w:val="00D96429"/>
    <w:rsid w:val="00D9653D"/>
    <w:rsid w:val="00D9656D"/>
    <w:rsid w:val="00D96666"/>
    <w:rsid w:val="00D96694"/>
    <w:rsid w:val="00D9684B"/>
    <w:rsid w:val="00D9690A"/>
    <w:rsid w:val="00D969E3"/>
    <w:rsid w:val="00D96A15"/>
    <w:rsid w:val="00D96B72"/>
    <w:rsid w:val="00D96BD3"/>
    <w:rsid w:val="00D96BDD"/>
    <w:rsid w:val="00D96C46"/>
    <w:rsid w:val="00D96D09"/>
    <w:rsid w:val="00D96D2E"/>
    <w:rsid w:val="00D96D84"/>
    <w:rsid w:val="00D96E49"/>
    <w:rsid w:val="00D96E7C"/>
    <w:rsid w:val="00D96F0F"/>
    <w:rsid w:val="00D96F46"/>
    <w:rsid w:val="00D9703D"/>
    <w:rsid w:val="00D97069"/>
    <w:rsid w:val="00D97072"/>
    <w:rsid w:val="00D970A4"/>
    <w:rsid w:val="00D97178"/>
    <w:rsid w:val="00D971B2"/>
    <w:rsid w:val="00D971C4"/>
    <w:rsid w:val="00D9726C"/>
    <w:rsid w:val="00D97321"/>
    <w:rsid w:val="00D97463"/>
    <w:rsid w:val="00D9748F"/>
    <w:rsid w:val="00D974AB"/>
    <w:rsid w:val="00D9751B"/>
    <w:rsid w:val="00D9753F"/>
    <w:rsid w:val="00D97716"/>
    <w:rsid w:val="00D97731"/>
    <w:rsid w:val="00D9774E"/>
    <w:rsid w:val="00D9776E"/>
    <w:rsid w:val="00D977A4"/>
    <w:rsid w:val="00D977BD"/>
    <w:rsid w:val="00D977E3"/>
    <w:rsid w:val="00D978CD"/>
    <w:rsid w:val="00D97A3D"/>
    <w:rsid w:val="00D97A6A"/>
    <w:rsid w:val="00D97A99"/>
    <w:rsid w:val="00D97AB7"/>
    <w:rsid w:val="00D97BC1"/>
    <w:rsid w:val="00D97BD2"/>
    <w:rsid w:val="00D97C51"/>
    <w:rsid w:val="00D97CFA"/>
    <w:rsid w:val="00D97E9A"/>
    <w:rsid w:val="00D97ECA"/>
    <w:rsid w:val="00D97F1A"/>
    <w:rsid w:val="00D97F55"/>
    <w:rsid w:val="00DA0017"/>
    <w:rsid w:val="00DA0075"/>
    <w:rsid w:val="00DA00BD"/>
    <w:rsid w:val="00DA00DA"/>
    <w:rsid w:val="00DA0101"/>
    <w:rsid w:val="00DA0125"/>
    <w:rsid w:val="00DA0147"/>
    <w:rsid w:val="00DA0180"/>
    <w:rsid w:val="00DA0182"/>
    <w:rsid w:val="00DA0198"/>
    <w:rsid w:val="00DA02AB"/>
    <w:rsid w:val="00DA0344"/>
    <w:rsid w:val="00DA03AC"/>
    <w:rsid w:val="00DA03B5"/>
    <w:rsid w:val="00DA03FE"/>
    <w:rsid w:val="00DA0458"/>
    <w:rsid w:val="00DA047B"/>
    <w:rsid w:val="00DA047F"/>
    <w:rsid w:val="00DA07FB"/>
    <w:rsid w:val="00DA0923"/>
    <w:rsid w:val="00DA0A59"/>
    <w:rsid w:val="00DA0AD8"/>
    <w:rsid w:val="00DA0B26"/>
    <w:rsid w:val="00DA0C0D"/>
    <w:rsid w:val="00DA0C73"/>
    <w:rsid w:val="00DA0D4C"/>
    <w:rsid w:val="00DA0D90"/>
    <w:rsid w:val="00DA0DF7"/>
    <w:rsid w:val="00DA0E01"/>
    <w:rsid w:val="00DA0FBD"/>
    <w:rsid w:val="00DA0FEC"/>
    <w:rsid w:val="00DA0FF0"/>
    <w:rsid w:val="00DA107A"/>
    <w:rsid w:val="00DA1095"/>
    <w:rsid w:val="00DA109D"/>
    <w:rsid w:val="00DA1121"/>
    <w:rsid w:val="00DA1129"/>
    <w:rsid w:val="00DA11EB"/>
    <w:rsid w:val="00DA121D"/>
    <w:rsid w:val="00DA13E8"/>
    <w:rsid w:val="00DA1616"/>
    <w:rsid w:val="00DA1717"/>
    <w:rsid w:val="00DA178D"/>
    <w:rsid w:val="00DA186E"/>
    <w:rsid w:val="00DA1885"/>
    <w:rsid w:val="00DA1967"/>
    <w:rsid w:val="00DA1AE2"/>
    <w:rsid w:val="00DA1B03"/>
    <w:rsid w:val="00DA1B16"/>
    <w:rsid w:val="00DA1B20"/>
    <w:rsid w:val="00DA1B83"/>
    <w:rsid w:val="00DA1C1A"/>
    <w:rsid w:val="00DA1C2B"/>
    <w:rsid w:val="00DA1C3D"/>
    <w:rsid w:val="00DA1CDE"/>
    <w:rsid w:val="00DA1D02"/>
    <w:rsid w:val="00DA1D4A"/>
    <w:rsid w:val="00DA1E93"/>
    <w:rsid w:val="00DA1ED5"/>
    <w:rsid w:val="00DA2063"/>
    <w:rsid w:val="00DA2093"/>
    <w:rsid w:val="00DA2343"/>
    <w:rsid w:val="00DA23A1"/>
    <w:rsid w:val="00DA2411"/>
    <w:rsid w:val="00DA2497"/>
    <w:rsid w:val="00DA2577"/>
    <w:rsid w:val="00DA25CE"/>
    <w:rsid w:val="00DA2768"/>
    <w:rsid w:val="00DA27BD"/>
    <w:rsid w:val="00DA2806"/>
    <w:rsid w:val="00DA288F"/>
    <w:rsid w:val="00DA2941"/>
    <w:rsid w:val="00DA2947"/>
    <w:rsid w:val="00DA296A"/>
    <w:rsid w:val="00DA2992"/>
    <w:rsid w:val="00DA2B3F"/>
    <w:rsid w:val="00DA2BA4"/>
    <w:rsid w:val="00DA2C31"/>
    <w:rsid w:val="00DA2CF0"/>
    <w:rsid w:val="00DA2CF5"/>
    <w:rsid w:val="00DA2EE4"/>
    <w:rsid w:val="00DA2EF8"/>
    <w:rsid w:val="00DA2F74"/>
    <w:rsid w:val="00DA2F8D"/>
    <w:rsid w:val="00DA314E"/>
    <w:rsid w:val="00DA31A5"/>
    <w:rsid w:val="00DA3224"/>
    <w:rsid w:val="00DA3278"/>
    <w:rsid w:val="00DA3289"/>
    <w:rsid w:val="00DA328B"/>
    <w:rsid w:val="00DA32DD"/>
    <w:rsid w:val="00DA332C"/>
    <w:rsid w:val="00DA33D6"/>
    <w:rsid w:val="00DA33FB"/>
    <w:rsid w:val="00DA3456"/>
    <w:rsid w:val="00DA348F"/>
    <w:rsid w:val="00DA34AC"/>
    <w:rsid w:val="00DA34EE"/>
    <w:rsid w:val="00DA3584"/>
    <w:rsid w:val="00DA35CC"/>
    <w:rsid w:val="00DA35DD"/>
    <w:rsid w:val="00DA3664"/>
    <w:rsid w:val="00DA36EB"/>
    <w:rsid w:val="00DA377F"/>
    <w:rsid w:val="00DA3784"/>
    <w:rsid w:val="00DA37A9"/>
    <w:rsid w:val="00DA3830"/>
    <w:rsid w:val="00DA384C"/>
    <w:rsid w:val="00DA3932"/>
    <w:rsid w:val="00DA396D"/>
    <w:rsid w:val="00DA39A0"/>
    <w:rsid w:val="00DA39AF"/>
    <w:rsid w:val="00DA39DE"/>
    <w:rsid w:val="00DA3A06"/>
    <w:rsid w:val="00DA3AA3"/>
    <w:rsid w:val="00DA3AB2"/>
    <w:rsid w:val="00DA3AF2"/>
    <w:rsid w:val="00DA3B30"/>
    <w:rsid w:val="00DA3B55"/>
    <w:rsid w:val="00DA3BC7"/>
    <w:rsid w:val="00DA3CB5"/>
    <w:rsid w:val="00DA3E28"/>
    <w:rsid w:val="00DA3E3C"/>
    <w:rsid w:val="00DA3E40"/>
    <w:rsid w:val="00DA3FBB"/>
    <w:rsid w:val="00DA40A8"/>
    <w:rsid w:val="00DA4149"/>
    <w:rsid w:val="00DA4247"/>
    <w:rsid w:val="00DA428A"/>
    <w:rsid w:val="00DA42BB"/>
    <w:rsid w:val="00DA4440"/>
    <w:rsid w:val="00DA445A"/>
    <w:rsid w:val="00DA4595"/>
    <w:rsid w:val="00DA463B"/>
    <w:rsid w:val="00DA464A"/>
    <w:rsid w:val="00DA46D6"/>
    <w:rsid w:val="00DA46FA"/>
    <w:rsid w:val="00DA474A"/>
    <w:rsid w:val="00DA479C"/>
    <w:rsid w:val="00DA492B"/>
    <w:rsid w:val="00DA4952"/>
    <w:rsid w:val="00DA495C"/>
    <w:rsid w:val="00DA49FD"/>
    <w:rsid w:val="00DA4A08"/>
    <w:rsid w:val="00DA4A71"/>
    <w:rsid w:val="00DA4A85"/>
    <w:rsid w:val="00DA4B07"/>
    <w:rsid w:val="00DA4B28"/>
    <w:rsid w:val="00DA4B36"/>
    <w:rsid w:val="00DA4B6F"/>
    <w:rsid w:val="00DA4BE1"/>
    <w:rsid w:val="00DA4C5F"/>
    <w:rsid w:val="00DA4D1D"/>
    <w:rsid w:val="00DA4E51"/>
    <w:rsid w:val="00DA4E56"/>
    <w:rsid w:val="00DA4EDC"/>
    <w:rsid w:val="00DA4F23"/>
    <w:rsid w:val="00DA4F3D"/>
    <w:rsid w:val="00DA4F4C"/>
    <w:rsid w:val="00DA4F5D"/>
    <w:rsid w:val="00DA4FCA"/>
    <w:rsid w:val="00DA5154"/>
    <w:rsid w:val="00DA522D"/>
    <w:rsid w:val="00DA527A"/>
    <w:rsid w:val="00DA5282"/>
    <w:rsid w:val="00DA52E1"/>
    <w:rsid w:val="00DA52FC"/>
    <w:rsid w:val="00DA5842"/>
    <w:rsid w:val="00DA5846"/>
    <w:rsid w:val="00DA584D"/>
    <w:rsid w:val="00DA5858"/>
    <w:rsid w:val="00DA5982"/>
    <w:rsid w:val="00DA59CC"/>
    <w:rsid w:val="00DA5ACE"/>
    <w:rsid w:val="00DA5B18"/>
    <w:rsid w:val="00DA5B73"/>
    <w:rsid w:val="00DA5C07"/>
    <w:rsid w:val="00DA5C78"/>
    <w:rsid w:val="00DA5CC0"/>
    <w:rsid w:val="00DA5CC8"/>
    <w:rsid w:val="00DA5D87"/>
    <w:rsid w:val="00DA5E19"/>
    <w:rsid w:val="00DA5EB6"/>
    <w:rsid w:val="00DA5EFC"/>
    <w:rsid w:val="00DA5F01"/>
    <w:rsid w:val="00DA6116"/>
    <w:rsid w:val="00DA614A"/>
    <w:rsid w:val="00DA6158"/>
    <w:rsid w:val="00DA61D6"/>
    <w:rsid w:val="00DA6229"/>
    <w:rsid w:val="00DA63E0"/>
    <w:rsid w:val="00DA641A"/>
    <w:rsid w:val="00DA64B9"/>
    <w:rsid w:val="00DA65A3"/>
    <w:rsid w:val="00DA65A6"/>
    <w:rsid w:val="00DA65D5"/>
    <w:rsid w:val="00DA66A0"/>
    <w:rsid w:val="00DA66EC"/>
    <w:rsid w:val="00DA672D"/>
    <w:rsid w:val="00DA67B5"/>
    <w:rsid w:val="00DA67E6"/>
    <w:rsid w:val="00DA6837"/>
    <w:rsid w:val="00DA690C"/>
    <w:rsid w:val="00DA696E"/>
    <w:rsid w:val="00DA69D3"/>
    <w:rsid w:val="00DA69FF"/>
    <w:rsid w:val="00DA6A11"/>
    <w:rsid w:val="00DA6A37"/>
    <w:rsid w:val="00DA6A5F"/>
    <w:rsid w:val="00DA6A60"/>
    <w:rsid w:val="00DA6BEA"/>
    <w:rsid w:val="00DA6C71"/>
    <w:rsid w:val="00DA6CA9"/>
    <w:rsid w:val="00DA6D36"/>
    <w:rsid w:val="00DA6DE1"/>
    <w:rsid w:val="00DA6E45"/>
    <w:rsid w:val="00DA6E4C"/>
    <w:rsid w:val="00DA6EB1"/>
    <w:rsid w:val="00DA6F27"/>
    <w:rsid w:val="00DA6F6F"/>
    <w:rsid w:val="00DA6FC5"/>
    <w:rsid w:val="00DA707A"/>
    <w:rsid w:val="00DA709B"/>
    <w:rsid w:val="00DA7126"/>
    <w:rsid w:val="00DA7138"/>
    <w:rsid w:val="00DA7247"/>
    <w:rsid w:val="00DA7298"/>
    <w:rsid w:val="00DA7421"/>
    <w:rsid w:val="00DA747C"/>
    <w:rsid w:val="00DA754A"/>
    <w:rsid w:val="00DA75FB"/>
    <w:rsid w:val="00DA760A"/>
    <w:rsid w:val="00DA76AD"/>
    <w:rsid w:val="00DA76EB"/>
    <w:rsid w:val="00DA76FB"/>
    <w:rsid w:val="00DA7821"/>
    <w:rsid w:val="00DA7867"/>
    <w:rsid w:val="00DA7889"/>
    <w:rsid w:val="00DA79B8"/>
    <w:rsid w:val="00DA79DE"/>
    <w:rsid w:val="00DA79F6"/>
    <w:rsid w:val="00DA7AC0"/>
    <w:rsid w:val="00DA7B37"/>
    <w:rsid w:val="00DA7BC9"/>
    <w:rsid w:val="00DA7C47"/>
    <w:rsid w:val="00DA7D29"/>
    <w:rsid w:val="00DA7D30"/>
    <w:rsid w:val="00DA7D9C"/>
    <w:rsid w:val="00DA7E0A"/>
    <w:rsid w:val="00DA7EC4"/>
    <w:rsid w:val="00DA7FB0"/>
    <w:rsid w:val="00DB0075"/>
    <w:rsid w:val="00DB009E"/>
    <w:rsid w:val="00DB00A9"/>
    <w:rsid w:val="00DB012E"/>
    <w:rsid w:val="00DB0374"/>
    <w:rsid w:val="00DB0409"/>
    <w:rsid w:val="00DB0412"/>
    <w:rsid w:val="00DB0433"/>
    <w:rsid w:val="00DB04A2"/>
    <w:rsid w:val="00DB04F2"/>
    <w:rsid w:val="00DB059B"/>
    <w:rsid w:val="00DB07BD"/>
    <w:rsid w:val="00DB07E8"/>
    <w:rsid w:val="00DB0885"/>
    <w:rsid w:val="00DB08C7"/>
    <w:rsid w:val="00DB09C3"/>
    <w:rsid w:val="00DB0A7F"/>
    <w:rsid w:val="00DB0B40"/>
    <w:rsid w:val="00DB0B4A"/>
    <w:rsid w:val="00DB0BA8"/>
    <w:rsid w:val="00DB0C07"/>
    <w:rsid w:val="00DB0DB5"/>
    <w:rsid w:val="00DB1081"/>
    <w:rsid w:val="00DB109E"/>
    <w:rsid w:val="00DB1128"/>
    <w:rsid w:val="00DB117D"/>
    <w:rsid w:val="00DB122E"/>
    <w:rsid w:val="00DB131D"/>
    <w:rsid w:val="00DB1393"/>
    <w:rsid w:val="00DB13F4"/>
    <w:rsid w:val="00DB1408"/>
    <w:rsid w:val="00DB140E"/>
    <w:rsid w:val="00DB14EB"/>
    <w:rsid w:val="00DB1577"/>
    <w:rsid w:val="00DB15C6"/>
    <w:rsid w:val="00DB15F9"/>
    <w:rsid w:val="00DB168C"/>
    <w:rsid w:val="00DB16B6"/>
    <w:rsid w:val="00DB173C"/>
    <w:rsid w:val="00DB174B"/>
    <w:rsid w:val="00DB1759"/>
    <w:rsid w:val="00DB178C"/>
    <w:rsid w:val="00DB18BE"/>
    <w:rsid w:val="00DB19C2"/>
    <w:rsid w:val="00DB19D9"/>
    <w:rsid w:val="00DB19E7"/>
    <w:rsid w:val="00DB1AE0"/>
    <w:rsid w:val="00DB1B69"/>
    <w:rsid w:val="00DB1BED"/>
    <w:rsid w:val="00DB1CE7"/>
    <w:rsid w:val="00DB1CEF"/>
    <w:rsid w:val="00DB1E07"/>
    <w:rsid w:val="00DB1E10"/>
    <w:rsid w:val="00DB1E5F"/>
    <w:rsid w:val="00DB1EF0"/>
    <w:rsid w:val="00DB1F27"/>
    <w:rsid w:val="00DB1F2A"/>
    <w:rsid w:val="00DB1F50"/>
    <w:rsid w:val="00DB1FBC"/>
    <w:rsid w:val="00DB1FDC"/>
    <w:rsid w:val="00DB2067"/>
    <w:rsid w:val="00DB21AB"/>
    <w:rsid w:val="00DB21E3"/>
    <w:rsid w:val="00DB22B3"/>
    <w:rsid w:val="00DB22BA"/>
    <w:rsid w:val="00DB2314"/>
    <w:rsid w:val="00DB2343"/>
    <w:rsid w:val="00DB24CC"/>
    <w:rsid w:val="00DB24D9"/>
    <w:rsid w:val="00DB2515"/>
    <w:rsid w:val="00DB25CB"/>
    <w:rsid w:val="00DB268A"/>
    <w:rsid w:val="00DB26D5"/>
    <w:rsid w:val="00DB2711"/>
    <w:rsid w:val="00DB2729"/>
    <w:rsid w:val="00DB27AD"/>
    <w:rsid w:val="00DB27BE"/>
    <w:rsid w:val="00DB28FD"/>
    <w:rsid w:val="00DB2980"/>
    <w:rsid w:val="00DB29D5"/>
    <w:rsid w:val="00DB2A2D"/>
    <w:rsid w:val="00DB2A68"/>
    <w:rsid w:val="00DB2AB5"/>
    <w:rsid w:val="00DB2AE6"/>
    <w:rsid w:val="00DB2B41"/>
    <w:rsid w:val="00DB2BA6"/>
    <w:rsid w:val="00DB2BCD"/>
    <w:rsid w:val="00DB2C47"/>
    <w:rsid w:val="00DB2D8B"/>
    <w:rsid w:val="00DB2D9F"/>
    <w:rsid w:val="00DB2DA8"/>
    <w:rsid w:val="00DB2DB5"/>
    <w:rsid w:val="00DB2DB8"/>
    <w:rsid w:val="00DB2E5E"/>
    <w:rsid w:val="00DB2F06"/>
    <w:rsid w:val="00DB2F31"/>
    <w:rsid w:val="00DB2F36"/>
    <w:rsid w:val="00DB2F9D"/>
    <w:rsid w:val="00DB3003"/>
    <w:rsid w:val="00DB30FA"/>
    <w:rsid w:val="00DB311B"/>
    <w:rsid w:val="00DB32B1"/>
    <w:rsid w:val="00DB32EB"/>
    <w:rsid w:val="00DB3324"/>
    <w:rsid w:val="00DB3359"/>
    <w:rsid w:val="00DB335E"/>
    <w:rsid w:val="00DB33A2"/>
    <w:rsid w:val="00DB3445"/>
    <w:rsid w:val="00DB345A"/>
    <w:rsid w:val="00DB3484"/>
    <w:rsid w:val="00DB34EA"/>
    <w:rsid w:val="00DB352A"/>
    <w:rsid w:val="00DB3621"/>
    <w:rsid w:val="00DB36FA"/>
    <w:rsid w:val="00DB3843"/>
    <w:rsid w:val="00DB3895"/>
    <w:rsid w:val="00DB38D3"/>
    <w:rsid w:val="00DB38DB"/>
    <w:rsid w:val="00DB3968"/>
    <w:rsid w:val="00DB3A4B"/>
    <w:rsid w:val="00DB3A55"/>
    <w:rsid w:val="00DB3AA7"/>
    <w:rsid w:val="00DB3B6B"/>
    <w:rsid w:val="00DB3B7F"/>
    <w:rsid w:val="00DB3C10"/>
    <w:rsid w:val="00DB3C6E"/>
    <w:rsid w:val="00DB3C85"/>
    <w:rsid w:val="00DB3CED"/>
    <w:rsid w:val="00DB3D83"/>
    <w:rsid w:val="00DB3DCB"/>
    <w:rsid w:val="00DB3DFB"/>
    <w:rsid w:val="00DB3E8C"/>
    <w:rsid w:val="00DB3ED9"/>
    <w:rsid w:val="00DB3F37"/>
    <w:rsid w:val="00DB3F48"/>
    <w:rsid w:val="00DB40C4"/>
    <w:rsid w:val="00DB4145"/>
    <w:rsid w:val="00DB4263"/>
    <w:rsid w:val="00DB4268"/>
    <w:rsid w:val="00DB4288"/>
    <w:rsid w:val="00DB433A"/>
    <w:rsid w:val="00DB4422"/>
    <w:rsid w:val="00DB4517"/>
    <w:rsid w:val="00DB4581"/>
    <w:rsid w:val="00DB45A6"/>
    <w:rsid w:val="00DB4632"/>
    <w:rsid w:val="00DB4663"/>
    <w:rsid w:val="00DB46AD"/>
    <w:rsid w:val="00DB46C3"/>
    <w:rsid w:val="00DB4736"/>
    <w:rsid w:val="00DB474D"/>
    <w:rsid w:val="00DB475D"/>
    <w:rsid w:val="00DB478C"/>
    <w:rsid w:val="00DB47A0"/>
    <w:rsid w:val="00DB4827"/>
    <w:rsid w:val="00DB4854"/>
    <w:rsid w:val="00DB48D2"/>
    <w:rsid w:val="00DB4914"/>
    <w:rsid w:val="00DB4995"/>
    <w:rsid w:val="00DB49FC"/>
    <w:rsid w:val="00DB4A1E"/>
    <w:rsid w:val="00DB4A2C"/>
    <w:rsid w:val="00DB4A39"/>
    <w:rsid w:val="00DB4A62"/>
    <w:rsid w:val="00DB4B30"/>
    <w:rsid w:val="00DB4B88"/>
    <w:rsid w:val="00DB4C8D"/>
    <w:rsid w:val="00DB4C9A"/>
    <w:rsid w:val="00DB4DCB"/>
    <w:rsid w:val="00DB4F13"/>
    <w:rsid w:val="00DB4F40"/>
    <w:rsid w:val="00DB4F82"/>
    <w:rsid w:val="00DB5073"/>
    <w:rsid w:val="00DB517B"/>
    <w:rsid w:val="00DB519E"/>
    <w:rsid w:val="00DB51DC"/>
    <w:rsid w:val="00DB51F6"/>
    <w:rsid w:val="00DB5257"/>
    <w:rsid w:val="00DB52A2"/>
    <w:rsid w:val="00DB52A4"/>
    <w:rsid w:val="00DB52D9"/>
    <w:rsid w:val="00DB534E"/>
    <w:rsid w:val="00DB5695"/>
    <w:rsid w:val="00DB56A3"/>
    <w:rsid w:val="00DB56BB"/>
    <w:rsid w:val="00DB56CA"/>
    <w:rsid w:val="00DB5721"/>
    <w:rsid w:val="00DB5769"/>
    <w:rsid w:val="00DB57CB"/>
    <w:rsid w:val="00DB57CF"/>
    <w:rsid w:val="00DB57F0"/>
    <w:rsid w:val="00DB5842"/>
    <w:rsid w:val="00DB58BC"/>
    <w:rsid w:val="00DB59C3"/>
    <w:rsid w:val="00DB5AE4"/>
    <w:rsid w:val="00DB5B5B"/>
    <w:rsid w:val="00DB5B6B"/>
    <w:rsid w:val="00DB5BE7"/>
    <w:rsid w:val="00DB5C5E"/>
    <w:rsid w:val="00DB5D84"/>
    <w:rsid w:val="00DB5DBF"/>
    <w:rsid w:val="00DB5DC3"/>
    <w:rsid w:val="00DB5E5F"/>
    <w:rsid w:val="00DB5E89"/>
    <w:rsid w:val="00DB5E90"/>
    <w:rsid w:val="00DB5F60"/>
    <w:rsid w:val="00DB607B"/>
    <w:rsid w:val="00DB60BB"/>
    <w:rsid w:val="00DB60DA"/>
    <w:rsid w:val="00DB610B"/>
    <w:rsid w:val="00DB6196"/>
    <w:rsid w:val="00DB63C3"/>
    <w:rsid w:val="00DB6567"/>
    <w:rsid w:val="00DB656C"/>
    <w:rsid w:val="00DB6605"/>
    <w:rsid w:val="00DB666C"/>
    <w:rsid w:val="00DB6789"/>
    <w:rsid w:val="00DB67CE"/>
    <w:rsid w:val="00DB67DB"/>
    <w:rsid w:val="00DB6981"/>
    <w:rsid w:val="00DB698F"/>
    <w:rsid w:val="00DB699A"/>
    <w:rsid w:val="00DB6B44"/>
    <w:rsid w:val="00DB6B5D"/>
    <w:rsid w:val="00DB6BC3"/>
    <w:rsid w:val="00DB6CC7"/>
    <w:rsid w:val="00DB6D92"/>
    <w:rsid w:val="00DB6D9C"/>
    <w:rsid w:val="00DB6F51"/>
    <w:rsid w:val="00DB6FB9"/>
    <w:rsid w:val="00DB6FE4"/>
    <w:rsid w:val="00DB6FF0"/>
    <w:rsid w:val="00DB7004"/>
    <w:rsid w:val="00DB7011"/>
    <w:rsid w:val="00DB741F"/>
    <w:rsid w:val="00DB7521"/>
    <w:rsid w:val="00DB755F"/>
    <w:rsid w:val="00DB75CF"/>
    <w:rsid w:val="00DB76DE"/>
    <w:rsid w:val="00DB76EB"/>
    <w:rsid w:val="00DB774C"/>
    <w:rsid w:val="00DB774D"/>
    <w:rsid w:val="00DB7900"/>
    <w:rsid w:val="00DB7912"/>
    <w:rsid w:val="00DB7958"/>
    <w:rsid w:val="00DB795A"/>
    <w:rsid w:val="00DB79D0"/>
    <w:rsid w:val="00DB7B76"/>
    <w:rsid w:val="00DB7B96"/>
    <w:rsid w:val="00DB7BF7"/>
    <w:rsid w:val="00DB7C19"/>
    <w:rsid w:val="00DB7C30"/>
    <w:rsid w:val="00DB7D93"/>
    <w:rsid w:val="00DB7DBD"/>
    <w:rsid w:val="00DB7DBE"/>
    <w:rsid w:val="00DB7E2D"/>
    <w:rsid w:val="00DB7E36"/>
    <w:rsid w:val="00DB7EEF"/>
    <w:rsid w:val="00DB7F3F"/>
    <w:rsid w:val="00DC0022"/>
    <w:rsid w:val="00DC006F"/>
    <w:rsid w:val="00DC025B"/>
    <w:rsid w:val="00DC039B"/>
    <w:rsid w:val="00DC039E"/>
    <w:rsid w:val="00DC042B"/>
    <w:rsid w:val="00DC0484"/>
    <w:rsid w:val="00DC0515"/>
    <w:rsid w:val="00DC05AC"/>
    <w:rsid w:val="00DC05E0"/>
    <w:rsid w:val="00DC0615"/>
    <w:rsid w:val="00DC06AE"/>
    <w:rsid w:val="00DC06E1"/>
    <w:rsid w:val="00DC0762"/>
    <w:rsid w:val="00DC08B7"/>
    <w:rsid w:val="00DC0946"/>
    <w:rsid w:val="00DC09BB"/>
    <w:rsid w:val="00DC09E6"/>
    <w:rsid w:val="00DC0AEB"/>
    <w:rsid w:val="00DC0B6C"/>
    <w:rsid w:val="00DC0B78"/>
    <w:rsid w:val="00DC0B79"/>
    <w:rsid w:val="00DC0B95"/>
    <w:rsid w:val="00DC0C20"/>
    <w:rsid w:val="00DC0C42"/>
    <w:rsid w:val="00DC0C4A"/>
    <w:rsid w:val="00DC0C50"/>
    <w:rsid w:val="00DC0C72"/>
    <w:rsid w:val="00DC0D94"/>
    <w:rsid w:val="00DC0E3B"/>
    <w:rsid w:val="00DC0E82"/>
    <w:rsid w:val="00DC0ED2"/>
    <w:rsid w:val="00DC0F2C"/>
    <w:rsid w:val="00DC0F46"/>
    <w:rsid w:val="00DC0FDF"/>
    <w:rsid w:val="00DC10A9"/>
    <w:rsid w:val="00DC1106"/>
    <w:rsid w:val="00DC122E"/>
    <w:rsid w:val="00DC12A2"/>
    <w:rsid w:val="00DC12F1"/>
    <w:rsid w:val="00DC1307"/>
    <w:rsid w:val="00DC131D"/>
    <w:rsid w:val="00DC139A"/>
    <w:rsid w:val="00DC13D3"/>
    <w:rsid w:val="00DC13F0"/>
    <w:rsid w:val="00DC141C"/>
    <w:rsid w:val="00DC1430"/>
    <w:rsid w:val="00DC1580"/>
    <w:rsid w:val="00DC1616"/>
    <w:rsid w:val="00DC16DE"/>
    <w:rsid w:val="00DC170B"/>
    <w:rsid w:val="00DC1721"/>
    <w:rsid w:val="00DC17FB"/>
    <w:rsid w:val="00DC1809"/>
    <w:rsid w:val="00DC193A"/>
    <w:rsid w:val="00DC1A22"/>
    <w:rsid w:val="00DC1AC8"/>
    <w:rsid w:val="00DC1B04"/>
    <w:rsid w:val="00DC1CD7"/>
    <w:rsid w:val="00DC1CF8"/>
    <w:rsid w:val="00DC1D57"/>
    <w:rsid w:val="00DC1D9D"/>
    <w:rsid w:val="00DC1DB0"/>
    <w:rsid w:val="00DC1E4C"/>
    <w:rsid w:val="00DC2003"/>
    <w:rsid w:val="00DC202A"/>
    <w:rsid w:val="00DC202D"/>
    <w:rsid w:val="00DC2047"/>
    <w:rsid w:val="00DC20B6"/>
    <w:rsid w:val="00DC20BE"/>
    <w:rsid w:val="00DC20CA"/>
    <w:rsid w:val="00DC2107"/>
    <w:rsid w:val="00DC21A6"/>
    <w:rsid w:val="00DC21DA"/>
    <w:rsid w:val="00DC223F"/>
    <w:rsid w:val="00DC224C"/>
    <w:rsid w:val="00DC229E"/>
    <w:rsid w:val="00DC23E9"/>
    <w:rsid w:val="00DC2478"/>
    <w:rsid w:val="00DC2546"/>
    <w:rsid w:val="00DC256A"/>
    <w:rsid w:val="00DC25FD"/>
    <w:rsid w:val="00DC2674"/>
    <w:rsid w:val="00DC27C0"/>
    <w:rsid w:val="00DC27E1"/>
    <w:rsid w:val="00DC285F"/>
    <w:rsid w:val="00DC2885"/>
    <w:rsid w:val="00DC28A2"/>
    <w:rsid w:val="00DC28BB"/>
    <w:rsid w:val="00DC2942"/>
    <w:rsid w:val="00DC29A6"/>
    <w:rsid w:val="00DC2A45"/>
    <w:rsid w:val="00DC2A69"/>
    <w:rsid w:val="00DC2AB9"/>
    <w:rsid w:val="00DC2AD6"/>
    <w:rsid w:val="00DC2BEF"/>
    <w:rsid w:val="00DC2DA2"/>
    <w:rsid w:val="00DC2DE1"/>
    <w:rsid w:val="00DC2E13"/>
    <w:rsid w:val="00DC2E3C"/>
    <w:rsid w:val="00DC2E68"/>
    <w:rsid w:val="00DC2E83"/>
    <w:rsid w:val="00DC2ECB"/>
    <w:rsid w:val="00DC2FE8"/>
    <w:rsid w:val="00DC2FF8"/>
    <w:rsid w:val="00DC2FF9"/>
    <w:rsid w:val="00DC30E4"/>
    <w:rsid w:val="00DC312B"/>
    <w:rsid w:val="00DC312C"/>
    <w:rsid w:val="00DC3181"/>
    <w:rsid w:val="00DC32CB"/>
    <w:rsid w:val="00DC334F"/>
    <w:rsid w:val="00DC33A5"/>
    <w:rsid w:val="00DC33E4"/>
    <w:rsid w:val="00DC3419"/>
    <w:rsid w:val="00DC3467"/>
    <w:rsid w:val="00DC34F7"/>
    <w:rsid w:val="00DC34FD"/>
    <w:rsid w:val="00DC3593"/>
    <w:rsid w:val="00DC3643"/>
    <w:rsid w:val="00DC36EC"/>
    <w:rsid w:val="00DC370E"/>
    <w:rsid w:val="00DC3740"/>
    <w:rsid w:val="00DC37A5"/>
    <w:rsid w:val="00DC3832"/>
    <w:rsid w:val="00DC3883"/>
    <w:rsid w:val="00DC38E3"/>
    <w:rsid w:val="00DC38E6"/>
    <w:rsid w:val="00DC38FE"/>
    <w:rsid w:val="00DC39FE"/>
    <w:rsid w:val="00DC3A5A"/>
    <w:rsid w:val="00DC3ACB"/>
    <w:rsid w:val="00DC3C0F"/>
    <w:rsid w:val="00DC3D06"/>
    <w:rsid w:val="00DC3D16"/>
    <w:rsid w:val="00DC3DDD"/>
    <w:rsid w:val="00DC3E70"/>
    <w:rsid w:val="00DC3FD7"/>
    <w:rsid w:val="00DC4021"/>
    <w:rsid w:val="00DC4046"/>
    <w:rsid w:val="00DC406A"/>
    <w:rsid w:val="00DC41AF"/>
    <w:rsid w:val="00DC42E8"/>
    <w:rsid w:val="00DC441D"/>
    <w:rsid w:val="00DC4451"/>
    <w:rsid w:val="00DC4541"/>
    <w:rsid w:val="00DC4560"/>
    <w:rsid w:val="00DC45B9"/>
    <w:rsid w:val="00DC45C2"/>
    <w:rsid w:val="00DC464F"/>
    <w:rsid w:val="00DC46BF"/>
    <w:rsid w:val="00DC470A"/>
    <w:rsid w:val="00DC4734"/>
    <w:rsid w:val="00DC479F"/>
    <w:rsid w:val="00DC47D5"/>
    <w:rsid w:val="00DC4807"/>
    <w:rsid w:val="00DC480C"/>
    <w:rsid w:val="00DC48C0"/>
    <w:rsid w:val="00DC48FE"/>
    <w:rsid w:val="00DC490C"/>
    <w:rsid w:val="00DC4935"/>
    <w:rsid w:val="00DC493C"/>
    <w:rsid w:val="00DC49CD"/>
    <w:rsid w:val="00DC49DC"/>
    <w:rsid w:val="00DC4A7C"/>
    <w:rsid w:val="00DC4A8D"/>
    <w:rsid w:val="00DC4AB5"/>
    <w:rsid w:val="00DC4B28"/>
    <w:rsid w:val="00DC4B5D"/>
    <w:rsid w:val="00DC4B72"/>
    <w:rsid w:val="00DC4CCE"/>
    <w:rsid w:val="00DC4DA1"/>
    <w:rsid w:val="00DC4E2E"/>
    <w:rsid w:val="00DC4F56"/>
    <w:rsid w:val="00DC4F8A"/>
    <w:rsid w:val="00DC4FE5"/>
    <w:rsid w:val="00DC5019"/>
    <w:rsid w:val="00DC5044"/>
    <w:rsid w:val="00DC5046"/>
    <w:rsid w:val="00DC505C"/>
    <w:rsid w:val="00DC5073"/>
    <w:rsid w:val="00DC50DE"/>
    <w:rsid w:val="00DC50F7"/>
    <w:rsid w:val="00DC5117"/>
    <w:rsid w:val="00DC5165"/>
    <w:rsid w:val="00DC5183"/>
    <w:rsid w:val="00DC51CB"/>
    <w:rsid w:val="00DC51E4"/>
    <w:rsid w:val="00DC52D5"/>
    <w:rsid w:val="00DC52E5"/>
    <w:rsid w:val="00DC52FB"/>
    <w:rsid w:val="00DC5368"/>
    <w:rsid w:val="00DC53A0"/>
    <w:rsid w:val="00DC53C3"/>
    <w:rsid w:val="00DC5472"/>
    <w:rsid w:val="00DC558E"/>
    <w:rsid w:val="00DC56F3"/>
    <w:rsid w:val="00DC56FE"/>
    <w:rsid w:val="00DC57A6"/>
    <w:rsid w:val="00DC5807"/>
    <w:rsid w:val="00DC58C0"/>
    <w:rsid w:val="00DC58F0"/>
    <w:rsid w:val="00DC5AF7"/>
    <w:rsid w:val="00DC5AFA"/>
    <w:rsid w:val="00DC5B0E"/>
    <w:rsid w:val="00DC5B5D"/>
    <w:rsid w:val="00DC5B6C"/>
    <w:rsid w:val="00DC5BC8"/>
    <w:rsid w:val="00DC5BD1"/>
    <w:rsid w:val="00DC5BDD"/>
    <w:rsid w:val="00DC5BE2"/>
    <w:rsid w:val="00DC5C11"/>
    <w:rsid w:val="00DC5C8B"/>
    <w:rsid w:val="00DC5C90"/>
    <w:rsid w:val="00DC5D66"/>
    <w:rsid w:val="00DC5DBD"/>
    <w:rsid w:val="00DC5E41"/>
    <w:rsid w:val="00DC5F54"/>
    <w:rsid w:val="00DC5FA0"/>
    <w:rsid w:val="00DC5FE1"/>
    <w:rsid w:val="00DC6010"/>
    <w:rsid w:val="00DC6025"/>
    <w:rsid w:val="00DC607B"/>
    <w:rsid w:val="00DC60F3"/>
    <w:rsid w:val="00DC6103"/>
    <w:rsid w:val="00DC61C3"/>
    <w:rsid w:val="00DC620F"/>
    <w:rsid w:val="00DC6215"/>
    <w:rsid w:val="00DC623E"/>
    <w:rsid w:val="00DC6280"/>
    <w:rsid w:val="00DC632D"/>
    <w:rsid w:val="00DC6371"/>
    <w:rsid w:val="00DC637A"/>
    <w:rsid w:val="00DC63A5"/>
    <w:rsid w:val="00DC6440"/>
    <w:rsid w:val="00DC6578"/>
    <w:rsid w:val="00DC66CA"/>
    <w:rsid w:val="00DC6714"/>
    <w:rsid w:val="00DC6716"/>
    <w:rsid w:val="00DC6778"/>
    <w:rsid w:val="00DC67F5"/>
    <w:rsid w:val="00DC6808"/>
    <w:rsid w:val="00DC680F"/>
    <w:rsid w:val="00DC686C"/>
    <w:rsid w:val="00DC68D5"/>
    <w:rsid w:val="00DC6932"/>
    <w:rsid w:val="00DC6938"/>
    <w:rsid w:val="00DC698E"/>
    <w:rsid w:val="00DC69A7"/>
    <w:rsid w:val="00DC69A9"/>
    <w:rsid w:val="00DC6A00"/>
    <w:rsid w:val="00DC6A6A"/>
    <w:rsid w:val="00DC6AED"/>
    <w:rsid w:val="00DC6AF7"/>
    <w:rsid w:val="00DC6B7F"/>
    <w:rsid w:val="00DC6B8F"/>
    <w:rsid w:val="00DC6CA6"/>
    <w:rsid w:val="00DC6CDB"/>
    <w:rsid w:val="00DC6D6A"/>
    <w:rsid w:val="00DC6EDC"/>
    <w:rsid w:val="00DC6EED"/>
    <w:rsid w:val="00DC6EFC"/>
    <w:rsid w:val="00DC6FAF"/>
    <w:rsid w:val="00DC6FC8"/>
    <w:rsid w:val="00DC7059"/>
    <w:rsid w:val="00DC708D"/>
    <w:rsid w:val="00DC70E0"/>
    <w:rsid w:val="00DC7185"/>
    <w:rsid w:val="00DC7303"/>
    <w:rsid w:val="00DC7333"/>
    <w:rsid w:val="00DC739C"/>
    <w:rsid w:val="00DC73DD"/>
    <w:rsid w:val="00DC741F"/>
    <w:rsid w:val="00DC75D4"/>
    <w:rsid w:val="00DC769B"/>
    <w:rsid w:val="00DC7741"/>
    <w:rsid w:val="00DC774A"/>
    <w:rsid w:val="00DC7856"/>
    <w:rsid w:val="00DC7867"/>
    <w:rsid w:val="00DC7A5C"/>
    <w:rsid w:val="00DC7A79"/>
    <w:rsid w:val="00DC7B49"/>
    <w:rsid w:val="00DC7C69"/>
    <w:rsid w:val="00DC7C7B"/>
    <w:rsid w:val="00DC7C7F"/>
    <w:rsid w:val="00DC7CB6"/>
    <w:rsid w:val="00DC7CF9"/>
    <w:rsid w:val="00DC7D86"/>
    <w:rsid w:val="00DC7E20"/>
    <w:rsid w:val="00DC7E6C"/>
    <w:rsid w:val="00DC7FCA"/>
    <w:rsid w:val="00DD0012"/>
    <w:rsid w:val="00DD005F"/>
    <w:rsid w:val="00DD0190"/>
    <w:rsid w:val="00DD01A3"/>
    <w:rsid w:val="00DD0202"/>
    <w:rsid w:val="00DD02BE"/>
    <w:rsid w:val="00DD0440"/>
    <w:rsid w:val="00DD059F"/>
    <w:rsid w:val="00DD05D1"/>
    <w:rsid w:val="00DD0604"/>
    <w:rsid w:val="00DD078D"/>
    <w:rsid w:val="00DD07DD"/>
    <w:rsid w:val="00DD07ED"/>
    <w:rsid w:val="00DD0818"/>
    <w:rsid w:val="00DD0819"/>
    <w:rsid w:val="00DD092D"/>
    <w:rsid w:val="00DD095C"/>
    <w:rsid w:val="00DD095F"/>
    <w:rsid w:val="00DD09D6"/>
    <w:rsid w:val="00DD09F9"/>
    <w:rsid w:val="00DD0A39"/>
    <w:rsid w:val="00DD0CBC"/>
    <w:rsid w:val="00DD0D6A"/>
    <w:rsid w:val="00DD0E11"/>
    <w:rsid w:val="00DD0E9C"/>
    <w:rsid w:val="00DD0EB4"/>
    <w:rsid w:val="00DD0F2B"/>
    <w:rsid w:val="00DD0F3D"/>
    <w:rsid w:val="00DD0F9D"/>
    <w:rsid w:val="00DD0FF5"/>
    <w:rsid w:val="00DD1016"/>
    <w:rsid w:val="00DD1024"/>
    <w:rsid w:val="00DD10B4"/>
    <w:rsid w:val="00DD122D"/>
    <w:rsid w:val="00DD1231"/>
    <w:rsid w:val="00DD12B5"/>
    <w:rsid w:val="00DD13E6"/>
    <w:rsid w:val="00DD14B1"/>
    <w:rsid w:val="00DD14EF"/>
    <w:rsid w:val="00DD150B"/>
    <w:rsid w:val="00DD15A4"/>
    <w:rsid w:val="00DD15EB"/>
    <w:rsid w:val="00DD15EE"/>
    <w:rsid w:val="00DD15F7"/>
    <w:rsid w:val="00DD1832"/>
    <w:rsid w:val="00DD184D"/>
    <w:rsid w:val="00DD1911"/>
    <w:rsid w:val="00DD1952"/>
    <w:rsid w:val="00DD19B4"/>
    <w:rsid w:val="00DD19C8"/>
    <w:rsid w:val="00DD1AA1"/>
    <w:rsid w:val="00DD1B34"/>
    <w:rsid w:val="00DD1BE1"/>
    <w:rsid w:val="00DD1CB0"/>
    <w:rsid w:val="00DD1CC1"/>
    <w:rsid w:val="00DD1D9B"/>
    <w:rsid w:val="00DD1DBF"/>
    <w:rsid w:val="00DD1DEC"/>
    <w:rsid w:val="00DD1E5D"/>
    <w:rsid w:val="00DD1EEB"/>
    <w:rsid w:val="00DD1F81"/>
    <w:rsid w:val="00DD20AD"/>
    <w:rsid w:val="00DD20CA"/>
    <w:rsid w:val="00DD20CC"/>
    <w:rsid w:val="00DD22D2"/>
    <w:rsid w:val="00DD2310"/>
    <w:rsid w:val="00DD2363"/>
    <w:rsid w:val="00DD23CA"/>
    <w:rsid w:val="00DD23CC"/>
    <w:rsid w:val="00DD240E"/>
    <w:rsid w:val="00DD2454"/>
    <w:rsid w:val="00DD24FE"/>
    <w:rsid w:val="00DD2559"/>
    <w:rsid w:val="00DD2563"/>
    <w:rsid w:val="00DD2590"/>
    <w:rsid w:val="00DD259B"/>
    <w:rsid w:val="00DD2688"/>
    <w:rsid w:val="00DD271B"/>
    <w:rsid w:val="00DD2728"/>
    <w:rsid w:val="00DD272D"/>
    <w:rsid w:val="00DD274A"/>
    <w:rsid w:val="00DD277B"/>
    <w:rsid w:val="00DD27D8"/>
    <w:rsid w:val="00DD27E2"/>
    <w:rsid w:val="00DD283B"/>
    <w:rsid w:val="00DD2853"/>
    <w:rsid w:val="00DD2878"/>
    <w:rsid w:val="00DD28D0"/>
    <w:rsid w:val="00DD2938"/>
    <w:rsid w:val="00DD29DE"/>
    <w:rsid w:val="00DD2AE1"/>
    <w:rsid w:val="00DD2B57"/>
    <w:rsid w:val="00DD2BEC"/>
    <w:rsid w:val="00DD2C70"/>
    <w:rsid w:val="00DD2CFE"/>
    <w:rsid w:val="00DD2D4A"/>
    <w:rsid w:val="00DD2DA9"/>
    <w:rsid w:val="00DD2E36"/>
    <w:rsid w:val="00DD2EAF"/>
    <w:rsid w:val="00DD2EED"/>
    <w:rsid w:val="00DD2F62"/>
    <w:rsid w:val="00DD2FD9"/>
    <w:rsid w:val="00DD302A"/>
    <w:rsid w:val="00DD305F"/>
    <w:rsid w:val="00DD30C0"/>
    <w:rsid w:val="00DD30DE"/>
    <w:rsid w:val="00DD31A0"/>
    <w:rsid w:val="00DD320A"/>
    <w:rsid w:val="00DD32F8"/>
    <w:rsid w:val="00DD337F"/>
    <w:rsid w:val="00DD3402"/>
    <w:rsid w:val="00DD348F"/>
    <w:rsid w:val="00DD34CA"/>
    <w:rsid w:val="00DD34EC"/>
    <w:rsid w:val="00DD3509"/>
    <w:rsid w:val="00DD357B"/>
    <w:rsid w:val="00DD3583"/>
    <w:rsid w:val="00DD35AA"/>
    <w:rsid w:val="00DD362A"/>
    <w:rsid w:val="00DD3732"/>
    <w:rsid w:val="00DD374C"/>
    <w:rsid w:val="00DD37E7"/>
    <w:rsid w:val="00DD3838"/>
    <w:rsid w:val="00DD3A26"/>
    <w:rsid w:val="00DD3A76"/>
    <w:rsid w:val="00DD3ABC"/>
    <w:rsid w:val="00DD3AC4"/>
    <w:rsid w:val="00DD3AE0"/>
    <w:rsid w:val="00DD3AF3"/>
    <w:rsid w:val="00DD3B4D"/>
    <w:rsid w:val="00DD3BA5"/>
    <w:rsid w:val="00DD3BCD"/>
    <w:rsid w:val="00DD3D7E"/>
    <w:rsid w:val="00DD3E93"/>
    <w:rsid w:val="00DD3E96"/>
    <w:rsid w:val="00DD3F65"/>
    <w:rsid w:val="00DD3F6A"/>
    <w:rsid w:val="00DD3F7B"/>
    <w:rsid w:val="00DD3FEF"/>
    <w:rsid w:val="00DD4031"/>
    <w:rsid w:val="00DD4057"/>
    <w:rsid w:val="00DD4058"/>
    <w:rsid w:val="00DD40C0"/>
    <w:rsid w:val="00DD4299"/>
    <w:rsid w:val="00DD4305"/>
    <w:rsid w:val="00DD4374"/>
    <w:rsid w:val="00DD438A"/>
    <w:rsid w:val="00DD43B5"/>
    <w:rsid w:val="00DD43DA"/>
    <w:rsid w:val="00DD4443"/>
    <w:rsid w:val="00DD44B6"/>
    <w:rsid w:val="00DD4604"/>
    <w:rsid w:val="00DD46EE"/>
    <w:rsid w:val="00DD4728"/>
    <w:rsid w:val="00DD4748"/>
    <w:rsid w:val="00DD474F"/>
    <w:rsid w:val="00DD4905"/>
    <w:rsid w:val="00DD4938"/>
    <w:rsid w:val="00DD4951"/>
    <w:rsid w:val="00DD498B"/>
    <w:rsid w:val="00DD49C7"/>
    <w:rsid w:val="00DD4AC6"/>
    <w:rsid w:val="00DD4B73"/>
    <w:rsid w:val="00DD4C6E"/>
    <w:rsid w:val="00DD4D43"/>
    <w:rsid w:val="00DD4EC1"/>
    <w:rsid w:val="00DD4F20"/>
    <w:rsid w:val="00DD4F7C"/>
    <w:rsid w:val="00DD5026"/>
    <w:rsid w:val="00DD5131"/>
    <w:rsid w:val="00DD5182"/>
    <w:rsid w:val="00DD51BB"/>
    <w:rsid w:val="00DD51EC"/>
    <w:rsid w:val="00DD523E"/>
    <w:rsid w:val="00DD5297"/>
    <w:rsid w:val="00DD52B8"/>
    <w:rsid w:val="00DD52F3"/>
    <w:rsid w:val="00DD5304"/>
    <w:rsid w:val="00DD5326"/>
    <w:rsid w:val="00DD535B"/>
    <w:rsid w:val="00DD5367"/>
    <w:rsid w:val="00DD53A4"/>
    <w:rsid w:val="00DD53EE"/>
    <w:rsid w:val="00DD543A"/>
    <w:rsid w:val="00DD5465"/>
    <w:rsid w:val="00DD54AD"/>
    <w:rsid w:val="00DD54F2"/>
    <w:rsid w:val="00DD5569"/>
    <w:rsid w:val="00DD558A"/>
    <w:rsid w:val="00DD55A3"/>
    <w:rsid w:val="00DD5601"/>
    <w:rsid w:val="00DD5667"/>
    <w:rsid w:val="00DD56A5"/>
    <w:rsid w:val="00DD5751"/>
    <w:rsid w:val="00DD59C8"/>
    <w:rsid w:val="00DD5A48"/>
    <w:rsid w:val="00DD5A49"/>
    <w:rsid w:val="00DD5A77"/>
    <w:rsid w:val="00DD5BB5"/>
    <w:rsid w:val="00DD5C0B"/>
    <w:rsid w:val="00DD5C90"/>
    <w:rsid w:val="00DD5CD0"/>
    <w:rsid w:val="00DD5CE7"/>
    <w:rsid w:val="00DD5CFA"/>
    <w:rsid w:val="00DD5D50"/>
    <w:rsid w:val="00DD5DF0"/>
    <w:rsid w:val="00DD5E81"/>
    <w:rsid w:val="00DD5E86"/>
    <w:rsid w:val="00DD5E95"/>
    <w:rsid w:val="00DD5EAC"/>
    <w:rsid w:val="00DD5ED7"/>
    <w:rsid w:val="00DD5EFF"/>
    <w:rsid w:val="00DD5F15"/>
    <w:rsid w:val="00DD5F5A"/>
    <w:rsid w:val="00DD6007"/>
    <w:rsid w:val="00DD6074"/>
    <w:rsid w:val="00DD607A"/>
    <w:rsid w:val="00DD6103"/>
    <w:rsid w:val="00DD6163"/>
    <w:rsid w:val="00DD6204"/>
    <w:rsid w:val="00DD6251"/>
    <w:rsid w:val="00DD62A0"/>
    <w:rsid w:val="00DD6360"/>
    <w:rsid w:val="00DD6398"/>
    <w:rsid w:val="00DD641F"/>
    <w:rsid w:val="00DD6454"/>
    <w:rsid w:val="00DD64B8"/>
    <w:rsid w:val="00DD6679"/>
    <w:rsid w:val="00DD6685"/>
    <w:rsid w:val="00DD6716"/>
    <w:rsid w:val="00DD6736"/>
    <w:rsid w:val="00DD673B"/>
    <w:rsid w:val="00DD6751"/>
    <w:rsid w:val="00DD6763"/>
    <w:rsid w:val="00DD6841"/>
    <w:rsid w:val="00DD68F8"/>
    <w:rsid w:val="00DD699B"/>
    <w:rsid w:val="00DD6A41"/>
    <w:rsid w:val="00DD6B00"/>
    <w:rsid w:val="00DD6D3B"/>
    <w:rsid w:val="00DD6DF7"/>
    <w:rsid w:val="00DD6E01"/>
    <w:rsid w:val="00DD6ED4"/>
    <w:rsid w:val="00DD6ED5"/>
    <w:rsid w:val="00DD6EE9"/>
    <w:rsid w:val="00DD6FC1"/>
    <w:rsid w:val="00DD705F"/>
    <w:rsid w:val="00DD7243"/>
    <w:rsid w:val="00DD73FB"/>
    <w:rsid w:val="00DD752D"/>
    <w:rsid w:val="00DD75B5"/>
    <w:rsid w:val="00DD75E0"/>
    <w:rsid w:val="00DD7603"/>
    <w:rsid w:val="00DD760C"/>
    <w:rsid w:val="00DD76E2"/>
    <w:rsid w:val="00DD7710"/>
    <w:rsid w:val="00DD7882"/>
    <w:rsid w:val="00DD78AE"/>
    <w:rsid w:val="00DD7929"/>
    <w:rsid w:val="00DD7934"/>
    <w:rsid w:val="00DD7A73"/>
    <w:rsid w:val="00DD7AA5"/>
    <w:rsid w:val="00DD7AE6"/>
    <w:rsid w:val="00DD7AED"/>
    <w:rsid w:val="00DD7B1A"/>
    <w:rsid w:val="00DD7B97"/>
    <w:rsid w:val="00DD7C1E"/>
    <w:rsid w:val="00DD7CCD"/>
    <w:rsid w:val="00DD7DD8"/>
    <w:rsid w:val="00DD7DEB"/>
    <w:rsid w:val="00DD7E2F"/>
    <w:rsid w:val="00DD7F9D"/>
    <w:rsid w:val="00DE000D"/>
    <w:rsid w:val="00DE0059"/>
    <w:rsid w:val="00DE0128"/>
    <w:rsid w:val="00DE012E"/>
    <w:rsid w:val="00DE01BC"/>
    <w:rsid w:val="00DE02D0"/>
    <w:rsid w:val="00DE039F"/>
    <w:rsid w:val="00DE040D"/>
    <w:rsid w:val="00DE04FE"/>
    <w:rsid w:val="00DE0527"/>
    <w:rsid w:val="00DE0671"/>
    <w:rsid w:val="00DE075E"/>
    <w:rsid w:val="00DE075F"/>
    <w:rsid w:val="00DE07AB"/>
    <w:rsid w:val="00DE0822"/>
    <w:rsid w:val="00DE08E0"/>
    <w:rsid w:val="00DE08FA"/>
    <w:rsid w:val="00DE0994"/>
    <w:rsid w:val="00DE0A7B"/>
    <w:rsid w:val="00DE0A85"/>
    <w:rsid w:val="00DE0A91"/>
    <w:rsid w:val="00DE0AD9"/>
    <w:rsid w:val="00DE0B5E"/>
    <w:rsid w:val="00DE0B8F"/>
    <w:rsid w:val="00DE0C01"/>
    <w:rsid w:val="00DE0C83"/>
    <w:rsid w:val="00DE0CA1"/>
    <w:rsid w:val="00DE0D80"/>
    <w:rsid w:val="00DE0E33"/>
    <w:rsid w:val="00DE0E49"/>
    <w:rsid w:val="00DE0E64"/>
    <w:rsid w:val="00DE0F36"/>
    <w:rsid w:val="00DE0F54"/>
    <w:rsid w:val="00DE1056"/>
    <w:rsid w:val="00DE1161"/>
    <w:rsid w:val="00DE117C"/>
    <w:rsid w:val="00DE1187"/>
    <w:rsid w:val="00DE12B3"/>
    <w:rsid w:val="00DE1381"/>
    <w:rsid w:val="00DE1390"/>
    <w:rsid w:val="00DE13BA"/>
    <w:rsid w:val="00DE13BB"/>
    <w:rsid w:val="00DE148E"/>
    <w:rsid w:val="00DE14C0"/>
    <w:rsid w:val="00DE160C"/>
    <w:rsid w:val="00DE1652"/>
    <w:rsid w:val="00DE16BA"/>
    <w:rsid w:val="00DE16EB"/>
    <w:rsid w:val="00DE16EC"/>
    <w:rsid w:val="00DE1787"/>
    <w:rsid w:val="00DE17DC"/>
    <w:rsid w:val="00DE17E2"/>
    <w:rsid w:val="00DE190E"/>
    <w:rsid w:val="00DE1963"/>
    <w:rsid w:val="00DE19F1"/>
    <w:rsid w:val="00DE19F9"/>
    <w:rsid w:val="00DE1A42"/>
    <w:rsid w:val="00DE1ACC"/>
    <w:rsid w:val="00DE1B20"/>
    <w:rsid w:val="00DE1B56"/>
    <w:rsid w:val="00DE1B7C"/>
    <w:rsid w:val="00DE1BAF"/>
    <w:rsid w:val="00DE1C41"/>
    <w:rsid w:val="00DE1C9E"/>
    <w:rsid w:val="00DE1CBF"/>
    <w:rsid w:val="00DE1F39"/>
    <w:rsid w:val="00DE1FC5"/>
    <w:rsid w:val="00DE2012"/>
    <w:rsid w:val="00DE208D"/>
    <w:rsid w:val="00DE20A0"/>
    <w:rsid w:val="00DE2118"/>
    <w:rsid w:val="00DE2135"/>
    <w:rsid w:val="00DE2270"/>
    <w:rsid w:val="00DE23B7"/>
    <w:rsid w:val="00DE23C5"/>
    <w:rsid w:val="00DE23EE"/>
    <w:rsid w:val="00DE2401"/>
    <w:rsid w:val="00DE2418"/>
    <w:rsid w:val="00DE2500"/>
    <w:rsid w:val="00DE2518"/>
    <w:rsid w:val="00DE25A7"/>
    <w:rsid w:val="00DE2677"/>
    <w:rsid w:val="00DE27EE"/>
    <w:rsid w:val="00DE287F"/>
    <w:rsid w:val="00DE2893"/>
    <w:rsid w:val="00DE28B6"/>
    <w:rsid w:val="00DE291A"/>
    <w:rsid w:val="00DE299B"/>
    <w:rsid w:val="00DE29B4"/>
    <w:rsid w:val="00DE29E1"/>
    <w:rsid w:val="00DE2A01"/>
    <w:rsid w:val="00DE2A26"/>
    <w:rsid w:val="00DE2BBE"/>
    <w:rsid w:val="00DE2C70"/>
    <w:rsid w:val="00DE2C8C"/>
    <w:rsid w:val="00DE2CCC"/>
    <w:rsid w:val="00DE2E7C"/>
    <w:rsid w:val="00DE2F76"/>
    <w:rsid w:val="00DE2F9B"/>
    <w:rsid w:val="00DE2FEA"/>
    <w:rsid w:val="00DE304E"/>
    <w:rsid w:val="00DE30AE"/>
    <w:rsid w:val="00DE310C"/>
    <w:rsid w:val="00DE3145"/>
    <w:rsid w:val="00DE3154"/>
    <w:rsid w:val="00DE31AF"/>
    <w:rsid w:val="00DE31C8"/>
    <w:rsid w:val="00DE31FA"/>
    <w:rsid w:val="00DE3262"/>
    <w:rsid w:val="00DE3384"/>
    <w:rsid w:val="00DE339F"/>
    <w:rsid w:val="00DE33D6"/>
    <w:rsid w:val="00DE346B"/>
    <w:rsid w:val="00DE364C"/>
    <w:rsid w:val="00DE3673"/>
    <w:rsid w:val="00DE3675"/>
    <w:rsid w:val="00DE373E"/>
    <w:rsid w:val="00DE37A1"/>
    <w:rsid w:val="00DE3821"/>
    <w:rsid w:val="00DE38EE"/>
    <w:rsid w:val="00DE39AF"/>
    <w:rsid w:val="00DE39C2"/>
    <w:rsid w:val="00DE3A72"/>
    <w:rsid w:val="00DE3AC3"/>
    <w:rsid w:val="00DE3BD3"/>
    <w:rsid w:val="00DE3BDE"/>
    <w:rsid w:val="00DE3BEB"/>
    <w:rsid w:val="00DE3D1E"/>
    <w:rsid w:val="00DE3D7A"/>
    <w:rsid w:val="00DE3DF9"/>
    <w:rsid w:val="00DE3E39"/>
    <w:rsid w:val="00DE3F42"/>
    <w:rsid w:val="00DE3FA9"/>
    <w:rsid w:val="00DE40FC"/>
    <w:rsid w:val="00DE410B"/>
    <w:rsid w:val="00DE4111"/>
    <w:rsid w:val="00DE4143"/>
    <w:rsid w:val="00DE41B7"/>
    <w:rsid w:val="00DE41BD"/>
    <w:rsid w:val="00DE4257"/>
    <w:rsid w:val="00DE42F1"/>
    <w:rsid w:val="00DE4330"/>
    <w:rsid w:val="00DE4468"/>
    <w:rsid w:val="00DE44D4"/>
    <w:rsid w:val="00DE4517"/>
    <w:rsid w:val="00DE458A"/>
    <w:rsid w:val="00DE4590"/>
    <w:rsid w:val="00DE4609"/>
    <w:rsid w:val="00DE467A"/>
    <w:rsid w:val="00DE4680"/>
    <w:rsid w:val="00DE470C"/>
    <w:rsid w:val="00DE47EE"/>
    <w:rsid w:val="00DE482E"/>
    <w:rsid w:val="00DE48E8"/>
    <w:rsid w:val="00DE496A"/>
    <w:rsid w:val="00DE4A84"/>
    <w:rsid w:val="00DE4AD8"/>
    <w:rsid w:val="00DE4AE4"/>
    <w:rsid w:val="00DE4AF2"/>
    <w:rsid w:val="00DE4BD2"/>
    <w:rsid w:val="00DE4CB6"/>
    <w:rsid w:val="00DE4CC2"/>
    <w:rsid w:val="00DE4D16"/>
    <w:rsid w:val="00DE4D2C"/>
    <w:rsid w:val="00DE4DDE"/>
    <w:rsid w:val="00DE4DF1"/>
    <w:rsid w:val="00DE4F15"/>
    <w:rsid w:val="00DE512D"/>
    <w:rsid w:val="00DE522D"/>
    <w:rsid w:val="00DE52A6"/>
    <w:rsid w:val="00DE52CD"/>
    <w:rsid w:val="00DE5367"/>
    <w:rsid w:val="00DE53AC"/>
    <w:rsid w:val="00DE53CF"/>
    <w:rsid w:val="00DE540D"/>
    <w:rsid w:val="00DE5453"/>
    <w:rsid w:val="00DE549F"/>
    <w:rsid w:val="00DE552B"/>
    <w:rsid w:val="00DE5570"/>
    <w:rsid w:val="00DE5577"/>
    <w:rsid w:val="00DE5623"/>
    <w:rsid w:val="00DE566F"/>
    <w:rsid w:val="00DE57A7"/>
    <w:rsid w:val="00DE57B4"/>
    <w:rsid w:val="00DE58F4"/>
    <w:rsid w:val="00DE58FF"/>
    <w:rsid w:val="00DE5949"/>
    <w:rsid w:val="00DE597B"/>
    <w:rsid w:val="00DE5A34"/>
    <w:rsid w:val="00DE5AF0"/>
    <w:rsid w:val="00DE5AF3"/>
    <w:rsid w:val="00DE5AF9"/>
    <w:rsid w:val="00DE5B4F"/>
    <w:rsid w:val="00DE5BA0"/>
    <w:rsid w:val="00DE5BCA"/>
    <w:rsid w:val="00DE5C00"/>
    <w:rsid w:val="00DE5D74"/>
    <w:rsid w:val="00DE5DF1"/>
    <w:rsid w:val="00DE5DF2"/>
    <w:rsid w:val="00DE5E20"/>
    <w:rsid w:val="00DE5F49"/>
    <w:rsid w:val="00DE60A2"/>
    <w:rsid w:val="00DE60D4"/>
    <w:rsid w:val="00DE614A"/>
    <w:rsid w:val="00DE6163"/>
    <w:rsid w:val="00DE6174"/>
    <w:rsid w:val="00DE61BD"/>
    <w:rsid w:val="00DE61C7"/>
    <w:rsid w:val="00DE61F5"/>
    <w:rsid w:val="00DE621B"/>
    <w:rsid w:val="00DE6289"/>
    <w:rsid w:val="00DE6296"/>
    <w:rsid w:val="00DE631F"/>
    <w:rsid w:val="00DE6356"/>
    <w:rsid w:val="00DE63EF"/>
    <w:rsid w:val="00DE640B"/>
    <w:rsid w:val="00DE6429"/>
    <w:rsid w:val="00DE6457"/>
    <w:rsid w:val="00DE6492"/>
    <w:rsid w:val="00DE6535"/>
    <w:rsid w:val="00DE6544"/>
    <w:rsid w:val="00DE66CC"/>
    <w:rsid w:val="00DE6735"/>
    <w:rsid w:val="00DE6758"/>
    <w:rsid w:val="00DE677F"/>
    <w:rsid w:val="00DE67C1"/>
    <w:rsid w:val="00DE6898"/>
    <w:rsid w:val="00DE6915"/>
    <w:rsid w:val="00DE6919"/>
    <w:rsid w:val="00DE6986"/>
    <w:rsid w:val="00DE6998"/>
    <w:rsid w:val="00DE69C2"/>
    <w:rsid w:val="00DE6A9B"/>
    <w:rsid w:val="00DE6AD2"/>
    <w:rsid w:val="00DE6B97"/>
    <w:rsid w:val="00DE6CCD"/>
    <w:rsid w:val="00DE6D72"/>
    <w:rsid w:val="00DE6DD7"/>
    <w:rsid w:val="00DE7026"/>
    <w:rsid w:val="00DE7050"/>
    <w:rsid w:val="00DE7062"/>
    <w:rsid w:val="00DE7097"/>
    <w:rsid w:val="00DE7152"/>
    <w:rsid w:val="00DE71CD"/>
    <w:rsid w:val="00DE71F3"/>
    <w:rsid w:val="00DE7204"/>
    <w:rsid w:val="00DE726B"/>
    <w:rsid w:val="00DE72A1"/>
    <w:rsid w:val="00DE72A9"/>
    <w:rsid w:val="00DE7331"/>
    <w:rsid w:val="00DE7376"/>
    <w:rsid w:val="00DE7400"/>
    <w:rsid w:val="00DE7434"/>
    <w:rsid w:val="00DE7486"/>
    <w:rsid w:val="00DE7490"/>
    <w:rsid w:val="00DE75A9"/>
    <w:rsid w:val="00DE761F"/>
    <w:rsid w:val="00DE765F"/>
    <w:rsid w:val="00DE774B"/>
    <w:rsid w:val="00DE7767"/>
    <w:rsid w:val="00DE77D2"/>
    <w:rsid w:val="00DE7831"/>
    <w:rsid w:val="00DE7926"/>
    <w:rsid w:val="00DE797F"/>
    <w:rsid w:val="00DE79EC"/>
    <w:rsid w:val="00DE7AA9"/>
    <w:rsid w:val="00DE7B09"/>
    <w:rsid w:val="00DE7B63"/>
    <w:rsid w:val="00DE7B73"/>
    <w:rsid w:val="00DE7BA9"/>
    <w:rsid w:val="00DE7D9E"/>
    <w:rsid w:val="00DE7E1D"/>
    <w:rsid w:val="00DE7E35"/>
    <w:rsid w:val="00DE7E44"/>
    <w:rsid w:val="00DE7E5B"/>
    <w:rsid w:val="00DE7EB7"/>
    <w:rsid w:val="00DE7F8A"/>
    <w:rsid w:val="00DF0074"/>
    <w:rsid w:val="00DF00BA"/>
    <w:rsid w:val="00DF012C"/>
    <w:rsid w:val="00DF0135"/>
    <w:rsid w:val="00DF019F"/>
    <w:rsid w:val="00DF029E"/>
    <w:rsid w:val="00DF02F2"/>
    <w:rsid w:val="00DF035F"/>
    <w:rsid w:val="00DF03FF"/>
    <w:rsid w:val="00DF047D"/>
    <w:rsid w:val="00DF0631"/>
    <w:rsid w:val="00DF06E4"/>
    <w:rsid w:val="00DF079B"/>
    <w:rsid w:val="00DF07F8"/>
    <w:rsid w:val="00DF0920"/>
    <w:rsid w:val="00DF0947"/>
    <w:rsid w:val="00DF0A37"/>
    <w:rsid w:val="00DF0A61"/>
    <w:rsid w:val="00DF0B07"/>
    <w:rsid w:val="00DF0B0D"/>
    <w:rsid w:val="00DF0B49"/>
    <w:rsid w:val="00DF0B4C"/>
    <w:rsid w:val="00DF0C13"/>
    <w:rsid w:val="00DF0C3A"/>
    <w:rsid w:val="00DF0C56"/>
    <w:rsid w:val="00DF0C5A"/>
    <w:rsid w:val="00DF0D46"/>
    <w:rsid w:val="00DF0D83"/>
    <w:rsid w:val="00DF0DCE"/>
    <w:rsid w:val="00DF0E0C"/>
    <w:rsid w:val="00DF0E7A"/>
    <w:rsid w:val="00DF0F9A"/>
    <w:rsid w:val="00DF0FE0"/>
    <w:rsid w:val="00DF107A"/>
    <w:rsid w:val="00DF10F2"/>
    <w:rsid w:val="00DF1195"/>
    <w:rsid w:val="00DF11AB"/>
    <w:rsid w:val="00DF1229"/>
    <w:rsid w:val="00DF12E2"/>
    <w:rsid w:val="00DF12FA"/>
    <w:rsid w:val="00DF13E8"/>
    <w:rsid w:val="00DF1465"/>
    <w:rsid w:val="00DF1494"/>
    <w:rsid w:val="00DF14D1"/>
    <w:rsid w:val="00DF15C7"/>
    <w:rsid w:val="00DF1699"/>
    <w:rsid w:val="00DF169D"/>
    <w:rsid w:val="00DF16B5"/>
    <w:rsid w:val="00DF176F"/>
    <w:rsid w:val="00DF1847"/>
    <w:rsid w:val="00DF185D"/>
    <w:rsid w:val="00DF186D"/>
    <w:rsid w:val="00DF1879"/>
    <w:rsid w:val="00DF1A05"/>
    <w:rsid w:val="00DF1B2A"/>
    <w:rsid w:val="00DF1C0F"/>
    <w:rsid w:val="00DF1C69"/>
    <w:rsid w:val="00DF1CC8"/>
    <w:rsid w:val="00DF1CF3"/>
    <w:rsid w:val="00DF1CFD"/>
    <w:rsid w:val="00DF1D5B"/>
    <w:rsid w:val="00DF1D6E"/>
    <w:rsid w:val="00DF1DCA"/>
    <w:rsid w:val="00DF1E56"/>
    <w:rsid w:val="00DF1F57"/>
    <w:rsid w:val="00DF207C"/>
    <w:rsid w:val="00DF2092"/>
    <w:rsid w:val="00DF20AC"/>
    <w:rsid w:val="00DF20C7"/>
    <w:rsid w:val="00DF2142"/>
    <w:rsid w:val="00DF2150"/>
    <w:rsid w:val="00DF232C"/>
    <w:rsid w:val="00DF2477"/>
    <w:rsid w:val="00DF248E"/>
    <w:rsid w:val="00DF24BD"/>
    <w:rsid w:val="00DF24C6"/>
    <w:rsid w:val="00DF24D4"/>
    <w:rsid w:val="00DF2540"/>
    <w:rsid w:val="00DF25B8"/>
    <w:rsid w:val="00DF2638"/>
    <w:rsid w:val="00DF26BE"/>
    <w:rsid w:val="00DF281A"/>
    <w:rsid w:val="00DF283B"/>
    <w:rsid w:val="00DF2865"/>
    <w:rsid w:val="00DF28EF"/>
    <w:rsid w:val="00DF293A"/>
    <w:rsid w:val="00DF2A2B"/>
    <w:rsid w:val="00DF2A33"/>
    <w:rsid w:val="00DF2B36"/>
    <w:rsid w:val="00DF2B5C"/>
    <w:rsid w:val="00DF2C13"/>
    <w:rsid w:val="00DF2C3F"/>
    <w:rsid w:val="00DF2CDA"/>
    <w:rsid w:val="00DF2DCF"/>
    <w:rsid w:val="00DF301B"/>
    <w:rsid w:val="00DF302B"/>
    <w:rsid w:val="00DF307E"/>
    <w:rsid w:val="00DF30AC"/>
    <w:rsid w:val="00DF3205"/>
    <w:rsid w:val="00DF324D"/>
    <w:rsid w:val="00DF3250"/>
    <w:rsid w:val="00DF32EB"/>
    <w:rsid w:val="00DF3386"/>
    <w:rsid w:val="00DF345B"/>
    <w:rsid w:val="00DF35F5"/>
    <w:rsid w:val="00DF3609"/>
    <w:rsid w:val="00DF3654"/>
    <w:rsid w:val="00DF3771"/>
    <w:rsid w:val="00DF37AC"/>
    <w:rsid w:val="00DF38F2"/>
    <w:rsid w:val="00DF3904"/>
    <w:rsid w:val="00DF394D"/>
    <w:rsid w:val="00DF39BD"/>
    <w:rsid w:val="00DF3A09"/>
    <w:rsid w:val="00DF3B04"/>
    <w:rsid w:val="00DF3B64"/>
    <w:rsid w:val="00DF3B74"/>
    <w:rsid w:val="00DF3B7A"/>
    <w:rsid w:val="00DF3BFF"/>
    <w:rsid w:val="00DF3C54"/>
    <w:rsid w:val="00DF3D12"/>
    <w:rsid w:val="00DF3DB7"/>
    <w:rsid w:val="00DF3E35"/>
    <w:rsid w:val="00DF3E99"/>
    <w:rsid w:val="00DF3F0C"/>
    <w:rsid w:val="00DF3F9F"/>
    <w:rsid w:val="00DF3FA3"/>
    <w:rsid w:val="00DF3FA5"/>
    <w:rsid w:val="00DF3FE9"/>
    <w:rsid w:val="00DF406A"/>
    <w:rsid w:val="00DF407E"/>
    <w:rsid w:val="00DF4090"/>
    <w:rsid w:val="00DF411D"/>
    <w:rsid w:val="00DF414C"/>
    <w:rsid w:val="00DF414D"/>
    <w:rsid w:val="00DF41B6"/>
    <w:rsid w:val="00DF41C8"/>
    <w:rsid w:val="00DF41F7"/>
    <w:rsid w:val="00DF4293"/>
    <w:rsid w:val="00DF42DC"/>
    <w:rsid w:val="00DF430B"/>
    <w:rsid w:val="00DF4315"/>
    <w:rsid w:val="00DF4333"/>
    <w:rsid w:val="00DF433F"/>
    <w:rsid w:val="00DF4377"/>
    <w:rsid w:val="00DF4381"/>
    <w:rsid w:val="00DF439E"/>
    <w:rsid w:val="00DF4486"/>
    <w:rsid w:val="00DF4488"/>
    <w:rsid w:val="00DF44B8"/>
    <w:rsid w:val="00DF4592"/>
    <w:rsid w:val="00DF45F5"/>
    <w:rsid w:val="00DF4629"/>
    <w:rsid w:val="00DF4770"/>
    <w:rsid w:val="00DF4849"/>
    <w:rsid w:val="00DF48EE"/>
    <w:rsid w:val="00DF4900"/>
    <w:rsid w:val="00DF4923"/>
    <w:rsid w:val="00DF492C"/>
    <w:rsid w:val="00DF49ED"/>
    <w:rsid w:val="00DF4ACC"/>
    <w:rsid w:val="00DF4BC3"/>
    <w:rsid w:val="00DF4C31"/>
    <w:rsid w:val="00DF4C89"/>
    <w:rsid w:val="00DF4ECA"/>
    <w:rsid w:val="00DF4EF1"/>
    <w:rsid w:val="00DF4F0C"/>
    <w:rsid w:val="00DF4F8E"/>
    <w:rsid w:val="00DF4FE4"/>
    <w:rsid w:val="00DF503B"/>
    <w:rsid w:val="00DF50EA"/>
    <w:rsid w:val="00DF52A1"/>
    <w:rsid w:val="00DF52EF"/>
    <w:rsid w:val="00DF5349"/>
    <w:rsid w:val="00DF547A"/>
    <w:rsid w:val="00DF5567"/>
    <w:rsid w:val="00DF5576"/>
    <w:rsid w:val="00DF5614"/>
    <w:rsid w:val="00DF5620"/>
    <w:rsid w:val="00DF5658"/>
    <w:rsid w:val="00DF56C9"/>
    <w:rsid w:val="00DF5762"/>
    <w:rsid w:val="00DF5790"/>
    <w:rsid w:val="00DF5820"/>
    <w:rsid w:val="00DF5847"/>
    <w:rsid w:val="00DF58A8"/>
    <w:rsid w:val="00DF58B1"/>
    <w:rsid w:val="00DF592C"/>
    <w:rsid w:val="00DF594B"/>
    <w:rsid w:val="00DF5AEC"/>
    <w:rsid w:val="00DF5B01"/>
    <w:rsid w:val="00DF5B27"/>
    <w:rsid w:val="00DF5C9E"/>
    <w:rsid w:val="00DF5CAC"/>
    <w:rsid w:val="00DF5CF6"/>
    <w:rsid w:val="00DF5D2A"/>
    <w:rsid w:val="00DF5D59"/>
    <w:rsid w:val="00DF5DCC"/>
    <w:rsid w:val="00DF5E63"/>
    <w:rsid w:val="00DF5E7C"/>
    <w:rsid w:val="00DF5EF0"/>
    <w:rsid w:val="00DF5F19"/>
    <w:rsid w:val="00DF5FA8"/>
    <w:rsid w:val="00DF5FBC"/>
    <w:rsid w:val="00DF6074"/>
    <w:rsid w:val="00DF6127"/>
    <w:rsid w:val="00DF6166"/>
    <w:rsid w:val="00DF6230"/>
    <w:rsid w:val="00DF6262"/>
    <w:rsid w:val="00DF62B9"/>
    <w:rsid w:val="00DF6371"/>
    <w:rsid w:val="00DF63D0"/>
    <w:rsid w:val="00DF6404"/>
    <w:rsid w:val="00DF640F"/>
    <w:rsid w:val="00DF64E5"/>
    <w:rsid w:val="00DF652D"/>
    <w:rsid w:val="00DF655F"/>
    <w:rsid w:val="00DF6560"/>
    <w:rsid w:val="00DF6624"/>
    <w:rsid w:val="00DF6675"/>
    <w:rsid w:val="00DF6677"/>
    <w:rsid w:val="00DF66BA"/>
    <w:rsid w:val="00DF66D0"/>
    <w:rsid w:val="00DF67C4"/>
    <w:rsid w:val="00DF6913"/>
    <w:rsid w:val="00DF6974"/>
    <w:rsid w:val="00DF69A4"/>
    <w:rsid w:val="00DF6A03"/>
    <w:rsid w:val="00DF6A11"/>
    <w:rsid w:val="00DF6A66"/>
    <w:rsid w:val="00DF6A6B"/>
    <w:rsid w:val="00DF6AAF"/>
    <w:rsid w:val="00DF6AF1"/>
    <w:rsid w:val="00DF6B6C"/>
    <w:rsid w:val="00DF6B90"/>
    <w:rsid w:val="00DF6BBE"/>
    <w:rsid w:val="00DF6C19"/>
    <w:rsid w:val="00DF6C3C"/>
    <w:rsid w:val="00DF6C41"/>
    <w:rsid w:val="00DF6D1D"/>
    <w:rsid w:val="00DF6E6E"/>
    <w:rsid w:val="00DF6EB4"/>
    <w:rsid w:val="00DF6F03"/>
    <w:rsid w:val="00DF6F3C"/>
    <w:rsid w:val="00DF6F63"/>
    <w:rsid w:val="00DF6F8F"/>
    <w:rsid w:val="00DF6F95"/>
    <w:rsid w:val="00DF7041"/>
    <w:rsid w:val="00DF70BF"/>
    <w:rsid w:val="00DF7179"/>
    <w:rsid w:val="00DF717C"/>
    <w:rsid w:val="00DF7371"/>
    <w:rsid w:val="00DF73AA"/>
    <w:rsid w:val="00DF73E4"/>
    <w:rsid w:val="00DF7411"/>
    <w:rsid w:val="00DF75B9"/>
    <w:rsid w:val="00DF7654"/>
    <w:rsid w:val="00DF76A9"/>
    <w:rsid w:val="00DF77A4"/>
    <w:rsid w:val="00DF7923"/>
    <w:rsid w:val="00DF7A56"/>
    <w:rsid w:val="00DF7B0F"/>
    <w:rsid w:val="00DF7B2A"/>
    <w:rsid w:val="00DF7B80"/>
    <w:rsid w:val="00DF7BC9"/>
    <w:rsid w:val="00DF7C11"/>
    <w:rsid w:val="00DF7D6B"/>
    <w:rsid w:val="00DF7E3C"/>
    <w:rsid w:val="00DF7EB3"/>
    <w:rsid w:val="00DF7EE7"/>
    <w:rsid w:val="00DF7FAC"/>
    <w:rsid w:val="00DF7FC9"/>
    <w:rsid w:val="00E0015C"/>
    <w:rsid w:val="00E001BA"/>
    <w:rsid w:val="00E0021E"/>
    <w:rsid w:val="00E0023B"/>
    <w:rsid w:val="00E00301"/>
    <w:rsid w:val="00E00307"/>
    <w:rsid w:val="00E0035D"/>
    <w:rsid w:val="00E003B2"/>
    <w:rsid w:val="00E003BD"/>
    <w:rsid w:val="00E0043A"/>
    <w:rsid w:val="00E00494"/>
    <w:rsid w:val="00E004BD"/>
    <w:rsid w:val="00E0052C"/>
    <w:rsid w:val="00E00667"/>
    <w:rsid w:val="00E00826"/>
    <w:rsid w:val="00E00866"/>
    <w:rsid w:val="00E008DC"/>
    <w:rsid w:val="00E008E2"/>
    <w:rsid w:val="00E008FE"/>
    <w:rsid w:val="00E009F5"/>
    <w:rsid w:val="00E00A5C"/>
    <w:rsid w:val="00E00A63"/>
    <w:rsid w:val="00E00AD0"/>
    <w:rsid w:val="00E00B34"/>
    <w:rsid w:val="00E00BCC"/>
    <w:rsid w:val="00E00CAF"/>
    <w:rsid w:val="00E00CDE"/>
    <w:rsid w:val="00E00D04"/>
    <w:rsid w:val="00E00D20"/>
    <w:rsid w:val="00E00D2A"/>
    <w:rsid w:val="00E00D55"/>
    <w:rsid w:val="00E00D7A"/>
    <w:rsid w:val="00E00DB9"/>
    <w:rsid w:val="00E00EE6"/>
    <w:rsid w:val="00E00F6A"/>
    <w:rsid w:val="00E00FAB"/>
    <w:rsid w:val="00E00FEA"/>
    <w:rsid w:val="00E0105E"/>
    <w:rsid w:val="00E0108D"/>
    <w:rsid w:val="00E010C1"/>
    <w:rsid w:val="00E012EF"/>
    <w:rsid w:val="00E01485"/>
    <w:rsid w:val="00E014BD"/>
    <w:rsid w:val="00E014BE"/>
    <w:rsid w:val="00E014C7"/>
    <w:rsid w:val="00E01529"/>
    <w:rsid w:val="00E0160F"/>
    <w:rsid w:val="00E01698"/>
    <w:rsid w:val="00E0169C"/>
    <w:rsid w:val="00E0176C"/>
    <w:rsid w:val="00E017A8"/>
    <w:rsid w:val="00E017A9"/>
    <w:rsid w:val="00E01836"/>
    <w:rsid w:val="00E018BC"/>
    <w:rsid w:val="00E0192D"/>
    <w:rsid w:val="00E0193D"/>
    <w:rsid w:val="00E019DC"/>
    <w:rsid w:val="00E01AA1"/>
    <w:rsid w:val="00E01AF6"/>
    <w:rsid w:val="00E01B5B"/>
    <w:rsid w:val="00E01B5F"/>
    <w:rsid w:val="00E01BE5"/>
    <w:rsid w:val="00E01C0B"/>
    <w:rsid w:val="00E01DBB"/>
    <w:rsid w:val="00E01DCC"/>
    <w:rsid w:val="00E01E58"/>
    <w:rsid w:val="00E01F8D"/>
    <w:rsid w:val="00E01FFE"/>
    <w:rsid w:val="00E02064"/>
    <w:rsid w:val="00E02099"/>
    <w:rsid w:val="00E020E4"/>
    <w:rsid w:val="00E0214F"/>
    <w:rsid w:val="00E02316"/>
    <w:rsid w:val="00E0243F"/>
    <w:rsid w:val="00E0251D"/>
    <w:rsid w:val="00E0258E"/>
    <w:rsid w:val="00E02625"/>
    <w:rsid w:val="00E02651"/>
    <w:rsid w:val="00E02663"/>
    <w:rsid w:val="00E0275E"/>
    <w:rsid w:val="00E027B0"/>
    <w:rsid w:val="00E02833"/>
    <w:rsid w:val="00E028D2"/>
    <w:rsid w:val="00E0290A"/>
    <w:rsid w:val="00E0297C"/>
    <w:rsid w:val="00E02A7D"/>
    <w:rsid w:val="00E02AED"/>
    <w:rsid w:val="00E02B6E"/>
    <w:rsid w:val="00E02BC3"/>
    <w:rsid w:val="00E02C03"/>
    <w:rsid w:val="00E02C36"/>
    <w:rsid w:val="00E02C3E"/>
    <w:rsid w:val="00E02C40"/>
    <w:rsid w:val="00E02C5A"/>
    <w:rsid w:val="00E02CA2"/>
    <w:rsid w:val="00E02D64"/>
    <w:rsid w:val="00E02D6E"/>
    <w:rsid w:val="00E02EB2"/>
    <w:rsid w:val="00E02EDC"/>
    <w:rsid w:val="00E02F1B"/>
    <w:rsid w:val="00E02F1C"/>
    <w:rsid w:val="00E02FB4"/>
    <w:rsid w:val="00E02FCE"/>
    <w:rsid w:val="00E02FEE"/>
    <w:rsid w:val="00E03047"/>
    <w:rsid w:val="00E03082"/>
    <w:rsid w:val="00E03106"/>
    <w:rsid w:val="00E03195"/>
    <w:rsid w:val="00E031B4"/>
    <w:rsid w:val="00E03209"/>
    <w:rsid w:val="00E03229"/>
    <w:rsid w:val="00E03259"/>
    <w:rsid w:val="00E032C2"/>
    <w:rsid w:val="00E033A3"/>
    <w:rsid w:val="00E033EE"/>
    <w:rsid w:val="00E0342C"/>
    <w:rsid w:val="00E03577"/>
    <w:rsid w:val="00E035DD"/>
    <w:rsid w:val="00E03656"/>
    <w:rsid w:val="00E036AD"/>
    <w:rsid w:val="00E036BA"/>
    <w:rsid w:val="00E036CC"/>
    <w:rsid w:val="00E0373C"/>
    <w:rsid w:val="00E0379D"/>
    <w:rsid w:val="00E037F5"/>
    <w:rsid w:val="00E03873"/>
    <w:rsid w:val="00E03891"/>
    <w:rsid w:val="00E038E6"/>
    <w:rsid w:val="00E0392A"/>
    <w:rsid w:val="00E03961"/>
    <w:rsid w:val="00E0399D"/>
    <w:rsid w:val="00E03BB5"/>
    <w:rsid w:val="00E03C80"/>
    <w:rsid w:val="00E03D3D"/>
    <w:rsid w:val="00E03DB3"/>
    <w:rsid w:val="00E03DD5"/>
    <w:rsid w:val="00E03E19"/>
    <w:rsid w:val="00E03EBA"/>
    <w:rsid w:val="00E03ECD"/>
    <w:rsid w:val="00E03F1E"/>
    <w:rsid w:val="00E03F71"/>
    <w:rsid w:val="00E03FB1"/>
    <w:rsid w:val="00E04006"/>
    <w:rsid w:val="00E040A7"/>
    <w:rsid w:val="00E041AE"/>
    <w:rsid w:val="00E041B1"/>
    <w:rsid w:val="00E0427F"/>
    <w:rsid w:val="00E0429E"/>
    <w:rsid w:val="00E04346"/>
    <w:rsid w:val="00E04547"/>
    <w:rsid w:val="00E04558"/>
    <w:rsid w:val="00E045F2"/>
    <w:rsid w:val="00E04632"/>
    <w:rsid w:val="00E0474A"/>
    <w:rsid w:val="00E04854"/>
    <w:rsid w:val="00E04888"/>
    <w:rsid w:val="00E048DA"/>
    <w:rsid w:val="00E04910"/>
    <w:rsid w:val="00E0496E"/>
    <w:rsid w:val="00E0498D"/>
    <w:rsid w:val="00E04A02"/>
    <w:rsid w:val="00E04B73"/>
    <w:rsid w:val="00E04BE5"/>
    <w:rsid w:val="00E04C94"/>
    <w:rsid w:val="00E04D20"/>
    <w:rsid w:val="00E04D79"/>
    <w:rsid w:val="00E04E03"/>
    <w:rsid w:val="00E04EF8"/>
    <w:rsid w:val="00E0508C"/>
    <w:rsid w:val="00E05114"/>
    <w:rsid w:val="00E0511F"/>
    <w:rsid w:val="00E0520D"/>
    <w:rsid w:val="00E0526C"/>
    <w:rsid w:val="00E05295"/>
    <w:rsid w:val="00E0529F"/>
    <w:rsid w:val="00E0534F"/>
    <w:rsid w:val="00E0538C"/>
    <w:rsid w:val="00E053B1"/>
    <w:rsid w:val="00E0552F"/>
    <w:rsid w:val="00E055EB"/>
    <w:rsid w:val="00E056C0"/>
    <w:rsid w:val="00E056DA"/>
    <w:rsid w:val="00E057B2"/>
    <w:rsid w:val="00E05841"/>
    <w:rsid w:val="00E0585B"/>
    <w:rsid w:val="00E0588E"/>
    <w:rsid w:val="00E0591E"/>
    <w:rsid w:val="00E0592C"/>
    <w:rsid w:val="00E0599B"/>
    <w:rsid w:val="00E059E0"/>
    <w:rsid w:val="00E05B31"/>
    <w:rsid w:val="00E05B4C"/>
    <w:rsid w:val="00E05B6C"/>
    <w:rsid w:val="00E05BFE"/>
    <w:rsid w:val="00E05C3A"/>
    <w:rsid w:val="00E05DF9"/>
    <w:rsid w:val="00E05EFA"/>
    <w:rsid w:val="00E05F10"/>
    <w:rsid w:val="00E05F13"/>
    <w:rsid w:val="00E05FEE"/>
    <w:rsid w:val="00E06047"/>
    <w:rsid w:val="00E06061"/>
    <w:rsid w:val="00E06062"/>
    <w:rsid w:val="00E06087"/>
    <w:rsid w:val="00E060E4"/>
    <w:rsid w:val="00E0610E"/>
    <w:rsid w:val="00E06191"/>
    <w:rsid w:val="00E0620A"/>
    <w:rsid w:val="00E06295"/>
    <w:rsid w:val="00E062B9"/>
    <w:rsid w:val="00E062E0"/>
    <w:rsid w:val="00E062E3"/>
    <w:rsid w:val="00E062F9"/>
    <w:rsid w:val="00E0632B"/>
    <w:rsid w:val="00E063AC"/>
    <w:rsid w:val="00E064D9"/>
    <w:rsid w:val="00E06637"/>
    <w:rsid w:val="00E066D8"/>
    <w:rsid w:val="00E066FB"/>
    <w:rsid w:val="00E06889"/>
    <w:rsid w:val="00E06894"/>
    <w:rsid w:val="00E06935"/>
    <w:rsid w:val="00E069CB"/>
    <w:rsid w:val="00E069DF"/>
    <w:rsid w:val="00E069F0"/>
    <w:rsid w:val="00E06A05"/>
    <w:rsid w:val="00E06C8C"/>
    <w:rsid w:val="00E06CB9"/>
    <w:rsid w:val="00E06CDB"/>
    <w:rsid w:val="00E06D0E"/>
    <w:rsid w:val="00E06D43"/>
    <w:rsid w:val="00E06DDA"/>
    <w:rsid w:val="00E06DEE"/>
    <w:rsid w:val="00E06EBC"/>
    <w:rsid w:val="00E06FC4"/>
    <w:rsid w:val="00E07051"/>
    <w:rsid w:val="00E07066"/>
    <w:rsid w:val="00E07146"/>
    <w:rsid w:val="00E07265"/>
    <w:rsid w:val="00E07301"/>
    <w:rsid w:val="00E07384"/>
    <w:rsid w:val="00E073DA"/>
    <w:rsid w:val="00E07469"/>
    <w:rsid w:val="00E07522"/>
    <w:rsid w:val="00E07536"/>
    <w:rsid w:val="00E0754A"/>
    <w:rsid w:val="00E0754D"/>
    <w:rsid w:val="00E075C1"/>
    <w:rsid w:val="00E075DC"/>
    <w:rsid w:val="00E0766C"/>
    <w:rsid w:val="00E0779E"/>
    <w:rsid w:val="00E077FB"/>
    <w:rsid w:val="00E07824"/>
    <w:rsid w:val="00E07988"/>
    <w:rsid w:val="00E079B2"/>
    <w:rsid w:val="00E079CC"/>
    <w:rsid w:val="00E079E1"/>
    <w:rsid w:val="00E07A6E"/>
    <w:rsid w:val="00E07AD9"/>
    <w:rsid w:val="00E07C87"/>
    <w:rsid w:val="00E07C8F"/>
    <w:rsid w:val="00E07D40"/>
    <w:rsid w:val="00E07E92"/>
    <w:rsid w:val="00E07EC2"/>
    <w:rsid w:val="00E07EC8"/>
    <w:rsid w:val="00E07EDB"/>
    <w:rsid w:val="00E07F01"/>
    <w:rsid w:val="00E1000B"/>
    <w:rsid w:val="00E10051"/>
    <w:rsid w:val="00E10099"/>
    <w:rsid w:val="00E100B0"/>
    <w:rsid w:val="00E10181"/>
    <w:rsid w:val="00E10218"/>
    <w:rsid w:val="00E10268"/>
    <w:rsid w:val="00E102E3"/>
    <w:rsid w:val="00E10335"/>
    <w:rsid w:val="00E1039D"/>
    <w:rsid w:val="00E10425"/>
    <w:rsid w:val="00E10519"/>
    <w:rsid w:val="00E10526"/>
    <w:rsid w:val="00E1065C"/>
    <w:rsid w:val="00E10667"/>
    <w:rsid w:val="00E10896"/>
    <w:rsid w:val="00E108B5"/>
    <w:rsid w:val="00E108CB"/>
    <w:rsid w:val="00E1092D"/>
    <w:rsid w:val="00E1094B"/>
    <w:rsid w:val="00E109F9"/>
    <w:rsid w:val="00E109FC"/>
    <w:rsid w:val="00E10A13"/>
    <w:rsid w:val="00E10AC2"/>
    <w:rsid w:val="00E10B07"/>
    <w:rsid w:val="00E10B1D"/>
    <w:rsid w:val="00E10B36"/>
    <w:rsid w:val="00E10B47"/>
    <w:rsid w:val="00E10BB3"/>
    <w:rsid w:val="00E10BB8"/>
    <w:rsid w:val="00E10CB6"/>
    <w:rsid w:val="00E10CB7"/>
    <w:rsid w:val="00E10DC1"/>
    <w:rsid w:val="00E10DDD"/>
    <w:rsid w:val="00E10DDF"/>
    <w:rsid w:val="00E10E49"/>
    <w:rsid w:val="00E10E75"/>
    <w:rsid w:val="00E10E89"/>
    <w:rsid w:val="00E10EC0"/>
    <w:rsid w:val="00E10F6A"/>
    <w:rsid w:val="00E10FE5"/>
    <w:rsid w:val="00E11080"/>
    <w:rsid w:val="00E110D7"/>
    <w:rsid w:val="00E11124"/>
    <w:rsid w:val="00E111AF"/>
    <w:rsid w:val="00E111C0"/>
    <w:rsid w:val="00E112D1"/>
    <w:rsid w:val="00E1136A"/>
    <w:rsid w:val="00E113DC"/>
    <w:rsid w:val="00E1146C"/>
    <w:rsid w:val="00E1178B"/>
    <w:rsid w:val="00E118B9"/>
    <w:rsid w:val="00E118DF"/>
    <w:rsid w:val="00E118E0"/>
    <w:rsid w:val="00E11911"/>
    <w:rsid w:val="00E1194B"/>
    <w:rsid w:val="00E11999"/>
    <w:rsid w:val="00E11A53"/>
    <w:rsid w:val="00E11A97"/>
    <w:rsid w:val="00E11DCD"/>
    <w:rsid w:val="00E11EE5"/>
    <w:rsid w:val="00E11F65"/>
    <w:rsid w:val="00E12048"/>
    <w:rsid w:val="00E120E2"/>
    <w:rsid w:val="00E12281"/>
    <w:rsid w:val="00E122C9"/>
    <w:rsid w:val="00E12415"/>
    <w:rsid w:val="00E124F5"/>
    <w:rsid w:val="00E12521"/>
    <w:rsid w:val="00E12576"/>
    <w:rsid w:val="00E12649"/>
    <w:rsid w:val="00E12734"/>
    <w:rsid w:val="00E12777"/>
    <w:rsid w:val="00E12854"/>
    <w:rsid w:val="00E12873"/>
    <w:rsid w:val="00E1290F"/>
    <w:rsid w:val="00E12B4B"/>
    <w:rsid w:val="00E12BC1"/>
    <w:rsid w:val="00E12C12"/>
    <w:rsid w:val="00E12C88"/>
    <w:rsid w:val="00E12D82"/>
    <w:rsid w:val="00E12DFF"/>
    <w:rsid w:val="00E12F1C"/>
    <w:rsid w:val="00E12FB7"/>
    <w:rsid w:val="00E12FD0"/>
    <w:rsid w:val="00E13074"/>
    <w:rsid w:val="00E131EA"/>
    <w:rsid w:val="00E132BE"/>
    <w:rsid w:val="00E13325"/>
    <w:rsid w:val="00E1337F"/>
    <w:rsid w:val="00E133EE"/>
    <w:rsid w:val="00E1344D"/>
    <w:rsid w:val="00E1356A"/>
    <w:rsid w:val="00E13589"/>
    <w:rsid w:val="00E136BC"/>
    <w:rsid w:val="00E13715"/>
    <w:rsid w:val="00E13724"/>
    <w:rsid w:val="00E1372D"/>
    <w:rsid w:val="00E13761"/>
    <w:rsid w:val="00E137DA"/>
    <w:rsid w:val="00E1388C"/>
    <w:rsid w:val="00E138F3"/>
    <w:rsid w:val="00E13979"/>
    <w:rsid w:val="00E1399A"/>
    <w:rsid w:val="00E13AAB"/>
    <w:rsid w:val="00E13AB8"/>
    <w:rsid w:val="00E13AC7"/>
    <w:rsid w:val="00E13B72"/>
    <w:rsid w:val="00E13C1C"/>
    <w:rsid w:val="00E13C29"/>
    <w:rsid w:val="00E13D47"/>
    <w:rsid w:val="00E13D70"/>
    <w:rsid w:val="00E13D7E"/>
    <w:rsid w:val="00E13DCD"/>
    <w:rsid w:val="00E13EC7"/>
    <w:rsid w:val="00E13F08"/>
    <w:rsid w:val="00E13F85"/>
    <w:rsid w:val="00E13FBD"/>
    <w:rsid w:val="00E1409A"/>
    <w:rsid w:val="00E140A0"/>
    <w:rsid w:val="00E1415E"/>
    <w:rsid w:val="00E141A0"/>
    <w:rsid w:val="00E14235"/>
    <w:rsid w:val="00E14277"/>
    <w:rsid w:val="00E14329"/>
    <w:rsid w:val="00E143DE"/>
    <w:rsid w:val="00E1446A"/>
    <w:rsid w:val="00E1446C"/>
    <w:rsid w:val="00E14470"/>
    <w:rsid w:val="00E144D8"/>
    <w:rsid w:val="00E14572"/>
    <w:rsid w:val="00E1457C"/>
    <w:rsid w:val="00E14605"/>
    <w:rsid w:val="00E14729"/>
    <w:rsid w:val="00E14731"/>
    <w:rsid w:val="00E1474D"/>
    <w:rsid w:val="00E14770"/>
    <w:rsid w:val="00E1483C"/>
    <w:rsid w:val="00E14900"/>
    <w:rsid w:val="00E149F9"/>
    <w:rsid w:val="00E149FE"/>
    <w:rsid w:val="00E14A5B"/>
    <w:rsid w:val="00E14AD0"/>
    <w:rsid w:val="00E14ADC"/>
    <w:rsid w:val="00E14B26"/>
    <w:rsid w:val="00E14B4E"/>
    <w:rsid w:val="00E14B6C"/>
    <w:rsid w:val="00E14BEA"/>
    <w:rsid w:val="00E14C1A"/>
    <w:rsid w:val="00E14C6F"/>
    <w:rsid w:val="00E14CDC"/>
    <w:rsid w:val="00E14CF0"/>
    <w:rsid w:val="00E15029"/>
    <w:rsid w:val="00E15058"/>
    <w:rsid w:val="00E150D6"/>
    <w:rsid w:val="00E15265"/>
    <w:rsid w:val="00E152FE"/>
    <w:rsid w:val="00E153FB"/>
    <w:rsid w:val="00E1548F"/>
    <w:rsid w:val="00E154F3"/>
    <w:rsid w:val="00E1551B"/>
    <w:rsid w:val="00E15557"/>
    <w:rsid w:val="00E15566"/>
    <w:rsid w:val="00E1556D"/>
    <w:rsid w:val="00E15590"/>
    <w:rsid w:val="00E1576B"/>
    <w:rsid w:val="00E157EC"/>
    <w:rsid w:val="00E158FC"/>
    <w:rsid w:val="00E15910"/>
    <w:rsid w:val="00E15915"/>
    <w:rsid w:val="00E1593E"/>
    <w:rsid w:val="00E159F1"/>
    <w:rsid w:val="00E15A33"/>
    <w:rsid w:val="00E15A36"/>
    <w:rsid w:val="00E15A44"/>
    <w:rsid w:val="00E15A95"/>
    <w:rsid w:val="00E15AC7"/>
    <w:rsid w:val="00E15B4D"/>
    <w:rsid w:val="00E15B52"/>
    <w:rsid w:val="00E15D18"/>
    <w:rsid w:val="00E15D30"/>
    <w:rsid w:val="00E15E37"/>
    <w:rsid w:val="00E15FA9"/>
    <w:rsid w:val="00E15FB5"/>
    <w:rsid w:val="00E160B8"/>
    <w:rsid w:val="00E16105"/>
    <w:rsid w:val="00E162C8"/>
    <w:rsid w:val="00E16326"/>
    <w:rsid w:val="00E16371"/>
    <w:rsid w:val="00E163E1"/>
    <w:rsid w:val="00E16489"/>
    <w:rsid w:val="00E164A4"/>
    <w:rsid w:val="00E16514"/>
    <w:rsid w:val="00E16574"/>
    <w:rsid w:val="00E16606"/>
    <w:rsid w:val="00E16607"/>
    <w:rsid w:val="00E1660A"/>
    <w:rsid w:val="00E16680"/>
    <w:rsid w:val="00E166A4"/>
    <w:rsid w:val="00E167CF"/>
    <w:rsid w:val="00E16856"/>
    <w:rsid w:val="00E1698D"/>
    <w:rsid w:val="00E169D1"/>
    <w:rsid w:val="00E16A2A"/>
    <w:rsid w:val="00E16AC1"/>
    <w:rsid w:val="00E16B13"/>
    <w:rsid w:val="00E16B39"/>
    <w:rsid w:val="00E16BE4"/>
    <w:rsid w:val="00E16CE6"/>
    <w:rsid w:val="00E16DCC"/>
    <w:rsid w:val="00E16FD9"/>
    <w:rsid w:val="00E17023"/>
    <w:rsid w:val="00E17048"/>
    <w:rsid w:val="00E170B9"/>
    <w:rsid w:val="00E1715E"/>
    <w:rsid w:val="00E17164"/>
    <w:rsid w:val="00E171F8"/>
    <w:rsid w:val="00E171FD"/>
    <w:rsid w:val="00E1722A"/>
    <w:rsid w:val="00E17235"/>
    <w:rsid w:val="00E1727F"/>
    <w:rsid w:val="00E172B2"/>
    <w:rsid w:val="00E17460"/>
    <w:rsid w:val="00E1746D"/>
    <w:rsid w:val="00E17525"/>
    <w:rsid w:val="00E1759A"/>
    <w:rsid w:val="00E177AE"/>
    <w:rsid w:val="00E17860"/>
    <w:rsid w:val="00E1786D"/>
    <w:rsid w:val="00E17906"/>
    <w:rsid w:val="00E1791F"/>
    <w:rsid w:val="00E17971"/>
    <w:rsid w:val="00E17974"/>
    <w:rsid w:val="00E179FF"/>
    <w:rsid w:val="00E17A2C"/>
    <w:rsid w:val="00E17A8D"/>
    <w:rsid w:val="00E17B8B"/>
    <w:rsid w:val="00E17C98"/>
    <w:rsid w:val="00E17D01"/>
    <w:rsid w:val="00E17E22"/>
    <w:rsid w:val="00E17E92"/>
    <w:rsid w:val="00E17FD1"/>
    <w:rsid w:val="00E2001A"/>
    <w:rsid w:val="00E20035"/>
    <w:rsid w:val="00E20074"/>
    <w:rsid w:val="00E20087"/>
    <w:rsid w:val="00E200C2"/>
    <w:rsid w:val="00E200EE"/>
    <w:rsid w:val="00E20215"/>
    <w:rsid w:val="00E202AF"/>
    <w:rsid w:val="00E202CD"/>
    <w:rsid w:val="00E2032D"/>
    <w:rsid w:val="00E203F5"/>
    <w:rsid w:val="00E20490"/>
    <w:rsid w:val="00E204D0"/>
    <w:rsid w:val="00E20531"/>
    <w:rsid w:val="00E20620"/>
    <w:rsid w:val="00E20677"/>
    <w:rsid w:val="00E206A9"/>
    <w:rsid w:val="00E2074D"/>
    <w:rsid w:val="00E20772"/>
    <w:rsid w:val="00E209FE"/>
    <w:rsid w:val="00E20A42"/>
    <w:rsid w:val="00E20A87"/>
    <w:rsid w:val="00E20B36"/>
    <w:rsid w:val="00E20B6A"/>
    <w:rsid w:val="00E20D08"/>
    <w:rsid w:val="00E20D66"/>
    <w:rsid w:val="00E20D81"/>
    <w:rsid w:val="00E20DB7"/>
    <w:rsid w:val="00E20E8C"/>
    <w:rsid w:val="00E20ED8"/>
    <w:rsid w:val="00E20EED"/>
    <w:rsid w:val="00E20F9A"/>
    <w:rsid w:val="00E21012"/>
    <w:rsid w:val="00E21071"/>
    <w:rsid w:val="00E21110"/>
    <w:rsid w:val="00E21134"/>
    <w:rsid w:val="00E21197"/>
    <w:rsid w:val="00E211B6"/>
    <w:rsid w:val="00E211F9"/>
    <w:rsid w:val="00E21221"/>
    <w:rsid w:val="00E2126E"/>
    <w:rsid w:val="00E212A9"/>
    <w:rsid w:val="00E212CB"/>
    <w:rsid w:val="00E2133C"/>
    <w:rsid w:val="00E21355"/>
    <w:rsid w:val="00E21473"/>
    <w:rsid w:val="00E2155A"/>
    <w:rsid w:val="00E216ED"/>
    <w:rsid w:val="00E2170C"/>
    <w:rsid w:val="00E2179C"/>
    <w:rsid w:val="00E217CE"/>
    <w:rsid w:val="00E218EB"/>
    <w:rsid w:val="00E219F9"/>
    <w:rsid w:val="00E21A15"/>
    <w:rsid w:val="00E21A22"/>
    <w:rsid w:val="00E21B81"/>
    <w:rsid w:val="00E21EF9"/>
    <w:rsid w:val="00E21F7D"/>
    <w:rsid w:val="00E21FFB"/>
    <w:rsid w:val="00E22013"/>
    <w:rsid w:val="00E2205B"/>
    <w:rsid w:val="00E2205E"/>
    <w:rsid w:val="00E220F2"/>
    <w:rsid w:val="00E221A5"/>
    <w:rsid w:val="00E221ED"/>
    <w:rsid w:val="00E2229D"/>
    <w:rsid w:val="00E222F5"/>
    <w:rsid w:val="00E2231E"/>
    <w:rsid w:val="00E223EA"/>
    <w:rsid w:val="00E22807"/>
    <w:rsid w:val="00E22934"/>
    <w:rsid w:val="00E22972"/>
    <w:rsid w:val="00E22A18"/>
    <w:rsid w:val="00E22A72"/>
    <w:rsid w:val="00E22AC4"/>
    <w:rsid w:val="00E22BE0"/>
    <w:rsid w:val="00E22C0F"/>
    <w:rsid w:val="00E22D3B"/>
    <w:rsid w:val="00E22D4C"/>
    <w:rsid w:val="00E22DB1"/>
    <w:rsid w:val="00E22DB9"/>
    <w:rsid w:val="00E22E26"/>
    <w:rsid w:val="00E22E54"/>
    <w:rsid w:val="00E22E5E"/>
    <w:rsid w:val="00E22F01"/>
    <w:rsid w:val="00E22F8E"/>
    <w:rsid w:val="00E230FF"/>
    <w:rsid w:val="00E23110"/>
    <w:rsid w:val="00E231BE"/>
    <w:rsid w:val="00E2323B"/>
    <w:rsid w:val="00E2328A"/>
    <w:rsid w:val="00E233C7"/>
    <w:rsid w:val="00E233E2"/>
    <w:rsid w:val="00E23433"/>
    <w:rsid w:val="00E235C8"/>
    <w:rsid w:val="00E23652"/>
    <w:rsid w:val="00E238F9"/>
    <w:rsid w:val="00E23979"/>
    <w:rsid w:val="00E239F5"/>
    <w:rsid w:val="00E23A17"/>
    <w:rsid w:val="00E23B77"/>
    <w:rsid w:val="00E23C23"/>
    <w:rsid w:val="00E23D1A"/>
    <w:rsid w:val="00E23D71"/>
    <w:rsid w:val="00E23DA9"/>
    <w:rsid w:val="00E23DBB"/>
    <w:rsid w:val="00E23E2A"/>
    <w:rsid w:val="00E23E31"/>
    <w:rsid w:val="00E23EB6"/>
    <w:rsid w:val="00E23F00"/>
    <w:rsid w:val="00E23F05"/>
    <w:rsid w:val="00E23FDA"/>
    <w:rsid w:val="00E2400F"/>
    <w:rsid w:val="00E241DF"/>
    <w:rsid w:val="00E2420D"/>
    <w:rsid w:val="00E2421C"/>
    <w:rsid w:val="00E242A1"/>
    <w:rsid w:val="00E243A3"/>
    <w:rsid w:val="00E243D0"/>
    <w:rsid w:val="00E24431"/>
    <w:rsid w:val="00E2444F"/>
    <w:rsid w:val="00E245B6"/>
    <w:rsid w:val="00E245FE"/>
    <w:rsid w:val="00E2462B"/>
    <w:rsid w:val="00E2473C"/>
    <w:rsid w:val="00E24747"/>
    <w:rsid w:val="00E247CC"/>
    <w:rsid w:val="00E24826"/>
    <w:rsid w:val="00E248E3"/>
    <w:rsid w:val="00E248EC"/>
    <w:rsid w:val="00E24949"/>
    <w:rsid w:val="00E24B08"/>
    <w:rsid w:val="00E24B27"/>
    <w:rsid w:val="00E24BAB"/>
    <w:rsid w:val="00E24BBD"/>
    <w:rsid w:val="00E24C1C"/>
    <w:rsid w:val="00E24C40"/>
    <w:rsid w:val="00E24CC1"/>
    <w:rsid w:val="00E24CC4"/>
    <w:rsid w:val="00E24D1C"/>
    <w:rsid w:val="00E24E18"/>
    <w:rsid w:val="00E24E84"/>
    <w:rsid w:val="00E24E9C"/>
    <w:rsid w:val="00E24EEE"/>
    <w:rsid w:val="00E24F13"/>
    <w:rsid w:val="00E24F2B"/>
    <w:rsid w:val="00E24FBF"/>
    <w:rsid w:val="00E25012"/>
    <w:rsid w:val="00E2505C"/>
    <w:rsid w:val="00E25223"/>
    <w:rsid w:val="00E2522E"/>
    <w:rsid w:val="00E25249"/>
    <w:rsid w:val="00E25392"/>
    <w:rsid w:val="00E253E5"/>
    <w:rsid w:val="00E253EF"/>
    <w:rsid w:val="00E2544E"/>
    <w:rsid w:val="00E25450"/>
    <w:rsid w:val="00E25456"/>
    <w:rsid w:val="00E2556F"/>
    <w:rsid w:val="00E255A0"/>
    <w:rsid w:val="00E2564D"/>
    <w:rsid w:val="00E25699"/>
    <w:rsid w:val="00E25733"/>
    <w:rsid w:val="00E258D3"/>
    <w:rsid w:val="00E25A8F"/>
    <w:rsid w:val="00E25B0C"/>
    <w:rsid w:val="00E25B91"/>
    <w:rsid w:val="00E25C3B"/>
    <w:rsid w:val="00E25CD5"/>
    <w:rsid w:val="00E25D00"/>
    <w:rsid w:val="00E25D12"/>
    <w:rsid w:val="00E25D26"/>
    <w:rsid w:val="00E25E98"/>
    <w:rsid w:val="00E25EC6"/>
    <w:rsid w:val="00E25F9B"/>
    <w:rsid w:val="00E25FC4"/>
    <w:rsid w:val="00E25FF7"/>
    <w:rsid w:val="00E26016"/>
    <w:rsid w:val="00E2604A"/>
    <w:rsid w:val="00E260B4"/>
    <w:rsid w:val="00E260F4"/>
    <w:rsid w:val="00E26179"/>
    <w:rsid w:val="00E26199"/>
    <w:rsid w:val="00E26243"/>
    <w:rsid w:val="00E263B5"/>
    <w:rsid w:val="00E263E5"/>
    <w:rsid w:val="00E263FC"/>
    <w:rsid w:val="00E26409"/>
    <w:rsid w:val="00E2654A"/>
    <w:rsid w:val="00E26568"/>
    <w:rsid w:val="00E26573"/>
    <w:rsid w:val="00E2658C"/>
    <w:rsid w:val="00E265CE"/>
    <w:rsid w:val="00E26679"/>
    <w:rsid w:val="00E2668D"/>
    <w:rsid w:val="00E266FB"/>
    <w:rsid w:val="00E2672C"/>
    <w:rsid w:val="00E2673A"/>
    <w:rsid w:val="00E267B2"/>
    <w:rsid w:val="00E26837"/>
    <w:rsid w:val="00E26843"/>
    <w:rsid w:val="00E268AF"/>
    <w:rsid w:val="00E2690B"/>
    <w:rsid w:val="00E26A6F"/>
    <w:rsid w:val="00E26B04"/>
    <w:rsid w:val="00E26BBB"/>
    <w:rsid w:val="00E26C04"/>
    <w:rsid w:val="00E26CC7"/>
    <w:rsid w:val="00E26D3B"/>
    <w:rsid w:val="00E26D90"/>
    <w:rsid w:val="00E26E78"/>
    <w:rsid w:val="00E26F0A"/>
    <w:rsid w:val="00E26F61"/>
    <w:rsid w:val="00E26FD5"/>
    <w:rsid w:val="00E270C0"/>
    <w:rsid w:val="00E270F0"/>
    <w:rsid w:val="00E27126"/>
    <w:rsid w:val="00E2715C"/>
    <w:rsid w:val="00E27267"/>
    <w:rsid w:val="00E27283"/>
    <w:rsid w:val="00E2732A"/>
    <w:rsid w:val="00E273B0"/>
    <w:rsid w:val="00E2741C"/>
    <w:rsid w:val="00E274F4"/>
    <w:rsid w:val="00E27506"/>
    <w:rsid w:val="00E2754F"/>
    <w:rsid w:val="00E27635"/>
    <w:rsid w:val="00E2765C"/>
    <w:rsid w:val="00E276E9"/>
    <w:rsid w:val="00E27745"/>
    <w:rsid w:val="00E27788"/>
    <w:rsid w:val="00E277A1"/>
    <w:rsid w:val="00E27A1F"/>
    <w:rsid w:val="00E27B77"/>
    <w:rsid w:val="00E27CFA"/>
    <w:rsid w:val="00E27D2D"/>
    <w:rsid w:val="00E27D42"/>
    <w:rsid w:val="00E27D82"/>
    <w:rsid w:val="00E27D94"/>
    <w:rsid w:val="00E27DB9"/>
    <w:rsid w:val="00E27EDB"/>
    <w:rsid w:val="00E27F99"/>
    <w:rsid w:val="00E30020"/>
    <w:rsid w:val="00E300F9"/>
    <w:rsid w:val="00E30139"/>
    <w:rsid w:val="00E3013F"/>
    <w:rsid w:val="00E3017F"/>
    <w:rsid w:val="00E301DA"/>
    <w:rsid w:val="00E30293"/>
    <w:rsid w:val="00E303B2"/>
    <w:rsid w:val="00E303C0"/>
    <w:rsid w:val="00E30438"/>
    <w:rsid w:val="00E3049B"/>
    <w:rsid w:val="00E304AA"/>
    <w:rsid w:val="00E304CC"/>
    <w:rsid w:val="00E304DA"/>
    <w:rsid w:val="00E304E8"/>
    <w:rsid w:val="00E30654"/>
    <w:rsid w:val="00E3073A"/>
    <w:rsid w:val="00E307C8"/>
    <w:rsid w:val="00E307CB"/>
    <w:rsid w:val="00E307FC"/>
    <w:rsid w:val="00E30839"/>
    <w:rsid w:val="00E308C0"/>
    <w:rsid w:val="00E3092C"/>
    <w:rsid w:val="00E30999"/>
    <w:rsid w:val="00E309AC"/>
    <w:rsid w:val="00E309F0"/>
    <w:rsid w:val="00E30B68"/>
    <w:rsid w:val="00E30BFC"/>
    <w:rsid w:val="00E30C6A"/>
    <w:rsid w:val="00E30C9A"/>
    <w:rsid w:val="00E30CDA"/>
    <w:rsid w:val="00E30E04"/>
    <w:rsid w:val="00E30EE2"/>
    <w:rsid w:val="00E30F43"/>
    <w:rsid w:val="00E30FA5"/>
    <w:rsid w:val="00E310D6"/>
    <w:rsid w:val="00E310F1"/>
    <w:rsid w:val="00E3121A"/>
    <w:rsid w:val="00E3138B"/>
    <w:rsid w:val="00E315C6"/>
    <w:rsid w:val="00E315F9"/>
    <w:rsid w:val="00E31796"/>
    <w:rsid w:val="00E317E1"/>
    <w:rsid w:val="00E31805"/>
    <w:rsid w:val="00E3180E"/>
    <w:rsid w:val="00E31822"/>
    <w:rsid w:val="00E31874"/>
    <w:rsid w:val="00E31888"/>
    <w:rsid w:val="00E3193B"/>
    <w:rsid w:val="00E31A71"/>
    <w:rsid w:val="00E31B6A"/>
    <w:rsid w:val="00E31BD7"/>
    <w:rsid w:val="00E31BF6"/>
    <w:rsid w:val="00E31D16"/>
    <w:rsid w:val="00E31D7C"/>
    <w:rsid w:val="00E31E29"/>
    <w:rsid w:val="00E31E5C"/>
    <w:rsid w:val="00E31ECF"/>
    <w:rsid w:val="00E31F8D"/>
    <w:rsid w:val="00E3207B"/>
    <w:rsid w:val="00E320A1"/>
    <w:rsid w:val="00E322AC"/>
    <w:rsid w:val="00E322BB"/>
    <w:rsid w:val="00E32366"/>
    <w:rsid w:val="00E323FC"/>
    <w:rsid w:val="00E32486"/>
    <w:rsid w:val="00E324CA"/>
    <w:rsid w:val="00E32550"/>
    <w:rsid w:val="00E3263C"/>
    <w:rsid w:val="00E326F2"/>
    <w:rsid w:val="00E3271E"/>
    <w:rsid w:val="00E32774"/>
    <w:rsid w:val="00E32787"/>
    <w:rsid w:val="00E328AD"/>
    <w:rsid w:val="00E32924"/>
    <w:rsid w:val="00E329AB"/>
    <w:rsid w:val="00E329CC"/>
    <w:rsid w:val="00E32AE9"/>
    <w:rsid w:val="00E32C16"/>
    <w:rsid w:val="00E32D7B"/>
    <w:rsid w:val="00E32DA5"/>
    <w:rsid w:val="00E32F06"/>
    <w:rsid w:val="00E32F79"/>
    <w:rsid w:val="00E32FD2"/>
    <w:rsid w:val="00E331E4"/>
    <w:rsid w:val="00E3326A"/>
    <w:rsid w:val="00E332B2"/>
    <w:rsid w:val="00E333CD"/>
    <w:rsid w:val="00E3344B"/>
    <w:rsid w:val="00E33554"/>
    <w:rsid w:val="00E33650"/>
    <w:rsid w:val="00E33722"/>
    <w:rsid w:val="00E337C6"/>
    <w:rsid w:val="00E337CE"/>
    <w:rsid w:val="00E33854"/>
    <w:rsid w:val="00E338F4"/>
    <w:rsid w:val="00E3391F"/>
    <w:rsid w:val="00E33A35"/>
    <w:rsid w:val="00E33AB9"/>
    <w:rsid w:val="00E33ADE"/>
    <w:rsid w:val="00E33CCB"/>
    <w:rsid w:val="00E33DE2"/>
    <w:rsid w:val="00E33E42"/>
    <w:rsid w:val="00E33E8C"/>
    <w:rsid w:val="00E33EE3"/>
    <w:rsid w:val="00E33EEF"/>
    <w:rsid w:val="00E33F07"/>
    <w:rsid w:val="00E33F28"/>
    <w:rsid w:val="00E33F76"/>
    <w:rsid w:val="00E3403B"/>
    <w:rsid w:val="00E34159"/>
    <w:rsid w:val="00E3417E"/>
    <w:rsid w:val="00E341FE"/>
    <w:rsid w:val="00E34221"/>
    <w:rsid w:val="00E342E2"/>
    <w:rsid w:val="00E342F2"/>
    <w:rsid w:val="00E343D3"/>
    <w:rsid w:val="00E34401"/>
    <w:rsid w:val="00E3454B"/>
    <w:rsid w:val="00E345E1"/>
    <w:rsid w:val="00E34674"/>
    <w:rsid w:val="00E34689"/>
    <w:rsid w:val="00E346F4"/>
    <w:rsid w:val="00E34790"/>
    <w:rsid w:val="00E34886"/>
    <w:rsid w:val="00E348B4"/>
    <w:rsid w:val="00E348EE"/>
    <w:rsid w:val="00E348F7"/>
    <w:rsid w:val="00E34997"/>
    <w:rsid w:val="00E349D7"/>
    <w:rsid w:val="00E349DA"/>
    <w:rsid w:val="00E34B9B"/>
    <w:rsid w:val="00E34C00"/>
    <w:rsid w:val="00E34C30"/>
    <w:rsid w:val="00E34C81"/>
    <w:rsid w:val="00E34CD2"/>
    <w:rsid w:val="00E34D4C"/>
    <w:rsid w:val="00E34D76"/>
    <w:rsid w:val="00E34D80"/>
    <w:rsid w:val="00E34ECF"/>
    <w:rsid w:val="00E34F6B"/>
    <w:rsid w:val="00E34F78"/>
    <w:rsid w:val="00E3501B"/>
    <w:rsid w:val="00E3509A"/>
    <w:rsid w:val="00E35117"/>
    <w:rsid w:val="00E35134"/>
    <w:rsid w:val="00E35221"/>
    <w:rsid w:val="00E35282"/>
    <w:rsid w:val="00E352DA"/>
    <w:rsid w:val="00E352EC"/>
    <w:rsid w:val="00E3535D"/>
    <w:rsid w:val="00E35365"/>
    <w:rsid w:val="00E35386"/>
    <w:rsid w:val="00E35406"/>
    <w:rsid w:val="00E3541C"/>
    <w:rsid w:val="00E3565B"/>
    <w:rsid w:val="00E35775"/>
    <w:rsid w:val="00E358D6"/>
    <w:rsid w:val="00E3596B"/>
    <w:rsid w:val="00E3597A"/>
    <w:rsid w:val="00E3597C"/>
    <w:rsid w:val="00E35A7A"/>
    <w:rsid w:val="00E35AB4"/>
    <w:rsid w:val="00E35AC6"/>
    <w:rsid w:val="00E35AC9"/>
    <w:rsid w:val="00E35B7E"/>
    <w:rsid w:val="00E35BAF"/>
    <w:rsid w:val="00E35BD3"/>
    <w:rsid w:val="00E35E83"/>
    <w:rsid w:val="00E35FAD"/>
    <w:rsid w:val="00E360A7"/>
    <w:rsid w:val="00E3615B"/>
    <w:rsid w:val="00E36220"/>
    <w:rsid w:val="00E362E4"/>
    <w:rsid w:val="00E363B9"/>
    <w:rsid w:val="00E36516"/>
    <w:rsid w:val="00E3659C"/>
    <w:rsid w:val="00E3677B"/>
    <w:rsid w:val="00E367B3"/>
    <w:rsid w:val="00E3682C"/>
    <w:rsid w:val="00E368C3"/>
    <w:rsid w:val="00E36972"/>
    <w:rsid w:val="00E369B6"/>
    <w:rsid w:val="00E36A39"/>
    <w:rsid w:val="00E36AED"/>
    <w:rsid w:val="00E36D0C"/>
    <w:rsid w:val="00E36D8B"/>
    <w:rsid w:val="00E36D8E"/>
    <w:rsid w:val="00E36DEB"/>
    <w:rsid w:val="00E36E21"/>
    <w:rsid w:val="00E36E78"/>
    <w:rsid w:val="00E36ECB"/>
    <w:rsid w:val="00E36F63"/>
    <w:rsid w:val="00E36F9D"/>
    <w:rsid w:val="00E36FD9"/>
    <w:rsid w:val="00E371A8"/>
    <w:rsid w:val="00E37271"/>
    <w:rsid w:val="00E3728F"/>
    <w:rsid w:val="00E3731E"/>
    <w:rsid w:val="00E3734A"/>
    <w:rsid w:val="00E373A8"/>
    <w:rsid w:val="00E373F2"/>
    <w:rsid w:val="00E37402"/>
    <w:rsid w:val="00E3751C"/>
    <w:rsid w:val="00E37555"/>
    <w:rsid w:val="00E375E3"/>
    <w:rsid w:val="00E37633"/>
    <w:rsid w:val="00E3767D"/>
    <w:rsid w:val="00E376ED"/>
    <w:rsid w:val="00E376EE"/>
    <w:rsid w:val="00E3775F"/>
    <w:rsid w:val="00E377D5"/>
    <w:rsid w:val="00E3789F"/>
    <w:rsid w:val="00E378F0"/>
    <w:rsid w:val="00E37A10"/>
    <w:rsid w:val="00E37B31"/>
    <w:rsid w:val="00E37C26"/>
    <w:rsid w:val="00E37C33"/>
    <w:rsid w:val="00E37C6B"/>
    <w:rsid w:val="00E37C77"/>
    <w:rsid w:val="00E37DFD"/>
    <w:rsid w:val="00E37EC2"/>
    <w:rsid w:val="00E37ED7"/>
    <w:rsid w:val="00E37EE4"/>
    <w:rsid w:val="00E37F35"/>
    <w:rsid w:val="00E37F4D"/>
    <w:rsid w:val="00E40043"/>
    <w:rsid w:val="00E400EB"/>
    <w:rsid w:val="00E400FF"/>
    <w:rsid w:val="00E40129"/>
    <w:rsid w:val="00E40230"/>
    <w:rsid w:val="00E4026A"/>
    <w:rsid w:val="00E40284"/>
    <w:rsid w:val="00E40310"/>
    <w:rsid w:val="00E40326"/>
    <w:rsid w:val="00E403FF"/>
    <w:rsid w:val="00E4043A"/>
    <w:rsid w:val="00E404CE"/>
    <w:rsid w:val="00E4061F"/>
    <w:rsid w:val="00E40635"/>
    <w:rsid w:val="00E4067F"/>
    <w:rsid w:val="00E40726"/>
    <w:rsid w:val="00E4074B"/>
    <w:rsid w:val="00E40803"/>
    <w:rsid w:val="00E40814"/>
    <w:rsid w:val="00E40860"/>
    <w:rsid w:val="00E40885"/>
    <w:rsid w:val="00E40912"/>
    <w:rsid w:val="00E40ABA"/>
    <w:rsid w:val="00E40B69"/>
    <w:rsid w:val="00E40C46"/>
    <w:rsid w:val="00E40C47"/>
    <w:rsid w:val="00E40C9A"/>
    <w:rsid w:val="00E40D47"/>
    <w:rsid w:val="00E40DE1"/>
    <w:rsid w:val="00E40E55"/>
    <w:rsid w:val="00E40E75"/>
    <w:rsid w:val="00E40E80"/>
    <w:rsid w:val="00E40E94"/>
    <w:rsid w:val="00E41147"/>
    <w:rsid w:val="00E41260"/>
    <w:rsid w:val="00E41297"/>
    <w:rsid w:val="00E412B0"/>
    <w:rsid w:val="00E412DC"/>
    <w:rsid w:val="00E413A1"/>
    <w:rsid w:val="00E41417"/>
    <w:rsid w:val="00E41434"/>
    <w:rsid w:val="00E41441"/>
    <w:rsid w:val="00E414C4"/>
    <w:rsid w:val="00E414DC"/>
    <w:rsid w:val="00E41504"/>
    <w:rsid w:val="00E41524"/>
    <w:rsid w:val="00E41534"/>
    <w:rsid w:val="00E415B0"/>
    <w:rsid w:val="00E4160A"/>
    <w:rsid w:val="00E4167C"/>
    <w:rsid w:val="00E41733"/>
    <w:rsid w:val="00E417B9"/>
    <w:rsid w:val="00E418BA"/>
    <w:rsid w:val="00E419E9"/>
    <w:rsid w:val="00E41A6E"/>
    <w:rsid w:val="00E41AF9"/>
    <w:rsid w:val="00E41B4A"/>
    <w:rsid w:val="00E41BD3"/>
    <w:rsid w:val="00E41C37"/>
    <w:rsid w:val="00E41C5F"/>
    <w:rsid w:val="00E41C84"/>
    <w:rsid w:val="00E41CAE"/>
    <w:rsid w:val="00E41CCB"/>
    <w:rsid w:val="00E41CF3"/>
    <w:rsid w:val="00E41CFC"/>
    <w:rsid w:val="00E41D91"/>
    <w:rsid w:val="00E41DCD"/>
    <w:rsid w:val="00E41E0D"/>
    <w:rsid w:val="00E41E11"/>
    <w:rsid w:val="00E41E61"/>
    <w:rsid w:val="00E41E71"/>
    <w:rsid w:val="00E41EAA"/>
    <w:rsid w:val="00E41EBA"/>
    <w:rsid w:val="00E41ECD"/>
    <w:rsid w:val="00E41F36"/>
    <w:rsid w:val="00E41F4B"/>
    <w:rsid w:val="00E41F63"/>
    <w:rsid w:val="00E41F73"/>
    <w:rsid w:val="00E41F8B"/>
    <w:rsid w:val="00E41FA7"/>
    <w:rsid w:val="00E4206C"/>
    <w:rsid w:val="00E420B1"/>
    <w:rsid w:val="00E423D1"/>
    <w:rsid w:val="00E423E3"/>
    <w:rsid w:val="00E42461"/>
    <w:rsid w:val="00E4246E"/>
    <w:rsid w:val="00E42475"/>
    <w:rsid w:val="00E424B7"/>
    <w:rsid w:val="00E4263D"/>
    <w:rsid w:val="00E4266B"/>
    <w:rsid w:val="00E426CE"/>
    <w:rsid w:val="00E42728"/>
    <w:rsid w:val="00E42AA4"/>
    <w:rsid w:val="00E42C97"/>
    <w:rsid w:val="00E42EA5"/>
    <w:rsid w:val="00E42F11"/>
    <w:rsid w:val="00E42F45"/>
    <w:rsid w:val="00E42F91"/>
    <w:rsid w:val="00E42FFE"/>
    <w:rsid w:val="00E4308A"/>
    <w:rsid w:val="00E430F3"/>
    <w:rsid w:val="00E4324B"/>
    <w:rsid w:val="00E4324F"/>
    <w:rsid w:val="00E4339C"/>
    <w:rsid w:val="00E4342F"/>
    <w:rsid w:val="00E4346E"/>
    <w:rsid w:val="00E434B8"/>
    <w:rsid w:val="00E4350F"/>
    <w:rsid w:val="00E43522"/>
    <w:rsid w:val="00E4358E"/>
    <w:rsid w:val="00E435BE"/>
    <w:rsid w:val="00E435F6"/>
    <w:rsid w:val="00E4365A"/>
    <w:rsid w:val="00E43661"/>
    <w:rsid w:val="00E4375D"/>
    <w:rsid w:val="00E437D5"/>
    <w:rsid w:val="00E43846"/>
    <w:rsid w:val="00E43856"/>
    <w:rsid w:val="00E43859"/>
    <w:rsid w:val="00E4388F"/>
    <w:rsid w:val="00E4392B"/>
    <w:rsid w:val="00E439DA"/>
    <w:rsid w:val="00E43B0B"/>
    <w:rsid w:val="00E43BA5"/>
    <w:rsid w:val="00E43BDA"/>
    <w:rsid w:val="00E43BE5"/>
    <w:rsid w:val="00E43C31"/>
    <w:rsid w:val="00E43C66"/>
    <w:rsid w:val="00E43CA7"/>
    <w:rsid w:val="00E43DB5"/>
    <w:rsid w:val="00E43EE0"/>
    <w:rsid w:val="00E43F04"/>
    <w:rsid w:val="00E43F18"/>
    <w:rsid w:val="00E440DE"/>
    <w:rsid w:val="00E441B1"/>
    <w:rsid w:val="00E441CC"/>
    <w:rsid w:val="00E442AB"/>
    <w:rsid w:val="00E442D4"/>
    <w:rsid w:val="00E443FF"/>
    <w:rsid w:val="00E4447E"/>
    <w:rsid w:val="00E44576"/>
    <w:rsid w:val="00E445F2"/>
    <w:rsid w:val="00E44615"/>
    <w:rsid w:val="00E44666"/>
    <w:rsid w:val="00E446FA"/>
    <w:rsid w:val="00E44705"/>
    <w:rsid w:val="00E4479F"/>
    <w:rsid w:val="00E4481B"/>
    <w:rsid w:val="00E448A7"/>
    <w:rsid w:val="00E448CC"/>
    <w:rsid w:val="00E44900"/>
    <w:rsid w:val="00E44931"/>
    <w:rsid w:val="00E44989"/>
    <w:rsid w:val="00E44999"/>
    <w:rsid w:val="00E44A71"/>
    <w:rsid w:val="00E44B19"/>
    <w:rsid w:val="00E44BAC"/>
    <w:rsid w:val="00E44C21"/>
    <w:rsid w:val="00E44C81"/>
    <w:rsid w:val="00E44CA1"/>
    <w:rsid w:val="00E44CF1"/>
    <w:rsid w:val="00E44DF0"/>
    <w:rsid w:val="00E44E41"/>
    <w:rsid w:val="00E44E8C"/>
    <w:rsid w:val="00E44ED6"/>
    <w:rsid w:val="00E4501D"/>
    <w:rsid w:val="00E4506B"/>
    <w:rsid w:val="00E450A1"/>
    <w:rsid w:val="00E4511B"/>
    <w:rsid w:val="00E45148"/>
    <w:rsid w:val="00E4519B"/>
    <w:rsid w:val="00E451E6"/>
    <w:rsid w:val="00E452FB"/>
    <w:rsid w:val="00E453C9"/>
    <w:rsid w:val="00E454A7"/>
    <w:rsid w:val="00E454C6"/>
    <w:rsid w:val="00E45581"/>
    <w:rsid w:val="00E456CF"/>
    <w:rsid w:val="00E457A9"/>
    <w:rsid w:val="00E457BF"/>
    <w:rsid w:val="00E457E3"/>
    <w:rsid w:val="00E458D9"/>
    <w:rsid w:val="00E458DB"/>
    <w:rsid w:val="00E459C8"/>
    <w:rsid w:val="00E45A7D"/>
    <w:rsid w:val="00E45B3F"/>
    <w:rsid w:val="00E45B4C"/>
    <w:rsid w:val="00E45C14"/>
    <w:rsid w:val="00E45C61"/>
    <w:rsid w:val="00E45CD3"/>
    <w:rsid w:val="00E45D57"/>
    <w:rsid w:val="00E45DC3"/>
    <w:rsid w:val="00E45E42"/>
    <w:rsid w:val="00E45E46"/>
    <w:rsid w:val="00E45E63"/>
    <w:rsid w:val="00E45E96"/>
    <w:rsid w:val="00E45FEA"/>
    <w:rsid w:val="00E4600D"/>
    <w:rsid w:val="00E460A9"/>
    <w:rsid w:val="00E460C8"/>
    <w:rsid w:val="00E460EA"/>
    <w:rsid w:val="00E46170"/>
    <w:rsid w:val="00E46184"/>
    <w:rsid w:val="00E46240"/>
    <w:rsid w:val="00E46286"/>
    <w:rsid w:val="00E46302"/>
    <w:rsid w:val="00E464AD"/>
    <w:rsid w:val="00E46545"/>
    <w:rsid w:val="00E46667"/>
    <w:rsid w:val="00E46699"/>
    <w:rsid w:val="00E4677F"/>
    <w:rsid w:val="00E4685C"/>
    <w:rsid w:val="00E468E7"/>
    <w:rsid w:val="00E469B7"/>
    <w:rsid w:val="00E46BE0"/>
    <w:rsid w:val="00E46C62"/>
    <w:rsid w:val="00E46C8B"/>
    <w:rsid w:val="00E46CA6"/>
    <w:rsid w:val="00E46CFA"/>
    <w:rsid w:val="00E46DF5"/>
    <w:rsid w:val="00E46ECF"/>
    <w:rsid w:val="00E46EFA"/>
    <w:rsid w:val="00E46F6A"/>
    <w:rsid w:val="00E46F79"/>
    <w:rsid w:val="00E46F8A"/>
    <w:rsid w:val="00E4705A"/>
    <w:rsid w:val="00E47068"/>
    <w:rsid w:val="00E4709C"/>
    <w:rsid w:val="00E4709D"/>
    <w:rsid w:val="00E470BE"/>
    <w:rsid w:val="00E4716B"/>
    <w:rsid w:val="00E47191"/>
    <w:rsid w:val="00E471F9"/>
    <w:rsid w:val="00E47227"/>
    <w:rsid w:val="00E472C7"/>
    <w:rsid w:val="00E47450"/>
    <w:rsid w:val="00E474F6"/>
    <w:rsid w:val="00E475E1"/>
    <w:rsid w:val="00E47618"/>
    <w:rsid w:val="00E47642"/>
    <w:rsid w:val="00E47700"/>
    <w:rsid w:val="00E47725"/>
    <w:rsid w:val="00E4776C"/>
    <w:rsid w:val="00E47883"/>
    <w:rsid w:val="00E478FC"/>
    <w:rsid w:val="00E47932"/>
    <w:rsid w:val="00E47945"/>
    <w:rsid w:val="00E47974"/>
    <w:rsid w:val="00E47C3B"/>
    <w:rsid w:val="00E47C54"/>
    <w:rsid w:val="00E47CAB"/>
    <w:rsid w:val="00E47D52"/>
    <w:rsid w:val="00E47D99"/>
    <w:rsid w:val="00E47DBA"/>
    <w:rsid w:val="00E47DC9"/>
    <w:rsid w:val="00E47E98"/>
    <w:rsid w:val="00E47EB5"/>
    <w:rsid w:val="00E47EB9"/>
    <w:rsid w:val="00E47F10"/>
    <w:rsid w:val="00E47F5A"/>
    <w:rsid w:val="00E47F90"/>
    <w:rsid w:val="00E50002"/>
    <w:rsid w:val="00E5004A"/>
    <w:rsid w:val="00E5004C"/>
    <w:rsid w:val="00E500DB"/>
    <w:rsid w:val="00E5013A"/>
    <w:rsid w:val="00E50172"/>
    <w:rsid w:val="00E502AB"/>
    <w:rsid w:val="00E502C8"/>
    <w:rsid w:val="00E503FA"/>
    <w:rsid w:val="00E5044A"/>
    <w:rsid w:val="00E504E9"/>
    <w:rsid w:val="00E5051E"/>
    <w:rsid w:val="00E505D0"/>
    <w:rsid w:val="00E506CA"/>
    <w:rsid w:val="00E50764"/>
    <w:rsid w:val="00E5078E"/>
    <w:rsid w:val="00E508D9"/>
    <w:rsid w:val="00E508FE"/>
    <w:rsid w:val="00E5094C"/>
    <w:rsid w:val="00E509F9"/>
    <w:rsid w:val="00E50AB7"/>
    <w:rsid w:val="00E50B55"/>
    <w:rsid w:val="00E50BEB"/>
    <w:rsid w:val="00E50C5E"/>
    <w:rsid w:val="00E50C9C"/>
    <w:rsid w:val="00E50CEA"/>
    <w:rsid w:val="00E50D82"/>
    <w:rsid w:val="00E50E07"/>
    <w:rsid w:val="00E50EB3"/>
    <w:rsid w:val="00E50F7B"/>
    <w:rsid w:val="00E50F94"/>
    <w:rsid w:val="00E5102A"/>
    <w:rsid w:val="00E51119"/>
    <w:rsid w:val="00E51256"/>
    <w:rsid w:val="00E51299"/>
    <w:rsid w:val="00E5130C"/>
    <w:rsid w:val="00E51320"/>
    <w:rsid w:val="00E51360"/>
    <w:rsid w:val="00E513B4"/>
    <w:rsid w:val="00E513ED"/>
    <w:rsid w:val="00E51485"/>
    <w:rsid w:val="00E514D2"/>
    <w:rsid w:val="00E5151A"/>
    <w:rsid w:val="00E51541"/>
    <w:rsid w:val="00E51551"/>
    <w:rsid w:val="00E5163E"/>
    <w:rsid w:val="00E51666"/>
    <w:rsid w:val="00E51699"/>
    <w:rsid w:val="00E516AE"/>
    <w:rsid w:val="00E516C0"/>
    <w:rsid w:val="00E51762"/>
    <w:rsid w:val="00E51925"/>
    <w:rsid w:val="00E51944"/>
    <w:rsid w:val="00E51959"/>
    <w:rsid w:val="00E519FB"/>
    <w:rsid w:val="00E51A71"/>
    <w:rsid w:val="00E51AAD"/>
    <w:rsid w:val="00E51AD6"/>
    <w:rsid w:val="00E51B3A"/>
    <w:rsid w:val="00E51B75"/>
    <w:rsid w:val="00E51BFB"/>
    <w:rsid w:val="00E51C91"/>
    <w:rsid w:val="00E51CA2"/>
    <w:rsid w:val="00E51DA0"/>
    <w:rsid w:val="00E51DAB"/>
    <w:rsid w:val="00E51DBA"/>
    <w:rsid w:val="00E51E03"/>
    <w:rsid w:val="00E51E1F"/>
    <w:rsid w:val="00E51EBE"/>
    <w:rsid w:val="00E52099"/>
    <w:rsid w:val="00E5212A"/>
    <w:rsid w:val="00E52397"/>
    <w:rsid w:val="00E523F8"/>
    <w:rsid w:val="00E52413"/>
    <w:rsid w:val="00E5247B"/>
    <w:rsid w:val="00E524B0"/>
    <w:rsid w:val="00E526CF"/>
    <w:rsid w:val="00E526E6"/>
    <w:rsid w:val="00E52767"/>
    <w:rsid w:val="00E5278A"/>
    <w:rsid w:val="00E527BE"/>
    <w:rsid w:val="00E528D4"/>
    <w:rsid w:val="00E52A6E"/>
    <w:rsid w:val="00E52AAC"/>
    <w:rsid w:val="00E52AE2"/>
    <w:rsid w:val="00E52D48"/>
    <w:rsid w:val="00E52E2D"/>
    <w:rsid w:val="00E52E4C"/>
    <w:rsid w:val="00E52F00"/>
    <w:rsid w:val="00E52F13"/>
    <w:rsid w:val="00E52F6C"/>
    <w:rsid w:val="00E52F7C"/>
    <w:rsid w:val="00E52FBF"/>
    <w:rsid w:val="00E53078"/>
    <w:rsid w:val="00E53156"/>
    <w:rsid w:val="00E53188"/>
    <w:rsid w:val="00E532CA"/>
    <w:rsid w:val="00E53322"/>
    <w:rsid w:val="00E533C9"/>
    <w:rsid w:val="00E533CB"/>
    <w:rsid w:val="00E533D3"/>
    <w:rsid w:val="00E5343E"/>
    <w:rsid w:val="00E534BF"/>
    <w:rsid w:val="00E53563"/>
    <w:rsid w:val="00E535BF"/>
    <w:rsid w:val="00E535EE"/>
    <w:rsid w:val="00E5363D"/>
    <w:rsid w:val="00E53729"/>
    <w:rsid w:val="00E5379D"/>
    <w:rsid w:val="00E538D3"/>
    <w:rsid w:val="00E539A7"/>
    <w:rsid w:val="00E539C2"/>
    <w:rsid w:val="00E53A61"/>
    <w:rsid w:val="00E53B3E"/>
    <w:rsid w:val="00E53B73"/>
    <w:rsid w:val="00E53C0C"/>
    <w:rsid w:val="00E53C3D"/>
    <w:rsid w:val="00E53C6B"/>
    <w:rsid w:val="00E53CB4"/>
    <w:rsid w:val="00E53D48"/>
    <w:rsid w:val="00E53E05"/>
    <w:rsid w:val="00E53EB1"/>
    <w:rsid w:val="00E53EB2"/>
    <w:rsid w:val="00E53EE3"/>
    <w:rsid w:val="00E53F45"/>
    <w:rsid w:val="00E5401B"/>
    <w:rsid w:val="00E54048"/>
    <w:rsid w:val="00E5407B"/>
    <w:rsid w:val="00E5412A"/>
    <w:rsid w:val="00E5416F"/>
    <w:rsid w:val="00E541A0"/>
    <w:rsid w:val="00E542A7"/>
    <w:rsid w:val="00E5447A"/>
    <w:rsid w:val="00E544AC"/>
    <w:rsid w:val="00E54504"/>
    <w:rsid w:val="00E545EA"/>
    <w:rsid w:val="00E54659"/>
    <w:rsid w:val="00E547D7"/>
    <w:rsid w:val="00E54969"/>
    <w:rsid w:val="00E54A5C"/>
    <w:rsid w:val="00E54AD3"/>
    <w:rsid w:val="00E54B27"/>
    <w:rsid w:val="00E54C0A"/>
    <w:rsid w:val="00E54C1E"/>
    <w:rsid w:val="00E54CD3"/>
    <w:rsid w:val="00E54DCA"/>
    <w:rsid w:val="00E54E15"/>
    <w:rsid w:val="00E54F34"/>
    <w:rsid w:val="00E54F77"/>
    <w:rsid w:val="00E54FA7"/>
    <w:rsid w:val="00E54FEA"/>
    <w:rsid w:val="00E55168"/>
    <w:rsid w:val="00E551AC"/>
    <w:rsid w:val="00E551EF"/>
    <w:rsid w:val="00E55254"/>
    <w:rsid w:val="00E55285"/>
    <w:rsid w:val="00E5528C"/>
    <w:rsid w:val="00E552A5"/>
    <w:rsid w:val="00E552DB"/>
    <w:rsid w:val="00E552E2"/>
    <w:rsid w:val="00E5537D"/>
    <w:rsid w:val="00E554A4"/>
    <w:rsid w:val="00E555FC"/>
    <w:rsid w:val="00E5560C"/>
    <w:rsid w:val="00E55610"/>
    <w:rsid w:val="00E556B9"/>
    <w:rsid w:val="00E557C2"/>
    <w:rsid w:val="00E55868"/>
    <w:rsid w:val="00E558EF"/>
    <w:rsid w:val="00E558F3"/>
    <w:rsid w:val="00E55A0B"/>
    <w:rsid w:val="00E55B0C"/>
    <w:rsid w:val="00E55BB1"/>
    <w:rsid w:val="00E55C12"/>
    <w:rsid w:val="00E55C16"/>
    <w:rsid w:val="00E55C19"/>
    <w:rsid w:val="00E55C30"/>
    <w:rsid w:val="00E55C42"/>
    <w:rsid w:val="00E55C4A"/>
    <w:rsid w:val="00E55C9E"/>
    <w:rsid w:val="00E55D4B"/>
    <w:rsid w:val="00E55D79"/>
    <w:rsid w:val="00E55DA6"/>
    <w:rsid w:val="00E55E62"/>
    <w:rsid w:val="00E55E6A"/>
    <w:rsid w:val="00E55F10"/>
    <w:rsid w:val="00E55F73"/>
    <w:rsid w:val="00E55FAB"/>
    <w:rsid w:val="00E55FB4"/>
    <w:rsid w:val="00E5601D"/>
    <w:rsid w:val="00E560D4"/>
    <w:rsid w:val="00E56104"/>
    <w:rsid w:val="00E5610D"/>
    <w:rsid w:val="00E56229"/>
    <w:rsid w:val="00E562C1"/>
    <w:rsid w:val="00E56374"/>
    <w:rsid w:val="00E56379"/>
    <w:rsid w:val="00E563D0"/>
    <w:rsid w:val="00E5642B"/>
    <w:rsid w:val="00E56547"/>
    <w:rsid w:val="00E565CB"/>
    <w:rsid w:val="00E565E5"/>
    <w:rsid w:val="00E565ED"/>
    <w:rsid w:val="00E566B9"/>
    <w:rsid w:val="00E566C3"/>
    <w:rsid w:val="00E56817"/>
    <w:rsid w:val="00E56854"/>
    <w:rsid w:val="00E56856"/>
    <w:rsid w:val="00E56902"/>
    <w:rsid w:val="00E56AD1"/>
    <w:rsid w:val="00E56CC8"/>
    <w:rsid w:val="00E56CEE"/>
    <w:rsid w:val="00E56D4C"/>
    <w:rsid w:val="00E56DE7"/>
    <w:rsid w:val="00E56EE7"/>
    <w:rsid w:val="00E56F7A"/>
    <w:rsid w:val="00E56FAC"/>
    <w:rsid w:val="00E56FBE"/>
    <w:rsid w:val="00E57014"/>
    <w:rsid w:val="00E570B7"/>
    <w:rsid w:val="00E57105"/>
    <w:rsid w:val="00E5711E"/>
    <w:rsid w:val="00E57174"/>
    <w:rsid w:val="00E5719D"/>
    <w:rsid w:val="00E571CF"/>
    <w:rsid w:val="00E57204"/>
    <w:rsid w:val="00E57208"/>
    <w:rsid w:val="00E57214"/>
    <w:rsid w:val="00E5721A"/>
    <w:rsid w:val="00E5724D"/>
    <w:rsid w:val="00E572B4"/>
    <w:rsid w:val="00E572C4"/>
    <w:rsid w:val="00E57379"/>
    <w:rsid w:val="00E573C3"/>
    <w:rsid w:val="00E57496"/>
    <w:rsid w:val="00E57551"/>
    <w:rsid w:val="00E57558"/>
    <w:rsid w:val="00E5755B"/>
    <w:rsid w:val="00E575D3"/>
    <w:rsid w:val="00E575E4"/>
    <w:rsid w:val="00E576C1"/>
    <w:rsid w:val="00E576C9"/>
    <w:rsid w:val="00E576FD"/>
    <w:rsid w:val="00E57762"/>
    <w:rsid w:val="00E5777A"/>
    <w:rsid w:val="00E57781"/>
    <w:rsid w:val="00E577C0"/>
    <w:rsid w:val="00E577E3"/>
    <w:rsid w:val="00E57829"/>
    <w:rsid w:val="00E57861"/>
    <w:rsid w:val="00E5791A"/>
    <w:rsid w:val="00E5792A"/>
    <w:rsid w:val="00E57AAE"/>
    <w:rsid w:val="00E57AB9"/>
    <w:rsid w:val="00E57AC2"/>
    <w:rsid w:val="00E57B01"/>
    <w:rsid w:val="00E57B23"/>
    <w:rsid w:val="00E57B28"/>
    <w:rsid w:val="00E57C38"/>
    <w:rsid w:val="00E57C4D"/>
    <w:rsid w:val="00E57C61"/>
    <w:rsid w:val="00E57C6A"/>
    <w:rsid w:val="00E57D09"/>
    <w:rsid w:val="00E57D9A"/>
    <w:rsid w:val="00E57E4A"/>
    <w:rsid w:val="00E57E9A"/>
    <w:rsid w:val="00E57ED9"/>
    <w:rsid w:val="00E57EF2"/>
    <w:rsid w:val="00E57F7E"/>
    <w:rsid w:val="00E60037"/>
    <w:rsid w:val="00E600B6"/>
    <w:rsid w:val="00E601B2"/>
    <w:rsid w:val="00E601BE"/>
    <w:rsid w:val="00E60290"/>
    <w:rsid w:val="00E602A7"/>
    <w:rsid w:val="00E602DE"/>
    <w:rsid w:val="00E6041C"/>
    <w:rsid w:val="00E60434"/>
    <w:rsid w:val="00E6045A"/>
    <w:rsid w:val="00E604C3"/>
    <w:rsid w:val="00E6056A"/>
    <w:rsid w:val="00E605D2"/>
    <w:rsid w:val="00E6060D"/>
    <w:rsid w:val="00E60768"/>
    <w:rsid w:val="00E60862"/>
    <w:rsid w:val="00E608BA"/>
    <w:rsid w:val="00E608D5"/>
    <w:rsid w:val="00E608E8"/>
    <w:rsid w:val="00E60A21"/>
    <w:rsid w:val="00E60A8F"/>
    <w:rsid w:val="00E60AEE"/>
    <w:rsid w:val="00E60AFB"/>
    <w:rsid w:val="00E60B0E"/>
    <w:rsid w:val="00E60BE6"/>
    <w:rsid w:val="00E60C3A"/>
    <w:rsid w:val="00E60C92"/>
    <w:rsid w:val="00E60CB9"/>
    <w:rsid w:val="00E60D54"/>
    <w:rsid w:val="00E60D9F"/>
    <w:rsid w:val="00E60E4C"/>
    <w:rsid w:val="00E60F10"/>
    <w:rsid w:val="00E60F32"/>
    <w:rsid w:val="00E60F83"/>
    <w:rsid w:val="00E60FC8"/>
    <w:rsid w:val="00E60FD1"/>
    <w:rsid w:val="00E610A4"/>
    <w:rsid w:val="00E610A8"/>
    <w:rsid w:val="00E611A5"/>
    <w:rsid w:val="00E611D7"/>
    <w:rsid w:val="00E611DA"/>
    <w:rsid w:val="00E61447"/>
    <w:rsid w:val="00E6153F"/>
    <w:rsid w:val="00E615F6"/>
    <w:rsid w:val="00E616D0"/>
    <w:rsid w:val="00E6173C"/>
    <w:rsid w:val="00E617AA"/>
    <w:rsid w:val="00E61818"/>
    <w:rsid w:val="00E61839"/>
    <w:rsid w:val="00E6183F"/>
    <w:rsid w:val="00E6190E"/>
    <w:rsid w:val="00E61932"/>
    <w:rsid w:val="00E6199A"/>
    <w:rsid w:val="00E619DB"/>
    <w:rsid w:val="00E61A4B"/>
    <w:rsid w:val="00E61B29"/>
    <w:rsid w:val="00E61BB2"/>
    <w:rsid w:val="00E61BD9"/>
    <w:rsid w:val="00E61C60"/>
    <w:rsid w:val="00E61CB1"/>
    <w:rsid w:val="00E61CDA"/>
    <w:rsid w:val="00E61D4F"/>
    <w:rsid w:val="00E61D59"/>
    <w:rsid w:val="00E61D83"/>
    <w:rsid w:val="00E61DAF"/>
    <w:rsid w:val="00E61DB4"/>
    <w:rsid w:val="00E61E3D"/>
    <w:rsid w:val="00E62053"/>
    <w:rsid w:val="00E62081"/>
    <w:rsid w:val="00E621D4"/>
    <w:rsid w:val="00E62326"/>
    <w:rsid w:val="00E623A5"/>
    <w:rsid w:val="00E6246A"/>
    <w:rsid w:val="00E62473"/>
    <w:rsid w:val="00E6249A"/>
    <w:rsid w:val="00E6249C"/>
    <w:rsid w:val="00E62538"/>
    <w:rsid w:val="00E626DE"/>
    <w:rsid w:val="00E6274E"/>
    <w:rsid w:val="00E62810"/>
    <w:rsid w:val="00E62941"/>
    <w:rsid w:val="00E62971"/>
    <w:rsid w:val="00E629BB"/>
    <w:rsid w:val="00E62B51"/>
    <w:rsid w:val="00E62BFA"/>
    <w:rsid w:val="00E62C06"/>
    <w:rsid w:val="00E62C24"/>
    <w:rsid w:val="00E62C75"/>
    <w:rsid w:val="00E62CBF"/>
    <w:rsid w:val="00E62DAA"/>
    <w:rsid w:val="00E62E2A"/>
    <w:rsid w:val="00E62E3C"/>
    <w:rsid w:val="00E62E55"/>
    <w:rsid w:val="00E62EB4"/>
    <w:rsid w:val="00E62F58"/>
    <w:rsid w:val="00E62F8B"/>
    <w:rsid w:val="00E63029"/>
    <w:rsid w:val="00E63032"/>
    <w:rsid w:val="00E6303A"/>
    <w:rsid w:val="00E6306F"/>
    <w:rsid w:val="00E6307D"/>
    <w:rsid w:val="00E63151"/>
    <w:rsid w:val="00E63233"/>
    <w:rsid w:val="00E63267"/>
    <w:rsid w:val="00E632FB"/>
    <w:rsid w:val="00E63343"/>
    <w:rsid w:val="00E633D2"/>
    <w:rsid w:val="00E633F9"/>
    <w:rsid w:val="00E6342F"/>
    <w:rsid w:val="00E63436"/>
    <w:rsid w:val="00E63445"/>
    <w:rsid w:val="00E63492"/>
    <w:rsid w:val="00E634E5"/>
    <w:rsid w:val="00E63581"/>
    <w:rsid w:val="00E6358E"/>
    <w:rsid w:val="00E635B5"/>
    <w:rsid w:val="00E635F5"/>
    <w:rsid w:val="00E635F6"/>
    <w:rsid w:val="00E6361D"/>
    <w:rsid w:val="00E63665"/>
    <w:rsid w:val="00E636B4"/>
    <w:rsid w:val="00E636DF"/>
    <w:rsid w:val="00E636EA"/>
    <w:rsid w:val="00E63710"/>
    <w:rsid w:val="00E63792"/>
    <w:rsid w:val="00E63917"/>
    <w:rsid w:val="00E63923"/>
    <w:rsid w:val="00E63A0E"/>
    <w:rsid w:val="00E63A12"/>
    <w:rsid w:val="00E63A14"/>
    <w:rsid w:val="00E63B0C"/>
    <w:rsid w:val="00E63B36"/>
    <w:rsid w:val="00E63B3B"/>
    <w:rsid w:val="00E63B4A"/>
    <w:rsid w:val="00E63B80"/>
    <w:rsid w:val="00E63B89"/>
    <w:rsid w:val="00E63BF5"/>
    <w:rsid w:val="00E63C3D"/>
    <w:rsid w:val="00E63C7C"/>
    <w:rsid w:val="00E63C8E"/>
    <w:rsid w:val="00E63CED"/>
    <w:rsid w:val="00E63D2F"/>
    <w:rsid w:val="00E63D41"/>
    <w:rsid w:val="00E63E71"/>
    <w:rsid w:val="00E63FAD"/>
    <w:rsid w:val="00E63FDA"/>
    <w:rsid w:val="00E63FF0"/>
    <w:rsid w:val="00E64124"/>
    <w:rsid w:val="00E6419B"/>
    <w:rsid w:val="00E64278"/>
    <w:rsid w:val="00E6429F"/>
    <w:rsid w:val="00E64365"/>
    <w:rsid w:val="00E6436A"/>
    <w:rsid w:val="00E64465"/>
    <w:rsid w:val="00E644BB"/>
    <w:rsid w:val="00E644F6"/>
    <w:rsid w:val="00E64513"/>
    <w:rsid w:val="00E64526"/>
    <w:rsid w:val="00E645B5"/>
    <w:rsid w:val="00E6463C"/>
    <w:rsid w:val="00E6467C"/>
    <w:rsid w:val="00E646DC"/>
    <w:rsid w:val="00E647AD"/>
    <w:rsid w:val="00E6484D"/>
    <w:rsid w:val="00E64850"/>
    <w:rsid w:val="00E64877"/>
    <w:rsid w:val="00E6489C"/>
    <w:rsid w:val="00E648C0"/>
    <w:rsid w:val="00E64A36"/>
    <w:rsid w:val="00E64AA6"/>
    <w:rsid w:val="00E64B97"/>
    <w:rsid w:val="00E64C42"/>
    <w:rsid w:val="00E64C94"/>
    <w:rsid w:val="00E64DF1"/>
    <w:rsid w:val="00E64E11"/>
    <w:rsid w:val="00E64E20"/>
    <w:rsid w:val="00E64EB2"/>
    <w:rsid w:val="00E64F3C"/>
    <w:rsid w:val="00E64F55"/>
    <w:rsid w:val="00E6504A"/>
    <w:rsid w:val="00E65160"/>
    <w:rsid w:val="00E651B4"/>
    <w:rsid w:val="00E65348"/>
    <w:rsid w:val="00E65417"/>
    <w:rsid w:val="00E65450"/>
    <w:rsid w:val="00E6547A"/>
    <w:rsid w:val="00E6576C"/>
    <w:rsid w:val="00E657D1"/>
    <w:rsid w:val="00E6589A"/>
    <w:rsid w:val="00E658A8"/>
    <w:rsid w:val="00E659E8"/>
    <w:rsid w:val="00E65AE9"/>
    <w:rsid w:val="00E65AF8"/>
    <w:rsid w:val="00E65B12"/>
    <w:rsid w:val="00E65BC0"/>
    <w:rsid w:val="00E65ECE"/>
    <w:rsid w:val="00E65EF3"/>
    <w:rsid w:val="00E65F31"/>
    <w:rsid w:val="00E66236"/>
    <w:rsid w:val="00E66265"/>
    <w:rsid w:val="00E6631F"/>
    <w:rsid w:val="00E66365"/>
    <w:rsid w:val="00E663F7"/>
    <w:rsid w:val="00E6645F"/>
    <w:rsid w:val="00E66476"/>
    <w:rsid w:val="00E664F0"/>
    <w:rsid w:val="00E6668E"/>
    <w:rsid w:val="00E66732"/>
    <w:rsid w:val="00E6676A"/>
    <w:rsid w:val="00E6676E"/>
    <w:rsid w:val="00E66A34"/>
    <w:rsid w:val="00E66CF0"/>
    <w:rsid w:val="00E66D47"/>
    <w:rsid w:val="00E66D6F"/>
    <w:rsid w:val="00E66D74"/>
    <w:rsid w:val="00E66D75"/>
    <w:rsid w:val="00E66D86"/>
    <w:rsid w:val="00E66D96"/>
    <w:rsid w:val="00E66D9B"/>
    <w:rsid w:val="00E66E1A"/>
    <w:rsid w:val="00E66E4A"/>
    <w:rsid w:val="00E66E8A"/>
    <w:rsid w:val="00E6712F"/>
    <w:rsid w:val="00E6724B"/>
    <w:rsid w:val="00E672E6"/>
    <w:rsid w:val="00E6734E"/>
    <w:rsid w:val="00E673A2"/>
    <w:rsid w:val="00E673B6"/>
    <w:rsid w:val="00E67413"/>
    <w:rsid w:val="00E6741A"/>
    <w:rsid w:val="00E674A1"/>
    <w:rsid w:val="00E674A5"/>
    <w:rsid w:val="00E67601"/>
    <w:rsid w:val="00E676BD"/>
    <w:rsid w:val="00E676EC"/>
    <w:rsid w:val="00E6777B"/>
    <w:rsid w:val="00E67787"/>
    <w:rsid w:val="00E67794"/>
    <w:rsid w:val="00E6779B"/>
    <w:rsid w:val="00E677D5"/>
    <w:rsid w:val="00E677E2"/>
    <w:rsid w:val="00E678AC"/>
    <w:rsid w:val="00E678C7"/>
    <w:rsid w:val="00E67938"/>
    <w:rsid w:val="00E67A75"/>
    <w:rsid w:val="00E67B2F"/>
    <w:rsid w:val="00E67B8B"/>
    <w:rsid w:val="00E67BE8"/>
    <w:rsid w:val="00E67C6F"/>
    <w:rsid w:val="00E67CEF"/>
    <w:rsid w:val="00E67E03"/>
    <w:rsid w:val="00E67E0E"/>
    <w:rsid w:val="00E67E3C"/>
    <w:rsid w:val="00E67EB6"/>
    <w:rsid w:val="00E7006E"/>
    <w:rsid w:val="00E700ED"/>
    <w:rsid w:val="00E70151"/>
    <w:rsid w:val="00E7025F"/>
    <w:rsid w:val="00E702B5"/>
    <w:rsid w:val="00E702CA"/>
    <w:rsid w:val="00E7033F"/>
    <w:rsid w:val="00E70492"/>
    <w:rsid w:val="00E704A5"/>
    <w:rsid w:val="00E704D9"/>
    <w:rsid w:val="00E70563"/>
    <w:rsid w:val="00E705EF"/>
    <w:rsid w:val="00E70789"/>
    <w:rsid w:val="00E7087A"/>
    <w:rsid w:val="00E70892"/>
    <w:rsid w:val="00E708AE"/>
    <w:rsid w:val="00E709D2"/>
    <w:rsid w:val="00E709F7"/>
    <w:rsid w:val="00E709F8"/>
    <w:rsid w:val="00E70A61"/>
    <w:rsid w:val="00E70A8D"/>
    <w:rsid w:val="00E70AAE"/>
    <w:rsid w:val="00E70AD9"/>
    <w:rsid w:val="00E70ADE"/>
    <w:rsid w:val="00E70AFF"/>
    <w:rsid w:val="00E70B7F"/>
    <w:rsid w:val="00E70BB9"/>
    <w:rsid w:val="00E70BBC"/>
    <w:rsid w:val="00E70C3A"/>
    <w:rsid w:val="00E70C7A"/>
    <w:rsid w:val="00E70D92"/>
    <w:rsid w:val="00E70E9D"/>
    <w:rsid w:val="00E70ED1"/>
    <w:rsid w:val="00E70ED8"/>
    <w:rsid w:val="00E710AA"/>
    <w:rsid w:val="00E7115D"/>
    <w:rsid w:val="00E71285"/>
    <w:rsid w:val="00E712AB"/>
    <w:rsid w:val="00E712BE"/>
    <w:rsid w:val="00E712EE"/>
    <w:rsid w:val="00E71325"/>
    <w:rsid w:val="00E7136B"/>
    <w:rsid w:val="00E714EA"/>
    <w:rsid w:val="00E714EB"/>
    <w:rsid w:val="00E7178C"/>
    <w:rsid w:val="00E717DE"/>
    <w:rsid w:val="00E718D7"/>
    <w:rsid w:val="00E71991"/>
    <w:rsid w:val="00E71A9A"/>
    <w:rsid w:val="00E71B5C"/>
    <w:rsid w:val="00E71B69"/>
    <w:rsid w:val="00E71B8D"/>
    <w:rsid w:val="00E71BCB"/>
    <w:rsid w:val="00E71C23"/>
    <w:rsid w:val="00E71CF5"/>
    <w:rsid w:val="00E71D18"/>
    <w:rsid w:val="00E71F06"/>
    <w:rsid w:val="00E720FB"/>
    <w:rsid w:val="00E721AC"/>
    <w:rsid w:val="00E7224D"/>
    <w:rsid w:val="00E722C3"/>
    <w:rsid w:val="00E72395"/>
    <w:rsid w:val="00E723F2"/>
    <w:rsid w:val="00E7243C"/>
    <w:rsid w:val="00E724A2"/>
    <w:rsid w:val="00E72515"/>
    <w:rsid w:val="00E72559"/>
    <w:rsid w:val="00E7259D"/>
    <w:rsid w:val="00E725BD"/>
    <w:rsid w:val="00E72616"/>
    <w:rsid w:val="00E7262D"/>
    <w:rsid w:val="00E7273E"/>
    <w:rsid w:val="00E72920"/>
    <w:rsid w:val="00E729BD"/>
    <w:rsid w:val="00E72ADF"/>
    <w:rsid w:val="00E72B0F"/>
    <w:rsid w:val="00E72B50"/>
    <w:rsid w:val="00E72B90"/>
    <w:rsid w:val="00E72DC0"/>
    <w:rsid w:val="00E72E27"/>
    <w:rsid w:val="00E72E41"/>
    <w:rsid w:val="00E72ECA"/>
    <w:rsid w:val="00E72F27"/>
    <w:rsid w:val="00E72F47"/>
    <w:rsid w:val="00E72F86"/>
    <w:rsid w:val="00E72FF8"/>
    <w:rsid w:val="00E73054"/>
    <w:rsid w:val="00E73133"/>
    <w:rsid w:val="00E731D4"/>
    <w:rsid w:val="00E7325B"/>
    <w:rsid w:val="00E7327D"/>
    <w:rsid w:val="00E733EF"/>
    <w:rsid w:val="00E73540"/>
    <w:rsid w:val="00E7356F"/>
    <w:rsid w:val="00E736B0"/>
    <w:rsid w:val="00E736DF"/>
    <w:rsid w:val="00E73841"/>
    <w:rsid w:val="00E73894"/>
    <w:rsid w:val="00E7390E"/>
    <w:rsid w:val="00E73998"/>
    <w:rsid w:val="00E7399F"/>
    <w:rsid w:val="00E73ACF"/>
    <w:rsid w:val="00E73B98"/>
    <w:rsid w:val="00E73BC8"/>
    <w:rsid w:val="00E73BC9"/>
    <w:rsid w:val="00E73CBF"/>
    <w:rsid w:val="00E73CF1"/>
    <w:rsid w:val="00E73D1F"/>
    <w:rsid w:val="00E73DDB"/>
    <w:rsid w:val="00E73DDE"/>
    <w:rsid w:val="00E73E43"/>
    <w:rsid w:val="00E73E8D"/>
    <w:rsid w:val="00E73EC9"/>
    <w:rsid w:val="00E73F03"/>
    <w:rsid w:val="00E73F64"/>
    <w:rsid w:val="00E73F71"/>
    <w:rsid w:val="00E74039"/>
    <w:rsid w:val="00E7405C"/>
    <w:rsid w:val="00E7408D"/>
    <w:rsid w:val="00E740D1"/>
    <w:rsid w:val="00E74132"/>
    <w:rsid w:val="00E74178"/>
    <w:rsid w:val="00E742C2"/>
    <w:rsid w:val="00E74306"/>
    <w:rsid w:val="00E743A0"/>
    <w:rsid w:val="00E74417"/>
    <w:rsid w:val="00E7441A"/>
    <w:rsid w:val="00E7443E"/>
    <w:rsid w:val="00E744A0"/>
    <w:rsid w:val="00E744A8"/>
    <w:rsid w:val="00E7450B"/>
    <w:rsid w:val="00E74548"/>
    <w:rsid w:val="00E74559"/>
    <w:rsid w:val="00E74570"/>
    <w:rsid w:val="00E745E9"/>
    <w:rsid w:val="00E7467E"/>
    <w:rsid w:val="00E746A6"/>
    <w:rsid w:val="00E746C5"/>
    <w:rsid w:val="00E74740"/>
    <w:rsid w:val="00E7474B"/>
    <w:rsid w:val="00E74758"/>
    <w:rsid w:val="00E74810"/>
    <w:rsid w:val="00E748C4"/>
    <w:rsid w:val="00E7491E"/>
    <w:rsid w:val="00E7494C"/>
    <w:rsid w:val="00E74A70"/>
    <w:rsid w:val="00E74BCD"/>
    <w:rsid w:val="00E74D2E"/>
    <w:rsid w:val="00E74F0C"/>
    <w:rsid w:val="00E74F25"/>
    <w:rsid w:val="00E74F9C"/>
    <w:rsid w:val="00E75001"/>
    <w:rsid w:val="00E75072"/>
    <w:rsid w:val="00E75155"/>
    <w:rsid w:val="00E751F1"/>
    <w:rsid w:val="00E75273"/>
    <w:rsid w:val="00E75293"/>
    <w:rsid w:val="00E75298"/>
    <w:rsid w:val="00E752EE"/>
    <w:rsid w:val="00E75390"/>
    <w:rsid w:val="00E753BB"/>
    <w:rsid w:val="00E753BF"/>
    <w:rsid w:val="00E75467"/>
    <w:rsid w:val="00E7547C"/>
    <w:rsid w:val="00E75517"/>
    <w:rsid w:val="00E75626"/>
    <w:rsid w:val="00E75686"/>
    <w:rsid w:val="00E756C9"/>
    <w:rsid w:val="00E75707"/>
    <w:rsid w:val="00E75822"/>
    <w:rsid w:val="00E7583C"/>
    <w:rsid w:val="00E75852"/>
    <w:rsid w:val="00E7585B"/>
    <w:rsid w:val="00E758BA"/>
    <w:rsid w:val="00E758DD"/>
    <w:rsid w:val="00E75903"/>
    <w:rsid w:val="00E7596E"/>
    <w:rsid w:val="00E75B48"/>
    <w:rsid w:val="00E75B7B"/>
    <w:rsid w:val="00E75B9A"/>
    <w:rsid w:val="00E75BC3"/>
    <w:rsid w:val="00E75BC9"/>
    <w:rsid w:val="00E75C80"/>
    <w:rsid w:val="00E75DC6"/>
    <w:rsid w:val="00E75DC7"/>
    <w:rsid w:val="00E75DEA"/>
    <w:rsid w:val="00E75EC0"/>
    <w:rsid w:val="00E75F73"/>
    <w:rsid w:val="00E75F75"/>
    <w:rsid w:val="00E75FF9"/>
    <w:rsid w:val="00E76067"/>
    <w:rsid w:val="00E7606C"/>
    <w:rsid w:val="00E761D0"/>
    <w:rsid w:val="00E761EF"/>
    <w:rsid w:val="00E76210"/>
    <w:rsid w:val="00E7624B"/>
    <w:rsid w:val="00E76266"/>
    <w:rsid w:val="00E762B0"/>
    <w:rsid w:val="00E762CC"/>
    <w:rsid w:val="00E76300"/>
    <w:rsid w:val="00E763D7"/>
    <w:rsid w:val="00E76401"/>
    <w:rsid w:val="00E76408"/>
    <w:rsid w:val="00E7646A"/>
    <w:rsid w:val="00E765EB"/>
    <w:rsid w:val="00E76605"/>
    <w:rsid w:val="00E76642"/>
    <w:rsid w:val="00E76646"/>
    <w:rsid w:val="00E767B0"/>
    <w:rsid w:val="00E768B2"/>
    <w:rsid w:val="00E768D0"/>
    <w:rsid w:val="00E769A4"/>
    <w:rsid w:val="00E76A19"/>
    <w:rsid w:val="00E76C55"/>
    <w:rsid w:val="00E76CC3"/>
    <w:rsid w:val="00E76CCE"/>
    <w:rsid w:val="00E76D33"/>
    <w:rsid w:val="00E76D46"/>
    <w:rsid w:val="00E76E2F"/>
    <w:rsid w:val="00E76E3D"/>
    <w:rsid w:val="00E76E56"/>
    <w:rsid w:val="00E76E5F"/>
    <w:rsid w:val="00E76E72"/>
    <w:rsid w:val="00E76FDB"/>
    <w:rsid w:val="00E76FEE"/>
    <w:rsid w:val="00E77049"/>
    <w:rsid w:val="00E7704C"/>
    <w:rsid w:val="00E771C3"/>
    <w:rsid w:val="00E771D8"/>
    <w:rsid w:val="00E77412"/>
    <w:rsid w:val="00E7747C"/>
    <w:rsid w:val="00E77532"/>
    <w:rsid w:val="00E77552"/>
    <w:rsid w:val="00E7755E"/>
    <w:rsid w:val="00E77569"/>
    <w:rsid w:val="00E775B6"/>
    <w:rsid w:val="00E775E9"/>
    <w:rsid w:val="00E776A2"/>
    <w:rsid w:val="00E778DE"/>
    <w:rsid w:val="00E77995"/>
    <w:rsid w:val="00E779A0"/>
    <w:rsid w:val="00E779D4"/>
    <w:rsid w:val="00E77A59"/>
    <w:rsid w:val="00E77BB1"/>
    <w:rsid w:val="00E77BE3"/>
    <w:rsid w:val="00E77C16"/>
    <w:rsid w:val="00E77CC0"/>
    <w:rsid w:val="00E77D79"/>
    <w:rsid w:val="00E77DCF"/>
    <w:rsid w:val="00E77ECE"/>
    <w:rsid w:val="00E77F28"/>
    <w:rsid w:val="00E77F4A"/>
    <w:rsid w:val="00E77FF5"/>
    <w:rsid w:val="00E80086"/>
    <w:rsid w:val="00E8020A"/>
    <w:rsid w:val="00E80271"/>
    <w:rsid w:val="00E80276"/>
    <w:rsid w:val="00E80277"/>
    <w:rsid w:val="00E802A5"/>
    <w:rsid w:val="00E8035A"/>
    <w:rsid w:val="00E803A3"/>
    <w:rsid w:val="00E80439"/>
    <w:rsid w:val="00E80483"/>
    <w:rsid w:val="00E804FD"/>
    <w:rsid w:val="00E805B6"/>
    <w:rsid w:val="00E805CF"/>
    <w:rsid w:val="00E8061F"/>
    <w:rsid w:val="00E8069A"/>
    <w:rsid w:val="00E8077D"/>
    <w:rsid w:val="00E80795"/>
    <w:rsid w:val="00E807A4"/>
    <w:rsid w:val="00E807BA"/>
    <w:rsid w:val="00E80958"/>
    <w:rsid w:val="00E80996"/>
    <w:rsid w:val="00E80A76"/>
    <w:rsid w:val="00E80B15"/>
    <w:rsid w:val="00E80BE2"/>
    <w:rsid w:val="00E80C36"/>
    <w:rsid w:val="00E80D06"/>
    <w:rsid w:val="00E80D0E"/>
    <w:rsid w:val="00E80EEA"/>
    <w:rsid w:val="00E80F72"/>
    <w:rsid w:val="00E80F7C"/>
    <w:rsid w:val="00E81010"/>
    <w:rsid w:val="00E81061"/>
    <w:rsid w:val="00E81155"/>
    <w:rsid w:val="00E81162"/>
    <w:rsid w:val="00E811AE"/>
    <w:rsid w:val="00E8123E"/>
    <w:rsid w:val="00E81402"/>
    <w:rsid w:val="00E8140C"/>
    <w:rsid w:val="00E8145A"/>
    <w:rsid w:val="00E8147B"/>
    <w:rsid w:val="00E814EF"/>
    <w:rsid w:val="00E81557"/>
    <w:rsid w:val="00E815DF"/>
    <w:rsid w:val="00E815F6"/>
    <w:rsid w:val="00E81608"/>
    <w:rsid w:val="00E81642"/>
    <w:rsid w:val="00E81656"/>
    <w:rsid w:val="00E816C6"/>
    <w:rsid w:val="00E81978"/>
    <w:rsid w:val="00E81A1C"/>
    <w:rsid w:val="00E81A20"/>
    <w:rsid w:val="00E81A7E"/>
    <w:rsid w:val="00E81AFC"/>
    <w:rsid w:val="00E81B45"/>
    <w:rsid w:val="00E81B48"/>
    <w:rsid w:val="00E81B96"/>
    <w:rsid w:val="00E81C1D"/>
    <w:rsid w:val="00E81C2C"/>
    <w:rsid w:val="00E81C67"/>
    <w:rsid w:val="00E81C97"/>
    <w:rsid w:val="00E81CF9"/>
    <w:rsid w:val="00E81D11"/>
    <w:rsid w:val="00E81DC5"/>
    <w:rsid w:val="00E81E30"/>
    <w:rsid w:val="00E81E57"/>
    <w:rsid w:val="00E81E99"/>
    <w:rsid w:val="00E81EC2"/>
    <w:rsid w:val="00E81FB0"/>
    <w:rsid w:val="00E81FB7"/>
    <w:rsid w:val="00E820E1"/>
    <w:rsid w:val="00E8210B"/>
    <w:rsid w:val="00E8214D"/>
    <w:rsid w:val="00E8215E"/>
    <w:rsid w:val="00E8218F"/>
    <w:rsid w:val="00E821CE"/>
    <w:rsid w:val="00E823F4"/>
    <w:rsid w:val="00E82451"/>
    <w:rsid w:val="00E8251D"/>
    <w:rsid w:val="00E8256C"/>
    <w:rsid w:val="00E8268B"/>
    <w:rsid w:val="00E826BF"/>
    <w:rsid w:val="00E82863"/>
    <w:rsid w:val="00E82918"/>
    <w:rsid w:val="00E82A61"/>
    <w:rsid w:val="00E82A90"/>
    <w:rsid w:val="00E82B8A"/>
    <w:rsid w:val="00E82B94"/>
    <w:rsid w:val="00E82BAE"/>
    <w:rsid w:val="00E82BE5"/>
    <w:rsid w:val="00E82C13"/>
    <w:rsid w:val="00E82CB1"/>
    <w:rsid w:val="00E82CCA"/>
    <w:rsid w:val="00E82D43"/>
    <w:rsid w:val="00E82D45"/>
    <w:rsid w:val="00E82E1D"/>
    <w:rsid w:val="00E82E34"/>
    <w:rsid w:val="00E82F2E"/>
    <w:rsid w:val="00E830F3"/>
    <w:rsid w:val="00E83131"/>
    <w:rsid w:val="00E83164"/>
    <w:rsid w:val="00E831C7"/>
    <w:rsid w:val="00E831DE"/>
    <w:rsid w:val="00E83282"/>
    <w:rsid w:val="00E832B3"/>
    <w:rsid w:val="00E832BD"/>
    <w:rsid w:val="00E8338C"/>
    <w:rsid w:val="00E8344A"/>
    <w:rsid w:val="00E83570"/>
    <w:rsid w:val="00E83621"/>
    <w:rsid w:val="00E8368A"/>
    <w:rsid w:val="00E8369E"/>
    <w:rsid w:val="00E83737"/>
    <w:rsid w:val="00E837A6"/>
    <w:rsid w:val="00E837C2"/>
    <w:rsid w:val="00E837E9"/>
    <w:rsid w:val="00E838B3"/>
    <w:rsid w:val="00E83935"/>
    <w:rsid w:val="00E83942"/>
    <w:rsid w:val="00E83986"/>
    <w:rsid w:val="00E839C4"/>
    <w:rsid w:val="00E83A35"/>
    <w:rsid w:val="00E83A3E"/>
    <w:rsid w:val="00E83ABA"/>
    <w:rsid w:val="00E83AD7"/>
    <w:rsid w:val="00E83AE4"/>
    <w:rsid w:val="00E83B33"/>
    <w:rsid w:val="00E83B80"/>
    <w:rsid w:val="00E83C86"/>
    <w:rsid w:val="00E83D2B"/>
    <w:rsid w:val="00E83D3C"/>
    <w:rsid w:val="00E83DB0"/>
    <w:rsid w:val="00E83E68"/>
    <w:rsid w:val="00E83F9C"/>
    <w:rsid w:val="00E83FDA"/>
    <w:rsid w:val="00E8403D"/>
    <w:rsid w:val="00E84045"/>
    <w:rsid w:val="00E84098"/>
    <w:rsid w:val="00E840FB"/>
    <w:rsid w:val="00E8412F"/>
    <w:rsid w:val="00E84137"/>
    <w:rsid w:val="00E84144"/>
    <w:rsid w:val="00E84149"/>
    <w:rsid w:val="00E841A9"/>
    <w:rsid w:val="00E841D5"/>
    <w:rsid w:val="00E842B8"/>
    <w:rsid w:val="00E84374"/>
    <w:rsid w:val="00E843EC"/>
    <w:rsid w:val="00E843F3"/>
    <w:rsid w:val="00E84535"/>
    <w:rsid w:val="00E845D1"/>
    <w:rsid w:val="00E84606"/>
    <w:rsid w:val="00E84630"/>
    <w:rsid w:val="00E84632"/>
    <w:rsid w:val="00E84693"/>
    <w:rsid w:val="00E846B1"/>
    <w:rsid w:val="00E84775"/>
    <w:rsid w:val="00E8483C"/>
    <w:rsid w:val="00E84888"/>
    <w:rsid w:val="00E848E7"/>
    <w:rsid w:val="00E8490F"/>
    <w:rsid w:val="00E84923"/>
    <w:rsid w:val="00E84970"/>
    <w:rsid w:val="00E84A36"/>
    <w:rsid w:val="00E84A3F"/>
    <w:rsid w:val="00E84C4C"/>
    <w:rsid w:val="00E84CCB"/>
    <w:rsid w:val="00E84CE7"/>
    <w:rsid w:val="00E84CFA"/>
    <w:rsid w:val="00E84D1A"/>
    <w:rsid w:val="00E84D2E"/>
    <w:rsid w:val="00E84F4D"/>
    <w:rsid w:val="00E84FFE"/>
    <w:rsid w:val="00E8518A"/>
    <w:rsid w:val="00E85190"/>
    <w:rsid w:val="00E851EB"/>
    <w:rsid w:val="00E85330"/>
    <w:rsid w:val="00E85387"/>
    <w:rsid w:val="00E853C3"/>
    <w:rsid w:val="00E853D5"/>
    <w:rsid w:val="00E853F8"/>
    <w:rsid w:val="00E85432"/>
    <w:rsid w:val="00E854DE"/>
    <w:rsid w:val="00E85596"/>
    <w:rsid w:val="00E85610"/>
    <w:rsid w:val="00E8564F"/>
    <w:rsid w:val="00E856CE"/>
    <w:rsid w:val="00E856F7"/>
    <w:rsid w:val="00E8570D"/>
    <w:rsid w:val="00E85780"/>
    <w:rsid w:val="00E8588E"/>
    <w:rsid w:val="00E858A4"/>
    <w:rsid w:val="00E8595B"/>
    <w:rsid w:val="00E859AC"/>
    <w:rsid w:val="00E859C6"/>
    <w:rsid w:val="00E85A51"/>
    <w:rsid w:val="00E85B96"/>
    <w:rsid w:val="00E85BAD"/>
    <w:rsid w:val="00E85BDD"/>
    <w:rsid w:val="00E85C45"/>
    <w:rsid w:val="00E85C81"/>
    <w:rsid w:val="00E85CEC"/>
    <w:rsid w:val="00E85D91"/>
    <w:rsid w:val="00E85DB9"/>
    <w:rsid w:val="00E85F44"/>
    <w:rsid w:val="00E85F6D"/>
    <w:rsid w:val="00E85FE4"/>
    <w:rsid w:val="00E860FF"/>
    <w:rsid w:val="00E8617B"/>
    <w:rsid w:val="00E861C5"/>
    <w:rsid w:val="00E86224"/>
    <w:rsid w:val="00E86260"/>
    <w:rsid w:val="00E86296"/>
    <w:rsid w:val="00E862BA"/>
    <w:rsid w:val="00E86349"/>
    <w:rsid w:val="00E86582"/>
    <w:rsid w:val="00E865C7"/>
    <w:rsid w:val="00E86601"/>
    <w:rsid w:val="00E86637"/>
    <w:rsid w:val="00E867DA"/>
    <w:rsid w:val="00E86867"/>
    <w:rsid w:val="00E869C9"/>
    <w:rsid w:val="00E869DE"/>
    <w:rsid w:val="00E86A12"/>
    <w:rsid w:val="00E86AF8"/>
    <w:rsid w:val="00E86BD6"/>
    <w:rsid w:val="00E86C5F"/>
    <w:rsid w:val="00E86C76"/>
    <w:rsid w:val="00E86CC4"/>
    <w:rsid w:val="00E86CED"/>
    <w:rsid w:val="00E86D5F"/>
    <w:rsid w:val="00E86D8B"/>
    <w:rsid w:val="00E86E40"/>
    <w:rsid w:val="00E86E7A"/>
    <w:rsid w:val="00E86E9A"/>
    <w:rsid w:val="00E86F07"/>
    <w:rsid w:val="00E86F08"/>
    <w:rsid w:val="00E86F93"/>
    <w:rsid w:val="00E86FCB"/>
    <w:rsid w:val="00E87150"/>
    <w:rsid w:val="00E8715D"/>
    <w:rsid w:val="00E8717C"/>
    <w:rsid w:val="00E87225"/>
    <w:rsid w:val="00E87287"/>
    <w:rsid w:val="00E872F9"/>
    <w:rsid w:val="00E872FE"/>
    <w:rsid w:val="00E87327"/>
    <w:rsid w:val="00E874BE"/>
    <w:rsid w:val="00E874C5"/>
    <w:rsid w:val="00E87549"/>
    <w:rsid w:val="00E87615"/>
    <w:rsid w:val="00E8765B"/>
    <w:rsid w:val="00E876B7"/>
    <w:rsid w:val="00E876DA"/>
    <w:rsid w:val="00E87705"/>
    <w:rsid w:val="00E8773B"/>
    <w:rsid w:val="00E87754"/>
    <w:rsid w:val="00E877D6"/>
    <w:rsid w:val="00E87824"/>
    <w:rsid w:val="00E8782E"/>
    <w:rsid w:val="00E878A7"/>
    <w:rsid w:val="00E878BF"/>
    <w:rsid w:val="00E87936"/>
    <w:rsid w:val="00E879C4"/>
    <w:rsid w:val="00E87A7D"/>
    <w:rsid w:val="00E87A9A"/>
    <w:rsid w:val="00E87AA7"/>
    <w:rsid w:val="00E87AD4"/>
    <w:rsid w:val="00E87B34"/>
    <w:rsid w:val="00E87C18"/>
    <w:rsid w:val="00E87C4B"/>
    <w:rsid w:val="00E87C8B"/>
    <w:rsid w:val="00E87CA8"/>
    <w:rsid w:val="00E87CF9"/>
    <w:rsid w:val="00E87D61"/>
    <w:rsid w:val="00E87DEF"/>
    <w:rsid w:val="00E87E18"/>
    <w:rsid w:val="00E87E75"/>
    <w:rsid w:val="00E87EB0"/>
    <w:rsid w:val="00E87ED2"/>
    <w:rsid w:val="00E87F90"/>
    <w:rsid w:val="00E900D0"/>
    <w:rsid w:val="00E900F9"/>
    <w:rsid w:val="00E900FA"/>
    <w:rsid w:val="00E90114"/>
    <w:rsid w:val="00E90118"/>
    <w:rsid w:val="00E90199"/>
    <w:rsid w:val="00E901C7"/>
    <w:rsid w:val="00E9023D"/>
    <w:rsid w:val="00E90385"/>
    <w:rsid w:val="00E90605"/>
    <w:rsid w:val="00E9062A"/>
    <w:rsid w:val="00E90695"/>
    <w:rsid w:val="00E9070E"/>
    <w:rsid w:val="00E908C3"/>
    <w:rsid w:val="00E908CE"/>
    <w:rsid w:val="00E90971"/>
    <w:rsid w:val="00E90983"/>
    <w:rsid w:val="00E90994"/>
    <w:rsid w:val="00E909B2"/>
    <w:rsid w:val="00E909B7"/>
    <w:rsid w:val="00E90A06"/>
    <w:rsid w:val="00E90A19"/>
    <w:rsid w:val="00E90A41"/>
    <w:rsid w:val="00E90A52"/>
    <w:rsid w:val="00E90A53"/>
    <w:rsid w:val="00E90AF9"/>
    <w:rsid w:val="00E90B24"/>
    <w:rsid w:val="00E90B88"/>
    <w:rsid w:val="00E90BA9"/>
    <w:rsid w:val="00E90C1A"/>
    <w:rsid w:val="00E90D57"/>
    <w:rsid w:val="00E90E0B"/>
    <w:rsid w:val="00E90EAF"/>
    <w:rsid w:val="00E90F06"/>
    <w:rsid w:val="00E90F11"/>
    <w:rsid w:val="00E90F7B"/>
    <w:rsid w:val="00E90F87"/>
    <w:rsid w:val="00E90FC4"/>
    <w:rsid w:val="00E90FC5"/>
    <w:rsid w:val="00E90FC6"/>
    <w:rsid w:val="00E9109D"/>
    <w:rsid w:val="00E910AF"/>
    <w:rsid w:val="00E910BB"/>
    <w:rsid w:val="00E910D0"/>
    <w:rsid w:val="00E91282"/>
    <w:rsid w:val="00E9128A"/>
    <w:rsid w:val="00E91345"/>
    <w:rsid w:val="00E91380"/>
    <w:rsid w:val="00E91427"/>
    <w:rsid w:val="00E9144E"/>
    <w:rsid w:val="00E91478"/>
    <w:rsid w:val="00E9147C"/>
    <w:rsid w:val="00E914CC"/>
    <w:rsid w:val="00E914E1"/>
    <w:rsid w:val="00E914E5"/>
    <w:rsid w:val="00E91562"/>
    <w:rsid w:val="00E915AA"/>
    <w:rsid w:val="00E915CA"/>
    <w:rsid w:val="00E91604"/>
    <w:rsid w:val="00E9174A"/>
    <w:rsid w:val="00E917AF"/>
    <w:rsid w:val="00E917C7"/>
    <w:rsid w:val="00E91897"/>
    <w:rsid w:val="00E9195E"/>
    <w:rsid w:val="00E91B7D"/>
    <w:rsid w:val="00E91B85"/>
    <w:rsid w:val="00E91B9C"/>
    <w:rsid w:val="00E91BDC"/>
    <w:rsid w:val="00E91C1F"/>
    <w:rsid w:val="00E91C4F"/>
    <w:rsid w:val="00E91CCF"/>
    <w:rsid w:val="00E91CEB"/>
    <w:rsid w:val="00E91D2C"/>
    <w:rsid w:val="00E91D8F"/>
    <w:rsid w:val="00E91DF3"/>
    <w:rsid w:val="00E91E8F"/>
    <w:rsid w:val="00E91F6F"/>
    <w:rsid w:val="00E9204A"/>
    <w:rsid w:val="00E92061"/>
    <w:rsid w:val="00E920AF"/>
    <w:rsid w:val="00E9210A"/>
    <w:rsid w:val="00E92129"/>
    <w:rsid w:val="00E92151"/>
    <w:rsid w:val="00E92218"/>
    <w:rsid w:val="00E92238"/>
    <w:rsid w:val="00E9224F"/>
    <w:rsid w:val="00E92296"/>
    <w:rsid w:val="00E9231E"/>
    <w:rsid w:val="00E92338"/>
    <w:rsid w:val="00E92364"/>
    <w:rsid w:val="00E92382"/>
    <w:rsid w:val="00E92423"/>
    <w:rsid w:val="00E924FB"/>
    <w:rsid w:val="00E92510"/>
    <w:rsid w:val="00E9252B"/>
    <w:rsid w:val="00E92592"/>
    <w:rsid w:val="00E92678"/>
    <w:rsid w:val="00E926C2"/>
    <w:rsid w:val="00E92708"/>
    <w:rsid w:val="00E9273F"/>
    <w:rsid w:val="00E9274B"/>
    <w:rsid w:val="00E9276D"/>
    <w:rsid w:val="00E92832"/>
    <w:rsid w:val="00E92845"/>
    <w:rsid w:val="00E928AA"/>
    <w:rsid w:val="00E928F7"/>
    <w:rsid w:val="00E9293B"/>
    <w:rsid w:val="00E92948"/>
    <w:rsid w:val="00E92970"/>
    <w:rsid w:val="00E929A2"/>
    <w:rsid w:val="00E92A04"/>
    <w:rsid w:val="00E92A20"/>
    <w:rsid w:val="00E92A5D"/>
    <w:rsid w:val="00E92AB1"/>
    <w:rsid w:val="00E92AC9"/>
    <w:rsid w:val="00E92B0F"/>
    <w:rsid w:val="00E92BE5"/>
    <w:rsid w:val="00E92C4E"/>
    <w:rsid w:val="00E92CCC"/>
    <w:rsid w:val="00E92CDA"/>
    <w:rsid w:val="00E92D5F"/>
    <w:rsid w:val="00E92D9D"/>
    <w:rsid w:val="00E92E72"/>
    <w:rsid w:val="00E92E8C"/>
    <w:rsid w:val="00E92ECD"/>
    <w:rsid w:val="00E92F24"/>
    <w:rsid w:val="00E930D5"/>
    <w:rsid w:val="00E9317C"/>
    <w:rsid w:val="00E93186"/>
    <w:rsid w:val="00E931C5"/>
    <w:rsid w:val="00E931C8"/>
    <w:rsid w:val="00E931D9"/>
    <w:rsid w:val="00E93393"/>
    <w:rsid w:val="00E93414"/>
    <w:rsid w:val="00E93452"/>
    <w:rsid w:val="00E93503"/>
    <w:rsid w:val="00E93518"/>
    <w:rsid w:val="00E935CE"/>
    <w:rsid w:val="00E9363E"/>
    <w:rsid w:val="00E9378E"/>
    <w:rsid w:val="00E93843"/>
    <w:rsid w:val="00E9389B"/>
    <w:rsid w:val="00E939F3"/>
    <w:rsid w:val="00E93A11"/>
    <w:rsid w:val="00E93AC6"/>
    <w:rsid w:val="00E93B2F"/>
    <w:rsid w:val="00E93B38"/>
    <w:rsid w:val="00E93BC6"/>
    <w:rsid w:val="00E93BD4"/>
    <w:rsid w:val="00E93DCB"/>
    <w:rsid w:val="00E93E43"/>
    <w:rsid w:val="00E93E4E"/>
    <w:rsid w:val="00E93F71"/>
    <w:rsid w:val="00E94020"/>
    <w:rsid w:val="00E940F1"/>
    <w:rsid w:val="00E94171"/>
    <w:rsid w:val="00E9431E"/>
    <w:rsid w:val="00E94331"/>
    <w:rsid w:val="00E94386"/>
    <w:rsid w:val="00E94451"/>
    <w:rsid w:val="00E94658"/>
    <w:rsid w:val="00E94842"/>
    <w:rsid w:val="00E94870"/>
    <w:rsid w:val="00E948C6"/>
    <w:rsid w:val="00E9494D"/>
    <w:rsid w:val="00E94952"/>
    <w:rsid w:val="00E94A2B"/>
    <w:rsid w:val="00E94AB3"/>
    <w:rsid w:val="00E94AD0"/>
    <w:rsid w:val="00E94BF6"/>
    <w:rsid w:val="00E94C20"/>
    <w:rsid w:val="00E94C53"/>
    <w:rsid w:val="00E94CAD"/>
    <w:rsid w:val="00E94DA0"/>
    <w:rsid w:val="00E94E61"/>
    <w:rsid w:val="00E94FC7"/>
    <w:rsid w:val="00E95105"/>
    <w:rsid w:val="00E95129"/>
    <w:rsid w:val="00E951F7"/>
    <w:rsid w:val="00E952D4"/>
    <w:rsid w:val="00E9532F"/>
    <w:rsid w:val="00E95384"/>
    <w:rsid w:val="00E95399"/>
    <w:rsid w:val="00E953F5"/>
    <w:rsid w:val="00E9541F"/>
    <w:rsid w:val="00E95460"/>
    <w:rsid w:val="00E9549B"/>
    <w:rsid w:val="00E9552B"/>
    <w:rsid w:val="00E9554A"/>
    <w:rsid w:val="00E95566"/>
    <w:rsid w:val="00E955E4"/>
    <w:rsid w:val="00E9563F"/>
    <w:rsid w:val="00E956FA"/>
    <w:rsid w:val="00E9573C"/>
    <w:rsid w:val="00E95753"/>
    <w:rsid w:val="00E95819"/>
    <w:rsid w:val="00E95882"/>
    <w:rsid w:val="00E958AC"/>
    <w:rsid w:val="00E95924"/>
    <w:rsid w:val="00E95A0A"/>
    <w:rsid w:val="00E95AB1"/>
    <w:rsid w:val="00E95B9C"/>
    <w:rsid w:val="00E95BC4"/>
    <w:rsid w:val="00E95CA1"/>
    <w:rsid w:val="00E95D10"/>
    <w:rsid w:val="00E95D88"/>
    <w:rsid w:val="00E95D99"/>
    <w:rsid w:val="00E95E5F"/>
    <w:rsid w:val="00E95E93"/>
    <w:rsid w:val="00E960FF"/>
    <w:rsid w:val="00E9615D"/>
    <w:rsid w:val="00E9640C"/>
    <w:rsid w:val="00E96426"/>
    <w:rsid w:val="00E9648F"/>
    <w:rsid w:val="00E964FE"/>
    <w:rsid w:val="00E96553"/>
    <w:rsid w:val="00E96615"/>
    <w:rsid w:val="00E9667E"/>
    <w:rsid w:val="00E9668F"/>
    <w:rsid w:val="00E96701"/>
    <w:rsid w:val="00E9670D"/>
    <w:rsid w:val="00E967E9"/>
    <w:rsid w:val="00E96839"/>
    <w:rsid w:val="00E96851"/>
    <w:rsid w:val="00E9688C"/>
    <w:rsid w:val="00E96A07"/>
    <w:rsid w:val="00E96A38"/>
    <w:rsid w:val="00E96A7D"/>
    <w:rsid w:val="00E96A8B"/>
    <w:rsid w:val="00E96AC4"/>
    <w:rsid w:val="00E96AE4"/>
    <w:rsid w:val="00E96B0B"/>
    <w:rsid w:val="00E96D06"/>
    <w:rsid w:val="00E96D55"/>
    <w:rsid w:val="00E96D59"/>
    <w:rsid w:val="00E96D9C"/>
    <w:rsid w:val="00E96DB7"/>
    <w:rsid w:val="00E96E86"/>
    <w:rsid w:val="00E96EDD"/>
    <w:rsid w:val="00E96F0A"/>
    <w:rsid w:val="00E96F64"/>
    <w:rsid w:val="00E970D5"/>
    <w:rsid w:val="00E972A9"/>
    <w:rsid w:val="00E9730D"/>
    <w:rsid w:val="00E97331"/>
    <w:rsid w:val="00E97389"/>
    <w:rsid w:val="00E97470"/>
    <w:rsid w:val="00E9751D"/>
    <w:rsid w:val="00E97524"/>
    <w:rsid w:val="00E9756F"/>
    <w:rsid w:val="00E9758B"/>
    <w:rsid w:val="00E97727"/>
    <w:rsid w:val="00E9776E"/>
    <w:rsid w:val="00E977D0"/>
    <w:rsid w:val="00E977DB"/>
    <w:rsid w:val="00E977E1"/>
    <w:rsid w:val="00E977F4"/>
    <w:rsid w:val="00E97934"/>
    <w:rsid w:val="00E97961"/>
    <w:rsid w:val="00E9796F"/>
    <w:rsid w:val="00E979EA"/>
    <w:rsid w:val="00E979F7"/>
    <w:rsid w:val="00E97A11"/>
    <w:rsid w:val="00E97A9E"/>
    <w:rsid w:val="00E97BAD"/>
    <w:rsid w:val="00E97BD7"/>
    <w:rsid w:val="00E97BEC"/>
    <w:rsid w:val="00E97BED"/>
    <w:rsid w:val="00E97C54"/>
    <w:rsid w:val="00E97CB6"/>
    <w:rsid w:val="00E97CDC"/>
    <w:rsid w:val="00E97D55"/>
    <w:rsid w:val="00E97DF9"/>
    <w:rsid w:val="00E97E5D"/>
    <w:rsid w:val="00E97FD4"/>
    <w:rsid w:val="00EA002D"/>
    <w:rsid w:val="00EA0037"/>
    <w:rsid w:val="00EA0051"/>
    <w:rsid w:val="00EA0062"/>
    <w:rsid w:val="00EA00AF"/>
    <w:rsid w:val="00EA00F8"/>
    <w:rsid w:val="00EA0151"/>
    <w:rsid w:val="00EA019D"/>
    <w:rsid w:val="00EA02D4"/>
    <w:rsid w:val="00EA039F"/>
    <w:rsid w:val="00EA046E"/>
    <w:rsid w:val="00EA04A4"/>
    <w:rsid w:val="00EA04A7"/>
    <w:rsid w:val="00EA0578"/>
    <w:rsid w:val="00EA069D"/>
    <w:rsid w:val="00EA0778"/>
    <w:rsid w:val="00EA0788"/>
    <w:rsid w:val="00EA0848"/>
    <w:rsid w:val="00EA085C"/>
    <w:rsid w:val="00EA092A"/>
    <w:rsid w:val="00EA09E8"/>
    <w:rsid w:val="00EA0A7A"/>
    <w:rsid w:val="00EA0B15"/>
    <w:rsid w:val="00EA0B75"/>
    <w:rsid w:val="00EA0B8F"/>
    <w:rsid w:val="00EA0B94"/>
    <w:rsid w:val="00EA0BA7"/>
    <w:rsid w:val="00EA0C5C"/>
    <w:rsid w:val="00EA0C5F"/>
    <w:rsid w:val="00EA0C73"/>
    <w:rsid w:val="00EA0D09"/>
    <w:rsid w:val="00EA0D4C"/>
    <w:rsid w:val="00EA0D5C"/>
    <w:rsid w:val="00EA0DBC"/>
    <w:rsid w:val="00EA0E49"/>
    <w:rsid w:val="00EA0EA1"/>
    <w:rsid w:val="00EA0EB3"/>
    <w:rsid w:val="00EA0EEC"/>
    <w:rsid w:val="00EA0F35"/>
    <w:rsid w:val="00EA0FAE"/>
    <w:rsid w:val="00EA103A"/>
    <w:rsid w:val="00EA10B4"/>
    <w:rsid w:val="00EA1288"/>
    <w:rsid w:val="00EA1332"/>
    <w:rsid w:val="00EA1394"/>
    <w:rsid w:val="00EA13AD"/>
    <w:rsid w:val="00EA13B5"/>
    <w:rsid w:val="00EA142D"/>
    <w:rsid w:val="00EA1430"/>
    <w:rsid w:val="00EA1441"/>
    <w:rsid w:val="00EA1487"/>
    <w:rsid w:val="00EA14CC"/>
    <w:rsid w:val="00EA1572"/>
    <w:rsid w:val="00EA16CD"/>
    <w:rsid w:val="00EA1781"/>
    <w:rsid w:val="00EA18D0"/>
    <w:rsid w:val="00EA18F9"/>
    <w:rsid w:val="00EA18FB"/>
    <w:rsid w:val="00EA1957"/>
    <w:rsid w:val="00EA19BD"/>
    <w:rsid w:val="00EA1A0B"/>
    <w:rsid w:val="00EA1B7D"/>
    <w:rsid w:val="00EA1BC9"/>
    <w:rsid w:val="00EA1BFD"/>
    <w:rsid w:val="00EA1C20"/>
    <w:rsid w:val="00EA1C36"/>
    <w:rsid w:val="00EA1D8D"/>
    <w:rsid w:val="00EA1EDB"/>
    <w:rsid w:val="00EA1EF3"/>
    <w:rsid w:val="00EA1F4C"/>
    <w:rsid w:val="00EA1F5D"/>
    <w:rsid w:val="00EA1F84"/>
    <w:rsid w:val="00EA2006"/>
    <w:rsid w:val="00EA2020"/>
    <w:rsid w:val="00EA2069"/>
    <w:rsid w:val="00EA20F6"/>
    <w:rsid w:val="00EA20FD"/>
    <w:rsid w:val="00EA2151"/>
    <w:rsid w:val="00EA22F9"/>
    <w:rsid w:val="00EA23F9"/>
    <w:rsid w:val="00EA2406"/>
    <w:rsid w:val="00EA2419"/>
    <w:rsid w:val="00EA24C7"/>
    <w:rsid w:val="00EA24E0"/>
    <w:rsid w:val="00EA2523"/>
    <w:rsid w:val="00EA2538"/>
    <w:rsid w:val="00EA2595"/>
    <w:rsid w:val="00EA25DF"/>
    <w:rsid w:val="00EA2616"/>
    <w:rsid w:val="00EA264A"/>
    <w:rsid w:val="00EA265D"/>
    <w:rsid w:val="00EA2664"/>
    <w:rsid w:val="00EA26AB"/>
    <w:rsid w:val="00EA2771"/>
    <w:rsid w:val="00EA2794"/>
    <w:rsid w:val="00EA27B1"/>
    <w:rsid w:val="00EA281A"/>
    <w:rsid w:val="00EA2843"/>
    <w:rsid w:val="00EA287D"/>
    <w:rsid w:val="00EA28CD"/>
    <w:rsid w:val="00EA296D"/>
    <w:rsid w:val="00EA29B1"/>
    <w:rsid w:val="00EA2A47"/>
    <w:rsid w:val="00EA2A4A"/>
    <w:rsid w:val="00EA2C30"/>
    <w:rsid w:val="00EA2CC8"/>
    <w:rsid w:val="00EA2DD1"/>
    <w:rsid w:val="00EA2E50"/>
    <w:rsid w:val="00EA2E64"/>
    <w:rsid w:val="00EA2E79"/>
    <w:rsid w:val="00EA2E95"/>
    <w:rsid w:val="00EA2EAB"/>
    <w:rsid w:val="00EA2EEE"/>
    <w:rsid w:val="00EA2F1E"/>
    <w:rsid w:val="00EA2F7C"/>
    <w:rsid w:val="00EA2FC1"/>
    <w:rsid w:val="00EA30B7"/>
    <w:rsid w:val="00EA3222"/>
    <w:rsid w:val="00EA32C5"/>
    <w:rsid w:val="00EA3406"/>
    <w:rsid w:val="00EA3411"/>
    <w:rsid w:val="00EA342F"/>
    <w:rsid w:val="00EA3441"/>
    <w:rsid w:val="00EA360F"/>
    <w:rsid w:val="00EA3698"/>
    <w:rsid w:val="00EA3751"/>
    <w:rsid w:val="00EA3796"/>
    <w:rsid w:val="00EA3954"/>
    <w:rsid w:val="00EA396D"/>
    <w:rsid w:val="00EA39D9"/>
    <w:rsid w:val="00EA3A21"/>
    <w:rsid w:val="00EA3A49"/>
    <w:rsid w:val="00EA3BFD"/>
    <w:rsid w:val="00EA3C02"/>
    <w:rsid w:val="00EA3E3D"/>
    <w:rsid w:val="00EA3E6E"/>
    <w:rsid w:val="00EA3ED1"/>
    <w:rsid w:val="00EA3F49"/>
    <w:rsid w:val="00EA404D"/>
    <w:rsid w:val="00EA408B"/>
    <w:rsid w:val="00EA4098"/>
    <w:rsid w:val="00EA412C"/>
    <w:rsid w:val="00EA4158"/>
    <w:rsid w:val="00EA41A9"/>
    <w:rsid w:val="00EA41B9"/>
    <w:rsid w:val="00EA4248"/>
    <w:rsid w:val="00EA42AB"/>
    <w:rsid w:val="00EA42BD"/>
    <w:rsid w:val="00EA42F8"/>
    <w:rsid w:val="00EA4489"/>
    <w:rsid w:val="00EA449B"/>
    <w:rsid w:val="00EA4563"/>
    <w:rsid w:val="00EA460A"/>
    <w:rsid w:val="00EA4707"/>
    <w:rsid w:val="00EA472D"/>
    <w:rsid w:val="00EA47BF"/>
    <w:rsid w:val="00EA47E8"/>
    <w:rsid w:val="00EA4803"/>
    <w:rsid w:val="00EA484E"/>
    <w:rsid w:val="00EA49A2"/>
    <w:rsid w:val="00EA49B1"/>
    <w:rsid w:val="00EA49FB"/>
    <w:rsid w:val="00EA4BC4"/>
    <w:rsid w:val="00EA4BFD"/>
    <w:rsid w:val="00EA4C69"/>
    <w:rsid w:val="00EA4CC3"/>
    <w:rsid w:val="00EA4CC4"/>
    <w:rsid w:val="00EA4D09"/>
    <w:rsid w:val="00EA4DEE"/>
    <w:rsid w:val="00EA4EAA"/>
    <w:rsid w:val="00EA4F69"/>
    <w:rsid w:val="00EA4FC0"/>
    <w:rsid w:val="00EA5162"/>
    <w:rsid w:val="00EA51E2"/>
    <w:rsid w:val="00EA525A"/>
    <w:rsid w:val="00EA528F"/>
    <w:rsid w:val="00EA533C"/>
    <w:rsid w:val="00EA5341"/>
    <w:rsid w:val="00EA536E"/>
    <w:rsid w:val="00EA53C2"/>
    <w:rsid w:val="00EA53E0"/>
    <w:rsid w:val="00EA54D7"/>
    <w:rsid w:val="00EA5628"/>
    <w:rsid w:val="00EA5645"/>
    <w:rsid w:val="00EA568E"/>
    <w:rsid w:val="00EA56B3"/>
    <w:rsid w:val="00EA56EA"/>
    <w:rsid w:val="00EA57F1"/>
    <w:rsid w:val="00EA5882"/>
    <w:rsid w:val="00EA58AE"/>
    <w:rsid w:val="00EA5900"/>
    <w:rsid w:val="00EA598F"/>
    <w:rsid w:val="00EA59C5"/>
    <w:rsid w:val="00EA5A25"/>
    <w:rsid w:val="00EA5A36"/>
    <w:rsid w:val="00EA5A75"/>
    <w:rsid w:val="00EA5AB2"/>
    <w:rsid w:val="00EA5B01"/>
    <w:rsid w:val="00EA5BEC"/>
    <w:rsid w:val="00EA5BF9"/>
    <w:rsid w:val="00EA5C70"/>
    <w:rsid w:val="00EA5CFD"/>
    <w:rsid w:val="00EA5D87"/>
    <w:rsid w:val="00EA5E79"/>
    <w:rsid w:val="00EA5F59"/>
    <w:rsid w:val="00EA5FAD"/>
    <w:rsid w:val="00EA5FC0"/>
    <w:rsid w:val="00EA624A"/>
    <w:rsid w:val="00EA62E9"/>
    <w:rsid w:val="00EA62FD"/>
    <w:rsid w:val="00EA63BE"/>
    <w:rsid w:val="00EA6479"/>
    <w:rsid w:val="00EA6537"/>
    <w:rsid w:val="00EA66A3"/>
    <w:rsid w:val="00EA66BD"/>
    <w:rsid w:val="00EA6713"/>
    <w:rsid w:val="00EA6797"/>
    <w:rsid w:val="00EA6866"/>
    <w:rsid w:val="00EA68C3"/>
    <w:rsid w:val="00EA6979"/>
    <w:rsid w:val="00EA6990"/>
    <w:rsid w:val="00EA69A2"/>
    <w:rsid w:val="00EA69D7"/>
    <w:rsid w:val="00EA69DB"/>
    <w:rsid w:val="00EA6A08"/>
    <w:rsid w:val="00EA6A2A"/>
    <w:rsid w:val="00EA6B86"/>
    <w:rsid w:val="00EA6BB8"/>
    <w:rsid w:val="00EA6DE1"/>
    <w:rsid w:val="00EA6F30"/>
    <w:rsid w:val="00EA6F36"/>
    <w:rsid w:val="00EA6FBE"/>
    <w:rsid w:val="00EA702E"/>
    <w:rsid w:val="00EA7057"/>
    <w:rsid w:val="00EA70FA"/>
    <w:rsid w:val="00EA7128"/>
    <w:rsid w:val="00EA715D"/>
    <w:rsid w:val="00EA7198"/>
    <w:rsid w:val="00EA7237"/>
    <w:rsid w:val="00EA724C"/>
    <w:rsid w:val="00EA7279"/>
    <w:rsid w:val="00EA7440"/>
    <w:rsid w:val="00EA75B7"/>
    <w:rsid w:val="00EA7681"/>
    <w:rsid w:val="00EA76A3"/>
    <w:rsid w:val="00EA76A4"/>
    <w:rsid w:val="00EA76B1"/>
    <w:rsid w:val="00EA77E7"/>
    <w:rsid w:val="00EA791D"/>
    <w:rsid w:val="00EA7AA2"/>
    <w:rsid w:val="00EA7AA9"/>
    <w:rsid w:val="00EA7AFF"/>
    <w:rsid w:val="00EA7B4F"/>
    <w:rsid w:val="00EA7B60"/>
    <w:rsid w:val="00EA7B69"/>
    <w:rsid w:val="00EA7BDF"/>
    <w:rsid w:val="00EA7C5D"/>
    <w:rsid w:val="00EA7CE2"/>
    <w:rsid w:val="00EA7D94"/>
    <w:rsid w:val="00EA7DBF"/>
    <w:rsid w:val="00EA7DDE"/>
    <w:rsid w:val="00EA7E9A"/>
    <w:rsid w:val="00EA7EDA"/>
    <w:rsid w:val="00EA7F24"/>
    <w:rsid w:val="00EA7F63"/>
    <w:rsid w:val="00EA7F6C"/>
    <w:rsid w:val="00EA7F9E"/>
    <w:rsid w:val="00EA7FA3"/>
    <w:rsid w:val="00EB0027"/>
    <w:rsid w:val="00EB0070"/>
    <w:rsid w:val="00EB0095"/>
    <w:rsid w:val="00EB009C"/>
    <w:rsid w:val="00EB00E2"/>
    <w:rsid w:val="00EB0106"/>
    <w:rsid w:val="00EB0170"/>
    <w:rsid w:val="00EB020F"/>
    <w:rsid w:val="00EB0231"/>
    <w:rsid w:val="00EB0372"/>
    <w:rsid w:val="00EB0379"/>
    <w:rsid w:val="00EB03DA"/>
    <w:rsid w:val="00EB03F8"/>
    <w:rsid w:val="00EB04B0"/>
    <w:rsid w:val="00EB04C2"/>
    <w:rsid w:val="00EB052D"/>
    <w:rsid w:val="00EB0585"/>
    <w:rsid w:val="00EB07BD"/>
    <w:rsid w:val="00EB07F3"/>
    <w:rsid w:val="00EB08B2"/>
    <w:rsid w:val="00EB0988"/>
    <w:rsid w:val="00EB098C"/>
    <w:rsid w:val="00EB09C6"/>
    <w:rsid w:val="00EB0A98"/>
    <w:rsid w:val="00EB0AA0"/>
    <w:rsid w:val="00EB0B21"/>
    <w:rsid w:val="00EB0CE0"/>
    <w:rsid w:val="00EB0CF8"/>
    <w:rsid w:val="00EB0D38"/>
    <w:rsid w:val="00EB0E17"/>
    <w:rsid w:val="00EB0FE0"/>
    <w:rsid w:val="00EB0FFE"/>
    <w:rsid w:val="00EB110B"/>
    <w:rsid w:val="00EB1184"/>
    <w:rsid w:val="00EB121A"/>
    <w:rsid w:val="00EB127C"/>
    <w:rsid w:val="00EB1302"/>
    <w:rsid w:val="00EB132C"/>
    <w:rsid w:val="00EB13C9"/>
    <w:rsid w:val="00EB14B2"/>
    <w:rsid w:val="00EB15F3"/>
    <w:rsid w:val="00EB1620"/>
    <w:rsid w:val="00EB16A9"/>
    <w:rsid w:val="00EB1741"/>
    <w:rsid w:val="00EB1763"/>
    <w:rsid w:val="00EB177D"/>
    <w:rsid w:val="00EB17BB"/>
    <w:rsid w:val="00EB17EE"/>
    <w:rsid w:val="00EB180E"/>
    <w:rsid w:val="00EB18AA"/>
    <w:rsid w:val="00EB18BC"/>
    <w:rsid w:val="00EB18BF"/>
    <w:rsid w:val="00EB18C7"/>
    <w:rsid w:val="00EB18DD"/>
    <w:rsid w:val="00EB19E0"/>
    <w:rsid w:val="00EB19E4"/>
    <w:rsid w:val="00EB1A0C"/>
    <w:rsid w:val="00EB1A52"/>
    <w:rsid w:val="00EB1A7F"/>
    <w:rsid w:val="00EB1ABC"/>
    <w:rsid w:val="00EB1BD1"/>
    <w:rsid w:val="00EB1C8B"/>
    <w:rsid w:val="00EB1CE1"/>
    <w:rsid w:val="00EB1D6C"/>
    <w:rsid w:val="00EB1FBB"/>
    <w:rsid w:val="00EB2126"/>
    <w:rsid w:val="00EB215E"/>
    <w:rsid w:val="00EB218A"/>
    <w:rsid w:val="00EB22C6"/>
    <w:rsid w:val="00EB2336"/>
    <w:rsid w:val="00EB23F4"/>
    <w:rsid w:val="00EB2448"/>
    <w:rsid w:val="00EB249C"/>
    <w:rsid w:val="00EB24BE"/>
    <w:rsid w:val="00EB24D4"/>
    <w:rsid w:val="00EB2723"/>
    <w:rsid w:val="00EB2736"/>
    <w:rsid w:val="00EB2851"/>
    <w:rsid w:val="00EB288D"/>
    <w:rsid w:val="00EB28D7"/>
    <w:rsid w:val="00EB2974"/>
    <w:rsid w:val="00EB29B7"/>
    <w:rsid w:val="00EB29CB"/>
    <w:rsid w:val="00EB2A49"/>
    <w:rsid w:val="00EB2B23"/>
    <w:rsid w:val="00EB2BC8"/>
    <w:rsid w:val="00EB2D6D"/>
    <w:rsid w:val="00EB2E35"/>
    <w:rsid w:val="00EB2ED9"/>
    <w:rsid w:val="00EB2EE2"/>
    <w:rsid w:val="00EB2FAC"/>
    <w:rsid w:val="00EB3009"/>
    <w:rsid w:val="00EB3073"/>
    <w:rsid w:val="00EB309F"/>
    <w:rsid w:val="00EB30DB"/>
    <w:rsid w:val="00EB310D"/>
    <w:rsid w:val="00EB310F"/>
    <w:rsid w:val="00EB3118"/>
    <w:rsid w:val="00EB313C"/>
    <w:rsid w:val="00EB3185"/>
    <w:rsid w:val="00EB318C"/>
    <w:rsid w:val="00EB3193"/>
    <w:rsid w:val="00EB31DF"/>
    <w:rsid w:val="00EB3258"/>
    <w:rsid w:val="00EB3291"/>
    <w:rsid w:val="00EB333C"/>
    <w:rsid w:val="00EB336C"/>
    <w:rsid w:val="00EB3409"/>
    <w:rsid w:val="00EB3425"/>
    <w:rsid w:val="00EB3467"/>
    <w:rsid w:val="00EB34EC"/>
    <w:rsid w:val="00EB354B"/>
    <w:rsid w:val="00EB357C"/>
    <w:rsid w:val="00EB3660"/>
    <w:rsid w:val="00EB3803"/>
    <w:rsid w:val="00EB3839"/>
    <w:rsid w:val="00EB38F2"/>
    <w:rsid w:val="00EB39A1"/>
    <w:rsid w:val="00EB3A88"/>
    <w:rsid w:val="00EB3BAD"/>
    <w:rsid w:val="00EB3BC0"/>
    <w:rsid w:val="00EB3BD9"/>
    <w:rsid w:val="00EB3BEB"/>
    <w:rsid w:val="00EB3C14"/>
    <w:rsid w:val="00EB3CA3"/>
    <w:rsid w:val="00EB3CB0"/>
    <w:rsid w:val="00EB3CEB"/>
    <w:rsid w:val="00EB3D00"/>
    <w:rsid w:val="00EB3DEA"/>
    <w:rsid w:val="00EB3E5F"/>
    <w:rsid w:val="00EB3E72"/>
    <w:rsid w:val="00EB3F04"/>
    <w:rsid w:val="00EB4156"/>
    <w:rsid w:val="00EB4179"/>
    <w:rsid w:val="00EB42B0"/>
    <w:rsid w:val="00EB42FE"/>
    <w:rsid w:val="00EB43CA"/>
    <w:rsid w:val="00EB441F"/>
    <w:rsid w:val="00EB4458"/>
    <w:rsid w:val="00EB455C"/>
    <w:rsid w:val="00EB4618"/>
    <w:rsid w:val="00EB487A"/>
    <w:rsid w:val="00EB495E"/>
    <w:rsid w:val="00EB4A40"/>
    <w:rsid w:val="00EB4A71"/>
    <w:rsid w:val="00EB4AA7"/>
    <w:rsid w:val="00EB4C02"/>
    <w:rsid w:val="00EB4C1B"/>
    <w:rsid w:val="00EB4C84"/>
    <w:rsid w:val="00EB4D0C"/>
    <w:rsid w:val="00EB4DEA"/>
    <w:rsid w:val="00EB4DF7"/>
    <w:rsid w:val="00EB4EEC"/>
    <w:rsid w:val="00EB4EFE"/>
    <w:rsid w:val="00EB4F24"/>
    <w:rsid w:val="00EB50F5"/>
    <w:rsid w:val="00EB50F8"/>
    <w:rsid w:val="00EB527A"/>
    <w:rsid w:val="00EB533C"/>
    <w:rsid w:val="00EB540D"/>
    <w:rsid w:val="00EB5440"/>
    <w:rsid w:val="00EB5454"/>
    <w:rsid w:val="00EB54F7"/>
    <w:rsid w:val="00EB554A"/>
    <w:rsid w:val="00EB555B"/>
    <w:rsid w:val="00EB5634"/>
    <w:rsid w:val="00EB5639"/>
    <w:rsid w:val="00EB56A4"/>
    <w:rsid w:val="00EB56D2"/>
    <w:rsid w:val="00EB56ED"/>
    <w:rsid w:val="00EB570D"/>
    <w:rsid w:val="00EB571F"/>
    <w:rsid w:val="00EB57A1"/>
    <w:rsid w:val="00EB594B"/>
    <w:rsid w:val="00EB5A04"/>
    <w:rsid w:val="00EB5AB6"/>
    <w:rsid w:val="00EB5B35"/>
    <w:rsid w:val="00EB5B68"/>
    <w:rsid w:val="00EB5C92"/>
    <w:rsid w:val="00EB5E03"/>
    <w:rsid w:val="00EB5E43"/>
    <w:rsid w:val="00EB5F42"/>
    <w:rsid w:val="00EB5F4D"/>
    <w:rsid w:val="00EB5FF5"/>
    <w:rsid w:val="00EB60BA"/>
    <w:rsid w:val="00EB6133"/>
    <w:rsid w:val="00EB616E"/>
    <w:rsid w:val="00EB61D8"/>
    <w:rsid w:val="00EB6215"/>
    <w:rsid w:val="00EB63F2"/>
    <w:rsid w:val="00EB640B"/>
    <w:rsid w:val="00EB646B"/>
    <w:rsid w:val="00EB64F1"/>
    <w:rsid w:val="00EB64FF"/>
    <w:rsid w:val="00EB65BC"/>
    <w:rsid w:val="00EB66FE"/>
    <w:rsid w:val="00EB68A8"/>
    <w:rsid w:val="00EB6947"/>
    <w:rsid w:val="00EB694D"/>
    <w:rsid w:val="00EB6968"/>
    <w:rsid w:val="00EB696F"/>
    <w:rsid w:val="00EB6A50"/>
    <w:rsid w:val="00EB6A74"/>
    <w:rsid w:val="00EB6A90"/>
    <w:rsid w:val="00EB6A92"/>
    <w:rsid w:val="00EB6ACA"/>
    <w:rsid w:val="00EB6B7E"/>
    <w:rsid w:val="00EB6B93"/>
    <w:rsid w:val="00EB6BF9"/>
    <w:rsid w:val="00EB6C16"/>
    <w:rsid w:val="00EB6CCF"/>
    <w:rsid w:val="00EB6E27"/>
    <w:rsid w:val="00EB6E64"/>
    <w:rsid w:val="00EB6E68"/>
    <w:rsid w:val="00EB6EA8"/>
    <w:rsid w:val="00EB6F43"/>
    <w:rsid w:val="00EB6F8D"/>
    <w:rsid w:val="00EB6FBD"/>
    <w:rsid w:val="00EB7021"/>
    <w:rsid w:val="00EB71F9"/>
    <w:rsid w:val="00EB7205"/>
    <w:rsid w:val="00EB736F"/>
    <w:rsid w:val="00EB73ED"/>
    <w:rsid w:val="00EB742D"/>
    <w:rsid w:val="00EB748F"/>
    <w:rsid w:val="00EB763B"/>
    <w:rsid w:val="00EB7727"/>
    <w:rsid w:val="00EB77EF"/>
    <w:rsid w:val="00EB78BD"/>
    <w:rsid w:val="00EB790E"/>
    <w:rsid w:val="00EB795B"/>
    <w:rsid w:val="00EB796B"/>
    <w:rsid w:val="00EB7977"/>
    <w:rsid w:val="00EB7A14"/>
    <w:rsid w:val="00EB7A52"/>
    <w:rsid w:val="00EB7B45"/>
    <w:rsid w:val="00EB7B5E"/>
    <w:rsid w:val="00EB7B70"/>
    <w:rsid w:val="00EB7BB4"/>
    <w:rsid w:val="00EB7D03"/>
    <w:rsid w:val="00EB7D88"/>
    <w:rsid w:val="00EB7E7D"/>
    <w:rsid w:val="00EB7E86"/>
    <w:rsid w:val="00EB7E98"/>
    <w:rsid w:val="00EB7ED3"/>
    <w:rsid w:val="00EB7EEA"/>
    <w:rsid w:val="00EB7F09"/>
    <w:rsid w:val="00EB7F74"/>
    <w:rsid w:val="00EB7F8A"/>
    <w:rsid w:val="00EB7FDC"/>
    <w:rsid w:val="00EB7FFE"/>
    <w:rsid w:val="00EC0021"/>
    <w:rsid w:val="00EC01FA"/>
    <w:rsid w:val="00EC036E"/>
    <w:rsid w:val="00EC0424"/>
    <w:rsid w:val="00EC0436"/>
    <w:rsid w:val="00EC0448"/>
    <w:rsid w:val="00EC0462"/>
    <w:rsid w:val="00EC0492"/>
    <w:rsid w:val="00EC054C"/>
    <w:rsid w:val="00EC06E1"/>
    <w:rsid w:val="00EC073B"/>
    <w:rsid w:val="00EC074E"/>
    <w:rsid w:val="00EC0772"/>
    <w:rsid w:val="00EC087E"/>
    <w:rsid w:val="00EC08E7"/>
    <w:rsid w:val="00EC0A2D"/>
    <w:rsid w:val="00EC0A97"/>
    <w:rsid w:val="00EC0B0A"/>
    <w:rsid w:val="00EC0B56"/>
    <w:rsid w:val="00EC0BB0"/>
    <w:rsid w:val="00EC0BCC"/>
    <w:rsid w:val="00EC0C6A"/>
    <w:rsid w:val="00EC0CBF"/>
    <w:rsid w:val="00EC0E2C"/>
    <w:rsid w:val="00EC0EDB"/>
    <w:rsid w:val="00EC0EFE"/>
    <w:rsid w:val="00EC0F2D"/>
    <w:rsid w:val="00EC0F7F"/>
    <w:rsid w:val="00EC0F92"/>
    <w:rsid w:val="00EC1040"/>
    <w:rsid w:val="00EC1151"/>
    <w:rsid w:val="00EC1191"/>
    <w:rsid w:val="00EC11D8"/>
    <w:rsid w:val="00EC120C"/>
    <w:rsid w:val="00EC1252"/>
    <w:rsid w:val="00EC148F"/>
    <w:rsid w:val="00EC14E9"/>
    <w:rsid w:val="00EC1537"/>
    <w:rsid w:val="00EC1550"/>
    <w:rsid w:val="00EC155E"/>
    <w:rsid w:val="00EC156C"/>
    <w:rsid w:val="00EC1600"/>
    <w:rsid w:val="00EC1625"/>
    <w:rsid w:val="00EC165D"/>
    <w:rsid w:val="00EC167D"/>
    <w:rsid w:val="00EC16C7"/>
    <w:rsid w:val="00EC16F9"/>
    <w:rsid w:val="00EC16FC"/>
    <w:rsid w:val="00EC16FF"/>
    <w:rsid w:val="00EC182B"/>
    <w:rsid w:val="00EC18EC"/>
    <w:rsid w:val="00EC1909"/>
    <w:rsid w:val="00EC1913"/>
    <w:rsid w:val="00EC1946"/>
    <w:rsid w:val="00EC198F"/>
    <w:rsid w:val="00EC19A1"/>
    <w:rsid w:val="00EC1B32"/>
    <w:rsid w:val="00EC1C08"/>
    <w:rsid w:val="00EC1E43"/>
    <w:rsid w:val="00EC1E46"/>
    <w:rsid w:val="00EC1E94"/>
    <w:rsid w:val="00EC1F7D"/>
    <w:rsid w:val="00EC20CB"/>
    <w:rsid w:val="00EC21F9"/>
    <w:rsid w:val="00EC225B"/>
    <w:rsid w:val="00EC2286"/>
    <w:rsid w:val="00EC23B3"/>
    <w:rsid w:val="00EC23E9"/>
    <w:rsid w:val="00EC23F0"/>
    <w:rsid w:val="00EC241D"/>
    <w:rsid w:val="00EC244A"/>
    <w:rsid w:val="00EC25D8"/>
    <w:rsid w:val="00EC25FC"/>
    <w:rsid w:val="00EC2672"/>
    <w:rsid w:val="00EC2734"/>
    <w:rsid w:val="00EC273F"/>
    <w:rsid w:val="00EC27DC"/>
    <w:rsid w:val="00EC27F3"/>
    <w:rsid w:val="00EC281D"/>
    <w:rsid w:val="00EC2969"/>
    <w:rsid w:val="00EC299E"/>
    <w:rsid w:val="00EC29CA"/>
    <w:rsid w:val="00EC2A0C"/>
    <w:rsid w:val="00EC2A45"/>
    <w:rsid w:val="00EC2A60"/>
    <w:rsid w:val="00EC2A9A"/>
    <w:rsid w:val="00EC2B66"/>
    <w:rsid w:val="00EC2B6D"/>
    <w:rsid w:val="00EC2C13"/>
    <w:rsid w:val="00EC2C44"/>
    <w:rsid w:val="00EC2C6A"/>
    <w:rsid w:val="00EC2CAB"/>
    <w:rsid w:val="00EC2D10"/>
    <w:rsid w:val="00EC2D75"/>
    <w:rsid w:val="00EC2E64"/>
    <w:rsid w:val="00EC2EA2"/>
    <w:rsid w:val="00EC305C"/>
    <w:rsid w:val="00EC312E"/>
    <w:rsid w:val="00EC3163"/>
    <w:rsid w:val="00EC31F1"/>
    <w:rsid w:val="00EC3218"/>
    <w:rsid w:val="00EC3233"/>
    <w:rsid w:val="00EC3283"/>
    <w:rsid w:val="00EC332D"/>
    <w:rsid w:val="00EC33B8"/>
    <w:rsid w:val="00EC3409"/>
    <w:rsid w:val="00EC35AB"/>
    <w:rsid w:val="00EC35E3"/>
    <w:rsid w:val="00EC3602"/>
    <w:rsid w:val="00EC364C"/>
    <w:rsid w:val="00EC3651"/>
    <w:rsid w:val="00EC3654"/>
    <w:rsid w:val="00EC36EE"/>
    <w:rsid w:val="00EC37AB"/>
    <w:rsid w:val="00EC37C3"/>
    <w:rsid w:val="00EC38AD"/>
    <w:rsid w:val="00EC3980"/>
    <w:rsid w:val="00EC3A18"/>
    <w:rsid w:val="00EC3A32"/>
    <w:rsid w:val="00EC3A4D"/>
    <w:rsid w:val="00EC3A59"/>
    <w:rsid w:val="00EC3B46"/>
    <w:rsid w:val="00EC3BDD"/>
    <w:rsid w:val="00EC3D9A"/>
    <w:rsid w:val="00EC3DE6"/>
    <w:rsid w:val="00EC3E7C"/>
    <w:rsid w:val="00EC3F2D"/>
    <w:rsid w:val="00EC3F49"/>
    <w:rsid w:val="00EC3F54"/>
    <w:rsid w:val="00EC3FA5"/>
    <w:rsid w:val="00EC42B0"/>
    <w:rsid w:val="00EC42C7"/>
    <w:rsid w:val="00EC42C8"/>
    <w:rsid w:val="00EC43B1"/>
    <w:rsid w:val="00EC4408"/>
    <w:rsid w:val="00EC443F"/>
    <w:rsid w:val="00EC4468"/>
    <w:rsid w:val="00EC44F6"/>
    <w:rsid w:val="00EC4575"/>
    <w:rsid w:val="00EC4592"/>
    <w:rsid w:val="00EC45B6"/>
    <w:rsid w:val="00EC45C2"/>
    <w:rsid w:val="00EC4664"/>
    <w:rsid w:val="00EC468C"/>
    <w:rsid w:val="00EC471E"/>
    <w:rsid w:val="00EC473B"/>
    <w:rsid w:val="00EC4779"/>
    <w:rsid w:val="00EC47F1"/>
    <w:rsid w:val="00EC4820"/>
    <w:rsid w:val="00EC48AB"/>
    <w:rsid w:val="00EC48BF"/>
    <w:rsid w:val="00EC490C"/>
    <w:rsid w:val="00EC4AA0"/>
    <w:rsid w:val="00EC4AED"/>
    <w:rsid w:val="00EC4B05"/>
    <w:rsid w:val="00EC4B6B"/>
    <w:rsid w:val="00EC4C6A"/>
    <w:rsid w:val="00EC4C7E"/>
    <w:rsid w:val="00EC4C83"/>
    <w:rsid w:val="00EC4CB6"/>
    <w:rsid w:val="00EC4DDC"/>
    <w:rsid w:val="00EC4E18"/>
    <w:rsid w:val="00EC4E73"/>
    <w:rsid w:val="00EC4EA4"/>
    <w:rsid w:val="00EC4EE7"/>
    <w:rsid w:val="00EC4F9F"/>
    <w:rsid w:val="00EC4FFD"/>
    <w:rsid w:val="00EC502C"/>
    <w:rsid w:val="00EC509D"/>
    <w:rsid w:val="00EC5145"/>
    <w:rsid w:val="00EC519D"/>
    <w:rsid w:val="00EC52A9"/>
    <w:rsid w:val="00EC5422"/>
    <w:rsid w:val="00EC5471"/>
    <w:rsid w:val="00EC54AB"/>
    <w:rsid w:val="00EC54E4"/>
    <w:rsid w:val="00EC54EA"/>
    <w:rsid w:val="00EC5506"/>
    <w:rsid w:val="00EC556F"/>
    <w:rsid w:val="00EC5590"/>
    <w:rsid w:val="00EC5609"/>
    <w:rsid w:val="00EC56A0"/>
    <w:rsid w:val="00EC56EF"/>
    <w:rsid w:val="00EC572C"/>
    <w:rsid w:val="00EC5788"/>
    <w:rsid w:val="00EC5869"/>
    <w:rsid w:val="00EC5982"/>
    <w:rsid w:val="00EC59B8"/>
    <w:rsid w:val="00EC59BA"/>
    <w:rsid w:val="00EC59D6"/>
    <w:rsid w:val="00EC5A56"/>
    <w:rsid w:val="00EC5A65"/>
    <w:rsid w:val="00EC5AB3"/>
    <w:rsid w:val="00EC5BFC"/>
    <w:rsid w:val="00EC5C9D"/>
    <w:rsid w:val="00EC5CBC"/>
    <w:rsid w:val="00EC5D41"/>
    <w:rsid w:val="00EC5D85"/>
    <w:rsid w:val="00EC5E4F"/>
    <w:rsid w:val="00EC5E6A"/>
    <w:rsid w:val="00EC5E7F"/>
    <w:rsid w:val="00EC5E99"/>
    <w:rsid w:val="00EC5E9A"/>
    <w:rsid w:val="00EC5E9D"/>
    <w:rsid w:val="00EC5F01"/>
    <w:rsid w:val="00EC5F6E"/>
    <w:rsid w:val="00EC5F93"/>
    <w:rsid w:val="00EC6055"/>
    <w:rsid w:val="00EC611D"/>
    <w:rsid w:val="00EC6191"/>
    <w:rsid w:val="00EC61CC"/>
    <w:rsid w:val="00EC61CF"/>
    <w:rsid w:val="00EC61DB"/>
    <w:rsid w:val="00EC62F5"/>
    <w:rsid w:val="00EC632F"/>
    <w:rsid w:val="00EC633F"/>
    <w:rsid w:val="00EC6437"/>
    <w:rsid w:val="00EC646F"/>
    <w:rsid w:val="00EC64A7"/>
    <w:rsid w:val="00EC6502"/>
    <w:rsid w:val="00EC6527"/>
    <w:rsid w:val="00EC6546"/>
    <w:rsid w:val="00EC655E"/>
    <w:rsid w:val="00EC659D"/>
    <w:rsid w:val="00EC6743"/>
    <w:rsid w:val="00EC6867"/>
    <w:rsid w:val="00EC698A"/>
    <w:rsid w:val="00EC6A6F"/>
    <w:rsid w:val="00EC6BEC"/>
    <w:rsid w:val="00EC6C01"/>
    <w:rsid w:val="00EC6C55"/>
    <w:rsid w:val="00EC6CBC"/>
    <w:rsid w:val="00EC6D4F"/>
    <w:rsid w:val="00EC6D70"/>
    <w:rsid w:val="00EC6E19"/>
    <w:rsid w:val="00EC6E71"/>
    <w:rsid w:val="00EC6E84"/>
    <w:rsid w:val="00EC6EF4"/>
    <w:rsid w:val="00EC6F0B"/>
    <w:rsid w:val="00EC6F4C"/>
    <w:rsid w:val="00EC6FD5"/>
    <w:rsid w:val="00EC7023"/>
    <w:rsid w:val="00EC7065"/>
    <w:rsid w:val="00EC70D4"/>
    <w:rsid w:val="00EC70D6"/>
    <w:rsid w:val="00EC7105"/>
    <w:rsid w:val="00EC7110"/>
    <w:rsid w:val="00EC71F2"/>
    <w:rsid w:val="00EC72C1"/>
    <w:rsid w:val="00EC72C4"/>
    <w:rsid w:val="00EC7300"/>
    <w:rsid w:val="00EC7362"/>
    <w:rsid w:val="00EC73E4"/>
    <w:rsid w:val="00EC7418"/>
    <w:rsid w:val="00EC754C"/>
    <w:rsid w:val="00EC7582"/>
    <w:rsid w:val="00EC767F"/>
    <w:rsid w:val="00EC7712"/>
    <w:rsid w:val="00EC77C6"/>
    <w:rsid w:val="00EC7851"/>
    <w:rsid w:val="00EC788A"/>
    <w:rsid w:val="00EC78C4"/>
    <w:rsid w:val="00EC7A3B"/>
    <w:rsid w:val="00EC7BFD"/>
    <w:rsid w:val="00EC7C01"/>
    <w:rsid w:val="00EC7CC2"/>
    <w:rsid w:val="00EC7D75"/>
    <w:rsid w:val="00EC7E2E"/>
    <w:rsid w:val="00EC7E69"/>
    <w:rsid w:val="00EC7EB9"/>
    <w:rsid w:val="00EC7FC5"/>
    <w:rsid w:val="00EC7FF1"/>
    <w:rsid w:val="00ED005C"/>
    <w:rsid w:val="00ED009F"/>
    <w:rsid w:val="00ED00B3"/>
    <w:rsid w:val="00ED01E5"/>
    <w:rsid w:val="00ED0267"/>
    <w:rsid w:val="00ED0334"/>
    <w:rsid w:val="00ED03C0"/>
    <w:rsid w:val="00ED0448"/>
    <w:rsid w:val="00ED0452"/>
    <w:rsid w:val="00ED045B"/>
    <w:rsid w:val="00ED04CD"/>
    <w:rsid w:val="00ED04F8"/>
    <w:rsid w:val="00ED0555"/>
    <w:rsid w:val="00ED06A7"/>
    <w:rsid w:val="00ED0746"/>
    <w:rsid w:val="00ED0778"/>
    <w:rsid w:val="00ED078F"/>
    <w:rsid w:val="00ED07A9"/>
    <w:rsid w:val="00ED07AF"/>
    <w:rsid w:val="00ED083A"/>
    <w:rsid w:val="00ED08EF"/>
    <w:rsid w:val="00ED090E"/>
    <w:rsid w:val="00ED091C"/>
    <w:rsid w:val="00ED0960"/>
    <w:rsid w:val="00ED0A20"/>
    <w:rsid w:val="00ED0AED"/>
    <w:rsid w:val="00ED0BAC"/>
    <w:rsid w:val="00ED0C64"/>
    <w:rsid w:val="00ED0CF7"/>
    <w:rsid w:val="00ED0D33"/>
    <w:rsid w:val="00ED0DC9"/>
    <w:rsid w:val="00ED0EF5"/>
    <w:rsid w:val="00ED0F05"/>
    <w:rsid w:val="00ED0FFA"/>
    <w:rsid w:val="00ED1171"/>
    <w:rsid w:val="00ED118C"/>
    <w:rsid w:val="00ED119F"/>
    <w:rsid w:val="00ED12AA"/>
    <w:rsid w:val="00ED1330"/>
    <w:rsid w:val="00ED133A"/>
    <w:rsid w:val="00ED137E"/>
    <w:rsid w:val="00ED143D"/>
    <w:rsid w:val="00ED168B"/>
    <w:rsid w:val="00ED1717"/>
    <w:rsid w:val="00ED171E"/>
    <w:rsid w:val="00ED1741"/>
    <w:rsid w:val="00ED176C"/>
    <w:rsid w:val="00ED17F5"/>
    <w:rsid w:val="00ED1A11"/>
    <w:rsid w:val="00ED1A16"/>
    <w:rsid w:val="00ED1A27"/>
    <w:rsid w:val="00ED1C1A"/>
    <w:rsid w:val="00ED1D9B"/>
    <w:rsid w:val="00ED1E8D"/>
    <w:rsid w:val="00ED1E90"/>
    <w:rsid w:val="00ED1EE0"/>
    <w:rsid w:val="00ED1FCB"/>
    <w:rsid w:val="00ED1FEB"/>
    <w:rsid w:val="00ED2053"/>
    <w:rsid w:val="00ED2130"/>
    <w:rsid w:val="00ED2136"/>
    <w:rsid w:val="00ED21AE"/>
    <w:rsid w:val="00ED229C"/>
    <w:rsid w:val="00ED22D0"/>
    <w:rsid w:val="00ED2334"/>
    <w:rsid w:val="00ED2412"/>
    <w:rsid w:val="00ED2545"/>
    <w:rsid w:val="00ED25BA"/>
    <w:rsid w:val="00ED26C0"/>
    <w:rsid w:val="00ED2744"/>
    <w:rsid w:val="00ED27A5"/>
    <w:rsid w:val="00ED27B9"/>
    <w:rsid w:val="00ED296C"/>
    <w:rsid w:val="00ED29C1"/>
    <w:rsid w:val="00ED2A0F"/>
    <w:rsid w:val="00ED2E16"/>
    <w:rsid w:val="00ED2E49"/>
    <w:rsid w:val="00ED2EBE"/>
    <w:rsid w:val="00ED2EC7"/>
    <w:rsid w:val="00ED2ED0"/>
    <w:rsid w:val="00ED2EE4"/>
    <w:rsid w:val="00ED2F1A"/>
    <w:rsid w:val="00ED2FCC"/>
    <w:rsid w:val="00ED3129"/>
    <w:rsid w:val="00ED31B8"/>
    <w:rsid w:val="00ED31FB"/>
    <w:rsid w:val="00ED32FD"/>
    <w:rsid w:val="00ED331B"/>
    <w:rsid w:val="00ED3383"/>
    <w:rsid w:val="00ED33CC"/>
    <w:rsid w:val="00ED342F"/>
    <w:rsid w:val="00ED344A"/>
    <w:rsid w:val="00ED344B"/>
    <w:rsid w:val="00ED3483"/>
    <w:rsid w:val="00ED349B"/>
    <w:rsid w:val="00ED3676"/>
    <w:rsid w:val="00ED36F7"/>
    <w:rsid w:val="00ED3749"/>
    <w:rsid w:val="00ED379C"/>
    <w:rsid w:val="00ED37E5"/>
    <w:rsid w:val="00ED3898"/>
    <w:rsid w:val="00ED38F9"/>
    <w:rsid w:val="00ED39C5"/>
    <w:rsid w:val="00ED39D1"/>
    <w:rsid w:val="00ED3A81"/>
    <w:rsid w:val="00ED3B18"/>
    <w:rsid w:val="00ED3B32"/>
    <w:rsid w:val="00ED3B50"/>
    <w:rsid w:val="00ED3B83"/>
    <w:rsid w:val="00ED3F68"/>
    <w:rsid w:val="00ED3FA4"/>
    <w:rsid w:val="00ED4025"/>
    <w:rsid w:val="00ED403F"/>
    <w:rsid w:val="00ED4069"/>
    <w:rsid w:val="00ED42B4"/>
    <w:rsid w:val="00ED42D6"/>
    <w:rsid w:val="00ED43DB"/>
    <w:rsid w:val="00ED4424"/>
    <w:rsid w:val="00ED44B5"/>
    <w:rsid w:val="00ED4500"/>
    <w:rsid w:val="00ED4658"/>
    <w:rsid w:val="00ED4662"/>
    <w:rsid w:val="00ED4670"/>
    <w:rsid w:val="00ED46EA"/>
    <w:rsid w:val="00ED47D7"/>
    <w:rsid w:val="00ED4802"/>
    <w:rsid w:val="00ED4817"/>
    <w:rsid w:val="00ED4889"/>
    <w:rsid w:val="00ED49C4"/>
    <w:rsid w:val="00ED4A78"/>
    <w:rsid w:val="00ED4AE8"/>
    <w:rsid w:val="00ED4B5A"/>
    <w:rsid w:val="00ED4C7A"/>
    <w:rsid w:val="00ED4CCE"/>
    <w:rsid w:val="00ED4CFF"/>
    <w:rsid w:val="00ED4DA5"/>
    <w:rsid w:val="00ED4EBF"/>
    <w:rsid w:val="00ED4FF0"/>
    <w:rsid w:val="00ED5017"/>
    <w:rsid w:val="00ED51CD"/>
    <w:rsid w:val="00ED5257"/>
    <w:rsid w:val="00ED5337"/>
    <w:rsid w:val="00ED53A4"/>
    <w:rsid w:val="00ED5431"/>
    <w:rsid w:val="00ED5539"/>
    <w:rsid w:val="00ED55AB"/>
    <w:rsid w:val="00ED55C8"/>
    <w:rsid w:val="00ED55F7"/>
    <w:rsid w:val="00ED562D"/>
    <w:rsid w:val="00ED562F"/>
    <w:rsid w:val="00ED5638"/>
    <w:rsid w:val="00ED5694"/>
    <w:rsid w:val="00ED56D6"/>
    <w:rsid w:val="00ED572B"/>
    <w:rsid w:val="00ED57D8"/>
    <w:rsid w:val="00ED5850"/>
    <w:rsid w:val="00ED5935"/>
    <w:rsid w:val="00ED59D9"/>
    <w:rsid w:val="00ED5A28"/>
    <w:rsid w:val="00ED5AE1"/>
    <w:rsid w:val="00ED5B47"/>
    <w:rsid w:val="00ED5BD4"/>
    <w:rsid w:val="00ED5C23"/>
    <w:rsid w:val="00ED5C90"/>
    <w:rsid w:val="00ED5CDC"/>
    <w:rsid w:val="00ED5CE6"/>
    <w:rsid w:val="00ED5DC1"/>
    <w:rsid w:val="00ED5DC5"/>
    <w:rsid w:val="00ED5DC7"/>
    <w:rsid w:val="00ED5E28"/>
    <w:rsid w:val="00ED5E88"/>
    <w:rsid w:val="00ED5F01"/>
    <w:rsid w:val="00ED6031"/>
    <w:rsid w:val="00ED629A"/>
    <w:rsid w:val="00ED6347"/>
    <w:rsid w:val="00ED644E"/>
    <w:rsid w:val="00ED6475"/>
    <w:rsid w:val="00ED6648"/>
    <w:rsid w:val="00ED6651"/>
    <w:rsid w:val="00ED66D3"/>
    <w:rsid w:val="00ED6791"/>
    <w:rsid w:val="00ED67C9"/>
    <w:rsid w:val="00ED6833"/>
    <w:rsid w:val="00ED6994"/>
    <w:rsid w:val="00ED6AB0"/>
    <w:rsid w:val="00ED6B33"/>
    <w:rsid w:val="00ED6B48"/>
    <w:rsid w:val="00ED6B57"/>
    <w:rsid w:val="00ED6B9F"/>
    <w:rsid w:val="00ED6C57"/>
    <w:rsid w:val="00ED6DD2"/>
    <w:rsid w:val="00ED6E00"/>
    <w:rsid w:val="00ED6E6F"/>
    <w:rsid w:val="00ED6E88"/>
    <w:rsid w:val="00ED6F1A"/>
    <w:rsid w:val="00ED6FF3"/>
    <w:rsid w:val="00ED70AE"/>
    <w:rsid w:val="00ED711B"/>
    <w:rsid w:val="00ED7131"/>
    <w:rsid w:val="00ED71C5"/>
    <w:rsid w:val="00ED72E1"/>
    <w:rsid w:val="00ED7308"/>
    <w:rsid w:val="00ED73AE"/>
    <w:rsid w:val="00ED7466"/>
    <w:rsid w:val="00ED75A5"/>
    <w:rsid w:val="00ED767B"/>
    <w:rsid w:val="00ED7703"/>
    <w:rsid w:val="00ED777C"/>
    <w:rsid w:val="00ED7794"/>
    <w:rsid w:val="00ED77B6"/>
    <w:rsid w:val="00ED77DB"/>
    <w:rsid w:val="00ED77FF"/>
    <w:rsid w:val="00ED781D"/>
    <w:rsid w:val="00ED78AA"/>
    <w:rsid w:val="00ED7918"/>
    <w:rsid w:val="00ED7994"/>
    <w:rsid w:val="00ED79DC"/>
    <w:rsid w:val="00ED7AA4"/>
    <w:rsid w:val="00ED7AB1"/>
    <w:rsid w:val="00ED7B07"/>
    <w:rsid w:val="00ED7B77"/>
    <w:rsid w:val="00ED7BA1"/>
    <w:rsid w:val="00ED7BD4"/>
    <w:rsid w:val="00ED7BEE"/>
    <w:rsid w:val="00ED7BFE"/>
    <w:rsid w:val="00ED7C25"/>
    <w:rsid w:val="00ED7C69"/>
    <w:rsid w:val="00ED7C6F"/>
    <w:rsid w:val="00ED7C7B"/>
    <w:rsid w:val="00ED7CA2"/>
    <w:rsid w:val="00ED7DDA"/>
    <w:rsid w:val="00ED7E2F"/>
    <w:rsid w:val="00ED7E59"/>
    <w:rsid w:val="00EE011F"/>
    <w:rsid w:val="00EE0228"/>
    <w:rsid w:val="00EE024C"/>
    <w:rsid w:val="00EE02B8"/>
    <w:rsid w:val="00EE0375"/>
    <w:rsid w:val="00EE03A2"/>
    <w:rsid w:val="00EE03DD"/>
    <w:rsid w:val="00EE03F9"/>
    <w:rsid w:val="00EE0454"/>
    <w:rsid w:val="00EE05E5"/>
    <w:rsid w:val="00EE0782"/>
    <w:rsid w:val="00EE0783"/>
    <w:rsid w:val="00EE08B0"/>
    <w:rsid w:val="00EE096E"/>
    <w:rsid w:val="00EE09C5"/>
    <w:rsid w:val="00EE0C2C"/>
    <w:rsid w:val="00EE0CC4"/>
    <w:rsid w:val="00EE0CD3"/>
    <w:rsid w:val="00EE0CE5"/>
    <w:rsid w:val="00EE0D2F"/>
    <w:rsid w:val="00EE0D83"/>
    <w:rsid w:val="00EE0F23"/>
    <w:rsid w:val="00EE0FB9"/>
    <w:rsid w:val="00EE1043"/>
    <w:rsid w:val="00EE1080"/>
    <w:rsid w:val="00EE1084"/>
    <w:rsid w:val="00EE112E"/>
    <w:rsid w:val="00EE123E"/>
    <w:rsid w:val="00EE1292"/>
    <w:rsid w:val="00EE130D"/>
    <w:rsid w:val="00EE132A"/>
    <w:rsid w:val="00EE1331"/>
    <w:rsid w:val="00EE144F"/>
    <w:rsid w:val="00EE14BE"/>
    <w:rsid w:val="00EE153B"/>
    <w:rsid w:val="00EE1640"/>
    <w:rsid w:val="00EE1814"/>
    <w:rsid w:val="00EE1820"/>
    <w:rsid w:val="00EE183D"/>
    <w:rsid w:val="00EE1844"/>
    <w:rsid w:val="00EE1890"/>
    <w:rsid w:val="00EE1897"/>
    <w:rsid w:val="00EE18BC"/>
    <w:rsid w:val="00EE1981"/>
    <w:rsid w:val="00EE19B0"/>
    <w:rsid w:val="00EE1A65"/>
    <w:rsid w:val="00EE1B6A"/>
    <w:rsid w:val="00EE1C1D"/>
    <w:rsid w:val="00EE1C64"/>
    <w:rsid w:val="00EE1CE3"/>
    <w:rsid w:val="00EE1D21"/>
    <w:rsid w:val="00EE1D96"/>
    <w:rsid w:val="00EE1D9A"/>
    <w:rsid w:val="00EE1E36"/>
    <w:rsid w:val="00EE1E3E"/>
    <w:rsid w:val="00EE1E48"/>
    <w:rsid w:val="00EE1EC4"/>
    <w:rsid w:val="00EE1EC8"/>
    <w:rsid w:val="00EE1FA0"/>
    <w:rsid w:val="00EE1FC4"/>
    <w:rsid w:val="00EE1FD2"/>
    <w:rsid w:val="00EE2170"/>
    <w:rsid w:val="00EE21D9"/>
    <w:rsid w:val="00EE2227"/>
    <w:rsid w:val="00EE2256"/>
    <w:rsid w:val="00EE233B"/>
    <w:rsid w:val="00EE23E5"/>
    <w:rsid w:val="00EE2411"/>
    <w:rsid w:val="00EE2463"/>
    <w:rsid w:val="00EE2475"/>
    <w:rsid w:val="00EE24BA"/>
    <w:rsid w:val="00EE25D7"/>
    <w:rsid w:val="00EE25E1"/>
    <w:rsid w:val="00EE261C"/>
    <w:rsid w:val="00EE26AF"/>
    <w:rsid w:val="00EE26D9"/>
    <w:rsid w:val="00EE28F7"/>
    <w:rsid w:val="00EE29E8"/>
    <w:rsid w:val="00EE29EC"/>
    <w:rsid w:val="00EE2A0C"/>
    <w:rsid w:val="00EE2B30"/>
    <w:rsid w:val="00EE2B6F"/>
    <w:rsid w:val="00EE2C5A"/>
    <w:rsid w:val="00EE2D31"/>
    <w:rsid w:val="00EE2D9D"/>
    <w:rsid w:val="00EE2DDE"/>
    <w:rsid w:val="00EE2F17"/>
    <w:rsid w:val="00EE2F23"/>
    <w:rsid w:val="00EE30E9"/>
    <w:rsid w:val="00EE30EE"/>
    <w:rsid w:val="00EE31F3"/>
    <w:rsid w:val="00EE321C"/>
    <w:rsid w:val="00EE3228"/>
    <w:rsid w:val="00EE32A1"/>
    <w:rsid w:val="00EE32A4"/>
    <w:rsid w:val="00EE32C1"/>
    <w:rsid w:val="00EE32C4"/>
    <w:rsid w:val="00EE32CD"/>
    <w:rsid w:val="00EE3450"/>
    <w:rsid w:val="00EE34B8"/>
    <w:rsid w:val="00EE34DB"/>
    <w:rsid w:val="00EE3518"/>
    <w:rsid w:val="00EE3740"/>
    <w:rsid w:val="00EE3785"/>
    <w:rsid w:val="00EE37BF"/>
    <w:rsid w:val="00EE39FC"/>
    <w:rsid w:val="00EE3A15"/>
    <w:rsid w:val="00EE3A42"/>
    <w:rsid w:val="00EE3A55"/>
    <w:rsid w:val="00EE3B13"/>
    <w:rsid w:val="00EE3B54"/>
    <w:rsid w:val="00EE3C2E"/>
    <w:rsid w:val="00EE3CA7"/>
    <w:rsid w:val="00EE3CAD"/>
    <w:rsid w:val="00EE3CD2"/>
    <w:rsid w:val="00EE3CF5"/>
    <w:rsid w:val="00EE3DBC"/>
    <w:rsid w:val="00EE3DC3"/>
    <w:rsid w:val="00EE3ECF"/>
    <w:rsid w:val="00EE3EF7"/>
    <w:rsid w:val="00EE3F24"/>
    <w:rsid w:val="00EE3F2E"/>
    <w:rsid w:val="00EE3FD7"/>
    <w:rsid w:val="00EE4026"/>
    <w:rsid w:val="00EE41C1"/>
    <w:rsid w:val="00EE425B"/>
    <w:rsid w:val="00EE426B"/>
    <w:rsid w:val="00EE440F"/>
    <w:rsid w:val="00EE4497"/>
    <w:rsid w:val="00EE44D1"/>
    <w:rsid w:val="00EE450D"/>
    <w:rsid w:val="00EE454F"/>
    <w:rsid w:val="00EE455A"/>
    <w:rsid w:val="00EE464B"/>
    <w:rsid w:val="00EE46F6"/>
    <w:rsid w:val="00EE4702"/>
    <w:rsid w:val="00EE47C8"/>
    <w:rsid w:val="00EE480B"/>
    <w:rsid w:val="00EE4881"/>
    <w:rsid w:val="00EE4912"/>
    <w:rsid w:val="00EE4B64"/>
    <w:rsid w:val="00EE4BC5"/>
    <w:rsid w:val="00EE4C82"/>
    <w:rsid w:val="00EE4D75"/>
    <w:rsid w:val="00EE4D7D"/>
    <w:rsid w:val="00EE4DB2"/>
    <w:rsid w:val="00EE4E29"/>
    <w:rsid w:val="00EE4E75"/>
    <w:rsid w:val="00EE4EE7"/>
    <w:rsid w:val="00EE4EE9"/>
    <w:rsid w:val="00EE4F9B"/>
    <w:rsid w:val="00EE4FAB"/>
    <w:rsid w:val="00EE4FDC"/>
    <w:rsid w:val="00EE5018"/>
    <w:rsid w:val="00EE5062"/>
    <w:rsid w:val="00EE50A9"/>
    <w:rsid w:val="00EE50FE"/>
    <w:rsid w:val="00EE514E"/>
    <w:rsid w:val="00EE51E2"/>
    <w:rsid w:val="00EE51E4"/>
    <w:rsid w:val="00EE51F0"/>
    <w:rsid w:val="00EE5213"/>
    <w:rsid w:val="00EE52EF"/>
    <w:rsid w:val="00EE5498"/>
    <w:rsid w:val="00EE5554"/>
    <w:rsid w:val="00EE5577"/>
    <w:rsid w:val="00EE5605"/>
    <w:rsid w:val="00EE56AD"/>
    <w:rsid w:val="00EE56BB"/>
    <w:rsid w:val="00EE5701"/>
    <w:rsid w:val="00EE572E"/>
    <w:rsid w:val="00EE5754"/>
    <w:rsid w:val="00EE5779"/>
    <w:rsid w:val="00EE5792"/>
    <w:rsid w:val="00EE5889"/>
    <w:rsid w:val="00EE58F7"/>
    <w:rsid w:val="00EE59F9"/>
    <w:rsid w:val="00EE5A79"/>
    <w:rsid w:val="00EE5AC3"/>
    <w:rsid w:val="00EE5ADD"/>
    <w:rsid w:val="00EE5B76"/>
    <w:rsid w:val="00EE5D26"/>
    <w:rsid w:val="00EE5EEC"/>
    <w:rsid w:val="00EE5F21"/>
    <w:rsid w:val="00EE5F46"/>
    <w:rsid w:val="00EE5FCF"/>
    <w:rsid w:val="00EE5FF8"/>
    <w:rsid w:val="00EE60DA"/>
    <w:rsid w:val="00EE611B"/>
    <w:rsid w:val="00EE6124"/>
    <w:rsid w:val="00EE628F"/>
    <w:rsid w:val="00EE62B3"/>
    <w:rsid w:val="00EE62CE"/>
    <w:rsid w:val="00EE62D2"/>
    <w:rsid w:val="00EE641B"/>
    <w:rsid w:val="00EE64E1"/>
    <w:rsid w:val="00EE64E9"/>
    <w:rsid w:val="00EE6539"/>
    <w:rsid w:val="00EE6550"/>
    <w:rsid w:val="00EE6558"/>
    <w:rsid w:val="00EE658C"/>
    <w:rsid w:val="00EE65E3"/>
    <w:rsid w:val="00EE669A"/>
    <w:rsid w:val="00EE67DC"/>
    <w:rsid w:val="00EE68A6"/>
    <w:rsid w:val="00EE68D2"/>
    <w:rsid w:val="00EE68EC"/>
    <w:rsid w:val="00EE6A81"/>
    <w:rsid w:val="00EE6AD0"/>
    <w:rsid w:val="00EE6B35"/>
    <w:rsid w:val="00EE6B78"/>
    <w:rsid w:val="00EE6C9E"/>
    <w:rsid w:val="00EE6E22"/>
    <w:rsid w:val="00EE6E4F"/>
    <w:rsid w:val="00EE7012"/>
    <w:rsid w:val="00EE70B7"/>
    <w:rsid w:val="00EE70CE"/>
    <w:rsid w:val="00EE714B"/>
    <w:rsid w:val="00EE71EC"/>
    <w:rsid w:val="00EE723D"/>
    <w:rsid w:val="00EE7253"/>
    <w:rsid w:val="00EE72EB"/>
    <w:rsid w:val="00EE72FD"/>
    <w:rsid w:val="00EE7311"/>
    <w:rsid w:val="00EE739B"/>
    <w:rsid w:val="00EE7404"/>
    <w:rsid w:val="00EE747F"/>
    <w:rsid w:val="00EE750B"/>
    <w:rsid w:val="00EE779A"/>
    <w:rsid w:val="00EE77E9"/>
    <w:rsid w:val="00EE7868"/>
    <w:rsid w:val="00EE7874"/>
    <w:rsid w:val="00EE787F"/>
    <w:rsid w:val="00EE792D"/>
    <w:rsid w:val="00EE799C"/>
    <w:rsid w:val="00EE7A34"/>
    <w:rsid w:val="00EE7AE7"/>
    <w:rsid w:val="00EE7B1D"/>
    <w:rsid w:val="00EE7B3F"/>
    <w:rsid w:val="00EE7C4D"/>
    <w:rsid w:val="00EE7D66"/>
    <w:rsid w:val="00EE7DBE"/>
    <w:rsid w:val="00EE7DBF"/>
    <w:rsid w:val="00EE7F79"/>
    <w:rsid w:val="00EF00BE"/>
    <w:rsid w:val="00EF00E1"/>
    <w:rsid w:val="00EF0194"/>
    <w:rsid w:val="00EF0378"/>
    <w:rsid w:val="00EF0396"/>
    <w:rsid w:val="00EF042B"/>
    <w:rsid w:val="00EF0456"/>
    <w:rsid w:val="00EF0559"/>
    <w:rsid w:val="00EF0628"/>
    <w:rsid w:val="00EF0799"/>
    <w:rsid w:val="00EF07D0"/>
    <w:rsid w:val="00EF081B"/>
    <w:rsid w:val="00EF081C"/>
    <w:rsid w:val="00EF085E"/>
    <w:rsid w:val="00EF08EE"/>
    <w:rsid w:val="00EF095D"/>
    <w:rsid w:val="00EF0A2B"/>
    <w:rsid w:val="00EF0B67"/>
    <w:rsid w:val="00EF0BD2"/>
    <w:rsid w:val="00EF0BF1"/>
    <w:rsid w:val="00EF0CA7"/>
    <w:rsid w:val="00EF0CBB"/>
    <w:rsid w:val="00EF0CC9"/>
    <w:rsid w:val="00EF0D42"/>
    <w:rsid w:val="00EF0D8C"/>
    <w:rsid w:val="00EF0DC1"/>
    <w:rsid w:val="00EF0F4C"/>
    <w:rsid w:val="00EF0F64"/>
    <w:rsid w:val="00EF0F9A"/>
    <w:rsid w:val="00EF0FC0"/>
    <w:rsid w:val="00EF1003"/>
    <w:rsid w:val="00EF1011"/>
    <w:rsid w:val="00EF10B6"/>
    <w:rsid w:val="00EF10F6"/>
    <w:rsid w:val="00EF1145"/>
    <w:rsid w:val="00EF1184"/>
    <w:rsid w:val="00EF1186"/>
    <w:rsid w:val="00EF12F9"/>
    <w:rsid w:val="00EF1395"/>
    <w:rsid w:val="00EF14DC"/>
    <w:rsid w:val="00EF1525"/>
    <w:rsid w:val="00EF1533"/>
    <w:rsid w:val="00EF1534"/>
    <w:rsid w:val="00EF15EB"/>
    <w:rsid w:val="00EF15F9"/>
    <w:rsid w:val="00EF1611"/>
    <w:rsid w:val="00EF163D"/>
    <w:rsid w:val="00EF1714"/>
    <w:rsid w:val="00EF1751"/>
    <w:rsid w:val="00EF17A6"/>
    <w:rsid w:val="00EF181F"/>
    <w:rsid w:val="00EF195F"/>
    <w:rsid w:val="00EF1A0E"/>
    <w:rsid w:val="00EF1B44"/>
    <w:rsid w:val="00EF1BE5"/>
    <w:rsid w:val="00EF1C35"/>
    <w:rsid w:val="00EF1C5B"/>
    <w:rsid w:val="00EF1D40"/>
    <w:rsid w:val="00EF1DEF"/>
    <w:rsid w:val="00EF1E33"/>
    <w:rsid w:val="00EF1E4C"/>
    <w:rsid w:val="00EF1E80"/>
    <w:rsid w:val="00EF1F06"/>
    <w:rsid w:val="00EF1FB8"/>
    <w:rsid w:val="00EF1FBE"/>
    <w:rsid w:val="00EF1FFE"/>
    <w:rsid w:val="00EF2003"/>
    <w:rsid w:val="00EF2072"/>
    <w:rsid w:val="00EF2162"/>
    <w:rsid w:val="00EF21E3"/>
    <w:rsid w:val="00EF2264"/>
    <w:rsid w:val="00EF2282"/>
    <w:rsid w:val="00EF2294"/>
    <w:rsid w:val="00EF234D"/>
    <w:rsid w:val="00EF23E3"/>
    <w:rsid w:val="00EF241B"/>
    <w:rsid w:val="00EF2422"/>
    <w:rsid w:val="00EF24E7"/>
    <w:rsid w:val="00EF258E"/>
    <w:rsid w:val="00EF26B2"/>
    <w:rsid w:val="00EF2725"/>
    <w:rsid w:val="00EF276F"/>
    <w:rsid w:val="00EF27C8"/>
    <w:rsid w:val="00EF286A"/>
    <w:rsid w:val="00EF28DA"/>
    <w:rsid w:val="00EF2939"/>
    <w:rsid w:val="00EF2950"/>
    <w:rsid w:val="00EF295C"/>
    <w:rsid w:val="00EF2AA1"/>
    <w:rsid w:val="00EF2ADE"/>
    <w:rsid w:val="00EF2B58"/>
    <w:rsid w:val="00EF2BB7"/>
    <w:rsid w:val="00EF2C57"/>
    <w:rsid w:val="00EF2DCD"/>
    <w:rsid w:val="00EF2E3A"/>
    <w:rsid w:val="00EF2E44"/>
    <w:rsid w:val="00EF2F2D"/>
    <w:rsid w:val="00EF2F9B"/>
    <w:rsid w:val="00EF3006"/>
    <w:rsid w:val="00EF3045"/>
    <w:rsid w:val="00EF3048"/>
    <w:rsid w:val="00EF30DE"/>
    <w:rsid w:val="00EF311F"/>
    <w:rsid w:val="00EF3129"/>
    <w:rsid w:val="00EF312F"/>
    <w:rsid w:val="00EF32B8"/>
    <w:rsid w:val="00EF32EE"/>
    <w:rsid w:val="00EF3350"/>
    <w:rsid w:val="00EF3381"/>
    <w:rsid w:val="00EF3393"/>
    <w:rsid w:val="00EF3470"/>
    <w:rsid w:val="00EF34D2"/>
    <w:rsid w:val="00EF3529"/>
    <w:rsid w:val="00EF359C"/>
    <w:rsid w:val="00EF3609"/>
    <w:rsid w:val="00EF3686"/>
    <w:rsid w:val="00EF3720"/>
    <w:rsid w:val="00EF37C3"/>
    <w:rsid w:val="00EF390E"/>
    <w:rsid w:val="00EF396E"/>
    <w:rsid w:val="00EF39F1"/>
    <w:rsid w:val="00EF39FC"/>
    <w:rsid w:val="00EF3A30"/>
    <w:rsid w:val="00EF3B86"/>
    <w:rsid w:val="00EF3B88"/>
    <w:rsid w:val="00EF3BAF"/>
    <w:rsid w:val="00EF3CD2"/>
    <w:rsid w:val="00EF3D5B"/>
    <w:rsid w:val="00EF3D8C"/>
    <w:rsid w:val="00EF3E04"/>
    <w:rsid w:val="00EF3E39"/>
    <w:rsid w:val="00EF3E6E"/>
    <w:rsid w:val="00EF3F8C"/>
    <w:rsid w:val="00EF3FA7"/>
    <w:rsid w:val="00EF4120"/>
    <w:rsid w:val="00EF4157"/>
    <w:rsid w:val="00EF41A2"/>
    <w:rsid w:val="00EF41C5"/>
    <w:rsid w:val="00EF42C6"/>
    <w:rsid w:val="00EF42E6"/>
    <w:rsid w:val="00EF435A"/>
    <w:rsid w:val="00EF4380"/>
    <w:rsid w:val="00EF43BD"/>
    <w:rsid w:val="00EF4421"/>
    <w:rsid w:val="00EF4508"/>
    <w:rsid w:val="00EF4549"/>
    <w:rsid w:val="00EF4618"/>
    <w:rsid w:val="00EF4675"/>
    <w:rsid w:val="00EF4678"/>
    <w:rsid w:val="00EF46C3"/>
    <w:rsid w:val="00EF4736"/>
    <w:rsid w:val="00EF4944"/>
    <w:rsid w:val="00EF4ACF"/>
    <w:rsid w:val="00EF4C41"/>
    <w:rsid w:val="00EF4C71"/>
    <w:rsid w:val="00EF4C86"/>
    <w:rsid w:val="00EF4CE2"/>
    <w:rsid w:val="00EF4D12"/>
    <w:rsid w:val="00EF4D7F"/>
    <w:rsid w:val="00EF4DD4"/>
    <w:rsid w:val="00EF4E07"/>
    <w:rsid w:val="00EF4EA7"/>
    <w:rsid w:val="00EF4EAC"/>
    <w:rsid w:val="00EF4EB9"/>
    <w:rsid w:val="00EF4FC4"/>
    <w:rsid w:val="00EF4FC5"/>
    <w:rsid w:val="00EF5021"/>
    <w:rsid w:val="00EF5032"/>
    <w:rsid w:val="00EF515D"/>
    <w:rsid w:val="00EF518F"/>
    <w:rsid w:val="00EF51A9"/>
    <w:rsid w:val="00EF51E9"/>
    <w:rsid w:val="00EF52A3"/>
    <w:rsid w:val="00EF53C6"/>
    <w:rsid w:val="00EF53E9"/>
    <w:rsid w:val="00EF5587"/>
    <w:rsid w:val="00EF56BF"/>
    <w:rsid w:val="00EF570A"/>
    <w:rsid w:val="00EF573C"/>
    <w:rsid w:val="00EF577C"/>
    <w:rsid w:val="00EF5825"/>
    <w:rsid w:val="00EF5849"/>
    <w:rsid w:val="00EF588E"/>
    <w:rsid w:val="00EF58BE"/>
    <w:rsid w:val="00EF5922"/>
    <w:rsid w:val="00EF5967"/>
    <w:rsid w:val="00EF5991"/>
    <w:rsid w:val="00EF59E5"/>
    <w:rsid w:val="00EF5A8C"/>
    <w:rsid w:val="00EF5B1F"/>
    <w:rsid w:val="00EF5BA4"/>
    <w:rsid w:val="00EF5BF3"/>
    <w:rsid w:val="00EF5C40"/>
    <w:rsid w:val="00EF5CF2"/>
    <w:rsid w:val="00EF5CF6"/>
    <w:rsid w:val="00EF5D05"/>
    <w:rsid w:val="00EF5DB7"/>
    <w:rsid w:val="00EF5DDE"/>
    <w:rsid w:val="00EF5ECD"/>
    <w:rsid w:val="00EF5F10"/>
    <w:rsid w:val="00EF5FA8"/>
    <w:rsid w:val="00EF5FC3"/>
    <w:rsid w:val="00EF605C"/>
    <w:rsid w:val="00EF60D6"/>
    <w:rsid w:val="00EF6110"/>
    <w:rsid w:val="00EF611C"/>
    <w:rsid w:val="00EF6127"/>
    <w:rsid w:val="00EF61BE"/>
    <w:rsid w:val="00EF622A"/>
    <w:rsid w:val="00EF626B"/>
    <w:rsid w:val="00EF6374"/>
    <w:rsid w:val="00EF6376"/>
    <w:rsid w:val="00EF6388"/>
    <w:rsid w:val="00EF63AE"/>
    <w:rsid w:val="00EF640C"/>
    <w:rsid w:val="00EF642D"/>
    <w:rsid w:val="00EF6438"/>
    <w:rsid w:val="00EF648B"/>
    <w:rsid w:val="00EF64D5"/>
    <w:rsid w:val="00EF64FB"/>
    <w:rsid w:val="00EF6578"/>
    <w:rsid w:val="00EF6661"/>
    <w:rsid w:val="00EF66B9"/>
    <w:rsid w:val="00EF66FE"/>
    <w:rsid w:val="00EF6715"/>
    <w:rsid w:val="00EF67A4"/>
    <w:rsid w:val="00EF67C1"/>
    <w:rsid w:val="00EF6831"/>
    <w:rsid w:val="00EF68C4"/>
    <w:rsid w:val="00EF68D5"/>
    <w:rsid w:val="00EF6968"/>
    <w:rsid w:val="00EF6A59"/>
    <w:rsid w:val="00EF6AA8"/>
    <w:rsid w:val="00EF6AF5"/>
    <w:rsid w:val="00EF6B71"/>
    <w:rsid w:val="00EF6BD5"/>
    <w:rsid w:val="00EF6C33"/>
    <w:rsid w:val="00EF6C93"/>
    <w:rsid w:val="00EF6E1B"/>
    <w:rsid w:val="00EF6E8E"/>
    <w:rsid w:val="00EF6EFD"/>
    <w:rsid w:val="00EF6F28"/>
    <w:rsid w:val="00EF6FF9"/>
    <w:rsid w:val="00EF7007"/>
    <w:rsid w:val="00EF7046"/>
    <w:rsid w:val="00EF7052"/>
    <w:rsid w:val="00EF7073"/>
    <w:rsid w:val="00EF709B"/>
    <w:rsid w:val="00EF71B1"/>
    <w:rsid w:val="00EF71C5"/>
    <w:rsid w:val="00EF71CC"/>
    <w:rsid w:val="00EF7314"/>
    <w:rsid w:val="00EF739C"/>
    <w:rsid w:val="00EF73C7"/>
    <w:rsid w:val="00EF73E7"/>
    <w:rsid w:val="00EF742D"/>
    <w:rsid w:val="00EF7476"/>
    <w:rsid w:val="00EF74A7"/>
    <w:rsid w:val="00EF75C7"/>
    <w:rsid w:val="00EF75D8"/>
    <w:rsid w:val="00EF765E"/>
    <w:rsid w:val="00EF7667"/>
    <w:rsid w:val="00EF7686"/>
    <w:rsid w:val="00EF76BD"/>
    <w:rsid w:val="00EF7772"/>
    <w:rsid w:val="00EF7781"/>
    <w:rsid w:val="00EF77AE"/>
    <w:rsid w:val="00EF785F"/>
    <w:rsid w:val="00EF788F"/>
    <w:rsid w:val="00EF78A4"/>
    <w:rsid w:val="00EF794D"/>
    <w:rsid w:val="00EF7B00"/>
    <w:rsid w:val="00EF7BD1"/>
    <w:rsid w:val="00EF7BF0"/>
    <w:rsid w:val="00EF7C9F"/>
    <w:rsid w:val="00EF7DBA"/>
    <w:rsid w:val="00EF7E62"/>
    <w:rsid w:val="00EF7E91"/>
    <w:rsid w:val="00EF7F04"/>
    <w:rsid w:val="00EF7FE1"/>
    <w:rsid w:val="00F00014"/>
    <w:rsid w:val="00F00031"/>
    <w:rsid w:val="00F00082"/>
    <w:rsid w:val="00F00086"/>
    <w:rsid w:val="00F000B7"/>
    <w:rsid w:val="00F000CA"/>
    <w:rsid w:val="00F001F8"/>
    <w:rsid w:val="00F0030B"/>
    <w:rsid w:val="00F00348"/>
    <w:rsid w:val="00F00360"/>
    <w:rsid w:val="00F003D9"/>
    <w:rsid w:val="00F00430"/>
    <w:rsid w:val="00F004FB"/>
    <w:rsid w:val="00F00556"/>
    <w:rsid w:val="00F00592"/>
    <w:rsid w:val="00F005B2"/>
    <w:rsid w:val="00F00613"/>
    <w:rsid w:val="00F00652"/>
    <w:rsid w:val="00F00664"/>
    <w:rsid w:val="00F0066F"/>
    <w:rsid w:val="00F0069A"/>
    <w:rsid w:val="00F006BD"/>
    <w:rsid w:val="00F006C2"/>
    <w:rsid w:val="00F0079A"/>
    <w:rsid w:val="00F00821"/>
    <w:rsid w:val="00F00832"/>
    <w:rsid w:val="00F008C8"/>
    <w:rsid w:val="00F008D1"/>
    <w:rsid w:val="00F009E8"/>
    <w:rsid w:val="00F00AB0"/>
    <w:rsid w:val="00F00AC5"/>
    <w:rsid w:val="00F00AFD"/>
    <w:rsid w:val="00F00B1F"/>
    <w:rsid w:val="00F00B85"/>
    <w:rsid w:val="00F00C87"/>
    <w:rsid w:val="00F00DFB"/>
    <w:rsid w:val="00F00F26"/>
    <w:rsid w:val="00F00FC4"/>
    <w:rsid w:val="00F00FF5"/>
    <w:rsid w:val="00F01021"/>
    <w:rsid w:val="00F010FF"/>
    <w:rsid w:val="00F01115"/>
    <w:rsid w:val="00F01134"/>
    <w:rsid w:val="00F011A8"/>
    <w:rsid w:val="00F01224"/>
    <w:rsid w:val="00F01227"/>
    <w:rsid w:val="00F01400"/>
    <w:rsid w:val="00F0145C"/>
    <w:rsid w:val="00F01475"/>
    <w:rsid w:val="00F014CD"/>
    <w:rsid w:val="00F015DC"/>
    <w:rsid w:val="00F01619"/>
    <w:rsid w:val="00F01629"/>
    <w:rsid w:val="00F0165C"/>
    <w:rsid w:val="00F01664"/>
    <w:rsid w:val="00F016B2"/>
    <w:rsid w:val="00F016B3"/>
    <w:rsid w:val="00F017FA"/>
    <w:rsid w:val="00F01853"/>
    <w:rsid w:val="00F0188C"/>
    <w:rsid w:val="00F018E3"/>
    <w:rsid w:val="00F01923"/>
    <w:rsid w:val="00F01946"/>
    <w:rsid w:val="00F01A0F"/>
    <w:rsid w:val="00F01A1E"/>
    <w:rsid w:val="00F01D3F"/>
    <w:rsid w:val="00F01E3F"/>
    <w:rsid w:val="00F01EB1"/>
    <w:rsid w:val="00F01F11"/>
    <w:rsid w:val="00F01F51"/>
    <w:rsid w:val="00F01F83"/>
    <w:rsid w:val="00F01FA5"/>
    <w:rsid w:val="00F01FF0"/>
    <w:rsid w:val="00F0200C"/>
    <w:rsid w:val="00F020E9"/>
    <w:rsid w:val="00F021FE"/>
    <w:rsid w:val="00F02209"/>
    <w:rsid w:val="00F02270"/>
    <w:rsid w:val="00F0238A"/>
    <w:rsid w:val="00F023E4"/>
    <w:rsid w:val="00F023FD"/>
    <w:rsid w:val="00F02522"/>
    <w:rsid w:val="00F02650"/>
    <w:rsid w:val="00F026FC"/>
    <w:rsid w:val="00F0272F"/>
    <w:rsid w:val="00F0278F"/>
    <w:rsid w:val="00F02925"/>
    <w:rsid w:val="00F02928"/>
    <w:rsid w:val="00F029F9"/>
    <w:rsid w:val="00F02A78"/>
    <w:rsid w:val="00F02AA5"/>
    <w:rsid w:val="00F02AED"/>
    <w:rsid w:val="00F02B2D"/>
    <w:rsid w:val="00F02B6B"/>
    <w:rsid w:val="00F02BB6"/>
    <w:rsid w:val="00F02CF1"/>
    <w:rsid w:val="00F02D55"/>
    <w:rsid w:val="00F02D74"/>
    <w:rsid w:val="00F02DD0"/>
    <w:rsid w:val="00F02DF8"/>
    <w:rsid w:val="00F02E5A"/>
    <w:rsid w:val="00F02F04"/>
    <w:rsid w:val="00F03224"/>
    <w:rsid w:val="00F03294"/>
    <w:rsid w:val="00F03381"/>
    <w:rsid w:val="00F03430"/>
    <w:rsid w:val="00F034DC"/>
    <w:rsid w:val="00F03512"/>
    <w:rsid w:val="00F035B9"/>
    <w:rsid w:val="00F0360E"/>
    <w:rsid w:val="00F03667"/>
    <w:rsid w:val="00F03720"/>
    <w:rsid w:val="00F03725"/>
    <w:rsid w:val="00F038AB"/>
    <w:rsid w:val="00F038F6"/>
    <w:rsid w:val="00F0397C"/>
    <w:rsid w:val="00F039AE"/>
    <w:rsid w:val="00F039BC"/>
    <w:rsid w:val="00F039BE"/>
    <w:rsid w:val="00F039FF"/>
    <w:rsid w:val="00F03ACC"/>
    <w:rsid w:val="00F03B71"/>
    <w:rsid w:val="00F03C3C"/>
    <w:rsid w:val="00F03C4E"/>
    <w:rsid w:val="00F03C99"/>
    <w:rsid w:val="00F03CDF"/>
    <w:rsid w:val="00F03D18"/>
    <w:rsid w:val="00F03D23"/>
    <w:rsid w:val="00F03E9D"/>
    <w:rsid w:val="00F03F08"/>
    <w:rsid w:val="00F040AE"/>
    <w:rsid w:val="00F0410D"/>
    <w:rsid w:val="00F04131"/>
    <w:rsid w:val="00F04189"/>
    <w:rsid w:val="00F04222"/>
    <w:rsid w:val="00F042BE"/>
    <w:rsid w:val="00F042E7"/>
    <w:rsid w:val="00F04394"/>
    <w:rsid w:val="00F04435"/>
    <w:rsid w:val="00F044F8"/>
    <w:rsid w:val="00F04517"/>
    <w:rsid w:val="00F045AB"/>
    <w:rsid w:val="00F04623"/>
    <w:rsid w:val="00F0468A"/>
    <w:rsid w:val="00F04750"/>
    <w:rsid w:val="00F04769"/>
    <w:rsid w:val="00F04910"/>
    <w:rsid w:val="00F04930"/>
    <w:rsid w:val="00F04A42"/>
    <w:rsid w:val="00F04C80"/>
    <w:rsid w:val="00F04C89"/>
    <w:rsid w:val="00F04D12"/>
    <w:rsid w:val="00F04D6D"/>
    <w:rsid w:val="00F04DCB"/>
    <w:rsid w:val="00F04DEA"/>
    <w:rsid w:val="00F04E07"/>
    <w:rsid w:val="00F04E28"/>
    <w:rsid w:val="00F04E5F"/>
    <w:rsid w:val="00F04EAC"/>
    <w:rsid w:val="00F04EBF"/>
    <w:rsid w:val="00F04EF3"/>
    <w:rsid w:val="00F04F1B"/>
    <w:rsid w:val="00F04FB7"/>
    <w:rsid w:val="00F04FE4"/>
    <w:rsid w:val="00F050EE"/>
    <w:rsid w:val="00F050F4"/>
    <w:rsid w:val="00F051DF"/>
    <w:rsid w:val="00F0521F"/>
    <w:rsid w:val="00F0525B"/>
    <w:rsid w:val="00F05285"/>
    <w:rsid w:val="00F052EB"/>
    <w:rsid w:val="00F0536A"/>
    <w:rsid w:val="00F0537D"/>
    <w:rsid w:val="00F05484"/>
    <w:rsid w:val="00F054A1"/>
    <w:rsid w:val="00F055A9"/>
    <w:rsid w:val="00F055EC"/>
    <w:rsid w:val="00F05663"/>
    <w:rsid w:val="00F0571A"/>
    <w:rsid w:val="00F05731"/>
    <w:rsid w:val="00F05766"/>
    <w:rsid w:val="00F0578F"/>
    <w:rsid w:val="00F0579B"/>
    <w:rsid w:val="00F057EF"/>
    <w:rsid w:val="00F0580A"/>
    <w:rsid w:val="00F058BF"/>
    <w:rsid w:val="00F058C6"/>
    <w:rsid w:val="00F058D9"/>
    <w:rsid w:val="00F058DF"/>
    <w:rsid w:val="00F058F5"/>
    <w:rsid w:val="00F05978"/>
    <w:rsid w:val="00F05A26"/>
    <w:rsid w:val="00F05A8C"/>
    <w:rsid w:val="00F05B11"/>
    <w:rsid w:val="00F05B8F"/>
    <w:rsid w:val="00F05B98"/>
    <w:rsid w:val="00F05C41"/>
    <w:rsid w:val="00F05D13"/>
    <w:rsid w:val="00F05DF4"/>
    <w:rsid w:val="00F05E0A"/>
    <w:rsid w:val="00F05E6E"/>
    <w:rsid w:val="00F05F02"/>
    <w:rsid w:val="00F05F29"/>
    <w:rsid w:val="00F05F77"/>
    <w:rsid w:val="00F06064"/>
    <w:rsid w:val="00F06074"/>
    <w:rsid w:val="00F0607E"/>
    <w:rsid w:val="00F06199"/>
    <w:rsid w:val="00F0635D"/>
    <w:rsid w:val="00F06394"/>
    <w:rsid w:val="00F06413"/>
    <w:rsid w:val="00F0643E"/>
    <w:rsid w:val="00F0645A"/>
    <w:rsid w:val="00F064D3"/>
    <w:rsid w:val="00F064D7"/>
    <w:rsid w:val="00F064E2"/>
    <w:rsid w:val="00F064EF"/>
    <w:rsid w:val="00F0654E"/>
    <w:rsid w:val="00F06673"/>
    <w:rsid w:val="00F069B9"/>
    <w:rsid w:val="00F06B69"/>
    <w:rsid w:val="00F06CD8"/>
    <w:rsid w:val="00F06CE2"/>
    <w:rsid w:val="00F06D85"/>
    <w:rsid w:val="00F06DE3"/>
    <w:rsid w:val="00F06DF3"/>
    <w:rsid w:val="00F06ECE"/>
    <w:rsid w:val="00F06F1A"/>
    <w:rsid w:val="00F07077"/>
    <w:rsid w:val="00F070FA"/>
    <w:rsid w:val="00F071A1"/>
    <w:rsid w:val="00F071B1"/>
    <w:rsid w:val="00F071C8"/>
    <w:rsid w:val="00F072B9"/>
    <w:rsid w:val="00F073E7"/>
    <w:rsid w:val="00F0741F"/>
    <w:rsid w:val="00F07435"/>
    <w:rsid w:val="00F07496"/>
    <w:rsid w:val="00F074AB"/>
    <w:rsid w:val="00F07529"/>
    <w:rsid w:val="00F0754C"/>
    <w:rsid w:val="00F0764C"/>
    <w:rsid w:val="00F076D9"/>
    <w:rsid w:val="00F0771D"/>
    <w:rsid w:val="00F07789"/>
    <w:rsid w:val="00F077A4"/>
    <w:rsid w:val="00F077BC"/>
    <w:rsid w:val="00F078A1"/>
    <w:rsid w:val="00F07924"/>
    <w:rsid w:val="00F0795E"/>
    <w:rsid w:val="00F079DF"/>
    <w:rsid w:val="00F07D74"/>
    <w:rsid w:val="00F07E1F"/>
    <w:rsid w:val="00F07E91"/>
    <w:rsid w:val="00F07EA0"/>
    <w:rsid w:val="00F07EC3"/>
    <w:rsid w:val="00F07ED8"/>
    <w:rsid w:val="00F07F41"/>
    <w:rsid w:val="00F07F43"/>
    <w:rsid w:val="00F07F9B"/>
    <w:rsid w:val="00F07FBB"/>
    <w:rsid w:val="00F10179"/>
    <w:rsid w:val="00F10185"/>
    <w:rsid w:val="00F102F8"/>
    <w:rsid w:val="00F1035A"/>
    <w:rsid w:val="00F10492"/>
    <w:rsid w:val="00F105E0"/>
    <w:rsid w:val="00F10632"/>
    <w:rsid w:val="00F1069B"/>
    <w:rsid w:val="00F106F2"/>
    <w:rsid w:val="00F1075F"/>
    <w:rsid w:val="00F10797"/>
    <w:rsid w:val="00F107FB"/>
    <w:rsid w:val="00F1083E"/>
    <w:rsid w:val="00F10863"/>
    <w:rsid w:val="00F10873"/>
    <w:rsid w:val="00F108F2"/>
    <w:rsid w:val="00F10938"/>
    <w:rsid w:val="00F10956"/>
    <w:rsid w:val="00F109B2"/>
    <w:rsid w:val="00F10B70"/>
    <w:rsid w:val="00F10B73"/>
    <w:rsid w:val="00F10C01"/>
    <w:rsid w:val="00F10C5F"/>
    <w:rsid w:val="00F10CA6"/>
    <w:rsid w:val="00F10CC8"/>
    <w:rsid w:val="00F10DF4"/>
    <w:rsid w:val="00F10EDD"/>
    <w:rsid w:val="00F10EE1"/>
    <w:rsid w:val="00F10F45"/>
    <w:rsid w:val="00F10F9E"/>
    <w:rsid w:val="00F11128"/>
    <w:rsid w:val="00F11151"/>
    <w:rsid w:val="00F111AB"/>
    <w:rsid w:val="00F1130B"/>
    <w:rsid w:val="00F1131D"/>
    <w:rsid w:val="00F1132D"/>
    <w:rsid w:val="00F1133D"/>
    <w:rsid w:val="00F113C4"/>
    <w:rsid w:val="00F1144E"/>
    <w:rsid w:val="00F11474"/>
    <w:rsid w:val="00F11576"/>
    <w:rsid w:val="00F11603"/>
    <w:rsid w:val="00F11626"/>
    <w:rsid w:val="00F11644"/>
    <w:rsid w:val="00F11646"/>
    <w:rsid w:val="00F1166A"/>
    <w:rsid w:val="00F117C1"/>
    <w:rsid w:val="00F11818"/>
    <w:rsid w:val="00F118A4"/>
    <w:rsid w:val="00F118D3"/>
    <w:rsid w:val="00F118D7"/>
    <w:rsid w:val="00F118EC"/>
    <w:rsid w:val="00F118EF"/>
    <w:rsid w:val="00F11989"/>
    <w:rsid w:val="00F11A02"/>
    <w:rsid w:val="00F11A08"/>
    <w:rsid w:val="00F11A8B"/>
    <w:rsid w:val="00F11B9A"/>
    <w:rsid w:val="00F11BDA"/>
    <w:rsid w:val="00F11CD3"/>
    <w:rsid w:val="00F11D17"/>
    <w:rsid w:val="00F11D58"/>
    <w:rsid w:val="00F11DB7"/>
    <w:rsid w:val="00F11E10"/>
    <w:rsid w:val="00F11E23"/>
    <w:rsid w:val="00F11E81"/>
    <w:rsid w:val="00F11EF8"/>
    <w:rsid w:val="00F11F1F"/>
    <w:rsid w:val="00F12002"/>
    <w:rsid w:val="00F12047"/>
    <w:rsid w:val="00F1206A"/>
    <w:rsid w:val="00F1206B"/>
    <w:rsid w:val="00F120C4"/>
    <w:rsid w:val="00F1216B"/>
    <w:rsid w:val="00F12288"/>
    <w:rsid w:val="00F122D4"/>
    <w:rsid w:val="00F1231E"/>
    <w:rsid w:val="00F12336"/>
    <w:rsid w:val="00F1233C"/>
    <w:rsid w:val="00F1241F"/>
    <w:rsid w:val="00F124C1"/>
    <w:rsid w:val="00F124E9"/>
    <w:rsid w:val="00F12618"/>
    <w:rsid w:val="00F126F4"/>
    <w:rsid w:val="00F1274A"/>
    <w:rsid w:val="00F1277F"/>
    <w:rsid w:val="00F12802"/>
    <w:rsid w:val="00F1287D"/>
    <w:rsid w:val="00F128A1"/>
    <w:rsid w:val="00F128DC"/>
    <w:rsid w:val="00F129F9"/>
    <w:rsid w:val="00F12AAC"/>
    <w:rsid w:val="00F12B21"/>
    <w:rsid w:val="00F12B69"/>
    <w:rsid w:val="00F12C05"/>
    <w:rsid w:val="00F12C27"/>
    <w:rsid w:val="00F12C8B"/>
    <w:rsid w:val="00F12C9F"/>
    <w:rsid w:val="00F12D53"/>
    <w:rsid w:val="00F12D7B"/>
    <w:rsid w:val="00F12DE0"/>
    <w:rsid w:val="00F12E2B"/>
    <w:rsid w:val="00F12E2D"/>
    <w:rsid w:val="00F12EB8"/>
    <w:rsid w:val="00F12F7E"/>
    <w:rsid w:val="00F13013"/>
    <w:rsid w:val="00F1304E"/>
    <w:rsid w:val="00F130F9"/>
    <w:rsid w:val="00F13129"/>
    <w:rsid w:val="00F13158"/>
    <w:rsid w:val="00F13164"/>
    <w:rsid w:val="00F131A8"/>
    <w:rsid w:val="00F132D3"/>
    <w:rsid w:val="00F1332F"/>
    <w:rsid w:val="00F13396"/>
    <w:rsid w:val="00F133FD"/>
    <w:rsid w:val="00F13414"/>
    <w:rsid w:val="00F134AE"/>
    <w:rsid w:val="00F134D1"/>
    <w:rsid w:val="00F13505"/>
    <w:rsid w:val="00F13599"/>
    <w:rsid w:val="00F135CA"/>
    <w:rsid w:val="00F13639"/>
    <w:rsid w:val="00F136DB"/>
    <w:rsid w:val="00F137F3"/>
    <w:rsid w:val="00F13834"/>
    <w:rsid w:val="00F13952"/>
    <w:rsid w:val="00F13B4D"/>
    <w:rsid w:val="00F13B6E"/>
    <w:rsid w:val="00F13B7E"/>
    <w:rsid w:val="00F13C30"/>
    <w:rsid w:val="00F13C8B"/>
    <w:rsid w:val="00F13C95"/>
    <w:rsid w:val="00F13D0C"/>
    <w:rsid w:val="00F13D12"/>
    <w:rsid w:val="00F13D24"/>
    <w:rsid w:val="00F13D37"/>
    <w:rsid w:val="00F13D57"/>
    <w:rsid w:val="00F13D8F"/>
    <w:rsid w:val="00F13E18"/>
    <w:rsid w:val="00F13F32"/>
    <w:rsid w:val="00F13F36"/>
    <w:rsid w:val="00F13FC3"/>
    <w:rsid w:val="00F13FEB"/>
    <w:rsid w:val="00F14185"/>
    <w:rsid w:val="00F142BF"/>
    <w:rsid w:val="00F14398"/>
    <w:rsid w:val="00F1447B"/>
    <w:rsid w:val="00F1449B"/>
    <w:rsid w:val="00F144A1"/>
    <w:rsid w:val="00F14598"/>
    <w:rsid w:val="00F147D2"/>
    <w:rsid w:val="00F147E7"/>
    <w:rsid w:val="00F14822"/>
    <w:rsid w:val="00F14834"/>
    <w:rsid w:val="00F148BC"/>
    <w:rsid w:val="00F148CC"/>
    <w:rsid w:val="00F148CD"/>
    <w:rsid w:val="00F14904"/>
    <w:rsid w:val="00F149CF"/>
    <w:rsid w:val="00F14A06"/>
    <w:rsid w:val="00F14A32"/>
    <w:rsid w:val="00F14AEC"/>
    <w:rsid w:val="00F14AF4"/>
    <w:rsid w:val="00F14AF8"/>
    <w:rsid w:val="00F14AFD"/>
    <w:rsid w:val="00F14B9C"/>
    <w:rsid w:val="00F14C8C"/>
    <w:rsid w:val="00F14CC3"/>
    <w:rsid w:val="00F14D54"/>
    <w:rsid w:val="00F14E24"/>
    <w:rsid w:val="00F14E4C"/>
    <w:rsid w:val="00F14E80"/>
    <w:rsid w:val="00F14F29"/>
    <w:rsid w:val="00F14F32"/>
    <w:rsid w:val="00F14FB7"/>
    <w:rsid w:val="00F14FDA"/>
    <w:rsid w:val="00F14FFE"/>
    <w:rsid w:val="00F15082"/>
    <w:rsid w:val="00F1523E"/>
    <w:rsid w:val="00F15268"/>
    <w:rsid w:val="00F152C7"/>
    <w:rsid w:val="00F15388"/>
    <w:rsid w:val="00F15435"/>
    <w:rsid w:val="00F1545A"/>
    <w:rsid w:val="00F15607"/>
    <w:rsid w:val="00F1560F"/>
    <w:rsid w:val="00F156D8"/>
    <w:rsid w:val="00F1574E"/>
    <w:rsid w:val="00F1579D"/>
    <w:rsid w:val="00F157BF"/>
    <w:rsid w:val="00F15897"/>
    <w:rsid w:val="00F158A6"/>
    <w:rsid w:val="00F15A1C"/>
    <w:rsid w:val="00F15A44"/>
    <w:rsid w:val="00F15A90"/>
    <w:rsid w:val="00F15AF2"/>
    <w:rsid w:val="00F15BE4"/>
    <w:rsid w:val="00F15C44"/>
    <w:rsid w:val="00F15CC0"/>
    <w:rsid w:val="00F15D14"/>
    <w:rsid w:val="00F15D35"/>
    <w:rsid w:val="00F15E0E"/>
    <w:rsid w:val="00F1608B"/>
    <w:rsid w:val="00F160C9"/>
    <w:rsid w:val="00F16102"/>
    <w:rsid w:val="00F16128"/>
    <w:rsid w:val="00F1616F"/>
    <w:rsid w:val="00F1618F"/>
    <w:rsid w:val="00F16202"/>
    <w:rsid w:val="00F16282"/>
    <w:rsid w:val="00F1634B"/>
    <w:rsid w:val="00F163E4"/>
    <w:rsid w:val="00F16413"/>
    <w:rsid w:val="00F164FE"/>
    <w:rsid w:val="00F16516"/>
    <w:rsid w:val="00F16581"/>
    <w:rsid w:val="00F165DE"/>
    <w:rsid w:val="00F16649"/>
    <w:rsid w:val="00F166B0"/>
    <w:rsid w:val="00F166B3"/>
    <w:rsid w:val="00F166BD"/>
    <w:rsid w:val="00F1687B"/>
    <w:rsid w:val="00F168FC"/>
    <w:rsid w:val="00F16913"/>
    <w:rsid w:val="00F16949"/>
    <w:rsid w:val="00F169A0"/>
    <w:rsid w:val="00F16A39"/>
    <w:rsid w:val="00F16A7A"/>
    <w:rsid w:val="00F16A7C"/>
    <w:rsid w:val="00F16AD0"/>
    <w:rsid w:val="00F16B05"/>
    <w:rsid w:val="00F16CFB"/>
    <w:rsid w:val="00F16EC5"/>
    <w:rsid w:val="00F16EDC"/>
    <w:rsid w:val="00F17076"/>
    <w:rsid w:val="00F17111"/>
    <w:rsid w:val="00F17155"/>
    <w:rsid w:val="00F171E9"/>
    <w:rsid w:val="00F17253"/>
    <w:rsid w:val="00F17279"/>
    <w:rsid w:val="00F172E2"/>
    <w:rsid w:val="00F172EA"/>
    <w:rsid w:val="00F173A4"/>
    <w:rsid w:val="00F173A5"/>
    <w:rsid w:val="00F173EC"/>
    <w:rsid w:val="00F17505"/>
    <w:rsid w:val="00F17564"/>
    <w:rsid w:val="00F175C7"/>
    <w:rsid w:val="00F175CD"/>
    <w:rsid w:val="00F1764B"/>
    <w:rsid w:val="00F17724"/>
    <w:rsid w:val="00F17819"/>
    <w:rsid w:val="00F1785F"/>
    <w:rsid w:val="00F1786E"/>
    <w:rsid w:val="00F178AE"/>
    <w:rsid w:val="00F178E2"/>
    <w:rsid w:val="00F17988"/>
    <w:rsid w:val="00F17A4B"/>
    <w:rsid w:val="00F17A4D"/>
    <w:rsid w:val="00F17B1A"/>
    <w:rsid w:val="00F17BA3"/>
    <w:rsid w:val="00F17C22"/>
    <w:rsid w:val="00F17D59"/>
    <w:rsid w:val="00F17EBA"/>
    <w:rsid w:val="00F17F94"/>
    <w:rsid w:val="00F200AF"/>
    <w:rsid w:val="00F2010D"/>
    <w:rsid w:val="00F20134"/>
    <w:rsid w:val="00F201EB"/>
    <w:rsid w:val="00F20227"/>
    <w:rsid w:val="00F2027D"/>
    <w:rsid w:val="00F202DA"/>
    <w:rsid w:val="00F20455"/>
    <w:rsid w:val="00F204E1"/>
    <w:rsid w:val="00F20543"/>
    <w:rsid w:val="00F2058F"/>
    <w:rsid w:val="00F207AC"/>
    <w:rsid w:val="00F20892"/>
    <w:rsid w:val="00F208AC"/>
    <w:rsid w:val="00F208F2"/>
    <w:rsid w:val="00F20940"/>
    <w:rsid w:val="00F20945"/>
    <w:rsid w:val="00F209AA"/>
    <w:rsid w:val="00F209AE"/>
    <w:rsid w:val="00F209B6"/>
    <w:rsid w:val="00F20B9B"/>
    <w:rsid w:val="00F20D96"/>
    <w:rsid w:val="00F20DD2"/>
    <w:rsid w:val="00F20DF7"/>
    <w:rsid w:val="00F20E4A"/>
    <w:rsid w:val="00F20E60"/>
    <w:rsid w:val="00F20F32"/>
    <w:rsid w:val="00F20F6E"/>
    <w:rsid w:val="00F210A9"/>
    <w:rsid w:val="00F210D2"/>
    <w:rsid w:val="00F210E8"/>
    <w:rsid w:val="00F21184"/>
    <w:rsid w:val="00F21211"/>
    <w:rsid w:val="00F21294"/>
    <w:rsid w:val="00F2129D"/>
    <w:rsid w:val="00F212B6"/>
    <w:rsid w:val="00F2135A"/>
    <w:rsid w:val="00F2135F"/>
    <w:rsid w:val="00F21440"/>
    <w:rsid w:val="00F21482"/>
    <w:rsid w:val="00F21495"/>
    <w:rsid w:val="00F215AF"/>
    <w:rsid w:val="00F215EB"/>
    <w:rsid w:val="00F21623"/>
    <w:rsid w:val="00F216AC"/>
    <w:rsid w:val="00F21877"/>
    <w:rsid w:val="00F21881"/>
    <w:rsid w:val="00F218E6"/>
    <w:rsid w:val="00F2199F"/>
    <w:rsid w:val="00F21B4D"/>
    <w:rsid w:val="00F21B56"/>
    <w:rsid w:val="00F21B8C"/>
    <w:rsid w:val="00F21BDF"/>
    <w:rsid w:val="00F21BF2"/>
    <w:rsid w:val="00F21C2D"/>
    <w:rsid w:val="00F21C3F"/>
    <w:rsid w:val="00F21C87"/>
    <w:rsid w:val="00F21D6B"/>
    <w:rsid w:val="00F21DB3"/>
    <w:rsid w:val="00F21DD2"/>
    <w:rsid w:val="00F21DE9"/>
    <w:rsid w:val="00F21E17"/>
    <w:rsid w:val="00F21E5E"/>
    <w:rsid w:val="00F21E69"/>
    <w:rsid w:val="00F21F54"/>
    <w:rsid w:val="00F21F5B"/>
    <w:rsid w:val="00F21FA7"/>
    <w:rsid w:val="00F2203B"/>
    <w:rsid w:val="00F220B5"/>
    <w:rsid w:val="00F221B6"/>
    <w:rsid w:val="00F22214"/>
    <w:rsid w:val="00F2234B"/>
    <w:rsid w:val="00F22360"/>
    <w:rsid w:val="00F22436"/>
    <w:rsid w:val="00F22559"/>
    <w:rsid w:val="00F22593"/>
    <w:rsid w:val="00F22654"/>
    <w:rsid w:val="00F2267F"/>
    <w:rsid w:val="00F226A4"/>
    <w:rsid w:val="00F226E3"/>
    <w:rsid w:val="00F227F8"/>
    <w:rsid w:val="00F22817"/>
    <w:rsid w:val="00F22818"/>
    <w:rsid w:val="00F22851"/>
    <w:rsid w:val="00F228FB"/>
    <w:rsid w:val="00F22A09"/>
    <w:rsid w:val="00F22BB2"/>
    <w:rsid w:val="00F22BF1"/>
    <w:rsid w:val="00F22C8A"/>
    <w:rsid w:val="00F22DFF"/>
    <w:rsid w:val="00F22E00"/>
    <w:rsid w:val="00F22E40"/>
    <w:rsid w:val="00F22F01"/>
    <w:rsid w:val="00F23019"/>
    <w:rsid w:val="00F230F6"/>
    <w:rsid w:val="00F231AC"/>
    <w:rsid w:val="00F231E2"/>
    <w:rsid w:val="00F2337A"/>
    <w:rsid w:val="00F23543"/>
    <w:rsid w:val="00F23579"/>
    <w:rsid w:val="00F23720"/>
    <w:rsid w:val="00F23742"/>
    <w:rsid w:val="00F2376F"/>
    <w:rsid w:val="00F2379B"/>
    <w:rsid w:val="00F2385F"/>
    <w:rsid w:val="00F23880"/>
    <w:rsid w:val="00F2388C"/>
    <w:rsid w:val="00F23934"/>
    <w:rsid w:val="00F2394D"/>
    <w:rsid w:val="00F239EF"/>
    <w:rsid w:val="00F23ABF"/>
    <w:rsid w:val="00F23B17"/>
    <w:rsid w:val="00F23B61"/>
    <w:rsid w:val="00F23B73"/>
    <w:rsid w:val="00F23C49"/>
    <w:rsid w:val="00F23CA1"/>
    <w:rsid w:val="00F23CF4"/>
    <w:rsid w:val="00F23D9B"/>
    <w:rsid w:val="00F23DAC"/>
    <w:rsid w:val="00F23DE9"/>
    <w:rsid w:val="00F23F6C"/>
    <w:rsid w:val="00F24014"/>
    <w:rsid w:val="00F240CE"/>
    <w:rsid w:val="00F240E8"/>
    <w:rsid w:val="00F24119"/>
    <w:rsid w:val="00F2411F"/>
    <w:rsid w:val="00F24133"/>
    <w:rsid w:val="00F24177"/>
    <w:rsid w:val="00F241C2"/>
    <w:rsid w:val="00F241E6"/>
    <w:rsid w:val="00F241E8"/>
    <w:rsid w:val="00F2432E"/>
    <w:rsid w:val="00F243FB"/>
    <w:rsid w:val="00F2449C"/>
    <w:rsid w:val="00F244EC"/>
    <w:rsid w:val="00F244F4"/>
    <w:rsid w:val="00F2453A"/>
    <w:rsid w:val="00F2459C"/>
    <w:rsid w:val="00F245D8"/>
    <w:rsid w:val="00F245E5"/>
    <w:rsid w:val="00F2463B"/>
    <w:rsid w:val="00F24644"/>
    <w:rsid w:val="00F2469E"/>
    <w:rsid w:val="00F24733"/>
    <w:rsid w:val="00F24750"/>
    <w:rsid w:val="00F247D8"/>
    <w:rsid w:val="00F2483F"/>
    <w:rsid w:val="00F248E4"/>
    <w:rsid w:val="00F2490F"/>
    <w:rsid w:val="00F2491F"/>
    <w:rsid w:val="00F24941"/>
    <w:rsid w:val="00F2496F"/>
    <w:rsid w:val="00F2498F"/>
    <w:rsid w:val="00F24A14"/>
    <w:rsid w:val="00F24A5B"/>
    <w:rsid w:val="00F24A63"/>
    <w:rsid w:val="00F24A7D"/>
    <w:rsid w:val="00F24A8D"/>
    <w:rsid w:val="00F24ABC"/>
    <w:rsid w:val="00F24B93"/>
    <w:rsid w:val="00F24BAB"/>
    <w:rsid w:val="00F24C57"/>
    <w:rsid w:val="00F24C8B"/>
    <w:rsid w:val="00F24CF6"/>
    <w:rsid w:val="00F24D43"/>
    <w:rsid w:val="00F24D5F"/>
    <w:rsid w:val="00F24D76"/>
    <w:rsid w:val="00F24DD5"/>
    <w:rsid w:val="00F24F75"/>
    <w:rsid w:val="00F2501A"/>
    <w:rsid w:val="00F25070"/>
    <w:rsid w:val="00F2509C"/>
    <w:rsid w:val="00F250D6"/>
    <w:rsid w:val="00F25115"/>
    <w:rsid w:val="00F2519A"/>
    <w:rsid w:val="00F2520B"/>
    <w:rsid w:val="00F25230"/>
    <w:rsid w:val="00F25281"/>
    <w:rsid w:val="00F252EF"/>
    <w:rsid w:val="00F25340"/>
    <w:rsid w:val="00F25376"/>
    <w:rsid w:val="00F254D9"/>
    <w:rsid w:val="00F2564A"/>
    <w:rsid w:val="00F256F0"/>
    <w:rsid w:val="00F25788"/>
    <w:rsid w:val="00F257DC"/>
    <w:rsid w:val="00F2581F"/>
    <w:rsid w:val="00F258C7"/>
    <w:rsid w:val="00F25952"/>
    <w:rsid w:val="00F25A33"/>
    <w:rsid w:val="00F25A48"/>
    <w:rsid w:val="00F25C55"/>
    <w:rsid w:val="00F25C90"/>
    <w:rsid w:val="00F25CA4"/>
    <w:rsid w:val="00F25D36"/>
    <w:rsid w:val="00F25F4D"/>
    <w:rsid w:val="00F25FFC"/>
    <w:rsid w:val="00F26068"/>
    <w:rsid w:val="00F26159"/>
    <w:rsid w:val="00F261F0"/>
    <w:rsid w:val="00F2624D"/>
    <w:rsid w:val="00F2626B"/>
    <w:rsid w:val="00F264AA"/>
    <w:rsid w:val="00F264D4"/>
    <w:rsid w:val="00F26519"/>
    <w:rsid w:val="00F265D9"/>
    <w:rsid w:val="00F266BF"/>
    <w:rsid w:val="00F266C9"/>
    <w:rsid w:val="00F266F5"/>
    <w:rsid w:val="00F26788"/>
    <w:rsid w:val="00F26808"/>
    <w:rsid w:val="00F2680F"/>
    <w:rsid w:val="00F2684C"/>
    <w:rsid w:val="00F26863"/>
    <w:rsid w:val="00F26915"/>
    <w:rsid w:val="00F2693F"/>
    <w:rsid w:val="00F26993"/>
    <w:rsid w:val="00F269C5"/>
    <w:rsid w:val="00F269CC"/>
    <w:rsid w:val="00F269DB"/>
    <w:rsid w:val="00F26A4D"/>
    <w:rsid w:val="00F26A60"/>
    <w:rsid w:val="00F26AE2"/>
    <w:rsid w:val="00F26B45"/>
    <w:rsid w:val="00F26C9C"/>
    <w:rsid w:val="00F26D72"/>
    <w:rsid w:val="00F26DF9"/>
    <w:rsid w:val="00F26E13"/>
    <w:rsid w:val="00F26E56"/>
    <w:rsid w:val="00F26EC6"/>
    <w:rsid w:val="00F26F66"/>
    <w:rsid w:val="00F27139"/>
    <w:rsid w:val="00F27148"/>
    <w:rsid w:val="00F27230"/>
    <w:rsid w:val="00F272DB"/>
    <w:rsid w:val="00F2730C"/>
    <w:rsid w:val="00F27478"/>
    <w:rsid w:val="00F274C8"/>
    <w:rsid w:val="00F274EC"/>
    <w:rsid w:val="00F274F8"/>
    <w:rsid w:val="00F274FD"/>
    <w:rsid w:val="00F27543"/>
    <w:rsid w:val="00F275A5"/>
    <w:rsid w:val="00F27711"/>
    <w:rsid w:val="00F27743"/>
    <w:rsid w:val="00F27771"/>
    <w:rsid w:val="00F277F0"/>
    <w:rsid w:val="00F2784E"/>
    <w:rsid w:val="00F27898"/>
    <w:rsid w:val="00F278C0"/>
    <w:rsid w:val="00F27957"/>
    <w:rsid w:val="00F279B4"/>
    <w:rsid w:val="00F27A37"/>
    <w:rsid w:val="00F27A5E"/>
    <w:rsid w:val="00F27A9A"/>
    <w:rsid w:val="00F27ABA"/>
    <w:rsid w:val="00F27B02"/>
    <w:rsid w:val="00F27B65"/>
    <w:rsid w:val="00F27BB4"/>
    <w:rsid w:val="00F27BC9"/>
    <w:rsid w:val="00F27BDB"/>
    <w:rsid w:val="00F27C38"/>
    <w:rsid w:val="00F27D1A"/>
    <w:rsid w:val="00F27D2B"/>
    <w:rsid w:val="00F27D9B"/>
    <w:rsid w:val="00F27DB7"/>
    <w:rsid w:val="00F27E4D"/>
    <w:rsid w:val="00F27E9B"/>
    <w:rsid w:val="00F27EC8"/>
    <w:rsid w:val="00F27F41"/>
    <w:rsid w:val="00F30002"/>
    <w:rsid w:val="00F30037"/>
    <w:rsid w:val="00F300BE"/>
    <w:rsid w:val="00F3014B"/>
    <w:rsid w:val="00F30286"/>
    <w:rsid w:val="00F302D7"/>
    <w:rsid w:val="00F3031B"/>
    <w:rsid w:val="00F3037F"/>
    <w:rsid w:val="00F30410"/>
    <w:rsid w:val="00F304A1"/>
    <w:rsid w:val="00F304CD"/>
    <w:rsid w:val="00F304E5"/>
    <w:rsid w:val="00F304EC"/>
    <w:rsid w:val="00F3051C"/>
    <w:rsid w:val="00F30523"/>
    <w:rsid w:val="00F3069A"/>
    <w:rsid w:val="00F306F0"/>
    <w:rsid w:val="00F308AA"/>
    <w:rsid w:val="00F308D5"/>
    <w:rsid w:val="00F30924"/>
    <w:rsid w:val="00F30956"/>
    <w:rsid w:val="00F3095F"/>
    <w:rsid w:val="00F30966"/>
    <w:rsid w:val="00F30981"/>
    <w:rsid w:val="00F309A8"/>
    <w:rsid w:val="00F30A7B"/>
    <w:rsid w:val="00F30AC6"/>
    <w:rsid w:val="00F30AFD"/>
    <w:rsid w:val="00F30CCE"/>
    <w:rsid w:val="00F30CF9"/>
    <w:rsid w:val="00F30CFF"/>
    <w:rsid w:val="00F30D02"/>
    <w:rsid w:val="00F30E16"/>
    <w:rsid w:val="00F30E72"/>
    <w:rsid w:val="00F30F33"/>
    <w:rsid w:val="00F30F64"/>
    <w:rsid w:val="00F30FA9"/>
    <w:rsid w:val="00F30FE8"/>
    <w:rsid w:val="00F31073"/>
    <w:rsid w:val="00F310A7"/>
    <w:rsid w:val="00F310BD"/>
    <w:rsid w:val="00F3112A"/>
    <w:rsid w:val="00F31134"/>
    <w:rsid w:val="00F31224"/>
    <w:rsid w:val="00F313AE"/>
    <w:rsid w:val="00F313E5"/>
    <w:rsid w:val="00F31522"/>
    <w:rsid w:val="00F3152B"/>
    <w:rsid w:val="00F31623"/>
    <w:rsid w:val="00F31649"/>
    <w:rsid w:val="00F31663"/>
    <w:rsid w:val="00F316CC"/>
    <w:rsid w:val="00F3171A"/>
    <w:rsid w:val="00F3178A"/>
    <w:rsid w:val="00F31801"/>
    <w:rsid w:val="00F3187D"/>
    <w:rsid w:val="00F318B0"/>
    <w:rsid w:val="00F318C1"/>
    <w:rsid w:val="00F3193A"/>
    <w:rsid w:val="00F31BC8"/>
    <w:rsid w:val="00F31C2A"/>
    <w:rsid w:val="00F31C6C"/>
    <w:rsid w:val="00F31C9A"/>
    <w:rsid w:val="00F31DF9"/>
    <w:rsid w:val="00F31DFB"/>
    <w:rsid w:val="00F31EFC"/>
    <w:rsid w:val="00F31F48"/>
    <w:rsid w:val="00F31F59"/>
    <w:rsid w:val="00F31FAF"/>
    <w:rsid w:val="00F31FBA"/>
    <w:rsid w:val="00F3200E"/>
    <w:rsid w:val="00F3213E"/>
    <w:rsid w:val="00F32167"/>
    <w:rsid w:val="00F32169"/>
    <w:rsid w:val="00F32197"/>
    <w:rsid w:val="00F321AE"/>
    <w:rsid w:val="00F3222E"/>
    <w:rsid w:val="00F3223C"/>
    <w:rsid w:val="00F32352"/>
    <w:rsid w:val="00F323A8"/>
    <w:rsid w:val="00F32456"/>
    <w:rsid w:val="00F324DA"/>
    <w:rsid w:val="00F3251C"/>
    <w:rsid w:val="00F3260A"/>
    <w:rsid w:val="00F326E2"/>
    <w:rsid w:val="00F326FF"/>
    <w:rsid w:val="00F328F8"/>
    <w:rsid w:val="00F32A08"/>
    <w:rsid w:val="00F32BAA"/>
    <w:rsid w:val="00F32BB7"/>
    <w:rsid w:val="00F32C54"/>
    <w:rsid w:val="00F32C81"/>
    <w:rsid w:val="00F32CF2"/>
    <w:rsid w:val="00F32E06"/>
    <w:rsid w:val="00F32E93"/>
    <w:rsid w:val="00F32F36"/>
    <w:rsid w:val="00F32F3F"/>
    <w:rsid w:val="00F32FF3"/>
    <w:rsid w:val="00F3304A"/>
    <w:rsid w:val="00F33088"/>
    <w:rsid w:val="00F33109"/>
    <w:rsid w:val="00F33263"/>
    <w:rsid w:val="00F332FA"/>
    <w:rsid w:val="00F33323"/>
    <w:rsid w:val="00F33335"/>
    <w:rsid w:val="00F333C3"/>
    <w:rsid w:val="00F333F7"/>
    <w:rsid w:val="00F33476"/>
    <w:rsid w:val="00F33479"/>
    <w:rsid w:val="00F334B5"/>
    <w:rsid w:val="00F33501"/>
    <w:rsid w:val="00F33581"/>
    <w:rsid w:val="00F335AC"/>
    <w:rsid w:val="00F335E1"/>
    <w:rsid w:val="00F33686"/>
    <w:rsid w:val="00F336CE"/>
    <w:rsid w:val="00F337C2"/>
    <w:rsid w:val="00F3381C"/>
    <w:rsid w:val="00F33830"/>
    <w:rsid w:val="00F33851"/>
    <w:rsid w:val="00F338DE"/>
    <w:rsid w:val="00F33939"/>
    <w:rsid w:val="00F3398D"/>
    <w:rsid w:val="00F339E8"/>
    <w:rsid w:val="00F33ADF"/>
    <w:rsid w:val="00F33AE3"/>
    <w:rsid w:val="00F33B39"/>
    <w:rsid w:val="00F33B93"/>
    <w:rsid w:val="00F33B96"/>
    <w:rsid w:val="00F33C45"/>
    <w:rsid w:val="00F33D04"/>
    <w:rsid w:val="00F33D42"/>
    <w:rsid w:val="00F33D69"/>
    <w:rsid w:val="00F33D7D"/>
    <w:rsid w:val="00F33F0B"/>
    <w:rsid w:val="00F33F6E"/>
    <w:rsid w:val="00F3400C"/>
    <w:rsid w:val="00F34037"/>
    <w:rsid w:val="00F34076"/>
    <w:rsid w:val="00F340BC"/>
    <w:rsid w:val="00F341E4"/>
    <w:rsid w:val="00F3420B"/>
    <w:rsid w:val="00F34211"/>
    <w:rsid w:val="00F3428C"/>
    <w:rsid w:val="00F34291"/>
    <w:rsid w:val="00F34344"/>
    <w:rsid w:val="00F3441D"/>
    <w:rsid w:val="00F3445F"/>
    <w:rsid w:val="00F344D9"/>
    <w:rsid w:val="00F34593"/>
    <w:rsid w:val="00F345EB"/>
    <w:rsid w:val="00F345FB"/>
    <w:rsid w:val="00F34601"/>
    <w:rsid w:val="00F346ED"/>
    <w:rsid w:val="00F34758"/>
    <w:rsid w:val="00F347D8"/>
    <w:rsid w:val="00F34842"/>
    <w:rsid w:val="00F3488F"/>
    <w:rsid w:val="00F34958"/>
    <w:rsid w:val="00F3497C"/>
    <w:rsid w:val="00F349C1"/>
    <w:rsid w:val="00F349D5"/>
    <w:rsid w:val="00F349D9"/>
    <w:rsid w:val="00F34A96"/>
    <w:rsid w:val="00F34AFA"/>
    <w:rsid w:val="00F34B57"/>
    <w:rsid w:val="00F34C42"/>
    <w:rsid w:val="00F34C5F"/>
    <w:rsid w:val="00F34CAA"/>
    <w:rsid w:val="00F34CBA"/>
    <w:rsid w:val="00F34D22"/>
    <w:rsid w:val="00F34D58"/>
    <w:rsid w:val="00F34DFF"/>
    <w:rsid w:val="00F34E12"/>
    <w:rsid w:val="00F34E1C"/>
    <w:rsid w:val="00F34E66"/>
    <w:rsid w:val="00F34EC5"/>
    <w:rsid w:val="00F34EFB"/>
    <w:rsid w:val="00F34FA8"/>
    <w:rsid w:val="00F3500A"/>
    <w:rsid w:val="00F35048"/>
    <w:rsid w:val="00F350D8"/>
    <w:rsid w:val="00F35191"/>
    <w:rsid w:val="00F3519E"/>
    <w:rsid w:val="00F35427"/>
    <w:rsid w:val="00F35464"/>
    <w:rsid w:val="00F35501"/>
    <w:rsid w:val="00F355C6"/>
    <w:rsid w:val="00F35693"/>
    <w:rsid w:val="00F357E1"/>
    <w:rsid w:val="00F35912"/>
    <w:rsid w:val="00F35989"/>
    <w:rsid w:val="00F35AA2"/>
    <w:rsid w:val="00F35AA5"/>
    <w:rsid w:val="00F35B12"/>
    <w:rsid w:val="00F35B7F"/>
    <w:rsid w:val="00F35C06"/>
    <w:rsid w:val="00F35C3C"/>
    <w:rsid w:val="00F35C90"/>
    <w:rsid w:val="00F35CF8"/>
    <w:rsid w:val="00F35D1B"/>
    <w:rsid w:val="00F35D3B"/>
    <w:rsid w:val="00F35DA1"/>
    <w:rsid w:val="00F35E01"/>
    <w:rsid w:val="00F35F71"/>
    <w:rsid w:val="00F360C1"/>
    <w:rsid w:val="00F36130"/>
    <w:rsid w:val="00F362ED"/>
    <w:rsid w:val="00F362FF"/>
    <w:rsid w:val="00F36356"/>
    <w:rsid w:val="00F36360"/>
    <w:rsid w:val="00F3637A"/>
    <w:rsid w:val="00F363FC"/>
    <w:rsid w:val="00F3641C"/>
    <w:rsid w:val="00F36425"/>
    <w:rsid w:val="00F36490"/>
    <w:rsid w:val="00F364A1"/>
    <w:rsid w:val="00F364F8"/>
    <w:rsid w:val="00F36568"/>
    <w:rsid w:val="00F365E7"/>
    <w:rsid w:val="00F36629"/>
    <w:rsid w:val="00F367AB"/>
    <w:rsid w:val="00F36827"/>
    <w:rsid w:val="00F369C5"/>
    <w:rsid w:val="00F369D7"/>
    <w:rsid w:val="00F36A4F"/>
    <w:rsid w:val="00F36AFB"/>
    <w:rsid w:val="00F36B3E"/>
    <w:rsid w:val="00F36BD4"/>
    <w:rsid w:val="00F36C9E"/>
    <w:rsid w:val="00F36D24"/>
    <w:rsid w:val="00F36DD7"/>
    <w:rsid w:val="00F36DEB"/>
    <w:rsid w:val="00F36E31"/>
    <w:rsid w:val="00F37016"/>
    <w:rsid w:val="00F37068"/>
    <w:rsid w:val="00F37125"/>
    <w:rsid w:val="00F37141"/>
    <w:rsid w:val="00F3714B"/>
    <w:rsid w:val="00F3718C"/>
    <w:rsid w:val="00F371A0"/>
    <w:rsid w:val="00F371B9"/>
    <w:rsid w:val="00F3722A"/>
    <w:rsid w:val="00F37240"/>
    <w:rsid w:val="00F37267"/>
    <w:rsid w:val="00F373C3"/>
    <w:rsid w:val="00F37447"/>
    <w:rsid w:val="00F37449"/>
    <w:rsid w:val="00F37481"/>
    <w:rsid w:val="00F374A6"/>
    <w:rsid w:val="00F374EC"/>
    <w:rsid w:val="00F3751F"/>
    <w:rsid w:val="00F375A7"/>
    <w:rsid w:val="00F375D8"/>
    <w:rsid w:val="00F37708"/>
    <w:rsid w:val="00F377D3"/>
    <w:rsid w:val="00F377F1"/>
    <w:rsid w:val="00F37898"/>
    <w:rsid w:val="00F37981"/>
    <w:rsid w:val="00F37A01"/>
    <w:rsid w:val="00F37A5A"/>
    <w:rsid w:val="00F37AC6"/>
    <w:rsid w:val="00F37AE9"/>
    <w:rsid w:val="00F37AF4"/>
    <w:rsid w:val="00F37B02"/>
    <w:rsid w:val="00F37B34"/>
    <w:rsid w:val="00F37BAB"/>
    <w:rsid w:val="00F37BBB"/>
    <w:rsid w:val="00F37C63"/>
    <w:rsid w:val="00F37DEB"/>
    <w:rsid w:val="00F37EAE"/>
    <w:rsid w:val="00F37EB2"/>
    <w:rsid w:val="00F37FF3"/>
    <w:rsid w:val="00F40073"/>
    <w:rsid w:val="00F400E8"/>
    <w:rsid w:val="00F4014B"/>
    <w:rsid w:val="00F401E0"/>
    <w:rsid w:val="00F4021F"/>
    <w:rsid w:val="00F40328"/>
    <w:rsid w:val="00F403DC"/>
    <w:rsid w:val="00F40486"/>
    <w:rsid w:val="00F4048E"/>
    <w:rsid w:val="00F404D5"/>
    <w:rsid w:val="00F4056F"/>
    <w:rsid w:val="00F405B0"/>
    <w:rsid w:val="00F405DB"/>
    <w:rsid w:val="00F405F3"/>
    <w:rsid w:val="00F406AF"/>
    <w:rsid w:val="00F40731"/>
    <w:rsid w:val="00F40818"/>
    <w:rsid w:val="00F4096C"/>
    <w:rsid w:val="00F40A89"/>
    <w:rsid w:val="00F40B9C"/>
    <w:rsid w:val="00F40D44"/>
    <w:rsid w:val="00F40E08"/>
    <w:rsid w:val="00F40E32"/>
    <w:rsid w:val="00F40E9A"/>
    <w:rsid w:val="00F40EF3"/>
    <w:rsid w:val="00F40F1F"/>
    <w:rsid w:val="00F40F80"/>
    <w:rsid w:val="00F40FDC"/>
    <w:rsid w:val="00F4114C"/>
    <w:rsid w:val="00F411F0"/>
    <w:rsid w:val="00F412EE"/>
    <w:rsid w:val="00F4136E"/>
    <w:rsid w:val="00F41383"/>
    <w:rsid w:val="00F41479"/>
    <w:rsid w:val="00F41538"/>
    <w:rsid w:val="00F415C5"/>
    <w:rsid w:val="00F4162D"/>
    <w:rsid w:val="00F41642"/>
    <w:rsid w:val="00F417F2"/>
    <w:rsid w:val="00F41909"/>
    <w:rsid w:val="00F4194B"/>
    <w:rsid w:val="00F4195D"/>
    <w:rsid w:val="00F41994"/>
    <w:rsid w:val="00F41A6F"/>
    <w:rsid w:val="00F41B66"/>
    <w:rsid w:val="00F41B81"/>
    <w:rsid w:val="00F41C4F"/>
    <w:rsid w:val="00F41D2E"/>
    <w:rsid w:val="00F41EB2"/>
    <w:rsid w:val="00F42008"/>
    <w:rsid w:val="00F4202D"/>
    <w:rsid w:val="00F4207D"/>
    <w:rsid w:val="00F420D3"/>
    <w:rsid w:val="00F4214A"/>
    <w:rsid w:val="00F421A9"/>
    <w:rsid w:val="00F42212"/>
    <w:rsid w:val="00F42244"/>
    <w:rsid w:val="00F42259"/>
    <w:rsid w:val="00F422CB"/>
    <w:rsid w:val="00F422DA"/>
    <w:rsid w:val="00F4234E"/>
    <w:rsid w:val="00F4239C"/>
    <w:rsid w:val="00F423D6"/>
    <w:rsid w:val="00F423D7"/>
    <w:rsid w:val="00F424AB"/>
    <w:rsid w:val="00F424C6"/>
    <w:rsid w:val="00F425A4"/>
    <w:rsid w:val="00F425F9"/>
    <w:rsid w:val="00F42600"/>
    <w:rsid w:val="00F428B6"/>
    <w:rsid w:val="00F42928"/>
    <w:rsid w:val="00F429BC"/>
    <w:rsid w:val="00F429C2"/>
    <w:rsid w:val="00F42BA9"/>
    <w:rsid w:val="00F42BF6"/>
    <w:rsid w:val="00F42C30"/>
    <w:rsid w:val="00F42C60"/>
    <w:rsid w:val="00F42CA0"/>
    <w:rsid w:val="00F42E9B"/>
    <w:rsid w:val="00F43153"/>
    <w:rsid w:val="00F431F1"/>
    <w:rsid w:val="00F43253"/>
    <w:rsid w:val="00F432E5"/>
    <w:rsid w:val="00F43438"/>
    <w:rsid w:val="00F434CD"/>
    <w:rsid w:val="00F4354F"/>
    <w:rsid w:val="00F43561"/>
    <w:rsid w:val="00F43613"/>
    <w:rsid w:val="00F43629"/>
    <w:rsid w:val="00F4366E"/>
    <w:rsid w:val="00F436B0"/>
    <w:rsid w:val="00F436C0"/>
    <w:rsid w:val="00F4376B"/>
    <w:rsid w:val="00F437B8"/>
    <w:rsid w:val="00F437F6"/>
    <w:rsid w:val="00F437FC"/>
    <w:rsid w:val="00F4385F"/>
    <w:rsid w:val="00F43952"/>
    <w:rsid w:val="00F4395E"/>
    <w:rsid w:val="00F4398F"/>
    <w:rsid w:val="00F439DF"/>
    <w:rsid w:val="00F43A1F"/>
    <w:rsid w:val="00F43B32"/>
    <w:rsid w:val="00F43BC7"/>
    <w:rsid w:val="00F43CB7"/>
    <w:rsid w:val="00F43D82"/>
    <w:rsid w:val="00F43DA4"/>
    <w:rsid w:val="00F43E15"/>
    <w:rsid w:val="00F43E21"/>
    <w:rsid w:val="00F43E33"/>
    <w:rsid w:val="00F43E92"/>
    <w:rsid w:val="00F43EA9"/>
    <w:rsid w:val="00F43FDC"/>
    <w:rsid w:val="00F44158"/>
    <w:rsid w:val="00F44251"/>
    <w:rsid w:val="00F443C2"/>
    <w:rsid w:val="00F4440C"/>
    <w:rsid w:val="00F44418"/>
    <w:rsid w:val="00F4444E"/>
    <w:rsid w:val="00F444BB"/>
    <w:rsid w:val="00F444C8"/>
    <w:rsid w:val="00F4450A"/>
    <w:rsid w:val="00F4450E"/>
    <w:rsid w:val="00F44608"/>
    <w:rsid w:val="00F4470E"/>
    <w:rsid w:val="00F44768"/>
    <w:rsid w:val="00F447C9"/>
    <w:rsid w:val="00F4483B"/>
    <w:rsid w:val="00F448C9"/>
    <w:rsid w:val="00F44A47"/>
    <w:rsid w:val="00F44A4E"/>
    <w:rsid w:val="00F44A81"/>
    <w:rsid w:val="00F44AFB"/>
    <w:rsid w:val="00F44B64"/>
    <w:rsid w:val="00F44B77"/>
    <w:rsid w:val="00F44BC5"/>
    <w:rsid w:val="00F44C16"/>
    <w:rsid w:val="00F44C4F"/>
    <w:rsid w:val="00F44DEB"/>
    <w:rsid w:val="00F44E19"/>
    <w:rsid w:val="00F44E39"/>
    <w:rsid w:val="00F44E53"/>
    <w:rsid w:val="00F44E54"/>
    <w:rsid w:val="00F44E95"/>
    <w:rsid w:val="00F44EE7"/>
    <w:rsid w:val="00F44F1B"/>
    <w:rsid w:val="00F44FE6"/>
    <w:rsid w:val="00F45094"/>
    <w:rsid w:val="00F4519A"/>
    <w:rsid w:val="00F451CB"/>
    <w:rsid w:val="00F451F6"/>
    <w:rsid w:val="00F4521D"/>
    <w:rsid w:val="00F4522E"/>
    <w:rsid w:val="00F4523F"/>
    <w:rsid w:val="00F4537A"/>
    <w:rsid w:val="00F453A4"/>
    <w:rsid w:val="00F453B5"/>
    <w:rsid w:val="00F453E0"/>
    <w:rsid w:val="00F4547A"/>
    <w:rsid w:val="00F455AD"/>
    <w:rsid w:val="00F455C7"/>
    <w:rsid w:val="00F4569F"/>
    <w:rsid w:val="00F456DB"/>
    <w:rsid w:val="00F45719"/>
    <w:rsid w:val="00F457BB"/>
    <w:rsid w:val="00F45892"/>
    <w:rsid w:val="00F45A8B"/>
    <w:rsid w:val="00F45B26"/>
    <w:rsid w:val="00F45B82"/>
    <w:rsid w:val="00F45BF1"/>
    <w:rsid w:val="00F45C12"/>
    <w:rsid w:val="00F45C22"/>
    <w:rsid w:val="00F45C6D"/>
    <w:rsid w:val="00F45D5D"/>
    <w:rsid w:val="00F45D6A"/>
    <w:rsid w:val="00F45E10"/>
    <w:rsid w:val="00F45E96"/>
    <w:rsid w:val="00F45EDE"/>
    <w:rsid w:val="00F45F88"/>
    <w:rsid w:val="00F46068"/>
    <w:rsid w:val="00F460C8"/>
    <w:rsid w:val="00F46115"/>
    <w:rsid w:val="00F4618B"/>
    <w:rsid w:val="00F46355"/>
    <w:rsid w:val="00F463B4"/>
    <w:rsid w:val="00F4643B"/>
    <w:rsid w:val="00F46480"/>
    <w:rsid w:val="00F46533"/>
    <w:rsid w:val="00F465E7"/>
    <w:rsid w:val="00F46695"/>
    <w:rsid w:val="00F4672D"/>
    <w:rsid w:val="00F467CF"/>
    <w:rsid w:val="00F467D8"/>
    <w:rsid w:val="00F467F0"/>
    <w:rsid w:val="00F46878"/>
    <w:rsid w:val="00F469BF"/>
    <w:rsid w:val="00F46A00"/>
    <w:rsid w:val="00F46A4A"/>
    <w:rsid w:val="00F46A7E"/>
    <w:rsid w:val="00F46AD7"/>
    <w:rsid w:val="00F46AFF"/>
    <w:rsid w:val="00F46B45"/>
    <w:rsid w:val="00F46B7E"/>
    <w:rsid w:val="00F46C25"/>
    <w:rsid w:val="00F46C42"/>
    <w:rsid w:val="00F46C43"/>
    <w:rsid w:val="00F46C63"/>
    <w:rsid w:val="00F46C8F"/>
    <w:rsid w:val="00F46CF8"/>
    <w:rsid w:val="00F46E21"/>
    <w:rsid w:val="00F46F95"/>
    <w:rsid w:val="00F46FDF"/>
    <w:rsid w:val="00F470F0"/>
    <w:rsid w:val="00F47144"/>
    <w:rsid w:val="00F471E7"/>
    <w:rsid w:val="00F4729C"/>
    <w:rsid w:val="00F473B2"/>
    <w:rsid w:val="00F473D5"/>
    <w:rsid w:val="00F473E2"/>
    <w:rsid w:val="00F4746E"/>
    <w:rsid w:val="00F47476"/>
    <w:rsid w:val="00F4751F"/>
    <w:rsid w:val="00F47561"/>
    <w:rsid w:val="00F475D3"/>
    <w:rsid w:val="00F47637"/>
    <w:rsid w:val="00F47726"/>
    <w:rsid w:val="00F47759"/>
    <w:rsid w:val="00F47771"/>
    <w:rsid w:val="00F47801"/>
    <w:rsid w:val="00F47875"/>
    <w:rsid w:val="00F479B6"/>
    <w:rsid w:val="00F47B3A"/>
    <w:rsid w:val="00F47DEA"/>
    <w:rsid w:val="00F47F8C"/>
    <w:rsid w:val="00F50008"/>
    <w:rsid w:val="00F5005F"/>
    <w:rsid w:val="00F50133"/>
    <w:rsid w:val="00F50180"/>
    <w:rsid w:val="00F50189"/>
    <w:rsid w:val="00F501D6"/>
    <w:rsid w:val="00F5023A"/>
    <w:rsid w:val="00F5028E"/>
    <w:rsid w:val="00F502A0"/>
    <w:rsid w:val="00F502AE"/>
    <w:rsid w:val="00F50379"/>
    <w:rsid w:val="00F5040D"/>
    <w:rsid w:val="00F50457"/>
    <w:rsid w:val="00F504FF"/>
    <w:rsid w:val="00F506FC"/>
    <w:rsid w:val="00F506FD"/>
    <w:rsid w:val="00F5075A"/>
    <w:rsid w:val="00F50830"/>
    <w:rsid w:val="00F5086C"/>
    <w:rsid w:val="00F50923"/>
    <w:rsid w:val="00F5092B"/>
    <w:rsid w:val="00F50955"/>
    <w:rsid w:val="00F50C5F"/>
    <w:rsid w:val="00F50CD8"/>
    <w:rsid w:val="00F50DE0"/>
    <w:rsid w:val="00F50EB0"/>
    <w:rsid w:val="00F50F99"/>
    <w:rsid w:val="00F5105F"/>
    <w:rsid w:val="00F51085"/>
    <w:rsid w:val="00F5108C"/>
    <w:rsid w:val="00F510D5"/>
    <w:rsid w:val="00F510E6"/>
    <w:rsid w:val="00F5112C"/>
    <w:rsid w:val="00F5114D"/>
    <w:rsid w:val="00F5115C"/>
    <w:rsid w:val="00F512D0"/>
    <w:rsid w:val="00F512FA"/>
    <w:rsid w:val="00F5135E"/>
    <w:rsid w:val="00F51394"/>
    <w:rsid w:val="00F513A6"/>
    <w:rsid w:val="00F513E1"/>
    <w:rsid w:val="00F514BB"/>
    <w:rsid w:val="00F5157D"/>
    <w:rsid w:val="00F51598"/>
    <w:rsid w:val="00F516D7"/>
    <w:rsid w:val="00F51854"/>
    <w:rsid w:val="00F51877"/>
    <w:rsid w:val="00F51967"/>
    <w:rsid w:val="00F519A2"/>
    <w:rsid w:val="00F519D5"/>
    <w:rsid w:val="00F51A13"/>
    <w:rsid w:val="00F51C1B"/>
    <w:rsid w:val="00F51C2D"/>
    <w:rsid w:val="00F51C4C"/>
    <w:rsid w:val="00F51C79"/>
    <w:rsid w:val="00F51C84"/>
    <w:rsid w:val="00F51E1F"/>
    <w:rsid w:val="00F51E76"/>
    <w:rsid w:val="00F51E94"/>
    <w:rsid w:val="00F51F96"/>
    <w:rsid w:val="00F52000"/>
    <w:rsid w:val="00F52075"/>
    <w:rsid w:val="00F52079"/>
    <w:rsid w:val="00F52089"/>
    <w:rsid w:val="00F520D5"/>
    <w:rsid w:val="00F520FE"/>
    <w:rsid w:val="00F521FF"/>
    <w:rsid w:val="00F52274"/>
    <w:rsid w:val="00F522C1"/>
    <w:rsid w:val="00F522C5"/>
    <w:rsid w:val="00F52399"/>
    <w:rsid w:val="00F523D2"/>
    <w:rsid w:val="00F523F1"/>
    <w:rsid w:val="00F52484"/>
    <w:rsid w:val="00F5251E"/>
    <w:rsid w:val="00F5257E"/>
    <w:rsid w:val="00F5258B"/>
    <w:rsid w:val="00F525A5"/>
    <w:rsid w:val="00F525A8"/>
    <w:rsid w:val="00F525DD"/>
    <w:rsid w:val="00F5264B"/>
    <w:rsid w:val="00F52697"/>
    <w:rsid w:val="00F526AC"/>
    <w:rsid w:val="00F5273B"/>
    <w:rsid w:val="00F52766"/>
    <w:rsid w:val="00F527B8"/>
    <w:rsid w:val="00F528C0"/>
    <w:rsid w:val="00F528DC"/>
    <w:rsid w:val="00F5295E"/>
    <w:rsid w:val="00F529B8"/>
    <w:rsid w:val="00F529CF"/>
    <w:rsid w:val="00F52A2C"/>
    <w:rsid w:val="00F52A93"/>
    <w:rsid w:val="00F52B19"/>
    <w:rsid w:val="00F52B8F"/>
    <w:rsid w:val="00F52C3E"/>
    <w:rsid w:val="00F52C86"/>
    <w:rsid w:val="00F52CDF"/>
    <w:rsid w:val="00F52E5A"/>
    <w:rsid w:val="00F52E99"/>
    <w:rsid w:val="00F52EF4"/>
    <w:rsid w:val="00F52EF8"/>
    <w:rsid w:val="00F52FB2"/>
    <w:rsid w:val="00F5301D"/>
    <w:rsid w:val="00F53022"/>
    <w:rsid w:val="00F5308D"/>
    <w:rsid w:val="00F530AE"/>
    <w:rsid w:val="00F530CE"/>
    <w:rsid w:val="00F53184"/>
    <w:rsid w:val="00F53186"/>
    <w:rsid w:val="00F531B9"/>
    <w:rsid w:val="00F5323D"/>
    <w:rsid w:val="00F53248"/>
    <w:rsid w:val="00F533A5"/>
    <w:rsid w:val="00F5348D"/>
    <w:rsid w:val="00F534D4"/>
    <w:rsid w:val="00F53505"/>
    <w:rsid w:val="00F5358D"/>
    <w:rsid w:val="00F535CA"/>
    <w:rsid w:val="00F53739"/>
    <w:rsid w:val="00F5373A"/>
    <w:rsid w:val="00F537A5"/>
    <w:rsid w:val="00F538B2"/>
    <w:rsid w:val="00F538C4"/>
    <w:rsid w:val="00F538D8"/>
    <w:rsid w:val="00F5391D"/>
    <w:rsid w:val="00F5396D"/>
    <w:rsid w:val="00F53A7C"/>
    <w:rsid w:val="00F53B4E"/>
    <w:rsid w:val="00F53CA5"/>
    <w:rsid w:val="00F53CE0"/>
    <w:rsid w:val="00F53CFD"/>
    <w:rsid w:val="00F53D3F"/>
    <w:rsid w:val="00F53D44"/>
    <w:rsid w:val="00F53E01"/>
    <w:rsid w:val="00F53E1C"/>
    <w:rsid w:val="00F53E9A"/>
    <w:rsid w:val="00F53ECE"/>
    <w:rsid w:val="00F5401F"/>
    <w:rsid w:val="00F54084"/>
    <w:rsid w:val="00F540AB"/>
    <w:rsid w:val="00F54167"/>
    <w:rsid w:val="00F54179"/>
    <w:rsid w:val="00F5421B"/>
    <w:rsid w:val="00F54238"/>
    <w:rsid w:val="00F54243"/>
    <w:rsid w:val="00F5425C"/>
    <w:rsid w:val="00F5427A"/>
    <w:rsid w:val="00F543FC"/>
    <w:rsid w:val="00F5444B"/>
    <w:rsid w:val="00F54514"/>
    <w:rsid w:val="00F54536"/>
    <w:rsid w:val="00F5456C"/>
    <w:rsid w:val="00F54658"/>
    <w:rsid w:val="00F54661"/>
    <w:rsid w:val="00F546AA"/>
    <w:rsid w:val="00F546CF"/>
    <w:rsid w:val="00F546D2"/>
    <w:rsid w:val="00F546EB"/>
    <w:rsid w:val="00F54712"/>
    <w:rsid w:val="00F5473D"/>
    <w:rsid w:val="00F54899"/>
    <w:rsid w:val="00F548A0"/>
    <w:rsid w:val="00F548F1"/>
    <w:rsid w:val="00F54954"/>
    <w:rsid w:val="00F549B1"/>
    <w:rsid w:val="00F549C5"/>
    <w:rsid w:val="00F549E9"/>
    <w:rsid w:val="00F54AB3"/>
    <w:rsid w:val="00F54ABA"/>
    <w:rsid w:val="00F54ACC"/>
    <w:rsid w:val="00F54B10"/>
    <w:rsid w:val="00F54B7A"/>
    <w:rsid w:val="00F54BF0"/>
    <w:rsid w:val="00F54C79"/>
    <w:rsid w:val="00F54CFE"/>
    <w:rsid w:val="00F54D04"/>
    <w:rsid w:val="00F54DF6"/>
    <w:rsid w:val="00F54DFF"/>
    <w:rsid w:val="00F54E9E"/>
    <w:rsid w:val="00F54F0C"/>
    <w:rsid w:val="00F54F8A"/>
    <w:rsid w:val="00F5500C"/>
    <w:rsid w:val="00F5504B"/>
    <w:rsid w:val="00F55136"/>
    <w:rsid w:val="00F55172"/>
    <w:rsid w:val="00F551C0"/>
    <w:rsid w:val="00F55254"/>
    <w:rsid w:val="00F552AD"/>
    <w:rsid w:val="00F55424"/>
    <w:rsid w:val="00F5547E"/>
    <w:rsid w:val="00F5548D"/>
    <w:rsid w:val="00F554DB"/>
    <w:rsid w:val="00F5551A"/>
    <w:rsid w:val="00F55588"/>
    <w:rsid w:val="00F555C9"/>
    <w:rsid w:val="00F555FC"/>
    <w:rsid w:val="00F556E3"/>
    <w:rsid w:val="00F55777"/>
    <w:rsid w:val="00F557A3"/>
    <w:rsid w:val="00F5582F"/>
    <w:rsid w:val="00F5588F"/>
    <w:rsid w:val="00F558AA"/>
    <w:rsid w:val="00F55A7A"/>
    <w:rsid w:val="00F55B66"/>
    <w:rsid w:val="00F55BE0"/>
    <w:rsid w:val="00F55BF8"/>
    <w:rsid w:val="00F55C76"/>
    <w:rsid w:val="00F55CF5"/>
    <w:rsid w:val="00F55D8F"/>
    <w:rsid w:val="00F55E26"/>
    <w:rsid w:val="00F55E93"/>
    <w:rsid w:val="00F55F23"/>
    <w:rsid w:val="00F55F50"/>
    <w:rsid w:val="00F55F66"/>
    <w:rsid w:val="00F55F84"/>
    <w:rsid w:val="00F55FB6"/>
    <w:rsid w:val="00F5600D"/>
    <w:rsid w:val="00F56013"/>
    <w:rsid w:val="00F56055"/>
    <w:rsid w:val="00F56074"/>
    <w:rsid w:val="00F56101"/>
    <w:rsid w:val="00F56167"/>
    <w:rsid w:val="00F562B1"/>
    <w:rsid w:val="00F563D9"/>
    <w:rsid w:val="00F565A5"/>
    <w:rsid w:val="00F565ED"/>
    <w:rsid w:val="00F56617"/>
    <w:rsid w:val="00F56770"/>
    <w:rsid w:val="00F567C9"/>
    <w:rsid w:val="00F567EA"/>
    <w:rsid w:val="00F568F3"/>
    <w:rsid w:val="00F56917"/>
    <w:rsid w:val="00F56A0D"/>
    <w:rsid w:val="00F56A2A"/>
    <w:rsid w:val="00F56AEC"/>
    <w:rsid w:val="00F56B92"/>
    <w:rsid w:val="00F56BD3"/>
    <w:rsid w:val="00F56BF8"/>
    <w:rsid w:val="00F56C6E"/>
    <w:rsid w:val="00F56CCC"/>
    <w:rsid w:val="00F56D8B"/>
    <w:rsid w:val="00F56DF0"/>
    <w:rsid w:val="00F56E2A"/>
    <w:rsid w:val="00F56E74"/>
    <w:rsid w:val="00F56E8F"/>
    <w:rsid w:val="00F56EF1"/>
    <w:rsid w:val="00F57020"/>
    <w:rsid w:val="00F57114"/>
    <w:rsid w:val="00F5714C"/>
    <w:rsid w:val="00F5736D"/>
    <w:rsid w:val="00F5740C"/>
    <w:rsid w:val="00F574C8"/>
    <w:rsid w:val="00F574F0"/>
    <w:rsid w:val="00F57533"/>
    <w:rsid w:val="00F57590"/>
    <w:rsid w:val="00F57664"/>
    <w:rsid w:val="00F576E2"/>
    <w:rsid w:val="00F576EA"/>
    <w:rsid w:val="00F57820"/>
    <w:rsid w:val="00F5788A"/>
    <w:rsid w:val="00F57983"/>
    <w:rsid w:val="00F57ACD"/>
    <w:rsid w:val="00F57AD6"/>
    <w:rsid w:val="00F57B24"/>
    <w:rsid w:val="00F57BB5"/>
    <w:rsid w:val="00F57BE3"/>
    <w:rsid w:val="00F57C65"/>
    <w:rsid w:val="00F57D11"/>
    <w:rsid w:val="00F57D1D"/>
    <w:rsid w:val="00F57D5D"/>
    <w:rsid w:val="00F57DBA"/>
    <w:rsid w:val="00F57DC6"/>
    <w:rsid w:val="00F57EC7"/>
    <w:rsid w:val="00F57F85"/>
    <w:rsid w:val="00F57FB2"/>
    <w:rsid w:val="00F57FB4"/>
    <w:rsid w:val="00F60065"/>
    <w:rsid w:val="00F60121"/>
    <w:rsid w:val="00F601D1"/>
    <w:rsid w:val="00F6027F"/>
    <w:rsid w:val="00F60298"/>
    <w:rsid w:val="00F602B3"/>
    <w:rsid w:val="00F602ED"/>
    <w:rsid w:val="00F6032B"/>
    <w:rsid w:val="00F60372"/>
    <w:rsid w:val="00F603EE"/>
    <w:rsid w:val="00F60472"/>
    <w:rsid w:val="00F60496"/>
    <w:rsid w:val="00F604A1"/>
    <w:rsid w:val="00F6051D"/>
    <w:rsid w:val="00F60580"/>
    <w:rsid w:val="00F605AA"/>
    <w:rsid w:val="00F607B9"/>
    <w:rsid w:val="00F60881"/>
    <w:rsid w:val="00F608A4"/>
    <w:rsid w:val="00F608D3"/>
    <w:rsid w:val="00F609CA"/>
    <w:rsid w:val="00F60A19"/>
    <w:rsid w:val="00F60A40"/>
    <w:rsid w:val="00F60A4A"/>
    <w:rsid w:val="00F60ABC"/>
    <w:rsid w:val="00F60B2C"/>
    <w:rsid w:val="00F60B40"/>
    <w:rsid w:val="00F60B62"/>
    <w:rsid w:val="00F60B65"/>
    <w:rsid w:val="00F60D93"/>
    <w:rsid w:val="00F60DA3"/>
    <w:rsid w:val="00F60EDF"/>
    <w:rsid w:val="00F60F87"/>
    <w:rsid w:val="00F61000"/>
    <w:rsid w:val="00F610B7"/>
    <w:rsid w:val="00F61108"/>
    <w:rsid w:val="00F6119E"/>
    <w:rsid w:val="00F61266"/>
    <w:rsid w:val="00F61629"/>
    <w:rsid w:val="00F616B5"/>
    <w:rsid w:val="00F61719"/>
    <w:rsid w:val="00F617F2"/>
    <w:rsid w:val="00F6181A"/>
    <w:rsid w:val="00F61832"/>
    <w:rsid w:val="00F618B6"/>
    <w:rsid w:val="00F618CF"/>
    <w:rsid w:val="00F61929"/>
    <w:rsid w:val="00F619D3"/>
    <w:rsid w:val="00F61A26"/>
    <w:rsid w:val="00F61AC7"/>
    <w:rsid w:val="00F61AD9"/>
    <w:rsid w:val="00F61BFB"/>
    <w:rsid w:val="00F61CDB"/>
    <w:rsid w:val="00F61D41"/>
    <w:rsid w:val="00F61DA2"/>
    <w:rsid w:val="00F61DBB"/>
    <w:rsid w:val="00F61DF1"/>
    <w:rsid w:val="00F61E9B"/>
    <w:rsid w:val="00F61F21"/>
    <w:rsid w:val="00F61F6A"/>
    <w:rsid w:val="00F620D5"/>
    <w:rsid w:val="00F62160"/>
    <w:rsid w:val="00F62280"/>
    <w:rsid w:val="00F6231E"/>
    <w:rsid w:val="00F62358"/>
    <w:rsid w:val="00F62377"/>
    <w:rsid w:val="00F623A1"/>
    <w:rsid w:val="00F625D3"/>
    <w:rsid w:val="00F62677"/>
    <w:rsid w:val="00F626EC"/>
    <w:rsid w:val="00F6271A"/>
    <w:rsid w:val="00F62727"/>
    <w:rsid w:val="00F6278D"/>
    <w:rsid w:val="00F627EB"/>
    <w:rsid w:val="00F6282D"/>
    <w:rsid w:val="00F62894"/>
    <w:rsid w:val="00F628BF"/>
    <w:rsid w:val="00F628C4"/>
    <w:rsid w:val="00F62A4A"/>
    <w:rsid w:val="00F62ABD"/>
    <w:rsid w:val="00F62C29"/>
    <w:rsid w:val="00F62C48"/>
    <w:rsid w:val="00F62E23"/>
    <w:rsid w:val="00F62EA6"/>
    <w:rsid w:val="00F62F81"/>
    <w:rsid w:val="00F63165"/>
    <w:rsid w:val="00F631AD"/>
    <w:rsid w:val="00F631AE"/>
    <w:rsid w:val="00F6324E"/>
    <w:rsid w:val="00F63305"/>
    <w:rsid w:val="00F6333D"/>
    <w:rsid w:val="00F633F7"/>
    <w:rsid w:val="00F63478"/>
    <w:rsid w:val="00F63483"/>
    <w:rsid w:val="00F63503"/>
    <w:rsid w:val="00F63504"/>
    <w:rsid w:val="00F63555"/>
    <w:rsid w:val="00F635C1"/>
    <w:rsid w:val="00F63600"/>
    <w:rsid w:val="00F636CB"/>
    <w:rsid w:val="00F6370B"/>
    <w:rsid w:val="00F63781"/>
    <w:rsid w:val="00F63812"/>
    <w:rsid w:val="00F6387F"/>
    <w:rsid w:val="00F63892"/>
    <w:rsid w:val="00F63904"/>
    <w:rsid w:val="00F639D3"/>
    <w:rsid w:val="00F639E2"/>
    <w:rsid w:val="00F63A8E"/>
    <w:rsid w:val="00F63B0A"/>
    <w:rsid w:val="00F63B8E"/>
    <w:rsid w:val="00F63BB0"/>
    <w:rsid w:val="00F63CAE"/>
    <w:rsid w:val="00F63CCC"/>
    <w:rsid w:val="00F63EFF"/>
    <w:rsid w:val="00F63FAE"/>
    <w:rsid w:val="00F63FE5"/>
    <w:rsid w:val="00F64017"/>
    <w:rsid w:val="00F640D0"/>
    <w:rsid w:val="00F640F6"/>
    <w:rsid w:val="00F64114"/>
    <w:rsid w:val="00F64144"/>
    <w:rsid w:val="00F6428B"/>
    <w:rsid w:val="00F642B2"/>
    <w:rsid w:val="00F64302"/>
    <w:rsid w:val="00F643A0"/>
    <w:rsid w:val="00F6445A"/>
    <w:rsid w:val="00F644B8"/>
    <w:rsid w:val="00F644E4"/>
    <w:rsid w:val="00F644F0"/>
    <w:rsid w:val="00F645F2"/>
    <w:rsid w:val="00F64603"/>
    <w:rsid w:val="00F6460B"/>
    <w:rsid w:val="00F64629"/>
    <w:rsid w:val="00F64683"/>
    <w:rsid w:val="00F6475B"/>
    <w:rsid w:val="00F647B5"/>
    <w:rsid w:val="00F64807"/>
    <w:rsid w:val="00F64886"/>
    <w:rsid w:val="00F64921"/>
    <w:rsid w:val="00F64925"/>
    <w:rsid w:val="00F649F4"/>
    <w:rsid w:val="00F64A00"/>
    <w:rsid w:val="00F64A79"/>
    <w:rsid w:val="00F64AB6"/>
    <w:rsid w:val="00F64B6B"/>
    <w:rsid w:val="00F64BA0"/>
    <w:rsid w:val="00F64BA2"/>
    <w:rsid w:val="00F64BD3"/>
    <w:rsid w:val="00F64C66"/>
    <w:rsid w:val="00F64C6D"/>
    <w:rsid w:val="00F64C96"/>
    <w:rsid w:val="00F64D37"/>
    <w:rsid w:val="00F64E6A"/>
    <w:rsid w:val="00F64FAF"/>
    <w:rsid w:val="00F64FD5"/>
    <w:rsid w:val="00F65017"/>
    <w:rsid w:val="00F65078"/>
    <w:rsid w:val="00F650E2"/>
    <w:rsid w:val="00F6513F"/>
    <w:rsid w:val="00F651EB"/>
    <w:rsid w:val="00F65249"/>
    <w:rsid w:val="00F6527F"/>
    <w:rsid w:val="00F652BD"/>
    <w:rsid w:val="00F652C0"/>
    <w:rsid w:val="00F653E6"/>
    <w:rsid w:val="00F653FB"/>
    <w:rsid w:val="00F655A7"/>
    <w:rsid w:val="00F6564D"/>
    <w:rsid w:val="00F656BB"/>
    <w:rsid w:val="00F657CE"/>
    <w:rsid w:val="00F6585F"/>
    <w:rsid w:val="00F65887"/>
    <w:rsid w:val="00F658E2"/>
    <w:rsid w:val="00F65910"/>
    <w:rsid w:val="00F65992"/>
    <w:rsid w:val="00F659A4"/>
    <w:rsid w:val="00F659B2"/>
    <w:rsid w:val="00F659CC"/>
    <w:rsid w:val="00F659D3"/>
    <w:rsid w:val="00F65A3D"/>
    <w:rsid w:val="00F65A52"/>
    <w:rsid w:val="00F65A75"/>
    <w:rsid w:val="00F65AD3"/>
    <w:rsid w:val="00F65BB9"/>
    <w:rsid w:val="00F65C88"/>
    <w:rsid w:val="00F65C92"/>
    <w:rsid w:val="00F65CA5"/>
    <w:rsid w:val="00F65CC6"/>
    <w:rsid w:val="00F65D4A"/>
    <w:rsid w:val="00F65DC3"/>
    <w:rsid w:val="00F65E30"/>
    <w:rsid w:val="00F65E39"/>
    <w:rsid w:val="00F65E8F"/>
    <w:rsid w:val="00F65F56"/>
    <w:rsid w:val="00F6600F"/>
    <w:rsid w:val="00F66045"/>
    <w:rsid w:val="00F66138"/>
    <w:rsid w:val="00F661EA"/>
    <w:rsid w:val="00F66363"/>
    <w:rsid w:val="00F66398"/>
    <w:rsid w:val="00F663D4"/>
    <w:rsid w:val="00F663D5"/>
    <w:rsid w:val="00F663F1"/>
    <w:rsid w:val="00F66402"/>
    <w:rsid w:val="00F66448"/>
    <w:rsid w:val="00F66484"/>
    <w:rsid w:val="00F66525"/>
    <w:rsid w:val="00F66604"/>
    <w:rsid w:val="00F66664"/>
    <w:rsid w:val="00F666BB"/>
    <w:rsid w:val="00F66758"/>
    <w:rsid w:val="00F667A2"/>
    <w:rsid w:val="00F6692D"/>
    <w:rsid w:val="00F66933"/>
    <w:rsid w:val="00F66948"/>
    <w:rsid w:val="00F66A46"/>
    <w:rsid w:val="00F66A6A"/>
    <w:rsid w:val="00F66AC4"/>
    <w:rsid w:val="00F66B92"/>
    <w:rsid w:val="00F66BAE"/>
    <w:rsid w:val="00F66C7F"/>
    <w:rsid w:val="00F66C96"/>
    <w:rsid w:val="00F66CF8"/>
    <w:rsid w:val="00F66D18"/>
    <w:rsid w:val="00F66D7F"/>
    <w:rsid w:val="00F66DAD"/>
    <w:rsid w:val="00F66E82"/>
    <w:rsid w:val="00F66FDA"/>
    <w:rsid w:val="00F67021"/>
    <w:rsid w:val="00F67053"/>
    <w:rsid w:val="00F67153"/>
    <w:rsid w:val="00F6732E"/>
    <w:rsid w:val="00F674CB"/>
    <w:rsid w:val="00F6756C"/>
    <w:rsid w:val="00F675A6"/>
    <w:rsid w:val="00F676B2"/>
    <w:rsid w:val="00F676CE"/>
    <w:rsid w:val="00F678BF"/>
    <w:rsid w:val="00F678D1"/>
    <w:rsid w:val="00F678E4"/>
    <w:rsid w:val="00F6799D"/>
    <w:rsid w:val="00F6799F"/>
    <w:rsid w:val="00F679B4"/>
    <w:rsid w:val="00F679DF"/>
    <w:rsid w:val="00F67A9B"/>
    <w:rsid w:val="00F67BA3"/>
    <w:rsid w:val="00F67BBA"/>
    <w:rsid w:val="00F67C86"/>
    <w:rsid w:val="00F67D0B"/>
    <w:rsid w:val="00F67D0E"/>
    <w:rsid w:val="00F67E56"/>
    <w:rsid w:val="00F67E94"/>
    <w:rsid w:val="00F67EAC"/>
    <w:rsid w:val="00F67F71"/>
    <w:rsid w:val="00F70088"/>
    <w:rsid w:val="00F700C7"/>
    <w:rsid w:val="00F700DC"/>
    <w:rsid w:val="00F700F9"/>
    <w:rsid w:val="00F7040B"/>
    <w:rsid w:val="00F70441"/>
    <w:rsid w:val="00F70618"/>
    <w:rsid w:val="00F7064B"/>
    <w:rsid w:val="00F70667"/>
    <w:rsid w:val="00F706DA"/>
    <w:rsid w:val="00F707B5"/>
    <w:rsid w:val="00F7085B"/>
    <w:rsid w:val="00F708AF"/>
    <w:rsid w:val="00F70922"/>
    <w:rsid w:val="00F70941"/>
    <w:rsid w:val="00F7099F"/>
    <w:rsid w:val="00F70AE5"/>
    <w:rsid w:val="00F70AEA"/>
    <w:rsid w:val="00F70B43"/>
    <w:rsid w:val="00F70B94"/>
    <w:rsid w:val="00F70BB6"/>
    <w:rsid w:val="00F70BBD"/>
    <w:rsid w:val="00F70BE8"/>
    <w:rsid w:val="00F70CCE"/>
    <w:rsid w:val="00F70D35"/>
    <w:rsid w:val="00F70E9D"/>
    <w:rsid w:val="00F70F04"/>
    <w:rsid w:val="00F70F37"/>
    <w:rsid w:val="00F70F4A"/>
    <w:rsid w:val="00F7100E"/>
    <w:rsid w:val="00F710E4"/>
    <w:rsid w:val="00F710F8"/>
    <w:rsid w:val="00F7111F"/>
    <w:rsid w:val="00F71340"/>
    <w:rsid w:val="00F713BB"/>
    <w:rsid w:val="00F7143A"/>
    <w:rsid w:val="00F71595"/>
    <w:rsid w:val="00F715E8"/>
    <w:rsid w:val="00F71631"/>
    <w:rsid w:val="00F7164D"/>
    <w:rsid w:val="00F716B9"/>
    <w:rsid w:val="00F716BF"/>
    <w:rsid w:val="00F71A3F"/>
    <w:rsid w:val="00F71A4C"/>
    <w:rsid w:val="00F71A67"/>
    <w:rsid w:val="00F71B7D"/>
    <w:rsid w:val="00F71BC1"/>
    <w:rsid w:val="00F71C26"/>
    <w:rsid w:val="00F71CBC"/>
    <w:rsid w:val="00F71D1B"/>
    <w:rsid w:val="00F71D29"/>
    <w:rsid w:val="00F71D97"/>
    <w:rsid w:val="00F71ED9"/>
    <w:rsid w:val="00F71EFE"/>
    <w:rsid w:val="00F7204E"/>
    <w:rsid w:val="00F722FA"/>
    <w:rsid w:val="00F72356"/>
    <w:rsid w:val="00F72400"/>
    <w:rsid w:val="00F7240E"/>
    <w:rsid w:val="00F7243D"/>
    <w:rsid w:val="00F72455"/>
    <w:rsid w:val="00F72484"/>
    <w:rsid w:val="00F725DF"/>
    <w:rsid w:val="00F7267D"/>
    <w:rsid w:val="00F7268C"/>
    <w:rsid w:val="00F72712"/>
    <w:rsid w:val="00F72768"/>
    <w:rsid w:val="00F727F2"/>
    <w:rsid w:val="00F72800"/>
    <w:rsid w:val="00F72812"/>
    <w:rsid w:val="00F728CE"/>
    <w:rsid w:val="00F72919"/>
    <w:rsid w:val="00F72923"/>
    <w:rsid w:val="00F72996"/>
    <w:rsid w:val="00F729D6"/>
    <w:rsid w:val="00F729E7"/>
    <w:rsid w:val="00F72A9C"/>
    <w:rsid w:val="00F72CDD"/>
    <w:rsid w:val="00F72D1B"/>
    <w:rsid w:val="00F72E06"/>
    <w:rsid w:val="00F7304D"/>
    <w:rsid w:val="00F7306D"/>
    <w:rsid w:val="00F7307C"/>
    <w:rsid w:val="00F730BD"/>
    <w:rsid w:val="00F730F3"/>
    <w:rsid w:val="00F73103"/>
    <w:rsid w:val="00F7315E"/>
    <w:rsid w:val="00F731DD"/>
    <w:rsid w:val="00F7326F"/>
    <w:rsid w:val="00F732DD"/>
    <w:rsid w:val="00F733F0"/>
    <w:rsid w:val="00F7346E"/>
    <w:rsid w:val="00F7359B"/>
    <w:rsid w:val="00F7362A"/>
    <w:rsid w:val="00F7362C"/>
    <w:rsid w:val="00F736DD"/>
    <w:rsid w:val="00F7371A"/>
    <w:rsid w:val="00F737A9"/>
    <w:rsid w:val="00F737EB"/>
    <w:rsid w:val="00F73822"/>
    <w:rsid w:val="00F7384B"/>
    <w:rsid w:val="00F738F4"/>
    <w:rsid w:val="00F73916"/>
    <w:rsid w:val="00F739AC"/>
    <w:rsid w:val="00F739FB"/>
    <w:rsid w:val="00F73A5F"/>
    <w:rsid w:val="00F73CDF"/>
    <w:rsid w:val="00F73D97"/>
    <w:rsid w:val="00F73E70"/>
    <w:rsid w:val="00F73F50"/>
    <w:rsid w:val="00F7401A"/>
    <w:rsid w:val="00F74130"/>
    <w:rsid w:val="00F74164"/>
    <w:rsid w:val="00F7416E"/>
    <w:rsid w:val="00F741A1"/>
    <w:rsid w:val="00F742A1"/>
    <w:rsid w:val="00F7433E"/>
    <w:rsid w:val="00F743A1"/>
    <w:rsid w:val="00F743AA"/>
    <w:rsid w:val="00F743C8"/>
    <w:rsid w:val="00F74486"/>
    <w:rsid w:val="00F744F6"/>
    <w:rsid w:val="00F74581"/>
    <w:rsid w:val="00F746DD"/>
    <w:rsid w:val="00F74745"/>
    <w:rsid w:val="00F7478E"/>
    <w:rsid w:val="00F747F2"/>
    <w:rsid w:val="00F74862"/>
    <w:rsid w:val="00F7486A"/>
    <w:rsid w:val="00F748CE"/>
    <w:rsid w:val="00F749BF"/>
    <w:rsid w:val="00F74AB9"/>
    <w:rsid w:val="00F74B6E"/>
    <w:rsid w:val="00F74D03"/>
    <w:rsid w:val="00F74D31"/>
    <w:rsid w:val="00F74D33"/>
    <w:rsid w:val="00F74D63"/>
    <w:rsid w:val="00F74E7F"/>
    <w:rsid w:val="00F75046"/>
    <w:rsid w:val="00F75273"/>
    <w:rsid w:val="00F75277"/>
    <w:rsid w:val="00F75279"/>
    <w:rsid w:val="00F7527E"/>
    <w:rsid w:val="00F752D0"/>
    <w:rsid w:val="00F7537A"/>
    <w:rsid w:val="00F7537B"/>
    <w:rsid w:val="00F754A9"/>
    <w:rsid w:val="00F754CA"/>
    <w:rsid w:val="00F75509"/>
    <w:rsid w:val="00F75574"/>
    <w:rsid w:val="00F755B3"/>
    <w:rsid w:val="00F7576E"/>
    <w:rsid w:val="00F75787"/>
    <w:rsid w:val="00F757A1"/>
    <w:rsid w:val="00F757A8"/>
    <w:rsid w:val="00F75840"/>
    <w:rsid w:val="00F75872"/>
    <w:rsid w:val="00F75A8B"/>
    <w:rsid w:val="00F75AF2"/>
    <w:rsid w:val="00F75BC0"/>
    <w:rsid w:val="00F75C1F"/>
    <w:rsid w:val="00F75CCE"/>
    <w:rsid w:val="00F75CEB"/>
    <w:rsid w:val="00F75E5A"/>
    <w:rsid w:val="00F75EA0"/>
    <w:rsid w:val="00F75EF4"/>
    <w:rsid w:val="00F75FE6"/>
    <w:rsid w:val="00F75FF0"/>
    <w:rsid w:val="00F761AC"/>
    <w:rsid w:val="00F761B7"/>
    <w:rsid w:val="00F76264"/>
    <w:rsid w:val="00F762EA"/>
    <w:rsid w:val="00F7634E"/>
    <w:rsid w:val="00F76368"/>
    <w:rsid w:val="00F763B5"/>
    <w:rsid w:val="00F763B7"/>
    <w:rsid w:val="00F76574"/>
    <w:rsid w:val="00F7658F"/>
    <w:rsid w:val="00F765D6"/>
    <w:rsid w:val="00F76666"/>
    <w:rsid w:val="00F7669E"/>
    <w:rsid w:val="00F766A5"/>
    <w:rsid w:val="00F767EF"/>
    <w:rsid w:val="00F767F8"/>
    <w:rsid w:val="00F7689C"/>
    <w:rsid w:val="00F768AA"/>
    <w:rsid w:val="00F7694A"/>
    <w:rsid w:val="00F76AA7"/>
    <w:rsid w:val="00F76CC3"/>
    <w:rsid w:val="00F76CD1"/>
    <w:rsid w:val="00F76E25"/>
    <w:rsid w:val="00F76EE0"/>
    <w:rsid w:val="00F76F07"/>
    <w:rsid w:val="00F76F09"/>
    <w:rsid w:val="00F76F26"/>
    <w:rsid w:val="00F76F7C"/>
    <w:rsid w:val="00F76FA9"/>
    <w:rsid w:val="00F76FD6"/>
    <w:rsid w:val="00F77052"/>
    <w:rsid w:val="00F77063"/>
    <w:rsid w:val="00F770E0"/>
    <w:rsid w:val="00F77114"/>
    <w:rsid w:val="00F7714A"/>
    <w:rsid w:val="00F7721A"/>
    <w:rsid w:val="00F77278"/>
    <w:rsid w:val="00F772C3"/>
    <w:rsid w:val="00F77323"/>
    <w:rsid w:val="00F7744F"/>
    <w:rsid w:val="00F775CB"/>
    <w:rsid w:val="00F775F5"/>
    <w:rsid w:val="00F7768B"/>
    <w:rsid w:val="00F776AC"/>
    <w:rsid w:val="00F776BC"/>
    <w:rsid w:val="00F776C8"/>
    <w:rsid w:val="00F776E4"/>
    <w:rsid w:val="00F77898"/>
    <w:rsid w:val="00F778FF"/>
    <w:rsid w:val="00F77960"/>
    <w:rsid w:val="00F779A0"/>
    <w:rsid w:val="00F77AD6"/>
    <w:rsid w:val="00F77D90"/>
    <w:rsid w:val="00F77E09"/>
    <w:rsid w:val="00F77E1F"/>
    <w:rsid w:val="00F77E2D"/>
    <w:rsid w:val="00F80014"/>
    <w:rsid w:val="00F800D2"/>
    <w:rsid w:val="00F8017B"/>
    <w:rsid w:val="00F801AA"/>
    <w:rsid w:val="00F8025F"/>
    <w:rsid w:val="00F802BE"/>
    <w:rsid w:val="00F802EA"/>
    <w:rsid w:val="00F803A3"/>
    <w:rsid w:val="00F804BF"/>
    <w:rsid w:val="00F80541"/>
    <w:rsid w:val="00F805D2"/>
    <w:rsid w:val="00F80675"/>
    <w:rsid w:val="00F806EE"/>
    <w:rsid w:val="00F80713"/>
    <w:rsid w:val="00F8072C"/>
    <w:rsid w:val="00F80742"/>
    <w:rsid w:val="00F8087A"/>
    <w:rsid w:val="00F8092B"/>
    <w:rsid w:val="00F809F1"/>
    <w:rsid w:val="00F80A05"/>
    <w:rsid w:val="00F80A93"/>
    <w:rsid w:val="00F80B5C"/>
    <w:rsid w:val="00F80BB7"/>
    <w:rsid w:val="00F80C36"/>
    <w:rsid w:val="00F80C3B"/>
    <w:rsid w:val="00F80C6A"/>
    <w:rsid w:val="00F80C97"/>
    <w:rsid w:val="00F80CFC"/>
    <w:rsid w:val="00F80D27"/>
    <w:rsid w:val="00F80D47"/>
    <w:rsid w:val="00F80D53"/>
    <w:rsid w:val="00F80E17"/>
    <w:rsid w:val="00F80E9B"/>
    <w:rsid w:val="00F80F4D"/>
    <w:rsid w:val="00F80F99"/>
    <w:rsid w:val="00F8106B"/>
    <w:rsid w:val="00F8111E"/>
    <w:rsid w:val="00F81156"/>
    <w:rsid w:val="00F8122B"/>
    <w:rsid w:val="00F812D7"/>
    <w:rsid w:val="00F812E1"/>
    <w:rsid w:val="00F81399"/>
    <w:rsid w:val="00F814E4"/>
    <w:rsid w:val="00F8150F"/>
    <w:rsid w:val="00F81567"/>
    <w:rsid w:val="00F815CA"/>
    <w:rsid w:val="00F81784"/>
    <w:rsid w:val="00F817A4"/>
    <w:rsid w:val="00F8187B"/>
    <w:rsid w:val="00F81919"/>
    <w:rsid w:val="00F819BA"/>
    <w:rsid w:val="00F81B59"/>
    <w:rsid w:val="00F81B96"/>
    <w:rsid w:val="00F81BFB"/>
    <w:rsid w:val="00F81C35"/>
    <w:rsid w:val="00F81C36"/>
    <w:rsid w:val="00F81CB5"/>
    <w:rsid w:val="00F81D70"/>
    <w:rsid w:val="00F81D9C"/>
    <w:rsid w:val="00F81DEF"/>
    <w:rsid w:val="00F81EB4"/>
    <w:rsid w:val="00F81ECA"/>
    <w:rsid w:val="00F81F00"/>
    <w:rsid w:val="00F81F0A"/>
    <w:rsid w:val="00F82015"/>
    <w:rsid w:val="00F820B5"/>
    <w:rsid w:val="00F821BA"/>
    <w:rsid w:val="00F822F6"/>
    <w:rsid w:val="00F8230D"/>
    <w:rsid w:val="00F823DF"/>
    <w:rsid w:val="00F82454"/>
    <w:rsid w:val="00F82535"/>
    <w:rsid w:val="00F8255E"/>
    <w:rsid w:val="00F82580"/>
    <w:rsid w:val="00F825B0"/>
    <w:rsid w:val="00F8267A"/>
    <w:rsid w:val="00F826A6"/>
    <w:rsid w:val="00F826B4"/>
    <w:rsid w:val="00F826C1"/>
    <w:rsid w:val="00F82731"/>
    <w:rsid w:val="00F8273D"/>
    <w:rsid w:val="00F827A6"/>
    <w:rsid w:val="00F827D2"/>
    <w:rsid w:val="00F82869"/>
    <w:rsid w:val="00F82938"/>
    <w:rsid w:val="00F82972"/>
    <w:rsid w:val="00F829DC"/>
    <w:rsid w:val="00F82A89"/>
    <w:rsid w:val="00F82AC4"/>
    <w:rsid w:val="00F82B81"/>
    <w:rsid w:val="00F82C86"/>
    <w:rsid w:val="00F82D01"/>
    <w:rsid w:val="00F82EC6"/>
    <w:rsid w:val="00F82F33"/>
    <w:rsid w:val="00F82F7F"/>
    <w:rsid w:val="00F82FE2"/>
    <w:rsid w:val="00F83020"/>
    <w:rsid w:val="00F8303C"/>
    <w:rsid w:val="00F83074"/>
    <w:rsid w:val="00F8307E"/>
    <w:rsid w:val="00F8317D"/>
    <w:rsid w:val="00F831DB"/>
    <w:rsid w:val="00F831F2"/>
    <w:rsid w:val="00F83239"/>
    <w:rsid w:val="00F8323D"/>
    <w:rsid w:val="00F832B9"/>
    <w:rsid w:val="00F83568"/>
    <w:rsid w:val="00F83577"/>
    <w:rsid w:val="00F8358D"/>
    <w:rsid w:val="00F835C9"/>
    <w:rsid w:val="00F835CE"/>
    <w:rsid w:val="00F836D4"/>
    <w:rsid w:val="00F83759"/>
    <w:rsid w:val="00F8381A"/>
    <w:rsid w:val="00F83867"/>
    <w:rsid w:val="00F838ED"/>
    <w:rsid w:val="00F8391A"/>
    <w:rsid w:val="00F8396B"/>
    <w:rsid w:val="00F83ABE"/>
    <w:rsid w:val="00F83B0A"/>
    <w:rsid w:val="00F83C38"/>
    <w:rsid w:val="00F83C53"/>
    <w:rsid w:val="00F83C68"/>
    <w:rsid w:val="00F83C72"/>
    <w:rsid w:val="00F83D5B"/>
    <w:rsid w:val="00F83E06"/>
    <w:rsid w:val="00F83F41"/>
    <w:rsid w:val="00F8401E"/>
    <w:rsid w:val="00F84063"/>
    <w:rsid w:val="00F840F3"/>
    <w:rsid w:val="00F8417F"/>
    <w:rsid w:val="00F842A6"/>
    <w:rsid w:val="00F842B7"/>
    <w:rsid w:val="00F84311"/>
    <w:rsid w:val="00F84385"/>
    <w:rsid w:val="00F843C6"/>
    <w:rsid w:val="00F843C9"/>
    <w:rsid w:val="00F84429"/>
    <w:rsid w:val="00F8447E"/>
    <w:rsid w:val="00F845A8"/>
    <w:rsid w:val="00F845F2"/>
    <w:rsid w:val="00F84651"/>
    <w:rsid w:val="00F84724"/>
    <w:rsid w:val="00F84764"/>
    <w:rsid w:val="00F847E1"/>
    <w:rsid w:val="00F8481B"/>
    <w:rsid w:val="00F84824"/>
    <w:rsid w:val="00F84865"/>
    <w:rsid w:val="00F84882"/>
    <w:rsid w:val="00F848DB"/>
    <w:rsid w:val="00F8494A"/>
    <w:rsid w:val="00F84960"/>
    <w:rsid w:val="00F849D5"/>
    <w:rsid w:val="00F849F8"/>
    <w:rsid w:val="00F84A87"/>
    <w:rsid w:val="00F84AE9"/>
    <w:rsid w:val="00F84B0F"/>
    <w:rsid w:val="00F84B72"/>
    <w:rsid w:val="00F84B95"/>
    <w:rsid w:val="00F84CBE"/>
    <w:rsid w:val="00F84D4A"/>
    <w:rsid w:val="00F84DC3"/>
    <w:rsid w:val="00F84E32"/>
    <w:rsid w:val="00F84E5C"/>
    <w:rsid w:val="00F84ECF"/>
    <w:rsid w:val="00F84EE6"/>
    <w:rsid w:val="00F85096"/>
    <w:rsid w:val="00F850BF"/>
    <w:rsid w:val="00F850D5"/>
    <w:rsid w:val="00F850F3"/>
    <w:rsid w:val="00F85258"/>
    <w:rsid w:val="00F852A7"/>
    <w:rsid w:val="00F852FF"/>
    <w:rsid w:val="00F85329"/>
    <w:rsid w:val="00F8534C"/>
    <w:rsid w:val="00F85376"/>
    <w:rsid w:val="00F853B5"/>
    <w:rsid w:val="00F8540A"/>
    <w:rsid w:val="00F85424"/>
    <w:rsid w:val="00F8549E"/>
    <w:rsid w:val="00F85631"/>
    <w:rsid w:val="00F8566F"/>
    <w:rsid w:val="00F85779"/>
    <w:rsid w:val="00F857D7"/>
    <w:rsid w:val="00F857E7"/>
    <w:rsid w:val="00F85801"/>
    <w:rsid w:val="00F8583D"/>
    <w:rsid w:val="00F85873"/>
    <w:rsid w:val="00F8587D"/>
    <w:rsid w:val="00F859A7"/>
    <w:rsid w:val="00F859EE"/>
    <w:rsid w:val="00F85A6B"/>
    <w:rsid w:val="00F85A8D"/>
    <w:rsid w:val="00F85AE9"/>
    <w:rsid w:val="00F85B87"/>
    <w:rsid w:val="00F85DDC"/>
    <w:rsid w:val="00F85E73"/>
    <w:rsid w:val="00F85F63"/>
    <w:rsid w:val="00F85F86"/>
    <w:rsid w:val="00F85FF8"/>
    <w:rsid w:val="00F8600C"/>
    <w:rsid w:val="00F86074"/>
    <w:rsid w:val="00F860ED"/>
    <w:rsid w:val="00F86148"/>
    <w:rsid w:val="00F86234"/>
    <w:rsid w:val="00F862CC"/>
    <w:rsid w:val="00F86319"/>
    <w:rsid w:val="00F863B4"/>
    <w:rsid w:val="00F863FB"/>
    <w:rsid w:val="00F86413"/>
    <w:rsid w:val="00F86533"/>
    <w:rsid w:val="00F86534"/>
    <w:rsid w:val="00F86545"/>
    <w:rsid w:val="00F8657E"/>
    <w:rsid w:val="00F865B7"/>
    <w:rsid w:val="00F865F0"/>
    <w:rsid w:val="00F86622"/>
    <w:rsid w:val="00F8664C"/>
    <w:rsid w:val="00F866D7"/>
    <w:rsid w:val="00F867E9"/>
    <w:rsid w:val="00F867FB"/>
    <w:rsid w:val="00F86810"/>
    <w:rsid w:val="00F86834"/>
    <w:rsid w:val="00F8691D"/>
    <w:rsid w:val="00F86928"/>
    <w:rsid w:val="00F86A8B"/>
    <w:rsid w:val="00F86AAB"/>
    <w:rsid w:val="00F86BA8"/>
    <w:rsid w:val="00F86C0A"/>
    <w:rsid w:val="00F86CBD"/>
    <w:rsid w:val="00F86D2D"/>
    <w:rsid w:val="00F86D4C"/>
    <w:rsid w:val="00F86E53"/>
    <w:rsid w:val="00F86E72"/>
    <w:rsid w:val="00F86EB8"/>
    <w:rsid w:val="00F86F01"/>
    <w:rsid w:val="00F86F0E"/>
    <w:rsid w:val="00F86F39"/>
    <w:rsid w:val="00F870A6"/>
    <w:rsid w:val="00F870F2"/>
    <w:rsid w:val="00F870FF"/>
    <w:rsid w:val="00F871EF"/>
    <w:rsid w:val="00F8722C"/>
    <w:rsid w:val="00F8723B"/>
    <w:rsid w:val="00F87272"/>
    <w:rsid w:val="00F87279"/>
    <w:rsid w:val="00F8727A"/>
    <w:rsid w:val="00F8727B"/>
    <w:rsid w:val="00F87303"/>
    <w:rsid w:val="00F87313"/>
    <w:rsid w:val="00F8740C"/>
    <w:rsid w:val="00F87447"/>
    <w:rsid w:val="00F875DB"/>
    <w:rsid w:val="00F875EA"/>
    <w:rsid w:val="00F87679"/>
    <w:rsid w:val="00F876B0"/>
    <w:rsid w:val="00F876C8"/>
    <w:rsid w:val="00F876DD"/>
    <w:rsid w:val="00F8772F"/>
    <w:rsid w:val="00F8773C"/>
    <w:rsid w:val="00F8776D"/>
    <w:rsid w:val="00F877A1"/>
    <w:rsid w:val="00F8790D"/>
    <w:rsid w:val="00F87911"/>
    <w:rsid w:val="00F87A42"/>
    <w:rsid w:val="00F87A57"/>
    <w:rsid w:val="00F87A64"/>
    <w:rsid w:val="00F87D24"/>
    <w:rsid w:val="00F87D59"/>
    <w:rsid w:val="00F87E2A"/>
    <w:rsid w:val="00F87F39"/>
    <w:rsid w:val="00F900F5"/>
    <w:rsid w:val="00F9011D"/>
    <w:rsid w:val="00F90130"/>
    <w:rsid w:val="00F9014E"/>
    <w:rsid w:val="00F901AE"/>
    <w:rsid w:val="00F901CA"/>
    <w:rsid w:val="00F90271"/>
    <w:rsid w:val="00F90292"/>
    <w:rsid w:val="00F903A9"/>
    <w:rsid w:val="00F9040C"/>
    <w:rsid w:val="00F9043F"/>
    <w:rsid w:val="00F90487"/>
    <w:rsid w:val="00F904DC"/>
    <w:rsid w:val="00F904E5"/>
    <w:rsid w:val="00F90507"/>
    <w:rsid w:val="00F9051D"/>
    <w:rsid w:val="00F9055A"/>
    <w:rsid w:val="00F905DB"/>
    <w:rsid w:val="00F905FF"/>
    <w:rsid w:val="00F90728"/>
    <w:rsid w:val="00F9075C"/>
    <w:rsid w:val="00F90763"/>
    <w:rsid w:val="00F9077D"/>
    <w:rsid w:val="00F908D0"/>
    <w:rsid w:val="00F90964"/>
    <w:rsid w:val="00F90A77"/>
    <w:rsid w:val="00F90AAD"/>
    <w:rsid w:val="00F90B17"/>
    <w:rsid w:val="00F90B62"/>
    <w:rsid w:val="00F90BAE"/>
    <w:rsid w:val="00F90BC4"/>
    <w:rsid w:val="00F90C0A"/>
    <w:rsid w:val="00F90C57"/>
    <w:rsid w:val="00F90C5C"/>
    <w:rsid w:val="00F90C65"/>
    <w:rsid w:val="00F90C71"/>
    <w:rsid w:val="00F90CD0"/>
    <w:rsid w:val="00F90D52"/>
    <w:rsid w:val="00F90E50"/>
    <w:rsid w:val="00F90EF0"/>
    <w:rsid w:val="00F90F3C"/>
    <w:rsid w:val="00F90F63"/>
    <w:rsid w:val="00F90F93"/>
    <w:rsid w:val="00F91186"/>
    <w:rsid w:val="00F91189"/>
    <w:rsid w:val="00F911C9"/>
    <w:rsid w:val="00F9129D"/>
    <w:rsid w:val="00F91373"/>
    <w:rsid w:val="00F913A2"/>
    <w:rsid w:val="00F913C0"/>
    <w:rsid w:val="00F913EC"/>
    <w:rsid w:val="00F914DC"/>
    <w:rsid w:val="00F914F8"/>
    <w:rsid w:val="00F915EC"/>
    <w:rsid w:val="00F91749"/>
    <w:rsid w:val="00F917F8"/>
    <w:rsid w:val="00F9184D"/>
    <w:rsid w:val="00F918F9"/>
    <w:rsid w:val="00F9194D"/>
    <w:rsid w:val="00F9198A"/>
    <w:rsid w:val="00F919E0"/>
    <w:rsid w:val="00F91A19"/>
    <w:rsid w:val="00F91B86"/>
    <w:rsid w:val="00F91C23"/>
    <w:rsid w:val="00F91C66"/>
    <w:rsid w:val="00F91C82"/>
    <w:rsid w:val="00F91D3D"/>
    <w:rsid w:val="00F91E0B"/>
    <w:rsid w:val="00F91E82"/>
    <w:rsid w:val="00F91FD0"/>
    <w:rsid w:val="00F91FE4"/>
    <w:rsid w:val="00F9210D"/>
    <w:rsid w:val="00F9218F"/>
    <w:rsid w:val="00F921A4"/>
    <w:rsid w:val="00F92312"/>
    <w:rsid w:val="00F92477"/>
    <w:rsid w:val="00F924BD"/>
    <w:rsid w:val="00F92502"/>
    <w:rsid w:val="00F92509"/>
    <w:rsid w:val="00F92552"/>
    <w:rsid w:val="00F92642"/>
    <w:rsid w:val="00F92646"/>
    <w:rsid w:val="00F926FA"/>
    <w:rsid w:val="00F9278D"/>
    <w:rsid w:val="00F9279F"/>
    <w:rsid w:val="00F92832"/>
    <w:rsid w:val="00F92894"/>
    <w:rsid w:val="00F9289F"/>
    <w:rsid w:val="00F928AD"/>
    <w:rsid w:val="00F928D7"/>
    <w:rsid w:val="00F928D8"/>
    <w:rsid w:val="00F92920"/>
    <w:rsid w:val="00F929EE"/>
    <w:rsid w:val="00F92A25"/>
    <w:rsid w:val="00F92AC7"/>
    <w:rsid w:val="00F92ACA"/>
    <w:rsid w:val="00F92B14"/>
    <w:rsid w:val="00F92BE6"/>
    <w:rsid w:val="00F92BE7"/>
    <w:rsid w:val="00F92BFD"/>
    <w:rsid w:val="00F92CAF"/>
    <w:rsid w:val="00F92CBD"/>
    <w:rsid w:val="00F92CD7"/>
    <w:rsid w:val="00F92CE4"/>
    <w:rsid w:val="00F92E4F"/>
    <w:rsid w:val="00F92ECE"/>
    <w:rsid w:val="00F92F0B"/>
    <w:rsid w:val="00F92F4D"/>
    <w:rsid w:val="00F92F92"/>
    <w:rsid w:val="00F92FFD"/>
    <w:rsid w:val="00F9302E"/>
    <w:rsid w:val="00F9316E"/>
    <w:rsid w:val="00F9325A"/>
    <w:rsid w:val="00F93329"/>
    <w:rsid w:val="00F93364"/>
    <w:rsid w:val="00F933C8"/>
    <w:rsid w:val="00F93460"/>
    <w:rsid w:val="00F93472"/>
    <w:rsid w:val="00F934BF"/>
    <w:rsid w:val="00F93513"/>
    <w:rsid w:val="00F93586"/>
    <w:rsid w:val="00F935CC"/>
    <w:rsid w:val="00F93620"/>
    <w:rsid w:val="00F936AF"/>
    <w:rsid w:val="00F93706"/>
    <w:rsid w:val="00F937FF"/>
    <w:rsid w:val="00F9383D"/>
    <w:rsid w:val="00F938F7"/>
    <w:rsid w:val="00F93913"/>
    <w:rsid w:val="00F93A2A"/>
    <w:rsid w:val="00F93B0B"/>
    <w:rsid w:val="00F93B16"/>
    <w:rsid w:val="00F93BF3"/>
    <w:rsid w:val="00F93CBA"/>
    <w:rsid w:val="00F93E4C"/>
    <w:rsid w:val="00F93FA2"/>
    <w:rsid w:val="00F93FC6"/>
    <w:rsid w:val="00F94073"/>
    <w:rsid w:val="00F940CA"/>
    <w:rsid w:val="00F94129"/>
    <w:rsid w:val="00F94156"/>
    <w:rsid w:val="00F941A7"/>
    <w:rsid w:val="00F941E3"/>
    <w:rsid w:val="00F9420D"/>
    <w:rsid w:val="00F942A0"/>
    <w:rsid w:val="00F942A1"/>
    <w:rsid w:val="00F942CB"/>
    <w:rsid w:val="00F9433C"/>
    <w:rsid w:val="00F94340"/>
    <w:rsid w:val="00F943B4"/>
    <w:rsid w:val="00F945BA"/>
    <w:rsid w:val="00F94635"/>
    <w:rsid w:val="00F94673"/>
    <w:rsid w:val="00F94714"/>
    <w:rsid w:val="00F94783"/>
    <w:rsid w:val="00F947D3"/>
    <w:rsid w:val="00F947E2"/>
    <w:rsid w:val="00F947FD"/>
    <w:rsid w:val="00F9481F"/>
    <w:rsid w:val="00F94856"/>
    <w:rsid w:val="00F94892"/>
    <w:rsid w:val="00F948C3"/>
    <w:rsid w:val="00F948E4"/>
    <w:rsid w:val="00F949DF"/>
    <w:rsid w:val="00F949F7"/>
    <w:rsid w:val="00F949FB"/>
    <w:rsid w:val="00F94B1B"/>
    <w:rsid w:val="00F94BAB"/>
    <w:rsid w:val="00F94D0B"/>
    <w:rsid w:val="00F94D4F"/>
    <w:rsid w:val="00F94EC9"/>
    <w:rsid w:val="00F94FBE"/>
    <w:rsid w:val="00F94FE5"/>
    <w:rsid w:val="00F9501C"/>
    <w:rsid w:val="00F95095"/>
    <w:rsid w:val="00F9511F"/>
    <w:rsid w:val="00F952F5"/>
    <w:rsid w:val="00F953CF"/>
    <w:rsid w:val="00F95424"/>
    <w:rsid w:val="00F9542C"/>
    <w:rsid w:val="00F9556F"/>
    <w:rsid w:val="00F95570"/>
    <w:rsid w:val="00F955D9"/>
    <w:rsid w:val="00F95763"/>
    <w:rsid w:val="00F957A0"/>
    <w:rsid w:val="00F958DB"/>
    <w:rsid w:val="00F958E6"/>
    <w:rsid w:val="00F9594E"/>
    <w:rsid w:val="00F959D0"/>
    <w:rsid w:val="00F95A30"/>
    <w:rsid w:val="00F95A50"/>
    <w:rsid w:val="00F95AAC"/>
    <w:rsid w:val="00F95AC2"/>
    <w:rsid w:val="00F95C97"/>
    <w:rsid w:val="00F95DC5"/>
    <w:rsid w:val="00F95EF6"/>
    <w:rsid w:val="00F95F93"/>
    <w:rsid w:val="00F96000"/>
    <w:rsid w:val="00F9603C"/>
    <w:rsid w:val="00F96083"/>
    <w:rsid w:val="00F960D2"/>
    <w:rsid w:val="00F9610E"/>
    <w:rsid w:val="00F9616D"/>
    <w:rsid w:val="00F96172"/>
    <w:rsid w:val="00F9625E"/>
    <w:rsid w:val="00F96268"/>
    <w:rsid w:val="00F96335"/>
    <w:rsid w:val="00F96351"/>
    <w:rsid w:val="00F96377"/>
    <w:rsid w:val="00F96414"/>
    <w:rsid w:val="00F96437"/>
    <w:rsid w:val="00F9647D"/>
    <w:rsid w:val="00F964A4"/>
    <w:rsid w:val="00F964A6"/>
    <w:rsid w:val="00F9661A"/>
    <w:rsid w:val="00F966F7"/>
    <w:rsid w:val="00F96775"/>
    <w:rsid w:val="00F96839"/>
    <w:rsid w:val="00F96871"/>
    <w:rsid w:val="00F968D4"/>
    <w:rsid w:val="00F969E5"/>
    <w:rsid w:val="00F96A1D"/>
    <w:rsid w:val="00F96A24"/>
    <w:rsid w:val="00F96A96"/>
    <w:rsid w:val="00F96AE6"/>
    <w:rsid w:val="00F96B76"/>
    <w:rsid w:val="00F96BBF"/>
    <w:rsid w:val="00F96C02"/>
    <w:rsid w:val="00F96C4F"/>
    <w:rsid w:val="00F96C92"/>
    <w:rsid w:val="00F96CAA"/>
    <w:rsid w:val="00F96DFA"/>
    <w:rsid w:val="00F96E0E"/>
    <w:rsid w:val="00F96F4C"/>
    <w:rsid w:val="00F96F63"/>
    <w:rsid w:val="00F96FD0"/>
    <w:rsid w:val="00F96FFB"/>
    <w:rsid w:val="00F97020"/>
    <w:rsid w:val="00F9708A"/>
    <w:rsid w:val="00F97116"/>
    <w:rsid w:val="00F9712E"/>
    <w:rsid w:val="00F971CC"/>
    <w:rsid w:val="00F971FB"/>
    <w:rsid w:val="00F9722C"/>
    <w:rsid w:val="00F972D4"/>
    <w:rsid w:val="00F9730A"/>
    <w:rsid w:val="00F973B2"/>
    <w:rsid w:val="00F973F1"/>
    <w:rsid w:val="00F97540"/>
    <w:rsid w:val="00F975DF"/>
    <w:rsid w:val="00F97697"/>
    <w:rsid w:val="00F97712"/>
    <w:rsid w:val="00F97754"/>
    <w:rsid w:val="00F9779C"/>
    <w:rsid w:val="00F977A3"/>
    <w:rsid w:val="00F977F1"/>
    <w:rsid w:val="00F97806"/>
    <w:rsid w:val="00F97869"/>
    <w:rsid w:val="00F978E2"/>
    <w:rsid w:val="00F97917"/>
    <w:rsid w:val="00F979DC"/>
    <w:rsid w:val="00F97B3D"/>
    <w:rsid w:val="00F97BA9"/>
    <w:rsid w:val="00F97CFC"/>
    <w:rsid w:val="00F97D2D"/>
    <w:rsid w:val="00F97D36"/>
    <w:rsid w:val="00F97E04"/>
    <w:rsid w:val="00F97F66"/>
    <w:rsid w:val="00F97FD2"/>
    <w:rsid w:val="00FA002E"/>
    <w:rsid w:val="00FA006C"/>
    <w:rsid w:val="00FA009B"/>
    <w:rsid w:val="00FA0109"/>
    <w:rsid w:val="00FA0125"/>
    <w:rsid w:val="00FA014E"/>
    <w:rsid w:val="00FA019C"/>
    <w:rsid w:val="00FA01DB"/>
    <w:rsid w:val="00FA02E1"/>
    <w:rsid w:val="00FA0327"/>
    <w:rsid w:val="00FA035A"/>
    <w:rsid w:val="00FA036A"/>
    <w:rsid w:val="00FA03AC"/>
    <w:rsid w:val="00FA03C8"/>
    <w:rsid w:val="00FA03E5"/>
    <w:rsid w:val="00FA0462"/>
    <w:rsid w:val="00FA048A"/>
    <w:rsid w:val="00FA04C7"/>
    <w:rsid w:val="00FA04E4"/>
    <w:rsid w:val="00FA0524"/>
    <w:rsid w:val="00FA0542"/>
    <w:rsid w:val="00FA061D"/>
    <w:rsid w:val="00FA064E"/>
    <w:rsid w:val="00FA069F"/>
    <w:rsid w:val="00FA06E2"/>
    <w:rsid w:val="00FA06E6"/>
    <w:rsid w:val="00FA06F3"/>
    <w:rsid w:val="00FA071B"/>
    <w:rsid w:val="00FA0777"/>
    <w:rsid w:val="00FA077A"/>
    <w:rsid w:val="00FA07BF"/>
    <w:rsid w:val="00FA084E"/>
    <w:rsid w:val="00FA0871"/>
    <w:rsid w:val="00FA088B"/>
    <w:rsid w:val="00FA0918"/>
    <w:rsid w:val="00FA0919"/>
    <w:rsid w:val="00FA0925"/>
    <w:rsid w:val="00FA094D"/>
    <w:rsid w:val="00FA098A"/>
    <w:rsid w:val="00FA09D1"/>
    <w:rsid w:val="00FA09FA"/>
    <w:rsid w:val="00FA0B75"/>
    <w:rsid w:val="00FA0BBC"/>
    <w:rsid w:val="00FA0BF4"/>
    <w:rsid w:val="00FA0C93"/>
    <w:rsid w:val="00FA0C9E"/>
    <w:rsid w:val="00FA0D7C"/>
    <w:rsid w:val="00FA0D93"/>
    <w:rsid w:val="00FA0E2E"/>
    <w:rsid w:val="00FA0E51"/>
    <w:rsid w:val="00FA0F01"/>
    <w:rsid w:val="00FA0F84"/>
    <w:rsid w:val="00FA0FBF"/>
    <w:rsid w:val="00FA1043"/>
    <w:rsid w:val="00FA1064"/>
    <w:rsid w:val="00FA10B5"/>
    <w:rsid w:val="00FA10F9"/>
    <w:rsid w:val="00FA1130"/>
    <w:rsid w:val="00FA12A8"/>
    <w:rsid w:val="00FA136C"/>
    <w:rsid w:val="00FA13A6"/>
    <w:rsid w:val="00FA13B6"/>
    <w:rsid w:val="00FA13C0"/>
    <w:rsid w:val="00FA14D3"/>
    <w:rsid w:val="00FA152F"/>
    <w:rsid w:val="00FA15C3"/>
    <w:rsid w:val="00FA15FB"/>
    <w:rsid w:val="00FA1625"/>
    <w:rsid w:val="00FA169F"/>
    <w:rsid w:val="00FA16B7"/>
    <w:rsid w:val="00FA16C9"/>
    <w:rsid w:val="00FA174F"/>
    <w:rsid w:val="00FA17AB"/>
    <w:rsid w:val="00FA1822"/>
    <w:rsid w:val="00FA182B"/>
    <w:rsid w:val="00FA1898"/>
    <w:rsid w:val="00FA18D7"/>
    <w:rsid w:val="00FA1A41"/>
    <w:rsid w:val="00FA1A70"/>
    <w:rsid w:val="00FA1A7A"/>
    <w:rsid w:val="00FA1A9A"/>
    <w:rsid w:val="00FA1B17"/>
    <w:rsid w:val="00FA1B4A"/>
    <w:rsid w:val="00FA1C20"/>
    <w:rsid w:val="00FA1C56"/>
    <w:rsid w:val="00FA1CCA"/>
    <w:rsid w:val="00FA1CDA"/>
    <w:rsid w:val="00FA1D69"/>
    <w:rsid w:val="00FA1E49"/>
    <w:rsid w:val="00FA1E51"/>
    <w:rsid w:val="00FA1E5B"/>
    <w:rsid w:val="00FA1E8E"/>
    <w:rsid w:val="00FA1EAB"/>
    <w:rsid w:val="00FA1EC7"/>
    <w:rsid w:val="00FA1F8C"/>
    <w:rsid w:val="00FA2112"/>
    <w:rsid w:val="00FA212D"/>
    <w:rsid w:val="00FA21B7"/>
    <w:rsid w:val="00FA21EA"/>
    <w:rsid w:val="00FA2215"/>
    <w:rsid w:val="00FA2235"/>
    <w:rsid w:val="00FA224C"/>
    <w:rsid w:val="00FA2316"/>
    <w:rsid w:val="00FA2346"/>
    <w:rsid w:val="00FA235B"/>
    <w:rsid w:val="00FA236F"/>
    <w:rsid w:val="00FA2378"/>
    <w:rsid w:val="00FA23F9"/>
    <w:rsid w:val="00FA2415"/>
    <w:rsid w:val="00FA241B"/>
    <w:rsid w:val="00FA2507"/>
    <w:rsid w:val="00FA2527"/>
    <w:rsid w:val="00FA25A6"/>
    <w:rsid w:val="00FA25B9"/>
    <w:rsid w:val="00FA2647"/>
    <w:rsid w:val="00FA26A8"/>
    <w:rsid w:val="00FA26DA"/>
    <w:rsid w:val="00FA2722"/>
    <w:rsid w:val="00FA2726"/>
    <w:rsid w:val="00FA27F9"/>
    <w:rsid w:val="00FA2837"/>
    <w:rsid w:val="00FA284E"/>
    <w:rsid w:val="00FA2AD5"/>
    <w:rsid w:val="00FA2B68"/>
    <w:rsid w:val="00FA2BE6"/>
    <w:rsid w:val="00FA2CE5"/>
    <w:rsid w:val="00FA2CEE"/>
    <w:rsid w:val="00FA2D3F"/>
    <w:rsid w:val="00FA2DC2"/>
    <w:rsid w:val="00FA2E01"/>
    <w:rsid w:val="00FA2E0D"/>
    <w:rsid w:val="00FA2E48"/>
    <w:rsid w:val="00FA2E86"/>
    <w:rsid w:val="00FA2F9A"/>
    <w:rsid w:val="00FA3012"/>
    <w:rsid w:val="00FA3038"/>
    <w:rsid w:val="00FA30D6"/>
    <w:rsid w:val="00FA321D"/>
    <w:rsid w:val="00FA32D6"/>
    <w:rsid w:val="00FA32D9"/>
    <w:rsid w:val="00FA3466"/>
    <w:rsid w:val="00FA3469"/>
    <w:rsid w:val="00FA34F7"/>
    <w:rsid w:val="00FA3618"/>
    <w:rsid w:val="00FA3662"/>
    <w:rsid w:val="00FA37F6"/>
    <w:rsid w:val="00FA3980"/>
    <w:rsid w:val="00FA3989"/>
    <w:rsid w:val="00FA3A12"/>
    <w:rsid w:val="00FA3BDB"/>
    <w:rsid w:val="00FA3C45"/>
    <w:rsid w:val="00FA3CD1"/>
    <w:rsid w:val="00FA3CDB"/>
    <w:rsid w:val="00FA3DBB"/>
    <w:rsid w:val="00FA412F"/>
    <w:rsid w:val="00FA41F9"/>
    <w:rsid w:val="00FA4209"/>
    <w:rsid w:val="00FA42A9"/>
    <w:rsid w:val="00FA4315"/>
    <w:rsid w:val="00FA43FA"/>
    <w:rsid w:val="00FA45B2"/>
    <w:rsid w:val="00FA45B6"/>
    <w:rsid w:val="00FA463C"/>
    <w:rsid w:val="00FA469D"/>
    <w:rsid w:val="00FA4764"/>
    <w:rsid w:val="00FA47B6"/>
    <w:rsid w:val="00FA4822"/>
    <w:rsid w:val="00FA48A2"/>
    <w:rsid w:val="00FA48A5"/>
    <w:rsid w:val="00FA4904"/>
    <w:rsid w:val="00FA4932"/>
    <w:rsid w:val="00FA4962"/>
    <w:rsid w:val="00FA4AB2"/>
    <w:rsid w:val="00FA4C04"/>
    <w:rsid w:val="00FA4D35"/>
    <w:rsid w:val="00FA4D39"/>
    <w:rsid w:val="00FA4D45"/>
    <w:rsid w:val="00FA4D96"/>
    <w:rsid w:val="00FA4EC5"/>
    <w:rsid w:val="00FA4EFF"/>
    <w:rsid w:val="00FA4FA3"/>
    <w:rsid w:val="00FA4FA5"/>
    <w:rsid w:val="00FA5038"/>
    <w:rsid w:val="00FA508C"/>
    <w:rsid w:val="00FA511F"/>
    <w:rsid w:val="00FA5145"/>
    <w:rsid w:val="00FA5170"/>
    <w:rsid w:val="00FA51F1"/>
    <w:rsid w:val="00FA526B"/>
    <w:rsid w:val="00FA52D2"/>
    <w:rsid w:val="00FA53FA"/>
    <w:rsid w:val="00FA5458"/>
    <w:rsid w:val="00FA5544"/>
    <w:rsid w:val="00FA55A7"/>
    <w:rsid w:val="00FA55C6"/>
    <w:rsid w:val="00FA5641"/>
    <w:rsid w:val="00FA5669"/>
    <w:rsid w:val="00FA566A"/>
    <w:rsid w:val="00FA56F6"/>
    <w:rsid w:val="00FA5713"/>
    <w:rsid w:val="00FA579D"/>
    <w:rsid w:val="00FA5847"/>
    <w:rsid w:val="00FA585D"/>
    <w:rsid w:val="00FA58AA"/>
    <w:rsid w:val="00FA5994"/>
    <w:rsid w:val="00FA59B7"/>
    <w:rsid w:val="00FA5A63"/>
    <w:rsid w:val="00FA5BB4"/>
    <w:rsid w:val="00FA5C2C"/>
    <w:rsid w:val="00FA5C57"/>
    <w:rsid w:val="00FA5D47"/>
    <w:rsid w:val="00FA5E05"/>
    <w:rsid w:val="00FA5ED4"/>
    <w:rsid w:val="00FA5F3A"/>
    <w:rsid w:val="00FA5F6E"/>
    <w:rsid w:val="00FA608A"/>
    <w:rsid w:val="00FA60D4"/>
    <w:rsid w:val="00FA60FC"/>
    <w:rsid w:val="00FA60FE"/>
    <w:rsid w:val="00FA618F"/>
    <w:rsid w:val="00FA61C0"/>
    <w:rsid w:val="00FA61E0"/>
    <w:rsid w:val="00FA61EB"/>
    <w:rsid w:val="00FA61ED"/>
    <w:rsid w:val="00FA626B"/>
    <w:rsid w:val="00FA6422"/>
    <w:rsid w:val="00FA64AA"/>
    <w:rsid w:val="00FA6589"/>
    <w:rsid w:val="00FA6659"/>
    <w:rsid w:val="00FA6766"/>
    <w:rsid w:val="00FA67D0"/>
    <w:rsid w:val="00FA6821"/>
    <w:rsid w:val="00FA6833"/>
    <w:rsid w:val="00FA6865"/>
    <w:rsid w:val="00FA68F3"/>
    <w:rsid w:val="00FA6948"/>
    <w:rsid w:val="00FA69E2"/>
    <w:rsid w:val="00FA6A1E"/>
    <w:rsid w:val="00FA6A7E"/>
    <w:rsid w:val="00FA6A89"/>
    <w:rsid w:val="00FA6AC4"/>
    <w:rsid w:val="00FA6BB3"/>
    <w:rsid w:val="00FA6BC5"/>
    <w:rsid w:val="00FA6C12"/>
    <w:rsid w:val="00FA6C19"/>
    <w:rsid w:val="00FA6CB4"/>
    <w:rsid w:val="00FA6CDD"/>
    <w:rsid w:val="00FA6CF6"/>
    <w:rsid w:val="00FA6D98"/>
    <w:rsid w:val="00FA6D9C"/>
    <w:rsid w:val="00FA6DFB"/>
    <w:rsid w:val="00FA6E33"/>
    <w:rsid w:val="00FA6EAA"/>
    <w:rsid w:val="00FA6EC5"/>
    <w:rsid w:val="00FA6F26"/>
    <w:rsid w:val="00FA6F62"/>
    <w:rsid w:val="00FA6F69"/>
    <w:rsid w:val="00FA6FB0"/>
    <w:rsid w:val="00FA7073"/>
    <w:rsid w:val="00FA7145"/>
    <w:rsid w:val="00FA7157"/>
    <w:rsid w:val="00FA7267"/>
    <w:rsid w:val="00FA7373"/>
    <w:rsid w:val="00FA73E0"/>
    <w:rsid w:val="00FA7467"/>
    <w:rsid w:val="00FA7473"/>
    <w:rsid w:val="00FA747F"/>
    <w:rsid w:val="00FA7519"/>
    <w:rsid w:val="00FA751C"/>
    <w:rsid w:val="00FA756B"/>
    <w:rsid w:val="00FA7621"/>
    <w:rsid w:val="00FA769D"/>
    <w:rsid w:val="00FA76E5"/>
    <w:rsid w:val="00FA76E7"/>
    <w:rsid w:val="00FA771B"/>
    <w:rsid w:val="00FA77E3"/>
    <w:rsid w:val="00FA77E9"/>
    <w:rsid w:val="00FA783A"/>
    <w:rsid w:val="00FA7881"/>
    <w:rsid w:val="00FA78E9"/>
    <w:rsid w:val="00FA794C"/>
    <w:rsid w:val="00FA79BA"/>
    <w:rsid w:val="00FA79EE"/>
    <w:rsid w:val="00FA7A7E"/>
    <w:rsid w:val="00FA7AB3"/>
    <w:rsid w:val="00FA7AFF"/>
    <w:rsid w:val="00FA7BB3"/>
    <w:rsid w:val="00FA7C0D"/>
    <w:rsid w:val="00FA7CE1"/>
    <w:rsid w:val="00FA7D97"/>
    <w:rsid w:val="00FA7DAB"/>
    <w:rsid w:val="00FA7E25"/>
    <w:rsid w:val="00FA7E66"/>
    <w:rsid w:val="00FA7EC0"/>
    <w:rsid w:val="00FA7F37"/>
    <w:rsid w:val="00FA7F49"/>
    <w:rsid w:val="00FA7F94"/>
    <w:rsid w:val="00FB0140"/>
    <w:rsid w:val="00FB01BA"/>
    <w:rsid w:val="00FB01C0"/>
    <w:rsid w:val="00FB0248"/>
    <w:rsid w:val="00FB02B5"/>
    <w:rsid w:val="00FB0302"/>
    <w:rsid w:val="00FB033C"/>
    <w:rsid w:val="00FB03AA"/>
    <w:rsid w:val="00FB0689"/>
    <w:rsid w:val="00FB068C"/>
    <w:rsid w:val="00FB0718"/>
    <w:rsid w:val="00FB079D"/>
    <w:rsid w:val="00FB07B6"/>
    <w:rsid w:val="00FB0805"/>
    <w:rsid w:val="00FB091B"/>
    <w:rsid w:val="00FB092E"/>
    <w:rsid w:val="00FB0931"/>
    <w:rsid w:val="00FB099A"/>
    <w:rsid w:val="00FB09D7"/>
    <w:rsid w:val="00FB09DB"/>
    <w:rsid w:val="00FB0A97"/>
    <w:rsid w:val="00FB0ABD"/>
    <w:rsid w:val="00FB0AD7"/>
    <w:rsid w:val="00FB0B11"/>
    <w:rsid w:val="00FB0B9B"/>
    <w:rsid w:val="00FB0C23"/>
    <w:rsid w:val="00FB0C82"/>
    <w:rsid w:val="00FB0CBC"/>
    <w:rsid w:val="00FB0DC5"/>
    <w:rsid w:val="00FB0E1B"/>
    <w:rsid w:val="00FB0E29"/>
    <w:rsid w:val="00FB0F5D"/>
    <w:rsid w:val="00FB0FA2"/>
    <w:rsid w:val="00FB0FB1"/>
    <w:rsid w:val="00FB1071"/>
    <w:rsid w:val="00FB108E"/>
    <w:rsid w:val="00FB1120"/>
    <w:rsid w:val="00FB1146"/>
    <w:rsid w:val="00FB1150"/>
    <w:rsid w:val="00FB1244"/>
    <w:rsid w:val="00FB1276"/>
    <w:rsid w:val="00FB1287"/>
    <w:rsid w:val="00FB1318"/>
    <w:rsid w:val="00FB133C"/>
    <w:rsid w:val="00FB1567"/>
    <w:rsid w:val="00FB163B"/>
    <w:rsid w:val="00FB179A"/>
    <w:rsid w:val="00FB17D4"/>
    <w:rsid w:val="00FB180B"/>
    <w:rsid w:val="00FB19BE"/>
    <w:rsid w:val="00FB19E4"/>
    <w:rsid w:val="00FB1A7D"/>
    <w:rsid w:val="00FB1B94"/>
    <w:rsid w:val="00FB1BF6"/>
    <w:rsid w:val="00FB1C96"/>
    <w:rsid w:val="00FB1CD1"/>
    <w:rsid w:val="00FB1CF9"/>
    <w:rsid w:val="00FB1D30"/>
    <w:rsid w:val="00FB1DB1"/>
    <w:rsid w:val="00FB1DE3"/>
    <w:rsid w:val="00FB1E0D"/>
    <w:rsid w:val="00FB1EB8"/>
    <w:rsid w:val="00FB1F50"/>
    <w:rsid w:val="00FB2021"/>
    <w:rsid w:val="00FB20EB"/>
    <w:rsid w:val="00FB20ED"/>
    <w:rsid w:val="00FB215D"/>
    <w:rsid w:val="00FB2233"/>
    <w:rsid w:val="00FB225D"/>
    <w:rsid w:val="00FB22C6"/>
    <w:rsid w:val="00FB22DB"/>
    <w:rsid w:val="00FB242E"/>
    <w:rsid w:val="00FB242F"/>
    <w:rsid w:val="00FB24ED"/>
    <w:rsid w:val="00FB255D"/>
    <w:rsid w:val="00FB2581"/>
    <w:rsid w:val="00FB2585"/>
    <w:rsid w:val="00FB2682"/>
    <w:rsid w:val="00FB273C"/>
    <w:rsid w:val="00FB2883"/>
    <w:rsid w:val="00FB28C7"/>
    <w:rsid w:val="00FB2A1C"/>
    <w:rsid w:val="00FB2AF5"/>
    <w:rsid w:val="00FB2B33"/>
    <w:rsid w:val="00FB2B87"/>
    <w:rsid w:val="00FB2B9F"/>
    <w:rsid w:val="00FB2C1F"/>
    <w:rsid w:val="00FB2C88"/>
    <w:rsid w:val="00FB2C97"/>
    <w:rsid w:val="00FB2CA9"/>
    <w:rsid w:val="00FB2CEA"/>
    <w:rsid w:val="00FB2CF9"/>
    <w:rsid w:val="00FB2D04"/>
    <w:rsid w:val="00FB2D07"/>
    <w:rsid w:val="00FB2D3C"/>
    <w:rsid w:val="00FB2E04"/>
    <w:rsid w:val="00FB2EAF"/>
    <w:rsid w:val="00FB2EC9"/>
    <w:rsid w:val="00FB2F86"/>
    <w:rsid w:val="00FB2FBD"/>
    <w:rsid w:val="00FB2FE6"/>
    <w:rsid w:val="00FB2FFF"/>
    <w:rsid w:val="00FB305A"/>
    <w:rsid w:val="00FB305B"/>
    <w:rsid w:val="00FB30BF"/>
    <w:rsid w:val="00FB31C3"/>
    <w:rsid w:val="00FB3237"/>
    <w:rsid w:val="00FB324F"/>
    <w:rsid w:val="00FB3299"/>
    <w:rsid w:val="00FB3498"/>
    <w:rsid w:val="00FB3534"/>
    <w:rsid w:val="00FB3593"/>
    <w:rsid w:val="00FB35C2"/>
    <w:rsid w:val="00FB35E2"/>
    <w:rsid w:val="00FB369E"/>
    <w:rsid w:val="00FB3783"/>
    <w:rsid w:val="00FB381D"/>
    <w:rsid w:val="00FB3890"/>
    <w:rsid w:val="00FB3962"/>
    <w:rsid w:val="00FB39C3"/>
    <w:rsid w:val="00FB39CD"/>
    <w:rsid w:val="00FB3AB9"/>
    <w:rsid w:val="00FB3ABC"/>
    <w:rsid w:val="00FB3B6A"/>
    <w:rsid w:val="00FB3C66"/>
    <w:rsid w:val="00FB3C91"/>
    <w:rsid w:val="00FB3C9E"/>
    <w:rsid w:val="00FB3D77"/>
    <w:rsid w:val="00FB3ED5"/>
    <w:rsid w:val="00FB3F7D"/>
    <w:rsid w:val="00FB3F91"/>
    <w:rsid w:val="00FB3FAE"/>
    <w:rsid w:val="00FB406A"/>
    <w:rsid w:val="00FB4089"/>
    <w:rsid w:val="00FB4284"/>
    <w:rsid w:val="00FB434A"/>
    <w:rsid w:val="00FB4365"/>
    <w:rsid w:val="00FB443F"/>
    <w:rsid w:val="00FB44EF"/>
    <w:rsid w:val="00FB451C"/>
    <w:rsid w:val="00FB4527"/>
    <w:rsid w:val="00FB45A2"/>
    <w:rsid w:val="00FB470A"/>
    <w:rsid w:val="00FB473A"/>
    <w:rsid w:val="00FB4773"/>
    <w:rsid w:val="00FB477A"/>
    <w:rsid w:val="00FB486C"/>
    <w:rsid w:val="00FB4941"/>
    <w:rsid w:val="00FB4977"/>
    <w:rsid w:val="00FB4986"/>
    <w:rsid w:val="00FB498B"/>
    <w:rsid w:val="00FB4BF3"/>
    <w:rsid w:val="00FB4C2B"/>
    <w:rsid w:val="00FB4D11"/>
    <w:rsid w:val="00FB4D1B"/>
    <w:rsid w:val="00FB4DBF"/>
    <w:rsid w:val="00FB4E28"/>
    <w:rsid w:val="00FB4EC7"/>
    <w:rsid w:val="00FB4FC5"/>
    <w:rsid w:val="00FB4FEA"/>
    <w:rsid w:val="00FB501E"/>
    <w:rsid w:val="00FB51CB"/>
    <w:rsid w:val="00FB51FA"/>
    <w:rsid w:val="00FB5206"/>
    <w:rsid w:val="00FB52A2"/>
    <w:rsid w:val="00FB52DC"/>
    <w:rsid w:val="00FB52F4"/>
    <w:rsid w:val="00FB52F8"/>
    <w:rsid w:val="00FB53BE"/>
    <w:rsid w:val="00FB53F7"/>
    <w:rsid w:val="00FB5586"/>
    <w:rsid w:val="00FB55C9"/>
    <w:rsid w:val="00FB55E0"/>
    <w:rsid w:val="00FB5658"/>
    <w:rsid w:val="00FB56A6"/>
    <w:rsid w:val="00FB56B4"/>
    <w:rsid w:val="00FB56DD"/>
    <w:rsid w:val="00FB5709"/>
    <w:rsid w:val="00FB582B"/>
    <w:rsid w:val="00FB58B3"/>
    <w:rsid w:val="00FB5970"/>
    <w:rsid w:val="00FB59D0"/>
    <w:rsid w:val="00FB5AFD"/>
    <w:rsid w:val="00FB5BEB"/>
    <w:rsid w:val="00FB5D04"/>
    <w:rsid w:val="00FB5D07"/>
    <w:rsid w:val="00FB5D8F"/>
    <w:rsid w:val="00FB5E90"/>
    <w:rsid w:val="00FB6055"/>
    <w:rsid w:val="00FB6325"/>
    <w:rsid w:val="00FB63BD"/>
    <w:rsid w:val="00FB64E3"/>
    <w:rsid w:val="00FB64E6"/>
    <w:rsid w:val="00FB665F"/>
    <w:rsid w:val="00FB66B8"/>
    <w:rsid w:val="00FB679E"/>
    <w:rsid w:val="00FB6879"/>
    <w:rsid w:val="00FB6954"/>
    <w:rsid w:val="00FB6967"/>
    <w:rsid w:val="00FB6CA9"/>
    <w:rsid w:val="00FB6D12"/>
    <w:rsid w:val="00FB6E30"/>
    <w:rsid w:val="00FB6F25"/>
    <w:rsid w:val="00FB6F61"/>
    <w:rsid w:val="00FB7031"/>
    <w:rsid w:val="00FB70A1"/>
    <w:rsid w:val="00FB70C5"/>
    <w:rsid w:val="00FB712A"/>
    <w:rsid w:val="00FB7141"/>
    <w:rsid w:val="00FB7154"/>
    <w:rsid w:val="00FB71FE"/>
    <w:rsid w:val="00FB7243"/>
    <w:rsid w:val="00FB72A8"/>
    <w:rsid w:val="00FB72B7"/>
    <w:rsid w:val="00FB7342"/>
    <w:rsid w:val="00FB734D"/>
    <w:rsid w:val="00FB74DF"/>
    <w:rsid w:val="00FB75F7"/>
    <w:rsid w:val="00FB7647"/>
    <w:rsid w:val="00FB774C"/>
    <w:rsid w:val="00FB7790"/>
    <w:rsid w:val="00FB779E"/>
    <w:rsid w:val="00FB77B8"/>
    <w:rsid w:val="00FB7803"/>
    <w:rsid w:val="00FB780F"/>
    <w:rsid w:val="00FB7812"/>
    <w:rsid w:val="00FB783C"/>
    <w:rsid w:val="00FB7996"/>
    <w:rsid w:val="00FB79F1"/>
    <w:rsid w:val="00FB7A03"/>
    <w:rsid w:val="00FB7A3F"/>
    <w:rsid w:val="00FB7ABD"/>
    <w:rsid w:val="00FB7B1B"/>
    <w:rsid w:val="00FB7B5E"/>
    <w:rsid w:val="00FB7B63"/>
    <w:rsid w:val="00FB7B6C"/>
    <w:rsid w:val="00FB7B9A"/>
    <w:rsid w:val="00FB7BA1"/>
    <w:rsid w:val="00FB7BF2"/>
    <w:rsid w:val="00FB7C5A"/>
    <w:rsid w:val="00FB7C74"/>
    <w:rsid w:val="00FB7C83"/>
    <w:rsid w:val="00FB7D4B"/>
    <w:rsid w:val="00FB7DC7"/>
    <w:rsid w:val="00FB7F07"/>
    <w:rsid w:val="00FB7FFC"/>
    <w:rsid w:val="00FC0001"/>
    <w:rsid w:val="00FC00D3"/>
    <w:rsid w:val="00FC0133"/>
    <w:rsid w:val="00FC0199"/>
    <w:rsid w:val="00FC0217"/>
    <w:rsid w:val="00FC0289"/>
    <w:rsid w:val="00FC0384"/>
    <w:rsid w:val="00FC064A"/>
    <w:rsid w:val="00FC0668"/>
    <w:rsid w:val="00FC071C"/>
    <w:rsid w:val="00FC08A2"/>
    <w:rsid w:val="00FC08B9"/>
    <w:rsid w:val="00FC097E"/>
    <w:rsid w:val="00FC0995"/>
    <w:rsid w:val="00FC0A36"/>
    <w:rsid w:val="00FC0A6C"/>
    <w:rsid w:val="00FC0AD4"/>
    <w:rsid w:val="00FC0AF4"/>
    <w:rsid w:val="00FC0B10"/>
    <w:rsid w:val="00FC0B3A"/>
    <w:rsid w:val="00FC0BAC"/>
    <w:rsid w:val="00FC0C5C"/>
    <w:rsid w:val="00FC0C7D"/>
    <w:rsid w:val="00FC0CCD"/>
    <w:rsid w:val="00FC0F23"/>
    <w:rsid w:val="00FC0F89"/>
    <w:rsid w:val="00FC1030"/>
    <w:rsid w:val="00FC1034"/>
    <w:rsid w:val="00FC1068"/>
    <w:rsid w:val="00FC10A6"/>
    <w:rsid w:val="00FC1193"/>
    <w:rsid w:val="00FC11A2"/>
    <w:rsid w:val="00FC1267"/>
    <w:rsid w:val="00FC12A4"/>
    <w:rsid w:val="00FC12C8"/>
    <w:rsid w:val="00FC1325"/>
    <w:rsid w:val="00FC141E"/>
    <w:rsid w:val="00FC1423"/>
    <w:rsid w:val="00FC14C6"/>
    <w:rsid w:val="00FC1527"/>
    <w:rsid w:val="00FC15E2"/>
    <w:rsid w:val="00FC169F"/>
    <w:rsid w:val="00FC16EB"/>
    <w:rsid w:val="00FC179E"/>
    <w:rsid w:val="00FC1889"/>
    <w:rsid w:val="00FC188D"/>
    <w:rsid w:val="00FC1895"/>
    <w:rsid w:val="00FC18F5"/>
    <w:rsid w:val="00FC190E"/>
    <w:rsid w:val="00FC1962"/>
    <w:rsid w:val="00FC19EC"/>
    <w:rsid w:val="00FC1A70"/>
    <w:rsid w:val="00FC1AB7"/>
    <w:rsid w:val="00FC1B73"/>
    <w:rsid w:val="00FC1BE6"/>
    <w:rsid w:val="00FC1C89"/>
    <w:rsid w:val="00FC1D32"/>
    <w:rsid w:val="00FC1D9A"/>
    <w:rsid w:val="00FC1E0F"/>
    <w:rsid w:val="00FC1E44"/>
    <w:rsid w:val="00FC1E73"/>
    <w:rsid w:val="00FC1EF4"/>
    <w:rsid w:val="00FC1F22"/>
    <w:rsid w:val="00FC2016"/>
    <w:rsid w:val="00FC203B"/>
    <w:rsid w:val="00FC2043"/>
    <w:rsid w:val="00FC2046"/>
    <w:rsid w:val="00FC204A"/>
    <w:rsid w:val="00FC2125"/>
    <w:rsid w:val="00FC2174"/>
    <w:rsid w:val="00FC2188"/>
    <w:rsid w:val="00FC21F8"/>
    <w:rsid w:val="00FC22AF"/>
    <w:rsid w:val="00FC22E4"/>
    <w:rsid w:val="00FC2375"/>
    <w:rsid w:val="00FC23A5"/>
    <w:rsid w:val="00FC249E"/>
    <w:rsid w:val="00FC24DE"/>
    <w:rsid w:val="00FC2524"/>
    <w:rsid w:val="00FC25F8"/>
    <w:rsid w:val="00FC2650"/>
    <w:rsid w:val="00FC268C"/>
    <w:rsid w:val="00FC2699"/>
    <w:rsid w:val="00FC26D8"/>
    <w:rsid w:val="00FC26F6"/>
    <w:rsid w:val="00FC271D"/>
    <w:rsid w:val="00FC275D"/>
    <w:rsid w:val="00FC275F"/>
    <w:rsid w:val="00FC2773"/>
    <w:rsid w:val="00FC2781"/>
    <w:rsid w:val="00FC27FD"/>
    <w:rsid w:val="00FC2982"/>
    <w:rsid w:val="00FC29AF"/>
    <w:rsid w:val="00FC29EB"/>
    <w:rsid w:val="00FC29FE"/>
    <w:rsid w:val="00FC2A0D"/>
    <w:rsid w:val="00FC2A26"/>
    <w:rsid w:val="00FC2C31"/>
    <w:rsid w:val="00FC2C4E"/>
    <w:rsid w:val="00FC2C63"/>
    <w:rsid w:val="00FC2D17"/>
    <w:rsid w:val="00FC2DA3"/>
    <w:rsid w:val="00FC2E09"/>
    <w:rsid w:val="00FC2E6D"/>
    <w:rsid w:val="00FC2ED6"/>
    <w:rsid w:val="00FC2F58"/>
    <w:rsid w:val="00FC304C"/>
    <w:rsid w:val="00FC306F"/>
    <w:rsid w:val="00FC30B0"/>
    <w:rsid w:val="00FC30E2"/>
    <w:rsid w:val="00FC312C"/>
    <w:rsid w:val="00FC3192"/>
    <w:rsid w:val="00FC31D4"/>
    <w:rsid w:val="00FC3228"/>
    <w:rsid w:val="00FC3301"/>
    <w:rsid w:val="00FC3326"/>
    <w:rsid w:val="00FC348F"/>
    <w:rsid w:val="00FC3491"/>
    <w:rsid w:val="00FC35DE"/>
    <w:rsid w:val="00FC35FF"/>
    <w:rsid w:val="00FC3640"/>
    <w:rsid w:val="00FC3720"/>
    <w:rsid w:val="00FC3763"/>
    <w:rsid w:val="00FC37E8"/>
    <w:rsid w:val="00FC37F3"/>
    <w:rsid w:val="00FC3B81"/>
    <w:rsid w:val="00FC3B8D"/>
    <w:rsid w:val="00FC3CAE"/>
    <w:rsid w:val="00FC3D1E"/>
    <w:rsid w:val="00FC3D84"/>
    <w:rsid w:val="00FC3DCC"/>
    <w:rsid w:val="00FC3E20"/>
    <w:rsid w:val="00FC3E7B"/>
    <w:rsid w:val="00FC3EAC"/>
    <w:rsid w:val="00FC3FA9"/>
    <w:rsid w:val="00FC4028"/>
    <w:rsid w:val="00FC4070"/>
    <w:rsid w:val="00FC40AE"/>
    <w:rsid w:val="00FC40B1"/>
    <w:rsid w:val="00FC417D"/>
    <w:rsid w:val="00FC4180"/>
    <w:rsid w:val="00FC4182"/>
    <w:rsid w:val="00FC4261"/>
    <w:rsid w:val="00FC4295"/>
    <w:rsid w:val="00FC4337"/>
    <w:rsid w:val="00FC43E1"/>
    <w:rsid w:val="00FC4439"/>
    <w:rsid w:val="00FC445F"/>
    <w:rsid w:val="00FC4549"/>
    <w:rsid w:val="00FC4607"/>
    <w:rsid w:val="00FC4616"/>
    <w:rsid w:val="00FC4630"/>
    <w:rsid w:val="00FC4650"/>
    <w:rsid w:val="00FC46AC"/>
    <w:rsid w:val="00FC46D3"/>
    <w:rsid w:val="00FC4720"/>
    <w:rsid w:val="00FC4734"/>
    <w:rsid w:val="00FC4736"/>
    <w:rsid w:val="00FC4880"/>
    <w:rsid w:val="00FC4896"/>
    <w:rsid w:val="00FC4899"/>
    <w:rsid w:val="00FC48BE"/>
    <w:rsid w:val="00FC4A85"/>
    <w:rsid w:val="00FC4AF0"/>
    <w:rsid w:val="00FC4B1D"/>
    <w:rsid w:val="00FC4B57"/>
    <w:rsid w:val="00FC4BAA"/>
    <w:rsid w:val="00FC4C58"/>
    <w:rsid w:val="00FC4D11"/>
    <w:rsid w:val="00FC4D4B"/>
    <w:rsid w:val="00FC4DB9"/>
    <w:rsid w:val="00FC4EAB"/>
    <w:rsid w:val="00FC4F60"/>
    <w:rsid w:val="00FC5084"/>
    <w:rsid w:val="00FC50CA"/>
    <w:rsid w:val="00FC51C5"/>
    <w:rsid w:val="00FC5444"/>
    <w:rsid w:val="00FC5521"/>
    <w:rsid w:val="00FC5529"/>
    <w:rsid w:val="00FC5539"/>
    <w:rsid w:val="00FC55BB"/>
    <w:rsid w:val="00FC562A"/>
    <w:rsid w:val="00FC5713"/>
    <w:rsid w:val="00FC5793"/>
    <w:rsid w:val="00FC57FE"/>
    <w:rsid w:val="00FC5807"/>
    <w:rsid w:val="00FC597F"/>
    <w:rsid w:val="00FC59CC"/>
    <w:rsid w:val="00FC5AE0"/>
    <w:rsid w:val="00FC5AE7"/>
    <w:rsid w:val="00FC5B36"/>
    <w:rsid w:val="00FC5C09"/>
    <w:rsid w:val="00FC5D6C"/>
    <w:rsid w:val="00FC5E7F"/>
    <w:rsid w:val="00FC5E86"/>
    <w:rsid w:val="00FC5EAF"/>
    <w:rsid w:val="00FC5ED0"/>
    <w:rsid w:val="00FC5F8E"/>
    <w:rsid w:val="00FC5FBA"/>
    <w:rsid w:val="00FC6013"/>
    <w:rsid w:val="00FC601A"/>
    <w:rsid w:val="00FC6075"/>
    <w:rsid w:val="00FC618A"/>
    <w:rsid w:val="00FC61B4"/>
    <w:rsid w:val="00FC629C"/>
    <w:rsid w:val="00FC6398"/>
    <w:rsid w:val="00FC63A0"/>
    <w:rsid w:val="00FC63D1"/>
    <w:rsid w:val="00FC6480"/>
    <w:rsid w:val="00FC6539"/>
    <w:rsid w:val="00FC65D4"/>
    <w:rsid w:val="00FC667A"/>
    <w:rsid w:val="00FC6825"/>
    <w:rsid w:val="00FC683D"/>
    <w:rsid w:val="00FC6870"/>
    <w:rsid w:val="00FC6964"/>
    <w:rsid w:val="00FC6985"/>
    <w:rsid w:val="00FC69AD"/>
    <w:rsid w:val="00FC6A4E"/>
    <w:rsid w:val="00FC6A8B"/>
    <w:rsid w:val="00FC6AD4"/>
    <w:rsid w:val="00FC6AE9"/>
    <w:rsid w:val="00FC6B7B"/>
    <w:rsid w:val="00FC6C21"/>
    <w:rsid w:val="00FC6CDC"/>
    <w:rsid w:val="00FC6D76"/>
    <w:rsid w:val="00FC6D7E"/>
    <w:rsid w:val="00FC6EBD"/>
    <w:rsid w:val="00FC6FA3"/>
    <w:rsid w:val="00FC6FC6"/>
    <w:rsid w:val="00FC70F3"/>
    <w:rsid w:val="00FC725A"/>
    <w:rsid w:val="00FC7295"/>
    <w:rsid w:val="00FC729A"/>
    <w:rsid w:val="00FC734C"/>
    <w:rsid w:val="00FC73D9"/>
    <w:rsid w:val="00FC74A8"/>
    <w:rsid w:val="00FC7552"/>
    <w:rsid w:val="00FC75E2"/>
    <w:rsid w:val="00FC75FB"/>
    <w:rsid w:val="00FC7649"/>
    <w:rsid w:val="00FC7918"/>
    <w:rsid w:val="00FC79C9"/>
    <w:rsid w:val="00FC7A8B"/>
    <w:rsid w:val="00FC7AD7"/>
    <w:rsid w:val="00FC7AED"/>
    <w:rsid w:val="00FC7B8C"/>
    <w:rsid w:val="00FC7BC8"/>
    <w:rsid w:val="00FC7BEC"/>
    <w:rsid w:val="00FC7C01"/>
    <w:rsid w:val="00FC7C73"/>
    <w:rsid w:val="00FC7D2D"/>
    <w:rsid w:val="00FC7D6B"/>
    <w:rsid w:val="00FC7E93"/>
    <w:rsid w:val="00FC7F80"/>
    <w:rsid w:val="00FC7FA4"/>
    <w:rsid w:val="00FC7FBB"/>
    <w:rsid w:val="00FC7FD0"/>
    <w:rsid w:val="00FD0050"/>
    <w:rsid w:val="00FD012A"/>
    <w:rsid w:val="00FD01A2"/>
    <w:rsid w:val="00FD02B2"/>
    <w:rsid w:val="00FD02C6"/>
    <w:rsid w:val="00FD0329"/>
    <w:rsid w:val="00FD0386"/>
    <w:rsid w:val="00FD0478"/>
    <w:rsid w:val="00FD055D"/>
    <w:rsid w:val="00FD060D"/>
    <w:rsid w:val="00FD066A"/>
    <w:rsid w:val="00FD0704"/>
    <w:rsid w:val="00FD072C"/>
    <w:rsid w:val="00FD07AC"/>
    <w:rsid w:val="00FD0836"/>
    <w:rsid w:val="00FD0854"/>
    <w:rsid w:val="00FD08F7"/>
    <w:rsid w:val="00FD0926"/>
    <w:rsid w:val="00FD09FD"/>
    <w:rsid w:val="00FD0A94"/>
    <w:rsid w:val="00FD0C71"/>
    <w:rsid w:val="00FD0C72"/>
    <w:rsid w:val="00FD0CC9"/>
    <w:rsid w:val="00FD0CCB"/>
    <w:rsid w:val="00FD0E2B"/>
    <w:rsid w:val="00FD0E66"/>
    <w:rsid w:val="00FD0E6F"/>
    <w:rsid w:val="00FD0F50"/>
    <w:rsid w:val="00FD0F5B"/>
    <w:rsid w:val="00FD101B"/>
    <w:rsid w:val="00FD102E"/>
    <w:rsid w:val="00FD1093"/>
    <w:rsid w:val="00FD10BA"/>
    <w:rsid w:val="00FD10EC"/>
    <w:rsid w:val="00FD1128"/>
    <w:rsid w:val="00FD115B"/>
    <w:rsid w:val="00FD12B8"/>
    <w:rsid w:val="00FD12C0"/>
    <w:rsid w:val="00FD12C5"/>
    <w:rsid w:val="00FD1336"/>
    <w:rsid w:val="00FD1344"/>
    <w:rsid w:val="00FD1393"/>
    <w:rsid w:val="00FD140B"/>
    <w:rsid w:val="00FD1445"/>
    <w:rsid w:val="00FD1480"/>
    <w:rsid w:val="00FD149F"/>
    <w:rsid w:val="00FD14AF"/>
    <w:rsid w:val="00FD1582"/>
    <w:rsid w:val="00FD1597"/>
    <w:rsid w:val="00FD159F"/>
    <w:rsid w:val="00FD169E"/>
    <w:rsid w:val="00FD16DB"/>
    <w:rsid w:val="00FD179A"/>
    <w:rsid w:val="00FD188B"/>
    <w:rsid w:val="00FD18CC"/>
    <w:rsid w:val="00FD191C"/>
    <w:rsid w:val="00FD1CAB"/>
    <w:rsid w:val="00FD1D71"/>
    <w:rsid w:val="00FD1DC4"/>
    <w:rsid w:val="00FD1E20"/>
    <w:rsid w:val="00FD1E33"/>
    <w:rsid w:val="00FD1E38"/>
    <w:rsid w:val="00FD1EAE"/>
    <w:rsid w:val="00FD20B7"/>
    <w:rsid w:val="00FD2107"/>
    <w:rsid w:val="00FD2168"/>
    <w:rsid w:val="00FD219A"/>
    <w:rsid w:val="00FD2208"/>
    <w:rsid w:val="00FD22C2"/>
    <w:rsid w:val="00FD22FB"/>
    <w:rsid w:val="00FD237E"/>
    <w:rsid w:val="00FD241D"/>
    <w:rsid w:val="00FD2443"/>
    <w:rsid w:val="00FD250E"/>
    <w:rsid w:val="00FD2547"/>
    <w:rsid w:val="00FD26E9"/>
    <w:rsid w:val="00FD272B"/>
    <w:rsid w:val="00FD276A"/>
    <w:rsid w:val="00FD2836"/>
    <w:rsid w:val="00FD2937"/>
    <w:rsid w:val="00FD2944"/>
    <w:rsid w:val="00FD29BD"/>
    <w:rsid w:val="00FD29D3"/>
    <w:rsid w:val="00FD2A60"/>
    <w:rsid w:val="00FD2A80"/>
    <w:rsid w:val="00FD2B2C"/>
    <w:rsid w:val="00FD2D05"/>
    <w:rsid w:val="00FD2D46"/>
    <w:rsid w:val="00FD2D75"/>
    <w:rsid w:val="00FD2DAE"/>
    <w:rsid w:val="00FD2DCE"/>
    <w:rsid w:val="00FD2DDB"/>
    <w:rsid w:val="00FD2E3B"/>
    <w:rsid w:val="00FD2E61"/>
    <w:rsid w:val="00FD2E90"/>
    <w:rsid w:val="00FD2F68"/>
    <w:rsid w:val="00FD3028"/>
    <w:rsid w:val="00FD30FD"/>
    <w:rsid w:val="00FD3143"/>
    <w:rsid w:val="00FD3149"/>
    <w:rsid w:val="00FD3220"/>
    <w:rsid w:val="00FD327F"/>
    <w:rsid w:val="00FD32A4"/>
    <w:rsid w:val="00FD3350"/>
    <w:rsid w:val="00FD3388"/>
    <w:rsid w:val="00FD33C9"/>
    <w:rsid w:val="00FD352B"/>
    <w:rsid w:val="00FD3650"/>
    <w:rsid w:val="00FD374E"/>
    <w:rsid w:val="00FD389D"/>
    <w:rsid w:val="00FD38A7"/>
    <w:rsid w:val="00FD38EA"/>
    <w:rsid w:val="00FD3960"/>
    <w:rsid w:val="00FD39A8"/>
    <w:rsid w:val="00FD3A31"/>
    <w:rsid w:val="00FD3B76"/>
    <w:rsid w:val="00FD3BA1"/>
    <w:rsid w:val="00FD3BFA"/>
    <w:rsid w:val="00FD3C75"/>
    <w:rsid w:val="00FD3CC9"/>
    <w:rsid w:val="00FD3CCA"/>
    <w:rsid w:val="00FD3D8C"/>
    <w:rsid w:val="00FD3E61"/>
    <w:rsid w:val="00FD3E6C"/>
    <w:rsid w:val="00FD3E85"/>
    <w:rsid w:val="00FD400C"/>
    <w:rsid w:val="00FD4031"/>
    <w:rsid w:val="00FD40F0"/>
    <w:rsid w:val="00FD425B"/>
    <w:rsid w:val="00FD426A"/>
    <w:rsid w:val="00FD42DE"/>
    <w:rsid w:val="00FD43E5"/>
    <w:rsid w:val="00FD4514"/>
    <w:rsid w:val="00FD4517"/>
    <w:rsid w:val="00FD4533"/>
    <w:rsid w:val="00FD4589"/>
    <w:rsid w:val="00FD45A0"/>
    <w:rsid w:val="00FD4694"/>
    <w:rsid w:val="00FD46C0"/>
    <w:rsid w:val="00FD47B6"/>
    <w:rsid w:val="00FD481A"/>
    <w:rsid w:val="00FD48BD"/>
    <w:rsid w:val="00FD492A"/>
    <w:rsid w:val="00FD4938"/>
    <w:rsid w:val="00FD4969"/>
    <w:rsid w:val="00FD49DF"/>
    <w:rsid w:val="00FD4AA7"/>
    <w:rsid w:val="00FD4ABF"/>
    <w:rsid w:val="00FD4AC6"/>
    <w:rsid w:val="00FD4B45"/>
    <w:rsid w:val="00FD4B8B"/>
    <w:rsid w:val="00FD4BA1"/>
    <w:rsid w:val="00FD4BA8"/>
    <w:rsid w:val="00FD4C1E"/>
    <w:rsid w:val="00FD4C30"/>
    <w:rsid w:val="00FD4C6A"/>
    <w:rsid w:val="00FD4C82"/>
    <w:rsid w:val="00FD4CC0"/>
    <w:rsid w:val="00FD4CF4"/>
    <w:rsid w:val="00FD4E4F"/>
    <w:rsid w:val="00FD4E80"/>
    <w:rsid w:val="00FD4EEF"/>
    <w:rsid w:val="00FD4F1B"/>
    <w:rsid w:val="00FD503D"/>
    <w:rsid w:val="00FD50DB"/>
    <w:rsid w:val="00FD50FC"/>
    <w:rsid w:val="00FD5114"/>
    <w:rsid w:val="00FD5193"/>
    <w:rsid w:val="00FD51D5"/>
    <w:rsid w:val="00FD5219"/>
    <w:rsid w:val="00FD52FB"/>
    <w:rsid w:val="00FD535F"/>
    <w:rsid w:val="00FD5470"/>
    <w:rsid w:val="00FD5487"/>
    <w:rsid w:val="00FD5544"/>
    <w:rsid w:val="00FD5669"/>
    <w:rsid w:val="00FD56F6"/>
    <w:rsid w:val="00FD5870"/>
    <w:rsid w:val="00FD588C"/>
    <w:rsid w:val="00FD59AE"/>
    <w:rsid w:val="00FD59D8"/>
    <w:rsid w:val="00FD5AD1"/>
    <w:rsid w:val="00FD5B0C"/>
    <w:rsid w:val="00FD5B1D"/>
    <w:rsid w:val="00FD5B25"/>
    <w:rsid w:val="00FD5C82"/>
    <w:rsid w:val="00FD5D45"/>
    <w:rsid w:val="00FD5D81"/>
    <w:rsid w:val="00FD5E0A"/>
    <w:rsid w:val="00FD5F1A"/>
    <w:rsid w:val="00FD5FF0"/>
    <w:rsid w:val="00FD6045"/>
    <w:rsid w:val="00FD606A"/>
    <w:rsid w:val="00FD60DB"/>
    <w:rsid w:val="00FD614D"/>
    <w:rsid w:val="00FD6163"/>
    <w:rsid w:val="00FD6248"/>
    <w:rsid w:val="00FD63E1"/>
    <w:rsid w:val="00FD641B"/>
    <w:rsid w:val="00FD6436"/>
    <w:rsid w:val="00FD6464"/>
    <w:rsid w:val="00FD6523"/>
    <w:rsid w:val="00FD6552"/>
    <w:rsid w:val="00FD657A"/>
    <w:rsid w:val="00FD65C4"/>
    <w:rsid w:val="00FD65DA"/>
    <w:rsid w:val="00FD6769"/>
    <w:rsid w:val="00FD6797"/>
    <w:rsid w:val="00FD67C5"/>
    <w:rsid w:val="00FD67E1"/>
    <w:rsid w:val="00FD67F3"/>
    <w:rsid w:val="00FD6933"/>
    <w:rsid w:val="00FD69CB"/>
    <w:rsid w:val="00FD69F2"/>
    <w:rsid w:val="00FD6A03"/>
    <w:rsid w:val="00FD6AFB"/>
    <w:rsid w:val="00FD6B1E"/>
    <w:rsid w:val="00FD6BD1"/>
    <w:rsid w:val="00FD6BDF"/>
    <w:rsid w:val="00FD6C0F"/>
    <w:rsid w:val="00FD6DA2"/>
    <w:rsid w:val="00FD6E22"/>
    <w:rsid w:val="00FD6EAF"/>
    <w:rsid w:val="00FD6FBE"/>
    <w:rsid w:val="00FD6FD5"/>
    <w:rsid w:val="00FD70CB"/>
    <w:rsid w:val="00FD717D"/>
    <w:rsid w:val="00FD71D5"/>
    <w:rsid w:val="00FD7344"/>
    <w:rsid w:val="00FD7391"/>
    <w:rsid w:val="00FD73DE"/>
    <w:rsid w:val="00FD7418"/>
    <w:rsid w:val="00FD751C"/>
    <w:rsid w:val="00FD756F"/>
    <w:rsid w:val="00FD7587"/>
    <w:rsid w:val="00FD75BF"/>
    <w:rsid w:val="00FD7639"/>
    <w:rsid w:val="00FD76A1"/>
    <w:rsid w:val="00FD76DB"/>
    <w:rsid w:val="00FD78C3"/>
    <w:rsid w:val="00FD7943"/>
    <w:rsid w:val="00FD7966"/>
    <w:rsid w:val="00FD7A46"/>
    <w:rsid w:val="00FD7B15"/>
    <w:rsid w:val="00FD7C04"/>
    <w:rsid w:val="00FD7CCC"/>
    <w:rsid w:val="00FD7D3C"/>
    <w:rsid w:val="00FD7D7C"/>
    <w:rsid w:val="00FD7DA4"/>
    <w:rsid w:val="00FD7DB5"/>
    <w:rsid w:val="00FD7E43"/>
    <w:rsid w:val="00FD7EE4"/>
    <w:rsid w:val="00FE001E"/>
    <w:rsid w:val="00FE0086"/>
    <w:rsid w:val="00FE00A2"/>
    <w:rsid w:val="00FE00CD"/>
    <w:rsid w:val="00FE0152"/>
    <w:rsid w:val="00FE01AC"/>
    <w:rsid w:val="00FE01FA"/>
    <w:rsid w:val="00FE02AC"/>
    <w:rsid w:val="00FE0334"/>
    <w:rsid w:val="00FE0353"/>
    <w:rsid w:val="00FE0368"/>
    <w:rsid w:val="00FE0401"/>
    <w:rsid w:val="00FE0402"/>
    <w:rsid w:val="00FE0407"/>
    <w:rsid w:val="00FE043F"/>
    <w:rsid w:val="00FE050A"/>
    <w:rsid w:val="00FE0607"/>
    <w:rsid w:val="00FE0657"/>
    <w:rsid w:val="00FE0691"/>
    <w:rsid w:val="00FE0693"/>
    <w:rsid w:val="00FE070B"/>
    <w:rsid w:val="00FE0717"/>
    <w:rsid w:val="00FE0783"/>
    <w:rsid w:val="00FE0790"/>
    <w:rsid w:val="00FE0800"/>
    <w:rsid w:val="00FE081D"/>
    <w:rsid w:val="00FE0832"/>
    <w:rsid w:val="00FE0964"/>
    <w:rsid w:val="00FE097A"/>
    <w:rsid w:val="00FE0A05"/>
    <w:rsid w:val="00FE0A11"/>
    <w:rsid w:val="00FE0A89"/>
    <w:rsid w:val="00FE0A8A"/>
    <w:rsid w:val="00FE0A90"/>
    <w:rsid w:val="00FE0A92"/>
    <w:rsid w:val="00FE0AAB"/>
    <w:rsid w:val="00FE0ACE"/>
    <w:rsid w:val="00FE0AED"/>
    <w:rsid w:val="00FE0B2C"/>
    <w:rsid w:val="00FE0C5F"/>
    <w:rsid w:val="00FE0C9E"/>
    <w:rsid w:val="00FE0CF3"/>
    <w:rsid w:val="00FE0D0E"/>
    <w:rsid w:val="00FE0D5E"/>
    <w:rsid w:val="00FE0DBA"/>
    <w:rsid w:val="00FE0E88"/>
    <w:rsid w:val="00FE0EAA"/>
    <w:rsid w:val="00FE0F1D"/>
    <w:rsid w:val="00FE0F31"/>
    <w:rsid w:val="00FE0F81"/>
    <w:rsid w:val="00FE0FEA"/>
    <w:rsid w:val="00FE1002"/>
    <w:rsid w:val="00FE10C4"/>
    <w:rsid w:val="00FE111F"/>
    <w:rsid w:val="00FE11C2"/>
    <w:rsid w:val="00FE11C3"/>
    <w:rsid w:val="00FE11D7"/>
    <w:rsid w:val="00FE1264"/>
    <w:rsid w:val="00FE1505"/>
    <w:rsid w:val="00FE157C"/>
    <w:rsid w:val="00FE161E"/>
    <w:rsid w:val="00FE17B9"/>
    <w:rsid w:val="00FE1807"/>
    <w:rsid w:val="00FE1820"/>
    <w:rsid w:val="00FE182C"/>
    <w:rsid w:val="00FE1904"/>
    <w:rsid w:val="00FE1922"/>
    <w:rsid w:val="00FE19AF"/>
    <w:rsid w:val="00FE1A57"/>
    <w:rsid w:val="00FE1B71"/>
    <w:rsid w:val="00FE1D04"/>
    <w:rsid w:val="00FE1D16"/>
    <w:rsid w:val="00FE1DE6"/>
    <w:rsid w:val="00FE1E3B"/>
    <w:rsid w:val="00FE1E90"/>
    <w:rsid w:val="00FE1EA9"/>
    <w:rsid w:val="00FE1F1C"/>
    <w:rsid w:val="00FE1F8B"/>
    <w:rsid w:val="00FE2001"/>
    <w:rsid w:val="00FE2021"/>
    <w:rsid w:val="00FE203C"/>
    <w:rsid w:val="00FE2100"/>
    <w:rsid w:val="00FE2101"/>
    <w:rsid w:val="00FE215C"/>
    <w:rsid w:val="00FE220D"/>
    <w:rsid w:val="00FE2239"/>
    <w:rsid w:val="00FE22E5"/>
    <w:rsid w:val="00FE234D"/>
    <w:rsid w:val="00FE23EA"/>
    <w:rsid w:val="00FE2522"/>
    <w:rsid w:val="00FE2634"/>
    <w:rsid w:val="00FE2647"/>
    <w:rsid w:val="00FE273A"/>
    <w:rsid w:val="00FE2752"/>
    <w:rsid w:val="00FE2787"/>
    <w:rsid w:val="00FE27A3"/>
    <w:rsid w:val="00FE27FE"/>
    <w:rsid w:val="00FE2889"/>
    <w:rsid w:val="00FE2906"/>
    <w:rsid w:val="00FE2922"/>
    <w:rsid w:val="00FE2927"/>
    <w:rsid w:val="00FE2943"/>
    <w:rsid w:val="00FE298D"/>
    <w:rsid w:val="00FE2A05"/>
    <w:rsid w:val="00FE2A0D"/>
    <w:rsid w:val="00FE2B8D"/>
    <w:rsid w:val="00FE2C17"/>
    <w:rsid w:val="00FE2C3D"/>
    <w:rsid w:val="00FE2C60"/>
    <w:rsid w:val="00FE2D7B"/>
    <w:rsid w:val="00FE2DA0"/>
    <w:rsid w:val="00FE2EF8"/>
    <w:rsid w:val="00FE2F07"/>
    <w:rsid w:val="00FE2F48"/>
    <w:rsid w:val="00FE2F9E"/>
    <w:rsid w:val="00FE3052"/>
    <w:rsid w:val="00FE3266"/>
    <w:rsid w:val="00FE334D"/>
    <w:rsid w:val="00FE335D"/>
    <w:rsid w:val="00FE3375"/>
    <w:rsid w:val="00FE338D"/>
    <w:rsid w:val="00FE356B"/>
    <w:rsid w:val="00FE3622"/>
    <w:rsid w:val="00FE3629"/>
    <w:rsid w:val="00FE36A6"/>
    <w:rsid w:val="00FE3AF3"/>
    <w:rsid w:val="00FE3B4C"/>
    <w:rsid w:val="00FE3B93"/>
    <w:rsid w:val="00FE3BC6"/>
    <w:rsid w:val="00FE3C08"/>
    <w:rsid w:val="00FE3C13"/>
    <w:rsid w:val="00FE3C64"/>
    <w:rsid w:val="00FE3C6C"/>
    <w:rsid w:val="00FE3D33"/>
    <w:rsid w:val="00FE3D3A"/>
    <w:rsid w:val="00FE3F6D"/>
    <w:rsid w:val="00FE3F9B"/>
    <w:rsid w:val="00FE4020"/>
    <w:rsid w:val="00FE4071"/>
    <w:rsid w:val="00FE40DF"/>
    <w:rsid w:val="00FE4131"/>
    <w:rsid w:val="00FE418B"/>
    <w:rsid w:val="00FE4246"/>
    <w:rsid w:val="00FE4318"/>
    <w:rsid w:val="00FE4399"/>
    <w:rsid w:val="00FE43BC"/>
    <w:rsid w:val="00FE43F7"/>
    <w:rsid w:val="00FE4430"/>
    <w:rsid w:val="00FE444D"/>
    <w:rsid w:val="00FE445B"/>
    <w:rsid w:val="00FE44AA"/>
    <w:rsid w:val="00FE44CB"/>
    <w:rsid w:val="00FE44DD"/>
    <w:rsid w:val="00FE44F0"/>
    <w:rsid w:val="00FE4530"/>
    <w:rsid w:val="00FE4649"/>
    <w:rsid w:val="00FE4660"/>
    <w:rsid w:val="00FE4767"/>
    <w:rsid w:val="00FE4777"/>
    <w:rsid w:val="00FE47DD"/>
    <w:rsid w:val="00FE481D"/>
    <w:rsid w:val="00FE48A1"/>
    <w:rsid w:val="00FE48DB"/>
    <w:rsid w:val="00FE4979"/>
    <w:rsid w:val="00FE4989"/>
    <w:rsid w:val="00FE49C0"/>
    <w:rsid w:val="00FE4A0B"/>
    <w:rsid w:val="00FE4A22"/>
    <w:rsid w:val="00FE4A38"/>
    <w:rsid w:val="00FE4C00"/>
    <w:rsid w:val="00FE4C26"/>
    <w:rsid w:val="00FE4C40"/>
    <w:rsid w:val="00FE4C5B"/>
    <w:rsid w:val="00FE4CE5"/>
    <w:rsid w:val="00FE4DBF"/>
    <w:rsid w:val="00FE4E02"/>
    <w:rsid w:val="00FE4E2C"/>
    <w:rsid w:val="00FE4EDF"/>
    <w:rsid w:val="00FE4F1A"/>
    <w:rsid w:val="00FE4F26"/>
    <w:rsid w:val="00FE4F32"/>
    <w:rsid w:val="00FE4F44"/>
    <w:rsid w:val="00FE4F5C"/>
    <w:rsid w:val="00FE5035"/>
    <w:rsid w:val="00FE506A"/>
    <w:rsid w:val="00FE5083"/>
    <w:rsid w:val="00FE51FE"/>
    <w:rsid w:val="00FE5228"/>
    <w:rsid w:val="00FE5252"/>
    <w:rsid w:val="00FE547E"/>
    <w:rsid w:val="00FE5557"/>
    <w:rsid w:val="00FE57C2"/>
    <w:rsid w:val="00FE5A3A"/>
    <w:rsid w:val="00FE5B4B"/>
    <w:rsid w:val="00FE5BB4"/>
    <w:rsid w:val="00FE5BC4"/>
    <w:rsid w:val="00FE5CE0"/>
    <w:rsid w:val="00FE5D20"/>
    <w:rsid w:val="00FE5D48"/>
    <w:rsid w:val="00FE5DFD"/>
    <w:rsid w:val="00FE5E2E"/>
    <w:rsid w:val="00FE5E32"/>
    <w:rsid w:val="00FE5F91"/>
    <w:rsid w:val="00FE6082"/>
    <w:rsid w:val="00FE60CF"/>
    <w:rsid w:val="00FE6142"/>
    <w:rsid w:val="00FE615D"/>
    <w:rsid w:val="00FE61CC"/>
    <w:rsid w:val="00FE620F"/>
    <w:rsid w:val="00FE6256"/>
    <w:rsid w:val="00FE6274"/>
    <w:rsid w:val="00FE62AA"/>
    <w:rsid w:val="00FE6329"/>
    <w:rsid w:val="00FE636F"/>
    <w:rsid w:val="00FE6497"/>
    <w:rsid w:val="00FE64EE"/>
    <w:rsid w:val="00FE656D"/>
    <w:rsid w:val="00FE66C7"/>
    <w:rsid w:val="00FE67C1"/>
    <w:rsid w:val="00FE6945"/>
    <w:rsid w:val="00FE6975"/>
    <w:rsid w:val="00FE6976"/>
    <w:rsid w:val="00FE69B9"/>
    <w:rsid w:val="00FE6A0E"/>
    <w:rsid w:val="00FE6A38"/>
    <w:rsid w:val="00FE6B3D"/>
    <w:rsid w:val="00FE6BBC"/>
    <w:rsid w:val="00FE6C2A"/>
    <w:rsid w:val="00FE6C43"/>
    <w:rsid w:val="00FE6CEF"/>
    <w:rsid w:val="00FE6D62"/>
    <w:rsid w:val="00FE6E13"/>
    <w:rsid w:val="00FE6E53"/>
    <w:rsid w:val="00FE6E6C"/>
    <w:rsid w:val="00FE6F14"/>
    <w:rsid w:val="00FE6F4E"/>
    <w:rsid w:val="00FE6F93"/>
    <w:rsid w:val="00FE701C"/>
    <w:rsid w:val="00FE711B"/>
    <w:rsid w:val="00FE7178"/>
    <w:rsid w:val="00FE7198"/>
    <w:rsid w:val="00FE719A"/>
    <w:rsid w:val="00FE71C1"/>
    <w:rsid w:val="00FE7206"/>
    <w:rsid w:val="00FE7298"/>
    <w:rsid w:val="00FE72B4"/>
    <w:rsid w:val="00FE72C4"/>
    <w:rsid w:val="00FE72F6"/>
    <w:rsid w:val="00FE7395"/>
    <w:rsid w:val="00FE73F1"/>
    <w:rsid w:val="00FE7458"/>
    <w:rsid w:val="00FE74B4"/>
    <w:rsid w:val="00FE7522"/>
    <w:rsid w:val="00FE753C"/>
    <w:rsid w:val="00FE75B5"/>
    <w:rsid w:val="00FE7716"/>
    <w:rsid w:val="00FE771E"/>
    <w:rsid w:val="00FE77D3"/>
    <w:rsid w:val="00FE7A09"/>
    <w:rsid w:val="00FE7A34"/>
    <w:rsid w:val="00FE7A53"/>
    <w:rsid w:val="00FE7D42"/>
    <w:rsid w:val="00FE7DA1"/>
    <w:rsid w:val="00FE7E19"/>
    <w:rsid w:val="00FE7E28"/>
    <w:rsid w:val="00FE7E3D"/>
    <w:rsid w:val="00FE7E41"/>
    <w:rsid w:val="00FE7E4E"/>
    <w:rsid w:val="00FE7EF9"/>
    <w:rsid w:val="00FE7F58"/>
    <w:rsid w:val="00FE7FCE"/>
    <w:rsid w:val="00FE8144"/>
    <w:rsid w:val="00FF00BB"/>
    <w:rsid w:val="00FF010D"/>
    <w:rsid w:val="00FF0185"/>
    <w:rsid w:val="00FF0194"/>
    <w:rsid w:val="00FF01DB"/>
    <w:rsid w:val="00FF0323"/>
    <w:rsid w:val="00FF0380"/>
    <w:rsid w:val="00FF03A7"/>
    <w:rsid w:val="00FF0439"/>
    <w:rsid w:val="00FF04AE"/>
    <w:rsid w:val="00FF059D"/>
    <w:rsid w:val="00FF0651"/>
    <w:rsid w:val="00FF07A0"/>
    <w:rsid w:val="00FF07EF"/>
    <w:rsid w:val="00FF07F6"/>
    <w:rsid w:val="00FF085B"/>
    <w:rsid w:val="00FF0862"/>
    <w:rsid w:val="00FF0963"/>
    <w:rsid w:val="00FF09F9"/>
    <w:rsid w:val="00FF0A4E"/>
    <w:rsid w:val="00FF0AC3"/>
    <w:rsid w:val="00FF0B46"/>
    <w:rsid w:val="00FF0B52"/>
    <w:rsid w:val="00FF0BA5"/>
    <w:rsid w:val="00FF0C1C"/>
    <w:rsid w:val="00FF0C22"/>
    <w:rsid w:val="00FF0DD2"/>
    <w:rsid w:val="00FF0E9B"/>
    <w:rsid w:val="00FF0ED5"/>
    <w:rsid w:val="00FF0ED8"/>
    <w:rsid w:val="00FF0F31"/>
    <w:rsid w:val="00FF0F39"/>
    <w:rsid w:val="00FF0F75"/>
    <w:rsid w:val="00FF0FB8"/>
    <w:rsid w:val="00FF1067"/>
    <w:rsid w:val="00FF10CE"/>
    <w:rsid w:val="00FF11D3"/>
    <w:rsid w:val="00FF1292"/>
    <w:rsid w:val="00FF14B8"/>
    <w:rsid w:val="00FF1691"/>
    <w:rsid w:val="00FF17F4"/>
    <w:rsid w:val="00FF18DB"/>
    <w:rsid w:val="00FF190B"/>
    <w:rsid w:val="00FF1995"/>
    <w:rsid w:val="00FF1A37"/>
    <w:rsid w:val="00FF1A45"/>
    <w:rsid w:val="00FF1AB8"/>
    <w:rsid w:val="00FF1B82"/>
    <w:rsid w:val="00FF1D35"/>
    <w:rsid w:val="00FF1D51"/>
    <w:rsid w:val="00FF1D52"/>
    <w:rsid w:val="00FF1DF2"/>
    <w:rsid w:val="00FF1E15"/>
    <w:rsid w:val="00FF1E3C"/>
    <w:rsid w:val="00FF1E79"/>
    <w:rsid w:val="00FF1ED4"/>
    <w:rsid w:val="00FF1F47"/>
    <w:rsid w:val="00FF218C"/>
    <w:rsid w:val="00FF2371"/>
    <w:rsid w:val="00FF2437"/>
    <w:rsid w:val="00FF256C"/>
    <w:rsid w:val="00FF2572"/>
    <w:rsid w:val="00FF257A"/>
    <w:rsid w:val="00FF2619"/>
    <w:rsid w:val="00FF261A"/>
    <w:rsid w:val="00FF2747"/>
    <w:rsid w:val="00FF275F"/>
    <w:rsid w:val="00FF2855"/>
    <w:rsid w:val="00FF2905"/>
    <w:rsid w:val="00FF2926"/>
    <w:rsid w:val="00FF2968"/>
    <w:rsid w:val="00FF29A7"/>
    <w:rsid w:val="00FF2A86"/>
    <w:rsid w:val="00FF2AB4"/>
    <w:rsid w:val="00FF2B16"/>
    <w:rsid w:val="00FF2B7A"/>
    <w:rsid w:val="00FF2B88"/>
    <w:rsid w:val="00FF2C63"/>
    <w:rsid w:val="00FF2D95"/>
    <w:rsid w:val="00FF2EFC"/>
    <w:rsid w:val="00FF2F14"/>
    <w:rsid w:val="00FF2F1D"/>
    <w:rsid w:val="00FF2F44"/>
    <w:rsid w:val="00FF2F4E"/>
    <w:rsid w:val="00FF2FEF"/>
    <w:rsid w:val="00FF3203"/>
    <w:rsid w:val="00FF3221"/>
    <w:rsid w:val="00FF32B2"/>
    <w:rsid w:val="00FF32BE"/>
    <w:rsid w:val="00FF34E0"/>
    <w:rsid w:val="00FF36C2"/>
    <w:rsid w:val="00FF3730"/>
    <w:rsid w:val="00FF3735"/>
    <w:rsid w:val="00FF37AA"/>
    <w:rsid w:val="00FF37AC"/>
    <w:rsid w:val="00FF37FC"/>
    <w:rsid w:val="00FF391C"/>
    <w:rsid w:val="00FF3929"/>
    <w:rsid w:val="00FF39CB"/>
    <w:rsid w:val="00FF39DB"/>
    <w:rsid w:val="00FF3AE9"/>
    <w:rsid w:val="00FF3AF6"/>
    <w:rsid w:val="00FF3BD9"/>
    <w:rsid w:val="00FF3BE5"/>
    <w:rsid w:val="00FF3BF2"/>
    <w:rsid w:val="00FF3C38"/>
    <w:rsid w:val="00FF3DC6"/>
    <w:rsid w:val="00FF3E0C"/>
    <w:rsid w:val="00FF3E62"/>
    <w:rsid w:val="00FF3F07"/>
    <w:rsid w:val="00FF3FDB"/>
    <w:rsid w:val="00FF4021"/>
    <w:rsid w:val="00FF4095"/>
    <w:rsid w:val="00FF40DA"/>
    <w:rsid w:val="00FF42B9"/>
    <w:rsid w:val="00FF435A"/>
    <w:rsid w:val="00FF4370"/>
    <w:rsid w:val="00FF43E0"/>
    <w:rsid w:val="00FF4418"/>
    <w:rsid w:val="00FF4588"/>
    <w:rsid w:val="00FF468B"/>
    <w:rsid w:val="00FF46CB"/>
    <w:rsid w:val="00FF46D8"/>
    <w:rsid w:val="00FF46DC"/>
    <w:rsid w:val="00FF473F"/>
    <w:rsid w:val="00FF4852"/>
    <w:rsid w:val="00FF485F"/>
    <w:rsid w:val="00FF4871"/>
    <w:rsid w:val="00FF489C"/>
    <w:rsid w:val="00FF4915"/>
    <w:rsid w:val="00FF49F6"/>
    <w:rsid w:val="00FF49F9"/>
    <w:rsid w:val="00FF4AE6"/>
    <w:rsid w:val="00FF4C92"/>
    <w:rsid w:val="00FF4E8D"/>
    <w:rsid w:val="00FF4EC5"/>
    <w:rsid w:val="00FF4EFB"/>
    <w:rsid w:val="00FF4F38"/>
    <w:rsid w:val="00FF4F4A"/>
    <w:rsid w:val="00FF4F5A"/>
    <w:rsid w:val="00FF4F69"/>
    <w:rsid w:val="00FF4F82"/>
    <w:rsid w:val="00FF50EF"/>
    <w:rsid w:val="00FF511F"/>
    <w:rsid w:val="00FF5128"/>
    <w:rsid w:val="00FF51D2"/>
    <w:rsid w:val="00FF5332"/>
    <w:rsid w:val="00FF53AF"/>
    <w:rsid w:val="00FF53C0"/>
    <w:rsid w:val="00FF5430"/>
    <w:rsid w:val="00FF54DB"/>
    <w:rsid w:val="00FF553F"/>
    <w:rsid w:val="00FF5671"/>
    <w:rsid w:val="00FF56AE"/>
    <w:rsid w:val="00FF56B5"/>
    <w:rsid w:val="00FF571D"/>
    <w:rsid w:val="00FF577E"/>
    <w:rsid w:val="00FF5846"/>
    <w:rsid w:val="00FF599C"/>
    <w:rsid w:val="00FF59A8"/>
    <w:rsid w:val="00FF5AB6"/>
    <w:rsid w:val="00FF5C42"/>
    <w:rsid w:val="00FF5CCA"/>
    <w:rsid w:val="00FF5CD1"/>
    <w:rsid w:val="00FF5E32"/>
    <w:rsid w:val="00FF5E47"/>
    <w:rsid w:val="00FF5E4B"/>
    <w:rsid w:val="00FF5E91"/>
    <w:rsid w:val="00FF6031"/>
    <w:rsid w:val="00FF6069"/>
    <w:rsid w:val="00FF6080"/>
    <w:rsid w:val="00FF60CA"/>
    <w:rsid w:val="00FF60F5"/>
    <w:rsid w:val="00FF61B7"/>
    <w:rsid w:val="00FF61F5"/>
    <w:rsid w:val="00FF626A"/>
    <w:rsid w:val="00FF62B5"/>
    <w:rsid w:val="00FF6306"/>
    <w:rsid w:val="00FF637C"/>
    <w:rsid w:val="00FF63B5"/>
    <w:rsid w:val="00FF63B9"/>
    <w:rsid w:val="00FF640B"/>
    <w:rsid w:val="00FF64DE"/>
    <w:rsid w:val="00FF657D"/>
    <w:rsid w:val="00FF65E9"/>
    <w:rsid w:val="00FF6602"/>
    <w:rsid w:val="00FF66F6"/>
    <w:rsid w:val="00FF672B"/>
    <w:rsid w:val="00FF67F1"/>
    <w:rsid w:val="00FF689E"/>
    <w:rsid w:val="00FF68F7"/>
    <w:rsid w:val="00FF6944"/>
    <w:rsid w:val="00FF696F"/>
    <w:rsid w:val="00FF6987"/>
    <w:rsid w:val="00FF69DE"/>
    <w:rsid w:val="00FF6A2A"/>
    <w:rsid w:val="00FF6A61"/>
    <w:rsid w:val="00FF6A8C"/>
    <w:rsid w:val="00FF6A9D"/>
    <w:rsid w:val="00FF6AC1"/>
    <w:rsid w:val="00FF6AC6"/>
    <w:rsid w:val="00FF6BFF"/>
    <w:rsid w:val="00FF6C9E"/>
    <w:rsid w:val="00FF6CB1"/>
    <w:rsid w:val="00FF6CB4"/>
    <w:rsid w:val="00FF6CBC"/>
    <w:rsid w:val="00FF6CC3"/>
    <w:rsid w:val="00FF6CEB"/>
    <w:rsid w:val="00FF6D00"/>
    <w:rsid w:val="00FF6D35"/>
    <w:rsid w:val="00FF6D84"/>
    <w:rsid w:val="00FF6D9D"/>
    <w:rsid w:val="00FF6E3E"/>
    <w:rsid w:val="00FF6E57"/>
    <w:rsid w:val="00FF6E5E"/>
    <w:rsid w:val="00FF6EA1"/>
    <w:rsid w:val="00FF6F94"/>
    <w:rsid w:val="00FF715E"/>
    <w:rsid w:val="00FF72BE"/>
    <w:rsid w:val="00FF735B"/>
    <w:rsid w:val="00FF73B6"/>
    <w:rsid w:val="00FF73ED"/>
    <w:rsid w:val="00FF74AD"/>
    <w:rsid w:val="00FF74CD"/>
    <w:rsid w:val="00FF7535"/>
    <w:rsid w:val="00FF7646"/>
    <w:rsid w:val="00FF764C"/>
    <w:rsid w:val="00FF7777"/>
    <w:rsid w:val="00FF783E"/>
    <w:rsid w:val="00FF7910"/>
    <w:rsid w:val="00FF7934"/>
    <w:rsid w:val="00FF798B"/>
    <w:rsid w:val="00FF79A3"/>
    <w:rsid w:val="00FF7A5B"/>
    <w:rsid w:val="00FF7AE8"/>
    <w:rsid w:val="00FF7AF4"/>
    <w:rsid w:val="00FF7C04"/>
    <w:rsid w:val="00FF7C7A"/>
    <w:rsid w:val="00FF7D2A"/>
    <w:rsid w:val="00FF7E0A"/>
    <w:rsid w:val="00FF7E83"/>
    <w:rsid w:val="00FF7EBF"/>
    <w:rsid w:val="00FF7FBE"/>
    <w:rsid w:val="0106D877"/>
    <w:rsid w:val="01094923"/>
    <w:rsid w:val="011F5DFD"/>
    <w:rsid w:val="012C3A4F"/>
    <w:rsid w:val="0135B6E1"/>
    <w:rsid w:val="0139CF32"/>
    <w:rsid w:val="0140EB42"/>
    <w:rsid w:val="0154D27A"/>
    <w:rsid w:val="01598DE7"/>
    <w:rsid w:val="0167BA6D"/>
    <w:rsid w:val="017D9BA6"/>
    <w:rsid w:val="018F74EA"/>
    <w:rsid w:val="019D0AC3"/>
    <w:rsid w:val="01B8E7DE"/>
    <w:rsid w:val="01BBC07F"/>
    <w:rsid w:val="01C3E565"/>
    <w:rsid w:val="01C6786A"/>
    <w:rsid w:val="01CD18D1"/>
    <w:rsid w:val="01CDA570"/>
    <w:rsid w:val="01E823A5"/>
    <w:rsid w:val="01E881EA"/>
    <w:rsid w:val="01E9A6DC"/>
    <w:rsid w:val="01E9B09A"/>
    <w:rsid w:val="01EA2EC0"/>
    <w:rsid w:val="01F5F8EC"/>
    <w:rsid w:val="0200581C"/>
    <w:rsid w:val="0215C0DB"/>
    <w:rsid w:val="021C9EF3"/>
    <w:rsid w:val="022125A2"/>
    <w:rsid w:val="022C494A"/>
    <w:rsid w:val="0248FB45"/>
    <w:rsid w:val="024C3457"/>
    <w:rsid w:val="025838E6"/>
    <w:rsid w:val="02692CA7"/>
    <w:rsid w:val="027EA1D8"/>
    <w:rsid w:val="028D22E7"/>
    <w:rsid w:val="029E4F34"/>
    <w:rsid w:val="02B4CBA0"/>
    <w:rsid w:val="02BC6397"/>
    <w:rsid w:val="02C324F0"/>
    <w:rsid w:val="02CC4CBB"/>
    <w:rsid w:val="0310810B"/>
    <w:rsid w:val="0317999A"/>
    <w:rsid w:val="0323141A"/>
    <w:rsid w:val="03259FFD"/>
    <w:rsid w:val="032C071A"/>
    <w:rsid w:val="033EA627"/>
    <w:rsid w:val="0340CD0B"/>
    <w:rsid w:val="03477751"/>
    <w:rsid w:val="0347B646"/>
    <w:rsid w:val="035272AA"/>
    <w:rsid w:val="035B44B2"/>
    <w:rsid w:val="036207B0"/>
    <w:rsid w:val="0370A486"/>
    <w:rsid w:val="038850AB"/>
    <w:rsid w:val="03A70C6D"/>
    <w:rsid w:val="03BCE5B5"/>
    <w:rsid w:val="03D56FFA"/>
    <w:rsid w:val="03D86DDB"/>
    <w:rsid w:val="03FE1E28"/>
    <w:rsid w:val="04049FB3"/>
    <w:rsid w:val="04136632"/>
    <w:rsid w:val="041DC6B7"/>
    <w:rsid w:val="04244CE0"/>
    <w:rsid w:val="04369505"/>
    <w:rsid w:val="04410103"/>
    <w:rsid w:val="04457E9E"/>
    <w:rsid w:val="046D7001"/>
    <w:rsid w:val="0488E170"/>
    <w:rsid w:val="049E905D"/>
    <w:rsid w:val="04A129A0"/>
    <w:rsid w:val="04B74656"/>
    <w:rsid w:val="04CA9BE0"/>
    <w:rsid w:val="04CCFB65"/>
    <w:rsid w:val="04D6B003"/>
    <w:rsid w:val="04F6973B"/>
    <w:rsid w:val="04FD6C12"/>
    <w:rsid w:val="050D356C"/>
    <w:rsid w:val="0522F888"/>
    <w:rsid w:val="05273D19"/>
    <w:rsid w:val="05396B87"/>
    <w:rsid w:val="054EC82F"/>
    <w:rsid w:val="054F7410"/>
    <w:rsid w:val="0567BB46"/>
    <w:rsid w:val="058CBB55"/>
    <w:rsid w:val="0594087D"/>
    <w:rsid w:val="05C701C0"/>
    <w:rsid w:val="05D110F7"/>
    <w:rsid w:val="05EF052C"/>
    <w:rsid w:val="05F253C1"/>
    <w:rsid w:val="05FEC57A"/>
    <w:rsid w:val="06012950"/>
    <w:rsid w:val="060CE90A"/>
    <w:rsid w:val="06261B43"/>
    <w:rsid w:val="0628FBA9"/>
    <w:rsid w:val="0641762A"/>
    <w:rsid w:val="06426CBA"/>
    <w:rsid w:val="06658573"/>
    <w:rsid w:val="0666F984"/>
    <w:rsid w:val="066E5068"/>
    <w:rsid w:val="0688001F"/>
    <w:rsid w:val="069AD33C"/>
    <w:rsid w:val="069CF2F0"/>
    <w:rsid w:val="06A0F610"/>
    <w:rsid w:val="06A1D618"/>
    <w:rsid w:val="06C3012B"/>
    <w:rsid w:val="06D36733"/>
    <w:rsid w:val="06DAADDA"/>
    <w:rsid w:val="06F467D1"/>
    <w:rsid w:val="070EC953"/>
    <w:rsid w:val="0734CAE2"/>
    <w:rsid w:val="073ACD04"/>
    <w:rsid w:val="07463B0B"/>
    <w:rsid w:val="0748373C"/>
    <w:rsid w:val="07498966"/>
    <w:rsid w:val="074C4BD4"/>
    <w:rsid w:val="075C7745"/>
    <w:rsid w:val="07722560"/>
    <w:rsid w:val="078A3664"/>
    <w:rsid w:val="07900654"/>
    <w:rsid w:val="079A7C81"/>
    <w:rsid w:val="07A09411"/>
    <w:rsid w:val="07A431A0"/>
    <w:rsid w:val="07B50FF2"/>
    <w:rsid w:val="07C26D94"/>
    <w:rsid w:val="07C399B6"/>
    <w:rsid w:val="07D5F970"/>
    <w:rsid w:val="07F2C876"/>
    <w:rsid w:val="07F60C63"/>
    <w:rsid w:val="0807AB2F"/>
    <w:rsid w:val="080F3EBE"/>
    <w:rsid w:val="081ADA1C"/>
    <w:rsid w:val="083785A4"/>
    <w:rsid w:val="0841049A"/>
    <w:rsid w:val="08438202"/>
    <w:rsid w:val="0844B414"/>
    <w:rsid w:val="08515C5F"/>
    <w:rsid w:val="0858FCF0"/>
    <w:rsid w:val="088235B0"/>
    <w:rsid w:val="08A2306C"/>
    <w:rsid w:val="08DBA6BB"/>
    <w:rsid w:val="08DCD83F"/>
    <w:rsid w:val="08E8A1E9"/>
    <w:rsid w:val="090BF132"/>
    <w:rsid w:val="09101731"/>
    <w:rsid w:val="09111214"/>
    <w:rsid w:val="092CE336"/>
    <w:rsid w:val="0939D6F1"/>
    <w:rsid w:val="094F8A77"/>
    <w:rsid w:val="0965D17C"/>
    <w:rsid w:val="09AF520A"/>
    <w:rsid w:val="09C3AC16"/>
    <w:rsid w:val="09C87031"/>
    <w:rsid w:val="09D1DE7D"/>
    <w:rsid w:val="09D3E9B4"/>
    <w:rsid w:val="09DD10E3"/>
    <w:rsid w:val="09E30D27"/>
    <w:rsid w:val="09E51A46"/>
    <w:rsid w:val="09E9DC8C"/>
    <w:rsid w:val="0A1252E1"/>
    <w:rsid w:val="0A126764"/>
    <w:rsid w:val="0A18EEE0"/>
    <w:rsid w:val="0A1F78F9"/>
    <w:rsid w:val="0A2BE9D2"/>
    <w:rsid w:val="0A333ACA"/>
    <w:rsid w:val="0A4AF102"/>
    <w:rsid w:val="0A62FC05"/>
    <w:rsid w:val="0A6B1D29"/>
    <w:rsid w:val="0A6C506A"/>
    <w:rsid w:val="0A7ADFD0"/>
    <w:rsid w:val="0A7C2749"/>
    <w:rsid w:val="0A7C4E19"/>
    <w:rsid w:val="0A8A5A2C"/>
    <w:rsid w:val="0AA202CF"/>
    <w:rsid w:val="0AA995EE"/>
    <w:rsid w:val="0ABBD6AC"/>
    <w:rsid w:val="0ABCFB15"/>
    <w:rsid w:val="0AC3DB0A"/>
    <w:rsid w:val="0AC6DE9B"/>
    <w:rsid w:val="0ACA55FE"/>
    <w:rsid w:val="0ACCC969"/>
    <w:rsid w:val="0AD215DE"/>
    <w:rsid w:val="0AD44B85"/>
    <w:rsid w:val="0AD97F35"/>
    <w:rsid w:val="0ADFC6E3"/>
    <w:rsid w:val="0AEFABA6"/>
    <w:rsid w:val="0AFC0825"/>
    <w:rsid w:val="0B08FA5A"/>
    <w:rsid w:val="0B0A252B"/>
    <w:rsid w:val="0B2B9FF5"/>
    <w:rsid w:val="0B3E3815"/>
    <w:rsid w:val="0B417ADC"/>
    <w:rsid w:val="0B49973F"/>
    <w:rsid w:val="0B51AE30"/>
    <w:rsid w:val="0B612275"/>
    <w:rsid w:val="0B78472F"/>
    <w:rsid w:val="0B7CFF09"/>
    <w:rsid w:val="0B935D5D"/>
    <w:rsid w:val="0B95F46B"/>
    <w:rsid w:val="0B968310"/>
    <w:rsid w:val="0BA773B5"/>
    <w:rsid w:val="0BB15EF3"/>
    <w:rsid w:val="0BBFBC4B"/>
    <w:rsid w:val="0BD77716"/>
    <w:rsid w:val="0BD83BF2"/>
    <w:rsid w:val="0BDD23E6"/>
    <w:rsid w:val="0BEC8DDE"/>
    <w:rsid w:val="0C068A02"/>
    <w:rsid w:val="0C0F27D5"/>
    <w:rsid w:val="0C3AE2CA"/>
    <w:rsid w:val="0C43E2E8"/>
    <w:rsid w:val="0C45C5EF"/>
    <w:rsid w:val="0C49C73F"/>
    <w:rsid w:val="0C4FA00C"/>
    <w:rsid w:val="0C60D814"/>
    <w:rsid w:val="0C62AD2E"/>
    <w:rsid w:val="0C6ACC8A"/>
    <w:rsid w:val="0C7C9FBC"/>
    <w:rsid w:val="0C892975"/>
    <w:rsid w:val="0CAB187E"/>
    <w:rsid w:val="0CAB7BD5"/>
    <w:rsid w:val="0CAD4267"/>
    <w:rsid w:val="0CAE6779"/>
    <w:rsid w:val="0CBE6164"/>
    <w:rsid w:val="0CC5304B"/>
    <w:rsid w:val="0CC6697C"/>
    <w:rsid w:val="0CDEFF98"/>
    <w:rsid w:val="0CE1051B"/>
    <w:rsid w:val="0CF8A72E"/>
    <w:rsid w:val="0CFC24B9"/>
    <w:rsid w:val="0CFCF54F"/>
    <w:rsid w:val="0D14694B"/>
    <w:rsid w:val="0D14DEAF"/>
    <w:rsid w:val="0D185C68"/>
    <w:rsid w:val="0D23431A"/>
    <w:rsid w:val="0D236087"/>
    <w:rsid w:val="0D2FBE1A"/>
    <w:rsid w:val="0D38C2B7"/>
    <w:rsid w:val="0D41BAC1"/>
    <w:rsid w:val="0D4483E5"/>
    <w:rsid w:val="0D59E097"/>
    <w:rsid w:val="0D681E19"/>
    <w:rsid w:val="0D6A9857"/>
    <w:rsid w:val="0D6BA041"/>
    <w:rsid w:val="0D7C9A50"/>
    <w:rsid w:val="0D7E0DAC"/>
    <w:rsid w:val="0D871720"/>
    <w:rsid w:val="0D91CD9F"/>
    <w:rsid w:val="0D93ECAB"/>
    <w:rsid w:val="0D9C0787"/>
    <w:rsid w:val="0D9C52CF"/>
    <w:rsid w:val="0DE87BD3"/>
    <w:rsid w:val="0E096CF1"/>
    <w:rsid w:val="0E1F685F"/>
    <w:rsid w:val="0E205ADC"/>
    <w:rsid w:val="0E59DD7B"/>
    <w:rsid w:val="0E5E3D33"/>
    <w:rsid w:val="0E6A46CD"/>
    <w:rsid w:val="0E6FAB60"/>
    <w:rsid w:val="0E7AA2AC"/>
    <w:rsid w:val="0E7D156D"/>
    <w:rsid w:val="0E7D53D7"/>
    <w:rsid w:val="0E81FAD4"/>
    <w:rsid w:val="0EA18E02"/>
    <w:rsid w:val="0EA9752E"/>
    <w:rsid w:val="0EB26C26"/>
    <w:rsid w:val="0EB65A4C"/>
    <w:rsid w:val="0ED94DDD"/>
    <w:rsid w:val="0EEE6406"/>
    <w:rsid w:val="0EF7859D"/>
    <w:rsid w:val="0F0281A3"/>
    <w:rsid w:val="0F2E8EDE"/>
    <w:rsid w:val="0F394BA5"/>
    <w:rsid w:val="0F5F7182"/>
    <w:rsid w:val="0F631792"/>
    <w:rsid w:val="0F688549"/>
    <w:rsid w:val="0F6CD936"/>
    <w:rsid w:val="0F7181B5"/>
    <w:rsid w:val="0F75F292"/>
    <w:rsid w:val="0F897AE7"/>
    <w:rsid w:val="0F8E0581"/>
    <w:rsid w:val="0F973FC0"/>
    <w:rsid w:val="0FAED08C"/>
    <w:rsid w:val="0FC6A669"/>
    <w:rsid w:val="0FDAD2EB"/>
    <w:rsid w:val="0FE2145A"/>
    <w:rsid w:val="0FE3F9B2"/>
    <w:rsid w:val="0FE88AF7"/>
    <w:rsid w:val="0FEC9EB3"/>
    <w:rsid w:val="0FEE5249"/>
    <w:rsid w:val="0FF3B277"/>
    <w:rsid w:val="10038B8D"/>
    <w:rsid w:val="103C1752"/>
    <w:rsid w:val="104D922B"/>
    <w:rsid w:val="1073DDA6"/>
    <w:rsid w:val="1075D72C"/>
    <w:rsid w:val="10767FF6"/>
    <w:rsid w:val="108B1066"/>
    <w:rsid w:val="108CBE1D"/>
    <w:rsid w:val="10977851"/>
    <w:rsid w:val="10A471A4"/>
    <w:rsid w:val="10A90A18"/>
    <w:rsid w:val="10AE67A2"/>
    <w:rsid w:val="10BEF48F"/>
    <w:rsid w:val="10C29393"/>
    <w:rsid w:val="10C43524"/>
    <w:rsid w:val="10C46048"/>
    <w:rsid w:val="10CE29D9"/>
    <w:rsid w:val="10DD2DE5"/>
    <w:rsid w:val="10E4AC02"/>
    <w:rsid w:val="110DA59F"/>
    <w:rsid w:val="1133F629"/>
    <w:rsid w:val="11538934"/>
    <w:rsid w:val="11569EF3"/>
    <w:rsid w:val="116BD4E5"/>
    <w:rsid w:val="116E4688"/>
    <w:rsid w:val="1176680E"/>
    <w:rsid w:val="11849218"/>
    <w:rsid w:val="1193330A"/>
    <w:rsid w:val="11950FCC"/>
    <w:rsid w:val="119819B4"/>
    <w:rsid w:val="119B84AE"/>
    <w:rsid w:val="11AA53A7"/>
    <w:rsid w:val="11AAC2B8"/>
    <w:rsid w:val="11B3FD9A"/>
    <w:rsid w:val="11B8ECA4"/>
    <w:rsid w:val="11DD6BAB"/>
    <w:rsid w:val="11DDD250"/>
    <w:rsid w:val="11E5B49E"/>
    <w:rsid w:val="120DC455"/>
    <w:rsid w:val="12186BEA"/>
    <w:rsid w:val="12193D3F"/>
    <w:rsid w:val="122B284B"/>
    <w:rsid w:val="124D3131"/>
    <w:rsid w:val="125E842E"/>
    <w:rsid w:val="125EC86D"/>
    <w:rsid w:val="126431EE"/>
    <w:rsid w:val="127239B4"/>
    <w:rsid w:val="1274F1BA"/>
    <w:rsid w:val="1290F29B"/>
    <w:rsid w:val="12975768"/>
    <w:rsid w:val="12B81E70"/>
    <w:rsid w:val="13108F35"/>
    <w:rsid w:val="13218D65"/>
    <w:rsid w:val="1322DCDF"/>
    <w:rsid w:val="13325124"/>
    <w:rsid w:val="13351F98"/>
    <w:rsid w:val="13525D8C"/>
    <w:rsid w:val="135DBD75"/>
    <w:rsid w:val="1360A4D4"/>
    <w:rsid w:val="1364146B"/>
    <w:rsid w:val="1367C52A"/>
    <w:rsid w:val="1368F88F"/>
    <w:rsid w:val="13902774"/>
    <w:rsid w:val="13960040"/>
    <w:rsid w:val="139C1C06"/>
    <w:rsid w:val="13A7BE23"/>
    <w:rsid w:val="13BFE12C"/>
    <w:rsid w:val="13D3618C"/>
    <w:rsid w:val="13F304E2"/>
    <w:rsid w:val="13FA84D7"/>
    <w:rsid w:val="141C5AA2"/>
    <w:rsid w:val="14310CD8"/>
    <w:rsid w:val="1471CF64"/>
    <w:rsid w:val="147597DA"/>
    <w:rsid w:val="1475AC99"/>
    <w:rsid w:val="147FA006"/>
    <w:rsid w:val="1480030F"/>
    <w:rsid w:val="1486DCE2"/>
    <w:rsid w:val="14BE1BFE"/>
    <w:rsid w:val="14C7A881"/>
    <w:rsid w:val="14E8EC68"/>
    <w:rsid w:val="14E96DE4"/>
    <w:rsid w:val="14FC5B73"/>
    <w:rsid w:val="150E3457"/>
    <w:rsid w:val="150E5317"/>
    <w:rsid w:val="1520BCF8"/>
    <w:rsid w:val="156D16E5"/>
    <w:rsid w:val="1586DBF1"/>
    <w:rsid w:val="159E2758"/>
    <w:rsid w:val="159F28A8"/>
    <w:rsid w:val="15ACF47E"/>
    <w:rsid w:val="15B1A5C0"/>
    <w:rsid w:val="15B1D796"/>
    <w:rsid w:val="15BA8F3B"/>
    <w:rsid w:val="15CA7780"/>
    <w:rsid w:val="15CEB11A"/>
    <w:rsid w:val="15E22B7A"/>
    <w:rsid w:val="15E4A61A"/>
    <w:rsid w:val="15E4D806"/>
    <w:rsid w:val="15E9006E"/>
    <w:rsid w:val="161776BD"/>
    <w:rsid w:val="161AD71A"/>
    <w:rsid w:val="1624BAA7"/>
    <w:rsid w:val="163CABDD"/>
    <w:rsid w:val="163D5A30"/>
    <w:rsid w:val="164E14E8"/>
    <w:rsid w:val="16663297"/>
    <w:rsid w:val="16722403"/>
    <w:rsid w:val="16754E8D"/>
    <w:rsid w:val="16765419"/>
    <w:rsid w:val="1676B815"/>
    <w:rsid w:val="16862E0A"/>
    <w:rsid w:val="1696A28D"/>
    <w:rsid w:val="16AE071E"/>
    <w:rsid w:val="16B4A404"/>
    <w:rsid w:val="16D980C8"/>
    <w:rsid w:val="16E15FD2"/>
    <w:rsid w:val="1712514E"/>
    <w:rsid w:val="1716AFEB"/>
    <w:rsid w:val="171833EE"/>
    <w:rsid w:val="171D362D"/>
    <w:rsid w:val="171D68C0"/>
    <w:rsid w:val="175579A1"/>
    <w:rsid w:val="1764D198"/>
    <w:rsid w:val="176F4CE3"/>
    <w:rsid w:val="1784E7DA"/>
    <w:rsid w:val="178A9C30"/>
    <w:rsid w:val="1794495B"/>
    <w:rsid w:val="179A9829"/>
    <w:rsid w:val="17A60D61"/>
    <w:rsid w:val="17A74EA5"/>
    <w:rsid w:val="17AC838B"/>
    <w:rsid w:val="17AE7736"/>
    <w:rsid w:val="17B32ACD"/>
    <w:rsid w:val="17BB642B"/>
    <w:rsid w:val="17BB8428"/>
    <w:rsid w:val="17BF1C2A"/>
    <w:rsid w:val="17C8EAB4"/>
    <w:rsid w:val="17D7E2B3"/>
    <w:rsid w:val="17E0762C"/>
    <w:rsid w:val="18002522"/>
    <w:rsid w:val="180A222F"/>
    <w:rsid w:val="18142CE2"/>
    <w:rsid w:val="18415184"/>
    <w:rsid w:val="185A5585"/>
    <w:rsid w:val="18643F63"/>
    <w:rsid w:val="188CA65A"/>
    <w:rsid w:val="1890FC30"/>
    <w:rsid w:val="189810F4"/>
    <w:rsid w:val="18996318"/>
    <w:rsid w:val="189D143B"/>
    <w:rsid w:val="18B4A6EE"/>
    <w:rsid w:val="18CA5957"/>
    <w:rsid w:val="18CD3705"/>
    <w:rsid w:val="18D06605"/>
    <w:rsid w:val="18EF6C3C"/>
    <w:rsid w:val="18F37606"/>
    <w:rsid w:val="19193C98"/>
    <w:rsid w:val="19371231"/>
    <w:rsid w:val="19742FBB"/>
    <w:rsid w:val="197DCCC2"/>
    <w:rsid w:val="1984E15A"/>
    <w:rsid w:val="19864CCA"/>
    <w:rsid w:val="198E99B5"/>
    <w:rsid w:val="19999C56"/>
    <w:rsid w:val="19A0FBBB"/>
    <w:rsid w:val="19B59B86"/>
    <w:rsid w:val="19BEF217"/>
    <w:rsid w:val="19C89F8E"/>
    <w:rsid w:val="19DA3239"/>
    <w:rsid w:val="1A0B566C"/>
    <w:rsid w:val="1A0E89B8"/>
    <w:rsid w:val="1A1019E9"/>
    <w:rsid w:val="1A2076B9"/>
    <w:rsid w:val="1A24F61A"/>
    <w:rsid w:val="1A359375"/>
    <w:rsid w:val="1A4A825C"/>
    <w:rsid w:val="1A5EFF75"/>
    <w:rsid w:val="1A6B7F47"/>
    <w:rsid w:val="1A76FECE"/>
    <w:rsid w:val="1A7DA711"/>
    <w:rsid w:val="1A82469D"/>
    <w:rsid w:val="1A91B0B4"/>
    <w:rsid w:val="1A932AB6"/>
    <w:rsid w:val="1AB064DB"/>
    <w:rsid w:val="1AB765C5"/>
    <w:rsid w:val="1AC798BE"/>
    <w:rsid w:val="1ACA6D3E"/>
    <w:rsid w:val="1ACFB387"/>
    <w:rsid w:val="1ADCAC44"/>
    <w:rsid w:val="1AE4FBC6"/>
    <w:rsid w:val="1AF447AC"/>
    <w:rsid w:val="1B2B72DB"/>
    <w:rsid w:val="1B4C1EC3"/>
    <w:rsid w:val="1B4EF0EE"/>
    <w:rsid w:val="1B6C9289"/>
    <w:rsid w:val="1B72837E"/>
    <w:rsid w:val="1B7C1825"/>
    <w:rsid w:val="1B84612D"/>
    <w:rsid w:val="1B8780EB"/>
    <w:rsid w:val="1BBDACEC"/>
    <w:rsid w:val="1BD09F33"/>
    <w:rsid w:val="1BF630CC"/>
    <w:rsid w:val="1BFF8774"/>
    <w:rsid w:val="1C088226"/>
    <w:rsid w:val="1C1E2E35"/>
    <w:rsid w:val="1C2E43D4"/>
    <w:rsid w:val="1C3F428C"/>
    <w:rsid w:val="1C449104"/>
    <w:rsid w:val="1C49C26D"/>
    <w:rsid w:val="1C4B05C1"/>
    <w:rsid w:val="1C709EF1"/>
    <w:rsid w:val="1C7FED55"/>
    <w:rsid w:val="1C91F2BF"/>
    <w:rsid w:val="1C92C58A"/>
    <w:rsid w:val="1C958F84"/>
    <w:rsid w:val="1CD39D59"/>
    <w:rsid w:val="1CDC3FA0"/>
    <w:rsid w:val="1CDF92D4"/>
    <w:rsid w:val="1D0951F7"/>
    <w:rsid w:val="1D0EBE21"/>
    <w:rsid w:val="1D10605F"/>
    <w:rsid w:val="1D15B50B"/>
    <w:rsid w:val="1D1769BC"/>
    <w:rsid w:val="1D1F82CE"/>
    <w:rsid w:val="1D4239CD"/>
    <w:rsid w:val="1D56C691"/>
    <w:rsid w:val="1D745E54"/>
    <w:rsid w:val="1D74BA1E"/>
    <w:rsid w:val="1D7C6E42"/>
    <w:rsid w:val="1D892883"/>
    <w:rsid w:val="1D9BD280"/>
    <w:rsid w:val="1DAB5E41"/>
    <w:rsid w:val="1DACAAC3"/>
    <w:rsid w:val="1DD861A8"/>
    <w:rsid w:val="1DDA993A"/>
    <w:rsid w:val="1DE93A73"/>
    <w:rsid w:val="1DF281C3"/>
    <w:rsid w:val="1E0CE3E0"/>
    <w:rsid w:val="1E0D5478"/>
    <w:rsid w:val="1E158602"/>
    <w:rsid w:val="1E2DF575"/>
    <w:rsid w:val="1E30656D"/>
    <w:rsid w:val="1E31F79B"/>
    <w:rsid w:val="1E398BC9"/>
    <w:rsid w:val="1E426924"/>
    <w:rsid w:val="1E81F487"/>
    <w:rsid w:val="1E86C35B"/>
    <w:rsid w:val="1E8BAE38"/>
    <w:rsid w:val="1EA42C5C"/>
    <w:rsid w:val="1EC92C4C"/>
    <w:rsid w:val="1ECC01CA"/>
    <w:rsid w:val="1EE6CB0F"/>
    <w:rsid w:val="1EE765AC"/>
    <w:rsid w:val="1EEADF77"/>
    <w:rsid w:val="1F01B316"/>
    <w:rsid w:val="1F0979A7"/>
    <w:rsid w:val="1F11370E"/>
    <w:rsid w:val="1F185A8D"/>
    <w:rsid w:val="1F27E700"/>
    <w:rsid w:val="1F29C851"/>
    <w:rsid w:val="1F2ED690"/>
    <w:rsid w:val="1F2F9A8A"/>
    <w:rsid w:val="1F31A60F"/>
    <w:rsid w:val="1F50B259"/>
    <w:rsid w:val="1F58637F"/>
    <w:rsid w:val="1F8A5EA5"/>
    <w:rsid w:val="1F8E50F5"/>
    <w:rsid w:val="1F921157"/>
    <w:rsid w:val="1F98953E"/>
    <w:rsid w:val="1F98CB5E"/>
    <w:rsid w:val="1F990206"/>
    <w:rsid w:val="1F9CAA54"/>
    <w:rsid w:val="1FA5CCA6"/>
    <w:rsid w:val="1FB854BD"/>
    <w:rsid w:val="1FC8DD4D"/>
    <w:rsid w:val="1FCF24A8"/>
    <w:rsid w:val="1FD9B5BC"/>
    <w:rsid w:val="1FE45145"/>
    <w:rsid w:val="1FEF3CB9"/>
    <w:rsid w:val="2002831A"/>
    <w:rsid w:val="20030A75"/>
    <w:rsid w:val="20070129"/>
    <w:rsid w:val="2014362B"/>
    <w:rsid w:val="2036B936"/>
    <w:rsid w:val="20503EA9"/>
    <w:rsid w:val="20514DE9"/>
    <w:rsid w:val="207DD7EC"/>
    <w:rsid w:val="207E9E6D"/>
    <w:rsid w:val="208D3651"/>
    <w:rsid w:val="208D6A30"/>
    <w:rsid w:val="2096CF7A"/>
    <w:rsid w:val="20A0C138"/>
    <w:rsid w:val="20A70757"/>
    <w:rsid w:val="20C46934"/>
    <w:rsid w:val="20C4C691"/>
    <w:rsid w:val="20D42395"/>
    <w:rsid w:val="20DAB84C"/>
    <w:rsid w:val="20ECD683"/>
    <w:rsid w:val="20F9B0BA"/>
    <w:rsid w:val="20FBC26C"/>
    <w:rsid w:val="210D3200"/>
    <w:rsid w:val="210E8A06"/>
    <w:rsid w:val="21152CFF"/>
    <w:rsid w:val="2161C7FA"/>
    <w:rsid w:val="21847148"/>
    <w:rsid w:val="218A0854"/>
    <w:rsid w:val="21931390"/>
    <w:rsid w:val="219611A8"/>
    <w:rsid w:val="21B18060"/>
    <w:rsid w:val="21B1F76A"/>
    <w:rsid w:val="21B6F7E9"/>
    <w:rsid w:val="21BF4CF3"/>
    <w:rsid w:val="21CD8C72"/>
    <w:rsid w:val="21CEA721"/>
    <w:rsid w:val="21E1381B"/>
    <w:rsid w:val="21E831F3"/>
    <w:rsid w:val="21E8B67F"/>
    <w:rsid w:val="21F1037E"/>
    <w:rsid w:val="21F4F281"/>
    <w:rsid w:val="22012C6E"/>
    <w:rsid w:val="220D74F1"/>
    <w:rsid w:val="220F1615"/>
    <w:rsid w:val="2214B80F"/>
    <w:rsid w:val="2234AE6C"/>
    <w:rsid w:val="223DCA5D"/>
    <w:rsid w:val="22535829"/>
    <w:rsid w:val="225A621F"/>
    <w:rsid w:val="2261CFA8"/>
    <w:rsid w:val="22673B4C"/>
    <w:rsid w:val="22751473"/>
    <w:rsid w:val="229B6128"/>
    <w:rsid w:val="229EDBFA"/>
    <w:rsid w:val="22A79839"/>
    <w:rsid w:val="22ABDE63"/>
    <w:rsid w:val="22BC5C01"/>
    <w:rsid w:val="22BCE602"/>
    <w:rsid w:val="22EE5AA6"/>
    <w:rsid w:val="22F577D2"/>
    <w:rsid w:val="22F8DF61"/>
    <w:rsid w:val="230B4CAB"/>
    <w:rsid w:val="23389ADD"/>
    <w:rsid w:val="2340498C"/>
    <w:rsid w:val="236A8847"/>
    <w:rsid w:val="2384A6FB"/>
    <w:rsid w:val="23B24F86"/>
    <w:rsid w:val="23BC344B"/>
    <w:rsid w:val="23C76641"/>
    <w:rsid w:val="23F7D6AF"/>
    <w:rsid w:val="23FF445B"/>
    <w:rsid w:val="24014B0D"/>
    <w:rsid w:val="24016B4D"/>
    <w:rsid w:val="240260FD"/>
    <w:rsid w:val="240FC35D"/>
    <w:rsid w:val="2413E07B"/>
    <w:rsid w:val="2421BE88"/>
    <w:rsid w:val="24270B40"/>
    <w:rsid w:val="24319B21"/>
    <w:rsid w:val="243A9FA5"/>
    <w:rsid w:val="243FD069"/>
    <w:rsid w:val="2440CB26"/>
    <w:rsid w:val="24478628"/>
    <w:rsid w:val="2464854F"/>
    <w:rsid w:val="247D702A"/>
    <w:rsid w:val="24852BBB"/>
    <w:rsid w:val="2491D22F"/>
    <w:rsid w:val="24A82247"/>
    <w:rsid w:val="24B132B7"/>
    <w:rsid w:val="24B2F456"/>
    <w:rsid w:val="24C7BC18"/>
    <w:rsid w:val="24D23597"/>
    <w:rsid w:val="24D37DDA"/>
    <w:rsid w:val="24E079DD"/>
    <w:rsid w:val="24E09596"/>
    <w:rsid w:val="24E59CA2"/>
    <w:rsid w:val="24FDFCA9"/>
    <w:rsid w:val="2507A4D0"/>
    <w:rsid w:val="25160CA4"/>
    <w:rsid w:val="251A8189"/>
    <w:rsid w:val="254313F0"/>
    <w:rsid w:val="254B6842"/>
    <w:rsid w:val="2559EB5E"/>
    <w:rsid w:val="255FBF6C"/>
    <w:rsid w:val="257DF3F0"/>
    <w:rsid w:val="25876E3C"/>
    <w:rsid w:val="258B8F99"/>
    <w:rsid w:val="258DD778"/>
    <w:rsid w:val="2598363A"/>
    <w:rsid w:val="25B5DF06"/>
    <w:rsid w:val="25B9CC30"/>
    <w:rsid w:val="25C10046"/>
    <w:rsid w:val="25C8DA97"/>
    <w:rsid w:val="25DD25E1"/>
    <w:rsid w:val="26249B0C"/>
    <w:rsid w:val="2630A8A0"/>
    <w:rsid w:val="263B4966"/>
    <w:rsid w:val="264B9EFF"/>
    <w:rsid w:val="265E2C27"/>
    <w:rsid w:val="26653FBC"/>
    <w:rsid w:val="2667D983"/>
    <w:rsid w:val="2676AE8F"/>
    <w:rsid w:val="267E2A88"/>
    <w:rsid w:val="2680BAA4"/>
    <w:rsid w:val="268E9E39"/>
    <w:rsid w:val="269E9D20"/>
    <w:rsid w:val="26B00AD2"/>
    <w:rsid w:val="26B7D910"/>
    <w:rsid w:val="26C084D5"/>
    <w:rsid w:val="26C1B438"/>
    <w:rsid w:val="26C8470A"/>
    <w:rsid w:val="26D98BFD"/>
    <w:rsid w:val="26DB96CC"/>
    <w:rsid w:val="26DDEACF"/>
    <w:rsid w:val="26DF76F7"/>
    <w:rsid w:val="26F3F4E9"/>
    <w:rsid w:val="26FEEEDA"/>
    <w:rsid w:val="270460A1"/>
    <w:rsid w:val="2708C131"/>
    <w:rsid w:val="27137419"/>
    <w:rsid w:val="27281575"/>
    <w:rsid w:val="273D941B"/>
    <w:rsid w:val="2751D4AA"/>
    <w:rsid w:val="2753CE60"/>
    <w:rsid w:val="27723948"/>
    <w:rsid w:val="27773D64"/>
    <w:rsid w:val="278D598E"/>
    <w:rsid w:val="279B014C"/>
    <w:rsid w:val="27CD6855"/>
    <w:rsid w:val="27CDBAE6"/>
    <w:rsid w:val="2805DA8A"/>
    <w:rsid w:val="280CE24C"/>
    <w:rsid w:val="281F34BD"/>
    <w:rsid w:val="2836ACA4"/>
    <w:rsid w:val="2837C172"/>
    <w:rsid w:val="283E60D5"/>
    <w:rsid w:val="283E7CE5"/>
    <w:rsid w:val="2841B2D7"/>
    <w:rsid w:val="28480B0F"/>
    <w:rsid w:val="285A5165"/>
    <w:rsid w:val="28676159"/>
    <w:rsid w:val="28713000"/>
    <w:rsid w:val="2874FBD4"/>
    <w:rsid w:val="28861802"/>
    <w:rsid w:val="28B56614"/>
    <w:rsid w:val="28C41851"/>
    <w:rsid w:val="28CDFB3F"/>
    <w:rsid w:val="28D6F390"/>
    <w:rsid w:val="28DF121F"/>
    <w:rsid w:val="28E6104D"/>
    <w:rsid w:val="28EE5B8C"/>
    <w:rsid w:val="29041B31"/>
    <w:rsid w:val="291C1AC3"/>
    <w:rsid w:val="29333A5B"/>
    <w:rsid w:val="295FFC49"/>
    <w:rsid w:val="29680E1E"/>
    <w:rsid w:val="296C870E"/>
    <w:rsid w:val="29860A71"/>
    <w:rsid w:val="2991AD79"/>
    <w:rsid w:val="2993CC5F"/>
    <w:rsid w:val="299EA1CF"/>
    <w:rsid w:val="29A87A2E"/>
    <w:rsid w:val="29A9E06E"/>
    <w:rsid w:val="29C55ADC"/>
    <w:rsid w:val="29E544F1"/>
    <w:rsid w:val="29E9738B"/>
    <w:rsid w:val="29FD4461"/>
    <w:rsid w:val="2A1163AD"/>
    <w:rsid w:val="2A1F9FEF"/>
    <w:rsid w:val="2A20BFD4"/>
    <w:rsid w:val="2A247736"/>
    <w:rsid w:val="2A29262C"/>
    <w:rsid w:val="2A3C98DB"/>
    <w:rsid w:val="2A3C9A7B"/>
    <w:rsid w:val="2A45D235"/>
    <w:rsid w:val="2A56B90B"/>
    <w:rsid w:val="2A5B6B54"/>
    <w:rsid w:val="2A648CAA"/>
    <w:rsid w:val="2A7C034B"/>
    <w:rsid w:val="2A7E54CF"/>
    <w:rsid w:val="2A89646F"/>
    <w:rsid w:val="2A922A4F"/>
    <w:rsid w:val="2A9D429B"/>
    <w:rsid w:val="2AAD0529"/>
    <w:rsid w:val="2AC46172"/>
    <w:rsid w:val="2ADAF54F"/>
    <w:rsid w:val="2AFEE117"/>
    <w:rsid w:val="2B1162AE"/>
    <w:rsid w:val="2B12BDCC"/>
    <w:rsid w:val="2B164A99"/>
    <w:rsid w:val="2B1EB19F"/>
    <w:rsid w:val="2B276560"/>
    <w:rsid w:val="2B27C8F7"/>
    <w:rsid w:val="2B3C37FA"/>
    <w:rsid w:val="2B57095F"/>
    <w:rsid w:val="2B66EDDE"/>
    <w:rsid w:val="2B6AAB5F"/>
    <w:rsid w:val="2B6CC8BF"/>
    <w:rsid w:val="2B92B575"/>
    <w:rsid w:val="2BA52471"/>
    <w:rsid w:val="2BA6D82D"/>
    <w:rsid w:val="2BB854DF"/>
    <w:rsid w:val="2BB88B34"/>
    <w:rsid w:val="2BC21F03"/>
    <w:rsid w:val="2BD21847"/>
    <w:rsid w:val="2BDC8F70"/>
    <w:rsid w:val="2C09C490"/>
    <w:rsid w:val="2C1B4B2E"/>
    <w:rsid w:val="2C2947BB"/>
    <w:rsid w:val="2C4340E7"/>
    <w:rsid w:val="2C48DD0D"/>
    <w:rsid w:val="2C7032EE"/>
    <w:rsid w:val="2C7227F6"/>
    <w:rsid w:val="2C7F1E71"/>
    <w:rsid w:val="2C834140"/>
    <w:rsid w:val="2C8B5F93"/>
    <w:rsid w:val="2C9FE4B9"/>
    <w:rsid w:val="2CAE6D71"/>
    <w:rsid w:val="2CB3F840"/>
    <w:rsid w:val="2CC2949F"/>
    <w:rsid w:val="2CE3FB23"/>
    <w:rsid w:val="2CED6C72"/>
    <w:rsid w:val="2CF28CAA"/>
    <w:rsid w:val="2D07249C"/>
    <w:rsid w:val="2D0AD7D2"/>
    <w:rsid w:val="2D0EBB59"/>
    <w:rsid w:val="2D111C69"/>
    <w:rsid w:val="2D199E32"/>
    <w:rsid w:val="2D4EF783"/>
    <w:rsid w:val="2D62056C"/>
    <w:rsid w:val="2D913C8E"/>
    <w:rsid w:val="2D968F24"/>
    <w:rsid w:val="2DA48EED"/>
    <w:rsid w:val="2DAE9EC5"/>
    <w:rsid w:val="2DB37E75"/>
    <w:rsid w:val="2DC3318C"/>
    <w:rsid w:val="2DFBEA55"/>
    <w:rsid w:val="2E0C2E5B"/>
    <w:rsid w:val="2E1978B6"/>
    <w:rsid w:val="2E292CCA"/>
    <w:rsid w:val="2E2ED124"/>
    <w:rsid w:val="2E495645"/>
    <w:rsid w:val="2E51DCFC"/>
    <w:rsid w:val="2E6BA644"/>
    <w:rsid w:val="2E90441A"/>
    <w:rsid w:val="2E99E7AE"/>
    <w:rsid w:val="2EB11B82"/>
    <w:rsid w:val="2EB530BA"/>
    <w:rsid w:val="2EC0F4E3"/>
    <w:rsid w:val="2ECA2A61"/>
    <w:rsid w:val="2EDD79F2"/>
    <w:rsid w:val="2F00358F"/>
    <w:rsid w:val="2F06EA7F"/>
    <w:rsid w:val="2F09A97B"/>
    <w:rsid w:val="2F19E1BE"/>
    <w:rsid w:val="2F1CC495"/>
    <w:rsid w:val="2F653190"/>
    <w:rsid w:val="2F659675"/>
    <w:rsid w:val="2F667EF5"/>
    <w:rsid w:val="2F73712D"/>
    <w:rsid w:val="2F7E4591"/>
    <w:rsid w:val="2F869ACF"/>
    <w:rsid w:val="2F8DDF58"/>
    <w:rsid w:val="2F8F5666"/>
    <w:rsid w:val="2F93629F"/>
    <w:rsid w:val="2F9B8284"/>
    <w:rsid w:val="2F9EC301"/>
    <w:rsid w:val="2FB16D42"/>
    <w:rsid w:val="2FB50A00"/>
    <w:rsid w:val="2FBF6D7A"/>
    <w:rsid w:val="2FC73E89"/>
    <w:rsid w:val="2FD25522"/>
    <w:rsid w:val="2FD88E61"/>
    <w:rsid w:val="2FE20107"/>
    <w:rsid w:val="3012DD64"/>
    <w:rsid w:val="3017FF0C"/>
    <w:rsid w:val="301F9750"/>
    <w:rsid w:val="30261E30"/>
    <w:rsid w:val="3048AABF"/>
    <w:rsid w:val="3052AB90"/>
    <w:rsid w:val="3054584C"/>
    <w:rsid w:val="307A4C3D"/>
    <w:rsid w:val="3085CC42"/>
    <w:rsid w:val="30891AA9"/>
    <w:rsid w:val="308937A8"/>
    <w:rsid w:val="309F6DBE"/>
    <w:rsid w:val="30A155B5"/>
    <w:rsid w:val="30C18D8D"/>
    <w:rsid w:val="30C4FCBF"/>
    <w:rsid w:val="30CC9E02"/>
    <w:rsid w:val="30CDBB7C"/>
    <w:rsid w:val="30EBA936"/>
    <w:rsid w:val="30EC374C"/>
    <w:rsid w:val="30F18003"/>
    <w:rsid w:val="30FC3C1F"/>
    <w:rsid w:val="3101C5F9"/>
    <w:rsid w:val="310F8B3D"/>
    <w:rsid w:val="311265D1"/>
    <w:rsid w:val="311421A5"/>
    <w:rsid w:val="311436C0"/>
    <w:rsid w:val="312152B1"/>
    <w:rsid w:val="313AFAF0"/>
    <w:rsid w:val="317013B1"/>
    <w:rsid w:val="31A36E44"/>
    <w:rsid w:val="31A48CD4"/>
    <w:rsid w:val="31AA1318"/>
    <w:rsid w:val="31AE01D5"/>
    <w:rsid w:val="31C74C53"/>
    <w:rsid w:val="31C7BC09"/>
    <w:rsid w:val="31CA8EB6"/>
    <w:rsid w:val="31E003A1"/>
    <w:rsid w:val="31E45F6E"/>
    <w:rsid w:val="3217F910"/>
    <w:rsid w:val="322D0F64"/>
    <w:rsid w:val="322F1849"/>
    <w:rsid w:val="32382B05"/>
    <w:rsid w:val="3239A560"/>
    <w:rsid w:val="3247A216"/>
    <w:rsid w:val="324B9454"/>
    <w:rsid w:val="325604AB"/>
    <w:rsid w:val="32787A6F"/>
    <w:rsid w:val="328106FB"/>
    <w:rsid w:val="32848617"/>
    <w:rsid w:val="3285E337"/>
    <w:rsid w:val="32AACA2E"/>
    <w:rsid w:val="32B0BDE4"/>
    <w:rsid w:val="32B3EAE6"/>
    <w:rsid w:val="32B6F3E8"/>
    <w:rsid w:val="32BE1397"/>
    <w:rsid w:val="32CB1DA6"/>
    <w:rsid w:val="32E34664"/>
    <w:rsid w:val="32EC894F"/>
    <w:rsid w:val="32FA1704"/>
    <w:rsid w:val="331410BF"/>
    <w:rsid w:val="3320616B"/>
    <w:rsid w:val="3324FCC1"/>
    <w:rsid w:val="33459D05"/>
    <w:rsid w:val="33477753"/>
    <w:rsid w:val="3364EDA6"/>
    <w:rsid w:val="336B9171"/>
    <w:rsid w:val="336E2745"/>
    <w:rsid w:val="33762BA8"/>
    <w:rsid w:val="337A381B"/>
    <w:rsid w:val="337FD8D3"/>
    <w:rsid w:val="3380F8AD"/>
    <w:rsid w:val="338C89F6"/>
    <w:rsid w:val="33A55A88"/>
    <w:rsid w:val="33B7FD69"/>
    <w:rsid w:val="33E84F6F"/>
    <w:rsid w:val="33EC619F"/>
    <w:rsid w:val="33F31C90"/>
    <w:rsid w:val="34042785"/>
    <w:rsid w:val="3412C191"/>
    <w:rsid w:val="3428AC95"/>
    <w:rsid w:val="34354F18"/>
    <w:rsid w:val="34361866"/>
    <w:rsid w:val="3436D693"/>
    <w:rsid w:val="34473978"/>
    <w:rsid w:val="34789EDA"/>
    <w:rsid w:val="349C55BF"/>
    <w:rsid w:val="34A323D3"/>
    <w:rsid w:val="34B84C3D"/>
    <w:rsid w:val="34CB71B2"/>
    <w:rsid w:val="34D69C57"/>
    <w:rsid w:val="34D736A4"/>
    <w:rsid w:val="34DABAA9"/>
    <w:rsid w:val="34E03E38"/>
    <w:rsid w:val="34EE7C33"/>
    <w:rsid w:val="35115AD4"/>
    <w:rsid w:val="35117E1B"/>
    <w:rsid w:val="352596C0"/>
    <w:rsid w:val="352E2531"/>
    <w:rsid w:val="35473763"/>
    <w:rsid w:val="355E0C78"/>
    <w:rsid w:val="3563AB4D"/>
    <w:rsid w:val="356E09F3"/>
    <w:rsid w:val="3578D040"/>
    <w:rsid w:val="35A3811D"/>
    <w:rsid w:val="35A5F1FC"/>
    <w:rsid w:val="35AC64EA"/>
    <w:rsid w:val="35B5A666"/>
    <w:rsid w:val="35BF2691"/>
    <w:rsid w:val="35D98393"/>
    <w:rsid w:val="35DE1F2A"/>
    <w:rsid w:val="35F57009"/>
    <w:rsid w:val="360AAE5F"/>
    <w:rsid w:val="3623682D"/>
    <w:rsid w:val="362932C9"/>
    <w:rsid w:val="36367E4C"/>
    <w:rsid w:val="36523FD6"/>
    <w:rsid w:val="3654E639"/>
    <w:rsid w:val="36662F4F"/>
    <w:rsid w:val="3672FC2E"/>
    <w:rsid w:val="367AC725"/>
    <w:rsid w:val="3683C9B2"/>
    <w:rsid w:val="368B25C1"/>
    <w:rsid w:val="368E2350"/>
    <w:rsid w:val="36947312"/>
    <w:rsid w:val="36952A96"/>
    <w:rsid w:val="369EA8BA"/>
    <w:rsid w:val="36B157DB"/>
    <w:rsid w:val="36C1A2A3"/>
    <w:rsid w:val="36CAE753"/>
    <w:rsid w:val="36DA761E"/>
    <w:rsid w:val="36F9E537"/>
    <w:rsid w:val="36FA835D"/>
    <w:rsid w:val="3709666A"/>
    <w:rsid w:val="3712751A"/>
    <w:rsid w:val="3718C01B"/>
    <w:rsid w:val="372031F0"/>
    <w:rsid w:val="372BAB4B"/>
    <w:rsid w:val="3739A2E4"/>
    <w:rsid w:val="373F6859"/>
    <w:rsid w:val="37464CD8"/>
    <w:rsid w:val="375FD74B"/>
    <w:rsid w:val="37690BDC"/>
    <w:rsid w:val="376BAA0C"/>
    <w:rsid w:val="3779714F"/>
    <w:rsid w:val="3797443B"/>
    <w:rsid w:val="379C1C49"/>
    <w:rsid w:val="37A71E4B"/>
    <w:rsid w:val="37B05481"/>
    <w:rsid w:val="37B4B8B5"/>
    <w:rsid w:val="38014630"/>
    <w:rsid w:val="38072BD5"/>
    <w:rsid w:val="380F6300"/>
    <w:rsid w:val="381559E3"/>
    <w:rsid w:val="381E976B"/>
    <w:rsid w:val="38259772"/>
    <w:rsid w:val="382C4754"/>
    <w:rsid w:val="3848AA84"/>
    <w:rsid w:val="384AE618"/>
    <w:rsid w:val="3853D069"/>
    <w:rsid w:val="38611F25"/>
    <w:rsid w:val="3864FF36"/>
    <w:rsid w:val="38944C9E"/>
    <w:rsid w:val="38C1A405"/>
    <w:rsid w:val="38D34DD4"/>
    <w:rsid w:val="38E2B022"/>
    <w:rsid w:val="38FDB3DC"/>
    <w:rsid w:val="391210FA"/>
    <w:rsid w:val="39153167"/>
    <w:rsid w:val="3918419A"/>
    <w:rsid w:val="3918F7B3"/>
    <w:rsid w:val="391B8A4A"/>
    <w:rsid w:val="39204310"/>
    <w:rsid w:val="3921A06D"/>
    <w:rsid w:val="39321A0F"/>
    <w:rsid w:val="39483114"/>
    <w:rsid w:val="394DB7D9"/>
    <w:rsid w:val="395E7581"/>
    <w:rsid w:val="3960C739"/>
    <w:rsid w:val="3976B9D3"/>
    <w:rsid w:val="39811FD8"/>
    <w:rsid w:val="3982E515"/>
    <w:rsid w:val="39866658"/>
    <w:rsid w:val="39BC8565"/>
    <w:rsid w:val="39BD16CD"/>
    <w:rsid w:val="39C348DA"/>
    <w:rsid w:val="39CE2B9C"/>
    <w:rsid w:val="39D0018A"/>
    <w:rsid w:val="39DE3E74"/>
    <w:rsid w:val="39E0FF69"/>
    <w:rsid w:val="39EB009A"/>
    <w:rsid w:val="39F1579C"/>
    <w:rsid w:val="39F1E388"/>
    <w:rsid w:val="39F5B527"/>
    <w:rsid w:val="3A0A9E7B"/>
    <w:rsid w:val="3A0ABA3C"/>
    <w:rsid w:val="3A3AF609"/>
    <w:rsid w:val="3A53ADD3"/>
    <w:rsid w:val="3A58BDBE"/>
    <w:rsid w:val="3A5E53DF"/>
    <w:rsid w:val="3A62E68B"/>
    <w:rsid w:val="3A95D7FE"/>
    <w:rsid w:val="3AA88BF3"/>
    <w:rsid w:val="3AE31350"/>
    <w:rsid w:val="3B034112"/>
    <w:rsid w:val="3B0C4E82"/>
    <w:rsid w:val="3B11C54C"/>
    <w:rsid w:val="3B180DA6"/>
    <w:rsid w:val="3B214C30"/>
    <w:rsid w:val="3B22A829"/>
    <w:rsid w:val="3B27F611"/>
    <w:rsid w:val="3B28A673"/>
    <w:rsid w:val="3B348013"/>
    <w:rsid w:val="3B3998AE"/>
    <w:rsid w:val="3B5A79B5"/>
    <w:rsid w:val="3B600A4A"/>
    <w:rsid w:val="3B712654"/>
    <w:rsid w:val="3B7D6A92"/>
    <w:rsid w:val="3B7EAAB9"/>
    <w:rsid w:val="3B96932F"/>
    <w:rsid w:val="3B9C4347"/>
    <w:rsid w:val="3BA9FC6C"/>
    <w:rsid w:val="3BAF15E3"/>
    <w:rsid w:val="3BB3F425"/>
    <w:rsid w:val="3BB65C41"/>
    <w:rsid w:val="3BB6D7C6"/>
    <w:rsid w:val="3BBDE408"/>
    <w:rsid w:val="3BBF57D5"/>
    <w:rsid w:val="3BDD4273"/>
    <w:rsid w:val="3BFC8D03"/>
    <w:rsid w:val="3C28D7EA"/>
    <w:rsid w:val="3C2E8EAE"/>
    <w:rsid w:val="3C3846B8"/>
    <w:rsid w:val="3C670073"/>
    <w:rsid w:val="3C69E023"/>
    <w:rsid w:val="3C88E4F7"/>
    <w:rsid w:val="3CA4C52A"/>
    <w:rsid w:val="3CABEFC8"/>
    <w:rsid w:val="3CAEC9BD"/>
    <w:rsid w:val="3CB836C9"/>
    <w:rsid w:val="3CCDDCDF"/>
    <w:rsid w:val="3CF3FBF4"/>
    <w:rsid w:val="3CF55324"/>
    <w:rsid w:val="3D020BCF"/>
    <w:rsid w:val="3D07440A"/>
    <w:rsid w:val="3D1606A7"/>
    <w:rsid w:val="3D22566E"/>
    <w:rsid w:val="3D2E2312"/>
    <w:rsid w:val="3D3A310A"/>
    <w:rsid w:val="3D3BD7BA"/>
    <w:rsid w:val="3D4A1BC1"/>
    <w:rsid w:val="3D659948"/>
    <w:rsid w:val="3D6BA36E"/>
    <w:rsid w:val="3D6FD967"/>
    <w:rsid w:val="3D72B00B"/>
    <w:rsid w:val="3D789E89"/>
    <w:rsid w:val="3D8D0C8F"/>
    <w:rsid w:val="3D91E54B"/>
    <w:rsid w:val="3D949F3F"/>
    <w:rsid w:val="3DA625DA"/>
    <w:rsid w:val="3DBB8986"/>
    <w:rsid w:val="3DBDE761"/>
    <w:rsid w:val="3DD4E981"/>
    <w:rsid w:val="3DE336F7"/>
    <w:rsid w:val="3DE76580"/>
    <w:rsid w:val="3E1F43FE"/>
    <w:rsid w:val="3E1FC2B0"/>
    <w:rsid w:val="3E22AAA2"/>
    <w:rsid w:val="3E36519D"/>
    <w:rsid w:val="3E446BAC"/>
    <w:rsid w:val="3E4AF285"/>
    <w:rsid w:val="3E5CF492"/>
    <w:rsid w:val="3E5D1216"/>
    <w:rsid w:val="3E5E8A17"/>
    <w:rsid w:val="3E73D6A2"/>
    <w:rsid w:val="3E7A244B"/>
    <w:rsid w:val="3E7CAACC"/>
    <w:rsid w:val="3E95730B"/>
    <w:rsid w:val="3EAB5BEB"/>
    <w:rsid w:val="3EAD477C"/>
    <w:rsid w:val="3ED0AE71"/>
    <w:rsid w:val="3ED1BAF4"/>
    <w:rsid w:val="3ED82EE2"/>
    <w:rsid w:val="3F08F7B4"/>
    <w:rsid w:val="3F197DCC"/>
    <w:rsid w:val="3F2DBD50"/>
    <w:rsid w:val="3F38295A"/>
    <w:rsid w:val="3F384D7C"/>
    <w:rsid w:val="3F3E59AD"/>
    <w:rsid w:val="3F5058E9"/>
    <w:rsid w:val="3F7C3190"/>
    <w:rsid w:val="3F81F2D6"/>
    <w:rsid w:val="3F82753C"/>
    <w:rsid w:val="3F8CD008"/>
    <w:rsid w:val="3F906990"/>
    <w:rsid w:val="3F99FFAC"/>
    <w:rsid w:val="3F9B31CA"/>
    <w:rsid w:val="3FAFF184"/>
    <w:rsid w:val="3FCFD77C"/>
    <w:rsid w:val="3FE6A5A8"/>
    <w:rsid w:val="401C9546"/>
    <w:rsid w:val="402DE4EF"/>
    <w:rsid w:val="4031B707"/>
    <w:rsid w:val="403B1C2F"/>
    <w:rsid w:val="405E00FE"/>
    <w:rsid w:val="4077F003"/>
    <w:rsid w:val="407BD099"/>
    <w:rsid w:val="407DC894"/>
    <w:rsid w:val="40804C68"/>
    <w:rsid w:val="409D0C36"/>
    <w:rsid w:val="40A3FEDD"/>
    <w:rsid w:val="40AD278F"/>
    <w:rsid w:val="40BDE2B7"/>
    <w:rsid w:val="40C010E8"/>
    <w:rsid w:val="40EC831B"/>
    <w:rsid w:val="40ED32FA"/>
    <w:rsid w:val="40F37273"/>
    <w:rsid w:val="40F9ADA4"/>
    <w:rsid w:val="4126CD86"/>
    <w:rsid w:val="4154B527"/>
    <w:rsid w:val="4157C7D8"/>
    <w:rsid w:val="416CFCEC"/>
    <w:rsid w:val="417B79F2"/>
    <w:rsid w:val="41866B82"/>
    <w:rsid w:val="418DF0B0"/>
    <w:rsid w:val="419B82DC"/>
    <w:rsid w:val="419C9577"/>
    <w:rsid w:val="419CBC9A"/>
    <w:rsid w:val="41C2673F"/>
    <w:rsid w:val="41D6C112"/>
    <w:rsid w:val="41E0422F"/>
    <w:rsid w:val="421A19FC"/>
    <w:rsid w:val="422CE01A"/>
    <w:rsid w:val="42307455"/>
    <w:rsid w:val="4250B439"/>
    <w:rsid w:val="4250B4CF"/>
    <w:rsid w:val="42628B47"/>
    <w:rsid w:val="4263C2D7"/>
    <w:rsid w:val="4272B410"/>
    <w:rsid w:val="4294AFED"/>
    <w:rsid w:val="42963EEC"/>
    <w:rsid w:val="42A5E284"/>
    <w:rsid w:val="42B9A83B"/>
    <w:rsid w:val="42C628B7"/>
    <w:rsid w:val="42CABE5B"/>
    <w:rsid w:val="42CBB213"/>
    <w:rsid w:val="42E03C38"/>
    <w:rsid w:val="42EA7725"/>
    <w:rsid w:val="42F9EC93"/>
    <w:rsid w:val="431D3772"/>
    <w:rsid w:val="431F0FFA"/>
    <w:rsid w:val="43230064"/>
    <w:rsid w:val="432CF0C3"/>
    <w:rsid w:val="433CAB47"/>
    <w:rsid w:val="433F4C3F"/>
    <w:rsid w:val="43467211"/>
    <w:rsid w:val="434EE0F3"/>
    <w:rsid w:val="43562E0C"/>
    <w:rsid w:val="4378C38C"/>
    <w:rsid w:val="437A2D56"/>
    <w:rsid w:val="4386950A"/>
    <w:rsid w:val="438E64CF"/>
    <w:rsid w:val="439CCCBD"/>
    <w:rsid w:val="43BEC0D6"/>
    <w:rsid w:val="43BF2292"/>
    <w:rsid w:val="43C8F0E7"/>
    <w:rsid w:val="43D334E3"/>
    <w:rsid w:val="43DBA923"/>
    <w:rsid w:val="43DBC94D"/>
    <w:rsid w:val="43DC4602"/>
    <w:rsid w:val="43E5670B"/>
    <w:rsid w:val="43EA1964"/>
    <w:rsid w:val="43F37152"/>
    <w:rsid w:val="43F433BA"/>
    <w:rsid w:val="43F93C30"/>
    <w:rsid w:val="441DF541"/>
    <w:rsid w:val="441FFF23"/>
    <w:rsid w:val="4423B6E3"/>
    <w:rsid w:val="44254D9F"/>
    <w:rsid w:val="442E5DD1"/>
    <w:rsid w:val="4430D42E"/>
    <w:rsid w:val="44488827"/>
    <w:rsid w:val="444F0532"/>
    <w:rsid w:val="445C2767"/>
    <w:rsid w:val="445E4BE8"/>
    <w:rsid w:val="44659C1B"/>
    <w:rsid w:val="44695DF5"/>
    <w:rsid w:val="446FC141"/>
    <w:rsid w:val="447838CC"/>
    <w:rsid w:val="4478E16A"/>
    <w:rsid w:val="447F6E2C"/>
    <w:rsid w:val="44814BC2"/>
    <w:rsid w:val="44A133E5"/>
    <w:rsid w:val="44A65FCF"/>
    <w:rsid w:val="44AAC7D4"/>
    <w:rsid w:val="44ADA652"/>
    <w:rsid w:val="44B1E263"/>
    <w:rsid w:val="44BFAD5A"/>
    <w:rsid w:val="44C1411B"/>
    <w:rsid w:val="44C1BEA7"/>
    <w:rsid w:val="44C2561F"/>
    <w:rsid w:val="44C34BFD"/>
    <w:rsid w:val="44C7EE7D"/>
    <w:rsid w:val="450496FA"/>
    <w:rsid w:val="452A46D0"/>
    <w:rsid w:val="4533761A"/>
    <w:rsid w:val="453E1CCE"/>
    <w:rsid w:val="45457AF2"/>
    <w:rsid w:val="45503F11"/>
    <w:rsid w:val="45574A64"/>
    <w:rsid w:val="455DDB77"/>
    <w:rsid w:val="456D779B"/>
    <w:rsid w:val="4577C110"/>
    <w:rsid w:val="45915F46"/>
    <w:rsid w:val="459E245D"/>
    <w:rsid w:val="45B33924"/>
    <w:rsid w:val="45B9775B"/>
    <w:rsid w:val="45C263DF"/>
    <w:rsid w:val="45C8655F"/>
    <w:rsid w:val="45CCEBF6"/>
    <w:rsid w:val="45D7E476"/>
    <w:rsid w:val="45E1340F"/>
    <w:rsid w:val="45E3BC3B"/>
    <w:rsid w:val="45E4D3E1"/>
    <w:rsid w:val="45F2732F"/>
    <w:rsid w:val="4608F0D9"/>
    <w:rsid w:val="46097CB8"/>
    <w:rsid w:val="460D65E5"/>
    <w:rsid w:val="4617C5AF"/>
    <w:rsid w:val="462A6A68"/>
    <w:rsid w:val="46371E63"/>
    <w:rsid w:val="464BDCE1"/>
    <w:rsid w:val="46514A2E"/>
    <w:rsid w:val="465F3EA2"/>
    <w:rsid w:val="465F72D7"/>
    <w:rsid w:val="466C5081"/>
    <w:rsid w:val="4670FB43"/>
    <w:rsid w:val="46777DCF"/>
    <w:rsid w:val="468CB4DB"/>
    <w:rsid w:val="469E7119"/>
    <w:rsid w:val="46A2371E"/>
    <w:rsid w:val="46A4E510"/>
    <w:rsid w:val="46BB7604"/>
    <w:rsid w:val="46BF12A6"/>
    <w:rsid w:val="46C1530B"/>
    <w:rsid w:val="46C1BA88"/>
    <w:rsid w:val="46C83E65"/>
    <w:rsid w:val="46CD54BC"/>
    <w:rsid w:val="46F16C75"/>
    <w:rsid w:val="46FA0BD9"/>
    <w:rsid w:val="470A3FC4"/>
    <w:rsid w:val="470CFBC8"/>
    <w:rsid w:val="473C146A"/>
    <w:rsid w:val="47567EA2"/>
    <w:rsid w:val="477A229C"/>
    <w:rsid w:val="47870D05"/>
    <w:rsid w:val="4791831A"/>
    <w:rsid w:val="47934021"/>
    <w:rsid w:val="47ABC881"/>
    <w:rsid w:val="47B1A392"/>
    <w:rsid w:val="47BD3867"/>
    <w:rsid w:val="47CA2A95"/>
    <w:rsid w:val="47EF9EE1"/>
    <w:rsid w:val="47F0C257"/>
    <w:rsid w:val="48145EDE"/>
    <w:rsid w:val="48316695"/>
    <w:rsid w:val="483D2E96"/>
    <w:rsid w:val="484686C7"/>
    <w:rsid w:val="485238EB"/>
    <w:rsid w:val="485C4C79"/>
    <w:rsid w:val="48714DE5"/>
    <w:rsid w:val="487428C2"/>
    <w:rsid w:val="487B130F"/>
    <w:rsid w:val="4896F141"/>
    <w:rsid w:val="48C7F856"/>
    <w:rsid w:val="48E5E223"/>
    <w:rsid w:val="49142A90"/>
    <w:rsid w:val="491831DF"/>
    <w:rsid w:val="492A92A0"/>
    <w:rsid w:val="493160AB"/>
    <w:rsid w:val="49365118"/>
    <w:rsid w:val="4956AA67"/>
    <w:rsid w:val="4963E358"/>
    <w:rsid w:val="498693D8"/>
    <w:rsid w:val="4995D445"/>
    <w:rsid w:val="499BD5B7"/>
    <w:rsid w:val="49AD1790"/>
    <w:rsid w:val="49BE7414"/>
    <w:rsid w:val="49C203DD"/>
    <w:rsid w:val="49C869C5"/>
    <w:rsid w:val="49D3F46E"/>
    <w:rsid w:val="49D59C94"/>
    <w:rsid w:val="49DFBA4A"/>
    <w:rsid w:val="49EEAD65"/>
    <w:rsid w:val="49F5C792"/>
    <w:rsid w:val="49F74A2A"/>
    <w:rsid w:val="4A08AA56"/>
    <w:rsid w:val="4A23F609"/>
    <w:rsid w:val="4A36E88E"/>
    <w:rsid w:val="4A53DA29"/>
    <w:rsid w:val="4A5475BE"/>
    <w:rsid w:val="4A6899A7"/>
    <w:rsid w:val="4A6B6C13"/>
    <w:rsid w:val="4A6E723A"/>
    <w:rsid w:val="4A6E7AB7"/>
    <w:rsid w:val="4A70A08C"/>
    <w:rsid w:val="4A7E967E"/>
    <w:rsid w:val="4A8E5898"/>
    <w:rsid w:val="4A9A6843"/>
    <w:rsid w:val="4AB3EAAF"/>
    <w:rsid w:val="4AC6FD8A"/>
    <w:rsid w:val="4AC7BC70"/>
    <w:rsid w:val="4ACC2E38"/>
    <w:rsid w:val="4AD1DDB4"/>
    <w:rsid w:val="4AD2F1F2"/>
    <w:rsid w:val="4AE8E2F1"/>
    <w:rsid w:val="4AF977A6"/>
    <w:rsid w:val="4AFE8ECF"/>
    <w:rsid w:val="4B01BBA4"/>
    <w:rsid w:val="4B2DFE7C"/>
    <w:rsid w:val="4B316A17"/>
    <w:rsid w:val="4B3703A2"/>
    <w:rsid w:val="4B57785B"/>
    <w:rsid w:val="4B601AF7"/>
    <w:rsid w:val="4B8D5661"/>
    <w:rsid w:val="4B92E4A3"/>
    <w:rsid w:val="4BD6A71C"/>
    <w:rsid w:val="4BF33DF8"/>
    <w:rsid w:val="4BFA09B2"/>
    <w:rsid w:val="4BFE2CBF"/>
    <w:rsid w:val="4C0C51B4"/>
    <w:rsid w:val="4C29482E"/>
    <w:rsid w:val="4C378FB7"/>
    <w:rsid w:val="4C3C604B"/>
    <w:rsid w:val="4C44B79B"/>
    <w:rsid w:val="4C4A6FD7"/>
    <w:rsid w:val="4C5B87D1"/>
    <w:rsid w:val="4C5FE74D"/>
    <w:rsid w:val="4C6FB2A4"/>
    <w:rsid w:val="4C7B7F45"/>
    <w:rsid w:val="4C80284A"/>
    <w:rsid w:val="4C8EEF5E"/>
    <w:rsid w:val="4C9396DC"/>
    <w:rsid w:val="4CA73229"/>
    <w:rsid w:val="4CAC698C"/>
    <w:rsid w:val="4CB043EC"/>
    <w:rsid w:val="4CB981B2"/>
    <w:rsid w:val="4CCD4F19"/>
    <w:rsid w:val="4CCF36D3"/>
    <w:rsid w:val="4CF23B1B"/>
    <w:rsid w:val="4D15F741"/>
    <w:rsid w:val="4D1E0740"/>
    <w:rsid w:val="4D1E4519"/>
    <w:rsid w:val="4D2A75BF"/>
    <w:rsid w:val="4D31F879"/>
    <w:rsid w:val="4D46B618"/>
    <w:rsid w:val="4D4F008D"/>
    <w:rsid w:val="4D54AC14"/>
    <w:rsid w:val="4D57474B"/>
    <w:rsid w:val="4D5F02F7"/>
    <w:rsid w:val="4D66CF29"/>
    <w:rsid w:val="4D76C8FC"/>
    <w:rsid w:val="4D7B0518"/>
    <w:rsid w:val="4D81F584"/>
    <w:rsid w:val="4D86F5F6"/>
    <w:rsid w:val="4D93DAC8"/>
    <w:rsid w:val="4D9603B0"/>
    <w:rsid w:val="4DAE1C66"/>
    <w:rsid w:val="4DB2DB27"/>
    <w:rsid w:val="4DB6312A"/>
    <w:rsid w:val="4DB9E95D"/>
    <w:rsid w:val="4DCAB7B8"/>
    <w:rsid w:val="4DCF42EA"/>
    <w:rsid w:val="4E0365DA"/>
    <w:rsid w:val="4E074B50"/>
    <w:rsid w:val="4E24CE77"/>
    <w:rsid w:val="4E2621CC"/>
    <w:rsid w:val="4E26DA8E"/>
    <w:rsid w:val="4E291329"/>
    <w:rsid w:val="4E3293F1"/>
    <w:rsid w:val="4E3452A3"/>
    <w:rsid w:val="4E4ADE61"/>
    <w:rsid w:val="4E51CC8B"/>
    <w:rsid w:val="4E652FDF"/>
    <w:rsid w:val="4E66E50B"/>
    <w:rsid w:val="4E67488E"/>
    <w:rsid w:val="4E8652E4"/>
    <w:rsid w:val="4E957500"/>
    <w:rsid w:val="4E9F3667"/>
    <w:rsid w:val="4EB62EA0"/>
    <w:rsid w:val="4EBA3CD2"/>
    <w:rsid w:val="4EC15809"/>
    <w:rsid w:val="4EC5D456"/>
    <w:rsid w:val="4EC7FB69"/>
    <w:rsid w:val="4ED744C1"/>
    <w:rsid w:val="4EDF9A18"/>
    <w:rsid w:val="4EEACCED"/>
    <w:rsid w:val="4EF89CA7"/>
    <w:rsid w:val="4F0FF587"/>
    <w:rsid w:val="4F1A276A"/>
    <w:rsid w:val="4F3454EE"/>
    <w:rsid w:val="4F386778"/>
    <w:rsid w:val="4F40BB55"/>
    <w:rsid w:val="4F40DC29"/>
    <w:rsid w:val="4F47B50D"/>
    <w:rsid w:val="4F49D184"/>
    <w:rsid w:val="4F717985"/>
    <w:rsid w:val="4F72ABF9"/>
    <w:rsid w:val="4F78A9B0"/>
    <w:rsid w:val="4F86319E"/>
    <w:rsid w:val="4F8EF836"/>
    <w:rsid w:val="4F9566D4"/>
    <w:rsid w:val="4F96D059"/>
    <w:rsid w:val="4F99C44E"/>
    <w:rsid w:val="4FA3223E"/>
    <w:rsid w:val="4FC1A6C0"/>
    <w:rsid w:val="4FC8D1DC"/>
    <w:rsid w:val="4FCF9907"/>
    <w:rsid w:val="4FE751BC"/>
    <w:rsid w:val="4FECAB5C"/>
    <w:rsid w:val="4FEF2CEC"/>
    <w:rsid w:val="5013E046"/>
    <w:rsid w:val="502C1645"/>
    <w:rsid w:val="5042C082"/>
    <w:rsid w:val="5051FD05"/>
    <w:rsid w:val="50596C49"/>
    <w:rsid w:val="50690069"/>
    <w:rsid w:val="50746B0D"/>
    <w:rsid w:val="507C6936"/>
    <w:rsid w:val="5096E0DE"/>
    <w:rsid w:val="50B32568"/>
    <w:rsid w:val="50B8CEB5"/>
    <w:rsid w:val="50B8FB25"/>
    <w:rsid w:val="50C62C95"/>
    <w:rsid w:val="50C9300A"/>
    <w:rsid w:val="50D6968B"/>
    <w:rsid w:val="50DDA7FD"/>
    <w:rsid w:val="50DFA35C"/>
    <w:rsid w:val="50F435ED"/>
    <w:rsid w:val="50FAA0DE"/>
    <w:rsid w:val="5102E1D5"/>
    <w:rsid w:val="510585CA"/>
    <w:rsid w:val="5109CDAD"/>
    <w:rsid w:val="510C5985"/>
    <w:rsid w:val="511005EE"/>
    <w:rsid w:val="512B0D01"/>
    <w:rsid w:val="51655234"/>
    <w:rsid w:val="516DD921"/>
    <w:rsid w:val="516F61E0"/>
    <w:rsid w:val="5181BFBE"/>
    <w:rsid w:val="518DA655"/>
    <w:rsid w:val="518EC20D"/>
    <w:rsid w:val="5190F67D"/>
    <w:rsid w:val="5192B7E1"/>
    <w:rsid w:val="51A28496"/>
    <w:rsid w:val="51BAE16B"/>
    <w:rsid w:val="51BDA153"/>
    <w:rsid w:val="51D969BE"/>
    <w:rsid w:val="51ED23AA"/>
    <w:rsid w:val="51F264A8"/>
    <w:rsid w:val="51F424BF"/>
    <w:rsid w:val="51F8A665"/>
    <w:rsid w:val="5209D938"/>
    <w:rsid w:val="5219A88D"/>
    <w:rsid w:val="5220131B"/>
    <w:rsid w:val="5232594E"/>
    <w:rsid w:val="5259F40D"/>
    <w:rsid w:val="5286AA5E"/>
    <w:rsid w:val="5291C7FA"/>
    <w:rsid w:val="52B55A69"/>
    <w:rsid w:val="52C6C2C9"/>
    <w:rsid w:val="52CBD818"/>
    <w:rsid w:val="52CD8680"/>
    <w:rsid w:val="52F42DF2"/>
    <w:rsid w:val="52F7EF18"/>
    <w:rsid w:val="530E00BF"/>
    <w:rsid w:val="5314FB5F"/>
    <w:rsid w:val="531C3A47"/>
    <w:rsid w:val="531E41CE"/>
    <w:rsid w:val="53417E0F"/>
    <w:rsid w:val="5346A2CB"/>
    <w:rsid w:val="53567E59"/>
    <w:rsid w:val="536920A5"/>
    <w:rsid w:val="5377B7BD"/>
    <w:rsid w:val="537E7D93"/>
    <w:rsid w:val="538665D4"/>
    <w:rsid w:val="53944E22"/>
    <w:rsid w:val="53D7B07F"/>
    <w:rsid w:val="53D91D68"/>
    <w:rsid w:val="53E4F7F9"/>
    <w:rsid w:val="53F5E94E"/>
    <w:rsid w:val="5405CB3D"/>
    <w:rsid w:val="54069079"/>
    <w:rsid w:val="54094F2B"/>
    <w:rsid w:val="54288A15"/>
    <w:rsid w:val="544706AF"/>
    <w:rsid w:val="545BF052"/>
    <w:rsid w:val="546C23A3"/>
    <w:rsid w:val="547C9543"/>
    <w:rsid w:val="5484D5BD"/>
    <w:rsid w:val="54889AC9"/>
    <w:rsid w:val="54AC92F5"/>
    <w:rsid w:val="54B3F2EE"/>
    <w:rsid w:val="54B6F7FA"/>
    <w:rsid w:val="54D5D164"/>
    <w:rsid w:val="54D9D067"/>
    <w:rsid w:val="54DDAA58"/>
    <w:rsid w:val="54EFD0AA"/>
    <w:rsid w:val="550605C5"/>
    <w:rsid w:val="5512B63F"/>
    <w:rsid w:val="551617E6"/>
    <w:rsid w:val="5518CC20"/>
    <w:rsid w:val="551A3652"/>
    <w:rsid w:val="552619FB"/>
    <w:rsid w:val="5535E8AE"/>
    <w:rsid w:val="55388D40"/>
    <w:rsid w:val="55455D6E"/>
    <w:rsid w:val="554A747E"/>
    <w:rsid w:val="555B058C"/>
    <w:rsid w:val="555D6C1F"/>
    <w:rsid w:val="556A4194"/>
    <w:rsid w:val="556F5A09"/>
    <w:rsid w:val="55745FB6"/>
    <w:rsid w:val="5581D8EB"/>
    <w:rsid w:val="558EC472"/>
    <w:rsid w:val="55ADDC04"/>
    <w:rsid w:val="55ADE9F7"/>
    <w:rsid w:val="55AF9719"/>
    <w:rsid w:val="55B8701E"/>
    <w:rsid w:val="55CE07A9"/>
    <w:rsid w:val="55CEAAD4"/>
    <w:rsid w:val="55DD88C6"/>
    <w:rsid w:val="55F4EABB"/>
    <w:rsid w:val="55F7C063"/>
    <w:rsid w:val="56056438"/>
    <w:rsid w:val="5607F745"/>
    <w:rsid w:val="565474F1"/>
    <w:rsid w:val="56563EBA"/>
    <w:rsid w:val="56683168"/>
    <w:rsid w:val="5687BAC8"/>
    <w:rsid w:val="569A5C99"/>
    <w:rsid w:val="56A96310"/>
    <w:rsid w:val="56B901FD"/>
    <w:rsid w:val="56B9E3BA"/>
    <w:rsid w:val="56C26DC7"/>
    <w:rsid w:val="56CD08E2"/>
    <w:rsid w:val="56D67406"/>
    <w:rsid w:val="56D8622D"/>
    <w:rsid w:val="56E61D75"/>
    <w:rsid w:val="56F98B52"/>
    <w:rsid w:val="570CD91B"/>
    <w:rsid w:val="57181817"/>
    <w:rsid w:val="572B1407"/>
    <w:rsid w:val="57362930"/>
    <w:rsid w:val="57430917"/>
    <w:rsid w:val="5761CCAB"/>
    <w:rsid w:val="57630F8A"/>
    <w:rsid w:val="576E8934"/>
    <w:rsid w:val="57773D6F"/>
    <w:rsid w:val="57777430"/>
    <w:rsid w:val="5779F15C"/>
    <w:rsid w:val="579C96ED"/>
    <w:rsid w:val="57AE3062"/>
    <w:rsid w:val="57BA6B80"/>
    <w:rsid w:val="57DE9E53"/>
    <w:rsid w:val="57E070F3"/>
    <w:rsid w:val="57E46DED"/>
    <w:rsid w:val="57E5B9A0"/>
    <w:rsid w:val="57EB79B6"/>
    <w:rsid w:val="57FA5D60"/>
    <w:rsid w:val="58005DC4"/>
    <w:rsid w:val="58086958"/>
    <w:rsid w:val="58263E7A"/>
    <w:rsid w:val="583F2BDE"/>
    <w:rsid w:val="58438522"/>
    <w:rsid w:val="58529694"/>
    <w:rsid w:val="5854CAD9"/>
    <w:rsid w:val="58573C37"/>
    <w:rsid w:val="586242E6"/>
    <w:rsid w:val="586C8536"/>
    <w:rsid w:val="587BED43"/>
    <w:rsid w:val="587D78B1"/>
    <w:rsid w:val="58872BA4"/>
    <w:rsid w:val="588872AB"/>
    <w:rsid w:val="58A33094"/>
    <w:rsid w:val="58ACA4AC"/>
    <w:rsid w:val="58C5690B"/>
    <w:rsid w:val="58C90F5C"/>
    <w:rsid w:val="58DA5F59"/>
    <w:rsid w:val="58E48BCB"/>
    <w:rsid w:val="58E8468E"/>
    <w:rsid w:val="590E6869"/>
    <w:rsid w:val="5919A889"/>
    <w:rsid w:val="592B6255"/>
    <w:rsid w:val="5949079C"/>
    <w:rsid w:val="59571229"/>
    <w:rsid w:val="59670D7B"/>
    <w:rsid w:val="596AA44C"/>
    <w:rsid w:val="597E2D6E"/>
    <w:rsid w:val="59B0987F"/>
    <w:rsid w:val="59B71887"/>
    <w:rsid w:val="59CCF00B"/>
    <w:rsid w:val="59DEC3E8"/>
    <w:rsid w:val="59E1D147"/>
    <w:rsid w:val="59E974DC"/>
    <w:rsid w:val="59F0C03D"/>
    <w:rsid w:val="59FC56B3"/>
    <w:rsid w:val="5A13C392"/>
    <w:rsid w:val="5A1965B8"/>
    <w:rsid w:val="5A1EDAD1"/>
    <w:rsid w:val="5A272C9D"/>
    <w:rsid w:val="5A2B164F"/>
    <w:rsid w:val="5A409294"/>
    <w:rsid w:val="5A48DF1B"/>
    <w:rsid w:val="5A4B3618"/>
    <w:rsid w:val="5A5583BA"/>
    <w:rsid w:val="5A6AF2B7"/>
    <w:rsid w:val="5A7281A9"/>
    <w:rsid w:val="5A73BC33"/>
    <w:rsid w:val="5A95D66A"/>
    <w:rsid w:val="5AC6397E"/>
    <w:rsid w:val="5AC8215C"/>
    <w:rsid w:val="5AC879BD"/>
    <w:rsid w:val="5ACD3C98"/>
    <w:rsid w:val="5AD37627"/>
    <w:rsid w:val="5AD8C06D"/>
    <w:rsid w:val="5AF7B50F"/>
    <w:rsid w:val="5B0B3DA0"/>
    <w:rsid w:val="5B0F3CF5"/>
    <w:rsid w:val="5B15DC92"/>
    <w:rsid w:val="5B1909A9"/>
    <w:rsid w:val="5B2D3571"/>
    <w:rsid w:val="5B479729"/>
    <w:rsid w:val="5B6E3E3D"/>
    <w:rsid w:val="5B7BC5B9"/>
    <w:rsid w:val="5B875512"/>
    <w:rsid w:val="5B8F7D07"/>
    <w:rsid w:val="5BB89AB0"/>
    <w:rsid w:val="5BC08AA9"/>
    <w:rsid w:val="5BC7C464"/>
    <w:rsid w:val="5BD7D70E"/>
    <w:rsid w:val="5BDE8E04"/>
    <w:rsid w:val="5BE31439"/>
    <w:rsid w:val="5BEF9336"/>
    <w:rsid w:val="5C08C7C9"/>
    <w:rsid w:val="5C0E870C"/>
    <w:rsid w:val="5C12D31D"/>
    <w:rsid w:val="5C16A87E"/>
    <w:rsid w:val="5C22861A"/>
    <w:rsid w:val="5C23F2FC"/>
    <w:rsid w:val="5C37E414"/>
    <w:rsid w:val="5C39F1B1"/>
    <w:rsid w:val="5C3A5C41"/>
    <w:rsid w:val="5C5C4B4B"/>
    <w:rsid w:val="5C711F6C"/>
    <w:rsid w:val="5C72D6B0"/>
    <w:rsid w:val="5C779F26"/>
    <w:rsid w:val="5C97A40E"/>
    <w:rsid w:val="5CA170B1"/>
    <w:rsid w:val="5CA4320A"/>
    <w:rsid w:val="5CCA4E47"/>
    <w:rsid w:val="5CEF2963"/>
    <w:rsid w:val="5CF46D60"/>
    <w:rsid w:val="5D188490"/>
    <w:rsid w:val="5D2F317E"/>
    <w:rsid w:val="5D30AFD9"/>
    <w:rsid w:val="5D42F082"/>
    <w:rsid w:val="5D5A6653"/>
    <w:rsid w:val="5D62546B"/>
    <w:rsid w:val="5D754283"/>
    <w:rsid w:val="5D771D78"/>
    <w:rsid w:val="5D844700"/>
    <w:rsid w:val="5D88720E"/>
    <w:rsid w:val="5D97340A"/>
    <w:rsid w:val="5DA374DF"/>
    <w:rsid w:val="5DB2AC90"/>
    <w:rsid w:val="5DBBBC7F"/>
    <w:rsid w:val="5DC3F009"/>
    <w:rsid w:val="5DD88560"/>
    <w:rsid w:val="5DD936CC"/>
    <w:rsid w:val="5DDEA3CF"/>
    <w:rsid w:val="5DE0B537"/>
    <w:rsid w:val="5DED9109"/>
    <w:rsid w:val="5DF734B9"/>
    <w:rsid w:val="5DF8FF6B"/>
    <w:rsid w:val="5DFD0FB8"/>
    <w:rsid w:val="5E1CB635"/>
    <w:rsid w:val="5E388757"/>
    <w:rsid w:val="5E3B3158"/>
    <w:rsid w:val="5E542D39"/>
    <w:rsid w:val="5E54394E"/>
    <w:rsid w:val="5E57CFEB"/>
    <w:rsid w:val="5E67077D"/>
    <w:rsid w:val="5E6EDB0B"/>
    <w:rsid w:val="5E7E6583"/>
    <w:rsid w:val="5E8000B3"/>
    <w:rsid w:val="5EA23E31"/>
    <w:rsid w:val="5EAD0A57"/>
    <w:rsid w:val="5EBE637D"/>
    <w:rsid w:val="5EE2E0B7"/>
    <w:rsid w:val="5EEE486D"/>
    <w:rsid w:val="5EF27159"/>
    <w:rsid w:val="5EF67FCB"/>
    <w:rsid w:val="5F06D1D4"/>
    <w:rsid w:val="5F1F3721"/>
    <w:rsid w:val="5F25119E"/>
    <w:rsid w:val="5F288DAB"/>
    <w:rsid w:val="5F2E78BD"/>
    <w:rsid w:val="5F2EAE45"/>
    <w:rsid w:val="5F44F92B"/>
    <w:rsid w:val="5F4A1194"/>
    <w:rsid w:val="5F578563"/>
    <w:rsid w:val="5F5B843F"/>
    <w:rsid w:val="5F65292C"/>
    <w:rsid w:val="5F67F284"/>
    <w:rsid w:val="5F6B4D9F"/>
    <w:rsid w:val="5F6FD33E"/>
    <w:rsid w:val="5F76F096"/>
    <w:rsid w:val="5FA951E1"/>
    <w:rsid w:val="5FB60E69"/>
    <w:rsid w:val="5FCF3FD1"/>
    <w:rsid w:val="5FD632BD"/>
    <w:rsid w:val="5FD67114"/>
    <w:rsid w:val="5FDA8B01"/>
    <w:rsid w:val="5FDB9BD8"/>
    <w:rsid w:val="5FE3B059"/>
    <w:rsid w:val="5FF45EC6"/>
    <w:rsid w:val="60030E33"/>
    <w:rsid w:val="60136F4F"/>
    <w:rsid w:val="6017E1BB"/>
    <w:rsid w:val="601A1762"/>
    <w:rsid w:val="602B1F68"/>
    <w:rsid w:val="6033D701"/>
    <w:rsid w:val="6035C0E0"/>
    <w:rsid w:val="603822A6"/>
    <w:rsid w:val="6041CB4C"/>
    <w:rsid w:val="6045FF03"/>
    <w:rsid w:val="60489DE4"/>
    <w:rsid w:val="604CB047"/>
    <w:rsid w:val="6051C321"/>
    <w:rsid w:val="6063F3AA"/>
    <w:rsid w:val="607110B4"/>
    <w:rsid w:val="607E5E04"/>
    <w:rsid w:val="608E1320"/>
    <w:rsid w:val="60995658"/>
    <w:rsid w:val="609A74CF"/>
    <w:rsid w:val="60A68496"/>
    <w:rsid w:val="60AC91A4"/>
    <w:rsid w:val="60AEDBB6"/>
    <w:rsid w:val="610510AD"/>
    <w:rsid w:val="61073E30"/>
    <w:rsid w:val="6108B19E"/>
    <w:rsid w:val="610B3758"/>
    <w:rsid w:val="6114A952"/>
    <w:rsid w:val="612026DE"/>
    <w:rsid w:val="61487B9D"/>
    <w:rsid w:val="614F5279"/>
    <w:rsid w:val="6153BD03"/>
    <w:rsid w:val="615A02AF"/>
    <w:rsid w:val="615D63C4"/>
    <w:rsid w:val="617EF2E4"/>
    <w:rsid w:val="6192A338"/>
    <w:rsid w:val="61957610"/>
    <w:rsid w:val="6196F0B1"/>
    <w:rsid w:val="61A33E5E"/>
    <w:rsid w:val="61AB73D7"/>
    <w:rsid w:val="61B82907"/>
    <w:rsid w:val="61BA615D"/>
    <w:rsid w:val="61C0C0F7"/>
    <w:rsid w:val="61C2ED31"/>
    <w:rsid w:val="61CB135C"/>
    <w:rsid w:val="61E0B74F"/>
    <w:rsid w:val="61E365DB"/>
    <w:rsid w:val="61E93E39"/>
    <w:rsid w:val="61EBB196"/>
    <w:rsid w:val="61F50F9E"/>
    <w:rsid w:val="61F80269"/>
    <w:rsid w:val="6204DCCA"/>
    <w:rsid w:val="622AC41A"/>
    <w:rsid w:val="6247B55A"/>
    <w:rsid w:val="62498835"/>
    <w:rsid w:val="62623A66"/>
    <w:rsid w:val="62643448"/>
    <w:rsid w:val="62694097"/>
    <w:rsid w:val="62722040"/>
    <w:rsid w:val="62781D03"/>
    <w:rsid w:val="6280298D"/>
    <w:rsid w:val="6284CD6E"/>
    <w:rsid w:val="628A6348"/>
    <w:rsid w:val="6290284A"/>
    <w:rsid w:val="62B2CF9D"/>
    <w:rsid w:val="62C5B0B9"/>
    <w:rsid w:val="62C67785"/>
    <w:rsid w:val="62C6D198"/>
    <w:rsid w:val="62DA0D0F"/>
    <w:rsid w:val="62F45188"/>
    <w:rsid w:val="62F55CA0"/>
    <w:rsid w:val="6305F053"/>
    <w:rsid w:val="63449A67"/>
    <w:rsid w:val="63469484"/>
    <w:rsid w:val="6371DAFD"/>
    <w:rsid w:val="637C2A70"/>
    <w:rsid w:val="638603B8"/>
    <w:rsid w:val="639CB2B2"/>
    <w:rsid w:val="63B18DB3"/>
    <w:rsid w:val="63B3C262"/>
    <w:rsid w:val="63C20481"/>
    <w:rsid w:val="63C8D641"/>
    <w:rsid w:val="63CE70AB"/>
    <w:rsid w:val="63D1F4C3"/>
    <w:rsid w:val="63F30815"/>
    <w:rsid w:val="63F3A7E2"/>
    <w:rsid w:val="63F8D1E4"/>
    <w:rsid w:val="63F92C2E"/>
    <w:rsid w:val="64039ECD"/>
    <w:rsid w:val="642B92D1"/>
    <w:rsid w:val="642CE9D8"/>
    <w:rsid w:val="64449F10"/>
    <w:rsid w:val="6450E28E"/>
    <w:rsid w:val="645DDA64"/>
    <w:rsid w:val="646E4C87"/>
    <w:rsid w:val="64888723"/>
    <w:rsid w:val="64910863"/>
    <w:rsid w:val="649154A0"/>
    <w:rsid w:val="64A24AD2"/>
    <w:rsid w:val="64A81B52"/>
    <w:rsid w:val="64B2F885"/>
    <w:rsid w:val="64C8FA89"/>
    <w:rsid w:val="64D2737D"/>
    <w:rsid w:val="64EB1E39"/>
    <w:rsid w:val="64F3C5F8"/>
    <w:rsid w:val="64F60AEF"/>
    <w:rsid w:val="64FA7338"/>
    <w:rsid w:val="65030334"/>
    <w:rsid w:val="6510AA84"/>
    <w:rsid w:val="6513CD65"/>
    <w:rsid w:val="651F4716"/>
    <w:rsid w:val="652A4FF8"/>
    <w:rsid w:val="65350019"/>
    <w:rsid w:val="6536A051"/>
    <w:rsid w:val="654E4A05"/>
    <w:rsid w:val="65559547"/>
    <w:rsid w:val="6555BF6B"/>
    <w:rsid w:val="655F6C96"/>
    <w:rsid w:val="6566FC8E"/>
    <w:rsid w:val="6576DF29"/>
    <w:rsid w:val="657C8686"/>
    <w:rsid w:val="657D19D7"/>
    <w:rsid w:val="6588FADA"/>
    <w:rsid w:val="658C853F"/>
    <w:rsid w:val="65941CA4"/>
    <w:rsid w:val="65B6D65D"/>
    <w:rsid w:val="65EAC2BE"/>
    <w:rsid w:val="65EED683"/>
    <w:rsid w:val="6604EEFE"/>
    <w:rsid w:val="6610FA66"/>
    <w:rsid w:val="6613CA6C"/>
    <w:rsid w:val="661DF374"/>
    <w:rsid w:val="6620C4E0"/>
    <w:rsid w:val="66220869"/>
    <w:rsid w:val="6622A537"/>
    <w:rsid w:val="66239020"/>
    <w:rsid w:val="663F2220"/>
    <w:rsid w:val="66469B64"/>
    <w:rsid w:val="6647ED8F"/>
    <w:rsid w:val="664ECA01"/>
    <w:rsid w:val="66582583"/>
    <w:rsid w:val="668A11D4"/>
    <w:rsid w:val="6693CEA4"/>
    <w:rsid w:val="66AB08B5"/>
    <w:rsid w:val="66AE66F6"/>
    <w:rsid w:val="66C3A172"/>
    <w:rsid w:val="66D4771F"/>
    <w:rsid w:val="66E41B92"/>
    <w:rsid w:val="66EA1837"/>
    <w:rsid w:val="66F1C342"/>
    <w:rsid w:val="66FD1BF4"/>
    <w:rsid w:val="6714972A"/>
    <w:rsid w:val="67243213"/>
    <w:rsid w:val="67252724"/>
    <w:rsid w:val="675E0616"/>
    <w:rsid w:val="67677241"/>
    <w:rsid w:val="676B50BA"/>
    <w:rsid w:val="676DF61E"/>
    <w:rsid w:val="6793EB16"/>
    <w:rsid w:val="6798BF51"/>
    <w:rsid w:val="67A641C4"/>
    <w:rsid w:val="67B4BFBE"/>
    <w:rsid w:val="67BA09A1"/>
    <w:rsid w:val="67BFE256"/>
    <w:rsid w:val="67C89691"/>
    <w:rsid w:val="67D1E9F2"/>
    <w:rsid w:val="67D8A78D"/>
    <w:rsid w:val="67D9B221"/>
    <w:rsid w:val="67E29915"/>
    <w:rsid w:val="67EE0EB1"/>
    <w:rsid w:val="67F2C56A"/>
    <w:rsid w:val="67F5A5D6"/>
    <w:rsid w:val="67F9C90F"/>
    <w:rsid w:val="6820DFB8"/>
    <w:rsid w:val="6826B8AD"/>
    <w:rsid w:val="6828FE18"/>
    <w:rsid w:val="68380DE0"/>
    <w:rsid w:val="683E0DA4"/>
    <w:rsid w:val="6844E526"/>
    <w:rsid w:val="685C36AF"/>
    <w:rsid w:val="685FE40B"/>
    <w:rsid w:val="68709828"/>
    <w:rsid w:val="6881991B"/>
    <w:rsid w:val="68908F0C"/>
    <w:rsid w:val="68917DB2"/>
    <w:rsid w:val="68D63B6B"/>
    <w:rsid w:val="68E6A5F2"/>
    <w:rsid w:val="68EC5E37"/>
    <w:rsid w:val="68F019B6"/>
    <w:rsid w:val="68F08269"/>
    <w:rsid w:val="68F24B65"/>
    <w:rsid w:val="68F4959C"/>
    <w:rsid w:val="68F6B2FA"/>
    <w:rsid w:val="68FC51F9"/>
    <w:rsid w:val="690A8A3F"/>
    <w:rsid w:val="6911AF3B"/>
    <w:rsid w:val="691C3E3D"/>
    <w:rsid w:val="691FB568"/>
    <w:rsid w:val="693A8F9A"/>
    <w:rsid w:val="69487714"/>
    <w:rsid w:val="6978F8E4"/>
    <w:rsid w:val="6998285B"/>
    <w:rsid w:val="69BD6DFD"/>
    <w:rsid w:val="69C5FC9C"/>
    <w:rsid w:val="69CB039E"/>
    <w:rsid w:val="69D48335"/>
    <w:rsid w:val="69DAEB53"/>
    <w:rsid w:val="69DDBC63"/>
    <w:rsid w:val="69E24A83"/>
    <w:rsid w:val="69FC5F1A"/>
    <w:rsid w:val="6A044903"/>
    <w:rsid w:val="6A14752D"/>
    <w:rsid w:val="6A29CDD1"/>
    <w:rsid w:val="6A31CE53"/>
    <w:rsid w:val="6A427E8A"/>
    <w:rsid w:val="6A48DB5F"/>
    <w:rsid w:val="6A4E691C"/>
    <w:rsid w:val="6A55F7EA"/>
    <w:rsid w:val="6A58B29D"/>
    <w:rsid w:val="6A5AAFB3"/>
    <w:rsid w:val="6A6E375F"/>
    <w:rsid w:val="6A738502"/>
    <w:rsid w:val="6A752B22"/>
    <w:rsid w:val="6A85B580"/>
    <w:rsid w:val="6A86C5FD"/>
    <w:rsid w:val="6A87847E"/>
    <w:rsid w:val="6AE0DCDC"/>
    <w:rsid w:val="6AE4BBB2"/>
    <w:rsid w:val="6AFC0B61"/>
    <w:rsid w:val="6AFCAE63"/>
    <w:rsid w:val="6B0C2BFD"/>
    <w:rsid w:val="6B1BF667"/>
    <w:rsid w:val="6B250D15"/>
    <w:rsid w:val="6B2B892A"/>
    <w:rsid w:val="6B2F436D"/>
    <w:rsid w:val="6B2FC9A0"/>
    <w:rsid w:val="6B40AFF8"/>
    <w:rsid w:val="6B7B80F0"/>
    <w:rsid w:val="6BBCE944"/>
    <w:rsid w:val="6BC44CDD"/>
    <w:rsid w:val="6BC51AF4"/>
    <w:rsid w:val="6BC9BED9"/>
    <w:rsid w:val="6BCBF90C"/>
    <w:rsid w:val="6BD20FCA"/>
    <w:rsid w:val="6BD6C414"/>
    <w:rsid w:val="6BF98329"/>
    <w:rsid w:val="6BFDCE3F"/>
    <w:rsid w:val="6C00E414"/>
    <w:rsid w:val="6C1C8292"/>
    <w:rsid w:val="6C1FD0FE"/>
    <w:rsid w:val="6C27D3B4"/>
    <w:rsid w:val="6C2EDDB5"/>
    <w:rsid w:val="6C35D148"/>
    <w:rsid w:val="6C50E80C"/>
    <w:rsid w:val="6C60020B"/>
    <w:rsid w:val="6C6017C4"/>
    <w:rsid w:val="6C6D6D3C"/>
    <w:rsid w:val="6CA9F786"/>
    <w:rsid w:val="6CBA51B1"/>
    <w:rsid w:val="6CC009CB"/>
    <w:rsid w:val="6CC4D69E"/>
    <w:rsid w:val="6CD5448E"/>
    <w:rsid w:val="6CDF3B96"/>
    <w:rsid w:val="6CE70584"/>
    <w:rsid w:val="6CEA8A79"/>
    <w:rsid w:val="6CFAA1A8"/>
    <w:rsid w:val="6D0334FF"/>
    <w:rsid w:val="6D05E1EE"/>
    <w:rsid w:val="6D060213"/>
    <w:rsid w:val="6D103AE6"/>
    <w:rsid w:val="6D18D06B"/>
    <w:rsid w:val="6D1DE07C"/>
    <w:rsid w:val="6D29A6BC"/>
    <w:rsid w:val="6D2A4259"/>
    <w:rsid w:val="6D2C5F8E"/>
    <w:rsid w:val="6D331FB0"/>
    <w:rsid w:val="6D55886A"/>
    <w:rsid w:val="6D606547"/>
    <w:rsid w:val="6D6B68AD"/>
    <w:rsid w:val="6D7AB98D"/>
    <w:rsid w:val="6D978976"/>
    <w:rsid w:val="6DA81B3F"/>
    <w:rsid w:val="6DB1445E"/>
    <w:rsid w:val="6DBEB846"/>
    <w:rsid w:val="6DCBC10C"/>
    <w:rsid w:val="6DD9C9E6"/>
    <w:rsid w:val="6DE95E38"/>
    <w:rsid w:val="6DEFA815"/>
    <w:rsid w:val="6DF3773A"/>
    <w:rsid w:val="6E0407B2"/>
    <w:rsid w:val="6E0D2E8B"/>
    <w:rsid w:val="6E28A2EA"/>
    <w:rsid w:val="6E2A5285"/>
    <w:rsid w:val="6E2B9271"/>
    <w:rsid w:val="6E2C714E"/>
    <w:rsid w:val="6E32A0BA"/>
    <w:rsid w:val="6E3D84DD"/>
    <w:rsid w:val="6E40946B"/>
    <w:rsid w:val="6E581008"/>
    <w:rsid w:val="6E63E8A2"/>
    <w:rsid w:val="6E649A62"/>
    <w:rsid w:val="6E6F922D"/>
    <w:rsid w:val="6E7E213B"/>
    <w:rsid w:val="6E7E7C06"/>
    <w:rsid w:val="6EA788A4"/>
    <w:rsid w:val="6ECCFF35"/>
    <w:rsid w:val="6ED4E45E"/>
    <w:rsid w:val="6ED8226A"/>
    <w:rsid w:val="6EE91440"/>
    <w:rsid w:val="6EECC09F"/>
    <w:rsid w:val="6EF9D28C"/>
    <w:rsid w:val="6F1EB7BC"/>
    <w:rsid w:val="6F276E5C"/>
    <w:rsid w:val="6F2A4643"/>
    <w:rsid w:val="6F386276"/>
    <w:rsid w:val="6F4BA144"/>
    <w:rsid w:val="6F54FB54"/>
    <w:rsid w:val="6F564443"/>
    <w:rsid w:val="6F74635B"/>
    <w:rsid w:val="6F7CC020"/>
    <w:rsid w:val="6F817836"/>
    <w:rsid w:val="6F86CBFD"/>
    <w:rsid w:val="6F904D1A"/>
    <w:rsid w:val="6FC4EFD9"/>
    <w:rsid w:val="6FCFBEFB"/>
    <w:rsid w:val="6FE225DB"/>
    <w:rsid w:val="70056428"/>
    <w:rsid w:val="70192D7E"/>
    <w:rsid w:val="70200AFF"/>
    <w:rsid w:val="7020C208"/>
    <w:rsid w:val="704C41A5"/>
    <w:rsid w:val="70613C4F"/>
    <w:rsid w:val="70636B89"/>
    <w:rsid w:val="707ABEDA"/>
    <w:rsid w:val="70819761"/>
    <w:rsid w:val="708ECA86"/>
    <w:rsid w:val="708FFD3A"/>
    <w:rsid w:val="70AC027C"/>
    <w:rsid w:val="70AE4821"/>
    <w:rsid w:val="70BB4CBC"/>
    <w:rsid w:val="70DDBDEB"/>
    <w:rsid w:val="70E5F6A4"/>
    <w:rsid w:val="70F0A6AE"/>
    <w:rsid w:val="710422E9"/>
    <w:rsid w:val="711D564A"/>
    <w:rsid w:val="71257A4E"/>
    <w:rsid w:val="712799A3"/>
    <w:rsid w:val="712C4351"/>
    <w:rsid w:val="712FE5AC"/>
    <w:rsid w:val="71352DDA"/>
    <w:rsid w:val="71382897"/>
    <w:rsid w:val="71430490"/>
    <w:rsid w:val="71506429"/>
    <w:rsid w:val="71506CB4"/>
    <w:rsid w:val="7152D0CE"/>
    <w:rsid w:val="7154878D"/>
    <w:rsid w:val="715D6FD2"/>
    <w:rsid w:val="716387B2"/>
    <w:rsid w:val="71689AFF"/>
    <w:rsid w:val="716EAA7B"/>
    <w:rsid w:val="718BEEF2"/>
    <w:rsid w:val="71A9B7FD"/>
    <w:rsid w:val="71AB8B36"/>
    <w:rsid w:val="71C5855D"/>
    <w:rsid w:val="71CE60BE"/>
    <w:rsid w:val="71D7D8EC"/>
    <w:rsid w:val="71EEA082"/>
    <w:rsid w:val="71FFB511"/>
    <w:rsid w:val="7200819F"/>
    <w:rsid w:val="721CA526"/>
    <w:rsid w:val="722C0605"/>
    <w:rsid w:val="722D8EB5"/>
    <w:rsid w:val="7237EDC9"/>
    <w:rsid w:val="723DE83E"/>
    <w:rsid w:val="723F6FF7"/>
    <w:rsid w:val="7255F0BC"/>
    <w:rsid w:val="72636308"/>
    <w:rsid w:val="726C1400"/>
    <w:rsid w:val="7273921B"/>
    <w:rsid w:val="7276A9B7"/>
    <w:rsid w:val="72867B0E"/>
    <w:rsid w:val="72867D89"/>
    <w:rsid w:val="729682C2"/>
    <w:rsid w:val="72A566D3"/>
    <w:rsid w:val="72AED790"/>
    <w:rsid w:val="72B144D5"/>
    <w:rsid w:val="72CE0316"/>
    <w:rsid w:val="72D2FE84"/>
    <w:rsid w:val="72FBD8E3"/>
    <w:rsid w:val="73021AFC"/>
    <w:rsid w:val="731553C1"/>
    <w:rsid w:val="73241C27"/>
    <w:rsid w:val="733AB72E"/>
    <w:rsid w:val="733E2941"/>
    <w:rsid w:val="7350E633"/>
    <w:rsid w:val="73525AA9"/>
    <w:rsid w:val="735DC49A"/>
    <w:rsid w:val="736B4B1D"/>
    <w:rsid w:val="737AD765"/>
    <w:rsid w:val="738CE588"/>
    <w:rsid w:val="738D9F51"/>
    <w:rsid w:val="7393ADD0"/>
    <w:rsid w:val="73AA8FE0"/>
    <w:rsid w:val="73B130AC"/>
    <w:rsid w:val="73BF8429"/>
    <w:rsid w:val="73D1D2BD"/>
    <w:rsid w:val="73D39A72"/>
    <w:rsid w:val="73E9E819"/>
    <w:rsid w:val="73F1A606"/>
    <w:rsid w:val="73F3FA49"/>
    <w:rsid w:val="741C3130"/>
    <w:rsid w:val="742C44A4"/>
    <w:rsid w:val="74333F7E"/>
    <w:rsid w:val="7434043D"/>
    <w:rsid w:val="74379F79"/>
    <w:rsid w:val="744C6E9B"/>
    <w:rsid w:val="74510FE4"/>
    <w:rsid w:val="74521B82"/>
    <w:rsid w:val="74757C98"/>
    <w:rsid w:val="7476AEC9"/>
    <w:rsid w:val="74A990F0"/>
    <w:rsid w:val="74ABF18A"/>
    <w:rsid w:val="74AD333B"/>
    <w:rsid w:val="74ADC28A"/>
    <w:rsid w:val="74B657A7"/>
    <w:rsid w:val="74B9E01A"/>
    <w:rsid w:val="74BBCB24"/>
    <w:rsid w:val="74CA27C1"/>
    <w:rsid w:val="74DA8958"/>
    <w:rsid w:val="7502F69A"/>
    <w:rsid w:val="75279F69"/>
    <w:rsid w:val="752A42A9"/>
    <w:rsid w:val="752B279A"/>
    <w:rsid w:val="7542C6D3"/>
    <w:rsid w:val="75464B7D"/>
    <w:rsid w:val="754C180A"/>
    <w:rsid w:val="755533C2"/>
    <w:rsid w:val="755DCCEB"/>
    <w:rsid w:val="75644C27"/>
    <w:rsid w:val="756636E9"/>
    <w:rsid w:val="7567A73F"/>
    <w:rsid w:val="7577C617"/>
    <w:rsid w:val="75799A01"/>
    <w:rsid w:val="759010A7"/>
    <w:rsid w:val="759C4328"/>
    <w:rsid w:val="75D6AEA1"/>
    <w:rsid w:val="75E88067"/>
    <w:rsid w:val="7604C88B"/>
    <w:rsid w:val="7604EB07"/>
    <w:rsid w:val="7636BA0F"/>
    <w:rsid w:val="7647146F"/>
    <w:rsid w:val="765F3AC5"/>
    <w:rsid w:val="766FAD53"/>
    <w:rsid w:val="767ECE5A"/>
    <w:rsid w:val="7682F10D"/>
    <w:rsid w:val="768475A1"/>
    <w:rsid w:val="76877435"/>
    <w:rsid w:val="7697CC62"/>
    <w:rsid w:val="769C84FC"/>
    <w:rsid w:val="76B52D8E"/>
    <w:rsid w:val="76BC19FD"/>
    <w:rsid w:val="76BFA63D"/>
    <w:rsid w:val="76C66A99"/>
    <w:rsid w:val="7702586D"/>
    <w:rsid w:val="770C2D25"/>
    <w:rsid w:val="77120D1E"/>
    <w:rsid w:val="7716CE36"/>
    <w:rsid w:val="7725A901"/>
    <w:rsid w:val="7726C116"/>
    <w:rsid w:val="7751028C"/>
    <w:rsid w:val="77593576"/>
    <w:rsid w:val="777253BB"/>
    <w:rsid w:val="777C2443"/>
    <w:rsid w:val="77803C84"/>
    <w:rsid w:val="7788D843"/>
    <w:rsid w:val="779E3A49"/>
    <w:rsid w:val="77A7004B"/>
    <w:rsid w:val="77AF2DD0"/>
    <w:rsid w:val="77BD569E"/>
    <w:rsid w:val="77E34A4B"/>
    <w:rsid w:val="77F40D16"/>
    <w:rsid w:val="77F81CCA"/>
    <w:rsid w:val="7803BC0A"/>
    <w:rsid w:val="780CB3B2"/>
    <w:rsid w:val="78119A64"/>
    <w:rsid w:val="7814094C"/>
    <w:rsid w:val="782A6681"/>
    <w:rsid w:val="7848EBB3"/>
    <w:rsid w:val="785B49B1"/>
    <w:rsid w:val="7860B65B"/>
    <w:rsid w:val="786A279F"/>
    <w:rsid w:val="78789F76"/>
    <w:rsid w:val="7880DCDB"/>
    <w:rsid w:val="78853086"/>
    <w:rsid w:val="78901A4F"/>
    <w:rsid w:val="7893CAD3"/>
    <w:rsid w:val="78A63470"/>
    <w:rsid w:val="78A77AAA"/>
    <w:rsid w:val="78B8B65A"/>
    <w:rsid w:val="78F4D4A5"/>
    <w:rsid w:val="790635CF"/>
    <w:rsid w:val="791B5BCC"/>
    <w:rsid w:val="7938E42A"/>
    <w:rsid w:val="79495C71"/>
    <w:rsid w:val="79503C17"/>
    <w:rsid w:val="7961836A"/>
    <w:rsid w:val="796AB616"/>
    <w:rsid w:val="796E3CC8"/>
    <w:rsid w:val="7971DF52"/>
    <w:rsid w:val="797DCDC3"/>
    <w:rsid w:val="798040F3"/>
    <w:rsid w:val="7996FF58"/>
    <w:rsid w:val="79AB696F"/>
    <w:rsid w:val="79ABF4F0"/>
    <w:rsid w:val="79AFD053"/>
    <w:rsid w:val="79C7DE55"/>
    <w:rsid w:val="79D15B2A"/>
    <w:rsid w:val="79D35DCF"/>
    <w:rsid w:val="79DE00B6"/>
    <w:rsid w:val="79EFB17E"/>
    <w:rsid w:val="7A0EA877"/>
    <w:rsid w:val="7A101C9D"/>
    <w:rsid w:val="7A21F03E"/>
    <w:rsid w:val="7A3E2D19"/>
    <w:rsid w:val="7A41A4AC"/>
    <w:rsid w:val="7A46BEB4"/>
    <w:rsid w:val="7A4D71A4"/>
    <w:rsid w:val="7A50E8D8"/>
    <w:rsid w:val="7A57152C"/>
    <w:rsid w:val="7A581AE2"/>
    <w:rsid w:val="7A5E48C9"/>
    <w:rsid w:val="7A604D75"/>
    <w:rsid w:val="7A947AD5"/>
    <w:rsid w:val="7A9ADA45"/>
    <w:rsid w:val="7A9EB0A7"/>
    <w:rsid w:val="7AB3BD46"/>
    <w:rsid w:val="7ACFEF2B"/>
    <w:rsid w:val="7AE51249"/>
    <w:rsid w:val="7AEEF5F8"/>
    <w:rsid w:val="7AF5F041"/>
    <w:rsid w:val="7B1CCC62"/>
    <w:rsid w:val="7B295F16"/>
    <w:rsid w:val="7B3DEC06"/>
    <w:rsid w:val="7B438725"/>
    <w:rsid w:val="7B45EAF4"/>
    <w:rsid w:val="7B575E39"/>
    <w:rsid w:val="7B7D3C88"/>
    <w:rsid w:val="7B880E70"/>
    <w:rsid w:val="7B8E08A6"/>
    <w:rsid w:val="7B9579AC"/>
    <w:rsid w:val="7BABE8F3"/>
    <w:rsid w:val="7BB39D86"/>
    <w:rsid w:val="7BC4AC36"/>
    <w:rsid w:val="7BC996E2"/>
    <w:rsid w:val="7BD82999"/>
    <w:rsid w:val="7BD982C7"/>
    <w:rsid w:val="7BE60501"/>
    <w:rsid w:val="7BF568FD"/>
    <w:rsid w:val="7BF75020"/>
    <w:rsid w:val="7C00DF25"/>
    <w:rsid w:val="7C1DCA61"/>
    <w:rsid w:val="7C3648E5"/>
    <w:rsid w:val="7C3D001B"/>
    <w:rsid w:val="7C439C71"/>
    <w:rsid w:val="7C48528E"/>
    <w:rsid w:val="7C57672C"/>
    <w:rsid w:val="7C5D0B36"/>
    <w:rsid w:val="7C5E0796"/>
    <w:rsid w:val="7C8C7A22"/>
    <w:rsid w:val="7C8F9897"/>
    <w:rsid w:val="7CB3D2FF"/>
    <w:rsid w:val="7CBD9C89"/>
    <w:rsid w:val="7CD860CD"/>
    <w:rsid w:val="7CF7AFE8"/>
    <w:rsid w:val="7CF9B75D"/>
    <w:rsid w:val="7D040F22"/>
    <w:rsid w:val="7D1319EF"/>
    <w:rsid w:val="7D144BBC"/>
    <w:rsid w:val="7D2D5DAE"/>
    <w:rsid w:val="7D328714"/>
    <w:rsid w:val="7D35B2EC"/>
    <w:rsid w:val="7D3CC4B0"/>
    <w:rsid w:val="7D3DBB3B"/>
    <w:rsid w:val="7D51EFDB"/>
    <w:rsid w:val="7D53CD41"/>
    <w:rsid w:val="7D7D2EAC"/>
    <w:rsid w:val="7D8FFB9C"/>
    <w:rsid w:val="7DA42D1E"/>
    <w:rsid w:val="7DACFEED"/>
    <w:rsid w:val="7DADD298"/>
    <w:rsid w:val="7DB2976D"/>
    <w:rsid w:val="7DB816EF"/>
    <w:rsid w:val="7DBA1BBC"/>
    <w:rsid w:val="7DCD0E95"/>
    <w:rsid w:val="7DDFE2C8"/>
    <w:rsid w:val="7DF6313E"/>
    <w:rsid w:val="7DF82E0D"/>
    <w:rsid w:val="7DFA07BC"/>
    <w:rsid w:val="7E002B5B"/>
    <w:rsid w:val="7E05B7CD"/>
    <w:rsid w:val="7E329ED6"/>
    <w:rsid w:val="7E384272"/>
    <w:rsid w:val="7E3B4D81"/>
    <w:rsid w:val="7E3E0F01"/>
    <w:rsid w:val="7E76A979"/>
    <w:rsid w:val="7E832AAD"/>
    <w:rsid w:val="7EAE32DB"/>
    <w:rsid w:val="7EBDF5D1"/>
    <w:rsid w:val="7ECC1BF1"/>
    <w:rsid w:val="7EDA0291"/>
    <w:rsid w:val="7EFA23F3"/>
    <w:rsid w:val="7EFB02B3"/>
    <w:rsid w:val="7EFFB079"/>
    <w:rsid w:val="7F05EB5A"/>
    <w:rsid w:val="7F0B1277"/>
    <w:rsid w:val="7F3D0C6F"/>
    <w:rsid w:val="7F5D53C1"/>
    <w:rsid w:val="7F8996C5"/>
    <w:rsid w:val="7F940A3B"/>
    <w:rsid w:val="7FA3CE9A"/>
    <w:rsid w:val="7FAEF8C1"/>
    <w:rsid w:val="7FB7447B"/>
    <w:rsid w:val="7FBF49CA"/>
    <w:rsid w:val="7FF44297"/>
    <w:rsid w:val="7FF97C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160BF3"/>
  <w15:chartTrackingRefBased/>
  <w15:docId w15:val="{E86D13E7-2045-4A1D-9F61-B38D964E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076"/>
    <w:pPr>
      <w:spacing w:before="120" w:after="120" w:line="240" w:lineRule="auto"/>
    </w:pPr>
    <w:rPr>
      <w:rFonts w:ascii="Univers 45 Light" w:hAnsi="Univers 45 Light"/>
      <w:sz w:val="20"/>
    </w:rPr>
  </w:style>
  <w:style w:type="paragraph" w:styleId="Heading1">
    <w:name w:val="heading 1"/>
    <w:next w:val="BodyText"/>
    <w:link w:val="Heading1Char"/>
    <w:uiPriority w:val="9"/>
    <w:qFormat/>
    <w:rsid w:val="00874FB3"/>
    <w:pPr>
      <w:keepNext/>
      <w:keepLines/>
      <w:pageBreakBefore/>
      <w:numPr>
        <w:numId w:val="11"/>
      </w:numPr>
      <w:spacing w:before="240" w:after="240" w:line="240" w:lineRule="auto"/>
      <w:ind w:left="0" w:firstLine="0"/>
      <w:outlineLvl w:val="0"/>
    </w:pPr>
    <w:rPr>
      <w:rFonts w:ascii="KPMG Extralight" w:eastAsiaTheme="majorEastAsia" w:hAnsi="KPMG Extralight" w:cstheme="majorBidi"/>
      <w:color w:val="00338D"/>
      <w:sz w:val="96"/>
      <w:szCs w:val="56"/>
    </w:rPr>
  </w:style>
  <w:style w:type="paragraph" w:styleId="Heading2">
    <w:name w:val="heading 2"/>
    <w:basedOn w:val="Normal"/>
    <w:next w:val="Normal"/>
    <w:link w:val="Heading2Char"/>
    <w:uiPriority w:val="9"/>
    <w:unhideWhenUsed/>
    <w:qFormat/>
    <w:rsid w:val="00C11C70"/>
    <w:pPr>
      <w:keepNext/>
      <w:keepLines/>
      <w:numPr>
        <w:ilvl w:val="1"/>
        <w:numId w:val="11"/>
      </w:numPr>
      <w:spacing w:before="240" w:after="240"/>
      <w:outlineLvl w:val="1"/>
    </w:pPr>
    <w:rPr>
      <w:rFonts w:ascii="KPMG Extralight" w:eastAsiaTheme="majorEastAsia" w:hAnsi="KPMG Extralight" w:cstheme="majorBidi"/>
      <w:color w:val="00338D"/>
      <w:sz w:val="72"/>
      <w:szCs w:val="20"/>
    </w:rPr>
  </w:style>
  <w:style w:type="paragraph" w:styleId="Heading3">
    <w:name w:val="heading 3"/>
    <w:basedOn w:val="Normal"/>
    <w:next w:val="Normal"/>
    <w:link w:val="Heading3Char"/>
    <w:uiPriority w:val="9"/>
    <w:unhideWhenUsed/>
    <w:qFormat/>
    <w:rsid w:val="00CB0C5E"/>
    <w:pPr>
      <w:keepNext/>
      <w:keepLines/>
      <w:numPr>
        <w:ilvl w:val="2"/>
        <w:numId w:val="11"/>
      </w:numPr>
      <w:spacing w:before="240"/>
      <w:outlineLvl w:val="2"/>
    </w:pPr>
    <w:rPr>
      <w:rFonts w:eastAsiaTheme="majorEastAsia" w:cstheme="majorBidi"/>
      <w:color w:val="005EB8" w:themeColor="accent1"/>
      <w:sz w:val="32"/>
      <w:szCs w:val="24"/>
    </w:rPr>
  </w:style>
  <w:style w:type="paragraph" w:styleId="Heading4">
    <w:name w:val="heading 4"/>
    <w:basedOn w:val="Normal"/>
    <w:next w:val="Normal"/>
    <w:link w:val="Heading4Char"/>
    <w:uiPriority w:val="9"/>
    <w:unhideWhenUsed/>
    <w:qFormat/>
    <w:rsid w:val="00ED3129"/>
    <w:pPr>
      <w:keepNext/>
      <w:keepLines/>
      <w:numPr>
        <w:ilvl w:val="3"/>
        <w:numId w:val="11"/>
      </w:numPr>
      <w:spacing w:before="240"/>
      <w:outlineLvl w:val="3"/>
    </w:pPr>
    <w:rPr>
      <w:rFonts w:eastAsiaTheme="majorEastAsia" w:cstheme="majorBidi"/>
      <w:b/>
      <w:iCs/>
      <w:color w:val="00338D" w:themeColor="background2"/>
      <w:sz w:val="24"/>
      <w:lang w:eastAsia="en-AU"/>
    </w:rPr>
  </w:style>
  <w:style w:type="paragraph" w:styleId="Heading5">
    <w:name w:val="heading 5"/>
    <w:basedOn w:val="Normal"/>
    <w:next w:val="BodyText"/>
    <w:link w:val="Heading5Char"/>
    <w:uiPriority w:val="9"/>
    <w:unhideWhenUsed/>
    <w:qFormat/>
    <w:rsid w:val="00565651"/>
    <w:pPr>
      <w:keepNext/>
      <w:outlineLvl w:val="4"/>
    </w:pPr>
    <w:rPr>
      <w:b/>
      <w:color w:val="005EB8"/>
      <w:sz w:val="22"/>
    </w:rPr>
  </w:style>
  <w:style w:type="paragraph" w:styleId="Heading6">
    <w:name w:val="heading 6"/>
    <w:basedOn w:val="Normal"/>
    <w:next w:val="Normal"/>
    <w:link w:val="Heading6Char"/>
    <w:uiPriority w:val="9"/>
    <w:unhideWhenUsed/>
    <w:qFormat/>
    <w:rsid w:val="00534D8B"/>
    <w:pPr>
      <w:keepNext/>
      <w:numPr>
        <w:ilvl w:val="5"/>
        <w:numId w:val="11"/>
      </w:numPr>
      <w:outlineLvl w:val="5"/>
    </w:pPr>
    <w:rPr>
      <w:b/>
    </w:rPr>
  </w:style>
  <w:style w:type="paragraph" w:styleId="Heading7">
    <w:name w:val="heading 7"/>
    <w:basedOn w:val="Normal"/>
    <w:next w:val="Normal"/>
    <w:link w:val="Heading7Char"/>
    <w:uiPriority w:val="9"/>
    <w:unhideWhenUsed/>
    <w:qFormat/>
    <w:rsid w:val="00AE5C4A"/>
    <w:pPr>
      <w:keepNext/>
      <w:keepLines/>
      <w:numPr>
        <w:ilvl w:val="6"/>
        <w:numId w:val="11"/>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unhideWhenUsed/>
    <w:qFormat/>
    <w:rsid w:val="00AE5C4A"/>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E5C4A"/>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8pt">
    <w:name w:val="Cover title 1_108pt"/>
    <w:qFormat/>
    <w:rsid w:val="00823CC5"/>
    <w:pPr>
      <w:spacing w:after="0" w:line="240" w:lineRule="auto"/>
    </w:pPr>
    <w:rPr>
      <w:rFonts w:ascii="KPMG Extralight" w:hAnsi="KPMG Extralight"/>
      <w:noProof/>
      <w:color w:val="FFFFFF" w:themeColor="background1"/>
      <w:sz w:val="144"/>
      <w:lang w:eastAsia="en-AU"/>
    </w:rPr>
  </w:style>
  <w:style w:type="paragraph" w:customStyle="1" w:styleId="Covertitle216ptB">
    <w:name w:val="Cover title 2_16pt_B"/>
    <w:qFormat/>
    <w:rsid w:val="00CC5CF8"/>
    <w:pPr>
      <w:spacing w:after="0" w:line="240" w:lineRule="auto"/>
    </w:pPr>
    <w:rPr>
      <w:rFonts w:ascii="Univers 45 Light" w:hAnsi="Univers 45 Light"/>
      <w:b/>
      <w:color w:val="FFFFFF" w:themeColor="background1"/>
      <w:sz w:val="32"/>
    </w:rPr>
  </w:style>
  <w:style w:type="paragraph" w:customStyle="1" w:styleId="Covertitle316ptNB">
    <w:name w:val="Cover title 3_16pt_NB"/>
    <w:qFormat/>
    <w:rsid w:val="00CC5CF8"/>
    <w:pPr>
      <w:spacing w:after="0" w:line="240" w:lineRule="auto"/>
    </w:pPr>
    <w:rPr>
      <w:rFonts w:ascii="Univers 45 Light" w:hAnsi="Univers 45 Light"/>
      <w:color w:val="FFFFFF" w:themeColor="background1"/>
      <w:sz w:val="32"/>
    </w:rPr>
  </w:style>
  <w:style w:type="paragraph" w:customStyle="1" w:styleId="Covertitle412pt">
    <w:name w:val="Cover title 4_12pt"/>
    <w:qFormat/>
    <w:rsid w:val="00D6367B"/>
    <w:pPr>
      <w:spacing w:before="3000" w:after="120" w:line="240" w:lineRule="auto"/>
    </w:pPr>
    <w:rPr>
      <w:rFonts w:ascii="Univers 45 Light" w:hAnsi="Univers 45 Light"/>
      <w:color w:val="FFFFFF" w:themeColor="background1"/>
      <w:sz w:val="24"/>
    </w:rPr>
  </w:style>
  <w:style w:type="table" w:styleId="TableGrid">
    <w:name w:val="Table Grid"/>
    <w:basedOn w:val="TableNormal"/>
    <w:uiPriority w:val="3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1F047E"/>
    <w:pPr>
      <w:spacing w:before="40" w:after="40"/>
    </w:pPr>
    <w:rPr>
      <w:rFonts w:eastAsia="Univers 45 Light" w:cs="Calibri"/>
      <w:b/>
      <w:bCs/>
      <w:color w:val="FFFFFF" w:themeColor="background1"/>
      <w:szCs w:val="20"/>
    </w:rPr>
  </w:style>
  <w:style w:type="paragraph" w:customStyle="1" w:styleId="Tabletext">
    <w:name w:val="Table text"/>
    <w:qFormat/>
    <w:rsid w:val="00C11C70"/>
    <w:pPr>
      <w:spacing w:before="40" w:after="40" w:line="240" w:lineRule="auto"/>
    </w:pPr>
    <w:rPr>
      <w:rFonts w:ascii="Univers 45 Light" w:hAnsi="Univers 45 Light"/>
      <w:sz w:val="20"/>
    </w:rPr>
  </w:style>
  <w:style w:type="character" w:customStyle="1" w:styleId="Heading1Char">
    <w:name w:val="Heading 1 Char"/>
    <w:basedOn w:val="DefaultParagraphFont"/>
    <w:link w:val="Heading1"/>
    <w:uiPriority w:val="9"/>
    <w:rsid w:val="00E542A7"/>
    <w:rPr>
      <w:rFonts w:ascii="KPMG Extralight" w:eastAsiaTheme="majorEastAsia" w:hAnsi="KPMG Extralight" w:cstheme="majorBidi"/>
      <w:color w:val="00338D"/>
      <w:sz w:val="96"/>
      <w:szCs w:val="56"/>
    </w:rPr>
  </w:style>
  <w:style w:type="paragraph" w:styleId="Caption">
    <w:name w:val="caption"/>
    <w:basedOn w:val="Normal"/>
    <w:next w:val="Normal"/>
    <w:uiPriority w:val="35"/>
    <w:unhideWhenUsed/>
    <w:qFormat/>
    <w:rsid w:val="001F047E"/>
    <w:pPr>
      <w:keepNext/>
    </w:pPr>
    <w:rPr>
      <w:i/>
      <w:iCs/>
      <w:color w:val="44546A" w:themeColor="text2"/>
      <w:sz w:val="18"/>
      <w:szCs w:val="18"/>
    </w:rPr>
  </w:style>
  <w:style w:type="paragraph" w:styleId="BodyText">
    <w:name w:val="Body Text"/>
    <w:basedOn w:val="Normal"/>
    <w:link w:val="BodyTextChar"/>
    <w:uiPriority w:val="99"/>
    <w:unhideWhenUsed/>
    <w:qFormat/>
    <w:rsid w:val="00287CE1"/>
  </w:style>
  <w:style w:type="character" w:customStyle="1" w:styleId="BodyTextChar">
    <w:name w:val="Body Text Char"/>
    <w:basedOn w:val="DefaultParagraphFont"/>
    <w:link w:val="BodyText"/>
    <w:uiPriority w:val="99"/>
    <w:rsid w:val="00287CE1"/>
  </w:style>
  <w:style w:type="character" w:customStyle="1" w:styleId="Heading2Char">
    <w:name w:val="Heading 2 Char"/>
    <w:basedOn w:val="DefaultParagraphFont"/>
    <w:link w:val="Heading2"/>
    <w:uiPriority w:val="9"/>
    <w:rsid w:val="00C11C70"/>
    <w:rPr>
      <w:rFonts w:ascii="KPMG Extralight" w:eastAsiaTheme="majorEastAsia" w:hAnsi="KPMG Extralight" w:cstheme="majorBidi"/>
      <w:color w:val="00338D"/>
      <w:sz w:val="72"/>
      <w:szCs w:val="20"/>
    </w:rPr>
  </w:style>
  <w:style w:type="paragraph" w:styleId="TOC1">
    <w:name w:val="toc 1"/>
    <w:basedOn w:val="Normal"/>
    <w:next w:val="Normal"/>
    <w:autoRedefine/>
    <w:uiPriority w:val="39"/>
    <w:unhideWhenUsed/>
    <w:rsid w:val="007A1ED5"/>
    <w:pPr>
      <w:tabs>
        <w:tab w:val="left" w:pos="567"/>
        <w:tab w:val="right" w:leader="dot" w:pos="8505"/>
      </w:tabs>
      <w:ind w:left="567" w:right="567" w:hanging="425"/>
    </w:pPr>
    <w:rPr>
      <w:rFonts w:eastAsiaTheme="majorEastAsia"/>
      <w:noProof/>
      <w:sz w:val="22"/>
    </w:rPr>
  </w:style>
  <w:style w:type="character" w:customStyle="1" w:styleId="Heading3Char">
    <w:name w:val="Heading 3 Char"/>
    <w:basedOn w:val="DefaultParagraphFont"/>
    <w:link w:val="Heading3"/>
    <w:uiPriority w:val="9"/>
    <w:rsid w:val="00CB0C5E"/>
    <w:rPr>
      <w:rFonts w:ascii="Univers 45 Light" w:eastAsiaTheme="majorEastAsia" w:hAnsi="Univers 45 Light" w:cstheme="majorBidi"/>
      <w:color w:val="005EB8" w:themeColor="accent1"/>
      <w:sz w:val="32"/>
      <w:szCs w:val="24"/>
    </w:rPr>
  </w:style>
  <w:style w:type="character" w:styleId="Hyperlink">
    <w:name w:val="Hyperlink"/>
    <w:basedOn w:val="DefaultParagraphFont"/>
    <w:uiPriority w:val="99"/>
    <w:unhideWhenUsed/>
    <w:rsid w:val="000D3A24"/>
    <w:rPr>
      <w:color w:val="auto"/>
      <w:u w:val="single"/>
    </w:rPr>
  </w:style>
  <w:style w:type="paragraph" w:styleId="Header">
    <w:name w:val="header"/>
    <w:basedOn w:val="Normal"/>
    <w:link w:val="HeaderChar"/>
    <w:uiPriority w:val="99"/>
    <w:unhideWhenUsed/>
    <w:rsid w:val="00C74C71"/>
    <w:pPr>
      <w:tabs>
        <w:tab w:val="center" w:pos="4513"/>
        <w:tab w:val="right" w:pos="9026"/>
      </w:tabs>
      <w:spacing w:before="0" w:after="0"/>
      <w:jc w:val="right"/>
    </w:pPr>
    <w:rPr>
      <w:i/>
      <w:sz w:val="16"/>
    </w:rPr>
  </w:style>
  <w:style w:type="character" w:customStyle="1" w:styleId="HeaderChar">
    <w:name w:val="Header Char"/>
    <w:basedOn w:val="DefaultParagraphFont"/>
    <w:link w:val="Header"/>
    <w:uiPriority w:val="99"/>
    <w:rsid w:val="00C74C71"/>
    <w:rPr>
      <w:rFonts w:ascii="Univers 45 Light" w:hAnsi="Univers 45 Light"/>
      <w:i/>
      <w:sz w:val="16"/>
    </w:rPr>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character" w:customStyle="1" w:styleId="Heading4Char">
    <w:name w:val="Heading 4 Char"/>
    <w:basedOn w:val="DefaultParagraphFont"/>
    <w:link w:val="Heading4"/>
    <w:uiPriority w:val="9"/>
    <w:rsid w:val="00ED3129"/>
    <w:rPr>
      <w:rFonts w:ascii="Univers 45 Light" w:eastAsiaTheme="majorEastAsia" w:hAnsi="Univers 45 Light" w:cstheme="majorBidi"/>
      <w:b/>
      <w:iCs/>
      <w:color w:val="00338D" w:themeColor="background2"/>
      <w:sz w:val="24"/>
      <w:lang w:eastAsia="en-AU"/>
    </w:rPr>
  </w:style>
  <w:style w:type="character" w:customStyle="1" w:styleId="Heading5Char">
    <w:name w:val="Heading 5 Char"/>
    <w:basedOn w:val="DefaultParagraphFont"/>
    <w:link w:val="Heading5"/>
    <w:uiPriority w:val="9"/>
    <w:rsid w:val="00565651"/>
    <w:rPr>
      <w:rFonts w:ascii="Univers 45 Light" w:hAnsi="Univers 45 Light"/>
      <w:b/>
      <w:color w:val="005EB8"/>
    </w:rPr>
  </w:style>
  <w:style w:type="character" w:customStyle="1" w:styleId="Heading6Char">
    <w:name w:val="Heading 6 Char"/>
    <w:basedOn w:val="DefaultParagraphFont"/>
    <w:link w:val="Heading6"/>
    <w:uiPriority w:val="9"/>
    <w:rsid w:val="00534D8B"/>
    <w:rPr>
      <w:rFonts w:ascii="Univers 45 Light" w:hAnsi="Univers 45 Light"/>
      <w:b/>
      <w:sz w:val="20"/>
    </w:rPr>
  </w:style>
  <w:style w:type="paragraph" w:customStyle="1" w:styleId="Bullet1stlevel">
    <w:name w:val="Bullet 1st level"/>
    <w:basedOn w:val="ListBullet"/>
    <w:link w:val="Bullet1stlevelChar"/>
    <w:qFormat/>
    <w:rsid w:val="00025E4A"/>
    <w:pPr>
      <w:numPr>
        <w:numId w:val="6"/>
      </w:numPr>
      <w:tabs>
        <w:tab w:val="left" w:pos="357"/>
      </w:tabs>
      <w:ind w:left="357" w:hanging="357"/>
      <w:contextualSpacing w:val="0"/>
    </w:pPr>
    <w:rPr>
      <w:rFonts w:ascii="Univers 45 Light" w:hAnsi="Univers 45 Light"/>
    </w:rPr>
  </w:style>
  <w:style w:type="paragraph" w:customStyle="1" w:styleId="Bullet2ndlevel">
    <w:name w:val="Bullet 2nd level"/>
    <w:basedOn w:val="ListBullet2"/>
    <w:qFormat/>
    <w:rsid w:val="000C6380"/>
    <w:pPr>
      <w:numPr>
        <w:numId w:val="16"/>
      </w:numPr>
      <w:tabs>
        <w:tab w:val="left" w:pos="714"/>
      </w:tabs>
      <w:ind w:left="714" w:hanging="357"/>
      <w:contextualSpacing w:val="0"/>
    </w:pPr>
    <w:rPr>
      <w:rFonts w:ascii="Univers 45 Light" w:hAnsi="Univers 45 Light"/>
    </w:rPr>
  </w:style>
  <w:style w:type="paragraph" w:customStyle="1" w:styleId="Bullet3rdlevel">
    <w:name w:val="Bullet 3rd level"/>
    <w:basedOn w:val="ListBullet3"/>
    <w:qFormat/>
    <w:rsid w:val="002405E6"/>
    <w:pPr>
      <w:numPr>
        <w:numId w:val="7"/>
      </w:numPr>
      <w:tabs>
        <w:tab w:val="clear" w:pos="1072"/>
      </w:tabs>
      <w:contextualSpacing w:val="0"/>
    </w:pPr>
    <w:rPr>
      <w:rFonts w:ascii="Univers 45 Light" w:hAnsi="Univers 45 Light"/>
    </w:rPr>
  </w:style>
  <w:style w:type="paragraph" w:customStyle="1" w:styleId="Contactus">
    <w:name w:val="Contact us"/>
    <w:basedOn w:val="Normal"/>
    <w:qFormat/>
    <w:rsid w:val="004D3D16"/>
    <w:pPr>
      <w:ind w:left="426"/>
    </w:pPr>
    <w:rPr>
      <w:b/>
      <w:color w:val="FFFFFF" w:themeColor="background1"/>
      <w:sz w:val="24"/>
    </w:rPr>
  </w:style>
  <w:style w:type="paragraph" w:customStyle="1" w:styleId="backcoverdetails">
    <w:name w:val="back cover details"/>
    <w:basedOn w:val="Normal"/>
    <w:qFormat/>
    <w:rsid w:val="004D3D16"/>
    <w:pPr>
      <w:spacing w:before="40" w:after="40"/>
      <w:ind w:left="425"/>
    </w:pPr>
    <w:rPr>
      <w:color w:val="FFFFFF" w:themeColor="background1"/>
    </w:rPr>
  </w:style>
  <w:style w:type="paragraph" w:customStyle="1" w:styleId="Default">
    <w:name w:val="Default"/>
    <w:rsid w:val="00413248"/>
    <w:pPr>
      <w:autoSpaceDE w:val="0"/>
      <w:autoSpaceDN w:val="0"/>
      <w:adjustRightInd w:val="0"/>
      <w:spacing w:after="0" w:line="240" w:lineRule="auto"/>
    </w:pPr>
    <w:rPr>
      <w:rFonts w:ascii="Cambria Math" w:eastAsia="KPMG Light" w:hAnsi="Cambria Math" w:cs="Cambria Math"/>
      <w:color w:val="000000"/>
      <w:sz w:val="24"/>
      <w:szCs w:val="24"/>
    </w:rPr>
  </w:style>
  <w:style w:type="character" w:customStyle="1" w:styleId="Heading7Char">
    <w:name w:val="Heading 7 Char"/>
    <w:basedOn w:val="DefaultParagraphFont"/>
    <w:link w:val="Heading7"/>
    <w:uiPriority w:val="9"/>
    <w:rsid w:val="00AE5C4A"/>
    <w:rPr>
      <w:rFonts w:asciiTheme="majorHAnsi" w:eastAsiaTheme="majorEastAsia" w:hAnsiTheme="majorHAnsi" w:cstheme="majorBidi"/>
      <w:i/>
      <w:iCs/>
      <w:color w:val="002E5B" w:themeColor="accent1" w:themeShade="7F"/>
      <w:sz w:val="20"/>
    </w:rPr>
  </w:style>
  <w:style w:type="character" w:customStyle="1" w:styleId="Heading9Char">
    <w:name w:val="Heading 9 Char"/>
    <w:basedOn w:val="DefaultParagraphFont"/>
    <w:link w:val="Heading9"/>
    <w:uiPriority w:val="9"/>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unhideWhenUsed/>
    <w:rsid w:val="00AE5C4A"/>
    <w:rPr>
      <w:szCs w:val="20"/>
    </w:rPr>
  </w:style>
  <w:style w:type="character" w:customStyle="1" w:styleId="CommentTextChar">
    <w:name w:val="Comment Text Char"/>
    <w:basedOn w:val="DefaultParagraphFont"/>
    <w:link w:val="CommentText"/>
    <w:uiPriority w:val="99"/>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AE5C4A"/>
    <w:pPr>
      <w:spacing w:after="0"/>
    </w:pPr>
    <w:rPr>
      <w:rFonts w:cs="Yu Mincho Light"/>
      <w:sz w:val="18"/>
      <w:szCs w:val="18"/>
    </w:rPr>
  </w:style>
  <w:style w:type="character" w:customStyle="1" w:styleId="BalloonTextChar">
    <w:name w:val="Balloon Text Char"/>
    <w:basedOn w:val="DefaultParagraphFont"/>
    <w:link w:val="BalloonText"/>
    <w:uiPriority w:val="99"/>
    <w:semiHidden/>
    <w:rsid w:val="00AE5C4A"/>
    <w:rPr>
      <w:rFonts w:ascii="Wingdings" w:hAnsi="Wingdings" w:cs="Yu Mincho Light"/>
      <w:sz w:val="18"/>
      <w:szCs w:val="18"/>
    </w:rPr>
  </w:style>
  <w:style w:type="paragraph" w:customStyle="1" w:styleId="HeadingLevel1NoNumber">
    <w:name w:val="HeadingLevel1NoNumber"/>
    <w:basedOn w:val="Heading1"/>
    <w:next w:val="BodyText"/>
    <w:qFormat/>
    <w:rsid w:val="008A4F12"/>
    <w:pPr>
      <w:numPr>
        <w:numId w:val="0"/>
      </w:numPr>
    </w:pPr>
  </w:style>
  <w:style w:type="paragraph" w:customStyle="1" w:styleId="HeadingLevel2NoNumber">
    <w:name w:val="HeadingLevel2NoNumber"/>
    <w:basedOn w:val="Heading2"/>
    <w:next w:val="BodyText"/>
    <w:qFormat/>
    <w:rsid w:val="00B67DE1"/>
    <w:pPr>
      <w:numPr>
        <w:ilvl w:val="0"/>
        <w:numId w:val="0"/>
      </w:numPr>
    </w:pPr>
  </w:style>
  <w:style w:type="paragraph" w:customStyle="1" w:styleId="HeadingLevel3NoNumber">
    <w:name w:val="HeadingLevel3NoNumber"/>
    <w:basedOn w:val="Heading3"/>
    <w:next w:val="BodyText"/>
    <w:qFormat/>
    <w:rsid w:val="00CC5CF8"/>
    <w:pPr>
      <w:numPr>
        <w:ilvl w:val="0"/>
        <w:numId w:val="0"/>
      </w:numPr>
    </w:pPr>
  </w:style>
  <w:style w:type="paragraph" w:customStyle="1" w:styleId="HeadingLevel4NoNumber">
    <w:name w:val="HeadingLevel4NoNumber"/>
    <w:basedOn w:val="Heading4"/>
    <w:next w:val="BodyText"/>
    <w:autoRedefine/>
    <w:qFormat/>
    <w:rsid w:val="005F52ED"/>
    <w:pPr>
      <w:numPr>
        <w:ilvl w:val="0"/>
        <w:numId w:val="0"/>
      </w:numPr>
    </w:pPr>
  </w:style>
  <w:style w:type="paragraph" w:styleId="ListBullet">
    <w:name w:val="List Bullet"/>
    <w:basedOn w:val="Normal"/>
    <w:uiPriority w:val="99"/>
    <w:unhideWhenUsed/>
    <w:rsid w:val="00E63445"/>
    <w:pPr>
      <w:numPr>
        <w:numId w:val="1"/>
      </w:numPr>
      <w:tabs>
        <w:tab w:val="clear" w:pos="340"/>
        <w:tab w:val="left" w:pos="357"/>
      </w:tabs>
      <w:contextualSpacing/>
    </w:pPr>
    <w:rPr>
      <w:rFonts w:ascii="Segoe UI" w:hAnsi="Segoe UI"/>
    </w:rPr>
  </w:style>
  <w:style w:type="paragraph" w:styleId="ListBullet2">
    <w:name w:val="List Bullet 2"/>
    <w:basedOn w:val="Normal"/>
    <w:uiPriority w:val="99"/>
    <w:unhideWhenUsed/>
    <w:rsid w:val="00951EA0"/>
    <w:pPr>
      <w:numPr>
        <w:numId w:val="2"/>
      </w:numPr>
      <w:contextualSpacing/>
    </w:pPr>
    <w:rPr>
      <w:rFonts w:ascii="Segoe UI" w:hAnsi="Segoe UI"/>
    </w:rPr>
  </w:style>
  <w:style w:type="paragraph" w:styleId="ListBullet3">
    <w:name w:val="List Bullet 3"/>
    <w:basedOn w:val="Normal"/>
    <w:uiPriority w:val="99"/>
    <w:unhideWhenUsed/>
    <w:rsid w:val="001F047E"/>
    <w:pPr>
      <w:numPr>
        <w:numId w:val="3"/>
      </w:numPr>
      <w:tabs>
        <w:tab w:val="num" w:pos="1072"/>
      </w:tabs>
      <w:contextualSpacing/>
    </w:pPr>
    <w:rPr>
      <w:rFonts w:ascii="Segoe UI" w:hAnsi="Segoe UI"/>
    </w:rPr>
  </w:style>
  <w:style w:type="paragraph" w:customStyle="1" w:styleId="TableBullet1">
    <w:name w:val="TableBullet1"/>
    <w:basedOn w:val="Bullet1stlevel"/>
    <w:qFormat/>
    <w:rsid w:val="00C91B77"/>
    <w:pPr>
      <w:ind w:left="720" w:hanging="360"/>
    </w:pPr>
    <w:rPr>
      <w:szCs w:val="20"/>
    </w:rPr>
  </w:style>
  <w:style w:type="paragraph" w:customStyle="1" w:styleId="Tablebullet2">
    <w:name w:val="Tablebullet2"/>
    <w:basedOn w:val="ListBullet2"/>
    <w:qFormat/>
    <w:rsid w:val="00107B4C"/>
    <w:pPr>
      <w:spacing w:before="40" w:after="40"/>
    </w:pPr>
    <w:rPr>
      <w:rFonts w:ascii="Univers 45 Light" w:hAnsi="Univers 45 Light"/>
    </w:rPr>
  </w:style>
  <w:style w:type="paragraph" w:customStyle="1" w:styleId="Appendixheading">
    <w:name w:val="Appendix heading"/>
    <w:next w:val="BodyText0"/>
    <w:uiPriority w:val="2"/>
    <w:qFormat/>
    <w:rsid w:val="00836875"/>
    <w:pPr>
      <w:keepNext/>
      <w:keepLines/>
      <w:pageBreakBefore/>
      <w:numPr>
        <w:numId w:val="4"/>
      </w:numPr>
      <w:spacing w:before="240" w:after="240" w:line="240" w:lineRule="auto"/>
      <w:ind w:left="0"/>
      <w:outlineLvl w:val="0"/>
    </w:pPr>
    <w:rPr>
      <w:rFonts w:ascii="KPMG Extralight" w:eastAsia="Yu Mincho Light" w:hAnsi="KPMG Extralight" w:cs="Yu Mincho Light"/>
      <w:color w:val="00338D"/>
      <w:sz w:val="96"/>
      <w:szCs w:val="18"/>
    </w:rPr>
  </w:style>
  <w:style w:type="paragraph" w:customStyle="1" w:styleId="AppendixHeading2">
    <w:name w:val="Appendix Heading 2"/>
    <w:basedOn w:val="Heading2"/>
    <w:next w:val="BodyText"/>
    <w:rsid w:val="00350B4D"/>
    <w:pPr>
      <w:numPr>
        <w:numId w:val="4"/>
      </w:numPr>
      <w:tabs>
        <w:tab w:val="left" w:pos="964"/>
      </w:tabs>
      <w:spacing w:after="120"/>
    </w:pPr>
    <w:rPr>
      <w:rFonts w:ascii="Univers 45 Light" w:eastAsia="Yu Mincho Light" w:hAnsi="Univers 45 Light" w:cs="Yu Mincho Light"/>
      <w:sz w:val="32"/>
    </w:rPr>
  </w:style>
  <w:style w:type="paragraph" w:customStyle="1" w:styleId="AppendixHeading3">
    <w:name w:val="Appendix Heading 3"/>
    <w:basedOn w:val="Heading3"/>
    <w:next w:val="BodyText"/>
    <w:rsid w:val="00181551"/>
    <w:pPr>
      <w:keepLines w:val="0"/>
      <w:numPr>
        <w:numId w:val="4"/>
      </w:numPr>
      <w:tabs>
        <w:tab w:val="left" w:pos="357"/>
      </w:tabs>
      <w:jc w:val="both"/>
    </w:pPr>
    <w:rPr>
      <w:rFonts w:eastAsia="Times New Roman" w:cs="Times New Roman"/>
      <w:b/>
      <w:color w:val="00338D"/>
      <w:sz w:val="24"/>
      <w:szCs w:val="20"/>
    </w:rPr>
  </w:style>
  <w:style w:type="paragraph" w:customStyle="1" w:styleId="AppendixHeading4">
    <w:name w:val="Appendix Heading 4"/>
    <w:basedOn w:val="Heading4"/>
    <w:next w:val="BodyText"/>
    <w:rsid w:val="00181551"/>
    <w:pPr>
      <w:keepLines w:val="0"/>
      <w:numPr>
        <w:ilvl w:val="0"/>
        <w:numId w:val="0"/>
      </w:numPr>
      <w:tabs>
        <w:tab w:val="left" w:pos="964"/>
      </w:tabs>
      <w:jc w:val="both"/>
    </w:pPr>
    <w:rPr>
      <w:rFonts w:eastAsia="Times New Roman" w:cs="Times New Roman"/>
      <w:iCs w:val="0"/>
      <w:color w:val="00338D"/>
      <w:sz w:val="22"/>
      <w:szCs w:val="20"/>
    </w:rPr>
  </w:style>
  <w:style w:type="paragraph" w:styleId="TOC2">
    <w:name w:val="toc 2"/>
    <w:basedOn w:val="Normal"/>
    <w:next w:val="Normal"/>
    <w:autoRedefine/>
    <w:uiPriority w:val="39"/>
    <w:unhideWhenUsed/>
    <w:rsid w:val="00083FAE"/>
    <w:pPr>
      <w:tabs>
        <w:tab w:val="left" w:pos="993"/>
        <w:tab w:val="right" w:leader="dot" w:pos="8505"/>
      </w:tabs>
      <w:spacing w:after="100"/>
      <w:ind w:left="992" w:right="851" w:hanging="425"/>
    </w:pPr>
    <w:rPr>
      <w:noProof/>
    </w:rPr>
  </w:style>
  <w:style w:type="paragraph" w:customStyle="1" w:styleId="BodyText0">
    <w:name w:val="BodyText"/>
    <w:basedOn w:val="Normal"/>
    <w:link w:val="BodyTextChar0"/>
    <w:rsid w:val="00860A83"/>
    <w:pPr>
      <w:spacing w:before="0" w:after="130"/>
    </w:pPr>
    <w:rPr>
      <w:rFonts w:eastAsia="Times New Roman" w:cs="Times New Roman"/>
      <w:sz w:val="22"/>
      <w:szCs w:val="20"/>
    </w:rPr>
  </w:style>
  <w:style w:type="character" w:customStyle="1" w:styleId="BodyTextChar0">
    <w:name w:val="BodyText Char"/>
    <w:basedOn w:val="DefaultParagraphFont"/>
    <w:link w:val="BodyText0"/>
    <w:rsid w:val="00860A83"/>
    <w:rPr>
      <w:rFonts w:ascii="Univers 45 Light" w:eastAsia="Times New Roman" w:hAnsi="Univers 45 Light" w:cs="Times New Roman"/>
      <w:szCs w:val="20"/>
    </w:rPr>
  </w:style>
  <w:style w:type="paragraph" w:styleId="ListParagraph">
    <w:name w:val="List Paragraph"/>
    <w:aliases w:val="List Paragraph1,Recommendation,Use Case List Paragraph,List Paragraph - bullets,standard lewis,Numbered Para 1,Dot pt,No Spacing1,List Paragraph Char Char Char,Indicator Text,Bullet Points,Bullet (1st level),First level bullet point,B1,L"/>
    <w:basedOn w:val="Normal"/>
    <w:link w:val="ListParagraphChar"/>
    <w:uiPriority w:val="34"/>
    <w:qFormat/>
    <w:rsid w:val="00437400"/>
    <w:pPr>
      <w:spacing w:before="0" w:after="0"/>
      <w:ind w:left="720"/>
      <w:contextualSpacing/>
    </w:pPr>
    <w:rPr>
      <w:rFonts w:cs="Yu Mincho Light"/>
      <w:sz w:val="22"/>
    </w:rPr>
  </w:style>
  <w:style w:type="character" w:styleId="UnresolvedMention">
    <w:name w:val="Unresolved Mention"/>
    <w:basedOn w:val="DefaultParagraphFont"/>
    <w:uiPriority w:val="99"/>
    <w:unhideWhenUsed/>
    <w:rsid w:val="002142D0"/>
    <w:rPr>
      <w:color w:val="605E5C"/>
      <w:shd w:val="clear" w:color="auto" w:fill="E1DFDD"/>
    </w:rPr>
  </w:style>
  <w:style w:type="character" w:styleId="Mention">
    <w:name w:val="Mention"/>
    <w:basedOn w:val="DefaultParagraphFont"/>
    <w:uiPriority w:val="99"/>
    <w:unhideWhenUsed/>
    <w:rsid w:val="002142D0"/>
    <w:rPr>
      <w:color w:val="2B579A"/>
      <w:shd w:val="clear" w:color="auto" w:fill="E1DFDD"/>
    </w:rPr>
  </w:style>
  <w:style w:type="paragraph" w:styleId="FootnoteText">
    <w:name w:val="footnote text"/>
    <w:basedOn w:val="Normal"/>
    <w:link w:val="FootnoteTextChar"/>
    <w:uiPriority w:val="99"/>
    <w:unhideWhenUsed/>
    <w:rsid w:val="00866751"/>
    <w:pPr>
      <w:spacing w:before="0" w:after="0"/>
    </w:pPr>
    <w:rPr>
      <w:sz w:val="16"/>
      <w:szCs w:val="20"/>
    </w:rPr>
  </w:style>
  <w:style w:type="character" w:customStyle="1" w:styleId="FootnoteTextChar">
    <w:name w:val="Footnote Text Char"/>
    <w:basedOn w:val="DefaultParagraphFont"/>
    <w:link w:val="FootnoteText"/>
    <w:uiPriority w:val="99"/>
    <w:rsid w:val="00D21264"/>
    <w:rPr>
      <w:rFonts w:ascii="Univers 45 Light" w:hAnsi="Univers 45 Light"/>
      <w:sz w:val="16"/>
      <w:szCs w:val="20"/>
    </w:rPr>
  </w:style>
  <w:style w:type="character" w:styleId="FootnoteReference">
    <w:name w:val="footnote reference"/>
    <w:basedOn w:val="DefaultParagraphFont"/>
    <w:uiPriority w:val="99"/>
    <w:unhideWhenUsed/>
    <w:rsid w:val="00D21264"/>
    <w:rPr>
      <w:vertAlign w:val="superscript"/>
    </w:rPr>
  </w:style>
  <w:style w:type="character" w:styleId="FollowedHyperlink">
    <w:name w:val="FollowedHyperlink"/>
    <w:basedOn w:val="DefaultParagraphFont"/>
    <w:uiPriority w:val="99"/>
    <w:semiHidden/>
    <w:unhideWhenUsed/>
    <w:rsid w:val="00B3746B"/>
    <w:rPr>
      <w:color w:val="6D2077" w:themeColor="followedHyperlink"/>
      <w:u w:val="single"/>
    </w:rPr>
  </w:style>
  <w:style w:type="paragraph" w:styleId="NormalWeb">
    <w:name w:val="Normal (Web)"/>
    <w:basedOn w:val="Normal"/>
    <w:uiPriority w:val="99"/>
    <w:unhideWhenUsed/>
    <w:rsid w:val="00237A06"/>
    <w:pPr>
      <w:spacing w:before="100" w:beforeAutospacing="1" w:after="100" w:afterAutospacing="1"/>
    </w:pPr>
    <w:rPr>
      <w:rFonts w:eastAsia="Yu Mincho Light" w:cs="Yu Mincho Light"/>
      <w:sz w:val="24"/>
      <w:szCs w:val="24"/>
      <w:lang w:eastAsia="en-AU"/>
    </w:rPr>
  </w:style>
  <w:style w:type="paragraph" w:customStyle="1" w:styleId="BodyText1">
    <w:name w:val="Body Text1"/>
    <w:link w:val="BodytextChar1"/>
    <w:qFormat/>
    <w:rsid w:val="00827962"/>
    <w:pPr>
      <w:spacing w:before="120" w:after="120" w:line="240" w:lineRule="auto"/>
    </w:pPr>
    <w:rPr>
      <w:rFonts w:ascii="Univers 45 Light" w:eastAsia="Segoe UI" w:hAnsi="Univers 45 Light" w:cs="KPMG Light"/>
      <w:sz w:val="20"/>
    </w:rPr>
  </w:style>
  <w:style w:type="character" w:customStyle="1" w:styleId="BodytextChar1">
    <w:name w:val="Body text Char"/>
    <w:aliases w:val="Table text Char,b Char,block Char,bt Char,body Char,body text Char,Body Char,t1 Char,taten_body Char,Body Text 1 Char,NoticeText-List Char,body text Char Char Char,body text Char Char Char Char Char Char,Body Text x Char"/>
    <w:basedOn w:val="DefaultParagraphFont"/>
    <w:link w:val="BodyText1"/>
    <w:rsid w:val="00153AE9"/>
    <w:rPr>
      <w:rFonts w:ascii="Univers 45 Light" w:eastAsia="Segoe UI" w:hAnsi="Univers 45 Light" w:cs="KPMG Light"/>
      <w:sz w:val="20"/>
    </w:rPr>
  </w:style>
  <w:style w:type="character" w:customStyle="1" w:styleId="BodyTextChar2">
    <w:name w:val="_Body Text Char"/>
    <w:basedOn w:val="DefaultParagraphFont"/>
    <w:link w:val="BodyText2"/>
    <w:locked/>
    <w:rsid w:val="00A26A9B"/>
    <w:rPr>
      <w:rFonts w:ascii="Univers 45 Light" w:eastAsia="SimSun" w:hAnsi="Univers 45 Light"/>
      <w:color w:val="000000" w:themeColor="text1"/>
      <w:sz w:val="20"/>
      <w:szCs w:val="20"/>
    </w:rPr>
  </w:style>
  <w:style w:type="paragraph" w:customStyle="1" w:styleId="BodyText2">
    <w:name w:val="_Body Text"/>
    <w:basedOn w:val="Normal"/>
    <w:link w:val="BodyTextChar2"/>
    <w:qFormat/>
    <w:rsid w:val="00A26A9B"/>
    <w:pPr>
      <w:jc w:val="both"/>
    </w:pPr>
    <w:rPr>
      <w:rFonts w:eastAsia="SimSun"/>
      <w:color w:val="000000" w:themeColor="text1"/>
      <w:szCs w:val="20"/>
    </w:rPr>
  </w:style>
  <w:style w:type="character" w:customStyle="1" w:styleId="Bullet1stlevelChar">
    <w:name w:val="Bullet 1st level Char"/>
    <w:basedOn w:val="DefaultParagraphFont"/>
    <w:link w:val="Bullet1stlevel"/>
    <w:locked/>
    <w:rsid w:val="004F0FF4"/>
    <w:rPr>
      <w:rFonts w:ascii="Univers 45 Light" w:hAnsi="Univers 45 Light"/>
      <w:sz w:val="20"/>
    </w:rPr>
  </w:style>
  <w:style w:type="paragraph" w:customStyle="1" w:styleId="HeadlingLevel5NoNumber">
    <w:name w:val="HeadlingLevel5NoNumber"/>
    <w:basedOn w:val="HeadingLevel4NoNumber"/>
    <w:next w:val="BodyText0"/>
    <w:qFormat/>
    <w:rsid w:val="00215F26"/>
    <w:pPr>
      <w:numPr>
        <w:ilvl w:val="4"/>
        <w:numId w:val="11"/>
      </w:numPr>
      <w:outlineLvl w:val="4"/>
    </w:pPr>
    <w:rPr>
      <w:b w:val="0"/>
      <w:bCs/>
      <w:i/>
      <w:iCs w:val="0"/>
    </w:rPr>
  </w:style>
  <w:style w:type="character" w:styleId="PlaceholderText">
    <w:name w:val="Placeholder Text"/>
    <w:basedOn w:val="DefaultParagraphFont"/>
    <w:uiPriority w:val="99"/>
    <w:semiHidden/>
    <w:rsid w:val="007C5D34"/>
    <w:rPr>
      <w:color w:val="808080"/>
    </w:rPr>
  </w:style>
  <w:style w:type="paragraph" w:customStyle="1" w:styleId="Bodytextkeepwithnext">
    <w:name w:val="Bodytextkeepwithnext"/>
    <w:basedOn w:val="BodyText1"/>
    <w:uiPriority w:val="99"/>
    <w:rsid w:val="00E23979"/>
    <w:pPr>
      <w:keepNext/>
    </w:pPr>
    <w:rPr>
      <w:rFonts w:eastAsiaTheme="minorHAnsi" w:cstheme="minorBidi"/>
      <w:noProof/>
      <w:lang w:eastAsia="en-AU"/>
    </w:rPr>
  </w:style>
  <w:style w:type="paragraph" w:styleId="TableofFigures">
    <w:name w:val="table of figures"/>
    <w:basedOn w:val="Normal"/>
    <w:next w:val="Normal"/>
    <w:uiPriority w:val="99"/>
    <w:unhideWhenUsed/>
    <w:rsid w:val="00163147"/>
    <w:pPr>
      <w:spacing w:after="0"/>
      <w:ind w:right="567"/>
    </w:pPr>
  </w:style>
  <w:style w:type="paragraph" w:customStyle="1" w:styleId="Source">
    <w:name w:val="Source"/>
    <w:basedOn w:val="BodyText"/>
    <w:next w:val="BodyText1"/>
    <w:qFormat/>
    <w:rsid w:val="00297F47"/>
    <w:pPr>
      <w:spacing w:before="0" w:after="0"/>
    </w:pPr>
    <w:rPr>
      <w:sz w:val="16"/>
      <w:szCs w:val="18"/>
    </w:rPr>
  </w:style>
  <w:style w:type="paragraph" w:customStyle="1" w:styleId="Bullet1stlevelkeepwithnext">
    <w:name w:val="Bullet 1stlevelkeepwithnext"/>
    <w:basedOn w:val="Bullet1stlevel"/>
    <w:rsid w:val="008E7420"/>
    <w:pPr>
      <w:keepNext/>
      <w:numPr>
        <w:numId w:val="5"/>
      </w:numPr>
      <w:ind w:left="357" w:hanging="357"/>
    </w:pPr>
  </w:style>
  <w:style w:type="paragraph" w:styleId="Revision">
    <w:name w:val="Revision"/>
    <w:hidden/>
    <w:uiPriority w:val="99"/>
    <w:semiHidden/>
    <w:rsid w:val="00456C89"/>
    <w:pPr>
      <w:spacing w:after="0" w:line="240" w:lineRule="auto"/>
    </w:pPr>
    <w:rPr>
      <w:rFonts w:ascii="Univers 45 Light" w:hAnsi="Univers 45 Light"/>
      <w:sz w:val="20"/>
    </w:rPr>
  </w:style>
  <w:style w:type="table" w:styleId="ListTable2-Accent1">
    <w:name w:val="List Table 2 Accent 1"/>
    <w:basedOn w:val="TableNormal"/>
    <w:uiPriority w:val="47"/>
    <w:rsid w:val="008F434D"/>
    <w:pPr>
      <w:spacing w:after="0" w:line="240" w:lineRule="auto"/>
    </w:pPr>
    <w:tblPr>
      <w:tblStyleRowBandSize w:val="1"/>
      <w:tblStyleColBandSize w:val="1"/>
      <w:tblBorders>
        <w:top w:val="single" w:sz="4" w:space="0" w:color="3B9FFF" w:themeColor="accent1" w:themeTint="99"/>
        <w:bottom w:val="single" w:sz="4" w:space="0" w:color="3B9FFF" w:themeColor="accent1" w:themeTint="99"/>
        <w:insideH w:val="single" w:sz="4" w:space="0" w:color="3B9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paragraph" w:customStyle="1" w:styleId="Heading1numbered">
    <w:name w:val="Heading 1 numbered"/>
    <w:next w:val="BodyText"/>
    <w:uiPriority w:val="2"/>
    <w:rsid w:val="00187605"/>
    <w:pPr>
      <w:pageBreakBefore/>
      <w:tabs>
        <w:tab w:val="num" w:pos="340"/>
      </w:tabs>
      <w:spacing w:after="120" w:line="240" w:lineRule="auto"/>
      <w:ind w:left="709" w:hanging="709"/>
    </w:pPr>
    <w:rPr>
      <w:rFonts w:ascii="KPMG Extralight" w:eastAsiaTheme="majorEastAsia" w:hAnsi="KPMG Extralight" w:cstheme="majorBidi"/>
      <w:color w:val="00338D"/>
      <w:sz w:val="96"/>
      <w:szCs w:val="32"/>
    </w:rPr>
  </w:style>
  <w:style w:type="paragraph" w:customStyle="1" w:styleId="Heading2numbered">
    <w:name w:val="Heading 2 numbered"/>
    <w:next w:val="BodyText"/>
    <w:uiPriority w:val="2"/>
    <w:rsid w:val="00187605"/>
    <w:pPr>
      <w:keepNext/>
      <w:tabs>
        <w:tab w:val="num" w:pos="680"/>
      </w:tabs>
      <w:spacing w:before="240" w:after="120" w:line="240" w:lineRule="auto"/>
      <w:ind w:left="720" w:hanging="720"/>
    </w:pPr>
    <w:rPr>
      <w:rFonts w:ascii="Univers 45 Light" w:eastAsiaTheme="majorEastAsia" w:hAnsi="Univers 45 Light" w:cstheme="majorBidi"/>
      <w:b/>
      <w:color w:val="00338D" w:themeColor="background2"/>
      <w:sz w:val="32"/>
      <w:szCs w:val="26"/>
    </w:rPr>
  </w:style>
  <w:style w:type="paragraph" w:customStyle="1" w:styleId="Heading3numbered">
    <w:name w:val="Heading 3 numbered"/>
    <w:next w:val="BodyText"/>
    <w:uiPriority w:val="2"/>
    <w:rsid w:val="00187605"/>
    <w:pPr>
      <w:keepNext/>
      <w:tabs>
        <w:tab w:val="num" w:pos="1020"/>
        <w:tab w:val="num" w:pos="1701"/>
      </w:tabs>
      <w:spacing w:before="240" w:after="120" w:line="240" w:lineRule="auto"/>
      <w:ind w:left="1418" w:hanging="1418"/>
    </w:pPr>
    <w:rPr>
      <w:rFonts w:ascii="Univers 45 Light" w:eastAsiaTheme="majorEastAsia" w:hAnsi="Univers 45 Light" w:cstheme="majorBidi"/>
      <w:color w:val="6D2077" w:themeColor="accent5"/>
      <w:sz w:val="24"/>
      <w:szCs w:val="24"/>
    </w:rPr>
  </w:style>
  <w:style w:type="paragraph" w:customStyle="1" w:styleId="Heading4numbered">
    <w:name w:val="Heading 4 numbered"/>
    <w:next w:val="BodyText"/>
    <w:uiPriority w:val="2"/>
    <w:rsid w:val="00187605"/>
    <w:pPr>
      <w:keepNext/>
      <w:spacing w:before="240" w:after="120" w:line="240" w:lineRule="auto"/>
      <w:ind w:left="1701" w:hanging="1701"/>
    </w:pPr>
    <w:rPr>
      <w:rFonts w:ascii="Univers 45 Light" w:eastAsiaTheme="majorEastAsia" w:hAnsi="Univers 45 Light" w:cstheme="majorBidi"/>
      <w:b/>
      <w:iCs/>
      <w:color w:val="6D2077" w:themeColor="accent5"/>
    </w:rPr>
  </w:style>
  <w:style w:type="table" w:customStyle="1" w:styleId="ListTable3-Accent11">
    <w:name w:val="List Table 3 - Accent 11"/>
    <w:basedOn w:val="TableNormal"/>
    <w:next w:val="ListTable3-Accent1"/>
    <w:uiPriority w:val="48"/>
    <w:rsid w:val="006E61F6"/>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1">
    <w:name w:val="List Table 3 Accent 1"/>
    <w:basedOn w:val="TableNormal"/>
    <w:uiPriority w:val="48"/>
    <w:rsid w:val="006E61F6"/>
    <w:pPr>
      <w:spacing w:after="0" w:line="240" w:lineRule="auto"/>
    </w:pPr>
    <w:tblPr>
      <w:tblStyleRowBandSize w:val="1"/>
      <w:tblStyleColBandSize w:val="1"/>
      <w:tblBorders>
        <w:top w:val="single" w:sz="4" w:space="0" w:color="005EB8" w:themeColor="accent1"/>
        <w:left w:val="single" w:sz="4" w:space="0" w:color="005EB8" w:themeColor="accent1"/>
        <w:bottom w:val="single" w:sz="4" w:space="0" w:color="005EB8" w:themeColor="accent1"/>
        <w:right w:val="single" w:sz="4" w:space="0" w:color="005EB8" w:themeColor="accent1"/>
      </w:tblBorders>
    </w:tblPr>
    <w:tblStylePr w:type="firstRow">
      <w:rPr>
        <w:b/>
        <w:bCs/>
        <w:color w:val="FFFFFF" w:themeColor="background1"/>
      </w:rPr>
      <w:tblPr/>
      <w:tcPr>
        <w:shd w:val="clear" w:color="auto" w:fill="005EB8" w:themeFill="accent1"/>
      </w:tcPr>
    </w:tblStylePr>
    <w:tblStylePr w:type="lastRow">
      <w:rPr>
        <w:b/>
        <w:bCs/>
      </w:rPr>
      <w:tblPr/>
      <w:tcPr>
        <w:tcBorders>
          <w:top w:val="double" w:sz="4" w:space="0" w:color="005E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1"/>
          <w:right w:val="single" w:sz="4" w:space="0" w:color="005EB8" w:themeColor="accent1"/>
        </w:tcBorders>
      </w:tcPr>
    </w:tblStylePr>
    <w:tblStylePr w:type="band1Horz">
      <w:tblPr/>
      <w:tcPr>
        <w:tcBorders>
          <w:top w:val="single" w:sz="4" w:space="0" w:color="005EB8" w:themeColor="accent1"/>
          <w:bottom w:val="single" w:sz="4" w:space="0" w:color="005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1"/>
          <w:left w:val="nil"/>
        </w:tcBorders>
      </w:tcPr>
    </w:tblStylePr>
    <w:tblStylePr w:type="swCell">
      <w:tblPr/>
      <w:tcPr>
        <w:tcBorders>
          <w:top w:val="double" w:sz="4" w:space="0" w:color="005EB8" w:themeColor="accent1"/>
          <w:right w:val="nil"/>
        </w:tcBorders>
      </w:tcPr>
    </w:tblStylePr>
  </w:style>
  <w:style w:type="character" w:customStyle="1" w:styleId="ListParagraphChar">
    <w:name w:val="List Paragraph Char"/>
    <w:aliases w:val="List Paragraph1 Char,Recommendation Char,Use Case List Paragraph Char,List Paragraph - bullets Char,standard lewis Char,Numbered Para 1 Char,Dot pt Char,No Spacing1 Char,List Paragraph Char Char Char Char,Indicator Text Char,B1 Char"/>
    <w:basedOn w:val="DefaultParagraphFont"/>
    <w:link w:val="ListParagraph"/>
    <w:uiPriority w:val="34"/>
    <w:qFormat/>
    <w:locked/>
    <w:rsid w:val="00AF6319"/>
    <w:rPr>
      <w:rFonts w:ascii="Univers 45 Light" w:hAnsi="Univers 45 Light" w:cs="Yu Mincho Light"/>
    </w:rPr>
  </w:style>
  <w:style w:type="paragraph" w:customStyle="1" w:styleId="Tablenotes">
    <w:name w:val="Table notes"/>
    <w:basedOn w:val="BodyText"/>
    <w:qFormat/>
    <w:rsid w:val="00872A0F"/>
    <w:pPr>
      <w:spacing w:before="0" w:after="0"/>
      <w:contextualSpacing/>
    </w:pPr>
    <w:rPr>
      <w:sz w:val="14"/>
      <w:szCs w:val="18"/>
    </w:rPr>
  </w:style>
  <w:style w:type="paragraph" w:customStyle="1" w:styleId="Number1stlevel0">
    <w:name w:val="Number 1st level"/>
    <w:basedOn w:val="Bullet1stlevel"/>
    <w:qFormat/>
    <w:rsid w:val="004348F9"/>
    <w:pPr>
      <w:numPr>
        <w:numId w:val="0"/>
      </w:numPr>
      <w:ind w:left="720" w:hanging="360"/>
    </w:pPr>
  </w:style>
  <w:style w:type="character" w:styleId="Strong">
    <w:name w:val="Strong"/>
    <w:basedOn w:val="DefaultParagraphFont"/>
    <w:uiPriority w:val="22"/>
    <w:qFormat/>
    <w:rsid w:val="002B2C32"/>
    <w:rPr>
      <w:b/>
      <w:bCs/>
    </w:rPr>
  </w:style>
  <w:style w:type="paragraph" w:styleId="Quote">
    <w:name w:val="Quote"/>
    <w:basedOn w:val="Normal"/>
    <w:next w:val="Normal"/>
    <w:link w:val="QuoteChar"/>
    <w:uiPriority w:val="29"/>
    <w:qFormat/>
    <w:rsid w:val="00CA5A28"/>
    <w:pPr>
      <w:autoSpaceDE w:val="0"/>
      <w:autoSpaceDN w:val="0"/>
      <w:adjustRightInd w:val="0"/>
      <w:spacing w:before="200" w:after="160"/>
      <w:ind w:left="864" w:right="864"/>
      <w:jc w:val="center"/>
    </w:pPr>
    <w:rPr>
      <w:rFonts w:cs="Arial"/>
      <w:i/>
      <w:iCs/>
      <w:color w:val="404040" w:themeColor="text1" w:themeTint="BF"/>
    </w:rPr>
  </w:style>
  <w:style w:type="character" w:customStyle="1" w:styleId="QuoteChar">
    <w:name w:val="Quote Char"/>
    <w:basedOn w:val="DefaultParagraphFont"/>
    <w:link w:val="Quote"/>
    <w:uiPriority w:val="29"/>
    <w:rsid w:val="00CA5A28"/>
    <w:rPr>
      <w:rFonts w:ascii="Univers 45 Light" w:hAnsi="Univers 45 Light" w:cs="Arial"/>
      <w:i/>
      <w:iCs/>
      <w:color w:val="404040" w:themeColor="text1" w:themeTint="BF"/>
      <w:sz w:val="20"/>
    </w:rPr>
  </w:style>
  <w:style w:type="paragraph" w:customStyle="1" w:styleId="AIATSISBodyText">
    <w:name w:val="AIATSIS Body Text"/>
    <w:basedOn w:val="BodyText"/>
    <w:rsid w:val="00A30674"/>
    <w:pPr>
      <w:spacing w:before="0"/>
    </w:pPr>
    <w:rPr>
      <w:rFonts w:ascii="Calibri" w:eastAsia="Times New Roman" w:hAnsi="Calibri" w:cs="Times New Roman"/>
      <w:sz w:val="22"/>
      <w:szCs w:val="24"/>
    </w:rPr>
  </w:style>
  <w:style w:type="character" w:styleId="Emphasis">
    <w:name w:val="Emphasis"/>
    <w:basedOn w:val="DefaultParagraphFont"/>
    <w:uiPriority w:val="20"/>
    <w:qFormat/>
    <w:rsid w:val="0098440A"/>
    <w:rPr>
      <w:i/>
      <w:iCs/>
    </w:rPr>
  </w:style>
  <w:style w:type="paragraph" w:customStyle="1" w:styleId="Source-Notes">
    <w:name w:val="Source-Notes"/>
    <w:basedOn w:val="Source"/>
    <w:qFormat/>
    <w:rsid w:val="00ED0267"/>
  </w:style>
  <w:style w:type="paragraph" w:styleId="Bibliography">
    <w:name w:val="Bibliography"/>
    <w:basedOn w:val="Normal"/>
    <w:next w:val="Normal"/>
    <w:uiPriority w:val="37"/>
    <w:unhideWhenUsed/>
    <w:rsid w:val="006B2785"/>
  </w:style>
  <w:style w:type="character" w:styleId="IntenseEmphasis">
    <w:name w:val="Intense Emphasis"/>
    <w:basedOn w:val="DefaultParagraphFont"/>
    <w:uiPriority w:val="21"/>
    <w:qFormat/>
    <w:rsid w:val="00F54238"/>
    <w:rPr>
      <w:rFonts w:ascii="Univers 45 Light" w:hAnsi="Univers 45 Light"/>
      <w:b w:val="0"/>
      <w:i/>
      <w:iCs/>
      <w:color w:val="005EB8" w:themeColor="accent1"/>
      <w:sz w:val="20"/>
    </w:rPr>
  </w:style>
  <w:style w:type="table" w:customStyle="1" w:styleId="QQuestionTable">
    <w:name w:val="QQuestionTable"/>
    <w:uiPriority w:val="99"/>
    <w:qFormat/>
    <w:rsid w:val="00732BB6"/>
    <w:pPr>
      <w:spacing w:after="0" w:line="240" w:lineRule="auto"/>
      <w:jc w:val="center"/>
    </w:pPr>
    <w:rPr>
      <w:rFonts w:eastAsiaTheme="minorEastAsia"/>
      <w:sz w:val="20"/>
      <w:szCs w:val="20"/>
      <w:lang w:val="en-US" w:eastAsia="en-AU"/>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2F778F"/>
    <w:pPr>
      <w:numPr>
        <w:numId w:val="13"/>
      </w:numPr>
    </w:pPr>
  </w:style>
  <w:style w:type="character" w:customStyle="1" w:styleId="title-text">
    <w:name w:val="title-text"/>
    <w:basedOn w:val="DefaultParagraphFont"/>
    <w:rsid w:val="00DA3932"/>
  </w:style>
  <w:style w:type="character" w:customStyle="1" w:styleId="normaltextrun">
    <w:name w:val="normaltextrun"/>
    <w:basedOn w:val="DefaultParagraphFont"/>
    <w:rsid w:val="00F43629"/>
  </w:style>
  <w:style w:type="paragraph" w:styleId="IntenseQuote">
    <w:name w:val="Intense Quote"/>
    <w:basedOn w:val="Normal"/>
    <w:next w:val="Normal"/>
    <w:link w:val="IntenseQuoteChar"/>
    <w:uiPriority w:val="30"/>
    <w:qFormat/>
    <w:rsid w:val="00045CDA"/>
    <w:pPr>
      <w:pBdr>
        <w:top w:val="single" w:sz="4" w:space="10" w:color="005EB8" w:themeColor="accent1"/>
        <w:bottom w:val="single" w:sz="4" w:space="10" w:color="005EB8" w:themeColor="accent1"/>
      </w:pBdr>
      <w:spacing w:before="360" w:after="360"/>
      <w:ind w:left="864" w:right="864"/>
      <w:jc w:val="center"/>
    </w:pPr>
    <w:rPr>
      <w:b/>
      <w:i/>
      <w:iCs/>
      <w:color w:val="005EB8" w:themeColor="accent1"/>
    </w:rPr>
  </w:style>
  <w:style w:type="character" w:customStyle="1" w:styleId="IntenseQuoteChar">
    <w:name w:val="Intense Quote Char"/>
    <w:basedOn w:val="DefaultParagraphFont"/>
    <w:link w:val="IntenseQuote"/>
    <w:uiPriority w:val="30"/>
    <w:rsid w:val="00045CDA"/>
    <w:rPr>
      <w:rFonts w:ascii="Univers 45 Light" w:hAnsi="Univers 45 Light"/>
      <w:b/>
      <w:i/>
      <w:iCs/>
      <w:color w:val="005EB8" w:themeColor="accent1"/>
      <w:sz w:val="20"/>
    </w:rPr>
  </w:style>
  <w:style w:type="paragraph" w:styleId="Subtitle">
    <w:name w:val="Subtitle"/>
    <w:basedOn w:val="Normal"/>
    <w:next w:val="Normal"/>
    <w:link w:val="SubtitleChar"/>
    <w:uiPriority w:val="11"/>
    <w:qFormat/>
    <w:rsid w:val="001D63B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D63B0"/>
    <w:rPr>
      <w:rFonts w:eastAsiaTheme="minorEastAsia"/>
      <w:color w:val="5A5A5A" w:themeColor="text1" w:themeTint="A5"/>
      <w:spacing w:val="15"/>
    </w:rPr>
  </w:style>
  <w:style w:type="paragraph" w:styleId="BodyTextIndent">
    <w:name w:val="Body Text Indent"/>
    <w:basedOn w:val="Normal"/>
    <w:link w:val="BodyTextIndentChar"/>
    <w:uiPriority w:val="99"/>
    <w:unhideWhenUsed/>
    <w:rsid w:val="005E7292"/>
    <w:pPr>
      <w:ind w:left="357"/>
    </w:pPr>
  </w:style>
  <w:style w:type="character" w:customStyle="1" w:styleId="BodyTextIndentChar">
    <w:name w:val="Body Text Indent Char"/>
    <w:basedOn w:val="DefaultParagraphFont"/>
    <w:link w:val="BodyTextIndent"/>
    <w:uiPriority w:val="99"/>
    <w:rsid w:val="005E7292"/>
    <w:rPr>
      <w:rFonts w:ascii="Univers 45 Light" w:hAnsi="Univers 45 Light"/>
      <w:sz w:val="20"/>
    </w:rPr>
  </w:style>
  <w:style w:type="paragraph" w:customStyle="1" w:styleId="QuoteBold">
    <w:name w:val="QuoteBold"/>
    <w:basedOn w:val="Quote"/>
    <w:qFormat/>
    <w:rsid w:val="008746E6"/>
    <w:rPr>
      <w:b/>
      <w:i w:val="0"/>
    </w:rPr>
  </w:style>
  <w:style w:type="table" w:styleId="ListTable1Light">
    <w:name w:val="List Table 1 Light"/>
    <w:basedOn w:val="TableNormal"/>
    <w:uiPriority w:val="46"/>
    <w:rsid w:val="004B764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extcentred">
    <w:name w:val="Table Textcentred"/>
    <w:basedOn w:val="Tabletext"/>
    <w:qFormat/>
    <w:rsid w:val="007F00F3"/>
    <w:pPr>
      <w:jc w:val="center"/>
    </w:pPr>
  </w:style>
  <w:style w:type="character" w:styleId="BookTitle">
    <w:name w:val="Book Title"/>
    <w:basedOn w:val="DefaultParagraphFont"/>
    <w:uiPriority w:val="33"/>
    <w:qFormat/>
    <w:rsid w:val="007F00F3"/>
    <w:rPr>
      <w:b/>
      <w:bCs/>
      <w:i/>
      <w:iCs/>
      <w:spacing w:val="5"/>
    </w:rPr>
  </w:style>
  <w:style w:type="paragraph" w:customStyle="1" w:styleId="paragraph">
    <w:name w:val="paragraph"/>
    <w:basedOn w:val="Normal"/>
    <w:rsid w:val="00855EB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RecommendationText">
    <w:name w:val="Recommendation Text"/>
    <w:basedOn w:val="Tabletext"/>
    <w:qFormat/>
    <w:rsid w:val="00713C19"/>
    <w:pPr>
      <w:numPr>
        <w:numId w:val="15"/>
      </w:numPr>
    </w:pPr>
  </w:style>
  <w:style w:type="paragraph" w:customStyle="1" w:styleId="BodyTextkeepwithnextBold">
    <w:name w:val="BodyTextkeepwithnextBold"/>
    <w:basedOn w:val="Bodytextkeepwithnext"/>
    <w:qFormat/>
    <w:rsid w:val="00F81B96"/>
    <w:rPr>
      <w:b/>
      <w:bCs/>
    </w:rPr>
  </w:style>
  <w:style w:type="paragraph" w:customStyle="1" w:styleId="TableBullet1Italic">
    <w:name w:val="TableBullet1Italic"/>
    <w:basedOn w:val="BodyText1"/>
    <w:qFormat/>
    <w:rsid w:val="008103A2"/>
    <w:pPr>
      <w:numPr>
        <w:numId w:val="14"/>
      </w:numPr>
      <w:tabs>
        <w:tab w:val="left" w:pos="357"/>
      </w:tabs>
    </w:pPr>
    <w:rPr>
      <w:i/>
      <w:iCs/>
    </w:rPr>
  </w:style>
  <w:style w:type="paragraph" w:customStyle="1" w:styleId="Tablebullet3">
    <w:name w:val="Tablebullet3"/>
    <w:basedOn w:val="Tablebullet2"/>
    <w:qFormat/>
    <w:rsid w:val="00A43A60"/>
    <w:pPr>
      <w:ind w:left="1166" w:hanging="283"/>
    </w:pPr>
  </w:style>
  <w:style w:type="paragraph" w:customStyle="1" w:styleId="TableBlockindent">
    <w:name w:val="TableBlockindent"/>
    <w:basedOn w:val="Tabletext"/>
    <w:qFormat/>
    <w:rsid w:val="00A469C7"/>
    <w:pPr>
      <w:ind w:left="465"/>
    </w:pPr>
  </w:style>
  <w:style w:type="table" w:customStyle="1" w:styleId="TableGrid1">
    <w:name w:val="Table Grid1"/>
    <w:basedOn w:val="TableNormal"/>
    <w:next w:val="TableGrid"/>
    <w:uiPriority w:val="39"/>
    <w:rsid w:val="00083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bold">
    <w:name w:val="Tabletextbold"/>
    <w:basedOn w:val="TableBullet1"/>
    <w:qFormat/>
    <w:rsid w:val="009876B1"/>
    <w:pPr>
      <w:numPr>
        <w:numId w:val="0"/>
      </w:numPr>
    </w:pPr>
    <w:rPr>
      <w:b/>
      <w:bCs/>
    </w:rPr>
  </w:style>
  <w:style w:type="paragraph" w:customStyle="1" w:styleId="Footnote">
    <w:name w:val="Footnote"/>
    <w:basedOn w:val="FootnoteText"/>
    <w:qFormat/>
    <w:rsid w:val="00D90B28"/>
    <w:rPr>
      <w:rFonts w:eastAsiaTheme="minorEastAsia"/>
      <w:sz w:val="14"/>
      <w:szCs w:val="14"/>
      <w:lang w:eastAsia="zh-CN"/>
    </w:rPr>
  </w:style>
  <w:style w:type="paragraph" w:customStyle="1" w:styleId="NUmber1stlevel">
    <w:name w:val="NUmber 1st level"/>
    <w:basedOn w:val="Bullet1stlevel"/>
    <w:next w:val="Bullet1stlevel"/>
    <w:qFormat/>
    <w:rsid w:val="00B7261C"/>
    <w:pPr>
      <w:numPr>
        <w:numId w:val="19"/>
      </w:numPr>
      <w:ind w:left="714" w:hanging="357"/>
    </w:pPr>
  </w:style>
  <w:style w:type="table" w:styleId="PlainTable1">
    <w:name w:val="Plain Table 1"/>
    <w:basedOn w:val="TableNormal"/>
    <w:uiPriority w:val="41"/>
    <w:rsid w:val="00B726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Number">
    <w:name w:val="List Number"/>
    <w:basedOn w:val="Normal"/>
    <w:uiPriority w:val="99"/>
    <w:unhideWhenUsed/>
    <w:rsid w:val="004F12B3"/>
    <w:pPr>
      <w:numPr>
        <w:numId w:val="17"/>
      </w:numPr>
    </w:pPr>
  </w:style>
  <w:style w:type="paragraph" w:styleId="ListNumber2">
    <w:name w:val="List Number 2"/>
    <w:basedOn w:val="Normal"/>
    <w:uiPriority w:val="99"/>
    <w:unhideWhenUsed/>
    <w:rsid w:val="002D1421"/>
    <w:pPr>
      <w:numPr>
        <w:numId w:val="18"/>
      </w:numPr>
      <w:ind w:left="641" w:hanging="357"/>
    </w:pPr>
  </w:style>
  <w:style w:type="paragraph" w:styleId="BlockText">
    <w:name w:val="Block Text"/>
    <w:basedOn w:val="Normal"/>
    <w:uiPriority w:val="99"/>
    <w:unhideWhenUsed/>
    <w:rsid w:val="00CE2C7D"/>
    <w:pPr>
      <w:pBdr>
        <w:top w:val="single" w:sz="2" w:space="10" w:color="005EB8" w:themeColor="accent1"/>
        <w:left w:val="single" w:sz="2" w:space="10" w:color="005EB8" w:themeColor="accent1"/>
        <w:bottom w:val="single" w:sz="2" w:space="10" w:color="005EB8" w:themeColor="accent1"/>
        <w:right w:val="single" w:sz="2" w:space="10" w:color="005EB8" w:themeColor="accent1"/>
      </w:pBdr>
      <w:ind w:left="1152" w:right="1152"/>
    </w:pPr>
    <w:rPr>
      <w:rFonts w:asciiTheme="minorHAnsi" w:eastAsiaTheme="minorEastAsia" w:hAnsiTheme="minorHAnsi"/>
      <w:i/>
      <w:iCs/>
      <w:color w:val="005EB8" w:themeColor="accent1"/>
    </w:rPr>
  </w:style>
  <w:style w:type="paragraph" w:styleId="EnvelopeReturn">
    <w:name w:val="envelope return"/>
    <w:basedOn w:val="Normal"/>
    <w:uiPriority w:val="99"/>
    <w:unhideWhenUsed/>
    <w:rsid w:val="00CE2C7D"/>
    <w:pPr>
      <w:spacing w:before="0" w:after="0"/>
    </w:pPr>
    <w:rPr>
      <w:rFonts w:asciiTheme="majorHAnsi" w:eastAsiaTheme="majorEastAsia" w:hAnsiTheme="majorHAnsi" w:cstheme="majorBidi"/>
      <w:szCs w:val="20"/>
    </w:rPr>
  </w:style>
  <w:style w:type="paragraph" w:styleId="BodyText20">
    <w:name w:val="Body Text 2"/>
    <w:basedOn w:val="Normal"/>
    <w:link w:val="BodyText2Char"/>
    <w:uiPriority w:val="99"/>
    <w:semiHidden/>
    <w:unhideWhenUsed/>
    <w:rsid w:val="006219E2"/>
    <w:pPr>
      <w:spacing w:line="480" w:lineRule="auto"/>
    </w:pPr>
  </w:style>
  <w:style w:type="character" w:customStyle="1" w:styleId="BodyText2Char">
    <w:name w:val="Body Text 2 Char"/>
    <w:basedOn w:val="DefaultParagraphFont"/>
    <w:link w:val="BodyText20"/>
    <w:uiPriority w:val="99"/>
    <w:semiHidden/>
    <w:rsid w:val="006219E2"/>
    <w:rPr>
      <w:rFonts w:ascii="Univers 45 Light" w:hAnsi="Univers 45 Light"/>
      <w:sz w:val="20"/>
    </w:rPr>
  </w:style>
  <w:style w:type="paragraph" w:styleId="BodyText3">
    <w:name w:val="Body Text 3"/>
    <w:basedOn w:val="Normal"/>
    <w:link w:val="BodyText3Char"/>
    <w:uiPriority w:val="99"/>
    <w:semiHidden/>
    <w:unhideWhenUsed/>
    <w:rsid w:val="006219E2"/>
    <w:rPr>
      <w:sz w:val="16"/>
      <w:szCs w:val="16"/>
    </w:rPr>
  </w:style>
  <w:style w:type="character" w:customStyle="1" w:styleId="BodyText3Char">
    <w:name w:val="Body Text 3 Char"/>
    <w:basedOn w:val="DefaultParagraphFont"/>
    <w:link w:val="BodyText3"/>
    <w:uiPriority w:val="99"/>
    <w:semiHidden/>
    <w:rsid w:val="006219E2"/>
    <w:rPr>
      <w:rFonts w:ascii="Univers 45 Light" w:hAnsi="Univers 45 Light"/>
      <w:sz w:val="16"/>
      <w:szCs w:val="16"/>
    </w:rPr>
  </w:style>
  <w:style w:type="paragraph" w:styleId="BodyTextFirstIndent">
    <w:name w:val="Body Text First Indent"/>
    <w:basedOn w:val="BodyText"/>
    <w:link w:val="BodyTextFirstIndentChar"/>
    <w:uiPriority w:val="99"/>
    <w:semiHidden/>
    <w:unhideWhenUsed/>
    <w:rsid w:val="006219E2"/>
    <w:pPr>
      <w:ind w:firstLine="360"/>
    </w:pPr>
  </w:style>
  <w:style w:type="character" w:customStyle="1" w:styleId="BodyTextFirstIndentChar">
    <w:name w:val="Body Text First Indent Char"/>
    <w:basedOn w:val="BodyTextChar"/>
    <w:link w:val="BodyTextFirstIndent"/>
    <w:uiPriority w:val="99"/>
    <w:semiHidden/>
    <w:rsid w:val="006219E2"/>
    <w:rPr>
      <w:rFonts w:ascii="Univers 45 Light" w:hAnsi="Univers 45 Light"/>
      <w:sz w:val="20"/>
    </w:rPr>
  </w:style>
  <w:style w:type="paragraph" w:styleId="BodyTextFirstIndent2">
    <w:name w:val="Body Text First Indent 2"/>
    <w:basedOn w:val="BodyTextIndent"/>
    <w:link w:val="BodyTextFirstIndent2Char"/>
    <w:uiPriority w:val="99"/>
    <w:semiHidden/>
    <w:unhideWhenUsed/>
    <w:rsid w:val="006219E2"/>
    <w:pPr>
      <w:ind w:left="360" w:firstLine="360"/>
    </w:pPr>
  </w:style>
  <w:style w:type="character" w:customStyle="1" w:styleId="BodyTextFirstIndent2Char">
    <w:name w:val="Body Text First Indent 2 Char"/>
    <w:basedOn w:val="BodyTextIndentChar"/>
    <w:link w:val="BodyTextFirstIndent2"/>
    <w:uiPriority w:val="99"/>
    <w:semiHidden/>
    <w:rsid w:val="006219E2"/>
    <w:rPr>
      <w:rFonts w:ascii="Univers 45 Light" w:hAnsi="Univers 45 Light"/>
      <w:sz w:val="20"/>
    </w:rPr>
  </w:style>
  <w:style w:type="paragraph" w:styleId="BodyTextIndent2">
    <w:name w:val="Body Text Indent 2"/>
    <w:basedOn w:val="Normal"/>
    <w:link w:val="BodyTextIndent2Char"/>
    <w:uiPriority w:val="99"/>
    <w:semiHidden/>
    <w:unhideWhenUsed/>
    <w:rsid w:val="006219E2"/>
    <w:pPr>
      <w:spacing w:line="480" w:lineRule="auto"/>
      <w:ind w:left="283"/>
    </w:pPr>
  </w:style>
  <w:style w:type="character" w:customStyle="1" w:styleId="BodyTextIndent2Char">
    <w:name w:val="Body Text Indent 2 Char"/>
    <w:basedOn w:val="DefaultParagraphFont"/>
    <w:link w:val="BodyTextIndent2"/>
    <w:uiPriority w:val="99"/>
    <w:semiHidden/>
    <w:rsid w:val="006219E2"/>
    <w:rPr>
      <w:rFonts w:ascii="Univers 45 Light" w:hAnsi="Univers 45 Light"/>
      <w:sz w:val="20"/>
    </w:rPr>
  </w:style>
  <w:style w:type="paragraph" w:styleId="BodyTextIndent3">
    <w:name w:val="Body Text Indent 3"/>
    <w:basedOn w:val="Normal"/>
    <w:link w:val="BodyTextIndent3Char"/>
    <w:uiPriority w:val="99"/>
    <w:semiHidden/>
    <w:unhideWhenUsed/>
    <w:rsid w:val="006219E2"/>
    <w:pPr>
      <w:ind w:left="283"/>
    </w:pPr>
    <w:rPr>
      <w:sz w:val="16"/>
      <w:szCs w:val="16"/>
    </w:rPr>
  </w:style>
  <w:style w:type="character" w:customStyle="1" w:styleId="BodyTextIndent3Char">
    <w:name w:val="Body Text Indent 3 Char"/>
    <w:basedOn w:val="DefaultParagraphFont"/>
    <w:link w:val="BodyTextIndent3"/>
    <w:uiPriority w:val="99"/>
    <w:semiHidden/>
    <w:rsid w:val="006219E2"/>
    <w:rPr>
      <w:rFonts w:ascii="Univers 45 Light" w:hAnsi="Univers 45 Light"/>
      <w:sz w:val="16"/>
      <w:szCs w:val="16"/>
    </w:rPr>
  </w:style>
  <w:style w:type="paragraph" w:styleId="Closing">
    <w:name w:val="Closing"/>
    <w:basedOn w:val="Normal"/>
    <w:link w:val="ClosingChar"/>
    <w:uiPriority w:val="99"/>
    <w:semiHidden/>
    <w:unhideWhenUsed/>
    <w:rsid w:val="006219E2"/>
    <w:pPr>
      <w:spacing w:before="0" w:after="0"/>
      <w:ind w:left="4252"/>
    </w:pPr>
  </w:style>
  <w:style w:type="character" w:customStyle="1" w:styleId="ClosingChar">
    <w:name w:val="Closing Char"/>
    <w:basedOn w:val="DefaultParagraphFont"/>
    <w:link w:val="Closing"/>
    <w:uiPriority w:val="99"/>
    <w:semiHidden/>
    <w:rsid w:val="006219E2"/>
    <w:rPr>
      <w:rFonts w:ascii="Univers 45 Light" w:hAnsi="Univers 45 Light"/>
      <w:sz w:val="20"/>
    </w:rPr>
  </w:style>
  <w:style w:type="paragraph" w:styleId="Date">
    <w:name w:val="Date"/>
    <w:basedOn w:val="Normal"/>
    <w:next w:val="Normal"/>
    <w:link w:val="DateChar"/>
    <w:uiPriority w:val="99"/>
    <w:semiHidden/>
    <w:unhideWhenUsed/>
    <w:rsid w:val="006219E2"/>
  </w:style>
  <w:style w:type="character" w:customStyle="1" w:styleId="DateChar">
    <w:name w:val="Date Char"/>
    <w:basedOn w:val="DefaultParagraphFont"/>
    <w:link w:val="Date"/>
    <w:uiPriority w:val="99"/>
    <w:semiHidden/>
    <w:rsid w:val="006219E2"/>
    <w:rPr>
      <w:rFonts w:ascii="Univers 45 Light" w:hAnsi="Univers 45 Light"/>
      <w:sz w:val="20"/>
    </w:rPr>
  </w:style>
  <w:style w:type="paragraph" w:styleId="DocumentMap">
    <w:name w:val="Document Map"/>
    <w:basedOn w:val="Normal"/>
    <w:link w:val="DocumentMapChar"/>
    <w:uiPriority w:val="99"/>
    <w:semiHidden/>
    <w:unhideWhenUsed/>
    <w:rsid w:val="006219E2"/>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219E2"/>
    <w:rPr>
      <w:rFonts w:ascii="Segoe UI" w:hAnsi="Segoe UI" w:cs="Segoe UI"/>
      <w:sz w:val="16"/>
      <w:szCs w:val="16"/>
    </w:rPr>
  </w:style>
  <w:style w:type="paragraph" w:styleId="E-mailSignature">
    <w:name w:val="E-mail Signature"/>
    <w:basedOn w:val="Normal"/>
    <w:link w:val="E-mailSignatureChar"/>
    <w:uiPriority w:val="99"/>
    <w:semiHidden/>
    <w:unhideWhenUsed/>
    <w:rsid w:val="006219E2"/>
    <w:pPr>
      <w:spacing w:before="0" w:after="0"/>
    </w:pPr>
  </w:style>
  <w:style w:type="character" w:customStyle="1" w:styleId="E-mailSignatureChar">
    <w:name w:val="E-mail Signature Char"/>
    <w:basedOn w:val="DefaultParagraphFont"/>
    <w:link w:val="E-mailSignature"/>
    <w:uiPriority w:val="99"/>
    <w:semiHidden/>
    <w:rsid w:val="006219E2"/>
    <w:rPr>
      <w:rFonts w:ascii="Univers 45 Light" w:hAnsi="Univers 45 Light"/>
      <w:sz w:val="20"/>
    </w:rPr>
  </w:style>
  <w:style w:type="paragraph" w:styleId="EndnoteText">
    <w:name w:val="endnote text"/>
    <w:basedOn w:val="Normal"/>
    <w:link w:val="EndnoteTextChar"/>
    <w:uiPriority w:val="99"/>
    <w:semiHidden/>
    <w:unhideWhenUsed/>
    <w:rsid w:val="006219E2"/>
    <w:pPr>
      <w:spacing w:before="0" w:after="0"/>
    </w:pPr>
    <w:rPr>
      <w:szCs w:val="20"/>
    </w:rPr>
  </w:style>
  <w:style w:type="character" w:customStyle="1" w:styleId="EndnoteTextChar">
    <w:name w:val="Endnote Text Char"/>
    <w:basedOn w:val="DefaultParagraphFont"/>
    <w:link w:val="EndnoteText"/>
    <w:uiPriority w:val="99"/>
    <w:semiHidden/>
    <w:rsid w:val="006219E2"/>
    <w:rPr>
      <w:rFonts w:ascii="Univers 45 Light" w:hAnsi="Univers 45 Light"/>
      <w:sz w:val="20"/>
      <w:szCs w:val="20"/>
    </w:rPr>
  </w:style>
  <w:style w:type="paragraph" w:styleId="EnvelopeAddress">
    <w:name w:val="envelope address"/>
    <w:basedOn w:val="Normal"/>
    <w:uiPriority w:val="99"/>
    <w:semiHidden/>
    <w:unhideWhenUsed/>
    <w:rsid w:val="006219E2"/>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6219E2"/>
    <w:pPr>
      <w:spacing w:before="0" w:after="0"/>
    </w:pPr>
    <w:rPr>
      <w:i/>
      <w:iCs/>
    </w:rPr>
  </w:style>
  <w:style w:type="character" w:customStyle="1" w:styleId="HTMLAddressChar">
    <w:name w:val="HTML Address Char"/>
    <w:basedOn w:val="DefaultParagraphFont"/>
    <w:link w:val="HTMLAddress"/>
    <w:uiPriority w:val="99"/>
    <w:semiHidden/>
    <w:rsid w:val="006219E2"/>
    <w:rPr>
      <w:rFonts w:ascii="Univers 45 Light" w:hAnsi="Univers 45 Light"/>
      <w:i/>
      <w:iCs/>
      <w:sz w:val="20"/>
    </w:rPr>
  </w:style>
  <w:style w:type="paragraph" w:styleId="HTMLPreformatted">
    <w:name w:val="HTML Preformatted"/>
    <w:basedOn w:val="Normal"/>
    <w:link w:val="HTMLPreformattedChar"/>
    <w:uiPriority w:val="99"/>
    <w:semiHidden/>
    <w:unhideWhenUsed/>
    <w:rsid w:val="006219E2"/>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6219E2"/>
    <w:rPr>
      <w:rFonts w:ascii="Consolas" w:hAnsi="Consolas"/>
      <w:sz w:val="20"/>
      <w:szCs w:val="20"/>
    </w:rPr>
  </w:style>
  <w:style w:type="paragraph" w:styleId="Index1">
    <w:name w:val="index 1"/>
    <w:basedOn w:val="Normal"/>
    <w:next w:val="Normal"/>
    <w:autoRedefine/>
    <w:uiPriority w:val="99"/>
    <w:semiHidden/>
    <w:unhideWhenUsed/>
    <w:rsid w:val="006219E2"/>
    <w:pPr>
      <w:spacing w:before="0" w:after="0"/>
      <w:ind w:left="200" w:hanging="200"/>
    </w:pPr>
  </w:style>
  <w:style w:type="paragraph" w:styleId="Index2">
    <w:name w:val="index 2"/>
    <w:basedOn w:val="Normal"/>
    <w:next w:val="Normal"/>
    <w:autoRedefine/>
    <w:uiPriority w:val="99"/>
    <w:semiHidden/>
    <w:unhideWhenUsed/>
    <w:rsid w:val="006219E2"/>
    <w:pPr>
      <w:spacing w:before="0" w:after="0"/>
      <w:ind w:left="400" w:hanging="200"/>
    </w:pPr>
  </w:style>
  <w:style w:type="paragraph" w:styleId="Index3">
    <w:name w:val="index 3"/>
    <w:basedOn w:val="Normal"/>
    <w:next w:val="Normal"/>
    <w:autoRedefine/>
    <w:uiPriority w:val="99"/>
    <w:semiHidden/>
    <w:unhideWhenUsed/>
    <w:rsid w:val="006219E2"/>
    <w:pPr>
      <w:spacing w:before="0" w:after="0"/>
      <w:ind w:left="600" w:hanging="200"/>
    </w:pPr>
  </w:style>
  <w:style w:type="paragraph" w:styleId="Index4">
    <w:name w:val="index 4"/>
    <w:basedOn w:val="Normal"/>
    <w:next w:val="Normal"/>
    <w:autoRedefine/>
    <w:uiPriority w:val="99"/>
    <w:semiHidden/>
    <w:unhideWhenUsed/>
    <w:rsid w:val="006219E2"/>
    <w:pPr>
      <w:spacing w:before="0" w:after="0"/>
      <w:ind w:left="800" w:hanging="200"/>
    </w:pPr>
  </w:style>
  <w:style w:type="paragraph" w:styleId="Index5">
    <w:name w:val="index 5"/>
    <w:basedOn w:val="Normal"/>
    <w:next w:val="Normal"/>
    <w:autoRedefine/>
    <w:uiPriority w:val="99"/>
    <w:semiHidden/>
    <w:unhideWhenUsed/>
    <w:rsid w:val="006219E2"/>
    <w:pPr>
      <w:spacing w:before="0" w:after="0"/>
      <w:ind w:left="1000" w:hanging="200"/>
    </w:pPr>
  </w:style>
  <w:style w:type="paragraph" w:styleId="Index6">
    <w:name w:val="index 6"/>
    <w:basedOn w:val="Normal"/>
    <w:next w:val="Normal"/>
    <w:autoRedefine/>
    <w:uiPriority w:val="99"/>
    <w:semiHidden/>
    <w:unhideWhenUsed/>
    <w:rsid w:val="006219E2"/>
    <w:pPr>
      <w:spacing w:before="0" w:after="0"/>
      <w:ind w:left="1200" w:hanging="200"/>
    </w:pPr>
  </w:style>
  <w:style w:type="paragraph" w:styleId="Index7">
    <w:name w:val="index 7"/>
    <w:basedOn w:val="Normal"/>
    <w:next w:val="Normal"/>
    <w:autoRedefine/>
    <w:uiPriority w:val="99"/>
    <w:semiHidden/>
    <w:unhideWhenUsed/>
    <w:rsid w:val="006219E2"/>
    <w:pPr>
      <w:spacing w:before="0" w:after="0"/>
      <w:ind w:left="1400" w:hanging="200"/>
    </w:pPr>
  </w:style>
  <w:style w:type="paragraph" w:styleId="Index8">
    <w:name w:val="index 8"/>
    <w:basedOn w:val="Normal"/>
    <w:next w:val="Normal"/>
    <w:autoRedefine/>
    <w:uiPriority w:val="99"/>
    <w:semiHidden/>
    <w:unhideWhenUsed/>
    <w:rsid w:val="006219E2"/>
    <w:pPr>
      <w:spacing w:before="0" w:after="0"/>
      <w:ind w:left="1600" w:hanging="200"/>
    </w:pPr>
  </w:style>
  <w:style w:type="paragraph" w:styleId="Index9">
    <w:name w:val="index 9"/>
    <w:basedOn w:val="Normal"/>
    <w:next w:val="Normal"/>
    <w:autoRedefine/>
    <w:uiPriority w:val="99"/>
    <w:semiHidden/>
    <w:unhideWhenUsed/>
    <w:rsid w:val="006219E2"/>
    <w:pPr>
      <w:spacing w:before="0" w:after="0"/>
      <w:ind w:left="1800" w:hanging="200"/>
    </w:pPr>
  </w:style>
  <w:style w:type="paragraph" w:styleId="IndexHeading">
    <w:name w:val="index heading"/>
    <w:basedOn w:val="Normal"/>
    <w:next w:val="Index1"/>
    <w:uiPriority w:val="99"/>
    <w:semiHidden/>
    <w:unhideWhenUsed/>
    <w:rsid w:val="006219E2"/>
    <w:rPr>
      <w:rFonts w:asciiTheme="majorHAnsi" w:eastAsiaTheme="majorEastAsia" w:hAnsiTheme="majorHAnsi" w:cstheme="majorBidi"/>
      <w:b/>
      <w:bCs/>
    </w:rPr>
  </w:style>
  <w:style w:type="paragraph" w:styleId="List">
    <w:name w:val="List"/>
    <w:basedOn w:val="Normal"/>
    <w:uiPriority w:val="99"/>
    <w:semiHidden/>
    <w:unhideWhenUsed/>
    <w:rsid w:val="006219E2"/>
    <w:pPr>
      <w:ind w:left="283" w:hanging="283"/>
      <w:contextualSpacing/>
    </w:pPr>
  </w:style>
  <w:style w:type="paragraph" w:styleId="List2">
    <w:name w:val="List 2"/>
    <w:basedOn w:val="Normal"/>
    <w:uiPriority w:val="99"/>
    <w:semiHidden/>
    <w:unhideWhenUsed/>
    <w:rsid w:val="006219E2"/>
    <w:pPr>
      <w:ind w:left="566" w:hanging="283"/>
      <w:contextualSpacing/>
    </w:pPr>
  </w:style>
  <w:style w:type="paragraph" w:styleId="List3">
    <w:name w:val="List 3"/>
    <w:basedOn w:val="Normal"/>
    <w:uiPriority w:val="99"/>
    <w:semiHidden/>
    <w:unhideWhenUsed/>
    <w:rsid w:val="006219E2"/>
    <w:pPr>
      <w:ind w:left="849" w:hanging="283"/>
      <w:contextualSpacing/>
    </w:pPr>
  </w:style>
  <w:style w:type="paragraph" w:styleId="List4">
    <w:name w:val="List 4"/>
    <w:basedOn w:val="Normal"/>
    <w:uiPriority w:val="99"/>
    <w:semiHidden/>
    <w:unhideWhenUsed/>
    <w:rsid w:val="006219E2"/>
    <w:pPr>
      <w:ind w:left="1132" w:hanging="283"/>
      <w:contextualSpacing/>
    </w:pPr>
  </w:style>
  <w:style w:type="paragraph" w:styleId="List5">
    <w:name w:val="List 5"/>
    <w:basedOn w:val="Normal"/>
    <w:uiPriority w:val="99"/>
    <w:semiHidden/>
    <w:unhideWhenUsed/>
    <w:rsid w:val="006219E2"/>
    <w:pPr>
      <w:ind w:left="1415" w:hanging="283"/>
      <w:contextualSpacing/>
    </w:pPr>
  </w:style>
  <w:style w:type="paragraph" w:styleId="ListBullet4">
    <w:name w:val="List Bullet 4"/>
    <w:basedOn w:val="Normal"/>
    <w:uiPriority w:val="99"/>
    <w:semiHidden/>
    <w:unhideWhenUsed/>
    <w:rsid w:val="006219E2"/>
    <w:pPr>
      <w:numPr>
        <w:numId w:val="27"/>
      </w:numPr>
      <w:contextualSpacing/>
    </w:pPr>
  </w:style>
  <w:style w:type="paragraph" w:styleId="ListBullet5">
    <w:name w:val="List Bullet 5"/>
    <w:basedOn w:val="Normal"/>
    <w:uiPriority w:val="99"/>
    <w:semiHidden/>
    <w:unhideWhenUsed/>
    <w:rsid w:val="006219E2"/>
    <w:pPr>
      <w:numPr>
        <w:numId w:val="28"/>
      </w:numPr>
      <w:contextualSpacing/>
    </w:pPr>
  </w:style>
  <w:style w:type="paragraph" w:styleId="ListContinue">
    <w:name w:val="List Continue"/>
    <w:basedOn w:val="Normal"/>
    <w:uiPriority w:val="99"/>
    <w:semiHidden/>
    <w:unhideWhenUsed/>
    <w:rsid w:val="006219E2"/>
    <w:pPr>
      <w:ind w:left="283"/>
      <w:contextualSpacing/>
    </w:pPr>
  </w:style>
  <w:style w:type="paragraph" w:styleId="ListContinue2">
    <w:name w:val="List Continue 2"/>
    <w:basedOn w:val="Normal"/>
    <w:uiPriority w:val="99"/>
    <w:semiHidden/>
    <w:unhideWhenUsed/>
    <w:rsid w:val="006219E2"/>
    <w:pPr>
      <w:ind w:left="566"/>
      <w:contextualSpacing/>
    </w:pPr>
  </w:style>
  <w:style w:type="paragraph" w:styleId="ListContinue3">
    <w:name w:val="List Continue 3"/>
    <w:basedOn w:val="Normal"/>
    <w:uiPriority w:val="99"/>
    <w:semiHidden/>
    <w:unhideWhenUsed/>
    <w:rsid w:val="006219E2"/>
    <w:pPr>
      <w:ind w:left="849"/>
      <w:contextualSpacing/>
    </w:pPr>
  </w:style>
  <w:style w:type="paragraph" w:styleId="ListContinue4">
    <w:name w:val="List Continue 4"/>
    <w:basedOn w:val="Normal"/>
    <w:uiPriority w:val="99"/>
    <w:semiHidden/>
    <w:unhideWhenUsed/>
    <w:rsid w:val="006219E2"/>
    <w:pPr>
      <w:ind w:left="1132"/>
      <w:contextualSpacing/>
    </w:pPr>
  </w:style>
  <w:style w:type="paragraph" w:styleId="ListContinue5">
    <w:name w:val="List Continue 5"/>
    <w:basedOn w:val="Normal"/>
    <w:uiPriority w:val="99"/>
    <w:semiHidden/>
    <w:unhideWhenUsed/>
    <w:rsid w:val="006219E2"/>
    <w:pPr>
      <w:ind w:left="1415"/>
      <w:contextualSpacing/>
    </w:pPr>
  </w:style>
  <w:style w:type="paragraph" w:styleId="ListNumber3">
    <w:name w:val="List Number 3"/>
    <w:basedOn w:val="Normal"/>
    <w:uiPriority w:val="99"/>
    <w:semiHidden/>
    <w:unhideWhenUsed/>
    <w:rsid w:val="006219E2"/>
    <w:pPr>
      <w:numPr>
        <w:numId w:val="29"/>
      </w:numPr>
      <w:contextualSpacing/>
    </w:pPr>
  </w:style>
  <w:style w:type="paragraph" w:styleId="ListNumber4">
    <w:name w:val="List Number 4"/>
    <w:basedOn w:val="Normal"/>
    <w:uiPriority w:val="99"/>
    <w:semiHidden/>
    <w:unhideWhenUsed/>
    <w:rsid w:val="006219E2"/>
    <w:pPr>
      <w:numPr>
        <w:numId w:val="30"/>
      </w:numPr>
      <w:contextualSpacing/>
    </w:pPr>
  </w:style>
  <w:style w:type="paragraph" w:styleId="ListNumber5">
    <w:name w:val="List Number 5"/>
    <w:basedOn w:val="Normal"/>
    <w:uiPriority w:val="99"/>
    <w:semiHidden/>
    <w:unhideWhenUsed/>
    <w:rsid w:val="006219E2"/>
    <w:pPr>
      <w:numPr>
        <w:numId w:val="31"/>
      </w:numPr>
      <w:contextualSpacing/>
    </w:pPr>
  </w:style>
  <w:style w:type="paragraph" w:styleId="MacroText">
    <w:name w:val="macro"/>
    <w:link w:val="MacroTextChar"/>
    <w:uiPriority w:val="99"/>
    <w:semiHidden/>
    <w:unhideWhenUsed/>
    <w:rsid w:val="006219E2"/>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6219E2"/>
    <w:rPr>
      <w:rFonts w:ascii="Consolas" w:hAnsi="Consolas"/>
      <w:sz w:val="20"/>
      <w:szCs w:val="20"/>
    </w:rPr>
  </w:style>
  <w:style w:type="paragraph" w:styleId="MessageHeader">
    <w:name w:val="Message Header"/>
    <w:basedOn w:val="Normal"/>
    <w:link w:val="MessageHeaderChar"/>
    <w:uiPriority w:val="99"/>
    <w:semiHidden/>
    <w:unhideWhenUsed/>
    <w:rsid w:val="006219E2"/>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219E2"/>
    <w:rPr>
      <w:rFonts w:asciiTheme="majorHAnsi" w:eastAsiaTheme="majorEastAsia" w:hAnsiTheme="majorHAnsi" w:cstheme="majorBidi"/>
      <w:sz w:val="24"/>
      <w:szCs w:val="24"/>
      <w:shd w:val="pct20" w:color="auto" w:fill="auto"/>
    </w:rPr>
  </w:style>
  <w:style w:type="paragraph" w:styleId="NoSpacing">
    <w:name w:val="No Spacing"/>
    <w:uiPriority w:val="1"/>
    <w:qFormat/>
    <w:rsid w:val="006219E2"/>
    <w:pPr>
      <w:spacing w:after="0" w:line="240" w:lineRule="auto"/>
    </w:pPr>
    <w:rPr>
      <w:rFonts w:ascii="Univers 45 Light" w:hAnsi="Univers 45 Light"/>
      <w:sz w:val="20"/>
    </w:rPr>
  </w:style>
  <w:style w:type="paragraph" w:styleId="NormalIndent">
    <w:name w:val="Normal Indent"/>
    <w:basedOn w:val="Normal"/>
    <w:uiPriority w:val="99"/>
    <w:semiHidden/>
    <w:unhideWhenUsed/>
    <w:rsid w:val="006219E2"/>
    <w:pPr>
      <w:ind w:left="720"/>
    </w:pPr>
  </w:style>
  <w:style w:type="paragraph" w:styleId="NoteHeading">
    <w:name w:val="Note Heading"/>
    <w:basedOn w:val="Normal"/>
    <w:next w:val="Normal"/>
    <w:link w:val="NoteHeadingChar"/>
    <w:uiPriority w:val="99"/>
    <w:semiHidden/>
    <w:unhideWhenUsed/>
    <w:rsid w:val="006219E2"/>
    <w:pPr>
      <w:spacing w:before="0" w:after="0"/>
    </w:pPr>
  </w:style>
  <w:style w:type="character" w:customStyle="1" w:styleId="NoteHeadingChar">
    <w:name w:val="Note Heading Char"/>
    <w:basedOn w:val="DefaultParagraphFont"/>
    <w:link w:val="NoteHeading"/>
    <w:uiPriority w:val="99"/>
    <w:semiHidden/>
    <w:rsid w:val="006219E2"/>
    <w:rPr>
      <w:rFonts w:ascii="Univers 45 Light" w:hAnsi="Univers 45 Light"/>
      <w:sz w:val="20"/>
    </w:rPr>
  </w:style>
  <w:style w:type="paragraph" w:styleId="PlainText">
    <w:name w:val="Plain Text"/>
    <w:basedOn w:val="Normal"/>
    <w:link w:val="PlainTextChar"/>
    <w:uiPriority w:val="99"/>
    <w:semiHidden/>
    <w:unhideWhenUsed/>
    <w:rsid w:val="006219E2"/>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219E2"/>
    <w:rPr>
      <w:rFonts w:ascii="Consolas" w:hAnsi="Consolas"/>
      <w:sz w:val="21"/>
      <w:szCs w:val="21"/>
    </w:rPr>
  </w:style>
  <w:style w:type="paragraph" w:styleId="Salutation">
    <w:name w:val="Salutation"/>
    <w:basedOn w:val="Normal"/>
    <w:next w:val="Normal"/>
    <w:link w:val="SalutationChar"/>
    <w:uiPriority w:val="99"/>
    <w:semiHidden/>
    <w:unhideWhenUsed/>
    <w:rsid w:val="006219E2"/>
  </w:style>
  <w:style w:type="character" w:customStyle="1" w:styleId="SalutationChar">
    <w:name w:val="Salutation Char"/>
    <w:basedOn w:val="DefaultParagraphFont"/>
    <w:link w:val="Salutation"/>
    <w:uiPriority w:val="99"/>
    <w:semiHidden/>
    <w:rsid w:val="006219E2"/>
    <w:rPr>
      <w:rFonts w:ascii="Univers 45 Light" w:hAnsi="Univers 45 Light"/>
      <w:sz w:val="20"/>
    </w:rPr>
  </w:style>
  <w:style w:type="paragraph" w:styleId="Signature">
    <w:name w:val="Signature"/>
    <w:basedOn w:val="Normal"/>
    <w:link w:val="SignatureChar"/>
    <w:uiPriority w:val="99"/>
    <w:semiHidden/>
    <w:unhideWhenUsed/>
    <w:rsid w:val="006219E2"/>
    <w:pPr>
      <w:spacing w:before="0" w:after="0"/>
      <w:ind w:left="4252"/>
    </w:pPr>
  </w:style>
  <w:style w:type="character" w:customStyle="1" w:styleId="SignatureChar">
    <w:name w:val="Signature Char"/>
    <w:basedOn w:val="DefaultParagraphFont"/>
    <w:link w:val="Signature"/>
    <w:uiPriority w:val="99"/>
    <w:semiHidden/>
    <w:rsid w:val="006219E2"/>
    <w:rPr>
      <w:rFonts w:ascii="Univers 45 Light" w:hAnsi="Univers 45 Light"/>
      <w:sz w:val="20"/>
    </w:rPr>
  </w:style>
  <w:style w:type="paragraph" w:styleId="TableofAuthorities">
    <w:name w:val="table of authorities"/>
    <w:basedOn w:val="Normal"/>
    <w:next w:val="Normal"/>
    <w:uiPriority w:val="99"/>
    <w:semiHidden/>
    <w:unhideWhenUsed/>
    <w:rsid w:val="006219E2"/>
    <w:pPr>
      <w:spacing w:after="0"/>
      <w:ind w:left="200" w:hanging="200"/>
    </w:pPr>
  </w:style>
  <w:style w:type="paragraph" w:styleId="Title">
    <w:name w:val="Title"/>
    <w:basedOn w:val="Normal"/>
    <w:next w:val="Normal"/>
    <w:link w:val="TitleChar"/>
    <w:uiPriority w:val="10"/>
    <w:rsid w:val="006219E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19E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219E2"/>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6219E2"/>
    <w:pPr>
      <w:spacing w:after="100"/>
      <w:ind w:left="400"/>
    </w:pPr>
  </w:style>
  <w:style w:type="paragraph" w:styleId="TOC4">
    <w:name w:val="toc 4"/>
    <w:basedOn w:val="Normal"/>
    <w:next w:val="Normal"/>
    <w:autoRedefine/>
    <w:uiPriority w:val="39"/>
    <w:semiHidden/>
    <w:unhideWhenUsed/>
    <w:rsid w:val="006219E2"/>
    <w:pPr>
      <w:spacing w:after="100"/>
      <w:ind w:left="600"/>
    </w:pPr>
  </w:style>
  <w:style w:type="paragraph" w:styleId="TOC5">
    <w:name w:val="toc 5"/>
    <w:basedOn w:val="Normal"/>
    <w:next w:val="Normal"/>
    <w:autoRedefine/>
    <w:uiPriority w:val="39"/>
    <w:semiHidden/>
    <w:unhideWhenUsed/>
    <w:rsid w:val="006219E2"/>
    <w:pPr>
      <w:spacing w:after="100"/>
      <w:ind w:left="800"/>
    </w:pPr>
  </w:style>
  <w:style w:type="paragraph" w:styleId="TOC6">
    <w:name w:val="toc 6"/>
    <w:basedOn w:val="Normal"/>
    <w:next w:val="Normal"/>
    <w:autoRedefine/>
    <w:uiPriority w:val="39"/>
    <w:semiHidden/>
    <w:unhideWhenUsed/>
    <w:rsid w:val="006219E2"/>
    <w:pPr>
      <w:spacing w:after="100"/>
      <w:ind w:left="1000"/>
    </w:pPr>
  </w:style>
  <w:style w:type="paragraph" w:styleId="TOC7">
    <w:name w:val="toc 7"/>
    <w:basedOn w:val="Normal"/>
    <w:next w:val="Normal"/>
    <w:autoRedefine/>
    <w:uiPriority w:val="39"/>
    <w:semiHidden/>
    <w:unhideWhenUsed/>
    <w:rsid w:val="006219E2"/>
    <w:pPr>
      <w:spacing w:after="100"/>
      <w:ind w:left="1200"/>
    </w:pPr>
  </w:style>
  <w:style w:type="paragraph" w:styleId="TOC8">
    <w:name w:val="toc 8"/>
    <w:basedOn w:val="Normal"/>
    <w:next w:val="Normal"/>
    <w:autoRedefine/>
    <w:uiPriority w:val="39"/>
    <w:semiHidden/>
    <w:unhideWhenUsed/>
    <w:rsid w:val="006219E2"/>
    <w:pPr>
      <w:spacing w:after="100"/>
      <w:ind w:left="1400"/>
    </w:pPr>
  </w:style>
  <w:style w:type="paragraph" w:styleId="TOC9">
    <w:name w:val="toc 9"/>
    <w:basedOn w:val="Normal"/>
    <w:next w:val="Normal"/>
    <w:autoRedefine/>
    <w:uiPriority w:val="39"/>
    <w:semiHidden/>
    <w:unhideWhenUsed/>
    <w:rsid w:val="006219E2"/>
    <w:pPr>
      <w:spacing w:after="100"/>
      <w:ind w:left="1600"/>
    </w:pPr>
  </w:style>
  <w:style w:type="paragraph" w:styleId="TOCHeading">
    <w:name w:val="TOC Heading"/>
    <w:basedOn w:val="Heading1"/>
    <w:next w:val="Normal"/>
    <w:uiPriority w:val="39"/>
    <w:semiHidden/>
    <w:unhideWhenUsed/>
    <w:qFormat/>
    <w:rsid w:val="006219E2"/>
    <w:pPr>
      <w:pageBreakBefore w:val="0"/>
      <w:numPr>
        <w:numId w:val="0"/>
      </w:numPr>
      <w:spacing w:after="0"/>
      <w:outlineLvl w:val="9"/>
    </w:pPr>
    <w:rPr>
      <w:rFonts w:asciiTheme="majorHAnsi" w:hAnsiTheme="majorHAnsi"/>
      <w:color w:val="004689"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7453">
      <w:bodyDiv w:val="1"/>
      <w:marLeft w:val="0"/>
      <w:marRight w:val="0"/>
      <w:marTop w:val="0"/>
      <w:marBottom w:val="0"/>
      <w:divBdr>
        <w:top w:val="none" w:sz="0" w:space="0" w:color="auto"/>
        <w:left w:val="none" w:sz="0" w:space="0" w:color="auto"/>
        <w:bottom w:val="none" w:sz="0" w:space="0" w:color="auto"/>
        <w:right w:val="none" w:sz="0" w:space="0" w:color="auto"/>
      </w:divBdr>
    </w:div>
    <w:div w:id="26757931">
      <w:bodyDiv w:val="1"/>
      <w:marLeft w:val="0"/>
      <w:marRight w:val="0"/>
      <w:marTop w:val="0"/>
      <w:marBottom w:val="0"/>
      <w:divBdr>
        <w:top w:val="none" w:sz="0" w:space="0" w:color="auto"/>
        <w:left w:val="none" w:sz="0" w:space="0" w:color="auto"/>
        <w:bottom w:val="none" w:sz="0" w:space="0" w:color="auto"/>
        <w:right w:val="none" w:sz="0" w:space="0" w:color="auto"/>
      </w:divBdr>
    </w:div>
    <w:div w:id="34820976">
      <w:bodyDiv w:val="1"/>
      <w:marLeft w:val="0"/>
      <w:marRight w:val="0"/>
      <w:marTop w:val="0"/>
      <w:marBottom w:val="0"/>
      <w:divBdr>
        <w:top w:val="none" w:sz="0" w:space="0" w:color="auto"/>
        <w:left w:val="none" w:sz="0" w:space="0" w:color="auto"/>
        <w:bottom w:val="none" w:sz="0" w:space="0" w:color="auto"/>
        <w:right w:val="none" w:sz="0" w:space="0" w:color="auto"/>
      </w:divBdr>
    </w:div>
    <w:div w:id="38625396">
      <w:bodyDiv w:val="1"/>
      <w:marLeft w:val="0"/>
      <w:marRight w:val="0"/>
      <w:marTop w:val="0"/>
      <w:marBottom w:val="0"/>
      <w:divBdr>
        <w:top w:val="none" w:sz="0" w:space="0" w:color="auto"/>
        <w:left w:val="none" w:sz="0" w:space="0" w:color="auto"/>
        <w:bottom w:val="none" w:sz="0" w:space="0" w:color="auto"/>
        <w:right w:val="none" w:sz="0" w:space="0" w:color="auto"/>
      </w:divBdr>
    </w:div>
    <w:div w:id="57244832">
      <w:bodyDiv w:val="1"/>
      <w:marLeft w:val="0"/>
      <w:marRight w:val="0"/>
      <w:marTop w:val="0"/>
      <w:marBottom w:val="0"/>
      <w:divBdr>
        <w:top w:val="none" w:sz="0" w:space="0" w:color="auto"/>
        <w:left w:val="none" w:sz="0" w:space="0" w:color="auto"/>
        <w:bottom w:val="none" w:sz="0" w:space="0" w:color="auto"/>
        <w:right w:val="none" w:sz="0" w:space="0" w:color="auto"/>
      </w:divBdr>
    </w:div>
    <w:div w:id="61296694">
      <w:bodyDiv w:val="1"/>
      <w:marLeft w:val="0"/>
      <w:marRight w:val="0"/>
      <w:marTop w:val="0"/>
      <w:marBottom w:val="0"/>
      <w:divBdr>
        <w:top w:val="none" w:sz="0" w:space="0" w:color="auto"/>
        <w:left w:val="none" w:sz="0" w:space="0" w:color="auto"/>
        <w:bottom w:val="none" w:sz="0" w:space="0" w:color="auto"/>
        <w:right w:val="none" w:sz="0" w:space="0" w:color="auto"/>
      </w:divBdr>
    </w:div>
    <w:div w:id="76250696">
      <w:bodyDiv w:val="1"/>
      <w:marLeft w:val="0"/>
      <w:marRight w:val="0"/>
      <w:marTop w:val="0"/>
      <w:marBottom w:val="0"/>
      <w:divBdr>
        <w:top w:val="none" w:sz="0" w:space="0" w:color="auto"/>
        <w:left w:val="none" w:sz="0" w:space="0" w:color="auto"/>
        <w:bottom w:val="none" w:sz="0" w:space="0" w:color="auto"/>
        <w:right w:val="none" w:sz="0" w:space="0" w:color="auto"/>
      </w:divBdr>
    </w:div>
    <w:div w:id="81342477">
      <w:bodyDiv w:val="1"/>
      <w:marLeft w:val="0"/>
      <w:marRight w:val="0"/>
      <w:marTop w:val="0"/>
      <w:marBottom w:val="0"/>
      <w:divBdr>
        <w:top w:val="none" w:sz="0" w:space="0" w:color="auto"/>
        <w:left w:val="none" w:sz="0" w:space="0" w:color="auto"/>
        <w:bottom w:val="none" w:sz="0" w:space="0" w:color="auto"/>
        <w:right w:val="none" w:sz="0" w:space="0" w:color="auto"/>
      </w:divBdr>
    </w:div>
    <w:div w:id="85619624">
      <w:bodyDiv w:val="1"/>
      <w:marLeft w:val="0"/>
      <w:marRight w:val="0"/>
      <w:marTop w:val="0"/>
      <w:marBottom w:val="0"/>
      <w:divBdr>
        <w:top w:val="none" w:sz="0" w:space="0" w:color="auto"/>
        <w:left w:val="none" w:sz="0" w:space="0" w:color="auto"/>
        <w:bottom w:val="none" w:sz="0" w:space="0" w:color="auto"/>
        <w:right w:val="none" w:sz="0" w:space="0" w:color="auto"/>
      </w:divBdr>
    </w:div>
    <w:div w:id="94449158">
      <w:bodyDiv w:val="1"/>
      <w:marLeft w:val="0"/>
      <w:marRight w:val="0"/>
      <w:marTop w:val="0"/>
      <w:marBottom w:val="0"/>
      <w:divBdr>
        <w:top w:val="none" w:sz="0" w:space="0" w:color="auto"/>
        <w:left w:val="none" w:sz="0" w:space="0" w:color="auto"/>
        <w:bottom w:val="none" w:sz="0" w:space="0" w:color="auto"/>
        <w:right w:val="none" w:sz="0" w:space="0" w:color="auto"/>
      </w:divBdr>
    </w:div>
    <w:div w:id="98457639">
      <w:bodyDiv w:val="1"/>
      <w:marLeft w:val="0"/>
      <w:marRight w:val="0"/>
      <w:marTop w:val="0"/>
      <w:marBottom w:val="0"/>
      <w:divBdr>
        <w:top w:val="none" w:sz="0" w:space="0" w:color="auto"/>
        <w:left w:val="none" w:sz="0" w:space="0" w:color="auto"/>
        <w:bottom w:val="none" w:sz="0" w:space="0" w:color="auto"/>
        <w:right w:val="none" w:sz="0" w:space="0" w:color="auto"/>
      </w:divBdr>
    </w:div>
    <w:div w:id="102070966">
      <w:bodyDiv w:val="1"/>
      <w:marLeft w:val="0"/>
      <w:marRight w:val="0"/>
      <w:marTop w:val="0"/>
      <w:marBottom w:val="0"/>
      <w:divBdr>
        <w:top w:val="none" w:sz="0" w:space="0" w:color="auto"/>
        <w:left w:val="none" w:sz="0" w:space="0" w:color="auto"/>
        <w:bottom w:val="none" w:sz="0" w:space="0" w:color="auto"/>
        <w:right w:val="none" w:sz="0" w:space="0" w:color="auto"/>
      </w:divBdr>
    </w:div>
    <w:div w:id="102504543">
      <w:bodyDiv w:val="1"/>
      <w:marLeft w:val="0"/>
      <w:marRight w:val="0"/>
      <w:marTop w:val="0"/>
      <w:marBottom w:val="0"/>
      <w:divBdr>
        <w:top w:val="none" w:sz="0" w:space="0" w:color="auto"/>
        <w:left w:val="none" w:sz="0" w:space="0" w:color="auto"/>
        <w:bottom w:val="none" w:sz="0" w:space="0" w:color="auto"/>
        <w:right w:val="none" w:sz="0" w:space="0" w:color="auto"/>
      </w:divBdr>
      <w:divsChild>
        <w:div w:id="5787660">
          <w:marLeft w:val="274"/>
          <w:marRight w:val="0"/>
          <w:marTop w:val="0"/>
          <w:marBottom w:val="84"/>
          <w:divBdr>
            <w:top w:val="none" w:sz="0" w:space="0" w:color="auto"/>
            <w:left w:val="none" w:sz="0" w:space="0" w:color="auto"/>
            <w:bottom w:val="none" w:sz="0" w:space="0" w:color="auto"/>
            <w:right w:val="none" w:sz="0" w:space="0" w:color="auto"/>
          </w:divBdr>
        </w:div>
        <w:div w:id="42222079">
          <w:marLeft w:val="274"/>
          <w:marRight w:val="0"/>
          <w:marTop w:val="0"/>
          <w:marBottom w:val="84"/>
          <w:divBdr>
            <w:top w:val="none" w:sz="0" w:space="0" w:color="auto"/>
            <w:left w:val="none" w:sz="0" w:space="0" w:color="auto"/>
            <w:bottom w:val="none" w:sz="0" w:space="0" w:color="auto"/>
            <w:right w:val="none" w:sz="0" w:space="0" w:color="auto"/>
          </w:divBdr>
        </w:div>
        <w:div w:id="254826142">
          <w:marLeft w:val="274"/>
          <w:marRight w:val="0"/>
          <w:marTop w:val="0"/>
          <w:marBottom w:val="84"/>
          <w:divBdr>
            <w:top w:val="none" w:sz="0" w:space="0" w:color="auto"/>
            <w:left w:val="none" w:sz="0" w:space="0" w:color="auto"/>
            <w:bottom w:val="none" w:sz="0" w:space="0" w:color="auto"/>
            <w:right w:val="none" w:sz="0" w:space="0" w:color="auto"/>
          </w:divBdr>
        </w:div>
        <w:div w:id="490828531">
          <w:marLeft w:val="274"/>
          <w:marRight w:val="0"/>
          <w:marTop w:val="0"/>
          <w:marBottom w:val="84"/>
          <w:divBdr>
            <w:top w:val="none" w:sz="0" w:space="0" w:color="auto"/>
            <w:left w:val="none" w:sz="0" w:space="0" w:color="auto"/>
            <w:bottom w:val="none" w:sz="0" w:space="0" w:color="auto"/>
            <w:right w:val="none" w:sz="0" w:space="0" w:color="auto"/>
          </w:divBdr>
        </w:div>
        <w:div w:id="1018583331">
          <w:marLeft w:val="274"/>
          <w:marRight w:val="0"/>
          <w:marTop w:val="0"/>
          <w:marBottom w:val="84"/>
          <w:divBdr>
            <w:top w:val="none" w:sz="0" w:space="0" w:color="auto"/>
            <w:left w:val="none" w:sz="0" w:space="0" w:color="auto"/>
            <w:bottom w:val="none" w:sz="0" w:space="0" w:color="auto"/>
            <w:right w:val="none" w:sz="0" w:space="0" w:color="auto"/>
          </w:divBdr>
        </w:div>
      </w:divsChild>
    </w:div>
    <w:div w:id="102650011">
      <w:bodyDiv w:val="1"/>
      <w:marLeft w:val="0"/>
      <w:marRight w:val="0"/>
      <w:marTop w:val="0"/>
      <w:marBottom w:val="0"/>
      <w:divBdr>
        <w:top w:val="none" w:sz="0" w:space="0" w:color="auto"/>
        <w:left w:val="none" w:sz="0" w:space="0" w:color="auto"/>
        <w:bottom w:val="none" w:sz="0" w:space="0" w:color="auto"/>
        <w:right w:val="none" w:sz="0" w:space="0" w:color="auto"/>
      </w:divBdr>
    </w:div>
    <w:div w:id="104809527">
      <w:bodyDiv w:val="1"/>
      <w:marLeft w:val="0"/>
      <w:marRight w:val="0"/>
      <w:marTop w:val="0"/>
      <w:marBottom w:val="0"/>
      <w:divBdr>
        <w:top w:val="none" w:sz="0" w:space="0" w:color="auto"/>
        <w:left w:val="none" w:sz="0" w:space="0" w:color="auto"/>
        <w:bottom w:val="none" w:sz="0" w:space="0" w:color="auto"/>
        <w:right w:val="none" w:sz="0" w:space="0" w:color="auto"/>
      </w:divBdr>
    </w:div>
    <w:div w:id="106317329">
      <w:bodyDiv w:val="1"/>
      <w:marLeft w:val="0"/>
      <w:marRight w:val="0"/>
      <w:marTop w:val="0"/>
      <w:marBottom w:val="0"/>
      <w:divBdr>
        <w:top w:val="none" w:sz="0" w:space="0" w:color="auto"/>
        <w:left w:val="none" w:sz="0" w:space="0" w:color="auto"/>
        <w:bottom w:val="none" w:sz="0" w:space="0" w:color="auto"/>
        <w:right w:val="none" w:sz="0" w:space="0" w:color="auto"/>
      </w:divBdr>
    </w:div>
    <w:div w:id="107434147">
      <w:bodyDiv w:val="1"/>
      <w:marLeft w:val="0"/>
      <w:marRight w:val="0"/>
      <w:marTop w:val="0"/>
      <w:marBottom w:val="0"/>
      <w:divBdr>
        <w:top w:val="none" w:sz="0" w:space="0" w:color="auto"/>
        <w:left w:val="none" w:sz="0" w:space="0" w:color="auto"/>
        <w:bottom w:val="none" w:sz="0" w:space="0" w:color="auto"/>
        <w:right w:val="none" w:sz="0" w:space="0" w:color="auto"/>
      </w:divBdr>
    </w:div>
    <w:div w:id="107550395">
      <w:bodyDiv w:val="1"/>
      <w:marLeft w:val="0"/>
      <w:marRight w:val="0"/>
      <w:marTop w:val="0"/>
      <w:marBottom w:val="0"/>
      <w:divBdr>
        <w:top w:val="none" w:sz="0" w:space="0" w:color="auto"/>
        <w:left w:val="none" w:sz="0" w:space="0" w:color="auto"/>
        <w:bottom w:val="none" w:sz="0" w:space="0" w:color="auto"/>
        <w:right w:val="none" w:sz="0" w:space="0" w:color="auto"/>
      </w:divBdr>
    </w:div>
    <w:div w:id="111168775">
      <w:bodyDiv w:val="1"/>
      <w:marLeft w:val="0"/>
      <w:marRight w:val="0"/>
      <w:marTop w:val="0"/>
      <w:marBottom w:val="0"/>
      <w:divBdr>
        <w:top w:val="none" w:sz="0" w:space="0" w:color="auto"/>
        <w:left w:val="none" w:sz="0" w:space="0" w:color="auto"/>
        <w:bottom w:val="none" w:sz="0" w:space="0" w:color="auto"/>
        <w:right w:val="none" w:sz="0" w:space="0" w:color="auto"/>
      </w:divBdr>
    </w:div>
    <w:div w:id="115876183">
      <w:bodyDiv w:val="1"/>
      <w:marLeft w:val="0"/>
      <w:marRight w:val="0"/>
      <w:marTop w:val="0"/>
      <w:marBottom w:val="0"/>
      <w:divBdr>
        <w:top w:val="none" w:sz="0" w:space="0" w:color="auto"/>
        <w:left w:val="none" w:sz="0" w:space="0" w:color="auto"/>
        <w:bottom w:val="none" w:sz="0" w:space="0" w:color="auto"/>
        <w:right w:val="none" w:sz="0" w:space="0" w:color="auto"/>
      </w:divBdr>
    </w:div>
    <w:div w:id="116222338">
      <w:bodyDiv w:val="1"/>
      <w:marLeft w:val="0"/>
      <w:marRight w:val="0"/>
      <w:marTop w:val="0"/>
      <w:marBottom w:val="0"/>
      <w:divBdr>
        <w:top w:val="none" w:sz="0" w:space="0" w:color="auto"/>
        <w:left w:val="none" w:sz="0" w:space="0" w:color="auto"/>
        <w:bottom w:val="none" w:sz="0" w:space="0" w:color="auto"/>
        <w:right w:val="none" w:sz="0" w:space="0" w:color="auto"/>
      </w:divBdr>
    </w:div>
    <w:div w:id="117918155">
      <w:bodyDiv w:val="1"/>
      <w:marLeft w:val="0"/>
      <w:marRight w:val="0"/>
      <w:marTop w:val="0"/>
      <w:marBottom w:val="0"/>
      <w:divBdr>
        <w:top w:val="none" w:sz="0" w:space="0" w:color="auto"/>
        <w:left w:val="none" w:sz="0" w:space="0" w:color="auto"/>
        <w:bottom w:val="none" w:sz="0" w:space="0" w:color="auto"/>
        <w:right w:val="none" w:sz="0" w:space="0" w:color="auto"/>
      </w:divBdr>
    </w:div>
    <w:div w:id="127558138">
      <w:bodyDiv w:val="1"/>
      <w:marLeft w:val="0"/>
      <w:marRight w:val="0"/>
      <w:marTop w:val="0"/>
      <w:marBottom w:val="0"/>
      <w:divBdr>
        <w:top w:val="none" w:sz="0" w:space="0" w:color="auto"/>
        <w:left w:val="none" w:sz="0" w:space="0" w:color="auto"/>
        <w:bottom w:val="none" w:sz="0" w:space="0" w:color="auto"/>
        <w:right w:val="none" w:sz="0" w:space="0" w:color="auto"/>
      </w:divBdr>
    </w:div>
    <w:div w:id="132599129">
      <w:bodyDiv w:val="1"/>
      <w:marLeft w:val="0"/>
      <w:marRight w:val="0"/>
      <w:marTop w:val="0"/>
      <w:marBottom w:val="0"/>
      <w:divBdr>
        <w:top w:val="none" w:sz="0" w:space="0" w:color="auto"/>
        <w:left w:val="none" w:sz="0" w:space="0" w:color="auto"/>
        <w:bottom w:val="none" w:sz="0" w:space="0" w:color="auto"/>
        <w:right w:val="none" w:sz="0" w:space="0" w:color="auto"/>
      </w:divBdr>
    </w:div>
    <w:div w:id="132991441">
      <w:bodyDiv w:val="1"/>
      <w:marLeft w:val="0"/>
      <w:marRight w:val="0"/>
      <w:marTop w:val="0"/>
      <w:marBottom w:val="0"/>
      <w:divBdr>
        <w:top w:val="none" w:sz="0" w:space="0" w:color="auto"/>
        <w:left w:val="none" w:sz="0" w:space="0" w:color="auto"/>
        <w:bottom w:val="none" w:sz="0" w:space="0" w:color="auto"/>
        <w:right w:val="none" w:sz="0" w:space="0" w:color="auto"/>
      </w:divBdr>
    </w:div>
    <w:div w:id="135071795">
      <w:bodyDiv w:val="1"/>
      <w:marLeft w:val="0"/>
      <w:marRight w:val="0"/>
      <w:marTop w:val="0"/>
      <w:marBottom w:val="0"/>
      <w:divBdr>
        <w:top w:val="none" w:sz="0" w:space="0" w:color="auto"/>
        <w:left w:val="none" w:sz="0" w:space="0" w:color="auto"/>
        <w:bottom w:val="none" w:sz="0" w:space="0" w:color="auto"/>
        <w:right w:val="none" w:sz="0" w:space="0" w:color="auto"/>
      </w:divBdr>
      <w:divsChild>
        <w:div w:id="8022103">
          <w:marLeft w:val="360"/>
          <w:marRight w:val="0"/>
          <w:marTop w:val="60"/>
          <w:marBottom w:val="60"/>
          <w:divBdr>
            <w:top w:val="none" w:sz="0" w:space="0" w:color="auto"/>
            <w:left w:val="none" w:sz="0" w:space="0" w:color="auto"/>
            <w:bottom w:val="none" w:sz="0" w:space="0" w:color="auto"/>
            <w:right w:val="none" w:sz="0" w:space="0" w:color="auto"/>
          </w:divBdr>
        </w:div>
        <w:div w:id="85998384">
          <w:marLeft w:val="360"/>
          <w:marRight w:val="0"/>
          <w:marTop w:val="60"/>
          <w:marBottom w:val="60"/>
          <w:divBdr>
            <w:top w:val="none" w:sz="0" w:space="0" w:color="auto"/>
            <w:left w:val="none" w:sz="0" w:space="0" w:color="auto"/>
            <w:bottom w:val="none" w:sz="0" w:space="0" w:color="auto"/>
            <w:right w:val="none" w:sz="0" w:space="0" w:color="auto"/>
          </w:divBdr>
        </w:div>
        <w:div w:id="287519107">
          <w:marLeft w:val="360"/>
          <w:marRight w:val="0"/>
          <w:marTop w:val="60"/>
          <w:marBottom w:val="60"/>
          <w:divBdr>
            <w:top w:val="none" w:sz="0" w:space="0" w:color="auto"/>
            <w:left w:val="none" w:sz="0" w:space="0" w:color="auto"/>
            <w:bottom w:val="none" w:sz="0" w:space="0" w:color="auto"/>
            <w:right w:val="none" w:sz="0" w:space="0" w:color="auto"/>
          </w:divBdr>
        </w:div>
        <w:div w:id="553391212">
          <w:marLeft w:val="360"/>
          <w:marRight w:val="0"/>
          <w:marTop w:val="60"/>
          <w:marBottom w:val="60"/>
          <w:divBdr>
            <w:top w:val="none" w:sz="0" w:space="0" w:color="auto"/>
            <w:left w:val="none" w:sz="0" w:space="0" w:color="auto"/>
            <w:bottom w:val="none" w:sz="0" w:space="0" w:color="auto"/>
            <w:right w:val="none" w:sz="0" w:space="0" w:color="auto"/>
          </w:divBdr>
        </w:div>
        <w:div w:id="592663078">
          <w:marLeft w:val="360"/>
          <w:marRight w:val="0"/>
          <w:marTop w:val="60"/>
          <w:marBottom w:val="60"/>
          <w:divBdr>
            <w:top w:val="none" w:sz="0" w:space="0" w:color="auto"/>
            <w:left w:val="none" w:sz="0" w:space="0" w:color="auto"/>
            <w:bottom w:val="none" w:sz="0" w:space="0" w:color="auto"/>
            <w:right w:val="none" w:sz="0" w:space="0" w:color="auto"/>
          </w:divBdr>
        </w:div>
        <w:div w:id="747919283">
          <w:marLeft w:val="360"/>
          <w:marRight w:val="0"/>
          <w:marTop w:val="60"/>
          <w:marBottom w:val="60"/>
          <w:divBdr>
            <w:top w:val="none" w:sz="0" w:space="0" w:color="auto"/>
            <w:left w:val="none" w:sz="0" w:space="0" w:color="auto"/>
            <w:bottom w:val="none" w:sz="0" w:space="0" w:color="auto"/>
            <w:right w:val="none" w:sz="0" w:space="0" w:color="auto"/>
          </w:divBdr>
        </w:div>
        <w:div w:id="760763865">
          <w:marLeft w:val="360"/>
          <w:marRight w:val="0"/>
          <w:marTop w:val="60"/>
          <w:marBottom w:val="60"/>
          <w:divBdr>
            <w:top w:val="none" w:sz="0" w:space="0" w:color="auto"/>
            <w:left w:val="none" w:sz="0" w:space="0" w:color="auto"/>
            <w:bottom w:val="none" w:sz="0" w:space="0" w:color="auto"/>
            <w:right w:val="none" w:sz="0" w:space="0" w:color="auto"/>
          </w:divBdr>
        </w:div>
        <w:div w:id="940138741">
          <w:marLeft w:val="360"/>
          <w:marRight w:val="0"/>
          <w:marTop w:val="60"/>
          <w:marBottom w:val="60"/>
          <w:divBdr>
            <w:top w:val="none" w:sz="0" w:space="0" w:color="auto"/>
            <w:left w:val="none" w:sz="0" w:space="0" w:color="auto"/>
            <w:bottom w:val="none" w:sz="0" w:space="0" w:color="auto"/>
            <w:right w:val="none" w:sz="0" w:space="0" w:color="auto"/>
          </w:divBdr>
        </w:div>
        <w:div w:id="1123311441">
          <w:marLeft w:val="360"/>
          <w:marRight w:val="0"/>
          <w:marTop w:val="60"/>
          <w:marBottom w:val="60"/>
          <w:divBdr>
            <w:top w:val="none" w:sz="0" w:space="0" w:color="auto"/>
            <w:left w:val="none" w:sz="0" w:space="0" w:color="auto"/>
            <w:bottom w:val="none" w:sz="0" w:space="0" w:color="auto"/>
            <w:right w:val="none" w:sz="0" w:space="0" w:color="auto"/>
          </w:divBdr>
        </w:div>
        <w:div w:id="1696543468">
          <w:marLeft w:val="360"/>
          <w:marRight w:val="0"/>
          <w:marTop w:val="60"/>
          <w:marBottom w:val="60"/>
          <w:divBdr>
            <w:top w:val="none" w:sz="0" w:space="0" w:color="auto"/>
            <w:left w:val="none" w:sz="0" w:space="0" w:color="auto"/>
            <w:bottom w:val="none" w:sz="0" w:space="0" w:color="auto"/>
            <w:right w:val="none" w:sz="0" w:space="0" w:color="auto"/>
          </w:divBdr>
        </w:div>
        <w:div w:id="1923106125">
          <w:marLeft w:val="360"/>
          <w:marRight w:val="0"/>
          <w:marTop w:val="60"/>
          <w:marBottom w:val="60"/>
          <w:divBdr>
            <w:top w:val="none" w:sz="0" w:space="0" w:color="auto"/>
            <w:left w:val="none" w:sz="0" w:space="0" w:color="auto"/>
            <w:bottom w:val="none" w:sz="0" w:space="0" w:color="auto"/>
            <w:right w:val="none" w:sz="0" w:space="0" w:color="auto"/>
          </w:divBdr>
        </w:div>
        <w:div w:id="2033146688">
          <w:marLeft w:val="360"/>
          <w:marRight w:val="0"/>
          <w:marTop w:val="60"/>
          <w:marBottom w:val="60"/>
          <w:divBdr>
            <w:top w:val="none" w:sz="0" w:space="0" w:color="auto"/>
            <w:left w:val="none" w:sz="0" w:space="0" w:color="auto"/>
            <w:bottom w:val="none" w:sz="0" w:space="0" w:color="auto"/>
            <w:right w:val="none" w:sz="0" w:space="0" w:color="auto"/>
          </w:divBdr>
        </w:div>
        <w:div w:id="2055158651">
          <w:marLeft w:val="360"/>
          <w:marRight w:val="0"/>
          <w:marTop w:val="60"/>
          <w:marBottom w:val="60"/>
          <w:divBdr>
            <w:top w:val="none" w:sz="0" w:space="0" w:color="auto"/>
            <w:left w:val="none" w:sz="0" w:space="0" w:color="auto"/>
            <w:bottom w:val="none" w:sz="0" w:space="0" w:color="auto"/>
            <w:right w:val="none" w:sz="0" w:space="0" w:color="auto"/>
          </w:divBdr>
        </w:div>
        <w:div w:id="2060204354">
          <w:marLeft w:val="360"/>
          <w:marRight w:val="0"/>
          <w:marTop w:val="60"/>
          <w:marBottom w:val="60"/>
          <w:divBdr>
            <w:top w:val="none" w:sz="0" w:space="0" w:color="auto"/>
            <w:left w:val="none" w:sz="0" w:space="0" w:color="auto"/>
            <w:bottom w:val="none" w:sz="0" w:space="0" w:color="auto"/>
            <w:right w:val="none" w:sz="0" w:space="0" w:color="auto"/>
          </w:divBdr>
        </w:div>
      </w:divsChild>
    </w:div>
    <w:div w:id="138570940">
      <w:bodyDiv w:val="1"/>
      <w:marLeft w:val="0"/>
      <w:marRight w:val="0"/>
      <w:marTop w:val="0"/>
      <w:marBottom w:val="0"/>
      <w:divBdr>
        <w:top w:val="none" w:sz="0" w:space="0" w:color="auto"/>
        <w:left w:val="none" w:sz="0" w:space="0" w:color="auto"/>
        <w:bottom w:val="none" w:sz="0" w:space="0" w:color="auto"/>
        <w:right w:val="none" w:sz="0" w:space="0" w:color="auto"/>
      </w:divBdr>
    </w:div>
    <w:div w:id="140969296">
      <w:bodyDiv w:val="1"/>
      <w:marLeft w:val="0"/>
      <w:marRight w:val="0"/>
      <w:marTop w:val="0"/>
      <w:marBottom w:val="0"/>
      <w:divBdr>
        <w:top w:val="none" w:sz="0" w:space="0" w:color="auto"/>
        <w:left w:val="none" w:sz="0" w:space="0" w:color="auto"/>
        <w:bottom w:val="none" w:sz="0" w:space="0" w:color="auto"/>
        <w:right w:val="none" w:sz="0" w:space="0" w:color="auto"/>
      </w:divBdr>
    </w:div>
    <w:div w:id="146242723">
      <w:bodyDiv w:val="1"/>
      <w:marLeft w:val="0"/>
      <w:marRight w:val="0"/>
      <w:marTop w:val="0"/>
      <w:marBottom w:val="0"/>
      <w:divBdr>
        <w:top w:val="none" w:sz="0" w:space="0" w:color="auto"/>
        <w:left w:val="none" w:sz="0" w:space="0" w:color="auto"/>
        <w:bottom w:val="none" w:sz="0" w:space="0" w:color="auto"/>
        <w:right w:val="none" w:sz="0" w:space="0" w:color="auto"/>
      </w:divBdr>
    </w:div>
    <w:div w:id="148717084">
      <w:bodyDiv w:val="1"/>
      <w:marLeft w:val="0"/>
      <w:marRight w:val="0"/>
      <w:marTop w:val="0"/>
      <w:marBottom w:val="0"/>
      <w:divBdr>
        <w:top w:val="none" w:sz="0" w:space="0" w:color="auto"/>
        <w:left w:val="none" w:sz="0" w:space="0" w:color="auto"/>
        <w:bottom w:val="none" w:sz="0" w:space="0" w:color="auto"/>
        <w:right w:val="none" w:sz="0" w:space="0" w:color="auto"/>
      </w:divBdr>
    </w:div>
    <w:div w:id="151601100">
      <w:bodyDiv w:val="1"/>
      <w:marLeft w:val="0"/>
      <w:marRight w:val="0"/>
      <w:marTop w:val="0"/>
      <w:marBottom w:val="0"/>
      <w:divBdr>
        <w:top w:val="none" w:sz="0" w:space="0" w:color="auto"/>
        <w:left w:val="none" w:sz="0" w:space="0" w:color="auto"/>
        <w:bottom w:val="none" w:sz="0" w:space="0" w:color="auto"/>
        <w:right w:val="none" w:sz="0" w:space="0" w:color="auto"/>
      </w:divBdr>
    </w:div>
    <w:div w:id="154495258">
      <w:bodyDiv w:val="1"/>
      <w:marLeft w:val="0"/>
      <w:marRight w:val="0"/>
      <w:marTop w:val="0"/>
      <w:marBottom w:val="0"/>
      <w:divBdr>
        <w:top w:val="none" w:sz="0" w:space="0" w:color="auto"/>
        <w:left w:val="none" w:sz="0" w:space="0" w:color="auto"/>
        <w:bottom w:val="none" w:sz="0" w:space="0" w:color="auto"/>
        <w:right w:val="none" w:sz="0" w:space="0" w:color="auto"/>
      </w:divBdr>
    </w:div>
    <w:div w:id="162822083">
      <w:bodyDiv w:val="1"/>
      <w:marLeft w:val="0"/>
      <w:marRight w:val="0"/>
      <w:marTop w:val="0"/>
      <w:marBottom w:val="0"/>
      <w:divBdr>
        <w:top w:val="none" w:sz="0" w:space="0" w:color="auto"/>
        <w:left w:val="none" w:sz="0" w:space="0" w:color="auto"/>
        <w:bottom w:val="none" w:sz="0" w:space="0" w:color="auto"/>
        <w:right w:val="none" w:sz="0" w:space="0" w:color="auto"/>
      </w:divBdr>
    </w:div>
    <w:div w:id="168563838">
      <w:bodyDiv w:val="1"/>
      <w:marLeft w:val="0"/>
      <w:marRight w:val="0"/>
      <w:marTop w:val="0"/>
      <w:marBottom w:val="0"/>
      <w:divBdr>
        <w:top w:val="none" w:sz="0" w:space="0" w:color="auto"/>
        <w:left w:val="none" w:sz="0" w:space="0" w:color="auto"/>
        <w:bottom w:val="none" w:sz="0" w:space="0" w:color="auto"/>
        <w:right w:val="none" w:sz="0" w:space="0" w:color="auto"/>
      </w:divBdr>
    </w:div>
    <w:div w:id="170073027">
      <w:bodyDiv w:val="1"/>
      <w:marLeft w:val="0"/>
      <w:marRight w:val="0"/>
      <w:marTop w:val="0"/>
      <w:marBottom w:val="0"/>
      <w:divBdr>
        <w:top w:val="none" w:sz="0" w:space="0" w:color="auto"/>
        <w:left w:val="none" w:sz="0" w:space="0" w:color="auto"/>
        <w:bottom w:val="none" w:sz="0" w:space="0" w:color="auto"/>
        <w:right w:val="none" w:sz="0" w:space="0" w:color="auto"/>
      </w:divBdr>
      <w:divsChild>
        <w:div w:id="487332160">
          <w:marLeft w:val="274"/>
          <w:marRight w:val="0"/>
          <w:marTop w:val="0"/>
          <w:marBottom w:val="0"/>
          <w:divBdr>
            <w:top w:val="none" w:sz="0" w:space="0" w:color="auto"/>
            <w:left w:val="none" w:sz="0" w:space="0" w:color="auto"/>
            <w:bottom w:val="none" w:sz="0" w:space="0" w:color="auto"/>
            <w:right w:val="none" w:sz="0" w:space="0" w:color="auto"/>
          </w:divBdr>
        </w:div>
        <w:div w:id="983435989">
          <w:marLeft w:val="274"/>
          <w:marRight w:val="0"/>
          <w:marTop w:val="0"/>
          <w:marBottom w:val="0"/>
          <w:divBdr>
            <w:top w:val="none" w:sz="0" w:space="0" w:color="auto"/>
            <w:left w:val="none" w:sz="0" w:space="0" w:color="auto"/>
            <w:bottom w:val="none" w:sz="0" w:space="0" w:color="auto"/>
            <w:right w:val="none" w:sz="0" w:space="0" w:color="auto"/>
          </w:divBdr>
        </w:div>
        <w:div w:id="1456755922">
          <w:marLeft w:val="274"/>
          <w:marRight w:val="0"/>
          <w:marTop w:val="0"/>
          <w:marBottom w:val="0"/>
          <w:divBdr>
            <w:top w:val="none" w:sz="0" w:space="0" w:color="auto"/>
            <w:left w:val="none" w:sz="0" w:space="0" w:color="auto"/>
            <w:bottom w:val="none" w:sz="0" w:space="0" w:color="auto"/>
            <w:right w:val="none" w:sz="0" w:space="0" w:color="auto"/>
          </w:divBdr>
        </w:div>
        <w:div w:id="1667173016">
          <w:marLeft w:val="274"/>
          <w:marRight w:val="0"/>
          <w:marTop w:val="0"/>
          <w:marBottom w:val="0"/>
          <w:divBdr>
            <w:top w:val="none" w:sz="0" w:space="0" w:color="auto"/>
            <w:left w:val="none" w:sz="0" w:space="0" w:color="auto"/>
            <w:bottom w:val="none" w:sz="0" w:space="0" w:color="auto"/>
            <w:right w:val="none" w:sz="0" w:space="0" w:color="auto"/>
          </w:divBdr>
        </w:div>
        <w:div w:id="1941570527">
          <w:marLeft w:val="274"/>
          <w:marRight w:val="0"/>
          <w:marTop w:val="0"/>
          <w:marBottom w:val="0"/>
          <w:divBdr>
            <w:top w:val="none" w:sz="0" w:space="0" w:color="auto"/>
            <w:left w:val="none" w:sz="0" w:space="0" w:color="auto"/>
            <w:bottom w:val="none" w:sz="0" w:space="0" w:color="auto"/>
            <w:right w:val="none" w:sz="0" w:space="0" w:color="auto"/>
          </w:divBdr>
        </w:div>
      </w:divsChild>
    </w:div>
    <w:div w:id="180248243">
      <w:bodyDiv w:val="1"/>
      <w:marLeft w:val="0"/>
      <w:marRight w:val="0"/>
      <w:marTop w:val="0"/>
      <w:marBottom w:val="0"/>
      <w:divBdr>
        <w:top w:val="none" w:sz="0" w:space="0" w:color="auto"/>
        <w:left w:val="none" w:sz="0" w:space="0" w:color="auto"/>
        <w:bottom w:val="none" w:sz="0" w:space="0" w:color="auto"/>
        <w:right w:val="none" w:sz="0" w:space="0" w:color="auto"/>
      </w:divBdr>
    </w:div>
    <w:div w:id="187984369">
      <w:bodyDiv w:val="1"/>
      <w:marLeft w:val="0"/>
      <w:marRight w:val="0"/>
      <w:marTop w:val="0"/>
      <w:marBottom w:val="0"/>
      <w:divBdr>
        <w:top w:val="none" w:sz="0" w:space="0" w:color="auto"/>
        <w:left w:val="none" w:sz="0" w:space="0" w:color="auto"/>
        <w:bottom w:val="none" w:sz="0" w:space="0" w:color="auto"/>
        <w:right w:val="none" w:sz="0" w:space="0" w:color="auto"/>
      </w:divBdr>
    </w:div>
    <w:div w:id="190385043">
      <w:bodyDiv w:val="1"/>
      <w:marLeft w:val="0"/>
      <w:marRight w:val="0"/>
      <w:marTop w:val="0"/>
      <w:marBottom w:val="0"/>
      <w:divBdr>
        <w:top w:val="none" w:sz="0" w:space="0" w:color="auto"/>
        <w:left w:val="none" w:sz="0" w:space="0" w:color="auto"/>
        <w:bottom w:val="none" w:sz="0" w:space="0" w:color="auto"/>
        <w:right w:val="none" w:sz="0" w:space="0" w:color="auto"/>
      </w:divBdr>
    </w:div>
    <w:div w:id="191652282">
      <w:bodyDiv w:val="1"/>
      <w:marLeft w:val="0"/>
      <w:marRight w:val="0"/>
      <w:marTop w:val="0"/>
      <w:marBottom w:val="0"/>
      <w:divBdr>
        <w:top w:val="none" w:sz="0" w:space="0" w:color="auto"/>
        <w:left w:val="none" w:sz="0" w:space="0" w:color="auto"/>
        <w:bottom w:val="none" w:sz="0" w:space="0" w:color="auto"/>
        <w:right w:val="none" w:sz="0" w:space="0" w:color="auto"/>
      </w:divBdr>
      <w:divsChild>
        <w:div w:id="796290116">
          <w:marLeft w:val="0"/>
          <w:marRight w:val="0"/>
          <w:marTop w:val="0"/>
          <w:marBottom w:val="0"/>
          <w:divBdr>
            <w:top w:val="none" w:sz="0" w:space="0" w:color="auto"/>
            <w:left w:val="none" w:sz="0" w:space="0" w:color="auto"/>
            <w:bottom w:val="none" w:sz="0" w:space="0" w:color="auto"/>
            <w:right w:val="none" w:sz="0" w:space="0" w:color="auto"/>
          </w:divBdr>
        </w:div>
      </w:divsChild>
    </w:div>
    <w:div w:id="193349708">
      <w:bodyDiv w:val="1"/>
      <w:marLeft w:val="0"/>
      <w:marRight w:val="0"/>
      <w:marTop w:val="0"/>
      <w:marBottom w:val="0"/>
      <w:divBdr>
        <w:top w:val="none" w:sz="0" w:space="0" w:color="auto"/>
        <w:left w:val="none" w:sz="0" w:space="0" w:color="auto"/>
        <w:bottom w:val="none" w:sz="0" w:space="0" w:color="auto"/>
        <w:right w:val="none" w:sz="0" w:space="0" w:color="auto"/>
      </w:divBdr>
    </w:div>
    <w:div w:id="195823270">
      <w:bodyDiv w:val="1"/>
      <w:marLeft w:val="0"/>
      <w:marRight w:val="0"/>
      <w:marTop w:val="0"/>
      <w:marBottom w:val="0"/>
      <w:divBdr>
        <w:top w:val="none" w:sz="0" w:space="0" w:color="auto"/>
        <w:left w:val="none" w:sz="0" w:space="0" w:color="auto"/>
        <w:bottom w:val="none" w:sz="0" w:space="0" w:color="auto"/>
        <w:right w:val="none" w:sz="0" w:space="0" w:color="auto"/>
      </w:divBdr>
    </w:div>
    <w:div w:id="209388319">
      <w:bodyDiv w:val="1"/>
      <w:marLeft w:val="0"/>
      <w:marRight w:val="0"/>
      <w:marTop w:val="0"/>
      <w:marBottom w:val="0"/>
      <w:divBdr>
        <w:top w:val="none" w:sz="0" w:space="0" w:color="auto"/>
        <w:left w:val="none" w:sz="0" w:space="0" w:color="auto"/>
        <w:bottom w:val="none" w:sz="0" w:space="0" w:color="auto"/>
        <w:right w:val="none" w:sz="0" w:space="0" w:color="auto"/>
      </w:divBdr>
    </w:div>
    <w:div w:id="218640441">
      <w:bodyDiv w:val="1"/>
      <w:marLeft w:val="0"/>
      <w:marRight w:val="0"/>
      <w:marTop w:val="0"/>
      <w:marBottom w:val="0"/>
      <w:divBdr>
        <w:top w:val="none" w:sz="0" w:space="0" w:color="auto"/>
        <w:left w:val="none" w:sz="0" w:space="0" w:color="auto"/>
        <w:bottom w:val="none" w:sz="0" w:space="0" w:color="auto"/>
        <w:right w:val="none" w:sz="0" w:space="0" w:color="auto"/>
      </w:divBdr>
    </w:div>
    <w:div w:id="230505000">
      <w:bodyDiv w:val="1"/>
      <w:marLeft w:val="0"/>
      <w:marRight w:val="0"/>
      <w:marTop w:val="0"/>
      <w:marBottom w:val="0"/>
      <w:divBdr>
        <w:top w:val="none" w:sz="0" w:space="0" w:color="auto"/>
        <w:left w:val="none" w:sz="0" w:space="0" w:color="auto"/>
        <w:bottom w:val="none" w:sz="0" w:space="0" w:color="auto"/>
        <w:right w:val="none" w:sz="0" w:space="0" w:color="auto"/>
      </w:divBdr>
    </w:div>
    <w:div w:id="245237896">
      <w:bodyDiv w:val="1"/>
      <w:marLeft w:val="0"/>
      <w:marRight w:val="0"/>
      <w:marTop w:val="0"/>
      <w:marBottom w:val="0"/>
      <w:divBdr>
        <w:top w:val="none" w:sz="0" w:space="0" w:color="auto"/>
        <w:left w:val="none" w:sz="0" w:space="0" w:color="auto"/>
        <w:bottom w:val="none" w:sz="0" w:space="0" w:color="auto"/>
        <w:right w:val="none" w:sz="0" w:space="0" w:color="auto"/>
      </w:divBdr>
    </w:div>
    <w:div w:id="245313228">
      <w:bodyDiv w:val="1"/>
      <w:marLeft w:val="0"/>
      <w:marRight w:val="0"/>
      <w:marTop w:val="0"/>
      <w:marBottom w:val="0"/>
      <w:divBdr>
        <w:top w:val="none" w:sz="0" w:space="0" w:color="auto"/>
        <w:left w:val="none" w:sz="0" w:space="0" w:color="auto"/>
        <w:bottom w:val="none" w:sz="0" w:space="0" w:color="auto"/>
        <w:right w:val="none" w:sz="0" w:space="0" w:color="auto"/>
      </w:divBdr>
    </w:div>
    <w:div w:id="246892380">
      <w:bodyDiv w:val="1"/>
      <w:marLeft w:val="0"/>
      <w:marRight w:val="0"/>
      <w:marTop w:val="0"/>
      <w:marBottom w:val="0"/>
      <w:divBdr>
        <w:top w:val="none" w:sz="0" w:space="0" w:color="auto"/>
        <w:left w:val="none" w:sz="0" w:space="0" w:color="auto"/>
        <w:bottom w:val="none" w:sz="0" w:space="0" w:color="auto"/>
        <w:right w:val="none" w:sz="0" w:space="0" w:color="auto"/>
      </w:divBdr>
    </w:div>
    <w:div w:id="254870757">
      <w:bodyDiv w:val="1"/>
      <w:marLeft w:val="0"/>
      <w:marRight w:val="0"/>
      <w:marTop w:val="0"/>
      <w:marBottom w:val="0"/>
      <w:divBdr>
        <w:top w:val="none" w:sz="0" w:space="0" w:color="auto"/>
        <w:left w:val="none" w:sz="0" w:space="0" w:color="auto"/>
        <w:bottom w:val="none" w:sz="0" w:space="0" w:color="auto"/>
        <w:right w:val="none" w:sz="0" w:space="0" w:color="auto"/>
      </w:divBdr>
    </w:div>
    <w:div w:id="271087665">
      <w:bodyDiv w:val="1"/>
      <w:marLeft w:val="0"/>
      <w:marRight w:val="0"/>
      <w:marTop w:val="0"/>
      <w:marBottom w:val="0"/>
      <w:divBdr>
        <w:top w:val="none" w:sz="0" w:space="0" w:color="auto"/>
        <w:left w:val="none" w:sz="0" w:space="0" w:color="auto"/>
        <w:bottom w:val="none" w:sz="0" w:space="0" w:color="auto"/>
        <w:right w:val="none" w:sz="0" w:space="0" w:color="auto"/>
      </w:divBdr>
    </w:div>
    <w:div w:id="271321591">
      <w:bodyDiv w:val="1"/>
      <w:marLeft w:val="0"/>
      <w:marRight w:val="0"/>
      <w:marTop w:val="0"/>
      <w:marBottom w:val="0"/>
      <w:divBdr>
        <w:top w:val="none" w:sz="0" w:space="0" w:color="auto"/>
        <w:left w:val="none" w:sz="0" w:space="0" w:color="auto"/>
        <w:bottom w:val="none" w:sz="0" w:space="0" w:color="auto"/>
        <w:right w:val="none" w:sz="0" w:space="0" w:color="auto"/>
      </w:divBdr>
    </w:div>
    <w:div w:id="271984394">
      <w:bodyDiv w:val="1"/>
      <w:marLeft w:val="0"/>
      <w:marRight w:val="0"/>
      <w:marTop w:val="0"/>
      <w:marBottom w:val="0"/>
      <w:divBdr>
        <w:top w:val="none" w:sz="0" w:space="0" w:color="auto"/>
        <w:left w:val="none" w:sz="0" w:space="0" w:color="auto"/>
        <w:bottom w:val="none" w:sz="0" w:space="0" w:color="auto"/>
        <w:right w:val="none" w:sz="0" w:space="0" w:color="auto"/>
      </w:divBdr>
    </w:div>
    <w:div w:id="281963785">
      <w:bodyDiv w:val="1"/>
      <w:marLeft w:val="0"/>
      <w:marRight w:val="0"/>
      <w:marTop w:val="0"/>
      <w:marBottom w:val="0"/>
      <w:divBdr>
        <w:top w:val="none" w:sz="0" w:space="0" w:color="auto"/>
        <w:left w:val="none" w:sz="0" w:space="0" w:color="auto"/>
        <w:bottom w:val="none" w:sz="0" w:space="0" w:color="auto"/>
        <w:right w:val="none" w:sz="0" w:space="0" w:color="auto"/>
      </w:divBdr>
    </w:div>
    <w:div w:id="295066317">
      <w:bodyDiv w:val="1"/>
      <w:marLeft w:val="0"/>
      <w:marRight w:val="0"/>
      <w:marTop w:val="0"/>
      <w:marBottom w:val="0"/>
      <w:divBdr>
        <w:top w:val="none" w:sz="0" w:space="0" w:color="auto"/>
        <w:left w:val="none" w:sz="0" w:space="0" w:color="auto"/>
        <w:bottom w:val="none" w:sz="0" w:space="0" w:color="auto"/>
        <w:right w:val="none" w:sz="0" w:space="0" w:color="auto"/>
      </w:divBdr>
    </w:div>
    <w:div w:id="302272515">
      <w:bodyDiv w:val="1"/>
      <w:marLeft w:val="0"/>
      <w:marRight w:val="0"/>
      <w:marTop w:val="0"/>
      <w:marBottom w:val="0"/>
      <w:divBdr>
        <w:top w:val="none" w:sz="0" w:space="0" w:color="auto"/>
        <w:left w:val="none" w:sz="0" w:space="0" w:color="auto"/>
        <w:bottom w:val="none" w:sz="0" w:space="0" w:color="auto"/>
        <w:right w:val="none" w:sz="0" w:space="0" w:color="auto"/>
      </w:divBdr>
    </w:div>
    <w:div w:id="341712461">
      <w:bodyDiv w:val="1"/>
      <w:marLeft w:val="0"/>
      <w:marRight w:val="0"/>
      <w:marTop w:val="0"/>
      <w:marBottom w:val="0"/>
      <w:divBdr>
        <w:top w:val="none" w:sz="0" w:space="0" w:color="auto"/>
        <w:left w:val="none" w:sz="0" w:space="0" w:color="auto"/>
        <w:bottom w:val="none" w:sz="0" w:space="0" w:color="auto"/>
        <w:right w:val="none" w:sz="0" w:space="0" w:color="auto"/>
      </w:divBdr>
    </w:div>
    <w:div w:id="342704874">
      <w:bodyDiv w:val="1"/>
      <w:marLeft w:val="0"/>
      <w:marRight w:val="0"/>
      <w:marTop w:val="0"/>
      <w:marBottom w:val="0"/>
      <w:divBdr>
        <w:top w:val="none" w:sz="0" w:space="0" w:color="auto"/>
        <w:left w:val="none" w:sz="0" w:space="0" w:color="auto"/>
        <w:bottom w:val="none" w:sz="0" w:space="0" w:color="auto"/>
        <w:right w:val="none" w:sz="0" w:space="0" w:color="auto"/>
      </w:divBdr>
    </w:div>
    <w:div w:id="359206080">
      <w:bodyDiv w:val="1"/>
      <w:marLeft w:val="0"/>
      <w:marRight w:val="0"/>
      <w:marTop w:val="0"/>
      <w:marBottom w:val="0"/>
      <w:divBdr>
        <w:top w:val="none" w:sz="0" w:space="0" w:color="auto"/>
        <w:left w:val="none" w:sz="0" w:space="0" w:color="auto"/>
        <w:bottom w:val="none" w:sz="0" w:space="0" w:color="auto"/>
        <w:right w:val="none" w:sz="0" w:space="0" w:color="auto"/>
      </w:divBdr>
    </w:div>
    <w:div w:id="361564182">
      <w:bodyDiv w:val="1"/>
      <w:marLeft w:val="0"/>
      <w:marRight w:val="0"/>
      <w:marTop w:val="0"/>
      <w:marBottom w:val="0"/>
      <w:divBdr>
        <w:top w:val="none" w:sz="0" w:space="0" w:color="auto"/>
        <w:left w:val="none" w:sz="0" w:space="0" w:color="auto"/>
        <w:bottom w:val="none" w:sz="0" w:space="0" w:color="auto"/>
        <w:right w:val="none" w:sz="0" w:space="0" w:color="auto"/>
      </w:divBdr>
    </w:div>
    <w:div w:id="366685719">
      <w:bodyDiv w:val="1"/>
      <w:marLeft w:val="0"/>
      <w:marRight w:val="0"/>
      <w:marTop w:val="0"/>
      <w:marBottom w:val="0"/>
      <w:divBdr>
        <w:top w:val="none" w:sz="0" w:space="0" w:color="auto"/>
        <w:left w:val="none" w:sz="0" w:space="0" w:color="auto"/>
        <w:bottom w:val="none" w:sz="0" w:space="0" w:color="auto"/>
        <w:right w:val="none" w:sz="0" w:space="0" w:color="auto"/>
      </w:divBdr>
    </w:div>
    <w:div w:id="378210845">
      <w:bodyDiv w:val="1"/>
      <w:marLeft w:val="0"/>
      <w:marRight w:val="0"/>
      <w:marTop w:val="0"/>
      <w:marBottom w:val="0"/>
      <w:divBdr>
        <w:top w:val="none" w:sz="0" w:space="0" w:color="auto"/>
        <w:left w:val="none" w:sz="0" w:space="0" w:color="auto"/>
        <w:bottom w:val="none" w:sz="0" w:space="0" w:color="auto"/>
        <w:right w:val="none" w:sz="0" w:space="0" w:color="auto"/>
      </w:divBdr>
    </w:div>
    <w:div w:id="380642699">
      <w:bodyDiv w:val="1"/>
      <w:marLeft w:val="0"/>
      <w:marRight w:val="0"/>
      <w:marTop w:val="0"/>
      <w:marBottom w:val="0"/>
      <w:divBdr>
        <w:top w:val="none" w:sz="0" w:space="0" w:color="auto"/>
        <w:left w:val="none" w:sz="0" w:space="0" w:color="auto"/>
        <w:bottom w:val="none" w:sz="0" w:space="0" w:color="auto"/>
        <w:right w:val="none" w:sz="0" w:space="0" w:color="auto"/>
      </w:divBdr>
    </w:div>
    <w:div w:id="384645546">
      <w:bodyDiv w:val="1"/>
      <w:marLeft w:val="0"/>
      <w:marRight w:val="0"/>
      <w:marTop w:val="0"/>
      <w:marBottom w:val="0"/>
      <w:divBdr>
        <w:top w:val="none" w:sz="0" w:space="0" w:color="auto"/>
        <w:left w:val="none" w:sz="0" w:space="0" w:color="auto"/>
        <w:bottom w:val="none" w:sz="0" w:space="0" w:color="auto"/>
        <w:right w:val="none" w:sz="0" w:space="0" w:color="auto"/>
      </w:divBdr>
      <w:divsChild>
        <w:div w:id="379326766">
          <w:marLeft w:val="0"/>
          <w:marRight w:val="0"/>
          <w:marTop w:val="0"/>
          <w:marBottom w:val="0"/>
          <w:divBdr>
            <w:top w:val="none" w:sz="0" w:space="0" w:color="auto"/>
            <w:left w:val="none" w:sz="0" w:space="0" w:color="auto"/>
            <w:bottom w:val="none" w:sz="0" w:space="0" w:color="auto"/>
            <w:right w:val="none" w:sz="0" w:space="0" w:color="auto"/>
          </w:divBdr>
          <w:divsChild>
            <w:div w:id="1018045096">
              <w:marLeft w:val="0"/>
              <w:marRight w:val="0"/>
              <w:marTop w:val="0"/>
              <w:marBottom w:val="0"/>
              <w:divBdr>
                <w:top w:val="none" w:sz="0" w:space="0" w:color="auto"/>
                <w:left w:val="none" w:sz="0" w:space="0" w:color="auto"/>
                <w:bottom w:val="none" w:sz="0" w:space="0" w:color="auto"/>
                <w:right w:val="none" w:sz="0" w:space="0" w:color="auto"/>
              </w:divBdr>
              <w:divsChild>
                <w:div w:id="4300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3525">
          <w:marLeft w:val="-90"/>
          <w:marRight w:val="90"/>
          <w:marTop w:val="0"/>
          <w:marBottom w:val="0"/>
          <w:divBdr>
            <w:top w:val="none" w:sz="0" w:space="0" w:color="auto"/>
            <w:left w:val="none" w:sz="0" w:space="0" w:color="auto"/>
            <w:bottom w:val="none" w:sz="0" w:space="0" w:color="auto"/>
            <w:right w:val="none" w:sz="0" w:space="0" w:color="auto"/>
          </w:divBdr>
          <w:divsChild>
            <w:div w:id="826671429">
              <w:marLeft w:val="-60"/>
              <w:marRight w:val="-60"/>
              <w:marTop w:val="0"/>
              <w:marBottom w:val="0"/>
              <w:divBdr>
                <w:top w:val="none" w:sz="0" w:space="0" w:color="auto"/>
                <w:left w:val="none" w:sz="0" w:space="0" w:color="auto"/>
                <w:bottom w:val="none" w:sz="0" w:space="0" w:color="auto"/>
                <w:right w:val="none" w:sz="0" w:space="0" w:color="auto"/>
              </w:divBdr>
              <w:divsChild>
                <w:div w:id="2065373210">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 w:id="384764113">
      <w:bodyDiv w:val="1"/>
      <w:marLeft w:val="0"/>
      <w:marRight w:val="0"/>
      <w:marTop w:val="0"/>
      <w:marBottom w:val="0"/>
      <w:divBdr>
        <w:top w:val="none" w:sz="0" w:space="0" w:color="auto"/>
        <w:left w:val="none" w:sz="0" w:space="0" w:color="auto"/>
        <w:bottom w:val="none" w:sz="0" w:space="0" w:color="auto"/>
        <w:right w:val="none" w:sz="0" w:space="0" w:color="auto"/>
      </w:divBdr>
      <w:divsChild>
        <w:div w:id="19748308">
          <w:marLeft w:val="1066"/>
          <w:marRight w:val="0"/>
          <w:marTop w:val="0"/>
          <w:marBottom w:val="0"/>
          <w:divBdr>
            <w:top w:val="none" w:sz="0" w:space="0" w:color="auto"/>
            <w:left w:val="none" w:sz="0" w:space="0" w:color="auto"/>
            <w:bottom w:val="none" w:sz="0" w:space="0" w:color="auto"/>
            <w:right w:val="none" w:sz="0" w:space="0" w:color="auto"/>
          </w:divBdr>
        </w:div>
        <w:div w:id="548034660">
          <w:marLeft w:val="1066"/>
          <w:marRight w:val="0"/>
          <w:marTop w:val="0"/>
          <w:marBottom w:val="120"/>
          <w:divBdr>
            <w:top w:val="none" w:sz="0" w:space="0" w:color="auto"/>
            <w:left w:val="none" w:sz="0" w:space="0" w:color="auto"/>
            <w:bottom w:val="none" w:sz="0" w:space="0" w:color="auto"/>
            <w:right w:val="none" w:sz="0" w:space="0" w:color="auto"/>
          </w:divBdr>
        </w:div>
        <w:div w:id="982268954">
          <w:marLeft w:val="1066"/>
          <w:marRight w:val="0"/>
          <w:marTop w:val="0"/>
          <w:marBottom w:val="0"/>
          <w:divBdr>
            <w:top w:val="none" w:sz="0" w:space="0" w:color="auto"/>
            <w:left w:val="none" w:sz="0" w:space="0" w:color="auto"/>
            <w:bottom w:val="none" w:sz="0" w:space="0" w:color="auto"/>
            <w:right w:val="none" w:sz="0" w:space="0" w:color="auto"/>
          </w:divBdr>
        </w:div>
        <w:div w:id="989141625">
          <w:marLeft w:val="274"/>
          <w:marRight w:val="0"/>
          <w:marTop w:val="0"/>
          <w:marBottom w:val="120"/>
          <w:divBdr>
            <w:top w:val="none" w:sz="0" w:space="0" w:color="auto"/>
            <w:left w:val="none" w:sz="0" w:space="0" w:color="auto"/>
            <w:bottom w:val="none" w:sz="0" w:space="0" w:color="auto"/>
            <w:right w:val="none" w:sz="0" w:space="0" w:color="auto"/>
          </w:divBdr>
        </w:div>
        <w:div w:id="1675917404">
          <w:marLeft w:val="1066"/>
          <w:marRight w:val="0"/>
          <w:marTop w:val="0"/>
          <w:marBottom w:val="0"/>
          <w:divBdr>
            <w:top w:val="none" w:sz="0" w:space="0" w:color="auto"/>
            <w:left w:val="none" w:sz="0" w:space="0" w:color="auto"/>
            <w:bottom w:val="none" w:sz="0" w:space="0" w:color="auto"/>
            <w:right w:val="none" w:sz="0" w:space="0" w:color="auto"/>
          </w:divBdr>
        </w:div>
      </w:divsChild>
    </w:div>
    <w:div w:id="387194410">
      <w:bodyDiv w:val="1"/>
      <w:marLeft w:val="0"/>
      <w:marRight w:val="0"/>
      <w:marTop w:val="0"/>
      <w:marBottom w:val="0"/>
      <w:divBdr>
        <w:top w:val="none" w:sz="0" w:space="0" w:color="auto"/>
        <w:left w:val="none" w:sz="0" w:space="0" w:color="auto"/>
        <w:bottom w:val="none" w:sz="0" w:space="0" w:color="auto"/>
        <w:right w:val="none" w:sz="0" w:space="0" w:color="auto"/>
      </w:divBdr>
    </w:div>
    <w:div w:id="406613715">
      <w:bodyDiv w:val="1"/>
      <w:marLeft w:val="0"/>
      <w:marRight w:val="0"/>
      <w:marTop w:val="0"/>
      <w:marBottom w:val="0"/>
      <w:divBdr>
        <w:top w:val="none" w:sz="0" w:space="0" w:color="auto"/>
        <w:left w:val="none" w:sz="0" w:space="0" w:color="auto"/>
        <w:bottom w:val="none" w:sz="0" w:space="0" w:color="auto"/>
        <w:right w:val="none" w:sz="0" w:space="0" w:color="auto"/>
      </w:divBdr>
    </w:div>
    <w:div w:id="408582845">
      <w:bodyDiv w:val="1"/>
      <w:marLeft w:val="0"/>
      <w:marRight w:val="0"/>
      <w:marTop w:val="0"/>
      <w:marBottom w:val="0"/>
      <w:divBdr>
        <w:top w:val="none" w:sz="0" w:space="0" w:color="auto"/>
        <w:left w:val="none" w:sz="0" w:space="0" w:color="auto"/>
        <w:bottom w:val="none" w:sz="0" w:space="0" w:color="auto"/>
        <w:right w:val="none" w:sz="0" w:space="0" w:color="auto"/>
      </w:divBdr>
    </w:div>
    <w:div w:id="414861611">
      <w:bodyDiv w:val="1"/>
      <w:marLeft w:val="0"/>
      <w:marRight w:val="0"/>
      <w:marTop w:val="0"/>
      <w:marBottom w:val="0"/>
      <w:divBdr>
        <w:top w:val="none" w:sz="0" w:space="0" w:color="auto"/>
        <w:left w:val="none" w:sz="0" w:space="0" w:color="auto"/>
        <w:bottom w:val="none" w:sz="0" w:space="0" w:color="auto"/>
        <w:right w:val="none" w:sz="0" w:space="0" w:color="auto"/>
      </w:divBdr>
    </w:div>
    <w:div w:id="429085715">
      <w:bodyDiv w:val="1"/>
      <w:marLeft w:val="0"/>
      <w:marRight w:val="0"/>
      <w:marTop w:val="0"/>
      <w:marBottom w:val="0"/>
      <w:divBdr>
        <w:top w:val="none" w:sz="0" w:space="0" w:color="auto"/>
        <w:left w:val="none" w:sz="0" w:space="0" w:color="auto"/>
        <w:bottom w:val="none" w:sz="0" w:space="0" w:color="auto"/>
        <w:right w:val="none" w:sz="0" w:space="0" w:color="auto"/>
      </w:divBdr>
    </w:div>
    <w:div w:id="431166553">
      <w:bodyDiv w:val="1"/>
      <w:marLeft w:val="0"/>
      <w:marRight w:val="0"/>
      <w:marTop w:val="0"/>
      <w:marBottom w:val="0"/>
      <w:divBdr>
        <w:top w:val="none" w:sz="0" w:space="0" w:color="auto"/>
        <w:left w:val="none" w:sz="0" w:space="0" w:color="auto"/>
        <w:bottom w:val="none" w:sz="0" w:space="0" w:color="auto"/>
        <w:right w:val="none" w:sz="0" w:space="0" w:color="auto"/>
      </w:divBdr>
    </w:div>
    <w:div w:id="431554926">
      <w:bodyDiv w:val="1"/>
      <w:marLeft w:val="0"/>
      <w:marRight w:val="0"/>
      <w:marTop w:val="0"/>
      <w:marBottom w:val="0"/>
      <w:divBdr>
        <w:top w:val="none" w:sz="0" w:space="0" w:color="auto"/>
        <w:left w:val="none" w:sz="0" w:space="0" w:color="auto"/>
        <w:bottom w:val="none" w:sz="0" w:space="0" w:color="auto"/>
        <w:right w:val="none" w:sz="0" w:space="0" w:color="auto"/>
      </w:divBdr>
    </w:div>
    <w:div w:id="440145332">
      <w:bodyDiv w:val="1"/>
      <w:marLeft w:val="0"/>
      <w:marRight w:val="0"/>
      <w:marTop w:val="0"/>
      <w:marBottom w:val="0"/>
      <w:divBdr>
        <w:top w:val="none" w:sz="0" w:space="0" w:color="auto"/>
        <w:left w:val="none" w:sz="0" w:space="0" w:color="auto"/>
        <w:bottom w:val="none" w:sz="0" w:space="0" w:color="auto"/>
        <w:right w:val="none" w:sz="0" w:space="0" w:color="auto"/>
      </w:divBdr>
    </w:div>
    <w:div w:id="447548572">
      <w:bodyDiv w:val="1"/>
      <w:marLeft w:val="0"/>
      <w:marRight w:val="0"/>
      <w:marTop w:val="0"/>
      <w:marBottom w:val="0"/>
      <w:divBdr>
        <w:top w:val="none" w:sz="0" w:space="0" w:color="auto"/>
        <w:left w:val="none" w:sz="0" w:space="0" w:color="auto"/>
        <w:bottom w:val="none" w:sz="0" w:space="0" w:color="auto"/>
        <w:right w:val="none" w:sz="0" w:space="0" w:color="auto"/>
      </w:divBdr>
    </w:div>
    <w:div w:id="448014271">
      <w:bodyDiv w:val="1"/>
      <w:marLeft w:val="0"/>
      <w:marRight w:val="0"/>
      <w:marTop w:val="0"/>
      <w:marBottom w:val="0"/>
      <w:divBdr>
        <w:top w:val="none" w:sz="0" w:space="0" w:color="auto"/>
        <w:left w:val="none" w:sz="0" w:space="0" w:color="auto"/>
        <w:bottom w:val="none" w:sz="0" w:space="0" w:color="auto"/>
        <w:right w:val="none" w:sz="0" w:space="0" w:color="auto"/>
      </w:divBdr>
    </w:div>
    <w:div w:id="45148542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12">
          <w:marLeft w:val="0"/>
          <w:marRight w:val="0"/>
          <w:marTop w:val="0"/>
          <w:marBottom w:val="0"/>
          <w:divBdr>
            <w:top w:val="none" w:sz="0" w:space="0" w:color="auto"/>
            <w:left w:val="none" w:sz="0" w:space="0" w:color="auto"/>
            <w:bottom w:val="none" w:sz="0" w:space="0" w:color="auto"/>
            <w:right w:val="none" w:sz="0" w:space="0" w:color="auto"/>
          </w:divBdr>
        </w:div>
      </w:divsChild>
    </w:div>
    <w:div w:id="458301315">
      <w:bodyDiv w:val="1"/>
      <w:marLeft w:val="0"/>
      <w:marRight w:val="0"/>
      <w:marTop w:val="0"/>
      <w:marBottom w:val="0"/>
      <w:divBdr>
        <w:top w:val="none" w:sz="0" w:space="0" w:color="auto"/>
        <w:left w:val="none" w:sz="0" w:space="0" w:color="auto"/>
        <w:bottom w:val="none" w:sz="0" w:space="0" w:color="auto"/>
        <w:right w:val="none" w:sz="0" w:space="0" w:color="auto"/>
      </w:divBdr>
    </w:div>
    <w:div w:id="470483824">
      <w:bodyDiv w:val="1"/>
      <w:marLeft w:val="0"/>
      <w:marRight w:val="0"/>
      <w:marTop w:val="0"/>
      <w:marBottom w:val="0"/>
      <w:divBdr>
        <w:top w:val="none" w:sz="0" w:space="0" w:color="auto"/>
        <w:left w:val="none" w:sz="0" w:space="0" w:color="auto"/>
        <w:bottom w:val="none" w:sz="0" w:space="0" w:color="auto"/>
        <w:right w:val="none" w:sz="0" w:space="0" w:color="auto"/>
      </w:divBdr>
    </w:div>
    <w:div w:id="473572418">
      <w:bodyDiv w:val="1"/>
      <w:marLeft w:val="0"/>
      <w:marRight w:val="0"/>
      <w:marTop w:val="0"/>
      <w:marBottom w:val="0"/>
      <w:divBdr>
        <w:top w:val="none" w:sz="0" w:space="0" w:color="auto"/>
        <w:left w:val="none" w:sz="0" w:space="0" w:color="auto"/>
        <w:bottom w:val="none" w:sz="0" w:space="0" w:color="auto"/>
        <w:right w:val="none" w:sz="0" w:space="0" w:color="auto"/>
      </w:divBdr>
      <w:divsChild>
        <w:div w:id="975186100">
          <w:marLeft w:val="0"/>
          <w:marRight w:val="0"/>
          <w:marTop w:val="0"/>
          <w:marBottom w:val="0"/>
          <w:divBdr>
            <w:top w:val="none" w:sz="0" w:space="0" w:color="auto"/>
            <w:left w:val="none" w:sz="0" w:space="0" w:color="auto"/>
            <w:bottom w:val="none" w:sz="0" w:space="0" w:color="auto"/>
            <w:right w:val="none" w:sz="0" w:space="0" w:color="auto"/>
          </w:divBdr>
        </w:div>
      </w:divsChild>
    </w:div>
    <w:div w:id="485055648">
      <w:bodyDiv w:val="1"/>
      <w:marLeft w:val="0"/>
      <w:marRight w:val="0"/>
      <w:marTop w:val="0"/>
      <w:marBottom w:val="0"/>
      <w:divBdr>
        <w:top w:val="none" w:sz="0" w:space="0" w:color="auto"/>
        <w:left w:val="none" w:sz="0" w:space="0" w:color="auto"/>
        <w:bottom w:val="none" w:sz="0" w:space="0" w:color="auto"/>
        <w:right w:val="none" w:sz="0" w:space="0" w:color="auto"/>
      </w:divBdr>
      <w:divsChild>
        <w:div w:id="5983125">
          <w:marLeft w:val="1066"/>
          <w:marRight w:val="0"/>
          <w:marTop w:val="0"/>
          <w:marBottom w:val="120"/>
          <w:divBdr>
            <w:top w:val="none" w:sz="0" w:space="0" w:color="auto"/>
            <w:left w:val="none" w:sz="0" w:space="0" w:color="auto"/>
            <w:bottom w:val="none" w:sz="0" w:space="0" w:color="auto"/>
            <w:right w:val="none" w:sz="0" w:space="0" w:color="auto"/>
          </w:divBdr>
        </w:div>
        <w:div w:id="8259024">
          <w:marLeft w:val="1872"/>
          <w:marRight w:val="0"/>
          <w:marTop w:val="0"/>
          <w:marBottom w:val="0"/>
          <w:divBdr>
            <w:top w:val="none" w:sz="0" w:space="0" w:color="auto"/>
            <w:left w:val="none" w:sz="0" w:space="0" w:color="auto"/>
            <w:bottom w:val="none" w:sz="0" w:space="0" w:color="auto"/>
            <w:right w:val="none" w:sz="0" w:space="0" w:color="auto"/>
          </w:divBdr>
        </w:div>
        <w:div w:id="130904830">
          <w:marLeft w:val="1066"/>
          <w:marRight w:val="0"/>
          <w:marTop w:val="0"/>
          <w:marBottom w:val="120"/>
          <w:divBdr>
            <w:top w:val="none" w:sz="0" w:space="0" w:color="auto"/>
            <w:left w:val="none" w:sz="0" w:space="0" w:color="auto"/>
            <w:bottom w:val="none" w:sz="0" w:space="0" w:color="auto"/>
            <w:right w:val="none" w:sz="0" w:space="0" w:color="auto"/>
          </w:divBdr>
        </w:div>
        <w:div w:id="377752412">
          <w:marLeft w:val="1872"/>
          <w:marRight w:val="0"/>
          <w:marTop w:val="0"/>
          <w:marBottom w:val="0"/>
          <w:divBdr>
            <w:top w:val="none" w:sz="0" w:space="0" w:color="auto"/>
            <w:left w:val="none" w:sz="0" w:space="0" w:color="auto"/>
            <w:bottom w:val="none" w:sz="0" w:space="0" w:color="auto"/>
            <w:right w:val="none" w:sz="0" w:space="0" w:color="auto"/>
          </w:divBdr>
        </w:div>
        <w:div w:id="456879055">
          <w:marLeft w:val="1872"/>
          <w:marRight w:val="0"/>
          <w:marTop w:val="0"/>
          <w:marBottom w:val="120"/>
          <w:divBdr>
            <w:top w:val="none" w:sz="0" w:space="0" w:color="auto"/>
            <w:left w:val="none" w:sz="0" w:space="0" w:color="auto"/>
            <w:bottom w:val="none" w:sz="0" w:space="0" w:color="auto"/>
            <w:right w:val="none" w:sz="0" w:space="0" w:color="auto"/>
          </w:divBdr>
        </w:div>
        <w:div w:id="712924354">
          <w:marLeft w:val="1872"/>
          <w:marRight w:val="0"/>
          <w:marTop w:val="0"/>
          <w:marBottom w:val="0"/>
          <w:divBdr>
            <w:top w:val="none" w:sz="0" w:space="0" w:color="auto"/>
            <w:left w:val="none" w:sz="0" w:space="0" w:color="auto"/>
            <w:bottom w:val="none" w:sz="0" w:space="0" w:color="auto"/>
            <w:right w:val="none" w:sz="0" w:space="0" w:color="auto"/>
          </w:divBdr>
        </w:div>
        <w:div w:id="1048258500">
          <w:marLeft w:val="1872"/>
          <w:marRight w:val="0"/>
          <w:marTop w:val="0"/>
          <w:marBottom w:val="0"/>
          <w:divBdr>
            <w:top w:val="none" w:sz="0" w:space="0" w:color="auto"/>
            <w:left w:val="none" w:sz="0" w:space="0" w:color="auto"/>
            <w:bottom w:val="none" w:sz="0" w:space="0" w:color="auto"/>
            <w:right w:val="none" w:sz="0" w:space="0" w:color="auto"/>
          </w:divBdr>
        </w:div>
        <w:div w:id="1377199101">
          <w:marLeft w:val="1872"/>
          <w:marRight w:val="0"/>
          <w:marTop w:val="0"/>
          <w:marBottom w:val="0"/>
          <w:divBdr>
            <w:top w:val="none" w:sz="0" w:space="0" w:color="auto"/>
            <w:left w:val="none" w:sz="0" w:space="0" w:color="auto"/>
            <w:bottom w:val="none" w:sz="0" w:space="0" w:color="auto"/>
            <w:right w:val="none" w:sz="0" w:space="0" w:color="auto"/>
          </w:divBdr>
        </w:div>
        <w:div w:id="1444880153">
          <w:marLeft w:val="1872"/>
          <w:marRight w:val="0"/>
          <w:marTop w:val="0"/>
          <w:marBottom w:val="0"/>
          <w:divBdr>
            <w:top w:val="none" w:sz="0" w:space="0" w:color="auto"/>
            <w:left w:val="none" w:sz="0" w:space="0" w:color="auto"/>
            <w:bottom w:val="none" w:sz="0" w:space="0" w:color="auto"/>
            <w:right w:val="none" w:sz="0" w:space="0" w:color="auto"/>
          </w:divBdr>
        </w:div>
      </w:divsChild>
    </w:div>
    <w:div w:id="489638628">
      <w:bodyDiv w:val="1"/>
      <w:marLeft w:val="0"/>
      <w:marRight w:val="0"/>
      <w:marTop w:val="0"/>
      <w:marBottom w:val="0"/>
      <w:divBdr>
        <w:top w:val="none" w:sz="0" w:space="0" w:color="auto"/>
        <w:left w:val="none" w:sz="0" w:space="0" w:color="auto"/>
        <w:bottom w:val="none" w:sz="0" w:space="0" w:color="auto"/>
        <w:right w:val="none" w:sz="0" w:space="0" w:color="auto"/>
      </w:divBdr>
    </w:div>
    <w:div w:id="498617644">
      <w:bodyDiv w:val="1"/>
      <w:marLeft w:val="0"/>
      <w:marRight w:val="0"/>
      <w:marTop w:val="0"/>
      <w:marBottom w:val="0"/>
      <w:divBdr>
        <w:top w:val="none" w:sz="0" w:space="0" w:color="auto"/>
        <w:left w:val="none" w:sz="0" w:space="0" w:color="auto"/>
        <w:bottom w:val="none" w:sz="0" w:space="0" w:color="auto"/>
        <w:right w:val="none" w:sz="0" w:space="0" w:color="auto"/>
      </w:divBdr>
    </w:div>
    <w:div w:id="507139308">
      <w:bodyDiv w:val="1"/>
      <w:marLeft w:val="0"/>
      <w:marRight w:val="0"/>
      <w:marTop w:val="0"/>
      <w:marBottom w:val="0"/>
      <w:divBdr>
        <w:top w:val="none" w:sz="0" w:space="0" w:color="auto"/>
        <w:left w:val="none" w:sz="0" w:space="0" w:color="auto"/>
        <w:bottom w:val="none" w:sz="0" w:space="0" w:color="auto"/>
        <w:right w:val="none" w:sz="0" w:space="0" w:color="auto"/>
      </w:divBdr>
    </w:div>
    <w:div w:id="531959125">
      <w:bodyDiv w:val="1"/>
      <w:marLeft w:val="0"/>
      <w:marRight w:val="0"/>
      <w:marTop w:val="0"/>
      <w:marBottom w:val="0"/>
      <w:divBdr>
        <w:top w:val="none" w:sz="0" w:space="0" w:color="auto"/>
        <w:left w:val="none" w:sz="0" w:space="0" w:color="auto"/>
        <w:bottom w:val="none" w:sz="0" w:space="0" w:color="auto"/>
        <w:right w:val="none" w:sz="0" w:space="0" w:color="auto"/>
      </w:divBdr>
    </w:div>
    <w:div w:id="552348502">
      <w:bodyDiv w:val="1"/>
      <w:marLeft w:val="0"/>
      <w:marRight w:val="0"/>
      <w:marTop w:val="0"/>
      <w:marBottom w:val="0"/>
      <w:divBdr>
        <w:top w:val="none" w:sz="0" w:space="0" w:color="auto"/>
        <w:left w:val="none" w:sz="0" w:space="0" w:color="auto"/>
        <w:bottom w:val="none" w:sz="0" w:space="0" w:color="auto"/>
        <w:right w:val="none" w:sz="0" w:space="0" w:color="auto"/>
      </w:divBdr>
    </w:div>
    <w:div w:id="556627987">
      <w:bodyDiv w:val="1"/>
      <w:marLeft w:val="0"/>
      <w:marRight w:val="0"/>
      <w:marTop w:val="0"/>
      <w:marBottom w:val="0"/>
      <w:divBdr>
        <w:top w:val="none" w:sz="0" w:space="0" w:color="auto"/>
        <w:left w:val="none" w:sz="0" w:space="0" w:color="auto"/>
        <w:bottom w:val="none" w:sz="0" w:space="0" w:color="auto"/>
        <w:right w:val="none" w:sz="0" w:space="0" w:color="auto"/>
      </w:divBdr>
    </w:div>
    <w:div w:id="564683889">
      <w:bodyDiv w:val="1"/>
      <w:marLeft w:val="0"/>
      <w:marRight w:val="0"/>
      <w:marTop w:val="0"/>
      <w:marBottom w:val="0"/>
      <w:divBdr>
        <w:top w:val="none" w:sz="0" w:space="0" w:color="auto"/>
        <w:left w:val="none" w:sz="0" w:space="0" w:color="auto"/>
        <w:bottom w:val="none" w:sz="0" w:space="0" w:color="auto"/>
        <w:right w:val="none" w:sz="0" w:space="0" w:color="auto"/>
      </w:divBdr>
    </w:div>
    <w:div w:id="570846718">
      <w:bodyDiv w:val="1"/>
      <w:marLeft w:val="0"/>
      <w:marRight w:val="0"/>
      <w:marTop w:val="0"/>
      <w:marBottom w:val="0"/>
      <w:divBdr>
        <w:top w:val="none" w:sz="0" w:space="0" w:color="auto"/>
        <w:left w:val="none" w:sz="0" w:space="0" w:color="auto"/>
        <w:bottom w:val="none" w:sz="0" w:space="0" w:color="auto"/>
        <w:right w:val="none" w:sz="0" w:space="0" w:color="auto"/>
      </w:divBdr>
    </w:div>
    <w:div w:id="574048221">
      <w:bodyDiv w:val="1"/>
      <w:marLeft w:val="0"/>
      <w:marRight w:val="0"/>
      <w:marTop w:val="0"/>
      <w:marBottom w:val="0"/>
      <w:divBdr>
        <w:top w:val="none" w:sz="0" w:space="0" w:color="auto"/>
        <w:left w:val="none" w:sz="0" w:space="0" w:color="auto"/>
        <w:bottom w:val="none" w:sz="0" w:space="0" w:color="auto"/>
        <w:right w:val="none" w:sz="0" w:space="0" w:color="auto"/>
      </w:divBdr>
    </w:div>
    <w:div w:id="586614010">
      <w:bodyDiv w:val="1"/>
      <w:marLeft w:val="0"/>
      <w:marRight w:val="0"/>
      <w:marTop w:val="0"/>
      <w:marBottom w:val="0"/>
      <w:divBdr>
        <w:top w:val="none" w:sz="0" w:space="0" w:color="auto"/>
        <w:left w:val="none" w:sz="0" w:space="0" w:color="auto"/>
        <w:bottom w:val="none" w:sz="0" w:space="0" w:color="auto"/>
        <w:right w:val="none" w:sz="0" w:space="0" w:color="auto"/>
      </w:divBdr>
    </w:div>
    <w:div w:id="592667201">
      <w:bodyDiv w:val="1"/>
      <w:marLeft w:val="0"/>
      <w:marRight w:val="0"/>
      <w:marTop w:val="0"/>
      <w:marBottom w:val="0"/>
      <w:divBdr>
        <w:top w:val="none" w:sz="0" w:space="0" w:color="auto"/>
        <w:left w:val="none" w:sz="0" w:space="0" w:color="auto"/>
        <w:bottom w:val="none" w:sz="0" w:space="0" w:color="auto"/>
        <w:right w:val="none" w:sz="0" w:space="0" w:color="auto"/>
      </w:divBdr>
    </w:div>
    <w:div w:id="593441216">
      <w:bodyDiv w:val="1"/>
      <w:marLeft w:val="0"/>
      <w:marRight w:val="0"/>
      <w:marTop w:val="0"/>
      <w:marBottom w:val="0"/>
      <w:divBdr>
        <w:top w:val="none" w:sz="0" w:space="0" w:color="auto"/>
        <w:left w:val="none" w:sz="0" w:space="0" w:color="auto"/>
        <w:bottom w:val="none" w:sz="0" w:space="0" w:color="auto"/>
        <w:right w:val="none" w:sz="0" w:space="0" w:color="auto"/>
      </w:divBdr>
    </w:div>
    <w:div w:id="621305922">
      <w:bodyDiv w:val="1"/>
      <w:marLeft w:val="0"/>
      <w:marRight w:val="0"/>
      <w:marTop w:val="0"/>
      <w:marBottom w:val="0"/>
      <w:divBdr>
        <w:top w:val="none" w:sz="0" w:space="0" w:color="auto"/>
        <w:left w:val="none" w:sz="0" w:space="0" w:color="auto"/>
        <w:bottom w:val="none" w:sz="0" w:space="0" w:color="auto"/>
        <w:right w:val="none" w:sz="0" w:space="0" w:color="auto"/>
      </w:divBdr>
    </w:div>
    <w:div w:id="644168946">
      <w:bodyDiv w:val="1"/>
      <w:marLeft w:val="0"/>
      <w:marRight w:val="0"/>
      <w:marTop w:val="0"/>
      <w:marBottom w:val="0"/>
      <w:divBdr>
        <w:top w:val="none" w:sz="0" w:space="0" w:color="auto"/>
        <w:left w:val="none" w:sz="0" w:space="0" w:color="auto"/>
        <w:bottom w:val="none" w:sz="0" w:space="0" w:color="auto"/>
        <w:right w:val="none" w:sz="0" w:space="0" w:color="auto"/>
      </w:divBdr>
    </w:div>
    <w:div w:id="662271805">
      <w:bodyDiv w:val="1"/>
      <w:marLeft w:val="0"/>
      <w:marRight w:val="0"/>
      <w:marTop w:val="0"/>
      <w:marBottom w:val="0"/>
      <w:divBdr>
        <w:top w:val="none" w:sz="0" w:space="0" w:color="auto"/>
        <w:left w:val="none" w:sz="0" w:space="0" w:color="auto"/>
        <w:bottom w:val="none" w:sz="0" w:space="0" w:color="auto"/>
        <w:right w:val="none" w:sz="0" w:space="0" w:color="auto"/>
      </w:divBdr>
    </w:div>
    <w:div w:id="662507641">
      <w:bodyDiv w:val="1"/>
      <w:marLeft w:val="0"/>
      <w:marRight w:val="0"/>
      <w:marTop w:val="0"/>
      <w:marBottom w:val="0"/>
      <w:divBdr>
        <w:top w:val="none" w:sz="0" w:space="0" w:color="auto"/>
        <w:left w:val="none" w:sz="0" w:space="0" w:color="auto"/>
        <w:bottom w:val="none" w:sz="0" w:space="0" w:color="auto"/>
        <w:right w:val="none" w:sz="0" w:space="0" w:color="auto"/>
      </w:divBdr>
    </w:div>
    <w:div w:id="669795710">
      <w:bodyDiv w:val="1"/>
      <w:marLeft w:val="0"/>
      <w:marRight w:val="0"/>
      <w:marTop w:val="0"/>
      <w:marBottom w:val="0"/>
      <w:divBdr>
        <w:top w:val="none" w:sz="0" w:space="0" w:color="auto"/>
        <w:left w:val="none" w:sz="0" w:space="0" w:color="auto"/>
        <w:bottom w:val="none" w:sz="0" w:space="0" w:color="auto"/>
        <w:right w:val="none" w:sz="0" w:space="0" w:color="auto"/>
      </w:divBdr>
    </w:div>
    <w:div w:id="673413645">
      <w:bodyDiv w:val="1"/>
      <w:marLeft w:val="0"/>
      <w:marRight w:val="0"/>
      <w:marTop w:val="0"/>
      <w:marBottom w:val="0"/>
      <w:divBdr>
        <w:top w:val="none" w:sz="0" w:space="0" w:color="auto"/>
        <w:left w:val="none" w:sz="0" w:space="0" w:color="auto"/>
        <w:bottom w:val="none" w:sz="0" w:space="0" w:color="auto"/>
        <w:right w:val="none" w:sz="0" w:space="0" w:color="auto"/>
      </w:divBdr>
    </w:div>
    <w:div w:id="675301780">
      <w:bodyDiv w:val="1"/>
      <w:marLeft w:val="0"/>
      <w:marRight w:val="0"/>
      <w:marTop w:val="0"/>
      <w:marBottom w:val="0"/>
      <w:divBdr>
        <w:top w:val="none" w:sz="0" w:space="0" w:color="auto"/>
        <w:left w:val="none" w:sz="0" w:space="0" w:color="auto"/>
        <w:bottom w:val="none" w:sz="0" w:space="0" w:color="auto"/>
        <w:right w:val="none" w:sz="0" w:space="0" w:color="auto"/>
      </w:divBdr>
    </w:div>
    <w:div w:id="680815467">
      <w:bodyDiv w:val="1"/>
      <w:marLeft w:val="0"/>
      <w:marRight w:val="0"/>
      <w:marTop w:val="0"/>
      <w:marBottom w:val="0"/>
      <w:divBdr>
        <w:top w:val="none" w:sz="0" w:space="0" w:color="auto"/>
        <w:left w:val="none" w:sz="0" w:space="0" w:color="auto"/>
        <w:bottom w:val="none" w:sz="0" w:space="0" w:color="auto"/>
        <w:right w:val="none" w:sz="0" w:space="0" w:color="auto"/>
      </w:divBdr>
    </w:div>
    <w:div w:id="688483890">
      <w:bodyDiv w:val="1"/>
      <w:marLeft w:val="0"/>
      <w:marRight w:val="0"/>
      <w:marTop w:val="0"/>
      <w:marBottom w:val="0"/>
      <w:divBdr>
        <w:top w:val="none" w:sz="0" w:space="0" w:color="auto"/>
        <w:left w:val="none" w:sz="0" w:space="0" w:color="auto"/>
        <w:bottom w:val="none" w:sz="0" w:space="0" w:color="auto"/>
        <w:right w:val="none" w:sz="0" w:space="0" w:color="auto"/>
      </w:divBdr>
    </w:div>
    <w:div w:id="688532689">
      <w:bodyDiv w:val="1"/>
      <w:marLeft w:val="0"/>
      <w:marRight w:val="0"/>
      <w:marTop w:val="0"/>
      <w:marBottom w:val="0"/>
      <w:divBdr>
        <w:top w:val="none" w:sz="0" w:space="0" w:color="auto"/>
        <w:left w:val="none" w:sz="0" w:space="0" w:color="auto"/>
        <w:bottom w:val="none" w:sz="0" w:space="0" w:color="auto"/>
        <w:right w:val="none" w:sz="0" w:space="0" w:color="auto"/>
      </w:divBdr>
    </w:div>
    <w:div w:id="730154176">
      <w:bodyDiv w:val="1"/>
      <w:marLeft w:val="0"/>
      <w:marRight w:val="0"/>
      <w:marTop w:val="0"/>
      <w:marBottom w:val="0"/>
      <w:divBdr>
        <w:top w:val="none" w:sz="0" w:space="0" w:color="auto"/>
        <w:left w:val="none" w:sz="0" w:space="0" w:color="auto"/>
        <w:bottom w:val="none" w:sz="0" w:space="0" w:color="auto"/>
        <w:right w:val="none" w:sz="0" w:space="0" w:color="auto"/>
      </w:divBdr>
    </w:div>
    <w:div w:id="740105360">
      <w:bodyDiv w:val="1"/>
      <w:marLeft w:val="0"/>
      <w:marRight w:val="0"/>
      <w:marTop w:val="0"/>
      <w:marBottom w:val="0"/>
      <w:divBdr>
        <w:top w:val="none" w:sz="0" w:space="0" w:color="auto"/>
        <w:left w:val="none" w:sz="0" w:space="0" w:color="auto"/>
        <w:bottom w:val="none" w:sz="0" w:space="0" w:color="auto"/>
        <w:right w:val="none" w:sz="0" w:space="0" w:color="auto"/>
      </w:divBdr>
    </w:div>
    <w:div w:id="744692194">
      <w:bodyDiv w:val="1"/>
      <w:marLeft w:val="0"/>
      <w:marRight w:val="0"/>
      <w:marTop w:val="0"/>
      <w:marBottom w:val="0"/>
      <w:divBdr>
        <w:top w:val="none" w:sz="0" w:space="0" w:color="auto"/>
        <w:left w:val="none" w:sz="0" w:space="0" w:color="auto"/>
        <w:bottom w:val="none" w:sz="0" w:space="0" w:color="auto"/>
        <w:right w:val="none" w:sz="0" w:space="0" w:color="auto"/>
      </w:divBdr>
    </w:div>
    <w:div w:id="753280436">
      <w:bodyDiv w:val="1"/>
      <w:marLeft w:val="0"/>
      <w:marRight w:val="0"/>
      <w:marTop w:val="0"/>
      <w:marBottom w:val="0"/>
      <w:divBdr>
        <w:top w:val="none" w:sz="0" w:space="0" w:color="auto"/>
        <w:left w:val="none" w:sz="0" w:space="0" w:color="auto"/>
        <w:bottom w:val="none" w:sz="0" w:space="0" w:color="auto"/>
        <w:right w:val="none" w:sz="0" w:space="0" w:color="auto"/>
      </w:divBdr>
    </w:div>
    <w:div w:id="758604475">
      <w:bodyDiv w:val="1"/>
      <w:marLeft w:val="0"/>
      <w:marRight w:val="0"/>
      <w:marTop w:val="0"/>
      <w:marBottom w:val="0"/>
      <w:divBdr>
        <w:top w:val="none" w:sz="0" w:space="0" w:color="auto"/>
        <w:left w:val="none" w:sz="0" w:space="0" w:color="auto"/>
        <w:bottom w:val="none" w:sz="0" w:space="0" w:color="auto"/>
        <w:right w:val="none" w:sz="0" w:space="0" w:color="auto"/>
      </w:divBdr>
    </w:div>
    <w:div w:id="774905955">
      <w:bodyDiv w:val="1"/>
      <w:marLeft w:val="0"/>
      <w:marRight w:val="0"/>
      <w:marTop w:val="0"/>
      <w:marBottom w:val="0"/>
      <w:divBdr>
        <w:top w:val="none" w:sz="0" w:space="0" w:color="auto"/>
        <w:left w:val="none" w:sz="0" w:space="0" w:color="auto"/>
        <w:bottom w:val="none" w:sz="0" w:space="0" w:color="auto"/>
        <w:right w:val="none" w:sz="0" w:space="0" w:color="auto"/>
      </w:divBdr>
    </w:div>
    <w:div w:id="792019674">
      <w:bodyDiv w:val="1"/>
      <w:marLeft w:val="0"/>
      <w:marRight w:val="0"/>
      <w:marTop w:val="0"/>
      <w:marBottom w:val="0"/>
      <w:divBdr>
        <w:top w:val="none" w:sz="0" w:space="0" w:color="auto"/>
        <w:left w:val="none" w:sz="0" w:space="0" w:color="auto"/>
        <w:bottom w:val="none" w:sz="0" w:space="0" w:color="auto"/>
        <w:right w:val="none" w:sz="0" w:space="0" w:color="auto"/>
      </w:divBdr>
    </w:div>
    <w:div w:id="805396866">
      <w:bodyDiv w:val="1"/>
      <w:marLeft w:val="0"/>
      <w:marRight w:val="0"/>
      <w:marTop w:val="0"/>
      <w:marBottom w:val="0"/>
      <w:divBdr>
        <w:top w:val="none" w:sz="0" w:space="0" w:color="auto"/>
        <w:left w:val="none" w:sz="0" w:space="0" w:color="auto"/>
        <w:bottom w:val="none" w:sz="0" w:space="0" w:color="auto"/>
        <w:right w:val="none" w:sz="0" w:space="0" w:color="auto"/>
      </w:divBdr>
    </w:div>
    <w:div w:id="807093329">
      <w:bodyDiv w:val="1"/>
      <w:marLeft w:val="0"/>
      <w:marRight w:val="0"/>
      <w:marTop w:val="0"/>
      <w:marBottom w:val="0"/>
      <w:divBdr>
        <w:top w:val="none" w:sz="0" w:space="0" w:color="auto"/>
        <w:left w:val="none" w:sz="0" w:space="0" w:color="auto"/>
        <w:bottom w:val="none" w:sz="0" w:space="0" w:color="auto"/>
        <w:right w:val="none" w:sz="0" w:space="0" w:color="auto"/>
      </w:divBdr>
    </w:div>
    <w:div w:id="810174001">
      <w:bodyDiv w:val="1"/>
      <w:marLeft w:val="0"/>
      <w:marRight w:val="0"/>
      <w:marTop w:val="0"/>
      <w:marBottom w:val="0"/>
      <w:divBdr>
        <w:top w:val="none" w:sz="0" w:space="0" w:color="auto"/>
        <w:left w:val="none" w:sz="0" w:space="0" w:color="auto"/>
        <w:bottom w:val="none" w:sz="0" w:space="0" w:color="auto"/>
        <w:right w:val="none" w:sz="0" w:space="0" w:color="auto"/>
      </w:divBdr>
    </w:div>
    <w:div w:id="816653753">
      <w:bodyDiv w:val="1"/>
      <w:marLeft w:val="0"/>
      <w:marRight w:val="0"/>
      <w:marTop w:val="0"/>
      <w:marBottom w:val="0"/>
      <w:divBdr>
        <w:top w:val="none" w:sz="0" w:space="0" w:color="auto"/>
        <w:left w:val="none" w:sz="0" w:space="0" w:color="auto"/>
        <w:bottom w:val="none" w:sz="0" w:space="0" w:color="auto"/>
        <w:right w:val="none" w:sz="0" w:space="0" w:color="auto"/>
      </w:divBdr>
    </w:div>
    <w:div w:id="850265760">
      <w:bodyDiv w:val="1"/>
      <w:marLeft w:val="0"/>
      <w:marRight w:val="0"/>
      <w:marTop w:val="0"/>
      <w:marBottom w:val="0"/>
      <w:divBdr>
        <w:top w:val="none" w:sz="0" w:space="0" w:color="auto"/>
        <w:left w:val="none" w:sz="0" w:space="0" w:color="auto"/>
        <w:bottom w:val="none" w:sz="0" w:space="0" w:color="auto"/>
        <w:right w:val="none" w:sz="0" w:space="0" w:color="auto"/>
      </w:divBdr>
    </w:div>
    <w:div w:id="871260684">
      <w:bodyDiv w:val="1"/>
      <w:marLeft w:val="0"/>
      <w:marRight w:val="0"/>
      <w:marTop w:val="0"/>
      <w:marBottom w:val="0"/>
      <w:divBdr>
        <w:top w:val="none" w:sz="0" w:space="0" w:color="auto"/>
        <w:left w:val="none" w:sz="0" w:space="0" w:color="auto"/>
        <w:bottom w:val="none" w:sz="0" w:space="0" w:color="auto"/>
        <w:right w:val="none" w:sz="0" w:space="0" w:color="auto"/>
      </w:divBdr>
    </w:div>
    <w:div w:id="877740868">
      <w:bodyDiv w:val="1"/>
      <w:marLeft w:val="0"/>
      <w:marRight w:val="0"/>
      <w:marTop w:val="0"/>
      <w:marBottom w:val="0"/>
      <w:divBdr>
        <w:top w:val="none" w:sz="0" w:space="0" w:color="auto"/>
        <w:left w:val="none" w:sz="0" w:space="0" w:color="auto"/>
        <w:bottom w:val="none" w:sz="0" w:space="0" w:color="auto"/>
        <w:right w:val="none" w:sz="0" w:space="0" w:color="auto"/>
      </w:divBdr>
    </w:div>
    <w:div w:id="883098225">
      <w:bodyDiv w:val="1"/>
      <w:marLeft w:val="0"/>
      <w:marRight w:val="0"/>
      <w:marTop w:val="0"/>
      <w:marBottom w:val="0"/>
      <w:divBdr>
        <w:top w:val="none" w:sz="0" w:space="0" w:color="auto"/>
        <w:left w:val="none" w:sz="0" w:space="0" w:color="auto"/>
        <w:bottom w:val="none" w:sz="0" w:space="0" w:color="auto"/>
        <w:right w:val="none" w:sz="0" w:space="0" w:color="auto"/>
      </w:divBdr>
    </w:div>
    <w:div w:id="884371563">
      <w:bodyDiv w:val="1"/>
      <w:marLeft w:val="0"/>
      <w:marRight w:val="0"/>
      <w:marTop w:val="0"/>
      <w:marBottom w:val="0"/>
      <w:divBdr>
        <w:top w:val="none" w:sz="0" w:space="0" w:color="auto"/>
        <w:left w:val="none" w:sz="0" w:space="0" w:color="auto"/>
        <w:bottom w:val="none" w:sz="0" w:space="0" w:color="auto"/>
        <w:right w:val="none" w:sz="0" w:space="0" w:color="auto"/>
      </w:divBdr>
    </w:div>
    <w:div w:id="885026371">
      <w:bodyDiv w:val="1"/>
      <w:marLeft w:val="0"/>
      <w:marRight w:val="0"/>
      <w:marTop w:val="0"/>
      <w:marBottom w:val="0"/>
      <w:divBdr>
        <w:top w:val="none" w:sz="0" w:space="0" w:color="auto"/>
        <w:left w:val="none" w:sz="0" w:space="0" w:color="auto"/>
        <w:bottom w:val="none" w:sz="0" w:space="0" w:color="auto"/>
        <w:right w:val="none" w:sz="0" w:space="0" w:color="auto"/>
      </w:divBdr>
    </w:div>
    <w:div w:id="886380806">
      <w:bodyDiv w:val="1"/>
      <w:marLeft w:val="0"/>
      <w:marRight w:val="0"/>
      <w:marTop w:val="0"/>
      <w:marBottom w:val="0"/>
      <w:divBdr>
        <w:top w:val="none" w:sz="0" w:space="0" w:color="auto"/>
        <w:left w:val="none" w:sz="0" w:space="0" w:color="auto"/>
        <w:bottom w:val="none" w:sz="0" w:space="0" w:color="auto"/>
        <w:right w:val="none" w:sz="0" w:space="0" w:color="auto"/>
      </w:divBdr>
    </w:div>
    <w:div w:id="917978075">
      <w:bodyDiv w:val="1"/>
      <w:marLeft w:val="0"/>
      <w:marRight w:val="0"/>
      <w:marTop w:val="0"/>
      <w:marBottom w:val="0"/>
      <w:divBdr>
        <w:top w:val="none" w:sz="0" w:space="0" w:color="auto"/>
        <w:left w:val="none" w:sz="0" w:space="0" w:color="auto"/>
        <w:bottom w:val="none" w:sz="0" w:space="0" w:color="auto"/>
        <w:right w:val="none" w:sz="0" w:space="0" w:color="auto"/>
      </w:divBdr>
    </w:div>
    <w:div w:id="922181789">
      <w:bodyDiv w:val="1"/>
      <w:marLeft w:val="0"/>
      <w:marRight w:val="0"/>
      <w:marTop w:val="0"/>
      <w:marBottom w:val="0"/>
      <w:divBdr>
        <w:top w:val="none" w:sz="0" w:space="0" w:color="auto"/>
        <w:left w:val="none" w:sz="0" w:space="0" w:color="auto"/>
        <w:bottom w:val="none" w:sz="0" w:space="0" w:color="auto"/>
        <w:right w:val="none" w:sz="0" w:space="0" w:color="auto"/>
      </w:divBdr>
    </w:div>
    <w:div w:id="923147974">
      <w:bodyDiv w:val="1"/>
      <w:marLeft w:val="0"/>
      <w:marRight w:val="0"/>
      <w:marTop w:val="0"/>
      <w:marBottom w:val="0"/>
      <w:divBdr>
        <w:top w:val="none" w:sz="0" w:space="0" w:color="auto"/>
        <w:left w:val="none" w:sz="0" w:space="0" w:color="auto"/>
        <w:bottom w:val="none" w:sz="0" w:space="0" w:color="auto"/>
        <w:right w:val="none" w:sz="0" w:space="0" w:color="auto"/>
      </w:divBdr>
    </w:div>
    <w:div w:id="926621380">
      <w:bodyDiv w:val="1"/>
      <w:marLeft w:val="0"/>
      <w:marRight w:val="0"/>
      <w:marTop w:val="0"/>
      <w:marBottom w:val="0"/>
      <w:divBdr>
        <w:top w:val="none" w:sz="0" w:space="0" w:color="auto"/>
        <w:left w:val="none" w:sz="0" w:space="0" w:color="auto"/>
        <w:bottom w:val="none" w:sz="0" w:space="0" w:color="auto"/>
        <w:right w:val="none" w:sz="0" w:space="0" w:color="auto"/>
      </w:divBdr>
    </w:div>
    <w:div w:id="935748989">
      <w:bodyDiv w:val="1"/>
      <w:marLeft w:val="0"/>
      <w:marRight w:val="0"/>
      <w:marTop w:val="0"/>
      <w:marBottom w:val="0"/>
      <w:divBdr>
        <w:top w:val="none" w:sz="0" w:space="0" w:color="auto"/>
        <w:left w:val="none" w:sz="0" w:space="0" w:color="auto"/>
        <w:bottom w:val="none" w:sz="0" w:space="0" w:color="auto"/>
        <w:right w:val="none" w:sz="0" w:space="0" w:color="auto"/>
      </w:divBdr>
    </w:div>
    <w:div w:id="952706450">
      <w:bodyDiv w:val="1"/>
      <w:marLeft w:val="0"/>
      <w:marRight w:val="0"/>
      <w:marTop w:val="0"/>
      <w:marBottom w:val="0"/>
      <w:divBdr>
        <w:top w:val="none" w:sz="0" w:space="0" w:color="auto"/>
        <w:left w:val="none" w:sz="0" w:space="0" w:color="auto"/>
        <w:bottom w:val="none" w:sz="0" w:space="0" w:color="auto"/>
        <w:right w:val="none" w:sz="0" w:space="0" w:color="auto"/>
      </w:divBdr>
    </w:div>
    <w:div w:id="971599029">
      <w:bodyDiv w:val="1"/>
      <w:marLeft w:val="0"/>
      <w:marRight w:val="0"/>
      <w:marTop w:val="0"/>
      <w:marBottom w:val="0"/>
      <w:divBdr>
        <w:top w:val="none" w:sz="0" w:space="0" w:color="auto"/>
        <w:left w:val="none" w:sz="0" w:space="0" w:color="auto"/>
        <w:bottom w:val="none" w:sz="0" w:space="0" w:color="auto"/>
        <w:right w:val="none" w:sz="0" w:space="0" w:color="auto"/>
      </w:divBdr>
    </w:div>
    <w:div w:id="976299253">
      <w:bodyDiv w:val="1"/>
      <w:marLeft w:val="0"/>
      <w:marRight w:val="0"/>
      <w:marTop w:val="0"/>
      <w:marBottom w:val="0"/>
      <w:divBdr>
        <w:top w:val="none" w:sz="0" w:space="0" w:color="auto"/>
        <w:left w:val="none" w:sz="0" w:space="0" w:color="auto"/>
        <w:bottom w:val="none" w:sz="0" w:space="0" w:color="auto"/>
        <w:right w:val="none" w:sz="0" w:space="0" w:color="auto"/>
      </w:divBdr>
    </w:div>
    <w:div w:id="1000234618">
      <w:bodyDiv w:val="1"/>
      <w:marLeft w:val="0"/>
      <w:marRight w:val="0"/>
      <w:marTop w:val="0"/>
      <w:marBottom w:val="0"/>
      <w:divBdr>
        <w:top w:val="none" w:sz="0" w:space="0" w:color="auto"/>
        <w:left w:val="none" w:sz="0" w:space="0" w:color="auto"/>
        <w:bottom w:val="none" w:sz="0" w:space="0" w:color="auto"/>
        <w:right w:val="none" w:sz="0" w:space="0" w:color="auto"/>
      </w:divBdr>
    </w:div>
    <w:div w:id="1010719134">
      <w:bodyDiv w:val="1"/>
      <w:marLeft w:val="0"/>
      <w:marRight w:val="0"/>
      <w:marTop w:val="0"/>
      <w:marBottom w:val="0"/>
      <w:divBdr>
        <w:top w:val="none" w:sz="0" w:space="0" w:color="auto"/>
        <w:left w:val="none" w:sz="0" w:space="0" w:color="auto"/>
        <w:bottom w:val="none" w:sz="0" w:space="0" w:color="auto"/>
        <w:right w:val="none" w:sz="0" w:space="0" w:color="auto"/>
      </w:divBdr>
    </w:div>
    <w:div w:id="1048795513">
      <w:bodyDiv w:val="1"/>
      <w:marLeft w:val="0"/>
      <w:marRight w:val="0"/>
      <w:marTop w:val="0"/>
      <w:marBottom w:val="0"/>
      <w:divBdr>
        <w:top w:val="none" w:sz="0" w:space="0" w:color="auto"/>
        <w:left w:val="none" w:sz="0" w:space="0" w:color="auto"/>
        <w:bottom w:val="none" w:sz="0" w:space="0" w:color="auto"/>
        <w:right w:val="none" w:sz="0" w:space="0" w:color="auto"/>
      </w:divBdr>
    </w:div>
    <w:div w:id="1064451899">
      <w:bodyDiv w:val="1"/>
      <w:marLeft w:val="0"/>
      <w:marRight w:val="0"/>
      <w:marTop w:val="0"/>
      <w:marBottom w:val="0"/>
      <w:divBdr>
        <w:top w:val="none" w:sz="0" w:space="0" w:color="auto"/>
        <w:left w:val="none" w:sz="0" w:space="0" w:color="auto"/>
        <w:bottom w:val="none" w:sz="0" w:space="0" w:color="auto"/>
        <w:right w:val="none" w:sz="0" w:space="0" w:color="auto"/>
      </w:divBdr>
    </w:div>
    <w:div w:id="1085032907">
      <w:bodyDiv w:val="1"/>
      <w:marLeft w:val="0"/>
      <w:marRight w:val="0"/>
      <w:marTop w:val="0"/>
      <w:marBottom w:val="0"/>
      <w:divBdr>
        <w:top w:val="none" w:sz="0" w:space="0" w:color="auto"/>
        <w:left w:val="none" w:sz="0" w:space="0" w:color="auto"/>
        <w:bottom w:val="none" w:sz="0" w:space="0" w:color="auto"/>
        <w:right w:val="none" w:sz="0" w:space="0" w:color="auto"/>
      </w:divBdr>
    </w:div>
    <w:div w:id="1111702047">
      <w:bodyDiv w:val="1"/>
      <w:marLeft w:val="0"/>
      <w:marRight w:val="0"/>
      <w:marTop w:val="0"/>
      <w:marBottom w:val="0"/>
      <w:divBdr>
        <w:top w:val="none" w:sz="0" w:space="0" w:color="auto"/>
        <w:left w:val="none" w:sz="0" w:space="0" w:color="auto"/>
        <w:bottom w:val="none" w:sz="0" w:space="0" w:color="auto"/>
        <w:right w:val="none" w:sz="0" w:space="0" w:color="auto"/>
      </w:divBdr>
    </w:div>
    <w:div w:id="1117143551">
      <w:bodyDiv w:val="1"/>
      <w:marLeft w:val="0"/>
      <w:marRight w:val="0"/>
      <w:marTop w:val="0"/>
      <w:marBottom w:val="0"/>
      <w:divBdr>
        <w:top w:val="none" w:sz="0" w:space="0" w:color="auto"/>
        <w:left w:val="none" w:sz="0" w:space="0" w:color="auto"/>
        <w:bottom w:val="none" w:sz="0" w:space="0" w:color="auto"/>
        <w:right w:val="none" w:sz="0" w:space="0" w:color="auto"/>
      </w:divBdr>
    </w:div>
    <w:div w:id="1117260601">
      <w:bodyDiv w:val="1"/>
      <w:marLeft w:val="0"/>
      <w:marRight w:val="0"/>
      <w:marTop w:val="0"/>
      <w:marBottom w:val="0"/>
      <w:divBdr>
        <w:top w:val="none" w:sz="0" w:space="0" w:color="auto"/>
        <w:left w:val="none" w:sz="0" w:space="0" w:color="auto"/>
        <w:bottom w:val="none" w:sz="0" w:space="0" w:color="auto"/>
        <w:right w:val="none" w:sz="0" w:space="0" w:color="auto"/>
      </w:divBdr>
    </w:div>
    <w:div w:id="1142307364">
      <w:bodyDiv w:val="1"/>
      <w:marLeft w:val="0"/>
      <w:marRight w:val="0"/>
      <w:marTop w:val="0"/>
      <w:marBottom w:val="0"/>
      <w:divBdr>
        <w:top w:val="none" w:sz="0" w:space="0" w:color="auto"/>
        <w:left w:val="none" w:sz="0" w:space="0" w:color="auto"/>
        <w:bottom w:val="none" w:sz="0" w:space="0" w:color="auto"/>
        <w:right w:val="none" w:sz="0" w:space="0" w:color="auto"/>
      </w:divBdr>
    </w:div>
    <w:div w:id="1161123882">
      <w:bodyDiv w:val="1"/>
      <w:marLeft w:val="0"/>
      <w:marRight w:val="0"/>
      <w:marTop w:val="0"/>
      <w:marBottom w:val="0"/>
      <w:divBdr>
        <w:top w:val="none" w:sz="0" w:space="0" w:color="auto"/>
        <w:left w:val="none" w:sz="0" w:space="0" w:color="auto"/>
        <w:bottom w:val="none" w:sz="0" w:space="0" w:color="auto"/>
        <w:right w:val="none" w:sz="0" w:space="0" w:color="auto"/>
      </w:divBdr>
    </w:div>
    <w:div w:id="1165048366">
      <w:bodyDiv w:val="1"/>
      <w:marLeft w:val="0"/>
      <w:marRight w:val="0"/>
      <w:marTop w:val="0"/>
      <w:marBottom w:val="0"/>
      <w:divBdr>
        <w:top w:val="none" w:sz="0" w:space="0" w:color="auto"/>
        <w:left w:val="none" w:sz="0" w:space="0" w:color="auto"/>
        <w:bottom w:val="none" w:sz="0" w:space="0" w:color="auto"/>
        <w:right w:val="none" w:sz="0" w:space="0" w:color="auto"/>
      </w:divBdr>
    </w:div>
    <w:div w:id="1176001504">
      <w:bodyDiv w:val="1"/>
      <w:marLeft w:val="0"/>
      <w:marRight w:val="0"/>
      <w:marTop w:val="0"/>
      <w:marBottom w:val="0"/>
      <w:divBdr>
        <w:top w:val="none" w:sz="0" w:space="0" w:color="auto"/>
        <w:left w:val="none" w:sz="0" w:space="0" w:color="auto"/>
        <w:bottom w:val="none" w:sz="0" w:space="0" w:color="auto"/>
        <w:right w:val="none" w:sz="0" w:space="0" w:color="auto"/>
      </w:divBdr>
    </w:div>
    <w:div w:id="1185749668">
      <w:bodyDiv w:val="1"/>
      <w:marLeft w:val="0"/>
      <w:marRight w:val="0"/>
      <w:marTop w:val="0"/>
      <w:marBottom w:val="0"/>
      <w:divBdr>
        <w:top w:val="none" w:sz="0" w:space="0" w:color="auto"/>
        <w:left w:val="none" w:sz="0" w:space="0" w:color="auto"/>
        <w:bottom w:val="none" w:sz="0" w:space="0" w:color="auto"/>
        <w:right w:val="none" w:sz="0" w:space="0" w:color="auto"/>
      </w:divBdr>
    </w:div>
    <w:div w:id="1195846443">
      <w:bodyDiv w:val="1"/>
      <w:marLeft w:val="0"/>
      <w:marRight w:val="0"/>
      <w:marTop w:val="0"/>
      <w:marBottom w:val="0"/>
      <w:divBdr>
        <w:top w:val="none" w:sz="0" w:space="0" w:color="auto"/>
        <w:left w:val="none" w:sz="0" w:space="0" w:color="auto"/>
        <w:bottom w:val="none" w:sz="0" w:space="0" w:color="auto"/>
        <w:right w:val="none" w:sz="0" w:space="0" w:color="auto"/>
      </w:divBdr>
    </w:div>
    <w:div w:id="1203788207">
      <w:bodyDiv w:val="1"/>
      <w:marLeft w:val="0"/>
      <w:marRight w:val="0"/>
      <w:marTop w:val="0"/>
      <w:marBottom w:val="0"/>
      <w:divBdr>
        <w:top w:val="none" w:sz="0" w:space="0" w:color="auto"/>
        <w:left w:val="none" w:sz="0" w:space="0" w:color="auto"/>
        <w:bottom w:val="none" w:sz="0" w:space="0" w:color="auto"/>
        <w:right w:val="none" w:sz="0" w:space="0" w:color="auto"/>
      </w:divBdr>
    </w:div>
    <w:div w:id="1208835811">
      <w:bodyDiv w:val="1"/>
      <w:marLeft w:val="0"/>
      <w:marRight w:val="0"/>
      <w:marTop w:val="0"/>
      <w:marBottom w:val="0"/>
      <w:divBdr>
        <w:top w:val="none" w:sz="0" w:space="0" w:color="auto"/>
        <w:left w:val="none" w:sz="0" w:space="0" w:color="auto"/>
        <w:bottom w:val="none" w:sz="0" w:space="0" w:color="auto"/>
        <w:right w:val="none" w:sz="0" w:space="0" w:color="auto"/>
      </w:divBdr>
    </w:div>
    <w:div w:id="1213690459">
      <w:bodyDiv w:val="1"/>
      <w:marLeft w:val="0"/>
      <w:marRight w:val="0"/>
      <w:marTop w:val="0"/>
      <w:marBottom w:val="0"/>
      <w:divBdr>
        <w:top w:val="none" w:sz="0" w:space="0" w:color="auto"/>
        <w:left w:val="none" w:sz="0" w:space="0" w:color="auto"/>
        <w:bottom w:val="none" w:sz="0" w:space="0" w:color="auto"/>
        <w:right w:val="none" w:sz="0" w:space="0" w:color="auto"/>
      </w:divBdr>
    </w:div>
    <w:div w:id="1229225915">
      <w:bodyDiv w:val="1"/>
      <w:marLeft w:val="0"/>
      <w:marRight w:val="0"/>
      <w:marTop w:val="0"/>
      <w:marBottom w:val="0"/>
      <w:divBdr>
        <w:top w:val="none" w:sz="0" w:space="0" w:color="auto"/>
        <w:left w:val="none" w:sz="0" w:space="0" w:color="auto"/>
        <w:bottom w:val="none" w:sz="0" w:space="0" w:color="auto"/>
        <w:right w:val="none" w:sz="0" w:space="0" w:color="auto"/>
      </w:divBdr>
    </w:div>
    <w:div w:id="1231845929">
      <w:bodyDiv w:val="1"/>
      <w:marLeft w:val="0"/>
      <w:marRight w:val="0"/>
      <w:marTop w:val="0"/>
      <w:marBottom w:val="0"/>
      <w:divBdr>
        <w:top w:val="none" w:sz="0" w:space="0" w:color="auto"/>
        <w:left w:val="none" w:sz="0" w:space="0" w:color="auto"/>
        <w:bottom w:val="none" w:sz="0" w:space="0" w:color="auto"/>
        <w:right w:val="none" w:sz="0" w:space="0" w:color="auto"/>
      </w:divBdr>
      <w:divsChild>
        <w:div w:id="70011224">
          <w:marLeft w:val="446"/>
          <w:marRight w:val="0"/>
          <w:marTop w:val="0"/>
          <w:marBottom w:val="0"/>
          <w:divBdr>
            <w:top w:val="none" w:sz="0" w:space="0" w:color="auto"/>
            <w:left w:val="none" w:sz="0" w:space="0" w:color="auto"/>
            <w:bottom w:val="none" w:sz="0" w:space="0" w:color="auto"/>
            <w:right w:val="none" w:sz="0" w:space="0" w:color="auto"/>
          </w:divBdr>
        </w:div>
        <w:div w:id="388723211">
          <w:marLeft w:val="446"/>
          <w:marRight w:val="0"/>
          <w:marTop w:val="0"/>
          <w:marBottom w:val="0"/>
          <w:divBdr>
            <w:top w:val="none" w:sz="0" w:space="0" w:color="auto"/>
            <w:left w:val="none" w:sz="0" w:space="0" w:color="auto"/>
            <w:bottom w:val="none" w:sz="0" w:space="0" w:color="auto"/>
            <w:right w:val="none" w:sz="0" w:space="0" w:color="auto"/>
          </w:divBdr>
        </w:div>
        <w:div w:id="652954448">
          <w:marLeft w:val="446"/>
          <w:marRight w:val="0"/>
          <w:marTop w:val="0"/>
          <w:marBottom w:val="0"/>
          <w:divBdr>
            <w:top w:val="none" w:sz="0" w:space="0" w:color="auto"/>
            <w:left w:val="none" w:sz="0" w:space="0" w:color="auto"/>
            <w:bottom w:val="none" w:sz="0" w:space="0" w:color="auto"/>
            <w:right w:val="none" w:sz="0" w:space="0" w:color="auto"/>
          </w:divBdr>
        </w:div>
      </w:divsChild>
    </w:div>
    <w:div w:id="1237204518">
      <w:bodyDiv w:val="1"/>
      <w:marLeft w:val="0"/>
      <w:marRight w:val="0"/>
      <w:marTop w:val="0"/>
      <w:marBottom w:val="0"/>
      <w:divBdr>
        <w:top w:val="none" w:sz="0" w:space="0" w:color="auto"/>
        <w:left w:val="none" w:sz="0" w:space="0" w:color="auto"/>
        <w:bottom w:val="none" w:sz="0" w:space="0" w:color="auto"/>
        <w:right w:val="none" w:sz="0" w:space="0" w:color="auto"/>
      </w:divBdr>
    </w:div>
    <w:div w:id="1260136379">
      <w:bodyDiv w:val="1"/>
      <w:marLeft w:val="0"/>
      <w:marRight w:val="0"/>
      <w:marTop w:val="0"/>
      <w:marBottom w:val="0"/>
      <w:divBdr>
        <w:top w:val="none" w:sz="0" w:space="0" w:color="auto"/>
        <w:left w:val="none" w:sz="0" w:space="0" w:color="auto"/>
        <w:bottom w:val="none" w:sz="0" w:space="0" w:color="auto"/>
        <w:right w:val="none" w:sz="0" w:space="0" w:color="auto"/>
      </w:divBdr>
    </w:div>
    <w:div w:id="1271232329">
      <w:bodyDiv w:val="1"/>
      <w:marLeft w:val="0"/>
      <w:marRight w:val="0"/>
      <w:marTop w:val="0"/>
      <w:marBottom w:val="0"/>
      <w:divBdr>
        <w:top w:val="none" w:sz="0" w:space="0" w:color="auto"/>
        <w:left w:val="none" w:sz="0" w:space="0" w:color="auto"/>
        <w:bottom w:val="none" w:sz="0" w:space="0" w:color="auto"/>
        <w:right w:val="none" w:sz="0" w:space="0" w:color="auto"/>
      </w:divBdr>
    </w:div>
    <w:div w:id="1288124941">
      <w:bodyDiv w:val="1"/>
      <w:marLeft w:val="0"/>
      <w:marRight w:val="0"/>
      <w:marTop w:val="0"/>
      <w:marBottom w:val="0"/>
      <w:divBdr>
        <w:top w:val="none" w:sz="0" w:space="0" w:color="auto"/>
        <w:left w:val="none" w:sz="0" w:space="0" w:color="auto"/>
        <w:bottom w:val="none" w:sz="0" w:space="0" w:color="auto"/>
        <w:right w:val="none" w:sz="0" w:space="0" w:color="auto"/>
      </w:divBdr>
    </w:div>
    <w:div w:id="1291785173">
      <w:bodyDiv w:val="1"/>
      <w:marLeft w:val="0"/>
      <w:marRight w:val="0"/>
      <w:marTop w:val="0"/>
      <w:marBottom w:val="0"/>
      <w:divBdr>
        <w:top w:val="none" w:sz="0" w:space="0" w:color="auto"/>
        <w:left w:val="none" w:sz="0" w:space="0" w:color="auto"/>
        <w:bottom w:val="none" w:sz="0" w:space="0" w:color="auto"/>
        <w:right w:val="none" w:sz="0" w:space="0" w:color="auto"/>
      </w:divBdr>
    </w:div>
    <w:div w:id="1296712588">
      <w:bodyDiv w:val="1"/>
      <w:marLeft w:val="0"/>
      <w:marRight w:val="0"/>
      <w:marTop w:val="0"/>
      <w:marBottom w:val="0"/>
      <w:divBdr>
        <w:top w:val="none" w:sz="0" w:space="0" w:color="auto"/>
        <w:left w:val="none" w:sz="0" w:space="0" w:color="auto"/>
        <w:bottom w:val="none" w:sz="0" w:space="0" w:color="auto"/>
        <w:right w:val="none" w:sz="0" w:space="0" w:color="auto"/>
      </w:divBdr>
    </w:div>
    <w:div w:id="1312564949">
      <w:bodyDiv w:val="1"/>
      <w:marLeft w:val="0"/>
      <w:marRight w:val="0"/>
      <w:marTop w:val="0"/>
      <w:marBottom w:val="0"/>
      <w:divBdr>
        <w:top w:val="none" w:sz="0" w:space="0" w:color="auto"/>
        <w:left w:val="none" w:sz="0" w:space="0" w:color="auto"/>
        <w:bottom w:val="none" w:sz="0" w:space="0" w:color="auto"/>
        <w:right w:val="none" w:sz="0" w:space="0" w:color="auto"/>
      </w:divBdr>
    </w:div>
    <w:div w:id="1316421678">
      <w:bodyDiv w:val="1"/>
      <w:marLeft w:val="0"/>
      <w:marRight w:val="0"/>
      <w:marTop w:val="0"/>
      <w:marBottom w:val="0"/>
      <w:divBdr>
        <w:top w:val="none" w:sz="0" w:space="0" w:color="auto"/>
        <w:left w:val="none" w:sz="0" w:space="0" w:color="auto"/>
        <w:bottom w:val="none" w:sz="0" w:space="0" w:color="auto"/>
        <w:right w:val="none" w:sz="0" w:space="0" w:color="auto"/>
      </w:divBdr>
    </w:div>
    <w:div w:id="1331175581">
      <w:bodyDiv w:val="1"/>
      <w:marLeft w:val="0"/>
      <w:marRight w:val="0"/>
      <w:marTop w:val="0"/>
      <w:marBottom w:val="0"/>
      <w:divBdr>
        <w:top w:val="none" w:sz="0" w:space="0" w:color="auto"/>
        <w:left w:val="none" w:sz="0" w:space="0" w:color="auto"/>
        <w:bottom w:val="none" w:sz="0" w:space="0" w:color="auto"/>
        <w:right w:val="none" w:sz="0" w:space="0" w:color="auto"/>
      </w:divBdr>
    </w:div>
    <w:div w:id="1343514094">
      <w:bodyDiv w:val="1"/>
      <w:marLeft w:val="0"/>
      <w:marRight w:val="0"/>
      <w:marTop w:val="0"/>
      <w:marBottom w:val="0"/>
      <w:divBdr>
        <w:top w:val="none" w:sz="0" w:space="0" w:color="auto"/>
        <w:left w:val="none" w:sz="0" w:space="0" w:color="auto"/>
        <w:bottom w:val="none" w:sz="0" w:space="0" w:color="auto"/>
        <w:right w:val="none" w:sz="0" w:space="0" w:color="auto"/>
      </w:divBdr>
      <w:divsChild>
        <w:div w:id="15543340">
          <w:marLeft w:val="360"/>
          <w:marRight w:val="0"/>
          <w:marTop w:val="60"/>
          <w:marBottom w:val="60"/>
          <w:divBdr>
            <w:top w:val="none" w:sz="0" w:space="0" w:color="auto"/>
            <w:left w:val="none" w:sz="0" w:space="0" w:color="auto"/>
            <w:bottom w:val="none" w:sz="0" w:space="0" w:color="auto"/>
            <w:right w:val="none" w:sz="0" w:space="0" w:color="auto"/>
          </w:divBdr>
        </w:div>
        <w:div w:id="423501948">
          <w:marLeft w:val="360"/>
          <w:marRight w:val="0"/>
          <w:marTop w:val="60"/>
          <w:marBottom w:val="60"/>
          <w:divBdr>
            <w:top w:val="none" w:sz="0" w:space="0" w:color="auto"/>
            <w:left w:val="none" w:sz="0" w:space="0" w:color="auto"/>
            <w:bottom w:val="none" w:sz="0" w:space="0" w:color="auto"/>
            <w:right w:val="none" w:sz="0" w:space="0" w:color="auto"/>
          </w:divBdr>
        </w:div>
        <w:div w:id="522020389">
          <w:marLeft w:val="360"/>
          <w:marRight w:val="0"/>
          <w:marTop w:val="60"/>
          <w:marBottom w:val="60"/>
          <w:divBdr>
            <w:top w:val="none" w:sz="0" w:space="0" w:color="auto"/>
            <w:left w:val="none" w:sz="0" w:space="0" w:color="auto"/>
            <w:bottom w:val="none" w:sz="0" w:space="0" w:color="auto"/>
            <w:right w:val="none" w:sz="0" w:space="0" w:color="auto"/>
          </w:divBdr>
        </w:div>
        <w:div w:id="630287956">
          <w:marLeft w:val="360"/>
          <w:marRight w:val="0"/>
          <w:marTop w:val="60"/>
          <w:marBottom w:val="60"/>
          <w:divBdr>
            <w:top w:val="none" w:sz="0" w:space="0" w:color="auto"/>
            <w:left w:val="none" w:sz="0" w:space="0" w:color="auto"/>
            <w:bottom w:val="none" w:sz="0" w:space="0" w:color="auto"/>
            <w:right w:val="none" w:sz="0" w:space="0" w:color="auto"/>
          </w:divBdr>
        </w:div>
        <w:div w:id="665475178">
          <w:marLeft w:val="360"/>
          <w:marRight w:val="0"/>
          <w:marTop w:val="60"/>
          <w:marBottom w:val="60"/>
          <w:divBdr>
            <w:top w:val="none" w:sz="0" w:space="0" w:color="auto"/>
            <w:left w:val="none" w:sz="0" w:space="0" w:color="auto"/>
            <w:bottom w:val="none" w:sz="0" w:space="0" w:color="auto"/>
            <w:right w:val="none" w:sz="0" w:space="0" w:color="auto"/>
          </w:divBdr>
        </w:div>
        <w:div w:id="800802840">
          <w:marLeft w:val="360"/>
          <w:marRight w:val="0"/>
          <w:marTop w:val="120"/>
          <w:marBottom w:val="0"/>
          <w:divBdr>
            <w:top w:val="none" w:sz="0" w:space="0" w:color="auto"/>
            <w:left w:val="none" w:sz="0" w:space="0" w:color="auto"/>
            <w:bottom w:val="none" w:sz="0" w:space="0" w:color="auto"/>
            <w:right w:val="none" w:sz="0" w:space="0" w:color="auto"/>
          </w:divBdr>
        </w:div>
        <w:div w:id="1300501463">
          <w:marLeft w:val="360"/>
          <w:marRight w:val="0"/>
          <w:marTop w:val="120"/>
          <w:marBottom w:val="0"/>
          <w:divBdr>
            <w:top w:val="none" w:sz="0" w:space="0" w:color="auto"/>
            <w:left w:val="none" w:sz="0" w:space="0" w:color="auto"/>
            <w:bottom w:val="none" w:sz="0" w:space="0" w:color="auto"/>
            <w:right w:val="none" w:sz="0" w:space="0" w:color="auto"/>
          </w:divBdr>
        </w:div>
        <w:div w:id="1325164287">
          <w:marLeft w:val="360"/>
          <w:marRight w:val="0"/>
          <w:marTop w:val="60"/>
          <w:marBottom w:val="60"/>
          <w:divBdr>
            <w:top w:val="none" w:sz="0" w:space="0" w:color="auto"/>
            <w:left w:val="none" w:sz="0" w:space="0" w:color="auto"/>
            <w:bottom w:val="none" w:sz="0" w:space="0" w:color="auto"/>
            <w:right w:val="none" w:sz="0" w:space="0" w:color="auto"/>
          </w:divBdr>
        </w:div>
        <w:div w:id="1401099349">
          <w:marLeft w:val="360"/>
          <w:marRight w:val="0"/>
          <w:marTop w:val="120"/>
          <w:marBottom w:val="0"/>
          <w:divBdr>
            <w:top w:val="none" w:sz="0" w:space="0" w:color="auto"/>
            <w:left w:val="none" w:sz="0" w:space="0" w:color="auto"/>
            <w:bottom w:val="none" w:sz="0" w:space="0" w:color="auto"/>
            <w:right w:val="none" w:sz="0" w:space="0" w:color="auto"/>
          </w:divBdr>
        </w:div>
        <w:div w:id="1482890503">
          <w:marLeft w:val="360"/>
          <w:marRight w:val="0"/>
          <w:marTop w:val="60"/>
          <w:marBottom w:val="60"/>
          <w:divBdr>
            <w:top w:val="none" w:sz="0" w:space="0" w:color="auto"/>
            <w:left w:val="none" w:sz="0" w:space="0" w:color="auto"/>
            <w:bottom w:val="none" w:sz="0" w:space="0" w:color="auto"/>
            <w:right w:val="none" w:sz="0" w:space="0" w:color="auto"/>
          </w:divBdr>
        </w:div>
        <w:div w:id="2033916833">
          <w:marLeft w:val="360"/>
          <w:marRight w:val="0"/>
          <w:marTop w:val="120"/>
          <w:marBottom w:val="0"/>
          <w:divBdr>
            <w:top w:val="none" w:sz="0" w:space="0" w:color="auto"/>
            <w:left w:val="none" w:sz="0" w:space="0" w:color="auto"/>
            <w:bottom w:val="none" w:sz="0" w:space="0" w:color="auto"/>
            <w:right w:val="none" w:sz="0" w:space="0" w:color="auto"/>
          </w:divBdr>
        </w:div>
      </w:divsChild>
    </w:div>
    <w:div w:id="1347093370">
      <w:bodyDiv w:val="1"/>
      <w:marLeft w:val="0"/>
      <w:marRight w:val="0"/>
      <w:marTop w:val="0"/>
      <w:marBottom w:val="0"/>
      <w:divBdr>
        <w:top w:val="none" w:sz="0" w:space="0" w:color="auto"/>
        <w:left w:val="none" w:sz="0" w:space="0" w:color="auto"/>
        <w:bottom w:val="none" w:sz="0" w:space="0" w:color="auto"/>
        <w:right w:val="none" w:sz="0" w:space="0" w:color="auto"/>
      </w:divBdr>
      <w:divsChild>
        <w:div w:id="150366998">
          <w:marLeft w:val="274"/>
          <w:marRight w:val="0"/>
          <w:marTop w:val="0"/>
          <w:marBottom w:val="84"/>
          <w:divBdr>
            <w:top w:val="none" w:sz="0" w:space="0" w:color="auto"/>
            <w:left w:val="none" w:sz="0" w:space="0" w:color="auto"/>
            <w:bottom w:val="none" w:sz="0" w:space="0" w:color="auto"/>
            <w:right w:val="none" w:sz="0" w:space="0" w:color="auto"/>
          </w:divBdr>
        </w:div>
        <w:div w:id="708997108">
          <w:marLeft w:val="274"/>
          <w:marRight w:val="0"/>
          <w:marTop w:val="0"/>
          <w:marBottom w:val="84"/>
          <w:divBdr>
            <w:top w:val="none" w:sz="0" w:space="0" w:color="auto"/>
            <w:left w:val="none" w:sz="0" w:space="0" w:color="auto"/>
            <w:bottom w:val="none" w:sz="0" w:space="0" w:color="auto"/>
            <w:right w:val="none" w:sz="0" w:space="0" w:color="auto"/>
          </w:divBdr>
        </w:div>
        <w:div w:id="762335640">
          <w:marLeft w:val="274"/>
          <w:marRight w:val="0"/>
          <w:marTop w:val="0"/>
          <w:marBottom w:val="84"/>
          <w:divBdr>
            <w:top w:val="none" w:sz="0" w:space="0" w:color="auto"/>
            <w:left w:val="none" w:sz="0" w:space="0" w:color="auto"/>
            <w:bottom w:val="none" w:sz="0" w:space="0" w:color="auto"/>
            <w:right w:val="none" w:sz="0" w:space="0" w:color="auto"/>
          </w:divBdr>
        </w:div>
        <w:div w:id="1565138910">
          <w:marLeft w:val="274"/>
          <w:marRight w:val="0"/>
          <w:marTop w:val="0"/>
          <w:marBottom w:val="84"/>
          <w:divBdr>
            <w:top w:val="none" w:sz="0" w:space="0" w:color="auto"/>
            <w:left w:val="none" w:sz="0" w:space="0" w:color="auto"/>
            <w:bottom w:val="none" w:sz="0" w:space="0" w:color="auto"/>
            <w:right w:val="none" w:sz="0" w:space="0" w:color="auto"/>
          </w:divBdr>
        </w:div>
      </w:divsChild>
    </w:div>
    <w:div w:id="1358853976">
      <w:bodyDiv w:val="1"/>
      <w:marLeft w:val="0"/>
      <w:marRight w:val="0"/>
      <w:marTop w:val="0"/>
      <w:marBottom w:val="0"/>
      <w:divBdr>
        <w:top w:val="none" w:sz="0" w:space="0" w:color="auto"/>
        <w:left w:val="none" w:sz="0" w:space="0" w:color="auto"/>
        <w:bottom w:val="none" w:sz="0" w:space="0" w:color="auto"/>
        <w:right w:val="none" w:sz="0" w:space="0" w:color="auto"/>
      </w:divBdr>
    </w:div>
    <w:div w:id="1364015983">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376083587">
      <w:bodyDiv w:val="1"/>
      <w:marLeft w:val="0"/>
      <w:marRight w:val="0"/>
      <w:marTop w:val="0"/>
      <w:marBottom w:val="0"/>
      <w:divBdr>
        <w:top w:val="none" w:sz="0" w:space="0" w:color="auto"/>
        <w:left w:val="none" w:sz="0" w:space="0" w:color="auto"/>
        <w:bottom w:val="none" w:sz="0" w:space="0" w:color="auto"/>
        <w:right w:val="none" w:sz="0" w:space="0" w:color="auto"/>
      </w:divBdr>
    </w:div>
    <w:div w:id="1399473570">
      <w:bodyDiv w:val="1"/>
      <w:marLeft w:val="0"/>
      <w:marRight w:val="0"/>
      <w:marTop w:val="0"/>
      <w:marBottom w:val="0"/>
      <w:divBdr>
        <w:top w:val="none" w:sz="0" w:space="0" w:color="auto"/>
        <w:left w:val="none" w:sz="0" w:space="0" w:color="auto"/>
        <w:bottom w:val="none" w:sz="0" w:space="0" w:color="auto"/>
        <w:right w:val="none" w:sz="0" w:space="0" w:color="auto"/>
      </w:divBdr>
    </w:div>
    <w:div w:id="1399860371">
      <w:bodyDiv w:val="1"/>
      <w:marLeft w:val="0"/>
      <w:marRight w:val="0"/>
      <w:marTop w:val="0"/>
      <w:marBottom w:val="0"/>
      <w:divBdr>
        <w:top w:val="none" w:sz="0" w:space="0" w:color="auto"/>
        <w:left w:val="none" w:sz="0" w:space="0" w:color="auto"/>
        <w:bottom w:val="none" w:sz="0" w:space="0" w:color="auto"/>
        <w:right w:val="none" w:sz="0" w:space="0" w:color="auto"/>
      </w:divBdr>
    </w:div>
    <w:div w:id="1400444768">
      <w:bodyDiv w:val="1"/>
      <w:marLeft w:val="0"/>
      <w:marRight w:val="0"/>
      <w:marTop w:val="0"/>
      <w:marBottom w:val="0"/>
      <w:divBdr>
        <w:top w:val="none" w:sz="0" w:space="0" w:color="auto"/>
        <w:left w:val="none" w:sz="0" w:space="0" w:color="auto"/>
        <w:bottom w:val="none" w:sz="0" w:space="0" w:color="auto"/>
        <w:right w:val="none" w:sz="0" w:space="0" w:color="auto"/>
      </w:divBdr>
    </w:div>
    <w:div w:id="1409375921">
      <w:bodyDiv w:val="1"/>
      <w:marLeft w:val="0"/>
      <w:marRight w:val="0"/>
      <w:marTop w:val="0"/>
      <w:marBottom w:val="0"/>
      <w:divBdr>
        <w:top w:val="none" w:sz="0" w:space="0" w:color="auto"/>
        <w:left w:val="none" w:sz="0" w:space="0" w:color="auto"/>
        <w:bottom w:val="none" w:sz="0" w:space="0" w:color="auto"/>
        <w:right w:val="none" w:sz="0" w:space="0" w:color="auto"/>
      </w:divBdr>
    </w:div>
    <w:div w:id="1460299855">
      <w:bodyDiv w:val="1"/>
      <w:marLeft w:val="0"/>
      <w:marRight w:val="0"/>
      <w:marTop w:val="0"/>
      <w:marBottom w:val="0"/>
      <w:divBdr>
        <w:top w:val="none" w:sz="0" w:space="0" w:color="auto"/>
        <w:left w:val="none" w:sz="0" w:space="0" w:color="auto"/>
        <w:bottom w:val="none" w:sz="0" w:space="0" w:color="auto"/>
        <w:right w:val="none" w:sz="0" w:space="0" w:color="auto"/>
      </w:divBdr>
    </w:div>
    <w:div w:id="1463959695">
      <w:bodyDiv w:val="1"/>
      <w:marLeft w:val="0"/>
      <w:marRight w:val="0"/>
      <w:marTop w:val="0"/>
      <w:marBottom w:val="0"/>
      <w:divBdr>
        <w:top w:val="none" w:sz="0" w:space="0" w:color="auto"/>
        <w:left w:val="none" w:sz="0" w:space="0" w:color="auto"/>
        <w:bottom w:val="none" w:sz="0" w:space="0" w:color="auto"/>
        <w:right w:val="none" w:sz="0" w:space="0" w:color="auto"/>
      </w:divBdr>
    </w:div>
    <w:div w:id="1480614495">
      <w:bodyDiv w:val="1"/>
      <w:marLeft w:val="0"/>
      <w:marRight w:val="0"/>
      <w:marTop w:val="0"/>
      <w:marBottom w:val="0"/>
      <w:divBdr>
        <w:top w:val="none" w:sz="0" w:space="0" w:color="auto"/>
        <w:left w:val="none" w:sz="0" w:space="0" w:color="auto"/>
        <w:bottom w:val="none" w:sz="0" w:space="0" w:color="auto"/>
        <w:right w:val="none" w:sz="0" w:space="0" w:color="auto"/>
      </w:divBdr>
    </w:div>
    <w:div w:id="1486966990">
      <w:bodyDiv w:val="1"/>
      <w:marLeft w:val="0"/>
      <w:marRight w:val="0"/>
      <w:marTop w:val="0"/>
      <w:marBottom w:val="0"/>
      <w:divBdr>
        <w:top w:val="none" w:sz="0" w:space="0" w:color="auto"/>
        <w:left w:val="none" w:sz="0" w:space="0" w:color="auto"/>
        <w:bottom w:val="none" w:sz="0" w:space="0" w:color="auto"/>
        <w:right w:val="none" w:sz="0" w:space="0" w:color="auto"/>
      </w:divBdr>
    </w:div>
    <w:div w:id="1488285390">
      <w:bodyDiv w:val="1"/>
      <w:marLeft w:val="0"/>
      <w:marRight w:val="0"/>
      <w:marTop w:val="0"/>
      <w:marBottom w:val="0"/>
      <w:divBdr>
        <w:top w:val="none" w:sz="0" w:space="0" w:color="auto"/>
        <w:left w:val="none" w:sz="0" w:space="0" w:color="auto"/>
        <w:bottom w:val="none" w:sz="0" w:space="0" w:color="auto"/>
        <w:right w:val="none" w:sz="0" w:space="0" w:color="auto"/>
      </w:divBdr>
    </w:div>
    <w:div w:id="1495024245">
      <w:bodyDiv w:val="1"/>
      <w:marLeft w:val="0"/>
      <w:marRight w:val="0"/>
      <w:marTop w:val="0"/>
      <w:marBottom w:val="0"/>
      <w:divBdr>
        <w:top w:val="none" w:sz="0" w:space="0" w:color="auto"/>
        <w:left w:val="none" w:sz="0" w:space="0" w:color="auto"/>
        <w:bottom w:val="none" w:sz="0" w:space="0" w:color="auto"/>
        <w:right w:val="none" w:sz="0" w:space="0" w:color="auto"/>
      </w:divBdr>
    </w:div>
    <w:div w:id="1512524482">
      <w:bodyDiv w:val="1"/>
      <w:marLeft w:val="0"/>
      <w:marRight w:val="0"/>
      <w:marTop w:val="0"/>
      <w:marBottom w:val="0"/>
      <w:divBdr>
        <w:top w:val="none" w:sz="0" w:space="0" w:color="auto"/>
        <w:left w:val="none" w:sz="0" w:space="0" w:color="auto"/>
        <w:bottom w:val="none" w:sz="0" w:space="0" w:color="auto"/>
        <w:right w:val="none" w:sz="0" w:space="0" w:color="auto"/>
      </w:divBdr>
    </w:div>
    <w:div w:id="1512528145">
      <w:bodyDiv w:val="1"/>
      <w:marLeft w:val="0"/>
      <w:marRight w:val="0"/>
      <w:marTop w:val="0"/>
      <w:marBottom w:val="0"/>
      <w:divBdr>
        <w:top w:val="none" w:sz="0" w:space="0" w:color="auto"/>
        <w:left w:val="none" w:sz="0" w:space="0" w:color="auto"/>
        <w:bottom w:val="none" w:sz="0" w:space="0" w:color="auto"/>
        <w:right w:val="none" w:sz="0" w:space="0" w:color="auto"/>
      </w:divBdr>
      <w:divsChild>
        <w:div w:id="80760953">
          <w:marLeft w:val="0"/>
          <w:marRight w:val="0"/>
          <w:marTop w:val="0"/>
          <w:marBottom w:val="0"/>
          <w:divBdr>
            <w:top w:val="none" w:sz="0" w:space="0" w:color="auto"/>
            <w:left w:val="none" w:sz="0" w:space="0" w:color="auto"/>
            <w:bottom w:val="none" w:sz="0" w:space="0" w:color="auto"/>
            <w:right w:val="none" w:sz="0" w:space="0" w:color="auto"/>
          </w:divBdr>
        </w:div>
      </w:divsChild>
    </w:div>
    <w:div w:id="1515074126">
      <w:bodyDiv w:val="1"/>
      <w:marLeft w:val="0"/>
      <w:marRight w:val="0"/>
      <w:marTop w:val="0"/>
      <w:marBottom w:val="0"/>
      <w:divBdr>
        <w:top w:val="none" w:sz="0" w:space="0" w:color="auto"/>
        <w:left w:val="none" w:sz="0" w:space="0" w:color="auto"/>
        <w:bottom w:val="none" w:sz="0" w:space="0" w:color="auto"/>
        <w:right w:val="none" w:sz="0" w:space="0" w:color="auto"/>
      </w:divBdr>
    </w:div>
    <w:div w:id="1515925369">
      <w:bodyDiv w:val="1"/>
      <w:marLeft w:val="0"/>
      <w:marRight w:val="0"/>
      <w:marTop w:val="0"/>
      <w:marBottom w:val="0"/>
      <w:divBdr>
        <w:top w:val="none" w:sz="0" w:space="0" w:color="auto"/>
        <w:left w:val="none" w:sz="0" w:space="0" w:color="auto"/>
        <w:bottom w:val="none" w:sz="0" w:space="0" w:color="auto"/>
        <w:right w:val="none" w:sz="0" w:space="0" w:color="auto"/>
      </w:divBdr>
    </w:div>
    <w:div w:id="1535267625">
      <w:bodyDiv w:val="1"/>
      <w:marLeft w:val="0"/>
      <w:marRight w:val="0"/>
      <w:marTop w:val="0"/>
      <w:marBottom w:val="0"/>
      <w:divBdr>
        <w:top w:val="none" w:sz="0" w:space="0" w:color="auto"/>
        <w:left w:val="none" w:sz="0" w:space="0" w:color="auto"/>
        <w:bottom w:val="none" w:sz="0" w:space="0" w:color="auto"/>
        <w:right w:val="none" w:sz="0" w:space="0" w:color="auto"/>
      </w:divBdr>
    </w:div>
    <w:div w:id="1540897755">
      <w:bodyDiv w:val="1"/>
      <w:marLeft w:val="0"/>
      <w:marRight w:val="0"/>
      <w:marTop w:val="0"/>
      <w:marBottom w:val="0"/>
      <w:divBdr>
        <w:top w:val="none" w:sz="0" w:space="0" w:color="auto"/>
        <w:left w:val="none" w:sz="0" w:space="0" w:color="auto"/>
        <w:bottom w:val="none" w:sz="0" w:space="0" w:color="auto"/>
        <w:right w:val="none" w:sz="0" w:space="0" w:color="auto"/>
      </w:divBdr>
    </w:div>
    <w:div w:id="1557661362">
      <w:bodyDiv w:val="1"/>
      <w:marLeft w:val="0"/>
      <w:marRight w:val="0"/>
      <w:marTop w:val="0"/>
      <w:marBottom w:val="0"/>
      <w:divBdr>
        <w:top w:val="none" w:sz="0" w:space="0" w:color="auto"/>
        <w:left w:val="none" w:sz="0" w:space="0" w:color="auto"/>
        <w:bottom w:val="none" w:sz="0" w:space="0" w:color="auto"/>
        <w:right w:val="none" w:sz="0" w:space="0" w:color="auto"/>
      </w:divBdr>
    </w:div>
    <w:div w:id="1576890886">
      <w:bodyDiv w:val="1"/>
      <w:marLeft w:val="0"/>
      <w:marRight w:val="0"/>
      <w:marTop w:val="0"/>
      <w:marBottom w:val="0"/>
      <w:divBdr>
        <w:top w:val="none" w:sz="0" w:space="0" w:color="auto"/>
        <w:left w:val="none" w:sz="0" w:space="0" w:color="auto"/>
        <w:bottom w:val="none" w:sz="0" w:space="0" w:color="auto"/>
        <w:right w:val="none" w:sz="0" w:space="0" w:color="auto"/>
      </w:divBdr>
    </w:div>
    <w:div w:id="1581211174">
      <w:bodyDiv w:val="1"/>
      <w:marLeft w:val="0"/>
      <w:marRight w:val="0"/>
      <w:marTop w:val="0"/>
      <w:marBottom w:val="0"/>
      <w:divBdr>
        <w:top w:val="none" w:sz="0" w:space="0" w:color="auto"/>
        <w:left w:val="none" w:sz="0" w:space="0" w:color="auto"/>
        <w:bottom w:val="none" w:sz="0" w:space="0" w:color="auto"/>
        <w:right w:val="none" w:sz="0" w:space="0" w:color="auto"/>
      </w:divBdr>
    </w:div>
    <w:div w:id="1598559079">
      <w:bodyDiv w:val="1"/>
      <w:marLeft w:val="0"/>
      <w:marRight w:val="0"/>
      <w:marTop w:val="0"/>
      <w:marBottom w:val="0"/>
      <w:divBdr>
        <w:top w:val="none" w:sz="0" w:space="0" w:color="auto"/>
        <w:left w:val="none" w:sz="0" w:space="0" w:color="auto"/>
        <w:bottom w:val="none" w:sz="0" w:space="0" w:color="auto"/>
        <w:right w:val="none" w:sz="0" w:space="0" w:color="auto"/>
      </w:divBdr>
    </w:div>
    <w:div w:id="1610701967">
      <w:bodyDiv w:val="1"/>
      <w:marLeft w:val="0"/>
      <w:marRight w:val="0"/>
      <w:marTop w:val="0"/>
      <w:marBottom w:val="0"/>
      <w:divBdr>
        <w:top w:val="none" w:sz="0" w:space="0" w:color="auto"/>
        <w:left w:val="none" w:sz="0" w:space="0" w:color="auto"/>
        <w:bottom w:val="none" w:sz="0" w:space="0" w:color="auto"/>
        <w:right w:val="none" w:sz="0" w:space="0" w:color="auto"/>
      </w:divBdr>
    </w:div>
    <w:div w:id="1613632483">
      <w:bodyDiv w:val="1"/>
      <w:marLeft w:val="0"/>
      <w:marRight w:val="0"/>
      <w:marTop w:val="0"/>
      <w:marBottom w:val="0"/>
      <w:divBdr>
        <w:top w:val="none" w:sz="0" w:space="0" w:color="auto"/>
        <w:left w:val="none" w:sz="0" w:space="0" w:color="auto"/>
        <w:bottom w:val="none" w:sz="0" w:space="0" w:color="auto"/>
        <w:right w:val="none" w:sz="0" w:space="0" w:color="auto"/>
      </w:divBdr>
    </w:div>
    <w:div w:id="1617323223">
      <w:bodyDiv w:val="1"/>
      <w:marLeft w:val="0"/>
      <w:marRight w:val="0"/>
      <w:marTop w:val="0"/>
      <w:marBottom w:val="0"/>
      <w:divBdr>
        <w:top w:val="none" w:sz="0" w:space="0" w:color="auto"/>
        <w:left w:val="none" w:sz="0" w:space="0" w:color="auto"/>
        <w:bottom w:val="none" w:sz="0" w:space="0" w:color="auto"/>
        <w:right w:val="none" w:sz="0" w:space="0" w:color="auto"/>
      </w:divBdr>
    </w:div>
    <w:div w:id="1634367582">
      <w:bodyDiv w:val="1"/>
      <w:marLeft w:val="0"/>
      <w:marRight w:val="0"/>
      <w:marTop w:val="0"/>
      <w:marBottom w:val="0"/>
      <w:divBdr>
        <w:top w:val="none" w:sz="0" w:space="0" w:color="auto"/>
        <w:left w:val="none" w:sz="0" w:space="0" w:color="auto"/>
        <w:bottom w:val="none" w:sz="0" w:space="0" w:color="auto"/>
        <w:right w:val="none" w:sz="0" w:space="0" w:color="auto"/>
      </w:divBdr>
    </w:div>
    <w:div w:id="1635718404">
      <w:bodyDiv w:val="1"/>
      <w:marLeft w:val="0"/>
      <w:marRight w:val="0"/>
      <w:marTop w:val="0"/>
      <w:marBottom w:val="0"/>
      <w:divBdr>
        <w:top w:val="none" w:sz="0" w:space="0" w:color="auto"/>
        <w:left w:val="none" w:sz="0" w:space="0" w:color="auto"/>
        <w:bottom w:val="none" w:sz="0" w:space="0" w:color="auto"/>
        <w:right w:val="none" w:sz="0" w:space="0" w:color="auto"/>
      </w:divBdr>
    </w:div>
    <w:div w:id="1637759974">
      <w:bodyDiv w:val="1"/>
      <w:marLeft w:val="0"/>
      <w:marRight w:val="0"/>
      <w:marTop w:val="0"/>
      <w:marBottom w:val="0"/>
      <w:divBdr>
        <w:top w:val="none" w:sz="0" w:space="0" w:color="auto"/>
        <w:left w:val="none" w:sz="0" w:space="0" w:color="auto"/>
        <w:bottom w:val="none" w:sz="0" w:space="0" w:color="auto"/>
        <w:right w:val="none" w:sz="0" w:space="0" w:color="auto"/>
      </w:divBdr>
    </w:div>
    <w:div w:id="1639722141">
      <w:bodyDiv w:val="1"/>
      <w:marLeft w:val="0"/>
      <w:marRight w:val="0"/>
      <w:marTop w:val="0"/>
      <w:marBottom w:val="0"/>
      <w:divBdr>
        <w:top w:val="none" w:sz="0" w:space="0" w:color="auto"/>
        <w:left w:val="none" w:sz="0" w:space="0" w:color="auto"/>
        <w:bottom w:val="none" w:sz="0" w:space="0" w:color="auto"/>
        <w:right w:val="none" w:sz="0" w:space="0" w:color="auto"/>
      </w:divBdr>
    </w:div>
    <w:div w:id="1649482116">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660230298">
      <w:bodyDiv w:val="1"/>
      <w:marLeft w:val="0"/>
      <w:marRight w:val="0"/>
      <w:marTop w:val="0"/>
      <w:marBottom w:val="0"/>
      <w:divBdr>
        <w:top w:val="none" w:sz="0" w:space="0" w:color="auto"/>
        <w:left w:val="none" w:sz="0" w:space="0" w:color="auto"/>
        <w:bottom w:val="none" w:sz="0" w:space="0" w:color="auto"/>
        <w:right w:val="none" w:sz="0" w:space="0" w:color="auto"/>
      </w:divBdr>
    </w:div>
    <w:div w:id="1667049389">
      <w:bodyDiv w:val="1"/>
      <w:marLeft w:val="0"/>
      <w:marRight w:val="0"/>
      <w:marTop w:val="0"/>
      <w:marBottom w:val="0"/>
      <w:divBdr>
        <w:top w:val="none" w:sz="0" w:space="0" w:color="auto"/>
        <w:left w:val="none" w:sz="0" w:space="0" w:color="auto"/>
        <w:bottom w:val="none" w:sz="0" w:space="0" w:color="auto"/>
        <w:right w:val="none" w:sz="0" w:space="0" w:color="auto"/>
      </w:divBdr>
    </w:div>
    <w:div w:id="1668434372">
      <w:bodyDiv w:val="1"/>
      <w:marLeft w:val="0"/>
      <w:marRight w:val="0"/>
      <w:marTop w:val="0"/>
      <w:marBottom w:val="0"/>
      <w:divBdr>
        <w:top w:val="none" w:sz="0" w:space="0" w:color="auto"/>
        <w:left w:val="none" w:sz="0" w:space="0" w:color="auto"/>
        <w:bottom w:val="none" w:sz="0" w:space="0" w:color="auto"/>
        <w:right w:val="none" w:sz="0" w:space="0" w:color="auto"/>
      </w:divBdr>
    </w:div>
    <w:div w:id="1670794275">
      <w:bodyDiv w:val="1"/>
      <w:marLeft w:val="0"/>
      <w:marRight w:val="0"/>
      <w:marTop w:val="0"/>
      <w:marBottom w:val="0"/>
      <w:divBdr>
        <w:top w:val="none" w:sz="0" w:space="0" w:color="auto"/>
        <w:left w:val="none" w:sz="0" w:space="0" w:color="auto"/>
        <w:bottom w:val="none" w:sz="0" w:space="0" w:color="auto"/>
        <w:right w:val="none" w:sz="0" w:space="0" w:color="auto"/>
      </w:divBdr>
    </w:div>
    <w:div w:id="1672832511">
      <w:bodyDiv w:val="1"/>
      <w:marLeft w:val="0"/>
      <w:marRight w:val="0"/>
      <w:marTop w:val="0"/>
      <w:marBottom w:val="0"/>
      <w:divBdr>
        <w:top w:val="none" w:sz="0" w:space="0" w:color="auto"/>
        <w:left w:val="none" w:sz="0" w:space="0" w:color="auto"/>
        <w:bottom w:val="none" w:sz="0" w:space="0" w:color="auto"/>
        <w:right w:val="none" w:sz="0" w:space="0" w:color="auto"/>
      </w:divBdr>
    </w:div>
    <w:div w:id="1681080002">
      <w:bodyDiv w:val="1"/>
      <w:marLeft w:val="0"/>
      <w:marRight w:val="0"/>
      <w:marTop w:val="0"/>
      <w:marBottom w:val="0"/>
      <w:divBdr>
        <w:top w:val="none" w:sz="0" w:space="0" w:color="auto"/>
        <w:left w:val="none" w:sz="0" w:space="0" w:color="auto"/>
        <w:bottom w:val="none" w:sz="0" w:space="0" w:color="auto"/>
        <w:right w:val="none" w:sz="0" w:space="0" w:color="auto"/>
      </w:divBdr>
    </w:div>
    <w:div w:id="1690989900">
      <w:bodyDiv w:val="1"/>
      <w:marLeft w:val="0"/>
      <w:marRight w:val="0"/>
      <w:marTop w:val="0"/>
      <w:marBottom w:val="0"/>
      <w:divBdr>
        <w:top w:val="none" w:sz="0" w:space="0" w:color="auto"/>
        <w:left w:val="none" w:sz="0" w:space="0" w:color="auto"/>
        <w:bottom w:val="none" w:sz="0" w:space="0" w:color="auto"/>
        <w:right w:val="none" w:sz="0" w:space="0" w:color="auto"/>
      </w:divBdr>
    </w:div>
    <w:div w:id="1691028557">
      <w:bodyDiv w:val="1"/>
      <w:marLeft w:val="0"/>
      <w:marRight w:val="0"/>
      <w:marTop w:val="0"/>
      <w:marBottom w:val="0"/>
      <w:divBdr>
        <w:top w:val="none" w:sz="0" w:space="0" w:color="auto"/>
        <w:left w:val="none" w:sz="0" w:space="0" w:color="auto"/>
        <w:bottom w:val="none" w:sz="0" w:space="0" w:color="auto"/>
        <w:right w:val="none" w:sz="0" w:space="0" w:color="auto"/>
      </w:divBdr>
    </w:div>
    <w:div w:id="1697464862">
      <w:bodyDiv w:val="1"/>
      <w:marLeft w:val="0"/>
      <w:marRight w:val="0"/>
      <w:marTop w:val="0"/>
      <w:marBottom w:val="0"/>
      <w:divBdr>
        <w:top w:val="none" w:sz="0" w:space="0" w:color="auto"/>
        <w:left w:val="none" w:sz="0" w:space="0" w:color="auto"/>
        <w:bottom w:val="none" w:sz="0" w:space="0" w:color="auto"/>
        <w:right w:val="none" w:sz="0" w:space="0" w:color="auto"/>
      </w:divBdr>
    </w:div>
    <w:div w:id="1706825637">
      <w:bodyDiv w:val="1"/>
      <w:marLeft w:val="0"/>
      <w:marRight w:val="0"/>
      <w:marTop w:val="0"/>
      <w:marBottom w:val="0"/>
      <w:divBdr>
        <w:top w:val="none" w:sz="0" w:space="0" w:color="auto"/>
        <w:left w:val="none" w:sz="0" w:space="0" w:color="auto"/>
        <w:bottom w:val="none" w:sz="0" w:space="0" w:color="auto"/>
        <w:right w:val="none" w:sz="0" w:space="0" w:color="auto"/>
      </w:divBdr>
    </w:div>
    <w:div w:id="1712148392">
      <w:bodyDiv w:val="1"/>
      <w:marLeft w:val="0"/>
      <w:marRight w:val="0"/>
      <w:marTop w:val="0"/>
      <w:marBottom w:val="0"/>
      <w:divBdr>
        <w:top w:val="none" w:sz="0" w:space="0" w:color="auto"/>
        <w:left w:val="none" w:sz="0" w:space="0" w:color="auto"/>
        <w:bottom w:val="none" w:sz="0" w:space="0" w:color="auto"/>
        <w:right w:val="none" w:sz="0" w:space="0" w:color="auto"/>
      </w:divBdr>
    </w:div>
    <w:div w:id="1713263862">
      <w:bodyDiv w:val="1"/>
      <w:marLeft w:val="0"/>
      <w:marRight w:val="0"/>
      <w:marTop w:val="0"/>
      <w:marBottom w:val="0"/>
      <w:divBdr>
        <w:top w:val="none" w:sz="0" w:space="0" w:color="auto"/>
        <w:left w:val="none" w:sz="0" w:space="0" w:color="auto"/>
        <w:bottom w:val="none" w:sz="0" w:space="0" w:color="auto"/>
        <w:right w:val="none" w:sz="0" w:space="0" w:color="auto"/>
      </w:divBdr>
    </w:div>
    <w:div w:id="1726180292">
      <w:bodyDiv w:val="1"/>
      <w:marLeft w:val="0"/>
      <w:marRight w:val="0"/>
      <w:marTop w:val="0"/>
      <w:marBottom w:val="0"/>
      <w:divBdr>
        <w:top w:val="none" w:sz="0" w:space="0" w:color="auto"/>
        <w:left w:val="none" w:sz="0" w:space="0" w:color="auto"/>
        <w:bottom w:val="none" w:sz="0" w:space="0" w:color="auto"/>
        <w:right w:val="none" w:sz="0" w:space="0" w:color="auto"/>
      </w:divBdr>
    </w:div>
    <w:div w:id="1753552011">
      <w:bodyDiv w:val="1"/>
      <w:marLeft w:val="0"/>
      <w:marRight w:val="0"/>
      <w:marTop w:val="0"/>
      <w:marBottom w:val="0"/>
      <w:divBdr>
        <w:top w:val="none" w:sz="0" w:space="0" w:color="auto"/>
        <w:left w:val="none" w:sz="0" w:space="0" w:color="auto"/>
        <w:bottom w:val="none" w:sz="0" w:space="0" w:color="auto"/>
        <w:right w:val="none" w:sz="0" w:space="0" w:color="auto"/>
      </w:divBdr>
    </w:div>
    <w:div w:id="1765415867">
      <w:bodyDiv w:val="1"/>
      <w:marLeft w:val="0"/>
      <w:marRight w:val="0"/>
      <w:marTop w:val="0"/>
      <w:marBottom w:val="0"/>
      <w:divBdr>
        <w:top w:val="none" w:sz="0" w:space="0" w:color="auto"/>
        <w:left w:val="none" w:sz="0" w:space="0" w:color="auto"/>
        <w:bottom w:val="none" w:sz="0" w:space="0" w:color="auto"/>
        <w:right w:val="none" w:sz="0" w:space="0" w:color="auto"/>
      </w:divBdr>
    </w:div>
    <w:div w:id="1767967971">
      <w:bodyDiv w:val="1"/>
      <w:marLeft w:val="0"/>
      <w:marRight w:val="0"/>
      <w:marTop w:val="0"/>
      <w:marBottom w:val="0"/>
      <w:divBdr>
        <w:top w:val="none" w:sz="0" w:space="0" w:color="auto"/>
        <w:left w:val="none" w:sz="0" w:space="0" w:color="auto"/>
        <w:bottom w:val="none" w:sz="0" w:space="0" w:color="auto"/>
        <w:right w:val="none" w:sz="0" w:space="0" w:color="auto"/>
      </w:divBdr>
    </w:div>
    <w:div w:id="1776442018">
      <w:bodyDiv w:val="1"/>
      <w:marLeft w:val="0"/>
      <w:marRight w:val="0"/>
      <w:marTop w:val="0"/>
      <w:marBottom w:val="0"/>
      <w:divBdr>
        <w:top w:val="none" w:sz="0" w:space="0" w:color="auto"/>
        <w:left w:val="none" w:sz="0" w:space="0" w:color="auto"/>
        <w:bottom w:val="none" w:sz="0" w:space="0" w:color="auto"/>
        <w:right w:val="none" w:sz="0" w:space="0" w:color="auto"/>
      </w:divBdr>
    </w:div>
    <w:div w:id="1786803382">
      <w:bodyDiv w:val="1"/>
      <w:marLeft w:val="0"/>
      <w:marRight w:val="0"/>
      <w:marTop w:val="0"/>
      <w:marBottom w:val="0"/>
      <w:divBdr>
        <w:top w:val="none" w:sz="0" w:space="0" w:color="auto"/>
        <w:left w:val="none" w:sz="0" w:space="0" w:color="auto"/>
        <w:bottom w:val="none" w:sz="0" w:space="0" w:color="auto"/>
        <w:right w:val="none" w:sz="0" w:space="0" w:color="auto"/>
      </w:divBdr>
    </w:div>
    <w:div w:id="1809584740">
      <w:bodyDiv w:val="1"/>
      <w:marLeft w:val="0"/>
      <w:marRight w:val="0"/>
      <w:marTop w:val="0"/>
      <w:marBottom w:val="0"/>
      <w:divBdr>
        <w:top w:val="none" w:sz="0" w:space="0" w:color="auto"/>
        <w:left w:val="none" w:sz="0" w:space="0" w:color="auto"/>
        <w:bottom w:val="none" w:sz="0" w:space="0" w:color="auto"/>
        <w:right w:val="none" w:sz="0" w:space="0" w:color="auto"/>
      </w:divBdr>
    </w:div>
    <w:div w:id="1824737690">
      <w:bodyDiv w:val="1"/>
      <w:marLeft w:val="0"/>
      <w:marRight w:val="0"/>
      <w:marTop w:val="0"/>
      <w:marBottom w:val="0"/>
      <w:divBdr>
        <w:top w:val="none" w:sz="0" w:space="0" w:color="auto"/>
        <w:left w:val="none" w:sz="0" w:space="0" w:color="auto"/>
        <w:bottom w:val="none" w:sz="0" w:space="0" w:color="auto"/>
        <w:right w:val="none" w:sz="0" w:space="0" w:color="auto"/>
      </w:divBdr>
    </w:div>
    <w:div w:id="1832981627">
      <w:bodyDiv w:val="1"/>
      <w:marLeft w:val="0"/>
      <w:marRight w:val="0"/>
      <w:marTop w:val="0"/>
      <w:marBottom w:val="0"/>
      <w:divBdr>
        <w:top w:val="none" w:sz="0" w:space="0" w:color="auto"/>
        <w:left w:val="none" w:sz="0" w:space="0" w:color="auto"/>
        <w:bottom w:val="none" w:sz="0" w:space="0" w:color="auto"/>
        <w:right w:val="none" w:sz="0" w:space="0" w:color="auto"/>
      </w:divBdr>
    </w:div>
    <w:div w:id="1837260002">
      <w:bodyDiv w:val="1"/>
      <w:marLeft w:val="0"/>
      <w:marRight w:val="0"/>
      <w:marTop w:val="0"/>
      <w:marBottom w:val="0"/>
      <w:divBdr>
        <w:top w:val="none" w:sz="0" w:space="0" w:color="auto"/>
        <w:left w:val="none" w:sz="0" w:space="0" w:color="auto"/>
        <w:bottom w:val="none" w:sz="0" w:space="0" w:color="auto"/>
        <w:right w:val="none" w:sz="0" w:space="0" w:color="auto"/>
      </w:divBdr>
    </w:div>
    <w:div w:id="1837725801">
      <w:bodyDiv w:val="1"/>
      <w:marLeft w:val="0"/>
      <w:marRight w:val="0"/>
      <w:marTop w:val="0"/>
      <w:marBottom w:val="0"/>
      <w:divBdr>
        <w:top w:val="none" w:sz="0" w:space="0" w:color="auto"/>
        <w:left w:val="none" w:sz="0" w:space="0" w:color="auto"/>
        <w:bottom w:val="none" w:sz="0" w:space="0" w:color="auto"/>
        <w:right w:val="none" w:sz="0" w:space="0" w:color="auto"/>
      </w:divBdr>
    </w:div>
    <w:div w:id="1848902868">
      <w:bodyDiv w:val="1"/>
      <w:marLeft w:val="0"/>
      <w:marRight w:val="0"/>
      <w:marTop w:val="0"/>
      <w:marBottom w:val="0"/>
      <w:divBdr>
        <w:top w:val="none" w:sz="0" w:space="0" w:color="auto"/>
        <w:left w:val="none" w:sz="0" w:space="0" w:color="auto"/>
        <w:bottom w:val="none" w:sz="0" w:space="0" w:color="auto"/>
        <w:right w:val="none" w:sz="0" w:space="0" w:color="auto"/>
      </w:divBdr>
    </w:div>
    <w:div w:id="1868524062">
      <w:bodyDiv w:val="1"/>
      <w:marLeft w:val="0"/>
      <w:marRight w:val="0"/>
      <w:marTop w:val="0"/>
      <w:marBottom w:val="0"/>
      <w:divBdr>
        <w:top w:val="none" w:sz="0" w:space="0" w:color="auto"/>
        <w:left w:val="none" w:sz="0" w:space="0" w:color="auto"/>
        <w:bottom w:val="none" w:sz="0" w:space="0" w:color="auto"/>
        <w:right w:val="none" w:sz="0" w:space="0" w:color="auto"/>
      </w:divBdr>
    </w:div>
    <w:div w:id="1892493619">
      <w:bodyDiv w:val="1"/>
      <w:marLeft w:val="0"/>
      <w:marRight w:val="0"/>
      <w:marTop w:val="0"/>
      <w:marBottom w:val="0"/>
      <w:divBdr>
        <w:top w:val="none" w:sz="0" w:space="0" w:color="auto"/>
        <w:left w:val="none" w:sz="0" w:space="0" w:color="auto"/>
        <w:bottom w:val="none" w:sz="0" w:space="0" w:color="auto"/>
        <w:right w:val="none" w:sz="0" w:space="0" w:color="auto"/>
      </w:divBdr>
    </w:div>
    <w:div w:id="1895432780">
      <w:bodyDiv w:val="1"/>
      <w:marLeft w:val="0"/>
      <w:marRight w:val="0"/>
      <w:marTop w:val="0"/>
      <w:marBottom w:val="0"/>
      <w:divBdr>
        <w:top w:val="none" w:sz="0" w:space="0" w:color="auto"/>
        <w:left w:val="none" w:sz="0" w:space="0" w:color="auto"/>
        <w:bottom w:val="none" w:sz="0" w:space="0" w:color="auto"/>
        <w:right w:val="none" w:sz="0" w:space="0" w:color="auto"/>
      </w:divBdr>
    </w:div>
    <w:div w:id="1896963682">
      <w:bodyDiv w:val="1"/>
      <w:marLeft w:val="0"/>
      <w:marRight w:val="0"/>
      <w:marTop w:val="0"/>
      <w:marBottom w:val="0"/>
      <w:divBdr>
        <w:top w:val="none" w:sz="0" w:space="0" w:color="auto"/>
        <w:left w:val="none" w:sz="0" w:space="0" w:color="auto"/>
        <w:bottom w:val="none" w:sz="0" w:space="0" w:color="auto"/>
        <w:right w:val="none" w:sz="0" w:space="0" w:color="auto"/>
      </w:divBdr>
    </w:div>
    <w:div w:id="1905334921">
      <w:bodyDiv w:val="1"/>
      <w:marLeft w:val="0"/>
      <w:marRight w:val="0"/>
      <w:marTop w:val="0"/>
      <w:marBottom w:val="0"/>
      <w:divBdr>
        <w:top w:val="none" w:sz="0" w:space="0" w:color="auto"/>
        <w:left w:val="none" w:sz="0" w:space="0" w:color="auto"/>
        <w:bottom w:val="none" w:sz="0" w:space="0" w:color="auto"/>
        <w:right w:val="none" w:sz="0" w:space="0" w:color="auto"/>
      </w:divBdr>
    </w:div>
    <w:div w:id="1942714736">
      <w:bodyDiv w:val="1"/>
      <w:marLeft w:val="0"/>
      <w:marRight w:val="0"/>
      <w:marTop w:val="0"/>
      <w:marBottom w:val="0"/>
      <w:divBdr>
        <w:top w:val="none" w:sz="0" w:space="0" w:color="auto"/>
        <w:left w:val="none" w:sz="0" w:space="0" w:color="auto"/>
        <w:bottom w:val="none" w:sz="0" w:space="0" w:color="auto"/>
        <w:right w:val="none" w:sz="0" w:space="0" w:color="auto"/>
      </w:divBdr>
    </w:div>
    <w:div w:id="1952585429">
      <w:bodyDiv w:val="1"/>
      <w:marLeft w:val="0"/>
      <w:marRight w:val="0"/>
      <w:marTop w:val="0"/>
      <w:marBottom w:val="0"/>
      <w:divBdr>
        <w:top w:val="none" w:sz="0" w:space="0" w:color="auto"/>
        <w:left w:val="none" w:sz="0" w:space="0" w:color="auto"/>
        <w:bottom w:val="none" w:sz="0" w:space="0" w:color="auto"/>
        <w:right w:val="none" w:sz="0" w:space="0" w:color="auto"/>
      </w:divBdr>
    </w:div>
    <w:div w:id="1959675545">
      <w:bodyDiv w:val="1"/>
      <w:marLeft w:val="0"/>
      <w:marRight w:val="0"/>
      <w:marTop w:val="0"/>
      <w:marBottom w:val="0"/>
      <w:divBdr>
        <w:top w:val="none" w:sz="0" w:space="0" w:color="auto"/>
        <w:left w:val="none" w:sz="0" w:space="0" w:color="auto"/>
        <w:bottom w:val="none" w:sz="0" w:space="0" w:color="auto"/>
        <w:right w:val="none" w:sz="0" w:space="0" w:color="auto"/>
      </w:divBdr>
    </w:div>
    <w:div w:id="1961955980">
      <w:bodyDiv w:val="1"/>
      <w:marLeft w:val="0"/>
      <w:marRight w:val="0"/>
      <w:marTop w:val="0"/>
      <w:marBottom w:val="0"/>
      <w:divBdr>
        <w:top w:val="none" w:sz="0" w:space="0" w:color="auto"/>
        <w:left w:val="none" w:sz="0" w:space="0" w:color="auto"/>
        <w:bottom w:val="none" w:sz="0" w:space="0" w:color="auto"/>
        <w:right w:val="none" w:sz="0" w:space="0" w:color="auto"/>
      </w:divBdr>
    </w:div>
    <w:div w:id="1972637419">
      <w:bodyDiv w:val="1"/>
      <w:marLeft w:val="0"/>
      <w:marRight w:val="0"/>
      <w:marTop w:val="0"/>
      <w:marBottom w:val="0"/>
      <w:divBdr>
        <w:top w:val="none" w:sz="0" w:space="0" w:color="auto"/>
        <w:left w:val="none" w:sz="0" w:space="0" w:color="auto"/>
        <w:bottom w:val="none" w:sz="0" w:space="0" w:color="auto"/>
        <w:right w:val="none" w:sz="0" w:space="0" w:color="auto"/>
      </w:divBdr>
    </w:div>
    <w:div w:id="1981612809">
      <w:bodyDiv w:val="1"/>
      <w:marLeft w:val="0"/>
      <w:marRight w:val="0"/>
      <w:marTop w:val="0"/>
      <w:marBottom w:val="0"/>
      <w:divBdr>
        <w:top w:val="none" w:sz="0" w:space="0" w:color="auto"/>
        <w:left w:val="none" w:sz="0" w:space="0" w:color="auto"/>
        <w:bottom w:val="none" w:sz="0" w:space="0" w:color="auto"/>
        <w:right w:val="none" w:sz="0" w:space="0" w:color="auto"/>
      </w:divBdr>
    </w:div>
    <w:div w:id="1982539294">
      <w:bodyDiv w:val="1"/>
      <w:marLeft w:val="0"/>
      <w:marRight w:val="0"/>
      <w:marTop w:val="0"/>
      <w:marBottom w:val="0"/>
      <w:divBdr>
        <w:top w:val="none" w:sz="0" w:space="0" w:color="auto"/>
        <w:left w:val="none" w:sz="0" w:space="0" w:color="auto"/>
        <w:bottom w:val="none" w:sz="0" w:space="0" w:color="auto"/>
        <w:right w:val="none" w:sz="0" w:space="0" w:color="auto"/>
      </w:divBdr>
      <w:divsChild>
        <w:div w:id="24184335">
          <w:marLeft w:val="0"/>
          <w:marRight w:val="0"/>
          <w:marTop w:val="0"/>
          <w:marBottom w:val="0"/>
          <w:divBdr>
            <w:top w:val="none" w:sz="0" w:space="0" w:color="auto"/>
            <w:left w:val="none" w:sz="0" w:space="0" w:color="auto"/>
            <w:bottom w:val="none" w:sz="0" w:space="0" w:color="auto"/>
            <w:right w:val="none" w:sz="0" w:space="0" w:color="auto"/>
          </w:divBdr>
        </w:div>
      </w:divsChild>
    </w:div>
    <w:div w:id="1993411581">
      <w:bodyDiv w:val="1"/>
      <w:marLeft w:val="0"/>
      <w:marRight w:val="0"/>
      <w:marTop w:val="0"/>
      <w:marBottom w:val="0"/>
      <w:divBdr>
        <w:top w:val="none" w:sz="0" w:space="0" w:color="auto"/>
        <w:left w:val="none" w:sz="0" w:space="0" w:color="auto"/>
        <w:bottom w:val="none" w:sz="0" w:space="0" w:color="auto"/>
        <w:right w:val="none" w:sz="0" w:space="0" w:color="auto"/>
      </w:divBdr>
    </w:div>
    <w:div w:id="2009752849">
      <w:bodyDiv w:val="1"/>
      <w:marLeft w:val="0"/>
      <w:marRight w:val="0"/>
      <w:marTop w:val="0"/>
      <w:marBottom w:val="0"/>
      <w:divBdr>
        <w:top w:val="none" w:sz="0" w:space="0" w:color="auto"/>
        <w:left w:val="none" w:sz="0" w:space="0" w:color="auto"/>
        <w:bottom w:val="none" w:sz="0" w:space="0" w:color="auto"/>
        <w:right w:val="none" w:sz="0" w:space="0" w:color="auto"/>
      </w:divBdr>
    </w:div>
    <w:div w:id="2011523300">
      <w:bodyDiv w:val="1"/>
      <w:marLeft w:val="0"/>
      <w:marRight w:val="0"/>
      <w:marTop w:val="0"/>
      <w:marBottom w:val="0"/>
      <w:divBdr>
        <w:top w:val="none" w:sz="0" w:space="0" w:color="auto"/>
        <w:left w:val="none" w:sz="0" w:space="0" w:color="auto"/>
        <w:bottom w:val="none" w:sz="0" w:space="0" w:color="auto"/>
        <w:right w:val="none" w:sz="0" w:space="0" w:color="auto"/>
      </w:divBdr>
    </w:div>
    <w:div w:id="2036728355">
      <w:bodyDiv w:val="1"/>
      <w:marLeft w:val="0"/>
      <w:marRight w:val="0"/>
      <w:marTop w:val="0"/>
      <w:marBottom w:val="0"/>
      <w:divBdr>
        <w:top w:val="none" w:sz="0" w:space="0" w:color="auto"/>
        <w:left w:val="none" w:sz="0" w:space="0" w:color="auto"/>
        <w:bottom w:val="none" w:sz="0" w:space="0" w:color="auto"/>
        <w:right w:val="none" w:sz="0" w:space="0" w:color="auto"/>
      </w:divBdr>
    </w:div>
    <w:div w:id="2037273643">
      <w:bodyDiv w:val="1"/>
      <w:marLeft w:val="0"/>
      <w:marRight w:val="0"/>
      <w:marTop w:val="0"/>
      <w:marBottom w:val="0"/>
      <w:divBdr>
        <w:top w:val="none" w:sz="0" w:space="0" w:color="auto"/>
        <w:left w:val="none" w:sz="0" w:space="0" w:color="auto"/>
        <w:bottom w:val="none" w:sz="0" w:space="0" w:color="auto"/>
        <w:right w:val="none" w:sz="0" w:space="0" w:color="auto"/>
      </w:divBdr>
    </w:div>
    <w:div w:id="2038726194">
      <w:bodyDiv w:val="1"/>
      <w:marLeft w:val="0"/>
      <w:marRight w:val="0"/>
      <w:marTop w:val="0"/>
      <w:marBottom w:val="0"/>
      <w:divBdr>
        <w:top w:val="none" w:sz="0" w:space="0" w:color="auto"/>
        <w:left w:val="none" w:sz="0" w:space="0" w:color="auto"/>
        <w:bottom w:val="none" w:sz="0" w:space="0" w:color="auto"/>
        <w:right w:val="none" w:sz="0" w:space="0" w:color="auto"/>
      </w:divBdr>
    </w:div>
    <w:div w:id="2040856883">
      <w:bodyDiv w:val="1"/>
      <w:marLeft w:val="0"/>
      <w:marRight w:val="0"/>
      <w:marTop w:val="0"/>
      <w:marBottom w:val="0"/>
      <w:divBdr>
        <w:top w:val="none" w:sz="0" w:space="0" w:color="auto"/>
        <w:left w:val="none" w:sz="0" w:space="0" w:color="auto"/>
        <w:bottom w:val="none" w:sz="0" w:space="0" w:color="auto"/>
        <w:right w:val="none" w:sz="0" w:space="0" w:color="auto"/>
      </w:divBdr>
    </w:div>
    <w:div w:id="2056077621">
      <w:bodyDiv w:val="1"/>
      <w:marLeft w:val="0"/>
      <w:marRight w:val="0"/>
      <w:marTop w:val="0"/>
      <w:marBottom w:val="0"/>
      <w:divBdr>
        <w:top w:val="none" w:sz="0" w:space="0" w:color="auto"/>
        <w:left w:val="none" w:sz="0" w:space="0" w:color="auto"/>
        <w:bottom w:val="none" w:sz="0" w:space="0" w:color="auto"/>
        <w:right w:val="none" w:sz="0" w:space="0" w:color="auto"/>
      </w:divBdr>
    </w:div>
    <w:div w:id="2057511263">
      <w:bodyDiv w:val="1"/>
      <w:marLeft w:val="0"/>
      <w:marRight w:val="0"/>
      <w:marTop w:val="0"/>
      <w:marBottom w:val="0"/>
      <w:divBdr>
        <w:top w:val="none" w:sz="0" w:space="0" w:color="auto"/>
        <w:left w:val="none" w:sz="0" w:space="0" w:color="auto"/>
        <w:bottom w:val="none" w:sz="0" w:space="0" w:color="auto"/>
        <w:right w:val="none" w:sz="0" w:space="0" w:color="auto"/>
      </w:divBdr>
    </w:div>
    <w:div w:id="2057728562">
      <w:bodyDiv w:val="1"/>
      <w:marLeft w:val="0"/>
      <w:marRight w:val="0"/>
      <w:marTop w:val="0"/>
      <w:marBottom w:val="0"/>
      <w:divBdr>
        <w:top w:val="none" w:sz="0" w:space="0" w:color="auto"/>
        <w:left w:val="none" w:sz="0" w:space="0" w:color="auto"/>
        <w:bottom w:val="none" w:sz="0" w:space="0" w:color="auto"/>
        <w:right w:val="none" w:sz="0" w:space="0" w:color="auto"/>
      </w:divBdr>
    </w:div>
    <w:div w:id="2060130099">
      <w:bodyDiv w:val="1"/>
      <w:marLeft w:val="0"/>
      <w:marRight w:val="0"/>
      <w:marTop w:val="0"/>
      <w:marBottom w:val="0"/>
      <w:divBdr>
        <w:top w:val="none" w:sz="0" w:space="0" w:color="auto"/>
        <w:left w:val="none" w:sz="0" w:space="0" w:color="auto"/>
        <w:bottom w:val="none" w:sz="0" w:space="0" w:color="auto"/>
        <w:right w:val="none" w:sz="0" w:space="0" w:color="auto"/>
      </w:divBdr>
    </w:div>
    <w:div w:id="2067100161">
      <w:bodyDiv w:val="1"/>
      <w:marLeft w:val="0"/>
      <w:marRight w:val="0"/>
      <w:marTop w:val="0"/>
      <w:marBottom w:val="0"/>
      <w:divBdr>
        <w:top w:val="none" w:sz="0" w:space="0" w:color="auto"/>
        <w:left w:val="none" w:sz="0" w:space="0" w:color="auto"/>
        <w:bottom w:val="none" w:sz="0" w:space="0" w:color="auto"/>
        <w:right w:val="none" w:sz="0" w:space="0" w:color="auto"/>
      </w:divBdr>
    </w:div>
    <w:div w:id="2076975304">
      <w:bodyDiv w:val="1"/>
      <w:marLeft w:val="0"/>
      <w:marRight w:val="0"/>
      <w:marTop w:val="0"/>
      <w:marBottom w:val="0"/>
      <w:divBdr>
        <w:top w:val="none" w:sz="0" w:space="0" w:color="auto"/>
        <w:left w:val="none" w:sz="0" w:space="0" w:color="auto"/>
        <w:bottom w:val="none" w:sz="0" w:space="0" w:color="auto"/>
        <w:right w:val="none" w:sz="0" w:space="0" w:color="auto"/>
      </w:divBdr>
    </w:div>
    <w:div w:id="2087917600">
      <w:bodyDiv w:val="1"/>
      <w:marLeft w:val="0"/>
      <w:marRight w:val="0"/>
      <w:marTop w:val="0"/>
      <w:marBottom w:val="0"/>
      <w:divBdr>
        <w:top w:val="none" w:sz="0" w:space="0" w:color="auto"/>
        <w:left w:val="none" w:sz="0" w:space="0" w:color="auto"/>
        <w:bottom w:val="none" w:sz="0" w:space="0" w:color="auto"/>
        <w:right w:val="none" w:sz="0" w:space="0" w:color="auto"/>
      </w:divBdr>
    </w:div>
    <w:div w:id="2092584691">
      <w:bodyDiv w:val="1"/>
      <w:marLeft w:val="0"/>
      <w:marRight w:val="0"/>
      <w:marTop w:val="0"/>
      <w:marBottom w:val="0"/>
      <w:divBdr>
        <w:top w:val="none" w:sz="0" w:space="0" w:color="auto"/>
        <w:left w:val="none" w:sz="0" w:space="0" w:color="auto"/>
        <w:bottom w:val="none" w:sz="0" w:space="0" w:color="auto"/>
        <w:right w:val="none" w:sz="0" w:space="0" w:color="auto"/>
      </w:divBdr>
    </w:div>
    <w:div w:id="2098401417">
      <w:bodyDiv w:val="1"/>
      <w:marLeft w:val="0"/>
      <w:marRight w:val="0"/>
      <w:marTop w:val="0"/>
      <w:marBottom w:val="0"/>
      <w:divBdr>
        <w:top w:val="none" w:sz="0" w:space="0" w:color="auto"/>
        <w:left w:val="none" w:sz="0" w:space="0" w:color="auto"/>
        <w:bottom w:val="none" w:sz="0" w:space="0" w:color="auto"/>
        <w:right w:val="none" w:sz="0" w:space="0" w:color="auto"/>
      </w:divBdr>
    </w:div>
    <w:div w:id="2108915585">
      <w:bodyDiv w:val="1"/>
      <w:marLeft w:val="0"/>
      <w:marRight w:val="0"/>
      <w:marTop w:val="0"/>
      <w:marBottom w:val="0"/>
      <w:divBdr>
        <w:top w:val="none" w:sz="0" w:space="0" w:color="auto"/>
        <w:left w:val="none" w:sz="0" w:space="0" w:color="auto"/>
        <w:bottom w:val="none" w:sz="0" w:space="0" w:color="auto"/>
        <w:right w:val="none" w:sz="0" w:space="0" w:color="auto"/>
      </w:divBdr>
    </w:div>
    <w:div w:id="2109959194">
      <w:bodyDiv w:val="1"/>
      <w:marLeft w:val="0"/>
      <w:marRight w:val="0"/>
      <w:marTop w:val="0"/>
      <w:marBottom w:val="0"/>
      <w:divBdr>
        <w:top w:val="none" w:sz="0" w:space="0" w:color="auto"/>
        <w:left w:val="none" w:sz="0" w:space="0" w:color="auto"/>
        <w:bottom w:val="none" w:sz="0" w:space="0" w:color="auto"/>
        <w:right w:val="none" w:sz="0" w:space="0" w:color="auto"/>
      </w:divBdr>
    </w:div>
    <w:div w:id="2113625964">
      <w:bodyDiv w:val="1"/>
      <w:marLeft w:val="0"/>
      <w:marRight w:val="0"/>
      <w:marTop w:val="0"/>
      <w:marBottom w:val="0"/>
      <w:divBdr>
        <w:top w:val="none" w:sz="0" w:space="0" w:color="auto"/>
        <w:left w:val="none" w:sz="0" w:space="0" w:color="auto"/>
        <w:bottom w:val="none" w:sz="0" w:space="0" w:color="auto"/>
        <w:right w:val="none" w:sz="0" w:space="0" w:color="auto"/>
      </w:divBdr>
    </w:div>
    <w:div w:id="2121758899">
      <w:bodyDiv w:val="1"/>
      <w:marLeft w:val="0"/>
      <w:marRight w:val="0"/>
      <w:marTop w:val="0"/>
      <w:marBottom w:val="0"/>
      <w:divBdr>
        <w:top w:val="none" w:sz="0" w:space="0" w:color="auto"/>
        <w:left w:val="none" w:sz="0" w:space="0" w:color="auto"/>
        <w:bottom w:val="none" w:sz="0" w:space="0" w:color="auto"/>
        <w:right w:val="none" w:sz="0" w:space="0" w:color="auto"/>
      </w:divBdr>
    </w:div>
    <w:div w:id="214342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www.ranzcp.org/news-policy/policy-and-advocacy/position-statements/mental-health-needs-lgbtiq" TargetMode="External"/><Relationship Id="R131d8f0c63604e0a" Type="http://schemas.microsoft.com/office/2019/09/relationships/intelligence" Target="intelligence.xml"/><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hyperlink" Target="https://mrc.ukri.org/documents/pdf/complex-interventions-guidance/" TargetMode="External"/><Relationship Id="rId133" Type="http://schemas.openxmlformats.org/officeDocument/2006/relationships/hyperlink" Target="https://www.euro.who.int/en/health-topics/Life-stages/child-and-adolescent-health/about-child-and-adolescent-health/adolescent-health/5s-approach" TargetMode="External"/><Relationship Id="rId16" Type="http://schemas.openxmlformats.org/officeDocument/2006/relationships/footer" Target="footer2.xml"/><Relationship Id="rId107" Type="http://schemas.openxmlformats.org/officeDocument/2006/relationships/hyperlink" Target="https://headspace.org.au/assets/Uploads/Increasing-demand-in-youth-mentalh-a-rising-tide-of-need.pdf" TargetMode="External"/><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chart" Target="charts/chart1.xml"/><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yperlink" Target="https://headspace.org.au/assets/Uploads/Telehealth-Staff-Experience-FINAL-8-10-20.pdf" TargetMode="External"/><Relationship Id="rId123" Type="http://schemas.openxmlformats.org/officeDocument/2006/relationships/hyperlink" Target="https://pmhc-mds.com/" TargetMode="External"/><Relationship Id="rId128" Type="http://schemas.openxmlformats.org/officeDocument/2006/relationships/hyperlink" Target="https://phidu.torrens.edu.au/social-health-atlases" TargetMode="External"/><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hyperlink" Target="https://ctgreport.niaa.gov.au/sites/default/files/pdf/closing-the-gap-report-2020.pdf"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hyperlink" Target="https://www.wqphn.com.au/uploads/documents/Mental%20Health%20IAR/National%20IAR%20State%20of%20Play%20Report%202020%20Final.pdf" TargetMode="External"/><Relationship Id="rId105" Type="http://schemas.openxmlformats.org/officeDocument/2006/relationships/hyperlink" Target="https://www.pc.gov.au/__data/assets/pdf_file/0017/251360/sub947-mental-health.pdf" TargetMode="External"/><Relationship Id="rId113" Type="http://schemas.openxmlformats.org/officeDocument/2006/relationships/hyperlink" Target="https://pubmed.ncbi.nlm.nih.gov/25257063/" TargetMode="External"/><Relationship Id="rId118" Type="http://schemas.openxmlformats.org/officeDocument/2006/relationships/hyperlink" Target="https://www.abs.gov.au/statistics/people/population/national-state-and-territory-population/latest-release%23data-download" TargetMode="External"/><Relationship Id="rId126" Type="http://schemas.openxmlformats.org/officeDocument/2006/relationships/hyperlink" Target="https://federalfinancialrelations.gov.au/sites/federalfinancialrelations.gov.au/files/2022-05/nmh_suicide_prevention_agreement.pdf" TargetMode="External"/><Relationship Id="rId134"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hyperlink" Target="https://www.mentalhealthcommission.gov.au/getmedia/0209d27b-1873-4245-b6e5-49e770084b81/Fifth-National-Mental-Health-and-Suicide-Prevention-Plan.pdf" TargetMode="External"/><Relationship Id="rId121" Type="http://schemas.openxmlformats.org/officeDocument/2006/relationships/hyperlink" Target="https://www.aihw.gov.au/reports/primary-health-care/medicare-subsidised-health-local-areas-2019/contents/technical-informatio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kpmgaust.sharepoint.com/sites/AU-headspaceevaluation/Shared%20Documents/Reporting/Final%20Report/drafts/National%20headspace%20Evaluation%20Draft%20Final%20Report%2006.03.2021.docx"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hyperlink" Target="https://headspace.org.au/assets/Uploads/COVID-Client-Impact-Report-FINAL-11-8-20.pdf" TargetMode="External"/><Relationship Id="rId108" Type="http://schemas.openxmlformats.org/officeDocument/2006/relationships/hyperlink" Target="https://bsphn.org.au/wp-content/uploads/2018/11/headspace-Model-Integrity-Framework-hMIF.pdf" TargetMode="External"/><Relationship Id="rId116" Type="http://schemas.openxmlformats.org/officeDocument/2006/relationships/hyperlink" Target="http://apps.who.int/iris/bitstream/handle/10665/75217/9789241503594_eng.pdf;sequence=1" TargetMode="External"/><Relationship Id="rId124" Type="http://schemas.openxmlformats.org/officeDocument/2006/relationships/hyperlink" Target="https://headspace.org.au/friends-and-family/mental-health/" TargetMode="External"/><Relationship Id="rId129" Type="http://schemas.openxmlformats.org/officeDocument/2006/relationships/hyperlink" Target="https://cbpatsisp.com.au/clearing-house/best-practice-screening-assessment/mental-health-assessment/" TargetMode="External"/><Relationship Id="rId13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yperlink" Target="https://www.aihw.gov.au/reports/disability/people-with-disability-in-australia/contents/health/access-to-health-services" TargetMode="External"/><Relationship Id="rId111" Type="http://schemas.openxmlformats.org/officeDocument/2006/relationships/hyperlink" Target="https://apps.who.int/iris/bitstream/handle/10665/67923/WHO_FCH_CAH_02.14.pdf?sequence=1&amp;isAllowed=y" TargetMode="External"/><Relationship Id="rId132" Type="http://schemas.openxmlformats.org/officeDocument/2006/relationships/hyperlink" Target="https://www.who.int/news-room/fact-sheets/detail/mental-disorder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106" Type="http://schemas.openxmlformats.org/officeDocument/2006/relationships/hyperlink" Target="https://headspace.org.au/assets/headspace-centre-young-person-follow-up-study-Sept-2019.PDF" TargetMode="External"/><Relationship Id="rId114" Type="http://schemas.openxmlformats.org/officeDocument/2006/relationships/hyperlink" Target="https://www.pc.gov.au/inquiries/completed/mental-health/submissions" TargetMode="External"/><Relationship Id="rId119" Type="http://schemas.openxmlformats.org/officeDocument/2006/relationships/hyperlink" Target="https://www.abs.gov.au/statistics/people/aboriginal-and-torres-strait-islander-peoples/estimates-and-projections-aboriginal-and-torres-strait-islander-australians/2006-2031%23data-download" TargetMode="External"/><Relationship Id="rId127" Type="http://schemas.openxmlformats.org/officeDocument/2006/relationships/hyperlink" Target="https://www.orygen.org.au/About/History"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hyperlink" Target="https://www.closingthegap.gov.au/national-agreement/national-agreement-closing-the-gap/1-preamble" TargetMode="External"/><Relationship Id="rId99" Type="http://schemas.openxmlformats.org/officeDocument/2006/relationships/hyperlink" Target="https://pbac.pbs.gov.au/content/information/files/pbac-guidelines-version-5.pdf" TargetMode="External"/><Relationship Id="rId101" Type="http://schemas.openxmlformats.org/officeDocument/2006/relationships/hyperlink" Target="https://headspace.org.au/assets/Uploads/Telehealth-Client-Experience-FINAL-8-10-20.pdf" TargetMode="External"/><Relationship Id="rId122" Type="http://schemas.openxmlformats.org/officeDocument/2006/relationships/hyperlink" Target="https://www.health.gov.au/about-us/the-australian-health-system" TargetMode="External"/><Relationship Id="rId130" Type="http://schemas.openxmlformats.org/officeDocument/2006/relationships/hyperlink" Target="https://cbpatsisp.com.au/clearing-house/best-practice-screening-assessment/mental-health-assessment/" TargetMode="External"/><Relationship Id="rId13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0.png"/><Relationship Id="rId109" Type="http://schemas.openxmlformats.org/officeDocument/2006/relationships/hyperlink" Target="https://headspace.org.au/assets/Uploads/Corporate/Publications-and-research/HSP201-Service-Innovation-Part-2-FA-LR.pdf" TargetMode="External"/><Relationship Id="rId34" Type="http://schemas.openxmlformats.org/officeDocument/2006/relationships/image" Target="media/image15.png"/><Relationship Id="rId50" Type="http://schemas.openxmlformats.org/officeDocument/2006/relationships/header" Target="header6.xml"/><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hyperlink" Target="https://www.health.gov.au/sites/default/files/documents/2021/05/budget-2021-22-portfolio-budget-statements-budget-2021-22-health-portfolio-budget-statements.pdf" TargetMode="External"/><Relationship Id="rId104" Type="http://schemas.openxmlformats.org/officeDocument/2006/relationships/hyperlink" Target="https://headspace.org.au/assets/HSP10755_Annual-Report-2020_FA02_DIGI.pdf" TargetMode="External"/><Relationship Id="rId120" Type="http://schemas.openxmlformats.org/officeDocument/2006/relationships/hyperlink" Target="https://www.abs.gov.au/websitedbs/D3310114.nsf/home/remoteness+structure" TargetMode="External"/><Relationship Id="rId125" Type="http://schemas.openxmlformats.org/officeDocument/2006/relationships/hyperlink" Target="https://headspace.org.au/about-us/evaluation-research-reports/" TargetMode="Externa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hyperlink" Target="https://headspace.org.au/assets/Uploads/headspace-psychosocial-assessment.pdf" TargetMode="External"/><Relationship Id="rId115" Type="http://schemas.openxmlformats.org/officeDocument/2006/relationships/hyperlink" Target="https://www.racgp.org.au/FSDEDEV/media/documents/RACGP/Position%20statements/Racism-in-the-healthcare-sector.pdf" TargetMode="External"/><Relationship Id="rId131" Type="http://schemas.openxmlformats.org/officeDocument/2006/relationships/hyperlink" Target="https://headspace.org.au/our-organisation/who-we-are/" TargetMode="External"/><Relationship Id="rId136"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www.abs.gov.au/ausstats/abs@.nsf/lookup/4817.0.55.001chapter92007-08" TargetMode="External"/><Relationship Id="rId18" Type="http://schemas.openxmlformats.org/officeDocument/2006/relationships/hyperlink" Target="https://beyou.edu.au/" TargetMode="External"/><Relationship Id="rId26" Type="http://schemas.openxmlformats.org/officeDocument/2006/relationships/hyperlink" Target="https://headspace.org.au/friends-and-family/mental-health/" TargetMode="External"/><Relationship Id="rId39" Type="http://schemas.openxmlformats.org/officeDocument/2006/relationships/hyperlink" Target="https://www.who.int/news-room/fact-sheets/detail/mental-disorders" TargetMode="External"/><Relationship Id="rId21" Type="http://schemas.openxmlformats.org/officeDocument/2006/relationships/hyperlink" Target="https://lifeline.org.au/" TargetMode="External"/><Relationship Id="rId34" Type="http://schemas.openxmlformats.org/officeDocument/2006/relationships/hyperlink" Target="https://www.aihw.gov.au/reports/disability/people-with-disability-in-australia/contents/health/access-to-health-services" TargetMode="External"/><Relationship Id="rId42" Type="http://schemas.openxmlformats.org/officeDocument/2006/relationships/hyperlink" Target="https://www.benchmarkpsychology.com.au/wp-content/uploads/APS-Recommended-Fee-Schedule-20-21.pdf" TargetMode="External"/><Relationship Id="rId47" Type="http://schemas.openxmlformats.org/officeDocument/2006/relationships/hyperlink" Target="https://ctgreport.niaa.gov.au/sites/default/files/pdf/closing-the-gap-report-2020.pdf" TargetMode="External"/><Relationship Id="rId50" Type="http://schemas.openxmlformats.org/officeDocument/2006/relationships/hyperlink" Target="https://ctgreport.niaa.gov.au/sites/default/files/pdf/closing-the-gap-report-2020.pdf" TargetMode="External"/><Relationship Id="rId55" Type="http://schemas.openxmlformats.org/officeDocument/2006/relationships/hyperlink" Target="https://www.aihw.gov.au/reports/disability/people-with-disability-in-australia/contents/health/access-to-health-services" TargetMode="External"/><Relationship Id="rId63" Type="http://schemas.openxmlformats.org/officeDocument/2006/relationships/hyperlink" Target="https://www.aihw.gov.au/reports/primary-health-care/medicare-subsidised-health-local-areas-2019/contents/technical-information" TargetMode="External"/><Relationship Id="rId68" Type="http://schemas.openxmlformats.org/officeDocument/2006/relationships/hyperlink" Target="https://kpmgaust.sharepoint.com/sites/AU-headspaceevaluation/Shared%20Documents/Reporting/Final%20Report/www.aihw.gov.au/reports/hospitals/ar-drg-data-cubes/contents/data-cubes" TargetMode="External"/><Relationship Id="rId7" Type="http://schemas.openxmlformats.org/officeDocument/2006/relationships/hyperlink" Target="https://www.closingthegap.gov.au/national-agreement/national-agreement-closing-the-gap/1-preamble" TargetMode="External"/><Relationship Id="rId2" Type="http://schemas.openxmlformats.org/officeDocument/2006/relationships/hyperlink" Target="https://www.mentalhealthcommission.gov.au/getmedia/0209d27b-1873-4245-b6e5-49e770084b81/Fifth-National-Mental-Health-and-Suicide-Prevention-Plan.pdf" TargetMode="External"/><Relationship Id="rId16" Type="http://schemas.openxmlformats.org/officeDocument/2006/relationships/hyperlink" Target="https://headspace.org.au/assets/HSP10755_Annual-Report-2020_FA02_DIGI.pdf" TargetMode="External"/><Relationship Id="rId29" Type="http://schemas.openxmlformats.org/officeDocument/2006/relationships/hyperlink" Target="https://headspace.org.au/assets/Uploads/Telehealth-Client-Experience-FINAL-8-10-20.pdf" TargetMode="External"/><Relationship Id="rId1" Type="http://schemas.openxmlformats.org/officeDocument/2006/relationships/hyperlink" Target="https://journals.plos.org/plosone/article?id=10.1371/journal.pone.0249902" TargetMode="External"/><Relationship Id="rId6" Type="http://schemas.openxmlformats.org/officeDocument/2006/relationships/hyperlink" Target="https://www.racgp.org.au/FSDEDEV/media/documents/RACGP/Position%20statements/Racism-in-the-healthcare-sector.pdf" TargetMode="External"/><Relationship Id="rId11" Type="http://schemas.openxmlformats.org/officeDocument/2006/relationships/hyperlink" Target="https://apps.who.int/iris/bitstream/handle/10665/67923/WHO_FCH_CAH_02.14.pdf?sequence=1&amp;isAllowed=y" TargetMode="External"/><Relationship Id="rId24" Type="http://schemas.openxmlformats.org/officeDocument/2006/relationships/hyperlink" Target="https://headspace.org.au/about-us/evaluation-research-reports/" TargetMode="External"/><Relationship Id="rId32" Type="http://schemas.openxmlformats.org/officeDocument/2006/relationships/hyperlink" Target="https://www.pc.gov.au/__data/assets/pdf_file/0017/251360/sub947-mental-health.pdf" TargetMode="External"/><Relationship Id="rId37" Type="http://schemas.openxmlformats.org/officeDocument/2006/relationships/hyperlink" Target="https://www.closingthegap.gov.au/national-agreement/national-agreement-closing-the-gap/1-preamble" TargetMode="External"/><Relationship Id="rId40" Type="http://schemas.openxmlformats.org/officeDocument/2006/relationships/hyperlink" Target="https://www.benchmarkpsychology.com.au/wp-content/uploads/APS-Recommended-Fee-Schedule-20-21.pdf" TargetMode="External"/><Relationship Id="rId45" Type="http://schemas.openxmlformats.org/officeDocument/2006/relationships/hyperlink" Target="https://www.benchmarkpsychology.com.au/wp-content/uploads/APS-Recommended-Fee-Schedule-20-21.pdf" TargetMode="External"/><Relationship Id="rId53" Type="http://schemas.openxmlformats.org/officeDocument/2006/relationships/hyperlink" Target="https://www.mentalhealthcommission.gov.au/getmedia/0209d27b-1873-4245-b6e5-49e770084b81/Fifth-National-Mental-Health-and-Suicide-Prevention-Plan.pdf" TargetMode="External"/><Relationship Id="rId58" Type="http://schemas.openxmlformats.org/officeDocument/2006/relationships/hyperlink" Target="https://www.closingthegap.gov.au/national-agreement/national-agreement-closing-the-gap/1-preamble" TargetMode="External"/><Relationship Id="rId66" Type="http://schemas.openxmlformats.org/officeDocument/2006/relationships/hyperlink" Target="https://www.medrxiv.org/content/10.1101/2021.07.07.21260129v2" TargetMode="External"/><Relationship Id="rId5" Type="http://schemas.openxmlformats.org/officeDocument/2006/relationships/hyperlink" Target="https://www.ranzcp.org/news-policy/policy-and-advocacy/position-statements/mental-health-needs-lgbtiq" TargetMode="External"/><Relationship Id="rId15" Type="http://schemas.openxmlformats.org/officeDocument/2006/relationships/hyperlink" Target="https://www.health.gov.au/sites/default/files/documents/2021/05/budget-2021-22-portfolio-budget-statements-budget-2021-22-health-portfolio-budget-statements.pdf" TargetMode="External"/><Relationship Id="rId23" Type="http://schemas.openxmlformats.org/officeDocument/2006/relationships/hyperlink" Target="https://www.dss.gov.au/sites/default/files/documents/08_2019/individual-placement-and-support-trial-evaluation-report-june-2019.pdf" TargetMode="External"/><Relationship Id="rId28" Type="http://schemas.openxmlformats.org/officeDocument/2006/relationships/hyperlink" Target="https://pmhc-mds.com/" TargetMode="External"/><Relationship Id="rId36" Type="http://schemas.openxmlformats.org/officeDocument/2006/relationships/hyperlink" Target="https://doi.org/10.1071/AH21189" TargetMode="External"/><Relationship Id="rId49" Type="http://schemas.openxmlformats.org/officeDocument/2006/relationships/hyperlink" Target="https://cbpatsisp.com.au/clearing-house/best-practice-screening-assessment/mental-health-assessment/" TargetMode="External"/><Relationship Id="rId57" Type="http://schemas.openxmlformats.org/officeDocument/2006/relationships/hyperlink" Target="https://doi.org/10.1071/AH21189" TargetMode="External"/><Relationship Id="rId61" Type="http://schemas.openxmlformats.org/officeDocument/2006/relationships/hyperlink" Target="https://www.who.int/news-room/fact-sheets/detail/mental-disorders" TargetMode="External"/><Relationship Id="rId10" Type="http://schemas.openxmlformats.org/officeDocument/2006/relationships/hyperlink" Target="https://www.euro.who.int/en/health-topics/Life-stages/child-and-adolescent-health/about-child-and-adolescent-health/adolescent-health/5s-approach" TargetMode="External"/><Relationship Id="rId19" Type="http://schemas.openxmlformats.org/officeDocument/2006/relationships/hyperlink" Target="https://www.batyr.com.au/what-is-batyr/" TargetMode="External"/><Relationship Id="rId31" Type="http://schemas.openxmlformats.org/officeDocument/2006/relationships/hyperlink" Target="https://headspace.org.au/assets/Uploads/COVID-Client-Impact-Report-FINAL-11-8-20.pdf" TargetMode="External"/><Relationship Id="rId44" Type="http://schemas.openxmlformats.org/officeDocument/2006/relationships/hyperlink" Target="https://pubmed.ncbi.nlm.nih.gov/25257063/" TargetMode="External"/><Relationship Id="rId52" Type="http://schemas.openxmlformats.org/officeDocument/2006/relationships/hyperlink" Target="https://www.wqphn.com.au/uploads/documents/Mental%20Health%20IAR/National%20IAR%20State%20of%20Play%20Report%202020%20Final.pdf" TargetMode="External"/><Relationship Id="rId60" Type="http://schemas.openxmlformats.org/officeDocument/2006/relationships/hyperlink" Target="https://www.abs.gov.au/statistics/people/population/national-state-and-territory-population/latest-release%23data-download" TargetMode="External"/><Relationship Id="rId65" Type="http://schemas.openxmlformats.org/officeDocument/2006/relationships/hyperlink" Target="https://www.ihpa.gov.au/publications/national-hospital-cost-data-collection-ar-drg-cost-weight-tables-v80x-round-21" TargetMode="External"/><Relationship Id="rId4" Type="http://schemas.openxmlformats.org/officeDocument/2006/relationships/hyperlink" Target="https://www.aihw.gov.au/reports/disability/people-with-disability-in-australia/contents/health/access-to-health-services" TargetMode="External"/><Relationship Id="rId9" Type="http://schemas.openxmlformats.org/officeDocument/2006/relationships/hyperlink" Target="https://kpmgaust.sharepoint.com/sites/AU-headspaceevaluation/Shared%20Documents/Reporting/Final%20Report/www.orygen.org.au" TargetMode="External"/><Relationship Id="rId14" Type="http://schemas.openxmlformats.org/officeDocument/2006/relationships/hyperlink" Target="https://headspace.org.au/assets/Uploads/headspace-psychosocial-assessment.pdf" TargetMode="External"/><Relationship Id="rId22" Type="http://schemas.openxmlformats.org/officeDocument/2006/relationships/hyperlink" Target="https://au.reachout.com/" TargetMode="External"/><Relationship Id="rId27" Type="http://schemas.openxmlformats.org/officeDocument/2006/relationships/hyperlink" Target="https://pmhc-mds.com/" TargetMode="External"/><Relationship Id="rId30" Type="http://schemas.openxmlformats.org/officeDocument/2006/relationships/hyperlink" Target="https://headspace.org.au/assets/Uploads/Telehealth-Staff-Experience-FINAL-8-10-20.pdf" TargetMode="External"/><Relationship Id="rId35" Type="http://schemas.openxmlformats.org/officeDocument/2006/relationships/hyperlink" Target="https://www.ranzcp.org/news-policy/policy-and-advocacy/position-statements/mental-health-needs-lgbtiq" TargetMode="External"/><Relationship Id="rId43" Type="http://schemas.openxmlformats.org/officeDocument/2006/relationships/hyperlink" Target="https://pbac.pbs.gov.au/content/information/files/pbac-guidelines-version-5.pdf" TargetMode="External"/><Relationship Id="rId48" Type="http://schemas.openxmlformats.org/officeDocument/2006/relationships/hyperlink" Target="https://cbpatsisp.com.au/clearing-house/best-practice-screening-assessment/mental-health-assessment/" TargetMode="External"/><Relationship Id="rId56" Type="http://schemas.openxmlformats.org/officeDocument/2006/relationships/hyperlink" Target="https://www.ranzcp.org/news-policy/policy-and-advocacy/position-statements/mental-health-needs-lgbtiq" TargetMode="External"/><Relationship Id="rId64" Type="http://schemas.openxmlformats.org/officeDocument/2006/relationships/hyperlink" Target="https://www.aihw.gov.au/reports/hospitals/ar-drg-data-cubes/contents/data-cubes" TargetMode="External"/><Relationship Id="rId69" Type="http://schemas.openxmlformats.org/officeDocument/2006/relationships/hyperlink" Target="https://www.benchmarkpsychology.com.au/wp-content/uploads/APS-Recommended-Fee-Schedule-20-21.pdf" TargetMode="External"/><Relationship Id="rId8" Type="http://schemas.openxmlformats.org/officeDocument/2006/relationships/hyperlink" Target="https://headspace.org.au/assets/Uploads/Corporate/Publications-and-research/HSP201-Service-Innovation-Part-2-FA-LR.pdf" TargetMode="External"/><Relationship Id="rId51" Type="http://schemas.openxmlformats.org/officeDocument/2006/relationships/hyperlink" Target="https://federalfinancialrelations.gov.au/sites/federalfinancialrelations.gov.au/files/2022-05/nmh_suicide_prevention_agreement.pdf" TargetMode="External"/><Relationship Id="rId3" Type="http://schemas.openxmlformats.org/officeDocument/2006/relationships/hyperlink" Target="https://federalfinancialrelations.gov.au/agreements/mental-health-suicide-prevention-agreement" TargetMode="External"/><Relationship Id="rId12" Type="http://schemas.openxmlformats.org/officeDocument/2006/relationships/hyperlink" Target="http://apps.who.int/iris/bitstream/handle/10665/75217/9789241503594_eng.pdf;sequence=1" TargetMode="External"/><Relationship Id="rId17" Type="http://schemas.openxmlformats.org/officeDocument/2006/relationships/hyperlink" Target="https://headspace.org.au/our-organisation/who-we-are/" TargetMode="External"/><Relationship Id="rId25" Type="http://schemas.openxmlformats.org/officeDocument/2006/relationships/hyperlink" Target="https://bsphn.org.au/wp-content/uploads/2018/11/headspace-Model-Integrity-Framework-hMIF.pdf" TargetMode="External"/><Relationship Id="rId33" Type="http://schemas.openxmlformats.org/officeDocument/2006/relationships/hyperlink" Target="https://headspace.org.au/assets/headspace-centre-young-person-follow-up-study-Sept-2019.PDF" TargetMode="External"/><Relationship Id="rId38" Type="http://schemas.openxmlformats.org/officeDocument/2006/relationships/hyperlink" Target="https://doi.org/10.1080/13691058.2017.1335435" TargetMode="External"/><Relationship Id="rId46" Type="http://schemas.openxmlformats.org/officeDocument/2006/relationships/hyperlink" Target="https://doi.org/10.1371/journal.pmed.1003606" TargetMode="External"/><Relationship Id="rId59" Type="http://schemas.openxmlformats.org/officeDocument/2006/relationships/hyperlink" Target="https://www.abs.gov.au/statistics/people/aboriginal-and-torres-strait-islander-peoples/estimates-and-projections-aboriginal-and-torres-strait-islander-australians/2006-2031%23data-download" TargetMode="External"/><Relationship Id="rId67" Type="http://schemas.openxmlformats.org/officeDocument/2006/relationships/hyperlink" Target="https://kpmgaust.sharepoint.com/sites/AU-headspaceevaluation/Shared%20Documents/Reporting/Final%20Report/www.ihpa.gov.au/publications/national-hospital-cost-data-collection-ar-drg-cost-weight-tables-v80x-round-21" TargetMode="External"/><Relationship Id="rId20" Type="http://schemas.openxmlformats.org/officeDocument/2006/relationships/hyperlink" Target="https://kidshelpline.com.au/" TargetMode="External"/><Relationship Id="rId41" Type="http://schemas.openxmlformats.org/officeDocument/2006/relationships/hyperlink" Target="https://journals.plos.org/plosone/article?id=10.1371/journal.pone.0249902" TargetMode="External"/><Relationship Id="rId54" Type="http://schemas.openxmlformats.org/officeDocument/2006/relationships/hyperlink" Target="https://headspace.org.au/assets/Uploads/Increasing-demand-in-youth-mentalh-a-rising-tide-of-need.pdf" TargetMode="External"/><Relationship Id="rId62" Type="http://schemas.openxmlformats.org/officeDocument/2006/relationships/hyperlink" Target="https://novopsych.com.au/assessments/the-kessler-psychological-distress-scale-k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collins\OneDrive%20-%20KPMG\Documents\Kathy%20Collins\emailattachs\1SPEA%20Group\Pulbrook\headspace%20report%20template%2023July202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aucanfsr01\_Advisory\GAS\Shared%20Excel%20Workbooks\EconModelling\Sales\4%20-%20Job\J%20-%20Headspace%20-%20CEA%20-%202020%20-%20382554\_Stage3-Deliver%20(9-14)\12_WorkingPapers\B_TeamWorkings\Consolidated%20workings\Figures_Tables_Log%201502202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'Fig 17'!$B$7</c:f>
              <c:strCache>
                <c:ptCount val="1"/>
              </c:strCache>
            </c:strRef>
          </c:tx>
          <c:spPr>
            <a:solidFill>
              <a:srgbClr val="BC204B"/>
            </a:solidFill>
          </c:spPr>
          <c:dPt>
            <c:idx val="0"/>
            <c:bubble3D val="0"/>
            <c:spPr>
              <a:solidFill>
                <a:srgbClr val="00338D"/>
              </a:solidFill>
              <a:ln w="19050">
                <a:solidFill>
                  <a:schemeClr val="lt1"/>
                </a:solidFill>
              </a:ln>
              <a:effectLst/>
            </c:spPr>
            <c:extLst>
              <c:ext xmlns:c16="http://schemas.microsoft.com/office/drawing/2014/chart" uri="{C3380CC4-5D6E-409C-BE32-E72D297353CC}">
                <c16:uniqueId val="{00000001-45F5-4BF4-B70F-A225961887E4}"/>
              </c:ext>
            </c:extLst>
          </c:dPt>
          <c:dPt>
            <c:idx val="1"/>
            <c:bubble3D val="0"/>
            <c:spPr>
              <a:solidFill>
                <a:srgbClr val="BC204B"/>
              </a:solidFill>
              <a:ln w="19050">
                <a:solidFill>
                  <a:schemeClr val="lt1"/>
                </a:solidFill>
              </a:ln>
              <a:effectLst/>
            </c:spPr>
            <c:extLst>
              <c:ext xmlns:c16="http://schemas.microsoft.com/office/drawing/2014/chart" uri="{C3380CC4-5D6E-409C-BE32-E72D297353CC}">
                <c16:uniqueId val="{00000003-45F5-4BF4-B70F-A225961887E4}"/>
              </c:ext>
            </c:extLst>
          </c:dPt>
          <c:dPt>
            <c:idx val="2"/>
            <c:bubble3D val="0"/>
            <c:spPr>
              <a:solidFill>
                <a:srgbClr val="0091DA"/>
              </a:solidFill>
              <a:ln w="19050">
                <a:solidFill>
                  <a:schemeClr val="lt1"/>
                </a:solidFill>
              </a:ln>
              <a:effectLst/>
            </c:spPr>
            <c:extLst>
              <c:ext xmlns:c16="http://schemas.microsoft.com/office/drawing/2014/chart" uri="{C3380CC4-5D6E-409C-BE32-E72D297353CC}">
                <c16:uniqueId val="{00000005-45F5-4BF4-B70F-A225961887E4}"/>
              </c:ext>
            </c:extLst>
          </c:dPt>
          <c:dPt>
            <c:idx val="3"/>
            <c:bubble3D val="0"/>
            <c:spPr>
              <a:solidFill>
                <a:srgbClr val="FFFF00"/>
              </a:solidFill>
              <a:ln w="19050">
                <a:solidFill>
                  <a:schemeClr val="lt1"/>
                </a:solidFill>
              </a:ln>
              <a:effectLst/>
            </c:spPr>
            <c:extLst>
              <c:ext xmlns:c16="http://schemas.microsoft.com/office/drawing/2014/chart" uri="{C3380CC4-5D6E-409C-BE32-E72D297353CC}">
                <c16:uniqueId val="{00000007-45F5-4BF4-B70F-A225961887E4}"/>
              </c:ext>
            </c:extLst>
          </c:dPt>
          <c:dPt>
            <c:idx val="4"/>
            <c:bubble3D val="0"/>
            <c:spPr>
              <a:solidFill>
                <a:srgbClr val="005EB8"/>
              </a:solidFill>
              <a:ln w="19050">
                <a:solidFill>
                  <a:schemeClr val="lt1"/>
                </a:solidFill>
              </a:ln>
              <a:effectLst/>
            </c:spPr>
            <c:extLst>
              <c:ext xmlns:c16="http://schemas.microsoft.com/office/drawing/2014/chart" uri="{C3380CC4-5D6E-409C-BE32-E72D297353CC}">
                <c16:uniqueId val="{00000009-45F5-4BF4-B70F-A225961887E4}"/>
              </c:ext>
            </c:extLst>
          </c:dPt>
          <c:dLbls>
            <c:dLbl>
              <c:idx val="0"/>
              <c:layout>
                <c:manualLayout>
                  <c:x val="-0.12907658730158739"/>
                  <c:y val="0.1172345679012345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F5-4BF4-B70F-A225961887E4}"/>
                </c:ext>
              </c:extLst>
            </c:dLbl>
            <c:dLbl>
              <c:idx val="1"/>
              <c:layout>
                <c:manualLayout>
                  <c:x val="0.1238920634920635"/>
                  <c:y val="-0.167919135802469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F5-4BF4-B70F-A225961887E4}"/>
                </c:ext>
              </c:extLst>
            </c:dLbl>
            <c:dLbl>
              <c:idx val="2"/>
              <c:layout>
                <c:manualLayout>
                  <c:x val="5.7624404761904668E-2"/>
                  <c:y val="0.1196376543209876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F5-4BF4-B70F-A225961887E4}"/>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Univers 45 Light" pitchFamily="2" charset="0"/>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45F5-4BF4-B70F-A225961887E4}"/>
                </c:ext>
              </c:extLst>
            </c:dLbl>
            <c:dLbl>
              <c:idx val="4"/>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Univers 45 Light" pitchFamily="2" charset="0"/>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45F5-4BF4-B70F-A225961887E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Univers 45 Light" pitchFamily="2" charset="0"/>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'Fig 17'!$B$8:$E$8</c:f>
              <c:strCache>
                <c:ptCount val="4"/>
                <c:pt idx="0">
                  <c:v>Very well</c:v>
                </c:pt>
                <c:pt idx="1">
                  <c:v>Well</c:v>
                </c:pt>
                <c:pt idx="2">
                  <c:v>Neutral</c:v>
                </c:pt>
                <c:pt idx="3">
                  <c:v>Not well</c:v>
                </c:pt>
              </c:strCache>
            </c:strRef>
          </c:cat>
          <c:val>
            <c:numRef>
              <c:f>'Fig 17'!$B$9:$E$9</c:f>
              <c:numCache>
                <c:formatCode>0%</c:formatCode>
                <c:ptCount val="4"/>
                <c:pt idx="0">
                  <c:v>0.36666666666666664</c:v>
                </c:pt>
                <c:pt idx="1">
                  <c:v>0.5</c:v>
                </c:pt>
                <c:pt idx="2">
                  <c:v>0.11666666666666667</c:v>
                </c:pt>
                <c:pt idx="3">
                  <c:v>1.6666666666666666E-2</c:v>
                </c:pt>
              </c:numCache>
            </c:numRef>
          </c:val>
          <c:extLst>
            <c:ext xmlns:c16="http://schemas.microsoft.com/office/drawing/2014/chart" uri="{C3380CC4-5D6E-409C-BE32-E72D297353CC}">
              <c16:uniqueId val="{0000000A-45F5-4BF4-B70F-A225961887E4}"/>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3322757936507937"/>
          <c:y val="0.87088611111111114"/>
          <c:w val="0.73354484126984132"/>
          <c:h val="7.031759259259259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Univers 45 Light" pitchFamily="2" charset="0"/>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documentManagement>
    <SharedWithUsers xmlns="752e912d-8ee9-4401-b5fe-eb1a2c1ca441">
      <UserInfo>
        <DisplayName>Collins, Kathy S</DisplayName>
        <AccountId>32</AccountId>
        <AccountType/>
      </UserInfo>
      <UserInfo>
        <DisplayName>Pulbrook, Kirsten</DisplayName>
        <AccountId>12</AccountId>
        <AccountType/>
      </UserInfo>
      <UserInfo>
        <DisplayName>Polden, Sue-Ann</DisplayName>
        <AccountId>48</AccountId>
        <AccountType/>
      </UserInfo>
      <UserInfo>
        <DisplayName>Domaschenz, Renae</DisplayName>
        <AccountId>34</AccountId>
        <AccountType/>
      </UserInfo>
      <UserInfo>
        <DisplayName>Cowling, Michael</DisplayName>
        <AccountId>31</AccountId>
        <AccountType/>
      </UserInfo>
      <UserInfo>
        <DisplayName>NGUYEN, THAO</DisplayName>
        <AccountId>33</AccountId>
        <AccountType/>
      </UserInfo>
      <UserInfo>
        <DisplayName>Makay, Trixie</DisplayName>
        <AccountId>17</AccountId>
        <AccountType/>
      </UserInfo>
      <UserInfo>
        <DisplayName>Dempster, Andrew (Melb)</DisplayName>
        <AccountId>28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EF9ADA68C24B42A882A41D9DBB5B17" ma:contentTypeVersion="12" ma:contentTypeDescription="Create a new document." ma:contentTypeScope="" ma:versionID="0df630a6b7b332834abe3cf5cd0b1e80">
  <xsd:schema xmlns:xsd="http://www.w3.org/2001/XMLSchema" xmlns:xs="http://www.w3.org/2001/XMLSchema" xmlns:p="http://schemas.microsoft.com/office/2006/metadata/properties" xmlns:ns2="1eddc4ec-9c04-4f1b-86fb-b489cf4666ba" xmlns:ns3="752e912d-8ee9-4401-b5fe-eb1a2c1ca441" targetNamespace="http://schemas.microsoft.com/office/2006/metadata/properties" ma:root="true" ma:fieldsID="a0ba8f108b04c6e4773e56fd94dc831a" ns2:_="" ns3:_="">
    <xsd:import namespace="1eddc4ec-9c04-4f1b-86fb-b489cf4666ba"/>
    <xsd:import namespace="752e912d-8ee9-4401-b5fe-eb1a2c1ca4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dc4ec-9c04-4f1b-86fb-b489cf4666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912d-8ee9-4401-b5fe-eb1a2c1ca4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B5E40-CF21-4DAF-917F-50F0EDFDE183}">
  <ds:schemaRefs>
    <ds:schemaRef ds:uri="http://schemas.openxmlformats.org/officeDocument/2006/bibliography"/>
  </ds:schemaRefs>
</ds:datastoreItem>
</file>

<file path=customXml/itemProps2.xml><?xml version="1.0" encoding="utf-8"?>
<ds:datastoreItem xmlns:ds="http://schemas.openxmlformats.org/officeDocument/2006/customXml" ds:itemID="{223C8F6A-D513-410D-8D21-A9AEA5240034}">
  <ds:schemaRefs>
    <ds:schemaRef ds:uri="http://schemas.microsoft.com/office/2006/metadata/properties"/>
    <ds:schemaRef ds:uri="752e912d-8ee9-4401-b5fe-eb1a2c1ca441"/>
  </ds:schemaRefs>
</ds:datastoreItem>
</file>

<file path=customXml/itemProps3.xml><?xml version="1.0" encoding="utf-8"?>
<ds:datastoreItem xmlns:ds="http://schemas.openxmlformats.org/officeDocument/2006/customXml" ds:itemID="{96DBD08C-D9C9-41C4-B393-738F7A75C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dc4ec-9c04-4f1b-86fb-b489cf4666ba"/>
    <ds:schemaRef ds:uri="752e912d-8ee9-4401-b5fe-eb1a2c1ca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836EAE-D1AE-4DDC-A334-BCE855C830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headspace report template 23July2021.dotx</Template>
  <TotalTime>9</TotalTime>
  <Pages>9</Pages>
  <Words>135890</Words>
  <Characters>774579</Characters>
  <Application>Microsoft Office Word</Application>
  <DocSecurity>0</DocSecurity>
  <Lines>6454</Lines>
  <Paragraphs>1817</Paragraphs>
  <ScaleCrop>false</ScaleCrop>
  <HeadingPairs>
    <vt:vector size="2" baseType="variant">
      <vt:variant>
        <vt:lpstr>Title</vt:lpstr>
      </vt:variant>
      <vt:variant>
        <vt:i4>1</vt:i4>
      </vt:variant>
    </vt:vector>
  </HeadingPairs>
  <TitlesOfParts>
    <vt:vector size="1" baseType="lpstr">
      <vt:lpstr>National headspace Evaluation Final Report June 2022</vt:lpstr>
    </vt:vector>
  </TitlesOfParts>
  <Company>KPMG</Company>
  <LinksUpToDate>false</LinksUpToDate>
  <CharactersWithSpaces>908652</CharactersWithSpaces>
  <SharedDoc>false</SharedDoc>
  <HLinks>
    <vt:vector size="1656" baseType="variant">
      <vt:variant>
        <vt:i4>786521</vt:i4>
      </vt:variant>
      <vt:variant>
        <vt:i4>2782</vt:i4>
      </vt:variant>
      <vt:variant>
        <vt:i4>0</vt:i4>
      </vt:variant>
      <vt:variant>
        <vt:i4>5</vt:i4>
      </vt:variant>
      <vt:variant>
        <vt:lpwstr>https://www.euro.who.int/en/health-topics/Life-stages/child-and-adolescent-health/about-child-and-adolescent-health/adolescent-health/5s-approach</vt:lpwstr>
      </vt:variant>
      <vt:variant>
        <vt:lpwstr/>
      </vt:variant>
      <vt:variant>
        <vt:i4>262158</vt:i4>
      </vt:variant>
      <vt:variant>
        <vt:i4>2779</vt:i4>
      </vt:variant>
      <vt:variant>
        <vt:i4>0</vt:i4>
      </vt:variant>
      <vt:variant>
        <vt:i4>5</vt:i4>
      </vt:variant>
      <vt:variant>
        <vt:lpwstr>https://www.who.int/news-room/fact-sheets/detail/mental-disorders</vt:lpwstr>
      </vt:variant>
      <vt:variant>
        <vt:lpwstr/>
      </vt:variant>
      <vt:variant>
        <vt:i4>655450</vt:i4>
      </vt:variant>
      <vt:variant>
        <vt:i4>2776</vt:i4>
      </vt:variant>
      <vt:variant>
        <vt:i4>0</vt:i4>
      </vt:variant>
      <vt:variant>
        <vt:i4>5</vt:i4>
      </vt:variant>
      <vt:variant>
        <vt:lpwstr>https://cbpatsisp.com.au/clearing-house/best-practice-screening-assessment/mental-health-assessment/</vt:lpwstr>
      </vt:variant>
      <vt:variant>
        <vt:lpwstr/>
      </vt:variant>
      <vt:variant>
        <vt:i4>2228282</vt:i4>
      </vt:variant>
      <vt:variant>
        <vt:i4>2773</vt:i4>
      </vt:variant>
      <vt:variant>
        <vt:i4>0</vt:i4>
      </vt:variant>
      <vt:variant>
        <vt:i4>5</vt:i4>
      </vt:variant>
      <vt:variant>
        <vt:lpwstr>https://www.orygen.org.au/About/History</vt:lpwstr>
      </vt:variant>
      <vt:variant>
        <vt:lpwstr/>
      </vt:variant>
      <vt:variant>
        <vt:i4>2556015</vt:i4>
      </vt:variant>
      <vt:variant>
        <vt:i4>2770</vt:i4>
      </vt:variant>
      <vt:variant>
        <vt:i4>0</vt:i4>
      </vt:variant>
      <vt:variant>
        <vt:i4>5</vt:i4>
      </vt:variant>
      <vt:variant>
        <vt:lpwstr>https://headspace.org.au/about-us/evaluation-research-reports/</vt:lpwstr>
      </vt:variant>
      <vt:variant>
        <vt:lpwstr/>
      </vt:variant>
      <vt:variant>
        <vt:i4>7602234</vt:i4>
      </vt:variant>
      <vt:variant>
        <vt:i4>2767</vt:i4>
      </vt:variant>
      <vt:variant>
        <vt:i4>0</vt:i4>
      </vt:variant>
      <vt:variant>
        <vt:i4>5</vt:i4>
      </vt:variant>
      <vt:variant>
        <vt:lpwstr>https://headspace.org.au/friends-and-family/mental-health/</vt:lpwstr>
      </vt:variant>
      <vt:variant>
        <vt:lpwstr/>
      </vt:variant>
      <vt:variant>
        <vt:i4>983120</vt:i4>
      </vt:variant>
      <vt:variant>
        <vt:i4>2764</vt:i4>
      </vt:variant>
      <vt:variant>
        <vt:i4>0</vt:i4>
      </vt:variant>
      <vt:variant>
        <vt:i4>5</vt:i4>
      </vt:variant>
      <vt:variant>
        <vt:lpwstr>https://pmhc-mds.com/</vt:lpwstr>
      </vt:variant>
      <vt:variant>
        <vt:lpwstr/>
      </vt:variant>
      <vt:variant>
        <vt:i4>5570633</vt:i4>
      </vt:variant>
      <vt:variant>
        <vt:i4>2761</vt:i4>
      </vt:variant>
      <vt:variant>
        <vt:i4>0</vt:i4>
      </vt:variant>
      <vt:variant>
        <vt:i4>5</vt:i4>
      </vt:variant>
      <vt:variant>
        <vt:lpwstr>https://www.health.gov.au/about-us/the-australian-health-system</vt:lpwstr>
      </vt:variant>
      <vt:variant>
        <vt:lpwstr>primary-health-networks</vt:lpwstr>
      </vt:variant>
      <vt:variant>
        <vt:i4>1441810</vt:i4>
      </vt:variant>
      <vt:variant>
        <vt:i4>2758</vt:i4>
      </vt:variant>
      <vt:variant>
        <vt:i4>0</vt:i4>
      </vt:variant>
      <vt:variant>
        <vt:i4>5</vt:i4>
      </vt:variant>
      <vt:variant>
        <vt:lpwstr>https://www.ranzcp.org/news-policy/policy-and-advocacy/position-statements/mental-health-needs-lgbtiq</vt:lpwstr>
      </vt:variant>
      <vt:variant>
        <vt:lpwstr/>
      </vt:variant>
      <vt:variant>
        <vt:i4>5243000</vt:i4>
      </vt:variant>
      <vt:variant>
        <vt:i4>2755</vt:i4>
      </vt:variant>
      <vt:variant>
        <vt:i4>0</vt:i4>
      </vt:variant>
      <vt:variant>
        <vt:i4>5</vt:i4>
      </vt:variant>
      <vt:variant>
        <vt:lpwstr>http://apps.who.int/iris/bitstream/handle/10665/75217/9789241503594_eng.pdf;sequence=1</vt:lpwstr>
      </vt:variant>
      <vt:variant>
        <vt:lpwstr/>
      </vt:variant>
      <vt:variant>
        <vt:i4>7012457</vt:i4>
      </vt:variant>
      <vt:variant>
        <vt:i4>2752</vt:i4>
      </vt:variant>
      <vt:variant>
        <vt:i4>0</vt:i4>
      </vt:variant>
      <vt:variant>
        <vt:i4>5</vt:i4>
      </vt:variant>
      <vt:variant>
        <vt:lpwstr>https://www.racgp.org.au/FSDEDEV/media/documents/RACGP/Position statements/Racism-in-the-healthcare-sector.pdf</vt:lpwstr>
      </vt:variant>
      <vt:variant>
        <vt:lpwstr/>
      </vt:variant>
      <vt:variant>
        <vt:i4>2359417</vt:i4>
      </vt:variant>
      <vt:variant>
        <vt:i4>2749</vt:i4>
      </vt:variant>
      <vt:variant>
        <vt:i4>0</vt:i4>
      </vt:variant>
      <vt:variant>
        <vt:i4>5</vt:i4>
      </vt:variant>
      <vt:variant>
        <vt:lpwstr>https://www.pc.gov.au/inquiries/completed/mental-health/submissions</vt:lpwstr>
      </vt:variant>
      <vt:variant>
        <vt:lpwstr/>
      </vt:variant>
      <vt:variant>
        <vt:i4>6684747</vt:i4>
      </vt:variant>
      <vt:variant>
        <vt:i4>2746</vt:i4>
      </vt:variant>
      <vt:variant>
        <vt:i4>0</vt:i4>
      </vt:variant>
      <vt:variant>
        <vt:i4>5</vt:i4>
      </vt:variant>
      <vt:variant>
        <vt:lpwstr>https://apps.who.int/iris/bitstream/handle/10665/67923/WHO_FCH_CAH_02.14.pdf?sequence=1&amp;isAllowed=y</vt:lpwstr>
      </vt:variant>
      <vt:variant>
        <vt:lpwstr/>
      </vt:variant>
      <vt:variant>
        <vt:i4>1769553</vt:i4>
      </vt:variant>
      <vt:variant>
        <vt:i4>2743</vt:i4>
      </vt:variant>
      <vt:variant>
        <vt:i4>0</vt:i4>
      </vt:variant>
      <vt:variant>
        <vt:i4>5</vt:i4>
      </vt:variant>
      <vt:variant>
        <vt:lpwstr>https://headspace.org.au/assets/Uploads/headspace-psychosocial-assessment.pdf</vt:lpwstr>
      </vt:variant>
      <vt:variant>
        <vt:lpwstr/>
      </vt:variant>
      <vt:variant>
        <vt:i4>2490495</vt:i4>
      </vt:variant>
      <vt:variant>
        <vt:i4>2740</vt:i4>
      </vt:variant>
      <vt:variant>
        <vt:i4>0</vt:i4>
      </vt:variant>
      <vt:variant>
        <vt:i4>5</vt:i4>
      </vt:variant>
      <vt:variant>
        <vt:lpwstr>https://headspace.org.au/assets/Uploads/Corporate/Publications-and-research/HSP201-Service-Innovation-Part-2-FA-LR.pdf</vt:lpwstr>
      </vt:variant>
      <vt:variant>
        <vt:lpwstr/>
      </vt:variant>
      <vt:variant>
        <vt:i4>5898331</vt:i4>
      </vt:variant>
      <vt:variant>
        <vt:i4>2737</vt:i4>
      </vt:variant>
      <vt:variant>
        <vt:i4>0</vt:i4>
      </vt:variant>
      <vt:variant>
        <vt:i4>5</vt:i4>
      </vt:variant>
      <vt:variant>
        <vt:lpwstr>https://headspace.org.au/assets/Uploads/Increasing-demand-in-youth-mentalh-a-rising-tide-of-need.pdf</vt:lpwstr>
      </vt:variant>
      <vt:variant>
        <vt:lpwstr/>
      </vt:variant>
      <vt:variant>
        <vt:i4>6553717</vt:i4>
      </vt:variant>
      <vt:variant>
        <vt:i4>2734</vt:i4>
      </vt:variant>
      <vt:variant>
        <vt:i4>0</vt:i4>
      </vt:variant>
      <vt:variant>
        <vt:i4>5</vt:i4>
      </vt:variant>
      <vt:variant>
        <vt:lpwstr>https://headspace.org.au/assets/headspace-centre-young-person-follow-up-study-Sept-2019.PDF</vt:lpwstr>
      </vt:variant>
      <vt:variant>
        <vt:lpwstr/>
      </vt:variant>
      <vt:variant>
        <vt:i4>983076</vt:i4>
      </vt:variant>
      <vt:variant>
        <vt:i4>2731</vt:i4>
      </vt:variant>
      <vt:variant>
        <vt:i4>0</vt:i4>
      </vt:variant>
      <vt:variant>
        <vt:i4>5</vt:i4>
      </vt:variant>
      <vt:variant>
        <vt:lpwstr>https://www.pc.gov.au/__data/assets/pdf_file/0017/251360/sub947-mental-health.pdf</vt:lpwstr>
      </vt:variant>
      <vt:variant>
        <vt:lpwstr/>
      </vt:variant>
      <vt:variant>
        <vt:i4>7667724</vt:i4>
      </vt:variant>
      <vt:variant>
        <vt:i4>2728</vt:i4>
      </vt:variant>
      <vt:variant>
        <vt:i4>0</vt:i4>
      </vt:variant>
      <vt:variant>
        <vt:i4>5</vt:i4>
      </vt:variant>
      <vt:variant>
        <vt:lpwstr>https://headspace.org.au/assets/HSP10755_Annual-Report-2020_FA02_DIGI.pdf</vt:lpwstr>
      </vt:variant>
      <vt:variant>
        <vt:lpwstr/>
      </vt:variant>
      <vt:variant>
        <vt:i4>1376351</vt:i4>
      </vt:variant>
      <vt:variant>
        <vt:i4>2725</vt:i4>
      </vt:variant>
      <vt:variant>
        <vt:i4>0</vt:i4>
      </vt:variant>
      <vt:variant>
        <vt:i4>5</vt:i4>
      </vt:variant>
      <vt:variant>
        <vt:lpwstr>https://headspace.org.au/assets/Uploads/COVID-Client-Impact-Report-FINAL-11-8-20.pdf</vt:lpwstr>
      </vt:variant>
      <vt:variant>
        <vt:lpwstr/>
      </vt:variant>
      <vt:variant>
        <vt:i4>30</vt:i4>
      </vt:variant>
      <vt:variant>
        <vt:i4>2722</vt:i4>
      </vt:variant>
      <vt:variant>
        <vt:i4>0</vt:i4>
      </vt:variant>
      <vt:variant>
        <vt:i4>5</vt:i4>
      </vt:variant>
      <vt:variant>
        <vt:lpwstr>https://headspace.org.au/assets/Uploads/Telehealth-Staff-Experience-FINAL-8-10-20.pdf</vt:lpwstr>
      </vt:variant>
      <vt:variant>
        <vt:lpwstr/>
      </vt:variant>
      <vt:variant>
        <vt:i4>2621487</vt:i4>
      </vt:variant>
      <vt:variant>
        <vt:i4>2719</vt:i4>
      </vt:variant>
      <vt:variant>
        <vt:i4>0</vt:i4>
      </vt:variant>
      <vt:variant>
        <vt:i4>5</vt:i4>
      </vt:variant>
      <vt:variant>
        <vt:lpwstr>https://headspace.org.au/assets/Uploads/Telehealth-Client-Experience-FINAL-8-10-20.pdf</vt:lpwstr>
      </vt:variant>
      <vt:variant>
        <vt:lpwstr/>
      </vt:variant>
      <vt:variant>
        <vt:i4>720976</vt:i4>
      </vt:variant>
      <vt:variant>
        <vt:i4>2716</vt:i4>
      </vt:variant>
      <vt:variant>
        <vt:i4>0</vt:i4>
      </vt:variant>
      <vt:variant>
        <vt:i4>5</vt:i4>
      </vt:variant>
      <vt:variant>
        <vt:lpwstr>https://www.mentalhealthcommission.gov.au/getmedia/0209d27b-1873-4245-b6e5-49e770084b81/Fifth-National-Mental-Health-and-Suicide-Prevention-Plan.pdf</vt:lpwstr>
      </vt:variant>
      <vt:variant>
        <vt:lpwstr/>
      </vt:variant>
      <vt:variant>
        <vt:i4>5570650</vt:i4>
      </vt:variant>
      <vt:variant>
        <vt:i4>2713</vt:i4>
      </vt:variant>
      <vt:variant>
        <vt:i4>0</vt:i4>
      </vt:variant>
      <vt:variant>
        <vt:i4>5</vt:i4>
      </vt:variant>
      <vt:variant>
        <vt:lpwstr>https://www.health.gov.au/sites/default/files/documents/2021/05/budget-2021-22-portfolio-budget-statements-budget-2021-22-health-portfolio-budget-statements.pdf</vt:lpwstr>
      </vt:variant>
      <vt:variant>
        <vt:lpwstr/>
      </vt:variant>
      <vt:variant>
        <vt:i4>65566</vt:i4>
      </vt:variant>
      <vt:variant>
        <vt:i4>2710</vt:i4>
      </vt:variant>
      <vt:variant>
        <vt:i4>0</vt:i4>
      </vt:variant>
      <vt:variant>
        <vt:i4>5</vt:i4>
      </vt:variant>
      <vt:variant>
        <vt:lpwstr>https://ctgreport.niaa.gov.au/sites/default/files/pdf/closing-the-gap-report-2020.pdf</vt:lpwstr>
      </vt:variant>
      <vt:variant>
        <vt:lpwstr/>
      </vt:variant>
      <vt:variant>
        <vt:i4>6750325</vt:i4>
      </vt:variant>
      <vt:variant>
        <vt:i4>2111</vt:i4>
      </vt:variant>
      <vt:variant>
        <vt:i4>0</vt:i4>
      </vt:variant>
      <vt:variant>
        <vt:i4>5</vt:i4>
      </vt:variant>
      <vt:variant>
        <vt:lpwstr/>
      </vt:variant>
      <vt:variant>
        <vt:lpwstr>Outcomemeasures</vt:lpwstr>
      </vt:variant>
      <vt:variant>
        <vt:i4>5177469</vt:i4>
      </vt:variant>
      <vt:variant>
        <vt:i4>1311</vt:i4>
      </vt:variant>
      <vt:variant>
        <vt:i4>0</vt:i4>
      </vt:variant>
      <vt:variant>
        <vt:i4>5</vt:i4>
      </vt:variant>
      <vt:variant>
        <vt:lpwstr>https://kpmgaust.sharepoint.com/sites/AU-headspaceevaluation/Shared Documents/Reporting/Final Report/drafts/National headspace Evaluation Draft Final Report 06.03.2021.docx</vt:lpwstr>
      </vt:variant>
      <vt:variant>
        <vt:lpwstr>_ftn2</vt:lpwstr>
      </vt:variant>
      <vt:variant>
        <vt:i4>1245234</vt:i4>
      </vt:variant>
      <vt:variant>
        <vt:i4>1220</vt:i4>
      </vt:variant>
      <vt:variant>
        <vt:i4>0</vt:i4>
      </vt:variant>
      <vt:variant>
        <vt:i4>5</vt:i4>
      </vt:variant>
      <vt:variant>
        <vt:lpwstr/>
      </vt:variant>
      <vt:variant>
        <vt:lpwstr>_Toc107838747</vt:lpwstr>
      </vt:variant>
      <vt:variant>
        <vt:i4>1245234</vt:i4>
      </vt:variant>
      <vt:variant>
        <vt:i4>1214</vt:i4>
      </vt:variant>
      <vt:variant>
        <vt:i4>0</vt:i4>
      </vt:variant>
      <vt:variant>
        <vt:i4>5</vt:i4>
      </vt:variant>
      <vt:variant>
        <vt:lpwstr/>
      </vt:variant>
      <vt:variant>
        <vt:lpwstr>_Toc107838746</vt:lpwstr>
      </vt:variant>
      <vt:variant>
        <vt:i4>1245234</vt:i4>
      </vt:variant>
      <vt:variant>
        <vt:i4>1208</vt:i4>
      </vt:variant>
      <vt:variant>
        <vt:i4>0</vt:i4>
      </vt:variant>
      <vt:variant>
        <vt:i4>5</vt:i4>
      </vt:variant>
      <vt:variant>
        <vt:lpwstr/>
      </vt:variant>
      <vt:variant>
        <vt:lpwstr>_Toc107838745</vt:lpwstr>
      </vt:variant>
      <vt:variant>
        <vt:i4>1245234</vt:i4>
      </vt:variant>
      <vt:variant>
        <vt:i4>1202</vt:i4>
      </vt:variant>
      <vt:variant>
        <vt:i4>0</vt:i4>
      </vt:variant>
      <vt:variant>
        <vt:i4>5</vt:i4>
      </vt:variant>
      <vt:variant>
        <vt:lpwstr/>
      </vt:variant>
      <vt:variant>
        <vt:lpwstr>_Toc107838744</vt:lpwstr>
      </vt:variant>
      <vt:variant>
        <vt:i4>1245234</vt:i4>
      </vt:variant>
      <vt:variant>
        <vt:i4>1196</vt:i4>
      </vt:variant>
      <vt:variant>
        <vt:i4>0</vt:i4>
      </vt:variant>
      <vt:variant>
        <vt:i4>5</vt:i4>
      </vt:variant>
      <vt:variant>
        <vt:lpwstr/>
      </vt:variant>
      <vt:variant>
        <vt:lpwstr>_Toc107838743</vt:lpwstr>
      </vt:variant>
      <vt:variant>
        <vt:i4>1245234</vt:i4>
      </vt:variant>
      <vt:variant>
        <vt:i4>1190</vt:i4>
      </vt:variant>
      <vt:variant>
        <vt:i4>0</vt:i4>
      </vt:variant>
      <vt:variant>
        <vt:i4>5</vt:i4>
      </vt:variant>
      <vt:variant>
        <vt:lpwstr/>
      </vt:variant>
      <vt:variant>
        <vt:lpwstr>_Toc107838742</vt:lpwstr>
      </vt:variant>
      <vt:variant>
        <vt:i4>1245234</vt:i4>
      </vt:variant>
      <vt:variant>
        <vt:i4>1184</vt:i4>
      </vt:variant>
      <vt:variant>
        <vt:i4>0</vt:i4>
      </vt:variant>
      <vt:variant>
        <vt:i4>5</vt:i4>
      </vt:variant>
      <vt:variant>
        <vt:lpwstr/>
      </vt:variant>
      <vt:variant>
        <vt:lpwstr>_Toc107838741</vt:lpwstr>
      </vt:variant>
      <vt:variant>
        <vt:i4>1245234</vt:i4>
      </vt:variant>
      <vt:variant>
        <vt:i4>1178</vt:i4>
      </vt:variant>
      <vt:variant>
        <vt:i4>0</vt:i4>
      </vt:variant>
      <vt:variant>
        <vt:i4>5</vt:i4>
      </vt:variant>
      <vt:variant>
        <vt:lpwstr/>
      </vt:variant>
      <vt:variant>
        <vt:lpwstr>_Toc107838740</vt:lpwstr>
      </vt:variant>
      <vt:variant>
        <vt:i4>1310770</vt:i4>
      </vt:variant>
      <vt:variant>
        <vt:i4>1172</vt:i4>
      </vt:variant>
      <vt:variant>
        <vt:i4>0</vt:i4>
      </vt:variant>
      <vt:variant>
        <vt:i4>5</vt:i4>
      </vt:variant>
      <vt:variant>
        <vt:lpwstr/>
      </vt:variant>
      <vt:variant>
        <vt:lpwstr>_Toc107838739</vt:lpwstr>
      </vt:variant>
      <vt:variant>
        <vt:i4>1310770</vt:i4>
      </vt:variant>
      <vt:variant>
        <vt:i4>1166</vt:i4>
      </vt:variant>
      <vt:variant>
        <vt:i4>0</vt:i4>
      </vt:variant>
      <vt:variant>
        <vt:i4>5</vt:i4>
      </vt:variant>
      <vt:variant>
        <vt:lpwstr/>
      </vt:variant>
      <vt:variant>
        <vt:lpwstr>_Toc107838738</vt:lpwstr>
      </vt:variant>
      <vt:variant>
        <vt:i4>1310770</vt:i4>
      </vt:variant>
      <vt:variant>
        <vt:i4>1160</vt:i4>
      </vt:variant>
      <vt:variant>
        <vt:i4>0</vt:i4>
      </vt:variant>
      <vt:variant>
        <vt:i4>5</vt:i4>
      </vt:variant>
      <vt:variant>
        <vt:lpwstr/>
      </vt:variant>
      <vt:variant>
        <vt:lpwstr>_Toc107838737</vt:lpwstr>
      </vt:variant>
      <vt:variant>
        <vt:i4>1310770</vt:i4>
      </vt:variant>
      <vt:variant>
        <vt:i4>1154</vt:i4>
      </vt:variant>
      <vt:variant>
        <vt:i4>0</vt:i4>
      </vt:variant>
      <vt:variant>
        <vt:i4>5</vt:i4>
      </vt:variant>
      <vt:variant>
        <vt:lpwstr/>
      </vt:variant>
      <vt:variant>
        <vt:lpwstr>_Toc107838736</vt:lpwstr>
      </vt:variant>
      <vt:variant>
        <vt:i4>1310770</vt:i4>
      </vt:variant>
      <vt:variant>
        <vt:i4>1148</vt:i4>
      </vt:variant>
      <vt:variant>
        <vt:i4>0</vt:i4>
      </vt:variant>
      <vt:variant>
        <vt:i4>5</vt:i4>
      </vt:variant>
      <vt:variant>
        <vt:lpwstr/>
      </vt:variant>
      <vt:variant>
        <vt:lpwstr>_Toc107838735</vt:lpwstr>
      </vt:variant>
      <vt:variant>
        <vt:i4>1310770</vt:i4>
      </vt:variant>
      <vt:variant>
        <vt:i4>1142</vt:i4>
      </vt:variant>
      <vt:variant>
        <vt:i4>0</vt:i4>
      </vt:variant>
      <vt:variant>
        <vt:i4>5</vt:i4>
      </vt:variant>
      <vt:variant>
        <vt:lpwstr/>
      </vt:variant>
      <vt:variant>
        <vt:lpwstr>_Toc107838734</vt:lpwstr>
      </vt:variant>
      <vt:variant>
        <vt:i4>1310770</vt:i4>
      </vt:variant>
      <vt:variant>
        <vt:i4>1136</vt:i4>
      </vt:variant>
      <vt:variant>
        <vt:i4>0</vt:i4>
      </vt:variant>
      <vt:variant>
        <vt:i4>5</vt:i4>
      </vt:variant>
      <vt:variant>
        <vt:lpwstr/>
      </vt:variant>
      <vt:variant>
        <vt:lpwstr>_Toc107838733</vt:lpwstr>
      </vt:variant>
      <vt:variant>
        <vt:i4>1310770</vt:i4>
      </vt:variant>
      <vt:variant>
        <vt:i4>1130</vt:i4>
      </vt:variant>
      <vt:variant>
        <vt:i4>0</vt:i4>
      </vt:variant>
      <vt:variant>
        <vt:i4>5</vt:i4>
      </vt:variant>
      <vt:variant>
        <vt:lpwstr/>
      </vt:variant>
      <vt:variant>
        <vt:lpwstr>_Toc107838732</vt:lpwstr>
      </vt:variant>
      <vt:variant>
        <vt:i4>1310770</vt:i4>
      </vt:variant>
      <vt:variant>
        <vt:i4>1124</vt:i4>
      </vt:variant>
      <vt:variant>
        <vt:i4>0</vt:i4>
      </vt:variant>
      <vt:variant>
        <vt:i4>5</vt:i4>
      </vt:variant>
      <vt:variant>
        <vt:lpwstr/>
      </vt:variant>
      <vt:variant>
        <vt:lpwstr>_Toc107838731</vt:lpwstr>
      </vt:variant>
      <vt:variant>
        <vt:i4>1310770</vt:i4>
      </vt:variant>
      <vt:variant>
        <vt:i4>1118</vt:i4>
      </vt:variant>
      <vt:variant>
        <vt:i4>0</vt:i4>
      </vt:variant>
      <vt:variant>
        <vt:i4>5</vt:i4>
      </vt:variant>
      <vt:variant>
        <vt:lpwstr/>
      </vt:variant>
      <vt:variant>
        <vt:lpwstr>_Toc107838730</vt:lpwstr>
      </vt:variant>
      <vt:variant>
        <vt:i4>1376306</vt:i4>
      </vt:variant>
      <vt:variant>
        <vt:i4>1112</vt:i4>
      </vt:variant>
      <vt:variant>
        <vt:i4>0</vt:i4>
      </vt:variant>
      <vt:variant>
        <vt:i4>5</vt:i4>
      </vt:variant>
      <vt:variant>
        <vt:lpwstr/>
      </vt:variant>
      <vt:variant>
        <vt:lpwstr>_Toc107838729</vt:lpwstr>
      </vt:variant>
      <vt:variant>
        <vt:i4>1376306</vt:i4>
      </vt:variant>
      <vt:variant>
        <vt:i4>1106</vt:i4>
      </vt:variant>
      <vt:variant>
        <vt:i4>0</vt:i4>
      </vt:variant>
      <vt:variant>
        <vt:i4>5</vt:i4>
      </vt:variant>
      <vt:variant>
        <vt:lpwstr/>
      </vt:variant>
      <vt:variant>
        <vt:lpwstr>_Toc107838728</vt:lpwstr>
      </vt:variant>
      <vt:variant>
        <vt:i4>1376306</vt:i4>
      </vt:variant>
      <vt:variant>
        <vt:i4>1100</vt:i4>
      </vt:variant>
      <vt:variant>
        <vt:i4>0</vt:i4>
      </vt:variant>
      <vt:variant>
        <vt:i4>5</vt:i4>
      </vt:variant>
      <vt:variant>
        <vt:lpwstr/>
      </vt:variant>
      <vt:variant>
        <vt:lpwstr>_Toc107838727</vt:lpwstr>
      </vt:variant>
      <vt:variant>
        <vt:i4>1376306</vt:i4>
      </vt:variant>
      <vt:variant>
        <vt:i4>1094</vt:i4>
      </vt:variant>
      <vt:variant>
        <vt:i4>0</vt:i4>
      </vt:variant>
      <vt:variant>
        <vt:i4>5</vt:i4>
      </vt:variant>
      <vt:variant>
        <vt:lpwstr/>
      </vt:variant>
      <vt:variant>
        <vt:lpwstr>_Toc107838726</vt:lpwstr>
      </vt:variant>
      <vt:variant>
        <vt:i4>1376306</vt:i4>
      </vt:variant>
      <vt:variant>
        <vt:i4>1088</vt:i4>
      </vt:variant>
      <vt:variant>
        <vt:i4>0</vt:i4>
      </vt:variant>
      <vt:variant>
        <vt:i4>5</vt:i4>
      </vt:variant>
      <vt:variant>
        <vt:lpwstr/>
      </vt:variant>
      <vt:variant>
        <vt:lpwstr>_Toc107838725</vt:lpwstr>
      </vt:variant>
      <vt:variant>
        <vt:i4>1376306</vt:i4>
      </vt:variant>
      <vt:variant>
        <vt:i4>1082</vt:i4>
      </vt:variant>
      <vt:variant>
        <vt:i4>0</vt:i4>
      </vt:variant>
      <vt:variant>
        <vt:i4>5</vt:i4>
      </vt:variant>
      <vt:variant>
        <vt:lpwstr/>
      </vt:variant>
      <vt:variant>
        <vt:lpwstr>_Toc107838724</vt:lpwstr>
      </vt:variant>
      <vt:variant>
        <vt:i4>1376306</vt:i4>
      </vt:variant>
      <vt:variant>
        <vt:i4>1076</vt:i4>
      </vt:variant>
      <vt:variant>
        <vt:i4>0</vt:i4>
      </vt:variant>
      <vt:variant>
        <vt:i4>5</vt:i4>
      </vt:variant>
      <vt:variant>
        <vt:lpwstr/>
      </vt:variant>
      <vt:variant>
        <vt:lpwstr>_Toc107838723</vt:lpwstr>
      </vt:variant>
      <vt:variant>
        <vt:i4>1376306</vt:i4>
      </vt:variant>
      <vt:variant>
        <vt:i4>1070</vt:i4>
      </vt:variant>
      <vt:variant>
        <vt:i4>0</vt:i4>
      </vt:variant>
      <vt:variant>
        <vt:i4>5</vt:i4>
      </vt:variant>
      <vt:variant>
        <vt:lpwstr/>
      </vt:variant>
      <vt:variant>
        <vt:lpwstr>_Toc107838722</vt:lpwstr>
      </vt:variant>
      <vt:variant>
        <vt:i4>1376306</vt:i4>
      </vt:variant>
      <vt:variant>
        <vt:i4>1064</vt:i4>
      </vt:variant>
      <vt:variant>
        <vt:i4>0</vt:i4>
      </vt:variant>
      <vt:variant>
        <vt:i4>5</vt:i4>
      </vt:variant>
      <vt:variant>
        <vt:lpwstr/>
      </vt:variant>
      <vt:variant>
        <vt:lpwstr>_Toc107838721</vt:lpwstr>
      </vt:variant>
      <vt:variant>
        <vt:i4>1376306</vt:i4>
      </vt:variant>
      <vt:variant>
        <vt:i4>1058</vt:i4>
      </vt:variant>
      <vt:variant>
        <vt:i4>0</vt:i4>
      </vt:variant>
      <vt:variant>
        <vt:i4>5</vt:i4>
      </vt:variant>
      <vt:variant>
        <vt:lpwstr/>
      </vt:variant>
      <vt:variant>
        <vt:lpwstr>_Toc107838720</vt:lpwstr>
      </vt:variant>
      <vt:variant>
        <vt:i4>1441842</vt:i4>
      </vt:variant>
      <vt:variant>
        <vt:i4>1052</vt:i4>
      </vt:variant>
      <vt:variant>
        <vt:i4>0</vt:i4>
      </vt:variant>
      <vt:variant>
        <vt:i4>5</vt:i4>
      </vt:variant>
      <vt:variant>
        <vt:lpwstr/>
      </vt:variant>
      <vt:variant>
        <vt:lpwstr>_Toc107838719</vt:lpwstr>
      </vt:variant>
      <vt:variant>
        <vt:i4>1441842</vt:i4>
      </vt:variant>
      <vt:variant>
        <vt:i4>1046</vt:i4>
      </vt:variant>
      <vt:variant>
        <vt:i4>0</vt:i4>
      </vt:variant>
      <vt:variant>
        <vt:i4>5</vt:i4>
      </vt:variant>
      <vt:variant>
        <vt:lpwstr/>
      </vt:variant>
      <vt:variant>
        <vt:lpwstr>_Toc107838718</vt:lpwstr>
      </vt:variant>
      <vt:variant>
        <vt:i4>1441842</vt:i4>
      </vt:variant>
      <vt:variant>
        <vt:i4>1040</vt:i4>
      </vt:variant>
      <vt:variant>
        <vt:i4>0</vt:i4>
      </vt:variant>
      <vt:variant>
        <vt:i4>5</vt:i4>
      </vt:variant>
      <vt:variant>
        <vt:lpwstr/>
      </vt:variant>
      <vt:variant>
        <vt:lpwstr>_Toc107838717</vt:lpwstr>
      </vt:variant>
      <vt:variant>
        <vt:i4>1441842</vt:i4>
      </vt:variant>
      <vt:variant>
        <vt:i4>1034</vt:i4>
      </vt:variant>
      <vt:variant>
        <vt:i4>0</vt:i4>
      </vt:variant>
      <vt:variant>
        <vt:i4>5</vt:i4>
      </vt:variant>
      <vt:variant>
        <vt:lpwstr/>
      </vt:variant>
      <vt:variant>
        <vt:lpwstr>_Toc107838716</vt:lpwstr>
      </vt:variant>
      <vt:variant>
        <vt:i4>1441842</vt:i4>
      </vt:variant>
      <vt:variant>
        <vt:i4>1028</vt:i4>
      </vt:variant>
      <vt:variant>
        <vt:i4>0</vt:i4>
      </vt:variant>
      <vt:variant>
        <vt:i4>5</vt:i4>
      </vt:variant>
      <vt:variant>
        <vt:lpwstr/>
      </vt:variant>
      <vt:variant>
        <vt:lpwstr>_Toc107838715</vt:lpwstr>
      </vt:variant>
      <vt:variant>
        <vt:i4>1441842</vt:i4>
      </vt:variant>
      <vt:variant>
        <vt:i4>1022</vt:i4>
      </vt:variant>
      <vt:variant>
        <vt:i4>0</vt:i4>
      </vt:variant>
      <vt:variant>
        <vt:i4>5</vt:i4>
      </vt:variant>
      <vt:variant>
        <vt:lpwstr/>
      </vt:variant>
      <vt:variant>
        <vt:lpwstr>_Toc107838714</vt:lpwstr>
      </vt:variant>
      <vt:variant>
        <vt:i4>1441842</vt:i4>
      </vt:variant>
      <vt:variant>
        <vt:i4>1016</vt:i4>
      </vt:variant>
      <vt:variant>
        <vt:i4>0</vt:i4>
      </vt:variant>
      <vt:variant>
        <vt:i4>5</vt:i4>
      </vt:variant>
      <vt:variant>
        <vt:lpwstr/>
      </vt:variant>
      <vt:variant>
        <vt:lpwstr>_Toc107838713</vt:lpwstr>
      </vt:variant>
      <vt:variant>
        <vt:i4>1441842</vt:i4>
      </vt:variant>
      <vt:variant>
        <vt:i4>1010</vt:i4>
      </vt:variant>
      <vt:variant>
        <vt:i4>0</vt:i4>
      </vt:variant>
      <vt:variant>
        <vt:i4>5</vt:i4>
      </vt:variant>
      <vt:variant>
        <vt:lpwstr/>
      </vt:variant>
      <vt:variant>
        <vt:lpwstr>_Toc107838712</vt:lpwstr>
      </vt:variant>
      <vt:variant>
        <vt:i4>1441842</vt:i4>
      </vt:variant>
      <vt:variant>
        <vt:i4>1004</vt:i4>
      </vt:variant>
      <vt:variant>
        <vt:i4>0</vt:i4>
      </vt:variant>
      <vt:variant>
        <vt:i4>5</vt:i4>
      </vt:variant>
      <vt:variant>
        <vt:lpwstr/>
      </vt:variant>
      <vt:variant>
        <vt:lpwstr>_Toc107838711</vt:lpwstr>
      </vt:variant>
      <vt:variant>
        <vt:i4>1441842</vt:i4>
      </vt:variant>
      <vt:variant>
        <vt:i4>998</vt:i4>
      </vt:variant>
      <vt:variant>
        <vt:i4>0</vt:i4>
      </vt:variant>
      <vt:variant>
        <vt:i4>5</vt:i4>
      </vt:variant>
      <vt:variant>
        <vt:lpwstr/>
      </vt:variant>
      <vt:variant>
        <vt:lpwstr>_Toc107838710</vt:lpwstr>
      </vt:variant>
      <vt:variant>
        <vt:i4>1507378</vt:i4>
      </vt:variant>
      <vt:variant>
        <vt:i4>992</vt:i4>
      </vt:variant>
      <vt:variant>
        <vt:i4>0</vt:i4>
      </vt:variant>
      <vt:variant>
        <vt:i4>5</vt:i4>
      </vt:variant>
      <vt:variant>
        <vt:lpwstr/>
      </vt:variant>
      <vt:variant>
        <vt:lpwstr>_Toc107838709</vt:lpwstr>
      </vt:variant>
      <vt:variant>
        <vt:i4>1507378</vt:i4>
      </vt:variant>
      <vt:variant>
        <vt:i4>986</vt:i4>
      </vt:variant>
      <vt:variant>
        <vt:i4>0</vt:i4>
      </vt:variant>
      <vt:variant>
        <vt:i4>5</vt:i4>
      </vt:variant>
      <vt:variant>
        <vt:lpwstr/>
      </vt:variant>
      <vt:variant>
        <vt:lpwstr>_Toc107838708</vt:lpwstr>
      </vt:variant>
      <vt:variant>
        <vt:i4>1507378</vt:i4>
      </vt:variant>
      <vt:variant>
        <vt:i4>980</vt:i4>
      </vt:variant>
      <vt:variant>
        <vt:i4>0</vt:i4>
      </vt:variant>
      <vt:variant>
        <vt:i4>5</vt:i4>
      </vt:variant>
      <vt:variant>
        <vt:lpwstr/>
      </vt:variant>
      <vt:variant>
        <vt:lpwstr>_Toc107838707</vt:lpwstr>
      </vt:variant>
      <vt:variant>
        <vt:i4>1507378</vt:i4>
      </vt:variant>
      <vt:variant>
        <vt:i4>974</vt:i4>
      </vt:variant>
      <vt:variant>
        <vt:i4>0</vt:i4>
      </vt:variant>
      <vt:variant>
        <vt:i4>5</vt:i4>
      </vt:variant>
      <vt:variant>
        <vt:lpwstr/>
      </vt:variant>
      <vt:variant>
        <vt:lpwstr>_Toc107838706</vt:lpwstr>
      </vt:variant>
      <vt:variant>
        <vt:i4>1507378</vt:i4>
      </vt:variant>
      <vt:variant>
        <vt:i4>968</vt:i4>
      </vt:variant>
      <vt:variant>
        <vt:i4>0</vt:i4>
      </vt:variant>
      <vt:variant>
        <vt:i4>5</vt:i4>
      </vt:variant>
      <vt:variant>
        <vt:lpwstr/>
      </vt:variant>
      <vt:variant>
        <vt:lpwstr>_Toc107838705</vt:lpwstr>
      </vt:variant>
      <vt:variant>
        <vt:i4>1507378</vt:i4>
      </vt:variant>
      <vt:variant>
        <vt:i4>962</vt:i4>
      </vt:variant>
      <vt:variant>
        <vt:i4>0</vt:i4>
      </vt:variant>
      <vt:variant>
        <vt:i4>5</vt:i4>
      </vt:variant>
      <vt:variant>
        <vt:lpwstr/>
      </vt:variant>
      <vt:variant>
        <vt:lpwstr>_Toc107838704</vt:lpwstr>
      </vt:variant>
      <vt:variant>
        <vt:i4>1507378</vt:i4>
      </vt:variant>
      <vt:variant>
        <vt:i4>956</vt:i4>
      </vt:variant>
      <vt:variant>
        <vt:i4>0</vt:i4>
      </vt:variant>
      <vt:variant>
        <vt:i4>5</vt:i4>
      </vt:variant>
      <vt:variant>
        <vt:lpwstr/>
      </vt:variant>
      <vt:variant>
        <vt:lpwstr>_Toc107838703</vt:lpwstr>
      </vt:variant>
      <vt:variant>
        <vt:i4>1507378</vt:i4>
      </vt:variant>
      <vt:variant>
        <vt:i4>950</vt:i4>
      </vt:variant>
      <vt:variant>
        <vt:i4>0</vt:i4>
      </vt:variant>
      <vt:variant>
        <vt:i4>5</vt:i4>
      </vt:variant>
      <vt:variant>
        <vt:lpwstr/>
      </vt:variant>
      <vt:variant>
        <vt:lpwstr>_Toc107838702</vt:lpwstr>
      </vt:variant>
      <vt:variant>
        <vt:i4>1507378</vt:i4>
      </vt:variant>
      <vt:variant>
        <vt:i4>944</vt:i4>
      </vt:variant>
      <vt:variant>
        <vt:i4>0</vt:i4>
      </vt:variant>
      <vt:variant>
        <vt:i4>5</vt:i4>
      </vt:variant>
      <vt:variant>
        <vt:lpwstr/>
      </vt:variant>
      <vt:variant>
        <vt:lpwstr>_Toc107838701</vt:lpwstr>
      </vt:variant>
      <vt:variant>
        <vt:i4>1507378</vt:i4>
      </vt:variant>
      <vt:variant>
        <vt:i4>938</vt:i4>
      </vt:variant>
      <vt:variant>
        <vt:i4>0</vt:i4>
      </vt:variant>
      <vt:variant>
        <vt:i4>5</vt:i4>
      </vt:variant>
      <vt:variant>
        <vt:lpwstr/>
      </vt:variant>
      <vt:variant>
        <vt:lpwstr>_Toc107838700</vt:lpwstr>
      </vt:variant>
      <vt:variant>
        <vt:i4>1966131</vt:i4>
      </vt:variant>
      <vt:variant>
        <vt:i4>932</vt:i4>
      </vt:variant>
      <vt:variant>
        <vt:i4>0</vt:i4>
      </vt:variant>
      <vt:variant>
        <vt:i4>5</vt:i4>
      </vt:variant>
      <vt:variant>
        <vt:lpwstr/>
      </vt:variant>
      <vt:variant>
        <vt:lpwstr>_Toc107838699</vt:lpwstr>
      </vt:variant>
      <vt:variant>
        <vt:i4>1966131</vt:i4>
      </vt:variant>
      <vt:variant>
        <vt:i4>926</vt:i4>
      </vt:variant>
      <vt:variant>
        <vt:i4>0</vt:i4>
      </vt:variant>
      <vt:variant>
        <vt:i4>5</vt:i4>
      </vt:variant>
      <vt:variant>
        <vt:lpwstr/>
      </vt:variant>
      <vt:variant>
        <vt:lpwstr>_Toc107838698</vt:lpwstr>
      </vt:variant>
      <vt:variant>
        <vt:i4>1966131</vt:i4>
      </vt:variant>
      <vt:variant>
        <vt:i4>920</vt:i4>
      </vt:variant>
      <vt:variant>
        <vt:i4>0</vt:i4>
      </vt:variant>
      <vt:variant>
        <vt:i4>5</vt:i4>
      </vt:variant>
      <vt:variant>
        <vt:lpwstr/>
      </vt:variant>
      <vt:variant>
        <vt:lpwstr>_Toc107838697</vt:lpwstr>
      </vt:variant>
      <vt:variant>
        <vt:i4>1966131</vt:i4>
      </vt:variant>
      <vt:variant>
        <vt:i4>914</vt:i4>
      </vt:variant>
      <vt:variant>
        <vt:i4>0</vt:i4>
      </vt:variant>
      <vt:variant>
        <vt:i4>5</vt:i4>
      </vt:variant>
      <vt:variant>
        <vt:lpwstr/>
      </vt:variant>
      <vt:variant>
        <vt:lpwstr>_Toc107838696</vt:lpwstr>
      </vt:variant>
      <vt:variant>
        <vt:i4>1966131</vt:i4>
      </vt:variant>
      <vt:variant>
        <vt:i4>908</vt:i4>
      </vt:variant>
      <vt:variant>
        <vt:i4>0</vt:i4>
      </vt:variant>
      <vt:variant>
        <vt:i4>5</vt:i4>
      </vt:variant>
      <vt:variant>
        <vt:lpwstr/>
      </vt:variant>
      <vt:variant>
        <vt:lpwstr>_Toc107838695</vt:lpwstr>
      </vt:variant>
      <vt:variant>
        <vt:i4>1966131</vt:i4>
      </vt:variant>
      <vt:variant>
        <vt:i4>902</vt:i4>
      </vt:variant>
      <vt:variant>
        <vt:i4>0</vt:i4>
      </vt:variant>
      <vt:variant>
        <vt:i4>5</vt:i4>
      </vt:variant>
      <vt:variant>
        <vt:lpwstr/>
      </vt:variant>
      <vt:variant>
        <vt:lpwstr>_Toc107838694</vt:lpwstr>
      </vt:variant>
      <vt:variant>
        <vt:i4>1966131</vt:i4>
      </vt:variant>
      <vt:variant>
        <vt:i4>896</vt:i4>
      </vt:variant>
      <vt:variant>
        <vt:i4>0</vt:i4>
      </vt:variant>
      <vt:variant>
        <vt:i4>5</vt:i4>
      </vt:variant>
      <vt:variant>
        <vt:lpwstr/>
      </vt:variant>
      <vt:variant>
        <vt:lpwstr>_Toc107838693</vt:lpwstr>
      </vt:variant>
      <vt:variant>
        <vt:i4>1966131</vt:i4>
      </vt:variant>
      <vt:variant>
        <vt:i4>890</vt:i4>
      </vt:variant>
      <vt:variant>
        <vt:i4>0</vt:i4>
      </vt:variant>
      <vt:variant>
        <vt:i4>5</vt:i4>
      </vt:variant>
      <vt:variant>
        <vt:lpwstr/>
      </vt:variant>
      <vt:variant>
        <vt:lpwstr>_Toc107838692</vt:lpwstr>
      </vt:variant>
      <vt:variant>
        <vt:i4>1966131</vt:i4>
      </vt:variant>
      <vt:variant>
        <vt:i4>884</vt:i4>
      </vt:variant>
      <vt:variant>
        <vt:i4>0</vt:i4>
      </vt:variant>
      <vt:variant>
        <vt:i4>5</vt:i4>
      </vt:variant>
      <vt:variant>
        <vt:lpwstr/>
      </vt:variant>
      <vt:variant>
        <vt:lpwstr>_Toc107838691</vt:lpwstr>
      </vt:variant>
      <vt:variant>
        <vt:i4>1966131</vt:i4>
      </vt:variant>
      <vt:variant>
        <vt:i4>878</vt:i4>
      </vt:variant>
      <vt:variant>
        <vt:i4>0</vt:i4>
      </vt:variant>
      <vt:variant>
        <vt:i4>5</vt:i4>
      </vt:variant>
      <vt:variant>
        <vt:lpwstr/>
      </vt:variant>
      <vt:variant>
        <vt:lpwstr>_Toc107838690</vt:lpwstr>
      </vt:variant>
      <vt:variant>
        <vt:i4>2031667</vt:i4>
      </vt:variant>
      <vt:variant>
        <vt:i4>872</vt:i4>
      </vt:variant>
      <vt:variant>
        <vt:i4>0</vt:i4>
      </vt:variant>
      <vt:variant>
        <vt:i4>5</vt:i4>
      </vt:variant>
      <vt:variant>
        <vt:lpwstr/>
      </vt:variant>
      <vt:variant>
        <vt:lpwstr>_Toc107838689</vt:lpwstr>
      </vt:variant>
      <vt:variant>
        <vt:i4>2031667</vt:i4>
      </vt:variant>
      <vt:variant>
        <vt:i4>866</vt:i4>
      </vt:variant>
      <vt:variant>
        <vt:i4>0</vt:i4>
      </vt:variant>
      <vt:variant>
        <vt:i4>5</vt:i4>
      </vt:variant>
      <vt:variant>
        <vt:lpwstr/>
      </vt:variant>
      <vt:variant>
        <vt:lpwstr>_Toc107838688</vt:lpwstr>
      </vt:variant>
      <vt:variant>
        <vt:i4>2031667</vt:i4>
      </vt:variant>
      <vt:variant>
        <vt:i4>860</vt:i4>
      </vt:variant>
      <vt:variant>
        <vt:i4>0</vt:i4>
      </vt:variant>
      <vt:variant>
        <vt:i4>5</vt:i4>
      </vt:variant>
      <vt:variant>
        <vt:lpwstr/>
      </vt:variant>
      <vt:variant>
        <vt:lpwstr>_Toc107838687</vt:lpwstr>
      </vt:variant>
      <vt:variant>
        <vt:i4>2031667</vt:i4>
      </vt:variant>
      <vt:variant>
        <vt:i4>854</vt:i4>
      </vt:variant>
      <vt:variant>
        <vt:i4>0</vt:i4>
      </vt:variant>
      <vt:variant>
        <vt:i4>5</vt:i4>
      </vt:variant>
      <vt:variant>
        <vt:lpwstr/>
      </vt:variant>
      <vt:variant>
        <vt:lpwstr>_Toc107838686</vt:lpwstr>
      </vt:variant>
      <vt:variant>
        <vt:i4>2031667</vt:i4>
      </vt:variant>
      <vt:variant>
        <vt:i4>848</vt:i4>
      </vt:variant>
      <vt:variant>
        <vt:i4>0</vt:i4>
      </vt:variant>
      <vt:variant>
        <vt:i4>5</vt:i4>
      </vt:variant>
      <vt:variant>
        <vt:lpwstr/>
      </vt:variant>
      <vt:variant>
        <vt:lpwstr>_Toc107838685</vt:lpwstr>
      </vt:variant>
      <vt:variant>
        <vt:i4>2031667</vt:i4>
      </vt:variant>
      <vt:variant>
        <vt:i4>842</vt:i4>
      </vt:variant>
      <vt:variant>
        <vt:i4>0</vt:i4>
      </vt:variant>
      <vt:variant>
        <vt:i4>5</vt:i4>
      </vt:variant>
      <vt:variant>
        <vt:lpwstr/>
      </vt:variant>
      <vt:variant>
        <vt:lpwstr>_Toc107838684</vt:lpwstr>
      </vt:variant>
      <vt:variant>
        <vt:i4>2031667</vt:i4>
      </vt:variant>
      <vt:variant>
        <vt:i4>836</vt:i4>
      </vt:variant>
      <vt:variant>
        <vt:i4>0</vt:i4>
      </vt:variant>
      <vt:variant>
        <vt:i4>5</vt:i4>
      </vt:variant>
      <vt:variant>
        <vt:lpwstr/>
      </vt:variant>
      <vt:variant>
        <vt:lpwstr>_Toc107838683</vt:lpwstr>
      </vt:variant>
      <vt:variant>
        <vt:i4>2031667</vt:i4>
      </vt:variant>
      <vt:variant>
        <vt:i4>830</vt:i4>
      </vt:variant>
      <vt:variant>
        <vt:i4>0</vt:i4>
      </vt:variant>
      <vt:variant>
        <vt:i4>5</vt:i4>
      </vt:variant>
      <vt:variant>
        <vt:lpwstr/>
      </vt:variant>
      <vt:variant>
        <vt:lpwstr>_Toc107838682</vt:lpwstr>
      </vt:variant>
      <vt:variant>
        <vt:i4>2031667</vt:i4>
      </vt:variant>
      <vt:variant>
        <vt:i4>824</vt:i4>
      </vt:variant>
      <vt:variant>
        <vt:i4>0</vt:i4>
      </vt:variant>
      <vt:variant>
        <vt:i4>5</vt:i4>
      </vt:variant>
      <vt:variant>
        <vt:lpwstr/>
      </vt:variant>
      <vt:variant>
        <vt:lpwstr>_Toc107838681</vt:lpwstr>
      </vt:variant>
      <vt:variant>
        <vt:i4>2031667</vt:i4>
      </vt:variant>
      <vt:variant>
        <vt:i4>818</vt:i4>
      </vt:variant>
      <vt:variant>
        <vt:i4>0</vt:i4>
      </vt:variant>
      <vt:variant>
        <vt:i4>5</vt:i4>
      </vt:variant>
      <vt:variant>
        <vt:lpwstr/>
      </vt:variant>
      <vt:variant>
        <vt:lpwstr>_Toc107838680</vt:lpwstr>
      </vt:variant>
      <vt:variant>
        <vt:i4>1048627</vt:i4>
      </vt:variant>
      <vt:variant>
        <vt:i4>812</vt:i4>
      </vt:variant>
      <vt:variant>
        <vt:i4>0</vt:i4>
      </vt:variant>
      <vt:variant>
        <vt:i4>5</vt:i4>
      </vt:variant>
      <vt:variant>
        <vt:lpwstr/>
      </vt:variant>
      <vt:variant>
        <vt:lpwstr>_Toc107838679</vt:lpwstr>
      </vt:variant>
      <vt:variant>
        <vt:i4>1048627</vt:i4>
      </vt:variant>
      <vt:variant>
        <vt:i4>806</vt:i4>
      </vt:variant>
      <vt:variant>
        <vt:i4>0</vt:i4>
      </vt:variant>
      <vt:variant>
        <vt:i4>5</vt:i4>
      </vt:variant>
      <vt:variant>
        <vt:lpwstr/>
      </vt:variant>
      <vt:variant>
        <vt:lpwstr>_Toc107838678</vt:lpwstr>
      </vt:variant>
      <vt:variant>
        <vt:i4>1048627</vt:i4>
      </vt:variant>
      <vt:variant>
        <vt:i4>800</vt:i4>
      </vt:variant>
      <vt:variant>
        <vt:i4>0</vt:i4>
      </vt:variant>
      <vt:variant>
        <vt:i4>5</vt:i4>
      </vt:variant>
      <vt:variant>
        <vt:lpwstr/>
      </vt:variant>
      <vt:variant>
        <vt:lpwstr>_Toc107838677</vt:lpwstr>
      </vt:variant>
      <vt:variant>
        <vt:i4>1048627</vt:i4>
      </vt:variant>
      <vt:variant>
        <vt:i4>794</vt:i4>
      </vt:variant>
      <vt:variant>
        <vt:i4>0</vt:i4>
      </vt:variant>
      <vt:variant>
        <vt:i4>5</vt:i4>
      </vt:variant>
      <vt:variant>
        <vt:lpwstr/>
      </vt:variant>
      <vt:variant>
        <vt:lpwstr>_Toc107838676</vt:lpwstr>
      </vt:variant>
      <vt:variant>
        <vt:i4>1048627</vt:i4>
      </vt:variant>
      <vt:variant>
        <vt:i4>788</vt:i4>
      </vt:variant>
      <vt:variant>
        <vt:i4>0</vt:i4>
      </vt:variant>
      <vt:variant>
        <vt:i4>5</vt:i4>
      </vt:variant>
      <vt:variant>
        <vt:lpwstr/>
      </vt:variant>
      <vt:variant>
        <vt:lpwstr>_Toc107838675</vt:lpwstr>
      </vt:variant>
      <vt:variant>
        <vt:i4>1048627</vt:i4>
      </vt:variant>
      <vt:variant>
        <vt:i4>782</vt:i4>
      </vt:variant>
      <vt:variant>
        <vt:i4>0</vt:i4>
      </vt:variant>
      <vt:variant>
        <vt:i4>5</vt:i4>
      </vt:variant>
      <vt:variant>
        <vt:lpwstr/>
      </vt:variant>
      <vt:variant>
        <vt:lpwstr>_Toc107838674</vt:lpwstr>
      </vt:variant>
      <vt:variant>
        <vt:i4>1441843</vt:i4>
      </vt:variant>
      <vt:variant>
        <vt:i4>773</vt:i4>
      </vt:variant>
      <vt:variant>
        <vt:i4>0</vt:i4>
      </vt:variant>
      <vt:variant>
        <vt:i4>5</vt:i4>
      </vt:variant>
      <vt:variant>
        <vt:lpwstr/>
      </vt:variant>
      <vt:variant>
        <vt:lpwstr>_Toc107838612</vt:lpwstr>
      </vt:variant>
      <vt:variant>
        <vt:i4>1441843</vt:i4>
      </vt:variant>
      <vt:variant>
        <vt:i4>767</vt:i4>
      </vt:variant>
      <vt:variant>
        <vt:i4>0</vt:i4>
      </vt:variant>
      <vt:variant>
        <vt:i4>5</vt:i4>
      </vt:variant>
      <vt:variant>
        <vt:lpwstr/>
      </vt:variant>
      <vt:variant>
        <vt:lpwstr>_Toc107838611</vt:lpwstr>
      </vt:variant>
      <vt:variant>
        <vt:i4>1441843</vt:i4>
      </vt:variant>
      <vt:variant>
        <vt:i4>761</vt:i4>
      </vt:variant>
      <vt:variant>
        <vt:i4>0</vt:i4>
      </vt:variant>
      <vt:variant>
        <vt:i4>5</vt:i4>
      </vt:variant>
      <vt:variant>
        <vt:lpwstr/>
      </vt:variant>
      <vt:variant>
        <vt:lpwstr>_Toc107838610</vt:lpwstr>
      </vt:variant>
      <vt:variant>
        <vt:i4>1507379</vt:i4>
      </vt:variant>
      <vt:variant>
        <vt:i4>755</vt:i4>
      </vt:variant>
      <vt:variant>
        <vt:i4>0</vt:i4>
      </vt:variant>
      <vt:variant>
        <vt:i4>5</vt:i4>
      </vt:variant>
      <vt:variant>
        <vt:lpwstr/>
      </vt:variant>
      <vt:variant>
        <vt:lpwstr>_Toc107838609</vt:lpwstr>
      </vt:variant>
      <vt:variant>
        <vt:i4>1507379</vt:i4>
      </vt:variant>
      <vt:variant>
        <vt:i4>749</vt:i4>
      </vt:variant>
      <vt:variant>
        <vt:i4>0</vt:i4>
      </vt:variant>
      <vt:variant>
        <vt:i4>5</vt:i4>
      </vt:variant>
      <vt:variant>
        <vt:lpwstr/>
      </vt:variant>
      <vt:variant>
        <vt:lpwstr>_Toc107838608</vt:lpwstr>
      </vt:variant>
      <vt:variant>
        <vt:i4>1507379</vt:i4>
      </vt:variant>
      <vt:variant>
        <vt:i4>743</vt:i4>
      </vt:variant>
      <vt:variant>
        <vt:i4>0</vt:i4>
      </vt:variant>
      <vt:variant>
        <vt:i4>5</vt:i4>
      </vt:variant>
      <vt:variant>
        <vt:lpwstr/>
      </vt:variant>
      <vt:variant>
        <vt:lpwstr>_Toc107838607</vt:lpwstr>
      </vt:variant>
      <vt:variant>
        <vt:i4>1507379</vt:i4>
      </vt:variant>
      <vt:variant>
        <vt:i4>737</vt:i4>
      </vt:variant>
      <vt:variant>
        <vt:i4>0</vt:i4>
      </vt:variant>
      <vt:variant>
        <vt:i4>5</vt:i4>
      </vt:variant>
      <vt:variant>
        <vt:lpwstr/>
      </vt:variant>
      <vt:variant>
        <vt:lpwstr>_Toc107838606</vt:lpwstr>
      </vt:variant>
      <vt:variant>
        <vt:i4>1507379</vt:i4>
      </vt:variant>
      <vt:variant>
        <vt:i4>731</vt:i4>
      </vt:variant>
      <vt:variant>
        <vt:i4>0</vt:i4>
      </vt:variant>
      <vt:variant>
        <vt:i4>5</vt:i4>
      </vt:variant>
      <vt:variant>
        <vt:lpwstr/>
      </vt:variant>
      <vt:variant>
        <vt:lpwstr>_Toc107838605</vt:lpwstr>
      </vt:variant>
      <vt:variant>
        <vt:i4>1507379</vt:i4>
      </vt:variant>
      <vt:variant>
        <vt:i4>725</vt:i4>
      </vt:variant>
      <vt:variant>
        <vt:i4>0</vt:i4>
      </vt:variant>
      <vt:variant>
        <vt:i4>5</vt:i4>
      </vt:variant>
      <vt:variant>
        <vt:lpwstr/>
      </vt:variant>
      <vt:variant>
        <vt:lpwstr>_Toc107838604</vt:lpwstr>
      </vt:variant>
      <vt:variant>
        <vt:i4>1507379</vt:i4>
      </vt:variant>
      <vt:variant>
        <vt:i4>719</vt:i4>
      </vt:variant>
      <vt:variant>
        <vt:i4>0</vt:i4>
      </vt:variant>
      <vt:variant>
        <vt:i4>5</vt:i4>
      </vt:variant>
      <vt:variant>
        <vt:lpwstr/>
      </vt:variant>
      <vt:variant>
        <vt:lpwstr>_Toc107838603</vt:lpwstr>
      </vt:variant>
      <vt:variant>
        <vt:i4>1507379</vt:i4>
      </vt:variant>
      <vt:variant>
        <vt:i4>713</vt:i4>
      </vt:variant>
      <vt:variant>
        <vt:i4>0</vt:i4>
      </vt:variant>
      <vt:variant>
        <vt:i4>5</vt:i4>
      </vt:variant>
      <vt:variant>
        <vt:lpwstr/>
      </vt:variant>
      <vt:variant>
        <vt:lpwstr>_Toc107838602</vt:lpwstr>
      </vt:variant>
      <vt:variant>
        <vt:i4>1507379</vt:i4>
      </vt:variant>
      <vt:variant>
        <vt:i4>707</vt:i4>
      </vt:variant>
      <vt:variant>
        <vt:i4>0</vt:i4>
      </vt:variant>
      <vt:variant>
        <vt:i4>5</vt:i4>
      </vt:variant>
      <vt:variant>
        <vt:lpwstr/>
      </vt:variant>
      <vt:variant>
        <vt:lpwstr>_Toc107838601</vt:lpwstr>
      </vt:variant>
      <vt:variant>
        <vt:i4>1507379</vt:i4>
      </vt:variant>
      <vt:variant>
        <vt:i4>701</vt:i4>
      </vt:variant>
      <vt:variant>
        <vt:i4>0</vt:i4>
      </vt:variant>
      <vt:variant>
        <vt:i4>5</vt:i4>
      </vt:variant>
      <vt:variant>
        <vt:lpwstr/>
      </vt:variant>
      <vt:variant>
        <vt:lpwstr>_Toc107838600</vt:lpwstr>
      </vt:variant>
      <vt:variant>
        <vt:i4>1966128</vt:i4>
      </vt:variant>
      <vt:variant>
        <vt:i4>695</vt:i4>
      </vt:variant>
      <vt:variant>
        <vt:i4>0</vt:i4>
      </vt:variant>
      <vt:variant>
        <vt:i4>5</vt:i4>
      </vt:variant>
      <vt:variant>
        <vt:lpwstr/>
      </vt:variant>
      <vt:variant>
        <vt:lpwstr>_Toc107838599</vt:lpwstr>
      </vt:variant>
      <vt:variant>
        <vt:i4>1966128</vt:i4>
      </vt:variant>
      <vt:variant>
        <vt:i4>689</vt:i4>
      </vt:variant>
      <vt:variant>
        <vt:i4>0</vt:i4>
      </vt:variant>
      <vt:variant>
        <vt:i4>5</vt:i4>
      </vt:variant>
      <vt:variant>
        <vt:lpwstr/>
      </vt:variant>
      <vt:variant>
        <vt:lpwstr>_Toc107838598</vt:lpwstr>
      </vt:variant>
      <vt:variant>
        <vt:i4>1966128</vt:i4>
      </vt:variant>
      <vt:variant>
        <vt:i4>683</vt:i4>
      </vt:variant>
      <vt:variant>
        <vt:i4>0</vt:i4>
      </vt:variant>
      <vt:variant>
        <vt:i4>5</vt:i4>
      </vt:variant>
      <vt:variant>
        <vt:lpwstr/>
      </vt:variant>
      <vt:variant>
        <vt:lpwstr>_Toc107838597</vt:lpwstr>
      </vt:variant>
      <vt:variant>
        <vt:i4>1966128</vt:i4>
      </vt:variant>
      <vt:variant>
        <vt:i4>677</vt:i4>
      </vt:variant>
      <vt:variant>
        <vt:i4>0</vt:i4>
      </vt:variant>
      <vt:variant>
        <vt:i4>5</vt:i4>
      </vt:variant>
      <vt:variant>
        <vt:lpwstr/>
      </vt:variant>
      <vt:variant>
        <vt:lpwstr>_Toc107838596</vt:lpwstr>
      </vt:variant>
      <vt:variant>
        <vt:i4>1966128</vt:i4>
      </vt:variant>
      <vt:variant>
        <vt:i4>671</vt:i4>
      </vt:variant>
      <vt:variant>
        <vt:i4>0</vt:i4>
      </vt:variant>
      <vt:variant>
        <vt:i4>5</vt:i4>
      </vt:variant>
      <vt:variant>
        <vt:lpwstr/>
      </vt:variant>
      <vt:variant>
        <vt:lpwstr>_Toc107838595</vt:lpwstr>
      </vt:variant>
      <vt:variant>
        <vt:i4>1966128</vt:i4>
      </vt:variant>
      <vt:variant>
        <vt:i4>665</vt:i4>
      </vt:variant>
      <vt:variant>
        <vt:i4>0</vt:i4>
      </vt:variant>
      <vt:variant>
        <vt:i4>5</vt:i4>
      </vt:variant>
      <vt:variant>
        <vt:lpwstr/>
      </vt:variant>
      <vt:variant>
        <vt:lpwstr>_Toc107838594</vt:lpwstr>
      </vt:variant>
      <vt:variant>
        <vt:i4>1966128</vt:i4>
      </vt:variant>
      <vt:variant>
        <vt:i4>659</vt:i4>
      </vt:variant>
      <vt:variant>
        <vt:i4>0</vt:i4>
      </vt:variant>
      <vt:variant>
        <vt:i4>5</vt:i4>
      </vt:variant>
      <vt:variant>
        <vt:lpwstr/>
      </vt:variant>
      <vt:variant>
        <vt:lpwstr>_Toc107838593</vt:lpwstr>
      </vt:variant>
      <vt:variant>
        <vt:i4>1966128</vt:i4>
      </vt:variant>
      <vt:variant>
        <vt:i4>653</vt:i4>
      </vt:variant>
      <vt:variant>
        <vt:i4>0</vt:i4>
      </vt:variant>
      <vt:variant>
        <vt:i4>5</vt:i4>
      </vt:variant>
      <vt:variant>
        <vt:lpwstr/>
      </vt:variant>
      <vt:variant>
        <vt:lpwstr>_Toc107838592</vt:lpwstr>
      </vt:variant>
      <vt:variant>
        <vt:i4>1966128</vt:i4>
      </vt:variant>
      <vt:variant>
        <vt:i4>647</vt:i4>
      </vt:variant>
      <vt:variant>
        <vt:i4>0</vt:i4>
      </vt:variant>
      <vt:variant>
        <vt:i4>5</vt:i4>
      </vt:variant>
      <vt:variant>
        <vt:lpwstr/>
      </vt:variant>
      <vt:variant>
        <vt:lpwstr>_Toc107838591</vt:lpwstr>
      </vt:variant>
      <vt:variant>
        <vt:i4>1966128</vt:i4>
      </vt:variant>
      <vt:variant>
        <vt:i4>641</vt:i4>
      </vt:variant>
      <vt:variant>
        <vt:i4>0</vt:i4>
      </vt:variant>
      <vt:variant>
        <vt:i4>5</vt:i4>
      </vt:variant>
      <vt:variant>
        <vt:lpwstr/>
      </vt:variant>
      <vt:variant>
        <vt:lpwstr>_Toc107838590</vt:lpwstr>
      </vt:variant>
      <vt:variant>
        <vt:i4>2031664</vt:i4>
      </vt:variant>
      <vt:variant>
        <vt:i4>635</vt:i4>
      </vt:variant>
      <vt:variant>
        <vt:i4>0</vt:i4>
      </vt:variant>
      <vt:variant>
        <vt:i4>5</vt:i4>
      </vt:variant>
      <vt:variant>
        <vt:lpwstr/>
      </vt:variant>
      <vt:variant>
        <vt:lpwstr>_Toc107838589</vt:lpwstr>
      </vt:variant>
      <vt:variant>
        <vt:i4>2031664</vt:i4>
      </vt:variant>
      <vt:variant>
        <vt:i4>629</vt:i4>
      </vt:variant>
      <vt:variant>
        <vt:i4>0</vt:i4>
      </vt:variant>
      <vt:variant>
        <vt:i4>5</vt:i4>
      </vt:variant>
      <vt:variant>
        <vt:lpwstr/>
      </vt:variant>
      <vt:variant>
        <vt:lpwstr>_Toc107838588</vt:lpwstr>
      </vt:variant>
      <vt:variant>
        <vt:i4>2031664</vt:i4>
      </vt:variant>
      <vt:variant>
        <vt:i4>623</vt:i4>
      </vt:variant>
      <vt:variant>
        <vt:i4>0</vt:i4>
      </vt:variant>
      <vt:variant>
        <vt:i4>5</vt:i4>
      </vt:variant>
      <vt:variant>
        <vt:lpwstr/>
      </vt:variant>
      <vt:variant>
        <vt:lpwstr>_Toc107838587</vt:lpwstr>
      </vt:variant>
      <vt:variant>
        <vt:i4>2031664</vt:i4>
      </vt:variant>
      <vt:variant>
        <vt:i4>617</vt:i4>
      </vt:variant>
      <vt:variant>
        <vt:i4>0</vt:i4>
      </vt:variant>
      <vt:variant>
        <vt:i4>5</vt:i4>
      </vt:variant>
      <vt:variant>
        <vt:lpwstr/>
      </vt:variant>
      <vt:variant>
        <vt:lpwstr>_Toc107838586</vt:lpwstr>
      </vt:variant>
      <vt:variant>
        <vt:i4>2031664</vt:i4>
      </vt:variant>
      <vt:variant>
        <vt:i4>611</vt:i4>
      </vt:variant>
      <vt:variant>
        <vt:i4>0</vt:i4>
      </vt:variant>
      <vt:variant>
        <vt:i4>5</vt:i4>
      </vt:variant>
      <vt:variant>
        <vt:lpwstr/>
      </vt:variant>
      <vt:variant>
        <vt:lpwstr>_Toc107838585</vt:lpwstr>
      </vt:variant>
      <vt:variant>
        <vt:i4>2031664</vt:i4>
      </vt:variant>
      <vt:variant>
        <vt:i4>605</vt:i4>
      </vt:variant>
      <vt:variant>
        <vt:i4>0</vt:i4>
      </vt:variant>
      <vt:variant>
        <vt:i4>5</vt:i4>
      </vt:variant>
      <vt:variant>
        <vt:lpwstr/>
      </vt:variant>
      <vt:variant>
        <vt:lpwstr>_Toc107838584</vt:lpwstr>
      </vt:variant>
      <vt:variant>
        <vt:i4>2031664</vt:i4>
      </vt:variant>
      <vt:variant>
        <vt:i4>599</vt:i4>
      </vt:variant>
      <vt:variant>
        <vt:i4>0</vt:i4>
      </vt:variant>
      <vt:variant>
        <vt:i4>5</vt:i4>
      </vt:variant>
      <vt:variant>
        <vt:lpwstr/>
      </vt:variant>
      <vt:variant>
        <vt:lpwstr>_Toc107838583</vt:lpwstr>
      </vt:variant>
      <vt:variant>
        <vt:i4>2031664</vt:i4>
      </vt:variant>
      <vt:variant>
        <vt:i4>593</vt:i4>
      </vt:variant>
      <vt:variant>
        <vt:i4>0</vt:i4>
      </vt:variant>
      <vt:variant>
        <vt:i4>5</vt:i4>
      </vt:variant>
      <vt:variant>
        <vt:lpwstr/>
      </vt:variant>
      <vt:variant>
        <vt:lpwstr>_Toc107838582</vt:lpwstr>
      </vt:variant>
      <vt:variant>
        <vt:i4>2031664</vt:i4>
      </vt:variant>
      <vt:variant>
        <vt:i4>587</vt:i4>
      </vt:variant>
      <vt:variant>
        <vt:i4>0</vt:i4>
      </vt:variant>
      <vt:variant>
        <vt:i4>5</vt:i4>
      </vt:variant>
      <vt:variant>
        <vt:lpwstr/>
      </vt:variant>
      <vt:variant>
        <vt:lpwstr>_Toc107838581</vt:lpwstr>
      </vt:variant>
      <vt:variant>
        <vt:i4>2031664</vt:i4>
      </vt:variant>
      <vt:variant>
        <vt:i4>581</vt:i4>
      </vt:variant>
      <vt:variant>
        <vt:i4>0</vt:i4>
      </vt:variant>
      <vt:variant>
        <vt:i4>5</vt:i4>
      </vt:variant>
      <vt:variant>
        <vt:lpwstr/>
      </vt:variant>
      <vt:variant>
        <vt:lpwstr>_Toc107838580</vt:lpwstr>
      </vt:variant>
      <vt:variant>
        <vt:i4>1048624</vt:i4>
      </vt:variant>
      <vt:variant>
        <vt:i4>575</vt:i4>
      </vt:variant>
      <vt:variant>
        <vt:i4>0</vt:i4>
      </vt:variant>
      <vt:variant>
        <vt:i4>5</vt:i4>
      </vt:variant>
      <vt:variant>
        <vt:lpwstr/>
      </vt:variant>
      <vt:variant>
        <vt:lpwstr>_Toc107838579</vt:lpwstr>
      </vt:variant>
      <vt:variant>
        <vt:i4>1048624</vt:i4>
      </vt:variant>
      <vt:variant>
        <vt:i4>569</vt:i4>
      </vt:variant>
      <vt:variant>
        <vt:i4>0</vt:i4>
      </vt:variant>
      <vt:variant>
        <vt:i4>5</vt:i4>
      </vt:variant>
      <vt:variant>
        <vt:lpwstr/>
      </vt:variant>
      <vt:variant>
        <vt:lpwstr>_Toc107838578</vt:lpwstr>
      </vt:variant>
      <vt:variant>
        <vt:i4>1048624</vt:i4>
      </vt:variant>
      <vt:variant>
        <vt:i4>563</vt:i4>
      </vt:variant>
      <vt:variant>
        <vt:i4>0</vt:i4>
      </vt:variant>
      <vt:variant>
        <vt:i4>5</vt:i4>
      </vt:variant>
      <vt:variant>
        <vt:lpwstr/>
      </vt:variant>
      <vt:variant>
        <vt:lpwstr>_Toc107838577</vt:lpwstr>
      </vt:variant>
      <vt:variant>
        <vt:i4>1048624</vt:i4>
      </vt:variant>
      <vt:variant>
        <vt:i4>557</vt:i4>
      </vt:variant>
      <vt:variant>
        <vt:i4>0</vt:i4>
      </vt:variant>
      <vt:variant>
        <vt:i4>5</vt:i4>
      </vt:variant>
      <vt:variant>
        <vt:lpwstr/>
      </vt:variant>
      <vt:variant>
        <vt:lpwstr>_Toc107838576</vt:lpwstr>
      </vt:variant>
      <vt:variant>
        <vt:i4>1048624</vt:i4>
      </vt:variant>
      <vt:variant>
        <vt:i4>551</vt:i4>
      </vt:variant>
      <vt:variant>
        <vt:i4>0</vt:i4>
      </vt:variant>
      <vt:variant>
        <vt:i4>5</vt:i4>
      </vt:variant>
      <vt:variant>
        <vt:lpwstr/>
      </vt:variant>
      <vt:variant>
        <vt:lpwstr>_Toc107838575</vt:lpwstr>
      </vt:variant>
      <vt:variant>
        <vt:i4>1048624</vt:i4>
      </vt:variant>
      <vt:variant>
        <vt:i4>545</vt:i4>
      </vt:variant>
      <vt:variant>
        <vt:i4>0</vt:i4>
      </vt:variant>
      <vt:variant>
        <vt:i4>5</vt:i4>
      </vt:variant>
      <vt:variant>
        <vt:lpwstr/>
      </vt:variant>
      <vt:variant>
        <vt:lpwstr>_Toc107838574</vt:lpwstr>
      </vt:variant>
      <vt:variant>
        <vt:i4>1048624</vt:i4>
      </vt:variant>
      <vt:variant>
        <vt:i4>539</vt:i4>
      </vt:variant>
      <vt:variant>
        <vt:i4>0</vt:i4>
      </vt:variant>
      <vt:variant>
        <vt:i4>5</vt:i4>
      </vt:variant>
      <vt:variant>
        <vt:lpwstr/>
      </vt:variant>
      <vt:variant>
        <vt:lpwstr>_Toc107838573</vt:lpwstr>
      </vt:variant>
      <vt:variant>
        <vt:i4>1048624</vt:i4>
      </vt:variant>
      <vt:variant>
        <vt:i4>533</vt:i4>
      </vt:variant>
      <vt:variant>
        <vt:i4>0</vt:i4>
      </vt:variant>
      <vt:variant>
        <vt:i4>5</vt:i4>
      </vt:variant>
      <vt:variant>
        <vt:lpwstr/>
      </vt:variant>
      <vt:variant>
        <vt:lpwstr>_Toc107838572</vt:lpwstr>
      </vt:variant>
      <vt:variant>
        <vt:i4>1048624</vt:i4>
      </vt:variant>
      <vt:variant>
        <vt:i4>527</vt:i4>
      </vt:variant>
      <vt:variant>
        <vt:i4>0</vt:i4>
      </vt:variant>
      <vt:variant>
        <vt:i4>5</vt:i4>
      </vt:variant>
      <vt:variant>
        <vt:lpwstr/>
      </vt:variant>
      <vt:variant>
        <vt:lpwstr>_Toc107838571</vt:lpwstr>
      </vt:variant>
      <vt:variant>
        <vt:i4>1048624</vt:i4>
      </vt:variant>
      <vt:variant>
        <vt:i4>521</vt:i4>
      </vt:variant>
      <vt:variant>
        <vt:i4>0</vt:i4>
      </vt:variant>
      <vt:variant>
        <vt:i4>5</vt:i4>
      </vt:variant>
      <vt:variant>
        <vt:lpwstr/>
      </vt:variant>
      <vt:variant>
        <vt:lpwstr>_Toc107838570</vt:lpwstr>
      </vt:variant>
      <vt:variant>
        <vt:i4>1114160</vt:i4>
      </vt:variant>
      <vt:variant>
        <vt:i4>515</vt:i4>
      </vt:variant>
      <vt:variant>
        <vt:i4>0</vt:i4>
      </vt:variant>
      <vt:variant>
        <vt:i4>5</vt:i4>
      </vt:variant>
      <vt:variant>
        <vt:lpwstr/>
      </vt:variant>
      <vt:variant>
        <vt:lpwstr>_Toc107838569</vt:lpwstr>
      </vt:variant>
      <vt:variant>
        <vt:i4>1114160</vt:i4>
      </vt:variant>
      <vt:variant>
        <vt:i4>509</vt:i4>
      </vt:variant>
      <vt:variant>
        <vt:i4>0</vt:i4>
      </vt:variant>
      <vt:variant>
        <vt:i4>5</vt:i4>
      </vt:variant>
      <vt:variant>
        <vt:lpwstr/>
      </vt:variant>
      <vt:variant>
        <vt:lpwstr>_Toc107838568</vt:lpwstr>
      </vt:variant>
      <vt:variant>
        <vt:i4>1114160</vt:i4>
      </vt:variant>
      <vt:variant>
        <vt:i4>503</vt:i4>
      </vt:variant>
      <vt:variant>
        <vt:i4>0</vt:i4>
      </vt:variant>
      <vt:variant>
        <vt:i4>5</vt:i4>
      </vt:variant>
      <vt:variant>
        <vt:lpwstr/>
      </vt:variant>
      <vt:variant>
        <vt:lpwstr>_Toc107838567</vt:lpwstr>
      </vt:variant>
      <vt:variant>
        <vt:i4>1114160</vt:i4>
      </vt:variant>
      <vt:variant>
        <vt:i4>497</vt:i4>
      </vt:variant>
      <vt:variant>
        <vt:i4>0</vt:i4>
      </vt:variant>
      <vt:variant>
        <vt:i4>5</vt:i4>
      </vt:variant>
      <vt:variant>
        <vt:lpwstr/>
      </vt:variant>
      <vt:variant>
        <vt:lpwstr>_Toc107838566</vt:lpwstr>
      </vt:variant>
      <vt:variant>
        <vt:i4>1114160</vt:i4>
      </vt:variant>
      <vt:variant>
        <vt:i4>491</vt:i4>
      </vt:variant>
      <vt:variant>
        <vt:i4>0</vt:i4>
      </vt:variant>
      <vt:variant>
        <vt:i4>5</vt:i4>
      </vt:variant>
      <vt:variant>
        <vt:lpwstr/>
      </vt:variant>
      <vt:variant>
        <vt:lpwstr>_Toc107838565</vt:lpwstr>
      </vt:variant>
      <vt:variant>
        <vt:i4>1114160</vt:i4>
      </vt:variant>
      <vt:variant>
        <vt:i4>485</vt:i4>
      </vt:variant>
      <vt:variant>
        <vt:i4>0</vt:i4>
      </vt:variant>
      <vt:variant>
        <vt:i4>5</vt:i4>
      </vt:variant>
      <vt:variant>
        <vt:lpwstr/>
      </vt:variant>
      <vt:variant>
        <vt:lpwstr>_Toc107838564</vt:lpwstr>
      </vt:variant>
      <vt:variant>
        <vt:i4>1114160</vt:i4>
      </vt:variant>
      <vt:variant>
        <vt:i4>479</vt:i4>
      </vt:variant>
      <vt:variant>
        <vt:i4>0</vt:i4>
      </vt:variant>
      <vt:variant>
        <vt:i4>5</vt:i4>
      </vt:variant>
      <vt:variant>
        <vt:lpwstr/>
      </vt:variant>
      <vt:variant>
        <vt:lpwstr>_Toc107838563</vt:lpwstr>
      </vt:variant>
      <vt:variant>
        <vt:i4>1114160</vt:i4>
      </vt:variant>
      <vt:variant>
        <vt:i4>473</vt:i4>
      </vt:variant>
      <vt:variant>
        <vt:i4>0</vt:i4>
      </vt:variant>
      <vt:variant>
        <vt:i4>5</vt:i4>
      </vt:variant>
      <vt:variant>
        <vt:lpwstr/>
      </vt:variant>
      <vt:variant>
        <vt:lpwstr>_Toc107838562</vt:lpwstr>
      </vt:variant>
      <vt:variant>
        <vt:i4>1114160</vt:i4>
      </vt:variant>
      <vt:variant>
        <vt:i4>467</vt:i4>
      </vt:variant>
      <vt:variant>
        <vt:i4>0</vt:i4>
      </vt:variant>
      <vt:variant>
        <vt:i4>5</vt:i4>
      </vt:variant>
      <vt:variant>
        <vt:lpwstr/>
      </vt:variant>
      <vt:variant>
        <vt:lpwstr>_Toc107838561</vt:lpwstr>
      </vt:variant>
      <vt:variant>
        <vt:i4>1114160</vt:i4>
      </vt:variant>
      <vt:variant>
        <vt:i4>461</vt:i4>
      </vt:variant>
      <vt:variant>
        <vt:i4>0</vt:i4>
      </vt:variant>
      <vt:variant>
        <vt:i4>5</vt:i4>
      </vt:variant>
      <vt:variant>
        <vt:lpwstr/>
      </vt:variant>
      <vt:variant>
        <vt:lpwstr>_Toc107838560</vt:lpwstr>
      </vt:variant>
      <vt:variant>
        <vt:i4>1179696</vt:i4>
      </vt:variant>
      <vt:variant>
        <vt:i4>455</vt:i4>
      </vt:variant>
      <vt:variant>
        <vt:i4>0</vt:i4>
      </vt:variant>
      <vt:variant>
        <vt:i4>5</vt:i4>
      </vt:variant>
      <vt:variant>
        <vt:lpwstr/>
      </vt:variant>
      <vt:variant>
        <vt:lpwstr>_Toc107838559</vt:lpwstr>
      </vt:variant>
      <vt:variant>
        <vt:i4>1179696</vt:i4>
      </vt:variant>
      <vt:variant>
        <vt:i4>449</vt:i4>
      </vt:variant>
      <vt:variant>
        <vt:i4>0</vt:i4>
      </vt:variant>
      <vt:variant>
        <vt:i4>5</vt:i4>
      </vt:variant>
      <vt:variant>
        <vt:lpwstr/>
      </vt:variant>
      <vt:variant>
        <vt:lpwstr>_Toc107838558</vt:lpwstr>
      </vt:variant>
      <vt:variant>
        <vt:i4>1179696</vt:i4>
      </vt:variant>
      <vt:variant>
        <vt:i4>443</vt:i4>
      </vt:variant>
      <vt:variant>
        <vt:i4>0</vt:i4>
      </vt:variant>
      <vt:variant>
        <vt:i4>5</vt:i4>
      </vt:variant>
      <vt:variant>
        <vt:lpwstr/>
      </vt:variant>
      <vt:variant>
        <vt:lpwstr>_Toc107838557</vt:lpwstr>
      </vt:variant>
      <vt:variant>
        <vt:i4>1179696</vt:i4>
      </vt:variant>
      <vt:variant>
        <vt:i4>437</vt:i4>
      </vt:variant>
      <vt:variant>
        <vt:i4>0</vt:i4>
      </vt:variant>
      <vt:variant>
        <vt:i4>5</vt:i4>
      </vt:variant>
      <vt:variant>
        <vt:lpwstr/>
      </vt:variant>
      <vt:variant>
        <vt:lpwstr>_Toc107838556</vt:lpwstr>
      </vt:variant>
      <vt:variant>
        <vt:i4>1179696</vt:i4>
      </vt:variant>
      <vt:variant>
        <vt:i4>431</vt:i4>
      </vt:variant>
      <vt:variant>
        <vt:i4>0</vt:i4>
      </vt:variant>
      <vt:variant>
        <vt:i4>5</vt:i4>
      </vt:variant>
      <vt:variant>
        <vt:lpwstr/>
      </vt:variant>
      <vt:variant>
        <vt:lpwstr>_Toc107838555</vt:lpwstr>
      </vt:variant>
      <vt:variant>
        <vt:i4>1179696</vt:i4>
      </vt:variant>
      <vt:variant>
        <vt:i4>425</vt:i4>
      </vt:variant>
      <vt:variant>
        <vt:i4>0</vt:i4>
      </vt:variant>
      <vt:variant>
        <vt:i4>5</vt:i4>
      </vt:variant>
      <vt:variant>
        <vt:lpwstr/>
      </vt:variant>
      <vt:variant>
        <vt:lpwstr>_Toc107838554</vt:lpwstr>
      </vt:variant>
      <vt:variant>
        <vt:i4>1179696</vt:i4>
      </vt:variant>
      <vt:variant>
        <vt:i4>419</vt:i4>
      </vt:variant>
      <vt:variant>
        <vt:i4>0</vt:i4>
      </vt:variant>
      <vt:variant>
        <vt:i4>5</vt:i4>
      </vt:variant>
      <vt:variant>
        <vt:lpwstr/>
      </vt:variant>
      <vt:variant>
        <vt:lpwstr>_Toc107838553</vt:lpwstr>
      </vt:variant>
      <vt:variant>
        <vt:i4>1179696</vt:i4>
      </vt:variant>
      <vt:variant>
        <vt:i4>413</vt:i4>
      </vt:variant>
      <vt:variant>
        <vt:i4>0</vt:i4>
      </vt:variant>
      <vt:variant>
        <vt:i4>5</vt:i4>
      </vt:variant>
      <vt:variant>
        <vt:lpwstr/>
      </vt:variant>
      <vt:variant>
        <vt:lpwstr>_Toc107838552</vt:lpwstr>
      </vt:variant>
      <vt:variant>
        <vt:i4>1179696</vt:i4>
      </vt:variant>
      <vt:variant>
        <vt:i4>407</vt:i4>
      </vt:variant>
      <vt:variant>
        <vt:i4>0</vt:i4>
      </vt:variant>
      <vt:variant>
        <vt:i4>5</vt:i4>
      </vt:variant>
      <vt:variant>
        <vt:lpwstr/>
      </vt:variant>
      <vt:variant>
        <vt:lpwstr>_Toc107838551</vt:lpwstr>
      </vt:variant>
      <vt:variant>
        <vt:i4>1179696</vt:i4>
      </vt:variant>
      <vt:variant>
        <vt:i4>401</vt:i4>
      </vt:variant>
      <vt:variant>
        <vt:i4>0</vt:i4>
      </vt:variant>
      <vt:variant>
        <vt:i4>5</vt:i4>
      </vt:variant>
      <vt:variant>
        <vt:lpwstr/>
      </vt:variant>
      <vt:variant>
        <vt:lpwstr>_Toc107838550</vt:lpwstr>
      </vt:variant>
      <vt:variant>
        <vt:i4>1245232</vt:i4>
      </vt:variant>
      <vt:variant>
        <vt:i4>395</vt:i4>
      </vt:variant>
      <vt:variant>
        <vt:i4>0</vt:i4>
      </vt:variant>
      <vt:variant>
        <vt:i4>5</vt:i4>
      </vt:variant>
      <vt:variant>
        <vt:lpwstr/>
      </vt:variant>
      <vt:variant>
        <vt:lpwstr>_Toc107838549</vt:lpwstr>
      </vt:variant>
      <vt:variant>
        <vt:i4>1245232</vt:i4>
      </vt:variant>
      <vt:variant>
        <vt:i4>389</vt:i4>
      </vt:variant>
      <vt:variant>
        <vt:i4>0</vt:i4>
      </vt:variant>
      <vt:variant>
        <vt:i4>5</vt:i4>
      </vt:variant>
      <vt:variant>
        <vt:lpwstr/>
      </vt:variant>
      <vt:variant>
        <vt:lpwstr>_Toc107838548</vt:lpwstr>
      </vt:variant>
      <vt:variant>
        <vt:i4>1245232</vt:i4>
      </vt:variant>
      <vt:variant>
        <vt:i4>383</vt:i4>
      </vt:variant>
      <vt:variant>
        <vt:i4>0</vt:i4>
      </vt:variant>
      <vt:variant>
        <vt:i4>5</vt:i4>
      </vt:variant>
      <vt:variant>
        <vt:lpwstr/>
      </vt:variant>
      <vt:variant>
        <vt:lpwstr>_Toc107838547</vt:lpwstr>
      </vt:variant>
      <vt:variant>
        <vt:i4>1245232</vt:i4>
      </vt:variant>
      <vt:variant>
        <vt:i4>377</vt:i4>
      </vt:variant>
      <vt:variant>
        <vt:i4>0</vt:i4>
      </vt:variant>
      <vt:variant>
        <vt:i4>5</vt:i4>
      </vt:variant>
      <vt:variant>
        <vt:lpwstr/>
      </vt:variant>
      <vt:variant>
        <vt:lpwstr>_Toc107838546</vt:lpwstr>
      </vt:variant>
      <vt:variant>
        <vt:i4>1245232</vt:i4>
      </vt:variant>
      <vt:variant>
        <vt:i4>371</vt:i4>
      </vt:variant>
      <vt:variant>
        <vt:i4>0</vt:i4>
      </vt:variant>
      <vt:variant>
        <vt:i4>5</vt:i4>
      </vt:variant>
      <vt:variant>
        <vt:lpwstr/>
      </vt:variant>
      <vt:variant>
        <vt:lpwstr>_Toc107838545</vt:lpwstr>
      </vt:variant>
      <vt:variant>
        <vt:i4>1245232</vt:i4>
      </vt:variant>
      <vt:variant>
        <vt:i4>365</vt:i4>
      </vt:variant>
      <vt:variant>
        <vt:i4>0</vt:i4>
      </vt:variant>
      <vt:variant>
        <vt:i4>5</vt:i4>
      </vt:variant>
      <vt:variant>
        <vt:lpwstr/>
      </vt:variant>
      <vt:variant>
        <vt:lpwstr>_Toc107838544</vt:lpwstr>
      </vt:variant>
      <vt:variant>
        <vt:i4>1245232</vt:i4>
      </vt:variant>
      <vt:variant>
        <vt:i4>359</vt:i4>
      </vt:variant>
      <vt:variant>
        <vt:i4>0</vt:i4>
      </vt:variant>
      <vt:variant>
        <vt:i4>5</vt:i4>
      </vt:variant>
      <vt:variant>
        <vt:lpwstr/>
      </vt:variant>
      <vt:variant>
        <vt:lpwstr>_Toc107838543</vt:lpwstr>
      </vt:variant>
      <vt:variant>
        <vt:i4>1245232</vt:i4>
      </vt:variant>
      <vt:variant>
        <vt:i4>353</vt:i4>
      </vt:variant>
      <vt:variant>
        <vt:i4>0</vt:i4>
      </vt:variant>
      <vt:variant>
        <vt:i4>5</vt:i4>
      </vt:variant>
      <vt:variant>
        <vt:lpwstr/>
      </vt:variant>
      <vt:variant>
        <vt:lpwstr>_Toc107838542</vt:lpwstr>
      </vt:variant>
      <vt:variant>
        <vt:i4>1245232</vt:i4>
      </vt:variant>
      <vt:variant>
        <vt:i4>347</vt:i4>
      </vt:variant>
      <vt:variant>
        <vt:i4>0</vt:i4>
      </vt:variant>
      <vt:variant>
        <vt:i4>5</vt:i4>
      </vt:variant>
      <vt:variant>
        <vt:lpwstr/>
      </vt:variant>
      <vt:variant>
        <vt:lpwstr>_Toc107838541</vt:lpwstr>
      </vt:variant>
      <vt:variant>
        <vt:i4>1245232</vt:i4>
      </vt:variant>
      <vt:variant>
        <vt:i4>341</vt:i4>
      </vt:variant>
      <vt:variant>
        <vt:i4>0</vt:i4>
      </vt:variant>
      <vt:variant>
        <vt:i4>5</vt:i4>
      </vt:variant>
      <vt:variant>
        <vt:lpwstr/>
      </vt:variant>
      <vt:variant>
        <vt:lpwstr>_Toc107838540</vt:lpwstr>
      </vt:variant>
      <vt:variant>
        <vt:i4>1310768</vt:i4>
      </vt:variant>
      <vt:variant>
        <vt:i4>335</vt:i4>
      </vt:variant>
      <vt:variant>
        <vt:i4>0</vt:i4>
      </vt:variant>
      <vt:variant>
        <vt:i4>5</vt:i4>
      </vt:variant>
      <vt:variant>
        <vt:lpwstr/>
      </vt:variant>
      <vt:variant>
        <vt:lpwstr>_Toc107838539</vt:lpwstr>
      </vt:variant>
      <vt:variant>
        <vt:i4>1310768</vt:i4>
      </vt:variant>
      <vt:variant>
        <vt:i4>329</vt:i4>
      </vt:variant>
      <vt:variant>
        <vt:i4>0</vt:i4>
      </vt:variant>
      <vt:variant>
        <vt:i4>5</vt:i4>
      </vt:variant>
      <vt:variant>
        <vt:lpwstr/>
      </vt:variant>
      <vt:variant>
        <vt:lpwstr>_Toc107838538</vt:lpwstr>
      </vt:variant>
      <vt:variant>
        <vt:i4>1310768</vt:i4>
      </vt:variant>
      <vt:variant>
        <vt:i4>323</vt:i4>
      </vt:variant>
      <vt:variant>
        <vt:i4>0</vt:i4>
      </vt:variant>
      <vt:variant>
        <vt:i4>5</vt:i4>
      </vt:variant>
      <vt:variant>
        <vt:lpwstr/>
      </vt:variant>
      <vt:variant>
        <vt:lpwstr>_Toc107838537</vt:lpwstr>
      </vt:variant>
      <vt:variant>
        <vt:i4>1310768</vt:i4>
      </vt:variant>
      <vt:variant>
        <vt:i4>317</vt:i4>
      </vt:variant>
      <vt:variant>
        <vt:i4>0</vt:i4>
      </vt:variant>
      <vt:variant>
        <vt:i4>5</vt:i4>
      </vt:variant>
      <vt:variant>
        <vt:lpwstr/>
      </vt:variant>
      <vt:variant>
        <vt:lpwstr>_Toc107838536</vt:lpwstr>
      </vt:variant>
      <vt:variant>
        <vt:i4>1310768</vt:i4>
      </vt:variant>
      <vt:variant>
        <vt:i4>311</vt:i4>
      </vt:variant>
      <vt:variant>
        <vt:i4>0</vt:i4>
      </vt:variant>
      <vt:variant>
        <vt:i4>5</vt:i4>
      </vt:variant>
      <vt:variant>
        <vt:lpwstr/>
      </vt:variant>
      <vt:variant>
        <vt:lpwstr>_Toc107838535</vt:lpwstr>
      </vt:variant>
      <vt:variant>
        <vt:i4>1310768</vt:i4>
      </vt:variant>
      <vt:variant>
        <vt:i4>305</vt:i4>
      </vt:variant>
      <vt:variant>
        <vt:i4>0</vt:i4>
      </vt:variant>
      <vt:variant>
        <vt:i4>5</vt:i4>
      </vt:variant>
      <vt:variant>
        <vt:lpwstr/>
      </vt:variant>
      <vt:variant>
        <vt:lpwstr>_Toc107838534</vt:lpwstr>
      </vt:variant>
      <vt:variant>
        <vt:i4>1310768</vt:i4>
      </vt:variant>
      <vt:variant>
        <vt:i4>299</vt:i4>
      </vt:variant>
      <vt:variant>
        <vt:i4>0</vt:i4>
      </vt:variant>
      <vt:variant>
        <vt:i4>5</vt:i4>
      </vt:variant>
      <vt:variant>
        <vt:lpwstr/>
      </vt:variant>
      <vt:variant>
        <vt:lpwstr>_Toc107838533</vt:lpwstr>
      </vt:variant>
      <vt:variant>
        <vt:i4>1310768</vt:i4>
      </vt:variant>
      <vt:variant>
        <vt:i4>293</vt:i4>
      </vt:variant>
      <vt:variant>
        <vt:i4>0</vt:i4>
      </vt:variant>
      <vt:variant>
        <vt:i4>5</vt:i4>
      </vt:variant>
      <vt:variant>
        <vt:lpwstr/>
      </vt:variant>
      <vt:variant>
        <vt:lpwstr>_Toc107838532</vt:lpwstr>
      </vt:variant>
      <vt:variant>
        <vt:i4>1310768</vt:i4>
      </vt:variant>
      <vt:variant>
        <vt:i4>287</vt:i4>
      </vt:variant>
      <vt:variant>
        <vt:i4>0</vt:i4>
      </vt:variant>
      <vt:variant>
        <vt:i4>5</vt:i4>
      </vt:variant>
      <vt:variant>
        <vt:lpwstr/>
      </vt:variant>
      <vt:variant>
        <vt:lpwstr>_Toc107838531</vt:lpwstr>
      </vt:variant>
      <vt:variant>
        <vt:i4>1310768</vt:i4>
      </vt:variant>
      <vt:variant>
        <vt:i4>281</vt:i4>
      </vt:variant>
      <vt:variant>
        <vt:i4>0</vt:i4>
      </vt:variant>
      <vt:variant>
        <vt:i4>5</vt:i4>
      </vt:variant>
      <vt:variant>
        <vt:lpwstr/>
      </vt:variant>
      <vt:variant>
        <vt:lpwstr>_Toc107838530</vt:lpwstr>
      </vt:variant>
      <vt:variant>
        <vt:i4>1376304</vt:i4>
      </vt:variant>
      <vt:variant>
        <vt:i4>275</vt:i4>
      </vt:variant>
      <vt:variant>
        <vt:i4>0</vt:i4>
      </vt:variant>
      <vt:variant>
        <vt:i4>5</vt:i4>
      </vt:variant>
      <vt:variant>
        <vt:lpwstr/>
      </vt:variant>
      <vt:variant>
        <vt:lpwstr>_Toc107838529</vt:lpwstr>
      </vt:variant>
      <vt:variant>
        <vt:i4>1376304</vt:i4>
      </vt:variant>
      <vt:variant>
        <vt:i4>269</vt:i4>
      </vt:variant>
      <vt:variant>
        <vt:i4>0</vt:i4>
      </vt:variant>
      <vt:variant>
        <vt:i4>5</vt:i4>
      </vt:variant>
      <vt:variant>
        <vt:lpwstr/>
      </vt:variant>
      <vt:variant>
        <vt:lpwstr>_Toc107838528</vt:lpwstr>
      </vt:variant>
      <vt:variant>
        <vt:i4>1376304</vt:i4>
      </vt:variant>
      <vt:variant>
        <vt:i4>263</vt:i4>
      </vt:variant>
      <vt:variant>
        <vt:i4>0</vt:i4>
      </vt:variant>
      <vt:variant>
        <vt:i4>5</vt:i4>
      </vt:variant>
      <vt:variant>
        <vt:lpwstr/>
      </vt:variant>
      <vt:variant>
        <vt:lpwstr>_Toc107838527</vt:lpwstr>
      </vt:variant>
      <vt:variant>
        <vt:i4>1376304</vt:i4>
      </vt:variant>
      <vt:variant>
        <vt:i4>257</vt:i4>
      </vt:variant>
      <vt:variant>
        <vt:i4>0</vt:i4>
      </vt:variant>
      <vt:variant>
        <vt:i4>5</vt:i4>
      </vt:variant>
      <vt:variant>
        <vt:lpwstr/>
      </vt:variant>
      <vt:variant>
        <vt:lpwstr>_Toc107838526</vt:lpwstr>
      </vt:variant>
      <vt:variant>
        <vt:i4>1376304</vt:i4>
      </vt:variant>
      <vt:variant>
        <vt:i4>251</vt:i4>
      </vt:variant>
      <vt:variant>
        <vt:i4>0</vt:i4>
      </vt:variant>
      <vt:variant>
        <vt:i4>5</vt:i4>
      </vt:variant>
      <vt:variant>
        <vt:lpwstr/>
      </vt:variant>
      <vt:variant>
        <vt:lpwstr>_Toc107838525</vt:lpwstr>
      </vt:variant>
      <vt:variant>
        <vt:i4>1376304</vt:i4>
      </vt:variant>
      <vt:variant>
        <vt:i4>245</vt:i4>
      </vt:variant>
      <vt:variant>
        <vt:i4>0</vt:i4>
      </vt:variant>
      <vt:variant>
        <vt:i4>5</vt:i4>
      </vt:variant>
      <vt:variant>
        <vt:lpwstr/>
      </vt:variant>
      <vt:variant>
        <vt:lpwstr>_Toc107838524</vt:lpwstr>
      </vt:variant>
      <vt:variant>
        <vt:i4>1572913</vt:i4>
      </vt:variant>
      <vt:variant>
        <vt:i4>236</vt:i4>
      </vt:variant>
      <vt:variant>
        <vt:i4>0</vt:i4>
      </vt:variant>
      <vt:variant>
        <vt:i4>5</vt:i4>
      </vt:variant>
      <vt:variant>
        <vt:lpwstr/>
      </vt:variant>
      <vt:variant>
        <vt:lpwstr>_Toc107851269</vt:lpwstr>
      </vt:variant>
      <vt:variant>
        <vt:i4>1572913</vt:i4>
      </vt:variant>
      <vt:variant>
        <vt:i4>230</vt:i4>
      </vt:variant>
      <vt:variant>
        <vt:i4>0</vt:i4>
      </vt:variant>
      <vt:variant>
        <vt:i4>5</vt:i4>
      </vt:variant>
      <vt:variant>
        <vt:lpwstr/>
      </vt:variant>
      <vt:variant>
        <vt:lpwstr>_Toc107851268</vt:lpwstr>
      </vt:variant>
      <vt:variant>
        <vt:i4>1572913</vt:i4>
      </vt:variant>
      <vt:variant>
        <vt:i4>224</vt:i4>
      </vt:variant>
      <vt:variant>
        <vt:i4>0</vt:i4>
      </vt:variant>
      <vt:variant>
        <vt:i4>5</vt:i4>
      </vt:variant>
      <vt:variant>
        <vt:lpwstr/>
      </vt:variant>
      <vt:variant>
        <vt:lpwstr>_Toc107851267</vt:lpwstr>
      </vt:variant>
      <vt:variant>
        <vt:i4>1572913</vt:i4>
      </vt:variant>
      <vt:variant>
        <vt:i4>218</vt:i4>
      </vt:variant>
      <vt:variant>
        <vt:i4>0</vt:i4>
      </vt:variant>
      <vt:variant>
        <vt:i4>5</vt:i4>
      </vt:variant>
      <vt:variant>
        <vt:lpwstr/>
      </vt:variant>
      <vt:variant>
        <vt:lpwstr>_Toc107851266</vt:lpwstr>
      </vt:variant>
      <vt:variant>
        <vt:i4>1572913</vt:i4>
      </vt:variant>
      <vt:variant>
        <vt:i4>212</vt:i4>
      </vt:variant>
      <vt:variant>
        <vt:i4>0</vt:i4>
      </vt:variant>
      <vt:variant>
        <vt:i4>5</vt:i4>
      </vt:variant>
      <vt:variant>
        <vt:lpwstr/>
      </vt:variant>
      <vt:variant>
        <vt:lpwstr>_Toc107851265</vt:lpwstr>
      </vt:variant>
      <vt:variant>
        <vt:i4>1572913</vt:i4>
      </vt:variant>
      <vt:variant>
        <vt:i4>206</vt:i4>
      </vt:variant>
      <vt:variant>
        <vt:i4>0</vt:i4>
      </vt:variant>
      <vt:variant>
        <vt:i4>5</vt:i4>
      </vt:variant>
      <vt:variant>
        <vt:lpwstr/>
      </vt:variant>
      <vt:variant>
        <vt:lpwstr>_Toc107851264</vt:lpwstr>
      </vt:variant>
      <vt:variant>
        <vt:i4>1572913</vt:i4>
      </vt:variant>
      <vt:variant>
        <vt:i4>200</vt:i4>
      </vt:variant>
      <vt:variant>
        <vt:i4>0</vt:i4>
      </vt:variant>
      <vt:variant>
        <vt:i4>5</vt:i4>
      </vt:variant>
      <vt:variant>
        <vt:lpwstr/>
      </vt:variant>
      <vt:variant>
        <vt:lpwstr>_Toc107851263</vt:lpwstr>
      </vt:variant>
      <vt:variant>
        <vt:i4>1572913</vt:i4>
      </vt:variant>
      <vt:variant>
        <vt:i4>194</vt:i4>
      </vt:variant>
      <vt:variant>
        <vt:i4>0</vt:i4>
      </vt:variant>
      <vt:variant>
        <vt:i4>5</vt:i4>
      </vt:variant>
      <vt:variant>
        <vt:lpwstr/>
      </vt:variant>
      <vt:variant>
        <vt:lpwstr>_Toc107851262</vt:lpwstr>
      </vt:variant>
      <vt:variant>
        <vt:i4>1572913</vt:i4>
      </vt:variant>
      <vt:variant>
        <vt:i4>188</vt:i4>
      </vt:variant>
      <vt:variant>
        <vt:i4>0</vt:i4>
      </vt:variant>
      <vt:variant>
        <vt:i4>5</vt:i4>
      </vt:variant>
      <vt:variant>
        <vt:lpwstr/>
      </vt:variant>
      <vt:variant>
        <vt:lpwstr>_Toc107851261</vt:lpwstr>
      </vt:variant>
      <vt:variant>
        <vt:i4>1572913</vt:i4>
      </vt:variant>
      <vt:variant>
        <vt:i4>182</vt:i4>
      </vt:variant>
      <vt:variant>
        <vt:i4>0</vt:i4>
      </vt:variant>
      <vt:variant>
        <vt:i4>5</vt:i4>
      </vt:variant>
      <vt:variant>
        <vt:lpwstr/>
      </vt:variant>
      <vt:variant>
        <vt:lpwstr>_Toc107851260</vt:lpwstr>
      </vt:variant>
      <vt:variant>
        <vt:i4>1769521</vt:i4>
      </vt:variant>
      <vt:variant>
        <vt:i4>176</vt:i4>
      </vt:variant>
      <vt:variant>
        <vt:i4>0</vt:i4>
      </vt:variant>
      <vt:variant>
        <vt:i4>5</vt:i4>
      </vt:variant>
      <vt:variant>
        <vt:lpwstr/>
      </vt:variant>
      <vt:variant>
        <vt:lpwstr>_Toc107851259</vt:lpwstr>
      </vt:variant>
      <vt:variant>
        <vt:i4>1769521</vt:i4>
      </vt:variant>
      <vt:variant>
        <vt:i4>170</vt:i4>
      </vt:variant>
      <vt:variant>
        <vt:i4>0</vt:i4>
      </vt:variant>
      <vt:variant>
        <vt:i4>5</vt:i4>
      </vt:variant>
      <vt:variant>
        <vt:lpwstr/>
      </vt:variant>
      <vt:variant>
        <vt:lpwstr>_Toc107851258</vt:lpwstr>
      </vt:variant>
      <vt:variant>
        <vt:i4>1769521</vt:i4>
      </vt:variant>
      <vt:variant>
        <vt:i4>164</vt:i4>
      </vt:variant>
      <vt:variant>
        <vt:i4>0</vt:i4>
      </vt:variant>
      <vt:variant>
        <vt:i4>5</vt:i4>
      </vt:variant>
      <vt:variant>
        <vt:lpwstr/>
      </vt:variant>
      <vt:variant>
        <vt:lpwstr>_Toc107851257</vt:lpwstr>
      </vt:variant>
      <vt:variant>
        <vt:i4>1769521</vt:i4>
      </vt:variant>
      <vt:variant>
        <vt:i4>158</vt:i4>
      </vt:variant>
      <vt:variant>
        <vt:i4>0</vt:i4>
      </vt:variant>
      <vt:variant>
        <vt:i4>5</vt:i4>
      </vt:variant>
      <vt:variant>
        <vt:lpwstr/>
      </vt:variant>
      <vt:variant>
        <vt:lpwstr>_Toc107851256</vt:lpwstr>
      </vt:variant>
      <vt:variant>
        <vt:i4>1769521</vt:i4>
      </vt:variant>
      <vt:variant>
        <vt:i4>152</vt:i4>
      </vt:variant>
      <vt:variant>
        <vt:i4>0</vt:i4>
      </vt:variant>
      <vt:variant>
        <vt:i4>5</vt:i4>
      </vt:variant>
      <vt:variant>
        <vt:lpwstr/>
      </vt:variant>
      <vt:variant>
        <vt:lpwstr>_Toc107851255</vt:lpwstr>
      </vt:variant>
      <vt:variant>
        <vt:i4>1769521</vt:i4>
      </vt:variant>
      <vt:variant>
        <vt:i4>146</vt:i4>
      </vt:variant>
      <vt:variant>
        <vt:i4>0</vt:i4>
      </vt:variant>
      <vt:variant>
        <vt:i4>5</vt:i4>
      </vt:variant>
      <vt:variant>
        <vt:lpwstr/>
      </vt:variant>
      <vt:variant>
        <vt:lpwstr>_Toc107851254</vt:lpwstr>
      </vt:variant>
      <vt:variant>
        <vt:i4>1769521</vt:i4>
      </vt:variant>
      <vt:variant>
        <vt:i4>140</vt:i4>
      </vt:variant>
      <vt:variant>
        <vt:i4>0</vt:i4>
      </vt:variant>
      <vt:variant>
        <vt:i4>5</vt:i4>
      </vt:variant>
      <vt:variant>
        <vt:lpwstr/>
      </vt:variant>
      <vt:variant>
        <vt:lpwstr>_Toc107851253</vt:lpwstr>
      </vt:variant>
      <vt:variant>
        <vt:i4>1769521</vt:i4>
      </vt:variant>
      <vt:variant>
        <vt:i4>134</vt:i4>
      </vt:variant>
      <vt:variant>
        <vt:i4>0</vt:i4>
      </vt:variant>
      <vt:variant>
        <vt:i4>5</vt:i4>
      </vt:variant>
      <vt:variant>
        <vt:lpwstr/>
      </vt:variant>
      <vt:variant>
        <vt:lpwstr>_Toc107851252</vt:lpwstr>
      </vt:variant>
      <vt:variant>
        <vt:i4>1769521</vt:i4>
      </vt:variant>
      <vt:variant>
        <vt:i4>128</vt:i4>
      </vt:variant>
      <vt:variant>
        <vt:i4>0</vt:i4>
      </vt:variant>
      <vt:variant>
        <vt:i4>5</vt:i4>
      </vt:variant>
      <vt:variant>
        <vt:lpwstr/>
      </vt:variant>
      <vt:variant>
        <vt:lpwstr>_Toc107851251</vt:lpwstr>
      </vt:variant>
      <vt:variant>
        <vt:i4>1769521</vt:i4>
      </vt:variant>
      <vt:variant>
        <vt:i4>122</vt:i4>
      </vt:variant>
      <vt:variant>
        <vt:i4>0</vt:i4>
      </vt:variant>
      <vt:variant>
        <vt:i4>5</vt:i4>
      </vt:variant>
      <vt:variant>
        <vt:lpwstr/>
      </vt:variant>
      <vt:variant>
        <vt:lpwstr>_Toc107851250</vt:lpwstr>
      </vt:variant>
      <vt:variant>
        <vt:i4>1703985</vt:i4>
      </vt:variant>
      <vt:variant>
        <vt:i4>116</vt:i4>
      </vt:variant>
      <vt:variant>
        <vt:i4>0</vt:i4>
      </vt:variant>
      <vt:variant>
        <vt:i4>5</vt:i4>
      </vt:variant>
      <vt:variant>
        <vt:lpwstr/>
      </vt:variant>
      <vt:variant>
        <vt:lpwstr>_Toc107851249</vt:lpwstr>
      </vt:variant>
      <vt:variant>
        <vt:i4>1703985</vt:i4>
      </vt:variant>
      <vt:variant>
        <vt:i4>110</vt:i4>
      </vt:variant>
      <vt:variant>
        <vt:i4>0</vt:i4>
      </vt:variant>
      <vt:variant>
        <vt:i4>5</vt:i4>
      </vt:variant>
      <vt:variant>
        <vt:lpwstr/>
      </vt:variant>
      <vt:variant>
        <vt:lpwstr>_Toc107851248</vt:lpwstr>
      </vt:variant>
      <vt:variant>
        <vt:i4>1703985</vt:i4>
      </vt:variant>
      <vt:variant>
        <vt:i4>104</vt:i4>
      </vt:variant>
      <vt:variant>
        <vt:i4>0</vt:i4>
      </vt:variant>
      <vt:variant>
        <vt:i4>5</vt:i4>
      </vt:variant>
      <vt:variant>
        <vt:lpwstr/>
      </vt:variant>
      <vt:variant>
        <vt:lpwstr>_Toc107851247</vt:lpwstr>
      </vt:variant>
      <vt:variant>
        <vt:i4>1703985</vt:i4>
      </vt:variant>
      <vt:variant>
        <vt:i4>98</vt:i4>
      </vt:variant>
      <vt:variant>
        <vt:i4>0</vt:i4>
      </vt:variant>
      <vt:variant>
        <vt:i4>5</vt:i4>
      </vt:variant>
      <vt:variant>
        <vt:lpwstr/>
      </vt:variant>
      <vt:variant>
        <vt:lpwstr>_Toc107851246</vt:lpwstr>
      </vt:variant>
      <vt:variant>
        <vt:i4>1703985</vt:i4>
      </vt:variant>
      <vt:variant>
        <vt:i4>92</vt:i4>
      </vt:variant>
      <vt:variant>
        <vt:i4>0</vt:i4>
      </vt:variant>
      <vt:variant>
        <vt:i4>5</vt:i4>
      </vt:variant>
      <vt:variant>
        <vt:lpwstr/>
      </vt:variant>
      <vt:variant>
        <vt:lpwstr>_Toc107851245</vt:lpwstr>
      </vt:variant>
      <vt:variant>
        <vt:i4>1703985</vt:i4>
      </vt:variant>
      <vt:variant>
        <vt:i4>86</vt:i4>
      </vt:variant>
      <vt:variant>
        <vt:i4>0</vt:i4>
      </vt:variant>
      <vt:variant>
        <vt:i4>5</vt:i4>
      </vt:variant>
      <vt:variant>
        <vt:lpwstr/>
      </vt:variant>
      <vt:variant>
        <vt:lpwstr>_Toc107851244</vt:lpwstr>
      </vt:variant>
      <vt:variant>
        <vt:i4>1703985</vt:i4>
      </vt:variant>
      <vt:variant>
        <vt:i4>80</vt:i4>
      </vt:variant>
      <vt:variant>
        <vt:i4>0</vt:i4>
      </vt:variant>
      <vt:variant>
        <vt:i4>5</vt:i4>
      </vt:variant>
      <vt:variant>
        <vt:lpwstr/>
      </vt:variant>
      <vt:variant>
        <vt:lpwstr>_Toc107851243</vt:lpwstr>
      </vt:variant>
      <vt:variant>
        <vt:i4>1703985</vt:i4>
      </vt:variant>
      <vt:variant>
        <vt:i4>74</vt:i4>
      </vt:variant>
      <vt:variant>
        <vt:i4>0</vt:i4>
      </vt:variant>
      <vt:variant>
        <vt:i4>5</vt:i4>
      </vt:variant>
      <vt:variant>
        <vt:lpwstr/>
      </vt:variant>
      <vt:variant>
        <vt:lpwstr>_Toc107851242</vt:lpwstr>
      </vt:variant>
      <vt:variant>
        <vt:i4>1703985</vt:i4>
      </vt:variant>
      <vt:variant>
        <vt:i4>68</vt:i4>
      </vt:variant>
      <vt:variant>
        <vt:i4>0</vt:i4>
      </vt:variant>
      <vt:variant>
        <vt:i4>5</vt:i4>
      </vt:variant>
      <vt:variant>
        <vt:lpwstr/>
      </vt:variant>
      <vt:variant>
        <vt:lpwstr>_Toc107851241</vt:lpwstr>
      </vt:variant>
      <vt:variant>
        <vt:i4>1703985</vt:i4>
      </vt:variant>
      <vt:variant>
        <vt:i4>62</vt:i4>
      </vt:variant>
      <vt:variant>
        <vt:i4>0</vt:i4>
      </vt:variant>
      <vt:variant>
        <vt:i4>5</vt:i4>
      </vt:variant>
      <vt:variant>
        <vt:lpwstr/>
      </vt:variant>
      <vt:variant>
        <vt:lpwstr>_Toc107851240</vt:lpwstr>
      </vt:variant>
      <vt:variant>
        <vt:i4>1900593</vt:i4>
      </vt:variant>
      <vt:variant>
        <vt:i4>56</vt:i4>
      </vt:variant>
      <vt:variant>
        <vt:i4>0</vt:i4>
      </vt:variant>
      <vt:variant>
        <vt:i4>5</vt:i4>
      </vt:variant>
      <vt:variant>
        <vt:lpwstr/>
      </vt:variant>
      <vt:variant>
        <vt:lpwstr>_Toc107851239</vt:lpwstr>
      </vt:variant>
      <vt:variant>
        <vt:i4>1900593</vt:i4>
      </vt:variant>
      <vt:variant>
        <vt:i4>50</vt:i4>
      </vt:variant>
      <vt:variant>
        <vt:i4>0</vt:i4>
      </vt:variant>
      <vt:variant>
        <vt:i4>5</vt:i4>
      </vt:variant>
      <vt:variant>
        <vt:lpwstr/>
      </vt:variant>
      <vt:variant>
        <vt:lpwstr>_Toc107851238</vt:lpwstr>
      </vt:variant>
      <vt:variant>
        <vt:i4>1900593</vt:i4>
      </vt:variant>
      <vt:variant>
        <vt:i4>44</vt:i4>
      </vt:variant>
      <vt:variant>
        <vt:i4>0</vt:i4>
      </vt:variant>
      <vt:variant>
        <vt:i4>5</vt:i4>
      </vt:variant>
      <vt:variant>
        <vt:lpwstr/>
      </vt:variant>
      <vt:variant>
        <vt:lpwstr>_Toc107851237</vt:lpwstr>
      </vt:variant>
      <vt:variant>
        <vt:i4>1900593</vt:i4>
      </vt:variant>
      <vt:variant>
        <vt:i4>38</vt:i4>
      </vt:variant>
      <vt:variant>
        <vt:i4>0</vt:i4>
      </vt:variant>
      <vt:variant>
        <vt:i4>5</vt:i4>
      </vt:variant>
      <vt:variant>
        <vt:lpwstr/>
      </vt:variant>
      <vt:variant>
        <vt:lpwstr>_Toc107851236</vt:lpwstr>
      </vt:variant>
      <vt:variant>
        <vt:i4>1900593</vt:i4>
      </vt:variant>
      <vt:variant>
        <vt:i4>32</vt:i4>
      </vt:variant>
      <vt:variant>
        <vt:i4>0</vt:i4>
      </vt:variant>
      <vt:variant>
        <vt:i4>5</vt:i4>
      </vt:variant>
      <vt:variant>
        <vt:lpwstr/>
      </vt:variant>
      <vt:variant>
        <vt:lpwstr>_Toc107851235</vt:lpwstr>
      </vt:variant>
      <vt:variant>
        <vt:i4>1900593</vt:i4>
      </vt:variant>
      <vt:variant>
        <vt:i4>26</vt:i4>
      </vt:variant>
      <vt:variant>
        <vt:i4>0</vt:i4>
      </vt:variant>
      <vt:variant>
        <vt:i4>5</vt:i4>
      </vt:variant>
      <vt:variant>
        <vt:lpwstr/>
      </vt:variant>
      <vt:variant>
        <vt:lpwstr>_Toc107851234</vt:lpwstr>
      </vt:variant>
      <vt:variant>
        <vt:i4>1900593</vt:i4>
      </vt:variant>
      <vt:variant>
        <vt:i4>20</vt:i4>
      </vt:variant>
      <vt:variant>
        <vt:i4>0</vt:i4>
      </vt:variant>
      <vt:variant>
        <vt:i4>5</vt:i4>
      </vt:variant>
      <vt:variant>
        <vt:lpwstr/>
      </vt:variant>
      <vt:variant>
        <vt:lpwstr>_Toc107851233</vt:lpwstr>
      </vt:variant>
      <vt:variant>
        <vt:i4>1900593</vt:i4>
      </vt:variant>
      <vt:variant>
        <vt:i4>14</vt:i4>
      </vt:variant>
      <vt:variant>
        <vt:i4>0</vt:i4>
      </vt:variant>
      <vt:variant>
        <vt:i4>5</vt:i4>
      </vt:variant>
      <vt:variant>
        <vt:lpwstr/>
      </vt:variant>
      <vt:variant>
        <vt:lpwstr>_Toc107851232</vt:lpwstr>
      </vt:variant>
      <vt:variant>
        <vt:i4>1900593</vt:i4>
      </vt:variant>
      <vt:variant>
        <vt:i4>8</vt:i4>
      </vt:variant>
      <vt:variant>
        <vt:i4>0</vt:i4>
      </vt:variant>
      <vt:variant>
        <vt:i4>5</vt:i4>
      </vt:variant>
      <vt:variant>
        <vt:lpwstr/>
      </vt:variant>
      <vt:variant>
        <vt:lpwstr>_Toc107851231</vt:lpwstr>
      </vt:variant>
      <vt:variant>
        <vt:i4>1900593</vt:i4>
      </vt:variant>
      <vt:variant>
        <vt:i4>2</vt:i4>
      </vt:variant>
      <vt:variant>
        <vt:i4>0</vt:i4>
      </vt:variant>
      <vt:variant>
        <vt:i4>5</vt:i4>
      </vt:variant>
      <vt:variant>
        <vt:lpwstr/>
      </vt:variant>
      <vt:variant>
        <vt:lpwstr>_Toc107851230</vt:lpwstr>
      </vt:variant>
      <vt:variant>
        <vt:i4>262158</vt:i4>
      </vt:variant>
      <vt:variant>
        <vt:i4>144</vt:i4>
      </vt:variant>
      <vt:variant>
        <vt:i4>0</vt:i4>
      </vt:variant>
      <vt:variant>
        <vt:i4>5</vt:i4>
      </vt:variant>
      <vt:variant>
        <vt:lpwstr>https://www.who.int/news-room/fact-sheets/detail/mental-disorders</vt:lpwstr>
      </vt:variant>
      <vt:variant>
        <vt:lpwstr/>
      </vt:variant>
      <vt:variant>
        <vt:i4>524305</vt:i4>
      </vt:variant>
      <vt:variant>
        <vt:i4>141</vt:i4>
      </vt:variant>
      <vt:variant>
        <vt:i4>0</vt:i4>
      </vt:variant>
      <vt:variant>
        <vt:i4>5</vt:i4>
      </vt:variant>
      <vt:variant>
        <vt:lpwstr>https://www.closingthegap.gov.au/national-agreement/national-agreement-closing-the-gap/1-preamble</vt:lpwstr>
      </vt:variant>
      <vt:variant>
        <vt:lpwstr/>
      </vt:variant>
      <vt:variant>
        <vt:i4>7667769</vt:i4>
      </vt:variant>
      <vt:variant>
        <vt:i4>138</vt:i4>
      </vt:variant>
      <vt:variant>
        <vt:i4>0</vt:i4>
      </vt:variant>
      <vt:variant>
        <vt:i4>5</vt:i4>
      </vt:variant>
      <vt:variant>
        <vt:lpwstr>https://doi.org/10.1071/AH21189</vt:lpwstr>
      </vt:variant>
      <vt:variant>
        <vt:lpwstr/>
      </vt:variant>
      <vt:variant>
        <vt:i4>1441810</vt:i4>
      </vt:variant>
      <vt:variant>
        <vt:i4>135</vt:i4>
      </vt:variant>
      <vt:variant>
        <vt:i4>0</vt:i4>
      </vt:variant>
      <vt:variant>
        <vt:i4>5</vt:i4>
      </vt:variant>
      <vt:variant>
        <vt:lpwstr>https://www.ranzcp.org/news-policy/policy-and-advocacy/position-statements/mental-health-needs-lgbtiq</vt:lpwstr>
      </vt:variant>
      <vt:variant>
        <vt:lpwstr/>
      </vt:variant>
      <vt:variant>
        <vt:i4>458827</vt:i4>
      </vt:variant>
      <vt:variant>
        <vt:i4>132</vt:i4>
      </vt:variant>
      <vt:variant>
        <vt:i4>0</vt:i4>
      </vt:variant>
      <vt:variant>
        <vt:i4>5</vt:i4>
      </vt:variant>
      <vt:variant>
        <vt:lpwstr>https://www.aihw.gov.au/reports/disability/people-with-disability-in-australia/contents/health/access-to-health-services</vt:lpwstr>
      </vt:variant>
      <vt:variant>
        <vt:lpwstr/>
      </vt:variant>
      <vt:variant>
        <vt:i4>720976</vt:i4>
      </vt:variant>
      <vt:variant>
        <vt:i4>129</vt:i4>
      </vt:variant>
      <vt:variant>
        <vt:i4>0</vt:i4>
      </vt:variant>
      <vt:variant>
        <vt:i4>5</vt:i4>
      </vt:variant>
      <vt:variant>
        <vt:lpwstr>https://www.mentalhealthcommission.gov.au/getmedia/0209d27b-1873-4245-b6e5-49e770084b81/Fifth-National-Mental-Health-and-Suicide-Prevention-Plan.pdf</vt:lpwstr>
      </vt:variant>
      <vt:variant>
        <vt:lpwstr/>
      </vt:variant>
      <vt:variant>
        <vt:i4>1114127</vt:i4>
      </vt:variant>
      <vt:variant>
        <vt:i4>126</vt:i4>
      </vt:variant>
      <vt:variant>
        <vt:i4>0</vt:i4>
      </vt:variant>
      <vt:variant>
        <vt:i4>5</vt:i4>
      </vt:variant>
      <vt:variant>
        <vt:lpwstr>https://www.wqphn.com.au/uploads/documents/Mental Health IAR/National IAR State of Play Report 2020 Final.pdf</vt:lpwstr>
      </vt:variant>
      <vt:variant>
        <vt:lpwstr/>
      </vt:variant>
      <vt:variant>
        <vt:i4>8126537</vt:i4>
      </vt:variant>
      <vt:variant>
        <vt:i4>123</vt:i4>
      </vt:variant>
      <vt:variant>
        <vt:i4>0</vt:i4>
      </vt:variant>
      <vt:variant>
        <vt:i4>5</vt:i4>
      </vt:variant>
      <vt:variant>
        <vt:lpwstr>https://federalfinancialrelations.gov.au/sites/federalfinancialrelations.gov.au/files/2022-05/nmh_suicide_prevention_agreement.pdf</vt:lpwstr>
      </vt:variant>
      <vt:variant>
        <vt:lpwstr/>
      </vt:variant>
      <vt:variant>
        <vt:i4>65566</vt:i4>
      </vt:variant>
      <vt:variant>
        <vt:i4>120</vt:i4>
      </vt:variant>
      <vt:variant>
        <vt:i4>0</vt:i4>
      </vt:variant>
      <vt:variant>
        <vt:i4>5</vt:i4>
      </vt:variant>
      <vt:variant>
        <vt:lpwstr>https://ctgreport.niaa.gov.au/sites/default/files/pdf/closing-the-gap-report-2020.pdf</vt:lpwstr>
      </vt:variant>
      <vt:variant>
        <vt:lpwstr/>
      </vt:variant>
      <vt:variant>
        <vt:i4>655450</vt:i4>
      </vt:variant>
      <vt:variant>
        <vt:i4>117</vt:i4>
      </vt:variant>
      <vt:variant>
        <vt:i4>0</vt:i4>
      </vt:variant>
      <vt:variant>
        <vt:i4>5</vt:i4>
      </vt:variant>
      <vt:variant>
        <vt:lpwstr>https://cbpatsisp.com.au/clearing-house/best-practice-screening-assessment/mental-health-assessment/</vt:lpwstr>
      </vt:variant>
      <vt:variant>
        <vt:lpwstr/>
      </vt:variant>
      <vt:variant>
        <vt:i4>65566</vt:i4>
      </vt:variant>
      <vt:variant>
        <vt:i4>114</vt:i4>
      </vt:variant>
      <vt:variant>
        <vt:i4>0</vt:i4>
      </vt:variant>
      <vt:variant>
        <vt:i4>5</vt:i4>
      </vt:variant>
      <vt:variant>
        <vt:lpwstr>https://ctgreport.niaa.gov.au/sites/default/files/pdf/closing-the-gap-report-2020.pdf</vt:lpwstr>
      </vt:variant>
      <vt:variant>
        <vt:lpwstr/>
      </vt:variant>
      <vt:variant>
        <vt:i4>7143531</vt:i4>
      </vt:variant>
      <vt:variant>
        <vt:i4>111</vt:i4>
      </vt:variant>
      <vt:variant>
        <vt:i4>0</vt:i4>
      </vt:variant>
      <vt:variant>
        <vt:i4>5</vt:i4>
      </vt:variant>
      <vt:variant>
        <vt:lpwstr>https://journals.plos.org/plosone/article?id=10.1371/journal.pone.0249902</vt:lpwstr>
      </vt:variant>
      <vt:variant>
        <vt:lpwstr>sec013</vt:lpwstr>
      </vt:variant>
      <vt:variant>
        <vt:i4>262158</vt:i4>
      </vt:variant>
      <vt:variant>
        <vt:i4>102</vt:i4>
      </vt:variant>
      <vt:variant>
        <vt:i4>0</vt:i4>
      </vt:variant>
      <vt:variant>
        <vt:i4>5</vt:i4>
      </vt:variant>
      <vt:variant>
        <vt:lpwstr>https://www.who.int/news-room/fact-sheets/detail/mental-disorders</vt:lpwstr>
      </vt:variant>
      <vt:variant>
        <vt:lpwstr/>
      </vt:variant>
      <vt:variant>
        <vt:i4>524305</vt:i4>
      </vt:variant>
      <vt:variant>
        <vt:i4>99</vt:i4>
      </vt:variant>
      <vt:variant>
        <vt:i4>0</vt:i4>
      </vt:variant>
      <vt:variant>
        <vt:i4>5</vt:i4>
      </vt:variant>
      <vt:variant>
        <vt:lpwstr>https://www.closingthegap.gov.au/national-agreement/national-agreement-closing-the-gap/1-preamble</vt:lpwstr>
      </vt:variant>
      <vt:variant>
        <vt:lpwstr/>
      </vt:variant>
      <vt:variant>
        <vt:i4>7667769</vt:i4>
      </vt:variant>
      <vt:variant>
        <vt:i4>96</vt:i4>
      </vt:variant>
      <vt:variant>
        <vt:i4>0</vt:i4>
      </vt:variant>
      <vt:variant>
        <vt:i4>5</vt:i4>
      </vt:variant>
      <vt:variant>
        <vt:lpwstr>https://doi.org/10.1071/AH21189</vt:lpwstr>
      </vt:variant>
      <vt:variant>
        <vt:lpwstr/>
      </vt:variant>
      <vt:variant>
        <vt:i4>1441810</vt:i4>
      </vt:variant>
      <vt:variant>
        <vt:i4>93</vt:i4>
      </vt:variant>
      <vt:variant>
        <vt:i4>0</vt:i4>
      </vt:variant>
      <vt:variant>
        <vt:i4>5</vt:i4>
      </vt:variant>
      <vt:variant>
        <vt:lpwstr>https://www.ranzcp.org/news-policy/policy-and-advocacy/position-statements/mental-health-needs-lgbtiq</vt:lpwstr>
      </vt:variant>
      <vt:variant>
        <vt:lpwstr/>
      </vt:variant>
      <vt:variant>
        <vt:i4>458827</vt:i4>
      </vt:variant>
      <vt:variant>
        <vt:i4>90</vt:i4>
      </vt:variant>
      <vt:variant>
        <vt:i4>0</vt:i4>
      </vt:variant>
      <vt:variant>
        <vt:i4>5</vt:i4>
      </vt:variant>
      <vt:variant>
        <vt:lpwstr>https://www.aihw.gov.au/reports/disability/people-with-disability-in-australia/contents/health/access-to-health-services</vt:lpwstr>
      </vt:variant>
      <vt:variant>
        <vt:lpwstr/>
      </vt:variant>
      <vt:variant>
        <vt:i4>6553717</vt:i4>
      </vt:variant>
      <vt:variant>
        <vt:i4>87</vt:i4>
      </vt:variant>
      <vt:variant>
        <vt:i4>0</vt:i4>
      </vt:variant>
      <vt:variant>
        <vt:i4>5</vt:i4>
      </vt:variant>
      <vt:variant>
        <vt:lpwstr>https://headspace.org.au/assets/headspace-centre-young-person-follow-up-study-Sept-2019.PDF</vt:lpwstr>
      </vt:variant>
      <vt:variant>
        <vt:lpwstr/>
      </vt:variant>
      <vt:variant>
        <vt:i4>1376351</vt:i4>
      </vt:variant>
      <vt:variant>
        <vt:i4>84</vt:i4>
      </vt:variant>
      <vt:variant>
        <vt:i4>0</vt:i4>
      </vt:variant>
      <vt:variant>
        <vt:i4>5</vt:i4>
      </vt:variant>
      <vt:variant>
        <vt:lpwstr>https://headspace.org.au/assets/Uploads/COVID-Client-Impact-Report-FINAL-11-8-20.pdf</vt:lpwstr>
      </vt:variant>
      <vt:variant>
        <vt:lpwstr/>
      </vt:variant>
      <vt:variant>
        <vt:i4>30</vt:i4>
      </vt:variant>
      <vt:variant>
        <vt:i4>81</vt:i4>
      </vt:variant>
      <vt:variant>
        <vt:i4>0</vt:i4>
      </vt:variant>
      <vt:variant>
        <vt:i4>5</vt:i4>
      </vt:variant>
      <vt:variant>
        <vt:lpwstr>https://headspace.org.au/assets/Uploads/Telehealth-Staff-Experience-FINAL-8-10-20.pdf</vt:lpwstr>
      </vt:variant>
      <vt:variant>
        <vt:lpwstr/>
      </vt:variant>
      <vt:variant>
        <vt:i4>2621487</vt:i4>
      </vt:variant>
      <vt:variant>
        <vt:i4>78</vt:i4>
      </vt:variant>
      <vt:variant>
        <vt:i4>0</vt:i4>
      </vt:variant>
      <vt:variant>
        <vt:i4>5</vt:i4>
      </vt:variant>
      <vt:variant>
        <vt:lpwstr>https://headspace.org.au/assets/Uploads/Telehealth-Client-Experience-FINAL-8-10-20.pdf</vt:lpwstr>
      </vt:variant>
      <vt:variant>
        <vt:lpwstr/>
      </vt:variant>
      <vt:variant>
        <vt:i4>983120</vt:i4>
      </vt:variant>
      <vt:variant>
        <vt:i4>75</vt:i4>
      </vt:variant>
      <vt:variant>
        <vt:i4>0</vt:i4>
      </vt:variant>
      <vt:variant>
        <vt:i4>5</vt:i4>
      </vt:variant>
      <vt:variant>
        <vt:lpwstr>https://pmhc-mds.com/</vt:lpwstr>
      </vt:variant>
      <vt:variant>
        <vt:lpwstr/>
      </vt:variant>
      <vt:variant>
        <vt:i4>983120</vt:i4>
      </vt:variant>
      <vt:variant>
        <vt:i4>72</vt:i4>
      </vt:variant>
      <vt:variant>
        <vt:i4>0</vt:i4>
      </vt:variant>
      <vt:variant>
        <vt:i4>5</vt:i4>
      </vt:variant>
      <vt:variant>
        <vt:lpwstr>https://pmhc-mds.com/</vt:lpwstr>
      </vt:variant>
      <vt:variant>
        <vt:lpwstr/>
      </vt:variant>
      <vt:variant>
        <vt:i4>2556015</vt:i4>
      </vt:variant>
      <vt:variant>
        <vt:i4>69</vt:i4>
      </vt:variant>
      <vt:variant>
        <vt:i4>0</vt:i4>
      </vt:variant>
      <vt:variant>
        <vt:i4>5</vt:i4>
      </vt:variant>
      <vt:variant>
        <vt:lpwstr>https://headspace.org.au/about-us/evaluation-research-reports/</vt:lpwstr>
      </vt:variant>
      <vt:variant>
        <vt:lpwstr/>
      </vt:variant>
      <vt:variant>
        <vt:i4>1245288</vt:i4>
      </vt:variant>
      <vt:variant>
        <vt:i4>66</vt:i4>
      </vt:variant>
      <vt:variant>
        <vt:i4>0</vt:i4>
      </vt:variant>
      <vt:variant>
        <vt:i4>5</vt:i4>
      </vt:variant>
      <vt:variant>
        <vt:lpwstr>https://www.dss.gov.au/sites/default/files/documents/08_2019/individual-placement-and-support-trial-evaluation-report-june-2019.pdf</vt:lpwstr>
      </vt:variant>
      <vt:variant>
        <vt:lpwstr/>
      </vt:variant>
      <vt:variant>
        <vt:i4>262172</vt:i4>
      </vt:variant>
      <vt:variant>
        <vt:i4>60</vt:i4>
      </vt:variant>
      <vt:variant>
        <vt:i4>0</vt:i4>
      </vt:variant>
      <vt:variant>
        <vt:i4>5</vt:i4>
      </vt:variant>
      <vt:variant>
        <vt:lpwstr>https://au.reachout.com/</vt:lpwstr>
      </vt:variant>
      <vt:variant>
        <vt:lpwstr/>
      </vt:variant>
      <vt:variant>
        <vt:i4>3080250</vt:i4>
      </vt:variant>
      <vt:variant>
        <vt:i4>57</vt:i4>
      </vt:variant>
      <vt:variant>
        <vt:i4>0</vt:i4>
      </vt:variant>
      <vt:variant>
        <vt:i4>5</vt:i4>
      </vt:variant>
      <vt:variant>
        <vt:lpwstr>https://lifelinedirect.org.au/</vt:lpwstr>
      </vt:variant>
      <vt:variant>
        <vt:lpwstr/>
      </vt:variant>
      <vt:variant>
        <vt:i4>5374035</vt:i4>
      </vt:variant>
      <vt:variant>
        <vt:i4>54</vt:i4>
      </vt:variant>
      <vt:variant>
        <vt:i4>0</vt:i4>
      </vt:variant>
      <vt:variant>
        <vt:i4>5</vt:i4>
      </vt:variant>
      <vt:variant>
        <vt:lpwstr>https://kidshelpline.com.au/</vt:lpwstr>
      </vt:variant>
      <vt:variant>
        <vt:lpwstr/>
      </vt:variant>
      <vt:variant>
        <vt:i4>6684708</vt:i4>
      </vt:variant>
      <vt:variant>
        <vt:i4>51</vt:i4>
      </vt:variant>
      <vt:variant>
        <vt:i4>0</vt:i4>
      </vt:variant>
      <vt:variant>
        <vt:i4>5</vt:i4>
      </vt:variant>
      <vt:variant>
        <vt:lpwstr>https://www.batyr.com.au/what-is-batyr/</vt:lpwstr>
      </vt:variant>
      <vt:variant>
        <vt:lpwstr/>
      </vt:variant>
      <vt:variant>
        <vt:i4>655455</vt:i4>
      </vt:variant>
      <vt:variant>
        <vt:i4>48</vt:i4>
      </vt:variant>
      <vt:variant>
        <vt:i4>0</vt:i4>
      </vt:variant>
      <vt:variant>
        <vt:i4>5</vt:i4>
      </vt:variant>
      <vt:variant>
        <vt:lpwstr>https://beyou.edu.au/</vt:lpwstr>
      </vt:variant>
      <vt:variant>
        <vt:lpwstr/>
      </vt:variant>
      <vt:variant>
        <vt:i4>1835020</vt:i4>
      </vt:variant>
      <vt:variant>
        <vt:i4>45</vt:i4>
      </vt:variant>
      <vt:variant>
        <vt:i4>0</vt:i4>
      </vt:variant>
      <vt:variant>
        <vt:i4>5</vt:i4>
      </vt:variant>
      <vt:variant>
        <vt:lpwstr>https://headspace.org.au/our-organisation/who-we-are/</vt:lpwstr>
      </vt:variant>
      <vt:variant>
        <vt:lpwstr/>
      </vt:variant>
      <vt:variant>
        <vt:i4>7667724</vt:i4>
      </vt:variant>
      <vt:variant>
        <vt:i4>42</vt:i4>
      </vt:variant>
      <vt:variant>
        <vt:i4>0</vt:i4>
      </vt:variant>
      <vt:variant>
        <vt:i4>5</vt:i4>
      </vt:variant>
      <vt:variant>
        <vt:lpwstr>https://headspace.org.au/assets/HSP10755_Annual-Report-2020_FA02_DIGI.pdf</vt:lpwstr>
      </vt:variant>
      <vt:variant>
        <vt:lpwstr/>
      </vt:variant>
      <vt:variant>
        <vt:i4>5570650</vt:i4>
      </vt:variant>
      <vt:variant>
        <vt:i4>39</vt:i4>
      </vt:variant>
      <vt:variant>
        <vt:i4>0</vt:i4>
      </vt:variant>
      <vt:variant>
        <vt:i4>5</vt:i4>
      </vt:variant>
      <vt:variant>
        <vt:lpwstr>https://www.health.gov.au/sites/default/files/documents/2021/05/budget-2021-22-portfolio-budget-statements-budget-2021-22-health-portfolio-budget-statements.pdf</vt:lpwstr>
      </vt:variant>
      <vt:variant>
        <vt:lpwstr/>
      </vt:variant>
      <vt:variant>
        <vt:i4>1769553</vt:i4>
      </vt:variant>
      <vt:variant>
        <vt:i4>36</vt:i4>
      </vt:variant>
      <vt:variant>
        <vt:i4>0</vt:i4>
      </vt:variant>
      <vt:variant>
        <vt:i4>5</vt:i4>
      </vt:variant>
      <vt:variant>
        <vt:lpwstr>https://headspace.org.au/assets/Uploads/headspace-psychosocial-assessment.pdf</vt:lpwstr>
      </vt:variant>
      <vt:variant>
        <vt:lpwstr/>
      </vt:variant>
      <vt:variant>
        <vt:i4>7929935</vt:i4>
      </vt:variant>
      <vt:variant>
        <vt:i4>33</vt:i4>
      </vt:variant>
      <vt:variant>
        <vt:i4>0</vt:i4>
      </vt:variant>
      <vt:variant>
        <vt:i4>5</vt:i4>
      </vt:variant>
      <vt:variant>
        <vt:lpwstr>https://www.abs.gov.au/ausstats/abs@.nsf/lookup/4817.0.55.001chapter92007-08</vt:lpwstr>
      </vt:variant>
      <vt:variant>
        <vt:lpwstr/>
      </vt:variant>
      <vt:variant>
        <vt:i4>5243000</vt:i4>
      </vt:variant>
      <vt:variant>
        <vt:i4>30</vt:i4>
      </vt:variant>
      <vt:variant>
        <vt:i4>0</vt:i4>
      </vt:variant>
      <vt:variant>
        <vt:i4>5</vt:i4>
      </vt:variant>
      <vt:variant>
        <vt:lpwstr>http://apps.who.int/iris/bitstream/handle/10665/75217/9789241503594_eng.pdf;sequence=1</vt:lpwstr>
      </vt:variant>
      <vt:variant>
        <vt:lpwstr/>
      </vt:variant>
      <vt:variant>
        <vt:i4>6684747</vt:i4>
      </vt:variant>
      <vt:variant>
        <vt:i4>27</vt:i4>
      </vt:variant>
      <vt:variant>
        <vt:i4>0</vt:i4>
      </vt:variant>
      <vt:variant>
        <vt:i4>5</vt:i4>
      </vt:variant>
      <vt:variant>
        <vt:lpwstr>https://apps.who.int/iris/bitstream/handle/10665/67923/WHO_FCH_CAH_02.14.pdf?sequence=1&amp;isAllowed=y</vt:lpwstr>
      </vt:variant>
      <vt:variant>
        <vt:lpwstr/>
      </vt:variant>
      <vt:variant>
        <vt:i4>786521</vt:i4>
      </vt:variant>
      <vt:variant>
        <vt:i4>24</vt:i4>
      </vt:variant>
      <vt:variant>
        <vt:i4>0</vt:i4>
      </vt:variant>
      <vt:variant>
        <vt:i4>5</vt:i4>
      </vt:variant>
      <vt:variant>
        <vt:lpwstr>https://www.euro.who.int/en/health-topics/Life-stages/child-and-adolescent-health/about-child-and-adolescent-health/adolescent-health/5s-approach</vt:lpwstr>
      </vt:variant>
      <vt:variant>
        <vt:lpwstr/>
      </vt:variant>
      <vt:variant>
        <vt:i4>2490495</vt:i4>
      </vt:variant>
      <vt:variant>
        <vt:i4>21</vt:i4>
      </vt:variant>
      <vt:variant>
        <vt:i4>0</vt:i4>
      </vt:variant>
      <vt:variant>
        <vt:i4>5</vt:i4>
      </vt:variant>
      <vt:variant>
        <vt:lpwstr>https://headspace.org.au/assets/Uploads/Corporate/Publications-and-research/HSP201-Service-Innovation-Part-2-FA-LR.pdf</vt:lpwstr>
      </vt:variant>
      <vt:variant>
        <vt:lpwstr/>
      </vt:variant>
      <vt:variant>
        <vt:i4>524305</vt:i4>
      </vt:variant>
      <vt:variant>
        <vt:i4>18</vt:i4>
      </vt:variant>
      <vt:variant>
        <vt:i4>0</vt:i4>
      </vt:variant>
      <vt:variant>
        <vt:i4>5</vt:i4>
      </vt:variant>
      <vt:variant>
        <vt:lpwstr>https://www.closingthegap.gov.au/national-agreement/national-agreement-closing-the-gap/1-preamble</vt:lpwstr>
      </vt:variant>
      <vt:variant>
        <vt:lpwstr/>
      </vt:variant>
      <vt:variant>
        <vt:i4>7012457</vt:i4>
      </vt:variant>
      <vt:variant>
        <vt:i4>15</vt:i4>
      </vt:variant>
      <vt:variant>
        <vt:i4>0</vt:i4>
      </vt:variant>
      <vt:variant>
        <vt:i4>5</vt:i4>
      </vt:variant>
      <vt:variant>
        <vt:lpwstr>https://www.racgp.org.au/FSDEDEV/media/documents/RACGP/Position statements/Racism-in-the-healthcare-sector.pdf</vt:lpwstr>
      </vt:variant>
      <vt:variant>
        <vt:lpwstr/>
      </vt:variant>
      <vt:variant>
        <vt:i4>1441810</vt:i4>
      </vt:variant>
      <vt:variant>
        <vt:i4>12</vt:i4>
      </vt:variant>
      <vt:variant>
        <vt:i4>0</vt:i4>
      </vt:variant>
      <vt:variant>
        <vt:i4>5</vt:i4>
      </vt:variant>
      <vt:variant>
        <vt:lpwstr>https://www.ranzcp.org/news-policy/policy-and-advocacy/position-statements/mental-health-needs-lgbtiq</vt:lpwstr>
      </vt:variant>
      <vt:variant>
        <vt:lpwstr/>
      </vt:variant>
      <vt:variant>
        <vt:i4>458827</vt:i4>
      </vt:variant>
      <vt:variant>
        <vt:i4>9</vt:i4>
      </vt:variant>
      <vt:variant>
        <vt:i4>0</vt:i4>
      </vt:variant>
      <vt:variant>
        <vt:i4>5</vt:i4>
      </vt:variant>
      <vt:variant>
        <vt:lpwstr>https://www.aihw.gov.au/reports/disability/people-with-disability-in-australia/contents/health/access-to-health-services</vt:lpwstr>
      </vt:variant>
      <vt:variant>
        <vt:lpwstr/>
      </vt:variant>
      <vt:variant>
        <vt:i4>3801202</vt:i4>
      </vt:variant>
      <vt:variant>
        <vt:i4>6</vt:i4>
      </vt:variant>
      <vt:variant>
        <vt:i4>0</vt:i4>
      </vt:variant>
      <vt:variant>
        <vt:i4>5</vt:i4>
      </vt:variant>
      <vt:variant>
        <vt:lpwstr>https://federalfinancialrelations.gov.au/agreements/mental-health-suicide-prevention-agreement</vt:lpwstr>
      </vt:variant>
      <vt:variant>
        <vt:lpwstr/>
      </vt:variant>
      <vt:variant>
        <vt:i4>720976</vt:i4>
      </vt:variant>
      <vt:variant>
        <vt:i4>3</vt:i4>
      </vt:variant>
      <vt:variant>
        <vt:i4>0</vt:i4>
      </vt:variant>
      <vt:variant>
        <vt:i4>5</vt:i4>
      </vt:variant>
      <vt:variant>
        <vt:lpwstr>https://www.mentalhealthcommission.gov.au/getmedia/0209d27b-1873-4245-b6e5-49e770084b81/Fifth-National-Mental-Health-and-Suicide-Prevention-Plan.pdf</vt:lpwstr>
      </vt:variant>
      <vt:variant>
        <vt:lpwstr/>
      </vt:variant>
      <vt:variant>
        <vt:i4>7143531</vt:i4>
      </vt:variant>
      <vt:variant>
        <vt:i4>0</vt:i4>
      </vt:variant>
      <vt:variant>
        <vt:i4>0</vt:i4>
      </vt:variant>
      <vt:variant>
        <vt:i4>5</vt:i4>
      </vt:variant>
      <vt:variant>
        <vt:lpwstr>https://journals.plos.org/plosone/article?id=10.1371/journal.pone.0249902</vt:lpwstr>
      </vt:variant>
      <vt:variant>
        <vt:lpwstr>sec013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headspace Evaluation Final Report June 2022</dc:title>
  <dc:subject/>
  <dc:creator>KPMG</dc:creator>
  <cp:keywords>National headspace Evaluation Final Report June 2022</cp:keywords>
  <dc:description>-</dc:description>
  <cp:lastModifiedBy>HARDING, Sophie</cp:lastModifiedBy>
  <cp:revision>11</cp:revision>
  <cp:lastPrinted>2022-08-18T14:54:00Z</cp:lastPrinted>
  <dcterms:created xsi:type="dcterms:W3CDTF">2022-08-19T05:16:00Z</dcterms:created>
  <dcterms:modified xsi:type="dcterms:W3CDTF">2022-10-04T03:08:00Z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0x010100EFEF9ADA68C24B42A882A41D9DBB5B17</vt:lpwstr>
  </property>
</Properties>
</file>